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14:paraId="5052F9E1" w14:textId="77777777" w:rsidTr="00B6553F">
        <w:trPr>
          <w:cantSplit/>
          <w:trHeight w:hRule="exact" w:val="851"/>
        </w:trPr>
        <w:tc>
          <w:tcPr>
            <w:tcW w:w="1276" w:type="dxa"/>
            <w:tcBorders>
              <w:bottom w:val="single" w:sz="4" w:space="0" w:color="auto"/>
            </w:tcBorders>
            <w:vAlign w:val="bottom"/>
          </w:tcPr>
          <w:p w14:paraId="76AE1583" w14:textId="77777777" w:rsidR="00B56E9C" w:rsidRPr="007D5593" w:rsidRDefault="007D5593" w:rsidP="007D5593">
            <w:pPr>
              <w:spacing w:line="20" w:lineRule="exact"/>
              <w:rPr>
                <w:sz w:val="2"/>
              </w:rPr>
            </w:pPr>
            <w:r>
              <w:rPr>
                <w:rStyle w:val="CommentReference"/>
              </w:rPr>
              <w:commentReference w:id="0"/>
            </w:r>
            <w:bookmarkStart w:id="1" w:name="_GoBack"/>
            <w:bookmarkEnd w:id="1"/>
          </w:p>
          <w:p w14:paraId="0F7C45DE" w14:textId="77777777" w:rsidR="007D5593" w:rsidRPr="00B12E1C" w:rsidRDefault="007D5593" w:rsidP="00B6553F">
            <w:pPr>
              <w:spacing w:after="80"/>
            </w:pPr>
          </w:p>
        </w:tc>
        <w:tc>
          <w:tcPr>
            <w:tcW w:w="2268" w:type="dxa"/>
            <w:tcBorders>
              <w:bottom w:val="single" w:sz="4" w:space="0" w:color="auto"/>
            </w:tcBorders>
            <w:vAlign w:val="bottom"/>
          </w:tcPr>
          <w:p w14:paraId="2D91121E" w14:textId="77777777"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14:paraId="3170D2C7" w14:textId="77777777" w:rsidR="00B56E9C" w:rsidRPr="00B12E1C" w:rsidRDefault="008216A5" w:rsidP="00EB6A5B">
            <w:pPr>
              <w:jc w:val="right"/>
            </w:pPr>
            <w:r w:rsidRPr="00B12E1C">
              <w:rPr>
                <w:sz w:val="40"/>
              </w:rPr>
              <w:t>CCPR</w:t>
            </w:r>
            <w:r w:rsidRPr="00B12E1C">
              <w:t>/C/1</w:t>
            </w:r>
            <w:r w:rsidR="00711F00" w:rsidRPr="00B12E1C">
              <w:t>1</w:t>
            </w:r>
            <w:r w:rsidR="005E3E4B">
              <w:t>5</w:t>
            </w:r>
            <w:r w:rsidR="00272837" w:rsidRPr="00B12E1C">
              <w:t>/</w:t>
            </w:r>
            <w:r w:rsidRPr="00B12E1C">
              <w:t>D/</w:t>
            </w:r>
            <w:r w:rsidR="00692477">
              <w:t>20</w:t>
            </w:r>
            <w:r w:rsidR="003A25C1">
              <w:t>52</w:t>
            </w:r>
            <w:r w:rsidRPr="00B12E1C">
              <w:t>/</w:t>
            </w:r>
            <w:r w:rsidR="000308D4" w:rsidRPr="00B12E1C">
              <w:t>201</w:t>
            </w:r>
            <w:r w:rsidR="00692477">
              <w:t>1</w:t>
            </w:r>
          </w:p>
        </w:tc>
      </w:tr>
      <w:tr w:rsidR="00B56E9C" w:rsidRPr="00B12E1C" w14:paraId="711CD06F" w14:textId="77777777" w:rsidTr="00B6553F">
        <w:trPr>
          <w:cantSplit/>
          <w:trHeight w:hRule="exact" w:val="2835"/>
        </w:trPr>
        <w:tc>
          <w:tcPr>
            <w:tcW w:w="1276" w:type="dxa"/>
            <w:tcBorders>
              <w:top w:val="single" w:sz="4" w:space="0" w:color="auto"/>
              <w:bottom w:val="single" w:sz="12" w:space="0" w:color="auto"/>
            </w:tcBorders>
          </w:tcPr>
          <w:p w14:paraId="1A49018F" w14:textId="77777777" w:rsidR="00B56E9C" w:rsidRPr="00B12E1C" w:rsidRDefault="00583F6F" w:rsidP="00B6553F">
            <w:pPr>
              <w:spacing w:before="120"/>
            </w:pPr>
            <w:r>
              <w:rPr>
                <w:noProof/>
                <w:lang w:val="en-US"/>
              </w:rPr>
              <w:drawing>
                <wp:inline distT="0" distB="0" distL="0" distR="0" wp14:anchorId="32EB8B63" wp14:editId="114F1CAD">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CD9619" w14:textId="77777777" w:rsidR="00EB6A5B" w:rsidRPr="00B666F6"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14:paraId="53044467" w14:textId="77777777" w:rsidR="00B56E9C" w:rsidRPr="00B12E1C" w:rsidRDefault="008216A5" w:rsidP="008216A5">
            <w:pPr>
              <w:spacing w:before="240" w:line="240" w:lineRule="exact"/>
            </w:pPr>
            <w:r w:rsidRPr="00B12E1C">
              <w:t xml:space="preserve">Distr.: </w:t>
            </w:r>
            <w:r w:rsidR="00EB6A5B">
              <w:t>General</w:t>
            </w:r>
          </w:p>
          <w:p w14:paraId="65C0FF0E" w14:textId="77777777" w:rsidR="008216A5" w:rsidRPr="00B12E1C" w:rsidRDefault="00B666F6" w:rsidP="001223B9">
            <w:pPr>
              <w:spacing w:line="240" w:lineRule="exact"/>
            </w:pPr>
            <w:r>
              <w:t>9</w:t>
            </w:r>
            <w:r w:rsidR="005460EF">
              <w:t xml:space="preserve"> December </w:t>
            </w:r>
            <w:r w:rsidR="00307752" w:rsidRPr="00B12E1C">
              <w:t>2015</w:t>
            </w:r>
          </w:p>
          <w:p w14:paraId="38059B8C" w14:textId="77777777" w:rsidR="008216A5" w:rsidRPr="00B12E1C" w:rsidRDefault="008216A5" w:rsidP="008216A5">
            <w:pPr>
              <w:spacing w:line="240" w:lineRule="exact"/>
            </w:pPr>
          </w:p>
          <w:p w14:paraId="4A2D0D12" w14:textId="77777777" w:rsidR="008216A5" w:rsidRDefault="008216A5" w:rsidP="008216A5">
            <w:pPr>
              <w:spacing w:line="240" w:lineRule="exact"/>
            </w:pPr>
            <w:r w:rsidRPr="00B12E1C">
              <w:t>Original: English</w:t>
            </w:r>
          </w:p>
          <w:p w14:paraId="3D5B42C2" w14:textId="77777777" w:rsidR="00326293" w:rsidRPr="00B12E1C" w:rsidRDefault="00326293" w:rsidP="008216A5">
            <w:pPr>
              <w:spacing w:line="240" w:lineRule="exact"/>
            </w:pPr>
          </w:p>
        </w:tc>
      </w:tr>
    </w:tbl>
    <w:p w14:paraId="797528DC" w14:textId="77777777" w:rsidR="008216A5" w:rsidRPr="00B12E1C" w:rsidRDefault="008216A5" w:rsidP="008216A5">
      <w:pPr>
        <w:spacing w:before="120"/>
        <w:rPr>
          <w:b/>
          <w:sz w:val="24"/>
          <w:szCs w:val="24"/>
        </w:rPr>
      </w:pPr>
      <w:r w:rsidRPr="00B12E1C">
        <w:rPr>
          <w:b/>
          <w:sz w:val="24"/>
          <w:szCs w:val="24"/>
        </w:rPr>
        <w:t>Human Rights Committee</w:t>
      </w:r>
    </w:p>
    <w:p w14:paraId="1EAD678D" w14:textId="77777777" w:rsidR="003134AC" w:rsidRPr="00B12E1C" w:rsidRDefault="003134AC" w:rsidP="003134AC">
      <w:pPr>
        <w:pStyle w:val="HChG"/>
      </w:pPr>
      <w:r w:rsidRPr="00B12E1C">
        <w:tab/>
      </w:r>
      <w:r w:rsidRPr="00B12E1C">
        <w:tab/>
        <w:t xml:space="preserve">Communication No. </w:t>
      </w:r>
      <w:r w:rsidR="00692477">
        <w:t>20</w:t>
      </w:r>
      <w:r w:rsidR="003A25C1">
        <w:t>52</w:t>
      </w:r>
      <w:r w:rsidR="002D77A1" w:rsidRPr="00B12E1C">
        <w:t>/20</w:t>
      </w:r>
      <w:r w:rsidR="00ED08C9" w:rsidRPr="00B12E1C">
        <w:t>1</w:t>
      </w:r>
      <w:r w:rsidR="00692477">
        <w:t>1</w:t>
      </w:r>
    </w:p>
    <w:p w14:paraId="7D6A47CA" w14:textId="77777777" w:rsidR="003134AC" w:rsidRPr="00B12E1C" w:rsidRDefault="003134AC" w:rsidP="00633364">
      <w:pPr>
        <w:pStyle w:val="H1G"/>
      </w:pPr>
      <w:r w:rsidRPr="00B12E1C">
        <w:tab/>
      </w:r>
      <w:r w:rsidRPr="00B12E1C">
        <w:tab/>
      </w:r>
      <w:r w:rsidR="00EB6A5B" w:rsidRPr="00671F7D">
        <w:t xml:space="preserve">Views adopted by the Committee at its 115th session </w:t>
      </w:r>
      <w:r w:rsidR="00EB6A5B" w:rsidRPr="00671F7D">
        <w:br/>
        <w:t>(</w:t>
      </w:r>
      <w:r w:rsidR="00EB6A5B" w:rsidRPr="00671F7D">
        <w:rPr>
          <w:bCs/>
          <w:lang w:val="en-US"/>
        </w:rPr>
        <w:t>19 October-6 November 2015)</w:t>
      </w:r>
    </w:p>
    <w:p w14:paraId="7150F9BB" w14:textId="77777777" w:rsidR="004B44C6" w:rsidRPr="00B12E1C" w:rsidRDefault="004B44C6" w:rsidP="00B36AD3">
      <w:pPr>
        <w:pStyle w:val="SingleTxtG"/>
        <w:ind w:left="4536" w:hanging="3402"/>
        <w:jc w:val="left"/>
      </w:pPr>
      <w:r w:rsidRPr="00B12E1C">
        <w:rPr>
          <w:i/>
        </w:rPr>
        <w:t>Submitted by:</w:t>
      </w:r>
      <w:r w:rsidRPr="00B12E1C">
        <w:tab/>
      </w:r>
      <w:r w:rsidR="005E3E4B">
        <w:t>Suyunbai Akmatov, on behalf of his deceased son,</w:t>
      </w:r>
      <w:r w:rsidR="003A25C1">
        <w:t xml:space="preserve"> </w:t>
      </w:r>
      <w:r w:rsidR="005E3E4B">
        <w:t xml:space="preserve">Turdubek </w:t>
      </w:r>
      <w:r w:rsidR="003A25C1">
        <w:t>Akmatov</w:t>
      </w:r>
      <w:r w:rsidRPr="00B12E1C">
        <w:t xml:space="preserve"> (</w:t>
      </w:r>
      <w:r w:rsidR="003A25C1">
        <w:t>represented by Rupert Skilbeck</w:t>
      </w:r>
      <w:r w:rsidR="00B46F26">
        <w:t xml:space="preserve"> of</w:t>
      </w:r>
      <w:r w:rsidR="003A25C1">
        <w:t xml:space="preserve"> </w:t>
      </w:r>
      <w:r w:rsidR="00AA33B9">
        <w:t xml:space="preserve">the </w:t>
      </w:r>
      <w:r w:rsidR="003A25C1">
        <w:t>Open Society Justice Initiative</w:t>
      </w:r>
      <w:r w:rsidR="00B46F26">
        <w:t xml:space="preserve"> and Nurdin Chydyev</w:t>
      </w:r>
      <w:r w:rsidRPr="00B12E1C">
        <w:t>)</w:t>
      </w:r>
    </w:p>
    <w:p w14:paraId="4A8963C2" w14:textId="77777777" w:rsidR="004B44C6" w:rsidRPr="00B12E1C" w:rsidRDefault="004B44C6" w:rsidP="004B44C6">
      <w:pPr>
        <w:pStyle w:val="SingleTxtG"/>
        <w:ind w:left="4536" w:hanging="3402"/>
        <w:jc w:val="left"/>
      </w:pPr>
      <w:r w:rsidRPr="00B12E1C">
        <w:rPr>
          <w:i/>
        </w:rPr>
        <w:t>Alleged victim:</w:t>
      </w:r>
      <w:r w:rsidR="005E3E4B">
        <w:tab/>
        <w:t>Turdubek Akmatov</w:t>
      </w:r>
    </w:p>
    <w:p w14:paraId="13C4E7D0" w14:textId="77777777" w:rsidR="004B44C6" w:rsidRPr="00B12E1C" w:rsidRDefault="004B44C6" w:rsidP="004B44C6">
      <w:pPr>
        <w:pStyle w:val="SingleTxtG"/>
        <w:ind w:left="4536" w:hanging="3402"/>
        <w:jc w:val="left"/>
      </w:pPr>
      <w:r w:rsidRPr="00B12E1C">
        <w:rPr>
          <w:i/>
        </w:rPr>
        <w:t>State party:</w:t>
      </w:r>
      <w:r w:rsidR="00692477">
        <w:tab/>
      </w:r>
      <w:r w:rsidR="003A25C1">
        <w:t>Kyrgyzstan</w:t>
      </w:r>
    </w:p>
    <w:p w14:paraId="03FDE458" w14:textId="77777777" w:rsidR="004B44C6" w:rsidRPr="00B12E1C" w:rsidRDefault="004B44C6" w:rsidP="004B44C6">
      <w:pPr>
        <w:pStyle w:val="SingleTxtG"/>
        <w:ind w:left="4536" w:hanging="3402"/>
        <w:jc w:val="left"/>
      </w:pPr>
      <w:r w:rsidRPr="00B12E1C">
        <w:rPr>
          <w:i/>
        </w:rPr>
        <w:t>Date of communication:</w:t>
      </w:r>
      <w:r w:rsidRPr="00B12E1C">
        <w:tab/>
      </w:r>
      <w:r w:rsidR="003A25C1">
        <w:t>7</w:t>
      </w:r>
      <w:r w:rsidR="00692477">
        <w:t xml:space="preserve"> </w:t>
      </w:r>
      <w:r w:rsidR="003A25C1">
        <w:t>April 2011</w:t>
      </w:r>
      <w:r w:rsidRPr="00B12E1C">
        <w:t xml:space="preserve"> (initial submission)</w:t>
      </w:r>
    </w:p>
    <w:p w14:paraId="3E2DA5E9" w14:textId="77777777" w:rsidR="004B44C6" w:rsidRPr="00B12E1C" w:rsidRDefault="004B44C6" w:rsidP="004B44C6">
      <w:pPr>
        <w:pStyle w:val="SingleTxtG"/>
        <w:ind w:left="4536" w:hanging="3402"/>
        <w:jc w:val="left"/>
      </w:pPr>
      <w:r w:rsidRPr="00B12E1C">
        <w:rPr>
          <w:i/>
        </w:rPr>
        <w:t>Document references:</w:t>
      </w:r>
      <w:r w:rsidRPr="00B12E1C">
        <w:tab/>
        <w:t xml:space="preserve">Special Rapporteur’s rule 97 decision, transmitted to the State party on </w:t>
      </w:r>
      <w:r w:rsidR="003A25C1">
        <w:t>21</w:t>
      </w:r>
      <w:r w:rsidR="001A3477" w:rsidRPr="00B12E1C">
        <w:t xml:space="preserve"> </w:t>
      </w:r>
      <w:r w:rsidR="00692477">
        <w:t>April</w:t>
      </w:r>
      <w:r w:rsidR="001A3477" w:rsidRPr="00B12E1C">
        <w:t xml:space="preserve"> 201</w:t>
      </w:r>
      <w:r w:rsidR="00692477">
        <w:t>1</w:t>
      </w:r>
      <w:r w:rsidR="001A3477" w:rsidRPr="00B12E1C">
        <w:t xml:space="preserve"> </w:t>
      </w:r>
      <w:r w:rsidRPr="00B12E1C">
        <w:t>(not issued in document form)</w:t>
      </w:r>
    </w:p>
    <w:p w14:paraId="7842C058" w14:textId="77777777" w:rsidR="00326293" w:rsidRDefault="004B44C6" w:rsidP="004B44C6">
      <w:pPr>
        <w:pStyle w:val="SingleTxtG"/>
        <w:ind w:left="4536" w:hanging="3402"/>
        <w:jc w:val="left"/>
      </w:pPr>
      <w:r w:rsidRPr="00B12E1C">
        <w:rPr>
          <w:i/>
        </w:rPr>
        <w:t xml:space="preserve">Date of adoption of </w:t>
      </w:r>
      <w:r w:rsidR="00D83890">
        <w:rPr>
          <w:i/>
        </w:rPr>
        <w:t>Views</w:t>
      </w:r>
      <w:r w:rsidRPr="00B12E1C">
        <w:rPr>
          <w:i/>
        </w:rPr>
        <w:t>:</w:t>
      </w:r>
      <w:r w:rsidRPr="00B12E1C">
        <w:tab/>
      </w:r>
      <w:r w:rsidR="00EB6A5B">
        <w:t>29</w:t>
      </w:r>
      <w:r w:rsidR="00EB6A5B" w:rsidRPr="00B12E1C">
        <w:t xml:space="preserve"> </w:t>
      </w:r>
      <w:r w:rsidR="003A25C1">
        <w:t>October</w:t>
      </w:r>
      <w:r w:rsidRPr="00B12E1C">
        <w:t xml:space="preserve"> 201</w:t>
      </w:r>
      <w:r w:rsidR="001A3477" w:rsidRPr="00B12E1C">
        <w:t>5</w:t>
      </w:r>
    </w:p>
    <w:p w14:paraId="33D9F4F8" w14:textId="77777777" w:rsidR="004B44C6" w:rsidRPr="00B12E1C" w:rsidRDefault="003C403B">
      <w:pPr>
        <w:pStyle w:val="SingleTxtG"/>
        <w:ind w:left="4536" w:hanging="3402"/>
        <w:jc w:val="left"/>
      </w:pPr>
      <w:r w:rsidRPr="00B12E1C">
        <w:rPr>
          <w:i/>
          <w:iCs/>
        </w:rPr>
        <w:t>Subject matter:</w:t>
      </w:r>
      <w:r w:rsidRPr="00B12E1C">
        <w:tab/>
      </w:r>
      <w:r>
        <w:t>The author’s son’s death after alleged detention and torture</w:t>
      </w:r>
    </w:p>
    <w:p w14:paraId="4B979174" w14:textId="77777777" w:rsidR="004B44C6" w:rsidRPr="000A1007" w:rsidRDefault="004B44C6" w:rsidP="00B36AD3">
      <w:pPr>
        <w:pStyle w:val="SingleTxtG"/>
        <w:ind w:left="4536" w:hanging="3402"/>
        <w:jc w:val="left"/>
        <w:rPr>
          <w:iCs/>
        </w:rPr>
      </w:pPr>
      <w:r w:rsidRPr="00B12E1C">
        <w:rPr>
          <w:i/>
          <w:iCs/>
        </w:rPr>
        <w:t xml:space="preserve">Procedural issue: </w:t>
      </w:r>
      <w:r w:rsidRPr="00B12E1C">
        <w:rPr>
          <w:i/>
          <w:iCs/>
        </w:rPr>
        <w:tab/>
      </w:r>
      <w:r w:rsidR="000A1007" w:rsidRPr="00B36AD3">
        <w:rPr>
          <w:iCs/>
        </w:rPr>
        <w:t xml:space="preserve">Admissibility </w:t>
      </w:r>
      <w:r w:rsidR="0039591A" w:rsidRPr="00B666F6">
        <w:rPr>
          <w:iCs/>
        </w:rPr>
        <w:t>(</w:t>
      </w:r>
      <w:r w:rsidR="000A1007" w:rsidRPr="00B36AD3">
        <w:rPr>
          <w:iCs/>
        </w:rPr>
        <w:t>exh</w:t>
      </w:r>
      <w:r w:rsidR="006929D6" w:rsidRPr="00B36AD3">
        <w:rPr>
          <w:iCs/>
        </w:rPr>
        <w:t>austion</w:t>
      </w:r>
      <w:r w:rsidR="006929D6">
        <w:rPr>
          <w:iCs/>
        </w:rPr>
        <w:t xml:space="preserve"> of domestic remedies</w:t>
      </w:r>
      <w:r w:rsidR="0039591A">
        <w:rPr>
          <w:iCs/>
        </w:rPr>
        <w:t>)</w:t>
      </w:r>
      <w:r w:rsidR="003A25C1">
        <w:rPr>
          <w:iCs/>
        </w:rPr>
        <w:t xml:space="preserve"> </w:t>
      </w:r>
    </w:p>
    <w:p w14:paraId="10B3F44C" w14:textId="77777777" w:rsidR="00326293" w:rsidRPr="00692477" w:rsidRDefault="00326293">
      <w:pPr>
        <w:pStyle w:val="SingleTxtG"/>
        <w:ind w:left="4536" w:hanging="3402"/>
        <w:jc w:val="left"/>
        <w:rPr>
          <w:iCs/>
        </w:rPr>
      </w:pPr>
      <w:r w:rsidRPr="00B12E1C">
        <w:rPr>
          <w:i/>
          <w:iCs/>
        </w:rPr>
        <w:t xml:space="preserve">Substantive issues: </w:t>
      </w:r>
      <w:r w:rsidRPr="00B12E1C">
        <w:rPr>
          <w:i/>
          <w:iCs/>
        </w:rPr>
        <w:tab/>
      </w:r>
      <w:r w:rsidR="009641B8" w:rsidRPr="009641B8">
        <w:rPr>
          <w:iCs/>
        </w:rPr>
        <w:t>Right to</w:t>
      </w:r>
      <w:r w:rsidR="009641B8">
        <w:rPr>
          <w:iCs/>
        </w:rPr>
        <w:t xml:space="preserve"> life, torture, torture </w:t>
      </w:r>
      <w:r w:rsidR="00B951F2">
        <w:rPr>
          <w:iCs/>
        </w:rPr>
        <w:t>—</w:t>
      </w:r>
      <w:r w:rsidR="009641B8">
        <w:rPr>
          <w:iCs/>
        </w:rPr>
        <w:t xml:space="preserve"> prompt and impartial investigation</w:t>
      </w:r>
    </w:p>
    <w:p w14:paraId="62AFC353" w14:textId="77777777" w:rsidR="004B44C6" w:rsidRPr="00B12E1C" w:rsidRDefault="004B44C6" w:rsidP="00B36AD3">
      <w:pPr>
        <w:pStyle w:val="SingleTxtG"/>
        <w:ind w:left="4536" w:hanging="3402"/>
        <w:jc w:val="left"/>
      </w:pPr>
      <w:r w:rsidRPr="00B12E1C">
        <w:rPr>
          <w:i/>
          <w:iCs/>
        </w:rPr>
        <w:t>Articles of the Covenant:</w:t>
      </w:r>
      <w:r w:rsidRPr="00B12E1C">
        <w:t xml:space="preserve"> </w:t>
      </w:r>
      <w:r w:rsidRPr="00B12E1C">
        <w:tab/>
      </w:r>
      <w:r w:rsidR="009641B8">
        <w:t>Article</w:t>
      </w:r>
      <w:r w:rsidR="005460EF">
        <w:t>s</w:t>
      </w:r>
      <w:r w:rsidR="009641B8">
        <w:t xml:space="preserve"> </w:t>
      </w:r>
      <w:r w:rsidR="007009AB">
        <w:t xml:space="preserve">6 </w:t>
      </w:r>
      <w:r w:rsidR="00406806">
        <w:t>(</w:t>
      </w:r>
      <w:r w:rsidR="007009AB">
        <w:t>1</w:t>
      </w:r>
      <w:r w:rsidR="00406806">
        <w:t>)</w:t>
      </w:r>
      <w:r w:rsidR="007009AB">
        <w:t xml:space="preserve"> and 7, read separately and in conjunction with article 2 </w:t>
      </w:r>
      <w:r w:rsidR="00406806">
        <w:t>(</w:t>
      </w:r>
      <w:r w:rsidR="007009AB">
        <w:t>3</w:t>
      </w:r>
      <w:r w:rsidR="00406806">
        <w:t>)</w:t>
      </w:r>
      <w:r w:rsidR="00692477">
        <w:t xml:space="preserve"> </w:t>
      </w:r>
    </w:p>
    <w:p w14:paraId="0BE53E71" w14:textId="77777777" w:rsidR="004B44C6" w:rsidRPr="00B12E1C" w:rsidRDefault="004B44C6" w:rsidP="00B36AD3">
      <w:pPr>
        <w:pStyle w:val="SingleTxtG"/>
        <w:ind w:left="4536" w:hanging="3402"/>
        <w:jc w:val="left"/>
      </w:pPr>
      <w:r w:rsidRPr="00B12E1C">
        <w:rPr>
          <w:i/>
          <w:iCs/>
        </w:rPr>
        <w:t>Articles of the Optional Protocol:</w:t>
      </w:r>
      <w:r w:rsidRPr="00B12E1C">
        <w:rPr>
          <w:i/>
          <w:iCs/>
        </w:rPr>
        <w:tab/>
      </w:r>
      <w:r w:rsidR="009641B8" w:rsidRPr="009641B8">
        <w:t xml:space="preserve">5 </w:t>
      </w:r>
      <w:r w:rsidR="00406806">
        <w:t>(</w:t>
      </w:r>
      <w:r w:rsidR="009641B8" w:rsidRPr="009641B8">
        <w:t>2</w:t>
      </w:r>
      <w:r w:rsidR="00406806">
        <w:t>)</w:t>
      </w:r>
      <w:r w:rsidR="009641B8" w:rsidRPr="009641B8">
        <w:t xml:space="preserve"> (b)</w:t>
      </w:r>
    </w:p>
    <w:p w14:paraId="74992F1E" w14:textId="77777777" w:rsidR="004B44C6" w:rsidRPr="00B666F6" w:rsidRDefault="004B44C6" w:rsidP="00D52EDB">
      <w:pPr>
        <w:pStyle w:val="HMG"/>
        <w:rPr>
          <w:sz w:val="28"/>
          <w:szCs w:val="28"/>
        </w:rPr>
      </w:pPr>
      <w:r w:rsidRPr="00B12E1C">
        <w:br w:type="page"/>
      </w:r>
      <w:r w:rsidRPr="00B666F6">
        <w:rPr>
          <w:sz w:val="28"/>
          <w:szCs w:val="28"/>
        </w:rPr>
        <w:lastRenderedPageBreak/>
        <w:t>Annex</w:t>
      </w:r>
    </w:p>
    <w:p w14:paraId="33B18956" w14:textId="77777777" w:rsidR="004B44C6" w:rsidRPr="00B12E1C" w:rsidRDefault="004B44C6">
      <w:pPr>
        <w:pStyle w:val="HChG"/>
        <w:rPr>
          <w:bCs/>
        </w:rPr>
      </w:pPr>
      <w:r w:rsidRPr="00B12E1C">
        <w:tab/>
      </w:r>
      <w:r w:rsidRPr="00B12E1C">
        <w:tab/>
      </w:r>
      <w:r w:rsidR="003A25C1">
        <w:t>Views</w:t>
      </w:r>
      <w:r w:rsidRPr="00B12E1C">
        <w:t xml:space="preserve"> of the Human Rights Committee under article 5 </w:t>
      </w:r>
      <w:r w:rsidR="00406806">
        <w:t>(</w:t>
      </w:r>
      <w:r w:rsidRPr="00B12E1C">
        <w:t>4</w:t>
      </w:r>
      <w:r w:rsidR="00406806">
        <w:t>)</w:t>
      </w:r>
      <w:r w:rsidRPr="00B12E1C">
        <w:t xml:space="preserve"> of the Optional Protocol to the International Covenant on Civil and Political </w:t>
      </w:r>
      <w:r w:rsidR="005460EF">
        <w:t>R</w:t>
      </w:r>
      <w:r w:rsidRPr="00B12E1C">
        <w:t>ights (11</w:t>
      </w:r>
      <w:r w:rsidR="005E3E4B">
        <w:t>5</w:t>
      </w:r>
      <w:r w:rsidRPr="00B12E1C">
        <w:t xml:space="preserve">th </w:t>
      </w:r>
      <w:r w:rsidRPr="00B12E1C">
        <w:rPr>
          <w:bCs/>
        </w:rPr>
        <w:t>session)</w:t>
      </w:r>
    </w:p>
    <w:p w14:paraId="3CEE7066" w14:textId="77777777" w:rsidR="004B44C6" w:rsidRPr="00B12E1C" w:rsidRDefault="004B44C6" w:rsidP="004B44C6">
      <w:pPr>
        <w:pStyle w:val="SingleTxtG"/>
        <w:rPr>
          <w:b/>
          <w:bCs/>
        </w:rPr>
      </w:pPr>
      <w:r w:rsidRPr="00B12E1C">
        <w:t>concerning</w:t>
      </w:r>
    </w:p>
    <w:p w14:paraId="225ACFD3" w14:textId="77777777" w:rsidR="004B44C6" w:rsidRPr="00B12E1C" w:rsidRDefault="001A3477" w:rsidP="004B44C6">
      <w:pPr>
        <w:pStyle w:val="H1G"/>
      </w:pPr>
      <w:r w:rsidRPr="00B12E1C">
        <w:tab/>
      </w:r>
      <w:r w:rsidRPr="00B12E1C">
        <w:tab/>
        <w:t>Communication No. </w:t>
      </w:r>
      <w:r w:rsidR="00E56DDC">
        <w:t>20</w:t>
      </w:r>
      <w:r w:rsidR="005E3E4B">
        <w:t>52</w:t>
      </w:r>
      <w:r w:rsidR="004B44C6" w:rsidRPr="00B12E1C">
        <w:t>/20</w:t>
      </w:r>
      <w:r w:rsidRPr="00B12E1C">
        <w:t>1</w:t>
      </w:r>
      <w:r w:rsidR="00E56DDC">
        <w:t>1</w:t>
      </w:r>
      <w:r w:rsidR="00EB6A5B" w:rsidRPr="00B666F6">
        <w:rPr>
          <w:rStyle w:val="FootnoteReference"/>
          <w:b w:val="0"/>
          <w:bCs/>
          <w:sz w:val="20"/>
          <w:vertAlign w:val="baseline"/>
        </w:rPr>
        <w:footnoteReference w:customMarkFollows="1" w:id="2"/>
        <w:t>*</w:t>
      </w:r>
    </w:p>
    <w:p w14:paraId="10E3922B" w14:textId="77777777" w:rsidR="003A25C1" w:rsidRPr="00B12E1C" w:rsidRDefault="004B44C6" w:rsidP="00B36AD3">
      <w:pPr>
        <w:pStyle w:val="SingleTxtG"/>
        <w:ind w:left="4536" w:hanging="3402"/>
        <w:jc w:val="left"/>
      </w:pPr>
      <w:r w:rsidRPr="00B12E1C">
        <w:rPr>
          <w:i/>
        </w:rPr>
        <w:t>Submitted by:</w:t>
      </w:r>
      <w:r w:rsidRPr="00B12E1C">
        <w:tab/>
      </w:r>
      <w:r w:rsidR="005E3E4B">
        <w:t>Suyunbai Akmatov, on behalf of his deceased son, Turdubek Akmatov</w:t>
      </w:r>
      <w:r w:rsidR="005E3E4B" w:rsidRPr="00B12E1C">
        <w:t xml:space="preserve"> (</w:t>
      </w:r>
      <w:r w:rsidR="005E3E4B">
        <w:t>represented by Rupert Skilbeck</w:t>
      </w:r>
      <w:r w:rsidR="00B46F26">
        <w:t xml:space="preserve"> of</w:t>
      </w:r>
      <w:r w:rsidR="005E3E4B">
        <w:t xml:space="preserve"> </w:t>
      </w:r>
      <w:r w:rsidR="00D15240">
        <w:t xml:space="preserve">the </w:t>
      </w:r>
      <w:r w:rsidR="005E3E4B">
        <w:t>Open Society Justice Initiative</w:t>
      </w:r>
      <w:r w:rsidR="00B46F26">
        <w:t xml:space="preserve"> and Nurdin Chydyev</w:t>
      </w:r>
      <w:r w:rsidR="005E3E4B" w:rsidRPr="00B12E1C">
        <w:t>)</w:t>
      </w:r>
    </w:p>
    <w:p w14:paraId="056B3E29" w14:textId="77777777" w:rsidR="004B44C6" w:rsidRPr="00B12E1C" w:rsidRDefault="004B44C6" w:rsidP="004B44C6">
      <w:pPr>
        <w:pStyle w:val="SingleTxtG"/>
        <w:ind w:left="4536" w:hanging="3402"/>
        <w:jc w:val="left"/>
      </w:pPr>
      <w:r w:rsidRPr="00B12E1C">
        <w:rPr>
          <w:i/>
        </w:rPr>
        <w:t>Alleged victim:</w:t>
      </w:r>
      <w:r w:rsidR="005E3E4B">
        <w:tab/>
        <w:t>Turdubek Akmatov</w:t>
      </w:r>
    </w:p>
    <w:p w14:paraId="7E3C69C2" w14:textId="77777777" w:rsidR="004B44C6" w:rsidRPr="00B12E1C" w:rsidRDefault="004B44C6" w:rsidP="004B44C6">
      <w:pPr>
        <w:pStyle w:val="SingleTxtG"/>
        <w:ind w:left="4536" w:hanging="3402"/>
        <w:jc w:val="left"/>
      </w:pPr>
      <w:r w:rsidRPr="00B12E1C">
        <w:rPr>
          <w:i/>
        </w:rPr>
        <w:t>State party:</w:t>
      </w:r>
      <w:r w:rsidRPr="00B12E1C">
        <w:tab/>
      </w:r>
      <w:r w:rsidR="003A25C1">
        <w:t>Kyrgyzstan</w:t>
      </w:r>
    </w:p>
    <w:p w14:paraId="6EB22086" w14:textId="77777777" w:rsidR="004B44C6" w:rsidRPr="00B12E1C" w:rsidRDefault="004B44C6" w:rsidP="004B44C6">
      <w:pPr>
        <w:pStyle w:val="SingleTxtG"/>
        <w:ind w:left="4536" w:hanging="3402"/>
        <w:jc w:val="left"/>
      </w:pPr>
      <w:r w:rsidRPr="00B12E1C">
        <w:rPr>
          <w:i/>
        </w:rPr>
        <w:t>Date of communication:</w:t>
      </w:r>
      <w:r w:rsidRPr="00B12E1C">
        <w:tab/>
      </w:r>
      <w:r w:rsidR="003A25C1">
        <w:t>7 April 2011</w:t>
      </w:r>
      <w:r w:rsidRPr="00B12E1C">
        <w:t xml:space="preserve"> (initial submission)</w:t>
      </w:r>
    </w:p>
    <w:p w14:paraId="4296A7FF" w14:textId="77777777" w:rsidR="004B44C6" w:rsidRPr="00B12E1C" w:rsidRDefault="004B44C6" w:rsidP="004B44C6">
      <w:pPr>
        <w:pStyle w:val="SingleTxtG"/>
        <w:spacing w:before="240"/>
      </w:pPr>
      <w:r w:rsidRPr="00B12E1C">
        <w:tab/>
      </w:r>
      <w:r w:rsidRPr="00B12E1C">
        <w:rPr>
          <w:i/>
        </w:rPr>
        <w:t>The Human Rights Committee</w:t>
      </w:r>
      <w:r w:rsidRPr="00B12E1C">
        <w:t xml:space="preserve">, established under article 28 of the International Covenant on Civil and Political Rights, </w:t>
      </w:r>
    </w:p>
    <w:p w14:paraId="28B7AA18" w14:textId="77777777" w:rsidR="004B44C6" w:rsidRPr="00B12E1C" w:rsidRDefault="004B44C6" w:rsidP="004B44C6">
      <w:pPr>
        <w:pStyle w:val="SingleTxtG"/>
      </w:pPr>
      <w:r w:rsidRPr="00B12E1C">
        <w:tab/>
      </w:r>
      <w:r w:rsidRPr="00B12E1C">
        <w:rPr>
          <w:i/>
        </w:rPr>
        <w:t>Meeting on</w:t>
      </w:r>
      <w:r w:rsidRPr="00B12E1C">
        <w:t xml:space="preserve"> </w:t>
      </w:r>
      <w:r w:rsidR="00EB6A5B">
        <w:t>29</w:t>
      </w:r>
      <w:r w:rsidR="00EB6A5B" w:rsidRPr="00B12E1C">
        <w:t xml:space="preserve"> </w:t>
      </w:r>
      <w:r w:rsidR="003A25C1">
        <w:t>October</w:t>
      </w:r>
      <w:r w:rsidRPr="00B12E1C">
        <w:t xml:space="preserve"> 201</w:t>
      </w:r>
      <w:r w:rsidR="001A3477" w:rsidRPr="00B12E1C">
        <w:t>5</w:t>
      </w:r>
      <w:r w:rsidRPr="00B12E1C">
        <w:t>,</w:t>
      </w:r>
    </w:p>
    <w:p w14:paraId="290526FF" w14:textId="77777777" w:rsidR="004B44C6" w:rsidRPr="00B12E1C" w:rsidRDefault="004B44C6" w:rsidP="00B36AD3">
      <w:pPr>
        <w:pStyle w:val="SingleTxtG"/>
      </w:pPr>
      <w:r w:rsidRPr="00B12E1C">
        <w:tab/>
      </w:r>
      <w:r w:rsidRPr="00B12E1C">
        <w:rPr>
          <w:i/>
        </w:rPr>
        <w:t>Having concluded</w:t>
      </w:r>
      <w:r w:rsidRPr="00B12E1C">
        <w:t xml:space="preserve"> its consideration of communication No. </w:t>
      </w:r>
      <w:r w:rsidR="00E56DDC">
        <w:t>20</w:t>
      </w:r>
      <w:r w:rsidR="003A25C1">
        <w:t>52</w:t>
      </w:r>
      <w:r w:rsidRPr="00B12E1C">
        <w:t>/</w:t>
      </w:r>
      <w:r w:rsidR="001A3477" w:rsidRPr="00B12E1C">
        <w:t>201</w:t>
      </w:r>
      <w:r w:rsidR="00E56DDC">
        <w:t>1</w:t>
      </w:r>
      <w:r w:rsidRPr="00B12E1C">
        <w:t xml:space="preserve">, submitted to </w:t>
      </w:r>
      <w:r w:rsidR="00937F49">
        <w:t xml:space="preserve">it </w:t>
      </w:r>
      <w:r w:rsidRPr="00B12E1C">
        <w:t xml:space="preserve">by </w:t>
      </w:r>
      <w:r w:rsidR="005E3E4B">
        <w:t xml:space="preserve">Suyunbai Akmatov </w:t>
      </w:r>
      <w:r w:rsidRPr="00B12E1C">
        <w:t>under the Optional Protocol to the International Covenant on Civil and Political Rights,</w:t>
      </w:r>
    </w:p>
    <w:p w14:paraId="45B5DB07" w14:textId="77777777"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14:paraId="6CA085F0" w14:textId="77777777" w:rsidR="004B44C6" w:rsidRPr="00B12E1C" w:rsidRDefault="004B44C6" w:rsidP="004B44C6">
      <w:pPr>
        <w:pStyle w:val="SingleTxtG"/>
      </w:pPr>
      <w:r w:rsidRPr="00B12E1C">
        <w:tab/>
      </w:r>
      <w:r w:rsidRPr="00B12E1C">
        <w:rPr>
          <w:i/>
        </w:rPr>
        <w:t xml:space="preserve">Adopts </w:t>
      </w:r>
      <w:r w:rsidRPr="00B12E1C">
        <w:t>the following:</w:t>
      </w:r>
    </w:p>
    <w:p w14:paraId="653F45B1" w14:textId="77777777" w:rsidR="004B44C6" w:rsidRPr="00B12E1C" w:rsidRDefault="004B44C6" w:rsidP="00B36AD3">
      <w:pPr>
        <w:pStyle w:val="H1G"/>
      </w:pPr>
      <w:r w:rsidRPr="00B12E1C">
        <w:tab/>
      </w:r>
      <w:r w:rsidRPr="00B12E1C">
        <w:tab/>
      </w:r>
      <w:r w:rsidR="003A25C1">
        <w:t>Views</w:t>
      </w:r>
      <w:r w:rsidRPr="00B12E1C">
        <w:t xml:space="preserve"> under article 5 </w:t>
      </w:r>
      <w:r w:rsidR="00D15240">
        <w:t>(</w:t>
      </w:r>
      <w:r w:rsidRPr="00B12E1C">
        <w:t>4</w:t>
      </w:r>
      <w:r w:rsidR="00D15240">
        <w:t>)</w:t>
      </w:r>
      <w:r w:rsidRPr="00B12E1C">
        <w:t xml:space="preserve"> of the Optional Protocol</w:t>
      </w:r>
    </w:p>
    <w:p w14:paraId="47617ABB" w14:textId="77777777" w:rsidR="004B44C6" w:rsidRPr="002E296F" w:rsidRDefault="004B44C6" w:rsidP="00B666F6">
      <w:pPr>
        <w:pStyle w:val="SingleTxtG"/>
      </w:pPr>
      <w:r w:rsidRPr="002E296F">
        <w:t>1.</w:t>
      </w:r>
      <w:r w:rsidRPr="002E296F">
        <w:tab/>
        <w:t xml:space="preserve">The author is </w:t>
      </w:r>
      <w:r w:rsidR="005E3E4B">
        <w:t xml:space="preserve">Suyunbai Akmatov, </w:t>
      </w:r>
      <w:r w:rsidR="004C0910">
        <w:t xml:space="preserve">a Kyrgyz national </w:t>
      </w:r>
      <w:r w:rsidR="002E6A74">
        <w:rPr>
          <w:lang w:bidi="he-IL"/>
        </w:rPr>
        <w:t xml:space="preserve">who </w:t>
      </w:r>
      <w:r w:rsidR="00B46F26">
        <w:t>submit</w:t>
      </w:r>
      <w:r w:rsidR="004C0910">
        <w:t>s</w:t>
      </w:r>
      <w:r w:rsidR="00B46F26">
        <w:t xml:space="preserve"> the communication</w:t>
      </w:r>
      <w:r w:rsidR="005E3E4B">
        <w:t xml:space="preserve"> on behalf of his deceased son, Turdubek Akmatov</w:t>
      </w:r>
      <w:r w:rsidR="001D7067">
        <w:t xml:space="preserve">, </w:t>
      </w:r>
      <w:r w:rsidR="00D15240">
        <w:t xml:space="preserve">also </w:t>
      </w:r>
      <w:r w:rsidR="005E3E4B">
        <w:t>a Kyrgyz national</w:t>
      </w:r>
      <w:r w:rsidR="00D15240">
        <w:t>,</w:t>
      </w:r>
      <w:r w:rsidR="005E3E4B">
        <w:t xml:space="preserve"> born in 1972 and deceased in 2005</w:t>
      </w:r>
      <w:r w:rsidR="00D61036" w:rsidRPr="002E296F">
        <w:t xml:space="preserve">. </w:t>
      </w:r>
      <w:r w:rsidRPr="002E296F">
        <w:t xml:space="preserve">The </w:t>
      </w:r>
      <w:r w:rsidRPr="00633364">
        <w:t>author</w:t>
      </w:r>
      <w:r w:rsidRPr="002E296F">
        <w:t xml:space="preserve"> claims </w:t>
      </w:r>
      <w:r w:rsidR="008D45FA">
        <w:t>that his son was a</w:t>
      </w:r>
      <w:r w:rsidRPr="002E296F">
        <w:t xml:space="preserve"> victim of </w:t>
      </w:r>
      <w:r w:rsidR="00D15240">
        <w:t xml:space="preserve">a </w:t>
      </w:r>
      <w:r w:rsidRPr="002E296F">
        <w:t>violation</w:t>
      </w:r>
      <w:r w:rsidR="00E43F6E" w:rsidRPr="002E296F">
        <w:t xml:space="preserve"> by </w:t>
      </w:r>
      <w:r w:rsidR="008D45FA">
        <w:t>Kyrgyzstan</w:t>
      </w:r>
      <w:r w:rsidRPr="002E296F">
        <w:t xml:space="preserve"> of h</w:t>
      </w:r>
      <w:r w:rsidR="008D45FA">
        <w:t>is</w:t>
      </w:r>
      <w:r w:rsidRPr="002E296F">
        <w:t xml:space="preserve"> rights under</w:t>
      </w:r>
      <w:r w:rsidR="008D45FA">
        <w:t xml:space="preserve"> article</w:t>
      </w:r>
      <w:r w:rsidR="00D15240">
        <w:t>s</w:t>
      </w:r>
      <w:r w:rsidR="008D45FA">
        <w:t xml:space="preserve"> 6 </w:t>
      </w:r>
      <w:r w:rsidR="00D15240">
        <w:t>(</w:t>
      </w:r>
      <w:r w:rsidR="008D45FA">
        <w:t>1</w:t>
      </w:r>
      <w:r w:rsidR="00D15240">
        <w:t>)</w:t>
      </w:r>
      <w:r w:rsidR="008D45FA">
        <w:t xml:space="preserve"> and 7, read separately and in conjunction with article 2 </w:t>
      </w:r>
      <w:r w:rsidR="00D15240">
        <w:t>(</w:t>
      </w:r>
      <w:r w:rsidR="008D45FA">
        <w:t>3</w:t>
      </w:r>
      <w:r w:rsidR="00D15240">
        <w:t>)</w:t>
      </w:r>
      <w:r w:rsidR="008D45FA">
        <w:t>, of the Covenant. The Optional Protocol entered into force for the State party on 7 January 1995</w:t>
      </w:r>
      <w:r w:rsidRPr="00500DB8">
        <w:t xml:space="preserve">. </w:t>
      </w:r>
      <w:r w:rsidRPr="002E296F">
        <w:t>The author is represented by counsel.</w:t>
      </w:r>
    </w:p>
    <w:p w14:paraId="01AE3333" w14:textId="77777777" w:rsidR="004B44C6" w:rsidRPr="002E296F" w:rsidRDefault="004B44C6" w:rsidP="00633364">
      <w:pPr>
        <w:pStyle w:val="H23G"/>
      </w:pPr>
      <w:r w:rsidRPr="002E296F">
        <w:lastRenderedPageBreak/>
        <w:tab/>
      </w:r>
      <w:r w:rsidRPr="002E296F">
        <w:tab/>
        <w:t>The facts as submitted by the author</w:t>
      </w:r>
    </w:p>
    <w:p w14:paraId="12EEE826" w14:textId="77777777" w:rsidR="009A2E7F" w:rsidRDefault="008D45FA">
      <w:pPr>
        <w:pStyle w:val="SingleTxtG"/>
      </w:pPr>
      <w:r w:rsidRPr="009A2E7F">
        <w:t>2.1</w:t>
      </w:r>
      <w:r w:rsidRPr="009A2E7F">
        <w:rPr>
          <w:bCs/>
        </w:rPr>
        <w:tab/>
      </w:r>
      <w:r w:rsidR="004C0910">
        <w:rPr>
          <w:bCs/>
        </w:rPr>
        <w:t>O</w:t>
      </w:r>
      <w:r w:rsidR="009A2E7F" w:rsidRPr="009A2E7F">
        <w:rPr>
          <w:bCs/>
        </w:rPr>
        <w:t xml:space="preserve">n </w:t>
      </w:r>
      <w:r>
        <w:t>3 May 2005,</w:t>
      </w:r>
      <w:r w:rsidR="009A2E7F">
        <w:t xml:space="preserve"> at approximately 9</w:t>
      </w:r>
      <w:r w:rsidR="00D15240">
        <w:t>.</w:t>
      </w:r>
      <w:r w:rsidR="009A2E7F">
        <w:t>10 a.m., a police</w:t>
      </w:r>
      <w:r w:rsidR="004C0910">
        <w:t>man</w:t>
      </w:r>
      <w:r w:rsidR="009A2E7F">
        <w:t xml:space="preserve"> later identified as </w:t>
      </w:r>
      <w:r w:rsidR="000B0E72">
        <w:t xml:space="preserve">officer </w:t>
      </w:r>
      <w:r w:rsidR="009A2E7F">
        <w:t>N.T</w:t>
      </w:r>
      <w:r w:rsidR="00B65FE9">
        <w:t>.</w:t>
      </w:r>
      <w:r w:rsidR="009A2E7F">
        <w:t xml:space="preserve">, arrived at the </w:t>
      </w:r>
      <w:r w:rsidR="00B46F26">
        <w:t>Akmatov</w:t>
      </w:r>
      <w:r w:rsidR="009A2E7F">
        <w:t xml:space="preserve"> home. The officer told </w:t>
      </w:r>
      <w:r w:rsidR="000B0E72">
        <w:t>Turdubek</w:t>
      </w:r>
      <w:r w:rsidR="009A2E7F">
        <w:t xml:space="preserve"> Akmatov that he was being summoned to the police station</w:t>
      </w:r>
      <w:r>
        <w:t xml:space="preserve"> in </w:t>
      </w:r>
      <w:r w:rsidR="00D15240">
        <w:t xml:space="preserve">the village of </w:t>
      </w:r>
      <w:r>
        <w:t xml:space="preserve">Mirza-Aki. Starting </w:t>
      </w:r>
      <w:r w:rsidR="00D15240">
        <w:t xml:space="preserve">at </w:t>
      </w:r>
      <w:r>
        <w:t>9</w:t>
      </w:r>
      <w:r w:rsidR="00D15240">
        <w:t>.</w:t>
      </w:r>
      <w:r>
        <w:t>30</w:t>
      </w:r>
      <w:r w:rsidR="0003389B">
        <w:t xml:space="preserve"> a.m.</w:t>
      </w:r>
      <w:r>
        <w:t xml:space="preserve"> that </w:t>
      </w:r>
      <w:r w:rsidR="00D15240">
        <w:t>day</w:t>
      </w:r>
      <w:r>
        <w:t xml:space="preserve">, </w:t>
      </w:r>
      <w:r w:rsidR="007A5C99">
        <w:t xml:space="preserve">Mr. </w:t>
      </w:r>
      <w:r w:rsidR="000B0E72">
        <w:t>Akmatov</w:t>
      </w:r>
      <w:r>
        <w:t xml:space="preserve"> was detained at the </w:t>
      </w:r>
      <w:r w:rsidR="0003389B">
        <w:t xml:space="preserve">police </w:t>
      </w:r>
      <w:r>
        <w:t>station without</w:t>
      </w:r>
      <w:r w:rsidR="00B46F26">
        <w:t xml:space="preserve"> being</w:t>
      </w:r>
      <w:r>
        <w:t xml:space="preserve"> cha</w:t>
      </w:r>
      <w:r w:rsidR="009A2E7F">
        <w:t>rge</w:t>
      </w:r>
      <w:r w:rsidR="00B46F26">
        <w:t>d</w:t>
      </w:r>
      <w:r w:rsidR="009A2E7F">
        <w:t xml:space="preserve"> for approximately </w:t>
      </w:r>
      <w:r w:rsidR="00D15240">
        <w:t xml:space="preserve">10 </w:t>
      </w:r>
      <w:r w:rsidR="009A2E7F">
        <w:t>hours. The duration of the detention is confirmed by the initial testimony of t</w:t>
      </w:r>
      <w:r w:rsidR="004C0910">
        <w:t xml:space="preserve">he </w:t>
      </w:r>
      <w:r w:rsidR="009A2E7F">
        <w:t>duty officer at the police station, M.E</w:t>
      </w:r>
      <w:r w:rsidR="00633364">
        <w:t>.</w:t>
      </w:r>
      <w:r w:rsidR="009A2E7F">
        <w:rPr>
          <w:rStyle w:val="FootnoteReference"/>
        </w:rPr>
        <w:footnoteReference w:id="3"/>
      </w:r>
    </w:p>
    <w:p w14:paraId="724CAB42" w14:textId="77777777" w:rsidR="000B0E72" w:rsidRDefault="009A2E7F" w:rsidP="007A5C99">
      <w:pPr>
        <w:pStyle w:val="SingleTxtG"/>
      </w:pPr>
      <w:r>
        <w:t>2.2</w:t>
      </w:r>
      <w:r>
        <w:tab/>
        <w:t>The author submits that d</w:t>
      </w:r>
      <w:r w:rsidR="008D45FA">
        <w:t xml:space="preserve">uring </w:t>
      </w:r>
      <w:r>
        <w:t xml:space="preserve">the </w:t>
      </w:r>
      <w:r w:rsidR="00D15240">
        <w:t xml:space="preserve">10 </w:t>
      </w:r>
      <w:r>
        <w:t xml:space="preserve">hours </w:t>
      </w:r>
      <w:r w:rsidR="00D15240">
        <w:t xml:space="preserve">that </w:t>
      </w:r>
      <w:r>
        <w:t>his son was in detention,</w:t>
      </w:r>
      <w:r w:rsidR="008D45FA">
        <w:t xml:space="preserve"> a group of six police officers questioned him about an alleged theft</w:t>
      </w:r>
      <w:r w:rsidR="00B46F26">
        <w:t xml:space="preserve"> that</w:t>
      </w:r>
      <w:r w:rsidR="00C32753">
        <w:t xml:space="preserve"> had</w:t>
      </w:r>
      <w:r w:rsidR="00B46F26">
        <w:t xml:space="preserve"> </w:t>
      </w:r>
      <w:r w:rsidR="00BC3B2B">
        <w:t xml:space="preserve">taken place </w:t>
      </w:r>
      <w:r w:rsidR="00B46F26">
        <w:t xml:space="preserve">in </w:t>
      </w:r>
      <w:r w:rsidR="00C32753">
        <w:t>Mirza-Aki</w:t>
      </w:r>
      <w:r w:rsidR="00B46F26">
        <w:t xml:space="preserve">. </w:t>
      </w:r>
      <w:r w:rsidR="00B36AD3">
        <w:t>During the</w:t>
      </w:r>
      <w:r w:rsidR="00B46F26">
        <w:t xml:space="preserve"> questioning, the </w:t>
      </w:r>
      <w:r w:rsidR="00C32753">
        <w:t>victim received</w:t>
      </w:r>
      <w:r w:rsidR="00B46F26">
        <w:t xml:space="preserve"> a </w:t>
      </w:r>
      <w:r w:rsidR="008D45FA">
        <w:t>severe beating</w:t>
      </w:r>
      <w:r w:rsidR="00B46F26">
        <w:t xml:space="preserve"> </w:t>
      </w:r>
      <w:r w:rsidR="00C32753">
        <w:t>from the officers, who inflicted</w:t>
      </w:r>
      <w:r w:rsidR="008D45FA">
        <w:t xml:space="preserve"> blows to his head and body.</w:t>
      </w:r>
      <w:r w:rsidR="00D840CD">
        <w:t xml:space="preserve"> Officer M.E. witnessed officer N.T. kicking </w:t>
      </w:r>
      <w:r w:rsidR="007A5C99">
        <w:t xml:space="preserve">Mr. </w:t>
      </w:r>
      <w:r w:rsidR="00D840CD">
        <w:t xml:space="preserve">Akmatov in the kidneys and ribs, and told him to stop </w:t>
      </w:r>
      <w:r w:rsidR="00B36AD3">
        <w:t xml:space="preserve">the </w:t>
      </w:r>
      <w:r w:rsidR="00D840CD">
        <w:t xml:space="preserve">beating. Officer M.E. then left the police station, </w:t>
      </w:r>
      <w:r w:rsidR="00BC3B2B">
        <w:t xml:space="preserve">where he </w:t>
      </w:r>
      <w:r w:rsidR="00D840CD">
        <w:t>return</w:t>
      </w:r>
      <w:r w:rsidR="006C6862">
        <w:t>ed</w:t>
      </w:r>
      <w:r w:rsidR="00D840CD">
        <w:t xml:space="preserve"> at approximately </w:t>
      </w:r>
      <w:r w:rsidR="007B793D">
        <w:t>3</w:t>
      </w:r>
      <w:r w:rsidR="000B0E72">
        <w:t xml:space="preserve"> p.m.</w:t>
      </w:r>
      <w:r w:rsidR="00D840CD">
        <w:t xml:space="preserve"> He again witnessed officer N.T. beating </w:t>
      </w:r>
      <w:r w:rsidR="007A5C99">
        <w:t xml:space="preserve">Mr. </w:t>
      </w:r>
      <w:r w:rsidR="00D840CD">
        <w:t>Akmatov</w:t>
      </w:r>
      <w:r w:rsidR="00BC3B2B">
        <w:t>,</w:t>
      </w:r>
      <w:r w:rsidR="00D840CD">
        <w:t xml:space="preserve"> who collapsed on the floor</w:t>
      </w:r>
      <w:r w:rsidR="00633364">
        <w:t>.</w:t>
      </w:r>
      <w:r w:rsidR="00860115">
        <w:rPr>
          <w:rStyle w:val="FootnoteReference"/>
        </w:rPr>
        <w:footnoteReference w:id="4"/>
      </w:r>
      <w:r w:rsidR="00D840CD">
        <w:t xml:space="preserve"> </w:t>
      </w:r>
    </w:p>
    <w:p w14:paraId="0252EF54" w14:textId="77777777" w:rsidR="000B0E72" w:rsidRDefault="000B0E72" w:rsidP="007A5C99">
      <w:pPr>
        <w:pStyle w:val="SingleTxtG"/>
      </w:pPr>
      <w:r>
        <w:t>2.3</w:t>
      </w:r>
      <w:r>
        <w:tab/>
      </w:r>
      <w:r w:rsidR="004C0910">
        <w:t>B</w:t>
      </w:r>
      <w:r>
        <w:t xml:space="preserve">etween </w:t>
      </w:r>
      <w:r w:rsidR="007B793D">
        <w:t>5 and 6</w:t>
      </w:r>
      <w:r>
        <w:t xml:space="preserve"> p.m., while Turdubek Akmatov was still detained, </w:t>
      </w:r>
      <w:r w:rsidR="004C0910">
        <w:t>t</w:t>
      </w:r>
      <w:r>
        <w:t>he</w:t>
      </w:r>
      <w:r w:rsidR="004C0910">
        <w:t xml:space="preserve"> author</w:t>
      </w:r>
      <w:r>
        <w:t xml:space="preserve"> was approached by a man who was later identified as officer </w:t>
      </w:r>
      <w:r w:rsidR="0071681F">
        <w:t>Z</w:t>
      </w:r>
      <w:r>
        <w:t>.T. Th</w:t>
      </w:r>
      <w:r w:rsidR="007B793D">
        <w:t>e</w:t>
      </w:r>
      <w:r>
        <w:t xml:space="preserve"> officer informed h</w:t>
      </w:r>
      <w:r w:rsidR="004C0910">
        <w:t>im</w:t>
      </w:r>
      <w:r>
        <w:t xml:space="preserve"> that his son</w:t>
      </w:r>
      <w:r w:rsidR="004C0910">
        <w:t xml:space="preserve"> </w:t>
      </w:r>
      <w:r>
        <w:t xml:space="preserve">was at the Mirza-Aki police station giving a deposition </w:t>
      </w:r>
      <w:r w:rsidR="00EE1EA4">
        <w:t>regarding</w:t>
      </w:r>
      <w:r>
        <w:t xml:space="preserve"> a complaint</w:t>
      </w:r>
      <w:r w:rsidR="00B46F26">
        <w:t xml:space="preserve"> of theft </w:t>
      </w:r>
      <w:r>
        <w:t xml:space="preserve">filed against him. </w:t>
      </w:r>
    </w:p>
    <w:p w14:paraId="42B40FCE" w14:textId="77777777" w:rsidR="00860115" w:rsidRDefault="000B0E72" w:rsidP="00B36AD3">
      <w:pPr>
        <w:pStyle w:val="SingleTxtG"/>
      </w:pPr>
      <w:r>
        <w:t>2.</w:t>
      </w:r>
      <w:r w:rsidR="00860115">
        <w:t>4</w:t>
      </w:r>
      <w:r>
        <w:tab/>
      </w:r>
      <w:r w:rsidR="002E6A74">
        <w:rPr>
          <w:lang w:bidi="he-IL"/>
        </w:rPr>
        <w:t xml:space="preserve">On </w:t>
      </w:r>
      <w:r w:rsidR="002E6A74">
        <w:t>the same evening</w:t>
      </w:r>
      <w:r w:rsidR="002E6A74">
        <w:rPr>
          <w:lang w:bidi="he-IL"/>
        </w:rPr>
        <w:t>, a</w:t>
      </w:r>
      <w:r w:rsidR="007B793D">
        <w:t>t approximately 7</w:t>
      </w:r>
      <w:r w:rsidR="00EE1EA4">
        <w:t>.</w:t>
      </w:r>
      <w:r w:rsidR="007B793D">
        <w:t>30</w:t>
      </w:r>
      <w:r w:rsidR="00EE1EA4">
        <w:t xml:space="preserve"> </w:t>
      </w:r>
      <w:r w:rsidR="007B793D">
        <w:t>p</w:t>
      </w:r>
      <w:r w:rsidR="00EE1EA4">
        <w:t>.</w:t>
      </w:r>
      <w:r w:rsidR="007B793D">
        <w:t>m</w:t>
      </w:r>
      <w:r w:rsidR="00EE1EA4">
        <w:t>.</w:t>
      </w:r>
      <w:r w:rsidR="002E6A74">
        <w:rPr>
          <w:lang w:bidi="he-IL"/>
        </w:rPr>
        <w:t>,</w:t>
      </w:r>
      <w:r w:rsidR="007B793D">
        <w:t xml:space="preserve"> </w:t>
      </w:r>
      <w:r>
        <w:t>Turdubek Akmatov</w:t>
      </w:r>
      <w:r w:rsidR="007B793D">
        <w:t xml:space="preserve"> was released</w:t>
      </w:r>
      <w:r w:rsidR="00EE1EA4">
        <w:t>,</w:t>
      </w:r>
      <w:r w:rsidR="007B793D">
        <w:t xml:space="preserve"> </w:t>
      </w:r>
      <w:r w:rsidR="00EE1EA4">
        <w:t xml:space="preserve">at which point </w:t>
      </w:r>
      <w:r w:rsidR="008D45FA">
        <w:t>he returned to his family home. He to</w:t>
      </w:r>
      <w:r w:rsidR="00EE1EA4">
        <w:t>ld</w:t>
      </w:r>
      <w:r w:rsidR="008D45FA">
        <w:t xml:space="preserve"> his family that he had been beaten </w:t>
      </w:r>
      <w:r w:rsidR="00B46F26">
        <w:t xml:space="preserve">during </w:t>
      </w:r>
      <w:r w:rsidR="00EE1EA4">
        <w:t xml:space="preserve">an </w:t>
      </w:r>
      <w:r w:rsidR="008D45FA">
        <w:t>interrogat</w:t>
      </w:r>
      <w:r w:rsidR="00B46F26">
        <w:t>ion</w:t>
      </w:r>
      <w:r w:rsidR="008D45FA">
        <w:t xml:space="preserve"> by six police officers</w:t>
      </w:r>
      <w:r w:rsidR="00B46F26">
        <w:t xml:space="preserve"> who were</w:t>
      </w:r>
      <w:r w:rsidR="008D45FA">
        <w:t xml:space="preserve"> </w:t>
      </w:r>
      <w:r w:rsidR="00B46F26">
        <w:t>led</w:t>
      </w:r>
      <w:r w:rsidR="008D45FA">
        <w:t xml:space="preserve"> by someone called Z</w:t>
      </w:r>
      <w:r w:rsidR="00074EEA">
        <w:t xml:space="preserve">.T. </w:t>
      </w:r>
      <w:r w:rsidR="008D45FA">
        <w:t xml:space="preserve">Shortly </w:t>
      </w:r>
      <w:r w:rsidR="00EE1EA4">
        <w:t>there</w:t>
      </w:r>
      <w:r w:rsidR="008D45FA">
        <w:t>after, he fell to the ground as blood poured from his mouth, ears and nose</w:t>
      </w:r>
      <w:r w:rsidR="0011541B">
        <w:t xml:space="preserve">. </w:t>
      </w:r>
      <w:r w:rsidR="00E874F8">
        <w:t>L</w:t>
      </w:r>
      <w:r w:rsidR="008D45FA">
        <w:t xml:space="preserve">ater </w:t>
      </w:r>
      <w:r w:rsidR="00EE1EA4">
        <w:t>that</w:t>
      </w:r>
      <w:r w:rsidR="00E874F8">
        <w:t xml:space="preserve"> </w:t>
      </w:r>
      <w:r w:rsidR="008D45FA">
        <w:t xml:space="preserve">evening, </w:t>
      </w:r>
      <w:r w:rsidR="00EE1EA4">
        <w:t>he</w:t>
      </w:r>
      <w:r w:rsidR="00E874F8">
        <w:t xml:space="preserve"> </w:t>
      </w:r>
      <w:r w:rsidR="008D45FA">
        <w:t>died</w:t>
      </w:r>
      <w:r w:rsidR="00860115">
        <w:t>.</w:t>
      </w:r>
    </w:p>
    <w:p w14:paraId="10CF24B6" w14:textId="77777777" w:rsidR="003B4974" w:rsidRDefault="00860115" w:rsidP="00C5122C">
      <w:pPr>
        <w:pStyle w:val="SingleTxtG"/>
      </w:pPr>
      <w:r>
        <w:t>2.5</w:t>
      </w:r>
      <w:r>
        <w:tab/>
        <w:t xml:space="preserve">On 4 May 2005, </w:t>
      </w:r>
      <w:r w:rsidRPr="00B36AD3">
        <w:t xml:space="preserve">the </w:t>
      </w:r>
      <w:r w:rsidRPr="00262F97">
        <w:t xml:space="preserve">Uzgen </w:t>
      </w:r>
      <w:r w:rsidR="003A3E0C" w:rsidRPr="00262F97">
        <w:t>inter</w:t>
      </w:r>
      <w:r w:rsidRPr="00262F97">
        <w:t>-district prosecutor’s office</w:t>
      </w:r>
      <w:r w:rsidRPr="00B36AD3">
        <w:t xml:space="preserve"> ordered</w:t>
      </w:r>
      <w:r>
        <w:t xml:space="preserve"> an autopsy, which was performed that same day. Th</w:t>
      </w:r>
      <w:r w:rsidR="00EE1EA4">
        <w:t>e</w:t>
      </w:r>
      <w:r>
        <w:t xml:space="preserve"> autopsy revealed numerous bruises, lacerations and abrasions</w:t>
      </w:r>
      <w:r w:rsidR="00007679">
        <w:t xml:space="preserve"> to the head, chest and fingers</w:t>
      </w:r>
      <w:r w:rsidR="0011541B">
        <w:t xml:space="preserve"> of Mr. Akmatov</w:t>
      </w:r>
      <w:r w:rsidR="00007679">
        <w:t xml:space="preserve">. It also revealed serious injuries to the brain, lung, kidneys and spleen. It </w:t>
      </w:r>
      <w:r w:rsidR="00EE1EA4">
        <w:t xml:space="preserve">was </w:t>
      </w:r>
      <w:r w:rsidR="006F0C0B">
        <w:t xml:space="preserve">specified that </w:t>
      </w:r>
      <w:r w:rsidR="00007679">
        <w:t xml:space="preserve">the injuries </w:t>
      </w:r>
      <w:r w:rsidR="006F0C0B">
        <w:t>could have been caused by</w:t>
      </w:r>
      <w:r w:rsidR="00007679">
        <w:t xml:space="preserve"> “blunt, hard objects”. Th</w:t>
      </w:r>
      <w:r w:rsidR="00EE1EA4">
        <w:t>os</w:t>
      </w:r>
      <w:r w:rsidR="00007679">
        <w:t xml:space="preserve">e </w:t>
      </w:r>
      <w:r w:rsidR="00EE1EA4">
        <w:t xml:space="preserve">carrying out the </w:t>
      </w:r>
      <w:r w:rsidR="00007679">
        <w:t>examination concluded that the direct cause of death was haemorrhaging beneath the brain tunic and cerebellum tissues</w:t>
      </w:r>
      <w:r w:rsidR="00EE1EA4">
        <w:t xml:space="preserve"> and</w:t>
      </w:r>
      <w:r w:rsidR="00007679">
        <w:t xml:space="preserve"> that the injuries were caused by blunt</w:t>
      </w:r>
      <w:r w:rsidR="00B36AD3">
        <w:t>,</w:t>
      </w:r>
      <w:r w:rsidR="00007679">
        <w:t xml:space="preserve"> hard objects “shortly before death”</w:t>
      </w:r>
      <w:r w:rsidR="00633364">
        <w:t>.</w:t>
      </w:r>
      <w:r w:rsidR="00007679">
        <w:rPr>
          <w:rStyle w:val="FootnoteReference"/>
        </w:rPr>
        <w:footnoteReference w:id="5"/>
      </w:r>
      <w:r w:rsidR="00007679">
        <w:t xml:space="preserve"> </w:t>
      </w:r>
    </w:p>
    <w:p w14:paraId="75C0208C" w14:textId="77777777" w:rsidR="008D45FA" w:rsidRDefault="008D45FA" w:rsidP="00B951F2">
      <w:pPr>
        <w:pStyle w:val="SingleTxtG"/>
      </w:pPr>
      <w:r>
        <w:lastRenderedPageBreak/>
        <w:t>2.</w:t>
      </w:r>
      <w:r w:rsidR="00007679">
        <w:t>6</w:t>
      </w:r>
      <w:r>
        <w:tab/>
      </w:r>
      <w:r w:rsidR="00007679">
        <w:t>The author submits that</w:t>
      </w:r>
      <w:r w:rsidR="00512AD3">
        <w:t>,</w:t>
      </w:r>
      <w:r w:rsidR="00007679">
        <w:t xml:space="preserve"> d</w:t>
      </w:r>
      <w:r>
        <w:t xml:space="preserve">espite this physical evidence and </w:t>
      </w:r>
      <w:r w:rsidR="00B36AD3">
        <w:t xml:space="preserve">despite </w:t>
      </w:r>
      <w:r>
        <w:t xml:space="preserve">requests by the victim’s family for an investigation, the police and prosecution failed to conduct a thorough and impartial criminal investigation. The police went to the family’s home on 4 May 2005, led by </w:t>
      </w:r>
      <w:r w:rsidR="00EB42AD">
        <w:t xml:space="preserve">Z.T., </w:t>
      </w:r>
      <w:r>
        <w:t>the officer who</w:t>
      </w:r>
      <w:r w:rsidR="00EB42AD">
        <w:t>m</w:t>
      </w:r>
      <w:r>
        <w:t xml:space="preserve"> the victim claimed orchestrated the beatings</w:t>
      </w:r>
      <w:r w:rsidR="00074EEA">
        <w:t xml:space="preserve">, </w:t>
      </w:r>
      <w:r>
        <w:t>and then waited 21 days before</w:t>
      </w:r>
      <w:r w:rsidR="00B36AD3">
        <w:t xml:space="preserve"> officially launching</w:t>
      </w:r>
      <w:r>
        <w:t xml:space="preserve"> </w:t>
      </w:r>
      <w:r w:rsidR="00CF6F0B">
        <w:t xml:space="preserve">the investigation. </w:t>
      </w:r>
      <w:r>
        <w:t xml:space="preserve">On 6 May 2005, the author </w:t>
      </w:r>
      <w:r w:rsidR="00A90F1A">
        <w:t xml:space="preserve">petitioned </w:t>
      </w:r>
      <w:r>
        <w:t xml:space="preserve">the </w:t>
      </w:r>
      <w:r w:rsidRPr="00262F97">
        <w:t xml:space="preserve">Uzgen </w:t>
      </w:r>
      <w:r w:rsidR="00B951F2">
        <w:t>inter</w:t>
      </w:r>
      <w:r w:rsidR="00CF6F0B" w:rsidRPr="00262F97">
        <w:t>-</w:t>
      </w:r>
      <w:r w:rsidRPr="00262F97">
        <w:t xml:space="preserve">district </w:t>
      </w:r>
      <w:r w:rsidR="00CF6F0B" w:rsidRPr="00262F97">
        <w:t>p</w:t>
      </w:r>
      <w:r w:rsidRPr="00262F97">
        <w:t xml:space="preserve">rosecutor’s </w:t>
      </w:r>
      <w:r w:rsidR="00CF6F0B" w:rsidRPr="00262F97">
        <w:t>o</w:t>
      </w:r>
      <w:r w:rsidRPr="00262F97">
        <w:t>ffice</w:t>
      </w:r>
      <w:r>
        <w:t xml:space="preserve"> and the </w:t>
      </w:r>
      <w:r w:rsidR="00CF6F0B">
        <w:t>c</w:t>
      </w:r>
      <w:r>
        <w:t xml:space="preserve">hief </w:t>
      </w:r>
      <w:r w:rsidR="00CF6F0B">
        <w:t>e</w:t>
      </w:r>
      <w:r>
        <w:t>xecutive of</w:t>
      </w:r>
      <w:r w:rsidR="00CF6F0B">
        <w:t xml:space="preserve"> </w:t>
      </w:r>
      <w:r>
        <w:t xml:space="preserve">Uzgen </w:t>
      </w:r>
      <w:r w:rsidR="00CF6F0B">
        <w:t>d</w:t>
      </w:r>
      <w:r>
        <w:t xml:space="preserve">istrict to investigate the death of </w:t>
      </w:r>
      <w:r w:rsidR="00CF6F0B">
        <w:t>his son</w:t>
      </w:r>
      <w:r>
        <w:t xml:space="preserve">. On 25 May 2005, he </w:t>
      </w:r>
      <w:r w:rsidR="00AF0BDD">
        <w:t xml:space="preserve">complained </w:t>
      </w:r>
      <w:r>
        <w:t>to the President of Kyrgyz</w:t>
      </w:r>
      <w:r w:rsidR="00EB42AD">
        <w:t>stan</w:t>
      </w:r>
      <w:r>
        <w:t xml:space="preserve">, </w:t>
      </w:r>
      <w:r w:rsidR="00AF0BDD">
        <w:t xml:space="preserve">noting </w:t>
      </w:r>
      <w:r>
        <w:t xml:space="preserve">that the law enforcement authorities had failed to prosecute and punish those responsible for his son’s death despite having </w:t>
      </w:r>
      <w:r w:rsidRPr="00D931C7">
        <w:rPr>
          <w:iCs/>
        </w:rPr>
        <w:t>“brought this matter to all levels”</w:t>
      </w:r>
      <w:r w:rsidRPr="00D931C7">
        <w:t>.</w:t>
      </w:r>
      <w:r>
        <w:t xml:space="preserve"> According to Kyrgyz law, manslaughter investigations shall be completed within two months</w:t>
      </w:r>
      <w:r w:rsidR="00CF6F0B">
        <w:t>,</w:t>
      </w:r>
      <w:r>
        <w:t xml:space="preserve"> but, on 18 July 2005, the investigation period was extended </w:t>
      </w:r>
      <w:r w:rsidR="00B951F2">
        <w:t xml:space="preserve">for </w:t>
      </w:r>
      <w:r>
        <w:t>an additional three months by</w:t>
      </w:r>
      <w:r w:rsidR="00AF0BDD">
        <w:t xml:space="preserve"> </w:t>
      </w:r>
      <w:r w:rsidR="002E6A74">
        <w:rPr>
          <w:lang w:bidi="he-IL"/>
        </w:rPr>
        <w:t xml:space="preserve">a </w:t>
      </w:r>
      <w:r w:rsidR="00CF6F0B">
        <w:t xml:space="preserve">decision of </w:t>
      </w:r>
      <w:r w:rsidR="00F955AF">
        <w:t>a</w:t>
      </w:r>
      <w:r>
        <w:t xml:space="preserve"> </w:t>
      </w:r>
      <w:r w:rsidR="00CF6F0B">
        <w:t>p</w:t>
      </w:r>
      <w:r>
        <w:t>rosecutor.</w:t>
      </w:r>
    </w:p>
    <w:p w14:paraId="66AD912B" w14:textId="77777777" w:rsidR="00CF6F0B" w:rsidRDefault="00A90F1A" w:rsidP="00262F97">
      <w:pPr>
        <w:pStyle w:val="SingleTxtG"/>
      </w:pPr>
      <w:r>
        <w:t>2.7</w:t>
      </w:r>
      <w:r>
        <w:tab/>
      </w:r>
      <w:r w:rsidR="008D45FA">
        <w:t xml:space="preserve">On 4 August 2005, the author sent a complaint to the Ministry of Internal Affairs requesting that steps be taken with respect to the police </w:t>
      </w:r>
      <w:r w:rsidR="00B36AD3">
        <w:t xml:space="preserve">officers </w:t>
      </w:r>
      <w:r w:rsidR="008D45FA">
        <w:t>believed to have taken part in the torture of his son. On 10 August 2005, the Ministry issued a report responding to the author’s complaint</w:t>
      </w:r>
      <w:r w:rsidR="002C39DF">
        <w:t xml:space="preserve"> and</w:t>
      </w:r>
      <w:r w:rsidR="008D45FA">
        <w:t xml:space="preserve"> recommending</w:t>
      </w:r>
      <w:r w:rsidR="001D7067" w:rsidRPr="00810D8A">
        <w:t xml:space="preserve"> </w:t>
      </w:r>
      <w:r w:rsidR="008D45FA">
        <w:t>that the investigation against the police</w:t>
      </w:r>
      <w:r w:rsidR="00CF6F0B">
        <w:t xml:space="preserve"> officers</w:t>
      </w:r>
      <w:r w:rsidR="008D45FA">
        <w:t xml:space="preserve"> be closed since </w:t>
      </w:r>
      <w:r w:rsidR="008D45FA" w:rsidRPr="00A90F1A">
        <w:rPr>
          <w:iCs/>
        </w:rPr>
        <w:t>“</w:t>
      </w:r>
      <w:r>
        <w:rPr>
          <w:iCs/>
        </w:rPr>
        <w:t>q</w:t>
      </w:r>
      <w:r w:rsidR="008D45FA" w:rsidRPr="00A90F1A">
        <w:rPr>
          <w:iCs/>
        </w:rPr>
        <w:t xml:space="preserve">uestioning of police personnel at the Mirza-Aki </w:t>
      </w:r>
      <w:r>
        <w:rPr>
          <w:iCs/>
        </w:rPr>
        <w:t>police district</w:t>
      </w:r>
      <w:r w:rsidR="008D45FA" w:rsidRPr="00A90F1A">
        <w:rPr>
          <w:iCs/>
        </w:rPr>
        <w:t xml:space="preserve"> established that the beating and infliction of bodily injury on T. Akmatov were impossible”</w:t>
      </w:r>
      <w:r w:rsidR="001E75C1">
        <w:rPr>
          <w:iCs/>
        </w:rPr>
        <w:t>,</w:t>
      </w:r>
      <w:r w:rsidR="008D45FA">
        <w:t xml:space="preserve"> without providing any further reasoning or explanation. </w:t>
      </w:r>
    </w:p>
    <w:p w14:paraId="2BA717A2" w14:textId="77777777" w:rsidR="008D45FA" w:rsidRDefault="00CF6F0B" w:rsidP="00B36AD3">
      <w:pPr>
        <w:pStyle w:val="SingleTxtG"/>
      </w:pPr>
      <w:r>
        <w:t>2.8</w:t>
      </w:r>
      <w:r>
        <w:tab/>
      </w:r>
      <w:r w:rsidR="008D45FA">
        <w:t xml:space="preserve">On 22 August 2005, </w:t>
      </w:r>
      <w:r w:rsidR="008D45FA" w:rsidRPr="00262F97">
        <w:t xml:space="preserve">the Osh </w:t>
      </w:r>
      <w:r w:rsidRPr="00262F97">
        <w:t>region</w:t>
      </w:r>
      <w:r w:rsidR="00F955AF" w:rsidRPr="00262F97">
        <w:t>al</w:t>
      </w:r>
      <w:r w:rsidR="008D45FA" w:rsidRPr="00262F97">
        <w:t xml:space="preserve"> </w:t>
      </w:r>
      <w:r w:rsidRPr="00262F97">
        <w:t>p</w:t>
      </w:r>
      <w:r w:rsidR="008D45FA" w:rsidRPr="00262F97">
        <w:t xml:space="preserve">rosecutor’s </w:t>
      </w:r>
      <w:r w:rsidRPr="00262F97">
        <w:t>o</w:t>
      </w:r>
      <w:r w:rsidR="008D45FA" w:rsidRPr="00262F97">
        <w:t>ffice extended</w:t>
      </w:r>
      <w:r w:rsidR="008D45FA">
        <w:t xml:space="preserve"> the investigation period for an additional four months and ordered an additional medical</w:t>
      </w:r>
      <w:r w:rsidR="00F955AF">
        <w:t xml:space="preserve"> forensic</w:t>
      </w:r>
      <w:r w:rsidR="008D45FA">
        <w:t xml:space="preserve"> examination. On 23 September 2005, the supplemental conclusions of the medical </w:t>
      </w:r>
      <w:r w:rsidR="00F955AF">
        <w:t xml:space="preserve">forensic </w:t>
      </w:r>
      <w:r w:rsidR="008D45FA">
        <w:t xml:space="preserve">review confirmed the injuries identified in the first examination, </w:t>
      </w:r>
      <w:r w:rsidR="00EB42AD">
        <w:t>but did not rule out</w:t>
      </w:r>
      <w:r w:rsidR="008D45FA">
        <w:t xml:space="preserve"> the possibility that the victim ha</w:t>
      </w:r>
      <w:r w:rsidR="00EB42AD">
        <w:t>d</w:t>
      </w:r>
      <w:r w:rsidR="008D45FA">
        <w:t xml:space="preserve"> </w:t>
      </w:r>
      <w:r w:rsidR="00F955AF">
        <w:t xml:space="preserve">obtained </w:t>
      </w:r>
      <w:r w:rsidR="008D45FA">
        <w:t xml:space="preserve">such injuries by falling down the stairs. On 24 September 2005, </w:t>
      </w:r>
      <w:r w:rsidR="008D45FA" w:rsidRPr="00262F97">
        <w:t>the Uzgen</w:t>
      </w:r>
      <w:r w:rsidRPr="00262F97">
        <w:t xml:space="preserve"> district</w:t>
      </w:r>
      <w:r w:rsidR="008D45FA" w:rsidRPr="00262F97">
        <w:t xml:space="preserve"> </w:t>
      </w:r>
      <w:r w:rsidRPr="00262F97">
        <w:t>p</w:t>
      </w:r>
      <w:r w:rsidR="008D45FA" w:rsidRPr="00262F97">
        <w:t xml:space="preserve">rosecutor’s </w:t>
      </w:r>
      <w:r w:rsidRPr="00262F97">
        <w:t>o</w:t>
      </w:r>
      <w:r w:rsidR="008D45FA" w:rsidRPr="00262F97">
        <w:t>ffice</w:t>
      </w:r>
      <w:r w:rsidR="008D45FA">
        <w:t xml:space="preserve"> decided to suspend the investigation because it could not identify </w:t>
      </w:r>
      <w:r w:rsidR="00EB42AD">
        <w:t>those</w:t>
      </w:r>
      <w:r w:rsidR="008D45FA">
        <w:t xml:space="preserve"> responsible.</w:t>
      </w:r>
    </w:p>
    <w:p w14:paraId="444262BD" w14:textId="77777777" w:rsidR="008D45FA" w:rsidRDefault="00A90F1A" w:rsidP="00B666F6">
      <w:pPr>
        <w:pStyle w:val="SingleTxtG"/>
      </w:pPr>
      <w:r>
        <w:t>2.</w:t>
      </w:r>
      <w:r w:rsidR="00CF6F0B">
        <w:t>9</w:t>
      </w:r>
      <w:r>
        <w:tab/>
      </w:r>
      <w:r w:rsidR="008D45FA">
        <w:t xml:space="preserve">On 20 April 2006, the </w:t>
      </w:r>
      <w:r w:rsidR="001E75C1">
        <w:t>p</w:t>
      </w:r>
      <w:r w:rsidR="008D45FA">
        <w:t xml:space="preserve">rosecutor’s </w:t>
      </w:r>
      <w:r w:rsidR="001E75C1">
        <w:t>o</w:t>
      </w:r>
      <w:r w:rsidR="008D45FA">
        <w:t xml:space="preserve">ffice requested the exhumation of the body and scheduled a </w:t>
      </w:r>
      <w:r w:rsidR="00F955AF">
        <w:t xml:space="preserve">medical </w:t>
      </w:r>
      <w:r w:rsidR="008D45FA">
        <w:t xml:space="preserve">forensic </w:t>
      </w:r>
      <w:r w:rsidR="001E75C1">
        <w:t xml:space="preserve">examination </w:t>
      </w:r>
      <w:r w:rsidR="008D45FA">
        <w:t xml:space="preserve">by a commission of experts. On 12 August 2006, the experts agreed that most of the injuries </w:t>
      </w:r>
      <w:r w:rsidR="00EB42AD">
        <w:t xml:space="preserve">had been </w:t>
      </w:r>
      <w:r w:rsidR="008D45FA">
        <w:t>caused by blunt</w:t>
      </w:r>
      <w:r w:rsidR="00B666F6">
        <w:t>,</w:t>
      </w:r>
      <w:r w:rsidR="004E77AA">
        <w:t xml:space="preserve"> </w:t>
      </w:r>
      <w:r w:rsidR="008D45FA">
        <w:t>hard objects</w:t>
      </w:r>
      <w:r w:rsidR="00EB42AD">
        <w:t>,</w:t>
      </w:r>
      <w:r w:rsidR="008D45FA">
        <w:t xml:space="preserve"> </w:t>
      </w:r>
      <w:r w:rsidR="001E75C1">
        <w:t>but did not</w:t>
      </w:r>
      <w:r w:rsidR="008D45FA">
        <w:t xml:space="preserve"> exclude the possibility of a fall. On 27 December 2006, the </w:t>
      </w:r>
      <w:r w:rsidR="002B605A" w:rsidRPr="00B666F6">
        <w:t>D</w:t>
      </w:r>
      <w:r w:rsidR="008D45FA" w:rsidRPr="002B605A">
        <w:t>eputy Prosecutor General rescinded</w:t>
      </w:r>
      <w:r w:rsidR="008D45FA">
        <w:t xml:space="preserve"> the order to suspend the investigation, extended its period until 19 February 2007 and sent the case to the </w:t>
      </w:r>
      <w:r w:rsidR="00EB42AD">
        <w:t>r</w:t>
      </w:r>
      <w:r w:rsidR="008D45FA">
        <w:t xml:space="preserve">egional </w:t>
      </w:r>
      <w:r w:rsidR="001E75C1">
        <w:t>p</w:t>
      </w:r>
      <w:r w:rsidR="008D45FA">
        <w:t xml:space="preserve">rosecutor’s </w:t>
      </w:r>
      <w:r w:rsidR="001E75C1">
        <w:t>o</w:t>
      </w:r>
      <w:r w:rsidR="008D45FA">
        <w:t xml:space="preserve">ffice. </w:t>
      </w:r>
      <w:r w:rsidR="00EB42AD">
        <w:t>Also o</w:t>
      </w:r>
      <w:r w:rsidR="008D45FA">
        <w:t xml:space="preserve">n 19 February 2007, the head investigator of the </w:t>
      </w:r>
      <w:r w:rsidR="001E75C1">
        <w:t>p</w:t>
      </w:r>
      <w:r w:rsidR="008D45FA">
        <w:t xml:space="preserve">rosecutor’s </w:t>
      </w:r>
      <w:r w:rsidR="001E75C1">
        <w:t>o</w:t>
      </w:r>
      <w:r w:rsidR="008D45FA">
        <w:t xml:space="preserve">ffice suspended the case </w:t>
      </w:r>
      <w:r w:rsidR="001E75C1">
        <w:t xml:space="preserve">for </w:t>
      </w:r>
      <w:r w:rsidR="008D45FA">
        <w:t xml:space="preserve">a second time. On 1 March 2007, the lawyer </w:t>
      </w:r>
      <w:r w:rsidR="001E75C1">
        <w:t>petitioned</w:t>
      </w:r>
      <w:r w:rsidR="008D45FA">
        <w:t xml:space="preserve"> the chief</w:t>
      </w:r>
      <w:r w:rsidR="001E75C1">
        <w:t xml:space="preserve"> case</w:t>
      </w:r>
      <w:r w:rsidR="008D45FA">
        <w:t xml:space="preserve"> investigator to ques</w:t>
      </w:r>
      <w:r w:rsidR="001E75C1">
        <w:t xml:space="preserve">tion </w:t>
      </w:r>
      <w:r w:rsidR="00F955AF">
        <w:t xml:space="preserve">the </w:t>
      </w:r>
      <w:r w:rsidR="001E75C1">
        <w:t xml:space="preserve">officer </w:t>
      </w:r>
      <w:r w:rsidR="00F955AF">
        <w:t xml:space="preserve">on duty on 3 May 2005, </w:t>
      </w:r>
      <w:r w:rsidR="001E75C1">
        <w:t>M.</w:t>
      </w:r>
      <w:r w:rsidR="008D45FA">
        <w:t>E.</w:t>
      </w:r>
      <w:r w:rsidR="00DF56CD">
        <w:rPr>
          <w:lang w:bidi="he-IL"/>
        </w:rPr>
        <w:t xml:space="preserve"> The questioning</w:t>
      </w:r>
      <w:r w:rsidR="008D45FA">
        <w:t xml:space="preserve"> took place on 22 April 2007, </w:t>
      </w:r>
      <w:r w:rsidR="00EB42AD">
        <w:t>which is when</w:t>
      </w:r>
      <w:r w:rsidR="001E75C1">
        <w:t xml:space="preserve"> M.E.</w:t>
      </w:r>
      <w:r w:rsidR="008D45FA">
        <w:t xml:space="preserve"> recounted having seen police officers tortur</w:t>
      </w:r>
      <w:r w:rsidR="00F955AF">
        <w:t>ing</w:t>
      </w:r>
      <w:r w:rsidR="008D45FA">
        <w:t xml:space="preserve"> the victim. On 16 May 2007, the investigation was extended until 23 June 2007.</w:t>
      </w:r>
    </w:p>
    <w:p w14:paraId="41D2D20A" w14:textId="77777777" w:rsidR="00441C25" w:rsidRDefault="00A90F1A" w:rsidP="00B36AD3">
      <w:pPr>
        <w:pStyle w:val="SingleTxtG"/>
      </w:pPr>
      <w:r>
        <w:t>2.</w:t>
      </w:r>
      <w:r w:rsidR="00CF6F0B">
        <w:t>10</w:t>
      </w:r>
      <w:r>
        <w:tab/>
      </w:r>
      <w:r w:rsidR="008D45FA">
        <w:t>On 21 June 2007, the</w:t>
      </w:r>
      <w:r w:rsidR="001E75C1">
        <w:t xml:space="preserve"> investigator</w:t>
      </w:r>
      <w:r w:rsidR="004666F9">
        <w:t xml:space="preserve"> </w:t>
      </w:r>
      <w:r w:rsidR="00EB42AD">
        <w:t xml:space="preserve">from </w:t>
      </w:r>
      <w:r w:rsidR="001E75C1">
        <w:t>the</w:t>
      </w:r>
      <w:r w:rsidR="008D45FA">
        <w:t xml:space="preserve"> </w:t>
      </w:r>
      <w:r w:rsidR="001E75C1">
        <w:t>p</w:t>
      </w:r>
      <w:r w:rsidR="008D45FA">
        <w:t xml:space="preserve">rosecutor’s </w:t>
      </w:r>
      <w:r w:rsidR="001E75C1">
        <w:t>o</w:t>
      </w:r>
      <w:r w:rsidR="008D45FA">
        <w:t xml:space="preserve">ffice again questioned </w:t>
      </w:r>
      <w:r>
        <w:t>M.</w:t>
      </w:r>
      <w:r w:rsidR="008D45FA">
        <w:t>E.</w:t>
      </w:r>
      <w:r w:rsidR="00EB42AD">
        <w:t>,</w:t>
      </w:r>
      <w:r w:rsidR="008D45FA">
        <w:t xml:space="preserve"> who retracted his earlier statements. On 23 June 2007</w:t>
      </w:r>
      <w:r w:rsidR="004A4807">
        <w:t>, the date of</w:t>
      </w:r>
      <w:r w:rsidR="008D45FA">
        <w:t xml:space="preserve"> expiration of the latest extension, the investigation was suspended</w:t>
      </w:r>
      <w:r w:rsidR="004A4807">
        <w:t xml:space="preserve"> again</w:t>
      </w:r>
      <w:r w:rsidR="008D45FA">
        <w:t>. On 15 June 2007, following a petition</w:t>
      </w:r>
      <w:r w:rsidR="004A4807">
        <w:t xml:space="preserve"> from the family’s lawyer, the prosecutor’s o</w:t>
      </w:r>
      <w:r w:rsidR="008D45FA">
        <w:t>ffice authori</w:t>
      </w:r>
      <w:r w:rsidR="00EB42AD">
        <w:t>z</w:t>
      </w:r>
      <w:r w:rsidR="008D45FA">
        <w:t xml:space="preserve">ed an independent forensic expert to travel to the incident site and review the conclusions of the earlier autopsy and </w:t>
      </w:r>
      <w:r w:rsidR="004666F9" w:rsidRPr="004666F9">
        <w:t xml:space="preserve">medical </w:t>
      </w:r>
      <w:r w:rsidR="008D45FA">
        <w:t>forensic examinations. On 11 October 2007, the expert issued his report</w:t>
      </w:r>
      <w:r w:rsidR="004F12CC">
        <w:t>,</w:t>
      </w:r>
      <w:r w:rsidR="008D45FA">
        <w:t xml:space="preserve"> which </w:t>
      </w:r>
      <w:r w:rsidR="006C5858">
        <w:t xml:space="preserve">revealed </w:t>
      </w:r>
      <w:r w:rsidR="008D45FA">
        <w:t xml:space="preserve">contusions that had been missed </w:t>
      </w:r>
      <w:r w:rsidR="006C5858">
        <w:t xml:space="preserve">in the previous reports </w:t>
      </w:r>
      <w:r w:rsidR="008D45FA">
        <w:t xml:space="preserve">and </w:t>
      </w:r>
      <w:r w:rsidR="006C5858">
        <w:t xml:space="preserve">which </w:t>
      </w:r>
      <w:r w:rsidR="008D45FA">
        <w:t xml:space="preserve">excluded the possibility of death resulting from a fall. </w:t>
      </w:r>
    </w:p>
    <w:p w14:paraId="4FD09A41" w14:textId="77777777" w:rsidR="008D45FA" w:rsidRDefault="00441C25" w:rsidP="002B605A">
      <w:pPr>
        <w:pStyle w:val="SingleTxtG"/>
      </w:pPr>
      <w:r>
        <w:lastRenderedPageBreak/>
        <w:t>2.1</w:t>
      </w:r>
      <w:r w:rsidR="00CF6F0B">
        <w:t>1</w:t>
      </w:r>
      <w:r>
        <w:tab/>
      </w:r>
      <w:r w:rsidR="008D45FA">
        <w:t xml:space="preserve">On 28 February 2008, </w:t>
      </w:r>
      <w:r w:rsidR="008D45FA" w:rsidRPr="002B605A">
        <w:t>the</w:t>
      </w:r>
      <w:r w:rsidR="004A4807" w:rsidRPr="002B605A">
        <w:t xml:space="preserve"> Office of the</w:t>
      </w:r>
      <w:r w:rsidR="008D45FA" w:rsidRPr="002B605A">
        <w:t xml:space="preserve"> Prosecutor General again overturned the suspension of the investigation on the basis of th</w:t>
      </w:r>
      <w:r w:rsidR="004E77AA" w:rsidRPr="002B605A">
        <w:t>o</w:t>
      </w:r>
      <w:r w:rsidR="008D45FA" w:rsidRPr="002B605A">
        <w:t>se contradictions. On 12 March 2008, the Prosecutor</w:t>
      </w:r>
      <w:r w:rsidR="004A4807" w:rsidRPr="002B605A">
        <w:t xml:space="preserve"> General</w:t>
      </w:r>
      <w:r w:rsidR="008D45FA" w:rsidRPr="002B605A">
        <w:t xml:space="preserve"> or</w:t>
      </w:r>
      <w:r w:rsidR="008D45FA">
        <w:t xml:space="preserve">dered a fourth </w:t>
      </w:r>
      <w:r w:rsidR="006C5858">
        <w:t xml:space="preserve">medical </w:t>
      </w:r>
      <w:r w:rsidR="008D45FA">
        <w:t>forensic review</w:t>
      </w:r>
      <w:r w:rsidR="004F12CC">
        <w:t>,</w:t>
      </w:r>
      <w:r w:rsidR="008D45FA">
        <w:t xml:space="preserve"> which was conducted by a commission of senior experts on 19 March 2008. </w:t>
      </w:r>
      <w:r w:rsidR="004F12CC">
        <w:t>In t</w:t>
      </w:r>
      <w:r w:rsidR="008D45FA">
        <w:t>heir report</w:t>
      </w:r>
      <w:r w:rsidR="004F12CC">
        <w:t>, the experts</w:t>
      </w:r>
      <w:r w:rsidR="008D45FA">
        <w:t xml:space="preserve"> confirmed the latest independent forensic expert’s conclusions. In April 2008, the family’s lawyer filed a complaint </w:t>
      </w:r>
      <w:r w:rsidR="004F12CC">
        <w:t xml:space="preserve">with </w:t>
      </w:r>
      <w:r w:rsidR="008D45FA">
        <w:t>the</w:t>
      </w:r>
      <w:r w:rsidR="004A4807">
        <w:t xml:space="preserve"> </w:t>
      </w:r>
      <w:r w:rsidR="004A4807" w:rsidRPr="002B605A">
        <w:t>Office of the</w:t>
      </w:r>
      <w:r w:rsidR="008D45FA" w:rsidRPr="002B605A">
        <w:t xml:space="preserve"> Prosecutor General</w:t>
      </w:r>
      <w:r w:rsidR="008D45FA">
        <w:t xml:space="preserve"> requesting </w:t>
      </w:r>
      <w:r w:rsidR="004F12CC">
        <w:t>that</w:t>
      </w:r>
      <w:r w:rsidR="006C5858">
        <w:t xml:space="preserve"> </w:t>
      </w:r>
      <w:r w:rsidR="008D45FA">
        <w:t xml:space="preserve">criminal charges </w:t>
      </w:r>
      <w:r w:rsidR="004F12CC">
        <w:t xml:space="preserve">be </w:t>
      </w:r>
      <w:r w:rsidR="006C5858">
        <w:t xml:space="preserve">brought </w:t>
      </w:r>
      <w:r w:rsidR="008D45FA">
        <w:t xml:space="preserve">against certain officers, </w:t>
      </w:r>
      <w:r w:rsidR="004F12CC">
        <w:t>that those officers be taken</w:t>
      </w:r>
      <w:r w:rsidR="008D45FA">
        <w:t xml:space="preserve"> into custody and </w:t>
      </w:r>
      <w:r w:rsidR="004F12CC">
        <w:t xml:space="preserve">that </w:t>
      </w:r>
      <w:r w:rsidR="008D45FA">
        <w:t xml:space="preserve">the criminal case </w:t>
      </w:r>
      <w:r w:rsidR="004F12CC">
        <w:t xml:space="preserve">be sent </w:t>
      </w:r>
      <w:r w:rsidR="008D45FA">
        <w:t xml:space="preserve">to court for </w:t>
      </w:r>
      <w:r w:rsidR="004F12CC">
        <w:t xml:space="preserve">a </w:t>
      </w:r>
      <w:r w:rsidR="008D45FA">
        <w:t>consideration o</w:t>
      </w:r>
      <w:r w:rsidR="004F12CC">
        <w:t>f</w:t>
      </w:r>
      <w:r w:rsidR="008D45FA">
        <w:t xml:space="preserve"> the merits. The case was again sent to the </w:t>
      </w:r>
      <w:r w:rsidR="008D45FA" w:rsidRPr="002B605A">
        <w:t xml:space="preserve">Office </w:t>
      </w:r>
      <w:r w:rsidR="002B605A" w:rsidRPr="002B605A">
        <w:t xml:space="preserve">of the Prosecutor General </w:t>
      </w:r>
      <w:r w:rsidR="008D45FA">
        <w:t xml:space="preserve">and then transferred </w:t>
      </w:r>
      <w:r w:rsidR="008D45FA" w:rsidRPr="002B605A">
        <w:t>to the Investigation Department of</w:t>
      </w:r>
      <w:r w:rsidR="00146B18" w:rsidRPr="002B605A">
        <w:t xml:space="preserve"> </w:t>
      </w:r>
      <w:r w:rsidR="004F12CC" w:rsidRPr="002B605A">
        <w:t>the</w:t>
      </w:r>
      <w:r w:rsidR="004F12CC">
        <w:t xml:space="preserve"> </w:t>
      </w:r>
      <w:r w:rsidR="00146B18">
        <w:t>Ministry of</w:t>
      </w:r>
      <w:r w:rsidR="008D45FA">
        <w:t xml:space="preserve"> Internal Affairs.</w:t>
      </w:r>
    </w:p>
    <w:p w14:paraId="10BA9A8A" w14:textId="77777777" w:rsidR="00441C25" w:rsidRDefault="00441C25" w:rsidP="002B605A">
      <w:pPr>
        <w:pStyle w:val="SingleTxtG"/>
      </w:pPr>
      <w:r>
        <w:t>2.1</w:t>
      </w:r>
      <w:r w:rsidR="00CF6F0B">
        <w:t>2</w:t>
      </w:r>
      <w:r w:rsidR="00A90F1A">
        <w:tab/>
      </w:r>
      <w:r w:rsidR="008D45FA">
        <w:t xml:space="preserve">On 30 August 2008, the </w:t>
      </w:r>
      <w:r w:rsidR="002B605A" w:rsidRPr="002B605A">
        <w:t xml:space="preserve">Office of the Prosecutor General </w:t>
      </w:r>
      <w:r w:rsidR="008D45FA" w:rsidRPr="002B605A">
        <w:t>again</w:t>
      </w:r>
      <w:r w:rsidR="008D45FA">
        <w:t xml:space="preserve"> ordered that the criminal prosecution of the police </w:t>
      </w:r>
      <w:r w:rsidR="004E77AA">
        <w:t xml:space="preserve">officers </w:t>
      </w:r>
      <w:r w:rsidR="008D45FA">
        <w:t xml:space="preserve">be discontinued, </w:t>
      </w:r>
      <w:r w:rsidR="006C5858">
        <w:t xml:space="preserve">noting </w:t>
      </w:r>
      <w:r w:rsidR="008D45FA">
        <w:t xml:space="preserve">that contradictions between the conclusions of the official </w:t>
      </w:r>
      <w:r w:rsidR="006C5858">
        <w:t xml:space="preserve">medical </w:t>
      </w:r>
      <w:r w:rsidR="008D45FA">
        <w:t xml:space="preserve">forensic examinations and those of the expert </w:t>
      </w:r>
      <w:r w:rsidR="006C5858">
        <w:t xml:space="preserve">rendered </w:t>
      </w:r>
      <w:r w:rsidR="001D7067">
        <w:t>it impossible</w:t>
      </w:r>
      <w:r w:rsidR="008D45FA" w:rsidRPr="00A90F1A">
        <w:rPr>
          <w:iCs/>
        </w:rPr>
        <w:t xml:space="preserve"> </w:t>
      </w:r>
      <w:r w:rsidR="006C5858">
        <w:rPr>
          <w:iCs/>
        </w:rPr>
        <w:t>“</w:t>
      </w:r>
      <w:r w:rsidR="008D45FA" w:rsidRPr="00A90F1A">
        <w:rPr>
          <w:iCs/>
        </w:rPr>
        <w:t>to make a valid and legal ruling in the case”</w:t>
      </w:r>
      <w:r w:rsidR="008D45FA" w:rsidRPr="00A90F1A">
        <w:t>.</w:t>
      </w:r>
      <w:r w:rsidR="008D45FA">
        <w:t xml:space="preserve"> On 17 November 2008, the Prosecutor General again overturned the decision to terminate the criminal case and </w:t>
      </w:r>
      <w:r w:rsidR="002210B9">
        <w:t xml:space="preserve">returned </w:t>
      </w:r>
      <w:r w:rsidR="008D45FA">
        <w:t xml:space="preserve">it once again </w:t>
      </w:r>
      <w:r w:rsidR="004F12CC">
        <w:t xml:space="preserve">to </w:t>
      </w:r>
      <w:r w:rsidR="008D45FA">
        <w:t xml:space="preserve">the </w:t>
      </w:r>
      <w:r w:rsidR="00146B18">
        <w:t>p</w:t>
      </w:r>
      <w:r w:rsidR="008D45FA">
        <w:t xml:space="preserve">rosecutor for further investigation. On 12 January 2009, the local </w:t>
      </w:r>
      <w:r w:rsidR="004F12CC">
        <w:t>branch of the I</w:t>
      </w:r>
      <w:r w:rsidR="008D45FA">
        <w:t>nvestigation</w:t>
      </w:r>
      <w:r w:rsidR="004F12CC">
        <w:t xml:space="preserve"> Department</w:t>
      </w:r>
      <w:r w:rsidR="008D45FA">
        <w:t xml:space="preserve"> </w:t>
      </w:r>
      <w:r w:rsidR="004F12CC">
        <w:t xml:space="preserve">once again </w:t>
      </w:r>
      <w:r w:rsidR="008D45FA">
        <w:t xml:space="preserve">suspended the investigation and, on 25 May 2009, the </w:t>
      </w:r>
      <w:r w:rsidR="00146B18">
        <w:t>Office of the Prosecutor General</w:t>
      </w:r>
      <w:r w:rsidR="008D45FA">
        <w:t xml:space="preserve"> </w:t>
      </w:r>
      <w:r w:rsidR="004F12CC">
        <w:t xml:space="preserve">once </w:t>
      </w:r>
      <w:r w:rsidR="008D45FA">
        <w:t xml:space="preserve">again overturned the suspension of the investigation and sent the case back to the regional prosecutor’s office for further investigation, extending the period by one month. On </w:t>
      </w:r>
      <w:r w:rsidR="00146B18">
        <w:t>8 July 2009, the local prosecuting</w:t>
      </w:r>
      <w:r w:rsidR="008D45FA">
        <w:t xml:space="preserve"> authorities again suspended the investigation because the perpetrators had not been identified. </w:t>
      </w:r>
    </w:p>
    <w:p w14:paraId="61C75B53" w14:textId="77777777" w:rsidR="008D45FA" w:rsidRDefault="00441C25" w:rsidP="00B36AD3">
      <w:pPr>
        <w:pStyle w:val="SingleTxtG"/>
      </w:pPr>
      <w:r>
        <w:t>2.1</w:t>
      </w:r>
      <w:r w:rsidR="00CF6F0B">
        <w:t>3</w:t>
      </w:r>
      <w:r>
        <w:tab/>
      </w:r>
      <w:r w:rsidR="008D45FA">
        <w:t>On 4 January 2011, the family’s lawyer filed a</w:t>
      </w:r>
      <w:r w:rsidR="00AE1137">
        <w:t xml:space="preserve"> complaint</w:t>
      </w:r>
      <w:r w:rsidR="008D45FA">
        <w:t xml:space="preserve"> with the Osh City Court detailing the evidence of the victim’s torture, the inconsistencies in the police</w:t>
      </w:r>
      <w:r w:rsidR="004F12CC">
        <w:t>’s</w:t>
      </w:r>
      <w:r w:rsidR="008D45FA">
        <w:t xml:space="preserve"> version of events and the deficiencies in the investigation. He asked the Court to send the case to trial on its merits. On 11 January 2011, the</w:t>
      </w:r>
      <w:r w:rsidR="00146B18">
        <w:t xml:space="preserve"> </w:t>
      </w:r>
      <w:r w:rsidR="008D45FA">
        <w:t xml:space="preserve">Court rejected the lawyer’s </w:t>
      </w:r>
      <w:r w:rsidR="00146B18">
        <w:t>complaint</w:t>
      </w:r>
      <w:r w:rsidR="008D45FA">
        <w:t xml:space="preserve">. </w:t>
      </w:r>
      <w:r w:rsidR="004F12CC">
        <w:t>In addition, it</w:t>
      </w:r>
      <w:r w:rsidR="007D2693">
        <w:t xml:space="preserve"> decided that all decisions </w:t>
      </w:r>
      <w:r w:rsidR="004F12CC">
        <w:t>relating to</w:t>
      </w:r>
      <w:r w:rsidR="007D2693">
        <w:t xml:space="preserve"> the investigation </w:t>
      </w:r>
      <w:r w:rsidR="004F12CC">
        <w:t xml:space="preserve">would be </w:t>
      </w:r>
      <w:r w:rsidR="007D2693">
        <w:t xml:space="preserve">taken only by investigators and </w:t>
      </w:r>
      <w:r w:rsidR="004F12CC">
        <w:t xml:space="preserve">that </w:t>
      </w:r>
      <w:r w:rsidR="007D2693">
        <w:t>courts</w:t>
      </w:r>
      <w:r w:rsidR="004F12CC">
        <w:t xml:space="preserve"> could not</w:t>
      </w:r>
      <w:r w:rsidR="007D2693">
        <w:t xml:space="preserve"> interfere. </w:t>
      </w:r>
      <w:r w:rsidR="008D45FA">
        <w:t xml:space="preserve">On 20 January 2011, </w:t>
      </w:r>
      <w:r w:rsidR="004F12CC">
        <w:t xml:space="preserve">the lawyer </w:t>
      </w:r>
      <w:r w:rsidR="0032121D">
        <w:t xml:space="preserve">appealed to </w:t>
      </w:r>
      <w:r w:rsidR="008D45FA">
        <w:t>the</w:t>
      </w:r>
      <w:r w:rsidR="00146B18">
        <w:t xml:space="preserve"> Osh</w:t>
      </w:r>
      <w:r w:rsidR="008D45FA">
        <w:t xml:space="preserve"> Regional Court</w:t>
      </w:r>
      <w:r w:rsidR="004F12CC">
        <w:t>, asking it</w:t>
      </w:r>
      <w:r w:rsidR="0032121D">
        <w:t xml:space="preserve"> </w:t>
      </w:r>
      <w:r w:rsidR="00777CD8">
        <w:t xml:space="preserve">to overturn the decision </w:t>
      </w:r>
      <w:r w:rsidR="004F12CC">
        <w:t xml:space="preserve">of the Osh City Court </w:t>
      </w:r>
      <w:r w:rsidR="00777CD8">
        <w:t>and to order</w:t>
      </w:r>
      <w:r w:rsidR="008D45FA">
        <w:t xml:space="preserve"> the investigators to send the case to trial. On 15 February 2011, the</w:t>
      </w:r>
      <w:r w:rsidR="00146B18">
        <w:t xml:space="preserve"> Osh</w:t>
      </w:r>
      <w:r w:rsidR="008D45FA">
        <w:t xml:space="preserve"> Regional Court rejected the appea</w:t>
      </w:r>
      <w:r w:rsidR="007D2693">
        <w:t>l for the same reason as the Osh City Court</w:t>
      </w:r>
      <w:r w:rsidR="008D45FA">
        <w:t xml:space="preserve">. </w:t>
      </w:r>
    </w:p>
    <w:p w14:paraId="38076C06" w14:textId="77777777" w:rsidR="008D45FA" w:rsidRDefault="00441C25" w:rsidP="00B36AD3">
      <w:pPr>
        <w:pStyle w:val="SingleTxtG"/>
      </w:pPr>
      <w:r>
        <w:t>2.1</w:t>
      </w:r>
      <w:r w:rsidR="00CF6F0B">
        <w:t>4</w:t>
      </w:r>
      <w:r>
        <w:tab/>
      </w:r>
      <w:r w:rsidR="00500138">
        <w:t>The author submits that d</w:t>
      </w:r>
      <w:r w:rsidR="008D45FA">
        <w:t>uring all his efforts to obtain a proper investigation the police attempted to bribe</w:t>
      </w:r>
      <w:r w:rsidR="004F12CC">
        <w:t xml:space="preserve"> him</w:t>
      </w:r>
      <w:r w:rsidR="008D45FA">
        <w:t xml:space="preserve"> and intimidate him </w:t>
      </w:r>
      <w:r w:rsidR="004F12CC">
        <w:t>in</w:t>
      </w:r>
      <w:r w:rsidR="00500138">
        <w:t xml:space="preserve">to </w:t>
      </w:r>
      <w:r w:rsidR="008D45FA">
        <w:t>drop</w:t>
      </w:r>
      <w:r w:rsidR="004F12CC">
        <w:t>ping</w:t>
      </w:r>
      <w:r w:rsidR="008D45FA">
        <w:t xml:space="preserve"> </w:t>
      </w:r>
      <w:r w:rsidR="00500138">
        <w:t>his complaints</w:t>
      </w:r>
      <w:r w:rsidR="008D45FA">
        <w:t xml:space="preserve">. </w:t>
      </w:r>
      <w:r w:rsidR="00500138">
        <w:t xml:space="preserve">In particular, </w:t>
      </w:r>
      <w:r w:rsidR="008D45FA">
        <w:t xml:space="preserve">on 29 June 2005, when the author met the </w:t>
      </w:r>
      <w:r w:rsidR="00777CD8">
        <w:t>c</w:t>
      </w:r>
      <w:r w:rsidR="008D45FA">
        <w:t xml:space="preserve">hief of </w:t>
      </w:r>
      <w:r w:rsidR="00777CD8">
        <w:t>district p</w:t>
      </w:r>
      <w:r w:rsidR="008D45FA">
        <w:t>olice</w:t>
      </w:r>
      <w:r w:rsidR="00074EEA">
        <w:t>, Z.T.</w:t>
      </w:r>
      <w:r w:rsidR="00777CD8">
        <w:t>,</w:t>
      </w:r>
      <w:r w:rsidR="008D45FA">
        <w:t xml:space="preserve"> to </w:t>
      </w:r>
      <w:r w:rsidR="00777CD8">
        <w:t>inquire</w:t>
      </w:r>
      <w:r w:rsidR="008D45FA">
        <w:t xml:space="preserve"> about the </w:t>
      </w:r>
      <w:r w:rsidR="00500138">
        <w:t xml:space="preserve">developments in the </w:t>
      </w:r>
      <w:r w:rsidR="008D45FA">
        <w:t>case, he was attacked by him and his left index finger was bent back</w:t>
      </w:r>
      <w:r w:rsidR="00500138">
        <w:t xml:space="preserve"> </w:t>
      </w:r>
      <w:r w:rsidR="0009067D">
        <w:t xml:space="preserve">and </w:t>
      </w:r>
      <w:r w:rsidR="00500138">
        <w:t xml:space="preserve">two tendons </w:t>
      </w:r>
      <w:r w:rsidR="0009067D">
        <w:t xml:space="preserve">were </w:t>
      </w:r>
      <w:r w:rsidR="00500138">
        <w:t>torn</w:t>
      </w:r>
      <w:r w:rsidR="008D45FA">
        <w:t>.</w:t>
      </w:r>
    </w:p>
    <w:p w14:paraId="0FC7F91A" w14:textId="77777777" w:rsidR="004B44C6" w:rsidRDefault="004B44C6" w:rsidP="004B44C6">
      <w:pPr>
        <w:pStyle w:val="H23G"/>
      </w:pPr>
      <w:r w:rsidRPr="00B12E1C">
        <w:tab/>
      </w:r>
      <w:r w:rsidRPr="00B12E1C">
        <w:tab/>
        <w:t>The complaint</w:t>
      </w:r>
    </w:p>
    <w:p w14:paraId="05AC0289" w14:textId="77777777" w:rsidR="0022219E" w:rsidRDefault="00A879C7" w:rsidP="00B36AD3">
      <w:pPr>
        <w:pStyle w:val="SingleTxtG"/>
      </w:pPr>
      <w:r w:rsidRPr="00441C25">
        <w:t>3.1</w:t>
      </w:r>
      <w:r w:rsidRPr="00441C25">
        <w:tab/>
      </w:r>
      <w:r w:rsidR="00004793" w:rsidRPr="00441C25">
        <w:t xml:space="preserve">The author </w:t>
      </w:r>
      <w:r w:rsidR="0022219E">
        <w:t xml:space="preserve">claims that </w:t>
      </w:r>
      <w:r w:rsidR="00004793" w:rsidRPr="00441C25">
        <w:t xml:space="preserve">police officers arbitrarily deprived his son of his life by inflicting fatal injuries on him while he was </w:t>
      </w:r>
      <w:r w:rsidR="00641EE7">
        <w:rPr>
          <w:lang w:bidi="he-IL"/>
        </w:rPr>
        <w:t>detained</w:t>
      </w:r>
      <w:r w:rsidR="00641EE7">
        <w:t xml:space="preserve"> </w:t>
      </w:r>
      <w:r w:rsidR="00500138">
        <w:t xml:space="preserve">and kept </w:t>
      </w:r>
      <w:r w:rsidR="0009067D">
        <w:t>o</w:t>
      </w:r>
      <w:r w:rsidR="00500138">
        <w:t xml:space="preserve">n </w:t>
      </w:r>
      <w:r w:rsidR="00004793" w:rsidRPr="00441C25">
        <w:t xml:space="preserve">police </w:t>
      </w:r>
      <w:r w:rsidR="00500138">
        <w:t>premises</w:t>
      </w:r>
      <w:r w:rsidR="00004793" w:rsidRPr="00441C25">
        <w:t xml:space="preserve">. His son was healthy when he entered </w:t>
      </w:r>
      <w:r w:rsidR="00500138">
        <w:t>th</w:t>
      </w:r>
      <w:r w:rsidR="0009067D">
        <w:t>os</w:t>
      </w:r>
      <w:r w:rsidR="00500138">
        <w:t>e premises</w:t>
      </w:r>
      <w:r w:rsidR="0009067D">
        <w:t>;</w:t>
      </w:r>
      <w:r w:rsidR="0022219E">
        <w:t xml:space="preserve"> when he arrived home right after leaving</w:t>
      </w:r>
      <w:r w:rsidR="002B054A">
        <w:t xml:space="preserve"> the</w:t>
      </w:r>
      <w:r w:rsidR="0022219E">
        <w:t xml:space="preserve"> police </w:t>
      </w:r>
      <w:r w:rsidR="002B054A">
        <w:t>station</w:t>
      </w:r>
      <w:r w:rsidR="0022219E">
        <w:t xml:space="preserve">, </w:t>
      </w:r>
      <w:r w:rsidR="00004793" w:rsidRPr="00441C25">
        <w:t>he was fatally injured</w:t>
      </w:r>
      <w:r w:rsidR="0022219E">
        <w:t xml:space="preserve"> and died of th</w:t>
      </w:r>
      <w:r w:rsidR="0009067D">
        <w:t>o</w:t>
      </w:r>
      <w:r w:rsidR="0022219E">
        <w:t>se injuries</w:t>
      </w:r>
      <w:r w:rsidR="00004793" w:rsidRPr="00441C25">
        <w:t xml:space="preserve">. </w:t>
      </w:r>
    </w:p>
    <w:p w14:paraId="32E9FC11" w14:textId="77777777" w:rsidR="0022219E" w:rsidRDefault="0022219E">
      <w:pPr>
        <w:pStyle w:val="SingleTxtG"/>
      </w:pPr>
      <w:r>
        <w:t>3.2</w:t>
      </w:r>
      <w:r>
        <w:tab/>
        <w:t>The author refers to the Committee</w:t>
      </w:r>
      <w:r w:rsidR="00173EC9">
        <w:t>’s</w:t>
      </w:r>
      <w:r>
        <w:t xml:space="preserve"> recent jurisprudence, </w:t>
      </w:r>
      <w:r w:rsidR="00512AD3">
        <w:t>according to which</w:t>
      </w:r>
      <w:r w:rsidR="00004793" w:rsidRPr="00441C25">
        <w:t xml:space="preserve"> “a death in any type of custody should be regarded as </w:t>
      </w:r>
      <w:r w:rsidR="00004793" w:rsidRPr="00B666F6">
        <w:rPr>
          <w:iCs/>
        </w:rPr>
        <w:t>prima facie</w:t>
      </w:r>
      <w:r w:rsidR="00004793" w:rsidRPr="00441C25">
        <w:t xml:space="preserve"> a summary or arbitrary execution”, unless that presumption can be rebutted by a “thorough, prompt and impartial investigation”</w:t>
      </w:r>
      <w:r w:rsidR="00633364">
        <w:t>.</w:t>
      </w:r>
      <w:r w:rsidR="00004793" w:rsidRPr="00441C25">
        <w:rPr>
          <w:rStyle w:val="FootnoteReference"/>
          <w:iCs/>
        </w:rPr>
        <w:footnoteReference w:id="6"/>
      </w:r>
      <w:r w:rsidR="00004793" w:rsidRPr="00441C25">
        <w:t xml:space="preserve"> </w:t>
      </w:r>
    </w:p>
    <w:p w14:paraId="5577D7CA" w14:textId="77777777" w:rsidR="00004793" w:rsidRDefault="0022219E" w:rsidP="00B36AD3">
      <w:pPr>
        <w:pStyle w:val="SingleTxtG"/>
      </w:pPr>
      <w:r>
        <w:lastRenderedPageBreak/>
        <w:t>3.3</w:t>
      </w:r>
      <w:r>
        <w:tab/>
      </w:r>
      <w:r w:rsidR="00500138">
        <w:t xml:space="preserve">He </w:t>
      </w:r>
      <w:r>
        <w:t>submits that t</w:t>
      </w:r>
      <w:r w:rsidR="00004793" w:rsidRPr="00441C25">
        <w:t xml:space="preserve">he State party has not provided any plausible alternative explanation or evidence </w:t>
      </w:r>
      <w:r w:rsidR="00500138">
        <w:t xml:space="preserve">regarding the exact manner </w:t>
      </w:r>
      <w:r w:rsidR="0009067D">
        <w:t xml:space="preserve">in which </w:t>
      </w:r>
      <w:r w:rsidR="00004793" w:rsidRPr="00441C25">
        <w:t>the victim</w:t>
      </w:r>
      <w:r>
        <w:t xml:space="preserve"> </w:t>
      </w:r>
      <w:r w:rsidR="0009067D">
        <w:t>c</w:t>
      </w:r>
      <w:r>
        <w:t xml:space="preserve">ould </w:t>
      </w:r>
      <w:r w:rsidR="00500138">
        <w:t xml:space="preserve">have </w:t>
      </w:r>
      <w:r w:rsidR="00004793" w:rsidRPr="00441C25">
        <w:t>receive</w:t>
      </w:r>
      <w:r w:rsidR="00500138">
        <w:t>d</w:t>
      </w:r>
      <w:r w:rsidR="00004793" w:rsidRPr="00441C25">
        <w:t xml:space="preserve"> th</w:t>
      </w:r>
      <w:r w:rsidR="0009067D">
        <w:t>o</w:t>
      </w:r>
      <w:r w:rsidR="00004793" w:rsidRPr="00441C25">
        <w:t>se</w:t>
      </w:r>
      <w:r>
        <w:t xml:space="preserve"> fatal</w:t>
      </w:r>
      <w:r w:rsidR="00004793" w:rsidRPr="00441C25">
        <w:t xml:space="preserve"> injuries</w:t>
      </w:r>
      <w:r>
        <w:t>. The</w:t>
      </w:r>
      <w:r w:rsidR="00004793" w:rsidRPr="00441C25">
        <w:t xml:space="preserve"> testimonies</w:t>
      </w:r>
      <w:r>
        <w:t xml:space="preserve"> of several witnesses</w:t>
      </w:r>
      <w:r w:rsidR="00004793" w:rsidRPr="00441C25">
        <w:t xml:space="preserve"> strongly indicate that the beatings were </w:t>
      </w:r>
      <w:r>
        <w:t>administered by</w:t>
      </w:r>
      <w:r w:rsidR="002B054A">
        <w:t xml:space="preserve"> </w:t>
      </w:r>
      <w:r w:rsidRPr="002B605A">
        <w:t>police offic</w:t>
      </w:r>
      <w:r w:rsidR="0009067D" w:rsidRPr="002B605A">
        <w:t>ers</w:t>
      </w:r>
      <w:r w:rsidRPr="002B605A">
        <w:t xml:space="preserve"> and</w:t>
      </w:r>
      <w:r w:rsidR="0009067D" w:rsidRPr="002B605A">
        <w:t>,</w:t>
      </w:r>
      <w:r w:rsidRPr="002B605A">
        <w:t xml:space="preserve"> therefore</w:t>
      </w:r>
      <w:r>
        <w:t>,</w:t>
      </w:r>
      <w:r w:rsidR="00004793" w:rsidRPr="00441C25">
        <w:t xml:space="preserve"> the author </w:t>
      </w:r>
      <w:r>
        <w:t>sets</w:t>
      </w:r>
      <w:r w:rsidR="00004793" w:rsidRPr="00441C25">
        <w:t xml:space="preserve"> forth that the State party is responsible</w:t>
      </w:r>
      <w:r w:rsidR="00004793">
        <w:t xml:space="preserve"> for the arbitrary </w:t>
      </w:r>
      <w:r w:rsidR="00B948CD">
        <w:t xml:space="preserve">deprivation of life </w:t>
      </w:r>
      <w:r w:rsidR="00004793">
        <w:t xml:space="preserve">of his son, in violation of article 6 </w:t>
      </w:r>
      <w:r w:rsidR="0009067D">
        <w:t>(</w:t>
      </w:r>
      <w:r w:rsidR="00004793">
        <w:t>1</w:t>
      </w:r>
      <w:r w:rsidR="0009067D">
        <w:t>)</w:t>
      </w:r>
      <w:r w:rsidR="00004793">
        <w:t xml:space="preserve"> of the </w:t>
      </w:r>
      <w:r w:rsidR="00441C25">
        <w:t>Covenant</w:t>
      </w:r>
      <w:r w:rsidR="00004793">
        <w:t xml:space="preserve">. </w:t>
      </w:r>
    </w:p>
    <w:p w14:paraId="719E4263" w14:textId="77777777" w:rsidR="00004793" w:rsidRDefault="0022219E" w:rsidP="00B36AD3">
      <w:pPr>
        <w:pStyle w:val="SingleTxtG"/>
      </w:pPr>
      <w:r>
        <w:t>3.4</w:t>
      </w:r>
      <w:r w:rsidR="00A879C7">
        <w:tab/>
      </w:r>
      <w:r w:rsidR="00004793">
        <w:t>Furthermore,</w:t>
      </w:r>
      <w:r>
        <w:t xml:space="preserve"> the author submits that</w:t>
      </w:r>
      <w:r w:rsidR="00004793">
        <w:t xml:space="preserve"> the treatment inflicted by the polic</w:t>
      </w:r>
      <w:r w:rsidR="00004793" w:rsidRPr="002B605A">
        <w:t>e</w:t>
      </w:r>
      <w:r w:rsidR="0009067D">
        <w:t xml:space="preserve"> officers</w:t>
      </w:r>
      <w:r w:rsidR="00B948CD">
        <w:t xml:space="preserve"> </w:t>
      </w:r>
      <w:r w:rsidR="00004793">
        <w:t xml:space="preserve">during his son’s time in </w:t>
      </w:r>
      <w:r w:rsidR="00B948CD">
        <w:t xml:space="preserve">the police station </w:t>
      </w:r>
      <w:r w:rsidR="00004793">
        <w:t>amount</w:t>
      </w:r>
      <w:r>
        <w:t>ed</w:t>
      </w:r>
      <w:r w:rsidR="00004793">
        <w:t xml:space="preserve"> to torture, </w:t>
      </w:r>
      <w:r w:rsidR="0009067D">
        <w:t xml:space="preserve">and as such constitutes a </w:t>
      </w:r>
      <w:r>
        <w:t>violation of</w:t>
      </w:r>
      <w:r w:rsidR="00004793">
        <w:t xml:space="preserve"> article 7 of the </w:t>
      </w:r>
      <w:r w:rsidR="00441C25">
        <w:t>Covenant</w:t>
      </w:r>
      <w:r w:rsidR="00004793">
        <w:t>.</w:t>
      </w:r>
    </w:p>
    <w:p w14:paraId="5F65C048" w14:textId="77777777" w:rsidR="002B763B" w:rsidRDefault="00A879C7" w:rsidP="00B36AD3">
      <w:pPr>
        <w:pStyle w:val="SingleTxtG"/>
      </w:pPr>
      <w:r>
        <w:t>3.</w:t>
      </w:r>
      <w:r w:rsidR="002B763B">
        <w:t>5</w:t>
      </w:r>
      <w:r>
        <w:tab/>
        <w:t xml:space="preserve">The author also alleges that the State party </w:t>
      </w:r>
      <w:r w:rsidR="00AD43D2">
        <w:t xml:space="preserve">has </w:t>
      </w:r>
      <w:r>
        <w:t>failed to provide adequate safeguards to protect the victim’s life and to protect him from torture, in violation of article</w:t>
      </w:r>
      <w:r w:rsidR="0009067D">
        <w:t>s</w:t>
      </w:r>
      <w:r>
        <w:t xml:space="preserve"> 6</w:t>
      </w:r>
      <w:r w:rsidR="00441C25">
        <w:t xml:space="preserve"> </w:t>
      </w:r>
      <w:r w:rsidR="0009067D">
        <w:t>(</w:t>
      </w:r>
      <w:r>
        <w:t>1</w:t>
      </w:r>
      <w:r w:rsidR="0009067D">
        <w:t>)</w:t>
      </w:r>
      <w:r>
        <w:t xml:space="preserve"> and 7</w:t>
      </w:r>
      <w:r w:rsidR="00441C25">
        <w:t>, read</w:t>
      </w:r>
      <w:r>
        <w:t xml:space="preserve"> in conjunction with article 2</w:t>
      </w:r>
      <w:r w:rsidR="00441C25">
        <w:t xml:space="preserve"> </w:t>
      </w:r>
      <w:r w:rsidR="0009067D">
        <w:t>(</w:t>
      </w:r>
      <w:r>
        <w:t>3</w:t>
      </w:r>
      <w:r w:rsidR="0009067D">
        <w:t>)</w:t>
      </w:r>
      <w:r w:rsidR="00441C25">
        <w:t>,</w:t>
      </w:r>
      <w:r>
        <w:t xml:space="preserve"> of the Covenant. </w:t>
      </w:r>
      <w:r w:rsidR="002B763B">
        <w:t xml:space="preserve">The State party </w:t>
      </w:r>
      <w:r w:rsidR="00AD43D2">
        <w:t xml:space="preserve">has also </w:t>
      </w:r>
      <w:r>
        <w:t xml:space="preserve">failed to prevent </w:t>
      </w:r>
      <w:r w:rsidR="00B948CD">
        <w:t xml:space="preserve">the </w:t>
      </w:r>
      <w:r>
        <w:t>unlawful detention</w:t>
      </w:r>
      <w:r w:rsidR="002B763B">
        <w:t xml:space="preserve"> </w:t>
      </w:r>
      <w:r w:rsidR="0009067D">
        <w:t xml:space="preserve">by the police </w:t>
      </w:r>
      <w:r w:rsidR="002B763B">
        <w:t xml:space="preserve">of the </w:t>
      </w:r>
      <w:r w:rsidR="00B948CD">
        <w:t xml:space="preserve">author’s son </w:t>
      </w:r>
      <w:r w:rsidR="002B763B">
        <w:t xml:space="preserve">and failed </w:t>
      </w:r>
      <w:r>
        <w:t xml:space="preserve">to provide </w:t>
      </w:r>
      <w:r w:rsidR="0009067D">
        <w:t xml:space="preserve">the victim with </w:t>
      </w:r>
      <w:r>
        <w:t>access to a lawyer</w:t>
      </w:r>
      <w:r w:rsidR="002B763B">
        <w:t xml:space="preserve"> during the detention</w:t>
      </w:r>
      <w:r>
        <w:t xml:space="preserve">. </w:t>
      </w:r>
    </w:p>
    <w:p w14:paraId="5D8E6EC9" w14:textId="77777777" w:rsidR="00A879C7" w:rsidRDefault="002B763B" w:rsidP="00B36AD3">
      <w:pPr>
        <w:tabs>
          <w:tab w:val="num" w:pos="1701"/>
        </w:tabs>
        <w:suppressAutoHyphens w:val="0"/>
        <w:spacing w:line="240" w:lineRule="auto"/>
        <w:ind w:left="1134" w:right="1134"/>
        <w:jc w:val="both"/>
      </w:pPr>
      <w:r>
        <w:t>3.6</w:t>
      </w:r>
      <w:r>
        <w:tab/>
        <w:t xml:space="preserve">The author </w:t>
      </w:r>
      <w:r w:rsidR="00B948CD">
        <w:t xml:space="preserve">finally </w:t>
      </w:r>
      <w:r>
        <w:t>submits that t</w:t>
      </w:r>
      <w:r w:rsidR="00A879C7">
        <w:t xml:space="preserve">he State party </w:t>
      </w:r>
      <w:r w:rsidR="00AD43D2">
        <w:t xml:space="preserve">has </w:t>
      </w:r>
      <w:r w:rsidR="00A879C7">
        <w:t>failed to conduct an independent, impartial, thorough, timely and effective investigation, in violation of article</w:t>
      </w:r>
      <w:r w:rsidR="0009067D">
        <w:t>s</w:t>
      </w:r>
      <w:r w:rsidR="00A879C7">
        <w:t xml:space="preserve"> 6 </w:t>
      </w:r>
      <w:r w:rsidR="0009067D">
        <w:t>(</w:t>
      </w:r>
      <w:r w:rsidR="00A879C7">
        <w:t>1</w:t>
      </w:r>
      <w:r w:rsidR="0009067D">
        <w:t>)</w:t>
      </w:r>
      <w:r w:rsidR="00A879C7">
        <w:t xml:space="preserve"> and 7</w:t>
      </w:r>
      <w:r w:rsidR="00441C25">
        <w:t>, read</w:t>
      </w:r>
      <w:r w:rsidR="00A879C7">
        <w:t xml:space="preserve"> in conjunction with article 2</w:t>
      </w:r>
      <w:r w:rsidR="00441C25">
        <w:t xml:space="preserve"> </w:t>
      </w:r>
      <w:r w:rsidR="0009067D">
        <w:t>(</w:t>
      </w:r>
      <w:r w:rsidR="00A879C7">
        <w:t>3</w:t>
      </w:r>
      <w:r w:rsidR="0009067D">
        <w:t>)</w:t>
      </w:r>
      <w:r w:rsidR="00441C25">
        <w:t>,</w:t>
      </w:r>
      <w:r w:rsidR="00A879C7">
        <w:t xml:space="preserve"> of the Covenant. </w:t>
      </w:r>
      <w:r>
        <w:t xml:space="preserve">In failing to conduct </w:t>
      </w:r>
      <w:r w:rsidR="00B948CD">
        <w:t xml:space="preserve">such </w:t>
      </w:r>
      <w:r>
        <w:t>an investigation</w:t>
      </w:r>
      <w:r w:rsidR="00A879C7">
        <w:t xml:space="preserve">, the State party </w:t>
      </w:r>
      <w:r w:rsidR="00AD43D2">
        <w:t xml:space="preserve">has </w:t>
      </w:r>
      <w:r>
        <w:t>also</w:t>
      </w:r>
      <w:r w:rsidR="00A879C7">
        <w:t xml:space="preserve"> failed to provide</w:t>
      </w:r>
      <w:r>
        <w:t xml:space="preserve"> adequate remedy,</w:t>
      </w:r>
      <w:r w:rsidR="00A879C7">
        <w:t xml:space="preserve"> since it </w:t>
      </w:r>
      <w:r w:rsidR="00AD43D2">
        <w:t xml:space="preserve">has </w:t>
      </w:r>
      <w:r w:rsidR="00A879C7">
        <w:t>effectively prohibit</w:t>
      </w:r>
      <w:r w:rsidR="00AD43D2">
        <w:t>ed</w:t>
      </w:r>
      <w:r w:rsidR="00A879C7">
        <w:t xml:space="preserve"> the family of the victim from bringing </w:t>
      </w:r>
      <w:r w:rsidR="00AD43D2">
        <w:t xml:space="preserve">forward </w:t>
      </w:r>
      <w:r w:rsidR="00A879C7">
        <w:t>civil proceedings for compensation</w:t>
      </w:r>
      <w:r w:rsidR="00B948CD">
        <w:t xml:space="preserve"> for the harm suffered</w:t>
      </w:r>
      <w:r w:rsidR="00A879C7">
        <w:t xml:space="preserve">. </w:t>
      </w:r>
    </w:p>
    <w:p w14:paraId="3C3CECB0" w14:textId="77777777" w:rsidR="0049482E" w:rsidRDefault="00A879C7" w:rsidP="004B44C6">
      <w:pPr>
        <w:pStyle w:val="H23G"/>
      </w:pPr>
      <w:r>
        <w:tab/>
      </w:r>
      <w:r w:rsidR="004B44C6" w:rsidRPr="00B12E1C">
        <w:tab/>
        <w:t>State party’</w:t>
      </w:r>
      <w:r w:rsidR="0049482E">
        <w:t>s observations on admissibility</w:t>
      </w:r>
      <w:r w:rsidR="00CF5D2C">
        <w:t xml:space="preserve"> and </w:t>
      </w:r>
      <w:r w:rsidR="00AD43D2">
        <w:t xml:space="preserve">the </w:t>
      </w:r>
      <w:r w:rsidR="00CF5D2C">
        <w:t>merits</w:t>
      </w:r>
    </w:p>
    <w:p w14:paraId="0850E359" w14:textId="77777777" w:rsidR="005C3EA4" w:rsidRDefault="004B44C6" w:rsidP="00512AD3">
      <w:pPr>
        <w:pStyle w:val="SingleTxtG"/>
      </w:pPr>
      <w:r w:rsidRPr="00B12E1C">
        <w:t>4.</w:t>
      </w:r>
      <w:r w:rsidR="0049482E">
        <w:t>1</w:t>
      </w:r>
      <w:r w:rsidRPr="00B12E1C">
        <w:tab/>
      </w:r>
      <w:r w:rsidR="00AD43D2">
        <w:t xml:space="preserve">In its </w:t>
      </w:r>
      <w:r w:rsidR="00CE7D94">
        <w:t xml:space="preserve">note verbale </w:t>
      </w:r>
      <w:r w:rsidR="006C4C5A">
        <w:t xml:space="preserve">of </w:t>
      </w:r>
      <w:r w:rsidR="00B607D7">
        <w:t>6 September</w:t>
      </w:r>
      <w:r w:rsidR="00CE7D94">
        <w:t xml:space="preserve"> 2011, the State party submits </w:t>
      </w:r>
      <w:r w:rsidR="00B607D7">
        <w:t>its observations on</w:t>
      </w:r>
      <w:r w:rsidR="00214342">
        <w:t xml:space="preserve"> admissibility and</w:t>
      </w:r>
      <w:r w:rsidR="00B607D7">
        <w:t xml:space="preserve"> </w:t>
      </w:r>
      <w:r w:rsidR="00AD43D2">
        <w:t xml:space="preserve">the </w:t>
      </w:r>
      <w:r w:rsidR="00B607D7">
        <w:t xml:space="preserve">merits of the complaint. </w:t>
      </w:r>
      <w:r w:rsidR="00B948CD">
        <w:t xml:space="preserve">It </w:t>
      </w:r>
      <w:r w:rsidR="006C4C5A">
        <w:t xml:space="preserve">notes </w:t>
      </w:r>
      <w:r w:rsidR="00B607D7">
        <w:t xml:space="preserve">that on 4 May 2005 the police was alerted </w:t>
      </w:r>
      <w:r w:rsidR="00B948CD">
        <w:t xml:space="preserve">about </w:t>
      </w:r>
      <w:r w:rsidR="00B607D7">
        <w:t xml:space="preserve">the death of Turdubek Akmatov. Investigators </w:t>
      </w:r>
      <w:r w:rsidR="00AD43D2">
        <w:t>from the</w:t>
      </w:r>
      <w:r w:rsidR="00B607D7">
        <w:t xml:space="preserve"> local police department and prosecutors </w:t>
      </w:r>
      <w:r w:rsidR="00AD43D2">
        <w:t xml:space="preserve">from </w:t>
      </w:r>
      <w:r w:rsidR="00B607D7">
        <w:t xml:space="preserve">Uzgen district were dispatched and </w:t>
      </w:r>
      <w:r w:rsidR="00B948CD">
        <w:t xml:space="preserve">an </w:t>
      </w:r>
      <w:r w:rsidR="00B607D7">
        <w:t xml:space="preserve">autopsy was </w:t>
      </w:r>
      <w:r w:rsidR="00B948CD">
        <w:t>ordered</w:t>
      </w:r>
      <w:r w:rsidR="00B607D7">
        <w:t xml:space="preserve">. </w:t>
      </w:r>
    </w:p>
    <w:p w14:paraId="222E84C8" w14:textId="77777777" w:rsidR="00B607D7" w:rsidRDefault="00B607D7" w:rsidP="0029387B">
      <w:pPr>
        <w:pStyle w:val="SingleTxtG"/>
      </w:pPr>
      <w:r>
        <w:t>4.2</w:t>
      </w:r>
      <w:r>
        <w:tab/>
      </w:r>
      <w:r w:rsidR="009B573E">
        <w:t xml:space="preserve">The </w:t>
      </w:r>
      <w:r w:rsidR="00B948CD">
        <w:t xml:space="preserve">result of the </w:t>
      </w:r>
      <w:r w:rsidR="009B573E">
        <w:t xml:space="preserve">autopsy revealed that </w:t>
      </w:r>
      <w:r w:rsidR="0029387B">
        <w:t xml:space="preserve">Mr. </w:t>
      </w:r>
      <w:r w:rsidR="009B573E">
        <w:t xml:space="preserve">Akmatov </w:t>
      </w:r>
      <w:r w:rsidR="00AD43D2">
        <w:t xml:space="preserve">had </w:t>
      </w:r>
      <w:r w:rsidR="009B573E">
        <w:t xml:space="preserve">died from haemorrhaging beneath the brain tunic and cerebellum tissues. Several large bruises, abrasions and lacerations were also found on the body, which were caused by blunt force. The autopsy also </w:t>
      </w:r>
      <w:r w:rsidR="00ED0317">
        <w:t xml:space="preserve">revealed </w:t>
      </w:r>
      <w:r w:rsidR="009B573E">
        <w:t>bleeding of the ear, bruised lips</w:t>
      </w:r>
      <w:r w:rsidR="00AD43D2">
        <w:t xml:space="preserve"> and</w:t>
      </w:r>
      <w:r w:rsidR="009B573E">
        <w:t xml:space="preserve"> bruises on the wrist, which could have been caused by </w:t>
      </w:r>
      <w:r w:rsidR="00AD43D2">
        <w:t xml:space="preserve">blows inflicted by </w:t>
      </w:r>
      <w:r w:rsidR="009B573E">
        <w:t xml:space="preserve">a fist or </w:t>
      </w:r>
      <w:r w:rsidR="00AD43D2">
        <w:t>by</w:t>
      </w:r>
      <w:r w:rsidR="009B573E">
        <w:t xml:space="preserve"> a foot in a shoe. </w:t>
      </w:r>
    </w:p>
    <w:p w14:paraId="6DA8B004" w14:textId="77777777" w:rsidR="009B573E" w:rsidRDefault="009B573E" w:rsidP="00B36AD3">
      <w:pPr>
        <w:pStyle w:val="SingleTxtG"/>
      </w:pPr>
      <w:r>
        <w:t>4.3</w:t>
      </w:r>
      <w:r>
        <w:tab/>
        <w:t xml:space="preserve">On 25 May 2005, the investigators of the Uzgen prosecutor’s office initiated a criminal investigation into the death of </w:t>
      </w:r>
      <w:r w:rsidR="00190180">
        <w:t>the author’s son</w:t>
      </w:r>
      <w:r w:rsidR="001F28F0">
        <w:t>. Th</w:t>
      </w:r>
      <w:r w:rsidR="00AD43D2">
        <w:t>at</w:t>
      </w:r>
      <w:r>
        <w:t xml:space="preserve"> investigation was extended and suspended</w:t>
      </w:r>
      <w:r>
        <w:rPr>
          <w:rStyle w:val="FootnoteReference"/>
        </w:rPr>
        <w:footnoteReference w:id="7"/>
      </w:r>
      <w:r>
        <w:t xml:space="preserve"> several times </w:t>
      </w:r>
      <w:r w:rsidR="00AD43D2">
        <w:t>because it was not possible</w:t>
      </w:r>
      <w:r w:rsidR="00292150">
        <w:t xml:space="preserve"> to identify </w:t>
      </w:r>
      <w:r w:rsidR="00AD43D2">
        <w:t>the</w:t>
      </w:r>
      <w:r w:rsidR="00292150">
        <w:t xml:space="preserve"> alleged perpetrat</w:t>
      </w:r>
      <w:r w:rsidR="00AD43D2">
        <w:t>or or perpetrators of</w:t>
      </w:r>
      <w:r w:rsidR="00292150">
        <w:t xml:space="preserve"> th</w:t>
      </w:r>
      <w:r w:rsidR="00AD43D2">
        <w:t>e</w:t>
      </w:r>
      <w:r w:rsidR="00292150">
        <w:t xml:space="preserve"> crime. The investigation </w:t>
      </w:r>
      <w:r w:rsidR="003650C4">
        <w:t>was last suspended</w:t>
      </w:r>
      <w:r w:rsidR="00190180">
        <w:t xml:space="preserve"> on</w:t>
      </w:r>
      <w:r w:rsidR="00292150">
        <w:t xml:space="preserve"> 8 July 2009. </w:t>
      </w:r>
    </w:p>
    <w:p w14:paraId="7B756E9A" w14:textId="77777777" w:rsidR="00292150" w:rsidRDefault="00292150">
      <w:pPr>
        <w:pStyle w:val="SingleTxtG"/>
      </w:pPr>
      <w:r>
        <w:t>4.4</w:t>
      </w:r>
      <w:r>
        <w:tab/>
      </w:r>
      <w:r w:rsidR="000F2AE5">
        <w:t xml:space="preserve">The State party submits that </w:t>
      </w:r>
      <w:r w:rsidR="0029387B">
        <w:t xml:space="preserve">Mr. </w:t>
      </w:r>
      <w:r w:rsidR="000F2AE5">
        <w:t xml:space="preserve">Akmatov was brought to the police station at </w:t>
      </w:r>
      <w:r w:rsidR="00190180">
        <w:t>3</w:t>
      </w:r>
      <w:r w:rsidR="000F2AE5">
        <w:t xml:space="preserve"> p.m.</w:t>
      </w:r>
      <w:r w:rsidR="003650C4">
        <w:t xml:space="preserve"> following</w:t>
      </w:r>
      <w:r w:rsidR="000F2AE5">
        <w:t xml:space="preserve"> complaints </w:t>
      </w:r>
      <w:r w:rsidR="003650C4">
        <w:t xml:space="preserve">received </w:t>
      </w:r>
      <w:r w:rsidR="000F2AE5">
        <w:t xml:space="preserve">from his neighbours that he </w:t>
      </w:r>
      <w:r w:rsidR="003650C4">
        <w:t xml:space="preserve">had </w:t>
      </w:r>
      <w:r w:rsidR="000F2AE5">
        <w:t>stole</w:t>
      </w:r>
      <w:r w:rsidR="003650C4">
        <w:t>n</w:t>
      </w:r>
      <w:r w:rsidR="000F2AE5">
        <w:t xml:space="preserve"> the doors </w:t>
      </w:r>
      <w:r w:rsidR="00190180">
        <w:t>of</w:t>
      </w:r>
      <w:r w:rsidR="000F2AE5">
        <w:t xml:space="preserve"> their residence. </w:t>
      </w:r>
      <w:r w:rsidR="008243D3">
        <w:t>It also submits that, a</w:t>
      </w:r>
      <w:r w:rsidR="000F2AE5">
        <w:t xml:space="preserve">fter </w:t>
      </w:r>
      <w:r w:rsidR="003650C4">
        <w:t>carrying out</w:t>
      </w:r>
      <w:r w:rsidR="000F2AE5">
        <w:t xml:space="preserve"> “prophylactic work</w:t>
      </w:r>
      <w:r w:rsidR="00633364">
        <w:t>”</w:t>
      </w:r>
      <w:r w:rsidR="000F2AE5">
        <w:rPr>
          <w:rStyle w:val="FootnoteReference"/>
        </w:rPr>
        <w:footnoteReference w:id="8"/>
      </w:r>
      <w:r w:rsidR="000F2AE5">
        <w:t xml:space="preserve"> with </w:t>
      </w:r>
      <w:r w:rsidR="000F2AE5" w:rsidRPr="002B605A">
        <w:t>Mr. Akmatov</w:t>
      </w:r>
      <w:r w:rsidR="003650C4">
        <w:t>, who then</w:t>
      </w:r>
      <w:r w:rsidR="000F2AE5">
        <w:t xml:space="preserve"> sign</w:t>
      </w:r>
      <w:r w:rsidR="003650C4">
        <w:t>ed</w:t>
      </w:r>
      <w:r w:rsidR="000F2AE5">
        <w:t xml:space="preserve"> a statement</w:t>
      </w:r>
      <w:r w:rsidR="00633364">
        <w:t>,</w:t>
      </w:r>
      <w:r w:rsidR="000F2AE5">
        <w:rPr>
          <w:rStyle w:val="FootnoteReference"/>
        </w:rPr>
        <w:footnoteReference w:id="9"/>
      </w:r>
      <w:r w:rsidR="000F2AE5">
        <w:t xml:space="preserve"> </w:t>
      </w:r>
      <w:r w:rsidR="0063085F">
        <w:t xml:space="preserve">the police </w:t>
      </w:r>
      <w:r w:rsidR="000F2AE5">
        <w:t xml:space="preserve">released </w:t>
      </w:r>
      <w:r w:rsidR="0063085F">
        <w:t xml:space="preserve">him </w:t>
      </w:r>
      <w:r w:rsidR="000F2AE5">
        <w:t xml:space="preserve">at </w:t>
      </w:r>
      <w:r w:rsidR="00190180">
        <w:t>7</w:t>
      </w:r>
      <w:r w:rsidR="000F2AE5">
        <w:t xml:space="preserve"> p.m. </w:t>
      </w:r>
      <w:r w:rsidR="008243D3">
        <w:t xml:space="preserve">and that </w:t>
      </w:r>
      <w:r w:rsidR="0029387B">
        <w:t>he</w:t>
      </w:r>
      <w:r w:rsidR="0063085F">
        <w:t xml:space="preserve"> </w:t>
      </w:r>
      <w:r w:rsidR="000F2AE5">
        <w:t xml:space="preserve">arrived home at </w:t>
      </w:r>
      <w:r w:rsidR="00190180">
        <w:t>9</w:t>
      </w:r>
      <w:r w:rsidR="003650C4">
        <w:t>.</w:t>
      </w:r>
      <w:r w:rsidR="00190180">
        <w:t>45</w:t>
      </w:r>
      <w:r w:rsidR="000F2AE5">
        <w:t xml:space="preserve"> p.m. </w:t>
      </w:r>
    </w:p>
    <w:p w14:paraId="6321128A" w14:textId="77777777" w:rsidR="0020353C" w:rsidRDefault="0020353C">
      <w:pPr>
        <w:pStyle w:val="SingleTxtG"/>
      </w:pPr>
      <w:r>
        <w:t>4.5</w:t>
      </w:r>
      <w:r>
        <w:tab/>
      </w:r>
      <w:r w:rsidR="00687B7C">
        <w:t xml:space="preserve">The State party </w:t>
      </w:r>
      <w:r w:rsidR="008243D3">
        <w:t xml:space="preserve">also </w:t>
      </w:r>
      <w:r w:rsidR="00687B7C">
        <w:t>submits that</w:t>
      </w:r>
      <w:r w:rsidR="008243D3">
        <w:t>,</w:t>
      </w:r>
      <w:r w:rsidR="00687B7C">
        <w:t xml:space="preserve"> during the investigation into the death of </w:t>
      </w:r>
      <w:r w:rsidR="002124DF">
        <w:t xml:space="preserve">Mr. </w:t>
      </w:r>
      <w:r w:rsidR="00687B7C">
        <w:t>Akmatov, several officers were questioned. They confirm</w:t>
      </w:r>
      <w:r w:rsidR="000836E1">
        <w:t>ed</w:t>
      </w:r>
      <w:r w:rsidR="00687B7C">
        <w:t xml:space="preserve"> that Mr</w:t>
      </w:r>
      <w:r w:rsidR="002124DF">
        <w:t>.</w:t>
      </w:r>
      <w:r w:rsidR="00687B7C">
        <w:t xml:space="preserve"> Akmatov </w:t>
      </w:r>
      <w:r w:rsidR="003650C4">
        <w:t xml:space="preserve">had been </w:t>
      </w:r>
      <w:r w:rsidR="00687B7C">
        <w:lastRenderedPageBreak/>
        <w:t>brought to the police station on 3 May 2005</w:t>
      </w:r>
      <w:r w:rsidR="00605D24">
        <w:t xml:space="preserve"> at 9 a.m</w:t>
      </w:r>
      <w:r w:rsidR="000836E1">
        <w:t>.</w:t>
      </w:r>
      <w:r w:rsidR="00605D24">
        <w:rPr>
          <w:rStyle w:val="FootnoteReference"/>
        </w:rPr>
        <w:footnoteReference w:id="10"/>
      </w:r>
      <w:r w:rsidR="00633364">
        <w:t xml:space="preserve"> </w:t>
      </w:r>
      <w:r w:rsidR="000836E1">
        <w:t xml:space="preserve">and that he </w:t>
      </w:r>
      <w:r w:rsidR="00687B7C">
        <w:t>was released the same day</w:t>
      </w:r>
      <w:r w:rsidR="003650C4">
        <w:t xml:space="preserve"> without having been</w:t>
      </w:r>
      <w:r w:rsidR="00687B7C">
        <w:t xml:space="preserve"> subjected to any beatings while in police custody. </w:t>
      </w:r>
    </w:p>
    <w:p w14:paraId="06D11712" w14:textId="77777777" w:rsidR="00687B7C" w:rsidRDefault="00687B7C" w:rsidP="0029387B">
      <w:pPr>
        <w:pStyle w:val="SingleTxtG"/>
      </w:pPr>
      <w:r>
        <w:t>4.6</w:t>
      </w:r>
      <w:r>
        <w:tab/>
        <w:t xml:space="preserve">The State party further submits that additional witnesses </w:t>
      </w:r>
      <w:r w:rsidR="003650C4">
        <w:t xml:space="preserve">— </w:t>
      </w:r>
      <w:r>
        <w:t>B.B., Y.S.</w:t>
      </w:r>
      <w:r w:rsidR="003650C4">
        <w:t xml:space="preserve"> and</w:t>
      </w:r>
      <w:r>
        <w:t xml:space="preserve"> G.B.</w:t>
      </w:r>
      <w:r w:rsidR="003650C4">
        <w:t>, among</w:t>
      </w:r>
      <w:r>
        <w:t xml:space="preserve"> others </w:t>
      </w:r>
      <w:r w:rsidR="003650C4">
        <w:t xml:space="preserve">— </w:t>
      </w:r>
      <w:r>
        <w:t xml:space="preserve">testified that on 3 May 2005 they </w:t>
      </w:r>
      <w:r w:rsidR="00487B3B">
        <w:t xml:space="preserve">saw </w:t>
      </w:r>
      <w:r>
        <w:t xml:space="preserve">Mr. Akmatov leaving the police department without any “visible bodily injuries”. </w:t>
      </w:r>
    </w:p>
    <w:p w14:paraId="1E6EC656" w14:textId="77777777" w:rsidR="00687B7C" w:rsidRDefault="00687B7C" w:rsidP="00C5122C">
      <w:pPr>
        <w:pStyle w:val="SingleTxtG"/>
      </w:pPr>
      <w:r>
        <w:t>4.7</w:t>
      </w:r>
      <w:r>
        <w:tab/>
        <w:t xml:space="preserve">The State party </w:t>
      </w:r>
      <w:r w:rsidR="00113878">
        <w:t xml:space="preserve">points out </w:t>
      </w:r>
      <w:r>
        <w:t>that the authorities questioned more than 60 witnesses</w:t>
      </w:r>
      <w:r w:rsidR="00487B3B">
        <w:t xml:space="preserve"> and</w:t>
      </w:r>
      <w:r>
        <w:t xml:space="preserve"> conducted four forensic </w:t>
      </w:r>
      <w:r w:rsidRPr="00C5122C">
        <w:t>examinations</w:t>
      </w:r>
      <w:r w:rsidR="00C5122C">
        <w:t>,</w:t>
      </w:r>
      <w:r w:rsidRPr="00C5122C">
        <w:t xml:space="preserve"> </w:t>
      </w:r>
      <w:r w:rsidR="00C5122C">
        <w:t>for which</w:t>
      </w:r>
      <w:r>
        <w:t xml:space="preserve"> the body</w:t>
      </w:r>
      <w:r w:rsidR="00C5122C">
        <w:t xml:space="preserve"> had to be exhumed</w:t>
      </w:r>
      <w:r>
        <w:t xml:space="preserve">, but failed to identify any person “with any connection to committing a crime”. The investigation failed to yield any evidence that Mr. Akmatov </w:t>
      </w:r>
      <w:r w:rsidR="00487B3B">
        <w:t xml:space="preserve">had been </w:t>
      </w:r>
      <w:r>
        <w:t xml:space="preserve">beaten by police officers. </w:t>
      </w:r>
    </w:p>
    <w:p w14:paraId="1ABB9EF2" w14:textId="77777777" w:rsidR="0073334A" w:rsidRDefault="0073334A" w:rsidP="0029387B">
      <w:pPr>
        <w:pStyle w:val="SingleTxtG"/>
      </w:pPr>
      <w:r>
        <w:t>4.</w:t>
      </w:r>
      <w:r w:rsidR="00214342">
        <w:t>8</w:t>
      </w:r>
      <w:r>
        <w:tab/>
        <w:t xml:space="preserve">The State party submits that the investigation into the death of Mr. Akmatov was carried out “superficially”, </w:t>
      </w:r>
      <w:r w:rsidR="008243D3">
        <w:t xml:space="preserve">that </w:t>
      </w:r>
      <w:r>
        <w:t>the evidence was recorded improperly and</w:t>
      </w:r>
      <w:r w:rsidR="008243D3">
        <w:t xml:space="preserve"> that</w:t>
      </w:r>
      <w:r>
        <w:t xml:space="preserve"> the perpetrators could not </w:t>
      </w:r>
      <w:r w:rsidR="008243D3">
        <w:t xml:space="preserve">therefore </w:t>
      </w:r>
      <w:r>
        <w:t xml:space="preserve">be identified during the first four months of the investigation, </w:t>
      </w:r>
      <w:r w:rsidR="00487B3B">
        <w:t>which is why it</w:t>
      </w:r>
      <w:r>
        <w:t xml:space="preserve"> was suspended</w:t>
      </w:r>
      <w:r w:rsidR="00487B3B">
        <w:t xml:space="preserve"> on 24 September 2005</w:t>
      </w:r>
      <w:r>
        <w:t xml:space="preserve">. </w:t>
      </w:r>
    </w:p>
    <w:p w14:paraId="2ACD6B41" w14:textId="77777777" w:rsidR="0073334A" w:rsidRDefault="0073334A" w:rsidP="0029387B">
      <w:pPr>
        <w:pStyle w:val="SingleTxtG"/>
      </w:pPr>
      <w:r>
        <w:t>4.</w:t>
      </w:r>
      <w:r w:rsidR="00214342">
        <w:t>9</w:t>
      </w:r>
      <w:r>
        <w:tab/>
      </w:r>
      <w:r w:rsidR="004C07CE">
        <w:t>O</w:t>
      </w:r>
      <w:r>
        <w:t>n 5 September 2005, an autopsy confirmed the cause of death from blunt trauma to the brain, but could not exclude that th</w:t>
      </w:r>
      <w:r w:rsidR="008243D3">
        <w:t>e</w:t>
      </w:r>
      <w:r>
        <w:t xml:space="preserve"> trauma </w:t>
      </w:r>
      <w:r w:rsidR="008243D3">
        <w:t>had</w:t>
      </w:r>
      <w:r>
        <w:t xml:space="preserve"> not</w:t>
      </w:r>
      <w:r w:rsidR="008243D3">
        <w:t xml:space="preserve"> been</w:t>
      </w:r>
      <w:r>
        <w:t xml:space="preserve"> caused by “falling down”. </w:t>
      </w:r>
      <w:r w:rsidR="00434D08">
        <w:t xml:space="preserve">Nonetheless, </w:t>
      </w:r>
      <w:r>
        <w:t>the investigators failed to ascertain whether Mr</w:t>
      </w:r>
      <w:r w:rsidR="0029387B">
        <w:t>.</w:t>
      </w:r>
      <w:r>
        <w:t xml:space="preserve"> Akmatov </w:t>
      </w:r>
      <w:r w:rsidR="00434D08">
        <w:t xml:space="preserve">had </w:t>
      </w:r>
      <w:r>
        <w:t xml:space="preserve">indeed </w:t>
      </w:r>
      <w:r w:rsidR="00434D08">
        <w:t>fallen</w:t>
      </w:r>
      <w:r>
        <w:t xml:space="preserve"> and the location of the incident. </w:t>
      </w:r>
    </w:p>
    <w:p w14:paraId="25985F14" w14:textId="77777777" w:rsidR="00B13AB6" w:rsidRDefault="00214342" w:rsidP="002B605A">
      <w:pPr>
        <w:pStyle w:val="SingleTxtG"/>
      </w:pPr>
      <w:r>
        <w:t>4.10</w:t>
      </w:r>
      <w:r w:rsidR="00B13AB6">
        <w:tab/>
        <w:t>On 29 June 2005, near Mirza-</w:t>
      </w:r>
      <w:r w:rsidR="00434D08">
        <w:t>A</w:t>
      </w:r>
      <w:r w:rsidR="00B13AB6">
        <w:t xml:space="preserve">ki, the head of </w:t>
      </w:r>
      <w:r w:rsidR="00434D08">
        <w:t xml:space="preserve">the </w:t>
      </w:r>
      <w:r w:rsidR="00B13AB6">
        <w:t>local police station, Z</w:t>
      </w:r>
      <w:r w:rsidR="00074EEA">
        <w:t>.T.</w:t>
      </w:r>
      <w:r w:rsidR="00434D08">
        <w:t>,</w:t>
      </w:r>
      <w:r w:rsidR="00B13AB6">
        <w:t xml:space="preserve"> had an “altercation” with the author</w:t>
      </w:r>
      <w:r w:rsidR="00434D08">
        <w:t xml:space="preserve"> d</w:t>
      </w:r>
      <w:r w:rsidR="00B13AB6">
        <w:t xml:space="preserve">uring </w:t>
      </w:r>
      <w:r w:rsidR="00434D08">
        <w:t xml:space="preserve">which </w:t>
      </w:r>
      <w:r w:rsidR="00074EEA">
        <w:t xml:space="preserve">Z.T. </w:t>
      </w:r>
      <w:r w:rsidR="00B13AB6">
        <w:t xml:space="preserve">“twisted” </w:t>
      </w:r>
      <w:r w:rsidR="00434D08">
        <w:t>the aut</w:t>
      </w:r>
      <w:r w:rsidR="004E77AA">
        <w:t>h</w:t>
      </w:r>
      <w:r w:rsidR="00434D08">
        <w:t>or</w:t>
      </w:r>
      <w:r w:rsidR="00B13AB6">
        <w:t xml:space="preserve">’s fingers, causing “bodily injuries”. On 18 July 2005, </w:t>
      </w:r>
      <w:r w:rsidR="00B13AB6" w:rsidRPr="002B605A">
        <w:t>the Osh region</w:t>
      </w:r>
      <w:r w:rsidR="002B605A">
        <w:t>al</w:t>
      </w:r>
      <w:r w:rsidR="00B13AB6" w:rsidRPr="002B605A">
        <w:t xml:space="preserve"> </w:t>
      </w:r>
      <w:r w:rsidR="002B605A" w:rsidRPr="00B666F6">
        <w:t xml:space="preserve">prosecutor’s office </w:t>
      </w:r>
      <w:r w:rsidR="00B13AB6" w:rsidRPr="002B605A">
        <w:t>initiated a criminal inv</w:t>
      </w:r>
      <w:r w:rsidR="00B13AB6">
        <w:t>estigation into this fact. The investigation was discontinued</w:t>
      </w:r>
      <w:r w:rsidR="00777CD8">
        <w:rPr>
          <w:rStyle w:val="FootnoteReference"/>
        </w:rPr>
        <w:footnoteReference w:id="11"/>
      </w:r>
      <w:r w:rsidR="00B13AB6">
        <w:t xml:space="preserve"> on 30 June 2006</w:t>
      </w:r>
      <w:r w:rsidR="00633364">
        <w:t>.</w:t>
      </w:r>
      <w:r w:rsidR="00B13AB6">
        <w:rPr>
          <w:rStyle w:val="FootnoteReference"/>
        </w:rPr>
        <w:footnoteReference w:id="12"/>
      </w:r>
      <w:r w:rsidR="00B13AB6">
        <w:t xml:space="preserve"> </w:t>
      </w:r>
    </w:p>
    <w:p w14:paraId="61843A29" w14:textId="77777777" w:rsidR="00214342" w:rsidRDefault="00214342" w:rsidP="00C5122C">
      <w:pPr>
        <w:pStyle w:val="SingleTxtG"/>
      </w:pPr>
      <w:r w:rsidRPr="00903354">
        <w:t>4.11</w:t>
      </w:r>
      <w:r w:rsidRPr="00903354">
        <w:tab/>
        <w:t>The State party submits that</w:t>
      </w:r>
      <w:r w:rsidR="00903354">
        <w:t>,</w:t>
      </w:r>
      <w:r w:rsidRPr="00903354">
        <w:t xml:space="preserve"> on an un</w:t>
      </w:r>
      <w:r w:rsidR="004C07CE" w:rsidRPr="00903354">
        <w:t xml:space="preserve">specified </w:t>
      </w:r>
      <w:r w:rsidRPr="00903354">
        <w:t xml:space="preserve">date, the </w:t>
      </w:r>
      <w:r w:rsidR="004C07CE" w:rsidRPr="00903354">
        <w:t xml:space="preserve">author’s </w:t>
      </w:r>
      <w:r w:rsidRPr="00903354">
        <w:t>lawyer petitioned</w:t>
      </w:r>
      <w:r>
        <w:t xml:space="preserve"> the Osh </w:t>
      </w:r>
      <w:r w:rsidR="002124DF">
        <w:t>Ci</w:t>
      </w:r>
      <w:r>
        <w:t xml:space="preserve">ty </w:t>
      </w:r>
      <w:r w:rsidR="002124DF">
        <w:t>C</w:t>
      </w:r>
      <w:r>
        <w:t xml:space="preserve">ourt to reopen the investigation </w:t>
      </w:r>
      <w:r w:rsidR="00434D08">
        <w:t>into</w:t>
      </w:r>
      <w:r>
        <w:t xml:space="preserve"> the death. </w:t>
      </w:r>
      <w:r w:rsidR="009F6E4B">
        <w:t>Th</w:t>
      </w:r>
      <w:r w:rsidR="00434D08">
        <w:t>e</w:t>
      </w:r>
      <w:r w:rsidR="009F6E4B">
        <w:t xml:space="preserve"> petition was rejected by the Osh </w:t>
      </w:r>
      <w:r w:rsidR="00AE1137">
        <w:t>C</w:t>
      </w:r>
      <w:r w:rsidR="009F6E4B">
        <w:t xml:space="preserve">ity </w:t>
      </w:r>
      <w:r w:rsidR="00AE1137">
        <w:t>C</w:t>
      </w:r>
      <w:r w:rsidR="009F6E4B">
        <w:t xml:space="preserve">ourt on </w:t>
      </w:r>
      <w:r>
        <w:t xml:space="preserve">11 January 2011 and </w:t>
      </w:r>
      <w:r w:rsidR="00434D08">
        <w:t>again</w:t>
      </w:r>
      <w:r>
        <w:t xml:space="preserve">, </w:t>
      </w:r>
      <w:r w:rsidR="004C07CE">
        <w:t xml:space="preserve">on appeal, </w:t>
      </w:r>
      <w:r>
        <w:t xml:space="preserve">by the Osh </w:t>
      </w:r>
      <w:r w:rsidR="002124DF">
        <w:t>R</w:t>
      </w:r>
      <w:r>
        <w:t xml:space="preserve">egional </w:t>
      </w:r>
      <w:r w:rsidR="002124DF">
        <w:t>C</w:t>
      </w:r>
      <w:r>
        <w:t>ourt</w:t>
      </w:r>
      <w:r w:rsidR="00434D08">
        <w:t>,</w:t>
      </w:r>
      <w:r>
        <w:t xml:space="preserve"> on 15 February 2011. The State party </w:t>
      </w:r>
      <w:r w:rsidR="00C5122C">
        <w:t xml:space="preserve">also </w:t>
      </w:r>
      <w:r>
        <w:t xml:space="preserve">submits that counsel did not appeal this decision under the supervisory review procedure. </w:t>
      </w:r>
    </w:p>
    <w:p w14:paraId="28B82411" w14:textId="77777777" w:rsidR="004B44C6" w:rsidRDefault="004B44C6" w:rsidP="004B44C6">
      <w:pPr>
        <w:pStyle w:val="H23G"/>
      </w:pPr>
      <w:r w:rsidRPr="00B12E1C">
        <w:tab/>
      </w:r>
      <w:r w:rsidRPr="00B12E1C">
        <w:tab/>
        <w:t>Author’s comments on the State party’s observations</w:t>
      </w:r>
    </w:p>
    <w:p w14:paraId="3B4C6C9A" w14:textId="77777777" w:rsidR="00B727CA" w:rsidRDefault="004B44C6" w:rsidP="00903354">
      <w:pPr>
        <w:pStyle w:val="SingleTxtG"/>
      </w:pPr>
      <w:r w:rsidRPr="00B12E1C">
        <w:t>5.1</w:t>
      </w:r>
      <w:r w:rsidRPr="00B12E1C">
        <w:tab/>
      </w:r>
      <w:r w:rsidR="00434D08">
        <w:t xml:space="preserve">In his </w:t>
      </w:r>
      <w:r w:rsidR="000F2874">
        <w:t xml:space="preserve">letters </w:t>
      </w:r>
      <w:r w:rsidR="00903354">
        <w:t xml:space="preserve">dated </w:t>
      </w:r>
      <w:r w:rsidR="008361A4">
        <w:t>10</w:t>
      </w:r>
      <w:r w:rsidR="00770F8E">
        <w:t xml:space="preserve"> </w:t>
      </w:r>
      <w:r w:rsidR="008361A4">
        <w:t>November</w:t>
      </w:r>
      <w:r w:rsidR="00770F8E">
        <w:t xml:space="preserve"> 2011</w:t>
      </w:r>
      <w:r w:rsidR="000F2874">
        <w:t xml:space="preserve"> and 6 April 2012</w:t>
      </w:r>
      <w:r w:rsidR="00770F8E">
        <w:t>, the author</w:t>
      </w:r>
      <w:r w:rsidR="008361A4">
        <w:t xml:space="preserve">, responding to the State party’s observations on </w:t>
      </w:r>
      <w:r w:rsidR="001A2751">
        <w:t xml:space="preserve">admissibility and </w:t>
      </w:r>
      <w:r w:rsidR="008361A4">
        <w:t>the merits,</w:t>
      </w:r>
      <w:r w:rsidR="001A2751">
        <w:t xml:space="preserve"> submits that the present communication should be considered by the Committee as admissible. Referring to the Committee</w:t>
      </w:r>
      <w:r w:rsidR="00434D08">
        <w:t>’s</w:t>
      </w:r>
      <w:r w:rsidR="001A2751">
        <w:t xml:space="preserve"> jurisprudence in </w:t>
      </w:r>
      <w:r w:rsidR="001A2751" w:rsidRPr="001A2751">
        <w:rPr>
          <w:i/>
        </w:rPr>
        <w:t>Akhadov</w:t>
      </w:r>
      <w:r w:rsidR="00903354" w:rsidRPr="00903354">
        <w:rPr>
          <w:i/>
        </w:rPr>
        <w:t xml:space="preserve"> </w:t>
      </w:r>
      <w:r w:rsidR="00903354" w:rsidRPr="001A2751">
        <w:rPr>
          <w:i/>
        </w:rPr>
        <w:t>v. Kyrgyzstan</w:t>
      </w:r>
      <w:r w:rsidR="00903354" w:rsidRPr="003C403B">
        <w:rPr>
          <w:rStyle w:val="FootnoteReference"/>
          <w:bCs/>
          <w:iCs/>
        </w:rPr>
        <w:t xml:space="preserve"> </w:t>
      </w:r>
      <w:r w:rsidR="001A2751" w:rsidRPr="00B666F6">
        <w:rPr>
          <w:rStyle w:val="FootnoteReference"/>
          <w:bCs/>
          <w:iCs/>
        </w:rPr>
        <w:footnoteReference w:id="13"/>
      </w:r>
      <w:r w:rsidR="001A2751">
        <w:t xml:space="preserve"> and other cases, he considers the supervisory review proceedings discretionary</w:t>
      </w:r>
      <w:r w:rsidR="00995846">
        <w:rPr>
          <w:lang w:bidi="he-IL"/>
        </w:rPr>
        <w:t xml:space="preserve"> in nature</w:t>
      </w:r>
      <w:r w:rsidR="001A2751">
        <w:t xml:space="preserve">. </w:t>
      </w:r>
    </w:p>
    <w:p w14:paraId="7DEF3445" w14:textId="77777777" w:rsidR="00173EC9" w:rsidRDefault="00173EC9">
      <w:pPr>
        <w:pStyle w:val="SingleTxtG"/>
      </w:pPr>
      <w:r>
        <w:t>5.2</w:t>
      </w:r>
      <w:r>
        <w:tab/>
      </w:r>
      <w:r w:rsidR="00777CD8">
        <w:t xml:space="preserve">The author reiterates his position regarding </w:t>
      </w:r>
      <w:r w:rsidR="000F2874">
        <w:t xml:space="preserve">the </w:t>
      </w:r>
      <w:r w:rsidR="00777CD8">
        <w:t xml:space="preserve">violations of the Covenant. He submits that the injuries to his son could not have been caused by anything other than torture in police custody, and </w:t>
      </w:r>
      <w:r w:rsidR="00A737E1">
        <w:t xml:space="preserve">that torture </w:t>
      </w:r>
      <w:r w:rsidR="00777CD8">
        <w:t>was the reason why his son ended up dead. Th</w:t>
      </w:r>
      <w:r w:rsidR="00A737E1">
        <w:t>at was</w:t>
      </w:r>
      <w:r w:rsidR="00777CD8">
        <w:t xml:space="preserve"> especially clear in</w:t>
      </w:r>
      <w:r w:rsidR="00A737E1">
        <w:t xml:space="preserve"> the</w:t>
      </w:r>
      <w:r w:rsidR="00777CD8">
        <w:t xml:space="preserve"> light of the fact that the State party failed to put forward any plausible explanation </w:t>
      </w:r>
      <w:r w:rsidR="00903354">
        <w:t xml:space="preserve">for </w:t>
      </w:r>
      <w:r w:rsidR="00777CD8">
        <w:t xml:space="preserve">the events of 3 May 2005. The final forensic medical review of 19 March 2008 confirmed that the injury </w:t>
      </w:r>
      <w:r w:rsidR="00A737E1">
        <w:t>to</w:t>
      </w:r>
      <w:r w:rsidR="00777CD8">
        <w:t xml:space="preserve"> the victim </w:t>
      </w:r>
      <w:r w:rsidR="00A737E1">
        <w:t xml:space="preserve">was </w:t>
      </w:r>
      <w:r w:rsidR="00777CD8">
        <w:t xml:space="preserve">from </w:t>
      </w:r>
      <w:r w:rsidR="00A737E1">
        <w:t xml:space="preserve">the </w:t>
      </w:r>
      <w:r w:rsidR="00777CD8">
        <w:t>impact of</w:t>
      </w:r>
      <w:r w:rsidR="00A737E1">
        <w:t xml:space="preserve"> a</w:t>
      </w:r>
      <w:r w:rsidR="00777CD8">
        <w:t xml:space="preserve"> blunt</w:t>
      </w:r>
      <w:r w:rsidR="00B36AD3">
        <w:t>, hard</w:t>
      </w:r>
      <w:r w:rsidR="00777CD8">
        <w:t xml:space="preserve"> object and that the “contact</w:t>
      </w:r>
      <w:r w:rsidR="000F2874">
        <w:t>” took place “</w:t>
      </w:r>
      <w:r w:rsidR="00777CD8">
        <w:t xml:space="preserve">a few hours before death”. </w:t>
      </w:r>
    </w:p>
    <w:p w14:paraId="5CB54396" w14:textId="77777777" w:rsidR="00777CD8" w:rsidRDefault="00777CD8">
      <w:pPr>
        <w:pStyle w:val="SingleTxtG"/>
      </w:pPr>
      <w:r>
        <w:t>5.3</w:t>
      </w:r>
      <w:r>
        <w:tab/>
      </w:r>
      <w:r w:rsidR="00605D24">
        <w:t>The author also disputes the State party’s submission that Turdubek Akmatov was brought to the police station at approximately 3 p.m. on 3 May 2005. The State party</w:t>
      </w:r>
      <w:r w:rsidR="00A737E1">
        <w:t>,</w:t>
      </w:r>
      <w:r w:rsidR="00605D24">
        <w:t xml:space="preserve"> in its submission</w:t>
      </w:r>
      <w:r w:rsidR="00A737E1">
        <w:t>,</w:t>
      </w:r>
      <w:r w:rsidR="00605D24">
        <w:t xml:space="preserve"> contradicts itself by stating that </w:t>
      </w:r>
      <w:r w:rsidR="0029387B">
        <w:t xml:space="preserve">Mr. </w:t>
      </w:r>
      <w:r w:rsidR="00605D24">
        <w:t xml:space="preserve">Akmatov was brought to the police station at 9 a.m., which is consistent with the </w:t>
      </w:r>
      <w:r w:rsidR="00450D04">
        <w:t xml:space="preserve">testimony </w:t>
      </w:r>
      <w:r w:rsidR="00605D24">
        <w:t xml:space="preserve">of the Akmatov family. </w:t>
      </w:r>
    </w:p>
    <w:p w14:paraId="30EEA989" w14:textId="77777777" w:rsidR="00605D24" w:rsidRDefault="00605D24">
      <w:pPr>
        <w:pStyle w:val="SingleTxtG"/>
      </w:pPr>
      <w:r>
        <w:t>5.4</w:t>
      </w:r>
      <w:r>
        <w:tab/>
      </w:r>
      <w:r w:rsidR="000F2874">
        <w:t xml:space="preserve">He further </w:t>
      </w:r>
      <w:r>
        <w:t>sub</w:t>
      </w:r>
      <w:r w:rsidR="007F31EB">
        <w:t xml:space="preserve">mits that the State party lacked safeguards to protect </w:t>
      </w:r>
      <w:r w:rsidR="0029387B">
        <w:t>his son</w:t>
      </w:r>
      <w:r w:rsidR="008F5C85">
        <w:t>’s</w:t>
      </w:r>
      <w:r w:rsidR="007F31EB">
        <w:t xml:space="preserve"> life. The victim was not provided with a lawyer, his detention was not registered and </w:t>
      </w:r>
      <w:r w:rsidR="00A737E1">
        <w:t xml:space="preserve">a </w:t>
      </w:r>
      <w:r w:rsidR="007F31EB">
        <w:t xml:space="preserve">medical examination was not allowed. These failures created an environment </w:t>
      </w:r>
      <w:r w:rsidR="00A737E1">
        <w:t xml:space="preserve">that </w:t>
      </w:r>
      <w:r w:rsidR="007F31EB">
        <w:t xml:space="preserve">facilitated </w:t>
      </w:r>
      <w:r w:rsidR="0029387B">
        <w:t xml:space="preserve">his </w:t>
      </w:r>
      <w:r w:rsidR="007F31EB">
        <w:t xml:space="preserve">torture and ultimate death. </w:t>
      </w:r>
    </w:p>
    <w:p w14:paraId="4EEAB0A7" w14:textId="77777777" w:rsidR="008F5C85" w:rsidRDefault="008F5C85" w:rsidP="0029387B">
      <w:pPr>
        <w:pStyle w:val="SingleTxtG"/>
        <w:rPr>
          <w:bCs/>
        </w:rPr>
      </w:pPr>
      <w:r>
        <w:rPr>
          <w:bCs/>
        </w:rPr>
        <w:t>5.5</w:t>
      </w:r>
      <w:r>
        <w:rPr>
          <w:bCs/>
        </w:rPr>
        <w:tab/>
        <w:t xml:space="preserve">The author reiterates his position regarding the State party’s failure to conduct an effective investigation and to provide redress for torture. Mr. Akmatov’s family has been denied compensation, </w:t>
      </w:r>
      <w:r w:rsidR="00A737E1">
        <w:rPr>
          <w:bCs/>
        </w:rPr>
        <w:t>despite</w:t>
      </w:r>
      <w:r>
        <w:rPr>
          <w:bCs/>
        </w:rPr>
        <w:t xml:space="preserve"> hav</w:t>
      </w:r>
      <w:r w:rsidR="0029387B">
        <w:rPr>
          <w:bCs/>
        </w:rPr>
        <w:t>ing</w:t>
      </w:r>
      <w:r>
        <w:rPr>
          <w:bCs/>
        </w:rPr>
        <w:t xml:space="preserve"> made extensive efforts to have Turdubek’s death properly investigated. The absence of any real attempt to establish criminal liability makes a civil claim impossible as a matter of law. </w:t>
      </w:r>
    </w:p>
    <w:p w14:paraId="1C87E63D" w14:textId="77777777" w:rsidR="002F2E8D" w:rsidRDefault="002F2E8D">
      <w:pPr>
        <w:pStyle w:val="SingleTxtG"/>
      </w:pPr>
      <w:r>
        <w:t>5.6</w:t>
      </w:r>
      <w:r>
        <w:tab/>
      </w:r>
      <w:r w:rsidR="00F356EC">
        <w:t xml:space="preserve">The author </w:t>
      </w:r>
      <w:r w:rsidR="000F2874">
        <w:t xml:space="preserve">invites </w:t>
      </w:r>
      <w:r w:rsidR="00F356EC">
        <w:t xml:space="preserve">the Committee to find that the State party violated all the articles </w:t>
      </w:r>
      <w:r w:rsidR="00A737E1">
        <w:t>mentioned</w:t>
      </w:r>
      <w:r w:rsidR="00F356EC">
        <w:t xml:space="preserve"> above, to create an independent commission of inquiry to investigate the </w:t>
      </w:r>
      <w:r w:rsidR="000F2874">
        <w:t xml:space="preserve">exact </w:t>
      </w:r>
      <w:r w:rsidR="00F356EC">
        <w:t xml:space="preserve">circumstances of </w:t>
      </w:r>
      <w:r w:rsidR="00450D04">
        <w:rPr>
          <w:bCs/>
        </w:rPr>
        <w:t>Turdubek’s</w:t>
      </w:r>
      <w:r w:rsidR="00450D04" w:rsidDel="00450D04">
        <w:t xml:space="preserve"> </w:t>
      </w:r>
      <w:r w:rsidR="00F356EC">
        <w:t>torture and death, to urge the State party to pay compensation to the family of the victim and</w:t>
      </w:r>
      <w:r w:rsidR="00A737E1">
        <w:t>,</w:t>
      </w:r>
      <w:r w:rsidR="00F356EC">
        <w:t xml:space="preserve"> finally, to urge the State party to introduce safeguards to prevent similar violations in the future. </w:t>
      </w:r>
    </w:p>
    <w:p w14:paraId="24987765" w14:textId="77777777" w:rsidR="00173EC9" w:rsidRPr="00173EC9" w:rsidRDefault="00633364" w:rsidP="00633364">
      <w:pPr>
        <w:pStyle w:val="H23G"/>
      </w:pPr>
      <w:r>
        <w:tab/>
      </w:r>
      <w:r>
        <w:tab/>
      </w:r>
      <w:r w:rsidR="00173EC9" w:rsidRPr="00173EC9">
        <w:t>State party’s further observations</w:t>
      </w:r>
    </w:p>
    <w:p w14:paraId="0829313D" w14:textId="77777777" w:rsidR="00173EC9" w:rsidRDefault="00173EC9" w:rsidP="00BF5B20">
      <w:pPr>
        <w:pStyle w:val="SingleTxtG"/>
      </w:pPr>
      <w:r>
        <w:t>6.1</w:t>
      </w:r>
      <w:r w:rsidR="00A970E3">
        <w:tab/>
      </w:r>
      <w:r w:rsidR="00242075">
        <w:t>On 3 February 2012, the State party, reiterating its position, submit</w:t>
      </w:r>
      <w:r w:rsidR="004C55E0">
        <w:t>ted</w:t>
      </w:r>
      <w:r w:rsidR="00242075">
        <w:t xml:space="preserve"> that </w:t>
      </w:r>
      <w:r w:rsidR="00A34071">
        <w:t xml:space="preserve">Turdubek Akmatov was detained at approximately </w:t>
      </w:r>
      <w:r w:rsidR="000F2874">
        <w:t>3</w:t>
      </w:r>
      <w:r w:rsidR="00A34071">
        <w:t xml:space="preserve"> p.m., not 9 a.m. This </w:t>
      </w:r>
      <w:r w:rsidR="004C55E0">
        <w:t>wa</w:t>
      </w:r>
      <w:r w:rsidR="00A34071">
        <w:t>s confirmed by the witnesses, officer</w:t>
      </w:r>
      <w:r w:rsidR="004C55E0">
        <w:t>s</w:t>
      </w:r>
      <w:r w:rsidR="00A34071">
        <w:t xml:space="preserve"> N.T. and Y.S. </w:t>
      </w:r>
      <w:r w:rsidR="004C55E0">
        <w:t>O</w:t>
      </w:r>
      <w:r w:rsidR="00A34071">
        <w:t xml:space="preserve">fficer Y.S. testified that </w:t>
      </w:r>
      <w:r w:rsidR="00BF5B20">
        <w:t xml:space="preserve">Mr. </w:t>
      </w:r>
      <w:r w:rsidR="00A34071">
        <w:t xml:space="preserve">Akmatov was not beaten while in custody and </w:t>
      </w:r>
      <w:r w:rsidR="004C55E0">
        <w:t xml:space="preserve">that </w:t>
      </w:r>
      <w:r w:rsidR="00A34071">
        <w:t>when he le</w:t>
      </w:r>
      <w:r w:rsidR="004C55E0">
        <w:t>ft</w:t>
      </w:r>
      <w:r w:rsidR="00A34071">
        <w:t xml:space="preserve"> the police station he was in “normal condition”, with “no injuries on visible parts of his body”. It is true that initially officer M.E. testified </w:t>
      </w:r>
      <w:r w:rsidR="004C55E0">
        <w:t xml:space="preserve">having </w:t>
      </w:r>
      <w:r w:rsidR="00A34071">
        <w:t xml:space="preserve">witnessed the beating of </w:t>
      </w:r>
      <w:r w:rsidR="00BF5B20">
        <w:t xml:space="preserve">Mr. </w:t>
      </w:r>
      <w:r w:rsidR="00A34071">
        <w:t>Akmatov</w:t>
      </w:r>
      <w:r w:rsidR="004C55E0">
        <w:t>,</w:t>
      </w:r>
      <w:r w:rsidR="00A34071">
        <w:t xml:space="preserve"> </w:t>
      </w:r>
      <w:r w:rsidR="00262F97">
        <w:t xml:space="preserve">but </w:t>
      </w:r>
      <w:r w:rsidR="00A34071">
        <w:t xml:space="preserve">he later recanted his testimony, stating that he </w:t>
      </w:r>
      <w:r w:rsidR="004C55E0">
        <w:t xml:space="preserve">had been </w:t>
      </w:r>
      <w:r w:rsidR="00A34071">
        <w:t xml:space="preserve">pressured by the victim’s father, Suyunbai Akmatov. Officer M.E. also testified that he was not even present at the police station </w:t>
      </w:r>
      <w:r w:rsidR="004C55E0">
        <w:t xml:space="preserve">on </w:t>
      </w:r>
      <w:r w:rsidR="00A34071">
        <w:t xml:space="preserve">the day in question. </w:t>
      </w:r>
    </w:p>
    <w:p w14:paraId="2F52B8F1" w14:textId="77777777" w:rsidR="002124DF" w:rsidRDefault="00607807" w:rsidP="00450D04">
      <w:pPr>
        <w:pStyle w:val="SingleTxtG"/>
      </w:pPr>
      <w:r>
        <w:t>6.2</w:t>
      </w:r>
      <w:r>
        <w:tab/>
        <w:t xml:space="preserve">The State party submits that several other officers </w:t>
      </w:r>
      <w:r w:rsidR="004C55E0">
        <w:t xml:space="preserve">had seen </w:t>
      </w:r>
      <w:r w:rsidR="00262F97">
        <w:t xml:space="preserve"> </w:t>
      </w:r>
      <w:r>
        <w:t xml:space="preserve">Turdubek Akmatov </w:t>
      </w:r>
      <w:r w:rsidR="004C55E0">
        <w:t xml:space="preserve">and testified that he was </w:t>
      </w:r>
      <w:r>
        <w:t>without any injuries and</w:t>
      </w:r>
      <w:r w:rsidR="00D62ECA">
        <w:t xml:space="preserve"> that he was</w:t>
      </w:r>
      <w:r>
        <w:t xml:space="preserve"> walking “without anyone’s help”. The author’s assertions that th</w:t>
      </w:r>
      <w:r w:rsidR="004C55E0">
        <w:t>o</w:t>
      </w:r>
      <w:r>
        <w:t>se officers were under pressure are not supported by the evidence, since the questionings were carried out by investigators of the prosecutor’s office.</w:t>
      </w:r>
    </w:p>
    <w:p w14:paraId="138DCFD8" w14:textId="77777777" w:rsidR="004B44C6" w:rsidRPr="00B12E1C" w:rsidRDefault="002124DF" w:rsidP="004B44C6">
      <w:pPr>
        <w:pStyle w:val="H23G"/>
      </w:pPr>
      <w:r>
        <w:tab/>
      </w:r>
      <w:r w:rsidR="004B44C6" w:rsidRPr="00B12E1C">
        <w:tab/>
        <w:t>Issues and proceedings before the Committee</w:t>
      </w:r>
    </w:p>
    <w:p w14:paraId="426B4039" w14:textId="77777777" w:rsidR="004B44C6" w:rsidRPr="00B12E1C" w:rsidRDefault="004B44C6" w:rsidP="004B44C6">
      <w:pPr>
        <w:pStyle w:val="H4G"/>
      </w:pPr>
      <w:r w:rsidRPr="00B12E1C">
        <w:tab/>
      </w:r>
      <w:r w:rsidRPr="00B12E1C">
        <w:tab/>
        <w:t>Consideration of admissibility</w:t>
      </w:r>
    </w:p>
    <w:p w14:paraId="278BB1BC" w14:textId="77777777" w:rsidR="0090563A" w:rsidRDefault="004B44C6" w:rsidP="00262F97">
      <w:pPr>
        <w:pStyle w:val="SingleTxtG"/>
      </w:pPr>
      <w:r w:rsidRPr="00B12E1C">
        <w:t>7.1</w:t>
      </w:r>
      <w:r w:rsidRPr="00B12E1C">
        <w:tab/>
      </w:r>
      <w:r w:rsidR="0090563A">
        <w:t>Before considering any claims contained in a communication, the Committee must, in accordance with rule 93 of its rules of procedure, decide whether or not it is admissible under the Optional Protocol.</w:t>
      </w:r>
    </w:p>
    <w:p w14:paraId="352E49C5" w14:textId="77777777" w:rsidR="0090563A" w:rsidRDefault="0090563A" w:rsidP="00B36AD3">
      <w:pPr>
        <w:pStyle w:val="SingleTxtG"/>
      </w:pPr>
      <w:r w:rsidRPr="00810D8A">
        <w:t>7.2</w:t>
      </w:r>
      <w:r>
        <w:tab/>
        <w:t xml:space="preserve">The Committee has ascertained, as required under article 5 </w:t>
      </w:r>
      <w:r w:rsidR="004C55E0">
        <w:t>(</w:t>
      </w:r>
      <w:r>
        <w:t>2</w:t>
      </w:r>
      <w:r w:rsidR="004C55E0">
        <w:t>)</w:t>
      </w:r>
      <w:r>
        <w:t xml:space="preserve"> (a) of the Optional Protocol, that the same matter is not being examined under another procedure of international investigation or settlement.</w:t>
      </w:r>
    </w:p>
    <w:p w14:paraId="4BD0E78D" w14:textId="77777777" w:rsidR="000303DD" w:rsidRPr="001F4B4D" w:rsidRDefault="00494813" w:rsidP="00262F97">
      <w:pPr>
        <w:pStyle w:val="SingleTxtG"/>
        <w:rPr>
          <w:lang w:bidi="he-IL"/>
        </w:rPr>
      </w:pPr>
      <w:r w:rsidRPr="00494813">
        <w:t>7.3</w:t>
      </w:r>
      <w:r w:rsidRPr="00494813">
        <w:tab/>
        <w:t>The Committee notes the State party</w:t>
      </w:r>
      <w:r w:rsidR="00BE40C9">
        <w:t>’</w:t>
      </w:r>
      <w:r w:rsidRPr="00494813">
        <w:t xml:space="preserve">s submission that counsel for the author has not </w:t>
      </w:r>
      <w:r w:rsidR="006A3B7D">
        <w:t>sought</w:t>
      </w:r>
      <w:r w:rsidR="004C55E0">
        <w:t xml:space="preserve"> the</w:t>
      </w:r>
      <w:r w:rsidRPr="00494813">
        <w:t xml:space="preserve"> supervisory review of the Osh </w:t>
      </w:r>
      <w:r w:rsidR="00AE1137">
        <w:t>C</w:t>
      </w:r>
      <w:r w:rsidRPr="00494813">
        <w:t xml:space="preserve">ity </w:t>
      </w:r>
      <w:r w:rsidR="00AE1137">
        <w:t>C</w:t>
      </w:r>
      <w:r w:rsidRPr="00494813">
        <w:t xml:space="preserve">ourt </w:t>
      </w:r>
      <w:r w:rsidR="004C55E0">
        <w:t xml:space="preserve">order </w:t>
      </w:r>
      <w:r w:rsidRPr="00494813">
        <w:t>o</w:t>
      </w:r>
      <w:r w:rsidR="006A3B7D">
        <w:t>f</w:t>
      </w:r>
      <w:r w:rsidRPr="00494813">
        <w:t xml:space="preserve"> 11 January 2011 and the Osh </w:t>
      </w:r>
      <w:r w:rsidR="00AE1137">
        <w:t>R</w:t>
      </w:r>
      <w:r w:rsidRPr="00494813">
        <w:t xml:space="preserve">egional </w:t>
      </w:r>
      <w:r w:rsidR="00AE1137">
        <w:t>C</w:t>
      </w:r>
      <w:r w:rsidRPr="00494813">
        <w:t xml:space="preserve">ourt </w:t>
      </w:r>
      <w:r w:rsidR="004C55E0">
        <w:t xml:space="preserve">order </w:t>
      </w:r>
      <w:r w:rsidRPr="00494813">
        <w:t>o</w:t>
      </w:r>
      <w:r w:rsidR="006A3B7D">
        <w:t>f</w:t>
      </w:r>
      <w:r w:rsidRPr="00494813">
        <w:t xml:space="preserve"> 15 February 2011. The Committee </w:t>
      </w:r>
      <w:r w:rsidRPr="001F4B4D">
        <w:t xml:space="preserve">recalls its jurisprudence, according to which </w:t>
      </w:r>
      <w:r w:rsidR="000303DD" w:rsidRPr="001F4B4D">
        <w:rPr>
          <w:lang w:val="en-US"/>
        </w:rPr>
        <w:t>filing a request for supervisory review with regard to a court decision that has entered into force constitutes an extraordinary remedy, which would depend on the discretionary powers</w:t>
      </w:r>
      <w:r w:rsidR="000303DD" w:rsidRPr="001F4B4D">
        <w:rPr>
          <w:lang w:val="en-US" w:bidi="he-IL"/>
        </w:rPr>
        <w:t xml:space="preserve"> of the court in question</w:t>
      </w:r>
      <w:r w:rsidR="000303DD" w:rsidRPr="001F4B4D">
        <w:rPr>
          <w:lang w:val="en-US"/>
        </w:rPr>
        <w:t xml:space="preserve">, and the State party would have to show that there </w:t>
      </w:r>
      <w:r w:rsidR="00262F97">
        <w:rPr>
          <w:lang w:val="en-US"/>
        </w:rPr>
        <w:t>wa</w:t>
      </w:r>
      <w:r w:rsidR="000303DD" w:rsidRPr="001F4B4D">
        <w:rPr>
          <w:lang w:val="en-US"/>
        </w:rPr>
        <w:t>s a reasonable prospect that such request would result in an effective remedy in the circumstances of the case</w:t>
      </w:r>
      <w:r w:rsidRPr="001F4B4D">
        <w:t>.</w:t>
      </w:r>
      <w:r w:rsidRPr="00B666F6">
        <w:rPr>
          <w:rStyle w:val="FootnoteReference"/>
          <w:bCs/>
          <w:szCs w:val="18"/>
        </w:rPr>
        <w:footnoteReference w:id="14"/>
      </w:r>
      <w:r w:rsidRPr="001F4B4D">
        <w:t xml:space="preserve"> The State party has not shown, however, </w:t>
      </w:r>
      <w:r w:rsidR="00015F7C">
        <w:t xml:space="preserve">the extent to which </w:t>
      </w:r>
      <w:r w:rsidRPr="00494813">
        <w:t>petition</w:t>
      </w:r>
      <w:r w:rsidR="008C5C55">
        <w:t>s</w:t>
      </w:r>
      <w:r w:rsidRPr="00494813">
        <w:t xml:space="preserve"> to the Supreme Court for supervisory review procedures </w:t>
      </w:r>
      <w:r w:rsidR="00262F97">
        <w:t>have been</w:t>
      </w:r>
      <w:r w:rsidR="00262F97" w:rsidRPr="00494813">
        <w:t xml:space="preserve"> </w:t>
      </w:r>
      <w:r w:rsidRPr="00494813">
        <w:t>applied successfully in cases concerning effective investigation of torture claims. In such circumstances</w:t>
      </w:r>
      <w:r w:rsidR="002D5FB4">
        <w:t>,</w:t>
      </w:r>
      <w:r w:rsidRPr="00494813">
        <w:t xml:space="preserve"> the Committee finds that article 5 </w:t>
      </w:r>
      <w:r w:rsidR="002D5FB4">
        <w:t>(</w:t>
      </w:r>
      <w:r w:rsidRPr="00494813">
        <w:t>2</w:t>
      </w:r>
      <w:r w:rsidR="002D5FB4">
        <w:t>)</w:t>
      </w:r>
      <w:r w:rsidRPr="00494813">
        <w:t xml:space="preserve"> (b) of the Optional Protocol does not preclude it from considering the communication.</w:t>
      </w:r>
    </w:p>
    <w:p w14:paraId="284FF606" w14:textId="77777777" w:rsidR="00494813" w:rsidRPr="000A603E" w:rsidRDefault="00493CD7" w:rsidP="00B36AD3">
      <w:pPr>
        <w:pStyle w:val="SingleTxtG"/>
      </w:pPr>
      <w:r>
        <w:t>7</w:t>
      </w:r>
      <w:r w:rsidR="00494813" w:rsidRPr="000A603E">
        <w:t>.</w:t>
      </w:r>
      <w:r>
        <w:t>4</w:t>
      </w:r>
      <w:r w:rsidR="00494813" w:rsidRPr="000A603E">
        <w:tab/>
        <w:t>In the Committee</w:t>
      </w:r>
      <w:r w:rsidR="00BE40C9">
        <w:t>’</w:t>
      </w:r>
      <w:r w:rsidR="00494813" w:rsidRPr="000A603E">
        <w:t xml:space="preserve">s view, the author has sufficiently substantiated, for </w:t>
      </w:r>
      <w:r w:rsidR="002D5FB4">
        <w:t xml:space="preserve">the </w:t>
      </w:r>
      <w:r w:rsidR="00494813" w:rsidRPr="000A603E">
        <w:t>purposes of admissibility</w:t>
      </w:r>
      <w:r w:rsidR="007A58E9">
        <w:t>, his claims</w:t>
      </w:r>
      <w:r w:rsidR="007A58E9" w:rsidRPr="002E296F">
        <w:t xml:space="preserve"> under</w:t>
      </w:r>
      <w:r w:rsidR="007A58E9">
        <w:t xml:space="preserve"> article</w:t>
      </w:r>
      <w:r w:rsidR="002D5FB4">
        <w:t>s</w:t>
      </w:r>
      <w:r w:rsidR="007A58E9">
        <w:t xml:space="preserve"> 6 </w:t>
      </w:r>
      <w:r w:rsidR="002D5FB4">
        <w:t>(</w:t>
      </w:r>
      <w:r w:rsidR="007A58E9">
        <w:t>1</w:t>
      </w:r>
      <w:r w:rsidR="002D5FB4">
        <w:t>)</w:t>
      </w:r>
      <w:r w:rsidR="007A58E9">
        <w:t xml:space="preserve"> and 7, read separately and in conjunction with article 2 </w:t>
      </w:r>
      <w:r w:rsidR="002D5FB4">
        <w:t>(</w:t>
      </w:r>
      <w:r w:rsidR="007A58E9">
        <w:t>3</w:t>
      </w:r>
      <w:r w:rsidR="002D5FB4">
        <w:t>)</w:t>
      </w:r>
      <w:r w:rsidR="007A58E9">
        <w:t>, of the Covenant</w:t>
      </w:r>
      <w:r w:rsidR="002D5FB4">
        <w:t>. The Committee</w:t>
      </w:r>
      <w:r w:rsidR="006A3B7D">
        <w:t xml:space="preserve"> declares the </w:t>
      </w:r>
      <w:r w:rsidR="002D5FB4">
        <w:t xml:space="preserve">claims </w:t>
      </w:r>
      <w:r w:rsidR="006A3B7D">
        <w:t>admissible</w:t>
      </w:r>
      <w:r w:rsidR="007A58E9">
        <w:t xml:space="preserve"> </w:t>
      </w:r>
      <w:r w:rsidR="00494813" w:rsidRPr="000A603E">
        <w:t xml:space="preserve">and proceeds </w:t>
      </w:r>
      <w:r w:rsidR="002D5FB4">
        <w:t>with its consideration of</w:t>
      </w:r>
      <w:r w:rsidR="00494813" w:rsidRPr="000A603E">
        <w:t xml:space="preserve"> the merits.</w:t>
      </w:r>
    </w:p>
    <w:p w14:paraId="1E9E09F1" w14:textId="77777777" w:rsidR="00494813" w:rsidRPr="000A603E" w:rsidRDefault="00494813" w:rsidP="00494813">
      <w:pPr>
        <w:pStyle w:val="H4G"/>
      </w:pPr>
      <w:r>
        <w:tab/>
      </w:r>
      <w:r>
        <w:tab/>
      </w:r>
      <w:r w:rsidRPr="000A603E">
        <w:t>Consideration of the merits</w:t>
      </w:r>
    </w:p>
    <w:p w14:paraId="2FF01A26" w14:textId="77777777" w:rsidR="00494813" w:rsidRPr="000A603E" w:rsidRDefault="00D65065" w:rsidP="00B36AD3">
      <w:pPr>
        <w:pStyle w:val="SingleTxtG"/>
      </w:pPr>
      <w:r>
        <w:t>8</w:t>
      </w:r>
      <w:r w:rsidR="00494813" w:rsidRPr="000A603E">
        <w:t>.1</w:t>
      </w:r>
      <w:r w:rsidR="00494813" w:rsidRPr="000A603E">
        <w:tab/>
        <w:t xml:space="preserve">The Committee has considered the present communication in the light of all the information submitted by the parties, in accordance with article 5 </w:t>
      </w:r>
      <w:r w:rsidR="00DA3B11">
        <w:t>(</w:t>
      </w:r>
      <w:r w:rsidR="00494813" w:rsidRPr="000A603E">
        <w:t>1</w:t>
      </w:r>
      <w:r w:rsidR="00DA3B11">
        <w:t>)</w:t>
      </w:r>
      <w:r w:rsidR="00494813" w:rsidRPr="000A603E">
        <w:t xml:space="preserve"> of the Optional Protocol.</w:t>
      </w:r>
    </w:p>
    <w:p w14:paraId="2927F51B" w14:textId="77777777" w:rsidR="00D65065" w:rsidRDefault="00D65065" w:rsidP="00B36AD3">
      <w:pPr>
        <w:pStyle w:val="SingleTxtG"/>
      </w:pPr>
      <w:r>
        <w:t>8.2</w:t>
      </w:r>
      <w:r w:rsidRPr="00834D05">
        <w:tab/>
        <w:t xml:space="preserve">The Committee notes the author’s claim that </w:t>
      </w:r>
      <w:r>
        <w:t xml:space="preserve">his son </w:t>
      </w:r>
      <w:r w:rsidRPr="00834D05">
        <w:t>died</w:t>
      </w:r>
      <w:r>
        <w:t xml:space="preserve"> as a result of </w:t>
      </w:r>
      <w:r w:rsidR="006A3B7D">
        <w:t xml:space="preserve">the ill-treatment and </w:t>
      </w:r>
      <w:r>
        <w:t>torture he suffered</w:t>
      </w:r>
      <w:r w:rsidRPr="00834D05">
        <w:t xml:space="preserve"> in police custody</w:t>
      </w:r>
      <w:r w:rsidR="00D262B7">
        <w:t>,</w:t>
      </w:r>
      <w:r w:rsidR="00D0175D">
        <w:t xml:space="preserve"> being </w:t>
      </w:r>
      <w:r w:rsidRPr="00834D05">
        <w:t>in good physical and mental health b</w:t>
      </w:r>
      <w:r>
        <w:t>efore being taken into custody</w:t>
      </w:r>
      <w:r w:rsidR="00D262B7">
        <w:t>,</w:t>
      </w:r>
      <w:r w:rsidR="00FE4F5F">
        <w:rPr>
          <w:lang w:bidi="he-IL"/>
        </w:rPr>
        <w:t xml:space="preserve"> and that he was not given access to a lawyer while in custody</w:t>
      </w:r>
      <w:r>
        <w:t xml:space="preserve">. The Committee </w:t>
      </w:r>
      <w:r w:rsidR="00DA3B11">
        <w:t xml:space="preserve">also </w:t>
      </w:r>
      <w:r>
        <w:t xml:space="preserve">notes the irrefutable evidence of multiple autopsies and examinations that were </w:t>
      </w:r>
      <w:r w:rsidR="006632BF">
        <w:t>conducted, which</w:t>
      </w:r>
      <w:r>
        <w:t xml:space="preserve"> showed that numerous bruises, lacerations and abrasions to the head, chest and fingers were inflicted on the victim. The examinations also revealed serious injuries to the brain, lung, kidneys and spleen </w:t>
      </w:r>
      <w:r w:rsidR="006A3B7D">
        <w:t>caused by “</w:t>
      </w:r>
      <w:r>
        <w:t>blunt, hard objects”.</w:t>
      </w:r>
    </w:p>
    <w:p w14:paraId="7CF2C35A" w14:textId="77777777" w:rsidR="00817520" w:rsidRPr="005B13A2" w:rsidRDefault="00817520" w:rsidP="00B36AD3">
      <w:pPr>
        <w:pStyle w:val="SingleTxtG"/>
      </w:pPr>
      <w:r>
        <w:t>8.3</w:t>
      </w:r>
      <w:r>
        <w:tab/>
        <w:t xml:space="preserve">The Committee takes note of the </w:t>
      </w:r>
      <w:r w:rsidR="006A3B7D">
        <w:t xml:space="preserve">author’s claims regarding the inadequate </w:t>
      </w:r>
      <w:r>
        <w:t xml:space="preserve">investigation into allegations of torture in police custody, and </w:t>
      </w:r>
      <w:r w:rsidR="00DA3B11">
        <w:t xml:space="preserve">of the </w:t>
      </w:r>
      <w:r>
        <w:t xml:space="preserve">death </w:t>
      </w:r>
      <w:r w:rsidR="006A3B7D">
        <w:t xml:space="preserve">of the author’s son </w:t>
      </w:r>
      <w:r>
        <w:t xml:space="preserve">as a result of torture. No perpetrators were identified, despite the fact that officer M.E. </w:t>
      </w:r>
      <w:r w:rsidR="00134A4C">
        <w:rPr>
          <w:lang w:bidi="he-IL"/>
        </w:rPr>
        <w:t xml:space="preserve">made a statement </w:t>
      </w:r>
      <w:r w:rsidR="00DA3B11">
        <w:rPr>
          <w:lang w:bidi="he-IL"/>
        </w:rPr>
        <w:t xml:space="preserve">according to which </w:t>
      </w:r>
      <w:r w:rsidR="00134A4C">
        <w:rPr>
          <w:lang w:bidi="he-IL"/>
        </w:rPr>
        <w:t>he saw</w:t>
      </w:r>
      <w:r>
        <w:t xml:space="preserve"> at least one other</w:t>
      </w:r>
      <w:r w:rsidR="00217370">
        <w:t xml:space="preserve"> police</w:t>
      </w:r>
      <w:r>
        <w:t xml:space="preserve"> officer, N.T.</w:t>
      </w:r>
      <w:r w:rsidR="00DA3B11">
        <w:t>,</w:t>
      </w:r>
      <w:r>
        <w:t xml:space="preserve"> beating the victim in the police station on 3 May 2005 </w:t>
      </w:r>
      <w:r w:rsidR="005B13A2" w:rsidRPr="005B13A2">
        <w:rPr>
          <w:bCs/>
        </w:rPr>
        <w:t xml:space="preserve">and despite the fact that the victim, shortly before his death, identified </w:t>
      </w:r>
      <w:r w:rsidR="00006899">
        <w:rPr>
          <w:bCs/>
        </w:rPr>
        <w:t>Z</w:t>
      </w:r>
      <w:r w:rsidR="005B13A2" w:rsidRPr="005B13A2">
        <w:rPr>
          <w:bCs/>
        </w:rPr>
        <w:t>.T. as the main perpetrator</w:t>
      </w:r>
      <w:r w:rsidR="005B13A2" w:rsidRPr="005B13A2">
        <w:rPr>
          <w:bCs/>
          <w:lang w:bidi="he-IL"/>
        </w:rPr>
        <w:t xml:space="preserve"> of the alleged crime</w:t>
      </w:r>
      <w:r w:rsidR="005B13A2" w:rsidRPr="005B13A2">
        <w:rPr>
          <w:bCs/>
        </w:rPr>
        <w:t>. Although the State party claims that its investigative authorities have questioned more than 60 witnesses and conducted four forensic examinations, it concedes that the initial stages of the investigation were carried out in a manner that was superficial,</w:t>
      </w:r>
      <w:r w:rsidR="00D262B7">
        <w:rPr>
          <w:bCs/>
        </w:rPr>
        <w:t xml:space="preserve"> that</w:t>
      </w:r>
      <w:r w:rsidR="0071681F">
        <w:rPr>
          <w:bCs/>
        </w:rPr>
        <w:t xml:space="preserve"> the investigation itself lasted more than four years,</w:t>
      </w:r>
      <w:r w:rsidR="005B13A2" w:rsidRPr="005B13A2">
        <w:rPr>
          <w:bCs/>
        </w:rPr>
        <w:t xml:space="preserve"> that the evidence was improperly recorded and that, ultimately, the investigation was discontinued.</w:t>
      </w:r>
    </w:p>
    <w:p w14:paraId="083D5CE5" w14:textId="77777777" w:rsidR="002812F9" w:rsidRDefault="00D65065" w:rsidP="00B36AD3">
      <w:pPr>
        <w:pStyle w:val="SingleTxtG"/>
        <w:rPr>
          <w:lang w:bidi="he-IL"/>
        </w:rPr>
      </w:pPr>
      <w:r>
        <w:t>8</w:t>
      </w:r>
      <w:r w:rsidRPr="00834D05">
        <w:t>.</w:t>
      </w:r>
      <w:r w:rsidR="00140644">
        <w:t>4</w:t>
      </w:r>
      <w:r w:rsidRPr="00834D05">
        <w:tab/>
      </w:r>
      <w:r w:rsidR="00817520">
        <w:t>The Committee notes</w:t>
      </w:r>
      <w:r w:rsidRPr="00834D05">
        <w:t xml:space="preserve"> the author’s claim in relation to the arbitrary deprivation of h</w:t>
      </w:r>
      <w:r w:rsidR="00817520">
        <w:t>is</w:t>
      </w:r>
      <w:r w:rsidRPr="00834D05">
        <w:t xml:space="preserve"> son’s life, </w:t>
      </w:r>
      <w:r w:rsidR="00817520">
        <w:t>and his reference to the Committee’s</w:t>
      </w:r>
      <w:r w:rsidRPr="00834D05">
        <w:t xml:space="preserve"> </w:t>
      </w:r>
      <w:r w:rsidR="00DA3B11">
        <w:t>g</w:t>
      </w:r>
      <w:r w:rsidRPr="00834D05">
        <w:t xml:space="preserve">eneral </w:t>
      </w:r>
      <w:r w:rsidR="00DA3B11">
        <w:t>c</w:t>
      </w:r>
      <w:r w:rsidRPr="00834D05">
        <w:t xml:space="preserve">omment No. 6 </w:t>
      </w:r>
      <w:r w:rsidR="00105C07">
        <w:t xml:space="preserve">(1982) </w:t>
      </w:r>
      <w:r w:rsidRPr="00834D05">
        <w:t>on the right to life and its jurisprudence</w:t>
      </w:r>
      <w:r w:rsidR="00105C07">
        <w:t>,</w:t>
      </w:r>
      <w:r w:rsidR="006A3B7D">
        <w:t xml:space="preserve"> according to which </w:t>
      </w:r>
      <w:r>
        <w:t>State</w:t>
      </w:r>
      <w:r w:rsidR="006A3B7D">
        <w:t>s</w:t>
      </w:r>
      <w:r>
        <w:t xml:space="preserve"> </w:t>
      </w:r>
      <w:r w:rsidR="006A3B7D">
        <w:t xml:space="preserve">parties, </w:t>
      </w:r>
      <w:r>
        <w:t>by arresting and detaining individuals</w:t>
      </w:r>
      <w:r w:rsidR="006A3B7D">
        <w:t>,</w:t>
      </w:r>
      <w:r>
        <w:t xml:space="preserve"> take the responsibility to care for their life</w:t>
      </w:r>
      <w:r w:rsidR="00633364">
        <w:t>,</w:t>
      </w:r>
      <w:r>
        <w:rPr>
          <w:rStyle w:val="FootnoteReference"/>
        </w:rPr>
        <w:footnoteReference w:id="15"/>
      </w:r>
      <w:r>
        <w:t xml:space="preserve"> and that criminal investigation and </w:t>
      </w:r>
      <w:r w:rsidR="006A3B7D">
        <w:t xml:space="preserve">subsequent </w:t>
      </w:r>
      <w:r>
        <w:t>prosecution are necessary remedies for violations of human rights such as those protected by article 6</w:t>
      </w:r>
      <w:r w:rsidR="00651169">
        <w:t xml:space="preserve"> of the Covenant</w:t>
      </w:r>
      <w:r>
        <w:t>.</w:t>
      </w:r>
      <w:r>
        <w:rPr>
          <w:rStyle w:val="FootnoteReference"/>
        </w:rPr>
        <w:footnoteReference w:id="16"/>
      </w:r>
      <w:r>
        <w:t xml:space="preserve"> It further recalls its </w:t>
      </w:r>
      <w:r w:rsidR="00651169">
        <w:t>g</w:t>
      </w:r>
      <w:r>
        <w:t xml:space="preserve">eneral </w:t>
      </w:r>
      <w:r w:rsidR="00651169">
        <w:t>c</w:t>
      </w:r>
      <w:r>
        <w:t>omment No. 31</w:t>
      </w:r>
      <w:r w:rsidR="00651169">
        <w:t xml:space="preserve"> (2004) on the nature of the general legal obligation imposed on States parties to the Covenant</w:t>
      </w:r>
      <w:r>
        <w:t xml:space="preserve">, that where investigations reveal violations of certain Covenant rights, </w:t>
      </w:r>
      <w:r w:rsidR="00134A4C">
        <w:rPr>
          <w:lang w:bidi="he-IL"/>
        </w:rPr>
        <w:t xml:space="preserve">such as </w:t>
      </w:r>
      <w:r w:rsidR="00651169">
        <w:rPr>
          <w:lang w:bidi="he-IL"/>
        </w:rPr>
        <w:t xml:space="preserve">those protected under </w:t>
      </w:r>
      <w:r w:rsidR="00134A4C">
        <w:rPr>
          <w:lang w:bidi="he-IL"/>
        </w:rPr>
        <w:t xml:space="preserve">articles 6 and 7, </w:t>
      </w:r>
      <w:r>
        <w:t>States parties must ensure that those responsible are brought to justice.</w:t>
      </w:r>
      <w:r w:rsidR="000B4C1B">
        <w:rPr>
          <w:lang w:bidi="he-IL"/>
        </w:rPr>
        <w:t xml:space="preserve"> Although the obligation to bring to justice those responsible for </w:t>
      </w:r>
      <w:r w:rsidR="00651169">
        <w:rPr>
          <w:lang w:bidi="he-IL"/>
        </w:rPr>
        <w:t xml:space="preserve">a </w:t>
      </w:r>
      <w:r w:rsidR="000B4C1B">
        <w:rPr>
          <w:lang w:bidi="he-IL"/>
        </w:rPr>
        <w:t>violation of article</w:t>
      </w:r>
      <w:r w:rsidR="00651169">
        <w:rPr>
          <w:lang w:bidi="he-IL"/>
        </w:rPr>
        <w:t>s</w:t>
      </w:r>
      <w:r w:rsidR="000B4C1B">
        <w:rPr>
          <w:lang w:bidi="he-IL"/>
        </w:rPr>
        <w:t xml:space="preserve"> 6 and 7 is an obligation of means, not of result,</w:t>
      </w:r>
      <w:r w:rsidR="000B4C1B">
        <w:rPr>
          <w:rStyle w:val="FootnoteReference"/>
          <w:lang w:bidi="he-IL"/>
        </w:rPr>
        <w:footnoteReference w:id="17"/>
      </w:r>
      <w:r w:rsidR="0055373B">
        <w:rPr>
          <w:lang w:bidi="he-IL"/>
        </w:rPr>
        <w:t xml:space="preserve"> States parties have a duty to </w:t>
      </w:r>
      <w:r w:rsidR="002812F9" w:rsidRPr="00834D05">
        <w:t xml:space="preserve">investigate in good faith </w:t>
      </w:r>
      <w:r w:rsidR="002812F9">
        <w:rPr>
          <w:lang w:bidi="he-IL"/>
        </w:rPr>
        <w:t xml:space="preserve">and in a prompt and thorough manner </w:t>
      </w:r>
      <w:r w:rsidR="002812F9" w:rsidRPr="00834D05">
        <w:t xml:space="preserve">all allegations of </w:t>
      </w:r>
      <w:r w:rsidR="002812F9">
        <w:rPr>
          <w:lang w:bidi="he-IL"/>
        </w:rPr>
        <w:t xml:space="preserve">serious </w:t>
      </w:r>
      <w:r w:rsidR="002812F9" w:rsidRPr="00834D05">
        <w:t>violations of the Covenant made against it and its authorities</w:t>
      </w:r>
      <w:r w:rsidR="005B13A2">
        <w:t>.</w:t>
      </w:r>
    </w:p>
    <w:p w14:paraId="352160C9" w14:textId="77777777" w:rsidR="00D65065" w:rsidRPr="00834D05" w:rsidRDefault="007009AB" w:rsidP="00B36AD3">
      <w:pPr>
        <w:pStyle w:val="SingleTxtG"/>
      </w:pPr>
      <w:r>
        <w:t>8</w:t>
      </w:r>
      <w:r w:rsidR="00D65065" w:rsidRPr="00834D05">
        <w:t>.</w:t>
      </w:r>
      <w:r w:rsidR="00140644">
        <w:t>5</w:t>
      </w:r>
      <w:r w:rsidR="00D65065" w:rsidRPr="00834D05">
        <w:tab/>
        <w:t>The Committee</w:t>
      </w:r>
      <w:r w:rsidR="002812F9">
        <w:rPr>
          <w:lang w:bidi="he-IL"/>
        </w:rPr>
        <w:t xml:space="preserve"> also </w:t>
      </w:r>
      <w:r w:rsidR="00D65065" w:rsidRPr="00834D05">
        <w:t xml:space="preserve">recalls that the burden of proof </w:t>
      </w:r>
      <w:r w:rsidR="00134A4C">
        <w:rPr>
          <w:lang w:bidi="he-IL"/>
        </w:rPr>
        <w:t xml:space="preserve">in relation to factual questions </w:t>
      </w:r>
      <w:r w:rsidR="00D65065" w:rsidRPr="00834D05">
        <w:t>cannot rest on the author of the communication</w:t>
      </w:r>
      <w:r w:rsidR="00AB534E" w:rsidRPr="00AB534E">
        <w:t xml:space="preserve"> </w:t>
      </w:r>
      <w:r w:rsidR="00AB534E" w:rsidRPr="00834D05">
        <w:t>alone</w:t>
      </w:r>
      <w:r w:rsidR="00D65065" w:rsidRPr="00834D05">
        <w:t>, especially considering that the author and the State party do not always have equal access to evidence and that frequently the State party alone has access to relevant information.</w:t>
      </w:r>
      <w:r w:rsidR="00D65065" w:rsidRPr="00834D05">
        <w:rPr>
          <w:vertAlign w:val="superscript"/>
        </w:rPr>
        <w:footnoteReference w:id="18"/>
      </w:r>
      <w:r w:rsidR="00D65065" w:rsidRPr="00834D05">
        <w:t xml:space="preserve"> </w:t>
      </w:r>
    </w:p>
    <w:p w14:paraId="5C8ABD35" w14:textId="77777777" w:rsidR="00020888" w:rsidRDefault="00173EC9">
      <w:pPr>
        <w:pStyle w:val="SingleTxtG"/>
      </w:pPr>
      <w:r w:rsidRPr="00173EC9">
        <w:t>8.</w:t>
      </w:r>
      <w:r w:rsidR="00140644">
        <w:t>6</w:t>
      </w:r>
      <w:r w:rsidRPr="00173EC9">
        <w:tab/>
        <w:t xml:space="preserve">The Committee observes that the State party has failed to explain </w:t>
      </w:r>
      <w:r w:rsidR="00217370">
        <w:t>exactly</w:t>
      </w:r>
      <w:r w:rsidRPr="00173EC9">
        <w:t xml:space="preserve"> what happened to Turdubek Akmatov during the </w:t>
      </w:r>
      <w:r w:rsidR="003C6969">
        <w:t>considerable time</w:t>
      </w:r>
      <w:r w:rsidRPr="00173EC9">
        <w:t xml:space="preserve"> </w:t>
      </w:r>
      <w:r w:rsidR="00217370">
        <w:t>when</w:t>
      </w:r>
      <w:r w:rsidRPr="00173EC9">
        <w:t xml:space="preserve"> he was in</w:t>
      </w:r>
      <w:r w:rsidR="00217370">
        <w:t xml:space="preserve"> police</w:t>
      </w:r>
      <w:r w:rsidRPr="00173EC9">
        <w:t xml:space="preserve"> custody. The State party </w:t>
      </w:r>
      <w:r w:rsidR="006946AB">
        <w:t xml:space="preserve">has </w:t>
      </w:r>
      <w:r w:rsidRPr="00173EC9">
        <w:t xml:space="preserve">simply </w:t>
      </w:r>
      <w:r w:rsidR="002353F9">
        <w:t>note</w:t>
      </w:r>
      <w:r w:rsidR="006946AB">
        <w:t>d</w:t>
      </w:r>
      <w:r w:rsidR="002353F9">
        <w:t xml:space="preserve"> </w:t>
      </w:r>
      <w:r w:rsidRPr="00173EC9">
        <w:t xml:space="preserve">that the police officers conducted “prophylactic work” with the victim, without providing any details as to what this </w:t>
      </w:r>
      <w:r w:rsidR="00343E14">
        <w:rPr>
          <w:lang w:bidi="he-IL"/>
        </w:rPr>
        <w:t>“</w:t>
      </w:r>
      <w:r w:rsidRPr="00173EC9">
        <w:t>work</w:t>
      </w:r>
      <w:r w:rsidR="00343E14">
        <w:rPr>
          <w:lang w:bidi="he-IL"/>
        </w:rPr>
        <w:t>”</w:t>
      </w:r>
      <w:r w:rsidRPr="00173EC9">
        <w:t xml:space="preserve"> might have entailed. The State party </w:t>
      </w:r>
      <w:r w:rsidR="006946AB">
        <w:t xml:space="preserve">has </w:t>
      </w:r>
      <w:r w:rsidRPr="00173EC9">
        <w:t>provide</w:t>
      </w:r>
      <w:r w:rsidR="006946AB">
        <w:t>d</w:t>
      </w:r>
      <w:r w:rsidRPr="00173EC9">
        <w:t xml:space="preserve"> no records of questioning, interrogation or statements </w:t>
      </w:r>
      <w:r w:rsidR="006946AB">
        <w:t>in relation to</w:t>
      </w:r>
      <w:r w:rsidR="006946AB" w:rsidRPr="00173EC9">
        <w:t xml:space="preserve"> </w:t>
      </w:r>
      <w:r w:rsidRPr="00173EC9">
        <w:t xml:space="preserve">the victim. Furthermore, </w:t>
      </w:r>
      <w:r w:rsidR="006946AB">
        <w:t>it</w:t>
      </w:r>
      <w:r w:rsidRPr="00173EC9">
        <w:t xml:space="preserve"> has provided </w:t>
      </w:r>
      <w:r w:rsidR="006946AB">
        <w:t>no</w:t>
      </w:r>
      <w:r w:rsidR="006946AB" w:rsidRPr="00173EC9">
        <w:t xml:space="preserve"> </w:t>
      </w:r>
      <w:r w:rsidRPr="00173EC9">
        <w:t>copies of statements made by police officer</w:t>
      </w:r>
      <w:r w:rsidR="004967DB">
        <w:t>s</w:t>
      </w:r>
      <w:r w:rsidRPr="00173EC9">
        <w:t xml:space="preserve"> and other witnesses,</w:t>
      </w:r>
      <w:r w:rsidR="00DB3EB0">
        <w:t xml:space="preserve"> although it submits that</w:t>
      </w:r>
      <w:r w:rsidRPr="00173EC9">
        <w:t xml:space="preserve"> “more than 60 witnesses” were questioned</w:t>
      </w:r>
      <w:r w:rsidR="002353F9">
        <w:t xml:space="preserve"> in this connection</w:t>
      </w:r>
      <w:r w:rsidRPr="00173EC9">
        <w:t xml:space="preserve">. </w:t>
      </w:r>
      <w:r w:rsidR="008D6742">
        <w:t xml:space="preserve">The Committee further notes that </w:t>
      </w:r>
      <w:r w:rsidR="007F31EB">
        <w:t xml:space="preserve">there are no records of </w:t>
      </w:r>
      <w:r w:rsidR="00BA6B57">
        <w:t xml:space="preserve">the </w:t>
      </w:r>
      <w:r w:rsidR="007F31EB">
        <w:t xml:space="preserve">registration of </w:t>
      </w:r>
      <w:r w:rsidR="004967DB">
        <w:t xml:space="preserve">Mr. </w:t>
      </w:r>
      <w:r w:rsidR="007F31EB">
        <w:t xml:space="preserve">Akmatov </w:t>
      </w:r>
      <w:r w:rsidR="00BA6B57">
        <w:t xml:space="preserve">to </w:t>
      </w:r>
      <w:r w:rsidR="007F31EB">
        <w:t>document his whereabouts during</w:t>
      </w:r>
      <w:r w:rsidR="006831C1">
        <w:t xml:space="preserve"> the</w:t>
      </w:r>
      <w:r w:rsidR="007F31EB">
        <w:t xml:space="preserve"> </w:t>
      </w:r>
      <w:r w:rsidR="006946AB">
        <w:t xml:space="preserve">10 </w:t>
      </w:r>
      <w:r w:rsidR="007F31EB">
        <w:t xml:space="preserve">hours </w:t>
      </w:r>
      <w:r w:rsidR="006946AB">
        <w:t xml:space="preserve">he was </w:t>
      </w:r>
      <w:r w:rsidR="007F31EB">
        <w:t xml:space="preserve">in detention on 3 May 2005. </w:t>
      </w:r>
    </w:p>
    <w:p w14:paraId="51899150" w14:textId="77777777" w:rsidR="00D65065" w:rsidRDefault="00D66ED4" w:rsidP="00262F97">
      <w:pPr>
        <w:pStyle w:val="SingleTxtG"/>
      </w:pPr>
      <w:r>
        <w:t>8.</w:t>
      </w:r>
      <w:r w:rsidR="00F051D4">
        <w:t>7</w:t>
      </w:r>
      <w:r w:rsidR="00CF59DE">
        <w:tab/>
      </w:r>
      <w:r w:rsidR="00D262B7" w:rsidRPr="00D262B7">
        <w:t xml:space="preserve">In </w:t>
      </w:r>
      <w:r w:rsidR="006946AB">
        <w:t xml:space="preserve">the </w:t>
      </w:r>
      <w:r w:rsidR="00D262B7" w:rsidRPr="00D262B7">
        <w:t xml:space="preserve">light of the inability of the State party to rely on </w:t>
      </w:r>
      <w:r w:rsidR="006946AB">
        <w:t>a</w:t>
      </w:r>
      <w:r w:rsidR="00D262B7" w:rsidRPr="00D262B7">
        <w:t xml:space="preserve"> deficient and inconclusive investigation to rebut the</w:t>
      </w:r>
      <w:r w:rsidR="00D262B7">
        <w:t xml:space="preserve"> </w:t>
      </w:r>
      <w:r w:rsidR="00D65065" w:rsidRPr="00834D05">
        <w:t>author</w:t>
      </w:r>
      <w:r w:rsidR="008D6742">
        <w:t>’s allegations</w:t>
      </w:r>
      <w:r w:rsidR="00D65065" w:rsidRPr="00834D05">
        <w:t xml:space="preserve"> that </w:t>
      </w:r>
      <w:r w:rsidR="00D65065">
        <w:t>h</w:t>
      </w:r>
      <w:r w:rsidR="00B6767C">
        <w:t>is</w:t>
      </w:r>
      <w:r w:rsidR="00D65065">
        <w:t xml:space="preserve"> son</w:t>
      </w:r>
      <w:r w:rsidR="00D65065" w:rsidRPr="00834D05">
        <w:t xml:space="preserve"> was killed </w:t>
      </w:r>
      <w:r w:rsidR="00F74D40">
        <w:rPr>
          <w:lang w:bidi="he-IL"/>
        </w:rPr>
        <w:t>due to beating</w:t>
      </w:r>
      <w:r w:rsidR="00020888">
        <w:rPr>
          <w:lang w:bidi="he-IL"/>
        </w:rPr>
        <w:t>s</w:t>
      </w:r>
      <w:r w:rsidR="00F74D40">
        <w:rPr>
          <w:lang w:bidi="he-IL"/>
        </w:rPr>
        <w:t xml:space="preserve"> he sustained while </w:t>
      </w:r>
      <w:r w:rsidR="00D65065" w:rsidRPr="00834D05">
        <w:t>in custody</w:t>
      </w:r>
      <w:r w:rsidR="006946AB">
        <w:t>,</w:t>
      </w:r>
      <w:r w:rsidR="00D65065">
        <w:t xml:space="preserve"> and in </w:t>
      </w:r>
      <w:r w:rsidR="006946AB">
        <w:t xml:space="preserve">the </w:t>
      </w:r>
      <w:r w:rsidR="00D65065">
        <w:t xml:space="preserve">light of the information </w:t>
      </w:r>
      <w:r w:rsidR="006946AB">
        <w:t xml:space="preserve">contained </w:t>
      </w:r>
      <w:r w:rsidR="00D65065">
        <w:t xml:space="preserve">in the </w:t>
      </w:r>
      <w:r w:rsidR="008D6742">
        <w:t>medical</w:t>
      </w:r>
      <w:r w:rsidR="00ED5D3D">
        <w:t xml:space="preserve"> </w:t>
      </w:r>
      <w:r w:rsidR="00D65065">
        <w:t>forensic expert</w:t>
      </w:r>
      <w:r w:rsidR="00173EC9">
        <w:t xml:space="preserve"> opinions</w:t>
      </w:r>
      <w:r w:rsidR="006946AB">
        <w:t>,</w:t>
      </w:r>
      <w:r w:rsidR="00173EC9">
        <w:t xml:space="preserve"> which are</w:t>
      </w:r>
      <w:r w:rsidR="00D65065">
        <w:t xml:space="preserve"> </w:t>
      </w:r>
      <w:r w:rsidR="00F74D40">
        <w:rPr>
          <w:lang w:bidi="he-IL"/>
        </w:rPr>
        <w:t>consistent with the author’</w:t>
      </w:r>
      <w:r w:rsidR="00F74D40">
        <w:rPr>
          <w:rFonts w:hint="cs"/>
          <w:lang w:bidi="he-IL"/>
        </w:rPr>
        <w:t>s version of events</w:t>
      </w:r>
      <w:r w:rsidR="00D65065" w:rsidRPr="00834D05">
        <w:t xml:space="preserve">, the State party is responsible for </w:t>
      </w:r>
      <w:r w:rsidR="008D6742">
        <w:t xml:space="preserve">the </w:t>
      </w:r>
      <w:r w:rsidR="00D65065" w:rsidRPr="00834D05">
        <w:t xml:space="preserve">arbitrary deprivation of </w:t>
      </w:r>
      <w:r w:rsidRPr="00D66ED4">
        <w:t>Turdubek Akmatov</w:t>
      </w:r>
      <w:r>
        <w:t>’s</w:t>
      </w:r>
      <w:r w:rsidRPr="00D66ED4" w:rsidDel="00D66ED4">
        <w:t xml:space="preserve"> </w:t>
      </w:r>
      <w:r w:rsidR="00D65065" w:rsidRPr="00834D05">
        <w:t xml:space="preserve">life, in breach of article 6 </w:t>
      </w:r>
      <w:r w:rsidR="006946AB">
        <w:t>(</w:t>
      </w:r>
      <w:r w:rsidR="00D65065" w:rsidRPr="00834D05">
        <w:t>1</w:t>
      </w:r>
      <w:r w:rsidR="006946AB">
        <w:t>)</w:t>
      </w:r>
      <w:r w:rsidR="00D65065" w:rsidRPr="00834D05">
        <w:t xml:space="preserve"> of the Covenant.</w:t>
      </w:r>
      <w:r w:rsidR="00D65065" w:rsidRPr="00834D05">
        <w:rPr>
          <w:vertAlign w:val="superscript"/>
        </w:rPr>
        <w:footnoteReference w:id="19"/>
      </w:r>
    </w:p>
    <w:p w14:paraId="25989BF5" w14:textId="77777777" w:rsidR="00D3180C" w:rsidRPr="00D3180C" w:rsidRDefault="001332BF" w:rsidP="00262F97">
      <w:pPr>
        <w:pStyle w:val="SingleTxtG"/>
      </w:pPr>
      <w:r w:rsidRPr="00D3180C">
        <w:t>8.8</w:t>
      </w:r>
      <w:r w:rsidRPr="00D3180C">
        <w:tab/>
      </w:r>
      <w:r w:rsidR="00D3180C" w:rsidRPr="00D3180C">
        <w:t xml:space="preserve">The Committee takes into consideration the fact that </w:t>
      </w:r>
      <w:r w:rsidR="00ED5D3D">
        <w:t xml:space="preserve">the </w:t>
      </w:r>
      <w:r w:rsidR="00D3180C" w:rsidRPr="00D3180C">
        <w:t xml:space="preserve">findings of the autopsies and </w:t>
      </w:r>
      <w:r w:rsidR="00D3180C" w:rsidRPr="00B36AD3">
        <w:t>medical forensic</w:t>
      </w:r>
      <w:r w:rsidR="00D3180C" w:rsidRPr="00D3180C">
        <w:t xml:space="preserve"> examinations that were conducted are consistent with other evidence</w:t>
      </w:r>
      <w:r w:rsidR="00ED5D3D">
        <w:t>,</w:t>
      </w:r>
      <w:r w:rsidR="00D3180C" w:rsidRPr="00D3180C">
        <w:t xml:space="preserve"> suggesting that the author’s son was </w:t>
      </w:r>
      <w:r w:rsidR="00020888">
        <w:t xml:space="preserve">subjected to </w:t>
      </w:r>
      <w:r w:rsidR="00D3180C" w:rsidRPr="00D3180C">
        <w:t>acts of torture. The Committee considers that</w:t>
      </w:r>
      <w:r w:rsidR="00ED5D3D">
        <w:t>,</w:t>
      </w:r>
      <w:r w:rsidR="00D3180C" w:rsidRPr="00D3180C">
        <w:t xml:space="preserve"> in the circumstances of the present case and </w:t>
      </w:r>
      <w:r w:rsidR="00ED5D3D">
        <w:t xml:space="preserve">the </w:t>
      </w:r>
      <w:r w:rsidR="00D3180C" w:rsidRPr="00D3180C">
        <w:t xml:space="preserve">in light of the inability of the State party to rely on </w:t>
      </w:r>
      <w:r w:rsidR="00ED5D3D">
        <w:t>a</w:t>
      </w:r>
      <w:r w:rsidR="00D3180C" w:rsidRPr="00D3180C">
        <w:t xml:space="preserve"> deficient and inconclusive investigation to rebut the author’s allegations that his son was tortured while in police custody, due weight should be given to the author</w:t>
      </w:r>
      <w:r w:rsidR="00BE40C9">
        <w:t>’</w:t>
      </w:r>
      <w:r w:rsidR="00D3180C" w:rsidRPr="00D3180C">
        <w:t xml:space="preserve">s allegations. The Committee therefore concludes that the facts before it disclose a violation of the rights of </w:t>
      </w:r>
      <w:r w:rsidR="00262F97">
        <w:t>the victim</w:t>
      </w:r>
      <w:r w:rsidR="00262F97" w:rsidRPr="00D3180C" w:rsidDel="00262F97">
        <w:t xml:space="preserve"> </w:t>
      </w:r>
      <w:r w:rsidR="00D3180C" w:rsidRPr="00D3180C">
        <w:t xml:space="preserve">under article 7 of the Covenant. </w:t>
      </w:r>
    </w:p>
    <w:p w14:paraId="6AA3BD13" w14:textId="77777777" w:rsidR="00DD4BF0" w:rsidRDefault="00D540F8">
      <w:pPr>
        <w:pStyle w:val="SingleTxtG"/>
        <w:rPr>
          <w:lang w:bidi="he-IL"/>
        </w:rPr>
      </w:pPr>
      <w:r>
        <w:t>8</w:t>
      </w:r>
      <w:r w:rsidRPr="00834D05">
        <w:t>.</w:t>
      </w:r>
      <w:r w:rsidR="00F051D4">
        <w:t>9</w:t>
      </w:r>
      <w:r w:rsidR="006632BF">
        <w:tab/>
      </w:r>
      <w:r w:rsidRPr="00834D05">
        <w:t xml:space="preserve">As to the claims under </w:t>
      </w:r>
      <w:r w:rsidR="005D5DDB">
        <w:rPr>
          <w:lang w:bidi="he-IL"/>
        </w:rPr>
        <w:t xml:space="preserve">article 2 </w:t>
      </w:r>
      <w:r w:rsidR="00ED5D3D">
        <w:rPr>
          <w:lang w:bidi="he-IL"/>
        </w:rPr>
        <w:t>(</w:t>
      </w:r>
      <w:r w:rsidR="005D5DDB">
        <w:rPr>
          <w:lang w:bidi="he-IL"/>
        </w:rPr>
        <w:t>3</w:t>
      </w:r>
      <w:r w:rsidR="00ED5D3D">
        <w:rPr>
          <w:lang w:bidi="he-IL"/>
        </w:rPr>
        <w:t>), read</w:t>
      </w:r>
      <w:r w:rsidR="005D5DDB">
        <w:rPr>
          <w:lang w:bidi="he-IL"/>
        </w:rPr>
        <w:t xml:space="preserve"> in conjunction with </w:t>
      </w:r>
      <w:r w:rsidRPr="00834D05">
        <w:t xml:space="preserve">articles 6 </w:t>
      </w:r>
      <w:r w:rsidR="00ED5D3D">
        <w:t>(</w:t>
      </w:r>
      <w:r w:rsidRPr="00834D05">
        <w:t>1</w:t>
      </w:r>
      <w:r w:rsidR="00ED5D3D">
        <w:t>)</w:t>
      </w:r>
      <w:r w:rsidRPr="00834D05">
        <w:t xml:space="preserve"> and</w:t>
      </w:r>
      <w:r w:rsidR="006831C1">
        <w:t xml:space="preserve"> </w:t>
      </w:r>
      <w:r w:rsidRPr="00834D05">
        <w:t>7</w:t>
      </w:r>
      <w:r w:rsidR="005D5DDB">
        <w:rPr>
          <w:lang w:bidi="he-IL"/>
        </w:rPr>
        <w:t xml:space="preserve">, </w:t>
      </w:r>
      <w:r w:rsidR="0067769E">
        <w:rPr>
          <w:lang w:bidi="he-IL"/>
        </w:rPr>
        <w:t>of the Covenant</w:t>
      </w:r>
      <w:r w:rsidR="0067769E" w:rsidRPr="00834D05">
        <w:t xml:space="preserve"> </w:t>
      </w:r>
      <w:r w:rsidRPr="00834D05">
        <w:t>on the ground that the State party failed in its obligation to properly investigate the victim’s death and allegations of torture and to take appropriate remedial measures, the Committee recalls its</w:t>
      </w:r>
      <w:r w:rsidR="00D3180C">
        <w:t xml:space="preserve"> consistent</w:t>
      </w:r>
      <w:r w:rsidRPr="00834D05">
        <w:t xml:space="preserve"> jurisprudence that criminal investigation and consequential prosecution are necessary remedies for violations of human rights such as those protected by articles 6 </w:t>
      </w:r>
      <w:r w:rsidR="00ED5D3D">
        <w:t>(</w:t>
      </w:r>
      <w:r w:rsidRPr="00834D05">
        <w:t>1</w:t>
      </w:r>
      <w:r w:rsidR="00ED5D3D">
        <w:t>)</w:t>
      </w:r>
      <w:r w:rsidRPr="00834D05">
        <w:t xml:space="preserve"> and 7 of the Covenant.</w:t>
      </w:r>
      <w:r w:rsidRPr="00834D05">
        <w:rPr>
          <w:vertAlign w:val="superscript"/>
        </w:rPr>
        <w:footnoteReference w:id="20"/>
      </w:r>
      <w:r w:rsidRPr="00834D05">
        <w:t xml:space="preserve"> The Committee </w:t>
      </w:r>
      <w:r w:rsidR="00137636">
        <w:t xml:space="preserve">notes </w:t>
      </w:r>
      <w:r w:rsidR="009B5EDE">
        <w:t>that the</w:t>
      </w:r>
      <w:r w:rsidR="00036FAC">
        <w:t xml:space="preserve"> </w:t>
      </w:r>
      <w:r w:rsidR="009B5EDE">
        <w:t xml:space="preserve">investigation into </w:t>
      </w:r>
      <w:r w:rsidR="00137636">
        <w:t xml:space="preserve">the </w:t>
      </w:r>
      <w:r w:rsidR="009B5EDE">
        <w:t xml:space="preserve">allegations of torture and </w:t>
      </w:r>
      <w:r w:rsidR="00137636">
        <w:t xml:space="preserve">the </w:t>
      </w:r>
      <w:r w:rsidR="009B5EDE">
        <w:t>subsequent death</w:t>
      </w:r>
      <w:r w:rsidR="005D5DDB">
        <w:rPr>
          <w:lang w:bidi="he-IL"/>
        </w:rPr>
        <w:t xml:space="preserve"> </w:t>
      </w:r>
      <w:r w:rsidR="00137636">
        <w:rPr>
          <w:lang w:bidi="he-IL"/>
        </w:rPr>
        <w:t>were not carried out</w:t>
      </w:r>
      <w:r w:rsidR="005D5DDB">
        <w:rPr>
          <w:lang w:bidi="he-IL"/>
        </w:rPr>
        <w:t xml:space="preserve"> prompt</w:t>
      </w:r>
      <w:r w:rsidR="00137636">
        <w:rPr>
          <w:lang w:bidi="he-IL"/>
        </w:rPr>
        <w:t>ly</w:t>
      </w:r>
      <w:r w:rsidR="005D5DDB">
        <w:rPr>
          <w:lang w:bidi="he-IL"/>
        </w:rPr>
        <w:t xml:space="preserve"> and effective</w:t>
      </w:r>
      <w:r w:rsidR="00137636">
        <w:rPr>
          <w:lang w:bidi="he-IL"/>
        </w:rPr>
        <w:t>ly</w:t>
      </w:r>
      <w:r w:rsidR="005D5DDB">
        <w:rPr>
          <w:lang w:bidi="he-IL"/>
        </w:rPr>
        <w:t xml:space="preserve"> and </w:t>
      </w:r>
      <w:r w:rsidR="00137636">
        <w:rPr>
          <w:lang w:bidi="he-IL"/>
        </w:rPr>
        <w:t xml:space="preserve">that </w:t>
      </w:r>
      <w:r w:rsidR="00137636">
        <w:t xml:space="preserve">no </w:t>
      </w:r>
      <w:r w:rsidR="009B5EDE">
        <w:t>suspects</w:t>
      </w:r>
      <w:r w:rsidR="00137636">
        <w:t xml:space="preserve"> were identified</w:t>
      </w:r>
      <w:r w:rsidR="009B5EDE">
        <w:t xml:space="preserve">, despite </w:t>
      </w:r>
      <w:r w:rsidR="00773CF7">
        <w:t>a number of incriminatory</w:t>
      </w:r>
      <w:r w:rsidR="009B5EDE">
        <w:t xml:space="preserve"> witness accounts. </w:t>
      </w:r>
      <w:r w:rsidR="00773CF7">
        <w:t>In th</w:t>
      </w:r>
      <w:r w:rsidR="00137636">
        <w:t>at</w:t>
      </w:r>
      <w:r w:rsidR="00773CF7">
        <w:t xml:space="preserve"> regard</w:t>
      </w:r>
      <w:r w:rsidR="00137636">
        <w:t>,</w:t>
      </w:r>
      <w:r w:rsidR="00773CF7">
        <w:t xml:space="preserve"> the Committee notes, f</w:t>
      </w:r>
      <w:r w:rsidR="009B5EDE">
        <w:t>or example</w:t>
      </w:r>
      <w:r w:rsidR="00773CF7">
        <w:t>,</w:t>
      </w:r>
      <w:r w:rsidR="009B5EDE">
        <w:t xml:space="preserve"> </w:t>
      </w:r>
      <w:r w:rsidR="00773CF7">
        <w:t xml:space="preserve">that </w:t>
      </w:r>
      <w:r w:rsidR="009B5EDE">
        <w:t>officer Z</w:t>
      </w:r>
      <w:r w:rsidR="00074EEA">
        <w:t>.T.</w:t>
      </w:r>
      <w:r w:rsidR="009B5EDE">
        <w:t xml:space="preserve"> w</w:t>
      </w:r>
      <w:r w:rsidR="00074EEA">
        <w:t>as</w:t>
      </w:r>
      <w:r w:rsidR="009B5EDE">
        <w:t xml:space="preserve"> never charged</w:t>
      </w:r>
      <w:r w:rsidR="00773CF7">
        <w:t xml:space="preserve"> in spite of the serious </w:t>
      </w:r>
      <w:r w:rsidR="005D5DDB">
        <w:rPr>
          <w:lang w:bidi="he-IL"/>
        </w:rPr>
        <w:t xml:space="preserve">allegation made </w:t>
      </w:r>
      <w:r w:rsidR="00773CF7">
        <w:t>against him</w:t>
      </w:r>
      <w:r w:rsidR="009B5EDE">
        <w:t xml:space="preserve">. </w:t>
      </w:r>
      <w:r w:rsidRPr="00834D05">
        <w:t>In the absence of a</w:t>
      </w:r>
      <w:r w:rsidR="005D5DDB">
        <w:rPr>
          <w:lang w:bidi="he-IL"/>
        </w:rPr>
        <w:t xml:space="preserve"> plausible</w:t>
      </w:r>
      <w:r w:rsidRPr="00834D05">
        <w:t xml:space="preserve"> explanation by the State party on </w:t>
      </w:r>
      <w:r w:rsidR="00773CF7">
        <w:t xml:space="preserve">the </w:t>
      </w:r>
      <w:r w:rsidRPr="00834D05">
        <w:t xml:space="preserve">discrepancies </w:t>
      </w:r>
      <w:r w:rsidR="00137636">
        <w:rPr>
          <w:lang w:bidi="he-IL"/>
        </w:rPr>
        <w:t>in the</w:t>
      </w:r>
      <w:r w:rsidR="005D5DDB">
        <w:rPr>
          <w:lang w:bidi="he-IL"/>
        </w:rPr>
        <w:t xml:space="preserve"> findings </w:t>
      </w:r>
      <w:r w:rsidR="00137636">
        <w:rPr>
          <w:lang w:bidi="he-IL"/>
        </w:rPr>
        <w:t>relating to</w:t>
      </w:r>
      <w:r w:rsidRPr="00834D05">
        <w:t xml:space="preserve"> </w:t>
      </w:r>
      <w:r w:rsidR="005D5DDB">
        <w:rPr>
          <w:lang w:bidi="he-IL"/>
        </w:rPr>
        <w:t xml:space="preserve">different stages </w:t>
      </w:r>
      <w:r w:rsidR="00137636">
        <w:rPr>
          <w:lang w:bidi="he-IL"/>
        </w:rPr>
        <w:t xml:space="preserve">of </w:t>
      </w:r>
      <w:r w:rsidRPr="00834D05">
        <w:t xml:space="preserve">the criminal investigation and the reason why </w:t>
      </w:r>
      <w:r w:rsidR="00137636">
        <w:t>none</w:t>
      </w:r>
      <w:r w:rsidR="00137636" w:rsidRPr="00834D05">
        <w:t xml:space="preserve"> </w:t>
      </w:r>
      <w:r w:rsidRPr="00834D05">
        <w:t>of the alleged perpetrators w</w:t>
      </w:r>
      <w:r w:rsidR="006831C1">
        <w:t>ere</w:t>
      </w:r>
      <w:r w:rsidRPr="00834D05">
        <w:t xml:space="preserve"> ever charged or prosecuted</w:t>
      </w:r>
      <w:r w:rsidR="00137636">
        <w:t xml:space="preserve"> despite</w:t>
      </w:r>
      <w:r w:rsidRPr="00834D05">
        <w:t xml:space="preserve"> the detailed </w:t>
      </w:r>
      <w:r w:rsidR="006831C1">
        <w:t>allegations</w:t>
      </w:r>
      <w:r w:rsidRPr="00834D05">
        <w:t xml:space="preserve"> </w:t>
      </w:r>
      <w:r w:rsidR="005D5DDB">
        <w:rPr>
          <w:lang w:bidi="he-IL"/>
        </w:rPr>
        <w:t>levelled against them</w:t>
      </w:r>
      <w:r w:rsidRPr="00834D05">
        <w:t xml:space="preserve">, the Committee concludes that the State party failed to properly investigate the circumstances of the author’s son’s death and the allegations of torture and ill-treatment and </w:t>
      </w:r>
      <w:r w:rsidR="00DB4433">
        <w:t>hence</w:t>
      </w:r>
      <w:r w:rsidRPr="00834D05">
        <w:t xml:space="preserve"> denied the author</w:t>
      </w:r>
      <w:r w:rsidR="00DB4433">
        <w:t>’s son</w:t>
      </w:r>
      <w:r w:rsidRPr="00834D05">
        <w:t xml:space="preserve"> a</w:t>
      </w:r>
      <w:r w:rsidR="003C6969">
        <w:t>n effective</w:t>
      </w:r>
      <w:r w:rsidRPr="00834D05">
        <w:t xml:space="preserve"> remedy, in violation of h</w:t>
      </w:r>
      <w:r w:rsidR="00DB4433">
        <w:t>is</w:t>
      </w:r>
      <w:r w:rsidRPr="00834D05">
        <w:t xml:space="preserve"> rights under article 2 </w:t>
      </w:r>
      <w:r w:rsidR="00137636">
        <w:t>(</w:t>
      </w:r>
      <w:r w:rsidRPr="00834D05">
        <w:t>3</w:t>
      </w:r>
      <w:r w:rsidR="00137636">
        <w:t>),</w:t>
      </w:r>
      <w:r w:rsidRPr="00834D05">
        <w:t xml:space="preserve"> read in conjunction with articles 6 </w:t>
      </w:r>
      <w:r w:rsidR="00137636">
        <w:t>(</w:t>
      </w:r>
      <w:r w:rsidRPr="00834D05">
        <w:t>1</w:t>
      </w:r>
      <w:r w:rsidR="00137636">
        <w:t>)</w:t>
      </w:r>
      <w:r w:rsidRPr="00834D05">
        <w:t xml:space="preserve"> and 7.</w:t>
      </w:r>
      <w:r w:rsidR="00773CF7">
        <w:t xml:space="preserve"> </w:t>
      </w:r>
    </w:p>
    <w:p w14:paraId="26996F26" w14:textId="77777777" w:rsidR="00494813" w:rsidRPr="000A603E" w:rsidRDefault="00140644" w:rsidP="00B36AD3">
      <w:pPr>
        <w:pStyle w:val="SingleTxtG"/>
      </w:pPr>
      <w:r>
        <w:t>9</w:t>
      </w:r>
      <w:r w:rsidR="00494813" w:rsidRPr="000A603E">
        <w:t>.</w:t>
      </w:r>
      <w:r w:rsidR="00494813" w:rsidRPr="000A603E">
        <w:tab/>
        <w:t xml:space="preserve">The Committee, acting under article 5 </w:t>
      </w:r>
      <w:r w:rsidR="007F1ACE">
        <w:t>(</w:t>
      </w:r>
      <w:r w:rsidR="00494813" w:rsidRPr="000A603E">
        <w:t>4</w:t>
      </w:r>
      <w:r w:rsidR="007F1ACE">
        <w:t>)</w:t>
      </w:r>
      <w:r w:rsidR="00494813" w:rsidRPr="000A603E">
        <w:t xml:space="preserve"> of the Optional Protocol, is of the view</w:t>
      </w:r>
      <w:r w:rsidR="005B13A2">
        <w:t xml:space="preserve"> </w:t>
      </w:r>
      <w:r w:rsidR="005B13A2" w:rsidRPr="005B13A2">
        <w:rPr>
          <w:bCs/>
        </w:rPr>
        <w:t>that the facts before it disclose a violation of</w:t>
      </w:r>
      <w:r w:rsidR="00384E00">
        <w:t xml:space="preserve"> </w:t>
      </w:r>
      <w:r w:rsidR="007A58E9">
        <w:t>article</w:t>
      </w:r>
      <w:r w:rsidR="007F1ACE">
        <w:t>s</w:t>
      </w:r>
      <w:r w:rsidR="007A58E9">
        <w:t xml:space="preserve"> 6 </w:t>
      </w:r>
      <w:r w:rsidR="007F1ACE">
        <w:t>(</w:t>
      </w:r>
      <w:r w:rsidR="007A58E9">
        <w:t>1</w:t>
      </w:r>
      <w:r w:rsidR="007F1ACE">
        <w:t>)</w:t>
      </w:r>
      <w:r w:rsidR="007A58E9">
        <w:t xml:space="preserve"> and 7, read separately and in conjunction with article 2 </w:t>
      </w:r>
      <w:r w:rsidR="007F1ACE">
        <w:t>(</w:t>
      </w:r>
      <w:r w:rsidR="007A58E9">
        <w:t>3</w:t>
      </w:r>
      <w:r w:rsidR="007F1ACE">
        <w:t>)</w:t>
      </w:r>
      <w:r w:rsidR="00A261E7">
        <w:t xml:space="preserve"> </w:t>
      </w:r>
      <w:r w:rsidR="00494813" w:rsidRPr="000A603E">
        <w:t>of the Covenant.</w:t>
      </w:r>
    </w:p>
    <w:p w14:paraId="6749D833" w14:textId="77777777" w:rsidR="00140644" w:rsidRDefault="00140644">
      <w:pPr>
        <w:pStyle w:val="SingleTxtG"/>
      </w:pPr>
      <w:r>
        <w:t>10</w:t>
      </w:r>
      <w:r w:rsidR="00494813" w:rsidRPr="000A603E">
        <w:t>.</w:t>
      </w:r>
      <w:r w:rsidR="00494813" w:rsidRPr="000A603E">
        <w:tab/>
      </w:r>
      <w:r w:rsidRPr="00834D05">
        <w:t xml:space="preserve">In accordance with article 2 </w:t>
      </w:r>
      <w:r w:rsidR="006D5CF4">
        <w:t>(</w:t>
      </w:r>
      <w:r w:rsidRPr="00834D05">
        <w:t>3</w:t>
      </w:r>
      <w:r w:rsidR="006D5CF4">
        <w:t>)</w:t>
      </w:r>
      <w:r w:rsidRPr="00834D05">
        <w:t> (a) of the Covenant, the State party is under an obligation to provide the author with an effective remedy</w:t>
      </w:r>
      <w:r>
        <w:t>.</w:t>
      </w:r>
      <w:r w:rsidR="00D3180C">
        <w:t xml:space="preserve"> </w:t>
      </w:r>
      <w:r w:rsidR="00D3180C" w:rsidRPr="00D3180C">
        <w:t xml:space="preserve">This requires it </w:t>
      </w:r>
      <w:r w:rsidR="00D3180C" w:rsidRPr="00D3180C">
        <w:rPr>
          <w:rFonts w:cs="Helvetica"/>
        </w:rPr>
        <w:t xml:space="preserve">to make </w:t>
      </w:r>
      <w:r w:rsidR="00D262B7">
        <w:rPr>
          <w:rFonts w:cs="Helvetica"/>
        </w:rPr>
        <w:t xml:space="preserve">full </w:t>
      </w:r>
      <w:r w:rsidR="00D3180C" w:rsidRPr="00D3180C">
        <w:rPr>
          <w:rFonts w:cs="Helvetica"/>
        </w:rPr>
        <w:t>reparation to individuals whose</w:t>
      </w:r>
      <w:r w:rsidR="00D262B7">
        <w:rPr>
          <w:rFonts w:cs="Helvetica"/>
        </w:rPr>
        <w:t xml:space="preserve"> Covenant</w:t>
      </w:r>
      <w:r w:rsidR="00D3180C" w:rsidRPr="00D3180C">
        <w:rPr>
          <w:rFonts w:cs="Helvetica"/>
        </w:rPr>
        <w:t xml:space="preserve"> </w:t>
      </w:r>
      <w:r w:rsidR="00D3180C">
        <w:rPr>
          <w:rFonts w:cs="Helvetica"/>
        </w:rPr>
        <w:t xml:space="preserve">rights </w:t>
      </w:r>
      <w:r w:rsidR="00D3180C" w:rsidRPr="00D3180C">
        <w:rPr>
          <w:rFonts w:cs="Helvetica"/>
        </w:rPr>
        <w:t>have been violated.</w:t>
      </w:r>
      <w:r w:rsidR="00BE40C9">
        <w:rPr>
          <w:rFonts w:cs="Helvetica"/>
          <w:b/>
        </w:rPr>
        <w:t xml:space="preserve"> </w:t>
      </w:r>
      <w:r w:rsidR="00D3180C" w:rsidRPr="00D3180C">
        <w:rPr>
          <w:rFonts w:cs="Helvetica"/>
        </w:rPr>
        <w:t xml:space="preserve">Accordingly, the State party is obligated, </w:t>
      </w:r>
      <w:r w:rsidR="00D3180C" w:rsidRPr="00B666F6">
        <w:rPr>
          <w:rFonts w:cs="Helvetica"/>
          <w:iCs/>
        </w:rPr>
        <w:t>inter alia,</w:t>
      </w:r>
      <w:r w:rsidR="00D3180C" w:rsidRPr="00D3180C">
        <w:rPr>
          <w:rFonts w:cs="Helvetica"/>
        </w:rPr>
        <w:t xml:space="preserve"> to conduct</w:t>
      </w:r>
      <w:r w:rsidR="00D262B7">
        <w:rPr>
          <w:rFonts w:cs="Helvetica"/>
        </w:rPr>
        <w:t xml:space="preserve"> a new, expeditious,</w:t>
      </w:r>
      <w:r w:rsidR="00D3180C" w:rsidRPr="004F7C84">
        <w:rPr>
          <w:rFonts w:cs="Helvetica"/>
          <w:b/>
        </w:rPr>
        <w:t xml:space="preserve"> </w:t>
      </w:r>
      <w:r w:rsidRPr="00834D05">
        <w:t>impartial</w:t>
      </w:r>
      <w:r>
        <w:t>, effective and thorough</w:t>
      </w:r>
      <w:r w:rsidRPr="00834D05">
        <w:t xml:space="preserve"> investigation into the </w:t>
      </w:r>
      <w:r w:rsidR="00A261E7">
        <w:t xml:space="preserve">exact </w:t>
      </w:r>
      <w:r w:rsidRPr="00834D05">
        <w:t>circumstances of the author’s son’s death</w:t>
      </w:r>
      <w:r>
        <w:t xml:space="preserve">, </w:t>
      </w:r>
      <w:r w:rsidR="00D262B7">
        <w:t xml:space="preserve">to </w:t>
      </w:r>
      <w:r w:rsidRPr="00834D05">
        <w:t>prosecut</w:t>
      </w:r>
      <w:r w:rsidR="00D262B7">
        <w:t>e</w:t>
      </w:r>
      <w:r w:rsidRPr="00834D05">
        <w:t xml:space="preserve"> </w:t>
      </w:r>
      <w:r w:rsidR="00CF59DE" w:rsidRPr="00834D05">
        <w:t>th</w:t>
      </w:r>
      <w:r w:rsidR="00CF59DE">
        <w:t xml:space="preserve">ose </w:t>
      </w:r>
      <w:r w:rsidRPr="00834D05">
        <w:t>responsible</w:t>
      </w:r>
      <w:r w:rsidR="00D3180C">
        <w:t xml:space="preserve"> </w:t>
      </w:r>
      <w:r w:rsidR="00D3180C" w:rsidRPr="00D3180C">
        <w:t>and to provide the author with</w:t>
      </w:r>
      <w:r w:rsidR="00D3180C" w:rsidRPr="003C6969">
        <w:t xml:space="preserve"> adequate compensation and </w:t>
      </w:r>
      <w:r w:rsidR="00D3180C" w:rsidRPr="00D3180C">
        <w:t>appropriate measures of satisfaction</w:t>
      </w:r>
      <w:r w:rsidRPr="00834D05">
        <w:t>. The State party is also under an obligation to prevent similar violations in the future</w:t>
      </w:r>
      <w:r w:rsidR="005B13A2">
        <w:t xml:space="preserve">, </w:t>
      </w:r>
      <w:r w:rsidR="005B13A2" w:rsidRPr="005B13A2">
        <w:t>in</w:t>
      </w:r>
      <w:r w:rsidR="005B13A2" w:rsidRPr="005B13A2">
        <w:rPr>
          <w:bCs/>
        </w:rPr>
        <w:t>cluding by removing obstacles for obtaining civil reparation independently of any related criminal proceedings</w:t>
      </w:r>
      <w:r w:rsidRPr="005B13A2">
        <w:t>.</w:t>
      </w:r>
    </w:p>
    <w:p w14:paraId="16F7FCBD" w14:textId="77777777" w:rsidR="00494813" w:rsidRDefault="00494813">
      <w:pPr>
        <w:pStyle w:val="SingleTxtG"/>
      </w:pPr>
      <w:r w:rsidRPr="000A603E">
        <w:t>1</w:t>
      </w:r>
      <w:r w:rsidR="00140644">
        <w:t>1</w:t>
      </w:r>
      <w:r w:rsidRPr="000A603E">
        <w:t>.</w:t>
      </w:r>
      <w:r w:rsidRPr="000A603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BE40C9">
        <w:t>’</w:t>
      </w:r>
      <w:r w:rsidRPr="000A603E">
        <w:t>s Views. In addition, it requests the State party to publish th</w:t>
      </w:r>
      <w:r w:rsidR="0067769E">
        <w:t>os</w:t>
      </w:r>
      <w:r w:rsidRPr="000A603E">
        <w:t>e Views.</w:t>
      </w:r>
    </w:p>
    <w:p w14:paraId="42A79AD4" w14:textId="77777777" w:rsidR="00633364" w:rsidRPr="00633364" w:rsidRDefault="00633364" w:rsidP="00633364">
      <w:pPr>
        <w:pStyle w:val="SingleTxtG"/>
        <w:spacing w:before="240" w:after="0"/>
        <w:jc w:val="center"/>
        <w:rPr>
          <w:u w:val="single"/>
        </w:rPr>
      </w:pPr>
      <w:r>
        <w:rPr>
          <w:u w:val="single"/>
        </w:rPr>
        <w:tab/>
      </w:r>
      <w:r>
        <w:rPr>
          <w:u w:val="single"/>
        </w:rPr>
        <w:tab/>
      </w:r>
      <w:r>
        <w:rPr>
          <w:u w:val="single"/>
        </w:rPr>
        <w:tab/>
      </w:r>
    </w:p>
    <w:sectPr w:rsidR="00633364" w:rsidRPr="00633364" w:rsidSect="007D559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08:20:00Z" w:initials="Start">
    <w:p w14:paraId="230BC5CF" w14:textId="77777777" w:rsidR="007D5593" w:rsidRDefault="007D559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NO&gt;&gt;N1528077E&lt;&lt;ODS JOB NO&gt;&gt;</w:t>
      </w:r>
    </w:p>
    <w:p w14:paraId="15B04914" w14:textId="77777777" w:rsidR="007D5593" w:rsidRDefault="007D5593">
      <w:pPr>
        <w:pStyle w:val="CommentText"/>
      </w:pPr>
      <w:r>
        <w:t>&lt;&lt;ODS DOC SYMBOL1&gt;&gt;CCPR/C/115/D/2052/2011&lt;&lt;ODS DOC SYMBOL1&gt;&gt;</w:t>
      </w:r>
    </w:p>
    <w:p w14:paraId="26F0448E" w14:textId="77777777" w:rsidR="007D5593" w:rsidRDefault="007D5593">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044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F3B01" w14:textId="77777777" w:rsidR="007D43F4" w:rsidRDefault="007D43F4"/>
  </w:endnote>
  <w:endnote w:type="continuationSeparator" w:id="0">
    <w:p w14:paraId="33FB0127" w14:textId="77777777" w:rsidR="007D43F4" w:rsidRDefault="007D43F4"/>
  </w:endnote>
  <w:endnote w:type="continuationNotice" w:id="1">
    <w:p w14:paraId="13C46C0B" w14:textId="77777777" w:rsidR="007D43F4" w:rsidRDefault="007D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E39C" w14:textId="77777777" w:rsidR="00F96B8E" w:rsidRPr="00781C83" w:rsidRDefault="00F96B8E"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7E067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1529" w14:textId="77777777" w:rsidR="00F96B8E" w:rsidRPr="00781C83" w:rsidRDefault="00F96B8E"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7E0672">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5593" w14:paraId="70308E9B" w14:textId="77777777" w:rsidTr="007D5593">
      <w:tc>
        <w:tcPr>
          <w:tcW w:w="3614" w:type="dxa"/>
          <w:shd w:val="clear" w:color="auto" w:fill="auto"/>
        </w:tcPr>
        <w:p w14:paraId="7ABFE839" w14:textId="77777777" w:rsidR="007D5593" w:rsidRDefault="007D5593" w:rsidP="007D5593">
          <w:pPr>
            <w:pStyle w:val="Footer"/>
            <w:rPr>
              <w:sz w:val="20"/>
            </w:rPr>
          </w:pPr>
          <w:r>
            <w:rPr>
              <w:noProof/>
              <w:sz w:val="20"/>
              <w:lang w:val="en-US"/>
            </w:rPr>
            <w:drawing>
              <wp:anchor distT="0" distB="0" distL="114300" distR="114300" simplePos="0" relativeHeight="251658240" behindDoc="0" locked="0" layoutInCell="1" allowOverlap="1" wp14:anchorId="32A12EC2" wp14:editId="6C8BAA0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52/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52/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GE.15-21670(E)</w:t>
          </w:r>
        </w:p>
        <w:p w14:paraId="2F3CD9BB" w14:textId="77777777" w:rsidR="007D5593" w:rsidRPr="007D5593" w:rsidRDefault="007D5593" w:rsidP="007D5593">
          <w:pPr>
            <w:pStyle w:val="Footer"/>
            <w:rPr>
              <w:rFonts w:ascii="Barcode 3 of 9 by request" w:hAnsi="Barcode 3 of 9 by request"/>
              <w:sz w:val="24"/>
            </w:rPr>
          </w:pPr>
          <w:r>
            <w:rPr>
              <w:rFonts w:ascii="Barcode 3 of 9 by request" w:hAnsi="Barcode 3 of 9 by request"/>
              <w:sz w:val="24"/>
            </w:rPr>
            <w:t>*1521670*</w:t>
          </w:r>
        </w:p>
      </w:tc>
      <w:tc>
        <w:tcPr>
          <w:tcW w:w="4752" w:type="dxa"/>
          <w:shd w:val="clear" w:color="auto" w:fill="auto"/>
        </w:tcPr>
        <w:p w14:paraId="4C799AB2" w14:textId="77777777" w:rsidR="007D5593" w:rsidRDefault="007D5593" w:rsidP="007D5593">
          <w:pPr>
            <w:pStyle w:val="Footer"/>
            <w:spacing w:line="240" w:lineRule="atLeast"/>
            <w:jc w:val="right"/>
            <w:rPr>
              <w:sz w:val="20"/>
            </w:rPr>
          </w:pPr>
          <w:r>
            <w:rPr>
              <w:noProof/>
              <w:sz w:val="20"/>
              <w:lang w:val="en-US"/>
            </w:rPr>
            <w:drawing>
              <wp:inline distT="0" distB="0" distL="0" distR="0" wp14:anchorId="4506E1C7" wp14:editId="3410664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1DBB863" w14:textId="77777777" w:rsidR="007D5593" w:rsidRPr="007D5593" w:rsidRDefault="007D5593" w:rsidP="007D559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221F" w14:textId="77777777" w:rsidR="007D43F4" w:rsidRPr="000B175B" w:rsidRDefault="007D43F4" w:rsidP="000B175B">
      <w:pPr>
        <w:tabs>
          <w:tab w:val="right" w:pos="2155"/>
        </w:tabs>
        <w:spacing w:after="80"/>
        <w:ind w:left="680"/>
        <w:rPr>
          <w:u w:val="single"/>
        </w:rPr>
      </w:pPr>
      <w:r>
        <w:rPr>
          <w:u w:val="single"/>
        </w:rPr>
        <w:tab/>
      </w:r>
    </w:p>
  </w:footnote>
  <w:footnote w:type="continuationSeparator" w:id="0">
    <w:p w14:paraId="7814479B" w14:textId="77777777" w:rsidR="007D43F4" w:rsidRPr="00FC68B7" w:rsidRDefault="007D43F4" w:rsidP="00FC68B7">
      <w:pPr>
        <w:tabs>
          <w:tab w:val="left" w:pos="2155"/>
        </w:tabs>
        <w:spacing w:after="80"/>
        <w:ind w:left="680"/>
        <w:rPr>
          <w:u w:val="single"/>
        </w:rPr>
      </w:pPr>
      <w:r>
        <w:rPr>
          <w:u w:val="single"/>
        </w:rPr>
        <w:tab/>
      </w:r>
    </w:p>
  </w:footnote>
  <w:footnote w:type="continuationNotice" w:id="1">
    <w:p w14:paraId="0DCCABEA" w14:textId="77777777" w:rsidR="007D43F4" w:rsidRDefault="007D43F4"/>
  </w:footnote>
  <w:footnote w:id="2">
    <w:p w14:paraId="7430D3EF" w14:textId="77777777" w:rsidR="00F96B8E" w:rsidRPr="00671544" w:rsidRDefault="00F96B8E" w:rsidP="00434D08">
      <w:pPr>
        <w:pStyle w:val="FootnoteText"/>
      </w:pPr>
      <w:r>
        <w:rPr>
          <w:rStyle w:val="FootnoteReference"/>
        </w:rPr>
        <w:tab/>
      </w:r>
      <w:r w:rsidRPr="003C403B">
        <w:rPr>
          <w:rStyle w:val="FootnoteReference"/>
          <w:sz w:val="20"/>
          <w:vertAlign w:val="baseline"/>
        </w:rPr>
        <w:t>*</w:t>
      </w:r>
      <w:r>
        <w:rPr>
          <w:rStyle w:val="FootnoteReference"/>
          <w:sz w:val="20"/>
          <w:vertAlign w:val="baseline"/>
        </w:rPr>
        <w:tab/>
      </w:r>
      <w:r w:rsidRPr="00B666F6">
        <w:t>The following members of the Committee participated in the examination of the present communication: Yadh Ben Achour, Lazhari Bouzid, Sarah Cleveland, Olivier de Frouville, Yuji</w:t>
      </w:r>
      <w:r>
        <w:t> </w:t>
      </w:r>
      <w:r w:rsidRPr="00B666F6">
        <w:t>Iwasawa, Ivana Jeli</w:t>
      </w:r>
      <w:r>
        <w:t>ć</w:t>
      </w:r>
      <w:r w:rsidRPr="00B666F6">
        <w:t xml:space="preserve">, Duncan </w:t>
      </w:r>
      <w:r>
        <w:t xml:space="preserve">Laki </w:t>
      </w:r>
      <w:r w:rsidRPr="00B666F6">
        <w:t>Muhumuza, Photini Pazartzis, Mauro Politi, Sir Nigel Rodley, V</w:t>
      </w:r>
      <w:r>
        <w:t>í</w:t>
      </w:r>
      <w:r w:rsidRPr="00B666F6">
        <w:t>ctor Manuel Rodríguez-Rescia, Fabián Omar Salvioli, Dheerujlall Seetulsingh, Anja</w:t>
      </w:r>
      <w:r>
        <w:t> </w:t>
      </w:r>
      <w:r w:rsidRPr="00B666F6">
        <w:t>Seibert-Fohr, Yuval Shany, Konstantine Vardzelashvili and Margo Waterval.</w:t>
      </w:r>
    </w:p>
  </w:footnote>
  <w:footnote w:id="3">
    <w:p w14:paraId="103F7ABA" w14:textId="77777777" w:rsidR="00F96B8E" w:rsidRDefault="00F96B8E" w:rsidP="00B666F6">
      <w:pPr>
        <w:pStyle w:val="FootnoteText"/>
      </w:pPr>
      <w:r>
        <w:tab/>
      </w:r>
      <w:r>
        <w:rPr>
          <w:rStyle w:val="FootnoteReference"/>
        </w:rPr>
        <w:footnoteRef/>
      </w:r>
      <w:r>
        <w:tab/>
        <w:t xml:space="preserve">The </w:t>
      </w:r>
      <w:r w:rsidRPr="00633364">
        <w:t>author</w:t>
      </w:r>
      <w:r>
        <w:t xml:space="preserve"> submits that officer M.E. gave a formal statement to the prosecutor’s office on 22 April 2007, in which he confirmed that the victim was present in the police station at approximately 9.30 a.m. on 3 May 2005. </w:t>
      </w:r>
    </w:p>
  </w:footnote>
  <w:footnote w:id="4">
    <w:p w14:paraId="6E53F1A2" w14:textId="77777777" w:rsidR="00F96B8E" w:rsidRDefault="00F96B8E" w:rsidP="00B666F6">
      <w:pPr>
        <w:pStyle w:val="FootnoteText"/>
      </w:pPr>
      <w:r>
        <w:tab/>
      </w:r>
      <w:r>
        <w:rPr>
          <w:rStyle w:val="FootnoteReference"/>
        </w:rPr>
        <w:footnoteRef/>
      </w:r>
      <w:r>
        <w:tab/>
        <w:t xml:space="preserve">The author submits that during subsequent questioning by the prosecutor on 21 June 2007, M.E. retracted his original statement. In his new statement, M.E. claimed that he was not at the police station that day. He also stated that he had been “bullied” by the victim’s mother, who “scared” him by saying that he had killed her son. </w:t>
      </w:r>
    </w:p>
  </w:footnote>
  <w:footnote w:id="5">
    <w:p w14:paraId="2569B94E" w14:textId="77777777" w:rsidR="00F96B8E" w:rsidRPr="003B4974" w:rsidRDefault="00F96B8E" w:rsidP="00B666F6">
      <w:pPr>
        <w:pStyle w:val="FootnoteText"/>
        <w:rPr>
          <w:szCs w:val="18"/>
        </w:rPr>
      </w:pPr>
      <w:r>
        <w:tab/>
      </w:r>
      <w:r w:rsidRPr="003B4974">
        <w:rPr>
          <w:rStyle w:val="FootnoteReference"/>
          <w:szCs w:val="18"/>
        </w:rPr>
        <w:footnoteRef/>
      </w:r>
      <w:r>
        <w:tab/>
      </w:r>
      <w:r w:rsidRPr="003B4974">
        <w:t xml:space="preserve">The supplemental medical review </w:t>
      </w:r>
      <w:r>
        <w:t>that</w:t>
      </w:r>
      <w:r w:rsidRPr="003B4974">
        <w:t xml:space="preserve"> was conducted on 23 September 2005, in addition to </w:t>
      </w:r>
      <w:r>
        <w:t xml:space="preserve">the </w:t>
      </w:r>
      <w:r w:rsidRPr="003B4974">
        <w:t xml:space="preserve">previous findings, </w:t>
      </w:r>
      <w:r>
        <w:t>could</w:t>
      </w:r>
      <w:r w:rsidRPr="003B4974">
        <w:t xml:space="preserve"> not rule out </w:t>
      </w:r>
      <w:r>
        <w:t>“</w:t>
      </w:r>
      <w:r w:rsidRPr="003B4974">
        <w:t xml:space="preserve">that he could have received these injuries from falling down the stairs”. </w:t>
      </w:r>
      <w:r>
        <w:t>An</w:t>
      </w:r>
      <w:r w:rsidRPr="003B4974">
        <w:t xml:space="preserve"> exhumation </w:t>
      </w:r>
      <w:r>
        <w:t xml:space="preserve">of the body was called for </w:t>
      </w:r>
      <w:r w:rsidRPr="003B4974">
        <w:t>to reach an accurate conclusion. The exhumation was conducted on 2 October 2006</w:t>
      </w:r>
      <w:r>
        <w:t xml:space="preserve">. The new medical-forensic examination </w:t>
      </w:r>
      <w:r w:rsidRPr="003B4974">
        <w:t>confirm</w:t>
      </w:r>
      <w:r>
        <w:t>ed</w:t>
      </w:r>
      <w:r w:rsidRPr="003B4974">
        <w:t xml:space="preserve"> </w:t>
      </w:r>
      <w:r>
        <w:t xml:space="preserve">the initial </w:t>
      </w:r>
      <w:r w:rsidRPr="003B4974">
        <w:t xml:space="preserve">findings </w:t>
      </w:r>
      <w:r>
        <w:t xml:space="preserve">but also noted </w:t>
      </w:r>
      <w:r w:rsidRPr="003B4974">
        <w:t xml:space="preserve">that </w:t>
      </w:r>
      <w:r>
        <w:t xml:space="preserve">a </w:t>
      </w:r>
      <w:r w:rsidRPr="003B4974">
        <w:t>“fall from a height is not excluded”. On 15 June</w:t>
      </w:r>
      <w:r>
        <w:t xml:space="preserve"> </w:t>
      </w:r>
      <w:r w:rsidRPr="003B4974">
        <w:t>2007, the Akmatov family requested an independent examination, which was carried out by a top-level forensic medicine expert</w:t>
      </w:r>
      <w:r>
        <w:t xml:space="preserve"> who was also</w:t>
      </w:r>
      <w:r w:rsidRPr="003B4974">
        <w:t xml:space="preserve"> a professor </w:t>
      </w:r>
      <w:r>
        <w:t>at</w:t>
      </w:r>
      <w:r w:rsidRPr="003B4974">
        <w:t xml:space="preserve"> the Kyrgyz </w:t>
      </w:r>
      <w:r>
        <w:t>State</w:t>
      </w:r>
      <w:r w:rsidRPr="003B4974">
        <w:t xml:space="preserve"> Medical Academy. Th</w:t>
      </w:r>
      <w:r>
        <w:t>e</w:t>
      </w:r>
      <w:r w:rsidRPr="003B4974">
        <w:t xml:space="preserve"> expert’s report, issued on 11 October 2007, </w:t>
      </w:r>
      <w:r>
        <w:t>pointed to</w:t>
      </w:r>
      <w:r w:rsidRPr="003B4974">
        <w:t xml:space="preserve"> a number of discrepancies between the description of injuries and the diagnosis of </w:t>
      </w:r>
      <w:r>
        <w:t xml:space="preserve">the </w:t>
      </w:r>
      <w:r w:rsidRPr="003B4974">
        <w:t xml:space="preserve">previous examinations. </w:t>
      </w:r>
      <w:r>
        <w:t xml:space="preserve">On </w:t>
      </w:r>
      <w:r w:rsidRPr="003B4974">
        <w:t xml:space="preserve">12 March 2008, the Osh </w:t>
      </w:r>
      <w:r>
        <w:t>r</w:t>
      </w:r>
      <w:r w:rsidRPr="003B4974">
        <w:t xml:space="preserve">egional prosecutor’s office ordered </w:t>
      </w:r>
      <w:r>
        <w:t>that</w:t>
      </w:r>
      <w:r w:rsidRPr="003B4974">
        <w:t xml:space="preserve"> all prior forensic medical evidence</w:t>
      </w:r>
      <w:r>
        <w:t xml:space="preserve"> be reviewed by a commission</w:t>
      </w:r>
      <w:r w:rsidRPr="003B4974">
        <w:t>. Th</w:t>
      </w:r>
      <w:r>
        <w:t>at</w:t>
      </w:r>
      <w:r w:rsidRPr="003B4974">
        <w:t xml:space="preserve"> commission confirmed</w:t>
      </w:r>
      <w:r>
        <w:t xml:space="preserve"> the previous diagnosis of the cause of death, adding that haemorrhaging around the left kidney could have aggravated life-threatening conditions, namely acute kidney failure, which in turn could have greatly contributed to the death. The commission stated clearly that the injuries could not have been caused by the victim’s fall from a bench. </w:t>
      </w:r>
    </w:p>
  </w:footnote>
  <w:footnote w:id="6">
    <w:p w14:paraId="63F6BD13" w14:textId="77777777" w:rsidR="00F96B8E" w:rsidRDefault="00F96B8E" w:rsidP="00B36AD3">
      <w:pPr>
        <w:pStyle w:val="FootnoteText"/>
      </w:pPr>
      <w:r>
        <w:tab/>
      </w:r>
      <w:r>
        <w:rPr>
          <w:rStyle w:val="FootnoteReference"/>
        </w:rPr>
        <w:footnoteRef/>
      </w:r>
      <w:r>
        <w:tab/>
        <w:t xml:space="preserve">The </w:t>
      </w:r>
      <w:r w:rsidRPr="00633364">
        <w:t>author</w:t>
      </w:r>
      <w:r>
        <w:t xml:space="preserve"> refers to communication No. 1225/2003, </w:t>
      </w:r>
      <w:r w:rsidRPr="00004793">
        <w:rPr>
          <w:i/>
        </w:rPr>
        <w:t>Eshonov v. Uzbekistan</w:t>
      </w:r>
      <w:r>
        <w:t>, Views adopted on 22 July 2010, para. 9.2.</w:t>
      </w:r>
    </w:p>
  </w:footnote>
  <w:footnote w:id="7">
    <w:p w14:paraId="0BC076A5" w14:textId="77777777" w:rsidR="00F96B8E" w:rsidRDefault="00F96B8E" w:rsidP="00B666F6">
      <w:pPr>
        <w:pStyle w:val="FootnoteText"/>
      </w:pPr>
      <w:r>
        <w:tab/>
      </w:r>
      <w:r>
        <w:rPr>
          <w:rStyle w:val="FootnoteReference"/>
        </w:rPr>
        <w:footnoteRef/>
      </w:r>
      <w:r>
        <w:tab/>
        <w:t xml:space="preserve">The suspension was based on article 221, paragraph 1 (3) of the Code of Criminal Procedure of Kyrgyzstan. </w:t>
      </w:r>
    </w:p>
  </w:footnote>
  <w:footnote w:id="8">
    <w:p w14:paraId="71944B44" w14:textId="77777777" w:rsidR="00F96B8E" w:rsidRDefault="00F96B8E" w:rsidP="00B666F6">
      <w:pPr>
        <w:pStyle w:val="FootnoteText"/>
      </w:pPr>
      <w:r>
        <w:tab/>
      </w:r>
      <w:r>
        <w:rPr>
          <w:rStyle w:val="FootnoteReference"/>
        </w:rPr>
        <w:footnoteRef/>
      </w:r>
      <w:r>
        <w:tab/>
        <w:t xml:space="preserve">The State party provides no further explanation of the term “prophylactic work”. </w:t>
      </w:r>
    </w:p>
  </w:footnote>
  <w:footnote w:id="9">
    <w:p w14:paraId="611859CD" w14:textId="77777777" w:rsidR="00F96B8E" w:rsidRDefault="00F96B8E" w:rsidP="00B666F6">
      <w:pPr>
        <w:pStyle w:val="FootnoteText"/>
      </w:pPr>
      <w:r>
        <w:tab/>
      </w:r>
      <w:r>
        <w:rPr>
          <w:rStyle w:val="FootnoteReference"/>
        </w:rPr>
        <w:footnoteRef/>
      </w:r>
      <w:r>
        <w:tab/>
        <w:t xml:space="preserve">No copy of the statement has been provided, and its content has not been described. </w:t>
      </w:r>
    </w:p>
  </w:footnote>
  <w:footnote w:id="10">
    <w:p w14:paraId="7E39EF1A" w14:textId="77777777" w:rsidR="00F96B8E" w:rsidRDefault="00F96B8E" w:rsidP="00B666F6">
      <w:pPr>
        <w:pStyle w:val="FootnoteText"/>
      </w:pPr>
      <w:r>
        <w:tab/>
      </w:r>
      <w:r>
        <w:rPr>
          <w:rStyle w:val="FootnoteReference"/>
        </w:rPr>
        <w:footnoteRef/>
      </w:r>
      <w:r>
        <w:tab/>
        <w:t xml:space="preserve">This time seems to contradict the State party’s submission in para. 4.4. </w:t>
      </w:r>
    </w:p>
  </w:footnote>
  <w:footnote w:id="11">
    <w:p w14:paraId="0F96AC4A" w14:textId="77777777" w:rsidR="00F96B8E" w:rsidRDefault="00F96B8E" w:rsidP="00B666F6">
      <w:pPr>
        <w:pStyle w:val="FootnoteText"/>
      </w:pPr>
      <w:r>
        <w:tab/>
      </w:r>
      <w:r>
        <w:rPr>
          <w:rStyle w:val="FootnoteReference"/>
        </w:rPr>
        <w:footnoteRef/>
      </w:r>
      <w:r>
        <w:tab/>
        <w:t xml:space="preserve">The </w:t>
      </w:r>
      <w:r w:rsidRPr="00633364">
        <w:t>State</w:t>
      </w:r>
      <w:r>
        <w:t xml:space="preserve"> party provides no reason for the discontinuation. </w:t>
      </w:r>
    </w:p>
  </w:footnote>
  <w:footnote w:id="12">
    <w:p w14:paraId="225C3F78" w14:textId="77777777" w:rsidR="00F96B8E" w:rsidRDefault="00F96B8E" w:rsidP="00B666F6">
      <w:pPr>
        <w:pStyle w:val="FootnoteText"/>
      </w:pPr>
      <w:r>
        <w:tab/>
      </w:r>
      <w:r>
        <w:rPr>
          <w:rStyle w:val="FootnoteReference"/>
        </w:rPr>
        <w:footnoteRef/>
      </w:r>
      <w:r>
        <w:tab/>
        <w:t xml:space="preserve">The State party submits that on 14 April 2006 the officer in question was fired from the police for acts that “discredited” the name of the law enforcement officer. It is unclear whether this dismissal was related to the incident with the author of the communication. </w:t>
      </w:r>
    </w:p>
  </w:footnote>
  <w:footnote w:id="13">
    <w:p w14:paraId="47FB94FE" w14:textId="77777777" w:rsidR="00F96B8E" w:rsidRDefault="00F96B8E" w:rsidP="00B666F6">
      <w:pPr>
        <w:pStyle w:val="FootnoteText"/>
      </w:pPr>
      <w:r>
        <w:tab/>
      </w:r>
      <w:r>
        <w:rPr>
          <w:rStyle w:val="FootnoteReference"/>
        </w:rPr>
        <w:footnoteRef/>
      </w:r>
      <w:r>
        <w:tab/>
      </w:r>
      <w:r w:rsidRPr="00B666F6">
        <w:rPr>
          <w:iCs/>
        </w:rPr>
        <w:t>See</w:t>
      </w:r>
      <w:r>
        <w:rPr>
          <w:iCs/>
        </w:rPr>
        <w:t>, among others,</w:t>
      </w:r>
      <w:r>
        <w:t xml:space="preserve"> communication No. 1503/2006, </w:t>
      </w:r>
      <w:r w:rsidRPr="001223B9">
        <w:rPr>
          <w:i/>
          <w:iCs/>
        </w:rPr>
        <w:t>Akhadov</w:t>
      </w:r>
      <w:r w:rsidRPr="001A2751">
        <w:rPr>
          <w:i/>
        </w:rPr>
        <w:t xml:space="preserve"> v. Kyrgyzstan</w:t>
      </w:r>
      <w:r>
        <w:t xml:space="preserve">, Views adopted on 25 March 2011, para. 5.5. </w:t>
      </w:r>
    </w:p>
  </w:footnote>
  <w:footnote w:id="14">
    <w:p w14:paraId="198FA92B" w14:textId="77777777" w:rsidR="00F96B8E" w:rsidRPr="007407C9" w:rsidRDefault="00F96B8E" w:rsidP="00B666F6">
      <w:pPr>
        <w:pStyle w:val="FootnoteText"/>
      </w:pPr>
      <w:r>
        <w:tab/>
      </w:r>
      <w:r w:rsidRPr="007407C9">
        <w:rPr>
          <w:rStyle w:val="FootnoteReference"/>
        </w:rPr>
        <w:footnoteRef/>
      </w:r>
      <w:r>
        <w:tab/>
        <w:t>See c</w:t>
      </w:r>
      <w:r w:rsidRPr="00633364">
        <w:t>ommunication</w:t>
      </w:r>
      <w:r>
        <w:t>s</w:t>
      </w:r>
      <w:r w:rsidRPr="007407C9">
        <w:t xml:space="preserve"> No. 836/1998, </w:t>
      </w:r>
      <w:r w:rsidRPr="001223B9">
        <w:rPr>
          <w:i/>
          <w:iCs/>
        </w:rPr>
        <w:t>Gelazauskas</w:t>
      </w:r>
      <w:r>
        <w:rPr>
          <w:i/>
        </w:rPr>
        <w:t xml:space="preserve"> </w:t>
      </w:r>
      <w:r w:rsidRPr="001F4B4D">
        <w:rPr>
          <w:i/>
        </w:rPr>
        <w:t>v. Lithuania</w:t>
      </w:r>
      <w:r w:rsidRPr="007407C9">
        <w:t xml:space="preserve">, </w:t>
      </w:r>
      <w:r>
        <w:t xml:space="preserve">Views adopted on 17 March 2003, </w:t>
      </w:r>
      <w:r w:rsidRPr="007407C9">
        <w:t>para</w:t>
      </w:r>
      <w:r>
        <w:t>.</w:t>
      </w:r>
      <w:r w:rsidRPr="007407C9">
        <w:t xml:space="preserve"> 7.4; No. 1784/2008, </w:t>
      </w:r>
      <w:r w:rsidRPr="007407C9">
        <w:rPr>
          <w:i/>
        </w:rPr>
        <w:t>Schumilin v. Belarus</w:t>
      </w:r>
      <w:r w:rsidRPr="007407C9">
        <w:t xml:space="preserve">, Views adopted on 23 July 2012, para. 8.3; </w:t>
      </w:r>
      <w:r>
        <w:t xml:space="preserve">and </w:t>
      </w:r>
      <w:r w:rsidRPr="007407C9">
        <w:t xml:space="preserve">No. 1814/2008, </w:t>
      </w:r>
      <w:r w:rsidRPr="007407C9">
        <w:rPr>
          <w:i/>
        </w:rPr>
        <w:t>P.L. v. Belarus</w:t>
      </w:r>
      <w:r w:rsidRPr="007407C9">
        <w:t>, decision of inadmissibility</w:t>
      </w:r>
      <w:r>
        <w:t xml:space="preserve"> adopted on</w:t>
      </w:r>
      <w:r w:rsidRPr="007407C9">
        <w:t xml:space="preserve"> 26 July 2011, para. 6.2.</w:t>
      </w:r>
    </w:p>
  </w:footnote>
  <w:footnote w:id="15">
    <w:p w14:paraId="3759A8BE" w14:textId="77777777" w:rsidR="00F96B8E" w:rsidRPr="00284FE1" w:rsidRDefault="00F96B8E" w:rsidP="00B666F6">
      <w:pPr>
        <w:pStyle w:val="FootnoteText"/>
      </w:pPr>
      <w:r>
        <w:tab/>
      </w:r>
      <w:r w:rsidRPr="00284FE1">
        <w:rPr>
          <w:rStyle w:val="FootnoteReference"/>
          <w:szCs w:val="18"/>
        </w:rPr>
        <w:footnoteRef/>
      </w:r>
      <w:r>
        <w:tab/>
      </w:r>
      <w:r w:rsidRPr="00284FE1">
        <w:t xml:space="preserve">See communication No. 763/1997, </w:t>
      </w:r>
      <w:r w:rsidRPr="00284FE1">
        <w:rPr>
          <w:i/>
          <w:iCs/>
        </w:rPr>
        <w:t xml:space="preserve">Lantsov </w:t>
      </w:r>
      <w:r w:rsidRPr="00B666F6">
        <w:rPr>
          <w:i/>
          <w:iCs/>
        </w:rPr>
        <w:t>v.</w:t>
      </w:r>
      <w:r w:rsidRPr="00284FE1">
        <w:rPr>
          <w:i/>
          <w:iCs/>
        </w:rPr>
        <w:t xml:space="preserve"> Russian Federation</w:t>
      </w:r>
      <w:r w:rsidRPr="00284FE1">
        <w:t xml:space="preserve">, Views </w:t>
      </w:r>
      <w:r>
        <w:t>adopted on</w:t>
      </w:r>
      <w:r w:rsidRPr="00284FE1">
        <w:t xml:space="preserve"> 26 March 2002, para.</w:t>
      </w:r>
      <w:r>
        <w:t> </w:t>
      </w:r>
      <w:r w:rsidRPr="00284FE1">
        <w:t>9.2.</w:t>
      </w:r>
    </w:p>
  </w:footnote>
  <w:footnote w:id="16">
    <w:p w14:paraId="05AB5DDD" w14:textId="77777777" w:rsidR="00F96B8E" w:rsidRPr="00284FE1" w:rsidRDefault="00F96B8E" w:rsidP="00B666F6">
      <w:pPr>
        <w:pStyle w:val="FootnoteText"/>
      </w:pPr>
      <w:r>
        <w:tab/>
      </w:r>
      <w:r w:rsidRPr="00284FE1">
        <w:rPr>
          <w:rStyle w:val="FootnoteReference"/>
          <w:szCs w:val="18"/>
        </w:rPr>
        <w:footnoteRef/>
      </w:r>
      <w:r>
        <w:tab/>
      </w:r>
      <w:r w:rsidRPr="00284FE1">
        <w:t xml:space="preserve">See communication No. 1436/2005, </w:t>
      </w:r>
      <w:r w:rsidRPr="00284FE1">
        <w:rPr>
          <w:i/>
          <w:iCs/>
        </w:rPr>
        <w:t xml:space="preserve">Sathasivam </w:t>
      </w:r>
      <w:r w:rsidRPr="00B666F6">
        <w:rPr>
          <w:i/>
          <w:iCs/>
        </w:rPr>
        <w:t>v.</w:t>
      </w:r>
      <w:r w:rsidRPr="00284FE1">
        <w:rPr>
          <w:i/>
          <w:iCs/>
        </w:rPr>
        <w:t xml:space="preserve"> Sri Lanka</w:t>
      </w:r>
      <w:r w:rsidRPr="00284FE1">
        <w:t xml:space="preserve">, Views of 8 July 2008, para. 6.4; communication No. 1275/2004, </w:t>
      </w:r>
      <w:r w:rsidRPr="00284FE1">
        <w:rPr>
          <w:i/>
          <w:iCs/>
        </w:rPr>
        <w:t xml:space="preserve">Umetaliev and Tashtanbekova </w:t>
      </w:r>
      <w:r w:rsidRPr="00B666F6">
        <w:rPr>
          <w:i/>
          <w:iCs/>
        </w:rPr>
        <w:t>v.</w:t>
      </w:r>
      <w:r w:rsidRPr="00284FE1">
        <w:rPr>
          <w:i/>
          <w:iCs/>
        </w:rPr>
        <w:t xml:space="preserve"> Kyrgyzstan</w:t>
      </w:r>
      <w:r w:rsidRPr="00284FE1">
        <w:t>, Views of 30 October 2008, para. 9.2.</w:t>
      </w:r>
    </w:p>
  </w:footnote>
  <w:footnote w:id="17">
    <w:p w14:paraId="1A3C9CC9" w14:textId="77777777" w:rsidR="00F96B8E" w:rsidRPr="000B4C1B" w:rsidRDefault="00F96B8E" w:rsidP="00B666F6">
      <w:pPr>
        <w:pStyle w:val="FootnoteText"/>
        <w:rPr>
          <w:lang w:bidi="he-IL"/>
        </w:rPr>
      </w:pPr>
      <w:r>
        <w:tab/>
      </w:r>
      <w:r>
        <w:rPr>
          <w:rStyle w:val="FootnoteReference"/>
        </w:rPr>
        <w:footnoteRef/>
      </w:r>
      <w:r>
        <w:tab/>
        <w:t>See c</w:t>
      </w:r>
      <w:r w:rsidRPr="00633364">
        <w:t>ommunication</w:t>
      </w:r>
      <w:r>
        <w:t>s</w:t>
      </w:r>
      <w:r>
        <w:rPr>
          <w:lang w:bidi="he-IL"/>
        </w:rPr>
        <w:t xml:space="preserve"> No. 1917/2009</w:t>
      </w:r>
      <w:r>
        <w:t>, No. 1918/2009, No. 1925/2009 and No. 1953/2010</w:t>
      </w:r>
      <w:r>
        <w:rPr>
          <w:lang w:bidi="he-IL"/>
        </w:rPr>
        <w:t xml:space="preserve">, </w:t>
      </w:r>
      <w:r>
        <w:rPr>
          <w:i/>
          <w:lang w:bidi="he-IL"/>
        </w:rPr>
        <w:t xml:space="preserve">Prutina at al. v. Bosnia and Herzegovina, </w:t>
      </w:r>
      <w:r>
        <w:rPr>
          <w:lang w:bidi="he-IL"/>
        </w:rPr>
        <w:t>Views adopted on 28 March 2013, para. 9.5.</w:t>
      </w:r>
    </w:p>
  </w:footnote>
  <w:footnote w:id="18">
    <w:p w14:paraId="22579906" w14:textId="77777777" w:rsidR="00F96B8E" w:rsidRPr="00284FE1" w:rsidRDefault="00F96B8E" w:rsidP="00B666F6">
      <w:pPr>
        <w:pStyle w:val="FootnoteText"/>
      </w:pPr>
      <w:r>
        <w:tab/>
      </w:r>
      <w:r w:rsidRPr="00284FE1">
        <w:rPr>
          <w:rStyle w:val="FootnoteReference"/>
          <w:szCs w:val="18"/>
        </w:rPr>
        <w:footnoteRef/>
      </w:r>
      <w:r>
        <w:tab/>
        <w:t>See c</w:t>
      </w:r>
      <w:r w:rsidRPr="00284FE1">
        <w:t xml:space="preserve">ommunications No. 30/1978, </w:t>
      </w:r>
      <w:r w:rsidRPr="00284FE1">
        <w:rPr>
          <w:i/>
          <w:iCs/>
        </w:rPr>
        <w:t>Bleier</w:t>
      </w:r>
      <w:r w:rsidRPr="00284FE1">
        <w:rPr>
          <w:i/>
        </w:rPr>
        <w:t xml:space="preserve"> </w:t>
      </w:r>
      <w:r w:rsidRPr="00B666F6">
        <w:rPr>
          <w:i/>
        </w:rPr>
        <w:t>v.</w:t>
      </w:r>
      <w:r w:rsidRPr="00284FE1">
        <w:rPr>
          <w:i/>
        </w:rPr>
        <w:t xml:space="preserve"> Uruguay</w:t>
      </w:r>
      <w:r w:rsidRPr="00284FE1">
        <w:t xml:space="preserve">, Views </w:t>
      </w:r>
      <w:r>
        <w:t>adopted on</w:t>
      </w:r>
      <w:r w:rsidRPr="00284FE1">
        <w:t xml:space="preserve"> 2</w:t>
      </w:r>
      <w:r>
        <w:t>9</w:t>
      </w:r>
      <w:r w:rsidRPr="00284FE1">
        <w:t xml:space="preserve"> March 198</w:t>
      </w:r>
      <w:r>
        <w:t>2</w:t>
      </w:r>
      <w:r w:rsidRPr="00284FE1">
        <w:t xml:space="preserve">, para. 13.3; </w:t>
      </w:r>
      <w:r>
        <w:t xml:space="preserve">and </w:t>
      </w:r>
      <w:r w:rsidRPr="00284FE1">
        <w:t xml:space="preserve">No. 84/1981, </w:t>
      </w:r>
      <w:r w:rsidRPr="00284FE1">
        <w:rPr>
          <w:i/>
          <w:iCs/>
        </w:rPr>
        <w:t>Dermit Barbato</w:t>
      </w:r>
      <w:r w:rsidRPr="00284FE1">
        <w:rPr>
          <w:iCs/>
        </w:rPr>
        <w:t xml:space="preserve"> </w:t>
      </w:r>
      <w:r w:rsidRPr="00B666F6">
        <w:rPr>
          <w:i/>
        </w:rPr>
        <w:t>v.</w:t>
      </w:r>
      <w:r w:rsidRPr="00284FE1">
        <w:rPr>
          <w:i/>
        </w:rPr>
        <w:t xml:space="preserve"> Uruguay</w:t>
      </w:r>
      <w:r w:rsidRPr="00284FE1">
        <w:t xml:space="preserve">, Views </w:t>
      </w:r>
      <w:r>
        <w:t>adopted on</w:t>
      </w:r>
      <w:r w:rsidRPr="00284FE1">
        <w:t xml:space="preserve"> 21 October 1982, para. 9.6.</w:t>
      </w:r>
    </w:p>
  </w:footnote>
  <w:footnote w:id="19">
    <w:p w14:paraId="15963208" w14:textId="77777777" w:rsidR="00F96B8E" w:rsidRPr="00284FE1" w:rsidRDefault="00F96B8E" w:rsidP="00B666F6">
      <w:pPr>
        <w:pStyle w:val="FootnoteText"/>
      </w:pPr>
      <w:r>
        <w:tab/>
      </w:r>
      <w:r w:rsidRPr="00284FE1">
        <w:rPr>
          <w:rStyle w:val="FootnoteReference"/>
          <w:szCs w:val="18"/>
        </w:rPr>
        <w:footnoteRef/>
      </w:r>
      <w:r>
        <w:tab/>
      </w:r>
      <w:r w:rsidRPr="00284FE1">
        <w:t>See communication</w:t>
      </w:r>
      <w:r>
        <w:t>s</w:t>
      </w:r>
      <w:r w:rsidRPr="00284FE1">
        <w:t xml:space="preserve"> No. 1436/2005, </w:t>
      </w:r>
      <w:r w:rsidRPr="00284FE1">
        <w:rPr>
          <w:i/>
          <w:iCs/>
        </w:rPr>
        <w:t xml:space="preserve">Sathasivam and Sarawathi </w:t>
      </w:r>
      <w:r w:rsidRPr="00B666F6">
        <w:rPr>
          <w:i/>
          <w:iCs/>
        </w:rPr>
        <w:t>v.</w:t>
      </w:r>
      <w:r w:rsidRPr="00284FE1">
        <w:rPr>
          <w:i/>
          <w:iCs/>
        </w:rPr>
        <w:t xml:space="preserve"> Sri Lanka</w:t>
      </w:r>
      <w:r w:rsidRPr="00284FE1">
        <w:t xml:space="preserve">, Views </w:t>
      </w:r>
      <w:r>
        <w:t>adopted on</w:t>
      </w:r>
      <w:r w:rsidRPr="00284FE1">
        <w:t xml:space="preserve"> 8 July 2008, para. 6.2; No. 1186/2003, </w:t>
      </w:r>
      <w:r w:rsidRPr="00284FE1">
        <w:rPr>
          <w:i/>
          <w:iCs/>
        </w:rPr>
        <w:t>Titiahonjo</w:t>
      </w:r>
      <w:r w:rsidRPr="00284FE1">
        <w:t xml:space="preserve"> </w:t>
      </w:r>
      <w:r w:rsidRPr="00B666F6">
        <w:rPr>
          <w:i/>
          <w:iCs/>
        </w:rPr>
        <w:t>v.</w:t>
      </w:r>
      <w:r w:rsidRPr="00284FE1">
        <w:rPr>
          <w:i/>
          <w:iCs/>
        </w:rPr>
        <w:t xml:space="preserve"> Cameroon</w:t>
      </w:r>
      <w:r w:rsidRPr="00284FE1">
        <w:t xml:space="preserve">, Views </w:t>
      </w:r>
      <w:r>
        <w:t>adopted on</w:t>
      </w:r>
      <w:r w:rsidRPr="00284FE1">
        <w:t xml:space="preserve"> 26 October 2007, para. 6.2</w:t>
      </w:r>
      <w:r>
        <w:t>;</w:t>
      </w:r>
      <w:r w:rsidRPr="00284FE1">
        <w:t xml:space="preserve"> No. 888/1999, </w:t>
      </w:r>
      <w:r w:rsidRPr="00284FE1">
        <w:rPr>
          <w:i/>
          <w:iCs/>
        </w:rPr>
        <w:t>Tel</w:t>
      </w:r>
      <w:r>
        <w:rPr>
          <w:i/>
          <w:iCs/>
        </w:rPr>
        <w:t>i</w:t>
      </w:r>
      <w:r w:rsidRPr="00284FE1">
        <w:rPr>
          <w:i/>
          <w:iCs/>
        </w:rPr>
        <w:t xml:space="preserve">tsina </w:t>
      </w:r>
      <w:r w:rsidRPr="00B666F6">
        <w:rPr>
          <w:i/>
          <w:iCs/>
        </w:rPr>
        <w:t>v.</w:t>
      </w:r>
      <w:r w:rsidRPr="00284FE1">
        <w:rPr>
          <w:i/>
          <w:iCs/>
        </w:rPr>
        <w:t xml:space="preserve"> Russian Federation</w:t>
      </w:r>
      <w:r w:rsidRPr="00284FE1">
        <w:t xml:space="preserve">, Views </w:t>
      </w:r>
      <w:r>
        <w:t>adopted on</w:t>
      </w:r>
      <w:r w:rsidRPr="00284FE1">
        <w:t xml:space="preserve"> 29 March 2004, para. 7.6</w:t>
      </w:r>
      <w:r>
        <w:t>;</w:t>
      </w:r>
      <w:r w:rsidRPr="00284FE1">
        <w:t xml:space="preserve"> </w:t>
      </w:r>
      <w:r>
        <w:t xml:space="preserve">and </w:t>
      </w:r>
      <w:r w:rsidRPr="00284FE1">
        <w:t xml:space="preserve">No. 84/1981, </w:t>
      </w:r>
      <w:r w:rsidRPr="00284FE1">
        <w:rPr>
          <w:i/>
          <w:iCs/>
        </w:rPr>
        <w:t>Dermit Barbato</w:t>
      </w:r>
      <w:r w:rsidRPr="00284FE1">
        <w:rPr>
          <w:iCs/>
        </w:rPr>
        <w:t xml:space="preserve"> </w:t>
      </w:r>
      <w:r w:rsidRPr="00B666F6">
        <w:rPr>
          <w:i/>
        </w:rPr>
        <w:t>v.</w:t>
      </w:r>
      <w:r w:rsidRPr="00284FE1">
        <w:rPr>
          <w:i/>
        </w:rPr>
        <w:t xml:space="preserve"> Uruguay</w:t>
      </w:r>
      <w:r w:rsidRPr="00284FE1">
        <w:t xml:space="preserve">, Views </w:t>
      </w:r>
      <w:r>
        <w:t>adopted on</w:t>
      </w:r>
      <w:r w:rsidRPr="00284FE1">
        <w:t xml:space="preserve"> 21 October 1982, para. 9.2.</w:t>
      </w:r>
    </w:p>
  </w:footnote>
  <w:footnote w:id="20">
    <w:p w14:paraId="3E0A0EE2" w14:textId="77777777" w:rsidR="00F96B8E" w:rsidRPr="00284FE1" w:rsidRDefault="00F96B8E" w:rsidP="00B666F6">
      <w:pPr>
        <w:pStyle w:val="FootnoteText"/>
      </w:pPr>
      <w:r>
        <w:tab/>
      </w:r>
      <w:r w:rsidRPr="00284FE1">
        <w:rPr>
          <w:rStyle w:val="FootnoteReference"/>
          <w:szCs w:val="18"/>
        </w:rPr>
        <w:footnoteRef/>
      </w:r>
      <w:r>
        <w:tab/>
      </w:r>
      <w:r w:rsidRPr="00284FE1">
        <w:t xml:space="preserve">See </w:t>
      </w:r>
      <w:r>
        <w:t xml:space="preserve">the Committee’s </w:t>
      </w:r>
      <w:r w:rsidRPr="00284FE1">
        <w:t xml:space="preserve">general </w:t>
      </w:r>
      <w:r w:rsidRPr="00633364">
        <w:t>comment</w:t>
      </w:r>
      <w:r w:rsidRPr="00284FE1">
        <w:t xml:space="preserve"> No. 20 (1992) on the prohibition of torture and cruel treatment or punishment, para. 14</w:t>
      </w:r>
      <w:r>
        <w:t>,</w:t>
      </w:r>
      <w:r w:rsidRPr="00284FE1">
        <w:t xml:space="preserve"> </w:t>
      </w:r>
      <w:r>
        <w:t>and its g</w:t>
      </w:r>
      <w:r w:rsidRPr="00284FE1">
        <w:t xml:space="preserve">eneral </w:t>
      </w:r>
      <w:r>
        <w:t>c</w:t>
      </w:r>
      <w:r w:rsidRPr="00284FE1">
        <w:t>omment No. 31, para.</w:t>
      </w:r>
      <w:r>
        <w:t xml:space="preserve"> </w:t>
      </w:r>
      <w:r w:rsidRPr="00284FE1">
        <w:t xml:space="preserve">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C613" w14:textId="77777777" w:rsidR="00F96B8E" w:rsidRPr="00781C83" w:rsidRDefault="00F96B8E" w:rsidP="00781C83">
    <w:pPr>
      <w:pStyle w:val="Header"/>
    </w:pPr>
    <w:r>
      <w:t>CCPR/C/115/D/2052/2011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F38C" w14:textId="77777777" w:rsidR="00F96B8E" w:rsidRPr="00781C83" w:rsidRDefault="00F96B8E" w:rsidP="00781C83">
    <w:pPr>
      <w:pStyle w:val="Header"/>
      <w:jc w:val="right"/>
    </w:pPr>
    <w:r>
      <w:t>CCPR/C/115/D/2052/2011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962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2"/>
  </w:num>
  <w:num w:numId="2">
    <w:abstractNumId w:val="9"/>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7"/>
  </w:num>
  <w:num w:numId="9">
    <w:abstractNumId w:val="1"/>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793"/>
    <w:rsid w:val="00006899"/>
    <w:rsid w:val="00007679"/>
    <w:rsid w:val="000150A6"/>
    <w:rsid w:val="00015C4E"/>
    <w:rsid w:val="00015F7C"/>
    <w:rsid w:val="000170C3"/>
    <w:rsid w:val="00020025"/>
    <w:rsid w:val="00020888"/>
    <w:rsid w:val="00023024"/>
    <w:rsid w:val="000254A9"/>
    <w:rsid w:val="00025D41"/>
    <w:rsid w:val="0002635B"/>
    <w:rsid w:val="00026C96"/>
    <w:rsid w:val="000272B3"/>
    <w:rsid w:val="000303DD"/>
    <w:rsid w:val="000308D4"/>
    <w:rsid w:val="00032252"/>
    <w:rsid w:val="0003387B"/>
    <w:rsid w:val="0003389B"/>
    <w:rsid w:val="00033CA8"/>
    <w:rsid w:val="00035143"/>
    <w:rsid w:val="00036F3F"/>
    <w:rsid w:val="00036FAC"/>
    <w:rsid w:val="000377A5"/>
    <w:rsid w:val="00037AD0"/>
    <w:rsid w:val="0004092D"/>
    <w:rsid w:val="00041994"/>
    <w:rsid w:val="00044639"/>
    <w:rsid w:val="00044888"/>
    <w:rsid w:val="00050F6B"/>
    <w:rsid w:val="00051509"/>
    <w:rsid w:val="000547DC"/>
    <w:rsid w:val="00055FFE"/>
    <w:rsid w:val="00056F3B"/>
    <w:rsid w:val="0005782B"/>
    <w:rsid w:val="00057E97"/>
    <w:rsid w:val="0006027B"/>
    <w:rsid w:val="0006055C"/>
    <w:rsid w:val="00060C3A"/>
    <w:rsid w:val="00065867"/>
    <w:rsid w:val="00066439"/>
    <w:rsid w:val="00066476"/>
    <w:rsid w:val="00066AE8"/>
    <w:rsid w:val="00071F1F"/>
    <w:rsid w:val="00072C8C"/>
    <w:rsid w:val="00073226"/>
    <w:rsid w:val="000733B5"/>
    <w:rsid w:val="00074EEA"/>
    <w:rsid w:val="00075EAD"/>
    <w:rsid w:val="00081815"/>
    <w:rsid w:val="00081BF7"/>
    <w:rsid w:val="0008245C"/>
    <w:rsid w:val="000836E1"/>
    <w:rsid w:val="0008402B"/>
    <w:rsid w:val="00085AC0"/>
    <w:rsid w:val="0009067D"/>
    <w:rsid w:val="00090DEA"/>
    <w:rsid w:val="00091F15"/>
    <w:rsid w:val="00092E23"/>
    <w:rsid w:val="000931C0"/>
    <w:rsid w:val="0009482E"/>
    <w:rsid w:val="00095088"/>
    <w:rsid w:val="000970C1"/>
    <w:rsid w:val="000A1007"/>
    <w:rsid w:val="000A310C"/>
    <w:rsid w:val="000A34B1"/>
    <w:rsid w:val="000A419F"/>
    <w:rsid w:val="000A5559"/>
    <w:rsid w:val="000B02C3"/>
    <w:rsid w:val="000B0E72"/>
    <w:rsid w:val="000B1424"/>
    <w:rsid w:val="000B175B"/>
    <w:rsid w:val="000B1788"/>
    <w:rsid w:val="000B20E9"/>
    <w:rsid w:val="000B3A0F"/>
    <w:rsid w:val="000B4C1B"/>
    <w:rsid w:val="000B4EF7"/>
    <w:rsid w:val="000C1956"/>
    <w:rsid w:val="000C2AB9"/>
    <w:rsid w:val="000C2C03"/>
    <w:rsid w:val="000C2D2E"/>
    <w:rsid w:val="000C2E06"/>
    <w:rsid w:val="000C46B7"/>
    <w:rsid w:val="000C4DA0"/>
    <w:rsid w:val="000C6635"/>
    <w:rsid w:val="000C7E5C"/>
    <w:rsid w:val="000D0858"/>
    <w:rsid w:val="000D0ABB"/>
    <w:rsid w:val="000D28CD"/>
    <w:rsid w:val="000E0415"/>
    <w:rsid w:val="000E1E5F"/>
    <w:rsid w:val="000E20F8"/>
    <w:rsid w:val="000E4A6F"/>
    <w:rsid w:val="000F2874"/>
    <w:rsid w:val="000F2AE5"/>
    <w:rsid w:val="000F39F9"/>
    <w:rsid w:val="000F6A6B"/>
    <w:rsid w:val="000F7273"/>
    <w:rsid w:val="000F7E69"/>
    <w:rsid w:val="00100C94"/>
    <w:rsid w:val="001037D9"/>
    <w:rsid w:val="00104A40"/>
    <w:rsid w:val="00105C07"/>
    <w:rsid w:val="001103AA"/>
    <w:rsid w:val="001114B3"/>
    <w:rsid w:val="001133DB"/>
    <w:rsid w:val="00113878"/>
    <w:rsid w:val="00114229"/>
    <w:rsid w:val="0011541B"/>
    <w:rsid w:val="00117506"/>
    <w:rsid w:val="0011787A"/>
    <w:rsid w:val="00120490"/>
    <w:rsid w:val="001213FA"/>
    <w:rsid w:val="001223B9"/>
    <w:rsid w:val="00123712"/>
    <w:rsid w:val="001247FE"/>
    <w:rsid w:val="001304B5"/>
    <w:rsid w:val="001306DD"/>
    <w:rsid w:val="00130D48"/>
    <w:rsid w:val="00131B64"/>
    <w:rsid w:val="0013235B"/>
    <w:rsid w:val="001332BF"/>
    <w:rsid w:val="001340B3"/>
    <w:rsid w:val="00134A4C"/>
    <w:rsid w:val="00136F06"/>
    <w:rsid w:val="00137249"/>
    <w:rsid w:val="00137636"/>
    <w:rsid w:val="00140644"/>
    <w:rsid w:val="00142286"/>
    <w:rsid w:val="0014393C"/>
    <w:rsid w:val="001452B4"/>
    <w:rsid w:val="00146B18"/>
    <w:rsid w:val="00150412"/>
    <w:rsid w:val="00151655"/>
    <w:rsid w:val="00153D29"/>
    <w:rsid w:val="00154DA5"/>
    <w:rsid w:val="0015757D"/>
    <w:rsid w:val="00157820"/>
    <w:rsid w:val="00161364"/>
    <w:rsid w:val="00162DB2"/>
    <w:rsid w:val="00164C92"/>
    <w:rsid w:val="00165F3A"/>
    <w:rsid w:val="0016636B"/>
    <w:rsid w:val="00170DDB"/>
    <w:rsid w:val="001721A9"/>
    <w:rsid w:val="0017277A"/>
    <w:rsid w:val="00173EC9"/>
    <w:rsid w:val="001756D6"/>
    <w:rsid w:val="001758E2"/>
    <w:rsid w:val="00177A3E"/>
    <w:rsid w:val="00183968"/>
    <w:rsid w:val="001861DE"/>
    <w:rsid w:val="00187211"/>
    <w:rsid w:val="00187A7F"/>
    <w:rsid w:val="00190180"/>
    <w:rsid w:val="00192AD3"/>
    <w:rsid w:val="001936B1"/>
    <w:rsid w:val="001965C0"/>
    <w:rsid w:val="00196964"/>
    <w:rsid w:val="00196CDF"/>
    <w:rsid w:val="001A09DE"/>
    <w:rsid w:val="001A11CB"/>
    <w:rsid w:val="001A2751"/>
    <w:rsid w:val="001A2C08"/>
    <w:rsid w:val="001A32CB"/>
    <w:rsid w:val="001A3477"/>
    <w:rsid w:val="001A4429"/>
    <w:rsid w:val="001A660B"/>
    <w:rsid w:val="001A6686"/>
    <w:rsid w:val="001A6A20"/>
    <w:rsid w:val="001A723C"/>
    <w:rsid w:val="001A7E43"/>
    <w:rsid w:val="001B296C"/>
    <w:rsid w:val="001B34E6"/>
    <w:rsid w:val="001B4041"/>
    <w:rsid w:val="001B4B04"/>
    <w:rsid w:val="001B504F"/>
    <w:rsid w:val="001C5BED"/>
    <w:rsid w:val="001C657F"/>
    <w:rsid w:val="001C6663"/>
    <w:rsid w:val="001C6B73"/>
    <w:rsid w:val="001C7895"/>
    <w:rsid w:val="001D0C8C"/>
    <w:rsid w:val="001D15CF"/>
    <w:rsid w:val="001D26DF"/>
    <w:rsid w:val="001D3743"/>
    <w:rsid w:val="001D3A03"/>
    <w:rsid w:val="001D7067"/>
    <w:rsid w:val="001E06D9"/>
    <w:rsid w:val="001E10EC"/>
    <w:rsid w:val="001E1AE3"/>
    <w:rsid w:val="001E48A9"/>
    <w:rsid w:val="001E718D"/>
    <w:rsid w:val="001E75C1"/>
    <w:rsid w:val="001F22C0"/>
    <w:rsid w:val="001F28F0"/>
    <w:rsid w:val="001F4B4D"/>
    <w:rsid w:val="002014C3"/>
    <w:rsid w:val="00202DA8"/>
    <w:rsid w:val="0020353C"/>
    <w:rsid w:val="002069CC"/>
    <w:rsid w:val="00206CCD"/>
    <w:rsid w:val="00211E0B"/>
    <w:rsid w:val="002124DF"/>
    <w:rsid w:val="00213231"/>
    <w:rsid w:val="00214342"/>
    <w:rsid w:val="00215415"/>
    <w:rsid w:val="00217370"/>
    <w:rsid w:val="00217D74"/>
    <w:rsid w:val="00220677"/>
    <w:rsid w:val="002210B9"/>
    <w:rsid w:val="00221F0A"/>
    <w:rsid w:val="0022219E"/>
    <w:rsid w:val="00222689"/>
    <w:rsid w:val="0022501D"/>
    <w:rsid w:val="002256A1"/>
    <w:rsid w:val="002314F8"/>
    <w:rsid w:val="0023210C"/>
    <w:rsid w:val="002353F9"/>
    <w:rsid w:val="00235981"/>
    <w:rsid w:val="002361D0"/>
    <w:rsid w:val="00237215"/>
    <w:rsid w:val="00240564"/>
    <w:rsid w:val="00240896"/>
    <w:rsid w:val="00242075"/>
    <w:rsid w:val="002509A6"/>
    <w:rsid w:val="0025162E"/>
    <w:rsid w:val="0025397B"/>
    <w:rsid w:val="0025487E"/>
    <w:rsid w:val="00256E15"/>
    <w:rsid w:val="00256FFF"/>
    <w:rsid w:val="00262F97"/>
    <w:rsid w:val="002633B3"/>
    <w:rsid w:val="002650C2"/>
    <w:rsid w:val="00266EB7"/>
    <w:rsid w:val="00267F5F"/>
    <w:rsid w:val="00271484"/>
    <w:rsid w:val="00272837"/>
    <w:rsid w:val="00273B14"/>
    <w:rsid w:val="00275D62"/>
    <w:rsid w:val="00277C4F"/>
    <w:rsid w:val="002803F6"/>
    <w:rsid w:val="00281144"/>
    <w:rsid w:val="002812F9"/>
    <w:rsid w:val="00282899"/>
    <w:rsid w:val="002839BC"/>
    <w:rsid w:val="002847AE"/>
    <w:rsid w:val="00284812"/>
    <w:rsid w:val="002863A9"/>
    <w:rsid w:val="00286B4D"/>
    <w:rsid w:val="00292150"/>
    <w:rsid w:val="0029365C"/>
    <w:rsid w:val="0029387B"/>
    <w:rsid w:val="00293B90"/>
    <w:rsid w:val="0029571B"/>
    <w:rsid w:val="0029754C"/>
    <w:rsid w:val="002978B9"/>
    <w:rsid w:val="002A1295"/>
    <w:rsid w:val="002A4B67"/>
    <w:rsid w:val="002A5CAA"/>
    <w:rsid w:val="002A6B45"/>
    <w:rsid w:val="002A728F"/>
    <w:rsid w:val="002B054A"/>
    <w:rsid w:val="002B3B76"/>
    <w:rsid w:val="002B3F1E"/>
    <w:rsid w:val="002B605A"/>
    <w:rsid w:val="002B763B"/>
    <w:rsid w:val="002C0CE6"/>
    <w:rsid w:val="002C3114"/>
    <w:rsid w:val="002C39DF"/>
    <w:rsid w:val="002C5BCD"/>
    <w:rsid w:val="002D18B7"/>
    <w:rsid w:val="002D3481"/>
    <w:rsid w:val="002D3AF5"/>
    <w:rsid w:val="002D3C63"/>
    <w:rsid w:val="002D4CB1"/>
    <w:rsid w:val="002D5E67"/>
    <w:rsid w:val="002D5FB4"/>
    <w:rsid w:val="002D7312"/>
    <w:rsid w:val="002D77A1"/>
    <w:rsid w:val="002D78C4"/>
    <w:rsid w:val="002D7B9A"/>
    <w:rsid w:val="002E1084"/>
    <w:rsid w:val="002E2676"/>
    <w:rsid w:val="002E296F"/>
    <w:rsid w:val="002E52B1"/>
    <w:rsid w:val="002E5C99"/>
    <w:rsid w:val="002E69AE"/>
    <w:rsid w:val="002E6A74"/>
    <w:rsid w:val="002E7E1D"/>
    <w:rsid w:val="002F039C"/>
    <w:rsid w:val="002F175C"/>
    <w:rsid w:val="002F1942"/>
    <w:rsid w:val="002F2E8D"/>
    <w:rsid w:val="002F4557"/>
    <w:rsid w:val="002F5159"/>
    <w:rsid w:val="002F582A"/>
    <w:rsid w:val="002F6E95"/>
    <w:rsid w:val="003011E9"/>
    <w:rsid w:val="0030138D"/>
    <w:rsid w:val="003023A7"/>
    <w:rsid w:val="00302B85"/>
    <w:rsid w:val="00302E2C"/>
    <w:rsid w:val="00303BE1"/>
    <w:rsid w:val="0030589A"/>
    <w:rsid w:val="00306124"/>
    <w:rsid w:val="00307164"/>
    <w:rsid w:val="00307752"/>
    <w:rsid w:val="00307DE2"/>
    <w:rsid w:val="003134AC"/>
    <w:rsid w:val="00314FBB"/>
    <w:rsid w:val="0031786D"/>
    <w:rsid w:val="00320E07"/>
    <w:rsid w:val="0032121D"/>
    <w:rsid w:val="003229D8"/>
    <w:rsid w:val="0032321C"/>
    <w:rsid w:val="00323632"/>
    <w:rsid w:val="003241CF"/>
    <w:rsid w:val="00326293"/>
    <w:rsid w:val="00327502"/>
    <w:rsid w:val="00330333"/>
    <w:rsid w:val="00330D27"/>
    <w:rsid w:val="00331F5B"/>
    <w:rsid w:val="00333808"/>
    <w:rsid w:val="00335E3A"/>
    <w:rsid w:val="00341696"/>
    <w:rsid w:val="00341D96"/>
    <w:rsid w:val="00343E14"/>
    <w:rsid w:val="003449C7"/>
    <w:rsid w:val="00344DA1"/>
    <w:rsid w:val="00345DCE"/>
    <w:rsid w:val="00352709"/>
    <w:rsid w:val="003544BE"/>
    <w:rsid w:val="00354AA8"/>
    <w:rsid w:val="00363A98"/>
    <w:rsid w:val="00364B76"/>
    <w:rsid w:val="003650C4"/>
    <w:rsid w:val="00365CF8"/>
    <w:rsid w:val="0036645D"/>
    <w:rsid w:val="00366A6E"/>
    <w:rsid w:val="00367567"/>
    <w:rsid w:val="003705C9"/>
    <w:rsid w:val="00371095"/>
    <w:rsid w:val="00371178"/>
    <w:rsid w:val="00372B3F"/>
    <w:rsid w:val="0037301C"/>
    <w:rsid w:val="003730DD"/>
    <w:rsid w:val="00373489"/>
    <w:rsid w:val="003736A1"/>
    <w:rsid w:val="00375119"/>
    <w:rsid w:val="0037562B"/>
    <w:rsid w:val="003771A2"/>
    <w:rsid w:val="00377828"/>
    <w:rsid w:val="00381A4E"/>
    <w:rsid w:val="0038237B"/>
    <w:rsid w:val="00383356"/>
    <w:rsid w:val="0038336C"/>
    <w:rsid w:val="00383AA6"/>
    <w:rsid w:val="00383BB7"/>
    <w:rsid w:val="00384E00"/>
    <w:rsid w:val="00386624"/>
    <w:rsid w:val="0039173C"/>
    <w:rsid w:val="0039347E"/>
    <w:rsid w:val="003939C2"/>
    <w:rsid w:val="003943E4"/>
    <w:rsid w:val="00394F89"/>
    <w:rsid w:val="0039591A"/>
    <w:rsid w:val="00395FA4"/>
    <w:rsid w:val="003A1602"/>
    <w:rsid w:val="003A25C1"/>
    <w:rsid w:val="003A3E0C"/>
    <w:rsid w:val="003A4933"/>
    <w:rsid w:val="003A6810"/>
    <w:rsid w:val="003A70FC"/>
    <w:rsid w:val="003A7654"/>
    <w:rsid w:val="003A7AF2"/>
    <w:rsid w:val="003B1425"/>
    <w:rsid w:val="003B1B42"/>
    <w:rsid w:val="003B4974"/>
    <w:rsid w:val="003B505E"/>
    <w:rsid w:val="003B5305"/>
    <w:rsid w:val="003B6980"/>
    <w:rsid w:val="003C02AB"/>
    <w:rsid w:val="003C2CC4"/>
    <w:rsid w:val="003C403B"/>
    <w:rsid w:val="003C6969"/>
    <w:rsid w:val="003C730E"/>
    <w:rsid w:val="003D1C5A"/>
    <w:rsid w:val="003D1CE6"/>
    <w:rsid w:val="003D2795"/>
    <w:rsid w:val="003D2E29"/>
    <w:rsid w:val="003D3E59"/>
    <w:rsid w:val="003D42FB"/>
    <w:rsid w:val="003D4B23"/>
    <w:rsid w:val="003D52B0"/>
    <w:rsid w:val="003D774D"/>
    <w:rsid w:val="003E2BA4"/>
    <w:rsid w:val="003E5AAB"/>
    <w:rsid w:val="003E6A36"/>
    <w:rsid w:val="003E6F7E"/>
    <w:rsid w:val="003F2847"/>
    <w:rsid w:val="003F69F4"/>
    <w:rsid w:val="00401B52"/>
    <w:rsid w:val="00402308"/>
    <w:rsid w:val="00405473"/>
    <w:rsid w:val="00405D94"/>
    <w:rsid w:val="00406806"/>
    <w:rsid w:val="00410C89"/>
    <w:rsid w:val="00414931"/>
    <w:rsid w:val="00414B35"/>
    <w:rsid w:val="004227C0"/>
    <w:rsid w:val="004265A4"/>
    <w:rsid w:val="004267E8"/>
    <w:rsid w:val="00426B9B"/>
    <w:rsid w:val="0043003F"/>
    <w:rsid w:val="00431952"/>
    <w:rsid w:val="004325CB"/>
    <w:rsid w:val="0043356D"/>
    <w:rsid w:val="00434D08"/>
    <w:rsid w:val="0043560C"/>
    <w:rsid w:val="00436B33"/>
    <w:rsid w:val="00441384"/>
    <w:rsid w:val="00441C25"/>
    <w:rsid w:val="00442A83"/>
    <w:rsid w:val="00442AE9"/>
    <w:rsid w:val="00442C9D"/>
    <w:rsid w:val="0044391E"/>
    <w:rsid w:val="00445A57"/>
    <w:rsid w:val="00450D04"/>
    <w:rsid w:val="00450D0E"/>
    <w:rsid w:val="00452A3C"/>
    <w:rsid w:val="0045327B"/>
    <w:rsid w:val="00454782"/>
    <w:rsid w:val="0045495B"/>
    <w:rsid w:val="00455C43"/>
    <w:rsid w:val="00460412"/>
    <w:rsid w:val="004607BF"/>
    <w:rsid w:val="004613DA"/>
    <w:rsid w:val="004623A9"/>
    <w:rsid w:val="00464446"/>
    <w:rsid w:val="004666F9"/>
    <w:rsid w:val="00466936"/>
    <w:rsid w:val="00466B4C"/>
    <w:rsid w:val="00466FA4"/>
    <w:rsid w:val="00467FD9"/>
    <w:rsid w:val="0047173A"/>
    <w:rsid w:val="00473963"/>
    <w:rsid w:val="00476073"/>
    <w:rsid w:val="00481CB1"/>
    <w:rsid w:val="00483C98"/>
    <w:rsid w:val="00487488"/>
    <w:rsid w:val="00487B3B"/>
    <w:rsid w:val="00487FB8"/>
    <w:rsid w:val="00490C46"/>
    <w:rsid w:val="004915E8"/>
    <w:rsid w:val="0049219B"/>
    <w:rsid w:val="00493CD7"/>
    <w:rsid w:val="0049418F"/>
    <w:rsid w:val="00494813"/>
    <w:rsid w:val="0049482E"/>
    <w:rsid w:val="00494F3C"/>
    <w:rsid w:val="00496433"/>
    <w:rsid w:val="00496678"/>
    <w:rsid w:val="004967DB"/>
    <w:rsid w:val="00497CBC"/>
    <w:rsid w:val="004A28A7"/>
    <w:rsid w:val="004A4807"/>
    <w:rsid w:val="004A4E95"/>
    <w:rsid w:val="004B0A2C"/>
    <w:rsid w:val="004B231E"/>
    <w:rsid w:val="004B23B2"/>
    <w:rsid w:val="004B2989"/>
    <w:rsid w:val="004B44C6"/>
    <w:rsid w:val="004B6A14"/>
    <w:rsid w:val="004C0120"/>
    <w:rsid w:val="004C0335"/>
    <w:rsid w:val="004C07CE"/>
    <w:rsid w:val="004C0910"/>
    <w:rsid w:val="004C0B81"/>
    <w:rsid w:val="004C17A4"/>
    <w:rsid w:val="004C1F17"/>
    <w:rsid w:val="004C1FEA"/>
    <w:rsid w:val="004C41C7"/>
    <w:rsid w:val="004C55DD"/>
    <w:rsid w:val="004C55E0"/>
    <w:rsid w:val="004C5CCC"/>
    <w:rsid w:val="004C6EEF"/>
    <w:rsid w:val="004C7E77"/>
    <w:rsid w:val="004D150D"/>
    <w:rsid w:val="004D5BD1"/>
    <w:rsid w:val="004E15CC"/>
    <w:rsid w:val="004E2932"/>
    <w:rsid w:val="004E2BC5"/>
    <w:rsid w:val="004E3D26"/>
    <w:rsid w:val="004E5775"/>
    <w:rsid w:val="004E6852"/>
    <w:rsid w:val="004E77AA"/>
    <w:rsid w:val="004F03BA"/>
    <w:rsid w:val="004F0BF2"/>
    <w:rsid w:val="004F12CC"/>
    <w:rsid w:val="004F1D45"/>
    <w:rsid w:val="004F5078"/>
    <w:rsid w:val="004F79A8"/>
    <w:rsid w:val="00500138"/>
    <w:rsid w:val="00500DB8"/>
    <w:rsid w:val="00501A1B"/>
    <w:rsid w:val="00501CB1"/>
    <w:rsid w:val="0050328D"/>
    <w:rsid w:val="00503BEC"/>
    <w:rsid w:val="0050621B"/>
    <w:rsid w:val="00511D0D"/>
    <w:rsid w:val="00512AD3"/>
    <w:rsid w:val="005167F1"/>
    <w:rsid w:val="0052136D"/>
    <w:rsid w:val="005232E6"/>
    <w:rsid w:val="00523F32"/>
    <w:rsid w:val="00525395"/>
    <w:rsid w:val="00526FF4"/>
    <w:rsid w:val="0052775E"/>
    <w:rsid w:val="00533EEA"/>
    <w:rsid w:val="00535B0F"/>
    <w:rsid w:val="005409DC"/>
    <w:rsid w:val="0054109A"/>
    <w:rsid w:val="0054150C"/>
    <w:rsid w:val="005420F2"/>
    <w:rsid w:val="005446A8"/>
    <w:rsid w:val="00545B97"/>
    <w:rsid w:val="005460EF"/>
    <w:rsid w:val="00547B19"/>
    <w:rsid w:val="00550D3B"/>
    <w:rsid w:val="005514FD"/>
    <w:rsid w:val="0055373B"/>
    <w:rsid w:val="00560319"/>
    <w:rsid w:val="005609D7"/>
    <w:rsid w:val="00560BA5"/>
    <w:rsid w:val="00560C2D"/>
    <w:rsid w:val="00561B68"/>
    <w:rsid w:val="005628B6"/>
    <w:rsid w:val="00564714"/>
    <w:rsid w:val="00566179"/>
    <w:rsid w:val="0056624F"/>
    <w:rsid w:val="0057115D"/>
    <w:rsid w:val="005722B3"/>
    <w:rsid w:val="005728FB"/>
    <w:rsid w:val="00572DA9"/>
    <w:rsid w:val="00572DFD"/>
    <w:rsid w:val="005747B1"/>
    <w:rsid w:val="005806FC"/>
    <w:rsid w:val="00583F6F"/>
    <w:rsid w:val="005848AE"/>
    <w:rsid w:val="005848B3"/>
    <w:rsid w:val="00585BC8"/>
    <w:rsid w:val="00590F87"/>
    <w:rsid w:val="00591D8C"/>
    <w:rsid w:val="00592C4A"/>
    <w:rsid w:val="005967A6"/>
    <w:rsid w:val="005A0415"/>
    <w:rsid w:val="005A1538"/>
    <w:rsid w:val="005A2207"/>
    <w:rsid w:val="005A2ACD"/>
    <w:rsid w:val="005A4536"/>
    <w:rsid w:val="005A7B9A"/>
    <w:rsid w:val="005B09AE"/>
    <w:rsid w:val="005B13A2"/>
    <w:rsid w:val="005B15AD"/>
    <w:rsid w:val="005B271F"/>
    <w:rsid w:val="005B38A5"/>
    <w:rsid w:val="005B3DB3"/>
    <w:rsid w:val="005B4F61"/>
    <w:rsid w:val="005B62ED"/>
    <w:rsid w:val="005C2131"/>
    <w:rsid w:val="005C223E"/>
    <w:rsid w:val="005C3EA4"/>
    <w:rsid w:val="005C413D"/>
    <w:rsid w:val="005C4A9E"/>
    <w:rsid w:val="005D5721"/>
    <w:rsid w:val="005D5AF5"/>
    <w:rsid w:val="005D5DDB"/>
    <w:rsid w:val="005D7CB5"/>
    <w:rsid w:val="005E0578"/>
    <w:rsid w:val="005E2541"/>
    <w:rsid w:val="005E2F71"/>
    <w:rsid w:val="005E395D"/>
    <w:rsid w:val="005E39A3"/>
    <w:rsid w:val="005E3E4B"/>
    <w:rsid w:val="005E5805"/>
    <w:rsid w:val="005E783D"/>
    <w:rsid w:val="005F2A25"/>
    <w:rsid w:val="005F322F"/>
    <w:rsid w:val="005F5699"/>
    <w:rsid w:val="005F7717"/>
    <w:rsid w:val="005F7B75"/>
    <w:rsid w:val="005F7F93"/>
    <w:rsid w:val="00600072"/>
    <w:rsid w:val="006001EE"/>
    <w:rsid w:val="00602852"/>
    <w:rsid w:val="00605042"/>
    <w:rsid w:val="0060538A"/>
    <w:rsid w:val="00605D24"/>
    <w:rsid w:val="00607807"/>
    <w:rsid w:val="00607BC1"/>
    <w:rsid w:val="006108E0"/>
    <w:rsid w:val="0061102A"/>
    <w:rsid w:val="0061152B"/>
    <w:rsid w:val="00611FC4"/>
    <w:rsid w:val="00612F9B"/>
    <w:rsid w:val="0061466F"/>
    <w:rsid w:val="006148AF"/>
    <w:rsid w:val="006165FA"/>
    <w:rsid w:val="006176FB"/>
    <w:rsid w:val="006207A2"/>
    <w:rsid w:val="00620934"/>
    <w:rsid w:val="0062109F"/>
    <w:rsid w:val="00622647"/>
    <w:rsid w:val="00623FD3"/>
    <w:rsid w:val="0062462D"/>
    <w:rsid w:val="00625110"/>
    <w:rsid w:val="00625776"/>
    <w:rsid w:val="006274AD"/>
    <w:rsid w:val="00627FB0"/>
    <w:rsid w:val="0063085F"/>
    <w:rsid w:val="00631C31"/>
    <w:rsid w:val="00632FA5"/>
    <w:rsid w:val="00633364"/>
    <w:rsid w:val="0063379B"/>
    <w:rsid w:val="00637EE4"/>
    <w:rsid w:val="00640B26"/>
    <w:rsid w:val="00640C76"/>
    <w:rsid w:val="00641EE7"/>
    <w:rsid w:val="00645379"/>
    <w:rsid w:val="0064660E"/>
    <w:rsid w:val="00651169"/>
    <w:rsid w:val="00652D0A"/>
    <w:rsid w:val="00653DB8"/>
    <w:rsid w:val="00653DBF"/>
    <w:rsid w:val="00654447"/>
    <w:rsid w:val="0065488D"/>
    <w:rsid w:val="00655BF6"/>
    <w:rsid w:val="00657584"/>
    <w:rsid w:val="00661C41"/>
    <w:rsid w:val="00662BB6"/>
    <w:rsid w:val="00662D2D"/>
    <w:rsid w:val="006632BF"/>
    <w:rsid w:val="006637A4"/>
    <w:rsid w:val="00671948"/>
    <w:rsid w:val="00671E55"/>
    <w:rsid w:val="00672110"/>
    <w:rsid w:val="006743E9"/>
    <w:rsid w:val="0067769E"/>
    <w:rsid w:val="006804D1"/>
    <w:rsid w:val="00681702"/>
    <w:rsid w:val="00682284"/>
    <w:rsid w:val="006831C1"/>
    <w:rsid w:val="006838C8"/>
    <w:rsid w:val="00684241"/>
    <w:rsid w:val="00684C21"/>
    <w:rsid w:val="00685BEA"/>
    <w:rsid w:val="00685FA6"/>
    <w:rsid w:val="0068702F"/>
    <w:rsid w:val="0068743C"/>
    <w:rsid w:val="00687B7C"/>
    <w:rsid w:val="006920E5"/>
    <w:rsid w:val="00692477"/>
    <w:rsid w:val="006929D6"/>
    <w:rsid w:val="00692BBE"/>
    <w:rsid w:val="006946AB"/>
    <w:rsid w:val="00694948"/>
    <w:rsid w:val="00694AE6"/>
    <w:rsid w:val="006954C6"/>
    <w:rsid w:val="0069763E"/>
    <w:rsid w:val="006979F0"/>
    <w:rsid w:val="00697F3E"/>
    <w:rsid w:val="006A3B7D"/>
    <w:rsid w:val="006A68FC"/>
    <w:rsid w:val="006B29DE"/>
    <w:rsid w:val="006B3D12"/>
    <w:rsid w:val="006B58E5"/>
    <w:rsid w:val="006B767A"/>
    <w:rsid w:val="006C0435"/>
    <w:rsid w:val="006C3961"/>
    <w:rsid w:val="006C3AD1"/>
    <w:rsid w:val="006C4C5A"/>
    <w:rsid w:val="006C4CD3"/>
    <w:rsid w:val="006C5858"/>
    <w:rsid w:val="006C6862"/>
    <w:rsid w:val="006C79E9"/>
    <w:rsid w:val="006D2F5C"/>
    <w:rsid w:val="006D37AF"/>
    <w:rsid w:val="006D425B"/>
    <w:rsid w:val="006D51D0"/>
    <w:rsid w:val="006D5CF4"/>
    <w:rsid w:val="006D65D9"/>
    <w:rsid w:val="006D6A17"/>
    <w:rsid w:val="006E172E"/>
    <w:rsid w:val="006E1F68"/>
    <w:rsid w:val="006E3A63"/>
    <w:rsid w:val="006E4E04"/>
    <w:rsid w:val="006E564B"/>
    <w:rsid w:val="006E6CE4"/>
    <w:rsid w:val="006E7191"/>
    <w:rsid w:val="006E7196"/>
    <w:rsid w:val="006F08BE"/>
    <w:rsid w:val="006F0C0B"/>
    <w:rsid w:val="006F0E56"/>
    <w:rsid w:val="006F4020"/>
    <w:rsid w:val="006F6515"/>
    <w:rsid w:val="006F74A2"/>
    <w:rsid w:val="007009AB"/>
    <w:rsid w:val="00701AD4"/>
    <w:rsid w:val="00703577"/>
    <w:rsid w:val="007038A7"/>
    <w:rsid w:val="00704E12"/>
    <w:rsid w:val="00705625"/>
    <w:rsid w:val="00705827"/>
    <w:rsid w:val="0071171F"/>
    <w:rsid w:val="00711F00"/>
    <w:rsid w:val="007123A5"/>
    <w:rsid w:val="00713C74"/>
    <w:rsid w:val="007151E2"/>
    <w:rsid w:val="00715DDD"/>
    <w:rsid w:val="0071681F"/>
    <w:rsid w:val="00716EC7"/>
    <w:rsid w:val="00720EB5"/>
    <w:rsid w:val="0072328C"/>
    <w:rsid w:val="007233D2"/>
    <w:rsid w:val="0072632A"/>
    <w:rsid w:val="00726A48"/>
    <w:rsid w:val="007327D5"/>
    <w:rsid w:val="0073334A"/>
    <w:rsid w:val="00734ABE"/>
    <w:rsid w:val="00734CB5"/>
    <w:rsid w:val="007350AC"/>
    <w:rsid w:val="00735CA1"/>
    <w:rsid w:val="00736EAD"/>
    <w:rsid w:val="007412E7"/>
    <w:rsid w:val="00741A85"/>
    <w:rsid w:val="00743EB0"/>
    <w:rsid w:val="00747E8E"/>
    <w:rsid w:val="007509D5"/>
    <w:rsid w:val="007509EB"/>
    <w:rsid w:val="00750FC5"/>
    <w:rsid w:val="0075395D"/>
    <w:rsid w:val="00755565"/>
    <w:rsid w:val="00755C7D"/>
    <w:rsid w:val="00756251"/>
    <w:rsid w:val="00760043"/>
    <w:rsid w:val="00760B80"/>
    <w:rsid w:val="0076135D"/>
    <w:rsid w:val="00762878"/>
    <w:rsid w:val="007629C8"/>
    <w:rsid w:val="00762E39"/>
    <w:rsid w:val="007635DF"/>
    <w:rsid w:val="00764972"/>
    <w:rsid w:val="00765894"/>
    <w:rsid w:val="0076615C"/>
    <w:rsid w:val="007670C1"/>
    <w:rsid w:val="007679E4"/>
    <w:rsid w:val="00770F8E"/>
    <w:rsid w:val="00773CF7"/>
    <w:rsid w:val="007740F1"/>
    <w:rsid w:val="00777322"/>
    <w:rsid w:val="00777CD8"/>
    <w:rsid w:val="00781C83"/>
    <w:rsid w:val="0078300D"/>
    <w:rsid w:val="007853A6"/>
    <w:rsid w:val="007856A4"/>
    <w:rsid w:val="00785DB2"/>
    <w:rsid w:val="00785DE0"/>
    <w:rsid w:val="00787E5D"/>
    <w:rsid w:val="0079034E"/>
    <w:rsid w:val="0079170F"/>
    <w:rsid w:val="00791A74"/>
    <w:rsid w:val="00792C6E"/>
    <w:rsid w:val="00793EA6"/>
    <w:rsid w:val="00794A82"/>
    <w:rsid w:val="0079681E"/>
    <w:rsid w:val="00797924"/>
    <w:rsid w:val="007A0727"/>
    <w:rsid w:val="007A212F"/>
    <w:rsid w:val="007A36C9"/>
    <w:rsid w:val="007A58E9"/>
    <w:rsid w:val="007A5C99"/>
    <w:rsid w:val="007B126A"/>
    <w:rsid w:val="007B28C1"/>
    <w:rsid w:val="007B3302"/>
    <w:rsid w:val="007B5006"/>
    <w:rsid w:val="007B6251"/>
    <w:rsid w:val="007B6BA5"/>
    <w:rsid w:val="007B74A4"/>
    <w:rsid w:val="007B793D"/>
    <w:rsid w:val="007B7EB2"/>
    <w:rsid w:val="007C1241"/>
    <w:rsid w:val="007C3390"/>
    <w:rsid w:val="007C3FFB"/>
    <w:rsid w:val="007C4259"/>
    <w:rsid w:val="007C4F4B"/>
    <w:rsid w:val="007C55AE"/>
    <w:rsid w:val="007C784F"/>
    <w:rsid w:val="007D00CF"/>
    <w:rsid w:val="007D0FCD"/>
    <w:rsid w:val="007D2693"/>
    <w:rsid w:val="007D302F"/>
    <w:rsid w:val="007D43F4"/>
    <w:rsid w:val="007D5593"/>
    <w:rsid w:val="007D564F"/>
    <w:rsid w:val="007E0672"/>
    <w:rsid w:val="007E0B2D"/>
    <w:rsid w:val="007E300F"/>
    <w:rsid w:val="007E4594"/>
    <w:rsid w:val="007E4BBE"/>
    <w:rsid w:val="007E533F"/>
    <w:rsid w:val="007E5EA4"/>
    <w:rsid w:val="007F0329"/>
    <w:rsid w:val="007F12FC"/>
    <w:rsid w:val="007F1A3F"/>
    <w:rsid w:val="007F1ACE"/>
    <w:rsid w:val="007F25B0"/>
    <w:rsid w:val="007F2D0D"/>
    <w:rsid w:val="007F31EB"/>
    <w:rsid w:val="007F3A2C"/>
    <w:rsid w:val="007F4853"/>
    <w:rsid w:val="007F6611"/>
    <w:rsid w:val="0080191B"/>
    <w:rsid w:val="008031F8"/>
    <w:rsid w:val="00805EA6"/>
    <w:rsid w:val="00807168"/>
    <w:rsid w:val="008105B8"/>
    <w:rsid w:val="00810D8A"/>
    <w:rsid w:val="00811D06"/>
    <w:rsid w:val="008123D2"/>
    <w:rsid w:val="00812971"/>
    <w:rsid w:val="00813327"/>
    <w:rsid w:val="00813650"/>
    <w:rsid w:val="00816972"/>
    <w:rsid w:val="00816E23"/>
    <w:rsid w:val="00816E4A"/>
    <w:rsid w:val="00817520"/>
    <w:rsid w:val="008216A5"/>
    <w:rsid w:val="0082192D"/>
    <w:rsid w:val="00821A8D"/>
    <w:rsid w:val="008242D7"/>
    <w:rsid w:val="008243D3"/>
    <w:rsid w:val="00824C73"/>
    <w:rsid w:val="00824F3E"/>
    <w:rsid w:val="00824FE2"/>
    <w:rsid w:val="00825659"/>
    <w:rsid w:val="008257B1"/>
    <w:rsid w:val="0083185A"/>
    <w:rsid w:val="00835ED8"/>
    <w:rsid w:val="008361A4"/>
    <w:rsid w:val="00836985"/>
    <w:rsid w:val="00837CD7"/>
    <w:rsid w:val="00840639"/>
    <w:rsid w:val="008406D2"/>
    <w:rsid w:val="0084126F"/>
    <w:rsid w:val="00843359"/>
    <w:rsid w:val="00843767"/>
    <w:rsid w:val="00846666"/>
    <w:rsid w:val="0085039A"/>
    <w:rsid w:val="0085089C"/>
    <w:rsid w:val="00851F2A"/>
    <w:rsid w:val="008562B1"/>
    <w:rsid w:val="00860115"/>
    <w:rsid w:val="00861DD8"/>
    <w:rsid w:val="00861F22"/>
    <w:rsid w:val="00864BE5"/>
    <w:rsid w:val="008655A1"/>
    <w:rsid w:val="008667C6"/>
    <w:rsid w:val="00866B90"/>
    <w:rsid w:val="008679D9"/>
    <w:rsid w:val="00871051"/>
    <w:rsid w:val="00872F86"/>
    <w:rsid w:val="008730D5"/>
    <w:rsid w:val="00875FE5"/>
    <w:rsid w:val="00880AF2"/>
    <w:rsid w:val="00880CEF"/>
    <w:rsid w:val="00884F82"/>
    <w:rsid w:val="00887063"/>
    <w:rsid w:val="0088719B"/>
    <w:rsid w:val="00890222"/>
    <w:rsid w:val="0089025A"/>
    <w:rsid w:val="00891C2B"/>
    <w:rsid w:val="00895468"/>
    <w:rsid w:val="00896924"/>
    <w:rsid w:val="008979B1"/>
    <w:rsid w:val="00897F0A"/>
    <w:rsid w:val="008A09B5"/>
    <w:rsid w:val="008A1DB2"/>
    <w:rsid w:val="008A6AA9"/>
    <w:rsid w:val="008A6B25"/>
    <w:rsid w:val="008A6C4F"/>
    <w:rsid w:val="008B012F"/>
    <w:rsid w:val="008B2335"/>
    <w:rsid w:val="008B2D88"/>
    <w:rsid w:val="008B3A9C"/>
    <w:rsid w:val="008B5909"/>
    <w:rsid w:val="008B7413"/>
    <w:rsid w:val="008C0D17"/>
    <w:rsid w:val="008C22CC"/>
    <w:rsid w:val="008C3098"/>
    <w:rsid w:val="008C3223"/>
    <w:rsid w:val="008C4B5A"/>
    <w:rsid w:val="008C4EDC"/>
    <w:rsid w:val="008C5C55"/>
    <w:rsid w:val="008C6E58"/>
    <w:rsid w:val="008C77CB"/>
    <w:rsid w:val="008D1459"/>
    <w:rsid w:val="008D2914"/>
    <w:rsid w:val="008D45FA"/>
    <w:rsid w:val="008D6742"/>
    <w:rsid w:val="008E0678"/>
    <w:rsid w:val="008E22D9"/>
    <w:rsid w:val="008E3E27"/>
    <w:rsid w:val="008E4C4F"/>
    <w:rsid w:val="008E5FF6"/>
    <w:rsid w:val="008E6067"/>
    <w:rsid w:val="008E7B56"/>
    <w:rsid w:val="008F02E2"/>
    <w:rsid w:val="008F0336"/>
    <w:rsid w:val="008F1FA8"/>
    <w:rsid w:val="008F40A4"/>
    <w:rsid w:val="008F5C85"/>
    <w:rsid w:val="00900036"/>
    <w:rsid w:val="0090331C"/>
    <w:rsid w:val="00903354"/>
    <w:rsid w:val="00903876"/>
    <w:rsid w:val="00905076"/>
    <w:rsid w:val="0090563A"/>
    <w:rsid w:val="0090637F"/>
    <w:rsid w:val="00910F40"/>
    <w:rsid w:val="00911542"/>
    <w:rsid w:val="00911864"/>
    <w:rsid w:val="00912C08"/>
    <w:rsid w:val="00913616"/>
    <w:rsid w:val="0091377B"/>
    <w:rsid w:val="00920B4E"/>
    <w:rsid w:val="009223CA"/>
    <w:rsid w:val="00923D25"/>
    <w:rsid w:val="0092473E"/>
    <w:rsid w:val="009302E5"/>
    <w:rsid w:val="00931728"/>
    <w:rsid w:val="00933E54"/>
    <w:rsid w:val="00935574"/>
    <w:rsid w:val="00935B05"/>
    <w:rsid w:val="00935DEF"/>
    <w:rsid w:val="009376BE"/>
    <w:rsid w:val="0093797F"/>
    <w:rsid w:val="00937F49"/>
    <w:rsid w:val="00940F93"/>
    <w:rsid w:val="0094258F"/>
    <w:rsid w:val="00945B75"/>
    <w:rsid w:val="009516B6"/>
    <w:rsid w:val="00951EAC"/>
    <w:rsid w:val="0095347F"/>
    <w:rsid w:val="00953E71"/>
    <w:rsid w:val="009545FF"/>
    <w:rsid w:val="00955CB7"/>
    <w:rsid w:val="009568BE"/>
    <w:rsid w:val="00956FE4"/>
    <w:rsid w:val="00957A3A"/>
    <w:rsid w:val="0096073F"/>
    <w:rsid w:val="00960911"/>
    <w:rsid w:val="009633D7"/>
    <w:rsid w:val="009641B8"/>
    <w:rsid w:val="009654ED"/>
    <w:rsid w:val="00966036"/>
    <w:rsid w:val="009678AA"/>
    <w:rsid w:val="00967F59"/>
    <w:rsid w:val="009701C4"/>
    <w:rsid w:val="00972C38"/>
    <w:rsid w:val="009735A8"/>
    <w:rsid w:val="0097381F"/>
    <w:rsid w:val="00974EF5"/>
    <w:rsid w:val="009760F3"/>
    <w:rsid w:val="00976956"/>
    <w:rsid w:val="009800FA"/>
    <w:rsid w:val="00980EA8"/>
    <w:rsid w:val="009812E4"/>
    <w:rsid w:val="009817F4"/>
    <w:rsid w:val="00983732"/>
    <w:rsid w:val="00984808"/>
    <w:rsid w:val="009857B1"/>
    <w:rsid w:val="009909F5"/>
    <w:rsid w:val="009923C0"/>
    <w:rsid w:val="00993D2D"/>
    <w:rsid w:val="00994443"/>
    <w:rsid w:val="0099515D"/>
    <w:rsid w:val="009951B6"/>
    <w:rsid w:val="00995846"/>
    <w:rsid w:val="00997C1F"/>
    <w:rsid w:val="009A0B8A"/>
    <w:rsid w:val="009A0E8D"/>
    <w:rsid w:val="009A19F8"/>
    <w:rsid w:val="009A2E7F"/>
    <w:rsid w:val="009B0FC5"/>
    <w:rsid w:val="009B26E7"/>
    <w:rsid w:val="009B48EE"/>
    <w:rsid w:val="009B53C8"/>
    <w:rsid w:val="009B573E"/>
    <w:rsid w:val="009B5A35"/>
    <w:rsid w:val="009B5EDE"/>
    <w:rsid w:val="009C0491"/>
    <w:rsid w:val="009C162C"/>
    <w:rsid w:val="009C26B0"/>
    <w:rsid w:val="009C2A5C"/>
    <w:rsid w:val="009C2F39"/>
    <w:rsid w:val="009C6DFE"/>
    <w:rsid w:val="009C76E2"/>
    <w:rsid w:val="009C7AD9"/>
    <w:rsid w:val="009C7D56"/>
    <w:rsid w:val="009D2394"/>
    <w:rsid w:val="009D4323"/>
    <w:rsid w:val="009D790E"/>
    <w:rsid w:val="009E2F54"/>
    <w:rsid w:val="009E39EB"/>
    <w:rsid w:val="009E5D5A"/>
    <w:rsid w:val="009E6C26"/>
    <w:rsid w:val="009E7D26"/>
    <w:rsid w:val="009F2AC1"/>
    <w:rsid w:val="009F2B34"/>
    <w:rsid w:val="009F2FF8"/>
    <w:rsid w:val="009F5A5D"/>
    <w:rsid w:val="009F6595"/>
    <w:rsid w:val="009F6E4B"/>
    <w:rsid w:val="009F7636"/>
    <w:rsid w:val="00A00A3F"/>
    <w:rsid w:val="00A01489"/>
    <w:rsid w:val="00A018AB"/>
    <w:rsid w:val="00A02BED"/>
    <w:rsid w:val="00A03ED0"/>
    <w:rsid w:val="00A07F04"/>
    <w:rsid w:val="00A200D6"/>
    <w:rsid w:val="00A2225D"/>
    <w:rsid w:val="00A230A0"/>
    <w:rsid w:val="00A233C8"/>
    <w:rsid w:val="00A261E7"/>
    <w:rsid w:val="00A267BE"/>
    <w:rsid w:val="00A26951"/>
    <w:rsid w:val="00A31B81"/>
    <w:rsid w:val="00A338F1"/>
    <w:rsid w:val="00A34071"/>
    <w:rsid w:val="00A34382"/>
    <w:rsid w:val="00A343D0"/>
    <w:rsid w:val="00A368D5"/>
    <w:rsid w:val="00A377A8"/>
    <w:rsid w:val="00A37B41"/>
    <w:rsid w:val="00A41A5C"/>
    <w:rsid w:val="00A41ADD"/>
    <w:rsid w:val="00A4238D"/>
    <w:rsid w:val="00A44487"/>
    <w:rsid w:val="00A44615"/>
    <w:rsid w:val="00A45390"/>
    <w:rsid w:val="00A46186"/>
    <w:rsid w:val="00A4728C"/>
    <w:rsid w:val="00A47874"/>
    <w:rsid w:val="00A55D9D"/>
    <w:rsid w:val="00A5649C"/>
    <w:rsid w:val="00A60643"/>
    <w:rsid w:val="00A660A5"/>
    <w:rsid w:val="00A66328"/>
    <w:rsid w:val="00A66C25"/>
    <w:rsid w:val="00A7005A"/>
    <w:rsid w:val="00A70EA1"/>
    <w:rsid w:val="00A71B88"/>
    <w:rsid w:val="00A72C70"/>
    <w:rsid w:val="00A72F22"/>
    <w:rsid w:val="00A72FDB"/>
    <w:rsid w:val="00A7360F"/>
    <w:rsid w:val="00A737E1"/>
    <w:rsid w:val="00A748A6"/>
    <w:rsid w:val="00A75355"/>
    <w:rsid w:val="00A75A88"/>
    <w:rsid w:val="00A76648"/>
    <w:rsid w:val="00A769F4"/>
    <w:rsid w:val="00A776B4"/>
    <w:rsid w:val="00A777CF"/>
    <w:rsid w:val="00A81A7B"/>
    <w:rsid w:val="00A81D4E"/>
    <w:rsid w:val="00A85E52"/>
    <w:rsid w:val="00A86E2B"/>
    <w:rsid w:val="00A879C7"/>
    <w:rsid w:val="00A90E87"/>
    <w:rsid w:val="00A90F1A"/>
    <w:rsid w:val="00A94361"/>
    <w:rsid w:val="00A9633A"/>
    <w:rsid w:val="00A964C6"/>
    <w:rsid w:val="00A96BCF"/>
    <w:rsid w:val="00A970E3"/>
    <w:rsid w:val="00AA293C"/>
    <w:rsid w:val="00AA2D0D"/>
    <w:rsid w:val="00AA33B9"/>
    <w:rsid w:val="00AA6FA4"/>
    <w:rsid w:val="00AB0070"/>
    <w:rsid w:val="00AB0648"/>
    <w:rsid w:val="00AB19FA"/>
    <w:rsid w:val="00AB2855"/>
    <w:rsid w:val="00AB45A3"/>
    <w:rsid w:val="00AB4CA5"/>
    <w:rsid w:val="00AB4EF3"/>
    <w:rsid w:val="00AB534E"/>
    <w:rsid w:val="00AC2375"/>
    <w:rsid w:val="00AC23E1"/>
    <w:rsid w:val="00AC2549"/>
    <w:rsid w:val="00AC3833"/>
    <w:rsid w:val="00AC505B"/>
    <w:rsid w:val="00AC6A0A"/>
    <w:rsid w:val="00AC6A89"/>
    <w:rsid w:val="00AC71CC"/>
    <w:rsid w:val="00AC7462"/>
    <w:rsid w:val="00AD43D2"/>
    <w:rsid w:val="00AD46B8"/>
    <w:rsid w:val="00AD553F"/>
    <w:rsid w:val="00AD5E82"/>
    <w:rsid w:val="00AE08DB"/>
    <w:rsid w:val="00AE1137"/>
    <w:rsid w:val="00AE19F7"/>
    <w:rsid w:val="00AE1CFF"/>
    <w:rsid w:val="00AE1EFE"/>
    <w:rsid w:val="00AE3DEA"/>
    <w:rsid w:val="00AE4583"/>
    <w:rsid w:val="00AE4730"/>
    <w:rsid w:val="00AE50CE"/>
    <w:rsid w:val="00AE5CCB"/>
    <w:rsid w:val="00AF0881"/>
    <w:rsid w:val="00AF0BB7"/>
    <w:rsid w:val="00AF0BDD"/>
    <w:rsid w:val="00AF1A44"/>
    <w:rsid w:val="00AF3148"/>
    <w:rsid w:val="00AF34D9"/>
    <w:rsid w:val="00AF5BB4"/>
    <w:rsid w:val="00AF5CCF"/>
    <w:rsid w:val="00AF7286"/>
    <w:rsid w:val="00B000F0"/>
    <w:rsid w:val="00B015A6"/>
    <w:rsid w:val="00B019D2"/>
    <w:rsid w:val="00B01D27"/>
    <w:rsid w:val="00B02347"/>
    <w:rsid w:val="00B03884"/>
    <w:rsid w:val="00B04543"/>
    <w:rsid w:val="00B05BDC"/>
    <w:rsid w:val="00B101F5"/>
    <w:rsid w:val="00B10640"/>
    <w:rsid w:val="00B11BA1"/>
    <w:rsid w:val="00B12D13"/>
    <w:rsid w:val="00B12E1C"/>
    <w:rsid w:val="00B13AB6"/>
    <w:rsid w:val="00B13E9B"/>
    <w:rsid w:val="00B1559A"/>
    <w:rsid w:val="00B1708C"/>
    <w:rsid w:val="00B174D5"/>
    <w:rsid w:val="00B2280C"/>
    <w:rsid w:val="00B23D94"/>
    <w:rsid w:val="00B24D92"/>
    <w:rsid w:val="00B25D3D"/>
    <w:rsid w:val="00B2683D"/>
    <w:rsid w:val="00B30179"/>
    <w:rsid w:val="00B30D6F"/>
    <w:rsid w:val="00B33697"/>
    <w:rsid w:val="00B339A7"/>
    <w:rsid w:val="00B33ABD"/>
    <w:rsid w:val="00B33BCA"/>
    <w:rsid w:val="00B36AD3"/>
    <w:rsid w:val="00B40171"/>
    <w:rsid w:val="00B4049D"/>
    <w:rsid w:val="00B4149D"/>
    <w:rsid w:val="00B41A37"/>
    <w:rsid w:val="00B41ACB"/>
    <w:rsid w:val="00B4354D"/>
    <w:rsid w:val="00B443A6"/>
    <w:rsid w:val="00B45486"/>
    <w:rsid w:val="00B46514"/>
    <w:rsid w:val="00B46F26"/>
    <w:rsid w:val="00B47532"/>
    <w:rsid w:val="00B55522"/>
    <w:rsid w:val="00B56E4A"/>
    <w:rsid w:val="00B56E9C"/>
    <w:rsid w:val="00B579C3"/>
    <w:rsid w:val="00B57C32"/>
    <w:rsid w:val="00B60748"/>
    <w:rsid w:val="00B607D7"/>
    <w:rsid w:val="00B620B6"/>
    <w:rsid w:val="00B62EC2"/>
    <w:rsid w:val="00B64B1F"/>
    <w:rsid w:val="00B6524C"/>
    <w:rsid w:val="00B6553F"/>
    <w:rsid w:val="00B65FE9"/>
    <w:rsid w:val="00B66593"/>
    <w:rsid w:val="00B666F6"/>
    <w:rsid w:val="00B66ACE"/>
    <w:rsid w:val="00B66E5E"/>
    <w:rsid w:val="00B6767C"/>
    <w:rsid w:val="00B71840"/>
    <w:rsid w:val="00B71D2A"/>
    <w:rsid w:val="00B727CA"/>
    <w:rsid w:val="00B7514A"/>
    <w:rsid w:val="00B77D05"/>
    <w:rsid w:val="00B80902"/>
    <w:rsid w:val="00B80DB6"/>
    <w:rsid w:val="00B81206"/>
    <w:rsid w:val="00B81E12"/>
    <w:rsid w:val="00B82C40"/>
    <w:rsid w:val="00B82FD9"/>
    <w:rsid w:val="00B84567"/>
    <w:rsid w:val="00B8516C"/>
    <w:rsid w:val="00B85756"/>
    <w:rsid w:val="00B85AF8"/>
    <w:rsid w:val="00B86C63"/>
    <w:rsid w:val="00B879A7"/>
    <w:rsid w:val="00B9067B"/>
    <w:rsid w:val="00B915E0"/>
    <w:rsid w:val="00B927B9"/>
    <w:rsid w:val="00B94491"/>
    <w:rsid w:val="00B9463A"/>
    <w:rsid w:val="00B948CD"/>
    <w:rsid w:val="00B951F2"/>
    <w:rsid w:val="00B95A99"/>
    <w:rsid w:val="00B97AFE"/>
    <w:rsid w:val="00BA0869"/>
    <w:rsid w:val="00BA434C"/>
    <w:rsid w:val="00BA653A"/>
    <w:rsid w:val="00BA65DB"/>
    <w:rsid w:val="00BA6B57"/>
    <w:rsid w:val="00BB08D0"/>
    <w:rsid w:val="00BB1F90"/>
    <w:rsid w:val="00BB22D5"/>
    <w:rsid w:val="00BB2C65"/>
    <w:rsid w:val="00BB3BC1"/>
    <w:rsid w:val="00BC01E3"/>
    <w:rsid w:val="00BC288A"/>
    <w:rsid w:val="00BC2C23"/>
    <w:rsid w:val="00BC38B8"/>
    <w:rsid w:val="00BC3B2B"/>
    <w:rsid w:val="00BC48F3"/>
    <w:rsid w:val="00BC4DAF"/>
    <w:rsid w:val="00BC5363"/>
    <w:rsid w:val="00BC5917"/>
    <w:rsid w:val="00BC6E5E"/>
    <w:rsid w:val="00BC74BB"/>
    <w:rsid w:val="00BC74E9"/>
    <w:rsid w:val="00BD5F5C"/>
    <w:rsid w:val="00BE40C9"/>
    <w:rsid w:val="00BF4613"/>
    <w:rsid w:val="00BF5B20"/>
    <w:rsid w:val="00BF61C5"/>
    <w:rsid w:val="00BF68A8"/>
    <w:rsid w:val="00BF72FD"/>
    <w:rsid w:val="00C02CF5"/>
    <w:rsid w:val="00C02E7A"/>
    <w:rsid w:val="00C02FF9"/>
    <w:rsid w:val="00C0580E"/>
    <w:rsid w:val="00C11207"/>
    <w:rsid w:val="00C11870"/>
    <w:rsid w:val="00C11A03"/>
    <w:rsid w:val="00C12802"/>
    <w:rsid w:val="00C12CBC"/>
    <w:rsid w:val="00C14041"/>
    <w:rsid w:val="00C14491"/>
    <w:rsid w:val="00C144EC"/>
    <w:rsid w:val="00C20A72"/>
    <w:rsid w:val="00C215C0"/>
    <w:rsid w:val="00C2284D"/>
    <w:rsid w:val="00C25634"/>
    <w:rsid w:val="00C2599D"/>
    <w:rsid w:val="00C25D40"/>
    <w:rsid w:val="00C2781F"/>
    <w:rsid w:val="00C32753"/>
    <w:rsid w:val="00C337CE"/>
    <w:rsid w:val="00C33C6F"/>
    <w:rsid w:val="00C34926"/>
    <w:rsid w:val="00C40638"/>
    <w:rsid w:val="00C409F7"/>
    <w:rsid w:val="00C41CC1"/>
    <w:rsid w:val="00C42151"/>
    <w:rsid w:val="00C42190"/>
    <w:rsid w:val="00C44D49"/>
    <w:rsid w:val="00C463DD"/>
    <w:rsid w:val="00C46474"/>
    <w:rsid w:val="00C4724C"/>
    <w:rsid w:val="00C50356"/>
    <w:rsid w:val="00C5122C"/>
    <w:rsid w:val="00C52EC0"/>
    <w:rsid w:val="00C55779"/>
    <w:rsid w:val="00C56114"/>
    <w:rsid w:val="00C606D3"/>
    <w:rsid w:val="00C61C48"/>
    <w:rsid w:val="00C629A0"/>
    <w:rsid w:val="00C6443A"/>
    <w:rsid w:val="00C7404D"/>
    <w:rsid w:val="00C745C3"/>
    <w:rsid w:val="00C74B7E"/>
    <w:rsid w:val="00C76890"/>
    <w:rsid w:val="00C803EC"/>
    <w:rsid w:val="00C80EA3"/>
    <w:rsid w:val="00C82D53"/>
    <w:rsid w:val="00C834B6"/>
    <w:rsid w:val="00C84DC4"/>
    <w:rsid w:val="00C8504E"/>
    <w:rsid w:val="00C85B6E"/>
    <w:rsid w:val="00C93035"/>
    <w:rsid w:val="00C95AAD"/>
    <w:rsid w:val="00C96828"/>
    <w:rsid w:val="00C97582"/>
    <w:rsid w:val="00CB2929"/>
    <w:rsid w:val="00CB32E7"/>
    <w:rsid w:val="00CB38F4"/>
    <w:rsid w:val="00CC5202"/>
    <w:rsid w:val="00CD04A2"/>
    <w:rsid w:val="00CD4339"/>
    <w:rsid w:val="00CE0DD9"/>
    <w:rsid w:val="00CE1B3A"/>
    <w:rsid w:val="00CE4A8F"/>
    <w:rsid w:val="00CE7D94"/>
    <w:rsid w:val="00CF1984"/>
    <w:rsid w:val="00CF1A5B"/>
    <w:rsid w:val="00CF2621"/>
    <w:rsid w:val="00CF4CEB"/>
    <w:rsid w:val="00CF59DE"/>
    <w:rsid w:val="00CF5D2C"/>
    <w:rsid w:val="00CF6F0B"/>
    <w:rsid w:val="00D011B3"/>
    <w:rsid w:val="00D016F5"/>
    <w:rsid w:val="00D0175D"/>
    <w:rsid w:val="00D02633"/>
    <w:rsid w:val="00D02C2A"/>
    <w:rsid w:val="00D06AB9"/>
    <w:rsid w:val="00D06B7E"/>
    <w:rsid w:val="00D10237"/>
    <w:rsid w:val="00D1315B"/>
    <w:rsid w:val="00D141CF"/>
    <w:rsid w:val="00D15240"/>
    <w:rsid w:val="00D16565"/>
    <w:rsid w:val="00D1712F"/>
    <w:rsid w:val="00D17E37"/>
    <w:rsid w:val="00D2031B"/>
    <w:rsid w:val="00D21020"/>
    <w:rsid w:val="00D24A49"/>
    <w:rsid w:val="00D257E7"/>
    <w:rsid w:val="00D25FE2"/>
    <w:rsid w:val="00D262B7"/>
    <w:rsid w:val="00D2637A"/>
    <w:rsid w:val="00D30034"/>
    <w:rsid w:val="00D3180C"/>
    <w:rsid w:val="00D31DE7"/>
    <w:rsid w:val="00D34E45"/>
    <w:rsid w:val="00D377C4"/>
    <w:rsid w:val="00D37A6E"/>
    <w:rsid w:val="00D42815"/>
    <w:rsid w:val="00D43252"/>
    <w:rsid w:val="00D46C27"/>
    <w:rsid w:val="00D4767A"/>
    <w:rsid w:val="00D47EEA"/>
    <w:rsid w:val="00D501D0"/>
    <w:rsid w:val="00D50721"/>
    <w:rsid w:val="00D509AE"/>
    <w:rsid w:val="00D514FC"/>
    <w:rsid w:val="00D51D6E"/>
    <w:rsid w:val="00D52EDB"/>
    <w:rsid w:val="00D53BAD"/>
    <w:rsid w:val="00D540F8"/>
    <w:rsid w:val="00D543C9"/>
    <w:rsid w:val="00D55CE7"/>
    <w:rsid w:val="00D61036"/>
    <w:rsid w:val="00D61188"/>
    <w:rsid w:val="00D62ECA"/>
    <w:rsid w:val="00D630B0"/>
    <w:rsid w:val="00D64809"/>
    <w:rsid w:val="00D65065"/>
    <w:rsid w:val="00D66ED4"/>
    <w:rsid w:val="00D70242"/>
    <w:rsid w:val="00D729E4"/>
    <w:rsid w:val="00D73CB8"/>
    <w:rsid w:val="00D760F4"/>
    <w:rsid w:val="00D80EDF"/>
    <w:rsid w:val="00D823F1"/>
    <w:rsid w:val="00D83890"/>
    <w:rsid w:val="00D840CD"/>
    <w:rsid w:val="00D864CC"/>
    <w:rsid w:val="00D8702F"/>
    <w:rsid w:val="00D90F93"/>
    <w:rsid w:val="00D913B0"/>
    <w:rsid w:val="00D931C7"/>
    <w:rsid w:val="00D95235"/>
    <w:rsid w:val="00D95303"/>
    <w:rsid w:val="00D96E57"/>
    <w:rsid w:val="00D97597"/>
    <w:rsid w:val="00D975A7"/>
    <w:rsid w:val="00D978C6"/>
    <w:rsid w:val="00DA10B1"/>
    <w:rsid w:val="00DA1219"/>
    <w:rsid w:val="00DA2043"/>
    <w:rsid w:val="00DA3111"/>
    <w:rsid w:val="00DA324A"/>
    <w:rsid w:val="00DA3B11"/>
    <w:rsid w:val="00DA3C1C"/>
    <w:rsid w:val="00DA4BBB"/>
    <w:rsid w:val="00DB0C79"/>
    <w:rsid w:val="00DB27DD"/>
    <w:rsid w:val="00DB2CE7"/>
    <w:rsid w:val="00DB3EB0"/>
    <w:rsid w:val="00DB43B8"/>
    <w:rsid w:val="00DB4433"/>
    <w:rsid w:val="00DB5B2F"/>
    <w:rsid w:val="00DC0714"/>
    <w:rsid w:val="00DC1E6B"/>
    <w:rsid w:val="00DC3DA8"/>
    <w:rsid w:val="00DC7425"/>
    <w:rsid w:val="00DD00C7"/>
    <w:rsid w:val="00DD1753"/>
    <w:rsid w:val="00DD2793"/>
    <w:rsid w:val="00DD4BF0"/>
    <w:rsid w:val="00DD593B"/>
    <w:rsid w:val="00DD64DE"/>
    <w:rsid w:val="00DE1319"/>
    <w:rsid w:val="00DE1DF6"/>
    <w:rsid w:val="00DE6E4E"/>
    <w:rsid w:val="00DE79A8"/>
    <w:rsid w:val="00DF14DE"/>
    <w:rsid w:val="00DF2CDE"/>
    <w:rsid w:val="00DF528D"/>
    <w:rsid w:val="00DF56CD"/>
    <w:rsid w:val="00E04D11"/>
    <w:rsid w:val="00E11A47"/>
    <w:rsid w:val="00E12ED9"/>
    <w:rsid w:val="00E142AF"/>
    <w:rsid w:val="00E15626"/>
    <w:rsid w:val="00E15CC1"/>
    <w:rsid w:val="00E165BF"/>
    <w:rsid w:val="00E17226"/>
    <w:rsid w:val="00E17C73"/>
    <w:rsid w:val="00E209FD"/>
    <w:rsid w:val="00E21400"/>
    <w:rsid w:val="00E25E54"/>
    <w:rsid w:val="00E27346"/>
    <w:rsid w:val="00E27538"/>
    <w:rsid w:val="00E31E79"/>
    <w:rsid w:val="00E37E62"/>
    <w:rsid w:val="00E40A07"/>
    <w:rsid w:val="00E41BFE"/>
    <w:rsid w:val="00E41E67"/>
    <w:rsid w:val="00E4363C"/>
    <w:rsid w:val="00E43F6E"/>
    <w:rsid w:val="00E44C65"/>
    <w:rsid w:val="00E4563E"/>
    <w:rsid w:val="00E4762A"/>
    <w:rsid w:val="00E507EC"/>
    <w:rsid w:val="00E53451"/>
    <w:rsid w:val="00E53D02"/>
    <w:rsid w:val="00E53E7B"/>
    <w:rsid w:val="00E56DDC"/>
    <w:rsid w:val="00E577D4"/>
    <w:rsid w:val="00E6074E"/>
    <w:rsid w:val="00E61088"/>
    <w:rsid w:val="00E632CC"/>
    <w:rsid w:val="00E65396"/>
    <w:rsid w:val="00E71BC8"/>
    <w:rsid w:val="00E7260F"/>
    <w:rsid w:val="00E74206"/>
    <w:rsid w:val="00E75FBB"/>
    <w:rsid w:val="00E77185"/>
    <w:rsid w:val="00E779FC"/>
    <w:rsid w:val="00E8097C"/>
    <w:rsid w:val="00E81356"/>
    <w:rsid w:val="00E8217E"/>
    <w:rsid w:val="00E827FB"/>
    <w:rsid w:val="00E8329D"/>
    <w:rsid w:val="00E848D3"/>
    <w:rsid w:val="00E85728"/>
    <w:rsid w:val="00E85861"/>
    <w:rsid w:val="00E86349"/>
    <w:rsid w:val="00E874F8"/>
    <w:rsid w:val="00E87748"/>
    <w:rsid w:val="00E921CF"/>
    <w:rsid w:val="00E95257"/>
    <w:rsid w:val="00E96433"/>
    <w:rsid w:val="00E96630"/>
    <w:rsid w:val="00E96A6E"/>
    <w:rsid w:val="00E9788D"/>
    <w:rsid w:val="00EA31F7"/>
    <w:rsid w:val="00EA5142"/>
    <w:rsid w:val="00EB11F3"/>
    <w:rsid w:val="00EB1D55"/>
    <w:rsid w:val="00EB2581"/>
    <w:rsid w:val="00EB42AD"/>
    <w:rsid w:val="00EB48C1"/>
    <w:rsid w:val="00EB5B31"/>
    <w:rsid w:val="00EB6A5B"/>
    <w:rsid w:val="00EB737B"/>
    <w:rsid w:val="00EC0363"/>
    <w:rsid w:val="00EC14EF"/>
    <w:rsid w:val="00EC4A96"/>
    <w:rsid w:val="00EC7574"/>
    <w:rsid w:val="00ED00FD"/>
    <w:rsid w:val="00ED0317"/>
    <w:rsid w:val="00ED08C9"/>
    <w:rsid w:val="00ED0DBA"/>
    <w:rsid w:val="00ED303B"/>
    <w:rsid w:val="00ED535F"/>
    <w:rsid w:val="00ED5D3D"/>
    <w:rsid w:val="00ED6ED8"/>
    <w:rsid w:val="00ED7A2A"/>
    <w:rsid w:val="00ED7E6E"/>
    <w:rsid w:val="00EE18DC"/>
    <w:rsid w:val="00EE1EA4"/>
    <w:rsid w:val="00EE2BA0"/>
    <w:rsid w:val="00EE416D"/>
    <w:rsid w:val="00EE4F75"/>
    <w:rsid w:val="00EE621C"/>
    <w:rsid w:val="00EE6929"/>
    <w:rsid w:val="00EF0235"/>
    <w:rsid w:val="00EF0F6A"/>
    <w:rsid w:val="00EF1996"/>
    <w:rsid w:val="00EF1D7F"/>
    <w:rsid w:val="00EF3FBC"/>
    <w:rsid w:val="00EF5227"/>
    <w:rsid w:val="00EF5FA3"/>
    <w:rsid w:val="00F03190"/>
    <w:rsid w:val="00F03A99"/>
    <w:rsid w:val="00F03C65"/>
    <w:rsid w:val="00F03D89"/>
    <w:rsid w:val="00F0403F"/>
    <w:rsid w:val="00F0442F"/>
    <w:rsid w:val="00F04CDE"/>
    <w:rsid w:val="00F051D4"/>
    <w:rsid w:val="00F075CC"/>
    <w:rsid w:val="00F20C3D"/>
    <w:rsid w:val="00F243C6"/>
    <w:rsid w:val="00F2653D"/>
    <w:rsid w:val="00F26F57"/>
    <w:rsid w:val="00F33AE4"/>
    <w:rsid w:val="00F33AF0"/>
    <w:rsid w:val="00F33F23"/>
    <w:rsid w:val="00F34D48"/>
    <w:rsid w:val="00F34FBB"/>
    <w:rsid w:val="00F35149"/>
    <w:rsid w:val="00F356EC"/>
    <w:rsid w:val="00F36B91"/>
    <w:rsid w:val="00F373CD"/>
    <w:rsid w:val="00F41576"/>
    <w:rsid w:val="00F4204E"/>
    <w:rsid w:val="00F43270"/>
    <w:rsid w:val="00F43E9E"/>
    <w:rsid w:val="00F44820"/>
    <w:rsid w:val="00F501AF"/>
    <w:rsid w:val="00F51311"/>
    <w:rsid w:val="00F52453"/>
    <w:rsid w:val="00F52BE2"/>
    <w:rsid w:val="00F546EA"/>
    <w:rsid w:val="00F54806"/>
    <w:rsid w:val="00F55BAA"/>
    <w:rsid w:val="00F55FC7"/>
    <w:rsid w:val="00F61536"/>
    <w:rsid w:val="00F63125"/>
    <w:rsid w:val="00F668B0"/>
    <w:rsid w:val="00F704F0"/>
    <w:rsid w:val="00F70D30"/>
    <w:rsid w:val="00F727A3"/>
    <w:rsid w:val="00F7343F"/>
    <w:rsid w:val="00F73A4B"/>
    <w:rsid w:val="00F748B6"/>
    <w:rsid w:val="00F74D40"/>
    <w:rsid w:val="00F75DD2"/>
    <w:rsid w:val="00F82DCC"/>
    <w:rsid w:val="00F82F23"/>
    <w:rsid w:val="00F83261"/>
    <w:rsid w:val="00F836A9"/>
    <w:rsid w:val="00F8467B"/>
    <w:rsid w:val="00F84833"/>
    <w:rsid w:val="00F86121"/>
    <w:rsid w:val="00F8772A"/>
    <w:rsid w:val="00F9057C"/>
    <w:rsid w:val="00F906D7"/>
    <w:rsid w:val="00F90FD3"/>
    <w:rsid w:val="00F92F08"/>
    <w:rsid w:val="00F93781"/>
    <w:rsid w:val="00F9431C"/>
    <w:rsid w:val="00F955AF"/>
    <w:rsid w:val="00F9592D"/>
    <w:rsid w:val="00F9653B"/>
    <w:rsid w:val="00F9682C"/>
    <w:rsid w:val="00F96B8E"/>
    <w:rsid w:val="00F96BA5"/>
    <w:rsid w:val="00FA1718"/>
    <w:rsid w:val="00FA5B0F"/>
    <w:rsid w:val="00FA6064"/>
    <w:rsid w:val="00FB2745"/>
    <w:rsid w:val="00FB45D9"/>
    <w:rsid w:val="00FB5EB5"/>
    <w:rsid w:val="00FB613B"/>
    <w:rsid w:val="00FC0622"/>
    <w:rsid w:val="00FC1A0B"/>
    <w:rsid w:val="00FC1CC9"/>
    <w:rsid w:val="00FC2A5A"/>
    <w:rsid w:val="00FC68B7"/>
    <w:rsid w:val="00FD0381"/>
    <w:rsid w:val="00FD201E"/>
    <w:rsid w:val="00FD28AF"/>
    <w:rsid w:val="00FD4F04"/>
    <w:rsid w:val="00FD4FB8"/>
    <w:rsid w:val="00FD61DA"/>
    <w:rsid w:val="00FE106A"/>
    <w:rsid w:val="00FE23AF"/>
    <w:rsid w:val="00FE2786"/>
    <w:rsid w:val="00FE3889"/>
    <w:rsid w:val="00FE4F5F"/>
    <w:rsid w:val="00FE5097"/>
    <w:rsid w:val="00FE6DA5"/>
    <w:rsid w:val="00FF0000"/>
    <w:rsid w:val="00FF1ADC"/>
    <w:rsid w:val="00FF4BF4"/>
    <w:rsid w:val="00FF511B"/>
    <w:rsid w:val="00FF644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D976"/>
  <w15:docId w15:val="{36DB672D-CF80-4CD5-A164-78660E69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C403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C403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B36A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19098365">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3C50-5E04-4261-A7EE-4211353A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2015-08-07T09:51:00Z</cp:lastPrinted>
  <dcterms:created xsi:type="dcterms:W3CDTF">2017-01-24T22:41:00Z</dcterms:created>
  <dcterms:modified xsi:type="dcterms:W3CDTF">2017-01-24T22:41:00Z</dcterms:modified>
</cp:coreProperties>
</file>