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DB58B5" w:rsidTr="00A56EA8">
        <w:trPr>
          <w:trHeight w:hRule="exact" w:val="851"/>
        </w:trPr>
        <w:tc>
          <w:tcPr>
            <w:tcW w:w="1277" w:type="dxa"/>
            <w:tcBorders>
              <w:bottom w:val="single" w:sz="4" w:space="0" w:color="auto"/>
            </w:tcBorders>
          </w:tcPr>
          <w:p w:rsidR="00297B00" w:rsidRPr="00DB58B5" w:rsidRDefault="00297B00" w:rsidP="00A56EA8">
            <w:bookmarkStart w:id="0" w:name="_GoBack"/>
            <w:bookmarkEnd w:id="0"/>
          </w:p>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297B00" w:rsidRPr="00F123E6" w:rsidRDefault="00F123E6" w:rsidP="00F123E6">
            <w:pPr>
              <w:jc w:val="right"/>
            </w:pPr>
            <w:r w:rsidRPr="00F123E6">
              <w:rPr>
                <w:sz w:val="40"/>
              </w:rPr>
              <w:t>CAT</w:t>
            </w:r>
            <w:r>
              <w:t>/C/52/D/525/2012</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23DC0" w:rsidP="00A56EA8">
            <w:pPr>
              <w:spacing w:before="1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297B00" w:rsidRPr="00740562" w:rsidRDefault="00297B00" w:rsidP="00A56E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B22444" w:rsidRDefault="0094103C" w:rsidP="00B22444">
            <w:pPr>
              <w:spacing w:before="240"/>
            </w:pPr>
            <w:r>
              <w:t xml:space="preserve">Distr. </w:t>
            </w:r>
            <w:r w:rsidR="0070494F">
              <w:t>générale</w:t>
            </w:r>
          </w:p>
          <w:p w:rsidR="0094103C" w:rsidRDefault="00EF3840" w:rsidP="000C237D">
            <w:pPr>
              <w:spacing w:line="240" w:lineRule="exact"/>
            </w:pPr>
            <w:r w:rsidRPr="00A85316">
              <w:t>1</w:t>
            </w:r>
            <w:r w:rsidR="000C237D">
              <w:t>7</w:t>
            </w:r>
            <w:r w:rsidR="0070494F" w:rsidRPr="00A85316">
              <w:t xml:space="preserve"> </w:t>
            </w:r>
            <w:r w:rsidRPr="00A85316">
              <w:t xml:space="preserve">juin </w:t>
            </w:r>
            <w:r w:rsidR="00EA695F" w:rsidRPr="00A85316">
              <w:t>2</w:t>
            </w:r>
            <w:r w:rsidR="00EA695F">
              <w:t>014</w:t>
            </w:r>
          </w:p>
          <w:p w:rsidR="0094103C" w:rsidRDefault="0094103C" w:rsidP="0094103C">
            <w:pPr>
              <w:spacing w:line="240" w:lineRule="exact"/>
            </w:pPr>
          </w:p>
          <w:p w:rsidR="0094103C" w:rsidRPr="00DB58B5" w:rsidRDefault="0094103C" w:rsidP="0094103C">
            <w:pPr>
              <w:spacing w:line="240" w:lineRule="exact"/>
            </w:pPr>
            <w:r>
              <w:t xml:space="preserve">Original: français </w:t>
            </w:r>
          </w:p>
        </w:tc>
      </w:tr>
    </w:tbl>
    <w:p w:rsidR="00E76D2F" w:rsidRPr="00C34887" w:rsidRDefault="00E76D2F" w:rsidP="00DE4102">
      <w:pPr>
        <w:suppressAutoHyphens w:val="0"/>
        <w:spacing w:before="120" w:line="240" w:lineRule="auto"/>
        <w:rPr>
          <w:rFonts w:eastAsia="SimSun"/>
          <w:b/>
          <w:lang w:eastAsia="zh-CN"/>
        </w:rPr>
      </w:pPr>
      <w:r w:rsidRPr="00E76D2F">
        <w:rPr>
          <w:rFonts w:eastAsia="SimSun"/>
          <w:b/>
          <w:sz w:val="24"/>
          <w:szCs w:val="24"/>
          <w:lang w:eastAsia="zh-CN"/>
        </w:rPr>
        <w:t xml:space="preserve">Comité </w:t>
      </w:r>
      <w:r w:rsidR="006C7E6D">
        <w:rPr>
          <w:rFonts w:eastAsia="SimSun"/>
          <w:b/>
          <w:sz w:val="24"/>
          <w:szCs w:val="24"/>
          <w:lang w:eastAsia="zh-CN"/>
        </w:rPr>
        <w:t>c</w:t>
      </w:r>
      <w:r w:rsidRPr="00E76D2F">
        <w:rPr>
          <w:rFonts w:eastAsia="SimSun"/>
          <w:b/>
          <w:sz w:val="24"/>
          <w:szCs w:val="24"/>
          <w:lang w:eastAsia="zh-CN"/>
        </w:rPr>
        <w:t xml:space="preserve">ontre la </w:t>
      </w:r>
      <w:r w:rsidR="006C7E6D">
        <w:rPr>
          <w:rFonts w:eastAsia="SimSun"/>
          <w:b/>
          <w:sz w:val="24"/>
          <w:szCs w:val="24"/>
          <w:lang w:eastAsia="zh-CN"/>
        </w:rPr>
        <w:t>t</w:t>
      </w:r>
      <w:r w:rsidRPr="00E76D2F">
        <w:rPr>
          <w:rFonts w:eastAsia="SimSun"/>
          <w:b/>
          <w:sz w:val="24"/>
          <w:szCs w:val="24"/>
          <w:lang w:eastAsia="zh-CN"/>
        </w:rPr>
        <w:t>orture</w:t>
      </w:r>
    </w:p>
    <w:p w:rsidR="00E76D2F" w:rsidRPr="00E76D2F" w:rsidRDefault="00E76D2F" w:rsidP="00E76D2F">
      <w:pPr>
        <w:keepNext/>
        <w:keepLines/>
        <w:tabs>
          <w:tab w:val="right" w:pos="851"/>
        </w:tabs>
        <w:spacing w:before="360" w:after="240" w:line="300" w:lineRule="exact"/>
        <w:ind w:left="1134" w:right="1134" w:hanging="1134"/>
        <w:rPr>
          <w:b/>
          <w:sz w:val="28"/>
        </w:rPr>
      </w:pPr>
      <w:r w:rsidRPr="00E76D2F">
        <w:rPr>
          <w:b/>
          <w:sz w:val="28"/>
        </w:rPr>
        <w:tab/>
      </w:r>
      <w:r w:rsidRPr="00E76D2F">
        <w:rPr>
          <w:b/>
          <w:sz w:val="28"/>
        </w:rPr>
        <w:tab/>
        <w:t>Communication n</w:t>
      </w:r>
      <w:r w:rsidRPr="00E76D2F">
        <w:rPr>
          <w:b/>
          <w:sz w:val="28"/>
          <w:vertAlign w:val="superscript"/>
        </w:rPr>
        <w:t>o</w:t>
      </w:r>
      <w:r w:rsidRPr="00E76D2F">
        <w:rPr>
          <w:b/>
          <w:sz w:val="28"/>
        </w:rPr>
        <w:t xml:space="preserve"> </w:t>
      </w:r>
      <w:r w:rsidR="00CE6C24" w:rsidRPr="00433033">
        <w:rPr>
          <w:b/>
          <w:sz w:val="28"/>
        </w:rPr>
        <w:t>525</w:t>
      </w:r>
      <w:r w:rsidRPr="00433033">
        <w:rPr>
          <w:b/>
          <w:sz w:val="28"/>
        </w:rPr>
        <w:t>/20</w:t>
      </w:r>
      <w:r w:rsidR="00CE6C24" w:rsidRPr="00DC228D">
        <w:rPr>
          <w:b/>
          <w:sz w:val="28"/>
        </w:rPr>
        <w:t>12</w:t>
      </w:r>
    </w:p>
    <w:p w:rsidR="00E76D2F" w:rsidRPr="00AC33AB" w:rsidRDefault="00E76D2F" w:rsidP="00003558">
      <w:pPr>
        <w:keepNext/>
        <w:keepLines/>
        <w:tabs>
          <w:tab w:val="right" w:pos="851"/>
        </w:tabs>
        <w:suppressAutoHyphens w:val="0"/>
        <w:spacing w:before="360" w:after="240" w:line="270" w:lineRule="exact"/>
        <w:ind w:left="1134" w:right="1134" w:hanging="1134"/>
        <w:rPr>
          <w:rFonts w:eastAsia="SimSun"/>
          <w:b/>
          <w:sz w:val="24"/>
          <w:szCs w:val="24"/>
          <w:lang w:eastAsia="zh-CN"/>
        </w:rPr>
      </w:pPr>
      <w:r w:rsidRPr="00E76D2F">
        <w:rPr>
          <w:rFonts w:eastAsia="SimSun"/>
          <w:b/>
          <w:sz w:val="24"/>
          <w:szCs w:val="24"/>
          <w:lang w:eastAsia="zh-CN"/>
        </w:rPr>
        <w:tab/>
      </w:r>
      <w:r w:rsidRPr="00E76D2F">
        <w:rPr>
          <w:rFonts w:eastAsia="SimSun"/>
          <w:b/>
          <w:sz w:val="24"/>
          <w:szCs w:val="24"/>
          <w:lang w:eastAsia="zh-CN"/>
        </w:rPr>
        <w:tab/>
      </w:r>
      <w:r w:rsidR="00003558">
        <w:rPr>
          <w:rFonts w:eastAsia="SimSun"/>
          <w:b/>
          <w:sz w:val="24"/>
          <w:szCs w:val="24"/>
          <w:lang w:eastAsia="zh-CN"/>
        </w:rPr>
        <w:t xml:space="preserve">Décision </w:t>
      </w:r>
      <w:r w:rsidR="006A0D3D" w:rsidRPr="00003558">
        <w:rPr>
          <w:rFonts w:eastAsia="SimSun"/>
          <w:b/>
          <w:sz w:val="24"/>
          <w:szCs w:val="24"/>
          <w:lang w:eastAsia="zh-CN"/>
        </w:rPr>
        <w:t>adoptée</w:t>
      </w:r>
      <w:r w:rsidR="006A0D3D" w:rsidRPr="00433033">
        <w:rPr>
          <w:rFonts w:eastAsia="SimSun"/>
          <w:b/>
          <w:sz w:val="24"/>
          <w:szCs w:val="24"/>
          <w:lang w:eastAsia="zh-CN"/>
        </w:rPr>
        <w:t xml:space="preserve"> </w:t>
      </w:r>
      <w:r w:rsidR="006A0D3D" w:rsidRPr="00DC228D">
        <w:rPr>
          <w:rFonts w:eastAsia="SimSun"/>
          <w:b/>
          <w:sz w:val="24"/>
          <w:szCs w:val="24"/>
          <w:lang w:eastAsia="zh-CN"/>
        </w:rPr>
        <w:t xml:space="preserve">par le Comité à sa </w:t>
      </w:r>
      <w:r w:rsidR="006C7E6D" w:rsidRPr="00DC228D">
        <w:rPr>
          <w:rFonts w:eastAsia="SimSun"/>
          <w:b/>
          <w:sz w:val="24"/>
          <w:szCs w:val="24"/>
          <w:lang w:eastAsia="zh-CN"/>
        </w:rPr>
        <w:t>cinquante-deuxième</w:t>
      </w:r>
      <w:r w:rsidR="006A0D3D" w:rsidRPr="00DC228D">
        <w:rPr>
          <w:rFonts w:eastAsia="SimSun"/>
          <w:b/>
          <w:sz w:val="24"/>
          <w:szCs w:val="24"/>
          <w:lang w:eastAsia="zh-CN"/>
        </w:rPr>
        <w:t xml:space="preserve"> session (</w:t>
      </w:r>
      <w:r w:rsidR="006A0D3D" w:rsidRPr="00DC228D">
        <w:rPr>
          <w:b/>
          <w:kern w:val="3"/>
          <w:sz w:val="24"/>
          <w:lang w:eastAsia="zh-CN"/>
        </w:rPr>
        <w:t>28</w:t>
      </w:r>
      <w:r w:rsidR="00003558">
        <w:rPr>
          <w:b/>
          <w:kern w:val="3"/>
          <w:sz w:val="24"/>
          <w:lang w:eastAsia="zh-CN"/>
        </w:rPr>
        <w:t> </w:t>
      </w:r>
      <w:r w:rsidR="006A0D3D" w:rsidRPr="00DC228D">
        <w:rPr>
          <w:b/>
          <w:kern w:val="3"/>
          <w:sz w:val="24"/>
          <w:lang w:eastAsia="zh-CN"/>
        </w:rPr>
        <w:t>avril-23 mai 2014)</w:t>
      </w:r>
    </w:p>
    <w:p w:rsidR="00B22444" w:rsidRPr="00DC228D" w:rsidRDefault="00B22444" w:rsidP="001426AB">
      <w:pPr>
        <w:pStyle w:val="SingleTxtG"/>
        <w:ind w:left="4536" w:hanging="3402"/>
        <w:jc w:val="left"/>
        <w:rPr>
          <w:rFonts w:eastAsia="SimSun"/>
          <w:lang w:eastAsia="zh-CN"/>
        </w:rPr>
      </w:pPr>
      <w:r w:rsidRPr="00AC33AB">
        <w:rPr>
          <w:rFonts w:eastAsia="SimSun"/>
          <w:i/>
          <w:lang w:eastAsia="zh-CN"/>
        </w:rPr>
        <w:t>Présentée par</w:t>
      </w:r>
      <w:r w:rsidRPr="00F24A0B">
        <w:rPr>
          <w:rFonts w:eastAsia="SimSun"/>
          <w:lang w:eastAsia="zh-CN"/>
        </w:rPr>
        <w:t>:</w:t>
      </w:r>
      <w:r w:rsidRPr="00F24A0B">
        <w:rPr>
          <w:rFonts w:eastAsia="SimSun"/>
          <w:lang w:eastAsia="zh-CN"/>
        </w:rPr>
        <w:tab/>
      </w:r>
      <w:r w:rsidRPr="00F24A0B">
        <w:rPr>
          <w:rFonts w:eastAsia="SimSun"/>
          <w:lang w:eastAsia="zh-CN"/>
        </w:rPr>
        <w:tab/>
      </w:r>
      <w:r w:rsidR="0070494F" w:rsidRPr="0066771A">
        <w:rPr>
          <w:rFonts w:eastAsia="SimSun"/>
          <w:lang w:eastAsia="zh-CN"/>
        </w:rPr>
        <w:t>R.</w:t>
      </w:r>
      <w:r w:rsidR="006F3B28" w:rsidRPr="0066771A">
        <w:rPr>
          <w:rFonts w:eastAsia="SimSun"/>
          <w:lang w:eastAsia="zh-CN"/>
        </w:rPr>
        <w:t> </w:t>
      </w:r>
      <w:r w:rsidR="0070494F" w:rsidRPr="0066771A">
        <w:rPr>
          <w:rFonts w:eastAsia="SimSun"/>
          <w:lang w:eastAsia="zh-CN"/>
        </w:rPr>
        <w:t>A.</w:t>
      </w:r>
      <w:r w:rsidR="006F3B28" w:rsidRPr="0066771A">
        <w:rPr>
          <w:rFonts w:eastAsia="SimSun"/>
          <w:lang w:eastAsia="zh-CN"/>
        </w:rPr>
        <w:t> </w:t>
      </w:r>
      <w:r w:rsidR="0070494F" w:rsidRPr="0066771A">
        <w:rPr>
          <w:rFonts w:eastAsia="SimSun"/>
          <w:lang w:eastAsia="zh-CN"/>
        </w:rPr>
        <w:t>Y.</w:t>
      </w:r>
      <w:r w:rsidRPr="0066771A">
        <w:rPr>
          <w:rFonts w:eastAsia="SimSun"/>
          <w:lang w:eastAsia="zh-CN"/>
        </w:rPr>
        <w:t xml:space="preserve">, représenté par </w:t>
      </w:r>
      <w:r w:rsidR="00EA695F" w:rsidRPr="0066771A">
        <w:rPr>
          <w:rFonts w:eastAsia="SimSun"/>
          <w:lang w:eastAsia="zh-CN"/>
        </w:rPr>
        <w:t>M</w:t>
      </w:r>
      <w:r w:rsidR="001426AB" w:rsidRPr="00433033">
        <w:rPr>
          <w:rFonts w:eastAsia="SimSun"/>
          <w:vertAlign w:val="superscript"/>
          <w:lang w:eastAsia="zh-CN"/>
        </w:rPr>
        <w:t>es</w:t>
      </w:r>
      <w:r w:rsidR="00EA695F" w:rsidRPr="00433033">
        <w:rPr>
          <w:rFonts w:eastAsia="SimSun"/>
          <w:vertAlign w:val="superscript"/>
          <w:lang w:eastAsia="zh-CN"/>
        </w:rPr>
        <w:t xml:space="preserve"> </w:t>
      </w:r>
      <w:r w:rsidR="00CE6C24" w:rsidRPr="00433033">
        <w:rPr>
          <w:rFonts w:eastAsia="SimSun"/>
          <w:lang w:eastAsia="zh-CN"/>
        </w:rPr>
        <w:t>Yves Levano et Philippe Ohayon</w:t>
      </w:r>
      <w:r w:rsidR="00EA695F" w:rsidRPr="00DC228D">
        <w:rPr>
          <w:rFonts w:eastAsia="SimSun"/>
          <w:lang w:eastAsia="zh-CN"/>
        </w:rPr>
        <w:t>, avocat</w:t>
      </w:r>
      <w:r w:rsidR="00CE6C24" w:rsidRPr="00DC228D">
        <w:rPr>
          <w:rFonts w:eastAsia="SimSun"/>
          <w:lang w:eastAsia="zh-CN"/>
        </w:rPr>
        <w:t>s</w:t>
      </w:r>
    </w:p>
    <w:p w:rsidR="00B22444" w:rsidRPr="00DC228D" w:rsidRDefault="00B22444" w:rsidP="006F3B28">
      <w:pPr>
        <w:suppressAutoHyphens w:val="0"/>
        <w:spacing w:after="120" w:line="240" w:lineRule="auto"/>
        <w:ind w:left="4536" w:right="1134" w:hanging="3402"/>
        <w:rPr>
          <w:rFonts w:eastAsia="SimSun"/>
          <w:lang w:eastAsia="zh-CN"/>
        </w:rPr>
      </w:pPr>
      <w:r w:rsidRPr="00DC228D">
        <w:rPr>
          <w:rFonts w:eastAsia="SimSun"/>
          <w:i/>
          <w:lang w:eastAsia="zh-CN"/>
        </w:rPr>
        <w:t>Au nom de</w:t>
      </w:r>
      <w:r w:rsidRPr="00DC228D">
        <w:rPr>
          <w:rFonts w:eastAsia="SimSun"/>
          <w:lang w:eastAsia="zh-CN"/>
        </w:rPr>
        <w:t>:</w:t>
      </w:r>
      <w:r w:rsidRPr="00DC228D">
        <w:rPr>
          <w:rFonts w:eastAsia="SimSun"/>
          <w:lang w:eastAsia="zh-CN"/>
        </w:rPr>
        <w:tab/>
      </w:r>
      <w:r w:rsidR="0070494F" w:rsidRPr="00DC228D">
        <w:rPr>
          <w:rFonts w:eastAsia="SimSun"/>
          <w:lang w:eastAsia="zh-CN"/>
        </w:rPr>
        <w:t>R.</w:t>
      </w:r>
      <w:r w:rsidR="006F3B28" w:rsidRPr="00DC228D">
        <w:rPr>
          <w:rFonts w:eastAsia="SimSun"/>
          <w:lang w:eastAsia="zh-CN"/>
        </w:rPr>
        <w:t> </w:t>
      </w:r>
      <w:r w:rsidR="0070494F" w:rsidRPr="00DC228D">
        <w:rPr>
          <w:rFonts w:eastAsia="SimSun"/>
          <w:lang w:eastAsia="zh-CN"/>
        </w:rPr>
        <w:t>A.</w:t>
      </w:r>
      <w:r w:rsidR="006F3B28" w:rsidRPr="00DC228D">
        <w:rPr>
          <w:rFonts w:eastAsia="SimSun"/>
          <w:lang w:eastAsia="zh-CN"/>
        </w:rPr>
        <w:t> </w:t>
      </w:r>
      <w:r w:rsidR="0070494F" w:rsidRPr="00DC228D">
        <w:rPr>
          <w:rFonts w:eastAsia="SimSun"/>
          <w:lang w:eastAsia="zh-CN"/>
        </w:rPr>
        <w:t>Y.</w:t>
      </w:r>
    </w:p>
    <w:p w:rsidR="00B22444" w:rsidRPr="0066771A" w:rsidRDefault="00B22444" w:rsidP="006C7E6D">
      <w:pPr>
        <w:suppressAutoHyphens w:val="0"/>
        <w:spacing w:after="120" w:line="240" w:lineRule="auto"/>
        <w:ind w:left="4536" w:right="1134" w:hanging="3402"/>
        <w:rPr>
          <w:rFonts w:eastAsia="SimSun"/>
          <w:lang w:eastAsia="zh-CN"/>
        </w:rPr>
      </w:pPr>
      <w:r w:rsidRPr="00AC33AB">
        <w:rPr>
          <w:rFonts w:eastAsia="SimSun"/>
          <w:i/>
          <w:lang w:eastAsia="zh-CN"/>
        </w:rPr>
        <w:t>État partie</w:t>
      </w:r>
      <w:r w:rsidRPr="00AC33AB">
        <w:rPr>
          <w:rFonts w:eastAsia="SimSun"/>
          <w:lang w:eastAsia="zh-CN"/>
        </w:rPr>
        <w:t>:</w:t>
      </w:r>
      <w:r w:rsidRPr="00AC33AB">
        <w:rPr>
          <w:rFonts w:eastAsia="SimSun"/>
          <w:lang w:eastAsia="zh-CN"/>
        </w:rPr>
        <w:tab/>
      </w:r>
      <w:r w:rsidR="00EA695F" w:rsidRPr="00F24A0B">
        <w:rPr>
          <w:rFonts w:eastAsia="SimSun"/>
          <w:lang w:eastAsia="zh-CN"/>
        </w:rPr>
        <w:t>Maroc</w:t>
      </w:r>
    </w:p>
    <w:p w:rsidR="00B22444" w:rsidRPr="00B22444" w:rsidRDefault="00B22444" w:rsidP="006C7E6D">
      <w:pPr>
        <w:suppressAutoHyphens w:val="0"/>
        <w:spacing w:after="120" w:line="240" w:lineRule="auto"/>
        <w:ind w:left="4536" w:right="1134" w:hanging="3402"/>
        <w:rPr>
          <w:rFonts w:eastAsia="SimSun"/>
          <w:lang w:eastAsia="zh-CN"/>
        </w:rPr>
      </w:pPr>
      <w:r w:rsidRPr="0066771A">
        <w:rPr>
          <w:rFonts w:eastAsia="SimSun"/>
          <w:i/>
          <w:lang w:eastAsia="zh-CN"/>
        </w:rPr>
        <w:t>Date de la requête</w:t>
      </w:r>
      <w:r w:rsidRPr="0066771A">
        <w:rPr>
          <w:rFonts w:eastAsia="SimSun"/>
          <w:lang w:eastAsia="zh-CN"/>
        </w:rPr>
        <w:t>:</w:t>
      </w:r>
      <w:r w:rsidRPr="0066771A">
        <w:rPr>
          <w:rFonts w:eastAsia="SimSun"/>
          <w:lang w:eastAsia="zh-CN"/>
        </w:rPr>
        <w:tab/>
      </w:r>
      <w:r w:rsidR="00CE6C24" w:rsidRPr="0066771A">
        <w:rPr>
          <w:rFonts w:eastAsia="SimSun"/>
          <w:lang w:eastAsia="zh-CN"/>
        </w:rPr>
        <w:t>25 octobre 2012</w:t>
      </w:r>
      <w:r w:rsidRPr="0066771A">
        <w:rPr>
          <w:rFonts w:eastAsia="SimSun"/>
          <w:lang w:eastAsia="zh-CN"/>
        </w:rPr>
        <w:t xml:space="preserve"> (lettre initiale)</w:t>
      </w:r>
    </w:p>
    <w:p w:rsidR="00B22444" w:rsidRPr="009B64B1" w:rsidRDefault="00B22444" w:rsidP="006C7E6D">
      <w:pPr>
        <w:suppressAutoHyphens w:val="0"/>
        <w:spacing w:after="120" w:line="240" w:lineRule="auto"/>
        <w:ind w:left="4536" w:right="1134" w:hanging="3402"/>
        <w:rPr>
          <w:rFonts w:eastAsia="SimSun"/>
          <w:lang w:eastAsia="zh-CN"/>
        </w:rPr>
      </w:pPr>
      <w:r w:rsidRPr="00B22444">
        <w:rPr>
          <w:rFonts w:eastAsia="SimSun"/>
          <w:i/>
          <w:lang w:eastAsia="zh-CN"/>
        </w:rPr>
        <w:t>Date de la présente décision</w:t>
      </w:r>
      <w:r w:rsidRPr="00B22444">
        <w:rPr>
          <w:rFonts w:eastAsia="SimSun"/>
          <w:lang w:eastAsia="zh-CN"/>
        </w:rPr>
        <w:t>:</w:t>
      </w:r>
      <w:r w:rsidRPr="00B22444">
        <w:rPr>
          <w:rFonts w:eastAsia="SimSun"/>
          <w:lang w:eastAsia="zh-CN"/>
        </w:rPr>
        <w:tab/>
      </w:r>
      <w:r w:rsidR="0070494F" w:rsidRPr="009B64B1">
        <w:rPr>
          <w:rFonts w:eastAsia="SimSun"/>
          <w:lang w:eastAsia="zh-CN"/>
        </w:rPr>
        <w:t xml:space="preserve">16 </w:t>
      </w:r>
      <w:r w:rsidR="00EA695F" w:rsidRPr="009B64B1">
        <w:rPr>
          <w:rFonts w:eastAsia="SimSun"/>
          <w:lang w:eastAsia="zh-CN"/>
        </w:rPr>
        <w:t>mai</w:t>
      </w:r>
      <w:r w:rsidRPr="009B64B1">
        <w:rPr>
          <w:rFonts w:eastAsia="SimSun"/>
          <w:lang w:eastAsia="zh-CN"/>
        </w:rPr>
        <w:t xml:space="preserve"> 201</w:t>
      </w:r>
      <w:r w:rsidR="00EA695F" w:rsidRPr="009B64B1">
        <w:rPr>
          <w:rFonts w:eastAsia="SimSun"/>
          <w:lang w:eastAsia="zh-CN"/>
        </w:rPr>
        <w:t>4</w:t>
      </w:r>
    </w:p>
    <w:p w:rsidR="00B22444" w:rsidRPr="009B64B1" w:rsidRDefault="00B22444" w:rsidP="006C7E6D">
      <w:pPr>
        <w:suppressAutoHyphens w:val="0"/>
        <w:spacing w:after="120" w:line="240" w:lineRule="auto"/>
        <w:ind w:left="4536" w:right="1134" w:hanging="3402"/>
        <w:rPr>
          <w:rFonts w:eastAsia="SimSun"/>
          <w:lang w:eastAsia="zh-CN"/>
        </w:rPr>
      </w:pPr>
      <w:r w:rsidRPr="009B64B1">
        <w:rPr>
          <w:rFonts w:eastAsia="SimSun"/>
          <w:i/>
          <w:iCs/>
          <w:lang w:eastAsia="zh-CN"/>
        </w:rPr>
        <w:t>Objet:</w:t>
      </w:r>
      <w:r w:rsidRPr="009B64B1">
        <w:rPr>
          <w:rFonts w:eastAsia="SimSun"/>
          <w:lang w:eastAsia="zh-CN"/>
        </w:rPr>
        <w:tab/>
      </w:r>
      <w:r w:rsidR="00D036A7" w:rsidRPr="009B64B1">
        <w:rPr>
          <w:rFonts w:eastAsia="SimSun"/>
          <w:lang w:eastAsia="zh-CN"/>
        </w:rPr>
        <w:t>Dans le cadre d’une procédure d’e</w:t>
      </w:r>
      <w:r w:rsidR="00CE6C24" w:rsidRPr="009B64B1">
        <w:rPr>
          <w:rFonts w:eastAsia="SimSun"/>
          <w:lang w:eastAsia="zh-CN"/>
        </w:rPr>
        <w:t>xtrad</w:t>
      </w:r>
      <w:r w:rsidR="00D036A7" w:rsidRPr="009B64B1">
        <w:rPr>
          <w:rFonts w:eastAsia="SimSun"/>
          <w:lang w:eastAsia="zh-CN"/>
        </w:rPr>
        <w:t>ition</w:t>
      </w:r>
      <w:r w:rsidR="00CE6C24" w:rsidRPr="009B64B1">
        <w:rPr>
          <w:rFonts w:eastAsia="SimSun"/>
          <w:lang w:eastAsia="zh-CN"/>
        </w:rPr>
        <w:t xml:space="preserve"> vers l’Algérie</w:t>
      </w:r>
      <w:r w:rsidR="00D036A7" w:rsidRPr="009B64B1">
        <w:rPr>
          <w:rFonts w:eastAsia="SimSun"/>
          <w:lang w:eastAsia="zh-CN"/>
        </w:rPr>
        <w:t>, le requérant allègue que les aveux l’incriminant auraient été obtenus sous la torture et qu’il risque d’être soumis à la torture s’il est extradé.</w:t>
      </w:r>
    </w:p>
    <w:p w:rsidR="00B22444" w:rsidRPr="009B64B1" w:rsidRDefault="00B22444" w:rsidP="009B64B1">
      <w:pPr>
        <w:suppressAutoHyphens w:val="0"/>
        <w:spacing w:after="120" w:line="240" w:lineRule="auto"/>
        <w:ind w:left="4536" w:right="1134" w:hanging="3402"/>
        <w:rPr>
          <w:rFonts w:eastAsia="SimSun"/>
          <w:lang w:eastAsia="zh-CN"/>
        </w:rPr>
      </w:pPr>
      <w:r w:rsidRPr="009B64B1">
        <w:rPr>
          <w:rFonts w:eastAsia="SimSun"/>
          <w:i/>
          <w:iCs/>
          <w:lang w:eastAsia="zh-CN"/>
        </w:rPr>
        <w:t>Questions de procédure</w:t>
      </w:r>
      <w:r w:rsidRPr="009B64B1">
        <w:rPr>
          <w:rFonts w:eastAsia="SimSun"/>
          <w:lang w:eastAsia="zh-CN"/>
        </w:rPr>
        <w:t>:</w:t>
      </w:r>
      <w:r w:rsidRPr="009B64B1">
        <w:rPr>
          <w:rFonts w:eastAsia="SimSun"/>
          <w:lang w:eastAsia="zh-CN"/>
        </w:rPr>
        <w:tab/>
      </w:r>
      <w:r w:rsidR="009B64B1" w:rsidRPr="009B64B1">
        <w:rPr>
          <w:rFonts w:eastAsia="SimSun"/>
          <w:lang w:eastAsia="zh-CN"/>
        </w:rPr>
        <w:t>É</w:t>
      </w:r>
      <w:r w:rsidR="002E74F9" w:rsidRPr="009B64B1">
        <w:rPr>
          <w:rFonts w:eastAsia="SimSun"/>
          <w:lang w:eastAsia="zh-CN"/>
        </w:rPr>
        <w:t>puisement des voies de recours internes</w:t>
      </w:r>
    </w:p>
    <w:p w:rsidR="00B22444" w:rsidRPr="009B64B1" w:rsidRDefault="00B22444" w:rsidP="006C7E6D">
      <w:pPr>
        <w:suppressAutoHyphens w:val="0"/>
        <w:spacing w:after="120" w:line="240" w:lineRule="auto"/>
        <w:ind w:left="4536" w:right="1134" w:hanging="3402"/>
        <w:rPr>
          <w:rFonts w:eastAsia="SimSun"/>
          <w:lang w:val="fr-FR" w:eastAsia="zh-CN"/>
        </w:rPr>
      </w:pPr>
      <w:r w:rsidRPr="009B64B1">
        <w:rPr>
          <w:rFonts w:eastAsia="SimSun"/>
          <w:i/>
          <w:iCs/>
          <w:lang w:eastAsia="zh-CN"/>
        </w:rPr>
        <w:t>Questions de fond</w:t>
      </w:r>
      <w:r w:rsidRPr="009B64B1">
        <w:rPr>
          <w:rFonts w:eastAsia="SimSun"/>
          <w:lang w:eastAsia="zh-CN"/>
        </w:rPr>
        <w:t>:</w:t>
      </w:r>
      <w:r w:rsidRPr="009B64B1">
        <w:rPr>
          <w:rFonts w:eastAsia="SimSun"/>
          <w:lang w:eastAsia="zh-CN"/>
        </w:rPr>
        <w:tab/>
      </w:r>
      <w:r w:rsidR="00D036A7" w:rsidRPr="009B64B1">
        <w:rPr>
          <w:rFonts w:eastAsia="SimSun"/>
          <w:lang w:eastAsia="zh-CN"/>
        </w:rPr>
        <w:t>Risque d’être soumis à la torture</w:t>
      </w:r>
      <w:r w:rsidR="0003413D" w:rsidRPr="009B64B1">
        <w:rPr>
          <w:rFonts w:eastAsia="SimSun"/>
          <w:lang w:eastAsia="zh-CN"/>
        </w:rPr>
        <w:t>;</w:t>
      </w:r>
      <w:r w:rsidR="00D036A7" w:rsidRPr="009B64B1">
        <w:rPr>
          <w:rFonts w:eastAsia="SimSun"/>
          <w:lang w:eastAsia="zh-CN"/>
        </w:rPr>
        <w:t xml:space="preserve"> utilisation d’aveux obtenus sous la torture dans une procédure judiciaire</w:t>
      </w:r>
    </w:p>
    <w:p w:rsidR="004F4B23" w:rsidRDefault="00B22444" w:rsidP="009B64B1">
      <w:pPr>
        <w:ind w:left="4536" w:hanging="3402"/>
      </w:pPr>
      <w:r w:rsidRPr="009B64B1">
        <w:rPr>
          <w:rFonts w:eastAsia="SimSun"/>
          <w:i/>
          <w:iCs/>
          <w:lang w:eastAsia="zh-CN"/>
        </w:rPr>
        <w:t>Articles de la Convention</w:t>
      </w:r>
      <w:r w:rsidRPr="009B64B1">
        <w:rPr>
          <w:rFonts w:eastAsia="SimSun"/>
          <w:lang w:eastAsia="zh-CN"/>
        </w:rPr>
        <w:t>:</w:t>
      </w:r>
      <w:r w:rsidRPr="009B64B1">
        <w:rPr>
          <w:rFonts w:eastAsia="SimSun"/>
          <w:lang w:eastAsia="zh-CN"/>
        </w:rPr>
        <w:tab/>
      </w:r>
      <w:r w:rsidRPr="009B64B1">
        <w:rPr>
          <w:rFonts w:eastAsia="SimSun"/>
          <w:lang w:eastAsia="zh-CN"/>
        </w:rPr>
        <w:tab/>
      </w:r>
      <w:r w:rsidR="000F5B7F" w:rsidRPr="009B64B1">
        <w:rPr>
          <w:rFonts w:eastAsia="MS Mincho"/>
          <w:lang w:val="fr-FR" w:eastAsia="zh-CN"/>
        </w:rPr>
        <w:t>A</w:t>
      </w:r>
      <w:r w:rsidRPr="009B64B1">
        <w:rPr>
          <w:rFonts w:eastAsia="MS Mincho"/>
          <w:lang w:val="fr-FR" w:eastAsia="zh-CN"/>
        </w:rPr>
        <w:t>rticle</w:t>
      </w:r>
      <w:r w:rsidR="00CE6C24" w:rsidRPr="009B64B1">
        <w:rPr>
          <w:rFonts w:eastAsia="MS Mincho"/>
          <w:lang w:val="fr-FR" w:eastAsia="zh-CN"/>
        </w:rPr>
        <w:t>s</w:t>
      </w:r>
      <w:r w:rsidR="00EA695F" w:rsidRPr="009B64B1">
        <w:rPr>
          <w:rFonts w:eastAsia="MS Mincho"/>
          <w:lang w:val="fr-FR" w:eastAsia="zh-CN"/>
        </w:rPr>
        <w:t xml:space="preserve"> </w:t>
      </w:r>
      <w:r w:rsidR="00CE6C24" w:rsidRPr="009B64B1">
        <w:rPr>
          <w:rFonts w:eastAsia="MS Mincho"/>
          <w:lang w:val="fr-FR" w:eastAsia="zh-CN"/>
        </w:rPr>
        <w:t>3 et 15</w:t>
      </w:r>
      <w:r w:rsidR="00EA695F" w:rsidRPr="009B64B1">
        <w:rPr>
          <w:rFonts w:eastAsia="MS Mincho"/>
          <w:lang w:val="fr-FR" w:eastAsia="zh-CN"/>
        </w:rPr>
        <w:t xml:space="preserve"> de</w:t>
      </w:r>
      <w:r w:rsidRPr="009B64B1">
        <w:rPr>
          <w:rFonts w:eastAsia="MS Mincho"/>
          <w:lang w:val="fr-FR" w:eastAsia="zh-CN"/>
        </w:rPr>
        <w:t xml:space="preserve"> la Convention</w:t>
      </w:r>
    </w:p>
    <w:p w:rsidR="004F4B23" w:rsidRDefault="006C7E6D" w:rsidP="004403D5">
      <w:pPr>
        <w:ind w:left="3402" w:hanging="3402"/>
        <w:rPr>
          <w:rStyle w:val="HChGChar"/>
        </w:rPr>
      </w:pPr>
      <w:r>
        <w:br w:type="page"/>
      </w:r>
      <w:r w:rsidR="004F4B23">
        <w:rPr>
          <w:b/>
          <w:bCs/>
          <w:sz w:val="28"/>
          <w:szCs w:val="28"/>
        </w:rPr>
        <w:lastRenderedPageBreak/>
        <w:t>Annexe</w:t>
      </w:r>
    </w:p>
    <w:p w:rsidR="004F4B23" w:rsidRPr="0066771A" w:rsidRDefault="004F4B23" w:rsidP="00367E3C">
      <w:pPr>
        <w:pStyle w:val="HChG"/>
      </w:pPr>
      <w:r>
        <w:rPr>
          <w:rStyle w:val="HChGChar"/>
        </w:rPr>
        <w:tab/>
      </w:r>
      <w:r>
        <w:rPr>
          <w:rStyle w:val="HChGChar"/>
        </w:rPr>
        <w:tab/>
      </w:r>
      <w:r w:rsidRPr="00433033">
        <w:rPr>
          <w:rStyle w:val="HChGChar"/>
        </w:rPr>
        <w:t>D</w:t>
      </w:r>
      <w:r w:rsidRPr="00DC228D">
        <w:rPr>
          <w:rStyle w:val="HChGChar"/>
        </w:rPr>
        <w:t xml:space="preserve">écision du Comité </w:t>
      </w:r>
      <w:r w:rsidR="00360BCC" w:rsidRPr="00DC228D">
        <w:rPr>
          <w:rStyle w:val="HChGChar"/>
        </w:rPr>
        <w:t>c</w:t>
      </w:r>
      <w:r w:rsidRPr="00DC228D">
        <w:rPr>
          <w:rStyle w:val="HChGChar"/>
        </w:rPr>
        <w:t xml:space="preserve">ontre la </w:t>
      </w:r>
      <w:r w:rsidR="00360BCC" w:rsidRPr="00AC33AB">
        <w:rPr>
          <w:rStyle w:val="HChGChar"/>
        </w:rPr>
        <w:t>t</w:t>
      </w:r>
      <w:r w:rsidRPr="00F24A0B">
        <w:rPr>
          <w:rStyle w:val="HChGChar"/>
        </w:rPr>
        <w:t>orture au titre de l’article</w:t>
      </w:r>
      <w:r w:rsidR="00367E3C" w:rsidRPr="0066771A">
        <w:rPr>
          <w:rStyle w:val="HChGChar"/>
        </w:rPr>
        <w:t> </w:t>
      </w:r>
      <w:r w:rsidRPr="0066771A">
        <w:rPr>
          <w:rStyle w:val="HChGChar"/>
        </w:rPr>
        <w:t xml:space="preserve">22 de la Convention </w:t>
      </w:r>
      <w:r w:rsidR="00360BCC" w:rsidRPr="0066771A">
        <w:rPr>
          <w:rStyle w:val="HChGChar"/>
        </w:rPr>
        <w:t>c</w:t>
      </w:r>
      <w:r w:rsidRPr="0066771A">
        <w:rPr>
          <w:rStyle w:val="HChGChar"/>
        </w:rPr>
        <w:t xml:space="preserve">ontre la </w:t>
      </w:r>
      <w:r w:rsidR="00360BCC" w:rsidRPr="0066771A">
        <w:rPr>
          <w:rStyle w:val="HChGChar"/>
        </w:rPr>
        <w:t>t</w:t>
      </w:r>
      <w:r w:rsidRPr="0066771A">
        <w:rPr>
          <w:rStyle w:val="HChGChar"/>
        </w:rPr>
        <w:t>orture et autres peines ou</w:t>
      </w:r>
      <w:r w:rsidR="006C7E6D" w:rsidRPr="0066771A">
        <w:rPr>
          <w:rStyle w:val="HChGChar"/>
        </w:rPr>
        <w:t> </w:t>
      </w:r>
      <w:r w:rsidRPr="0066771A">
        <w:rPr>
          <w:rStyle w:val="HChGChar"/>
        </w:rPr>
        <w:t>traitements cruels, inhumai</w:t>
      </w:r>
      <w:r w:rsidR="00FE41BD" w:rsidRPr="0066771A">
        <w:rPr>
          <w:rStyle w:val="HChGChar"/>
        </w:rPr>
        <w:t xml:space="preserve">ns ou dégradants </w:t>
      </w:r>
      <w:r w:rsidR="006C7E6D" w:rsidRPr="0066771A">
        <w:rPr>
          <w:rStyle w:val="HChGChar"/>
        </w:rPr>
        <w:br/>
      </w:r>
      <w:r w:rsidR="00FE41BD" w:rsidRPr="0066771A">
        <w:rPr>
          <w:rStyle w:val="HChGChar"/>
        </w:rPr>
        <w:t>(</w:t>
      </w:r>
      <w:r w:rsidR="006C7E6D" w:rsidRPr="0066771A">
        <w:rPr>
          <w:rStyle w:val="HChGChar"/>
        </w:rPr>
        <w:t>c</w:t>
      </w:r>
      <w:r w:rsidR="00FE41BD" w:rsidRPr="0066771A">
        <w:rPr>
          <w:rStyle w:val="HChGChar"/>
        </w:rPr>
        <w:t>inquante-deux</w:t>
      </w:r>
      <w:r w:rsidRPr="0066771A">
        <w:rPr>
          <w:rStyle w:val="HChGChar"/>
        </w:rPr>
        <w:t>ième session)</w:t>
      </w:r>
    </w:p>
    <w:p w:rsidR="004F4B23" w:rsidRPr="0066771A" w:rsidRDefault="004F4B23" w:rsidP="004F4B23">
      <w:pPr>
        <w:pStyle w:val="SingleTxtG"/>
        <w:rPr>
          <w:rFonts w:eastAsia="SimSun"/>
        </w:rPr>
      </w:pPr>
      <w:r w:rsidRPr="0066771A">
        <w:t>concernant la</w:t>
      </w:r>
    </w:p>
    <w:p w:rsidR="004F4B23" w:rsidRPr="0066771A" w:rsidRDefault="004F4B23" w:rsidP="006C7E6D">
      <w:pPr>
        <w:keepNext/>
        <w:keepLines/>
        <w:tabs>
          <w:tab w:val="right" w:pos="851"/>
        </w:tabs>
        <w:spacing w:before="360" w:after="240" w:line="270" w:lineRule="exact"/>
        <w:ind w:left="1134" w:right="1134" w:hanging="1134"/>
        <w:rPr>
          <w:rFonts w:eastAsia="SimSun"/>
          <w:b/>
          <w:sz w:val="24"/>
          <w:lang w:eastAsia="zh-CN"/>
        </w:rPr>
      </w:pPr>
      <w:r w:rsidRPr="0066771A">
        <w:rPr>
          <w:rFonts w:eastAsia="SimSun"/>
          <w:b/>
          <w:sz w:val="24"/>
          <w:lang w:eastAsia="zh-CN"/>
        </w:rPr>
        <w:tab/>
      </w:r>
      <w:r w:rsidRPr="0066771A">
        <w:rPr>
          <w:rFonts w:eastAsia="SimSun"/>
          <w:b/>
          <w:sz w:val="24"/>
          <w:lang w:eastAsia="zh-CN"/>
        </w:rPr>
        <w:tab/>
        <w:t xml:space="preserve">Communication </w:t>
      </w:r>
      <w:r w:rsidR="006C7E6D" w:rsidRPr="0066771A">
        <w:rPr>
          <w:rFonts w:eastAsia="SimSun"/>
          <w:b/>
          <w:sz w:val="24"/>
          <w:lang w:eastAsia="zh-CN"/>
        </w:rPr>
        <w:t>n</w:t>
      </w:r>
      <w:r w:rsidR="006C7E6D" w:rsidRPr="0066771A">
        <w:rPr>
          <w:rFonts w:eastAsia="SimSun"/>
          <w:b/>
          <w:sz w:val="24"/>
          <w:vertAlign w:val="superscript"/>
          <w:lang w:eastAsia="zh-CN"/>
        </w:rPr>
        <w:t>o</w:t>
      </w:r>
      <w:r w:rsidR="006C7E6D" w:rsidRPr="0066771A">
        <w:rPr>
          <w:rFonts w:eastAsia="SimSun"/>
          <w:b/>
          <w:sz w:val="24"/>
          <w:lang w:eastAsia="zh-CN"/>
        </w:rPr>
        <w:t xml:space="preserve"> </w:t>
      </w:r>
      <w:r w:rsidR="00CE6C24" w:rsidRPr="0066771A">
        <w:rPr>
          <w:rFonts w:eastAsia="SimSun"/>
          <w:b/>
          <w:sz w:val="24"/>
          <w:lang w:eastAsia="zh-CN"/>
        </w:rPr>
        <w:t>525</w:t>
      </w:r>
      <w:r w:rsidRPr="0066771A">
        <w:rPr>
          <w:rFonts w:eastAsia="SimSun"/>
          <w:b/>
          <w:sz w:val="24"/>
          <w:lang w:eastAsia="zh-CN"/>
        </w:rPr>
        <w:t>/20</w:t>
      </w:r>
      <w:r w:rsidR="00CE6C24" w:rsidRPr="0066771A">
        <w:rPr>
          <w:rFonts w:eastAsia="SimSun"/>
          <w:b/>
          <w:sz w:val="24"/>
          <w:lang w:eastAsia="zh-CN"/>
        </w:rPr>
        <w:t>12</w:t>
      </w:r>
    </w:p>
    <w:p w:rsidR="00CE6C24" w:rsidRPr="00DC228D" w:rsidRDefault="004F4B23" w:rsidP="001426AB">
      <w:pPr>
        <w:pStyle w:val="SingleTxtG"/>
        <w:ind w:left="4536" w:hanging="3402"/>
        <w:jc w:val="left"/>
        <w:rPr>
          <w:rFonts w:eastAsia="SimSun"/>
          <w:lang w:eastAsia="zh-CN"/>
        </w:rPr>
      </w:pPr>
      <w:r w:rsidRPr="0066771A">
        <w:rPr>
          <w:rFonts w:eastAsia="SimSun"/>
          <w:i/>
          <w:lang w:eastAsia="zh-CN"/>
        </w:rPr>
        <w:t>Présentée par:</w:t>
      </w:r>
      <w:r w:rsidRPr="0066771A">
        <w:rPr>
          <w:rFonts w:eastAsia="SimSun"/>
          <w:lang w:eastAsia="zh-CN"/>
        </w:rPr>
        <w:tab/>
      </w:r>
      <w:r w:rsidR="0070494F" w:rsidRPr="0066771A">
        <w:rPr>
          <w:rFonts w:eastAsia="SimSun"/>
          <w:lang w:eastAsia="zh-CN"/>
        </w:rPr>
        <w:t>R.</w:t>
      </w:r>
      <w:r w:rsidR="006F3B28" w:rsidRPr="00433033">
        <w:rPr>
          <w:rFonts w:eastAsia="SimSun"/>
          <w:lang w:eastAsia="zh-CN"/>
        </w:rPr>
        <w:t> </w:t>
      </w:r>
      <w:r w:rsidR="0070494F" w:rsidRPr="00433033">
        <w:rPr>
          <w:rFonts w:eastAsia="SimSun"/>
          <w:lang w:eastAsia="zh-CN"/>
        </w:rPr>
        <w:t>A.</w:t>
      </w:r>
      <w:r w:rsidR="006F3B28" w:rsidRPr="00433033">
        <w:rPr>
          <w:rFonts w:eastAsia="SimSun"/>
          <w:lang w:eastAsia="zh-CN"/>
        </w:rPr>
        <w:t> </w:t>
      </w:r>
      <w:r w:rsidR="0070494F" w:rsidRPr="00433033">
        <w:rPr>
          <w:rFonts w:eastAsia="SimSun"/>
          <w:lang w:eastAsia="zh-CN"/>
        </w:rPr>
        <w:t>Y.</w:t>
      </w:r>
      <w:r w:rsidR="00CE6C24" w:rsidRPr="00DC228D">
        <w:rPr>
          <w:rFonts w:eastAsia="SimSun"/>
          <w:lang w:eastAsia="zh-CN"/>
        </w:rPr>
        <w:t>, représenté par M</w:t>
      </w:r>
      <w:r w:rsidR="001426AB" w:rsidRPr="00433033">
        <w:rPr>
          <w:rFonts w:eastAsia="SimSun"/>
          <w:vertAlign w:val="superscript"/>
          <w:lang w:eastAsia="zh-CN"/>
        </w:rPr>
        <w:t>es</w:t>
      </w:r>
      <w:r w:rsidR="00CE6C24" w:rsidRPr="00DC228D">
        <w:rPr>
          <w:rFonts w:eastAsia="SimSun"/>
          <w:lang w:eastAsia="zh-CN"/>
        </w:rPr>
        <w:t xml:space="preserve"> Yves Levano et Philippe Ohayon, avocats</w:t>
      </w:r>
    </w:p>
    <w:p w:rsidR="004F4B23" w:rsidRPr="00DC228D" w:rsidRDefault="004F4B23" w:rsidP="006F3B28">
      <w:pPr>
        <w:suppressAutoHyphens w:val="0"/>
        <w:spacing w:after="120" w:line="240" w:lineRule="auto"/>
        <w:ind w:left="4536" w:right="1134" w:hanging="3402"/>
        <w:rPr>
          <w:rFonts w:eastAsia="SimSun"/>
          <w:lang w:eastAsia="zh-CN"/>
        </w:rPr>
      </w:pPr>
      <w:r w:rsidRPr="00DC228D">
        <w:rPr>
          <w:rFonts w:eastAsia="SimSun"/>
          <w:i/>
          <w:lang w:eastAsia="zh-CN"/>
        </w:rPr>
        <w:t>Au nom de:</w:t>
      </w:r>
      <w:r w:rsidRPr="00DC228D">
        <w:rPr>
          <w:rFonts w:eastAsia="SimSun"/>
          <w:lang w:eastAsia="zh-CN"/>
        </w:rPr>
        <w:tab/>
      </w:r>
      <w:r w:rsidR="0070494F" w:rsidRPr="00AC33AB">
        <w:rPr>
          <w:rFonts w:eastAsia="SimSun"/>
          <w:lang w:eastAsia="zh-CN"/>
        </w:rPr>
        <w:t>R.</w:t>
      </w:r>
      <w:r w:rsidR="006F3B28" w:rsidRPr="00433033">
        <w:rPr>
          <w:rFonts w:eastAsia="SimSun"/>
          <w:lang w:eastAsia="zh-CN"/>
        </w:rPr>
        <w:t> </w:t>
      </w:r>
      <w:r w:rsidR="0070494F" w:rsidRPr="00433033">
        <w:rPr>
          <w:rFonts w:eastAsia="SimSun"/>
          <w:lang w:eastAsia="zh-CN"/>
        </w:rPr>
        <w:t>A.</w:t>
      </w:r>
      <w:r w:rsidR="006F3B28" w:rsidRPr="00433033">
        <w:rPr>
          <w:rFonts w:eastAsia="SimSun"/>
          <w:lang w:eastAsia="zh-CN"/>
        </w:rPr>
        <w:t> </w:t>
      </w:r>
      <w:r w:rsidR="0070494F" w:rsidRPr="00433033">
        <w:rPr>
          <w:rFonts w:eastAsia="SimSun"/>
          <w:lang w:eastAsia="zh-CN"/>
        </w:rPr>
        <w:t>Y.</w:t>
      </w:r>
    </w:p>
    <w:p w:rsidR="004F4B23" w:rsidRPr="00AC33AB" w:rsidRDefault="004F4B23" w:rsidP="006C7E6D">
      <w:pPr>
        <w:suppressAutoHyphens w:val="0"/>
        <w:spacing w:after="120" w:line="240" w:lineRule="auto"/>
        <w:ind w:left="4536" w:right="1134" w:hanging="3402"/>
        <w:rPr>
          <w:rFonts w:eastAsia="SimSun"/>
          <w:lang w:eastAsia="zh-CN"/>
        </w:rPr>
      </w:pPr>
      <w:r w:rsidRPr="00DC228D">
        <w:rPr>
          <w:rFonts w:eastAsia="SimSun"/>
          <w:i/>
          <w:lang w:eastAsia="zh-CN"/>
        </w:rPr>
        <w:t>État partie:</w:t>
      </w:r>
      <w:r w:rsidRPr="00DC228D">
        <w:rPr>
          <w:rFonts w:eastAsia="SimSun"/>
          <w:lang w:eastAsia="zh-CN"/>
        </w:rPr>
        <w:tab/>
      </w:r>
      <w:r w:rsidR="00FE41BD" w:rsidRPr="00AC33AB">
        <w:rPr>
          <w:rFonts w:eastAsia="SimSun"/>
          <w:lang w:eastAsia="zh-CN"/>
        </w:rPr>
        <w:t>Maroc</w:t>
      </w:r>
    </w:p>
    <w:p w:rsidR="004F4B23" w:rsidRPr="0066771A" w:rsidRDefault="004F4B23" w:rsidP="006C7E6D">
      <w:pPr>
        <w:suppressAutoHyphens w:val="0"/>
        <w:spacing w:after="120" w:line="240" w:lineRule="exact"/>
        <w:ind w:left="4536" w:right="1134" w:hanging="3402"/>
        <w:rPr>
          <w:rFonts w:eastAsia="SimSun"/>
          <w:lang w:eastAsia="zh-CN"/>
        </w:rPr>
      </w:pPr>
      <w:r w:rsidRPr="00F24A0B">
        <w:rPr>
          <w:rFonts w:eastAsia="SimSun"/>
          <w:i/>
          <w:lang w:eastAsia="zh-CN"/>
        </w:rPr>
        <w:t>Date de la requête:</w:t>
      </w:r>
      <w:r w:rsidRPr="0066771A">
        <w:rPr>
          <w:rFonts w:eastAsia="SimSun"/>
          <w:lang w:eastAsia="zh-CN"/>
        </w:rPr>
        <w:tab/>
      </w:r>
      <w:r w:rsidR="00CE6C24" w:rsidRPr="0066771A">
        <w:rPr>
          <w:rFonts w:eastAsia="SimSun"/>
          <w:lang w:eastAsia="zh-CN"/>
        </w:rPr>
        <w:t>25 octobre 2012 (lettre initiale)</w:t>
      </w:r>
    </w:p>
    <w:p w:rsidR="004F4B23" w:rsidRPr="0066771A" w:rsidRDefault="004F4B23" w:rsidP="004403D5">
      <w:pPr>
        <w:pStyle w:val="SingleTxtG"/>
      </w:pPr>
      <w:r w:rsidRPr="0066771A">
        <w:rPr>
          <w:rFonts w:eastAsia="SimSun"/>
          <w:lang w:eastAsia="zh-CN"/>
        </w:rPr>
        <w:tab/>
      </w:r>
      <w:r w:rsidRPr="0066771A">
        <w:rPr>
          <w:i/>
          <w:iCs/>
        </w:rPr>
        <w:t>Le Comité contre la torture</w:t>
      </w:r>
      <w:r w:rsidRPr="0066771A">
        <w:t>, institué en vertu de l’</w:t>
      </w:r>
      <w:r w:rsidR="0003413D" w:rsidRPr="0066771A">
        <w:t>article </w:t>
      </w:r>
      <w:r w:rsidRPr="0066771A">
        <w:t>17 de la Convention contre la torture et autres peines ou traitements cruels, inhumains ou dégradants,</w:t>
      </w:r>
    </w:p>
    <w:p w:rsidR="004F4B23" w:rsidRPr="0066771A" w:rsidRDefault="004F4B23" w:rsidP="001B44F2">
      <w:pPr>
        <w:pStyle w:val="SingleTxtG"/>
        <w:rPr>
          <w:rFonts w:eastAsia="SimSun"/>
          <w:lang w:eastAsia="zh-CN"/>
        </w:rPr>
      </w:pPr>
      <w:r w:rsidRPr="0066771A">
        <w:rPr>
          <w:rFonts w:eastAsia="SimSun"/>
          <w:lang w:eastAsia="zh-CN"/>
        </w:rPr>
        <w:tab/>
      </w:r>
      <w:r w:rsidRPr="0066771A">
        <w:rPr>
          <w:rFonts w:eastAsia="SimSun"/>
          <w:i/>
          <w:iCs/>
          <w:lang w:eastAsia="zh-CN"/>
        </w:rPr>
        <w:t>Réuni le</w:t>
      </w:r>
      <w:r w:rsidRPr="0066771A">
        <w:rPr>
          <w:rFonts w:eastAsia="SimSun"/>
          <w:lang w:eastAsia="zh-CN"/>
        </w:rPr>
        <w:t xml:space="preserve"> </w:t>
      </w:r>
      <w:r w:rsidR="001B44F2" w:rsidRPr="0066771A">
        <w:rPr>
          <w:rFonts w:eastAsia="SimSun"/>
          <w:lang w:eastAsia="zh-CN"/>
        </w:rPr>
        <w:t xml:space="preserve">16 </w:t>
      </w:r>
      <w:r w:rsidR="00FE41BD" w:rsidRPr="0066771A">
        <w:rPr>
          <w:rFonts w:eastAsia="SimSun"/>
          <w:lang w:eastAsia="zh-CN"/>
        </w:rPr>
        <w:t>mai</w:t>
      </w:r>
      <w:r w:rsidRPr="0066771A">
        <w:rPr>
          <w:rFonts w:eastAsia="SimSun"/>
          <w:lang w:eastAsia="zh-CN"/>
        </w:rPr>
        <w:t xml:space="preserve"> 201</w:t>
      </w:r>
      <w:r w:rsidR="00FE41BD" w:rsidRPr="0066771A">
        <w:rPr>
          <w:rFonts w:eastAsia="SimSun"/>
          <w:lang w:eastAsia="zh-CN"/>
        </w:rPr>
        <w:t>4</w:t>
      </w:r>
      <w:r w:rsidRPr="0066771A">
        <w:rPr>
          <w:rFonts w:eastAsia="SimSun"/>
          <w:lang w:eastAsia="zh-CN"/>
        </w:rPr>
        <w:t>,</w:t>
      </w:r>
    </w:p>
    <w:p w:rsidR="004F4B23" w:rsidRPr="0066771A" w:rsidRDefault="004F4B23" w:rsidP="00367E3C">
      <w:pPr>
        <w:pStyle w:val="SingleTxtG"/>
        <w:rPr>
          <w:rFonts w:eastAsia="SimSun"/>
          <w:lang w:eastAsia="zh-CN"/>
        </w:rPr>
      </w:pPr>
      <w:r w:rsidRPr="0066771A">
        <w:rPr>
          <w:rFonts w:eastAsia="SimSun"/>
          <w:lang w:eastAsia="zh-CN"/>
        </w:rPr>
        <w:tab/>
      </w:r>
      <w:r w:rsidRPr="0066771A">
        <w:rPr>
          <w:rFonts w:eastAsia="SimSun"/>
          <w:i/>
          <w:iCs/>
          <w:lang w:eastAsia="zh-CN"/>
        </w:rPr>
        <w:t>Ayant achevé</w:t>
      </w:r>
      <w:r w:rsidRPr="0066771A">
        <w:rPr>
          <w:rFonts w:eastAsia="SimSun"/>
          <w:lang w:eastAsia="zh-CN"/>
        </w:rPr>
        <w:t xml:space="preserve"> l’examen de la requête </w:t>
      </w:r>
      <w:r w:rsidR="006C7E6D" w:rsidRPr="0066771A">
        <w:rPr>
          <w:rFonts w:eastAsia="SimSun"/>
          <w:lang w:eastAsia="zh-CN"/>
        </w:rPr>
        <w:t>n</w:t>
      </w:r>
      <w:r w:rsidR="006C7E6D" w:rsidRPr="0066771A">
        <w:rPr>
          <w:rFonts w:eastAsia="SimSun"/>
          <w:vertAlign w:val="superscript"/>
          <w:lang w:eastAsia="zh-CN"/>
        </w:rPr>
        <w:t>o</w:t>
      </w:r>
      <w:r w:rsidR="006C7E6D" w:rsidRPr="0066771A">
        <w:rPr>
          <w:rFonts w:eastAsia="SimSun"/>
          <w:lang w:eastAsia="zh-CN"/>
        </w:rPr>
        <w:t> </w:t>
      </w:r>
      <w:r w:rsidR="00CE6C24" w:rsidRPr="0066771A">
        <w:rPr>
          <w:rFonts w:eastAsia="SimSun"/>
          <w:lang w:eastAsia="zh-CN"/>
        </w:rPr>
        <w:t>525/2012</w:t>
      </w:r>
      <w:r w:rsidRPr="0066771A">
        <w:rPr>
          <w:rFonts w:eastAsia="SimSun"/>
          <w:lang w:eastAsia="zh-CN"/>
        </w:rPr>
        <w:t xml:space="preserve">, présentée au nom de </w:t>
      </w:r>
      <w:r w:rsidR="00367E3C" w:rsidRPr="0066771A">
        <w:rPr>
          <w:rFonts w:eastAsia="SimSun"/>
          <w:lang w:eastAsia="zh-CN"/>
        </w:rPr>
        <w:t xml:space="preserve">R. A. Y. </w:t>
      </w:r>
      <w:r w:rsidRPr="0066771A">
        <w:rPr>
          <w:rFonts w:eastAsia="SimSun"/>
          <w:lang w:eastAsia="zh-CN"/>
        </w:rPr>
        <w:t>en</w:t>
      </w:r>
      <w:r w:rsidR="00367E3C" w:rsidRPr="0066771A">
        <w:rPr>
          <w:rFonts w:eastAsia="SimSun"/>
          <w:lang w:eastAsia="zh-CN"/>
        </w:rPr>
        <w:t> </w:t>
      </w:r>
      <w:r w:rsidRPr="0066771A">
        <w:rPr>
          <w:rFonts w:eastAsia="SimSun"/>
          <w:lang w:eastAsia="zh-CN"/>
        </w:rPr>
        <w:t>vertu de l’article</w:t>
      </w:r>
      <w:r w:rsidR="006C7E6D" w:rsidRPr="0066771A">
        <w:rPr>
          <w:rFonts w:eastAsia="SimSun"/>
          <w:lang w:eastAsia="zh-CN"/>
        </w:rPr>
        <w:t> </w:t>
      </w:r>
      <w:r w:rsidRPr="0066771A">
        <w:rPr>
          <w:rFonts w:eastAsia="SimSun"/>
          <w:lang w:eastAsia="zh-CN"/>
        </w:rPr>
        <w:t>22 de la Convention contre la torture et autres peines ou traitements cruels, inhumains ou dégradants</w:t>
      </w:r>
      <w:r w:rsidR="00367E3C" w:rsidRPr="0066771A">
        <w:rPr>
          <w:rFonts w:eastAsia="SimSun"/>
          <w:lang w:eastAsia="zh-CN"/>
        </w:rPr>
        <w:t>,</w:t>
      </w:r>
    </w:p>
    <w:p w:rsidR="004F4B23" w:rsidRPr="0066771A" w:rsidRDefault="004F4B23" w:rsidP="00367E3C">
      <w:pPr>
        <w:pStyle w:val="SingleTxtG"/>
        <w:rPr>
          <w:rFonts w:eastAsia="SimSun"/>
          <w:lang w:eastAsia="zh-CN"/>
        </w:rPr>
      </w:pPr>
      <w:r w:rsidRPr="0066771A">
        <w:rPr>
          <w:rFonts w:eastAsia="SimSun"/>
          <w:lang w:eastAsia="zh-CN"/>
        </w:rPr>
        <w:tab/>
      </w:r>
      <w:r w:rsidRPr="0066771A">
        <w:rPr>
          <w:rFonts w:eastAsia="SimSun"/>
          <w:i/>
          <w:iCs/>
          <w:lang w:eastAsia="zh-CN"/>
        </w:rPr>
        <w:t>Ayant tenu compt</w:t>
      </w:r>
      <w:r w:rsidR="006C7E6D" w:rsidRPr="0066771A">
        <w:rPr>
          <w:rFonts w:eastAsia="SimSun"/>
          <w:i/>
          <w:iCs/>
          <w:lang w:eastAsia="zh-CN"/>
        </w:rPr>
        <w:t>e</w:t>
      </w:r>
      <w:r w:rsidRPr="0066771A">
        <w:rPr>
          <w:rFonts w:eastAsia="SimSun"/>
          <w:lang w:eastAsia="zh-CN"/>
        </w:rPr>
        <w:t xml:space="preserve"> de toutes les informations qui lui ont été communiqué</w:t>
      </w:r>
      <w:r w:rsidR="003D2BB5" w:rsidRPr="0066771A">
        <w:rPr>
          <w:rFonts w:eastAsia="SimSun"/>
          <w:lang w:eastAsia="zh-CN"/>
        </w:rPr>
        <w:t>e</w:t>
      </w:r>
      <w:r w:rsidRPr="0066771A">
        <w:rPr>
          <w:rFonts w:eastAsia="SimSun"/>
          <w:lang w:eastAsia="zh-CN"/>
        </w:rPr>
        <w:t>s par le requérant, son conseil et l’</w:t>
      </w:r>
      <w:r w:rsidR="005F1695" w:rsidRPr="0066771A">
        <w:rPr>
          <w:rFonts w:eastAsia="SimSun"/>
          <w:lang w:eastAsia="zh-CN"/>
        </w:rPr>
        <w:t>État</w:t>
      </w:r>
      <w:r w:rsidRPr="0066771A">
        <w:rPr>
          <w:rFonts w:eastAsia="SimSun"/>
          <w:lang w:eastAsia="zh-CN"/>
        </w:rPr>
        <w:t xml:space="preserve"> partie,</w:t>
      </w:r>
    </w:p>
    <w:p w:rsidR="004F4B23" w:rsidRPr="0066771A" w:rsidRDefault="004F4B23" w:rsidP="004403D5">
      <w:pPr>
        <w:pStyle w:val="SingleTxtG"/>
        <w:rPr>
          <w:rFonts w:eastAsia="SimSun"/>
          <w:lang w:eastAsia="zh-CN"/>
        </w:rPr>
      </w:pPr>
      <w:r w:rsidRPr="0066771A">
        <w:rPr>
          <w:rFonts w:eastAsia="SimSun"/>
          <w:lang w:eastAsia="zh-CN"/>
        </w:rPr>
        <w:tab/>
      </w:r>
      <w:r w:rsidRPr="0066771A">
        <w:rPr>
          <w:rFonts w:eastAsia="SimSun"/>
          <w:i/>
          <w:iCs/>
          <w:lang w:eastAsia="zh-CN"/>
        </w:rPr>
        <w:t xml:space="preserve">Adopte </w:t>
      </w:r>
      <w:r w:rsidRPr="0066771A">
        <w:rPr>
          <w:rFonts w:eastAsia="SimSun"/>
          <w:iCs/>
          <w:lang w:eastAsia="zh-CN"/>
        </w:rPr>
        <w:t>ce qui suit</w:t>
      </w:r>
      <w:r w:rsidRPr="0066771A">
        <w:rPr>
          <w:rFonts w:eastAsia="SimSun"/>
          <w:lang w:eastAsia="zh-CN"/>
        </w:rPr>
        <w:t>:</w:t>
      </w:r>
    </w:p>
    <w:p w:rsidR="004F4B23" w:rsidRPr="004403D5" w:rsidRDefault="004F4B23" w:rsidP="00360BCC">
      <w:pPr>
        <w:pStyle w:val="H1G"/>
      </w:pPr>
      <w:r w:rsidRPr="0066771A">
        <w:tab/>
      </w:r>
      <w:r w:rsidRPr="0066771A">
        <w:tab/>
        <w:t xml:space="preserve">Décision au titre du </w:t>
      </w:r>
      <w:r w:rsidR="0003413D" w:rsidRPr="0066771A">
        <w:t>paragraphe </w:t>
      </w:r>
      <w:r w:rsidRPr="0066771A">
        <w:t xml:space="preserve">7 de l’article 22 de la Convention contre la </w:t>
      </w:r>
      <w:r w:rsidR="00360BCC" w:rsidRPr="0066771A">
        <w:t>t</w:t>
      </w:r>
      <w:r w:rsidRPr="0066771A">
        <w:t>orture</w:t>
      </w:r>
    </w:p>
    <w:p w:rsidR="008F46F4" w:rsidRDefault="004F4B23" w:rsidP="00781267">
      <w:pPr>
        <w:pStyle w:val="SingleTxtG"/>
      </w:pPr>
      <w:r w:rsidRPr="00360BCC">
        <w:rPr>
          <w:rFonts w:eastAsia="MS Mincho"/>
          <w:lang w:val="fr-FR" w:eastAsia="zh-CN"/>
        </w:rPr>
        <w:t>1.</w:t>
      </w:r>
      <w:r w:rsidR="000F5175" w:rsidRPr="00360BCC">
        <w:rPr>
          <w:rFonts w:eastAsia="MS Mincho"/>
          <w:lang w:val="fr-FR" w:eastAsia="zh-CN"/>
        </w:rPr>
        <w:t>1</w:t>
      </w:r>
      <w:r w:rsidRPr="004F4B23">
        <w:rPr>
          <w:rFonts w:eastAsia="MS Mincho"/>
          <w:lang w:val="fr-FR" w:eastAsia="zh-CN"/>
        </w:rPr>
        <w:tab/>
        <w:t>L</w:t>
      </w:r>
      <w:r w:rsidR="00FE41BD">
        <w:rPr>
          <w:rFonts w:eastAsia="MS Mincho"/>
          <w:lang w:val="fr-FR" w:eastAsia="zh-CN"/>
        </w:rPr>
        <w:t>e</w:t>
      </w:r>
      <w:r w:rsidRPr="004F4B23">
        <w:rPr>
          <w:rFonts w:eastAsia="MS Mincho"/>
          <w:lang w:val="fr-FR" w:eastAsia="zh-CN"/>
        </w:rPr>
        <w:t xml:space="preserve"> requérant est </w:t>
      </w:r>
      <w:r w:rsidR="0070494F">
        <w:rPr>
          <w:rFonts w:eastAsia="SimSun"/>
          <w:lang w:eastAsia="zh-CN"/>
        </w:rPr>
        <w:t>R.</w:t>
      </w:r>
      <w:r w:rsidR="006F3B28">
        <w:rPr>
          <w:rFonts w:eastAsia="SimSun"/>
          <w:lang w:eastAsia="zh-CN"/>
        </w:rPr>
        <w:t> </w:t>
      </w:r>
      <w:r w:rsidR="0070494F">
        <w:rPr>
          <w:rFonts w:eastAsia="SimSun"/>
          <w:lang w:eastAsia="zh-CN"/>
        </w:rPr>
        <w:t>A.</w:t>
      </w:r>
      <w:r w:rsidR="006F3B28">
        <w:rPr>
          <w:rFonts w:eastAsia="SimSun"/>
          <w:lang w:eastAsia="zh-CN"/>
        </w:rPr>
        <w:t> </w:t>
      </w:r>
      <w:r w:rsidR="0070494F">
        <w:rPr>
          <w:rFonts w:eastAsia="SimSun"/>
          <w:lang w:eastAsia="zh-CN"/>
        </w:rPr>
        <w:t>Y.</w:t>
      </w:r>
      <w:r w:rsidR="008F46F4">
        <w:rPr>
          <w:rFonts w:eastAsia="SimSun"/>
          <w:lang w:eastAsia="zh-CN"/>
        </w:rPr>
        <w:t xml:space="preserve">, </w:t>
      </w:r>
      <w:r w:rsidR="009D0F95">
        <w:rPr>
          <w:rFonts w:eastAsia="SimSun"/>
          <w:lang w:eastAsia="zh-CN"/>
        </w:rPr>
        <w:t>né le 1</w:t>
      </w:r>
      <w:r w:rsidR="009D0F95" w:rsidRPr="009D0F95">
        <w:rPr>
          <w:rFonts w:eastAsia="SimSun"/>
          <w:vertAlign w:val="superscript"/>
          <w:lang w:eastAsia="zh-CN"/>
        </w:rPr>
        <w:t>er</w:t>
      </w:r>
      <w:r w:rsidR="00B921EB">
        <w:rPr>
          <w:rFonts w:eastAsia="SimSun"/>
          <w:lang w:eastAsia="zh-CN"/>
        </w:rPr>
        <w:t> </w:t>
      </w:r>
      <w:r w:rsidR="000771C8">
        <w:rPr>
          <w:rFonts w:eastAsia="SimSun"/>
          <w:lang w:eastAsia="zh-CN"/>
        </w:rPr>
        <w:t>février</w:t>
      </w:r>
      <w:r w:rsidR="00B921EB">
        <w:rPr>
          <w:rFonts w:eastAsia="SimSun"/>
          <w:lang w:eastAsia="zh-CN"/>
        </w:rPr>
        <w:t> </w:t>
      </w:r>
      <w:r w:rsidR="009D0F95">
        <w:rPr>
          <w:rFonts w:eastAsia="SimSun"/>
          <w:lang w:eastAsia="zh-CN"/>
        </w:rPr>
        <w:t>19</w:t>
      </w:r>
      <w:r w:rsidR="000771C8">
        <w:rPr>
          <w:rFonts w:eastAsia="SimSun"/>
          <w:lang w:eastAsia="zh-CN"/>
        </w:rPr>
        <w:t>90</w:t>
      </w:r>
      <w:r w:rsidR="00B921EB">
        <w:rPr>
          <w:rFonts w:eastAsia="SimSun"/>
          <w:lang w:eastAsia="zh-CN"/>
        </w:rPr>
        <w:t>,</w:t>
      </w:r>
      <w:r w:rsidR="009D0F95">
        <w:rPr>
          <w:rFonts w:eastAsia="SimSun"/>
          <w:lang w:eastAsia="zh-CN"/>
        </w:rPr>
        <w:t xml:space="preserve"> </w:t>
      </w:r>
      <w:r w:rsidR="00CE6C24">
        <w:rPr>
          <w:rFonts w:eastAsia="SimSun"/>
          <w:lang w:eastAsia="zh-CN"/>
        </w:rPr>
        <w:t>ayant la double</w:t>
      </w:r>
      <w:r w:rsidR="008F46F4">
        <w:rPr>
          <w:rFonts w:eastAsia="SimSun"/>
          <w:lang w:eastAsia="zh-CN"/>
        </w:rPr>
        <w:t xml:space="preserve"> nationalité </w:t>
      </w:r>
      <w:r w:rsidR="00CE6564">
        <w:rPr>
          <w:rFonts w:eastAsia="SimSun"/>
          <w:lang w:eastAsia="zh-CN"/>
        </w:rPr>
        <w:t>f</w:t>
      </w:r>
      <w:r w:rsidR="000771C8">
        <w:rPr>
          <w:rFonts w:eastAsia="SimSun"/>
          <w:lang w:eastAsia="zh-CN"/>
        </w:rPr>
        <w:t>rançaise</w:t>
      </w:r>
      <w:r w:rsidR="00CE6C24">
        <w:rPr>
          <w:rFonts w:eastAsia="SimSun"/>
          <w:lang w:eastAsia="zh-CN"/>
        </w:rPr>
        <w:t xml:space="preserve"> et </w:t>
      </w:r>
      <w:r w:rsidR="00CE6564">
        <w:rPr>
          <w:rFonts w:eastAsia="SimSun"/>
          <w:lang w:eastAsia="zh-CN"/>
        </w:rPr>
        <w:t>a</w:t>
      </w:r>
      <w:r w:rsidR="00CE6C24">
        <w:rPr>
          <w:rFonts w:eastAsia="SimSun"/>
          <w:lang w:eastAsia="zh-CN"/>
        </w:rPr>
        <w:t>lgérienne</w:t>
      </w:r>
      <w:r w:rsidR="00D036A7">
        <w:rPr>
          <w:rFonts w:eastAsia="SimSun"/>
          <w:lang w:eastAsia="zh-CN"/>
        </w:rPr>
        <w:t>,</w:t>
      </w:r>
      <w:r w:rsidR="00A337F5">
        <w:rPr>
          <w:rFonts w:eastAsia="SimSun"/>
          <w:lang w:eastAsia="zh-CN"/>
        </w:rPr>
        <w:t xml:space="preserve"> </w:t>
      </w:r>
      <w:r w:rsidR="00B921EB">
        <w:rPr>
          <w:rFonts w:eastAsia="SimSun"/>
          <w:lang w:eastAsia="zh-CN"/>
        </w:rPr>
        <w:t xml:space="preserve">et </w:t>
      </w:r>
      <w:r w:rsidR="008916B7">
        <w:rPr>
          <w:rFonts w:eastAsia="SimSun"/>
          <w:lang w:eastAsia="zh-CN"/>
        </w:rPr>
        <w:t>résid</w:t>
      </w:r>
      <w:r w:rsidR="00A337F5">
        <w:rPr>
          <w:rFonts w:eastAsia="SimSun"/>
          <w:lang w:eastAsia="zh-CN"/>
        </w:rPr>
        <w:t>ant</w:t>
      </w:r>
      <w:r w:rsidR="008916B7">
        <w:rPr>
          <w:rFonts w:eastAsia="SimSun"/>
          <w:lang w:eastAsia="zh-CN"/>
        </w:rPr>
        <w:t xml:space="preserve"> habituellement en France</w:t>
      </w:r>
      <w:r w:rsidRPr="004F4B23">
        <w:rPr>
          <w:rFonts w:eastAsia="MS Mincho"/>
          <w:lang w:val="fr-FR" w:eastAsia="zh-CN"/>
        </w:rPr>
        <w:t xml:space="preserve">. </w:t>
      </w:r>
      <w:r w:rsidR="009D0F95">
        <w:rPr>
          <w:rFonts w:eastAsia="MS Mincho"/>
          <w:lang w:val="fr-FR" w:eastAsia="zh-CN"/>
        </w:rPr>
        <w:t xml:space="preserve">Il affirme </w:t>
      </w:r>
      <w:r w:rsidR="00A337F5">
        <w:rPr>
          <w:rFonts w:eastAsia="MS Mincho"/>
          <w:lang w:val="fr-FR" w:eastAsia="zh-CN"/>
        </w:rPr>
        <w:t>être victime d’une violation de l’</w:t>
      </w:r>
      <w:r w:rsidR="0003413D">
        <w:rPr>
          <w:rFonts w:eastAsia="MS Mincho"/>
          <w:lang w:val="fr-FR" w:eastAsia="zh-CN"/>
        </w:rPr>
        <w:t>article </w:t>
      </w:r>
      <w:r w:rsidR="00A337F5">
        <w:rPr>
          <w:rFonts w:eastAsia="MS Mincho"/>
          <w:lang w:val="fr-FR" w:eastAsia="zh-CN"/>
        </w:rPr>
        <w:t xml:space="preserve">15 de la Convention de la part des autorités </w:t>
      </w:r>
      <w:r w:rsidR="00931A94">
        <w:rPr>
          <w:rFonts w:eastAsia="MS Mincho"/>
          <w:lang w:val="fr-FR" w:eastAsia="zh-CN"/>
        </w:rPr>
        <w:t>m</w:t>
      </w:r>
      <w:r w:rsidR="00A337F5">
        <w:rPr>
          <w:rFonts w:eastAsia="MS Mincho"/>
          <w:lang w:val="fr-FR" w:eastAsia="zh-CN"/>
        </w:rPr>
        <w:t>arocaines qui ont autorisé son extradition vers l’Algérie</w:t>
      </w:r>
      <w:r w:rsidR="000771C8">
        <w:rPr>
          <w:rFonts w:eastAsia="MS Mincho"/>
          <w:lang w:val="fr-FR" w:eastAsia="zh-CN"/>
        </w:rPr>
        <w:t xml:space="preserve"> </w:t>
      </w:r>
      <w:r w:rsidR="00F43325">
        <w:rPr>
          <w:rFonts w:eastAsia="MS Mincho"/>
          <w:lang w:val="fr-FR" w:eastAsia="zh-CN"/>
        </w:rPr>
        <w:t xml:space="preserve">dans le cadre </w:t>
      </w:r>
      <w:r w:rsidR="00A337F5">
        <w:rPr>
          <w:rFonts w:eastAsia="MS Mincho"/>
          <w:lang w:val="fr-FR" w:eastAsia="zh-CN"/>
        </w:rPr>
        <w:t>d’</w:t>
      </w:r>
      <w:r w:rsidR="005E34BC">
        <w:rPr>
          <w:rFonts w:eastAsia="MS Mincho"/>
          <w:lang w:val="fr-FR" w:eastAsia="zh-CN"/>
        </w:rPr>
        <w:t>une affaire de trafic de stupéfiant</w:t>
      </w:r>
      <w:r w:rsidR="00334322">
        <w:rPr>
          <w:rFonts w:eastAsia="MS Mincho"/>
          <w:lang w:val="fr-FR" w:eastAsia="zh-CN"/>
        </w:rPr>
        <w:t>s</w:t>
      </w:r>
      <w:r w:rsidR="005E34BC">
        <w:rPr>
          <w:rFonts w:eastAsia="MS Mincho"/>
          <w:lang w:val="fr-FR" w:eastAsia="zh-CN"/>
        </w:rPr>
        <w:t xml:space="preserve"> et de blanchiment d’argent</w:t>
      </w:r>
      <w:r w:rsidR="000F5175" w:rsidRPr="0003413D">
        <w:rPr>
          <w:rStyle w:val="FootnoteReference"/>
        </w:rPr>
        <w:footnoteReference w:id="2"/>
      </w:r>
      <w:r w:rsidR="000F5175">
        <w:rPr>
          <w:rFonts w:eastAsia="MS Mincho"/>
          <w:lang w:val="fr-FR" w:eastAsia="zh-CN"/>
        </w:rPr>
        <w:t>.</w:t>
      </w:r>
      <w:r w:rsidR="00ED4B24">
        <w:rPr>
          <w:rFonts w:eastAsia="MS Mincho"/>
          <w:lang w:val="fr-FR" w:eastAsia="zh-CN"/>
        </w:rPr>
        <w:t xml:space="preserve"> </w:t>
      </w:r>
      <w:r w:rsidR="00A12DDC">
        <w:rPr>
          <w:rFonts w:eastAsia="MS Mincho"/>
          <w:lang w:val="fr-FR" w:eastAsia="zh-CN"/>
        </w:rPr>
        <w:t xml:space="preserve">Il </w:t>
      </w:r>
      <w:r w:rsidR="00A337F5">
        <w:rPr>
          <w:rFonts w:eastAsia="MS Mincho"/>
          <w:lang w:val="fr-FR" w:eastAsia="zh-CN"/>
        </w:rPr>
        <w:t>ajoute</w:t>
      </w:r>
      <w:r w:rsidR="00A12DDC">
        <w:rPr>
          <w:rFonts w:eastAsia="MS Mincho"/>
          <w:lang w:val="fr-FR" w:eastAsia="zh-CN"/>
        </w:rPr>
        <w:t xml:space="preserve"> que s</w:t>
      </w:r>
      <w:r w:rsidR="008F39A9">
        <w:rPr>
          <w:rFonts w:eastAsia="MS Mincho"/>
          <w:lang w:val="fr-FR" w:eastAsia="zh-CN"/>
        </w:rPr>
        <w:t>’</w:t>
      </w:r>
      <w:r w:rsidR="00A12DDC">
        <w:rPr>
          <w:rFonts w:eastAsia="MS Mincho"/>
          <w:lang w:val="fr-FR" w:eastAsia="zh-CN"/>
        </w:rPr>
        <w:t xml:space="preserve">il était effectivement extradé vers l’Algérie, il serait également victime </w:t>
      </w:r>
      <w:r w:rsidR="00ED4B24">
        <w:rPr>
          <w:rFonts w:eastAsia="MS Mincho"/>
          <w:lang w:val="fr-FR" w:eastAsia="zh-CN"/>
        </w:rPr>
        <w:t>d’une violation de l’</w:t>
      </w:r>
      <w:r w:rsidR="0003413D">
        <w:rPr>
          <w:rFonts w:eastAsia="MS Mincho"/>
          <w:lang w:val="fr-FR" w:eastAsia="zh-CN"/>
        </w:rPr>
        <w:t>article </w:t>
      </w:r>
      <w:r w:rsidR="00ED4B24">
        <w:rPr>
          <w:rFonts w:eastAsia="MS Mincho"/>
          <w:lang w:val="fr-FR" w:eastAsia="zh-CN"/>
        </w:rPr>
        <w:t xml:space="preserve">3 </w:t>
      </w:r>
      <w:r w:rsidR="000771C8">
        <w:rPr>
          <w:rFonts w:eastAsia="MS Mincho"/>
          <w:lang w:val="fr-FR" w:eastAsia="zh-CN"/>
        </w:rPr>
        <w:t>de la Convention</w:t>
      </w:r>
      <w:r w:rsidRPr="004F4B23">
        <w:rPr>
          <w:rFonts w:eastAsia="MS Mincho"/>
          <w:lang w:val="fr-FR" w:eastAsia="zh-CN"/>
        </w:rPr>
        <w:t>.</w:t>
      </w:r>
      <w:r w:rsidR="000771C8">
        <w:rPr>
          <w:rFonts w:eastAsia="MS Mincho"/>
          <w:lang w:val="fr-FR" w:eastAsia="zh-CN"/>
        </w:rPr>
        <w:t xml:space="preserve"> </w:t>
      </w:r>
      <w:r w:rsidRPr="004F4B23">
        <w:rPr>
          <w:rFonts w:eastAsia="MS Mincho"/>
          <w:lang w:val="fr-FR" w:eastAsia="zh-CN"/>
        </w:rPr>
        <w:t>L</w:t>
      </w:r>
      <w:r w:rsidR="009D0F95">
        <w:rPr>
          <w:rFonts w:eastAsia="MS Mincho"/>
          <w:lang w:val="fr-FR" w:eastAsia="zh-CN"/>
        </w:rPr>
        <w:t>e requérant est représenté</w:t>
      </w:r>
      <w:r w:rsidR="008F46F4">
        <w:rPr>
          <w:rFonts w:eastAsia="MS Mincho"/>
          <w:lang w:val="fr-FR" w:eastAsia="zh-CN"/>
        </w:rPr>
        <w:t xml:space="preserve"> </w:t>
      </w:r>
      <w:r w:rsidR="008F46F4">
        <w:t xml:space="preserve">par </w:t>
      </w:r>
      <w:r w:rsidR="000771C8">
        <w:t xml:space="preserve">deux </w:t>
      </w:r>
      <w:r w:rsidR="009D0F95" w:rsidRPr="00781267">
        <w:t>conseil</w:t>
      </w:r>
      <w:r w:rsidR="000771C8" w:rsidRPr="00781267">
        <w:t>s</w:t>
      </w:r>
      <w:r w:rsidR="009D0F95" w:rsidRPr="00781267">
        <w:t xml:space="preserve">, </w:t>
      </w:r>
      <w:r w:rsidR="000771C8" w:rsidRPr="00781267">
        <w:rPr>
          <w:rFonts w:eastAsia="SimSun"/>
          <w:lang w:eastAsia="zh-CN"/>
        </w:rPr>
        <w:t>M</w:t>
      </w:r>
      <w:r w:rsidR="00781267" w:rsidRPr="00781267">
        <w:rPr>
          <w:rFonts w:eastAsia="SimSun"/>
          <w:vertAlign w:val="superscript"/>
          <w:lang w:eastAsia="zh-CN"/>
        </w:rPr>
        <w:t>es</w:t>
      </w:r>
      <w:r w:rsidR="000F5175" w:rsidRPr="00781267">
        <w:rPr>
          <w:rFonts w:eastAsia="SimSun"/>
          <w:lang w:eastAsia="zh-CN"/>
        </w:rPr>
        <w:t> </w:t>
      </w:r>
      <w:r w:rsidR="000771C8" w:rsidRPr="00781267">
        <w:rPr>
          <w:rFonts w:eastAsia="SimSun"/>
          <w:lang w:eastAsia="zh-CN"/>
        </w:rPr>
        <w:t>Yves Levano et Philippe Ohayon, avocats</w:t>
      </w:r>
      <w:r w:rsidR="008F46F4" w:rsidRPr="00781267">
        <w:t>.</w:t>
      </w:r>
    </w:p>
    <w:p w:rsidR="00C73ED2" w:rsidRDefault="00C73ED2" w:rsidP="00F109A0">
      <w:pPr>
        <w:pStyle w:val="SingleTxtG"/>
      </w:pPr>
      <w:r>
        <w:t>1.2</w:t>
      </w:r>
      <w:r>
        <w:tab/>
        <w:t xml:space="preserve">Le 31 octobre 2012, le Comité, par l’intermédiaire de son </w:t>
      </w:r>
      <w:r w:rsidRPr="00F109A0">
        <w:t xml:space="preserve">Rapporteur </w:t>
      </w:r>
      <w:r w:rsidR="00A522B5" w:rsidRPr="00F109A0">
        <w:t>spécial</w:t>
      </w:r>
      <w:r w:rsidRPr="00F109A0">
        <w:t xml:space="preserve"> </w:t>
      </w:r>
      <w:r w:rsidR="00F109A0" w:rsidRPr="00F109A0">
        <w:t>chargé d</w:t>
      </w:r>
      <w:r w:rsidRPr="00F109A0">
        <w:t xml:space="preserve">es nouvelles communications et </w:t>
      </w:r>
      <w:r w:rsidR="00F109A0" w:rsidRPr="00F109A0">
        <w:t>d</w:t>
      </w:r>
      <w:r w:rsidRPr="00F109A0">
        <w:t>es mesures provisoires, a dem</w:t>
      </w:r>
      <w:r>
        <w:t>andé à l’</w:t>
      </w:r>
      <w:r w:rsidR="005F1695">
        <w:t>État</w:t>
      </w:r>
      <w:r>
        <w:t xml:space="preserve"> partie de ne pas extrader le requérant vers l’Algérie tant que sa requête était en cours devant le Comité. La demande du </w:t>
      </w:r>
      <w:r w:rsidR="008F39A9">
        <w:t xml:space="preserve">Comité </w:t>
      </w:r>
      <w:r>
        <w:t>a été réitérée à l’</w:t>
      </w:r>
      <w:r w:rsidR="005F1695">
        <w:t>État</w:t>
      </w:r>
      <w:r>
        <w:t xml:space="preserve"> partie les</w:t>
      </w:r>
      <w:r w:rsidR="00A522B5">
        <w:t xml:space="preserve"> 15</w:t>
      </w:r>
      <w:r w:rsidR="000F5175">
        <w:t> </w:t>
      </w:r>
      <w:r w:rsidR="00A522B5">
        <w:t>novembre 2012 et le 15</w:t>
      </w:r>
      <w:r w:rsidR="000F5175">
        <w:t> </w:t>
      </w:r>
      <w:r w:rsidR="00A522B5">
        <w:t>mai 2013</w:t>
      </w:r>
      <w:r>
        <w:t xml:space="preserve"> </w:t>
      </w:r>
      <w:r>
        <w:lastRenderedPageBreak/>
        <w:t>à la demande du requérant</w:t>
      </w:r>
      <w:r w:rsidR="008F39A9">
        <w:t xml:space="preserve"> en raison d</w:t>
      </w:r>
      <w:r w:rsidR="00987481">
        <w:t>’allégations selon lesquelles le requérant allait être extradé malgré les mesures de protection accordées.</w:t>
      </w:r>
    </w:p>
    <w:p w:rsidR="004F4B23" w:rsidRPr="004F4B23" w:rsidRDefault="004F4B23" w:rsidP="000F5175">
      <w:pPr>
        <w:pStyle w:val="H23G"/>
        <w:rPr>
          <w:rFonts w:eastAsia="MS Mincho"/>
          <w:lang w:val="fr-FR" w:eastAsia="zh-CN"/>
        </w:rPr>
      </w:pPr>
      <w:r>
        <w:rPr>
          <w:rFonts w:eastAsia="MS Mincho"/>
          <w:lang w:val="fr-FR" w:eastAsia="zh-CN"/>
        </w:rPr>
        <w:tab/>
      </w:r>
      <w:r w:rsidR="000F5175">
        <w:rPr>
          <w:rFonts w:eastAsia="MS Mincho"/>
          <w:lang w:val="fr-FR" w:eastAsia="zh-CN"/>
        </w:rPr>
        <w:tab/>
      </w:r>
      <w:r w:rsidRPr="004F4B23">
        <w:rPr>
          <w:rFonts w:eastAsia="MS Mincho"/>
          <w:lang w:val="fr-FR" w:eastAsia="zh-CN"/>
        </w:rPr>
        <w:t>Rappel des faits présentés par l</w:t>
      </w:r>
      <w:r w:rsidR="009D0F95">
        <w:rPr>
          <w:rFonts w:eastAsia="MS Mincho"/>
          <w:lang w:val="fr-FR" w:eastAsia="zh-CN"/>
        </w:rPr>
        <w:t>e</w:t>
      </w:r>
      <w:r w:rsidRPr="004F4B23">
        <w:rPr>
          <w:rFonts w:eastAsia="MS Mincho"/>
          <w:lang w:val="fr-FR" w:eastAsia="zh-CN"/>
        </w:rPr>
        <w:t xml:space="preserve"> requérant</w:t>
      </w:r>
    </w:p>
    <w:p w:rsidR="003400A9" w:rsidRPr="004403D5" w:rsidRDefault="004F4B23" w:rsidP="00F42B78">
      <w:pPr>
        <w:pStyle w:val="SingleTxtG"/>
        <w:rPr>
          <w:rFonts w:eastAsia="MS Mincho"/>
        </w:rPr>
      </w:pPr>
      <w:r w:rsidRPr="004403D5">
        <w:rPr>
          <w:rFonts w:eastAsia="MS Mincho"/>
        </w:rPr>
        <w:t>2.1</w:t>
      </w:r>
      <w:r w:rsidRPr="004403D5">
        <w:rPr>
          <w:rFonts w:eastAsia="MS Mincho"/>
        </w:rPr>
        <w:tab/>
      </w:r>
      <w:r w:rsidR="003400A9" w:rsidRPr="004403D5">
        <w:rPr>
          <w:rFonts w:eastAsia="MS Mincho"/>
        </w:rPr>
        <w:t>Le 25 janvier 2012, le juge d’instruction de la Cour de Sidi M’Hamed</w:t>
      </w:r>
      <w:r w:rsidR="00A337F5" w:rsidRPr="004403D5">
        <w:rPr>
          <w:rFonts w:eastAsia="MS Mincho"/>
        </w:rPr>
        <w:t xml:space="preserve"> (</w:t>
      </w:r>
      <w:r w:rsidR="003400A9" w:rsidRPr="004403D5">
        <w:rPr>
          <w:rFonts w:eastAsia="MS Mincho"/>
        </w:rPr>
        <w:t>Algérie</w:t>
      </w:r>
      <w:r w:rsidR="00A337F5" w:rsidRPr="004403D5">
        <w:rPr>
          <w:rFonts w:eastAsia="MS Mincho"/>
        </w:rPr>
        <w:t>)</w:t>
      </w:r>
      <w:r w:rsidR="003400A9" w:rsidRPr="004403D5">
        <w:rPr>
          <w:rFonts w:eastAsia="MS Mincho"/>
        </w:rPr>
        <w:t xml:space="preserve"> </w:t>
      </w:r>
      <w:r w:rsidR="008F39A9" w:rsidRPr="004403D5">
        <w:rPr>
          <w:rFonts w:eastAsia="MS Mincho"/>
        </w:rPr>
        <w:t xml:space="preserve">a émis </w:t>
      </w:r>
      <w:r w:rsidR="003400A9" w:rsidRPr="004403D5">
        <w:rPr>
          <w:rFonts w:eastAsia="MS Mincho"/>
        </w:rPr>
        <w:t xml:space="preserve">un mandat d’arrêt international </w:t>
      </w:r>
      <w:r w:rsidR="000F5175" w:rsidRPr="004403D5">
        <w:rPr>
          <w:rFonts w:eastAsia="MS Mincho"/>
        </w:rPr>
        <w:t>n</w:t>
      </w:r>
      <w:r w:rsidR="000F5175" w:rsidRPr="00CE6564">
        <w:rPr>
          <w:rFonts w:eastAsia="MS Mincho"/>
          <w:vertAlign w:val="superscript"/>
        </w:rPr>
        <w:t>o</w:t>
      </w:r>
      <w:r w:rsidR="000F5175" w:rsidRPr="004403D5">
        <w:rPr>
          <w:rFonts w:eastAsia="MS Mincho"/>
        </w:rPr>
        <w:t> </w:t>
      </w:r>
      <w:r w:rsidR="003400A9" w:rsidRPr="004403D5">
        <w:rPr>
          <w:rFonts w:eastAsia="MS Mincho"/>
        </w:rPr>
        <w:t>09/19</w:t>
      </w:r>
      <w:r w:rsidR="00CE6564">
        <w:rPr>
          <w:rFonts w:eastAsia="MS Mincho"/>
        </w:rPr>
        <w:t> </w:t>
      </w:r>
      <w:r w:rsidR="003400A9" w:rsidRPr="004403D5">
        <w:rPr>
          <w:rFonts w:eastAsia="MS Mincho"/>
        </w:rPr>
        <w:t xml:space="preserve">P contre le </w:t>
      </w:r>
      <w:r w:rsidR="00B42351" w:rsidRPr="004403D5">
        <w:rPr>
          <w:rFonts w:eastAsia="MS Mincho"/>
        </w:rPr>
        <w:t>requérant</w:t>
      </w:r>
      <w:r w:rsidR="003400A9" w:rsidRPr="004403D5">
        <w:rPr>
          <w:rFonts w:eastAsia="MS Mincho"/>
        </w:rPr>
        <w:t xml:space="preserve"> pour des faits de tentative d’exportation de produits stupéfiants</w:t>
      </w:r>
      <w:r w:rsidR="00846A67" w:rsidRPr="004403D5">
        <w:rPr>
          <w:rFonts w:eastAsia="MS Mincho"/>
        </w:rPr>
        <w:t>,</w:t>
      </w:r>
      <w:r w:rsidR="003400A9" w:rsidRPr="004403D5">
        <w:rPr>
          <w:rFonts w:eastAsia="MS Mincho"/>
        </w:rPr>
        <w:t xml:space="preserve"> </w:t>
      </w:r>
      <w:r w:rsidR="00846A67" w:rsidRPr="004403D5">
        <w:rPr>
          <w:rFonts w:eastAsia="MS Mincho"/>
        </w:rPr>
        <w:t>de</w:t>
      </w:r>
      <w:r w:rsidR="003400A9" w:rsidRPr="004403D5">
        <w:rPr>
          <w:rFonts w:eastAsia="MS Mincho"/>
        </w:rPr>
        <w:t xml:space="preserve"> cession de marchandises prohibées en bande organisée et </w:t>
      </w:r>
      <w:r w:rsidR="00846A67" w:rsidRPr="004403D5">
        <w:rPr>
          <w:rFonts w:eastAsia="MS Mincho"/>
        </w:rPr>
        <w:t xml:space="preserve">de </w:t>
      </w:r>
      <w:r w:rsidR="003400A9" w:rsidRPr="004403D5">
        <w:rPr>
          <w:rFonts w:eastAsia="MS Mincho"/>
        </w:rPr>
        <w:t xml:space="preserve">blanchiment d’argent. </w:t>
      </w:r>
      <w:r w:rsidR="00846A67" w:rsidRPr="004403D5">
        <w:rPr>
          <w:rFonts w:eastAsia="MS Mincho"/>
        </w:rPr>
        <w:t xml:space="preserve">En même temps, le </w:t>
      </w:r>
      <w:r w:rsidR="00B42351" w:rsidRPr="004403D5">
        <w:rPr>
          <w:rFonts w:eastAsia="MS Mincho"/>
        </w:rPr>
        <w:t xml:space="preserve">requérant </w:t>
      </w:r>
      <w:r w:rsidR="003400A9" w:rsidRPr="004403D5">
        <w:rPr>
          <w:rFonts w:eastAsia="MS Mincho"/>
        </w:rPr>
        <w:t xml:space="preserve">était convoqué par le juge d’instruction à Nantes </w:t>
      </w:r>
      <w:r w:rsidR="00A337F5" w:rsidRPr="004403D5">
        <w:rPr>
          <w:rFonts w:eastAsia="MS Mincho"/>
        </w:rPr>
        <w:t>(France)</w:t>
      </w:r>
      <w:r w:rsidR="003400A9" w:rsidRPr="004403D5">
        <w:rPr>
          <w:rFonts w:eastAsia="MS Mincho"/>
        </w:rPr>
        <w:t xml:space="preserve">, dans le cadre de l’exécution d’une commission rogatoire internationale émise par le même juge algérien. </w:t>
      </w:r>
      <w:r w:rsidR="003A56EE" w:rsidRPr="004403D5">
        <w:rPr>
          <w:rFonts w:eastAsia="MS Mincho"/>
        </w:rPr>
        <w:t xml:space="preserve">En effet, </w:t>
      </w:r>
      <w:r w:rsidR="003400A9" w:rsidRPr="004403D5">
        <w:rPr>
          <w:rFonts w:eastAsia="MS Mincho"/>
        </w:rPr>
        <w:t xml:space="preserve">dans le cadre de l’information judiciaire </w:t>
      </w:r>
      <w:r w:rsidR="003A56EE" w:rsidRPr="004403D5">
        <w:rPr>
          <w:rFonts w:eastAsia="MS Mincho"/>
        </w:rPr>
        <w:t>ouverte</w:t>
      </w:r>
      <w:r w:rsidR="003400A9" w:rsidRPr="004403D5">
        <w:rPr>
          <w:rFonts w:eastAsia="MS Mincho"/>
        </w:rPr>
        <w:t xml:space="preserve"> </w:t>
      </w:r>
      <w:r w:rsidR="003A56EE" w:rsidRPr="004403D5">
        <w:rPr>
          <w:rFonts w:eastAsia="MS Mincho"/>
        </w:rPr>
        <w:t xml:space="preserve">suite à </w:t>
      </w:r>
      <w:r w:rsidR="003400A9" w:rsidRPr="004403D5">
        <w:rPr>
          <w:rFonts w:eastAsia="MS Mincho"/>
        </w:rPr>
        <w:t>la découverte</w:t>
      </w:r>
      <w:r w:rsidR="00F42B78">
        <w:rPr>
          <w:rFonts w:eastAsia="MS Mincho"/>
        </w:rPr>
        <w:t>,</w:t>
      </w:r>
      <w:r w:rsidR="003400A9" w:rsidRPr="004403D5">
        <w:rPr>
          <w:rFonts w:eastAsia="MS Mincho"/>
        </w:rPr>
        <w:t xml:space="preserve"> le 4</w:t>
      </w:r>
      <w:r w:rsidR="000F5175" w:rsidRPr="004403D5">
        <w:rPr>
          <w:rFonts w:eastAsia="MS Mincho"/>
        </w:rPr>
        <w:t> </w:t>
      </w:r>
      <w:r w:rsidR="003400A9" w:rsidRPr="004403D5">
        <w:rPr>
          <w:rFonts w:eastAsia="MS Mincho"/>
        </w:rPr>
        <w:t>avril 2009</w:t>
      </w:r>
      <w:r w:rsidR="00F42B78">
        <w:rPr>
          <w:rFonts w:eastAsia="MS Mincho"/>
        </w:rPr>
        <w:t>,</w:t>
      </w:r>
      <w:r w:rsidR="003400A9" w:rsidRPr="004403D5">
        <w:rPr>
          <w:rFonts w:eastAsia="MS Mincho"/>
        </w:rPr>
        <w:t xml:space="preserve"> de </w:t>
      </w:r>
      <w:r w:rsidR="003A56EE" w:rsidRPr="004403D5">
        <w:rPr>
          <w:rFonts w:eastAsia="MS Mincho"/>
        </w:rPr>
        <w:t>5</w:t>
      </w:r>
      <w:r w:rsidR="000F5175" w:rsidRPr="004403D5">
        <w:rPr>
          <w:rFonts w:eastAsia="MS Mincho"/>
        </w:rPr>
        <w:t> </w:t>
      </w:r>
      <w:r w:rsidR="003A56EE" w:rsidRPr="004403D5">
        <w:rPr>
          <w:rFonts w:eastAsia="MS Mincho"/>
        </w:rPr>
        <w:t xml:space="preserve">492,6 </w:t>
      </w:r>
      <w:r w:rsidR="008F39A9" w:rsidRPr="004403D5">
        <w:rPr>
          <w:rFonts w:eastAsia="MS Mincho"/>
        </w:rPr>
        <w:t xml:space="preserve">kilos </w:t>
      </w:r>
      <w:r w:rsidR="003A56EE" w:rsidRPr="004403D5">
        <w:rPr>
          <w:rFonts w:eastAsia="MS Mincho"/>
        </w:rPr>
        <w:t xml:space="preserve">de stupéfiants dans </w:t>
      </w:r>
      <w:r w:rsidR="003400A9" w:rsidRPr="004403D5">
        <w:rPr>
          <w:rFonts w:eastAsia="MS Mincho"/>
        </w:rPr>
        <w:t>trois containers réfrigérés à destination du port d’Anvers (Belgique),</w:t>
      </w:r>
      <w:r w:rsidR="003A56EE" w:rsidRPr="004403D5">
        <w:rPr>
          <w:rFonts w:eastAsia="MS Mincho"/>
        </w:rPr>
        <w:t xml:space="preserve"> une personne interpellée</w:t>
      </w:r>
      <w:r w:rsidR="00846A67" w:rsidRPr="004403D5">
        <w:rPr>
          <w:rFonts w:eastAsia="MS Mincho"/>
        </w:rPr>
        <w:t xml:space="preserve"> par les autorités algériennes</w:t>
      </w:r>
      <w:r w:rsidR="003A56EE" w:rsidRPr="004403D5">
        <w:rPr>
          <w:rFonts w:eastAsia="MS Mincho"/>
        </w:rPr>
        <w:t>,</w:t>
      </w:r>
      <w:r w:rsidR="003400A9" w:rsidRPr="004403D5">
        <w:rPr>
          <w:rFonts w:eastAsia="MS Mincho"/>
        </w:rPr>
        <w:t xml:space="preserve"> </w:t>
      </w:r>
      <w:r w:rsidR="003A56EE" w:rsidRPr="004403D5">
        <w:rPr>
          <w:rFonts w:eastAsia="MS Mincho"/>
        </w:rPr>
        <w:t>A.</w:t>
      </w:r>
      <w:r w:rsidR="000F5175" w:rsidRPr="004403D5">
        <w:rPr>
          <w:rFonts w:eastAsia="MS Mincho"/>
        </w:rPr>
        <w:t> </w:t>
      </w:r>
      <w:r w:rsidR="003A56EE" w:rsidRPr="004403D5">
        <w:rPr>
          <w:rFonts w:eastAsia="MS Mincho"/>
        </w:rPr>
        <w:t xml:space="preserve">B., </w:t>
      </w:r>
      <w:r w:rsidR="004719A4" w:rsidRPr="004403D5">
        <w:rPr>
          <w:rFonts w:eastAsia="MS Mincho"/>
        </w:rPr>
        <w:t>a impliqué</w:t>
      </w:r>
      <w:r w:rsidR="003400A9" w:rsidRPr="004403D5">
        <w:rPr>
          <w:rFonts w:eastAsia="MS Mincho"/>
        </w:rPr>
        <w:t xml:space="preserve"> </w:t>
      </w:r>
      <w:r w:rsidR="004719A4" w:rsidRPr="004403D5">
        <w:rPr>
          <w:rFonts w:eastAsia="MS Mincho"/>
        </w:rPr>
        <w:t>le</w:t>
      </w:r>
      <w:r w:rsidR="003400A9" w:rsidRPr="004403D5">
        <w:rPr>
          <w:rFonts w:eastAsia="MS Mincho"/>
        </w:rPr>
        <w:t xml:space="preserve"> </w:t>
      </w:r>
      <w:r w:rsidR="00B42351" w:rsidRPr="004403D5">
        <w:rPr>
          <w:rFonts w:eastAsia="MS Mincho"/>
        </w:rPr>
        <w:t>requérant</w:t>
      </w:r>
      <w:r w:rsidR="004719A4" w:rsidRPr="004403D5">
        <w:rPr>
          <w:rFonts w:eastAsia="MS Mincho"/>
        </w:rPr>
        <w:t xml:space="preserve"> </w:t>
      </w:r>
      <w:r w:rsidR="006115CA" w:rsidRPr="004403D5">
        <w:rPr>
          <w:rFonts w:eastAsia="MS Mincho"/>
        </w:rPr>
        <w:t xml:space="preserve">et son frère </w:t>
      </w:r>
      <w:r w:rsidR="004719A4" w:rsidRPr="004403D5">
        <w:rPr>
          <w:rFonts w:eastAsia="MS Mincho"/>
        </w:rPr>
        <w:t xml:space="preserve">dans le trafic </w:t>
      </w:r>
      <w:r w:rsidR="008F39A9" w:rsidRPr="004403D5">
        <w:rPr>
          <w:rFonts w:eastAsia="MS Mincho"/>
        </w:rPr>
        <w:t>pour lequel il était mis en cause</w:t>
      </w:r>
      <w:r w:rsidR="00386ED7" w:rsidRPr="004403D5">
        <w:rPr>
          <w:rFonts w:eastAsia="MS Mincho"/>
        </w:rPr>
        <w:t>.</w:t>
      </w:r>
    </w:p>
    <w:p w:rsidR="003400A9" w:rsidRPr="003400A9" w:rsidRDefault="003400A9" w:rsidP="00C75D98">
      <w:pPr>
        <w:pStyle w:val="SingleTxtG"/>
        <w:rPr>
          <w:rFonts w:eastAsia="MS Mincho"/>
        </w:rPr>
      </w:pPr>
      <w:r w:rsidRPr="003400A9">
        <w:rPr>
          <w:rFonts w:eastAsia="MS Mincho"/>
        </w:rPr>
        <w:t>2.2</w:t>
      </w:r>
      <w:r w:rsidRPr="003400A9">
        <w:rPr>
          <w:rFonts w:eastAsia="MS Mincho"/>
        </w:rPr>
        <w:tab/>
        <w:t xml:space="preserve">Le 10 février 2012, le </w:t>
      </w:r>
      <w:r w:rsidR="00B42351" w:rsidRPr="004F4B23">
        <w:rPr>
          <w:rFonts w:eastAsia="MS Mincho"/>
          <w:lang w:val="fr-FR" w:eastAsia="zh-CN"/>
        </w:rPr>
        <w:t xml:space="preserve">requérant </w:t>
      </w:r>
      <w:r w:rsidRPr="003400A9">
        <w:rPr>
          <w:rFonts w:eastAsia="MS Mincho"/>
        </w:rPr>
        <w:t>s</w:t>
      </w:r>
      <w:r w:rsidR="00F42B78">
        <w:rPr>
          <w:rFonts w:eastAsia="MS Mincho"/>
        </w:rPr>
        <w:t>’</w:t>
      </w:r>
      <w:r w:rsidRPr="003400A9">
        <w:rPr>
          <w:rFonts w:eastAsia="MS Mincho"/>
        </w:rPr>
        <w:t>e</w:t>
      </w:r>
      <w:r w:rsidR="00F42B78">
        <w:rPr>
          <w:rFonts w:eastAsia="MS Mincho"/>
        </w:rPr>
        <w:t>st</w:t>
      </w:r>
      <w:r w:rsidRPr="003400A9">
        <w:rPr>
          <w:rFonts w:eastAsia="MS Mincho"/>
        </w:rPr>
        <w:t xml:space="preserve"> présent</w:t>
      </w:r>
      <w:r w:rsidR="00F42B78">
        <w:rPr>
          <w:rFonts w:eastAsia="MS Mincho"/>
        </w:rPr>
        <w:t xml:space="preserve">é </w:t>
      </w:r>
      <w:r w:rsidRPr="003400A9">
        <w:rPr>
          <w:rFonts w:eastAsia="MS Mincho"/>
        </w:rPr>
        <w:t xml:space="preserve">devant le juge d’instruction français qui, en sa qualité de délégataire du juge d’instruction algérien, lui </w:t>
      </w:r>
      <w:r w:rsidR="003A56EE">
        <w:rPr>
          <w:rFonts w:eastAsia="MS Mincho"/>
        </w:rPr>
        <w:t xml:space="preserve">a d’abord </w:t>
      </w:r>
      <w:r w:rsidRPr="003400A9">
        <w:rPr>
          <w:rFonts w:eastAsia="MS Mincho"/>
        </w:rPr>
        <w:t>notifi</w:t>
      </w:r>
      <w:r w:rsidR="003A56EE">
        <w:rPr>
          <w:rFonts w:eastAsia="MS Mincho"/>
        </w:rPr>
        <w:t>é</w:t>
      </w:r>
      <w:r w:rsidRPr="003400A9">
        <w:rPr>
          <w:rFonts w:eastAsia="MS Mincho"/>
        </w:rPr>
        <w:t xml:space="preserve"> les motifs de sa mise en examen dans la procédure algérienne, </w:t>
      </w:r>
      <w:r w:rsidR="003A56EE">
        <w:rPr>
          <w:rFonts w:eastAsia="MS Mincho"/>
        </w:rPr>
        <w:t xml:space="preserve">a ensuite </w:t>
      </w:r>
      <w:r w:rsidRPr="003400A9">
        <w:rPr>
          <w:rFonts w:eastAsia="MS Mincho"/>
        </w:rPr>
        <w:t>recueill</w:t>
      </w:r>
      <w:r w:rsidR="003A56EE">
        <w:rPr>
          <w:rFonts w:eastAsia="MS Mincho"/>
        </w:rPr>
        <w:t>i</w:t>
      </w:r>
      <w:r w:rsidRPr="003400A9">
        <w:rPr>
          <w:rFonts w:eastAsia="MS Mincho"/>
        </w:rPr>
        <w:t xml:space="preserve"> ses déclarations et, enfin, lui </w:t>
      </w:r>
      <w:r w:rsidR="003A56EE">
        <w:rPr>
          <w:rFonts w:eastAsia="MS Mincho"/>
        </w:rPr>
        <w:t xml:space="preserve">a </w:t>
      </w:r>
      <w:r w:rsidRPr="003400A9">
        <w:rPr>
          <w:rFonts w:eastAsia="MS Mincho"/>
        </w:rPr>
        <w:t>notifi</w:t>
      </w:r>
      <w:r w:rsidR="003A56EE">
        <w:rPr>
          <w:rFonts w:eastAsia="MS Mincho"/>
        </w:rPr>
        <w:t>é</w:t>
      </w:r>
      <w:r w:rsidRPr="003400A9">
        <w:rPr>
          <w:rFonts w:eastAsia="MS Mincho"/>
        </w:rPr>
        <w:t xml:space="preserve"> qu’il disposait d’un délai de deux mois pour présenter d’autres observations et </w:t>
      </w:r>
      <w:r w:rsidR="00C75D98">
        <w:rPr>
          <w:rFonts w:eastAsia="MS Mincho"/>
        </w:rPr>
        <w:t xml:space="preserve">faire savoir </w:t>
      </w:r>
      <w:r w:rsidRPr="003400A9">
        <w:rPr>
          <w:rFonts w:eastAsia="MS Mincho"/>
        </w:rPr>
        <w:t xml:space="preserve">s’il acceptait ou non de se rendre en Algérie pour y être interrogé par le magistrat instructeur algérien. </w:t>
      </w:r>
      <w:r w:rsidRPr="001B2563">
        <w:rPr>
          <w:rFonts w:eastAsia="MS Mincho"/>
        </w:rPr>
        <w:t xml:space="preserve">Il a également été </w:t>
      </w:r>
      <w:r w:rsidR="00C75D98">
        <w:rPr>
          <w:rFonts w:eastAsia="MS Mincho"/>
        </w:rPr>
        <w:t xml:space="preserve">informé </w:t>
      </w:r>
      <w:r w:rsidRPr="003400A9">
        <w:rPr>
          <w:rFonts w:eastAsia="MS Mincho"/>
        </w:rPr>
        <w:t xml:space="preserve">qu’en l’absence de réponse de sa part dans le délai </w:t>
      </w:r>
      <w:r w:rsidR="008F39A9" w:rsidRPr="003400A9">
        <w:rPr>
          <w:rFonts w:eastAsia="MS Mincho"/>
        </w:rPr>
        <w:t xml:space="preserve">de deux mois </w:t>
      </w:r>
      <w:r w:rsidRPr="003400A9">
        <w:rPr>
          <w:rFonts w:eastAsia="MS Mincho"/>
        </w:rPr>
        <w:t>consenti par l’autorité judiciaire algérienne, il sera</w:t>
      </w:r>
      <w:r w:rsidR="003A56EE">
        <w:rPr>
          <w:rFonts w:eastAsia="MS Mincho"/>
        </w:rPr>
        <w:t>it</w:t>
      </w:r>
      <w:r w:rsidRPr="003400A9">
        <w:rPr>
          <w:rFonts w:eastAsia="MS Mincho"/>
        </w:rPr>
        <w:t xml:space="preserve"> considéré comme un individu en fuite</w:t>
      </w:r>
      <w:r w:rsidR="002E3908" w:rsidRPr="0003413D">
        <w:rPr>
          <w:rStyle w:val="FootnoteReference"/>
          <w:rFonts w:eastAsia="MS Mincho"/>
        </w:rPr>
        <w:footnoteReference w:id="3"/>
      </w:r>
      <w:r w:rsidR="000F5175">
        <w:rPr>
          <w:rFonts w:eastAsia="MS Mincho"/>
        </w:rPr>
        <w:t>.</w:t>
      </w:r>
    </w:p>
    <w:p w:rsidR="003400A9" w:rsidRPr="003400A9" w:rsidRDefault="003400A9" w:rsidP="00C75D98">
      <w:pPr>
        <w:pStyle w:val="SingleTxtG"/>
        <w:rPr>
          <w:rFonts w:eastAsia="MS Mincho"/>
        </w:rPr>
      </w:pPr>
      <w:r w:rsidRPr="003400A9">
        <w:rPr>
          <w:rFonts w:eastAsia="MS Mincho"/>
        </w:rPr>
        <w:t>2</w:t>
      </w:r>
      <w:r w:rsidR="00B46D87">
        <w:rPr>
          <w:rFonts w:eastAsia="MS Mincho"/>
        </w:rPr>
        <w:t>.3</w:t>
      </w:r>
      <w:r w:rsidR="00B46D87">
        <w:rPr>
          <w:rFonts w:eastAsia="MS Mincho"/>
        </w:rPr>
        <w:tab/>
        <w:t>Le 26 février 2012, le requérant</w:t>
      </w:r>
      <w:r w:rsidRPr="003400A9">
        <w:rPr>
          <w:rFonts w:eastAsia="MS Mincho"/>
        </w:rPr>
        <w:t xml:space="preserve"> </w:t>
      </w:r>
      <w:r w:rsidR="00C75D98">
        <w:rPr>
          <w:rFonts w:eastAsia="MS Mincho"/>
        </w:rPr>
        <w:t xml:space="preserve">a été </w:t>
      </w:r>
      <w:r w:rsidRPr="003400A9">
        <w:rPr>
          <w:rFonts w:eastAsia="MS Mincho"/>
        </w:rPr>
        <w:t xml:space="preserve">interpellé au Maroc en exécution </w:t>
      </w:r>
      <w:r w:rsidR="00B46D87">
        <w:rPr>
          <w:rFonts w:eastAsia="MS Mincho"/>
        </w:rPr>
        <w:t>du mandat international</w:t>
      </w:r>
      <w:r w:rsidRPr="003400A9">
        <w:rPr>
          <w:rFonts w:eastAsia="MS Mincho"/>
        </w:rPr>
        <w:t xml:space="preserve"> de recherche </w:t>
      </w:r>
      <w:r w:rsidR="00B46D87">
        <w:rPr>
          <w:rFonts w:eastAsia="MS Mincho"/>
        </w:rPr>
        <w:t>d’</w:t>
      </w:r>
      <w:r w:rsidRPr="003400A9">
        <w:rPr>
          <w:rFonts w:eastAsia="MS Mincho"/>
        </w:rPr>
        <w:t>Interpol</w:t>
      </w:r>
      <w:r w:rsidR="008E042F" w:rsidRPr="0003413D">
        <w:rPr>
          <w:rStyle w:val="FootnoteReference"/>
          <w:rFonts w:eastAsia="MS Mincho"/>
        </w:rPr>
        <w:footnoteReference w:id="4"/>
      </w:r>
      <w:r w:rsidR="000F5175">
        <w:rPr>
          <w:rFonts w:eastAsia="MS Mincho"/>
        </w:rPr>
        <w:t>.</w:t>
      </w:r>
      <w:r w:rsidRPr="003400A9">
        <w:rPr>
          <w:rFonts w:eastAsia="MS Mincho"/>
        </w:rPr>
        <w:t xml:space="preserve"> Une demande d’extradition </w:t>
      </w:r>
      <w:r w:rsidR="00C75D98">
        <w:rPr>
          <w:rFonts w:eastAsia="MS Mincho"/>
        </w:rPr>
        <w:t xml:space="preserve">a </w:t>
      </w:r>
      <w:r w:rsidRPr="003400A9">
        <w:rPr>
          <w:rFonts w:eastAsia="MS Mincho"/>
        </w:rPr>
        <w:t xml:space="preserve">alors </w:t>
      </w:r>
      <w:r w:rsidR="00C75D98">
        <w:rPr>
          <w:rFonts w:eastAsia="MS Mincho"/>
        </w:rPr>
        <w:t xml:space="preserve">été </w:t>
      </w:r>
      <w:r w:rsidRPr="003400A9">
        <w:rPr>
          <w:rFonts w:eastAsia="MS Mincho"/>
        </w:rPr>
        <w:t xml:space="preserve">transmise par les autorités algériennes au </w:t>
      </w:r>
      <w:r w:rsidR="002E7767">
        <w:rPr>
          <w:rFonts w:eastAsia="MS Mincho"/>
        </w:rPr>
        <w:t>Gouvernement</w:t>
      </w:r>
      <w:r w:rsidRPr="003400A9">
        <w:rPr>
          <w:rFonts w:eastAsia="MS Mincho"/>
        </w:rPr>
        <w:t xml:space="preserve"> </w:t>
      </w:r>
      <w:r w:rsidR="00C75D98">
        <w:rPr>
          <w:rFonts w:eastAsia="MS Mincho"/>
        </w:rPr>
        <w:t>marocain</w:t>
      </w:r>
      <w:r w:rsidRPr="003400A9">
        <w:rPr>
          <w:rFonts w:eastAsia="MS Mincho"/>
        </w:rPr>
        <w:t xml:space="preserve">. Le </w:t>
      </w:r>
      <w:r w:rsidR="00B42351" w:rsidRPr="004F4B23">
        <w:rPr>
          <w:rFonts w:eastAsia="MS Mincho"/>
          <w:lang w:val="fr-FR" w:eastAsia="zh-CN"/>
        </w:rPr>
        <w:t xml:space="preserve">requérant </w:t>
      </w:r>
      <w:r w:rsidR="000A5662">
        <w:rPr>
          <w:rFonts w:eastAsia="MS Mincho"/>
        </w:rPr>
        <w:t>a alors soulevé</w:t>
      </w:r>
      <w:r w:rsidR="000A5662" w:rsidRPr="003400A9">
        <w:rPr>
          <w:rFonts w:eastAsia="MS Mincho"/>
        </w:rPr>
        <w:t xml:space="preserve"> </w:t>
      </w:r>
      <w:r w:rsidRPr="003400A9">
        <w:rPr>
          <w:rFonts w:eastAsia="MS Mincho"/>
        </w:rPr>
        <w:t>devant la juridiction marocaine que son extradition vers l</w:t>
      </w:r>
      <w:r w:rsidR="00D036A7">
        <w:rPr>
          <w:rFonts w:eastAsia="MS Mincho"/>
        </w:rPr>
        <w:t xml:space="preserve">’Algérie </w:t>
      </w:r>
      <w:r w:rsidRPr="003400A9">
        <w:rPr>
          <w:rFonts w:eastAsia="MS Mincho"/>
        </w:rPr>
        <w:t>l’exposerait à un risque de</w:t>
      </w:r>
      <w:r w:rsidR="002C71CE">
        <w:rPr>
          <w:rFonts w:eastAsia="MS Mincho"/>
        </w:rPr>
        <w:t xml:space="preserve"> torture et d’atteinte à sa vie</w:t>
      </w:r>
      <w:r w:rsidR="008E042F">
        <w:rPr>
          <w:rFonts w:eastAsia="MS Mincho"/>
        </w:rPr>
        <w:t xml:space="preserve"> </w:t>
      </w:r>
      <w:r w:rsidR="000A5662">
        <w:rPr>
          <w:rFonts w:eastAsia="MS Mincho"/>
        </w:rPr>
        <w:t>en violation</w:t>
      </w:r>
      <w:r w:rsidR="008E042F">
        <w:rPr>
          <w:rFonts w:eastAsia="MS Mincho"/>
        </w:rPr>
        <w:t xml:space="preserve"> de l’</w:t>
      </w:r>
      <w:r w:rsidR="0003413D">
        <w:rPr>
          <w:rFonts w:eastAsia="MS Mincho"/>
        </w:rPr>
        <w:t>article </w:t>
      </w:r>
      <w:r w:rsidR="008E042F">
        <w:rPr>
          <w:rFonts w:eastAsia="MS Mincho"/>
        </w:rPr>
        <w:t>3 de la Convention contre la torture</w:t>
      </w:r>
      <w:r w:rsidR="002E3908" w:rsidRPr="0003413D">
        <w:rPr>
          <w:rStyle w:val="FootnoteReference"/>
          <w:rFonts w:eastAsia="MS Mincho"/>
        </w:rPr>
        <w:footnoteReference w:id="5"/>
      </w:r>
      <w:r w:rsidR="000F5175">
        <w:rPr>
          <w:rFonts w:eastAsia="MS Mincho"/>
        </w:rPr>
        <w:t>.</w:t>
      </w:r>
    </w:p>
    <w:p w:rsidR="007E3D63" w:rsidRDefault="003400A9" w:rsidP="00EF51C3">
      <w:pPr>
        <w:pStyle w:val="SingleTxtG"/>
        <w:rPr>
          <w:rFonts w:eastAsia="MS Mincho"/>
        </w:rPr>
      </w:pPr>
      <w:r w:rsidRPr="003400A9">
        <w:rPr>
          <w:rFonts w:eastAsia="MS Mincho"/>
        </w:rPr>
        <w:t>2.4</w:t>
      </w:r>
      <w:r w:rsidRPr="003400A9">
        <w:rPr>
          <w:rFonts w:eastAsia="MS Mincho"/>
        </w:rPr>
        <w:tab/>
        <w:t>Par un arrêt dat</w:t>
      </w:r>
      <w:r w:rsidR="004719A4">
        <w:rPr>
          <w:rFonts w:eastAsia="MS Mincho"/>
        </w:rPr>
        <w:t>é</w:t>
      </w:r>
      <w:r w:rsidRPr="003400A9">
        <w:rPr>
          <w:rFonts w:eastAsia="MS Mincho"/>
        </w:rPr>
        <w:t xml:space="preserve"> du 25 avril 2012, la Cour de cassation </w:t>
      </w:r>
      <w:r w:rsidR="000A5662">
        <w:rPr>
          <w:rFonts w:eastAsia="MS Mincho"/>
        </w:rPr>
        <w:t>a donné</w:t>
      </w:r>
      <w:r w:rsidR="000A5662" w:rsidRPr="003400A9">
        <w:rPr>
          <w:rFonts w:eastAsia="MS Mincho"/>
        </w:rPr>
        <w:t xml:space="preserve"> </w:t>
      </w:r>
      <w:r w:rsidR="004719A4">
        <w:rPr>
          <w:rFonts w:eastAsia="MS Mincho"/>
        </w:rPr>
        <w:t xml:space="preserve">un avis favorable à </w:t>
      </w:r>
      <w:r w:rsidRPr="003400A9">
        <w:rPr>
          <w:rFonts w:eastAsia="MS Mincho"/>
        </w:rPr>
        <w:t xml:space="preserve">la remise du </w:t>
      </w:r>
      <w:r w:rsidR="004719A4">
        <w:rPr>
          <w:rFonts w:eastAsia="MS Mincho"/>
        </w:rPr>
        <w:t>requérant</w:t>
      </w:r>
      <w:r w:rsidRPr="003400A9">
        <w:rPr>
          <w:rFonts w:eastAsia="MS Mincho"/>
        </w:rPr>
        <w:t xml:space="preserve"> aux autorités judiciaires algériennes. </w:t>
      </w:r>
      <w:r w:rsidR="007505EC">
        <w:rPr>
          <w:rFonts w:eastAsia="MS Mincho"/>
        </w:rPr>
        <w:t xml:space="preserve">Le </w:t>
      </w:r>
      <w:r w:rsidR="008200A0">
        <w:rPr>
          <w:rFonts w:eastAsia="MS Mincho"/>
        </w:rPr>
        <w:t>23</w:t>
      </w:r>
      <w:r w:rsidR="00523851">
        <w:rPr>
          <w:rFonts w:eastAsia="MS Mincho"/>
        </w:rPr>
        <w:t> </w:t>
      </w:r>
      <w:r w:rsidR="008200A0">
        <w:rPr>
          <w:rFonts w:eastAsia="MS Mincho"/>
        </w:rPr>
        <w:t xml:space="preserve">juillet 2012, le </w:t>
      </w:r>
      <w:r w:rsidR="007505EC" w:rsidRPr="004F4B23">
        <w:rPr>
          <w:rFonts w:eastAsia="MS Mincho"/>
          <w:lang w:val="fr-FR" w:eastAsia="zh-CN"/>
        </w:rPr>
        <w:t xml:space="preserve">requérant </w:t>
      </w:r>
      <w:r w:rsidR="000A5662" w:rsidRPr="00EF51C3">
        <w:rPr>
          <w:rFonts w:eastAsia="MS Mincho"/>
          <w:lang w:val="fr-FR" w:eastAsia="zh-CN"/>
        </w:rPr>
        <w:t xml:space="preserve">a </w:t>
      </w:r>
      <w:r w:rsidR="00EF51C3" w:rsidRPr="00EF51C3">
        <w:rPr>
          <w:rFonts w:eastAsia="MS Mincho"/>
          <w:lang w:val="fr-FR" w:eastAsia="zh-CN"/>
        </w:rPr>
        <w:t xml:space="preserve">introduit </w:t>
      </w:r>
      <w:r w:rsidR="007505EC" w:rsidRPr="00EF51C3">
        <w:rPr>
          <w:rFonts w:eastAsia="MS Mincho"/>
        </w:rPr>
        <w:t xml:space="preserve">un recours en rétractation </w:t>
      </w:r>
      <w:r w:rsidR="00987481" w:rsidRPr="00EF51C3">
        <w:rPr>
          <w:rFonts w:eastAsia="MS Mincho"/>
        </w:rPr>
        <w:t xml:space="preserve">contre </w:t>
      </w:r>
      <w:r w:rsidR="00080160" w:rsidRPr="00EF51C3">
        <w:rPr>
          <w:rFonts w:eastAsia="MS Mincho"/>
        </w:rPr>
        <w:t xml:space="preserve">cet </w:t>
      </w:r>
      <w:r w:rsidR="00987481" w:rsidRPr="00EF51C3">
        <w:rPr>
          <w:rFonts w:eastAsia="MS Mincho"/>
        </w:rPr>
        <w:t xml:space="preserve">avis favorable </w:t>
      </w:r>
      <w:r w:rsidR="007505EC" w:rsidRPr="00EF51C3">
        <w:rPr>
          <w:rFonts w:eastAsia="MS Mincho"/>
        </w:rPr>
        <w:t>de</w:t>
      </w:r>
      <w:r w:rsidR="00EF51C3">
        <w:rPr>
          <w:rFonts w:eastAsia="MS Mincho"/>
        </w:rPr>
        <w:t xml:space="preserve"> </w:t>
      </w:r>
      <w:r w:rsidR="007505EC" w:rsidRPr="00EF51C3">
        <w:rPr>
          <w:rFonts w:eastAsia="MS Mincho"/>
        </w:rPr>
        <w:t xml:space="preserve">la </w:t>
      </w:r>
      <w:r w:rsidR="004719A4" w:rsidRPr="00EF51C3">
        <w:rPr>
          <w:rFonts w:eastAsia="MS Mincho"/>
        </w:rPr>
        <w:t xml:space="preserve">Cour de </w:t>
      </w:r>
      <w:r w:rsidR="00555021" w:rsidRPr="00EF51C3">
        <w:rPr>
          <w:rFonts w:eastAsia="MS Mincho"/>
        </w:rPr>
        <w:t>c</w:t>
      </w:r>
      <w:r w:rsidR="004719A4" w:rsidRPr="00EF51C3">
        <w:rPr>
          <w:rFonts w:eastAsia="MS Mincho"/>
        </w:rPr>
        <w:t>assation</w:t>
      </w:r>
      <w:r w:rsidR="007505EC" w:rsidRPr="00EF51C3">
        <w:rPr>
          <w:rFonts w:eastAsia="MS Mincho"/>
        </w:rPr>
        <w:t>.</w:t>
      </w:r>
      <w:r w:rsidR="007505EC">
        <w:rPr>
          <w:rFonts w:eastAsia="MS Mincho"/>
        </w:rPr>
        <w:t xml:space="preserve"> </w:t>
      </w:r>
      <w:r w:rsidR="00F01E81">
        <w:rPr>
          <w:rFonts w:eastAsia="MS Mincho"/>
        </w:rPr>
        <w:t>Le 14</w:t>
      </w:r>
      <w:r w:rsidR="00523851">
        <w:rPr>
          <w:rFonts w:eastAsia="MS Mincho"/>
        </w:rPr>
        <w:t> </w:t>
      </w:r>
      <w:r w:rsidR="00F01E81">
        <w:rPr>
          <w:rFonts w:eastAsia="MS Mincho"/>
        </w:rPr>
        <w:t xml:space="preserve">septembre 2012, le décret d’extradition </w:t>
      </w:r>
      <w:r w:rsidR="00620296">
        <w:rPr>
          <w:rFonts w:eastAsia="MS Mincho"/>
        </w:rPr>
        <w:t xml:space="preserve">a été </w:t>
      </w:r>
      <w:r w:rsidR="00F01E81">
        <w:rPr>
          <w:rFonts w:eastAsia="MS Mincho"/>
        </w:rPr>
        <w:t>signé par les autorités compétentes</w:t>
      </w:r>
      <w:r w:rsidR="00F01E81" w:rsidRPr="0003413D">
        <w:rPr>
          <w:rStyle w:val="FootnoteReference"/>
          <w:rFonts w:eastAsia="MS Mincho"/>
        </w:rPr>
        <w:footnoteReference w:id="6"/>
      </w:r>
      <w:r w:rsidR="00523851">
        <w:rPr>
          <w:rFonts w:eastAsia="MS Mincho"/>
        </w:rPr>
        <w:t>.</w:t>
      </w:r>
      <w:r w:rsidR="00F01E81">
        <w:rPr>
          <w:rFonts w:eastAsia="MS Mincho"/>
        </w:rPr>
        <w:t xml:space="preserve"> </w:t>
      </w:r>
      <w:r w:rsidR="00434C65">
        <w:rPr>
          <w:rFonts w:eastAsia="MS Mincho"/>
        </w:rPr>
        <w:t>Le 25</w:t>
      </w:r>
      <w:r w:rsidR="00523851">
        <w:rPr>
          <w:rFonts w:eastAsia="MS Mincho"/>
        </w:rPr>
        <w:t> </w:t>
      </w:r>
      <w:r w:rsidR="00434C65">
        <w:rPr>
          <w:rFonts w:eastAsia="MS Mincho"/>
        </w:rPr>
        <w:t>octobre 2012</w:t>
      </w:r>
      <w:r w:rsidR="00620296">
        <w:rPr>
          <w:rFonts w:eastAsia="MS Mincho"/>
        </w:rPr>
        <w:t>,</w:t>
      </w:r>
      <w:r w:rsidR="00434C65">
        <w:rPr>
          <w:rFonts w:eastAsia="MS Mincho"/>
        </w:rPr>
        <w:t xml:space="preserve"> le requérant </w:t>
      </w:r>
      <w:r w:rsidR="00620296">
        <w:rPr>
          <w:rFonts w:eastAsia="MS Mincho"/>
        </w:rPr>
        <w:t xml:space="preserve">a </w:t>
      </w:r>
      <w:r w:rsidR="00434C65">
        <w:rPr>
          <w:rFonts w:eastAsia="MS Mincho"/>
        </w:rPr>
        <w:t>saisi le Comité</w:t>
      </w:r>
      <w:r w:rsidR="00D036A7">
        <w:rPr>
          <w:rFonts w:eastAsia="MS Mincho"/>
        </w:rPr>
        <w:t xml:space="preserve"> contre la torture</w:t>
      </w:r>
      <w:r w:rsidR="007E3D63">
        <w:rPr>
          <w:rFonts w:eastAsia="MS Mincho"/>
        </w:rPr>
        <w:t>. Le 25</w:t>
      </w:r>
      <w:r w:rsidR="00523851">
        <w:rPr>
          <w:rFonts w:eastAsia="MS Mincho"/>
        </w:rPr>
        <w:t> </w:t>
      </w:r>
      <w:r w:rsidR="007E3D63">
        <w:rPr>
          <w:rFonts w:eastAsia="MS Mincho"/>
        </w:rPr>
        <w:t xml:space="preserve">novembre 2012, la Cour de cassation </w:t>
      </w:r>
      <w:r w:rsidR="0058135B">
        <w:rPr>
          <w:rFonts w:eastAsia="MS Mincho"/>
        </w:rPr>
        <w:t xml:space="preserve">a </w:t>
      </w:r>
      <w:r w:rsidR="007E3D63">
        <w:rPr>
          <w:rFonts w:eastAsia="MS Mincho"/>
        </w:rPr>
        <w:t>rejet</w:t>
      </w:r>
      <w:r w:rsidR="0058135B">
        <w:rPr>
          <w:rFonts w:eastAsia="MS Mincho"/>
        </w:rPr>
        <w:t xml:space="preserve">é </w:t>
      </w:r>
      <w:r w:rsidR="007E3D63">
        <w:rPr>
          <w:rFonts w:eastAsia="MS Mincho"/>
        </w:rPr>
        <w:t>son recours en rétractation</w:t>
      </w:r>
      <w:r w:rsidR="00023460">
        <w:rPr>
          <w:rFonts w:eastAsia="MS Mincho"/>
        </w:rPr>
        <w:t xml:space="preserve"> sur le fond et confirm</w:t>
      </w:r>
      <w:r w:rsidR="0058135B">
        <w:rPr>
          <w:rFonts w:eastAsia="MS Mincho"/>
        </w:rPr>
        <w:t xml:space="preserve">é </w:t>
      </w:r>
      <w:r w:rsidR="00023460">
        <w:rPr>
          <w:rFonts w:eastAsia="MS Mincho"/>
        </w:rPr>
        <w:t>l’avis favorable à l’extradition</w:t>
      </w:r>
      <w:r w:rsidR="007E3D63">
        <w:rPr>
          <w:rFonts w:eastAsia="MS Mincho"/>
        </w:rPr>
        <w:t>.</w:t>
      </w:r>
    </w:p>
    <w:p w:rsidR="00C23441" w:rsidRDefault="007E3D63" w:rsidP="00523851">
      <w:pPr>
        <w:pStyle w:val="SingleTxtG"/>
        <w:rPr>
          <w:rFonts w:eastAsia="MS Mincho"/>
        </w:rPr>
      </w:pPr>
      <w:r>
        <w:rPr>
          <w:rFonts w:eastAsia="MS Mincho"/>
        </w:rPr>
        <w:t>2.5</w:t>
      </w:r>
      <w:r>
        <w:rPr>
          <w:rFonts w:eastAsia="MS Mincho"/>
        </w:rPr>
        <w:tab/>
      </w:r>
      <w:r w:rsidR="00285996">
        <w:rPr>
          <w:rFonts w:eastAsia="MS Mincho"/>
        </w:rPr>
        <w:t>Le requérant est en détention depuis le 26</w:t>
      </w:r>
      <w:r w:rsidR="00523851">
        <w:rPr>
          <w:rFonts w:eastAsia="MS Mincho"/>
        </w:rPr>
        <w:t> </w:t>
      </w:r>
      <w:r w:rsidR="00285996">
        <w:rPr>
          <w:rFonts w:eastAsia="MS Mincho"/>
        </w:rPr>
        <w:t>février 2012</w:t>
      </w:r>
      <w:r w:rsidR="00620296">
        <w:rPr>
          <w:rFonts w:eastAsia="MS Mincho"/>
        </w:rPr>
        <w:t xml:space="preserve">. </w:t>
      </w:r>
      <w:r w:rsidR="00620296" w:rsidRPr="00192ED6">
        <w:rPr>
          <w:rFonts w:eastAsia="MS Mincho"/>
        </w:rPr>
        <w:t>S</w:t>
      </w:r>
      <w:r w:rsidR="00285996" w:rsidRPr="00192ED6">
        <w:rPr>
          <w:rFonts w:eastAsia="MS Mincho"/>
        </w:rPr>
        <w:t xml:space="preserve">on maintien </w:t>
      </w:r>
      <w:r w:rsidR="00E972B9" w:rsidRPr="00192ED6">
        <w:rPr>
          <w:rFonts w:eastAsia="MS Mincho"/>
        </w:rPr>
        <w:t xml:space="preserve">en détention </w:t>
      </w:r>
      <w:r w:rsidR="00285996" w:rsidRPr="00192ED6">
        <w:rPr>
          <w:rFonts w:eastAsia="MS Mincho"/>
        </w:rPr>
        <w:t>depuis cette date est intrinsèquement lié à la procédure en cours devant le Comité.</w:t>
      </w:r>
    </w:p>
    <w:p w:rsidR="008F73EE" w:rsidRPr="008F73EE" w:rsidRDefault="008F73EE" w:rsidP="00523851">
      <w:pPr>
        <w:pStyle w:val="H23G"/>
        <w:rPr>
          <w:rFonts w:eastAsia="MS Mincho"/>
          <w:lang w:val="fr-FR" w:eastAsia="zh-CN"/>
        </w:rPr>
      </w:pPr>
      <w:r>
        <w:rPr>
          <w:rFonts w:eastAsia="MS Mincho"/>
          <w:lang w:val="fr-FR" w:eastAsia="zh-CN"/>
        </w:rPr>
        <w:lastRenderedPageBreak/>
        <w:tab/>
      </w:r>
      <w:r>
        <w:rPr>
          <w:rFonts w:eastAsia="MS Mincho"/>
          <w:lang w:val="fr-FR" w:eastAsia="zh-CN"/>
        </w:rPr>
        <w:tab/>
      </w:r>
      <w:r w:rsidRPr="008F73EE">
        <w:rPr>
          <w:rFonts w:eastAsia="MS Mincho"/>
          <w:lang w:val="fr-FR" w:eastAsia="zh-CN"/>
        </w:rPr>
        <w:t>Teneur de la plainte</w:t>
      </w:r>
    </w:p>
    <w:p w:rsidR="00D94633" w:rsidRDefault="00517A31" w:rsidP="00E263FF">
      <w:pPr>
        <w:pStyle w:val="SingleTxtG"/>
        <w:rPr>
          <w:rFonts w:eastAsia="MS Mincho"/>
          <w:lang w:val="fr-FR" w:eastAsia="zh-CN"/>
        </w:rPr>
      </w:pPr>
      <w:r>
        <w:rPr>
          <w:rFonts w:eastAsia="MS Mincho"/>
          <w:lang w:val="fr-FR" w:eastAsia="zh-CN"/>
        </w:rPr>
        <w:t>3.1</w:t>
      </w:r>
      <w:r w:rsidR="001907B5">
        <w:rPr>
          <w:rFonts w:eastAsia="MS Mincho"/>
          <w:lang w:val="fr-FR" w:eastAsia="zh-CN"/>
        </w:rPr>
        <w:tab/>
      </w:r>
      <w:r w:rsidR="003400A9" w:rsidRPr="003400A9">
        <w:rPr>
          <w:rFonts w:eastAsia="MS Mincho"/>
          <w:lang w:val="fr-FR" w:eastAsia="zh-CN"/>
        </w:rPr>
        <w:t xml:space="preserve">Le </w:t>
      </w:r>
      <w:r w:rsidR="00B42351">
        <w:rPr>
          <w:rFonts w:eastAsia="MS Mincho"/>
          <w:lang w:val="fr-FR" w:eastAsia="zh-CN"/>
        </w:rPr>
        <w:t>requér</w:t>
      </w:r>
      <w:r w:rsidR="003400A9" w:rsidRPr="003400A9">
        <w:rPr>
          <w:rFonts w:eastAsia="MS Mincho"/>
          <w:lang w:val="fr-FR" w:eastAsia="zh-CN"/>
        </w:rPr>
        <w:t xml:space="preserve">ant </w:t>
      </w:r>
      <w:r w:rsidR="00E263FF">
        <w:rPr>
          <w:rFonts w:eastAsia="MS Mincho"/>
          <w:lang w:val="fr-FR" w:eastAsia="zh-CN"/>
        </w:rPr>
        <w:t xml:space="preserve">indique </w:t>
      </w:r>
      <w:r w:rsidR="003400A9" w:rsidRPr="003400A9">
        <w:rPr>
          <w:rFonts w:eastAsia="MS Mincho"/>
          <w:lang w:val="fr-FR" w:eastAsia="zh-CN"/>
        </w:rPr>
        <w:t xml:space="preserve">qu’il </w:t>
      </w:r>
      <w:r w:rsidR="00F43325">
        <w:rPr>
          <w:rFonts w:eastAsia="MS Mincho"/>
          <w:lang w:val="fr-FR" w:eastAsia="zh-CN"/>
        </w:rPr>
        <w:t>est</w:t>
      </w:r>
      <w:r w:rsidR="003400A9" w:rsidRPr="003400A9">
        <w:rPr>
          <w:rFonts w:eastAsia="MS Mincho"/>
          <w:lang w:val="fr-FR" w:eastAsia="zh-CN"/>
        </w:rPr>
        <w:t xml:space="preserve"> victime d’une v</w:t>
      </w:r>
      <w:r w:rsidR="00364357">
        <w:rPr>
          <w:rFonts w:eastAsia="MS Mincho"/>
          <w:lang w:val="fr-FR" w:eastAsia="zh-CN"/>
        </w:rPr>
        <w:t>iolation de l’</w:t>
      </w:r>
      <w:r w:rsidR="0003413D">
        <w:rPr>
          <w:rFonts w:eastAsia="MS Mincho"/>
          <w:lang w:val="fr-FR" w:eastAsia="zh-CN"/>
        </w:rPr>
        <w:t>article </w:t>
      </w:r>
      <w:r w:rsidR="00F43325">
        <w:rPr>
          <w:rFonts w:eastAsia="MS Mincho"/>
          <w:lang w:val="fr-FR" w:eastAsia="zh-CN"/>
        </w:rPr>
        <w:t>15</w:t>
      </w:r>
      <w:r w:rsidR="00364357">
        <w:rPr>
          <w:rFonts w:eastAsia="MS Mincho"/>
          <w:lang w:val="fr-FR" w:eastAsia="zh-CN"/>
        </w:rPr>
        <w:t xml:space="preserve"> de la Convention</w:t>
      </w:r>
      <w:r w:rsidR="00D1530E">
        <w:rPr>
          <w:rFonts w:eastAsia="MS Mincho"/>
          <w:lang w:val="fr-FR" w:eastAsia="zh-CN"/>
        </w:rPr>
        <w:t xml:space="preserve"> </w:t>
      </w:r>
      <w:r w:rsidR="002F0DF8">
        <w:rPr>
          <w:rFonts w:eastAsia="MS Mincho"/>
          <w:lang w:val="fr-FR" w:eastAsia="zh-CN"/>
        </w:rPr>
        <w:t>par l’</w:t>
      </w:r>
      <w:r w:rsidR="005F1695">
        <w:rPr>
          <w:rFonts w:eastAsia="MS Mincho"/>
          <w:lang w:val="fr-FR" w:eastAsia="zh-CN"/>
        </w:rPr>
        <w:t>État</w:t>
      </w:r>
      <w:r w:rsidR="002F0DF8">
        <w:rPr>
          <w:rFonts w:eastAsia="MS Mincho"/>
          <w:lang w:val="fr-FR" w:eastAsia="zh-CN"/>
        </w:rPr>
        <w:t xml:space="preserve"> partie puisque celui-ci a</w:t>
      </w:r>
      <w:r w:rsidR="00861640">
        <w:rPr>
          <w:rFonts w:eastAsia="MS Mincho"/>
          <w:lang w:val="fr-FR" w:eastAsia="zh-CN"/>
        </w:rPr>
        <w:t>urait</w:t>
      </w:r>
      <w:r w:rsidR="002F0DF8">
        <w:rPr>
          <w:rFonts w:eastAsia="MS Mincho"/>
          <w:lang w:val="fr-FR" w:eastAsia="zh-CN"/>
        </w:rPr>
        <w:t xml:space="preserve"> pris en considération des aveux obtenus sous la torture </w:t>
      </w:r>
      <w:r w:rsidR="00861640">
        <w:rPr>
          <w:rFonts w:eastAsia="MS Mincho"/>
          <w:lang w:val="fr-FR" w:eastAsia="zh-CN"/>
        </w:rPr>
        <w:t>comme élément</w:t>
      </w:r>
      <w:r w:rsidR="00620296">
        <w:rPr>
          <w:rFonts w:eastAsia="MS Mincho"/>
          <w:lang w:val="fr-FR" w:eastAsia="zh-CN"/>
        </w:rPr>
        <w:t>s</w:t>
      </w:r>
      <w:r w:rsidR="00861640">
        <w:rPr>
          <w:rFonts w:eastAsia="MS Mincho"/>
          <w:lang w:val="fr-FR" w:eastAsia="zh-CN"/>
        </w:rPr>
        <w:t xml:space="preserve"> de preuve afin d’</w:t>
      </w:r>
      <w:r w:rsidR="002F0DF8">
        <w:rPr>
          <w:rFonts w:eastAsia="MS Mincho"/>
          <w:lang w:val="fr-FR" w:eastAsia="zh-CN"/>
        </w:rPr>
        <w:t xml:space="preserve">autoriser son extradition. </w:t>
      </w:r>
      <w:r w:rsidR="00620296">
        <w:rPr>
          <w:rFonts w:eastAsia="MS Mincho"/>
          <w:lang w:val="fr-FR" w:eastAsia="zh-CN"/>
        </w:rPr>
        <w:t>Le requérant</w:t>
      </w:r>
      <w:r w:rsidR="0003413D">
        <w:rPr>
          <w:rFonts w:eastAsia="MS Mincho"/>
          <w:lang w:val="fr-FR" w:eastAsia="zh-CN"/>
        </w:rPr>
        <w:t xml:space="preserve"> </w:t>
      </w:r>
      <w:r w:rsidR="00D94633">
        <w:rPr>
          <w:rFonts w:eastAsia="MS Mincho"/>
          <w:lang w:val="fr-FR" w:eastAsia="zh-CN"/>
        </w:rPr>
        <w:t>ajoute que</w:t>
      </w:r>
      <w:r w:rsidR="00620296">
        <w:rPr>
          <w:rFonts w:eastAsia="MS Mincho"/>
          <w:lang w:val="fr-FR" w:eastAsia="zh-CN"/>
        </w:rPr>
        <w:t xml:space="preserve"> s’</w:t>
      </w:r>
      <w:r w:rsidR="00D94633">
        <w:rPr>
          <w:rFonts w:eastAsia="MS Mincho"/>
          <w:lang w:val="fr-FR" w:eastAsia="zh-CN"/>
        </w:rPr>
        <w:t>il était effectivement extradé vers l’Algérie, il serait également victime d’une violation de l’</w:t>
      </w:r>
      <w:r w:rsidR="0003413D">
        <w:rPr>
          <w:rFonts w:eastAsia="MS Mincho"/>
          <w:lang w:val="fr-FR" w:eastAsia="zh-CN"/>
        </w:rPr>
        <w:t>article </w:t>
      </w:r>
      <w:r w:rsidR="00D94633">
        <w:rPr>
          <w:rFonts w:eastAsia="MS Mincho"/>
          <w:lang w:val="fr-FR" w:eastAsia="zh-CN"/>
        </w:rPr>
        <w:t>3 de la Convention.</w:t>
      </w:r>
    </w:p>
    <w:p w:rsidR="00CE2F46" w:rsidRPr="0066771A" w:rsidRDefault="00AC576C" w:rsidP="003D5DE7">
      <w:pPr>
        <w:pStyle w:val="SingleTxtG"/>
        <w:rPr>
          <w:rFonts w:eastAsia="MS Mincho"/>
          <w:lang w:val="fr-FR" w:eastAsia="zh-CN"/>
        </w:rPr>
      </w:pPr>
      <w:r>
        <w:rPr>
          <w:rFonts w:eastAsia="MS Mincho"/>
          <w:lang w:val="fr-FR" w:eastAsia="zh-CN"/>
        </w:rPr>
        <w:t>3.2</w:t>
      </w:r>
      <w:r>
        <w:rPr>
          <w:rFonts w:eastAsia="MS Mincho"/>
          <w:lang w:val="fr-FR" w:eastAsia="zh-CN"/>
        </w:rPr>
        <w:tab/>
        <w:t xml:space="preserve">Pour </w:t>
      </w:r>
      <w:r w:rsidR="00D94633">
        <w:rPr>
          <w:rFonts w:eastAsia="MS Mincho"/>
          <w:lang w:val="fr-FR" w:eastAsia="zh-CN"/>
        </w:rPr>
        <w:t>étayer ses allégations de violations</w:t>
      </w:r>
      <w:r>
        <w:rPr>
          <w:rFonts w:eastAsia="MS Mincho"/>
          <w:lang w:val="fr-FR" w:eastAsia="zh-CN"/>
        </w:rPr>
        <w:t xml:space="preserve">, </w:t>
      </w:r>
      <w:r w:rsidR="00620296">
        <w:rPr>
          <w:rFonts w:eastAsia="MS Mincho"/>
          <w:lang w:val="fr-FR" w:eastAsia="zh-CN"/>
        </w:rPr>
        <w:t>le requérant</w:t>
      </w:r>
      <w:r w:rsidR="00620296" w:rsidRPr="003400A9">
        <w:rPr>
          <w:rFonts w:eastAsia="MS Mincho"/>
          <w:lang w:val="fr-FR" w:eastAsia="zh-CN"/>
        </w:rPr>
        <w:t xml:space="preserve"> </w:t>
      </w:r>
      <w:r w:rsidR="00CE2F46">
        <w:rPr>
          <w:rFonts w:eastAsia="MS Mincho"/>
          <w:lang w:val="fr-FR" w:eastAsia="zh-CN"/>
        </w:rPr>
        <w:t>se réfère</w:t>
      </w:r>
      <w:r w:rsidR="003400A9" w:rsidRPr="003400A9">
        <w:rPr>
          <w:rFonts w:eastAsia="MS Mincho"/>
          <w:lang w:val="fr-FR" w:eastAsia="zh-CN"/>
        </w:rPr>
        <w:t xml:space="preserve"> </w:t>
      </w:r>
      <w:r w:rsidR="00D1530E">
        <w:rPr>
          <w:rFonts w:eastAsia="MS Mincho"/>
          <w:lang w:val="fr-FR" w:eastAsia="zh-CN"/>
        </w:rPr>
        <w:t xml:space="preserve">tout d’abord </w:t>
      </w:r>
      <w:r w:rsidR="002F0DF8">
        <w:rPr>
          <w:rFonts w:eastAsia="MS Mincho"/>
          <w:lang w:val="fr-FR" w:eastAsia="zh-CN"/>
        </w:rPr>
        <w:t>au</w:t>
      </w:r>
      <w:r w:rsidR="00D1530E">
        <w:rPr>
          <w:rFonts w:eastAsia="MS Mincho"/>
          <w:lang w:val="fr-FR" w:eastAsia="zh-CN"/>
        </w:rPr>
        <w:t xml:space="preserve"> risque </w:t>
      </w:r>
      <w:r w:rsidR="00CE2F46">
        <w:rPr>
          <w:rFonts w:eastAsia="MS Mincho"/>
          <w:lang w:val="fr-FR" w:eastAsia="zh-CN"/>
        </w:rPr>
        <w:t xml:space="preserve">général </w:t>
      </w:r>
      <w:r w:rsidR="00D1530E">
        <w:rPr>
          <w:rFonts w:eastAsia="MS Mincho"/>
          <w:lang w:val="fr-FR" w:eastAsia="zh-CN"/>
        </w:rPr>
        <w:t xml:space="preserve">de torture </w:t>
      </w:r>
      <w:r w:rsidR="00CE2F46">
        <w:rPr>
          <w:rFonts w:eastAsia="MS Mincho"/>
          <w:lang w:val="fr-FR" w:eastAsia="zh-CN"/>
        </w:rPr>
        <w:t>lié aux</w:t>
      </w:r>
      <w:r w:rsidR="00D1530E">
        <w:rPr>
          <w:rFonts w:eastAsia="MS Mincho"/>
          <w:lang w:val="fr-FR" w:eastAsia="zh-CN"/>
        </w:rPr>
        <w:t xml:space="preserve"> violations systématiques des droits de l’homme en Algérie</w:t>
      </w:r>
      <w:r w:rsidR="006175DB">
        <w:rPr>
          <w:rFonts w:eastAsia="MS Mincho"/>
          <w:lang w:val="fr-FR" w:eastAsia="zh-CN"/>
        </w:rPr>
        <w:t>,</w:t>
      </w:r>
      <w:r w:rsidR="00D1530E">
        <w:rPr>
          <w:rFonts w:eastAsia="MS Mincho"/>
          <w:lang w:val="fr-FR" w:eastAsia="zh-CN"/>
        </w:rPr>
        <w:t xml:space="preserve"> </w:t>
      </w:r>
      <w:r w:rsidR="00CE2F46">
        <w:rPr>
          <w:rFonts w:eastAsia="MS Mincho"/>
          <w:lang w:val="fr-FR" w:eastAsia="zh-CN"/>
        </w:rPr>
        <w:t xml:space="preserve">tel que constaté par </w:t>
      </w:r>
      <w:r w:rsidR="003400A9" w:rsidRPr="003400A9">
        <w:rPr>
          <w:rFonts w:eastAsia="MS Mincho"/>
          <w:lang w:val="fr-FR" w:eastAsia="zh-CN"/>
        </w:rPr>
        <w:t>le Comité</w:t>
      </w:r>
      <w:r w:rsidR="00E263FF">
        <w:rPr>
          <w:rFonts w:eastAsia="MS Mincho"/>
          <w:lang w:val="fr-FR" w:eastAsia="zh-CN"/>
        </w:rPr>
        <w:t>,</w:t>
      </w:r>
      <w:r w:rsidR="00CE2F46">
        <w:rPr>
          <w:rFonts w:eastAsia="MS Mincho"/>
          <w:lang w:val="fr-FR" w:eastAsia="zh-CN"/>
        </w:rPr>
        <w:t xml:space="preserve"> </w:t>
      </w:r>
      <w:r w:rsidR="00CE2F46" w:rsidRPr="00433033">
        <w:rPr>
          <w:rFonts w:eastAsia="MS Mincho"/>
          <w:lang w:val="fr-FR" w:eastAsia="zh-CN"/>
        </w:rPr>
        <w:t>qui</w:t>
      </w:r>
      <w:r w:rsidR="003400A9" w:rsidRPr="00DC228D">
        <w:rPr>
          <w:rFonts w:eastAsia="MS Mincho"/>
          <w:lang w:val="fr-FR" w:eastAsia="zh-CN"/>
        </w:rPr>
        <w:t xml:space="preserve"> s’est dit </w:t>
      </w:r>
      <w:r w:rsidR="003400A9" w:rsidRPr="00AC33AB">
        <w:rPr>
          <w:rFonts w:eastAsia="MS Mincho"/>
          <w:lang w:val="fr-FR" w:eastAsia="zh-CN"/>
        </w:rPr>
        <w:t xml:space="preserve">préoccupé par le nombre et la gravité des allégations parvenues jusqu’à lui de cas de torture </w:t>
      </w:r>
      <w:r w:rsidR="00E263FF" w:rsidRPr="00AC33AB">
        <w:rPr>
          <w:rFonts w:eastAsia="MS Mincho"/>
          <w:lang w:val="fr-FR" w:eastAsia="zh-CN"/>
        </w:rPr>
        <w:t xml:space="preserve">et </w:t>
      </w:r>
      <w:r w:rsidR="003400A9" w:rsidRPr="0066771A">
        <w:rPr>
          <w:rFonts w:eastAsia="MS Mincho"/>
          <w:lang w:val="fr-FR" w:eastAsia="zh-CN"/>
        </w:rPr>
        <w:t>de mauvais traitements infligés à des détenus par des agents des forces de l’ordre</w:t>
      </w:r>
      <w:r w:rsidR="00CE2F46" w:rsidRPr="0066771A">
        <w:rPr>
          <w:rStyle w:val="FootnoteReference"/>
          <w:rFonts w:eastAsia="MS Mincho"/>
        </w:rPr>
        <w:footnoteReference w:id="7"/>
      </w:r>
      <w:r w:rsidR="00523851" w:rsidRPr="0066771A">
        <w:rPr>
          <w:rFonts w:eastAsia="MS Mincho"/>
          <w:lang w:val="fr-FR" w:eastAsia="zh-CN"/>
        </w:rPr>
        <w:t>.</w:t>
      </w:r>
      <w:r w:rsidR="006175DB" w:rsidRPr="0066771A">
        <w:rPr>
          <w:rFonts w:eastAsia="MS Mincho"/>
          <w:lang w:val="fr-FR" w:eastAsia="zh-CN"/>
        </w:rPr>
        <w:t xml:space="preserve"> </w:t>
      </w:r>
      <w:r w:rsidR="00620296" w:rsidRPr="0066771A">
        <w:rPr>
          <w:rFonts w:eastAsia="MS Mincho"/>
          <w:lang w:val="fr-FR" w:eastAsia="zh-CN"/>
        </w:rPr>
        <w:t xml:space="preserve">Le requérant </w:t>
      </w:r>
      <w:r w:rsidR="006175DB" w:rsidRPr="0066771A">
        <w:rPr>
          <w:rFonts w:eastAsia="MS Mincho"/>
          <w:lang w:val="fr-FR" w:eastAsia="zh-CN"/>
        </w:rPr>
        <w:t>se réfère</w:t>
      </w:r>
      <w:r w:rsidR="00CE2F46" w:rsidRPr="0066771A">
        <w:rPr>
          <w:rFonts w:eastAsia="MS Mincho"/>
          <w:lang w:val="fr-FR" w:eastAsia="zh-CN"/>
        </w:rPr>
        <w:t xml:space="preserve"> également </w:t>
      </w:r>
      <w:r w:rsidR="006175DB" w:rsidRPr="0066771A">
        <w:rPr>
          <w:rFonts w:eastAsia="MS Mincho"/>
          <w:lang w:val="fr-FR" w:eastAsia="zh-CN"/>
        </w:rPr>
        <w:t>au</w:t>
      </w:r>
      <w:r w:rsidR="00620296" w:rsidRPr="0066771A">
        <w:rPr>
          <w:rFonts w:eastAsia="MS Mincho"/>
          <w:lang w:val="fr-FR" w:eastAsia="zh-CN"/>
        </w:rPr>
        <w:t>x observations finales du</w:t>
      </w:r>
      <w:r w:rsidR="003400A9" w:rsidRPr="0066771A">
        <w:rPr>
          <w:rFonts w:eastAsia="MS Mincho"/>
          <w:lang w:val="fr-FR" w:eastAsia="zh-CN"/>
        </w:rPr>
        <w:t xml:space="preserve"> Comité des droits de l’homme</w:t>
      </w:r>
      <w:r w:rsidR="00931A94" w:rsidRPr="0066771A">
        <w:rPr>
          <w:rFonts w:eastAsia="MS Mincho"/>
          <w:lang w:val="fr-FR" w:eastAsia="zh-CN"/>
        </w:rPr>
        <w:t xml:space="preserve">, dans lesquelles le Comité </w:t>
      </w:r>
      <w:r w:rsidRPr="0066771A">
        <w:rPr>
          <w:rFonts w:eastAsia="MS Mincho"/>
          <w:lang w:val="fr-FR" w:eastAsia="zh-CN"/>
        </w:rPr>
        <w:t xml:space="preserve">note avec inquiétude </w:t>
      </w:r>
      <w:r w:rsidR="003400A9" w:rsidRPr="0066771A">
        <w:rPr>
          <w:rFonts w:eastAsia="MS Mincho"/>
          <w:lang w:val="fr-FR" w:eastAsia="zh-CN"/>
        </w:rPr>
        <w:t>les informations relatives à des cas de torture et de traitements cruels, inhumains ou dégradants commis sur le territoire de l’</w:t>
      </w:r>
      <w:r w:rsidR="00352797" w:rsidRPr="0066771A">
        <w:rPr>
          <w:rFonts w:eastAsia="MS Mincho"/>
          <w:lang w:val="fr-FR" w:eastAsia="zh-CN"/>
        </w:rPr>
        <w:t>Algérie</w:t>
      </w:r>
      <w:r w:rsidR="003400A9" w:rsidRPr="0066771A">
        <w:rPr>
          <w:rFonts w:eastAsia="MS Mincho"/>
          <w:lang w:val="fr-FR" w:eastAsia="zh-CN"/>
        </w:rPr>
        <w:t>, et qui relèveraient notamment de la responsabilité du Département du re</w:t>
      </w:r>
      <w:r w:rsidR="006175DB" w:rsidRPr="0066771A">
        <w:rPr>
          <w:rFonts w:eastAsia="MS Mincho"/>
          <w:lang w:val="fr-FR" w:eastAsia="zh-CN"/>
        </w:rPr>
        <w:t>nseignement et de la sécurité</w:t>
      </w:r>
      <w:r w:rsidR="003D5DE7" w:rsidRPr="0066771A">
        <w:rPr>
          <w:rFonts w:eastAsia="MS Mincho"/>
          <w:lang w:val="fr-FR" w:eastAsia="zh-CN"/>
        </w:rPr>
        <w:t>. Dans ces observations finales</w:t>
      </w:r>
      <w:r w:rsidR="006175DB" w:rsidRPr="0066771A">
        <w:rPr>
          <w:rFonts w:eastAsia="MS Mincho"/>
          <w:lang w:val="fr-FR" w:eastAsia="zh-CN"/>
        </w:rPr>
        <w:t xml:space="preserve">, </w:t>
      </w:r>
      <w:r w:rsidR="00352797" w:rsidRPr="00433033">
        <w:rPr>
          <w:rFonts w:eastAsia="MS Mincho"/>
          <w:lang w:val="fr-FR" w:eastAsia="zh-CN"/>
        </w:rPr>
        <w:t xml:space="preserve">le Comité des droits de l’homme indique aussi qu’il </w:t>
      </w:r>
      <w:r w:rsidR="003A56EE" w:rsidRPr="00DC228D">
        <w:rPr>
          <w:rFonts w:eastAsia="MS Mincho"/>
          <w:lang w:val="fr-FR" w:eastAsia="zh-CN"/>
        </w:rPr>
        <w:t xml:space="preserve">est préoccupé par </w:t>
      </w:r>
      <w:r w:rsidR="003400A9" w:rsidRPr="00AC33AB">
        <w:rPr>
          <w:rFonts w:eastAsia="MS Mincho"/>
          <w:lang w:val="fr-FR" w:eastAsia="zh-CN"/>
        </w:rPr>
        <w:t>le fait que les confessions obtenues sous la torture ne sont pas explicitement prohibées et exclues comme élément de preuve dans la législation de l’État partie</w:t>
      </w:r>
      <w:r w:rsidR="00CE2F46" w:rsidRPr="0066771A">
        <w:rPr>
          <w:rStyle w:val="FootnoteReference"/>
          <w:rFonts w:eastAsia="MS Mincho"/>
        </w:rPr>
        <w:footnoteReference w:id="8"/>
      </w:r>
      <w:r w:rsidR="00523851" w:rsidRPr="0066771A">
        <w:rPr>
          <w:rFonts w:eastAsia="MS Mincho"/>
          <w:lang w:val="fr-FR" w:eastAsia="zh-CN"/>
        </w:rPr>
        <w:t>.</w:t>
      </w:r>
    </w:p>
    <w:p w:rsidR="003400A9" w:rsidRDefault="00846BDC" w:rsidP="00F65DAE">
      <w:pPr>
        <w:pStyle w:val="SingleTxtG"/>
        <w:rPr>
          <w:rFonts w:eastAsia="MS Mincho"/>
          <w:lang w:val="fr-FR" w:eastAsia="zh-CN"/>
        </w:rPr>
      </w:pPr>
      <w:r w:rsidRPr="0066771A">
        <w:rPr>
          <w:rFonts w:eastAsia="MS Mincho"/>
          <w:lang w:val="fr-FR" w:eastAsia="zh-CN"/>
        </w:rPr>
        <w:t>3.3</w:t>
      </w:r>
      <w:r w:rsidR="00CE2F46" w:rsidRPr="0066771A">
        <w:rPr>
          <w:rFonts w:eastAsia="MS Mincho"/>
          <w:lang w:val="fr-FR" w:eastAsia="zh-CN"/>
        </w:rPr>
        <w:tab/>
      </w:r>
      <w:r w:rsidR="00620296" w:rsidRPr="0066771A">
        <w:rPr>
          <w:rFonts w:eastAsia="MS Mincho"/>
          <w:lang w:val="fr-FR" w:eastAsia="zh-CN"/>
        </w:rPr>
        <w:t xml:space="preserve">Le requérant </w:t>
      </w:r>
      <w:r w:rsidR="002F0DF8" w:rsidRPr="0066771A">
        <w:rPr>
          <w:rFonts w:eastAsia="MS Mincho"/>
          <w:lang w:val="fr-FR" w:eastAsia="zh-CN"/>
        </w:rPr>
        <w:t xml:space="preserve">mentionne ensuite </w:t>
      </w:r>
      <w:r w:rsidR="00AC576C" w:rsidRPr="0066771A">
        <w:rPr>
          <w:rFonts w:eastAsia="MS Mincho"/>
          <w:lang w:val="fr-FR" w:eastAsia="zh-CN"/>
        </w:rPr>
        <w:t>un prob</w:t>
      </w:r>
      <w:r w:rsidR="001F6B36" w:rsidRPr="0066771A">
        <w:rPr>
          <w:rFonts w:eastAsia="MS Mincho"/>
          <w:lang w:val="fr-FR" w:eastAsia="zh-CN"/>
        </w:rPr>
        <w:t>l</w:t>
      </w:r>
      <w:r w:rsidR="00AC576C" w:rsidRPr="0066771A">
        <w:rPr>
          <w:rFonts w:eastAsia="MS Mincho"/>
          <w:lang w:val="fr-FR" w:eastAsia="zh-CN"/>
        </w:rPr>
        <w:t xml:space="preserve">ème général </w:t>
      </w:r>
      <w:r w:rsidR="00F65DAE" w:rsidRPr="0066771A">
        <w:rPr>
          <w:rFonts w:eastAsia="MS Mincho"/>
          <w:lang w:val="fr-FR" w:eastAsia="zh-CN"/>
        </w:rPr>
        <w:t>concernant l</w:t>
      </w:r>
      <w:r w:rsidR="002F0DF8" w:rsidRPr="0066771A">
        <w:rPr>
          <w:rFonts w:eastAsia="MS Mincho"/>
          <w:lang w:val="fr-FR" w:eastAsia="zh-CN"/>
        </w:rPr>
        <w:t xml:space="preserve">es procédures d’extradition </w:t>
      </w:r>
      <w:r w:rsidR="00AC576C" w:rsidRPr="0066771A">
        <w:rPr>
          <w:rFonts w:eastAsia="MS Mincho"/>
          <w:lang w:val="fr-FR" w:eastAsia="zh-CN"/>
        </w:rPr>
        <w:t>au</w:t>
      </w:r>
      <w:r w:rsidR="002F0DF8" w:rsidRPr="0066771A">
        <w:rPr>
          <w:rFonts w:eastAsia="MS Mincho"/>
          <w:lang w:val="fr-FR" w:eastAsia="zh-CN"/>
        </w:rPr>
        <w:t xml:space="preserve"> </w:t>
      </w:r>
      <w:r w:rsidR="00D94633" w:rsidRPr="0066771A">
        <w:rPr>
          <w:rFonts w:eastAsia="MS Mincho"/>
          <w:lang w:val="fr-FR" w:eastAsia="zh-CN"/>
        </w:rPr>
        <w:t>sein de l’</w:t>
      </w:r>
      <w:r w:rsidR="005F1695" w:rsidRPr="0066771A">
        <w:rPr>
          <w:rFonts w:eastAsia="MS Mincho"/>
          <w:lang w:val="fr-FR" w:eastAsia="zh-CN"/>
        </w:rPr>
        <w:t>État</w:t>
      </w:r>
      <w:r w:rsidR="00D94633" w:rsidRPr="0066771A">
        <w:rPr>
          <w:rFonts w:eastAsia="MS Mincho"/>
          <w:lang w:val="fr-FR" w:eastAsia="zh-CN"/>
        </w:rPr>
        <w:t xml:space="preserve"> partie</w:t>
      </w:r>
      <w:r w:rsidR="001B055B" w:rsidRPr="0066771A">
        <w:rPr>
          <w:rFonts w:eastAsia="MS Mincho"/>
          <w:lang w:val="fr-FR" w:eastAsia="zh-CN"/>
        </w:rPr>
        <w:t>. I</w:t>
      </w:r>
      <w:r w:rsidR="00D94633" w:rsidRPr="0066771A">
        <w:rPr>
          <w:rFonts w:eastAsia="MS Mincho"/>
          <w:lang w:val="fr-FR" w:eastAsia="zh-CN"/>
        </w:rPr>
        <w:t xml:space="preserve">l </w:t>
      </w:r>
      <w:r w:rsidR="001F6B36" w:rsidRPr="0066771A">
        <w:rPr>
          <w:rFonts w:eastAsia="MS Mincho"/>
          <w:lang w:val="fr-FR" w:eastAsia="zh-CN"/>
        </w:rPr>
        <w:t xml:space="preserve">cite le Comité </w:t>
      </w:r>
      <w:r w:rsidR="001B055B" w:rsidRPr="0066771A">
        <w:rPr>
          <w:rFonts w:eastAsia="MS Mincho"/>
          <w:lang w:val="fr-FR" w:eastAsia="zh-CN"/>
        </w:rPr>
        <w:t xml:space="preserve">contre la torture </w:t>
      </w:r>
      <w:r w:rsidR="001F6B36" w:rsidRPr="0066771A">
        <w:rPr>
          <w:rFonts w:eastAsia="MS Mincho"/>
          <w:lang w:val="fr-FR" w:eastAsia="zh-CN"/>
        </w:rPr>
        <w:t>qui s</w:t>
      </w:r>
      <w:r w:rsidRPr="0066771A">
        <w:rPr>
          <w:rFonts w:eastAsia="MS Mincho"/>
          <w:lang w:val="fr-FR" w:eastAsia="zh-CN"/>
        </w:rPr>
        <w:t>’</w:t>
      </w:r>
      <w:r w:rsidR="001F6B36" w:rsidRPr="0066771A">
        <w:rPr>
          <w:rFonts w:eastAsia="MS Mincho"/>
          <w:lang w:val="fr-FR" w:eastAsia="zh-CN"/>
        </w:rPr>
        <w:t>e</w:t>
      </w:r>
      <w:r w:rsidRPr="0066771A">
        <w:rPr>
          <w:rFonts w:eastAsia="MS Mincho"/>
          <w:lang w:val="fr-FR" w:eastAsia="zh-CN"/>
        </w:rPr>
        <w:t>st</w:t>
      </w:r>
      <w:r w:rsidR="001F6B36" w:rsidRPr="0066771A">
        <w:rPr>
          <w:rFonts w:eastAsia="MS Mincho"/>
          <w:lang w:val="fr-FR" w:eastAsia="zh-CN"/>
        </w:rPr>
        <w:t xml:space="preserve"> dit</w:t>
      </w:r>
      <w:r w:rsidR="003400A9" w:rsidRPr="0066771A">
        <w:rPr>
          <w:rFonts w:eastAsia="MS Mincho"/>
          <w:lang w:val="fr-FR" w:eastAsia="zh-CN"/>
        </w:rPr>
        <w:t xml:space="preserve"> préoccupé par le fait que les procédures et les pratiques actuelles du Maroc en matière d’extradition et de refoulement peuvent exposer des personnes à la torture. </w:t>
      </w:r>
      <w:r w:rsidR="001B055B" w:rsidRPr="0066771A">
        <w:rPr>
          <w:rFonts w:eastAsia="MS Mincho"/>
          <w:lang w:val="fr-FR" w:eastAsia="zh-CN"/>
        </w:rPr>
        <w:t>Le Comité a</w:t>
      </w:r>
      <w:r w:rsidR="004D11E2" w:rsidRPr="0066771A">
        <w:rPr>
          <w:rFonts w:eastAsia="MS Mincho"/>
          <w:lang w:val="fr-FR" w:eastAsia="zh-CN"/>
        </w:rPr>
        <w:t xml:space="preserve"> également indiqué que </w:t>
      </w:r>
      <w:r w:rsidR="004D11E2" w:rsidRPr="00433033">
        <w:rPr>
          <w:rFonts w:eastAsia="MS Mincho"/>
          <w:lang w:val="fr-FR" w:eastAsia="zh-CN"/>
        </w:rPr>
        <w:t>p</w:t>
      </w:r>
      <w:r w:rsidR="003400A9" w:rsidRPr="00433033">
        <w:rPr>
          <w:rFonts w:eastAsia="MS Mincho"/>
          <w:lang w:val="fr-FR" w:eastAsia="zh-CN"/>
        </w:rPr>
        <w:t>our déterminer si les obligations qui lui incombent en vertu de l’</w:t>
      </w:r>
      <w:r w:rsidR="0003413D" w:rsidRPr="00DC228D">
        <w:rPr>
          <w:rFonts w:eastAsia="MS Mincho"/>
          <w:lang w:val="fr-FR" w:eastAsia="zh-CN"/>
        </w:rPr>
        <w:t>article </w:t>
      </w:r>
      <w:r w:rsidR="003400A9" w:rsidRPr="00DC228D">
        <w:rPr>
          <w:rFonts w:eastAsia="MS Mincho"/>
          <w:lang w:val="fr-FR" w:eastAsia="zh-CN"/>
        </w:rPr>
        <w:t>3 de la Convention s’appliquent, l’État partie devrait examiner minutieusement, sur le fond, chaque cas particulier, y compris la situation générale en matière de</w:t>
      </w:r>
      <w:r w:rsidR="0025795A" w:rsidRPr="00AC33AB">
        <w:rPr>
          <w:rFonts w:eastAsia="MS Mincho"/>
          <w:lang w:val="fr-FR" w:eastAsia="zh-CN"/>
        </w:rPr>
        <w:t xml:space="preserve"> torture dans le pays de retour</w:t>
      </w:r>
      <w:r w:rsidR="00535193" w:rsidRPr="00F24A0B">
        <w:rPr>
          <w:rStyle w:val="FootnoteReference"/>
          <w:rFonts w:eastAsia="MS Mincho"/>
        </w:rPr>
        <w:footnoteReference w:id="9"/>
      </w:r>
      <w:r w:rsidR="00523851" w:rsidRPr="0066771A">
        <w:rPr>
          <w:rFonts w:eastAsia="MS Mincho"/>
          <w:lang w:val="fr-FR" w:eastAsia="zh-CN"/>
        </w:rPr>
        <w:t>.</w:t>
      </w:r>
    </w:p>
    <w:p w:rsidR="00D94633" w:rsidRDefault="00846BDC" w:rsidP="00523851">
      <w:pPr>
        <w:pStyle w:val="SingleTxtG"/>
        <w:rPr>
          <w:rFonts w:eastAsia="MS Mincho"/>
          <w:lang w:val="fr-FR" w:eastAsia="zh-CN"/>
        </w:rPr>
      </w:pPr>
      <w:r>
        <w:rPr>
          <w:rFonts w:eastAsia="MS Mincho"/>
        </w:rPr>
        <w:t>3.4</w:t>
      </w:r>
      <w:r w:rsidR="007505EC">
        <w:rPr>
          <w:rFonts w:eastAsia="MS Mincho"/>
        </w:rPr>
        <w:tab/>
      </w:r>
      <w:r w:rsidR="002B1725">
        <w:rPr>
          <w:rFonts w:eastAsia="MS Mincho"/>
        </w:rPr>
        <w:t>Plus spécifiquement, l</w:t>
      </w:r>
      <w:r w:rsidR="00AC576C">
        <w:rPr>
          <w:rFonts w:eastAsia="MS Mincho"/>
        </w:rPr>
        <w:t xml:space="preserve">e requérant </w:t>
      </w:r>
      <w:r w:rsidR="00D94633">
        <w:rPr>
          <w:rFonts w:eastAsia="MS Mincho"/>
        </w:rPr>
        <w:t>soutient</w:t>
      </w:r>
      <w:r w:rsidR="00AC576C">
        <w:rPr>
          <w:rFonts w:eastAsia="MS Mincho"/>
        </w:rPr>
        <w:t xml:space="preserve"> </w:t>
      </w:r>
      <w:r w:rsidR="00D94633">
        <w:rPr>
          <w:rFonts w:eastAsia="MS Mincho"/>
          <w:lang w:val="fr-FR" w:eastAsia="zh-CN"/>
        </w:rPr>
        <w:t xml:space="preserve">que </w:t>
      </w:r>
      <w:r w:rsidR="00620296">
        <w:rPr>
          <w:rFonts w:eastAsia="MS Mincho"/>
          <w:lang w:val="fr-FR" w:eastAsia="zh-CN"/>
        </w:rPr>
        <w:t>l’</w:t>
      </w:r>
      <w:r w:rsidR="00D94633">
        <w:rPr>
          <w:rFonts w:eastAsia="MS Mincho"/>
          <w:lang w:val="fr-FR" w:eastAsia="zh-CN"/>
        </w:rPr>
        <w:t>incrimina</w:t>
      </w:r>
      <w:r w:rsidR="00D94633" w:rsidRPr="003400A9">
        <w:rPr>
          <w:rFonts w:eastAsia="MS Mincho"/>
          <w:lang w:val="fr-FR" w:eastAsia="zh-CN"/>
        </w:rPr>
        <w:t>tion</w:t>
      </w:r>
      <w:r w:rsidR="00620296">
        <w:rPr>
          <w:rFonts w:eastAsia="MS Mincho"/>
          <w:lang w:val="fr-FR" w:eastAsia="zh-CN"/>
        </w:rPr>
        <w:t xml:space="preserve"> de son implication</w:t>
      </w:r>
      <w:r w:rsidR="00D94633" w:rsidRPr="003400A9">
        <w:rPr>
          <w:rFonts w:eastAsia="MS Mincho"/>
          <w:lang w:val="fr-FR" w:eastAsia="zh-CN"/>
        </w:rPr>
        <w:t xml:space="preserve"> </w:t>
      </w:r>
      <w:r w:rsidR="00D94633">
        <w:rPr>
          <w:rFonts w:eastAsia="MS Mincho"/>
          <w:lang w:val="fr-FR" w:eastAsia="zh-CN"/>
        </w:rPr>
        <w:t>dans le trafic de stupéfiant</w:t>
      </w:r>
      <w:r w:rsidR="00620296">
        <w:rPr>
          <w:rFonts w:eastAsia="MS Mincho"/>
          <w:lang w:val="fr-FR" w:eastAsia="zh-CN"/>
        </w:rPr>
        <w:t>s</w:t>
      </w:r>
      <w:r w:rsidR="00D94633">
        <w:rPr>
          <w:rFonts w:eastAsia="MS Mincho"/>
          <w:lang w:val="fr-FR" w:eastAsia="zh-CN"/>
        </w:rPr>
        <w:t xml:space="preserve"> </w:t>
      </w:r>
      <w:r w:rsidR="00D94633" w:rsidRPr="003400A9">
        <w:rPr>
          <w:rFonts w:eastAsia="MS Mincho"/>
          <w:lang w:val="fr-FR" w:eastAsia="zh-CN"/>
        </w:rPr>
        <w:t>résulte uniquement des déclarations</w:t>
      </w:r>
      <w:r w:rsidR="00D94633">
        <w:rPr>
          <w:rFonts w:eastAsia="MS Mincho"/>
          <w:lang w:val="fr-FR" w:eastAsia="zh-CN"/>
        </w:rPr>
        <w:t xml:space="preserve"> d’une</w:t>
      </w:r>
      <w:r w:rsidR="00D94633" w:rsidRPr="003400A9">
        <w:rPr>
          <w:rFonts w:eastAsia="MS Mincho"/>
          <w:lang w:val="fr-FR" w:eastAsia="zh-CN"/>
        </w:rPr>
        <w:t xml:space="preserve"> </w:t>
      </w:r>
      <w:r w:rsidR="00D94633">
        <w:rPr>
          <w:rFonts w:eastAsia="MS Mincho"/>
          <w:lang w:val="fr-FR" w:eastAsia="zh-CN"/>
        </w:rPr>
        <w:t>personne</w:t>
      </w:r>
      <w:r w:rsidR="00D94633" w:rsidRPr="003400A9">
        <w:rPr>
          <w:rFonts w:eastAsia="MS Mincho"/>
          <w:lang w:val="fr-FR" w:eastAsia="zh-CN"/>
        </w:rPr>
        <w:t xml:space="preserve"> </w:t>
      </w:r>
      <w:r w:rsidR="00D94633">
        <w:rPr>
          <w:rFonts w:eastAsia="MS Mincho"/>
          <w:lang w:val="fr-FR" w:eastAsia="zh-CN"/>
        </w:rPr>
        <w:t xml:space="preserve">interpellée dans la cadre de cette affaire criminelle, </w:t>
      </w:r>
      <w:r w:rsidR="00D94633" w:rsidRPr="003400A9">
        <w:rPr>
          <w:rFonts w:eastAsia="MS Mincho"/>
          <w:lang w:val="fr-FR" w:eastAsia="zh-CN"/>
        </w:rPr>
        <w:t>A.</w:t>
      </w:r>
      <w:r w:rsidR="00931A94">
        <w:rPr>
          <w:rFonts w:eastAsia="MS Mincho"/>
          <w:lang w:val="fr-FR" w:eastAsia="zh-CN"/>
        </w:rPr>
        <w:t> </w:t>
      </w:r>
      <w:r w:rsidR="00D94633" w:rsidRPr="003400A9">
        <w:rPr>
          <w:rFonts w:eastAsia="MS Mincho"/>
          <w:lang w:val="fr-FR" w:eastAsia="zh-CN"/>
        </w:rPr>
        <w:t>B</w:t>
      </w:r>
      <w:r w:rsidR="00931A94">
        <w:rPr>
          <w:rFonts w:eastAsia="MS Mincho"/>
          <w:lang w:val="fr-FR" w:eastAsia="zh-CN"/>
        </w:rPr>
        <w:t>.</w:t>
      </w:r>
      <w:r w:rsidR="00D94633">
        <w:rPr>
          <w:rFonts w:eastAsia="MS Mincho"/>
          <w:lang w:val="fr-FR" w:eastAsia="zh-CN"/>
        </w:rPr>
        <w:t xml:space="preserve">, </w:t>
      </w:r>
      <w:r w:rsidR="00620296">
        <w:rPr>
          <w:rFonts w:eastAsia="MS Mincho"/>
          <w:lang w:val="fr-FR" w:eastAsia="zh-CN"/>
        </w:rPr>
        <w:t xml:space="preserve">lesquelles </w:t>
      </w:r>
      <w:r w:rsidR="00D94633">
        <w:rPr>
          <w:rFonts w:eastAsia="MS Mincho"/>
          <w:lang w:val="fr-FR" w:eastAsia="zh-CN"/>
        </w:rPr>
        <w:t xml:space="preserve">auraient été obtenues sous la torture. Il affirme qu’en dehors de ces déclarations, </w:t>
      </w:r>
      <w:r w:rsidR="00D94633" w:rsidRPr="003400A9">
        <w:rPr>
          <w:rFonts w:eastAsia="MS Mincho"/>
          <w:lang w:val="fr-FR" w:eastAsia="zh-CN"/>
        </w:rPr>
        <w:t>aucun élément probant n’est de nature à l’impliquer dans ce trafic de stupéfiants d’ampleur internationale. Il rappelle la jurisprudence du Comité, selon laquelle</w:t>
      </w:r>
      <w:r w:rsidR="007E6F99">
        <w:rPr>
          <w:rFonts w:eastAsia="MS Mincho"/>
          <w:lang w:val="fr-FR" w:eastAsia="zh-CN"/>
        </w:rPr>
        <w:t>,</w:t>
      </w:r>
      <w:r w:rsidR="00D94633" w:rsidRPr="003400A9">
        <w:rPr>
          <w:rFonts w:eastAsia="MS Mincho"/>
          <w:lang w:val="fr-FR" w:eastAsia="zh-CN"/>
        </w:rPr>
        <w:t xml:space="preserve"> </w:t>
      </w:r>
      <w:r w:rsidR="00D94633">
        <w:rPr>
          <w:rFonts w:eastAsia="MS Mincho"/>
          <w:lang w:val="fr-FR" w:eastAsia="zh-CN"/>
        </w:rPr>
        <w:t xml:space="preserve">en vertu de </w:t>
      </w:r>
      <w:r w:rsidR="00D94633" w:rsidRPr="003400A9">
        <w:rPr>
          <w:rFonts w:eastAsia="MS Mincho"/>
          <w:lang w:val="fr-FR" w:eastAsia="zh-CN"/>
        </w:rPr>
        <w:t>l’</w:t>
      </w:r>
      <w:r w:rsidR="0003413D">
        <w:rPr>
          <w:rFonts w:eastAsia="MS Mincho"/>
          <w:lang w:val="fr-FR" w:eastAsia="zh-CN"/>
        </w:rPr>
        <w:t>article </w:t>
      </w:r>
      <w:r w:rsidR="00D94633" w:rsidRPr="003400A9">
        <w:rPr>
          <w:rFonts w:eastAsia="MS Mincho"/>
          <w:lang w:val="fr-FR" w:eastAsia="zh-CN"/>
        </w:rPr>
        <w:t>15</w:t>
      </w:r>
      <w:r w:rsidR="00D94633">
        <w:rPr>
          <w:rFonts w:eastAsia="MS Mincho"/>
          <w:lang w:val="fr-FR" w:eastAsia="zh-CN"/>
        </w:rPr>
        <w:t>,</w:t>
      </w:r>
      <w:r w:rsidR="00D94633" w:rsidRPr="003400A9">
        <w:rPr>
          <w:rFonts w:eastAsia="MS Mincho"/>
          <w:lang w:val="fr-FR" w:eastAsia="zh-CN"/>
        </w:rPr>
        <w:t xml:space="preserve"> tout </w:t>
      </w:r>
      <w:r w:rsidR="005F1695">
        <w:rPr>
          <w:rFonts w:eastAsia="MS Mincho"/>
          <w:lang w:val="fr-FR" w:eastAsia="zh-CN"/>
        </w:rPr>
        <w:t>État</w:t>
      </w:r>
      <w:r w:rsidR="000969DF" w:rsidRPr="003400A9">
        <w:rPr>
          <w:rFonts w:eastAsia="MS Mincho"/>
          <w:lang w:val="fr-FR" w:eastAsia="zh-CN"/>
        </w:rPr>
        <w:t xml:space="preserve"> </w:t>
      </w:r>
      <w:r w:rsidR="00D94633" w:rsidRPr="003400A9">
        <w:rPr>
          <w:rFonts w:eastAsia="MS Mincho"/>
          <w:lang w:val="fr-FR" w:eastAsia="zh-CN"/>
        </w:rPr>
        <w:t xml:space="preserve">partie </w:t>
      </w:r>
      <w:r w:rsidR="000969DF">
        <w:rPr>
          <w:rFonts w:eastAsia="MS Mincho"/>
          <w:lang w:val="fr-FR" w:eastAsia="zh-CN"/>
        </w:rPr>
        <w:t xml:space="preserve">a </w:t>
      </w:r>
      <w:r w:rsidR="00D94633">
        <w:rPr>
          <w:rFonts w:eastAsia="MS Mincho"/>
          <w:lang w:val="fr-FR" w:eastAsia="zh-CN"/>
        </w:rPr>
        <w:t xml:space="preserve">l’obligation </w:t>
      </w:r>
      <w:r w:rsidR="00D94633" w:rsidRPr="003400A9">
        <w:rPr>
          <w:rFonts w:eastAsia="MS Mincho"/>
          <w:lang w:val="fr-FR" w:eastAsia="zh-CN"/>
        </w:rPr>
        <w:t xml:space="preserve">de vérifier </w:t>
      </w:r>
      <w:r w:rsidR="00D94633">
        <w:rPr>
          <w:rFonts w:eastAsia="MS Mincho"/>
          <w:lang w:val="fr-FR" w:eastAsia="zh-CN"/>
        </w:rPr>
        <w:t xml:space="preserve">que des déclarations invoquées comme élément de preuve dans </w:t>
      </w:r>
      <w:r w:rsidR="00D94633" w:rsidRPr="003400A9">
        <w:rPr>
          <w:rFonts w:eastAsia="MS Mincho"/>
          <w:lang w:val="fr-FR" w:eastAsia="zh-CN"/>
        </w:rPr>
        <w:t>une procédure d’extradition n’ont</w:t>
      </w:r>
      <w:r w:rsidR="00D94633">
        <w:rPr>
          <w:rFonts w:eastAsia="MS Mincho"/>
          <w:lang w:val="fr-FR" w:eastAsia="zh-CN"/>
        </w:rPr>
        <w:t xml:space="preserve"> pas été faites sous la torture</w:t>
      </w:r>
      <w:r w:rsidR="00D94633" w:rsidRPr="0003413D">
        <w:rPr>
          <w:rStyle w:val="FootnoteReference"/>
          <w:rFonts w:eastAsia="MS Mincho"/>
        </w:rPr>
        <w:footnoteReference w:id="10"/>
      </w:r>
      <w:r w:rsidR="00523851">
        <w:rPr>
          <w:rFonts w:eastAsia="MS Mincho"/>
          <w:lang w:val="fr-FR" w:eastAsia="zh-CN"/>
        </w:rPr>
        <w:t>.</w:t>
      </w:r>
    </w:p>
    <w:p w:rsidR="007505EC" w:rsidRDefault="002B1725" w:rsidP="007E6F99">
      <w:pPr>
        <w:pStyle w:val="SingleTxtG"/>
        <w:rPr>
          <w:rFonts w:eastAsia="MS Mincho"/>
        </w:rPr>
      </w:pPr>
      <w:r>
        <w:rPr>
          <w:rFonts w:eastAsia="MS Mincho"/>
          <w:lang w:val="fr-FR" w:eastAsia="zh-CN"/>
        </w:rPr>
        <w:t>3.5</w:t>
      </w:r>
      <w:r>
        <w:rPr>
          <w:rFonts w:eastAsia="MS Mincho"/>
          <w:lang w:val="fr-FR" w:eastAsia="zh-CN"/>
        </w:rPr>
        <w:tab/>
      </w:r>
      <w:r w:rsidR="007E6F99">
        <w:rPr>
          <w:rFonts w:eastAsia="MS Mincho"/>
          <w:lang w:val="fr-FR" w:eastAsia="zh-CN"/>
        </w:rPr>
        <w:t xml:space="preserve">Le requérant </w:t>
      </w:r>
      <w:r w:rsidR="00D94633">
        <w:rPr>
          <w:rFonts w:eastAsia="MS Mincho"/>
          <w:lang w:val="fr-FR" w:eastAsia="zh-CN"/>
        </w:rPr>
        <w:t xml:space="preserve">rappelle </w:t>
      </w:r>
      <w:r w:rsidR="00AC576C">
        <w:rPr>
          <w:rFonts w:eastAsia="MS Mincho"/>
        </w:rPr>
        <w:t xml:space="preserve">qu’il a soulevé devant la Cour de </w:t>
      </w:r>
      <w:r w:rsidR="00555021">
        <w:rPr>
          <w:rFonts w:eastAsia="MS Mincho"/>
        </w:rPr>
        <w:t>c</w:t>
      </w:r>
      <w:r w:rsidR="00AC576C">
        <w:rPr>
          <w:rFonts w:eastAsia="MS Mincho"/>
        </w:rPr>
        <w:t>assation de l’</w:t>
      </w:r>
      <w:r w:rsidR="005F1695">
        <w:rPr>
          <w:rFonts w:eastAsia="MS Mincho"/>
        </w:rPr>
        <w:t>État</w:t>
      </w:r>
      <w:r w:rsidR="00AC576C">
        <w:rPr>
          <w:rFonts w:eastAsia="MS Mincho"/>
        </w:rPr>
        <w:t xml:space="preserve"> partie sa crainte d’être soumis à la torture s’il était extradé vers l’Algérie</w:t>
      </w:r>
      <w:r w:rsidR="007E6F99">
        <w:rPr>
          <w:rFonts w:eastAsia="MS Mincho"/>
        </w:rPr>
        <w:t>,</w:t>
      </w:r>
      <w:r w:rsidR="00AC576C">
        <w:rPr>
          <w:rFonts w:eastAsia="MS Mincho"/>
        </w:rPr>
        <w:t xml:space="preserve"> mais </w:t>
      </w:r>
      <w:r w:rsidR="007E6F99">
        <w:rPr>
          <w:rFonts w:eastAsia="MS Mincho"/>
        </w:rPr>
        <w:t xml:space="preserve">il estime </w:t>
      </w:r>
      <w:r w:rsidR="00AC576C">
        <w:rPr>
          <w:rFonts w:eastAsia="MS Mincho"/>
        </w:rPr>
        <w:t xml:space="preserve">que la Cour n’a pas examiné </w:t>
      </w:r>
      <w:r w:rsidR="007E6F99">
        <w:rPr>
          <w:rFonts w:eastAsia="MS Mincho"/>
        </w:rPr>
        <w:t xml:space="preserve">correctement </w:t>
      </w:r>
      <w:r w:rsidR="00AC576C">
        <w:rPr>
          <w:rFonts w:eastAsia="MS Mincho"/>
        </w:rPr>
        <w:t xml:space="preserve">les risques encourus, se contentant de constater que l’Algérie </w:t>
      </w:r>
      <w:r w:rsidR="00AC576C">
        <w:rPr>
          <w:rFonts w:eastAsia="MS Mincho"/>
        </w:rPr>
        <w:lastRenderedPageBreak/>
        <w:t>éta</w:t>
      </w:r>
      <w:r w:rsidR="007E6F99">
        <w:rPr>
          <w:rFonts w:eastAsia="MS Mincho"/>
        </w:rPr>
        <w:t>n</w:t>
      </w:r>
      <w:r w:rsidR="00AC576C">
        <w:rPr>
          <w:rFonts w:eastAsia="MS Mincho"/>
        </w:rPr>
        <w:t xml:space="preserve">t partie à la Convention contre la </w:t>
      </w:r>
      <w:r w:rsidR="00360BCC">
        <w:rPr>
          <w:rFonts w:eastAsia="MS Mincho"/>
        </w:rPr>
        <w:t>t</w:t>
      </w:r>
      <w:r w:rsidR="00AC576C">
        <w:rPr>
          <w:rFonts w:eastAsia="MS Mincho"/>
        </w:rPr>
        <w:t>orture</w:t>
      </w:r>
      <w:r w:rsidR="006175DB" w:rsidRPr="003400A9">
        <w:rPr>
          <w:rFonts w:eastAsia="MS Mincho"/>
        </w:rPr>
        <w:t xml:space="preserve">, il n’y avait </w:t>
      </w:r>
      <w:r w:rsidR="006175DB">
        <w:rPr>
          <w:rFonts w:eastAsia="MS Mincho"/>
        </w:rPr>
        <w:t xml:space="preserve">pas </w:t>
      </w:r>
      <w:r w:rsidR="006175DB" w:rsidRPr="003400A9">
        <w:rPr>
          <w:rFonts w:eastAsia="MS Mincho"/>
        </w:rPr>
        <w:t xml:space="preserve">lieu </w:t>
      </w:r>
      <w:r w:rsidR="0025795A">
        <w:rPr>
          <w:rFonts w:eastAsia="MS Mincho"/>
        </w:rPr>
        <w:t>de</w:t>
      </w:r>
      <w:r w:rsidR="006175DB" w:rsidRPr="003400A9">
        <w:rPr>
          <w:rFonts w:eastAsia="MS Mincho"/>
        </w:rPr>
        <w:t xml:space="preserve"> craindre un quelconque risque de torture</w:t>
      </w:r>
      <w:r w:rsidR="00D449EC" w:rsidRPr="0003413D">
        <w:rPr>
          <w:rStyle w:val="FootnoteReference"/>
          <w:rFonts w:eastAsia="MS Mincho"/>
        </w:rPr>
        <w:footnoteReference w:id="11"/>
      </w:r>
      <w:r w:rsidR="00523851">
        <w:rPr>
          <w:rFonts w:eastAsia="MS Mincho"/>
          <w:lang w:eastAsia="zh-CN"/>
        </w:rPr>
        <w:t>.</w:t>
      </w:r>
    </w:p>
    <w:p w:rsidR="008200A0" w:rsidRDefault="00846BDC" w:rsidP="003F7AF9">
      <w:pPr>
        <w:pStyle w:val="SingleTxtG"/>
        <w:rPr>
          <w:rFonts w:eastAsia="MS Mincho"/>
        </w:rPr>
      </w:pPr>
      <w:r>
        <w:rPr>
          <w:rFonts w:eastAsia="MS Mincho"/>
        </w:rPr>
        <w:t>3.</w:t>
      </w:r>
      <w:r w:rsidR="00525ECA">
        <w:rPr>
          <w:rFonts w:eastAsia="MS Mincho"/>
        </w:rPr>
        <w:t>6</w:t>
      </w:r>
      <w:r>
        <w:rPr>
          <w:rFonts w:eastAsia="MS Mincho"/>
        </w:rPr>
        <w:tab/>
      </w:r>
      <w:r w:rsidR="008200A0">
        <w:rPr>
          <w:rFonts w:eastAsia="MS Mincho"/>
        </w:rPr>
        <w:t>Selon le requérant, les voies de recours internes ont bien été épuisées car le recours en rétractation engagé le 23</w:t>
      </w:r>
      <w:r w:rsidR="00523851">
        <w:rPr>
          <w:rFonts w:eastAsia="MS Mincho"/>
        </w:rPr>
        <w:t> </w:t>
      </w:r>
      <w:r w:rsidR="008200A0">
        <w:rPr>
          <w:rFonts w:eastAsia="MS Mincho"/>
        </w:rPr>
        <w:t xml:space="preserve">juillet 2012, qui était toujours pendant lorsque la plainte a été introduite devant le Comité, n’existe qu’en droit civil et </w:t>
      </w:r>
      <w:r w:rsidR="00285996">
        <w:rPr>
          <w:rFonts w:eastAsia="MS Mincho"/>
        </w:rPr>
        <w:t>serait</w:t>
      </w:r>
      <w:r w:rsidR="008200A0">
        <w:rPr>
          <w:rFonts w:eastAsia="MS Mincho"/>
        </w:rPr>
        <w:t xml:space="preserve"> simplement toléré par la Cour de cassation en matière pénale. De plus,</w:t>
      </w:r>
      <w:r w:rsidR="00893C59">
        <w:rPr>
          <w:rFonts w:eastAsia="MS Mincho"/>
        </w:rPr>
        <w:t xml:space="preserve"> le requérant considère que le recours en rétractation n’a pas </w:t>
      </w:r>
      <w:r w:rsidR="0025795A">
        <w:rPr>
          <w:rFonts w:eastAsia="MS Mincho"/>
        </w:rPr>
        <w:t>d’effet suspensif</w:t>
      </w:r>
      <w:r w:rsidR="0003413D">
        <w:rPr>
          <w:rFonts w:eastAsia="MS Mincho"/>
        </w:rPr>
        <w:t>:</w:t>
      </w:r>
      <w:r w:rsidR="0025795A">
        <w:rPr>
          <w:rFonts w:eastAsia="MS Mincho"/>
        </w:rPr>
        <w:t xml:space="preserve"> </w:t>
      </w:r>
      <w:r w:rsidR="00324B33">
        <w:rPr>
          <w:rFonts w:eastAsia="MS Mincho"/>
        </w:rPr>
        <w:t xml:space="preserve">à cet égard, le requérant souligne que </w:t>
      </w:r>
      <w:r w:rsidR="0025795A">
        <w:rPr>
          <w:rFonts w:eastAsia="MS Mincho"/>
        </w:rPr>
        <w:t xml:space="preserve">la loi est </w:t>
      </w:r>
      <w:r w:rsidR="008200A0">
        <w:rPr>
          <w:rFonts w:eastAsia="MS Mincho"/>
        </w:rPr>
        <w:t>silenc</w:t>
      </w:r>
      <w:r w:rsidR="0025795A">
        <w:rPr>
          <w:rFonts w:eastAsia="MS Mincho"/>
        </w:rPr>
        <w:t xml:space="preserve">ieuse </w:t>
      </w:r>
      <w:r w:rsidR="00324B33">
        <w:rPr>
          <w:rFonts w:eastAsia="MS Mincho"/>
        </w:rPr>
        <w:t>sur ce point et que</w:t>
      </w:r>
      <w:r w:rsidR="008200A0">
        <w:rPr>
          <w:rFonts w:eastAsia="MS Mincho"/>
        </w:rPr>
        <w:t xml:space="preserve"> </w:t>
      </w:r>
      <w:r w:rsidR="00893C59">
        <w:rPr>
          <w:rFonts w:eastAsia="MS Mincho"/>
        </w:rPr>
        <w:t xml:space="preserve">et </w:t>
      </w:r>
      <w:r w:rsidR="00003BF0">
        <w:rPr>
          <w:rFonts w:eastAsia="MS Mincho"/>
        </w:rPr>
        <w:t xml:space="preserve">le décret d’extradition </w:t>
      </w:r>
      <w:r w:rsidR="00893C59">
        <w:rPr>
          <w:rFonts w:eastAsia="MS Mincho"/>
        </w:rPr>
        <w:t xml:space="preserve">a </w:t>
      </w:r>
      <w:r w:rsidR="00003BF0">
        <w:rPr>
          <w:rFonts w:eastAsia="MS Mincho"/>
        </w:rPr>
        <w:t xml:space="preserve">été signé par les autorités </w:t>
      </w:r>
      <w:r w:rsidR="00C46B57">
        <w:rPr>
          <w:rFonts w:eastAsia="MS Mincho"/>
        </w:rPr>
        <w:t xml:space="preserve">compétentes </w:t>
      </w:r>
      <w:r w:rsidR="00003BF0">
        <w:rPr>
          <w:rFonts w:eastAsia="MS Mincho"/>
        </w:rPr>
        <w:t xml:space="preserve">de </w:t>
      </w:r>
      <w:r w:rsidR="003F7AF9">
        <w:rPr>
          <w:rFonts w:eastAsia="MS Mincho"/>
        </w:rPr>
        <w:t>l’</w:t>
      </w:r>
      <w:r w:rsidR="005F1695">
        <w:rPr>
          <w:rFonts w:eastAsia="MS Mincho"/>
        </w:rPr>
        <w:t>État</w:t>
      </w:r>
      <w:r w:rsidR="00475DE1">
        <w:rPr>
          <w:rFonts w:eastAsia="MS Mincho"/>
        </w:rPr>
        <w:t xml:space="preserve"> </w:t>
      </w:r>
      <w:r w:rsidR="00003BF0">
        <w:rPr>
          <w:rFonts w:eastAsia="MS Mincho"/>
        </w:rPr>
        <w:t>partie alors que le recours en rétractation</w:t>
      </w:r>
      <w:r w:rsidR="00C46B57">
        <w:rPr>
          <w:rFonts w:eastAsia="MS Mincho"/>
        </w:rPr>
        <w:t xml:space="preserve"> était en cours</w:t>
      </w:r>
      <w:r w:rsidR="00003BF0">
        <w:rPr>
          <w:rFonts w:eastAsia="MS Mincho"/>
        </w:rPr>
        <w:t>.</w:t>
      </w:r>
    </w:p>
    <w:p w:rsidR="00003BF0" w:rsidRDefault="00003BF0" w:rsidP="00525ECA">
      <w:pPr>
        <w:pStyle w:val="SingleTxtG"/>
        <w:rPr>
          <w:rFonts w:eastAsia="MS Mincho"/>
        </w:rPr>
      </w:pPr>
      <w:r>
        <w:rPr>
          <w:rFonts w:eastAsia="MS Mincho"/>
        </w:rPr>
        <w:t>3.</w:t>
      </w:r>
      <w:r w:rsidR="00525ECA">
        <w:rPr>
          <w:rFonts w:eastAsia="MS Mincho"/>
        </w:rPr>
        <w:t>7</w:t>
      </w:r>
      <w:r>
        <w:rPr>
          <w:rFonts w:eastAsia="MS Mincho"/>
        </w:rPr>
        <w:tab/>
        <w:t>Le requérant ajoute qu’il n’existe pas de voie de recours en droit marocai</w:t>
      </w:r>
      <w:r w:rsidR="009B6668">
        <w:rPr>
          <w:rFonts w:eastAsia="MS Mincho"/>
        </w:rPr>
        <w:t>n contre</w:t>
      </w:r>
      <w:r>
        <w:rPr>
          <w:rFonts w:eastAsia="MS Mincho"/>
        </w:rPr>
        <w:t xml:space="preserve"> </w:t>
      </w:r>
      <w:r w:rsidR="00285996">
        <w:rPr>
          <w:rFonts w:eastAsia="MS Mincho"/>
        </w:rPr>
        <w:t xml:space="preserve">l’acte </w:t>
      </w:r>
      <w:r w:rsidR="00285996" w:rsidRPr="0094006D">
        <w:rPr>
          <w:rFonts w:eastAsia="MS Mincho"/>
        </w:rPr>
        <w:t xml:space="preserve">administratif qu’est le </w:t>
      </w:r>
      <w:r w:rsidRPr="0094006D">
        <w:rPr>
          <w:rFonts w:eastAsia="MS Mincho"/>
        </w:rPr>
        <w:t xml:space="preserve">décret d’extradition, </w:t>
      </w:r>
      <w:r w:rsidR="004452B0" w:rsidRPr="0094006D">
        <w:rPr>
          <w:rFonts w:eastAsia="MS Mincho"/>
        </w:rPr>
        <w:t xml:space="preserve">qui lui aurait été notifié </w:t>
      </w:r>
      <w:r w:rsidR="00080160" w:rsidRPr="0094006D">
        <w:rPr>
          <w:rFonts w:eastAsia="MS Mincho"/>
        </w:rPr>
        <w:t>la semaine du 22</w:t>
      </w:r>
      <w:r w:rsidR="006D1717">
        <w:rPr>
          <w:rFonts w:eastAsia="MS Mincho"/>
        </w:rPr>
        <w:t> </w:t>
      </w:r>
      <w:r w:rsidR="00080160" w:rsidRPr="0094006D">
        <w:rPr>
          <w:rFonts w:eastAsia="MS Mincho"/>
        </w:rPr>
        <w:t>octobre 2012,</w:t>
      </w:r>
      <w:r w:rsidR="00475DE1" w:rsidRPr="0094006D">
        <w:rPr>
          <w:rFonts w:eastAsia="MS Mincho"/>
        </w:rPr>
        <w:t xml:space="preserve"> alors </w:t>
      </w:r>
      <w:r w:rsidR="00080160" w:rsidRPr="0094006D">
        <w:rPr>
          <w:rFonts w:eastAsia="MS Mincho"/>
        </w:rPr>
        <w:t>que son extradition était prévue pour le 15</w:t>
      </w:r>
      <w:r w:rsidR="006D1717">
        <w:rPr>
          <w:rFonts w:eastAsia="MS Mincho"/>
        </w:rPr>
        <w:t> </w:t>
      </w:r>
      <w:r w:rsidR="00080160" w:rsidRPr="0094006D">
        <w:rPr>
          <w:rFonts w:eastAsia="MS Mincho"/>
        </w:rPr>
        <w:t>novembre 2012.</w:t>
      </w:r>
      <w:r w:rsidRPr="0094006D">
        <w:rPr>
          <w:rFonts w:eastAsia="MS Mincho"/>
        </w:rPr>
        <w:t xml:space="preserve"> </w:t>
      </w:r>
      <w:r w:rsidR="00080160" w:rsidRPr="0094006D">
        <w:rPr>
          <w:rFonts w:eastAsia="MS Mincho"/>
        </w:rPr>
        <w:t>Selon lui,</w:t>
      </w:r>
      <w:r w:rsidR="0094006D">
        <w:rPr>
          <w:rFonts w:eastAsia="MS Mincho"/>
        </w:rPr>
        <w:t xml:space="preserve"> </w:t>
      </w:r>
      <w:r w:rsidRPr="0094006D">
        <w:rPr>
          <w:rFonts w:eastAsia="MS Mincho"/>
        </w:rPr>
        <w:t xml:space="preserve">les juges marocains </w:t>
      </w:r>
      <w:r w:rsidR="00350D28" w:rsidRPr="0094006D">
        <w:rPr>
          <w:rFonts w:eastAsia="MS Mincho"/>
        </w:rPr>
        <w:t xml:space="preserve">seraient </w:t>
      </w:r>
      <w:r w:rsidR="00080160" w:rsidRPr="0013488C">
        <w:rPr>
          <w:rFonts w:eastAsia="MS Mincho"/>
        </w:rPr>
        <w:t xml:space="preserve">seulement </w:t>
      </w:r>
      <w:r w:rsidRPr="0013488C">
        <w:rPr>
          <w:rFonts w:eastAsia="MS Mincho"/>
        </w:rPr>
        <w:t xml:space="preserve">compétents pour </w:t>
      </w:r>
      <w:r w:rsidR="00080160" w:rsidRPr="0013488C">
        <w:rPr>
          <w:rFonts w:eastAsia="MS Mincho"/>
        </w:rPr>
        <w:t>vérifier que l</w:t>
      </w:r>
      <w:r w:rsidRPr="0013488C">
        <w:rPr>
          <w:rFonts w:eastAsia="MS Mincho"/>
        </w:rPr>
        <w:t xml:space="preserve">es conditions légales de la demande d’extradition </w:t>
      </w:r>
      <w:r w:rsidR="00080160" w:rsidRPr="0013488C">
        <w:rPr>
          <w:rFonts w:eastAsia="MS Mincho"/>
        </w:rPr>
        <w:t xml:space="preserve">soient remplies </w:t>
      </w:r>
      <w:r w:rsidRPr="0013488C">
        <w:rPr>
          <w:rFonts w:eastAsia="MS Mincho"/>
        </w:rPr>
        <w:t>au regard des articles du</w:t>
      </w:r>
      <w:r>
        <w:rPr>
          <w:rFonts w:eastAsia="MS Mincho"/>
        </w:rPr>
        <w:t xml:space="preserve"> Code de procédure pénale marocain.</w:t>
      </w:r>
    </w:p>
    <w:p w:rsidR="00757BE2" w:rsidRPr="00757BE2" w:rsidRDefault="00757BE2" w:rsidP="006D1717">
      <w:pPr>
        <w:pStyle w:val="H23G"/>
        <w:rPr>
          <w:rFonts w:eastAsia="MS Mincho"/>
          <w:lang w:val="fr-FR" w:eastAsia="zh-CN"/>
        </w:rPr>
      </w:pPr>
      <w:r>
        <w:rPr>
          <w:rFonts w:eastAsia="MS Mincho"/>
          <w:lang w:val="fr-FR" w:eastAsia="zh-CN"/>
        </w:rPr>
        <w:tab/>
      </w:r>
      <w:r>
        <w:rPr>
          <w:rFonts w:eastAsia="MS Mincho"/>
          <w:lang w:val="fr-FR" w:eastAsia="zh-CN"/>
        </w:rPr>
        <w:tab/>
      </w:r>
      <w:r w:rsidR="009D0F95" w:rsidRPr="009D0F95">
        <w:rPr>
          <w:rFonts w:eastAsia="MS Mincho"/>
          <w:lang w:val="fr-FR" w:eastAsia="zh-CN"/>
        </w:rPr>
        <w:t>Observations de l’État partie sur la recevabilité et sur le fond</w:t>
      </w:r>
    </w:p>
    <w:p w:rsidR="00846BDC" w:rsidRDefault="00757BE2" w:rsidP="003F7AF9">
      <w:pPr>
        <w:pStyle w:val="SingleTxtG"/>
        <w:rPr>
          <w:rFonts w:eastAsia="MS Mincho"/>
          <w:lang w:val="fr-FR" w:eastAsia="zh-CN"/>
        </w:rPr>
      </w:pPr>
      <w:r w:rsidRPr="00757BE2">
        <w:rPr>
          <w:rFonts w:eastAsia="MS Mincho"/>
          <w:lang w:val="fr-FR" w:eastAsia="zh-CN"/>
        </w:rPr>
        <w:t>4.1</w:t>
      </w:r>
      <w:r w:rsidRPr="00757BE2">
        <w:rPr>
          <w:rFonts w:eastAsia="MS Mincho"/>
          <w:lang w:val="fr-FR" w:eastAsia="zh-CN"/>
        </w:rPr>
        <w:tab/>
      </w:r>
      <w:r w:rsidR="00BA7C89">
        <w:rPr>
          <w:rFonts w:eastAsia="MS Mincho"/>
          <w:lang w:val="fr-FR" w:eastAsia="zh-CN"/>
        </w:rPr>
        <w:t>L’</w:t>
      </w:r>
      <w:r w:rsidR="005F1695">
        <w:rPr>
          <w:rFonts w:eastAsia="MS Mincho"/>
          <w:lang w:val="fr-FR" w:eastAsia="zh-CN"/>
        </w:rPr>
        <w:t>État</w:t>
      </w:r>
      <w:r w:rsidR="00BA7C89">
        <w:rPr>
          <w:rFonts w:eastAsia="MS Mincho"/>
          <w:lang w:val="fr-FR" w:eastAsia="zh-CN"/>
        </w:rPr>
        <w:t xml:space="preserve"> partie conteste la recevabilité de la plainte </w:t>
      </w:r>
      <w:r w:rsidR="005F1695">
        <w:rPr>
          <w:rFonts w:eastAsia="MS Mincho"/>
          <w:lang w:val="fr-FR" w:eastAsia="zh-CN"/>
        </w:rPr>
        <w:t>en raison</w:t>
      </w:r>
      <w:r w:rsidR="0068431F">
        <w:rPr>
          <w:rFonts w:eastAsia="MS Mincho"/>
          <w:lang w:val="fr-FR" w:eastAsia="zh-CN"/>
        </w:rPr>
        <w:t xml:space="preserve"> </w:t>
      </w:r>
      <w:r w:rsidR="005F1695">
        <w:rPr>
          <w:rFonts w:eastAsia="MS Mincho"/>
          <w:lang w:val="fr-FR" w:eastAsia="zh-CN"/>
        </w:rPr>
        <w:t xml:space="preserve">du </w:t>
      </w:r>
      <w:r w:rsidR="0068431F">
        <w:rPr>
          <w:rFonts w:eastAsia="MS Mincho"/>
          <w:lang w:val="fr-FR" w:eastAsia="zh-CN"/>
        </w:rPr>
        <w:t>non</w:t>
      </w:r>
      <w:r w:rsidR="003F7AF9">
        <w:rPr>
          <w:rFonts w:eastAsia="MS Mincho"/>
          <w:lang w:val="fr-FR" w:eastAsia="zh-CN"/>
        </w:rPr>
        <w:t>-</w:t>
      </w:r>
      <w:r w:rsidR="0068431F">
        <w:rPr>
          <w:rFonts w:eastAsia="MS Mincho"/>
          <w:lang w:val="fr-FR" w:eastAsia="zh-CN"/>
        </w:rPr>
        <w:t>épuisement des voi</w:t>
      </w:r>
      <w:r w:rsidR="00BA7C89">
        <w:rPr>
          <w:rFonts w:eastAsia="MS Mincho"/>
          <w:lang w:val="fr-FR" w:eastAsia="zh-CN"/>
        </w:rPr>
        <w:t xml:space="preserve">es de recours internes </w:t>
      </w:r>
      <w:r w:rsidR="00D449EC">
        <w:rPr>
          <w:rFonts w:eastAsia="MS Mincho"/>
          <w:lang w:val="fr-FR" w:eastAsia="zh-CN"/>
        </w:rPr>
        <w:t xml:space="preserve">par le requérant </w:t>
      </w:r>
      <w:r w:rsidR="00BA7C89">
        <w:rPr>
          <w:rFonts w:eastAsia="MS Mincho"/>
          <w:lang w:val="fr-FR" w:eastAsia="zh-CN"/>
        </w:rPr>
        <w:t>contre la décision d</w:t>
      </w:r>
      <w:r w:rsidR="00D449EC">
        <w:rPr>
          <w:rFonts w:eastAsia="MS Mincho"/>
          <w:lang w:val="fr-FR" w:eastAsia="zh-CN"/>
        </w:rPr>
        <w:t>’</w:t>
      </w:r>
      <w:r w:rsidR="00BA7C89">
        <w:rPr>
          <w:rFonts w:eastAsia="MS Mincho"/>
          <w:lang w:val="fr-FR" w:eastAsia="zh-CN"/>
        </w:rPr>
        <w:t xml:space="preserve">extradition vers l’Algérie. </w:t>
      </w:r>
      <w:r w:rsidR="0068431F">
        <w:rPr>
          <w:rFonts w:eastAsia="MS Mincho"/>
          <w:lang w:val="fr-FR" w:eastAsia="zh-CN"/>
        </w:rPr>
        <w:t>L’</w:t>
      </w:r>
      <w:r w:rsidR="005F1695">
        <w:rPr>
          <w:rFonts w:eastAsia="MS Mincho"/>
          <w:lang w:val="fr-FR" w:eastAsia="zh-CN"/>
        </w:rPr>
        <w:t>État</w:t>
      </w:r>
      <w:r w:rsidR="0068431F">
        <w:rPr>
          <w:rFonts w:eastAsia="MS Mincho"/>
          <w:lang w:val="fr-FR" w:eastAsia="zh-CN"/>
        </w:rPr>
        <w:t xml:space="preserve"> partie rappelle que la procédure d’extradition comporte deux volet</w:t>
      </w:r>
      <w:r w:rsidR="004719A4">
        <w:rPr>
          <w:rFonts w:eastAsia="MS Mincho"/>
          <w:lang w:val="fr-FR" w:eastAsia="zh-CN"/>
        </w:rPr>
        <w:t>s</w:t>
      </w:r>
      <w:r w:rsidR="0068431F">
        <w:rPr>
          <w:rFonts w:eastAsia="MS Mincho"/>
          <w:lang w:val="fr-FR" w:eastAsia="zh-CN"/>
        </w:rPr>
        <w:t xml:space="preserve">, un judiciaire et un </w:t>
      </w:r>
      <w:r w:rsidR="008200A0">
        <w:rPr>
          <w:rFonts w:eastAsia="MS Mincho"/>
          <w:lang w:val="fr-FR" w:eastAsia="zh-CN"/>
        </w:rPr>
        <w:t>administratif</w:t>
      </w:r>
      <w:r w:rsidR="0068431F">
        <w:rPr>
          <w:rFonts w:eastAsia="MS Mincho"/>
          <w:lang w:val="fr-FR" w:eastAsia="zh-CN"/>
        </w:rPr>
        <w:t>.</w:t>
      </w:r>
      <w:r w:rsidR="0003413D">
        <w:rPr>
          <w:rFonts w:eastAsia="MS Mincho"/>
          <w:lang w:val="fr-FR" w:eastAsia="zh-CN"/>
        </w:rPr>
        <w:t xml:space="preserve"> </w:t>
      </w:r>
    </w:p>
    <w:p w:rsidR="00846BDC" w:rsidRDefault="00846BDC" w:rsidP="003F7AF9">
      <w:pPr>
        <w:pStyle w:val="SingleTxtG"/>
        <w:rPr>
          <w:rFonts w:eastAsia="MS Mincho"/>
          <w:lang w:val="fr-FR" w:eastAsia="zh-CN"/>
        </w:rPr>
      </w:pPr>
      <w:r>
        <w:rPr>
          <w:rFonts w:eastAsia="MS Mincho"/>
          <w:lang w:val="fr-FR" w:eastAsia="zh-CN"/>
        </w:rPr>
        <w:t>4.2</w:t>
      </w:r>
      <w:r>
        <w:rPr>
          <w:rFonts w:eastAsia="MS Mincho"/>
          <w:lang w:val="fr-FR" w:eastAsia="zh-CN"/>
        </w:rPr>
        <w:tab/>
      </w:r>
      <w:r w:rsidR="0068431F">
        <w:rPr>
          <w:rFonts w:eastAsia="MS Mincho"/>
          <w:lang w:val="fr-FR" w:eastAsia="zh-CN"/>
        </w:rPr>
        <w:t xml:space="preserve">La procédure judiciaire s’est déroulée devant la </w:t>
      </w:r>
      <w:r w:rsidR="003F7AF9">
        <w:rPr>
          <w:rFonts w:eastAsia="MS Mincho"/>
          <w:lang w:val="fr-FR" w:eastAsia="zh-CN"/>
        </w:rPr>
        <w:t>C</w:t>
      </w:r>
      <w:r w:rsidR="0068431F">
        <w:rPr>
          <w:rFonts w:eastAsia="MS Mincho"/>
          <w:lang w:val="fr-FR" w:eastAsia="zh-CN"/>
        </w:rPr>
        <w:t xml:space="preserve">our de </w:t>
      </w:r>
      <w:r w:rsidR="00555021">
        <w:rPr>
          <w:rFonts w:eastAsia="MS Mincho"/>
          <w:lang w:val="fr-FR" w:eastAsia="zh-CN"/>
        </w:rPr>
        <w:t>c</w:t>
      </w:r>
      <w:r w:rsidR="0068431F">
        <w:rPr>
          <w:rFonts w:eastAsia="MS Mincho"/>
          <w:lang w:val="fr-FR" w:eastAsia="zh-CN"/>
        </w:rPr>
        <w:t>assation</w:t>
      </w:r>
      <w:r w:rsidR="003F7AF9">
        <w:rPr>
          <w:rFonts w:eastAsia="MS Mincho"/>
          <w:lang w:val="fr-FR" w:eastAsia="zh-CN"/>
        </w:rPr>
        <w:t>,</w:t>
      </w:r>
      <w:r w:rsidR="0068431F">
        <w:rPr>
          <w:rFonts w:eastAsia="MS Mincho"/>
          <w:lang w:val="fr-FR" w:eastAsia="zh-CN"/>
        </w:rPr>
        <w:t xml:space="preserve"> qui a prononcé un avi</w:t>
      </w:r>
      <w:r w:rsidR="002D5577">
        <w:rPr>
          <w:rFonts w:eastAsia="MS Mincho"/>
          <w:lang w:val="fr-FR" w:eastAsia="zh-CN"/>
        </w:rPr>
        <w:t xml:space="preserve">s favorable à l’extradition du </w:t>
      </w:r>
      <w:r w:rsidR="0068431F">
        <w:rPr>
          <w:rFonts w:eastAsia="MS Mincho"/>
          <w:lang w:val="fr-FR" w:eastAsia="zh-CN"/>
        </w:rPr>
        <w:t xml:space="preserve">requérant par </w:t>
      </w:r>
      <w:r>
        <w:rPr>
          <w:rFonts w:eastAsia="MS Mincho"/>
          <w:lang w:val="fr-FR" w:eastAsia="zh-CN"/>
        </w:rPr>
        <w:t>la</w:t>
      </w:r>
      <w:r w:rsidR="0068431F">
        <w:rPr>
          <w:rFonts w:eastAsia="MS Mincho"/>
          <w:lang w:val="fr-FR" w:eastAsia="zh-CN"/>
        </w:rPr>
        <w:t xml:space="preserve"> décision du 25</w:t>
      </w:r>
      <w:r w:rsidR="006D1717">
        <w:rPr>
          <w:rFonts w:eastAsia="MS Mincho"/>
          <w:lang w:val="fr-FR" w:eastAsia="zh-CN"/>
        </w:rPr>
        <w:t> </w:t>
      </w:r>
      <w:r w:rsidR="0068431F">
        <w:rPr>
          <w:rFonts w:eastAsia="MS Mincho"/>
          <w:lang w:val="fr-FR" w:eastAsia="zh-CN"/>
        </w:rPr>
        <w:t>avril 2012, la Cour a</w:t>
      </w:r>
      <w:r>
        <w:rPr>
          <w:rFonts w:eastAsia="MS Mincho"/>
          <w:lang w:val="fr-FR" w:eastAsia="zh-CN"/>
        </w:rPr>
        <w:t>yant</w:t>
      </w:r>
      <w:r w:rsidR="0068431F">
        <w:rPr>
          <w:rFonts w:eastAsia="MS Mincho"/>
          <w:lang w:val="fr-FR" w:eastAsia="zh-CN"/>
        </w:rPr>
        <w:t xml:space="preserve"> estimé que les craintes du requérant </w:t>
      </w:r>
      <w:r>
        <w:rPr>
          <w:rFonts w:eastAsia="MS Mincho"/>
          <w:lang w:val="fr-FR" w:eastAsia="zh-CN"/>
        </w:rPr>
        <w:t xml:space="preserve">d’être torturé par les autorités algériennes </w:t>
      </w:r>
      <w:r w:rsidR="0068431F">
        <w:rPr>
          <w:rFonts w:eastAsia="MS Mincho"/>
          <w:lang w:val="fr-FR" w:eastAsia="zh-CN"/>
        </w:rPr>
        <w:t>étaient infondées.</w:t>
      </w:r>
      <w:r>
        <w:rPr>
          <w:rFonts w:eastAsia="MS Mincho"/>
          <w:lang w:val="fr-FR" w:eastAsia="zh-CN"/>
        </w:rPr>
        <w:t xml:space="preserve"> </w:t>
      </w:r>
      <w:r w:rsidR="0068431F">
        <w:rPr>
          <w:rFonts w:eastAsia="MS Mincho"/>
          <w:lang w:val="fr-FR" w:eastAsia="zh-CN"/>
        </w:rPr>
        <w:t>Le 23</w:t>
      </w:r>
      <w:r w:rsidR="006D1717">
        <w:rPr>
          <w:rFonts w:eastAsia="MS Mincho"/>
          <w:lang w:val="fr-FR" w:eastAsia="zh-CN"/>
        </w:rPr>
        <w:t> </w:t>
      </w:r>
      <w:r w:rsidR="0068431F">
        <w:rPr>
          <w:rFonts w:eastAsia="MS Mincho"/>
          <w:lang w:val="fr-FR" w:eastAsia="zh-CN"/>
        </w:rPr>
        <w:t xml:space="preserve">juillet 2012, le requérant a introduit un recours en </w:t>
      </w:r>
      <w:r w:rsidR="008200A0">
        <w:rPr>
          <w:rFonts w:eastAsia="MS Mincho"/>
          <w:lang w:val="fr-FR" w:eastAsia="zh-CN"/>
        </w:rPr>
        <w:t>rétractation</w:t>
      </w:r>
      <w:r w:rsidR="0068431F">
        <w:rPr>
          <w:rFonts w:eastAsia="MS Mincho"/>
          <w:lang w:val="fr-FR" w:eastAsia="zh-CN"/>
        </w:rPr>
        <w:t xml:space="preserve"> contre l’avis favorable de la</w:t>
      </w:r>
      <w:r w:rsidR="008200A0">
        <w:rPr>
          <w:rFonts w:eastAsia="MS Mincho"/>
          <w:lang w:val="fr-FR" w:eastAsia="zh-CN"/>
        </w:rPr>
        <w:t xml:space="preserve"> Cour de cassation</w:t>
      </w:r>
      <w:r w:rsidR="00D449EC">
        <w:rPr>
          <w:rFonts w:eastAsia="MS Mincho"/>
          <w:lang w:val="fr-FR" w:eastAsia="zh-CN"/>
        </w:rPr>
        <w:t>.</w:t>
      </w:r>
      <w:r w:rsidR="0003413D">
        <w:rPr>
          <w:rFonts w:eastAsia="MS Mincho"/>
          <w:lang w:val="fr-FR" w:eastAsia="zh-CN"/>
        </w:rPr>
        <w:t xml:space="preserve"> </w:t>
      </w:r>
      <w:r w:rsidR="00D449EC">
        <w:rPr>
          <w:rFonts w:eastAsia="MS Mincho"/>
          <w:lang w:val="fr-FR" w:eastAsia="zh-CN"/>
        </w:rPr>
        <w:t>L</w:t>
      </w:r>
      <w:r w:rsidR="008200A0">
        <w:rPr>
          <w:rFonts w:eastAsia="MS Mincho"/>
          <w:lang w:val="fr-FR" w:eastAsia="zh-CN"/>
        </w:rPr>
        <w:t>e 25</w:t>
      </w:r>
      <w:r w:rsidR="006D1717">
        <w:rPr>
          <w:rFonts w:eastAsia="MS Mincho"/>
          <w:lang w:val="fr-FR" w:eastAsia="zh-CN"/>
        </w:rPr>
        <w:t> </w:t>
      </w:r>
      <w:r w:rsidR="008200A0">
        <w:rPr>
          <w:rFonts w:eastAsia="MS Mincho"/>
          <w:lang w:val="fr-FR" w:eastAsia="zh-CN"/>
        </w:rPr>
        <w:t>nov</w:t>
      </w:r>
      <w:r w:rsidR="0068431F">
        <w:rPr>
          <w:rFonts w:eastAsia="MS Mincho"/>
          <w:lang w:val="fr-FR" w:eastAsia="zh-CN"/>
        </w:rPr>
        <w:t>e</w:t>
      </w:r>
      <w:r w:rsidR="008200A0">
        <w:rPr>
          <w:rFonts w:eastAsia="MS Mincho"/>
          <w:lang w:val="fr-FR" w:eastAsia="zh-CN"/>
        </w:rPr>
        <w:t>m</w:t>
      </w:r>
      <w:r w:rsidR="0068431F">
        <w:rPr>
          <w:rFonts w:eastAsia="MS Mincho"/>
          <w:lang w:val="fr-FR" w:eastAsia="zh-CN"/>
        </w:rPr>
        <w:t xml:space="preserve">bre 2012, la Cour </w:t>
      </w:r>
      <w:r w:rsidR="005F1695">
        <w:rPr>
          <w:rFonts w:eastAsia="MS Mincho"/>
          <w:lang w:val="fr-FR" w:eastAsia="zh-CN"/>
        </w:rPr>
        <w:t xml:space="preserve">a rendu </w:t>
      </w:r>
      <w:r w:rsidR="008200A0">
        <w:rPr>
          <w:rFonts w:eastAsia="MS Mincho"/>
          <w:lang w:val="fr-FR" w:eastAsia="zh-CN"/>
        </w:rPr>
        <w:t>sa décision</w:t>
      </w:r>
      <w:r w:rsidR="00D449EC">
        <w:rPr>
          <w:rFonts w:eastAsia="MS Mincho"/>
          <w:lang w:val="fr-FR" w:eastAsia="zh-CN"/>
        </w:rPr>
        <w:t xml:space="preserve"> dans laquelle, a</w:t>
      </w:r>
      <w:r w:rsidR="008200A0">
        <w:rPr>
          <w:rFonts w:eastAsia="MS Mincho"/>
          <w:lang w:val="fr-FR" w:eastAsia="zh-CN"/>
        </w:rPr>
        <w:t xml:space="preserve">près avoir accepté le recours sur </w:t>
      </w:r>
      <w:r w:rsidR="005F1695">
        <w:rPr>
          <w:rFonts w:eastAsia="MS Mincho"/>
          <w:lang w:val="fr-FR" w:eastAsia="zh-CN"/>
        </w:rPr>
        <w:t xml:space="preserve">la </w:t>
      </w:r>
      <w:r w:rsidR="008200A0">
        <w:rPr>
          <w:rFonts w:eastAsia="MS Mincho"/>
          <w:lang w:val="fr-FR" w:eastAsia="zh-CN"/>
        </w:rPr>
        <w:t>forme, elle l’a rejeté sur le fond en maintenant sa motivation initiale d’avis favorable à l’extradition</w:t>
      </w:r>
      <w:r w:rsidR="00D449EC" w:rsidRPr="0003413D">
        <w:rPr>
          <w:rStyle w:val="FootnoteReference"/>
          <w:rFonts w:eastAsia="MS Mincho"/>
        </w:rPr>
        <w:footnoteReference w:id="12"/>
      </w:r>
      <w:r w:rsidR="006D1717">
        <w:rPr>
          <w:rFonts w:eastAsia="MS Mincho"/>
          <w:lang w:val="fr-FR" w:eastAsia="zh-CN"/>
        </w:rPr>
        <w:t>.</w:t>
      </w:r>
      <w:r w:rsidR="008200A0">
        <w:rPr>
          <w:rFonts w:eastAsia="MS Mincho"/>
          <w:lang w:val="fr-FR" w:eastAsia="zh-CN"/>
        </w:rPr>
        <w:t xml:space="preserve"> L’</w:t>
      </w:r>
      <w:r w:rsidR="005F1695">
        <w:rPr>
          <w:rFonts w:eastAsia="MS Mincho"/>
          <w:lang w:val="fr-FR" w:eastAsia="zh-CN"/>
        </w:rPr>
        <w:t>État</w:t>
      </w:r>
      <w:r w:rsidR="008200A0">
        <w:rPr>
          <w:rFonts w:eastAsia="MS Mincho"/>
          <w:lang w:val="fr-FR" w:eastAsia="zh-CN"/>
        </w:rPr>
        <w:t xml:space="preserve"> partie précise que </w:t>
      </w:r>
      <w:r>
        <w:rPr>
          <w:rFonts w:eastAsia="MS Mincho"/>
          <w:lang w:val="fr-FR" w:eastAsia="zh-CN"/>
        </w:rPr>
        <w:t xml:space="preserve">contrairement aux dires du requérant, </w:t>
      </w:r>
      <w:r w:rsidR="008200A0">
        <w:rPr>
          <w:rFonts w:eastAsia="MS Mincho"/>
          <w:lang w:val="fr-FR" w:eastAsia="zh-CN"/>
        </w:rPr>
        <w:t>le recours en rétractation est explicitement prévu en matière pénale</w:t>
      </w:r>
      <w:r w:rsidR="008200A0" w:rsidRPr="0003413D">
        <w:rPr>
          <w:rStyle w:val="FootnoteReference"/>
          <w:rFonts w:eastAsia="MS Mincho"/>
        </w:rPr>
        <w:footnoteReference w:id="13"/>
      </w:r>
      <w:r w:rsidR="008200A0">
        <w:rPr>
          <w:rFonts w:eastAsia="MS Mincho"/>
          <w:lang w:val="fr-FR" w:eastAsia="zh-CN"/>
        </w:rPr>
        <w:t xml:space="preserve"> </w:t>
      </w:r>
      <w:r>
        <w:rPr>
          <w:rFonts w:eastAsia="MS Mincho"/>
          <w:lang w:val="fr-FR" w:eastAsia="zh-CN"/>
        </w:rPr>
        <w:t>et</w:t>
      </w:r>
      <w:r w:rsidR="003F7AF9">
        <w:rPr>
          <w:rFonts w:eastAsia="MS Mincho"/>
          <w:lang w:val="fr-FR" w:eastAsia="zh-CN"/>
        </w:rPr>
        <w:t>,</w:t>
      </w:r>
      <w:r>
        <w:rPr>
          <w:rFonts w:eastAsia="MS Mincho"/>
          <w:lang w:val="fr-FR" w:eastAsia="zh-CN"/>
        </w:rPr>
        <w:t xml:space="preserve"> comme </w:t>
      </w:r>
      <w:r w:rsidR="005F1695">
        <w:rPr>
          <w:rFonts w:eastAsia="MS Mincho"/>
          <w:lang w:val="fr-FR" w:eastAsia="zh-CN"/>
        </w:rPr>
        <w:t>tel</w:t>
      </w:r>
      <w:r>
        <w:rPr>
          <w:rFonts w:eastAsia="MS Mincho"/>
          <w:lang w:val="fr-FR" w:eastAsia="zh-CN"/>
        </w:rPr>
        <w:t xml:space="preserve">, il a un caractère suspensif. </w:t>
      </w:r>
      <w:r w:rsidR="003F7AF9">
        <w:rPr>
          <w:rFonts w:eastAsia="MS Mincho"/>
          <w:lang w:val="fr-FR" w:eastAsia="zh-CN"/>
        </w:rPr>
        <w:t xml:space="preserve">L’État partie </w:t>
      </w:r>
      <w:r>
        <w:rPr>
          <w:rFonts w:eastAsia="MS Mincho"/>
          <w:lang w:val="fr-FR" w:eastAsia="zh-CN"/>
        </w:rPr>
        <w:t>note que</w:t>
      </w:r>
      <w:r w:rsidR="008200A0">
        <w:rPr>
          <w:rFonts w:eastAsia="MS Mincho"/>
          <w:lang w:val="fr-FR" w:eastAsia="zh-CN"/>
        </w:rPr>
        <w:t xml:space="preserve"> la Cour de cassation a rendu de nombreux </w:t>
      </w:r>
      <w:r w:rsidR="004852D5">
        <w:rPr>
          <w:rFonts w:eastAsia="MS Mincho"/>
          <w:lang w:val="fr-FR" w:eastAsia="zh-CN"/>
        </w:rPr>
        <w:t>arrêts</w:t>
      </w:r>
      <w:r w:rsidR="008200A0">
        <w:rPr>
          <w:rFonts w:eastAsia="MS Mincho"/>
          <w:lang w:val="fr-FR" w:eastAsia="zh-CN"/>
        </w:rPr>
        <w:t xml:space="preserve"> en la matière et </w:t>
      </w:r>
      <w:r>
        <w:rPr>
          <w:rFonts w:eastAsia="MS Mincho"/>
          <w:lang w:val="fr-FR" w:eastAsia="zh-CN"/>
        </w:rPr>
        <w:t xml:space="preserve">qu’elle </w:t>
      </w:r>
      <w:r w:rsidR="008200A0">
        <w:rPr>
          <w:rFonts w:eastAsia="MS Mincho"/>
          <w:lang w:val="fr-FR" w:eastAsia="zh-CN"/>
        </w:rPr>
        <w:t xml:space="preserve">s’est rétractée au sujet de plusieurs de ses </w:t>
      </w:r>
      <w:r w:rsidR="004852D5">
        <w:rPr>
          <w:rFonts w:eastAsia="MS Mincho"/>
          <w:lang w:val="fr-FR" w:eastAsia="zh-CN"/>
        </w:rPr>
        <w:t>arrêts</w:t>
      </w:r>
      <w:r w:rsidR="008200A0">
        <w:rPr>
          <w:rFonts w:eastAsia="MS Mincho"/>
          <w:lang w:val="fr-FR" w:eastAsia="zh-CN"/>
        </w:rPr>
        <w:t xml:space="preserve"> pron</w:t>
      </w:r>
      <w:r w:rsidR="004852D5">
        <w:rPr>
          <w:rFonts w:eastAsia="MS Mincho"/>
          <w:lang w:val="fr-FR" w:eastAsia="zh-CN"/>
        </w:rPr>
        <w:t>on</w:t>
      </w:r>
      <w:r w:rsidR="008200A0">
        <w:rPr>
          <w:rFonts w:eastAsia="MS Mincho"/>
          <w:lang w:val="fr-FR" w:eastAsia="zh-CN"/>
        </w:rPr>
        <w:t xml:space="preserve">cés en </w:t>
      </w:r>
      <w:r w:rsidR="008200A0" w:rsidRPr="00003558">
        <w:rPr>
          <w:rFonts w:eastAsia="MS Mincho"/>
          <w:lang w:val="fr-FR" w:eastAsia="zh-CN"/>
        </w:rPr>
        <w:t>matière d’extradition</w:t>
      </w:r>
      <w:r w:rsidR="008200A0" w:rsidRPr="0003413D">
        <w:rPr>
          <w:rStyle w:val="FootnoteReference"/>
          <w:rFonts w:eastAsia="MS Mincho"/>
        </w:rPr>
        <w:footnoteReference w:id="14"/>
      </w:r>
      <w:r w:rsidR="006D1717">
        <w:rPr>
          <w:rFonts w:eastAsia="MS Mincho"/>
          <w:lang w:val="fr-FR" w:eastAsia="zh-CN"/>
        </w:rPr>
        <w:t>.</w:t>
      </w:r>
      <w:r w:rsidR="008200A0">
        <w:rPr>
          <w:rFonts w:eastAsia="MS Mincho"/>
          <w:lang w:val="fr-FR" w:eastAsia="zh-CN"/>
        </w:rPr>
        <w:t xml:space="preserve"> </w:t>
      </w:r>
      <w:r w:rsidR="00D449EC">
        <w:rPr>
          <w:rFonts w:eastAsia="MS Mincho"/>
          <w:lang w:val="fr-FR" w:eastAsia="zh-CN"/>
        </w:rPr>
        <w:t>L’</w:t>
      </w:r>
      <w:r w:rsidR="005F1695">
        <w:rPr>
          <w:rFonts w:eastAsia="MS Mincho"/>
          <w:lang w:val="fr-FR" w:eastAsia="zh-CN"/>
        </w:rPr>
        <w:t>État</w:t>
      </w:r>
      <w:r w:rsidR="00D449EC">
        <w:rPr>
          <w:rFonts w:eastAsia="MS Mincho"/>
          <w:lang w:val="fr-FR" w:eastAsia="zh-CN"/>
        </w:rPr>
        <w:t xml:space="preserve"> partie conclu</w:t>
      </w:r>
      <w:r w:rsidR="003F7AF9">
        <w:rPr>
          <w:rFonts w:eastAsia="MS Mincho"/>
          <w:lang w:val="fr-FR" w:eastAsia="zh-CN"/>
        </w:rPr>
        <w:t>t</w:t>
      </w:r>
      <w:r w:rsidR="00D449EC">
        <w:rPr>
          <w:rFonts w:eastAsia="MS Mincho"/>
          <w:lang w:val="fr-FR" w:eastAsia="zh-CN"/>
        </w:rPr>
        <w:t xml:space="preserve"> que la requête déposée devant le Comité était </w:t>
      </w:r>
      <w:r w:rsidR="00475DE1">
        <w:rPr>
          <w:rFonts w:eastAsia="MS Mincho"/>
          <w:lang w:val="fr-FR" w:eastAsia="zh-CN"/>
        </w:rPr>
        <w:t>«</w:t>
      </w:r>
      <w:r w:rsidR="00D449EC">
        <w:rPr>
          <w:rFonts w:eastAsia="MS Mincho"/>
          <w:lang w:val="fr-FR" w:eastAsia="zh-CN"/>
        </w:rPr>
        <w:t>prématurée</w:t>
      </w:r>
      <w:r w:rsidR="00475DE1">
        <w:rPr>
          <w:rFonts w:eastAsia="MS Mincho"/>
          <w:lang w:val="fr-FR" w:eastAsia="zh-CN"/>
        </w:rPr>
        <w:t>»</w:t>
      </w:r>
      <w:r w:rsidR="00D449EC">
        <w:rPr>
          <w:rFonts w:eastAsia="MS Mincho"/>
          <w:lang w:val="fr-FR" w:eastAsia="zh-CN"/>
        </w:rPr>
        <w:t xml:space="preserve"> et non conforme aux exigences d’épuisement des voies de recours internes.</w:t>
      </w:r>
    </w:p>
    <w:p w:rsidR="00E57B6D" w:rsidRDefault="007D2398" w:rsidP="004B439A">
      <w:pPr>
        <w:pStyle w:val="SingleTxtG"/>
        <w:rPr>
          <w:rFonts w:eastAsia="MS Mincho"/>
          <w:lang w:val="fr-FR" w:eastAsia="zh-CN"/>
        </w:rPr>
      </w:pPr>
      <w:r>
        <w:rPr>
          <w:rFonts w:eastAsia="MS Mincho"/>
          <w:lang w:val="fr-FR" w:eastAsia="zh-CN"/>
        </w:rPr>
        <w:t>4.</w:t>
      </w:r>
      <w:r w:rsidR="009E0DF5">
        <w:rPr>
          <w:rFonts w:eastAsia="MS Mincho"/>
          <w:lang w:val="fr-FR" w:eastAsia="zh-CN"/>
        </w:rPr>
        <w:t>3</w:t>
      </w:r>
      <w:r>
        <w:rPr>
          <w:rFonts w:eastAsia="MS Mincho"/>
          <w:lang w:val="fr-FR" w:eastAsia="zh-CN"/>
        </w:rPr>
        <w:tab/>
      </w:r>
      <w:r w:rsidR="00846BDC">
        <w:rPr>
          <w:rFonts w:eastAsia="MS Mincho"/>
          <w:lang w:val="fr-FR" w:eastAsia="zh-CN"/>
        </w:rPr>
        <w:t>L’</w:t>
      </w:r>
      <w:r w:rsidR="005F1695">
        <w:rPr>
          <w:rFonts w:eastAsia="MS Mincho"/>
          <w:lang w:val="fr-FR" w:eastAsia="zh-CN"/>
        </w:rPr>
        <w:t>État</w:t>
      </w:r>
      <w:r w:rsidR="00846BDC">
        <w:rPr>
          <w:rFonts w:eastAsia="MS Mincho"/>
          <w:lang w:val="fr-FR" w:eastAsia="zh-CN"/>
        </w:rPr>
        <w:t xml:space="preserve"> partie souligne</w:t>
      </w:r>
      <w:r w:rsidR="00E57B6D">
        <w:rPr>
          <w:rFonts w:eastAsia="MS Mincho"/>
          <w:lang w:val="fr-FR" w:eastAsia="zh-CN"/>
        </w:rPr>
        <w:t xml:space="preserve"> </w:t>
      </w:r>
      <w:r w:rsidR="00846BDC">
        <w:rPr>
          <w:rFonts w:eastAsia="MS Mincho"/>
          <w:lang w:val="fr-FR" w:eastAsia="zh-CN"/>
        </w:rPr>
        <w:t xml:space="preserve">que la deuxième partie de la procédure d’extradition est de nature administrative. Concrètement, il s’agit de la décision </w:t>
      </w:r>
      <w:r w:rsidR="002D5577">
        <w:rPr>
          <w:rFonts w:eastAsia="MS Mincho"/>
          <w:lang w:val="fr-FR" w:eastAsia="zh-CN"/>
        </w:rPr>
        <w:t xml:space="preserve">prise </w:t>
      </w:r>
      <w:r>
        <w:rPr>
          <w:rFonts w:eastAsia="MS Mincho"/>
          <w:lang w:val="fr-FR" w:eastAsia="zh-CN"/>
        </w:rPr>
        <w:t>par</w:t>
      </w:r>
      <w:r w:rsidR="008B1A0D">
        <w:rPr>
          <w:rFonts w:eastAsia="MS Mincho"/>
          <w:lang w:val="fr-FR" w:eastAsia="zh-CN"/>
        </w:rPr>
        <w:t xml:space="preserve"> décret </w:t>
      </w:r>
      <w:r w:rsidR="00D449EC">
        <w:rPr>
          <w:rFonts w:eastAsia="MS Mincho"/>
          <w:lang w:val="fr-FR" w:eastAsia="zh-CN"/>
        </w:rPr>
        <w:t>par le</w:t>
      </w:r>
      <w:r>
        <w:rPr>
          <w:rFonts w:eastAsia="MS Mincho"/>
          <w:lang w:val="fr-FR" w:eastAsia="zh-CN"/>
        </w:rPr>
        <w:t xml:space="preserve"> </w:t>
      </w:r>
      <w:r w:rsidR="004B439A">
        <w:rPr>
          <w:rFonts w:eastAsia="MS Mincho"/>
          <w:lang w:val="fr-FR" w:eastAsia="zh-CN"/>
        </w:rPr>
        <w:t>c</w:t>
      </w:r>
      <w:r>
        <w:rPr>
          <w:rFonts w:eastAsia="MS Mincho"/>
          <w:lang w:val="fr-FR" w:eastAsia="zh-CN"/>
        </w:rPr>
        <w:t>hef du</w:t>
      </w:r>
      <w:r w:rsidR="00846BDC">
        <w:rPr>
          <w:rFonts w:eastAsia="MS Mincho"/>
          <w:lang w:val="fr-FR" w:eastAsia="zh-CN"/>
        </w:rPr>
        <w:t xml:space="preserve"> </w:t>
      </w:r>
      <w:r w:rsidR="002E7767">
        <w:rPr>
          <w:rFonts w:eastAsia="MS Mincho"/>
          <w:lang w:val="fr-FR" w:eastAsia="zh-CN"/>
        </w:rPr>
        <w:t>Gouvernement</w:t>
      </w:r>
      <w:r w:rsidR="009E0DF5">
        <w:rPr>
          <w:rFonts w:eastAsia="MS Mincho"/>
          <w:lang w:val="fr-FR" w:eastAsia="zh-CN"/>
        </w:rPr>
        <w:t xml:space="preserve"> (Premier Ministre)</w:t>
      </w:r>
      <w:r w:rsidR="00846BDC">
        <w:rPr>
          <w:rFonts w:eastAsia="MS Mincho"/>
          <w:lang w:val="fr-FR" w:eastAsia="zh-CN"/>
        </w:rPr>
        <w:t xml:space="preserve">, qui doit </w:t>
      </w:r>
      <w:r w:rsidR="002D5577">
        <w:rPr>
          <w:rFonts w:eastAsia="MS Mincho"/>
          <w:lang w:val="fr-FR" w:eastAsia="zh-CN"/>
        </w:rPr>
        <w:t>s</w:t>
      </w:r>
      <w:r w:rsidR="008B1A0D">
        <w:rPr>
          <w:rFonts w:eastAsia="MS Mincho"/>
          <w:lang w:val="fr-FR" w:eastAsia="zh-CN"/>
        </w:rPr>
        <w:t>e prononcer sur</w:t>
      </w:r>
      <w:r w:rsidR="00846BDC">
        <w:rPr>
          <w:rFonts w:eastAsia="MS Mincho"/>
          <w:lang w:val="fr-FR" w:eastAsia="zh-CN"/>
        </w:rPr>
        <w:t xml:space="preserve"> la demande d’extradition de l’</w:t>
      </w:r>
      <w:r w:rsidR="005F1695">
        <w:rPr>
          <w:rFonts w:eastAsia="MS Mincho"/>
          <w:lang w:val="fr-FR" w:eastAsia="zh-CN"/>
        </w:rPr>
        <w:t>État</w:t>
      </w:r>
      <w:r w:rsidR="008B1A0D">
        <w:rPr>
          <w:rFonts w:eastAsia="MS Mincho"/>
          <w:lang w:val="fr-FR" w:eastAsia="zh-CN"/>
        </w:rPr>
        <w:t xml:space="preserve"> algérien</w:t>
      </w:r>
      <w:r w:rsidR="002D5577">
        <w:rPr>
          <w:rFonts w:eastAsia="MS Mincho"/>
          <w:lang w:val="fr-FR" w:eastAsia="zh-CN"/>
        </w:rPr>
        <w:t>,</w:t>
      </w:r>
      <w:r w:rsidR="008B1A0D">
        <w:rPr>
          <w:rFonts w:eastAsia="MS Mincho"/>
          <w:lang w:val="fr-FR" w:eastAsia="zh-CN"/>
        </w:rPr>
        <w:t xml:space="preserve"> en prenant en compte l’avis émis par la Cour de cassation </w:t>
      </w:r>
      <w:r w:rsidR="009755DB">
        <w:rPr>
          <w:rFonts w:eastAsia="MS Mincho"/>
          <w:lang w:val="fr-FR" w:eastAsia="zh-CN"/>
        </w:rPr>
        <w:t>et les</w:t>
      </w:r>
      <w:r w:rsidR="008B1A0D">
        <w:rPr>
          <w:rFonts w:eastAsia="MS Mincho"/>
          <w:lang w:val="fr-FR" w:eastAsia="zh-CN"/>
        </w:rPr>
        <w:t xml:space="preserve"> dispositions législatives</w:t>
      </w:r>
      <w:r w:rsidR="00D449EC">
        <w:rPr>
          <w:rFonts w:eastAsia="MS Mincho"/>
          <w:lang w:val="fr-FR" w:eastAsia="zh-CN"/>
        </w:rPr>
        <w:t xml:space="preserve"> pertinentes</w:t>
      </w:r>
      <w:r w:rsidR="00846BDC">
        <w:rPr>
          <w:rFonts w:eastAsia="MS Mincho"/>
          <w:lang w:val="fr-FR" w:eastAsia="zh-CN"/>
        </w:rPr>
        <w:t xml:space="preserve">. En l’espèce, le décret </w:t>
      </w:r>
      <w:r w:rsidR="008B1A0D">
        <w:rPr>
          <w:rFonts w:eastAsia="MS Mincho"/>
          <w:lang w:val="fr-FR" w:eastAsia="zh-CN"/>
        </w:rPr>
        <w:t>ordonnant l</w:t>
      </w:r>
      <w:r w:rsidR="00846BDC">
        <w:rPr>
          <w:rFonts w:eastAsia="MS Mincho"/>
          <w:lang w:val="fr-FR" w:eastAsia="zh-CN"/>
        </w:rPr>
        <w:t xml:space="preserve">’extradition </w:t>
      </w:r>
      <w:r w:rsidR="008B1A0D">
        <w:rPr>
          <w:rFonts w:eastAsia="MS Mincho"/>
          <w:lang w:val="fr-FR" w:eastAsia="zh-CN"/>
        </w:rPr>
        <w:t>du</w:t>
      </w:r>
      <w:r w:rsidR="00846BDC">
        <w:rPr>
          <w:rFonts w:eastAsia="MS Mincho"/>
          <w:lang w:val="fr-FR" w:eastAsia="zh-CN"/>
        </w:rPr>
        <w:t xml:space="preserve"> requérant a été </w:t>
      </w:r>
      <w:r w:rsidR="00C34411">
        <w:rPr>
          <w:rFonts w:eastAsia="MS Mincho"/>
          <w:lang w:val="fr-FR" w:eastAsia="zh-CN"/>
        </w:rPr>
        <w:lastRenderedPageBreak/>
        <w:t>signé le 14</w:t>
      </w:r>
      <w:r w:rsidR="006D1717">
        <w:rPr>
          <w:rFonts w:eastAsia="MS Mincho"/>
          <w:lang w:val="fr-FR" w:eastAsia="zh-CN"/>
        </w:rPr>
        <w:t> </w:t>
      </w:r>
      <w:r w:rsidR="00C34411">
        <w:rPr>
          <w:rFonts w:eastAsia="MS Mincho"/>
          <w:lang w:val="fr-FR" w:eastAsia="zh-CN"/>
        </w:rPr>
        <w:t>septembre 2012</w:t>
      </w:r>
      <w:r w:rsidR="00846BDC">
        <w:rPr>
          <w:rFonts w:eastAsia="MS Mincho"/>
          <w:lang w:val="fr-FR" w:eastAsia="zh-CN"/>
        </w:rPr>
        <w:t xml:space="preserve"> </w:t>
      </w:r>
      <w:r w:rsidR="00253360">
        <w:rPr>
          <w:rFonts w:eastAsia="MS Mincho"/>
          <w:lang w:val="fr-FR" w:eastAsia="zh-CN"/>
        </w:rPr>
        <w:t>sur la base de l’avis favorable de la Cour de cassation</w:t>
      </w:r>
      <w:r w:rsidR="00D449EC">
        <w:rPr>
          <w:rFonts w:eastAsia="MS Mincho"/>
          <w:lang w:val="fr-FR" w:eastAsia="zh-CN"/>
        </w:rPr>
        <w:t xml:space="preserve"> rendu le 25</w:t>
      </w:r>
      <w:r w:rsidR="006D1717">
        <w:rPr>
          <w:rFonts w:eastAsia="MS Mincho"/>
          <w:lang w:val="fr-FR" w:eastAsia="zh-CN"/>
        </w:rPr>
        <w:t> </w:t>
      </w:r>
      <w:r w:rsidR="00023460">
        <w:rPr>
          <w:rFonts w:eastAsia="MS Mincho"/>
          <w:lang w:val="fr-FR" w:eastAsia="zh-CN"/>
        </w:rPr>
        <w:t>avril</w:t>
      </w:r>
      <w:r w:rsidR="00D449EC">
        <w:rPr>
          <w:rFonts w:eastAsia="MS Mincho"/>
          <w:lang w:val="fr-FR" w:eastAsia="zh-CN"/>
        </w:rPr>
        <w:t xml:space="preserve"> 2012</w:t>
      </w:r>
      <w:r w:rsidR="00253360">
        <w:rPr>
          <w:rFonts w:eastAsia="MS Mincho"/>
          <w:lang w:val="fr-FR" w:eastAsia="zh-CN"/>
        </w:rPr>
        <w:t xml:space="preserve">, </w:t>
      </w:r>
      <w:r w:rsidR="004B439A">
        <w:rPr>
          <w:rFonts w:eastAsia="MS Mincho"/>
          <w:lang w:val="fr-FR" w:eastAsia="zh-CN"/>
        </w:rPr>
        <w:t>d</w:t>
      </w:r>
      <w:r w:rsidR="009755DB">
        <w:t xml:space="preserve">es </w:t>
      </w:r>
      <w:r w:rsidR="009755DB" w:rsidRPr="00003558">
        <w:t>articles</w:t>
      </w:r>
      <w:r w:rsidR="006D1717" w:rsidRPr="00003558">
        <w:t> </w:t>
      </w:r>
      <w:r w:rsidR="00D449EC" w:rsidRPr="00003558">
        <w:t>718 et suivants du Code de procédure pénale et</w:t>
      </w:r>
      <w:r w:rsidR="00D449EC">
        <w:t xml:space="preserve"> </w:t>
      </w:r>
      <w:r w:rsidR="004B439A">
        <w:t xml:space="preserve">de </w:t>
      </w:r>
      <w:r w:rsidR="00D449EC">
        <w:t>la Convention bilatérale de coopération judiciaire de 1963 entre le Maroc et l’Algérie</w:t>
      </w:r>
      <w:r w:rsidR="00846BDC">
        <w:rPr>
          <w:rFonts w:eastAsia="MS Mincho"/>
          <w:lang w:val="fr-FR" w:eastAsia="zh-CN"/>
        </w:rPr>
        <w:t>.</w:t>
      </w:r>
      <w:r w:rsidR="00E57B6D">
        <w:rPr>
          <w:rFonts w:eastAsia="MS Mincho"/>
          <w:lang w:val="fr-FR" w:eastAsia="zh-CN"/>
        </w:rPr>
        <w:t xml:space="preserve"> L</w:t>
      </w:r>
      <w:r w:rsidR="00D449EC">
        <w:rPr>
          <w:rFonts w:eastAsia="MS Mincho"/>
          <w:lang w:val="fr-FR" w:eastAsia="zh-CN"/>
        </w:rPr>
        <w:t>’</w:t>
      </w:r>
      <w:r w:rsidR="00C34411">
        <w:rPr>
          <w:rFonts w:eastAsia="MS Mincho"/>
          <w:lang w:val="fr-FR" w:eastAsia="zh-CN"/>
        </w:rPr>
        <w:t xml:space="preserve">extradition du requérant était </w:t>
      </w:r>
      <w:r w:rsidR="009E0DF5">
        <w:rPr>
          <w:rFonts w:eastAsia="MS Mincho"/>
          <w:lang w:val="fr-FR" w:eastAsia="zh-CN"/>
        </w:rPr>
        <w:t>initialement</w:t>
      </w:r>
      <w:r w:rsidR="00C34411">
        <w:rPr>
          <w:rFonts w:eastAsia="MS Mincho"/>
          <w:lang w:val="fr-FR" w:eastAsia="zh-CN"/>
        </w:rPr>
        <w:t xml:space="preserve"> prévue pour le </w:t>
      </w:r>
      <w:r w:rsidR="00C34411" w:rsidRPr="006C44A1">
        <w:rPr>
          <w:rFonts w:eastAsia="MS Mincho"/>
          <w:lang w:val="fr-FR" w:eastAsia="zh-CN"/>
        </w:rPr>
        <w:t>15</w:t>
      </w:r>
      <w:r w:rsidR="002E7767" w:rsidRPr="006C44A1">
        <w:rPr>
          <w:rFonts w:eastAsia="MS Mincho"/>
          <w:lang w:val="fr-FR" w:eastAsia="zh-CN"/>
        </w:rPr>
        <w:t> </w:t>
      </w:r>
      <w:r w:rsidR="00C34411" w:rsidRPr="006C44A1">
        <w:rPr>
          <w:rFonts w:eastAsia="MS Mincho"/>
          <w:lang w:val="fr-FR" w:eastAsia="zh-CN"/>
        </w:rPr>
        <w:t>novembre 2012</w:t>
      </w:r>
      <w:r w:rsidR="00E57B6D" w:rsidRPr="006C44A1">
        <w:rPr>
          <w:rFonts w:eastAsia="MS Mincho"/>
          <w:lang w:val="fr-FR" w:eastAsia="zh-CN"/>
        </w:rPr>
        <w:t>,</w:t>
      </w:r>
      <w:r w:rsidR="009E0DF5">
        <w:rPr>
          <w:rFonts w:eastAsia="MS Mincho"/>
          <w:lang w:val="fr-FR" w:eastAsia="zh-CN"/>
        </w:rPr>
        <w:t xml:space="preserve"> mais </w:t>
      </w:r>
      <w:r w:rsidR="00E57B6D">
        <w:rPr>
          <w:rFonts w:eastAsia="MS Mincho"/>
          <w:lang w:val="fr-FR" w:eastAsia="zh-CN"/>
        </w:rPr>
        <w:t>elle n’a pas été</w:t>
      </w:r>
      <w:r w:rsidR="009E0DF5">
        <w:rPr>
          <w:rFonts w:eastAsia="MS Mincho"/>
          <w:lang w:val="fr-FR" w:eastAsia="zh-CN"/>
        </w:rPr>
        <w:t xml:space="preserve"> exécutée en raison des mesures intérimaires </w:t>
      </w:r>
      <w:r w:rsidR="009755DB">
        <w:rPr>
          <w:rFonts w:eastAsia="MS Mincho"/>
          <w:lang w:val="fr-FR" w:eastAsia="zh-CN"/>
        </w:rPr>
        <w:t xml:space="preserve">accordées </w:t>
      </w:r>
      <w:r w:rsidR="009E0DF5">
        <w:rPr>
          <w:rFonts w:eastAsia="MS Mincho"/>
          <w:lang w:val="fr-FR" w:eastAsia="zh-CN"/>
        </w:rPr>
        <w:t xml:space="preserve">par </w:t>
      </w:r>
      <w:r w:rsidR="00103FB7">
        <w:rPr>
          <w:rFonts w:eastAsia="MS Mincho"/>
          <w:lang w:val="fr-FR" w:eastAsia="zh-CN"/>
        </w:rPr>
        <w:t xml:space="preserve">le </w:t>
      </w:r>
      <w:r w:rsidR="009E0DF5">
        <w:rPr>
          <w:rFonts w:eastAsia="MS Mincho"/>
          <w:lang w:val="fr-FR" w:eastAsia="zh-CN"/>
        </w:rPr>
        <w:t>Comité</w:t>
      </w:r>
      <w:r w:rsidR="00C34411">
        <w:rPr>
          <w:rFonts w:eastAsia="MS Mincho"/>
          <w:lang w:val="fr-FR" w:eastAsia="zh-CN"/>
        </w:rPr>
        <w:t xml:space="preserve">. </w:t>
      </w:r>
    </w:p>
    <w:p w:rsidR="00846BDC" w:rsidRDefault="00E57B6D" w:rsidP="004B439A">
      <w:pPr>
        <w:pStyle w:val="SingleTxtG"/>
        <w:rPr>
          <w:rFonts w:eastAsia="MS Mincho"/>
          <w:lang w:val="fr-FR" w:eastAsia="zh-CN"/>
        </w:rPr>
      </w:pPr>
      <w:r>
        <w:rPr>
          <w:rFonts w:eastAsia="MS Mincho"/>
          <w:lang w:val="fr-FR" w:eastAsia="zh-CN"/>
        </w:rPr>
        <w:t>4.4</w:t>
      </w:r>
      <w:r>
        <w:rPr>
          <w:rFonts w:eastAsia="MS Mincho"/>
          <w:lang w:val="fr-FR" w:eastAsia="zh-CN"/>
        </w:rPr>
        <w:tab/>
        <w:t>L’</w:t>
      </w:r>
      <w:r w:rsidR="005F1695">
        <w:rPr>
          <w:rFonts w:eastAsia="MS Mincho"/>
          <w:lang w:val="fr-FR" w:eastAsia="zh-CN"/>
        </w:rPr>
        <w:t>État</w:t>
      </w:r>
      <w:r>
        <w:rPr>
          <w:rFonts w:eastAsia="MS Mincho"/>
          <w:lang w:val="fr-FR" w:eastAsia="zh-CN"/>
        </w:rPr>
        <w:t xml:space="preserve"> partie </w:t>
      </w:r>
      <w:r w:rsidR="009755DB">
        <w:rPr>
          <w:rFonts w:eastAsia="MS Mincho"/>
          <w:lang w:val="fr-FR" w:eastAsia="zh-CN"/>
        </w:rPr>
        <w:t>souligne par ailleurs</w:t>
      </w:r>
      <w:r>
        <w:rPr>
          <w:rFonts w:eastAsia="MS Mincho"/>
          <w:lang w:val="fr-FR" w:eastAsia="zh-CN"/>
        </w:rPr>
        <w:t xml:space="preserve"> </w:t>
      </w:r>
      <w:r w:rsidR="00846BDC">
        <w:rPr>
          <w:rFonts w:eastAsia="MS Mincho"/>
          <w:lang w:val="fr-FR" w:eastAsia="zh-CN"/>
        </w:rPr>
        <w:t xml:space="preserve">que le requérant n’a pas </w:t>
      </w:r>
      <w:r>
        <w:rPr>
          <w:rFonts w:eastAsia="MS Mincho"/>
          <w:lang w:val="fr-FR" w:eastAsia="zh-CN"/>
        </w:rPr>
        <w:t>déposé</w:t>
      </w:r>
      <w:r w:rsidR="00846BDC">
        <w:rPr>
          <w:rFonts w:eastAsia="MS Mincho"/>
          <w:lang w:val="fr-FR" w:eastAsia="zh-CN"/>
        </w:rPr>
        <w:t xml:space="preserve"> </w:t>
      </w:r>
      <w:r w:rsidR="008B1A0D">
        <w:rPr>
          <w:rFonts w:eastAsia="MS Mincho"/>
          <w:lang w:val="fr-FR" w:eastAsia="zh-CN"/>
        </w:rPr>
        <w:t xml:space="preserve">de </w:t>
      </w:r>
      <w:r w:rsidR="00846BDC">
        <w:rPr>
          <w:rFonts w:eastAsia="MS Mincho"/>
          <w:lang w:val="fr-FR" w:eastAsia="zh-CN"/>
        </w:rPr>
        <w:t xml:space="preserve">recours devant la chambre administrative de la Cour de </w:t>
      </w:r>
      <w:r w:rsidR="00555021">
        <w:rPr>
          <w:rFonts w:eastAsia="MS Mincho"/>
          <w:lang w:val="fr-FR" w:eastAsia="zh-CN"/>
        </w:rPr>
        <w:t>c</w:t>
      </w:r>
      <w:r w:rsidR="00846BDC">
        <w:rPr>
          <w:rFonts w:eastAsia="MS Mincho"/>
          <w:lang w:val="fr-FR" w:eastAsia="zh-CN"/>
        </w:rPr>
        <w:t xml:space="preserve">assation contre </w:t>
      </w:r>
      <w:r w:rsidR="009E0DF5">
        <w:rPr>
          <w:rFonts w:eastAsia="MS Mincho"/>
          <w:lang w:val="fr-FR" w:eastAsia="zh-CN"/>
        </w:rPr>
        <w:t>la</w:t>
      </w:r>
      <w:r w:rsidR="00846BDC">
        <w:rPr>
          <w:rFonts w:eastAsia="MS Mincho"/>
          <w:lang w:val="fr-FR" w:eastAsia="zh-CN"/>
        </w:rPr>
        <w:t xml:space="preserve"> décision du </w:t>
      </w:r>
      <w:r w:rsidR="004B439A">
        <w:rPr>
          <w:rFonts w:eastAsia="MS Mincho"/>
          <w:lang w:val="fr-FR" w:eastAsia="zh-CN"/>
        </w:rPr>
        <w:t>c</w:t>
      </w:r>
      <w:r w:rsidR="00846BDC">
        <w:rPr>
          <w:rFonts w:eastAsia="MS Mincho"/>
          <w:lang w:val="fr-FR" w:eastAsia="zh-CN"/>
        </w:rPr>
        <w:t xml:space="preserve">hef du </w:t>
      </w:r>
      <w:r w:rsidR="002E7767">
        <w:rPr>
          <w:rFonts w:eastAsia="MS Mincho"/>
          <w:lang w:val="fr-FR" w:eastAsia="zh-CN"/>
        </w:rPr>
        <w:t>Gouvernement</w:t>
      </w:r>
      <w:r w:rsidR="008B1A0D">
        <w:rPr>
          <w:rFonts w:eastAsia="MS Mincho"/>
          <w:lang w:val="fr-FR" w:eastAsia="zh-CN"/>
        </w:rPr>
        <w:t xml:space="preserve">. </w:t>
      </w:r>
      <w:r w:rsidR="002D5577">
        <w:rPr>
          <w:rFonts w:eastAsia="MS Mincho"/>
          <w:lang w:val="fr-FR" w:eastAsia="zh-CN"/>
        </w:rPr>
        <w:t xml:space="preserve">Il ajoute que l’argument </w:t>
      </w:r>
      <w:r w:rsidR="004B439A">
        <w:rPr>
          <w:rFonts w:eastAsia="MS Mincho"/>
          <w:lang w:val="fr-FR" w:eastAsia="zh-CN"/>
        </w:rPr>
        <w:t xml:space="preserve">avancé </w:t>
      </w:r>
      <w:r w:rsidR="002D5577">
        <w:rPr>
          <w:rFonts w:eastAsia="MS Mincho"/>
          <w:lang w:val="fr-FR" w:eastAsia="zh-CN"/>
        </w:rPr>
        <w:t>par le requérant</w:t>
      </w:r>
      <w:r w:rsidR="004B439A">
        <w:rPr>
          <w:rFonts w:eastAsia="MS Mincho"/>
          <w:lang w:val="fr-FR" w:eastAsia="zh-CN"/>
        </w:rPr>
        <w:t>,</w:t>
      </w:r>
      <w:r w:rsidR="002D5577">
        <w:rPr>
          <w:rFonts w:eastAsia="MS Mincho"/>
          <w:lang w:val="fr-FR" w:eastAsia="zh-CN"/>
        </w:rPr>
        <w:t xml:space="preserve"> selon lequel il n’existerait aucun recours contre le décret d’extradition en tant qu’acte administratif</w:t>
      </w:r>
      <w:r w:rsidR="004B439A">
        <w:rPr>
          <w:rFonts w:eastAsia="MS Mincho"/>
          <w:lang w:val="fr-FR" w:eastAsia="zh-CN"/>
        </w:rPr>
        <w:t>,</w:t>
      </w:r>
      <w:r w:rsidR="002D5577">
        <w:rPr>
          <w:rFonts w:eastAsia="MS Mincho"/>
          <w:lang w:val="fr-FR" w:eastAsia="zh-CN"/>
        </w:rPr>
        <w:t xml:space="preserve"> est erroné. </w:t>
      </w:r>
      <w:r w:rsidR="008B1A0D">
        <w:rPr>
          <w:rFonts w:eastAsia="MS Mincho"/>
          <w:lang w:val="fr-FR" w:eastAsia="zh-CN"/>
        </w:rPr>
        <w:t xml:space="preserve">Les recours en annulation pour excès de pouvoir contre les actes réglementaires ou individuels du </w:t>
      </w:r>
      <w:r w:rsidR="004B439A">
        <w:rPr>
          <w:rFonts w:eastAsia="MS Mincho"/>
          <w:lang w:val="fr-FR" w:eastAsia="zh-CN"/>
        </w:rPr>
        <w:t>c</w:t>
      </w:r>
      <w:r w:rsidR="008B1A0D">
        <w:rPr>
          <w:rFonts w:eastAsia="MS Mincho"/>
          <w:lang w:val="fr-FR" w:eastAsia="zh-CN"/>
        </w:rPr>
        <w:t xml:space="preserve">hef du </w:t>
      </w:r>
      <w:r w:rsidR="002E7767">
        <w:rPr>
          <w:rFonts w:eastAsia="MS Mincho"/>
          <w:lang w:val="fr-FR" w:eastAsia="zh-CN"/>
        </w:rPr>
        <w:t>Gouvernement</w:t>
      </w:r>
      <w:r w:rsidR="008B1A0D">
        <w:rPr>
          <w:rFonts w:eastAsia="MS Mincho"/>
          <w:lang w:val="fr-FR" w:eastAsia="zh-CN"/>
        </w:rPr>
        <w:t xml:space="preserve"> sont </w:t>
      </w:r>
      <w:r w:rsidR="00846BDC">
        <w:rPr>
          <w:rFonts w:eastAsia="MS Mincho"/>
          <w:lang w:val="fr-FR" w:eastAsia="zh-CN"/>
        </w:rPr>
        <w:t>prévu</w:t>
      </w:r>
      <w:r w:rsidR="008B1A0D">
        <w:rPr>
          <w:rFonts w:eastAsia="MS Mincho"/>
          <w:lang w:val="fr-FR" w:eastAsia="zh-CN"/>
        </w:rPr>
        <w:t>s</w:t>
      </w:r>
      <w:r w:rsidR="00846BDC">
        <w:rPr>
          <w:rFonts w:eastAsia="MS Mincho"/>
          <w:lang w:val="fr-FR" w:eastAsia="zh-CN"/>
        </w:rPr>
        <w:t xml:space="preserve"> par </w:t>
      </w:r>
      <w:r w:rsidR="00253360">
        <w:rPr>
          <w:rFonts w:eastAsia="MS Mincho"/>
          <w:lang w:val="fr-FR" w:eastAsia="zh-CN"/>
        </w:rPr>
        <w:t>l</w:t>
      </w:r>
      <w:r w:rsidR="00846BDC">
        <w:rPr>
          <w:rFonts w:eastAsia="MS Mincho"/>
          <w:lang w:val="fr-FR" w:eastAsia="zh-CN"/>
        </w:rPr>
        <w:t xml:space="preserve">e </w:t>
      </w:r>
      <w:r w:rsidR="009755DB">
        <w:rPr>
          <w:rFonts w:eastAsia="MS Mincho"/>
          <w:lang w:val="fr-FR" w:eastAsia="zh-CN"/>
        </w:rPr>
        <w:t xml:space="preserve">Code </w:t>
      </w:r>
      <w:r w:rsidR="00846BDC">
        <w:rPr>
          <w:rFonts w:eastAsia="MS Mincho"/>
          <w:lang w:val="fr-FR" w:eastAsia="zh-CN"/>
        </w:rPr>
        <w:t>des tribunaux administratifs</w:t>
      </w:r>
      <w:r w:rsidR="002D5577" w:rsidRPr="0003413D">
        <w:rPr>
          <w:rStyle w:val="FootnoteReference"/>
          <w:rFonts w:eastAsia="MS Mincho"/>
        </w:rPr>
        <w:footnoteReference w:id="15"/>
      </w:r>
      <w:r w:rsidR="002E7767">
        <w:rPr>
          <w:rFonts w:eastAsia="MS Mincho"/>
          <w:lang w:val="fr-FR" w:eastAsia="zh-CN"/>
        </w:rPr>
        <w:t>.</w:t>
      </w:r>
      <w:r w:rsidR="002D5577">
        <w:rPr>
          <w:rFonts w:eastAsia="MS Mincho"/>
          <w:lang w:val="fr-FR" w:eastAsia="zh-CN"/>
        </w:rPr>
        <w:t xml:space="preserve"> Il existe</w:t>
      </w:r>
      <w:r w:rsidR="00846BDC">
        <w:rPr>
          <w:rFonts w:eastAsia="MS Mincho"/>
          <w:lang w:val="fr-FR" w:eastAsia="zh-CN"/>
        </w:rPr>
        <w:t xml:space="preserve"> d’ailleurs une </w:t>
      </w:r>
      <w:r w:rsidR="002D5577">
        <w:rPr>
          <w:rFonts w:eastAsia="MS Mincho"/>
          <w:lang w:val="fr-FR" w:eastAsia="zh-CN"/>
        </w:rPr>
        <w:t>pratique</w:t>
      </w:r>
      <w:r w:rsidR="00846BDC">
        <w:rPr>
          <w:rFonts w:eastAsia="MS Mincho"/>
          <w:lang w:val="fr-FR" w:eastAsia="zh-CN"/>
        </w:rPr>
        <w:t xml:space="preserve"> significative de recours devant la chambre administrative près de la Cour </w:t>
      </w:r>
      <w:r w:rsidR="00555021">
        <w:rPr>
          <w:rFonts w:eastAsia="MS Mincho"/>
          <w:lang w:val="fr-FR" w:eastAsia="zh-CN"/>
        </w:rPr>
        <w:t>s</w:t>
      </w:r>
      <w:r w:rsidR="009755DB">
        <w:rPr>
          <w:rFonts w:eastAsia="MS Mincho"/>
          <w:lang w:val="fr-FR" w:eastAsia="zh-CN"/>
        </w:rPr>
        <w:t xml:space="preserve">uprême </w:t>
      </w:r>
      <w:r w:rsidR="00846BDC">
        <w:rPr>
          <w:rFonts w:eastAsia="MS Mincho"/>
          <w:lang w:val="fr-FR" w:eastAsia="zh-CN"/>
        </w:rPr>
        <w:t xml:space="preserve">(actuelle Cour de </w:t>
      </w:r>
      <w:r w:rsidR="00555021">
        <w:rPr>
          <w:rFonts w:eastAsia="MS Mincho"/>
          <w:lang w:val="fr-FR" w:eastAsia="zh-CN"/>
        </w:rPr>
        <w:t>c</w:t>
      </w:r>
      <w:r w:rsidR="00846BDC">
        <w:rPr>
          <w:rFonts w:eastAsia="MS Mincho"/>
          <w:lang w:val="fr-FR" w:eastAsia="zh-CN"/>
        </w:rPr>
        <w:t xml:space="preserve">assation) entrepris contre des arrêts du Premier </w:t>
      </w:r>
      <w:r w:rsidR="009755DB">
        <w:rPr>
          <w:rFonts w:eastAsia="MS Mincho"/>
          <w:lang w:val="fr-FR" w:eastAsia="zh-CN"/>
        </w:rPr>
        <w:t xml:space="preserve">Ministre </w:t>
      </w:r>
      <w:r w:rsidR="00846BDC">
        <w:rPr>
          <w:rFonts w:eastAsia="MS Mincho"/>
          <w:lang w:val="fr-FR" w:eastAsia="zh-CN"/>
        </w:rPr>
        <w:t xml:space="preserve">(actuel </w:t>
      </w:r>
      <w:r w:rsidR="004B439A">
        <w:rPr>
          <w:rFonts w:eastAsia="MS Mincho"/>
          <w:lang w:val="fr-FR" w:eastAsia="zh-CN"/>
        </w:rPr>
        <w:t>c</w:t>
      </w:r>
      <w:r w:rsidR="00846BDC">
        <w:rPr>
          <w:rFonts w:eastAsia="MS Mincho"/>
          <w:lang w:val="fr-FR" w:eastAsia="zh-CN"/>
        </w:rPr>
        <w:t>hef du Gouvernement).</w:t>
      </w:r>
      <w:r w:rsidR="002D5577">
        <w:rPr>
          <w:rFonts w:eastAsia="MS Mincho"/>
          <w:lang w:val="fr-FR" w:eastAsia="zh-CN"/>
        </w:rPr>
        <w:t xml:space="preserve"> </w:t>
      </w:r>
      <w:r w:rsidR="00846BDC">
        <w:rPr>
          <w:rFonts w:eastAsia="MS Mincho"/>
          <w:lang w:val="fr-FR" w:eastAsia="zh-CN"/>
        </w:rPr>
        <w:t xml:space="preserve">De fait, le décret du </w:t>
      </w:r>
      <w:r w:rsidR="004B439A">
        <w:rPr>
          <w:rFonts w:eastAsia="MS Mincho"/>
          <w:lang w:val="fr-FR" w:eastAsia="zh-CN"/>
        </w:rPr>
        <w:t>c</w:t>
      </w:r>
      <w:r w:rsidR="00846BDC">
        <w:rPr>
          <w:rFonts w:eastAsia="MS Mincho"/>
          <w:lang w:val="fr-FR" w:eastAsia="zh-CN"/>
        </w:rPr>
        <w:t xml:space="preserve">hef du </w:t>
      </w:r>
      <w:r w:rsidR="002E7767">
        <w:rPr>
          <w:rFonts w:eastAsia="MS Mincho"/>
          <w:lang w:val="fr-FR" w:eastAsia="zh-CN"/>
        </w:rPr>
        <w:t>Gouvernement</w:t>
      </w:r>
      <w:r w:rsidR="00846BDC">
        <w:rPr>
          <w:rFonts w:eastAsia="MS Mincho"/>
          <w:lang w:val="fr-FR" w:eastAsia="zh-CN"/>
        </w:rPr>
        <w:t xml:space="preserve"> acceptant la demande d’extradition de l’</w:t>
      </w:r>
      <w:r w:rsidR="005F1695">
        <w:rPr>
          <w:rFonts w:eastAsia="MS Mincho"/>
          <w:lang w:val="fr-FR" w:eastAsia="zh-CN"/>
        </w:rPr>
        <w:t>État</w:t>
      </w:r>
      <w:r w:rsidR="00846BDC">
        <w:rPr>
          <w:rFonts w:eastAsia="MS Mincho"/>
          <w:lang w:val="fr-FR" w:eastAsia="zh-CN"/>
        </w:rPr>
        <w:t xml:space="preserve"> algérien était un</w:t>
      </w:r>
      <w:r w:rsidR="008B1A0D">
        <w:rPr>
          <w:rFonts w:eastAsia="MS Mincho"/>
          <w:lang w:val="fr-FR" w:eastAsia="zh-CN"/>
        </w:rPr>
        <w:t>e</w:t>
      </w:r>
      <w:r w:rsidR="00846BDC">
        <w:rPr>
          <w:rFonts w:eastAsia="MS Mincho"/>
          <w:lang w:val="fr-FR" w:eastAsia="zh-CN"/>
        </w:rPr>
        <w:t xml:space="preserve"> «décision réglementaire personnelle»</w:t>
      </w:r>
      <w:r w:rsidR="008B1A0D">
        <w:rPr>
          <w:rFonts w:eastAsia="MS Mincho"/>
          <w:lang w:val="fr-FR" w:eastAsia="zh-CN"/>
        </w:rPr>
        <w:t>,</w:t>
      </w:r>
      <w:r w:rsidR="00846BDC">
        <w:rPr>
          <w:rFonts w:eastAsia="MS Mincho"/>
          <w:lang w:val="fr-FR" w:eastAsia="zh-CN"/>
        </w:rPr>
        <w:t xml:space="preserve"> </w:t>
      </w:r>
      <w:r w:rsidR="008B1A0D">
        <w:rPr>
          <w:rFonts w:eastAsia="MS Mincho"/>
          <w:lang w:val="fr-FR" w:eastAsia="zh-CN"/>
        </w:rPr>
        <w:t xml:space="preserve">acte administratif </w:t>
      </w:r>
      <w:r w:rsidR="00846BDC">
        <w:rPr>
          <w:rFonts w:eastAsia="MS Mincho"/>
          <w:lang w:val="fr-FR" w:eastAsia="zh-CN"/>
        </w:rPr>
        <w:t>passible de recours devant la chambre administrative</w:t>
      </w:r>
      <w:r w:rsidR="002D5577">
        <w:rPr>
          <w:rFonts w:eastAsia="MS Mincho"/>
          <w:lang w:val="fr-FR" w:eastAsia="zh-CN"/>
        </w:rPr>
        <w:t xml:space="preserve"> de la Cour de cassation </w:t>
      </w:r>
      <w:r w:rsidR="00253360">
        <w:rPr>
          <w:rFonts w:eastAsia="MS Mincho"/>
          <w:lang w:val="fr-FR" w:eastAsia="zh-CN"/>
        </w:rPr>
        <w:t xml:space="preserve">dans un délai de </w:t>
      </w:r>
      <w:r w:rsidR="004B439A">
        <w:rPr>
          <w:rFonts w:eastAsia="MS Mincho"/>
          <w:lang w:val="fr-FR" w:eastAsia="zh-CN"/>
        </w:rPr>
        <w:t>60 </w:t>
      </w:r>
      <w:r w:rsidR="00253360">
        <w:rPr>
          <w:rFonts w:eastAsia="MS Mincho"/>
          <w:lang w:val="fr-FR" w:eastAsia="zh-CN"/>
        </w:rPr>
        <w:t>jours à compter de la date de notification de la décision</w:t>
      </w:r>
      <w:r w:rsidR="00725A10">
        <w:rPr>
          <w:rFonts w:eastAsia="MS Mincho"/>
          <w:lang w:val="fr-FR" w:eastAsia="zh-CN"/>
        </w:rPr>
        <w:t>. L’État partie explique que</w:t>
      </w:r>
      <w:r w:rsidR="002D5577">
        <w:rPr>
          <w:rFonts w:eastAsia="MS Mincho"/>
          <w:lang w:val="fr-FR" w:eastAsia="zh-CN"/>
        </w:rPr>
        <w:t xml:space="preserve"> </w:t>
      </w:r>
      <w:r w:rsidR="00846BDC">
        <w:rPr>
          <w:rFonts w:eastAsia="MS Mincho"/>
          <w:lang w:val="fr-FR" w:eastAsia="zh-CN"/>
        </w:rPr>
        <w:t xml:space="preserve">le requérant avait toute latitude </w:t>
      </w:r>
      <w:r w:rsidR="009755DB">
        <w:rPr>
          <w:rFonts w:eastAsia="MS Mincho"/>
          <w:lang w:val="fr-FR" w:eastAsia="zh-CN"/>
        </w:rPr>
        <w:t xml:space="preserve">de présenter </w:t>
      </w:r>
      <w:r w:rsidR="00846BDC">
        <w:rPr>
          <w:rFonts w:eastAsia="MS Mincho"/>
          <w:lang w:val="fr-FR" w:eastAsia="zh-CN"/>
        </w:rPr>
        <w:t xml:space="preserve">un tel recours à compter </w:t>
      </w:r>
      <w:r w:rsidR="00253360">
        <w:rPr>
          <w:rFonts w:eastAsia="MS Mincho"/>
          <w:lang w:val="fr-FR" w:eastAsia="zh-CN"/>
        </w:rPr>
        <w:t>d</w:t>
      </w:r>
      <w:r w:rsidR="009E0DF5">
        <w:rPr>
          <w:rFonts w:eastAsia="MS Mincho"/>
          <w:lang w:val="fr-FR" w:eastAsia="zh-CN"/>
        </w:rPr>
        <w:t xml:space="preserve">e </w:t>
      </w:r>
      <w:r w:rsidR="009755DB">
        <w:rPr>
          <w:rFonts w:eastAsia="MS Mincho"/>
          <w:lang w:val="fr-FR" w:eastAsia="zh-CN"/>
        </w:rPr>
        <w:t xml:space="preserve">la </w:t>
      </w:r>
      <w:r w:rsidR="009E0DF5">
        <w:rPr>
          <w:rFonts w:eastAsia="MS Mincho"/>
          <w:lang w:val="fr-FR" w:eastAsia="zh-CN"/>
        </w:rPr>
        <w:t xml:space="preserve">notification </w:t>
      </w:r>
      <w:r w:rsidR="009755DB">
        <w:rPr>
          <w:rFonts w:eastAsia="MS Mincho"/>
          <w:lang w:val="fr-FR" w:eastAsia="zh-CN"/>
        </w:rPr>
        <w:t xml:space="preserve">qui lui a été faite </w:t>
      </w:r>
      <w:r w:rsidR="009E0DF5">
        <w:rPr>
          <w:rFonts w:eastAsia="MS Mincho"/>
          <w:lang w:val="fr-FR" w:eastAsia="zh-CN"/>
        </w:rPr>
        <w:t xml:space="preserve">de la date d’extradition </w:t>
      </w:r>
      <w:r w:rsidR="004B439A">
        <w:rPr>
          <w:rFonts w:eastAsia="MS Mincho"/>
          <w:lang w:val="fr-FR" w:eastAsia="zh-CN"/>
        </w:rPr>
        <w:t>d</w:t>
      </w:r>
      <w:r w:rsidR="00253360">
        <w:rPr>
          <w:rFonts w:eastAsia="MS Mincho"/>
          <w:lang w:val="fr-FR" w:eastAsia="zh-CN"/>
        </w:rPr>
        <w:t>u 15</w:t>
      </w:r>
      <w:r w:rsidR="002E7767">
        <w:rPr>
          <w:rFonts w:eastAsia="MS Mincho"/>
          <w:lang w:val="fr-FR" w:eastAsia="zh-CN"/>
        </w:rPr>
        <w:t> </w:t>
      </w:r>
      <w:r w:rsidR="00253360">
        <w:rPr>
          <w:rFonts w:eastAsia="MS Mincho"/>
          <w:lang w:val="fr-FR" w:eastAsia="zh-CN"/>
        </w:rPr>
        <w:t>novembre</w:t>
      </w:r>
      <w:r w:rsidR="002E7767">
        <w:rPr>
          <w:rFonts w:eastAsia="MS Mincho"/>
          <w:lang w:val="fr-FR" w:eastAsia="zh-CN"/>
        </w:rPr>
        <w:t> </w:t>
      </w:r>
      <w:r w:rsidR="00253360">
        <w:rPr>
          <w:rFonts w:eastAsia="MS Mincho"/>
          <w:lang w:val="fr-FR" w:eastAsia="zh-CN"/>
        </w:rPr>
        <w:t>2012</w:t>
      </w:r>
      <w:r w:rsidR="009E0DF5">
        <w:rPr>
          <w:rFonts w:eastAsia="MS Mincho"/>
          <w:lang w:val="fr-FR" w:eastAsia="zh-CN"/>
        </w:rPr>
        <w:t>.</w:t>
      </w:r>
    </w:p>
    <w:p w:rsidR="00155BE7" w:rsidRDefault="007C47F3" w:rsidP="005E59E4">
      <w:pPr>
        <w:pStyle w:val="SingleTxtG"/>
        <w:rPr>
          <w:rFonts w:eastAsia="MS Mincho"/>
          <w:lang w:val="fr-FR" w:eastAsia="zh-CN"/>
        </w:rPr>
      </w:pPr>
      <w:r>
        <w:rPr>
          <w:rFonts w:eastAsia="MS Mincho"/>
          <w:lang w:val="fr-FR" w:eastAsia="zh-CN"/>
        </w:rPr>
        <w:t>4.</w:t>
      </w:r>
      <w:r w:rsidR="00080160">
        <w:rPr>
          <w:rFonts w:eastAsia="MS Mincho"/>
          <w:lang w:val="fr-FR" w:eastAsia="zh-CN"/>
        </w:rPr>
        <w:t>5</w:t>
      </w:r>
      <w:r w:rsidR="00BA7C89">
        <w:rPr>
          <w:rFonts w:eastAsia="MS Mincho"/>
          <w:lang w:val="fr-FR" w:eastAsia="zh-CN"/>
        </w:rPr>
        <w:tab/>
      </w:r>
      <w:r w:rsidR="006F6971">
        <w:rPr>
          <w:rFonts w:eastAsia="MS Mincho"/>
          <w:lang w:val="fr-FR" w:eastAsia="zh-CN"/>
        </w:rPr>
        <w:t>L’</w:t>
      </w:r>
      <w:r w:rsidR="005F1695">
        <w:rPr>
          <w:rFonts w:eastAsia="MS Mincho"/>
          <w:lang w:val="fr-FR" w:eastAsia="zh-CN"/>
        </w:rPr>
        <w:t>État</w:t>
      </w:r>
      <w:r w:rsidR="006F6971">
        <w:rPr>
          <w:rFonts w:eastAsia="MS Mincho"/>
          <w:lang w:val="fr-FR" w:eastAsia="zh-CN"/>
        </w:rPr>
        <w:t xml:space="preserve"> partie conteste </w:t>
      </w:r>
      <w:r w:rsidR="00BA7C89">
        <w:rPr>
          <w:rFonts w:eastAsia="MS Mincho"/>
          <w:lang w:val="fr-FR" w:eastAsia="zh-CN"/>
        </w:rPr>
        <w:t xml:space="preserve">également </w:t>
      </w:r>
      <w:r w:rsidR="006F6971">
        <w:rPr>
          <w:rFonts w:eastAsia="MS Mincho"/>
          <w:lang w:val="fr-FR" w:eastAsia="zh-CN"/>
        </w:rPr>
        <w:t xml:space="preserve">le </w:t>
      </w:r>
      <w:r w:rsidR="0068431F">
        <w:rPr>
          <w:rFonts w:eastAsia="MS Mincho"/>
          <w:lang w:val="fr-FR" w:eastAsia="zh-CN"/>
        </w:rPr>
        <w:t>bien-fondé</w:t>
      </w:r>
      <w:r w:rsidR="006F6971">
        <w:rPr>
          <w:rFonts w:eastAsia="MS Mincho"/>
          <w:lang w:val="fr-FR" w:eastAsia="zh-CN"/>
        </w:rPr>
        <w:t xml:space="preserve"> de la plainte quant aux allégations du requérant en rapport avec l’éventualité de maltraitance </w:t>
      </w:r>
      <w:r w:rsidR="00E57B6D">
        <w:rPr>
          <w:rFonts w:eastAsia="MS Mincho"/>
          <w:lang w:val="fr-FR" w:eastAsia="zh-CN"/>
        </w:rPr>
        <w:t xml:space="preserve">en </w:t>
      </w:r>
      <w:r w:rsidR="006F6971">
        <w:rPr>
          <w:rFonts w:eastAsia="MS Mincho"/>
          <w:lang w:val="fr-FR" w:eastAsia="zh-CN"/>
        </w:rPr>
        <w:t>Algérie</w:t>
      </w:r>
      <w:r w:rsidR="00E57B6D">
        <w:rPr>
          <w:rFonts w:eastAsia="MS Mincho"/>
          <w:lang w:val="fr-FR" w:eastAsia="zh-CN"/>
        </w:rPr>
        <w:t>, pays dont le requérant est originaire</w:t>
      </w:r>
      <w:r w:rsidR="006F6971">
        <w:rPr>
          <w:rFonts w:eastAsia="MS Mincho"/>
          <w:lang w:val="fr-FR" w:eastAsia="zh-CN"/>
        </w:rPr>
        <w:t xml:space="preserve">. </w:t>
      </w:r>
      <w:r w:rsidR="009047AD">
        <w:rPr>
          <w:rFonts w:eastAsia="MS Mincho"/>
          <w:lang w:val="fr-FR" w:eastAsia="zh-CN"/>
        </w:rPr>
        <w:t>À</w:t>
      </w:r>
      <w:r w:rsidR="006F6971">
        <w:rPr>
          <w:rFonts w:eastAsia="MS Mincho"/>
          <w:lang w:val="fr-FR" w:eastAsia="zh-CN"/>
        </w:rPr>
        <w:t xml:space="preserve"> cet </w:t>
      </w:r>
      <w:r w:rsidR="0068431F">
        <w:rPr>
          <w:rFonts w:eastAsia="MS Mincho"/>
          <w:lang w:val="fr-FR" w:eastAsia="zh-CN"/>
        </w:rPr>
        <w:t>égard</w:t>
      </w:r>
      <w:r w:rsidR="009755DB">
        <w:rPr>
          <w:rFonts w:eastAsia="MS Mincho"/>
          <w:lang w:val="fr-FR" w:eastAsia="zh-CN"/>
        </w:rPr>
        <w:t>,</w:t>
      </w:r>
      <w:r w:rsidR="006F6971">
        <w:rPr>
          <w:rFonts w:eastAsia="MS Mincho"/>
          <w:lang w:val="fr-FR" w:eastAsia="zh-CN"/>
        </w:rPr>
        <w:t xml:space="preserve"> il rappel</w:t>
      </w:r>
      <w:r w:rsidR="006F6971" w:rsidRPr="00433033">
        <w:rPr>
          <w:rFonts w:eastAsia="MS Mincho"/>
          <w:lang w:val="fr-FR" w:eastAsia="zh-CN"/>
        </w:rPr>
        <w:t xml:space="preserve">le </w:t>
      </w:r>
      <w:r w:rsidR="00253360" w:rsidRPr="00433033">
        <w:rPr>
          <w:rFonts w:eastAsia="MS Mincho"/>
          <w:lang w:val="fr-FR" w:eastAsia="zh-CN"/>
        </w:rPr>
        <w:t>l</w:t>
      </w:r>
      <w:r w:rsidR="00253360" w:rsidRPr="00DC228D">
        <w:rPr>
          <w:rFonts w:eastAsia="MS Mincho"/>
          <w:lang w:val="fr-FR" w:eastAsia="zh-CN"/>
        </w:rPr>
        <w:t>’</w:t>
      </w:r>
      <w:r w:rsidR="00CE6564" w:rsidRPr="00DC228D">
        <w:rPr>
          <w:rFonts w:eastAsia="MS Mincho"/>
          <w:lang w:val="fr-FR" w:eastAsia="zh-CN"/>
        </w:rPr>
        <w:t>o</w:t>
      </w:r>
      <w:r w:rsidR="00BA7C89" w:rsidRPr="00AC33AB">
        <w:rPr>
          <w:rFonts w:eastAsia="MS Mincho"/>
          <w:lang w:val="fr-FR" w:eastAsia="zh-CN"/>
        </w:rPr>
        <w:t>bservation générale</w:t>
      </w:r>
      <w:r w:rsidR="00914A61" w:rsidRPr="00AC33AB">
        <w:rPr>
          <w:rFonts w:eastAsia="MS Mincho"/>
          <w:lang w:val="fr-FR" w:eastAsia="zh-CN"/>
        </w:rPr>
        <w:t xml:space="preserve"> </w:t>
      </w:r>
      <w:r w:rsidR="002E7767" w:rsidRPr="00AC33AB">
        <w:rPr>
          <w:rFonts w:eastAsia="MS Mincho"/>
          <w:lang w:val="fr-FR" w:eastAsia="zh-CN"/>
        </w:rPr>
        <w:t>n</w:t>
      </w:r>
      <w:r w:rsidR="002E7767" w:rsidRPr="00AC33AB">
        <w:rPr>
          <w:rFonts w:eastAsia="MS Mincho"/>
          <w:vertAlign w:val="superscript"/>
          <w:lang w:val="fr-FR" w:eastAsia="zh-CN"/>
        </w:rPr>
        <w:t>o</w:t>
      </w:r>
      <w:r w:rsidR="002E7767" w:rsidRPr="00AC33AB">
        <w:rPr>
          <w:rFonts w:eastAsia="MS Mincho"/>
          <w:lang w:val="fr-FR" w:eastAsia="zh-CN"/>
        </w:rPr>
        <w:t> </w:t>
      </w:r>
      <w:r w:rsidR="00914A61" w:rsidRPr="00AC33AB">
        <w:rPr>
          <w:rFonts w:eastAsia="MS Mincho"/>
          <w:lang w:val="fr-FR" w:eastAsia="zh-CN"/>
        </w:rPr>
        <w:t>1</w:t>
      </w:r>
      <w:r w:rsidR="006F6971" w:rsidRPr="00AC33AB">
        <w:rPr>
          <w:rFonts w:eastAsia="MS Mincho"/>
          <w:lang w:val="fr-FR" w:eastAsia="zh-CN"/>
        </w:rPr>
        <w:t xml:space="preserve"> </w:t>
      </w:r>
      <w:r w:rsidR="003975CA" w:rsidRPr="00433033">
        <w:rPr>
          <w:rFonts w:eastAsia="MS Mincho"/>
          <w:lang w:val="fr-FR" w:eastAsia="zh-CN"/>
        </w:rPr>
        <w:t>(1996) du Comité sur l’application de l’article 3 dans le contexte de l’article 22 de la Convention</w:t>
      </w:r>
      <w:r w:rsidR="00961440" w:rsidRPr="00433033">
        <w:rPr>
          <w:rStyle w:val="FootnoteReference"/>
          <w:rFonts w:eastAsia="MS Mincho"/>
          <w:lang w:eastAsia="zh-CN"/>
        </w:rPr>
        <w:footnoteReference w:id="16"/>
      </w:r>
      <w:r w:rsidR="003975CA" w:rsidRPr="00433033">
        <w:rPr>
          <w:rFonts w:eastAsia="MS Mincho"/>
          <w:lang w:val="fr-FR" w:eastAsia="zh-CN"/>
        </w:rPr>
        <w:t xml:space="preserve">, </w:t>
      </w:r>
      <w:r w:rsidR="006F6971" w:rsidRPr="00433033">
        <w:rPr>
          <w:rFonts w:eastAsia="MS Mincho"/>
          <w:lang w:val="fr-FR" w:eastAsia="zh-CN"/>
        </w:rPr>
        <w:t>selon laquelle</w:t>
      </w:r>
      <w:r w:rsidR="00BA7C89" w:rsidRPr="00DC228D">
        <w:rPr>
          <w:rFonts w:eastAsia="MS Mincho"/>
          <w:lang w:val="fr-FR" w:eastAsia="zh-CN"/>
        </w:rPr>
        <w:t xml:space="preserve"> le risque de torture doit </w:t>
      </w:r>
      <w:r w:rsidR="0068431F" w:rsidRPr="00DC228D">
        <w:rPr>
          <w:rFonts w:eastAsia="MS Mincho"/>
          <w:lang w:val="fr-FR" w:eastAsia="zh-CN"/>
        </w:rPr>
        <w:t>être</w:t>
      </w:r>
      <w:r w:rsidR="00BA7C89" w:rsidRPr="00DC228D">
        <w:rPr>
          <w:rFonts w:eastAsia="MS Mincho"/>
          <w:lang w:val="fr-FR" w:eastAsia="zh-CN"/>
        </w:rPr>
        <w:t xml:space="preserve"> prévisib</w:t>
      </w:r>
      <w:r w:rsidR="00253360" w:rsidRPr="00AC33AB">
        <w:rPr>
          <w:rFonts w:eastAsia="MS Mincho"/>
          <w:lang w:val="fr-FR" w:eastAsia="zh-CN"/>
        </w:rPr>
        <w:t>le, réel et person</w:t>
      </w:r>
      <w:r w:rsidR="00253360" w:rsidRPr="006C44A1">
        <w:rPr>
          <w:rFonts w:eastAsia="MS Mincho"/>
          <w:lang w:val="fr-FR" w:eastAsia="zh-CN"/>
        </w:rPr>
        <w:t>nel</w:t>
      </w:r>
      <w:r w:rsidR="00676B5B" w:rsidRPr="006C44A1">
        <w:rPr>
          <w:rFonts w:eastAsia="MS Mincho"/>
          <w:lang w:val="fr-FR" w:eastAsia="zh-CN"/>
        </w:rPr>
        <w:t>.</w:t>
      </w:r>
      <w:r w:rsidR="00253360" w:rsidRPr="006C44A1">
        <w:rPr>
          <w:rFonts w:eastAsia="MS Mincho"/>
          <w:lang w:val="fr-FR" w:eastAsia="zh-CN"/>
        </w:rPr>
        <w:t xml:space="preserve"> L’</w:t>
      </w:r>
      <w:r w:rsidR="001520DF" w:rsidRPr="006C44A1">
        <w:rPr>
          <w:rFonts w:eastAsia="MS Mincho"/>
          <w:lang w:val="fr-FR" w:eastAsia="zh-CN"/>
        </w:rPr>
        <w:t>É</w:t>
      </w:r>
      <w:r w:rsidR="00253360" w:rsidRPr="006C44A1">
        <w:rPr>
          <w:rFonts w:eastAsia="MS Mincho"/>
          <w:lang w:val="fr-FR" w:eastAsia="zh-CN"/>
        </w:rPr>
        <w:t>tat partie co</w:t>
      </w:r>
      <w:r w:rsidR="00253360">
        <w:rPr>
          <w:rFonts w:eastAsia="MS Mincho"/>
          <w:lang w:val="fr-FR" w:eastAsia="zh-CN"/>
        </w:rPr>
        <w:t>nstate que c</w:t>
      </w:r>
      <w:r w:rsidR="00BA7C89">
        <w:rPr>
          <w:rFonts w:eastAsia="MS Mincho"/>
          <w:lang w:val="fr-FR" w:eastAsia="zh-CN"/>
        </w:rPr>
        <w:t>es conditions n’ont pas été rempli</w:t>
      </w:r>
      <w:r w:rsidR="00253360">
        <w:rPr>
          <w:rFonts w:eastAsia="MS Mincho"/>
          <w:lang w:val="fr-FR" w:eastAsia="zh-CN"/>
        </w:rPr>
        <w:t>e</w:t>
      </w:r>
      <w:r w:rsidR="00BA7C89">
        <w:rPr>
          <w:rFonts w:eastAsia="MS Mincho"/>
          <w:lang w:val="fr-FR" w:eastAsia="zh-CN"/>
        </w:rPr>
        <w:t xml:space="preserve">s </w:t>
      </w:r>
      <w:r w:rsidR="00676B5B">
        <w:rPr>
          <w:rFonts w:eastAsia="MS Mincho"/>
          <w:lang w:val="fr-FR" w:eastAsia="zh-CN"/>
        </w:rPr>
        <w:t>dans le cas présent</w:t>
      </w:r>
      <w:r w:rsidR="004A4FBC">
        <w:rPr>
          <w:rFonts w:eastAsia="MS Mincho"/>
          <w:lang w:val="fr-FR" w:eastAsia="zh-CN"/>
        </w:rPr>
        <w:t xml:space="preserve"> puisque</w:t>
      </w:r>
      <w:r w:rsidR="00676B5B">
        <w:rPr>
          <w:rFonts w:eastAsia="MS Mincho"/>
          <w:lang w:val="fr-FR" w:eastAsia="zh-CN"/>
        </w:rPr>
        <w:t xml:space="preserve"> </w:t>
      </w:r>
      <w:r w:rsidR="00BA7C89">
        <w:rPr>
          <w:rFonts w:eastAsia="MS Mincho"/>
          <w:lang w:val="fr-FR" w:eastAsia="zh-CN"/>
        </w:rPr>
        <w:t xml:space="preserve">le requérant </w:t>
      </w:r>
      <w:r w:rsidR="00676B5B">
        <w:rPr>
          <w:rFonts w:eastAsia="MS Mincho"/>
          <w:lang w:val="fr-FR" w:eastAsia="zh-CN"/>
        </w:rPr>
        <w:t xml:space="preserve">lui-même a expressément </w:t>
      </w:r>
      <w:r w:rsidR="004A4FBC">
        <w:rPr>
          <w:rFonts w:eastAsia="MS Mincho"/>
          <w:lang w:val="fr-FR" w:eastAsia="zh-CN"/>
        </w:rPr>
        <w:t>déclaré</w:t>
      </w:r>
      <w:r w:rsidR="008D2358">
        <w:rPr>
          <w:rFonts w:eastAsia="MS Mincho"/>
          <w:lang w:val="fr-FR" w:eastAsia="zh-CN"/>
        </w:rPr>
        <w:t>,</w:t>
      </w:r>
      <w:r w:rsidR="004A4FBC">
        <w:rPr>
          <w:rFonts w:eastAsia="MS Mincho"/>
          <w:lang w:val="fr-FR" w:eastAsia="zh-CN"/>
        </w:rPr>
        <w:t xml:space="preserve"> lors de sa première comparution devant le juge français</w:t>
      </w:r>
      <w:r w:rsidR="008D2358">
        <w:rPr>
          <w:rFonts w:eastAsia="MS Mincho"/>
          <w:lang w:val="fr-FR" w:eastAsia="zh-CN"/>
        </w:rPr>
        <w:t>,</w:t>
      </w:r>
      <w:r w:rsidR="004A4FBC">
        <w:rPr>
          <w:rFonts w:eastAsia="MS Mincho"/>
          <w:lang w:val="fr-FR" w:eastAsia="zh-CN"/>
        </w:rPr>
        <w:t xml:space="preserve"> qu’il </w:t>
      </w:r>
      <w:r w:rsidR="00676B5B">
        <w:rPr>
          <w:rFonts w:eastAsia="MS Mincho"/>
          <w:lang w:val="fr-FR" w:eastAsia="zh-CN"/>
        </w:rPr>
        <w:t>accept</w:t>
      </w:r>
      <w:r w:rsidR="004A4FBC">
        <w:rPr>
          <w:rFonts w:eastAsia="MS Mincho"/>
          <w:lang w:val="fr-FR" w:eastAsia="zh-CN"/>
        </w:rPr>
        <w:t>ait</w:t>
      </w:r>
      <w:r w:rsidR="00676B5B" w:rsidRPr="00B950E4">
        <w:rPr>
          <w:rFonts w:eastAsia="MS Mincho"/>
          <w:lang w:val="fr-FR" w:eastAsia="zh-CN"/>
        </w:rPr>
        <w:t xml:space="preserve"> de se rendre en Algérie dans un délai de deux mois</w:t>
      </w:r>
      <w:r w:rsidR="001520DF">
        <w:rPr>
          <w:rFonts w:eastAsia="MS Mincho"/>
          <w:lang w:val="fr-FR" w:eastAsia="zh-CN"/>
        </w:rPr>
        <w:t>,</w:t>
      </w:r>
      <w:r w:rsidR="00676B5B">
        <w:rPr>
          <w:rFonts w:eastAsia="MS Mincho"/>
          <w:lang w:val="fr-FR" w:eastAsia="zh-CN"/>
        </w:rPr>
        <w:t xml:space="preserve"> </w:t>
      </w:r>
      <w:r w:rsidR="004A4FBC">
        <w:rPr>
          <w:rFonts w:eastAsia="MS Mincho"/>
          <w:lang w:val="fr-FR" w:eastAsia="zh-CN"/>
        </w:rPr>
        <w:t>étant donné</w:t>
      </w:r>
      <w:r w:rsidR="00676B5B">
        <w:rPr>
          <w:rFonts w:eastAsia="MS Mincho"/>
          <w:lang w:val="fr-FR" w:eastAsia="zh-CN"/>
        </w:rPr>
        <w:t xml:space="preserve"> </w:t>
      </w:r>
      <w:r w:rsidR="004A4FBC">
        <w:rPr>
          <w:rFonts w:eastAsia="MS Mincho"/>
          <w:lang w:val="fr-FR" w:eastAsia="zh-CN"/>
        </w:rPr>
        <w:t xml:space="preserve">qu’il </w:t>
      </w:r>
      <w:r w:rsidR="00676B5B">
        <w:rPr>
          <w:rFonts w:eastAsia="MS Mincho"/>
          <w:lang w:val="fr-FR" w:eastAsia="zh-CN"/>
        </w:rPr>
        <w:t>n’avait rien à se reprocher. Lors de cette comparution</w:t>
      </w:r>
      <w:r w:rsidR="004A4FBC">
        <w:rPr>
          <w:rFonts w:eastAsia="MS Mincho"/>
          <w:lang w:val="fr-FR" w:eastAsia="zh-CN"/>
        </w:rPr>
        <w:t>,</w:t>
      </w:r>
      <w:r w:rsidR="00676B5B">
        <w:rPr>
          <w:rFonts w:eastAsia="MS Mincho"/>
          <w:lang w:val="fr-FR" w:eastAsia="zh-CN"/>
        </w:rPr>
        <w:t xml:space="preserve"> et alors qu’il était accompagné de son avocat, </w:t>
      </w:r>
      <w:r w:rsidR="00E57B6D">
        <w:rPr>
          <w:rFonts w:eastAsia="MS Mincho"/>
          <w:lang w:val="fr-FR" w:eastAsia="zh-CN"/>
        </w:rPr>
        <w:t xml:space="preserve">le requérant </w:t>
      </w:r>
      <w:r w:rsidR="00676B5B">
        <w:rPr>
          <w:rFonts w:eastAsia="MS Mincho"/>
          <w:lang w:val="fr-FR" w:eastAsia="zh-CN"/>
        </w:rPr>
        <w:t xml:space="preserve">n’a pas </w:t>
      </w:r>
      <w:r w:rsidR="004A4FBC">
        <w:rPr>
          <w:rFonts w:eastAsia="MS Mincho"/>
          <w:lang w:val="fr-FR" w:eastAsia="zh-CN"/>
        </w:rPr>
        <w:t>exprimé de</w:t>
      </w:r>
      <w:r w:rsidR="00676B5B">
        <w:rPr>
          <w:rFonts w:eastAsia="MS Mincho"/>
          <w:lang w:val="fr-FR" w:eastAsia="zh-CN"/>
        </w:rPr>
        <w:t xml:space="preserve"> </w:t>
      </w:r>
      <w:r w:rsidR="004A4FBC">
        <w:rPr>
          <w:rFonts w:eastAsia="MS Mincho"/>
          <w:lang w:val="fr-FR" w:eastAsia="zh-CN"/>
        </w:rPr>
        <w:t>craint</w:t>
      </w:r>
      <w:r w:rsidR="00BA7C89">
        <w:rPr>
          <w:rFonts w:eastAsia="MS Mincho"/>
          <w:lang w:val="fr-FR" w:eastAsia="zh-CN"/>
        </w:rPr>
        <w:t xml:space="preserve">e </w:t>
      </w:r>
      <w:r w:rsidR="004A4FBC">
        <w:rPr>
          <w:rFonts w:eastAsia="MS Mincho"/>
          <w:lang w:val="fr-FR" w:eastAsia="zh-CN"/>
        </w:rPr>
        <w:t>par rapport à</w:t>
      </w:r>
      <w:r w:rsidR="00676B5B">
        <w:rPr>
          <w:rFonts w:eastAsia="MS Mincho"/>
          <w:lang w:val="fr-FR" w:eastAsia="zh-CN"/>
        </w:rPr>
        <w:t xml:space="preserve"> la justice algérienne et n’a pas mentionné de risque de torture</w:t>
      </w:r>
      <w:r w:rsidR="00E57B6D" w:rsidRPr="0003413D">
        <w:rPr>
          <w:rStyle w:val="FootnoteReference"/>
          <w:rFonts w:eastAsia="MS Mincho"/>
        </w:rPr>
        <w:footnoteReference w:id="17"/>
      </w:r>
      <w:r w:rsidR="002E7767">
        <w:rPr>
          <w:rFonts w:eastAsia="MS Mincho"/>
          <w:lang w:val="fr-FR" w:eastAsia="zh-CN"/>
        </w:rPr>
        <w:t xml:space="preserve">. </w:t>
      </w:r>
      <w:r w:rsidR="00155BE7">
        <w:rPr>
          <w:rFonts w:eastAsia="MS Mincho"/>
          <w:lang w:val="fr-FR" w:eastAsia="zh-CN"/>
        </w:rPr>
        <w:t>L’</w:t>
      </w:r>
      <w:r w:rsidR="001520DF">
        <w:rPr>
          <w:rFonts w:eastAsia="MS Mincho"/>
          <w:lang w:val="fr-FR" w:eastAsia="zh-CN"/>
        </w:rPr>
        <w:t>É</w:t>
      </w:r>
      <w:r w:rsidR="00155BE7">
        <w:rPr>
          <w:rFonts w:eastAsia="MS Mincho"/>
          <w:lang w:val="fr-FR" w:eastAsia="zh-CN"/>
        </w:rPr>
        <w:t xml:space="preserve">tat partie estime que </w:t>
      </w:r>
      <w:r w:rsidR="004A4FBC">
        <w:rPr>
          <w:rFonts w:eastAsia="MS Mincho"/>
          <w:lang w:val="fr-FR" w:eastAsia="zh-CN"/>
        </w:rPr>
        <w:t>l</w:t>
      </w:r>
      <w:r w:rsidR="00155BE7">
        <w:rPr>
          <w:rFonts w:eastAsia="MS Mincho"/>
          <w:lang w:val="fr-FR" w:eastAsia="zh-CN"/>
        </w:rPr>
        <w:t xml:space="preserve">es propos tenus </w:t>
      </w:r>
      <w:r w:rsidR="004A4FBC">
        <w:rPr>
          <w:rFonts w:eastAsia="MS Mincho"/>
          <w:lang w:val="fr-FR" w:eastAsia="zh-CN"/>
        </w:rPr>
        <w:t xml:space="preserve">par le requérant </w:t>
      </w:r>
      <w:r w:rsidR="00155BE7">
        <w:rPr>
          <w:rFonts w:eastAsia="MS Mincho"/>
          <w:lang w:val="fr-FR" w:eastAsia="zh-CN"/>
        </w:rPr>
        <w:t xml:space="preserve">devant le juge </w:t>
      </w:r>
      <w:r w:rsidR="00033AEC">
        <w:rPr>
          <w:rFonts w:eastAsia="MS Mincho"/>
          <w:lang w:val="fr-FR" w:eastAsia="zh-CN"/>
        </w:rPr>
        <w:t>français</w:t>
      </w:r>
      <w:r w:rsidR="00155BE7">
        <w:rPr>
          <w:rFonts w:eastAsia="MS Mincho"/>
          <w:lang w:val="fr-FR" w:eastAsia="zh-CN"/>
        </w:rPr>
        <w:t xml:space="preserve"> contredisent ceux tenus devant le parquet de Tanger le jour de son arrestation</w:t>
      </w:r>
      <w:r w:rsidR="004A4FBC">
        <w:rPr>
          <w:rFonts w:eastAsia="MS Mincho"/>
          <w:lang w:val="fr-FR" w:eastAsia="zh-CN"/>
        </w:rPr>
        <w:t>,</w:t>
      </w:r>
      <w:r w:rsidR="00155BE7">
        <w:rPr>
          <w:rFonts w:eastAsia="MS Mincho"/>
          <w:lang w:val="fr-FR" w:eastAsia="zh-CN"/>
        </w:rPr>
        <w:t xml:space="preserve"> puisqu</w:t>
      </w:r>
      <w:r w:rsidR="00742474">
        <w:rPr>
          <w:rFonts w:eastAsia="MS Mincho"/>
          <w:lang w:val="fr-FR" w:eastAsia="zh-CN"/>
        </w:rPr>
        <w:t xml:space="preserve">e </w:t>
      </w:r>
      <w:r w:rsidR="003101D3">
        <w:rPr>
          <w:rFonts w:eastAsia="MS Mincho"/>
          <w:lang w:val="fr-FR" w:eastAsia="zh-CN"/>
        </w:rPr>
        <w:t xml:space="preserve">c’est seulement à ce </w:t>
      </w:r>
      <w:r w:rsidR="001520DF">
        <w:rPr>
          <w:rFonts w:eastAsia="MS Mincho"/>
          <w:lang w:val="fr-FR" w:eastAsia="zh-CN"/>
        </w:rPr>
        <w:t>moment-là</w:t>
      </w:r>
      <w:r w:rsidR="003101D3">
        <w:rPr>
          <w:rFonts w:eastAsia="MS Mincho"/>
          <w:lang w:val="fr-FR" w:eastAsia="zh-CN"/>
        </w:rPr>
        <w:t xml:space="preserve"> qu’il</w:t>
      </w:r>
      <w:r w:rsidR="00742474">
        <w:rPr>
          <w:rFonts w:eastAsia="MS Mincho"/>
          <w:lang w:val="fr-FR" w:eastAsia="zh-CN"/>
        </w:rPr>
        <w:t xml:space="preserve"> a </w:t>
      </w:r>
      <w:r w:rsidR="00155BE7">
        <w:rPr>
          <w:rFonts w:eastAsia="MS Mincho"/>
          <w:lang w:val="fr-FR" w:eastAsia="zh-CN"/>
        </w:rPr>
        <w:t>évoqué le risque de torture</w:t>
      </w:r>
      <w:r w:rsidR="009755DB">
        <w:rPr>
          <w:rFonts w:eastAsia="MS Mincho"/>
          <w:lang w:val="fr-FR" w:eastAsia="zh-CN"/>
        </w:rPr>
        <w:t>. L’État partie considère donc que l</w:t>
      </w:r>
      <w:r w:rsidR="00E57B6D">
        <w:rPr>
          <w:rFonts w:eastAsia="MS Mincho"/>
          <w:lang w:val="fr-FR" w:eastAsia="zh-CN"/>
        </w:rPr>
        <w:t xml:space="preserve">a crédibilité des allégations </w:t>
      </w:r>
      <w:r w:rsidR="009755DB">
        <w:rPr>
          <w:rFonts w:eastAsia="MS Mincho"/>
          <w:lang w:val="fr-FR" w:eastAsia="zh-CN"/>
        </w:rPr>
        <w:t xml:space="preserve">du requérant </w:t>
      </w:r>
      <w:r w:rsidR="00E57B6D">
        <w:rPr>
          <w:rFonts w:eastAsia="MS Mincho"/>
          <w:lang w:val="fr-FR" w:eastAsia="zh-CN"/>
        </w:rPr>
        <w:t>est douteuse</w:t>
      </w:r>
      <w:r w:rsidR="009755DB">
        <w:rPr>
          <w:rFonts w:eastAsia="MS Mincho"/>
          <w:lang w:val="fr-FR" w:eastAsia="zh-CN"/>
        </w:rPr>
        <w:t xml:space="preserve"> et qu</w:t>
      </w:r>
      <w:r w:rsidR="008D2358">
        <w:rPr>
          <w:rFonts w:eastAsia="MS Mincho"/>
          <w:lang w:val="fr-FR" w:eastAsia="zh-CN"/>
        </w:rPr>
        <w:t xml:space="preserve">e ces dernières </w:t>
      </w:r>
      <w:r w:rsidR="001520DF">
        <w:rPr>
          <w:rFonts w:eastAsia="MS Mincho"/>
          <w:lang w:val="fr-FR" w:eastAsia="zh-CN"/>
        </w:rPr>
        <w:t>ne sont pas fondées</w:t>
      </w:r>
      <w:r w:rsidR="00742474">
        <w:rPr>
          <w:rFonts w:eastAsia="MS Mincho"/>
          <w:lang w:val="fr-FR" w:eastAsia="zh-CN"/>
        </w:rPr>
        <w:t xml:space="preserve">. </w:t>
      </w:r>
      <w:r w:rsidR="003101D3">
        <w:rPr>
          <w:rFonts w:eastAsia="MS Mincho"/>
          <w:lang w:val="fr-FR" w:eastAsia="zh-CN"/>
        </w:rPr>
        <w:t xml:space="preserve">Alors </w:t>
      </w:r>
      <w:r w:rsidR="00742474">
        <w:rPr>
          <w:rFonts w:eastAsia="MS Mincho"/>
          <w:lang w:val="fr-FR" w:eastAsia="zh-CN"/>
        </w:rPr>
        <w:t>que le requérant reproche</w:t>
      </w:r>
      <w:r w:rsidR="003101D3">
        <w:rPr>
          <w:rFonts w:eastAsia="MS Mincho"/>
          <w:lang w:val="fr-FR" w:eastAsia="zh-CN"/>
        </w:rPr>
        <w:t xml:space="preserve"> à l’</w:t>
      </w:r>
      <w:r w:rsidR="001520DF">
        <w:rPr>
          <w:rFonts w:eastAsia="MS Mincho"/>
          <w:lang w:val="fr-FR" w:eastAsia="zh-CN"/>
        </w:rPr>
        <w:t>É</w:t>
      </w:r>
      <w:r w:rsidR="003101D3">
        <w:rPr>
          <w:rFonts w:eastAsia="MS Mincho"/>
          <w:lang w:val="fr-FR" w:eastAsia="zh-CN"/>
        </w:rPr>
        <w:t>tat partie</w:t>
      </w:r>
      <w:r w:rsidR="00742474">
        <w:rPr>
          <w:rFonts w:eastAsia="MS Mincho"/>
          <w:lang w:val="fr-FR" w:eastAsia="zh-CN"/>
        </w:rPr>
        <w:t xml:space="preserve"> de ne pas avoir </w:t>
      </w:r>
      <w:r w:rsidR="001520DF">
        <w:rPr>
          <w:rFonts w:eastAsia="MS Mincho"/>
          <w:lang w:val="fr-FR" w:eastAsia="zh-CN"/>
        </w:rPr>
        <w:t xml:space="preserve">considéré </w:t>
      </w:r>
      <w:r w:rsidR="009755DB">
        <w:rPr>
          <w:rFonts w:eastAsia="MS Mincho"/>
          <w:lang w:val="fr-FR" w:eastAsia="zh-CN"/>
        </w:rPr>
        <w:t xml:space="preserve">ses </w:t>
      </w:r>
      <w:r w:rsidR="001520DF">
        <w:rPr>
          <w:rFonts w:eastAsia="MS Mincho"/>
          <w:lang w:val="fr-FR" w:eastAsia="zh-CN"/>
        </w:rPr>
        <w:t>allégations</w:t>
      </w:r>
      <w:r w:rsidR="00742474">
        <w:rPr>
          <w:rFonts w:eastAsia="MS Mincho"/>
          <w:lang w:val="fr-FR" w:eastAsia="zh-CN"/>
        </w:rPr>
        <w:t xml:space="preserve">, </w:t>
      </w:r>
      <w:r w:rsidR="009755DB">
        <w:rPr>
          <w:rFonts w:eastAsia="MS Mincho"/>
          <w:lang w:val="fr-FR" w:eastAsia="zh-CN"/>
        </w:rPr>
        <w:t>l’État partie</w:t>
      </w:r>
      <w:r w:rsidR="003101D3">
        <w:rPr>
          <w:rFonts w:eastAsia="MS Mincho"/>
          <w:lang w:val="fr-FR" w:eastAsia="zh-CN"/>
        </w:rPr>
        <w:t xml:space="preserve"> note</w:t>
      </w:r>
      <w:r w:rsidR="00742474">
        <w:rPr>
          <w:rFonts w:eastAsia="MS Mincho"/>
          <w:lang w:val="fr-FR" w:eastAsia="zh-CN"/>
        </w:rPr>
        <w:t xml:space="preserve"> </w:t>
      </w:r>
      <w:r w:rsidR="003101D3">
        <w:rPr>
          <w:rFonts w:eastAsia="MS Mincho"/>
          <w:lang w:val="fr-FR" w:eastAsia="zh-CN"/>
        </w:rPr>
        <w:t xml:space="preserve">au contraire </w:t>
      </w:r>
      <w:r w:rsidR="00742474">
        <w:rPr>
          <w:rFonts w:eastAsia="MS Mincho"/>
          <w:lang w:val="fr-FR" w:eastAsia="zh-CN"/>
        </w:rPr>
        <w:t xml:space="preserve">que l’arrêt de la Cour de </w:t>
      </w:r>
      <w:r w:rsidR="001520DF">
        <w:rPr>
          <w:rFonts w:eastAsia="MS Mincho"/>
          <w:lang w:val="fr-FR" w:eastAsia="zh-CN"/>
        </w:rPr>
        <w:t>c</w:t>
      </w:r>
      <w:r w:rsidR="00742474">
        <w:rPr>
          <w:rFonts w:eastAsia="MS Mincho"/>
          <w:lang w:val="fr-FR" w:eastAsia="zh-CN"/>
        </w:rPr>
        <w:t xml:space="preserve">assation est clairement motivé sur ce point </w:t>
      </w:r>
      <w:r w:rsidR="003101D3">
        <w:rPr>
          <w:rFonts w:eastAsia="MS Mincho"/>
          <w:lang w:val="fr-FR" w:eastAsia="zh-CN"/>
        </w:rPr>
        <w:t xml:space="preserve">et qu’il se </w:t>
      </w:r>
      <w:r w:rsidR="005E59E4">
        <w:rPr>
          <w:rFonts w:eastAsia="MS Mincho"/>
          <w:lang w:val="fr-FR" w:eastAsia="zh-CN"/>
        </w:rPr>
        <w:t xml:space="preserve">fonde </w:t>
      </w:r>
      <w:r w:rsidR="001520DF">
        <w:rPr>
          <w:rFonts w:eastAsia="MS Mincho"/>
          <w:lang w:val="fr-FR" w:eastAsia="zh-CN"/>
        </w:rPr>
        <w:t xml:space="preserve">notamment </w:t>
      </w:r>
      <w:r w:rsidR="00742474">
        <w:rPr>
          <w:rFonts w:eastAsia="MS Mincho"/>
          <w:lang w:val="fr-FR" w:eastAsia="zh-CN"/>
        </w:rPr>
        <w:t xml:space="preserve">sur les propres déclarations du requérant devant le juge </w:t>
      </w:r>
      <w:r w:rsidR="008B1A0D">
        <w:rPr>
          <w:rFonts w:eastAsia="MS Mincho"/>
          <w:lang w:val="fr-FR" w:eastAsia="zh-CN"/>
        </w:rPr>
        <w:t>français</w:t>
      </w:r>
      <w:r w:rsidR="00742474">
        <w:rPr>
          <w:rFonts w:eastAsia="MS Mincho"/>
          <w:lang w:val="fr-FR" w:eastAsia="zh-CN"/>
        </w:rPr>
        <w:t>.</w:t>
      </w:r>
      <w:r w:rsidR="004719A4">
        <w:rPr>
          <w:rFonts w:eastAsia="MS Mincho"/>
          <w:lang w:val="fr-FR" w:eastAsia="zh-CN"/>
        </w:rPr>
        <w:t xml:space="preserve"> </w:t>
      </w:r>
    </w:p>
    <w:p w:rsidR="004A4FBC" w:rsidRDefault="004A4FBC" w:rsidP="00756CA0">
      <w:pPr>
        <w:pStyle w:val="SingleTxtG"/>
        <w:rPr>
          <w:rFonts w:eastAsia="MS Mincho"/>
          <w:lang w:val="fr-FR" w:eastAsia="zh-CN"/>
        </w:rPr>
      </w:pPr>
      <w:r>
        <w:rPr>
          <w:rFonts w:eastAsia="MS Mincho"/>
          <w:lang w:val="fr-FR" w:eastAsia="zh-CN"/>
        </w:rPr>
        <w:t>4.</w:t>
      </w:r>
      <w:r w:rsidR="00080160">
        <w:rPr>
          <w:rFonts w:eastAsia="MS Mincho"/>
          <w:lang w:val="fr-FR" w:eastAsia="zh-CN"/>
        </w:rPr>
        <w:t>6</w:t>
      </w:r>
      <w:r>
        <w:rPr>
          <w:rFonts w:eastAsia="MS Mincho"/>
          <w:lang w:val="fr-FR" w:eastAsia="zh-CN"/>
        </w:rPr>
        <w:tab/>
      </w:r>
      <w:r w:rsidR="00756CA0">
        <w:rPr>
          <w:rFonts w:eastAsia="MS Mincho"/>
          <w:lang w:val="fr-FR" w:eastAsia="zh-CN"/>
        </w:rPr>
        <w:t>Enfin</w:t>
      </w:r>
      <w:r w:rsidR="003101D3">
        <w:rPr>
          <w:rFonts w:eastAsia="MS Mincho"/>
          <w:lang w:val="fr-FR" w:eastAsia="zh-CN"/>
        </w:rPr>
        <w:t>, l</w:t>
      </w:r>
      <w:r>
        <w:rPr>
          <w:rFonts w:eastAsia="MS Mincho"/>
          <w:lang w:val="fr-FR" w:eastAsia="zh-CN"/>
        </w:rPr>
        <w:t>’</w:t>
      </w:r>
      <w:r w:rsidR="001520DF">
        <w:rPr>
          <w:rFonts w:eastAsia="MS Mincho"/>
          <w:lang w:val="fr-FR" w:eastAsia="zh-CN"/>
        </w:rPr>
        <w:t>É</w:t>
      </w:r>
      <w:r>
        <w:rPr>
          <w:rFonts w:eastAsia="MS Mincho"/>
          <w:lang w:val="fr-FR" w:eastAsia="zh-CN"/>
        </w:rPr>
        <w:t>tat partie souligne que le requérant n’a pas apporté de preuve que les déclarations incriminantes faisant partie de la procédure d’extradition ont été faites sous la torture. Il note à cet égard que ses complices présumés</w:t>
      </w:r>
      <w:r w:rsidR="00756CA0">
        <w:rPr>
          <w:rFonts w:eastAsia="MS Mincho"/>
          <w:lang w:val="fr-FR" w:eastAsia="zh-CN"/>
        </w:rPr>
        <w:t>,</w:t>
      </w:r>
      <w:r>
        <w:rPr>
          <w:rFonts w:eastAsia="MS Mincho"/>
          <w:lang w:val="fr-FR" w:eastAsia="zh-CN"/>
        </w:rPr>
        <w:t xml:space="preserve"> déjà </w:t>
      </w:r>
      <w:r w:rsidR="00756CA0">
        <w:rPr>
          <w:rFonts w:eastAsia="MS Mincho"/>
          <w:lang w:val="fr-FR" w:eastAsia="zh-CN"/>
        </w:rPr>
        <w:t xml:space="preserve">entre les </w:t>
      </w:r>
      <w:r>
        <w:rPr>
          <w:rFonts w:eastAsia="MS Mincho"/>
          <w:lang w:val="fr-FR" w:eastAsia="zh-CN"/>
        </w:rPr>
        <w:t>mains de la justice al</w:t>
      </w:r>
      <w:r w:rsidR="002A679B">
        <w:rPr>
          <w:rFonts w:eastAsia="MS Mincho"/>
          <w:lang w:val="fr-FR" w:eastAsia="zh-CN"/>
        </w:rPr>
        <w:t>gérienne</w:t>
      </w:r>
      <w:r w:rsidR="00756CA0">
        <w:rPr>
          <w:rFonts w:eastAsia="MS Mincho"/>
          <w:lang w:val="fr-FR" w:eastAsia="zh-CN"/>
        </w:rPr>
        <w:t>,</w:t>
      </w:r>
      <w:r w:rsidR="002A679B">
        <w:rPr>
          <w:rFonts w:eastAsia="MS Mincho"/>
          <w:lang w:val="fr-FR" w:eastAsia="zh-CN"/>
        </w:rPr>
        <w:t xml:space="preserve"> </w:t>
      </w:r>
      <w:r w:rsidR="00756CA0">
        <w:rPr>
          <w:rFonts w:eastAsia="MS Mincho"/>
          <w:lang w:val="fr-FR" w:eastAsia="zh-CN"/>
        </w:rPr>
        <w:t xml:space="preserve">ont </w:t>
      </w:r>
      <w:r w:rsidR="002A679B">
        <w:rPr>
          <w:rFonts w:eastAsia="MS Mincho"/>
          <w:lang w:val="fr-FR" w:eastAsia="zh-CN"/>
        </w:rPr>
        <w:t xml:space="preserve">tous </w:t>
      </w:r>
      <w:r w:rsidR="00756CA0">
        <w:rPr>
          <w:rFonts w:eastAsia="MS Mincho"/>
          <w:lang w:val="fr-FR" w:eastAsia="zh-CN"/>
        </w:rPr>
        <w:t xml:space="preserve">été </w:t>
      </w:r>
      <w:r>
        <w:rPr>
          <w:rFonts w:eastAsia="MS Mincho"/>
          <w:lang w:val="fr-FR" w:eastAsia="zh-CN"/>
        </w:rPr>
        <w:t xml:space="preserve">assistés de leurs avocats et </w:t>
      </w:r>
      <w:r w:rsidR="00756CA0">
        <w:rPr>
          <w:rFonts w:eastAsia="MS Mincho"/>
          <w:lang w:val="fr-FR" w:eastAsia="zh-CN"/>
        </w:rPr>
        <w:t xml:space="preserve">n’ont pas </w:t>
      </w:r>
      <w:r>
        <w:rPr>
          <w:rFonts w:eastAsia="MS Mincho"/>
          <w:lang w:val="fr-FR" w:eastAsia="zh-CN"/>
        </w:rPr>
        <w:t>prétendu avoir été maltraité</w:t>
      </w:r>
      <w:r w:rsidR="00756CA0">
        <w:rPr>
          <w:rFonts w:eastAsia="MS Mincho"/>
          <w:lang w:val="fr-FR" w:eastAsia="zh-CN"/>
        </w:rPr>
        <w:t>s</w:t>
      </w:r>
      <w:r>
        <w:rPr>
          <w:rFonts w:eastAsia="MS Mincho"/>
          <w:lang w:val="fr-FR" w:eastAsia="zh-CN"/>
        </w:rPr>
        <w:t xml:space="preserve"> lors de l</w:t>
      </w:r>
      <w:r w:rsidR="002A679B">
        <w:rPr>
          <w:rFonts w:eastAsia="MS Mincho"/>
          <w:lang w:val="fr-FR" w:eastAsia="zh-CN"/>
        </w:rPr>
        <w:t xml:space="preserve">eur </w:t>
      </w:r>
      <w:r>
        <w:rPr>
          <w:rFonts w:eastAsia="MS Mincho"/>
          <w:lang w:val="fr-FR" w:eastAsia="zh-CN"/>
        </w:rPr>
        <w:t>arrestation ou de l</w:t>
      </w:r>
      <w:r w:rsidR="002A679B">
        <w:rPr>
          <w:rFonts w:eastAsia="MS Mincho"/>
          <w:lang w:val="fr-FR" w:eastAsia="zh-CN"/>
        </w:rPr>
        <w:t xml:space="preserve">eur </w:t>
      </w:r>
      <w:r>
        <w:rPr>
          <w:rFonts w:eastAsia="MS Mincho"/>
          <w:lang w:val="fr-FR" w:eastAsia="zh-CN"/>
        </w:rPr>
        <w:t>interrogatoire. Le prévenu A.</w:t>
      </w:r>
      <w:r w:rsidR="002E7767">
        <w:rPr>
          <w:rFonts w:eastAsia="MS Mincho"/>
          <w:lang w:val="fr-FR" w:eastAsia="zh-CN"/>
        </w:rPr>
        <w:t> </w:t>
      </w:r>
      <w:r>
        <w:rPr>
          <w:rFonts w:eastAsia="MS Mincho"/>
          <w:lang w:val="fr-FR" w:eastAsia="zh-CN"/>
        </w:rPr>
        <w:t xml:space="preserve">B., qui a mis en cause le requérant, était entouré de trois de ses avocats lors de sa comparution devant le juge </w:t>
      </w:r>
      <w:r>
        <w:rPr>
          <w:rFonts w:eastAsia="MS Mincho"/>
          <w:lang w:val="fr-FR" w:eastAsia="zh-CN"/>
        </w:rPr>
        <w:lastRenderedPageBreak/>
        <w:t>d’instruction et aucune mention de torture lors de son interrogatoire n’est relevée dans les pièces du dossier</w:t>
      </w:r>
      <w:r w:rsidR="002A679B">
        <w:rPr>
          <w:rFonts w:eastAsia="MS Mincho"/>
          <w:lang w:val="fr-FR" w:eastAsia="zh-CN"/>
        </w:rPr>
        <w:t xml:space="preserve"> transmis à l’</w:t>
      </w:r>
      <w:r w:rsidR="005F1695">
        <w:rPr>
          <w:rFonts w:eastAsia="MS Mincho"/>
          <w:lang w:val="fr-FR" w:eastAsia="zh-CN"/>
        </w:rPr>
        <w:t>État</w:t>
      </w:r>
      <w:r w:rsidR="002A679B">
        <w:rPr>
          <w:rFonts w:eastAsia="MS Mincho"/>
          <w:lang w:val="fr-FR" w:eastAsia="zh-CN"/>
        </w:rPr>
        <w:t xml:space="preserve"> partie</w:t>
      </w:r>
      <w:r>
        <w:rPr>
          <w:rFonts w:eastAsia="MS Mincho"/>
          <w:lang w:val="fr-FR" w:eastAsia="zh-CN"/>
        </w:rPr>
        <w:t>.</w:t>
      </w:r>
      <w:r w:rsidRPr="00676B5B">
        <w:rPr>
          <w:rFonts w:eastAsia="MS Mincho"/>
          <w:lang w:val="fr-FR" w:eastAsia="zh-CN"/>
        </w:rPr>
        <w:t xml:space="preserve"> </w:t>
      </w:r>
    </w:p>
    <w:p w:rsidR="009D0F95" w:rsidRPr="009D0F95" w:rsidRDefault="002E7767" w:rsidP="002E7767">
      <w:pPr>
        <w:pStyle w:val="H23G"/>
        <w:rPr>
          <w:rFonts w:eastAsia="SimSun"/>
          <w:lang w:eastAsia="zh-CN"/>
        </w:rPr>
      </w:pPr>
      <w:r>
        <w:tab/>
      </w:r>
      <w:r>
        <w:tab/>
      </w:r>
      <w:r w:rsidR="009D0F95" w:rsidRPr="009D0F95">
        <w:t>Commentaires du requérant sur les observations de l’État partie</w:t>
      </w:r>
    </w:p>
    <w:p w:rsidR="00EA269D" w:rsidRDefault="004644AC" w:rsidP="0003413D">
      <w:pPr>
        <w:pStyle w:val="SingleTxtG"/>
        <w:rPr>
          <w:rFonts w:eastAsia="MS Mincho"/>
          <w:lang w:eastAsia="zh-CN"/>
        </w:rPr>
      </w:pPr>
      <w:r>
        <w:rPr>
          <w:rFonts w:eastAsia="MS Mincho"/>
          <w:lang w:eastAsia="zh-CN"/>
        </w:rPr>
        <w:t>5.</w:t>
      </w:r>
      <w:r w:rsidR="006932E0">
        <w:rPr>
          <w:rFonts w:eastAsia="MS Mincho"/>
          <w:lang w:eastAsia="zh-CN"/>
        </w:rPr>
        <w:t>1</w:t>
      </w:r>
      <w:r>
        <w:rPr>
          <w:rFonts w:eastAsia="MS Mincho"/>
          <w:lang w:eastAsia="zh-CN"/>
        </w:rPr>
        <w:tab/>
      </w:r>
      <w:r w:rsidR="00D5363F">
        <w:rPr>
          <w:rFonts w:eastAsia="MS Mincho"/>
          <w:lang w:eastAsia="zh-CN"/>
        </w:rPr>
        <w:t>Dans ses commentaires du 31</w:t>
      </w:r>
      <w:r w:rsidR="002E7767">
        <w:rPr>
          <w:rFonts w:eastAsia="MS Mincho"/>
          <w:lang w:eastAsia="zh-CN"/>
        </w:rPr>
        <w:t> </w:t>
      </w:r>
      <w:r w:rsidR="00D5363F">
        <w:rPr>
          <w:rFonts w:eastAsia="MS Mincho"/>
          <w:lang w:eastAsia="zh-CN"/>
        </w:rPr>
        <w:t>décembre 2013, le requérant maintient qu’e</w:t>
      </w:r>
      <w:r w:rsidR="006522E8">
        <w:rPr>
          <w:rFonts w:eastAsia="MS Mincho"/>
          <w:lang w:eastAsia="zh-CN"/>
        </w:rPr>
        <w:t xml:space="preserve">n ce qui concerne la question de </w:t>
      </w:r>
      <w:r w:rsidR="006932E0">
        <w:rPr>
          <w:rFonts w:eastAsia="MS Mincho"/>
          <w:lang w:eastAsia="zh-CN"/>
        </w:rPr>
        <w:t xml:space="preserve">l’épuisement des voies de recours internes, </w:t>
      </w:r>
      <w:r w:rsidR="00EA269D">
        <w:rPr>
          <w:rFonts w:eastAsia="MS Mincho"/>
          <w:lang w:eastAsia="zh-CN"/>
        </w:rPr>
        <w:t xml:space="preserve">le recours en rétractation n’a pas d’effet suspensif sur la décision d’extradition. Selon lui, </w:t>
      </w:r>
      <w:r w:rsidR="002A679B">
        <w:rPr>
          <w:rFonts w:eastAsia="MS Mincho"/>
          <w:lang w:eastAsia="zh-CN"/>
        </w:rPr>
        <w:t>d’après la législation de l’</w:t>
      </w:r>
      <w:r w:rsidR="005F1695">
        <w:rPr>
          <w:rFonts w:eastAsia="MS Mincho"/>
          <w:lang w:eastAsia="zh-CN"/>
        </w:rPr>
        <w:t>État</w:t>
      </w:r>
      <w:r w:rsidR="002A679B">
        <w:rPr>
          <w:rFonts w:eastAsia="MS Mincho"/>
          <w:lang w:eastAsia="zh-CN"/>
        </w:rPr>
        <w:t xml:space="preserve"> partie, </w:t>
      </w:r>
      <w:r w:rsidR="00EA269D">
        <w:rPr>
          <w:rFonts w:eastAsia="MS Mincho"/>
          <w:lang w:eastAsia="zh-CN"/>
        </w:rPr>
        <w:t>le recours en rétractation serait un recours «extraordinaire» et seuls les recours «ordinaires»</w:t>
      </w:r>
      <w:r w:rsidR="00F76298">
        <w:rPr>
          <w:rFonts w:eastAsia="MS Mincho"/>
          <w:lang w:eastAsia="zh-CN"/>
        </w:rPr>
        <w:t xml:space="preserve"> </w:t>
      </w:r>
      <w:r w:rsidR="00AF136C">
        <w:rPr>
          <w:rFonts w:eastAsia="MS Mincho"/>
          <w:lang w:eastAsia="zh-CN"/>
        </w:rPr>
        <w:t xml:space="preserve">seraient </w:t>
      </w:r>
      <w:r w:rsidR="006932E0">
        <w:rPr>
          <w:rFonts w:eastAsia="MS Mincho"/>
          <w:lang w:eastAsia="zh-CN"/>
        </w:rPr>
        <w:t xml:space="preserve">automatiquement </w:t>
      </w:r>
      <w:r w:rsidR="00AF136C">
        <w:rPr>
          <w:rFonts w:eastAsia="MS Mincho"/>
          <w:lang w:eastAsia="zh-CN"/>
        </w:rPr>
        <w:t>suspensifs</w:t>
      </w:r>
      <w:r w:rsidR="00AF136C" w:rsidRPr="0003413D">
        <w:rPr>
          <w:rStyle w:val="FootnoteReference"/>
          <w:rFonts w:eastAsia="MS Mincho"/>
        </w:rPr>
        <w:footnoteReference w:id="18"/>
      </w:r>
      <w:r w:rsidR="002E7767">
        <w:rPr>
          <w:rFonts w:eastAsia="MS Mincho"/>
          <w:lang w:eastAsia="zh-CN"/>
        </w:rPr>
        <w:t>.</w:t>
      </w:r>
      <w:r w:rsidR="00F76298">
        <w:rPr>
          <w:rFonts w:eastAsia="MS Mincho"/>
          <w:lang w:eastAsia="zh-CN"/>
        </w:rPr>
        <w:t xml:space="preserve"> </w:t>
      </w:r>
      <w:r w:rsidR="00AF136C">
        <w:rPr>
          <w:rFonts w:eastAsia="MS Mincho"/>
          <w:lang w:eastAsia="zh-CN"/>
        </w:rPr>
        <w:t>Il conclu</w:t>
      </w:r>
      <w:r w:rsidR="00914150">
        <w:rPr>
          <w:rFonts w:eastAsia="MS Mincho"/>
          <w:lang w:eastAsia="zh-CN"/>
        </w:rPr>
        <w:t>t</w:t>
      </w:r>
      <w:r w:rsidR="00AF136C">
        <w:rPr>
          <w:rFonts w:eastAsia="MS Mincho"/>
          <w:lang w:eastAsia="zh-CN"/>
        </w:rPr>
        <w:t xml:space="preserve"> qu’à défaut d’être </w:t>
      </w:r>
      <w:r w:rsidR="00556D60">
        <w:rPr>
          <w:rFonts w:eastAsia="MS Mincho"/>
          <w:lang w:eastAsia="zh-CN"/>
        </w:rPr>
        <w:t>expressément</w:t>
      </w:r>
      <w:r w:rsidR="00AF136C">
        <w:rPr>
          <w:rFonts w:eastAsia="MS Mincho"/>
          <w:lang w:eastAsia="zh-CN"/>
        </w:rPr>
        <w:t xml:space="preserve"> prévu par la loi, le caractère suspensif du recours en </w:t>
      </w:r>
      <w:r w:rsidR="00556D60">
        <w:rPr>
          <w:rFonts w:eastAsia="MS Mincho"/>
          <w:lang w:eastAsia="zh-CN"/>
        </w:rPr>
        <w:t>rétractation</w:t>
      </w:r>
      <w:r w:rsidR="00AF136C">
        <w:rPr>
          <w:rFonts w:eastAsia="MS Mincho"/>
          <w:lang w:eastAsia="zh-CN"/>
        </w:rPr>
        <w:t xml:space="preserve"> ne </w:t>
      </w:r>
      <w:r w:rsidR="006932E0">
        <w:rPr>
          <w:rFonts w:eastAsia="MS Mincho"/>
          <w:lang w:eastAsia="zh-CN"/>
        </w:rPr>
        <w:t xml:space="preserve">peut </w:t>
      </w:r>
      <w:r w:rsidR="00556D60">
        <w:rPr>
          <w:rFonts w:eastAsia="MS Mincho"/>
          <w:lang w:eastAsia="zh-CN"/>
        </w:rPr>
        <w:t>être</w:t>
      </w:r>
      <w:r w:rsidR="00AF136C">
        <w:rPr>
          <w:rFonts w:eastAsia="MS Mincho"/>
          <w:lang w:eastAsia="zh-CN"/>
        </w:rPr>
        <w:t xml:space="preserve"> </w:t>
      </w:r>
      <w:r w:rsidR="002A679B">
        <w:rPr>
          <w:rFonts w:eastAsia="MS Mincho"/>
          <w:lang w:eastAsia="zh-CN"/>
        </w:rPr>
        <w:t>présumé</w:t>
      </w:r>
      <w:r w:rsidR="00914150">
        <w:rPr>
          <w:rFonts w:eastAsia="MS Mincho"/>
          <w:lang w:eastAsia="zh-CN"/>
        </w:rPr>
        <w:t>. En conséquence,</w:t>
      </w:r>
      <w:r w:rsidR="006932E0">
        <w:rPr>
          <w:rFonts w:eastAsia="MS Mincho"/>
          <w:lang w:eastAsia="zh-CN"/>
        </w:rPr>
        <w:t xml:space="preserve"> ce recours </w:t>
      </w:r>
      <w:r w:rsidR="00AF136C">
        <w:rPr>
          <w:rFonts w:eastAsia="MS Mincho"/>
          <w:lang w:eastAsia="zh-CN"/>
        </w:rPr>
        <w:t>ne présentait pas de garantie suffisante pour suspendre la mesure d’extradition contestée</w:t>
      </w:r>
      <w:r w:rsidR="006932E0">
        <w:rPr>
          <w:rFonts w:eastAsia="MS Mincho"/>
          <w:lang w:eastAsia="zh-CN"/>
        </w:rPr>
        <w:t xml:space="preserve"> et n’empêchait pas le dépôt de la requête devant le Comité</w:t>
      </w:r>
      <w:r w:rsidR="002A679B">
        <w:rPr>
          <w:rFonts w:eastAsia="MS Mincho"/>
          <w:lang w:eastAsia="zh-CN"/>
        </w:rPr>
        <w:t xml:space="preserve"> alors que le recours était en cours</w:t>
      </w:r>
      <w:r w:rsidR="00AF136C">
        <w:rPr>
          <w:rFonts w:eastAsia="MS Mincho"/>
          <w:lang w:eastAsia="zh-CN"/>
        </w:rPr>
        <w:t xml:space="preserve">. </w:t>
      </w:r>
    </w:p>
    <w:p w:rsidR="00DA2E94" w:rsidRDefault="006932E0" w:rsidP="004B439A">
      <w:pPr>
        <w:pStyle w:val="SingleTxtG"/>
        <w:rPr>
          <w:rFonts w:eastAsia="MS Mincho"/>
        </w:rPr>
      </w:pPr>
      <w:r>
        <w:rPr>
          <w:rFonts w:eastAsia="MS Mincho"/>
          <w:lang w:eastAsia="zh-CN"/>
        </w:rPr>
        <w:t>5.2</w:t>
      </w:r>
      <w:r>
        <w:rPr>
          <w:rFonts w:eastAsia="MS Mincho"/>
          <w:lang w:eastAsia="zh-CN"/>
        </w:rPr>
        <w:tab/>
      </w:r>
      <w:r w:rsidR="005B44F4">
        <w:rPr>
          <w:rFonts w:eastAsia="MS Mincho"/>
          <w:lang w:eastAsia="zh-CN"/>
        </w:rPr>
        <w:t xml:space="preserve">Le requérant </w:t>
      </w:r>
      <w:r w:rsidR="00EA269D">
        <w:rPr>
          <w:rFonts w:eastAsia="MS Mincho"/>
          <w:lang w:eastAsia="zh-CN"/>
        </w:rPr>
        <w:t xml:space="preserve">réaffirme qu’il n’existe pas </w:t>
      </w:r>
      <w:r w:rsidR="009E0DF5">
        <w:rPr>
          <w:rFonts w:eastAsia="MS Mincho"/>
          <w:lang w:eastAsia="zh-CN"/>
        </w:rPr>
        <w:t xml:space="preserve">de </w:t>
      </w:r>
      <w:r w:rsidR="00EA269D">
        <w:rPr>
          <w:rFonts w:eastAsia="MS Mincho"/>
          <w:lang w:eastAsia="zh-CN"/>
        </w:rPr>
        <w:t xml:space="preserve">recours contre la décision du </w:t>
      </w:r>
      <w:r w:rsidR="004B439A">
        <w:rPr>
          <w:rFonts w:eastAsia="MS Mincho"/>
          <w:lang w:eastAsia="zh-CN"/>
        </w:rPr>
        <w:t>c</w:t>
      </w:r>
      <w:r w:rsidR="00EA269D">
        <w:rPr>
          <w:rFonts w:eastAsia="MS Mincho"/>
          <w:lang w:eastAsia="zh-CN"/>
        </w:rPr>
        <w:t xml:space="preserve">hef du </w:t>
      </w:r>
      <w:r w:rsidR="002E7767">
        <w:rPr>
          <w:rFonts w:eastAsia="MS Mincho"/>
          <w:lang w:eastAsia="zh-CN"/>
        </w:rPr>
        <w:t>Gouvernement</w:t>
      </w:r>
      <w:r w:rsidR="00EA269D">
        <w:rPr>
          <w:rFonts w:eastAsia="MS Mincho"/>
          <w:lang w:eastAsia="zh-CN"/>
        </w:rPr>
        <w:t xml:space="preserve"> </w:t>
      </w:r>
      <w:r w:rsidR="00EA269D">
        <w:rPr>
          <w:rFonts w:eastAsia="MS Mincho"/>
        </w:rPr>
        <w:t>ordonnant l’extradition.</w:t>
      </w:r>
      <w:r w:rsidR="00AF136C">
        <w:rPr>
          <w:rFonts w:eastAsia="MS Mincho"/>
        </w:rPr>
        <w:t xml:space="preserve"> Selon lui, le déc</w:t>
      </w:r>
      <w:r w:rsidR="00DA2E94">
        <w:rPr>
          <w:rFonts w:eastAsia="MS Mincho"/>
        </w:rPr>
        <w:t xml:space="preserve">ret du </w:t>
      </w:r>
      <w:r w:rsidR="004B439A">
        <w:rPr>
          <w:rFonts w:eastAsia="MS Mincho"/>
        </w:rPr>
        <w:t>c</w:t>
      </w:r>
      <w:r w:rsidR="00DA2E94">
        <w:rPr>
          <w:rFonts w:eastAsia="MS Mincho"/>
        </w:rPr>
        <w:t xml:space="preserve">hef du </w:t>
      </w:r>
      <w:r w:rsidR="002E7767">
        <w:rPr>
          <w:rFonts w:eastAsia="MS Mincho"/>
        </w:rPr>
        <w:t>Gouvernement</w:t>
      </w:r>
      <w:r w:rsidR="00DA2E94">
        <w:rPr>
          <w:rFonts w:eastAsia="MS Mincho"/>
        </w:rPr>
        <w:t xml:space="preserve"> constitue une </w:t>
      </w:r>
      <w:r w:rsidR="009E0DF5">
        <w:rPr>
          <w:rFonts w:eastAsia="MS Mincho"/>
        </w:rPr>
        <w:t xml:space="preserve">simple </w:t>
      </w:r>
      <w:r w:rsidR="00DA2E94">
        <w:rPr>
          <w:rFonts w:eastAsia="MS Mincho"/>
        </w:rPr>
        <w:t>décision d’exécution de l’</w:t>
      </w:r>
      <w:r w:rsidR="00556D60">
        <w:rPr>
          <w:rFonts w:eastAsia="MS Mincho"/>
        </w:rPr>
        <w:t>arrêt</w:t>
      </w:r>
      <w:r w:rsidR="00DA2E94">
        <w:rPr>
          <w:rFonts w:eastAsia="MS Mincho"/>
        </w:rPr>
        <w:t xml:space="preserve"> de la Cour de cassation</w:t>
      </w:r>
      <w:r>
        <w:rPr>
          <w:rFonts w:eastAsia="MS Mincho"/>
        </w:rPr>
        <w:t>,</w:t>
      </w:r>
      <w:r w:rsidR="00DA2E94">
        <w:rPr>
          <w:rFonts w:eastAsia="MS Mincho"/>
        </w:rPr>
        <w:t xml:space="preserve"> </w:t>
      </w:r>
      <w:r>
        <w:rPr>
          <w:rFonts w:eastAsia="MS Mincho"/>
        </w:rPr>
        <w:t xml:space="preserve">acte </w:t>
      </w:r>
      <w:r w:rsidR="005B44F4">
        <w:rPr>
          <w:rFonts w:eastAsia="MS Mincho"/>
        </w:rPr>
        <w:t xml:space="preserve">non </w:t>
      </w:r>
      <w:r>
        <w:rPr>
          <w:rFonts w:eastAsia="MS Mincho"/>
        </w:rPr>
        <w:t xml:space="preserve">susceptible de recours, </w:t>
      </w:r>
      <w:r w:rsidR="00DA2E94">
        <w:rPr>
          <w:rFonts w:eastAsia="MS Mincho"/>
        </w:rPr>
        <w:t>et non</w:t>
      </w:r>
      <w:r w:rsidR="005B44F4">
        <w:rPr>
          <w:rFonts w:eastAsia="MS Mincho"/>
        </w:rPr>
        <w:t xml:space="preserve"> pas</w:t>
      </w:r>
      <w:r w:rsidR="00DA2E94">
        <w:rPr>
          <w:rFonts w:eastAsia="MS Mincho"/>
        </w:rPr>
        <w:t xml:space="preserve"> une décision </w:t>
      </w:r>
      <w:r w:rsidR="00556D60">
        <w:rPr>
          <w:rFonts w:eastAsia="MS Mincho"/>
        </w:rPr>
        <w:t>créatrice</w:t>
      </w:r>
      <w:r w:rsidR="004452B0">
        <w:rPr>
          <w:rFonts w:eastAsia="MS Mincho"/>
        </w:rPr>
        <w:t xml:space="preserve"> de droit ou </w:t>
      </w:r>
      <w:r w:rsidR="00DA2E94">
        <w:rPr>
          <w:rFonts w:eastAsia="MS Mincho"/>
        </w:rPr>
        <w:t xml:space="preserve">un acte </w:t>
      </w:r>
      <w:r w:rsidR="00556D60">
        <w:rPr>
          <w:rFonts w:eastAsia="MS Mincho"/>
        </w:rPr>
        <w:t>constitutif</w:t>
      </w:r>
      <w:r w:rsidR="00DA2E94">
        <w:rPr>
          <w:rFonts w:eastAsia="MS Mincho"/>
        </w:rPr>
        <w:t xml:space="preserve">. </w:t>
      </w:r>
      <w:r w:rsidR="005B44F4">
        <w:rPr>
          <w:rFonts w:eastAsia="MS Mincho"/>
        </w:rPr>
        <w:t xml:space="preserve">Le requérant </w:t>
      </w:r>
      <w:r w:rsidR="00DA2E94">
        <w:rPr>
          <w:rFonts w:eastAsia="MS Mincho"/>
        </w:rPr>
        <w:t xml:space="preserve">allègue que ledit décret ne lui a pas été notifié alors que tout acte de </w:t>
      </w:r>
      <w:r w:rsidR="00556D60">
        <w:rPr>
          <w:rFonts w:eastAsia="MS Mincho"/>
        </w:rPr>
        <w:t>nature</w:t>
      </w:r>
      <w:r w:rsidR="00DA2E94">
        <w:rPr>
          <w:rFonts w:eastAsia="MS Mincho"/>
        </w:rPr>
        <w:t xml:space="preserve"> administrative doit </w:t>
      </w:r>
      <w:r w:rsidR="00556D60">
        <w:rPr>
          <w:rFonts w:eastAsia="MS Mincho"/>
        </w:rPr>
        <w:t>être</w:t>
      </w:r>
      <w:r w:rsidR="00DA2E94">
        <w:rPr>
          <w:rFonts w:eastAsia="MS Mincho"/>
        </w:rPr>
        <w:t xml:space="preserve"> notifié pour </w:t>
      </w:r>
      <w:r w:rsidR="00556D60">
        <w:rPr>
          <w:rFonts w:eastAsia="MS Mincho"/>
        </w:rPr>
        <w:t>ouvrir</w:t>
      </w:r>
      <w:r w:rsidR="00DA2E94">
        <w:rPr>
          <w:rFonts w:eastAsia="MS Mincho"/>
        </w:rPr>
        <w:t xml:space="preserve"> les voies de recours</w:t>
      </w:r>
      <w:r w:rsidR="001520DF">
        <w:rPr>
          <w:rFonts w:eastAsia="MS Mincho"/>
        </w:rPr>
        <w:t xml:space="preserve">, prouvant </w:t>
      </w:r>
      <w:r w:rsidR="001520DF" w:rsidRPr="006C44A1">
        <w:rPr>
          <w:rFonts w:eastAsia="MS Mincho"/>
        </w:rPr>
        <w:t>par là-même q</w:t>
      </w:r>
      <w:r w:rsidR="001520DF">
        <w:rPr>
          <w:rFonts w:eastAsia="MS Mincho"/>
        </w:rPr>
        <w:t>u’il ne s’agissait pas d’un acte administrati</w:t>
      </w:r>
      <w:r w:rsidR="00044881">
        <w:rPr>
          <w:rFonts w:eastAsia="MS Mincho"/>
        </w:rPr>
        <w:t>f</w:t>
      </w:r>
      <w:r w:rsidR="001520DF">
        <w:rPr>
          <w:rFonts w:eastAsia="MS Mincho"/>
        </w:rPr>
        <w:t>.</w:t>
      </w:r>
    </w:p>
    <w:p w:rsidR="00556D60" w:rsidRDefault="006932E0" w:rsidP="00667704">
      <w:pPr>
        <w:pStyle w:val="SingleTxtG"/>
        <w:rPr>
          <w:rFonts w:eastAsia="MS Mincho"/>
        </w:rPr>
      </w:pPr>
      <w:r>
        <w:rPr>
          <w:rFonts w:eastAsia="MS Mincho"/>
        </w:rPr>
        <w:t>5.3</w:t>
      </w:r>
      <w:r>
        <w:rPr>
          <w:rFonts w:eastAsia="MS Mincho"/>
        </w:rPr>
        <w:tab/>
        <w:t>Sur le fond</w:t>
      </w:r>
      <w:r w:rsidR="00556D60">
        <w:rPr>
          <w:rFonts w:eastAsia="MS Mincho"/>
        </w:rPr>
        <w:t xml:space="preserve"> de l’affaire, le requérant </w:t>
      </w:r>
      <w:r w:rsidR="00914150">
        <w:rPr>
          <w:rFonts w:eastAsia="MS Mincho"/>
        </w:rPr>
        <w:t xml:space="preserve">réitère ses arguments sur le risque de torture </w:t>
      </w:r>
      <w:r w:rsidR="001520DF">
        <w:rPr>
          <w:rFonts w:eastAsia="MS Mincho"/>
        </w:rPr>
        <w:t>«</w:t>
      </w:r>
      <w:r w:rsidR="0003413D" w:rsidRPr="0003413D">
        <w:rPr>
          <w:rFonts w:eastAsia="MS Mincho"/>
          <w:i/>
          <w:iCs/>
        </w:rPr>
        <w:t>i</w:t>
      </w:r>
      <w:r w:rsidR="001520DF" w:rsidRPr="0003413D">
        <w:rPr>
          <w:rFonts w:eastAsia="MS Mincho"/>
          <w:i/>
          <w:iCs/>
        </w:rPr>
        <w:t>n</w:t>
      </w:r>
      <w:r w:rsidR="00756CA0">
        <w:rPr>
          <w:rFonts w:eastAsia="MS Mincho"/>
          <w:i/>
          <w:iCs/>
        </w:rPr>
        <w:t> </w:t>
      </w:r>
      <w:r w:rsidR="001520DF" w:rsidRPr="0003413D">
        <w:rPr>
          <w:rFonts w:eastAsia="MS Mincho"/>
          <w:i/>
          <w:iCs/>
        </w:rPr>
        <w:t>abstracto</w:t>
      </w:r>
      <w:r w:rsidR="001520DF">
        <w:rPr>
          <w:rFonts w:eastAsia="MS Mincho"/>
        </w:rPr>
        <w:t xml:space="preserve">» </w:t>
      </w:r>
      <w:r w:rsidR="00914150">
        <w:rPr>
          <w:rFonts w:eastAsia="MS Mincho"/>
        </w:rPr>
        <w:t xml:space="preserve">dans le contexte général algérien. Il </w:t>
      </w:r>
      <w:r w:rsidR="00556D60">
        <w:rPr>
          <w:rFonts w:eastAsia="MS Mincho"/>
        </w:rPr>
        <w:t xml:space="preserve">se réfère </w:t>
      </w:r>
      <w:r w:rsidR="00914150">
        <w:rPr>
          <w:rFonts w:eastAsia="MS Mincho"/>
        </w:rPr>
        <w:t xml:space="preserve">ensuite </w:t>
      </w:r>
      <w:r>
        <w:rPr>
          <w:rFonts w:eastAsia="MS Mincho"/>
        </w:rPr>
        <w:t>à des</w:t>
      </w:r>
      <w:r w:rsidR="00556D60">
        <w:rPr>
          <w:rFonts w:eastAsia="MS Mincho"/>
        </w:rPr>
        <w:t xml:space="preserve"> </w:t>
      </w:r>
      <w:r w:rsidR="004452B0">
        <w:rPr>
          <w:rFonts w:eastAsia="MS Mincho"/>
        </w:rPr>
        <w:t>déclarations</w:t>
      </w:r>
      <w:r w:rsidR="00556D60">
        <w:rPr>
          <w:rFonts w:eastAsia="MS Mincho"/>
        </w:rPr>
        <w:t xml:space="preserve"> relatant des faits de violence</w:t>
      </w:r>
      <w:r w:rsidR="001520DF" w:rsidRPr="001520DF">
        <w:rPr>
          <w:rFonts w:eastAsia="MS Mincho"/>
        </w:rPr>
        <w:t xml:space="preserve"> </w:t>
      </w:r>
      <w:r w:rsidR="001520DF">
        <w:rPr>
          <w:rFonts w:eastAsia="MS Mincho"/>
        </w:rPr>
        <w:t>imputables aux services de police algériens</w:t>
      </w:r>
      <w:r w:rsidR="004452B0">
        <w:rPr>
          <w:rFonts w:eastAsia="MS Mincho"/>
        </w:rPr>
        <w:t>,</w:t>
      </w:r>
      <w:r w:rsidR="00556D60">
        <w:rPr>
          <w:rFonts w:eastAsia="MS Mincho"/>
        </w:rPr>
        <w:t xml:space="preserve"> </w:t>
      </w:r>
      <w:r w:rsidR="001520DF">
        <w:rPr>
          <w:rFonts w:eastAsia="MS Mincho"/>
        </w:rPr>
        <w:t xml:space="preserve">qu’il </w:t>
      </w:r>
      <w:r w:rsidR="004452B0">
        <w:rPr>
          <w:rFonts w:eastAsia="MS Mincho"/>
        </w:rPr>
        <w:t>qualifi</w:t>
      </w:r>
      <w:r w:rsidR="001520DF">
        <w:rPr>
          <w:rFonts w:eastAsia="MS Mincho"/>
        </w:rPr>
        <w:t>e</w:t>
      </w:r>
      <w:r w:rsidR="004452B0">
        <w:rPr>
          <w:rFonts w:eastAsia="MS Mincho"/>
        </w:rPr>
        <w:t xml:space="preserve"> d’actes de torture</w:t>
      </w:r>
      <w:r w:rsidR="001520DF">
        <w:rPr>
          <w:rFonts w:eastAsia="MS Mincho"/>
        </w:rPr>
        <w:t xml:space="preserve">, </w:t>
      </w:r>
      <w:r w:rsidR="004452B0">
        <w:rPr>
          <w:rFonts w:eastAsia="MS Mincho"/>
        </w:rPr>
        <w:t>sur des témoins ou inculpés dans la cadre de la procédure judiciaire</w:t>
      </w:r>
      <w:r w:rsidR="001520DF">
        <w:rPr>
          <w:rFonts w:eastAsia="MS Mincho"/>
        </w:rPr>
        <w:t xml:space="preserve"> en question</w:t>
      </w:r>
      <w:r w:rsidR="00556D60">
        <w:rPr>
          <w:rFonts w:eastAsia="MS Mincho"/>
        </w:rPr>
        <w:t xml:space="preserve">. </w:t>
      </w:r>
      <w:r w:rsidR="004452B0">
        <w:rPr>
          <w:rFonts w:eastAsia="MS Mincho"/>
        </w:rPr>
        <w:t>D</w:t>
      </w:r>
      <w:r w:rsidR="00914150">
        <w:rPr>
          <w:rFonts w:eastAsia="MS Mincho"/>
        </w:rPr>
        <w:t xml:space="preserve">eux </w:t>
      </w:r>
      <w:r w:rsidR="004452B0">
        <w:rPr>
          <w:rFonts w:eastAsia="MS Mincho"/>
        </w:rPr>
        <w:t>déclarations</w:t>
      </w:r>
      <w:r w:rsidR="00987481">
        <w:rPr>
          <w:rFonts w:eastAsia="MS Mincho"/>
        </w:rPr>
        <w:t xml:space="preserve"> en ce sens</w:t>
      </w:r>
      <w:r w:rsidR="00914150">
        <w:rPr>
          <w:rFonts w:eastAsia="MS Mincho"/>
        </w:rPr>
        <w:t xml:space="preserve"> </w:t>
      </w:r>
      <w:r w:rsidR="004452B0">
        <w:rPr>
          <w:rFonts w:eastAsia="MS Mincho"/>
        </w:rPr>
        <w:t xml:space="preserve">faites </w:t>
      </w:r>
      <w:r w:rsidR="00914150">
        <w:rPr>
          <w:rFonts w:eastAsia="MS Mincho"/>
        </w:rPr>
        <w:t>anonym</w:t>
      </w:r>
      <w:r w:rsidR="004452B0">
        <w:rPr>
          <w:rFonts w:eastAsia="MS Mincho"/>
        </w:rPr>
        <w:t>ement auraient été recueillies par l</w:t>
      </w:r>
      <w:r w:rsidR="00914150">
        <w:rPr>
          <w:rFonts w:eastAsia="MS Mincho"/>
        </w:rPr>
        <w:t xml:space="preserve">a sœur </w:t>
      </w:r>
      <w:r w:rsidR="004452B0">
        <w:rPr>
          <w:rFonts w:eastAsia="MS Mincho"/>
        </w:rPr>
        <w:t xml:space="preserve">du requérant </w:t>
      </w:r>
      <w:r w:rsidR="00914150">
        <w:rPr>
          <w:rFonts w:eastAsia="MS Mincho"/>
        </w:rPr>
        <w:t xml:space="preserve">alors que la plupart des personnes contactées </w:t>
      </w:r>
      <w:r w:rsidR="004452B0">
        <w:rPr>
          <w:rFonts w:eastAsia="MS Mincho"/>
        </w:rPr>
        <w:t xml:space="preserve">par celle-ci </w:t>
      </w:r>
      <w:r w:rsidR="00914150">
        <w:rPr>
          <w:rFonts w:eastAsia="MS Mincho"/>
        </w:rPr>
        <w:t xml:space="preserve">auraient refusé de </w:t>
      </w:r>
      <w:r w:rsidR="004452B0">
        <w:rPr>
          <w:rFonts w:eastAsia="MS Mincho"/>
        </w:rPr>
        <w:t>lui parler</w:t>
      </w:r>
      <w:r w:rsidR="00914150" w:rsidRPr="00914150">
        <w:rPr>
          <w:rFonts w:eastAsia="MS Mincho"/>
        </w:rPr>
        <w:t xml:space="preserve"> </w:t>
      </w:r>
      <w:r w:rsidR="00914150">
        <w:rPr>
          <w:rFonts w:eastAsia="MS Mincho"/>
        </w:rPr>
        <w:t xml:space="preserve">par peur de représailles. Le requérant explique que cela traduit le climat de peur et </w:t>
      </w:r>
      <w:r w:rsidR="001520DF">
        <w:rPr>
          <w:rFonts w:eastAsia="MS Mincho"/>
        </w:rPr>
        <w:t>«</w:t>
      </w:r>
      <w:r w:rsidR="00914150">
        <w:rPr>
          <w:rFonts w:eastAsia="MS Mincho"/>
        </w:rPr>
        <w:t>l’omerta</w:t>
      </w:r>
      <w:r w:rsidR="001520DF">
        <w:rPr>
          <w:rFonts w:eastAsia="MS Mincho"/>
        </w:rPr>
        <w:t>»</w:t>
      </w:r>
      <w:r w:rsidR="00914150">
        <w:rPr>
          <w:rFonts w:eastAsia="MS Mincho"/>
        </w:rPr>
        <w:t xml:space="preserve"> qui entoure la procédure </w:t>
      </w:r>
      <w:r w:rsidR="006115CA">
        <w:rPr>
          <w:rFonts w:eastAsia="MS Mincho"/>
        </w:rPr>
        <w:t xml:space="preserve">judiciaire </w:t>
      </w:r>
      <w:r w:rsidR="00914150">
        <w:rPr>
          <w:rFonts w:eastAsia="MS Mincho"/>
        </w:rPr>
        <w:t>algérienne</w:t>
      </w:r>
      <w:r w:rsidR="006115CA">
        <w:rPr>
          <w:rFonts w:eastAsia="MS Mincho"/>
        </w:rPr>
        <w:t xml:space="preserve"> en cours</w:t>
      </w:r>
      <w:r w:rsidR="00914150">
        <w:rPr>
          <w:rFonts w:eastAsia="MS Mincho"/>
        </w:rPr>
        <w:t xml:space="preserve">. </w:t>
      </w:r>
      <w:r w:rsidR="004452B0">
        <w:rPr>
          <w:rFonts w:eastAsia="MS Mincho"/>
        </w:rPr>
        <w:t>Une troisième</w:t>
      </w:r>
      <w:r w:rsidR="00914150">
        <w:rPr>
          <w:rFonts w:eastAsia="MS Mincho"/>
        </w:rPr>
        <w:t xml:space="preserve"> personne</w:t>
      </w:r>
      <w:r w:rsidR="001520DF">
        <w:rPr>
          <w:rFonts w:eastAsia="MS Mincho"/>
        </w:rPr>
        <w:t>,</w:t>
      </w:r>
      <w:r w:rsidR="00914150">
        <w:rPr>
          <w:rFonts w:eastAsia="MS Mincho"/>
        </w:rPr>
        <w:t xml:space="preserve"> </w:t>
      </w:r>
      <w:r w:rsidR="004452B0">
        <w:rPr>
          <w:rFonts w:eastAsia="MS Mincho"/>
        </w:rPr>
        <w:t>Y.</w:t>
      </w:r>
      <w:r w:rsidR="00756CA0">
        <w:rPr>
          <w:rFonts w:eastAsia="MS Mincho"/>
        </w:rPr>
        <w:t> </w:t>
      </w:r>
      <w:r w:rsidR="004452B0">
        <w:rPr>
          <w:rFonts w:eastAsia="MS Mincho"/>
        </w:rPr>
        <w:t>B.</w:t>
      </w:r>
      <w:r w:rsidR="001520DF">
        <w:rPr>
          <w:rFonts w:eastAsia="MS Mincho"/>
        </w:rPr>
        <w:t>,</w:t>
      </w:r>
      <w:r w:rsidR="004452B0">
        <w:rPr>
          <w:rFonts w:eastAsia="MS Mincho"/>
        </w:rPr>
        <w:t xml:space="preserve"> aurait relaté</w:t>
      </w:r>
      <w:r w:rsidR="00914150">
        <w:rPr>
          <w:rFonts w:eastAsia="MS Mincho"/>
        </w:rPr>
        <w:t xml:space="preserve"> </w:t>
      </w:r>
      <w:r w:rsidR="004452B0">
        <w:rPr>
          <w:rFonts w:eastAsia="MS Mincho"/>
        </w:rPr>
        <w:t xml:space="preserve">à la sœur du requérant </w:t>
      </w:r>
      <w:r w:rsidR="00756CA0">
        <w:rPr>
          <w:rFonts w:eastAsia="MS Mincho"/>
        </w:rPr>
        <w:t xml:space="preserve">avoir </w:t>
      </w:r>
      <w:r w:rsidR="00914150">
        <w:rPr>
          <w:rFonts w:eastAsia="MS Mincho"/>
        </w:rPr>
        <w:t xml:space="preserve">été privé d’eau et de nourriture pendant </w:t>
      </w:r>
      <w:r w:rsidR="004452B0">
        <w:rPr>
          <w:rFonts w:eastAsia="MS Mincho"/>
        </w:rPr>
        <w:t xml:space="preserve">les </w:t>
      </w:r>
      <w:r w:rsidR="00914150">
        <w:rPr>
          <w:rFonts w:eastAsia="MS Mincho"/>
        </w:rPr>
        <w:t>48</w:t>
      </w:r>
      <w:r w:rsidR="00667704">
        <w:rPr>
          <w:rFonts w:eastAsia="MS Mincho"/>
        </w:rPr>
        <w:t> </w:t>
      </w:r>
      <w:r w:rsidR="00914150">
        <w:rPr>
          <w:rFonts w:eastAsia="MS Mincho"/>
        </w:rPr>
        <w:t xml:space="preserve">heures </w:t>
      </w:r>
      <w:r w:rsidR="004452B0">
        <w:rPr>
          <w:rFonts w:eastAsia="MS Mincho"/>
        </w:rPr>
        <w:t xml:space="preserve">de garde à vue et </w:t>
      </w:r>
      <w:r w:rsidR="00756CA0">
        <w:rPr>
          <w:rFonts w:eastAsia="MS Mincho"/>
        </w:rPr>
        <w:t xml:space="preserve">avoir </w:t>
      </w:r>
      <w:r w:rsidR="00914150">
        <w:rPr>
          <w:rFonts w:eastAsia="MS Mincho"/>
        </w:rPr>
        <w:t>subi des pressions</w:t>
      </w:r>
      <w:r w:rsidR="006115CA">
        <w:rPr>
          <w:rFonts w:eastAsia="MS Mincho"/>
        </w:rPr>
        <w:t xml:space="preserve"> de la part des forces de l’ordre</w:t>
      </w:r>
      <w:r w:rsidR="00914150">
        <w:rPr>
          <w:rFonts w:eastAsia="MS Mincho"/>
        </w:rPr>
        <w:t>.</w:t>
      </w:r>
    </w:p>
    <w:p w:rsidR="000E12DE" w:rsidRDefault="005A0EF6" w:rsidP="00B622B5">
      <w:pPr>
        <w:pStyle w:val="SingleTxtG"/>
        <w:rPr>
          <w:rFonts w:eastAsia="MS Mincho"/>
        </w:rPr>
      </w:pPr>
      <w:r>
        <w:rPr>
          <w:rFonts w:eastAsia="MS Mincho"/>
        </w:rPr>
        <w:t>5.</w:t>
      </w:r>
      <w:r w:rsidR="00525ECA">
        <w:rPr>
          <w:rFonts w:eastAsia="MS Mincho"/>
        </w:rPr>
        <w:t>4</w:t>
      </w:r>
      <w:r>
        <w:rPr>
          <w:rFonts w:eastAsia="MS Mincho"/>
        </w:rPr>
        <w:tab/>
      </w:r>
      <w:r w:rsidR="000E12DE">
        <w:rPr>
          <w:rFonts w:eastAsia="MS Mincho"/>
        </w:rPr>
        <w:t xml:space="preserve">Le requérant </w:t>
      </w:r>
      <w:r w:rsidR="001520DF">
        <w:rPr>
          <w:rFonts w:eastAsia="MS Mincho"/>
        </w:rPr>
        <w:t>soutient</w:t>
      </w:r>
      <w:r w:rsidR="000E12DE">
        <w:rPr>
          <w:rFonts w:eastAsia="MS Mincho"/>
        </w:rPr>
        <w:t xml:space="preserve"> qu’il encourt un risque </w:t>
      </w:r>
      <w:r w:rsidR="000E12DE" w:rsidRPr="00003558">
        <w:rPr>
          <w:rFonts w:eastAsia="MS Mincho"/>
        </w:rPr>
        <w:t>réel, actuel et personnel pu</w:t>
      </w:r>
      <w:r w:rsidR="000E12DE">
        <w:rPr>
          <w:rFonts w:eastAsia="MS Mincho"/>
        </w:rPr>
        <w:t>isqu’il semble</w:t>
      </w:r>
      <w:r>
        <w:rPr>
          <w:rFonts w:eastAsia="MS Mincho"/>
        </w:rPr>
        <w:t>rait</w:t>
      </w:r>
      <w:r w:rsidR="000E12DE">
        <w:rPr>
          <w:rFonts w:eastAsia="MS Mincho"/>
        </w:rPr>
        <w:t xml:space="preserve"> que </w:t>
      </w:r>
      <w:r w:rsidR="001440AC">
        <w:rPr>
          <w:rFonts w:eastAsia="MS Mincho"/>
        </w:rPr>
        <w:t>dans cette affaire</w:t>
      </w:r>
      <w:r w:rsidR="00F939A9">
        <w:rPr>
          <w:rFonts w:eastAsia="MS Mincho"/>
        </w:rPr>
        <w:t>,</w:t>
      </w:r>
      <w:r w:rsidR="006115CA">
        <w:rPr>
          <w:rFonts w:eastAsia="MS Mincho"/>
        </w:rPr>
        <w:t xml:space="preserve"> et comme indiqué par les déclarations recueillies par sa sœur</w:t>
      </w:r>
      <w:r w:rsidR="001440AC">
        <w:rPr>
          <w:rFonts w:eastAsia="MS Mincho"/>
        </w:rPr>
        <w:t xml:space="preserve">, </w:t>
      </w:r>
      <w:r w:rsidR="000E12DE">
        <w:rPr>
          <w:rFonts w:eastAsia="MS Mincho"/>
        </w:rPr>
        <w:t xml:space="preserve">la police </w:t>
      </w:r>
      <w:r>
        <w:rPr>
          <w:rFonts w:eastAsia="MS Mincho"/>
        </w:rPr>
        <w:t xml:space="preserve">algérienne </w:t>
      </w:r>
      <w:r w:rsidR="000E12DE">
        <w:rPr>
          <w:rFonts w:eastAsia="MS Mincho"/>
        </w:rPr>
        <w:t xml:space="preserve">ait usé systématiquement de violence </w:t>
      </w:r>
      <w:r>
        <w:rPr>
          <w:rFonts w:eastAsia="MS Mincho"/>
        </w:rPr>
        <w:t>lors des interrogatoires</w:t>
      </w:r>
      <w:r w:rsidR="000E12DE">
        <w:rPr>
          <w:rFonts w:eastAsia="MS Mincho"/>
        </w:rPr>
        <w:t>. De plus, il maintient que</w:t>
      </w:r>
      <w:r w:rsidR="001440AC">
        <w:rPr>
          <w:rFonts w:eastAsia="MS Mincho"/>
        </w:rPr>
        <w:t xml:space="preserve"> </w:t>
      </w:r>
      <w:r w:rsidR="001520DF">
        <w:rPr>
          <w:rFonts w:eastAsia="MS Mincho"/>
        </w:rPr>
        <w:t xml:space="preserve">les enquêteurs algériens </w:t>
      </w:r>
      <w:r w:rsidR="001440AC">
        <w:rPr>
          <w:rFonts w:eastAsia="MS Mincho"/>
        </w:rPr>
        <w:t>semble</w:t>
      </w:r>
      <w:r w:rsidR="001520DF">
        <w:rPr>
          <w:rFonts w:eastAsia="MS Mincho"/>
        </w:rPr>
        <w:t>nt s’</w:t>
      </w:r>
      <w:r w:rsidR="001358DC">
        <w:rPr>
          <w:rFonts w:eastAsia="MS Mincho"/>
        </w:rPr>
        <w:t>intéresser</w:t>
      </w:r>
      <w:r w:rsidR="000E12DE">
        <w:rPr>
          <w:rFonts w:eastAsia="MS Mincho"/>
        </w:rPr>
        <w:t xml:space="preserve"> particulièrement </w:t>
      </w:r>
      <w:r w:rsidR="001520DF">
        <w:rPr>
          <w:rFonts w:eastAsia="MS Mincho"/>
        </w:rPr>
        <w:t xml:space="preserve">à lui puisqu’ils </w:t>
      </w:r>
      <w:r w:rsidR="001358DC">
        <w:rPr>
          <w:rFonts w:eastAsia="MS Mincho"/>
        </w:rPr>
        <w:t>cherch</w:t>
      </w:r>
      <w:r w:rsidR="006115CA">
        <w:rPr>
          <w:rFonts w:eastAsia="MS Mincho"/>
        </w:rPr>
        <w:t>er</w:t>
      </w:r>
      <w:r w:rsidR="001358DC">
        <w:rPr>
          <w:rFonts w:eastAsia="MS Mincho"/>
        </w:rPr>
        <w:t xml:space="preserve">aient à le faire mettre en cause </w:t>
      </w:r>
      <w:r w:rsidR="001520DF">
        <w:rPr>
          <w:rFonts w:eastAsia="MS Mincho"/>
        </w:rPr>
        <w:t xml:space="preserve">en même temps </w:t>
      </w:r>
      <w:r w:rsidR="001358DC">
        <w:rPr>
          <w:rFonts w:eastAsia="MS Mincho"/>
        </w:rPr>
        <w:t xml:space="preserve">que son frère. Il soutient qu’il est </w:t>
      </w:r>
      <w:r w:rsidR="001440AC">
        <w:rPr>
          <w:rFonts w:eastAsia="MS Mincho"/>
        </w:rPr>
        <w:t xml:space="preserve">donc </w:t>
      </w:r>
      <w:r w:rsidR="001358DC">
        <w:rPr>
          <w:rFonts w:eastAsia="MS Mincho"/>
        </w:rPr>
        <w:t>for</w:t>
      </w:r>
      <w:r w:rsidR="006522E8">
        <w:rPr>
          <w:rFonts w:eastAsia="MS Mincho"/>
        </w:rPr>
        <w:t>t</w:t>
      </w:r>
      <w:r w:rsidR="001358DC">
        <w:rPr>
          <w:rFonts w:eastAsia="MS Mincho"/>
        </w:rPr>
        <w:t xml:space="preserve"> probable qu’il soit soumis à des violences lors de son interrogatoire afin </w:t>
      </w:r>
      <w:r w:rsidR="00B622B5">
        <w:rPr>
          <w:rFonts w:eastAsia="MS Mincho"/>
        </w:rPr>
        <w:t xml:space="preserve">de </w:t>
      </w:r>
      <w:r w:rsidR="001358DC">
        <w:rPr>
          <w:rFonts w:eastAsia="MS Mincho"/>
        </w:rPr>
        <w:t>fourni</w:t>
      </w:r>
      <w:r w:rsidR="00B622B5">
        <w:rPr>
          <w:rFonts w:eastAsia="MS Mincho"/>
        </w:rPr>
        <w:t xml:space="preserve">r </w:t>
      </w:r>
      <w:r w:rsidR="001358DC">
        <w:rPr>
          <w:rFonts w:eastAsia="MS Mincho"/>
        </w:rPr>
        <w:t xml:space="preserve">des informations sur son frère </w:t>
      </w:r>
      <w:r w:rsidR="00E6507F">
        <w:rPr>
          <w:rFonts w:eastAsia="MS Mincho"/>
        </w:rPr>
        <w:t xml:space="preserve">qui est </w:t>
      </w:r>
      <w:r w:rsidR="001440AC">
        <w:rPr>
          <w:rFonts w:eastAsia="MS Mincho"/>
        </w:rPr>
        <w:t>recherché par la justice algérienne</w:t>
      </w:r>
      <w:r w:rsidR="001358DC">
        <w:rPr>
          <w:rFonts w:eastAsia="MS Mincho"/>
        </w:rPr>
        <w:t xml:space="preserve">. </w:t>
      </w:r>
    </w:p>
    <w:p w:rsidR="006522E8" w:rsidRDefault="004452B0" w:rsidP="00906074">
      <w:pPr>
        <w:pStyle w:val="SingleTxtG"/>
        <w:rPr>
          <w:rFonts w:eastAsia="MS Mincho"/>
        </w:rPr>
      </w:pPr>
      <w:r>
        <w:rPr>
          <w:rFonts w:eastAsia="MS Mincho"/>
        </w:rPr>
        <w:t>5.</w:t>
      </w:r>
      <w:r w:rsidR="00525ECA">
        <w:rPr>
          <w:rFonts w:eastAsia="MS Mincho"/>
        </w:rPr>
        <w:t>5</w:t>
      </w:r>
      <w:r>
        <w:rPr>
          <w:rFonts w:eastAsia="MS Mincho"/>
        </w:rPr>
        <w:tab/>
      </w:r>
      <w:r w:rsidR="00B622B5">
        <w:rPr>
          <w:rFonts w:eastAsia="MS Mincho"/>
        </w:rPr>
        <w:t>Enfin</w:t>
      </w:r>
      <w:r w:rsidR="006932E0">
        <w:rPr>
          <w:rFonts w:eastAsia="MS Mincho"/>
        </w:rPr>
        <w:t>, l</w:t>
      </w:r>
      <w:r w:rsidR="006522E8">
        <w:rPr>
          <w:rFonts w:eastAsia="MS Mincho"/>
        </w:rPr>
        <w:t>e requérant réit</w:t>
      </w:r>
      <w:r w:rsidR="00B622B5">
        <w:rPr>
          <w:rFonts w:eastAsia="MS Mincho"/>
        </w:rPr>
        <w:t>è</w:t>
      </w:r>
      <w:r w:rsidR="006522E8">
        <w:rPr>
          <w:rFonts w:eastAsia="MS Mincho"/>
        </w:rPr>
        <w:t>r</w:t>
      </w:r>
      <w:r w:rsidR="00B622B5">
        <w:rPr>
          <w:rFonts w:eastAsia="MS Mincho"/>
        </w:rPr>
        <w:t>e</w:t>
      </w:r>
      <w:r w:rsidR="006522E8">
        <w:rPr>
          <w:rFonts w:eastAsia="MS Mincho"/>
        </w:rPr>
        <w:t xml:space="preserve"> ses arguments concernant l</w:t>
      </w:r>
      <w:r w:rsidR="005A0EF6">
        <w:rPr>
          <w:rFonts w:eastAsia="MS Mincho"/>
        </w:rPr>
        <w:t xml:space="preserve">es manquements de </w:t>
      </w:r>
      <w:r w:rsidR="006522E8">
        <w:rPr>
          <w:rFonts w:eastAsia="MS Mincho"/>
        </w:rPr>
        <w:t>l’</w:t>
      </w:r>
      <w:r w:rsidR="005F1695">
        <w:rPr>
          <w:rFonts w:eastAsia="MS Mincho"/>
        </w:rPr>
        <w:t>État</w:t>
      </w:r>
      <w:r w:rsidR="006522E8">
        <w:rPr>
          <w:rFonts w:eastAsia="MS Mincho"/>
        </w:rPr>
        <w:t xml:space="preserve"> partie </w:t>
      </w:r>
      <w:r w:rsidR="001440AC">
        <w:rPr>
          <w:rFonts w:eastAsia="MS Mincho"/>
        </w:rPr>
        <w:t>quant à son obligation de</w:t>
      </w:r>
      <w:r w:rsidR="005A0EF6">
        <w:rPr>
          <w:rFonts w:eastAsia="MS Mincho"/>
        </w:rPr>
        <w:t xml:space="preserve"> vérifier le</w:t>
      </w:r>
      <w:r w:rsidR="006522E8">
        <w:rPr>
          <w:rFonts w:eastAsia="MS Mincho"/>
        </w:rPr>
        <w:t xml:space="preserve"> risque</w:t>
      </w:r>
      <w:r w:rsidR="005A0EF6">
        <w:rPr>
          <w:rFonts w:eastAsia="MS Mincho"/>
        </w:rPr>
        <w:t xml:space="preserve"> du requérant d’être </w:t>
      </w:r>
      <w:r w:rsidR="006522E8">
        <w:rPr>
          <w:rFonts w:eastAsia="MS Mincho"/>
        </w:rPr>
        <w:t>tortur</w:t>
      </w:r>
      <w:r w:rsidR="005A0EF6">
        <w:rPr>
          <w:rFonts w:eastAsia="MS Mincho"/>
        </w:rPr>
        <w:t xml:space="preserve">é </w:t>
      </w:r>
      <w:r w:rsidR="006522E8">
        <w:rPr>
          <w:rFonts w:eastAsia="MS Mincho"/>
        </w:rPr>
        <w:t xml:space="preserve">s’il </w:t>
      </w:r>
      <w:r w:rsidR="001440AC">
        <w:rPr>
          <w:rFonts w:eastAsia="MS Mincho"/>
        </w:rPr>
        <w:t>était</w:t>
      </w:r>
      <w:r w:rsidR="006522E8">
        <w:rPr>
          <w:rFonts w:eastAsia="MS Mincho"/>
        </w:rPr>
        <w:t xml:space="preserve"> extradé vers l’Algérie et </w:t>
      </w:r>
      <w:r w:rsidR="001440AC">
        <w:rPr>
          <w:rFonts w:eastAsia="MS Mincho"/>
        </w:rPr>
        <w:t>de</w:t>
      </w:r>
      <w:r w:rsidR="006522E8">
        <w:rPr>
          <w:rFonts w:eastAsia="MS Mincho"/>
        </w:rPr>
        <w:t xml:space="preserve"> contrôler que les déclarations incriminantes n’aient pas été obtenues sous la torture.</w:t>
      </w:r>
      <w:r w:rsidR="005A0EF6">
        <w:rPr>
          <w:rFonts w:eastAsia="MS Mincho"/>
        </w:rPr>
        <w:t xml:space="preserve"> </w:t>
      </w:r>
      <w:r w:rsidR="009047AD">
        <w:rPr>
          <w:rFonts w:eastAsia="MS Mincho"/>
        </w:rPr>
        <w:t>À</w:t>
      </w:r>
      <w:r w:rsidR="005A0EF6">
        <w:rPr>
          <w:rFonts w:eastAsia="MS Mincho"/>
        </w:rPr>
        <w:t xml:space="preserve"> cet égard, </w:t>
      </w:r>
      <w:r w:rsidR="005B44F4">
        <w:rPr>
          <w:rFonts w:eastAsia="MS Mincho"/>
        </w:rPr>
        <w:t xml:space="preserve">le requérant </w:t>
      </w:r>
      <w:r w:rsidR="005A0EF6">
        <w:rPr>
          <w:rFonts w:eastAsia="MS Mincho"/>
        </w:rPr>
        <w:t>ajout</w:t>
      </w:r>
      <w:r w:rsidR="00B622B5">
        <w:rPr>
          <w:rFonts w:eastAsia="MS Mincho"/>
        </w:rPr>
        <w:t>e</w:t>
      </w:r>
      <w:r w:rsidR="005A0EF6">
        <w:rPr>
          <w:rFonts w:eastAsia="MS Mincho"/>
        </w:rPr>
        <w:t xml:space="preserve"> que les deux personnes qui ont témoigné anonymement auprès de sa sœur </w:t>
      </w:r>
      <w:r w:rsidR="005A0EF6" w:rsidRPr="004E3755">
        <w:rPr>
          <w:rFonts w:eastAsia="MS Mincho"/>
        </w:rPr>
        <w:t>auraient ét</w:t>
      </w:r>
      <w:r w:rsidR="005A0EF6">
        <w:rPr>
          <w:rFonts w:eastAsia="MS Mincho"/>
        </w:rPr>
        <w:t>é violentées pour le mettre en cause</w:t>
      </w:r>
      <w:r w:rsidR="00667704">
        <w:rPr>
          <w:rFonts w:eastAsia="MS Mincho"/>
        </w:rPr>
        <w:t>. Il</w:t>
      </w:r>
      <w:r w:rsidR="00906074">
        <w:rPr>
          <w:rFonts w:eastAsia="MS Mincho"/>
        </w:rPr>
        <w:t> </w:t>
      </w:r>
      <w:r w:rsidR="00667704">
        <w:rPr>
          <w:rFonts w:eastAsia="MS Mincho"/>
        </w:rPr>
        <w:t xml:space="preserve">y a donc une </w:t>
      </w:r>
      <w:r w:rsidR="00023460">
        <w:rPr>
          <w:rFonts w:eastAsia="MS Mincho"/>
        </w:rPr>
        <w:t>«</w:t>
      </w:r>
      <w:r w:rsidR="005A0EF6">
        <w:rPr>
          <w:rFonts w:eastAsia="MS Mincho"/>
        </w:rPr>
        <w:t>forte probabilité</w:t>
      </w:r>
      <w:r w:rsidR="00023460">
        <w:rPr>
          <w:rFonts w:eastAsia="MS Mincho"/>
        </w:rPr>
        <w:t>»</w:t>
      </w:r>
      <w:r w:rsidR="005A0EF6">
        <w:rPr>
          <w:rFonts w:eastAsia="MS Mincho"/>
        </w:rPr>
        <w:t xml:space="preserve"> que les déclarations d’A.</w:t>
      </w:r>
      <w:r w:rsidR="002E7767">
        <w:rPr>
          <w:rFonts w:eastAsia="MS Mincho"/>
        </w:rPr>
        <w:t> </w:t>
      </w:r>
      <w:r w:rsidR="005A0EF6">
        <w:rPr>
          <w:rFonts w:eastAsia="MS Mincho"/>
        </w:rPr>
        <w:t>B ai</w:t>
      </w:r>
      <w:r w:rsidR="001440AC">
        <w:rPr>
          <w:rFonts w:eastAsia="MS Mincho"/>
        </w:rPr>
        <w:t>en</w:t>
      </w:r>
      <w:r w:rsidR="005A0EF6">
        <w:rPr>
          <w:rFonts w:eastAsia="MS Mincho"/>
        </w:rPr>
        <w:t>t été faites sous la torture.</w:t>
      </w:r>
    </w:p>
    <w:p w:rsidR="00757BE2" w:rsidRPr="00757BE2" w:rsidRDefault="00757BE2" w:rsidP="002E7767">
      <w:pPr>
        <w:pStyle w:val="H23G"/>
        <w:rPr>
          <w:rFonts w:eastAsia="MS Mincho"/>
          <w:lang w:val="fr-FR" w:eastAsia="zh-CN"/>
        </w:rPr>
      </w:pPr>
      <w:r>
        <w:rPr>
          <w:rFonts w:eastAsia="MS Mincho"/>
          <w:lang w:val="fr-FR" w:eastAsia="zh-CN"/>
        </w:rPr>
        <w:lastRenderedPageBreak/>
        <w:tab/>
      </w:r>
      <w:r>
        <w:rPr>
          <w:rFonts w:eastAsia="MS Mincho"/>
          <w:lang w:val="fr-FR" w:eastAsia="zh-CN"/>
        </w:rPr>
        <w:tab/>
      </w:r>
      <w:r w:rsidRPr="00757BE2">
        <w:rPr>
          <w:rFonts w:eastAsia="MS Mincho"/>
          <w:lang w:val="fr-FR" w:eastAsia="zh-CN"/>
        </w:rPr>
        <w:t>Délibérations du Comité</w:t>
      </w:r>
    </w:p>
    <w:p w:rsidR="00757BE2" w:rsidRPr="00757BE2" w:rsidRDefault="00757BE2" w:rsidP="002E7767">
      <w:pPr>
        <w:pStyle w:val="H4G"/>
      </w:pPr>
      <w:r>
        <w:tab/>
      </w:r>
      <w:r>
        <w:tab/>
      </w:r>
      <w:r w:rsidRPr="00757BE2">
        <w:t>Examen de la recevabilité</w:t>
      </w:r>
    </w:p>
    <w:p w:rsidR="00A53976" w:rsidRDefault="00A53976" w:rsidP="00A53976">
      <w:pPr>
        <w:pStyle w:val="SingleTxtG"/>
      </w:pPr>
      <w:r>
        <w:t>6.1</w:t>
      </w:r>
      <w:r>
        <w:tab/>
        <w:t>Avant d’examiner une plainte qui fait l’objet d’une communication, le Comité contre la torture doit déterminer si la requête est recevable en vertu de l’</w:t>
      </w:r>
      <w:r w:rsidR="0003413D">
        <w:t>article </w:t>
      </w:r>
      <w:r>
        <w:t xml:space="preserve">22 de la Convention. Le Comité s’est assuré, comme il est tenu de le faire conformément au </w:t>
      </w:r>
      <w:r w:rsidR="0003413D">
        <w:t>paragraphe </w:t>
      </w:r>
      <w:r>
        <w:t>5 a) de l’</w:t>
      </w:r>
      <w:r w:rsidR="0003413D">
        <w:t>article </w:t>
      </w:r>
      <w:r>
        <w:t>22 de la Convention, que la même question n’a pas été et n’est pas actuellement examinée par une autre instance internationale d’enquête ou de règlement.</w:t>
      </w:r>
    </w:p>
    <w:p w:rsidR="00A53976" w:rsidRDefault="00A53976" w:rsidP="00A53976">
      <w:pPr>
        <w:pStyle w:val="SingleTxtG"/>
      </w:pPr>
      <w:r>
        <w:t>6.2</w:t>
      </w:r>
      <w:r>
        <w:tab/>
        <w:t>Conformément à l’alinéa</w:t>
      </w:r>
      <w:r w:rsidR="001954AE">
        <w:t> </w:t>
      </w:r>
      <w:r>
        <w:rPr>
          <w:i/>
          <w:iCs/>
        </w:rPr>
        <w:t>b</w:t>
      </w:r>
      <w:r>
        <w:t xml:space="preserve"> du </w:t>
      </w:r>
      <w:r w:rsidR="0003413D">
        <w:t>paragraphe </w:t>
      </w:r>
      <w:r>
        <w:t>5 de l’</w:t>
      </w:r>
      <w:r w:rsidR="0003413D">
        <w:t>article </w:t>
      </w:r>
      <w:r>
        <w:t xml:space="preserve">22 de la Convention, le Comité doit s’assurer que le requérant a épuisé les voies de recours internes disponibles, cette règle ne s’appliquant pas lorsque les procédures de recours ont excédé des délais raisonnables ou s’il est peu probable qu’elles donneraient satisfaction à la victime présumée. </w:t>
      </w:r>
    </w:p>
    <w:p w:rsidR="006411B7" w:rsidRDefault="00A53976" w:rsidP="00906074">
      <w:pPr>
        <w:pStyle w:val="SingleTxtG"/>
        <w:rPr>
          <w:rFonts w:eastAsia="SimSun"/>
          <w:lang w:eastAsia="zh-CN"/>
        </w:rPr>
      </w:pPr>
      <w:r>
        <w:rPr>
          <w:rFonts w:eastAsia="SimSun"/>
          <w:lang w:val="fr-FR" w:eastAsia="zh-CN"/>
        </w:rPr>
        <w:t>6</w:t>
      </w:r>
      <w:r w:rsidR="006411B7" w:rsidRPr="002B4B23">
        <w:rPr>
          <w:rFonts w:eastAsia="SimSun"/>
          <w:lang w:val="fr-FR" w:eastAsia="zh-CN"/>
        </w:rPr>
        <w:t>.</w:t>
      </w:r>
      <w:r w:rsidR="006411B7">
        <w:rPr>
          <w:rFonts w:eastAsia="SimSun"/>
          <w:lang w:val="fr-FR" w:eastAsia="zh-CN"/>
        </w:rPr>
        <w:t>3</w:t>
      </w:r>
      <w:r w:rsidR="006411B7" w:rsidRPr="002B4B23">
        <w:rPr>
          <w:rFonts w:eastAsia="SimSun"/>
          <w:lang w:val="fr-FR" w:eastAsia="zh-CN"/>
        </w:rPr>
        <w:tab/>
      </w:r>
      <w:r w:rsidR="006411B7">
        <w:rPr>
          <w:rFonts w:eastAsia="SimSun"/>
          <w:lang w:eastAsia="zh-CN"/>
        </w:rPr>
        <w:t>L</w:t>
      </w:r>
      <w:r w:rsidR="006411B7" w:rsidRPr="002B4B23">
        <w:rPr>
          <w:rFonts w:eastAsia="SimSun"/>
          <w:lang w:eastAsia="zh-CN"/>
        </w:rPr>
        <w:t>e Comité</w:t>
      </w:r>
      <w:r w:rsidR="006411B7">
        <w:rPr>
          <w:rFonts w:eastAsia="SimSun"/>
          <w:lang w:eastAsia="zh-CN"/>
        </w:rPr>
        <w:t xml:space="preserve"> note que l’État partie considère que la communication est irrecevable en vertu du paragraphe</w:t>
      </w:r>
      <w:r w:rsidR="0003413D">
        <w:rPr>
          <w:rFonts w:eastAsia="SimSun"/>
          <w:lang w:eastAsia="zh-CN"/>
        </w:rPr>
        <w:t> </w:t>
      </w:r>
      <w:r w:rsidR="006411B7">
        <w:rPr>
          <w:rFonts w:eastAsia="SimSun"/>
          <w:lang w:eastAsia="zh-CN"/>
        </w:rPr>
        <w:t>5</w:t>
      </w:r>
      <w:r w:rsidR="0003413D">
        <w:rPr>
          <w:rFonts w:eastAsia="SimSun"/>
          <w:lang w:eastAsia="zh-CN"/>
        </w:rPr>
        <w:t> </w:t>
      </w:r>
      <w:r w:rsidR="006411B7">
        <w:rPr>
          <w:rFonts w:eastAsia="SimSun"/>
          <w:lang w:eastAsia="zh-CN"/>
        </w:rPr>
        <w:t>b) de l’</w:t>
      </w:r>
      <w:r w:rsidR="0003413D">
        <w:rPr>
          <w:rFonts w:eastAsia="SimSun"/>
          <w:lang w:eastAsia="zh-CN"/>
        </w:rPr>
        <w:t>article </w:t>
      </w:r>
      <w:r w:rsidR="006411B7">
        <w:rPr>
          <w:rFonts w:eastAsia="SimSun"/>
          <w:lang w:eastAsia="zh-CN"/>
        </w:rPr>
        <w:t>22 de la Convention. Le caractère suspensif du recours en rétractation soumis par le requérant le 23</w:t>
      </w:r>
      <w:r w:rsidR="001954AE">
        <w:rPr>
          <w:rFonts w:eastAsia="SimSun"/>
          <w:lang w:eastAsia="zh-CN"/>
        </w:rPr>
        <w:t> </w:t>
      </w:r>
      <w:r w:rsidR="006411B7">
        <w:rPr>
          <w:rFonts w:eastAsia="SimSun"/>
          <w:lang w:eastAsia="zh-CN"/>
        </w:rPr>
        <w:t>juillet 2012 contre l’avis favorable émis le 25</w:t>
      </w:r>
      <w:r w:rsidR="001954AE">
        <w:rPr>
          <w:rFonts w:eastAsia="SimSun"/>
          <w:lang w:eastAsia="zh-CN"/>
        </w:rPr>
        <w:t> </w:t>
      </w:r>
      <w:r w:rsidR="006411B7">
        <w:rPr>
          <w:rFonts w:eastAsia="SimSun"/>
          <w:lang w:eastAsia="zh-CN"/>
        </w:rPr>
        <w:t>avril 2012 par la Cour de cassation est disputé par les deux parties. Le Comité remarque que</w:t>
      </w:r>
      <w:r w:rsidR="00FE4943">
        <w:rPr>
          <w:rFonts w:eastAsia="SimSun"/>
          <w:lang w:eastAsia="zh-CN"/>
        </w:rPr>
        <w:t>,</w:t>
      </w:r>
      <w:r w:rsidR="006411B7">
        <w:rPr>
          <w:rFonts w:eastAsia="SimSun"/>
          <w:lang w:eastAsia="zh-CN"/>
        </w:rPr>
        <w:t xml:space="preserve"> comme noté par le requérant, le décret d’extradition a été signé par le </w:t>
      </w:r>
      <w:r w:rsidR="004B439A">
        <w:rPr>
          <w:rFonts w:eastAsia="SimSun"/>
          <w:lang w:eastAsia="zh-CN"/>
        </w:rPr>
        <w:t>c</w:t>
      </w:r>
      <w:r w:rsidR="006411B7">
        <w:rPr>
          <w:rFonts w:eastAsia="SimSun"/>
          <w:lang w:eastAsia="zh-CN"/>
        </w:rPr>
        <w:t xml:space="preserve">hef du </w:t>
      </w:r>
      <w:r w:rsidR="002E7767">
        <w:rPr>
          <w:rFonts w:eastAsia="SimSun"/>
          <w:lang w:eastAsia="zh-CN"/>
        </w:rPr>
        <w:t>Gouvernement</w:t>
      </w:r>
      <w:r w:rsidR="006411B7">
        <w:rPr>
          <w:rFonts w:eastAsia="SimSun"/>
          <w:lang w:eastAsia="zh-CN"/>
        </w:rPr>
        <w:t xml:space="preserve"> le 14</w:t>
      </w:r>
      <w:r w:rsidR="001954AE">
        <w:rPr>
          <w:rFonts w:eastAsia="SimSun"/>
          <w:lang w:eastAsia="zh-CN"/>
        </w:rPr>
        <w:t> </w:t>
      </w:r>
      <w:r w:rsidR="006411B7">
        <w:rPr>
          <w:rFonts w:eastAsia="SimSun"/>
          <w:lang w:eastAsia="zh-CN"/>
        </w:rPr>
        <w:t>septembre 2012 pendant que le recours en rétractation était en cours</w:t>
      </w:r>
      <w:r w:rsidR="00934D29">
        <w:rPr>
          <w:rFonts w:eastAsia="SimSun"/>
          <w:lang w:eastAsia="zh-CN"/>
        </w:rPr>
        <w:t>, l</w:t>
      </w:r>
      <w:r w:rsidR="006411B7">
        <w:rPr>
          <w:rFonts w:eastAsia="SimSun"/>
          <w:lang w:eastAsia="zh-CN"/>
        </w:rPr>
        <w:t xml:space="preserve">a décision de la Cour rejetant ce recours </w:t>
      </w:r>
      <w:r w:rsidR="00FF7EE5">
        <w:rPr>
          <w:rFonts w:eastAsia="SimSun"/>
          <w:lang w:eastAsia="zh-CN"/>
        </w:rPr>
        <w:t>a</w:t>
      </w:r>
      <w:r w:rsidR="00906074">
        <w:rPr>
          <w:rFonts w:eastAsia="SimSun"/>
          <w:lang w:eastAsia="zh-CN"/>
        </w:rPr>
        <w:t xml:space="preserve"> </w:t>
      </w:r>
      <w:r w:rsidR="006411B7">
        <w:rPr>
          <w:rFonts w:eastAsia="SimSun"/>
          <w:lang w:eastAsia="zh-CN"/>
        </w:rPr>
        <w:t>été rendue le 25</w:t>
      </w:r>
      <w:r w:rsidR="001954AE">
        <w:rPr>
          <w:rFonts w:eastAsia="SimSun"/>
          <w:lang w:eastAsia="zh-CN"/>
        </w:rPr>
        <w:t> </w:t>
      </w:r>
      <w:r w:rsidR="006411B7">
        <w:rPr>
          <w:rFonts w:eastAsia="SimSun"/>
          <w:lang w:eastAsia="zh-CN"/>
        </w:rPr>
        <w:t xml:space="preserve">novembre 2012. </w:t>
      </w:r>
      <w:r w:rsidR="00FE4943">
        <w:rPr>
          <w:rFonts w:eastAsia="SimSun"/>
          <w:lang w:eastAsia="zh-CN"/>
        </w:rPr>
        <w:t>Prenant en compte</w:t>
      </w:r>
      <w:r w:rsidR="006411B7">
        <w:rPr>
          <w:rFonts w:eastAsia="SimSun"/>
          <w:lang w:eastAsia="zh-CN"/>
        </w:rPr>
        <w:t xml:space="preserve"> le silence de la loi marocaine à ce sujet et le fait que l’État partie n’a pas fourni d’exemple concret de jurisprudence clarifiant la nature suspensive du recours, le Comité n’est pas en mesure de conclure que le recours en rétractation empêchait le requérant de soumettre sa requête devant le Comité</w:t>
      </w:r>
      <w:r w:rsidR="00D30D34">
        <w:rPr>
          <w:rFonts w:eastAsia="SimSun"/>
          <w:lang w:eastAsia="zh-CN"/>
        </w:rPr>
        <w:t>, qui était tout au plus prématurée</w:t>
      </w:r>
      <w:r w:rsidR="006411B7">
        <w:rPr>
          <w:rFonts w:eastAsia="SimSun"/>
          <w:lang w:eastAsia="zh-CN"/>
        </w:rPr>
        <w:t>.</w:t>
      </w:r>
    </w:p>
    <w:p w:rsidR="006411B7" w:rsidRDefault="006411B7" w:rsidP="00906074">
      <w:pPr>
        <w:pStyle w:val="SingleTxtG"/>
        <w:rPr>
          <w:rFonts w:eastAsia="SimSun"/>
          <w:lang w:eastAsia="zh-CN"/>
        </w:rPr>
      </w:pPr>
      <w:r>
        <w:rPr>
          <w:rFonts w:eastAsia="SimSun"/>
          <w:lang w:eastAsia="zh-CN"/>
        </w:rPr>
        <w:t>6.4</w:t>
      </w:r>
      <w:r>
        <w:rPr>
          <w:rFonts w:eastAsia="SimSun"/>
          <w:lang w:eastAsia="zh-CN"/>
        </w:rPr>
        <w:tab/>
        <w:t xml:space="preserve">En ce qui concerne </w:t>
      </w:r>
      <w:r w:rsidR="00C53FF3">
        <w:rPr>
          <w:rFonts w:eastAsia="SimSun"/>
          <w:lang w:eastAsia="zh-CN"/>
        </w:rPr>
        <w:t xml:space="preserve">la question </w:t>
      </w:r>
      <w:r>
        <w:rPr>
          <w:rFonts w:eastAsia="SimSun"/>
          <w:lang w:eastAsia="zh-CN"/>
        </w:rPr>
        <w:t>d</w:t>
      </w:r>
      <w:r w:rsidR="00C53FF3">
        <w:rPr>
          <w:rFonts w:eastAsia="SimSun"/>
          <w:lang w:eastAsia="zh-CN"/>
        </w:rPr>
        <w:t>u</w:t>
      </w:r>
      <w:r>
        <w:rPr>
          <w:rFonts w:eastAsia="SimSun"/>
          <w:lang w:eastAsia="zh-CN"/>
        </w:rPr>
        <w:t xml:space="preserve"> recours contre le décret d’extradition </w:t>
      </w:r>
      <w:r w:rsidR="00C53FF3" w:rsidRPr="006C44A1">
        <w:rPr>
          <w:rFonts w:eastAsia="SimSun"/>
          <w:lang w:eastAsia="zh-CN"/>
        </w:rPr>
        <w:t xml:space="preserve">dont </w:t>
      </w:r>
      <w:r w:rsidRPr="006C44A1">
        <w:rPr>
          <w:rFonts w:eastAsia="SimSun"/>
          <w:lang w:eastAsia="zh-CN"/>
        </w:rPr>
        <w:t>l’État</w:t>
      </w:r>
      <w:r>
        <w:rPr>
          <w:rFonts w:eastAsia="SimSun"/>
          <w:lang w:eastAsia="zh-CN"/>
        </w:rPr>
        <w:t xml:space="preserve"> partie</w:t>
      </w:r>
      <w:r w:rsidR="00C53FF3">
        <w:rPr>
          <w:rFonts w:eastAsia="SimSun"/>
          <w:lang w:eastAsia="zh-CN"/>
        </w:rPr>
        <w:t xml:space="preserve"> dé</w:t>
      </w:r>
      <w:r w:rsidR="00FF7EE5">
        <w:rPr>
          <w:rFonts w:eastAsia="SimSun"/>
          <w:lang w:eastAsia="zh-CN"/>
        </w:rPr>
        <w:t>nonce</w:t>
      </w:r>
      <w:r w:rsidR="00C53FF3">
        <w:rPr>
          <w:rFonts w:eastAsia="SimSun"/>
          <w:lang w:eastAsia="zh-CN"/>
        </w:rPr>
        <w:t xml:space="preserve"> l’absence</w:t>
      </w:r>
      <w:r>
        <w:rPr>
          <w:rFonts w:eastAsia="SimSun"/>
          <w:lang w:eastAsia="zh-CN"/>
        </w:rPr>
        <w:t xml:space="preserve">, le Comité note que les opinions des parties divergent </w:t>
      </w:r>
      <w:r w:rsidR="00906074">
        <w:rPr>
          <w:rFonts w:eastAsia="SimSun"/>
          <w:lang w:eastAsia="zh-CN"/>
        </w:rPr>
        <w:t xml:space="preserve">sur </w:t>
      </w:r>
      <w:r>
        <w:rPr>
          <w:rFonts w:eastAsia="SimSun"/>
          <w:lang w:eastAsia="zh-CN"/>
        </w:rPr>
        <w:t>la nature même d</w:t>
      </w:r>
      <w:r w:rsidR="00FF7EE5">
        <w:rPr>
          <w:rFonts w:eastAsia="SimSun"/>
          <w:lang w:eastAsia="zh-CN"/>
        </w:rPr>
        <w:t xml:space="preserve">e ce décret </w:t>
      </w:r>
      <w:r>
        <w:rPr>
          <w:rFonts w:eastAsia="SimSun"/>
          <w:lang w:eastAsia="zh-CN"/>
        </w:rPr>
        <w:t>et</w:t>
      </w:r>
      <w:r w:rsidR="00906074">
        <w:rPr>
          <w:rFonts w:eastAsia="SimSun"/>
          <w:lang w:eastAsia="zh-CN"/>
        </w:rPr>
        <w:t>,</w:t>
      </w:r>
      <w:r>
        <w:rPr>
          <w:rFonts w:eastAsia="SimSun"/>
          <w:lang w:eastAsia="zh-CN"/>
        </w:rPr>
        <w:t xml:space="preserve"> </w:t>
      </w:r>
      <w:r w:rsidR="00C53FF3">
        <w:rPr>
          <w:rFonts w:eastAsia="SimSun"/>
          <w:lang w:eastAsia="zh-CN"/>
        </w:rPr>
        <w:t>ce faisant</w:t>
      </w:r>
      <w:r w:rsidR="00FF7EE5">
        <w:rPr>
          <w:rFonts w:eastAsia="SimSun"/>
          <w:lang w:eastAsia="zh-CN"/>
        </w:rPr>
        <w:t>,</w:t>
      </w:r>
      <w:r w:rsidR="00C53FF3">
        <w:rPr>
          <w:rFonts w:eastAsia="SimSun"/>
          <w:lang w:eastAsia="zh-CN"/>
        </w:rPr>
        <w:t xml:space="preserve"> </w:t>
      </w:r>
      <w:r>
        <w:rPr>
          <w:rFonts w:eastAsia="SimSun"/>
          <w:lang w:eastAsia="zh-CN"/>
        </w:rPr>
        <w:t xml:space="preserve">sur l’existence de voies de recours contre celui-ci. Le Comité note que selon le requérant, </w:t>
      </w:r>
      <w:r w:rsidR="00906074">
        <w:rPr>
          <w:rFonts w:eastAsia="SimSun"/>
          <w:lang w:eastAsia="zh-CN"/>
        </w:rPr>
        <w:t xml:space="preserve">le décret d’extradition n’est </w:t>
      </w:r>
      <w:r>
        <w:rPr>
          <w:rFonts w:eastAsia="SimSun"/>
          <w:lang w:eastAsia="zh-CN"/>
        </w:rPr>
        <w:t>pas un acte administratif mais un simple acte d’exécution d</w:t>
      </w:r>
      <w:r w:rsidR="00FF7EE5">
        <w:rPr>
          <w:rFonts w:eastAsia="SimSun"/>
          <w:lang w:eastAsia="zh-CN"/>
        </w:rPr>
        <w:t>e</w:t>
      </w:r>
      <w:r>
        <w:rPr>
          <w:rFonts w:eastAsia="SimSun"/>
          <w:lang w:eastAsia="zh-CN"/>
        </w:rPr>
        <w:t xml:space="preserve"> décision de justice</w:t>
      </w:r>
      <w:r w:rsidR="00906074">
        <w:rPr>
          <w:rFonts w:eastAsia="SimSun"/>
          <w:lang w:eastAsia="zh-CN"/>
        </w:rPr>
        <w:t>,</w:t>
      </w:r>
      <w:r>
        <w:rPr>
          <w:rFonts w:eastAsia="SimSun"/>
          <w:lang w:eastAsia="zh-CN"/>
        </w:rPr>
        <w:t xml:space="preserve"> </w:t>
      </w:r>
      <w:r w:rsidR="00C53FF3">
        <w:rPr>
          <w:rFonts w:eastAsia="SimSun"/>
          <w:lang w:eastAsia="zh-CN"/>
        </w:rPr>
        <w:t>non</w:t>
      </w:r>
      <w:r>
        <w:rPr>
          <w:rFonts w:eastAsia="SimSun"/>
          <w:lang w:eastAsia="zh-CN"/>
        </w:rPr>
        <w:t xml:space="preserve"> créateur de droits</w:t>
      </w:r>
      <w:r w:rsidR="00C53FF3">
        <w:rPr>
          <w:rFonts w:eastAsia="SimSun"/>
          <w:lang w:eastAsia="zh-CN"/>
        </w:rPr>
        <w:t>,</w:t>
      </w:r>
      <w:r>
        <w:rPr>
          <w:rFonts w:eastAsia="SimSun"/>
          <w:lang w:eastAsia="zh-CN"/>
        </w:rPr>
        <w:t xml:space="preserve"> </w:t>
      </w:r>
      <w:r w:rsidR="00906074">
        <w:rPr>
          <w:rFonts w:eastAsia="SimSun"/>
          <w:lang w:eastAsia="zh-CN"/>
        </w:rPr>
        <w:t xml:space="preserve">et </w:t>
      </w:r>
      <w:r>
        <w:rPr>
          <w:rFonts w:eastAsia="SimSun"/>
          <w:lang w:eastAsia="zh-CN"/>
        </w:rPr>
        <w:t xml:space="preserve">n’est donc pas susceptible de recours. </w:t>
      </w:r>
      <w:r w:rsidR="00FF7EE5">
        <w:rPr>
          <w:rFonts w:eastAsia="SimSun"/>
          <w:lang w:eastAsia="zh-CN"/>
        </w:rPr>
        <w:t>L</w:t>
      </w:r>
      <w:r>
        <w:rPr>
          <w:rFonts w:eastAsia="SimSun"/>
          <w:lang w:eastAsia="zh-CN"/>
        </w:rPr>
        <w:t xml:space="preserve">’État partie explique </w:t>
      </w:r>
      <w:r w:rsidR="00FF7EE5">
        <w:rPr>
          <w:rFonts w:eastAsia="SimSun"/>
          <w:lang w:eastAsia="zh-CN"/>
        </w:rPr>
        <w:t xml:space="preserve">au contraire </w:t>
      </w:r>
      <w:r>
        <w:rPr>
          <w:rFonts w:eastAsia="SimSun"/>
          <w:lang w:eastAsia="zh-CN"/>
        </w:rPr>
        <w:t xml:space="preserve">qu’il s’agit d’un acte administratif contre lequel un recours en annulation pour excès de pouvoir </w:t>
      </w:r>
      <w:r w:rsidR="00C53FF3">
        <w:rPr>
          <w:rFonts w:eastAsia="SimSun"/>
          <w:lang w:eastAsia="zh-CN"/>
        </w:rPr>
        <w:t>peut</w:t>
      </w:r>
      <w:r>
        <w:rPr>
          <w:rFonts w:eastAsia="SimSun"/>
          <w:lang w:eastAsia="zh-CN"/>
        </w:rPr>
        <w:t xml:space="preserve"> être déposé devant la Chambre administrative de la Cour de </w:t>
      </w:r>
      <w:r w:rsidR="00555021">
        <w:rPr>
          <w:rFonts w:eastAsia="SimSun"/>
          <w:lang w:eastAsia="zh-CN"/>
        </w:rPr>
        <w:t>c</w:t>
      </w:r>
      <w:r>
        <w:rPr>
          <w:rFonts w:eastAsia="SimSun"/>
          <w:lang w:eastAsia="zh-CN"/>
        </w:rPr>
        <w:t>assation, conformément aux dispositions du droit administratif de l’État partie</w:t>
      </w:r>
      <w:r w:rsidR="00C53FF3">
        <w:rPr>
          <w:rFonts w:eastAsia="SimSun"/>
          <w:lang w:eastAsia="zh-CN"/>
        </w:rPr>
        <w:t xml:space="preserve"> auxquelles l’État partie fait référence</w:t>
      </w:r>
      <w:r w:rsidRPr="0003413D">
        <w:rPr>
          <w:rStyle w:val="FootnoteReference"/>
          <w:rFonts w:eastAsia="SimSun"/>
        </w:rPr>
        <w:footnoteReference w:id="19"/>
      </w:r>
      <w:r>
        <w:rPr>
          <w:rFonts w:eastAsia="SimSun"/>
          <w:lang w:eastAsia="zh-CN"/>
        </w:rPr>
        <w:t>.</w:t>
      </w:r>
    </w:p>
    <w:p w:rsidR="006411B7" w:rsidRDefault="006411B7" w:rsidP="00906074">
      <w:pPr>
        <w:pStyle w:val="SingleTxtG"/>
        <w:tabs>
          <w:tab w:val="left" w:pos="1276"/>
        </w:tabs>
      </w:pPr>
      <w:r>
        <w:rPr>
          <w:rFonts w:eastAsia="SimSun"/>
          <w:lang w:eastAsia="zh-CN"/>
        </w:rPr>
        <w:t>6.5</w:t>
      </w:r>
      <w:r>
        <w:rPr>
          <w:rFonts w:eastAsia="SimSun"/>
          <w:lang w:eastAsia="zh-CN"/>
        </w:rPr>
        <w:tab/>
        <w:t>Le Comité note que</w:t>
      </w:r>
      <w:r w:rsidR="00906074">
        <w:rPr>
          <w:rFonts w:eastAsia="SimSun"/>
          <w:lang w:eastAsia="zh-CN"/>
        </w:rPr>
        <w:t>,</w:t>
      </w:r>
      <w:r>
        <w:rPr>
          <w:rFonts w:eastAsia="SimSun"/>
          <w:lang w:eastAsia="zh-CN"/>
        </w:rPr>
        <w:t xml:space="preserve"> </w:t>
      </w:r>
      <w:r w:rsidR="00C53FF3">
        <w:t>selon la législation de l’État partie</w:t>
      </w:r>
      <w:r w:rsidR="00C53FF3">
        <w:rPr>
          <w:rFonts w:eastAsia="SimSun"/>
          <w:lang w:eastAsia="zh-CN"/>
        </w:rPr>
        <w:t>,</w:t>
      </w:r>
      <w:r w:rsidR="00C53FF3">
        <w:t xml:space="preserve"> un recours en annulation </w:t>
      </w:r>
      <w:r w:rsidR="00FF7EE5">
        <w:t>pour excès de pouvoir contre le</w:t>
      </w:r>
      <w:r w:rsidR="00C53FF3">
        <w:t xml:space="preserve"> décret d’extradition semble </w:t>
      </w:r>
      <w:r w:rsidR="00FF7EE5">
        <w:t xml:space="preserve">effectivement </w:t>
      </w:r>
      <w:r w:rsidR="00C53FF3">
        <w:t>possible. Cependant, il note que</w:t>
      </w:r>
      <w:r w:rsidR="00906074">
        <w:t>,</w:t>
      </w:r>
      <w:r w:rsidR="00C53FF3">
        <w:t xml:space="preserve"> </w:t>
      </w:r>
      <w:r>
        <w:rPr>
          <w:rFonts w:eastAsia="SimSun"/>
          <w:lang w:eastAsia="zh-CN"/>
        </w:rPr>
        <w:t>dans ses commentaires du 31</w:t>
      </w:r>
      <w:r w:rsidR="001954AE">
        <w:rPr>
          <w:rFonts w:eastAsia="SimSun"/>
          <w:lang w:eastAsia="zh-CN"/>
        </w:rPr>
        <w:t> </w:t>
      </w:r>
      <w:r>
        <w:rPr>
          <w:rFonts w:eastAsia="SimSun"/>
          <w:lang w:eastAsia="zh-CN"/>
        </w:rPr>
        <w:t xml:space="preserve">décembre 2013, le requérant conteste avoir été </w:t>
      </w:r>
      <w:r w:rsidRPr="007074EF">
        <w:rPr>
          <w:rFonts w:eastAsia="SimSun"/>
          <w:lang w:eastAsia="zh-CN"/>
        </w:rPr>
        <w:t xml:space="preserve">officiellement notifié du décret </w:t>
      </w:r>
      <w:r w:rsidR="00C53FF3" w:rsidRPr="007074EF">
        <w:rPr>
          <w:rFonts w:eastAsia="SimSun"/>
          <w:lang w:eastAsia="zh-CN"/>
        </w:rPr>
        <w:t>signé le 14</w:t>
      </w:r>
      <w:r w:rsidR="001954AE" w:rsidRPr="007074EF">
        <w:rPr>
          <w:rFonts w:eastAsia="SimSun"/>
          <w:lang w:eastAsia="zh-CN"/>
        </w:rPr>
        <w:t> </w:t>
      </w:r>
      <w:r w:rsidR="00C53FF3" w:rsidRPr="007074EF">
        <w:rPr>
          <w:rFonts w:eastAsia="SimSun"/>
          <w:lang w:eastAsia="zh-CN"/>
        </w:rPr>
        <w:t xml:space="preserve">septembre 2012 </w:t>
      </w:r>
      <w:r w:rsidRPr="007074EF">
        <w:rPr>
          <w:rFonts w:eastAsia="SimSun"/>
          <w:lang w:eastAsia="zh-CN"/>
        </w:rPr>
        <w:t xml:space="preserve">ordonnant son extradition, même si son </w:t>
      </w:r>
      <w:r w:rsidR="00906074" w:rsidRPr="007074EF">
        <w:rPr>
          <w:rFonts w:eastAsia="SimSun"/>
          <w:lang w:eastAsia="zh-CN"/>
        </w:rPr>
        <w:t>c</w:t>
      </w:r>
      <w:r w:rsidRPr="007074EF">
        <w:rPr>
          <w:rFonts w:eastAsia="SimSun"/>
          <w:lang w:eastAsia="zh-CN"/>
        </w:rPr>
        <w:t>onseil avait mentionné précédemment que le requérant</w:t>
      </w:r>
      <w:r w:rsidRPr="007074EF">
        <w:t xml:space="preserve"> avait reçu une copie du d</w:t>
      </w:r>
      <w:r w:rsidRPr="007074EF">
        <w:rPr>
          <w:rFonts w:eastAsia="SimSun"/>
          <w:lang w:eastAsia="zh-CN"/>
        </w:rPr>
        <w:t>écret au cours du mois d’octobre 2012. Le</w:t>
      </w:r>
      <w:r>
        <w:rPr>
          <w:rFonts w:eastAsia="SimSun"/>
          <w:lang w:eastAsia="zh-CN"/>
        </w:rPr>
        <w:t xml:space="preserve"> Comité note également </w:t>
      </w:r>
      <w:r>
        <w:t>que l’</w:t>
      </w:r>
      <w:r w:rsidR="00FE4943">
        <w:t>É</w:t>
      </w:r>
      <w:r>
        <w:t>tat</w:t>
      </w:r>
      <w:r w:rsidR="00FE4943">
        <w:t xml:space="preserve"> partie</w:t>
      </w:r>
      <w:r>
        <w:t xml:space="preserve"> n’a pas démontré que le décret d’extradition ait été officiellement notifié au requérant, lui ouvrant alors </w:t>
      </w:r>
      <w:r w:rsidR="00D30D34">
        <w:t xml:space="preserve">formellement </w:t>
      </w:r>
      <w:r>
        <w:t xml:space="preserve">la possibilité de faire recours dans le délai </w:t>
      </w:r>
      <w:r w:rsidR="00C53FF3">
        <w:t xml:space="preserve">imparti </w:t>
      </w:r>
      <w:r>
        <w:t xml:space="preserve">de </w:t>
      </w:r>
      <w:r w:rsidRPr="007074EF">
        <w:t>deux mois</w:t>
      </w:r>
      <w:r w:rsidRPr="007074EF">
        <w:rPr>
          <w:rStyle w:val="FootnoteReference"/>
        </w:rPr>
        <w:footnoteReference w:id="20"/>
      </w:r>
      <w:r w:rsidR="001954AE" w:rsidRPr="007074EF">
        <w:t>.</w:t>
      </w:r>
      <w:r>
        <w:t xml:space="preserve"> Le</w:t>
      </w:r>
      <w:r w:rsidR="00FF7EE5">
        <w:t xml:space="preserve"> </w:t>
      </w:r>
      <w:r w:rsidR="00FF7EE5" w:rsidRPr="00433033">
        <w:t>C</w:t>
      </w:r>
      <w:r w:rsidRPr="00433033">
        <w:t xml:space="preserve">omité renvoie à sa jurisprudence </w:t>
      </w:r>
      <w:r w:rsidR="00C53FF3" w:rsidRPr="00DC228D">
        <w:t>et</w:t>
      </w:r>
      <w:r w:rsidRPr="00DC228D">
        <w:t xml:space="preserve"> rappelle qu</w:t>
      </w:r>
      <w:r w:rsidR="00C53FF3" w:rsidRPr="00DC228D">
        <w:t xml:space="preserve">’en l’espèce, </w:t>
      </w:r>
      <w:r w:rsidR="00934556" w:rsidRPr="00AC33AB">
        <w:t xml:space="preserve">conformément au </w:t>
      </w:r>
      <w:r w:rsidRPr="00AC33AB">
        <w:t>principe de l’épuisement des recours internes</w:t>
      </w:r>
      <w:r w:rsidR="00934556" w:rsidRPr="00AC33AB">
        <w:t>,</w:t>
      </w:r>
      <w:r w:rsidRPr="00AC33AB">
        <w:t xml:space="preserve"> </w:t>
      </w:r>
      <w:r w:rsidRPr="00DD4EB2">
        <w:t xml:space="preserve">le requérant </w:t>
      </w:r>
      <w:r w:rsidR="00FF7EE5" w:rsidRPr="00DD4EB2">
        <w:t>était</w:t>
      </w:r>
      <w:r w:rsidRPr="0066771A">
        <w:t xml:space="preserve"> </w:t>
      </w:r>
      <w:r w:rsidR="00C53FF3" w:rsidRPr="0066771A">
        <w:t xml:space="preserve">seulement </w:t>
      </w:r>
      <w:r w:rsidRPr="0066771A">
        <w:t>tenu d’utili</w:t>
      </w:r>
      <w:r w:rsidR="00C53FF3" w:rsidRPr="0066771A">
        <w:t xml:space="preserve">ser des voies de recours </w:t>
      </w:r>
      <w:r w:rsidRPr="0066771A">
        <w:t xml:space="preserve">directement en rapport avec le risque </w:t>
      </w:r>
      <w:r w:rsidR="00C53FF3" w:rsidRPr="0066771A">
        <w:t xml:space="preserve">qu’il </w:t>
      </w:r>
      <w:r w:rsidR="00C53FF3" w:rsidRPr="0066771A">
        <w:lastRenderedPageBreak/>
        <w:t>soit</w:t>
      </w:r>
      <w:r w:rsidRPr="0066771A">
        <w:t xml:space="preserve"> soumis à la torture </w:t>
      </w:r>
      <w:r w:rsidR="00FF7EE5" w:rsidRPr="0066771A">
        <w:t>en Algérie</w:t>
      </w:r>
      <w:r w:rsidRPr="0066771A">
        <w:rPr>
          <w:rStyle w:val="FootnoteReference"/>
        </w:rPr>
        <w:footnoteReference w:id="21"/>
      </w:r>
      <w:r w:rsidR="001954AE" w:rsidRPr="0066771A">
        <w:t>.</w:t>
      </w:r>
      <w:r>
        <w:t xml:space="preserve"> Le Comité note que l’</w:t>
      </w:r>
      <w:r w:rsidR="00FF7EE5">
        <w:t>É</w:t>
      </w:r>
      <w:r>
        <w:t>tat partie n’a pas précisé quel</w:t>
      </w:r>
      <w:r w:rsidR="00C53FF3">
        <w:t>le</w:t>
      </w:r>
      <w:r>
        <w:t xml:space="preserve"> serait la portée </w:t>
      </w:r>
      <w:r w:rsidR="00C53FF3">
        <w:t xml:space="preserve">exacte </w:t>
      </w:r>
      <w:r>
        <w:t>du recours en annulation pour excès de pouvoir contre le décret d’extradition et en quoi ce recours</w:t>
      </w:r>
      <w:r w:rsidR="00CA27A6">
        <w:t xml:space="preserve"> </w:t>
      </w:r>
      <w:r w:rsidR="00CA27A6" w:rsidRPr="00EE58BE">
        <w:t xml:space="preserve">pouvait </w:t>
      </w:r>
      <w:r w:rsidR="00987D0F" w:rsidRPr="00EE58BE">
        <w:t>influer sur son extradition vers l’Algérie,</w:t>
      </w:r>
      <w:r w:rsidR="00EE58BE">
        <w:t xml:space="preserve"> </w:t>
      </w:r>
      <w:r w:rsidR="00EE58BE" w:rsidRPr="006A0D3D">
        <w:t>l’État partie n’ayant pas indiqué si ce recours a</w:t>
      </w:r>
      <w:r w:rsidR="00987D0F" w:rsidRPr="006A0D3D">
        <w:t xml:space="preserve"> un effet suspensif</w:t>
      </w:r>
      <w:r w:rsidRPr="006A0D3D">
        <w:t>.</w:t>
      </w:r>
      <w:r w:rsidRPr="0074620F">
        <w:t xml:space="preserve"> </w:t>
      </w:r>
      <w:r w:rsidR="00C53FF3" w:rsidRPr="0074620F">
        <w:t>En revanche, p</w:t>
      </w:r>
      <w:r w:rsidRPr="00D71E7E">
        <w:t>our ce qui est de l’allégation d</w:t>
      </w:r>
      <w:r w:rsidR="00D30D34" w:rsidRPr="00D71E7E">
        <w:t>e la</w:t>
      </w:r>
      <w:r w:rsidRPr="00E65164">
        <w:t xml:space="preserve"> violation de l’</w:t>
      </w:r>
      <w:r w:rsidR="0003413D">
        <w:t>article </w:t>
      </w:r>
      <w:r w:rsidRPr="00E65164">
        <w:t>15 de la Conventi</w:t>
      </w:r>
      <w:r w:rsidRPr="00EE58BE">
        <w:t>on</w:t>
      </w:r>
      <w:r w:rsidR="00C53FF3" w:rsidRPr="00EE58BE">
        <w:t xml:space="preserve"> par</w:t>
      </w:r>
      <w:r w:rsidR="00C53FF3">
        <w:t xml:space="preserve"> l’État partie,</w:t>
      </w:r>
      <w:r>
        <w:t xml:space="preserve"> le Comité note que ce grief n’a </w:t>
      </w:r>
      <w:r w:rsidR="00D30D34">
        <w:t>pas</w:t>
      </w:r>
      <w:r>
        <w:t xml:space="preserve"> été soulevé </w:t>
      </w:r>
      <w:r w:rsidR="00C53FF3">
        <w:t xml:space="preserve">par le requérant devant les </w:t>
      </w:r>
      <w:r w:rsidR="00D30D34">
        <w:t>autorités</w:t>
      </w:r>
      <w:r w:rsidR="00C53FF3">
        <w:t xml:space="preserve"> </w:t>
      </w:r>
      <w:r w:rsidR="00FE4943">
        <w:t>compétente</w:t>
      </w:r>
      <w:r w:rsidR="009B78BA">
        <w:t>s</w:t>
      </w:r>
      <w:r w:rsidR="00FE4943">
        <w:t>,</w:t>
      </w:r>
      <w:r w:rsidR="00C53FF3">
        <w:t xml:space="preserve"> </w:t>
      </w:r>
      <w:r w:rsidR="00FE4943">
        <w:t>en particulier</w:t>
      </w:r>
      <w:r w:rsidR="00C53FF3">
        <w:t xml:space="preserve"> la</w:t>
      </w:r>
      <w:r>
        <w:t xml:space="preserve"> Cour de cassation</w:t>
      </w:r>
      <w:r w:rsidRPr="0003413D">
        <w:rPr>
          <w:rStyle w:val="FootnoteReference"/>
        </w:rPr>
        <w:footnoteReference w:id="22"/>
      </w:r>
      <w:r w:rsidR="00D30D34">
        <w:t>, puisque le requérant affirmait alors que ces déclarations étaient le fait «d’individus haineux envers lui et sa famille»</w:t>
      </w:r>
      <w:r>
        <w:t>. En conséquence, le Comité considère que le paragraphe</w:t>
      </w:r>
      <w:r w:rsidR="0003413D">
        <w:t> </w:t>
      </w:r>
      <w:r>
        <w:t>5</w:t>
      </w:r>
      <w:r w:rsidR="001954AE">
        <w:t> </w:t>
      </w:r>
      <w:r>
        <w:t>b) de l’article</w:t>
      </w:r>
      <w:r w:rsidR="0003413D">
        <w:t> </w:t>
      </w:r>
      <w:r>
        <w:t>22 de la Convention ne l’empêche pas de déclarer la communication recevable en ce qui concerne la violation alléguée de l’</w:t>
      </w:r>
      <w:r w:rsidR="0003413D">
        <w:t>article </w:t>
      </w:r>
      <w:r>
        <w:t>3 de la Convention, mais que la violation alléguée de l’</w:t>
      </w:r>
      <w:r w:rsidR="0003413D">
        <w:t>article </w:t>
      </w:r>
      <w:r>
        <w:t xml:space="preserve">15, n’ayant </w:t>
      </w:r>
      <w:r w:rsidR="00D30D34">
        <w:t>pas</w:t>
      </w:r>
      <w:r>
        <w:t xml:space="preserve"> été soulevée devant les juridictions de l’</w:t>
      </w:r>
      <w:r w:rsidR="00FE4943">
        <w:t>É</w:t>
      </w:r>
      <w:r>
        <w:t>tat partie</w:t>
      </w:r>
      <w:r w:rsidR="00526199">
        <w:t>,</w:t>
      </w:r>
      <w:r>
        <w:t xml:space="preserve"> n’est pas recevable.</w:t>
      </w:r>
    </w:p>
    <w:p w:rsidR="006411B7" w:rsidRDefault="006411B7" w:rsidP="00525ECA">
      <w:pPr>
        <w:pStyle w:val="SingleTxtG"/>
      </w:pPr>
      <w:r>
        <w:t>6.</w:t>
      </w:r>
      <w:r w:rsidR="00525ECA">
        <w:t>6</w:t>
      </w:r>
      <w:r>
        <w:tab/>
        <w:t>Dans ces circonstances, le Comité décide que la communication est recevable en ce qu’elle soulève des questions au regard de l’</w:t>
      </w:r>
      <w:r w:rsidR="0003413D">
        <w:t>article </w:t>
      </w:r>
      <w:r>
        <w:t>3 de la Convention et décide de passer à l’examen au fond.</w:t>
      </w:r>
    </w:p>
    <w:p w:rsidR="006411B7" w:rsidRPr="00F21A16" w:rsidRDefault="001954AE" w:rsidP="001954AE">
      <w:pPr>
        <w:pStyle w:val="H4G"/>
      </w:pPr>
      <w:r>
        <w:tab/>
      </w:r>
      <w:r>
        <w:tab/>
      </w:r>
      <w:r w:rsidR="006411B7" w:rsidRPr="00F21A16">
        <w:t>Examen au fond</w:t>
      </w:r>
    </w:p>
    <w:p w:rsidR="006411B7" w:rsidRDefault="006411B7" w:rsidP="006411B7">
      <w:pPr>
        <w:pStyle w:val="SingleTxtG"/>
      </w:pPr>
      <w:r>
        <w:t>7.1</w:t>
      </w:r>
      <w:r>
        <w:tab/>
        <w:t xml:space="preserve">Conformément au </w:t>
      </w:r>
      <w:r w:rsidR="0003413D">
        <w:t>paragraphe </w:t>
      </w:r>
      <w:r>
        <w:t>4 de l’</w:t>
      </w:r>
      <w:r w:rsidR="0003413D">
        <w:t>article </w:t>
      </w:r>
      <w:r>
        <w:t xml:space="preserve">22 de la Convention, le Comité a examiné la présente communication en tenant compte de toutes les informations qui lui ont été communiquées par les parties. </w:t>
      </w:r>
    </w:p>
    <w:p w:rsidR="006411B7" w:rsidRDefault="006411B7" w:rsidP="00906074">
      <w:pPr>
        <w:pStyle w:val="SingleTxtG"/>
      </w:pPr>
      <w:r>
        <w:t>7.2</w:t>
      </w:r>
      <w:r>
        <w:tab/>
        <w:t>Le Comité doit déterminer si en extradant le requérant vers l’Algérie, l’</w:t>
      </w:r>
      <w:r w:rsidR="00E21372">
        <w:t>É</w:t>
      </w:r>
      <w:r>
        <w:t xml:space="preserve">tat partie violerait l’obligation qui lui est faite au </w:t>
      </w:r>
      <w:r w:rsidR="0003413D">
        <w:t>paragraphe </w:t>
      </w:r>
      <w:r>
        <w:t>1 de l’</w:t>
      </w:r>
      <w:r w:rsidR="0003413D">
        <w:t>article </w:t>
      </w:r>
      <w:r>
        <w:t xml:space="preserve">3 de la Convention de ne pas expulser ou refouler un individu vers un </w:t>
      </w:r>
      <w:r w:rsidR="00E21372">
        <w:t>É</w:t>
      </w:r>
      <w:r>
        <w:t xml:space="preserve">tat où il </w:t>
      </w:r>
      <w:r w:rsidR="00E21372">
        <w:t>existe de</w:t>
      </w:r>
      <w:r w:rsidR="00906074">
        <w:t>s</w:t>
      </w:r>
      <w:r>
        <w:t xml:space="preserve"> motifs </w:t>
      </w:r>
      <w:r w:rsidR="00906074">
        <w:t xml:space="preserve">sérieux </w:t>
      </w:r>
      <w:r>
        <w:t>de croire qu’il risque d’être soumis à la torture.</w:t>
      </w:r>
      <w:r w:rsidRPr="006B264D">
        <w:t xml:space="preserve"> </w:t>
      </w:r>
      <w:r>
        <w:t xml:space="preserve">Le Comité rappelle que l’existence dans un pays d’un ensemble de violations graves, flagrantes ou massives </w:t>
      </w:r>
      <w:r w:rsidR="00E21372">
        <w:t xml:space="preserve">des droits de l’homme </w:t>
      </w:r>
      <w:r>
        <w:t>ne constitue pas en soi un motif suffisant pour conclure que l’individu risque d’être soumis à la torture</w:t>
      </w:r>
      <w:r w:rsidRPr="0003413D">
        <w:rPr>
          <w:rStyle w:val="FootnoteReference"/>
        </w:rPr>
        <w:footnoteReference w:id="23"/>
      </w:r>
      <w:r w:rsidR="00906074">
        <w:t>.</w:t>
      </w:r>
      <w:r w:rsidRPr="006B264D">
        <w:t xml:space="preserve"> </w:t>
      </w:r>
      <w:r>
        <w:t>À l’inverse, l’absence d’un ensemble de violations flagrantes et systématiques des droits de l’homme ne signifie pas qu’un</w:t>
      </w:r>
      <w:r w:rsidR="00D30D34">
        <w:t xml:space="preserve"> individu</w:t>
      </w:r>
      <w:r>
        <w:t xml:space="preserve"> </w:t>
      </w:r>
      <w:r w:rsidR="00D30D34">
        <w:t>ne</w:t>
      </w:r>
      <w:r>
        <w:t xml:space="preserve"> </w:t>
      </w:r>
      <w:r w:rsidR="00E21372">
        <w:t>risque</w:t>
      </w:r>
      <w:r w:rsidR="00D30D34">
        <w:t xml:space="preserve"> pas</w:t>
      </w:r>
      <w:r>
        <w:t xml:space="preserve"> d’être soumis à la torture.</w:t>
      </w:r>
    </w:p>
    <w:p w:rsidR="006411B7" w:rsidRDefault="006411B7" w:rsidP="0031601B">
      <w:pPr>
        <w:pStyle w:val="SingleTxtG"/>
      </w:pPr>
      <w:r>
        <w:t>7.3</w:t>
      </w:r>
      <w:r>
        <w:tab/>
        <w:t xml:space="preserve">Rappelant son </w:t>
      </w:r>
      <w:r w:rsidR="00CE6564">
        <w:t>o</w:t>
      </w:r>
      <w:r w:rsidRPr="0031601B">
        <w:t xml:space="preserve">bservation générale </w:t>
      </w:r>
      <w:r w:rsidR="001954AE" w:rsidRPr="0031601B">
        <w:t>n</w:t>
      </w:r>
      <w:r w:rsidR="001954AE" w:rsidRPr="0031601B">
        <w:rPr>
          <w:vertAlign w:val="superscript"/>
        </w:rPr>
        <w:t>o</w:t>
      </w:r>
      <w:r w:rsidR="001954AE" w:rsidRPr="0031601B">
        <w:t> </w:t>
      </w:r>
      <w:r w:rsidRPr="0031601B">
        <w:t>1</w:t>
      </w:r>
      <w:r>
        <w:t xml:space="preserve">, le Comité réaffirme que l’existence d’un risque de torture doit être appréciée selon des éléments qui ne se limitent pas à de simples supputations ou soupçons. Néanmoins, il n’est pas nécessaire de montrer que le risque </w:t>
      </w:r>
      <w:r w:rsidR="00FF7EE5">
        <w:t xml:space="preserve">de torture </w:t>
      </w:r>
      <w:r>
        <w:t>soit «hautement probable», mais il doit être encouru personnellement et actuelleme</w:t>
      </w:r>
      <w:r w:rsidR="00E21372">
        <w:t xml:space="preserve">nt, </w:t>
      </w:r>
      <w:r w:rsidR="00FF7EE5">
        <w:t>il</w:t>
      </w:r>
      <w:r>
        <w:t xml:space="preserve"> d</w:t>
      </w:r>
      <w:r w:rsidR="00E21372">
        <w:t>oi</w:t>
      </w:r>
      <w:r>
        <w:t xml:space="preserve">t être prévisible, réel et personnel. </w:t>
      </w:r>
    </w:p>
    <w:p w:rsidR="006411B7" w:rsidRDefault="006411B7" w:rsidP="007074EF">
      <w:pPr>
        <w:pStyle w:val="SingleTxtG"/>
      </w:pPr>
      <w:r>
        <w:t>7.4</w:t>
      </w:r>
      <w:r>
        <w:tab/>
      </w:r>
      <w:r>
        <w:rPr>
          <w:rFonts w:eastAsia="MS Mincho"/>
        </w:rPr>
        <w:t>Le Comité note également que</w:t>
      </w:r>
      <w:r w:rsidR="00FE4943">
        <w:rPr>
          <w:rFonts w:eastAsia="MS Mincho"/>
        </w:rPr>
        <w:t>,</w:t>
      </w:r>
      <w:r>
        <w:rPr>
          <w:rFonts w:eastAsia="MS Mincho"/>
        </w:rPr>
        <w:t xml:space="preserve"> selon le requérant</w:t>
      </w:r>
      <w:r w:rsidR="00FE4943">
        <w:rPr>
          <w:rFonts w:eastAsia="MS Mincho"/>
        </w:rPr>
        <w:t>,</w:t>
      </w:r>
      <w:r>
        <w:rPr>
          <w:rFonts w:eastAsia="MS Mincho"/>
        </w:rPr>
        <w:t xml:space="preserve"> la Cour de </w:t>
      </w:r>
      <w:r w:rsidR="00555021">
        <w:rPr>
          <w:rFonts w:eastAsia="MS Mincho"/>
        </w:rPr>
        <w:t>c</w:t>
      </w:r>
      <w:r>
        <w:rPr>
          <w:rFonts w:eastAsia="MS Mincho"/>
        </w:rPr>
        <w:t xml:space="preserve">assation n’aurait pas correctement examiné le risque </w:t>
      </w:r>
      <w:r w:rsidR="00E21372">
        <w:rPr>
          <w:rFonts w:eastAsia="MS Mincho"/>
        </w:rPr>
        <w:t xml:space="preserve">de torture </w:t>
      </w:r>
      <w:r>
        <w:rPr>
          <w:rFonts w:eastAsia="MS Mincho"/>
        </w:rPr>
        <w:t>encouru</w:t>
      </w:r>
      <w:r w:rsidR="00E21372">
        <w:rPr>
          <w:rFonts w:eastAsia="MS Mincho"/>
        </w:rPr>
        <w:t xml:space="preserve"> par le requérant</w:t>
      </w:r>
      <w:r>
        <w:rPr>
          <w:rFonts w:eastAsia="MS Mincho"/>
        </w:rPr>
        <w:t>, se contentant de constater que l’Algérie éta</w:t>
      </w:r>
      <w:r w:rsidR="00906074">
        <w:rPr>
          <w:rFonts w:eastAsia="MS Mincho"/>
        </w:rPr>
        <w:t>n</w:t>
      </w:r>
      <w:r>
        <w:rPr>
          <w:rFonts w:eastAsia="MS Mincho"/>
        </w:rPr>
        <w:t xml:space="preserve">t partie à la Convention contre la </w:t>
      </w:r>
      <w:r w:rsidR="00360BCC">
        <w:rPr>
          <w:rFonts w:eastAsia="MS Mincho"/>
        </w:rPr>
        <w:t>t</w:t>
      </w:r>
      <w:r>
        <w:rPr>
          <w:rFonts w:eastAsia="MS Mincho"/>
        </w:rPr>
        <w:t>orture</w:t>
      </w:r>
      <w:r w:rsidRPr="003400A9">
        <w:rPr>
          <w:rFonts w:eastAsia="MS Mincho"/>
        </w:rPr>
        <w:t xml:space="preserve">, il n’y avait </w:t>
      </w:r>
      <w:r>
        <w:rPr>
          <w:rFonts w:eastAsia="MS Mincho"/>
        </w:rPr>
        <w:t xml:space="preserve">pas </w:t>
      </w:r>
      <w:r w:rsidRPr="003400A9">
        <w:rPr>
          <w:rFonts w:eastAsia="MS Mincho"/>
        </w:rPr>
        <w:t xml:space="preserve">lieu </w:t>
      </w:r>
      <w:r>
        <w:rPr>
          <w:rFonts w:eastAsia="MS Mincho"/>
        </w:rPr>
        <w:t>de</w:t>
      </w:r>
      <w:r w:rsidRPr="003400A9">
        <w:rPr>
          <w:rFonts w:eastAsia="MS Mincho"/>
        </w:rPr>
        <w:t xml:space="preserve"> craindre un quelconque risque de torture</w:t>
      </w:r>
      <w:r>
        <w:rPr>
          <w:rFonts w:eastAsia="MS Mincho"/>
        </w:rPr>
        <w:t xml:space="preserve">. </w:t>
      </w:r>
      <w:r>
        <w:t xml:space="preserve">Le Comité constate que le requérant </w:t>
      </w:r>
      <w:r w:rsidR="00FF7EE5">
        <w:t xml:space="preserve">de son côté, </w:t>
      </w:r>
      <w:r>
        <w:t xml:space="preserve">s’est limité à affirmer devant la Cour de cassation qu’il craignait d’être torturé en Algérie sans étayer cette allégation, alors que, comme </w:t>
      </w:r>
      <w:r w:rsidR="002A3133">
        <w:t xml:space="preserve">l’a </w:t>
      </w:r>
      <w:r>
        <w:t>relevé l’</w:t>
      </w:r>
      <w:r w:rsidR="00E21372">
        <w:t>É</w:t>
      </w:r>
      <w:r>
        <w:t>tat partie, il n’avait fait aucune allusion de cette nature lors de sa comparution devant le juge d’instruction français.</w:t>
      </w:r>
      <w:r w:rsidRPr="00F87613">
        <w:t xml:space="preserve"> </w:t>
      </w:r>
      <w:r w:rsidR="00E21372">
        <w:t>Le Comité</w:t>
      </w:r>
      <w:r>
        <w:t xml:space="preserve"> rappel</w:t>
      </w:r>
      <w:r w:rsidR="00E21372">
        <w:t xml:space="preserve">le que pour évaluer le risque encouru par un individu d’être soumis à la torture dans le cadre d’une procédure d’extradition ou d’expulsion, </w:t>
      </w:r>
      <w:r>
        <w:t xml:space="preserve">un </w:t>
      </w:r>
      <w:r w:rsidR="00E21372">
        <w:t>É</w:t>
      </w:r>
      <w:r>
        <w:t xml:space="preserve">tat ne peut se </w:t>
      </w:r>
      <w:r w:rsidR="001D2629">
        <w:t xml:space="preserve">fonder uniquement sur le </w:t>
      </w:r>
      <w:r>
        <w:t xml:space="preserve">fait qu’un autre </w:t>
      </w:r>
      <w:r w:rsidR="00E21372">
        <w:t>É</w:t>
      </w:r>
      <w:r>
        <w:t xml:space="preserve">tat </w:t>
      </w:r>
      <w:r w:rsidR="001D2629">
        <w:t xml:space="preserve">est </w:t>
      </w:r>
      <w:r>
        <w:t xml:space="preserve">partie à la Convention contre la torture ou </w:t>
      </w:r>
      <w:r w:rsidR="001D2629">
        <w:lastRenderedPageBreak/>
        <w:t xml:space="preserve">qu’il </w:t>
      </w:r>
      <w:r>
        <w:t xml:space="preserve">a </w:t>
      </w:r>
      <w:r w:rsidR="007074EF">
        <w:t xml:space="preserve">donné </w:t>
      </w:r>
      <w:r>
        <w:t>des assurances diplomatiques</w:t>
      </w:r>
      <w:r w:rsidR="00AC33AB">
        <w:rPr>
          <w:rStyle w:val="FootnoteReference"/>
        </w:rPr>
        <w:footnoteReference w:id="24"/>
      </w:r>
      <w:r w:rsidR="00E21372">
        <w:t>. L</w:t>
      </w:r>
      <w:r>
        <w:t>e Comité observe qu</w:t>
      </w:r>
      <w:r w:rsidR="001D2629">
        <w:t>e</w:t>
      </w:r>
      <w:r>
        <w:t xml:space="preserve"> les autorités de l’</w:t>
      </w:r>
      <w:r w:rsidR="003B7100">
        <w:t>É</w:t>
      </w:r>
      <w:r>
        <w:t>tat partie n</w:t>
      </w:r>
      <w:r w:rsidR="003B7100">
        <w:t>e disposaient</w:t>
      </w:r>
      <w:r w:rsidR="001D2629">
        <w:t>, en l’occurrence,</w:t>
      </w:r>
      <w:r w:rsidR="003B7100">
        <w:t xml:space="preserve"> d’aucun</w:t>
      </w:r>
      <w:r>
        <w:t xml:space="preserve"> élément probant leur permetta</w:t>
      </w:r>
      <w:r w:rsidR="001D2629">
        <w:t>n</w:t>
      </w:r>
      <w:r>
        <w:t xml:space="preserve">t d’évaluer avec plus </w:t>
      </w:r>
      <w:r w:rsidR="00D30D34">
        <w:t xml:space="preserve">de précision l’allégation vague, </w:t>
      </w:r>
      <w:r>
        <w:t xml:space="preserve">générale </w:t>
      </w:r>
      <w:r w:rsidR="00D30D34">
        <w:t xml:space="preserve">et non étayée </w:t>
      </w:r>
      <w:r>
        <w:t xml:space="preserve">de risque de torture </w:t>
      </w:r>
      <w:r w:rsidR="00D30D34">
        <w:t>présent</w:t>
      </w:r>
      <w:r>
        <w:t>ée par le requérant.</w:t>
      </w:r>
    </w:p>
    <w:p w:rsidR="006411B7" w:rsidRDefault="006411B7" w:rsidP="00003558">
      <w:pPr>
        <w:pStyle w:val="SingleTxtG"/>
      </w:pPr>
      <w:r>
        <w:t xml:space="preserve">7.5 </w:t>
      </w:r>
      <w:r>
        <w:tab/>
        <w:t xml:space="preserve">Le Comité note que </w:t>
      </w:r>
      <w:r w:rsidR="008F5911">
        <w:t xml:space="preserve">par la suite </w:t>
      </w:r>
      <w:r>
        <w:t xml:space="preserve">le requérant </w:t>
      </w:r>
      <w:r w:rsidR="008F5911">
        <w:t xml:space="preserve">a </w:t>
      </w:r>
      <w:r w:rsidR="00E21372">
        <w:t>tent</w:t>
      </w:r>
      <w:r w:rsidR="008F5911">
        <w:t xml:space="preserve">é </w:t>
      </w:r>
      <w:r w:rsidR="00E21372">
        <w:t>de</w:t>
      </w:r>
      <w:r>
        <w:t xml:space="preserve"> </w:t>
      </w:r>
      <w:r w:rsidR="008F5911">
        <w:t xml:space="preserve">lui </w:t>
      </w:r>
      <w:r>
        <w:t xml:space="preserve">démontrer que le risque qu’il encourt d’être soumis à la torture est prévisible, réel et personnel en s’appuyant </w:t>
      </w:r>
      <w:r w:rsidR="00D30D34">
        <w:t>sur d</w:t>
      </w:r>
      <w:r>
        <w:t xml:space="preserve">es </w:t>
      </w:r>
      <w:r>
        <w:rPr>
          <w:rFonts w:eastAsia="MS Mincho"/>
        </w:rPr>
        <w:t xml:space="preserve">déclarations anonymes recueillies par sa sœur. </w:t>
      </w:r>
      <w:r w:rsidR="00E21372">
        <w:rPr>
          <w:rFonts w:eastAsia="MS Mincho"/>
        </w:rPr>
        <w:t>L</w:t>
      </w:r>
      <w:r>
        <w:rPr>
          <w:rFonts w:eastAsia="MS Mincho"/>
        </w:rPr>
        <w:t xml:space="preserve">e Comité </w:t>
      </w:r>
      <w:r>
        <w:t xml:space="preserve">rappelle sa jurisprudence selon laquelle </w:t>
      </w:r>
      <w:r w:rsidRPr="00433033">
        <w:t xml:space="preserve">le risque de torture doit être apprécié selon des éléments qui ne se limitent pas à de simples supputations et </w:t>
      </w:r>
      <w:r w:rsidR="00FD2BFA" w:rsidRPr="00433033">
        <w:t xml:space="preserve">indique </w:t>
      </w:r>
      <w:r w:rsidRPr="00433033">
        <w:t>que c’est généralement au requérant qu’il incombe de présenter des arguments défendables</w:t>
      </w:r>
      <w:r w:rsidRPr="00433033">
        <w:rPr>
          <w:rStyle w:val="FootnoteReference"/>
        </w:rPr>
        <w:footnoteReference w:id="25"/>
      </w:r>
      <w:r w:rsidR="00457FE8" w:rsidRPr="00433033">
        <w:t>.</w:t>
      </w:r>
      <w:r w:rsidR="00E21372" w:rsidRPr="00433033">
        <w:t xml:space="preserve"> </w:t>
      </w:r>
      <w:r w:rsidR="00E21372" w:rsidRPr="00A85316">
        <w:t>Il estime que</w:t>
      </w:r>
      <w:r w:rsidRPr="00A85316">
        <w:t xml:space="preserve"> sur la base de toutes les informations soumises</w:t>
      </w:r>
      <w:r w:rsidR="00D30D34" w:rsidRPr="00A85316">
        <w:t xml:space="preserve"> par </w:t>
      </w:r>
      <w:r w:rsidR="00884F30" w:rsidRPr="00A85316">
        <w:t>le requérant</w:t>
      </w:r>
      <w:r w:rsidRPr="00A85316">
        <w:t xml:space="preserve">, y compris </w:t>
      </w:r>
      <w:r w:rsidR="00D30D34" w:rsidRPr="00A85316">
        <w:t xml:space="preserve">sur </w:t>
      </w:r>
      <w:r w:rsidRPr="00A85316">
        <w:t xml:space="preserve">la situation </w:t>
      </w:r>
      <w:r w:rsidR="00D30D34" w:rsidRPr="00A85316">
        <w:t xml:space="preserve">générale </w:t>
      </w:r>
      <w:r w:rsidRPr="00A85316">
        <w:t xml:space="preserve">qui prévaut en Algérie, </w:t>
      </w:r>
      <w:r w:rsidR="00884F30" w:rsidRPr="00A85316">
        <w:t>celui-ci</w:t>
      </w:r>
      <w:r w:rsidRPr="00A85316">
        <w:t xml:space="preserve"> n’a pas fourni d’éléments de preuve suffisants</w:t>
      </w:r>
      <w:r w:rsidR="00003558" w:rsidRPr="00A85316">
        <w:t>, comme exigé par l’article 3 de la Convention,</w:t>
      </w:r>
      <w:r w:rsidRPr="00A85316">
        <w:t xml:space="preserve"> </w:t>
      </w:r>
      <w:r w:rsidR="008F5911" w:rsidRPr="00A85316">
        <w:t>pour</w:t>
      </w:r>
      <w:r w:rsidRPr="00A85316">
        <w:t xml:space="preserve"> permett</w:t>
      </w:r>
      <w:r w:rsidR="008F5911" w:rsidRPr="00A85316">
        <w:t>r</w:t>
      </w:r>
      <w:r w:rsidRPr="00A85316">
        <w:t xml:space="preserve">e </w:t>
      </w:r>
      <w:r w:rsidR="00003558" w:rsidRPr="00A85316">
        <w:t xml:space="preserve">au Comité </w:t>
      </w:r>
      <w:r w:rsidRPr="00A85316">
        <w:t xml:space="preserve">de conclure que son extradition en Algérie lui ferait courir un risque </w:t>
      </w:r>
      <w:r w:rsidR="00003558" w:rsidRPr="00A85316">
        <w:t xml:space="preserve">prévisible, </w:t>
      </w:r>
      <w:r w:rsidRPr="00A85316">
        <w:t xml:space="preserve">réel </w:t>
      </w:r>
      <w:r w:rsidRPr="00610B62">
        <w:t>et personnel d’être soumis à la torture</w:t>
      </w:r>
      <w:r w:rsidR="00003558" w:rsidRPr="00610B62">
        <w:t>.</w:t>
      </w:r>
    </w:p>
    <w:p w:rsidR="006411B7" w:rsidRPr="00DC228D" w:rsidRDefault="006411B7" w:rsidP="006411B7">
      <w:pPr>
        <w:pStyle w:val="SingleTxtG"/>
      </w:pPr>
      <w:r>
        <w:t>8.</w:t>
      </w:r>
      <w:r>
        <w:tab/>
      </w:r>
      <w:r w:rsidRPr="00433033">
        <w:t xml:space="preserve">En conséquence, le Comité contre la torture, agissant en vertu du </w:t>
      </w:r>
      <w:r w:rsidR="0003413D" w:rsidRPr="00433033">
        <w:t>paragraphe </w:t>
      </w:r>
      <w:r w:rsidRPr="00DC228D">
        <w:t>7 de l’article 22 de la Convention contre la torture et autres peines ou traitements cruels, inhumains ou dégradants, conclut que l’extradition du requérant vers l’Algérie ne constitue pas une violation de l’article 3 de la Convention.</w:t>
      </w:r>
    </w:p>
    <w:p w:rsidR="006411B7" w:rsidRDefault="006411B7" w:rsidP="00367E3C">
      <w:pPr>
        <w:pStyle w:val="SingleTxtG"/>
      </w:pPr>
      <w:r w:rsidRPr="00DC228D">
        <w:t xml:space="preserve">[Adopté </w:t>
      </w:r>
      <w:r w:rsidR="00367E3C" w:rsidRPr="00DC228D">
        <w:t xml:space="preserve">en français (version originale), </w:t>
      </w:r>
      <w:r w:rsidRPr="00AC33AB">
        <w:t>en anglais</w:t>
      </w:r>
      <w:r w:rsidR="00367E3C" w:rsidRPr="00AC33AB">
        <w:t xml:space="preserve"> et</w:t>
      </w:r>
      <w:r w:rsidRPr="00AC33AB">
        <w:t xml:space="preserve"> en espagnol</w:t>
      </w:r>
      <w:r w:rsidR="00367E3C" w:rsidRPr="00AC33AB">
        <w:t>.</w:t>
      </w:r>
      <w:r w:rsidRPr="00AC33AB">
        <w:t xml:space="preserve"> Paraîtra ultérieurement en arabe, en chinois et en russe dans le rapport annuel du Comité à l’Assemblée générale.]</w:t>
      </w:r>
    </w:p>
    <w:p w:rsidR="004F4B23" w:rsidRPr="00757BE2" w:rsidRDefault="0084387C" w:rsidP="0003413D">
      <w:pPr>
        <w:pStyle w:val="SingleTxtG"/>
        <w:spacing w:before="240" w:after="0"/>
        <w:jc w:val="center"/>
        <w:rPr>
          <w:rFonts w:eastAsia="MS Mincho"/>
        </w:rPr>
      </w:pPr>
      <w:r>
        <w:rPr>
          <w:rFonts w:eastAsia="SimSun"/>
          <w:u w:val="single"/>
          <w:lang w:val="fr-FR" w:eastAsia="zh-CN"/>
        </w:rPr>
        <w:tab/>
      </w:r>
      <w:r>
        <w:rPr>
          <w:rFonts w:eastAsia="SimSun"/>
          <w:u w:val="single"/>
          <w:lang w:val="fr-FR" w:eastAsia="zh-CN"/>
        </w:rPr>
        <w:tab/>
      </w:r>
      <w:r>
        <w:rPr>
          <w:rFonts w:eastAsia="SimSun"/>
          <w:u w:val="single"/>
          <w:lang w:val="fr-FR" w:eastAsia="zh-CN"/>
        </w:rPr>
        <w:tab/>
      </w:r>
    </w:p>
    <w:sectPr w:rsidR="004F4B23" w:rsidRPr="00757BE2" w:rsidSect="0094103C">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DC0" w:rsidRDefault="00223DC0"/>
  </w:endnote>
  <w:endnote w:type="continuationSeparator" w:id="0">
    <w:p w:rsidR="00223DC0" w:rsidRDefault="00223DC0"/>
  </w:endnote>
  <w:endnote w:type="continuationNotice" w:id="1">
    <w:p w:rsidR="00223DC0" w:rsidRDefault="00223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62A" w:rsidRPr="0094103C" w:rsidRDefault="00EF562A" w:rsidP="0094103C">
    <w:pPr>
      <w:pStyle w:val="Footer"/>
      <w:tabs>
        <w:tab w:val="right" w:pos="9638"/>
      </w:tabs>
    </w:pPr>
    <w:r w:rsidRPr="0094103C">
      <w:rPr>
        <w:b/>
        <w:sz w:val="18"/>
      </w:rPr>
      <w:fldChar w:fldCharType="begin"/>
    </w:r>
    <w:r w:rsidRPr="0094103C">
      <w:rPr>
        <w:b/>
        <w:sz w:val="18"/>
      </w:rPr>
      <w:instrText xml:space="preserve"> PAGE  \* MERGEFORMAT </w:instrText>
    </w:r>
    <w:r w:rsidRPr="0094103C">
      <w:rPr>
        <w:b/>
        <w:sz w:val="18"/>
      </w:rPr>
      <w:fldChar w:fldCharType="separate"/>
    </w:r>
    <w:r w:rsidR="009469C3">
      <w:rPr>
        <w:b/>
        <w:noProof/>
        <w:sz w:val="18"/>
      </w:rPr>
      <w:t>2</w:t>
    </w:r>
    <w:r w:rsidRPr="0094103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62A" w:rsidRPr="0094103C" w:rsidRDefault="00EF562A" w:rsidP="0094103C">
    <w:pPr>
      <w:pStyle w:val="Footer"/>
      <w:tabs>
        <w:tab w:val="right" w:pos="9638"/>
      </w:tabs>
      <w:rPr>
        <w:b/>
        <w:sz w:val="18"/>
      </w:rPr>
    </w:pPr>
    <w:r>
      <w:tab/>
    </w:r>
    <w:r w:rsidRPr="0094103C">
      <w:rPr>
        <w:b/>
        <w:sz w:val="18"/>
      </w:rPr>
      <w:fldChar w:fldCharType="begin"/>
    </w:r>
    <w:r w:rsidRPr="0094103C">
      <w:rPr>
        <w:b/>
        <w:sz w:val="18"/>
      </w:rPr>
      <w:instrText xml:space="preserve"> PAGE  \* MERGEFORMAT </w:instrText>
    </w:r>
    <w:r w:rsidRPr="0094103C">
      <w:rPr>
        <w:b/>
        <w:sz w:val="18"/>
      </w:rPr>
      <w:fldChar w:fldCharType="separate"/>
    </w:r>
    <w:r w:rsidR="009469C3">
      <w:rPr>
        <w:b/>
        <w:noProof/>
        <w:sz w:val="18"/>
      </w:rPr>
      <w:t>3</w:t>
    </w:r>
    <w:r w:rsidRPr="0094103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62A" w:rsidRPr="0094103C" w:rsidRDefault="00223DC0" w:rsidP="00F123E6">
    <w:pPr>
      <w:pStyle w:val="Footer"/>
      <w:spacing w:before="120" w:line="240" w:lineRule="atLeast"/>
      <w:rPr>
        <w:sz w:val="20"/>
      </w:rPr>
    </w:pPr>
    <w:r>
      <w:rPr>
        <w:noProof/>
        <w:lang w:val="fr-F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0.15pt;margin-top:651.95pt;width:86.95pt;height:18.35pt;z-index:1;mso-position-horizontal-relative:margin;mso-position-vertical-relative:margin">
          <v:imagedata r:id="rId1" o:title="recycle_French"/>
          <w10:wrap anchorx="margin" anchory="margin"/>
        </v:shape>
      </w:pict>
    </w:r>
    <w:r w:rsidR="00EF562A">
      <w:rPr>
        <w:sz w:val="20"/>
      </w:rPr>
      <w:t>GE.14-05419</w:t>
    </w:r>
    <w:r w:rsidR="00EF562A">
      <w:rPr>
        <w:sz w:val="20"/>
      </w:rPr>
      <w:br/>
    </w:r>
    <w:r w:rsidR="00EF562A" w:rsidRPr="00F123E6">
      <w:rPr>
        <w:rFonts w:ascii="C39T30Lfz" w:hAnsi="C39T30Lfz"/>
        <w:sz w:val="56"/>
      </w:rPr>
      <w:t></w:t>
    </w:r>
    <w:r w:rsidR="00EF562A" w:rsidRPr="00F123E6">
      <w:rPr>
        <w:rFonts w:ascii="C39T30Lfz" w:hAnsi="C39T30Lfz"/>
        <w:sz w:val="56"/>
      </w:rPr>
      <w:t></w:t>
    </w:r>
    <w:r w:rsidR="00EF562A" w:rsidRPr="00F123E6">
      <w:rPr>
        <w:rFonts w:ascii="C39T30Lfz" w:hAnsi="C39T30Lfz"/>
        <w:sz w:val="56"/>
      </w:rPr>
      <w:t></w:t>
    </w:r>
    <w:r w:rsidR="00EF562A" w:rsidRPr="00F123E6">
      <w:rPr>
        <w:rFonts w:ascii="C39T30Lfz" w:hAnsi="C39T30Lfz"/>
        <w:sz w:val="56"/>
      </w:rPr>
      <w:t></w:t>
    </w:r>
    <w:r w:rsidR="00EF562A" w:rsidRPr="00F123E6">
      <w:rPr>
        <w:rFonts w:ascii="C39T30Lfz" w:hAnsi="C39T30Lfz"/>
        <w:sz w:val="56"/>
      </w:rPr>
      <w:t></w:t>
    </w:r>
    <w:r w:rsidR="00EF562A" w:rsidRPr="00F123E6">
      <w:rPr>
        <w:rFonts w:ascii="C39T30Lfz" w:hAnsi="C39T30Lfz"/>
        <w:sz w:val="56"/>
      </w:rPr>
      <w:t></w:t>
    </w:r>
    <w:r w:rsidR="00EF562A" w:rsidRPr="00F123E6">
      <w:rPr>
        <w:rFonts w:ascii="C39T30Lfz" w:hAnsi="C39T30Lfz"/>
        <w:sz w:val="56"/>
      </w:rPr>
      <w:t></w:t>
    </w:r>
    <w:r w:rsidR="00EF562A" w:rsidRPr="00F123E6">
      <w:rPr>
        <w:rFonts w:ascii="C39T30Lfz" w:hAnsi="C39T30Lfz"/>
        <w:sz w:val="56"/>
      </w:rPr>
      <w:t></w:t>
    </w:r>
    <w:r w:rsidR="00EF562A" w:rsidRPr="00F123E6">
      <w:rPr>
        <w:rFonts w:ascii="C39T30Lfz" w:hAnsi="C39T30Lfz"/>
        <w:sz w:val="56"/>
      </w:rPr>
      <w:t></w:t>
    </w:r>
    <w:r>
      <w:rPr>
        <w:noProof/>
        <w:sz w:val="20"/>
        <w:lang w:val="fr-FR" w:eastAsia="fr-FR"/>
      </w:rPr>
      <w:pict>
        <v:shape id="_x0000_s2051" type="#_x0000_t75" style="position:absolute;margin-left:432.25pt;margin-top:632.1pt;width:50.25pt;height:50.25pt;z-index:2;mso-position-horizontal-relative:margin;mso-position-vertical-relative:margin">
          <v:imagedata r:id="rId2" o:title="2012&amp;Size=2&amp;Lang=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DC0" w:rsidRPr="00D27D5E" w:rsidRDefault="00223DC0" w:rsidP="00D27D5E">
      <w:pPr>
        <w:tabs>
          <w:tab w:val="right" w:pos="2155"/>
        </w:tabs>
        <w:spacing w:after="80"/>
        <w:ind w:left="680"/>
        <w:rPr>
          <w:u w:val="single"/>
        </w:rPr>
      </w:pPr>
      <w:r>
        <w:rPr>
          <w:u w:val="single"/>
        </w:rPr>
        <w:tab/>
      </w:r>
    </w:p>
  </w:footnote>
  <w:footnote w:type="continuationSeparator" w:id="0">
    <w:p w:rsidR="00223DC0" w:rsidRPr="00A103C4" w:rsidRDefault="00223DC0" w:rsidP="00A103C4">
      <w:pPr>
        <w:tabs>
          <w:tab w:val="right" w:pos="2155"/>
        </w:tabs>
        <w:spacing w:after="80"/>
        <w:ind w:left="680"/>
        <w:rPr>
          <w:u w:val="single"/>
        </w:rPr>
      </w:pPr>
      <w:r w:rsidRPr="00A103C4">
        <w:rPr>
          <w:u w:val="single"/>
        </w:rPr>
        <w:tab/>
      </w:r>
    </w:p>
  </w:footnote>
  <w:footnote w:type="continuationNotice" w:id="1">
    <w:p w:rsidR="00223DC0" w:rsidRDefault="00223DC0"/>
  </w:footnote>
  <w:footnote w:id="2">
    <w:p w:rsidR="00EF562A" w:rsidRPr="00523851" w:rsidRDefault="00EF562A" w:rsidP="00B921EB">
      <w:pPr>
        <w:pStyle w:val="FootnoteText"/>
        <w:widowControl w:val="0"/>
        <w:tabs>
          <w:tab w:val="clear" w:pos="1021"/>
          <w:tab w:val="right" w:pos="1020"/>
        </w:tabs>
        <w:rPr>
          <w:lang w:val="fr-CH"/>
        </w:rPr>
      </w:pPr>
      <w:r w:rsidRPr="00523851">
        <w:rPr>
          <w:lang w:val="fr-CH"/>
        </w:rPr>
        <w:tab/>
      </w:r>
      <w:r w:rsidRPr="00523851">
        <w:rPr>
          <w:rStyle w:val="FootnoteReference"/>
        </w:rPr>
        <w:footnoteRef/>
      </w:r>
      <w:r w:rsidRPr="00523851">
        <w:rPr>
          <w:lang w:val="fr-CH"/>
        </w:rPr>
        <w:tab/>
        <w:t>L’extradition n’a pas été exécutée suite à l’octroi de mesures intérimaires par le Comité</w:t>
      </w:r>
      <w:r>
        <w:rPr>
          <w:lang w:val="fr-CH"/>
        </w:rPr>
        <w:t>;</w:t>
      </w:r>
      <w:r w:rsidRPr="00523851">
        <w:rPr>
          <w:lang w:val="fr-CH"/>
        </w:rPr>
        <w:t xml:space="preserve"> le requérant est toujours en détention provisoire au Maroc.</w:t>
      </w:r>
    </w:p>
  </w:footnote>
  <w:footnote w:id="3">
    <w:p w:rsidR="00EF562A" w:rsidRPr="00465ACC" w:rsidRDefault="00EF562A" w:rsidP="00C75D98">
      <w:pPr>
        <w:pStyle w:val="FootnoteText"/>
        <w:rPr>
          <w:lang w:val="fr-CH"/>
        </w:rPr>
      </w:pPr>
      <w:r w:rsidRPr="00523851">
        <w:rPr>
          <w:lang w:val="fr-CH"/>
        </w:rPr>
        <w:tab/>
      </w:r>
      <w:r w:rsidRPr="00523851">
        <w:rPr>
          <w:rStyle w:val="FootnoteReference"/>
        </w:rPr>
        <w:footnoteRef/>
      </w:r>
      <w:r>
        <w:rPr>
          <w:lang w:val="fr-CH"/>
        </w:rPr>
        <w:tab/>
      </w:r>
      <w:r w:rsidRPr="00523851">
        <w:rPr>
          <w:lang w:val="fr-CH"/>
        </w:rPr>
        <w:t>Selon le</w:t>
      </w:r>
      <w:r>
        <w:rPr>
          <w:lang w:val="fr-CH"/>
        </w:rPr>
        <w:t xml:space="preserve"> procès-verbal </w:t>
      </w:r>
      <w:r w:rsidRPr="00523851">
        <w:rPr>
          <w:lang w:val="fr-CH"/>
        </w:rPr>
        <w:t xml:space="preserve">de cette audition, il </w:t>
      </w:r>
      <w:r>
        <w:rPr>
          <w:lang w:val="fr-CH"/>
        </w:rPr>
        <w:t xml:space="preserve">lui </w:t>
      </w:r>
      <w:r w:rsidRPr="00523851">
        <w:rPr>
          <w:lang w:val="fr-CH"/>
        </w:rPr>
        <w:t>a également été notifié qu’il était soumis à un contrôle judiciaire (interdiction de quitter sa région de résidence (Loire</w:t>
      </w:r>
      <w:r>
        <w:rPr>
          <w:lang w:val="fr-CH"/>
        </w:rPr>
        <w:t>-</w:t>
      </w:r>
      <w:r w:rsidRPr="00523851">
        <w:rPr>
          <w:lang w:val="fr-CH"/>
        </w:rPr>
        <w:t>Atlantique), sauf pour raisons professionnelles) et qu’il devrait demander au tribunal l’autorisation de quitter la France pour déférer à la convocation des autorités algériennes.</w:t>
      </w:r>
    </w:p>
  </w:footnote>
  <w:footnote w:id="4">
    <w:p w:rsidR="00EF562A" w:rsidRPr="006D1717" w:rsidRDefault="00EF562A" w:rsidP="0003413D">
      <w:pPr>
        <w:pStyle w:val="FootnoteText"/>
        <w:rPr>
          <w:lang w:val="fr-CH"/>
        </w:rPr>
      </w:pPr>
      <w:r w:rsidRPr="00465ACC">
        <w:rPr>
          <w:lang w:val="fr-CH"/>
        </w:rPr>
        <w:tab/>
      </w:r>
      <w:r w:rsidRPr="006D1717">
        <w:rPr>
          <w:rStyle w:val="FootnoteReference"/>
        </w:rPr>
        <w:footnoteRef/>
      </w:r>
      <w:r w:rsidRPr="006D1717">
        <w:rPr>
          <w:lang w:val="fr-CH"/>
        </w:rPr>
        <w:tab/>
        <w:t xml:space="preserve">Dans sa plaidoirie devant la Cour de cassation, le requérant a soutenu qu’il était venu rendre visite à un proche à Agadir et qu’il n’était pas en fuite puisque le délai de deux mois </w:t>
      </w:r>
      <w:r w:rsidRPr="006C44A1">
        <w:rPr>
          <w:lang w:val="fr-CH"/>
        </w:rPr>
        <w:t>n’avait pa</w:t>
      </w:r>
      <w:r w:rsidRPr="006D1717">
        <w:rPr>
          <w:lang w:val="fr-CH"/>
        </w:rPr>
        <w:t>s encore expiré, sans mentionner les conditions du contrôle judiciaire dont il faisait l’objet.</w:t>
      </w:r>
    </w:p>
  </w:footnote>
  <w:footnote w:id="5">
    <w:p w:rsidR="00EF562A" w:rsidRPr="006D1717" w:rsidRDefault="00EF562A" w:rsidP="0003413D">
      <w:pPr>
        <w:pStyle w:val="FootnoteText"/>
        <w:rPr>
          <w:lang w:val="fr-CH"/>
        </w:rPr>
      </w:pPr>
      <w:r w:rsidRPr="006D1717">
        <w:rPr>
          <w:lang w:val="fr-CH"/>
        </w:rPr>
        <w:tab/>
      </w:r>
      <w:r w:rsidRPr="006D1717">
        <w:rPr>
          <w:rStyle w:val="FootnoteReference"/>
        </w:rPr>
        <w:footnoteRef/>
      </w:r>
      <w:r w:rsidRPr="006D1717">
        <w:rPr>
          <w:lang w:val="fr-CH"/>
        </w:rPr>
        <w:tab/>
        <w:t>Au cours de cette même procédure</w:t>
      </w:r>
      <w:r>
        <w:rPr>
          <w:lang w:val="fr-CH"/>
        </w:rPr>
        <w:t>,</w:t>
      </w:r>
      <w:r w:rsidRPr="006D1717">
        <w:rPr>
          <w:lang w:val="fr-CH"/>
        </w:rPr>
        <w:t xml:space="preserve"> et de manière quelque peu contradictoire, le requérant a signifié «qu’il n’entendait pas se soustraire aux autorités judiciaires de son pays d’origine, mais qu’il avait l’espoir de se présenter devant ces mêmes autorités, libre plutôt que d’y être conduit menotté et entravé».</w:t>
      </w:r>
    </w:p>
  </w:footnote>
  <w:footnote w:id="6">
    <w:p w:rsidR="00EF562A" w:rsidRPr="006D1717" w:rsidRDefault="00EF562A" w:rsidP="004B439A">
      <w:pPr>
        <w:pStyle w:val="FootnoteText"/>
        <w:rPr>
          <w:lang w:val="fr-CH"/>
        </w:rPr>
      </w:pPr>
      <w:r w:rsidRPr="006D1717">
        <w:rPr>
          <w:lang w:val="fr-CH"/>
        </w:rPr>
        <w:tab/>
      </w:r>
      <w:r w:rsidRPr="006D1717">
        <w:rPr>
          <w:rStyle w:val="FootnoteReference"/>
        </w:rPr>
        <w:footnoteRef/>
      </w:r>
      <w:r w:rsidRPr="006D1717">
        <w:rPr>
          <w:lang w:val="fr-CH"/>
        </w:rPr>
        <w:tab/>
        <w:t xml:space="preserve">Dont le Ministre de la justice et le </w:t>
      </w:r>
      <w:r>
        <w:rPr>
          <w:lang w:val="fr-CH"/>
        </w:rPr>
        <w:t>c</w:t>
      </w:r>
      <w:r w:rsidRPr="006D1717">
        <w:rPr>
          <w:lang w:val="fr-CH"/>
        </w:rPr>
        <w:t xml:space="preserve">hef du </w:t>
      </w:r>
      <w:r>
        <w:rPr>
          <w:lang w:val="fr-CH"/>
        </w:rPr>
        <w:t>Gouvernement</w:t>
      </w:r>
      <w:r w:rsidRPr="006D1717">
        <w:rPr>
          <w:lang w:val="fr-CH"/>
        </w:rPr>
        <w:t xml:space="preserve"> (</w:t>
      </w:r>
      <w:r>
        <w:rPr>
          <w:lang w:val="fr-CH"/>
        </w:rPr>
        <w:t>P</w:t>
      </w:r>
      <w:r w:rsidRPr="006D1717">
        <w:rPr>
          <w:lang w:val="fr-CH"/>
        </w:rPr>
        <w:t xml:space="preserve">remier </w:t>
      </w:r>
      <w:r>
        <w:rPr>
          <w:lang w:val="fr-CH"/>
        </w:rPr>
        <w:t>M</w:t>
      </w:r>
      <w:r w:rsidRPr="006D1717">
        <w:rPr>
          <w:lang w:val="fr-CH"/>
        </w:rPr>
        <w:t>inistre).</w:t>
      </w:r>
    </w:p>
  </w:footnote>
  <w:footnote w:id="7">
    <w:p w:rsidR="00EF562A" w:rsidRPr="0066771A" w:rsidRDefault="00EF562A" w:rsidP="00E263FF">
      <w:pPr>
        <w:pStyle w:val="FootnoteText"/>
      </w:pPr>
      <w:r>
        <w:tab/>
      </w:r>
      <w:r w:rsidRPr="00127492">
        <w:rPr>
          <w:rStyle w:val="FootnoteReference"/>
        </w:rPr>
        <w:footnoteRef/>
      </w:r>
      <w:r w:rsidRPr="00433033">
        <w:tab/>
      </w:r>
      <w:r w:rsidRPr="00DC228D">
        <w:t xml:space="preserve">Observations finales du Comité contre la torture concernant le troisième rapport périodique de l’Algérie, adoptées le </w:t>
      </w:r>
      <w:r w:rsidRPr="00AC33AB">
        <w:t>13 mai 2008 (</w:t>
      </w:r>
      <w:r w:rsidRPr="00F24A0B">
        <w:t>CAT/C/DZA/CO/3</w:t>
      </w:r>
      <w:r w:rsidRPr="0066771A">
        <w:t>), par. 10.</w:t>
      </w:r>
    </w:p>
  </w:footnote>
  <w:footnote w:id="8">
    <w:p w:rsidR="00EF562A" w:rsidRPr="00465ACC" w:rsidRDefault="00EF562A" w:rsidP="00591A85">
      <w:pPr>
        <w:pStyle w:val="FootnoteText"/>
        <w:rPr>
          <w:lang w:val="fr-CH"/>
        </w:rPr>
      </w:pPr>
      <w:r w:rsidRPr="0066771A">
        <w:tab/>
      </w:r>
      <w:r w:rsidRPr="0066771A">
        <w:rPr>
          <w:rStyle w:val="FootnoteReference"/>
        </w:rPr>
        <w:footnoteRef/>
      </w:r>
      <w:r w:rsidRPr="00465ACC">
        <w:rPr>
          <w:lang w:val="fr-CH"/>
        </w:rPr>
        <w:tab/>
        <w:t>Observations finales du Comité des droits de l’homme concernant le troisième rapport périodique de l’Algérie, adoptées le 1</w:t>
      </w:r>
      <w:r w:rsidRPr="00465ACC">
        <w:rPr>
          <w:vertAlign w:val="superscript"/>
          <w:lang w:val="fr-CH"/>
        </w:rPr>
        <w:t>er</w:t>
      </w:r>
      <w:r w:rsidRPr="00465ACC">
        <w:rPr>
          <w:lang w:val="fr-CH"/>
        </w:rPr>
        <w:t> novembre 2007 (CCPR/C/DZA/CO/3), par. 15 et 19.</w:t>
      </w:r>
    </w:p>
  </w:footnote>
  <w:footnote w:id="9">
    <w:p w:rsidR="00EF562A" w:rsidRPr="00DC228D" w:rsidRDefault="00EF562A" w:rsidP="006B566F">
      <w:pPr>
        <w:pStyle w:val="FootnoteText"/>
      </w:pPr>
      <w:r w:rsidRPr="00465ACC">
        <w:rPr>
          <w:lang w:val="fr-CH"/>
        </w:rPr>
        <w:tab/>
      </w:r>
      <w:r w:rsidRPr="0066771A">
        <w:rPr>
          <w:rStyle w:val="FootnoteReference"/>
        </w:rPr>
        <w:footnoteRef/>
      </w:r>
      <w:r w:rsidRPr="0066771A">
        <w:tab/>
        <w:t>Observations finales du Comité contre la torture concernant le quatrième rapport périodique du Maroc, adoptées le 17 novembre 2011 (CAT/C/MAR/CO/4)</w:t>
      </w:r>
      <w:r w:rsidRPr="00433033">
        <w:t>, par. 9.</w:t>
      </w:r>
    </w:p>
  </w:footnote>
  <w:footnote w:id="10">
    <w:p w:rsidR="00EF562A" w:rsidRPr="006D1717" w:rsidRDefault="00EF562A" w:rsidP="00D337CC">
      <w:pPr>
        <w:pStyle w:val="FootnoteText"/>
        <w:rPr>
          <w:lang w:val="fr-CH"/>
        </w:rPr>
      </w:pPr>
      <w:r w:rsidRPr="00DC228D">
        <w:rPr>
          <w:lang w:val="fr-CH"/>
        </w:rPr>
        <w:tab/>
      </w:r>
      <w:r w:rsidRPr="00DC228D">
        <w:rPr>
          <w:rStyle w:val="FootnoteReference"/>
        </w:rPr>
        <w:footnoteRef/>
      </w:r>
      <w:r w:rsidRPr="00AC33AB">
        <w:rPr>
          <w:lang w:val="fr-CH"/>
        </w:rPr>
        <w:tab/>
        <w:t xml:space="preserve">Le requérant cite la jurisprudence du Comité. Voir les </w:t>
      </w:r>
      <w:r w:rsidRPr="0066771A">
        <w:rPr>
          <w:lang w:val="fr-CH"/>
        </w:rPr>
        <w:t>communications n</w:t>
      </w:r>
      <w:r w:rsidRPr="0066771A">
        <w:rPr>
          <w:vertAlign w:val="superscript"/>
          <w:lang w:val="fr-CH"/>
        </w:rPr>
        <w:t>o</w:t>
      </w:r>
      <w:r w:rsidRPr="0066771A">
        <w:rPr>
          <w:lang w:val="fr-CH"/>
        </w:rPr>
        <w:t xml:space="preserve"> 193/2001, </w:t>
      </w:r>
      <w:r w:rsidRPr="0066771A">
        <w:rPr>
          <w:i/>
          <w:iCs/>
          <w:lang w:val="fr-CH"/>
        </w:rPr>
        <w:t>P. E.</w:t>
      </w:r>
      <w:r w:rsidRPr="0066771A">
        <w:rPr>
          <w:lang w:val="fr-CH"/>
        </w:rPr>
        <w:t xml:space="preserve"> c. </w:t>
      </w:r>
      <w:r w:rsidRPr="0066771A">
        <w:rPr>
          <w:i/>
          <w:iCs/>
          <w:lang w:val="fr-CH"/>
        </w:rPr>
        <w:t>France</w:t>
      </w:r>
      <w:r w:rsidRPr="0066771A">
        <w:rPr>
          <w:lang w:val="fr-CH"/>
        </w:rPr>
        <w:t>, décision adoptée le 21 novembre 2002, et n</w:t>
      </w:r>
      <w:r w:rsidRPr="0066771A">
        <w:rPr>
          <w:vertAlign w:val="superscript"/>
          <w:lang w:val="fr-CH"/>
        </w:rPr>
        <w:t>o</w:t>
      </w:r>
      <w:r w:rsidRPr="0066771A">
        <w:rPr>
          <w:lang w:val="fr-CH"/>
        </w:rPr>
        <w:t xml:space="preserve"> 419/2010, </w:t>
      </w:r>
      <w:r w:rsidRPr="0066771A">
        <w:rPr>
          <w:i/>
          <w:iCs/>
          <w:lang w:val="fr-CH"/>
        </w:rPr>
        <w:t>Ktiti</w:t>
      </w:r>
      <w:r w:rsidRPr="0066771A">
        <w:rPr>
          <w:lang w:val="fr-CH"/>
        </w:rPr>
        <w:t xml:space="preserve"> c. </w:t>
      </w:r>
      <w:r w:rsidRPr="0066771A">
        <w:rPr>
          <w:i/>
          <w:iCs/>
          <w:lang w:val="fr-CH"/>
        </w:rPr>
        <w:t>Maroc</w:t>
      </w:r>
      <w:r w:rsidRPr="0066771A">
        <w:rPr>
          <w:lang w:val="fr-CH"/>
        </w:rPr>
        <w:t>, décision adoptée le 26 mai 2011.</w:t>
      </w:r>
    </w:p>
  </w:footnote>
  <w:footnote w:id="11">
    <w:p w:rsidR="00EF562A" w:rsidRPr="006D1717" w:rsidRDefault="00EF562A" w:rsidP="00433B93">
      <w:pPr>
        <w:pStyle w:val="FootnoteText"/>
        <w:rPr>
          <w:lang w:val="fr-CH"/>
        </w:rPr>
      </w:pPr>
      <w:r w:rsidRPr="006D1717">
        <w:rPr>
          <w:lang w:val="fr-CH"/>
        </w:rPr>
        <w:tab/>
      </w:r>
      <w:r w:rsidRPr="006D1717">
        <w:rPr>
          <w:rStyle w:val="FootnoteReference"/>
        </w:rPr>
        <w:footnoteRef/>
      </w:r>
      <w:r w:rsidRPr="006D1717">
        <w:rPr>
          <w:lang w:val="fr-CH"/>
        </w:rPr>
        <w:tab/>
      </w:r>
      <w:r>
        <w:rPr>
          <w:lang w:val="fr-CH"/>
        </w:rPr>
        <w:t>L</w:t>
      </w:r>
      <w:r w:rsidRPr="006D1717">
        <w:rPr>
          <w:lang w:val="fr-CH"/>
        </w:rPr>
        <w:t>e requérant n’a pas soulevé devant la Cour de cassation le fait que les déclarations incriminantes utilisées comme élément de preuve dans la procédure d’extradition auraient été obtenues sous la torture (grief de violation de l’article 15). Il soutenait alors que «les faits qui lui étaient reprochés ne sont que des mises en causes par des individus haineux envers lui et envers sa famille».</w:t>
      </w:r>
    </w:p>
  </w:footnote>
  <w:footnote w:id="12">
    <w:p w:rsidR="00EF562A" w:rsidRPr="006D1717" w:rsidRDefault="00EF562A" w:rsidP="0003413D">
      <w:pPr>
        <w:pStyle w:val="FootnoteText"/>
        <w:rPr>
          <w:lang w:val="fr-CH"/>
        </w:rPr>
      </w:pPr>
      <w:r w:rsidRPr="006D1717">
        <w:rPr>
          <w:lang w:val="fr-CH"/>
        </w:rPr>
        <w:tab/>
      </w:r>
      <w:r w:rsidRPr="006D1717">
        <w:rPr>
          <w:rStyle w:val="FootnoteReference"/>
        </w:rPr>
        <w:footnoteRef/>
      </w:r>
      <w:r w:rsidRPr="006D1717">
        <w:rPr>
          <w:lang w:val="fr-CH"/>
        </w:rPr>
        <w:tab/>
        <w:t>La plainte devant le Comité a été introduite le 25 octobre 2012, soit un mois avant la décision de la Cour de cassation.</w:t>
      </w:r>
    </w:p>
  </w:footnote>
  <w:footnote w:id="13">
    <w:p w:rsidR="00EF562A" w:rsidRPr="006D1717" w:rsidRDefault="00EF562A" w:rsidP="0003413D">
      <w:pPr>
        <w:pStyle w:val="FootnoteText"/>
        <w:rPr>
          <w:lang w:val="fr-CH"/>
        </w:rPr>
      </w:pPr>
      <w:r w:rsidRPr="006D1717">
        <w:rPr>
          <w:lang w:val="fr-CH"/>
        </w:rPr>
        <w:tab/>
      </w:r>
      <w:r w:rsidRPr="006D1717">
        <w:rPr>
          <w:rStyle w:val="FootnoteReference"/>
        </w:rPr>
        <w:footnoteRef/>
      </w:r>
      <w:r w:rsidRPr="006D1717">
        <w:rPr>
          <w:lang w:val="fr-CH"/>
        </w:rPr>
        <w:tab/>
        <w:t>Articles 536 et suivants du Code de procédure pénale entré en vigueur depuis le 2</w:t>
      </w:r>
      <w:r>
        <w:rPr>
          <w:lang w:val="fr-CH"/>
        </w:rPr>
        <w:t> </w:t>
      </w:r>
      <w:r w:rsidRPr="006D1717">
        <w:rPr>
          <w:lang w:val="fr-CH"/>
        </w:rPr>
        <w:t>octobre 2002.</w:t>
      </w:r>
    </w:p>
  </w:footnote>
  <w:footnote w:id="14">
    <w:p w:rsidR="00EF562A" w:rsidRPr="00003558" w:rsidRDefault="00EF562A" w:rsidP="00003558">
      <w:pPr>
        <w:pStyle w:val="FootnoteText"/>
        <w:rPr>
          <w:lang w:val="fr-CH"/>
        </w:rPr>
      </w:pPr>
      <w:r w:rsidRPr="006D1717">
        <w:rPr>
          <w:lang w:val="fr-CH"/>
        </w:rPr>
        <w:tab/>
      </w:r>
      <w:r w:rsidRPr="006D1717">
        <w:rPr>
          <w:rStyle w:val="FootnoteReference"/>
        </w:rPr>
        <w:footnoteRef/>
      </w:r>
      <w:r w:rsidRPr="006D1717">
        <w:rPr>
          <w:lang w:val="fr-CH"/>
        </w:rPr>
        <w:tab/>
      </w:r>
      <w:r w:rsidRPr="00003558">
        <w:rPr>
          <w:lang w:val="fr-CH"/>
        </w:rPr>
        <w:t>Jurisprudence citée: arrêt de la Cour suprême du 16 décembre 1997 dans le dossier 2204/97 (publié dans le Bulletin d’information de la Cour suprême n</w:t>
      </w:r>
      <w:r w:rsidRPr="00003558">
        <w:rPr>
          <w:vertAlign w:val="superscript"/>
          <w:lang w:val="fr-CH"/>
        </w:rPr>
        <w:t>o</w:t>
      </w:r>
      <w:r w:rsidRPr="00003558">
        <w:rPr>
          <w:lang w:val="fr-CH"/>
        </w:rPr>
        <w:t> 4.1999) et arrêt 1143/1 du 26 juillet 2006 dans le dossier 4089, non publié) − Décisions non fournies.</w:t>
      </w:r>
    </w:p>
  </w:footnote>
  <w:footnote w:id="15">
    <w:p w:rsidR="00EF562A" w:rsidRPr="006D1717" w:rsidRDefault="00EF562A" w:rsidP="00B32B1B">
      <w:pPr>
        <w:pStyle w:val="FootnoteText"/>
        <w:rPr>
          <w:lang w:val="fr-CH"/>
        </w:rPr>
      </w:pPr>
      <w:r w:rsidRPr="00003558">
        <w:rPr>
          <w:lang w:val="fr-CH"/>
        </w:rPr>
        <w:tab/>
      </w:r>
      <w:r w:rsidRPr="00003558">
        <w:rPr>
          <w:rStyle w:val="FootnoteReference"/>
        </w:rPr>
        <w:footnoteRef/>
      </w:r>
      <w:r w:rsidRPr="00003558">
        <w:rPr>
          <w:lang w:val="fr-CH"/>
        </w:rPr>
        <w:tab/>
        <w:t>Dahir n</w:t>
      </w:r>
      <w:r w:rsidRPr="00003558">
        <w:rPr>
          <w:vertAlign w:val="superscript"/>
          <w:lang w:val="fr-CH"/>
        </w:rPr>
        <w:t>o</w:t>
      </w:r>
      <w:r w:rsidRPr="00003558">
        <w:rPr>
          <w:lang w:val="fr-CH"/>
        </w:rPr>
        <w:t> 1.91-225 du 10 septembre 1993 portant promulgation de la loi n</w:t>
      </w:r>
      <w:r w:rsidRPr="00003558">
        <w:rPr>
          <w:vertAlign w:val="superscript"/>
          <w:lang w:val="fr-CH"/>
        </w:rPr>
        <w:t>o</w:t>
      </w:r>
      <w:r w:rsidRPr="00003558">
        <w:rPr>
          <w:lang w:val="fr-CH"/>
        </w:rPr>
        <w:t> 41-90 portant création des tribunaux administratifs, art. 9.</w:t>
      </w:r>
    </w:p>
  </w:footnote>
  <w:footnote w:id="16">
    <w:p w:rsidR="00EF562A" w:rsidRPr="00DC228D" w:rsidRDefault="00EF562A">
      <w:pPr>
        <w:pStyle w:val="FootnoteText"/>
        <w:rPr>
          <w:lang w:val="fr-CH"/>
        </w:rPr>
      </w:pPr>
      <w:r w:rsidRPr="00465ACC">
        <w:rPr>
          <w:lang w:val="fr-CH"/>
        </w:rPr>
        <w:tab/>
      </w:r>
      <w:r>
        <w:rPr>
          <w:rStyle w:val="FootnoteReference"/>
        </w:rPr>
        <w:footnoteRef/>
      </w:r>
      <w:r>
        <w:t xml:space="preserve"> </w:t>
      </w:r>
      <w:r>
        <w:tab/>
      </w:r>
      <w:r w:rsidRPr="00433033">
        <w:rPr>
          <w:i/>
          <w:iCs/>
        </w:rPr>
        <w:t>Documents officiels de l’Assemblée générale, cinquante-troisième session, Supplément n</w:t>
      </w:r>
      <w:r w:rsidRPr="00433033">
        <w:rPr>
          <w:i/>
          <w:iCs/>
          <w:vertAlign w:val="superscript"/>
        </w:rPr>
        <w:t>o</w:t>
      </w:r>
      <w:r w:rsidRPr="00433033">
        <w:rPr>
          <w:i/>
          <w:iCs/>
        </w:rPr>
        <w:t xml:space="preserve"> 44 </w:t>
      </w:r>
      <w:r w:rsidRPr="00433033">
        <w:t>(A/53/44), annexe IX.</w:t>
      </w:r>
    </w:p>
  </w:footnote>
  <w:footnote w:id="17">
    <w:p w:rsidR="00EF562A" w:rsidRPr="006D1717" w:rsidRDefault="00EF562A" w:rsidP="004B52B5">
      <w:pPr>
        <w:pStyle w:val="FootnoteText"/>
        <w:rPr>
          <w:lang w:val="fr-CH"/>
        </w:rPr>
      </w:pPr>
      <w:r w:rsidRPr="00DC228D">
        <w:rPr>
          <w:lang w:val="fr-CH"/>
        </w:rPr>
        <w:tab/>
      </w:r>
      <w:r w:rsidRPr="00DC228D">
        <w:rPr>
          <w:rStyle w:val="FootnoteReference"/>
        </w:rPr>
        <w:footnoteRef/>
      </w:r>
      <w:r w:rsidRPr="00AC33AB">
        <w:rPr>
          <w:lang w:val="fr-CH"/>
        </w:rPr>
        <w:tab/>
        <w:t>L’État partie cite le procès-</w:t>
      </w:r>
      <w:r>
        <w:rPr>
          <w:lang w:val="fr-CH"/>
        </w:rPr>
        <w:t xml:space="preserve">verbal </w:t>
      </w:r>
      <w:r w:rsidRPr="006D1717">
        <w:rPr>
          <w:lang w:val="fr-CH"/>
        </w:rPr>
        <w:t xml:space="preserve">de la comparution </w:t>
      </w:r>
      <w:r>
        <w:rPr>
          <w:lang w:val="fr-CH"/>
        </w:rPr>
        <w:t xml:space="preserve">durant laquelle, </w:t>
      </w:r>
      <w:r w:rsidRPr="006D1717">
        <w:rPr>
          <w:lang w:val="fr-CH"/>
        </w:rPr>
        <w:t>à aucun moment</w:t>
      </w:r>
      <w:r>
        <w:rPr>
          <w:lang w:val="fr-CH"/>
        </w:rPr>
        <w:t>,</w:t>
      </w:r>
      <w:r w:rsidRPr="006D1717">
        <w:rPr>
          <w:lang w:val="fr-CH"/>
        </w:rPr>
        <w:t xml:space="preserve"> </w:t>
      </w:r>
      <w:r>
        <w:rPr>
          <w:lang w:val="fr-CH"/>
        </w:rPr>
        <w:t xml:space="preserve">ni </w:t>
      </w:r>
      <w:r w:rsidRPr="006D1717">
        <w:rPr>
          <w:lang w:val="fr-CH"/>
        </w:rPr>
        <w:t>le requérant ni son avocat n’ont évoqué de crainte par rapport à un risque d’être torturé par les autorités algériennes.</w:t>
      </w:r>
    </w:p>
  </w:footnote>
  <w:footnote w:id="18">
    <w:p w:rsidR="00EF562A" w:rsidRPr="006D1717" w:rsidRDefault="00EF562A" w:rsidP="0003413D">
      <w:pPr>
        <w:pStyle w:val="FootnoteText"/>
        <w:rPr>
          <w:lang w:val="fr-CH"/>
        </w:rPr>
      </w:pPr>
      <w:r>
        <w:rPr>
          <w:lang w:val="fr-CH"/>
        </w:rPr>
        <w:tab/>
      </w:r>
      <w:r w:rsidRPr="006D1717">
        <w:rPr>
          <w:rStyle w:val="FootnoteReference"/>
        </w:rPr>
        <w:footnoteRef/>
      </w:r>
      <w:r w:rsidRPr="006D1717">
        <w:rPr>
          <w:lang w:val="fr-CH"/>
        </w:rPr>
        <w:tab/>
        <w:t xml:space="preserve">Il cite </w:t>
      </w:r>
      <w:r w:rsidRPr="00003558">
        <w:rPr>
          <w:lang w:val="fr-CH"/>
        </w:rPr>
        <w:t>l’article 597 du Code de procédure pénale, se</w:t>
      </w:r>
      <w:r w:rsidRPr="006D1717">
        <w:rPr>
          <w:lang w:val="fr-CH"/>
        </w:rPr>
        <w:t>lon lequel, «L’exécution à la requête du ministère public a lieu lorsque la décision ne peut plus faire l’objet d’aucune voie de recours ordinaire ou de pourvoi en cassation dans l’intérêt des parties».</w:t>
      </w:r>
    </w:p>
  </w:footnote>
  <w:footnote w:id="19">
    <w:p w:rsidR="00EF562A" w:rsidRPr="006D1717" w:rsidRDefault="00EF562A" w:rsidP="00F939A9">
      <w:pPr>
        <w:pStyle w:val="FootnoteText"/>
        <w:rPr>
          <w:lang w:val="fr-CH"/>
        </w:rPr>
      </w:pPr>
      <w:r w:rsidRPr="006D1717">
        <w:rPr>
          <w:lang w:val="fr-CH"/>
        </w:rPr>
        <w:tab/>
      </w:r>
      <w:r w:rsidRPr="006D1717">
        <w:rPr>
          <w:rStyle w:val="FootnoteReference"/>
        </w:rPr>
        <w:footnoteRef/>
      </w:r>
      <w:r>
        <w:rPr>
          <w:lang w:val="fr-CH"/>
        </w:rPr>
        <w:tab/>
      </w:r>
      <w:r w:rsidRPr="00003558">
        <w:rPr>
          <w:lang w:val="fr-CH"/>
        </w:rPr>
        <w:t>Dahir n</w:t>
      </w:r>
      <w:r w:rsidRPr="00003558">
        <w:rPr>
          <w:vertAlign w:val="superscript"/>
          <w:lang w:val="fr-CH"/>
        </w:rPr>
        <w:t>o</w:t>
      </w:r>
      <w:r w:rsidRPr="00003558">
        <w:rPr>
          <w:lang w:val="fr-CH"/>
        </w:rPr>
        <w:t> 1.91-225 du 10 septembre 1993 portant promulgation de la loi n</w:t>
      </w:r>
      <w:r w:rsidRPr="00003558">
        <w:rPr>
          <w:vertAlign w:val="superscript"/>
          <w:lang w:val="fr-CH"/>
        </w:rPr>
        <w:t>o</w:t>
      </w:r>
      <w:r w:rsidRPr="00003558">
        <w:rPr>
          <w:lang w:val="fr-CH"/>
        </w:rPr>
        <w:t> 41-90 portant création des tribunaux administratifs, art. 9.</w:t>
      </w:r>
    </w:p>
  </w:footnote>
  <w:footnote w:id="20">
    <w:p w:rsidR="00EF562A" w:rsidRPr="006D1717" w:rsidRDefault="00EF562A" w:rsidP="0003413D">
      <w:pPr>
        <w:pStyle w:val="FootnoteText"/>
        <w:rPr>
          <w:lang w:val="fr-CH"/>
        </w:rPr>
      </w:pPr>
      <w:r w:rsidRPr="006D1717">
        <w:rPr>
          <w:lang w:val="fr-CH"/>
        </w:rPr>
        <w:tab/>
      </w:r>
      <w:r w:rsidRPr="006D1717">
        <w:rPr>
          <w:rStyle w:val="FootnoteReference"/>
        </w:rPr>
        <w:footnoteRef/>
      </w:r>
      <w:r w:rsidRPr="006D1717">
        <w:rPr>
          <w:lang w:val="fr-CH"/>
        </w:rPr>
        <w:tab/>
        <w:t>Ni le requérant, ni l’</w:t>
      </w:r>
      <w:r>
        <w:rPr>
          <w:lang w:val="fr-CH"/>
        </w:rPr>
        <w:t>É</w:t>
      </w:r>
      <w:r w:rsidRPr="006D1717">
        <w:rPr>
          <w:lang w:val="fr-CH"/>
        </w:rPr>
        <w:t>tat partie n’ont soumis la copie du décret d’extradition.</w:t>
      </w:r>
    </w:p>
  </w:footnote>
  <w:footnote w:id="21">
    <w:p w:rsidR="00EF562A" w:rsidRPr="00AC33AB" w:rsidRDefault="00EF562A" w:rsidP="00D337CC">
      <w:pPr>
        <w:pStyle w:val="FootnoteText"/>
        <w:rPr>
          <w:lang w:val="fr-CH"/>
        </w:rPr>
      </w:pPr>
      <w:r w:rsidRPr="006D1717">
        <w:rPr>
          <w:lang w:val="fr-CH"/>
        </w:rPr>
        <w:tab/>
      </w:r>
      <w:r w:rsidRPr="006D1717">
        <w:rPr>
          <w:rStyle w:val="FootnoteReference"/>
        </w:rPr>
        <w:footnoteRef/>
      </w:r>
      <w:r w:rsidRPr="006D1717">
        <w:rPr>
          <w:lang w:val="fr-CH"/>
        </w:rPr>
        <w:tab/>
        <w:t>Voir l</w:t>
      </w:r>
      <w:r>
        <w:rPr>
          <w:lang w:val="fr-CH"/>
        </w:rPr>
        <w:t>es</w:t>
      </w:r>
      <w:r w:rsidRPr="006D1717">
        <w:rPr>
          <w:lang w:val="fr-CH"/>
        </w:rPr>
        <w:t xml:space="preserve"> communication</w:t>
      </w:r>
      <w:r>
        <w:rPr>
          <w:lang w:val="fr-CH"/>
        </w:rPr>
        <w:t>s</w:t>
      </w:r>
      <w:r w:rsidRPr="006D1717">
        <w:rPr>
          <w:lang w:val="fr-CH"/>
        </w:rPr>
        <w:t xml:space="preserve"> </w:t>
      </w:r>
      <w:r>
        <w:rPr>
          <w:lang w:val="fr-CH"/>
        </w:rPr>
        <w:t>n</w:t>
      </w:r>
      <w:r w:rsidRPr="00433033">
        <w:rPr>
          <w:vertAlign w:val="superscript"/>
          <w:lang w:val="fr-CH"/>
        </w:rPr>
        <w:t>o</w:t>
      </w:r>
      <w:r w:rsidRPr="00DC228D">
        <w:rPr>
          <w:lang w:val="fr-CH"/>
        </w:rPr>
        <w:t xml:space="preserve"> 170/2000, </w:t>
      </w:r>
      <w:r w:rsidRPr="00DC228D">
        <w:rPr>
          <w:i/>
          <w:iCs/>
          <w:lang w:val="fr-CH"/>
        </w:rPr>
        <w:t>A.</w:t>
      </w:r>
      <w:r w:rsidRPr="00AC33AB">
        <w:rPr>
          <w:i/>
          <w:iCs/>
          <w:lang w:val="fr-CH"/>
        </w:rPr>
        <w:t xml:space="preserve"> R.</w:t>
      </w:r>
      <w:r w:rsidRPr="00AC33AB">
        <w:rPr>
          <w:lang w:val="fr-CH"/>
        </w:rPr>
        <w:t xml:space="preserve"> c. </w:t>
      </w:r>
      <w:r w:rsidRPr="00AC33AB">
        <w:rPr>
          <w:i/>
          <w:iCs/>
          <w:lang w:val="fr-CH"/>
        </w:rPr>
        <w:t>Suède</w:t>
      </w:r>
      <w:r w:rsidRPr="00AC33AB">
        <w:rPr>
          <w:lang w:val="fr-CH"/>
        </w:rPr>
        <w:t>, décision du 23 novembre 2001, par. 7.1 et n</w:t>
      </w:r>
      <w:r w:rsidRPr="00AC33AB">
        <w:rPr>
          <w:vertAlign w:val="superscript"/>
          <w:lang w:val="fr-CH"/>
        </w:rPr>
        <w:t>o</w:t>
      </w:r>
      <w:r w:rsidRPr="00AC33AB">
        <w:rPr>
          <w:lang w:val="fr-CH"/>
        </w:rPr>
        <w:t xml:space="preserve"> 428/2010, </w:t>
      </w:r>
      <w:r w:rsidRPr="00AC33AB">
        <w:rPr>
          <w:i/>
          <w:iCs/>
          <w:lang w:val="fr-CH"/>
        </w:rPr>
        <w:t>Kalinichenko</w:t>
      </w:r>
      <w:r w:rsidRPr="00AC33AB">
        <w:rPr>
          <w:lang w:val="fr-CH"/>
        </w:rPr>
        <w:t xml:space="preserve"> c. </w:t>
      </w:r>
      <w:r w:rsidRPr="00AC33AB">
        <w:rPr>
          <w:i/>
          <w:iCs/>
          <w:lang w:val="fr-CH"/>
        </w:rPr>
        <w:t>Maroc</w:t>
      </w:r>
      <w:r w:rsidRPr="00AC33AB">
        <w:rPr>
          <w:lang w:val="fr-CH"/>
        </w:rPr>
        <w:t>, décision du 25 novembre 2011, par. 14.3.</w:t>
      </w:r>
    </w:p>
  </w:footnote>
  <w:footnote w:id="22">
    <w:p w:rsidR="00EF562A" w:rsidRPr="00AC33AB" w:rsidRDefault="00EF562A" w:rsidP="001F11B8">
      <w:pPr>
        <w:pStyle w:val="FootnoteText"/>
        <w:rPr>
          <w:lang w:val="fr-CH"/>
        </w:rPr>
      </w:pPr>
      <w:r w:rsidRPr="00AC33AB">
        <w:rPr>
          <w:lang w:val="fr-CH"/>
        </w:rPr>
        <w:tab/>
      </w:r>
      <w:r w:rsidRPr="00AC33AB">
        <w:rPr>
          <w:rStyle w:val="FootnoteReference"/>
        </w:rPr>
        <w:footnoteRef/>
      </w:r>
      <w:r w:rsidRPr="00AC33AB">
        <w:rPr>
          <w:lang w:val="fr-CH"/>
        </w:rPr>
        <w:tab/>
        <w:t>Voir le mémoire de défense du requérant devant la Cour de cassation, en date du 10 avril 2012.</w:t>
      </w:r>
    </w:p>
  </w:footnote>
  <w:footnote w:id="23">
    <w:p w:rsidR="00EF562A" w:rsidRPr="006D1717" w:rsidRDefault="00EF562A" w:rsidP="007052BF">
      <w:pPr>
        <w:pStyle w:val="FootnoteText"/>
        <w:rPr>
          <w:lang w:val="fr-CH"/>
        </w:rPr>
      </w:pPr>
      <w:r w:rsidRPr="00AC33AB">
        <w:rPr>
          <w:lang w:val="fr-CH"/>
        </w:rPr>
        <w:tab/>
      </w:r>
      <w:r w:rsidRPr="00AC33AB">
        <w:rPr>
          <w:rStyle w:val="FootnoteReference"/>
        </w:rPr>
        <w:footnoteRef/>
      </w:r>
      <w:r w:rsidRPr="00AC33AB">
        <w:rPr>
          <w:lang w:val="fr-CH"/>
        </w:rPr>
        <w:tab/>
        <w:t xml:space="preserve">Voir </w:t>
      </w:r>
      <w:r w:rsidRPr="00AC33AB">
        <w:rPr>
          <w:i/>
          <w:iCs/>
          <w:lang w:val="fr-CH"/>
        </w:rPr>
        <w:t>Kalinichenko</w:t>
      </w:r>
      <w:r w:rsidRPr="00AC33AB">
        <w:rPr>
          <w:lang w:val="fr-CH"/>
        </w:rPr>
        <w:t xml:space="preserve"> c. </w:t>
      </w:r>
      <w:r w:rsidRPr="00AC33AB">
        <w:rPr>
          <w:i/>
          <w:iCs/>
          <w:lang w:val="fr-CH"/>
        </w:rPr>
        <w:t>Maroc</w:t>
      </w:r>
      <w:r w:rsidRPr="00AC33AB">
        <w:rPr>
          <w:lang w:val="fr-CH"/>
        </w:rPr>
        <w:t>, par. 15.3.</w:t>
      </w:r>
    </w:p>
  </w:footnote>
  <w:footnote w:id="24">
    <w:p w:rsidR="00EF562A" w:rsidRPr="00AC33AB" w:rsidRDefault="00EF562A" w:rsidP="009878C1">
      <w:pPr>
        <w:pStyle w:val="FootnoteText"/>
        <w:ind w:hanging="283"/>
        <w:rPr>
          <w:lang w:val="fr-CH"/>
        </w:rPr>
      </w:pPr>
      <w:r>
        <w:tab/>
      </w:r>
      <w:r>
        <w:rPr>
          <w:rStyle w:val="FootnoteReference"/>
        </w:rPr>
        <w:footnoteRef/>
      </w:r>
      <w:r w:rsidRPr="00465ACC">
        <w:rPr>
          <w:lang w:val="fr-CH"/>
        </w:rPr>
        <w:t xml:space="preserve"> </w:t>
      </w:r>
      <w:r w:rsidRPr="00465ACC">
        <w:rPr>
          <w:lang w:val="fr-CH"/>
        </w:rPr>
        <w:tab/>
      </w:r>
      <w:r w:rsidRPr="00465ACC">
        <w:rPr>
          <w:iCs/>
          <w:lang w:val="fr-CH"/>
        </w:rPr>
        <w:t>Voir</w:t>
      </w:r>
      <w:r w:rsidRPr="00465ACC">
        <w:rPr>
          <w:lang w:val="fr-CH"/>
        </w:rPr>
        <w:t xml:space="preserve"> </w:t>
      </w:r>
      <w:r w:rsidRPr="00465ACC">
        <w:rPr>
          <w:i/>
          <w:lang w:val="fr-CH"/>
        </w:rPr>
        <w:t xml:space="preserve">Kalinichenko </w:t>
      </w:r>
      <w:r w:rsidRPr="00465ACC">
        <w:rPr>
          <w:iCs/>
          <w:lang w:val="fr-CH"/>
        </w:rPr>
        <w:t>c</w:t>
      </w:r>
      <w:r w:rsidRPr="00465ACC">
        <w:rPr>
          <w:i/>
          <w:lang w:val="fr-CH"/>
        </w:rPr>
        <w:t>. Maroc</w:t>
      </w:r>
      <w:r w:rsidRPr="00465ACC">
        <w:rPr>
          <w:lang w:val="fr-CH"/>
        </w:rPr>
        <w:t xml:space="preserve">, par. 15.6; n°327/2007, </w:t>
      </w:r>
      <w:r w:rsidRPr="00465ACC">
        <w:rPr>
          <w:i/>
          <w:lang w:val="fr-CH"/>
        </w:rPr>
        <w:t xml:space="preserve">Boily </w:t>
      </w:r>
      <w:r w:rsidRPr="00465ACC">
        <w:rPr>
          <w:iCs/>
          <w:lang w:val="fr-CH"/>
        </w:rPr>
        <w:t>c</w:t>
      </w:r>
      <w:r w:rsidRPr="00465ACC">
        <w:rPr>
          <w:i/>
          <w:lang w:val="fr-CH"/>
        </w:rPr>
        <w:t>. Canada</w:t>
      </w:r>
      <w:r w:rsidRPr="00465ACC">
        <w:rPr>
          <w:lang w:val="fr-CH"/>
        </w:rPr>
        <w:t>, constatations adoptées le 14 novembre 2011, par. 14.4 et 14.5.</w:t>
      </w:r>
    </w:p>
  </w:footnote>
  <w:footnote w:id="25">
    <w:p w:rsidR="00EF562A" w:rsidRPr="006D1717" w:rsidRDefault="00EF562A" w:rsidP="006E5AC9">
      <w:pPr>
        <w:pStyle w:val="FootnoteText"/>
        <w:rPr>
          <w:lang w:val="fr-CH"/>
        </w:rPr>
      </w:pPr>
      <w:r w:rsidRPr="006D1717">
        <w:rPr>
          <w:lang w:val="fr-CH"/>
        </w:rPr>
        <w:tab/>
      </w:r>
      <w:r w:rsidRPr="006D1717">
        <w:rPr>
          <w:rStyle w:val="FootnoteReference"/>
        </w:rPr>
        <w:footnoteRef/>
      </w:r>
      <w:r w:rsidRPr="006D1717">
        <w:rPr>
          <w:lang w:val="fr-CH"/>
        </w:rPr>
        <w:tab/>
        <w:t xml:space="preserve">Voir </w:t>
      </w:r>
      <w:r>
        <w:rPr>
          <w:lang w:val="fr-CH"/>
        </w:rPr>
        <w:t xml:space="preserve">les </w:t>
      </w:r>
      <w:r w:rsidRPr="006D1717">
        <w:rPr>
          <w:lang w:val="fr-CH"/>
        </w:rPr>
        <w:t xml:space="preserve">communications </w:t>
      </w:r>
      <w:r w:rsidRPr="00433033">
        <w:rPr>
          <w:lang w:val="fr-CH"/>
        </w:rPr>
        <w:t>n</w:t>
      </w:r>
      <w:r w:rsidRPr="00DC228D">
        <w:rPr>
          <w:vertAlign w:val="superscript"/>
          <w:lang w:val="fr-CH"/>
        </w:rPr>
        <w:t>o</w:t>
      </w:r>
      <w:r w:rsidRPr="00DC228D">
        <w:rPr>
          <w:lang w:val="fr-CH"/>
        </w:rPr>
        <w:t xml:space="preserve"> 298/2006, </w:t>
      </w:r>
      <w:r w:rsidRPr="00AC33AB">
        <w:rPr>
          <w:i/>
          <w:iCs/>
          <w:lang w:val="fr-CH"/>
        </w:rPr>
        <w:t xml:space="preserve">C. A. R. M. </w:t>
      </w:r>
      <w:r w:rsidRPr="00433033">
        <w:rPr>
          <w:i/>
          <w:iCs/>
          <w:lang w:val="fr-CH"/>
        </w:rPr>
        <w:t>et consorts</w:t>
      </w:r>
      <w:r w:rsidRPr="00433033">
        <w:rPr>
          <w:lang w:val="fr-CH"/>
        </w:rPr>
        <w:t xml:space="preserve"> </w:t>
      </w:r>
      <w:r w:rsidRPr="00DC228D">
        <w:rPr>
          <w:lang w:val="fr-CH"/>
        </w:rPr>
        <w:t xml:space="preserve">c. </w:t>
      </w:r>
      <w:r w:rsidRPr="00DC228D">
        <w:rPr>
          <w:i/>
          <w:iCs/>
          <w:lang w:val="fr-CH"/>
        </w:rPr>
        <w:t>Canada</w:t>
      </w:r>
      <w:r w:rsidRPr="00AC33AB">
        <w:rPr>
          <w:lang w:val="fr-CH"/>
        </w:rPr>
        <w:t>, décision adoptée le 18 mai 2007, par. 8.10; n</w:t>
      </w:r>
      <w:r w:rsidRPr="00AC33AB">
        <w:rPr>
          <w:vertAlign w:val="superscript"/>
          <w:lang w:val="fr-CH"/>
        </w:rPr>
        <w:t>o</w:t>
      </w:r>
      <w:r w:rsidRPr="00AC33AB">
        <w:rPr>
          <w:lang w:val="fr-CH"/>
        </w:rPr>
        <w:t xml:space="preserve"> 256/2004, </w:t>
      </w:r>
      <w:r w:rsidRPr="00AC33AB">
        <w:rPr>
          <w:i/>
          <w:iCs/>
          <w:lang w:val="fr-CH"/>
        </w:rPr>
        <w:t xml:space="preserve">M. Z. </w:t>
      </w:r>
      <w:r w:rsidRPr="00AC33AB">
        <w:rPr>
          <w:lang w:val="fr-CH"/>
        </w:rPr>
        <w:t xml:space="preserve">c. </w:t>
      </w:r>
      <w:r w:rsidRPr="00AC33AB">
        <w:rPr>
          <w:i/>
          <w:iCs/>
          <w:lang w:val="fr-CH"/>
        </w:rPr>
        <w:t>Suède</w:t>
      </w:r>
      <w:r w:rsidRPr="00AC33AB">
        <w:rPr>
          <w:lang w:val="fr-CH"/>
        </w:rPr>
        <w:t>, décision adoptée le 12 mai 2006, par. 9.3; n</w:t>
      </w:r>
      <w:r w:rsidRPr="00AC33AB">
        <w:rPr>
          <w:vertAlign w:val="superscript"/>
          <w:lang w:val="fr-CH"/>
        </w:rPr>
        <w:t>o</w:t>
      </w:r>
      <w:r w:rsidRPr="00AC33AB">
        <w:rPr>
          <w:lang w:val="fr-CH"/>
        </w:rPr>
        <w:t xml:space="preserve"> 214/2002, </w:t>
      </w:r>
      <w:r w:rsidRPr="00AC33AB">
        <w:rPr>
          <w:i/>
          <w:iCs/>
          <w:lang w:val="fr-CH"/>
        </w:rPr>
        <w:t xml:space="preserve">M. A. K. </w:t>
      </w:r>
      <w:r w:rsidRPr="00AC33AB">
        <w:rPr>
          <w:lang w:val="fr-CH"/>
        </w:rPr>
        <w:t xml:space="preserve">c. </w:t>
      </w:r>
      <w:r w:rsidRPr="00AC33AB">
        <w:rPr>
          <w:i/>
          <w:iCs/>
          <w:lang w:val="fr-CH"/>
        </w:rPr>
        <w:t>Allemagne</w:t>
      </w:r>
      <w:r w:rsidRPr="00AC33AB">
        <w:rPr>
          <w:lang w:val="fr-CH"/>
        </w:rPr>
        <w:t>, décision adoptée le 12 mai 2004, par. 13.5; n</w:t>
      </w:r>
      <w:r w:rsidRPr="00AC33AB">
        <w:rPr>
          <w:vertAlign w:val="superscript"/>
          <w:lang w:val="fr-CH"/>
        </w:rPr>
        <w:t>o</w:t>
      </w:r>
      <w:r w:rsidRPr="00AC33AB">
        <w:rPr>
          <w:lang w:val="fr-CH"/>
        </w:rPr>
        <w:t xml:space="preserve"> 150/1999, </w:t>
      </w:r>
      <w:r w:rsidRPr="00AC33AB">
        <w:rPr>
          <w:i/>
          <w:iCs/>
          <w:lang w:val="fr-CH"/>
        </w:rPr>
        <w:t xml:space="preserve">S. L. </w:t>
      </w:r>
      <w:r w:rsidRPr="00AC33AB">
        <w:rPr>
          <w:lang w:val="fr-CH"/>
        </w:rPr>
        <w:t xml:space="preserve">c. </w:t>
      </w:r>
      <w:r w:rsidRPr="00AC33AB">
        <w:rPr>
          <w:i/>
          <w:iCs/>
          <w:lang w:val="fr-CH"/>
        </w:rPr>
        <w:t>Suède</w:t>
      </w:r>
      <w:r w:rsidRPr="00AC33AB">
        <w:rPr>
          <w:lang w:val="fr-CH"/>
        </w:rPr>
        <w:t>, décision adoptée le 11 mai 2001, par. 6.3; et n</w:t>
      </w:r>
      <w:r w:rsidRPr="00AC33AB">
        <w:rPr>
          <w:vertAlign w:val="superscript"/>
          <w:lang w:val="fr-CH"/>
        </w:rPr>
        <w:t>o</w:t>
      </w:r>
      <w:r w:rsidRPr="00AC33AB">
        <w:rPr>
          <w:lang w:val="fr-CH"/>
        </w:rPr>
        <w:t xml:space="preserve"> 347/2008, </w:t>
      </w:r>
      <w:r w:rsidRPr="00AC33AB">
        <w:rPr>
          <w:i/>
          <w:iCs/>
          <w:lang w:val="fr-CH"/>
        </w:rPr>
        <w:t>N. B.-M.</w:t>
      </w:r>
      <w:r w:rsidRPr="00AC33AB">
        <w:rPr>
          <w:lang w:val="fr-CH"/>
        </w:rPr>
        <w:t xml:space="preserve"> c. </w:t>
      </w:r>
      <w:r w:rsidRPr="00AC33AB">
        <w:rPr>
          <w:i/>
          <w:iCs/>
          <w:lang w:val="fr-CH"/>
        </w:rPr>
        <w:t>Suisse</w:t>
      </w:r>
      <w:r w:rsidRPr="00AC33AB">
        <w:rPr>
          <w:lang w:val="fr-CH"/>
        </w:rPr>
        <w:t xml:space="preserve">, </w:t>
      </w:r>
      <w:r w:rsidRPr="00433033">
        <w:rPr>
          <w:lang w:val="fr-CH"/>
        </w:rPr>
        <w:t>décision adoptée</w:t>
      </w:r>
      <w:r w:rsidRPr="00DC228D">
        <w:rPr>
          <w:lang w:val="fr-CH"/>
        </w:rPr>
        <w:t xml:space="preserve"> le 14 </w:t>
      </w:r>
      <w:r w:rsidRPr="00AC33AB">
        <w:rPr>
          <w:lang w:val="fr-CH"/>
        </w:rPr>
        <w:t>novembre 2011, par.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62A" w:rsidRPr="0094103C" w:rsidRDefault="00EF562A">
    <w:pPr>
      <w:pStyle w:val="Header"/>
    </w:pPr>
    <w:r>
      <w:t>CAT/C/52/D/525/2012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62A" w:rsidRPr="0094103C" w:rsidRDefault="00EF562A" w:rsidP="0094103C">
    <w:pPr>
      <w:pStyle w:val="Header"/>
      <w:jc w:val="right"/>
    </w:pPr>
    <w:r>
      <w:t>CAT/C/52/D/525/2012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03C"/>
    <w:rsid w:val="000005DB"/>
    <w:rsid w:val="00002FDF"/>
    <w:rsid w:val="00003558"/>
    <w:rsid w:val="00003BF0"/>
    <w:rsid w:val="00004C6E"/>
    <w:rsid w:val="0001023B"/>
    <w:rsid w:val="00016AC5"/>
    <w:rsid w:val="00023460"/>
    <w:rsid w:val="00024E7E"/>
    <w:rsid w:val="00033AEC"/>
    <w:rsid w:val="0003413D"/>
    <w:rsid w:val="000352CA"/>
    <w:rsid w:val="00044881"/>
    <w:rsid w:val="00046C13"/>
    <w:rsid w:val="00054031"/>
    <w:rsid w:val="00056298"/>
    <w:rsid w:val="00057AFC"/>
    <w:rsid w:val="00064C48"/>
    <w:rsid w:val="0006575A"/>
    <w:rsid w:val="000660B8"/>
    <w:rsid w:val="000724FC"/>
    <w:rsid w:val="000771C8"/>
    <w:rsid w:val="00080103"/>
    <w:rsid w:val="00080160"/>
    <w:rsid w:val="00084237"/>
    <w:rsid w:val="000845A2"/>
    <w:rsid w:val="00086BA1"/>
    <w:rsid w:val="00090519"/>
    <w:rsid w:val="0009085C"/>
    <w:rsid w:val="00095136"/>
    <w:rsid w:val="000969DF"/>
    <w:rsid w:val="000A5662"/>
    <w:rsid w:val="000A70CE"/>
    <w:rsid w:val="000C237D"/>
    <w:rsid w:val="000C4233"/>
    <w:rsid w:val="000D359E"/>
    <w:rsid w:val="000E12DE"/>
    <w:rsid w:val="000E3619"/>
    <w:rsid w:val="000F292A"/>
    <w:rsid w:val="000F41F2"/>
    <w:rsid w:val="000F5175"/>
    <w:rsid w:val="000F59B9"/>
    <w:rsid w:val="000F5B7F"/>
    <w:rsid w:val="00103FB7"/>
    <w:rsid w:val="00127492"/>
    <w:rsid w:val="0013488C"/>
    <w:rsid w:val="001358DC"/>
    <w:rsid w:val="00135D96"/>
    <w:rsid w:val="0014130C"/>
    <w:rsid w:val="001426AB"/>
    <w:rsid w:val="001440AC"/>
    <w:rsid w:val="001520DF"/>
    <w:rsid w:val="00153485"/>
    <w:rsid w:val="001538B0"/>
    <w:rsid w:val="00155BE7"/>
    <w:rsid w:val="00156E82"/>
    <w:rsid w:val="00160540"/>
    <w:rsid w:val="00176F72"/>
    <w:rsid w:val="001907B5"/>
    <w:rsid w:val="00192ED6"/>
    <w:rsid w:val="00192EEB"/>
    <w:rsid w:val="001954AE"/>
    <w:rsid w:val="001A20FB"/>
    <w:rsid w:val="001B055B"/>
    <w:rsid w:val="001B2563"/>
    <w:rsid w:val="001B44F2"/>
    <w:rsid w:val="001D2629"/>
    <w:rsid w:val="001D7F8A"/>
    <w:rsid w:val="001E1E32"/>
    <w:rsid w:val="001E2695"/>
    <w:rsid w:val="001E3FEB"/>
    <w:rsid w:val="001E4751"/>
    <w:rsid w:val="001E4A02"/>
    <w:rsid w:val="001F11B8"/>
    <w:rsid w:val="001F3ED3"/>
    <w:rsid w:val="001F6B36"/>
    <w:rsid w:val="00217988"/>
    <w:rsid w:val="0022156D"/>
    <w:rsid w:val="0022208D"/>
    <w:rsid w:val="00223DC0"/>
    <w:rsid w:val="00225A8C"/>
    <w:rsid w:val="002316F0"/>
    <w:rsid w:val="00252B35"/>
    <w:rsid w:val="00253360"/>
    <w:rsid w:val="0025795A"/>
    <w:rsid w:val="00260665"/>
    <w:rsid w:val="002621F8"/>
    <w:rsid w:val="0026506B"/>
    <w:rsid w:val="002659F1"/>
    <w:rsid w:val="00285996"/>
    <w:rsid w:val="00286D1F"/>
    <w:rsid w:val="00287E79"/>
    <w:rsid w:val="002928F9"/>
    <w:rsid w:val="002934F2"/>
    <w:rsid w:val="002969D3"/>
    <w:rsid w:val="00297B00"/>
    <w:rsid w:val="002A00CA"/>
    <w:rsid w:val="002A3133"/>
    <w:rsid w:val="002A5D07"/>
    <w:rsid w:val="002A679B"/>
    <w:rsid w:val="002B1124"/>
    <w:rsid w:val="002B164C"/>
    <w:rsid w:val="002B1725"/>
    <w:rsid w:val="002B3CD3"/>
    <w:rsid w:val="002B4B23"/>
    <w:rsid w:val="002C71CE"/>
    <w:rsid w:val="002D5577"/>
    <w:rsid w:val="002E0C1D"/>
    <w:rsid w:val="002E3908"/>
    <w:rsid w:val="002E74F9"/>
    <w:rsid w:val="002E7767"/>
    <w:rsid w:val="002E7900"/>
    <w:rsid w:val="002F095A"/>
    <w:rsid w:val="002F0DF8"/>
    <w:rsid w:val="002F7ADB"/>
    <w:rsid w:val="003016B7"/>
    <w:rsid w:val="003045FD"/>
    <w:rsid w:val="0030791F"/>
    <w:rsid w:val="003101D3"/>
    <w:rsid w:val="00311ADA"/>
    <w:rsid w:val="00312AE1"/>
    <w:rsid w:val="0031601B"/>
    <w:rsid w:val="00324B33"/>
    <w:rsid w:val="00334322"/>
    <w:rsid w:val="003400A9"/>
    <w:rsid w:val="00350D28"/>
    <w:rsid w:val="003515AA"/>
    <w:rsid w:val="00352797"/>
    <w:rsid w:val="00360BCC"/>
    <w:rsid w:val="00363B82"/>
    <w:rsid w:val="00364357"/>
    <w:rsid w:val="00367E3C"/>
    <w:rsid w:val="00374106"/>
    <w:rsid w:val="00386ED7"/>
    <w:rsid w:val="00390298"/>
    <w:rsid w:val="00391C48"/>
    <w:rsid w:val="003975CA"/>
    <w:rsid w:val="003976D5"/>
    <w:rsid w:val="003A56EE"/>
    <w:rsid w:val="003B6ECF"/>
    <w:rsid w:val="003B7100"/>
    <w:rsid w:val="003C48CA"/>
    <w:rsid w:val="003C71D7"/>
    <w:rsid w:val="003D2BB5"/>
    <w:rsid w:val="003D4E3D"/>
    <w:rsid w:val="003D5DE7"/>
    <w:rsid w:val="003D6C68"/>
    <w:rsid w:val="003E1C80"/>
    <w:rsid w:val="003E3DA1"/>
    <w:rsid w:val="003F0D42"/>
    <w:rsid w:val="003F3047"/>
    <w:rsid w:val="003F7AF9"/>
    <w:rsid w:val="004045AA"/>
    <w:rsid w:val="0041350C"/>
    <w:rsid w:val="00415616"/>
    <w:rsid w:val="004159D0"/>
    <w:rsid w:val="00415DC9"/>
    <w:rsid w:val="0041600E"/>
    <w:rsid w:val="004265DA"/>
    <w:rsid w:val="004269E5"/>
    <w:rsid w:val="00433033"/>
    <w:rsid w:val="004333E0"/>
    <w:rsid w:val="00433640"/>
    <w:rsid w:val="004337DF"/>
    <w:rsid w:val="00433B93"/>
    <w:rsid w:val="00433CDA"/>
    <w:rsid w:val="00434C65"/>
    <w:rsid w:val="004403D5"/>
    <w:rsid w:val="004452B0"/>
    <w:rsid w:val="00455D94"/>
    <w:rsid w:val="0045631E"/>
    <w:rsid w:val="00457FE8"/>
    <w:rsid w:val="004644AC"/>
    <w:rsid w:val="00465ACC"/>
    <w:rsid w:val="004719A4"/>
    <w:rsid w:val="00475DE1"/>
    <w:rsid w:val="0047771F"/>
    <w:rsid w:val="004815A1"/>
    <w:rsid w:val="00481C60"/>
    <w:rsid w:val="004852D5"/>
    <w:rsid w:val="00486D02"/>
    <w:rsid w:val="004871C5"/>
    <w:rsid w:val="004A2C9A"/>
    <w:rsid w:val="004A4FBC"/>
    <w:rsid w:val="004A51A8"/>
    <w:rsid w:val="004A7EEC"/>
    <w:rsid w:val="004B439A"/>
    <w:rsid w:val="004B52B5"/>
    <w:rsid w:val="004C157C"/>
    <w:rsid w:val="004D11E2"/>
    <w:rsid w:val="004D3804"/>
    <w:rsid w:val="004E3755"/>
    <w:rsid w:val="004E7AD3"/>
    <w:rsid w:val="004F4B23"/>
    <w:rsid w:val="0050190E"/>
    <w:rsid w:val="0050233F"/>
    <w:rsid w:val="005125CC"/>
    <w:rsid w:val="00517A31"/>
    <w:rsid w:val="00523851"/>
    <w:rsid w:val="00525DBB"/>
    <w:rsid w:val="00525ECA"/>
    <w:rsid w:val="00526199"/>
    <w:rsid w:val="0053182E"/>
    <w:rsid w:val="00535193"/>
    <w:rsid w:val="00543D5E"/>
    <w:rsid w:val="00555021"/>
    <w:rsid w:val="00556D60"/>
    <w:rsid w:val="005610B3"/>
    <w:rsid w:val="00563B30"/>
    <w:rsid w:val="00567377"/>
    <w:rsid w:val="005713E4"/>
    <w:rsid w:val="00571F41"/>
    <w:rsid w:val="00580984"/>
    <w:rsid w:val="0058135B"/>
    <w:rsid w:val="00591A85"/>
    <w:rsid w:val="00596EA9"/>
    <w:rsid w:val="005A0EF6"/>
    <w:rsid w:val="005A2E02"/>
    <w:rsid w:val="005B0299"/>
    <w:rsid w:val="005B44F4"/>
    <w:rsid w:val="005B633B"/>
    <w:rsid w:val="005B73D7"/>
    <w:rsid w:val="005C74E8"/>
    <w:rsid w:val="005D0661"/>
    <w:rsid w:val="005D4191"/>
    <w:rsid w:val="005D6FE2"/>
    <w:rsid w:val="005E0932"/>
    <w:rsid w:val="005E34BC"/>
    <w:rsid w:val="005E5335"/>
    <w:rsid w:val="005E59E4"/>
    <w:rsid w:val="005E5D1F"/>
    <w:rsid w:val="005F1695"/>
    <w:rsid w:val="00606A70"/>
    <w:rsid w:val="00610B62"/>
    <w:rsid w:val="006115CA"/>
    <w:rsid w:val="00611D43"/>
    <w:rsid w:val="00612D48"/>
    <w:rsid w:val="00616B45"/>
    <w:rsid w:val="00617500"/>
    <w:rsid w:val="006175DB"/>
    <w:rsid w:val="00620296"/>
    <w:rsid w:val="0062356B"/>
    <w:rsid w:val="00630D9B"/>
    <w:rsid w:val="00631953"/>
    <w:rsid w:val="00632215"/>
    <w:rsid w:val="006361D7"/>
    <w:rsid w:val="006411B7"/>
    <w:rsid w:val="006439EC"/>
    <w:rsid w:val="006522E8"/>
    <w:rsid w:val="006547C7"/>
    <w:rsid w:val="0065795F"/>
    <w:rsid w:val="006647E0"/>
    <w:rsid w:val="00667118"/>
    <w:rsid w:val="00667704"/>
    <w:rsid w:val="0066771A"/>
    <w:rsid w:val="00671771"/>
    <w:rsid w:val="0067320E"/>
    <w:rsid w:val="006733BA"/>
    <w:rsid w:val="00673EEA"/>
    <w:rsid w:val="00676B5B"/>
    <w:rsid w:val="006841BD"/>
    <w:rsid w:val="0068431F"/>
    <w:rsid w:val="00684FF0"/>
    <w:rsid w:val="006932E0"/>
    <w:rsid w:val="006A0D3D"/>
    <w:rsid w:val="006A4BF5"/>
    <w:rsid w:val="006B132B"/>
    <w:rsid w:val="006B3534"/>
    <w:rsid w:val="006B4590"/>
    <w:rsid w:val="006B566F"/>
    <w:rsid w:val="006C340C"/>
    <w:rsid w:val="006C44A1"/>
    <w:rsid w:val="006C605B"/>
    <w:rsid w:val="006C7E6D"/>
    <w:rsid w:val="006D1717"/>
    <w:rsid w:val="006D7746"/>
    <w:rsid w:val="006E16D9"/>
    <w:rsid w:val="006E5AC9"/>
    <w:rsid w:val="006E6BD6"/>
    <w:rsid w:val="006F1259"/>
    <w:rsid w:val="006F209F"/>
    <w:rsid w:val="006F3B28"/>
    <w:rsid w:val="006F4547"/>
    <w:rsid w:val="006F6971"/>
    <w:rsid w:val="00702774"/>
    <w:rsid w:val="0070347C"/>
    <w:rsid w:val="0070494F"/>
    <w:rsid w:val="007052BF"/>
    <w:rsid w:val="007074EF"/>
    <w:rsid w:val="0071048E"/>
    <w:rsid w:val="007176C1"/>
    <w:rsid w:val="0072072D"/>
    <w:rsid w:val="00725A10"/>
    <w:rsid w:val="007274A2"/>
    <w:rsid w:val="00742474"/>
    <w:rsid w:val="0074620F"/>
    <w:rsid w:val="007505EC"/>
    <w:rsid w:val="00756CA0"/>
    <w:rsid w:val="00757BE2"/>
    <w:rsid w:val="00762D86"/>
    <w:rsid w:val="00774924"/>
    <w:rsid w:val="00781107"/>
    <w:rsid w:val="00781267"/>
    <w:rsid w:val="00782849"/>
    <w:rsid w:val="00786C59"/>
    <w:rsid w:val="00792AA4"/>
    <w:rsid w:val="007A1C5A"/>
    <w:rsid w:val="007A34E9"/>
    <w:rsid w:val="007B0499"/>
    <w:rsid w:val="007C109C"/>
    <w:rsid w:val="007C47C4"/>
    <w:rsid w:val="007C47F3"/>
    <w:rsid w:val="007D2398"/>
    <w:rsid w:val="007E0D01"/>
    <w:rsid w:val="007E3D63"/>
    <w:rsid w:val="007E6F99"/>
    <w:rsid w:val="007F3FA0"/>
    <w:rsid w:val="007F55CB"/>
    <w:rsid w:val="008001B0"/>
    <w:rsid w:val="00802D9A"/>
    <w:rsid w:val="008200A0"/>
    <w:rsid w:val="00840E7C"/>
    <w:rsid w:val="00841DC3"/>
    <w:rsid w:val="0084387C"/>
    <w:rsid w:val="00844750"/>
    <w:rsid w:val="008464C8"/>
    <w:rsid w:val="00846A67"/>
    <w:rsid w:val="00846BDC"/>
    <w:rsid w:val="0085039C"/>
    <w:rsid w:val="0085360D"/>
    <w:rsid w:val="00855268"/>
    <w:rsid w:val="00861640"/>
    <w:rsid w:val="00884F30"/>
    <w:rsid w:val="00885FE0"/>
    <w:rsid w:val="008916B7"/>
    <w:rsid w:val="00893C59"/>
    <w:rsid w:val="008A1E79"/>
    <w:rsid w:val="008B1A0D"/>
    <w:rsid w:val="008B1B8A"/>
    <w:rsid w:val="008B44C4"/>
    <w:rsid w:val="008B4826"/>
    <w:rsid w:val="008C03EA"/>
    <w:rsid w:val="008C0AF2"/>
    <w:rsid w:val="008D2358"/>
    <w:rsid w:val="008D5D4C"/>
    <w:rsid w:val="008D71E9"/>
    <w:rsid w:val="008E042F"/>
    <w:rsid w:val="008E675E"/>
    <w:rsid w:val="008E797B"/>
    <w:rsid w:val="008E7FAE"/>
    <w:rsid w:val="008F39A9"/>
    <w:rsid w:val="008F46F4"/>
    <w:rsid w:val="008F5911"/>
    <w:rsid w:val="008F73EE"/>
    <w:rsid w:val="0090124F"/>
    <w:rsid w:val="0090304A"/>
    <w:rsid w:val="009047AD"/>
    <w:rsid w:val="00904B97"/>
    <w:rsid w:val="00906074"/>
    <w:rsid w:val="00910F06"/>
    <w:rsid w:val="00911BF7"/>
    <w:rsid w:val="00914150"/>
    <w:rsid w:val="00914A61"/>
    <w:rsid w:val="00922E9E"/>
    <w:rsid w:val="00931A94"/>
    <w:rsid w:val="00934556"/>
    <w:rsid w:val="00934D29"/>
    <w:rsid w:val="00937AE1"/>
    <w:rsid w:val="0094006D"/>
    <w:rsid w:val="0094103C"/>
    <w:rsid w:val="009469C3"/>
    <w:rsid w:val="00953469"/>
    <w:rsid w:val="00961440"/>
    <w:rsid w:val="009662D9"/>
    <w:rsid w:val="00974EA5"/>
    <w:rsid w:val="009754F9"/>
    <w:rsid w:val="009755DB"/>
    <w:rsid w:val="00977EC8"/>
    <w:rsid w:val="00985CCD"/>
    <w:rsid w:val="00987481"/>
    <w:rsid w:val="009878C1"/>
    <w:rsid w:val="00987D0F"/>
    <w:rsid w:val="009910CD"/>
    <w:rsid w:val="00995C9E"/>
    <w:rsid w:val="009B64B1"/>
    <w:rsid w:val="009B6668"/>
    <w:rsid w:val="009B674D"/>
    <w:rsid w:val="009B78BA"/>
    <w:rsid w:val="009C6D0E"/>
    <w:rsid w:val="009C7F99"/>
    <w:rsid w:val="009D0F95"/>
    <w:rsid w:val="009D3A8C"/>
    <w:rsid w:val="009D5620"/>
    <w:rsid w:val="009E0DF5"/>
    <w:rsid w:val="009E4DBF"/>
    <w:rsid w:val="009E7956"/>
    <w:rsid w:val="00A103C4"/>
    <w:rsid w:val="00A12DDC"/>
    <w:rsid w:val="00A165D6"/>
    <w:rsid w:val="00A21CA6"/>
    <w:rsid w:val="00A2492E"/>
    <w:rsid w:val="00A25A9B"/>
    <w:rsid w:val="00A337F5"/>
    <w:rsid w:val="00A50390"/>
    <w:rsid w:val="00A5155B"/>
    <w:rsid w:val="00A522B5"/>
    <w:rsid w:val="00A53976"/>
    <w:rsid w:val="00A56EA8"/>
    <w:rsid w:val="00A77CDB"/>
    <w:rsid w:val="00A8099E"/>
    <w:rsid w:val="00A85316"/>
    <w:rsid w:val="00A872AF"/>
    <w:rsid w:val="00A96C3B"/>
    <w:rsid w:val="00AA17A7"/>
    <w:rsid w:val="00AB2670"/>
    <w:rsid w:val="00AC030B"/>
    <w:rsid w:val="00AC33AB"/>
    <w:rsid w:val="00AC5531"/>
    <w:rsid w:val="00AC576C"/>
    <w:rsid w:val="00AC67A1"/>
    <w:rsid w:val="00AC7977"/>
    <w:rsid w:val="00AE352C"/>
    <w:rsid w:val="00AE66A2"/>
    <w:rsid w:val="00AF11FB"/>
    <w:rsid w:val="00AF136C"/>
    <w:rsid w:val="00AF2BDD"/>
    <w:rsid w:val="00AF5553"/>
    <w:rsid w:val="00B22444"/>
    <w:rsid w:val="00B24BE0"/>
    <w:rsid w:val="00B32B1B"/>
    <w:rsid w:val="00B32D5B"/>
    <w:rsid w:val="00B32E2D"/>
    <w:rsid w:val="00B3767A"/>
    <w:rsid w:val="00B42351"/>
    <w:rsid w:val="00B44CDD"/>
    <w:rsid w:val="00B452D0"/>
    <w:rsid w:val="00B46D87"/>
    <w:rsid w:val="00B61157"/>
    <w:rsid w:val="00B61990"/>
    <w:rsid w:val="00B622B5"/>
    <w:rsid w:val="00B63A55"/>
    <w:rsid w:val="00B734FC"/>
    <w:rsid w:val="00B76DC1"/>
    <w:rsid w:val="00B77C99"/>
    <w:rsid w:val="00B921EB"/>
    <w:rsid w:val="00B950E4"/>
    <w:rsid w:val="00BA31B5"/>
    <w:rsid w:val="00BA6049"/>
    <w:rsid w:val="00BA7C89"/>
    <w:rsid w:val="00BB0681"/>
    <w:rsid w:val="00BB1CD7"/>
    <w:rsid w:val="00BC3113"/>
    <w:rsid w:val="00BC554A"/>
    <w:rsid w:val="00BC7113"/>
    <w:rsid w:val="00BD4087"/>
    <w:rsid w:val="00BE741C"/>
    <w:rsid w:val="00BF0556"/>
    <w:rsid w:val="00BF1108"/>
    <w:rsid w:val="00BF2820"/>
    <w:rsid w:val="00C005F9"/>
    <w:rsid w:val="00C05D60"/>
    <w:rsid w:val="00C1562D"/>
    <w:rsid w:val="00C23441"/>
    <w:rsid w:val="00C261F8"/>
    <w:rsid w:val="00C33100"/>
    <w:rsid w:val="00C34411"/>
    <w:rsid w:val="00C34887"/>
    <w:rsid w:val="00C37A5D"/>
    <w:rsid w:val="00C4203F"/>
    <w:rsid w:val="00C42566"/>
    <w:rsid w:val="00C44D36"/>
    <w:rsid w:val="00C46B57"/>
    <w:rsid w:val="00C50B65"/>
    <w:rsid w:val="00C51B13"/>
    <w:rsid w:val="00C521C2"/>
    <w:rsid w:val="00C53FF3"/>
    <w:rsid w:val="00C55BDD"/>
    <w:rsid w:val="00C6003B"/>
    <w:rsid w:val="00C73ED2"/>
    <w:rsid w:val="00C75D98"/>
    <w:rsid w:val="00C8056F"/>
    <w:rsid w:val="00CA27A6"/>
    <w:rsid w:val="00CA7CAA"/>
    <w:rsid w:val="00CB3428"/>
    <w:rsid w:val="00CD1A71"/>
    <w:rsid w:val="00CD1FBB"/>
    <w:rsid w:val="00CD2B1E"/>
    <w:rsid w:val="00CD3715"/>
    <w:rsid w:val="00CD59A7"/>
    <w:rsid w:val="00CD6CB8"/>
    <w:rsid w:val="00CE2F46"/>
    <w:rsid w:val="00CE4C8A"/>
    <w:rsid w:val="00CE6564"/>
    <w:rsid w:val="00CE6C24"/>
    <w:rsid w:val="00CE6DEC"/>
    <w:rsid w:val="00CF0EEB"/>
    <w:rsid w:val="00CF3B1C"/>
    <w:rsid w:val="00CF3B8F"/>
    <w:rsid w:val="00D00BFF"/>
    <w:rsid w:val="00D016B5"/>
    <w:rsid w:val="00D034F1"/>
    <w:rsid w:val="00D036A7"/>
    <w:rsid w:val="00D11724"/>
    <w:rsid w:val="00D11844"/>
    <w:rsid w:val="00D12657"/>
    <w:rsid w:val="00D13979"/>
    <w:rsid w:val="00D1530E"/>
    <w:rsid w:val="00D218BF"/>
    <w:rsid w:val="00D22ECD"/>
    <w:rsid w:val="00D26A49"/>
    <w:rsid w:val="00D27D5E"/>
    <w:rsid w:val="00D30D34"/>
    <w:rsid w:val="00D3172C"/>
    <w:rsid w:val="00D337CC"/>
    <w:rsid w:val="00D42E12"/>
    <w:rsid w:val="00D44489"/>
    <w:rsid w:val="00D44537"/>
    <w:rsid w:val="00D449EC"/>
    <w:rsid w:val="00D5363F"/>
    <w:rsid w:val="00D675FA"/>
    <w:rsid w:val="00D71E7E"/>
    <w:rsid w:val="00D80C7A"/>
    <w:rsid w:val="00D8530A"/>
    <w:rsid w:val="00D85A26"/>
    <w:rsid w:val="00D916A7"/>
    <w:rsid w:val="00D94633"/>
    <w:rsid w:val="00DA2E94"/>
    <w:rsid w:val="00DA53B7"/>
    <w:rsid w:val="00DB47D9"/>
    <w:rsid w:val="00DB4FBC"/>
    <w:rsid w:val="00DC228D"/>
    <w:rsid w:val="00DD1749"/>
    <w:rsid w:val="00DD4999"/>
    <w:rsid w:val="00DD4D96"/>
    <w:rsid w:val="00DD4EB2"/>
    <w:rsid w:val="00DE33F0"/>
    <w:rsid w:val="00DE4102"/>
    <w:rsid w:val="00DE6D90"/>
    <w:rsid w:val="00DF002F"/>
    <w:rsid w:val="00DF3BCD"/>
    <w:rsid w:val="00E01507"/>
    <w:rsid w:val="00E0244D"/>
    <w:rsid w:val="00E21372"/>
    <w:rsid w:val="00E21BEE"/>
    <w:rsid w:val="00E263FF"/>
    <w:rsid w:val="00E34E53"/>
    <w:rsid w:val="00E503CB"/>
    <w:rsid w:val="00E504F7"/>
    <w:rsid w:val="00E51CC1"/>
    <w:rsid w:val="00E57B6D"/>
    <w:rsid w:val="00E6507F"/>
    <w:rsid w:val="00E65164"/>
    <w:rsid w:val="00E66470"/>
    <w:rsid w:val="00E703CA"/>
    <w:rsid w:val="00E728BE"/>
    <w:rsid w:val="00E76D2F"/>
    <w:rsid w:val="00E81E94"/>
    <w:rsid w:val="00E82607"/>
    <w:rsid w:val="00E907E4"/>
    <w:rsid w:val="00E972B9"/>
    <w:rsid w:val="00EA0B4C"/>
    <w:rsid w:val="00EA269D"/>
    <w:rsid w:val="00EA4C81"/>
    <w:rsid w:val="00EA695F"/>
    <w:rsid w:val="00EB0CAF"/>
    <w:rsid w:val="00EB76D8"/>
    <w:rsid w:val="00EC6E4E"/>
    <w:rsid w:val="00ED4B24"/>
    <w:rsid w:val="00EE0EE4"/>
    <w:rsid w:val="00EE1A0D"/>
    <w:rsid w:val="00EE58BE"/>
    <w:rsid w:val="00EE5F2D"/>
    <w:rsid w:val="00EF3840"/>
    <w:rsid w:val="00EF51C3"/>
    <w:rsid w:val="00EF562A"/>
    <w:rsid w:val="00EF6E55"/>
    <w:rsid w:val="00F01E81"/>
    <w:rsid w:val="00F0769B"/>
    <w:rsid w:val="00F109A0"/>
    <w:rsid w:val="00F11A03"/>
    <w:rsid w:val="00F123E6"/>
    <w:rsid w:val="00F21E2C"/>
    <w:rsid w:val="00F229F5"/>
    <w:rsid w:val="00F24A0B"/>
    <w:rsid w:val="00F364B1"/>
    <w:rsid w:val="00F42984"/>
    <w:rsid w:val="00F42B78"/>
    <w:rsid w:val="00F43325"/>
    <w:rsid w:val="00F44428"/>
    <w:rsid w:val="00F51E3D"/>
    <w:rsid w:val="00F65DAE"/>
    <w:rsid w:val="00F67123"/>
    <w:rsid w:val="00F76298"/>
    <w:rsid w:val="00F830A9"/>
    <w:rsid w:val="00F939A9"/>
    <w:rsid w:val="00F95A12"/>
    <w:rsid w:val="00FA34F8"/>
    <w:rsid w:val="00FA5A79"/>
    <w:rsid w:val="00FA71D6"/>
    <w:rsid w:val="00FB0BFE"/>
    <w:rsid w:val="00FB4C51"/>
    <w:rsid w:val="00FD080D"/>
    <w:rsid w:val="00FD2BFA"/>
    <w:rsid w:val="00FE0CE6"/>
    <w:rsid w:val="00FE2E4F"/>
    <w:rsid w:val="00FE41BD"/>
    <w:rsid w:val="00FE48DC"/>
    <w:rsid w:val="00FE4943"/>
    <w:rsid w:val="00FF1DBD"/>
    <w:rsid w:val="00FF7241"/>
    <w:rsid w:val="00F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docId w15:val="{0B7E5435-3A8B-4566-8854-B39A465A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AA"/>
    <w:pPr>
      <w:suppressAutoHyphens/>
      <w:spacing w:line="240" w:lineRule="atLeast"/>
    </w:pPr>
    <w:rPr>
      <w:lang w:val="fr-CH"/>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rsid w:val="000F5175"/>
    <w:pPr>
      <w:tabs>
        <w:tab w:val="right" w:pos="1021"/>
      </w:tabs>
      <w:spacing w:line="220" w:lineRule="exact"/>
      <w:ind w:left="1134" w:right="1134" w:hanging="1134"/>
    </w:pPr>
    <w:rPr>
      <w:rFonts w:eastAsia="SimSun"/>
      <w:sz w:val="18"/>
      <w:lang w:val="es-ES" w:eastAsia="zh-CN"/>
    </w:rPr>
  </w:style>
  <w:style w:type="paragraph" w:styleId="EndnoteText">
    <w:name w:val="endnote text"/>
    <w:aliases w:val="2_G"/>
    <w:basedOn w:val="Normal"/>
    <w:rsid w:val="000F5175"/>
    <w:pPr>
      <w:tabs>
        <w:tab w:val="right" w:pos="1021"/>
      </w:tabs>
      <w:spacing w:line="220" w:lineRule="exact"/>
      <w:ind w:left="1134" w:right="1134" w:hanging="1134"/>
    </w:pPr>
    <w:rPr>
      <w:sz w:val="18"/>
    </w:rPr>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table" w:styleId="TableGrid">
    <w:name w:val="Table Grid"/>
    <w:basedOn w:val="TableNormal"/>
    <w:semiHidden/>
    <w:rsid w:val="00E728B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66771A"/>
    <w:rPr>
      <w:lang w:val="fr-CH"/>
    </w:rPr>
  </w:style>
  <w:style w:type="character" w:customStyle="1" w:styleId="HChGChar">
    <w:name w:val="_ H _Ch_G Char"/>
    <w:rsid w:val="004F4B23"/>
    <w:rPr>
      <w:b/>
      <w:sz w:val="28"/>
      <w:lang w:val="fr-CH" w:bidi="ar-SA"/>
    </w:rPr>
  </w:style>
  <w:style w:type="character" w:customStyle="1" w:styleId="FootnoteCharacters">
    <w:name w:val="Footnote Characters"/>
    <w:rsid w:val="002B4B23"/>
    <w:rPr>
      <w:rFonts w:ascii="Times New Roman" w:hAnsi="Times New Roman" w:cs="Times New Roman"/>
      <w:sz w:val="18"/>
      <w:vertAlign w:val="superscript"/>
      <w:lang w:val="fr-CH"/>
    </w:rPr>
  </w:style>
  <w:style w:type="character" w:customStyle="1" w:styleId="SingleTxtGChar">
    <w:name w:val="_ Single Txt_G Char"/>
    <w:link w:val="SingleTxtG"/>
    <w:locked/>
    <w:rsid w:val="008F46F4"/>
    <w:rPr>
      <w:lang w:val="fr-CH" w:eastAsia="en-US"/>
    </w:rPr>
  </w:style>
  <w:style w:type="character" w:styleId="CommentReference">
    <w:name w:val="annotation reference"/>
    <w:rsid w:val="006841BD"/>
    <w:rPr>
      <w:sz w:val="16"/>
      <w:szCs w:val="16"/>
    </w:rPr>
  </w:style>
  <w:style w:type="paragraph" w:styleId="CommentText">
    <w:name w:val="annotation text"/>
    <w:basedOn w:val="Normal"/>
    <w:link w:val="CommentTextChar"/>
    <w:rsid w:val="006841BD"/>
  </w:style>
  <w:style w:type="character" w:customStyle="1" w:styleId="CommentTextChar">
    <w:name w:val="Comment Text Char"/>
    <w:link w:val="CommentText"/>
    <w:rsid w:val="006841BD"/>
    <w:rPr>
      <w:lang w:val="fr-CH" w:eastAsia="en-US"/>
    </w:rPr>
  </w:style>
  <w:style w:type="paragraph" w:styleId="CommentSubject">
    <w:name w:val="annotation subject"/>
    <w:basedOn w:val="CommentText"/>
    <w:next w:val="CommentText"/>
    <w:link w:val="CommentSubjectChar"/>
    <w:rsid w:val="006841BD"/>
    <w:rPr>
      <w:b/>
      <w:bCs/>
    </w:rPr>
  </w:style>
  <w:style w:type="character" w:customStyle="1" w:styleId="CommentSubjectChar">
    <w:name w:val="Comment Subject Char"/>
    <w:link w:val="CommentSubject"/>
    <w:rsid w:val="006841BD"/>
    <w:rPr>
      <w:b/>
      <w:bCs/>
      <w:lang w:val="fr-CH" w:eastAsia="en-US"/>
    </w:rPr>
  </w:style>
  <w:style w:type="paragraph" w:styleId="BalloonText">
    <w:name w:val="Balloon Text"/>
    <w:basedOn w:val="Normal"/>
    <w:link w:val="BalloonTextChar"/>
    <w:rsid w:val="006841BD"/>
    <w:pPr>
      <w:spacing w:line="240" w:lineRule="auto"/>
    </w:pPr>
    <w:rPr>
      <w:rFonts w:ascii="Tahoma" w:hAnsi="Tahoma"/>
      <w:sz w:val="16"/>
      <w:szCs w:val="16"/>
    </w:rPr>
  </w:style>
  <w:style w:type="character" w:customStyle="1" w:styleId="BalloonTextChar">
    <w:name w:val="Balloon Text Char"/>
    <w:link w:val="BalloonText"/>
    <w:rsid w:val="006841BD"/>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74404">
      <w:bodyDiv w:val="1"/>
      <w:marLeft w:val="0"/>
      <w:marRight w:val="0"/>
      <w:marTop w:val="0"/>
      <w:marBottom w:val="0"/>
      <w:divBdr>
        <w:top w:val="none" w:sz="0" w:space="0" w:color="auto"/>
        <w:left w:val="none" w:sz="0" w:space="0" w:color="auto"/>
        <w:bottom w:val="none" w:sz="0" w:space="0" w:color="auto"/>
        <w:right w:val="none" w:sz="0" w:space="0" w:color="auto"/>
      </w:divBdr>
    </w:div>
    <w:div w:id="1134445979">
      <w:bodyDiv w:val="1"/>
      <w:marLeft w:val="0"/>
      <w:marRight w:val="0"/>
      <w:marTop w:val="0"/>
      <w:marBottom w:val="0"/>
      <w:divBdr>
        <w:top w:val="none" w:sz="0" w:space="0" w:color="auto"/>
        <w:left w:val="none" w:sz="0" w:space="0" w:color="auto"/>
        <w:bottom w:val="none" w:sz="0" w:space="0" w:color="auto"/>
        <w:right w:val="none" w:sz="0" w:space="0" w:color="auto"/>
      </w:divBdr>
    </w:div>
    <w:div w:id="1265848911">
      <w:bodyDiv w:val="1"/>
      <w:marLeft w:val="0"/>
      <w:marRight w:val="0"/>
      <w:marTop w:val="0"/>
      <w:marBottom w:val="0"/>
      <w:divBdr>
        <w:top w:val="none" w:sz="0" w:space="0" w:color="auto"/>
        <w:left w:val="none" w:sz="0" w:space="0" w:color="auto"/>
        <w:bottom w:val="none" w:sz="0" w:space="0" w:color="auto"/>
        <w:right w:val="none" w:sz="0" w:space="0" w:color="auto"/>
      </w:divBdr>
    </w:div>
    <w:div w:id="1453207803">
      <w:bodyDiv w:val="1"/>
      <w:marLeft w:val="0"/>
      <w:marRight w:val="0"/>
      <w:marTop w:val="0"/>
      <w:marBottom w:val="0"/>
      <w:divBdr>
        <w:top w:val="none" w:sz="0" w:space="0" w:color="auto"/>
        <w:left w:val="none" w:sz="0" w:space="0" w:color="auto"/>
        <w:bottom w:val="none" w:sz="0" w:space="0" w:color="auto"/>
        <w:right w:val="none" w:sz="0" w:space="0" w:color="auto"/>
      </w:divBdr>
    </w:div>
    <w:div w:id="1530992684">
      <w:bodyDiv w:val="1"/>
      <w:marLeft w:val="0"/>
      <w:marRight w:val="0"/>
      <w:marTop w:val="0"/>
      <w:marBottom w:val="0"/>
      <w:divBdr>
        <w:top w:val="none" w:sz="0" w:space="0" w:color="auto"/>
        <w:left w:val="none" w:sz="0" w:space="0" w:color="auto"/>
        <w:bottom w:val="none" w:sz="0" w:space="0" w:color="auto"/>
        <w:right w:val="none" w:sz="0" w:space="0" w:color="auto"/>
      </w:divBdr>
    </w:div>
    <w:div w:id="202297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CAT_F</Template>
  <TotalTime>0</TotalTime>
  <Pages>10</Pages>
  <Words>4249</Words>
  <Characters>24224</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28417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Anne Kawuki</dc:creator>
  <cp:keywords/>
  <cp:lastModifiedBy>Sarah Willig</cp:lastModifiedBy>
  <cp:revision>2</cp:revision>
  <cp:lastPrinted>2014-06-13T15:51:00Z</cp:lastPrinted>
  <dcterms:created xsi:type="dcterms:W3CDTF">2017-04-04T16:14:00Z</dcterms:created>
  <dcterms:modified xsi:type="dcterms:W3CDTF">2017-04-04T16:14:00Z</dcterms:modified>
</cp:coreProperties>
</file>