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7369EB" w:rsidRPr="009F7392" w14:paraId="07C5426F" w14:textId="77777777">
        <w:trPr>
          <w:trHeight w:val="851"/>
        </w:trPr>
        <w:tc>
          <w:tcPr>
            <w:tcW w:w="1259" w:type="dxa"/>
            <w:tcBorders>
              <w:top w:val="nil"/>
              <w:left w:val="nil"/>
              <w:bottom w:val="single" w:sz="4" w:space="0" w:color="auto"/>
              <w:right w:val="nil"/>
            </w:tcBorders>
            <w:vAlign w:val="bottom"/>
          </w:tcPr>
          <w:p w14:paraId="7B74220A" w14:textId="77777777" w:rsidR="00724A4C" w:rsidRPr="00724A4C" w:rsidRDefault="00724A4C" w:rsidP="00724A4C">
            <w:pPr>
              <w:spacing w:line="20" w:lineRule="exact"/>
              <w:jc w:val="right"/>
              <w:rPr>
                <w:sz w:val="2"/>
              </w:rPr>
            </w:pPr>
            <w:bookmarkStart w:id="0" w:name="_GoBack"/>
            <w:bookmarkEnd w:id="0"/>
          </w:p>
          <w:p w14:paraId="314ADE2F" w14:textId="77777777" w:rsidR="007369EB" w:rsidRPr="009F7392" w:rsidRDefault="0000279B" w:rsidP="007369EB">
            <w:pPr>
              <w:jc w:val="right"/>
            </w:pPr>
            <w:r>
              <w:t xml:space="preserve"> </w:t>
            </w:r>
          </w:p>
        </w:tc>
        <w:tc>
          <w:tcPr>
            <w:tcW w:w="2236" w:type="dxa"/>
            <w:tcBorders>
              <w:top w:val="nil"/>
              <w:left w:val="nil"/>
              <w:bottom w:val="single" w:sz="4" w:space="0" w:color="auto"/>
              <w:right w:val="nil"/>
            </w:tcBorders>
            <w:vAlign w:val="bottom"/>
          </w:tcPr>
          <w:p w14:paraId="203A70FE" w14:textId="77777777" w:rsidR="007369EB" w:rsidRPr="009F7392" w:rsidRDefault="008B0DE3" w:rsidP="008B0DE3">
            <w:r w:rsidRPr="009F7392">
              <w:rPr>
                <w:sz w:val="28"/>
                <w:szCs w:val="28"/>
              </w:rPr>
              <w:t>United Nations</w:t>
            </w:r>
          </w:p>
        </w:tc>
        <w:tc>
          <w:tcPr>
            <w:tcW w:w="6144" w:type="dxa"/>
            <w:gridSpan w:val="2"/>
            <w:tcBorders>
              <w:top w:val="nil"/>
              <w:left w:val="nil"/>
              <w:bottom w:val="single" w:sz="4" w:space="0" w:color="auto"/>
              <w:right w:val="nil"/>
            </w:tcBorders>
            <w:vAlign w:val="bottom"/>
          </w:tcPr>
          <w:p w14:paraId="7D0D716C" w14:textId="77777777" w:rsidR="007369EB" w:rsidRPr="009F7392" w:rsidRDefault="00272073" w:rsidP="00C6324A">
            <w:pPr>
              <w:jc w:val="right"/>
            </w:pPr>
            <w:r w:rsidRPr="009F7392">
              <w:rPr>
                <w:sz w:val="40"/>
              </w:rPr>
              <w:t>CERD</w:t>
            </w:r>
            <w:r w:rsidRPr="009F7392">
              <w:t>/C/</w:t>
            </w:r>
            <w:r w:rsidR="0004362A" w:rsidRPr="009F7392">
              <w:t>8</w:t>
            </w:r>
            <w:r w:rsidR="00205BAB" w:rsidRPr="009F7392">
              <w:t>8</w:t>
            </w:r>
            <w:r w:rsidRPr="009F7392">
              <w:t>/D/</w:t>
            </w:r>
            <w:r w:rsidR="004C17DE" w:rsidRPr="009F7392">
              <w:t>5</w:t>
            </w:r>
            <w:r w:rsidR="00205BAB" w:rsidRPr="009F7392">
              <w:t>6</w:t>
            </w:r>
            <w:r w:rsidRPr="009F7392">
              <w:t>/20</w:t>
            </w:r>
            <w:r w:rsidR="00B932B3" w:rsidRPr="009F7392">
              <w:t>1</w:t>
            </w:r>
            <w:r w:rsidR="003B6619" w:rsidRPr="009F7392">
              <w:t>4</w:t>
            </w:r>
          </w:p>
        </w:tc>
      </w:tr>
      <w:tr w:rsidR="007369EB" w:rsidRPr="009F7392" w14:paraId="3F2C2332" w14:textId="77777777">
        <w:trPr>
          <w:trHeight w:val="2835"/>
        </w:trPr>
        <w:tc>
          <w:tcPr>
            <w:tcW w:w="1259" w:type="dxa"/>
            <w:tcBorders>
              <w:top w:val="single" w:sz="4" w:space="0" w:color="auto"/>
              <w:left w:val="nil"/>
              <w:bottom w:val="single" w:sz="12" w:space="0" w:color="auto"/>
              <w:right w:val="nil"/>
            </w:tcBorders>
          </w:tcPr>
          <w:p w14:paraId="35925C17" w14:textId="77777777" w:rsidR="007369EB" w:rsidRPr="009F7392" w:rsidRDefault="002F40A0" w:rsidP="007369EB">
            <w:r>
              <w:rPr>
                <w:noProof/>
                <w:lang w:val="en-US"/>
              </w:rPr>
              <w:drawing>
                <wp:inline distT="0" distB="0" distL="0" distR="0" wp14:anchorId="072C0C36" wp14:editId="3FDD2FA3">
                  <wp:extent cx="714375" cy="58102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8102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4AE3A7EF" w14:textId="77777777" w:rsidR="001E6BAF" w:rsidRPr="001E6BAF" w:rsidRDefault="001E6BAF" w:rsidP="001E6BAF">
            <w:pPr>
              <w:spacing w:line="20" w:lineRule="exact"/>
              <w:rPr>
                <w:b/>
                <w:sz w:val="2"/>
                <w:szCs w:val="40"/>
              </w:rPr>
            </w:pPr>
            <w:r>
              <w:rPr>
                <w:rStyle w:val="CommentReference"/>
              </w:rPr>
              <w:commentReference w:id="1"/>
            </w:r>
          </w:p>
          <w:p w14:paraId="1AAE63E7" w14:textId="77777777" w:rsidR="007369EB" w:rsidRPr="009F7392" w:rsidRDefault="008B0DE3" w:rsidP="007369EB">
            <w:r w:rsidRPr="009F7392">
              <w:rPr>
                <w:b/>
                <w:sz w:val="34"/>
                <w:szCs w:val="40"/>
              </w:rPr>
              <w:t>International Convention on</w:t>
            </w:r>
            <w:r w:rsidRPr="009F7392">
              <w:rPr>
                <w:b/>
                <w:sz w:val="34"/>
                <w:szCs w:val="40"/>
              </w:rPr>
              <w:br/>
              <w:t>the Elimination of All Forms</w:t>
            </w:r>
            <w:r w:rsidRPr="009F7392">
              <w:rPr>
                <w:b/>
                <w:sz w:val="34"/>
                <w:szCs w:val="40"/>
              </w:rPr>
              <w:br/>
              <w:t>of Racial Discrimination</w:t>
            </w:r>
          </w:p>
        </w:tc>
        <w:tc>
          <w:tcPr>
            <w:tcW w:w="2930" w:type="dxa"/>
            <w:tcBorders>
              <w:top w:val="single" w:sz="4" w:space="0" w:color="auto"/>
              <w:left w:val="nil"/>
              <w:bottom w:val="single" w:sz="12" w:space="0" w:color="auto"/>
              <w:right w:val="nil"/>
            </w:tcBorders>
          </w:tcPr>
          <w:p w14:paraId="2F3B53DC" w14:textId="77777777" w:rsidR="00272073" w:rsidRPr="009F7392" w:rsidRDefault="00272073" w:rsidP="00272073">
            <w:pPr>
              <w:spacing w:before="240" w:line="240" w:lineRule="exact"/>
            </w:pPr>
            <w:r w:rsidRPr="009F7392">
              <w:t xml:space="preserve">Distr.: </w:t>
            </w:r>
            <w:r w:rsidR="00C6324A">
              <w:t>General</w:t>
            </w:r>
          </w:p>
          <w:p w14:paraId="120CE894" w14:textId="77777777" w:rsidR="00272073" w:rsidRPr="009F7392" w:rsidRDefault="00A4702B" w:rsidP="0065418C">
            <w:pPr>
              <w:spacing w:line="240" w:lineRule="exact"/>
            </w:pPr>
            <w:r>
              <w:t>6</w:t>
            </w:r>
            <w:r w:rsidR="00205BAB" w:rsidRPr="009F7392">
              <w:t xml:space="preserve"> </w:t>
            </w:r>
            <w:r>
              <w:t>January</w:t>
            </w:r>
            <w:r w:rsidR="00C6324A">
              <w:t xml:space="preserve"> </w:t>
            </w:r>
            <w:r w:rsidR="00B932B3" w:rsidRPr="009F7392">
              <w:t>201</w:t>
            </w:r>
            <w:r>
              <w:t>6</w:t>
            </w:r>
          </w:p>
          <w:p w14:paraId="14433E73" w14:textId="77777777" w:rsidR="00272073" w:rsidRPr="009F7392" w:rsidRDefault="00272073" w:rsidP="00272073">
            <w:pPr>
              <w:spacing w:line="240" w:lineRule="exact"/>
            </w:pPr>
          </w:p>
          <w:p w14:paraId="72BF7C98" w14:textId="77777777" w:rsidR="007369EB" w:rsidRPr="009F7392" w:rsidRDefault="00272073" w:rsidP="00272073">
            <w:pPr>
              <w:spacing w:line="240" w:lineRule="exact"/>
            </w:pPr>
            <w:r w:rsidRPr="009F7392">
              <w:t>Original: English</w:t>
            </w:r>
          </w:p>
          <w:p w14:paraId="371BC39D" w14:textId="77777777" w:rsidR="00BD3F70" w:rsidRPr="009F7392" w:rsidRDefault="00BD3F70" w:rsidP="00272073">
            <w:pPr>
              <w:spacing w:line="240" w:lineRule="exact"/>
            </w:pPr>
          </w:p>
        </w:tc>
      </w:tr>
    </w:tbl>
    <w:p w14:paraId="1B4F01BE" w14:textId="77777777" w:rsidR="005700D9" w:rsidRPr="002B0F89" w:rsidRDefault="001F7BEA" w:rsidP="00297D99">
      <w:pPr>
        <w:spacing w:before="120" w:line="240" w:lineRule="exact"/>
        <w:rPr>
          <w:b/>
          <w:bCs/>
        </w:rPr>
      </w:pPr>
      <w:r w:rsidRPr="009F7392">
        <w:rPr>
          <w:b/>
          <w:bCs/>
          <w:sz w:val="24"/>
          <w:szCs w:val="24"/>
        </w:rPr>
        <w:t>C</w:t>
      </w:r>
      <w:r w:rsidR="006458DB" w:rsidRPr="009F7392">
        <w:rPr>
          <w:b/>
          <w:bCs/>
          <w:sz w:val="24"/>
          <w:szCs w:val="24"/>
        </w:rPr>
        <w:t>ommittee</w:t>
      </w:r>
      <w:r w:rsidRPr="009F7392">
        <w:rPr>
          <w:b/>
          <w:bCs/>
          <w:sz w:val="24"/>
          <w:szCs w:val="24"/>
        </w:rPr>
        <w:t xml:space="preserve"> </w:t>
      </w:r>
      <w:r w:rsidR="006458DB" w:rsidRPr="009F7392">
        <w:rPr>
          <w:b/>
          <w:bCs/>
          <w:sz w:val="24"/>
          <w:szCs w:val="24"/>
        </w:rPr>
        <w:t>on the</w:t>
      </w:r>
      <w:r w:rsidRPr="009F7392">
        <w:rPr>
          <w:b/>
          <w:bCs/>
          <w:sz w:val="24"/>
          <w:szCs w:val="24"/>
        </w:rPr>
        <w:t xml:space="preserve"> E</w:t>
      </w:r>
      <w:r w:rsidR="006458DB" w:rsidRPr="009F7392">
        <w:rPr>
          <w:b/>
          <w:bCs/>
          <w:sz w:val="24"/>
          <w:szCs w:val="24"/>
        </w:rPr>
        <w:t>limination</w:t>
      </w:r>
      <w:r w:rsidR="00B7029B" w:rsidRPr="009F7392">
        <w:rPr>
          <w:b/>
          <w:bCs/>
          <w:sz w:val="24"/>
          <w:szCs w:val="24"/>
        </w:rPr>
        <w:t xml:space="preserve"> </w:t>
      </w:r>
      <w:r w:rsidR="006458DB" w:rsidRPr="009F7392">
        <w:rPr>
          <w:b/>
          <w:bCs/>
          <w:sz w:val="24"/>
          <w:szCs w:val="24"/>
        </w:rPr>
        <w:t>of Racial Discrimination</w:t>
      </w:r>
    </w:p>
    <w:p w14:paraId="4102A1ED" w14:textId="77777777" w:rsidR="001F7BEA" w:rsidRPr="002E53C4" w:rsidRDefault="0000279B" w:rsidP="0000279B">
      <w:pPr>
        <w:pStyle w:val="HChG"/>
      </w:pPr>
      <w:r>
        <w:tab/>
      </w:r>
      <w:r>
        <w:tab/>
      </w:r>
      <w:r w:rsidR="002F40A0">
        <w:t>Communication No. 56/2014</w:t>
      </w:r>
    </w:p>
    <w:p w14:paraId="1D0ADB04" w14:textId="77777777" w:rsidR="001F7BEA" w:rsidRPr="000672EC" w:rsidRDefault="006458DB" w:rsidP="00A2391A">
      <w:pPr>
        <w:pStyle w:val="H1G"/>
        <w:spacing w:after="600"/>
      </w:pPr>
      <w:r w:rsidRPr="00AF0A92">
        <w:tab/>
      </w:r>
      <w:r w:rsidRPr="00AF0A92">
        <w:tab/>
      </w:r>
      <w:r w:rsidR="007C2002">
        <w:t>O</w:t>
      </w:r>
      <w:r w:rsidR="00A2391A" w:rsidRPr="000672EC">
        <w:t xml:space="preserve">pinion </w:t>
      </w:r>
      <w:r w:rsidR="007C2002">
        <w:t xml:space="preserve">adopted </w:t>
      </w:r>
      <w:r w:rsidR="00A2391A" w:rsidRPr="000672EC">
        <w:t xml:space="preserve">by the </w:t>
      </w:r>
      <w:r w:rsidR="007C2002">
        <w:t xml:space="preserve">Committee at its eighty-eighth session </w:t>
      </w:r>
    </w:p>
    <w:p w14:paraId="4480DABB" w14:textId="77777777" w:rsidR="004C17DE" w:rsidRPr="008C592A" w:rsidRDefault="00061EEF" w:rsidP="00903E31">
      <w:pPr>
        <w:spacing w:after="120"/>
        <w:ind w:left="4536" w:right="1134" w:hanging="3402"/>
      </w:pPr>
      <w:r w:rsidRPr="00F14B7D">
        <w:rPr>
          <w:i/>
        </w:rPr>
        <w:t>Submitted by:</w:t>
      </w:r>
      <w:r w:rsidRPr="00F14B7D">
        <w:tab/>
      </w:r>
      <w:r w:rsidR="00204E6C" w:rsidRPr="00F14B7D">
        <w:t xml:space="preserve">V.S. </w:t>
      </w:r>
      <w:r w:rsidR="004C17DE" w:rsidRPr="008C592A">
        <w:t>(</w:t>
      </w:r>
      <w:r w:rsidRPr="008C592A">
        <w:t xml:space="preserve">represented by counsel, </w:t>
      </w:r>
      <w:r w:rsidR="00204E6C" w:rsidRPr="008C592A">
        <w:t>Vanda Durbakova</w:t>
      </w:r>
      <w:r w:rsidR="004C17DE" w:rsidRPr="008C592A">
        <w:t xml:space="preserve">) </w:t>
      </w:r>
    </w:p>
    <w:p w14:paraId="1E540D34" w14:textId="77777777" w:rsidR="00061EEF" w:rsidRPr="008C592A" w:rsidRDefault="00061EEF">
      <w:pPr>
        <w:spacing w:after="120"/>
        <w:ind w:left="4536" w:right="1134" w:hanging="3402"/>
        <w:rPr>
          <w:i/>
        </w:rPr>
      </w:pPr>
      <w:r w:rsidRPr="008C592A">
        <w:rPr>
          <w:i/>
        </w:rPr>
        <w:t>Alleged victim</w:t>
      </w:r>
      <w:r w:rsidRPr="008C592A">
        <w:t>:</w:t>
      </w:r>
      <w:r w:rsidRPr="008C592A">
        <w:tab/>
        <w:t>The petitioner</w:t>
      </w:r>
    </w:p>
    <w:p w14:paraId="198B527E" w14:textId="77777777" w:rsidR="00061EEF" w:rsidRPr="008C592A" w:rsidRDefault="00061EEF" w:rsidP="00342F9B">
      <w:pPr>
        <w:spacing w:after="120"/>
        <w:ind w:left="4536" w:right="1134" w:hanging="3402"/>
        <w:rPr>
          <w:i/>
        </w:rPr>
      </w:pPr>
      <w:r w:rsidRPr="008C592A">
        <w:rPr>
          <w:i/>
        </w:rPr>
        <w:t xml:space="preserve">State </w:t>
      </w:r>
      <w:r w:rsidR="00C250EA">
        <w:rPr>
          <w:i/>
        </w:rPr>
        <w:t>p</w:t>
      </w:r>
      <w:r w:rsidRPr="008C592A">
        <w:rPr>
          <w:i/>
        </w:rPr>
        <w:t>arty</w:t>
      </w:r>
      <w:r w:rsidRPr="008C592A">
        <w:t>:</w:t>
      </w:r>
      <w:r w:rsidRPr="008C592A">
        <w:tab/>
      </w:r>
      <w:r w:rsidR="00204E6C" w:rsidRPr="008C592A">
        <w:t>Slovak</w:t>
      </w:r>
      <w:r w:rsidR="00187092">
        <w:t>ia</w:t>
      </w:r>
    </w:p>
    <w:p w14:paraId="10E87402" w14:textId="77777777" w:rsidR="00061EEF" w:rsidRPr="008C592A" w:rsidRDefault="00061EEF">
      <w:pPr>
        <w:spacing w:after="120"/>
        <w:ind w:left="4536" w:right="1134" w:hanging="3402"/>
        <w:rPr>
          <w:i/>
        </w:rPr>
      </w:pPr>
      <w:r w:rsidRPr="008C592A">
        <w:rPr>
          <w:i/>
        </w:rPr>
        <w:t>Date of the communication</w:t>
      </w:r>
      <w:r w:rsidRPr="008C592A">
        <w:t>:</w:t>
      </w:r>
      <w:r w:rsidRPr="008C592A">
        <w:tab/>
      </w:r>
      <w:r w:rsidR="00204E6C" w:rsidRPr="008C592A">
        <w:t xml:space="preserve">30 April </w:t>
      </w:r>
      <w:r w:rsidR="003B6619" w:rsidRPr="008C592A">
        <w:t>201</w:t>
      </w:r>
      <w:r w:rsidR="00204E6C" w:rsidRPr="008C592A">
        <w:t>4</w:t>
      </w:r>
      <w:r w:rsidRPr="008C592A">
        <w:t xml:space="preserve"> (initial submission)</w:t>
      </w:r>
    </w:p>
    <w:p w14:paraId="40B72819" w14:textId="77777777" w:rsidR="0000279B" w:rsidRDefault="00061EEF">
      <w:pPr>
        <w:spacing w:after="120"/>
        <w:ind w:left="4536" w:right="1134" w:hanging="3402"/>
      </w:pPr>
      <w:r w:rsidRPr="008C592A">
        <w:rPr>
          <w:i/>
        </w:rPr>
        <w:t>Date of the present decision</w:t>
      </w:r>
      <w:r w:rsidR="00297D99">
        <w:rPr>
          <w:i/>
        </w:rPr>
        <w:t>:</w:t>
      </w:r>
      <w:r w:rsidRPr="008C592A">
        <w:t xml:space="preserve"> </w:t>
      </w:r>
      <w:r w:rsidRPr="008C592A">
        <w:tab/>
      </w:r>
      <w:r w:rsidR="00C51E3F">
        <w:t>4</w:t>
      </w:r>
      <w:r w:rsidR="0000279B">
        <w:t xml:space="preserve"> </w:t>
      </w:r>
      <w:r w:rsidR="00204E6C" w:rsidRPr="008C592A">
        <w:t xml:space="preserve">December </w:t>
      </w:r>
      <w:r w:rsidRPr="008C592A">
        <w:t>201</w:t>
      </w:r>
      <w:r w:rsidR="004C17DE" w:rsidRPr="008C592A">
        <w:t>5</w:t>
      </w:r>
    </w:p>
    <w:p w14:paraId="4D8A29D6" w14:textId="77777777" w:rsidR="00123AD1" w:rsidRPr="009F7392" w:rsidRDefault="00123AD1">
      <w:pPr>
        <w:spacing w:after="120"/>
        <w:ind w:left="4536" w:right="1134" w:hanging="3402"/>
      </w:pPr>
      <w:r w:rsidRPr="008C592A">
        <w:rPr>
          <w:i/>
          <w:iCs/>
        </w:rPr>
        <w:t>Subject matter</w:t>
      </w:r>
      <w:r w:rsidRPr="00F14B7D">
        <w:rPr>
          <w:i/>
          <w:iCs/>
        </w:rPr>
        <w:t>:</w:t>
      </w:r>
      <w:r w:rsidRPr="00F14B7D">
        <w:rPr>
          <w:i/>
          <w:iCs/>
        </w:rPr>
        <w:tab/>
      </w:r>
      <w:r w:rsidR="00204E6C" w:rsidRPr="00A646FD">
        <w:t>Discrimination in access to employment</w:t>
      </w:r>
      <w:r w:rsidR="00067999" w:rsidRPr="00A646FD">
        <w:t>;</w:t>
      </w:r>
      <w:r w:rsidR="00204E6C" w:rsidRPr="00A646FD">
        <w:t xml:space="preserve"> </w:t>
      </w:r>
      <w:r w:rsidR="00C938CF" w:rsidRPr="00A646FD">
        <w:t xml:space="preserve">effective </w:t>
      </w:r>
      <w:r w:rsidR="00067999" w:rsidRPr="00A646FD">
        <w:t>protection</w:t>
      </w:r>
      <w:r w:rsidR="00C938CF" w:rsidRPr="00A646FD">
        <w:t xml:space="preserve"> and remedy</w:t>
      </w:r>
      <w:r w:rsidR="00067999" w:rsidRPr="00A646FD">
        <w:t xml:space="preserve"> against </w:t>
      </w:r>
      <w:r w:rsidR="00C938CF" w:rsidRPr="00A646FD">
        <w:t xml:space="preserve">any act of </w:t>
      </w:r>
      <w:r w:rsidR="00067999" w:rsidRPr="00A646FD">
        <w:t xml:space="preserve">racial discrimination; </w:t>
      </w:r>
      <w:r w:rsidR="00C938CF" w:rsidRPr="00A646FD">
        <w:t xml:space="preserve">adequate </w:t>
      </w:r>
      <w:r w:rsidR="00067999" w:rsidRPr="00A646FD">
        <w:t>reparation or satisfaction for any damage suffered as a result of racial discrimination</w:t>
      </w:r>
      <w:r w:rsidR="001B6CD6">
        <w:t xml:space="preserve"> and obligation of the State party to act against racial discrimination</w:t>
      </w:r>
      <w:r w:rsidR="00067999">
        <w:rPr>
          <w:iCs/>
        </w:rPr>
        <w:t xml:space="preserve"> </w:t>
      </w:r>
    </w:p>
    <w:p w14:paraId="4873E004" w14:textId="77777777" w:rsidR="00123AD1" w:rsidRPr="00F14B7D" w:rsidRDefault="00123AD1" w:rsidP="00DF71DE">
      <w:pPr>
        <w:pStyle w:val="SingleTxtG"/>
        <w:ind w:left="4536" w:hanging="3402"/>
        <w:jc w:val="left"/>
      </w:pPr>
      <w:r w:rsidRPr="008E23E4">
        <w:rPr>
          <w:i/>
          <w:iCs/>
        </w:rPr>
        <w:t>Substantive issue</w:t>
      </w:r>
      <w:r w:rsidR="00C250EA">
        <w:rPr>
          <w:i/>
          <w:iCs/>
        </w:rPr>
        <w:t>s</w:t>
      </w:r>
      <w:r w:rsidRPr="008E23E4">
        <w:rPr>
          <w:i/>
          <w:iCs/>
        </w:rPr>
        <w:t xml:space="preserve">: </w:t>
      </w:r>
      <w:r w:rsidRPr="008E23E4">
        <w:rPr>
          <w:i/>
          <w:iCs/>
        </w:rPr>
        <w:tab/>
      </w:r>
      <w:r w:rsidR="00204E6C" w:rsidRPr="009A2945">
        <w:rPr>
          <w:iCs/>
        </w:rPr>
        <w:t>D</w:t>
      </w:r>
      <w:r w:rsidR="00D858F6" w:rsidRPr="002B0F89">
        <w:rPr>
          <w:iCs/>
        </w:rPr>
        <w:t xml:space="preserve">iscrimination on the ground of </w:t>
      </w:r>
      <w:r w:rsidR="00204E6C" w:rsidRPr="0004717D">
        <w:rPr>
          <w:iCs/>
        </w:rPr>
        <w:t>national or ethnic origin</w:t>
      </w:r>
      <w:r w:rsidR="00204E6C" w:rsidRPr="00876365">
        <w:rPr>
          <w:i/>
          <w:iCs/>
        </w:rPr>
        <w:t xml:space="preserve"> </w:t>
      </w:r>
    </w:p>
    <w:p w14:paraId="2065DB29" w14:textId="77777777" w:rsidR="00123AD1" w:rsidRPr="002B0F89" w:rsidRDefault="00123AD1" w:rsidP="00DF71DE">
      <w:pPr>
        <w:pStyle w:val="SingleTxtG"/>
        <w:ind w:left="4536" w:hanging="3402"/>
        <w:jc w:val="left"/>
      </w:pPr>
      <w:r w:rsidRPr="009F7392">
        <w:rPr>
          <w:i/>
          <w:iCs/>
        </w:rPr>
        <w:t>Procedural issue</w:t>
      </w:r>
      <w:r w:rsidR="00C250EA">
        <w:rPr>
          <w:i/>
          <w:iCs/>
        </w:rPr>
        <w:t>s</w:t>
      </w:r>
      <w:r w:rsidRPr="009F7392">
        <w:rPr>
          <w:i/>
          <w:iCs/>
        </w:rPr>
        <w:t xml:space="preserve">: </w:t>
      </w:r>
      <w:r w:rsidRPr="009F7392">
        <w:rPr>
          <w:i/>
          <w:iCs/>
        </w:rPr>
        <w:tab/>
      </w:r>
      <w:r w:rsidR="00204E6C" w:rsidRPr="008E23E4">
        <w:rPr>
          <w:iCs/>
        </w:rPr>
        <w:t>Level of subs</w:t>
      </w:r>
      <w:r w:rsidR="00204E6C" w:rsidRPr="009A2945">
        <w:rPr>
          <w:iCs/>
        </w:rPr>
        <w:t>tantiation of claims</w:t>
      </w:r>
    </w:p>
    <w:p w14:paraId="7E958856" w14:textId="77777777" w:rsidR="00123AD1" w:rsidRPr="00FD7CB8" w:rsidRDefault="00123AD1" w:rsidP="00DF71DE">
      <w:pPr>
        <w:pStyle w:val="SingleTxtG"/>
        <w:ind w:left="4536" w:hanging="3402"/>
        <w:jc w:val="left"/>
      </w:pPr>
      <w:r w:rsidRPr="0004717D">
        <w:rPr>
          <w:i/>
          <w:iCs/>
        </w:rPr>
        <w:t>Articles of the Co</w:t>
      </w:r>
      <w:r w:rsidR="00B41E1D" w:rsidRPr="00876365">
        <w:rPr>
          <w:i/>
          <w:iCs/>
        </w:rPr>
        <w:t>nvention</w:t>
      </w:r>
      <w:r w:rsidR="00B41E1D" w:rsidRPr="00876365">
        <w:rPr>
          <w:i/>
          <w:iCs/>
        </w:rPr>
        <w:tab/>
      </w:r>
      <w:r w:rsidR="00B41E1D" w:rsidRPr="001F7FBC">
        <w:rPr>
          <w:iCs/>
        </w:rPr>
        <w:t>2, 5 and 6</w:t>
      </w:r>
      <w:r w:rsidRPr="00FD7CB8">
        <w:t xml:space="preserve"> </w:t>
      </w:r>
    </w:p>
    <w:p w14:paraId="499C4048" w14:textId="77777777" w:rsidR="00061EEF" w:rsidRPr="00397443" w:rsidRDefault="00061EEF" w:rsidP="00061EEF">
      <w:pPr>
        <w:pStyle w:val="HChG"/>
        <w:pageBreakBefore/>
      </w:pPr>
      <w:r w:rsidRPr="00397443">
        <w:lastRenderedPageBreak/>
        <w:t>Annex</w:t>
      </w:r>
    </w:p>
    <w:p w14:paraId="0A5AD982" w14:textId="77777777" w:rsidR="00061EEF" w:rsidRPr="00397443" w:rsidRDefault="00061EEF" w:rsidP="00397443">
      <w:pPr>
        <w:pStyle w:val="HChG"/>
      </w:pPr>
      <w:r w:rsidRPr="00397443">
        <w:tab/>
      </w:r>
      <w:r w:rsidRPr="00397443">
        <w:tab/>
      </w:r>
      <w:r w:rsidR="00AC5255" w:rsidRPr="00397443">
        <w:t>O</w:t>
      </w:r>
      <w:r w:rsidRPr="00397443">
        <w:t xml:space="preserve">pinion of the Committee on the Elimination of Racial Discrimination under article 14 of the </w:t>
      </w:r>
      <w:r w:rsidR="00397443">
        <w:rPr>
          <w:lang w:val="en-US"/>
        </w:rPr>
        <w:t>I</w:t>
      </w:r>
      <w:r w:rsidRPr="00397443">
        <w:t>nternational Convention on the Elimination of All Forms of Racial Discrimination</w:t>
      </w:r>
      <w:r w:rsidRPr="00397443">
        <w:rPr>
          <w:b w:val="0"/>
        </w:rPr>
        <w:t xml:space="preserve"> (</w:t>
      </w:r>
      <w:r w:rsidR="005935FA" w:rsidRPr="00397443">
        <w:t>e</w:t>
      </w:r>
      <w:r w:rsidR="004C17DE" w:rsidRPr="00397443">
        <w:t>ighty-</w:t>
      </w:r>
      <w:r w:rsidR="00204E6C" w:rsidRPr="00397443">
        <w:t>eight</w:t>
      </w:r>
      <w:r w:rsidR="00890A73" w:rsidRPr="00397443">
        <w:t>h</w:t>
      </w:r>
      <w:r w:rsidR="00204E6C" w:rsidRPr="00397443">
        <w:t xml:space="preserve"> </w:t>
      </w:r>
      <w:r w:rsidRPr="00397443">
        <w:t>session)</w:t>
      </w:r>
    </w:p>
    <w:p w14:paraId="5A57116A" w14:textId="77777777" w:rsidR="00061EEF" w:rsidRPr="00397443" w:rsidRDefault="00061EEF" w:rsidP="00061EEF">
      <w:pPr>
        <w:pStyle w:val="SingleTxtG"/>
      </w:pPr>
      <w:r w:rsidRPr="00397443">
        <w:t>concerning</w:t>
      </w:r>
    </w:p>
    <w:p w14:paraId="5943EA65" w14:textId="77777777" w:rsidR="00061EEF" w:rsidRPr="00397443" w:rsidRDefault="00061EEF" w:rsidP="00903E31">
      <w:pPr>
        <w:pStyle w:val="H1G"/>
        <w:rPr>
          <w:i/>
        </w:rPr>
      </w:pPr>
      <w:r w:rsidRPr="00397443">
        <w:tab/>
      </w:r>
      <w:r w:rsidRPr="00397443">
        <w:tab/>
        <w:t xml:space="preserve">Communication No. </w:t>
      </w:r>
      <w:r w:rsidR="004C17DE" w:rsidRPr="00397443">
        <w:t>5</w:t>
      </w:r>
      <w:r w:rsidR="00204E6C" w:rsidRPr="00397443">
        <w:t>6</w:t>
      </w:r>
      <w:r w:rsidRPr="00397443">
        <w:t>/201</w:t>
      </w:r>
      <w:r w:rsidR="003B6619" w:rsidRPr="00397443">
        <w:t>4</w:t>
      </w:r>
      <w:r w:rsidR="00903E31" w:rsidRPr="00397443">
        <w:rPr>
          <w:rStyle w:val="FootnoteReference"/>
          <w:b w:val="0"/>
          <w:bCs/>
          <w:sz w:val="20"/>
          <w:vertAlign w:val="baseline"/>
        </w:rPr>
        <w:footnoteReference w:customMarkFollows="1" w:id="2"/>
        <w:t>*</w:t>
      </w:r>
    </w:p>
    <w:p w14:paraId="1D840B32" w14:textId="77777777" w:rsidR="004C17DE" w:rsidRPr="00397443" w:rsidRDefault="004C17DE" w:rsidP="004C17DE">
      <w:pPr>
        <w:spacing w:after="120"/>
        <w:ind w:left="4536" w:right="1134" w:hanging="3402"/>
      </w:pPr>
      <w:r w:rsidRPr="00397443">
        <w:rPr>
          <w:i/>
        </w:rPr>
        <w:t>Submitted by:</w:t>
      </w:r>
      <w:r w:rsidRPr="00397443">
        <w:tab/>
      </w:r>
      <w:r w:rsidR="002078C0" w:rsidRPr="00397443">
        <w:t>V.S. (represented by counsel, Vanda Durbakova)</w:t>
      </w:r>
    </w:p>
    <w:p w14:paraId="6DAE4338" w14:textId="77777777" w:rsidR="004C17DE" w:rsidRPr="00397443" w:rsidRDefault="004C17DE" w:rsidP="004C17DE">
      <w:pPr>
        <w:spacing w:after="120"/>
        <w:ind w:left="4536" w:right="1134" w:hanging="3402"/>
        <w:rPr>
          <w:i/>
        </w:rPr>
      </w:pPr>
      <w:r w:rsidRPr="00397443">
        <w:rPr>
          <w:i/>
        </w:rPr>
        <w:t>Alleged victim</w:t>
      </w:r>
      <w:r w:rsidRPr="00397443">
        <w:t>:</w:t>
      </w:r>
      <w:r w:rsidRPr="00397443">
        <w:tab/>
        <w:t>The petitioner</w:t>
      </w:r>
    </w:p>
    <w:p w14:paraId="5155B52D" w14:textId="77777777" w:rsidR="002078C0" w:rsidRPr="00397443" w:rsidRDefault="004C17DE" w:rsidP="00342F9B">
      <w:pPr>
        <w:spacing w:after="120"/>
        <w:ind w:left="4536" w:right="1134" w:hanging="3402"/>
      </w:pPr>
      <w:r w:rsidRPr="00397443">
        <w:rPr>
          <w:i/>
        </w:rPr>
        <w:t>State Party</w:t>
      </w:r>
      <w:r w:rsidRPr="00397443">
        <w:t>:</w:t>
      </w:r>
      <w:r w:rsidRPr="00397443">
        <w:tab/>
      </w:r>
      <w:r w:rsidR="002078C0" w:rsidRPr="00397443">
        <w:t>Slovak</w:t>
      </w:r>
      <w:r w:rsidR="00187092" w:rsidRPr="00397443">
        <w:t>ia</w:t>
      </w:r>
    </w:p>
    <w:p w14:paraId="601466AC" w14:textId="77777777" w:rsidR="004C17DE" w:rsidRPr="00397443" w:rsidRDefault="004C17DE" w:rsidP="004C17DE">
      <w:pPr>
        <w:spacing w:after="120"/>
        <w:ind w:left="4536" w:right="1134" w:hanging="3402"/>
        <w:rPr>
          <w:i/>
        </w:rPr>
      </w:pPr>
      <w:r w:rsidRPr="00397443">
        <w:rPr>
          <w:i/>
        </w:rPr>
        <w:t>Date of the communication</w:t>
      </w:r>
      <w:r w:rsidRPr="00397443">
        <w:t>:</w:t>
      </w:r>
      <w:r w:rsidRPr="00397443">
        <w:tab/>
      </w:r>
      <w:r w:rsidR="002078C0" w:rsidRPr="00397443">
        <w:t>30 April 2014 (initial submission)</w:t>
      </w:r>
    </w:p>
    <w:p w14:paraId="09B3C0D6" w14:textId="77777777" w:rsidR="00061EEF" w:rsidRPr="00397443" w:rsidRDefault="00061EEF" w:rsidP="00750263">
      <w:pPr>
        <w:pStyle w:val="SingleTxtG"/>
      </w:pPr>
      <w:r w:rsidRPr="00397443">
        <w:tab/>
      </w:r>
      <w:r w:rsidRPr="00397443">
        <w:rPr>
          <w:i/>
        </w:rPr>
        <w:t>The Committee on the Elimination of Racial Discrimination</w:t>
      </w:r>
      <w:r w:rsidRPr="00397443">
        <w:t>, established under article 8 of the International Convention on the Elimination of All Forms of Racial Discrimination,</w:t>
      </w:r>
    </w:p>
    <w:p w14:paraId="4FF977E1" w14:textId="77777777" w:rsidR="00061EEF" w:rsidRPr="00397443" w:rsidRDefault="00061EEF" w:rsidP="00750263">
      <w:pPr>
        <w:pStyle w:val="SingleTxtG"/>
      </w:pPr>
      <w:r w:rsidRPr="00397443">
        <w:tab/>
      </w:r>
      <w:r w:rsidRPr="00397443">
        <w:rPr>
          <w:i/>
        </w:rPr>
        <w:t xml:space="preserve">Meeting </w:t>
      </w:r>
      <w:r w:rsidRPr="00DF71DE">
        <w:rPr>
          <w:iCs/>
        </w:rPr>
        <w:t>on</w:t>
      </w:r>
      <w:r w:rsidRPr="00397443">
        <w:t xml:space="preserve"> </w:t>
      </w:r>
      <w:r w:rsidR="0080307B" w:rsidRPr="00397443">
        <w:t>4</w:t>
      </w:r>
      <w:r w:rsidRPr="00397443">
        <w:t xml:space="preserve"> </w:t>
      </w:r>
      <w:r w:rsidR="002078C0" w:rsidRPr="00397443">
        <w:t xml:space="preserve">December </w:t>
      </w:r>
      <w:r w:rsidRPr="00397443">
        <w:t>201</w:t>
      </w:r>
      <w:r w:rsidR="004C17DE" w:rsidRPr="00397443">
        <w:t>5</w:t>
      </w:r>
      <w:r w:rsidRPr="00397443">
        <w:t>,</w:t>
      </w:r>
    </w:p>
    <w:p w14:paraId="3078DE09" w14:textId="77777777" w:rsidR="002078C0" w:rsidRPr="00397443" w:rsidRDefault="00061EEF" w:rsidP="00397443">
      <w:pPr>
        <w:pStyle w:val="SingleTxtG"/>
      </w:pPr>
      <w:r w:rsidRPr="00397443">
        <w:tab/>
      </w:r>
      <w:r w:rsidRPr="00397443">
        <w:rPr>
          <w:i/>
          <w:iCs/>
        </w:rPr>
        <w:t>Having concluded</w:t>
      </w:r>
      <w:r w:rsidRPr="00397443">
        <w:t xml:space="preserve"> its consideration of communication No.</w:t>
      </w:r>
      <w:r w:rsidR="00A01DCF" w:rsidRPr="00397443">
        <w:t xml:space="preserve"> </w:t>
      </w:r>
      <w:r w:rsidR="001B0E9B" w:rsidRPr="00397443">
        <w:t>5</w:t>
      </w:r>
      <w:r w:rsidR="002078C0" w:rsidRPr="00397443">
        <w:t>6</w:t>
      </w:r>
      <w:r w:rsidR="004C17DE" w:rsidRPr="00397443">
        <w:t>/201</w:t>
      </w:r>
      <w:r w:rsidR="001B0E9B" w:rsidRPr="00397443">
        <w:t>4</w:t>
      </w:r>
      <w:r w:rsidRPr="00397443">
        <w:t xml:space="preserve">, submitted to </w:t>
      </w:r>
      <w:r w:rsidR="00397443">
        <w:t>it</w:t>
      </w:r>
      <w:r w:rsidRPr="00397443">
        <w:t xml:space="preserve"> </w:t>
      </w:r>
      <w:r w:rsidR="002078C0" w:rsidRPr="00397443">
        <w:t xml:space="preserve">on behalf of V.S. </w:t>
      </w:r>
      <w:r w:rsidRPr="00397443">
        <w:t xml:space="preserve">under article 14 of the International Convention on the Elimination of All </w:t>
      </w:r>
      <w:r w:rsidR="002078C0" w:rsidRPr="00397443">
        <w:t>Forms of Racial Discrimination,</w:t>
      </w:r>
    </w:p>
    <w:p w14:paraId="27EADD4E" w14:textId="77777777" w:rsidR="00061EEF" w:rsidRPr="00397443" w:rsidRDefault="002078C0" w:rsidP="00C250EA">
      <w:pPr>
        <w:pStyle w:val="SingleTxtG"/>
      </w:pPr>
      <w:r w:rsidRPr="00397443">
        <w:rPr>
          <w:i/>
          <w:iCs/>
        </w:rPr>
        <w:tab/>
      </w:r>
      <w:r w:rsidR="00061EEF" w:rsidRPr="00397443">
        <w:rPr>
          <w:i/>
          <w:iCs/>
        </w:rPr>
        <w:t>Having taken into account</w:t>
      </w:r>
      <w:r w:rsidR="00061EEF" w:rsidRPr="00397443">
        <w:t xml:space="preserve"> all information made available to it by the petitioner, </w:t>
      </w:r>
      <w:r w:rsidR="001B0E9B" w:rsidRPr="00397443">
        <w:t>h</w:t>
      </w:r>
      <w:r w:rsidRPr="00397443">
        <w:t xml:space="preserve">er </w:t>
      </w:r>
      <w:r w:rsidR="00061EEF" w:rsidRPr="00397443">
        <w:t>counsel and the State party,</w:t>
      </w:r>
    </w:p>
    <w:p w14:paraId="7838D199" w14:textId="77777777" w:rsidR="00061EEF" w:rsidRPr="00BC6ED7" w:rsidRDefault="00061EEF" w:rsidP="00750263">
      <w:pPr>
        <w:pStyle w:val="SingleTxtG"/>
      </w:pPr>
      <w:r w:rsidRPr="00397443">
        <w:tab/>
      </w:r>
      <w:r w:rsidRPr="00397443">
        <w:rPr>
          <w:i/>
        </w:rPr>
        <w:t xml:space="preserve">Adopts </w:t>
      </w:r>
      <w:r w:rsidRPr="00DF71DE">
        <w:rPr>
          <w:iCs/>
        </w:rPr>
        <w:t>the following:</w:t>
      </w:r>
    </w:p>
    <w:p w14:paraId="36CDD9BC" w14:textId="77777777" w:rsidR="00061EEF" w:rsidRPr="00BC6ED7" w:rsidRDefault="00061EEF" w:rsidP="00C250EA">
      <w:pPr>
        <w:pStyle w:val="H1G"/>
      </w:pPr>
      <w:r w:rsidRPr="00BC6ED7">
        <w:tab/>
      </w:r>
      <w:r w:rsidRPr="00BC6ED7">
        <w:tab/>
      </w:r>
      <w:r w:rsidR="00AC5255">
        <w:t>O</w:t>
      </w:r>
      <w:r w:rsidRPr="00BC6ED7">
        <w:t>pinion</w:t>
      </w:r>
    </w:p>
    <w:p w14:paraId="1226E494" w14:textId="77777777" w:rsidR="007C7448" w:rsidRPr="000672EC" w:rsidRDefault="00DD684D" w:rsidP="00342F9B">
      <w:pPr>
        <w:pStyle w:val="SingleTxtG"/>
        <w:numPr>
          <w:ilvl w:val="0"/>
          <w:numId w:val="12"/>
        </w:numPr>
        <w:ind w:left="1134" w:firstLine="0"/>
      </w:pPr>
      <w:r w:rsidRPr="00BC6ED7">
        <w:t xml:space="preserve">The </w:t>
      </w:r>
      <w:r w:rsidR="008D686F" w:rsidRPr="00BC6ED7">
        <w:t xml:space="preserve">petitioner </w:t>
      </w:r>
      <w:r w:rsidR="004C17DE" w:rsidRPr="00BC6ED7">
        <w:t xml:space="preserve">is </w:t>
      </w:r>
      <w:r w:rsidR="007C7448" w:rsidRPr="00BC6ED7">
        <w:t>V.S.</w:t>
      </w:r>
      <w:r w:rsidR="00DA244B" w:rsidRPr="00BC6ED7">
        <w:t xml:space="preserve">, a national of </w:t>
      </w:r>
      <w:r w:rsidR="007C7448" w:rsidRPr="00BC6ED7">
        <w:t>Slovak</w:t>
      </w:r>
      <w:r w:rsidR="00187092">
        <w:t>ia</w:t>
      </w:r>
      <w:r w:rsidR="007C7448" w:rsidRPr="00BC6ED7">
        <w:t xml:space="preserve"> of Roma origin born in 1983</w:t>
      </w:r>
      <w:r w:rsidR="0000279B">
        <w:t>.</w:t>
      </w:r>
      <w:r w:rsidRPr="009F7392">
        <w:t xml:space="preserve"> </w:t>
      </w:r>
      <w:r w:rsidR="007C7448" w:rsidRPr="008E23E4">
        <w:t>She claims to be victim of a violation by Slovak</w:t>
      </w:r>
      <w:r w:rsidR="00187092">
        <w:t>ia</w:t>
      </w:r>
      <w:r w:rsidR="007C7448" w:rsidRPr="006469B8">
        <w:rPr>
          <w:rStyle w:val="FootnoteReference"/>
        </w:rPr>
        <w:footnoteReference w:id="3"/>
      </w:r>
      <w:r w:rsidR="007C7448" w:rsidRPr="009F7392">
        <w:t xml:space="preserve"> of article 2</w:t>
      </w:r>
      <w:r w:rsidR="00AD597B">
        <w:t xml:space="preserve"> (</w:t>
      </w:r>
      <w:r w:rsidR="007C7448" w:rsidRPr="009F7392">
        <w:t>1</w:t>
      </w:r>
      <w:r w:rsidR="00AD597B">
        <w:t>)</w:t>
      </w:r>
      <w:r w:rsidR="007C7448" w:rsidRPr="009F7392">
        <w:t xml:space="preserve"> (a)</w:t>
      </w:r>
      <w:r w:rsidR="00B20B96">
        <w:t xml:space="preserve"> and</w:t>
      </w:r>
      <w:r w:rsidR="007C7448" w:rsidRPr="008E23E4">
        <w:t xml:space="preserve"> (c)</w:t>
      </w:r>
      <w:r w:rsidR="00B20B96">
        <w:t>-</w:t>
      </w:r>
      <w:r w:rsidR="007C7448" w:rsidRPr="008E23E4">
        <w:t xml:space="preserve">(e) and </w:t>
      </w:r>
      <w:r w:rsidR="009A26D8">
        <w:t>(</w:t>
      </w:r>
      <w:r w:rsidR="007C7448" w:rsidRPr="008E23E4">
        <w:t>2</w:t>
      </w:r>
      <w:r w:rsidR="009A26D8">
        <w:t>)</w:t>
      </w:r>
      <w:r w:rsidR="007C7448" w:rsidRPr="008E23E4">
        <w:t xml:space="preserve">, read in conjunction with articles 5 </w:t>
      </w:r>
      <w:r w:rsidR="0000149B" w:rsidRPr="009A2945">
        <w:t>(</w:t>
      </w:r>
      <w:r w:rsidR="007C7448" w:rsidRPr="002B0F89">
        <w:t>e) (i) and 6 of the Convention</w:t>
      </w:r>
      <w:r w:rsidR="007C7448" w:rsidRPr="00876365">
        <w:t>. She is represented by counsel, Vanda Durbakova</w:t>
      </w:r>
      <w:r w:rsidR="007C7448" w:rsidRPr="00AF0A92">
        <w:t xml:space="preserve">. </w:t>
      </w:r>
    </w:p>
    <w:p w14:paraId="791BCF17" w14:textId="77777777" w:rsidR="00061EEF" w:rsidRPr="00BC6ED7" w:rsidRDefault="00061EEF" w:rsidP="00061EEF">
      <w:pPr>
        <w:pStyle w:val="H23G"/>
      </w:pPr>
      <w:r w:rsidRPr="000672EC">
        <w:tab/>
      </w:r>
      <w:r w:rsidRPr="000672EC">
        <w:tab/>
      </w:r>
      <w:r w:rsidR="00133434" w:rsidRPr="00F14B7D">
        <w:t>The f</w:t>
      </w:r>
      <w:r w:rsidRPr="008C592A">
        <w:t>act</w:t>
      </w:r>
      <w:r w:rsidR="008D686F" w:rsidRPr="008C592A">
        <w:t>s as submitted by the petitioner</w:t>
      </w:r>
    </w:p>
    <w:p w14:paraId="3AE49094" w14:textId="77777777" w:rsidR="00A54283" w:rsidRPr="00124500" w:rsidRDefault="0000279B" w:rsidP="00C250EA">
      <w:pPr>
        <w:pStyle w:val="SingleTxtG"/>
        <w:rPr>
          <w:rStyle w:val="SingleTxtGChar"/>
        </w:rPr>
      </w:pPr>
      <w:r>
        <w:rPr>
          <w:rFonts w:cs="Calibri"/>
          <w:lang w:eastAsia="fr-FR"/>
        </w:rPr>
        <w:t>2.1</w:t>
      </w:r>
      <w:r w:rsidR="00A54283" w:rsidRPr="00124500">
        <w:rPr>
          <w:rStyle w:val="SingleTxtGChar"/>
        </w:rPr>
        <w:tab/>
        <w:t xml:space="preserve">The </w:t>
      </w:r>
      <w:r w:rsidR="001D2CE5">
        <w:rPr>
          <w:rStyle w:val="SingleTxtGChar"/>
        </w:rPr>
        <w:t>p</w:t>
      </w:r>
      <w:r w:rsidR="00A54283" w:rsidRPr="00124500">
        <w:rPr>
          <w:rStyle w:val="SingleTxtGChar"/>
        </w:rPr>
        <w:t xml:space="preserve">etitioner graduated </w:t>
      </w:r>
      <w:r w:rsidR="002070ED" w:rsidRPr="00124500">
        <w:rPr>
          <w:rStyle w:val="SingleTxtGChar"/>
        </w:rPr>
        <w:t xml:space="preserve">from the </w:t>
      </w:r>
      <w:r w:rsidR="002070ED" w:rsidRPr="00C250EA">
        <w:rPr>
          <w:rStyle w:val="SingleTxtGChar"/>
        </w:rPr>
        <w:t xml:space="preserve">University </w:t>
      </w:r>
      <w:r w:rsidR="00C250EA">
        <w:rPr>
          <w:rStyle w:val="SingleTxtGChar"/>
        </w:rPr>
        <w:t>of</w:t>
      </w:r>
      <w:r w:rsidR="00C250EA" w:rsidRPr="00C250EA">
        <w:rPr>
          <w:rStyle w:val="SingleTxtGChar"/>
        </w:rPr>
        <w:t xml:space="preserve"> </w:t>
      </w:r>
      <w:r w:rsidR="002070ED" w:rsidRPr="00C250EA">
        <w:rPr>
          <w:rStyle w:val="SingleTxtGChar"/>
        </w:rPr>
        <w:t>Prešov</w:t>
      </w:r>
      <w:r w:rsidR="002070ED" w:rsidRPr="00124500">
        <w:rPr>
          <w:rStyle w:val="SingleTxtGChar"/>
        </w:rPr>
        <w:t xml:space="preserve"> </w:t>
      </w:r>
      <w:r w:rsidR="00A54283" w:rsidRPr="00124500">
        <w:rPr>
          <w:rStyle w:val="SingleTxtGChar"/>
        </w:rPr>
        <w:t xml:space="preserve">in 2006 as a general and history teacher. </w:t>
      </w:r>
      <w:r w:rsidR="00BC6ED7" w:rsidRPr="00124500">
        <w:rPr>
          <w:rStyle w:val="SingleTxtGChar"/>
        </w:rPr>
        <w:t xml:space="preserve">During her studies, she </w:t>
      </w:r>
      <w:r w:rsidR="00A23225">
        <w:rPr>
          <w:rStyle w:val="SingleTxtGChar"/>
        </w:rPr>
        <w:t>worked</w:t>
      </w:r>
      <w:r w:rsidR="00BC6ED7" w:rsidRPr="00124500">
        <w:rPr>
          <w:rStyle w:val="SingleTxtGChar"/>
        </w:rPr>
        <w:t xml:space="preserve"> as a teaching assistant and governess </w:t>
      </w:r>
      <w:r w:rsidR="008B1298" w:rsidRPr="00124500">
        <w:rPr>
          <w:rStyle w:val="SingleTxtGChar"/>
        </w:rPr>
        <w:t>in</w:t>
      </w:r>
      <w:r w:rsidR="00BC6ED7" w:rsidRPr="00124500">
        <w:rPr>
          <w:rStyle w:val="SingleTxtGChar"/>
        </w:rPr>
        <w:t xml:space="preserve"> </w:t>
      </w:r>
      <w:r w:rsidR="00BC6ED7" w:rsidRPr="00124500">
        <w:rPr>
          <w:rStyle w:val="SingleTxtGChar"/>
        </w:rPr>
        <w:lastRenderedPageBreak/>
        <w:t xml:space="preserve">local elementary schools. </w:t>
      </w:r>
      <w:r w:rsidR="00A54283" w:rsidRPr="00124500">
        <w:rPr>
          <w:rStyle w:val="SingleTxtGChar"/>
        </w:rPr>
        <w:t xml:space="preserve">Since 2007, she has been unsuccessfully looking for a position in one of the elementary schools in </w:t>
      </w:r>
      <w:r w:rsidR="002D741C" w:rsidRPr="00124500">
        <w:rPr>
          <w:rStyle w:val="SingleTxtGChar"/>
        </w:rPr>
        <w:t xml:space="preserve">the </w:t>
      </w:r>
      <w:r w:rsidR="00A54283" w:rsidRPr="00124500">
        <w:rPr>
          <w:rStyle w:val="SingleTxtGChar"/>
        </w:rPr>
        <w:t>region</w:t>
      </w:r>
      <w:r w:rsidR="002D741C" w:rsidRPr="00124500">
        <w:rPr>
          <w:rStyle w:val="SingleTxtGChar"/>
        </w:rPr>
        <w:t xml:space="preserve"> where she lives</w:t>
      </w:r>
      <w:r w:rsidR="00A54283" w:rsidRPr="00124500">
        <w:rPr>
          <w:rStyle w:val="SingleTxtGChar"/>
        </w:rPr>
        <w:t xml:space="preserve">. </w:t>
      </w:r>
    </w:p>
    <w:p w14:paraId="6D8B54E8" w14:textId="77777777" w:rsidR="00A54283" w:rsidRPr="00124500" w:rsidRDefault="00A54283" w:rsidP="00C30A18">
      <w:pPr>
        <w:pStyle w:val="SingleTxtG"/>
        <w:rPr>
          <w:rStyle w:val="SingleTxtGChar"/>
        </w:rPr>
      </w:pPr>
      <w:r w:rsidRPr="00BC6ED7">
        <w:rPr>
          <w:rFonts w:cs="Calibri"/>
          <w:lang w:eastAsia="fr-FR"/>
        </w:rPr>
        <w:t>2.2</w:t>
      </w:r>
      <w:r w:rsidRPr="00BC6ED7">
        <w:rPr>
          <w:rFonts w:cs="Calibri"/>
          <w:lang w:eastAsia="fr-FR"/>
        </w:rPr>
        <w:tab/>
      </w:r>
      <w:r w:rsidRPr="00124500">
        <w:rPr>
          <w:rStyle w:val="SingleTxtGChar"/>
        </w:rPr>
        <w:t xml:space="preserve">On 18 June 2009, the </w:t>
      </w:r>
      <w:r w:rsidR="001D2CE5">
        <w:rPr>
          <w:rStyle w:val="SingleTxtGChar"/>
        </w:rPr>
        <w:t>p</w:t>
      </w:r>
      <w:r w:rsidRPr="00124500">
        <w:rPr>
          <w:rStyle w:val="SingleTxtGChar"/>
        </w:rPr>
        <w:t xml:space="preserve">etitioner </w:t>
      </w:r>
      <w:r w:rsidR="0000149B" w:rsidRPr="00124500">
        <w:rPr>
          <w:rStyle w:val="SingleTxtGChar"/>
        </w:rPr>
        <w:t>made a sp</w:t>
      </w:r>
      <w:r w:rsidR="00BC6ED7" w:rsidRPr="00124500">
        <w:rPr>
          <w:rStyle w:val="SingleTxtGChar"/>
        </w:rPr>
        <w:t>ontaneous</w:t>
      </w:r>
      <w:r w:rsidR="0000149B" w:rsidRPr="00124500">
        <w:rPr>
          <w:rStyle w:val="SingleTxtGChar"/>
        </w:rPr>
        <w:t xml:space="preserve"> application</w:t>
      </w:r>
      <w:r w:rsidRPr="006469B8">
        <w:rPr>
          <w:rStyle w:val="FootnoteReference"/>
        </w:rPr>
        <w:footnoteReference w:id="4"/>
      </w:r>
      <w:r w:rsidRPr="008E4FB2">
        <w:rPr>
          <w:rStyle w:val="FootnoteReference"/>
        </w:rPr>
        <w:t xml:space="preserve"> </w:t>
      </w:r>
      <w:r w:rsidRPr="00124500">
        <w:rPr>
          <w:rStyle w:val="SingleTxtGChar"/>
        </w:rPr>
        <w:t>for a post of history</w:t>
      </w:r>
      <w:r w:rsidR="000A36FA" w:rsidRPr="00124500">
        <w:rPr>
          <w:rStyle w:val="SingleTxtGChar"/>
        </w:rPr>
        <w:t xml:space="preserve"> </w:t>
      </w:r>
      <w:r w:rsidR="009D1325">
        <w:rPr>
          <w:rStyle w:val="SingleTxtGChar"/>
        </w:rPr>
        <w:t>an</w:t>
      </w:r>
      <w:r w:rsidR="00663ECA">
        <w:rPr>
          <w:rStyle w:val="SingleTxtGChar"/>
        </w:rPr>
        <w:t>d</w:t>
      </w:r>
      <w:r w:rsidR="000A36FA" w:rsidRPr="00124500">
        <w:rPr>
          <w:rStyle w:val="SingleTxtGChar"/>
        </w:rPr>
        <w:t xml:space="preserve"> </w:t>
      </w:r>
      <w:r w:rsidR="00663ECA" w:rsidRPr="00124500">
        <w:rPr>
          <w:rStyle w:val="SingleTxtGChar"/>
        </w:rPr>
        <w:t>education</w:t>
      </w:r>
      <w:r w:rsidRPr="00124500">
        <w:rPr>
          <w:rStyle w:val="SingleTxtGChar"/>
        </w:rPr>
        <w:t xml:space="preserve"> teacher at the </w:t>
      </w:r>
      <w:r w:rsidR="00663ECA" w:rsidRPr="00C250EA">
        <w:rPr>
          <w:rStyle w:val="SingleTxtGChar"/>
        </w:rPr>
        <w:t>I.B. Zoch E</w:t>
      </w:r>
      <w:r w:rsidRPr="00C250EA">
        <w:rPr>
          <w:rStyle w:val="SingleTxtGChar"/>
        </w:rPr>
        <w:t xml:space="preserve">lementary </w:t>
      </w:r>
      <w:r w:rsidR="00663ECA" w:rsidRPr="00C250EA">
        <w:rPr>
          <w:rStyle w:val="SingleTxtGChar"/>
        </w:rPr>
        <w:t>S</w:t>
      </w:r>
      <w:r w:rsidRPr="00C250EA">
        <w:rPr>
          <w:rStyle w:val="SingleTxtGChar"/>
        </w:rPr>
        <w:t>chool in Rev</w:t>
      </w:r>
      <w:r w:rsidR="0097419C" w:rsidRPr="00C250EA">
        <w:rPr>
          <w:rStyle w:val="SingleTxtGChar"/>
        </w:rPr>
        <w:t>ú</w:t>
      </w:r>
      <w:r w:rsidRPr="00C250EA">
        <w:rPr>
          <w:rStyle w:val="SingleTxtGChar"/>
        </w:rPr>
        <w:t>ca</w:t>
      </w:r>
      <w:r w:rsidRPr="00124500">
        <w:rPr>
          <w:rStyle w:val="SingleTxtGChar"/>
        </w:rPr>
        <w:t>, stating that if such position was not available, she was willing to accept a position of teaching assistant. The petitioner alleges that</w:t>
      </w:r>
      <w:r w:rsidR="00B20B96">
        <w:rPr>
          <w:rStyle w:val="SingleTxtGChar"/>
        </w:rPr>
        <w:t>,</w:t>
      </w:r>
      <w:r w:rsidRPr="00124500">
        <w:rPr>
          <w:rStyle w:val="SingleTxtGChar"/>
        </w:rPr>
        <w:t xml:space="preserve"> on the day that she submitted her application</w:t>
      </w:r>
      <w:r w:rsidR="0000149B" w:rsidRPr="00124500">
        <w:rPr>
          <w:rStyle w:val="SingleTxtGChar"/>
        </w:rPr>
        <w:t xml:space="preserve"> in person</w:t>
      </w:r>
      <w:r w:rsidRPr="00124500">
        <w:rPr>
          <w:rStyle w:val="SingleTxtGChar"/>
        </w:rPr>
        <w:t>, she met with the school</w:t>
      </w:r>
      <w:r w:rsidR="00B755F0">
        <w:rPr>
          <w:rStyle w:val="SingleTxtGChar"/>
        </w:rPr>
        <w:t>’s</w:t>
      </w:r>
      <w:r w:rsidRPr="00124500">
        <w:rPr>
          <w:rStyle w:val="SingleTxtGChar"/>
        </w:rPr>
        <w:t xml:space="preserve"> head teacher</w:t>
      </w:r>
      <w:r w:rsidR="00B755F0">
        <w:rPr>
          <w:rStyle w:val="SingleTxtGChar"/>
        </w:rPr>
        <w:t>,</w:t>
      </w:r>
      <w:r w:rsidRPr="00124500">
        <w:rPr>
          <w:rStyle w:val="SingleTxtGChar"/>
        </w:rPr>
        <w:t xml:space="preserve"> who told her that</w:t>
      </w:r>
      <w:r w:rsidR="00B755F0">
        <w:rPr>
          <w:rStyle w:val="SingleTxtGChar"/>
        </w:rPr>
        <w:t>,</w:t>
      </w:r>
      <w:r w:rsidRPr="00124500">
        <w:rPr>
          <w:rStyle w:val="SingleTxtGChar"/>
        </w:rPr>
        <w:t xml:space="preserve"> instead of looking for a job, she should have children like the other women of Roma origin. He allegedly added that</w:t>
      </w:r>
      <w:r w:rsidR="00B755F0">
        <w:rPr>
          <w:rStyle w:val="SingleTxtGChar"/>
        </w:rPr>
        <w:t>,</w:t>
      </w:r>
      <w:r w:rsidRPr="00124500">
        <w:rPr>
          <w:rStyle w:val="SingleTxtGChar"/>
        </w:rPr>
        <w:t xml:space="preserve"> as a Roma woman, she </w:t>
      </w:r>
      <w:r w:rsidR="00B755F0">
        <w:rPr>
          <w:rStyle w:val="SingleTxtGChar"/>
        </w:rPr>
        <w:t>would</w:t>
      </w:r>
      <w:r w:rsidR="00B755F0" w:rsidRPr="00124500">
        <w:rPr>
          <w:rStyle w:val="SingleTxtGChar"/>
        </w:rPr>
        <w:t xml:space="preserve"> </w:t>
      </w:r>
      <w:r w:rsidRPr="00124500">
        <w:rPr>
          <w:rStyle w:val="SingleTxtGChar"/>
        </w:rPr>
        <w:t>never get a job even if she trie</w:t>
      </w:r>
      <w:r w:rsidR="0051542C" w:rsidRPr="00124500">
        <w:rPr>
          <w:rStyle w:val="SingleTxtGChar"/>
        </w:rPr>
        <w:t>d</w:t>
      </w:r>
      <w:r w:rsidRPr="00124500">
        <w:rPr>
          <w:rStyle w:val="SingleTxtGChar"/>
        </w:rPr>
        <w:t xml:space="preserve"> to improve her q</w:t>
      </w:r>
      <w:r w:rsidR="008E4FB2">
        <w:rPr>
          <w:rStyle w:val="SingleTxtGChar"/>
        </w:rPr>
        <w:t>ualification by further studies</w:t>
      </w:r>
      <w:r w:rsidR="00430283">
        <w:rPr>
          <w:rStyle w:val="SingleTxtGChar"/>
        </w:rPr>
        <w:t>.</w:t>
      </w:r>
      <w:r w:rsidRPr="006469B8">
        <w:rPr>
          <w:rStyle w:val="FootnoteReference"/>
        </w:rPr>
        <w:footnoteReference w:id="5"/>
      </w:r>
      <w:r w:rsidRPr="00124500">
        <w:rPr>
          <w:rStyle w:val="SingleTxtGChar"/>
        </w:rPr>
        <w:t xml:space="preserve"> </w:t>
      </w:r>
      <w:r w:rsidR="0051542C" w:rsidRPr="00124500">
        <w:rPr>
          <w:rStyle w:val="SingleTxtGChar"/>
        </w:rPr>
        <w:t>The petitioner felt humiliated and embarrassed by hearing such comments</w:t>
      </w:r>
      <w:r w:rsidR="00B755F0">
        <w:rPr>
          <w:rStyle w:val="SingleTxtGChar"/>
        </w:rPr>
        <w:t>,</w:t>
      </w:r>
      <w:r w:rsidR="0051542C" w:rsidRPr="00124500">
        <w:rPr>
          <w:rStyle w:val="SingleTxtGChar"/>
        </w:rPr>
        <w:t xml:space="preserve"> in particular as Roma were generally perceived as not willing to work. </w:t>
      </w:r>
      <w:r w:rsidRPr="00124500">
        <w:rPr>
          <w:rStyle w:val="SingleTxtGChar"/>
        </w:rPr>
        <w:t xml:space="preserve">On 26 July 2009, the head teacher sent a letter to the </w:t>
      </w:r>
      <w:r w:rsidR="0097419C" w:rsidRPr="00124500">
        <w:rPr>
          <w:rStyle w:val="SingleTxtGChar"/>
        </w:rPr>
        <w:t>petitioner</w:t>
      </w:r>
      <w:r w:rsidRPr="00124500">
        <w:rPr>
          <w:rStyle w:val="SingleTxtGChar"/>
        </w:rPr>
        <w:t>, informing her that there was no vacancy at the school but that her application would be kept on file in case a position bec</w:t>
      </w:r>
      <w:r w:rsidR="00B755F0">
        <w:rPr>
          <w:rStyle w:val="SingleTxtGChar"/>
        </w:rPr>
        <w:t>a</w:t>
      </w:r>
      <w:r w:rsidRPr="00124500">
        <w:rPr>
          <w:rStyle w:val="SingleTxtGChar"/>
        </w:rPr>
        <w:t xml:space="preserve">me vacant. In September 2009, the petitioner found out that a position of teaching assistant had become vacant but that someone of non-Roma origin with </w:t>
      </w:r>
      <w:r w:rsidR="00B20B96">
        <w:rPr>
          <w:rStyle w:val="SingleTxtGChar"/>
        </w:rPr>
        <w:t>fewer</w:t>
      </w:r>
      <w:r w:rsidR="00B20B96" w:rsidRPr="00124500">
        <w:rPr>
          <w:rStyle w:val="SingleTxtGChar"/>
        </w:rPr>
        <w:t xml:space="preserve"> </w:t>
      </w:r>
      <w:r w:rsidRPr="00124500">
        <w:rPr>
          <w:rStyle w:val="SingleTxtGChar"/>
        </w:rPr>
        <w:t>qualification</w:t>
      </w:r>
      <w:r w:rsidR="00B20B96">
        <w:rPr>
          <w:rStyle w:val="SingleTxtGChar"/>
        </w:rPr>
        <w:t>s</w:t>
      </w:r>
      <w:r w:rsidRPr="00124500">
        <w:rPr>
          <w:rStyle w:val="SingleTxtGChar"/>
        </w:rPr>
        <w:t xml:space="preserve"> and </w:t>
      </w:r>
      <w:r w:rsidR="00B20B96">
        <w:rPr>
          <w:rStyle w:val="SingleTxtGChar"/>
        </w:rPr>
        <w:t xml:space="preserve">less </w:t>
      </w:r>
      <w:r w:rsidRPr="00124500">
        <w:rPr>
          <w:rStyle w:val="SingleTxtGChar"/>
        </w:rPr>
        <w:t>experience than her</w:t>
      </w:r>
      <w:r w:rsidRPr="006469B8">
        <w:rPr>
          <w:rStyle w:val="FootnoteReference"/>
        </w:rPr>
        <w:footnoteReference w:id="6"/>
      </w:r>
      <w:r w:rsidRPr="00124500">
        <w:rPr>
          <w:rStyle w:val="SingleTxtGChar"/>
        </w:rPr>
        <w:t xml:space="preserve"> had been hired. </w:t>
      </w:r>
    </w:p>
    <w:p w14:paraId="15452BA4" w14:textId="77777777" w:rsidR="00A54283" w:rsidRPr="00505F5C" w:rsidRDefault="00A54283">
      <w:pPr>
        <w:pStyle w:val="SingleTxtG"/>
        <w:rPr>
          <w:rFonts w:cs="Calibri"/>
          <w:lang w:eastAsia="fr-FR"/>
        </w:rPr>
      </w:pPr>
      <w:r w:rsidRPr="00505F5C">
        <w:rPr>
          <w:rFonts w:cs="Calibri"/>
          <w:lang w:eastAsia="fr-FR"/>
        </w:rPr>
        <w:t>2.3</w:t>
      </w:r>
      <w:r w:rsidRPr="00505F5C">
        <w:rPr>
          <w:rFonts w:cs="Calibri"/>
          <w:lang w:eastAsia="fr-FR"/>
        </w:rPr>
        <w:tab/>
      </w:r>
      <w:r w:rsidRPr="00124500">
        <w:rPr>
          <w:rStyle w:val="SingleTxtGChar"/>
        </w:rPr>
        <w:t xml:space="preserve">Suspecting that she had been discriminated against because of her Roma origin, the petitioner filed a complaint </w:t>
      </w:r>
      <w:r w:rsidR="00301D8B">
        <w:rPr>
          <w:rStyle w:val="SingleTxtGChar"/>
        </w:rPr>
        <w:t>with</w:t>
      </w:r>
      <w:r w:rsidR="00B755F0" w:rsidRPr="00124500">
        <w:rPr>
          <w:rStyle w:val="SingleTxtGChar"/>
        </w:rPr>
        <w:t xml:space="preserve"> </w:t>
      </w:r>
      <w:r w:rsidRPr="00124500">
        <w:rPr>
          <w:rStyle w:val="SingleTxtGChar"/>
        </w:rPr>
        <w:t xml:space="preserve">the </w:t>
      </w:r>
      <w:r w:rsidRPr="00C250EA">
        <w:rPr>
          <w:rStyle w:val="SingleTxtGChar"/>
        </w:rPr>
        <w:t>Slovak National Centre for Human Rights</w:t>
      </w:r>
      <w:r w:rsidRPr="006469B8">
        <w:rPr>
          <w:rStyle w:val="FootnoteReference"/>
        </w:rPr>
        <w:footnoteReference w:id="7"/>
      </w:r>
      <w:r w:rsidRPr="008E4FB2">
        <w:rPr>
          <w:rStyle w:val="FootnoteReference"/>
        </w:rPr>
        <w:t xml:space="preserve"> </w:t>
      </w:r>
      <w:r w:rsidRPr="00124500">
        <w:rPr>
          <w:rStyle w:val="SingleTxtGChar"/>
        </w:rPr>
        <w:t xml:space="preserve">(the Equality </w:t>
      </w:r>
      <w:r w:rsidR="00732618" w:rsidRPr="00124500">
        <w:rPr>
          <w:rStyle w:val="SingleTxtGChar"/>
        </w:rPr>
        <w:t>Centre</w:t>
      </w:r>
      <w:r w:rsidRPr="00124500">
        <w:rPr>
          <w:rStyle w:val="SingleTxtGChar"/>
        </w:rPr>
        <w:t xml:space="preserve">) and requested that it </w:t>
      </w:r>
      <w:r w:rsidR="0097013D" w:rsidRPr="00124500">
        <w:rPr>
          <w:rStyle w:val="SingleTxtGChar"/>
        </w:rPr>
        <w:t xml:space="preserve">undertake </w:t>
      </w:r>
      <w:r w:rsidRPr="00124500">
        <w:rPr>
          <w:rStyle w:val="SingleTxtGChar"/>
        </w:rPr>
        <w:t xml:space="preserve">an independent inquiry into </w:t>
      </w:r>
      <w:r w:rsidR="00F45302" w:rsidRPr="00124500">
        <w:rPr>
          <w:rStyle w:val="SingleTxtGChar"/>
        </w:rPr>
        <w:t xml:space="preserve">her </w:t>
      </w:r>
      <w:r w:rsidRPr="00124500">
        <w:rPr>
          <w:rStyle w:val="SingleTxtGChar"/>
        </w:rPr>
        <w:t>case</w:t>
      </w:r>
      <w:r w:rsidR="00F45302" w:rsidRPr="00124500">
        <w:rPr>
          <w:rStyle w:val="SingleTxtGChar"/>
        </w:rPr>
        <w:t xml:space="preserve"> with regard to what happened at the I.B. Zoch</w:t>
      </w:r>
      <w:r w:rsidR="00EE66FE">
        <w:rPr>
          <w:rStyle w:val="SingleTxtGChar"/>
        </w:rPr>
        <w:t xml:space="preserve"> Elementary School</w:t>
      </w:r>
      <w:r w:rsidR="00F45302" w:rsidRPr="00124500">
        <w:rPr>
          <w:rStyle w:val="SingleTxtGChar"/>
        </w:rPr>
        <w:t xml:space="preserve">, but also </w:t>
      </w:r>
      <w:r w:rsidR="00B20B96">
        <w:rPr>
          <w:rStyle w:val="SingleTxtGChar"/>
        </w:rPr>
        <w:t>at</w:t>
      </w:r>
      <w:r w:rsidR="00B20B96" w:rsidRPr="00124500">
        <w:rPr>
          <w:rStyle w:val="SingleTxtGChar"/>
        </w:rPr>
        <w:t xml:space="preserve"> </w:t>
      </w:r>
      <w:r w:rsidR="00F45302" w:rsidRPr="00124500">
        <w:rPr>
          <w:rStyle w:val="SingleTxtGChar"/>
        </w:rPr>
        <w:t xml:space="preserve">other elementary schools to which she had applied and </w:t>
      </w:r>
      <w:r w:rsidR="00B20B96">
        <w:rPr>
          <w:rStyle w:val="SingleTxtGChar"/>
        </w:rPr>
        <w:t xml:space="preserve">by which was </w:t>
      </w:r>
      <w:r w:rsidR="008E4FB2">
        <w:rPr>
          <w:rStyle w:val="SingleTxtGChar"/>
        </w:rPr>
        <w:t>not hired</w:t>
      </w:r>
      <w:r w:rsidR="00A7312B">
        <w:rPr>
          <w:rStyle w:val="SingleTxtGChar"/>
        </w:rPr>
        <w:t>.</w:t>
      </w:r>
      <w:r w:rsidRPr="006469B8">
        <w:rPr>
          <w:rStyle w:val="FootnoteReference"/>
        </w:rPr>
        <w:footnoteReference w:id="8"/>
      </w:r>
      <w:r w:rsidRPr="00124500">
        <w:rPr>
          <w:rStyle w:val="SingleTxtGChar"/>
        </w:rPr>
        <w:t xml:space="preserve"> On 3 June 2010, the head teacher </w:t>
      </w:r>
      <w:r w:rsidR="008F7B09" w:rsidRPr="00124500">
        <w:rPr>
          <w:rStyle w:val="SingleTxtGChar"/>
        </w:rPr>
        <w:t xml:space="preserve">of I.B. Zoch </w:t>
      </w:r>
      <w:r w:rsidR="00EE66FE">
        <w:rPr>
          <w:rStyle w:val="SingleTxtGChar"/>
        </w:rPr>
        <w:t>Elementary S</w:t>
      </w:r>
      <w:r w:rsidR="008F7B09" w:rsidRPr="00124500">
        <w:rPr>
          <w:rStyle w:val="SingleTxtGChar"/>
        </w:rPr>
        <w:t xml:space="preserve">chool </w:t>
      </w:r>
      <w:r w:rsidRPr="00124500">
        <w:rPr>
          <w:rStyle w:val="SingleTxtGChar"/>
        </w:rPr>
        <w:t>stated</w:t>
      </w:r>
      <w:r w:rsidR="005B6834" w:rsidRPr="00124500">
        <w:rPr>
          <w:rStyle w:val="SingleTxtGChar"/>
        </w:rPr>
        <w:t xml:space="preserve"> </w:t>
      </w:r>
      <w:r w:rsidRPr="00124500">
        <w:rPr>
          <w:rStyle w:val="SingleTxtGChar"/>
        </w:rPr>
        <w:t xml:space="preserve">in his reply to the Equality </w:t>
      </w:r>
      <w:r w:rsidR="00732618" w:rsidRPr="00124500">
        <w:rPr>
          <w:rStyle w:val="SingleTxtGChar"/>
        </w:rPr>
        <w:t xml:space="preserve">Centre </w:t>
      </w:r>
      <w:r w:rsidRPr="00124500">
        <w:rPr>
          <w:rStyle w:val="SingleTxtGChar"/>
        </w:rPr>
        <w:t xml:space="preserve">that </w:t>
      </w:r>
      <w:r w:rsidR="00EE66FE">
        <w:rPr>
          <w:rStyle w:val="SingleTxtGChar"/>
        </w:rPr>
        <w:t>the School</w:t>
      </w:r>
      <w:r w:rsidR="00EE66FE" w:rsidRPr="00124500">
        <w:rPr>
          <w:rStyle w:val="SingleTxtGChar"/>
        </w:rPr>
        <w:t xml:space="preserve"> </w:t>
      </w:r>
      <w:r w:rsidR="00EE66FE">
        <w:rPr>
          <w:rStyle w:val="SingleTxtGChar"/>
        </w:rPr>
        <w:t>had</w:t>
      </w:r>
      <w:r w:rsidR="00EE66FE" w:rsidRPr="00124500">
        <w:rPr>
          <w:rStyle w:val="SingleTxtGChar"/>
        </w:rPr>
        <w:t xml:space="preserve"> </w:t>
      </w:r>
      <w:r w:rsidRPr="00124500">
        <w:rPr>
          <w:rStyle w:val="SingleTxtGChar"/>
        </w:rPr>
        <w:t xml:space="preserve">not </w:t>
      </w:r>
      <w:r w:rsidR="00EE66FE">
        <w:rPr>
          <w:rStyle w:val="SingleTxtGChar"/>
        </w:rPr>
        <w:t xml:space="preserve">been able to </w:t>
      </w:r>
      <w:r w:rsidRPr="00124500">
        <w:rPr>
          <w:rStyle w:val="SingleTxtGChar"/>
        </w:rPr>
        <w:t>hire the petitioner because of the lack of vacant position</w:t>
      </w:r>
      <w:r w:rsidR="005B6834" w:rsidRPr="00124500">
        <w:rPr>
          <w:rStyle w:val="SingleTxtGChar"/>
        </w:rPr>
        <w:t>s</w:t>
      </w:r>
      <w:r w:rsidRPr="00124500">
        <w:rPr>
          <w:rStyle w:val="SingleTxtGChar"/>
        </w:rPr>
        <w:t xml:space="preserve"> for the combination of subjects</w:t>
      </w:r>
      <w:r w:rsidR="00EE66FE">
        <w:rPr>
          <w:rStyle w:val="SingleTxtGChar"/>
        </w:rPr>
        <w:t xml:space="preserve"> for which</w:t>
      </w:r>
      <w:r w:rsidRPr="00124500">
        <w:rPr>
          <w:rStyle w:val="SingleTxtGChar"/>
        </w:rPr>
        <w:t xml:space="preserve"> she is qualified. He added that</w:t>
      </w:r>
      <w:r w:rsidR="00B20B96">
        <w:rPr>
          <w:rStyle w:val="SingleTxtGChar"/>
        </w:rPr>
        <w:t>,</w:t>
      </w:r>
      <w:r w:rsidRPr="00124500">
        <w:rPr>
          <w:rStyle w:val="SingleTxtGChar"/>
        </w:rPr>
        <w:t xml:space="preserve"> because the petitioner did not give her consent for the processing of her personal data, her application could only be kept on file for 30 days</w:t>
      </w:r>
      <w:r w:rsidR="008F7B09" w:rsidRPr="00124500">
        <w:rPr>
          <w:rStyle w:val="SingleTxtGChar"/>
        </w:rPr>
        <w:t>, which had elapsed</w:t>
      </w:r>
      <w:r w:rsidRPr="00124500">
        <w:rPr>
          <w:rStyle w:val="SingleTxtGChar"/>
        </w:rPr>
        <w:t xml:space="preserve"> when the position of teaching assistant became available for the year 2009/10. He further explained that the full</w:t>
      </w:r>
      <w:r w:rsidR="00EE66FE">
        <w:rPr>
          <w:rStyle w:val="SingleTxtGChar"/>
        </w:rPr>
        <w:t>-</w:t>
      </w:r>
      <w:r w:rsidRPr="00124500">
        <w:rPr>
          <w:rStyle w:val="SingleTxtGChar"/>
        </w:rPr>
        <w:t xml:space="preserve">time teaching assistant position </w:t>
      </w:r>
      <w:r w:rsidR="00B20B96" w:rsidRPr="00124500">
        <w:rPr>
          <w:rStyle w:val="SingleTxtGChar"/>
        </w:rPr>
        <w:t xml:space="preserve">available </w:t>
      </w:r>
      <w:r w:rsidRPr="00124500">
        <w:rPr>
          <w:rStyle w:val="SingleTxtGChar"/>
        </w:rPr>
        <w:t xml:space="preserve">was </w:t>
      </w:r>
      <w:r w:rsidR="00B20B96">
        <w:rPr>
          <w:rStyle w:val="SingleTxtGChar"/>
        </w:rPr>
        <w:t>for</w:t>
      </w:r>
      <w:r w:rsidR="00B20B96" w:rsidRPr="00124500">
        <w:rPr>
          <w:rStyle w:val="SingleTxtGChar"/>
        </w:rPr>
        <w:t xml:space="preserve"> </w:t>
      </w:r>
      <w:r w:rsidRPr="00124500">
        <w:rPr>
          <w:rStyle w:val="SingleTxtGChar"/>
        </w:rPr>
        <w:t xml:space="preserve">work with a child with an </w:t>
      </w:r>
      <w:r w:rsidR="00EE66FE">
        <w:rPr>
          <w:rStyle w:val="SingleTxtGChar"/>
        </w:rPr>
        <w:t>a</w:t>
      </w:r>
      <w:r w:rsidRPr="00124500">
        <w:rPr>
          <w:rStyle w:val="SingleTxtGChar"/>
        </w:rPr>
        <w:t xml:space="preserve">ttention </w:t>
      </w:r>
      <w:r w:rsidR="00EE66FE">
        <w:rPr>
          <w:rStyle w:val="SingleTxtGChar"/>
        </w:rPr>
        <w:t>d</w:t>
      </w:r>
      <w:r w:rsidRPr="00124500">
        <w:rPr>
          <w:rStyle w:val="SingleTxtGChar"/>
        </w:rPr>
        <w:t xml:space="preserve">eficit </w:t>
      </w:r>
      <w:r w:rsidR="00EE66FE">
        <w:rPr>
          <w:rStyle w:val="SingleTxtGChar"/>
        </w:rPr>
        <w:t>h</w:t>
      </w:r>
      <w:r w:rsidRPr="00124500">
        <w:rPr>
          <w:rStyle w:val="SingleTxtGChar"/>
        </w:rPr>
        <w:t xml:space="preserve">yperactivity </w:t>
      </w:r>
      <w:r w:rsidR="00EE66FE">
        <w:rPr>
          <w:rStyle w:val="SingleTxtGChar"/>
        </w:rPr>
        <w:t>d</w:t>
      </w:r>
      <w:r w:rsidRPr="00124500">
        <w:rPr>
          <w:rStyle w:val="SingleTxtGChar"/>
        </w:rPr>
        <w:t xml:space="preserve">isorder. It required only a secondary school degree and was listed in salary bracket </w:t>
      </w:r>
      <w:r w:rsidR="00AC3071">
        <w:rPr>
          <w:rStyle w:val="SingleTxtGChar"/>
        </w:rPr>
        <w:t>No. </w:t>
      </w:r>
      <w:r w:rsidRPr="00124500">
        <w:rPr>
          <w:rStyle w:val="SingleTxtGChar"/>
        </w:rPr>
        <w:t>7, which was the maximum wage that the school could pay. He noted that</w:t>
      </w:r>
      <w:r w:rsidR="00B20B96">
        <w:rPr>
          <w:rStyle w:val="SingleTxtGChar"/>
        </w:rPr>
        <w:t>,</w:t>
      </w:r>
      <w:r w:rsidRPr="00124500">
        <w:rPr>
          <w:rStyle w:val="SingleTxtGChar"/>
        </w:rPr>
        <w:t xml:space="preserve"> as the petitioner ha</w:t>
      </w:r>
      <w:r w:rsidR="00EE66FE">
        <w:rPr>
          <w:rStyle w:val="SingleTxtGChar"/>
        </w:rPr>
        <w:t>d</w:t>
      </w:r>
      <w:r w:rsidRPr="00124500">
        <w:rPr>
          <w:rStyle w:val="SingleTxtGChar"/>
        </w:rPr>
        <w:t xml:space="preserve"> a university degree, she would have to be paid a salary within the bracket </w:t>
      </w:r>
      <w:r w:rsidR="00AC3071">
        <w:rPr>
          <w:rStyle w:val="SingleTxtGChar"/>
        </w:rPr>
        <w:t>No. </w:t>
      </w:r>
      <w:r w:rsidRPr="00124500">
        <w:rPr>
          <w:rStyle w:val="SingleTxtGChar"/>
        </w:rPr>
        <w:t xml:space="preserve">9, which the school was not in a position to cover. Finally, the head teacher stated that the petitioner’s former employers had suggested that she was problematic. On 20 August 2010, the Equality </w:t>
      </w:r>
      <w:r w:rsidR="00732618" w:rsidRPr="00124500">
        <w:rPr>
          <w:rStyle w:val="SingleTxtGChar"/>
        </w:rPr>
        <w:t xml:space="preserve">Centre </w:t>
      </w:r>
      <w:r w:rsidRPr="00124500">
        <w:rPr>
          <w:rStyle w:val="SingleTxtGChar"/>
        </w:rPr>
        <w:t>concluded its enquiry</w:t>
      </w:r>
      <w:r w:rsidR="00EE66FE">
        <w:rPr>
          <w:rStyle w:val="SingleTxtGChar"/>
        </w:rPr>
        <w:t>, finding</w:t>
      </w:r>
      <w:r w:rsidRPr="00124500">
        <w:rPr>
          <w:rStyle w:val="SingleTxtGChar"/>
        </w:rPr>
        <w:t xml:space="preserve"> that there might be a violation of the principle of equal treatment in this case and recommended that the head teacher abide by anti-discrimination legislation</w:t>
      </w:r>
      <w:r w:rsidR="008E4FB2">
        <w:rPr>
          <w:rStyle w:val="SingleTxtGChar"/>
        </w:rPr>
        <w:t xml:space="preserve"> and employ qualified personnel</w:t>
      </w:r>
      <w:r w:rsidR="00A7312B">
        <w:rPr>
          <w:rStyle w:val="SingleTxtGChar"/>
        </w:rPr>
        <w:t>.</w:t>
      </w:r>
      <w:r w:rsidRPr="008E4FB2">
        <w:rPr>
          <w:rStyle w:val="FootnoteReference"/>
        </w:rPr>
        <w:t xml:space="preserve"> </w:t>
      </w:r>
    </w:p>
    <w:p w14:paraId="19A7E0A9" w14:textId="77777777" w:rsidR="00A54283" w:rsidRPr="00124500" w:rsidRDefault="00A54283">
      <w:pPr>
        <w:suppressAutoHyphens w:val="0"/>
        <w:autoSpaceDE w:val="0"/>
        <w:autoSpaceDN w:val="0"/>
        <w:spacing w:after="120" w:line="240" w:lineRule="auto"/>
        <w:ind w:left="1134" w:right="1134"/>
        <w:jc w:val="both"/>
        <w:rPr>
          <w:rStyle w:val="SingleTxtGChar"/>
        </w:rPr>
      </w:pPr>
      <w:r w:rsidRPr="00505F5C">
        <w:rPr>
          <w:rFonts w:cs="Calibri"/>
          <w:lang w:eastAsia="fr-FR"/>
        </w:rPr>
        <w:t>2.4</w:t>
      </w:r>
      <w:r w:rsidRPr="00505F5C">
        <w:rPr>
          <w:rFonts w:cs="Calibri"/>
          <w:lang w:eastAsia="fr-FR"/>
        </w:rPr>
        <w:tab/>
      </w:r>
      <w:r w:rsidRPr="00124500">
        <w:rPr>
          <w:rStyle w:val="SingleTxtGChar"/>
        </w:rPr>
        <w:t xml:space="preserve">In parallel </w:t>
      </w:r>
      <w:r w:rsidR="00B20B96">
        <w:rPr>
          <w:rStyle w:val="SingleTxtGChar"/>
        </w:rPr>
        <w:t>with</w:t>
      </w:r>
      <w:r w:rsidR="00B20B96" w:rsidRPr="00124500">
        <w:rPr>
          <w:rStyle w:val="SingleTxtGChar"/>
        </w:rPr>
        <w:t xml:space="preserve"> </w:t>
      </w:r>
      <w:r w:rsidRPr="00124500">
        <w:rPr>
          <w:rStyle w:val="SingleTxtGChar"/>
        </w:rPr>
        <w:t xml:space="preserve">her complaint before the Equality </w:t>
      </w:r>
      <w:r w:rsidR="00732618" w:rsidRPr="00124500">
        <w:rPr>
          <w:rStyle w:val="SingleTxtGChar"/>
        </w:rPr>
        <w:t>Centre</w:t>
      </w:r>
      <w:r w:rsidRPr="00124500">
        <w:rPr>
          <w:rStyle w:val="SingleTxtGChar"/>
        </w:rPr>
        <w:t>, the petitioner requested the Ministry of Education, Science, Research and Sport</w:t>
      </w:r>
      <w:r w:rsidR="00B132B7" w:rsidRPr="00124500">
        <w:rPr>
          <w:rStyle w:val="SingleTxtGChar"/>
        </w:rPr>
        <w:t xml:space="preserve"> (the Ministry of Education)</w:t>
      </w:r>
      <w:r w:rsidRPr="006469B8">
        <w:rPr>
          <w:rStyle w:val="FootnoteReference"/>
        </w:rPr>
        <w:footnoteReference w:id="9"/>
      </w:r>
      <w:r w:rsidRPr="00124500">
        <w:rPr>
          <w:rStyle w:val="SingleTxtGChar"/>
        </w:rPr>
        <w:t xml:space="preserve"> to issue an opinion about the </w:t>
      </w:r>
      <w:r w:rsidR="0097013D" w:rsidRPr="00124500">
        <w:rPr>
          <w:rStyle w:val="SingleTxtGChar"/>
        </w:rPr>
        <w:t>school</w:t>
      </w:r>
      <w:r w:rsidR="00297D99">
        <w:rPr>
          <w:rStyle w:val="SingleTxtGChar"/>
        </w:rPr>
        <w:t>’</w:t>
      </w:r>
      <w:r w:rsidR="0097013D" w:rsidRPr="00124500">
        <w:rPr>
          <w:rStyle w:val="SingleTxtGChar"/>
        </w:rPr>
        <w:t xml:space="preserve">s </w:t>
      </w:r>
      <w:r w:rsidRPr="00124500">
        <w:rPr>
          <w:rStyle w:val="SingleTxtGChar"/>
        </w:rPr>
        <w:t>employment practice</w:t>
      </w:r>
      <w:r w:rsidR="008F7B09" w:rsidRPr="00124500">
        <w:rPr>
          <w:rStyle w:val="SingleTxtGChar"/>
        </w:rPr>
        <w:t>s</w:t>
      </w:r>
      <w:r w:rsidRPr="00124500">
        <w:rPr>
          <w:rStyle w:val="SingleTxtGChar"/>
        </w:rPr>
        <w:t xml:space="preserve"> and </w:t>
      </w:r>
      <w:r w:rsidR="008F7B09" w:rsidRPr="00124500">
        <w:rPr>
          <w:rStyle w:val="SingleTxtGChar"/>
        </w:rPr>
        <w:t>the argument it presented with</w:t>
      </w:r>
      <w:r w:rsidR="008F7B09" w:rsidRPr="005B6834">
        <w:rPr>
          <w:rFonts w:cs="Calibri"/>
          <w:lang w:eastAsia="fr-FR"/>
        </w:rPr>
        <w:t xml:space="preserve"> </w:t>
      </w:r>
      <w:r w:rsidR="008F7B09" w:rsidRPr="00124500">
        <w:rPr>
          <w:rStyle w:val="SingleTxtGChar"/>
        </w:rPr>
        <w:t xml:space="preserve">regard to an alleged </w:t>
      </w:r>
      <w:r w:rsidRPr="00124500">
        <w:rPr>
          <w:rStyle w:val="SingleTxtGChar"/>
        </w:rPr>
        <w:t>lack of funds</w:t>
      </w:r>
      <w:r w:rsidR="008F7B09" w:rsidRPr="00124500">
        <w:rPr>
          <w:rStyle w:val="SingleTxtGChar"/>
        </w:rPr>
        <w:t xml:space="preserve"> for employment purposes</w:t>
      </w:r>
      <w:r w:rsidRPr="00124500">
        <w:rPr>
          <w:rStyle w:val="SingleTxtGChar"/>
        </w:rPr>
        <w:t>. On 2 February 2010</w:t>
      </w:r>
      <w:r w:rsidR="00A7312B">
        <w:rPr>
          <w:rStyle w:val="SingleTxtGChar"/>
        </w:rPr>
        <w:t>,</w:t>
      </w:r>
      <w:r w:rsidRPr="00F442FE">
        <w:rPr>
          <w:rStyle w:val="FootnoteReference"/>
        </w:rPr>
        <w:t xml:space="preserve"> </w:t>
      </w:r>
      <w:r w:rsidRPr="00124500">
        <w:rPr>
          <w:rStyle w:val="SingleTxtGChar"/>
        </w:rPr>
        <w:t xml:space="preserve">the Ministry stated that </w:t>
      </w:r>
      <w:r w:rsidR="00B20B96">
        <w:rPr>
          <w:rStyle w:val="SingleTxtGChar"/>
        </w:rPr>
        <w:t>a</w:t>
      </w:r>
      <w:r w:rsidR="00B20B96" w:rsidRPr="00124500">
        <w:rPr>
          <w:rStyle w:val="SingleTxtGChar"/>
        </w:rPr>
        <w:t xml:space="preserve"> </w:t>
      </w:r>
      <w:r w:rsidRPr="00124500">
        <w:rPr>
          <w:rStyle w:val="SingleTxtGChar"/>
        </w:rPr>
        <w:t xml:space="preserve">lack of funds is not a valid ground for preferring an applicant with a secondary school degree over an applicant with a university degree. On 2 August 2010, </w:t>
      </w:r>
      <w:r w:rsidR="008F7B09" w:rsidRPr="00124500">
        <w:rPr>
          <w:rStyle w:val="SingleTxtGChar"/>
        </w:rPr>
        <w:t xml:space="preserve">at </w:t>
      </w:r>
      <w:r w:rsidR="008F7B09" w:rsidRPr="00124500">
        <w:rPr>
          <w:rStyle w:val="SingleTxtGChar"/>
        </w:rPr>
        <w:lastRenderedPageBreak/>
        <w:t xml:space="preserve">the petitioner’s </w:t>
      </w:r>
      <w:r w:rsidR="00F442FE">
        <w:rPr>
          <w:rStyle w:val="SingleTxtGChar"/>
        </w:rPr>
        <w:t>request</w:t>
      </w:r>
      <w:r w:rsidR="00A7312B">
        <w:rPr>
          <w:rStyle w:val="SingleTxtGChar"/>
        </w:rPr>
        <w:t>,</w:t>
      </w:r>
      <w:r w:rsidR="00B71B63" w:rsidRPr="006469B8">
        <w:rPr>
          <w:rStyle w:val="FootnoteReference"/>
        </w:rPr>
        <w:footnoteReference w:id="10"/>
      </w:r>
      <w:r w:rsidRPr="00124500">
        <w:rPr>
          <w:rStyle w:val="SingleTxtGChar"/>
        </w:rPr>
        <w:t xml:space="preserve"> the Ministry issued a second opinion in which it stated that it </w:t>
      </w:r>
      <w:r w:rsidR="00EE66FE">
        <w:rPr>
          <w:rStyle w:val="SingleTxtGChar"/>
        </w:rPr>
        <w:t>wa</w:t>
      </w:r>
      <w:r w:rsidRPr="00124500">
        <w:rPr>
          <w:rStyle w:val="SingleTxtGChar"/>
        </w:rPr>
        <w:t xml:space="preserve">s the head teacher who </w:t>
      </w:r>
      <w:r w:rsidR="00EE66FE">
        <w:rPr>
          <w:rStyle w:val="SingleTxtGChar"/>
        </w:rPr>
        <w:t>wa</w:t>
      </w:r>
      <w:r w:rsidRPr="00124500">
        <w:rPr>
          <w:rStyle w:val="SingleTxtGChar"/>
        </w:rPr>
        <w:t xml:space="preserve">s responsible for the quality of the education provided at the school and </w:t>
      </w:r>
      <w:r w:rsidRPr="00342F9B">
        <w:rPr>
          <w:rStyle w:val="SingleTxtGChar"/>
        </w:rPr>
        <w:t>who</w:t>
      </w:r>
      <w:r w:rsidR="000D602D">
        <w:rPr>
          <w:rStyle w:val="SingleTxtGChar"/>
        </w:rPr>
        <w:t xml:space="preserve"> exclusively</w:t>
      </w:r>
      <w:r w:rsidRPr="00342F9B">
        <w:rPr>
          <w:rStyle w:val="SingleTxtGChar"/>
        </w:rPr>
        <w:t xml:space="preserve"> ha</w:t>
      </w:r>
      <w:r w:rsidR="000D602D">
        <w:rPr>
          <w:rStyle w:val="SingleTxtGChar"/>
        </w:rPr>
        <w:t>d</w:t>
      </w:r>
      <w:r w:rsidRPr="00342F9B">
        <w:rPr>
          <w:rStyle w:val="SingleTxtGChar"/>
        </w:rPr>
        <w:t xml:space="preserve"> the </w:t>
      </w:r>
      <w:r w:rsidR="00342F9B">
        <w:rPr>
          <w:rStyle w:val="SingleTxtGChar"/>
        </w:rPr>
        <w:t>remit</w:t>
      </w:r>
      <w:r w:rsidR="00342F9B" w:rsidRPr="00342F9B">
        <w:rPr>
          <w:rStyle w:val="SingleTxtGChar"/>
        </w:rPr>
        <w:t xml:space="preserve"> </w:t>
      </w:r>
      <w:r w:rsidRPr="00342F9B">
        <w:rPr>
          <w:rStyle w:val="SingleTxtGChar"/>
        </w:rPr>
        <w:t>to hire employees</w:t>
      </w:r>
      <w:r w:rsidRPr="00124500">
        <w:rPr>
          <w:rStyle w:val="SingleTxtGChar"/>
        </w:rPr>
        <w:t>.</w:t>
      </w:r>
    </w:p>
    <w:p w14:paraId="58628211" w14:textId="77777777" w:rsidR="00A54283" w:rsidRPr="00124500" w:rsidRDefault="00A54283" w:rsidP="00F579C4">
      <w:pPr>
        <w:suppressAutoHyphens w:val="0"/>
        <w:autoSpaceDE w:val="0"/>
        <w:autoSpaceDN w:val="0"/>
        <w:spacing w:after="120" w:line="240" w:lineRule="auto"/>
        <w:ind w:left="1134" w:right="1134"/>
        <w:jc w:val="both"/>
        <w:rPr>
          <w:rStyle w:val="SingleTxtGChar"/>
        </w:rPr>
      </w:pPr>
      <w:r w:rsidRPr="00BE1830">
        <w:rPr>
          <w:rFonts w:cs="Calibri"/>
          <w:lang w:eastAsia="fr-FR"/>
        </w:rPr>
        <w:t>2.5</w:t>
      </w:r>
      <w:r w:rsidRPr="00BE1830">
        <w:rPr>
          <w:rFonts w:cs="Calibri"/>
          <w:lang w:eastAsia="fr-FR"/>
        </w:rPr>
        <w:tab/>
      </w:r>
      <w:r w:rsidRPr="00124500">
        <w:rPr>
          <w:rStyle w:val="SingleTxtGChar"/>
        </w:rPr>
        <w:t xml:space="preserve">On 11 October 2010, the petitioner initiated a civil complaint against the school before the District Court of Revúca, alleging a breach of the principle of equal treatment under </w:t>
      </w:r>
      <w:r w:rsidR="00D81783">
        <w:rPr>
          <w:rStyle w:val="SingleTxtGChar"/>
        </w:rPr>
        <w:t>articles</w:t>
      </w:r>
      <w:r w:rsidR="00D81783" w:rsidRPr="00124500">
        <w:rPr>
          <w:rStyle w:val="SingleTxtGChar"/>
        </w:rPr>
        <w:t xml:space="preserve"> </w:t>
      </w:r>
      <w:r w:rsidRPr="00124500">
        <w:rPr>
          <w:rStyle w:val="SingleTxtGChar"/>
        </w:rPr>
        <w:t>9 et seq. of the 2004 Anti-</w:t>
      </w:r>
      <w:r w:rsidR="00732618" w:rsidRPr="00124500">
        <w:rPr>
          <w:rStyle w:val="SingleTxtGChar"/>
        </w:rPr>
        <w:t>di</w:t>
      </w:r>
      <w:r w:rsidRPr="00124500">
        <w:rPr>
          <w:rStyle w:val="SingleTxtGChar"/>
        </w:rPr>
        <w:t>scrimination Act.</w:t>
      </w:r>
      <w:r w:rsidR="00F00ECA">
        <w:rPr>
          <w:rStyle w:val="FootnoteReference"/>
        </w:rPr>
        <w:footnoteReference w:id="11"/>
      </w:r>
      <w:r w:rsidRPr="00124500">
        <w:rPr>
          <w:rStyle w:val="SingleTxtGChar"/>
        </w:rPr>
        <w:t xml:space="preserve"> She requested an apology from the school and 10,000 euros compensation for non-pecuniary damages. On 28 March 2011, the District Court dismissed her </w:t>
      </w:r>
      <w:r w:rsidR="00BE1830" w:rsidRPr="00124500">
        <w:rPr>
          <w:rStyle w:val="SingleTxtGChar"/>
        </w:rPr>
        <w:t>complaint</w:t>
      </w:r>
      <w:r w:rsidRPr="00124500">
        <w:rPr>
          <w:rStyle w:val="SingleTxtGChar"/>
        </w:rPr>
        <w:t>. The Court noted that</w:t>
      </w:r>
      <w:r w:rsidR="00EE66FE">
        <w:rPr>
          <w:rStyle w:val="SingleTxtGChar"/>
        </w:rPr>
        <w:t>,</w:t>
      </w:r>
      <w:r w:rsidRPr="00124500">
        <w:rPr>
          <w:rStyle w:val="SingleTxtGChar"/>
        </w:rPr>
        <w:t xml:space="preserve"> in accordance with the law, the school had the burden to prove that it did not discriminate against the petitioner by providing reasonable and </w:t>
      </w:r>
      <w:r w:rsidR="00E40C74" w:rsidRPr="00124500">
        <w:rPr>
          <w:rStyle w:val="SingleTxtGChar"/>
        </w:rPr>
        <w:t>logical</w:t>
      </w:r>
      <w:r w:rsidRPr="00124500">
        <w:rPr>
          <w:rStyle w:val="SingleTxtGChar"/>
        </w:rPr>
        <w:t xml:space="preserve"> arguments to explain why it hired a person less qualified than the petitioner for the teaching assistant position. The Court was satisfied </w:t>
      </w:r>
      <w:r w:rsidR="007406AF" w:rsidRPr="00124500">
        <w:rPr>
          <w:rStyle w:val="SingleTxtGChar"/>
        </w:rPr>
        <w:t xml:space="preserve">with </w:t>
      </w:r>
      <w:r w:rsidRPr="00124500">
        <w:rPr>
          <w:rStyle w:val="SingleTxtGChar"/>
        </w:rPr>
        <w:t>the explanations provided by the school</w:t>
      </w:r>
      <w:r w:rsidR="00BE1830" w:rsidRPr="00124500">
        <w:rPr>
          <w:rStyle w:val="SingleTxtGChar"/>
        </w:rPr>
        <w:t xml:space="preserve">, </w:t>
      </w:r>
      <w:r w:rsidR="007406AF" w:rsidRPr="00124500">
        <w:rPr>
          <w:rStyle w:val="SingleTxtGChar"/>
        </w:rPr>
        <w:t>namely</w:t>
      </w:r>
      <w:r w:rsidRPr="00124500">
        <w:rPr>
          <w:rStyle w:val="SingleTxtGChar"/>
        </w:rPr>
        <w:t xml:space="preserve"> the limited funding for this position, the lack of </w:t>
      </w:r>
      <w:r w:rsidR="00EE66FE">
        <w:rPr>
          <w:rStyle w:val="SingleTxtGChar"/>
        </w:rPr>
        <w:t xml:space="preserve">a </w:t>
      </w:r>
      <w:r w:rsidRPr="00124500">
        <w:rPr>
          <w:rStyle w:val="SingleTxtGChar"/>
        </w:rPr>
        <w:t xml:space="preserve">need to hire a person with a university degree for a position </w:t>
      </w:r>
      <w:r w:rsidR="00EE66FE">
        <w:rPr>
          <w:rStyle w:val="SingleTxtGChar"/>
        </w:rPr>
        <w:t>that</w:t>
      </w:r>
      <w:r w:rsidR="00EE66FE" w:rsidRPr="00124500">
        <w:rPr>
          <w:rStyle w:val="SingleTxtGChar"/>
        </w:rPr>
        <w:t xml:space="preserve"> </w:t>
      </w:r>
      <w:r w:rsidRPr="00124500">
        <w:rPr>
          <w:rStyle w:val="SingleTxtGChar"/>
        </w:rPr>
        <w:t>only require</w:t>
      </w:r>
      <w:r w:rsidR="00A66562">
        <w:rPr>
          <w:rStyle w:val="SingleTxtGChar"/>
        </w:rPr>
        <w:t>d</w:t>
      </w:r>
      <w:r w:rsidRPr="00124500">
        <w:rPr>
          <w:rStyle w:val="SingleTxtGChar"/>
        </w:rPr>
        <w:t xml:space="preserve"> a secondary school degree and the lack of discriminatory intention </w:t>
      </w:r>
      <w:r w:rsidR="00E40C74" w:rsidRPr="00124500">
        <w:rPr>
          <w:rStyle w:val="SingleTxtGChar"/>
        </w:rPr>
        <w:t xml:space="preserve">on the part of </w:t>
      </w:r>
      <w:r w:rsidRPr="00124500">
        <w:rPr>
          <w:rStyle w:val="SingleTxtGChar"/>
        </w:rPr>
        <w:t>the school. The Court added that an applicant d</w:t>
      </w:r>
      <w:r w:rsidR="00A66562">
        <w:rPr>
          <w:rStyle w:val="SingleTxtGChar"/>
        </w:rPr>
        <w:t>id</w:t>
      </w:r>
      <w:r w:rsidRPr="00124500">
        <w:rPr>
          <w:rStyle w:val="SingleTxtGChar"/>
        </w:rPr>
        <w:t xml:space="preserve"> not have a right to be employed because he</w:t>
      </w:r>
      <w:r w:rsidR="00342F9B">
        <w:rPr>
          <w:rStyle w:val="SingleTxtGChar"/>
        </w:rPr>
        <w:t xml:space="preserve"> or </w:t>
      </w:r>
      <w:r w:rsidRPr="00124500">
        <w:rPr>
          <w:rStyle w:val="SingleTxtGChar"/>
        </w:rPr>
        <w:t>she fulfil</w:t>
      </w:r>
      <w:r w:rsidR="00301D8B">
        <w:rPr>
          <w:rStyle w:val="SingleTxtGChar"/>
        </w:rPr>
        <w:t>led</w:t>
      </w:r>
      <w:r w:rsidRPr="00124500">
        <w:rPr>
          <w:rStyle w:val="SingleTxtGChar"/>
        </w:rPr>
        <w:t xml:space="preserve"> the established criteria</w:t>
      </w:r>
      <w:r w:rsidR="00301D8B">
        <w:rPr>
          <w:rStyle w:val="SingleTxtGChar"/>
        </w:rPr>
        <w:t xml:space="preserve"> or </w:t>
      </w:r>
      <w:r w:rsidRPr="00124500">
        <w:rPr>
          <w:rStyle w:val="SingleTxtGChar"/>
        </w:rPr>
        <w:t xml:space="preserve">conditions of a position and that people </w:t>
      </w:r>
      <w:r w:rsidR="00301D8B">
        <w:rPr>
          <w:rStyle w:val="SingleTxtGChar"/>
        </w:rPr>
        <w:t>might</w:t>
      </w:r>
      <w:r w:rsidR="00301D8B" w:rsidRPr="00124500">
        <w:rPr>
          <w:rStyle w:val="SingleTxtGChar"/>
        </w:rPr>
        <w:t xml:space="preserve"> </w:t>
      </w:r>
      <w:r w:rsidRPr="00124500">
        <w:rPr>
          <w:rStyle w:val="SingleTxtGChar"/>
        </w:rPr>
        <w:t>be subjected to differential treatment in the context of labo</w:t>
      </w:r>
      <w:r w:rsidR="00BE1830" w:rsidRPr="00124500">
        <w:rPr>
          <w:rStyle w:val="SingleTxtGChar"/>
        </w:rPr>
        <w:t>u</w:t>
      </w:r>
      <w:r w:rsidRPr="00124500">
        <w:rPr>
          <w:rStyle w:val="SingleTxtGChar"/>
        </w:rPr>
        <w:t xml:space="preserve">r relations that </w:t>
      </w:r>
      <w:r w:rsidR="00301D8B">
        <w:rPr>
          <w:rStyle w:val="SingleTxtGChar"/>
        </w:rPr>
        <w:t>we</w:t>
      </w:r>
      <w:r w:rsidR="00E40C74" w:rsidRPr="00124500">
        <w:rPr>
          <w:rStyle w:val="SingleTxtGChar"/>
        </w:rPr>
        <w:t>re not necessarily</w:t>
      </w:r>
      <w:r w:rsidRPr="00124500">
        <w:rPr>
          <w:rStyle w:val="SingleTxtGChar"/>
        </w:rPr>
        <w:t xml:space="preserve"> discriminatory or unlawful.</w:t>
      </w:r>
    </w:p>
    <w:p w14:paraId="5624BBBD" w14:textId="77777777" w:rsidR="00A54283" w:rsidRPr="00124500" w:rsidRDefault="00A54283" w:rsidP="00C30A18">
      <w:pPr>
        <w:suppressAutoHyphens w:val="0"/>
        <w:autoSpaceDE w:val="0"/>
        <w:autoSpaceDN w:val="0"/>
        <w:spacing w:after="120" w:line="240" w:lineRule="auto"/>
        <w:ind w:left="1134" w:right="1134"/>
        <w:jc w:val="both"/>
        <w:rPr>
          <w:rStyle w:val="SingleTxtGChar"/>
        </w:rPr>
      </w:pPr>
      <w:r w:rsidRPr="00836C54">
        <w:rPr>
          <w:rFonts w:cs="Calibri"/>
          <w:lang w:eastAsia="fr-FR"/>
        </w:rPr>
        <w:t>2.6</w:t>
      </w:r>
      <w:r w:rsidRPr="00836C54">
        <w:rPr>
          <w:rFonts w:cs="Calibri"/>
          <w:lang w:eastAsia="fr-FR"/>
        </w:rPr>
        <w:tab/>
      </w:r>
      <w:r w:rsidRPr="00124500">
        <w:rPr>
          <w:rStyle w:val="SingleTxtGChar"/>
        </w:rPr>
        <w:t>On 2</w:t>
      </w:r>
      <w:r w:rsidR="00B132B7" w:rsidRPr="00124500">
        <w:rPr>
          <w:rStyle w:val="SingleTxtGChar"/>
        </w:rPr>
        <w:t>0</w:t>
      </w:r>
      <w:r w:rsidRPr="00124500">
        <w:rPr>
          <w:rStyle w:val="SingleTxtGChar"/>
        </w:rPr>
        <w:t xml:space="preserve"> </w:t>
      </w:r>
      <w:r w:rsidR="00B132B7" w:rsidRPr="00124500">
        <w:rPr>
          <w:rStyle w:val="SingleTxtGChar"/>
        </w:rPr>
        <w:t xml:space="preserve">April </w:t>
      </w:r>
      <w:r w:rsidRPr="00124500">
        <w:rPr>
          <w:rStyle w:val="SingleTxtGChar"/>
        </w:rPr>
        <w:t xml:space="preserve">2011, the petitioner filed an appeal </w:t>
      </w:r>
      <w:r w:rsidR="00301D8B">
        <w:rPr>
          <w:rStyle w:val="SingleTxtGChar"/>
        </w:rPr>
        <w:t>with</w:t>
      </w:r>
      <w:r w:rsidR="00301D8B" w:rsidRPr="00124500">
        <w:rPr>
          <w:rStyle w:val="SingleTxtGChar"/>
        </w:rPr>
        <w:t xml:space="preserve"> </w:t>
      </w:r>
      <w:r w:rsidRPr="00124500">
        <w:rPr>
          <w:rStyle w:val="SingleTxtGChar"/>
        </w:rPr>
        <w:t xml:space="preserve">the Banská Bystrica Regional Court against the District Court decision. In the appeal, she stressed that she had </w:t>
      </w:r>
      <w:r w:rsidR="00E40C74" w:rsidRPr="00124500">
        <w:rPr>
          <w:rStyle w:val="SingleTxtGChar"/>
        </w:rPr>
        <w:t xml:space="preserve">made </w:t>
      </w:r>
      <w:r w:rsidRPr="00124500">
        <w:rPr>
          <w:rStyle w:val="SingleTxtGChar"/>
        </w:rPr>
        <w:t xml:space="preserve">a prima facie </w:t>
      </w:r>
      <w:r w:rsidR="004C2DFA" w:rsidRPr="00124500">
        <w:rPr>
          <w:rStyle w:val="SingleTxtGChar"/>
        </w:rPr>
        <w:t xml:space="preserve">case </w:t>
      </w:r>
      <w:r w:rsidR="00E40C74" w:rsidRPr="00124500">
        <w:rPr>
          <w:rStyle w:val="SingleTxtGChar"/>
        </w:rPr>
        <w:t xml:space="preserve">showing </w:t>
      </w:r>
      <w:r w:rsidRPr="00124500">
        <w:rPr>
          <w:rStyle w:val="SingleTxtGChar"/>
        </w:rPr>
        <w:t xml:space="preserve">that the differential treatment was based on racial discrimination, </w:t>
      </w:r>
      <w:r w:rsidR="00325B67" w:rsidRPr="00124500">
        <w:rPr>
          <w:rStyle w:val="SingleTxtGChar"/>
        </w:rPr>
        <w:t xml:space="preserve">and that </w:t>
      </w:r>
      <w:r w:rsidRPr="00124500">
        <w:rPr>
          <w:rStyle w:val="SingleTxtGChar"/>
        </w:rPr>
        <w:t xml:space="preserve">the school therefore </w:t>
      </w:r>
      <w:r w:rsidR="00E40C74" w:rsidRPr="00124500">
        <w:rPr>
          <w:rStyle w:val="SingleTxtGChar"/>
        </w:rPr>
        <w:t xml:space="preserve">bore </w:t>
      </w:r>
      <w:r w:rsidRPr="00124500">
        <w:rPr>
          <w:rStyle w:val="SingleTxtGChar"/>
        </w:rPr>
        <w:t>the burden o</w:t>
      </w:r>
      <w:r w:rsidR="00BE1830" w:rsidRPr="00124500">
        <w:rPr>
          <w:rStyle w:val="SingleTxtGChar"/>
        </w:rPr>
        <w:t>f</w:t>
      </w:r>
      <w:r w:rsidRPr="00124500">
        <w:rPr>
          <w:rStyle w:val="SingleTxtGChar"/>
        </w:rPr>
        <w:t xml:space="preserve"> </w:t>
      </w:r>
      <w:r w:rsidR="00C70F51">
        <w:rPr>
          <w:rStyle w:val="SingleTxtGChar"/>
        </w:rPr>
        <w:t xml:space="preserve">proof to demonstrate </w:t>
      </w:r>
      <w:r w:rsidRPr="00124500">
        <w:rPr>
          <w:rStyle w:val="SingleTxtGChar"/>
        </w:rPr>
        <w:t xml:space="preserve"> that no discrimination took place by providing </w:t>
      </w:r>
      <w:r w:rsidR="00E40C74" w:rsidRPr="00124500">
        <w:rPr>
          <w:rStyle w:val="SingleTxtGChar"/>
        </w:rPr>
        <w:t xml:space="preserve">reasonable </w:t>
      </w:r>
      <w:r w:rsidRPr="00124500">
        <w:rPr>
          <w:rStyle w:val="SingleTxtGChar"/>
        </w:rPr>
        <w:t xml:space="preserve">and convincing arguments. She </w:t>
      </w:r>
      <w:r w:rsidR="00325B67" w:rsidRPr="00124500">
        <w:rPr>
          <w:rStyle w:val="SingleTxtGChar"/>
        </w:rPr>
        <w:t xml:space="preserve">argued </w:t>
      </w:r>
      <w:r w:rsidRPr="00124500">
        <w:rPr>
          <w:rStyle w:val="SingleTxtGChar"/>
        </w:rPr>
        <w:t xml:space="preserve">that the District Court had wrongly assessed the facts and evidence </w:t>
      </w:r>
      <w:r w:rsidR="00325B67" w:rsidRPr="00124500">
        <w:rPr>
          <w:rStyle w:val="SingleTxtGChar"/>
        </w:rPr>
        <w:t xml:space="preserve">provided </w:t>
      </w:r>
      <w:r w:rsidRPr="00124500">
        <w:rPr>
          <w:rStyle w:val="SingleTxtGChar"/>
        </w:rPr>
        <w:t xml:space="preserve">by the school and that its arguments should not have been considered as reasonable and convincing. On 16 August 2011, the Regional Court </w:t>
      </w:r>
      <w:r w:rsidR="00E40C74" w:rsidRPr="00124500">
        <w:rPr>
          <w:rStyle w:val="SingleTxtGChar"/>
        </w:rPr>
        <w:t xml:space="preserve">affirmed </w:t>
      </w:r>
      <w:r w:rsidRPr="00124500">
        <w:rPr>
          <w:rStyle w:val="SingleTxtGChar"/>
        </w:rPr>
        <w:t xml:space="preserve">the District Court decision and its assessment </w:t>
      </w:r>
      <w:r w:rsidR="00325B67" w:rsidRPr="00124500">
        <w:rPr>
          <w:rStyle w:val="SingleTxtGChar"/>
        </w:rPr>
        <w:t xml:space="preserve">of </w:t>
      </w:r>
      <w:r w:rsidRPr="00124500">
        <w:rPr>
          <w:rStyle w:val="SingleTxtGChar"/>
        </w:rPr>
        <w:t>the arguments presented by the school</w:t>
      </w:r>
      <w:r w:rsidR="00325B67" w:rsidRPr="00124500">
        <w:rPr>
          <w:rStyle w:val="SingleTxtGChar"/>
        </w:rPr>
        <w:t>. It therefore</w:t>
      </w:r>
      <w:r w:rsidRPr="00124500">
        <w:rPr>
          <w:rStyle w:val="SingleTxtGChar"/>
        </w:rPr>
        <w:t xml:space="preserve"> </w:t>
      </w:r>
      <w:r w:rsidR="00E40C74" w:rsidRPr="00124500">
        <w:rPr>
          <w:rStyle w:val="SingleTxtGChar"/>
        </w:rPr>
        <w:t xml:space="preserve">found </w:t>
      </w:r>
      <w:r w:rsidRPr="00124500">
        <w:rPr>
          <w:rStyle w:val="SingleTxtGChar"/>
        </w:rPr>
        <w:t xml:space="preserve">the petitioner’s appeal </w:t>
      </w:r>
      <w:r w:rsidR="00E40C74" w:rsidRPr="00124500">
        <w:rPr>
          <w:rStyle w:val="SingleTxtGChar"/>
        </w:rPr>
        <w:t xml:space="preserve">to be </w:t>
      </w:r>
      <w:r w:rsidRPr="00124500">
        <w:rPr>
          <w:rStyle w:val="SingleTxtGChar"/>
        </w:rPr>
        <w:t xml:space="preserve">manifestly ill-founded. </w:t>
      </w:r>
      <w:r w:rsidR="00E40C74" w:rsidRPr="00124500">
        <w:rPr>
          <w:rStyle w:val="SingleTxtGChar"/>
        </w:rPr>
        <w:t>Unlike</w:t>
      </w:r>
      <w:r w:rsidRPr="00124500">
        <w:rPr>
          <w:rStyle w:val="SingleTxtGChar"/>
        </w:rPr>
        <w:t xml:space="preserve"> </w:t>
      </w:r>
      <w:r w:rsidR="00342F9B">
        <w:rPr>
          <w:rStyle w:val="SingleTxtGChar"/>
        </w:rPr>
        <w:t xml:space="preserve">in </w:t>
      </w:r>
      <w:r w:rsidRPr="00124500">
        <w:rPr>
          <w:rStyle w:val="SingleTxtGChar"/>
        </w:rPr>
        <w:t xml:space="preserve">the District Court opinion, it considered that the petitioner had not </w:t>
      </w:r>
      <w:r w:rsidR="00E40C74" w:rsidRPr="00124500">
        <w:rPr>
          <w:rStyle w:val="SingleTxtGChar"/>
        </w:rPr>
        <w:t>established</w:t>
      </w:r>
      <w:r w:rsidRPr="00124500">
        <w:rPr>
          <w:rStyle w:val="SingleTxtGChar"/>
        </w:rPr>
        <w:t xml:space="preserve"> a prima facie case </w:t>
      </w:r>
      <w:r w:rsidR="00F008ED" w:rsidRPr="00124500">
        <w:rPr>
          <w:rStyle w:val="SingleTxtGChar"/>
        </w:rPr>
        <w:t xml:space="preserve">that </w:t>
      </w:r>
      <w:r w:rsidRPr="00124500">
        <w:rPr>
          <w:rStyle w:val="SingleTxtGChar"/>
        </w:rPr>
        <w:t>discrimination</w:t>
      </w:r>
      <w:r w:rsidR="00301D8B">
        <w:rPr>
          <w:rStyle w:val="SingleTxtGChar"/>
        </w:rPr>
        <w:t xml:space="preserve"> had</w:t>
      </w:r>
      <w:r w:rsidRPr="00124500">
        <w:rPr>
          <w:rStyle w:val="SingleTxtGChar"/>
        </w:rPr>
        <w:t xml:space="preserve"> occurred.</w:t>
      </w:r>
    </w:p>
    <w:p w14:paraId="5A431B46" w14:textId="77777777" w:rsidR="00A54283" w:rsidRPr="00124500" w:rsidRDefault="00A54283" w:rsidP="00F579C4">
      <w:pPr>
        <w:suppressAutoHyphens w:val="0"/>
        <w:autoSpaceDE w:val="0"/>
        <w:autoSpaceDN w:val="0"/>
        <w:spacing w:after="120" w:line="240" w:lineRule="auto"/>
        <w:ind w:left="1134" w:right="1134"/>
        <w:jc w:val="both"/>
        <w:rPr>
          <w:rStyle w:val="SingleTxtGChar"/>
        </w:rPr>
      </w:pPr>
      <w:r w:rsidRPr="00BE1830">
        <w:rPr>
          <w:rFonts w:cs="Calibri"/>
          <w:lang w:eastAsia="fr-FR"/>
        </w:rPr>
        <w:t>2.7</w:t>
      </w:r>
      <w:r w:rsidRPr="00BE1830">
        <w:rPr>
          <w:rFonts w:cs="Calibri"/>
          <w:lang w:eastAsia="fr-FR"/>
        </w:rPr>
        <w:tab/>
      </w:r>
      <w:r w:rsidRPr="00124500">
        <w:rPr>
          <w:rStyle w:val="SingleTxtGChar"/>
        </w:rPr>
        <w:t xml:space="preserve">On 19 September 2011, the petitioner filed </w:t>
      </w:r>
      <w:r w:rsidR="00F66095">
        <w:rPr>
          <w:rStyle w:val="SingleTxtGChar"/>
        </w:rPr>
        <w:t xml:space="preserve">for </w:t>
      </w:r>
      <w:r w:rsidRPr="00124500">
        <w:rPr>
          <w:rStyle w:val="SingleTxtGChar"/>
        </w:rPr>
        <w:t>an extraordinary recourse</w:t>
      </w:r>
      <w:r w:rsidRPr="006469B8">
        <w:rPr>
          <w:rStyle w:val="FootnoteReference"/>
        </w:rPr>
        <w:footnoteReference w:id="12"/>
      </w:r>
      <w:r w:rsidRPr="00124500">
        <w:rPr>
          <w:rStyle w:val="SingleTxtGChar"/>
        </w:rPr>
        <w:t xml:space="preserve"> </w:t>
      </w:r>
      <w:r w:rsidR="00F66095">
        <w:rPr>
          <w:rStyle w:val="SingleTxtGChar"/>
        </w:rPr>
        <w:t>with</w:t>
      </w:r>
      <w:r w:rsidR="00F66095" w:rsidRPr="00124500">
        <w:rPr>
          <w:rStyle w:val="SingleTxtGChar"/>
        </w:rPr>
        <w:t xml:space="preserve"> </w:t>
      </w:r>
      <w:r w:rsidRPr="00124500">
        <w:rPr>
          <w:rStyle w:val="SingleTxtGChar"/>
        </w:rPr>
        <w:t xml:space="preserve">the Supreme Court against the Regional Court decision, claiming that her right to a fair trial </w:t>
      </w:r>
      <w:r w:rsidR="00342F9B">
        <w:rPr>
          <w:rStyle w:val="SingleTxtGChar"/>
        </w:rPr>
        <w:t>had been</w:t>
      </w:r>
      <w:r w:rsidR="00342F9B" w:rsidRPr="00124500">
        <w:rPr>
          <w:rStyle w:val="SingleTxtGChar"/>
        </w:rPr>
        <w:t xml:space="preserve"> </w:t>
      </w:r>
      <w:r w:rsidRPr="00124500">
        <w:rPr>
          <w:rStyle w:val="SingleTxtGChar"/>
        </w:rPr>
        <w:t>violated</w:t>
      </w:r>
      <w:r w:rsidR="00A66562">
        <w:rPr>
          <w:rStyle w:val="SingleTxtGChar"/>
        </w:rPr>
        <w:t>,</w:t>
      </w:r>
      <w:r w:rsidRPr="00124500">
        <w:rPr>
          <w:rStyle w:val="SingleTxtGChar"/>
        </w:rPr>
        <w:t xml:space="preserve"> since the Regional </w:t>
      </w:r>
      <w:r w:rsidR="001A0150" w:rsidRPr="00124500">
        <w:rPr>
          <w:rStyle w:val="SingleTxtGChar"/>
        </w:rPr>
        <w:t>C</w:t>
      </w:r>
      <w:r w:rsidRPr="00124500">
        <w:rPr>
          <w:rStyle w:val="SingleTxtGChar"/>
        </w:rPr>
        <w:t xml:space="preserve">ourt </w:t>
      </w:r>
      <w:r w:rsidR="00342F9B">
        <w:rPr>
          <w:rStyle w:val="SingleTxtGChar"/>
        </w:rPr>
        <w:t xml:space="preserve">had </w:t>
      </w:r>
      <w:r w:rsidRPr="00124500">
        <w:rPr>
          <w:rStyle w:val="SingleTxtGChar"/>
        </w:rPr>
        <w:t xml:space="preserve">disregarded her arguments for appealing the decision of the District Court without properly examining them and </w:t>
      </w:r>
      <w:r w:rsidR="00325B67" w:rsidRPr="00124500">
        <w:rPr>
          <w:rStyle w:val="SingleTxtGChar"/>
        </w:rPr>
        <w:t xml:space="preserve">that </w:t>
      </w:r>
      <w:r w:rsidRPr="00124500">
        <w:rPr>
          <w:rStyle w:val="SingleTxtGChar"/>
        </w:rPr>
        <w:t xml:space="preserve">the decision of the Regional </w:t>
      </w:r>
      <w:r w:rsidR="004570F3">
        <w:rPr>
          <w:rStyle w:val="SingleTxtGChar"/>
        </w:rPr>
        <w:t>C</w:t>
      </w:r>
      <w:r w:rsidRPr="00124500">
        <w:rPr>
          <w:rStyle w:val="SingleTxtGChar"/>
        </w:rPr>
        <w:t xml:space="preserve">ourt was </w:t>
      </w:r>
      <w:r w:rsidR="00325B67" w:rsidRPr="00124500">
        <w:rPr>
          <w:rStyle w:val="SingleTxtGChar"/>
        </w:rPr>
        <w:t xml:space="preserve">therefore </w:t>
      </w:r>
      <w:r w:rsidRPr="00124500">
        <w:rPr>
          <w:rStyle w:val="SingleTxtGChar"/>
        </w:rPr>
        <w:t>arbitrary. The petitioner considered that</w:t>
      </w:r>
      <w:r w:rsidR="00E40C74" w:rsidRPr="00124500">
        <w:rPr>
          <w:rStyle w:val="SingleTxtGChar"/>
        </w:rPr>
        <w:t>,</w:t>
      </w:r>
      <w:r w:rsidRPr="00124500">
        <w:rPr>
          <w:rStyle w:val="SingleTxtGChar"/>
        </w:rPr>
        <w:t xml:space="preserve"> </w:t>
      </w:r>
      <w:r w:rsidR="00E40C74" w:rsidRPr="00124500">
        <w:rPr>
          <w:rStyle w:val="SingleTxtGChar"/>
        </w:rPr>
        <w:t xml:space="preserve">by interpreting the domestic legislation in a restrictive manner, </w:t>
      </w:r>
      <w:r w:rsidRPr="00124500">
        <w:rPr>
          <w:rStyle w:val="SingleTxtGChar"/>
        </w:rPr>
        <w:t>the Regional Court did not provide effective protection of her rights</w:t>
      </w:r>
      <w:r w:rsidR="00E40C74" w:rsidRPr="00124500">
        <w:rPr>
          <w:rStyle w:val="SingleTxtGChar"/>
        </w:rPr>
        <w:t>.</w:t>
      </w:r>
      <w:r w:rsidRPr="00124500">
        <w:rPr>
          <w:rStyle w:val="SingleTxtGChar"/>
        </w:rPr>
        <w:t xml:space="preserve"> She proposed that the case be submitted to the Court of Justice of the European Union for a preliminary ruling on the interpretation of E</w:t>
      </w:r>
      <w:r w:rsidR="00342F9B">
        <w:rPr>
          <w:rStyle w:val="SingleTxtGChar"/>
        </w:rPr>
        <w:t xml:space="preserve">uropean </w:t>
      </w:r>
      <w:r w:rsidRPr="00124500">
        <w:rPr>
          <w:rStyle w:val="SingleTxtGChar"/>
        </w:rPr>
        <w:t>U</w:t>
      </w:r>
      <w:r w:rsidR="00342F9B">
        <w:rPr>
          <w:rStyle w:val="SingleTxtGChar"/>
        </w:rPr>
        <w:t>nion</w:t>
      </w:r>
      <w:r w:rsidRPr="00124500">
        <w:rPr>
          <w:rStyle w:val="SingleTxtGChar"/>
        </w:rPr>
        <w:t xml:space="preserve"> law</w:t>
      </w:r>
      <w:r w:rsidR="00A7312B">
        <w:rPr>
          <w:rStyle w:val="SingleTxtGChar"/>
        </w:rPr>
        <w:t>.</w:t>
      </w:r>
      <w:r w:rsidRPr="00124500">
        <w:rPr>
          <w:rStyle w:val="SingleTxtGChar"/>
        </w:rPr>
        <w:t xml:space="preserve"> On 19 July 2012, the Supreme Court quashed the judg</w:t>
      </w:r>
      <w:r w:rsidR="00A66562">
        <w:rPr>
          <w:rStyle w:val="SingleTxtGChar"/>
        </w:rPr>
        <w:t>e</w:t>
      </w:r>
      <w:r w:rsidRPr="00124500">
        <w:rPr>
          <w:rStyle w:val="SingleTxtGChar"/>
        </w:rPr>
        <w:t>ment of the Regional Court dated 16 August 2011 on the ground that the reasoning of this decision was incoherent. However, the Supreme Court did not address the arguments presented by the petitioner</w:t>
      </w:r>
      <w:r w:rsidR="00342F9B">
        <w:rPr>
          <w:rStyle w:val="SingleTxtGChar"/>
        </w:rPr>
        <w:t>,</w:t>
      </w:r>
      <w:r w:rsidRPr="00124500">
        <w:rPr>
          <w:rStyle w:val="SingleTxtGChar"/>
        </w:rPr>
        <w:t xml:space="preserve"> in particular her request for a preliminary ruling by the Court of Justice of the E</w:t>
      </w:r>
      <w:r w:rsidR="00342F9B">
        <w:rPr>
          <w:rStyle w:val="SingleTxtGChar"/>
        </w:rPr>
        <w:t xml:space="preserve">uropean </w:t>
      </w:r>
      <w:r w:rsidRPr="00124500">
        <w:rPr>
          <w:rStyle w:val="SingleTxtGChar"/>
        </w:rPr>
        <w:t>U</w:t>
      </w:r>
      <w:r w:rsidR="00342F9B">
        <w:rPr>
          <w:rStyle w:val="SingleTxtGChar"/>
        </w:rPr>
        <w:t>nion</w:t>
      </w:r>
      <w:r w:rsidRPr="00124500">
        <w:rPr>
          <w:rStyle w:val="SingleTxtGChar"/>
        </w:rPr>
        <w:t>. The case was returned to the Regional Court of Banská Bystrica.</w:t>
      </w:r>
    </w:p>
    <w:p w14:paraId="5B7A2F8F" w14:textId="77777777" w:rsidR="00A54283" w:rsidRPr="00124500" w:rsidRDefault="00A54283" w:rsidP="00C30A18">
      <w:pPr>
        <w:suppressAutoHyphens w:val="0"/>
        <w:autoSpaceDE w:val="0"/>
        <w:autoSpaceDN w:val="0"/>
        <w:spacing w:after="120" w:line="240" w:lineRule="auto"/>
        <w:ind w:left="1134" w:right="1134"/>
        <w:jc w:val="both"/>
        <w:rPr>
          <w:rStyle w:val="SingleTxtGChar"/>
        </w:rPr>
      </w:pPr>
      <w:r w:rsidRPr="00BE1830">
        <w:rPr>
          <w:rFonts w:cs="Calibri"/>
          <w:lang w:eastAsia="fr-FR"/>
        </w:rPr>
        <w:t>2.8</w:t>
      </w:r>
      <w:r w:rsidRPr="00BE1830">
        <w:rPr>
          <w:rFonts w:cs="Calibri"/>
          <w:lang w:eastAsia="fr-FR"/>
        </w:rPr>
        <w:tab/>
      </w:r>
      <w:r w:rsidRPr="00124500">
        <w:rPr>
          <w:rStyle w:val="SingleTxtGChar"/>
        </w:rPr>
        <w:t xml:space="preserve">On 27 November 2012, the Regional Court </w:t>
      </w:r>
      <w:r w:rsidR="00A66562">
        <w:rPr>
          <w:rStyle w:val="SingleTxtGChar"/>
        </w:rPr>
        <w:t>re</w:t>
      </w:r>
      <w:r w:rsidR="00FF34C6" w:rsidRPr="00124500">
        <w:rPr>
          <w:rStyle w:val="SingleTxtGChar"/>
        </w:rPr>
        <w:t xml:space="preserve">affirmed </w:t>
      </w:r>
      <w:r w:rsidRPr="00124500">
        <w:rPr>
          <w:rStyle w:val="SingleTxtGChar"/>
        </w:rPr>
        <w:t>the decision of the District Court</w:t>
      </w:r>
      <w:r w:rsidR="001A0150" w:rsidRPr="00124500">
        <w:rPr>
          <w:rStyle w:val="SingleTxtGChar"/>
        </w:rPr>
        <w:t>,</w:t>
      </w:r>
      <w:r w:rsidRPr="00124500">
        <w:rPr>
          <w:rStyle w:val="SingleTxtGChar"/>
        </w:rPr>
        <w:t xml:space="preserve"> </w:t>
      </w:r>
      <w:r w:rsidR="00193567" w:rsidRPr="00124500">
        <w:rPr>
          <w:rStyle w:val="SingleTxtGChar"/>
        </w:rPr>
        <w:t>supporting the reasoning applied</w:t>
      </w:r>
      <w:r w:rsidRPr="00124500">
        <w:rPr>
          <w:rStyle w:val="SingleTxtGChar"/>
        </w:rPr>
        <w:t>. It still considered the appeal of the petitioner to be ill-founded as</w:t>
      </w:r>
      <w:r w:rsidR="00FF34C6" w:rsidRPr="00124500">
        <w:rPr>
          <w:rStyle w:val="SingleTxtGChar"/>
        </w:rPr>
        <w:t>,</w:t>
      </w:r>
      <w:r w:rsidRPr="00124500">
        <w:rPr>
          <w:rStyle w:val="SingleTxtGChar"/>
        </w:rPr>
        <w:t xml:space="preserve"> on the basis of the evidence provided, it could not be considered that the District Court </w:t>
      </w:r>
      <w:r w:rsidR="00301D8B">
        <w:rPr>
          <w:rStyle w:val="SingleTxtGChar"/>
        </w:rPr>
        <w:t xml:space="preserve">had </w:t>
      </w:r>
      <w:r w:rsidRPr="00124500">
        <w:rPr>
          <w:rStyle w:val="SingleTxtGChar"/>
        </w:rPr>
        <w:t>wrongly assessed the facts. The Regional Court considered that</w:t>
      </w:r>
      <w:r w:rsidR="00301D8B">
        <w:rPr>
          <w:rStyle w:val="SingleTxtGChar"/>
        </w:rPr>
        <w:t>,</w:t>
      </w:r>
      <w:r w:rsidRPr="00124500">
        <w:rPr>
          <w:rStyle w:val="SingleTxtGChar"/>
        </w:rPr>
        <w:t xml:space="preserve"> because </w:t>
      </w:r>
      <w:r w:rsidRPr="00124500">
        <w:rPr>
          <w:rStyle w:val="SingleTxtGChar"/>
        </w:rPr>
        <w:lastRenderedPageBreak/>
        <w:t xml:space="preserve">of the competitiveness between jobseekers, the non-hiring of a person of Roma origin that </w:t>
      </w:r>
      <w:r w:rsidR="00301D8B">
        <w:rPr>
          <w:rStyle w:val="SingleTxtGChar"/>
        </w:rPr>
        <w:t>wa</w:t>
      </w:r>
      <w:r w:rsidRPr="00124500">
        <w:rPr>
          <w:rStyle w:val="SingleTxtGChar"/>
        </w:rPr>
        <w:t xml:space="preserve">s supported by logical and sensible reasons </w:t>
      </w:r>
      <w:r w:rsidR="00FF34C6" w:rsidRPr="00124500">
        <w:rPr>
          <w:rStyle w:val="SingleTxtGChar"/>
        </w:rPr>
        <w:t>d</w:t>
      </w:r>
      <w:r w:rsidR="00301D8B">
        <w:rPr>
          <w:rStyle w:val="SingleTxtGChar"/>
        </w:rPr>
        <w:t>id</w:t>
      </w:r>
      <w:r w:rsidR="00FF34C6" w:rsidRPr="00124500">
        <w:rPr>
          <w:rStyle w:val="SingleTxtGChar"/>
        </w:rPr>
        <w:t xml:space="preserve"> not </w:t>
      </w:r>
      <w:r w:rsidRPr="00124500">
        <w:rPr>
          <w:rStyle w:val="SingleTxtGChar"/>
        </w:rPr>
        <w:t xml:space="preserve">ipso facto </w:t>
      </w:r>
      <w:r w:rsidR="00FF34C6" w:rsidRPr="00124500">
        <w:rPr>
          <w:rStyle w:val="SingleTxtGChar"/>
        </w:rPr>
        <w:t>constitute</w:t>
      </w:r>
      <w:r w:rsidRPr="00124500">
        <w:rPr>
          <w:rStyle w:val="SingleTxtGChar"/>
        </w:rPr>
        <w:t xml:space="preserve"> discriminatory treatment</w:t>
      </w:r>
      <w:r w:rsidR="001A0150" w:rsidRPr="00124500">
        <w:rPr>
          <w:rStyle w:val="SingleTxtGChar"/>
        </w:rPr>
        <w:t xml:space="preserve"> on </w:t>
      </w:r>
      <w:r w:rsidR="00A66562">
        <w:rPr>
          <w:rStyle w:val="SingleTxtGChar"/>
        </w:rPr>
        <w:t xml:space="preserve">the </w:t>
      </w:r>
      <w:r w:rsidR="001A0150" w:rsidRPr="00124500">
        <w:rPr>
          <w:rStyle w:val="SingleTxtGChar"/>
        </w:rPr>
        <w:t>ground of race</w:t>
      </w:r>
      <w:r w:rsidRPr="00124500">
        <w:rPr>
          <w:rStyle w:val="SingleTxtGChar"/>
        </w:rPr>
        <w:t xml:space="preserve">. </w:t>
      </w:r>
    </w:p>
    <w:p w14:paraId="797F66B3" w14:textId="77777777" w:rsidR="00A54283" w:rsidRPr="00124500" w:rsidRDefault="00A54283">
      <w:pPr>
        <w:suppressAutoHyphens w:val="0"/>
        <w:autoSpaceDE w:val="0"/>
        <w:autoSpaceDN w:val="0"/>
        <w:spacing w:after="120" w:line="240" w:lineRule="auto"/>
        <w:ind w:left="1134" w:right="1134"/>
        <w:jc w:val="both"/>
        <w:rPr>
          <w:rStyle w:val="SingleTxtGChar"/>
        </w:rPr>
      </w:pPr>
      <w:r w:rsidRPr="00BE1830">
        <w:rPr>
          <w:rFonts w:cs="Calibri"/>
          <w:lang w:eastAsia="fr-FR"/>
        </w:rPr>
        <w:t>2.9</w:t>
      </w:r>
      <w:r w:rsidRPr="00BE1830">
        <w:rPr>
          <w:rFonts w:cs="Calibri"/>
          <w:lang w:eastAsia="fr-FR"/>
        </w:rPr>
        <w:tab/>
      </w:r>
      <w:r w:rsidRPr="00124500">
        <w:rPr>
          <w:rStyle w:val="SingleTxtGChar"/>
        </w:rPr>
        <w:t>On 2</w:t>
      </w:r>
      <w:r w:rsidR="00395336" w:rsidRPr="00124500">
        <w:rPr>
          <w:rStyle w:val="SingleTxtGChar"/>
        </w:rPr>
        <w:t>5</w:t>
      </w:r>
      <w:r w:rsidRPr="00124500">
        <w:rPr>
          <w:rStyle w:val="SingleTxtGChar"/>
        </w:rPr>
        <w:t xml:space="preserve"> </w:t>
      </w:r>
      <w:r w:rsidR="00395336" w:rsidRPr="00124500">
        <w:rPr>
          <w:rStyle w:val="SingleTxtGChar"/>
        </w:rPr>
        <w:t>January</w:t>
      </w:r>
      <w:r w:rsidRPr="00124500">
        <w:rPr>
          <w:rStyle w:val="SingleTxtGChar"/>
        </w:rPr>
        <w:t xml:space="preserve"> 2013, the </w:t>
      </w:r>
      <w:r w:rsidR="001A0150" w:rsidRPr="00124500">
        <w:rPr>
          <w:rStyle w:val="SingleTxtGChar"/>
        </w:rPr>
        <w:t>p</w:t>
      </w:r>
      <w:r w:rsidRPr="00124500">
        <w:rPr>
          <w:rStyle w:val="SingleTxtGChar"/>
        </w:rPr>
        <w:t xml:space="preserve">etitioner filed a constitutional complaint </w:t>
      </w:r>
      <w:r w:rsidR="00301D8B">
        <w:rPr>
          <w:rStyle w:val="SingleTxtGChar"/>
        </w:rPr>
        <w:t>with</w:t>
      </w:r>
      <w:r w:rsidR="00301D8B" w:rsidRPr="00124500">
        <w:rPr>
          <w:rStyle w:val="SingleTxtGChar"/>
        </w:rPr>
        <w:t xml:space="preserve"> </w:t>
      </w:r>
      <w:r w:rsidRPr="00124500">
        <w:rPr>
          <w:rStyle w:val="SingleTxtGChar"/>
        </w:rPr>
        <w:t>the Constitutional Court</w:t>
      </w:r>
      <w:r w:rsidR="00A66562">
        <w:rPr>
          <w:rStyle w:val="SingleTxtGChar"/>
        </w:rPr>
        <w:t>,</w:t>
      </w:r>
      <w:r w:rsidRPr="00124500">
        <w:rPr>
          <w:rStyle w:val="SingleTxtGChar"/>
        </w:rPr>
        <w:t xml:space="preserve"> claiming that all the domestic courts </w:t>
      </w:r>
      <w:r w:rsidR="00A66562">
        <w:rPr>
          <w:rStyle w:val="SingleTxtGChar"/>
        </w:rPr>
        <w:t>had come</w:t>
      </w:r>
      <w:r w:rsidR="00A66562" w:rsidRPr="00124500">
        <w:rPr>
          <w:rStyle w:val="SingleTxtGChar"/>
        </w:rPr>
        <w:t xml:space="preserve"> </w:t>
      </w:r>
      <w:r w:rsidRPr="00124500">
        <w:rPr>
          <w:rStyle w:val="SingleTxtGChar"/>
        </w:rPr>
        <w:t xml:space="preserve">to conclusions that </w:t>
      </w:r>
      <w:r w:rsidR="00301D8B">
        <w:rPr>
          <w:rStyle w:val="SingleTxtGChar"/>
        </w:rPr>
        <w:t>we</w:t>
      </w:r>
      <w:r w:rsidRPr="00124500">
        <w:rPr>
          <w:rStyle w:val="SingleTxtGChar"/>
        </w:rPr>
        <w:t>re arbitrary, unjustifiable and unsustainable, resulting in a breach of her fundamental rights and freedoms guaranteed by the Constitution</w:t>
      </w:r>
      <w:r w:rsidR="00301D8B">
        <w:rPr>
          <w:rStyle w:val="SingleTxtGChar"/>
        </w:rPr>
        <w:t xml:space="preserve"> of Slovakia</w:t>
      </w:r>
      <w:r w:rsidRPr="00124500">
        <w:rPr>
          <w:rStyle w:val="SingleTxtGChar"/>
        </w:rPr>
        <w:t xml:space="preserve"> </w:t>
      </w:r>
      <w:r w:rsidR="00301D8B">
        <w:rPr>
          <w:rStyle w:val="SingleTxtGChar"/>
        </w:rPr>
        <w:t>and</w:t>
      </w:r>
      <w:r w:rsidRPr="00124500">
        <w:rPr>
          <w:rStyle w:val="SingleTxtGChar"/>
        </w:rPr>
        <w:t xml:space="preserve"> the Convention (arts</w:t>
      </w:r>
      <w:r w:rsidR="00EC6947">
        <w:rPr>
          <w:rStyle w:val="SingleTxtGChar"/>
        </w:rPr>
        <w:t>. </w:t>
      </w:r>
      <w:r w:rsidRPr="00124500">
        <w:rPr>
          <w:rStyle w:val="SingleTxtGChar"/>
        </w:rPr>
        <w:t>5 and 6) and other international treaties. On 10 July 2013, the Constitutional Court dismissed the petitioner</w:t>
      </w:r>
      <w:r w:rsidR="00193567" w:rsidRPr="00124500">
        <w:rPr>
          <w:rStyle w:val="SingleTxtGChar"/>
        </w:rPr>
        <w:t>’s</w:t>
      </w:r>
      <w:r w:rsidRPr="00124500">
        <w:rPr>
          <w:rStyle w:val="SingleTxtGChar"/>
        </w:rPr>
        <w:t xml:space="preserve"> </w:t>
      </w:r>
      <w:r w:rsidR="00FF34C6" w:rsidRPr="00124500">
        <w:rPr>
          <w:rStyle w:val="SingleTxtGChar"/>
        </w:rPr>
        <w:t xml:space="preserve">complaint </w:t>
      </w:r>
      <w:r w:rsidRPr="00124500">
        <w:rPr>
          <w:rStyle w:val="SingleTxtGChar"/>
        </w:rPr>
        <w:t xml:space="preserve">as groundless. It reviewed the decisions of the domestic courts and </w:t>
      </w:r>
      <w:r w:rsidR="00301D8B">
        <w:rPr>
          <w:rStyle w:val="SingleTxtGChar"/>
        </w:rPr>
        <w:t>came to the conclusion</w:t>
      </w:r>
      <w:r w:rsidR="00301D8B" w:rsidRPr="00124500">
        <w:rPr>
          <w:rStyle w:val="SingleTxtGChar"/>
        </w:rPr>
        <w:t xml:space="preserve"> </w:t>
      </w:r>
      <w:r w:rsidRPr="00124500">
        <w:rPr>
          <w:rStyle w:val="SingleTxtGChar"/>
        </w:rPr>
        <w:t>that they gave clear and comprehensible answers to all relevant legal and factual issues relating to the judicial protection of the petitioner’s rights as her arguments were duly taken into account by the various courts</w:t>
      </w:r>
      <w:r w:rsidR="00193567" w:rsidRPr="00124500">
        <w:rPr>
          <w:rStyle w:val="SingleTxtGChar"/>
        </w:rPr>
        <w:t>, and that her rights had therefore not been violated</w:t>
      </w:r>
      <w:r w:rsidRPr="00124500">
        <w:rPr>
          <w:rStyle w:val="SingleTxtGChar"/>
        </w:rPr>
        <w:t>.</w:t>
      </w:r>
    </w:p>
    <w:p w14:paraId="2793D47E" w14:textId="77777777" w:rsidR="00A54283" w:rsidRPr="00124500" w:rsidRDefault="00A54283" w:rsidP="00A54283">
      <w:pPr>
        <w:suppressAutoHyphens w:val="0"/>
        <w:autoSpaceDE w:val="0"/>
        <w:autoSpaceDN w:val="0"/>
        <w:spacing w:after="240" w:line="240" w:lineRule="auto"/>
        <w:ind w:left="1134" w:right="1134"/>
        <w:jc w:val="both"/>
        <w:rPr>
          <w:rStyle w:val="SingleTxtGChar"/>
        </w:rPr>
      </w:pPr>
      <w:r w:rsidRPr="00BE1830">
        <w:rPr>
          <w:rFonts w:cs="Calibri"/>
          <w:lang w:eastAsia="fr-FR"/>
        </w:rPr>
        <w:t>2.10</w:t>
      </w:r>
      <w:r w:rsidRPr="00BE1830">
        <w:rPr>
          <w:rFonts w:cs="Calibri"/>
          <w:lang w:eastAsia="fr-FR"/>
        </w:rPr>
        <w:tab/>
      </w:r>
      <w:r w:rsidRPr="00124500">
        <w:rPr>
          <w:rStyle w:val="SingleTxtGChar"/>
        </w:rPr>
        <w:t>The petitioner claims that she has exhausted all relevant domestic remedies. She indicates that the final decision of the Constitutional Court, dated 10 July 201</w:t>
      </w:r>
      <w:r w:rsidR="00395336" w:rsidRPr="00124500">
        <w:rPr>
          <w:rStyle w:val="SingleTxtGChar"/>
        </w:rPr>
        <w:t>3</w:t>
      </w:r>
      <w:r w:rsidRPr="00124500">
        <w:rPr>
          <w:rStyle w:val="SingleTxtGChar"/>
        </w:rPr>
        <w:t xml:space="preserve">, was only delivered to her via her </w:t>
      </w:r>
      <w:r w:rsidR="00395336" w:rsidRPr="00124500">
        <w:rPr>
          <w:rStyle w:val="SingleTxtGChar"/>
        </w:rPr>
        <w:t>c</w:t>
      </w:r>
      <w:r w:rsidRPr="00124500">
        <w:rPr>
          <w:rStyle w:val="SingleTxtGChar"/>
        </w:rPr>
        <w:t>ounsel on 7 November 2013</w:t>
      </w:r>
      <w:r w:rsidR="00C927EF" w:rsidRPr="00124500">
        <w:rPr>
          <w:rStyle w:val="SingleTxtGChar"/>
        </w:rPr>
        <w:t>.</w:t>
      </w:r>
      <w:r w:rsidRPr="00124500">
        <w:rPr>
          <w:rStyle w:val="SingleTxtGChar"/>
        </w:rPr>
        <w:t xml:space="preserve"> Thus, she argues that the present communication is submitted to the Committee within the </w:t>
      </w:r>
      <w:r w:rsidR="00301D8B">
        <w:rPr>
          <w:rStyle w:val="SingleTxtGChar"/>
        </w:rPr>
        <w:t>six-</w:t>
      </w:r>
      <w:r w:rsidRPr="00124500">
        <w:rPr>
          <w:rStyle w:val="SingleTxtGChar"/>
        </w:rPr>
        <w:t xml:space="preserve">month </w:t>
      </w:r>
      <w:r w:rsidR="00FF34C6" w:rsidRPr="00124500">
        <w:rPr>
          <w:rStyle w:val="SingleTxtGChar"/>
        </w:rPr>
        <w:t xml:space="preserve">period </w:t>
      </w:r>
      <w:r w:rsidR="00395336" w:rsidRPr="00124500">
        <w:rPr>
          <w:rStyle w:val="SingleTxtGChar"/>
        </w:rPr>
        <w:t>stipulated</w:t>
      </w:r>
      <w:r w:rsidRPr="00124500">
        <w:rPr>
          <w:rStyle w:val="SingleTxtGChar"/>
        </w:rPr>
        <w:t xml:space="preserve"> </w:t>
      </w:r>
      <w:r w:rsidR="00395336" w:rsidRPr="00124500">
        <w:rPr>
          <w:rStyle w:val="SingleTxtGChar"/>
        </w:rPr>
        <w:t>in</w:t>
      </w:r>
      <w:r w:rsidRPr="00124500">
        <w:rPr>
          <w:rStyle w:val="SingleTxtGChar"/>
        </w:rPr>
        <w:t xml:space="preserve"> article 14</w:t>
      </w:r>
      <w:r w:rsidR="004570F3">
        <w:rPr>
          <w:rStyle w:val="SingleTxtGChar"/>
        </w:rPr>
        <w:t xml:space="preserve"> (</w:t>
      </w:r>
      <w:r w:rsidRPr="00124500">
        <w:rPr>
          <w:rStyle w:val="SingleTxtGChar"/>
        </w:rPr>
        <w:t>5</w:t>
      </w:r>
      <w:r w:rsidR="004570F3">
        <w:rPr>
          <w:rStyle w:val="SingleTxtGChar"/>
        </w:rPr>
        <w:t>)</w:t>
      </w:r>
      <w:r w:rsidR="00C927EF" w:rsidRPr="00124500">
        <w:rPr>
          <w:rStyle w:val="SingleTxtGChar"/>
        </w:rPr>
        <w:t xml:space="preserve"> </w:t>
      </w:r>
      <w:r w:rsidRPr="00124500">
        <w:rPr>
          <w:rStyle w:val="SingleTxtGChar"/>
        </w:rPr>
        <w:t>of the Convention.</w:t>
      </w:r>
    </w:p>
    <w:p w14:paraId="6D4BBC2A" w14:textId="77777777" w:rsidR="00061EEF" w:rsidRPr="009F7392" w:rsidRDefault="00061EEF" w:rsidP="00061EEF">
      <w:pPr>
        <w:pStyle w:val="H23G"/>
      </w:pPr>
      <w:r w:rsidRPr="009F7392">
        <w:tab/>
      </w:r>
      <w:r w:rsidRPr="009F7392">
        <w:tab/>
        <w:t>The complaint</w:t>
      </w:r>
    </w:p>
    <w:p w14:paraId="0D7E81A9" w14:textId="77777777" w:rsidR="0043018C" w:rsidRPr="007E481E" w:rsidRDefault="00A33271" w:rsidP="00C30A18">
      <w:pPr>
        <w:pStyle w:val="SingleTxtG"/>
        <w:rPr>
          <w:lang w:eastAsia="fr-FR"/>
        </w:rPr>
      </w:pPr>
      <w:r>
        <w:rPr>
          <w:lang w:eastAsia="fr-FR"/>
        </w:rPr>
        <w:t xml:space="preserve">3.1 </w:t>
      </w:r>
      <w:r w:rsidR="005749A2">
        <w:rPr>
          <w:lang w:eastAsia="fr-FR"/>
        </w:rPr>
        <w:tab/>
      </w:r>
      <w:r w:rsidR="0043018C" w:rsidRPr="007E481E">
        <w:rPr>
          <w:lang w:eastAsia="fr-FR"/>
        </w:rPr>
        <w:t>The petitioner claims to be victim of a violation by Slovak</w:t>
      </w:r>
      <w:r w:rsidR="00B479AA">
        <w:rPr>
          <w:lang w:eastAsia="fr-FR"/>
        </w:rPr>
        <w:t>ia</w:t>
      </w:r>
      <w:r w:rsidR="0043018C" w:rsidRPr="007E481E">
        <w:rPr>
          <w:lang w:eastAsia="fr-FR"/>
        </w:rPr>
        <w:t xml:space="preserve"> of article 2 </w:t>
      </w:r>
      <w:r w:rsidR="00FB20CB">
        <w:rPr>
          <w:lang w:eastAsia="fr-FR"/>
        </w:rPr>
        <w:t>(</w:t>
      </w:r>
      <w:r w:rsidR="0043018C" w:rsidRPr="007E481E">
        <w:rPr>
          <w:lang w:eastAsia="fr-FR"/>
        </w:rPr>
        <w:t>1</w:t>
      </w:r>
      <w:r w:rsidR="00FB20CB">
        <w:rPr>
          <w:lang w:eastAsia="fr-FR"/>
        </w:rPr>
        <w:t>)</w:t>
      </w:r>
      <w:r w:rsidR="0043018C" w:rsidRPr="007E481E">
        <w:rPr>
          <w:lang w:eastAsia="fr-FR"/>
        </w:rPr>
        <w:t xml:space="preserve"> (a)</w:t>
      </w:r>
      <w:r w:rsidR="00301D8B">
        <w:rPr>
          <w:lang w:eastAsia="fr-FR"/>
        </w:rPr>
        <w:t xml:space="preserve"> and</w:t>
      </w:r>
      <w:r w:rsidR="0043018C" w:rsidRPr="007E481E">
        <w:rPr>
          <w:lang w:eastAsia="fr-FR"/>
        </w:rPr>
        <w:t xml:space="preserve"> (c)</w:t>
      </w:r>
      <w:r w:rsidR="00301D8B">
        <w:rPr>
          <w:lang w:eastAsia="fr-FR"/>
        </w:rPr>
        <w:t>-</w:t>
      </w:r>
      <w:r w:rsidR="0043018C" w:rsidRPr="007E481E">
        <w:rPr>
          <w:lang w:eastAsia="fr-FR"/>
        </w:rPr>
        <w:t xml:space="preserve">(e) and </w:t>
      </w:r>
      <w:r w:rsidR="00FB20CB">
        <w:rPr>
          <w:lang w:eastAsia="fr-FR"/>
        </w:rPr>
        <w:t>(</w:t>
      </w:r>
      <w:r w:rsidR="0043018C" w:rsidRPr="007E481E">
        <w:rPr>
          <w:lang w:eastAsia="fr-FR"/>
        </w:rPr>
        <w:t>2</w:t>
      </w:r>
      <w:r w:rsidR="00FB20CB">
        <w:rPr>
          <w:lang w:eastAsia="fr-FR"/>
        </w:rPr>
        <w:t>)</w:t>
      </w:r>
      <w:r w:rsidR="0043018C" w:rsidRPr="007E481E">
        <w:rPr>
          <w:lang w:eastAsia="fr-FR"/>
        </w:rPr>
        <w:t xml:space="preserve">, read in conjunction with articles 5 </w:t>
      </w:r>
      <w:r w:rsidR="003B04B0" w:rsidRPr="007E481E">
        <w:rPr>
          <w:lang w:eastAsia="fr-FR"/>
        </w:rPr>
        <w:t>(</w:t>
      </w:r>
      <w:r w:rsidR="0043018C" w:rsidRPr="007E481E">
        <w:rPr>
          <w:lang w:eastAsia="fr-FR"/>
        </w:rPr>
        <w:t>e) (i) and 6</w:t>
      </w:r>
      <w:r w:rsidR="00301D8B">
        <w:rPr>
          <w:lang w:eastAsia="fr-FR"/>
        </w:rPr>
        <w:t>,</w:t>
      </w:r>
      <w:r w:rsidR="0043018C" w:rsidRPr="007E481E">
        <w:rPr>
          <w:lang w:eastAsia="fr-FR"/>
        </w:rPr>
        <w:t xml:space="preserve"> of the Convention. She maintains that the State party, through its national courts, </w:t>
      </w:r>
      <w:r w:rsidR="007827BD" w:rsidRPr="007E481E">
        <w:rPr>
          <w:lang w:eastAsia="fr-FR"/>
        </w:rPr>
        <w:t xml:space="preserve">has </w:t>
      </w:r>
      <w:r w:rsidR="0043018C" w:rsidRPr="007E481E">
        <w:rPr>
          <w:lang w:eastAsia="fr-FR"/>
        </w:rPr>
        <w:t xml:space="preserve">failed to </w:t>
      </w:r>
      <w:r w:rsidR="007827BD" w:rsidRPr="007E481E">
        <w:rPr>
          <w:lang w:eastAsia="fr-FR"/>
        </w:rPr>
        <w:t xml:space="preserve">provide her with </w:t>
      </w:r>
      <w:r w:rsidR="0043018C" w:rsidRPr="007E481E">
        <w:rPr>
          <w:lang w:eastAsia="fr-FR"/>
        </w:rPr>
        <w:t xml:space="preserve">effective protection and effective remedy against the racial discrimination </w:t>
      </w:r>
      <w:r w:rsidR="00301D8B">
        <w:rPr>
          <w:lang w:eastAsia="fr-FR"/>
        </w:rPr>
        <w:t xml:space="preserve">to which </w:t>
      </w:r>
      <w:r w:rsidR="0043018C" w:rsidRPr="007E481E">
        <w:rPr>
          <w:lang w:eastAsia="fr-FR"/>
        </w:rPr>
        <w:t xml:space="preserve">she has been subjected </w:t>
      </w:r>
      <w:r w:rsidR="00B132B7">
        <w:rPr>
          <w:lang w:eastAsia="fr-FR"/>
        </w:rPr>
        <w:t xml:space="preserve">in the context of recruitment procedures by a public </w:t>
      </w:r>
      <w:r w:rsidR="004C2DFA">
        <w:rPr>
          <w:lang w:eastAsia="fr-FR"/>
        </w:rPr>
        <w:t>e</w:t>
      </w:r>
      <w:r w:rsidR="00B71B63">
        <w:rPr>
          <w:lang w:eastAsia="fr-FR"/>
        </w:rPr>
        <w:t xml:space="preserve">lementary </w:t>
      </w:r>
      <w:r w:rsidR="004C2DFA">
        <w:rPr>
          <w:lang w:eastAsia="fr-FR"/>
        </w:rPr>
        <w:t>s</w:t>
      </w:r>
      <w:r w:rsidR="00B132B7">
        <w:rPr>
          <w:lang w:eastAsia="fr-FR"/>
        </w:rPr>
        <w:t>chool</w:t>
      </w:r>
      <w:r w:rsidR="00B71B63">
        <w:rPr>
          <w:lang w:eastAsia="fr-FR"/>
        </w:rPr>
        <w:t xml:space="preserve"> in Revú</w:t>
      </w:r>
      <w:r w:rsidR="00B71B63">
        <w:rPr>
          <w:lang w:val="cs-CZ" w:eastAsia="fr-FR"/>
        </w:rPr>
        <w:t>ca,</w:t>
      </w:r>
      <w:r w:rsidR="00B132B7">
        <w:rPr>
          <w:lang w:eastAsia="fr-FR"/>
        </w:rPr>
        <w:t xml:space="preserve"> </w:t>
      </w:r>
      <w:r w:rsidR="005B6D39">
        <w:rPr>
          <w:lang w:eastAsia="fr-FR"/>
        </w:rPr>
        <w:t xml:space="preserve"> and that the State Party has </w:t>
      </w:r>
      <w:r w:rsidR="0043018C" w:rsidRPr="007E481E">
        <w:rPr>
          <w:lang w:eastAsia="fr-FR"/>
        </w:rPr>
        <w:t>failed to take all appropriate measures to eliminate racial discrimination in the field of access to employment.</w:t>
      </w:r>
    </w:p>
    <w:p w14:paraId="4940E12C" w14:textId="77777777" w:rsidR="0043018C" w:rsidRPr="007E481E" w:rsidRDefault="00A33271">
      <w:pPr>
        <w:pStyle w:val="SingleTxtG"/>
        <w:rPr>
          <w:lang w:eastAsia="fr-FR"/>
        </w:rPr>
      </w:pPr>
      <w:r>
        <w:rPr>
          <w:lang w:eastAsia="fr-FR"/>
        </w:rPr>
        <w:t xml:space="preserve">3.2 </w:t>
      </w:r>
      <w:r w:rsidR="005749A2">
        <w:rPr>
          <w:lang w:eastAsia="fr-FR"/>
        </w:rPr>
        <w:tab/>
      </w:r>
      <w:r w:rsidR="0043018C" w:rsidRPr="007E481E">
        <w:rPr>
          <w:lang w:eastAsia="fr-FR"/>
        </w:rPr>
        <w:t>She states that the domestic courts of the State party disregarded her arguments</w:t>
      </w:r>
      <w:r w:rsidR="007827BD" w:rsidRPr="007E481E">
        <w:rPr>
          <w:lang w:eastAsia="fr-FR"/>
        </w:rPr>
        <w:t xml:space="preserve"> without any reasoning</w:t>
      </w:r>
      <w:r w:rsidR="00301D8B">
        <w:rPr>
          <w:lang w:eastAsia="fr-FR"/>
        </w:rPr>
        <w:t xml:space="preserve"> and</w:t>
      </w:r>
      <w:r w:rsidR="0043018C" w:rsidRPr="007E481E">
        <w:rPr>
          <w:lang w:eastAsia="fr-FR"/>
        </w:rPr>
        <w:t xml:space="preserve"> ignored</w:t>
      </w:r>
      <w:r w:rsidR="00CF0A12" w:rsidRPr="007E481E">
        <w:rPr>
          <w:lang w:eastAsia="fr-FR"/>
        </w:rPr>
        <w:t xml:space="preserve"> the</w:t>
      </w:r>
      <w:r w:rsidR="0043018C" w:rsidRPr="007E481E">
        <w:rPr>
          <w:lang w:eastAsia="fr-FR"/>
        </w:rPr>
        <w:t xml:space="preserve"> evidence she </w:t>
      </w:r>
      <w:r w:rsidR="00CF0A12" w:rsidRPr="007E481E">
        <w:rPr>
          <w:lang w:eastAsia="fr-FR"/>
        </w:rPr>
        <w:t>submitted</w:t>
      </w:r>
      <w:r w:rsidR="00301D8B">
        <w:rPr>
          <w:lang w:eastAsia="fr-FR"/>
        </w:rPr>
        <w:t xml:space="preserve"> and</w:t>
      </w:r>
      <w:r w:rsidR="0043018C" w:rsidRPr="007E481E">
        <w:rPr>
          <w:lang w:eastAsia="fr-FR"/>
        </w:rPr>
        <w:t xml:space="preserve"> her request to submit the case to the Court of Justice of the E</w:t>
      </w:r>
      <w:r w:rsidR="00301D8B">
        <w:rPr>
          <w:lang w:eastAsia="fr-FR"/>
        </w:rPr>
        <w:t xml:space="preserve">uropean </w:t>
      </w:r>
      <w:r w:rsidR="0043018C" w:rsidRPr="007E481E">
        <w:rPr>
          <w:lang w:eastAsia="fr-FR"/>
        </w:rPr>
        <w:t>U</w:t>
      </w:r>
      <w:r w:rsidR="00301D8B">
        <w:rPr>
          <w:lang w:eastAsia="fr-FR"/>
        </w:rPr>
        <w:t>nion</w:t>
      </w:r>
      <w:r w:rsidR="0043018C" w:rsidRPr="007E481E">
        <w:rPr>
          <w:lang w:eastAsia="fr-FR"/>
        </w:rPr>
        <w:t xml:space="preserve"> for a preliminary ruling. The </w:t>
      </w:r>
      <w:r w:rsidR="007E481E">
        <w:rPr>
          <w:lang w:eastAsia="fr-FR"/>
        </w:rPr>
        <w:t>p</w:t>
      </w:r>
      <w:r w:rsidR="0043018C" w:rsidRPr="007E481E">
        <w:rPr>
          <w:lang w:eastAsia="fr-FR"/>
        </w:rPr>
        <w:t xml:space="preserve">etitioner considers that the interpretation of the </w:t>
      </w:r>
      <w:r w:rsidR="00514090">
        <w:rPr>
          <w:lang w:eastAsia="fr-FR"/>
        </w:rPr>
        <w:t>a</w:t>
      </w:r>
      <w:r w:rsidR="0043018C" w:rsidRPr="007E481E">
        <w:rPr>
          <w:lang w:eastAsia="fr-FR"/>
        </w:rPr>
        <w:t>nti-discrimination legislation made by the District Court</w:t>
      </w:r>
      <w:r w:rsidR="00301D8B">
        <w:rPr>
          <w:lang w:eastAsia="fr-FR"/>
        </w:rPr>
        <w:t>,</w:t>
      </w:r>
      <w:r w:rsidR="0043018C" w:rsidRPr="007E481E">
        <w:rPr>
          <w:lang w:eastAsia="fr-FR"/>
        </w:rPr>
        <w:t xml:space="preserve"> according to which there is no protection provided </w:t>
      </w:r>
      <w:r w:rsidR="00301D8B">
        <w:rPr>
          <w:lang w:eastAsia="fr-FR"/>
        </w:rPr>
        <w:t>in</w:t>
      </w:r>
      <w:r w:rsidR="00301D8B" w:rsidRPr="007E481E">
        <w:rPr>
          <w:lang w:eastAsia="fr-FR"/>
        </w:rPr>
        <w:t xml:space="preserve"> </w:t>
      </w:r>
      <w:r w:rsidR="0043018C" w:rsidRPr="007E481E">
        <w:rPr>
          <w:lang w:eastAsia="fr-FR"/>
        </w:rPr>
        <w:t xml:space="preserve">law in cases of unequal treatment within recruitment procedures, </w:t>
      </w:r>
      <w:r w:rsidR="00301D8B">
        <w:rPr>
          <w:lang w:eastAsia="fr-FR"/>
        </w:rPr>
        <w:t>does</w:t>
      </w:r>
      <w:r w:rsidR="00301D8B" w:rsidRPr="007E481E">
        <w:rPr>
          <w:lang w:eastAsia="fr-FR"/>
        </w:rPr>
        <w:t xml:space="preserve"> </w:t>
      </w:r>
      <w:r w:rsidR="0043018C" w:rsidRPr="007E481E">
        <w:rPr>
          <w:lang w:eastAsia="fr-FR"/>
        </w:rPr>
        <w:t>not comply with E</w:t>
      </w:r>
      <w:r w:rsidR="00301D8B">
        <w:rPr>
          <w:lang w:eastAsia="fr-FR"/>
        </w:rPr>
        <w:t xml:space="preserve">uropean </w:t>
      </w:r>
      <w:r w:rsidR="0043018C" w:rsidRPr="007E481E">
        <w:rPr>
          <w:lang w:eastAsia="fr-FR"/>
        </w:rPr>
        <w:t>U</w:t>
      </w:r>
      <w:r w:rsidR="00301D8B">
        <w:rPr>
          <w:lang w:eastAsia="fr-FR"/>
        </w:rPr>
        <w:t>nion</w:t>
      </w:r>
      <w:r w:rsidR="0043018C" w:rsidRPr="007E481E">
        <w:rPr>
          <w:lang w:eastAsia="fr-FR"/>
        </w:rPr>
        <w:t xml:space="preserve"> law and international human rights treaties. </w:t>
      </w:r>
    </w:p>
    <w:p w14:paraId="590B3857" w14:textId="77777777" w:rsidR="0043018C" w:rsidRPr="00124500" w:rsidRDefault="0043018C" w:rsidP="00DF71DE">
      <w:pPr>
        <w:numPr>
          <w:ilvl w:val="1"/>
          <w:numId w:val="13"/>
        </w:numPr>
        <w:suppressAutoHyphens w:val="0"/>
        <w:autoSpaceDE w:val="0"/>
        <w:autoSpaceDN w:val="0"/>
        <w:spacing w:after="120" w:line="240" w:lineRule="auto"/>
        <w:ind w:left="1134" w:right="1134" w:firstLine="0"/>
        <w:jc w:val="both"/>
        <w:rPr>
          <w:rStyle w:val="SingleTxtGChar"/>
        </w:rPr>
      </w:pPr>
      <w:r w:rsidRPr="00124500">
        <w:rPr>
          <w:rStyle w:val="SingleTxtGChar"/>
        </w:rPr>
        <w:t>In addition, the petitioner argues that</w:t>
      </w:r>
      <w:r w:rsidR="00301D8B">
        <w:rPr>
          <w:rStyle w:val="SingleTxtGChar"/>
        </w:rPr>
        <w:t>,</w:t>
      </w:r>
      <w:r w:rsidRPr="00124500">
        <w:rPr>
          <w:rStyle w:val="SingleTxtGChar"/>
        </w:rPr>
        <w:t xml:space="preserve"> as she had established a prima facie case of racial discrimination, the burden of proof was shifted to the school. </w:t>
      </w:r>
      <w:r w:rsidR="00EF362E" w:rsidRPr="00124500">
        <w:rPr>
          <w:rStyle w:val="SingleTxtGChar"/>
        </w:rPr>
        <w:t>She argues that</w:t>
      </w:r>
      <w:r w:rsidR="00A66562">
        <w:rPr>
          <w:rStyle w:val="SingleTxtGChar"/>
        </w:rPr>
        <w:t>,</w:t>
      </w:r>
      <w:r w:rsidRPr="00124500">
        <w:rPr>
          <w:rStyle w:val="SingleTxtGChar"/>
        </w:rPr>
        <w:t xml:space="preserve"> in </w:t>
      </w:r>
      <w:r w:rsidR="00EF362E" w:rsidRPr="00124500">
        <w:rPr>
          <w:rStyle w:val="SingleTxtGChar"/>
        </w:rPr>
        <w:t xml:space="preserve">its </w:t>
      </w:r>
      <w:r w:rsidRPr="00124500">
        <w:rPr>
          <w:rStyle w:val="SingleTxtGChar"/>
        </w:rPr>
        <w:t xml:space="preserve">second decision dated 27 November 2012, </w:t>
      </w:r>
      <w:r w:rsidR="00EF362E" w:rsidRPr="00124500">
        <w:rPr>
          <w:rStyle w:val="SingleTxtGChar"/>
        </w:rPr>
        <w:t xml:space="preserve">the Regional Court </w:t>
      </w:r>
      <w:r w:rsidRPr="00124500">
        <w:rPr>
          <w:rStyle w:val="SingleTxtGChar"/>
        </w:rPr>
        <w:t>wrongly considered that the petitioner had to prove the school</w:t>
      </w:r>
      <w:r w:rsidR="00F035FE" w:rsidRPr="00124500">
        <w:rPr>
          <w:rStyle w:val="SingleTxtGChar"/>
        </w:rPr>
        <w:t>’s</w:t>
      </w:r>
      <w:r w:rsidRPr="00124500">
        <w:rPr>
          <w:rStyle w:val="SingleTxtGChar"/>
        </w:rPr>
        <w:t xml:space="preserve"> intent to discriminate against her</w:t>
      </w:r>
      <w:r w:rsidR="00F035FE" w:rsidRPr="00124500">
        <w:rPr>
          <w:rStyle w:val="SingleTxtGChar"/>
        </w:rPr>
        <w:t>, while she was legally not obliged to do so</w:t>
      </w:r>
      <w:r w:rsidRPr="00124500">
        <w:rPr>
          <w:rStyle w:val="SingleTxtGChar"/>
        </w:rPr>
        <w:t xml:space="preserve">. She adds that the </w:t>
      </w:r>
      <w:r w:rsidR="007E481E" w:rsidRPr="00124500">
        <w:rPr>
          <w:rStyle w:val="SingleTxtGChar"/>
        </w:rPr>
        <w:t>c</w:t>
      </w:r>
      <w:r w:rsidRPr="00124500">
        <w:rPr>
          <w:rStyle w:val="SingleTxtGChar"/>
        </w:rPr>
        <w:t xml:space="preserve">ourts wrongly </w:t>
      </w:r>
      <w:r w:rsidR="0027458F" w:rsidRPr="00124500">
        <w:rPr>
          <w:rStyle w:val="SingleTxtGChar"/>
        </w:rPr>
        <w:t xml:space="preserve">assessed </w:t>
      </w:r>
      <w:r w:rsidRPr="00124500">
        <w:rPr>
          <w:rStyle w:val="SingleTxtGChar"/>
        </w:rPr>
        <w:t>the difference of treatment</w:t>
      </w:r>
      <w:r w:rsidRPr="007E481E">
        <w:rPr>
          <w:lang w:eastAsia="fr-FR"/>
        </w:rPr>
        <w:t xml:space="preserve"> </w:t>
      </w:r>
      <w:r w:rsidR="00A66562">
        <w:rPr>
          <w:lang w:eastAsia="fr-FR"/>
        </w:rPr>
        <w:t xml:space="preserve">to which </w:t>
      </w:r>
      <w:r w:rsidRPr="00124500">
        <w:rPr>
          <w:rStyle w:val="SingleTxtGChar"/>
        </w:rPr>
        <w:t xml:space="preserve">she was subjected </w:t>
      </w:r>
      <w:r w:rsidR="0027458F" w:rsidRPr="00124500">
        <w:rPr>
          <w:rStyle w:val="SingleTxtGChar"/>
        </w:rPr>
        <w:t>in the light of the situation faced by</w:t>
      </w:r>
      <w:r w:rsidRPr="00124500">
        <w:rPr>
          <w:rStyle w:val="SingleTxtGChar"/>
        </w:rPr>
        <w:t xml:space="preserve"> other unsuccessful non-Roma applicants</w:t>
      </w:r>
      <w:r w:rsidR="0027458F" w:rsidRPr="00124500">
        <w:rPr>
          <w:rStyle w:val="SingleTxtGChar"/>
        </w:rPr>
        <w:t>,</w:t>
      </w:r>
      <w:r w:rsidRPr="00124500">
        <w:rPr>
          <w:rStyle w:val="SingleTxtGChar"/>
        </w:rPr>
        <w:t xml:space="preserve"> while it should have compared her situation </w:t>
      </w:r>
      <w:r w:rsidR="00A66562">
        <w:rPr>
          <w:rStyle w:val="SingleTxtGChar"/>
        </w:rPr>
        <w:t>to</w:t>
      </w:r>
      <w:r w:rsidR="00A66562" w:rsidRPr="00124500">
        <w:rPr>
          <w:rStyle w:val="SingleTxtGChar"/>
        </w:rPr>
        <w:t xml:space="preserve"> </w:t>
      </w:r>
      <w:r w:rsidR="0027458F" w:rsidRPr="00124500">
        <w:rPr>
          <w:rStyle w:val="SingleTxtGChar"/>
        </w:rPr>
        <w:t xml:space="preserve">that of </w:t>
      </w:r>
      <w:r w:rsidRPr="00124500">
        <w:rPr>
          <w:rStyle w:val="SingleTxtGChar"/>
        </w:rPr>
        <w:t>the successful non-Roma applicants.</w:t>
      </w:r>
    </w:p>
    <w:p w14:paraId="1E7D35E7" w14:textId="77777777" w:rsidR="009637CD" w:rsidRDefault="00A33271">
      <w:pPr>
        <w:pStyle w:val="SingleTxtG"/>
        <w:rPr>
          <w:lang w:eastAsia="fr-FR"/>
        </w:rPr>
      </w:pPr>
      <w:r>
        <w:rPr>
          <w:lang w:eastAsia="fr-FR"/>
        </w:rPr>
        <w:t xml:space="preserve">3.4 </w:t>
      </w:r>
      <w:r w:rsidR="005749A2">
        <w:rPr>
          <w:lang w:eastAsia="fr-FR"/>
        </w:rPr>
        <w:tab/>
      </w:r>
      <w:r w:rsidR="009637CD">
        <w:rPr>
          <w:lang w:eastAsia="fr-FR"/>
        </w:rPr>
        <w:t>The petitioner</w:t>
      </w:r>
      <w:r w:rsidR="008B1298">
        <w:rPr>
          <w:lang w:eastAsia="fr-FR"/>
        </w:rPr>
        <w:t xml:space="preserve"> </w:t>
      </w:r>
      <w:r w:rsidR="009637CD">
        <w:rPr>
          <w:lang w:eastAsia="fr-FR"/>
        </w:rPr>
        <w:t>also</w:t>
      </w:r>
      <w:r w:rsidR="0043018C" w:rsidRPr="007E481E">
        <w:rPr>
          <w:lang w:eastAsia="fr-FR"/>
        </w:rPr>
        <w:t xml:space="preserve"> claims that the remedies provided by domestic legislation </w:t>
      </w:r>
      <w:r w:rsidR="0027458F" w:rsidRPr="007E481E">
        <w:rPr>
          <w:lang w:eastAsia="fr-FR"/>
        </w:rPr>
        <w:t>are</w:t>
      </w:r>
      <w:r w:rsidR="0043018C" w:rsidRPr="007E481E">
        <w:rPr>
          <w:lang w:eastAsia="fr-FR"/>
        </w:rPr>
        <w:t xml:space="preserve"> illus</w:t>
      </w:r>
      <w:r w:rsidR="00350656">
        <w:rPr>
          <w:lang w:eastAsia="fr-FR"/>
        </w:rPr>
        <w:t>or</w:t>
      </w:r>
      <w:r w:rsidR="0043018C" w:rsidRPr="007E481E">
        <w:rPr>
          <w:lang w:eastAsia="fr-FR"/>
        </w:rPr>
        <w:t>y and not effective</w:t>
      </w:r>
      <w:r w:rsidR="00A66562">
        <w:rPr>
          <w:lang w:eastAsia="fr-FR"/>
        </w:rPr>
        <w:t>,</w:t>
      </w:r>
      <w:r w:rsidR="0043018C" w:rsidRPr="007E481E">
        <w:rPr>
          <w:lang w:eastAsia="fr-FR"/>
        </w:rPr>
        <w:t xml:space="preserve"> as they do not provide adequate compensation to victims of racial discrimination and do not sanction the </w:t>
      </w:r>
      <w:r w:rsidR="0097419C" w:rsidRPr="007E481E">
        <w:rPr>
          <w:lang w:eastAsia="fr-FR"/>
        </w:rPr>
        <w:t>pe</w:t>
      </w:r>
      <w:r w:rsidR="007E481E">
        <w:rPr>
          <w:lang w:eastAsia="fr-FR"/>
        </w:rPr>
        <w:t>rpetrators</w:t>
      </w:r>
      <w:r w:rsidR="00067999">
        <w:rPr>
          <w:lang w:eastAsia="fr-FR"/>
        </w:rPr>
        <w:t xml:space="preserve"> of racial discrimination</w:t>
      </w:r>
      <w:r w:rsidR="0043018C" w:rsidRPr="007E481E">
        <w:rPr>
          <w:lang w:eastAsia="fr-FR"/>
        </w:rPr>
        <w:t xml:space="preserve">. The petitioner refers to the </w:t>
      </w:r>
      <w:r w:rsidR="0043018C" w:rsidRPr="00397443">
        <w:rPr>
          <w:lang w:eastAsia="fr-FR"/>
        </w:rPr>
        <w:t>concluding observations of the Committee on the ineffective implementation of the anti-discrimination legislation by the State party</w:t>
      </w:r>
      <w:r w:rsidR="00397443">
        <w:rPr>
          <w:rStyle w:val="FootnoteReference"/>
          <w:lang w:eastAsia="fr-FR"/>
        </w:rPr>
        <w:footnoteReference w:id="13"/>
      </w:r>
      <w:r w:rsidR="0043018C" w:rsidRPr="007E481E">
        <w:rPr>
          <w:lang w:eastAsia="fr-FR"/>
        </w:rPr>
        <w:t xml:space="preserve"> and </w:t>
      </w:r>
      <w:r w:rsidR="00301D8B">
        <w:rPr>
          <w:lang w:eastAsia="fr-FR"/>
        </w:rPr>
        <w:t>recalls</w:t>
      </w:r>
      <w:r w:rsidR="00301D8B" w:rsidRPr="007E481E">
        <w:rPr>
          <w:lang w:eastAsia="fr-FR"/>
        </w:rPr>
        <w:t xml:space="preserve"> </w:t>
      </w:r>
      <w:r w:rsidR="0043018C" w:rsidRPr="007E481E">
        <w:rPr>
          <w:lang w:eastAsia="fr-FR"/>
        </w:rPr>
        <w:t xml:space="preserve">that her case should be </w:t>
      </w:r>
      <w:r w:rsidR="0043018C" w:rsidRPr="007E481E">
        <w:rPr>
          <w:lang w:eastAsia="fr-FR"/>
        </w:rPr>
        <w:lastRenderedPageBreak/>
        <w:t>considered in the global context of racial discrimination suffered by persons of Roma origin in Slovakia.</w:t>
      </w:r>
    </w:p>
    <w:p w14:paraId="44899FA8" w14:textId="77777777" w:rsidR="0043018C" w:rsidRPr="007E481E" w:rsidRDefault="009637CD" w:rsidP="00DF71DE">
      <w:pPr>
        <w:numPr>
          <w:ilvl w:val="1"/>
          <w:numId w:val="14"/>
        </w:numPr>
        <w:suppressAutoHyphens w:val="0"/>
        <w:autoSpaceDE w:val="0"/>
        <w:autoSpaceDN w:val="0"/>
        <w:spacing w:after="240" w:line="240" w:lineRule="auto"/>
        <w:ind w:left="1134" w:right="1134" w:firstLine="0"/>
        <w:jc w:val="both"/>
        <w:rPr>
          <w:lang w:eastAsia="fr-FR"/>
        </w:rPr>
      </w:pPr>
      <w:r>
        <w:rPr>
          <w:lang w:eastAsia="fr-FR"/>
        </w:rPr>
        <w:t>Finally, t</w:t>
      </w:r>
      <w:r w:rsidRPr="00124500">
        <w:rPr>
          <w:rStyle w:val="SingleTxtGChar"/>
        </w:rPr>
        <w:t xml:space="preserve">he petitioner requests that the State party </w:t>
      </w:r>
      <w:r w:rsidR="00EA72AA" w:rsidRPr="00124500">
        <w:rPr>
          <w:rStyle w:val="SingleTxtGChar"/>
        </w:rPr>
        <w:t xml:space="preserve">provide </w:t>
      </w:r>
      <w:r w:rsidR="008B1298" w:rsidRPr="00124500">
        <w:rPr>
          <w:rStyle w:val="SingleTxtGChar"/>
        </w:rPr>
        <w:t>her with</w:t>
      </w:r>
      <w:r w:rsidRPr="00124500">
        <w:rPr>
          <w:rStyle w:val="SingleTxtGChar"/>
        </w:rPr>
        <w:t xml:space="preserve"> appropriate reparation, including adequate compensation</w:t>
      </w:r>
      <w:r w:rsidR="003D4E60">
        <w:rPr>
          <w:rStyle w:val="SingleTxtGChar"/>
        </w:rPr>
        <w:t>,</w:t>
      </w:r>
      <w:r w:rsidRPr="00124500">
        <w:rPr>
          <w:rStyle w:val="SingleTxtGChar"/>
        </w:rPr>
        <w:t xml:space="preserve"> in accordance with domestic legislation; ensure that the existing domestic anti-discrimination legislation is applied effectively and in </w:t>
      </w:r>
      <w:r w:rsidR="009D1325">
        <w:rPr>
          <w:rStyle w:val="SingleTxtGChar"/>
        </w:rPr>
        <w:t>accordance</w:t>
      </w:r>
      <w:r w:rsidR="009D1325" w:rsidRPr="00124500">
        <w:rPr>
          <w:rStyle w:val="SingleTxtGChar"/>
        </w:rPr>
        <w:t xml:space="preserve"> </w:t>
      </w:r>
      <w:r w:rsidRPr="00124500">
        <w:rPr>
          <w:rStyle w:val="SingleTxtGChar"/>
        </w:rPr>
        <w:t>with the Convention in order to provide effective protection and remedies against any acts of racial discrimination; and that appropriate and regular training</w:t>
      </w:r>
      <w:r w:rsidR="00445FC8" w:rsidRPr="00124500">
        <w:rPr>
          <w:rStyle w:val="SingleTxtGChar"/>
        </w:rPr>
        <w:t xml:space="preserve"> </w:t>
      </w:r>
      <w:r w:rsidR="009D1325">
        <w:rPr>
          <w:rStyle w:val="SingleTxtGChar"/>
        </w:rPr>
        <w:t>is</w:t>
      </w:r>
      <w:r w:rsidR="009D1325" w:rsidRPr="00124500">
        <w:rPr>
          <w:rStyle w:val="SingleTxtGChar"/>
        </w:rPr>
        <w:t xml:space="preserve"> </w:t>
      </w:r>
      <w:r w:rsidR="00445FC8" w:rsidRPr="00124500">
        <w:rPr>
          <w:rStyle w:val="SingleTxtGChar"/>
        </w:rPr>
        <w:t>organized for</w:t>
      </w:r>
      <w:r w:rsidR="009D1325">
        <w:rPr>
          <w:rStyle w:val="SingleTxtGChar"/>
        </w:rPr>
        <w:t xml:space="preserve"> officials of</w:t>
      </w:r>
      <w:r w:rsidR="00445FC8" w:rsidRPr="00124500">
        <w:rPr>
          <w:rStyle w:val="SingleTxtGChar"/>
        </w:rPr>
        <w:t xml:space="preserve"> the courts and judicial authorities </w:t>
      </w:r>
      <w:r w:rsidRPr="00124500">
        <w:rPr>
          <w:rStyle w:val="SingleTxtGChar"/>
        </w:rPr>
        <w:t xml:space="preserve">on </w:t>
      </w:r>
      <w:r w:rsidR="008B1298" w:rsidRPr="00124500">
        <w:rPr>
          <w:rStyle w:val="SingleTxtGChar"/>
        </w:rPr>
        <w:t xml:space="preserve">the </w:t>
      </w:r>
      <w:r w:rsidRPr="00124500">
        <w:rPr>
          <w:rStyle w:val="SingleTxtGChar"/>
        </w:rPr>
        <w:t>elimination of negative stereotypes of Roma and of racial prejudice</w:t>
      </w:r>
      <w:r w:rsidR="008B1298" w:rsidRPr="00124500">
        <w:rPr>
          <w:rStyle w:val="SingleTxtGChar"/>
        </w:rPr>
        <w:t>,</w:t>
      </w:r>
      <w:r w:rsidRPr="00124500">
        <w:rPr>
          <w:rStyle w:val="SingleTxtGChar"/>
        </w:rPr>
        <w:t xml:space="preserve"> the Convention and</w:t>
      </w:r>
      <w:r w:rsidR="008B1298" w:rsidRPr="00124500">
        <w:rPr>
          <w:rStyle w:val="SingleTxtGChar"/>
        </w:rPr>
        <w:t xml:space="preserve"> the Committee’s recommendations</w:t>
      </w:r>
      <w:r w:rsidRPr="00124500">
        <w:rPr>
          <w:rStyle w:val="SingleTxtGChar"/>
        </w:rPr>
        <w:t>.</w:t>
      </w:r>
    </w:p>
    <w:p w14:paraId="6EBEC778" w14:textId="77777777" w:rsidR="00061EEF" w:rsidRPr="009A2945" w:rsidRDefault="00903E31" w:rsidP="00DF71DE">
      <w:pPr>
        <w:pStyle w:val="H23G"/>
      </w:pPr>
      <w:r>
        <w:tab/>
      </w:r>
      <w:r>
        <w:tab/>
      </w:r>
      <w:r w:rsidR="00061EEF" w:rsidRPr="009F7392">
        <w:t>State party’</w:t>
      </w:r>
      <w:r w:rsidR="00065DA9" w:rsidRPr="009F7392">
        <w:t>s observations on admissibility</w:t>
      </w:r>
      <w:r w:rsidR="002E16E2" w:rsidRPr="009F7392">
        <w:t xml:space="preserve"> and </w:t>
      </w:r>
      <w:r w:rsidR="009D1325">
        <w:t xml:space="preserve">the </w:t>
      </w:r>
      <w:r w:rsidR="00AF29A5" w:rsidRPr="008E23E4">
        <w:t>merits</w:t>
      </w:r>
    </w:p>
    <w:p w14:paraId="27F745D3" w14:textId="77777777" w:rsidR="00013675" w:rsidRPr="00557492" w:rsidRDefault="00013675" w:rsidP="00F579C4">
      <w:pPr>
        <w:suppressAutoHyphens w:val="0"/>
        <w:spacing w:after="120" w:line="240" w:lineRule="auto"/>
        <w:ind w:left="1134" w:right="1134"/>
        <w:jc w:val="both"/>
        <w:rPr>
          <w:lang w:eastAsia="cs-CZ"/>
        </w:rPr>
      </w:pPr>
      <w:r w:rsidRPr="00557492">
        <w:rPr>
          <w:lang w:eastAsia="cs-CZ"/>
        </w:rPr>
        <w:t>4.1</w:t>
      </w:r>
      <w:r w:rsidRPr="00557492">
        <w:rPr>
          <w:lang w:eastAsia="cs-CZ"/>
        </w:rPr>
        <w:tab/>
        <w:t xml:space="preserve">On 12 September 2014, the State party submitted its observations on admissibility and </w:t>
      </w:r>
      <w:r w:rsidR="009D1325">
        <w:rPr>
          <w:lang w:eastAsia="cs-CZ"/>
        </w:rPr>
        <w:t xml:space="preserve">the </w:t>
      </w:r>
      <w:r w:rsidRPr="00557492">
        <w:rPr>
          <w:lang w:eastAsia="cs-CZ"/>
        </w:rPr>
        <w:t xml:space="preserve">merits of the </w:t>
      </w:r>
      <w:r w:rsidRPr="00124500">
        <w:rPr>
          <w:rStyle w:val="SingleTxtGChar"/>
        </w:rPr>
        <w:t xml:space="preserve">communication presented by the </w:t>
      </w:r>
      <w:r w:rsidR="0097419C" w:rsidRPr="00124500">
        <w:rPr>
          <w:rStyle w:val="SingleTxtGChar"/>
        </w:rPr>
        <w:t>petitioner</w:t>
      </w:r>
      <w:r w:rsidRPr="00124500">
        <w:rPr>
          <w:rStyle w:val="SingleTxtGChar"/>
        </w:rPr>
        <w:t xml:space="preserve">. The State party </w:t>
      </w:r>
      <w:r w:rsidR="00EA72AA" w:rsidRPr="00124500">
        <w:rPr>
          <w:rStyle w:val="SingleTxtGChar"/>
        </w:rPr>
        <w:t>assures the Committee of</w:t>
      </w:r>
      <w:r w:rsidRPr="00124500">
        <w:rPr>
          <w:rStyle w:val="SingleTxtGChar"/>
        </w:rPr>
        <w:t xml:space="preserve"> its commitment to improv</w:t>
      </w:r>
      <w:r w:rsidR="009D1325">
        <w:rPr>
          <w:rStyle w:val="SingleTxtGChar"/>
        </w:rPr>
        <w:t>ing</w:t>
      </w:r>
      <w:r w:rsidRPr="00124500">
        <w:rPr>
          <w:rStyle w:val="SingleTxtGChar"/>
        </w:rPr>
        <w:t xml:space="preserve"> its legislation and policies with a view to </w:t>
      </w:r>
      <w:r w:rsidR="00EA72AA" w:rsidRPr="00124500">
        <w:rPr>
          <w:rStyle w:val="SingleTxtGChar"/>
        </w:rPr>
        <w:t>prevent</w:t>
      </w:r>
      <w:r w:rsidR="009D1325">
        <w:rPr>
          <w:rStyle w:val="SingleTxtGChar"/>
        </w:rPr>
        <w:t>ing</w:t>
      </w:r>
      <w:r w:rsidR="00EA72AA" w:rsidRPr="00124500">
        <w:rPr>
          <w:rStyle w:val="SingleTxtGChar"/>
        </w:rPr>
        <w:t xml:space="preserve"> </w:t>
      </w:r>
      <w:r w:rsidRPr="00124500">
        <w:rPr>
          <w:rStyle w:val="SingleTxtGChar"/>
        </w:rPr>
        <w:t xml:space="preserve">racial discrimination in all its forms, including </w:t>
      </w:r>
      <w:r w:rsidR="005A48E7" w:rsidRPr="00124500">
        <w:rPr>
          <w:rStyle w:val="SingleTxtGChar"/>
        </w:rPr>
        <w:t>with regard</w:t>
      </w:r>
      <w:r w:rsidR="005A48E7" w:rsidRPr="00557492">
        <w:rPr>
          <w:lang w:eastAsia="cs-CZ"/>
        </w:rPr>
        <w:t xml:space="preserve"> to </w:t>
      </w:r>
      <w:r w:rsidRPr="00557492">
        <w:rPr>
          <w:lang w:eastAsia="cs-CZ"/>
        </w:rPr>
        <w:t xml:space="preserve">the right of an individual to equality before the law, including in the area of economic, social and cultural rights. </w:t>
      </w:r>
    </w:p>
    <w:p w14:paraId="543E739D" w14:textId="77777777" w:rsidR="00013675" w:rsidRPr="009637CD" w:rsidRDefault="00013675" w:rsidP="00F579C4">
      <w:pPr>
        <w:suppressAutoHyphens w:val="0"/>
        <w:spacing w:after="120" w:line="240" w:lineRule="auto"/>
        <w:ind w:left="1134" w:right="1134"/>
        <w:jc w:val="both"/>
        <w:rPr>
          <w:lang w:eastAsia="cs-CZ"/>
        </w:rPr>
      </w:pPr>
      <w:r w:rsidRPr="009637CD">
        <w:rPr>
          <w:lang w:eastAsia="cs-CZ"/>
        </w:rPr>
        <w:t>4.</w:t>
      </w:r>
      <w:r w:rsidR="005A48E7" w:rsidRPr="009637CD">
        <w:rPr>
          <w:lang w:eastAsia="cs-CZ"/>
        </w:rPr>
        <w:t>2</w:t>
      </w:r>
      <w:r w:rsidRPr="009637CD">
        <w:rPr>
          <w:lang w:eastAsia="cs-CZ"/>
        </w:rPr>
        <w:tab/>
        <w:t xml:space="preserve">As regards </w:t>
      </w:r>
      <w:r w:rsidR="004C2DFA">
        <w:rPr>
          <w:lang w:eastAsia="cs-CZ"/>
        </w:rPr>
        <w:t xml:space="preserve">the </w:t>
      </w:r>
      <w:r w:rsidRPr="009637CD">
        <w:rPr>
          <w:lang w:eastAsia="cs-CZ"/>
        </w:rPr>
        <w:t>admissibility</w:t>
      </w:r>
      <w:r w:rsidR="004C2DFA">
        <w:rPr>
          <w:lang w:eastAsia="cs-CZ"/>
        </w:rPr>
        <w:t xml:space="preserve"> </w:t>
      </w:r>
      <w:r w:rsidR="004C2DFA" w:rsidRPr="00124500">
        <w:rPr>
          <w:rStyle w:val="SingleTxtGChar"/>
        </w:rPr>
        <w:t>of the complaint</w:t>
      </w:r>
      <w:r w:rsidRPr="00124500">
        <w:rPr>
          <w:rStyle w:val="SingleTxtGChar"/>
        </w:rPr>
        <w:t xml:space="preserve">, the State party </w:t>
      </w:r>
      <w:r w:rsidR="00EA72AA" w:rsidRPr="00124500">
        <w:rPr>
          <w:rStyle w:val="SingleTxtGChar"/>
        </w:rPr>
        <w:t xml:space="preserve">concedes </w:t>
      </w:r>
      <w:r w:rsidRPr="00124500">
        <w:rPr>
          <w:rStyle w:val="SingleTxtGChar"/>
        </w:rPr>
        <w:t xml:space="preserve">that the </w:t>
      </w:r>
      <w:r w:rsidR="0097419C" w:rsidRPr="00124500">
        <w:rPr>
          <w:rStyle w:val="SingleTxtGChar"/>
        </w:rPr>
        <w:t>petitioner</w:t>
      </w:r>
      <w:r w:rsidRPr="00124500">
        <w:rPr>
          <w:rStyle w:val="SingleTxtGChar"/>
        </w:rPr>
        <w:t xml:space="preserve"> has exhausted all available domestic remedies and submitted the communication</w:t>
      </w:r>
      <w:r w:rsidRPr="009637CD">
        <w:rPr>
          <w:lang w:eastAsia="cs-CZ"/>
        </w:rPr>
        <w:t xml:space="preserve"> within six months </w:t>
      </w:r>
      <w:r w:rsidR="009D1325">
        <w:rPr>
          <w:lang w:eastAsia="cs-CZ"/>
        </w:rPr>
        <w:t>of</w:t>
      </w:r>
      <w:r w:rsidR="009D1325" w:rsidRPr="009637CD">
        <w:rPr>
          <w:lang w:eastAsia="cs-CZ"/>
        </w:rPr>
        <w:t xml:space="preserve"> </w:t>
      </w:r>
      <w:r w:rsidR="005A48E7" w:rsidRPr="009637CD">
        <w:rPr>
          <w:lang w:eastAsia="cs-CZ"/>
        </w:rPr>
        <w:t xml:space="preserve">the </w:t>
      </w:r>
      <w:r w:rsidRPr="009637CD">
        <w:rPr>
          <w:lang w:eastAsia="cs-CZ"/>
        </w:rPr>
        <w:t xml:space="preserve">exhaustion of the last remedy. </w:t>
      </w:r>
      <w:r w:rsidR="005A48E7" w:rsidRPr="009637CD">
        <w:rPr>
          <w:lang w:eastAsia="cs-CZ"/>
        </w:rPr>
        <w:t>It concludes</w:t>
      </w:r>
      <w:r w:rsidRPr="009637CD">
        <w:rPr>
          <w:lang w:eastAsia="cs-CZ"/>
        </w:rPr>
        <w:t xml:space="preserve"> that</w:t>
      </w:r>
      <w:r w:rsidR="009D1325">
        <w:rPr>
          <w:lang w:eastAsia="cs-CZ"/>
        </w:rPr>
        <w:t xml:space="preserve"> the</w:t>
      </w:r>
      <w:r w:rsidRPr="009637CD">
        <w:rPr>
          <w:lang w:eastAsia="cs-CZ"/>
        </w:rPr>
        <w:t xml:space="preserve"> conditions for admissibility have been met. </w:t>
      </w:r>
    </w:p>
    <w:p w14:paraId="7AE61E35" w14:textId="77777777" w:rsidR="00013675" w:rsidRPr="006969FF" w:rsidRDefault="00013675" w:rsidP="00C30A18">
      <w:pPr>
        <w:suppressAutoHyphens w:val="0"/>
        <w:spacing w:after="120" w:line="240" w:lineRule="auto"/>
        <w:ind w:left="1134" w:right="1134"/>
        <w:jc w:val="both"/>
        <w:rPr>
          <w:lang w:eastAsia="cs-CZ"/>
        </w:rPr>
      </w:pPr>
      <w:r w:rsidRPr="009637CD">
        <w:rPr>
          <w:lang w:eastAsia="cs-CZ"/>
        </w:rPr>
        <w:t>4.</w:t>
      </w:r>
      <w:r w:rsidR="006969FF">
        <w:rPr>
          <w:lang w:eastAsia="cs-CZ"/>
        </w:rPr>
        <w:t>3</w:t>
      </w:r>
      <w:r w:rsidRPr="009637CD">
        <w:rPr>
          <w:lang w:eastAsia="cs-CZ"/>
        </w:rPr>
        <w:tab/>
      </w:r>
      <w:r w:rsidRPr="006969FF">
        <w:rPr>
          <w:lang w:eastAsia="cs-CZ"/>
        </w:rPr>
        <w:t xml:space="preserve">The State party recalls that the </w:t>
      </w:r>
      <w:r w:rsidR="0097419C" w:rsidRPr="006969FF">
        <w:rPr>
          <w:lang w:eastAsia="cs-CZ"/>
        </w:rPr>
        <w:t>petitioner</w:t>
      </w:r>
      <w:r w:rsidRPr="006969FF">
        <w:rPr>
          <w:lang w:eastAsia="cs-CZ"/>
        </w:rPr>
        <w:t xml:space="preserve"> applied for the job of history</w:t>
      </w:r>
      <w:r w:rsidR="009D1325">
        <w:rPr>
          <w:lang w:eastAsia="cs-CZ"/>
        </w:rPr>
        <w:t xml:space="preserve"> and education </w:t>
      </w:r>
      <w:r w:rsidRPr="006969FF">
        <w:rPr>
          <w:lang w:eastAsia="cs-CZ"/>
        </w:rPr>
        <w:t xml:space="preserve">teacher at the </w:t>
      </w:r>
      <w:r w:rsidR="006969FF">
        <w:rPr>
          <w:lang w:eastAsia="cs-CZ"/>
        </w:rPr>
        <w:t>E</w:t>
      </w:r>
      <w:r w:rsidRPr="006969FF">
        <w:rPr>
          <w:lang w:eastAsia="cs-CZ"/>
        </w:rPr>
        <w:t xml:space="preserve">lementary </w:t>
      </w:r>
      <w:r w:rsidR="006969FF">
        <w:rPr>
          <w:lang w:eastAsia="cs-CZ"/>
        </w:rPr>
        <w:t>S</w:t>
      </w:r>
      <w:r w:rsidRPr="006969FF">
        <w:rPr>
          <w:lang w:eastAsia="cs-CZ"/>
        </w:rPr>
        <w:t>chool</w:t>
      </w:r>
      <w:r w:rsidR="009D1325">
        <w:rPr>
          <w:lang w:eastAsia="cs-CZ"/>
        </w:rPr>
        <w:t>,</w:t>
      </w:r>
      <w:r w:rsidRPr="006969FF">
        <w:rPr>
          <w:lang w:eastAsia="cs-CZ"/>
        </w:rPr>
        <w:t xml:space="preserve"> stating that she was willing to accept a teaching assistant position, </w:t>
      </w:r>
      <w:r w:rsidR="006B3544" w:rsidRPr="006969FF">
        <w:rPr>
          <w:lang w:eastAsia="cs-CZ"/>
        </w:rPr>
        <w:t>namely</w:t>
      </w:r>
      <w:r w:rsidRPr="006969FF">
        <w:rPr>
          <w:lang w:eastAsia="cs-CZ"/>
        </w:rPr>
        <w:t xml:space="preserve"> a lower position </w:t>
      </w:r>
      <w:r w:rsidR="003D4E60">
        <w:rPr>
          <w:rStyle w:val="SingleTxtGChar"/>
        </w:rPr>
        <w:t>than befitting</w:t>
      </w:r>
      <w:r w:rsidRPr="00124500">
        <w:rPr>
          <w:rStyle w:val="SingleTxtGChar"/>
        </w:rPr>
        <w:t xml:space="preserve"> her </w:t>
      </w:r>
      <w:r w:rsidR="006B3544" w:rsidRPr="00124500">
        <w:rPr>
          <w:rStyle w:val="SingleTxtGChar"/>
        </w:rPr>
        <w:t xml:space="preserve">professional </w:t>
      </w:r>
      <w:r w:rsidRPr="00124500">
        <w:rPr>
          <w:rStyle w:val="SingleTxtGChar"/>
        </w:rPr>
        <w:t>qualification</w:t>
      </w:r>
      <w:r w:rsidR="006B3544" w:rsidRPr="00124500">
        <w:rPr>
          <w:rStyle w:val="SingleTxtGChar"/>
        </w:rPr>
        <w:t>s</w:t>
      </w:r>
      <w:r w:rsidRPr="00124500">
        <w:rPr>
          <w:rStyle w:val="SingleTxtGChar"/>
        </w:rPr>
        <w:t xml:space="preserve">. </w:t>
      </w:r>
      <w:r w:rsidR="006B3544" w:rsidRPr="00124500">
        <w:rPr>
          <w:rStyle w:val="SingleTxtGChar"/>
        </w:rPr>
        <w:t xml:space="preserve">It considers that the </w:t>
      </w:r>
      <w:r w:rsidRPr="00124500">
        <w:rPr>
          <w:rStyle w:val="SingleTxtGChar"/>
        </w:rPr>
        <w:t xml:space="preserve">Elementary </w:t>
      </w:r>
      <w:r w:rsidR="006969FF" w:rsidRPr="00124500">
        <w:rPr>
          <w:rStyle w:val="SingleTxtGChar"/>
        </w:rPr>
        <w:t>S</w:t>
      </w:r>
      <w:r w:rsidRPr="00124500">
        <w:rPr>
          <w:rStyle w:val="SingleTxtGChar"/>
        </w:rPr>
        <w:t xml:space="preserve">chool did not accept the </w:t>
      </w:r>
      <w:r w:rsidR="0097419C" w:rsidRPr="00124500">
        <w:rPr>
          <w:rStyle w:val="SingleTxtGChar"/>
        </w:rPr>
        <w:t>petitioner</w:t>
      </w:r>
      <w:r w:rsidRPr="00124500">
        <w:rPr>
          <w:rStyle w:val="SingleTxtGChar"/>
        </w:rPr>
        <w:t xml:space="preserve">’s job application </w:t>
      </w:r>
      <w:r w:rsidR="009D1325">
        <w:rPr>
          <w:rStyle w:val="SingleTxtGChar"/>
        </w:rPr>
        <w:t>owing</w:t>
      </w:r>
      <w:r w:rsidR="009D1325" w:rsidRPr="00124500">
        <w:rPr>
          <w:rStyle w:val="SingleTxtGChar"/>
        </w:rPr>
        <w:t xml:space="preserve"> </w:t>
      </w:r>
      <w:r w:rsidRPr="00124500">
        <w:rPr>
          <w:rStyle w:val="SingleTxtGChar"/>
        </w:rPr>
        <w:t xml:space="preserve">to a lack of vacancies, as </w:t>
      </w:r>
      <w:r w:rsidR="009D1325">
        <w:rPr>
          <w:rStyle w:val="SingleTxtGChar"/>
        </w:rPr>
        <w:t>education</w:t>
      </w:r>
      <w:r w:rsidR="009D1325" w:rsidRPr="00124500">
        <w:rPr>
          <w:rStyle w:val="SingleTxtGChar"/>
        </w:rPr>
        <w:t xml:space="preserve"> </w:t>
      </w:r>
      <w:r w:rsidRPr="00124500">
        <w:rPr>
          <w:rStyle w:val="SingleTxtGChar"/>
        </w:rPr>
        <w:t>as a subject is not taught at elementary schools</w:t>
      </w:r>
      <w:r w:rsidR="009D1325">
        <w:rPr>
          <w:rStyle w:val="SingleTxtGChar"/>
        </w:rPr>
        <w:t>,</w:t>
      </w:r>
      <w:r w:rsidRPr="00124500">
        <w:rPr>
          <w:rStyle w:val="SingleTxtGChar"/>
        </w:rPr>
        <w:t xml:space="preserve"> and informed her that her job application would be kept on file. Later, a person with </w:t>
      </w:r>
      <w:r w:rsidR="009D1325">
        <w:rPr>
          <w:rStyle w:val="SingleTxtGChar"/>
        </w:rPr>
        <w:t>fewer</w:t>
      </w:r>
      <w:r w:rsidR="009D1325" w:rsidRPr="00124500">
        <w:rPr>
          <w:rStyle w:val="SingleTxtGChar"/>
        </w:rPr>
        <w:t xml:space="preserve"> </w:t>
      </w:r>
      <w:r w:rsidRPr="00124500">
        <w:rPr>
          <w:rStyle w:val="SingleTxtGChar"/>
        </w:rPr>
        <w:t>qualification</w:t>
      </w:r>
      <w:r w:rsidR="009D1325">
        <w:rPr>
          <w:rStyle w:val="SingleTxtGChar"/>
        </w:rPr>
        <w:t>s</w:t>
      </w:r>
      <w:r w:rsidRPr="00124500">
        <w:rPr>
          <w:rStyle w:val="SingleTxtGChar"/>
        </w:rPr>
        <w:t xml:space="preserve"> than the </w:t>
      </w:r>
      <w:r w:rsidR="0097419C" w:rsidRPr="00124500">
        <w:rPr>
          <w:rStyle w:val="SingleTxtGChar"/>
        </w:rPr>
        <w:t>petitioner</w:t>
      </w:r>
      <w:r w:rsidRPr="00124500">
        <w:rPr>
          <w:rStyle w:val="SingleTxtGChar"/>
        </w:rPr>
        <w:t xml:space="preserve"> was </w:t>
      </w:r>
      <w:r w:rsidR="009D1325">
        <w:rPr>
          <w:rStyle w:val="SingleTxtGChar"/>
        </w:rPr>
        <w:t>recruited</w:t>
      </w:r>
      <w:r w:rsidR="009D1325" w:rsidRPr="00124500">
        <w:rPr>
          <w:rStyle w:val="SingleTxtGChar"/>
        </w:rPr>
        <w:t xml:space="preserve"> </w:t>
      </w:r>
      <w:r w:rsidR="009D1325">
        <w:rPr>
          <w:rStyle w:val="SingleTxtGChar"/>
        </w:rPr>
        <w:t>to</w:t>
      </w:r>
      <w:r w:rsidR="009D1325" w:rsidRPr="00124500">
        <w:rPr>
          <w:rStyle w:val="SingleTxtGChar"/>
        </w:rPr>
        <w:t xml:space="preserve"> </w:t>
      </w:r>
      <w:r w:rsidRPr="00124500">
        <w:rPr>
          <w:rStyle w:val="SingleTxtGChar"/>
        </w:rPr>
        <w:t xml:space="preserve">the position of a teaching assistant. The </w:t>
      </w:r>
      <w:r w:rsidR="0097419C" w:rsidRPr="00124500">
        <w:rPr>
          <w:rStyle w:val="SingleTxtGChar"/>
        </w:rPr>
        <w:t>petitioner</w:t>
      </w:r>
      <w:r w:rsidRPr="00124500">
        <w:rPr>
          <w:rStyle w:val="SingleTxtGChar"/>
        </w:rPr>
        <w:t xml:space="preserve"> considers that she was not </w:t>
      </w:r>
      <w:r w:rsidR="003D4E60">
        <w:rPr>
          <w:rStyle w:val="SingleTxtGChar"/>
        </w:rPr>
        <w:t>hired</w:t>
      </w:r>
      <w:r w:rsidR="003D4E60" w:rsidRPr="00124500">
        <w:rPr>
          <w:rStyle w:val="SingleTxtGChar"/>
        </w:rPr>
        <w:t xml:space="preserve"> </w:t>
      </w:r>
      <w:r w:rsidRPr="00124500">
        <w:rPr>
          <w:rStyle w:val="SingleTxtGChar"/>
        </w:rPr>
        <w:t xml:space="preserve">for that position because of her ethnic origin. The District Court dismissed the </w:t>
      </w:r>
      <w:r w:rsidR="0097419C" w:rsidRPr="00124500">
        <w:rPr>
          <w:rStyle w:val="SingleTxtGChar"/>
        </w:rPr>
        <w:t>petitioner</w:t>
      </w:r>
      <w:r w:rsidRPr="00124500">
        <w:rPr>
          <w:rStyle w:val="SingleTxtGChar"/>
        </w:rPr>
        <w:t xml:space="preserve">’s action. The </w:t>
      </w:r>
      <w:r w:rsidR="003D4E60">
        <w:rPr>
          <w:rStyle w:val="SingleTxtGChar"/>
        </w:rPr>
        <w:t>C</w:t>
      </w:r>
      <w:r w:rsidRPr="00124500">
        <w:rPr>
          <w:rStyle w:val="SingleTxtGChar"/>
        </w:rPr>
        <w:t xml:space="preserve">ourt stated that the </w:t>
      </w:r>
      <w:r w:rsidR="0097419C" w:rsidRPr="00124500">
        <w:rPr>
          <w:rStyle w:val="SingleTxtGChar"/>
        </w:rPr>
        <w:t>petitioner</w:t>
      </w:r>
      <w:r w:rsidRPr="006969FF">
        <w:rPr>
          <w:lang w:eastAsia="cs-CZ"/>
        </w:rPr>
        <w:t xml:space="preserve"> had failed to establish facts from which it could be inferred that </w:t>
      </w:r>
      <w:r w:rsidRPr="00124500">
        <w:rPr>
          <w:rStyle w:val="SingleTxtGChar"/>
        </w:rPr>
        <w:t>there had been direct or indirect discr</w:t>
      </w:r>
      <w:r w:rsidR="006969FF" w:rsidRPr="00124500">
        <w:rPr>
          <w:rStyle w:val="SingleTxtGChar"/>
        </w:rPr>
        <w:t>i</w:t>
      </w:r>
      <w:r w:rsidRPr="00124500">
        <w:rPr>
          <w:rStyle w:val="SingleTxtGChar"/>
        </w:rPr>
        <w:t xml:space="preserve">mination, or that there had been </w:t>
      </w:r>
      <w:r w:rsidR="009D1325">
        <w:rPr>
          <w:rStyle w:val="SingleTxtGChar"/>
        </w:rPr>
        <w:t xml:space="preserve">a </w:t>
      </w:r>
      <w:r w:rsidRPr="00124500">
        <w:rPr>
          <w:rStyle w:val="SingleTxtGChar"/>
        </w:rPr>
        <w:t>violation of the principle of equal treatment because</w:t>
      </w:r>
      <w:r w:rsidRPr="006969FF">
        <w:rPr>
          <w:lang w:eastAsia="cs-CZ"/>
        </w:rPr>
        <w:t xml:space="preserve"> of discrimination on</w:t>
      </w:r>
      <w:r w:rsidR="009D1325">
        <w:rPr>
          <w:lang w:eastAsia="cs-CZ"/>
        </w:rPr>
        <w:t xml:space="preserve"> the</w:t>
      </w:r>
      <w:r w:rsidRPr="006969FF">
        <w:rPr>
          <w:lang w:eastAsia="cs-CZ"/>
        </w:rPr>
        <w:t xml:space="preserve"> grounds of race or ethnicity</w:t>
      </w:r>
      <w:r w:rsidR="00A7312B">
        <w:rPr>
          <w:lang w:eastAsia="cs-CZ"/>
        </w:rPr>
        <w:t>.</w:t>
      </w:r>
      <w:r w:rsidR="008E4FB2" w:rsidRPr="006469B8">
        <w:rPr>
          <w:rStyle w:val="FootnoteReference"/>
        </w:rPr>
        <w:footnoteReference w:id="14"/>
      </w:r>
    </w:p>
    <w:p w14:paraId="6921BEBA" w14:textId="77777777" w:rsidR="00013675" w:rsidRPr="006969FF" w:rsidRDefault="00013675" w:rsidP="00C30A18">
      <w:pPr>
        <w:suppressAutoHyphens w:val="0"/>
        <w:spacing w:after="120" w:line="240" w:lineRule="auto"/>
        <w:ind w:left="1134" w:right="1134"/>
        <w:jc w:val="both"/>
        <w:rPr>
          <w:lang w:eastAsia="cs-CZ"/>
        </w:rPr>
      </w:pPr>
      <w:r w:rsidRPr="006969FF">
        <w:rPr>
          <w:lang w:eastAsia="cs-CZ"/>
        </w:rPr>
        <w:t>4.</w:t>
      </w:r>
      <w:r w:rsidR="006969FF">
        <w:rPr>
          <w:lang w:eastAsia="cs-CZ"/>
        </w:rPr>
        <w:t>4</w:t>
      </w:r>
      <w:r w:rsidRPr="006969FF">
        <w:rPr>
          <w:lang w:eastAsia="cs-CZ"/>
        </w:rPr>
        <w:tab/>
        <w:t xml:space="preserve">The State party submits that the </w:t>
      </w:r>
      <w:r w:rsidR="0097419C" w:rsidRPr="006969FF">
        <w:rPr>
          <w:lang w:eastAsia="cs-CZ"/>
        </w:rPr>
        <w:t>petitioner</w:t>
      </w:r>
      <w:r w:rsidRPr="006969FF">
        <w:rPr>
          <w:lang w:eastAsia="cs-CZ"/>
        </w:rPr>
        <w:t xml:space="preserve">’s appeal against the decision of the District Court was heard by the </w:t>
      </w:r>
      <w:r w:rsidR="003D4E60" w:rsidRPr="00124500">
        <w:rPr>
          <w:rStyle w:val="SingleTxtGChar"/>
        </w:rPr>
        <w:t>Banská Bystrica</w:t>
      </w:r>
      <w:r w:rsidR="003D4E60">
        <w:rPr>
          <w:rStyle w:val="SingleTxtGChar"/>
        </w:rPr>
        <w:t xml:space="preserve"> </w:t>
      </w:r>
      <w:r w:rsidRPr="006969FF">
        <w:rPr>
          <w:lang w:eastAsia="cs-CZ"/>
        </w:rPr>
        <w:t xml:space="preserve">Regional </w:t>
      </w:r>
      <w:r w:rsidRPr="00124500">
        <w:rPr>
          <w:rStyle w:val="SingleTxtGChar"/>
        </w:rPr>
        <w:t xml:space="preserve">Court, which </w:t>
      </w:r>
      <w:r w:rsidR="004C2DFA" w:rsidRPr="00124500">
        <w:rPr>
          <w:rStyle w:val="SingleTxtGChar"/>
        </w:rPr>
        <w:t>considered that</w:t>
      </w:r>
      <w:r w:rsidR="00EA72AA" w:rsidRPr="00124500">
        <w:rPr>
          <w:rStyle w:val="SingleTxtGChar"/>
        </w:rPr>
        <w:t xml:space="preserve"> </w:t>
      </w:r>
      <w:r w:rsidRPr="00124500">
        <w:rPr>
          <w:rStyle w:val="SingleTxtGChar"/>
        </w:rPr>
        <w:t xml:space="preserve">the District Court’s decision </w:t>
      </w:r>
      <w:r w:rsidR="004C2DFA" w:rsidRPr="00124500">
        <w:rPr>
          <w:rStyle w:val="SingleTxtGChar"/>
        </w:rPr>
        <w:t xml:space="preserve">was </w:t>
      </w:r>
      <w:r w:rsidRPr="00124500">
        <w:rPr>
          <w:rStyle w:val="SingleTxtGChar"/>
        </w:rPr>
        <w:t xml:space="preserve">substantially correct. The </w:t>
      </w:r>
      <w:r w:rsidR="0097419C" w:rsidRPr="00124500">
        <w:rPr>
          <w:rStyle w:val="SingleTxtGChar"/>
        </w:rPr>
        <w:t>petitioner</w:t>
      </w:r>
      <w:r w:rsidRPr="00124500">
        <w:rPr>
          <w:rStyle w:val="SingleTxtGChar"/>
        </w:rPr>
        <w:t xml:space="preserve"> then filed </w:t>
      </w:r>
      <w:r w:rsidR="00F66095">
        <w:rPr>
          <w:rStyle w:val="SingleTxtGChar"/>
        </w:rPr>
        <w:t xml:space="preserve">for </w:t>
      </w:r>
      <w:r w:rsidRPr="00124500">
        <w:rPr>
          <w:rStyle w:val="SingleTxtGChar"/>
        </w:rPr>
        <w:t xml:space="preserve">an extraordinary </w:t>
      </w:r>
      <w:r w:rsidR="00F66095">
        <w:rPr>
          <w:rStyle w:val="SingleTxtGChar"/>
        </w:rPr>
        <w:t>recourse</w:t>
      </w:r>
      <w:r w:rsidR="00F66095" w:rsidRPr="00124500">
        <w:rPr>
          <w:rStyle w:val="SingleTxtGChar"/>
        </w:rPr>
        <w:t xml:space="preserve"> </w:t>
      </w:r>
      <w:r w:rsidR="00F66095">
        <w:rPr>
          <w:rStyle w:val="SingleTxtGChar"/>
        </w:rPr>
        <w:t>with</w:t>
      </w:r>
      <w:r w:rsidR="00F66095" w:rsidRPr="00124500">
        <w:rPr>
          <w:rStyle w:val="SingleTxtGChar"/>
        </w:rPr>
        <w:t xml:space="preserve"> </w:t>
      </w:r>
      <w:r w:rsidRPr="00124500">
        <w:rPr>
          <w:rStyle w:val="SingleTxtGChar"/>
        </w:rPr>
        <w:t>the Supreme Court</w:t>
      </w:r>
      <w:r w:rsidR="003D4E60">
        <w:rPr>
          <w:rStyle w:val="SingleTxtGChar"/>
        </w:rPr>
        <w:t>,</w:t>
      </w:r>
      <w:r w:rsidRPr="00124500">
        <w:rPr>
          <w:rStyle w:val="SingleTxtGChar"/>
        </w:rPr>
        <w:t xml:space="preserve"> requesting </w:t>
      </w:r>
      <w:r w:rsidR="00EA72AA" w:rsidRPr="00124500">
        <w:rPr>
          <w:rStyle w:val="SingleTxtGChar"/>
        </w:rPr>
        <w:t>it</w:t>
      </w:r>
      <w:r w:rsidR="00EA72AA">
        <w:rPr>
          <w:lang w:eastAsia="cs-CZ"/>
        </w:rPr>
        <w:t xml:space="preserve"> </w:t>
      </w:r>
      <w:r w:rsidRPr="006969FF">
        <w:rPr>
          <w:lang w:eastAsia="cs-CZ"/>
        </w:rPr>
        <w:t xml:space="preserve">to quash the Regional Court decision and </w:t>
      </w:r>
      <w:r w:rsidR="00EA72AA">
        <w:rPr>
          <w:lang w:eastAsia="cs-CZ"/>
        </w:rPr>
        <w:t>remand</w:t>
      </w:r>
      <w:r w:rsidR="00EA72AA" w:rsidRPr="006969FF">
        <w:rPr>
          <w:lang w:eastAsia="cs-CZ"/>
        </w:rPr>
        <w:t xml:space="preserve"> </w:t>
      </w:r>
      <w:r w:rsidRPr="006969FF">
        <w:rPr>
          <w:lang w:eastAsia="cs-CZ"/>
        </w:rPr>
        <w:t xml:space="preserve">the case for further proceedings. </w:t>
      </w:r>
    </w:p>
    <w:p w14:paraId="4E9EDFED" w14:textId="77777777" w:rsidR="00013675" w:rsidRPr="006969FF" w:rsidRDefault="00013675">
      <w:pPr>
        <w:suppressAutoHyphens w:val="0"/>
        <w:spacing w:after="120" w:line="240" w:lineRule="auto"/>
        <w:ind w:left="1134" w:right="1134"/>
        <w:jc w:val="both"/>
        <w:rPr>
          <w:lang w:eastAsia="cs-CZ"/>
        </w:rPr>
      </w:pPr>
      <w:r w:rsidRPr="006969FF">
        <w:rPr>
          <w:lang w:eastAsia="cs-CZ"/>
        </w:rPr>
        <w:t>4.</w:t>
      </w:r>
      <w:r w:rsidR="006969FF">
        <w:rPr>
          <w:lang w:eastAsia="cs-CZ"/>
        </w:rPr>
        <w:t>5</w:t>
      </w:r>
      <w:r w:rsidRPr="006969FF">
        <w:rPr>
          <w:lang w:eastAsia="cs-CZ"/>
        </w:rPr>
        <w:tab/>
        <w:t xml:space="preserve">The </w:t>
      </w:r>
      <w:r w:rsidR="001E0A0F" w:rsidRPr="00124500">
        <w:rPr>
          <w:rStyle w:val="SingleTxtGChar"/>
        </w:rPr>
        <w:t>State party recalls that</w:t>
      </w:r>
      <w:r w:rsidR="00EA72AA">
        <w:rPr>
          <w:lang w:eastAsia="cs-CZ"/>
        </w:rPr>
        <w:t>,</w:t>
      </w:r>
      <w:r w:rsidR="001E0A0F" w:rsidRPr="006969FF">
        <w:rPr>
          <w:lang w:eastAsia="cs-CZ"/>
        </w:rPr>
        <w:t xml:space="preserve"> </w:t>
      </w:r>
      <w:r w:rsidR="001E0A0F" w:rsidRPr="00124500">
        <w:rPr>
          <w:rStyle w:val="SingleTxtGChar"/>
        </w:rPr>
        <w:t xml:space="preserve">according to the </w:t>
      </w:r>
      <w:r w:rsidRPr="00124500">
        <w:rPr>
          <w:rStyle w:val="SingleTxtGChar"/>
        </w:rPr>
        <w:t>Supreme Court</w:t>
      </w:r>
      <w:r w:rsidR="001E0A0F" w:rsidRPr="00124500">
        <w:rPr>
          <w:rStyle w:val="SingleTxtGChar"/>
        </w:rPr>
        <w:t>,</w:t>
      </w:r>
      <w:r w:rsidRPr="00124500">
        <w:rPr>
          <w:rStyle w:val="SingleTxtGChar"/>
        </w:rPr>
        <w:t xml:space="preserve"> the reasoning of the decision of</w:t>
      </w:r>
      <w:r w:rsidR="006B3544" w:rsidRPr="00124500">
        <w:rPr>
          <w:rStyle w:val="SingleTxtGChar"/>
        </w:rPr>
        <w:t xml:space="preserve"> the</w:t>
      </w:r>
      <w:r w:rsidRPr="00124500">
        <w:rPr>
          <w:rStyle w:val="SingleTxtGChar"/>
        </w:rPr>
        <w:t xml:space="preserve"> Regional Court was inconsistent in its arguments </w:t>
      </w:r>
      <w:r w:rsidR="00F66095">
        <w:rPr>
          <w:rStyle w:val="SingleTxtGChar"/>
        </w:rPr>
        <w:t>and</w:t>
      </w:r>
      <w:r w:rsidRPr="006969FF">
        <w:rPr>
          <w:lang w:eastAsia="cs-CZ"/>
        </w:rPr>
        <w:t xml:space="preserve"> illogical, and </w:t>
      </w:r>
      <w:r w:rsidR="001E0A0F" w:rsidRPr="000C1BF2">
        <w:rPr>
          <w:rStyle w:val="SingleTxtGChar"/>
        </w:rPr>
        <w:t xml:space="preserve">that it </w:t>
      </w:r>
      <w:r w:rsidRPr="000C1BF2">
        <w:rPr>
          <w:rStyle w:val="SingleTxtGChar"/>
        </w:rPr>
        <w:t xml:space="preserve">therefore quashed the judgment of the Regional Court and </w:t>
      </w:r>
      <w:r w:rsidR="00EA72AA" w:rsidRPr="000C1BF2">
        <w:rPr>
          <w:rStyle w:val="SingleTxtGChar"/>
        </w:rPr>
        <w:t xml:space="preserve">remanded </w:t>
      </w:r>
      <w:r w:rsidRPr="000C1BF2">
        <w:rPr>
          <w:rStyle w:val="SingleTxtGChar"/>
        </w:rPr>
        <w:t xml:space="preserve">the case for further proceedings. The Regional Court </w:t>
      </w:r>
      <w:r w:rsidR="00EA72AA" w:rsidRPr="000C1BF2">
        <w:rPr>
          <w:rStyle w:val="SingleTxtGChar"/>
        </w:rPr>
        <w:t xml:space="preserve">again </w:t>
      </w:r>
      <w:r w:rsidRPr="000C1BF2">
        <w:rPr>
          <w:rStyle w:val="SingleTxtGChar"/>
        </w:rPr>
        <w:t>confirmed the District Court</w:t>
      </w:r>
      <w:r w:rsidR="001E0A0F" w:rsidRPr="000C1BF2">
        <w:rPr>
          <w:rStyle w:val="SingleTxtGChar"/>
        </w:rPr>
        <w:t>‘s</w:t>
      </w:r>
      <w:r w:rsidRPr="000C1BF2">
        <w:rPr>
          <w:rStyle w:val="SingleTxtGChar"/>
        </w:rPr>
        <w:t xml:space="preserve"> decision</w:t>
      </w:r>
      <w:r w:rsidR="00A7312B">
        <w:rPr>
          <w:rStyle w:val="SingleTxtGChar"/>
        </w:rPr>
        <w:t>.</w:t>
      </w:r>
      <w:r w:rsidR="008E4FB2" w:rsidRPr="006469B8">
        <w:rPr>
          <w:rStyle w:val="FootnoteReference"/>
        </w:rPr>
        <w:footnoteReference w:id="15"/>
      </w:r>
      <w:r w:rsidR="00F66095">
        <w:rPr>
          <w:rStyle w:val="SingleTxtGChar"/>
        </w:rPr>
        <w:t xml:space="preserve"> </w:t>
      </w:r>
      <w:r w:rsidRPr="000C1BF2">
        <w:rPr>
          <w:rStyle w:val="SingleTxtGChar"/>
        </w:rPr>
        <w:t xml:space="preserve">Thereafter, the </w:t>
      </w:r>
      <w:r w:rsidR="0097419C" w:rsidRPr="000C1BF2">
        <w:rPr>
          <w:rStyle w:val="SingleTxtGChar"/>
        </w:rPr>
        <w:t>petitioner</w:t>
      </w:r>
      <w:r w:rsidRPr="000C1BF2">
        <w:rPr>
          <w:rStyle w:val="SingleTxtGChar"/>
        </w:rPr>
        <w:t xml:space="preserve"> filed a complaint </w:t>
      </w:r>
      <w:r w:rsidR="003D4E60">
        <w:rPr>
          <w:rStyle w:val="SingleTxtGChar"/>
        </w:rPr>
        <w:t>with</w:t>
      </w:r>
      <w:r w:rsidR="001E0A0F" w:rsidRPr="000C1BF2">
        <w:rPr>
          <w:rStyle w:val="SingleTxtGChar"/>
        </w:rPr>
        <w:t xml:space="preserve"> </w:t>
      </w:r>
      <w:r w:rsidRPr="000C1BF2">
        <w:rPr>
          <w:rStyle w:val="SingleTxtGChar"/>
        </w:rPr>
        <w:t xml:space="preserve">the Constitutional </w:t>
      </w:r>
      <w:r w:rsidRPr="00397443">
        <w:rPr>
          <w:rStyle w:val="SingleTxtGChar"/>
        </w:rPr>
        <w:t xml:space="preserve">Court of the </w:t>
      </w:r>
      <w:r w:rsidR="00161497" w:rsidRPr="00397443">
        <w:rPr>
          <w:rStyle w:val="SingleTxtGChar"/>
        </w:rPr>
        <w:t>Slovak Republic</w:t>
      </w:r>
      <w:r w:rsidR="00A7312B">
        <w:rPr>
          <w:rStyle w:val="SingleTxtGChar"/>
        </w:rPr>
        <w:t>,</w:t>
      </w:r>
      <w:r w:rsidRPr="006469B8">
        <w:rPr>
          <w:rStyle w:val="FootnoteReference"/>
        </w:rPr>
        <w:footnoteReference w:id="16"/>
      </w:r>
      <w:r w:rsidRPr="000C1BF2">
        <w:rPr>
          <w:rStyle w:val="SingleTxtGChar"/>
        </w:rPr>
        <w:t xml:space="preserve"> claiming a violation of </w:t>
      </w:r>
      <w:r w:rsidR="001E0A0F" w:rsidRPr="000C1BF2">
        <w:rPr>
          <w:rStyle w:val="SingleTxtGChar"/>
        </w:rPr>
        <w:t xml:space="preserve">her </w:t>
      </w:r>
      <w:r w:rsidRPr="000C1BF2">
        <w:rPr>
          <w:rStyle w:val="SingleTxtGChar"/>
        </w:rPr>
        <w:t>right to protection by an independent and impartial court and by other bodies (art</w:t>
      </w:r>
      <w:r w:rsidR="00EC6947">
        <w:rPr>
          <w:rStyle w:val="SingleTxtGChar"/>
        </w:rPr>
        <w:t>.</w:t>
      </w:r>
      <w:r w:rsidRPr="000C1BF2">
        <w:rPr>
          <w:rStyle w:val="SingleTxtGChar"/>
        </w:rPr>
        <w:t xml:space="preserve"> 46, para</w:t>
      </w:r>
      <w:r w:rsidR="00EC6947">
        <w:rPr>
          <w:rStyle w:val="SingleTxtGChar"/>
        </w:rPr>
        <w:t>.</w:t>
      </w:r>
      <w:r w:rsidRPr="000C1BF2">
        <w:rPr>
          <w:rStyle w:val="SingleTxtGChar"/>
        </w:rPr>
        <w:t xml:space="preserve"> 1</w:t>
      </w:r>
      <w:r w:rsidR="006969FF" w:rsidRPr="000C1BF2">
        <w:rPr>
          <w:rStyle w:val="SingleTxtGChar"/>
        </w:rPr>
        <w:t>, of the Constitution</w:t>
      </w:r>
      <w:r w:rsidRPr="000C1BF2">
        <w:rPr>
          <w:rStyle w:val="SingleTxtGChar"/>
        </w:rPr>
        <w:t xml:space="preserve">); and of </w:t>
      </w:r>
      <w:r w:rsidR="001E0A0F" w:rsidRPr="000C1BF2">
        <w:rPr>
          <w:rStyle w:val="SingleTxtGChar"/>
        </w:rPr>
        <w:t xml:space="preserve">her </w:t>
      </w:r>
      <w:r w:rsidRPr="000C1BF2">
        <w:rPr>
          <w:rStyle w:val="SingleTxtGChar"/>
        </w:rPr>
        <w:t xml:space="preserve">right to a fair trial </w:t>
      </w:r>
      <w:r w:rsidRPr="000C1BF2">
        <w:rPr>
          <w:rStyle w:val="SingleTxtGChar"/>
        </w:rPr>
        <w:lastRenderedPageBreak/>
        <w:t>(art</w:t>
      </w:r>
      <w:r w:rsidR="00EC6947">
        <w:rPr>
          <w:rStyle w:val="SingleTxtGChar"/>
        </w:rPr>
        <w:t>.</w:t>
      </w:r>
      <w:r w:rsidRPr="000C1BF2">
        <w:rPr>
          <w:rStyle w:val="SingleTxtGChar"/>
        </w:rPr>
        <w:t xml:space="preserve"> 47, para</w:t>
      </w:r>
      <w:r w:rsidR="00EC6947">
        <w:rPr>
          <w:rStyle w:val="SingleTxtGChar"/>
        </w:rPr>
        <w:t>.</w:t>
      </w:r>
      <w:r w:rsidRPr="000C1BF2">
        <w:rPr>
          <w:rStyle w:val="SingleTxtGChar"/>
        </w:rPr>
        <w:t xml:space="preserve"> 3</w:t>
      </w:r>
      <w:r w:rsidR="006969FF" w:rsidRPr="000C1BF2">
        <w:rPr>
          <w:rStyle w:val="SingleTxtGChar"/>
        </w:rPr>
        <w:t>, of the Constitution</w:t>
      </w:r>
      <w:r w:rsidRPr="000C1BF2">
        <w:rPr>
          <w:rStyle w:val="SingleTxtGChar"/>
        </w:rPr>
        <w:t xml:space="preserve">). The Constitutional Court </w:t>
      </w:r>
      <w:r w:rsidR="006B3544" w:rsidRPr="000C1BF2">
        <w:rPr>
          <w:rStyle w:val="SingleTxtGChar"/>
        </w:rPr>
        <w:t xml:space="preserve">rejected </w:t>
      </w:r>
      <w:r w:rsidRPr="000C1BF2">
        <w:rPr>
          <w:rStyle w:val="SingleTxtGChar"/>
        </w:rPr>
        <w:t xml:space="preserve">her complaint as groundless, stating that the general courts </w:t>
      </w:r>
      <w:r w:rsidR="001E0A0F" w:rsidRPr="000C1BF2">
        <w:rPr>
          <w:rStyle w:val="SingleTxtGChar"/>
        </w:rPr>
        <w:t xml:space="preserve">had </w:t>
      </w:r>
      <w:r w:rsidRPr="000C1BF2">
        <w:rPr>
          <w:rStyle w:val="SingleTxtGChar"/>
        </w:rPr>
        <w:t xml:space="preserve">proceeded in </w:t>
      </w:r>
      <w:r w:rsidR="001E0A0F" w:rsidRPr="000C1BF2">
        <w:rPr>
          <w:rStyle w:val="SingleTxtGChar"/>
        </w:rPr>
        <w:t>compliance with</w:t>
      </w:r>
      <w:r w:rsidRPr="000C1BF2">
        <w:rPr>
          <w:rStyle w:val="SingleTxtGChar"/>
        </w:rPr>
        <w:t xml:space="preserve"> the spirit and purpose of the legislation covering the protection against discrimination</w:t>
      </w:r>
      <w:r w:rsidR="006969FF" w:rsidRPr="000C1BF2">
        <w:rPr>
          <w:rStyle w:val="SingleTxtGChar"/>
        </w:rPr>
        <w:t xml:space="preserve">. The </w:t>
      </w:r>
      <w:r w:rsidR="00280137" w:rsidRPr="000C1BF2">
        <w:rPr>
          <w:rStyle w:val="SingleTxtGChar"/>
        </w:rPr>
        <w:t>State party therefore considers that the petitioner had access to effective remedies and actually exhausted them</w:t>
      </w:r>
      <w:r w:rsidR="00A7312B">
        <w:rPr>
          <w:rStyle w:val="SingleTxtGChar"/>
        </w:rPr>
        <w:t>.</w:t>
      </w:r>
      <w:r w:rsidRPr="006469B8">
        <w:rPr>
          <w:rStyle w:val="FootnoteReference"/>
        </w:rPr>
        <w:footnoteReference w:id="17"/>
      </w:r>
    </w:p>
    <w:p w14:paraId="400178B0" w14:textId="77777777" w:rsidR="00013675" w:rsidRPr="006969FF" w:rsidRDefault="00013675">
      <w:pPr>
        <w:suppressAutoHyphens w:val="0"/>
        <w:spacing w:after="120" w:line="240" w:lineRule="auto"/>
        <w:ind w:left="1134" w:right="1134"/>
        <w:jc w:val="both"/>
        <w:rPr>
          <w:lang w:eastAsia="cs-CZ"/>
        </w:rPr>
      </w:pPr>
      <w:r w:rsidRPr="006969FF">
        <w:rPr>
          <w:lang w:eastAsia="cs-CZ"/>
        </w:rPr>
        <w:t>4.</w:t>
      </w:r>
      <w:r w:rsidR="00FA0552">
        <w:rPr>
          <w:lang w:eastAsia="cs-CZ"/>
        </w:rPr>
        <w:t>6</w:t>
      </w:r>
      <w:r w:rsidRPr="006969FF">
        <w:rPr>
          <w:lang w:eastAsia="cs-CZ"/>
        </w:rPr>
        <w:tab/>
      </w:r>
      <w:r w:rsidR="00280137" w:rsidRPr="000C1BF2">
        <w:rPr>
          <w:rStyle w:val="SingleTxtGChar"/>
        </w:rPr>
        <w:t xml:space="preserve">As regards the </w:t>
      </w:r>
      <w:r w:rsidR="0097419C" w:rsidRPr="000C1BF2">
        <w:rPr>
          <w:rStyle w:val="SingleTxtGChar"/>
        </w:rPr>
        <w:t>petitioner</w:t>
      </w:r>
      <w:r w:rsidR="00F66095">
        <w:rPr>
          <w:rStyle w:val="SingleTxtGChar"/>
        </w:rPr>
        <w:t>’</w:t>
      </w:r>
      <w:r w:rsidR="00280137" w:rsidRPr="000C1BF2">
        <w:rPr>
          <w:rStyle w:val="SingleTxtGChar"/>
        </w:rPr>
        <w:t>s</w:t>
      </w:r>
      <w:r w:rsidRPr="000C1BF2">
        <w:rPr>
          <w:rStyle w:val="SingleTxtGChar"/>
        </w:rPr>
        <w:t xml:space="preserve"> request </w:t>
      </w:r>
      <w:r w:rsidR="00280137" w:rsidRPr="000C1BF2">
        <w:rPr>
          <w:rStyle w:val="SingleTxtGChar"/>
        </w:rPr>
        <w:t xml:space="preserve">for </w:t>
      </w:r>
      <w:r w:rsidRPr="000C1BF2">
        <w:rPr>
          <w:rStyle w:val="SingleTxtGChar"/>
        </w:rPr>
        <w:t>an examination of her case by the Office of the Plenipotentiary of the Government for Roma Communities</w:t>
      </w:r>
      <w:r w:rsidR="00A7312B">
        <w:rPr>
          <w:rStyle w:val="SingleTxtGChar"/>
        </w:rPr>
        <w:t>,</w:t>
      </w:r>
      <w:r w:rsidRPr="006469B8">
        <w:rPr>
          <w:rStyle w:val="FootnoteReference"/>
        </w:rPr>
        <w:footnoteReference w:id="18"/>
      </w:r>
      <w:r w:rsidR="00732618" w:rsidRPr="000C1BF2">
        <w:rPr>
          <w:rStyle w:val="SingleTxtGChar"/>
        </w:rPr>
        <w:t xml:space="preserve"> </w:t>
      </w:r>
      <w:r w:rsidRPr="000C1BF2">
        <w:rPr>
          <w:rStyle w:val="SingleTxtGChar"/>
        </w:rPr>
        <w:t xml:space="preserve">in which </w:t>
      </w:r>
      <w:r w:rsidR="00280137" w:rsidRPr="000C1BF2">
        <w:rPr>
          <w:rStyle w:val="SingleTxtGChar"/>
        </w:rPr>
        <w:t xml:space="preserve">the </w:t>
      </w:r>
      <w:r w:rsidR="00B126C6" w:rsidRPr="000C1BF2">
        <w:rPr>
          <w:rStyle w:val="SingleTxtGChar"/>
        </w:rPr>
        <w:t xml:space="preserve">petitioner </w:t>
      </w:r>
      <w:r w:rsidR="00280137" w:rsidRPr="000C1BF2">
        <w:rPr>
          <w:rStyle w:val="SingleTxtGChar"/>
        </w:rPr>
        <w:t>and her sister</w:t>
      </w:r>
      <w:r w:rsidR="00C01B17" w:rsidRPr="006469B8">
        <w:rPr>
          <w:rStyle w:val="FootnoteReference"/>
        </w:rPr>
        <w:footnoteReference w:id="19"/>
      </w:r>
      <w:r w:rsidR="00280137" w:rsidRPr="000C1BF2">
        <w:rPr>
          <w:rStyle w:val="SingleTxtGChar"/>
        </w:rPr>
        <w:t xml:space="preserve"> claimed to have been victim</w:t>
      </w:r>
      <w:r w:rsidR="00B126C6" w:rsidRPr="000C1BF2">
        <w:rPr>
          <w:rStyle w:val="SingleTxtGChar"/>
        </w:rPr>
        <w:t>s</w:t>
      </w:r>
      <w:r w:rsidR="00280137" w:rsidRPr="000C1BF2">
        <w:rPr>
          <w:rStyle w:val="SingleTxtGChar"/>
        </w:rPr>
        <w:t xml:space="preserve"> of </w:t>
      </w:r>
      <w:r w:rsidRPr="000C1BF2">
        <w:rPr>
          <w:rStyle w:val="SingleTxtGChar"/>
        </w:rPr>
        <w:t>discriminatory treatment by elementary schools in Revúca</w:t>
      </w:r>
      <w:r w:rsidR="00280137" w:rsidRPr="000C1BF2">
        <w:rPr>
          <w:rStyle w:val="SingleTxtGChar"/>
        </w:rPr>
        <w:t>, the State party submits that their</w:t>
      </w:r>
      <w:r w:rsidR="00732618" w:rsidRPr="000C1BF2">
        <w:rPr>
          <w:rStyle w:val="SingleTxtGChar"/>
        </w:rPr>
        <w:t xml:space="preserve"> claims were </w:t>
      </w:r>
      <w:r w:rsidRPr="000C1BF2">
        <w:rPr>
          <w:rStyle w:val="SingleTxtGChar"/>
        </w:rPr>
        <w:t xml:space="preserve">based on the ground that they </w:t>
      </w:r>
      <w:r w:rsidR="00280137" w:rsidRPr="000C1BF2">
        <w:rPr>
          <w:rStyle w:val="SingleTxtGChar"/>
        </w:rPr>
        <w:t>are</w:t>
      </w:r>
      <w:r w:rsidRPr="000C1BF2">
        <w:rPr>
          <w:rStyle w:val="SingleTxtGChar"/>
        </w:rPr>
        <w:t xml:space="preserve"> Roma. They </w:t>
      </w:r>
      <w:r w:rsidR="00732618" w:rsidRPr="000C1BF2">
        <w:rPr>
          <w:rStyle w:val="SingleTxtGChar"/>
        </w:rPr>
        <w:t xml:space="preserve">further </w:t>
      </w:r>
      <w:r w:rsidRPr="000C1BF2">
        <w:rPr>
          <w:rStyle w:val="SingleTxtGChar"/>
        </w:rPr>
        <w:t>argued that</w:t>
      </w:r>
      <w:r w:rsidR="00F66095">
        <w:rPr>
          <w:rStyle w:val="SingleTxtGChar"/>
        </w:rPr>
        <w:t>,</w:t>
      </w:r>
      <w:r w:rsidRPr="000C1BF2">
        <w:rPr>
          <w:rStyle w:val="SingleTxtGChar"/>
        </w:rPr>
        <w:t xml:space="preserve"> despite having completed their university education, they failed to get jobs</w:t>
      </w:r>
      <w:r w:rsidR="00280137" w:rsidRPr="000C1BF2">
        <w:rPr>
          <w:rStyle w:val="SingleTxtGChar"/>
        </w:rPr>
        <w:t xml:space="preserve"> as teachers</w:t>
      </w:r>
      <w:r w:rsidRPr="000C1BF2">
        <w:rPr>
          <w:rStyle w:val="SingleTxtGChar"/>
        </w:rPr>
        <w:t xml:space="preserve">. The Office of the Plenipotentiary concluded that the combination of teaching subjects (history and </w:t>
      </w:r>
      <w:r w:rsidR="009D1325">
        <w:rPr>
          <w:rStyle w:val="SingleTxtGChar"/>
        </w:rPr>
        <w:t>education</w:t>
      </w:r>
      <w:r w:rsidRPr="000C1BF2">
        <w:rPr>
          <w:rStyle w:val="SingleTxtGChar"/>
        </w:rPr>
        <w:t xml:space="preserve">) in which the </w:t>
      </w:r>
      <w:r w:rsidR="00280137" w:rsidRPr="000C1BF2">
        <w:rPr>
          <w:rStyle w:val="SingleTxtGChar"/>
        </w:rPr>
        <w:t xml:space="preserve">petitioner </w:t>
      </w:r>
      <w:r w:rsidRPr="000C1BF2">
        <w:rPr>
          <w:rStyle w:val="SingleTxtGChar"/>
        </w:rPr>
        <w:t xml:space="preserve">graduated </w:t>
      </w:r>
      <w:r w:rsidR="00F66095">
        <w:rPr>
          <w:rStyle w:val="SingleTxtGChar"/>
        </w:rPr>
        <w:t>wa</w:t>
      </w:r>
      <w:r w:rsidRPr="000C1BF2">
        <w:rPr>
          <w:rStyle w:val="SingleTxtGChar"/>
        </w:rPr>
        <w:t xml:space="preserve">s not </w:t>
      </w:r>
      <w:r w:rsidR="00280137" w:rsidRPr="000C1BF2">
        <w:rPr>
          <w:rStyle w:val="SingleTxtGChar"/>
        </w:rPr>
        <w:t xml:space="preserve">required </w:t>
      </w:r>
      <w:r w:rsidRPr="000C1BF2">
        <w:rPr>
          <w:rStyle w:val="SingleTxtGChar"/>
        </w:rPr>
        <w:t>in elementary school</w:t>
      </w:r>
      <w:r w:rsidR="00280137" w:rsidRPr="000C1BF2">
        <w:rPr>
          <w:rStyle w:val="SingleTxtGChar"/>
        </w:rPr>
        <w:t>s</w:t>
      </w:r>
      <w:r w:rsidRPr="000C1BF2">
        <w:rPr>
          <w:rStyle w:val="SingleTxtGChar"/>
        </w:rPr>
        <w:t xml:space="preserve">. The Office also found that there were no vacancies </w:t>
      </w:r>
      <w:r w:rsidR="00280137" w:rsidRPr="000C1BF2">
        <w:rPr>
          <w:rStyle w:val="SingleTxtGChar"/>
        </w:rPr>
        <w:t xml:space="preserve">for </w:t>
      </w:r>
      <w:r w:rsidR="008263BD" w:rsidRPr="000C1BF2">
        <w:rPr>
          <w:rStyle w:val="SingleTxtGChar"/>
        </w:rPr>
        <w:t xml:space="preserve">a </w:t>
      </w:r>
      <w:r w:rsidRPr="000C1BF2">
        <w:rPr>
          <w:rStyle w:val="SingleTxtGChar"/>
        </w:rPr>
        <w:t>position of teacher in elementary schools in Revúca</w:t>
      </w:r>
      <w:r w:rsidR="00280137" w:rsidRPr="000C1BF2">
        <w:rPr>
          <w:rStyle w:val="SingleTxtGChar"/>
        </w:rPr>
        <w:t xml:space="preserve"> at the time when the petitioner applied</w:t>
      </w:r>
      <w:r w:rsidRPr="000C1BF2">
        <w:rPr>
          <w:rStyle w:val="SingleTxtGChar"/>
        </w:rPr>
        <w:t>. The Office</w:t>
      </w:r>
      <w:r w:rsidR="008263BD" w:rsidRPr="000C1BF2">
        <w:rPr>
          <w:rStyle w:val="SingleTxtGChar"/>
        </w:rPr>
        <w:t xml:space="preserve"> also</w:t>
      </w:r>
      <w:r w:rsidRPr="000C1BF2">
        <w:rPr>
          <w:rStyle w:val="SingleTxtGChar"/>
        </w:rPr>
        <w:t xml:space="preserve"> informed the </w:t>
      </w:r>
      <w:r w:rsidR="0097419C" w:rsidRPr="000C1BF2">
        <w:rPr>
          <w:rStyle w:val="SingleTxtGChar"/>
        </w:rPr>
        <w:t>petitioner</w:t>
      </w:r>
      <w:r w:rsidRPr="000C1BF2">
        <w:rPr>
          <w:rStyle w:val="SingleTxtGChar"/>
        </w:rPr>
        <w:t xml:space="preserve"> that elementary schools </w:t>
      </w:r>
      <w:r w:rsidR="00F66095">
        <w:rPr>
          <w:rStyle w:val="SingleTxtGChar"/>
        </w:rPr>
        <w:t xml:space="preserve">had </w:t>
      </w:r>
      <w:r w:rsidRPr="000C1BF2">
        <w:rPr>
          <w:rStyle w:val="SingleTxtGChar"/>
        </w:rPr>
        <w:t xml:space="preserve">kept her application on file and that there </w:t>
      </w:r>
      <w:r w:rsidR="008263BD" w:rsidRPr="000C1BF2">
        <w:rPr>
          <w:rStyle w:val="SingleTxtGChar"/>
        </w:rPr>
        <w:t>was a</w:t>
      </w:r>
      <w:r w:rsidRPr="000C1BF2">
        <w:rPr>
          <w:rStyle w:val="SingleTxtGChar"/>
        </w:rPr>
        <w:t xml:space="preserve"> vacancy </w:t>
      </w:r>
      <w:r w:rsidR="008263BD" w:rsidRPr="000C1BF2">
        <w:rPr>
          <w:rStyle w:val="SingleTxtGChar"/>
        </w:rPr>
        <w:t xml:space="preserve">for an English </w:t>
      </w:r>
      <w:r w:rsidRPr="000C1BF2">
        <w:rPr>
          <w:rStyle w:val="SingleTxtGChar"/>
        </w:rPr>
        <w:t>teacher at a private high school in Revúca. The Office also noted that</w:t>
      </w:r>
      <w:r w:rsidR="00453528">
        <w:rPr>
          <w:rStyle w:val="SingleTxtGChar"/>
        </w:rPr>
        <w:t>,</w:t>
      </w:r>
      <w:r w:rsidRPr="000C1BF2">
        <w:rPr>
          <w:rStyle w:val="SingleTxtGChar"/>
        </w:rPr>
        <w:t xml:space="preserve"> if it had found minimum indications </w:t>
      </w:r>
      <w:r w:rsidR="003D4E60">
        <w:rPr>
          <w:rStyle w:val="SingleTxtGChar"/>
        </w:rPr>
        <w:t>that</w:t>
      </w:r>
      <w:r w:rsidR="003D4E60" w:rsidRPr="000C1BF2">
        <w:rPr>
          <w:rStyle w:val="SingleTxtGChar"/>
        </w:rPr>
        <w:t xml:space="preserve"> </w:t>
      </w:r>
      <w:r w:rsidRPr="000C1BF2">
        <w:rPr>
          <w:rStyle w:val="SingleTxtGChar"/>
        </w:rPr>
        <w:t>established the possibility of obtaining evidence of discr</w:t>
      </w:r>
      <w:r w:rsidR="00732618" w:rsidRPr="000C1BF2">
        <w:rPr>
          <w:rStyle w:val="SingleTxtGChar"/>
        </w:rPr>
        <w:t>i</w:t>
      </w:r>
      <w:r w:rsidRPr="000C1BF2">
        <w:rPr>
          <w:rStyle w:val="SingleTxtGChar"/>
        </w:rPr>
        <w:t>minatory conduct by the school</w:t>
      </w:r>
      <w:r w:rsidR="008263BD" w:rsidRPr="000C1BF2">
        <w:rPr>
          <w:rStyle w:val="SingleTxtGChar"/>
        </w:rPr>
        <w:t xml:space="preserve"> when</w:t>
      </w:r>
      <w:r w:rsidRPr="000C1BF2">
        <w:rPr>
          <w:rStyle w:val="SingleTxtGChar"/>
        </w:rPr>
        <w:t xml:space="preserve"> the </w:t>
      </w:r>
      <w:r w:rsidR="0097419C" w:rsidRPr="000C1BF2">
        <w:rPr>
          <w:rStyle w:val="SingleTxtGChar"/>
        </w:rPr>
        <w:t>petitioner</w:t>
      </w:r>
      <w:r w:rsidRPr="000C1BF2">
        <w:rPr>
          <w:rStyle w:val="SingleTxtGChar"/>
        </w:rPr>
        <w:t xml:space="preserve"> filed the petition, it would have provided the </w:t>
      </w:r>
      <w:r w:rsidR="0097419C" w:rsidRPr="000C1BF2">
        <w:rPr>
          <w:rStyle w:val="SingleTxtGChar"/>
        </w:rPr>
        <w:t>petitioner</w:t>
      </w:r>
      <w:r w:rsidRPr="000C1BF2">
        <w:rPr>
          <w:rStyle w:val="SingleTxtGChar"/>
        </w:rPr>
        <w:t xml:space="preserve"> with the necessary assistance </w:t>
      </w:r>
      <w:r w:rsidR="008263BD" w:rsidRPr="000C1BF2">
        <w:rPr>
          <w:rStyle w:val="SingleTxtGChar"/>
        </w:rPr>
        <w:t>for her to be able</w:t>
      </w:r>
      <w:r w:rsidRPr="000C1BF2">
        <w:rPr>
          <w:rStyle w:val="SingleTxtGChar"/>
        </w:rPr>
        <w:t xml:space="preserve"> to acquire and </w:t>
      </w:r>
      <w:r w:rsidR="008263BD" w:rsidRPr="000C1BF2">
        <w:rPr>
          <w:rStyle w:val="SingleTxtGChar"/>
        </w:rPr>
        <w:t xml:space="preserve">submit </w:t>
      </w:r>
      <w:r w:rsidRPr="000C1BF2">
        <w:rPr>
          <w:rStyle w:val="SingleTxtGChar"/>
        </w:rPr>
        <w:t>evidence in proceedings before the court</w:t>
      </w:r>
      <w:r w:rsidR="00453528">
        <w:rPr>
          <w:rStyle w:val="SingleTxtGChar"/>
        </w:rPr>
        <w:t>s</w:t>
      </w:r>
      <w:r w:rsidRPr="000C1BF2">
        <w:rPr>
          <w:rStyle w:val="SingleTxtGChar"/>
        </w:rPr>
        <w:t xml:space="preserve">. According to the State party, the </w:t>
      </w:r>
      <w:r w:rsidR="0097419C" w:rsidRPr="000C1BF2">
        <w:rPr>
          <w:rStyle w:val="SingleTxtGChar"/>
        </w:rPr>
        <w:t>petitioner</w:t>
      </w:r>
      <w:r w:rsidRPr="000C1BF2">
        <w:rPr>
          <w:rStyle w:val="SingleTxtGChar"/>
        </w:rPr>
        <w:t xml:space="preserve"> also approached the </w:t>
      </w:r>
      <w:r w:rsidR="00732618" w:rsidRPr="000C1BF2">
        <w:rPr>
          <w:rStyle w:val="SingleTxtGChar"/>
        </w:rPr>
        <w:t>Equality Centre</w:t>
      </w:r>
      <w:r w:rsidR="003D4E60">
        <w:rPr>
          <w:rStyle w:val="SingleTxtGChar"/>
        </w:rPr>
        <w:t>,</w:t>
      </w:r>
      <w:r w:rsidR="00732618" w:rsidRPr="000C1BF2">
        <w:rPr>
          <w:rStyle w:val="SingleTxtGChar"/>
        </w:rPr>
        <w:t xml:space="preserve"> </w:t>
      </w:r>
      <w:r w:rsidRPr="000C1BF2">
        <w:rPr>
          <w:rStyle w:val="SingleTxtGChar"/>
        </w:rPr>
        <w:t>which, inter alia, provides legal assistance to victims of discrimination an</w:t>
      </w:r>
      <w:r w:rsidR="00161497">
        <w:rPr>
          <w:rStyle w:val="SingleTxtGChar"/>
        </w:rPr>
        <w:t>d manifestations of intolerance</w:t>
      </w:r>
      <w:r w:rsidR="00A7312B">
        <w:rPr>
          <w:rStyle w:val="SingleTxtGChar"/>
        </w:rPr>
        <w:t>.</w:t>
      </w:r>
      <w:r w:rsidRPr="006469B8">
        <w:rPr>
          <w:rStyle w:val="FootnoteReference"/>
        </w:rPr>
        <w:footnoteReference w:id="20"/>
      </w:r>
      <w:r w:rsidRPr="000C1BF2">
        <w:rPr>
          <w:rStyle w:val="SingleTxtGChar"/>
        </w:rPr>
        <w:t xml:space="preserve"> The </w:t>
      </w:r>
      <w:r w:rsidR="00732618" w:rsidRPr="000C1BF2">
        <w:rPr>
          <w:rStyle w:val="SingleTxtGChar"/>
        </w:rPr>
        <w:t xml:space="preserve">Centre </w:t>
      </w:r>
      <w:r w:rsidRPr="000C1BF2">
        <w:rPr>
          <w:rStyle w:val="SingleTxtGChar"/>
        </w:rPr>
        <w:t>stated that</w:t>
      </w:r>
      <w:r w:rsidR="00453528">
        <w:rPr>
          <w:rStyle w:val="SingleTxtGChar"/>
        </w:rPr>
        <w:t>,</w:t>
      </w:r>
      <w:r w:rsidRPr="000C1BF2">
        <w:rPr>
          <w:rStyle w:val="SingleTxtGChar"/>
        </w:rPr>
        <w:t xml:space="preserve"> in the case of the </w:t>
      </w:r>
      <w:r w:rsidR="0097419C" w:rsidRPr="000C1BF2">
        <w:rPr>
          <w:rStyle w:val="SingleTxtGChar"/>
        </w:rPr>
        <w:t>petitioner</w:t>
      </w:r>
      <w:r w:rsidRPr="000C1BF2">
        <w:rPr>
          <w:rStyle w:val="SingleTxtGChar"/>
        </w:rPr>
        <w:t xml:space="preserve">, </w:t>
      </w:r>
      <w:r w:rsidR="00453528">
        <w:rPr>
          <w:rStyle w:val="SingleTxtGChar"/>
        </w:rPr>
        <w:t>in</w:t>
      </w:r>
      <w:r w:rsidRPr="000C1BF2">
        <w:rPr>
          <w:rStyle w:val="SingleTxtGChar"/>
        </w:rPr>
        <w:t xml:space="preserve">sufficient facts </w:t>
      </w:r>
      <w:r w:rsidR="00453528">
        <w:rPr>
          <w:rStyle w:val="SingleTxtGChar"/>
        </w:rPr>
        <w:t>or</w:t>
      </w:r>
      <w:r w:rsidR="00453528" w:rsidRPr="000C1BF2">
        <w:rPr>
          <w:rStyle w:val="SingleTxtGChar"/>
        </w:rPr>
        <w:t xml:space="preserve"> </w:t>
      </w:r>
      <w:r w:rsidRPr="000C1BF2">
        <w:rPr>
          <w:rStyle w:val="SingleTxtGChar"/>
        </w:rPr>
        <w:t xml:space="preserve">documents that would allow the reasonable assumption that the principle of equal treatment was not respected </w:t>
      </w:r>
      <w:r w:rsidR="00EF50CC" w:rsidRPr="000C1BF2">
        <w:rPr>
          <w:rStyle w:val="SingleTxtGChar"/>
        </w:rPr>
        <w:t>on the basis of</w:t>
      </w:r>
      <w:r w:rsidRPr="000C1BF2">
        <w:rPr>
          <w:rStyle w:val="SingleTxtGChar"/>
        </w:rPr>
        <w:t xml:space="preserve"> her racial or ethnic origin</w:t>
      </w:r>
      <w:r w:rsidR="00453528">
        <w:rPr>
          <w:rStyle w:val="SingleTxtGChar"/>
        </w:rPr>
        <w:t xml:space="preserve"> had been</w:t>
      </w:r>
      <w:r w:rsidR="00453528" w:rsidRPr="000C1BF2">
        <w:rPr>
          <w:rStyle w:val="SingleTxtGChar"/>
        </w:rPr>
        <w:t xml:space="preserve"> presented</w:t>
      </w:r>
      <w:r w:rsidRPr="000C1BF2">
        <w:rPr>
          <w:rStyle w:val="SingleTxtGChar"/>
        </w:rPr>
        <w:t xml:space="preserve">. The </w:t>
      </w:r>
      <w:r w:rsidR="00732618" w:rsidRPr="000C1BF2">
        <w:rPr>
          <w:rStyle w:val="SingleTxtGChar"/>
        </w:rPr>
        <w:t>Centre</w:t>
      </w:r>
      <w:r w:rsidRPr="000C1BF2">
        <w:rPr>
          <w:rStyle w:val="SingleTxtGChar"/>
        </w:rPr>
        <w:t xml:space="preserve"> acknowledged that the conduct</w:t>
      </w:r>
      <w:r w:rsidR="00B73462" w:rsidRPr="000C1BF2">
        <w:rPr>
          <w:rStyle w:val="SingleTxtGChar"/>
        </w:rPr>
        <w:t xml:space="preserve"> </w:t>
      </w:r>
      <w:r w:rsidR="00EF50CC" w:rsidRPr="000C1BF2">
        <w:rPr>
          <w:rStyle w:val="SingleTxtGChar"/>
        </w:rPr>
        <w:t>denounced by the</w:t>
      </w:r>
      <w:r w:rsidRPr="000C1BF2">
        <w:rPr>
          <w:rStyle w:val="SingleTxtGChar"/>
        </w:rPr>
        <w:t xml:space="preserve"> </w:t>
      </w:r>
      <w:r w:rsidR="0097419C" w:rsidRPr="000C1BF2">
        <w:rPr>
          <w:rStyle w:val="SingleTxtGChar"/>
        </w:rPr>
        <w:t>petitioner</w:t>
      </w:r>
      <w:r w:rsidRPr="000C1BF2">
        <w:rPr>
          <w:rStyle w:val="SingleTxtGChar"/>
        </w:rPr>
        <w:t xml:space="preserve"> might have given rise to some damage or disadvantage, but </w:t>
      </w:r>
      <w:r w:rsidR="00EF50CC" w:rsidRPr="000C1BF2">
        <w:rPr>
          <w:rStyle w:val="SingleTxtGChar"/>
        </w:rPr>
        <w:t xml:space="preserve">it considered that </w:t>
      </w:r>
      <w:r w:rsidRPr="000C1BF2">
        <w:rPr>
          <w:rStyle w:val="SingleTxtGChar"/>
        </w:rPr>
        <w:t>there must be a reasonable assumption of a causal link between the cause for different</w:t>
      </w:r>
      <w:r w:rsidR="00453528">
        <w:rPr>
          <w:rStyle w:val="SingleTxtGChar"/>
        </w:rPr>
        <w:t>ial</w:t>
      </w:r>
      <w:r w:rsidRPr="000C1BF2">
        <w:rPr>
          <w:rStyle w:val="SingleTxtGChar"/>
        </w:rPr>
        <w:t xml:space="preserve"> treatment and the damage. According to the </w:t>
      </w:r>
      <w:r w:rsidR="00732618" w:rsidRPr="000C1BF2">
        <w:rPr>
          <w:rStyle w:val="SingleTxtGChar"/>
        </w:rPr>
        <w:t>Centre</w:t>
      </w:r>
      <w:r w:rsidRPr="000C1BF2">
        <w:rPr>
          <w:rStyle w:val="SingleTxtGChar"/>
        </w:rPr>
        <w:t xml:space="preserve">, </w:t>
      </w:r>
      <w:r w:rsidR="00EF50CC" w:rsidRPr="000C1BF2">
        <w:rPr>
          <w:rStyle w:val="SingleTxtGChar"/>
        </w:rPr>
        <w:t>no</w:t>
      </w:r>
      <w:r w:rsidR="00B73462" w:rsidRPr="000C1BF2">
        <w:rPr>
          <w:rStyle w:val="SingleTxtGChar"/>
        </w:rPr>
        <w:t>t</w:t>
      </w:r>
      <w:r w:rsidR="00EF50CC" w:rsidRPr="000C1BF2">
        <w:rPr>
          <w:rStyle w:val="SingleTxtGChar"/>
        </w:rPr>
        <w:t xml:space="preserve"> </w:t>
      </w:r>
      <w:r w:rsidR="00453528">
        <w:rPr>
          <w:rStyle w:val="SingleTxtGChar"/>
        </w:rPr>
        <w:t>all</w:t>
      </w:r>
      <w:r w:rsidR="00453528" w:rsidRPr="000C1BF2">
        <w:rPr>
          <w:rStyle w:val="SingleTxtGChar"/>
        </w:rPr>
        <w:t xml:space="preserve"> </w:t>
      </w:r>
      <w:r w:rsidR="00B73462" w:rsidRPr="000C1BF2">
        <w:rPr>
          <w:rStyle w:val="SingleTxtGChar"/>
        </w:rPr>
        <w:t xml:space="preserve">differential </w:t>
      </w:r>
      <w:r w:rsidRPr="000C1BF2">
        <w:rPr>
          <w:rStyle w:val="SingleTxtGChar"/>
        </w:rPr>
        <w:t>treatment can be deemed as discriminatory or</w:t>
      </w:r>
      <w:r w:rsidR="00EF50CC" w:rsidRPr="000C1BF2">
        <w:rPr>
          <w:rStyle w:val="SingleTxtGChar"/>
        </w:rPr>
        <w:t xml:space="preserve"> as a</w:t>
      </w:r>
      <w:r w:rsidRPr="000C1BF2">
        <w:rPr>
          <w:rStyle w:val="SingleTxtGChar"/>
        </w:rPr>
        <w:t xml:space="preserve"> violation of the principle of equal treatment under the Anti-</w:t>
      </w:r>
      <w:r w:rsidR="00732618" w:rsidRPr="000C1BF2">
        <w:rPr>
          <w:rStyle w:val="SingleTxtGChar"/>
        </w:rPr>
        <w:t>d</w:t>
      </w:r>
      <w:r w:rsidRPr="000C1BF2">
        <w:rPr>
          <w:rStyle w:val="SingleTxtGChar"/>
        </w:rPr>
        <w:t>iscrimination Act. It might</w:t>
      </w:r>
      <w:r w:rsidR="00453528">
        <w:rPr>
          <w:rStyle w:val="SingleTxtGChar"/>
        </w:rPr>
        <w:t>,</w:t>
      </w:r>
      <w:r w:rsidRPr="000C1BF2">
        <w:rPr>
          <w:rStyle w:val="SingleTxtGChar"/>
        </w:rPr>
        <w:t xml:space="preserve"> however</w:t>
      </w:r>
      <w:r w:rsidR="00453528">
        <w:rPr>
          <w:rStyle w:val="SingleTxtGChar"/>
        </w:rPr>
        <w:t>,</w:t>
      </w:r>
      <w:r w:rsidRPr="000C1BF2">
        <w:rPr>
          <w:rStyle w:val="SingleTxtGChar"/>
        </w:rPr>
        <w:t xml:space="preserve"> constitute a violation of other rights and legitimate interests of individuals stipulated </w:t>
      </w:r>
      <w:r w:rsidR="00453528">
        <w:rPr>
          <w:rStyle w:val="SingleTxtGChar"/>
        </w:rPr>
        <w:t>in</w:t>
      </w:r>
      <w:r w:rsidR="00453528" w:rsidRPr="000C1BF2">
        <w:rPr>
          <w:rStyle w:val="SingleTxtGChar"/>
        </w:rPr>
        <w:t xml:space="preserve"> </w:t>
      </w:r>
      <w:r w:rsidRPr="000C1BF2">
        <w:rPr>
          <w:rStyle w:val="SingleTxtGChar"/>
        </w:rPr>
        <w:t xml:space="preserve">other laws. </w:t>
      </w:r>
      <w:r w:rsidR="00EF50CC" w:rsidRPr="000C1BF2">
        <w:rPr>
          <w:rStyle w:val="SingleTxtGChar"/>
        </w:rPr>
        <w:t>T</w:t>
      </w:r>
      <w:r w:rsidRPr="000C1BF2">
        <w:rPr>
          <w:rStyle w:val="SingleTxtGChar"/>
        </w:rPr>
        <w:t>he Centre</w:t>
      </w:r>
      <w:r w:rsidR="00EF50CC" w:rsidRPr="000C1BF2">
        <w:rPr>
          <w:rStyle w:val="SingleTxtGChar"/>
        </w:rPr>
        <w:t xml:space="preserve"> further </w:t>
      </w:r>
      <w:r w:rsidR="00453528">
        <w:rPr>
          <w:rStyle w:val="SingleTxtGChar"/>
        </w:rPr>
        <w:t>gave its opinion</w:t>
      </w:r>
      <w:r w:rsidR="00453528" w:rsidRPr="000C1BF2">
        <w:rPr>
          <w:rStyle w:val="SingleTxtGChar"/>
        </w:rPr>
        <w:t xml:space="preserve"> </w:t>
      </w:r>
      <w:r w:rsidRPr="000C1BF2">
        <w:rPr>
          <w:rStyle w:val="SingleTxtGChar"/>
        </w:rPr>
        <w:t>that</w:t>
      </w:r>
      <w:r w:rsidR="00453528">
        <w:rPr>
          <w:rStyle w:val="SingleTxtGChar"/>
        </w:rPr>
        <w:t xml:space="preserve"> the</w:t>
      </w:r>
      <w:r w:rsidRPr="000C1BF2">
        <w:rPr>
          <w:rStyle w:val="SingleTxtGChar"/>
        </w:rPr>
        <w:t xml:space="preserve"> domestic courts did not apply properly the shifted burden of proof in the </w:t>
      </w:r>
      <w:r w:rsidR="00732618" w:rsidRPr="000C1BF2">
        <w:rPr>
          <w:rStyle w:val="SingleTxtGChar"/>
        </w:rPr>
        <w:t xml:space="preserve">petitioner’s </w:t>
      </w:r>
      <w:r w:rsidRPr="000C1BF2">
        <w:rPr>
          <w:rStyle w:val="SingleTxtGChar"/>
        </w:rPr>
        <w:t>case.</w:t>
      </w:r>
      <w:r w:rsidRPr="006969FF">
        <w:rPr>
          <w:lang w:eastAsia="cs-CZ"/>
        </w:rPr>
        <w:t xml:space="preserve"> </w:t>
      </w:r>
    </w:p>
    <w:p w14:paraId="137FDFDE" w14:textId="77777777" w:rsidR="00013675" w:rsidRPr="006969FF" w:rsidRDefault="00013675" w:rsidP="00F579C4">
      <w:pPr>
        <w:suppressAutoHyphens w:val="0"/>
        <w:spacing w:after="120" w:line="240" w:lineRule="auto"/>
        <w:ind w:left="1134" w:right="1134"/>
        <w:jc w:val="both"/>
        <w:rPr>
          <w:lang w:eastAsia="cs-CZ"/>
        </w:rPr>
      </w:pPr>
      <w:r w:rsidRPr="006969FF">
        <w:rPr>
          <w:lang w:eastAsia="cs-CZ"/>
        </w:rPr>
        <w:t>4.</w:t>
      </w:r>
      <w:r w:rsidR="00B73462">
        <w:rPr>
          <w:lang w:eastAsia="cs-CZ"/>
        </w:rPr>
        <w:t>7</w:t>
      </w:r>
      <w:r w:rsidRPr="006969FF">
        <w:rPr>
          <w:lang w:eastAsia="cs-CZ"/>
        </w:rPr>
        <w:tab/>
      </w:r>
      <w:r w:rsidRPr="000C1BF2">
        <w:rPr>
          <w:rStyle w:val="SingleTxtGChar"/>
        </w:rPr>
        <w:t xml:space="preserve">The State party objects to the </w:t>
      </w:r>
      <w:r w:rsidR="0097419C" w:rsidRPr="000C1BF2">
        <w:rPr>
          <w:rStyle w:val="SingleTxtGChar"/>
        </w:rPr>
        <w:t>petitioner</w:t>
      </w:r>
      <w:r w:rsidRPr="000C1BF2">
        <w:rPr>
          <w:rStyle w:val="SingleTxtGChar"/>
        </w:rPr>
        <w:t>’s allegation</w:t>
      </w:r>
      <w:r w:rsidR="00DF79F0" w:rsidRPr="000C1BF2">
        <w:rPr>
          <w:rStyle w:val="SingleTxtGChar"/>
        </w:rPr>
        <w:t>s</w:t>
      </w:r>
      <w:r w:rsidRPr="000C1BF2">
        <w:rPr>
          <w:rStyle w:val="SingleTxtGChar"/>
        </w:rPr>
        <w:t xml:space="preserve"> regarding the lack of effective remedy available to her </w:t>
      </w:r>
      <w:r w:rsidR="00DF79F0" w:rsidRPr="000C1BF2">
        <w:rPr>
          <w:rStyle w:val="SingleTxtGChar"/>
        </w:rPr>
        <w:t xml:space="preserve">with regard to the </w:t>
      </w:r>
      <w:r w:rsidRPr="000C1BF2">
        <w:rPr>
          <w:rStyle w:val="SingleTxtGChar"/>
        </w:rPr>
        <w:t>racial disc</w:t>
      </w:r>
      <w:r w:rsidR="00B73462" w:rsidRPr="000C1BF2">
        <w:rPr>
          <w:rStyle w:val="SingleTxtGChar"/>
        </w:rPr>
        <w:t>r</w:t>
      </w:r>
      <w:r w:rsidRPr="000C1BF2">
        <w:rPr>
          <w:rStyle w:val="SingleTxtGChar"/>
        </w:rPr>
        <w:t xml:space="preserve">imination </w:t>
      </w:r>
      <w:r w:rsidR="00453528">
        <w:rPr>
          <w:rStyle w:val="SingleTxtGChar"/>
        </w:rPr>
        <w:t xml:space="preserve">to which </w:t>
      </w:r>
      <w:r w:rsidRPr="000C1BF2">
        <w:rPr>
          <w:rStyle w:val="SingleTxtGChar"/>
        </w:rPr>
        <w:t>she has</w:t>
      </w:r>
      <w:r w:rsidR="00453528">
        <w:rPr>
          <w:rStyle w:val="SingleTxtGChar"/>
        </w:rPr>
        <w:t xml:space="preserve"> allegedly</w:t>
      </w:r>
      <w:r w:rsidRPr="000C1BF2">
        <w:rPr>
          <w:rStyle w:val="SingleTxtGChar"/>
        </w:rPr>
        <w:t xml:space="preserve"> been subjected to as a Roma. The State party also object</w:t>
      </w:r>
      <w:r w:rsidR="00DE3936" w:rsidRPr="000C1BF2">
        <w:rPr>
          <w:rStyle w:val="SingleTxtGChar"/>
        </w:rPr>
        <w:t>s</w:t>
      </w:r>
      <w:r w:rsidRPr="000C1BF2">
        <w:rPr>
          <w:rStyle w:val="SingleTxtGChar"/>
        </w:rPr>
        <w:t xml:space="preserve"> to the </w:t>
      </w:r>
      <w:r w:rsidR="0097419C" w:rsidRPr="000C1BF2">
        <w:rPr>
          <w:rStyle w:val="SingleTxtGChar"/>
        </w:rPr>
        <w:t>petitioner</w:t>
      </w:r>
      <w:r w:rsidRPr="000C1BF2">
        <w:rPr>
          <w:rStyle w:val="SingleTxtGChar"/>
        </w:rPr>
        <w:t xml:space="preserve">’s allegation that it had not taken all appropriate measures to eliminate racial discrimination, inter alia, in access to employment. </w:t>
      </w:r>
      <w:r w:rsidR="00DF79F0" w:rsidRPr="000C1BF2">
        <w:rPr>
          <w:rStyle w:val="SingleTxtGChar"/>
        </w:rPr>
        <w:t>It also considers</w:t>
      </w:r>
      <w:r w:rsidRPr="000C1BF2">
        <w:rPr>
          <w:rStyle w:val="SingleTxtGChar"/>
        </w:rPr>
        <w:t xml:space="preserve"> that the existing national legislative and institutional framework provides sufficient guarantees for protection against discrimination on any grounds. </w:t>
      </w:r>
      <w:r w:rsidR="00DF79F0" w:rsidRPr="000C1BF2">
        <w:rPr>
          <w:rStyle w:val="SingleTxtGChar"/>
        </w:rPr>
        <w:t>The State</w:t>
      </w:r>
      <w:r w:rsidR="00DF79F0" w:rsidRPr="006969FF">
        <w:rPr>
          <w:lang w:eastAsia="cs-CZ"/>
        </w:rPr>
        <w:t xml:space="preserve"> </w:t>
      </w:r>
      <w:r w:rsidR="00DF79F0" w:rsidRPr="000C1BF2">
        <w:rPr>
          <w:rStyle w:val="SingleTxtGChar"/>
        </w:rPr>
        <w:t>party considers that</w:t>
      </w:r>
      <w:r w:rsidR="00453528">
        <w:rPr>
          <w:rStyle w:val="SingleTxtGChar"/>
        </w:rPr>
        <w:t>,</w:t>
      </w:r>
      <w:r w:rsidR="00DF79F0" w:rsidRPr="000C1BF2">
        <w:rPr>
          <w:rStyle w:val="SingleTxtGChar"/>
        </w:rPr>
        <w:t xml:space="preserve"> in </w:t>
      </w:r>
      <w:r w:rsidR="00453528">
        <w:rPr>
          <w:rStyle w:val="SingleTxtGChar"/>
        </w:rPr>
        <w:t xml:space="preserve">the </w:t>
      </w:r>
      <w:r w:rsidRPr="000C1BF2">
        <w:rPr>
          <w:rStyle w:val="SingleTxtGChar"/>
        </w:rPr>
        <w:t xml:space="preserve">case of </w:t>
      </w:r>
      <w:r w:rsidR="00DF79F0" w:rsidRPr="000C1BF2">
        <w:rPr>
          <w:rStyle w:val="SingleTxtGChar"/>
        </w:rPr>
        <w:t xml:space="preserve">a </w:t>
      </w:r>
      <w:r w:rsidRPr="000C1BF2">
        <w:rPr>
          <w:rStyle w:val="SingleTxtGChar"/>
        </w:rPr>
        <w:t>violation of the prohibition of discrimination</w:t>
      </w:r>
      <w:r w:rsidR="00DF79F0" w:rsidRPr="000C1BF2">
        <w:rPr>
          <w:rStyle w:val="SingleTxtGChar"/>
        </w:rPr>
        <w:t>,</w:t>
      </w:r>
      <w:r w:rsidRPr="000C1BF2">
        <w:rPr>
          <w:rStyle w:val="SingleTxtGChar"/>
        </w:rPr>
        <w:t xml:space="preserve"> it</w:t>
      </w:r>
      <w:r w:rsidR="00DF79F0" w:rsidRPr="000C1BF2">
        <w:rPr>
          <w:rStyle w:val="SingleTxtGChar"/>
        </w:rPr>
        <w:t>s legislation</w:t>
      </w:r>
      <w:r w:rsidRPr="000C1BF2">
        <w:rPr>
          <w:rStyle w:val="SingleTxtGChar"/>
        </w:rPr>
        <w:t xml:space="preserve"> provides effective tools to remedy the situation, including judicial protection.</w:t>
      </w:r>
      <w:r w:rsidRPr="006969FF">
        <w:rPr>
          <w:lang w:eastAsia="cs-CZ"/>
        </w:rPr>
        <w:t xml:space="preserve"> </w:t>
      </w:r>
    </w:p>
    <w:p w14:paraId="2BBBF8A7" w14:textId="77777777" w:rsidR="00013675" w:rsidRPr="006969FF" w:rsidRDefault="00013675" w:rsidP="00F579C4">
      <w:pPr>
        <w:suppressAutoHyphens w:val="0"/>
        <w:spacing w:after="120" w:line="240" w:lineRule="auto"/>
        <w:ind w:left="1134" w:right="1134"/>
        <w:jc w:val="both"/>
        <w:rPr>
          <w:lang w:eastAsia="cs-CZ"/>
        </w:rPr>
      </w:pPr>
      <w:r w:rsidRPr="006969FF">
        <w:rPr>
          <w:lang w:eastAsia="cs-CZ"/>
        </w:rPr>
        <w:t>4.</w:t>
      </w:r>
      <w:r w:rsidR="00B73462">
        <w:rPr>
          <w:lang w:eastAsia="cs-CZ"/>
        </w:rPr>
        <w:t>8</w:t>
      </w:r>
      <w:r w:rsidRPr="006969FF">
        <w:rPr>
          <w:lang w:eastAsia="cs-CZ"/>
        </w:rPr>
        <w:tab/>
      </w:r>
      <w:r w:rsidRPr="000C1BF2">
        <w:rPr>
          <w:rStyle w:val="SingleTxtGChar"/>
        </w:rPr>
        <w:t xml:space="preserve">As regards the </w:t>
      </w:r>
      <w:r w:rsidR="0097419C" w:rsidRPr="000C1BF2">
        <w:rPr>
          <w:rStyle w:val="SingleTxtGChar"/>
        </w:rPr>
        <w:t>petitioner</w:t>
      </w:r>
      <w:r w:rsidRPr="000C1BF2">
        <w:rPr>
          <w:rStyle w:val="SingleTxtGChar"/>
        </w:rPr>
        <w:t>’s objections to the application of the shift of the burden of proof</w:t>
      </w:r>
      <w:r w:rsidR="00DF79F0" w:rsidRPr="000C1BF2">
        <w:rPr>
          <w:rStyle w:val="SingleTxtGChar"/>
        </w:rPr>
        <w:t xml:space="preserve"> by</w:t>
      </w:r>
      <w:r w:rsidR="003D4E60">
        <w:rPr>
          <w:rStyle w:val="SingleTxtGChar"/>
        </w:rPr>
        <w:t xml:space="preserve"> the</w:t>
      </w:r>
      <w:r w:rsidR="00DF79F0" w:rsidRPr="000C1BF2">
        <w:rPr>
          <w:rStyle w:val="SingleTxtGChar"/>
        </w:rPr>
        <w:t xml:space="preserve"> national </w:t>
      </w:r>
      <w:r w:rsidR="00B73462" w:rsidRPr="000C1BF2">
        <w:rPr>
          <w:rStyle w:val="SingleTxtGChar"/>
        </w:rPr>
        <w:t>courts</w:t>
      </w:r>
      <w:r w:rsidRPr="000C1BF2">
        <w:rPr>
          <w:rStyle w:val="SingleTxtGChar"/>
        </w:rPr>
        <w:t xml:space="preserve">, the State party </w:t>
      </w:r>
      <w:r w:rsidR="00D81783">
        <w:rPr>
          <w:rStyle w:val="SingleTxtGChar"/>
        </w:rPr>
        <w:t>reports</w:t>
      </w:r>
      <w:r w:rsidR="00D81783" w:rsidRPr="000C1BF2">
        <w:rPr>
          <w:rStyle w:val="SingleTxtGChar"/>
        </w:rPr>
        <w:t xml:space="preserve"> </w:t>
      </w:r>
      <w:r w:rsidRPr="000C1BF2">
        <w:rPr>
          <w:rStyle w:val="SingleTxtGChar"/>
        </w:rPr>
        <w:t xml:space="preserve">that </w:t>
      </w:r>
      <w:r w:rsidR="00DF79F0" w:rsidRPr="000C1BF2">
        <w:rPr>
          <w:rStyle w:val="SingleTxtGChar"/>
        </w:rPr>
        <w:t xml:space="preserve">this </w:t>
      </w:r>
      <w:r w:rsidRPr="000C1BF2">
        <w:rPr>
          <w:rStyle w:val="SingleTxtGChar"/>
        </w:rPr>
        <w:t xml:space="preserve">shift </w:t>
      </w:r>
      <w:r w:rsidR="00DF79F0" w:rsidRPr="000C1BF2">
        <w:rPr>
          <w:rStyle w:val="SingleTxtGChar"/>
        </w:rPr>
        <w:t>is in itself</w:t>
      </w:r>
      <w:r w:rsidRPr="000C1BF2">
        <w:rPr>
          <w:rStyle w:val="SingleTxtGChar"/>
        </w:rPr>
        <w:t xml:space="preserve"> an important tool in the fight against discrimination. </w:t>
      </w:r>
      <w:r w:rsidR="00DF79F0" w:rsidRPr="000C1BF2">
        <w:rPr>
          <w:rStyle w:val="SingleTxtGChar"/>
        </w:rPr>
        <w:t xml:space="preserve">It </w:t>
      </w:r>
      <w:r w:rsidRPr="000C1BF2">
        <w:rPr>
          <w:rStyle w:val="SingleTxtGChar"/>
        </w:rPr>
        <w:t>means that</w:t>
      </w:r>
      <w:r w:rsidR="00D81783">
        <w:rPr>
          <w:rStyle w:val="SingleTxtGChar"/>
        </w:rPr>
        <w:t>,</w:t>
      </w:r>
      <w:r w:rsidRPr="000C1BF2">
        <w:rPr>
          <w:rStyle w:val="SingleTxtGChar"/>
        </w:rPr>
        <w:t xml:space="preserve"> if </w:t>
      </w:r>
      <w:r w:rsidR="00AE253D" w:rsidRPr="000C1BF2">
        <w:rPr>
          <w:rStyle w:val="SingleTxtGChar"/>
        </w:rPr>
        <w:t xml:space="preserve">it can be reasonably inferred from </w:t>
      </w:r>
      <w:r w:rsidRPr="000C1BF2">
        <w:rPr>
          <w:rStyle w:val="SingleTxtGChar"/>
        </w:rPr>
        <w:t>the plaintiff</w:t>
      </w:r>
      <w:r w:rsidR="00AE253D" w:rsidRPr="000C1BF2">
        <w:rPr>
          <w:rStyle w:val="SingleTxtGChar"/>
        </w:rPr>
        <w:t>’s</w:t>
      </w:r>
      <w:r w:rsidRPr="000C1BF2">
        <w:rPr>
          <w:rStyle w:val="SingleTxtGChar"/>
        </w:rPr>
        <w:t xml:space="preserve"> </w:t>
      </w:r>
      <w:r w:rsidR="00DF79F0" w:rsidRPr="000C1BF2">
        <w:rPr>
          <w:rStyle w:val="SingleTxtGChar"/>
        </w:rPr>
        <w:t xml:space="preserve">allegations </w:t>
      </w:r>
      <w:r w:rsidR="00AE253D" w:rsidRPr="000C1BF2">
        <w:rPr>
          <w:rStyle w:val="SingleTxtGChar"/>
        </w:rPr>
        <w:t xml:space="preserve">that some </w:t>
      </w:r>
      <w:r w:rsidR="00DF79F0" w:rsidRPr="000C1BF2">
        <w:rPr>
          <w:rStyle w:val="SingleTxtGChar"/>
        </w:rPr>
        <w:t xml:space="preserve">direct or indirect discrimination </w:t>
      </w:r>
      <w:r w:rsidR="00AE253D" w:rsidRPr="000C1BF2">
        <w:rPr>
          <w:rStyle w:val="SingleTxtGChar"/>
        </w:rPr>
        <w:t>occurred</w:t>
      </w:r>
      <w:r w:rsidRPr="000C1BF2">
        <w:rPr>
          <w:rStyle w:val="SingleTxtGChar"/>
        </w:rPr>
        <w:t xml:space="preserve">, the burden of </w:t>
      </w:r>
      <w:r w:rsidRPr="000C1BF2">
        <w:rPr>
          <w:rStyle w:val="SingleTxtGChar"/>
        </w:rPr>
        <w:lastRenderedPageBreak/>
        <w:t xml:space="preserve">proof shifts to the defendant to prove that </w:t>
      </w:r>
      <w:r w:rsidR="00AE253D" w:rsidRPr="000C1BF2">
        <w:rPr>
          <w:rStyle w:val="SingleTxtGChar"/>
        </w:rPr>
        <w:t xml:space="preserve">such </w:t>
      </w:r>
      <w:r w:rsidRPr="000C1BF2">
        <w:rPr>
          <w:rStyle w:val="SingleTxtGChar"/>
        </w:rPr>
        <w:t>discrimination has not occu</w:t>
      </w:r>
      <w:r w:rsidR="00805D10" w:rsidRPr="000C1BF2">
        <w:rPr>
          <w:rStyle w:val="SingleTxtGChar"/>
        </w:rPr>
        <w:t>r</w:t>
      </w:r>
      <w:r w:rsidRPr="000C1BF2">
        <w:rPr>
          <w:rStyle w:val="SingleTxtGChar"/>
        </w:rPr>
        <w:t xml:space="preserve">red. </w:t>
      </w:r>
      <w:r w:rsidR="00AE253D" w:rsidRPr="000C1BF2">
        <w:rPr>
          <w:rStyle w:val="SingleTxtGChar"/>
        </w:rPr>
        <w:t>T</w:t>
      </w:r>
      <w:r w:rsidR="00805D10" w:rsidRPr="000C1BF2">
        <w:rPr>
          <w:rStyle w:val="SingleTxtGChar"/>
        </w:rPr>
        <w:t>he State party</w:t>
      </w:r>
      <w:r w:rsidR="00AE253D" w:rsidRPr="000C1BF2">
        <w:rPr>
          <w:rStyle w:val="SingleTxtGChar"/>
        </w:rPr>
        <w:t xml:space="preserve"> further argues that</w:t>
      </w:r>
      <w:r w:rsidR="00805D10" w:rsidRPr="000C1BF2">
        <w:rPr>
          <w:rStyle w:val="SingleTxtGChar"/>
        </w:rPr>
        <w:t xml:space="preserve"> t</w:t>
      </w:r>
      <w:r w:rsidRPr="000C1BF2">
        <w:rPr>
          <w:rStyle w:val="SingleTxtGChar"/>
        </w:rPr>
        <w:t>he Anti-discrimination Act imposes different requirements on the plaintiff and defendant as regards the nature or quality</w:t>
      </w:r>
      <w:r w:rsidR="00DF79F0" w:rsidRPr="000C1BF2">
        <w:rPr>
          <w:rStyle w:val="SingleTxtGChar"/>
        </w:rPr>
        <w:t xml:space="preserve"> </w:t>
      </w:r>
      <w:r w:rsidRPr="000C1BF2">
        <w:rPr>
          <w:rStyle w:val="SingleTxtGChar"/>
        </w:rPr>
        <w:t xml:space="preserve">of </w:t>
      </w:r>
      <w:r w:rsidR="00DF79F0" w:rsidRPr="000C1BF2">
        <w:rPr>
          <w:rStyle w:val="SingleTxtGChar"/>
        </w:rPr>
        <w:t xml:space="preserve">the </w:t>
      </w:r>
      <w:r w:rsidRPr="000C1BF2">
        <w:rPr>
          <w:rStyle w:val="SingleTxtGChar"/>
        </w:rPr>
        <w:t xml:space="preserve">evidence produced </w:t>
      </w:r>
      <w:r w:rsidR="00D81783">
        <w:rPr>
          <w:rStyle w:val="SingleTxtGChar"/>
        </w:rPr>
        <w:t>during</w:t>
      </w:r>
      <w:r w:rsidR="00D81783" w:rsidRPr="000C1BF2">
        <w:rPr>
          <w:rStyle w:val="SingleTxtGChar"/>
        </w:rPr>
        <w:t xml:space="preserve"> </w:t>
      </w:r>
      <w:r w:rsidRPr="000C1BF2">
        <w:rPr>
          <w:rStyle w:val="SingleTxtGChar"/>
        </w:rPr>
        <w:t>the dispute. The plaintiff has the obligation to bring</w:t>
      </w:r>
      <w:r w:rsidR="003D4E60">
        <w:rPr>
          <w:rStyle w:val="SingleTxtGChar"/>
        </w:rPr>
        <w:t xml:space="preserve"> forward</w:t>
      </w:r>
      <w:r w:rsidRPr="000C1BF2">
        <w:rPr>
          <w:rStyle w:val="SingleTxtGChar"/>
        </w:rPr>
        <w:t xml:space="preserve"> the facts from which it may reasonably </w:t>
      </w:r>
      <w:r w:rsidR="00AE253D" w:rsidRPr="000C1BF2">
        <w:rPr>
          <w:rStyle w:val="SingleTxtGChar"/>
        </w:rPr>
        <w:t xml:space="preserve">be </w:t>
      </w:r>
      <w:r w:rsidRPr="000C1BF2">
        <w:rPr>
          <w:rStyle w:val="SingleTxtGChar"/>
        </w:rPr>
        <w:t>presumed that there has been disc</w:t>
      </w:r>
      <w:r w:rsidR="00805D10" w:rsidRPr="000C1BF2">
        <w:rPr>
          <w:rStyle w:val="SingleTxtGChar"/>
        </w:rPr>
        <w:t>r</w:t>
      </w:r>
      <w:r w:rsidR="00161497">
        <w:rPr>
          <w:rStyle w:val="SingleTxtGChar"/>
        </w:rPr>
        <w:t>imination</w:t>
      </w:r>
      <w:r w:rsidR="00A7312B">
        <w:rPr>
          <w:rStyle w:val="SingleTxtGChar"/>
        </w:rPr>
        <w:t>.</w:t>
      </w:r>
      <w:r w:rsidRPr="006469B8">
        <w:rPr>
          <w:rStyle w:val="FootnoteReference"/>
        </w:rPr>
        <w:footnoteReference w:id="21"/>
      </w:r>
      <w:r w:rsidRPr="000C1BF2">
        <w:rPr>
          <w:rStyle w:val="SingleTxtGChar"/>
        </w:rPr>
        <w:t xml:space="preserve"> In case</w:t>
      </w:r>
      <w:r w:rsidR="00D81783">
        <w:rPr>
          <w:rStyle w:val="SingleTxtGChar"/>
        </w:rPr>
        <w:t>s where</w:t>
      </w:r>
      <w:r w:rsidRPr="000C1BF2">
        <w:rPr>
          <w:rStyle w:val="SingleTxtGChar"/>
        </w:rPr>
        <w:t xml:space="preserve"> the burden of proof is shifted to the defendant, </w:t>
      </w:r>
      <w:r w:rsidR="00DF79F0" w:rsidRPr="000C1BF2">
        <w:rPr>
          <w:rStyle w:val="SingleTxtGChar"/>
        </w:rPr>
        <w:t>he or she</w:t>
      </w:r>
      <w:r w:rsidRPr="000C1BF2">
        <w:rPr>
          <w:rStyle w:val="SingleTxtGChar"/>
        </w:rPr>
        <w:t xml:space="preserve"> must prove that discrimination has not occur</w:t>
      </w:r>
      <w:r w:rsidR="00805D10" w:rsidRPr="000C1BF2">
        <w:rPr>
          <w:rStyle w:val="SingleTxtGChar"/>
        </w:rPr>
        <w:t>r</w:t>
      </w:r>
      <w:r w:rsidRPr="000C1BF2">
        <w:rPr>
          <w:rStyle w:val="SingleTxtGChar"/>
        </w:rPr>
        <w:t xml:space="preserve">ed. </w:t>
      </w:r>
      <w:r w:rsidR="00720D4D" w:rsidRPr="000C1BF2">
        <w:rPr>
          <w:rStyle w:val="SingleTxtGChar"/>
        </w:rPr>
        <w:t xml:space="preserve">The State party concedes that the shift becomes effective if </w:t>
      </w:r>
      <w:r w:rsidR="007B0E45" w:rsidRPr="000C1BF2">
        <w:rPr>
          <w:rStyle w:val="SingleTxtGChar"/>
        </w:rPr>
        <w:t>the evidence submitted to court by the plaintiff gives rise to a reasonable assumption that a violation of the principle of equal treatment</w:t>
      </w:r>
      <w:r w:rsidR="00B71B63" w:rsidRPr="000C1BF2">
        <w:rPr>
          <w:rStyle w:val="SingleTxtGChar"/>
        </w:rPr>
        <w:t xml:space="preserve"> indeed </w:t>
      </w:r>
      <w:r w:rsidR="004C2DFA" w:rsidRPr="000C1BF2">
        <w:rPr>
          <w:rStyle w:val="SingleTxtGChar"/>
        </w:rPr>
        <w:t>occurred</w:t>
      </w:r>
      <w:r w:rsidR="00A7312B">
        <w:rPr>
          <w:rStyle w:val="SingleTxtGChar"/>
        </w:rPr>
        <w:t>,</w:t>
      </w:r>
      <w:r w:rsidR="00B71B63" w:rsidRPr="006469B8">
        <w:rPr>
          <w:rStyle w:val="FootnoteReference"/>
        </w:rPr>
        <w:footnoteReference w:id="22"/>
      </w:r>
      <w:r w:rsidR="00BD3E92" w:rsidRPr="000C1BF2">
        <w:rPr>
          <w:rStyle w:val="SingleTxtGChar"/>
        </w:rPr>
        <w:t xml:space="preserve"> </w:t>
      </w:r>
      <w:r w:rsidR="004C2DFA" w:rsidRPr="000C1BF2">
        <w:rPr>
          <w:rStyle w:val="SingleTxtGChar"/>
        </w:rPr>
        <w:t>namely that</w:t>
      </w:r>
      <w:r w:rsidR="00BD3E92" w:rsidRPr="000C1BF2">
        <w:rPr>
          <w:rStyle w:val="SingleTxtGChar"/>
        </w:rPr>
        <w:t xml:space="preserve"> the alleged facts are proven </w:t>
      </w:r>
      <w:r w:rsidRPr="000C1BF2">
        <w:rPr>
          <w:rStyle w:val="SingleTxtGChar"/>
        </w:rPr>
        <w:t>with clear and unambiguous evidence.</w:t>
      </w:r>
    </w:p>
    <w:p w14:paraId="653EF090" w14:textId="77777777" w:rsidR="00013675" w:rsidRPr="00805D10" w:rsidRDefault="00013675" w:rsidP="00C30A18">
      <w:pPr>
        <w:suppressAutoHyphens w:val="0"/>
        <w:spacing w:after="120" w:line="240" w:lineRule="auto"/>
        <w:ind w:left="1134" w:right="1134"/>
        <w:jc w:val="both"/>
        <w:rPr>
          <w:lang w:eastAsia="cs-CZ"/>
        </w:rPr>
      </w:pPr>
      <w:r w:rsidRPr="006969FF">
        <w:rPr>
          <w:lang w:eastAsia="cs-CZ"/>
        </w:rPr>
        <w:t>4.</w:t>
      </w:r>
      <w:r w:rsidR="00805D10">
        <w:rPr>
          <w:lang w:eastAsia="cs-CZ"/>
        </w:rPr>
        <w:t>9</w:t>
      </w:r>
      <w:r w:rsidRPr="006969FF">
        <w:rPr>
          <w:lang w:eastAsia="cs-CZ"/>
        </w:rPr>
        <w:tab/>
      </w:r>
      <w:r w:rsidRPr="000C1BF2">
        <w:rPr>
          <w:rStyle w:val="SingleTxtGChar"/>
        </w:rPr>
        <w:t xml:space="preserve">The State party </w:t>
      </w:r>
      <w:r w:rsidR="00BD3E92" w:rsidRPr="000C1BF2">
        <w:rPr>
          <w:rStyle w:val="SingleTxtGChar"/>
        </w:rPr>
        <w:t>additionally argues</w:t>
      </w:r>
      <w:r w:rsidR="00151F6C" w:rsidRPr="000C1BF2">
        <w:rPr>
          <w:rStyle w:val="SingleTxtGChar"/>
        </w:rPr>
        <w:t xml:space="preserve"> </w:t>
      </w:r>
      <w:r w:rsidRPr="000C1BF2">
        <w:rPr>
          <w:rStyle w:val="SingleTxtGChar"/>
        </w:rPr>
        <w:t xml:space="preserve">that the application of anti-discrimination legislation, and in particular of the shifted burden of proof, </w:t>
      </w:r>
      <w:r w:rsidR="000C0F94" w:rsidRPr="000C1BF2">
        <w:rPr>
          <w:rStyle w:val="SingleTxtGChar"/>
        </w:rPr>
        <w:t xml:space="preserve">presents </w:t>
      </w:r>
      <w:r w:rsidRPr="000C1BF2">
        <w:rPr>
          <w:rStyle w:val="SingleTxtGChar"/>
        </w:rPr>
        <w:t xml:space="preserve">a certain challenge </w:t>
      </w:r>
      <w:r w:rsidR="00151F6C" w:rsidRPr="000C1BF2">
        <w:rPr>
          <w:rStyle w:val="SingleTxtGChar"/>
        </w:rPr>
        <w:t xml:space="preserve">for </w:t>
      </w:r>
      <w:r w:rsidRPr="000C1BF2">
        <w:rPr>
          <w:rStyle w:val="SingleTxtGChar"/>
        </w:rPr>
        <w:t>the general national courts</w:t>
      </w:r>
      <w:r w:rsidR="00D81783">
        <w:rPr>
          <w:rStyle w:val="SingleTxtGChar"/>
        </w:rPr>
        <w:t>,</w:t>
      </w:r>
      <w:r w:rsidRPr="000C1BF2">
        <w:rPr>
          <w:rStyle w:val="SingleTxtGChar"/>
        </w:rPr>
        <w:t xml:space="preserve"> </w:t>
      </w:r>
      <w:r w:rsidR="00D81783">
        <w:rPr>
          <w:rStyle w:val="SingleTxtGChar"/>
        </w:rPr>
        <w:t>which</w:t>
      </w:r>
      <w:r w:rsidR="00D81783" w:rsidRPr="000C1BF2">
        <w:rPr>
          <w:rStyle w:val="SingleTxtGChar"/>
        </w:rPr>
        <w:t xml:space="preserve"> </w:t>
      </w:r>
      <w:r w:rsidRPr="000C1BF2">
        <w:rPr>
          <w:rStyle w:val="SingleTxtGChar"/>
        </w:rPr>
        <w:t>need to address it effectively. The State party acknowledges that</w:t>
      </w:r>
      <w:r w:rsidR="00D81783">
        <w:rPr>
          <w:rStyle w:val="SingleTxtGChar"/>
        </w:rPr>
        <w:t>,</w:t>
      </w:r>
      <w:r w:rsidRPr="000C1BF2">
        <w:rPr>
          <w:rStyle w:val="SingleTxtGChar"/>
        </w:rPr>
        <w:t xml:space="preserve"> </w:t>
      </w:r>
      <w:r w:rsidR="00151F6C" w:rsidRPr="000C1BF2">
        <w:rPr>
          <w:rStyle w:val="SingleTxtGChar"/>
        </w:rPr>
        <w:t xml:space="preserve">after shifting the burden of proof, </w:t>
      </w:r>
      <w:r w:rsidRPr="000C1BF2">
        <w:rPr>
          <w:rStyle w:val="SingleTxtGChar"/>
        </w:rPr>
        <w:t>the first</w:t>
      </w:r>
      <w:r w:rsidR="001268B0">
        <w:rPr>
          <w:rStyle w:val="SingleTxtGChar"/>
        </w:rPr>
        <w:t xml:space="preserve"> </w:t>
      </w:r>
      <w:r w:rsidRPr="000C1BF2">
        <w:rPr>
          <w:rStyle w:val="SingleTxtGChar"/>
        </w:rPr>
        <w:t xml:space="preserve">instance court should have asked the defendant to </w:t>
      </w:r>
      <w:r w:rsidR="00151F6C" w:rsidRPr="000C1BF2">
        <w:rPr>
          <w:rStyle w:val="SingleTxtGChar"/>
        </w:rPr>
        <w:t>explain and demonstrate through additional evidence</w:t>
      </w:r>
      <w:r w:rsidRPr="000C1BF2">
        <w:rPr>
          <w:rStyle w:val="SingleTxtGChar"/>
        </w:rPr>
        <w:t xml:space="preserve"> that</w:t>
      </w:r>
      <w:r w:rsidR="00151F6C" w:rsidRPr="000C1BF2">
        <w:rPr>
          <w:rStyle w:val="SingleTxtGChar"/>
        </w:rPr>
        <w:t xml:space="preserve"> the alleged</w:t>
      </w:r>
      <w:r w:rsidRPr="000C1BF2">
        <w:rPr>
          <w:rStyle w:val="SingleTxtGChar"/>
        </w:rPr>
        <w:t xml:space="preserve"> discrimination </w:t>
      </w:r>
      <w:r w:rsidR="00151F6C" w:rsidRPr="000C1BF2">
        <w:rPr>
          <w:rStyle w:val="SingleTxtGChar"/>
        </w:rPr>
        <w:t xml:space="preserve">had </w:t>
      </w:r>
      <w:r w:rsidRPr="000C1BF2">
        <w:rPr>
          <w:rStyle w:val="SingleTxtGChar"/>
        </w:rPr>
        <w:t>not occu</w:t>
      </w:r>
      <w:r w:rsidR="00805D10" w:rsidRPr="000C1BF2">
        <w:rPr>
          <w:rStyle w:val="SingleTxtGChar"/>
        </w:rPr>
        <w:t>r</w:t>
      </w:r>
      <w:r w:rsidRPr="000C1BF2">
        <w:rPr>
          <w:rStyle w:val="SingleTxtGChar"/>
        </w:rPr>
        <w:t>red</w:t>
      </w:r>
      <w:r w:rsidR="00805D10" w:rsidRPr="000C1BF2">
        <w:rPr>
          <w:rStyle w:val="SingleTxtGChar"/>
        </w:rPr>
        <w:t>.</w:t>
      </w:r>
      <w:r w:rsidRPr="000C1BF2">
        <w:rPr>
          <w:rStyle w:val="SingleTxtGChar"/>
        </w:rPr>
        <w:t xml:space="preserve"> When the plaintiff claims that discrimination has </w:t>
      </w:r>
      <w:r w:rsidR="009F7392" w:rsidRPr="000C1BF2">
        <w:rPr>
          <w:rStyle w:val="SingleTxtGChar"/>
        </w:rPr>
        <w:t>occurred</w:t>
      </w:r>
      <w:r w:rsidR="00151F6C" w:rsidRPr="000C1BF2">
        <w:rPr>
          <w:rStyle w:val="SingleTxtGChar"/>
        </w:rPr>
        <w:t xml:space="preserve"> </w:t>
      </w:r>
      <w:r w:rsidR="00D81783">
        <w:rPr>
          <w:rStyle w:val="SingleTxtGChar"/>
        </w:rPr>
        <w:t>and</w:t>
      </w:r>
      <w:r w:rsidR="00D81783" w:rsidRPr="000C1BF2">
        <w:rPr>
          <w:rStyle w:val="SingleTxtGChar"/>
        </w:rPr>
        <w:t xml:space="preserve"> </w:t>
      </w:r>
      <w:r w:rsidRPr="000C1BF2">
        <w:rPr>
          <w:rStyle w:val="SingleTxtGChar"/>
        </w:rPr>
        <w:t>the defendant claims</w:t>
      </w:r>
      <w:r w:rsidR="00D81783">
        <w:rPr>
          <w:rStyle w:val="SingleTxtGChar"/>
        </w:rPr>
        <w:t xml:space="preserve"> that</w:t>
      </w:r>
      <w:r w:rsidRPr="000C1BF2">
        <w:rPr>
          <w:rStyle w:val="SingleTxtGChar"/>
        </w:rPr>
        <w:t xml:space="preserve"> </w:t>
      </w:r>
      <w:r w:rsidR="00151F6C" w:rsidRPr="000C1BF2">
        <w:rPr>
          <w:rStyle w:val="SingleTxtGChar"/>
        </w:rPr>
        <w:t>it has not</w:t>
      </w:r>
      <w:r w:rsidRPr="000C1BF2">
        <w:rPr>
          <w:rStyle w:val="SingleTxtGChar"/>
        </w:rPr>
        <w:t xml:space="preserve">, </w:t>
      </w:r>
      <w:r w:rsidR="00805D10" w:rsidRPr="000C1BF2">
        <w:rPr>
          <w:rStyle w:val="SingleTxtGChar"/>
        </w:rPr>
        <w:t xml:space="preserve">it </w:t>
      </w:r>
      <w:r w:rsidRPr="000C1BF2">
        <w:rPr>
          <w:rStyle w:val="SingleTxtGChar"/>
        </w:rPr>
        <w:t>does not mean that the defendant is right</w:t>
      </w:r>
      <w:r w:rsidR="00BD3E92" w:rsidRPr="000C1BF2">
        <w:rPr>
          <w:rStyle w:val="SingleTxtGChar"/>
        </w:rPr>
        <w:t>.</w:t>
      </w:r>
      <w:r w:rsidR="00805D10" w:rsidRPr="000C1BF2">
        <w:rPr>
          <w:rStyle w:val="SingleTxtGChar"/>
        </w:rPr>
        <w:t xml:space="preserve"> In practice, </w:t>
      </w:r>
      <w:r w:rsidRPr="000C1BF2">
        <w:rPr>
          <w:rStyle w:val="SingleTxtGChar"/>
        </w:rPr>
        <w:t>the plaintiff holds a privileged position compared to the defendant precisely because of</w:t>
      </w:r>
      <w:r w:rsidR="00BD3E92" w:rsidRPr="000C1BF2">
        <w:rPr>
          <w:rStyle w:val="SingleTxtGChar"/>
        </w:rPr>
        <w:t xml:space="preserve"> the existence of</w:t>
      </w:r>
      <w:r w:rsidRPr="000C1BF2">
        <w:rPr>
          <w:rStyle w:val="SingleTxtGChar"/>
        </w:rPr>
        <w:t xml:space="preserve"> effective guarantees for the protection against discrimination. The State party adds that</w:t>
      </w:r>
      <w:r w:rsidR="00D81783">
        <w:rPr>
          <w:rStyle w:val="SingleTxtGChar"/>
        </w:rPr>
        <w:t>,</w:t>
      </w:r>
      <w:r w:rsidRPr="000C1BF2">
        <w:rPr>
          <w:rStyle w:val="SingleTxtGChar"/>
        </w:rPr>
        <w:t xml:space="preserve"> if the court </w:t>
      </w:r>
      <w:r w:rsidR="00DD4D4E">
        <w:rPr>
          <w:rStyle w:val="SingleTxtGChar"/>
        </w:rPr>
        <w:t>decides</w:t>
      </w:r>
      <w:r w:rsidR="00D81783" w:rsidRPr="000C1BF2">
        <w:rPr>
          <w:rStyle w:val="SingleTxtGChar"/>
        </w:rPr>
        <w:t xml:space="preserve"> </w:t>
      </w:r>
      <w:r w:rsidR="00151F6C" w:rsidRPr="000C1BF2">
        <w:rPr>
          <w:rStyle w:val="SingleTxtGChar"/>
        </w:rPr>
        <w:t>to shift</w:t>
      </w:r>
      <w:r w:rsidRPr="000C1BF2">
        <w:rPr>
          <w:rStyle w:val="SingleTxtGChar"/>
        </w:rPr>
        <w:t xml:space="preserve"> the burden of proof, it is not possible</w:t>
      </w:r>
      <w:r w:rsidR="0032526F" w:rsidRPr="000C1BF2">
        <w:rPr>
          <w:rStyle w:val="SingleTxtGChar"/>
        </w:rPr>
        <w:t xml:space="preserve"> to demonstrate that there has not been a violation of the principle of equal treatment</w:t>
      </w:r>
      <w:r w:rsidRPr="000C1BF2">
        <w:rPr>
          <w:rStyle w:val="SingleTxtGChar"/>
        </w:rPr>
        <w:t xml:space="preserve"> only</w:t>
      </w:r>
      <w:r w:rsidR="0032526F" w:rsidRPr="000C1BF2">
        <w:rPr>
          <w:rStyle w:val="SingleTxtGChar"/>
        </w:rPr>
        <w:t xml:space="preserve"> </w:t>
      </w:r>
      <w:r w:rsidR="00D81783">
        <w:rPr>
          <w:rStyle w:val="SingleTxtGChar"/>
        </w:rPr>
        <w:t xml:space="preserve">by </w:t>
      </w:r>
      <w:r w:rsidR="0032526F" w:rsidRPr="000C1BF2">
        <w:rPr>
          <w:rStyle w:val="SingleTxtGChar"/>
        </w:rPr>
        <w:t>referring</w:t>
      </w:r>
      <w:r w:rsidRPr="000C1BF2">
        <w:rPr>
          <w:rStyle w:val="SingleTxtGChar"/>
        </w:rPr>
        <w:t xml:space="preserve"> to the likelihood or unlikelihood of </w:t>
      </w:r>
      <w:r w:rsidR="003C4E90" w:rsidRPr="000C1BF2">
        <w:rPr>
          <w:rStyle w:val="SingleTxtGChar"/>
        </w:rPr>
        <w:t xml:space="preserve">the alleged </w:t>
      </w:r>
      <w:r w:rsidRPr="000C1BF2">
        <w:rPr>
          <w:rStyle w:val="SingleTxtGChar"/>
        </w:rPr>
        <w:t>violation</w:t>
      </w:r>
      <w:r w:rsidR="00EA790F" w:rsidRPr="000C1BF2">
        <w:rPr>
          <w:rStyle w:val="SingleTxtGChar"/>
        </w:rPr>
        <w:t>:</w:t>
      </w:r>
      <w:r w:rsidR="0032526F" w:rsidRPr="000C1BF2">
        <w:rPr>
          <w:rStyle w:val="SingleTxtGChar"/>
        </w:rPr>
        <w:t xml:space="preserve"> the</w:t>
      </w:r>
      <w:r w:rsidR="003C4E90" w:rsidRPr="000C1BF2">
        <w:rPr>
          <w:rStyle w:val="SingleTxtGChar"/>
        </w:rPr>
        <w:t xml:space="preserve"> Anti-discrimination Act</w:t>
      </w:r>
      <w:r w:rsidR="00EA790F" w:rsidRPr="000C1BF2">
        <w:rPr>
          <w:rStyle w:val="SingleTxtGChar"/>
        </w:rPr>
        <w:t xml:space="preserve"> </w:t>
      </w:r>
      <w:r w:rsidR="003C4E90" w:rsidRPr="000C1BF2">
        <w:rPr>
          <w:rStyle w:val="SingleTxtGChar"/>
        </w:rPr>
        <w:t xml:space="preserve">requires the defendant to </w:t>
      </w:r>
      <w:r w:rsidR="00EA790F" w:rsidRPr="000C1BF2">
        <w:rPr>
          <w:rStyle w:val="SingleTxtGChar"/>
        </w:rPr>
        <w:t>prove that there has not been a</w:t>
      </w:r>
      <w:r w:rsidR="003C4E90" w:rsidRPr="000C1BF2">
        <w:rPr>
          <w:rStyle w:val="SingleTxtGChar"/>
        </w:rPr>
        <w:t xml:space="preserve"> violation.</w:t>
      </w:r>
      <w:r w:rsidRPr="00805D10">
        <w:rPr>
          <w:lang w:eastAsia="cs-CZ"/>
        </w:rPr>
        <w:t xml:space="preserve"> </w:t>
      </w:r>
    </w:p>
    <w:p w14:paraId="3A9FB29C" w14:textId="77777777" w:rsidR="00013675" w:rsidRPr="006B1D54" w:rsidRDefault="00013675">
      <w:pPr>
        <w:suppressAutoHyphens w:val="0"/>
        <w:spacing w:after="120" w:line="240" w:lineRule="auto"/>
        <w:ind w:left="1134" w:right="1134"/>
        <w:jc w:val="both"/>
        <w:rPr>
          <w:lang w:eastAsia="cs-CZ"/>
        </w:rPr>
      </w:pPr>
      <w:r w:rsidRPr="006B1D54">
        <w:rPr>
          <w:lang w:eastAsia="cs-CZ"/>
        </w:rPr>
        <w:t>4.1</w:t>
      </w:r>
      <w:r w:rsidR="006B1D54">
        <w:rPr>
          <w:lang w:eastAsia="cs-CZ"/>
        </w:rPr>
        <w:t>0</w:t>
      </w:r>
      <w:r w:rsidRPr="006B1D54">
        <w:rPr>
          <w:lang w:eastAsia="cs-CZ"/>
        </w:rPr>
        <w:tab/>
      </w:r>
      <w:r w:rsidR="0032526F" w:rsidRPr="000C1BF2">
        <w:rPr>
          <w:rStyle w:val="SingleTxtGChar"/>
        </w:rPr>
        <w:t>In this connection</w:t>
      </w:r>
      <w:r w:rsidR="00EA790F" w:rsidRPr="000C1BF2">
        <w:rPr>
          <w:rStyle w:val="SingleTxtGChar"/>
        </w:rPr>
        <w:t xml:space="preserve">, the </w:t>
      </w:r>
      <w:r w:rsidRPr="000C1BF2">
        <w:rPr>
          <w:rStyle w:val="SingleTxtGChar"/>
        </w:rPr>
        <w:t xml:space="preserve">State party points out that the </w:t>
      </w:r>
      <w:r w:rsidR="006B1D54" w:rsidRPr="000C1BF2">
        <w:rPr>
          <w:rStyle w:val="SingleTxtGChar"/>
        </w:rPr>
        <w:t>District C</w:t>
      </w:r>
      <w:r w:rsidRPr="000C1BF2">
        <w:rPr>
          <w:rStyle w:val="SingleTxtGChar"/>
        </w:rPr>
        <w:t xml:space="preserve">ourt did not rely solely on the facts and allegations </w:t>
      </w:r>
      <w:r w:rsidR="00EA790F" w:rsidRPr="000C1BF2">
        <w:rPr>
          <w:rStyle w:val="SingleTxtGChar"/>
        </w:rPr>
        <w:t xml:space="preserve">as submitted by </w:t>
      </w:r>
      <w:r w:rsidRPr="000C1BF2">
        <w:rPr>
          <w:rStyle w:val="SingleTxtGChar"/>
        </w:rPr>
        <w:t xml:space="preserve">the plaintiff </w:t>
      </w:r>
      <w:r w:rsidR="00EA790F" w:rsidRPr="000C1BF2">
        <w:rPr>
          <w:rStyle w:val="SingleTxtGChar"/>
        </w:rPr>
        <w:t xml:space="preserve">and </w:t>
      </w:r>
      <w:r w:rsidR="00E26830" w:rsidRPr="000C1BF2">
        <w:rPr>
          <w:rStyle w:val="SingleTxtGChar"/>
        </w:rPr>
        <w:t xml:space="preserve">her </w:t>
      </w:r>
      <w:r w:rsidR="00EA790F" w:rsidRPr="000C1BF2">
        <w:rPr>
          <w:rStyle w:val="SingleTxtGChar"/>
        </w:rPr>
        <w:t>witnesses</w:t>
      </w:r>
      <w:r w:rsidRPr="000C1BF2">
        <w:rPr>
          <w:rStyle w:val="SingleTxtGChar"/>
        </w:rPr>
        <w:t xml:space="preserve">, but </w:t>
      </w:r>
      <w:r w:rsidR="00E26830" w:rsidRPr="000C1BF2">
        <w:rPr>
          <w:rStyle w:val="SingleTxtGChar"/>
        </w:rPr>
        <w:t xml:space="preserve">also </w:t>
      </w:r>
      <w:r w:rsidRPr="000C1BF2">
        <w:rPr>
          <w:rStyle w:val="SingleTxtGChar"/>
        </w:rPr>
        <w:t xml:space="preserve">relied on facts </w:t>
      </w:r>
      <w:r w:rsidR="00DD4D4E">
        <w:rPr>
          <w:rStyle w:val="SingleTxtGChar"/>
        </w:rPr>
        <w:t>that</w:t>
      </w:r>
      <w:r w:rsidR="00DD4D4E" w:rsidRPr="000C1BF2">
        <w:rPr>
          <w:rStyle w:val="SingleTxtGChar"/>
        </w:rPr>
        <w:t xml:space="preserve"> </w:t>
      </w:r>
      <w:r w:rsidRPr="000C1BF2">
        <w:rPr>
          <w:rStyle w:val="SingleTxtGChar"/>
        </w:rPr>
        <w:t>establish</w:t>
      </w:r>
      <w:r w:rsidR="00DD4D4E">
        <w:rPr>
          <w:rStyle w:val="SingleTxtGChar"/>
        </w:rPr>
        <w:t>ed</w:t>
      </w:r>
      <w:r w:rsidRPr="000C1BF2">
        <w:rPr>
          <w:rStyle w:val="SingleTxtGChar"/>
        </w:rPr>
        <w:t xml:space="preserve"> the </w:t>
      </w:r>
      <w:r w:rsidR="00274B08">
        <w:rPr>
          <w:rStyle w:val="SingleTxtGChar"/>
        </w:rPr>
        <w:t>improbability</w:t>
      </w:r>
      <w:r w:rsidR="00274B08" w:rsidRPr="000C1BF2">
        <w:rPr>
          <w:rStyle w:val="SingleTxtGChar"/>
        </w:rPr>
        <w:t xml:space="preserve"> </w:t>
      </w:r>
      <w:r w:rsidRPr="000C1BF2">
        <w:rPr>
          <w:rStyle w:val="SingleTxtGChar"/>
        </w:rPr>
        <w:t xml:space="preserve">of </w:t>
      </w:r>
      <w:r w:rsidR="00E26830" w:rsidRPr="000C1BF2">
        <w:rPr>
          <w:rStyle w:val="SingleTxtGChar"/>
        </w:rPr>
        <w:t xml:space="preserve">the alleged </w:t>
      </w:r>
      <w:r w:rsidRPr="000C1BF2">
        <w:rPr>
          <w:rStyle w:val="SingleTxtGChar"/>
        </w:rPr>
        <w:t>discrimination. Even before the court allows the burden of proof</w:t>
      </w:r>
      <w:r w:rsidR="00274B08">
        <w:rPr>
          <w:rStyle w:val="SingleTxtGChar"/>
        </w:rPr>
        <w:t xml:space="preserve"> to be shifted</w:t>
      </w:r>
      <w:r w:rsidR="00A7312B">
        <w:rPr>
          <w:rStyle w:val="SingleTxtGChar"/>
        </w:rPr>
        <w:t>,</w:t>
      </w:r>
      <w:r w:rsidRPr="000C1BF2">
        <w:rPr>
          <w:rStyle w:val="SingleTxtGChar"/>
        </w:rPr>
        <w:t xml:space="preserve"> </w:t>
      </w:r>
      <w:r w:rsidR="00E26830" w:rsidRPr="000C1BF2">
        <w:rPr>
          <w:rStyle w:val="SingleTxtGChar"/>
        </w:rPr>
        <w:t>the court must</w:t>
      </w:r>
      <w:r w:rsidRPr="000C1BF2">
        <w:rPr>
          <w:rStyle w:val="SingleTxtGChar"/>
        </w:rPr>
        <w:t xml:space="preserve"> assess </w:t>
      </w:r>
      <w:r w:rsidR="00E26830" w:rsidRPr="000C1BF2">
        <w:rPr>
          <w:rStyle w:val="SingleTxtGChar"/>
        </w:rPr>
        <w:t xml:space="preserve">the </w:t>
      </w:r>
      <w:r w:rsidRPr="000C1BF2">
        <w:rPr>
          <w:rStyle w:val="SingleTxtGChar"/>
        </w:rPr>
        <w:t xml:space="preserve">facts </w:t>
      </w:r>
      <w:r w:rsidR="00E26830" w:rsidRPr="000C1BF2">
        <w:rPr>
          <w:rStyle w:val="SingleTxtGChar"/>
        </w:rPr>
        <w:t>to determine</w:t>
      </w:r>
      <w:r w:rsidRPr="000C1BF2">
        <w:rPr>
          <w:rStyle w:val="SingleTxtGChar"/>
        </w:rPr>
        <w:t xml:space="preserve"> whether it </w:t>
      </w:r>
      <w:r w:rsidR="00E26830" w:rsidRPr="000C1BF2">
        <w:rPr>
          <w:rStyle w:val="SingleTxtGChar"/>
        </w:rPr>
        <w:t>can logically</w:t>
      </w:r>
      <w:r w:rsidRPr="000C1BF2">
        <w:rPr>
          <w:rStyle w:val="SingleTxtGChar"/>
        </w:rPr>
        <w:t xml:space="preserve"> </w:t>
      </w:r>
      <w:r w:rsidR="00E26830" w:rsidRPr="000C1BF2">
        <w:rPr>
          <w:rStyle w:val="SingleTxtGChar"/>
        </w:rPr>
        <w:t>be assumed</w:t>
      </w:r>
      <w:r w:rsidRPr="000C1BF2">
        <w:rPr>
          <w:rStyle w:val="SingleTxtGChar"/>
        </w:rPr>
        <w:t xml:space="preserve"> that the principle of equal treatment has been violated. The State party does not share the </w:t>
      </w:r>
      <w:r w:rsidR="0097419C" w:rsidRPr="000C1BF2">
        <w:rPr>
          <w:rStyle w:val="SingleTxtGChar"/>
        </w:rPr>
        <w:t>petitioner</w:t>
      </w:r>
      <w:r w:rsidRPr="000C1BF2">
        <w:rPr>
          <w:rStyle w:val="SingleTxtGChar"/>
        </w:rPr>
        <w:t xml:space="preserve">’s </w:t>
      </w:r>
      <w:r w:rsidR="00DD4D4E">
        <w:rPr>
          <w:rStyle w:val="SingleTxtGChar"/>
        </w:rPr>
        <w:t>view</w:t>
      </w:r>
      <w:r w:rsidR="00DD4D4E" w:rsidRPr="000C1BF2">
        <w:rPr>
          <w:rStyle w:val="SingleTxtGChar"/>
        </w:rPr>
        <w:t xml:space="preserve"> </w:t>
      </w:r>
      <w:r w:rsidRPr="000C1BF2">
        <w:rPr>
          <w:rStyle w:val="SingleTxtGChar"/>
        </w:rPr>
        <w:t>that</w:t>
      </w:r>
      <w:r w:rsidR="00274B08">
        <w:rPr>
          <w:rStyle w:val="SingleTxtGChar"/>
        </w:rPr>
        <w:t>, in order</w:t>
      </w:r>
      <w:r w:rsidR="00691857" w:rsidRPr="000C1BF2">
        <w:rPr>
          <w:rStyle w:val="SingleTxtGChar"/>
        </w:rPr>
        <w:t xml:space="preserve"> to assess her case,</w:t>
      </w:r>
      <w:r w:rsidRPr="000C1BF2">
        <w:rPr>
          <w:rStyle w:val="SingleTxtGChar"/>
        </w:rPr>
        <w:t xml:space="preserve"> the only comparator is a successful jobseeker. To deduce that there was disc</w:t>
      </w:r>
      <w:r w:rsidR="006B1D54" w:rsidRPr="000C1BF2">
        <w:rPr>
          <w:rStyle w:val="SingleTxtGChar"/>
        </w:rPr>
        <w:t>r</w:t>
      </w:r>
      <w:r w:rsidRPr="000C1BF2">
        <w:rPr>
          <w:rStyle w:val="SingleTxtGChar"/>
        </w:rPr>
        <w:t xml:space="preserve">imination </w:t>
      </w:r>
      <w:r w:rsidR="00691857" w:rsidRPr="000C1BF2">
        <w:rPr>
          <w:rStyle w:val="SingleTxtGChar"/>
        </w:rPr>
        <w:t>based on</w:t>
      </w:r>
      <w:r w:rsidRPr="000C1BF2">
        <w:rPr>
          <w:rStyle w:val="SingleTxtGChar"/>
        </w:rPr>
        <w:t xml:space="preserve"> the </w:t>
      </w:r>
      <w:r w:rsidR="0097419C" w:rsidRPr="000C1BF2">
        <w:rPr>
          <w:rStyle w:val="SingleTxtGChar"/>
        </w:rPr>
        <w:t>petitioner</w:t>
      </w:r>
      <w:r w:rsidRPr="000C1BF2">
        <w:rPr>
          <w:rStyle w:val="SingleTxtGChar"/>
        </w:rPr>
        <w:t xml:space="preserve">’s Roma origin when filling the newly created job, </w:t>
      </w:r>
      <w:r w:rsidR="00691857" w:rsidRPr="000C1BF2">
        <w:rPr>
          <w:rStyle w:val="SingleTxtGChar"/>
        </w:rPr>
        <w:t>the State party considers that the</w:t>
      </w:r>
      <w:r w:rsidRPr="000C1BF2">
        <w:rPr>
          <w:rStyle w:val="SingleTxtGChar"/>
        </w:rPr>
        <w:t xml:space="preserve"> issue</w:t>
      </w:r>
      <w:r w:rsidR="00691857" w:rsidRPr="000C1BF2">
        <w:rPr>
          <w:rStyle w:val="SingleTxtGChar"/>
        </w:rPr>
        <w:t xml:space="preserve"> must be addressed</w:t>
      </w:r>
      <w:r w:rsidRPr="000C1BF2">
        <w:rPr>
          <w:rStyle w:val="SingleTxtGChar"/>
        </w:rPr>
        <w:t xml:space="preserve"> in its complexity, </w:t>
      </w:r>
      <w:r w:rsidR="00691857" w:rsidRPr="000C1BF2">
        <w:rPr>
          <w:rStyle w:val="SingleTxtGChar"/>
        </w:rPr>
        <w:t>also taking</w:t>
      </w:r>
      <w:r w:rsidRPr="000C1BF2">
        <w:rPr>
          <w:rStyle w:val="SingleTxtGChar"/>
        </w:rPr>
        <w:t xml:space="preserve"> into account the other jobseekers. </w:t>
      </w:r>
      <w:r w:rsidR="00691857" w:rsidRPr="000C1BF2">
        <w:rPr>
          <w:rStyle w:val="SingleTxtGChar"/>
        </w:rPr>
        <w:t>As appears from t</w:t>
      </w:r>
      <w:r w:rsidRPr="000C1BF2">
        <w:rPr>
          <w:rStyle w:val="SingleTxtGChar"/>
        </w:rPr>
        <w:t>he case file</w:t>
      </w:r>
      <w:r w:rsidR="00691857" w:rsidRPr="000C1BF2">
        <w:rPr>
          <w:rStyle w:val="SingleTxtGChar"/>
        </w:rPr>
        <w:t>,</w:t>
      </w:r>
      <w:r w:rsidRPr="000C1BF2">
        <w:rPr>
          <w:rStyle w:val="SingleTxtGChar"/>
        </w:rPr>
        <w:t xml:space="preserve"> several jobseekers sent their job applications</w:t>
      </w:r>
      <w:r w:rsidR="00691857" w:rsidRPr="000C1BF2">
        <w:rPr>
          <w:rStyle w:val="SingleTxtGChar"/>
        </w:rPr>
        <w:t xml:space="preserve"> for the position</w:t>
      </w:r>
      <w:r w:rsidR="00DD4D4E">
        <w:rPr>
          <w:rStyle w:val="SingleTxtGChar"/>
        </w:rPr>
        <w:t xml:space="preserve"> in question</w:t>
      </w:r>
      <w:r w:rsidRPr="000C1BF2">
        <w:rPr>
          <w:rStyle w:val="SingleTxtGChar"/>
        </w:rPr>
        <w:t>. They held university degree</w:t>
      </w:r>
      <w:r w:rsidR="00691857" w:rsidRPr="000C1BF2">
        <w:rPr>
          <w:rStyle w:val="SingleTxtGChar"/>
        </w:rPr>
        <w:t>s</w:t>
      </w:r>
      <w:r w:rsidRPr="000C1BF2">
        <w:rPr>
          <w:rStyle w:val="SingleTxtGChar"/>
        </w:rPr>
        <w:t xml:space="preserve"> and had many years of relevant professional experience. The head teacher</w:t>
      </w:r>
      <w:r w:rsidR="00DD4D4E">
        <w:rPr>
          <w:rStyle w:val="SingleTxtGChar"/>
        </w:rPr>
        <w:t>,</w:t>
      </w:r>
      <w:r w:rsidRPr="000C1BF2">
        <w:rPr>
          <w:rStyle w:val="SingleTxtGChar"/>
        </w:rPr>
        <w:t xml:space="preserve"> however</w:t>
      </w:r>
      <w:r w:rsidR="00DD4D4E">
        <w:rPr>
          <w:rStyle w:val="SingleTxtGChar"/>
        </w:rPr>
        <w:t>,</w:t>
      </w:r>
      <w:r w:rsidRPr="000C1BF2">
        <w:rPr>
          <w:rStyle w:val="SingleTxtGChar"/>
        </w:rPr>
        <w:t xml:space="preserve"> decided to grant employment to a less qualified person, educated in different field, </w:t>
      </w:r>
      <w:r w:rsidR="00DD4D4E">
        <w:rPr>
          <w:rStyle w:val="SingleTxtGChar"/>
        </w:rPr>
        <w:t>who wa</w:t>
      </w:r>
      <w:r w:rsidR="00274B08">
        <w:rPr>
          <w:rStyle w:val="SingleTxtGChar"/>
        </w:rPr>
        <w:t xml:space="preserve">s </w:t>
      </w:r>
      <w:r w:rsidRPr="000C1BF2">
        <w:rPr>
          <w:rStyle w:val="SingleTxtGChar"/>
        </w:rPr>
        <w:t xml:space="preserve">without </w:t>
      </w:r>
      <w:r w:rsidR="00274B08">
        <w:rPr>
          <w:rStyle w:val="SingleTxtGChar"/>
        </w:rPr>
        <w:t>experience</w:t>
      </w:r>
      <w:r w:rsidR="00274B08" w:rsidRPr="000C1BF2">
        <w:rPr>
          <w:rStyle w:val="SingleTxtGChar"/>
        </w:rPr>
        <w:t xml:space="preserve"> </w:t>
      </w:r>
      <w:r w:rsidRPr="000C1BF2">
        <w:rPr>
          <w:rStyle w:val="SingleTxtGChar"/>
        </w:rPr>
        <w:t xml:space="preserve">and </w:t>
      </w:r>
      <w:r w:rsidR="00DD4D4E">
        <w:rPr>
          <w:rStyle w:val="SingleTxtGChar"/>
        </w:rPr>
        <w:t>wa</w:t>
      </w:r>
      <w:r w:rsidR="00274B08">
        <w:rPr>
          <w:rStyle w:val="SingleTxtGChar"/>
        </w:rPr>
        <w:t xml:space="preserve">s not </w:t>
      </w:r>
      <w:r w:rsidRPr="000C1BF2">
        <w:rPr>
          <w:rStyle w:val="SingleTxtGChar"/>
        </w:rPr>
        <w:t xml:space="preserve">Roma. He treated this person more favourably </w:t>
      </w:r>
      <w:r w:rsidR="00274B08">
        <w:rPr>
          <w:rStyle w:val="SingleTxtGChar"/>
        </w:rPr>
        <w:t>than</w:t>
      </w:r>
      <w:r w:rsidR="00691857" w:rsidRPr="000C1BF2">
        <w:rPr>
          <w:rStyle w:val="SingleTxtGChar"/>
        </w:rPr>
        <w:t xml:space="preserve"> other</w:t>
      </w:r>
      <w:r w:rsidRPr="000C1BF2">
        <w:rPr>
          <w:rStyle w:val="SingleTxtGChar"/>
        </w:rPr>
        <w:t xml:space="preserve"> jobseekers with higher qualifications, who were more experienced and non-Roma. The State party</w:t>
      </w:r>
      <w:r w:rsidR="00691857" w:rsidRPr="000C1BF2">
        <w:rPr>
          <w:rStyle w:val="SingleTxtGChar"/>
        </w:rPr>
        <w:t xml:space="preserve"> therefore</w:t>
      </w:r>
      <w:r w:rsidRPr="000C1BF2">
        <w:rPr>
          <w:rStyle w:val="SingleTxtGChar"/>
        </w:rPr>
        <w:t xml:space="preserve"> submits that the </w:t>
      </w:r>
      <w:r w:rsidR="00691857" w:rsidRPr="000C1BF2">
        <w:rPr>
          <w:rStyle w:val="SingleTxtGChar"/>
        </w:rPr>
        <w:t>selection made</w:t>
      </w:r>
      <w:r w:rsidRPr="000C1BF2">
        <w:rPr>
          <w:rStyle w:val="SingleTxtGChar"/>
        </w:rPr>
        <w:t xml:space="preserve"> </w:t>
      </w:r>
      <w:r w:rsidR="00691857" w:rsidRPr="000C1BF2">
        <w:rPr>
          <w:rStyle w:val="SingleTxtGChar"/>
        </w:rPr>
        <w:t xml:space="preserve">was not based </w:t>
      </w:r>
      <w:r w:rsidRPr="000C1BF2">
        <w:rPr>
          <w:rStyle w:val="SingleTxtGChar"/>
        </w:rPr>
        <w:t xml:space="preserve">on </w:t>
      </w:r>
      <w:r w:rsidR="00691857" w:rsidRPr="000C1BF2">
        <w:rPr>
          <w:rStyle w:val="SingleTxtGChar"/>
        </w:rPr>
        <w:t>the candidate</w:t>
      </w:r>
      <w:r w:rsidR="00274B08">
        <w:rPr>
          <w:rStyle w:val="SingleTxtGChar"/>
        </w:rPr>
        <w:t>’</w:t>
      </w:r>
      <w:r w:rsidR="00691857" w:rsidRPr="000C1BF2">
        <w:rPr>
          <w:rStyle w:val="SingleTxtGChar"/>
        </w:rPr>
        <w:t>s</w:t>
      </w:r>
      <w:r w:rsidRPr="000C1BF2">
        <w:rPr>
          <w:rStyle w:val="SingleTxtGChar"/>
        </w:rPr>
        <w:t xml:space="preserve"> ethnicity, but </w:t>
      </w:r>
      <w:r w:rsidR="00691857" w:rsidRPr="000C1BF2">
        <w:rPr>
          <w:rStyle w:val="SingleTxtGChar"/>
        </w:rPr>
        <w:t xml:space="preserve">most </w:t>
      </w:r>
      <w:r w:rsidRPr="000C1BF2">
        <w:rPr>
          <w:rStyle w:val="SingleTxtGChar"/>
        </w:rPr>
        <w:t xml:space="preserve">probably on </w:t>
      </w:r>
      <w:r w:rsidR="00691857" w:rsidRPr="000C1BF2">
        <w:rPr>
          <w:rStyle w:val="SingleTxtGChar"/>
        </w:rPr>
        <w:t>the fact that</w:t>
      </w:r>
      <w:r w:rsidR="007B269A" w:rsidRPr="000C1BF2">
        <w:rPr>
          <w:rStyle w:val="SingleTxtGChar"/>
        </w:rPr>
        <w:t>, as he confirmed in his testimony,</w:t>
      </w:r>
      <w:r w:rsidRPr="000C1BF2">
        <w:rPr>
          <w:rStyle w:val="SingleTxtGChar"/>
        </w:rPr>
        <w:t xml:space="preserve"> the head teacher personally knew the</w:t>
      </w:r>
      <w:r w:rsidR="007B269A" w:rsidRPr="000C1BF2">
        <w:rPr>
          <w:rStyle w:val="SingleTxtGChar"/>
        </w:rPr>
        <w:t xml:space="preserve"> selected</w:t>
      </w:r>
      <w:r w:rsidR="00161497">
        <w:rPr>
          <w:rStyle w:val="SingleTxtGChar"/>
        </w:rPr>
        <w:t xml:space="preserve"> jobseeker</w:t>
      </w:r>
      <w:r w:rsidR="00A7312B">
        <w:rPr>
          <w:rStyle w:val="SingleTxtGChar"/>
        </w:rPr>
        <w:t>.</w:t>
      </w:r>
      <w:r w:rsidRPr="000C1BF2">
        <w:rPr>
          <w:rStyle w:val="SingleTxtGChar"/>
        </w:rPr>
        <w:t xml:space="preserve"> The fact that the </w:t>
      </w:r>
      <w:r w:rsidR="006B1D54" w:rsidRPr="000C1BF2">
        <w:rPr>
          <w:rStyle w:val="SingleTxtGChar"/>
        </w:rPr>
        <w:t xml:space="preserve">Elementary School </w:t>
      </w:r>
      <w:r w:rsidR="00DD4D4E">
        <w:rPr>
          <w:rStyle w:val="SingleTxtGChar"/>
        </w:rPr>
        <w:t xml:space="preserve">has </w:t>
      </w:r>
      <w:r w:rsidRPr="000C1BF2">
        <w:rPr>
          <w:rStyle w:val="SingleTxtGChar"/>
        </w:rPr>
        <w:t xml:space="preserve">employed </w:t>
      </w:r>
      <w:r w:rsidR="007B269A" w:rsidRPr="000C1BF2">
        <w:rPr>
          <w:rStyle w:val="SingleTxtGChar"/>
        </w:rPr>
        <w:t xml:space="preserve">Roma </w:t>
      </w:r>
      <w:r w:rsidRPr="000C1BF2">
        <w:rPr>
          <w:rStyle w:val="SingleTxtGChar"/>
        </w:rPr>
        <w:t>persons in the past is a supporting argument in this regard.</w:t>
      </w:r>
      <w:r w:rsidRPr="006B1D54">
        <w:rPr>
          <w:lang w:eastAsia="cs-CZ"/>
        </w:rPr>
        <w:t xml:space="preserve"> </w:t>
      </w:r>
    </w:p>
    <w:p w14:paraId="1B93CC89" w14:textId="77777777" w:rsidR="007B269A" w:rsidRPr="006B1D54" w:rsidRDefault="00013675">
      <w:pPr>
        <w:suppressAutoHyphens w:val="0"/>
        <w:spacing w:after="120" w:line="240" w:lineRule="auto"/>
        <w:ind w:left="1134" w:right="1134"/>
        <w:jc w:val="both"/>
        <w:rPr>
          <w:lang w:eastAsia="cs-CZ"/>
        </w:rPr>
      </w:pPr>
      <w:r w:rsidRPr="006B1D54">
        <w:rPr>
          <w:lang w:eastAsia="cs-CZ"/>
        </w:rPr>
        <w:t>4.1</w:t>
      </w:r>
      <w:r w:rsidR="006B1D54">
        <w:rPr>
          <w:lang w:eastAsia="cs-CZ"/>
        </w:rPr>
        <w:t>1</w:t>
      </w:r>
      <w:r w:rsidRPr="006B1D54">
        <w:rPr>
          <w:lang w:eastAsia="cs-CZ"/>
        </w:rPr>
        <w:tab/>
      </w:r>
      <w:r w:rsidR="007B269A" w:rsidRPr="000C1BF2">
        <w:rPr>
          <w:rStyle w:val="SingleTxtGChar"/>
        </w:rPr>
        <w:t>T</w:t>
      </w:r>
      <w:r w:rsidRPr="000C1BF2">
        <w:rPr>
          <w:rStyle w:val="SingleTxtGChar"/>
        </w:rPr>
        <w:t>he State party</w:t>
      </w:r>
      <w:r w:rsidR="007B269A" w:rsidRPr="000C1BF2">
        <w:rPr>
          <w:rStyle w:val="SingleTxtGChar"/>
        </w:rPr>
        <w:t xml:space="preserve"> further</w:t>
      </w:r>
      <w:r w:rsidRPr="000C1BF2">
        <w:rPr>
          <w:rStyle w:val="SingleTxtGChar"/>
        </w:rPr>
        <w:t xml:space="preserve"> considers</w:t>
      </w:r>
      <w:r w:rsidR="007B269A" w:rsidRPr="000C1BF2">
        <w:rPr>
          <w:rStyle w:val="SingleTxtGChar"/>
        </w:rPr>
        <w:t xml:space="preserve"> that the </w:t>
      </w:r>
      <w:r w:rsidR="006B1D54" w:rsidRPr="000C1BF2">
        <w:rPr>
          <w:rStyle w:val="SingleTxtGChar"/>
        </w:rPr>
        <w:t>District C</w:t>
      </w:r>
      <w:r w:rsidR="007B269A" w:rsidRPr="000C1BF2">
        <w:rPr>
          <w:rStyle w:val="SingleTxtGChar"/>
        </w:rPr>
        <w:t>ourt was right in dismissing</w:t>
      </w:r>
      <w:r w:rsidRPr="000C1BF2">
        <w:rPr>
          <w:rStyle w:val="SingleTxtGChar"/>
        </w:rPr>
        <w:t xml:space="preserve"> the action</w:t>
      </w:r>
      <w:r w:rsidR="00DD4D4E">
        <w:rPr>
          <w:rStyle w:val="SingleTxtGChar"/>
        </w:rPr>
        <w:t>,</w:t>
      </w:r>
      <w:r w:rsidRPr="000C1BF2">
        <w:rPr>
          <w:rStyle w:val="SingleTxtGChar"/>
        </w:rPr>
        <w:t xml:space="preserve"> </w:t>
      </w:r>
      <w:r w:rsidR="007B269A" w:rsidRPr="000C1BF2">
        <w:rPr>
          <w:rStyle w:val="SingleTxtGChar"/>
        </w:rPr>
        <w:t>because</w:t>
      </w:r>
      <w:r w:rsidRPr="000C1BF2">
        <w:rPr>
          <w:rStyle w:val="SingleTxtGChar"/>
        </w:rPr>
        <w:t xml:space="preserve"> the </w:t>
      </w:r>
      <w:r w:rsidR="0097419C" w:rsidRPr="000C1BF2">
        <w:rPr>
          <w:rStyle w:val="SingleTxtGChar"/>
        </w:rPr>
        <w:t>petitioner</w:t>
      </w:r>
      <w:r w:rsidRPr="000C1BF2">
        <w:rPr>
          <w:rStyle w:val="SingleTxtGChar"/>
        </w:rPr>
        <w:t xml:space="preserve"> failed to prove the </w:t>
      </w:r>
      <w:r w:rsidR="007B269A" w:rsidRPr="000C1BF2">
        <w:rPr>
          <w:rStyle w:val="SingleTxtGChar"/>
        </w:rPr>
        <w:t>alleged</w:t>
      </w:r>
      <w:r w:rsidRPr="000C1BF2">
        <w:rPr>
          <w:rStyle w:val="SingleTxtGChar"/>
        </w:rPr>
        <w:t xml:space="preserve"> discrimination. The fact that the </w:t>
      </w:r>
      <w:r w:rsidR="0097419C" w:rsidRPr="000C1BF2">
        <w:rPr>
          <w:rStyle w:val="SingleTxtGChar"/>
        </w:rPr>
        <w:t>petitioner</w:t>
      </w:r>
      <w:r w:rsidRPr="000C1BF2">
        <w:rPr>
          <w:rStyle w:val="SingleTxtGChar"/>
        </w:rPr>
        <w:t xml:space="preserve"> disagrees with the evaluation of the evidence does not make her </w:t>
      </w:r>
      <w:r w:rsidR="007B269A" w:rsidRPr="000C1BF2">
        <w:rPr>
          <w:rStyle w:val="SingleTxtGChar"/>
        </w:rPr>
        <w:t xml:space="preserve">claims </w:t>
      </w:r>
      <w:r w:rsidRPr="000C1BF2">
        <w:rPr>
          <w:rStyle w:val="SingleTxtGChar"/>
        </w:rPr>
        <w:t xml:space="preserve">admissible if </w:t>
      </w:r>
      <w:r w:rsidR="007B269A" w:rsidRPr="000C1BF2">
        <w:rPr>
          <w:rStyle w:val="SingleTxtGChar"/>
        </w:rPr>
        <w:t xml:space="preserve">the </w:t>
      </w:r>
      <w:r w:rsidRPr="000C1BF2">
        <w:rPr>
          <w:rStyle w:val="SingleTxtGChar"/>
        </w:rPr>
        <w:t xml:space="preserve">legal conditions were not met. </w:t>
      </w:r>
      <w:r w:rsidR="007B269A" w:rsidRPr="000C1BF2">
        <w:rPr>
          <w:rStyle w:val="SingleTxtGChar"/>
        </w:rPr>
        <w:t xml:space="preserve">However, </w:t>
      </w:r>
      <w:r w:rsidRPr="000C1BF2">
        <w:rPr>
          <w:rStyle w:val="SingleTxtGChar"/>
        </w:rPr>
        <w:t xml:space="preserve">the State party recognizes the importance of ensuring that the courts, </w:t>
      </w:r>
      <w:r w:rsidR="00DD4D4E">
        <w:rPr>
          <w:rStyle w:val="SingleTxtGChar"/>
        </w:rPr>
        <w:t>including</w:t>
      </w:r>
      <w:r w:rsidR="00DD4D4E" w:rsidRPr="000C1BF2">
        <w:rPr>
          <w:rStyle w:val="SingleTxtGChar"/>
        </w:rPr>
        <w:t xml:space="preserve"> </w:t>
      </w:r>
      <w:r w:rsidRPr="000C1BF2">
        <w:rPr>
          <w:rStyle w:val="SingleTxtGChar"/>
        </w:rPr>
        <w:t xml:space="preserve">with respect to the </w:t>
      </w:r>
      <w:r w:rsidR="00DD4D4E">
        <w:rPr>
          <w:rStyle w:val="SingleTxtGChar"/>
        </w:rPr>
        <w:t>instant</w:t>
      </w:r>
      <w:r w:rsidR="00DD4D4E" w:rsidRPr="000C1BF2">
        <w:rPr>
          <w:rStyle w:val="SingleTxtGChar"/>
        </w:rPr>
        <w:t xml:space="preserve"> </w:t>
      </w:r>
      <w:r w:rsidRPr="000C1BF2">
        <w:rPr>
          <w:rStyle w:val="SingleTxtGChar"/>
        </w:rPr>
        <w:t xml:space="preserve">case, apply the shifted burden of proof with </w:t>
      </w:r>
      <w:r w:rsidR="00583DA2" w:rsidRPr="000C1BF2">
        <w:rPr>
          <w:rStyle w:val="SingleTxtGChar"/>
        </w:rPr>
        <w:t xml:space="preserve">a </w:t>
      </w:r>
      <w:r w:rsidRPr="000C1BF2">
        <w:rPr>
          <w:rStyle w:val="SingleTxtGChar"/>
        </w:rPr>
        <w:t>more careful approach.</w:t>
      </w:r>
      <w:r w:rsidRPr="006B1D54">
        <w:rPr>
          <w:lang w:eastAsia="cs-CZ"/>
        </w:rPr>
        <w:t xml:space="preserve"> </w:t>
      </w:r>
    </w:p>
    <w:p w14:paraId="101A70A6" w14:textId="77777777" w:rsidR="00013675" w:rsidRPr="00DB7166" w:rsidRDefault="007B269A">
      <w:pPr>
        <w:suppressAutoHyphens w:val="0"/>
        <w:spacing w:after="120" w:line="240" w:lineRule="auto"/>
        <w:ind w:left="1134" w:right="1134"/>
        <w:jc w:val="both"/>
        <w:rPr>
          <w:lang w:eastAsia="cs-CZ"/>
        </w:rPr>
      </w:pPr>
      <w:r w:rsidRPr="00DB7166">
        <w:rPr>
          <w:lang w:eastAsia="cs-CZ"/>
        </w:rPr>
        <w:lastRenderedPageBreak/>
        <w:t>4.1</w:t>
      </w:r>
      <w:r w:rsidR="00DB7166">
        <w:rPr>
          <w:lang w:eastAsia="cs-CZ"/>
        </w:rPr>
        <w:t>2</w:t>
      </w:r>
      <w:r w:rsidRPr="00DB7166">
        <w:rPr>
          <w:lang w:eastAsia="cs-CZ"/>
        </w:rPr>
        <w:tab/>
      </w:r>
      <w:r w:rsidR="00013675" w:rsidRPr="000C1BF2">
        <w:rPr>
          <w:rStyle w:val="SingleTxtGChar"/>
        </w:rPr>
        <w:t xml:space="preserve">The State party further disagrees with the </w:t>
      </w:r>
      <w:r w:rsidR="0097419C" w:rsidRPr="000C1BF2">
        <w:rPr>
          <w:rStyle w:val="SingleTxtGChar"/>
        </w:rPr>
        <w:t>petitioner</w:t>
      </w:r>
      <w:r w:rsidR="00013675" w:rsidRPr="000C1BF2">
        <w:rPr>
          <w:rStyle w:val="SingleTxtGChar"/>
        </w:rPr>
        <w:t xml:space="preserve">’s argument that the general courts did not deal with her case </w:t>
      </w:r>
      <w:r w:rsidR="00DB0A36" w:rsidRPr="000C1BF2">
        <w:rPr>
          <w:rStyle w:val="SingleTxtGChar"/>
        </w:rPr>
        <w:t>properly</w:t>
      </w:r>
      <w:r w:rsidR="00013675" w:rsidRPr="000C1BF2">
        <w:rPr>
          <w:rStyle w:val="SingleTxtGChar"/>
        </w:rPr>
        <w:t xml:space="preserve">. It notes that the </w:t>
      </w:r>
      <w:r w:rsidR="0097419C" w:rsidRPr="000C1BF2">
        <w:rPr>
          <w:rStyle w:val="SingleTxtGChar"/>
        </w:rPr>
        <w:t>petitioner</w:t>
      </w:r>
      <w:r w:rsidR="00013675" w:rsidRPr="000C1BF2">
        <w:rPr>
          <w:rStyle w:val="SingleTxtGChar"/>
        </w:rPr>
        <w:t xml:space="preserve"> had exhausted </w:t>
      </w:r>
      <w:r w:rsidR="001268B0">
        <w:rPr>
          <w:rStyle w:val="SingleTxtGChar"/>
        </w:rPr>
        <w:t xml:space="preserve">the </w:t>
      </w:r>
      <w:r w:rsidR="00013675" w:rsidRPr="000C1BF2">
        <w:rPr>
          <w:rStyle w:val="SingleTxtGChar"/>
        </w:rPr>
        <w:t xml:space="preserve">ordinary and extraordinary remedies available. As regards the alleged violation of the fundamental right to judicial protection and the right to a fair trial, the State party states that neither the general courts nor the Constitutional Court, which ruled on the </w:t>
      </w:r>
      <w:r w:rsidR="0097419C" w:rsidRPr="000C1BF2">
        <w:rPr>
          <w:rStyle w:val="SingleTxtGChar"/>
        </w:rPr>
        <w:t>petitioner</w:t>
      </w:r>
      <w:r w:rsidR="00013675" w:rsidRPr="000C1BF2">
        <w:rPr>
          <w:rStyle w:val="SingleTxtGChar"/>
        </w:rPr>
        <w:t>’s complaint, reached the conclusion that there ha</w:t>
      </w:r>
      <w:r w:rsidR="001268B0">
        <w:rPr>
          <w:rStyle w:val="SingleTxtGChar"/>
        </w:rPr>
        <w:t>d</w:t>
      </w:r>
      <w:r w:rsidR="00013675" w:rsidRPr="000C1BF2">
        <w:rPr>
          <w:rStyle w:val="SingleTxtGChar"/>
        </w:rPr>
        <w:t xml:space="preserve"> been a violation of her rights. The</w:t>
      </w:r>
      <w:r w:rsidR="00DB0A36" w:rsidRPr="000C1BF2">
        <w:rPr>
          <w:rStyle w:val="SingleTxtGChar"/>
        </w:rPr>
        <w:t xml:space="preserve"> petitioner had access to </w:t>
      </w:r>
      <w:r w:rsidR="00274B08">
        <w:rPr>
          <w:rStyle w:val="SingleTxtGChar"/>
        </w:rPr>
        <w:t>what is known as</w:t>
      </w:r>
      <w:r w:rsidR="00DB0A36" w:rsidRPr="000C1BF2">
        <w:rPr>
          <w:rStyle w:val="SingleTxtGChar"/>
        </w:rPr>
        <w:t xml:space="preserve"> </w:t>
      </w:r>
      <w:r w:rsidR="00274B08">
        <w:rPr>
          <w:rStyle w:val="SingleTxtGChar"/>
        </w:rPr>
        <w:t xml:space="preserve">an </w:t>
      </w:r>
      <w:r w:rsidR="00DB0A36" w:rsidRPr="000C1BF2">
        <w:rPr>
          <w:rStyle w:val="SingleTxtGChar"/>
        </w:rPr>
        <w:t>anti</w:t>
      </w:r>
      <w:r w:rsidR="00DB7166" w:rsidRPr="000C1BF2">
        <w:rPr>
          <w:rStyle w:val="SingleTxtGChar"/>
        </w:rPr>
        <w:t>-</w:t>
      </w:r>
      <w:r w:rsidR="00DB0A36" w:rsidRPr="000C1BF2">
        <w:rPr>
          <w:rStyle w:val="SingleTxtGChar"/>
        </w:rPr>
        <w:t>discrimination action. The</w:t>
      </w:r>
      <w:r w:rsidR="00013675" w:rsidRPr="000C1BF2">
        <w:rPr>
          <w:rStyle w:val="SingleTxtGChar"/>
        </w:rPr>
        <w:t xml:space="preserve"> decision of the first</w:t>
      </w:r>
      <w:r w:rsidR="00274B08">
        <w:rPr>
          <w:rStyle w:val="SingleTxtGChar"/>
        </w:rPr>
        <w:t xml:space="preserve"> </w:t>
      </w:r>
      <w:r w:rsidR="00013675" w:rsidRPr="000C1BF2">
        <w:rPr>
          <w:rStyle w:val="SingleTxtGChar"/>
        </w:rPr>
        <w:t>instance court was review</w:t>
      </w:r>
      <w:r w:rsidR="00DB0A36" w:rsidRPr="000C1BF2">
        <w:rPr>
          <w:rStyle w:val="SingleTxtGChar"/>
        </w:rPr>
        <w:t>ed</w:t>
      </w:r>
      <w:r w:rsidR="00013675" w:rsidRPr="000C1BF2">
        <w:rPr>
          <w:rStyle w:val="SingleTxtGChar"/>
        </w:rPr>
        <w:t xml:space="preserve"> by the appellate court, which properly assessed the merits of the </w:t>
      </w:r>
      <w:r w:rsidR="0097419C" w:rsidRPr="000C1BF2">
        <w:rPr>
          <w:rStyle w:val="SingleTxtGChar"/>
        </w:rPr>
        <w:t>petitioner</w:t>
      </w:r>
      <w:r w:rsidR="00013675" w:rsidRPr="000C1BF2">
        <w:rPr>
          <w:rStyle w:val="SingleTxtGChar"/>
        </w:rPr>
        <w:t xml:space="preserve">’s appeal. The right to a fair trial includes the right </w:t>
      </w:r>
      <w:r w:rsidR="001268B0">
        <w:rPr>
          <w:rStyle w:val="SingleTxtGChar"/>
        </w:rPr>
        <w:t>of</w:t>
      </w:r>
      <w:r w:rsidR="001268B0" w:rsidRPr="000C1BF2">
        <w:rPr>
          <w:rStyle w:val="SingleTxtGChar"/>
        </w:rPr>
        <w:t xml:space="preserve"> </w:t>
      </w:r>
      <w:r w:rsidR="00DB0A36" w:rsidRPr="000C1BF2">
        <w:rPr>
          <w:rStyle w:val="SingleTxtGChar"/>
        </w:rPr>
        <w:t xml:space="preserve">access to a clear and unambiguous legal reasoning </w:t>
      </w:r>
      <w:r w:rsidR="00274B08">
        <w:rPr>
          <w:rStyle w:val="SingleTxtGChar"/>
        </w:rPr>
        <w:t>that</w:t>
      </w:r>
      <w:r w:rsidR="00274B08" w:rsidRPr="000C1BF2">
        <w:rPr>
          <w:rStyle w:val="SingleTxtGChar"/>
        </w:rPr>
        <w:t xml:space="preserve"> </w:t>
      </w:r>
      <w:r w:rsidR="00DB0A36" w:rsidRPr="000C1BF2">
        <w:rPr>
          <w:rStyle w:val="SingleTxtGChar"/>
        </w:rPr>
        <w:t>addresses</w:t>
      </w:r>
      <w:r w:rsidR="00013675" w:rsidRPr="000C1BF2">
        <w:rPr>
          <w:rStyle w:val="SingleTxtGChar"/>
        </w:rPr>
        <w:t xml:space="preserve"> all </w:t>
      </w:r>
      <w:r w:rsidR="001268B0">
        <w:rPr>
          <w:rStyle w:val="SingleTxtGChar"/>
        </w:rPr>
        <w:t xml:space="preserve">the </w:t>
      </w:r>
      <w:r w:rsidR="00013675" w:rsidRPr="000C1BF2">
        <w:rPr>
          <w:rStyle w:val="SingleTxtGChar"/>
        </w:rPr>
        <w:t>relevant legal and factual issues related to judicial protection</w:t>
      </w:r>
      <w:r w:rsidR="00452592" w:rsidRPr="000C1BF2">
        <w:rPr>
          <w:rStyle w:val="SingleTxtGChar"/>
        </w:rPr>
        <w:t xml:space="preserve">, without necessarily </w:t>
      </w:r>
      <w:r w:rsidR="00013675" w:rsidRPr="000C1BF2">
        <w:rPr>
          <w:rStyle w:val="SingleTxtGChar"/>
        </w:rPr>
        <w:t xml:space="preserve">going into all the details provided by the parties. </w:t>
      </w:r>
      <w:r w:rsidR="00452592" w:rsidRPr="000C1BF2">
        <w:rPr>
          <w:rStyle w:val="SingleTxtGChar"/>
        </w:rPr>
        <w:t>A</w:t>
      </w:r>
      <w:r w:rsidR="00013675" w:rsidRPr="000C1BF2">
        <w:rPr>
          <w:rStyle w:val="SingleTxtGChar"/>
        </w:rPr>
        <w:t xml:space="preserve"> decision </w:t>
      </w:r>
      <w:r w:rsidR="00274B08">
        <w:rPr>
          <w:rStyle w:val="SingleTxtGChar"/>
        </w:rPr>
        <w:t>that</w:t>
      </w:r>
      <w:r w:rsidR="00274B08" w:rsidRPr="000C1BF2">
        <w:rPr>
          <w:rStyle w:val="SingleTxtGChar"/>
        </w:rPr>
        <w:t xml:space="preserve"> </w:t>
      </w:r>
      <w:r w:rsidR="00013675" w:rsidRPr="000C1BF2">
        <w:rPr>
          <w:rStyle w:val="SingleTxtGChar"/>
        </w:rPr>
        <w:t xml:space="preserve">briefly and clearly </w:t>
      </w:r>
      <w:r w:rsidR="00452592" w:rsidRPr="000C1BF2">
        <w:rPr>
          <w:rStyle w:val="SingleTxtGChar"/>
        </w:rPr>
        <w:t>provides</w:t>
      </w:r>
      <w:r w:rsidR="00013675" w:rsidRPr="000C1BF2">
        <w:rPr>
          <w:rStyle w:val="SingleTxtGChar"/>
        </w:rPr>
        <w:t xml:space="preserve"> </w:t>
      </w:r>
      <w:r w:rsidR="00452592" w:rsidRPr="000C1BF2">
        <w:rPr>
          <w:rStyle w:val="SingleTxtGChar"/>
        </w:rPr>
        <w:t xml:space="preserve">a </w:t>
      </w:r>
      <w:r w:rsidR="00013675" w:rsidRPr="000C1BF2">
        <w:rPr>
          <w:rStyle w:val="SingleTxtGChar"/>
        </w:rPr>
        <w:t>factual and legal basis</w:t>
      </w:r>
      <w:r w:rsidR="00452592" w:rsidRPr="000C1BF2">
        <w:rPr>
          <w:rStyle w:val="SingleTxtGChar"/>
        </w:rPr>
        <w:t xml:space="preserve"> is </w:t>
      </w:r>
      <w:r w:rsidR="00013675" w:rsidRPr="000C1BF2">
        <w:rPr>
          <w:rStyle w:val="SingleTxtGChar"/>
        </w:rPr>
        <w:t xml:space="preserve">sufficient to </w:t>
      </w:r>
      <w:r w:rsidR="00452592" w:rsidRPr="000C1BF2">
        <w:rPr>
          <w:rStyle w:val="SingleTxtGChar"/>
        </w:rPr>
        <w:t>comply with the parties</w:t>
      </w:r>
      <w:r w:rsidR="00274B08">
        <w:rPr>
          <w:rStyle w:val="SingleTxtGChar"/>
        </w:rPr>
        <w:t>’</w:t>
      </w:r>
      <w:r w:rsidR="00013675" w:rsidRPr="000C1BF2">
        <w:rPr>
          <w:rStyle w:val="SingleTxtGChar"/>
        </w:rPr>
        <w:t xml:space="preserve"> right to a fair trial.</w:t>
      </w:r>
      <w:r w:rsidR="00013675" w:rsidRPr="00DB7166">
        <w:rPr>
          <w:lang w:eastAsia="cs-CZ"/>
        </w:rPr>
        <w:t xml:space="preserve"> </w:t>
      </w:r>
    </w:p>
    <w:p w14:paraId="616051B7" w14:textId="77777777" w:rsidR="009A2945" w:rsidRDefault="00013675">
      <w:pPr>
        <w:suppressAutoHyphens w:val="0"/>
        <w:spacing w:after="120" w:line="240" w:lineRule="auto"/>
        <w:ind w:left="1134" w:right="1134"/>
        <w:jc w:val="both"/>
        <w:rPr>
          <w:lang w:eastAsia="cs-CZ"/>
        </w:rPr>
      </w:pPr>
      <w:r w:rsidRPr="00DB7166">
        <w:rPr>
          <w:lang w:eastAsia="cs-CZ"/>
        </w:rPr>
        <w:t>4.1</w:t>
      </w:r>
      <w:r w:rsidR="00DB7166">
        <w:rPr>
          <w:lang w:eastAsia="cs-CZ"/>
        </w:rPr>
        <w:t>3</w:t>
      </w:r>
      <w:r w:rsidRPr="00DB7166">
        <w:rPr>
          <w:lang w:eastAsia="cs-CZ"/>
        </w:rPr>
        <w:tab/>
      </w:r>
      <w:r w:rsidRPr="000C1BF2">
        <w:rPr>
          <w:rStyle w:val="SingleTxtGChar"/>
        </w:rPr>
        <w:t xml:space="preserve">The State party </w:t>
      </w:r>
      <w:r w:rsidR="00452592" w:rsidRPr="000C1BF2">
        <w:rPr>
          <w:rStyle w:val="SingleTxtGChar"/>
        </w:rPr>
        <w:t>further considers</w:t>
      </w:r>
      <w:r w:rsidRPr="000C1BF2">
        <w:rPr>
          <w:rStyle w:val="SingleTxtGChar"/>
        </w:rPr>
        <w:t xml:space="preserve"> that</w:t>
      </w:r>
      <w:r w:rsidR="001268B0">
        <w:rPr>
          <w:rStyle w:val="SingleTxtGChar"/>
        </w:rPr>
        <w:t>,</w:t>
      </w:r>
      <w:r w:rsidR="00452592" w:rsidRPr="000C1BF2">
        <w:rPr>
          <w:rStyle w:val="SingleTxtGChar"/>
        </w:rPr>
        <w:t xml:space="preserve"> in the present case,</w:t>
      </w:r>
      <w:r w:rsidRPr="000C1BF2">
        <w:rPr>
          <w:rStyle w:val="SingleTxtGChar"/>
        </w:rPr>
        <w:t xml:space="preserve"> domestic courts treated both parties equally. </w:t>
      </w:r>
      <w:r w:rsidR="008E23E4" w:rsidRPr="000C1BF2">
        <w:rPr>
          <w:rStyle w:val="SingleTxtGChar"/>
        </w:rPr>
        <w:t xml:space="preserve">All the evidence and testimonies </w:t>
      </w:r>
      <w:r w:rsidR="001268B0" w:rsidRPr="000C1BF2">
        <w:rPr>
          <w:rStyle w:val="SingleTxtGChar"/>
        </w:rPr>
        <w:t xml:space="preserve">submitted </w:t>
      </w:r>
      <w:r w:rsidR="008E23E4" w:rsidRPr="000C1BF2">
        <w:rPr>
          <w:rStyle w:val="SingleTxtGChar"/>
        </w:rPr>
        <w:t>were taken into account and</w:t>
      </w:r>
      <w:r w:rsidRPr="000C1BF2">
        <w:rPr>
          <w:rStyle w:val="SingleTxtGChar"/>
        </w:rPr>
        <w:t xml:space="preserve"> the general courts treated the </w:t>
      </w:r>
      <w:r w:rsidR="0097419C" w:rsidRPr="000C1BF2">
        <w:rPr>
          <w:rStyle w:val="SingleTxtGChar"/>
        </w:rPr>
        <w:t>petitioner</w:t>
      </w:r>
      <w:r w:rsidRPr="000C1BF2">
        <w:rPr>
          <w:rStyle w:val="SingleTxtGChar"/>
        </w:rPr>
        <w:t xml:space="preserve">’s case </w:t>
      </w:r>
      <w:r w:rsidR="008E23E4" w:rsidRPr="000C1BF2">
        <w:rPr>
          <w:rStyle w:val="SingleTxtGChar"/>
        </w:rPr>
        <w:t>seriously, without triviali</w:t>
      </w:r>
      <w:r w:rsidR="001268B0">
        <w:rPr>
          <w:rStyle w:val="SingleTxtGChar"/>
        </w:rPr>
        <w:t>z</w:t>
      </w:r>
      <w:r w:rsidR="008E23E4" w:rsidRPr="000C1BF2">
        <w:rPr>
          <w:rStyle w:val="SingleTxtGChar"/>
        </w:rPr>
        <w:t xml:space="preserve">ing </w:t>
      </w:r>
      <w:r w:rsidRPr="000C1BF2">
        <w:rPr>
          <w:rStyle w:val="SingleTxtGChar"/>
        </w:rPr>
        <w:t xml:space="preserve">the circumstances of her case. The State </w:t>
      </w:r>
      <w:r w:rsidR="008E23E4" w:rsidRPr="000C1BF2">
        <w:rPr>
          <w:rStyle w:val="SingleTxtGChar"/>
        </w:rPr>
        <w:t>party</w:t>
      </w:r>
      <w:r w:rsidRPr="000C1BF2">
        <w:rPr>
          <w:rStyle w:val="SingleTxtGChar"/>
        </w:rPr>
        <w:t xml:space="preserve"> concludes that national courts </w:t>
      </w:r>
      <w:r w:rsidR="008E23E4" w:rsidRPr="000C1BF2">
        <w:rPr>
          <w:rStyle w:val="SingleTxtGChar"/>
        </w:rPr>
        <w:t xml:space="preserve">acted </w:t>
      </w:r>
      <w:r w:rsidRPr="000C1BF2">
        <w:rPr>
          <w:rStyle w:val="SingleTxtGChar"/>
        </w:rPr>
        <w:t xml:space="preserve">in </w:t>
      </w:r>
      <w:r w:rsidR="008E23E4" w:rsidRPr="000C1BF2">
        <w:rPr>
          <w:rStyle w:val="SingleTxtGChar"/>
        </w:rPr>
        <w:t xml:space="preserve">compliance </w:t>
      </w:r>
      <w:r w:rsidRPr="000C1BF2">
        <w:rPr>
          <w:rStyle w:val="SingleTxtGChar"/>
        </w:rPr>
        <w:t xml:space="preserve">with the purpose and spirit of the </w:t>
      </w:r>
      <w:r w:rsidR="008E23E4" w:rsidRPr="000C1BF2">
        <w:rPr>
          <w:rStyle w:val="SingleTxtGChar"/>
        </w:rPr>
        <w:t xml:space="preserve">anti-discrimination </w:t>
      </w:r>
      <w:r w:rsidRPr="000C1BF2">
        <w:rPr>
          <w:rStyle w:val="SingleTxtGChar"/>
        </w:rPr>
        <w:t xml:space="preserve">legislation. The fact that the judicial proceedings </w:t>
      </w:r>
      <w:r w:rsidR="00991EA5" w:rsidRPr="000C1BF2">
        <w:rPr>
          <w:rStyle w:val="SingleTxtGChar"/>
        </w:rPr>
        <w:t>did not meet the petitioner</w:t>
      </w:r>
      <w:r w:rsidR="00297D99">
        <w:rPr>
          <w:rStyle w:val="SingleTxtGChar"/>
        </w:rPr>
        <w:t>’</w:t>
      </w:r>
      <w:r w:rsidR="00991EA5" w:rsidRPr="000C1BF2">
        <w:rPr>
          <w:rStyle w:val="SingleTxtGChar"/>
        </w:rPr>
        <w:t>s</w:t>
      </w:r>
      <w:r w:rsidRPr="000C1BF2">
        <w:rPr>
          <w:rStyle w:val="SingleTxtGChar"/>
        </w:rPr>
        <w:t xml:space="preserve"> expectation</w:t>
      </w:r>
      <w:r w:rsidR="008E23E4" w:rsidRPr="000C1BF2">
        <w:rPr>
          <w:rStyle w:val="SingleTxtGChar"/>
        </w:rPr>
        <w:t>s</w:t>
      </w:r>
      <w:r w:rsidRPr="000C1BF2">
        <w:rPr>
          <w:rStyle w:val="SingleTxtGChar"/>
        </w:rPr>
        <w:t xml:space="preserve"> </w:t>
      </w:r>
      <w:r w:rsidR="008E23E4" w:rsidRPr="000C1BF2">
        <w:rPr>
          <w:rStyle w:val="SingleTxtGChar"/>
        </w:rPr>
        <w:t>does not amount to a</w:t>
      </w:r>
      <w:r w:rsidRPr="000C1BF2">
        <w:rPr>
          <w:rStyle w:val="SingleTxtGChar"/>
        </w:rPr>
        <w:t xml:space="preserve"> violation of </w:t>
      </w:r>
      <w:r w:rsidR="008E23E4" w:rsidRPr="000C1BF2">
        <w:rPr>
          <w:rStyle w:val="SingleTxtGChar"/>
        </w:rPr>
        <w:t xml:space="preserve">her </w:t>
      </w:r>
      <w:r w:rsidRPr="000C1BF2">
        <w:rPr>
          <w:rStyle w:val="SingleTxtGChar"/>
        </w:rPr>
        <w:t>right to an effective remedy.</w:t>
      </w:r>
      <w:r w:rsidRPr="00DB7166">
        <w:rPr>
          <w:lang w:eastAsia="cs-CZ"/>
        </w:rPr>
        <w:t xml:space="preserve"> </w:t>
      </w:r>
    </w:p>
    <w:p w14:paraId="472BC946" w14:textId="77777777" w:rsidR="00013675" w:rsidRPr="002B0F89" w:rsidRDefault="009A2945" w:rsidP="00F579C4">
      <w:pPr>
        <w:suppressAutoHyphens w:val="0"/>
        <w:spacing w:after="120" w:line="240" w:lineRule="auto"/>
        <w:ind w:left="1134" w:right="1134"/>
        <w:jc w:val="both"/>
        <w:rPr>
          <w:lang w:eastAsia="cs-CZ"/>
        </w:rPr>
      </w:pPr>
      <w:r>
        <w:rPr>
          <w:lang w:eastAsia="cs-CZ"/>
        </w:rPr>
        <w:t>4.1</w:t>
      </w:r>
      <w:r w:rsidR="00DB7166">
        <w:rPr>
          <w:lang w:eastAsia="cs-CZ"/>
        </w:rPr>
        <w:t>4</w:t>
      </w:r>
      <w:r>
        <w:rPr>
          <w:lang w:eastAsia="cs-CZ"/>
        </w:rPr>
        <w:tab/>
      </w:r>
      <w:r w:rsidR="00013675" w:rsidRPr="000C1BF2">
        <w:rPr>
          <w:rStyle w:val="SingleTxtGChar"/>
        </w:rPr>
        <w:t xml:space="preserve">As regards the </w:t>
      </w:r>
      <w:r w:rsidR="0097419C" w:rsidRPr="000C1BF2">
        <w:rPr>
          <w:rStyle w:val="SingleTxtGChar"/>
        </w:rPr>
        <w:t>petitioner</w:t>
      </w:r>
      <w:r w:rsidR="00013675" w:rsidRPr="000C1BF2">
        <w:rPr>
          <w:rStyle w:val="SingleTxtGChar"/>
        </w:rPr>
        <w:t xml:space="preserve">’s objection that </w:t>
      </w:r>
      <w:r w:rsidR="00991EA5" w:rsidRPr="000C1BF2">
        <w:rPr>
          <w:rStyle w:val="SingleTxtGChar"/>
        </w:rPr>
        <w:t xml:space="preserve">the </w:t>
      </w:r>
      <w:r w:rsidR="00013675" w:rsidRPr="000C1BF2">
        <w:rPr>
          <w:rStyle w:val="SingleTxtGChar"/>
        </w:rPr>
        <w:t xml:space="preserve">domestic courts did not </w:t>
      </w:r>
      <w:r w:rsidRPr="000C1BF2">
        <w:rPr>
          <w:rStyle w:val="SingleTxtGChar"/>
        </w:rPr>
        <w:t>address</w:t>
      </w:r>
      <w:r w:rsidR="00013675" w:rsidRPr="000C1BF2">
        <w:rPr>
          <w:rStyle w:val="SingleTxtGChar"/>
        </w:rPr>
        <w:t xml:space="preserve"> her proposal to submit the case to the Court of Justice of the European Union for preliminary ruling, the State party shares the findings of the </w:t>
      </w:r>
      <w:r w:rsidRPr="000C1BF2">
        <w:rPr>
          <w:rStyle w:val="SingleTxtGChar"/>
        </w:rPr>
        <w:t>Constitutional Court that</w:t>
      </w:r>
      <w:r w:rsidR="00013675" w:rsidRPr="000C1BF2">
        <w:rPr>
          <w:rStyle w:val="SingleTxtGChar"/>
        </w:rPr>
        <w:t xml:space="preserve"> the </w:t>
      </w:r>
      <w:r w:rsidR="0097419C" w:rsidRPr="000C1BF2">
        <w:rPr>
          <w:rStyle w:val="SingleTxtGChar"/>
        </w:rPr>
        <w:t>petitioner</w:t>
      </w:r>
      <w:r w:rsidR="00013675" w:rsidRPr="000C1BF2">
        <w:rPr>
          <w:rStyle w:val="SingleTxtGChar"/>
        </w:rPr>
        <w:t>’s proposal w</w:t>
      </w:r>
      <w:r w:rsidR="00300C61">
        <w:rPr>
          <w:rStyle w:val="SingleTxtGChar"/>
        </w:rPr>
        <w:t>as not adequately substantiated</w:t>
      </w:r>
      <w:r w:rsidR="00A7312B">
        <w:rPr>
          <w:rStyle w:val="SingleTxtGChar"/>
        </w:rPr>
        <w:t>.</w:t>
      </w:r>
      <w:r w:rsidR="00013675" w:rsidRPr="006469B8">
        <w:rPr>
          <w:rStyle w:val="FootnoteReference"/>
        </w:rPr>
        <w:footnoteReference w:id="23"/>
      </w:r>
      <w:r w:rsidR="00013675" w:rsidRPr="000C1BF2">
        <w:rPr>
          <w:rStyle w:val="SingleTxtGChar"/>
        </w:rPr>
        <w:t xml:space="preserve"> The Constitutional Court examin</w:t>
      </w:r>
      <w:r w:rsidR="00DB7166" w:rsidRPr="000C1BF2">
        <w:rPr>
          <w:rStyle w:val="SingleTxtGChar"/>
        </w:rPr>
        <w:t>ed</w:t>
      </w:r>
      <w:r w:rsidR="00013675" w:rsidRPr="000C1BF2">
        <w:rPr>
          <w:rStyle w:val="SingleTxtGChar"/>
        </w:rPr>
        <w:t xml:space="preserve"> the </w:t>
      </w:r>
      <w:r w:rsidR="0097419C" w:rsidRPr="000C1BF2">
        <w:rPr>
          <w:rStyle w:val="SingleTxtGChar"/>
        </w:rPr>
        <w:t>petitioner</w:t>
      </w:r>
      <w:r w:rsidR="00013675" w:rsidRPr="000C1BF2">
        <w:rPr>
          <w:rStyle w:val="SingleTxtGChar"/>
        </w:rPr>
        <w:t xml:space="preserve">’s </w:t>
      </w:r>
      <w:r w:rsidR="00DB7166" w:rsidRPr="000C1BF2">
        <w:rPr>
          <w:rStyle w:val="SingleTxtGChar"/>
        </w:rPr>
        <w:t>allegations that</w:t>
      </w:r>
      <w:r w:rsidR="00013675" w:rsidRPr="000C1BF2">
        <w:rPr>
          <w:rStyle w:val="SingleTxtGChar"/>
        </w:rPr>
        <w:t xml:space="preserve"> the </w:t>
      </w:r>
      <w:r w:rsidR="00DB7166" w:rsidRPr="000C1BF2">
        <w:rPr>
          <w:rStyle w:val="SingleTxtGChar"/>
        </w:rPr>
        <w:t>District C</w:t>
      </w:r>
      <w:r w:rsidR="00013675" w:rsidRPr="000C1BF2">
        <w:rPr>
          <w:rStyle w:val="SingleTxtGChar"/>
        </w:rPr>
        <w:t xml:space="preserve">ourt </w:t>
      </w:r>
      <w:r w:rsidR="00DB7166" w:rsidRPr="000C1BF2">
        <w:rPr>
          <w:rStyle w:val="SingleTxtGChar"/>
        </w:rPr>
        <w:t>refused</w:t>
      </w:r>
      <w:r w:rsidR="00013675" w:rsidRPr="000C1BF2">
        <w:rPr>
          <w:rStyle w:val="SingleTxtGChar"/>
        </w:rPr>
        <w:t xml:space="preserve"> her action </w:t>
      </w:r>
      <w:r w:rsidR="00A66384" w:rsidRPr="000C1BF2">
        <w:rPr>
          <w:rStyle w:val="SingleTxtGChar"/>
        </w:rPr>
        <w:t xml:space="preserve">as </w:t>
      </w:r>
      <w:r w:rsidR="00013675" w:rsidRPr="000C1BF2">
        <w:rPr>
          <w:rStyle w:val="SingleTxtGChar"/>
        </w:rPr>
        <w:t xml:space="preserve">inadmissible in its substance, which </w:t>
      </w:r>
      <w:r w:rsidR="008676E4" w:rsidRPr="000C1BF2">
        <w:rPr>
          <w:rStyle w:val="SingleTxtGChar"/>
        </w:rPr>
        <w:t xml:space="preserve">she considered to be </w:t>
      </w:r>
      <w:r w:rsidR="00013675" w:rsidRPr="000C1BF2">
        <w:rPr>
          <w:rStyle w:val="SingleTxtGChar"/>
        </w:rPr>
        <w:t xml:space="preserve">caused by </w:t>
      </w:r>
      <w:r w:rsidR="009C5503">
        <w:rPr>
          <w:rStyle w:val="SingleTxtGChar"/>
        </w:rPr>
        <w:t>a</w:t>
      </w:r>
      <w:r w:rsidR="009C5503" w:rsidRPr="000C1BF2">
        <w:rPr>
          <w:rStyle w:val="SingleTxtGChar"/>
        </w:rPr>
        <w:t xml:space="preserve"> </w:t>
      </w:r>
      <w:r w:rsidR="00013675" w:rsidRPr="000C1BF2">
        <w:rPr>
          <w:rStyle w:val="SingleTxtGChar"/>
        </w:rPr>
        <w:t xml:space="preserve">misinterpretation of the law of the European </w:t>
      </w:r>
      <w:r w:rsidR="009C5503">
        <w:rPr>
          <w:rStyle w:val="SingleTxtGChar"/>
        </w:rPr>
        <w:t>Union</w:t>
      </w:r>
      <w:r w:rsidR="00013675" w:rsidRPr="000C1BF2">
        <w:rPr>
          <w:rStyle w:val="SingleTxtGChar"/>
        </w:rPr>
        <w:t xml:space="preserve">. The </w:t>
      </w:r>
      <w:r w:rsidR="00DB7166" w:rsidRPr="000C1BF2">
        <w:rPr>
          <w:rStyle w:val="SingleTxtGChar"/>
        </w:rPr>
        <w:t>D</w:t>
      </w:r>
      <w:r w:rsidR="00013675" w:rsidRPr="000C1BF2">
        <w:rPr>
          <w:rStyle w:val="SingleTxtGChar"/>
        </w:rPr>
        <w:t xml:space="preserve">istrict </w:t>
      </w:r>
      <w:r w:rsidR="00DB7166" w:rsidRPr="000C1BF2">
        <w:rPr>
          <w:rStyle w:val="SingleTxtGChar"/>
        </w:rPr>
        <w:t>C</w:t>
      </w:r>
      <w:r w:rsidR="00013675" w:rsidRPr="000C1BF2">
        <w:rPr>
          <w:rStyle w:val="SingleTxtGChar"/>
        </w:rPr>
        <w:t>ourt</w:t>
      </w:r>
      <w:r w:rsidR="00A66384" w:rsidRPr="000C1BF2">
        <w:rPr>
          <w:rStyle w:val="SingleTxtGChar"/>
        </w:rPr>
        <w:t xml:space="preserve"> in fact </w:t>
      </w:r>
      <w:r w:rsidR="00013675" w:rsidRPr="000C1BF2">
        <w:rPr>
          <w:rStyle w:val="SingleTxtGChar"/>
        </w:rPr>
        <w:t xml:space="preserve">dealt with the merits of the </w:t>
      </w:r>
      <w:r w:rsidR="00DB7166" w:rsidRPr="000C1BF2">
        <w:rPr>
          <w:rStyle w:val="SingleTxtGChar"/>
        </w:rPr>
        <w:t>alleged</w:t>
      </w:r>
      <w:r w:rsidR="00A66384" w:rsidRPr="000C1BF2">
        <w:rPr>
          <w:rStyle w:val="SingleTxtGChar"/>
        </w:rPr>
        <w:t xml:space="preserve"> </w:t>
      </w:r>
      <w:r w:rsidR="00013675" w:rsidRPr="000C1BF2">
        <w:rPr>
          <w:rStyle w:val="SingleTxtGChar"/>
        </w:rPr>
        <w:t xml:space="preserve">discrimination </w:t>
      </w:r>
      <w:r w:rsidR="00DB7166" w:rsidRPr="000C1BF2">
        <w:rPr>
          <w:rStyle w:val="SingleTxtGChar"/>
        </w:rPr>
        <w:t>of</w:t>
      </w:r>
      <w:r w:rsidR="00013675" w:rsidRPr="000C1BF2">
        <w:rPr>
          <w:rStyle w:val="SingleTxtGChar"/>
        </w:rPr>
        <w:t xml:space="preserve"> </w:t>
      </w:r>
      <w:r w:rsidR="00DB7166" w:rsidRPr="000C1BF2">
        <w:rPr>
          <w:rStyle w:val="SingleTxtGChar"/>
        </w:rPr>
        <w:t xml:space="preserve">the petitioner in her </w:t>
      </w:r>
      <w:r w:rsidR="00013675" w:rsidRPr="000C1BF2">
        <w:rPr>
          <w:rStyle w:val="SingleTxtGChar"/>
        </w:rPr>
        <w:t>access to employment</w:t>
      </w:r>
      <w:r w:rsidR="00A66384" w:rsidRPr="000C1BF2">
        <w:rPr>
          <w:rStyle w:val="SingleTxtGChar"/>
        </w:rPr>
        <w:t xml:space="preserve">, without </w:t>
      </w:r>
      <w:r w:rsidR="00991EA5" w:rsidRPr="000C1BF2">
        <w:rPr>
          <w:rStyle w:val="SingleTxtGChar"/>
        </w:rPr>
        <w:t>accepting</w:t>
      </w:r>
      <w:r w:rsidR="00A66384" w:rsidRPr="000C1BF2">
        <w:rPr>
          <w:rStyle w:val="SingleTxtGChar"/>
        </w:rPr>
        <w:t xml:space="preserve"> </w:t>
      </w:r>
      <w:r w:rsidR="008676E4" w:rsidRPr="000C1BF2">
        <w:rPr>
          <w:rStyle w:val="SingleTxtGChar"/>
        </w:rPr>
        <w:t xml:space="preserve">her </w:t>
      </w:r>
      <w:r w:rsidR="00A66384" w:rsidRPr="000C1BF2">
        <w:rPr>
          <w:rStyle w:val="SingleTxtGChar"/>
        </w:rPr>
        <w:t>request</w:t>
      </w:r>
      <w:r w:rsidR="008676E4" w:rsidRPr="000C1BF2">
        <w:rPr>
          <w:rStyle w:val="SingleTxtGChar"/>
        </w:rPr>
        <w:t xml:space="preserve"> </w:t>
      </w:r>
      <w:r w:rsidR="00013675" w:rsidRPr="000C1BF2">
        <w:rPr>
          <w:rStyle w:val="SingleTxtGChar"/>
        </w:rPr>
        <w:t xml:space="preserve">to adjourn the proceedings and refer </w:t>
      </w:r>
      <w:r w:rsidR="00A66384" w:rsidRPr="000C1BF2">
        <w:rPr>
          <w:rStyle w:val="SingleTxtGChar"/>
        </w:rPr>
        <w:t>the matter</w:t>
      </w:r>
      <w:r w:rsidR="00013675" w:rsidRPr="000C1BF2">
        <w:rPr>
          <w:rStyle w:val="SingleTxtGChar"/>
        </w:rPr>
        <w:t xml:space="preserve"> </w:t>
      </w:r>
      <w:r w:rsidR="00A66384" w:rsidRPr="000C1BF2">
        <w:rPr>
          <w:rStyle w:val="SingleTxtGChar"/>
        </w:rPr>
        <w:t xml:space="preserve">of the interpretation of the European legislation </w:t>
      </w:r>
      <w:r w:rsidR="00013675" w:rsidRPr="000C1BF2">
        <w:rPr>
          <w:rStyle w:val="SingleTxtGChar"/>
        </w:rPr>
        <w:t>to the Court of Justice of the European Union</w:t>
      </w:r>
      <w:r w:rsidR="00A66384" w:rsidRPr="000C1BF2">
        <w:rPr>
          <w:rStyle w:val="SingleTxtGChar"/>
        </w:rPr>
        <w:t xml:space="preserve"> first</w:t>
      </w:r>
      <w:r w:rsidR="00013675" w:rsidRPr="000C1BF2">
        <w:rPr>
          <w:rStyle w:val="SingleTxtGChar"/>
        </w:rPr>
        <w:t>.</w:t>
      </w:r>
    </w:p>
    <w:p w14:paraId="75D55C91" w14:textId="77777777" w:rsidR="00013675" w:rsidRPr="002B0F89" w:rsidRDefault="00013675" w:rsidP="00C30A18">
      <w:pPr>
        <w:suppressAutoHyphens w:val="0"/>
        <w:spacing w:after="120" w:line="240" w:lineRule="auto"/>
        <w:ind w:left="1134" w:right="1134"/>
        <w:jc w:val="both"/>
        <w:rPr>
          <w:lang w:eastAsia="cs-CZ"/>
        </w:rPr>
      </w:pPr>
      <w:r w:rsidRPr="002B0F89">
        <w:rPr>
          <w:lang w:eastAsia="cs-CZ"/>
        </w:rPr>
        <w:t>4.1</w:t>
      </w:r>
      <w:r w:rsidR="008676E4">
        <w:rPr>
          <w:lang w:eastAsia="cs-CZ"/>
        </w:rPr>
        <w:t>5</w:t>
      </w:r>
      <w:r w:rsidRPr="002B0F89">
        <w:rPr>
          <w:lang w:eastAsia="cs-CZ"/>
        </w:rPr>
        <w:tab/>
      </w:r>
      <w:r w:rsidRPr="000C1BF2">
        <w:rPr>
          <w:rStyle w:val="SingleTxtGChar"/>
        </w:rPr>
        <w:t xml:space="preserve">Regarding the non-judicial tools for the protection against discrimination in employment, the State party points out the possibility </w:t>
      </w:r>
      <w:r w:rsidR="002B0F89" w:rsidRPr="000C1BF2">
        <w:rPr>
          <w:rStyle w:val="SingleTxtGChar"/>
        </w:rPr>
        <w:t xml:space="preserve">for the petitioner </w:t>
      </w:r>
      <w:r w:rsidRPr="000C1BF2">
        <w:rPr>
          <w:rStyle w:val="SingleTxtGChar"/>
        </w:rPr>
        <w:t>to file an ap</w:t>
      </w:r>
      <w:r w:rsidR="00300C61">
        <w:rPr>
          <w:rStyle w:val="SingleTxtGChar"/>
        </w:rPr>
        <w:t xml:space="preserve">peal </w:t>
      </w:r>
      <w:r w:rsidR="009C5503">
        <w:rPr>
          <w:rStyle w:val="SingleTxtGChar"/>
        </w:rPr>
        <w:t xml:space="preserve">with </w:t>
      </w:r>
      <w:r w:rsidR="00300C61">
        <w:rPr>
          <w:rStyle w:val="SingleTxtGChar"/>
        </w:rPr>
        <w:t xml:space="preserve">the </w:t>
      </w:r>
      <w:r w:rsidR="00FE2F7D">
        <w:rPr>
          <w:rStyle w:val="SingleTxtGChar"/>
        </w:rPr>
        <w:t>L</w:t>
      </w:r>
      <w:r w:rsidR="00300C61">
        <w:rPr>
          <w:rStyle w:val="SingleTxtGChar"/>
        </w:rPr>
        <w:t xml:space="preserve">abour </w:t>
      </w:r>
      <w:r w:rsidR="00FE2F7D">
        <w:rPr>
          <w:rStyle w:val="SingleTxtGChar"/>
        </w:rPr>
        <w:t>I</w:t>
      </w:r>
      <w:r w:rsidR="00300C61">
        <w:rPr>
          <w:rStyle w:val="SingleTxtGChar"/>
        </w:rPr>
        <w:t>nspectorate</w:t>
      </w:r>
      <w:r w:rsidR="00A7312B">
        <w:rPr>
          <w:rStyle w:val="SingleTxtGChar"/>
        </w:rPr>
        <w:t>.</w:t>
      </w:r>
      <w:r w:rsidRPr="006469B8">
        <w:rPr>
          <w:rStyle w:val="FootnoteReference"/>
        </w:rPr>
        <w:footnoteReference w:id="24"/>
      </w:r>
      <w:r w:rsidRPr="000C1BF2">
        <w:rPr>
          <w:rStyle w:val="SingleTxtGChar"/>
        </w:rPr>
        <w:t xml:space="preserve"> Similarly, the </w:t>
      </w:r>
      <w:r w:rsidR="0097419C" w:rsidRPr="000C1BF2">
        <w:rPr>
          <w:rStyle w:val="SingleTxtGChar"/>
        </w:rPr>
        <w:t>petitioner</w:t>
      </w:r>
      <w:r w:rsidRPr="000C1BF2">
        <w:rPr>
          <w:rStyle w:val="SingleTxtGChar"/>
        </w:rPr>
        <w:t xml:space="preserve"> has the right to file a compla</w:t>
      </w:r>
      <w:r w:rsidR="00300C61">
        <w:rPr>
          <w:rStyle w:val="SingleTxtGChar"/>
        </w:rPr>
        <w:t xml:space="preserve">int under the </w:t>
      </w:r>
      <w:r w:rsidR="00F34B7D">
        <w:rPr>
          <w:rStyle w:val="SingleTxtGChar"/>
        </w:rPr>
        <w:t>Act on C</w:t>
      </w:r>
      <w:r w:rsidR="00300C61">
        <w:rPr>
          <w:rStyle w:val="SingleTxtGChar"/>
        </w:rPr>
        <w:t>omplaints</w:t>
      </w:r>
      <w:r w:rsidR="00A7312B">
        <w:rPr>
          <w:rStyle w:val="SingleTxtGChar"/>
        </w:rPr>
        <w:t>.</w:t>
      </w:r>
      <w:r w:rsidRPr="006469B8">
        <w:rPr>
          <w:rStyle w:val="FootnoteReference"/>
        </w:rPr>
        <w:footnoteReference w:id="25"/>
      </w:r>
      <w:r w:rsidRPr="000C1BF2">
        <w:rPr>
          <w:rStyle w:val="SingleTxtGChar"/>
        </w:rPr>
        <w:t xml:space="preserve"> The </w:t>
      </w:r>
      <w:r w:rsidR="0097419C" w:rsidRPr="000C1BF2">
        <w:rPr>
          <w:rStyle w:val="SingleTxtGChar"/>
        </w:rPr>
        <w:t>petitioner</w:t>
      </w:r>
      <w:r w:rsidRPr="000C1BF2">
        <w:rPr>
          <w:rStyle w:val="SingleTxtGChar"/>
        </w:rPr>
        <w:t xml:space="preserve"> also had the opportunity</w:t>
      </w:r>
      <w:r w:rsidR="00F34B7D">
        <w:rPr>
          <w:rStyle w:val="SingleTxtGChar"/>
        </w:rPr>
        <w:t>,</w:t>
      </w:r>
      <w:r w:rsidRPr="000C1BF2">
        <w:rPr>
          <w:rStyle w:val="SingleTxtGChar"/>
        </w:rPr>
        <w:t xml:space="preserve"> pursuant to the </w:t>
      </w:r>
      <w:r w:rsidR="00F34B7D">
        <w:rPr>
          <w:rStyle w:val="SingleTxtGChar"/>
        </w:rPr>
        <w:t>Act</w:t>
      </w:r>
      <w:r w:rsidR="00F34B7D" w:rsidRPr="000C1BF2">
        <w:rPr>
          <w:rStyle w:val="SingleTxtGChar"/>
        </w:rPr>
        <w:t xml:space="preserve"> </w:t>
      </w:r>
      <w:r w:rsidRPr="000C1BF2">
        <w:rPr>
          <w:rStyle w:val="SingleTxtGChar"/>
        </w:rPr>
        <w:t xml:space="preserve">on </w:t>
      </w:r>
      <w:r w:rsidR="00F34B7D">
        <w:rPr>
          <w:rStyle w:val="SingleTxtGChar"/>
        </w:rPr>
        <w:t>C</w:t>
      </w:r>
      <w:r w:rsidRPr="000C1BF2">
        <w:rPr>
          <w:rStyle w:val="SingleTxtGChar"/>
        </w:rPr>
        <w:t>omplaints</w:t>
      </w:r>
      <w:r w:rsidR="00F34B7D">
        <w:rPr>
          <w:rStyle w:val="SingleTxtGChar"/>
        </w:rPr>
        <w:t>,</w:t>
      </w:r>
      <w:r w:rsidRPr="000C1BF2">
        <w:rPr>
          <w:rStyle w:val="SingleTxtGChar"/>
        </w:rPr>
        <w:t xml:space="preserve"> </w:t>
      </w:r>
      <w:r w:rsidR="002B0F89" w:rsidRPr="000C1BF2">
        <w:rPr>
          <w:rStyle w:val="SingleTxtGChar"/>
        </w:rPr>
        <w:t xml:space="preserve">to file </w:t>
      </w:r>
      <w:r w:rsidRPr="000C1BF2">
        <w:rPr>
          <w:rStyle w:val="SingleTxtGChar"/>
        </w:rPr>
        <w:t>a subm</w:t>
      </w:r>
      <w:r w:rsidR="00300C61">
        <w:rPr>
          <w:rStyle w:val="SingleTxtGChar"/>
        </w:rPr>
        <w:t xml:space="preserve">ission </w:t>
      </w:r>
      <w:r w:rsidR="00F34B7D">
        <w:rPr>
          <w:rStyle w:val="SingleTxtGChar"/>
        </w:rPr>
        <w:t xml:space="preserve">with </w:t>
      </w:r>
      <w:r w:rsidR="00300C61">
        <w:rPr>
          <w:rStyle w:val="SingleTxtGChar"/>
        </w:rPr>
        <w:t>the School Inspect</w:t>
      </w:r>
      <w:r w:rsidR="00F34B7D">
        <w:rPr>
          <w:rStyle w:val="SingleTxtGChar"/>
        </w:rPr>
        <w:t>orate</w:t>
      </w:r>
      <w:r w:rsidR="00A7312B">
        <w:rPr>
          <w:rStyle w:val="SingleTxtGChar"/>
        </w:rPr>
        <w:t>,</w:t>
      </w:r>
      <w:r w:rsidRPr="006469B8">
        <w:rPr>
          <w:rStyle w:val="FootnoteReference"/>
        </w:rPr>
        <w:footnoteReference w:id="26"/>
      </w:r>
      <w:r w:rsidRPr="000C1BF2">
        <w:rPr>
          <w:rStyle w:val="SingleTxtGChar"/>
        </w:rPr>
        <w:t xml:space="preserve"> </w:t>
      </w:r>
      <w:r w:rsidR="002B0F89" w:rsidRPr="000C1BF2">
        <w:rPr>
          <w:rStyle w:val="SingleTxtGChar"/>
        </w:rPr>
        <w:t xml:space="preserve">which </w:t>
      </w:r>
      <w:r w:rsidR="00F34B7D">
        <w:rPr>
          <w:rStyle w:val="SingleTxtGChar"/>
        </w:rPr>
        <w:t>exercises</w:t>
      </w:r>
      <w:r w:rsidR="00F34B7D" w:rsidRPr="000C1BF2">
        <w:rPr>
          <w:rStyle w:val="SingleTxtGChar"/>
        </w:rPr>
        <w:t xml:space="preserve"> </w:t>
      </w:r>
      <w:r w:rsidRPr="000C1BF2">
        <w:rPr>
          <w:rStyle w:val="SingleTxtGChar"/>
        </w:rPr>
        <w:t xml:space="preserve">State control over the </w:t>
      </w:r>
      <w:r w:rsidR="00F34B7D">
        <w:rPr>
          <w:rStyle w:val="SingleTxtGChar"/>
        </w:rPr>
        <w:t>teaching</w:t>
      </w:r>
      <w:r w:rsidR="00F34B7D" w:rsidRPr="000C1BF2">
        <w:rPr>
          <w:rStyle w:val="SingleTxtGChar"/>
        </w:rPr>
        <w:t xml:space="preserve"> </w:t>
      </w:r>
      <w:r w:rsidR="002B0F89" w:rsidRPr="000C1BF2">
        <w:rPr>
          <w:rStyle w:val="SingleTxtGChar"/>
        </w:rPr>
        <w:t>management, including the issue of</w:t>
      </w:r>
      <w:r w:rsidRPr="000C1BF2">
        <w:rPr>
          <w:rStyle w:val="SingleTxtGChar"/>
        </w:rPr>
        <w:t xml:space="preserve"> the recruitment of teaching staff. The State party is not aware whether the </w:t>
      </w:r>
      <w:r w:rsidR="0097419C" w:rsidRPr="000C1BF2">
        <w:rPr>
          <w:rStyle w:val="SingleTxtGChar"/>
        </w:rPr>
        <w:t>petitioner</w:t>
      </w:r>
      <w:r w:rsidRPr="000C1BF2">
        <w:rPr>
          <w:rStyle w:val="SingleTxtGChar"/>
        </w:rPr>
        <w:t xml:space="preserve"> made use of those means of protection</w:t>
      </w:r>
      <w:r w:rsidRPr="002B0F89">
        <w:rPr>
          <w:lang w:eastAsia="cs-CZ"/>
        </w:rPr>
        <w:t xml:space="preserve"> </w:t>
      </w:r>
      <w:r w:rsidRPr="000C1BF2">
        <w:rPr>
          <w:rStyle w:val="SingleTxtGChar"/>
        </w:rPr>
        <w:t>against discrimination in access to employment. In order to demonstrate its commitment to prevent</w:t>
      </w:r>
      <w:r w:rsidR="00F34B7D">
        <w:rPr>
          <w:rStyle w:val="SingleTxtGChar"/>
        </w:rPr>
        <w:t>ing</w:t>
      </w:r>
      <w:r w:rsidRPr="000C1BF2">
        <w:rPr>
          <w:rStyle w:val="SingleTxtGChar"/>
        </w:rPr>
        <w:t xml:space="preserve"> </w:t>
      </w:r>
      <w:r w:rsidR="002B0F89" w:rsidRPr="000C1BF2">
        <w:rPr>
          <w:rStyle w:val="SingleTxtGChar"/>
        </w:rPr>
        <w:t>discrimination</w:t>
      </w:r>
      <w:r w:rsidRPr="000C1BF2">
        <w:rPr>
          <w:rStyle w:val="SingleTxtGChar"/>
        </w:rPr>
        <w:t xml:space="preserve"> on any grounds, including discrimination based on race or ethnicity, the State party refers to </w:t>
      </w:r>
      <w:r w:rsidR="002B0F89" w:rsidRPr="000C1BF2">
        <w:rPr>
          <w:rStyle w:val="SingleTxtGChar"/>
        </w:rPr>
        <w:t>its 2012-2020</w:t>
      </w:r>
      <w:r w:rsidRPr="000C1BF2">
        <w:rPr>
          <w:rStyle w:val="SingleTxtGChar"/>
        </w:rPr>
        <w:t xml:space="preserve"> Strategy for the Integration </w:t>
      </w:r>
      <w:r w:rsidR="002B0F89" w:rsidRPr="000C1BF2">
        <w:rPr>
          <w:rStyle w:val="SingleTxtGChar"/>
        </w:rPr>
        <w:t xml:space="preserve">of </w:t>
      </w:r>
      <w:r w:rsidR="00300C61">
        <w:rPr>
          <w:rStyle w:val="SingleTxtGChar"/>
        </w:rPr>
        <w:t>Roma</w:t>
      </w:r>
      <w:r w:rsidR="00A7312B">
        <w:rPr>
          <w:rStyle w:val="SingleTxtGChar"/>
        </w:rPr>
        <w:t>.</w:t>
      </w:r>
      <w:r w:rsidRPr="006469B8">
        <w:rPr>
          <w:rStyle w:val="FootnoteReference"/>
        </w:rPr>
        <w:footnoteReference w:id="27"/>
      </w:r>
      <w:r w:rsidRPr="000C1BF2">
        <w:rPr>
          <w:rStyle w:val="SingleTxtGChar"/>
        </w:rPr>
        <w:t xml:space="preserve"> The State party also </w:t>
      </w:r>
      <w:r w:rsidR="00991EA5" w:rsidRPr="000C1BF2">
        <w:rPr>
          <w:rStyle w:val="SingleTxtGChar"/>
        </w:rPr>
        <w:t xml:space="preserve">notes </w:t>
      </w:r>
      <w:r w:rsidRPr="000C1BF2">
        <w:rPr>
          <w:rStyle w:val="SingleTxtGChar"/>
        </w:rPr>
        <w:t xml:space="preserve">that the issue of the prevention and elimination of racial discrimination </w:t>
      </w:r>
      <w:r w:rsidR="002B0F89" w:rsidRPr="000C1BF2">
        <w:rPr>
          <w:rStyle w:val="SingleTxtGChar"/>
        </w:rPr>
        <w:t xml:space="preserve">is </w:t>
      </w:r>
      <w:r w:rsidRPr="000C1BF2">
        <w:rPr>
          <w:rStyle w:val="SingleTxtGChar"/>
        </w:rPr>
        <w:t>part of an ongoing dialogue between the Government and international organi</w:t>
      </w:r>
      <w:r w:rsidR="00F34B7D">
        <w:rPr>
          <w:rStyle w:val="SingleTxtGChar"/>
        </w:rPr>
        <w:t>z</w:t>
      </w:r>
      <w:r w:rsidRPr="000C1BF2">
        <w:rPr>
          <w:rStyle w:val="SingleTxtGChar"/>
        </w:rPr>
        <w:t>ations. Their recommendations, including the recommendations of the U</w:t>
      </w:r>
      <w:r w:rsidR="00F34B7D">
        <w:rPr>
          <w:rStyle w:val="SingleTxtGChar"/>
        </w:rPr>
        <w:t xml:space="preserve">nited </w:t>
      </w:r>
      <w:r w:rsidRPr="000C1BF2">
        <w:rPr>
          <w:rStyle w:val="SingleTxtGChar"/>
        </w:rPr>
        <w:t>N</w:t>
      </w:r>
      <w:r w:rsidR="00F34B7D">
        <w:rPr>
          <w:rStyle w:val="SingleTxtGChar"/>
        </w:rPr>
        <w:t>ations</w:t>
      </w:r>
      <w:r w:rsidRPr="000C1BF2">
        <w:rPr>
          <w:rStyle w:val="SingleTxtGChar"/>
        </w:rPr>
        <w:t xml:space="preserve"> treaty bodies, are implemented by the State party. The State party also recalls its </w:t>
      </w:r>
      <w:r w:rsidRPr="000C1BF2">
        <w:rPr>
          <w:rStyle w:val="SingleTxtGChar"/>
        </w:rPr>
        <w:lastRenderedPageBreak/>
        <w:t xml:space="preserve">recently completed </w:t>
      </w:r>
      <w:r w:rsidR="00F34B7D">
        <w:rPr>
          <w:rStyle w:val="SingleTxtGChar"/>
        </w:rPr>
        <w:t>seco</w:t>
      </w:r>
      <w:r w:rsidRPr="000C1BF2">
        <w:rPr>
          <w:rStyle w:val="SingleTxtGChar"/>
        </w:rPr>
        <w:t xml:space="preserve">nd </w:t>
      </w:r>
      <w:r w:rsidR="00F34B7D">
        <w:rPr>
          <w:rStyle w:val="SingleTxtGChar"/>
        </w:rPr>
        <w:t>u</w:t>
      </w:r>
      <w:r w:rsidRPr="000C1BF2">
        <w:rPr>
          <w:rStyle w:val="SingleTxtGChar"/>
        </w:rPr>
        <w:t xml:space="preserve">niversal </w:t>
      </w:r>
      <w:r w:rsidR="00F34B7D">
        <w:rPr>
          <w:rStyle w:val="SingleTxtGChar"/>
        </w:rPr>
        <w:t>p</w:t>
      </w:r>
      <w:r w:rsidRPr="000C1BF2">
        <w:rPr>
          <w:rStyle w:val="SingleTxtGChar"/>
        </w:rPr>
        <w:t xml:space="preserve">eriodic </w:t>
      </w:r>
      <w:r w:rsidR="00F34B7D">
        <w:rPr>
          <w:rStyle w:val="SingleTxtGChar"/>
        </w:rPr>
        <w:t>r</w:t>
      </w:r>
      <w:r w:rsidRPr="000C1BF2">
        <w:rPr>
          <w:rStyle w:val="SingleTxtGChar"/>
        </w:rPr>
        <w:t>eview</w:t>
      </w:r>
      <w:r w:rsidR="002B0F89" w:rsidRPr="000C1BF2">
        <w:rPr>
          <w:rStyle w:val="SingleTxtGChar"/>
        </w:rPr>
        <w:t>, where</w:t>
      </w:r>
      <w:r w:rsidRPr="000C1BF2">
        <w:rPr>
          <w:rStyle w:val="SingleTxtGChar"/>
        </w:rPr>
        <w:t xml:space="preserve"> it reaffirmed its commitment to continue the implementation of the existing </w:t>
      </w:r>
      <w:r w:rsidR="00300C61">
        <w:rPr>
          <w:rStyle w:val="SingleTxtGChar"/>
        </w:rPr>
        <w:t>anti-discrimination legislation</w:t>
      </w:r>
      <w:r w:rsidR="00A7312B">
        <w:rPr>
          <w:rStyle w:val="SingleTxtGChar"/>
        </w:rPr>
        <w:t>.</w:t>
      </w:r>
      <w:r w:rsidRPr="006469B8">
        <w:rPr>
          <w:rStyle w:val="FootnoteReference"/>
        </w:rPr>
        <w:footnoteReference w:id="28"/>
      </w:r>
      <w:r w:rsidRPr="002B0F89">
        <w:rPr>
          <w:lang w:eastAsia="cs-CZ"/>
        </w:rPr>
        <w:t xml:space="preserve"> </w:t>
      </w:r>
    </w:p>
    <w:p w14:paraId="154D1439" w14:textId="77777777" w:rsidR="00013675" w:rsidRPr="000C1BF2" w:rsidRDefault="00013675">
      <w:pPr>
        <w:suppressAutoHyphens w:val="0"/>
        <w:spacing w:after="120" w:line="240" w:lineRule="auto"/>
        <w:ind w:left="1134" w:right="1134"/>
        <w:jc w:val="both"/>
        <w:rPr>
          <w:rStyle w:val="SingleTxtGChar"/>
        </w:rPr>
      </w:pPr>
      <w:r w:rsidRPr="002B0F89">
        <w:rPr>
          <w:lang w:eastAsia="cs-CZ"/>
        </w:rPr>
        <w:t>4.1</w:t>
      </w:r>
      <w:r w:rsidR="008676E4">
        <w:rPr>
          <w:lang w:eastAsia="cs-CZ"/>
        </w:rPr>
        <w:t>6</w:t>
      </w:r>
      <w:r w:rsidRPr="002B0F89">
        <w:rPr>
          <w:lang w:eastAsia="cs-CZ"/>
        </w:rPr>
        <w:tab/>
      </w:r>
      <w:r w:rsidRPr="000C1BF2">
        <w:rPr>
          <w:rStyle w:val="SingleTxtGChar"/>
        </w:rPr>
        <w:t xml:space="preserve">The State party concludes that there has been no violation of the </w:t>
      </w:r>
      <w:r w:rsidR="0097419C" w:rsidRPr="000C1BF2">
        <w:rPr>
          <w:rStyle w:val="SingleTxtGChar"/>
        </w:rPr>
        <w:t>petitioner</w:t>
      </w:r>
      <w:r w:rsidRPr="000C1BF2">
        <w:rPr>
          <w:rStyle w:val="SingleTxtGChar"/>
        </w:rPr>
        <w:t>’s rights under article 2</w:t>
      </w:r>
      <w:r w:rsidR="00680C56">
        <w:rPr>
          <w:rStyle w:val="SingleTxtGChar"/>
        </w:rPr>
        <w:t xml:space="preserve"> (</w:t>
      </w:r>
      <w:r w:rsidRPr="000C1BF2">
        <w:rPr>
          <w:rStyle w:val="SingleTxtGChar"/>
        </w:rPr>
        <w:t>1</w:t>
      </w:r>
      <w:r w:rsidR="00680C56">
        <w:rPr>
          <w:rStyle w:val="SingleTxtGChar"/>
        </w:rPr>
        <w:t>)</w:t>
      </w:r>
      <w:r w:rsidRPr="000C1BF2">
        <w:rPr>
          <w:rStyle w:val="SingleTxtGChar"/>
        </w:rPr>
        <w:t xml:space="preserve"> </w:t>
      </w:r>
      <w:r w:rsidR="00680C56">
        <w:rPr>
          <w:rStyle w:val="SingleTxtGChar"/>
        </w:rPr>
        <w:t>(</w:t>
      </w:r>
      <w:r w:rsidRPr="000C1BF2">
        <w:rPr>
          <w:rStyle w:val="SingleTxtGChar"/>
        </w:rPr>
        <w:t>a)</w:t>
      </w:r>
      <w:r w:rsidR="00F34B7D">
        <w:rPr>
          <w:rStyle w:val="SingleTxtGChar"/>
        </w:rPr>
        <w:t xml:space="preserve"> and</w:t>
      </w:r>
      <w:r w:rsidRPr="000C1BF2">
        <w:rPr>
          <w:rStyle w:val="SingleTxtGChar"/>
        </w:rPr>
        <w:t xml:space="preserve"> </w:t>
      </w:r>
      <w:r w:rsidR="00F34B7D">
        <w:rPr>
          <w:rStyle w:val="SingleTxtGChar"/>
        </w:rPr>
        <w:t>(</w:t>
      </w:r>
      <w:r w:rsidRPr="000C1BF2">
        <w:rPr>
          <w:rStyle w:val="SingleTxtGChar"/>
        </w:rPr>
        <w:t>c)</w:t>
      </w:r>
      <w:r w:rsidR="00F34B7D">
        <w:rPr>
          <w:rStyle w:val="SingleTxtGChar"/>
        </w:rPr>
        <w:t>-(</w:t>
      </w:r>
      <w:r w:rsidRPr="000C1BF2">
        <w:rPr>
          <w:rStyle w:val="SingleTxtGChar"/>
        </w:rPr>
        <w:t xml:space="preserve">e) </w:t>
      </w:r>
      <w:r w:rsidR="00680C56">
        <w:rPr>
          <w:rStyle w:val="SingleTxtGChar"/>
        </w:rPr>
        <w:t>and (</w:t>
      </w:r>
      <w:r w:rsidRPr="000C1BF2">
        <w:rPr>
          <w:rStyle w:val="SingleTxtGChar"/>
        </w:rPr>
        <w:t>2</w:t>
      </w:r>
      <w:r w:rsidR="00680C56">
        <w:rPr>
          <w:rStyle w:val="SingleTxtGChar"/>
        </w:rPr>
        <w:t>)</w:t>
      </w:r>
      <w:r w:rsidRPr="000C1BF2">
        <w:rPr>
          <w:rStyle w:val="SingleTxtGChar"/>
        </w:rPr>
        <w:t>, in conjunction with article</w:t>
      </w:r>
      <w:r w:rsidR="00FE2F7D">
        <w:rPr>
          <w:rStyle w:val="SingleTxtGChar"/>
        </w:rPr>
        <w:t>s</w:t>
      </w:r>
      <w:r w:rsidRPr="000C1BF2">
        <w:rPr>
          <w:rStyle w:val="SingleTxtGChar"/>
        </w:rPr>
        <w:t xml:space="preserve"> 5</w:t>
      </w:r>
      <w:r w:rsidR="008676E4" w:rsidRPr="000C1BF2">
        <w:rPr>
          <w:rStyle w:val="SingleTxtGChar"/>
        </w:rPr>
        <w:t xml:space="preserve"> (</w:t>
      </w:r>
      <w:r w:rsidRPr="000C1BF2">
        <w:rPr>
          <w:rStyle w:val="SingleTxtGChar"/>
        </w:rPr>
        <w:t xml:space="preserve">e) </w:t>
      </w:r>
      <w:r w:rsidR="008676E4" w:rsidRPr="000C1BF2">
        <w:rPr>
          <w:rStyle w:val="SingleTxtGChar"/>
        </w:rPr>
        <w:t>(</w:t>
      </w:r>
      <w:r w:rsidRPr="000C1BF2">
        <w:rPr>
          <w:rStyle w:val="SingleTxtGChar"/>
        </w:rPr>
        <w:t xml:space="preserve">i) </w:t>
      </w:r>
      <w:r w:rsidR="00FE2F7D">
        <w:rPr>
          <w:rStyle w:val="SingleTxtGChar"/>
        </w:rPr>
        <w:t>and</w:t>
      </w:r>
      <w:r w:rsidR="00F34B7D" w:rsidRPr="000C1BF2">
        <w:rPr>
          <w:rStyle w:val="SingleTxtGChar"/>
        </w:rPr>
        <w:t xml:space="preserve"> </w:t>
      </w:r>
      <w:r w:rsidRPr="000C1BF2">
        <w:rPr>
          <w:rStyle w:val="SingleTxtGChar"/>
        </w:rPr>
        <w:t>article 6</w:t>
      </w:r>
      <w:r w:rsidR="00FE2F7D">
        <w:rPr>
          <w:rStyle w:val="SingleTxtGChar"/>
        </w:rPr>
        <w:t>,</w:t>
      </w:r>
      <w:r w:rsidRPr="000C1BF2">
        <w:rPr>
          <w:rStyle w:val="SingleTxtGChar"/>
        </w:rPr>
        <w:t xml:space="preserve"> of the Convention. </w:t>
      </w:r>
      <w:r w:rsidR="002B0F89" w:rsidRPr="000C1BF2">
        <w:rPr>
          <w:rStyle w:val="SingleTxtGChar"/>
        </w:rPr>
        <w:t>T</w:t>
      </w:r>
      <w:r w:rsidRPr="000C1BF2">
        <w:rPr>
          <w:rStyle w:val="SingleTxtGChar"/>
        </w:rPr>
        <w:t xml:space="preserve">he State party </w:t>
      </w:r>
      <w:r w:rsidR="002B0F89" w:rsidRPr="000C1BF2">
        <w:rPr>
          <w:rStyle w:val="SingleTxtGChar"/>
        </w:rPr>
        <w:t>also reiterates its commitment to</w:t>
      </w:r>
      <w:r w:rsidRPr="000C1BF2">
        <w:rPr>
          <w:rStyle w:val="SingleTxtGChar"/>
        </w:rPr>
        <w:t xml:space="preserve"> continu</w:t>
      </w:r>
      <w:r w:rsidR="00FE2F7D">
        <w:rPr>
          <w:rStyle w:val="SingleTxtGChar"/>
        </w:rPr>
        <w:t>ing</w:t>
      </w:r>
      <w:r w:rsidRPr="000C1BF2">
        <w:rPr>
          <w:rStyle w:val="SingleTxtGChar"/>
        </w:rPr>
        <w:t xml:space="preserve"> to take additional measures to combat racial discrimination, including awareness-raising and </w:t>
      </w:r>
      <w:r w:rsidR="002B0F89" w:rsidRPr="000C1BF2">
        <w:rPr>
          <w:rStyle w:val="SingleTxtGChar"/>
        </w:rPr>
        <w:t>the elimination of</w:t>
      </w:r>
      <w:r w:rsidRPr="000C1BF2">
        <w:rPr>
          <w:rStyle w:val="SingleTxtGChar"/>
        </w:rPr>
        <w:t xml:space="preserve"> negative stereotypes in this regard. </w:t>
      </w:r>
      <w:r w:rsidR="002B0F89" w:rsidRPr="000C1BF2">
        <w:rPr>
          <w:rStyle w:val="SingleTxtGChar"/>
        </w:rPr>
        <w:t xml:space="preserve">It considers </w:t>
      </w:r>
      <w:r w:rsidR="00F34B7D">
        <w:rPr>
          <w:rStyle w:val="SingleTxtGChar"/>
        </w:rPr>
        <w:t>that the</w:t>
      </w:r>
      <w:r w:rsidR="002B0F89" w:rsidRPr="000C1BF2">
        <w:rPr>
          <w:rStyle w:val="SingleTxtGChar"/>
        </w:rPr>
        <w:t xml:space="preserve"> recommendations </w:t>
      </w:r>
      <w:r w:rsidRPr="000C1BF2">
        <w:rPr>
          <w:rStyle w:val="SingleTxtGChar"/>
        </w:rPr>
        <w:t xml:space="preserve">of international bodies provide an important guideline </w:t>
      </w:r>
      <w:r w:rsidR="00991EA5" w:rsidRPr="000C1BF2">
        <w:rPr>
          <w:rStyle w:val="SingleTxtGChar"/>
        </w:rPr>
        <w:t xml:space="preserve">in </w:t>
      </w:r>
      <w:r w:rsidR="002B0F89" w:rsidRPr="000C1BF2">
        <w:rPr>
          <w:rStyle w:val="SingleTxtGChar"/>
        </w:rPr>
        <w:t>this regard</w:t>
      </w:r>
      <w:r w:rsidRPr="000C1BF2">
        <w:rPr>
          <w:rStyle w:val="SingleTxtGChar"/>
        </w:rPr>
        <w:t xml:space="preserve">. The State party also welcomes </w:t>
      </w:r>
      <w:r w:rsidR="002B0F89" w:rsidRPr="000C1BF2">
        <w:rPr>
          <w:rStyle w:val="SingleTxtGChar"/>
        </w:rPr>
        <w:t xml:space="preserve">the </w:t>
      </w:r>
      <w:r w:rsidRPr="000C1BF2">
        <w:rPr>
          <w:rStyle w:val="SingleTxtGChar"/>
        </w:rPr>
        <w:t>constructive dialogue with the Committee, which</w:t>
      </w:r>
      <w:r w:rsidR="00F34B7D">
        <w:rPr>
          <w:rStyle w:val="SingleTxtGChar"/>
        </w:rPr>
        <w:t>,</w:t>
      </w:r>
      <w:r w:rsidRPr="000C1BF2">
        <w:rPr>
          <w:rStyle w:val="SingleTxtGChar"/>
        </w:rPr>
        <w:t xml:space="preserve"> thanks to the valuable experience and expertise of its members, assist</w:t>
      </w:r>
      <w:r w:rsidR="002B0F89" w:rsidRPr="000C1BF2">
        <w:rPr>
          <w:rStyle w:val="SingleTxtGChar"/>
        </w:rPr>
        <w:t>s</w:t>
      </w:r>
      <w:r w:rsidRPr="000C1BF2">
        <w:rPr>
          <w:rStyle w:val="SingleTxtGChar"/>
        </w:rPr>
        <w:t xml:space="preserve"> the State</w:t>
      </w:r>
      <w:r w:rsidR="002B0F89" w:rsidRPr="000C1BF2">
        <w:rPr>
          <w:rStyle w:val="SingleTxtGChar"/>
        </w:rPr>
        <w:t>s</w:t>
      </w:r>
      <w:r w:rsidRPr="000C1BF2">
        <w:rPr>
          <w:rStyle w:val="SingleTxtGChar"/>
        </w:rPr>
        <w:t xml:space="preserve"> parties </w:t>
      </w:r>
      <w:r w:rsidR="002B0F89" w:rsidRPr="000C1BF2">
        <w:rPr>
          <w:rStyle w:val="SingleTxtGChar"/>
        </w:rPr>
        <w:t>to implement effectively</w:t>
      </w:r>
      <w:r w:rsidRPr="000C1BF2">
        <w:rPr>
          <w:rStyle w:val="SingleTxtGChar"/>
        </w:rPr>
        <w:t xml:space="preserve"> the Convention. </w:t>
      </w:r>
    </w:p>
    <w:p w14:paraId="490D97C3" w14:textId="77777777" w:rsidR="00061EEF" w:rsidRPr="002B0F89" w:rsidRDefault="00061EEF" w:rsidP="00061EEF">
      <w:pPr>
        <w:pStyle w:val="H23G"/>
      </w:pPr>
      <w:r w:rsidRPr="009F7392">
        <w:tab/>
      </w:r>
      <w:r w:rsidRPr="009F7392">
        <w:tab/>
        <w:t>P</w:t>
      </w:r>
      <w:r w:rsidRPr="008E23E4">
        <w:t>etitioner</w:t>
      </w:r>
      <w:r w:rsidR="00470807" w:rsidRPr="009A2945">
        <w:t>’</w:t>
      </w:r>
      <w:r w:rsidR="0063332F" w:rsidRPr="009A2945">
        <w:t>s</w:t>
      </w:r>
      <w:r w:rsidRPr="009A2945">
        <w:t xml:space="preserve"> comments on the State party’s observations on admis</w:t>
      </w:r>
      <w:r w:rsidRPr="002B0F89">
        <w:t xml:space="preserve">sibility and </w:t>
      </w:r>
      <w:r w:rsidR="00F34B7D">
        <w:t xml:space="preserve">the </w:t>
      </w:r>
      <w:r w:rsidRPr="002B0F89">
        <w:t>merits</w:t>
      </w:r>
    </w:p>
    <w:p w14:paraId="2983F180" w14:textId="77777777" w:rsidR="0027200F" w:rsidRPr="000C1BF2" w:rsidRDefault="00AD3F10" w:rsidP="00F579C4">
      <w:pPr>
        <w:spacing w:after="120" w:line="240" w:lineRule="auto"/>
        <w:ind w:left="1134" w:right="1134"/>
        <w:jc w:val="both"/>
        <w:rPr>
          <w:rStyle w:val="SingleTxtGChar"/>
        </w:rPr>
      </w:pPr>
      <w:r w:rsidRPr="002B0F89">
        <w:t>5.</w:t>
      </w:r>
      <w:r w:rsidR="0027200F" w:rsidRPr="002B0F89">
        <w:t>1</w:t>
      </w:r>
      <w:r w:rsidR="00061EEF" w:rsidRPr="002B0F89">
        <w:rPr>
          <w:bCs/>
        </w:rPr>
        <w:tab/>
      </w:r>
      <w:r w:rsidR="0027200F" w:rsidRPr="000C1BF2">
        <w:rPr>
          <w:rStyle w:val="SingleTxtGChar"/>
        </w:rPr>
        <w:t xml:space="preserve">On 13 November 2014, the petitioner submitted comments on the State party’s observations on admissibility and </w:t>
      </w:r>
      <w:r w:rsidR="00F34B7D">
        <w:rPr>
          <w:rStyle w:val="SingleTxtGChar"/>
        </w:rPr>
        <w:t xml:space="preserve">the </w:t>
      </w:r>
      <w:r w:rsidR="0027200F" w:rsidRPr="000C1BF2">
        <w:rPr>
          <w:rStyle w:val="SingleTxtGChar"/>
        </w:rPr>
        <w:t xml:space="preserve">merits of her communication. The petitioner maintains her arguments outlined in </w:t>
      </w:r>
      <w:r w:rsidR="00193A62">
        <w:rPr>
          <w:rStyle w:val="SingleTxtGChar"/>
        </w:rPr>
        <w:t>the</w:t>
      </w:r>
      <w:r w:rsidR="0027200F" w:rsidRPr="000C1BF2">
        <w:rPr>
          <w:rStyle w:val="SingleTxtGChar"/>
        </w:rPr>
        <w:t xml:space="preserve"> original communication</w:t>
      </w:r>
      <w:r w:rsidR="00376645" w:rsidRPr="000C1BF2">
        <w:rPr>
          <w:rStyle w:val="SingleTxtGChar"/>
        </w:rPr>
        <w:t xml:space="preserve"> and</w:t>
      </w:r>
      <w:r w:rsidR="002B0F89" w:rsidRPr="000C1BF2">
        <w:rPr>
          <w:rStyle w:val="SingleTxtGChar"/>
        </w:rPr>
        <w:t xml:space="preserve"> </w:t>
      </w:r>
      <w:r w:rsidR="000B3BF2" w:rsidRPr="000C1BF2">
        <w:rPr>
          <w:rStyle w:val="SingleTxtGChar"/>
        </w:rPr>
        <w:t xml:space="preserve">notes </w:t>
      </w:r>
      <w:r w:rsidR="002B0F89" w:rsidRPr="000C1BF2">
        <w:rPr>
          <w:rStyle w:val="SingleTxtGChar"/>
        </w:rPr>
        <w:t>that the</w:t>
      </w:r>
      <w:r w:rsidR="00376645" w:rsidRPr="000C1BF2">
        <w:rPr>
          <w:rStyle w:val="SingleTxtGChar"/>
        </w:rPr>
        <w:t xml:space="preserve"> fact that she does not comment on some</w:t>
      </w:r>
      <w:r w:rsidR="002B0F89" w:rsidRPr="000C1BF2">
        <w:rPr>
          <w:rStyle w:val="SingleTxtGChar"/>
        </w:rPr>
        <w:t xml:space="preserve"> of the State party’s observations</w:t>
      </w:r>
      <w:r w:rsidR="0027200F" w:rsidRPr="000C1BF2">
        <w:rPr>
          <w:rStyle w:val="SingleTxtGChar"/>
        </w:rPr>
        <w:t xml:space="preserve"> should not be interpreted as </w:t>
      </w:r>
      <w:r w:rsidR="00376645" w:rsidRPr="000C1BF2">
        <w:rPr>
          <w:rStyle w:val="SingleTxtGChar"/>
        </w:rPr>
        <w:t xml:space="preserve">her </w:t>
      </w:r>
      <w:r w:rsidR="00F34B7D">
        <w:rPr>
          <w:rStyle w:val="SingleTxtGChar"/>
        </w:rPr>
        <w:t>agreement</w:t>
      </w:r>
      <w:r w:rsidR="00F34B7D" w:rsidRPr="000C1BF2">
        <w:rPr>
          <w:rStyle w:val="SingleTxtGChar"/>
        </w:rPr>
        <w:t xml:space="preserve"> </w:t>
      </w:r>
      <w:r w:rsidR="00376645" w:rsidRPr="000C1BF2">
        <w:rPr>
          <w:rStyle w:val="SingleTxtGChar"/>
        </w:rPr>
        <w:t>there</w:t>
      </w:r>
      <w:r w:rsidR="00F34B7D">
        <w:rPr>
          <w:rStyle w:val="SingleTxtGChar"/>
        </w:rPr>
        <w:t>with</w:t>
      </w:r>
      <w:r w:rsidR="0027200F" w:rsidRPr="000C1BF2">
        <w:rPr>
          <w:rStyle w:val="SingleTxtGChar"/>
        </w:rPr>
        <w:t>.</w:t>
      </w:r>
    </w:p>
    <w:p w14:paraId="45D4974A" w14:textId="77777777" w:rsidR="0027200F" w:rsidRPr="002B0F89" w:rsidRDefault="0027200F" w:rsidP="00F579C4">
      <w:pPr>
        <w:suppressAutoHyphens w:val="0"/>
        <w:spacing w:after="120" w:line="240" w:lineRule="auto"/>
        <w:ind w:left="1134" w:right="1134"/>
        <w:jc w:val="both"/>
        <w:rPr>
          <w:lang w:eastAsia="cs-CZ"/>
        </w:rPr>
      </w:pPr>
      <w:r w:rsidRPr="002B0F89">
        <w:rPr>
          <w:lang w:eastAsia="cs-CZ"/>
        </w:rPr>
        <w:t>5.2</w:t>
      </w:r>
      <w:r w:rsidRPr="002B0F89">
        <w:rPr>
          <w:lang w:eastAsia="cs-CZ"/>
        </w:rPr>
        <w:tab/>
      </w:r>
      <w:r w:rsidRPr="000C1BF2">
        <w:rPr>
          <w:rStyle w:val="SingleTxtGChar"/>
        </w:rPr>
        <w:t xml:space="preserve">Since the State party does not object to the admissibility of the communication, the petitioner requests the Committee to declare her communication admissible and </w:t>
      </w:r>
      <w:r w:rsidR="0004717D" w:rsidRPr="000C1BF2">
        <w:rPr>
          <w:rStyle w:val="SingleTxtGChar"/>
        </w:rPr>
        <w:t xml:space="preserve">to </w:t>
      </w:r>
      <w:r w:rsidRPr="000C1BF2">
        <w:rPr>
          <w:rStyle w:val="SingleTxtGChar"/>
        </w:rPr>
        <w:t xml:space="preserve">proceed with its </w:t>
      </w:r>
      <w:r w:rsidR="00F34B7D">
        <w:rPr>
          <w:rStyle w:val="SingleTxtGChar"/>
        </w:rPr>
        <w:t>consideration</w:t>
      </w:r>
      <w:r w:rsidR="00F34B7D" w:rsidRPr="000C1BF2">
        <w:rPr>
          <w:rStyle w:val="SingleTxtGChar"/>
        </w:rPr>
        <w:t xml:space="preserve"> </w:t>
      </w:r>
      <w:r w:rsidRPr="000C1BF2">
        <w:rPr>
          <w:rStyle w:val="SingleTxtGChar"/>
        </w:rPr>
        <w:t>o</w:t>
      </w:r>
      <w:r w:rsidR="00F34B7D">
        <w:rPr>
          <w:rStyle w:val="SingleTxtGChar"/>
        </w:rPr>
        <w:t>f</w:t>
      </w:r>
      <w:r w:rsidRPr="000C1BF2">
        <w:rPr>
          <w:rStyle w:val="SingleTxtGChar"/>
        </w:rPr>
        <w:t xml:space="preserve"> the merits.</w:t>
      </w:r>
      <w:r w:rsidRPr="002B0F89">
        <w:rPr>
          <w:lang w:eastAsia="cs-CZ"/>
        </w:rPr>
        <w:t xml:space="preserve"> </w:t>
      </w:r>
    </w:p>
    <w:p w14:paraId="07BCB8EB" w14:textId="77777777" w:rsidR="0027200F" w:rsidRPr="002B0F89" w:rsidRDefault="0027200F" w:rsidP="00F579C4">
      <w:pPr>
        <w:suppressAutoHyphens w:val="0"/>
        <w:spacing w:after="120" w:line="240" w:lineRule="auto"/>
        <w:ind w:left="1134" w:right="1134"/>
        <w:jc w:val="both"/>
        <w:rPr>
          <w:lang w:eastAsia="cs-CZ"/>
        </w:rPr>
      </w:pPr>
      <w:r w:rsidRPr="00330006">
        <w:rPr>
          <w:lang w:eastAsia="cs-CZ"/>
        </w:rPr>
        <w:t xml:space="preserve">5.3 </w:t>
      </w:r>
      <w:r w:rsidRPr="00330006">
        <w:rPr>
          <w:lang w:eastAsia="cs-CZ"/>
        </w:rPr>
        <w:tab/>
      </w:r>
      <w:r w:rsidRPr="000C1BF2">
        <w:rPr>
          <w:rStyle w:val="SingleTxtGChar"/>
        </w:rPr>
        <w:t>As regards the merits, the petitioner maintains that</w:t>
      </w:r>
      <w:r w:rsidR="00F34B7D">
        <w:rPr>
          <w:rStyle w:val="SingleTxtGChar"/>
        </w:rPr>
        <w:t>,</w:t>
      </w:r>
      <w:r w:rsidRPr="000C1BF2">
        <w:rPr>
          <w:rStyle w:val="SingleTxtGChar"/>
        </w:rPr>
        <w:t xml:space="preserve"> </w:t>
      </w:r>
      <w:r w:rsidR="00F34B7D">
        <w:rPr>
          <w:rStyle w:val="SingleTxtGChar"/>
        </w:rPr>
        <w:t>al</w:t>
      </w:r>
      <w:r w:rsidRPr="000C1BF2">
        <w:rPr>
          <w:rStyle w:val="SingleTxtGChar"/>
        </w:rPr>
        <w:t xml:space="preserve">though she submitted her case to the domestic courts in order to pursue remedies for </w:t>
      </w:r>
      <w:r w:rsidR="00876365" w:rsidRPr="000C1BF2">
        <w:rPr>
          <w:rStyle w:val="SingleTxtGChar"/>
        </w:rPr>
        <w:t xml:space="preserve">the </w:t>
      </w:r>
      <w:r w:rsidRPr="000C1BF2">
        <w:rPr>
          <w:rStyle w:val="SingleTxtGChar"/>
        </w:rPr>
        <w:t xml:space="preserve">racial discrimination </w:t>
      </w:r>
      <w:r w:rsidR="004D250F">
        <w:rPr>
          <w:rStyle w:val="SingleTxtGChar"/>
        </w:rPr>
        <w:t xml:space="preserve">that </w:t>
      </w:r>
      <w:r w:rsidRPr="000C1BF2">
        <w:rPr>
          <w:rStyle w:val="SingleTxtGChar"/>
        </w:rPr>
        <w:t xml:space="preserve">she suffered, the domestic authorities ignored her arguments and did not implement the anti-discrimination legislation effectively. She </w:t>
      </w:r>
      <w:r w:rsidR="000B3BF2" w:rsidRPr="000C1BF2">
        <w:rPr>
          <w:rStyle w:val="SingleTxtGChar"/>
        </w:rPr>
        <w:t>notes</w:t>
      </w:r>
      <w:r w:rsidR="00876365" w:rsidRPr="000C1BF2">
        <w:rPr>
          <w:rStyle w:val="SingleTxtGChar"/>
        </w:rPr>
        <w:t xml:space="preserve"> </w:t>
      </w:r>
      <w:r w:rsidRPr="000C1BF2">
        <w:rPr>
          <w:rStyle w:val="SingleTxtGChar"/>
        </w:rPr>
        <w:t xml:space="preserve">that the State party </w:t>
      </w:r>
      <w:r w:rsidR="00876365" w:rsidRPr="000C1BF2">
        <w:rPr>
          <w:rStyle w:val="SingleTxtGChar"/>
        </w:rPr>
        <w:t>recognizes</w:t>
      </w:r>
      <w:r w:rsidRPr="000C1BF2">
        <w:rPr>
          <w:rStyle w:val="SingleTxtGChar"/>
        </w:rPr>
        <w:t xml:space="preserve"> that the application of anti-discrimination legislation</w:t>
      </w:r>
      <w:r w:rsidR="00F34B7D">
        <w:rPr>
          <w:rStyle w:val="SingleTxtGChar"/>
        </w:rPr>
        <w:t>,</w:t>
      </w:r>
      <w:r w:rsidRPr="000C1BF2">
        <w:rPr>
          <w:rStyle w:val="SingleTxtGChar"/>
        </w:rPr>
        <w:t xml:space="preserve"> and in particular </w:t>
      </w:r>
      <w:r w:rsidR="00876365" w:rsidRPr="000C1BF2">
        <w:rPr>
          <w:rStyle w:val="SingleTxtGChar"/>
        </w:rPr>
        <w:t xml:space="preserve">of the </w:t>
      </w:r>
      <w:r w:rsidRPr="000C1BF2">
        <w:rPr>
          <w:rStyle w:val="SingleTxtGChar"/>
        </w:rPr>
        <w:t>shifting</w:t>
      </w:r>
      <w:r w:rsidR="00876365" w:rsidRPr="000C1BF2">
        <w:rPr>
          <w:rStyle w:val="SingleTxtGChar"/>
        </w:rPr>
        <w:t xml:space="preserve"> of</w:t>
      </w:r>
      <w:r w:rsidRPr="000C1BF2">
        <w:rPr>
          <w:rStyle w:val="SingleTxtGChar"/>
        </w:rPr>
        <w:t xml:space="preserve"> the burden of proof</w:t>
      </w:r>
      <w:r w:rsidR="00F34B7D">
        <w:rPr>
          <w:rStyle w:val="SingleTxtGChar"/>
        </w:rPr>
        <w:t>,</w:t>
      </w:r>
      <w:r w:rsidRPr="000C1BF2">
        <w:rPr>
          <w:rStyle w:val="SingleTxtGChar"/>
        </w:rPr>
        <w:t xml:space="preserve"> present</w:t>
      </w:r>
      <w:r w:rsidR="00876365" w:rsidRPr="000C1BF2">
        <w:rPr>
          <w:rStyle w:val="SingleTxtGChar"/>
        </w:rPr>
        <w:t>s</w:t>
      </w:r>
      <w:r w:rsidRPr="000C1BF2">
        <w:rPr>
          <w:rStyle w:val="SingleTxtGChar"/>
        </w:rPr>
        <w:t xml:space="preserve"> a certain challenge </w:t>
      </w:r>
      <w:r w:rsidR="00876365" w:rsidRPr="000C1BF2">
        <w:rPr>
          <w:rStyle w:val="SingleTxtGChar"/>
        </w:rPr>
        <w:t xml:space="preserve">for </w:t>
      </w:r>
      <w:r w:rsidRPr="000C1BF2">
        <w:rPr>
          <w:rStyle w:val="SingleTxtGChar"/>
        </w:rPr>
        <w:t xml:space="preserve">domestic courts and acknowledges </w:t>
      </w:r>
      <w:r w:rsidR="00876365" w:rsidRPr="000C1BF2">
        <w:rPr>
          <w:rStyle w:val="SingleTxtGChar"/>
        </w:rPr>
        <w:t xml:space="preserve">that some difficulties arose </w:t>
      </w:r>
      <w:r w:rsidRPr="000C1BF2">
        <w:rPr>
          <w:rStyle w:val="SingleTxtGChar"/>
        </w:rPr>
        <w:t xml:space="preserve">in </w:t>
      </w:r>
      <w:r w:rsidR="00876365" w:rsidRPr="000C1BF2">
        <w:rPr>
          <w:rStyle w:val="SingleTxtGChar"/>
        </w:rPr>
        <w:t xml:space="preserve">the </w:t>
      </w:r>
      <w:r w:rsidRPr="000C1BF2">
        <w:rPr>
          <w:rStyle w:val="SingleTxtGChar"/>
        </w:rPr>
        <w:t>application of this instrument in the petitioner’s case by the first instance court.</w:t>
      </w:r>
      <w:r w:rsidRPr="002B0F89">
        <w:rPr>
          <w:lang w:eastAsia="cs-CZ"/>
        </w:rPr>
        <w:t xml:space="preserve"> </w:t>
      </w:r>
    </w:p>
    <w:p w14:paraId="6E0ECA56" w14:textId="77777777" w:rsidR="0027200F" w:rsidRPr="002E6A52" w:rsidRDefault="0027200F" w:rsidP="004516DE">
      <w:pPr>
        <w:suppressAutoHyphens w:val="0"/>
        <w:spacing w:after="120" w:line="240" w:lineRule="auto"/>
        <w:ind w:left="1134" w:right="1134"/>
        <w:jc w:val="both"/>
        <w:rPr>
          <w:lang w:eastAsia="cs-CZ"/>
        </w:rPr>
      </w:pPr>
      <w:r w:rsidRPr="002B0F89">
        <w:rPr>
          <w:lang w:eastAsia="cs-CZ"/>
        </w:rPr>
        <w:t>5.4</w:t>
      </w:r>
      <w:r w:rsidRPr="002B0F89">
        <w:rPr>
          <w:lang w:eastAsia="cs-CZ"/>
        </w:rPr>
        <w:tab/>
      </w:r>
      <w:r w:rsidR="001F7FBC" w:rsidRPr="000C1BF2">
        <w:rPr>
          <w:rStyle w:val="SingleTxtGChar"/>
        </w:rPr>
        <w:t>T</w:t>
      </w:r>
      <w:r w:rsidRPr="000C1BF2">
        <w:rPr>
          <w:rStyle w:val="SingleTxtGChar"/>
        </w:rPr>
        <w:t>he petitioner objects to the State party’s interpretation of how the anti-discrimination legislation</w:t>
      </w:r>
      <w:r w:rsidR="00F34B7D">
        <w:rPr>
          <w:rStyle w:val="SingleTxtGChar"/>
        </w:rPr>
        <w:t>,</w:t>
      </w:r>
      <w:r w:rsidRPr="000C1BF2">
        <w:rPr>
          <w:rStyle w:val="SingleTxtGChar"/>
        </w:rPr>
        <w:t xml:space="preserve"> and in particular the shifting of </w:t>
      </w:r>
      <w:r w:rsidR="001F7FBC" w:rsidRPr="000C1BF2">
        <w:rPr>
          <w:rStyle w:val="SingleTxtGChar"/>
        </w:rPr>
        <w:t xml:space="preserve">the </w:t>
      </w:r>
      <w:r w:rsidRPr="000C1BF2">
        <w:rPr>
          <w:rStyle w:val="SingleTxtGChar"/>
        </w:rPr>
        <w:t>burden of proof in discrimination cases</w:t>
      </w:r>
      <w:r w:rsidR="00F34B7D">
        <w:rPr>
          <w:rStyle w:val="SingleTxtGChar"/>
        </w:rPr>
        <w:t>,</w:t>
      </w:r>
      <w:r w:rsidRPr="000C1BF2">
        <w:rPr>
          <w:rStyle w:val="SingleTxtGChar"/>
        </w:rPr>
        <w:t xml:space="preserve"> should be implemented</w:t>
      </w:r>
      <w:r w:rsidR="001F7FBC" w:rsidRPr="000C1BF2">
        <w:rPr>
          <w:rStyle w:val="SingleTxtGChar"/>
        </w:rPr>
        <w:t>. S</w:t>
      </w:r>
      <w:r w:rsidRPr="000C1BF2">
        <w:rPr>
          <w:rStyle w:val="SingleTxtGChar"/>
        </w:rPr>
        <w:t xml:space="preserve">he claims that such interpretation </w:t>
      </w:r>
      <w:r w:rsidR="001F7FBC" w:rsidRPr="000C1BF2">
        <w:rPr>
          <w:rStyle w:val="SingleTxtGChar"/>
        </w:rPr>
        <w:t>does not comply with</w:t>
      </w:r>
      <w:r w:rsidRPr="000C1BF2">
        <w:rPr>
          <w:rStyle w:val="SingleTxtGChar"/>
        </w:rPr>
        <w:t xml:space="preserve"> the relevant E</w:t>
      </w:r>
      <w:r w:rsidR="00C81CC1">
        <w:rPr>
          <w:rStyle w:val="SingleTxtGChar"/>
        </w:rPr>
        <w:t xml:space="preserve">uropean </w:t>
      </w:r>
      <w:r w:rsidRPr="000C1BF2">
        <w:rPr>
          <w:rStyle w:val="SingleTxtGChar"/>
        </w:rPr>
        <w:t>U</w:t>
      </w:r>
      <w:r w:rsidR="00C81CC1">
        <w:rPr>
          <w:rStyle w:val="SingleTxtGChar"/>
        </w:rPr>
        <w:t>nion</w:t>
      </w:r>
      <w:r w:rsidRPr="000C1BF2">
        <w:rPr>
          <w:rStyle w:val="SingleTxtGChar"/>
        </w:rPr>
        <w:t xml:space="preserve"> directives and </w:t>
      </w:r>
      <w:r w:rsidR="001F7FBC" w:rsidRPr="000C1BF2">
        <w:rPr>
          <w:rStyle w:val="SingleTxtGChar"/>
        </w:rPr>
        <w:t xml:space="preserve">the </w:t>
      </w:r>
      <w:r w:rsidRPr="000C1BF2">
        <w:rPr>
          <w:rStyle w:val="SingleTxtGChar"/>
        </w:rPr>
        <w:t>jurisprudence of international judicial and/or qua</w:t>
      </w:r>
      <w:r w:rsidR="00300C61">
        <w:rPr>
          <w:rStyle w:val="SingleTxtGChar"/>
        </w:rPr>
        <w:t>si-judicial human rights bodies</w:t>
      </w:r>
      <w:r w:rsidR="00A7312B">
        <w:rPr>
          <w:rStyle w:val="SingleTxtGChar"/>
        </w:rPr>
        <w:t>,</w:t>
      </w:r>
      <w:r w:rsidRPr="006469B8">
        <w:rPr>
          <w:rStyle w:val="FootnoteReference"/>
        </w:rPr>
        <w:footnoteReference w:id="29"/>
      </w:r>
      <w:r w:rsidRPr="000C1BF2">
        <w:rPr>
          <w:rStyle w:val="SingleTxtGChar"/>
        </w:rPr>
        <w:t xml:space="preserve"> </w:t>
      </w:r>
      <w:r w:rsidR="001F7FBC" w:rsidRPr="000C1BF2">
        <w:rPr>
          <w:rStyle w:val="SingleTxtGChar"/>
        </w:rPr>
        <w:t>in so far as it puts the</w:t>
      </w:r>
      <w:r w:rsidRPr="000C1BF2">
        <w:rPr>
          <w:rStyle w:val="SingleTxtGChar"/>
        </w:rPr>
        <w:t xml:space="preserve"> burden </w:t>
      </w:r>
      <w:r w:rsidR="001F7FBC" w:rsidRPr="000C1BF2">
        <w:rPr>
          <w:rStyle w:val="SingleTxtGChar"/>
        </w:rPr>
        <w:t xml:space="preserve">of proof on </w:t>
      </w:r>
      <w:r w:rsidRPr="000C1BF2">
        <w:rPr>
          <w:rStyle w:val="SingleTxtGChar"/>
        </w:rPr>
        <w:t>the</w:t>
      </w:r>
      <w:r w:rsidRPr="002E6A52">
        <w:rPr>
          <w:lang w:eastAsia="cs-CZ"/>
        </w:rPr>
        <w:t xml:space="preserve"> </w:t>
      </w:r>
      <w:r w:rsidR="00330006" w:rsidRPr="000C1BF2">
        <w:rPr>
          <w:rStyle w:val="SingleTxtGChar"/>
        </w:rPr>
        <w:t>plaintiff</w:t>
      </w:r>
      <w:r w:rsidRPr="000C1BF2">
        <w:rPr>
          <w:rStyle w:val="SingleTxtGChar"/>
        </w:rPr>
        <w:t xml:space="preserve">. The petitioner further </w:t>
      </w:r>
      <w:r w:rsidR="001F7FBC" w:rsidRPr="000C1BF2">
        <w:rPr>
          <w:rStyle w:val="SingleTxtGChar"/>
        </w:rPr>
        <w:t xml:space="preserve">considers </w:t>
      </w:r>
      <w:r w:rsidRPr="000C1BF2">
        <w:rPr>
          <w:rStyle w:val="SingleTxtGChar"/>
        </w:rPr>
        <w:t xml:space="preserve">that the requirement to prove the facts, such as </w:t>
      </w:r>
      <w:r w:rsidR="001F7FBC" w:rsidRPr="000C1BF2">
        <w:rPr>
          <w:rStyle w:val="SingleTxtGChar"/>
        </w:rPr>
        <w:t xml:space="preserve">the </w:t>
      </w:r>
      <w:r w:rsidRPr="000C1BF2">
        <w:rPr>
          <w:rStyle w:val="SingleTxtGChar"/>
        </w:rPr>
        <w:t xml:space="preserve">ground of </w:t>
      </w:r>
      <w:r w:rsidR="001F7FBC" w:rsidRPr="000C1BF2">
        <w:rPr>
          <w:rStyle w:val="SingleTxtGChar"/>
        </w:rPr>
        <w:t xml:space="preserve">the alleged </w:t>
      </w:r>
      <w:r w:rsidRPr="000C1BF2">
        <w:rPr>
          <w:rStyle w:val="SingleTxtGChar"/>
        </w:rPr>
        <w:t xml:space="preserve">discrimination, is beyond her </w:t>
      </w:r>
      <w:r w:rsidR="002E6A52" w:rsidRPr="000C1BF2">
        <w:rPr>
          <w:rStyle w:val="SingleTxtGChar"/>
        </w:rPr>
        <w:t xml:space="preserve">control </w:t>
      </w:r>
      <w:r w:rsidRPr="000C1BF2">
        <w:rPr>
          <w:rStyle w:val="SingleTxtGChar"/>
        </w:rPr>
        <w:t xml:space="preserve">and would also be illogical. </w:t>
      </w:r>
      <w:r w:rsidR="002E6A52" w:rsidRPr="000C1BF2">
        <w:rPr>
          <w:rStyle w:val="SingleTxtGChar"/>
        </w:rPr>
        <w:t xml:space="preserve">She considers that admitting </w:t>
      </w:r>
      <w:r w:rsidRPr="000C1BF2">
        <w:rPr>
          <w:rStyle w:val="SingleTxtGChar"/>
        </w:rPr>
        <w:t xml:space="preserve">such an interpretation would violate the basic principles of protection against discrimination within the court proceedings. </w:t>
      </w:r>
    </w:p>
    <w:p w14:paraId="48754392" w14:textId="77777777" w:rsidR="0027200F" w:rsidRPr="002E6A52" w:rsidRDefault="0027200F" w:rsidP="00C30A18">
      <w:pPr>
        <w:suppressAutoHyphens w:val="0"/>
        <w:spacing w:after="120" w:line="240" w:lineRule="auto"/>
        <w:ind w:left="1134" w:right="1134"/>
        <w:jc w:val="both"/>
        <w:rPr>
          <w:lang w:eastAsia="cs-CZ"/>
        </w:rPr>
      </w:pPr>
      <w:r w:rsidRPr="002E6A52">
        <w:rPr>
          <w:lang w:eastAsia="cs-CZ"/>
        </w:rPr>
        <w:t xml:space="preserve">5.5 </w:t>
      </w:r>
      <w:r w:rsidRPr="002E6A52">
        <w:rPr>
          <w:lang w:eastAsia="cs-CZ"/>
        </w:rPr>
        <w:tab/>
      </w:r>
      <w:r w:rsidRPr="000C1BF2">
        <w:rPr>
          <w:rStyle w:val="SingleTxtGChar"/>
        </w:rPr>
        <w:t xml:space="preserve">The petitioner also objects to the State party’s </w:t>
      </w:r>
      <w:r w:rsidR="002E53C4" w:rsidRPr="000C1BF2">
        <w:rPr>
          <w:rStyle w:val="SingleTxtGChar"/>
        </w:rPr>
        <w:t xml:space="preserve">submission about </w:t>
      </w:r>
      <w:r w:rsidRPr="000C1BF2">
        <w:rPr>
          <w:rStyle w:val="SingleTxtGChar"/>
        </w:rPr>
        <w:t>the</w:t>
      </w:r>
      <w:r w:rsidR="002E53C4" w:rsidRPr="000C1BF2">
        <w:rPr>
          <w:rStyle w:val="SingleTxtGChar"/>
        </w:rPr>
        <w:t xml:space="preserve"> examination of the</w:t>
      </w:r>
      <w:r w:rsidRPr="000C1BF2">
        <w:rPr>
          <w:rStyle w:val="SingleTxtGChar"/>
        </w:rPr>
        <w:t xml:space="preserve"> petitioner’s case by non-judicial domestic authorities, </w:t>
      </w:r>
      <w:r w:rsidR="00027BEF" w:rsidRPr="000C1BF2">
        <w:rPr>
          <w:rStyle w:val="SingleTxtGChar"/>
        </w:rPr>
        <w:t xml:space="preserve">such as </w:t>
      </w:r>
      <w:r w:rsidRPr="000C1BF2">
        <w:rPr>
          <w:rStyle w:val="SingleTxtGChar"/>
        </w:rPr>
        <w:t xml:space="preserve">the Office of the </w:t>
      </w:r>
      <w:r w:rsidRPr="000C1BF2">
        <w:rPr>
          <w:rStyle w:val="SingleTxtGChar"/>
        </w:rPr>
        <w:lastRenderedPageBreak/>
        <w:t xml:space="preserve">Plenipotentiary for Roma Communities and the Equality Centre, and their respective conclusions. The petitioner notes that she complained to those bodies not only </w:t>
      </w:r>
      <w:r w:rsidR="00027BEF" w:rsidRPr="000C1BF2">
        <w:rPr>
          <w:rStyle w:val="SingleTxtGChar"/>
        </w:rPr>
        <w:t xml:space="preserve">about </w:t>
      </w:r>
      <w:r w:rsidRPr="000C1BF2">
        <w:rPr>
          <w:rStyle w:val="SingleTxtGChar"/>
        </w:rPr>
        <w:t xml:space="preserve">the discriminatory treatment </w:t>
      </w:r>
      <w:r w:rsidR="002E53C4" w:rsidRPr="000C1BF2">
        <w:rPr>
          <w:rStyle w:val="SingleTxtGChar"/>
        </w:rPr>
        <w:t>referred to</w:t>
      </w:r>
      <w:r w:rsidRPr="000C1BF2">
        <w:rPr>
          <w:rStyle w:val="SingleTxtGChar"/>
        </w:rPr>
        <w:t xml:space="preserve"> in </w:t>
      </w:r>
      <w:r w:rsidR="002E53C4" w:rsidRPr="000C1BF2">
        <w:rPr>
          <w:rStyle w:val="SingleTxtGChar"/>
        </w:rPr>
        <w:t xml:space="preserve">the </w:t>
      </w:r>
      <w:r w:rsidRPr="000C1BF2">
        <w:rPr>
          <w:rStyle w:val="SingleTxtGChar"/>
        </w:rPr>
        <w:t xml:space="preserve">present case, but also </w:t>
      </w:r>
      <w:r w:rsidR="00027BEF" w:rsidRPr="000C1BF2">
        <w:rPr>
          <w:rStyle w:val="SingleTxtGChar"/>
        </w:rPr>
        <w:t xml:space="preserve">about </w:t>
      </w:r>
      <w:r w:rsidR="002E53C4" w:rsidRPr="000C1BF2">
        <w:rPr>
          <w:rStyle w:val="SingleTxtGChar"/>
        </w:rPr>
        <w:t xml:space="preserve">the </w:t>
      </w:r>
      <w:r w:rsidRPr="000C1BF2">
        <w:rPr>
          <w:rStyle w:val="SingleTxtGChar"/>
        </w:rPr>
        <w:t>discriminatory treatment she suffered</w:t>
      </w:r>
      <w:r w:rsidR="002E53C4" w:rsidRPr="000C1BF2">
        <w:rPr>
          <w:rStyle w:val="SingleTxtGChar"/>
        </w:rPr>
        <w:t xml:space="preserve"> on other occasions,</w:t>
      </w:r>
      <w:r w:rsidRPr="000C1BF2">
        <w:rPr>
          <w:rStyle w:val="SingleTxtGChar"/>
        </w:rPr>
        <w:t xml:space="preserve"> </w:t>
      </w:r>
      <w:r w:rsidR="002E53C4" w:rsidRPr="000C1BF2">
        <w:rPr>
          <w:rStyle w:val="SingleTxtGChar"/>
        </w:rPr>
        <w:t xml:space="preserve">when </w:t>
      </w:r>
      <w:r w:rsidRPr="000C1BF2">
        <w:rPr>
          <w:rStyle w:val="SingleTxtGChar"/>
        </w:rPr>
        <w:t>applying for job</w:t>
      </w:r>
      <w:r w:rsidR="002E53C4" w:rsidRPr="000C1BF2">
        <w:rPr>
          <w:rStyle w:val="SingleTxtGChar"/>
        </w:rPr>
        <w:t>s</w:t>
      </w:r>
      <w:r w:rsidRPr="000C1BF2">
        <w:rPr>
          <w:rStyle w:val="SingleTxtGChar"/>
        </w:rPr>
        <w:t xml:space="preserve"> at other schools in her region. She argues that the State party does not differentiate those facts </w:t>
      </w:r>
      <w:r w:rsidR="002E53C4" w:rsidRPr="000C1BF2">
        <w:rPr>
          <w:rStyle w:val="SingleTxtGChar"/>
        </w:rPr>
        <w:t>and refers to some of the</w:t>
      </w:r>
      <w:r w:rsidRPr="000C1BF2">
        <w:rPr>
          <w:rStyle w:val="SingleTxtGChar"/>
        </w:rPr>
        <w:t xml:space="preserve"> conclusions of those bodies </w:t>
      </w:r>
      <w:r w:rsidR="00F579C4">
        <w:rPr>
          <w:rStyle w:val="SingleTxtGChar"/>
        </w:rPr>
        <w:t>that</w:t>
      </w:r>
      <w:r w:rsidR="00F579C4" w:rsidRPr="000C1BF2">
        <w:rPr>
          <w:rStyle w:val="SingleTxtGChar"/>
        </w:rPr>
        <w:t xml:space="preserve"> </w:t>
      </w:r>
      <w:r w:rsidRPr="000C1BF2">
        <w:rPr>
          <w:rStyle w:val="SingleTxtGChar"/>
        </w:rPr>
        <w:t xml:space="preserve">are not relevant to </w:t>
      </w:r>
      <w:r w:rsidR="002E53C4" w:rsidRPr="000C1BF2">
        <w:rPr>
          <w:rStyle w:val="SingleTxtGChar"/>
        </w:rPr>
        <w:t>her complaint to the Committee</w:t>
      </w:r>
      <w:r w:rsidRPr="000C1BF2">
        <w:rPr>
          <w:rStyle w:val="SingleTxtGChar"/>
        </w:rPr>
        <w:t>. The petitioner reiterates that</w:t>
      </w:r>
      <w:r w:rsidR="00F579C4">
        <w:rPr>
          <w:rStyle w:val="SingleTxtGChar"/>
        </w:rPr>
        <w:t>,</w:t>
      </w:r>
      <w:r w:rsidRPr="000C1BF2">
        <w:rPr>
          <w:rStyle w:val="SingleTxtGChar"/>
        </w:rPr>
        <w:t xml:space="preserve"> in the present case</w:t>
      </w:r>
      <w:r w:rsidR="002E53C4" w:rsidRPr="000C1BF2">
        <w:rPr>
          <w:rStyle w:val="SingleTxtGChar"/>
        </w:rPr>
        <w:t>,</w:t>
      </w:r>
      <w:r w:rsidRPr="000C1BF2">
        <w:rPr>
          <w:rStyle w:val="SingleTxtGChar"/>
        </w:rPr>
        <w:t xml:space="preserve"> she claims to </w:t>
      </w:r>
      <w:r w:rsidR="002E53C4" w:rsidRPr="000C1BF2">
        <w:rPr>
          <w:rStyle w:val="SingleTxtGChar"/>
        </w:rPr>
        <w:t>have suffered</w:t>
      </w:r>
      <w:r w:rsidRPr="000C1BF2">
        <w:rPr>
          <w:rStyle w:val="SingleTxtGChar"/>
        </w:rPr>
        <w:t xml:space="preserve"> racial discrimination </w:t>
      </w:r>
      <w:r w:rsidR="002E53C4" w:rsidRPr="000C1BF2">
        <w:rPr>
          <w:rStyle w:val="SingleTxtGChar"/>
        </w:rPr>
        <w:t>in the context of</w:t>
      </w:r>
      <w:r w:rsidRPr="000C1BF2">
        <w:rPr>
          <w:rStyle w:val="SingleTxtGChar"/>
        </w:rPr>
        <w:t xml:space="preserve"> her application </w:t>
      </w:r>
      <w:r w:rsidR="002E53C4" w:rsidRPr="000C1BF2">
        <w:rPr>
          <w:rStyle w:val="SingleTxtGChar"/>
        </w:rPr>
        <w:t xml:space="preserve">on </w:t>
      </w:r>
      <w:r w:rsidRPr="000C1BF2">
        <w:rPr>
          <w:rStyle w:val="SingleTxtGChar"/>
        </w:rPr>
        <w:t xml:space="preserve">18 June 2009 </w:t>
      </w:r>
      <w:r w:rsidR="002E53C4" w:rsidRPr="000C1BF2">
        <w:rPr>
          <w:rStyle w:val="SingleTxtGChar"/>
        </w:rPr>
        <w:t xml:space="preserve">to </w:t>
      </w:r>
      <w:r w:rsidRPr="000C1BF2">
        <w:rPr>
          <w:rStyle w:val="SingleTxtGChar"/>
        </w:rPr>
        <w:t xml:space="preserve">the </w:t>
      </w:r>
      <w:r w:rsidR="00F579C4" w:rsidRPr="000C1BF2">
        <w:rPr>
          <w:rStyle w:val="SingleTxtGChar"/>
        </w:rPr>
        <w:t xml:space="preserve">I.B. Zoch </w:t>
      </w:r>
      <w:r w:rsidRPr="000C1BF2">
        <w:rPr>
          <w:rStyle w:val="SingleTxtGChar"/>
        </w:rPr>
        <w:t xml:space="preserve">Elementary School in Revúca for the </w:t>
      </w:r>
      <w:r w:rsidR="002E53C4" w:rsidRPr="000C1BF2">
        <w:rPr>
          <w:rStyle w:val="SingleTxtGChar"/>
        </w:rPr>
        <w:t xml:space="preserve">position </w:t>
      </w:r>
      <w:r w:rsidRPr="000C1BF2">
        <w:rPr>
          <w:rStyle w:val="SingleTxtGChar"/>
        </w:rPr>
        <w:t>of history</w:t>
      </w:r>
      <w:r w:rsidR="009D1325">
        <w:rPr>
          <w:rStyle w:val="SingleTxtGChar"/>
        </w:rPr>
        <w:t xml:space="preserve"> and education</w:t>
      </w:r>
      <w:r w:rsidR="009D1325" w:rsidRPr="000C1BF2">
        <w:rPr>
          <w:rStyle w:val="SingleTxtGChar"/>
        </w:rPr>
        <w:t xml:space="preserve"> </w:t>
      </w:r>
      <w:r w:rsidRPr="000C1BF2">
        <w:rPr>
          <w:rStyle w:val="SingleTxtGChar"/>
        </w:rPr>
        <w:t xml:space="preserve">teacher. </w:t>
      </w:r>
      <w:r w:rsidR="002E53C4" w:rsidRPr="000C1BF2">
        <w:rPr>
          <w:rStyle w:val="SingleTxtGChar"/>
        </w:rPr>
        <w:t>She reiterates that</w:t>
      </w:r>
      <w:r w:rsidR="00D76CD8">
        <w:rPr>
          <w:rStyle w:val="SingleTxtGChar"/>
        </w:rPr>
        <w:t xml:space="preserve"> she had stated that</w:t>
      </w:r>
      <w:r w:rsidR="00F579C4">
        <w:rPr>
          <w:rStyle w:val="SingleTxtGChar"/>
        </w:rPr>
        <w:t>,</w:t>
      </w:r>
      <w:r w:rsidR="002E53C4" w:rsidRPr="000C1BF2">
        <w:rPr>
          <w:rStyle w:val="SingleTxtGChar"/>
        </w:rPr>
        <w:t xml:space="preserve"> if </w:t>
      </w:r>
      <w:r w:rsidRPr="000C1BF2">
        <w:rPr>
          <w:rStyle w:val="SingleTxtGChar"/>
        </w:rPr>
        <w:t xml:space="preserve">such </w:t>
      </w:r>
      <w:r w:rsidR="00D76CD8">
        <w:rPr>
          <w:rStyle w:val="SingleTxtGChar"/>
        </w:rPr>
        <w:t xml:space="preserve">a </w:t>
      </w:r>
      <w:r w:rsidRPr="000C1BF2">
        <w:rPr>
          <w:rStyle w:val="SingleTxtGChar"/>
        </w:rPr>
        <w:t xml:space="preserve">position </w:t>
      </w:r>
      <w:r w:rsidR="00D76CD8">
        <w:rPr>
          <w:rStyle w:val="SingleTxtGChar"/>
        </w:rPr>
        <w:t>were</w:t>
      </w:r>
      <w:r w:rsidR="00D76CD8" w:rsidRPr="000C1BF2">
        <w:rPr>
          <w:rStyle w:val="SingleTxtGChar"/>
        </w:rPr>
        <w:t xml:space="preserve"> </w:t>
      </w:r>
      <w:r w:rsidRPr="000C1BF2">
        <w:rPr>
          <w:rStyle w:val="SingleTxtGChar"/>
        </w:rPr>
        <w:t>not available</w:t>
      </w:r>
      <w:r w:rsidR="002E53C4" w:rsidRPr="000C1BF2">
        <w:rPr>
          <w:rStyle w:val="SingleTxtGChar"/>
        </w:rPr>
        <w:t>,</w:t>
      </w:r>
      <w:r w:rsidRPr="000C1BF2">
        <w:rPr>
          <w:rStyle w:val="SingleTxtGChar"/>
        </w:rPr>
        <w:t xml:space="preserve"> </w:t>
      </w:r>
      <w:r w:rsidR="00D76CD8">
        <w:rPr>
          <w:rStyle w:val="SingleTxtGChar"/>
        </w:rPr>
        <w:t>would be</w:t>
      </w:r>
      <w:r w:rsidR="00D76CD8" w:rsidRPr="000C1BF2">
        <w:rPr>
          <w:rStyle w:val="SingleTxtGChar"/>
        </w:rPr>
        <w:t xml:space="preserve"> </w:t>
      </w:r>
      <w:r w:rsidRPr="000C1BF2">
        <w:rPr>
          <w:rStyle w:val="SingleTxtGChar"/>
        </w:rPr>
        <w:t>was willing to accept a position of teaching assistant.</w:t>
      </w:r>
      <w:r w:rsidRPr="002E6A52">
        <w:rPr>
          <w:lang w:eastAsia="cs-CZ"/>
        </w:rPr>
        <w:t xml:space="preserve"> </w:t>
      </w:r>
    </w:p>
    <w:p w14:paraId="55AE1B78" w14:textId="77777777" w:rsidR="0027200F" w:rsidRPr="002E6A52" w:rsidRDefault="0027200F" w:rsidP="004516DE">
      <w:pPr>
        <w:suppressAutoHyphens w:val="0"/>
        <w:spacing w:after="120" w:line="240" w:lineRule="auto"/>
        <w:ind w:left="1134" w:right="1134"/>
        <w:jc w:val="both"/>
        <w:rPr>
          <w:lang w:eastAsia="cs-CZ"/>
        </w:rPr>
      </w:pPr>
      <w:r w:rsidRPr="002E6A52">
        <w:rPr>
          <w:lang w:eastAsia="cs-CZ"/>
        </w:rPr>
        <w:t>5.6</w:t>
      </w:r>
      <w:r w:rsidRPr="002E6A52">
        <w:rPr>
          <w:lang w:eastAsia="cs-CZ"/>
        </w:rPr>
        <w:tab/>
      </w:r>
      <w:r w:rsidRPr="000C1BF2">
        <w:rPr>
          <w:rStyle w:val="SingleTxtGChar"/>
        </w:rPr>
        <w:t xml:space="preserve">The petitioner also insists that the State party violated its positive obligation to protect her from discrimination through other measures, including ensuring that legislative provisions concerning discrimination and equality </w:t>
      </w:r>
      <w:r w:rsidR="002E53C4" w:rsidRPr="000C1BF2">
        <w:rPr>
          <w:rStyle w:val="SingleTxtGChar"/>
        </w:rPr>
        <w:t xml:space="preserve">be </w:t>
      </w:r>
      <w:r w:rsidRPr="000C1BF2">
        <w:rPr>
          <w:rStyle w:val="SingleTxtGChar"/>
        </w:rPr>
        <w:t xml:space="preserve">implemented </w:t>
      </w:r>
      <w:r w:rsidR="002E53C4" w:rsidRPr="000C1BF2">
        <w:rPr>
          <w:rStyle w:val="SingleTxtGChar"/>
        </w:rPr>
        <w:t xml:space="preserve">effectively, </w:t>
      </w:r>
      <w:r w:rsidRPr="000C1BF2">
        <w:rPr>
          <w:rStyle w:val="SingleTxtGChar"/>
        </w:rPr>
        <w:t xml:space="preserve">in </w:t>
      </w:r>
      <w:r w:rsidR="002E53C4" w:rsidRPr="000C1BF2">
        <w:rPr>
          <w:rStyle w:val="SingleTxtGChar"/>
        </w:rPr>
        <w:t xml:space="preserve">compliance </w:t>
      </w:r>
      <w:r w:rsidRPr="000C1BF2">
        <w:rPr>
          <w:rStyle w:val="SingleTxtGChar"/>
        </w:rPr>
        <w:t>with its international human rights obligations.</w:t>
      </w:r>
      <w:r w:rsidRPr="002E6A52">
        <w:rPr>
          <w:lang w:eastAsia="cs-CZ"/>
        </w:rPr>
        <w:t xml:space="preserve"> </w:t>
      </w:r>
    </w:p>
    <w:p w14:paraId="1360A5DC" w14:textId="77777777" w:rsidR="0027200F" w:rsidRPr="00867A1A" w:rsidRDefault="0027200F" w:rsidP="00F579C4">
      <w:pPr>
        <w:suppressAutoHyphens w:val="0"/>
        <w:spacing w:after="120" w:line="240" w:lineRule="auto"/>
        <w:ind w:left="1134" w:right="1134"/>
        <w:jc w:val="both"/>
        <w:rPr>
          <w:lang w:eastAsia="cs-CZ"/>
        </w:rPr>
      </w:pPr>
      <w:r w:rsidRPr="002E6A52">
        <w:rPr>
          <w:lang w:eastAsia="cs-CZ"/>
        </w:rPr>
        <w:t>5</w:t>
      </w:r>
      <w:r w:rsidRPr="00867A1A">
        <w:rPr>
          <w:lang w:eastAsia="cs-CZ"/>
        </w:rPr>
        <w:t>.7</w:t>
      </w:r>
      <w:r w:rsidRPr="00867A1A">
        <w:rPr>
          <w:lang w:eastAsia="cs-CZ"/>
        </w:rPr>
        <w:tab/>
      </w:r>
      <w:r w:rsidR="002E53C4" w:rsidRPr="000C1BF2">
        <w:rPr>
          <w:rStyle w:val="SingleTxtGChar"/>
        </w:rPr>
        <w:t>T</w:t>
      </w:r>
      <w:r w:rsidRPr="000C1BF2">
        <w:rPr>
          <w:rStyle w:val="SingleTxtGChar"/>
        </w:rPr>
        <w:t>he petitioner</w:t>
      </w:r>
      <w:r w:rsidR="002E53C4" w:rsidRPr="000C1BF2">
        <w:rPr>
          <w:rStyle w:val="SingleTxtGChar"/>
        </w:rPr>
        <w:t xml:space="preserve"> also</w:t>
      </w:r>
      <w:r w:rsidRPr="000C1BF2">
        <w:rPr>
          <w:rStyle w:val="SingleTxtGChar"/>
        </w:rPr>
        <w:t xml:space="preserve"> refers to her original arguments </w:t>
      </w:r>
      <w:r w:rsidR="002E53C4" w:rsidRPr="000C1BF2">
        <w:rPr>
          <w:rStyle w:val="SingleTxtGChar"/>
        </w:rPr>
        <w:t xml:space="preserve">with </w:t>
      </w:r>
      <w:r w:rsidRPr="000C1BF2">
        <w:rPr>
          <w:rStyle w:val="SingleTxtGChar"/>
        </w:rPr>
        <w:t xml:space="preserve">regard to the conclusions of the Equality Centre concerning the merits of </w:t>
      </w:r>
      <w:r w:rsidR="002E53C4" w:rsidRPr="000C1BF2">
        <w:rPr>
          <w:rStyle w:val="SingleTxtGChar"/>
        </w:rPr>
        <w:t xml:space="preserve">her </w:t>
      </w:r>
      <w:r w:rsidRPr="000C1BF2">
        <w:rPr>
          <w:rStyle w:val="SingleTxtGChar"/>
        </w:rPr>
        <w:t>case.</w:t>
      </w:r>
      <w:r w:rsidR="00A4702B" w:rsidDel="00A4702B">
        <w:rPr>
          <w:rStyle w:val="FootnoteReference"/>
        </w:rPr>
        <w:t xml:space="preserve"> </w:t>
      </w:r>
      <w:r w:rsidRPr="000C1BF2">
        <w:rPr>
          <w:rStyle w:val="SingleTxtGChar"/>
        </w:rPr>
        <w:t xml:space="preserve"> The petitioner </w:t>
      </w:r>
      <w:r w:rsidR="002E53C4" w:rsidRPr="000C1BF2">
        <w:rPr>
          <w:rStyle w:val="SingleTxtGChar"/>
        </w:rPr>
        <w:t>contests</w:t>
      </w:r>
      <w:r w:rsidRPr="000C1BF2">
        <w:rPr>
          <w:rStyle w:val="SingleTxtGChar"/>
        </w:rPr>
        <w:t xml:space="preserve"> the </w:t>
      </w:r>
      <w:r w:rsidR="002E53C4" w:rsidRPr="000C1BF2">
        <w:rPr>
          <w:rStyle w:val="SingleTxtGChar"/>
        </w:rPr>
        <w:t>failure</w:t>
      </w:r>
      <w:r w:rsidRPr="000C1BF2">
        <w:rPr>
          <w:rStyle w:val="SingleTxtGChar"/>
        </w:rPr>
        <w:t xml:space="preserve"> by the State party to provide free and qualified legal aid for the victims of racial discrimination. She argues that</w:t>
      </w:r>
      <w:r w:rsidR="00D76CD8">
        <w:rPr>
          <w:rStyle w:val="SingleTxtGChar"/>
        </w:rPr>
        <w:t>,</w:t>
      </w:r>
      <w:r w:rsidRPr="000C1BF2">
        <w:rPr>
          <w:rStyle w:val="SingleTxtGChar"/>
        </w:rPr>
        <w:t xml:space="preserve"> </w:t>
      </w:r>
      <w:r w:rsidR="00F579C4">
        <w:rPr>
          <w:rStyle w:val="SingleTxtGChar"/>
        </w:rPr>
        <w:t>between</w:t>
      </w:r>
      <w:r w:rsidR="00F579C4" w:rsidRPr="000C1BF2">
        <w:rPr>
          <w:rStyle w:val="SingleTxtGChar"/>
        </w:rPr>
        <w:t xml:space="preserve"> </w:t>
      </w:r>
      <w:r w:rsidRPr="000C1BF2">
        <w:rPr>
          <w:rStyle w:val="SingleTxtGChar"/>
        </w:rPr>
        <w:t xml:space="preserve">2010 </w:t>
      </w:r>
      <w:r w:rsidR="00F579C4">
        <w:rPr>
          <w:rStyle w:val="SingleTxtGChar"/>
        </w:rPr>
        <w:t>and</w:t>
      </w:r>
      <w:r w:rsidRPr="000C1BF2">
        <w:rPr>
          <w:rStyle w:val="SingleTxtGChar"/>
        </w:rPr>
        <w:t xml:space="preserve"> 2012, the Equality Centre provided legal representation only in one case of racial discrimination, which she considers alarming. </w:t>
      </w:r>
      <w:r w:rsidR="002E53C4" w:rsidRPr="000C1BF2">
        <w:rPr>
          <w:rStyle w:val="SingleTxtGChar"/>
        </w:rPr>
        <w:t xml:space="preserve">She refers to reports of specialized </w:t>
      </w:r>
      <w:r w:rsidR="00F579C4">
        <w:rPr>
          <w:rStyle w:val="SingleTxtGChar"/>
        </w:rPr>
        <w:t>non-governmental organization</w:t>
      </w:r>
      <w:r w:rsidR="00D76CD8">
        <w:rPr>
          <w:rStyle w:val="SingleTxtGChar"/>
        </w:rPr>
        <w:t>s</w:t>
      </w:r>
      <w:r w:rsidR="00F579C4" w:rsidRPr="000C1BF2">
        <w:rPr>
          <w:rStyle w:val="SingleTxtGChar"/>
        </w:rPr>
        <w:t xml:space="preserve"> </w:t>
      </w:r>
      <w:r w:rsidR="002E53C4" w:rsidRPr="000C1BF2">
        <w:rPr>
          <w:rStyle w:val="SingleTxtGChar"/>
        </w:rPr>
        <w:t>that criticize</w:t>
      </w:r>
      <w:r w:rsidRPr="000C1BF2">
        <w:rPr>
          <w:rStyle w:val="SingleTxtGChar"/>
        </w:rPr>
        <w:t xml:space="preserve"> the passivity and lack of competence </w:t>
      </w:r>
      <w:r w:rsidR="002E53C4" w:rsidRPr="000C1BF2">
        <w:rPr>
          <w:rStyle w:val="SingleTxtGChar"/>
        </w:rPr>
        <w:t xml:space="preserve">of </w:t>
      </w:r>
      <w:r w:rsidRPr="000C1BF2">
        <w:rPr>
          <w:rStyle w:val="SingleTxtGChar"/>
        </w:rPr>
        <w:t>the State party to identify cases of discrimination</w:t>
      </w:r>
      <w:r w:rsidR="00A7312B">
        <w:rPr>
          <w:rStyle w:val="SingleTxtGChar"/>
        </w:rPr>
        <w:t>.</w:t>
      </w:r>
      <w:r w:rsidRPr="006469B8">
        <w:rPr>
          <w:rStyle w:val="FootnoteReference"/>
        </w:rPr>
        <w:footnoteReference w:id="30"/>
      </w:r>
      <w:r w:rsidRPr="000C1BF2">
        <w:rPr>
          <w:rStyle w:val="SingleTxtGChar"/>
        </w:rPr>
        <w:t xml:space="preserve"> The petitioner argues that the conclusion of the </w:t>
      </w:r>
      <w:r w:rsidR="004516DE" w:rsidRPr="000C1BF2">
        <w:rPr>
          <w:rStyle w:val="SingleTxtGChar"/>
        </w:rPr>
        <w:t xml:space="preserve">Equality </w:t>
      </w:r>
      <w:r w:rsidRPr="000C1BF2">
        <w:rPr>
          <w:rStyle w:val="SingleTxtGChar"/>
        </w:rPr>
        <w:t xml:space="preserve">Centre in </w:t>
      </w:r>
      <w:r w:rsidR="00C86699" w:rsidRPr="000C1BF2">
        <w:rPr>
          <w:rStyle w:val="SingleTxtGChar"/>
        </w:rPr>
        <w:t>her</w:t>
      </w:r>
      <w:r w:rsidRPr="000C1BF2">
        <w:rPr>
          <w:rStyle w:val="SingleTxtGChar"/>
        </w:rPr>
        <w:t xml:space="preserve"> case should be interpreted in this context.</w:t>
      </w:r>
      <w:r w:rsidR="0000279B">
        <w:rPr>
          <w:lang w:eastAsia="cs-CZ"/>
        </w:rPr>
        <w:t xml:space="preserve"> </w:t>
      </w:r>
    </w:p>
    <w:p w14:paraId="7DC7A589" w14:textId="77777777" w:rsidR="0027200F" w:rsidRPr="00C86699" w:rsidRDefault="0027200F" w:rsidP="00C30A18">
      <w:pPr>
        <w:pStyle w:val="SingleTxtG"/>
        <w:rPr>
          <w:lang w:eastAsia="cs-CZ"/>
        </w:rPr>
      </w:pPr>
      <w:r w:rsidRPr="00867A1A">
        <w:rPr>
          <w:lang w:eastAsia="cs-CZ"/>
        </w:rPr>
        <w:t>5.8</w:t>
      </w:r>
      <w:r w:rsidRPr="00867A1A">
        <w:rPr>
          <w:lang w:eastAsia="cs-CZ"/>
        </w:rPr>
        <w:tab/>
      </w:r>
      <w:r w:rsidRPr="000C1BF2">
        <w:rPr>
          <w:rStyle w:val="SingleTxtGChar"/>
        </w:rPr>
        <w:t>The petitioner reiterates that the described violation and</w:t>
      </w:r>
      <w:r w:rsidR="00F579C4">
        <w:rPr>
          <w:rStyle w:val="SingleTxtGChar"/>
        </w:rPr>
        <w:t xml:space="preserve"> </w:t>
      </w:r>
      <w:r w:rsidRPr="000C1BF2">
        <w:rPr>
          <w:rStyle w:val="SingleTxtGChar"/>
        </w:rPr>
        <w:t xml:space="preserve">the necessity to identify and effectively sanction racial discrimination in access to employment is important not only in order to provide the petitioner with adequate remedies, but also as </w:t>
      </w:r>
      <w:r w:rsidR="00C86699" w:rsidRPr="000C1BF2">
        <w:rPr>
          <w:rStyle w:val="SingleTxtGChar"/>
        </w:rPr>
        <w:t xml:space="preserve">a </w:t>
      </w:r>
      <w:r w:rsidRPr="000C1BF2">
        <w:rPr>
          <w:rStyle w:val="SingleTxtGChar"/>
        </w:rPr>
        <w:t xml:space="preserve">preventive measure to ensure that such acts of discrimination do not occur in the future. </w:t>
      </w:r>
      <w:r w:rsidR="00C86699" w:rsidRPr="000C1BF2">
        <w:rPr>
          <w:rStyle w:val="SingleTxtGChar"/>
        </w:rPr>
        <w:t>T</w:t>
      </w:r>
      <w:r w:rsidRPr="000C1BF2">
        <w:rPr>
          <w:rStyle w:val="SingleTxtGChar"/>
        </w:rPr>
        <w:t xml:space="preserve">he petitioner </w:t>
      </w:r>
      <w:r w:rsidR="00C86699" w:rsidRPr="000C1BF2">
        <w:rPr>
          <w:rStyle w:val="SingleTxtGChar"/>
        </w:rPr>
        <w:t xml:space="preserve">further reiterates that </w:t>
      </w:r>
      <w:r w:rsidRPr="000C1BF2">
        <w:rPr>
          <w:rStyle w:val="SingleTxtGChar"/>
        </w:rPr>
        <w:t xml:space="preserve">her case should be </w:t>
      </w:r>
      <w:r w:rsidR="00C86699" w:rsidRPr="000C1BF2">
        <w:rPr>
          <w:rStyle w:val="SingleTxtGChar"/>
        </w:rPr>
        <w:t xml:space="preserve">addressed </w:t>
      </w:r>
      <w:r w:rsidRPr="000C1BF2">
        <w:rPr>
          <w:rStyle w:val="SingleTxtGChar"/>
        </w:rPr>
        <w:t xml:space="preserve">in a broader context of negative racial stereotypes and discriminatory practices against </w:t>
      </w:r>
      <w:r w:rsidR="00C86699" w:rsidRPr="000C1BF2">
        <w:rPr>
          <w:rStyle w:val="SingleTxtGChar"/>
        </w:rPr>
        <w:t xml:space="preserve">the </w:t>
      </w:r>
      <w:r w:rsidRPr="000C1BF2">
        <w:rPr>
          <w:rStyle w:val="SingleTxtGChar"/>
        </w:rPr>
        <w:t xml:space="preserve">Roma minority in Slovakia. In this regard, </w:t>
      </w:r>
      <w:r w:rsidR="00C86699" w:rsidRPr="000C1BF2">
        <w:rPr>
          <w:rStyle w:val="SingleTxtGChar"/>
        </w:rPr>
        <w:t>she</w:t>
      </w:r>
      <w:r w:rsidRPr="000C1BF2">
        <w:rPr>
          <w:rStyle w:val="SingleTxtGChar"/>
        </w:rPr>
        <w:t xml:space="preserve"> refers to the recent results </w:t>
      </w:r>
      <w:r w:rsidR="00C86699" w:rsidRPr="000C1BF2">
        <w:rPr>
          <w:rStyle w:val="SingleTxtGChar"/>
        </w:rPr>
        <w:t xml:space="preserve">of </w:t>
      </w:r>
      <w:r w:rsidRPr="000C1BF2">
        <w:rPr>
          <w:rStyle w:val="SingleTxtGChar"/>
        </w:rPr>
        <w:t>the E</w:t>
      </w:r>
      <w:r w:rsidR="00F579C4">
        <w:rPr>
          <w:rStyle w:val="SingleTxtGChar"/>
        </w:rPr>
        <w:t xml:space="preserve">uropean </w:t>
      </w:r>
      <w:r w:rsidRPr="000C1BF2">
        <w:rPr>
          <w:rStyle w:val="SingleTxtGChar"/>
        </w:rPr>
        <w:t>U</w:t>
      </w:r>
      <w:r w:rsidR="00F579C4">
        <w:rPr>
          <w:rStyle w:val="SingleTxtGChar"/>
        </w:rPr>
        <w:t>nion Agency for</w:t>
      </w:r>
      <w:r w:rsidRPr="000C1BF2">
        <w:rPr>
          <w:rStyle w:val="SingleTxtGChar"/>
        </w:rPr>
        <w:t xml:space="preserve"> Fundamental Rights Roma survey</w:t>
      </w:r>
      <w:r w:rsidR="00A7312B">
        <w:rPr>
          <w:rStyle w:val="SingleTxtGChar"/>
        </w:rPr>
        <w:t>,</w:t>
      </w:r>
      <w:r w:rsidRPr="006469B8">
        <w:rPr>
          <w:rStyle w:val="FootnoteReference"/>
        </w:rPr>
        <w:footnoteReference w:id="31"/>
      </w:r>
      <w:r w:rsidRPr="000C1BF2">
        <w:rPr>
          <w:rStyle w:val="SingleTxtGChar"/>
        </w:rPr>
        <w:t xml:space="preserve"> </w:t>
      </w:r>
      <w:r w:rsidR="00C86699" w:rsidRPr="000C1BF2">
        <w:rPr>
          <w:rStyle w:val="SingleTxtGChar"/>
        </w:rPr>
        <w:t xml:space="preserve">according </w:t>
      </w:r>
      <w:r w:rsidRPr="000C1BF2">
        <w:rPr>
          <w:rStyle w:val="SingleTxtGChar"/>
        </w:rPr>
        <w:t xml:space="preserve">to </w:t>
      </w:r>
      <w:r w:rsidR="00C86699" w:rsidRPr="000C1BF2">
        <w:rPr>
          <w:rStyle w:val="SingleTxtGChar"/>
        </w:rPr>
        <w:t>which</w:t>
      </w:r>
      <w:r w:rsidR="00D76CD8">
        <w:rPr>
          <w:rStyle w:val="SingleTxtGChar"/>
        </w:rPr>
        <w:t>,</w:t>
      </w:r>
      <w:r w:rsidRPr="000C1BF2">
        <w:rPr>
          <w:rStyle w:val="SingleTxtGChar"/>
        </w:rPr>
        <w:t xml:space="preserve"> in Slovakia, 19 per cent of</w:t>
      </w:r>
      <w:r w:rsidR="00C86699" w:rsidRPr="000C1BF2">
        <w:rPr>
          <w:rStyle w:val="SingleTxtGChar"/>
        </w:rPr>
        <w:t xml:space="preserve"> </w:t>
      </w:r>
      <w:r w:rsidRPr="000C1BF2">
        <w:rPr>
          <w:rStyle w:val="SingleTxtGChar"/>
        </w:rPr>
        <w:t>Rom</w:t>
      </w:r>
      <w:r w:rsidR="00C86699" w:rsidRPr="000C1BF2">
        <w:rPr>
          <w:rStyle w:val="SingleTxtGChar"/>
        </w:rPr>
        <w:t>a</w:t>
      </w:r>
      <w:r w:rsidRPr="000C1BF2">
        <w:rPr>
          <w:rStyle w:val="SingleTxtGChar"/>
        </w:rPr>
        <w:t xml:space="preserve"> women </w:t>
      </w:r>
      <w:r w:rsidR="00F579C4" w:rsidRPr="000C1BF2">
        <w:rPr>
          <w:rStyle w:val="SingleTxtGChar"/>
        </w:rPr>
        <w:t xml:space="preserve">interviewed </w:t>
      </w:r>
      <w:r w:rsidRPr="000C1BF2">
        <w:rPr>
          <w:rStyle w:val="SingleTxtGChar"/>
        </w:rPr>
        <w:t xml:space="preserve">and 21 per cent of Roma men </w:t>
      </w:r>
      <w:r w:rsidR="00F579C4" w:rsidRPr="000C1BF2">
        <w:rPr>
          <w:rStyle w:val="SingleTxtGChar"/>
        </w:rPr>
        <w:t xml:space="preserve">interviewed </w:t>
      </w:r>
      <w:r w:rsidRPr="000C1BF2">
        <w:rPr>
          <w:rStyle w:val="SingleTxtGChar"/>
        </w:rPr>
        <w:t xml:space="preserve">aged 16 and above who had looked for work during the </w:t>
      </w:r>
      <w:r w:rsidR="00D76CD8">
        <w:rPr>
          <w:rStyle w:val="SingleTxtGChar"/>
        </w:rPr>
        <w:t>p</w:t>
      </w:r>
      <w:r w:rsidRPr="000C1BF2">
        <w:rPr>
          <w:rStyle w:val="SingleTxtGChar"/>
        </w:rPr>
        <w:t xml:space="preserve">ast five years felt discriminated against because of their ethnicity. </w:t>
      </w:r>
      <w:r w:rsidR="00C86699" w:rsidRPr="000C1BF2">
        <w:rPr>
          <w:rStyle w:val="SingleTxtGChar"/>
        </w:rPr>
        <w:t xml:space="preserve">The petitioner also refers to </w:t>
      </w:r>
      <w:r w:rsidRPr="000C1BF2">
        <w:rPr>
          <w:rStyle w:val="SingleTxtGChar"/>
        </w:rPr>
        <w:t xml:space="preserve">the </w:t>
      </w:r>
      <w:r w:rsidR="00F579C4">
        <w:rPr>
          <w:rStyle w:val="SingleTxtGChar"/>
        </w:rPr>
        <w:t>United Nations Development Programme r</w:t>
      </w:r>
      <w:r w:rsidRPr="000C1BF2">
        <w:rPr>
          <w:rStyle w:val="SingleTxtGChar"/>
        </w:rPr>
        <w:t xml:space="preserve">eport on the living conditions of Roma </w:t>
      </w:r>
      <w:r w:rsidR="00D76CD8">
        <w:rPr>
          <w:rStyle w:val="SingleTxtGChar"/>
        </w:rPr>
        <w:t>h</w:t>
      </w:r>
      <w:r w:rsidRPr="000C1BF2">
        <w:rPr>
          <w:rStyle w:val="SingleTxtGChar"/>
        </w:rPr>
        <w:t>ouseholds in Slovakia</w:t>
      </w:r>
      <w:r w:rsidR="00F579C4">
        <w:rPr>
          <w:rStyle w:val="SingleTxtGChar"/>
        </w:rPr>
        <w:t>,</w:t>
      </w:r>
      <w:r w:rsidRPr="000C1BF2">
        <w:rPr>
          <w:rStyle w:val="SingleTxtGChar"/>
        </w:rPr>
        <w:t xml:space="preserve"> </w:t>
      </w:r>
      <w:r w:rsidR="00C86699" w:rsidRPr="000C1BF2">
        <w:rPr>
          <w:rStyle w:val="SingleTxtGChar"/>
        </w:rPr>
        <w:t>according to which</w:t>
      </w:r>
      <w:r w:rsidRPr="000C1BF2">
        <w:rPr>
          <w:rStyle w:val="SingleTxtGChar"/>
        </w:rPr>
        <w:t xml:space="preserve"> Roma</w:t>
      </w:r>
      <w:r w:rsidR="00C86699" w:rsidRPr="000C1BF2">
        <w:rPr>
          <w:rStyle w:val="SingleTxtGChar"/>
        </w:rPr>
        <w:t xml:space="preserve"> people are </w:t>
      </w:r>
      <w:r w:rsidR="00F579C4">
        <w:rPr>
          <w:rStyle w:val="SingleTxtGChar"/>
        </w:rPr>
        <w:t>largely</w:t>
      </w:r>
      <w:r w:rsidR="00F579C4" w:rsidRPr="000C1BF2">
        <w:rPr>
          <w:rStyle w:val="SingleTxtGChar"/>
        </w:rPr>
        <w:t xml:space="preserve"> </w:t>
      </w:r>
      <w:r w:rsidR="00C86699" w:rsidRPr="000C1BF2">
        <w:rPr>
          <w:rStyle w:val="SingleTxtGChar"/>
        </w:rPr>
        <w:t>excluded</w:t>
      </w:r>
      <w:r w:rsidRPr="000C1BF2">
        <w:rPr>
          <w:rStyle w:val="SingleTxtGChar"/>
        </w:rPr>
        <w:t xml:space="preserve"> from the labo</w:t>
      </w:r>
      <w:r w:rsidR="00C86699" w:rsidRPr="000C1BF2">
        <w:rPr>
          <w:rStyle w:val="SingleTxtGChar"/>
        </w:rPr>
        <w:t>u</w:t>
      </w:r>
      <w:r w:rsidRPr="000C1BF2">
        <w:rPr>
          <w:rStyle w:val="SingleTxtGChar"/>
        </w:rPr>
        <w:t>r market in Slovakia</w:t>
      </w:r>
      <w:r w:rsidR="00C86699" w:rsidRPr="000C1BF2">
        <w:rPr>
          <w:rStyle w:val="SingleTxtGChar"/>
        </w:rPr>
        <w:t>, including because of the</w:t>
      </w:r>
      <w:r w:rsidRPr="000C1BF2">
        <w:rPr>
          <w:rStyle w:val="SingleTxtGChar"/>
        </w:rPr>
        <w:t xml:space="preserve"> </w:t>
      </w:r>
      <w:r w:rsidR="00300C61">
        <w:rPr>
          <w:rStyle w:val="SingleTxtGChar"/>
        </w:rPr>
        <w:t>racial discrimination they face</w:t>
      </w:r>
      <w:r w:rsidR="00A7312B">
        <w:rPr>
          <w:rStyle w:val="SingleTxtGChar"/>
        </w:rPr>
        <w:t>.</w:t>
      </w:r>
      <w:r w:rsidRPr="006469B8">
        <w:rPr>
          <w:rStyle w:val="FootnoteReference"/>
        </w:rPr>
        <w:footnoteReference w:id="32"/>
      </w:r>
      <w:r w:rsidR="0000279B">
        <w:rPr>
          <w:rStyle w:val="SingleTxtGChar"/>
        </w:rPr>
        <w:t xml:space="preserve"> </w:t>
      </w:r>
      <w:r w:rsidRPr="000C1BF2">
        <w:rPr>
          <w:rStyle w:val="SingleTxtGChar"/>
        </w:rPr>
        <w:t xml:space="preserve">The petitioner also contends that, while the State party declares that it adopts and implements measures aimed at </w:t>
      </w:r>
      <w:r w:rsidR="00C86699" w:rsidRPr="000C1BF2">
        <w:rPr>
          <w:rStyle w:val="SingleTxtGChar"/>
        </w:rPr>
        <w:t>preventing</w:t>
      </w:r>
      <w:r w:rsidRPr="00C86699">
        <w:rPr>
          <w:lang w:eastAsia="cs-CZ"/>
        </w:rPr>
        <w:t xml:space="preserve"> discrimination, </w:t>
      </w:r>
      <w:r w:rsidRPr="0000279B">
        <w:t>the</w:t>
      </w:r>
      <w:r w:rsidRPr="00C86699">
        <w:rPr>
          <w:lang w:eastAsia="cs-CZ"/>
        </w:rPr>
        <w:t xml:space="preserve"> living conditions and </w:t>
      </w:r>
      <w:r w:rsidR="00C86699">
        <w:rPr>
          <w:lang w:eastAsia="cs-CZ"/>
        </w:rPr>
        <w:t xml:space="preserve">the </w:t>
      </w:r>
      <w:r w:rsidRPr="00C86699">
        <w:rPr>
          <w:lang w:eastAsia="cs-CZ"/>
        </w:rPr>
        <w:t>situation of Roma in Slovakia</w:t>
      </w:r>
      <w:r w:rsidR="00C86699">
        <w:rPr>
          <w:lang w:eastAsia="cs-CZ"/>
        </w:rPr>
        <w:t>, as well as</w:t>
      </w:r>
      <w:r w:rsidRPr="00C86699">
        <w:rPr>
          <w:lang w:eastAsia="cs-CZ"/>
        </w:rPr>
        <w:t xml:space="preserve"> the petitioner’s case</w:t>
      </w:r>
      <w:r w:rsidR="00C86699">
        <w:rPr>
          <w:lang w:eastAsia="cs-CZ"/>
        </w:rPr>
        <w:t>,</w:t>
      </w:r>
      <w:r w:rsidRPr="00C86699">
        <w:rPr>
          <w:lang w:eastAsia="cs-CZ"/>
        </w:rPr>
        <w:t xml:space="preserve"> illustrate the </w:t>
      </w:r>
      <w:r w:rsidR="00C86699">
        <w:rPr>
          <w:lang w:eastAsia="cs-CZ"/>
        </w:rPr>
        <w:t>contrary</w:t>
      </w:r>
      <w:r w:rsidRPr="00C86699">
        <w:rPr>
          <w:lang w:eastAsia="cs-CZ"/>
        </w:rPr>
        <w:t xml:space="preserve">. </w:t>
      </w:r>
    </w:p>
    <w:p w14:paraId="6F2676F2" w14:textId="77777777" w:rsidR="0027200F" w:rsidRPr="00836C54" w:rsidRDefault="0027200F" w:rsidP="00915BEC">
      <w:pPr>
        <w:pStyle w:val="SingleTxtG"/>
        <w:rPr>
          <w:lang w:eastAsia="cs-CZ"/>
        </w:rPr>
      </w:pPr>
      <w:r w:rsidRPr="00C86699">
        <w:rPr>
          <w:lang w:eastAsia="cs-CZ"/>
        </w:rPr>
        <w:t>5.9</w:t>
      </w:r>
      <w:r w:rsidRPr="00C86699">
        <w:rPr>
          <w:lang w:eastAsia="cs-CZ"/>
        </w:rPr>
        <w:tab/>
      </w:r>
      <w:r w:rsidR="00C86699">
        <w:rPr>
          <w:lang w:eastAsia="cs-CZ"/>
        </w:rPr>
        <w:t>T</w:t>
      </w:r>
      <w:r w:rsidRPr="00C86699">
        <w:rPr>
          <w:lang w:eastAsia="cs-CZ"/>
        </w:rPr>
        <w:t xml:space="preserve">he petitioner </w:t>
      </w:r>
      <w:r w:rsidR="00C86699">
        <w:rPr>
          <w:lang w:eastAsia="cs-CZ"/>
        </w:rPr>
        <w:t xml:space="preserve">therefore </w:t>
      </w:r>
      <w:r w:rsidRPr="00836C54">
        <w:rPr>
          <w:lang w:eastAsia="cs-CZ"/>
        </w:rPr>
        <w:t xml:space="preserve">requests that the Committee </w:t>
      </w:r>
      <w:r w:rsidR="00027BEF">
        <w:rPr>
          <w:lang w:eastAsia="cs-CZ"/>
        </w:rPr>
        <w:t>reject</w:t>
      </w:r>
      <w:r w:rsidR="00027BEF" w:rsidRPr="00836C54">
        <w:rPr>
          <w:lang w:eastAsia="cs-CZ"/>
        </w:rPr>
        <w:t xml:space="preserve"> </w:t>
      </w:r>
      <w:r w:rsidRPr="00836C54">
        <w:rPr>
          <w:lang w:eastAsia="cs-CZ"/>
        </w:rPr>
        <w:t>the arguments of the State party</w:t>
      </w:r>
      <w:r w:rsidR="00AF0A92">
        <w:rPr>
          <w:lang w:eastAsia="cs-CZ"/>
        </w:rPr>
        <w:t xml:space="preserve"> and reiterates her position that</w:t>
      </w:r>
      <w:r w:rsidRPr="00836C54">
        <w:rPr>
          <w:lang w:eastAsia="cs-CZ"/>
        </w:rPr>
        <w:t xml:space="preserve"> her case discloses </w:t>
      </w:r>
      <w:r w:rsidR="00926C9F">
        <w:rPr>
          <w:lang w:eastAsia="cs-CZ"/>
        </w:rPr>
        <w:t xml:space="preserve">a </w:t>
      </w:r>
      <w:r w:rsidRPr="00836C54">
        <w:rPr>
          <w:lang w:eastAsia="cs-CZ"/>
        </w:rPr>
        <w:t>violation of her rights under article</w:t>
      </w:r>
      <w:r w:rsidR="00915BEC">
        <w:rPr>
          <w:lang w:eastAsia="cs-CZ"/>
        </w:rPr>
        <w:t>s</w:t>
      </w:r>
      <w:r w:rsidRPr="00836C54">
        <w:rPr>
          <w:lang w:eastAsia="cs-CZ"/>
        </w:rPr>
        <w:t xml:space="preserve"> 2 </w:t>
      </w:r>
      <w:r w:rsidR="00915BEC">
        <w:rPr>
          <w:lang w:eastAsia="cs-CZ"/>
        </w:rPr>
        <w:t>(</w:t>
      </w:r>
      <w:r w:rsidRPr="00836C54">
        <w:rPr>
          <w:lang w:eastAsia="cs-CZ"/>
        </w:rPr>
        <w:t>1</w:t>
      </w:r>
      <w:r w:rsidR="00915BEC">
        <w:rPr>
          <w:lang w:eastAsia="cs-CZ"/>
        </w:rPr>
        <w:t>)</w:t>
      </w:r>
      <w:r w:rsidRPr="00836C54">
        <w:rPr>
          <w:lang w:eastAsia="cs-CZ"/>
        </w:rPr>
        <w:t xml:space="preserve"> </w:t>
      </w:r>
      <w:r w:rsidR="00915BEC">
        <w:rPr>
          <w:lang w:eastAsia="cs-CZ"/>
        </w:rPr>
        <w:t>(</w:t>
      </w:r>
      <w:r w:rsidRPr="00836C54">
        <w:rPr>
          <w:lang w:eastAsia="cs-CZ"/>
        </w:rPr>
        <w:t xml:space="preserve">a) and </w:t>
      </w:r>
      <w:r w:rsidR="00915BEC">
        <w:rPr>
          <w:lang w:eastAsia="cs-CZ"/>
        </w:rPr>
        <w:t>(</w:t>
      </w:r>
      <w:r w:rsidRPr="00836C54">
        <w:rPr>
          <w:lang w:eastAsia="cs-CZ"/>
        </w:rPr>
        <w:t>d)</w:t>
      </w:r>
      <w:r w:rsidR="00915BEC">
        <w:rPr>
          <w:lang w:eastAsia="cs-CZ"/>
        </w:rPr>
        <w:t>,</w:t>
      </w:r>
      <w:r w:rsidRPr="00836C54">
        <w:rPr>
          <w:lang w:eastAsia="cs-CZ"/>
        </w:rPr>
        <w:t xml:space="preserve"> 5 </w:t>
      </w:r>
      <w:r w:rsidR="00836C54">
        <w:rPr>
          <w:lang w:eastAsia="cs-CZ"/>
        </w:rPr>
        <w:t>(</w:t>
      </w:r>
      <w:r w:rsidRPr="00836C54">
        <w:rPr>
          <w:lang w:eastAsia="cs-CZ"/>
        </w:rPr>
        <w:t xml:space="preserve">e) </w:t>
      </w:r>
      <w:r w:rsidR="00836C54">
        <w:rPr>
          <w:lang w:eastAsia="cs-CZ"/>
        </w:rPr>
        <w:t>(</w:t>
      </w:r>
      <w:r w:rsidRPr="00836C54">
        <w:rPr>
          <w:lang w:eastAsia="cs-CZ"/>
        </w:rPr>
        <w:t>i) and 6 of the Convention.</w:t>
      </w:r>
      <w:r w:rsidR="00297D99">
        <w:rPr>
          <w:lang w:eastAsia="cs-CZ"/>
        </w:rPr>
        <w:t xml:space="preserve"> </w:t>
      </w:r>
    </w:p>
    <w:p w14:paraId="31AE1D9F" w14:textId="77777777" w:rsidR="00AA1661" w:rsidRPr="009A2945" w:rsidRDefault="00FB6D41" w:rsidP="0000279B">
      <w:pPr>
        <w:pStyle w:val="H23G"/>
      </w:pPr>
      <w:r w:rsidRPr="009F7392">
        <w:lastRenderedPageBreak/>
        <w:tab/>
      </w:r>
      <w:r w:rsidRPr="009F7392">
        <w:tab/>
      </w:r>
      <w:r w:rsidR="00061EEF" w:rsidRPr="008E23E4">
        <w:t>Issues and proceedings before the Committee</w:t>
      </w:r>
    </w:p>
    <w:p w14:paraId="7FB33267" w14:textId="77777777" w:rsidR="00415618" w:rsidRDefault="00FB6D41" w:rsidP="00DF71DE">
      <w:pPr>
        <w:pStyle w:val="H23G"/>
      </w:pPr>
      <w:r w:rsidRPr="009A2945">
        <w:tab/>
      </w:r>
      <w:r w:rsidRPr="009A2945">
        <w:tab/>
      </w:r>
      <w:r w:rsidR="00AA1661" w:rsidRPr="002B0F89">
        <w:t xml:space="preserve">Consideration of </w:t>
      </w:r>
      <w:r w:rsidR="00AA1661" w:rsidRPr="0000279B">
        <w:t>admissibility</w:t>
      </w:r>
    </w:p>
    <w:p w14:paraId="18A18ADD" w14:textId="77777777" w:rsidR="00B16F50" w:rsidRPr="00513744" w:rsidRDefault="00B16F50" w:rsidP="00915BEC">
      <w:pPr>
        <w:pStyle w:val="SingleTxtG"/>
      </w:pPr>
      <w:r w:rsidRPr="00513744">
        <w:t>6.1</w:t>
      </w:r>
      <w:r w:rsidRPr="00513744">
        <w:tab/>
      </w:r>
      <w:r w:rsidRPr="000C1BF2">
        <w:t>Before considering any claim contained in a communication, the Committee must decide, pursuant to article 14</w:t>
      </w:r>
      <w:r w:rsidR="00193A62">
        <w:t xml:space="preserve"> (</w:t>
      </w:r>
      <w:r w:rsidRPr="000C1BF2">
        <w:t>7</w:t>
      </w:r>
      <w:r w:rsidR="00193A62">
        <w:t>)</w:t>
      </w:r>
      <w:r w:rsidRPr="000C1BF2">
        <w:t xml:space="preserve"> (a) of the Convention, whether or not the communication is admissible.</w:t>
      </w:r>
    </w:p>
    <w:p w14:paraId="0858F410" w14:textId="77777777" w:rsidR="00B16F50" w:rsidRDefault="00B16F50" w:rsidP="00915BEC">
      <w:pPr>
        <w:pStyle w:val="SingleTxtG"/>
        <w:rPr>
          <w:lang w:eastAsia="en-GB"/>
        </w:rPr>
      </w:pPr>
      <w:r>
        <w:t>6.2</w:t>
      </w:r>
      <w:r>
        <w:tab/>
      </w:r>
      <w:r w:rsidRPr="000C1BF2">
        <w:t xml:space="preserve">The Committee notes the State party’s assertion that the petitioner has exhausted all available domestic remedies and submitted the communication within six months </w:t>
      </w:r>
      <w:r w:rsidR="00915BEC">
        <w:t>of</w:t>
      </w:r>
      <w:r w:rsidR="00915BEC" w:rsidRPr="000C1BF2">
        <w:t xml:space="preserve"> </w:t>
      </w:r>
      <w:r w:rsidR="00193A62">
        <w:t xml:space="preserve">the </w:t>
      </w:r>
      <w:r w:rsidRPr="000C1BF2">
        <w:t>exhaustion of the last remedy, considering that the petitioner has met the requirements of article 14 of the Convention.</w:t>
      </w:r>
      <w:r>
        <w:rPr>
          <w:lang w:eastAsia="en-GB"/>
        </w:rPr>
        <w:t xml:space="preserve"> </w:t>
      </w:r>
    </w:p>
    <w:p w14:paraId="5797D0FE" w14:textId="77777777" w:rsidR="00B16F50" w:rsidRDefault="00B16F50" w:rsidP="00915BEC">
      <w:pPr>
        <w:pStyle w:val="SingleTxtG"/>
        <w:rPr>
          <w:lang w:eastAsia="en-GB"/>
        </w:rPr>
      </w:pPr>
      <w:r>
        <w:rPr>
          <w:lang w:eastAsia="en-GB"/>
        </w:rPr>
        <w:t>6.3</w:t>
      </w:r>
      <w:r>
        <w:rPr>
          <w:lang w:eastAsia="en-GB"/>
        </w:rPr>
        <w:tab/>
      </w:r>
      <w:r w:rsidR="00991368" w:rsidRPr="000C1BF2">
        <w:t xml:space="preserve">As the Committee finds no obstacles to </w:t>
      </w:r>
      <w:r w:rsidRPr="000C1BF2">
        <w:t xml:space="preserve">the admissibility of the present communication, </w:t>
      </w:r>
      <w:r w:rsidR="00991368" w:rsidRPr="000C1BF2">
        <w:t>it</w:t>
      </w:r>
      <w:r w:rsidRPr="000C1BF2">
        <w:t xml:space="preserve"> declares it admissible and proceeds </w:t>
      </w:r>
      <w:r w:rsidR="00915BEC">
        <w:t>with</w:t>
      </w:r>
      <w:r w:rsidR="00915BEC" w:rsidRPr="000C1BF2">
        <w:t xml:space="preserve"> </w:t>
      </w:r>
      <w:r w:rsidRPr="000C1BF2">
        <w:t xml:space="preserve">its </w:t>
      </w:r>
      <w:r w:rsidR="00915BEC">
        <w:t>consideration</w:t>
      </w:r>
      <w:r w:rsidR="00915BEC" w:rsidRPr="000C1BF2">
        <w:t xml:space="preserve"> </w:t>
      </w:r>
      <w:r w:rsidRPr="000C1BF2">
        <w:t>o</w:t>
      </w:r>
      <w:r w:rsidR="00915BEC">
        <w:t>f</w:t>
      </w:r>
      <w:r w:rsidRPr="000C1BF2">
        <w:t xml:space="preserve"> the merits.</w:t>
      </w:r>
      <w:r>
        <w:rPr>
          <w:lang w:eastAsia="en-GB"/>
        </w:rPr>
        <w:t xml:space="preserve"> </w:t>
      </w:r>
    </w:p>
    <w:p w14:paraId="76398F8A" w14:textId="77777777" w:rsidR="00B16F50" w:rsidRPr="00061947" w:rsidRDefault="00B16F50" w:rsidP="00DF71DE">
      <w:pPr>
        <w:pStyle w:val="H23G"/>
        <w:rPr>
          <w:lang w:eastAsia="en-GB"/>
        </w:rPr>
      </w:pPr>
      <w:r>
        <w:tab/>
      </w:r>
      <w:r>
        <w:tab/>
      </w:r>
      <w:r w:rsidRPr="00061947">
        <w:rPr>
          <w:lang w:eastAsia="en-GB"/>
        </w:rPr>
        <w:t>Consideration of the merits</w:t>
      </w:r>
    </w:p>
    <w:p w14:paraId="19449739" w14:textId="77777777" w:rsidR="00B16F50" w:rsidRPr="00061947" w:rsidRDefault="00B16F50" w:rsidP="00B16F50">
      <w:pPr>
        <w:spacing w:after="120"/>
        <w:ind w:left="1134" w:right="1134"/>
        <w:jc w:val="both"/>
      </w:pPr>
      <w:r w:rsidRPr="00061947">
        <w:t>7.1</w:t>
      </w:r>
      <w:r w:rsidRPr="00061947">
        <w:tab/>
      </w:r>
      <w:r w:rsidRPr="000C1BF2">
        <w:rPr>
          <w:rStyle w:val="SingleTxtGChar"/>
        </w:rPr>
        <w:t>The Committee has considered the present communication in the light of all the submissions and documentary evidence produced by the parties, as required under article 14</w:t>
      </w:r>
      <w:r w:rsidR="00193A62">
        <w:rPr>
          <w:rStyle w:val="SingleTxtGChar"/>
        </w:rPr>
        <w:t xml:space="preserve"> (</w:t>
      </w:r>
      <w:r w:rsidRPr="000C1BF2">
        <w:rPr>
          <w:rStyle w:val="SingleTxtGChar"/>
        </w:rPr>
        <w:t>7</w:t>
      </w:r>
      <w:r w:rsidR="00193A62">
        <w:rPr>
          <w:rStyle w:val="SingleTxtGChar"/>
        </w:rPr>
        <w:t>)</w:t>
      </w:r>
      <w:r w:rsidRPr="000C1BF2">
        <w:rPr>
          <w:rStyle w:val="SingleTxtGChar"/>
        </w:rPr>
        <w:t xml:space="preserve"> (a) of the Convention and rule 95 of its rules of procedure.</w:t>
      </w:r>
      <w:r w:rsidRPr="00061947">
        <w:t xml:space="preserve"> </w:t>
      </w:r>
    </w:p>
    <w:p w14:paraId="776A235F" w14:textId="77777777" w:rsidR="00B16F50" w:rsidRDefault="00B16F50" w:rsidP="00B16F50">
      <w:pPr>
        <w:spacing w:after="120"/>
        <w:ind w:left="1134" w:right="1134"/>
        <w:jc w:val="both"/>
      </w:pPr>
      <w:r w:rsidRPr="00061947">
        <w:t>7.2</w:t>
      </w:r>
      <w:r w:rsidRPr="00061947">
        <w:tab/>
      </w:r>
      <w:r w:rsidRPr="000C1BF2">
        <w:rPr>
          <w:rStyle w:val="SingleTxtGChar"/>
        </w:rPr>
        <w:t xml:space="preserve">The main issue before the Committee is whether the State party fulfilled its obligations to take effective action in response to the allegations </w:t>
      </w:r>
      <w:r w:rsidR="004C2DFA" w:rsidRPr="000C1BF2">
        <w:rPr>
          <w:rStyle w:val="SingleTxtGChar"/>
        </w:rPr>
        <w:t xml:space="preserve">of </w:t>
      </w:r>
      <w:r w:rsidRPr="000C1BF2">
        <w:rPr>
          <w:rStyle w:val="SingleTxtGChar"/>
        </w:rPr>
        <w:t xml:space="preserve">the petitioner that she </w:t>
      </w:r>
      <w:r w:rsidR="00991368" w:rsidRPr="000C1BF2">
        <w:rPr>
          <w:rStyle w:val="SingleTxtGChar"/>
        </w:rPr>
        <w:t>was</w:t>
      </w:r>
      <w:r w:rsidRPr="000C1BF2">
        <w:rPr>
          <w:rStyle w:val="SingleTxtGChar"/>
        </w:rPr>
        <w:t xml:space="preserve"> discriminated against because of her Roma origin </w:t>
      </w:r>
      <w:r w:rsidR="00991368" w:rsidRPr="000C1BF2">
        <w:rPr>
          <w:rStyle w:val="SingleTxtGChar"/>
        </w:rPr>
        <w:t xml:space="preserve">when trying to </w:t>
      </w:r>
      <w:r w:rsidRPr="000C1BF2">
        <w:rPr>
          <w:rStyle w:val="SingleTxtGChar"/>
        </w:rPr>
        <w:t>access to employment in a public school, and whether the State party, through its national courts and other institutions, ensured effective protection and provided her with effective remedy against the</w:t>
      </w:r>
      <w:r w:rsidR="00991368" w:rsidRPr="000C1BF2">
        <w:rPr>
          <w:rStyle w:val="SingleTxtGChar"/>
        </w:rPr>
        <w:t xml:space="preserve"> alleged</w:t>
      </w:r>
      <w:r w:rsidRPr="000C1BF2">
        <w:rPr>
          <w:rStyle w:val="SingleTxtGChar"/>
        </w:rPr>
        <w:t xml:space="preserve"> racial discrimination, including adequate reparation or satisfaction for a damage suffered.</w:t>
      </w:r>
    </w:p>
    <w:p w14:paraId="3DDBE029" w14:textId="77777777" w:rsidR="00350A65" w:rsidRDefault="005941C1" w:rsidP="00DF71DE">
      <w:pPr>
        <w:pStyle w:val="H4G"/>
      </w:pPr>
      <w:r>
        <w:tab/>
      </w:r>
      <w:r>
        <w:tab/>
      </w:r>
      <w:r w:rsidR="00423C6E">
        <w:t>V</w:t>
      </w:r>
      <w:r w:rsidR="00350A65" w:rsidRPr="00350A65">
        <w:t>iolation of art</w:t>
      </w:r>
      <w:r w:rsidR="00915BEC">
        <w:t>icle</w:t>
      </w:r>
      <w:r w:rsidR="00350A65" w:rsidRPr="00350A65">
        <w:t xml:space="preserve"> 5 (e) (i)</w:t>
      </w:r>
    </w:p>
    <w:p w14:paraId="3733470F" w14:textId="77777777" w:rsidR="00350A65" w:rsidRDefault="00350A65" w:rsidP="00915BEC">
      <w:pPr>
        <w:spacing w:after="120"/>
        <w:ind w:left="1134" w:right="1134"/>
        <w:jc w:val="both"/>
      </w:pPr>
      <w:r w:rsidRPr="00350A65">
        <w:t>7.</w:t>
      </w:r>
      <w:r w:rsidR="001F5BAC">
        <w:t>3</w:t>
      </w:r>
      <w:r>
        <w:tab/>
      </w:r>
      <w:r w:rsidR="004D05D7" w:rsidRPr="000C1BF2">
        <w:rPr>
          <w:rStyle w:val="SingleTxtGChar"/>
        </w:rPr>
        <w:t>The Committee notes the petitioner’s claim that</w:t>
      </w:r>
      <w:r w:rsidR="00F629FC" w:rsidRPr="000C1BF2">
        <w:rPr>
          <w:rStyle w:val="SingleTxtGChar"/>
        </w:rPr>
        <w:t xml:space="preserve"> she has been subjected to racial discrimination in the context of </w:t>
      </w:r>
      <w:r w:rsidR="004C2DFA" w:rsidRPr="000C1BF2">
        <w:rPr>
          <w:rStyle w:val="SingleTxtGChar"/>
        </w:rPr>
        <w:t xml:space="preserve">the </w:t>
      </w:r>
      <w:r w:rsidR="00F629FC" w:rsidRPr="000C1BF2">
        <w:rPr>
          <w:rStyle w:val="SingleTxtGChar"/>
        </w:rPr>
        <w:t xml:space="preserve">recruitment </w:t>
      </w:r>
      <w:r w:rsidR="004C2DFA" w:rsidRPr="000C1BF2">
        <w:rPr>
          <w:rStyle w:val="SingleTxtGChar"/>
        </w:rPr>
        <w:t>process carried out</w:t>
      </w:r>
      <w:r w:rsidR="00F629FC" w:rsidRPr="000C1BF2">
        <w:rPr>
          <w:rStyle w:val="SingleTxtGChar"/>
        </w:rPr>
        <w:t xml:space="preserve"> by a public </w:t>
      </w:r>
      <w:r w:rsidR="00915BEC">
        <w:rPr>
          <w:rStyle w:val="SingleTxtGChar"/>
        </w:rPr>
        <w:t>e</w:t>
      </w:r>
      <w:r w:rsidR="00F629FC" w:rsidRPr="000C1BF2">
        <w:rPr>
          <w:rStyle w:val="SingleTxtGChar"/>
        </w:rPr>
        <w:t xml:space="preserve">lementary </w:t>
      </w:r>
      <w:r w:rsidR="00915BEC">
        <w:rPr>
          <w:rStyle w:val="SingleTxtGChar"/>
        </w:rPr>
        <w:t>s</w:t>
      </w:r>
      <w:r w:rsidR="00F629FC" w:rsidRPr="000C1BF2">
        <w:rPr>
          <w:rStyle w:val="SingleTxtGChar"/>
        </w:rPr>
        <w:t>chool in Revúca. In that context, t</w:t>
      </w:r>
      <w:r w:rsidR="00EA711F" w:rsidRPr="000C1BF2">
        <w:rPr>
          <w:rStyle w:val="SingleTxtGChar"/>
        </w:rPr>
        <w:t xml:space="preserve">he Committee notes the </w:t>
      </w:r>
      <w:r w:rsidR="00F629FC" w:rsidRPr="000C1BF2">
        <w:rPr>
          <w:rStyle w:val="SingleTxtGChar"/>
        </w:rPr>
        <w:t xml:space="preserve">information </w:t>
      </w:r>
      <w:r w:rsidR="00915BEC">
        <w:rPr>
          <w:rStyle w:val="SingleTxtGChar"/>
        </w:rPr>
        <w:t>from</w:t>
      </w:r>
      <w:r w:rsidR="00915BEC" w:rsidRPr="000C1BF2">
        <w:rPr>
          <w:rStyle w:val="SingleTxtGChar"/>
        </w:rPr>
        <w:t xml:space="preserve"> </w:t>
      </w:r>
      <w:r w:rsidR="00EA711F" w:rsidRPr="000C1BF2">
        <w:rPr>
          <w:rStyle w:val="SingleTxtGChar"/>
        </w:rPr>
        <w:t>the State party</w:t>
      </w:r>
      <w:r w:rsidR="00F629FC" w:rsidRPr="000C1BF2">
        <w:rPr>
          <w:rStyle w:val="SingleTxtGChar"/>
        </w:rPr>
        <w:t xml:space="preserve"> t</w:t>
      </w:r>
      <w:r w:rsidR="00EA711F" w:rsidRPr="000C1BF2">
        <w:rPr>
          <w:rStyle w:val="SingleTxtGChar"/>
        </w:rPr>
        <w:t xml:space="preserve">hat the reason </w:t>
      </w:r>
      <w:r w:rsidR="00915BEC">
        <w:rPr>
          <w:rStyle w:val="SingleTxtGChar"/>
        </w:rPr>
        <w:t>for</w:t>
      </w:r>
      <w:r w:rsidR="00915BEC" w:rsidRPr="000C1BF2">
        <w:rPr>
          <w:rStyle w:val="SingleTxtGChar"/>
        </w:rPr>
        <w:t xml:space="preserve"> </w:t>
      </w:r>
      <w:r w:rsidR="00EA711F" w:rsidRPr="000C1BF2">
        <w:rPr>
          <w:rStyle w:val="SingleTxtGChar"/>
        </w:rPr>
        <w:t>the petitioner’s alleged discrimination was not reliably substantiated</w:t>
      </w:r>
      <w:r w:rsidR="00F629FC" w:rsidRPr="000C1BF2">
        <w:rPr>
          <w:rStyle w:val="SingleTxtGChar"/>
        </w:rPr>
        <w:t xml:space="preserve"> in the proceedings before </w:t>
      </w:r>
      <w:r w:rsidR="00915BEC">
        <w:rPr>
          <w:rStyle w:val="SingleTxtGChar"/>
        </w:rPr>
        <w:t xml:space="preserve">the </w:t>
      </w:r>
      <w:r w:rsidR="00F629FC" w:rsidRPr="000C1BF2">
        <w:rPr>
          <w:rStyle w:val="SingleTxtGChar"/>
        </w:rPr>
        <w:t xml:space="preserve">relevant </w:t>
      </w:r>
      <w:r w:rsidR="004C2DFA" w:rsidRPr="000C1BF2">
        <w:rPr>
          <w:rStyle w:val="SingleTxtGChar"/>
        </w:rPr>
        <w:t xml:space="preserve">domestic </w:t>
      </w:r>
      <w:r w:rsidR="00F629FC" w:rsidRPr="000C1BF2">
        <w:rPr>
          <w:rStyle w:val="SingleTxtGChar"/>
        </w:rPr>
        <w:t xml:space="preserve">administrative and judicial authorities. </w:t>
      </w:r>
      <w:r w:rsidR="00EA711F" w:rsidRPr="000C1BF2">
        <w:rPr>
          <w:rStyle w:val="SingleTxtGChar"/>
        </w:rPr>
        <w:t>While admitting that the petitioner suffered damage or disadvantage, the State party maintain</w:t>
      </w:r>
      <w:r w:rsidR="00F629FC" w:rsidRPr="000C1BF2">
        <w:rPr>
          <w:rStyle w:val="SingleTxtGChar"/>
        </w:rPr>
        <w:t xml:space="preserve">s </w:t>
      </w:r>
      <w:r w:rsidR="00EA711F" w:rsidRPr="000C1BF2">
        <w:rPr>
          <w:rStyle w:val="SingleTxtGChar"/>
        </w:rPr>
        <w:t>that a causal link between the reason for di</w:t>
      </w:r>
      <w:r w:rsidR="00F629FC" w:rsidRPr="000C1BF2">
        <w:rPr>
          <w:rStyle w:val="SingleTxtGChar"/>
        </w:rPr>
        <w:t xml:space="preserve">fferential </w:t>
      </w:r>
      <w:r w:rsidR="00EA711F" w:rsidRPr="000C1BF2">
        <w:rPr>
          <w:rStyle w:val="SingleTxtGChar"/>
        </w:rPr>
        <w:t xml:space="preserve">treatment and the resulting disadvantage had not been established. </w:t>
      </w:r>
      <w:r w:rsidR="004D05D7" w:rsidRPr="000C1BF2">
        <w:rPr>
          <w:rStyle w:val="SingleTxtGChar"/>
        </w:rPr>
        <w:t>The Committee</w:t>
      </w:r>
      <w:r w:rsidR="00915BEC">
        <w:rPr>
          <w:rStyle w:val="SingleTxtGChar"/>
        </w:rPr>
        <w:t>,</w:t>
      </w:r>
      <w:r w:rsidR="004D05D7" w:rsidRPr="000C1BF2">
        <w:rPr>
          <w:rStyle w:val="SingleTxtGChar"/>
        </w:rPr>
        <w:t xml:space="preserve"> </w:t>
      </w:r>
      <w:r w:rsidR="00EA711F" w:rsidRPr="000C1BF2">
        <w:rPr>
          <w:rStyle w:val="SingleTxtGChar"/>
        </w:rPr>
        <w:t>in particular</w:t>
      </w:r>
      <w:r w:rsidR="00915BEC">
        <w:rPr>
          <w:rStyle w:val="SingleTxtGChar"/>
        </w:rPr>
        <w:t>,</w:t>
      </w:r>
      <w:r w:rsidR="00EA711F" w:rsidRPr="000C1BF2">
        <w:rPr>
          <w:rStyle w:val="SingleTxtGChar"/>
        </w:rPr>
        <w:t xml:space="preserve"> </w:t>
      </w:r>
      <w:r w:rsidR="004D05D7" w:rsidRPr="000C1BF2">
        <w:rPr>
          <w:rStyle w:val="SingleTxtGChar"/>
        </w:rPr>
        <w:t xml:space="preserve">notes the statement of the Ministry of Education of 2 February 2010, according to which </w:t>
      </w:r>
      <w:r w:rsidR="00915BEC">
        <w:rPr>
          <w:rStyle w:val="SingleTxtGChar"/>
        </w:rPr>
        <w:t>a</w:t>
      </w:r>
      <w:r w:rsidR="00915BEC" w:rsidRPr="000C1BF2">
        <w:rPr>
          <w:rStyle w:val="SingleTxtGChar"/>
        </w:rPr>
        <w:t xml:space="preserve"> </w:t>
      </w:r>
      <w:r w:rsidR="004D05D7" w:rsidRPr="000C1BF2">
        <w:rPr>
          <w:rStyle w:val="SingleTxtGChar"/>
        </w:rPr>
        <w:t>lack of funds is not a valid ground for preferring an applicant with a secondary school degree to an applicant with university degree</w:t>
      </w:r>
      <w:r w:rsidR="00224173" w:rsidRPr="000C1BF2">
        <w:rPr>
          <w:rStyle w:val="SingleTxtGChar"/>
        </w:rPr>
        <w:t xml:space="preserve"> and that the employer should support the recruitment of qualified applicants</w:t>
      </w:r>
      <w:r w:rsidR="00915BEC">
        <w:rPr>
          <w:rStyle w:val="SingleTxtGChar"/>
        </w:rPr>
        <w:t>,</w:t>
      </w:r>
      <w:r w:rsidR="00224173" w:rsidRPr="000C1BF2">
        <w:rPr>
          <w:rStyle w:val="SingleTxtGChar"/>
        </w:rPr>
        <w:t xml:space="preserve"> </w:t>
      </w:r>
      <w:r w:rsidR="00F629FC" w:rsidRPr="000C1BF2">
        <w:rPr>
          <w:rStyle w:val="SingleTxtGChar"/>
        </w:rPr>
        <w:t xml:space="preserve">while </w:t>
      </w:r>
      <w:r w:rsidR="00224173" w:rsidRPr="000C1BF2">
        <w:rPr>
          <w:rStyle w:val="SingleTxtGChar"/>
        </w:rPr>
        <w:t>unqualified candidates should be recruited only exceptionally</w:t>
      </w:r>
      <w:r w:rsidR="00A7312B">
        <w:rPr>
          <w:rStyle w:val="SingleTxtGChar"/>
        </w:rPr>
        <w:t>.</w:t>
      </w:r>
      <w:r w:rsidR="00224173" w:rsidRPr="006469B8">
        <w:rPr>
          <w:rStyle w:val="FootnoteReference"/>
        </w:rPr>
        <w:footnoteReference w:id="33"/>
      </w:r>
      <w:r w:rsidR="0000279B">
        <w:rPr>
          <w:rStyle w:val="SingleTxtGChar"/>
        </w:rPr>
        <w:t xml:space="preserve"> </w:t>
      </w:r>
      <w:r w:rsidR="004C2DFA" w:rsidRPr="000C1BF2">
        <w:rPr>
          <w:rStyle w:val="SingleTxtGChar"/>
        </w:rPr>
        <w:t>The Committee also notes</w:t>
      </w:r>
      <w:r w:rsidR="00F629FC" w:rsidRPr="000C1BF2">
        <w:rPr>
          <w:rStyle w:val="SingleTxtGChar"/>
        </w:rPr>
        <w:t xml:space="preserve"> </w:t>
      </w:r>
      <w:r w:rsidR="004D05D7" w:rsidRPr="000C1BF2">
        <w:rPr>
          <w:rStyle w:val="SingleTxtGChar"/>
        </w:rPr>
        <w:t xml:space="preserve">the conclusion of the </w:t>
      </w:r>
      <w:r w:rsidR="00F629FC" w:rsidRPr="000C1BF2">
        <w:rPr>
          <w:rStyle w:val="SingleTxtGChar"/>
        </w:rPr>
        <w:t xml:space="preserve">Equality </w:t>
      </w:r>
      <w:r w:rsidR="004D05D7" w:rsidRPr="000C1BF2">
        <w:rPr>
          <w:rStyle w:val="SingleTxtGChar"/>
        </w:rPr>
        <w:t>Cent</w:t>
      </w:r>
      <w:r w:rsidR="00C5707B" w:rsidRPr="000C1BF2">
        <w:rPr>
          <w:rStyle w:val="SingleTxtGChar"/>
        </w:rPr>
        <w:t>r</w:t>
      </w:r>
      <w:r w:rsidR="004D05D7" w:rsidRPr="000C1BF2">
        <w:rPr>
          <w:rStyle w:val="SingleTxtGChar"/>
        </w:rPr>
        <w:t>e</w:t>
      </w:r>
      <w:r w:rsidR="00C5707B" w:rsidRPr="000C1BF2">
        <w:rPr>
          <w:rStyle w:val="SingleTxtGChar"/>
        </w:rPr>
        <w:t xml:space="preserve"> </w:t>
      </w:r>
      <w:r w:rsidR="004D05D7" w:rsidRPr="000C1BF2">
        <w:rPr>
          <w:rStyle w:val="SingleTxtGChar"/>
        </w:rPr>
        <w:t>that the</w:t>
      </w:r>
      <w:r w:rsidR="00FC69F1" w:rsidRPr="000C1BF2">
        <w:rPr>
          <w:rStyle w:val="SingleTxtGChar"/>
        </w:rPr>
        <w:t xml:space="preserve"> petitioner’s case might amount to</w:t>
      </w:r>
      <w:r w:rsidR="004D05D7" w:rsidRPr="000C1BF2">
        <w:rPr>
          <w:rStyle w:val="SingleTxtGChar"/>
        </w:rPr>
        <w:t xml:space="preserve"> a violation of</w:t>
      </w:r>
      <w:r w:rsidR="00FC69F1" w:rsidRPr="000C1BF2">
        <w:rPr>
          <w:rStyle w:val="SingleTxtGChar"/>
        </w:rPr>
        <w:t xml:space="preserve"> the principle of</w:t>
      </w:r>
      <w:r w:rsidR="004D05D7" w:rsidRPr="000C1BF2">
        <w:rPr>
          <w:rStyle w:val="SingleTxtGChar"/>
        </w:rPr>
        <w:t xml:space="preserve"> equal treatment </w:t>
      </w:r>
      <w:r w:rsidR="00FC69F1" w:rsidRPr="000C1BF2">
        <w:rPr>
          <w:rStyle w:val="SingleTxtGChar"/>
        </w:rPr>
        <w:t>because of the</w:t>
      </w:r>
      <w:r w:rsidR="00EA711F" w:rsidRPr="000C1BF2">
        <w:rPr>
          <w:rStyle w:val="SingleTxtGChar"/>
        </w:rPr>
        <w:t xml:space="preserve"> recruitment of </w:t>
      </w:r>
      <w:r w:rsidR="00FC69F1" w:rsidRPr="000C1BF2">
        <w:rPr>
          <w:rStyle w:val="SingleTxtGChar"/>
        </w:rPr>
        <w:t xml:space="preserve">an </w:t>
      </w:r>
      <w:r w:rsidR="00EA711F" w:rsidRPr="000C1BF2">
        <w:rPr>
          <w:rStyle w:val="SingleTxtGChar"/>
        </w:rPr>
        <w:t>unqualified candidate</w:t>
      </w:r>
      <w:r w:rsidR="00FC69F1" w:rsidRPr="000C1BF2">
        <w:rPr>
          <w:rStyle w:val="SingleTxtGChar"/>
        </w:rPr>
        <w:t>,</w:t>
      </w:r>
      <w:r w:rsidR="00EA711F" w:rsidRPr="000C1BF2">
        <w:rPr>
          <w:rStyle w:val="SingleTxtGChar"/>
        </w:rPr>
        <w:t xml:space="preserve"> </w:t>
      </w:r>
      <w:r w:rsidR="004D05D7" w:rsidRPr="000C1BF2">
        <w:rPr>
          <w:rStyle w:val="SingleTxtGChar"/>
        </w:rPr>
        <w:t>a</w:t>
      </w:r>
      <w:r w:rsidR="00C5707B" w:rsidRPr="000C1BF2">
        <w:rPr>
          <w:rStyle w:val="SingleTxtGChar"/>
        </w:rPr>
        <w:t>n</w:t>
      </w:r>
      <w:r w:rsidR="004D05D7" w:rsidRPr="000C1BF2">
        <w:rPr>
          <w:rStyle w:val="SingleTxtGChar"/>
        </w:rPr>
        <w:t xml:space="preserve">d its recommendation that the head teacher abide by the </w:t>
      </w:r>
      <w:r w:rsidR="00193A62">
        <w:rPr>
          <w:rStyle w:val="SingleTxtGChar"/>
        </w:rPr>
        <w:t>a</w:t>
      </w:r>
      <w:r w:rsidR="004D05D7" w:rsidRPr="000C1BF2">
        <w:rPr>
          <w:rStyle w:val="SingleTxtGChar"/>
        </w:rPr>
        <w:t>nti</w:t>
      </w:r>
      <w:r w:rsidR="00C5707B" w:rsidRPr="000C1BF2">
        <w:rPr>
          <w:rStyle w:val="SingleTxtGChar"/>
        </w:rPr>
        <w:t>-</w:t>
      </w:r>
      <w:r w:rsidR="004D05D7" w:rsidRPr="000C1BF2">
        <w:rPr>
          <w:rStyle w:val="SingleTxtGChar"/>
        </w:rPr>
        <w:t>discrimination law. The</w:t>
      </w:r>
      <w:r w:rsidR="004D05D7">
        <w:t xml:space="preserve"> </w:t>
      </w:r>
      <w:r w:rsidR="004D05D7" w:rsidRPr="000C1BF2">
        <w:rPr>
          <w:rStyle w:val="SingleTxtGChar"/>
        </w:rPr>
        <w:t xml:space="preserve">Committee further notes that the comparator taken into account by the State party </w:t>
      </w:r>
      <w:r w:rsidR="00C5707B" w:rsidRPr="000C1BF2">
        <w:rPr>
          <w:rStyle w:val="SingleTxtGChar"/>
        </w:rPr>
        <w:t xml:space="preserve">to </w:t>
      </w:r>
      <w:r w:rsidR="004D05D7" w:rsidRPr="000C1BF2">
        <w:rPr>
          <w:rStyle w:val="SingleTxtGChar"/>
        </w:rPr>
        <w:t xml:space="preserve">see if there was a difference of treatment </w:t>
      </w:r>
      <w:r w:rsidR="00915BEC">
        <w:rPr>
          <w:rStyle w:val="SingleTxtGChar"/>
        </w:rPr>
        <w:t>is</w:t>
      </w:r>
      <w:r w:rsidR="00915BEC" w:rsidRPr="000C1BF2">
        <w:rPr>
          <w:rStyle w:val="SingleTxtGChar"/>
        </w:rPr>
        <w:t xml:space="preserve"> </w:t>
      </w:r>
      <w:r w:rsidR="004D05D7" w:rsidRPr="000C1BF2">
        <w:rPr>
          <w:rStyle w:val="SingleTxtGChar"/>
        </w:rPr>
        <w:t xml:space="preserve">other job applicants </w:t>
      </w:r>
      <w:r w:rsidR="00FC69F1" w:rsidRPr="000C1BF2">
        <w:rPr>
          <w:rStyle w:val="SingleTxtGChar"/>
        </w:rPr>
        <w:t>who were</w:t>
      </w:r>
      <w:r w:rsidR="004D05D7" w:rsidRPr="000C1BF2">
        <w:rPr>
          <w:rStyle w:val="SingleTxtGChar"/>
        </w:rPr>
        <w:t xml:space="preserve"> not selected</w:t>
      </w:r>
      <w:r w:rsidR="00C5707B" w:rsidRPr="000C1BF2">
        <w:rPr>
          <w:rStyle w:val="SingleTxtGChar"/>
        </w:rPr>
        <w:t>,</w:t>
      </w:r>
      <w:r w:rsidR="004D05D7" w:rsidRPr="000C1BF2">
        <w:rPr>
          <w:rStyle w:val="SingleTxtGChar"/>
        </w:rPr>
        <w:t xml:space="preserve"> and not the person who was selected, and the statement by the State party that the selection was based on the fact that the person selected was known by the</w:t>
      </w:r>
      <w:r w:rsidR="00915BEC">
        <w:rPr>
          <w:rStyle w:val="SingleTxtGChar"/>
        </w:rPr>
        <w:t xml:space="preserve"> school’s</w:t>
      </w:r>
      <w:r w:rsidR="004D05D7" w:rsidRPr="000C1BF2">
        <w:rPr>
          <w:rStyle w:val="SingleTxtGChar"/>
        </w:rPr>
        <w:t xml:space="preserve"> head </w:t>
      </w:r>
      <w:r w:rsidR="00915BEC">
        <w:rPr>
          <w:rStyle w:val="SingleTxtGChar"/>
        </w:rPr>
        <w:t>teacher</w:t>
      </w:r>
      <w:r w:rsidR="004D05D7" w:rsidRPr="000C1BF2">
        <w:rPr>
          <w:rStyle w:val="SingleTxtGChar"/>
        </w:rPr>
        <w:t>. The Committee considers that the State party cannot disclaim its responsibility</w:t>
      </w:r>
      <w:r w:rsidR="00915BEC">
        <w:rPr>
          <w:rStyle w:val="SingleTxtGChar"/>
        </w:rPr>
        <w:t>,</w:t>
      </w:r>
      <w:r w:rsidR="004D05D7" w:rsidRPr="000C1BF2">
        <w:rPr>
          <w:rStyle w:val="SingleTxtGChar"/>
        </w:rPr>
        <w:t xml:space="preserve"> </w:t>
      </w:r>
      <w:r w:rsidR="00DC06DF" w:rsidRPr="000C1BF2">
        <w:rPr>
          <w:rStyle w:val="SingleTxtGChar"/>
        </w:rPr>
        <w:t xml:space="preserve">since the head teacher of a public school, </w:t>
      </w:r>
      <w:r w:rsidR="00F629FC" w:rsidRPr="000C1BF2">
        <w:rPr>
          <w:rStyle w:val="SingleTxtGChar"/>
        </w:rPr>
        <w:t xml:space="preserve">although being </w:t>
      </w:r>
      <w:r w:rsidR="00DC06DF" w:rsidRPr="000C1BF2">
        <w:rPr>
          <w:rStyle w:val="SingleTxtGChar"/>
        </w:rPr>
        <w:t>a separate legal entity,</w:t>
      </w:r>
      <w:r w:rsidR="00F629FC" w:rsidRPr="000C1BF2">
        <w:rPr>
          <w:rStyle w:val="SingleTxtGChar"/>
        </w:rPr>
        <w:t xml:space="preserve"> </w:t>
      </w:r>
      <w:r w:rsidR="00DC06DF" w:rsidRPr="000C1BF2">
        <w:rPr>
          <w:rStyle w:val="SingleTxtGChar"/>
        </w:rPr>
        <w:t xml:space="preserve">has the </w:t>
      </w:r>
      <w:r w:rsidR="00915BEC">
        <w:rPr>
          <w:rStyle w:val="SingleTxtGChar"/>
        </w:rPr>
        <w:t>remit</w:t>
      </w:r>
      <w:r w:rsidR="00915BEC" w:rsidRPr="000C1BF2">
        <w:rPr>
          <w:rStyle w:val="SingleTxtGChar"/>
        </w:rPr>
        <w:t xml:space="preserve"> </w:t>
      </w:r>
      <w:r w:rsidR="00DC06DF" w:rsidRPr="000C1BF2">
        <w:rPr>
          <w:rStyle w:val="SingleTxtGChar"/>
        </w:rPr>
        <w:t xml:space="preserve">to select </w:t>
      </w:r>
      <w:r w:rsidR="00DC06DF" w:rsidRPr="000C1BF2">
        <w:rPr>
          <w:rStyle w:val="SingleTxtGChar"/>
        </w:rPr>
        <w:lastRenderedPageBreak/>
        <w:t>school personnel</w:t>
      </w:r>
      <w:r w:rsidR="00F629FC" w:rsidRPr="000C1BF2">
        <w:rPr>
          <w:rStyle w:val="SingleTxtGChar"/>
        </w:rPr>
        <w:t xml:space="preserve"> </w:t>
      </w:r>
      <w:r w:rsidR="00DC06DF" w:rsidRPr="000C1BF2">
        <w:rPr>
          <w:rStyle w:val="SingleTxtGChar"/>
        </w:rPr>
        <w:t xml:space="preserve">in </w:t>
      </w:r>
      <w:r w:rsidR="00FC69F1" w:rsidRPr="000C1BF2">
        <w:rPr>
          <w:rStyle w:val="SingleTxtGChar"/>
        </w:rPr>
        <w:t xml:space="preserve">the context of the </w:t>
      </w:r>
      <w:r w:rsidR="00DC06DF" w:rsidRPr="000C1BF2">
        <w:rPr>
          <w:rStyle w:val="SingleTxtGChar"/>
        </w:rPr>
        <w:t xml:space="preserve">exercise of a public service. The Committee observes that the State party has not </w:t>
      </w:r>
      <w:r w:rsidR="00F629FC" w:rsidRPr="000C1BF2">
        <w:rPr>
          <w:rStyle w:val="SingleTxtGChar"/>
        </w:rPr>
        <w:t xml:space="preserve">satisfactorily </w:t>
      </w:r>
      <w:r w:rsidR="00FC69F1" w:rsidRPr="000C1BF2">
        <w:rPr>
          <w:rStyle w:val="SingleTxtGChar"/>
        </w:rPr>
        <w:t>replied to</w:t>
      </w:r>
      <w:r w:rsidR="000D2F24" w:rsidRPr="000C1BF2">
        <w:rPr>
          <w:rStyle w:val="SingleTxtGChar"/>
        </w:rPr>
        <w:t xml:space="preserve"> </w:t>
      </w:r>
      <w:r w:rsidR="00DC06DF" w:rsidRPr="000C1BF2">
        <w:rPr>
          <w:rStyle w:val="SingleTxtGChar"/>
        </w:rPr>
        <w:t xml:space="preserve">the petitioner’s allegations in this regard and </w:t>
      </w:r>
      <w:r w:rsidR="000D2F24" w:rsidRPr="000C1BF2">
        <w:rPr>
          <w:rStyle w:val="SingleTxtGChar"/>
        </w:rPr>
        <w:t xml:space="preserve">did not provide persuasive </w:t>
      </w:r>
      <w:r w:rsidR="00FC69F1" w:rsidRPr="000C1BF2">
        <w:rPr>
          <w:rStyle w:val="SingleTxtGChar"/>
        </w:rPr>
        <w:t>arguments</w:t>
      </w:r>
      <w:r w:rsidR="000D2F24" w:rsidRPr="000C1BF2">
        <w:rPr>
          <w:rStyle w:val="SingleTxtGChar"/>
        </w:rPr>
        <w:t xml:space="preserve"> to justify </w:t>
      </w:r>
      <w:r w:rsidR="00FC69F1" w:rsidRPr="000C1BF2">
        <w:rPr>
          <w:rStyle w:val="SingleTxtGChar"/>
        </w:rPr>
        <w:t xml:space="preserve">the </w:t>
      </w:r>
      <w:r w:rsidR="000D2F24" w:rsidRPr="000C1BF2">
        <w:rPr>
          <w:rStyle w:val="SingleTxtGChar"/>
        </w:rPr>
        <w:t>differential treatment of the petitioner</w:t>
      </w:r>
      <w:r w:rsidR="00FC69F1" w:rsidRPr="000C1BF2">
        <w:rPr>
          <w:rStyle w:val="SingleTxtGChar"/>
        </w:rPr>
        <w:t xml:space="preserve"> </w:t>
      </w:r>
      <w:r w:rsidR="00EC3BB0" w:rsidRPr="000C1BF2">
        <w:rPr>
          <w:rStyle w:val="SingleTxtGChar"/>
        </w:rPr>
        <w:t>when</w:t>
      </w:r>
      <w:r w:rsidR="000D2F24" w:rsidRPr="000C1BF2">
        <w:rPr>
          <w:rStyle w:val="SingleTxtGChar"/>
        </w:rPr>
        <w:t xml:space="preserve"> </w:t>
      </w:r>
      <w:r w:rsidR="003E5203" w:rsidRPr="000C1BF2">
        <w:rPr>
          <w:rStyle w:val="SingleTxtGChar"/>
        </w:rPr>
        <w:t>disregarding</w:t>
      </w:r>
      <w:r w:rsidR="00EC3BB0" w:rsidRPr="000C1BF2">
        <w:rPr>
          <w:rStyle w:val="SingleTxtGChar"/>
        </w:rPr>
        <w:t xml:space="preserve"> </w:t>
      </w:r>
      <w:r w:rsidR="000D2F24" w:rsidRPr="000C1BF2">
        <w:rPr>
          <w:rStyle w:val="SingleTxtGChar"/>
        </w:rPr>
        <w:t xml:space="preserve">her job application. </w:t>
      </w:r>
      <w:r w:rsidR="008D4EB8" w:rsidRPr="000C1BF2">
        <w:rPr>
          <w:rStyle w:val="SingleTxtGChar"/>
        </w:rPr>
        <w:t>The Committee</w:t>
      </w:r>
      <w:r w:rsidR="00193A62">
        <w:rPr>
          <w:rStyle w:val="SingleTxtGChar"/>
        </w:rPr>
        <w:t>,</w:t>
      </w:r>
      <w:r w:rsidR="008D4EB8" w:rsidRPr="000C1BF2">
        <w:rPr>
          <w:rStyle w:val="SingleTxtGChar"/>
        </w:rPr>
        <w:t xml:space="preserve"> consider</w:t>
      </w:r>
      <w:r w:rsidR="00193A62">
        <w:rPr>
          <w:rStyle w:val="SingleTxtGChar"/>
        </w:rPr>
        <w:t>ing</w:t>
      </w:r>
      <w:r w:rsidR="008D4EB8" w:rsidRPr="000C1BF2">
        <w:rPr>
          <w:rStyle w:val="SingleTxtGChar"/>
        </w:rPr>
        <w:t xml:space="preserve"> that, in the case under review, the preferential selection for a teaching assistant position of a candidate who, as a commercial assistant, was underqualified could not be justified by her professional competences</w:t>
      </w:r>
      <w:r w:rsidR="00A7312B">
        <w:rPr>
          <w:rStyle w:val="SingleTxtGChar"/>
        </w:rPr>
        <w:t>,</w:t>
      </w:r>
      <w:r w:rsidR="00C5707B" w:rsidRPr="006469B8">
        <w:rPr>
          <w:rStyle w:val="FootnoteReference"/>
        </w:rPr>
        <w:footnoteReference w:id="34"/>
      </w:r>
      <w:r w:rsidR="008D4EB8" w:rsidRPr="000C1BF2">
        <w:rPr>
          <w:rStyle w:val="SingleTxtGChar"/>
        </w:rPr>
        <w:t xml:space="preserve"> or </w:t>
      </w:r>
      <w:r w:rsidR="00915BEC">
        <w:rPr>
          <w:rStyle w:val="SingleTxtGChar"/>
        </w:rPr>
        <w:t>a</w:t>
      </w:r>
      <w:r w:rsidR="008D4EB8" w:rsidRPr="000C1BF2">
        <w:rPr>
          <w:rStyle w:val="SingleTxtGChar"/>
        </w:rPr>
        <w:t xml:space="preserve"> lack of funds</w:t>
      </w:r>
      <w:r w:rsidR="00193A62">
        <w:rPr>
          <w:rStyle w:val="SingleTxtGChar"/>
        </w:rPr>
        <w:t>,</w:t>
      </w:r>
      <w:r w:rsidR="00336045" w:rsidRPr="000C1BF2">
        <w:rPr>
          <w:rStyle w:val="SingleTxtGChar"/>
        </w:rPr>
        <w:t xml:space="preserve"> </w:t>
      </w:r>
      <w:r w:rsidR="00D1355E">
        <w:rPr>
          <w:rStyle w:val="SingleTxtGChar"/>
        </w:rPr>
        <w:t>concludes</w:t>
      </w:r>
      <w:r w:rsidR="0016671A" w:rsidRPr="000C1BF2">
        <w:rPr>
          <w:rStyle w:val="SingleTxtGChar"/>
        </w:rPr>
        <w:t xml:space="preserve"> that the facts before it disclose a violation </w:t>
      </w:r>
      <w:r w:rsidRPr="000C1BF2">
        <w:rPr>
          <w:rStyle w:val="SingleTxtGChar"/>
        </w:rPr>
        <w:t xml:space="preserve">of the </w:t>
      </w:r>
      <w:r w:rsidR="00DE44CB" w:rsidRPr="000C1BF2">
        <w:rPr>
          <w:rStyle w:val="SingleTxtGChar"/>
        </w:rPr>
        <w:t xml:space="preserve">petitioner’s </w:t>
      </w:r>
      <w:r w:rsidRPr="000C1BF2">
        <w:rPr>
          <w:rStyle w:val="SingleTxtGChar"/>
        </w:rPr>
        <w:t>right to work without distinction as to race, colour, national or ethnic origin, in violation of the State party’s obligation to guarantee equality in respect of the right to work</w:t>
      </w:r>
      <w:r w:rsidR="00781008" w:rsidRPr="000C1BF2">
        <w:rPr>
          <w:rStyle w:val="SingleTxtGChar"/>
        </w:rPr>
        <w:t>,</w:t>
      </w:r>
      <w:r w:rsidRPr="000C1BF2">
        <w:rPr>
          <w:rStyle w:val="SingleTxtGChar"/>
        </w:rPr>
        <w:t xml:space="preserve"> as enshrined in article 5</w:t>
      </w:r>
      <w:r w:rsidR="00DE44CB" w:rsidRPr="000C1BF2">
        <w:rPr>
          <w:rStyle w:val="SingleTxtGChar"/>
        </w:rPr>
        <w:t xml:space="preserve"> </w:t>
      </w:r>
      <w:r w:rsidRPr="000C1BF2">
        <w:rPr>
          <w:rStyle w:val="SingleTxtGChar"/>
        </w:rPr>
        <w:t>(e) (i) of the Convention.</w:t>
      </w:r>
      <w:r w:rsidR="00297D99">
        <w:t xml:space="preserve"> </w:t>
      </w:r>
    </w:p>
    <w:p w14:paraId="4539CCD6" w14:textId="77777777" w:rsidR="001F5BAC" w:rsidRPr="00423C6E" w:rsidRDefault="005941C1" w:rsidP="00DF71DE">
      <w:pPr>
        <w:pStyle w:val="H4G"/>
      </w:pPr>
      <w:r>
        <w:tab/>
      </w:r>
      <w:r>
        <w:tab/>
      </w:r>
      <w:r w:rsidR="001F5BAC" w:rsidRPr="00423C6E">
        <w:t>Violation of article 6</w:t>
      </w:r>
      <w:r w:rsidR="00423C6E">
        <w:t xml:space="preserve"> (in conjunction with art. 2)</w:t>
      </w:r>
    </w:p>
    <w:p w14:paraId="55740508" w14:textId="77777777" w:rsidR="00B16F50" w:rsidRPr="00061947" w:rsidRDefault="00B16F50">
      <w:pPr>
        <w:spacing w:after="120"/>
        <w:ind w:left="1134" w:right="1134"/>
        <w:jc w:val="both"/>
      </w:pPr>
      <w:r w:rsidRPr="00061947">
        <w:t>7.</w:t>
      </w:r>
      <w:r w:rsidR="001F5BAC">
        <w:t>4</w:t>
      </w:r>
      <w:r w:rsidRPr="00061947">
        <w:tab/>
      </w:r>
      <w:r w:rsidR="00D05FE1" w:rsidRPr="000C1BF2">
        <w:rPr>
          <w:rStyle w:val="SingleTxtGChar"/>
        </w:rPr>
        <w:t xml:space="preserve">The Committee recalls that it is not its role to review the interpretation of facts and national law made by domestic authorities, unless the decisions were manifestly arbitrary or otherwise </w:t>
      </w:r>
      <w:r w:rsidR="00300C61">
        <w:rPr>
          <w:rStyle w:val="SingleTxtGChar"/>
        </w:rPr>
        <w:t>amounted to a denial of justice</w:t>
      </w:r>
      <w:r w:rsidR="00A7312B">
        <w:rPr>
          <w:rStyle w:val="SingleTxtGChar"/>
        </w:rPr>
        <w:t>.</w:t>
      </w:r>
      <w:r w:rsidR="00D05FE1" w:rsidRPr="006469B8">
        <w:rPr>
          <w:rStyle w:val="FootnoteReference"/>
        </w:rPr>
        <w:footnoteReference w:id="35"/>
      </w:r>
      <w:r w:rsidR="00D05FE1" w:rsidRPr="000C1BF2">
        <w:rPr>
          <w:rStyle w:val="SingleTxtGChar"/>
        </w:rPr>
        <w:t xml:space="preserve"> </w:t>
      </w:r>
      <w:r w:rsidR="00781008" w:rsidRPr="000C1BF2">
        <w:rPr>
          <w:rStyle w:val="SingleTxtGChar"/>
        </w:rPr>
        <w:t>However</w:t>
      </w:r>
      <w:r w:rsidR="00D05FE1" w:rsidRPr="000C1BF2">
        <w:rPr>
          <w:rStyle w:val="SingleTxtGChar"/>
        </w:rPr>
        <w:t xml:space="preserve">, the Committee has to examine whether the decisions of domestic courts deprived the petitioner of her right to effective protection and effective remedy against racial discrimination. In this connection, the </w:t>
      </w:r>
      <w:r w:rsidRPr="000C1BF2">
        <w:rPr>
          <w:rStyle w:val="SingleTxtGChar"/>
        </w:rPr>
        <w:t>Committee notes that</w:t>
      </w:r>
      <w:r w:rsidR="00C30A18">
        <w:rPr>
          <w:rStyle w:val="SingleTxtGChar"/>
        </w:rPr>
        <w:t>,</w:t>
      </w:r>
      <w:r w:rsidR="00646C96" w:rsidRPr="000C1BF2">
        <w:rPr>
          <w:rStyle w:val="SingleTxtGChar"/>
        </w:rPr>
        <w:t xml:space="preserve"> </w:t>
      </w:r>
      <w:r w:rsidR="00915BEC">
        <w:rPr>
          <w:rStyle w:val="SingleTxtGChar"/>
        </w:rPr>
        <w:t>between</w:t>
      </w:r>
      <w:r w:rsidR="00915BEC" w:rsidRPr="000C1BF2">
        <w:rPr>
          <w:rStyle w:val="SingleTxtGChar"/>
        </w:rPr>
        <w:t xml:space="preserve"> </w:t>
      </w:r>
      <w:r w:rsidR="009E3DBA" w:rsidRPr="000C1BF2">
        <w:rPr>
          <w:rStyle w:val="SingleTxtGChar"/>
        </w:rPr>
        <w:t>2009</w:t>
      </w:r>
      <w:r w:rsidR="00915BEC">
        <w:rPr>
          <w:rStyle w:val="SingleTxtGChar"/>
        </w:rPr>
        <w:t xml:space="preserve"> and </w:t>
      </w:r>
      <w:r w:rsidR="009E3DBA" w:rsidRPr="000C1BF2">
        <w:rPr>
          <w:rStyle w:val="SingleTxtGChar"/>
        </w:rPr>
        <w:t>201</w:t>
      </w:r>
      <w:r w:rsidR="005815C5" w:rsidRPr="000C1BF2">
        <w:rPr>
          <w:rStyle w:val="SingleTxtGChar"/>
        </w:rPr>
        <w:t>3</w:t>
      </w:r>
      <w:r w:rsidR="00C30A18">
        <w:rPr>
          <w:rStyle w:val="SingleTxtGChar"/>
        </w:rPr>
        <w:t>,</w:t>
      </w:r>
      <w:r w:rsidR="009E3DBA" w:rsidRPr="000C1BF2">
        <w:rPr>
          <w:rStyle w:val="SingleTxtGChar"/>
        </w:rPr>
        <w:t xml:space="preserve"> </w:t>
      </w:r>
      <w:r w:rsidRPr="000C1BF2">
        <w:rPr>
          <w:rStyle w:val="SingleTxtGChar"/>
        </w:rPr>
        <w:t xml:space="preserve">the petitioner brought a prima facie case of racial discrimination to the attention of the Equality Centre, the </w:t>
      </w:r>
      <w:r w:rsidR="001A1B49" w:rsidRPr="000C1BF2">
        <w:rPr>
          <w:rStyle w:val="SingleTxtGChar"/>
        </w:rPr>
        <w:t>Ministry of Education, Science</w:t>
      </w:r>
      <w:r w:rsidR="00A90AC6" w:rsidRPr="000C1BF2">
        <w:rPr>
          <w:rStyle w:val="SingleTxtGChar"/>
        </w:rPr>
        <w:t>s</w:t>
      </w:r>
      <w:r w:rsidR="001A1B49" w:rsidRPr="000C1BF2">
        <w:rPr>
          <w:rStyle w:val="SingleTxtGChar"/>
        </w:rPr>
        <w:t xml:space="preserve">, Research and Sport </w:t>
      </w:r>
      <w:r w:rsidRPr="000C1BF2">
        <w:rPr>
          <w:rStyle w:val="SingleTxtGChar"/>
        </w:rPr>
        <w:t xml:space="preserve">and the regular and extraordinary </w:t>
      </w:r>
      <w:r w:rsidR="00820186" w:rsidRPr="000C1BF2">
        <w:rPr>
          <w:rStyle w:val="SingleTxtGChar"/>
        </w:rPr>
        <w:t xml:space="preserve">domestic </w:t>
      </w:r>
      <w:r w:rsidRPr="000C1BF2">
        <w:rPr>
          <w:rStyle w:val="SingleTxtGChar"/>
        </w:rPr>
        <w:t>courts</w:t>
      </w:r>
      <w:r w:rsidR="00820186" w:rsidRPr="000C1BF2">
        <w:rPr>
          <w:rStyle w:val="SingleTxtGChar"/>
        </w:rPr>
        <w:t>. In this context</w:t>
      </w:r>
      <w:r w:rsidR="00646C96" w:rsidRPr="000C1BF2">
        <w:rPr>
          <w:rStyle w:val="SingleTxtGChar"/>
        </w:rPr>
        <w:t xml:space="preserve">, </w:t>
      </w:r>
      <w:r w:rsidR="00820186" w:rsidRPr="000C1BF2">
        <w:rPr>
          <w:rStyle w:val="SingleTxtGChar"/>
        </w:rPr>
        <w:t>the petitioner requested</w:t>
      </w:r>
      <w:r w:rsidRPr="000C1BF2">
        <w:rPr>
          <w:rStyle w:val="SingleTxtGChar"/>
        </w:rPr>
        <w:t xml:space="preserve"> that</w:t>
      </w:r>
      <w:r w:rsidR="00915BEC">
        <w:rPr>
          <w:rStyle w:val="SingleTxtGChar"/>
        </w:rPr>
        <w:t>,</w:t>
      </w:r>
      <w:r w:rsidR="00646C96" w:rsidRPr="000C1BF2">
        <w:rPr>
          <w:rStyle w:val="SingleTxtGChar"/>
        </w:rPr>
        <w:t xml:space="preserve"> through the application of the shift of the burden of proof,</w:t>
      </w:r>
      <w:r w:rsidRPr="000C1BF2">
        <w:rPr>
          <w:rStyle w:val="SingleTxtGChar"/>
        </w:rPr>
        <w:t xml:space="preserve"> the Elementary School in Revúca</w:t>
      </w:r>
      <w:r w:rsidR="00646C96" w:rsidRPr="000C1BF2">
        <w:rPr>
          <w:rStyle w:val="SingleTxtGChar"/>
        </w:rPr>
        <w:t>,</w:t>
      </w:r>
      <w:r w:rsidRPr="000C1BF2">
        <w:rPr>
          <w:rStyle w:val="SingleTxtGChar"/>
        </w:rPr>
        <w:t xml:space="preserve"> as defendant</w:t>
      </w:r>
      <w:r w:rsidR="00646C96" w:rsidRPr="000C1BF2">
        <w:rPr>
          <w:rStyle w:val="SingleTxtGChar"/>
        </w:rPr>
        <w:t>,</w:t>
      </w:r>
      <w:r w:rsidRPr="000C1BF2">
        <w:rPr>
          <w:rStyle w:val="SingleTxtGChar"/>
        </w:rPr>
        <w:t xml:space="preserve"> justify that it did not discriminate against the petitioner on</w:t>
      </w:r>
      <w:r w:rsidR="00915BEC">
        <w:rPr>
          <w:rStyle w:val="SingleTxtGChar"/>
        </w:rPr>
        <w:t xml:space="preserve"> the</w:t>
      </w:r>
      <w:r w:rsidRPr="000C1BF2">
        <w:rPr>
          <w:rStyle w:val="SingleTxtGChar"/>
        </w:rPr>
        <w:t xml:space="preserve"> ground of her Roma origin. In particular, she requested that the </w:t>
      </w:r>
      <w:r w:rsidR="00D14426" w:rsidRPr="000C1BF2">
        <w:rPr>
          <w:rStyle w:val="SingleTxtGChar"/>
        </w:rPr>
        <w:t>Elementary S</w:t>
      </w:r>
      <w:r w:rsidR="001A1B49" w:rsidRPr="000C1BF2">
        <w:rPr>
          <w:rStyle w:val="SingleTxtGChar"/>
        </w:rPr>
        <w:t xml:space="preserve">chool </w:t>
      </w:r>
      <w:r w:rsidRPr="000C1BF2">
        <w:rPr>
          <w:rStyle w:val="SingleTxtGChar"/>
        </w:rPr>
        <w:t xml:space="preserve">provide reasonable and convincing arguments to explain why it </w:t>
      </w:r>
      <w:r w:rsidR="001A1B49" w:rsidRPr="000C1BF2">
        <w:rPr>
          <w:rStyle w:val="SingleTxtGChar"/>
        </w:rPr>
        <w:t xml:space="preserve">did not consider </w:t>
      </w:r>
      <w:r w:rsidRPr="000C1BF2">
        <w:rPr>
          <w:rStyle w:val="SingleTxtGChar"/>
        </w:rPr>
        <w:t xml:space="preserve">her application for a teacher position and </w:t>
      </w:r>
      <w:r w:rsidR="001A1B49" w:rsidRPr="000C1BF2">
        <w:rPr>
          <w:rStyle w:val="SingleTxtGChar"/>
        </w:rPr>
        <w:t xml:space="preserve">refused </w:t>
      </w:r>
      <w:r w:rsidRPr="000C1BF2">
        <w:rPr>
          <w:rStyle w:val="SingleTxtGChar"/>
        </w:rPr>
        <w:t>her application for the teaching assistant position, as it hired a person less qualified than the petitioner for the latter post. The Committee notes the</w:t>
      </w:r>
      <w:r w:rsidR="00646C96" w:rsidRPr="000C1BF2">
        <w:rPr>
          <w:rStyle w:val="SingleTxtGChar"/>
        </w:rPr>
        <w:t xml:space="preserve"> petitioner’s</w:t>
      </w:r>
      <w:r w:rsidRPr="000C1BF2">
        <w:rPr>
          <w:rStyle w:val="SingleTxtGChar"/>
        </w:rPr>
        <w:t xml:space="preserve"> claim that the </w:t>
      </w:r>
      <w:r w:rsidR="00915BEC">
        <w:rPr>
          <w:rStyle w:val="SingleTxtGChar"/>
        </w:rPr>
        <w:t>d</w:t>
      </w:r>
      <w:r w:rsidRPr="000C1BF2">
        <w:rPr>
          <w:rStyle w:val="SingleTxtGChar"/>
        </w:rPr>
        <w:t xml:space="preserve">istrict and </w:t>
      </w:r>
      <w:r w:rsidR="00915BEC">
        <w:rPr>
          <w:rStyle w:val="SingleTxtGChar"/>
        </w:rPr>
        <w:t>r</w:t>
      </w:r>
      <w:r w:rsidRPr="000C1BF2">
        <w:rPr>
          <w:rStyle w:val="SingleTxtGChar"/>
        </w:rPr>
        <w:t xml:space="preserve">egional </w:t>
      </w:r>
      <w:r w:rsidR="00915BEC">
        <w:rPr>
          <w:rStyle w:val="SingleTxtGChar"/>
        </w:rPr>
        <w:t>c</w:t>
      </w:r>
      <w:r w:rsidRPr="000C1BF2">
        <w:rPr>
          <w:rStyle w:val="SingleTxtGChar"/>
        </w:rPr>
        <w:t xml:space="preserve">ourts wrongly assessed the facts and evidence presented by the </w:t>
      </w:r>
      <w:r w:rsidR="00D14426" w:rsidRPr="000C1BF2">
        <w:rPr>
          <w:rStyle w:val="SingleTxtGChar"/>
        </w:rPr>
        <w:t>Elementary S</w:t>
      </w:r>
      <w:r w:rsidRPr="000C1BF2">
        <w:rPr>
          <w:rStyle w:val="SingleTxtGChar"/>
        </w:rPr>
        <w:t>chool</w:t>
      </w:r>
      <w:r w:rsidR="00915BEC">
        <w:rPr>
          <w:rStyle w:val="SingleTxtGChar"/>
        </w:rPr>
        <w:t>,</w:t>
      </w:r>
      <w:r w:rsidR="00646C96" w:rsidRPr="000C1BF2">
        <w:rPr>
          <w:rStyle w:val="SingleTxtGChar"/>
        </w:rPr>
        <w:t xml:space="preserve"> because her</w:t>
      </w:r>
      <w:r w:rsidRPr="000C1BF2">
        <w:rPr>
          <w:rStyle w:val="SingleTxtGChar"/>
        </w:rPr>
        <w:t xml:space="preserve"> situation was not compared to the </w:t>
      </w:r>
      <w:r w:rsidR="00646C96" w:rsidRPr="000C1BF2">
        <w:rPr>
          <w:rStyle w:val="SingleTxtGChar"/>
        </w:rPr>
        <w:t xml:space="preserve">one of the </w:t>
      </w:r>
      <w:r w:rsidRPr="000C1BF2">
        <w:rPr>
          <w:rStyle w:val="SingleTxtGChar"/>
        </w:rPr>
        <w:t>non-Roma applicant who was selected</w:t>
      </w:r>
      <w:r w:rsidR="00646C96" w:rsidRPr="000C1BF2">
        <w:rPr>
          <w:rStyle w:val="SingleTxtGChar"/>
        </w:rPr>
        <w:t xml:space="preserve"> for the position </w:t>
      </w:r>
      <w:r w:rsidR="00915BEC">
        <w:rPr>
          <w:rStyle w:val="SingleTxtGChar"/>
        </w:rPr>
        <w:t xml:space="preserve">to which </w:t>
      </w:r>
      <w:r w:rsidR="00646C96" w:rsidRPr="000C1BF2">
        <w:rPr>
          <w:rStyle w:val="SingleTxtGChar"/>
        </w:rPr>
        <w:t>she had applied</w:t>
      </w:r>
      <w:r w:rsidRPr="000C1BF2">
        <w:rPr>
          <w:rStyle w:val="SingleTxtGChar"/>
        </w:rPr>
        <w:t>. The Committee further notes the petitioner’s claim that</w:t>
      </w:r>
      <w:r w:rsidR="00915BEC">
        <w:rPr>
          <w:rStyle w:val="SingleTxtGChar"/>
        </w:rPr>
        <w:t>,</w:t>
      </w:r>
      <w:r w:rsidRPr="000C1BF2">
        <w:rPr>
          <w:rStyle w:val="SingleTxtGChar"/>
        </w:rPr>
        <w:t xml:space="preserve"> in </w:t>
      </w:r>
      <w:r w:rsidR="00763B04" w:rsidRPr="000C1BF2">
        <w:rPr>
          <w:rStyle w:val="SingleTxtGChar"/>
        </w:rPr>
        <w:t xml:space="preserve">its </w:t>
      </w:r>
      <w:r w:rsidRPr="000C1BF2">
        <w:rPr>
          <w:rStyle w:val="SingleTxtGChar"/>
        </w:rPr>
        <w:t>decision of 27 November 2012</w:t>
      </w:r>
      <w:r w:rsidR="00926A19" w:rsidRPr="000C1BF2">
        <w:rPr>
          <w:rStyle w:val="SingleTxtGChar"/>
        </w:rPr>
        <w:t>, the Regional Court</w:t>
      </w:r>
      <w:r w:rsidRPr="000C1BF2">
        <w:rPr>
          <w:rStyle w:val="SingleTxtGChar"/>
        </w:rPr>
        <w:t xml:space="preserve"> </w:t>
      </w:r>
      <w:r w:rsidR="00763B04" w:rsidRPr="000C1BF2">
        <w:rPr>
          <w:rStyle w:val="SingleTxtGChar"/>
        </w:rPr>
        <w:t>requested her</w:t>
      </w:r>
      <w:r w:rsidRPr="000C1BF2">
        <w:rPr>
          <w:rStyle w:val="SingleTxtGChar"/>
        </w:rPr>
        <w:t xml:space="preserve"> to prove the school</w:t>
      </w:r>
      <w:r w:rsidR="00763B04" w:rsidRPr="000C1BF2">
        <w:rPr>
          <w:rStyle w:val="SingleTxtGChar"/>
        </w:rPr>
        <w:t>’s</w:t>
      </w:r>
      <w:r w:rsidRPr="000C1BF2">
        <w:rPr>
          <w:rStyle w:val="SingleTxtGChar"/>
        </w:rPr>
        <w:t xml:space="preserve"> intent to discriminate against her</w:t>
      </w:r>
      <w:r w:rsidR="00763B04" w:rsidRPr="000C1BF2">
        <w:rPr>
          <w:rStyle w:val="SingleTxtGChar"/>
        </w:rPr>
        <w:t xml:space="preserve">, while she should not have been requested to do so </w:t>
      </w:r>
      <w:r w:rsidR="008B72D7" w:rsidRPr="000C1BF2">
        <w:rPr>
          <w:rStyle w:val="SingleTxtGChar"/>
        </w:rPr>
        <w:t>in compliance with</w:t>
      </w:r>
      <w:r w:rsidR="00763B04" w:rsidRPr="000C1BF2">
        <w:rPr>
          <w:rStyle w:val="SingleTxtGChar"/>
        </w:rPr>
        <w:t xml:space="preserve"> the shift</w:t>
      </w:r>
      <w:r w:rsidR="008B72D7" w:rsidRPr="000C1BF2">
        <w:rPr>
          <w:rStyle w:val="SingleTxtGChar"/>
        </w:rPr>
        <w:t>ed</w:t>
      </w:r>
      <w:r w:rsidR="00763B04" w:rsidRPr="000C1BF2">
        <w:rPr>
          <w:rStyle w:val="SingleTxtGChar"/>
        </w:rPr>
        <w:t xml:space="preserve"> burden of proof </w:t>
      </w:r>
      <w:r w:rsidR="008B72D7" w:rsidRPr="000C1BF2">
        <w:rPr>
          <w:rStyle w:val="SingleTxtGChar"/>
        </w:rPr>
        <w:t>under</w:t>
      </w:r>
      <w:r w:rsidR="00763B04" w:rsidRPr="000C1BF2">
        <w:rPr>
          <w:rStyle w:val="SingleTxtGChar"/>
        </w:rPr>
        <w:t xml:space="preserve"> the Anti-discrimination Act</w:t>
      </w:r>
      <w:r w:rsidRPr="000C1BF2">
        <w:rPr>
          <w:rStyle w:val="SingleTxtGChar"/>
        </w:rPr>
        <w:t>.</w:t>
      </w:r>
      <w:r w:rsidR="00606D51" w:rsidRPr="006469B8">
        <w:rPr>
          <w:rStyle w:val="FootnoteReference"/>
        </w:rPr>
        <w:footnoteReference w:id="36"/>
      </w:r>
      <w:r w:rsidR="00606D51" w:rsidRPr="000C1BF2">
        <w:rPr>
          <w:rStyle w:val="SingleTxtGChar"/>
        </w:rPr>
        <w:t xml:space="preserve"> </w:t>
      </w:r>
      <w:r w:rsidRPr="000C1BF2">
        <w:rPr>
          <w:rStyle w:val="SingleTxtGChar"/>
        </w:rPr>
        <w:t xml:space="preserve">The Committee also notes the State party’s assertion that </w:t>
      </w:r>
      <w:r w:rsidR="00D26E23" w:rsidRPr="000C1BF2">
        <w:rPr>
          <w:rStyle w:val="SingleTxtGChar"/>
        </w:rPr>
        <w:t>the</w:t>
      </w:r>
      <w:r w:rsidR="00926A19" w:rsidRPr="000C1BF2">
        <w:rPr>
          <w:rStyle w:val="SingleTxtGChar"/>
        </w:rPr>
        <w:t xml:space="preserve"> application of anti-discrimination legislation, and in particular</w:t>
      </w:r>
      <w:r w:rsidR="00590D7E" w:rsidRPr="000C1BF2">
        <w:rPr>
          <w:rStyle w:val="SingleTxtGChar"/>
        </w:rPr>
        <w:t xml:space="preserve"> of the shifted burden of proof,</w:t>
      </w:r>
      <w:r w:rsidR="00926A19" w:rsidRPr="000C1BF2">
        <w:rPr>
          <w:rStyle w:val="SingleTxtGChar"/>
        </w:rPr>
        <w:t xml:space="preserve"> </w:t>
      </w:r>
      <w:r w:rsidR="000C0F94" w:rsidRPr="000C1BF2">
        <w:rPr>
          <w:rStyle w:val="SingleTxtGChar"/>
        </w:rPr>
        <w:t xml:space="preserve">presents </w:t>
      </w:r>
      <w:r w:rsidR="00926A19" w:rsidRPr="000C1BF2">
        <w:rPr>
          <w:rStyle w:val="SingleTxtGChar"/>
        </w:rPr>
        <w:t>a certain challenge for the general</w:t>
      </w:r>
      <w:r w:rsidR="00926A19" w:rsidRPr="006969FF">
        <w:rPr>
          <w:lang w:eastAsia="cs-CZ"/>
        </w:rPr>
        <w:t xml:space="preserve"> </w:t>
      </w:r>
      <w:r w:rsidR="00926A19" w:rsidRPr="000C1BF2">
        <w:rPr>
          <w:rStyle w:val="SingleTxtGChar"/>
        </w:rPr>
        <w:t>national courts</w:t>
      </w:r>
      <w:r w:rsidR="00F00ECA">
        <w:rPr>
          <w:rStyle w:val="SingleTxtGChar"/>
        </w:rPr>
        <w:t>,</w:t>
      </w:r>
      <w:r w:rsidR="00926A19" w:rsidRPr="000C1BF2">
        <w:rPr>
          <w:rStyle w:val="SingleTxtGChar"/>
        </w:rPr>
        <w:t xml:space="preserve"> </w:t>
      </w:r>
      <w:r w:rsidR="00F00ECA">
        <w:rPr>
          <w:rStyle w:val="SingleTxtGChar"/>
        </w:rPr>
        <w:t>which</w:t>
      </w:r>
      <w:r w:rsidR="00F00ECA" w:rsidRPr="000C1BF2">
        <w:rPr>
          <w:rStyle w:val="SingleTxtGChar"/>
        </w:rPr>
        <w:t xml:space="preserve"> </w:t>
      </w:r>
      <w:r w:rsidR="00926A19" w:rsidRPr="000C1BF2">
        <w:rPr>
          <w:rStyle w:val="SingleTxtGChar"/>
        </w:rPr>
        <w:t>need to address it effectively</w:t>
      </w:r>
      <w:r w:rsidR="00A7312B">
        <w:rPr>
          <w:rStyle w:val="SingleTxtGChar"/>
        </w:rPr>
        <w:t>;</w:t>
      </w:r>
      <w:r w:rsidR="00926A19" w:rsidRPr="000C1BF2">
        <w:rPr>
          <w:rStyle w:val="SingleTxtGChar"/>
        </w:rPr>
        <w:t xml:space="preserve"> </w:t>
      </w:r>
      <w:r w:rsidR="00590D7E" w:rsidRPr="000C1BF2">
        <w:rPr>
          <w:rStyle w:val="SingleTxtGChar"/>
        </w:rPr>
        <w:t xml:space="preserve">and </w:t>
      </w:r>
      <w:r w:rsidR="00926A19" w:rsidRPr="000C1BF2">
        <w:rPr>
          <w:rStyle w:val="SingleTxtGChar"/>
        </w:rPr>
        <w:t>that the courts must</w:t>
      </w:r>
      <w:r w:rsidR="00D26E23" w:rsidRPr="000C1BF2">
        <w:rPr>
          <w:rStyle w:val="SingleTxtGChar"/>
        </w:rPr>
        <w:t xml:space="preserve"> apply the shifted burden of proof with a more careful approach</w:t>
      </w:r>
      <w:r w:rsidR="00926A19" w:rsidRPr="000C1BF2">
        <w:rPr>
          <w:rStyle w:val="SingleTxtGChar"/>
        </w:rPr>
        <w:t xml:space="preserve">, </w:t>
      </w:r>
      <w:r w:rsidR="00C30A18">
        <w:rPr>
          <w:rStyle w:val="SingleTxtGChar"/>
        </w:rPr>
        <w:t>including</w:t>
      </w:r>
      <w:r w:rsidR="00926A19" w:rsidRPr="000C1BF2">
        <w:rPr>
          <w:rStyle w:val="SingleTxtGChar"/>
        </w:rPr>
        <w:t xml:space="preserve"> with respect to the </w:t>
      </w:r>
      <w:r w:rsidR="00C30A18">
        <w:rPr>
          <w:rStyle w:val="SingleTxtGChar"/>
        </w:rPr>
        <w:t>instant</w:t>
      </w:r>
      <w:r w:rsidR="00C30A18" w:rsidRPr="000C1BF2">
        <w:rPr>
          <w:rStyle w:val="SingleTxtGChar"/>
        </w:rPr>
        <w:t xml:space="preserve"> </w:t>
      </w:r>
      <w:r w:rsidR="00300C61">
        <w:rPr>
          <w:rStyle w:val="SingleTxtGChar"/>
        </w:rPr>
        <w:t>case</w:t>
      </w:r>
      <w:r w:rsidR="00A7312B">
        <w:rPr>
          <w:rStyle w:val="SingleTxtGChar"/>
        </w:rPr>
        <w:t>.</w:t>
      </w:r>
      <w:r w:rsidR="0000279B">
        <w:rPr>
          <w:rStyle w:val="SingleTxtGChar"/>
        </w:rPr>
        <w:t xml:space="preserve"> </w:t>
      </w:r>
      <w:r w:rsidR="001775F2" w:rsidRPr="000C1BF2">
        <w:rPr>
          <w:rStyle w:val="SingleTxtGChar"/>
        </w:rPr>
        <w:t xml:space="preserve">The Committee </w:t>
      </w:r>
      <w:r w:rsidR="00A90AC6" w:rsidRPr="000C1BF2">
        <w:rPr>
          <w:rStyle w:val="SingleTxtGChar"/>
        </w:rPr>
        <w:t>considers</w:t>
      </w:r>
      <w:r w:rsidR="001775F2" w:rsidRPr="000C1BF2">
        <w:rPr>
          <w:rStyle w:val="SingleTxtGChar"/>
        </w:rPr>
        <w:t xml:space="preserve"> that the courts’ insistence that the petitioner prove discriminatory intent is inconsistent with the Convention’s prohibition of conduct having a discriminatory effect, and also with the procedure of shifted burden of proof introduced by the State party</w:t>
      </w:r>
      <w:r w:rsidR="00C93D45" w:rsidRPr="000C1BF2">
        <w:rPr>
          <w:rStyle w:val="SingleTxtGChar"/>
        </w:rPr>
        <w:t xml:space="preserve">. </w:t>
      </w:r>
      <w:r w:rsidR="00DE44CB" w:rsidRPr="000C1BF2">
        <w:rPr>
          <w:rStyle w:val="SingleTxtGChar"/>
        </w:rPr>
        <w:t xml:space="preserve">Since </w:t>
      </w:r>
      <w:r w:rsidR="005B63E8" w:rsidRPr="000C1BF2">
        <w:rPr>
          <w:rStyle w:val="SingleTxtGChar"/>
        </w:rPr>
        <w:t xml:space="preserve">the </w:t>
      </w:r>
      <w:r w:rsidR="00F9266E" w:rsidRPr="000C1BF2">
        <w:rPr>
          <w:rStyle w:val="SingleTxtGChar"/>
        </w:rPr>
        <w:t xml:space="preserve">State party has adopted such a procedure, </w:t>
      </w:r>
      <w:r w:rsidR="005B63E8" w:rsidRPr="000C1BF2">
        <w:rPr>
          <w:rStyle w:val="SingleTxtGChar"/>
        </w:rPr>
        <w:t xml:space="preserve">its </w:t>
      </w:r>
      <w:r w:rsidR="00F9266E" w:rsidRPr="000C1BF2">
        <w:rPr>
          <w:rStyle w:val="SingleTxtGChar"/>
        </w:rPr>
        <w:t xml:space="preserve">failure to apply it properly amounts </w:t>
      </w:r>
      <w:r w:rsidR="005B63E8" w:rsidRPr="000C1BF2">
        <w:rPr>
          <w:rStyle w:val="SingleTxtGChar"/>
        </w:rPr>
        <w:t xml:space="preserve">to a </w:t>
      </w:r>
      <w:r w:rsidR="00F9266E" w:rsidRPr="000C1BF2">
        <w:rPr>
          <w:rStyle w:val="SingleTxtGChar"/>
        </w:rPr>
        <w:t>violat</w:t>
      </w:r>
      <w:r w:rsidR="005B63E8" w:rsidRPr="000C1BF2">
        <w:rPr>
          <w:rStyle w:val="SingleTxtGChar"/>
        </w:rPr>
        <w:t xml:space="preserve">ion of the </w:t>
      </w:r>
      <w:r w:rsidR="00F9266E" w:rsidRPr="000C1BF2">
        <w:rPr>
          <w:rStyle w:val="SingleTxtGChar"/>
        </w:rPr>
        <w:t>petitioner</w:t>
      </w:r>
      <w:r w:rsidR="00297D99">
        <w:rPr>
          <w:rStyle w:val="SingleTxtGChar"/>
        </w:rPr>
        <w:t xml:space="preserve">’ </w:t>
      </w:r>
      <w:r w:rsidR="00F9266E" w:rsidRPr="000C1BF2">
        <w:rPr>
          <w:rStyle w:val="SingleTxtGChar"/>
        </w:rPr>
        <w:t>s right to an effective remedy, including appropriate satisfaction and reparation for the damage suffered</w:t>
      </w:r>
      <w:r w:rsidR="005B63E8" w:rsidRPr="000C1BF2">
        <w:rPr>
          <w:rStyle w:val="SingleTxtGChar"/>
        </w:rPr>
        <w:t xml:space="preserve">. </w:t>
      </w:r>
      <w:r w:rsidR="00565784" w:rsidRPr="000C1BF2">
        <w:rPr>
          <w:rStyle w:val="SingleTxtGChar"/>
        </w:rPr>
        <w:t>T</w:t>
      </w:r>
      <w:r w:rsidRPr="000C1BF2">
        <w:rPr>
          <w:rStyle w:val="SingleTxtGChar"/>
        </w:rPr>
        <w:t xml:space="preserve">he Committee </w:t>
      </w:r>
      <w:r w:rsidR="00565784" w:rsidRPr="000C1BF2">
        <w:rPr>
          <w:rStyle w:val="SingleTxtGChar"/>
        </w:rPr>
        <w:lastRenderedPageBreak/>
        <w:t xml:space="preserve">therefore </w:t>
      </w:r>
      <w:r w:rsidRPr="000C1BF2">
        <w:rPr>
          <w:rStyle w:val="SingleTxtGChar"/>
        </w:rPr>
        <w:t>concludes that the petitioner’s rights under articles 2</w:t>
      </w:r>
      <w:r w:rsidR="00D1355E">
        <w:rPr>
          <w:rStyle w:val="SingleTxtGChar"/>
        </w:rPr>
        <w:t xml:space="preserve"> (</w:t>
      </w:r>
      <w:r w:rsidRPr="000C1BF2">
        <w:rPr>
          <w:rStyle w:val="SingleTxtGChar"/>
        </w:rPr>
        <w:t>1</w:t>
      </w:r>
      <w:r w:rsidR="00D1355E">
        <w:rPr>
          <w:rStyle w:val="SingleTxtGChar"/>
        </w:rPr>
        <w:t>)</w:t>
      </w:r>
      <w:r w:rsidRPr="000C1BF2">
        <w:rPr>
          <w:rStyle w:val="SingleTxtGChar"/>
        </w:rPr>
        <w:t xml:space="preserve"> (a)</w:t>
      </w:r>
      <w:r w:rsidR="001775F2" w:rsidRPr="000C1BF2">
        <w:rPr>
          <w:rStyle w:val="SingleTxtGChar"/>
        </w:rPr>
        <w:t xml:space="preserve"> and</w:t>
      </w:r>
      <w:r w:rsidRPr="000C1BF2">
        <w:rPr>
          <w:rStyle w:val="SingleTxtGChar"/>
        </w:rPr>
        <w:t xml:space="preserve"> (c) and 6 of th</w:t>
      </w:r>
      <w:r w:rsidR="00300C61">
        <w:rPr>
          <w:rStyle w:val="SingleTxtGChar"/>
        </w:rPr>
        <w:t>e Convention have been violated</w:t>
      </w:r>
      <w:r w:rsidR="00A7312B">
        <w:rPr>
          <w:rStyle w:val="SingleTxtGChar"/>
        </w:rPr>
        <w:t>.</w:t>
      </w:r>
      <w:r w:rsidRPr="006469B8">
        <w:rPr>
          <w:rStyle w:val="FootnoteReference"/>
        </w:rPr>
        <w:footnoteReference w:id="37"/>
      </w:r>
      <w:r w:rsidR="0051542C">
        <w:t xml:space="preserve"> </w:t>
      </w:r>
    </w:p>
    <w:p w14:paraId="5EF1F532" w14:textId="77777777" w:rsidR="00B16F50" w:rsidRPr="00061947" w:rsidRDefault="00B16F50" w:rsidP="00B16F50">
      <w:pPr>
        <w:spacing w:after="120"/>
        <w:ind w:left="1134" w:right="1134"/>
        <w:jc w:val="both"/>
      </w:pPr>
      <w:r w:rsidRPr="00061947">
        <w:t xml:space="preserve">7.5 </w:t>
      </w:r>
      <w:r w:rsidRPr="00061947">
        <w:tab/>
      </w:r>
      <w:r w:rsidRPr="000C1BF2">
        <w:rPr>
          <w:rStyle w:val="SingleTxtGChar"/>
        </w:rPr>
        <w:t>In the light of the above findings, the Committee will not examine separately the petitioner’s allegations under article 2</w:t>
      </w:r>
      <w:r w:rsidR="00D1355E">
        <w:rPr>
          <w:rStyle w:val="SingleTxtGChar"/>
        </w:rPr>
        <w:t xml:space="preserve"> (</w:t>
      </w:r>
      <w:r w:rsidRPr="000C1BF2">
        <w:rPr>
          <w:rStyle w:val="SingleTxtGChar"/>
        </w:rPr>
        <w:t>1</w:t>
      </w:r>
      <w:r w:rsidR="00D1355E">
        <w:rPr>
          <w:rStyle w:val="SingleTxtGChar"/>
        </w:rPr>
        <w:t>)</w:t>
      </w:r>
      <w:r w:rsidRPr="000C1BF2">
        <w:rPr>
          <w:rStyle w:val="SingleTxtGChar"/>
        </w:rPr>
        <w:t xml:space="preserve"> </w:t>
      </w:r>
      <w:r w:rsidR="00D95009" w:rsidRPr="000C1BF2">
        <w:rPr>
          <w:rStyle w:val="SingleTxtGChar"/>
        </w:rPr>
        <w:t xml:space="preserve">(d) and </w:t>
      </w:r>
      <w:r w:rsidRPr="000C1BF2">
        <w:rPr>
          <w:rStyle w:val="SingleTxtGChar"/>
        </w:rPr>
        <w:t xml:space="preserve">(e) and </w:t>
      </w:r>
      <w:r w:rsidR="00D1355E">
        <w:rPr>
          <w:rStyle w:val="SingleTxtGChar"/>
        </w:rPr>
        <w:t>(</w:t>
      </w:r>
      <w:r w:rsidRPr="000C1BF2">
        <w:rPr>
          <w:rStyle w:val="SingleTxtGChar"/>
        </w:rPr>
        <w:t>2</w:t>
      </w:r>
      <w:r w:rsidR="00D1355E">
        <w:rPr>
          <w:rStyle w:val="SingleTxtGChar"/>
        </w:rPr>
        <w:t>)</w:t>
      </w:r>
      <w:r w:rsidRPr="000C1BF2">
        <w:rPr>
          <w:rStyle w:val="SingleTxtGChar"/>
        </w:rPr>
        <w:t xml:space="preserve"> of the Convention.</w:t>
      </w:r>
    </w:p>
    <w:p w14:paraId="03587195" w14:textId="77777777" w:rsidR="00B16F50" w:rsidRPr="00061947" w:rsidRDefault="00B16F50">
      <w:pPr>
        <w:spacing w:after="120"/>
        <w:ind w:left="1134" w:right="1134"/>
        <w:jc w:val="both"/>
        <w:rPr>
          <w:lang w:eastAsia="en-GB"/>
        </w:rPr>
      </w:pPr>
      <w:r w:rsidRPr="00061947">
        <w:rPr>
          <w:lang w:eastAsia="en-GB"/>
        </w:rPr>
        <w:t>8.</w:t>
      </w:r>
      <w:r w:rsidRPr="00061947">
        <w:rPr>
          <w:lang w:eastAsia="en-GB"/>
        </w:rPr>
        <w:tab/>
      </w:r>
      <w:r w:rsidRPr="00300C61">
        <w:rPr>
          <w:rStyle w:val="SingleTxtGChar"/>
        </w:rPr>
        <w:t>In the circumstances of the case, the Committee, acting under article 14</w:t>
      </w:r>
      <w:r w:rsidR="00D1355E">
        <w:rPr>
          <w:rStyle w:val="SingleTxtGChar"/>
        </w:rPr>
        <w:t xml:space="preserve"> (</w:t>
      </w:r>
      <w:r w:rsidRPr="00300C61">
        <w:rPr>
          <w:rStyle w:val="SingleTxtGChar"/>
        </w:rPr>
        <w:t>7</w:t>
      </w:r>
      <w:r w:rsidR="00D1355E">
        <w:rPr>
          <w:rStyle w:val="SingleTxtGChar"/>
        </w:rPr>
        <w:t>)</w:t>
      </w:r>
      <w:r w:rsidRPr="00300C61">
        <w:rPr>
          <w:rStyle w:val="SingleTxtGChar"/>
        </w:rPr>
        <w:t xml:space="preserve"> (a) of the Convention, considers that the facts before it disclose a violation of articles 2</w:t>
      </w:r>
      <w:r w:rsidR="00D1355E">
        <w:rPr>
          <w:rStyle w:val="SingleTxtGChar"/>
        </w:rPr>
        <w:t xml:space="preserve"> (</w:t>
      </w:r>
      <w:r w:rsidRPr="00300C61">
        <w:rPr>
          <w:rStyle w:val="SingleTxtGChar"/>
        </w:rPr>
        <w:t>1</w:t>
      </w:r>
      <w:r w:rsidR="00D1355E">
        <w:rPr>
          <w:rStyle w:val="SingleTxtGChar"/>
        </w:rPr>
        <w:t>)</w:t>
      </w:r>
      <w:r w:rsidRPr="00300C61">
        <w:rPr>
          <w:rStyle w:val="SingleTxtGChar"/>
        </w:rPr>
        <w:t xml:space="preserve"> (a)</w:t>
      </w:r>
      <w:r w:rsidR="00D95009" w:rsidRPr="00300C61">
        <w:rPr>
          <w:rStyle w:val="SingleTxtGChar"/>
        </w:rPr>
        <w:t xml:space="preserve"> and</w:t>
      </w:r>
      <w:r w:rsidRPr="00300C61">
        <w:rPr>
          <w:rStyle w:val="SingleTxtGChar"/>
        </w:rPr>
        <w:t xml:space="preserve"> (c), </w:t>
      </w:r>
      <w:r w:rsidR="00D95009" w:rsidRPr="00300C61">
        <w:rPr>
          <w:rStyle w:val="SingleTxtGChar"/>
        </w:rPr>
        <w:t xml:space="preserve">5 (e) (i) </w:t>
      </w:r>
      <w:r w:rsidRPr="00300C61">
        <w:rPr>
          <w:rStyle w:val="SingleTxtGChar"/>
        </w:rPr>
        <w:t>and 6 of the Convention by the State party.</w:t>
      </w:r>
    </w:p>
    <w:p w14:paraId="730A229D" w14:textId="77777777" w:rsidR="00B16F50" w:rsidRPr="00061947" w:rsidRDefault="00B16F50">
      <w:pPr>
        <w:spacing w:after="120"/>
        <w:ind w:left="1134" w:right="1134"/>
        <w:jc w:val="both"/>
      </w:pPr>
      <w:r w:rsidRPr="00061947">
        <w:rPr>
          <w:lang w:eastAsia="en-GB"/>
        </w:rPr>
        <w:t xml:space="preserve">9. </w:t>
      </w:r>
      <w:r w:rsidRPr="00061947">
        <w:rPr>
          <w:lang w:eastAsia="en-GB"/>
        </w:rPr>
        <w:tab/>
      </w:r>
      <w:r w:rsidRPr="00300C61">
        <w:rPr>
          <w:rStyle w:val="SingleTxtGChar"/>
        </w:rPr>
        <w:t xml:space="preserve">The Committee recommends that the State party </w:t>
      </w:r>
      <w:r w:rsidR="00C30A18">
        <w:rPr>
          <w:rStyle w:val="SingleTxtGChar"/>
        </w:rPr>
        <w:t>convey</w:t>
      </w:r>
      <w:r w:rsidR="00C30A18" w:rsidRPr="00300C61">
        <w:rPr>
          <w:rStyle w:val="SingleTxtGChar"/>
        </w:rPr>
        <w:t xml:space="preserve"> </w:t>
      </w:r>
      <w:r w:rsidR="00C30A18">
        <w:rPr>
          <w:rStyle w:val="SingleTxtGChar"/>
        </w:rPr>
        <w:t xml:space="preserve">an </w:t>
      </w:r>
      <w:r w:rsidRPr="00300C61">
        <w:rPr>
          <w:rStyle w:val="SingleTxtGChar"/>
        </w:rPr>
        <w:t>apology to the petitioner and grant her adequate compensation for the damage caused by the above-mentioned violations of the Convention. The Committee also recommends that the State party fully enforce</w:t>
      </w:r>
      <w:r w:rsidR="00EB0356" w:rsidRPr="00300C61">
        <w:rPr>
          <w:rStyle w:val="SingleTxtGChar"/>
        </w:rPr>
        <w:t>s</w:t>
      </w:r>
      <w:r w:rsidRPr="00300C61">
        <w:rPr>
          <w:rStyle w:val="SingleTxtGChar"/>
        </w:rPr>
        <w:t xml:space="preserve"> </w:t>
      </w:r>
      <w:r w:rsidR="00EB0356" w:rsidRPr="00300C61">
        <w:rPr>
          <w:rStyle w:val="SingleTxtGChar"/>
        </w:rPr>
        <w:t xml:space="preserve">its </w:t>
      </w:r>
      <w:r w:rsidRPr="00300C61">
        <w:rPr>
          <w:rStyle w:val="SingleTxtGChar"/>
        </w:rPr>
        <w:t>Anti-discrimination Act</w:t>
      </w:r>
      <w:r w:rsidR="00F00ECA">
        <w:rPr>
          <w:rStyle w:val="SingleTxtGChar"/>
        </w:rPr>
        <w:t>:</w:t>
      </w:r>
      <w:r w:rsidRPr="00300C61">
        <w:rPr>
          <w:rStyle w:val="SingleTxtGChar"/>
        </w:rPr>
        <w:t xml:space="preserve"> </w:t>
      </w:r>
      <w:r w:rsidR="00EB0356" w:rsidRPr="00300C61">
        <w:rPr>
          <w:rStyle w:val="SingleTxtGChar"/>
        </w:rPr>
        <w:t>(</w:t>
      </w:r>
      <w:r w:rsidR="00F00ECA">
        <w:rPr>
          <w:rStyle w:val="SingleTxtGChar"/>
        </w:rPr>
        <w:t>a</w:t>
      </w:r>
      <w:r w:rsidR="00EB0356" w:rsidRPr="00300C61">
        <w:rPr>
          <w:rStyle w:val="SingleTxtGChar"/>
        </w:rPr>
        <w:t xml:space="preserve">) through the enhancement </w:t>
      </w:r>
      <w:r w:rsidRPr="00300C61">
        <w:rPr>
          <w:rStyle w:val="SingleTxtGChar"/>
        </w:rPr>
        <w:t xml:space="preserve">of </w:t>
      </w:r>
      <w:r w:rsidR="00EB0356" w:rsidRPr="00300C61">
        <w:rPr>
          <w:rStyle w:val="SingleTxtGChar"/>
        </w:rPr>
        <w:t xml:space="preserve">available </w:t>
      </w:r>
      <w:r w:rsidRPr="00300C61">
        <w:rPr>
          <w:rStyle w:val="SingleTxtGChar"/>
        </w:rPr>
        <w:t xml:space="preserve">court proceedings for victims of racial discrimination by ensuring, inter alia, that the principle of </w:t>
      </w:r>
      <w:r w:rsidR="00EB0356" w:rsidRPr="00300C61">
        <w:rPr>
          <w:rStyle w:val="SingleTxtGChar"/>
        </w:rPr>
        <w:t>shifted</w:t>
      </w:r>
      <w:r w:rsidRPr="00300C61">
        <w:rPr>
          <w:rStyle w:val="SingleTxtGChar"/>
        </w:rPr>
        <w:t xml:space="preserve"> burden of proof is applied in </w:t>
      </w:r>
      <w:r w:rsidR="00C30A18">
        <w:rPr>
          <w:rStyle w:val="SingleTxtGChar"/>
        </w:rPr>
        <w:t>accordance</w:t>
      </w:r>
      <w:r w:rsidR="00C30A18" w:rsidRPr="00300C61">
        <w:rPr>
          <w:rStyle w:val="SingleTxtGChar"/>
        </w:rPr>
        <w:t xml:space="preserve"> </w:t>
      </w:r>
      <w:r w:rsidRPr="00300C61">
        <w:rPr>
          <w:rStyle w:val="SingleTxtGChar"/>
        </w:rPr>
        <w:t>with article 11 of the Anti-discrimination Act</w:t>
      </w:r>
      <w:r w:rsidR="00F00ECA">
        <w:rPr>
          <w:rStyle w:val="SingleTxtGChar"/>
        </w:rPr>
        <w:t>; and</w:t>
      </w:r>
      <w:r w:rsidR="00EB0356" w:rsidRPr="00300C61">
        <w:rPr>
          <w:rStyle w:val="SingleTxtGChar"/>
        </w:rPr>
        <w:t xml:space="preserve"> (</w:t>
      </w:r>
      <w:r w:rsidR="00F00ECA">
        <w:rPr>
          <w:rStyle w:val="SingleTxtGChar"/>
        </w:rPr>
        <w:t>b</w:t>
      </w:r>
      <w:r w:rsidR="00EB0356" w:rsidRPr="00300C61">
        <w:rPr>
          <w:rStyle w:val="SingleTxtGChar"/>
        </w:rPr>
        <w:t xml:space="preserve">) through </w:t>
      </w:r>
      <w:r w:rsidR="00C906F5" w:rsidRPr="00300C61">
        <w:rPr>
          <w:rStyle w:val="SingleTxtGChar"/>
        </w:rPr>
        <w:t xml:space="preserve">the provision of </w:t>
      </w:r>
      <w:r w:rsidR="00EB0356" w:rsidRPr="00300C61">
        <w:rPr>
          <w:rStyle w:val="SingleTxtGChar"/>
        </w:rPr>
        <w:t>clear information about available domestic remedies in cases of racial discrimination</w:t>
      </w:r>
      <w:r w:rsidRPr="00300C61">
        <w:rPr>
          <w:rStyle w:val="SingleTxtGChar"/>
        </w:rPr>
        <w:t xml:space="preserve">. </w:t>
      </w:r>
      <w:r w:rsidR="00FB5131" w:rsidRPr="00300C61">
        <w:rPr>
          <w:rStyle w:val="SingleTxtGChar"/>
        </w:rPr>
        <w:t xml:space="preserve">The Committee further recommends </w:t>
      </w:r>
      <w:r w:rsidR="00C30A18">
        <w:rPr>
          <w:rStyle w:val="SingleTxtGChar"/>
        </w:rPr>
        <w:t>that</w:t>
      </w:r>
      <w:r w:rsidR="00C30A18" w:rsidRPr="00300C61">
        <w:rPr>
          <w:rStyle w:val="SingleTxtGChar"/>
        </w:rPr>
        <w:t xml:space="preserve"> </w:t>
      </w:r>
      <w:r w:rsidR="00FB5131" w:rsidRPr="00300C61">
        <w:rPr>
          <w:rStyle w:val="SingleTxtGChar"/>
        </w:rPr>
        <w:t xml:space="preserve">the State party </w:t>
      </w:r>
      <w:r w:rsidR="00DE44CB" w:rsidRPr="00300C61">
        <w:rPr>
          <w:rStyle w:val="SingleTxtGChar"/>
        </w:rPr>
        <w:t xml:space="preserve">take </w:t>
      </w:r>
      <w:r w:rsidR="00A90AC6" w:rsidRPr="00300C61">
        <w:rPr>
          <w:rStyle w:val="SingleTxtGChar"/>
        </w:rPr>
        <w:t>all</w:t>
      </w:r>
      <w:r w:rsidR="00A90AC6" w:rsidRPr="000C1BF2">
        <w:rPr>
          <w:rStyle w:val="SingleTxtGChar"/>
        </w:rPr>
        <w:t xml:space="preserve"> </w:t>
      </w:r>
      <w:r w:rsidR="00DE44CB" w:rsidRPr="00300C61">
        <w:rPr>
          <w:rStyle w:val="SingleTxtGChar"/>
        </w:rPr>
        <w:t xml:space="preserve">measures </w:t>
      </w:r>
      <w:r w:rsidR="00F00ECA" w:rsidRPr="00300C61">
        <w:rPr>
          <w:rStyle w:val="SingleTxtGChar"/>
        </w:rPr>
        <w:t xml:space="preserve">necessary </w:t>
      </w:r>
      <w:r w:rsidR="00DE44CB" w:rsidRPr="00300C61">
        <w:rPr>
          <w:rStyle w:val="SingleTxtGChar"/>
        </w:rPr>
        <w:t>to ensure</w:t>
      </w:r>
      <w:r w:rsidR="00A90AC6" w:rsidRPr="00300C61">
        <w:rPr>
          <w:rStyle w:val="SingleTxtGChar"/>
        </w:rPr>
        <w:t xml:space="preserve"> that </w:t>
      </w:r>
      <w:r w:rsidR="00FB5131" w:rsidRPr="00300C61">
        <w:rPr>
          <w:rStyle w:val="SingleTxtGChar"/>
        </w:rPr>
        <w:t xml:space="preserve">persons involved in education, at all levels, </w:t>
      </w:r>
      <w:r w:rsidR="00A90AC6" w:rsidRPr="00300C61">
        <w:rPr>
          <w:rStyle w:val="SingleTxtGChar"/>
        </w:rPr>
        <w:t xml:space="preserve">are periodically trained </w:t>
      </w:r>
      <w:r w:rsidR="00FB5131" w:rsidRPr="00300C61">
        <w:rPr>
          <w:rStyle w:val="SingleTxtGChar"/>
        </w:rPr>
        <w:t xml:space="preserve">on the requirements to prevent and avoid racial discrimination, in accordance with the provisions of the Convention. </w:t>
      </w:r>
      <w:r w:rsidRPr="00300C61">
        <w:rPr>
          <w:rStyle w:val="SingleTxtGChar"/>
        </w:rPr>
        <w:t xml:space="preserve">In addition, the Committee </w:t>
      </w:r>
      <w:r w:rsidR="00F70668" w:rsidRPr="00300C61">
        <w:rPr>
          <w:rStyle w:val="SingleTxtGChar"/>
        </w:rPr>
        <w:t xml:space="preserve">recommends that the State party </w:t>
      </w:r>
      <w:r w:rsidR="00EB0356" w:rsidRPr="00300C61">
        <w:rPr>
          <w:rStyle w:val="SingleTxtGChar"/>
        </w:rPr>
        <w:t>ensure the organization of adequate</w:t>
      </w:r>
      <w:r w:rsidRPr="00300C61">
        <w:rPr>
          <w:rStyle w:val="SingleTxtGChar"/>
        </w:rPr>
        <w:t xml:space="preserve"> training</w:t>
      </w:r>
      <w:r w:rsidR="00EB0356" w:rsidRPr="00300C61">
        <w:rPr>
          <w:rStyle w:val="SingleTxtGChar"/>
        </w:rPr>
        <w:t xml:space="preserve"> programmes</w:t>
      </w:r>
      <w:r w:rsidRPr="00300C61">
        <w:rPr>
          <w:rStyle w:val="SingleTxtGChar"/>
        </w:rPr>
        <w:t xml:space="preserve"> on equality before the law for law enforcement officials, including judges, focusing on the application of the Convention and the An</w:t>
      </w:r>
      <w:r w:rsidR="00300C61" w:rsidRPr="00300C61">
        <w:rPr>
          <w:rStyle w:val="SingleTxtGChar"/>
        </w:rPr>
        <w:t xml:space="preserve">ti-discrimination Act in </w:t>
      </w:r>
      <w:r w:rsidR="00C30A18">
        <w:rPr>
          <w:rStyle w:val="SingleTxtGChar"/>
        </w:rPr>
        <w:t xml:space="preserve">the </w:t>
      </w:r>
      <w:r w:rsidR="00300C61" w:rsidRPr="00300C61">
        <w:rPr>
          <w:rStyle w:val="SingleTxtGChar"/>
        </w:rPr>
        <w:t>courts</w:t>
      </w:r>
      <w:r w:rsidR="00A7312B">
        <w:rPr>
          <w:rStyle w:val="SingleTxtGChar"/>
        </w:rPr>
        <w:t>.</w:t>
      </w:r>
      <w:r w:rsidRPr="006469B8">
        <w:rPr>
          <w:rStyle w:val="FootnoteReference"/>
        </w:rPr>
        <w:footnoteReference w:id="38"/>
      </w:r>
      <w:r w:rsidRPr="00300C61">
        <w:rPr>
          <w:rStyle w:val="SingleTxtGChar"/>
        </w:rPr>
        <w:t xml:space="preserve"> The State party is also requested to give wide</w:t>
      </w:r>
      <w:r w:rsidR="00F00ECA">
        <w:rPr>
          <w:rStyle w:val="SingleTxtGChar"/>
        </w:rPr>
        <w:t>ly</w:t>
      </w:r>
      <w:r w:rsidRPr="00300C61">
        <w:rPr>
          <w:rStyle w:val="SingleTxtGChar"/>
        </w:rPr>
        <w:t xml:space="preserve"> </w:t>
      </w:r>
      <w:r w:rsidR="00F00ECA">
        <w:rPr>
          <w:rStyle w:val="SingleTxtGChar"/>
        </w:rPr>
        <w:t>disseminate</w:t>
      </w:r>
      <w:r w:rsidRPr="00300C61">
        <w:rPr>
          <w:rStyle w:val="SingleTxtGChar"/>
        </w:rPr>
        <w:t xml:space="preserve"> the Committee’s </w:t>
      </w:r>
      <w:r w:rsidR="00C30A18">
        <w:rPr>
          <w:rStyle w:val="SingleTxtGChar"/>
        </w:rPr>
        <w:t>o</w:t>
      </w:r>
      <w:r w:rsidRPr="00300C61">
        <w:rPr>
          <w:rStyle w:val="SingleTxtGChar"/>
        </w:rPr>
        <w:t>pinion, including among judicial bodies, and to translate it into the official language of the State party.</w:t>
      </w:r>
      <w:r w:rsidRPr="00061947">
        <w:t xml:space="preserve"> </w:t>
      </w:r>
    </w:p>
    <w:p w14:paraId="66DED7CB" w14:textId="77777777" w:rsidR="00B16F50" w:rsidRPr="00513744" w:rsidRDefault="00B16F50" w:rsidP="00B16F50">
      <w:pPr>
        <w:spacing w:after="120"/>
        <w:ind w:left="1134" w:right="1134"/>
        <w:jc w:val="both"/>
      </w:pPr>
      <w:r w:rsidRPr="00061947">
        <w:t>10.</w:t>
      </w:r>
      <w:r w:rsidRPr="00061947">
        <w:tab/>
      </w:r>
      <w:r w:rsidRPr="00300C61">
        <w:rPr>
          <w:rStyle w:val="SingleTxtGChar"/>
        </w:rPr>
        <w:t xml:space="preserve">The Committee wishes to receive, within 90 days, information from the State party about the measures taken to give effect to the Committee’s </w:t>
      </w:r>
      <w:r w:rsidR="00C30A18">
        <w:rPr>
          <w:rStyle w:val="SingleTxtGChar"/>
        </w:rPr>
        <w:t>o</w:t>
      </w:r>
      <w:r w:rsidRPr="00300C61">
        <w:rPr>
          <w:rStyle w:val="SingleTxtGChar"/>
        </w:rPr>
        <w:t>pinion</w:t>
      </w:r>
      <w:r w:rsidRPr="000C1BF2">
        <w:rPr>
          <w:rStyle w:val="SingleTxtGChar"/>
        </w:rPr>
        <w:t>.</w:t>
      </w:r>
    </w:p>
    <w:p w14:paraId="0E098335" w14:textId="77777777" w:rsidR="00B16F50" w:rsidRDefault="00B16F50" w:rsidP="00B16F50">
      <w:pPr>
        <w:pStyle w:val="SingleTxtG"/>
        <w:spacing w:before="240" w:after="0"/>
        <w:jc w:val="center"/>
      </w:pPr>
      <w:r>
        <w:rPr>
          <w:u w:val="single"/>
        </w:rPr>
        <w:tab/>
      </w:r>
      <w:r>
        <w:rPr>
          <w:u w:val="single"/>
        </w:rPr>
        <w:tab/>
      </w:r>
      <w:r>
        <w:rPr>
          <w:u w:val="single"/>
        </w:rPr>
        <w:tab/>
      </w:r>
    </w:p>
    <w:p w14:paraId="1DFB306B" w14:textId="77777777" w:rsidR="00B16F50" w:rsidRPr="00B16F50" w:rsidRDefault="00B16F50" w:rsidP="00B16F50"/>
    <w:p w14:paraId="487D3A22" w14:textId="77777777" w:rsidR="00061EEF" w:rsidRPr="00876365" w:rsidRDefault="00061EEF" w:rsidP="00061EEF">
      <w:pPr>
        <w:pStyle w:val="SingleTxtG"/>
        <w:spacing w:before="240" w:after="0"/>
        <w:jc w:val="center"/>
      </w:pPr>
    </w:p>
    <w:sectPr w:rsidR="00061EEF" w:rsidRPr="00876365" w:rsidSect="001E6BAF">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art" w:date="2016-01-06T15:21:00Z" w:initials="Start">
    <w:p w14:paraId="237946A6" w14:textId="77777777" w:rsidR="001E6BAF" w:rsidRDefault="001E6BA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NO&gt;&gt;N1600165E&lt;&lt;ODS JOB NO&gt;&gt;</w:t>
      </w:r>
    </w:p>
    <w:p w14:paraId="7E981E40" w14:textId="77777777" w:rsidR="001E6BAF" w:rsidRPr="00800047" w:rsidRDefault="001E6BAF">
      <w:pPr>
        <w:pStyle w:val="CommentText"/>
        <w:rPr>
          <w:lang w:val="fr-CH"/>
        </w:rPr>
      </w:pPr>
      <w:r w:rsidRPr="00800047">
        <w:rPr>
          <w:lang w:val="fr-CH"/>
        </w:rPr>
        <w:t>&lt;&lt;ODS DOC SYMBOL1&gt;&gt;CERD/C/88/D/56/2014&lt;&lt;ODS DOC SYMBOL1&gt;&gt;</w:t>
      </w:r>
    </w:p>
    <w:p w14:paraId="2CCD7630" w14:textId="77777777" w:rsidR="001E6BAF" w:rsidRDefault="001E6BAF">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CD763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EB56F" w14:textId="77777777" w:rsidR="00290084" w:rsidRDefault="00290084"/>
  </w:endnote>
  <w:endnote w:type="continuationSeparator" w:id="0">
    <w:p w14:paraId="169866FC" w14:textId="77777777" w:rsidR="00290084" w:rsidRDefault="00290084"/>
  </w:endnote>
  <w:endnote w:type="continuationNotice" w:id="1">
    <w:p w14:paraId="5522A76E" w14:textId="77777777" w:rsidR="00290084" w:rsidRDefault="00290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2DA0F" w14:textId="77777777" w:rsidR="00915BEC" w:rsidRPr="00272073" w:rsidRDefault="00915BEC" w:rsidP="00272073">
    <w:pPr>
      <w:pStyle w:val="Footer"/>
      <w:tabs>
        <w:tab w:val="right" w:pos="9638"/>
      </w:tabs>
    </w:pPr>
    <w:r w:rsidRPr="00272073">
      <w:rPr>
        <w:b/>
        <w:sz w:val="18"/>
      </w:rPr>
      <w:fldChar w:fldCharType="begin"/>
    </w:r>
    <w:r w:rsidRPr="00272073">
      <w:rPr>
        <w:b/>
        <w:sz w:val="18"/>
      </w:rPr>
      <w:instrText xml:space="preserve"> PAGE  \* MERGEFORMAT </w:instrText>
    </w:r>
    <w:r w:rsidRPr="00272073">
      <w:rPr>
        <w:b/>
        <w:sz w:val="18"/>
      </w:rPr>
      <w:fldChar w:fldCharType="separate"/>
    </w:r>
    <w:r w:rsidR="00232E3C">
      <w:rPr>
        <w:b/>
        <w:noProof/>
        <w:sz w:val="18"/>
      </w:rPr>
      <w:t>2</w:t>
    </w:r>
    <w:r w:rsidRPr="0027207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382C5" w14:textId="77777777" w:rsidR="00915BEC" w:rsidRPr="00272073" w:rsidRDefault="00915BEC" w:rsidP="00272073">
    <w:pPr>
      <w:pStyle w:val="Footer"/>
      <w:tabs>
        <w:tab w:val="right" w:pos="9638"/>
      </w:tabs>
      <w:rPr>
        <w:b/>
        <w:sz w:val="18"/>
      </w:rPr>
    </w:pPr>
    <w:r>
      <w:tab/>
    </w:r>
    <w:r w:rsidRPr="00272073">
      <w:rPr>
        <w:b/>
        <w:sz w:val="18"/>
      </w:rPr>
      <w:fldChar w:fldCharType="begin"/>
    </w:r>
    <w:r w:rsidRPr="00272073">
      <w:rPr>
        <w:b/>
        <w:sz w:val="18"/>
      </w:rPr>
      <w:instrText xml:space="preserve"> PAGE  \* MERGEFORMAT </w:instrText>
    </w:r>
    <w:r w:rsidRPr="00272073">
      <w:rPr>
        <w:b/>
        <w:sz w:val="18"/>
      </w:rPr>
      <w:fldChar w:fldCharType="separate"/>
    </w:r>
    <w:r w:rsidR="00232E3C">
      <w:rPr>
        <w:b/>
        <w:noProof/>
        <w:sz w:val="18"/>
      </w:rPr>
      <w:t>3</w:t>
    </w:r>
    <w:r w:rsidRPr="00272073">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1E6BAF" w14:paraId="6A0C4830" w14:textId="77777777" w:rsidTr="001E6BAF">
      <w:tc>
        <w:tcPr>
          <w:tcW w:w="3614" w:type="dxa"/>
          <w:shd w:val="clear" w:color="auto" w:fill="auto"/>
        </w:tcPr>
        <w:p w14:paraId="448A1B8C" w14:textId="77777777" w:rsidR="001E6BAF" w:rsidRDefault="001E6BAF" w:rsidP="001E6BAF">
          <w:pPr>
            <w:pStyle w:val="Footer"/>
            <w:rPr>
              <w:sz w:val="20"/>
            </w:rPr>
          </w:pPr>
          <w:r>
            <w:rPr>
              <w:noProof/>
              <w:sz w:val="20"/>
              <w:lang w:val="en-US"/>
            </w:rPr>
            <w:drawing>
              <wp:anchor distT="0" distB="0" distL="114300" distR="114300" simplePos="0" relativeHeight="251658240" behindDoc="0" locked="0" layoutInCell="1" allowOverlap="1" wp14:anchorId="57081662" wp14:editId="6C4F9500">
                <wp:simplePos x="0" y="0"/>
                <wp:positionH relativeFrom="column">
                  <wp:posOffset>5312410</wp:posOffset>
                </wp:positionH>
                <wp:positionV relativeFrom="paragraph">
                  <wp:posOffset>-365760</wp:posOffset>
                </wp:positionV>
                <wp:extent cx="694690" cy="694690"/>
                <wp:effectExtent l="0" t="0" r="0" b="0"/>
                <wp:wrapNone/>
                <wp:docPr id="2" name="Picture 2" descr="http://undocs.org/m2/QRCode2.ashx?DS=CERD/C/88/D/56/201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ERD/C/88/D/56/201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GE.16-00123(E)</w:t>
          </w:r>
        </w:p>
        <w:p w14:paraId="014FACC5" w14:textId="77777777" w:rsidR="001E6BAF" w:rsidRPr="001E6BAF" w:rsidRDefault="001E6BAF" w:rsidP="001E6BAF">
          <w:pPr>
            <w:pStyle w:val="Footer"/>
            <w:rPr>
              <w:rFonts w:ascii="Barcode 3 of 9 by request" w:hAnsi="Barcode 3 of 9 by request"/>
              <w:sz w:val="24"/>
            </w:rPr>
          </w:pPr>
          <w:r>
            <w:rPr>
              <w:rFonts w:ascii="Barcode 3 of 9 by request" w:hAnsi="Barcode 3 of 9 by request"/>
              <w:sz w:val="24"/>
            </w:rPr>
            <w:t>*1600123*</w:t>
          </w:r>
        </w:p>
      </w:tc>
      <w:tc>
        <w:tcPr>
          <w:tcW w:w="4752" w:type="dxa"/>
          <w:shd w:val="clear" w:color="auto" w:fill="auto"/>
        </w:tcPr>
        <w:p w14:paraId="68A3AC0C" w14:textId="77777777" w:rsidR="001E6BAF" w:rsidRDefault="001E6BAF" w:rsidP="001E6BAF">
          <w:pPr>
            <w:pStyle w:val="Footer"/>
            <w:spacing w:line="240" w:lineRule="atLeast"/>
            <w:jc w:val="right"/>
            <w:rPr>
              <w:sz w:val="20"/>
            </w:rPr>
          </w:pPr>
          <w:r>
            <w:rPr>
              <w:noProof/>
              <w:sz w:val="20"/>
              <w:lang w:val="en-US"/>
            </w:rPr>
            <w:drawing>
              <wp:inline distT="0" distB="0" distL="0" distR="0" wp14:anchorId="44141451" wp14:editId="515C2FE1">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743A3A18" w14:textId="77777777" w:rsidR="001E6BAF" w:rsidRPr="001E6BAF" w:rsidRDefault="001E6BAF" w:rsidP="001E6BAF">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D36AA" w14:textId="77777777" w:rsidR="00290084" w:rsidRPr="000B175B" w:rsidRDefault="00290084" w:rsidP="000B175B">
      <w:pPr>
        <w:tabs>
          <w:tab w:val="right" w:pos="2155"/>
        </w:tabs>
        <w:spacing w:after="80"/>
        <w:ind w:left="680"/>
        <w:rPr>
          <w:u w:val="single"/>
        </w:rPr>
      </w:pPr>
      <w:r>
        <w:rPr>
          <w:u w:val="single"/>
        </w:rPr>
        <w:tab/>
      </w:r>
    </w:p>
  </w:footnote>
  <w:footnote w:type="continuationSeparator" w:id="0">
    <w:p w14:paraId="0DA2168F" w14:textId="77777777" w:rsidR="00290084" w:rsidRPr="00FC68B7" w:rsidRDefault="00290084" w:rsidP="00FC68B7">
      <w:pPr>
        <w:tabs>
          <w:tab w:val="left" w:pos="2155"/>
        </w:tabs>
        <w:spacing w:after="80"/>
        <w:ind w:left="680"/>
        <w:rPr>
          <w:u w:val="single"/>
        </w:rPr>
      </w:pPr>
      <w:r>
        <w:rPr>
          <w:u w:val="single"/>
        </w:rPr>
        <w:tab/>
      </w:r>
    </w:p>
  </w:footnote>
  <w:footnote w:type="continuationNotice" w:id="1">
    <w:p w14:paraId="51F2B2DC" w14:textId="77777777" w:rsidR="00290084" w:rsidRDefault="00290084"/>
  </w:footnote>
  <w:footnote w:id="2">
    <w:p w14:paraId="58A5BD61" w14:textId="77777777" w:rsidR="00915BEC" w:rsidRPr="00DF71DE" w:rsidRDefault="00915BEC">
      <w:pPr>
        <w:pStyle w:val="FootnoteText"/>
      </w:pPr>
      <w:r>
        <w:rPr>
          <w:rStyle w:val="FootnoteReference"/>
        </w:rPr>
        <w:tab/>
      </w:r>
      <w:r w:rsidRPr="00903E31">
        <w:rPr>
          <w:rStyle w:val="FootnoteReference"/>
          <w:sz w:val="20"/>
          <w:vertAlign w:val="baseline"/>
        </w:rPr>
        <w:t>*</w:t>
      </w:r>
      <w:r>
        <w:rPr>
          <w:rStyle w:val="FootnoteReference"/>
          <w:sz w:val="20"/>
          <w:vertAlign w:val="baseline"/>
        </w:rPr>
        <w:tab/>
      </w:r>
      <w:r w:rsidRPr="00C250EA">
        <w:t>The following members of the Committee participated in the examination of the present communication: Nourredine Amir, Alexei Avtonomov, Marc Bossuyt, Jos</w:t>
      </w:r>
      <w:r w:rsidR="00C250EA">
        <w:t>é</w:t>
      </w:r>
      <w:r w:rsidRPr="00C250EA">
        <w:t xml:space="preserve"> Francisco Cali Tzay, Anastasia Crickley, Ion Diaconu, Young’an Huang, Patricia Nozipho January-Bardill, Anwar Kemal, Melhem Khalaf, Gun Kut and Yeung Kam John Yeung Sik Yuen.</w:t>
      </w:r>
    </w:p>
  </w:footnote>
  <w:footnote w:id="3">
    <w:p w14:paraId="695F08A1" w14:textId="77777777" w:rsidR="00915BEC" w:rsidRDefault="00915BEC" w:rsidP="00342F9B">
      <w:pPr>
        <w:pStyle w:val="FootnoteText"/>
        <w:ind w:hanging="283"/>
      </w:pPr>
      <w:r>
        <w:tab/>
      </w:r>
      <w:r w:rsidRPr="006469B8">
        <w:rPr>
          <w:rStyle w:val="FootnoteReference"/>
        </w:rPr>
        <w:footnoteRef/>
      </w:r>
      <w:r>
        <w:t xml:space="preserve"> </w:t>
      </w:r>
      <w:r>
        <w:tab/>
      </w:r>
      <w:r w:rsidRPr="00A646FD">
        <w:t>The Convention was ratified by Slovak</w:t>
      </w:r>
      <w:r>
        <w:t>ia</w:t>
      </w:r>
      <w:r w:rsidRPr="00A646FD">
        <w:t xml:space="preserve"> on 28 May 1993 by way of declaration on </w:t>
      </w:r>
      <w:r w:rsidRPr="00C250EA">
        <w:t>succession</w:t>
      </w:r>
      <w:r w:rsidRPr="00A646FD">
        <w:t xml:space="preserve">, and the declaration under article 14 was </w:t>
      </w:r>
      <w:r w:rsidRPr="00C250EA">
        <w:t>made on 17 March 1995</w:t>
      </w:r>
      <w:r w:rsidRPr="00A646FD">
        <w:t>.</w:t>
      </w:r>
    </w:p>
  </w:footnote>
  <w:footnote w:id="4">
    <w:p w14:paraId="7DDAF2E2" w14:textId="77777777" w:rsidR="00915BEC" w:rsidRPr="0043018C" w:rsidRDefault="00915BEC" w:rsidP="0000279B">
      <w:pPr>
        <w:pStyle w:val="FootnoteText"/>
      </w:pPr>
      <w:r>
        <w:tab/>
      </w:r>
      <w:r w:rsidRPr="006469B8">
        <w:rPr>
          <w:rStyle w:val="FootnoteReference"/>
        </w:rPr>
        <w:footnoteRef/>
      </w:r>
      <w:r>
        <w:tab/>
      </w:r>
      <w:r w:rsidRPr="0043018C">
        <w:t>There was no vacancy announcement for a teach</w:t>
      </w:r>
      <w:r>
        <w:t>ing</w:t>
      </w:r>
      <w:r w:rsidRPr="0043018C">
        <w:t xml:space="preserve"> position. </w:t>
      </w:r>
    </w:p>
  </w:footnote>
  <w:footnote w:id="5">
    <w:p w14:paraId="53A4C59B" w14:textId="77777777" w:rsidR="00915BEC" w:rsidRPr="0043018C" w:rsidRDefault="00915BEC" w:rsidP="0000279B">
      <w:pPr>
        <w:pStyle w:val="FootnoteText"/>
      </w:pPr>
      <w:r>
        <w:tab/>
      </w:r>
      <w:r w:rsidRPr="006469B8">
        <w:rPr>
          <w:rStyle w:val="FootnoteReference"/>
        </w:rPr>
        <w:footnoteRef/>
      </w:r>
      <w:r>
        <w:tab/>
      </w:r>
      <w:r w:rsidRPr="0000279B">
        <w:t>During</w:t>
      </w:r>
      <w:r w:rsidRPr="0043018C">
        <w:t xml:space="preserve"> the judicial proceedings, the head teacher denied </w:t>
      </w:r>
      <w:r>
        <w:t>having made such comments</w:t>
      </w:r>
      <w:r w:rsidRPr="0043018C">
        <w:t>.</w:t>
      </w:r>
    </w:p>
  </w:footnote>
  <w:footnote w:id="6">
    <w:p w14:paraId="733DAEBC" w14:textId="77777777" w:rsidR="00915BEC" w:rsidRPr="0043018C" w:rsidRDefault="00915BEC" w:rsidP="0000279B">
      <w:pPr>
        <w:pStyle w:val="FootnoteText"/>
      </w:pPr>
      <w:r>
        <w:tab/>
      </w:r>
      <w:r w:rsidRPr="006469B8">
        <w:rPr>
          <w:rStyle w:val="FootnoteReference"/>
        </w:rPr>
        <w:footnoteRef/>
      </w:r>
      <w:r w:rsidRPr="0043018C">
        <w:t xml:space="preserve"> </w:t>
      </w:r>
      <w:r>
        <w:tab/>
      </w:r>
      <w:r w:rsidRPr="0043018C">
        <w:t xml:space="preserve">The person who was hired had </w:t>
      </w:r>
      <w:r>
        <w:t xml:space="preserve">a </w:t>
      </w:r>
      <w:r w:rsidRPr="0043018C">
        <w:t>secondary school diploma.</w:t>
      </w:r>
    </w:p>
  </w:footnote>
  <w:footnote w:id="7">
    <w:p w14:paraId="206563ED" w14:textId="77777777" w:rsidR="00915BEC" w:rsidRPr="0043018C" w:rsidRDefault="00915BEC" w:rsidP="00C30A18">
      <w:pPr>
        <w:pStyle w:val="FootnoteText"/>
      </w:pPr>
      <w:r>
        <w:tab/>
      </w:r>
      <w:r w:rsidRPr="006469B8">
        <w:rPr>
          <w:rStyle w:val="FootnoteReference"/>
        </w:rPr>
        <w:footnoteRef/>
      </w:r>
      <w:r w:rsidRPr="0043018C">
        <w:t xml:space="preserve"> </w:t>
      </w:r>
      <w:r>
        <w:tab/>
      </w:r>
      <w:r w:rsidRPr="0043018C">
        <w:t xml:space="preserve">Date not </w:t>
      </w:r>
      <w:r w:rsidR="00B20B96">
        <w:t>specified</w:t>
      </w:r>
      <w:r w:rsidRPr="0043018C">
        <w:t>.</w:t>
      </w:r>
    </w:p>
  </w:footnote>
  <w:footnote w:id="8">
    <w:p w14:paraId="6CB737DD" w14:textId="77777777" w:rsidR="00915BEC" w:rsidRPr="0043018C" w:rsidRDefault="00915BEC" w:rsidP="0000279B">
      <w:pPr>
        <w:pStyle w:val="FootnoteText"/>
      </w:pPr>
      <w:r>
        <w:tab/>
      </w:r>
      <w:r w:rsidRPr="006469B8">
        <w:rPr>
          <w:rStyle w:val="FootnoteReference"/>
        </w:rPr>
        <w:footnoteRef/>
      </w:r>
      <w:r w:rsidRPr="0043018C">
        <w:t xml:space="preserve"> </w:t>
      </w:r>
      <w:r>
        <w:tab/>
      </w:r>
      <w:r w:rsidRPr="0043018C">
        <w:t xml:space="preserve">The </w:t>
      </w:r>
      <w:r w:rsidRPr="00C250EA">
        <w:t>petitioner</w:t>
      </w:r>
      <w:r w:rsidRPr="0043018C">
        <w:t xml:space="preserve"> does not provide further details on th</w:t>
      </w:r>
      <w:r>
        <w:t>o</w:t>
      </w:r>
      <w:r w:rsidRPr="0043018C">
        <w:t>se other cases, which are not part of the present com</w:t>
      </w:r>
      <w:r>
        <w:t>munication</w:t>
      </w:r>
      <w:r w:rsidRPr="0043018C">
        <w:t>.</w:t>
      </w:r>
    </w:p>
  </w:footnote>
  <w:footnote w:id="9">
    <w:p w14:paraId="4BE6FF0A" w14:textId="77777777" w:rsidR="00915BEC" w:rsidRPr="0043018C" w:rsidRDefault="00915BEC" w:rsidP="0000279B">
      <w:pPr>
        <w:pStyle w:val="FootnoteText"/>
      </w:pPr>
      <w:r>
        <w:tab/>
      </w:r>
      <w:r w:rsidRPr="006469B8">
        <w:rPr>
          <w:rStyle w:val="FootnoteReference"/>
        </w:rPr>
        <w:footnoteRef/>
      </w:r>
      <w:r w:rsidRPr="0043018C">
        <w:t xml:space="preserve"> </w:t>
      </w:r>
      <w:r>
        <w:tab/>
      </w:r>
      <w:r w:rsidRPr="0043018C">
        <w:t>Date not specified.</w:t>
      </w:r>
    </w:p>
  </w:footnote>
  <w:footnote w:id="10">
    <w:p w14:paraId="77D2EFE1" w14:textId="77777777" w:rsidR="00915BEC" w:rsidRDefault="00915BEC" w:rsidP="00342F9B">
      <w:pPr>
        <w:pStyle w:val="FootnoteText"/>
      </w:pPr>
      <w:r>
        <w:tab/>
      </w:r>
      <w:r w:rsidRPr="006469B8">
        <w:rPr>
          <w:rStyle w:val="FootnoteReference"/>
        </w:rPr>
        <w:footnoteRef/>
      </w:r>
      <w:r>
        <w:tab/>
        <w:t xml:space="preserve">The </w:t>
      </w:r>
      <w:r w:rsidRPr="0000279B">
        <w:t>petitioner</w:t>
      </w:r>
      <w:r w:rsidRPr="00B71B63">
        <w:t xml:space="preserve"> </w:t>
      </w:r>
      <w:r>
        <w:t>in fact r</w:t>
      </w:r>
      <w:r w:rsidRPr="00B71B63">
        <w:t>equest</w:t>
      </w:r>
      <w:r>
        <w:t>ed</w:t>
      </w:r>
      <w:r w:rsidRPr="00B71B63">
        <w:t xml:space="preserve"> an opinion stating</w:t>
      </w:r>
      <w:r>
        <w:t>,</w:t>
      </w:r>
      <w:r w:rsidRPr="00B71B63">
        <w:t xml:space="preserve"> </w:t>
      </w:r>
      <w:r w:rsidRPr="001D2CE5">
        <w:t>inter alia,</w:t>
      </w:r>
      <w:r>
        <w:t xml:space="preserve"> </w:t>
      </w:r>
      <w:r w:rsidRPr="00B71B63">
        <w:t>that the head teacher ha</w:t>
      </w:r>
      <w:r>
        <w:t>d</w:t>
      </w:r>
      <w:r w:rsidRPr="00B71B63">
        <w:t xml:space="preserve"> </w:t>
      </w:r>
      <w:r>
        <w:t xml:space="preserve">the remit to hire employees subject to legal </w:t>
      </w:r>
      <w:r w:rsidRPr="00B71B63">
        <w:t>limit</w:t>
      </w:r>
      <w:r>
        <w:t xml:space="preserve">ations. </w:t>
      </w:r>
    </w:p>
  </w:footnote>
  <w:footnote w:id="11">
    <w:p w14:paraId="7249955A" w14:textId="77777777" w:rsidR="00F00ECA" w:rsidRDefault="00F00ECA" w:rsidP="00F00ECA">
      <w:pPr>
        <w:pStyle w:val="FootnoteText"/>
      </w:pPr>
      <w:r>
        <w:tab/>
      </w:r>
      <w:r>
        <w:rPr>
          <w:rStyle w:val="FootnoteReference"/>
        </w:rPr>
        <w:footnoteRef/>
      </w:r>
      <w:r>
        <w:t xml:space="preserve"> </w:t>
      </w:r>
      <w:r>
        <w:tab/>
        <w:t>Act No. 365/2004 Coll. on Equal Treatment in Certain Areas and Protection against Discrimination, amending and supplementing certain other laws.</w:t>
      </w:r>
    </w:p>
  </w:footnote>
  <w:footnote w:id="12">
    <w:p w14:paraId="0BF39F66" w14:textId="77777777" w:rsidR="00915BEC" w:rsidRPr="00A9758B" w:rsidRDefault="00915BEC" w:rsidP="00F579C4">
      <w:pPr>
        <w:pStyle w:val="FootnoteText"/>
      </w:pPr>
      <w:r>
        <w:tab/>
      </w:r>
      <w:r w:rsidRPr="006469B8">
        <w:rPr>
          <w:rStyle w:val="FootnoteReference"/>
        </w:rPr>
        <w:footnoteRef/>
      </w:r>
      <w:r>
        <w:tab/>
      </w:r>
      <w:r w:rsidRPr="00DF71DE">
        <w:rPr>
          <w:i/>
          <w:iCs/>
        </w:rPr>
        <w:t>Dovolanie</w:t>
      </w:r>
      <w:r w:rsidRPr="00A9758B">
        <w:t xml:space="preserve"> under article 237 </w:t>
      </w:r>
      <w:r>
        <w:t>(</w:t>
      </w:r>
      <w:r w:rsidRPr="00A9758B">
        <w:t>f) of the Code</w:t>
      </w:r>
      <w:r>
        <w:t xml:space="preserve"> of </w:t>
      </w:r>
      <w:r w:rsidRPr="00A9758B">
        <w:t>Civil Procedure.</w:t>
      </w:r>
    </w:p>
  </w:footnote>
  <w:footnote w:id="13">
    <w:p w14:paraId="1C36CFB8" w14:textId="77777777" w:rsidR="00397443" w:rsidRDefault="00397443" w:rsidP="00DF71DE">
      <w:pPr>
        <w:pStyle w:val="FootnoteText"/>
        <w:tabs>
          <w:tab w:val="clear" w:pos="1021"/>
          <w:tab w:val="left" w:pos="1134"/>
        </w:tabs>
        <w:ind w:hanging="141"/>
      </w:pPr>
      <w:r>
        <w:rPr>
          <w:rStyle w:val="FootnoteReference"/>
        </w:rPr>
        <w:footnoteRef/>
      </w:r>
      <w:r>
        <w:tab/>
        <w:t xml:space="preserve"> S</w:t>
      </w:r>
      <w:r>
        <w:rPr>
          <w:lang w:eastAsia="fr-FR"/>
        </w:rPr>
        <w:t>ee CERD/C/SVK/CO/9-10, para. 7.</w:t>
      </w:r>
    </w:p>
  </w:footnote>
  <w:footnote w:id="14">
    <w:p w14:paraId="7DCB7A24" w14:textId="77777777" w:rsidR="00915BEC" w:rsidRPr="00161497" w:rsidRDefault="00915BEC" w:rsidP="00C30A18">
      <w:pPr>
        <w:pStyle w:val="FootnoteText"/>
      </w:pPr>
      <w:r>
        <w:tab/>
      </w:r>
      <w:r w:rsidRPr="006469B8">
        <w:rPr>
          <w:rStyle w:val="FootnoteReference"/>
        </w:rPr>
        <w:footnoteRef/>
      </w:r>
      <w:r>
        <w:tab/>
      </w:r>
      <w:r w:rsidRPr="006969FF">
        <w:t>See judg</w:t>
      </w:r>
      <w:r>
        <w:t>e</w:t>
      </w:r>
      <w:r w:rsidRPr="006969FF">
        <w:t>ment of the District Court in Rev</w:t>
      </w:r>
      <w:r w:rsidRPr="006969FF">
        <w:rPr>
          <w:lang w:val="cs-CZ"/>
        </w:rPr>
        <w:t xml:space="preserve">úca </w:t>
      </w:r>
      <w:r>
        <w:rPr>
          <w:lang w:val="cs-CZ"/>
        </w:rPr>
        <w:t>(</w:t>
      </w:r>
      <w:r w:rsidRPr="006969FF">
        <w:rPr>
          <w:lang w:val="cs-CZ"/>
        </w:rPr>
        <w:t xml:space="preserve">file </w:t>
      </w:r>
      <w:r>
        <w:rPr>
          <w:lang w:val="cs-CZ"/>
        </w:rPr>
        <w:t>No.</w:t>
      </w:r>
      <w:r w:rsidRPr="006969FF">
        <w:rPr>
          <w:lang w:val="cs-CZ"/>
        </w:rPr>
        <w:t xml:space="preserve"> 6C/207/2010-129</w:t>
      </w:r>
      <w:r>
        <w:rPr>
          <w:lang w:val="cs-CZ"/>
        </w:rPr>
        <w:t>).</w:t>
      </w:r>
      <w:r>
        <w:t xml:space="preserve"> </w:t>
      </w:r>
    </w:p>
  </w:footnote>
  <w:footnote w:id="15">
    <w:p w14:paraId="0219AF0B" w14:textId="77777777" w:rsidR="00915BEC" w:rsidRPr="00161497" w:rsidRDefault="00915BEC" w:rsidP="00C30A18">
      <w:pPr>
        <w:pStyle w:val="FootnoteText"/>
      </w:pPr>
      <w:r>
        <w:tab/>
      </w:r>
      <w:r w:rsidRPr="006469B8">
        <w:rPr>
          <w:rStyle w:val="FootnoteReference"/>
        </w:rPr>
        <w:footnoteRef/>
      </w:r>
      <w:r>
        <w:tab/>
      </w:r>
      <w:r w:rsidRPr="006969FF">
        <w:t xml:space="preserve">See decision of the Supreme Court </w:t>
      </w:r>
      <w:r w:rsidRPr="00397443">
        <w:t>of the Slovak Republic</w:t>
      </w:r>
      <w:r w:rsidRPr="006969FF">
        <w:t xml:space="preserve"> </w:t>
      </w:r>
      <w:r>
        <w:t>(</w:t>
      </w:r>
      <w:r w:rsidRPr="006969FF">
        <w:t xml:space="preserve">file </w:t>
      </w:r>
      <w:r>
        <w:t>No.</w:t>
      </w:r>
      <w:r w:rsidRPr="006969FF">
        <w:t xml:space="preserve"> 7 Cdo 148/2011</w:t>
      </w:r>
      <w:r>
        <w:t>)</w:t>
      </w:r>
      <w:r w:rsidRPr="006969FF">
        <w:t xml:space="preserve"> and decision of </w:t>
      </w:r>
      <w:r w:rsidRPr="008676E4">
        <w:t>the Regional Court in Bansk</w:t>
      </w:r>
      <w:r w:rsidRPr="00330006">
        <w:rPr>
          <w:lang w:val="cs-CZ"/>
        </w:rPr>
        <w:t xml:space="preserve">á Bystrica </w:t>
      </w:r>
      <w:r>
        <w:rPr>
          <w:lang w:val="cs-CZ"/>
        </w:rPr>
        <w:t>(</w:t>
      </w:r>
      <w:r w:rsidRPr="00330006">
        <w:rPr>
          <w:lang w:val="cs-CZ"/>
        </w:rPr>
        <w:t xml:space="preserve">file </w:t>
      </w:r>
      <w:r>
        <w:rPr>
          <w:lang w:val="cs-CZ"/>
        </w:rPr>
        <w:t>No.</w:t>
      </w:r>
      <w:r w:rsidRPr="00330006">
        <w:rPr>
          <w:lang w:val="cs-CZ"/>
        </w:rPr>
        <w:t xml:space="preserve"> </w:t>
      </w:r>
      <w:r w:rsidRPr="00867A1A">
        <w:t>13Co/263/2012-208</w:t>
      </w:r>
      <w:r>
        <w:t>)</w:t>
      </w:r>
      <w:r w:rsidRPr="00867A1A">
        <w:t>.</w:t>
      </w:r>
      <w:r>
        <w:t xml:space="preserve"> </w:t>
      </w:r>
    </w:p>
  </w:footnote>
  <w:footnote w:id="16">
    <w:p w14:paraId="2E5CE521" w14:textId="77777777" w:rsidR="00915BEC" w:rsidRPr="00FA0552" w:rsidRDefault="00915BEC" w:rsidP="0000279B">
      <w:pPr>
        <w:pStyle w:val="FootnoteText"/>
      </w:pPr>
      <w:r>
        <w:tab/>
      </w:r>
      <w:r w:rsidRPr="006469B8">
        <w:rPr>
          <w:rStyle w:val="FootnoteReference"/>
        </w:rPr>
        <w:footnoteRef/>
      </w:r>
      <w:r w:rsidRPr="00FA0552">
        <w:tab/>
        <w:t>Under article 127, para</w:t>
      </w:r>
      <w:r>
        <w:t>.</w:t>
      </w:r>
      <w:r w:rsidRPr="00FA0552">
        <w:t xml:space="preserve"> 1, of the Constitution.</w:t>
      </w:r>
    </w:p>
  </w:footnote>
  <w:footnote w:id="17">
    <w:p w14:paraId="3CCEFC4E" w14:textId="77777777" w:rsidR="00915BEC" w:rsidRPr="00FA0552" w:rsidRDefault="00915BEC" w:rsidP="00C30A18">
      <w:pPr>
        <w:pStyle w:val="FootnoteText"/>
      </w:pPr>
      <w:r>
        <w:tab/>
      </w:r>
      <w:r w:rsidRPr="006469B8">
        <w:rPr>
          <w:rStyle w:val="FootnoteReference"/>
        </w:rPr>
        <w:footnoteRef/>
      </w:r>
      <w:r w:rsidRPr="00FA0552">
        <w:tab/>
        <w:t xml:space="preserve">See decision of the Constitutional Court of the Slovak Republic </w:t>
      </w:r>
      <w:r>
        <w:t>(</w:t>
      </w:r>
      <w:r w:rsidRPr="00FA0552">
        <w:t xml:space="preserve">file </w:t>
      </w:r>
      <w:r>
        <w:t>No.</w:t>
      </w:r>
      <w:r w:rsidRPr="00FA0552">
        <w:t xml:space="preserve"> II. ÚS 383/2013-16</w:t>
      </w:r>
      <w:r>
        <w:t>)</w:t>
      </w:r>
      <w:r w:rsidRPr="00FA0552">
        <w:t>.</w:t>
      </w:r>
    </w:p>
  </w:footnote>
  <w:footnote w:id="18">
    <w:p w14:paraId="6BB21A98" w14:textId="77777777" w:rsidR="00915BEC" w:rsidRPr="00FA0552" w:rsidRDefault="00915BEC" w:rsidP="0000279B">
      <w:pPr>
        <w:pStyle w:val="FootnoteText"/>
      </w:pPr>
      <w:r>
        <w:tab/>
      </w:r>
      <w:r w:rsidRPr="006469B8">
        <w:rPr>
          <w:rStyle w:val="FootnoteReference"/>
        </w:rPr>
        <w:footnoteRef/>
      </w:r>
      <w:r>
        <w:tab/>
      </w:r>
      <w:r w:rsidRPr="00FA0552">
        <w:t>A non-judicial body.</w:t>
      </w:r>
    </w:p>
  </w:footnote>
  <w:footnote w:id="19">
    <w:p w14:paraId="2AB32664" w14:textId="77777777" w:rsidR="00915BEC" w:rsidRDefault="00915BEC" w:rsidP="0000279B">
      <w:pPr>
        <w:pStyle w:val="FootnoteText"/>
      </w:pPr>
      <w:r>
        <w:tab/>
      </w:r>
      <w:r w:rsidRPr="006469B8">
        <w:rPr>
          <w:rStyle w:val="FootnoteReference"/>
        </w:rPr>
        <w:footnoteRef/>
      </w:r>
      <w:r>
        <w:tab/>
        <w:t xml:space="preserve">The petitioner refers to her sister only indirectly to demonstrate that her allegations denounce a general pattern. </w:t>
      </w:r>
    </w:p>
  </w:footnote>
  <w:footnote w:id="20">
    <w:p w14:paraId="35D496D5" w14:textId="77777777" w:rsidR="00915BEC" w:rsidRPr="00805D10" w:rsidRDefault="00915BEC" w:rsidP="00C30A18">
      <w:pPr>
        <w:pStyle w:val="FootnoteText"/>
      </w:pPr>
      <w:r>
        <w:tab/>
      </w:r>
      <w:r w:rsidRPr="006469B8">
        <w:rPr>
          <w:rStyle w:val="FootnoteReference"/>
        </w:rPr>
        <w:footnoteRef/>
      </w:r>
      <w:r w:rsidRPr="00FA0552">
        <w:tab/>
        <w:t>S</w:t>
      </w:r>
      <w:r>
        <w:t>ee art.</w:t>
      </w:r>
      <w:r w:rsidRPr="00B126C6">
        <w:t xml:space="preserve"> 1, para. 2 </w:t>
      </w:r>
      <w:r>
        <w:t>(</w:t>
      </w:r>
      <w:r w:rsidRPr="00B126C6">
        <w:t>e)</w:t>
      </w:r>
      <w:r w:rsidR="003D4E60">
        <w:t>,</w:t>
      </w:r>
      <w:r w:rsidRPr="00B126C6">
        <w:t xml:space="preserve"> of Act No. 308/1993 Coll. on the establishment of the Slovak National</w:t>
      </w:r>
      <w:r>
        <w:t xml:space="preserve"> </w:t>
      </w:r>
      <w:r w:rsidRPr="00805D10">
        <w:t>Centre for Human Rights, as amended.</w:t>
      </w:r>
      <w:r>
        <w:t xml:space="preserve"> </w:t>
      </w:r>
    </w:p>
  </w:footnote>
  <w:footnote w:id="21">
    <w:p w14:paraId="37AB2E50" w14:textId="77777777" w:rsidR="00915BEC" w:rsidRPr="00805D10" w:rsidRDefault="00915BEC" w:rsidP="00F579C4">
      <w:pPr>
        <w:pStyle w:val="FootnoteText"/>
        <w:ind w:hanging="283"/>
        <w:rPr>
          <w:sz w:val="20"/>
        </w:rPr>
      </w:pPr>
      <w:r w:rsidRPr="006469B8">
        <w:rPr>
          <w:rStyle w:val="FootnoteReference"/>
        </w:rPr>
        <w:footnoteRef/>
      </w:r>
      <w:r w:rsidRPr="00805D10">
        <w:rPr>
          <w:szCs w:val="18"/>
        </w:rPr>
        <w:t xml:space="preserve"> </w:t>
      </w:r>
      <w:r w:rsidRPr="00805D10">
        <w:rPr>
          <w:szCs w:val="18"/>
        </w:rPr>
        <w:tab/>
      </w:r>
      <w:r w:rsidRPr="00805D10">
        <w:rPr>
          <w:szCs w:val="18"/>
        </w:rPr>
        <w:tab/>
        <w:t>S</w:t>
      </w:r>
      <w:r>
        <w:rPr>
          <w:szCs w:val="18"/>
        </w:rPr>
        <w:t>ee art.</w:t>
      </w:r>
      <w:r w:rsidRPr="00805D10">
        <w:rPr>
          <w:szCs w:val="18"/>
        </w:rPr>
        <w:t xml:space="preserve"> 11, para</w:t>
      </w:r>
      <w:r>
        <w:rPr>
          <w:szCs w:val="18"/>
        </w:rPr>
        <w:t>.</w:t>
      </w:r>
      <w:r w:rsidRPr="00805D10">
        <w:rPr>
          <w:szCs w:val="18"/>
        </w:rPr>
        <w:t xml:space="preserve"> 2, of the Anti-discrimination Act</w:t>
      </w:r>
      <w:r>
        <w:rPr>
          <w:szCs w:val="18"/>
        </w:rPr>
        <w:t>.</w:t>
      </w:r>
      <w:r>
        <w:t xml:space="preserve"> </w:t>
      </w:r>
    </w:p>
  </w:footnote>
  <w:footnote w:id="22">
    <w:p w14:paraId="3D1C9119" w14:textId="77777777" w:rsidR="00915BEC" w:rsidRDefault="00915BEC" w:rsidP="00F579C4">
      <w:pPr>
        <w:pStyle w:val="FootnoteText"/>
        <w:ind w:hanging="283"/>
      </w:pPr>
      <w:r w:rsidRPr="006469B8">
        <w:rPr>
          <w:rStyle w:val="FootnoteReference"/>
        </w:rPr>
        <w:footnoteRef/>
      </w:r>
      <w:r>
        <w:t xml:space="preserve"> </w:t>
      </w:r>
      <w:r>
        <w:tab/>
      </w:r>
      <w:r>
        <w:tab/>
        <w:t xml:space="preserve">Ibid. </w:t>
      </w:r>
    </w:p>
  </w:footnote>
  <w:footnote w:id="23">
    <w:p w14:paraId="0BF7445A" w14:textId="77777777" w:rsidR="00915BEC" w:rsidRPr="00732618" w:rsidRDefault="00915BEC" w:rsidP="00F579C4">
      <w:pPr>
        <w:pStyle w:val="FootnoteText"/>
        <w:ind w:hanging="283"/>
        <w:rPr>
          <w:szCs w:val="18"/>
        </w:rPr>
      </w:pPr>
      <w:r w:rsidRPr="006469B8">
        <w:rPr>
          <w:rStyle w:val="FootnoteReference"/>
        </w:rPr>
        <w:footnoteRef/>
      </w:r>
      <w:r w:rsidRPr="00732618">
        <w:rPr>
          <w:szCs w:val="18"/>
        </w:rPr>
        <w:t xml:space="preserve"> </w:t>
      </w:r>
      <w:r>
        <w:rPr>
          <w:szCs w:val="18"/>
        </w:rPr>
        <w:tab/>
      </w:r>
      <w:r>
        <w:rPr>
          <w:szCs w:val="18"/>
        </w:rPr>
        <w:tab/>
      </w:r>
      <w:r w:rsidRPr="00732618">
        <w:rPr>
          <w:szCs w:val="18"/>
        </w:rPr>
        <w:t xml:space="preserve">File </w:t>
      </w:r>
      <w:r>
        <w:rPr>
          <w:szCs w:val="18"/>
        </w:rPr>
        <w:t>No.</w:t>
      </w:r>
      <w:r w:rsidRPr="00732618">
        <w:rPr>
          <w:szCs w:val="18"/>
        </w:rPr>
        <w:t xml:space="preserve"> II. CC 383/2013-16. </w:t>
      </w:r>
    </w:p>
  </w:footnote>
  <w:footnote w:id="24">
    <w:p w14:paraId="2805E320" w14:textId="77777777" w:rsidR="00915BEC" w:rsidRPr="00732618" w:rsidRDefault="00915BEC" w:rsidP="00C30A18">
      <w:pPr>
        <w:pStyle w:val="FootnoteText"/>
        <w:spacing w:line="240" w:lineRule="auto"/>
        <w:ind w:hanging="283"/>
        <w:rPr>
          <w:szCs w:val="18"/>
        </w:rPr>
      </w:pPr>
      <w:r w:rsidRPr="006469B8">
        <w:rPr>
          <w:rStyle w:val="FootnoteReference"/>
        </w:rPr>
        <w:footnoteRef/>
      </w:r>
      <w:r w:rsidRPr="00732618">
        <w:rPr>
          <w:szCs w:val="18"/>
        </w:rPr>
        <w:t xml:space="preserve"> </w:t>
      </w:r>
      <w:r>
        <w:rPr>
          <w:szCs w:val="18"/>
        </w:rPr>
        <w:tab/>
      </w:r>
      <w:r>
        <w:rPr>
          <w:szCs w:val="18"/>
        </w:rPr>
        <w:tab/>
        <w:t>See art.</w:t>
      </w:r>
      <w:r w:rsidRPr="00732618">
        <w:rPr>
          <w:szCs w:val="18"/>
        </w:rPr>
        <w:t xml:space="preserve"> 2, para</w:t>
      </w:r>
      <w:r>
        <w:rPr>
          <w:szCs w:val="18"/>
        </w:rPr>
        <w:t>.</w:t>
      </w:r>
      <w:r w:rsidRPr="00732618">
        <w:rPr>
          <w:szCs w:val="18"/>
        </w:rPr>
        <w:t xml:space="preserve"> 1 </w:t>
      </w:r>
      <w:r>
        <w:rPr>
          <w:szCs w:val="18"/>
        </w:rPr>
        <w:t>(</w:t>
      </w:r>
      <w:r w:rsidRPr="00732618">
        <w:rPr>
          <w:szCs w:val="18"/>
        </w:rPr>
        <w:t>a)</w:t>
      </w:r>
      <w:r>
        <w:rPr>
          <w:szCs w:val="18"/>
        </w:rPr>
        <w:t>,</w:t>
      </w:r>
      <w:r w:rsidRPr="00732618">
        <w:rPr>
          <w:szCs w:val="18"/>
        </w:rPr>
        <w:t xml:space="preserve"> of A</w:t>
      </w:r>
      <w:r>
        <w:rPr>
          <w:szCs w:val="18"/>
        </w:rPr>
        <w:t>ct No. 125/2006 Coll. on Labour I</w:t>
      </w:r>
      <w:r w:rsidRPr="00732618">
        <w:rPr>
          <w:szCs w:val="18"/>
        </w:rPr>
        <w:t>nspection.</w:t>
      </w:r>
    </w:p>
  </w:footnote>
  <w:footnote w:id="25">
    <w:p w14:paraId="04E6FF79" w14:textId="77777777" w:rsidR="00915BEC" w:rsidRPr="00732618" w:rsidRDefault="00915BEC" w:rsidP="008676E4">
      <w:pPr>
        <w:pStyle w:val="FootnoteText"/>
        <w:spacing w:line="240" w:lineRule="auto"/>
        <w:ind w:hanging="283"/>
        <w:rPr>
          <w:szCs w:val="18"/>
        </w:rPr>
      </w:pPr>
      <w:r w:rsidRPr="006469B8">
        <w:rPr>
          <w:rStyle w:val="FootnoteReference"/>
        </w:rPr>
        <w:footnoteRef/>
      </w:r>
      <w:r w:rsidRPr="00732618">
        <w:rPr>
          <w:szCs w:val="18"/>
        </w:rPr>
        <w:t xml:space="preserve"> </w:t>
      </w:r>
      <w:r>
        <w:rPr>
          <w:szCs w:val="18"/>
        </w:rPr>
        <w:tab/>
      </w:r>
      <w:r>
        <w:rPr>
          <w:szCs w:val="18"/>
        </w:rPr>
        <w:tab/>
      </w:r>
      <w:r w:rsidRPr="00732618">
        <w:rPr>
          <w:szCs w:val="18"/>
        </w:rPr>
        <w:t xml:space="preserve">Act </w:t>
      </w:r>
      <w:r>
        <w:rPr>
          <w:szCs w:val="18"/>
        </w:rPr>
        <w:t>N</w:t>
      </w:r>
      <w:r w:rsidRPr="00732618">
        <w:rPr>
          <w:szCs w:val="18"/>
        </w:rPr>
        <w:t>o. 9/2010 Coll.</w:t>
      </w:r>
    </w:p>
  </w:footnote>
  <w:footnote w:id="26">
    <w:p w14:paraId="2CE364F4" w14:textId="77777777" w:rsidR="00915BEC" w:rsidRPr="001A1B49" w:rsidRDefault="00915BEC" w:rsidP="00C30A18">
      <w:pPr>
        <w:pStyle w:val="FootnoteText"/>
        <w:spacing w:line="240" w:lineRule="auto"/>
        <w:ind w:hanging="283"/>
        <w:rPr>
          <w:szCs w:val="18"/>
        </w:rPr>
      </w:pPr>
      <w:r w:rsidRPr="006469B8">
        <w:rPr>
          <w:rStyle w:val="FootnoteReference"/>
        </w:rPr>
        <w:footnoteRef/>
      </w:r>
      <w:r w:rsidRPr="00732618">
        <w:rPr>
          <w:szCs w:val="18"/>
        </w:rPr>
        <w:t xml:space="preserve"> </w:t>
      </w:r>
      <w:r>
        <w:rPr>
          <w:szCs w:val="18"/>
        </w:rPr>
        <w:tab/>
      </w:r>
      <w:r>
        <w:rPr>
          <w:szCs w:val="18"/>
        </w:rPr>
        <w:tab/>
        <w:t>See art.</w:t>
      </w:r>
      <w:r w:rsidRPr="00867A1A">
        <w:rPr>
          <w:szCs w:val="18"/>
        </w:rPr>
        <w:t xml:space="preserve"> 13, para</w:t>
      </w:r>
      <w:r>
        <w:rPr>
          <w:szCs w:val="18"/>
        </w:rPr>
        <w:t>.</w:t>
      </w:r>
      <w:r w:rsidRPr="00867A1A">
        <w:rPr>
          <w:szCs w:val="18"/>
        </w:rPr>
        <w:t xml:space="preserve"> 1, of Act No. 596/2003 Coll. on </w:t>
      </w:r>
      <w:r w:rsidRPr="00810B3A">
        <w:rPr>
          <w:szCs w:val="18"/>
        </w:rPr>
        <w:t xml:space="preserve">State Administration in Education and </w:t>
      </w:r>
      <w:r w:rsidRPr="00B16F50">
        <w:rPr>
          <w:szCs w:val="18"/>
        </w:rPr>
        <w:t>S</w:t>
      </w:r>
      <w:r w:rsidRPr="001A1B49">
        <w:rPr>
          <w:szCs w:val="18"/>
        </w:rPr>
        <w:t>chool Self-government.</w:t>
      </w:r>
      <w:r>
        <w:rPr>
          <w:szCs w:val="18"/>
        </w:rPr>
        <w:t xml:space="preserve"> </w:t>
      </w:r>
    </w:p>
  </w:footnote>
  <w:footnote w:id="27">
    <w:p w14:paraId="2AA4AD9F" w14:textId="77777777" w:rsidR="00915BEC" w:rsidRPr="00810B3A" w:rsidRDefault="00915BEC" w:rsidP="00330006">
      <w:pPr>
        <w:pStyle w:val="FootnoteText"/>
        <w:spacing w:line="240" w:lineRule="auto"/>
        <w:ind w:hanging="283"/>
        <w:rPr>
          <w:szCs w:val="18"/>
        </w:rPr>
      </w:pPr>
      <w:r w:rsidRPr="006469B8">
        <w:rPr>
          <w:rStyle w:val="FootnoteReference"/>
        </w:rPr>
        <w:footnoteRef/>
      </w:r>
      <w:r w:rsidRPr="00867A1A">
        <w:rPr>
          <w:szCs w:val="18"/>
        </w:rPr>
        <w:t xml:space="preserve"> </w:t>
      </w:r>
      <w:r w:rsidRPr="00867A1A">
        <w:rPr>
          <w:szCs w:val="18"/>
        </w:rPr>
        <w:tab/>
      </w:r>
      <w:r w:rsidRPr="00810B3A">
        <w:rPr>
          <w:szCs w:val="18"/>
        </w:rPr>
        <w:tab/>
        <w:t xml:space="preserve">The Strategy has been implemented since 1 January 2012. </w:t>
      </w:r>
    </w:p>
  </w:footnote>
  <w:footnote w:id="28">
    <w:p w14:paraId="0AA58375" w14:textId="77777777" w:rsidR="00915BEC" w:rsidRPr="00810B3A" w:rsidRDefault="00915BEC" w:rsidP="00330006">
      <w:pPr>
        <w:pStyle w:val="FootnoteText"/>
        <w:spacing w:line="240" w:lineRule="auto"/>
        <w:ind w:hanging="283"/>
        <w:rPr>
          <w:szCs w:val="18"/>
        </w:rPr>
      </w:pPr>
      <w:r w:rsidRPr="006469B8">
        <w:rPr>
          <w:rStyle w:val="FootnoteReference"/>
        </w:rPr>
        <w:footnoteRef/>
      </w:r>
      <w:r w:rsidRPr="00867A1A">
        <w:rPr>
          <w:szCs w:val="18"/>
        </w:rPr>
        <w:t xml:space="preserve"> </w:t>
      </w:r>
      <w:r w:rsidRPr="00867A1A">
        <w:rPr>
          <w:szCs w:val="18"/>
        </w:rPr>
        <w:tab/>
      </w:r>
      <w:r w:rsidRPr="00810B3A">
        <w:rPr>
          <w:szCs w:val="18"/>
        </w:rPr>
        <w:tab/>
        <w:t xml:space="preserve">See the </w:t>
      </w:r>
      <w:r>
        <w:rPr>
          <w:szCs w:val="18"/>
        </w:rPr>
        <w:t>o</w:t>
      </w:r>
      <w:r w:rsidRPr="00810B3A">
        <w:rPr>
          <w:szCs w:val="18"/>
        </w:rPr>
        <w:t xml:space="preserve">utcome report of the </w:t>
      </w:r>
      <w:r>
        <w:rPr>
          <w:szCs w:val="18"/>
        </w:rPr>
        <w:t>u</w:t>
      </w:r>
      <w:r w:rsidRPr="00810B3A">
        <w:rPr>
          <w:szCs w:val="18"/>
        </w:rPr>
        <w:t xml:space="preserve">niversal </w:t>
      </w:r>
      <w:r>
        <w:rPr>
          <w:szCs w:val="18"/>
        </w:rPr>
        <w:t>p</w:t>
      </w:r>
      <w:r w:rsidRPr="00810B3A">
        <w:rPr>
          <w:szCs w:val="18"/>
        </w:rPr>
        <w:t xml:space="preserve">eriodic </w:t>
      </w:r>
      <w:r>
        <w:rPr>
          <w:szCs w:val="18"/>
        </w:rPr>
        <w:t>r</w:t>
      </w:r>
      <w:r w:rsidRPr="00810B3A">
        <w:rPr>
          <w:szCs w:val="18"/>
        </w:rPr>
        <w:t xml:space="preserve">eview of Slovakia (A/HRC/26/12). </w:t>
      </w:r>
    </w:p>
  </w:footnote>
  <w:footnote w:id="29">
    <w:p w14:paraId="0AB0D90D" w14:textId="77777777" w:rsidR="00915BEC" w:rsidRPr="004516DE" w:rsidRDefault="00915BEC" w:rsidP="00C30A18">
      <w:pPr>
        <w:pStyle w:val="FootnoteText"/>
        <w:spacing w:line="240" w:lineRule="auto"/>
        <w:ind w:hanging="283"/>
        <w:rPr>
          <w:szCs w:val="18"/>
        </w:rPr>
      </w:pPr>
      <w:r w:rsidRPr="006469B8">
        <w:rPr>
          <w:rStyle w:val="FootnoteReference"/>
        </w:rPr>
        <w:footnoteRef/>
      </w:r>
      <w:r w:rsidRPr="00867A1A">
        <w:rPr>
          <w:szCs w:val="18"/>
        </w:rPr>
        <w:t xml:space="preserve"> </w:t>
      </w:r>
      <w:r w:rsidRPr="00867A1A">
        <w:rPr>
          <w:szCs w:val="18"/>
        </w:rPr>
        <w:tab/>
      </w:r>
      <w:r w:rsidRPr="00810B3A">
        <w:rPr>
          <w:szCs w:val="18"/>
        </w:rPr>
        <w:tab/>
        <w:t xml:space="preserve">The author refers to the European Court </w:t>
      </w:r>
      <w:r>
        <w:rPr>
          <w:szCs w:val="18"/>
        </w:rPr>
        <w:t>of</w:t>
      </w:r>
      <w:r w:rsidRPr="00810B3A">
        <w:rPr>
          <w:szCs w:val="18"/>
        </w:rPr>
        <w:t xml:space="preserve"> Human Rights, </w:t>
      </w:r>
      <w:r>
        <w:rPr>
          <w:szCs w:val="18"/>
        </w:rPr>
        <w:t xml:space="preserve">the </w:t>
      </w:r>
      <w:r w:rsidRPr="00810B3A">
        <w:rPr>
          <w:szCs w:val="18"/>
        </w:rPr>
        <w:t>Court of Justice of the E</w:t>
      </w:r>
      <w:r>
        <w:rPr>
          <w:szCs w:val="18"/>
        </w:rPr>
        <w:t xml:space="preserve">uropean </w:t>
      </w:r>
      <w:r w:rsidRPr="00810B3A">
        <w:rPr>
          <w:szCs w:val="18"/>
        </w:rPr>
        <w:t>U</w:t>
      </w:r>
      <w:r>
        <w:rPr>
          <w:szCs w:val="18"/>
        </w:rPr>
        <w:t>nion</w:t>
      </w:r>
      <w:r w:rsidRPr="00810B3A">
        <w:rPr>
          <w:szCs w:val="18"/>
        </w:rPr>
        <w:t xml:space="preserve"> and the U</w:t>
      </w:r>
      <w:r>
        <w:rPr>
          <w:szCs w:val="18"/>
        </w:rPr>
        <w:t xml:space="preserve">nited </w:t>
      </w:r>
      <w:r w:rsidRPr="00810B3A">
        <w:rPr>
          <w:szCs w:val="18"/>
        </w:rPr>
        <w:t>N</w:t>
      </w:r>
      <w:r>
        <w:rPr>
          <w:szCs w:val="18"/>
        </w:rPr>
        <w:t>ations</w:t>
      </w:r>
      <w:r w:rsidRPr="00810B3A">
        <w:rPr>
          <w:szCs w:val="18"/>
        </w:rPr>
        <w:t xml:space="preserve"> treaty bodies. She refers to the decisions of </w:t>
      </w:r>
      <w:r>
        <w:rPr>
          <w:szCs w:val="18"/>
        </w:rPr>
        <w:t>the Court of Justice of the European Union</w:t>
      </w:r>
      <w:r w:rsidRPr="00810B3A">
        <w:rPr>
          <w:szCs w:val="18"/>
        </w:rPr>
        <w:t xml:space="preserve"> in</w:t>
      </w:r>
      <w:r>
        <w:rPr>
          <w:szCs w:val="18"/>
        </w:rPr>
        <w:t xml:space="preserve"> the</w:t>
      </w:r>
      <w:r w:rsidRPr="00810B3A">
        <w:rPr>
          <w:szCs w:val="18"/>
        </w:rPr>
        <w:t xml:space="preserve"> case </w:t>
      </w:r>
      <w:r w:rsidRPr="00DF71DE">
        <w:rPr>
          <w:i/>
          <w:iCs/>
          <w:szCs w:val="18"/>
        </w:rPr>
        <w:t>Centrum voor gelijkheid van kansen en voor racismebestrijding v. Firma Feryn NV</w:t>
      </w:r>
      <w:r w:rsidRPr="00810B3A">
        <w:rPr>
          <w:szCs w:val="18"/>
        </w:rPr>
        <w:t xml:space="preserve"> </w:t>
      </w:r>
      <w:r>
        <w:rPr>
          <w:szCs w:val="18"/>
        </w:rPr>
        <w:t>(</w:t>
      </w:r>
      <w:r w:rsidRPr="00810B3A">
        <w:rPr>
          <w:szCs w:val="18"/>
        </w:rPr>
        <w:t>C-54/07 [2008] Coll. I-5187</w:t>
      </w:r>
      <w:r>
        <w:rPr>
          <w:szCs w:val="18"/>
        </w:rPr>
        <w:t xml:space="preserve">) of </w:t>
      </w:r>
      <w:r w:rsidRPr="00810B3A">
        <w:rPr>
          <w:szCs w:val="18"/>
        </w:rPr>
        <w:t>10 July 2008 and in</w:t>
      </w:r>
      <w:r>
        <w:rPr>
          <w:szCs w:val="18"/>
        </w:rPr>
        <w:t xml:space="preserve"> the</w:t>
      </w:r>
      <w:r w:rsidRPr="00810B3A">
        <w:rPr>
          <w:szCs w:val="18"/>
        </w:rPr>
        <w:t xml:space="preserve"> case of</w:t>
      </w:r>
      <w:r w:rsidRPr="004516DE">
        <w:rPr>
          <w:szCs w:val="18"/>
        </w:rPr>
        <w:t xml:space="preserve"> </w:t>
      </w:r>
      <w:r w:rsidRPr="00DF71DE">
        <w:rPr>
          <w:i/>
          <w:iCs/>
          <w:szCs w:val="18"/>
        </w:rPr>
        <w:t xml:space="preserve">Brunnhofer </w:t>
      </w:r>
      <w:r w:rsidRPr="00DF09EF">
        <w:rPr>
          <w:i/>
          <w:iCs/>
          <w:szCs w:val="18"/>
        </w:rPr>
        <w:t xml:space="preserve">v. </w:t>
      </w:r>
      <w:r w:rsidRPr="00DF71DE">
        <w:rPr>
          <w:i/>
          <w:iCs/>
          <w:szCs w:val="18"/>
        </w:rPr>
        <w:t xml:space="preserve">Bank der </w:t>
      </w:r>
      <w:r w:rsidRPr="00DF09EF">
        <w:rPr>
          <w:i/>
          <w:iCs/>
          <w:szCs w:val="18"/>
        </w:rPr>
        <w:t>Ö</w:t>
      </w:r>
      <w:r w:rsidRPr="00DF71DE">
        <w:rPr>
          <w:i/>
          <w:iCs/>
          <w:szCs w:val="18"/>
        </w:rPr>
        <w:t>sterreichischen Postsparkasse AG</w:t>
      </w:r>
      <w:r w:rsidRPr="004516DE">
        <w:rPr>
          <w:szCs w:val="18"/>
        </w:rPr>
        <w:t xml:space="preserve"> </w:t>
      </w:r>
      <w:r>
        <w:rPr>
          <w:szCs w:val="18"/>
        </w:rPr>
        <w:t>(</w:t>
      </w:r>
      <w:r w:rsidRPr="004516DE">
        <w:rPr>
          <w:szCs w:val="18"/>
        </w:rPr>
        <w:t>C-381/99 [2001] EC Coll. I-4961</w:t>
      </w:r>
      <w:r>
        <w:rPr>
          <w:szCs w:val="18"/>
        </w:rPr>
        <w:t>) of</w:t>
      </w:r>
      <w:r w:rsidRPr="004516DE">
        <w:rPr>
          <w:szCs w:val="18"/>
        </w:rPr>
        <w:t xml:space="preserve"> 26 June 2001, para</w:t>
      </w:r>
      <w:r>
        <w:rPr>
          <w:szCs w:val="18"/>
        </w:rPr>
        <w:t>s</w:t>
      </w:r>
      <w:r w:rsidRPr="004516DE">
        <w:rPr>
          <w:szCs w:val="18"/>
        </w:rPr>
        <w:t>. 51-62</w:t>
      </w:r>
      <w:r>
        <w:rPr>
          <w:szCs w:val="18"/>
        </w:rPr>
        <w:t>,</w:t>
      </w:r>
      <w:r w:rsidRPr="004516DE">
        <w:rPr>
          <w:szCs w:val="18"/>
        </w:rPr>
        <w:t xml:space="preserve"> and decisions of the </w:t>
      </w:r>
      <w:r>
        <w:rPr>
          <w:szCs w:val="18"/>
        </w:rPr>
        <w:t>European Court of Human Rights</w:t>
      </w:r>
      <w:r w:rsidRPr="004516DE">
        <w:rPr>
          <w:szCs w:val="18"/>
        </w:rPr>
        <w:t xml:space="preserve"> in </w:t>
      </w:r>
      <w:r w:rsidRPr="00DF71DE">
        <w:rPr>
          <w:i/>
          <w:iCs/>
          <w:szCs w:val="18"/>
        </w:rPr>
        <w:t>Na</w:t>
      </w:r>
      <w:r>
        <w:rPr>
          <w:i/>
          <w:iCs/>
          <w:szCs w:val="18"/>
        </w:rPr>
        <w:t>t</w:t>
      </w:r>
      <w:r w:rsidRPr="00DF71DE">
        <w:rPr>
          <w:i/>
          <w:iCs/>
          <w:szCs w:val="18"/>
        </w:rPr>
        <w:t xml:space="preserve">chova </w:t>
      </w:r>
      <w:r>
        <w:rPr>
          <w:i/>
          <w:iCs/>
          <w:szCs w:val="18"/>
        </w:rPr>
        <w:t>and others</w:t>
      </w:r>
      <w:r w:rsidRPr="00DF71DE">
        <w:rPr>
          <w:i/>
          <w:iCs/>
          <w:szCs w:val="18"/>
        </w:rPr>
        <w:t xml:space="preserve"> v. Bulgaria</w:t>
      </w:r>
      <w:r w:rsidRPr="004516DE">
        <w:rPr>
          <w:szCs w:val="18"/>
        </w:rPr>
        <w:t xml:space="preserve"> (</w:t>
      </w:r>
      <w:r>
        <w:rPr>
          <w:szCs w:val="18"/>
        </w:rPr>
        <w:t>applications No</w:t>
      </w:r>
      <w:r w:rsidRPr="004516DE">
        <w:rPr>
          <w:szCs w:val="18"/>
        </w:rPr>
        <w:t xml:space="preserve">. 43577/98 and </w:t>
      </w:r>
      <w:r>
        <w:rPr>
          <w:szCs w:val="18"/>
        </w:rPr>
        <w:t>No</w:t>
      </w:r>
      <w:r w:rsidRPr="004516DE">
        <w:rPr>
          <w:szCs w:val="18"/>
        </w:rPr>
        <w:t>. 43579/98</w:t>
      </w:r>
      <w:r>
        <w:rPr>
          <w:szCs w:val="18"/>
        </w:rPr>
        <w:t>)</w:t>
      </w:r>
      <w:r w:rsidRPr="004516DE">
        <w:rPr>
          <w:szCs w:val="18"/>
        </w:rPr>
        <w:t xml:space="preserve"> </w:t>
      </w:r>
      <w:r w:rsidR="004D250F">
        <w:rPr>
          <w:szCs w:val="18"/>
        </w:rPr>
        <w:t>of</w:t>
      </w:r>
      <w:r w:rsidR="004D250F" w:rsidRPr="004516DE">
        <w:rPr>
          <w:szCs w:val="18"/>
        </w:rPr>
        <w:t xml:space="preserve"> </w:t>
      </w:r>
      <w:r w:rsidRPr="004516DE">
        <w:rPr>
          <w:szCs w:val="18"/>
        </w:rPr>
        <w:t xml:space="preserve">6 July 2005, </w:t>
      </w:r>
      <w:r w:rsidRPr="00DF71DE">
        <w:rPr>
          <w:i/>
          <w:iCs/>
          <w:szCs w:val="18"/>
        </w:rPr>
        <w:t>Timishev v. Russia</w:t>
      </w:r>
      <w:r w:rsidRPr="004516DE">
        <w:rPr>
          <w:szCs w:val="18"/>
        </w:rPr>
        <w:t xml:space="preserve"> (</w:t>
      </w:r>
      <w:r>
        <w:rPr>
          <w:szCs w:val="18"/>
        </w:rPr>
        <w:t>applications No</w:t>
      </w:r>
      <w:r w:rsidRPr="004516DE">
        <w:rPr>
          <w:szCs w:val="18"/>
        </w:rPr>
        <w:t>. 55762/00 a</w:t>
      </w:r>
      <w:r>
        <w:rPr>
          <w:szCs w:val="18"/>
        </w:rPr>
        <w:t>nd</w:t>
      </w:r>
      <w:r w:rsidRPr="004516DE">
        <w:rPr>
          <w:szCs w:val="18"/>
        </w:rPr>
        <w:t xml:space="preserve"> </w:t>
      </w:r>
      <w:r>
        <w:rPr>
          <w:szCs w:val="18"/>
        </w:rPr>
        <w:t>No</w:t>
      </w:r>
      <w:r w:rsidRPr="004516DE">
        <w:rPr>
          <w:szCs w:val="18"/>
        </w:rPr>
        <w:t>. 55974/000</w:t>
      </w:r>
      <w:r>
        <w:rPr>
          <w:szCs w:val="18"/>
        </w:rPr>
        <w:t>) of</w:t>
      </w:r>
      <w:r w:rsidRPr="004516DE">
        <w:rPr>
          <w:szCs w:val="18"/>
        </w:rPr>
        <w:t xml:space="preserve"> 13 December 2005</w:t>
      </w:r>
      <w:r>
        <w:rPr>
          <w:szCs w:val="18"/>
        </w:rPr>
        <w:t>,</w:t>
      </w:r>
      <w:r w:rsidRPr="004516DE">
        <w:rPr>
          <w:szCs w:val="18"/>
        </w:rPr>
        <w:t xml:space="preserve"> and </w:t>
      </w:r>
      <w:r w:rsidRPr="00DF71DE">
        <w:rPr>
          <w:i/>
          <w:iCs/>
          <w:szCs w:val="18"/>
        </w:rPr>
        <w:t>D.H. and others v. Czech Republic</w:t>
      </w:r>
      <w:r w:rsidRPr="004516DE">
        <w:rPr>
          <w:szCs w:val="18"/>
        </w:rPr>
        <w:t xml:space="preserve"> (</w:t>
      </w:r>
      <w:r>
        <w:rPr>
          <w:szCs w:val="18"/>
        </w:rPr>
        <w:t>application No</w:t>
      </w:r>
      <w:r w:rsidRPr="004516DE">
        <w:rPr>
          <w:szCs w:val="18"/>
        </w:rPr>
        <w:t>. 57325/00)</w:t>
      </w:r>
      <w:r>
        <w:rPr>
          <w:szCs w:val="18"/>
        </w:rPr>
        <w:t xml:space="preserve"> of</w:t>
      </w:r>
      <w:r w:rsidRPr="004516DE">
        <w:rPr>
          <w:szCs w:val="18"/>
        </w:rPr>
        <w:t xml:space="preserve"> 13 November 2007.</w:t>
      </w:r>
      <w:r>
        <w:rPr>
          <w:szCs w:val="18"/>
        </w:rPr>
        <w:t xml:space="preserve"> </w:t>
      </w:r>
    </w:p>
  </w:footnote>
  <w:footnote w:id="30">
    <w:p w14:paraId="3D838E61" w14:textId="77777777" w:rsidR="00915BEC" w:rsidRPr="004516DE" w:rsidRDefault="00915BEC" w:rsidP="00F579C4">
      <w:pPr>
        <w:pStyle w:val="FootnoteText"/>
        <w:spacing w:line="240" w:lineRule="auto"/>
        <w:ind w:hanging="283"/>
        <w:rPr>
          <w:szCs w:val="18"/>
        </w:rPr>
      </w:pPr>
      <w:r w:rsidRPr="006469B8">
        <w:rPr>
          <w:rStyle w:val="FootnoteReference"/>
        </w:rPr>
        <w:footnoteRef/>
      </w:r>
      <w:r w:rsidRPr="004516DE">
        <w:rPr>
          <w:szCs w:val="18"/>
        </w:rPr>
        <w:t xml:space="preserve"> </w:t>
      </w:r>
      <w:r>
        <w:rPr>
          <w:szCs w:val="18"/>
        </w:rPr>
        <w:tab/>
      </w:r>
      <w:r>
        <w:rPr>
          <w:szCs w:val="18"/>
        </w:rPr>
        <w:tab/>
      </w:r>
      <w:r w:rsidRPr="004516DE">
        <w:rPr>
          <w:szCs w:val="18"/>
        </w:rPr>
        <w:t xml:space="preserve">See also </w:t>
      </w:r>
      <w:r>
        <w:rPr>
          <w:szCs w:val="18"/>
        </w:rPr>
        <w:t>w</w:t>
      </w:r>
      <w:r w:rsidRPr="004516DE">
        <w:rPr>
          <w:szCs w:val="18"/>
        </w:rPr>
        <w:t xml:space="preserve">ritten comments of </w:t>
      </w:r>
      <w:r>
        <w:rPr>
          <w:szCs w:val="18"/>
        </w:rPr>
        <w:t>non-governmental organizations</w:t>
      </w:r>
      <w:r w:rsidRPr="004516DE">
        <w:rPr>
          <w:szCs w:val="18"/>
        </w:rPr>
        <w:t xml:space="preserve"> to </w:t>
      </w:r>
      <w:r>
        <w:rPr>
          <w:szCs w:val="18"/>
        </w:rPr>
        <w:t xml:space="preserve">the Committee, p. 13. </w:t>
      </w:r>
      <w:r w:rsidRPr="00F579C4">
        <w:rPr>
          <w:szCs w:val="18"/>
        </w:rPr>
        <w:t xml:space="preserve">Available </w:t>
      </w:r>
      <w:r w:rsidRPr="00DF09EF">
        <w:rPr>
          <w:szCs w:val="18"/>
        </w:rPr>
        <w:t>at</w:t>
      </w:r>
      <w:r w:rsidRPr="00F579C4">
        <w:rPr>
          <w:szCs w:val="18"/>
        </w:rPr>
        <w:t xml:space="preserve"> </w:t>
      </w:r>
      <w:hyperlink r:id="rId1" w:history="1">
        <w:r w:rsidRPr="00F579C4">
          <w:rPr>
            <w:rStyle w:val="Hyperlink"/>
            <w:szCs w:val="18"/>
          </w:rPr>
          <w:t>http://poradna-prava.sk/wp-content/uploads/2013/03/PDF-236-KB.pdf</w:t>
        </w:r>
      </w:hyperlink>
      <w:r w:rsidRPr="004516DE">
        <w:rPr>
          <w:szCs w:val="18"/>
        </w:rPr>
        <w:t>.</w:t>
      </w:r>
    </w:p>
  </w:footnote>
  <w:footnote w:id="31">
    <w:p w14:paraId="7AFA0417" w14:textId="77777777" w:rsidR="00915BEC" w:rsidRPr="004516DE" w:rsidRDefault="00915BEC" w:rsidP="00F579C4">
      <w:pPr>
        <w:pStyle w:val="FootnoteText"/>
        <w:spacing w:line="240" w:lineRule="auto"/>
        <w:ind w:hanging="283"/>
        <w:rPr>
          <w:szCs w:val="18"/>
        </w:rPr>
      </w:pPr>
      <w:r w:rsidRPr="006469B8">
        <w:rPr>
          <w:rStyle w:val="FootnoteReference"/>
        </w:rPr>
        <w:footnoteRef/>
      </w:r>
      <w:r w:rsidRPr="004516DE">
        <w:rPr>
          <w:szCs w:val="18"/>
        </w:rPr>
        <w:t xml:space="preserve"> </w:t>
      </w:r>
      <w:r>
        <w:rPr>
          <w:szCs w:val="18"/>
        </w:rPr>
        <w:tab/>
      </w:r>
      <w:r>
        <w:rPr>
          <w:szCs w:val="18"/>
        </w:rPr>
        <w:tab/>
        <w:t>A</w:t>
      </w:r>
      <w:r w:rsidRPr="004516DE">
        <w:rPr>
          <w:szCs w:val="18"/>
        </w:rPr>
        <w:t>vailable at http://fra.europa.eu/sites/default/files/fra-2014-romasurvey-gender_en.pdf</w:t>
      </w:r>
      <w:r>
        <w:rPr>
          <w:szCs w:val="18"/>
        </w:rPr>
        <w:t>.</w:t>
      </w:r>
    </w:p>
  </w:footnote>
  <w:footnote w:id="32">
    <w:p w14:paraId="647BD2ED" w14:textId="77777777" w:rsidR="00915BEC" w:rsidRPr="004516DE" w:rsidRDefault="00915BEC" w:rsidP="00C30A18">
      <w:pPr>
        <w:pStyle w:val="FootnoteText"/>
        <w:spacing w:line="240" w:lineRule="auto"/>
        <w:ind w:hanging="283"/>
        <w:rPr>
          <w:szCs w:val="18"/>
        </w:rPr>
      </w:pPr>
      <w:r w:rsidRPr="006469B8">
        <w:rPr>
          <w:rStyle w:val="FootnoteReference"/>
        </w:rPr>
        <w:footnoteRef/>
      </w:r>
      <w:r w:rsidRPr="004516DE">
        <w:rPr>
          <w:szCs w:val="18"/>
        </w:rPr>
        <w:t xml:space="preserve"> </w:t>
      </w:r>
      <w:r>
        <w:rPr>
          <w:szCs w:val="18"/>
        </w:rPr>
        <w:tab/>
      </w:r>
      <w:r>
        <w:rPr>
          <w:szCs w:val="18"/>
        </w:rPr>
        <w:tab/>
      </w:r>
      <w:r w:rsidRPr="004516DE">
        <w:rPr>
          <w:szCs w:val="18"/>
        </w:rPr>
        <w:t xml:space="preserve">See </w:t>
      </w:r>
      <w:r w:rsidR="00D76CD8">
        <w:rPr>
          <w:szCs w:val="18"/>
        </w:rPr>
        <w:t>“</w:t>
      </w:r>
      <w:r w:rsidRPr="004516DE">
        <w:rPr>
          <w:szCs w:val="18"/>
        </w:rPr>
        <w:t>Report on the Living Conditions of Roma households in Slovakia 2010</w:t>
      </w:r>
      <w:r w:rsidR="00D76CD8">
        <w:rPr>
          <w:szCs w:val="18"/>
        </w:rPr>
        <w:t>”</w:t>
      </w:r>
      <w:r w:rsidRPr="004516DE">
        <w:rPr>
          <w:szCs w:val="18"/>
        </w:rPr>
        <w:t xml:space="preserve"> </w:t>
      </w:r>
      <w:r>
        <w:rPr>
          <w:szCs w:val="18"/>
        </w:rPr>
        <w:t>(</w:t>
      </w:r>
      <w:r w:rsidRPr="004516DE">
        <w:rPr>
          <w:szCs w:val="18"/>
        </w:rPr>
        <w:t>UNDP Europe and CIS, Bratislava Regional Centre, 2012</w:t>
      </w:r>
      <w:r>
        <w:rPr>
          <w:szCs w:val="18"/>
        </w:rPr>
        <w:t>)</w:t>
      </w:r>
      <w:r w:rsidRPr="004516DE">
        <w:rPr>
          <w:szCs w:val="18"/>
        </w:rPr>
        <w:t>, p. 128</w:t>
      </w:r>
      <w:r>
        <w:rPr>
          <w:szCs w:val="18"/>
        </w:rPr>
        <w:t>.</w:t>
      </w:r>
      <w:r w:rsidRPr="004516DE">
        <w:rPr>
          <w:szCs w:val="18"/>
        </w:rPr>
        <w:t xml:space="preserve"> </w:t>
      </w:r>
      <w:r>
        <w:rPr>
          <w:szCs w:val="18"/>
        </w:rPr>
        <w:t>A</w:t>
      </w:r>
      <w:r w:rsidRPr="004516DE">
        <w:rPr>
          <w:szCs w:val="18"/>
        </w:rPr>
        <w:t xml:space="preserve">vailable at </w:t>
      </w:r>
      <w:r w:rsidR="00164E2A">
        <w:rPr>
          <w:szCs w:val="18"/>
        </w:rPr>
        <w:t>http://</w:t>
      </w:r>
      <w:r w:rsidRPr="004516DE">
        <w:rPr>
          <w:szCs w:val="18"/>
        </w:rPr>
        <w:t>www.eurasia.undp.org/content/</w:t>
      </w:r>
      <w:r>
        <w:rPr>
          <w:szCs w:val="18"/>
        </w:rPr>
        <w:br/>
      </w:r>
      <w:r w:rsidRPr="004516DE">
        <w:rPr>
          <w:szCs w:val="18"/>
        </w:rPr>
        <w:t>dam/rbec/docs/Report-on-the-living-conditions-of-Roma-households-in-Slovakia-2010.pdf</w:t>
      </w:r>
      <w:r>
        <w:rPr>
          <w:szCs w:val="18"/>
        </w:rPr>
        <w:t>.</w:t>
      </w:r>
    </w:p>
  </w:footnote>
  <w:footnote w:id="33">
    <w:p w14:paraId="7D57AF93" w14:textId="77777777" w:rsidR="00915BEC" w:rsidRDefault="00915BEC" w:rsidP="00637ADE">
      <w:pPr>
        <w:pStyle w:val="FootnoteText"/>
        <w:ind w:hanging="283"/>
      </w:pPr>
      <w:r w:rsidRPr="006469B8">
        <w:rPr>
          <w:rStyle w:val="FootnoteReference"/>
        </w:rPr>
        <w:footnoteRef/>
      </w:r>
      <w:r>
        <w:t xml:space="preserve"> </w:t>
      </w:r>
      <w:r>
        <w:tab/>
      </w:r>
      <w:r>
        <w:tab/>
        <w:t>See the judgement of the District Court in Rev</w:t>
      </w:r>
      <w:r>
        <w:rPr>
          <w:lang w:val="cs-CZ"/>
        </w:rPr>
        <w:t xml:space="preserve">úca </w:t>
      </w:r>
      <w:r>
        <w:t xml:space="preserve">of 28 March 2011, p. 3, first para. </w:t>
      </w:r>
    </w:p>
  </w:footnote>
  <w:footnote w:id="34">
    <w:p w14:paraId="27F7A6AB" w14:textId="77777777" w:rsidR="00915BEC" w:rsidRDefault="00107751" w:rsidP="00C5707B">
      <w:pPr>
        <w:pStyle w:val="FootnoteText"/>
        <w:ind w:hanging="283"/>
      </w:pPr>
      <w:r>
        <w:t xml:space="preserve"> </w:t>
      </w:r>
      <w:r w:rsidR="00915BEC" w:rsidRPr="006469B8">
        <w:rPr>
          <w:rStyle w:val="FootnoteReference"/>
        </w:rPr>
        <w:footnoteRef/>
      </w:r>
      <w:r w:rsidR="00915BEC">
        <w:t xml:space="preserve"> </w:t>
      </w:r>
      <w:r w:rsidR="00915BEC">
        <w:tab/>
        <w:t>See the judgement of the District Court in Rev</w:t>
      </w:r>
      <w:r w:rsidR="00915BEC">
        <w:rPr>
          <w:lang w:val="cs-CZ"/>
        </w:rPr>
        <w:t xml:space="preserve">úca </w:t>
      </w:r>
      <w:r w:rsidR="00915BEC">
        <w:t xml:space="preserve">of 28 March 2011, p. 3, last para., where it is stated that the successful candidate was a commercial assistant. </w:t>
      </w:r>
    </w:p>
  </w:footnote>
  <w:footnote w:id="35">
    <w:p w14:paraId="62C1C928" w14:textId="77777777" w:rsidR="00915BEC" w:rsidRPr="0016043F" w:rsidRDefault="00915BEC" w:rsidP="005815C5">
      <w:pPr>
        <w:pStyle w:val="FootnoteText"/>
        <w:tabs>
          <w:tab w:val="left" w:pos="851"/>
        </w:tabs>
      </w:pPr>
      <w:r w:rsidRPr="0016043F">
        <w:tab/>
      </w:r>
      <w:r w:rsidR="00107751">
        <w:t xml:space="preserve"> </w:t>
      </w:r>
      <w:r w:rsidRPr="006469B8">
        <w:rPr>
          <w:rStyle w:val="FootnoteReference"/>
        </w:rPr>
        <w:footnoteRef/>
      </w:r>
      <w:r w:rsidRPr="0016043F">
        <w:tab/>
      </w:r>
      <w:r>
        <w:tab/>
      </w:r>
      <w:r w:rsidRPr="0016043F">
        <w:t xml:space="preserve">See communication No. 40/2007, </w:t>
      </w:r>
      <w:r w:rsidRPr="0016043F">
        <w:rPr>
          <w:i/>
        </w:rPr>
        <w:t xml:space="preserve">Er </w:t>
      </w:r>
      <w:r w:rsidRPr="00DF71DE">
        <w:rPr>
          <w:i/>
        </w:rPr>
        <w:t>v.</w:t>
      </w:r>
      <w:r w:rsidRPr="0016043F">
        <w:rPr>
          <w:i/>
        </w:rPr>
        <w:t xml:space="preserve"> Denmark</w:t>
      </w:r>
      <w:r w:rsidRPr="0016043F">
        <w:t xml:space="preserve">, </w:t>
      </w:r>
      <w:r w:rsidR="00C30A18">
        <w:t>o</w:t>
      </w:r>
      <w:r w:rsidRPr="0016043F">
        <w:t>pinion adopted on 8 August 2007, para. 7.2</w:t>
      </w:r>
      <w:r>
        <w:t>, in which the Committee reaffirmed its role to review facts and interpretation of national laws in situations where a decision would be manifestly arbitrary or otherwise amounting to a denial of justice.</w:t>
      </w:r>
    </w:p>
  </w:footnote>
  <w:footnote w:id="36">
    <w:p w14:paraId="3F4EF7F8" w14:textId="77777777" w:rsidR="00915BEC" w:rsidRDefault="00915BEC" w:rsidP="00F00ECA">
      <w:pPr>
        <w:pStyle w:val="FootnoteText"/>
      </w:pPr>
      <w:r>
        <w:tab/>
      </w:r>
      <w:r w:rsidRPr="006469B8">
        <w:rPr>
          <w:rStyle w:val="FootnoteReference"/>
        </w:rPr>
        <w:footnoteRef/>
      </w:r>
      <w:r>
        <w:t xml:space="preserve"> </w:t>
      </w:r>
      <w:r>
        <w:tab/>
      </w:r>
      <w:r w:rsidRPr="0000279B">
        <w:t>See</w:t>
      </w:r>
      <w:r>
        <w:t xml:space="preserve"> para. 12 (2)</w:t>
      </w:r>
      <w:r w:rsidR="00F00ECA">
        <w:t xml:space="preserve"> of the Act</w:t>
      </w:r>
      <w:r>
        <w:t>.</w:t>
      </w:r>
    </w:p>
  </w:footnote>
  <w:footnote w:id="37">
    <w:p w14:paraId="538BC946" w14:textId="77777777" w:rsidR="00915BEC" w:rsidRPr="007D389B" w:rsidRDefault="00915BEC" w:rsidP="00F00ECA">
      <w:pPr>
        <w:pStyle w:val="FootnoteText"/>
      </w:pPr>
      <w:r>
        <w:tab/>
      </w:r>
      <w:r w:rsidRPr="006469B8">
        <w:rPr>
          <w:rStyle w:val="FootnoteReference"/>
        </w:rPr>
        <w:footnoteRef/>
      </w:r>
      <w:r>
        <w:t xml:space="preserve"> </w:t>
      </w:r>
      <w:r>
        <w:tab/>
      </w:r>
      <w:r w:rsidRPr="007D389B">
        <w:t xml:space="preserve">See </w:t>
      </w:r>
      <w:r w:rsidR="00F00ECA">
        <w:t>c</w:t>
      </w:r>
      <w:r w:rsidRPr="00A7312B">
        <w:t>ommunications</w:t>
      </w:r>
      <w:r>
        <w:t xml:space="preserve"> No. 10/1997, </w:t>
      </w:r>
      <w:r w:rsidRPr="00BC0C1B">
        <w:rPr>
          <w:i/>
        </w:rPr>
        <w:t>Habassi v. Denmark</w:t>
      </w:r>
      <w:r>
        <w:t>, Opinion adopted on 17 March 1999, para. 9.3</w:t>
      </w:r>
      <w:r w:rsidR="00F00ECA">
        <w:t>,</w:t>
      </w:r>
      <w:r>
        <w:t xml:space="preserve"> and No.</w:t>
      </w:r>
      <w:r w:rsidRPr="007D389B">
        <w:t xml:space="preserve"> 40/2007, </w:t>
      </w:r>
      <w:r w:rsidRPr="00BC0C1B">
        <w:rPr>
          <w:i/>
        </w:rPr>
        <w:t>Er v. Denmark</w:t>
      </w:r>
      <w:r>
        <w:t xml:space="preserve">, </w:t>
      </w:r>
      <w:r w:rsidRPr="007D389B">
        <w:t>par</w:t>
      </w:r>
      <w:r>
        <w:t>a</w:t>
      </w:r>
      <w:r w:rsidRPr="007D389B">
        <w:t>. 7.4.</w:t>
      </w:r>
    </w:p>
  </w:footnote>
  <w:footnote w:id="38">
    <w:p w14:paraId="34B556A6" w14:textId="77777777" w:rsidR="00915BEC" w:rsidRDefault="00C41E94" w:rsidP="00397443">
      <w:pPr>
        <w:pStyle w:val="FootnoteText"/>
        <w:ind w:hanging="283"/>
      </w:pPr>
      <w:r>
        <w:t xml:space="preserve"> </w:t>
      </w:r>
      <w:r w:rsidR="00915BEC" w:rsidRPr="006469B8">
        <w:rPr>
          <w:rStyle w:val="FootnoteReference"/>
        </w:rPr>
        <w:footnoteRef/>
      </w:r>
      <w:r w:rsidR="00915BEC">
        <w:t xml:space="preserve"> </w:t>
      </w:r>
      <w:r w:rsidR="00915BEC">
        <w:tab/>
        <w:t xml:space="preserve">See also CERD/C/SVK/CO/9-10, para. 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156F1" w14:textId="77777777" w:rsidR="00915BEC" w:rsidRPr="00272073" w:rsidRDefault="00915BEC" w:rsidP="008C11B3">
    <w:pPr>
      <w:pStyle w:val="Header"/>
    </w:pPr>
    <w:r>
      <w:t>CERD/C/88/D/56/2014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9E7E5" w14:textId="77777777" w:rsidR="00915BEC" w:rsidRPr="00272073" w:rsidRDefault="00915BEC" w:rsidP="00404D3E">
    <w:pPr>
      <w:pStyle w:val="Header"/>
      <w:jc w:val="right"/>
    </w:pPr>
    <w:r>
      <w:t>CERD/C/88/D/56/2014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DCE94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9818AF"/>
    <w:multiLevelType w:val="hybridMultilevel"/>
    <w:tmpl w:val="AAA60BB8"/>
    <w:lvl w:ilvl="0" w:tplc="A218EB2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23FA5645"/>
    <w:multiLevelType w:val="hybridMultilevel"/>
    <w:tmpl w:val="7980AC94"/>
    <w:lvl w:ilvl="0" w:tplc="F82EBEF0">
      <w:start w:val="1"/>
      <w:numFmt w:val="decimal"/>
      <w:lvlText w:val="(%1)"/>
      <w:lvlJc w:val="left"/>
      <w:pPr>
        <w:ind w:left="1020" w:hanging="435"/>
      </w:pPr>
      <w:rPr>
        <w:rFonts w:hint="default"/>
      </w:rPr>
    </w:lvl>
    <w:lvl w:ilvl="1" w:tplc="08090019" w:tentative="1">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4" w15:restartNumberingAfterBreak="0">
    <w:nsid w:val="2EF247B6"/>
    <w:multiLevelType w:val="multilevel"/>
    <w:tmpl w:val="912E0F1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9E8296B"/>
    <w:multiLevelType w:val="hybridMultilevel"/>
    <w:tmpl w:val="722EACEE"/>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3B086467"/>
    <w:multiLevelType w:val="hybridMultilevel"/>
    <w:tmpl w:val="2918E03E"/>
    <w:lvl w:ilvl="0" w:tplc="A6BE4D2A">
      <w:start w:val="1"/>
      <w:numFmt w:val="bullet"/>
      <w:pStyle w:val="Bullet"/>
      <w:lvlText w:val=""/>
      <w:lvlJc w:val="left"/>
      <w:pPr>
        <w:tabs>
          <w:tab w:val="num" w:pos="-31680"/>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AE7FD7"/>
    <w:multiLevelType w:val="multilevel"/>
    <w:tmpl w:val="6AE0B310"/>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3F5B3FCD"/>
    <w:multiLevelType w:val="multilevel"/>
    <w:tmpl w:val="1038BAF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540E561F"/>
    <w:multiLevelType w:val="hybridMultilevel"/>
    <w:tmpl w:val="12F21934"/>
    <w:lvl w:ilvl="0" w:tplc="6ECC23E6">
      <w:start w:val="1"/>
      <w:numFmt w:val="decimal"/>
      <w:lvlText w:val="7.%1"/>
      <w:lvlJc w:val="left"/>
      <w:pPr>
        <w:tabs>
          <w:tab w:val="num" w:pos="720"/>
        </w:tabs>
        <w:ind w:left="720" w:hanging="360"/>
      </w:pPr>
      <w:rPr>
        <w:rFonts w:hint="default"/>
      </w:rPr>
    </w:lvl>
    <w:lvl w:ilvl="1" w:tplc="6BC6E992">
      <w:start w:val="8"/>
      <w:numFmt w:val="decimal"/>
      <w:lvlText w:val="%2."/>
      <w:lvlJc w:val="left"/>
      <w:pPr>
        <w:tabs>
          <w:tab w:val="num" w:pos="1800"/>
        </w:tabs>
        <w:ind w:left="1800" w:hanging="720"/>
      </w:pPr>
      <w:rPr>
        <w:rFonts w:hint="default"/>
      </w:rPr>
    </w:lvl>
    <w:lvl w:ilvl="2" w:tplc="C04217C0">
      <w:start w:val="9"/>
      <w:numFmt w:val="decimal"/>
      <w:lvlText w:val="%3."/>
      <w:lvlJc w:val="left"/>
      <w:pPr>
        <w:tabs>
          <w:tab w:val="num" w:pos="567"/>
        </w:tabs>
        <w:ind w:left="0" w:firstLine="0"/>
      </w:pPr>
      <w:rPr>
        <w:rFonts w:hint="default"/>
      </w:rPr>
    </w:lvl>
    <w:lvl w:ilvl="3" w:tplc="31944B2E">
      <w:start w:val="9"/>
      <w:numFmt w:val="decimal"/>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FD4FBE"/>
    <w:multiLevelType w:val="hybridMultilevel"/>
    <w:tmpl w:val="58CAC7E6"/>
    <w:lvl w:ilvl="0" w:tplc="5B5E83C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066E9E"/>
    <w:multiLevelType w:val="multilevel"/>
    <w:tmpl w:val="0AF24F8E"/>
    <w:lvl w:ilvl="0">
      <w:start w:val="3"/>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11"/>
  </w:num>
  <w:num w:numId="3">
    <w:abstractNumId w:val="6"/>
  </w:num>
  <w:num w:numId="4">
    <w:abstractNumId w:val="5"/>
  </w:num>
  <w:num w:numId="5">
    <w:abstractNumId w:val="9"/>
  </w:num>
  <w:num w:numId="6">
    <w:abstractNumId w:val="3"/>
  </w:num>
  <w:num w:numId="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8"/>
  </w:num>
  <w:num w:numId="11">
    <w:abstractNumId w:val="0"/>
  </w:num>
  <w:num w:numId="12">
    <w:abstractNumId w:val="10"/>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73"/>
    <w:rsid w:val="0000149B"/>
    <w:rsid w:val="000016A2"/>
    <w:rsid w:val="00002513"/>
    <w:rsid w:val="0000279B"/>
    <w:rsid w:val="00002859"/>
    <w:rsid w:val="000040D3"/>
    <w:rsid w:val="00004F33"/>
    <w:rsid w:val="0000764D"/>
    <w:rsid w:val="00012D66"/>
    <w:rsid w:val="000130B6"/>
    <w:rsid w:val="00013675"/>
    <w:rsid w:val="000144C6"/>
    <w:rsid w:val="00014FAD"/>
    <w:rsid w:val="0001790A"/>
    <w:rsid w:val="0002051B"/>
    <w:rsid w:val="00021377"/>
    <w:rsid w:val="00027BEF"/>
    <w:rsid w:val="000301A5"/>
    <w:rsid w:val="00030C5E"/>
    <w:rsid w:val="00030E82"/>
    <w:rsid w:val="0003277A"/>
    <w:rsid w:val="000347DD"/>
    <w:rsid w:val="00034F1D"/>
    <w:rsid w:val="000366E2"/>
    <w:rsid w:val="00036A1B"/>
    <w:rsid w:val="0004362A"/>
    <w:rsid w:val="00043F1B"/>
    <w:rsid w:val="0004717D"/>
    <w:rsid w:val="00047391"/>
    <w:rsid w:val="00050F6B"/>
    <w:rsid w:val="00051BB9"/>
    <w:rsid w:val="00052A6E"/>
    <w:rsid w:val="00053688"/>
    <w:rsid w:val="00053B82"/>
    <w:rsid w:val="0005437D"/>
    <w:rsid w:val="000562E7"/>
    <w:rsid w:val="00057647"/>
    <w:rsid w:val="00060A44"/>
    <w:rsid w:val="00061980"/>
    <w:rsid w:val="00061AA5"/>
    <w:rsid w:val="00061EEF"/>
    <w:rsid w:val="000630B3"/>
    <w:rsid w:val="00064508"/>
    <w:rsid w:val="0006580D"/>
    <w:rsid w:val="00065DA9"/>
    <w:rsid w:val="000663C3"/>
    <w:rsid w:val="00066859"/>
    <w:rsid w:val="000672EC"/>
    <w:rsid w:val="00067999"/>
    <w:rsid w:val="00070EB1"/>
    <w:rsid w:val="00072C8C"/>
    <w:rsid w:val="00074A4E"/>
    <w:rsid w:val="00074C92"/>
    <w:rsid w:val="00075AA7"/>
    <w:rsid w:val="00076510"/>
    <w:rsid w:val="00080299"/>
    <w:rsid w:val="00081475"/>
    <w:rsid w:val="00081721"/>
    <w:rsid w:val="00085633"/>
    <w:rsid w:val="0008678B"/>
    <w:rsid w:val="0008796F"/>
    <w:rsid w:val="00091D51"/>
    <w:rsid w:val="000920A6"/>
    <w:rsid w:val="000931C0"/>
    <w:rsid w:val="00093DF0"/>
    <w:rsid w:val="000A06CD"/>
    <w:rsid w:val="000A17D6"/>
    <w:rsid w:val="000A24DB"/>
    <w:rsid w:val="000A36FA"/>
    <w:rsid w:val="000A6339"/>
    <w:rsid w:val="000A6545"/>
    <w:rsid w:val="000A70B2"/>
    <w:rsid w:val="000A7556"/>
    <w:rsid w:val="000B0AD4"/>
    <w:rsid w:val="000B175B"/>
    <w:rsid w:val="000B1CA0"/>
    <w:rsid w:val="000B333E"/>
    <w:rsid w:val="000B3A0F"/>
    <w:rsid w:val="000B3BF2"/>
    <w:rsid w:val="000B575D"/>
    <w:rsid w:val="000C0F94"/>
    <w:rsid w:val="000C1692"/>
    <w:rsid w:val="000C1BF2"/>
    <w:rsid w:val="000C2FBE"/>
    <w:rsid w:val="000C352F"/>
    <w:rsid w:val="000C3FFD"/>
    <w:rsid w:val="000C5336"/>
    <w:rsid w:val="000D0A4B"/>
    <w:rsid w:val="000D17BC"/>
    <w:rsid w:val="000D2CE2"/>
    <w:rsid w:val="000D2F24"/>
    <w:rsid w:val="000D4C61"/>
    <w:rsid w:val="000D53F0"/>
    <w:rsid w:val="000D602D"/>
    <w:rsid w:val="000D60D5"/>
    <w:rsid w:val="000D6A3B"/>
    <w:rsid w:val="000D700C"/>
    <w:rsid w:val="000D7288"/>
    <w:rsid w:val="000E0415"/>
    <w:rsid w:val="000E0ECC"/>
    <w:rsid w:val="000E56BE"/>
    <w:rsid w:val="000E66D8"/>
    <w:rsid w:val="000E68B9"/>
    <w:rsid w:val="000E7050"/>
    <w:rsid w:val="000F059F"/>
    <w:rsid w:val="000F4D81"/>
    <w:rsid w:val="000F6D3F"/>
    <w:rsid w:val="001015ED"/>
    <w:rsid w:val="00101969"/>
    <w:rsid w:val="00102950"/>
    <w:rsid w:val="00104423"/>
    <w:rsid w:val="00105158"/>
    <w:rsid w:val="0010575E"/>
    <w:rsid w:val="00105E5C"/>
    <w:rsid w:val="00107660"/>
    <w:rsid w:val="00107751"/>
    <w:rsid w:val="001143CA"/>
    <w:rsid w:val="00114887"/>
    <w:rsid w:val="00117BE7"/>
    <w:rsid w:val="00120B45"/>
    <w:rsid w:val="00123AD1"/>
    <w:rsid w:val="00123AFD"/>
    <w:rsid w:val="00123D6F"/>
    <w:rsid w:val="00124500"/>
    <w:rsid w:val="00124B3C"/>
    <w:rsid w:val="001268B0"/>
    <w:rsid w:val="0012691C"/>
    <w:rsid w:val="00126921"/>
    <w:rsid w:val="0013111E"/>
    <w:rsid w:val="00131130"/>
    <w:rsid w:val="00131C91"/>
    <w:rsid w:val="00131E90"/>
    <w:rsid w:val="00132495"/>
    <w:rsid w:val="001326B4"/>
    <w:rsid w:val="00132BC7"/>
    <w:rsid w:val="00132EE0"/>
    <w:rsid w:val="00133434"/>
    <w:rsid w:val="00136F54"/>
    <w:rsid w:val="00137CA4"/>
    <w:rsid w:val="00140909"/>
    <w:rsid w:val="00143221"/>
    <w:rsid w:val="0014426F"/>
    <w:rsid w:val="00145476"/>
    <w:rsid w:val="00151F6C"/>
    <w:rsid w:val="00161497"/>
    <w:rsid w:val="00163B05"/>
    <w:rsid w:val="00164E2A"/>
    <w:rsid w:val="00165183"/>
    <w:rsid w:val="0016671A"/>
    <w:rsid w:val="00166EBB"/>
    <w:rsid w:val="00170F90"/>
    <w:rsid w:val="001724D8"/>
    <w:rsid w:val="001775F2"/>
    <w:rsid w:val="00177F70"/>
    <w:rsid w:val="00180B59"/>
    <w:rsid w:val="00180C92"/>
    <w:rsid w:val="00184FB8"/>
    <w:rsid w:val="00186B98"/>
    <w:rsid w:val="00187092"/>
    <w:rsid w:val="00190D79"/>
    <w:rsid w:val="00191D27"/>
    <w:rsid w:val="00193416"/>
    <w:rsid w:val="00193567"/>
    <w:rsid w:val="00193A62"/>
    <w:rsid w:val="0019404B"/>
    <w:rsid w:val="0019474D"/>
    <w:rsid w:val="001A0150"/>
    <w:rsid w:val="001A0B53"/>
    <w:rsid w:val="001A14FB"/>
    <w:rsid w:val="001A190C"/>
    <w:rsid w:val="001A1B49"/>
    <w:rsid w:val="001A1F0C"/>
    <w:rsid w:val="001A37BA"/>
    <w:rsid w:val="001A3BA5"/>
    <w:rsid w:val="001A750D"/>
    <w:rsid w:val="001B0E9B"/>
    <w:rsid w:val="001B4B04"/>
    <w:rsid w:val="001B4F68"/>
    <w:rsid w:val="001B5445"/>
    <w:rsid w:val="001B554D"/>
    <w:rsid w:val="001B6CD6"/>
    <w:rsid w:val="001B7CC7"/>
    <w:rsid w:val="001C1B96"/>
    <w:rsid w:val="001C4383"/>
    <w:rsid w:val="001C4B00"/>
    <w:rsid w:val="001C52FB"/>
    <w:rsid w:val="001C55EA"/>
    <w:rsid w:val="001C6663"/>
    <w:rsid w:val="001C7895"/>
    <w:rsid w:val="001D0E58"/>
    <w:rsid w:val="001D26DF"/>
    <w:rsid w:val="001D2CE5"/>
    <w:rsid w:val="001D5CE6"/>
    <w:rsid w:val="001D70AC"/>
    <w:rsid w:val="001E0A0F"/>
    <w:rsid w:val="001E0FEB"/>
    <w:rsid w:val="001E3BE7"/>
    <w:rsid w:val="001E4F2B"/>
    <w:rsid w:val="001E68E2"/>
    <w:rsid w:val="001E6BAF"/>
    <w:rsid w:val="001F2355"/>
    <w:rsid w:val="001F316C"/>
    <w:rsid w:val="001F4F4B"/>
    <w:rsid w:val="001F5BAC"/>
    <w:rsid w:val="001F7B71"/>
    <w:rsid w:val="001F7BEA"/>
    <w:rsid w:val="001F7F9C"/>
    <w:rsid w:val="001F7FBC"/>
    <w:rsid w:val="00200496"/>
    <w:rsid w:val="00200663"/>
    <w:rsid w:val="0020142D"/>
    <w:rsid w:val="002018D2"/>
    <w:rsid w:val="00204E6C"/>
    <w:rsid w:val="00205BAB"/>
    <w:rsid w:val="002070ED"/>
    <w:rsid w:val="002078C0"/>
    <w:rsid w:val="002108E1"/>
    <w:rsid w:val="00210B86"/>
    <w:rsid w:val="00211E0B"/>
    <w:rsid w:val="00222255"/>
    <w:rsid w:val="00223C70"/>
    <w:rsid w:val="00223F59"/>
    <w:rsid w:val="00224173"/>
    <w:rsid w:val="0022417D"/>
    <w:rsid w:val="00226598"/>
    <w:rsid w:val="00230D90"/>
    <w:rsid w:val="00231A0E"/>
    <w:rsid w:val="00231E6C"/>
    <w:rsid w:val="00232E3C"/>
    <w:rsid w:val="00232E5B"/>
    <w:rsid w:val="00232F2B"/>
    <w:rsid w:val="00236DE7"/>
    <w:rsid w:val="00240738"/>
    <w:rsid w:val="00240A0B"/>
    <w:rsid w:val="00240E33"/>
    <w:rsid w:val="00243F59"/>
    <w:rsid w:val="00245E75"/>
    <w:rsid w:val="00246C40"/>
    <w:rsid w:val="0025322A"/>
    <w:rsid w:val="00255661"/>
    <w:rsid w:val="00261557"/>
    <w:rsid w:val="0026198C"/>
    <w:rsid w:val="00265305"/>
    <w:rsid w:val="002710DC"/>
    <w:rsid w:val="0027200F"/>
    <w:rsid w:val="00272073"/>
    <w:rsid w:val="0027458F"/>
    <w:rsid w:val="00274B08"/>
    <w:rsid w:val="002776CE"/>
    <w:rsid w:val="00280137"/>
    <w:rsid w:val="00281554"/>
    <w:rsid w:val="00281928"/>
    <w:rsid w:val="0028202A"/>
    <w:rsid w:val="0028238C"/>
    <w:rsid w:val="002852AF"/>
    <w:rsid w:val="00285EC0"/>
    <w:rsid w:val="00286F37"/>
    <w:rsid w:val="002874F2"/>
    <w:rsid w:val="00287F95"/>
    <w:rsid w:val="00290084"/>
    <w:rsid w:val="00292F80"/>
    <w:rsid w:val="00293050"/>
    <w:rsid w:val="002979FF"/>
    <w:rsid w:val="00297D99"/>
    <w:rsid w:val="002A2F9C"/>
    <w:rsid w:val="002A30AB"/>
    <w:rsid w:val="002A4874"/>
    <w:rsid w:val="002A5F1E"/>
    <w:rsid w:val="002A7578"/>
    <w:rsid w:val="002A7AE5"/>
    <w:rsid w:val="002B099F"/>
    <w:rsid w:val="002B0F89"/>
    <w:rsid w:val="002B3501"/>
    <w:rsid w:val="002B4C0A"/>
    <w:rsid w:val="002B5666"/>
    <w:rsid w:val="002B6BC0"/>
    <w:rsid w:val="002C5579"/>
    <w:rsid w:val="002C6016"/>
    <w:rsid w:val="002D00C7"/>
    <w:rsid w:val="002D2152"/>
    <w:rsid w:val="002D2406"/>
    <w:rsid w:val="002D3B35"/>
    <w:rsid w:val="002D4629"/>
    <w:rsid w:val="002D5F88"/>
    <w:rsid w:val="002D741C"/>
    <w:rsid w:val="002E16E2"/>
    <w:rsid w:val="002E2513"/>
    <w:rsid w:val="002E53C4"/>
    <w:rsid w:val="002E5FB5"/>
    <w:rsid w:val="002E641B"/>
    <w:rsid w:val="002E6A52"/>
    <w:rsid w:val="002F40A0"/>
    <w:rsid w:val="002F6152"/>
    <w:rsid w:val="002F6961"/>
    <w:rsid w:val="002F72D9"/>
    <w:rsid w:val="00300C61"/>
    <w:rsid w:val="00301448"/>
    <w:rsid w:val="00301D8B"/>
    <w:rsid w:val="003053D7"/>
    <w:rsid w:val="00307222"/>
    <w:rsid w:val="00307873"/>
    <w:rsid w:val="003107FA"/>
    <w:rsid w:val="00311374"/>
    <w:rsid w:val="003121B1"/>
    <w:rsid w:val="00312926"/>
    <w:rsid w:val="0031327D"/>
    <w:rsid w:val="00314238"/>
    <w:rsid w:val="003147DB"/>
    <w:rsid w:val="003148AE"/>
    <w:rsid w:val="003160D3"/>
    <w:rsid w:val="00317AE0"/>
    <w:rsid w:val="003207CE"/>
    <w:rsid w:val="00320E56"/>
    <w:rsid w:val="00320FF1"/>
    <w:rsid w:val="003229D8"/>
    <w:rsid w:val="00323B4F"/>
    <w:rsid w:val="00324E82"/>
    <w:rsid w:val="0032526F"/>
    <w:rsid w:val="00325B67"/>
    <w:rsid w:val="00327036"/>
    <w:rsid w:val="003276FE"/>
    <w:rsid w:val="00327F70"/>
    <w:rsid w:val="00330006"/>
    <w:rsid w:val="00334E61"/>
    <w:rsid w:val="00336045"/>
    <w:rsid w:val="0033745A"/>
    <w:rsid w:val="00341E1D"/>
    <w:rsid w:val="00342F9B"/>
    <w:rsid w:val="00346BD1"/>
    <w:rsid w:val="00350656"/>
    <w:rsid w:val="00350A65"/>
    <w:rsid w:val="00353413"/>
    <w:rsid w:val="00354203"/>
    <w:rsid w:val="0035457D"/>
    <w:rsid w:val="00354BB4"/>
    <w:rsid w:val="00354F1A"/>
    <w:rsid w:val="00356800"/>
    <w:rsid w:val="00356C32"/>
    <w:rsid w:val="0036084D"/>
    <w:rsid w:val="00360B81"/>
    <w:rsid w:val="00361506"/>
    <w:rsid w:val="00363654"/>
    <w:rsid w:val="003731AA"/>
    <w:rsid w:val="00373E9A"/>
    <w:rsid w:val="003742ED"/>
    <w:rsid w:val="00376645"/>
    <w:rsid w:val="0037680A"/>
    <w:rsid w:val="00382654"/>
    <w:rsid w:val="003835F4"/>
    <w:rsid w:val="00384E66"/>
    <w:rsid w:val="003852CE"/>
    <w:rsid w:val="00385CE8"/>
    <w:rsid w:val="003907F9"/>
    <w:rsid w:val="00391C2B"/>
    <w:rsid w:val="00392684"/>
    <w:rsid w:val="0039277A"/>
    <w:rsid w:val="00395058"/>
    <w:rsid w:val="00395336"/>
    <w:rsid w:val="00395CDC"/>
    <w:rsid w:val="00397091"/>
    <w:rsid w:val="003972E0"/>
    <w:rsid w:val="00397443"/>
    <w:rsid w:val="0039788B"/>
    <w:rsid w:val="003A0A59"/>
    <w:rsid w:val="003A108A"/>
    <w:rsid w:val="003A1E36"/>
    <w:rsid w:val="003A3770"/>
    <w:rsid w:val="003A74A7"/>
    <w:rsid w:val="003A75D6"/>
    <w:rsid w:val="003B014C"/>
    <w:rsid w:val="003B0368"/>
    <w:rsid w:val="003B04B0"/>
    <w:rsid w:val="003B1CD6"/>
    <w:rsid w:val="003B4C46"/>
    <w:rsid w:val="003B6619"/>
    <w:rsid w:val="003B66FC"/>
    <w:rsid w:val="003B695D"/>
    <w:rsid w:val="003C2CC4"/>
    <w:rsid w:val="003C4E90"/>
    <w:rsid w:val="003C53B5"/>
    <w:rsid w:val="003D05CF"/>
    <w:rsid w:val="003D4B23"/>
    <w:rsid w:val="003D4E60"/>
    <w:rsid w:val="003D53BA"/>
    <w:rsid w:val="003E05B1"/>
    <w:rsid w:val="003E1034"/>
    <w:rsid w:val="003E33DE"/>
    <w:rsid w:val="003E4F1D"/>
    <w:rsid w:val="003E5203"/>
    <w:rsid w:val="003E5376"/>
    <w:rsid w:val="003E6F6C"/>
    <w:rsid w:val="003F02B1"/>
    <w:rsid w:val="003F19D7"/>
    <w:rsid w:val="003F21D1"/>
    <w:rsid w:val="003F3BE6"/>
    <w:rsid w:val="003F7F1F"/>
    <w:rsid w:val="004028BC"/>
    <w:rsid w:val="00402A7F"/>
    <w:rsid w:val="00404D3E"/>
    <w:rsid w:val="00404FCD"/>
    <w:rsid w:val="00405990"/>
    <w:rsid w:val="00411B7F"/>
    <w:rsid w:val="004130B5"/>
    <w:rsid w:val="00413504"/>
    <w:rsid w:val="00413B0C"/>
    <w:rsid w:val="00415618"/>
    <w:rsid w:val="004160F3"/>
    <w:rsid w:val="00417EC6"/>
    <w:rsid w:val="00423C6E"/>
    <w:rsid w:val="0043018C"/>
    <w:rsid w:val="00430283"/>
    <w:rsid w:val="00430B2A"/>
    <w:rsid w:val="004325CB"/>
    <w:rsid w:val="00435CA7"/>
    <w:rsid w:val="0043728D"/>
    <w:rsid w:val="00437F0B"/>
    <w:rsid w:val="0044337C"/>
    <w:rsid w:val="00445FC8"/>
    <w:rsid w:val="00446B5B"/>
    <w:rsid w:val="00446DE4"/>
    <w:rsid w:val="004516DE"/>
    <w:rsid w:val="00452592"/>
    <w:rsid w:val="00453528"/>
    <w:rsid w:val="00454F1B"/>
    <w:rsid w:val="004570F3"/>
    <w:rsid w:val="00457631"/>
    <w:rsid w:val="0046188A"/>
    <w:rsid w:val="00462F5F"/>
    <w:rsid w:val="004630BA"/>
    <w:rsid w:val="00465341"/>
    <w:rsid w:val="0046740A"/>
    <w:rsid w:val="00470807"/>
    <w:rsid w:val="00474001"/>
    <w:rsid w:val="004778CA"/>
    <w:rsid w:val="00477CAF"/>
    <w:rsid w:val="00480BC6"/>
    <w:rsid w:val="00483260"/>
    <w:rsid w:val="00484B61"/>
    <w:rsid w:val="00491B18"/>
    <w:rsid w:val="00493A1E"/>
    <w:rsid w:val="00493C39"/>
    <w:rsid w:val="00495E6D"/>
    <w:rsid w:val="00497A6E"/>
    <w:rsid w:val="004A1AFC"/>
    <w:rsid w:val="004A1EB9"/>
    <w:rsid w:val="004A41CA"/>
    <w:rsid w:val="004B0363"/>
    <w:rsid w:val="004B237D"/>
    <w:rsid w:val="004B2919"/>
    <w:rsid w:val="004B5272"/>
    <w:rsid w:val="004B59F5"/>
    <w:rsid w:val="004B6318"/>
    <w:rsid w:val="004C17DE"/>
    <w:rsid w:val="004C1EEC"/>
    <w:rsid w:val="004C2DFA"/>
    <w:rsid w:val="004C460A"/>
    <w:rsid w:val="004C6BE5"/>
    <w:rsid w:val="004D05D7"/>
    <w:rsid w:val="004D1A6D"/>
    <w:rsid w:val="004D250F"/>
    <w:rsid w:val="004D2A03"/>
    <w:rsid w:val="004D5CEF"/>
    <w:rsid w:val="004D6845"/>
    <w:rsid w:val="004D7015"/>
    <w:rsid w:val="004E0002"/>
    <w:rsid w:val="004E068F"/>
    <w:rsid w:val="004E1284"/>
    <w:rsid w:val="004E4A71"/>
    <w:rsid w:val="004E54C6"/>
    <w:rsid w:val="004E6BB7"/>
    <w:rsid w:val="004F005D"/>
    <w:rsid w:val="004F2EB2"/>
    <w:rsid w:val="004F3450"/>
    <w:rsid w:val="004F4132"/>
    <w:rsid w:val="004F467C"/>
    <w:rsid w:val="004F46AA"/>
    <w:rsid w:val="00501B90"/>
    <w:rsid w:val="00502375"/>
    <w:rsid w:val="00503228"/>
    <w:rsid w:val="0050323C"/>
    <w:rsid w:val="00505164"/>
    <w:rsid w:val="00505384"/>
    <w:rsid w:val="00505535"/>
    <w:rsid w:val="00505F5C"/>
    <w:rsid w:val="005063ED"/>
    <w:rsid w:val="00507B9F"/>
    <w:rsid w:val="005129A9"/>
    <w:rsid w:val="00514090"/>
    <w:rsid w:val="00514967"/>
    <w:rsid w:val="0051542C"/>
    <w:rsid w:val="0052539F"/>
    <w:rsid w:val="00530B0E"/>
    <w:rsid w:val="005349C4"/>
    <w:rsid w:val="005379C3"/>
    <w:rsid w:val="005420F2"/>
    <w:rsid w:val="0054462F"/>
    <w:rsid w:val="00545D5D"/>
    <w:rsid w:val="00547D07"/>
    <w:rsid w:val="005514EF"/>
    <w:rsid w:val="0055154D"/>
    <w:rsid w:val="0055303F"/>
    <w:rsid w:val="00553EA0"/>
    <w:rsid w:val="00557492"/>
    <w:rsid w:val="00561397"/>
    <w:rsid w:val="00562B84"/>
    <w:rsid w:val="0056317A"/>
    <w:rsid w:val="005651F3"/>
    <w:rsid w:val="00565784"/>
    <w:rsid w:val="00567AAD"/>
    <w:rsid w:val="005700D9"/>
    <w:rsid w:val="00571BEF"/>
    <w:rsid w:val="00574909"/>
    <w:rsid w:val="005749A2"/>
    <w:rsid w:val="005749AB"/>
    <w:rsid w:val="0057589C"/>
    <w:rsid w:val="00576A74"/>
    <w:rsid w:val="00577982"/>
    <w:rsid w:val="00580B51"/>
    <w:rsid w:val="005815C5"/>
    <w:rsid w:val="00583DA2"/>
    <w:rsid w:val="005846B9"/>
    <w:rsid w:val="00584990"/>
    <w:rsid w:val="0058610E"/>
    <w:rsid w:val="005867A8"/>
    <w:rsid w:val="00586EAE"/>
    <w:rsid w:val="00590D7E"/>
    <w:rsid w:val="005918EE"/>
    <w:rsid w:val="005935FA"/>
    <w:rsid w:val="005941C1"/>
    <w:rsid w:val="005A1401"/>
    <w:rsid w:val="005A2490"/>
    <w:rsid w:val="005A48E7"/>
    <w:rsid w:val="005B24C3"/>
    <w:rsid w:val="005B343B"/>
    <w:rsid w:val="005B3A37"/>
    <w:rsid w:val="005B3DB3"/>
    <w:rsid w:val="005B54D8"/>
    <w:rsid w:val="005B63E8"/>
    <w:rsid w:val="005B6776"/>
    <w:rsid w:val="005B6834"/>
    <w:rsid w:val="005B6D39"/>
    <w:rsid w:val="005C1AE1"/>
    <w:rsid w:val="005C6899"/>
    <w:rsid w:val="005D6378"/>
    <w:rsid w:val="005D6B1D"/>
    <w:rsid w:val="005E18B1"/>
    <w:rsid w:val="005E328D"/>
    <w:rsid w:val="005F0CAF"/>
    <w:rsid w:val="005F3259"/>
    <w:rsid w:val="005F3A54"/>
    <w:rsid w:val="005F3C5E"/>
    <w:rsid w:val="005F415D"/>
    <w:rsid w:val="005F4E1A"/>
    <w:rsid w:val="005F5E57"/>
    <w:rsid w:val="005F659A"/>
    <w:rsid w:val="005F7135"/>
    <w:rsid w:val="006005D2"/>
    <w:rsid w:val="00601655"/>
    <w:rsid w:val="00603840"/>
    <w:rsid w:val="00604C8B"/>
    <w:rsid w:val="00605917"/>
    <w:rsid w:val="00605FE8"/>
    <w:rsid w:val="00606D51"/>
    <w:rsid w:val="006111A0"/>
    <w:rsid w:val="00611FC4"/>
    <w:rsid w:val="00615316"/>
    <w:rsid w:val="00615C31"/>
    <w:rsid w:val="006163E9"/>
    <w:rsid w:val="006171E6"/>
    <w:rsid w:val="006176FB"/>
    <w:rsid w:val="00617790"/>
    <w:rsid w:val="00621A8B"/>
    <w:rsid w:val="006221F1"/>
    <w:rsid w:val="00623184"/>
    <w:rsid w:val="00627ED0"/>
    <w:rsid w:val="0063070D"/>
    <w:rsid w:val="00632263"/>
    <w:rsid w:val="0063332F"/>
    <w:rsid w:val="006334C0"/>
    <w:rsid w:val="006347A4"/>
    <w:rsid w:val="00634FBC"/>
    <w:rsid w:val="00635D0A"/>
    <w:rsid w:val="006369CC"/>
    <w:rsid w:val="006376FA"/>
    <w:rsid w:val="00637722"/>
    <w:rsid w:val="00637ADE"/>
    <w:rsid w:val="00637E8F"/>
    <w:rsid w:val="006404E4"/>
    <w:rsid w:val="00640681"/>
    <w:rsid w:val="00640B26"/>
    <w:rsid w:val="006422AB"/>
    <w:rsid w:val="00643655"/>
    <w:rsid w:val="00644A55"/>
    <w:rsid w:val="006458DB"/>
    <w:rsid w:val="006469B8"/>
    <w:rsid w:val="00646C96"/>
    <w:rsid w:val="0064742A"/>
    <w:rsid w:val="00651462"/>
    <w:rsid w:val="00652CB4"/>
    <w:rsid w:val="0065418C"/>
    <w:rsid w:val="006579B3"/>
    <w:rsid w:val="00661ACC"/>
    <w:rsid w:val="00663787"/>
    <w:rsid w:val="00663BBE"/>
    <w:rsid w:val="00663ECA"/>
    <w:rsid w:val="00664D87"/>
    <w:rsid w:val="00665595"/>
    <w:rsid w:val="00665A10"/>
    <w:rsid w:val="00670ACD"/>
    <w:rsid w:val="00670EA3"/>
    <w:rsid w:val="00673FBD"/>
    <w:rsid w:val="006769F2"/>
    <w:rsid w:val="00676C78"/>
    <w:rsid w:val="00677651"/>
    <w:rsid w:val="00677FF0"/>
    <w:rsid w:val="0068096D"/>
    <w:rsid w:val="00680C56"/>
    <w:rsid w:val="006810A1"/>
    <w:rsid w:val="00685A2D"/>
    <w:rsid w:val="00690656"/>
    <w:rsid w:val="006910FE"/>
    <w:rsid w:val="00691857"/>
    <w:rsid w:val="006969FF"/>
    <w:rsid w:val="0069704C"/>
    <w:rsid w:val="006A2873"/>
    <w:rsid w:val="006A7392"/>
    <w:rsid w:val="006B0318"/>
    <w:rsid w:val="006B1D54"/>
    <w:rsid w:val="006B31B4"/>
    <w:rsid w:val="006B3544"/>
    <w:rsid w:val="006B5D36"/>
    <w:rsid w:val="006B67A7"/>
    <w:rsid w:val="006B7A10"/>
    <w:rsid w:val="006C050D"/>
    <w:rsid w:val="006C0893"/>
    <w:rsid w:val="006C0A8B"/>
    <w:rsid w:val="006D1152"/>
    <w:rsid w:val="006D3BF6"/>
    <w:rsid w:val="006D4556"/>
    <w:rsid w:val="006D4BCC"/>
    <w:rsid w:val="006E0354"/>
    <w:rsid w:val="006E1DC7"/>
    <w:rsid w:val="006E2031"/>
    <w:rsid w:val="006E3766"/>
    <w:rsid w:val="006E564B"/>
    <w:rsid w:val="006E5CC1"/>
    <w:rsid w:val="006F307F"/>
    <w:rsid w:val="006F50C6"/>
    <w:rsid w:val="00703AF2"/>
    <w:rsid w:val="00703DD0"/>
    <w:rsid w:val="007045C2"/>
    <w:rsid w:val="00706B51"/>
    <w:rsid w:val="00710316"/>
    <w:rsid w:val="00710F3A"/>
    <w:rsid w:val="007130A3"/>
    <w:rsid w:val="00715E30"/>
    <w:rsid w:val="0071718A"/>
    <w:rsid w:val="00720D4D"/>
    <w:rsid w:val="00721A5B"/>
    <w:rsid w:val="007227D7"/>
    <w:rsid w:val="00723393"/>
    <w:rsid w:val="00723D65"/>
    <w:rsid w:val="00724610"/>
    <w:rsid w:val="00724A4C"/>
    <w:rsid w:val="0072632A"/>
    <w:rsid w:val="0072752A"/>
    <w:rsid w:val="00731D52"/>
    <w:rsid w:val="00732618"/>
    <w:rsid w:val="00732CE2"/>
    <w:rsid w:val="0073445F"/>
    <w:rsid w:val="00734C6A"/>
    <w:rsid w:val="007369EB"/>
    <w:rsid w:val="00737718"/>
    <w:rsid w:val="007406AF"/>
    <w:rsid w:val="00741CF8"/>
    <w:rsid w:val="00741E9C"/>
    <w:rsid w:val="007429D0"/>
    <w:rsid w:val="007450A2"/>
    <w:rsid w:val="00747483"/>
    <w:rsid w:val="00750263"/>
    <w:rsid w:val="0075216C"/>
    <w:rsid w:val="007522F1"/>
    <w:rsid w:val="00753407"/>
    <w:rsid w:val="00760013"/>
    <w:rsid w:val="00763B04"/>
    <w:rsid w:val="00772474"/>
    <w:rsid w:val="00773069"/>
    <w:rsid w:val="00775702"/>
    <w:rsid w:val="00775A02"/>
    <w:rsid w:val="007767D1"/>
    <w:rsid w:val="00781008"/>
    <w:rsid w:val="007827BD"/>
    <w:rsid w:val="007831DC"/>
    <w:rsid w:val="0078347F"/>
    <w:rsid w:val="0078546F"/>
    <w:rsid w:val="00787E78"/>
    <w:rsid w:val="007909A4"/>
    <w:rsid w:val="00790C04"/>
    <w:rsid w:val="0079605F"/>
    <w:rsid w:val="0079621E"/>
    <w:rsid w:val="00796ED6"/>
    <w:rsid w:val="00797FD0"/>
    <w:rsid w:val="007A021B"/>
    <w:rsid w:val="007A2F14"/>
    <w:rsid w:val="007A6FB9"/>
    <w:rsid w:val="007A76AD"/>
    <w:rsid w:val="007B0E45"/>
    <w:rsid w:val="007B215E"/>
    <w:rsid w:val="007B2416"/>
    <w:rsid w:val="007B269A"/>
    <w:rsid w:val="007B27A5"/>
    <w:rsid w:val="007B4F11"/>
    <w:rsid w:val="007B6A43"/>
    <w:rsid w:val="007B6BA5"/>
    <w:rsid w:val="007B76F9"/>
    <w:rsid w:val="007C2002"/>
    <w:rsid w:val="007C3390"/>
    <w:rsid w:val="007C4F4B"/>
    <w:rsid w:val="007C7448"/>
    <w:rsid w:val="007C76C7"/>
    <w:rsid w:val="007D0827"/>
    <w:rsid w:val="007D0F1B"/>
    <w:rsid w:val="007D1072"/>
    <w:rsid w:val="007D29E2"/>
    <w:rsid w:val="007D2F3F"/>
    <w:rsid w:val="007D389B"/>
    <w:rsid w:val="007D435C"/>
    <w:rsid w:val="007D4AB1"/>
    <w:rsid w:val="007D4EC7"/>
    <w:rsid w:val="007D724E"/>
    <w:rsid w:val="007E1021"/>
    <w:rsid w:val="007E3CA3"/>
    <w:rsid w:val="007E481E"/>
    <w:rsid w:val="007F0B83"/>
    <w:rsid w:val="007F1496"/>
    <w:rsid w:val="007F1C85"/>
    <w:rsid w:val="007F23F8"/>
    <w:rsid w:val="007F25CC"/>
    <w:rsid w:val="007F6611"/>
    <w:rsid w:val="00800047"/>
    <w:rsid w:val="008002D6"/>
    <w:rsid w:val="00802DC2"/>
    <w:rsid w:val="0080307B"/>
    <w:rsid w:val="00805D10"/>
    <w:rsid w:val="00810B3A"/>
    <w:rsid w:val="008118F9"/>
    <w:rsid w:val="008125EF"/>
    <w:rsid w:val="0081697F"/>
    <w:rsid w:val="008173F8"/>
    <w:rsid w:val="008175E9"/>
    <w:rsid w:val="00820106"/>
    <w:rsid w:val="00820186"/>
    <w:rsid w:val="00820599"/>
    <w:rsid w:val="00822F26"/>
    <w:rsid w:val="00823D9D"/>
    <w:rsid w:val="008242D7"/>
    <w:rsid w:val="008244A4"/>
    <w:rsid w:val="00825F0A"/>
    <w:rsid w:val="008263BD"/>
    <w:rsid w:val="008277C7"/>
    <w:rsid w:val="00827D2E"/>
    <w:rsid w:val="008311A3"/>
    <w:rsid w:val="008339A8"/>
    <w:rsid w:val="00836C54"/>
    <w:rsid w:val="00840B80"/>
    <w:rsid w:val="00842736"/>
    <w:rsid w:val="00842BED"/>
    <w:rsid w:val="008430EC"/>
    <w:rsid w:val="00843CF7"/>
    <w:rsid w:val="00844DEF"/>
    <w:rsid w:val="00845349"/>
    <w:rsid w:val="00845843"/>
    <w:rsid w:val="00846445"/>
    <w:rsid w:val="00847398"/>
    <w:rsid w:val="008505DA"/>
    <w:rsid w:val="008521DA"/>
    <w:rsid w:val="00854B4B"/>
    <w:rsid w:val="00856A6F"/>
    <w:rsid w:val="00856D53"/>
    <w:rsid w:val="00860065"/>
    <w:rsid w:val="00861E2C"/>
    <w:rsid w:val="00861E67"/>
    <w:rsid w:val="008623F8"/>
    <w:rsid w:val="0086244E"/>
    <w:rsid w:val="00863A7F"/>
    <w:rsid w:val="00863AC8"/>
    <w:rsid w:val="008663DB"/>
    <w:rsid w:val="0086705A"/>
    <w:rsid w:val="008676E4"/>
    <w:rsid w:val="00867A1A"/>
    <w:rsid w:val="008705F9"/>
    <w:rsid w:val="008706F6"/>
    <w:rsid w:val="00871FD5"/>
    <w:rsid w:val="008761F4"/>
    <w:rsid w:val="0087624C"/>
    <w:rsid w:val="00876365"/>
    <w:rsid w:val="00876F28"/>
    <w:rsid w:val="00877DF7"/>
    <w:rsid w:val="00881F6E"/>
    <w:rsid w:val="00887EBB"/>
    <w:rsid w:val="00890A73"/>
    <w:rsid w:val="00892543"/>
    <w:rsid w:val="00896599"/>
    <w:rsid w:val="00896CF4"/>
    <w:rsid w:val="008979B1"/>
    <w:rsid w:val="008A33EE"/>
    <w:rsid w:val="008A3DB4"/>
    <w:rsid w:val="008A4EF6"/>
    <w:rsid w:val="008A6B25"/>
    <w:rsid w:val="008A6C4F"/>
    <w:rsid w:val="008B0DE3"/>
    <w:rsid w:val="008B10D8"/>
    <w:rsid w:val="008B1298"/>
    <w:rsid w:val="008B26F7"/>
    <w:rsid w:val="008B34F7"/>
    <w:rsid w:val="008B3531"/>
    <w:rsid w:val="008B7288"/>
    <w:rsid w:val="008B72D7"/>
    <w:rsid w:val="008B732E"/>
    <w:rsid w:val="008B77EB"/>
    <w:rsid w:val="008C0049"/>
    <w:rsid w:val="008C11B3"/>
    <w:rsid w:val="008C181F"/>
    <w:rsid w:val="008C592A"/>
    <w:rsid w:val="008C608B"/>
    <w:rsid w:val="008C71AE"/>
    <w:rsid w:val="008D1DA1"/>
    <w:rsid w:val="008D4EB8"/>
    <w:rsid w:val="008D5A35"/>
    <w:rsid w:val="008D686F"/>
    <w:rsid w:val="008E0E46"/>
    <w:rsid w:val="008E23E4"/>
    <w:rsid w:val="008E283D"/>
    <w:rsid w:val="008E2955"/>
    <w:rsid w:val="008E301B"/>
    <w:rsid w:val="008E3091"/>
    <w:rsid w:val="008E4EEE"/>
    <w:rsid w:val="008E4FB2"/>
    <w:rsid w:val="008E68C6"/>
    <w:rsid w:val="008E7AF5"/>
    <w:rsid w:val="008F118B"/>
    <w:rsid w:val="008F79A2"/>
    <w:rsid w:val="008F7B09"/>
    <w:rsid w:val="008F7BAC"/>
    <w:rsid w:val="00900027"/>
    <w:rsid w:val="00901A15"/>
    <w:rsid w:val="00901F0B"/>
    <w:rsid w:val="00903E1D"/>
    <w:rsid w:val="00903E31"/>
    <w:rsid w:val="00903FAA"/>
    <w:rsid w:val="00907591"/>
    <w:rsid w:val="00907AD2"/>
    <w:rsid w:val="00910022"/>
    <w:rsid w:val="009113AC"/>
    <w:rsid w:val="00912702"/>
    <w:rsid w:val="009133B7"/>
    <w:rsid w:val="009158EC"/>
    <w:rsid w:val="00915BEC"/>
    <w:rsid w:val="0091635D"/>
    <w:rsid w:val="00916C44"/>
    <w:rsid w:val="00922BEE"/>
    <w:rsid w:val="00925AC1"/>
    <w:rsid w:val="00926A19"/>
    <w:rsid w:val="00926C9F"/>
    <w:rsid w:val="00930F4B"/>
    <w:rsid w:val="00931075"/>
    <w:rsid w:val="009371AB"/>
    <w:rsid w:val="00937493"/>
    <w:rsid w:val="00941CDA"/>
    <w:rsid w:val="0094205C"/>
    <w:rsid w:val="0094219C"/>
    <w:rsid w:val="0094542B"/>
    <w:rsid w:val="00947CE1"/>
    <w:rsid w:val="0095406F"/>
    <w:rsid w:val="00955C7C"/>
    <w:rsid w:val="00957990"/>
    <w:rsid w:val="009637CD"/>
    <w:rsid w:val="00963CBA"/>
    <w:rsid w:val="00963EED"/>
    <w:rsid w:val="0096677F"/>
    <w:rsid w:val="009671DC"/>
    <w:rsid w:val="0097013D"/>
    <w:rsid w:val="00970661"/>
    <w:rsid w:val="009733CD"/>
    <w:rsid w:val="009734AA"/>
    <w:rsid w:val="0097419C"/>
    <w:rsid w:val="00974728"/>
    <w:rsid w:val="00974A8D"/>
    <w:rsid w:val="00974BF2"/>
    <w:rsid w:val="0097777D"/>
    <w:rsid w:val="00980070"/>
    <w:rsid w:val="00980F0C"/>
    <w:rsid w:val="00983CA2"/>
    <w:rsid w:val="009910D6"/>
    <w:rsid w:val="00991261"/>
    <w:rsid w:val="00991368"/>
    <w:rsid w:val="00991EA5"/>
    <w:rsid w:val="00994165"/>
    <w:rsid w:val="009A26D8"/>
    <w:rsid w:val="009A2945"/>
    <w:rsid w:val="009A4815"/>
    <w:rsid w:val="009A7F51"/>
    <w:rsid w:val="009B2AE5"/>
    <w:rsid w:val="009B4EE3"/>
    <w:rsid w:val="009C2AA7"/>
    <w:rsid w:val="009C363C"/>
    <w:rsid w:val="009C5503"/>
    <w:rsid w:val="009C5DDC"/>
    <w:rsid w:val="009D1325"/>
    <w:rsid w:val="009D2B8D"/>
    <w:rsid w:val="009D5A25"/>
    <w:rsid w:val="009D6302"/>
    <w:rsid w:val="009D6782"/>
    <w:rsid w:val="009E024A"/>
    <w:rsid w:val="009E0EE1"/>
    <w:rsid w:val="009E1C86"/>
    <w:rsid w:val="009E350E"/>
    <w:rsid w:val="009E3DBA"/>
    <w:rsid w:val="009E4A40"/>
    <w:rsid w:val="009E5F6A"/>
    <w:rsid w:val="009E7FC8"/>
    <w:rsid w:val="009F3A17"/>
    <w:rsid w:val="009F58AA"/>
    <w:rsid w:val="009F715F"/>
    <w:rsid w:val="009F7392"/>
    <w:rsid w:val="00A00AA7"/>
    <w:rsid w:val="00A01C02"/>
    <w:rsid w:val="00A01DCF"/>
    <w:rsid w:val="00A02232"/>
    <w:rsid w:val="00A0383A"/>
    <w:rsid w:val="00A05911"/>
    <w:rsid w:val="00A06B3A"/>
    <w:rsid w:val="00A10506"/>
    <w:rsid w:val="00A111C0"/>
    <w:rsid w:val="00A11E02"/>
    <w:rsid w:val="00A12185"/>
    <w:rsid w:val="00A1427D"/>
    <w:rsid w:val="00A14491"/>
    <w:rsid w:val="00A21F4E"/>
    <w:rsid w:val="00A229EF"/>
    <w:rsid w:val="00A23225"/>
    <w:rsid w:val="00A2391A"/>
    <w:rsid w:val="00A2529D"/>
    <w:rsid w:val="00A25CC0"/>
    <w:rsid w:val="00A26C7C"/>
    <w:rsid w:val="00A30396"/>
    <w:rsid w:val="00A33271"/>
    <w:rsid w:val="00A336BF"/>
    <w:rsid w:val="00A33721"/>
    <w:rsid w:val="00A33DC2"/>
    <w:rsid w:val="00A34281"/>
    <w:rsid w:val="00A3522D"/>
    <w:rsid w:val="00A373F0"/>
    <w:rsid w:val="00A3749A"/>
    <w:rsid w:val="00A3769D"/>
    <w:rsid w:val="00A37D4B"/>
    <w:rsid w:val="00A41C2D"/>
    <w:rsid w:val="00A41E79"/>
    <w:rsid w:val="00A4702B"/>
    <w:rsid w:val="00A47DBD"/>
    <w:rsid w:val="00A54283"/>
    <w:rsid w:val="00A63DDA"/>
    <w:rsid w:val="00A646FD"/>
    <w:rsid w:val="00A64DB4"/>
    <w:rsid w:val="00A66384"/>
    <w:rsid w:val="00A66562"/>
    <w:rsid w:val="00A669B3"/>
    <w:rsid w:val="00A67805"/>
    <w:rsid w:val="00A7155E"/>
    <w:rsid w:val="00A72F22"/>
    <w:rsid w:val="00A7312B"/>
    <w:rsid w:val="00A73A30"/>
    <w:rsid w:val="00A744B0"/>
    <w:rsid w:val="00A748A6"/>
    <w:rsid w:val="00A74CBD"/>
    <w:rsid w:val="00A76A7B"/>
    <w:rsid w:val="00A77473"/>
    <w:rsid w:val="00A77E58"/>
    <w:rsid w:val="00A81C6E"/>
    <w:rsid w:val="00A856DA"/>
    <w:rsid w:val="00A8613E"/>
    <w:rsid w:val="00A879A4"/>
    <w:rsid w:val="00A90AC6"/>
    <w:rsid w:val="00A9129A"/>
    <w:rsid w:val="00A92B72"/>
    <w:rsid w:val="00A930CF"/>
    <w:rsid w:val="00A95D35"/>
    <w:rsid w:val="00A9758B"/>
    <w:rsid w:val="00AA03F2"/>
    <w:rsid w:val="00AA1661"/>
    <w:rsid w:val="00AA1D0D"/>
    <w:rsid w:val="00AA2BA0"/>
    <w:rsid w:val="00AA30A0"/>
    <w:rsid w:val="00AA472A"/>
    <w:rsid w:val="00AA70F3"/>
    <w:rsid w:val="00AB7F40"/>
    <w:rsid w:val="00AC078B"/>
    <w:rsid w:val="00AC0E0B"/>
    <w:rsid w:val="00AC0E57"/>
    <w:rsid w:val="00AC2950"/>
    <w:rsid w:val="00AC3071"/>
    <w:rsid w:val="00AC3350"/>
    <w:rsid w:val="00AC5255"/>
    <w:rsid w:val="00AC7987"/>
    <w:rsid w:val="00AD28CD"/>
    <w:rsid w:val="00AD3659"/>
    <w:rsid w:val="00AD3F10"/>
    <w:rsid w:val="00AD420F"/>
    <w:rsid w:val="00AD4F36"/>
    <w:rsid w:val="00AD4F60"/>
    <w:rsid w:val="00AD597B"/>
    <w:rsid w:val="00AD5D35"/>
    <w:rsid w:val="00AE0706"/>
    <w:rsid w:val="00AE1E25"/>
    <w:rsid w:val="00AE253D"/>
    <w:rsid w:val="00AE2D4A"/>
    <w:rsid w:val="00AE318E"/>
    <w:rsid w:val="00AE3AB8"/>
    <w:rsid w:val="00AF0A92"/>
    <w:rsid w:val="00AF1A0C"/>
    <w:rsid w:val="00AF29A5"/>
    <w:rsid w:val="00AF403D"/>
    <w:rsid w:val="00B01A2B"/>
    <w:rsid w:val="00B05B9F"/>
    <w:rsid w:val="00B07CF0"/>
    <w:rsid w:val="00B11648"/>
    <w:rsid w:val="00B126C6"/>
    <w:rsid w:val="00B132B7"/>
    <w:rsid w:val="00B15CB2"/>
    <w:rsid w:val="00B16F50"/>
    <w:rsid w:val="00B20B96"/>
    <w:rsid w:val="00B22169"/>
    <w:rsid w:val="00B23D91"/>
    <w:rsid w:val="00B23E98"/>
    <w:rsid w:val="00B253FB"/>
    <w:rsid w:val="00B254FE"/>
    <w:rsid w:val="00B256DF"/>
    <w:rsid w:val="00B26690"/>
    <w:rsid w:val="00B279AE"/>
    <w:rsid w:val="00B30161"/>
    <w:rsid w:val="00B30179"/>
    <w:rsid w:val="00B301EF"/>
    <w:rsid w:val="00B30EB4"/>
    <w:rsid w:val="00B32CCF"/>
    <w:rsid w:val="00B3332D"/>
    <w:rsid w:val="00B33EC0"/>
    <w:rsid w:val="00B34FC6"/>
    <w:rsid w:val="00B35E1E"/>
    <w:rsid w:val="00B37414"/>
    <w:rsid w:val="00B41E1D"/>
    <w:rsid w:val="00B4228E"/>
    <w:rsid w:val="00B433CE"/>
    <w:rsid w:val="00B443E8"/>
    <w:rsid w:val="00B45607"/>
    <w:rsid w:val="00B457B9"/>
    <w:rsid w:val="00B458DA"/>
    <w:rsid w:val="00B479AA"/>
    <w:rsid w:val="00B507C8"/>
    <w:rsid w:val="00B515B8"/>
    <w:rsid w:val="00B53177"/>
    <w:rsid w:val="00B534B9"/>
    <w:rsid w:val="00B555AC"/>
    <w:rsid w:val="00B6016B"/>
    <w:rsid w:val="00B6217B"/>
    <w:rsid w:val="00B65A24"/>
    <w:rsid w:val="00B67D50"/>
    <w:rsid w:val="00B7029B"/>
    <w:rsid w:val="00B71B63"/>
    <w:rsid w:val="00B73462"/>
    <w:rsid w:val="00B73517"/>
    <w:rsid w:val="00B755F0"/>
    <w:rsid w:val="00B8164C"/>
    <w:rsid w:val="00B81664"/>
    <w:rsid w:val="00B81E12"/>
    <w:rsid w:val="00B82F79"/>
    <w:rsid w:val="00B8381D"/>
    <w:rsid w:val="00B83880"/>
    <w:rsid w:val="00B87449"/>
    <w:rsid w:val="00B91AE4"/>
    <w:rsid w:val="00B932B3"/>
    <w:rsid w:val="00B93D0A"/>
    <w:rsid w:val="00BA0415"/>
    <w:rsid w:val="00BA07C9"/>
    <w:rsid w:val="00BA0E26"/>
    <w:rsid w:val="00BA15AC"/>
    <w:rsid w:val="00BA1F69"/>
    <w:rsid w:val="00BA4E05"/>
    <w:rsid w:val="00BA540B"/>
    <w:rsid w:val="00BA54D3"/>
    <w:rsid w:val="00BA5D0C"/>
    <w:rsid w:val="00BB025A"/>
    <w:rsid w:val="00BB1885"/>
    <w:rsid w:val="00BB2EB3"/>
    <w:rsid w:val="00BB3761"/>
    <w:rsid w:val="00BC5125"/>
    <w:rsid w:val="00BC6298"/>
    <w:rsid w:val="00BC62DB"/>
    <w:rsid w:val="00BC6ED7"/>
    <w:rsid w:val="00BC74E9"/>
    <w:rsid w:val="00BC7A5B"/>
    <w:rsid w:val="00BC7B9A"/>
    <w:rsid w:val="00BD0264"/>
    <w:rsid w:val="00BD228B"/>
    <w:rsid w:val="00BD3E92"/>
    <w:rsid w:val="00BD3F70"/>
    <w:rsid w:val="00BD468B"/>
    <w:rsid w:val="00BD78F9"/>
    <w:rsid w:val="00BE11AB"/>
    <w:rsid w:val="00BE1830"/>
    <w:rsid w:val="00BE490D"/>
    <w:rsid w:val="00BE4F74"/>
    <w:rsid w:val="00BE618E"/>
    <w:rsid w:val="00BE6D90"/>
    <w:rsid w:val="00BE6EB3"/>
    <w:rsid w:val="00BE7934"/>
    <w:rsid w:val="00BF0612"/>
    <w:rsid w:val="00BF094F"/>
    <w:rsid w:val="00BF096D"/>
    <w:rsid w:val="00BF5715"/>
    <w:rsid w:val="00BF6FE4"/>
    <w:rsid w:val="00C01632"/>
    <w:rsid w:val="00C01B17"/>
    <w:rsid w:val="00C01B8D"/>
    <w:rsid w:val="00C03A70"/>
    <w:rsid w:val="00C04677"/>
    <w:rsid w:val="00C07524"/>
    <w:rsid w:val="00C07D78"/>
    <w:rsid w:val="00C07DFD"/>
    <w:rsid w:val="00C12646"/>
    <w:rsid w:val="00C12C98"/>
    <w:rsid w:val="00C14E2B"/>
    <w:rsid w:val="00C161FB"/>
    <w:rsid w:val="00C17686"/>
    <w:rsid w:val="00C17699"/>
    <w:rsid w:val="00C202F5"/>
    <w:rsid w:val="00C203FD"/>
    <w:rsid w:val="00C2175E"/>
    <w:rsid w:val="00C21C08"/>
    <w:rsid w:val="00C23055"/>
    <w:rsid w:val="00C230DF"/>
    <w:rsid w:val="00C2334F"/>
    <w:rsid w:val="00C250EA"/>
    <w:rsid w:val="00C25253"/>
    <w:rsid w:val="00C26352"/>
    <w:rsid w:val="00C27E56"/>
    <w:rsid w:val="00C30A18"/>
    <w:rsid w:val="00C337AC"/>
    <w:rsid w:val="00C347CE"/>
    <w:rsid w:val="00C36D51"/>
    <w:rsid w:val="00C40249"/>
    <w:rsid w:val="00C4024D"/>
    <w:rsid w:val="00C40383"/>
    <w:rsid w:val="00C41E94"/>
    <w:rsid w:val="00C43AF6"/>
    <w:rsid w:val="00C4479F"/>
    <w:rsid w:val="00C463DD"/>
    <w:rsid w:val="00C4697D"/>
    <w:rsid w:val="00C474FD"/>
    <w:rsid w:val="00C47620"/>
    <w:rsid w:val="00C500F7"/>
    <w:rsid w:val="00C51978"/>
    <w:rsid w:val="00C51E3F"/>
    <w:rsid w:val="00C52750"/>
    <w:rsid w:val="00C52E60"/>
    <w:rsid w:val="00C5316C"/>
    <w:rsid w:val="00C534B7"/>
    <w:rsid w:val="00C53EB4"/>
    <w:rsid w:val="00C5707B"/>
    <w:rsid w:val="00C60D3D"/>
    <w:rsid w:val="00C6281C"/>
    <w:rsid w:val="00C6324A"/>
    <w:rsid w:val="00C634C6"/>
    <w:rsid w:val="00C650D0"/>
    <w:rsid w:val="00C708B4"/>
    <w:rsid w:val="00C70F51"/>
    <w:rsid w:val="00C729FE"/>
    <w:rsid w:val="00C745C3"/>
    <w:rsid w:val="00C763ED"/>
    <w:rsid w:val="00C77782"/>
    <w:rsid w:val="00C80C12"/>
    <w:rsid w:val="00C81CC1"/>
    <w:rsid w:val="00C823AC"/>
    <w:rsid w:val="00C846DF"/>
    <w:rsid w:val="00C8611C"/>
    <w:rsid w:val="00C86699"/>
    <w:rsid w:val="00C906F5"/>
    <w:rsid w:val="00C90D03"/>
    <w:rsid w:val="00C90F9A"/>
    <w:rsid w:val="00C91399"/>
    <w:rsid w:val="00C927EF"/>
    <w:rsid w:val="00C933C5"/>
    <w:rsid w:val="00C938CF"/>
    <w:rsid w:val="00C93D45"/>
    <w:rsid w:val="00CA48D9"/>
    <w:rsid w:val="00CA71CD"/>
    <w:rsid w:val="00CA7C8C"/>
    <w:rsid w:val="00CB004B"/>
    <w:rsid w:val="00CB0B8C"/>
    <w:rsid w:val="00CB0F21"/>
    <w:rsid w:val="00CB129C"/>
    <w:rsid w:val="00CB189E"/>
    <w:rsid w:val="00CB3FCF"/>
    <w:rsid w:val="00CB46AC"/>
    <w:rsid w:val="00CC0801"/>
    <w:rsid w:val="00CC2D50"/>
    <w:rsid w:val="00CD15A7"/>
    <w:rsid w:val="00CD1CDC"/>
    <w:rsid w:val="00CD3E7F"/>
    <w:rsid w:val="00CD44A5"/>
    <w:rsid w:val="00CD54AE"/>
    <w:rsid w:val="00CE06E7"/>
    <w:rsid w:val="00CE1EB8"/>
    <w:rsid w:val="00CE4A8F"/>
    <w:rsid w:val="00CE6F06"/>
    <w:rsid w:val="00CF0A12"/>
    <w:rsid w:val="00CF19AC"/>
    <w:rsid w:val="00CF20E5"/>
    <w:rsid w:val="00CF2B65"/>
    <w:rsid w:val="00CF7767"/>
    <w:rsid w:val="00D05FE1"/>
    <w:rsid w:val="00D063BE"/>
    <w:rsid w:val="00D07650"/>
    <w:rsid w:val="00D1355E"/>
    <w:rsid w:val="00D14426"/>
    <w:rsid w:val="00D14817"/>
    <w:rsid w:val="00D15E13"/>
    <w:rsid w:val="00D2031B"/>
    <w:rsid w:val="00D21756"/>
    <w:rsid w:val="00D219CE"/>
    <w:rsid w:val="00D23AC5"/>
    <w:rsid w:val="00D25FE2"/>
    <w:rsid w:val="00D26E23"/>
    <w:rsid w:val="00D31380"/>
    <w:rsid w:val="00D317BB"/>
    <w:rsid w:val="00D34B04"/>
    <w:rsid w:val="00D36FF4"/>
    <w:rsid w:val="00D419BF"/>
    <w:rsid w:val="00D43252"/>
    <w:rsid w:val="00D4418B"/>
    <w:rsid w:val="00D44662"/>
    <w:rsid w:val="00D446DC"/>
    <w:rsid w:val="00D4526B"/>
    <w:rsid w:val="00D45387"/>
    <w:rsid w:val="00D52E27"/>
    <w:rsid w:val="00D52ECD"/>
    <w:rsid w:val="00D56B17"/>
    <w:rsid w:val="00D60684"/>
    <w:rsid w:val="00D6169B"/>
    <w:rsid w:val="00D6626D"/>
    <w:rsid w:val="00D7089C"/>
    <w:rsid w:val="00D739FF"/>
    <w:rsid w:val="00D73E43"/>
    <w:rsid w:val="00D7441E"/>
    <w:rsid w:val="00D745C0"/>
    <w:rsid w:val="00D7528B"/>
    <w:rsid w:val="00D76CD8"/>
    <w:rsid w:val="00D81783"/>
    <w:rsid w:val="00D82108"/>
    <w:rsid w:val="00D8313B"/>
    <w:rsid w:val="00D858F6"/>
    <w:rsid w:val="00D86447"/>
    <w:rsid w:val="00D907BE"/>
    <w:rsid w:val="00D92119"/>
    <w:rsid w:val="00D931E5"/>
    <w:rsid w:val="00D939CF"/>
    <w:rsid w:val="00D95009"/>
    <w:rsid w:val="00D951B7"/>
    <w:rsid w:val="00D957F6"/>
    <w:rsid w:val="00D971FD"/>
    <w:rsid w:val="00D978C6"/>
    <w:rsid w:val="00DA0F90"/>
    <w:rsid w:val="00DA1D19"/>
    <w:rsid w:val="00DA244B"/>
    <w:rsid w:val="00DA29FB"/>
    <w:rsid w:val="00DA36C3"/>
    <w:rsid w:val="00DA4C17"/>
    <w:rsid w:val="00DA67AD"/>
    <w:rsid w:val="00DA6BB1"/>
    <w:rsid w:val="00DB0A36"/>
    <w:rsid w:val="00DB2D0F"/>
    <w:rsid w:val="00DB40F2"/>
    <w:rsid w:val="00DB489E"/>
    <w:rsid w:val="00DB5D0F"/>
    <w:rsid w:val="00DB7166"/>
    <w:rsid w:val="00DC06DF"/>
    <w:rsid w:val="00DC3962"/>
    <w:rsid w:val="00DC486C"/>
    <w:rsid w:val="00DC5798"/>
    <w:rsid w:val="00DD448F"/>
    <w:rsid w:val="00DD4D4E"/>
    <w:rsid w:val="00DD684D"/>
    <w:rsid w:val="00DD6C1E"/>
    <w:rsid w:val="00DE0458"/>
    <w:rsid w:val="00DE0CEB"/>
    <w:rsid w:val="00DE3936"/>
    <w:rsid w:val="00DE3E48"/>
    <w:rsid w:val="00DE44CB"/>
    <w:rsid w:val="00DF09EF"/>
    <w:rsid w:val="00DF0F82"/>
    <w:rsid w:val="00DF12F7"/>
    <w:rsid w:val="00DF357D"/>
    <w:rsid w:val="00DF37B7"/>
    <w:rsid w:val="00DF4A8B"/>
    <w:rsid w:val="00DF5E33"/>
    <w:rsid w:val="00DF71DE"/>
    <w:rsid w:val="00DF7268"/>
    <w:rsid w:val="00DF79F0"/>
    <w:rsid w:val="00E0077F"/>
    <w:rsid w:val="00E023F5"/>
    <w:rsid w:val="00E028A5"/>
    <w:rsid w:val="00E02C81"/>
    <w:rsid w:val="00E037D6"/>
    <w:rsid w:val="00E03C8D"/>
    <w:rsid w:val="00E07AA6"/>
    <w:rsid w:val="00E10C39"/>
    <w:rsid w:val="00E11519"/>
    <w:rsid w:val="00E130AB"/>
    <w:rsid w:val="00E14C5C"/>
    <w:rsid w:val="00E22595"/>
    <w:rsid w:val="00E228C8"/>
    <w:rsid w:val="00E26830"/>
    <w:rsid w:val="00E31EA4"/>
    <w:rsid w:val="00E324AF"/>
    <w:rsid w:val="00E3379B"/>
    <w:rsid w:val="00E33F7F"/>
    <w:rsid w:val="00E34BBC"/>
    <w:rsid w:val="00E35480"/>
    <w:rsid w:val="00E3764F"/>
    <w:rsid w:val="00E37D12"/>
    <w:rsid w:val="00E40C74"/>
    <w:rsid w:val="00E438C2"/>
    <w:rsid w:val="00E4435C"/>
    <w:rsid w:val="00E45461"/>
    <w:rsid w:val="00E4723B"/>
    <w:rsid w:val="00E514B3"/>
    <w:rsid w:val="00E54A54"/>
    <w:rsid w:val="00E57DA7"/>
    <w:rsid w:val="00E631EE"/>
    <w:rsid w:val="00E66AFA"/>
    <w:rsid w:val="00E71917"/>
    <w:rsid w:val="00E7260F"/>
    <w:rsid w:val="00E73774"/>
    <w:rsid w:val="00E7707B"/>
    <w:rsid w:val="00E771F1"/>
    <w:rsid w:val="00E80EB0"/>
    <w:rsid w:val="00E8397F"/>
    <w:rsid w:val="00E86E61"/>
    <w:rsid w:val="00E87921"/>
    <w:rsid w:val="00E87D8B"/>
    <w:rsid w:val="00E937F9"/>
    <w:rsid w:val="00E952E5"/>
    <w:rsid w:val="00E96630"/>
    <w:rsid w:val="00E97557"/>
    <w:rsid w:val="00E97670"/>
    <w:rsid w:val="00E97A19"/>
    <w:rsid w:val="00EA0163"/>
    <w:rsid w:val="00EA074F"/>
    <w:rsid w:val="00EA0EF1"/>
    <w:rsid w:val="00EA711F"/>
    <w:rsid w:val="00EA72AA"/>
    <w:rsid w:val="00EA790F"/>
    <w:rsid w:val="00EB0356"/>
    <w:rsid w:val="00EB3E44"/>
    <w:rsid w:val="00EB5B6D"/>
    <w:rsid w:val="00EC0CFD"/>
    <w:rsid w:val="00EC25A6"/>
    <w:rsid w:val="00EC3878"/>
    <w:rsid w:val="00EC3BB0"/>
    <w:rsid w:val="00EC6947"/>
    <w:rsid w:val="00ED7A2A"/>
    <w:rsid w:val="00ED7AA0"/>
    <w:rsid w:val="00EE16D3"/>
    <w:rsid w:val="00EE37A6"/>
    <w:rsid w:val="00EE3D0B"/>
    <w:rsid w:val="00EE585D"/>
    <w:rsid w:val="00EE642B"/>
    <w:rsid w:val="00EE66FE"/>
    <w:rsid w:val="00EF0CC2"/>
    <w:rsid w:val="00EF1D7F"/>
    <w:rsid w:val="00EF2260"/>
    <w:rsid w:val="00EF2C73"/>
    <w:rsid w:val="00EF2E3B"/>
    <w:rsid w:val="00EF321D"/>
    <w:rsid w:val="00EF362E"/>
    <w:rsid w:val="00EF4399"/>
    <w:rsid w:val="00EF50CC"/>
    <w:rsid w:val="00EF5D06"/>
    <w:rsid w:val="00EF7AB8"/>
    <w:rsid w:val="00F008ED"/>
    <w:rsid w:val="00F00ECA"/>
    <w:rsid w:val="00F0163A"/>
    <w:rsid w:val="00F035FE"/>
    <w:rsid w:val="00F04968"/>
    <w:rsid w:val="00F050DF"/>
    <w:rsid w:val="00F05130"/>
    <w:rsid w:val="00F0735A"/>
    <w:rsid w:val="00F07948"/>
    <w:rsid w:val="00F1076B"/>
    <w:rsid w:val="00F14020"/>
    <w:rsid w:val="00F14B7D"/>
    <w:rsid w:val="00F15BF9"/>
    <w:rsid w:val="00F236DE"/>
    <w:rsid w:val="00F23AC8"/>
    <w:rsid w:val="00F23E1D"/>
    <w:rsid w:val="00F24D06"/>
    <w:rsid w:val="00F26603"/>
    <w:rsid w:val="00F34B7D"/>
    <w:rsid w:val="00F40E12"/>
    <w:rsid w:val="00F42DAC"/>
    <w:rsid w:val="00F442FE"/>
    <w:rsid w:val="00F45302"/>
    <w:rsid w:val="00F461D0"/>
    <w:rsid w:val="00F46F0E"/>
    <w:rsid w:val="00F5106B"/>
    <w:rsid w:val="00F5148E"/>
    <w:rsid w:val="00F51668"/>
    <w:rsid w:val="00F53E9B"/>
    <w:rsid w:val="00F53EDA"/>
    <w:rsid w:val="00F54871"/>
    <w:rsid w:val="00F579C4"/>
    <w:rsid w:val="00F61CD1"/>
    <w:rsid w:val="00F629FC"/>
    <w:rsid w:val="00F62E1C"/>
    <w:rsid w:val="00F66095"/>
    <w:rsid w:val="00F66DA8"/>
    <w:rsid w:val="00F70668"/>
    <w:rsid w:val="00F70D8B"/>
    <w:rsid w:val="00F72B64"/>
    <w:rsid w:val="00F73364"/>
    <w:rsid w:val="00F737C8"/>
    <w:rsid w:val="00F741BC"/>
    <w:rsid w:val="00F7460A"/>
    <w:rsid w:val="00F7753D"/>
    <w:rsid w:val="00F77C2D"/>
    <w:rsid w:val="00F80600"/>
    <w:rsid w:val="00F839F5"/>
    <w:rsid w:val="00F85F34"/>
    <w:rsid w:val="00F90AC3"/>
    <w:rsid w:val="00F923D0"/>
    <w:rsid w:val="00F9266E"/>
    <w:rsid w:val="00F94B97"/>
    <w:rsid w:val="00F96AFE"/>
    <w:rsid w:val="00FA0552"/>
    <w:rsid w:val="00FA06F7"/>
    <w:rsid w:val="00FA0D29"/>
    <w:rsid w:val="00FA12DC"/>
    <w:rsid w:val="00FA1348"/>
    <w:rsid w:val="00FA1C94"/>
    <w:rsid w:val="00FA27F6"/>
    <w:rsid w:val="00FA314D"/>
    <w:rsid w:val="00FA5803"/>
    <w:rsid w:val="00FB08B5"/>
    <w:rsid w:val="00FB171A"/>
    <w:rsid w:val="00FB20CB"/>
    <w:rsid w:val="00FB2253"/>
    <w:rsid w:val="00FB35AA"/>
    <w:rsid w:val="00FB5131"/>
    <w:rsid w:val="00FB59E4"/>
    <w:rsid w:val="00FB6D41"/>
    <w:rsid w:val="00FC02EB"/>
    <w:rsid w:val="00FC0DD6"/>
    <w:rsid w:val="00FC1BD3"/>
    <w:rsid w:val="00FC25A3"/>
    <w:rsid w:val="00FC39B5"/>
    <w:rsid w:val="00FC4456"/>
    <w:rsid w:val="00FC46F8"/>
    <w:rsid w:val="00FC49F9"/>
    <w:rsid w:val="00FC4E76"/>
    <w:rsid w:val="00FC5AEE"/>
    <w:rsid w:val="00FC68B7"/>
    <w:rsid w:val="00FC69F1"/>
    <w:rsid w:val="00FC6A5D"/>
    <w:rsid w:val="00FD26B5"/>
    <w:rsid w:val="00FD374E"/>
    <w:rsid w:val="00FD7BF6"/>
    <w:rsid w:val="00FD7CB8"/>
    <w:rsid w:val="00FE2AAD"/>
    <w:rsid w:val="00FE2F7D"/>
    <w:rsid w:val="00FE656F"/>
    <w:rsid w:val="00FF2886"/>
    <w:rsid w:val="00FF34C6"/>
    <w:rsid w:val="00FF7C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171BD"/>
  <w15:docId w15:val="{3664CF22-DDDF-4551-B1A6-A79DC75C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288"/>
    <w:pPr>
      <w:suppressAutoHyphens/>
      <w:spacing w:line="240" w:lineRule="atLeast"/>
    </w:pPr>
    <w:rPr>
      <w:lang w:eastAsia="en-US"/>
    </w:rPr>
  </w:style>
  <w:style w:type="paragraph" w:styleId="Heading1">
    <w:name w:val="heading 1"/>
    <w:aliases w:val="Table_G"/>
    <w:basedOn w:val="SingleTxtG"/>
    <w:next w:val="SingleTxtG"/>
    <w:qFormat/>
    <w:rsid w:val="000D7288"/>
    <w:pPr>
      <w:spacing w:after="0" w:line="240" w:lineRule="auto"/>
      <w:ind w:right="0"/>
      <w:jc w:val="left"/>
      <w:outlineLvl w:val="0"/>
    </w:pPr>
  </w:style>
  <w:style w:type="paragraph" w:styleId="Heading2">
    <w:name w:val="heading 2"/>
    <w:basedOn w:val="Normal"/>
    <w:next w:val="Normal"/>
    <w:qFormat/>
    <w:rsid w:val="000D7288"/>
    <w:pPr>
      <w:spacing w:line="240" w:lineRule="auto"/>
      <w:outlineLvl w:val="1"/>
    </w:pPr>
  </w:style>
  <w:style w:type="paragraph" w:styleId="Heading3">
    <w:name w:val="heading 3"/>
    <w:basedOn w:val="Normal"/>
    <w:next w:val="Normal"/>
    <w:qFormat/>
    <w:rsid w:val="000D7288"/>
    <w:pPr>
      <w:spacing w:line="240" w:lineRule="auto"/>
      <w:outlineLvl w:val="2"/>
    </w:pPr>
  </w:style>
  <w:style w:type="paragraph" w:styleId="Heading4">
    <w:name w:val="heading 4"/>
    <w:basedOn w:val="Normal"/>
    <w:next w:val="Normal"/>
    <w:qFormat/>
    <w:rsid w:val="000D7288"/>
    <w:pPr>
      <w:spacing w:line="240" w:lineRule="auto"/>
      <w:outlineLvl w:val="3"/>
    </w:pPr>
  </w:style>
  <w:style w:type="paragraph" w:styleId="Heading5">
    <w:name w:val="heading 5"/>
    <w:basedOn w:val="Normal"/>
    <w:next w:val="Normal"/>
    <w:qFormat/>
    <w:rsid w:val="000D7288"/>
    <w:pPr>
      <w:spacing w:line="240" w:lineRule="auto"/>
      <w:outlineLvl w:val="4"/>
    </w:pPr>
  </w:style>
  <w:style w:type="paragraph" w:styleId="Heading6">
    <w:name w:val="heading 6"/>
    <w:basedOn w:val="Normal"/>
    <w:next w:val="Normal"/>
    <w:qFormat/>
    <w:rsid w:val="000D7288"/>
    <w:pPr>
      <w:spacing w:line="240" w:lineRule="auto"/>
      <w:outlineLvl w:val="5"/>
    </w:pPr>
  </w:style>
  <w:style w:type="paragraph" w:styleId="Heading7">
    <w:name w:val="heading 7"/>
    <w:basedOn w:val="Normal"/>
    <w:next w:val="Normal"/>
    <w:qFormat/>
    <w:rsid w:val="000D7288"/>
    <w:pPr>
      <w:spacing w:line="240" w:lineRule="auto"/>
      <w:outlineLvl w:val="6"/>
    </w:pPr>
  </w:style>
  <w:style w:type="paragraph" w:styleId="Heading8">
    <w:name w:val="heading 8"/>
    <w:basedOn w:val="Normal"/>
    <w:next w:val="Normal"/>
    <w:qFormat/>
    <w:rsid w:val="000D7288"/>
    <w:pPr>
      <w:spacing w:line="240" w:lineRule="auto"/>
      <w:outlineLvl w:val="7"/>
    </w:pPr>
  </w:style>
  <w:style w:type="paragraph" w:styleId="Heading9">
    <w:name w:val="heading 9"/>
    <w:basedOn w:val="Normal"/>
    <w:next w:val="Normal"/>
    <w:qFormat/>
    <w:rsid w:val="000D728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D7288"/>
    <w:pPr>
      <w:spacing w:after="120"/>
      <w:ind w:left="1134" w:right="1134"/>
      <w:jc w:val="both"/>
    </w:pPr>
  </w:style>
  <w:style w:type="paragraph" w:customStyle="1" w:styleId="HMG">
    <w:name w:val="_ H __M_G"/>
    <w:basedOn w:val="Normal"/>
    <w:next w:val="Normal"/>
    <w:rsid w:val="000D728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D728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0D7288"/>
    <w:rPr>
      <w:rFonts w:ascii="Times New Roman" w:hAnsi="Times New Roman"/>
      <w:sz w:val="18"/>
      <w:vertAlign w:val="superscript"/>
    </w:rPr>
  </w:style>
  <w:style w:type="character" w:styleId="EndnoteReference">
    <w:name w:val="endnote reference"/>
    <w:aliases w:val="1_G"/>
    <w:basedOn w:val="FootnoteReference"/>
    <w:rsid w:val="000D7288"/>
    <w:rPr>
      <w:rFonts w:ascii="Times New Roman" w:hAnsi="Times New Roman"/>
      <w:sz w:val="18"/>
      <w:vertAlign w:val="superscript"/>
    </w:rPr>
  </w:style>
  <w:style w:type="paragraph" w:styleId="Header">
    <w:name w:val="header"/>
    <w:aliases w:val="6_G"/>
    <w:basedOn w:val="Normal"/>
    <w:rsid w:val="000D7288"/>
    <w:pPr>
      <w:pBdr>
        <w:bottom w:val="single" w:sz="4" w:space="4" w:color="auto"/>
      </w:pBdr>
      <w:spacing w:line="240" w:lineRule="auto"/>
    </w:pPr>
    <w:rPr>
      <w:b/>
      <w:sz w:val="18"/>
    </w:rPr>
  </w:style>
  <w:style w:type="table" w:styleId="TableGrid">
    <w:name w:val="Table Grid"/>
    <w:basedOn w:val="TableNormal"/>
    <w:semiHidden/>
    <w:rsid w:val="000D728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D7288"/>
    <w:rPr>
      <w:color w:val="auto"/>
      <w:u w:val="none"/>
    </w:rPr>
  </w:style>
  <w:style w:type="character" w:styleId="FollowedHyperlink">
    <w:name w:val="FollowedHyperlink"/>
    <w:semiHidden/>
    <w:rsid w:val="000D7288"/>
    <w:rPr>
      <w:color w:val="auto"/>
      <w:u w:val="none"/>
    </w:rPr>
  </w:style>
  <w:style w:type="paragraph" w:customStyle="1" w:styleId="SMG">
    <w:name w:val="__S_M_G"/>
    <w:basedOn w:val="Normal"/>
    <w:next w:val="Normal"/>
    <w:rsid w:val="000D7288"/>
    <w:pPr>
      <w:keepNext/>
      <w:keepLines/>
      <w:spacing w:before="240" w:after="240" w:line="420" w:lineRule="exact"/>
      <w:ind w:left="1134" w:right="1134"/>
    </w:pPr>
    <w:rPr>
      <w:b/>
      <w:sz w:val="40"/>
    </w:rPr>
  </w:style>
  <w:style w:type="paragraph" w:customStyle="1" w:styleId="SLG">
    <w:name w:val="__S_L_G"/>
    <w:basedOn w:val="Normal"/>
    <w:next w:val="Normal"/>
    <w:rsid w:val="000D7288"/>
    <w:pPr>
      <w:keepNext/>
      <w:keepLines/>
      <w:spacing w:before="240" w:after="240" w:line="580" w:lineRule="exact"/>
      <w:ind w:left="1134" w:right="1134"/>
    </w:pPr>
    <w:rPr>
      <w:b/>
      <w:sz w:val="56"/>
    </w:rPr>
  </w:style>
  <w:style w:type="paragraph" w:customStyle="1" w:styleId="SSG">
    <w:name w:val="__S_S_G"/>
    <w:basedOn w:val="Normal"/>
    <w:next w:val="Normal"/>
    <w:rsid w:val="000D7288"/>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0D7288"/>
    <w:pPr>
      <w:tabs>
        <w:tab w:val="right" w:pos="1021"/>
      </w:tabs>
      <w:spacing w:line="220" w:lineRule="exact"/>
      <w:ind w:left="1134" w:right="1134" w:hanging="1134"/>
    </w:pPr>
    <w:rPr>
      <w:sz w:val="18"/>
    </w:rPr>
  </w:style>
  <w:style w:type="paragraph" w:styleId="EndnoteText">
    <w:name w:val="endnote text"/>
    <w:aliases w:val="2_G"/>
    <w:basedOn w:val="FootnoteText"/>
    <w:rsid w:val="000D7288"/>
  </w:style>
  <w:style w:type="character" w:styleId="PageNumber">
    <w:name w:val="page number"/>
    <w:aliases w:val="7_G"/>
    <w:rsid w:val="000D7288"/>
    <w:rPr>
      <w:rFonts w:ascii="Times New Roman" w:hAnsi="Times New Roman"/>
      <w:b/>
      <w:sz w:val="18"/>
    </w:rPr>
  </w:style>
  <w:style w:type="paragraph" w:customStyle="1" w:styleId="XLargeG">
    <w:name w:val="__XLarge_G"/>
    <w:basedOn w:val="Normal"/>
    <w:next w:val="Normal"/>
    <w:rsid w:val="000D7288"/>
    <w:pPr>
      <w:keepNext/>
      <w:keepLines/>
      <w:spacing w:before="240" w:after="240" w:line="420" w:lineRule="exact"/>
      <w:ind w:left="1134" w:right="1134"/>
    </w:pPr>
    <w:rPr>
      <w:b/>
      <w:sz w:val="40"/>
    </w:rPr>
  </w:style>
  <w:style w:type="paragraph" w:customStyle="1" w:styleId="Bullet1G">
    <w:name w:val="_Bullet 1_G"/>
    <w:basedOn w:val="Normal"/>
    <w:rsid w:val="000D7288"/>
    <w:pPr>
      <w:numPr>
        <w:numId w:val="1"/>
      </w:numPr>
      <w:spacing w:after="120"/>
      <w:ind w:right="1134"/>
      <w:jc w:val="both"/>
    </w:pPr>
  </w:style>
  <w:style w:type="paragraph" w:styleId="Footer">
    <w:name w:val="footer"/>
    <w:aliases w:val="3_G"/>
    <w:basedOn w:val="Normal"/>
    <w:rsid w:val="000D7288"/>
    <w:pPr>
      <w:spacing w:line="240" w:lineRule="auto"/>
    </w:pPr>
    <w:rPr>
      <w:sz w:val="16"/>
    </w:rPr>
  </w:style>
  <w:style w:type="paragraph" w:customStyle="1" w:styleId="Bullet2G">
    <w:name w:val="_Bullet 2_G"/>
    <w:basedOn w:val="Normal"/>
    <w:rsid w:val="000D7288"/>
    <w:pPr>
      <w:numPr>
        <w:numId w:val="2"/>
      </w:numPr>
      <w:spacing w:after="120"/>
      <w:ind w:right="1134"/>
      <w:jc w:val="both"/>
    </w:pPr>
  </w:style>
  <w:style w:type="paragraph" w:customStyle="1" w:styleId="H1G">
    <w:name w:val="_ H_1_G"/>
    <w:basedOn w:val="Normal"/>
    <w:next w:val="Normal"/>
    <w:rsid w:val="000D728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D728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D728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D7288"/>
    <w:pPr>
      <w:keepNext/>
      <w:keepLines/>
      <w:tabs>
        <w:tab w:val="right" w:pos="851"/>
      </w:tabs>
      <w:spacing w:before="240" w:after="120" w:line="240" w:lineRule="exact"/>
      <w:ind w:left="1134" w:right="1134" w:hanging="1134"/>
    </w:pPr>
  </w:style>
  <w:style w:type="paragraph" w:styleId="NormalWeb">
    <w:name w:val="Normal (Web)"/>
    <w:basedOn w:val="Normal"/>
    <w:uiPriority w:val="99"/>
    <w:rsid w:val="00A77E58"/>
    <w:pPr>
      <w:suppressAutoHyphens w:val="0"/>
      <w:spacing w:before="100" w:beforeAutospacing="1" w:after="100" w:afterAutospacing="1" w:line="240" w:lineRule="auto"/>
    </w:pPr>
    <w:rPr>
      <w:rFonts w:eastAsia="SimSun"/>
      <w:color w:val="000000"/>
      <w:sz w:val="24"/>
      <w:szCs w:val="24"/>
      <w:lang w:val="ru-RU" w:eastAsia="zh-CN"/>
    </w:rPr>
  </w:style>
  <w:style w:type="paragraph" w:customStyle="1" w:styleId="Bullet">
    <w:name w:val="Bullet"/>
    <w:basedOn w:val="Normal"/>
    <w:rsid w:val="00FA314D"/>
    <w:pPr>
      <w:numPr>
        <w:numId w:val="3"/>
      </w:numPr>
      <w:suppressAutoHyphens w:val="0"/>
      <w:spacing w:after="240" w:line="240" w:lineRule="auto"/>
    </w:pPr>
    <w:rPr>
      <w:sz w:val="24"/>
    </w:rPr>
  </w:style>
  <w:style w:type="paragraph" w:styleId="BalloonText">
    <w:name w:val="Balloon Text"/>
    <w:basedOn w:val="Normal"/>
    <w:semiHidden/>
    <w:rsid w:val="008C11B3"/>
    <w:rPr>
      <w:rFonts w:ascii="Tahoma" w:hAnsi="Tahoma" w:cs="Tahoma"/>
      <w:sz w:val="16"/>
      <w:szCs w:val="16"/>
    </w:rPr>
  </w:style>
  <w:style w:type="character" w:customStyle="1" w:styleId="FootnoteTextChar">
    <w:name w:val="Footnote Text Char"/>
    <w:aliases w:val="5_G Char"/>
    <w:link w:val="FootnoteText"/>
    <w:locked/>
    <w:rsid w:val="008C11B3"/>
    <w:rPr>
      <w:sz w:val="18"/>
      <w:lang w:eastAsia="en-US"/>
    </w:rPr>
  </w:style>
  <w:style w:type="character" w:styleId="CommentReference">
    <w:name w:val="annotation reference"/>
    <w:rsid w:val="00123D6F"/>
    <w:rPr>
      <w:sz w:val="16"/>
      <w:szCs w:val="16"/>
    </w:rPr>
  </w:style>
  <w:style w:type="paragraph" w:styleId="CommentText">
    <w:name w:val="annotation text"/>
    <w:basedOn w:val="Normal"/>
    <w:link w:val="CommentTextChar"/>
    <w:rsid w:val="00123D6F"/>
  </w:style>
  <w:style w:type="character" w:customStyle="1" w:styleId="CommentTextChar">
    <w:name w:val="Comment Text Char"/>
    <w:link w:val="CommentText"/>
    <w:rsid w:val="00123D6F"/>
    <w:rPr>
      <w:lang w:eastAsia="en-US"/>
    </w:rPr>
  </w:style>
  <w:style w:type="paragraph" w:styleId="CommentSubject">
    <w:name w:val="annotation subject"/>
    <w:basedOn w:val="CommentText"/>
    <w:next w:val="CommentText"/>
    <w:link w:val="CommentSubjectChar"/>
    <w:rsid w:val="00123D6F"/>
    <w:rPr>
      <w:b/>
      <w:bCs/>
    </w:rPr>
  </w:style>
  <w:style w:type="character" w:customStyle="1" w:styleId="CommentSubjectChar">
    <w:name w:val="Comment Subject Char"/>
    <w:link w:val="CommentSubject"/>
    <w:rsid w:val="00123D6F"/>
    <w:rPr>
      <w:b/>
      <w:bCs/>
      <w:lang w:eastAsia="en-US"/>
    </w:rPr>
  </w:style>
  <w:style w:type="character" w:customStyle="1" w:styleId="FootnoteCharacters">
    <w:name w:val="Footnote Characters"/>
    <w:rsid w:val="00061EEF"/>
    <w:rPr>
      <w:rFonts w:ascii="Times New Roman" w:hAnsi="Times New Roman" w:cs="Times New Roman"/>
      <w:sz w:val="18"/>
      <w:vertAlign w:val="superscript"/>
    </w:rPr>
  </w:style>
  <w:style w:type="paragraph" w:customStyle="1" w:styleId="ColorfulList-Accent11">
    <w:name w:val="Colorful List - Accent 11"/>
    <w:basedOn w:val="Normal"/>
    <w:uiPriority w:val="34"/>
    <w:qFormat/>
    <w:rsid w:val="00634FBC"/>
    <w:pPr>
      <w:ind w:left="720"/>
    </w:pPr>
  </w:style>
  <w:style w:type="character" w:customStyle="1" w:styleId="SingleTxtGChar">
    <w:name w:val="_ Single Txt_G Char"/>
    <w:link w:val="SingleTxtG"/>
    <w:rsid w:val="00123AD1"/>
    <w:rPr>
      <w:lang w:eastAsia="en-US"/>
    </w:rPr>
  </w:style>
  <w:style w:type="paragraph" w:styleId="Revision">
    <w:name w:val="Revision"/>
    <w:hidden/>
    <w:uiPriority w:val="99"/>
    <w:semiHidden/>
    <w:rsid w:val="00F579C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77163">
      <w:bodyDiv w:val="1"/>
      <w:marLeft w:val="0"/>
      <w:marRight w:val="0"/>
      <w:marTop w:val="0"/>
      <w:marBottom w:val="0"/>
      <w:divBdr>
        <w:top w:val="none" w:sz="0" w:space="0" w:color="auto"/>
        <w:left w:val="none" w:sz="0" w:space="0" w:color="auto"/>
        <w:bottom w:val="none" w:sz="0" w:space="0" w:color="auto"/>
        <w:right w:val="none" w:sz="0" w:space="0" w:color="auto"/>
      </w:divBdr>
    </w:div>
    <w:div w:id="237402016">
      <w:bodyDiv w:val="1"/>
      <w:marLeft w:val="0"/>
      <w:marRight w:val="0"/>
      <w:marTop w:val="0"/>
      <w:marBottom w:val="0"/>
      <w:divBdr>
        <w:top w:val="none" w:sz="0" w:space="0" w:color="auto"/>
        <w:left w:val="none" w:sz="0" w:space="0" w:color="auto"/>
        <w:bottom w:val="none" w:sz="0" w:space="0" w:color="auto"/>
        <w:right w:val="none" w:sz="0" w:space="0" w:color="auto"/>
      </w:divBdr>
    </w:div>
    <w:div w:id="390156171">
      <w:bodyDiv w:val="1"/>
      <w:marLeft w:val="0"/>
      <w:marRight w:val="0"/>
      <w:marTop w:val="0"/>
      <w:marBottom w:val="0"/>
      <w:divBdr>
        <w:top w:val="none" w:sz="0" w:space="0" w:color="auto"/>
        <w:left w:val="none" w:sz="0" w:space="0" w:color="auto"/>
        <w:bottom w:val="none" w:sz="0" w:space="0" w:color="auto"/>
        <w:right w:val="none" w:sz="0" w:space="0" w:color="auto"/>
      </w:divBdr>
      <w:divsChild>
        <w:div w:id="758795163">
          <w:marLeft w:val="0"/>
          <w:marRight w:val="0"/>
          <w:marTop w:val="0"/>
          <w:marBottom w:val="0"/>
          <w:divBdr>
            <w:top w:val="none" w:sz="0" w:space="0" w:color="auto"/>
            <w:left w:val="none" w:sz="0" w:space="0" w:color="auto"/>
            <w:bottom w:val="none" w:sz="0" w:space="0" w:color="auto"/>
            <w:right w:val="none" w:sz="0" w:space="0" w:color="auto"/>
          </w:divBdr>
          <w:divsChild>
            <w:div w:id="357121790">
              <w:marLeft w:val="0"/>
              <w:marRight w:val="0"/>
              <w:marTop w:val="0"/>
              <w:marBottom w:val="0"/>
              <w:divBdr>
                <w:top w:val="none" w:sz="0" w:space="0" w:color="auto"/>
                <w:left w:val="none" w:sz="0" w:space="0" w:color="auto"/>
                <w:bottom w:val="none" w:sz="0" w:space="0" w:color="auto"/>
                <w:right w:val="none" w:sz="0" w:space="0" w:color="auto"/>
              </w:divBdr>
              <w:divsChild>
                <w:div w:id="927887178">
                  <w:marLeft w:val="0"/>
                  <w:marRight w:val="0"/>
                  <w:marTop w:val="0"/>
                  <w:marBottom w:val="0"/>
                  <w:divBdr>
                    <w:top w:val="none" w:sz="0" w:space="0" w:color="auto"/>
                    <w:left w:val="none" w:sz="0" w:space="0" w:color="auto"/>
                    <w:bottom w:val="none" w:sz="0" w:space="0" w:color="auto"/>
                    <w:right w:val="none" w:sz="0" w:space="0" w:color="auto"/>
                  </w:divBdr>
                  <w:divsChild>
                    <w:div w:id="6350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74120">
      <w:bodyDiv w:val="1"/>
      <w:marLeft w:val="0"/>
      <w:marRight w:val="0"/>
      <w:marTop w:val="0"/>
      <w:marBottom w:val="0"/>
      <w:divBdr>
        <w:top w:val="none" w:sz="0" w:space="0" w:color="auto"/>
        <w:left w:val="none" w:sz="0" w:space="0" w:color="auto"/>
        <w:bottom w:val="none" w:sz="0" w:space="0" w:color="auto"/>
        <w:right w:val="none" w:sz="0" w:space="0" w:color="auto"/>
      </w:divBdr>
    </w:div>
    <w:div w:id="505755800">
      <w:bodyDiv w:val="1"/>
      <w:marLeft w:val="0"/>
      <w:marRight w:val="0"/>
      <w:marTop w:val="0"/>
      <w:marBottom w:val="0"/>
      <w:divBdr>
        <w:top w:val="none" w:sz="0" w:space="0" w:color="auto"/>
        <w:left w:val="none" w:sz="0" w:space="0" w:color="auto"/>
        <w:bottom w:val="none" w:sz="0" w:space="0" w:color="auto"/>
        <w:right w:val="none" w:sz="0" w:space="0" w:color="auto"/>
      </w:divBdr>
      <w:divsChild>
        <w:div w:id="2004702265">
          <w:marLeft w:val="0"/>
          <w:marRight w:val="0"/>
          <w:marTop w:val="0"/>
          <w:marBottom w:val="0"/>
          <w:divBdr>
            <w:top w:val="none" w:sz="0" w:space="0" w:color="auto"/>
            <w:left w:val="none" w:sz="0" w:space="0" w:color="auto"/>
            <w:bottom w:val="none" w:sz="0" w:space="0" w:color="auto"/>
            <w:right w:val="none" w:sz="0" w:space="0" w:color="auto"/>
          </w:divBdr>
          <w:divsChild>
            <w:div w:id="1761826955">
              <w:marLeft w:val="0"/>
              <w:marRight w:val="0"/>
              <w:marTop w:val="0"/>
              <w:marBottom w:val="0"/>
              <w:divBdr>
                <w:top w:val="none" w:sz="0" w:space="0" w:color="auto"/>
                <w:left w:val="none" w:sz="0" w:space="0" w:color="auto"/>
                <w:bottom w:val="none" w:sz="0" w:space="0" w:color="auto"/>
                <w:right w:val="none" w:sz="0" w:space="0" w:color="auto"/>
              </w:divBdr>
              <w:divsChild>
                <w:div w:id="1310093239">
                  <w:marLeft w:val="0"/>
                  <w:marRight w:val="0"/>
                  <w:marTop w:val="0"/>
                  <w:marBottom w:val="0"/>
                  <w:divBdr>
                    <w:top w:val="none" w:sz="0" w:space="0" w:color="auto"/>
                    <w:left w:val="none" w:sz="0" w:space="0" w:color="auto"/>
                    <w:bottom w:val="none" w:sz="0" w:space="0" w:color="auto"/>
                    <w:right w:val="none" w:sz="0" w:space="0" w:color="auto"/>
                  </w:divBdr>
                  <w:divsChild>
                    <w:div w:id="20602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685403">
      <w:bodyDiv w:val="1"/>
      <w:marLeft w:val="0"/>
      <w:marRight w:val="0"/>
      <w:marTop w:val="0"/>
      <w:marBottom w:val="0"/>
      <w:divBdr>
        <w:top w:val="none" w:sz="0" w:space="0" w:color="auto"/>
        <w:left w:val="none" w:sz="0" w:space="0" w:color="auto"/>
        <w:bottom w:val="none" w:sz="0" w:space="0" w:color="auto"/>
        <w:right w:val="none" w:sz="0" w:space="0" w:color="auto"/>
      </w:divBdr>
    </w:div>
    <w:div w:id="721832718">
      <w:bodyDiv w:val="1"/>
      <w:marLeft w:val="0"/>
      <w:marRight w:val="0"/>
      <w:marTop w:val="0"/>
      <w:marBottom w:val="0"/>
      <w:divBdr>
        <w:top w:val="none" w:sz="0" w:space="0" w:color="auto"/>
        <w:left w:val="none" w:sz="0" w:space="0" w:color="auto"/>
        <w:bottom w:val="none" w:sz="0" w:space="0" w:color="auto"/>
        <w:right w:val="none" w:sz="0" w:space="0" w:color="auto"/>
      </w:divBdr>
    </w:div>
    <w:div w:id="1125008034">
      <w:bodyDiv w:val="1"/>
      <w:marLeft w:val="0"/>
      <w:marRight w:val="0"/>
      <w:marTop w:val="0"/>
      <w:marBottom w:val="0"/>
      <w:divBdr>
        <w:top w:val="none" w:sz="0" w:space="0" w:color="auto"/>
        <w:left w:val="none" w:sz="0" w:space="0" w:color="auto"/>
        <w:bottom w:val="none" w:sz="0" w:space="0" w:color="auto"/>
        <w:right w:val="none" w:sz="0" w:space="0" w:color="auto"/>
      </w:divBdr>
    </w:div>
    <w:div w:id="1170951398">
      <w:bodyDiv w:val="1"/>
      <w:marLeft w:val="0"/>
      <w:marRight w:val="0"/>
      <w:marTop w:val="0"/>
      <w:marBottom w:val="0"/>
      <w:divBdr>
        <w:top w:val="none" w:sz="0" w:space="0" w:color="auto"/>
        <w:left w:val="none" w:sz="0" w:space="0" w:color="auto"/>
        <w:bottom w:val="none" w:sz="0" w:space="0" w:color="auto"/>
        <w:right w:val="none" w:sz="0" w:space="0" w:color="auto"/>
      </w:divBdr>
    </w:div>
    <w:div w:id="1382824537">
      <w:bodyDiv w:val="1"/>
      <w:marLeft w:val="0"/>
      <w:marRight w:val="0"/>
      <w:marTop w:val="0"/>
      <w:marBottom w:val="0"/>
      <w:divBdr>
        <w:top w:val="none" w:sz="0" w:space="0" w:color="auto"/>
        <w:left w:val="none" w:sz="0" w:space="0" w:color="auto"/>
        <w:bottom w:val="none" w:sz="0" w:space="0" w:color="auto"/>
        <w:right w:val="none" w:sz="0" w:space="0" w:color="auto"/>
      </w:divBdr>
    </w:div>
    <w:div w:id="1518689193">
      <w:bodyDiv w:val="1"/>
      <w:marLeft w:val="0"/>
      <w:marRight w:val="0"/>
      <w:marTop w:val="0"/>
      <w:marBottom w:val="0"/>
      <w:divBdr>
        <w:top w:val="none" w:sz="0" w:space="0" w:color="auto"/>
        <w:left w:val="none" w:sz="0" w:space="0" w:color="auto"/>
        <w:bottom w:val="none" w:sz="0" w:space="0" w:color="auto"/>
        <w:right w:val="none" w:sz="0" w:space="0" w:color="auto"/>
      </w:divBdr>
    </w:div>
    <w:div w:id="1557085975">
      <w:bodyDiv w:val="1"/>
      <w:marLeft w:val="0"/>
      <w:marRight w:val="0"/>
      <w:marTop w:val="0"/>
      <w:marBottom w:val="0"/>
      <w:divBdr>
        <w:top w:val="none" w:sz="0" w:space="0" w:color="auto"/>
        <w:left w:val="none" w:sz="0" w:space="0" w:color="auto"/>
        <w:bottom w:val="none" w:sz="0" w:space="0" w:color="auto"/>
        <w:right w:val="none" w:sz="0" w:space="0" w:color="auto"/>
      </w:divBdr>
    </w:div>
    <w:div w:id="1637762167">
      <w:bodyDiv w:val="1"/>
      <w:marLeft w:val="0"/>
      <w:marRight w:val="0"/>
      <w:marTop w:val="0"/>
      <w:marBottom w:val="0"/>
      <w:divBdr>
        <w:top w:val="none" w:sz="0" w:space="0" w:color="auto"/>
        <w:left w:val="none" w:sz="0" w:space="0" w:color="auto"/>
        <w:bottom w:val="none" w:sz="0" w:space="0" w:color="auto"/>
        <w:right w:val="none" w:sz="0" w:space="0" w:color="auto"/>
      </w:divBdr>
    </w:div>
    <w:div w:id="1706907655">
      <w:bodyDiv w:val="1"/>
      <w:marLeft w:val="0"/>
      <w:marRight w:val="0"/>
      <w:marTop w:val="0"/>
      <w:marBottom w:val="0"/>
      <w:divBdr>
        <w:top w:val="none" w:sz="0" w:space="0" w:color="auto"/>
        <w:left w:val="none" w:sz="0" w:space="0" w:color="auto"/>
        <w:bottom w:val="none" w:sz="0" w:space="0" w:color="auto"/>
        <w:right w:val="none" w:sz="0" w:space="0" w:color="auto"/>
      </w:divBdr>
    </w:div>
    <w:div w:id="1734504830">
      <w:bodyDiv w:val="1"/>
      <w:marLeft w:val="0"/>
      <w:marRight w:val="0"/>
      <w:marTop w:val="0"/>
      <w:marBottom w:val="0"/>
      <w:divBdr>
        <w:top w:val="none" w:sz="0" w:space="0" w:color="auto"/>
        <w:left w:val="none" w:sz="0" w:space="0" w:color="auto"/>
        <w:bottom w:val="none" w:sz="0" w:space="0" w:color="auto"/>
        <w:right w:val="none" w:sz="0" w:space="0" w:color="auto"/>
      </w:divBdr>
    </w:div>
    <w:div w:id="1753888571">
      <w:bodyDiv w:val="1"/>
      <w:marLeft w:val="0"/>
      <w:marRight w:val="0"/>
      <w:marTop w:val="0"/>
      <w:marBottom w:val="0"/>
      <w:divBdr>
        <w:top w:val="none" w:sz="0" w:space="0" w:color="auto"/>
        <w:left w:val="none" w:sz="0" w:space="0" w:color="auto"/>
        <w:bottom w:val="none" w:sz="0" w:space="0" w:color="auto"/>
        <w:right w:val="none" w:sz="0" w:space="0" w:color="auto"/>
      </w:divBdr>
    </w:div>
    <w:div w:id="1777556725">
      <w:bodyDiv w:val="1"/>
      <w:marLeft w:val="0"/>
      <w:marRight w:val="0"/>
      <w:marTop w:val="0"/>
      <w:marBottom w:val="0"/>
      <w:divBdr>
        <w:top w:val="none" w:sz="0" w:space="0" w:color="auto"/>
        <w:left w:val="none" w:sz="0" w:space="0" w:color="auto"/>
        <w:bottom w:val="none" w:sz="0" w:space="0" w:color="auto"/>
        <w:right w:val="none" w:sz="0" w:space="0" w:color="auto"/>
      </w:divBdr>
    </w:div>
    <w:div w:id="1807359462">
      <w:bodyDiv w:val="1"/>
      <w:marLeft w:val="0"/>
      <w:marRight w:val="0"/>
      <w:marTop w:val="0"/>
      <w:marBottom w:val="0"/>
      <w:divBdr>
        <w:top w:val="none" w:sz="0" w:space="0" w:color="auto"/>
        <w:left w:val="none" w:sz="0" w:space="0" w:color="auto"/>
        <w:bottom w:val="none" w:sz="0" w:space="0" w:color="auto"/>
        <w:right w:val="none" w:sz="0" w:space="0" w:color="auto"/>
      </w:divBdr>
    </w:div>
    <w:div w:id="208850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poradna-prava.sk/wp-content/uploads/2013/03/PDF-236-K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ERD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9701B-24B0-4EEB-B525-5B0773D1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CERD_E</Template>
  <TotalTime>0</TotalTime>
  <Pages>14</Pages>
  <Words>6838</Words>
  <Characters>38981</Characters>
  <Application>Microsoft Office Word</Application>
  <DocSecurity>0</DocSecurity>
  <Lines>324</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CERD/C/78/DR/45/2009</vt:lpstr>
      <vt:lpstr>CERD/C/78/DR/45/2009</vt:lpstr>
    </vt:vector>
  </TitlesOfParts>
  <Company>CSD</Company>
  <LinksUpToDate>false</LinksUpToDate>
  <CharactersWithSpaces>45728</CharactersWithSpaces>
  <SharedDoc>false</SharedDoc>
  <HLinks>
    <vt:vector size="6" baseType="variant">
      <vt:variant>
        <vt:i4>4915208</vt:i4>
      </vt:variant>
      <vt:variant>
        <vt:i4>0</vt:i4>
      </vt:variant>
      <vt:variant>
        <vt:i4>0</vt:i4>
      </vt:variant>
      <vt:variant>
        <vt:i4>5</vt:i4>
      </vt:variant>
      <vt:variant>
        <vt:lpwstr>http://poradna-prava.sk/wp-content/uploads/2013/03/PDF-236-KB.pdf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CERD/C/78/DR/45/2009</dc:title>
  <dc:creator>OHCHR</dc:creator>
  <cp:lastModifiedBy>Sarah Willig</cp:lastModifiedBy>
  <cp:revision>2</cp:revision>
  <cp:lastPrinted>2015-12-16T14:18:00Z</cp:lastPrinted>
  <dcterms:created xsi:type="dcterms:W3CDTF">2017-01-25T00:49:00Z</dcterms:created>
  <dcterms:modified xsi:type="dcterms:W3CDTF">2017-01-25T00:49:00Z</dcterms:modified>
</cp:coreProperties>
</file>