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F1681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F1681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F1681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BD1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65C15" w:rsidRPr="00D47EEA" w:rsidRDefault="00BC4324" w:rsidP="00BC4324">
            <w:pPr>
              <w:suppressAutoHyphens w:val="0"/>
              <w:spacing w:after="20"/>
              <w:jc w:val="right"/>
            </w:pPr>
            <w:r w:rsidRPr="00BC4324">
              <w:rPr>
                <w:sz w:val="40"/>
              </w:rPr>
              <w:t>CCPR</w:t>
            </w:r>
            <w:r>
              <w:t>/C/117/D/2220/2012</w:t>
            </w:r>
          </w:p>
        </w:tc>
      </w:tr>
      <w:tr w:rsidR="00165C15" w:rsidTr="00F1681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F1681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998E9D" wp14:editId="6E00DBE6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F1681F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>International</w:t>
            </w:r>
            <w:r w:rsidR="00BD1F4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Covenant</w:t>
            </w:r>
            <w:r w:rsidR="00BD1F4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on</w:t>
            </w:r>
            <w:r>
              <w:rPr>
                <w:b/>
                <w:sz w:val="34"/>
                <w:szCs w:val="40"/>
              </w:rPr>
              <w:br/>
              <w:t>Civil</w:t>
            </w:r>
            <w:r w:rsidR="00BD1F4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and</w:t>
            </w:r>
            <w:r w:rsidR="00BD1F4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Political</w:t>
            </w:r>
            <w:r w:rsidR="00BD1F4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BC4324" w:rsidP="00BC4324">
            <w:pPr>
              <w:suppressAutoHyphens w:val="0"/>
              <w:spacing w:before="240" w:line="240" w:lineRule="exact"/>
            </w:pPr>
            <w:r>
              <w:t>Distr.:</w:t>
            </w:r>
            <w:r w:rsidR="00BD1F48">
              <w:t xml:space="preserve"> </w:t>
            </w:r>
            <w:r>
              <w:t>General</w:t>
            </w:r>
          </w:p>
          <w:p w:rsidR="00BC4324" w:rsidRDefault="00A93B52" w:rsidP="00BC4324">
            <w:pPr>
              <w:suppressAutoHyphens w:val="0"/>
            </w:pPr>
            <w:r>
              <w:t>27</w:t>
            </w:r>
            <w:r w:rsidR="00BD1F48">
              <w:t xml:space="preserve"> </w:t>
            </w:r>
            <w:r w:rsidR="00BC4324">
              <w:t>September</w:t>
            </w:r>
            <w:r w:rsidR="00BD1F48">
              <w:t xml:space="preserve"> </w:t>
            </w:r>
            <w:r w:rsidR="00BC4324">
              <w:t>2016</w:t>
            </w:r>
          </w:p>
          <w:p w:rsidR="00BC4324" w:rsidRDefault="00BC4324" w:rsidP="00BC4324">
            <w:pPr>
              <w:suppressAutoHyphens w:val="0"/>
            </w:pPr>
          </w:p>
          <w:p w:rsidR="00BC4324" w:rsidRDefault="00BC4324" w:rsidP="00BC4324">
            <w:pPr>
              <w:suppressAutoHyphens w:val="0"/>
            </w:pPr>
            <w:r>
              <w:t>Original:</w:t>
            </w:r>
            <w:r w:rsidR="00BD1F48">
              <w:t xml:space="preserve"> </w:t>
            </w:r>
            <w:r>
              <w:t>English</w:t>
            </w:r>
          </w:p>
        </w:tc>
      </w:tr>
    </w:tbl>
    <w:p w:rsidR="00BC4324" w:rsidRPr="00BC4324" w:rsidRDefault="00BC4324" w:rsidP="00BC4324">
      <w:pPr>
        <w:spacing w:before="120"/>
        <w:rPr>
          <w:b/>
          <w:bCs/>
          <w:sz w:val="24"/>
          <w:szCs w:val="24"/>
        </w:rPr>
      </w:pPr>
      <w:r w:rsidRPr="00BC4324">
        <w:rPr>
          <w:b/>
          <w:bCs/>
          <w:sz w:val="24"/>
          <w:szCs w:val="24"/>
        </w:rPr>
        <w:t>Human</w:t>
      </w:r>
      <w:r w:rsidR="00BD1F48">
        <w:rPr>
          <w:b/>
          <w:bCs/>
          <w:sz w:val="24"/>
          <w:szCs w:val="24"/>
        </w:rPr>
        <w:t xml:space="preserve"> </w:t>
      </w:r>
      <w:r w:rsidRPr="00BC4324">
        <w:rPr>
          <w:b/>
          <w:bCs/>
          <w:sz w:val="24"/>
          <w:szCs w:val="24"/>
        </w:rPr>
        <w:t>Rights</w:t>
      </w:r>
      <w:r w:rsidR="00BD1F48">
        <w:rPr>
          <w:b/>
          <w:bCs/>
          <w:sz w:val="24"/>
          <w:szCs w:val="24"/>
        </w:rPr>
        <w:t xml:space="preserve"> </w:t>
      </w:r>
      <w:r w:rsidRPr="00BC4324">
        <w:rPr>
          <w:b/>
          <w:bCs/>
          <w:sz w:val="24"/>
          <w:szCs w:val="24"/>
        </w:rPr>
        <w:t>Committee</w:t>
      </w:r>
    </w:p>
    <w:p w:rsidR="00BC4324" w:rsidRPr="00660CDA" w:rsidRDefault="00BC4324" w:rsidP="00C9160A">
      <w:pPr>
        <w:pStyle w:val="HChG"/>
      </w:pPr>
      <w:r w:rsidRPr="00660CDA">
        <w:tab/>
      </w:r>
      <w:r w:rsidRPr="00660CDA">
        <w:tab/>
        <w:t>Views</w:t>
      </w:r>
      <w:r w:rsidR="00BD1F48">
        <w:t xml:space="preserve"> </w:t>
      </w:r>
      <w:r w:rsidRPr="00660CDA">
        <w:t>adopted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(4)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Protocol,</w:t>
      </w:r>
      <w:r w:rsidR="00BD1F48">
        <w:t xml:space="preserve"> </w:t>
      </w:r>
      <w:r w:rsidRPr="00660CDA">
        <w:t>concerning</w:t>
      </w:r>
      <w:r w:rsidR="00BD1F48">
        <w:t xml:space="preserve"> </w:t>
      </w:r>
      <w:r w:rsidRPr="00660CDA">
        <w:t>communication</w:t>
      </w:r>
      <w:r w:rsidR="00BD1F48">
        <w:t xml:space="preserve"> </w:t>
      </w:r>
      <w:r w:rsidRPr="00660CDA">
        <w:t>No.</w:t>
      </w:r>
      <w:r w:rsidR="00BD1F48">
        <w:t xml:space="preserve"> </w:t>
      </w:r>
      <w:r w:rsidRPr="00660CDA">
        <w:t>2220/2012</w:t>
      </w:r>
      <w:r w:rsidRPr="00C9160A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="00C9160A" w:rsidRPr="00C9160A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="00C9160A" w:rsidRPr="00C9160A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</w:p>
    <w:p w:rsidR="00BC4324" w:rsidRPr="00660CDA" w:rsidRDefault="00BC4324" w:rsidP="00C9160A">
      <w:pPr>
        <w:pStyle w:val="SingleTxtG"/>
        <w:ind w:left="4536" w:hanging="3402"/>
      </w:pPr>
      <w:bookmarkStart w:id="0" w:name="_GoBack"/>
      <w:r w:rsidRPr="00C9160A">
        <w:rPr>
          <w:i/>
          <w:lang w:val="en-US"/>
        </w:rPr>
        <w:t>C</w:t>
      </w:r>
      <w:bookmarkEnd w:id="0"/>
      <w:r w:rsidRPr="00C9160A">
        <w:rPr>
          <w:i/>
          <w:lang w:val="en-US"/>
        </w:rPr>
        <w:t>ommunication</w:t>
      </w:r>
      <w:r w:rsidR="00BD1F48">
        <w:t xml:space="preserve"> </w:t>
      </w:r>
      <w:r w:rsidRPr="00C9160A">
        <w:rPr>
          <w:i/>
          <w:lang w:val="en-US"/>
        </w:rPr>
        <w:t>submitted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by</w:t>
      </w:r>
      <w:r w:rsidRPr="00C9160A">
        <w:rPr>
          <w:i/>
          <w:iCs/>
        </w:rPr>
        <w:t>:</w:t>
      </w:r>
      <w:r w:rsidRPr="00660CDA">
        <w:tab/>
        <w:t>Matkarim</w:t>
      </w:r>
      <w:r w:rsidR="00BD1F48">
        <w:t xml:space="preserve"> </w:t>
      </w:r>
      <w:r w:rsidRPr="00660CDA">
        <w:t>Aminov</w:t>
      </w:r>
      <w:r w:rsidR="00BD1F48">
        <w:t xml:space="preserve"> </w:t>
      </w:r>
      <w:r w:rsidRPr="00660CDA">
        <w:t>(represented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counsel,</w:t>
      </w:r>
      <w:r w:rsidR="00BD1F48">
        <w:t xml:space="preserve"> </w:t>
      </w:r>
      <w:r w:rsidRPr="00660CDA">
        <w:t>Shane</w:t>
      </w:r>
      <w:r w:rsidR="00BD1F48">
        <w:t xml:space="preserve"> </w:t>
      </w:r>
      <w:r w:rsidRPr="00660CDA">
        <w:t>H.</w:t>
      </w:r>
      <w:r w:rsidR="00BD1F48">
        <w:t xml:space="preserve"> </w:t>
      </w:r>
      <w:r w:rsidRPr="00660CDA">
        <w:t>Brady)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Alleged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victim: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The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author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State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party: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Turkmenistan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Date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of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communication: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3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September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2012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(initial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submission)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Document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references: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Decision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taken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pursuant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to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rule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97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the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Committee</w:t>
      </w:r>
      <w:r w:rsidR="00BD1F48">
        <w:rPr>
          <w:iCs/>
          <w:lang w:val="en-US"/>
        </w:rPr>
        <w:t>’</w:t>
      </w:r>
      <w:r w:rsidRPr="00C9160A">
        <w:rPr>
          <w:iCs/>
          <w:lang w:val="en-US"/>
        </w:rPr>
        <w:t>s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rules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procedure,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transmitted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to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the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State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party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7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December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2012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(not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issued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in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document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form)</w:t>
      </w:r>
    </w:p>
    <w:p w:rsidR="00BC4324" w:rsidRPr="00C9160A" w:rsidRDefault="00BC4324" w:rsidP="00C9160A">
      <w:pPr>
        <w:pStyle w:val="SingleTxtG"/>
        <w:ind w:left="4536" w:hanging="3402"/>
        <w:rPr>
          <w:i/>
          <w:lang w:val="en-US"/>
        </w:rPr>
      </w:pPr>
      <w:r w:rsidRPr="00C9160A">
        <w:rPr>
          <w:i/>
          <w:lang w:val="en-US"/>
        </w:rPr>
        <w:t>Date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of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adoption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of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Views: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14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July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2016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Subject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matter: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Conscientious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objection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to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compulsory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military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service;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inhuman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and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degrading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treatment;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conviction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for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the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same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offence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twice;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conditions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detention</w:t>
      </w:r>
    </w:p>
    <w:p w:rsidR="00BC4324" w:rsidRPr="00C9160A" w:rsidRDefault="00BC4324" w:rsidP="00C9160A">
      <w:pPr>
        <w:pStyle w:val="SingleTxtG"/>
        <w:ind w:left="4536" w:hanging="3402"/>
        <w:rPr>
          <w:i/>
          <w:lang w:val="en-US"/>
        </w:rPr>
      </w:pPr>
      <w:r w:rsidRPr="00C9160A">
        <w:rPr>
          <w:i/>
          <w:lang w:val="en-US"/>
        </w:rPr>
        <w:t>Procedural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issues: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None</w:t>
      </w:r>
    </w:p>
    <w:p w:rsidR="00BC4324" w:rsidRPr="00C9160A" w:rsidRDefault="00BC4324" w:rsidP="00C9160A">
      <w:pPr>
        <w:pStyle w:val="SingleTxtG"/>
        <w:ind w:left="4536" w:hanging="3402"/>
        <w:rPr>
          <w:i/>
          <w:lang w:val="en-US"/>
        </w:rPr>
      </w:pPr>
      <w:r w:rsidRPr="00C9160A">
        <w:rPr>
          <w:i/>
          <w:lang w:val="en-US"/>
        </w:rPr>
        <w:t>Substantive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issues: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Freedom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conscience;</w:t>
      </w:r>
      <w:r w:rsidR="00BD1F48">
        <w:rPr>
          <w:iCs/>
          <w:lang w:val="en-US"/>
        </w:rPr>
        <w:t xml:space="preserve"> </w:t>
      </w:r>
      <w:r w:rsidRPr="00BD1F48">
        <w:rPr>
          <w:i/>
          <w:lang w:val="en-US"/>
        </w:rPr>
        <w:t>ne</w:t>
      </w:r>
      <w:r w:rsidR="00BD1F48" w:rsidRPr="00BD1F48">
        <w:rPr>
          <w:i/>
          <w:lang w:val="en-US"/>
        </w:rPr>
        <w:t xml:space="preserve"> </w:t>
      </w:r>
      <w:r w:rsidRPr="00BD1F48">
        <w:rPr>
          <w:i/>
          <w:lang w:val="en-US"/>
        </w:rPr>
        <w:t>bis</w:t>
      </w:r>
      <w:r w:rsidR="00BD1F48" w:rsidRPr="00BD1F48">
        <w:rPr>
          <w:i/>
          <w:lang w:val="en-US"/>
        </w:rPr>
        <w:t xml:space="preserve"> </w:t>
      </w:r>
      <w:r w:rsidRPr="00BD1F48">
        <w:rPr>
          <w:i/>
          <w:lang w:val="en-US"/>
        </w:rPr>
        <w:t>in</w:t>
      </w:r>
      <w:r w:rsidR="00BD1F48" w:rsidRPr="00BD1F48">
        <w:rPr>
          <w:i/>
          <w:lang w:val="en-US"/>
        </w:rPr>
        <w:t xml:space="preserve"> </w:t>
      </w:r>
      <w:r w:rsidRPr="00BD1F48">
        <w:rPr>
          <w:i/>
          <w:lang w:val="en-US"/>
        </w:rPr>
        <w:t>idem</w:t>
      </w:r>
      <w:r w:rsidRPr="00C9160A">
        <w:rPr>
          <w:iCs/>
          <w:lang w:val="en-US"/>
        </w:rPr>
        <w:t>;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inhuman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and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degrading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treatment;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conditions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of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detention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Articles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of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the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Covenant: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7,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10,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14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(7)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and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18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(1)</w:t>
      </w:r>
    </w:p>
    <w:p w:rsidR="00BC4324" w:rsidRPr="00C9160A" w:rsidRDefault="00BC4324" w:rsidP="00C9160A">
      <w:pPr>
        <w:pStyle w:val="SingleTxtG"/>
        <w:ind w:left="4536" w:hanging="3402"/>
        <w:rPr>
          <w:iCs/>
          <w:lang w:val="en-US"/>
        </w:rPr>
      </w:pPr>
      <w:r w:rsidRPr="00C9160A">
        <w:rPr>
          <w:i/>
          <w:lang w:val="en-US"/>
        </w:rPr>
        <w:t>Articles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of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the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Optional</w:t>
      </w:r>
      <w:r w:rsidR="00BD1F48">
        <w:rPr>
          <w:i/>
          <w:lang w:val="en-US"/>
        </w:rPr>
        <w:t xml:space="preserve"> </w:t>
      </w:r>
      <w:r w:rsidRPr="00C9160A">
        <w:rPr>
          <w:i/>
          <w:lang w:val="en-US"/>
        </w:rPr>
        <w:t>Protocol:</w:t>
      </w:r>
      <w:r w:rsidRPr="00C9160A">
        <w:rPr>
          <w:i/>
          <w:lang w:val="en-US"/>
        </w:rPr>
        <w:tab/>
      </w:r>
      <w:r w:rsidRPr="00C9160A">
        <w:rPr>
          <w:iCs/>
          <w:lang w:val="en-US"/>
        </w:rPr>
        <w:t>5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(2)</w:t>
      </w:r>
      <w:r w:rsidR="00BD1F48">
        <w:rPr>
          <w:iCs/>
          <w:lang w:val="en-US"/>
        </w:rPr>
        <w:t xml:space="preserve"> </w:t>
      </w:r>
      <w:r w:rsidRPr="00C9160A">
        <w:rPr>
          <w:iCs/>
          <w:lang w:val="en-US"/>
        </w:rPr>
        <w:t>(b)</w:t>
      </w:r>
    </w:p>
    <w:p w:rsidR="00BC4324" w:rsidRPr="00660CDA" w:rsidRDefault="00BC4324" w:rsidP="00BD1F48">
      <w:pPr>
        <w:pStyle w:val="SingleTxtG"/>
      </w:pPr>
      <w:r w:rsidRPr="00660CDA">
        <w:t>1.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Matkarim</w:t>
      </w:r>
      <w:r w:rsidR="00BD1F48">
        <w:t xml:space="preserve"> </w:t>
      </w:r>
      <w:r w:rsidRPr="00660CDA">
        <w:t>Aminov,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national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born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17</w:t>
      </w:r>
      <w:r w:rsidR="00BD1F48">
        <w:t xml:space="preserve"> </w:t>
      </w:r>
      <w:r w:rsidRPr="00660CDA">
        <w:t>April</w:t>
      </w:r>
      <w:r w:rsidR="00BD1F48">
        <w:t xml:space="preserve"> </w:t>
      </w:r>
      <w:r w:rsidRPr="00660CDA">
        <w:t>1991.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victim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7,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lastRenderedPageBreak/>
        <w:t>(7)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  <w:r w:rsidRPr="00660CDA">
        <w:t>Although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invoke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specifically,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appears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raise</w:t>
      </w:r>
      <w:r w:rsidR="00BD1F48">
        <w:t xml:space="preserve"> </w:t>
      </w:r>
      <w:r w:rsidRPr="00660CDA">
        <w:t>issues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provision.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</w:t>
      </w:r>
      <w:r w:rsidR="00BD1F48">
        <w:t xml:space="preserve"> </w:t>
      </w:r>
      <w:r w:rsidRPr="00660CDA">
        <w:t>entered</w:t>
      </w:r>
      <w:r w:rsidR="00BD1F48">
        <w:t xml:space="preserve"> </w:t>
      </w:r>
      <w:r w:rsidRPr="00660CDA">
        <w:t>into</w:t>
      </w:r>
      <w:r w:rsidR="00BD1F48">
        <w:t xml:space="preserve"> </w:t>
      </w:r>
      <w:r w:rsidRPr="00660CDA">
        <w:t>force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1997.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represented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counsel,</w:t>
      </w:r>
      <w:r w:rsidR="00BD1F48">
        <w:t xml:space="preserve"> </w:t>
      </w:r>
      <w:r w:rsidRPr="00660CDA">
        <w:t>Shane</w:t>
      </w:r>
      <w:r w:rsidR="00BD1F48">
        <w:t xml:space="preserve"> </w:t>
      </w:r>
      <w:r w:rsidRPr="00660CDA">
        <w:t>H.</w:t>
      </w:r>
      <w:r w:rsidR="00BD1F48">
        <w:t xml:space="preserve"> </w:t>
      </w:r>
      <w:r w:rsidRPr="00660CDA">
        <w:t>Brady.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Factual</w:t>
      </w:r>
      <w:r w:rsidR="00BD1F48">
        <w:t xml:space="preserve"> </w:t>
      </w:r>
      <w:r w:rsidRPr="00660CDA">
        <w:t>background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2.1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Jehovah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Witness</w:t>
      </w:r>
      <w:r w:rsidR="00BD1F48">
        <w:t xml:space="preserve"> </w:t>
      </w:r>
      <w:r w:rsidRPr="00660CDA">
        <w:t>since</w:t>
      </w:r>
      <w:r w:rsidR="00BD1F48">
        <w:t xml:space="preserve"> </w:t>
      </w:r>
      <w:r w:rsidRPr="00660CDA">
        <w:t>2009.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first</w:t>
      </w:r>
      <w:r w:rsidR="00BD1F48">
        <w:t xml:space="preserve"> </w:t>
      </w:r>
      <w:r w:rsidRPr="00660CDA">
        <w:t>called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spring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2009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compliance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summons,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met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representatives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explained</w:t>
      </w:r>
      <w:r w:rsidR="00BD1F48">
        <w:t xml:space="preserve"> </w:t>
      </w:r>
      <w:r w:rsidRPr="00660CDA">
        <w:t>orally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writing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Jehovah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Witness,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permit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call-up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deferred</w:t>
      </w:r>
      <w:r w:rsidR="00BD1F48">
        <w:t xml:space="preserve"> </w:t>
      </w:r>
      <w:r w:rsidRPr="00660CDA">
        <w:t>twice,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autumn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2009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spring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2010.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3</w:t>
      </w:r>
      <w:r w:rsidR="00BD1F48">
        <w:t xml:space="preserve"> </w:t>
      </w:r>
      <w:r w:rsidRPr="00660CDA">
        <w:t>October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summoned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explained</w:t>
      </w:r>
      <w:r w:rsidR="00BD1F48">
        <w:t xml:space="preserve"> </w:t>
      </w:r>
      <w:r w:rsidRPr="00660CDA">
        <w:t>again,</w:t>
      </w:r>
      <w:r w:rsidR="00BD1F48">
        <w:t xml:space="preserve"> </w:t>
      </w:r>
      <w:r w:rsidRPr="00660CDA">
        <w:t>several</w:t>
      </w:r>
      <w:r w:rsidR="00BD1F48">
        <w:t xml:space="preserve"> </w:t>
      </w:r>
      <w:r w:rsidRPr="00660CDA">
        <w:t>times,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religion,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faith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allow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take</w:t>
      </w:r>
      <w:r w:rsidR="00BD1F48">
        <w:t xml:space="preserve"> </w:t>
      </w:r>
      <w:r w:rsidRPr="00660CDA">
        <w:t>part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kind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activity,</w:t>
      </w:r>
      <w:r w:rsidR="00BD1F48">
        <w:t xml:space="preserve"> </w:t>
      </w:r>
      <w:r w:rsidRPr="00660CDA">
        <w:t>including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use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weapons.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case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transferred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prosecutor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office.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explained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prosecutor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allow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would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willing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form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service.</w:t>
      </w:r>
      <w:r w:rsidR="00BD1F48">
        <w:t xml:space="preserve"> </w:t>
      </w:r>
    </w:p>
    <w:p w:rsidR="00BC4324" w:rsidRPr="00660CDA" w:rsidRDefault="00BC4324" w:rsidP="003C3234">
      <w:pPr>
        <w:pStyle w:val="SingleTxtG"/>
      </w:pPr>
      <w:r w:rsidRPr="00660CDA">
        <w:t>2.2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charged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Pr="00BD1F48">
        <w:rPr>
          <w:rStyle w:val="FootnoteReference"/>
        </w:rPr>
        <w:footnoteReference w:id="3"/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case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transferred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City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proceedings.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evading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months</w:t>
      </w:r>
      <w:r w:rsidR="00BD1F48">
        <w:t xml:space="preserve">’ </w:t>
      </w:r>
      <w:r w:rsidRPr="00660CDA">
        <w:t>imprisonment,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completely</w:t>
      </w:r>
      <w:r w:rsidR="00BD1F48">
        <w:t xml:space="preserve"> </w:t>
      </w:r>
      <w:r w:rsidRPr="00660CDA">
        <w:t>admitted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guilt,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accepted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Jehovah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Witness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reason</w:t>
      </w:r>
      <w:r w:rsidR="00BD1F48">
        <w:t xml:space="preserve"> </w:t>
      </w:r>
      <w:r w:rsidRPr="00660CDA">
        <w:t>could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stated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according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medical</w:t>
      </w:r>
      <w:r w:rsidR="00BD1F48">
        <w:t xml:space="preserve"> </w:t>
      </w:r>
      <w:r w:rsidRPr="00660CDA">
        <w:t>report,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fit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concluded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refused,</w:t>
      </w:r>
      <w:r w:rsidR="00BD1F48">
        <w:t xml:space="preserve"> </w:t>
      </w:r>
      <w:r w:rsidRPr="00660CDA">
        <w:t>without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legal</w:t>
      </w:r>
      <w:r w:rsidR="00BD1F48">
        <w:t xml:space="preserve"> </w:t>
      </w:r>
      <w:r w:rsidRPr="00660CDA">
        <w:t>basis,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serve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army.</w:t>
      </w:r>
      <w:r w:rsidRPr="00BD1F48">
        <w:rPr>
          <w:rStyle w:val="FootnoteReference"/>
        </w:rPr>
        <w:footnoteReference w:id="4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arrested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courtroom.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never</w:t>
      </w:r>
      <w:r w:rsidR="00BD1F48">
        <w:t xml:space="preserve"> </w:t>
      </w:r>
      <w:r w:rsidRPr="00660CDA">
        <w:t>previously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charged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administrative</w:t>
      </w:r>
      <w:r w:rsidR="00BD1F48">
        <w:t xml:space="preserve"> </w:t>
      </w:r>
      <w:r w:rsidRPr="00660CDA">
        <w:t>offence.</w:t>
      </w:r>
    </w:p>
    <w:p w:rsidR="00BC4324" w:rsidRPr="00660CDA" w:rsidRDefault="00BC4324" w:rsidP="00BD1F48">
      <w:pPr>
        <w:pStyle w:val="SingleTxtG"/>
      </w:pPr>
      <w:r w:rsidRPr="00660CDA">
        <w:t>2.3</w:t>
      </w:r>
      <w:r w:rsidRPr="00660CDA">
        <w:tab/>
        <w:t>On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2011,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Regional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dismissed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appeal,</w:t>
      </w:r>
      <w:r w:rsidR="00BD1F48">
        <w:t xml:space="preserve"> </w:t>
      </w:r>
      <w:r w:rsidRPr="00660CDA">
        <w:t>confirming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refused,</w:t>
      </w:r>
      <w:r w:rsidR="00BD1F48">
        <w:t xml:space="preserve"> </w:t>
      </w:r>
      <w:r w:rsidRPr="00660CDA">
        <w:t>without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legal</w:t>
      </w:r>
      <w:r w:rsidR="00BD1F48">
        <w:t xml:space="preserve"> </w:t>
      </w:r>
      <w:r w:rsidRPr="00660CDA">
        <w:t>basis,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Regional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41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Constitution,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should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like</w:t>
      </w:r>
      <w:r w:rsidR="00BD1F48">
        <w:t xml:space="preserve"> </w:t>
      </w:r>
      <w:r w:rsidRPr="00660CDA">
        <w:t>every</w:t>
      </w:r>
      <w:r w:rsidR="00BD1F48">
        <w:t xml:space="preserve"> </w:t>
      </w:r>
      <w:r w:rsidRPr="00660CDA">
        <w:t>man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Turkmenistan.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2.4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alleges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immediately</w:t>
      </w:r>
      <w:r w:rsidR="00BD1F48">
        <w:t xml:space="preserve"> </w:t>
      </w:r>
      <w:r w:rsidRPr="00660CDA">
        <w:t>after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arrest,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detained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69</w:t>
      </w:r>
      <w:r w:rsidR="00BD1F48">
        <w:t xml:space="preserve"> </w:t>
      </w:r>
      <w:r w:rsidRPr="00660CDA">
        <w:t>days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temporary</w:t>
      </w:r>
      <w:r w:rsidR="00BD1F48">
        <w:t xml:space="preserve"> </w:t>
      </w:r>
      <w:r w:rsidRPr="00660CDA">
        <w:t>holding</w:t>
      </w:r>
      <w:r w:rsidR="00BD1F48">
        <w:t xml:space="preserve"> </w:t>
      </w:r>
      <w:r w:rsidRPr="00660CDA">
        <w:t>facility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Dashoguz.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30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beaten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director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facility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21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2011,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kicked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beaten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Chief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Investigative</w:t>
      </w:r>
      <w:r w:rsidR="00BD1F48">
        <w:t xml:space="preserve"> </w:t>
      </w:r>
      <w:r w:rsidRPr="00660CDA">
        <w:t>Department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a</w:t>
      </w:r>
      <w:r w:rsidR="00BD1F48">
        <w:t xml:space="preserve"> “</w:t>
      </w:r>
      <w:r w:rsidRPr="00660CDA">
        <w:t>traitor</w:t>
      </w:r>
      <w:r w:rsidR="00BD1F48">
        <w:t>”</w:t>
      </w:r>
      <w:r w:rsidRPr="00660CDA">
        <w:t>.</w:t>
      </w:r>
      <w:r w:rsidR="00BD1F48">
        <w:t xml:space="preserve"> </w:t>
      </w:r>
      <w:r w:rsidRPr="00660CDA">
        <w:t>Then,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March</w:t>
      </w:r>
      <w:r w:rsidR="00BD1F48">
        <w:t xml:space="preserve"> </w:t>
      </w:r>
      <w:r w:rsidRPr="00660CDA">
        <w:t>2011,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transferred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LBK-12</w:t>
      </w:r>
      <w:r w:rsidR="00BD1F48">
        <w:t xml:space="preserve"> </w:t>
      </w:r>
      <w:r w:rsidRPr="00660CDA">
        <w:t>prison,</w:t>
      </w:r>
      <w:r w:rsidR="00BD1F48">
        <w:t xml:space="preserve"> </w:t>
      </w:r>
      <w:r w:rsidRPr="00660CDA">
        <w:t>located</w:t>
      </w:r>
      <w:r w:rsidR="00BD1F48">
        <w:t xml:space="preserve"> </w:t>
      </w:r>
      <w:r w:rsidRPr="00660CDA">
        <w:t>near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town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Seydi.</w:t>
      </w:r>
      <w:r w:rsidR="00BD1F48">
        <w:t xml:space="preserve"> </w:t>
      </w:r>
      <w:r w:rsidRPr="00660CDA">
        <w:t>Immediately</w:t>
      </w:r>
      <w:r w:rsidR="00BD1F48">
        <w:t xml:space="preserve"> </w:t>
      </w:r>
      <w:r w:rsidRPr="00660CDA">
        <w:t>after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transfer,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put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solitary</w:t>
      </w:r>
      <w:r w:rsidR="00BD1F48">
        <w:t xml:space="preserve"> </w:t>
      </w:r>
      <w:r w:rsidRPr="00660CDA">
        <w:t>confinement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days.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states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although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weather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freezing,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clothes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taken</w:t>
      </w:r>
      <w:r w:rsidR="00BD1F48">
        <w:t xml:space="preserve"> </w:t>
      </w:r>
      <w:r w:rsidRPr="00660CDA">
        <w:t>away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obliged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sleep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bare</w:t>
      </w:r>
      <w:r w:rsidR="00BD1F48">
        <w:t xml:space="preserve"> </w:t>
      </w:r>
      <w:r w:rsidRPr="00660CDA">
        <w:t>concrete</w:t>
      </w:r>
      <w:r w:rsidR="00BD1F48">
        <w:t xml:space="preserve"> </w:t>
      </w:r>
      <w:r w:rsidRPr="00660CDA">
        <w:t>floor.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alleges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beaten</w:t>
      </w:r>
      <w:r w:rsidR="00BD1F48">
        <w:t xml:space="preserve"> </w:t>
      </w:r>
      <w:r w:rsidRPr="00660CDA">
        <w:t>once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Chief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Investigative</w:t>
      </w:r>
      <w:r w:rsidR="00BD1F48">
        <w:t xml:space="preserve"> </w:t>
      </w:r>
      <w:r w:rsidRPr="00660CDA">
        <w:t>Department.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2.5</w:t>
      </w:r>
      <w:r w:rsidRPr="00660CDA">
        <w:tab/>
        <w:t>On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June</w:t>
      </w:r>
      <w:r w:rsidR="00BD1F48">
        <w:t xml:space="preserve"> </w:t>
      </w:r>
      <w:r w:rsidRPr="00660CDA">
        <w:t>2012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released,</w:t>
      </w:r>
      <w:r w:rsidR="00BD1F48">
        <w:t xml:space="preserve"> </w:t>
      </w:r>
      <w:r w:rsidRPr="00660CDA">
        <w:t>after</w:t>
      </w:r>
      <w:r w:rsidR="00BD1F48">
        <w:t xml:space="preserve"> </w:t>
      </w:r>
      <w:r w:rsidRPr="00660CDA">
        <w:t>having</w:t>
      </w:r>
      <w:r w:rsidR="00BD1F48">
        <w:t xml:space="preserve"> </w:t>
      </w:r>
      <w:r w:rsidRPr="00660CDA">
        <w:t>completed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sentence.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requested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report</w:t>
      </w:r>
      <w:r w:rsidR="00BD1F48">
        <w:t xml:space="preserve"> </w:t>
      </w:r>
      <w:r w:rsidRPr="00660CDA">
        <w:t>weekly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police</w:t>
      </w:r>
      <w:r w:rsidR="00BD1F48">
        <w:t xml:space="preserve"> </w:t>
      </w:r>
      <w:r w:rsidRPr="00660CDA">
        <w:t>department.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2012,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attempted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deliver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call-up</w:t>
      </w:r>
      <w:r w:rsidR="00BD1F48">
        <w:t xml:space="preserve"> </w:t>
      </w:r>
      <w:r w:rsidRPr="00660CDA">
        <w:t>letter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mother,</w:t>
      </w:r>
      <w:r w:rsidR="00BD1F48">
        <w:t xml:space="preserve"> </w:t>
      </w:r>
      <w:r w:rsidRPr="00660CDA">
        <w:t>but</w:t>
      </w:r>
      <w:r w:rsidR="00BD1F48">
        <w:t xml:space="preserve"> </w:t>
      </w:r>
      <w:r w:rsidRPr="00660CDA">
        <w:lastRenderedPageBreak/>
        <w:t>she</w:t>
      </w:r>
      <w:r w:rsidR="00BD1F48">
        <w:t xml:space="preserve"> </w:t>
      </w:r>
      <w:r w:rsidRPr="00660CDA">
        <w:t>refused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receive</w:t>
      </w:r>
      <w:r w:rsidR="00BD1F48">
        <w:t xml:space="preserve"> </w:t>
      </w:r>
      <w:r w:rsidRPr="00660CDA">
        <w:t>it.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15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2012,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reported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Commissariat,</w:t>
      </w:r>
      <w:r w:rsidR="00BD1F48">
        <w:t xml:space="preserve"> </w:t>
      </w:r>
      <w:r w:rsidRPr="00660CDA">
        <w:t>underwent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medical</w:t>
      </w:r>
      <w:r w:rsidR="00BD1F48">
        <w:t xml:space="preserve"> </w:t>
      </w:r>
      <w:r w:rsidRPr="00660CDA">
        <w:t>examination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declared</w:t>
      </w:r>
      <w:r w:rsidR="00BD1F48">
        <w:t xml:space="preserve"> </w:t>
      </w:r>
      <w:r w:rsidRPr="00660CDA">
        <w:t>fit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explained</w:t>
      </w:r>
      <w:r w:rsidR="00BD1F48">
        <w:t xml:space="preserve"> </w:t>
      </w:r>
      <w:r w:rsidRPr="00660CDA">
        <w:t>orally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writing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Commissariat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could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8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six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after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released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prison,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24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prison,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City</w:t>
      </w:r>
      <w:r w:rsidR="00BD1F48">
        <w:t xml:space="preserve"> </w:t>
      </w:r>
      <w:r w:rsidRPr="00660CDA">
        <w:t>Court.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arrested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courtroom.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Regional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dismissed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new</w:t>
      </w:r>
      <w:r w:rsidR="00BD1F48">
        <w:t xml:space="preserve"> </w:t>
      </w:r>
      <w:r w:rsidRPr="00660CDA">
        <w:t>appeal.</w:t>
      </w:r>
    </w:p>
    <w:p w:rsidR="00BC4324" w:rsidRPr="00660CDA" w:rsidRDefault="00BC4324" w:rsidP="00BD1F48">
      <w:pPr>
        <w:pStyle w:val="SingleTxtG"/>
      </w:pPr>
      <w:r w:rsidRPr="00660CDA">
        <w:t>2.6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alleges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subjected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torture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ill-treatment</w:t>
      </w:r>
      <w:r w:rsidR="00BD1F48">
        <w:t xml:space="preserve"> </w:t>
      </w:r>
      <w:r w:rsidRPr="00660CDA">
        <w:t>while</w:t>
      </w:r>
      <w:r w:rsidR="00BD1F48">
        <w:t xml:space="preserve"> </w:t>
      </w:r>
      <w:r w:rsidRPr="00660CDA">
        <w:t>detained.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statement</w:t>
      </w:r>
      <w:r w:rsidR="00BD1F48">
        <w:t xml:space="preserve"> </w:t>
      </w:r>
      <w:r w:rsidRPr="00660CDA">
        <w:t>dated</w:t>
      </w:r>
      <w:r w:rsidR="00BD1F48">
        <w:t xml:space="preserve"> </w:t>
      </w:r>
      <w:r w:rsidRPr="00660CDA">
        <w:t>12</w:t>
      </w:r>
      <w:r w:rsidR="00BD1F48">
        <w:t xml:space="preserve"> </w:t>
      </w:r>
      <w:r w:rsidRPr="00660CDA">
        <w:t>February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mother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she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visited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11</w:t>
      </w:r>
      <w:r w:rsidR="00BD1F48">
        <w:t xml:space="preserve"> </w:t>
      </w:r>
      <w:r w:rsidRPr="00660CDA">
        <w:t>February</w:t>
      </w:r>
      <w:r w:rsidR="00BD1F48">
        <w:t xml:space="preserve"> </w:t>
      </w:r>
      <w:r w:rsidRPr="00660CDA">
        <w:t>2013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DZ-D/7</w:t>
      </w:r>
      <w:r w:rsidR="00BD1F48">
        <w:t xml:space="preserve"> </w:t>
      </w:r>
      <w:r w:rsidRPr="00660CDA">
        <w:t>temporary</w:t>
      </w:r>
      <w:r w:rsidR="00BD1F48">
        <w:t xml:space="preserve"> </w:t>
      </w:r>
      <w:r w:rsidRPr="00660CDA">
        <w:t>detention</w:t>
      </w:r>
      <w:r w:rsidR="00BD1F48">
        <w:t xml:space="preserve"> </w:t>
      </w:r>
      <w:r w:rsidRPr="00660CDA">
        <w:t>centre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informed</w:t>
      </w:r>
      <w:r w:rsidR="00BD1F48">
        <w:t xml:space="preserve"> </w:t>
      </w:r>
      <w:r w:rsidRPr="00660CDA">
        <w:t>her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tortured,</w:t>
      </w:r>
      <w:r w:rsidR="00BD1F48">
        <w:t xml:space="preserve"> </w:t>
      </w:r>
      <w:r w:rsidRPr="00660CDA">
        <w:t>threatened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questioned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city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sixth</w:t>
      </w:r>
      <w:r w:rsidR="00BD1F48">
        <w:t xml:space="preserve"> </w:t>
      </w:r>
      <w:r w:rsidRPr="00660CDA">
        <w:t>police</w:t>
      </w:r>
      <w:r w:rsidR="00BD1F48">
        <w:t xml:space="preserve"> </w:t>
      </w:r>
      <w:r w:rsidRPr="00660CDA">
        <w:t>department.</w:t>
      </w:r>
      <w:r w:rsidR="00BD1F48">
        <w:t xml:space="preserve"> </w:t>
      </w:r>
      <w:r w:rsidRPr="00660CDA">
        <w:t>She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mentioned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health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deteriorated.</w:t>
      </w:r>
      <w:r w:rsidRPr="00BD1F48">
        <w:rPr>
          <w:rStyle w:val="FootnoteReference"/>
        </w:rPr>
        <w:footnoteReference w:id="5"/>
      </w:r>
      <w:r w:rsidR="00BD1F48">
        <w:t xml:space="preserve"> </w:t>
      </w:r>
      <w:r w:rsidRPr="00660CDA">
        <w:t>Subsequently,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transferred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LB-K11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Seydi.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2.7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twice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convictions</w:t>
      </w:r>
      <w:r w:rsidR="00BD1F48">
        <w:t xml:space="preserve"> </w:t>
      </w:r>
      <w:r w:rsidRPr="00660CDA">
        <w:t>amounts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regard,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Special</w:t>
      </w:r>
      <w:r w:rsidR="00BD1F48">
        <w:t xml:space="preserve"> </w:t>
      </w:r>
      <w:r w:rsidRPr="00660CDA">
        <w:t>Rapporteur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freedom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religion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belief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urged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revise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legislation,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allows</w:t>
      </w:r>
      <w:r w:rsidR="00BD1F48">
        <w:t xml:space="preserve"> </w:t>
      </w:r>
      <w:r w:rsidRPr="00660CDA">
        <w:t>defendants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twice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offence,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failed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act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these</w:t>
      </w:r>
      <w:r w:rsidR="00BD1F48">
        <w:t xml:space="preserve"> </w:t>
      </w:r>
      <w:r w:rsidRPr="00660CDA">
        <w:t>recommendations.</w:t>
      </w:r>
      <w:r w:rsidRPr="00BD1F48">
        <w:rPr>
          <w:rStyle w:val="FootnoteReference"/>
        </w:rPr>
        <w:footnoteReference w:id="6"/>
      </w:r>
    </w:p>
    <w:p w:rsidR="00BC4324" w:rsidRPr="00660CDA" w:rsidRDefault="00BC4324" w:rsidP="00BD1F48">
      <w:pPr>
        <w:pStyle w:val="SingleTxtG"/>
      </w:pPr>
      <w:r w:rsidRPr="00660CDA">
        <w:t>2.8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submits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judicial</w:t>
      </w:r>
      <w:r w:rsidR="00BD1F48">
        <w:t xml:space="preserve"> </w:t>
      </w:r>
      <w:r w:rsidRPr="00660CDA">
        <w:t>authorities,</w:t>
      </w:r>
      <w:r w:rsidR="00BD1F48">
        <w:t xml:space="preserve"> </w:t>
      </w:r>
      <w:r w:rsidRPr="00660CDA">
        <w:t>including</w:t>
      </w:r>
      <w:r w:rsidR="00BD1F48">
        <w:t xml:space="preserve"> </w:t>
      </w:r>
      <w:r w:rsidRPr="00660CDA">
        <w:t>trial</w:t>
      </w:r>
      <w:r w:rsidR="00BD1F48">
        <w:t xml:space="preserve"> </w:t>
      </w:r>
      <w:r w:rsidRPr="00660CDA">
        <w:t>courts,</w:t>
      </w:r>
      <w:r w:rsidR="00BD1F48">
        <w:t xml:space="preserve"> </w:t>
      </w:r>
      <w:r w:rsidRPr="00660CDA">
        <w:t>appeal</w:t>
      </w:r>
      <w:r w:rsidR="00BD1F48">
        <w:t xml:space="preserve"> </w:t>
      </w:r>
      <w:r w:rsidRPr="00660CDA">
        <w:t>courts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Supreme</w:t>
      </w:r>
      <w:r w:rsidR="00BD1F48">
        <w:t xml:space="preserve"> </w:t>
      </w:r>
      <w:r w:rsidRPr="00660CDA">
        <w:t>Court,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never</w:t>
      </w:r>
      <w:r w:rsidR="00BD1F48">
        <w:t xml:space="preserve"> </w:t>
      </w:r>
      <w:r w:rsidRPr="00660CDA">
        <w:t>ruled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favour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objectors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therefore</w:t>
      </w:r>
      <w:r w:rsidR="00BD1F48">
        <w:t xml:space="preserve"> </w:t>
      </w:r>
      <w:r w:rsidRPr="00660CDA">
        <w:t>argues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exhausted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regards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Pr="00BD1F48">
        <w:rPr>
          <w:rStyle w:val="FootnoteReference"/>
        </w:rPr>
        <w:footnoteReference w:id="7"/>
      </w:r>
      <w:r w:rsidR="00BD1F48">
        <w:t xml:space="preserve"> </w:t>
      </w:r>
      <w:r w:rsidRPr="00660CDA">
        <w:t>Regarding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states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there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effective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him.</w:t>
      </w:r>
      <w:r w:rsidR="00BD1F48">
        <w:t xml:space="preserve"> 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The</w:t>
      </w:r>
      <w:r w:rsidR="00BD1F48">
        <w:t xml:space="preserve"> </w:t>
      </w:r>
      <w:r w:rsidRPr="00660CDA">
        <w:t>complaint</w:t>
      </w:r>
    </w:p>
    <w:p w:rsidR="00BC4324" w:rsidRPr="00660CDA" w:rsidRDefault="00BC4324" w:rsidP="00BD1F48">
      <w:pPr>
        <w:pStyle w:val="SingleTxtG"/>
      </w:pPr>
      <w:r w:rsidRPr="00660CDA">
        <w:t>3.1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account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itself</w:t>
      </w:r>
      <w:r w:rsidR="00BD1F48">
        <w:t xml:space="preserve"> </w:t>
      </w:r>
      <w:r w:rsidRPr="00660CDA">
        <w:t>constitutes</w:t>
      </w:r>
      <w:r w:rsidR="00BD1F48">
        <w:t xml:space="preserve"> </w:t>
      </w:r>
      <w:r w:rsidRPr="00660CDA">
        <w:t>inhuman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degrading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within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meaning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3.2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account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received</w:t>
      </w:r>
      <w:r w:rsidR="00BD1F48">
        <w:t xml:space="preserve"> </w:t>
      </w:r>
      <w:r w:rsidRPr="00660CDA">
        <w:t>while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detention,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amounted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torture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ill-treatment,</w:t>
      </w:r>
      <w:r w:rsidRPr="00BD1F48">
        <w:rPr>
          <w:rStyle w:val="FootnoteReference"/>
        </w:rPr>
        <w:footnoteReference w:id="8"/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account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conditions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LBK-12</w:t>
      </w:r>
      <w:r w:rsidR="00BD1F48">
        <w:t xml:space="preserve"> </w:t>
      </w:r>
      <w:r w:rsidRPr="00660CDA">
        <w:t>prison.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regard,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refers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concluding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against</w:t>
      </w:r>
      <w:r w:rsidR="00BD1F48">
        <w:t xml:space="preserve"> </w:t>
      </w:r>
      <w:r w:rsidRPr="00660CDA">
        <w:t>Torture,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2011,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expressed</w:t>
      </w:r>
      <w:r w:rsidR="00BD1F48">
        <w:t xml:space="preserve"> </w:t>
      </w:r>
      <w:r w:rsidRPr="00660CDA">
        <w:t>concern</w:t>
      </w:r>
      <w:r w:rsidR="00BD1F48">
        <w:t xml:space="preserve"> </w:t>
      </w:r>
      <w:r w:rsidRPr="00660CDA">
        <w:t>regarding</w:t>
      </w:r>
      <w:r w:rsidR="00BD1F48">
        <w:t xml:space="preserve"> </w:t>
      </w:r>
      <w:r w:rsidRPr="00660CDA">
        <w:t>ongoing</w:t>
      </w:r>
      <w:r w:rsidR="00BD1F48">
        <w:t xml:space="preserve"> </w:t>
      </w:r>
      <w:r w:rsidRPr="00660CDA">
        <w:t>physical</w:t>
      </w:r>
      <w:r w:rsidR="00BD1F48">
        <w:t xml:space="preserve"> </w:t>
      </w:r>
      <w:r w:rsidRPr="00660CDA">
        <w:t>abuse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psychological</w:t>
      </w:r>
      <w:r w:rsidR="00BD1F48">
        <w:t xml:space="preserve"> </w:t>
      </w:r>
      <w:r w:rsidRPr="00660CDA">
        <w:t>pressure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staff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Turkmenistan,</w:t>
      </w:r>
      <w:r w:rsidR="00BD1F48">
        <w:t xml:space="preserve"> </w:t>
      </w:r>
      <w:r w:rsidRPr="00660CDA">
        <w:t>including</w:t>
      </w:r>
      <w:r w:rsidR="00BD1F48">
        <w:t xml:space="preserve"> </w:t>
      </w:r>
      <w:r w:rsidRPr="00660CDA">
        <w:t>collective</w:t>
      </w:r>
      <w:r w:rsidR="00BD1F48">
        <w:t xml:space="preserve"> </w:t>
      </w:r>
      <w:r w:rsidRPr="00660CDA">
        <w:t>punishment,</w:t>
      </w:r>
      <w:r w:rsidR="00BD1F48">
        <w:t xml:space="preserve"> </w:t>
      </w:r>
      <w:r w:rsidRPr="00660CDA">
        <w:t>ill-treatment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“</w:t>
      </w:r>
      <w:r w:rsidRPr="00660CDA">
        <w:t>preventive</w:t>
      </w:r>
      <w:r w:rsidR="00BD1F48">
        <w:t xml:space="preserve">” </w:t>
      </w:r>
      <w:r w:rsidRPr="00660CDA">
        <w:t>measure,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use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solitary</w:t>
      </w:r>
      <w:r w:rsidR="00BD1F48">
        <w:t xml:space="preserve"> </w:t>
      </w:r>
      <w:r w:rsidRPr="00660CDA">
        <w:t>confinement,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sexual</w:t>
      </w:r>
      <w:r w:rsidR="00BD1F48">
        <w:t xml:space="preserve"> </w:t>
      </w:r>
      <w:r w:rsidRPr="00660CDA">
        <w:t>violence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rape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inmates.</w:t>
      </w:r>
      <w:r w:rsidRPr="00BD1F48">
        <w:rPr>
          <w:rStyle w:val="FootnoteReference"/>
        </w:rPr>
        <w:footnoteReference w:id="9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refers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February</w:t>
      </w:r>
      <w:r w:rsidR="00BD1F48">
        <w:t xml:space="preserve"> </w:t>
      </w:r>
      <w:r w:rsidRPr="00660CDA">
        <w:t>2010</w:t>
      </w:r>
      <w:r w:rsidR="00BD1F48">
        <w:t xml:space="preserve"> </w:t>
      </w:r>
      <w:r w:rsidRPr="00660CDA">
        <w:t>report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country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Independent</w:t>
      </w:r>
      <w:r w:rsidR="00BD1F48">
        <w:t xml:space="preserve"> </w:t>
      </w:r>
      <w:r w:rsidRPr="00660CDA">
        <w:t>Lawyers</w:t>
      </w:r>
      <w:r w:rsidR="00BD1F48">
        <w:t xml:space="preserve"> </w:t>
      </w:r>
      <w:r w:rsidRPr="00660CDA">
        <w:t>Association,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noted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LBK-12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situated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desert</w:t>
      </w:r>
      <w:r w:rsidR="00BD1F48">
        <w:t xml:space="preserve"> </w:t>
      </w:r>
      <w:r w:rsidRPr="00660CDA">
        <w:t>where</w:t>
      </w:r>
      <w:r w:rsidR="00BD1F48">
        <w:t xml:space="preserve"> </w:t>
      </w:r>
      <w:r w:rsidRPr="00660CDA">
        <w:t>temperatures</w:t>
      </w:r>
      <w:r w:rsidR="00BD1F48">
        <w:t xml:space="preserve"> </w:t>
      </w:r>
      <w:r w:rsidRPr="00660CDA">
        <w:t>fall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-20°C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winter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can</w:t>
      </w:r>
      <w:r w:rsidR="00BD1F48">
        <w:t xml:space="preserve"> </w:t>
      </w:r>
      <w:r w:rsidRPr="00660CDA">
        <w:t>rise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50°C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summer</w:t>
      </w:r>
      <w:r w:rsidR="00BD1F48">
        <w:t xml:space="preserve"> </w:t>
      </w:r>
      <w:r w:rsidRPr="00660CDA">
        <w:t>heatwaves.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overcrowded,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prisoners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tuberculosis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skin</w:t>
      </w:r>
      <w:r w:rsidR="00BD1F48">
        <w:t xml:space="preserve"> </w:t>
      </w:r>
      <w:r w:rsidRPr="00660CDA">
        <w:t>diseases</w:t>
      </w:r>
      <w:r w:rsidR="00BD1F48">
        <w:t xml:space="preserve"> </w:t>
      </w:r>
      <w:r w:rsidRPr="00660CDA">
        <w:t>are</w:t>
      </w:r>
      <w:r w:rsidR="00BD1F48">
        <w:t xml:space="preserve"> </w:t>
      </w:r>
      <w:r w:rsidRPr="00660CDA">
        <w:t>kept</w:t>
      </w:r>
      <w:r w:rsidR="00BD1F48">
        <w:t xml:space="preserve"> </w:t>
      </w:r>
      <w:r w:rsidRPr="00660CDA">
        <w:t>together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healthy</w:t>
      </w:r>
      <w:r w:rsidR="00BD1F48">
        <w:t xml:space="preserve"> </w:t>
      </w:r>
      <w:r w:rsidRPr="00660CDA">
        <w:t>inmates,</w:t>
      </w:r>
      <w:r w:rsidR="00BD1F48">
        <w:t xml:space="preserve"> </w:t>
      </w:r>
      <w:r w:rsidRPr="00660CDA">
        <w:t>putting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at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high</w:t>
      </w:r>
      <w:r w:rsidR="00BD1F48">
        <w:t xml:space="preserve"> </w:t>
      </w:r>
      <w:r w:rsidRPr="00660CDA">
        <w:t>risk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contracting</w:t>
      </w:r>
      <w:r w:rsidR="00BD1F48">
        <w:t xml:space="preserve"> </w:t>
      </w:r>
      <w:r w:rsidRPr="00660CDA">
        <w:t>tuberculosis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other</w:t>
      </w:r>
      <w:r w:rsidR="00BD1F48">
        <w:t xml:space="preserve"> </w:t>
      </w:r>
      <w:r w:rsidRPr="00660CDA">
        <w:t>infections.</w:t>
      </w:r>
      <w:r w:rsidR="00BD1F48">
        <w:t xml:space="preserve"> </w:t>
      </w:r>
      <w:r w:rsidRPr="00660CDA">
        <w:t>Although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does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invoke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specifically,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appears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raise</w:t>
      </w:r>
      <w:r w:rsidR="00BD1F48">
        <w:t xml:space="preserve"> </w:t>
      </w:r>
      <w:r w:rsidRPr="00660CDA">
        <w:t>issues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article.</w:t>
      </w:r>
    </w:p>
    <w:p w:rsidR="00BC4324" w:rsidRPr="00660CDA" w:rsidRDefault="00BC4324" w:rsidP="00BD1F48">
      <w:pPr>
        <w:pStyle w:val="SingleTxtG"/>
      </w:pPr>
      <w:r w:rsidRPr="00660CDA">
        <w:t>3.3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further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repeated</w:t>
      </w:r>
      <w:r w:rsidR="00BD1F48">
        <w:t xml:space="preserve"> </w:t>
      </w:r>
      <w:r w:rsidRPr="00660CDA">
        <w:t>prosecutions,</w:t>
      </w:r>
      <w:r w:rsidR="00BD1F48">
        <w:t xml:space="preserve"> </w:t>
      </w:r>
      <w:r w:rsidRPr="00660CDA">
        <w:t>convictions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Pr="00BD1F48">
        <w:rPr>
          <w:rStyle w:val="FootnoteReference"/>
        </w:rPr>
        <w:footnoteReference w:id="10"/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repeatedly</w:t>
      </w:r>
      <w:r w:rsidR="00BD1F48">
        <w:t xml:space="preserve"> </w:t>
      </w:r>
      <w:r w:rsidRPr="00660CDA">
        <w:t>informed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Turkmen</w:t>
      </w:r>
      <w:r w:rsidR="00BD1F48">
        <w:t xml:space="preserve"> </w:t>
      </w:r>
      <w:r w:rsidRPr="00660CDA">
        <w:t>authorities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willing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fulfil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civic</w:t>
      </w:r>
      <w:r w:rsidR="00BD1F48">
        <w:t xml:space="preserve"> </w:t>
      </w:r>
      <w:r w:rsidRPr="00660CDA">
        <w:t>duties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performing</w:t>
      </w:r>
      <w:r w:rsidR="00BD1F48">
        <w:t xml:space="preserve"> </w:t>
      </w:r>
      <w:r w:rsidRPr="00660CDA">
        <w:t>genuine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but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legislation</w:t>
      </w:r>
      <w:r w:rsidR="00BD1F48">
        <w:t xml:space="preserve"> </w:t>
      </w:r>
      <w:r w:rsidRPr="00660CDA">
        <w:t>does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alternative.</w:t>
      </w:r>
    </w:p>
    <w:p w:rsidR="00BC4324" w:rsidRPr="00660CDA" w:rsidRDefault="00BC4324" w:rsidP="00BD1F48">
      <w:pPr>
        <w:pStyle w:val="SingleTxtG"/>
      </w:pPr>
      <w:r w:rsidRPr="00660CDA">
        <w:t>3.4</w:t>
      </w:r>
      <w:r w:rsidRPr="00660CDA">
        <w:tab/>
        <w:t>Furthermore,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owing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led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twice.</w:t>
      </w:r>
      <w:r w:rsidRPr="00BD1F48">
        <w:rPr>
          <w:rStyle w:val="FootnoteReference"/>
        </w:rPr>
        <w:footnoteReference w:id="11"/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3.5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requests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direct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party:</w:t>
      </w:r>
      <w:r w:rsidR="00BD1F48">
        <w:t xml:space="preserve"> </w:t>
      </w:r>
      <w:r w:rsidRPr="00660CDA">
        <w:t>(a)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acquit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charges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expunge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record;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(b)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appropriate</w:t>
      </w:r>
      <w:r w:rsidR="00BD1F48">
        <w:t xml:space="preserve"> </w:t>
      </w:r>
      <w:r w:rsidRPr="00660CDA">
        <w:t>compensation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non-pecuniary</w:t>
      </w:r>
      <w:r w:rsidR="00BD1F48">
        <w:t xml:space="preserve"> </w:t>
      </w:r>
      <w:r w:rsidRPr="00660CDA">
        <w:t>damage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suffered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result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convictions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imprisonment.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admissibility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merits</w:t>
      </w:r>
    </w:p>
    <w:p w:rsidR="00BC4324" w:rsidRPr="00660CDA" w:rsidRDefault="00BC4324" w:rsidP="00BD1F48">
      <w:pPr>
        <w:pStyle w:val="SingleTxtG"/>
      </w:pPr>
      <w:r w:rsidRPr="00660CDA">
        <w:t>4.1</w:t>
      </w:r>
      <w:r w:rsidRPr="00660CDA">
        <w:tab/>
        <w:t>On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August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submitted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admissibility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merits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refused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second</w:t>
      </w:r>
      <w:r w:rsidR="00BD1F48">
        <w:t xml:space="preserve"> </w:t>
      </w:r>
      <w:r w:rsidRPr="00660CDA">
        <w:t>time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2012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Consequently,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8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24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informs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never</w:t>
      </w:r>
      <w:r w:rsidR="00BD1F48">
        <w:t xml:space="preserve"> </w:t>
      </w:r>
      <w:r w:rsidRPr="00660CDA">
        <w:t>requested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medical</w:t>
      </w:r>
      <w:r w:rsidR="00BD1F48">
        <w:t xml:space="preserve"> </w:t>
      </w:r>
      <w:r w:rsidRPr="00660CDA">
        <w:t>assistance</w:t>
      </w:r>
      <w:r w:rsidR="00BD1F48">
        <w:t xml:space="preserve"> </w:t>
      </w:r>
      <w:r w:rsidRPr="00660CDA">
        <w:t>during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detention,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according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national</w:t>
      </w:r>
      <w:r w:rsidR="00BD1F48">
        <w:t xml:space="preserve"> </w:t>
      </w:r>
      <w:r w:rsidRPr="00660CDA">
        <w:t>legislation,</w:t>
      </w:r>
      <w:r w:rsidR="00BD1F48">
        <w:t xml:space="preserve"> </w:t>
      </w:r>
      <w:r w:rsidRPr="00660CDA">
        <w:t>particularly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investigation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offences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carried</w:t>
      </w:r>
      <w:r w:rsidR="00BD1F48">
        <w:t xml:space="preserve"> </w:t>
      </w:r>
      <w:r w:rsidRPr="00660CDA">
        <w:t>out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prosecutor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office.</w:t>
      </w:r>
      <w:r w:rsidR="00BD1F48">
        <w:t xml:space="preserve"> </w:t>
      </w:r>
      <w:r w:rsidRPr="00660CDA">
        <w:t>Therefore,</w:t>
      </w:r>
      <w:r w:rsidR="00BD1F48">
        <w:t xml:space="preserve"> </w:t>
      </w:r>
      <w:r w:rsidRPr="00660CDA">
        <w:t>contrary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assertions,</w:t>
      </w:r>
      <w:r w:rsidR="00BD1F48">
        <w:t xml:space="preserve"> </w:t>
      </w:r>
      <w:r w:rsidRPr="00660CDA">
        <w:t>police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reason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interrogate</w:t>
      </w:r>
      <w:r w:rsidR="00BD1F48">
        <w:t xml:space="preserve"> </w:t>
      </w:r>
      <w:r w:rsidRPr="00660CDA">
        <w:t>him.</w:t>
      </w:r>
    </w:p>
    <w:p w:rsidR="00BC4324" w:rsidRPr="00660CDA" w:rsidRDefault="00BC4324" w:rsidP="00BD1F48">
      <w:pPr>
        <w:pStyle w:val="SingleTxtG"/>
      </w:pPr>
      <w:r w:rsidRPr="00660CDA">
        <w:t>4.2</w:t>
      </w:r>
      <w:r w:rsidRPr="00660CDA">
        <w:tab/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pursuant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41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Constitution,</w:t>
      </w:r>
      <w:r w:rsidR="00BD1F48">
        <w:t xml:space="preserve"> “</w:t>
      </w:r>
      <w:r w:rsidRPr="00660CDA">
        <w:t>protection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sacred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every</w:t>
      </w:r>
      <w:r w:rsidR="00BD1F48">
        <w:t xml:space="preserve"> </w:t>
      </w:r>
      <w:r w:rsidRPr="00660CDA">
        <w:t>citizen</w:t>
      </w:r>
      <w:r w:rsidR="00BD1F48">
        <w:t xml:space="preserve">” </w:t>
      </w:r>
      <w:r w:rsidRPr="00660CDA">
        <w:t>and</w:t>
      </w:r>
      <w:r w:rsidR="00BD1F48">
        <w:t xml:space="preserve"> </w:t>
      </w:r>
      <w:r w:rsidRPr="00660CDA">
        <w:t>general</w:t>
      </w:r>
      <w:r w:rsidR="00BD1F48">
        <w:t xml:space="preserve"> </w:t>
      </w:r>
      <w:r w:rsidRPr="00660CDA">
        <w:t>conscription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male</w:t>
      </w:r>
      <w:r w:rsidR="00BD1F48">
        <w:t xml:space="preserve"> </w:t>
      </w:r>
      <w:r w:rsidRPr="00660CDA">
        <w:t>citizens.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addition,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meet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criteria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persons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exempted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Act.</w:t>
      </w:r>
      <w:r w:rsidR="00BD1F48">
        <w:t xml:space="preserve"> </w:t>
      </w:r>
      <w:r w:rsidRPr="00660CDA">
        <w:t>Therefore,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courts</w:t>
      </w:r>
      <w:r w:rsidR="00BD1F48">
        <w:t xml:space="preserve">’ </w:t>
      </w:r>
      <w:r w:rsidRPr="00660CDA">
        <w:t>decisions</w:t>
      </w:r>
      <w:r w:rsidR="00BD1F48">
        <w:t xml:space="preserve"> </w:t>
      </w:r>
      <w:r w:rsidRPr="00660CDA">
        <w:t>fully</w:t>
      </w:r>
      <w:r w:rsidR="00BD1F48">
        <w:t xml:space="preserve"> </w:t>
      </w:r>
      <w:r w:rsidRPr="00660CDA">
        <w:t>complied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legislation.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comments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observations</w:t>
      </w:r>
    </w:p>
    <w:p w:rsidR="00BC4324" w:rsidRPr="00660CDA" w:rsidRDefault="00BC4324" w:rsidP="00BD1F48">
      <w:pPr>
        <w:pStyle w:val="SingleTxtG"/>
      </w:pPr>
      <w:r w:rsidRPr="00660CDA">
        <w:t>5.1</w:t>
      </w:r>
      <w:r w:rsidRPr="00660CDA">
        <w:tab/>
        <w:t>On</w:t>
      </w:r>
      <w:r w:rsidR="00BD1F48">
        <w:t xml:space="preserve"> </w:t>
      </w:r>
      <w:r w:rsidRPr="00660CDA">
        <w:t>15</w:t>
      </w:r>
      <w:r w:rsidR="00BD1F48">
        <w:t xml:space="preserve"> </w:t>
      </w:r>
      <w:r w:rsidRPr="00660CDA">
        <w:t>October</w:t>
      </w:r>
      <w:r w:rsidR="00BD1F48">
        <w:t xml:space="preserve"> </w:t>
      </w:r>
      <w:r w:rsidRPr="00660CDA">
        <w:t>2013,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submitted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comments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observations.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does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disagree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facts</w:t>
      </w:r>
      <w:r w:rsidR="00BD1F48">
        <w:t xml:space="preserve"> </w:t>
      </w:r>
      <w:r w:rsidRPr="00660CDA">
        <w:t>set</w:t>
      </w:r>
      <w:r w:rsidR="00BD1F48">
        <w:t xml:space="preserve"> </w:t>
      </w:r>
      <w:r w:rsidRPr="00660CDA">
        <w:t>out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addition,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considers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failed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evidence</w:t>
      </w:r>
      <w:r w:rsidR="00BD1F48">
        <w:t xml:space="preserve"> </w:t>
      </w:r>
      <w:r w:rsidRPr="00660CDA">
        <w:t>rebutting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claim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subjected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inhuman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degrading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contrary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while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detention,</w:t>
      </w:r>
      <w:r w:rsidRPr="00BD1F48">
        <w:rPr>
          <w:rStyle w:val="FootnoteReference"/>
        </w:rPr>
        <w:footnoteReference w:id="12"/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does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response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detailed</w:t>
      </w:r>
      <w:r w:rsidR="00BD1F48">
        <w:t xml:space="preserve"> </w:t>
      </w:r>
      <w:r w:rsidRPr="00660CDA">
        <w:t>allegations</w:t>
      </w:r>
      <w:r w:rsidR="00BD1F48">
        <w:t xml:space="preserve"> </w:t>
      </w:r>
      <w:r w:rsidRPr="00660CDA">
        <w:t>regarding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inhuman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degrading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suffered.</w:t>
      </w:r>
      <w:r w:rsidRPr="00BD1F48">
        <w:rPr>
          <w:rStyle w:val="FootnoteReference"/>
        </w:rPr>
        <w:footnoteReference w:id="13"/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5.2</w:t>
      </w:r>
      <w:r w:rsidRPr="00660CDA">
        <w:tab/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concludes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repeated</w:t>
      </w:r>
      <w:r w:rsidR="00BD1F48">
        <w:t xml:space="preserve"> </w:t>
      </w:r>
      <w:r w:rsidRPr="00660CDA">
        <w:t>prosecution,</w:t>
      </w:r>
      <w:r w:rsidR="00BD1F48">
        <w:t xml:space="preserve"> </w:t>
      </w:r>
      <w:r w:rsidRPr="00660CDA">
        <w:t>conviction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7,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reiterates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request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party.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Additional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</w:p>
    <w:p w:rsidR="00BC4324" w:rsidRPr="00660CDA" w:rsidRDefault="00BC4324" w:rsidP="00BD1F48">
      <w:pPr>
        <w:pStyle w:val="SingleTxtG"/>
      </w:pPr>
      <w:r w:rsidRPr="00660CDA">
        <w:t>6.1</w:t>
      </w:r>
      <w:r w:rsidRPr="00660CDA">
        <w:tab/>
        <w:t>On</w:t>
      </w:r>
      <w:r w:rsidR="00BD1F48">
        <w:t xml:space="preserve"> </w:t>
      </w:r>
      <w:r w:rsidRPr="00660CDA">
        <w:t>23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2013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17</w:t>
      </w:r>
      <w:r w:rsidR="00BD1F48">
        <w:t xml:space="preserve"> </w:t>
      </w:r>
      <w:r w:rsidRPr="00660CDA">
        <w:t>March</w:t>
      </w:r>
      <w:r w:rsidR="00BD1F48">
        <w:t xml:space="preserve"> </w:t>
      </w:r>
      <w:r w:rsidRPr="00660CDA">
        <w:t>2014,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reiterated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regarding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admissibility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merits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communication.</w:t>
      </w:r>
    </w:p>
    <w:p w:rsidR="00BC4324" w:rsidRPr="00660CDA" w:rsidRDefault="00BC4324" w:rsidP="00BD1F48">
      <w:pPr>
        <w:pStyle w:val="SingleTxtG"/>
      </w:pPr>
      <w:r w:rsidRPr="00660CDA">
        <w:t>6.2</w:t>
      </w:r>
      <w:r w:rsidRPr="00660CDA">
        <w:tab/>
        <w:t>In</w:t>
      </w:r>
      <w:r w:rsidR="00BD1F48">
        <w:t xml:space="preserve"> </w:t>
      </w:r>
      <w:r w:rsidRPr="00660CDA">
        <w:t>addition,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17</w:t>
      </w:r>
      <w:r w:rsidR="00BD1F48">
        <w:t xml:space="preserve"> </w:t>
      </w:r>
      <w:r w:rsidRPr="00660CDA">
        <w:t>March</w:t>
      </w:r>
      <w:r w:rsidR="00BD1F48">
        <w:t xml:space="preserve"> </w:t>
      </w:r>
      <w:r w:rsidRPr="00660CDA">
        <w:t>2014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case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carefully</w:t>
      </w:r>
      <w:r w:rsidR="00BD1F48">
        <w:t xml:space="preserve"> </w:t>
      </w:r>
      <w:r w:rsidRPr="00660CDA">
        <w:t>considered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relevant</w:t>
      </w:r>
      <w:r w:rsidR="00BD1F48">
        <w:t xml:space="preserve"> </w:t>
      </w:r>
      <w:r w:rsidRPr="00660CDA">
        <w:t>law</w:t>
      </w:r>
      <w:r w:rsidR="00BD1F48">
        <w:t xml:space="preserve"> </w:t>
      </w:r>
      <w:r w:rsidRPr="00660CDA">
        <w:t>enforcement</w:t>
      </w:r>
      <w:r w:rsidR="00BD1F48">
        <w:t xml:space="preserve"> </w:t>
      </w:r>
      <w:r w:rsidRPr="00660CDA">
        <w:t>bodies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reason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found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appeal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decision,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committed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act</w:t>
      </w:r>
      <w:r w:rsidR="00BD1F48">
        <w:t xml:space="preserve"> </w:t>
      </w:r>
      <w:r w:rsidRPr="00660CDA">
        <w:t>punishable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Code.</w:t>
      </w:r>
      <w:r w:rsidR="00BD1F48">
        <w:t xml:space="preserve"> 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Additional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</w:p>
    <w:p w:rsidR="00BC4324" w:rsidRPr="00660CDA" w:rsidRDefault="00BC4324" w:rsidP="00BD1F48">
      <w:pPr>
        <w:pStyle w:val="SingleTxtG"/>
      </w:pPr>
      <w:r w:rsidRPr="00660CDA">
        <w:t>7.1</w:t>
      </w:r>
      <w:r w:rsidRPr="00660CDA">
        <w:tab/>
        <w:t>On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2014,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reiterated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contested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facts</w:t>
      </w:r>
      <w:r w:rsidR="00BD1F48">
        <w:t xml:space="preserve"> </w:t>
      </w:r>
      <w:r w:rsidRPr="00660CDA">
        <w:t>set</w:t>
      </w:r>
      <w:r w:rsidR="00BD1F48">
        <w:t xml:space="preserve"> </w:t>
      </w:r>
      <w:r w:rsidRPr="00660CDA">
        <w:t>out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communication.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only</w:t>
      </w:r>
      <w:r w:rsidR="00BD1F48">
        <w:t xml:space="preserve"> </w:t>
      </w:r>
      <w:r w:rsidRPr="00660CDA">
        <w:t>attempted</w:t>
      </w:r>
      <w:r w:rsidR="00BD1F48">
        <w:t xml:space="preserve"> </w:t>
      </w:r>
      <w:r w:rsidRPr="00660CDA">
        <w:t>justification</w:t>
      </w:r>
      <w:r w:rsidR="00BD1F48">
        <w:t xml:space="preserve"> </w:t>
      </w:r>
      <w:r w:rsidRPr="00660CDA">
        <w:t>raised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assertion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imprisoned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objector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because</w:t>
      </w:r>
      <w:r w:rsidR="00BD1F48">
        <w:t xml:space="preserve"> </w:t>
      </w:r>
      <w:r w:rsidRPr="00660CDA">
        <w:t>he</w:t>
      </w:r>
      <w:r w:rsidR="00BD1F48">
        <w:t xml:space="preserve"> “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qualify</w:t>
      </w:r>
      <w:r w:rsidR="00BD1F48">
        <w:t xml:space="preserve">” </w:t>
      </w:r>
      <w:r w:rsidRPr="00660CDA">
        <w:t>for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exemption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Act.</w:t>
      </w:r>
      <w:r w:rsidR="00BD1F48">
        <w:t xml:space="preserve"> </w:t>
      </w:r>
      <w:r w:rsidRPr="00660CDA">
        <w:t>According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submission</w:t>
      </w:r>
      <w:r w:rsidR="00BD1F48">
        <w:t xml:space="preserve"> </w:t>
      </w:r>
      <w:r w:rsidRPr="00660CDA">
        <w:t>shows</w:t>
      </w:r>
      <w:r w:rsidR="00BD1F48">
        <w:t xml:space="preserve"> </w:t>
      </w:r>
      <w:r w:rsidRPr="00660CDA">
        <w:t>total</w:t>
      </w:r>
      <w:r w:rsidR="00BD1F48">
        <w:t xml:space="preserve"> </w:t>
      </w:r>
      <w:r w:rsidRPr="00660CDA">
        <w:t>disregard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commitments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jurisprudence,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uphold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Furthermore,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contest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allegations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suffered</w:t>
      </w:r>
      <w:r w:rsidR="00BD1F48">
        <w:t xml:space="preserve"> </w:t>
      </w:r>
      <w:r w:rsidRPr="00660CDA">
        <w:t>—</w:t>
      </w:r>
      <w:r w:rsidR="00BD1F48">
        <w:t xml:space="preserve"> </w:t>
      </w:r>
      <w:r w:rsidRPr="00660CDA">
        <w:t>contrary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—</w:t>
      </w:r>
      <w:r w:rsidR="00BD1F48">
        <w:t xml:space="preserve"> </w:t>
      </w:r>
      <w:r w:rsidRPr="00660CDA">
        <w:t>inhuman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degrading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hands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law</w:t>
      </w:r>
      <w:r w:rsidR="00BD1F48">
        <w:t xml:space="preserve"> </w:t>
      </w:r>
      <w:r w:rsidRPr="00660CDA">
        <w:t>enforcement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officers.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concludes</w:t>
      </w:r>
      <w:r w:rsidR="00BD1F48">
        <w:t xml:space="preserve"> </w:t>
      </w:r>
      <w:r w:rsidRPr="00660CDA">
        <w:t>once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prosecutions,</w:t>
      </w:r>
      <w:r w:rsidR="00BD1F48">
        <w:t xml:space="preserve"> </w:t>
      </w:r>
      <w:r w:rsidRPr="00660CDA">
        <w:t>convictions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imprisonment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7,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reaffirms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request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party.</w:t>
      </w:r>
    </w:p>
    <w:p w:rsidR="00BC4324" w:rsidRPr="00660CDA" w:rsidRDefault="00BC4324" w:rsidP="00BD1F48">
      <w:pPr>
        <w:pStyle w:val="SingleTxtG"/>
      </w:pPr>
      <w:r w:rsidRPr="00660CDA">
        <w:t>7.2</w:t>
      </w:r>
      <w:r w:rsidRPr="00660CDA">
        <w:tab/>
        <w:t>On</w:t>
      </w:r>
      <w:r w:rsidR="00BD1F48">
        <w:t xml:space="preserve"> </w:t>
      </w:r>
      <w:r w:rsidRPr="00660CDA">
        <w:t>26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2015,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further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22</w:t>
      </w:r>
      <w:r w:rsidR="00BD1F48">
        <w:t xml:space="preserve"> </w:t>
      </w:r>
      <w:r w:rsidRPr="00660CDA">
        <w:t>October</w:t>
      </w:r>
      <w:r w:rsidR="00BD1F48">
        <w:t xml:space="preserve"> </w:t>
      </w:r>
      <w:r w:rsidRPr="00660CDA">
        <w:t>2014,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President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amnestied</w:t>
      </w:r>
      <w:r w:rsidR="00BD1F48">
        <w:t xml:space="preserve"> </w:t>
      </w:r>
      <w:r w:rsidRPr="00660CDA">
        <w:t>eight</w:t>
      </w:r>
      <w:r w:rsidR="00BD1F48">
        <w:t xml:space="preserve"> </w:t>
      </w:r>
      <w:r w:rsidRPr="00660CDA">
        <w:t>imprisoned</w:t>
      </w:r>
      <w:r w:rsidR="00BD1F48">
        <w:t xml:space="preserve"> </w:t>
      </w:r>
      <w:r w:rsidRPr="00660CDA">
        <w:t>Jehovah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Witnesses,</w:t>
      </w:r>
      <w:r w:rsidR="00BD1F48">
        <w:t xml:space="preserve"> </w:t>
      </w:r>
      <w:r w:rsidRPr="00660CDA">
        <w:t>including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author,</w:t>
      </w:r>
      <w:r w:rsidR="00BD1F48">
        <w:t xml:space="preserve"> </w:t>
      </w:r>
      <w:r w:rsidRPr="00660CDA">
        <w:t>who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released</w:t>
      </w:r>
      <w:r w:rsidR="00BD1F48">
        <w:t xml:space="preserve"> </w:t>
      </w:r>
      <w:r w:rsidRPr="00660CDA">
        <w:t>after</w:t>
      </w:r>
      <w:r w:rsidR="00BD1F48">
        <w:t xml:space="preserve"> </w:t>
      </w:r>
      <w:r w:rsidRPr="00660CDA">
        <w:t>having</w:t>
      </w:r>
      <w:r w:rsidR="00BD1F48">
        <w:t xml:space="preserve"> </w:t>
      </w:r>
      <w:r w:rsidRPr="00660CDA">
        <w:t>served</w:t>
      </w:r>
      <w:r w:rsidR="00BD1F48">
        <w:t xml:space="preserve"> </w:t>
      </w:r>
      <w:r w:rsidRPr="00660CDA">
        <w:t>twenty-one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half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24-month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term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resulted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second</w:t>
      </w:r>
      <w:r w:rsidR="00BD1F48">
        <w:t xml:space="preserve"> </w:t>
      </w:r>
      <w:r w:rsidRPr="00660CDA">
        <w:t>conviction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Code.</w:t>
      </w:r>
      <w:r w:rsidRPr="00BD1F48">
        <w:rPr>
          <w:rStyle w:val="FootnoteReference"/>
        </w:rPr>
        <w:footnoteReference w:id="14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indicated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although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welcomed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development,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understood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amnesty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exonerate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charges,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expunge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record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offer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type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rehabilitation.</w:t>
      </w:r>
    </w:p>
    <w:p w:rsidR="00BC4324" w:rsidRPr="00660CDA" w:rsidRDefault="00BC4324" w:rsidP="00BD1F48">
      <w:pPr>
        <w:pStyle w:val="H23G"/>
      </w:pPr>
      <w:r w:rsidRPr="00660CDA">
        <w:tab/>
      </w:r>
      <w:r w:rsidRPr="00660CDA">
        <w:tab/>
        <w:t>Issues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proceedings</w:t>
      </w:r>
      <w:r w:rsidR="00BD1F48">
        <w:t xml:space="preserve"> </w:t>
      </w:r>
      <w:r w:rsidRPr="00660CDA">
        <w:t>before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</w:p>
    <w:p w:rsidR="00BC4324" w:rsidRPr="00660CDA" w:rsidRDefault="00BC4324" w:rsidP="00BD1F48">
      <w:pPr>
        <w:pStyle w:val="H4G"/>
      </w:pPr>
      <w:r w:rsidRPr="00660CDA">
        <w:tab/>
      </w:r>
      <w:r w:rsidRPr="00660CDA">
        <w:tab/>
        <w:t>Consideration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admissibility</w:t>
      </w:r>
    </w:p>
    <w:p w:rsidR="00BC4324" w:rsidRPr="00660CDA" w:rsidRDefault="00BC4324" w:rsidP="00BD1F48">
      <w:pPr>
        <w:pStyle w:val="SingleTxtG"/>
      </w:pPr>
      <w:r w:rsidRPr="00660CDA">
        <w:t>8.1</w:t>
      </w:r>
      <w:r w:rsidRPr="00660CDA">
        <w:tab/>
        <w:t>Before</w:t>
      </w:r>
      <w:r w:rsidR="00BD1F48">
        <w:t xml:space="preserve"> </w:t>
      </w:r>
      <w:r w:rsidRPr="00660CDA">
        <w:t>considering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contained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communication,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decide,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accordance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rule</w:t>
      </w:r>
      <w:r w:rsidR="00BD1F48">
        <w:t xml:space="preserve"> </w:t>
      </w:r>
      <w:r w:rsidRPr="00660CDA">
        <w:t>93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rules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procedure,</w:t>
      </w:r>
      <w:r w:rsidR="00BD1F48">
        <w:t xml:space="preserve"> </w:t>
      </w:r>
      <w:r w:rsidRPr="00660CDA">
        <w:t>whether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admissible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Protocol.</w:t>
      </w:r>
    </w:p>
    <w:p w:rsidR="00BC4324" w:rsidRPr="00660CDA" w:rsidRDefault="00BC4324" w:rsidP="00BD1F48">
      <w:pPr>
        <w:pStyle w:val="SingleTxtG"/>
      </w:pPr>
      <w:r w:rsidRPr="00660CDA">
        <w:t>8.2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ascertained,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required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(2)</w:t>
      </w:r>
      <w:r w:rsidR="00BD1F48">
        <w:t xml:space="preserve"> </w:t>
      </w:r>
      <w:r w:rsidRPr="00660CDA">
        <w:t>(a)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Protocol,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matter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examined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another</w:t>
      </w:r>
      <w:r w:rsidR="00BD1F48">
        <w:t xml:space="preserve"> </w:t>
      </w:r>
      <w:r w:rsidRPr="00660CDA">
        <w:t>procedure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international</w:t>
      </w:r>
      <w:r w:rsidR="00BD1F48">
        <w:t xml:space="preserve"> </w:t>
      </w:r>
      <w:r w:rsidRPr="00660CDA">
        <w:t>investigation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settlement.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8.3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jurisprudence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effect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authors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avail</w:t>
      </w:r>
      <w:r w:rsidR="00BD1F48">
        <w:t xml:space="preserve"> </w:t>
      </w:r>
      <w:r w:rsidRPr="00660CDA">
        <w:t>themselves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order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fulfil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requirement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(2)</w:t>
      </w:r>
      <w:r w:rsidR="00BD1F48">
        <w:t xml:space="preserve"> </w:t>
      </w:r>
      <w:r w:rsidRPr="00660CDA">
        <w:t>(b)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Protocol,</w:t>
      </w:r>
      <w:r w:rsidR="00BD1F48">
        <w:t xml:space="preserve"> </w:t>
      </w:r>
      <w:r w:rsidRPr="00660CDA">
        <w:t>insofar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appear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effective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given</w:t>
      </w:r>
      <w:r w:rsidR="00BD1F48">
        <w:t xml:space="preserve"> </w:t>
      </w:r>
      <w:r w:rsidRPr="00660CDA">
        <w:t>case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are</w:t>
      </w:r>
      <w:r w:rsidR="00BD1F48">
        <w:t xml:space="preserve"> </w:t>
      </w:r>
      <w:r w:rsidRPr="00660CDA">
        <w:t>de</w:t>
      </w:r>
      <w:r w:rsidR="00BD1F48">
        <w:t xml:space="preserve"> </w:t>
      </w:r>
      <w:r w:rsidRPr="00660CDA">
        <w:t>facto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author.</w:t>
      </w:r>
      <w:r w:rsidRPr="00BD1F48">
        <w:rPr>
          <w:rStyle w:val="FootnoteReference"/>
        </w:rPr>
        <w:footnoteReference w:id="15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submission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there</w:t>
      </w:r>
      <w:r w:rsidR="00BD1F48">
        <w:t xml:space="preserve"> </w:t>
      </w:r>
      <w:r w:rsidRPr="00660CDA">
        <w:t>are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effective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regard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exhausted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remedies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regard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alleged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appealed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decisions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City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8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2013.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assertion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17</w:t>
      </w:r>
      <w:r w:rsidR="00BD1F48">
        <w:t xml:space="preserve"> </w:t>
      </w:r>
      <w:r w:rsidRPr="00660CDA">
        <w:t>March</w:t>
      </w:r>
      <w:r w:rsidR="00BD1F48">
        <w:t xml:space="preserve"> </w:t>
      </w:r>
      <w:r w:rsidRPr="00660CDA">
        <w:t>2014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case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carefully</w:t>
      </w:r>
      <w:r w:rsidR="00BD1F48">
        <w:t xml:space="preserve"> </w:t>
      </w:r>
      <w:r w:rsidRPr="00660CDA">
        <w:t>considered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relevant</w:t>
      </w:r>
      <w:r w:rsidR="00BD1F48">
        <w:t xml:space="preserve"> </w:t>
      </w:r>
      <w:r w:rsidRPr="00660CDA">
        <w:t>law</w:t>
      </w:r>
      <w:r w:rsidR="00BD1F48">
        <w:t xml:space="preserve"> </w:t>
      </w:r>
      <w:r w:rsidRPr="00660CDA">
        <w:t>enforcement</w:t>
      </w:r>
      <w:r w:rsidR="00BD1F48">
        <w:t xml:space="preserve"> </w:t>
      </w:r>
      <w:r w:rsidRPr="00660CDA">
        <w:t>bodies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reason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found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appeal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decision,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further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contested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argumentation</w:t>
      </w:r>
      <w:r w:rsidR="00BD1F48">
        <w:t xml:space="preserve"> </w:t>
      </w:r>
      <w:r w:rsidRPr="00660CDA">
        <w:t>concerning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exhaustion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domestic</w:t>
      </w:r>
      <w:r w:rsidR="00BD1F48">
        <w:t xml:space="preserve"> </w:t>
      </w:r>
      <w:r w:rsidRPr="00660CDA">
        <w:t>remedies.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these</w:t>
      </w:r>
      <w:r w:rsidR="00BD1F48">
        <w:t xml:space="preserve"> </w:t>
      </w:r>
      <w:r w:rsidRPr="00660CDA">
        <w:t>circumstances,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considers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precluded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(2)</w:t>
      </w:r>
      <w:r w:rsidR="00BD1F48">
        <w:t xml:space="preserve"> </w:t>
      </w:r>
      <w:r w:rsidRPr="00660CDA">
        <w:t>(b)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examining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communication.</w:t>
      </w:r>
    </w:p>
    <w:p w:rsidR="00BC4324" w:rsidRPr="00660CDA" w:rsidRDefault="00BC4324" w:rsidP="00BD1F48">
      <w:pPr>
        <w:pStyle w:val="SingleTxtG"/>
      </w:pPr>
      <w:r w:rsidRPr="00660CDA">
        <w:t>8.4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considers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claims,</w:t>
      </w:r>
      <w:r w:rsidR="00BD1F48">
        <w:t xml:space="preserve"> </w:t>
      </w:r>
      <w:r w:rsidRPr="00660CDA">
        <w:t>raising</w:t>
      </w:r>
      <w:r w:rsidR="00BD1F48">
        <w:t xml:space="preserve"> </w:t>
      </w:r>
      <w:r w:rsidRPr="00660CDA">
        <w:t>issues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7,</w:t>
      </w:r>
      <w:r w:rsidR="00BD1F48">
        <w:t xml:space="preserve"> </w:t>
      </w:r>
      <w:r w:rsidRPr="00660CDA">
        <w:t>10,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are</w:t>
      </w:r>
      <w:r w:rsidR="00BD1F48">
        <w:t xml:space="preserve"> </w:t>
      </w:r>
      <w:r w:rsidRPr="00660CDA">
        <w:t>sufficiently</w:t>
      </w:r>
      <w:r w:rsidR="00BD1F48">
        <w:t xml:space="preserve"> </w:t>
      </w:r>
      <w:r w:rsidRPr="00660CDA">
        <w:t>substantiated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purposes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admissibility,</w:t>
      </w:r>
      <w:r w:rsidR="00BD1F48">
        <w:t xml:space="preserve"> </w:t>
      </w:r>
      <w:r w:rsidRPr="00660CDA">
        <w:t>declares</w:t>
      </w:r>
      <w:r w:rsidR="00BD1F48">
        <w:t xml:space="preserve"> </w:t>
      </w:r>
      <w:r w:rsidRPr="00660CDA">
        <w:t>them</w:t>
      </w:r>
      <w:r w:rsidR="00BD1F48">
        <w:t xml:space="preserve"> </w:t>
      </w:r>
      <w:r w:rsidRPr="00660CDA">
        <w:t>admissible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proceeds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their</w:t>
      </w:r>
      <w:r w:rsidR="00BD1F48">
        <w:t xml:space="preserve"> </w:t>
      </w:r>
      <w:r w:rsidRPr="00660CDA">
        <w:t>examination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merits.</w:t>
      </w:r>
    </w:p>
    <w:p w:rsidR="00BC4324" w:rsidRPr="00660CDA" w:rsidRDefault="00BC4324" w:rsidP="00BD1F48">
      <w:pPr>
        <w:pStyle w:val="H4G"/>
      </w:pPr>
      <w:r w:rsidRPr="00660CDA">
        <w:tab/>
      </w:r>
      <w:r w:rsidRPr="00660CDA">
        <w:tab/>
        <w:t>Consideration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merits</w:t>
      </w:r>
    </w:p>
    <w:p w:rsidR="00BC4324" w:rsidRPr="00660CDA" w:rsidRDefault="00BC4324" w:rsidP="00BD1F48">
      <w:pPr>
        <w:pStyle w:val="SingleTxtG"/>
      </w:pPr>
      <w:r w:rsidRPr="00660CDA">
        <w:t>9.1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considered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present</w:t>
      </w:r>
      <w:r w:rsidR="00BD1F48">
        <w:t xml:space="preserve"> </w:t>
      </w:r>
      <w:r w:rsidRPr="00660CDA">
        <w:t>communication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light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made</w:t>
      </w:r>
      <w:r w:rsidR="00BD1F48">
        <w:t xml:space="preserve"> </w:t>
      </w:r>
      <w:r w:rsidRPr="00660CDA">
        <w:t>available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parties,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required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9.2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ill-treated</w:t>
      </w:r>
      <w:r w:rsidR="00BD1F48">
        <w:t xml:space="preserve"> </w:t>
      </w:r>
      <w:r w:rsidRPr="00660CDA">
        <w:t>while</w:t>
      </w:r>
      <w:r w:rsidR="00BD1F48">
        <w:t xml:space="preserve"> </w:t>
      </w:r>
      <w:r w:rsidRPr="00660CDA">
        <w:t>detained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temporary</w:t>
      </w:r>
      <w:r w:rsidR="00BD1F48">
        <w:t xml:space="preserve"> </w:t>
      </w:r>
      <w:r w:rsidRPr="00660CDA">
        <w:t>holding</w:t>
      </w:r>
      <w:r w:rsidR="00BD1F48">
        <w:t xml:space="preserve"> </w:t>
      </w:r>
      <w:r w:rsidRPr="00660CDA">
        <w:t>facility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Dashoguz,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30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</w:t>
      </w:r>
      <w:r w:rsidR="00BD1F48">
        <w:t xml:space="preserve"> </w:t>
      </w:r>
      <w:r w:rsidRPr="00660CDA">
        <w:t>when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beaten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director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refusing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21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2011</w:t>
      </w:r>
      <w:r w:rsidR="00BD1F48">
        <w:t xml:space="preserve"> </w:t>
      </w:r>
      <w:r w:rsidRPr="00660CDA">
        <w:t>when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kicked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beaten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Chief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Investigative</w:t>
      </w:r>
      <w:r w:rsidR="00BD1F48">
        <w:t xml:space="preserve"> </w:t>
      </w:r>
      <w:r w:rsidRPr="00660CDA">
        <w:t>Department</w:t>
      </w:r>
      <w:r w:rsidR="00BD1F48">
        <w:t xml:space="preserve"> </w:t>
      </w:r>
      <w:r w:rsidRPr="00660CDA">
        <w:t>who</w:t>
      </w:r>
      <w:r w:rsidR="00BD1F48">
        <w:t xml:space="preserve"> </w:t>
      </w:r>
      <w:r w:rsidRPr="00660CDA">
        <w:t>accused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a</w:t>
      </w:r>
      <w:r w:rsidR="00BD1F48">
        <w:t xml:space="preserve"> “</w:t>
      </w:r>
      <w:r w:rsidRPr="00660CDA">
        <w:t>traitor</w:t>
      </w:r>
      <w:r w:rsidR="00BD1F48">
        <w:t>”</w:t>
      </w:r>
      <w:r w:rsidRPr="00660CDA">
        <w:t>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takes</w:t>
      </w:r>
      <w:r w:rsidR="00BD1F48">
        <w:t xml:space="preserve"> </w:t>
      </w:r>
      <w:r w:rsidRPr="00660CDA">
        <w:t>note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statement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mother</w:t>
      </w:r>
      <w:r w:rsidR="00BD1F48">
        <w:t xml:space="preserve"> </w:t>
      </w:r>
      <w:r w:rsidRPr="00660CDA">
        <w:t>indicating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11</w:t>
      </w:r>
      <w:r w:rsidR="00BD1F48">
        <w:t xml:space="preserve"> </w:t>
      </w:r>
      <w:r w:rsidRPr="00660CDA">
        <w:t>February</w:t>
      </w:r>
      <w:r w:rsidR="00BD1F48">
        <w:t xml:space="preserve"> </w:t>
      </w:r>
      <w:r w:rsidRPr="00660CDA">
        <w:t>2013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informed</w:t>
      </w:r>
      <w:r w:rsidR="00BD1F48">
        <w:t xml:space="preserve"> </w:t>
      </w:r>
      <w:r w:rsidRPr="00660CDA">
        <w:t>her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being</w:t>
      </w:r>
      <w:r w:rsidR="00BD1F48">
        <w:t xml:space="preserve"> </w:t>
      </w:r>
      <w:r w:rsidRPr="00660CDA">
        <w:t>tortured,</w:t>
      </w:r>
      <w:r w:rsidR="00BD1F48">
        <w:t xml:space="preserve"> </w:t>
      </w:r>
      <w:r w:rsidRPr="00660CDA">
        <w:t>threatened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questioned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sixth</w:t>
      </w:r>
      <w:r w:rsidR="00BD1F48">
        <w:t xml:space="preserve"> </w:t>
      </w:r>
      <w:r w:rsidRPr="00660CDA">
        <w:t>police</w:t>
      </w:r>
      <w:r w:rsidR="00BD1F48">
        <w:t xml:space="preserve"> </w:t>
      </w:r>
      <w:r w:rsidRPr="00660CDA">
        <w:t>department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DZ-D/7</w:t>
      </w:r>
      <w:r w:rsidR="00BD1F48">
        <w:t xml:space="preserve"> </w:t>
      </w:r>
      <w:r w:rsidRPr="00660CDA">
        <w:t>temporary</w:t>
      </w:r>
      <w:r w:rsidR="00BD1F48">
        <w:t xml:space="preserve"> </w:t>
      </w:r>
      <w:r w:rsidRPr="00660CDA">
        <w:t>detention</w:t>
      </w:r>
      <w:r w:rsidR="00BD1F48">
        <w:t xml:space="preserve"> </w:t>
      </w:r>
      <w:r w:rsidRPr="00660CDA">
        <w:t>centre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Dashoguz.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allegation</w:t>
      </w:r>
      <w:r w:rsidR="00BD1F48">
        <w:t xml:space="preserve"> </w:t>
      </w:r>
      <w:r w:rsidRPr="00660CDA">
        <w:t>regarding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lack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adequate</w:t>
      </w:r>
      <w:r w:rsidR="00BD1F48">
        <w:t xml:space="preserve"> </w:t>
      </w:r>
      <w:r w:rsidRPr="00660CDA">
        <w:t>mechanisms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investigation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torture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ill-treatment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complaints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ill-treatment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investigated</w:t>
      </w:r>
      <w:r w:rsidR="00BD1F48">
        <w:t xml:space="preserve"> </w:t>
      </w:r>
      <w:r w:rsidRPr="00660CDA">
        <w:t>promptly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impartially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competent</w:t>
      </w:r>
      <w:r w:rsidR="00BD1F48">
        <w:t xml:space="preserve"> </w:t>
      </w:r>
      <w:r w:rsidRPr="00660CDA">
        <w:t>authorities.</w:t>
      </w:r>
      <w:r w:rsidRPr="00BD1F48">
        <w:rPr>
          <w:rStyle w:val="FootnoteReference"/>
        </w:rPr>
        <w:footnoteReference w:id="16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takes</w:t>
      </w:r>
      <w:r w:rsidR="00BD1F48">
        <w:t xml:space="preserve"> </w:t>
      </w:r>
      <w:r w:rsidRPr="00660CDA">
        <w:t>note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statement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police</w:t>
      </w:r>
      <w:r w:rsidR="00BD1F48">
        <w:t xml:space="preserve"> </w:t>
      </w:r>
      <w:r w:rsidRPr="00660CDA">
        <w:t>officers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responsible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interrogation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author.</w:t>
      </w:r>
      <w:r w:rsidR="00BD1F48">
        <w:t xml:space="preserve"> </w:t>
      </w:r>
      <w:r w:rsidRPr="00660CDA">
        <w:t>However,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refuted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allegations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torture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ill-treatment,</w:t>
      </w:r>
      <w:r w:rsidR="00BD1F48">
        <w:t xml:space="preserve"> </w:t>
      </w:r>
      <w:r w:rsidRPr="00660CDA">
        <w:t>nor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provided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respect.</w:t>
      </w:r>
      <w:r w:rsidR="00BD1F48">
        <w:t xml:space="preserve"> </w:t>
      </w:r>
      <w:r w:rsidRPr="00660CDA">
        <w:t>Therefore,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circumstances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present</w:t>
      </w:r>
      <w:r w:rsidR="00BD1F48">
        <w:t xml:space="preserve"> </w:t>
      </w:r>
      <w:r w:rsidRPr="00660CDA">
        <w:t>case,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decides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weight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given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allegations.</w:t>
      </w:r>
      <w:r w:rsidR="00BD1F48">
        <w:t xml:space="preserve"> </w:t>
      </w:r>
      <w:r w:rsidRPr="00660CDA">
        <w:t>Accordingly,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concludes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facts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presented</w:t>
      </w:r>
      <w:r w:rsidR="00BD1F48">
        <w:t xml:space="preserve"> </w:t>
      </w:r>
      <w:r w:rsidRPr="00660CDA">
        <w:t>reveal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</w:p>
    <w:p w:rsidR="00BC4324" w:rsidRPr="00660CDA" w:rsidRDefault="00BC4324" w:rsidP="00BD1F48">
      <w:pPr>
        <w:pStyle w:val="SingleTxtG"/>
      </w:pPr>
      <w:r w:rsidRPr="00660CDA">
        <w:t>9.3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further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concerning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deplorable</w:t>
      </w:r>
      <w:r w:rsidR="00BD1F48">
        <w:t xml:space="preserve"> </w:t>
      </w:r>
      <w:r w:rsidRPr="00660CDA">
        <w:t>conditions</w:t>
      </w:r>
      <w:r w:rsidR="00BD1F48">
        <w:t xml:space="preserve"> </w:t>
      </w:r>
      <w:r w:rsidRPr="00660CDA">
        <w:t>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LBK-12</w:t>
      </w:r>
      <w:r w:rsidR="00BD1F48">
        <w:t xml:space="preserve"> </w:t>
      </w:r>
      <w:r w:rsidRPr="00660CDA">
        <w:t>prison,</w:t>
      </w:r>
      <w:r w:rsidR="00BD1F48">
        <w:t xml:space="preserve"> </w:t>
      </w:r>
      <w:r w:rsidRPr="00660CDA">
        <w:t>including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placement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arrival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March</w:t>
      </w:r>
      <w:r w:rsidR="00BD1F48">
        <w:t xml:space="preserve"> </w:t>
      </w:r>
      <w:r w:rsidRPr="00660CDA">
        <w:t>2011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solitary</w:t>
      </w:r>
      <w:r w:rsidR="00BD1F48">
        <w:t xml:space="preserve"> </w:t>
      </w:r>
      <w:r w:rsidRPr="00660CDA">
        <w:t>confinement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days,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harsh</w:t>
      </w:r>
      <w:r w:rsidR="00BD1F48">
        <w:t xml:space="preserve"> </w:t>
      </w:r>
      <w:r w:rsidRPr="00660CDA">
        <w:t>climatic</w:t>
      </w:r>
      <w:r w:rsidR="00BD1F48">
        <w:t xml:space="preserve"> </w:t>
      </w:r>
      <w:r w:rsidRPr="00660CDA">
        <w:t>conditions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exposed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during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extremely</w:t>
      </w:r>
      <w:r w:rsidR="00BD1F48">
        <w:t xml:space="preserve"> </w:t>
      </w:r>
      <w:r w:rsidRPr="00660CDA">
        <w:t>hot</w:t>
      </w:r>
      <w:r w:rsidR="00BD1F48">
        <w:t xml:space="preserve"> </w:t>
      </w:r>
      <w:r w:rsidRPr="00660CDA">
        <w:t>summer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extremely</w:t>
      </w:r>
      <w:r w:rsidR="00BD1F48">
        <w:t xml:space="preserve"> </w:t>
      </w:r>
      <w:r w:rsidRPr="00660CDA">
        <w:t>cold</w:t>
      </w:r>
      <w:r w:rsidR="00BD1F48">
        <w:t xml:space="preserve"> </w:t>
      </w:r>
      <w:r w:rsidRPr="00660CDA">
        <w:t>winter,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several</w:t>
      </w:r>
      <w:r w:rsidR="00BD1F48">
        <w:t xml:space="preserve"> </w:t>
      </w:r>
      <w:r w:rsidRPr="00660CDA">
        <w:t>days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obliged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sleep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bare</w:t>
      </w:r>
      <w:r w:rsidR="00BD1F48">
        <w:t xml:space="preserve"> </w:t>
      </w:r>
      <w:r w:rsidRPr="00660CDA">
        <w:t>concrete</w:t>
      </w:r>
      <w:r w:rsidR="00BD1F48">
        <w:t xml:space="preserve"> </w:t>
      </w:r>
      <w:r w:rsidRPr="00660CDA">
        <w:t>floor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clothes</w:t>
      </w:r>
      <w:r w:rsidR="00BD1F48">
        <w:t xml:space="preserve"> </w:t>
      </w:r>
      <w:r w:rsidRPr="00660CDA">
        <w:t>on.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claimed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overcrowded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prisoners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tuberculosis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skin</w:t>
      </w:r>
      <w:r w:rsidR="00BD1F48">
        <w:t xml:space="preserve"> </w:t>
      </w:r>
      <w:r w:rsidRPr="00660CDA">
        <w:t>diseases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kept</w:t>
      </w:r>
      <w:r w:rsidR="00BD1F48">
        <w:t xml:space="preserve"> </w:t>
      </w:r>
      <w:r w:rsidRPr="00660CDA">
        <w:t>together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healthy</w:t>
      </w:r>
      <w:r w:rsidR="00BD1F48">
        <w:t xml:space="preserve"> </w:t>
      </w:r>
      <w:r w:rsidRPr="00660CDA">
        <w:t>inmates,</w:t>
      </w:r>
      <w:r w:rsidR="00BD1F48">
        <w:t xml:space="preserve"> </w:t>
      </w:r>
      <w:r w:rsidRPr="00660CDA">
        <w:t>putting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at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high</w:t>
      </w:r>
      <w:r w:rsidR="00BD1F48">
        <w:t xml:space="preserve"> </w:t>
      </w:r>
      <w:r w:rsidRPr="00660CDA">
        <w:t>risk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contracting</w:t>
      </w:r>
      <w:r w:rsidR="00BD1F48">
        <w:t xml:space="preserve"> </w:t>
      </w:r>
      <w:r w:rsidRPr="00660CDA">
        <w:t>tuberculosis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other</w:t>
      </w:r>
      <w:r w:rsidR="00BD1F48">
        <w:t xml:space="preserve"> </w:t>
      </w:r>
      <w:r w:rsidRPr="00660CDA">
        <w:t>infections.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these</w:t>
      </w:r>
      <w:r w:rsidR="00BD1F48">
        <w:t xml:space="preserve"> </w:t>
      </w:r>
      <w:r w:rsidRPr="00660CDA">
        <w:t>allegations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contested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they</w:t>
      </w:r>
      <w:r w:rsidR="00BD1F48">
        <w:t xml:space="preserve"> </w:t>
      </w:r>
      <w:r w:rsidRPr="00660CDA">
        <w:t>are</w:t>
      </w:r>
      <w:r w:rsidR="00BD1F48">
        <w:t xml:space="preserve"> </w:t>
      </w:r>
      <w:r w:rsidRPr="00660CDA">
        <w:t>consistent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findings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against</w:t>
      </w:r>
      <w:r w:rsidR="00BD1F48">
        <w:t xml:space="preserve"> </w:t>
      </w:r>
      <w:r w:rsidRPr="00660CDA">
        <w:t>Torture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most</w:t>
      </w:r>
      <w:r w:rsidR="00BD1F48">
        <w:t xml:space="preserve"> </w:t>
      </w:r>
      <w:r w:rsidRPr="00660CDA">
        <w:t>recent</w:t>
      </w:r>
      <w:r w:rsidR="00BD1F48">
        <w:t xml:space="preserve"> </w:t>
      </w:r>
      <w:r w:rsidRPr="00660CDA">
        <w:t>concluding</w:t>
      </w:r>
      <w:r w:rsidR="00BD1F48">
        <w:t xml:space="preserve"> </w:t>
      </w:r>
      <w:r w:rsidRPr="00660CDA">
        <w:t>observations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regard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party.</w:t>
      </w:r>
      <w:r w:rsidRPr="00BD1F48">
        <w:rPr>
          <w:rStyle w:val="FootnoteReference"/>
        </w:rPr>
        <w:footnoteReference w:id="17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persons</w:t>
      </w:r>
      <w:r w:rsidR="00BD1F48">
        <w:t xml:space="preserve"> </w:t>
      </w:r>
      <w:r w:rsidRPr="00660CDA">
        <w:t>deprived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their</w:t>
      </w:r>
      <w:r w:rsidR="00BD1F48">
        <w:t xml:space="preserve"> </w:t>
      </w:r>
      <w:r w:rsidRPr="00660CDA">
        <w:t>liberty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subjected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hardship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constraint</w:t>
      </w:r>
      <w:r w:rsidR="00BD1F48">
        <w:t xml:space="preserve"> </w:t>
      </w:r>
      <w:r w:rsidRPr="00660CDA">
        <w:t>other</w:t>
      </w:r>
      <w:r w:rsidR="00BD1F48">
        <w:t xml:space="preserve"> </w:t>
      </w:r>
      <w:r w:rsidRPr="00660CDA">
        <w:t>than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resulting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deprivation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liberty;</w:t>
      </w:r>
      <w:r w:rsidR="00BD1F48">
        <w:t xml:space="preserve"> </w:t>
      </w:r>
      <w:r w:rsidRPr="00660CDA">
        <w:t>they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treated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accordance</w:t>
      </w:r>
      <w:r w:rsidR="00BD1F48">
        <w:t xml:space="preserve"> </w:t>
      </w:r>
      <w:r w:rsidRPr="00660CDA">
        <w:t>with,</w:t>
      </w:r>
      <w:r w:rsidR="00BD1F48">
        <w:t xml:space="preserve"> </w:t>
      </w:r>
      <w:r w:rsidRPr="00660CDA">
        <w:t>inter</w:t>
      </w:r>
      <w:r w:rsidR="00BD1F48">
        <w:t xml:space="preserve"> </w:t>
      </w:r>
      <w:r w:rsidRPr="00660CDA">
        <w:t>alia,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Standard</w:t>
      </w:r>
      <w:r w:rsidR="00BD1F48">
        <w:t xml:space="preserve"> </w:t>
      </w:r>
      <w:r w:rsidRPr="00660CDA">
        <w:t>Minimum</w:t>
      </w:r>
      <w:r w:rsidR="00BD1F48">
        <w:t xml:space="preserve"> </w:t>
      </w:r>
      <w:r w:rsidRPr="00660CDA">
        <w:t>Rules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Treatment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Prisoners.</w:t>
      </w:r>
      <w:r w:rsidRPr="00BD1F48">
        <w:rPr>
          <w:rStyle w:val="FootnoteReference"/>
        </w:rPr>
        <w:footnoteReference w:id="18"/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absence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other</w:t>
      </w:r>
      <w:r w:rsidR="00BD1F48">
        <w:t xml:space="preserve"> </w:t>
      </w:r>
      <w:r w:rsidRPr="00660CDA">
        <w:t>pertinent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file,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decides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weight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given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allegations.</w:t>
      </w:r>
      <w:r w:rsidR="00BD1F48">
        <w:t xml:space="preserve"> </w:t>
      </w:r>
      <w:r w:rsidRPr="00660CDA">
        <w:t>Accordingly,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finds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confining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conditions</w:t>
      </w:r>
      <w:r w:rsidR="00BD1F48">
        <w:t xml:space="preserve"> </w:t>
      </w:r>
      <w:r w:rsidRPr="00660CDA">
        <w:t>constitutes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treated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humanity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respect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inherent</w:t>
      </w:r>
      <w:r w:rsidR="00BD1F48">
        <w:t xml:space="preserve"> </w:t>
      </w:r>
      <w:r w:rsidRPr="00660CDA">
        <w:t>dignity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human</w:t>
      </w:r>
      <w:r w:rsidR="00BD1F48">
        <w:t xml:space="preserve"> </w:t>
      </w:r>
      <w:r w:rsidRPr="00660CDA">
        <w:t>person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Pr="00BD1F48">
        <w:rPr>
          <w:rStyle w:val="FootnoteReference"/>
        </w:rPr>
        <w:footnoteReference w:id="19"/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9.4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punished</w:t>
      </w:r>
      <w:r w:rsidR="00BD1F48">
        <w:t xml:space="preserve"> </w:t>
      </w:r>
      <w:r w:rsidRPr="00660CDA">
        <w:t>twice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performing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is</w:t>
      </w:r>
      <w:r w:rsidR="00BD1F48">
        <w:t xml:space="preserve"> “</w:t>
      </w:r>
      <w:r w:rsidRPr="00660CDA">
        <w:t>based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constant</w:t>
      </w:r>
      <w:r w:rsidR="00BD1F48">
        <w:t xml:space="preserve"> </w:t>
      </w:r>
      <w:r w:rsidRPr="00660CDA">
        <w:t>resolve</w:t>
      </w:r>
      <w:r w:rsidR="00BD1F48">
        <w:t xml:space="preserve"> </w:t>
      </w:r>
      <w:r w:rsidRPr="00660CDA">
        <w:t>grounded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reasons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conscience</w:t>
      </w:r>
      <w:r w:rsidR="00BD1F48">
        <w:t>”</w:t>
      </w:r>
      <w:r w:rsidRPr="00660CDA">
        <w:t>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further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29</w:t>
      </w:r>
      <w:r w:rsidR="00BD1F48">
        <w:t xml:space="preserve"> </w:t>
      </w:r>
      <w:r w:rsidRPr="00660CDA">
        <w:t>December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Dashoguz</w:t>
      </w:r>
      <w:r w:rsidR="00BD1F48">
        <w:t xml:space="preserve"> </w:t>
      </w:r>
      <w:r w:rsidRPr="00660CDA">
        <w:t>City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imprisonment,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Code,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then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court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219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8</w:t>
      </w:r>
      <w:r w:rsidR="00BD1F48">
        <w:t xml:space="preserve"> </w:t>
      </w:r>
      <w:r w:rsidRPr="00660CDA">
        <w:t>January</w:t>
      </w:r>
      <w:r w:rsidR="00BD1F48">
        <w:t xml:space="preserve"> </w:t>
      </w:r>
      <w:r w:rsidRPr="00660CDA">
        <w:t>2013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24</w:t>
      </w:r>
      <w:r w:rsidR="00BD1F48">
        <w:t xml:space="preserve"> </w:t>
      </w:r>
      <w:r w:rsidRPr="00660CDA">
        <w:t>months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imprisonment.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these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were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refuted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9.5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general</w:t>
      </w:r>
      <w:r w:rsidR="00BD1F48">
        <w:t xml:space="preserve"> </w:t>
      </w:r>
      <w:r w:rsidRPr="00660CDA">
        <w:t>comment</w:t>
      </w:r>
      <w:r w:rsidR="00BD1F48">
        <w:t xml:space="preserve"> </w:t>
      </w:r>
      <w:r w:rsidRPr="00660CDA">
        <w:t>No.</w:t>
      </w:r>
      <w:r w:rsidR="00BD1F48">
        <w:t xml:space="preserve"> </w:t>
      </w:r>
      <w:r w:rsidRPr="00660CDA">
        <w:t>32</w:t>
      </w:r>
      <w:r w:rsidR="00BD1F48">
        <w:t xml:space="preserve"> </w:t>
      </w:r>
      <w:r w:rsidRPr="00660CDA">
        <w:t>(2007)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equality</w:t>
      </w:r>
      <w:r w:rsidR="00BD1F48">
        <w:t xml:space="preserve"> </w:t>
      </w:r>
      <w:r w:rsidRPr="00660CDA">
        <w:t>before</w:t>
      </w:r>
      <w:r w:rsidR="00BD1F48">
        <w:t xml:space="preserve"> </w:t>
      </w:r>
      <w:r w:rsidRPr="00660CDA">
        <w:t>courts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tribunals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fair</w:t>
      </w:r>
      <w:r w:rsidR="00BD1F48">
        <w:t xml:space="preserve"> </w:t>
      </w:r>
      <w:r w:rsidRPr="00660CDA">
        <w:t>trial,</w:t>
      </w:r>
      <w:r w:rsidR="00BD1F48">
        <w:t xml:space="preserve"> </w:t>
      </w:r>
      <w:r w:rsidRPr="00660CDA">
        <w:t>wherein,</w:t>
      </w:r>
      <w:r w:rsidR="00BD1F48">
        <w:t xml:space="preserve"> </w:t>
      </w:r>
      <w:r w:rsidRPr="00660CDA">
        <w:t>inter</w:t>
      </w:r>
      <w:r w:rsidR="00BD1F48">
        <w:t xml:space="preserve"> </w:t>
      </w:r>
      <w:r w:rsidRPr="00660CDA">
        <w:t>alia,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stated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provides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no</w:t>
      </w:r>
      <w:r w:rsidR="00BD1F48">
        <w:t xml:space="preserve"> </w:t>
      </w:r>
      <w:r w:rsidRPr="00660CDA">
        <w:t>one</w:t>
      </w:r>
      <w:r w:rsidR="00BD1F48">
        <w:t xml:space="preserve"> </w:t>
      </w:r>
      <w:r w:rsidRPr="00660CDA">
        <w:t>shall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liable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tried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punished</w:t>
      </w:r>
      <w:r w:rsidR="00BD1F48">
        <w:t xml:space="preserve"> </w:t>
      </w:r>
      <w:r w:rsidRPr="00660CDA">
        <w:t>again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offence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they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already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finally</w:t>
      </w:r>
      <w:r w:rsidR="00BD1F48">
        <w:t xml:space="preserve"> </w:t>
      </w:r>
      <w:r w:rsidRPr="00660CDA">
        <w:t>convicted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accordance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law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penal</w:t>
      </w:r>
      <w:r w:rsidR="00BD1F48">
        <w:t xml:space="preserve"> </w:t>
      </w:r>
      <w:r w:rsidRPr="00660CDA">
        <w:t>procedure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each</w:t>
      </w:r>
      <w:r w:rsidR="00BD1F48">
        <w:t xml:space="preserve"> </w:t>
      </w:r>
      <w:r w:rsidRPr="00660CDA">
        <w:t>country.</w:t>
      </w:r>
      <w:r w:rsidR="00BD1F48">
        <w:t xml:space="preserve"> </w:t>
      </w:r>
      <w:r w:rsidRPr="00660CDA">
        <w:t>Furthermore,</w:t>
      </w:r>
      <w:r w:rsidR="00BD1F48">
        <w:t xml:space="preserve"> </w:t>
      </w:r>
      <w:r w:rsidRPr="00660CDA">
        <w:t>repeated</w:t>
      </w:r>
      <w:r w:rsidR="00BD1F48">
        <w:t xml:space="preserve"> </w:t>
      </w:r>
      <w:r w:rsidRPr="00660CDA">
        <w:t>punishment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objectors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obeying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renewed</w:t>
      </w:r>
      <w:r w:rsidR="00BD1F48">
        <w:t xml:space="preserve"> </w:t>
      </w:r>
      <w:r w:rsidRPr="00660CDA">
        <w:t>order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serve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amount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punishment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crime</w:t>
      </w:r>
      <w:r w:rsidR="00BD1F48">
        <w:t xml:space="preserve"> </w:t>
      </w:r>
      <w:r w:rsidRPr="00660CDA">
        <w:t>if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subsequent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based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constant</w:t>
      </w:r>
      <w:r w:rsidR="00BD1F48">
        <w:t xml:space="preserve"> </w:t>
      </w:r>
      <w:r w:rsidRPr="00660CDA">
        <w:t>resolve</w:t>
      </w:r>
      <w:r w:rsidR="00BD1F48">
        <w:t xml:space="preserve"> </w:t>
      </w:r>
      <w:r w:rsidRPr="00660CDA">
        <w:t>grounded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reasons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conscience.</w:t>
      </w:r>
      <w:r w:rsidRPr="00BD1F48">
        <w:rPr>
          <w:rStyle w:val="FootnoteReference"/>
        </w:rPr>
        <w:footnoteReference w:id="20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present</w:t>
      </w:r>
      <w:r w:rsidR="00BD1F48">
        <w:t xml:space="preserve"> </w:t>
      </w:r>
      <w:r w:rsidRPr="00660CDA">
        <w:t>case,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tried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punished</w:t>
      </w:r>
      <w:r w:rsidR="00BD1F48">
        <w:t xml:space="preserve"> </w:t>
      </w:r>
      <w:r w:rsidRPr="00660CDA">
        <w:t>twice,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lengthy</w:t>
      </w:r>
      <w:r w:rsidR="00BD1F48">
        <w:t xml:space="preserve"> </w:t>
      </w:r>
      <w:r w:rsidRPr="00660CDA">
        <w:t>prison</w:t>
      </w:r>
      <w:r w:rsidR="00BD1F48">
        <w:t xml:space="preserve"> </w:t>
      </w:r>
      <w:r w:rsidRPr="00660CDA">
        <w:t>sentences,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same</w:t>
      </w:r>
      <w:r w:rsidR="00BD1F48">
        <w:t xml:space="preserve"> </w:t>
      </w:r>
      <w:r w:rsidRPr="00660CDA">
        <w:t>provision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account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Jehovah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Witness,</w:t>
      </w:r>
      <w:r w:rsidR="00BD1F48">
        <w:t xml:space="preserve"> </w:t>
      </w:r>
      <w:r w:rsidRPr="00660CDA">
        <w:t>he</w:t>
      </w:r>
      <w:r w:rsidR="00BD1F48">
        <w:t xml:space="preserve"> </w:t>
      </w:r>
      <w:r w:rsidRPr="00660CDA">
        <w:t>objected</w:t>
      </w:r>
      <w:r w:rsidR="00BD1F48">
        <w:t xml:space="preserve"> </w:t>
      </w:r>
      <w:r w:rsidRPr="00660CDA">
        <w:t>to,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refused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perform,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circumstances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present</w:t>
      </w:r>
      <w:r w:rsidR="00BD1F48">
        <w:t xml:space="preserve"> </w:t>
      </w:r>
      <w:r w:rsidRPr="00660CDA">
        <w:t>case,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absence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contrary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concludes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violated.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9.6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notes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violated,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absence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result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account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led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prosecution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subsequent</w:t>
      </w:r>
      <w:r w:rsidR="00BD1F48">
        <w:t xml:space="preserve"> </w:t>
      </w:r>
      <w:r w:rsidRPr="00660CDA">
        <w:t>imprisonment.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takes</w:t>
      </w:r>
      <w:r w:rsidR="00BD1F48">
        <w:t xml:space="preserve"> </w:t>
      </w:r>
      <w:r w:rsidRPr="00660CDA">
        <w:t>note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submission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offence</w:t>
      </w:r>
      <w:r w:rsidR="00BD1F48">
        <w:t xml:space="preserve"> </w:t>
      </w:r>
      <w:r w:rsidRPr="00660CDA">
        <w:t>committed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was</w:t>
      </w:r>
      <w:r w:rsidR="00BD1F48">
        <w:t xml:space="preserve"> </w:t>
      </w:r>
      <w:r w:rsidRPr="00660CDA">
        <w:t>determined</w:t>
      </w:r>
      <w:r w:rsidR="00BD1F48">
        <w:t xml:space="preserve"> </w:t>
      </w:r>
      <w:r w:rsidRPr="00660CDA">
        <w:t>accurately</w:t>
      </w:r>
      <w:r w:rsidR="00BD1F48">
        <w:t xml:space="preserve"> </w:t>
      </w:r>
      <w:r w:rsidRPr="00660CDA">
        <w:t>according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Code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pursuant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41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Constitution,</w:t>
      </w:r>
      <w:r w:rsidR="00BD1F48">
        <w:t xml:space="preserve"> “</w:t>
      </w:r>
      <w:r w:rsidRPr="00660CDA">
        <w:t>protection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Turkmenistan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sacred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every</w:t>
      </w:r>
      <w:r w:rsidR="00BD1F48">
        <w:t xml:space="preserve"> </w:t>
      </w:r>
      <w:r w:rsidRPr="00660CDA">
        <w:t>citizen</w:t>
      </w:r>
      <w:r w:rsidR="00BD1F48">
        <w:t xml:space="preserve">” </w:t>
      </w:r>
      <w:r w:rsidRPr="00660CDA">
        <w:t>and</w:t>
      </w:r>
      <w:r w:rsidR="00BD1F48">
        <w:t xml:space="preserve"> </w:t>
      </w:r>
      <w:r w:rsidRPr="00660CDA">
        <w:t>general</w:t>
      </w:r>
      <w:r w:rsidR="00BD1F48">
        <w:t xml:space="preserve"> </w:t>
      </w:r>
      <w:r w:rsidRPr="00660CDA">
        <w:t>conscription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male</w:t>
      </w:r>
      <w:r w:rsidR="00BD1F48">
        <w:t xml:space="preserve"> </w:t>
      </w:r>
      <w:r w:rsidRPr="00660CDA">
        <w:t>citizens.</w:t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9.7</w:t>
      </w:r>
      <w:r w:rsidRPr="00660CDA">
        <w:tab/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general</w:t>
      </w:r>
      <w:r w:rsidR="00BD1F48">
        <w:t xml:space="preserve"> </w:t>
      </w:r>
      <w:r w:rsidRPr="00660CDA">
        <w:t>comment</w:t>
      </w:r>
      <w:r w:rsidR="00BD1F48">
        <w:t xml:space="preserve"> </w:t>
      </w:r>
      <w:r w:rsidRPr="00660CDA">
        <w:t>No.</w:t>
      </w:r>
      <w:r w:rsidR="00BD1F48">
        <w:t xml:space="preserve"> </w:t>
      </w:r>
      <w:r w:rsidRPr="00660CDA">
        <w:t>22</w:t>
      </w:r>
      <w:r w:rsidR="00BD1F48">
        <w:t xml:space="preserve"> </w:t>
      </w:r>
      <w:r w:rsidRPr="00660CDA">
        <w:t>(1993)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freedom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thought,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religion,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which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considers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fundamental</w:t>
      </w:r>
      <w:r w:rsidR="00BD1F48">
        <w:t xml:space="preserve"> </w:t>
      </w:r>
      <w:r w:rsidRPr="00660CDA">
        <w:t>character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freedoms</w:t>
      </w:r>
      <w:r w:rsidR="00BD1F48">
        <w:t xml:space="preserve"> </w:t>
      </w:r>
      <w:r w:rsidRPr="00660CDA">
        <w:t>enshrined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reflected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provision</w:t>
      </w:r>
      <w:r w:rsidR="00BD1F48">
        <w:t xml:space="preserve"> </w:t>
      </w:r>
      <w:r w:rsidRPr="00660CDA">
        <w:t>cannot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derogated</w:t>
      </w:r>
      <w:r w:rsidR="00BD1F48">
        <w:t xml:space="preserve"> </w:t>
      </w:r>
      <w:r w:rsidRPr="00660CDA">
        <w:t>from,</w:t>
      </w:r>
      <w:r w:rsidR="00BD1F48">
        <w:t xml:space="preserve"> </w:t>
      </w:r>
      <w:r w:rsidRPr="00660CDA">
        <w:t>even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time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public</w:t>
      </w:r>
      <w:r w:rsidR="00BD1F48">
        <w:t xml:space="preserve"> </w:t>
      </w:r>
      <w:r w:rsidRPr="00660CDA">
        <w:t>emergency,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stated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4</w:t>
      </w:r>
      <w:r w:rsidR="00BD1F48">
        <w:t xml:space="preserve"> </w:t>
      </w:r>
      <w:r w:rsidRPr="00660CDA">
        <w:t>(2)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prior</w:t>
      </w:r>
      <w:r w:rsidR="00BD1F48">
        <w:t xml:space="preserve"> </w:t>
      </w:r>
      <w:r w:rsidRPr="00660CDA">
        <w:t>jurisprudence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although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does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explicitly</w:t>
      </w:r>
      <w:r w:rsidR="00BD1F48">
        <w:t xml:space="preserve"> </w:t>
      </w:r>
      <w:r w:rsidRPr="00660CDA">
        <w:t>refer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objection,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derives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18,</w:t>
      </w:r>
      <w:r w:rsidR="00BD1F48">
        <w:t xml:space="preserve"> </w:t>
      </w:r>
      <w:r w:rsidRPr="00660CDA">
        <w:t>inasmuch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obligation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involved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use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lethal</w:t>
      </w:r>
      <w:r w:rsidR="00BD1F48">
        <w:t xml:space="preserve"> </w:t>
      </w:r>
      <w:r w:rsidRPr="00660CDA">
        <w:t>force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seriously</w:t>
      </w:r>
      <w:r w:rsidR="00BD1F48">
        <w:t xml:space="preserve"> </w:t>
      </w:r>
      <w:r w:rsidRPr="00660CDA">
        <w:t>conflict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freedom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thought,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religion.</w:t>
      </w:r>
      <w:r w:rsidRPr="00BD1F48">
        <w:rPr>
          <w:rStyle w:val="FootnoteReference"/>
        </w:rPr>
        <w:footnoteReference w:id="21"/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inheres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freedom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thought,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religion.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entitles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individual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exemption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if</w:t>
      </w:r>
      <w:r w:rsidR="00BD1F48">
        <w:t xml:space="preserve"> </w:t>
      </w:r>
      <w:r w:rsidRPr="00660CDA">
        <w:t>such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cannot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reconciled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individual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religion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beliefs.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impaired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coercion.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may,</w:t>
      </w:r>
      <w:r w:rsidR="00BD1F48">
        <w:t xml:space="preserve"> </w:t>
      </w:r>
      <w:r w:rsidRPr="00660CDA">
        <w:t>if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wishes,</w:t>
      </w:r>
      <w:r w:rsidR="00BD1F48">
        <w:t xml:space="preserve"> </w:t>
      </w:r>
      <w:r w:rsidRPr="00660CDA">
        <w:t>compel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objector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undertake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civilian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outside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sphere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command.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punitive</w:t>
      </w:r>
      <w:r w:rsidR="00BD1F48">
        <w:t xml:space="preserve"> </w:t>
      </w:r>
      <w:r w:rsidRPr="00660CDA">
        <w:t>nature.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must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real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community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compatible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respect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human</w:t>
      </w:r>
      <w:r w:rsidR="00BD1F48">
        <w:t xml:space="preserve"> </w:t>
      </w:r>
      <w:r w:rsidRPr="00660CDA">
        <w:t>rights.</w:t>
      </w:r>
      <w:r w:rsidRPr="00BD1F48">
        <w:rPr>
          <w:rStyle w:val="FootnoteReference"/>
        </w:rPr>
        <w:footnoteReference w:id="22"/>
      </w:r>
      <w:r w:rsidR="00BD1F48">
        <w:t xml:space="preserve"> </w:t>
      </w:r>
    </w:p>
    <w:p w:rsidR="00BC4324" w:rsidRPr="00660CDA" w:rsidRDefault="00BC4324" w:rsidP="00BD1F48">
      <w:pPr>
        <w:pStyle w:val="SingleTxtG"/>
      </w:pPr>
      <w:r w:rsidRPr="00660CDA">
        <w:t>9.8</w:t>
      </w:r>
      <w:r w:rsidRPr="00660CDA">
        <w:tab/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present</w:t>
      </w:r>
      <w:r w:rsidR="00BD1F48">
        <w:t xml:space="preserve"> </w:t>
      </w:r>
      <w:r w:rsidRPr="00660CDA">
        <w:t>case,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considers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drafted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derives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subsequent</w:t>
      </w:r>
      <w:r w:rsidR="00BD1F48">
        <w:t xml:space="preserve"> </w:t>
      </w:r>
      <w:r w:rsidRPr="00660CDA">
        <w:t>conviction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sentence</w:t>
      </w:r>
      <w:r w:rsidR="00BD1F48">
        <w:t xml:space="preserve"> </w:t>
      </w:r>
      <w:r w:rsidRPr="00660CDA">
        <w:t>amounted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infringement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freedom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thought,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religion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breach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context,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repression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drafted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exercised</w:t>
      </w:r>
      <w:r w:rsidR="00BD1F48">
        <w:t xml:space="preserve"> </w:t>
      </w:r>
      <w:r w:rsidRPr="00660CDA">
        <w:t>against</w:t>
      </w:r>
      <w:r w:rsidR="00BD1F48">
        <w:t xml:space="preserve"> </w:t>
      </w:r>
      <w:r w:rsidRPr="00660CDA">
        <w:t>persons</w:t>
      </w:r>
      <w:r w:rsidR="00BD1F48">
        <w:t xml:space="preserve"> </w:t>
      </w:r>
      <w:r w:rsidRPr="00660CDA">
        <w:t>whose</w:t>
      </w:r>
      <w:r w:rsidR="00BD1F48">
        <w:t xml:space="preserve"> </w:t>
      </w:r>
      <w:r w:rsidRPr="00660CDA">
        <w:t>conscience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religion</w:t>
      </w:r>
      <w:r w:rsidR="00BD1F48">
        <w:t xml:space="preserve"> </w:t>
      </w:r>
      <w:r w:rsidRPr="00660CDA">
        <w:t>prohibits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use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arms,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incompatible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Pr="00BD1F48">
        <w:rPr>
          <w:rStyle w:val="FootnoteReference"/>
        </w:rPr>
        <w:footnoteReference w:id="23"/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recalls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during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consideration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initial</w:t>
      </w:r>
      <w:r w:rsidR="00BD1F48">
        <w:t xml:space="preserve"> </w:t>
      </w:r>
      <w:r w:rsidRPr="00660CDA">
        <w:t>report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40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had</w:t>
      </w:r>
      <w:r w:rsidR="00BD1F48">
        <w:t xml:space="preserve"> </w:t>
      </w:r>
      <w:r w:rsidRPr="00660CDA">
        <w:t>expressed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concern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Act,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amended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25</w:t>
      </w:r>
      <w:r w:rsidR="00BD1F48">
        <w:t xml:space="preserve"> </w:t>
      </w:r>
      <w:r w:rsidRPr="00660CDA">
        <w:t>September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recognize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person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exercise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did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recommended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party,</w:t>
      </w:r>
      <w:r w:rsidR="00BD1F48">
        <w:t xml:space="preserve"> </w:t>
      </w:r>
      <w:r w:rsidRPr="00660CDA">
        <w:t>inter</w:t>
      </w:r>
      <w:r w:rsidR="00BD1F48">
        <w:t xml:space="preserve"> </w:t>
      </w:r>
      <w:r w:rsidRPr="00660CDA">
        <w:t>alia,</w:t>
      </w:r>
      <w:r w:rsidR="00BD1F48">
        <w:t xml:space="preserve"> </w:t>
      </w:r>
      <w:r w:rsidRPr="00660CDA">
        <w:t>take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necessary</w:t>
      </w:r>
      <w:r w:rsidR="00BD1F48">
        <w:t xml:space="preserve"> </w:t>
      </w:r>
      <w:r w:rsidRPr="00660CDA">
        <w:t>measures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review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legislation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view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providing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alternative</w:t>
      </w:r>
      <w:r w:rsidR="00BD1F48">
        <w:t xml:space="preserve"> </w:t>
      </w:r>
      <w:r w:rsidRPr="00660CDA">
        <w:t>service.</w:t>
      </w:r>
      <w:r w:rsidRPr="00BD1F48">
        <w:rPr>
          <w:rStyle w:val="FootnoteReference"/>
        </w:rPr>
        <w:footnoteReference w:id="24"/>
      </w:r>
      <w:r w:rsidR="00BD1F48">
        <w:t xml:space="preserve"> </w:t>
      </w:r>
      <w:r w:rsidRPr="00660CDA">
        <w:t>Accordingly,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finds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prosecuting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convicting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refusal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perform</w:t>
      </w:r>
      <w:r w:rsidR="00BD1F48">
        <w:t xml:space="preserve"> </w:t>
      </w:r>
      <w:r w:rsidRPr="00660CDA">
        <w:t>compulsory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due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religious</w:t>
      </w:r>
      <w:r w:rsidR="00BD1F48">
        <w:t xml:space="preserve"> </w:t>
      </w:r>
      <w:r w:rsidRPr="00660CDA">
        <w:t>beliefs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his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</w:p>
    <w:p w:rsidR="00BC4324" w:rsidRPr="00660CDA" w:rsidRDefault="00BC4324" w:rsidP="00BD1F48">
      <w:pPr>
        <w:pStyle w:val="SingleTxtG"/>
      </w:pPr>
      <w:r w:rsidRPr="00660CDA">
        <w:t>10.</w:t>
      </w:r>
      <w:r w:rsidRPr="00660CDA">
        <w:tab/>
        <w:t>The</w:t>
      </w:r>
      <w:r w:rsidR="00BD1F48">
        <w:t xml:space="preserve"> </w:t>
      </w:r>
      <w:r w:rsidRPr="00660CDA">
        <w:t>Committee,</w:t>
      </w:r>
      <w:r w:rsidR="00BD1F48">
        <w:t xml:space="preserve"> </w:t>
      </w:r>
      <w:r w:rsidRPr="00660CDA">
        <w:t>acting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5</w:t>
      </w:r>
      <w:r w:rsidR="00BD1F48">
        <w:t xml:space="preserve"> </w:t>
      </w:r>
      <w:r w:rsidRPr="00660CDA">
        <w:t>(4)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Protocol,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view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facts</w:t>
      </w:r>
      <w:r w:rsidR="00BD1F48">
        <w:t xml:space="preserve"> </w:t>
      </w:r>
      <w:r w:rsidRPr="00660CDA">
        <w:t>before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disclose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articles</w:t>
      </w:r>
      <w:r w:rsidR="00BD1F48">
        <w:t xml:space="preserve"> </w:t>
      </w:r>
      <w:r w:rsidRPr="00660CDA">
        <w:t>7,</w:t>
      </w:r>
      <w:r w:rsidR="00BD1F48">
        <w:t xml:space="preserve"> </w:t>
      </w:r>
      <w:r w:rsidRPr="00660CDA">
        <w:t>10</w:t>
      </w:r>
      <w:r w:rsidR="00BD1F48">
        <w:t xml:space="preserve"> </w:t>
      </w:r>
      <w:r w:rsidRPr="00660CDA">
        <w:t>(1),</w:t>
      </w:r>
      <w:r w:rsidR="00BD1F48">
        <w:t xml:space="preserve"> </w:t>
      </w:r>
      <w:r w:rsidRPr="00660CDA">
        <w:t>14</w:t>
      </w:r>
      <w:r w:rsidR="00BD1F48">
        <w:t xml:space="preserve"> </w:t>
      </w:r>
      <w:r w:rsidRPr="00660CDA">
        <w:t>(7)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</w:p>
    <w:p w:rsidR="00BC4324" w:rsidRPr="00660CDA" w:rsidRDefault="00BC4324" w:rsidP="00BD1F48">
      <w:pPr>
        <w:pStyle w:val="SingleTxtG"/>
      </w:pPr>
      <w:r w:rsidRPr="00660CDA">
        <w:t>11.</w:t>
      </w:r>
      <w:r w:rsidRPr="00660CDA">
        <w:tab/>
        <w:t>In</w:t>
      </w:r>
      <w:r w:rsidR="00BD1F48">
        <w:t xml:space="preserve"> </w:t>
      </w:r>
      <w:r w:rsidRPr="00660CDA">
        <w:t>accordance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</w:t>
      </w:r>
      <w:r w:rsidR="00BD1F48">
        <w:t xml:space="preserve"> </w:t>
      </w:r>
      <w:r w:rsidRPr="00660CDA">
        <w:t>(3)</w:t>
      </w:r>
      <w:r w:rsidR="00BD1F48">
        <w:t xml:space="preserve"> </w:t>
      </w:r>
      <w:r w:rsidRPr="00660CDA">
        <w:t>(a)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obligation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effective</w:t>
      </w:r>
      <w:r w:rsidR="00BD1F48">
        <w:t xml:space="preserve"> </w:t>
      </w:r>
      <w:r w:rsidRPr="00660CDA">
        <w:t>remedy.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requires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make</w:t>
      </w:r>
      <w:r w:rsidR="00BD1F48">
        <w:t xml:space="preserve"> </w:t>
      </w:r>
      <w:r w:rsidRPr="00660CDA">
        <w:t>full</w:t>
      </w:r>
      <w:r w:rsidR="00BD1F48">
        <w:t xml:space="preserve"> </w:t>
      </w:r>
      <w:r w:rsidRPr="00660CDA">
        <w:t>reparation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individuals</w:t>
      </w:r>
      <w:r w:rsidR="00BD1F48">
        <w:t xml:space="preserve"> </w:t>
      </w:r>
      <w:r w:rsidRPr="00660CDA">
        <w:t>whose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have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violated.</w:t>
      </w:r>
      <w:r w:rsidR="00BD1F48">
        <w:t xml:space="preserve"> </w:t>
      </w:r>
      <w:r w:rsidRPr="00660CDA">
        <w:t>Accordingly,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obligated,</w:t>
      </w:r>
      <w:r w:rsidR="00BD1F48">
        <w:t xml:space="preserve"> </w:t>
      </w:r>
      <w:r w:rsidRPr="00660CDA">
        <w:t>inter</w:t>
      </w:r>
      <w:r w:rsidR="00BD1F48">
        <w:t xml:space="preserve"> </w:t>
      </w:r>
      <w:r w:rsidRPr="00660CDA">
        <w:t>alia,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impartially,</w:t>
      </w:r>
      <w:r w:rsidR="00BD1F48">
        <w:t xml:space="preserve"> </w:t>
      </w:r>
      <w:r w:rsidRPr="00660CDA">
        <w:t>effectively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thoroughly</w:t>
      </w:r>
      <w:r w:rsidR="00BD1F48">
        <w:t xml:space="preserve"> </w:t>
      </w:r>
      <w:r w:rsidRPr="00660CDA">
        <w:t>investigate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claims</w:t>
      </w:r>
      <w:r w:rsidR="00BD1F48">
        <w:t xml:space="preserve"> </w:t>
      </w:r>
      <w:r w:rsidRPr="00660CDA">
        <w:t>falling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7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prosecute</w:t>
      </w:r>
      <w:r w:rsidR="00BD1F48">
        <w:t xml:space="preserve"> </w:t>
      </w:r>
      <w:r w:rsidRPr="00660CDA">
        <w:t>any</w:t>
      </w:r>
      <w:r w:rsidR="00BD1F48">
        <w:t xml:space="preserve"> </w:t>
      </w:r>
      <w:r w:rsidRPr="00660CDA">
        <w:t>person(s)</w:t>
      </w:r>
      <w:r w:rsidR="00BD1F48">
        <w:t xml:space="preserve"> </w:t>
      </w:r>
      <w:r w:rsidRPr="00660CDA">
        <w:t>found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be</w:t>
      </w:r>
      <w:r w:rsidR="00BD1F48">
        <w:t xml:space="preserve"> </w:t>
      </w:r>
      <w:r w:rsidRPr="00660CDA">
        <w:t>responsible,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expunge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criminal</w:t>
      </w:r>
      <w:r w:rsidR="00BD1F48">
        <w:t xml:space="preserve"> </w:t>
      </w:r>
      <w:r w:rsidRPr="00660CDA">
        <w:t>record,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him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adequate</w:t>
      </w:r>
      <w:r w:rsidR="00BD1F48">
        <w:t xml:space="preserve"> </w:t>
      </w:r>
      <w:r w:rsidRPr="00660CDA">
        <w:t>compensation.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obligation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avoid</w:t>
      </w:r>
      <w:r w:rsidR="00BD1F48">
        <w:t xml:space="preserve"> </w:t>
      </w:r>
      <w:r w:rsidRPr="00660CDA">
        <w:t>similar</w:t>
      </w:r>
      <w:r w:rsidR="00BD1F48">
        <w:t xml:space="preserve"> </w:t>
      </w:r>
      <w:r w:rsidRPr="00660CDA">
        <w:t>violations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future.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this</w:t>
      </w:r>
      <w:r w:rsidR="00BD1F48">
        <w:t xml:space="preserve"> </w:t>
      </w:r>
      <w:r w:rsidRPr="00660CDA">
        <w:t>connection,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reiterates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should</w:t>
      </w:r>
      <w:r w:rsidR="00BD1F48">
        <w:t xml:space="preserve"> </w:t>
      </w:r>
      <w:r w:rsidRPr="00660CDA">
        <w:t>revise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legislation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accordance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obligation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</w:t>
      </w:r>
      <w:r w:rsidR="00BD1F48">
        <w:t xml:space="preserve"> </w:t>
      </w:r>
      <w:r w:rsidRPr="00660CDA">
        <w:t>(2)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particular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Service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Military</w:t>
      </w:r>
      <w:r w:rsidR="00BD1F48">
        <w:t xml:space="preserve"> </w:t>
      </w:r>
      <w:r w:rsidRPr="00660CDA">
        <w:t>Duty</w:t>
      </w:r>
      <w:r w:rsidR="00BD1F48">
        <w:t xml:space="preserve"> </w:t>
      </w:r>
      <w:r w:rsidRPr="00660CDA">
        <w:t>Act,</w:t>
      </w:r>
      <w:r w:rsidR="00BD1F48">
        <w:t xml:space="preserve"> </w:t>
      </w:r>
      <w:r w:rsidRPr="00660CDA">
        <w:t>as</w:t>
      </w:r>
      <w:r w:rsidR="00BD1F48">
        <w:t xml:space="preserve"> </w:t>
      </w:r>
      <w:r w:rsidRPr="00660CDA">
        <w:t>amended</w:t>
      </w:r>
      <w:r w:rsidR="00BD1F48">
        <w:t xml:space="preserve"> </w:t>
      </w:r>
      <w:r w:rsidRPr="00660CDA">
        <w:t>on</w:t>
      </w:r>
      <w:r w:rsidR="00BD1F48">
        <w:t xml:space="preserve"> </w:t>
      </w:r>
      <w:r w:rsidRPr="00660CDA">
        <w:t>25</w:t>
      </w:r>
      <w:r w:rsidR="00BD1F48">
        <w:t xml:space="preserve"> </w:t>
      </w:r>
      <w:r w:rsidRPr="00660CDA">
        <w:t>September</w:t>
      </w:r>
      <w:r w:rsidR="00BD1F48">
        <w:t xml:space="preserve"> </w:t>
      </w:r>
      <w:r w:rsidRPr="00660CDA">
        <w:t>2010,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view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guaranteeing</w:t>
      </w:r>
      <w:r w:rsidR="00BD1F48">
        <w:t xml:space="preserve"> </w:t>
      </w:r>
      <w:r w:rsidRPr="00660CDA">
        <w:t>effectively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conscientious</w:t>
      </w:r>
      <w:r w:rsidR="00BD1F48">
        <w:t xml:space="preserve"> </w:t>
      </w:r>
      <w:r w:rsidRPr="00660CDA">
        <w:t>objection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18</w:t>
      </w:r>
      <w:r w:rsidR="00BD1F48">
        <w:t xml:space="preserve"> </w:t>
      </w:r>
      <w:r w:rsidRPr="00660CDA">
        <w:t>(1)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Covenant.</w:t>
      </w:r>
      <w:r w:rsidRPr="00BD1F48">
        <w:rPr>
          <w:rStyle w:val="FootnoteReference"/>
        </w:rPr>
        <w:footnoteReference w:id="25"/>
      </w:r>
      <w:r w:rsidR="00BD1F48">
        <w:t xml:space="preserve"> </w:t>
      </w:r>
    </w:p>
    <w:p w:rsidR="00BD1F48" w:rsidRDefault="00BC4324" w:rsidP="00BD1F48">
      <w:pPr>
        <w:pStyle w:val="SingleTxtG"/>
      </w:pPr>
      <w:r w:rsidRPr="00660CDA">
        <w:t>12.</w:t>
      </w:r>
      <w:r w:rsidRPr="00660CDA">
        <w:tab/>
        <w:t>Bearing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mind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by</w:t>
      </w:r>
      <w:r w:rsidR="00BD1F48">
        <w:t xml:space="preserve"> </w:t>
      </w:r>
      <w:r w:rsidRPr="00660CDA">
        <w:t>becoming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Optional</w:t>
      </w:r>
      <w:r w:rsidR="00BD1F48">
        <w:t xml:space="preserve"> </w:t>
      </w:r>
      <w:r w:rsidRPr="00660CDA">
        <w:t>Protocol,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recognized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competence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determine</w:t>
      </w:r>
      <w:r w:rsidR="00BD1F48">
        <w:t xml:space="preserve"> </w:t>
      </w:r>
      <w:r w:rsidRPr="00660CDA">
        <w:t>whether</w:t>
      </w:r>
      <w:r w:rsidR="00BD1F48">
        <w:t xml:space="preserve"> </w:t>
      </w:r>
      <w:r w:rsidRPr="00660CDA">
        <w:t>there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</w:t>
      </w:r>
      <w:r w:rsidR="00BD1F48">
        <w:t xml:space="preserve"> </w:t>
      </w:r>
      <w:r w:rsidRPr="00660CDA">
        <w:t>or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that,</w:t>
      </w:r>
      <w:r w:rsidR="00BD1F48">
        <w:t xml:space="preserve"> </w:t>
      </w:r>
      <w:r w:rsidRPr="00660CDA">
        <w:t>pursuant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article</w:t>
      </w:r>
      <w:r w:rsidR="00BD1F48">
        <w:t xml:space="preserve"> </w:t>
      </w:r>
      <w:r w:rsidRPr="00660CDA">
        <w:t>2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undertaken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ensure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all</w:t>
      </w:r>
      <w:r w:rsidR="00BD1F48">
        <w:t xml:space="preserve"> </w:t>
      </w:r>
      <w:r w:rsidRPr="00660CDA">
        <w:t>individuals</w:t>
      </w:r>
      <w:r w:rsidR="00BD1F48">
        <w:t xml:space="preserve"> </w:t>
      </w:r>
      <w:r w:rsidRPr="00660CDA">
        <w:t>within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territory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subject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its</w:t>
      </w:r>
      <w:r w:rsidR="00BD1F48">
        <w:t xml:space="preserve"> </w:t>
      </w:r>
      <w:r w:rsidRPr="00660CDA">
        <w:t>jurisdiction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recognized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provide</w:t>
      </w:r>
      <w:r w:rsidR="00BD1F48">
        <w:t xml:space="preserve"> </w:t>
      </w:r>
      <w:r w:rsidRPr="00660CDA">
        <w:t>an</w:t>
      </w:r>
      <w:r w:rsidR="00BD1F48">
        <w:t xml:space="preserve"> </w:t>
      </w:r>
      <w:r w:rsidRPr="00660CDA">
        <w:t>effective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enforceable</w:t>
      </w:r>
      <w:r w:rsidR="00BD1F48">
        <w:t xml:space="preserve"> </w:t>
      </w:r>
      <w:r w:rsidRPr="00660CDA">
        <w:t>remedy</w:t>
      </w:r>
      <w:r w:rsidR="00BD1F48">
        <w:t xml:space="preserve"> </w:t>
      </w:r>
      <w:r w:rsidRPr="00660CDA">
        <w:t>when</w:t>
      </w:r>
      <w:r w:rsidR="00BD1F48">
        <w:t xml:space="preserve"> </w:t>
      </w:r>
      <w:r w:rsidRPr="00660CDA">
        <w:t>a</w:t>
      </w:r>
      <w:r w:rsidR="00BD1F48">
        <w:t xml:space="preserve"> </w:t>
      </w:r>
      <w:r w:rsidRPr="00660CDA">
        <w:t>violation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been</w:t>
      </w:r>
      <w:r w:rsidR="00BD1F48">
        <w:t xml:space="preserve"> </w:t>
      </w:r>
      <w:r w:rsidRPr="00660CDA">
        <w:t>established,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wishes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receive</w:t>
      </w:r>
      <w:r w:rsidR="00BD1F48">
        <w:t xml:space="preserve"> </w:t>
      </w:r>
      <w:r w:rsidRPr="00660CDA">
        <w:t>from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party,</w:t>
      </w:r>
      <w:r w:rsidR="00BD1F48">
        <w:t xml:space="preserve"> </w:t>
      </w:r>
      <w:r w:rsidRPr="00660CDA">
        <w:t>within</w:t>
      </w:r>
      <w:r w:rsidR="00BD1F48">
        <w:t xml:space="preserve"> </w:t>
      </w:r>
      <w:r w:rsidRPr="00660CDA">
        <w:t>180</w:t>
      </w:r>
      <w:r w:rsidR="00BD1F48">
        <w:t xml:space="preserve"> </w:t>
      </w:r>
      <w:r w:rsidRPr="00660CDA">
        <w:t>days,</w:t>
      </w:r>
      <w:r w:rsidR="00BD1F48">
        <w:t xml:space="preserve"> </w:t>
      </w:r>
      <w:r w:rsidRPr="00660CDA">
        <w:t>information</w:t>
      </w:r>
      <w:r w:rsidR="00BD1F48">
        <w:t xml:space="preserve"> </w:t>
      </w:r>
      <w:r w:rsidRPr="00660CDA">
        <w:t>about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measures</w:t>
      </w:r>
      <w:r w:rsidR="00BD1F48">
        <w:t xml:space="preserve"> </w:t>
      </w:r>
      <w:r w:rsidRPr="00660CDA">
        <w:t>taken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give</w:t>
      </w:r>
      <w:r w:rsidR="00BD1F48">
        <w:t xml:space="preserve"> </w:t>
      </w:r>
      <w:r w:rsidRPr="00660CDA">
        <w:t>effect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Views.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is</w:t>
      </w:r>
      <w:r w:rsidR="00BD1F48">
        <w:t xml:space="preserve"> </w:t>
      </w:r>
      <w:r w:rsidRPr="00660CDA">
        <w:t>also</w:t>
      </w:r>
      <w:r w:rsidR="00BD1F48">
        <w:t xml:space="preserve"> </w:t>
      </w:r>
      <w:r w:rsidRPr="00660CDA">
        <w:t>requested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publish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Views.</w:t>
      </w:r>
    </w:p>
    <w:p w:rsidR="00BD1F48" w:rsidRDefault="00BD1F48" w:rsidP="00BD1F48">
      <w:pPr>
        <w:pStyle w:val="SingleTxtG"/>
      </w:pPr>
    </w:p>
    <w:p w:rsidR="00BD1F48" w:rsidRDefault="00BD1F48" w:rsidP="00BD1F48">
      <w:pPr>
        <w:pStyle w:val="SingleTxtG"/>
        <w:sectPr w:rsidR="00BD1F48" w:rsidSect="00BC432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701" w:right="1134" w:bottom="2268" w:left="1134" w:header="1134" w:footer="1701" w:gutter="0"/>
          <w:cols w:space="720"/>
          <w:titlePg/>
          <w:docGrid w:linePitch="272"/>
        </w:sectPr>
      </w:pPr>
    </w:p>
    <w:p w:rsidR="00BC4324" w:rsidRPr="00660CDA" w:rsidRDefault="00BC4324" w:rsidP="00BD1F48">
      <w:pPr>
        <w:pStyle w:val="HChG"/>
      </w:pPr>
      <w:r w:rsidRPr="00660CDA">
        <w:t>Annex</w:t>
      </w:r>
      <w:r w:rsidR="00BD1F48">
        <w:t xml:space="preserve"> </w:t>
      </w:r>
    </w:p>
    <w:p w:rsidR="00BC4324" w:rsidRPr="00660CDA" w:rsidRDefault="00BC4324" w:rsidP="00BD1F48">
      <w:pPr>
        <w:pStyle w:val="HChG"/>
      </w:pPr>
      <w:r w:rsidRPr="00660CDA">
        <w:tab/>
      </w:r>
      <w:r w:rsidRPr="00660CDA">
        <w:tab/>
        <w:t>Joint</w:t>
      </w:r>
      <w:r w:rsidR="00BD1F48">
        <w:t xml:space="preserve"> </w:t>
      </w:r>
      <w:r w:rsidRPr="00660CDA">
        <w:t>opinion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Committee</w:t>
      </w:r>
      <w:r w:rsidR="00BD1F48">
        <w:t xml:space="preserve"> </w:t>
      </w:r>
      <w:r w:rsidRPr="00660CDA">
        <w:t>members</w:t>
      </w:r>
      <w:r w:rsidR="00BD1F48">
        <w:t xml:space="preserve"> </w:t>
      </w:r>
      <w:r w:rsidRPr="00660CDA">
        <w:t>Yuji</w:t>
      </w:r>
      <w:r w:rsidR="00BD1F48">
        <w:t xml:space="preserve"> </w:t>
      </w:r>
      <w:r w:rsidRPr="00660CDA">
        <w:t>Iwasawa</w:t>
      </w:r>
      <w:r w:rsidR="00BD1F48">
        <w:t xml:space="preserve"> </w:t>
      </w:r>
      <w:r w:rsidRPr="00660CDA">
        <w:t>and</w:t>
      </w:r>
      <w:r w:rsidR="00BD1F48">
        <w:t xml:space="preserve"> </w:t>
      </w:r>
      <w:r w:rsidRPr="00660CDA">
        <w:t>Yuval</w:t>
      </w:r>
      <w:r w:rsidR="00BD1F48">
        <w:t xml:space="preserve"> </w:t>
      </w:r>
      <w:r w:rsidRPr="00660CDA">
        <w:t>Shany</w:t>
      </w:r>
      <w:r w:rsidR="00BD1F48">
        <w:t xml:space="preserve"> </w:t>
      </w:r>
      <w:r w:rsidRPr="00660CDA">
        <w:t>(concurring)</w:t>
      </w:r>
    </w:p>
    <w:p w:rsidR="00BC4324" w:rsidRPr="00660CDA" w:rsidRDefault="00BC4324" w:rsidP="00BD1F48">
      <w:pPr>
        <w:pStyle w:val="SingleTxtG"/>
      </w:pPr>
      <w:r w:rsidRPr="00660CDA">
        <w:tab/>
        <w:t>We</w:t>
      </w:r>
      <w:r w:rsidR="00BD1F48">
        <w:t xml:space="preserve"> </w:t>
      </w:r>
      <w:r w:rsidRPr="00660CDA">
        <w:t>concur</w:t>
      </w:r>
      <w:r w:rsidR="00BD1F48">
        <w:t xml:space="preserve"> </w:t>
      </w:r>
      <w:r w:rsidRPr="00660CDA">
        <w:t>with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Committee</w:t>
      </w:r>
      <w:r w:rsidR="00BD1F48">
        <w:t>’</w:t>
      </w:r>
      <w:r w:rsidRPr="00660CDA">
        <w:t>s</w:t>
      </w:r>
      <w:r w:rsidR="00BD1F48">
        <w:t xml:space="preserve"> </w:t>
      </w:r>
      <w:r w:rsidRPr="00660CDA">
        <w:t>conclusion</w:t>
      </w:r>
      <w:r w:rsidR="00BD1F48">
        <w:t xml:space="preserve"> </w:t>
      </w:r>
      <w:r w:rsidRPr="00660CDA">
        <w:t>that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State</w:t>
      </w:r>
      <w:r w:rsidR="00BD1F48">
        <w:t xml:space="preserve"> </w:t>
      </w:r>
      <w:r w:rsidRPr="00660CDA">
        <w:t>party</w:t>
      </w:r>
      <w:r w:rsidR="00BD1F48">
        <w:t xml:space="preserve"> </w:t>
      </w:r>
      <w:r w:rsidRPr="00660CDA">
        <w:t>has</w:t>
      </w:r>
      <w:r w:rsidR="00BD1F48">
        <w:t xml:space="preserve"> </w:t>
      </w:r>
      <w:r w:rsidRPr="00660CDA">
        <w:t>violated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rights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author</w:t>
      </w:r>
      <w:r w:rsidR="00BD1F48">
        <w:t xml:space="preserve"> </w:t>
      </w:r>
      <w:r w:rsidRPr="00660CDA">
        <w:t>under</w:t>
      </w:r>
      <w:r w:rsidR="00BD1F48">
        <w:t xml:space="preserve"> </w:t>
      </w:r>
      <w:r w:rsidRPr="00660CDA">
        <w:t>article</w:t>
      </w:r>
      <w:r w:rsidR="00BD1F48">
        <w:rPr>
          <w:rFonts w:hint="eastAsia"/>
        </w:rPr>
        <w:t xml:space="preserve"> </w:t>
      </w:r>
      <w:r w:rsidRPr="00660CDA">
        <w:t>18</w:t>
      </w:r>
      <w:r w:rsidR="00BD1F48">
        <w:rPr>
          <w:rFonts w:hint="eastAsia"/>
        </w:rPr>
        <w:t xml:space="preserve"> </w:t>
      </w:r>
      <w:r w:rsidRPr="00660CDA">
        <w:t>(</w:t>
      </w:r>
      <w:r w:rsidRPr="00660CDA">
        <w:rPr>
          <w:rFonts w:hint="eastAsia"/>
        </w:rPr>
        <w:t>1</w:t>
      </w:r>
      <w:r w:rsidRPr="00660CDA">
        <w:t>)</w:t>
      </w:r>
      <w:r w:rsidR="00BD1F48">
        <w:t xml:space="preserve"> </w:t>
      </w:r>
      <w:r w:rsidRPr="00660CDA">
        <w:t>of</w:t>
      </w:r>
      <w:r w:rsidR="00BD1F48">
        <w:t xml:space="preserve"> </w:t>
      </w:r>
      <w:r w:rsidRPr="00660CDA">
        <w:t>the</w:t>
      </w:r>
      <w:r w:rsidR="00BD1F48">
        <w:t xml:space="preserve"> </w:t>
      </w:r>
      <w:r w:rsidRPr="00660CDA">
        <w:t>Covenant,</w:t>
      </w:r>
      <w:r w:rsidR="00BD1F48">
        <w:t xml:space="preserve"> </w:t>
      </w:r>
      <w:r w:rsidRPr="00660CDA">
        <w:t>but</w:t>
      </w:r>
      <w:r w:rsidR="00BD1F48">
        <w:t xml:space="preserve"> </w:t>
      </w:r>
      <w:r w:rsidRPr="00660CDA">
        <w:t>for</w:t>
      </w:r>
      <w:r w:rsidR="00BD1F48">
        <w:t xml:space="preserve"> </w:t>
      </w:r>
      <w:r w:rsidRPr="00660CDA">
        <w:t>reasons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different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from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the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majority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of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the</w:t>
      </w:r>
      <w:r w:rsidR="00BD1F48">
        <w:rPr>
          <w:rFonts w:hint="eastAsia"/>
        </w:rPr>
        <w:t xml:space="preserve"> </w:t>
      </w:r>
      <w:r w:rsidRPr="00660CDA">
        <w:rPr>
          <w:rFonts w:hint="eastAsia"/>
        </w:rPr>
        <w:t>Committee</w:t>
      </w:r>
      <w:r w:rsidRPr="00660CDA">
        <w:t>.</w:t>
      </w:r>
      <w:r w:rsidRPr="00BD1F48">
        <w:rPr>
          <w:rStyle w:val="FootnoteReference"/>
        </w:rPr>
        <w:footnoteReference w:id="26"/>
      </w:r>
      <w:r w:rsidR="00BD1F48">
        <w:rPr>
          <w:rFonts w:hint="eastAsia"/>
        </w:rPr>
        <w:t xml:space="preserve"> </w:t>
      </w:r>
      <w:r w:rsidRPr="00660CDA">
        <w:t>We</w:t>
      </w:r>
      <w:r w:rsidR="00BD1F48">
        <w:t xml:space="preserve"> </w:t>
      </w:r>
      <w:r w:rsidRPr="00660CDA">
        <w:t>will</w:t>
      </w:r>
      <w:r w:rsidR="00BD1F48">
        <w:t xml:space="preserve"> </w:t>
      </w:r>
      <w:r w:rsidRPr="00660CDA">
        <w:t>retain</w:t>
      </w:r>
      <w:r w:rsidR="00BD1F48">
        <w:t xml:space="preserve"> </w:t>
      </w:r>
      <w:r w:rsidRPr="00660CDA">
        <w:t>our</w:t>
      </w:r>
      <w:r w:rsidR="00BD1F48">
        <w:t xml:space="preserve"> </w:t>
      </w:r>
      <w:r w:rsidRPr="00660CDA">
        <w:t>reasoning</w:t>
      </w:r>
      <w:r w:rsidR="00BD1F48">
        <w:t xml:space="preserve"> </w:t>
      </w:r>
      <w:r w:rsidRPr="00660CDA">
        <w:t>even</w:t>
      </w:r>
      <w:r w:rsidR="00BD1F48">
        <w:t xml:space="preserve"> </w:t>
      </w:r>
      <w:r w:rsidRPr="00660CDA">
        <w:t>though</w:t>
      </w:r>
      <w:r w:rsidR="00BD1F48">
        <w:t xml:space="preserve"> </w:t>
      </w:r>
      <w:r w:rsidRPr="00660CDA">
        <w:t>we</w:t>
      </w:r>
      <w:r w:rsidR="00BD1F48">
        <w:t xml:space="preserve"> </w:t>
      </w:r>
      <w:r w:rsidRPr="00660CDA">
        <w:t>may</w:t>
      </w:r>
      <w:r w:rsidR="00BD1F48">
        <w:t xml:space="preserve"> </w:t>
      </w:r>
      <w:r w:rsidRPr="00660CDA">
        <w:t>not</w:t>
      </w:r>
      <w:r w:rsidR="00BD1F48">
        <w:t xml:space="preserve"> </w:t>
      </w:r>
      <w:r w:rsidRPr="00660CDA">
        <w:t>find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compelling</w:t>
      </w:r>
      <w:r w:rsidR="00BD1F48">
        <w:t xml:space="preserve"> </w:t>
      </w:r>
      <w:r w:rsidRPr="00660CDA">
        <w:t>to</w:t>
      </w:r>
      <w:r w:rsidR="00BD1F48">
        <w:t xml:space="preserve"> </w:t>
      </w:r>
      <w:r w:rsidRPr="00660CDA">
        <w:t>repeat</w:t>
      </w:r>
      <w:r w:rsidR="00BD1F48">
        <w:t xml:space="preserve"> </w:t>
      </w:r>
      <w:r w:rsidRPr="00660CDA">
        <w:t>it</w:t>
      </w:r>
      <w:r w:rsidR="00BD1F48">
        <w:t xml:space="preserve"> </w:t>
      </w:r>
      <w:r w:rsidRPr="00660CDA">
        <w:t>in</w:t>
      </w:r>
      <w:r w:rsidR="00BD1F48">
        <w:t xml:space="preserve"> </w:t>
      </w:r>
      <w:r w:rsidRPr="00660CDA">
        <w:t>future</w:t>
      </w:r>
      <w:r w:rsidR="00BD1F48">
        <w:t xml:space="preserve"> </w:t>
      </w:r>
      <w:r w:rsidRPr="00660CDA">
        <w:rPr>
          <w:rFonts w:hint="eastAsia"/>
        </w:rPr>
        <w:t>communication</w:t>
      </w:r>
      <w:r w:rsidRPr="00660CDA">
        <w:t>s</w:t>
      </w:r>
      <w:r w:rsidRPr="00660CDA">
        <w:rPr>
          <w:rFonts w:hint="eastAsia"/>
        </w:rPr>
        <w:t>.</w:t>
      </w:r>
    </w:p>
    <w:p w:rsidR="00BD1F48" w:rsidRPr="00106A43" w:rsidRDefault="00BD1F4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D1F48" w:rsidRPr="00106A43" w:rsidSect="00BD1F48">
      <w:headerReference w:type="first" r:id="rId15"/>
      <w:footerReference w:type="first" r:id="rId16"/>
      <w:footnotePr>
        <w:numFmt w:val="lowerLetter"/>
        <w:numRestart w:val="eachSect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13" w:rsidRPr="00B903E5" w:rsidRDefault="00085213" w:rsidP="00B903E5">
      <w:pPr>
        <w:pStyle w:val="Footer"/>
      </w:pPr>
    </w:p>
  </w:endnote>
  <w:endnote w:type="continuationSeparator" w:id="0">
    <w:p w:rsidR="00085213" w:rsidRPr="00B903E5" w:rsidRDefault="00085213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24" w:rsidRPr="00BC4324" w:rsidRDefault="00BC4324" w:rsidP="00E62CFA">
    <w:pPr>
      <w:pStyle w:val="Footer"/>
      <w:tabs>
        <w:tab w:val="right" w:pos="9598"/>
      </w:tabs>
    </w:pPr>
    <w:r w:rsidRPr="00BC4324">
      <w:rPr>
        <w:b/>
        <w:sz w:val="18"/>
      </w:rPr>
      <w:fldChar w:fldCharType="begin"/>
    </w:r>
    <w:r w:rsidRPr="00BC4324">
      <w:rPr>
        <w:b/>
        <w:sz w:val="18"/>
      </w:rPr>
      <w:instrText xml:space="preserve"> PAGE  \* MERGEFORMAT </w:instrText>
    </w:r>
    <w:r w:rsidRPr="00BC4324">
      <w:rPr>
        <w:b/>
        <w:sz w:val="18"/>
      </w:rPr>
      <w:fldChar w:fldCharType="separate"/>
    </w:r>
    <w:r w:rsidR="006875F1">
      <w:rPr>
        <w:b/>
        <w:noProof/>
        <w:sz w:val="18"/>
      </w:rPr>
      <w:t>2</w:t>
    </w:r>
    <w:r w:rsidRPr="00BC432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24" w:rsidRPr="00BC4324" w:rsidRDefault="00BC4324" w:rsidP="00BC4324">
    <w:pPr>
      <w:pStyle w:val="Footer"/>
      <w:tabs>
        <w:tab w:val="right" w:pos="9598"/>
      </w:tabs>
      <w:rPr>
        <w:b/>
        <w:sz w:val="18"/>
      </w:rPr>
    </w:pPr>
    <w:r>
      <w:tab/>
    </w:r>
    <w:r w:rsidRPr="00BC4324">
      <w:rPr>
        <w:b/>
        <w:sz w:val="18"/>
      </w:rPr>
      <w:fldChar w:fldCharType="begin"/>
    </w:r>
    <w:r w:rsidRPr="00BC4324">
      <w:rPr>
        <w:b/>
        <w:sz w:val="18"/>
      </w:rPr>
      <w:instrText xml:space="preserve"> PAGE  \* MERGEFORMAT </w:instrText>
    </w:r>
    <w:r w:rsidRPr="00BC4324">
      <w:rPr>
        <w:b/>
        <w:sz w:val="18"/>
      </w:rPr>
      <w:fldChar w:fldCharType="separate"/>
    </w:r>
    <w:r w:rsidR="006875F1">
      <w:rPr>
        <w:b/>
        <w:noProof/>
        <w:sz w:val="18"/>
      </w:rPr>
      <w:t>9</w:t>
    </w:r>
    <w:r w:rsidRPr="00BC432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F1" w:rsidRDefault="006875F1" w:rsidP="006875F1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75F1" w:rsidRDefault="006875F1" w:rsidP="006875F1">
    <w:pPr>
      <w:pStyle w:val="Footer"/>
      <w:ind w:right="1134"/>
      <w:rPr>
        <w:sz w:val="20"/>
      </w:rPr>
    </w:pPr>
    <w:r>
      <w:rPr>
        <w:sz w:val="20"/>
      </w:rPr>
      <w:t>GE.16-16567(E)</w:t>
    </w:r>
  </w:p>
  <w:p w:rsidR="006875F1" w:rsidRPr="006875F1" w:rsidRDefault="006875F1" w:rsidP="006875F1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1445" cy="641445"/>
          <wp:effectExtent l="0" t="0" r="6350" b="6350"/>
          <wp:wrapNone/>
          <wp:docPr id="2" name="Picture 1" descr="http://undocs.org/m2/QRCode.ashx?DS=CCPR/C/117/D/2220/201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7/D/2220/201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45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FA" w:rsidRPr="00BD1F48" w:rsidRDefault="00E62CFA" w:rsidP="00BD1F48">
    <w:pPr>
      <w:pStyle w:val="Footer"/>
      <w:rPr>
        <w:b/>
        <w:bCs/>
        <w:sz w:val="18"/>
        <w:szCs w:val="18"/>
      </w:rPr>
    </w:pPr>
    <w:r w:rsidRPr="00BD1F48">
      <w:rPr>
        <w:b/>
        <w:bCs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13" w:rsidRPr="00B903E5" w:rsidRDefault="00085213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085213" w:rsidRPr="00B903E5" w:rsidRDefault="00085213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BC4324" w:rsidRPr="00BC4324" w:rsidRDefault="00BC4324" w:rsidP="00BD1F48">
      <w:pPr>
        <w:pStyle w:val="FootnoteText"/>
      </w:pPr>
      <w:r>
        <w:rPr>
          <w:rStyle w:val="FootnoteReference"/>
        </w:rPr>
        <w:tab/>
      </w:r>
      <w:r w:rsidRPr="00BC4324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proofErr w:type="gramStart"/>
      <w:r w:rsidRPr="007958B8">
        <w:t>Adopted</w:t>
      </w:r>
      <w:r w:rsidR="00BD1F48">
        <w:t xml:space="preserve"> </w:t>
      </w:r>
      <w:r w:rsidRPr="007958B8">
        <w:t>by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 xml:space="preserve"> </w:t>
      </w:r>
      <w:r w:rsidRPr="007958B8">
        <w:t>at</w:t>
      </w:r>
      <w:r w:rsidR="00BD1F48">
        <w:t xml:space="preserve"> </w:t>
      </w:r>
      <w:r w:rsidRPr="007958B8">
        <w:t>its</w:t>
      </w:r>
      <w:r w:rsidR="00BD1F48">
        <w:t xml:space="preserve"> </w:t>
      </w:r>
      <w:r w:rsidRPr="007958B8">
        <w:t>117th</w:t>
      </w:r>
      <w:r w:rsidR="00BD1F48">
        <w:t xml:space="preserve"> </w:t>
      </w:r>
      <w:r w:rsidRPr="007958B8">
        <w:t>session</w:t>
      </w:r>
      <w:r w:rsidR="00BD1F48">
        <w:t xml:space="preserve"> </w:t>
      </w:r>
      <w:r w:rsidRPr="007958B8">
        <w:t>(20</w:t>
      </w:r>
      <w:r w:rsidR="00BD1F48">
        <w:t xml:space="preserve"> </w:t>
      </w:r>
      <w:r w:rsidRPr="007958B8">
        <w:t>June-15</w:t>
      </w:r>
      <w:r w:rsidR="00BD1F48">
        <w:t xml:space="preserve"> </w:t>
      </w:r>
      <w:r w:rsidRPr="007958B8">
        <w:t>July</w:t>
      </w:r>
      <w:r w:rsidR="00BD1F48">
        <w:t xml:space="preserve"> </w:t>
      </w:r>
      <w:r w:rsidRPr="007958B8">
        <w:t>2016).</w:t>
      </w:r>
      <w:proofErr w:type="gramEnd"/>
    </w:p>
  </w:footnote>
  <w:footnote w:id="2">
    <w:p w:rsidR="00C9160A" w:rsidRDefault="00C9160A" w:rsidP="00BD1F48">
      <w:pPr>
        <w:pStyle w:val="FootnoteText"/>
        <w:rPr>
          <w:bCs/>
          <w:lang w:val="en-US"/>
        </w:rPr>
      </w:pPr>
      <w:r>
        <w:rPr>
          <w:rStyle w:val="FootnoteReference"/>
        </w:rPr>
        <w:tab/>
      </w:r>
      <w:r w:rsidRPr="00C9160A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7958B8">
        <w:t>The</w:t>
      </w:r>
      <w:r w:rsidR="00BD1F48">
        <w:t xml:space="preserve"> </w:t>
      </w:r>
      <w:r w:rsidRPr="007958B8">
        <w:t>following</w:t>
      </w:r>
      <w:r w:rsidR="00BD1F48">
        <w:t xml:space="preserve"> </w:t>
      </w:r>
      <w:r w:rsidRPr="007958B8">
        <w:t>members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 xml:space="preserve"> </w:t>
      </w:r>
      <w:r w:rsidRPr="007958B8">
        <w:t>participated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examination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communication:</w:t>
      </w:r>
      <w:r w:rsidR="00BD1F48">
        <w:t xml:space="preserve"> </w:t>
      </w:r>
      <w:r w:rsidRPr="007958B8">
        <w:t>Yadh</w:t>
      </w:r>
      <w:r w:rsidR="00BD1F48">
        <w:t xml:space="preserve"> </w:t>
      </w:r>
      <w:r w:rsidRPr="007958B8">
        <w:t>Ben</w:t>
      </w:r>
      <w:r w:rsidR="00BD1F48">
        <w:t xml:space="preserve"> </w:t>
      </w:r>
      <w:r w:rsidRPr="007958B8">
        <w:t>Achour,</w:t>
      </w:r>
      <w:r w:rsidR="00BD1F48">
        <w:t xml:space="preserve"> </w:t>
      </w:r>
      <w:r w:rsidRPr="007958B8">
        <w:t>Lazhari</w:t>
      </w:r>
      <w:r w:rsidR="00BD1F48">
        <w:t xml:space="preserve"> </w:t>
      </w:r>
      <w:r w:rsidRPr="007958B8">
        <w:t>Bouzid,</w:t>
      </w:r>
      <w:r w:rsidR="00BD1F48">
        <w:t xml:space="preserve"> </w:t>
      </w:r>
      <w:r w:rsidRPr="007958B8">
        <w:t>Sarah</w:t>
      </w:r>
      <w:r w:rsidR="00BD1F48">
        <w:t xml:space="preserve"> </w:t>
      </w:r>
      <w:r w:rsidRPr="007958B8">
        <w:t>Cleveland,</w:t>
      </w:r>
      <w:r w:rsidR="00BD1F48">
        <w:t xml:space="preserve"> </w:t>
      </w:r>
      <w:r w:rsidRPr="007958B8">
        <w:t>Olivier</w:t>
      </w:r>
      <w:r w:rsidR="00BD1F48">
        <w:t xml:space="preserve"> </w:t>
      </w:r>
      <w:r w:rsidRPr="007958B8">
        <w:t>de</w:t>
      </w:r>
      <w:r w:rsidR="00BD1F48">
        <w:t xml:space="preserve"> </w:t>
      </w:r>
      <w:r w:rsidRPr="007958B8">
        <w:t>Frouville,</w:t>
      </w:r>
      <w:r w:rsidR="00BD1F48">
        <w:t xml:space="preserve"> </w:t>
      </w:r>
      <w:r w:rsidRPr="007958B8">
        <w:t>Yuji</w:t>
      </w:r>
      <w:r w:rsidR="00BD1F48">
        <w:t xml:space="preserve"> </w:t>
      </w:r>
      <w:r w:rsidRPr="007958B8">
        <w:t>Iwasawa,</w:t>
      </w:r>
      <w:r w:rsidR="00BD1F48">
        <w:t xml:space="preserve"> </w:t>
      </w:r>
      <w:r w:rsidRPr="007958B8">
        <w:t>Ivana</w:t>
      </w:r>
      <w:r w:rsidR="00BD1F48">
        <w:t xml:space="preserve"> </w:t>
      </w:r>
      <w:r w:rsidRPr="007958B8">
        <w:t>Jelić,</w:t>
      </w:r>
      <w:r w:rsidR="00BD1F48">
        <w:t xml:space="preserve"> </w:t>
      </w:r>
      <w:r w:rsidRPr="007958B8">
        <w:t>Photini</w:t>
      </w:r>
      <w:r w:rsidR="00BD1F48">
        <w:t xml:space="preserve"> </w:t>
      </w:r>
      <w:r w:rsidRPr="007958B8">
        <w:t>Pazartzis,</w:t>
      </w:r>
      <w:r w:rsidR="00BD1F48">
        <w:t xml:space="preserve"> </w:t>
      </w:r>
      <w:r w:rsidRPr="007958B8">
        <w:t>Mauro</w:t>
      </w:r>
      <w:r w:rsidR="00BD1F48">
        <w:t xml:space="preserve"> </w:t>
      </w:r>
      <w:r w:rsidRPr="007958B8">
        <w:t>Politi,</w:t>
      </w:r>
      <w:r w:rsidR="00BD1F48">
        <w:t xml:space="preserve"> </w:t>
      </w:r>
      <w:r w:rsidRPr="007958B8">
        <w:t>Sir</w:t>
      </w:r>
      <w:r w:rsidR="00BD1F48">
        <w:t xml:space="preserve"> </w:t>
      </w:r>
      <w:r w:rsidRPr="007958B8">
        <w:t>Nigel</w:t>
      </w:r>
      <w:r w:rsidR="00BD1F48">
        <w:t xml:space="preserve"> </w:t>
      </w:r>
      <w:r w:rsidRPr="007958B8">
        <w:t>Rodley,</w:t>
      </w:r>
      <w:r w:rsidR="00BD1F48">
        <w:t xml:space="preserve"> </w:t>
      </w:r>
      <w:r w:rsidRPr="007958B8">
        <w:t>Víctor</w:t>
      </w:r>
      <w:r w:rsidR="00BD1F48">
        <w:t xml:space="preserve"> </w:t>
      </w:r>
      <w:r w:rsidRPr="007958B8">
        <w:t>Manuel</w:t>
      </w:r>
      <w:r w:rsidR="00BD1F48">
        <w:t xml:space="preserve"> </w:t>
      </w:r>
      <w:r w:rsidRPr="007958B8">
        <w:t>Rodríguez-Rescia,</w:t>
      </w:r>
      <w:r w:rsidR="00BD1F48">
        <w:t xml:space="preserve"> </w:t>
      </w:r>
      <w:r w:rsidRPr="007958B8">
        <w:t>Fabián</w:t>
      </w:r>
      <w:r w:rsidR="00BD1F48">
        <w:t xml:space="preserve"> </w:t>
      </w:r>
      <w:r w:rsidRPr="007958B8">
        <w:t>Omar</w:t>
      </w:r>
      <w:r w:rsidR="00BD1F48">
        <w:t xml:space="preserve"> </w:t>
      </w:r>
      <w:r w:rsidRPr="007958B8">
        <w:t>Salvioli,</w:t>
      </w:r>
      <w:r w:rsidR="00BD1F48">
        <w:t xml:space="preserve"> </w:t>
      </w:r>
      <w:r w:rsidRPr="007958B8">
        <w:t>Yuval</w:t>
      </w:r>
      <w:r w:rsidR="00BD1F48">
        <w:t xml:space="preserve"> </w:t>
      </w:r>
      <w:r w:rsidRPr="007958B8">
        <w:t>Shany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Margo</w:t>
      </w:r>
      <w:r w:rsidR="00BD1F48">
        <w:t xml:space="preserve"> </w:t>
      </w:r>
      <w:r w:rsidRPr="007958B8">
        <w:t>Waterval</w:t>
      </w:r>
      <w:r w:rsidRPr="007958B8">
        <w:rPr>
          <w:bCs/>
          <w:lang w:val="en-US"/>
        </w:rPr>
        <w:t>.</w:t>
      </w:r>
    </w:p>
    <w:p w:rsidR="00BD1F48" w:rsidRPr="00C9160A" w:rsidRDefault="00BD1F48" w:rsidP="00BD1F48">
      <w:pPr>
        <w:pStyle w:val="FootnoteText"/>
      </w:pPr>
      <w:r w:rsidRPr="007958B8">
        <w:rPr>
          <w:bCs/>
          <w:lang w:val="en-US"/>
        </w:rPr>
        <w:tab/>
      </w:r>
      <w:r w:rsidRPr="007958B8">
        <w:rPr>
          <w:bCs/>
          <w:lang w:val="en-US"/>
        </w:rPr>
        <w:tab/>
        <w:t>A</w:t>
      </w:r>
      <w:r>
        <w:rPr>
          <w:bCs/>
          <w:lang w:val="en-US"/>
        </w:rPr>
        <w:t xml:space="preserve"> </w:t>
      </w:r>
      <w:r w:rsidRPr="007958B8">
        <w:rPr>
          <w:bCs/>
          <w:lang w:val="en-US"/>
        </w:rPr>
        <w:t>joint</w:t>
      </w:r>
      <w:r>
        <w:rPr>
          <w:bCs/>
          <w:lang w:val="en-US"/>
        </w:rPr>
        <w:t xml:space="preserve"> </w:t>
      </w:r>
      <w:r w:rsidRPr="007958B8">
        <w:rPr>
          <w:bCs/>
          <w:lang w:val="en-US"/>
        </w:rPr>
        <w:t>opinion</w:t>
      </w:r>
      <w:r>
        <w:rPr>
          <w:bCs/>
          <w:lang w:val="en-US"/>
        </w:rPr>
        <w:t xml:space="preserve"> </w:t>
      </w:r>
      <w:r w:rsidRPr="007958B8">
        <w:rPr>
          <w:bCs/>
          <w:lang w:val="en-US"/>
        </w:rPr>
        <w:t>by</w:t>
      </w:r>
      <w:r>
        <w:rPr>
          <w:bCs/>
          <w:lang w:val="en-US"/>
        </w:rPr>
        <w:t xml:space="preserve"> </w:t>
      </w:r>
      <w:r w:rsidRPr="007958B8">
        <w:rPr>
          <w:bCs/>
          <w:lang w:val="en-US"/>
        </w:rPr>
        <w:t>Committee</w:t>
      </w:r>
      <w:r>
        <w:rPr>
          <w:bCs/>
          <w:lang w:val="en-US"/>
        </w:rPr>
        <w:t xml:space="preserve"> </w:t>
      </w:r>
      <w:r w:rsidRPr="007958B8">
        <w:rPr>
          <w:bCs/>
          <w:lang w:val="en-US"/>
        </w:rPr>
        <w:t>members</w:t>
      </w:r>
      <w:r>
        <w:rPr>
          <w:bCs/>
          <w:lang w:val="en-US"/>
        </w:rPr>
        <w:t xml:space="preserve"> </w:t>
      </w:r>
      <w:r w:rsidRPr="007958B8">
        <w:t>Yuji</w:t>
      </w:r>
      <w:r>
        <w:t xml:space="preserve"> </w:t>
      </w:r>
      <w:r w:rsidRPr="007958B8">
        <w:t>Iwasawa</w:t>
      </w:r>
      <w:r>
        <w:t xml:space="preserve"> </w:t>
      </w:r>
      <w:r w:rsidRPr="007958B8">
        <w:t>and</w:t>
      </w:r>
      <w:r>
        <w:t xml:space="preserve"> </w:t>
      </w:r>
      <w:r w:rsidRPr="007958B8">
        <w:t>Yuval</w:t>
      </w:r>
      <w:r>
        <w:t xml:space="preserve"> </w:t>
      </w:r>
      <w:r w:rsidRPr="007958B8">
        <w:t>Shany</w:t>
      </w:r>
      <w:r>
        <w:t xml:space="preserve"> </w:t>
      </w:r>
      <w:r w:rsidRPr="007958B8">
        <w:t>is</w:t>
      </w:r>
      <w:r>
        <w:t xml:space="preserve"> </w:t>
      </w:r>
      <w:r w:rsidRPr="007958B8">
        <w:t>appended</w:t>
      </w:r>
      <w:r>
        <w:t xml:space="preserve"> </w:t>
      </w:r>
      <w:r w:rsidRPr="007958B8">
        <w:t>to</w:t>
      </w:r>
      <w:r>
        <w:t xml:space="preserve"> </w:t>
      </w:r>
      <w:r w:rsidRPr="007958B8">
        <w:t>the</w:t>
      </w:r>
      <w:r>
        <w:t xml:space="preserve"> </w:t>
      </w:r>
      <w:r w:rsidRPr="007958B8">
        <w:t>present</w:t>
      </w:r>
      <w:r>
        <w:t xml:space="preserve"> </w:t>
      </w:r>
      <w:r w:rsidRPr="007958B8">
        <w:t>Views.</w:t>
      </w:r>
    </w:p>
  </w:footnote>
  <w:footnote w:id="3">
    <w:p w:rsidR="00BC4324" w:rsidRPr="007958B8" w:rsidRDefault="00BC4324" w:rsidP="00BD1F48">
      <w:pPr>
        <w:pStyle w:val="FootnoteText"/>
      </w:pPr>
      <w:r w:rsidRPr="00205987">
        <w:tab/>
      </w:r>
      <w:r w:rsidRPr="00BD1F48">
        <w:rPr>
          <w:rStyle w:val="FootnoteReference"/>
        </w:rPr>
        <w:footnoteRef/>
      </w:r>
      <w:r w:rsidRPr="007958B8">
        <w:tab/>
        <w:t>According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an</w:t>
      </w:r>
      <w:r w:rsidR="00BD1F48">
        <w:t xml:space="preserve"> </w:t>
      </w:r>
      <w:r w:rsidRPr="007958B8">
        <w:t>unofficial</w:t>
      </w:r>
      <w:r w:rsidR="00BD1F48">
        <w:t xml:space="preserve"> </w:t>
      </w:r>
      <w:r w:rsidRPr="007958B8">
        <w:t>translation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article</w:t>
      </w:r>
      <w:r w:rsidR="00BD1F48">
        <w:t xml:space="preserve"> </w:t>
      </w:r>
      <w:r w:rsidRPr="007958B8">
        <w:t>219</w:t>
      </w:r>
      <w:r w:rsidR="00BD1F48">
        <w:t xml:space="preserve"> </w:t>
      </w:r>
      <w:r w:rsidRPr="007958B8">
        <w:t>(1)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Criminal</w:t>
      </w:r>
      <w:r w:rsidR="00BD1F48">
        <w:t xml:space="preserve"> </w:t>
      </w:r>
      <w:r w:rsidRPr="007958B8">
        <w:t>Code,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crime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rPr>
          <w:bCs/>
        </w:rPr>
        <w:t>evasion</w:t>
      </w:r>
      <w:r w:rsidR="00BD1F48">
        <w:rPr>
          <w:bCs/>
        </w:rPr>
        <w:t xml:space="preserve"> </w:t>
      </w:r>
      <w:r w:rsidRPr="007958B8">
        <w:rPr>
          <w:bCs/>
        </w:rPr>
        <w:t>of</w:t>
      </w:r>
      <w:r w:rsidR="00BD1F48">
        <w:rPr>
          <w:bCs/>
        </w:rPr>
        <w:t xml:space="preserve"> </w:t>
      </w:r>
      <w:r w:rsidRPr="007958B8">
        <w:rPr>
          <w:bCs/>
        </w:rPr>
        <w:t>the</w:t>
      </w:r>
      <w:r w:rsidR="00BD1F48">
        <w:rPr>
          <w:bCs/>
        </w:rPr>
        <w:t xml:space="preserve"> </w:t>
      </w:r>
      <w:r w:rsidRPr="007958B8">
        <w:rPr>
          <w:bCs/>
        </w:rPr>
        <w:t>draft</w:t>
      </w:r>
      <w:r w:rsidR="00BD1F48">
        <w:rPr>
          <w:bCs/>
        </w:rPr>
        <w:t xml:space="preserve"> </w:t>
      </w:r>
      <w:r w:rsidRPr="007958B8">
        <w:t>without</w:t>
      </w:r>
      <w:r w:rsidR="00BD1F48">
        <w:t xml:space="preserve"> </w:t>
      </w:r>
      <w:r w:rsidRPr="007958B8">
        <w:t>legal</w:t>
      </w:r>
      <w:r w:rsidR="00BD1F48">
        <w:t xml:space="preserve"> </w:t>
      </w:r>
      <w:r w:rsidRPr="007958B8">
        <w:t>grounds</w:t>
      </w:r>
      <w:r w:rsidR="00BD1F48">
        <w:t xml:space="preserve"> </w:t>
      </w:r>
      <w:r w:rsidRPr="007958B8">
        <w:t>for</w:t>
      </w:r>
      <w:r w:rsidR="00BD1F48">
        <w:rPr>
          <w:b/>
          <w:bCs/>
        </w:rPr>
        <w:t xml:space="preserve"> </w:t>
      </w:r>
      <w:r w:rsidRPr="007958B8">
        <w:t>exemption</w:t>
      </w:r>
      <w:r w:rsidR="00BD1F48">
        <w:t xml:space="preserve"> </w:t>
      </w:r>
      <w:r w:rsidRPr="007958B8">
        <w:t>from</w:t>
      </w:r>
      <w:r w:rsidR="00BD1F48">
        <w:t xml:space="preserve"> </w:t>
      </w:r>
      <w:r w:rsidRPr="007958B8">
        <w:t>military</w:t>
      </w:r>
      <w:r w:rsidR="00BD1F48">
        <w:t xml:space="preserve"> </w:t>
      </w:r>
      <w:r w:rsidRPr="007958B8">
        <w:t>service</w:t>
      </w:r>
      <w:r w:rsidR="00BD1F48">
        <w:t xml:space="preserve"> </w:t>
      </w:r>
      <w:r w:rsidRPr="007958B8">
        <w:t>is</w:t>
      </w:r>
      <w:r w:rsidR="00BD1F48">
        <w:t xml:space="preserve"> </w:t>
      </w:r>
      <w:r w:rsidRPr="007958B8">
        <w:t>punishable</w:t>
      </w:r>
      <w:r w:rsidR="00BD1F48">
        <w:t xml:space="preserve"> </w:t>
      </w:r>
      <w:r w:rsidRPr="007958B8">
        <w:t>by</w:t>
      </w:r>
      <w:r w:rsidR="00BD1F48">
        <w:t xml:space="preserve"> </w:t>
      </w:r>
      <w:r w:rsidRPr="007958B8">
        <w:t>up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two</w:t>
      </w:r>
      <w:r w:rsidR="00BD1F48">
        <w:t xml:space="preserve"> </w:t>
      </w:r>
      <w:r w:rsidRPr="007958B8">
        <w:t>years</w:t>
      </w:r>
      <w:r w:rsidR="00BD1F48">
        <w:t xml:space="preserve"> </w:t>
      </w:r>
      <w:r w:rsidRPr="007958B8">
        <w:t>of</w:t>
      </w:r>
      <w:r w:rsidR="00BD1F48">
        <w:rPr>
          <w:b/>
          <w:bCs/>
        </w:rPr>
        <w:t xml:space="preserve"> </w:t>
      </w:r>
      <w:r w:rsidRPr="007958B8">
        <w:t>corrective</w:t>
      </w:r>
      <w:r w:rsidR="00BD1F48">
        <w:t xml:space="preserve"> </w:t>
      </w:r>
      <w:r w:rsidRPr="007958B8">
        <w:t>labour</w:t>
      </w:r>
      <w:r w:rsidR="00BD1F48">
        <w:t xml:space="preserve"> </w:t>
      </w:r>
      <w:r w:rsidRPr="007958B8">
        <w:t>or</w:t>
      </w:r>
      <w:r w:rsidR="00BD1F48">
        <w:t xml:space="preserve"> </w:t>
      </w:r>
      <w:r w:rsidRPr="007958B8">
        <w:t>up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two</w:t>
      </w:r>
      <w:r w:rsidR="00BD1F48">
        <w:t xml:space="preserve"> </w:t>
      </w:r>
      <w:r w:rsidRPr="007958B8">
        <w:t>years</w:t>
      </w:r>
      <w:r w:rsidR="00BD1F48">
        <w:t xml:space="preserve"> </w:t>
      </w:r>
      <w:r w:rsidRPr="007958B8">
        <w:t>of</w:t>
      </w:r>
      <w:r w:rsidR="00BD1F48">
        <w:rPr>
          <w:b/>
          <w:bCs/>
        </w:rPr>
        <w:t xml:space="preserve"> </w:t>
      </w:r>
      <w:r w:rsidRPr="007958B8">
        <w:t>deprivation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freedom.</w:t>
      </w:r>
    </w:p>
  </w:footnote>
  <w:footnote w:id="4">
    <w:p w:rsidR="00BC4324" w:rsidRPr="00E51FDC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 w:rsidRPr="007958B8">
        <w:t>provided</w:t>
      </w:r>
      <w:r w:rsidR="00BD1F48">
        <w:t xml:space="preserve"> </w:t>
      </w:r>
      <w:r w:rsidRPr="007958B8">
        <w:t>an</w:t>
      </w:r>
      <w:r w:rsidR="00BD1F48">
        <w:t xml:space="preserve"> </w:t>
      </w:r>
      <w:r w:rsidRPr="007958B8">
        <w:t>unofficial</w:t>
      </w:r>
      <w:r w:rsidR="00BD1F48">
        <w:t xml:space="preserve"> </w:t>
      </w:r>
      <w:r w:rsidRPr="007958B8">
        <w:t>translation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ruling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Dashoguz</w:t>
      </w:r>
      <w:r w:rsidR="00BD1F48">
        <w:t xml:space="preserve"> </w:t>
      </w:r>
      <w:r w:rsidRPr="007958B8">
        <w:t>City</w:t>
      </w:r>
      <w:r w:rsidR="00BD1F48">
        <w:t xml:space="preserve"> </w:t>
      </w:r>
      <w:r w:rsidRPr="007958B8">
        <w:t>Court.</w:t>
      </w:r>
    </w:p>
  </w:footnote>
  <w:footnote w:id="5">
    <w:p w:rsidR="00BC4324" w:rsidRPr="007958B8" w:rsidRDefault="00BC4324" w:rsidP="00BD1F48">
      <w:pPr>
        <w:pStyle w:val="FootnoteText"/>
      </w:pPr>
      <w:r>
        <w:tab/>
      </w:r>
      <w:r w:rsidRPr="00BD1F48">
        <w:rPr>
          <w:rStyle w:val="FootnoteReference"/>
        </w:rPr>
        <w:footnoteRef/>
      </w:r>
      <w:r w:rsidRPr="007958B8">
        <w:tab/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 w:rsidRPr="007958B8">
        <w:t>provided</w:t>
      </w:r>
      <w:r w:rsidR="00BD1F48">
        <w:t xml:space="preserve"> </w:t>
      </w:r>
      <w:r w:rsidRPr="007958B8">
        <w:t>an</w:t>
      </w:r>
      <w:r w:rsidR="00BD1F48">
        <w:t xml:space="preserve"> </w:t>
      </w:r>
      <w:r w:rsidRPr="007958B8">
        <w:t>unofficial</w:t>
      </w:r>
      <w:r w:rsidR="00BD1F48">
        <w:t xml:space="preserve"> </w:t>
      </w:r>
      <w:r w:rsidRPr="007958B8">
        <w:t>translation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his</w:t>
      </w:r>
      <w:r w:rsidR="00BD1F48">
        <w:t xml:space="preserve"> </w:t>
      </w:r>
      <w:r w:rsidRPr="007958B8">
        <w:t>mother</w:t>
      </w:r>
      <w:r w:rsidR="00BD1F48">
        <w:t>’</w:t>
      </w:r>
      <w:r w:rsidRPr="007958B8">
        <w:t>s</w:t>
      </w:r>
      <w:r w:rsidR="00BD1F48">
        <w:t xml:space="preserve"> </w:t>
      </w:r>
      <w:r w:rsidRPr="007958B8">
        <w:t>statement.</w:t>
      </w:r>
      <w:r w:rsidR="00BD1F48">
        <w:t xml:space="preserve"> </w:t>
      </w:r>
    </w:p>
  </w:footnote>
  <w:footnote w:id="6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A/HRC/10/8/Add.4,</w:t>
      </w:r>
      <w:r w:rsidR="00BD1F48">
        <w:t xml:space="preserve"> </w:t>
      </w:r>
      <w:r w:rsidRPr="007958B8">
        <w:t>para.</w:t>
      </w:r>
      <w:r w:rsidR="00BD1F48">
        <w:t xml:space="preserve"> </w:t>
      </w:r>
      <w:proofErr w:type="gramStart"/>
      <w:r w:rsidRPr="007958B8">
        <w:t>68;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A/HRC/16/53/Add.1,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391.</w:t>
      </w:r>
    </w:p>
  </w:footnote>
  <w:footnote w:id="7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 w:rsidRPr="007958B8">
        <w:t>refers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his</w:t>
      </w:r>
      <w:r w:rsidR="00BD1F48">
        <w:t xml:space="preserve"> </w:t>
      </w:r>
      <w:r w:rsidRPr="007958B8">
        <w:t>appeals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Dashoguz</w:t>
      </w:r>
      <w:r w:rsidR="00BD1F48">
        <w:t xml:space="preserve"> </w:t>
      </w:r>
      <w:r w:rsidRPr="007958B8">
        <w:t>Regional</w:t>
      </w:r>
      <w:r w:rsidR="00BD1F48">
        <w:t xml:space="preserve"> </w:t>
      </w:r>
      <w:r w:rsidRPr="007958B8">
        <w:t>Court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decisions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Dashoguz</w:t>
      </w:r>
      <w:r w:rsidR="00BD1F48">
        <w:t xml:space="preserve"> </w:t>
      </w:r>
      <w:r w:rsidRPr="007958B8">
        <w:t>City</w:t>
      </w:r>
      <w:r w:rsidR="00BD1F48">
        <w:t xml:space="preserve"> </w:t>
      </w:r>
      <w:r w:rsidRPr="007958B8">
        <w:t>Court</w:t>
      </w:r>
      <w:r w:rsidR="00BD1F48">
        <w:t xml:space="preserve"> </w:t>
      </w:r>
      <w:r w:rsidRPr="007958B8">
        <w:t>dated</w:t>
      </w:r>
      <w:r w:rsidR="00BD1F48">
        <w:t xml:space="preserve"> </w:t>
      </w:r>
      <w:r w:rsidRPr="007958B8">
        <w:t>29</w:t>
      </w:r>
      <w:r w:rsidR="00BD1F48">
        <w:t xml:space="preserve"> </w:t>
      </w:r>
      <w:r w:rsidRPr="007958B8">
        <w:t>December</w:t>
      </w:r>
      <w:r w:rsidR="00BD1F48">
        <w:t xml:space="preserve"> </w:t>
      </w:r>
      <w:r w:rsidRPr="007958B8">
        <w:t>2010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8</w:t>
      </w:r>
      <w:r w:rsidR="00BD1F48">
        <w:t xml:space="preserve"> </w:t>
      </w:r>
      <w:r w:rsidRPr="007958B8">
        <w:t>January</w:t>
      </w:r>
      <w:r w:rsidR="00BD1F48">
        <w:t xml:space="preserve"> </w:t>
      </w:r>
      <w:r w:rsidRPr="007958B8">
        <w:t>2013.</w:t>
      </w:r>
    </w:p>
  </w:footnote>
  <w:footnote w:id="8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paras.</w:t>
      </w:r>
      <w:r w:rsidR="00BD1F48">
        <w:t xml:space="preserve"> </w:t>
      </w:r>
      <w:r w:rsidRPr="007958B8">
        <w:t>2.4</w:t>
      </w:r>
      <w:r w:rsidR="00BD1F48">
        <w:t xml:space="preserve"> </w:t>
      </w:r>
      <w:proofErr w:type="gramStart"/>
      <w:r w:rsidRPr="007958B8">
        <w:t>and</w:t>
      </w:r>
      <w:proofErr w:type="gramEnd"/>
      <w:r w:rsidR="00BD1F48">
        <w:t xml:space="preserve"> </w:t>
      </w:r>
      <w:r w:rsidRPr="007958B8">
        <w:t>2.6</w:t>
      </w:r>
      <w:r w:rsidR="00BD1F48">
        <w:t xml:space="preserve"> </w:t>
      </w:r>
      <w:r w:rsidRPr="007958B8">
        <w:t>above.</w:t>
      </w:r>
    </w:p>
  </w:footnote>
  <w:footnote w:id="9">
    <w:p w:rsidR="00BC4324" w:rsidRPr="008C7327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CAT/C/TKM/CO/1,</w:t>
      </w:r>
      <w:r w:rsidR="00BD1F48">
        <w:t xml:space="preserve"> </w:t>
      </w:r>
      <w:r w:rsidRPr="007958B8">
        <w:t>para.</w:t>
      </w:r>
      <w:r w:rsidR="00BD1F48">
        <w:t xml:space="preserve"> </w:t>
      </w:r>
      <w:r w:rsidRPr="007958B8">
        <w:t>18.</w:t>
      </w:r>
    </w:p>
  </w:footnote>
  <w:footnote w:id="10">
    <w:p w:rsidR="00BC4324" w:rsidRPr="007958B8" w:rsidRDefault="00BC4324" w:rsidP="00BD1F48">
      <w:pPr>
        <w:pStyle w:val="FootnoteText"/>
      </w:pPr>
      <w:r w:rsidRPr="00D33C39">
        <w:tab/>
      </w:r>
      <w:r w:rsidRPr="00BD1F48">
        <w:rPr>
          <w:rStyle w:val="FootnoteReference"/>
        </w:rPr>
        <w:footnoteRef/>
      </w:r>
      <w:r w:rsidRPr="007958B8">
        <w:tab/>
        <w:t>See,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example,</w:t>
      </w:r>
      <w:r w:rsidR="00BD1F48">
        <w:t xml:space="preserve"> </w:t>
      </w:r>
      <w:r w:rsidRPr="007958B8">
        <w:t>communications</w:t>
      </w:r>
      <w:r w:rsidR="00BD1F48">
        <w:t xml:space="preserve"> </w:t>
      </w:r>
      <w:r w:rsidRPr="007958B8">
        <w:t>Nos.</w:t>
      </w:r>
      <w:r w:rsidR="00BD1F48">
        <w:t xml:space="preserve"> </w:t>
      </w:r>
      <w:r w:rsidRPr="007958B8">
        <w:t>1853/2008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1854/2008,</w:t>
      </w:r>
      <w:r w:rsidR="00BD1F48">
        <w:t xml:space="preserve"> </w:t>
      </w:r>
      <w:r w:rsidRPr="007958B8">
        <w:rPr>
          <w:i/>
        </w:rPr>
        <w:t>Atasoy</w:t>
      </w:r>
      <w:r w:rsidR="00BD1F48">
        <w:rPr>
          <w:i/>
        </w:rPr>
        <w:t xml:space="preserve"> </w:t>
      </w:r>
      <w:r w:rsidRPr="007958B8">
        <w:rPr>
          <w:i/>
        </w:rPr>
        <w:t>and</w:t>
      </w:r>
      <w:r w:rsidR="00BD1F48">
        <w:rPr>
          <w:i/>
        </w:rPr>
        <w:t xml:space="preserve"> </w:t>
      </w:r>
      <w:r w:rsidRPr="007958B8">
        <w:rPr>
          <w:i/>
        </w:rPr>
        <w:t>Sarkut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Turkey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29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2012,</w:t>
      </w:r>
      <w:r w:rsidR="00BD1F48">
        <w:t xml:space="preserve"> </w:t>
      </w:r>
      <w:proofErr w:type="gramStart"/>
      <w:r w:rsidRPr="007958B8">
        <w:t>paras</w:t>
      </w:r>
      <w:proofErr w:type="gramEnd"/>
      <w:r w:rsidRPr="007958B8">
        <w:t>.</w:t>
      </w:r>
      <w:r w:rsidR="00BD1F48">
        <w:t xml:space="preserve"> </w:t>
      </w:r>
      <w:r w:rsidRPr="007958B8">
        <w:t>10.4</w:t>
      </w:r>
      <w:r w:rsidR="00BD1F48">
        <w:t xml:space="preserve"> </w:t>
      </w:r>
      <w:proofErr w:type="gramStart"/>
      <w:r w:rsidRPr="007958B8">
        <w:t>and</w:t>
      </w:r>
      <w:proofErr w:type="gramEnd"/>
      <w:r w:rsidR="00BD1F48">
        <w:t xml:space="preserve"> </w:t>
      </w:r>
      <w:r w:rsidRPr="007958B8">
        <w:t>10.5.</w:t>
      </w:r>
    </w:p>
  </w:footnote>
  <w:footnote w:id="11">
    <w:p w:rsidR="00BC4324" w:rsidRPr="000F50E1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 w:rsidRPr="007958B8">
        <w:t>refers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>’</w:t>
      </w:r>
      <w:r w:rsidRPr="007958B8">
        <w:t>s</w:t>
      </w:r>
      <w:r w:rsidR="00BD1F48">
        <w:t xml:space="preserve"> </w:t>
      </w:r>
      <w:r w:rsidRPr="007958B8">
        <w:t>general</w:t>
      </w:r>
      <w:r w:rsidR="00BD1F48">
        <w:t xml:space="preserve"> </w:t>
      </w:r>
      <w:r w:rsidRPr="007958B8">
        <w:t>comment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32</w:t>
      </w:r>
      <w:r w:rsidR="00BD1F48">
        <w:t xml:space="preserve"> </w:t>
      </w:r>
      <w:r w:rsidRPr="007958B8">
        <w:t>(2007)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right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equality</w:t>
      </w:r>
      <w:r w:rsidR="00BD1F48">
        <w:t xml:space="preserve"> </w:t>
      </w:r>
      <w:r w:rsidRPr="007958B8">
        <w:t>before</w:t>
      </w:r>
      <w:r w:rsidR="00BD1F48">
        <w:t xml:space="preserve"> </w:t>
      </w:r>
      <w:r w:rsidRPr="007958B8">
        <w:t>courts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tribunals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a</w:t>
      </w:r>
      <w:r w:rsidR="00BD1F48">
        <w:t xml:space="preserve"> </w:t>
      </w:r>
      <w:r w:rsidRPr="007958B8">
        <w:t>fair</w:t>
      </w:r>
      <w:r w:rsidR="00BD1F48">
        <w:t xml:space="preserve"> </w:t>
      </w:r>
      <w:r w:rsidRPr="007958B8">
        <w:t>trial,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which</w:t>
      </w:r>
      <w:r w:rsidR="00BD1F48">
        <w:t xml:space="preserve"> </w:t>
      </w:r>
      <w:r w:rsidRPr="007958B8">
        <w:t>it</w:t>
      </w:r>
      <w:r w:rsidR="00BD1F48">
        <w:t xml:space="preserve"> </w:t>
      </w:r>
      <w:r w:rsidRPr="007958B8">
        <w:t>was</w:t>
      </w:r>
      <w:r w:rsidR="00BD1F48">
        <w:t xml:space="preserve"> </w:t>
      </w:r>
      <w:r w:rsidRPr="007958B8">
        <w:t>stated</w:t>
      </w:r>
      <w:r w:rsidR="00BD1F48">
        <w:t xml:space="preserve"> </w:t>
      </w:r>
      <w:r w:rsidRPr="007958B8">
        <w:t>that</w:t>
      </w:r>
      <w:r w:rsidR="00BD1F48">
        <w:t xml:space="preserve"> “</w:t>
      </w:r>
      <w:r w:rsidRPr="007958B8">
        <w:t>repeated</w:t>
      </w:r>
      <w:r w:rsidR="00BD1F48">
        <w:t xml:space="preserve"> </w:t>
      </w:r>
      <w:r w:rsidRPr="007958B8">
        <w:t>punishment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conscientious</w:t>
      </w:r>
      <w:r w:rsidR="00BD1F48">
        <w:t xml:space="preserve"> </w:t>
      </w:r>
      <w:r w:rsidRPr="007958B8">
        <w:t>objectors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not</w:t>
      </w:r>
      <w:r w:rsidR="00BD1F48">
        <w:t xml:space="preserve"> </w:t>
      </w:r>
      <w:r w:rsidRPr="007958B8">
        <w:t>having</w:t>
      </w:r>
      <w:r w:rsidR="00BD1F48">
        <w:t xml:space="preserve"> </w:t>
      </w:r>
      <w:r w:rsidRPr="007958B8">
        <w:t>obeyed</w:t>
      </w:r>
      <w:r w:rsidR="00BD1F48">
        <w:t xml:space="preserve"> </w:t>
      </w:r>
      <w:r w:rsidRPr="007958B8">
        <w:t>a</w:t>
      </w:r>
      <w:r w:rsidR="00BD1F48">
        <w:t xml:space="preserve"> </w:t>
      </w:r>
      <w:r w:rsidRPr="007958B8">
        <w:t>renewed</w:t>
      </w:r>
      <w:r w:rsidR="00BD1F48">
        <w:t xml:space="preserve"> </w:t>
      </w:r>
      <w:r w:rsidRPr="007958B8">
        <w:t>order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serve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military</w:t>
      </w:r>
      <w:r w:rsidR="00BD1F48">
        <w:t xml:space="preserve"> </w:t>
      </w:r>
      <w:r w:rsidRPr="007958B8">
        <w:t>may</w:t>
      </w:r>
      <w:r w:rsidR="00BD1F48">
        <w:t xml:space="preserve"> </w:t>
      </w:r>
      <w:r w:rsidRPr="007958B8">
        <w:t>amount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punishment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same</w:t>
      </w:r>
      <w:r w:rsidR="00BD1F48">
        <w:t xml:space="preserve"> </w:t>
      </w:r>
      <w:r w:rsidRPr="007958B8">
        <w:t>crime</w:t>
      </w:r>
      <w:r w:rsidR="00BD1F48">
        <w:t xml:space="preserve"> </w:t>
      </w:r>
      <w:r w:rsidRPr="007958B8">
        <w:t>if</w:t>
      </w:r>
      <w:r w:rsidR="00BD1F48">
        <w:t xml:space="preserve"> </w:t>
      </w:r>
      <w:r w:rsidRPr="007958B8">
        <w:t>such</w:t>
      </w:r>
      <w:r w:rsidR="00BD1F48">
        <w:t xml:space="preserve"> </w:t>
      </w:r>
      <w:r w:rsidRPr="007958B8">
        <w:t>subsequent</w:t>
      </w:r>
      <w:r w:rsidR="00BD1F48">
        <w:t xml:space="preserve"> </w:t>
      </w:r>
      <w:r w:rsidRPr="007958B8">
        <w:t>refusal</w:t>
      </w:r>
      <w:r w:rsidR="00BD1F48">
        <w:t xml:space="preserve"> </w:t>
      </w:r>
      <w:r w:rsidRPr="007958B8">
        <w:t>is</w:t>
      </w:r>
      <w:r w:rsidR="00BD1F48">
        <w:t xml:space="preserve"> </w:t>
      </w:r>
      <w:r w:rsidRPr="007958B8">
        <w:t>based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same</w:t>
      </w:r>
      <w:r w:rsidR="00BD1F48">
        <w:t xml:space="preserve"> </w:t>
      </w:r>
      <w:r w:rsidRPr="007958B8">
        <w:t>constant</w:t>
      </w:r>
      <w:r w:rsidR="00BD1F48">
        <w:t xml:space="preserve"> </w:t>
      </w:r>
      <w:r w:rsidRPr="007958B8">
        <w:t>resolve</w:t>
      </w:r>
      <w:r w:rsidR="00BD1F48">
        <w:t xml:space="preserve"> </w:t>
      </w:r>
      <w:r w:rsidRPr="007958B8">
        <w:t>grounded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reasons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conscience</w:t>
      </w:r>
      <w:r w:rsidR="00BD1F48">
        <w:t xml:space="preserve">” </w:t>
      </w:r>
      <w:r w:rsidRPr="007958B8">
        <w:t>(para.</w:t>
      </w:r>
      <w:r w:rsidR="00BD1F48">
        <w:t xml:space="preserve"> </w:t>
      </w:r>
      <w:r w:rsidRPr="007958B8">
        <w:t>55).</w:t>
      </w:r>
    </w:p>
  </w:footnote>
  <w:footnote w:id="12">
    <w:p w:rsidR="00BC4324" w:rsidRPr="007958B8" w:rsidRDefault="00BC4324" w:rsidP="00BD1F48">
      <w:pPr>
        <w:pStyle w:val="FootnoteText"/>
      </w:pPr>
      <w:r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paras.</w:t>
      </w:r>
      <w:r w:rsidR="00BD1F48">
        <w:t xml:space="preserve"> </w:t>
      </w:r>
      <w:r w:rsidRPr="007958B8">
        <w:t>2.4</w:t>
      </w:r>
      <w:r w:rsidR="00BD1F48">
        <w:t xml:space="preserve"> </w:t>
      </w:r>
      <w:proofErr w:type="gramStart"/>
      <w:r w:rsidRPr="007958B8">
        <w:t>and</w:t>
      </w:r>
      <w:proofErr w:type="gramEnd"/>
      <w:r w:rsidR="00BD1F48">
        <w:t xml:space="preserve"> </w:t>
      </w:r>
      <w:r w:rsidRPr="007958B8">
        <w:t>2.6</w:t>
      </w:r>
      <w:r w:rsidR="00BD1F48">
        <w:t xml:space="preserve"> </w:t>
      </w:r>
      <w:r w:rsidRPr="007958B8">
        <w:t>above.</w:t>
      </w:r>
    </w:p>
  </w:footnote>
  <w:footnote w:id="13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 w:rsidRPr="007958B8">
        <w:t>refers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rPr>
          <w:i/>
        </w:rPr>
        <w:t>Umarova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Uzbekistan</w:t>
      </w:r>
      <w:r w:rsidRPr="007958B8">
        <w:t>,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which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 xml:space="preserve"> </w:t>
      </w:r>
      <w:r w:rsidRPr="007958B8">
        <w:t>considered</w:t>
      </w:r>
      <w:r w:rsidR="00BD1F48">
        <w:t xml:space="preserve"> </w:t>
      </w:r>
      <w:r w:rsidRPr="007958B8">
        <w:t>that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burden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proof</w:t>
      </w:r>
      <w:r w:rsidR="00BD1F48">
        <w:t xml:space="preserve"> </w:t>
      </w:r>
      <w:r w:rsidRPr="007958B8">
        <w:t>in</w:t>
      </w:r>
      <w:r w:rsidR="00BD1F48">
        <w:t xml:space="preserve"> </w:t>
      </w:r>
      <w:r w:rsidRPr="007958B8">
        <w:t>regard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torture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ill-treatment</w:t>
      </w:r>
      <w:r w:rsidR="00BD1F48">
        <w:t xml:space="preserve"> </w:t>
      </w:r>
      <w:r>
        <w:t>could</w:t>
      </w:r>
      <w:r w:rsidR="00BD1F48">
        <w:t xml:space="preserve"> </w:t>
      </w:r>
      <w:r w:rsidRPr="007958B8">
        <w:t>not</w:t>
      </w:r>
      <w:r w:rsidR="00BD1F48">
        <w:t xml:space="preserve"> </w:t>
      </w:r>
      <w:r w:rsidRPr="007958B8">
        <w:t>rest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author</w:t>
      </w:r>
      <w:r w:rsidR="00BD1F48">
        <w:t xml:space="preserve"> </w:t>
      </w:r>
      <w:r>
        <w:t>alone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that</w:t>
      </w:r>
      <w:r w:rsidR="00BD1F48">
        <w:t xml:space="preserve"> </w:t>
      </w:r>
      <w:r w:rsidRPr="007958B8">
        <w:t>due</w:t>
      </w:r>
      <w:r w:rsidR="00BD1F48">
        <w:t xml:space="preserve"> </w:t>
      </w:r>
      <w:r w:rsidRPr="007958B8">
        <w:t>weight</w:t>
      </w:r>
      <w:r w:rsidR="00BD1F48">
        <w:t xml:space="preserve"> </w:t>
      </w:r>
      <w:r w:rsidRPr="007958B8">
        <w:t>must</w:t>
      </w:r>
      <w:r w:rsidR="00BD1F48">
        <w:t xml:space="preserve"> </w:t>
      </w:r>
      <w:r w:rsidRPr="007958B8">
        <w:t>be</w:t>
      </w:r>
      <w:r w:rsidR="00BD1F48">
        <w:t xml:space="preserve"> </w:t>
      </w:r>
      <w:r w:rsidRPr="007958B8">
        <w:t>given</w:t>
      </w:r>
      <w:r w:rsidR="00BD1F48">
        <w:t xml:space="preserve"> </w:t>
      </w:r>
      <w:r w:rsidRPr="007958B8">
        <w:t>to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author</w:t>
      </w:r>
      <w:r w:rsidR="00BD1F48">
        <w:t>’</w:t>
      </w:r>
      <w:r w:rsidRPr="007958B8">
        <w:t>s</w:t>
      </w:r>
      <w:r w:rsidR="00BD1F48">
        <w:t xml:space="preserve"> </w:t>
      </w:r>
      <w:r w:rsidRPr="007958B8">
        <w:t>allegations</w:t>
      </w:r>
      <w:r w:rsidR="00BD1F48">
        <w:t xml:space="preserve"> </w:t>
      </w:r>
      <w:r w:rsidRPr="007958B8">
        <w:t>(communication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1449/2006,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19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2010,</w:t>
      </w:r>
      <w:r w:rsidR="00BD1F48">
        <w:t xml:space="preserve"> </w:t>
      </w:r>
      <w:r w:rsidRPr="007958B8">
        <w:t>para.</w:t>
      </w:r>
      <w:r w:rsidR="00BD1F48">
        <w:t xml:space="preserve"> </w:t>
      </w:r>
      <w:r w:rsidRPr="007958B8">
        <w:t>8.3).</w:t>
      </w:r>
    </w:p>
  </w:footnote>
  <w:footnote w:id="14">
    <w:p w:rsidR="00BC4324" w:rsidRPr="00FC77D1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No</w:t>
      </w:r>
      <w:r w:rsidR="00BD1F48">
        <w:t xml:space="preserve"> </w:t>
      </w:r>
      <w:r w:rsidRPr="007958B8">
        <w:t>information</w:t>
      </w:r>
      <w:r w:rsidR="00BD1F48">
        <w:t xml:space="preserve"> </w:t>
      </w:r>
      <w:r w:rsidRPr="007958B8">
        <w:t>was</w:t>
      </w:r>
      <w:r w:rsidR="00BD1F48">
        <w:t xml:space="preserve"> </w:t>
      </w:r>
      <w:r w:rsidRPr="007958B8">
        <w:t>provided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date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release.</w:t>
      </w:r>
      <w:r w:rsidR="00BD1F48">
        <w:t xml:space="preserve"> </w:t>
      </w:r>
    </w:p>
  </w:footnote>
  <w:footnote w:id="15">
    <w:p w:rsidR="00BC4324" w:rsidRPr="007958B8" w:rsidRDefault="00BC4324" w:rsidP="00BD1F48">
      <w:pPr>
        <w:pStyle w:val="FootnoteText"/>
        <w:rPr>
          <w:lang w:val="en-US"/>
        </w:rPr>
      </w:pPr>
      <w:r>
        <w:tab/>
      </w:r>
      <w:r w:rsidRPr="00BD1F48">
        <w:rPr>
          <w:rStyle w:val="FootnoteReference"/>
        </w:rPr>
        <w:footnoteRef/>
      </w:r>
      <w:r w:rsidRPr="007958B8">
        <w:tab/>
        <w:t>See,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example,</w:t>
      </w:r>
      <w:r w:rsidR="00BD1F48">
        <w:t xml:space="preserve"> </w:t>
      </w:r>
      <w:r w:rsidRPr="007958B8">
        <w:t>communication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2097/2011,</w:t>
      </w:r>
      <w:r w:rsidR="00BD1F48">
        <w:t xml:space="preserve"> </w:t>
      </w:r>
      <w:r w:rsidRPr="007958B8">
        <w:rPr>
          <w:i/>
          <w:iCs/>
        </w:rPr>
        <w:t>Timmer</w:t>
      </w:r>
      <w:r w:rsidR="00BD1F48">
        <w:rPr>
          <w:i/>
          <w:iCs/>
        </w:rPr>
        <w:t xml:space="preserve"> </w:t>
      </w:r>
      <w:r w:rsidRPr="007958B8">
        <w:rPr>
          <w:i/>
          <w:iCs/>
        </w:rPr>
        <w:t>v.</w:t>
      </w:r>
      <w:r w:rsidR="00BD1F48">
        <w:rPr>
          <w:i/>
          <w:iCs/>
        </w:rPr>
        <w:t xml:space="preserve"> </w:t>
      </w:r>
      <w:r w:rsidRPr="007958B8">
        <w:rPr>
          <w:i/>
          <w:iCs/>
        </w:rPr>
        <w:t>Netherlands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24</w:t>
      </w:r>
      <w:r w:rsidR="00BD1F48">
        <w:t xml:space="preserve"> </w:t>
      </w:r>
      <w:r w:rsidRPr="007958B8">
        <w:t>July</w:t>
      </w:r>
      <w:r w:rsidR="00BD1F48">
        <w:t xml:space="preserve"> </w:t>
      </w:r>
      <w:r w:rsidRPr="007958B8">
        <w:t>2014,</w:t>
      </w:r>
      <w:r w:rsidR="00BD1F48">
        <w:t xml:space="preserve"> </w:t>
      </w:r>
      <w:proofErr w:type="gramStart"/>
      <w:r w:rsidRPr="007958B8">
        <w:t>para</w:t>
      </w:r>
      <w:proofErr w:type="gramEnd"/>
      <w:r w:rsidRPr="007958B8">
        <w:t>.</w:t>
      </w:r>
      <w:r w:rsidR="00BD1F48">
        <w:t xml:space="preserve"> </w:t>
      </w:r>
      <w:r w:rsidRPr="007958B8">
        <w:t>6.3.</w:t>
      </w:r>
      <w:r w:rsidR="00BD1F48">
        <w:t xml:space="preserve"> </w:t>
      </w:r>
    </w:p>
  </w:footnote>
  <w:footnote w:id="16">
    <w:p w:rsidR="00BC4324" w:rsidRPr="008E35BE" w:rsidRDefault="00BC4324" w:rsidP="00BD1F48">
      <w:pPr>
        <w:pStyle w:val="FootnoteText"/>
        <w:rPr>
          <w:lang w:val="en-US"/>
        </w:rPr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>’</w:t>
      </w:r>
      <w:r w:rsidRPr="007958B8">
        <w:t>s</w:t>
      </w:r>
      <w:r w:rsidR="00BD1F48">
        <w:t xml:space="preserve"> </w:t>
      </w:r>
      <w:r w:rsidRPr="007958B8">
        <w:t>general</w:t>
      </w:r>
      <w:r w:rsidR="00BD1F48">
        <w:t xml:space="preserve"> </w:t>
      </w:r>
      <w:r w:rsidRPr="007958B8">
        <w:t>comment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20</w:t>
      </w:r>
      <w:r w:rsidR="00BD1F48">
        <w:t xml:space="preserve"> </w:t>
      </w:r>
      <w:r w:rsidRPr="007958B8">
        <w:t>(1992)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prohibition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torture,</w:t>
      </w:r>
      <w:r w:rsidR="00BD1F48">
        <w:t xml:space="preserve"> </w:t>
      </w:r>
      <w:r w:rsidRPr="007958B8">
        <w:t>or</w:t>
      </w:r>
      <w:r w:rsidR="00BD1F48">
        <w:t xml:space="preserve"> </w:t>
      </w:r>
      <w:r w:rsidRPr="007958B8">
        <w:t>other</w:t>
      </w:r>
      <w:r w:rsidR="00BD1F48">
        <w:t xml:space="preserve"> </w:t>
      </w:r>
      <w:r w:rsidRPr="007958B8">
        <w:t>cruel,</w:t>
      </w:r>
      <w:r w:rsidR="00BD1F48">
        <w:t xml:space="preserve"> </w:t>
      </w:r>
      <w:r w:rsidRPr="007958B8">
        <w:t>inhuman</w:t>
      </w:r>
      <w:r w:rsidR="00BD1F48">
        <w:t xml:space="preserve"> </w:t>
      </w:r>
      <w:r w:rsidRPr="007958B8">
        <w:t>or</w:t>
      </w:r>
      <w:r w:rsidR="00BD1F48">
        <w:t xml:space="preserve"> </w:t>
      </w:r>
      <w:r w:rsidRPr="007958B8">
        <w:t>degrading</w:t>
      </w:r>
      <w:r w:rsidR="00BD1F48">
        <w:t xml:space="preserve"> </w:t>
      </w:r>
      <w:r w:rsidRPr="007958B8">
        <w:t>treatment</w:t>
      </w:r>
      <w:r w:rsidR="00BD1F48">
        <w:t xml:space="preserve"> </w:t>
      </w:r>
      <w:r w:rsidRPr="007958B8">
        <w:t>or</w:t>
      </w:r>
      <w:r w:rsidR="00BD1F48">
        <w:t xml:space="preserve"> </w:t>
      </w:r>
      <w:r w:rsidRPr="007958B8">
        <w:t>punishment.</w:t>
      </w:r>
    </w:p>
  </w:footnote>
  <w:footnote w:id="17">
    <w:p w:rsidR="00BC4324" w:rsidRPr="007958B8" w:rsidRDefault="00BC4324" w:rsidP="00BD1F48">
      <w:pPr>
        <w:pStyle w:val="FootnoteText"/>
      </w:pPr>
      <w:r>
        <w:tab/>
      </w:r>
      <w:r w:rsidRPr="00BD1F48">
        <w:rPr>
          <w:rStyle w:val="FootnoteReference"/>
        </w:rPr>
        <w:footnoteRef/>
      </w:r>
      <w:r w:rsidRPr="007958B8">
        <w:rPr>
          <w:lang w:val="en-US"/>
        </w:rPr>
        <w:tab/>
        <w:t>See</w:t>
      </w:r>
      <w:r w:rsidR="00BD1F48">
        <w:rPr>
          <w:lang w:val="en-US"/>
        </w:rPr>
        <w:t xml:space="preserve"> </w:t>
      </w:r>
      <w:r w:rsidRPr="007958B8">
        <w:t>CAT/C/TKM/CO/1</w:t>
      </w:r>
      <w:r w:rsidRPr="007958B8">
        <w:rPr>
          <w:lang w:val="en-US"/>
        </w:rPr>
        <w:t>,</w:t>
      </w:r>
      <w:r w:rsidR="00BD1F48">
        <w:rPr>
          <w:lang w:val="en-US"/>
        </w:rPr>
        <w:t xml:space="preserve"> </w:t>
      </w:r>
      <w:r w:rsidRPr="007958B8">
        <w:rPr>
          <w:lang w:val="en-US"/>
        </w:rPr>
        <w:t>para.</w:t>
      </w:r>
      <w:r w:rsidR="00BD1F48">
        <w:rPr>
          <w:lang w:val="en-US"/>
        </w:rPr>
        <w:t xml:space="preserve"> </w:t>
      </w:r>
      <w:r w:rsidRPr="007958B8">
        <w:t>19.</w:t>
      </w:r>
    </w:p>
  </w:footnote>
  <w:footnote w:id="18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See,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example,</w:t>
      </w:r>
      <w:r w:rsidR="00BD1F48">
        <w:t xml:space="preserve"> </w:t>
      </w:r>
      <w:r w:rsidRPr="007958B8">
        <w:t>communications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1520/2006,</w:t>
      </w:r>
      <w:r w:rsidR="00BD1F48">
        <w:t xml:space="preserve"> </w:t>
      </w:r>
      <w:r w:rsidRPr="007958B8">
        <w:rPr>
          <w:i/>
        </w:rPr>
        <w:t>Mwamba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Zambia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10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2010,</w:t>
      </w:r>
      <w:r w:rsidR="00BD1F48">
        <w:t xml:space="preserve"> </w:t>
      </w:r>
      <w:proofErr w:type="gramStart"/>
      <w:r w:rsidRPr="007958B8">
        <w:t>para</w:t>
      </w:r>
      <w:proofErr w:type="gramEnd"/>
      <w:r w:rsidRPr="007958B8">
        <w:t>.</w:t>
      </w:r>
      <w:r w:rsidR="00BD1F48">
        <w:t xml:space="preserve"> </w:t>
      </w:r>
      <w:proofErr w:type="gramStart"/>
      <w:r w:rsidRPr="007958B8">
        <w:t>6.4;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2218/2012,</w:t>
      </w:r>
      <w:r w:rsidR="00BD1F48">
        <w:t xml:space="preserve"> </w:t>
      </w:r>
      <w:r w:rsidRPr="007958B8">
        <w:rPr>
          <w:i/>
        </w:rPr>
        <w:t>Abdullayev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25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7.3.</w:t>
      </w:r>
    </w:p>
  </w:footnote>
  <w:footnote w:id="19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See,</w:t>
      </w:r>
      <w:r w:rsidR="00BD1F48">
        <w:t xml:space="preserve"> </w:t>
      </w:r>
      <w:r w:rsidRPr="007958B8">
        <w:t>for</w:t>
      </w:r>
      <w:r w:rsidR="00BD1F48">
        <w:t xml:space="preserve"> </w:t>
      </w:r>
      <w:r w:rsidRPr="007958B8">
        <w:t>example,</w:t>
      </w:r>
      <w:r w:rsidR="00BD1F48">
        <w:t xml:space="preserve"> </w:t>
      </w:r>
      <w:r w:rsidRPr="007958B8">
        <w:t>communications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1530/2006,</w:t>
      </w:r>
      <w:r w:rsidR="00BD1F48">
        <w:t xml:space="preserve"> </w:t>
      </w:r>
      <w:r w:rsidRPr="007958B8">
        <w:rPr>
          <w:i/>
        </w:rPr>
        <w:t>Bozbey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27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2010,</w:t>
      </w:r>
      <w:r w:rsidR="00BD1F48">
        <w:t xml:space="preserve"> </w:t>
      </w:r>
      <w:proofErr w:type="gramStart"/>
      <w:r w:rsidRPr="007958B8">
        <w:t>para</w:t>
      </w:r>
      <w:proofErr w:type="gramEnd"/>
      <w:r w:rsidRPr="007958B8">
        <w:t>.</w:t>
      </w:r>
      <w:r w:rsidR="00BD1F48">
        <w:t xml:space="preserve"> </w:t>
      </w:r>
      <w:proofErr w:type="gramStart"/>
      <w:r w:rsidRPr="007958B8">
        <w:t>7.3;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2221/2012,</w:t>
      </w:r>
      <w:r w:rsidR="00BD1F48">
        <w:t xml:space="preserve"> </w:t>
      </w:r>
      <w:r w:rsidRPr="007958B8">
        <w:rPr>
          <w:i/>
        </w:rPr>
        <w:t>Mahmud</w:t>
      </w:r>
      <w:r w:rsidR="00BD1F48">
        <w:rPr>
          <w:i/>
        </w:rPr>
        <w:t xml:space="preserve"> </w:t>
      </w:r>
      <w:r w:rsidRPr="007958B8">
        <w:rPr>
          <w:i/>
        </w:rPr>
        <w:t>Hudaybergenov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29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7958B8">
        <w:t>7.3;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2222/2012,</w:t>
      </w:r>
      <w:r w:rsidR="00BD1F48">
        <w:t xml:space="preserve"> </w:t>
      </w:r>
      <w:r w:rsidRPr="007958B8">
        <w:rPr>
          <w:i/>
        </w:rPr>
        <w:t>Ahmet</w:t>
      </w:r>
      <w:r w:rsidR="00BD1F48">
        <w:rPr>
          <w:i/>
        </w:rPr>
        <w:t xml:space="preserve"> </w:t>
      </w:r>
      <w:r w:rsidRPr="007958B8">
        <w:rPr>
          <w:i/>
        </w:rPr>
        <w:t>Hudaybergenov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29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7958B8">
        <w:t>7.3;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2223/2012,</w:t>
      </w:r>
      <w:r w:rsidR="00BD1F48">
        <w:t xml:space="preserve"> </w:t>
      </w:r>
      <w:r w:rsidRPr="007958B8">
        <w:rPr>
          <w:i/>
        </w:rPr>
        <w:t>Japparow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29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7.3.</w:t>
      </w:r>
    </w:p>
  </w:footnote>
  <w:footnote w:id="20">
    <w:p w:rsidR="00BC4324" w:rsidRPr="00E942A3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the</w:t>
      </w:r>
      <w:r w:rsidR="00BD1F48">
        <w:t xml:space="preserve"> </w:t>
      </w:r>
      <w:r w:rsidRPr="007958B8">
        <w:t>Committee</w:t>
      </w:r>
      <w:r w:rsidR="00BD1F48">
        <w:t>’</w:t>
      </w:r>
      <w:r w:rsidRPr="007958B8">
        <w:t>s</w:t>
      </w:r>
      <w:r w:rsidR="00BD1F48">
        <w:t xml:space="preserve"> </w:t>
      </w:r>
      <w:r w:rsidRPr="007958B8">
        <w:t>general</w:t>
      </w:r>
      <w:r w:rsidR="00BD1F48">
        <w:t xml:space="preserve"> </w:t>
      </w:r>
      <w:r w:rsidRPr="007958B8">
        <w:t>comment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32,</w:t>
      </w:r>
      <w:r w:rsidR="00BD1F48">
        <w:t xml:space="preserve"> </w:t>
      </w:r>
      <w:r w:rsidRPr="007958B8">
        <w:t>paras.</w:t>
      </w:r>
      <w:r w:rsidR="00BD1F48">
        <w:t xml:space="preserve"> </w:t>
      </w:r>
      <w:proofErr w:type="gramStart"/>
      <w:r w:rsidRPr="007958B8">
        <w:t>54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55.</w:t>
      </w:r>
      <w:proofErr w:type="gramEnd"/>
    </w:p>
  </w:footnote>
  <w:footnote w:id="21">
    <w:p w:rsidR="00BC4324" w:rsidRPr="007958B8" w:rsidRDefault="00BC4324" w:rsidP="00BD1F48">
      <w:pPr>
        <w:pStyle w:val="FootnoteText"/>
      </w:pPr>
      <w:r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rPr>
          <w:i/>
        </w:rPr>
        <w:t>Bozbey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r w:rsidR="00BD1F48">
        <w:t xml:space="preserve"> </w:t>
      </w:r>
      <w:r w:rsidRPr="00A93B52">
        <w:rPr>
          <w:lang w:val="es-ES"/>
        </w:rPr>
        <w:t>7.3;</w:t>
      </w:r>
      <w:r w:rsidR="00BD1F48" w:rsidRPr="00A93B52">
        <w:rPr>
          <w:lang w:val="es-ES"/>
        </w:rPr>
        <w:t xml:space="preserve"> </w:t>
      </w:r>
      <w:r w:rsidRPr="00A93B52">
        <w:rPr>
          <w:i/>
          <w:lang w:val="es-ES"/>
        </w:rPr>
        <w:t>Abdullayev</w:t>
      </w:r>
      <w:r w:rsidR="00BD1F48" w:rsidRPr="00A93B52">
        <w:rPr>
          <w:i/>
          <w:lang w:val="es-ES"/>
        </w:rPr>
        <w:t xml:space="preserve"> </w:t>
      </w:r>
      <w:r w:rsidRPr="00A93B52">
        <w:rPr>
          <w:i/>
          <w:lang w:val="es-ES"/>
        </w:rPr>
        <w:t>v.</w:t>
      </w:r>
      <w:r w:rsidR="00BD1F48" w:rsidRPr="00A93B52">
        <w:rPr>
          <w:i/>
          <w:lang w:val="es-ES"/>
        </w:rPr>
        <w:t xml:space="preserve"> </w:t>
      </w:r>
      <w:r w:rsidRPr="00A93B52">
        <w:rPr>
          <w:i/>
          <w:lang w:val="es-ES"/>
        </w:rPr>
        <w:t>Turkmenistan</w:t>
      </w:r>
      <w:r w:rsidRPr="00A93B52">
        <w:rPr>
          <w:lang w:val="es-ES"/>
        </w:rPr>
        <w:t>,</w:t>
      </w:r>
      <w:r w:rsidR="00BD1F48" w:rsidRPr="00A93B52">
        <w:rPr>
          <w:lang w:val="es-ES"/>
        </w:rPr>
        <w:t xml:space="preserve"> </w:t>
      </w:r>
      <w:r w:rsidRPr="00A93B52">
        <w:rPr>
          <w:lang w:val="es-ES"/>
        </w:rPr>
        <w:t>para.</w:t>
      </w:r>
      <w:r w:rsidR="00BD1F48" w:rsidRPr="00A93B52">
        <w:rPr>
          <w:lang w:val="es-ES"/>
        </w:rPr>
        <w:t xml:space="preserve"> </w:t>
      </w:r>
      <w:r w:rsidRPr="00A93B52">
        <w:rPr>
          <w:lang w:val="es-ES"/>
        </w:rPr>
        <w:t>7.3;</w:t>
      </w:r>
      <w:r w:rsidR="00BD1F48" w:rsidRPr="00A93B52">
        <w:rPr>
          <w:lang w:val="es-ES"/>
        </w:rPr>
        <w:t xml:space="preserve"> </w:t>
      </w:r>
      <w:r w:rsidRPr="00A93B52">
        <w:rPr>
          <w:i/>
          <w:lang w:val="es-ES"/>
        </w:rPr>
        <w:t>Mahmud</w:t>
      </w:r>
      <w:r w:rsidR="00BD1F48" w:rsidRPr="00A93B52">
        <w:rPr>
          <w:i/>
          <w:lang w:val="es-ES"/>
        </w:rPr>
        <w:t xml:space="preserve"> </w:t>
      </w:r>
      <w:r w:rsidRPr="00A93B52">
        <w:rPr>
          <w:i/>
          <w:lang w:val="es-ES"/>
        </w:rPr>
        <w:t>Hudaybergenov</w:t>
      </w:r>
      <w:r w:rsidR="00BD1F48" w:rsidRPr="00A93B52">
        <w:rPr>
          <w:i/>
          <w:lang w:val="es-ES"/>
        </w:rPr>
        <w:t xml:space="preserve"> </w:t>
      </w:r>
      <w:r w:rsidRPr="00A93B52">
        <w:rPr>
          <w:i/>
          <w:lang w:val="es-ES"/>
        </w:rPr>
        <w:t>v.</w:t>
      </w:r>
      <w:r w:rsidR="00BD1F48" w:rsidRPr="00A93B52">
        <w:rPr>
          <w:i/>
          <w:lang w:val="es-ES"/>
        </w:rPr>
        <w:t xml:space="preserve"> </w:t>
      </w:r>
      <w:r w:rsidRPr="00A93B52">
        <w:rPr>
          <w:i/>
          <w:lang w:val="es-ES"/>
        </w:rPr>
        <w:t>Turkmenistan</w:t>
      </w:r>
      <w:r w:rsidRPr="00A93B52">
        <w:rPr>
          <w:lang w:val="es-ES"/>
        </w:rPr>
        <w:t>,</w:t>
      </w:r>
      <w:r w:rsidR="00BD1F48" w:rsidRPr="00A93B52">
        <w:rPr>
          <w:lang w:val="es-ES"/>
        </w:rPr>
        <w:t xml:space="preserve"> </w:t>
      </w:r>
      <w:r w:rsidRPr="00A93B52">
        <w:rPr>
          <w:lang w:val="es-ES"/>
        </w:rPr>
        <w:t>para.</w:t>
      </w:r>
      <w:r w:rsidR="00BD1F48" w:rsidRPr="00A93B52">
        <w:rPr>
          <w:lang w:val="es-ES"/>
        </w:rPr>
        <w:t xml:space="preserve"> </w:t>
      </w:r>
      <w:proofErr w:type="gramStart"/>
      <w:r w:rsidRPr="007958B8">
        <w:t>7.3;</w:t>
      </w:r>
      <w:r w:rsidR="00BD1F48">
        <w:t xml:space="preserve"> </w:t>
      </w:r>
      <w:r w:rsidRPr="007958B8">
        <w:rPr>
          <w:i/>
        </w:rPr>
        <w:t>Ahmet</w:t>
      </w:r>
      <w:r w:rsidR="00BD1F48">
        <w:rPr>
          <w:i/>
        </w:rPr>
        <w:t xml:space="preserve"> </w:t>
      </w:r>
      <w:r w:rsidRPr="007958B8">
        <w:rPr>
          <w:i/>
        </w:rPr>
        <w:t>Hudaybergenov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7.3</w:t>
      </w:r>
      <w:proofErr w:type="gramStart"/>
      <w:r w:rsidRPr="007958B8">
        <w:t>;</w:t>
      </w:r>
      <w:proofErr w:type="gramEnd"/>
      <w:r w:rsidRPr="007958B8">
        <w:br/>
        <w:t>and</w:t>
      </w:r>
      <w:r w:rsidR="00BD1F48">
        <w:t xml:space="preserve"> </w:t>
      </w:r>
      <w:r w:rsidRPr="007958B8">
        <w:rPr>
          <w:i/>
        </w:rPr>
        <w:t>Japparow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r w:rsidR="00BD1F48">
        <w:t xml:space="preserve"> </w:t>
      </w:r>
      <w:r w:rsidRPr="007958B8">
        <w:t>7.3.</w:t>
      </w:r>
    </w:p>
  </w:footnote>
  <w:footnote w:id="22">
    <w:p w:rsidR="00BC4324" w:rsidRPr="007958B8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communications</w:t>
      </w:r>
      <w:r w:rsidR="00BD1F48">
        <w:t xml:space="preserve"> </w:t>
      </w:r>
      <w:r w:rsidRPr="007958B8">
        <w:t>Nos.</w:t>
      </w:r>
      <w:r w:rsidR="00BD1F48">
        <w:t xml:space="preserve"> </w:t>
      </w:r>
      <w:r w:rsidRPr="007958B8">
        <w:t>1642-1741/2007,</w:t>
      </w:r>
      <w:r w:rsidR="00BD1F48">
        <w:t xml:space="preserve"> </w:t>
      </w:r>
      <w:r w:rsidRPr="007958B8">
        <w:rPr>
          <w:i/>
        </w:rPr>
        <w:t>Min-Kyu</w:t>
      </w:r>
      <w:r w:rsidR="00BD1F48">
        <w:rPr>
          <w:i/>
        </w:rPr>
        <w:t xml:space="preserve"> </w:t>
      </w:r>
      <w:r w:rsidRPr="007958B8">
        <w:rPr>
          <w:i/>
        </w:rPr>
        <w:t>Jeong</w:t>
      </w:r>
      <w:r w:rsidR="00BD1F48">
        <w:rPr>
          <w:i/>
        </w:rPr>
        <w:t xml:space="preserve"> </w:t>
      </w:r>
      <w:r w:rsidRPr="007958B8">
        <w:rPr>
          <w:i/>
        </w:rPr>
        <w:t>et</w:t>
      </w:r>
      <w:r w:rsidR="00BD1F48">
        <w:rPr>
          <w:i/>
        </w:rPr>
        <w:t xml:space="preserve"> </w:t>
      </w:r>
      <w:r w:rsidRPr="007958B8">
        <w:rPr>
          <w:i/>
        </w:rPr>
        <w:t>al.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Republic</w:t>
      </w:r>
      <w:r w:rsidR="00BD1F48">
        <w:rPr>
          <w:i/>
        </w:rPr>
        <w:t xml:space="preserve"> </w:t>
      </w:r>
      <w:r w:rsidRPr="007958B8">
        <w:rPr>
          <w:i/>
        </w:rPr>
        <w:t>of</w:t>
      </w:r>
      <w:r w:rsidR="00BD1F48">
        <w:rPr>
          <w:i/>
        </w:rPr>
        <w:t xml:space="preserve"> </w:t>
      </w:r>
      <w:r w:rsidRPr="007958B8">
        <w:rPr>
          <w:i/>
        </w:rPr>
        <w:t>Korea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24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2011,</w:t>
      </w:r>
      <w:r w:rsidR="00BD1F48">
        <w:t xml:space="preserve"> </w:t>
      </w:r>
      <w:proofErr w:type="gramStart"/>
      <w:r w:rsidRPr="007958B8">
        <w:t>para</w:t>
      </w:r>
      <w:proofErr w:type="gramEnd"/>
      <w:r w:rsidRPr="007958B8">
        <w:t>.</w:t>
      </w:r>
      <w:r w:rsidR="00BD1F48">
        <w:t xml:space="preserve"> </w:t>
      </w:r>
      <w:proofErr w:type="gramStart"/>
      <w:r w:rsidRPr="007958B8">
        <w:t>7.3;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1786/2008,</w:t>
      </w:r>
      <w:r w:rsidR="00BD1F48">
        <w:t xml:space="preserve"> </w:t>
      </w:r>
      <w:r w:rsidRPr="007958B8">
        <w:rPr>
          <w:i/>
        </w:rPr>
        <w:t>Jong-nam</w:t>
      </w:r>
      <w:r w:rsidR="00BD1F48">
        <w:rPr>
          <w:i/>
        </w:rPr>
        <w:t xml:space="preserve"> </w:t>
      </w:r>
      <w:r w:rsidRPr="007958B8">
        <w:rPr>
          <w:i/>
        </w:rPr>
        <w:t>Kim</w:t>
      </w:r>
      <w:r w:rsidR="00BD1F48">
        <w:rPr>
          <w:i/>
        </w:rPr>
        <w:t xml:space="preserve"> </w:t>
      </w:r>
      <w:r w:rsidRPr="007958B8">
        <w:rPr>
          <w:i/>
        </w:rPr>
        <w:t>et</w:t>
      </w:r>
      <w:r w:rsidR="00BD1F48">
        <w:rPr>
          <w:i/>
        </w:rPr>
        <w:t xml:space="preserve"> </w:t>
      </w:r>
      <w:r w:rsidRPr="007958B8">
        <w:rPr>
          <w:i/>
        </w:rPr>
        <w:t>al.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Republic</w:t>
      </w:r>
      <w:r w:rsidR="00BD1F48">
        <w:rPr>
          <w:i/>
        </w:rPr>
        <w:t xml:space="preserve"> </w:t>
      </w:r>
      <w:r w:rsidRPr="007958B8">
        <w:rPr>
          <w:i/>
        </w:rPr>
        <w:t>of</w:t>
      </w:r>
      <w:r w:rsidR="00BD1F48">
        <w:rPr>
          <w:i/>
        </w:rPr>
        <w:t xml:space="preserve"> </w:t>
      </w:r>
      <w:r w:rsidRPr="009419C7">
        <w:rPr>
          <w:i/>
        </w:rPr>
        <w:t>Korea,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25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2012,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7958B8">
        <w:t>7.4;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rPr>
          <w:i/>
        </w:rPr>
        <w:t>Abdullayev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A93B52">
        <w:t>7.7;</w:t>
      </w:r>
      <w:r w:rsidR="00BD1F48" w:rsidRPr="00A93B52">
        <w:t xml:space="preserve"> </w:t>
      </w:r>
      <w:r w:rsidRPr="00A93B52">
        <w:rPr>
          <w:i/>
        </w:rPr>
        <w:t>Mahmud</w:t>
      </w:r>
      <w:r w:rsidR="00BD1F48" w:rsidRPr="00A93B52">
        <w:rPr>
          <w:i/>
        </w:rPr>
        <w:t xml:space="preserve"> </w:t>
      </w:r>
      <w:r w:rsidRPr="00A93B52">
        <w:rPr>
          <w:i/>
        </w:rPr>
        <w:t>Hudaybergenov</w:t>
      </w:r>
      <w:r w:rsidR="00BD1F48" w:rsidRPr="00A93B52">
        <w:rPr>
          <w:i/>
        </w:rPr>
        <w:t xml:space="preserve"> </w:t>
      </w:r>
      <w:r w:rsidRPr="00A93B52">
        <w:rPr>
          <w:i/>
        </w:rPr>
        <w:t>v.</w:t>
      </w:r>
      <w:r w:rsidR="00BD1F48" w:rsidRPr="00A93B52">
        <w:rPr>
          <w:i/>
        </w:rPr>
        <w:t xml:space="preserve"> </w:t>
      </w:r>
      <w:r w:rsidRPr="00A93B52">
        <w:rPr>
          <w:i/>
        </w:rPr>
        <w:t>Turkmenistan</w:t>
      </w:r>
      <w:r w:rsidRPr="00A93B52">
        <w:t>,</w:t>
      </w:r>
      <w:r w:rsidR="00BD1F48" w:rsidRPr="00A93B52">
        <w:t xml:space="preserve"> </w:t>
      </w:r>
      <w:r w:rsidRPr="00A93B52">
        <w:t>para.</w:t>
      </w:r>
      <w:proofErr w:type="gramEnd"/>
      <w:r w:rsidR="00BD1F48" w:rsidRPr="00A93B52">
        <w:t xml:space="preserve"> </w:t>
      </w:r>
      <w:proofErr w:type="gramStart"/>
      <w:r w:rsidRPr="00A93B52">
        <w:t>7.5;</w:t>
      </w:r>
      <w:r w:rsidR="00BD1F48" w:rsidRPr="00A93B52">
        <w:t xml:space="preserve"> </w:t>
      </w:r>
      <w:r w:rsidRPr="00A93B52">
        <w:rPr>
          <w:i/>
        </w:rPr>
        <w:t>Ahmet</w:t>
      </w:r>
      <w:r w:rsidR="00BD1F48" w:rsidRPr="00A93B52">
        <w:rPr>
          <w:i/>
        </w:rPr>
        <w:t xml:space="preserve"> </w:t>
      </w:r>
      <w:r w:rsidRPr="00A93B52">
        <w:rPr>
          <w:i/>
        </w:rPr>
        <w:t>Hudaybergenov</w:t>
      </w:r>
      <w:r w:rsidR="00BD1F48" w:rsidRPr="00A93B52">
        <w:rPr>
          <w:i/>
        </w:rPr>
        <w:t xml:space="preserve"> </w:t>
      </w:r>
      <w:r w:rsidRPr="00A93B52">
        <w:rPr>
          <w:i/>
        </w:rPr>
        <w:t>v.</w:t>
      </w:r>
      <w:r w:rsidR="00BD1F48" w:rsidRPr="00A93B52">
        <w:rPr>
          <w:i/>
        </w:rPr>
        <w:t xml:space="preserve"> </w:t>
      </w:r>
      <w:r w:rsidRPr="00A93B52">
        <w:rPr>
          <w:i/>
        </w:rPr>
        <w:t>Turkmenistan</w:t>
      </w:r>
      <w:r w:rsidRPr="00A93B52">
        <w:t>,</w:t>
      </w:r>
      <w:r w:rsidR="00BD1F48" w:rsidRPr="00A93B52">
        <w:t xml:space="preserve"> </w:t>
      </w:r>
      <w:r w:rsidRPr="00A93B52">
        <w:t>para.</w:t>
      </w:r>
      <w:proofErr w:type="gramEnd"/>
      <w:r w:rsidR="00BD1F48" w:rsidRPr="00A93B52">
        <w:t xml:space="preserve"> </w:t>
      </w:r>
      <w:proofErr w:type="gramStart"/>
      <w:r w:rsidRPr="007958B8">
        <w:rPr>
          <w:lang w:val="en-US"/>
        </w:rPr>
        <w:t>7.5;</w:t>
      </w:r>
      <w:r w:rsidR="00BD1F48">
        <w:rPr>
          <w:lang w:val="en-US"/>
        </w:rPr>
        <w:t xml:space="preserve"> </w:t>
      </w:r>
      <w:r w:rsidRPr="007958B8">
        <w:rPr>
          <w:lang w:val="en-US"/>
        </w:rPr>
        <w:t>and</w:t>
      </w:r>
      <w:r w:rsidR="00BD1F48">
        <w:rPr>
          <w:lang w:val="en-US"/>
        </w:rPr>
        <w:t xml:space="preserve"> </w:t>
      </w:r>
      <w:r w:rsidRPr="007958B8">
        <w:rPr>
          <w:i/>
          <w:lang w:val="en-US"/>
        </w:rPr>
        <w:t>Japparow</w:t>
      </w:r>
      <w:r w:rsidR="00BD1F48">
        <w:rPr>
          <w:i/>
          <w:lang w:val="en-US"/>
        </w:rPr>
        <w:t xml:space="preserve"> </w:t>
      </w:r>
      <w:r w:rsidRPr="007958B8">
        <w:rPr>
          <w:i/>
          <w:lang w:val="en-US"/>
        </w:rPr>
        <w:t>v.</w:t>
      </w:r>
      <w:r w:rsidR="00BD1F48">
        <w:rPr>
          <w:i/>
          <w:lang w:val="en-US"/>
        </w:rPr>
        <w:t xml:space="preserve"> </w:t>
      </w:r>
      <w:r w:rsidRPr="007958B8">
        <w:rPr>
          <w:i/>
          <w:lang w:val="en-US"/>
        </w:rPr>
        <w:t>Turkmenistan</w:t>
      </w:r>
      <w:r w:rsidRPr="007958B8">
        <w:rPr>
          <w:lang w:val="en-US"/>
        </w:rPr>
        <w:t>,</w:t>
      </w:r>
      <w:r w:rsidR="00BD1F48">
        <w:rPr>
          <w:lang w:val="en-US"/>
        </w:rPr>
        <w:t xml:space="preserve"> </w:t>
      </w:r>
      <w:r w:rsidRPr="007958B8">
        <w:rPr>
          <w:lang w:val="en-US"/>
        </w:rPr>
        <w:t>para.</w:t>
      </w:r>
      <w:proofErr w:type="gramEnd"/>
      <w:r w:rsidR="00BD1F48">
        <w:rPr>
          <w:lang w:val="en-US"/>
        </w:rPr>
        <w:t xml:space="preserve"> </w:t>
      </w:r>
      <w:r w:rsidRPr="007958B8">
        <w:rPr>
          <w:lang w:val="en-US"/>
        </w:rPr>
        <w:t>7.6.</w:t>
      </w:r>
    </w:p>
  </w:footnote>
  <w:footnote w:id="23">
    <w:p w:rsidR="00BC4324" w:rsidRPr="0024776E" w:rsidRDefault="00BC4324" w:rsidP="00BD1F48">
      <w:pPr>
        <w:pStyle w:val="FootnoteText"/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rPr>
          <w:i/>
        </w:rPr>
        <w:t>Min-Kyu</w:t>
      </w:r>
      <w:r w:rsidR="00BD1F48">
        <w:rPr>
          <w:i/>
        </w:rPr>
        <w:t xml:space="preserve"> </w:t>
      </w:r>
      <w:r w:rsidRPr="007958B8">
        <w:rPr>
          <w:i/>
        </w:rPr>
        <w:t>Jeong</w:t>
      </w:r>
      <w:r w:rsidR="00BD1F48">
        <w:rPr>
          <w:i/>
        </w:rPr>
        <w:t xml:space="preserve"> </w:t>
      </w:r>
      <w:r w:rsidRPr="007958B8">
        <w:rPr>
          <w:i/>
        </w:rPr>
        <w:t>et</w:t>
      </w:r>
      <w:r w:rsidR="00BD1F48">
        <w:rPr>
          <w:i/>
        </w:rPr>
        <w:t xml:space="preserve"> </w:t>
      </w:r>
      <w:r w:rsidRPr="007958B8">
        <w:rPr>
          <w:i/>
        </w:rPr>
        <w:t>al.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Republic</w:t>
      </w:r>
      <w:r w:rsidR="00BD1F48">
        <w:rPr>
          <w:i/>
        </w:rPr>
        <w:t xml:space="preserve"> </w:t>
      </w:r>
      <w:r w:rsidRPr="007958B8">
        <w:rPr>
          <w:i/>
        </w:rPr>
        <w:t>of</w:t>
      </w:r>
      <w:r w:rsidR="00BD1F48">
        <w:rPr>
          <w:i/>
        </w:rPr>
        <w:t xml:space="preserve"> </w:t>
      </w:r>
      <w:r w:rsidRPr="007958B8">
        <w:rPr>
          <w:i/>
        </w:rPr>
        <w:t>Korea</w:t>
      </w:r>
      <w:r w:rsidRPr="007958B8">
        <w:t>,</w:t>
      </w:r>
      <w:r w:rsidR="00BD1F48">
        <w:t xml:space="preserve"> </w:t>
      </w:r>
      <w:r w:rsidRPr="007958B8">
        <w:t>para.</w:t>
      </w:r>
      <w:r w:rsidR="00BD1F48">
        <w:t xml:space="preserve"> </w:t>
      </w:r>
      <w:proofErr w:type="gramStart"/>
      <w:r w:rsidRPr="007958B8">
        <w:t>7.4;</w:t>
      </w:r>
      <w:r w:rsidR="00BD1F48">
        <w:t xml:space="preserve"> </w:t>
      </w:r>
      <w:r w:rsidRPr="007958B8">
        <w:rPr>
          <w:i/>
        </w:rPr>
        <w:t>Jong-nam</w:t>
      </w:r>
      <w:r w:rsidR="00BD1F48">
        <w:rPr>
          <w:i/>
        </w:rPr>
        <w:t xml:space="preserve"> </w:t>
      </w:r>
      <w:r w:rsidRPr="007958B8">
        <w:rPr>
          <w:i/>
        </w:rPr>
        <w:t>Kim</w:t>
      </w:r>
      <w:r w:rsidR="00BD1F48">
        <w:rPr>
          <w:i/>
        </w:rPr>
        <w:t xml:space="preserve"> </w:t>
      </w:r>
      <w:r w:rsidRPr="007958B8">
        <w:rPr>
          <w:i/>
        </w:rPr>
        <w:t>et</w:t>
      </w:r>
      <w:r w:rsidR="00BD1F48">
        <w:rPr>
          <w:i/>
        </w:rPr>
        <w:t xml:space="preserve"> </w:t>
      </w:r>
      <w:r w:rsidRPr="007958B8">
        <w:rPr>
          <w:i/>
        </w:rPr>
        <w:t>al.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Republic</w:t>
      </w:r>
      <w:r w:rsidR="00BD1F48">
        <w:rPr>
          <w:i/>
        </w:rPr>
        <w:t xml:space="preserve"> </w:t>
      </w:r>
      <w:r w:rsidRPr="007958B8">
        <w:rPr>
          <w:i/>
        </w:rPr>
        <w:t>of</w:t>
      </w:r>
      <w:r w:rsidR="00BD1F48">
        <w:rPr>
          <w:i/>
        </w:rPr>
        <w:t xml:space="preserve"> </w:t>
      </w:r>
      <w:r w:rsidRPr="007958B8">
        <w:rPr>
          <w:i/>
        </w:rPr>
        <w:t>Korea</w:t>
      </w:r>
      <w:r w:rsidRPr="007958B8">
        <w:t>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7958B8">
        <w:t>7.5;</w:t>
      </w:r>
      <w:r w:rsidR="00BD1F48">
        <w:t xml:space="preserve"> </w:t>
      </w:r>
      <w:r w:rsidRPr="007958B8">
        <w:rPr>
          <w:i/>
        </w:rPr>
        <w:t>Atasoy</w:t>
      </w:r>
      <w:r w:rsidR="00BD1F48">
        <w:rPr>
          <w:i/>
        </w:rPr>
        <w:t xml:space="preserve"> </w:t>
      </w:r>
      <w:r w:rsidRPr="007958B8">
        <w:rPr>
          <w:i/>
        </w:rPr>
        <w:t>and</w:t>
      </w:r>
      <w:r w:rsidR="00BD1F48">
        <w:rPr>
          <w:i/>
        </w:rPr>
        <w:t xml:space="preserve"> </w:t>
      </w:r>
      <w:r w:rsidRPr="007958B8">
        <w:rPr>
          <w:i/>
        </w:rPr>
        <w:t>Sarkut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Turkey</w:t>
      </w:r>
      <w:r w:rsidRPr="007958B8">
        <w:t>,</w:t>
      </w:r>
      <w:r w:rsidR="00BD1F48">
        <w:t xml:space="preserve"> </w:t>
      </w:r>
      <w:r w:rsidRPr="007958B8">
        <w:t>paras.</w:t>
      </w:r>
      <w:proofErr w:type="gramEnd"/>
      <w:r w:rsidR="00BD1F48">
        <w:t xml:space="preserve"> </w:t>
      </w:r>
      <w:r w:rsidRPr="007958B8">
        <w:t>10.4</w:t>
      </w:r>
      <w:r w:rsidR="00BD1F48">
        <w:t xml:space="preserve"> </w:t>
      </w:r>
      <w:proofErr w:type="gramStart"/>
      <w:r w:rsidRPr="007958B8">
        <w:t>and</w:t>
      </w:r>
      <w:proofErr w:type="gramEnd"/>
      <w:r w:rsidR="00BD1F48">
        <w:t xml:space="preserve"> </w:t>
      </w:r>
      <w:r w:rsidRPr="007958B8">
        <w:t>10.5;</w:t>
      </w:r>
      <w:r w:rsidR="00BD1F48">
        <w:t xml:space="preserve"> </w:t>
      </w:r>
      <w:r w:rsidRPr="007958B8">
        <w:t>communication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2179/2012,</w:t>
      </w:r>
      <w:r w:rsidR="00BD1F48">
        <w:t xml:space="preserve"> </w:t>
      </w:r>
      <w:r w:rsidRPr="007958B8">
        <w:rPr>
          <w:i/>
        </w:rPr>
        <w:t>Young-kwan</w:t>
      </w:r>
      <w:r w:rsidR="00BD1F48">
        <w:rPr>
          <w:i/>
        </w:rPr>
        <w:t xml:space="preserve"> </w:t>
      </w:r>
      <w:r w:rsidRPr="007958B8">
        <w:rPr>
          <w:i/>
        </w:rPr>
        <w:t>Kim</w:t>
      </w:r>
      <w:r w:rsidR="00BD1F48">
        <w:rPr>
          <w:i/>
        </w:rPr>
        <w:t xml:space="preserve"> </w:t>
      </w:r>
      <w:r w:rsidRPr="007958B8">
        <w:rPr>
          <w:i/>
        </w:rPr>
        <w:t>et</w:t>
      </w:r>
      <w:r w:rsidR="00BD1F48">
        <w:rPr>
          <w:i/>
        </w:rPr>
        <w:t xml:space="preserve"> </w:t>
      </w:r>
      <w:r w:rsidRPr="007958B8">
        <w:rPr>
          <w:i/>
        </w:rPr>
        <w:t>al.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Republic</w:t>
      </w:r>
      <w:r w:rsidR="00BD1F48">
        <w:rPr>
          <w:i/>
        </w:rPr>
        <w:t xml:space="preserve"> </w:t>
      </w:r>
      <w:r w:rsidRPr="007958B8">
        <w:rPr>
          <w:i/>
        </w:rPr>
        <w:t>of</w:t>
      </w:r>
      <w:r w:rsidR="00BD1F48">
        <w:rPr>
          <w:i/>
        </w:rPr>
        <w:t xml:space="preserve"> </w:t>
      </w:r>
      <w:r w:rsidRPr="007958B8">
        <w:rPr>
          <w:i/>
        </w:rPr>
        <w:t>Korea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15</w:t>
      </w:r>
      <w:r w:rsidR="00BD1F48">
        <w:t xml:space="preserve"> </w:t>
      </w:r>
      <w:r w:rsidRPr="007958B8">
        <w:t>October</w:t>
      </w:r>
      <w:r w:rsidR="00BD1F48">
        <w:t xml:space="preserve"> </w:t>
      </w:r>
      <w:r w:rsidRPr="007958B8">
        <w:t>2014,</w:t>
      </w:r>
      <w:r w:rsidR="00BD1F48">
        <w:t xml:space="preserve"> </w:t>
      </w:r>
      <w:r w:rsidRPr="007958B8">
        <w:t>para.</w:t>
      </w:r>
      <w:r w:rsidR="00BD1F48">
        <w:t xml:space="preserve"> </w:t>
      </w:r>
      <w:proofErr w:type="gramStart"/>
      <w:r w:rsidRPr="007958B8">
        <w:t>7.4;</w:t>
      </w:r>
      <w:r w:rsidR="00BD1F48">
        <w:t xml:space="preserve"> </w:t>
      </w:r>
      <w:r w:rsidRPr="007958B8">
        <w:t>and</w:t>
      </w:r>
      <w:r w:rsidR="00BD1F48">
        <w:rPr>
          <w:i/>
        </w:rPr>
        <w:t xml:space="preserve"> </w:t>
      </w:r>
      <w:r w:rsidRPr="007958B8">
        <w:rPr>
          <w:i/>
        </w:rPr>
        <w:t>Abdullayev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A93B52">
        <w:t>7.8;</w:t>
      </w:r>
      <w:r w:rsidR="00BD1F48" w:rsidRPr="00A93B52">
        <w:rPr>
          <w:i/>
        </w:rPr>
        <w:t xml:space="preserve"> </w:t>
      </w:r>
      <w:r w:rsidRPr="00A93B52">
        <w:rPr>
          <w:i/>
        </w:rPr>
        <w:t>Mahmud</w:t>
      </w:r>
      <w:r w:rsidR="00BD1F48" w:rsidRPr="00A93B52">
        <w:rPr>
          <w:i/>
        </w:rPr>
        <w:t xml:space="preserve"> </w:t>
      </w:r>
      <w:r w:rsidRPr="00A93B52">
        <w:rPr>
          <w:i/>
        </w:rPr>
        <w:t>Hudaybergenov</w:t>
      </w:r>
      <w:r w:rsidR="00BD1F48" w:rsidRPr="00A93B52">
        <w:rPr>
          <w:i/>
        </w:rPr>
        <w:t xml:space="preserve"> </w:t>
      </w:r>
      <w:r w:rsidRPr="00A93B52">
        <w:rPr>
          <w:i/>
        </w:rPr>
        <w:t>v.</w:t>
      </w:r>
      <w:r w:rsidR="00BD1F48" w:rsidRPr="00A93B52">
        <w:rPr>
          <w:i/>
        </w:rPr>
        <w:t xml:space="preserve"> </w:t>
      </w:r>
      <w:r w:rsidRPr="00A93B52">
        <w:rPr>
          <w:i/>
        </w:rPr>
        <w:t>Turkmenistan</w:t>
      </w:r>
      <w:r w:rsidRPr="00A93B52">
        <w:t>,</w:t>
      </w:r>
      <w:r w:rsidR="00BD1F48" w:rsidRPr="00A93B52">
        <w:t xml:space="preserve"> </w:t>
      </w:r>
      <w:r w:rsidRPr="00A93B52">
        <w:t>para.</w:t>
      </w:r>
      <w:proofErr w:type="gramEnd"/>
      <w:r w:rsidR="00BD1F48" w:rsidRPr="00A93B52">
        <w:t xml:space="preserve"> </w:t>
      </w:r>
      <w:proofErr w:type="gramStart"/>
      <w:r w:rsidRPr="00A93B52">
        <w:t>7.6;</w:t>
      </w:r>
      <w:r w:rsidR="00BD1F48" w:rsidRPr="00A93B52">
        <w:t xml:space="preserve"> </w:t>
      </w:r>
      <w:r w:rsidRPr="00A93B52">
        <w:rPr>
          <w:i/>
        </w:rPr>
        <w:t>Ahmet</w:t>
      </w:r>
      <w:r w:rsidR="00BD1F48" w:rsidRPr="00A93B52">
        <w:rPr>
          <w:i/>
        </w:rPr>
        <w:t xml:space="preserve"> </w:t>
      </w:r>
      <w:r w:rsidRPr="00A93B52">
        <w:rPr>
          <w:i/>
        </w:rPr>
        <w:t>Hudaybergenov</w:t>
      </w:r>
      <w:r w:rsidR="00BD1F48" w:rsidRPr="00A93B52">
        <w:rPr>
          <w:i/>
        </w:rPr>
        <w:t xml:space="preserve"> </w:t>
      </w:r>
      <w:r w:rsidRPr="00A93B52">
        <w:rPr>
          <w:i/>
        </w:rPr>
        <w:t>v.</w:t>
      </w:r>
      <w:r w:rsidR="00BD1F48" w:rsidRPr="00A93B52">
        <w:rPr>
          <w:i/>
        </w:rPr>
        <w:t xml:space="preserve"> </w:t>
      </w:r>
      <w:r w:rsidRPr="00A93B52">
        <w:rPr>
          <w:i/>
        </w:rPr>
        <w:t>Turkmenistan</w:t>
      </w:r>
      <w:r w:rsidRPr="00A93B52">
        <w:t>,</w:t>
      </w:r>
      <w:r w:rsidR="00BD1F48" w:rsidRPr="00A93B52">
        <w:t xml:space="preserve"> </w:t>
      </w:r>
      <w:r w:rsidRPr="00A93B52">
        <w:t>para.</w:t>
      </w:r>
      <w:proofErr w:type="gramEnd"/>
      <w:r w:rsidR="00BD1F48" w:rsidRPr="00A93B52">
        <w:t xml:space="preserve"> </w:t>
      </w:r>
      <w:proofErr w:type="gramStart"/>
      <w:r w:rsidRPr="007958B8">
        <w:t>7.6;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rPr>
          <w:i/>
        </w:rPr>
        <w:t>Japparow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Turkmenistan</w:t>
      </w:r>
      <w:r w:rsidRPr="007958B8">
        <w:t>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7.7.</w:t>
      </w:r>
    </w:p>
  </w:footnote>
  <w:footnote w:id="24">
    <w:p w:rsidR="00BC4324" w:rsidRPr="007958B8" w:rsidRDefault="00BC4324" w:rsidP="00BD1F48">
      <w:pPr>
        <w:pStyle w:val="FootnoteText"/>
        <w:rPr>
          <w:lang w:val="en-US"/>
        </w:rPr>
      </w:pPr>
      <w:r>
        <w:tab/>
      </w:r>
      <w:r w:rsidRPr="00BD1F48">
        <w:rPr>
          <w:rStyle w:val="FootnoteReference"/>
        </w:rPr>
        <w:footnoteRef/>
      </w:r>
      <w:r w:rsidRPr="007958B8">
        <w:tab/>
        <w:t>See</w:t>
      </w:r>
      <w:r w:rsidR="00BD1F48">
        <w:t xml:space="preserve"> </w:t>
      </w:r>
      <w:r w:rsidRPr="007958B8">
        <w:t>CCPR/C/TKM/CO/1,</w:t>
      </w:r>
      <w:r w:rsidR="00BD1F48">
        <w:t xml:space="preserve"> </w:t>
      </w:r>
      <w:r w:rsidRPr="007958B8">
        <w:t>para.</w:t>
      </w:r>
      <w:r w:rsidR="00BD1F48">
        <w:t xml:space="preserve"> </w:t>
      </w:r>
      <w:r w:rsidRPr="007958B8">
        <w:t>16.</w:t>
      </w:r>
    </w:p>
  </w:footnote>
  <w:footnote w:id="25">
    <w:p w:rsidR="00BC4324" w:rsidRPr="00524054" w:rsidRDefault="00BC4324" w:rsidP="00BD1F48">
      <w:pPr>
        <w:pStyle w:val="FootnoteText"/>
        <w:rPr>
          <w:lang w:val="en-US"/>
        </w:rPr>
      </w:pPr>
      <w:r w:rsidRPr="007958B8">
        <w:tab/>
      </w:r>
      <w:r w:rsidRPr="00BD1F48">
        <w:rPr>
          <w:rStyle w:val="FootnoteReference"/>
        </w:rPr>
        <w:footnoteRef/>
      </w:r>
      <w:r w:rsidRPr="007958B8">
        <w:tab/>
      </w:r>
      <w:proofErr w:type="gramStart"/>
      <w:r w:rsidRPr="007958B8">
        <w:t>See</w:t>
      </w:r>
      <w:r w:rsidR="00BD1F48">
        <w:t xml:space="preserve"> </w:t>
      </w:r>
      <w:r w:rsidRPr="007958B8">
        <w:t>communications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2019/2010,</w:t>
      </w:r>
      <w:r w:rsidR="00BD1F48">
        <w:t xml:space="preserve"> </w:t>
      </w:r>
      <w:r w:rsidRPr="007958B8">
        <w:rPr>
          <w:i/>
        </w:rPr>
        <w:t>Poplavny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Belarus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5</w:t>
      </w:r>
      <w:r w:rsidR="00BD1F48">
        <w:t xml:space="preserve"> </w:t>
      </w:r>
      <w:r w:rsidRPr="007958B8">
        <w:t>November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proofErr w:type="gramStart"/>
      <w:r w:rsidRPr="007958B8">
        <w:t>10;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1992/2010,</w:t>
      </w:r>
      <w:r w:rsidR="00BD1F48">
        <w:t xml:space="preserve"> </w:t>
      </w:r>
      <w:r w:rsidRPr="007958B8">
        <w:rPr>
          <w:i/>
        </w:rPr>
        <w:t>Sudalenko</w:t>
      </w:r>
      <w:r w:rsidR="00BD1F48">
        <w:rPr>
          <w:i/>
        </w:rPr>
        <w:t xml:space="preserve"> </w:t>
      </w:r>
      <w:r w:rsidRPr="007958B8">
        <w:rPr>
          <w:i/>
        </w:rPr>
        <w:t>v.</w:t>
      </w:r>
      <w:r w:rsidR="00BD1F48">
        <w:rPr>
          <w:i/>
        </w:rPr>
        <w:t xml:space="preserve"> </w:t>
      </w:r>
      <w:r w:rsidRPr="007958B8">
        <w:rPr>
          <w:i/>
        </w:rPr>
        <w:t>Belarus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27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2015,</w:t>
      </w:r>
      <w:r w:rsidR="00BD1F48">
        <w:t xml:space="preserve"> </w:t>
      </w:r>
      <w:r w:rsidRPr="007958B8">
        <w:t>para.</w:t>
      </w:r>
      <w:proofErr w:type="gramEnd"/>
      <w:r w:rsidR="00BD1F48">
        <w:t xml:space="preserve"> </w:t>
      </w:r>
      <w:r w:rsidRPr="007958B8">
        <w:t>10</w:t>
      </w:r>
      <w:r w:rsidRPr="007958B8">
        <w:rPr>
          <w:rFonts w:ascii="Helv" w:hAnsi="Helv" w:cs="Helv"/>
        </w:rPr>
        <w:t>.</w:t>
      </w:r>
    </w:p>
  </w:footnote>
  <w:footnote w:id="26">
    <w:p w:rsidR="00BC4324" w:rsidRPr="006F1C8B" w:rsidRDefault="00BC4324" w:rsidP="00BD1F48">
      <w:pPr>
        <w:pStyle w:val="FootnoteText"/>
      </w:pPr>
      <w:r>
        <w:tab/>
      </w:r>
      <w:r w:rsidRPr="00BD1F48">
        <w:rPr>
          <w:rStyle w:val="FootnoteReference"/>
        </w:rPr>
        <w:footnoteRef/>
      </w:r>
      <w:r w:rsidRPr="007958B8">
        <w:tab/>
        <w:t>For</w:t>
      </w:r>
      <w:r w:rsidR="00BD1F48">
        <w:t xml:space="preserve"> </w:t>
      </w:r>
      <w:r w:rsidRPr="007958B8">
        <w:t>details,</w:t>
      </w:r>
      <w:r w:rsidR="00BD1F48">
        <w:t xml:space="preserve"> </w:t>
      </w:r>
      <w:r w:rsidRPr="007958B8">
        <w:t>see</w:t>
      </w:r>
      <w:r w:rsidR="00BD1F48">
        <w:t xml:space="preserve"> </w:t>
      </w:r>
      <w:r w:rsidRPr="007958B8">
        <w:t>communication</w:t>
      </w:r>
      <w:r w:rsidR="00BD1F48">
        <w:t xml:space="preserve"> </w:t>
      </w:r>
      <w:r w:rsidRPr="007958B8">
        <w:t>No.</w:t>
      </w:r>
      <w:r w:rsidR="00BD1F48">
        <w:t xml:space="preserve"> </w:t>
      </w:r>
      <w:r w:rsidRPr="007958B8">
        <w:t>2218/2012,</w:t>
      </w:r>
      <w:r w:rsidR="00BD1F48">
        <w:t xml:space="preserve"> </w:t>
      </w:r>
      <w:r w:rsidRPr="009419C7">
        <w:rPr>
          <w:i/>
          <w:iCs/>
        </w:rPr>
        <w:t>Abdullayev</w:t>
      </w:r>
      <w:r w:rsidR="00BD1F48">
        <w:rPr>
          <w:i/>
          <w:iCs/>
        </w:rPr>
        <w:t xml:space="preserve"> </w:t>
      </w:r>
      <w:r w:rsidRPr="009419C7">
        <w:rPr>
          <w:i/>
          <w:iCs/>
        </w:rPr>
        <w:t>v.</w:t>
      </w:r>
      <w:r w:rsidR="00BD1F48">
        <w:rPr>
          <w:i/>
          <w:iCs/>
        </w:rPr>
        <w:t xml:space="preserve"> </w:t>
      </w:r>
      <w:r w:rsidRPr="009419C7">
        <w:rPr>
          <w:i/>
          <w:iCs/>
        </w:rPr>
        <w:t>Turkmenistan</w:t>
      </w:r>
      <w:r w:rsidRPr="007958B8">
        <w:t>,</w:t>
      </w:r>
      <w:r w:rsidR="00BD1F48">
        <w:t xml:space="preserve"> </w:t>
      </w:r>
      <w:r w:rsidRPr="007958B8">
        <w:t>Views</w:t>
      </w:r>
      <w:r w:rsidR="00BD1F48">
        <w:t xml:space="preserve"> </w:t>
      </w:r>
      <w:r w:rsidRPr="007958B8">
        <w:t>adopted</w:t>
      </w:r>
      <w:r w:rsidR="00BD1F48">
        <w:t xml:space="preserve"> </w:t>
      </w:r>
      <w:r w:rsidRPr="007958B8">
        <w:t>on</w:t>
      </w:r>
      <w:r w:rsidR="00BD1F48">
        <w:t xml:space="preserve"> </w:t>
      </w:r>
      <w:r w:rsidRPr="007958B8">
        <w:t>25</w:t>
      </w:r>
      <w:r w:rsidR="00BD1F48">
        <w:t xml:space="preserve"> </w:t>
      </w:r>
      <w:r w:rsidRPr="007958B8">
        <w:t>March</w:t>
      </w:r>
      <w:r w:rsidR="00BD1F48">
        <w:t xml:space="preserve"> </w:t>
      </w:r>
      <w:r w:rsidRPr="007958B8">
        <w:t>2015</w:t>
      </w:r>
      <w:r w:rsidR="00BD1F48">
        <w:t xml:space="preserve"> </w:t>
      </w:r>
      <w:r w:rsidRPr="007958B8">
        <w:t>(joint</w:t>
      </w:r>
      <w:r w:rsidR="00BD1F48">
        <w:t xml:space="preserve"> </w:t>
      </w:r>
      <w:r w:rsidRPr="007958B8">
        <w:t>opinion</w:t>
      </w:r>
      <w:r w:rsidR="00BD1F48">
        <w:t xml:space="preserve"> </w:t>
      </w:r>
      <w:r w:rsidRPr="007958B8">
        <w:t>of</w:t>
      </w:r>
      <w:r w:rsidR="00BD1F48">
        <w:t xml:space="preserve"> </w:t>
      </w:r>
      <w:r w:rsidRPr="007958B8">
        <w:t>Committee</w:t>
      </w:r>
      <w:r w:rsidR="00BD1F48">
        <w:t xml:space="preserve"> </w:t>
      </w:r>
      <w:r w:rsidRPr="007958B8">
        <w:t>members</w:t>
      </w:r>
      <w:r w:rsidR="00BD1F48">
        <w:t xml:space="preserve"> </w:t>
      </w:r>
      <w:r w:rsidRPr="007958B8">
        <w:t>Yuji</w:t>
      </w:r>
      <w:r w:rsidR="00BD1F48">
        <w:t xml:space="preserve"> </w:t>
      </w:r>
      <w:r w:rsidRPr="007958B8">
        <w:t>Iwasawa,</w:t>
      </w:r>
      <w:r w:rsidR="00BD1F48">
        <w:t xml:space="preserve"> </w:t>
      </w:r>
      <w:r w:rsidRPr="007958B8">
        <w:t>Anja</w:t>
      </w:r>
      <w:r w:rsidR="00BD1F48">
        <w:t xml:space="preserve"> </w:t>
      </w:r>
      <w:r w:rsidRPr="007958B8">
        <w:t>Seibert-Fohr,</w:t>
      </w:r>
      <w:r w:rsidR="00BD1F48">
        <w:t xml:space="preserve"> </w:t>
      </w:r>
      <w:r w:rsidRPr="007958B8">
        <w:t>Yuval</w:t>
      </w:r>
      <w:r w:rsidR="00BD1F48">
        <w:t xml:space="preserve"> </w:t>
      </w:r>
      <w:r w:rsidRPr="007958B8">
        <w:t>Shany</w:t>
      </w:r>
      <w:r w:rsidR="00BD1F48">
        <w:t xml:space="preserve"> </w:t>
      </w:r>
      <w:r w:rsidRPr="007958B8">
        <w:t>and</w:t>
      </w:r>
      <w:r w:rsidR="00BD1F48">
        <w:t xml:space="preserve"> </w:t>
      </w:r>
      <w:r w:rsidRPr="007958B8">
        <w:t>Konstantine</w:t>
      </w:r>
      <w:r w:rsidR="00BD1F48">
        <w:t xml:space="preserve"> </w:t>
      </w:r>
      <w:r w:rsidRPr="007958B8">
        <w:t>Vardzelashvili).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24" w:rsidRPr="00BC4324" w:rsidRDefault="00BC4324" w:rsidP="00BC4324">
    <w:pPr>
      <w:pStyle w:val="Header"/>
    </w:pPr>
    <w:r w:rsidRPr="00BC4324">
      <w:t>CCPR/C/117/D/2220/2012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24" w:rsidRPr="00BC4324" w:rsidRDefault="00BC4324" w:rsidP="00BC4324">
    <w:pPr>
      <w:pStyle w:val="Header"/>
      <w:jc w:val="right"/>
    </w:pPr>
    <w:r w:rsidRPr="00BC4324">
      <w:t>CCPR/C/117/D/2220/2012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5B" w:rsidRPr="00BC4324" w:rsidRDefault="0082725B" w:rsidP="0082725B">
    <w:pPr>
      <w:pStyle w:val="Header"/>
    </w:pPr>
    <w:r w:rsidRPr="00BC4324">
      <w:t>CCPR/C/117/D/2220/2012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567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213"/>
    <w:rsid w:val="00046E92"/>
    <w:rsid w:val="0006523D"/>
    <w:rsid w:val="00085213"/>
    <w:rsid w:val="00131D7A"/>
    <w:rsid w:val="00165C15"/>
    <w:rsid w:val="00247E2C"/>
    <w:rsid w:val="002D6C53"/>
    <w:rsid w:val="002F5595"/>
    <w:rsid w:val="00334F6A"/>
    <w:rsid w:val="00342AC8"/>
    <w:rsid w:val="003B4550"/>
    <w:rsid w:val="003C3234"/>
    <w:rsid w:val="00461253"/>
    <w:rsid w:val="005042C2"/>
    <w:rsid w:val="00671529"/>
    <w:rsid w:val="006875F1"/>
    <w:rsid w:val="007268F9"/>
    <w:rsid w:val="007C52B0"/>
    <w:rsid w:val="00817E57"/>
    <w:rsid w:val="0082725B"/>
    <w:rsid w:val="0088705A"/>
    <w:rsid w:val="008D3450"/>
    <w:rsid w:val="009411B4"/>
    <w:rsid w:val="009D0139"/>
    <w:rsid w:val="009F5CDC"/>
    <w:rsid w:val="00A23459"/>
    <w:rsid w:val="00A638A7"/>
    <w:rsid w:val="00A775CF"/>
    <w:rsid w:val="00A93B52"/>
    <w:rsid w:val="00B06045"/>
    <w:rsid w:val="00B903E5"/>
    <w:rsid w:val="00BC4324"/>
    <w:rsid w:val="00BD1F48"/>
    <w:rsid w:val="00C35A27"/>
    <w:rsid w:val="00C9160A"/>
    <w:rsid w:val="00E02C2B"/>
    <w:rsid w:val="00E62CFA"/>
    <w:rsid w:val="00ED6C48"/>
    <w:rsid w:val="00F2595C"/>
    <w:rsid w:val="00F41F0F"/>
    <w:rsid w:val="00F547CE"/>
    <w:rsid w:val="00F65F5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BC432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BD1F48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Normal"/>
    <w:link w:val="EndnoteTextChar"/>
    <w:rsid w:val="00BC4324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D1F48"/>
    <w:rPr>
      <w:rFonts w:ascii="Times New Roman" w:hAnsi="Times New Roman" w:cs="Times New Roman"/>
      <w:sz w:val="18"/>
      <w:szCs w:val="20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324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2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C9160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BC432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BD1F48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Normal"/>
    <w:link w:val="EndnoteTextChar"/>
    <w:rsid w:val="00BC4324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D1F48"/>
    <w:rPr>
      <w:rFonts w:ascii="Times New Roman" w:hAnsi="Times New Roman" w:cs="Times New Roman"/>
      <w:sz w:val="18"/>
      <w:szCs w:val="20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324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2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C9160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B6B2-9E44-42B0-97BF-D58DCE93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10</Pages>
  <Words>4375</Words>
  <Characters>22740</Characters>
  <Application>Microsoft Office Word</Application>
  <DocSecurity>0</DocSecurity>
  <Lines>355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1613895</vt:lpstr>
    </vt:vector>
  </TitlesOfParts>
  <Company>DCM</Company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1616567</dc:title>
  <dc:subject>CCPR/C/117/D/2220/2012</dc:subject>
  <dc:creator>Brigoli</dc:creator>
  <cp:keywords/>
  <dc:description/>
  <cp:lastModifiedBy>PDF ENG</cp:lastModifiedBy>
  <cp:revision>2</cp:revision>
  <cp:lastPrinted>2016-09-26T10:03:00Z</cp:lastPrinted>
  <dcterms:created xsi:type="dcterms:W3CDTF">2016-09-27T06:04:00Z</dcterms:created>
  <dcterms:modified xsi:type="dcterms:W3CDTF">2016-09-27T06:04:00Z</dcterms:modified>
</cp:coreProperties>
</file>