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0EA99E29" w14:textId="77777777">
        <w:trPr>
          <w:cantSplit/>
          <w:trHeight w:hRule="exact" w:val="851"/>
        </w:trPr>
        <w:tc>
          <w:tcPr>
            <w:tcW w:w="1276" w:type="dxa"/>
            <w:tcBorders>
              <w:bottom w:val="single" w:sz="4" w:space="0" w:color="auto"/>
            </w:tcBorders>
            <w:vAlign w:val="bottom"/>
          </w:tcPr>
          <w:p w14:paraId="1C885B47" w14:textId="77777777" w:rsidR="00312C0F" w:rsidRPr="00312C0F" w:rsidRDefault="00312C0F" w:rsidP="00312C0F">
            <w:pPr>
              <w:spacing w:line="20" w:lineRule="exact"/>
              <w:rPr>
                <w:sz w:val="2"/>
              </w:rPr>
            </w:pPr>
            <w:r>
              <w:rPr>
                <w:rStyle w:val="CommentReference"/>
              </w:rPr>
              <w:commentReference w:id="0"/>
            </w:r>
            <w:bookmarkStart w:id="1" w:name="_GoBack"/>
            <w:bookmarkEnd w:id="1"/>
          </w:p>
          <w:p w14:paraId="36227C26" w14:textId="77777777" w:rsidR="003521FD" w:rsidRDefault="007F05D2" w:rsidP="003521FD">
            <w:pPr>
              <w:spacing w:after="80"/>
            </w:pPr>
            <w:r>
              <w:t xml:space="preserve"> </w:t>
            </w:r>
          </w:p>
        </w:tc>
        <w:tc>
          <w:tcPr>
            <w:tcW w:w="2268" w:type="dxa"/>
            <w:tcBorders>
              <w:bottom w:val="single" w:sz="4" w:space="0" w:color="auto"/>
            </w:tcBorders>
            <w:vAlign w:val="bottom"/>
          </w:tcPr>
          <w:p w14:paraId="640190F9"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239220" w14:textId="77777777" w:rsidR="003521FD" w:rsidRPr="00D47EEA" w:rsidRDefault="003521FD" w:rsidP="00665963">
            <w:pPr>
              <w:jc w:val="right"/>
            </w:pPr>
            <w:r w:rsidRPr="00A36331">
              <w:rPr>
                <w:sz w:val="40"/>
              </w:rPr>
              <w:t>CCPR</w:t>
            </w:r>
            <w:r>
              <w:t>/C/</w:t>
            </w:r>
            <w:r w:rsidR="00BB4732">
              <w:t>11</w:t>
            </w:r>
            <w:r w:rsidR="00211D65">
              <w:t>5</w:t>
            </w:r>
            <w:r>
              <w:t>/D/</w:t>
            </w:r>
            <w:r w:rsidR="00211D65">
              <w:t>2221</w:t>
            </w:r>
            <w:r w:rsidR="00E724E6">
              <w:t>/2012</w:t>
            </w:r>
          </w:p>
        </w:tc>
      </w:tr>
      <w:tr w:rsidR="003521FD" w14:paraId="405A2AF7" w14:textId="77777777">
        <w:trPr>
          <w:cantSplit/>
          <w:trHeight w:hRule="exact" w:val="2835"/>
        </w:trPr>
        <w:tc>
          <w:tcPr>
            <w:tcW w:w="1276" w:type="dxa"/>
            <w:tcBorders>
              <w:top w:val="single" w:sz="4" w:space="0" w:color="auto"/>
              <w:bottom w:val="single" w:sz="12" w:space="0" w:color="auto"/>
            </w:tcBorders>
          </w:tcPr>
          <w:p w14:paraId="1C2537C7" w14:textId="77777777" w:rsidR="003521FD" w:rsidRDefault="00462F7C" w:rsidP="003521FD">
            <w:pPr>
              <w:spacing w:before="120"/>
            </w:pPr>
            <w:r>
              <w:rPr>
                <w:noProof/>
                <w:lang w:val="en-US"/>
              </w:rPr>
              <w:drawing>
                <wp:inline distT="0" distB="0" distL="0" distR="0" wp14:anchorId="78AAAFE0" wp14:editId="472A2D0B">
                  <wp:extent cx="713740" cy="588645"/>
                  <wp:effectExtent l="0" t="0" r="0"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D99F90" w14:textId="77777777" w:rsidR="00463ED0" w:rsidRPr="00751110"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9CB4215" w14:textId="77777777" w:rsidR="00330053" w:rsidRDefault="00330053" w:rsidP="00330053">
            <w:pPr>
              <w:spacing w:before="240" w:line="240" w:lineRule="exact"/>
            </w:pPr>
            <w:r>
              <w:t xml:space="preserve">Distr.: </w:t>
            </w:r>
            <w:r w:rsidR="00463ED0">
              <w:t>General</w:t>
            </w:r>
          </w:p>
          <w:p w14:paraId="35B3199D" w14:textId="77777777" w:rsidR="00330053" w:rsidRDefault="008161E4" w:rsidP="00330053">
            <w:pPr>
              <w:spacing w:line="240" w:lineRule="exact"/>
            </w:pPr>
            <w:r>
              <w:t>2</w:t>
            </w:r>
            <w:r w:rsidR="00BB29F8">
              <w:t>2</w:t>
            </w:r>
            <w:r>
              <w:t xml:space="preserve"> </w:t>
            </w:r>
            <w:r w:rsidR="0047156B">
              <w:t>December</w:t>
            </w:r>
            <w:r w:rsidR="00330053">
              <w:t xml:space="preserve"> 2015</w:t>
            </w:r>
          </w:p>
          <w:p w14:paraId="32EA6AC9" w14:textId="77777777" w:rsidR="00330053" w:rsidRDefault="00330053" w:rsidP="00330053">
            <w:pPr>
              <w:spacing w:line="240" w:lineRule="exact"/>
            </w:pPr>
          </w:p>
          <w:p w14:paraId="660F772F" w14:textId="77777777" w:rsidR="00330053" w:rsidRDefault="00330053" w:rsidP="00330053">
            <w:pPr>
              <w:spacing w:line="240" w:lineRule="exact"/>
            </w:pPr>
            <w:r>
              <w:t>Original: English</w:t>
            </w:r>
          </w:p>
          <w:p w14:paraId="7A5C41ED" w14:textId="77777777" w:rsidR="003521FD" w:rsidRDefault="003521FD" w:rsidP="00330053">
            <w:pPr>
              <w:spacing w:line="240" w:lineRule="exact"/>
            </w:pPr>
          </w:p>
        </w:tc>
      </w:tr>
    </w:tbl>
    <w:p w14:paraId="5E2F27F6" w14:textId="77777777" w:rsidR="003521FD" w:rsidRPr="00A36331" w:rsidRDefault="003521FD" w:rsidP="003521FD">
      <w:pPr>
        <w:spacing w:before="120"/>
        <w:rPr>
          <w:b/>
          <w:sz w:val="24"/>
          <w:szCs w:val="24"/>
        </w:rPr>
      </w:pPr>
      <w:r w:rsidRPr="00A36331">
        <w:rPr>
          <w:b/>
          <w:sz w:val="24"/>
          <w:szCs w:val="24"/>
        </w:rPr>
        <w:t>Human Rights Committee</w:t>
      </w:r>
    </w:p>
    <w:p w14:paraId="521CE73A" w14:textId="77777777" w:rsidR="003521FD" w:rsidRPr="00A36331" w:rsidRDefault="003521FD" w:rsidP="003521FD">
      <w:pPr>
        <w:pStyle w:val="HChG"/>
      </w:pPr>
      <w:r w:rsidRPr="00A36331">
        <w:tab/>
      </w:r>
      <w:r w:rsidRPr="00A36331">
        <w:tab/>
        <w:t xml:space="preserve">Communication No. </w:t>
      </w:r>
      <w:r w:rsidR="0003198D">
        <w:t>2221/2012</w:t>
      </w:r>
    </w:p>
    <w:p w14:paraId="39DF7443" w14:textId="77777777" w:rsidR="003521FD" w:rsidRPr="00A36331" w:rsidRDefault="003521FD" w:rsidP="00A71482">
      <w:pPr>
        <w:pStyle w:val="H1G"/>
      </w:pPr>
      <w:r w:rsidRPr="00A36331">
        <w:tab/>
      </w:r>
      <w:r w:rsidR="007751C7">
        <w:tab/>
      </w:r>
      <w:r w:rsidR="007751C7" w:rsidRPr="001B0D13">
        <w:rPr>
          <w:rFonts w:eastAsia="MS Mincho"/>
        </w:rPr>
        <w:t>Views adopted by the Committee at its 115</w:t>
      </w:r>
      <w:r w:rsidR="007751C7" w:rsidRPr="00751110">
        <w:rPr>
          <w:rFonts w:eastAsia="MS Mincho"/>
        </w:rPr>
        <w:t>th</w:t>
      </w:r>
      <w:r w:rsidR="007751C7" w:rsidRPr="003F2D6A">
        <w:rPr>
          <w:rFonts w:eastAsia="MS Mincho"/>
        </w:rPr>
        <w:t xml:space="preserve"> </w:t>
      </w:r>
      <w:r w:rsidR="007751C7" w:rsidRPr="001B0D13">
        <w:rPr>
          <w:rFonts w:eastAsia="MS Mincho"/>
        </w:rPr>
        <w:t>session</w:t>
      </w:r>
      <w:r w:rsidR="007751C7" w:rsidRPr="001B0D13">
        <w:rPr>
          <w:rFonts w:eastAsia="MS Mincho"/>
        </w:rPr>
        <w:br/>
        <w:t>(</w:t>
      </w:r>
      <w:r w:rsidR="007751C7" w:rsidRPr="001B0D13">
        <w:rPr>
          <w:rFonts w:eastAsia="MS Mincho"/>
          <w:bCs/>
          <w:lang w:val="en-US"/>
        </w:rPr>
        <w:t>19 October-6 November 2015)</w:t>
      </w:r>
    </w:p>
    <w:p w14:paraId="4C7C0029" w14:textId="77777777" w:rsidR="008D6E86" w:rsidRDefault="003521FD" w:rsidP="00751110">
      <w:pPr>
        <w:pStyle w:val="SingleTxtG"/>
        <w:ind w:left="4536" w:hanging="3402"/>
        <w:jc w:val="left"/>
      </w:pPr>
      <w:r w:rsidRPr="00A36331">
        <w:rPr>
          <w:i/>
        </w:rPr>
        <w:t>Submitted by:</w:t>
      </w:r>
      <w:r w:rsidRPr="00A36331">
        <w:tab/>
      </w:r>
      <w:r w:rsidR="008D6E86">
        <w:t>Mahmud Hudaybergenov</w:t>
      </w:r>
      <w:r w:rsidR="009F6D6B">
        <w:t xml:space="preserve"> (r</w:t>
      </w:r>
      <w:r w:rsidR="003A1820">
        <w:t>epresented by</w:t>
      </w:r>
      <w:r w:rsidR="00A71482">
        <w:t> </w:t>
      </w:r>
      <w:r w:rsidR="003A1820">
        <w:t>counsel)</w:t>
      </w:r>
    </w:p>
    <w:p w14:paraId="4C1F0C38" w14:textId="77777777" w:rsidR="003521FD" w:rsidRPr="00A36331" w:rsidRDefault="003521FD" w:rsidP="00751110">
      <w:pPr>
        <w:pStyle w:val="SingleTxtG"/>
        <w:ind w:left="4536" w:hanging="3402"/>
        <w:jc w:val="left"/>
      </w:pPr>
      <w:r w:rsidRPr="00A36331">
        <w:rPr>
          <w:i/>
        </w:rPr>
        <w:t>Alleged victim:</w:t>
      </w:r>
      <w:r w:rsidRPr="00A36331">
        <w:tab/>
      </w:r>
      <w:r>
        <w:t>Th</w:t>
      </w:r>
      <w:r w:rsidR="00F71FEB">
        <w:t>e author</w:t>
      </w:r>
    </w:p>
    <w:p w14:paraId="5E24ACB0" w14:textId="77777777" w:rsidR="003521FD" w:rsidRPr="00A36331" w:rsidRDefault="003521FD" w:rsidP="00751110">
      <w:pPr>
        <w:pStyle w:val="SingleTxtG"/>
        <w:ind w:left="4536" w:hanging="3402"/>
        <w:jc w:val="left"/>
        <w:rPr>
          <w:lang w:val="en-US"/>
        </w:rPr>
      </w:pPr>
      <w:r w:rsidRPr="00A36331">
        <w:rPr>
          <w:i/>
        </w:rPr>
        <w:t xml:space="preserve">State </w:t>
      </w:r>
      <w:r w:rsidR="00676CD3">
        <w:rPr>
          <w:i/>
        </w:rPr>
        <w:t>p</w:t>
      </w:r>
      <w:r w:rsidRPr="00A36331">
        <w:rPr>
          <w:i/>
        </w:rPr>
        <w:t>arty:</w:t>
      </w:r>
      <w:r w:rsidRPr="00A36331">
        <w:tab/>
      </w:r>
      <w:r w:rsidR="00EB1D3F">
        <w:t>Turkmenistan</w:t>
      </w:r>
    </w:p>
    <w:p w14:paraId="4001CECE" w14:textId="77777777" w:rsidR="003521FD" w:rsidRPr="00A36331" w:rsidRDefault="003521FD" w:rsidP="00751110">
      <w:pPr>
        <w:pStyle w:val="SingleTxtG"/>
        <w:ind w:left="4536" w:hanging="3402"/>
        <w:jc w:val="left"/>
      </w:pPr>
      <w:r w:rsidRPr="00A36331">
        <w:rPr>
          <w:i/>
        </w:rPr>
        <w:t>Date of communication:</w:t>
      </w:r>
      <w:r w:rsidRPr="00A36331">
        <w:tab/>
      </w:r>
      <w:r w:rsidR="00EB1D3F">
        <w:t>3 September 2012</w:t>
      </w:r>
      <w:r w:rsidR="009F6D6B">
        <w:t xml:space="preserve"> </w:t>
      </w:r>
      <w:r w:rsidR="009F6D6B" w:rsidRPr="009F6D6B">
        <w:rPr>
          <w:lang w:val="x-none"/>
        </w:rPr>
        <w:t>(initial submission)</w:t>
      </w:r>
    </w:p>
    <w:p w14:paraId="206779C6" w14:textId="77777777" w:rsidR="003521FD" w:rsidRPr="00A36331" w:rsidRDefault="003521FD" w:rsidP="00751110">
      <w:pPr>
        <w:pStyle w:val="SingleTxtG"/>
        <w:ind w:left="4536" w:hanging="3402"/>
        <w:jc w:val="left"/>
      </w:pPr>
      <w:r w:rsidRPr="00A36331">
        <w:rPr>
          <w:i/>
        </w:rPr>
        <w:t>Document references:</w:t>
      </w:r>
      <w:r w:rsidRPr="00A36331">
        <w:tab/>
        <w:t xml:space="preserve">Special Rapporteur’s rule 97 decision, transmitted to the State party on </w:t>
      </w:r>
      <w:r w:rsidR="00EB1D3F">
        <w:t>7 December</w:t>
      </w:r>
      <w:r w:rsidR="00D27EA6">
        <w:t xml:space="preserve"> 201</w:t>
      </w:r>
      <w:r w:rsidR="00EB1D3F">
        <w:t>2</w:t>
      </w:r>
      <w:r w:rsidRPr="00A36331">
        <w:t xml:space="preserve"> (not issued in document form)</w:t>
      </w:r>
    </w:p>
    <w:p w14:paraId="3CB7589A" w14:textId="77777777" w:rsidR="00330053" w:rsidRDefault="003521FD" w:rsidP="00751110">
      <w:pPr>
        <w:pStyle w:val="SingleTxtG"/>
        <w:ind w:left="4536" w:hanging="3402"/>
        <w:jc w:val="left"/>
      </w:pPr>
      <w:r w:rsidRPr="00A36331">
        <w:rPr>
          <w:i/>
        </w:rPr>
        <w:t>Date of adoption of Views:</w:t>
      </w:r>
      <w:r w:rsidRPr="00A36331">
        <w:tab/>
      </w:r>
      <w:r w:rsidR="007751C7">
        <w:t xml:space="preserve">29 </w:t>
      </w:r>
      <w:r w:rsidR="003D6988">
        <w:t>October</w:t>
      </w:r>
      <w:r w:rsidR="00D27EA6">
        <w:t xml:space="preserve"> 2015</w:t>
      </w:r>
    </w:p>
    <w:p w14:paraId="60CEE436" w14:textId="77777777" w:rsidR="003521FD" w:rsidRPr="00F655CA" w:rsidRDefault="003521FD" w:rsidP="00751110">
      <w:pPr>
        <w:pStyle w:val="SingleTxtG"/>
        <w:ind w:left="4536" w:hanging="3402"/>
        <w:jc w:val="left"/>
      </w:pPr>
      <w:r w:rsidRPr="00F655CA">
        <w:rPr>
          <w:i/>
          <w:iCs/>
        </w:rPr>
        <w:t xml:space="preserve">Subject matter: </w:t>
      </w:r>
      <w:r w:rsidRPr="00F655CA">
        <w:rPr>
          <w:i/>
          <w:iCs/>
        </w:rPr>
        <w:tab/>
      </w:r>
      <w:r w:rsidR="00E64F65">
        <w:rPr>
          <w:iCs/>
        </w:rPr>
        <w:t>Conscientious o</w:t>
      </w:r>
      <w:r w:rsidR="003D6988">
        <w:rPr>
          <w:iCs/>
        </w:rPr>
        <w:t xml:space="preserve">bjection </w:t>
      </w:r>
      <w:r w:rsidR="00D646B7">
        <w:rPr>
          <w:iCs/>
        </w:rPr>
        <w:t xml:space="preserve">to </w:t>
      </w:r>
      <w:r w:rsidR="00E64F65">
        <w:rPr>
          <w:iCs/>
        </w:rPr>
        <w:t xml:space="preserve">compulsory </w:t>
      </w:r>
      <w:r w:rsidR="00D646B7">
        <w:rPr>
          <w:iCs/>
        </w:rPr>
        <w:t>military service</w:t>
      </w:r>
      <w:r w:rsidR="00B3389D" w:rsidRPr="00F655CA">
        <w:rPr>
          <w:iCs/>
        </w:rPr>
        <w:t xml:space="preserve"> </w:t>
      </w:r>
    </w:p>
    <w:p w14:paraId="7C15C467" w14:textId="77777777" w:rsidR="000F30FF" w:rsidRPr="003D0114" w:rsidRDefault="003521FD" w:rsidP="00751110">
      <w:pPr>
        <w:pStyle w:val="SingleTxtG"/>
        <w:ind w:left="4536" w:hanging="3402"/>
        <w:jc w:val="left"/>
        <w:rPr>
          <w:iCs/>
        </w:rPr>
      </w:pPr>
      <w:r w:rsidRPr="00330053">
        <w:rPr>
          <w:i/>
          <w:iCs/>
        </w:rPr>
        <w:t>Procedural</w:t>
      </w:r>
      <w:r w:rsidRPr="00F655CA">
        <w:rPr>
          <w:i/>
          <w:iCs/>
          <w:lang w:val="en-US"/>
        </w:rPr>
        <w:t xml:space="preserve"> issues</w:t>
      </w:r>
      <w:r w:rsidR="00330053">
        <w:rPr>
          <w:lang w:val="en-US"/>
        </w:rPr>
        <w:t>:</w:t>
      </w:r>
      <w:r w:rsidR="00330053">
        <w:rPr>
          <w:lang w:val="en-US"/>
        </w:rPr>
        <w:tab/>
      </w:r>
      <w:r w:rsidR="00D82EDC">
        <w:rPr>
          <w:lang w:val="en-US"/>
        </w:rPr>
        <w:t>Admissibility</w:t>
      </w:r>
      <w:r w:rsidR="00483B89">
        <w:rPr>
          <w:lang w:val="en-US"/>
        </w:rPr>
        <w:t xml:space="preserve"> – exhaustion of domestic remedies</w:t>
      </w:r>
      <w:r w:rsidR="003D6988">
        <w:rPr>
          <w:iCs/>
        </w:rPr>
        <w:t xml:space="preserve"> </w:t>
      </w:r>
    </w:p>
    <w:p w14:paraId="6A1CACFC" w14:textId="77777777" w:rsidR="003521FD" w:rsidRPr="00F655CA" w:rsidRDefault="003521FD" w:rsidP="00751110">
      <w:pPr>
        <w:pStyle w:val="SingleTxtG"/>
        <w:ind w:left="4536" w:hanging="3402"/>
        <w:jc w:val="left"/>
        <w:rPr>
          <w:lang w:val="en-US"/>
        </w:rPr>
      </w:pPr>
      <w:r w:rsidRPr="00F655CA">
        <w:rPr>
          <w:i/>
          <w:lang w:val="en-US"/>
        </w:rPr>
        <w:t>Substantive issues:</w:t>
      </w:r>
      <w:r w:rsidRPr="00F655CA">
        <w:rPr>
          <w:i/>
          <w:lang w:val="en-US"/>
        </w:rPr>
        <w:tab/>
      </w:r>
      <w:r w:rsidR="003D6988">
        <w:rPr>
          <w:lang w:val="en-US"/>
        </w:rPr>
        <w:t>T</w:t>
      </w:r>
      <w:r w:rsidR="00D27EA6">
        <w:rPr>
          <w:lang w:val="en-US"/>
        </w:rPr>
        <w:t>orture</w:t>
      </w:r>
      <w:r w:rsidR="000F30FF">
        <w:rPr>
          <w:lang w:val="en-US"/>
        </w:rPr>
        <w:t>,</w:t>
      </w:r>
      <w:r w:rsidR="00D27EA6">
        <w:rPr>
          <w:lang w:val="en-US"/>
        </w:rPr>
        <w:t xml:space="preserve"> cruel, inhuman or degrading treatment or punishment</w:t>
      </w:r>
      <w:r w:rsidR="003D6988">
        <w:rPr>
          <w:lang w:val="en-US"/>
        </w:rPr>
        <w:t>;</w:t>
      </w:r>
      <w:r w:rsidR="004C1FBD">
        <w:rPr>
          <w:lang w:val="en-US"/>
        </w:rPr>
        <w:t xml:space="preserve"> </w:t>
      </w:r>
      <w:r w:rsidR="003D6988">
        <w:rPr>
          <w:lang w:val="en-US"/>
        </w:rPr>
        <w:t>right to freedom of thought, conscience and relig</w:t>
      </w:r>
      <w:r w:rsidR="0062757F">
        <w:rPr>
          <w:lang w:val="en-US"/>
        </w:rPr>
        <w:t>ion</w:t>
      </w:r>
    </w:p>
    <w:p w14:paraId="69252C44" w14:textId="77777777" w:rsidR="003521FD" w:rsidRPr="00F655CA" w:rsidRDefault="003521FD" w:rsidP="00751110">
      <w:pPr>
        <w:pStyle w:val="SingleTxtG"/>
        <w:ind w:left="4536" w:hanging="3402"/>
        <w:jc w:val="left"/>
      </w:pPr>
      <w:r w:rsidRPr="00F655CA">
        <w:rPr>
          <w:i/>
          <w:iCs/>
        </w:rPr>
        <w:t>Articles of the Covenant:</w:t>
      </w:r>
      <w:r w:rsidR="00462F7C">
        <w:rPr>
          <w:i/>
          <w:iCs/>
        </w:rPr>
        <w:t xml:space="preserve"> </w:t>
      </w:r>
      <w:r w:rsidRPr="00F655CA">
        <w:rPr>
          <w:i/>
          <w:iCs/>
        </w:rPr>
        <w:tab/>
      </w:r>
      <w:r w:rsidR="003F2D6A">
        <w:rPr>
          <w:iCs/>
        </w:rPr>
        <w:t xml:space="preserve">Articles </w:t>
      </w:r>
      <w:r w:rsidR="00B3389D" w:rsidRPr="00F655CA">
        <w:rPr>
          <w:iCs/>
        </w:rPr>
        <w:t>7</w:t>
      </w:r>
      <w:r w:rsidR="003D6988">
        <w:rPr>
          <w:iCs/>
        </w:rPr>
        <w:t>,</w:t>
      </w:r>
      <w:r w:rsidR="001D1C3A">
        <w:rPr>
          <w:iCs/>
        </w:rPr>
        <w:t xml:space="preserve"> 10</w:t>
      </w:r>
      <w:r w:rsidR="00D646B7">
        <w:rPr>
          <w:iCs/>
        </w:rPr>
        <w:t xml:space="preserve"> (1)</w:t>
      </w:r>
      <w:r w:rsidR="001D1C3A">
        <w:rPr>
          <w:iCs/>
        </w:rPr>
        <w:t xml:space="preserve"> and</w:t>
      </w:r>
      <w:r w:rsidR="003D6988">
        <w:rPr>
          <w:iCs/>
        </w:rPr>
        <w:t xml:space="preserve"> 18 </w:t>
      </w:r>
      <w:r w:rsidR="003D6988" w:rsidRPr="003D6988">
        <w:rPr>
          <w:iCs/>
        </w:rPr>
        <w:t>(</w:t>
      </w:r>
      <w:r w:rsidR="003D6988">
        <w:rPr>
          <w:iCs/>
        </w:rPr>
        <w:t>1</w:t>
      </w:r>
      <w:r w:rsidR="001D1C3A">
        <w:rPr>
          <w:iCs/>
        </w:rPr>
        <w:t xml:space="preserve">) </w:t>
      </w:r>
    </w:p>
    <w:p w14:paraId="52201C0C" w14:textId="77777777" w:rsidR="003521FD" w:rsidRDefault="003521FD" w:rsidP="00751110">
      <w:pPr>
        <w:pStyle w:val="SingleTxtG"/>
        <w:ind w:left="4536" w:hanging="3402"/>
        <w:jc w:val="left"/>
      </w:pPr>
      <w:r w:rsidRPr="00F655CA">
        <w:rPr>
          <w:i/>
          <w:iCs/>
        </w:rPr>
        <w:t xml:space="preserve">Articles of the Optional Protocol: </w:t>
      </w:r>
      <w:r w:rsidRPr="00F655CA">
        <w:rPr>
          <w:i/>
          <w:iCs/>
        </w:rPr>
        <w:tab/>
      </w:r>
      <w:r w:rsidR="00710EF2" w:rsidRPr="009126D8">
        <w:t>5</w:t>
      </w:r>
      <w:r w:rsidR="00676CD3">
        <w:t xml:space="preserve"> </w:t>
      </w:r>
      <w:r w:rsidR="00710EF2" w:rsidRPr="009126D8">
        <w:t>(2)</w:t>
      </w:r>
      <w:r w:rsidR="00676CD3">
        <w:t xml:space="preserve"> </w:t>
      </w:r>
      <w:r w:rsidR="00710EF2" w:rsidRPr="009126D8">
        <w:t>(</w:t>
      </w:r>
      <w:r w:rsidR="000701BB">
        <w:t>b</w:t>
      </w:r>
      <w:r w:rsidR="00710EF2" w:rsidRPr="009126D8">
        <w:t>)</w:t>
      </w:r>
    </w:p>
    <w:p w14:paraId="34E0CF0D" w14:textId="77777777" w:rsidR="00D646B7" w:rsidRPr="00D646B7" w:rsidRDefault="00330053" w:rsidP="00330053">
      <w:pPr>
        <w:spacing w:after="120"/>
        <w:ind w:left="1134" w:right="1134"/>
        <w:jc w:val="both"/>
      </w:pPr>
      <w:r>
        <w:tab/>
      </w:r>
    </w:p>
    <w:p w14:paraId="2F7405A2" w14:textId="77777777" w:rsidR="003521FD" w:rsidRPr="00A36331" w:rsidRDefault="003521FD" w:rsidP="004D78FC">
      <w:pPr>
        <w:pStyle w:val="HChG"/>
      </w:pPr>
      <w:r w:rsidRPr="00A36331">
        <w:br w:type="page"/>
      </w:r>
      <w:r w:rsidRPr="00A36331">
        <w:lastRenderedPageBreak/>
        <w:t>Annex</w:t>
      </w:r>
    </w:p>
    <w:p w14:paraId="1108DE83" w14:textId="77777777" w:rsidR="003521FD" w:rsidRPr="00A36331" w:rsidRDefault="003521FD" w:rsidP="003521FD">
      <w:pPr>
        <w:pStyle w:val="HChG"/>
        <w:rPr>
          <w:bCs/>
        </w:rPr>
      </w:pPr>
      <w:r w:rsidRPr="00A36331">
        <w:tab/>
      </w:r>
      <w:r w:rsidRPr="00A36331">
        <w:tab/>
      </w:r>
      <w:r w:rsidR="00FA631C" w:rsidRPr="00FA631C">
        <w:t>Views</w:t>
      </w:r>
      <w:r>
        <w:t xml:space="preserve"> o</w:t>
      </w:r>
      <w:r w:rsidRPr="00A36331">
        <w:t xml:space="preserve">f the Human Rights Committee under </w:t>
      </w:r>
      <w:r w:rsidR="00FA631C">
        <w:t xml:space="preserve">article 5 </w:t>
      </w:r>
      <w:r w:rsidR="00052F04">
        <w:t>(</w:t>
      </w:r>
      <w:r w:rsidR="00FA631C">
        <w:t>4</w:t>
      </w:r>
      <w:r w:rsidR="00052F04">
        <w:t>)</w:t>
      </w:r>
      <w:r w:rsidR="00FA631C">
        <w:t xml:space="preserve"> of </w:t>
      </w:r>
      <w:r w:rsidRPr="00A36331">
        <w:t>the Optional Protocol to the International Covenant on</w:t>
      </w:r>
      <w:r>
        <w:t xml:space="preserve"> Civil and Political Rights (11</w:t>
      </w:r>
      <w:r w:rsidR="003D6988">
        <w:t>5</w:t>
      </w:r>
      <w:r w:rsidRPr="00A36331">
        <w:t xml:space="preserve">th </w:t>
      </w:r>
      <w:r w:rsidRPr="00A36331">
        <w:rPr>
          <w:bCs/>
        </w:rPr>
        <w:t>session)</w:t>
      </w:r>
    </w:p>
    <w:p w14:paraId="1C4D0615" w14:textId="77777777" w:rsidR="003521FD" w:rsidRPr="00A36331" w:rsidRDefault="003521FD" w:rsidP="003521FD">
      <w:pPr>
        <w:pStyle w:val="SingleTxtG"/>
      </w:pPr>
      <w:r w:rsidRPr="00A36331">
        <w:t>concerning</w:t>
      </w:r>
    </w:p>
    <w:p w14:paraId="51EF19D6" w14:textId="77777777" w:rsidR="003521FD" w:rsidRPr="00A36331" w:rsidRDefault="003521FD" w:rsidP="003521FD">
      <w:pPr>
        <w:pStyle w:val="H1G"/>
      </w:pPr>
      <w:r w:rsidRPr="00A36331">
        <w:tab/>
      </w:r>
      <w:r w:rsidRPr="00A36331">
        <w:tab/>
        <w:t>Communication No. </w:t>
      </w:r>
      <w:r w:rsidR="003D6988">
        <w:t>2221</w:t>
      </w:r>
      <w:r w:rsidR="00BB4732">
        <w:t>/201</w:t>
      </w:r>
      <w:r w:rsidR="003D6988">
        <w:t>2</w:t>
      </w:r>
      <w:r w:rsidR="00463ED0" w:rsidRPr="00751110">
        <w:rPr>
          <w:rStyle w:val="FootnoteReference"/>
          <w:b w:val="0"/>
          <w:bCs/>
          <w:sz w:val="20"/>
          <w:vertAlign w:val="baseline"/>
        </w:rPr>
        <w:footnoteReference w:customMarkFollows="1" w:id="2"/>
        <w:t>*</w:t>
      </w:r>
    </w:p>
    <w:p w14:paraId="5CBF0826" w14:textId="77777777" w:rsidR="003521FD" w:rsidRPr="00A36331" w:rsidRDefault="003521FD" w:rsidP="00751110">
      <w:pPr>
        <w:pStyle w:val="SingleTxtG"/>
        <w:ind w:left="4536" w:hanging="3402"/>
        <w:jc w:val="left"/>
      </w:pPr>
      <w:r w:rsidRPr="00A36331">
        <w:rPr>
          <w:i/>
        </w:rPr>
        <w:t>Submitted by:</w:t>
      </w:r>
      <w:r w:rsidRPr="00A36331">
        <w:tab/>
      </w:r>
      <w:r w:rsidR="001D1C3A" w:rsidRPr="001D1C3A">
        <w:t>Mahmud Hudaybergenov</w:t>
      </w:r>
      <w:r w:rsidR="00E263E7">
        <w:t xml:space="preserve"> </w:t>
      </w:r>
      <w:r w:rsidR="00A265C8" w:rsidRPr="00A265C8">
        <w:t>(represented by</w:t>
      </w:r>
      <w:r w:rsidR="00831439">
        <w:t> </w:t>
      </w:r>
      <w:r w:rsidR="00A265C8" w:rsidRPr="00A265C8">
        <w:t>counsel)</w:t>
      </w:r>
    </w:p>
    <w:p w14:paraId="27A878BE" w14:textId="77777777" w:rsidR="003521FD" w:rsidRPr="00A36331" w:rsidRDefault="003521FD" w:rsidP="00751110">
      <w:pPr>
        <w:pStyle w:val="SingleTxtG"/>
        <w:ind w:left="4536" w:hanging="3402"/>
        <w:jc w:val="left"/>
      </w:pPr>
      <w:r w:rsidRPr="00A36331">
        <w:rPr>
          <w:i/>
        </w:rPr>
        <w:t>Alleged victim:</w:t>
      </w:r>
      <w:r w:rsidRPr="00A36331">
        <w:tab/>
      </w:r>
      <w:r w:rsidR="00227516">
        <w:t>The author</w:t>
      </w:r>
    </w:p>
    <w:p w14:paraId="052CC9D3" w14:textId="77777777" w:rsidR="003521FD" w:rsidRPr="00A36331" w:rsidRDefault="003521FD" w:rsidP="00751110">
      <w:pPr>
        <w:pStyle w:val="SingleTxtG"/>
        <w:ind w:left="4536" w:hanging="3402"/>
        <w:jc w:val="left"/>
        <w:rPr>
          <w:lang w:val="en-US"/>
        </w:rPr>
      </w:pPr>
      <w:r w:rsidRPr="00A36331">
        <w:rPr>
          <w:i/>
        </w:rPr>
        <w:t>State Party:</w:t>
      </w:r>
      <w:r w:rsidRPr="00A36331">
        <w:tab/>
      </w:r>
      <w:r w:rsidR="003D6988">
        <w:t>Turkmenistan</w:t>
      </w:r>
    </w:p>
    <w:p w14:paraId="22474AFE" w14:textId="77777777" w:rsidR="003521FD" w:rsidRPr="00A36331" w:rsidRDefault="003521FD" w:rsidP="00751110">
      <w:pPr>
        <w:pStyle w:val="SingleTxtG"/>
        <w:ind w:left="4536" w:hanging="3402"/>
        <w:jc w:val="left"/>
      </w:pPr>
      <w:r w:rsidRPr="00A36331">
        <w:rPr>
          <w:i/>
        </w:rPr>
        <w:t>Date of communication</w:t>
      </w:r>
      <w:r w:rsidRPr="00A36331">
        <w:t>:</w:t>
      </w:r>
      <w:r w:rsidRPr="00A36331">
        <w:tab/>
      </w:r>
      <w:r w:rsidR="00414FB9">
        <w:t>3 September 2012</w:t>
      </w:r>
      <w:r w:rsidR="00E263E7">
        <w:t xml:space="preserve"> </w:t>
      </w:r>
      <w:r w:rsidR="00E263E7" w:rsidRPr="00E263E7">
        <w:t>(initial submission)</w:t>
      </w:r>
    </w:p>
    <w:p w14:paraId="2414B39D" w14:textId="77777777" w:rsidR="003521FD" w:rsidRPr="00A36331" w:rsidRDefault="003521FD" w:rsidP="003521FD">
      <w:pPr>
        <w:pStyle w:val="SingleTxtG"/>
      </w:pPr>
      <w:r w:rsidRPr="00A36331">
        <w:tab/>
      </w:r>
      <w:r w:rsidRPr="00A36331">
        <w:rPr>
          <w:i/>
        </w:rPr>
        <w:t>The Human Rights Committee</w:t>
      </w:r>
      <w:r w:rsidRPr="00A36331">
        <w:t xml:space="preserve">, established under article 28 of the International Covenant on Civil and Political Rights, </w:t>
      </w:r>
    </w:p>
    <w:p w14:paraId="493B507F" w14:textId="77777777" w:rsidR="003521FD" w:rsidRPr="00A36331" w:rsidRDefault="003521FD" w:rsidP="003521FD">
      <w:pPr>
        <w:pStyle w:val="SingleTxtG"/>
      </w:pPr>
      <w:r w:rsidRPr="00A36331">
        <w:tab/>
      </w:r>
      <w:r w:rsidRPr="00A36331">
        <w:rPr>
          <w:i/>
        </w:rPr>
        <w:t xml:space="preserve">Meeting </w:t>
      </w:r>
      <w:r w:rsidRPr="00751110">
        <w:t>on</w:t>
      </w:r>
      <w:r w:rsidRPr="00A36331">
        <w:t xml:space="preserve"> </w:t>
      </w:r>
      <w:r w:rsidR="007751C7">
        <w:t xml:space="preserve">29 </w:t>
      </w:r>
      <w:r w:rsidR="00C12F45">
        <w:t xml:space="preserve">October </w:t>
      </w:r>
      <w:r w:rsidR="00227516">
        <w:t>2015</w:t>
      </w:r>
      <w:r w:rsidRPr="00A36331">
        <w:t>,</w:t>
      </w:r>
    </w:p>
    <w:p w14:paraId="038BF667" w14:textId="77777777" w:rsidR="003521FD" w:rsidRPr="001D1C3A" w:rsidRDefault="003521FD" w:rsidP="001D1C3A">
      <w:pPr>
        <w:pStyle w:val="SingleTxtG"/>
      </w:pPr>
      <w:r w:rsidRPr="00A36331">
        <w:rPr>
          <w:i/>
        </w:rPr>
        <w:tab/>
        <w:t xml:space="preserve">Having concluded </w:t>
      </w:r>
      <w:r w:rsidRPr="00A36331">
        <w:t xml:space="preserve">its consideration of communication No. </w:t>
      </w:r>
      <w:r w:rsidR="006E5110">
        <w:t>2221/201</w:t>
      </w:r>
      <w:r w:rsidR="00E64F65">
        <w:t>2</w:t>
      </w:r>
      <w:r w:rsidRPr="00A36331">
        <w:t xml:space="preserve">, submitted </w:t>
      </w:r>
      <w:r w:rsidR="007C6B60">
        <w:t xml:space="preserve">to </w:t>
      </w:r>
      <w:r w:rsidR="00676CD3">
        <w:t>it</w:t>
      </w:r>
      <w:r w:rsidR="007C6B60">
        <w:t xml:space="preserve"> on behalf of</w:t>
      </w:r>
      <w:r w:rsidRPr="00A36331">
        <w:t xml:space="preserve"> </w:t>
      </w:r>
      <w:r w:rsidR="001D1C3A" w:rsidRPr="001D1C3A">
        <w:t>Mahmud Hudaybergenov</w:t>
      </w:r>
      <w:r w:rsidR="006E5110" w:rsidRPr="006E5110">
        <w:t xml:space="preserve"> </w:t>
      </w:r>
      <w:r w:rsidRPr="00A36331">
        <w:t>under the Optional Protocol to the International Covenant on Civil and Political Rights,</w:t>
      </w:r>
    </w:p>
    <w:p w14:paraId="2B786DDD" w14:textId="77777777" w:rsidR="003521FD" w:rsidRPr="00A36331" w:rsidRDefault="003521FD" w:rsidP="003521FD">
      <w:pPr>
        <w:pStyle w:val="SingleTxtG"/>
        <w:rPr>
          <w:i/>
        </w:rPr>
      </w:pPr>
      <w:r w:rsidRPr="00A36331">
        <w:rPr>
          <w:i/>
        </w:rPr>
        <w:tab/>
        <w:t xml:space="preserve">Having taken into account </w:t>
      </w:r>
      <w:r w:rsidRPr="00A36331">
        <w:t>all written information made available to it by the author of the communication and the State party,</w:t>
      </w:r>
    </w:p>
    <w:p w14:paraId="461B83B6" w14:textId="77777777" w:rsidR="003521FD" w:rsidRPr="00A36331" w:rsidRDefault="003521FD" w:rsidP="003521FD">
      <w:pPr>
        <w:pStyle w:val="SingleTxtG"/>
        <w:rPr>
          <w:bCs/>
        </w:rPr>
      </w:pPr>
      <w:r w:rsidRPr="00A36331">
        <w:rPr>
          <w:bCs/>
        </w:rPr>
        <w:tab/>
      </w:r>
      <w:r w:rsidRPr="00A36331">
        <w:rPr>
          <w:bCs/>
          <w:i/>
        </w:rPr>
        <w:t xml:space="preserve">Adopts </w:t>
      </w:r>
      <w:r w:rsidRPr="00751110">
        <w:rPr>
          <w:bCs/>
          <w:iCs/>
        </w:rPr>
        <w:t>the following</w:t>
      </w:r>
      <w:r w:rsidRPr="00A36331">
        <w:rPr>
          <w:bCs/>
        </w:rPr>
        <w:t>:</w:t>
      </w:r>
    </w:p>
    <w:p w14:paraId="2898C173" w14:textId="77777777" w:rsidR="003521FD" w:rsidRPr="001704EC" w:rsidRDefault="003521FD" w:rsidP="003521FD">
      <w:pPr>
        <w:pStyle w:val="H1G"/>
        <w:rPr>
          <w:highlight w:val="green"/>
        </w:rPr>
      </w:pPr>
      <w:r w:rsidRPr="00A36331">
        <w:tab/>
      </w:r>
      <w:r w:rsidRPr="00A36331">
        <w:tab/>
      </w:r>
      <w:r w:rsidR="00FF682A" w:rsidRPr="00FF682A">
        <w:t>V</w:t>
      </w:r>
      <w:r w:rsidR="00FF682A">
        <w:t>iews under article 5</w:t>
      </w:r>
      <w:r w:rsidR="003F2D6A">
        <w:t xml:space="preserve"> </w:t>
      </w:r>
      <w:r w:rsidR="00676CD3">
        <w:t>(</w:t>
      </w:r>
      <w:r w:rsidR="001704EC" w:rsidRPr="00FF682A">
        <w:t>4</w:t>
      </w:r>
      <w:r w:rsidR="00676CD3">
        <w:t>)</w:t>
      </w:r>
      <w:r w:rsidR="001704EC" w:rsidRPr="00FF682A">
        <w:t xml:space="preserve"> of the Optional Protocol</w:t>
      </w:r>
      <w:r w:rsidRPr="00FF682A">
        <w:t xml:space="preserve"> </w:t>
      </w:r>
    </w:p>
    <w:p w14:paraId="07421493" w14:textId="77777777" w:rsidR="00D139E6" w:rsidRPr="00240B24" w:rsidRDefault="00330053" w:rsidP="00330053">
      <w:pPr>
        <w:pStyle w:val="SingleTxtG"/>
        <w:rPr>
          <w:lang w:val="en-US"/>
        </w:rPr>
      </w:pPr>
      <w:r>
        <w:t>1.1</w:t>
      </w:r>
      <w:r>
        <w:tab/>
      </w:r>
      <w:r w:rsidR="00FF682A">
        <w:t xml:space="preserve">The author </w:t>
      </w:r>
      <w:r w:rsidR="003F2D6A">
        <w:t xml:space="preserve">of the communication </w:t>
      </w:r>
      <w:r w:rsidR="001D1C3A">
        <w:t xml:space="preserve">is </w:t>
      </w:r>
      <w:r w:rsidR="007B587A">
        <w:t>Mahmud Hudaybergenov,</w:t>
      </w:r>
      <w:r w:rsidR="001D1C3A">
        <w:t xml:space="preserve"> </w:t>
      </w:r>
      <w:r w:rsidR="007B587A">
        <w:t>a Turkmen national</w:t>
      </w:r>
      <w:r w:rsidR="007B587A" w:rsidRPr="007B587A">
        <w:t xml:space="preserve"> </w:t>
      </w:r>
      <w:r w:rsidR="004B6BD2">
        <w:t xml:space="preserve">born on 29 January </w:t>
      </w:r>
      <w:r w:rsidR="006E5110" w:rsidRPr="006E5110">
        <w:t>1990</w:t>
      </w:r>
      <w:r w:rsidR="001D1C3A">
        <w:t xml:space="preserve"> in </w:t>
      </w:r>
      <w:r w:rsidR="004B6BD2">
        <w:t xml:space="preserve">Dashoguz, </w:t>
      </w:r>
      <w:r w:rsidR="001D1C3A">
        <w:t>Turkmenistan</w:t>
      </w:r>
      <w:r w:rsidR="006E5110" w:rsidRPr="006E5110">
        <w:t xml:space="preserve">. </w:t>
      </w:r>
      <w:r w:rsidR="001D1C3A">
        <w:t>He</w:t>
      </w:r>
      <w:r w:rsidR="006E5110" w:rsidRPr="006E5110">
        <w:t xml:space="preserve"> claim</w:t>
      </w:r>
      <w:r w:rsidR="001D1C3A">
        <w:t>s</w:t>
      </w:r>
      <w:r w:rsidR="006E5110" w:rsidRPr="006E5110">
        <w:t xml:space="preserve"> </w:t>
      </w:r>
      <w:r w:rsidR="001D1C3A">
        <w:t>to be victim</w:t>
      </w:r>
      <w:r w:rsidR="006E5110" w:rsidRPr="006E5110">
        <w:t xml:space="preserve"> of a </w:t>
      </w:r>
      <w:r w:rsidR="001D1C3A">
        <w:t>violation of his</w:t>
      </w:r>
      <w:r w:rsidR="006E5110" w:rsidRPr="006E5110">
        <w:t xml:space="preserve"> rights under </w:t>
      </w:r>
      <w:r w:rsidR="006E5110" w:rsidRPr="00330053">
        <w:t>article</w:t>
      </w:r>
      <w:r w:rsidR="00E64F65" w:rsidRPr="00330053">
        <w:t>s</w:t>
      </w:r>
      <w:r w:rsidR="006E5110" w:rsidRPr="006E5110">
        <w:t xml:space="preserve"> 7 </w:t>
      </w:r>
      <w:r w:rsidR="00E64F65">
        <w:t>and 18</w:t>
      </w:r>
      <w:r w:rsidR="00676CD3">
        <w:t xml:space="preserve"> (</w:t>
      </w:r>
      <w:r w:rsidR="00E64F65">
        <w:t>1</w:t>
      </w:r>
      <w:r w:rsidR="00676CD3">
        <w:t>)</w:t>
      </w:r>
      <w:r w:rsidR="00E64F65">
        <w:t xml:space="preserve"> </w:t>
      </w:r>
      <w:r w:rsidR="006E5110" w:rsidRPr="006E5110">
        <w:t>of the Covenant</w:t>
      </w:r>
      <w:r w:rsidR="00E64F65">
        <w:t>.</w:t>
      </w:r>
      <w:r w:rsidR="006E5110" w:rsidRPr="006E5110">
        <w:t xml:space="preserve"> </w:t>
      </w:r>
      <w:r w:rsidR="00C120AC">
        <w:t>Although the author d</w:t>
      </w:r>
      <w:r w:rsidR="001D1C3A">
        <w:t>id</w:t>
      </w:r>
      <w:r w:rsidR="00C120AC">
        <w:t xml:space="preserve"> not </w:t>
      </w:r>
      <w:r w:rsidR="0038722E">
        <w:t xml:space="preserve">invoke </w:t>
      </w:r>
      <w:r w:rsidR="00C120AC">
        <w:t xml:space="preserve">article 10 </w:t>
      </w:r>
      <w:r w:rsidR="0038722E">
        <w:t xml:space="preserve">of the Covenant </w:t>
      </w:r>
      <w:r w:rsidR="00C120AC">
        <w:t xml:space="preserve">specifically, </w:t>
      </w:r>
      <w:r w:rsidR="0038722E">
        <w:t>t</w:t>
      </w:r>
      <w:r w:rsidR="00C120AC">
        <w:t>he communication also appears to raise issues under this provision.</w:t>
      </w:r>
      <w:r w:rsidR="00E27119" w:rsidRPr="00E27119">
        <w:t xml:space="preserve"> </w:t>
      </w:r>
      <w:r w:rsidR="00E27119">
        <w:t>The Covenant and the Optional Protocol entered into force for the Stat</w:t>
      </w:r>
      <w:r w:rsidR="00E27119" w:rsidRPr="004E593E">
        <w:t>e</w:t>
      </w:r>
      <w:r w:rsidR="00E27119">
        <w:t xml:space="preserve"> party on</w:t>
      </w:r>
      <w:r w:rsidR="00E27119" w:rsidRPr="007560D3">
        <w:t xml:space="preserve"> </w:t>
      </w:r>
      <w:r w:rsidR="00E27119">
        <w:t>1 May 1997.</w:t>
      </w:r>
      <w:r w:rsidR="00C120AC">
        <w:t xml:space="preserve"> </w:t>
      </w:r>
      <w:r w:rsidR="00D64B94">
        <w:t>The author</w:t>
      </w:r>
      <w:r w:rsidR="006E5110">
        <w:t xml:space="preserve"> </w:t>
      </w:r>
      <w:r w:rsidR="001D1C3A">
        <w:t>is</w:t>
      </w:r>
      <w:r w:rsidR="00D64B94">
        <w:t xml:space="preserve"> represented </w:t>
      </w:r>
      <w:r>
        <w:t xml:space="preserve">by </w:t>
      </w:r>
      <w:r w:rsidR="00676CD3">
        <w:t>c</w:t>
      </w:r>
      <w:r>
        <w:t>ounsel</w:t>
      </w:r>
      <w:r w:rsidR="00E64F65">
        <w:t>, Shane H. Brady</w:t>
      </w:r>
      <w:r w:rsidR="00D64B94">
        <w:t>.</w:t>
      </w:r>
      <w:r w:rsidR="00462F7C">
        <w:t xml:space="preserve"> </w:t>
      </w:r>
    </w:p>
    <w:p w14:paraId="0D1BFCEF" w14:textId="77777777" w:rsidR="00853FE4" w:rsidRPr="00A36331" w:rsidRDefault="00330053" w:rsidP="00330053">
      <w:pPr>
        <w:pStyle w:val="SingleTxtG"/>
      </w:pPr>
      <w:r>
        <w:t>1.2</w:t>
      </w:r>
      <w:r>
        <w:tab/>
      </w:r>
      <w:r w:rsidR="003D485C" w:rsidRPr="003D485C">
        <w:t xml:space="preserve">In his initial submission, the author requested that the Committee </w:t>
      </w:r>
      <w:r w:rsidR="00E9201A">
        <w:t xml:space="preserve">request </w:t>
      </w:r>
      <w:r w:rsidR="00B80B4D">
        <w:t>the State party as an “</w:t>
      </w:r>
      <w:r w:rsidR="003D485C" w:rsidRPr="003D485C">
        <w:t>interim measure</w:t>
      </w:r>
      <w:r w:rsidR="00B80B4D">
        <w:t>”</w:t>
      </w:r>
      <w:r w:rsidR="003D485C" w:rsidRPr="003D485C">
        <w:t xml:space="preserve"> </w:t>
      </w:r>
      <w:r w:rsidR="00E9201A">
        <w:t xml:space="preserve">to release </w:t>
      </w:r>
      <w:r w:rsidR="00B80B4D">
        <w:t xml:space="preserve">him </w:t>
      </w:r>
      <w:r w:rsidR="00676CD3">
        <w:t xml:space="preserve">immediately </w:t>
      </w:r>
      <w:r w:rsidR="00E9201A">
        <w:t xml:space="preserve">pending the examination of his complaint by </w:t>
      </w:r>
      <w:r w:rsidR="00E9201A" w:rsidRPr="00330053">
        <w:t>the</w:t>
      </w:r>
      <w:r w:rsidR="00E9201A">
        <w:t xml:space="preserve"> Committee.</w:t>
      </w:r>
      <w:r w:rsidR="003D485C" w:rsidRPr="003D485C">
        <w:t xml:space="preserve"> On 7 December 2012, the Committee, acting through its </w:t>
      </w:r>
      <w:r w:rsidR="003D485C" w:rsidRPr="003D485C">
        <w:lastRenderedPageBreak/>
        <w:t xml:space="preserve">Special Rapporteur on </w:t>
      </w:r>
      <w:r w:rsidR="00676CD3">
        <w:t>n</w:t>
      </w:r>
      <w:r w:rsidR="003D485C" w:rsidRPr="003D485C">
        <w:t xml:space="preserve">ew </w:t>
      </w:r>
      <w:r w:rsidR="00676CD3">
        <w:t>c</w:t>
      </w:r>
      <w:r w:rsidR="003D485C" w:rsidRPr="003D485C">
        <w:t xml:space="preserve">ommunications and </w:t>
      </w:r>
      <w:r w:rsidR="00676CD3">
        <w:t>i</w:t>
      </w:r>
      <w:r w:rsidR="003D485C" w:rsidRPr="003D485C">
        <w:t xml:space="preserve">nterim </w:t>
      </w:r>
      <w:r w:rsidR="00676CD3">
        <w:t>m</w:t>
      </w:r>
      <w:r w:rsidR="003D485C" w:rsidRPr="003D485C">
        <w:t>easures, decided not to accede to this request.</w:t>
      </w:r>
      <w:r w:rsidR="00462F7C">
        <w:t xml:space="preserve"> </w:t>
      </w:r>
    </w:p>
    <w:p w14:paraId="05C312C7" w14:textId="77777777" w:rsidR="003521FD" w:rsidRPr="00A36331" w:rsidRDefault="003521FD" w:rsidP="00330053">
      <w:pPr>
        <w:pStyle w:val="H23G"/>
      </w:pPr>
      <w:r w:rsidRPr="00A36331">
        <w:tab/>
      </w:r>
      <w:r w:rsidRPr="00A36331">
        <w:tab/>
      </w:r>
      <w:r w:rsidR="00F5438C">
        <w:t xml:space="preserve">Factual </w:t>
      </w:r>
      <w:r w:rsidR="00F5438C" w:rsidRPr="00330053">
        <w:t>background</w:t>
      </w:r>
    </w:p>
    <w:p w14:paraId="27B40761" w14:textId="77777777" w:rsidR="00205987" w:rsidRDefault="002731ED" w:rsidP="00673498">
      <w:pPr>
        <w:pStyle w:val="SingleTxtG"/>
        <w:spacing w:line="240" w:lineRule="auto"/>
        <w:rPr>
          <w:lang w:val="en-US"/>
        </w:rPr>
      </w:pPr>
      <w:r>
        <w:t>2.1</w:t>
      </w:r>
      <w:r w:rsidR="003521FD" w:rsidRPr="00A36331">
        <w:tab/>
      </w:r>
      <w:r w:rsidR="00C764DF" w:rsidRPr="00C764DF">
        <w:rPr>
          <w:lang w:val="en-US"/>
        </w:rPr>
        <w:t>The author</w:t>
      </w:r>
      <w:r w:rsidR="002F0FC2">
        <w:rPr>
          <w:lang w:val="en-US"/>
        </w:rPr>
        <w:t xml:space="preserve"> </w:t>
      </w:r>
      <w:r w:rsidR="00932E12">
        <w:rPr>
          <w:lang w:val="en-US"/>
        </w:rPr>
        <w:t xml:space="preserve">states that he </w:t>
      </w:r>
      <w:r w:rsidR="00676CD3">
        <w:rPr>
          <w:lang w:val="en-US"/>
        </w:rPr>
        <w:t xml:space="preserve">has been </w:t>
      </w:r>
      <w:r w:rsidR="00873A23">
        <w:rPr>
          <w:lang w:val="en-US"/>
        </w:rPr>
        <w:t xml:space="preserve">a </w:t>
      </w:r>
      <w:r w:rsidR="002F0FC2">
        <w:rPr>
          <w:lang w:val="en-US"/>
        </w:rPr>
        <w:t>Jehovah’s Wit</w:t>
      </w:r>
      <w:r w:rsidR="00873A23">
        <w:rPr>
          <w:lang w:val="en-US"/>
        </w:rPr>
        <w:t>ness</w:t>
      </w:r>
      <w:r w:rsidR="006977DA">
        <w:rPr>
          <w:lang w:val="en-US"/>
        </w:rPr>
        <w:t xml:space="preserve"> since 2003</w:t>
      </w:r>
      <w:r w:rsidR="00141567">
        <w:rPr>
          <w:lang w:val="en-US"/>
        </w:rPr>
        <w:t xml:space="preserve">. </w:t>
      </w:r>
      <w:r w:rsidR="00873A23">
        <w:rPr>
          <w:lang w:val="en-US"/>
        </w:rPr>
        <w:t>In the fall of 2008</w:t>
      </w:r>
      <w:r w:rsidR="00D013B0">
        <w:rPr>
          <w:lang w:val="en-US"/>
        </w:rPr>
        <w:t>,</w:t>
      </w:r>
      <w:r w:rsidR="00873A23">
        <w:rPr>
          <w:lang w:val="en-US"/>
        </w:rPr>
        <w:t xml:space="preserve"> </w:t>
      </w:r>
      <w:r w:rsidR="00656287">
        <w:rPr>
          <w:lang w:val="en-US"/>
        </w:rPr>
        <w:t xml:space="preserve">shortly after he turned 18, </w:t>
      </w:r>
      <w:r w:rsidR="00873A23">
        <w:rPr>
          <w:lang w:val="en-US"/>
        </w:rPr>
        <w:t xml:space="preserve">he </w:t>
      </w:r>
      <w:r w:rsidR="006977DA">
        <w:rPr>
          <w:lang w:val="en-US"/>
        </w:rPr>
        <w:t xml:space="preserve">was </w:t>
      </w:r>
      <w:r w:rsidR="00676CD3">
        <w:rPr>
          <w:lang w:val="en-US"/>
        </w:rPr>
        <w:t>called up</w:t>
      </w:r>
      <w:r w:rsidR="00676CD3" w:rsidRPr="00141567">
        <w:rPr>
          <w:lang w:val="en-US"/>
        </w:rPr>
        <w:t xml:space="preserve"> </w:t>
      </w:r>
      <w:r w:rsidR="00141567" w:rsidRPr="00141567">
        <w:rPr>
          <w:lang w:val="en-US"/>
        </w:rPr>
        <w:t>by the</w:t>
      </w:r>
      <w:r w:rsidR="00E420FA">
        <w:rPr>
          <w:lang w:val="en-US"/>
        </w:rPr>
        <w:t xml:space="preserve"> State party’s</w:t>
      </w:r>
      <w:r w:rsidR="00141567" w:rsidRPr="00141567">
        <w:rPr>
          <w:lang w:val="en-US"/>
        </w:rPr>
        <w:t xml:space="preserve"> Military Commi</w:t>
      </w:r>
      <w:r w:rsidR="00676CD3">
        <w:rPr>
          <w:lang w:val="en-US"/>
        </w:rPr>
        <w:t>s</w:t>
      </w:r>
      <w:r w:rsidR="00141567" w:rsidRPr="00141567">
        <w:rPr>
          <w:lang w:val="en-US"/>
        </w:rPr>
        <w:t xml:space="preserve">sariat </w:t>
      </w:r>
      <w:r w:rsidR="00676CD3">
        <w:rPr>
          <w:lang w:val="en-US"/>
        </w:rPr>
        <w:t xml:space="preserve">to perform </w:t>
      </w:r>
      <w:r w:rsidR="00E420FA">
        <w:rPr>
          <w:lang w:val="en-US"/>
        </w:rPr>
        <w:t xml:space="preserve">military service. </w:t>
      </w:r>
      <w:r w:rsidR="006977DA">
        <w:rPr>
          <w:lang w:val="en-US"/>
        </w:rPr>
        <w:t>He states that he has</w:t>
      </w:r>
      <w:r w:rsidR="00E420FA">
        <w:rPr>
          <w:lang w:val="en-US"/>
        </w:rPr>
        <w:t xml:space="preserve"> explained</w:t>
      </w:r>
      <w:r w:rsidR="006977DA" w:rsidRPr="006977DA">
        <w:rPr>
          <w:lang w:val="en-US"/>
        </w:rPr>
        <w:t xml:space="preserve"> to the Military Commi</w:t>
      </w:r>
      <w:r w:rsidR="00676CD3">
        <w:rPr>
          <w:lang w:val="en-US"/>
        </w:rPr>
        <w:t>s</w:t>
      </w:r>
      <w:r w:rsidR="006977DA" w:rsidRPr="006977DA">
        <w:rPr>
          <w:lang w:val="en-US"/>
        </w:rPr>
        <w:t>sariat</w:t>
      </w:r>
      <w:r w:rsidR="00E420FA">
        <w:rPr>
          <w:lang w:val="en-US"/>
        </w:rPr>
        <w:t xml:space="preserve"> in writing and orally </w:t>
      </w:r>
      <w:r w:rsidR="006977DA">
        <w:rPr>
          <w:lang w:val="en-US"/>
        </w:rPr>
        <w:t xml:space="preserve">that he </w:t>
      </w:r>
      <w:r w:rsidR="005A71B0">
        <w:rPr>
          <w:lang w:val="en-US"/>
        </w:rPr>
        <w:t xml:space="preserve">was </w:t>
      </w:r>
      <w:r w:rsidR="00423B64">
        <w:rPr>
          <w:lang w:val="en-US"/>
        </w:rPr>
        <w:t>not</w:t>
      </w:r>
      <w:r w:rsidR="00E420FA">
        <w:rPr>
          <w:lang w:val="en-US"/>
        </w:rPr>
        <w:t xml:space="preserve"> able to perform military service as </w:t>
      </w:r>
      <w:r w:rsidR="006977DA">
        <w:rPr>
          <w:lang w:val="en-US"/>
        </w:rPr>
        <w:t xml:space="preserve">his </w:t>
      </w:r>
      <w:r w:rsidR="00D013B0">
        <w:rPr>
          <w:lang w:val="en-US"/>
        </w:rPr>
        <w:t>faith did</w:t>
      </w:r>
      <w:r w:rsidR="00E420FA">
        <w:rPr>
          <w:lang w:val="en-US"/>
        </w:rPr>
        <w:t xml:space="preserve"> not allow </w:t>
      </w:r>
      <w:r w:rsidR="006977DA">
        <w:rPr>
          <w:lang w:val="en-US"/>
        </w:rPr>
        <w:t xml:space="preserve">him </w:t>
      </w:r>
      <w:r w:rsidR="00E420FA">
        <w:rPr>
          <w:lang w:val="en-US"/>
        </w:rPr>
        <w:t>to take part in any kind of military activity</w:t>
      </w:r>
      <w:r w:rsidR="006977DA">
        <w:rPr>
          <w:lang w:val="en-US"/>
        </w:rPr>
        <w:t>, including using weapons, wear</w:t>
      </w:r>
      <w:r w:rsidR="00676CD3">
        <w:rPr>
          <w:lang w:val="en-US"/>
        </w:rPr>
        <w:t>ing</w:t>
      </w:r>
      <w:r w:rsidR="006977DA">
        <w:rPr>
          <w:lang w:val="en-US"/>
        </w:rPr>
        <w:t xml:space="preserve"> military uniforms and taking oath</w:t>
      </w:r>
      <w:r w:rsidR="00676CD3">
        <w:rPr>
          <w:lang w:val="en-US"/>
        </w:rPr>
        <w:t>s</w:t>
      </w:r>
      <w:r w:rsidR="00E420FA">
        <w:rPr>
          <w:lang w:val="en-US"/>
        </w:rPr>
        <w:t xml:space="preserve">. </w:t>
      </w:r>
      <w:r w:rsidR="006977DA">
        <w:rPr>
          <w:lang w:val="en-US"/>
        </w:rPr>
        <w:t xml:space="preserve">According to </w:t>
      </w:r>
      <w:r w:rsidR="00315FE9">
        <w:rPr>
          <w:lang w:val="en-US"/>
        </w:rPr>
        <w:t>information provided by the author</w:t>
      </w:r>
      <w:r w:rsidR="00676CD3">
        <w:rPr>
          <w:lang w:val="en-US"/>
        </w:rPr>
        <w:t>,</w:t>
      </w:r>
      <w:r w:rsidR="00315FE9">
        <w:rPr>
          <w:lang w:val="en-US"/>
        </w:rPr>
        <w:t xml:space="preserve"> t</w:t>
      </w:r>
      <w:r w:rsidR="00B045E0">
        <w:rPr>
          <w:lang w:val="en-US"/>
        </w:rPr>
        <w:t>he Military Commis</w:t>
      </w:r>
      <w:r w:rsidR="00676CD3">
        <w:rPr>
          <w:lang w:val="en-US"/>
        </w:rPr>
        <w:t>s</w:t>
      </w:r>
      <w:r w:rsidR="00B045E0">
        <w:rPr>
          <w:lang w:val="en-US"/>
        </w:rPr>
        <w:t>ariat gave him</w:t>
      </w:r>
      <w:r w:rsidR="006977DA">
        <w:rPr>
          <w:lang w:val="en-US"/>
        </w:rPr>
        <w:t xml:space="preserve"> </w:t>
      </w:r>
      <w:r w:rsidR="00205987">
        <w:rPr>
          <w:lang w:val="en-US"/>
        </w:rPr>
        <w:t xml:space="preserve">a </w:t>
      </w:r>
      <w:r w:rsidR="006977DA">
        <w:rPr>
          <w:lang w:val="en-US"/>
        </w:rPr>
        <w:t>six-month deferral</w:t>
      </w:r>
      <w:r w:rsidR="00205987">
        <w:rPr>
          <w:lang w:val="en-US"/>
        </w:rPr>
        <w:t xml:space="preserve"> </w:t>
      </w:r>
      <w:r w:rsidR="00676CD3">
        <w:rPr>
          <w:lang w:val="en-US"/>
        </w:rPr>
        <w:t xml:space="preserve">because of </w:t>
      </w:r>
      <w:r w:rsidR="00205987">
        <w:rPr>
          <w:lang w:val="en-US"/>
        </w:rPr>
        <w:t>his health.</w:t>
      </w:r>
      <w:r w:rsidR="00205987" w:rsidRPr="0021464B">
        <w:rPr>
          <w:rStyle w:val="FootnoteReference"/>
        </w:rPr>
        <w:footnoteReference w:id="3"/>
      </w:r>
      <w:r w:rsidR="00205987" w:rsidRPr="00205987">
        <w:rPr>
          <w:lang w:val="en-US"/>
        </w:rPr>
        <w:t xml:space="preserve"> He was </w:t>
      </w:r>
      <w:r w:rsidR="00676CD3">
        <w:rPr>
          <w:lang w:val="en-US"/>
        </w:rPr>
        <w:t xml:space="preserve">subsequently </w:t>
      </w:r>
      <w:r w:rsidR="00205987" w:rsidRPr="00205987">
        <w:rPr>
          <w:lang w:val="en-US"/>
        </w:rPr>
        <w:t>given several deferrals</w:t>
      </w:r>
      <w:r w:rsidR="00205987" w:rsidRPr="0021464B">
        <w:rPr>
          <w:rStyle w:val="FootnoteReference"/>
        </w:rPr>
        <w:footnoteReference w:id="4"/>
      </w:r>
      <w:r w:rsidR="00205987" w:rsidRPr="00205987">
        <w:rPr>
          <w:lang w:val="en-US"/>
        </w:rPr>
        <w:t xml:space="preserve"> until </w:t>
      </w:r>
      <w:r w:rsidR="00676CD3">
        <w:rPr>
          <w:lang w:val="en-US"/>
        </w:rPr>
        <w:t>early</w:t>
      </w:r>
      <w:r w:rsidR="00205987" w:rsidRPr="00205987">
        <w:rPr>
          <w:lang w:val="en-US"/>
        </w:rPr>
        <w:t xml:space="preserve"> 2011</w:t>
      </w:r>
      <w:r w:rsidR="00AD765B">
        <w:rPr>
          <w:lang w:val="en-US"/>
        </w:rPr>
        <w:t xml:space="preserve">, </w:t>
      </w:r>
      <w:r w:rsidR="00205987">
        <w:rPr>
          <w:lang w:val="en-US"/>
        </w:rPr>
        <w:t>when</w:t>
      </w:r>
      <w:r w:rsidR="00E55A31">
        <w:rPr>
          <w:lang w:val="en-US"/>
        </w:rPr>
        <w:t xml:space="preserve"> </w:t>
      </w:r>
      <w:r w:rsidR="00205987">
        <w:rPr>
          <w:lang w:val="en-US"/>
        </w:rPr>
        <w:t xml:space="preserve">he was </w:t>
      </w:r>
      <w:r w:rsidR="00932E12">
        <w:rPr>
          <w:lang w:val="en-US"/>
        </w:rPr>
        <w:t>again</w:t>
      </w:r>
      <w:r w:rsidR="00205987">
        <w:rPr>
          <w:lang w:val="en-US"/>
        </w:rPr>
        <w:t xml:space="preserve"> call</w:t>
      </w:r>
      <w:r w:rsidR="00932E12">
        <w:rPr>
          <w:lang w:val="en-US"/>
        </w:rPr>
        <w:t xml:space="preserve">ed </w:t>
      </w:r>
      <w:r w:rsidR="00205987">
        <w:rPr>
          <w:lang w:val="en-US"/>
        </w:rPr>
        <w:t xml:space="preserve">up for military service. </w:t>
      </w:r>
      <w:r w:rsidR="00AD765B">
        <w:rPr>
          <w:lang w:val="en-US"/>
        </w:rPr>
        <w:t>The author claims that he once again explained to the Military Commi</w:t>
      </w:r>
      <w:r w:rsidR="00676CD3">
        <w:rPr>
          <w:lang w:val="en-US"/>
        </w:rPr>
        <w:t>s</w:t>
      </w:r>
      <w:r w:rsidR="00AD765B">
        <w:rPr>
          <w:lang w:val="en-US"/>
        </w:rPr>
        <w:t>sariat</w:t>
      </w:r>
      <w:r w:rsidR="00ED6558">
        <w:rPr>
          <w:lang w:val="en-US"/>
        </w:rPr>
        <w:t xml:space="preserve">, orally and in </w:t>
      </w:r>
      <w:r w:rsidR="00F2169E">
        <w:rPr>
          <w:lang w:val="en-US"/>
        </w:rPr>
        <w:t>writing,</w:t>
      </w:r>
      <w:r w:rsidR="00AD765B">
        <w:rPr>
          <w:lang w:val="en-US"/>
        </w:rPr>
        <w:t xml:space="preserve"> that he could not perform military service because he was a Jehovah</w:t>
      </w:r>
      <w:r w:rsidR="005F7F3F">
        <w:rPr>
          <w:lang w:val="en-US"/>
        </w:rPr>
        <w:t>’</w:t>
      </w:r>
      <w:r w:rsidR="00AD765B">
        <w:rPr>
          <w:lang w:val="en-US"/>
        </w:rPr>
        <w:t xml:space="preserve">s </w:t>
      </w:r>
      <w:r w:rsidR="00A04101">
        <w:rPr>
          <w:lang w:val="en-US"/>
        </w:rPr>
        <w:t>W</w:t>
      </w:r>
      <w:r w:rsidR="00AD765B">
        <w:rPr>
          <w:lang w:val="en-US"/>
        </w:rPr>
        <w:t xml:space="preserve">itness and </w:t>
      </w:r>
      <w:r w:rsidR="00A04101">
        <w:rPr>
          <w:lang w:val="en-US"/>
        </w:rPr>
        <w:t xml:space="preserve">serving </w:t>
      </w:r>
      <w:r w:rsidR="00AD765B">
        <w:rPr>
          <w:lang w:val="en-US"/>
        </w:rPr>
        <w:t>in the military was against his faith</w:t>
      </w:r>
      <w:r w:rsidR="00F2169E">
        <w:rPr>
          <w:lang w:val="en-US"/>
        </w:rPr>
        <w:t>. He indicated</w:t>
      </w:r>
      <w:r w:rsidR="005A71B0">
        <w:rPr>
          <w:lang w:val="en-US"/>
        </w:rPr>
        <w:t xml:space="preserve"> to the Military Commis</w:t>
      </w:r>
      <w:r w:rsidR="00A04101">
        <w:rPr>
          <w:lang w:val="en-US"/>
        </w:rPr>
        <w:t>s</w:t>
      </w:r>
      <w:r w:rsidR="005A71B0">
        <w:rPr>
          <w:lang w:val="en-US"/>
        </w:rPr>
        <w:t>ariat</w:t>
      </w:r>
      <w:r w:rsidR="00F2169E">
        <w:rPr>
          <w:lang w:val="en-US"/>
        </w:rPr>
        <w:t xml:space="preserve"> that he</w:t>
      </w:r>
      <w:r w:rsidR="005A71B0">
        <w:rPr>
          <w:lang w:val="en-US"/>
        </w:rPr>
        <w:t xml:space="preserve"> would be</w:t>
      </w:r>
      <w:r w:rsidR="005F7F3F">
        <w:rPr>
          <w:lang w:val="en-US"/>
        </w:rPr>
        <w:t xml:space="preserve"> willing to perform alternative service</w:t>
      </w:r>
      <w:r w:rsidR="00AD765B">
        <w:rPr>
          <w:lang w:val="en-US"/>
        </w:rPr>
        <w:t xml:space="preserve">. </w:t>
      </w:r>
      <w:r w:rsidR="00673498" w:rsidRPr="00673498">
        <w:rPr>
          <w:lang w:val="en-US"/>
        </w:rPr>
        <w:t>The author further claims that he ha</w:t>
      </w:r>
      <w:r w:rsidR="00397E07">
        <w:rPr>
          <w:lang w:val="en-US"/>
        </w:rPr>
        <w:t>s</w:t>
      </w:r>
      <w:r w:rsidR="00673498" w:rsidRPr="00673498">
        <w:rPr>
          <w:lang w:val="en-US"/>
        </w:rPr>
        <w:t xml:space="preserve"> never been charged with any criminal or administrative offence</w:t>
      </w:r>
      <w:r w:rsidR="00397E07">
        <w:rPr>
          <w:lang w:val="en-US"/>
        </w:rPr>
        <w:t xml:space="preserve"> other than th</w:t>
      </w:r>
      <w:r w:rsidR="00A04101">
        <w:rPr>
          <w:lang w:val="en-US"/>
        </w:rPr>
        <w:t>e present</w:t>
      </w:r>
      <w:r w:rsidR="00826F91">
        <w:rPr>
          <w:lang w:val="en-US"/>
        </w:rPr>
        <w:t xml:space="preserve"> one</w:t>
      </w:r>
      <w:r w:rsidR="00397E07">
        <w:rPr>
          <w:lang w:val="en-US"/>
        </w:rPr>
        <w:t xml:space="preserve"> related to his</w:t>
      </w:r>
      <w:r w:rsidR="00826F91">
        <w:rPr>
          <w:lang w:val="en-US"/>
        </w:rPr>
        <w:t xml:space="preserve"> convictions as a </w:t>
      </w:r>
      <w:r w:rsidR="00397E07">
        <w:rPr>
          <w:lang w:val="en-US"/>
        </w:rPr>
        <w:t>conscientious</w:t>
      </w:r>
      <w:r w:rsidR="00826F91">
        <w:rPr>
          <w:lang w:val="en-US"/>
        </w:rPr>
        <w:t xml:space="preserve"> objector</w:t>
      </w:r>
      <w:r w:rsidR="00673498" w:rsidRPr="00673498">
        <w:rPr>
          <w:lang w:val="en-US"/>
        </w:rPr>
        <w:t>.</w:t>
      </w:r>
      <w:r w:rsidR="00462F7C">
        <w:rPr>
          <w:lang w:val="en-US"/>
        </w:rPr>
        <w:t xml:space="preserve"> </w:t>
      </w:r>
    </w:p>
    <w:p w14:paraId="408BD8B9" w14:textId="77777777" w:rsidR="007A1454" w:rsidRDefault="00AD765B" w:rsidP="009125FE">
      <w:pPr>
        <w:pStyle w:val="SingleTxtG"/>
        <w:spacing w:line="240" w:lineRule="auto"/>
      </w:pPr>
      <w:r>
        <w:rPr>
          <w:lang w:val="en-US"/>
        </w:rPr>
        <w:t>2.2.</w:t>
      </w:r>
      <w:r>
        <w:rPr>
          <w:lang w:val="en-US"/>
        </w:rPr>
        <w:tab/>
      </w:r>
      <w:r w:rsidR="00E420FA">
        <w:rPr>
          <w:lang w:val="en-US"/>
        </w:rPr>
        <w:t>T</w:t>
      </w:r>
      <w:r w:rsidR="00205987">
        <w:rPr>
          <w:lang w:val="en-US"/>
        </w:rPr>
        <w:t>he author</w:t>
      </w:r>
      <w:r w:rsidR="00E420FA">
        <w:rPr>
          <w:lang w:val="en-US"/>
        </w:rPr>
        <w:t xml:space="preserve"> </w:t>
      </w:r>
      <w:r>
        <w:rPr>
          <w:lang w:val="en-US"/>
        </w:rPr>
        <w:t xml:space="preserve">was </w:t>
      </w:r>
      <w:r w:rsidR="00E420FA">
        <w:rPr>
          <w:lang w:val="en-US"/>
        </w:rPr>
        <w:t xml:space="preserve">charged </w:t>
      </w:r>
      <w:r w:rsidR="004E3357">
        <w:rPr>
          <w:lang w:val="en-US"/>
        </w:rPr>
        <w:t>under article 219</w:t>
      </w:r>
      <w:r w:rsidR="00676CD3">
        <w:rPr>
          <w:lang w:val="en-US"/>
        </w:rPr>
        <w:t xml:space="preserve"> </w:t>
      </w:r>
      <w:r w:rsidR="004E3357">
        <w:rPr>
          <w:lang w:val="en-US"/>
        </w:rPr>
        <w:t>(</w:t>
      </w:r>
      <w:r w:rsidR="00774C81">
        <w:rPr>
          <w:lang w:val="en-US"/>
        </w:rPr>
        <w:t>1</w:t>
      </w:r>
      <w:r w:rsidR="004E3357">
        <w:rPr>
          <w:lang w:val="en-US"/>
        </w:rPr>
        <w:t>)</w:t>
      </w:r>
      <w:r w:rsidR="00774C81">
        <w:rPr>
          <w:lang w:val="en-US"/>
        </w:rPr>
        <w:t xml:space="preserve"> </w:t>
      </w:r>
      <w:r w:rsidR="00D20889">
        <w:t>of the Criminal Code</w:t>
      </w:r>
      <w:r w:rsidR="00D20889" w:rsidRPr="0021464B">
        <w:rPr>
          <w:rStyle w:val="FootnoteReference"/>
        </w:rPr>
        <w:footnoteReference w:id="5"/>
      </w:r>
      <w:r w:rsidR="00EB3E08">
        <w:t xml:space="preserve"> for refusing </w:t>
      </w:r>
      <w:r w:rsidR="00A04101">
        <w:t xml:space="preserve">to perform </w:t>
      </w:r>
      <w:r w:rsidR="00EB3E08">
        <w:t>military service. His case was transferred to the Da</w:t>
      </w:r>
      <w:r w:rsidR="005F7F3F">
        <w:t xml:space="preserve">shoguz City Court. </w:t>
      </w:r>
      <w:r w:rsidR="00713C79">
        <w:t>On 9 August 201</w:t>
      </w:r>
      <w:r w:rsidR="007A1454">
        <w:t>1, the c</w:t>
      </w:r>
      <w:r w:rsidR="005F7F3F">
        <w:t xml:space="preserve">ourt convicted the author </w:t>
      </w:r>
      <w:r w:rsidR="00A04101">
        <w:t xml:space="preserve">of </w:t>
      </w:r>
      <w:r w:rsidR="005F7F3F">
        <w:t>evading military service and sentenced him to 24 months</w:t>
      </w:r>
      <w:r w:rsidR="00094AA5">
        <w:t>’</w:t>
      </w:r>
      <w:r w:rsidR="005F7F3F">
        <w:t xml:space="preserve"> imprisonment</w:t>
      </w:r>
      <w:r w:rsidR="004E3357">
        <w:t xml:space="preserve">, on </w:t>
      </w:r>
      <w:r w:rsidR="00A04101">
        <w:t xml:space="preserve">the basis of </w:t>
      </w:r>
      <w:r w:rsidR="004E3357">
        <w:t>article 219</w:t>
      </w:r>
      <w:r w:rsidR="00A04101">
        <w:t xml:space="preserve"> </w:t>
      </w:r>
      <w:r w:rsidR="004E3357">
        <w:t>(</w:t>
      </w:r>
      <w:r w:rsidR="00774C81">
        <w:t>1</w:t>
      </w:r>
      <w:r w:rsidR="004E3357">
        <w:t>)</w:t>
      </w:r>
      <w:r w:rsidR="00774C81">
        <w:t xml:space="preserve"> of the Criminal Code</w:t>
      </w:r>
      <w:r w:rsidR="005F7F3F">
        <w:t xml:space="preserve">. </w:t>
      </w:r>
      <w:r w:rsidR="007A1454">
        <w:t xml:space="preserve">The court </w:t>
      </w:r>
      <w:r w:rsidR="00774C81">
        <w:t>indicated</w:t>
      </w:r>
      <w:r w:rsidR="007A1454">
        <w:t xml:space="preserve"> that the author </w:t>
      </w:r>
      <w:r w:rsidR="008D5F5A">
        <w:t xml:space="preserve">had </w:t>
      </w:r>
      <w:r w:rsidR="007A1454">
        <w:t xml:space="preserve">partially admitted </w:t>
      </w:r>
      <w:r w:rsidR="00A63DAE">
        <w:t xml:space="preserve">his </w:t>
      </w:r>
      <w:r w:rsidR="007A1454">
        <w:t xml:space="preserve">guilt as he </w:t>
      </w:r>
      <w:r w:rsidR="00A04101">
        <w:t xml:space="preserve">had agreed </w:t>
      </w:r>
      <w:r w:rsidR="007A1454">
        <w:t xml:space="preserve">to be a Jehovah’s </w:t>
      </w:r>
      <w:r w:rsidR="00A04101">
        <w:t>Wi</w:t>
      </w:r>
      <w:r w:rsidR="007A1454">
        <w:t>tness and</w:t>
      </w:r>
      <w:r w:rsidR="009125FE">
        <w:t xml:space="preserve"> because of this,</w:t>
      </w:r>
      <w:r w:rsidR="007A1454">
        <w:t xml:space="preserve"> he </w:t>
      </w:r>
      <w:r w:rsidR="005A71B0">
        <w:t>believed</w:t>
      </w:r>
      <w:r w:rsidR="007A1454">
        <w:t xml:space="preserve"> </w:t>
      </w:r>
      <w:r w:rsidR="0028332A">
        <w:t xml:space="preserve">that </w:t>
      </w:r>
      <w:r w:rsidR="007A1454">
        <w:t>it was wrong to “</w:t>
      </w:r>
      <w:r w:rsidR="009125FE">
        <w:t>bear arms or learn war”. The court</w:t>
      </w:r>
      <w:r w:rsidR="00104C19">
        <w:t xml:space="preserve"> further stated </w:t>
      </w:r>
      <w:r w:rsidR="009125FE">
        <w:t xml:space="preserve">that </w:t>
      </w:r>
      <w:r w:rsidR="0028332A">
        <w:t xml:space="preserve">according to a </w:t>
      </w:r>
      <w:r w:rsidR="0028332A" w:rsidRPr="0028332A">
        <w:t>medical report</w:t>
      </w:r>
      <w:r w:rsidR="00423B64">
        <w:t>,</w:t>
      </w:r>
      <w:r w:rsidR="0028332A" w:rsidRPr="0028332A">
        <w:t xml:space="preserve"> </w:t>
      </w:r>
      <w:r w:rsidR="009125FE">
        <w:t>the author was fi</w:t>
      </w:r>
      <w:r w:rsidR="00A63DAE">
        <w:t>t</w:t>
      </w:r>
      <w:r w:rsidR="0028332A">
        <w:t xml:space="preserve"> for military service</w:t>
      </w:r>
      <w:r w:rsidR="00A04101">
        <w:t xml:space="preserve"> </w:t>
      </w:r>
      <w:r w:rsidR="009125FE">
        <w:t xml:space="preserve">and concluded that </w:t>
      </w:r>
      <w:r w:rsidR="009125FE" w:rsidRPr="009125FE">
        <w:t>the author</w:t>
      </w:r>
      <w:r w:rsidR="00932E12">
        <w:t>’s</w:t>
      </w:r>
      <w:r w:rsidR="009125FE" w:rsidRPr="009125FE">
        <w:t xml:space="preserve"> </w:t>
      </w:r>
      <w:r w:rsidR="00A04101">
        <w:t xml:space="preserve">refusal </w:t>
      </w:r>
      <w:r w:rsidR="00A04101" w:rsidRPr="009125FE">
        <w:t xml:space="preserve">to serve in the army </w:t>
      </w:r>
      <w:r w:rsidR="00A04101">
        <w:t xml:space="preserve">was </w:t>
      </w:r>
      <w:r w:rsidR="009125FE" w:rsidRPr="009125FE">
        <w:t>without any legal basis.</w:t>
      </w:r>
      <w:r w:rsidR="00240B24">
        <w:t xml:space="preserve"> The author was arrested in the courtroom.</w:t>
      </w:r>
    </w:p>
    <w:p w14:paraId="50060BCB" w14:textId="77777777" w:rsidR="00240B24" w:rsidRDefault="00240B24" w:rsidP="009125FE">
      <w:pPr>
        <w:pStyle w:val="SingleTxtG"/>
        <w:spacing w:line="240" w:lineRule="auto"/>
      </w:pPr>
      <w:r>
        <w:t>2.3</w:t>
      </w:r>
      <w:r>
        <w:tab/>
      </w:r>
      <w:r w:rsidR="001E61B3">
        <w:t xml:space="preserve">On 28 September 2011, the Dashgouz Regional Court refused to accept an appeal presented by the author’s mother on behalf of her son. The court indicated that </w:t>
      </w:r>
      <w:r w:rsidR="00EE6823">
        <w:t xml:space="preserve">she did not have any </w:t>
      </w:r>
      <w:r w:rsidR="001E61B3">
        <w:t>legal authority to present an appeal o</w:t>
      </w:r>
      <w:r w:rsidR="00423B64">
        <w:t xml:space="preserve">n his </w:t>
      </w:r>
      <w:r w:rsidR="001E61B3">
        <w:t>behalf, as article 436</w:t>
      </w:r>
      <w:r w:rsidR="00A04101">
        <w:t xml:space="preserve"> </w:t>
      </w:r>
      <w:r w:rsidR="001E61B3">
        <w:t xml:space="preserve">(2) of the </w:t>
      </w:r>
      <w:r w:rsidR="00932E12">
        <w:t xml:space="preserve">Code of </w:t>
      </w:r>
      <w:r w:rsidR="001E61B3">
        <w:t>Criminal Procedure state</w:t>
      </w:r>
      <w:r w:rsidR="00932E12">
        <w:t>s</w:t>
      </w:r>
      <w:r w:rsidR="001E61B3">
        <w:t xml:space="preserve"> that </w:t>
      </w:r>
      <w:r w:rsidR="002775CA">
        <w:t xml:space="preserve">the only </w:t>
      </w:r>
      <w:r w:rsidR="001E61B3">
        <w:t xml:space="preserve">persons entitled to appeal </w:t>
      </w:r>
      <w:r w:rsidR="003F2D6A">
        <w:t>are</w:t>
      </w:r>
      <w:r w:rsidR="001E61B3">
        <w:t xml:space="preserve"> the convicted or acquitted</w:t>
      </w:r>
      <w:r w:rsidR="00A04101">
        <w:t xml:space="preserve"> person</w:t>
      </w:r>
      <w:r w:rsidR="001E61B3">
        <w:t xml:space="preserve">, his/her lawyer or </w:t>
      </w:r>
      <w:r w:rsidR="002775CA">
        <w:t xml:space="preserve">his/her </w:t>
      </w:r>
      <w:r w:rsidR="001E61B3">
        <w:t xml:space="preserve">legal representatives and </w:t>
      </w:r>
      <w:r w:rsidR="002775CA">
        <w:t xml:space="preserve">the </w:t>
      </w:r>
      <w:r w:rsidR="001E61B3">
        <w:t>victims or their legal representatives.</w:t>
      </w:r>
      <w:r w:rsidR="002775CA">
        <w:t xml:space="preserve"> </w:t>
      </w:r>
      <w:r w:rsidR="00A04101">
        <w:t xml:space="preserve">In the view of </w:t>
      </w:r>
      <w:r w:rsidR="003B7DD4">
        <w:t>the court, t</w:t>
      </w:r>
      <w:r w:rsidR="002775CA">
        <w:t>he author’s mother was only a witness.</w:t>
      </w:r>
      <w:r w:rsidR="001E61B3" w:rsidRPr="0021464B">
        <w:rPr>
          <w:rStyle w:val="FootnoteReference"/>
        </w:rPr>
        <w:footnoteReference w:id="6"/>
      </w:r>
      <w:r w:rsidR="001E61B3">
        <w:t xml:space="preserve"> </w:t>
      </w:r>
    </w:p>
    <w:p w14:paraId="12FF5BBE" w14:textId="77777777" w:rsidR="00CB67A7" w:rsidRDefault="00CB67A7" w:rsidP="009125FE">
      <w:pPr>
        <w:pStyle w:val="SingleTxtG"/>
        <w:spacing w:line="240" w:lineRule="auto"/>
      </w:pPr>
      <w:r>
        <w:t>2.4</w:t>
      </w:r>
      <w:r>
        <w:tab/>
      </w:r>
      <w:r w:rsidR="0003797F">
        <w:t>The author alleges that immediately after his arrest he was detained</w:t>
      </w:r>
      <w:r w:rsidR="00402A9F">
        <w:t xml:space="preserve"> for 18</w:t>
      </w:r>
      <w:r w:rsidR="0003797F">
        <w:t xml:space="preserve"> days in </w:t>
      </w:r>
      <w:r w:rsidR="006337C9" w:rsidRPr="006337C9">
        <w:t xml:space="preserve">the temporary holding facility DZ-D/7 in Dashoguz </w:t>
      </w:r>
      <w:r w:rsidR="0003797F">
        <w:t xml:space="preserve">and that on 28 August 2011, he was transferred to the LBK-12 prison located near the town of Seydi. Immediately after his </w:t>
      </w:r>
      <w:r w:rsidR="0003797F">
        <w:lastRenderedPageBreak/>
        <w:t>transfer to the LBK-12 prison he was put in quarantine for 10 days.</w:t>
      </w:r>
      <w:r w:rsidR="00462F7C">
        <w:t xml:space="preserve"> </w:t>
      </w:r>
      <w:r w:rsidR="00BF2EB6">
        <w:rPr>
          <w:lang w:val="en-US"/>
        </w:rPr>
        <w:t xml:space="preserve">The author </w:t>
      </w:r>
      <w:r w:rsidR="00E65EAD" w:rsidRPr="00E65EAD">
        <w:t>state</w:t>
      </w:r>
      <w:r w:rsidR="00E65EAD">
        <w:t>s</w:t>
      </w:r>
      <w:r w:rsidR="00E65EAD" w:rsidRPr="00E65EAD">
        <w:t xml:space="preserve"> that </w:t>
      </w:r>
      <w:r w:rsidR="00BF2EB6">
        <w:t xml:space="preserve">he </w:t>
      </w:r>
      <w:r w:rsidR="00A04101">
        <w:t>was</w:t>
      </w:r>
      <w:r w:rsidR="00E65EAD" w:rsidRPr="00E65EAD">
        <w:t xml:space="preserve"> subjected to torture </w:t>
      </w:r>
      <w:r w:rsidR="00AC658F">
        <w:t>an</w:t>
      </w:r>
      <w:r w:rsidR="00A04101">
        <w:t>d</w:t>
      </w:r>
      <w:r w:rsidR="00AC658F">
        <w:t xml:space="preserve"> ill</w:t>
      </w:r>
      <w:r w:rsidR="00A04101">
        <w:t>-</w:t>
      </w:r>
      <w:r w:rsidR="00AC658F">
        <w:t xml:space="preserve">treatment while detained. </w:t>
      </w:r>
    </w:p>
    <w:p w14:paraId="696F3833" w14:textId="77777777" w:rsidR="007A5396" w:rsidRDefault="00CB67A7" w:rsidP="00656287">
      <w:pPr>
        <w:pStyle w:val="SingleTxtG"/>
        <w:spacing w:line="240" w:lineRule="auto"/>
      </w:pPr>
      <w:r>
        <w:t>2.</w:t>
      </w:r>
      <w:r w:rsidR="00AA77D8">
        <w:t>5</w:t>
      </w:r>
      <w:r w:rsidR="003B7DD4">
        <w:tab/>
        <w:t>The author alleges that he has exhausted all available domestic remedies</w:t>
      </w:r>
      <w:r w:rsidR="00361A7A">
        <w:t xml:space="preserve"> concerning his claim under article 18 (1) of the Covenant</w:t>
      </w:r>
      <w:r w:rsidR="003B7DD4">
        <w:t>, as the State party’s judicial authorities, including trial courts, appeal courts and the Supreme Court, have never ruled in favour of conscientious objectors to military service.</w:t>
      </w:r>
      <w:r w:rsidR="00462F7C">
        <w:t xml:space="preserve"> </w:t>
      </w:r>
      <w:r w:rsidR="00094AA5">
        <w:t xml:space="preserve">Since the justice system is perceived </w:t>
      </w:r>
      <w:r w:rsidR="00A04101">
        <w:t xml:space="preserve">to be </w:t>
      </w:r>
      <w:r w:rsidR="00094AA5">
        <w:t>ineffective and lacks independence, the author believe</w:t>
      </w:r>
      <w:r w:rsidR="00A04101">
        <w:t>s</w:t>
      </w:r>
      <w:r w:rsidR="00094AA5">
        <w:t xml:space="preserve"> that filing an appellate complaint would be futile and totally ineffective in his case.</w:t>
      </w:r>
      <w:r w:rsidR="00094AA5" w:rsidRPr="0021464B">
        <w:rPr>
          <w:rStyle w:val="FootnoteReference"/>
        </w:rPr>
        <w:footnoteReference w:id="7"/>
      </w:r>
    </w:p>
    <w:p w14:paraId="6ACBF4DC" w14:textId="77777777" w:rsidR="00361A7A" w:rsidRPr="009F6F75" w:rsidRDefault="00F54212" w:rsidP="00656287">
      <w:pPr>
        <w:pStyle w:val="SingleTxtG"/>
        <w:spacing w:line="240" w:lineRule="auto"/>
      </w:pPr>
      <w:r>
        <w:t>2.6</w:t>
      </w:r>
      <w:r>
        <w:tab/>
        <w:t>Regarding the</w:t>
      </w:r>
      <w:r w:rsidR="00361A7A">
        <w:t xml:space="preserve"> claims under article 7 of the Covenant, </w:t>
      </w:r>
      <w:r>
        <w:t>the author state</w:t>
      </w:r>
      <w:r w:rsidR="003538C1">
        <w:t xml:space="preserve">s that there were no effective domestic remedies available </w:t>
      </w:r>
      <w:r>
        <w:t>to him. He quotes the concluding observations of the Committee against Torture concerning the State party</w:t>
      </w:r>
      <w:r w:rsidR="009F6F75">
        <w:t>,</w:t>
      </w:r>
      <w:r w:rsidR="00A04101">
        <w:t xml:space="preserve"> </w:t>
      </w:r>
      <w:r>
        <w:t xml:space="preserve">in which the Committee noted the lack of an independent and effective complaint mechanism for receiving and conducting impartial and comprehensive investigations regarding allegations of torture and ill treatment, in particular </w:t>
      </w:r>
      <w:r w:rsidR="005621EC">
        <w:t xml:space="preserve">those made </w:t>
      </w:r>
      <w:r>
        <w:t>by prisoners and pre</w:t>
      </w:r>
      <w:r w:rsidR="005621EC">
        <w:t>-</w:t>
      </w:r>
      <w:r w:rsidR="00A04101">
        <w:t xml:space="preserve">trial </w:t>
      </w:r>
      <w:r>
        <w:t>detainees</w:t>
      </w:r>
      <w:r w:rsidRPr="007E4354">
        <w:t>.</w:t>
      </w:r>
      <w:r w:rsidRPr="009F6F75">
        <w:rPr>
          <w:rStyle w:val="FootnoteReference"/>
        </w:rPr>
        <w:footnoteReference w:id="8"/>
      </w:r>
      <w:r w:rsidRPr="009F6F75">
        <w:t xml:space="preserve"> </w:t>
      </w:r>
    </w:p>
    <w:p w14:paraId="2D7D9130" w14:textId="77777777" w:rsidR="003521FD" w:rsidRPr="00A36331" w:rsidRDefault="003521FD" w:rsidP="006358CB">
      <w:pPr>
        <w:pStyle w:val="H23G"/>
        <w:spacing w:line="240" w:lineRule="auto"/>
      </w:pPr>
      <w:r w:rsidRPr="00A36331">
        <w:tab/>
      </w:r>
      <w:r w:rsidRPr="00A36331">
        <w:tab/>
        <w:t>The complaint</w:t>
      </w:r>
    </w:p>
    <w:p w14:paraId="45379C41" w14:textId="77777777" w:rsidR="00060948" w:rsidRDefault="003521FD" w:rsidP="00060948">
      <w:pPr>
        <w:pStyle w:val="SingleTxtG"/>
        <w:spacing w:line="240" w:lineRule="auto"/>
      </w:pPr>
      <w:r w:rsidRPr="00A36331">
        <w:t>3.1</w:t>
      </w:r>
      <w:r w:rsidRPr="00A36331">
        <w:tab/>
      </w:r>
      <w:r w:rsidR="000A2910">
        <w:t>The author</w:t>
      </w:r>
      <w:r w:rsidR="006F53C9" w:rsidRPr="006F53C9">
        <w:t xml:space="preserve"> </w:t>
      </w:r>
      <w:r w:rsidR="00094AA5">
        <w:t xml:space="preserve">claims </w:t>
      </w:r>
      <w:r w:rsidR="00060948" w:rsidRPr="00060948">
        <w:t>that his imprisonment on account of his religious beliefs in itself constitute</w:t>
      </w:r>
      <w:r w:rsidR="009F6F75">
        <w:t>s</w:t>
      </w:r>
      <w:r w:rsidR="00060948" w:rsidRPr="00060948">
        <w:t xml:space="preserve"> inhuman or degrading treatment within the meaning of article 7 of the Covenant. </w:t>
      </w:r>
    </w:p>
    <w:p w14:paraId="01723DD6" w14:textId="77777777" w:rsidR="008C7327" w:rsidRPr="008C7327" w:rsidRDefault="00060948" w:rsidP="008C7327">
      <w:pPr>
        <w:pStyle w:val="SingleTxtG"/>
        <w:spacing w:line="240" w:lineRule="auto"/>
      </w:pPr>
      <w:r>
        <w:t>3.2</w:t>
      </w:r>
      <w:r>
        <w:tab/>
      </w:r>
      <w:r w:rsidR="00D2607B" w:rsidRPr="00D2607B">
        <w:t xml:space="preserve">The author further claims a violation of article 7 of the Covenant on account of </w:t>
      </w:r>
      <w:r w:rsidR="006E08D3">
        <w:t xml:space="preserve">the treatment he received </w:t>
      </w:r>
      <w:r w:rsidR="00D2607B" w:rsidRPr="00D2607B">
        <w:t>while in detention</w:t>
      </w:r>
      <w:r w:rsidR="009F6F75">
        <w:t>,</w:t>
      </w:r>
      <w:r w:rsidR="00D2607B" w:rsidRPr="00D2607B">
        <w:t xml:space="preserve"> </w:t>
      </w:r>
      <w:r w:rsidR="006E08D3">
        <w:t xml:space="preserve">which </w:t>
      </w:r>
      <w:r w:rsidR="00FF66EF">
        <w:t>amounted to torture and</w:t>
      </w:r>
      <w:r w:rsidR="006E08D3">
        <w:t xml:space="preserve"> ill</w:t>
      </w:r>
      <w:r w:rsidR="009F6F75">
        <w:t>-</w:t>
      </w:r>
      <w:r w:rsidR="006E08D3">
        <w:t>treatment</w:t>
      </w:r>
      <w:r w:rsidR="009F6F75">
        <w:t>,</w:t>
      </w:r>
      <w:r w:rsidR="00FF66EF" w:rsidRPr="0021464B">
        <w:rPr>
          <w:rStyle w:val="FootnoteReference"/>
        </w:rPr>
        <w:footnoteReference w:id="9"/>
      </w:r>
      <w:r w:rsidR="006E08D3">
        <w:t xml:space="preserve"> </w:t>
      </w:r>
      <w:r w:rsidR="00D2607B" w:rsidRPr="00D2607B">
        <w:t>and of the conditions of imprisonment at the LBK-12 prison.</w:t>
      </w:r>
      <w:r w:rsidR="008C7327">
        <w:t xml:space="preserve"> He refers to the </w:t>
      </w:r>
      <w:r w:rsidR="009F6F75">
        <w:t xml:space="preserve">concluding observations of the </w:t>
      </w:r>
      <w:r w:rsidR="008C7327">
        <w:t xml:space="preserve">Committee against Torture </w:t>
      </w:r>
      <w:r w:rsidR="009F6F75">
        <w:t xml:space="preserve">cited </w:t>
      </w:r>
      <w:r w:rsidR="008C7327">
        <w:t xml:space="preserve">above, in which the Committee expressed concern regarding </w:t>
      </w:r>
      <w:r w:rsidR="008C7327" w:rsidRPr="008C7327">
        <w:t>ongoing physical abuse and psychological pressures by prison staff</w:t>
      </w:r>
      <w:r w:rsidR="00FA32A7">
        <w:t xml:space="preserve"> in Turkmenistan</w:t>
      </w:r>
      <w:r w:rsidR="008C7327" w:rsidRPr="008C7327">
        <w:t>, including collective punishment, ill-treatment as a “preventive” measure, the use of solitary confinement, and sexual violence and rape by prison officers or inmate</w:t>
      </w:r>
      <w:r w:rsidR="008C7327">
        <w:t>s.</w:t>
      </w:r>
      <w:r w:rsidR="008C7327" w:rsidRPr="007E4354">
        <w:rPr>
          <w:rStyle w:val="FootnoteReference"/>
        </w:rPr>
        <w:footnoteReference w:id="10"/>
      </w:r>
      <w:r w:rsidR="008C7327">
        <w:t xml:space="preserve"> The author further refers to </w:t>
      </w:r>
      <w:r w:rsidR="008C7327" w:rsidRPr="008C7327">
        <w:t xml:space="preserve">the report of the Turkmenistan Independent Lawyers Association of February 2010, </w:t>
      </w:r>
      <w:r w:rsidR="009F6F75">
        <w:t>which</w:t>
      </w:r>
      <w:r w:rsidR="008C7327" w:rsidRPr="008C7327">
        <w:t xml:space="preserve"> note</w:t>
      </w:r>
      <w:r w:rsidR="009F6F75">
        <w:t>s</w:t>
      </w:r>
      <w:r w:rsidR="008C7327" w:rsidRPr="008C7327">
        <w:t xml:space="preserve"> that the LBK-12 prison is </w:t>
      </w:r>
      <w:r w:rsidR="009F6F75">
        <w:t>located</w:t>
      </w:r>
      <w:r w:rsidR="009F6F75" w:rsidRPr="008C7327">
        <w:t xml:space="preserve"> </w:t>
      </w:r>
      <w:r w:rsidR="008C7327" w:rsidRPr="008C7327">
        <w:t xml:space="preserve">in a desert </w:t>
      </w:r>
      <w:r w:rsidR="009F6F75">
        <w:t>where</w:t>
      </w:r>
      <w:r w:rsidR="009F6F75" w:rsidRPr="008C7327">
        <w:t xml:space="preserve"> </w:t>
      </w:r>
      <w:r w:rsidR="009F6F75">
        <w:t xml:space="preserve">temperatures can </w:t>
      </w:r>
      <w:r w:rsidR="008C7327" w:rsidRPr="008C7327">
        <w:t xml:space="preserve">reach </w:t>
      </w:r>
      <w:r w:rsidR="009F6F75">
        <w:t>-</w:t>
      </w:r>
      <w:r w:rsidR="008C7327" w:rsidRPr="008C7327">
        <w:t>20</w:t>
      </w:r>
      <w:r w:rsidR="009F6F75">
        <w:t>°</w:t>
      </w:r>
      <w:r w:rsidR="008C7327" w:rsidRPr="008C7327">
        <w:t xml:space="preserve"> Celsius </w:t>
      </w:r>
      <w:r w:rsidR="009F6F75">
        <w:t xml:space="preserve">in winter </w:t>
      </w:r>
      <w:r w:rsidR="008C7327" w:rsidRPr="008C7327">
        <w:t xml:space="preserve">and </w:t>
      </w:r>
      <w:r w:rsidR="009F6F75" w:rsidRPr="008C7327">
        <w:t>50</w:t>
      </w:r>
      <w:r w:rsidR="009F6F75">
        <w:t>°</w:t>
      </w:r>
      <w:r w:rsidR="009F6F75" w:rsidRPr="008C7327">
        <w:t xml:space="preserve"> </w:t>
      </w:r>
      <w:r w:rsidR="008C7327" w:rsidRPr="008C7327">
        <w:t>in summer. The prison is overcrowded and prisoners infected with tuberculosis and skin diseases are kept together with healthy inmates.</w:t>
      </w:r>
      <w:r w:rsidR="00665963" w:rsidRPr="0021464B">
        <w:rPr>
          <w:rStyle w:val="FootnoteReference"/>
        </w:rPr>
        <w:footnoteReference w:id="11"/>
      </w:r>
      <w:r w:rsidR="008C7327" w:rsidRPr="008C7327">
        <w:t xml:space="preserve"> Although the author does not invoke it specifically, the communication also appears to raise issues under article 10 of the Covenant.</w:t>
      </w:r>
    </w:p>
    <w:p w14:paraId="16BAF484" w14:textId="77777777" w:rsidR="00685D06" w:rsidRDefault="00A20AE0" w:rsidP="00685D06">
      <w:pPr>
        <w:pStyle w:val="SingleTxtG"/>
        <w:spacing w:line="240" w:lineRule="auto"/>
      </w:pPr>
      <w:r>
        <w:t>3.3</w:t>
      </w:r>
      <w:r>
        <w:tab/>
      </w:r>
      <w:r w:rsidR="00685D06">
        <w:t>The author also claims that his</w:t>
      </w:r>
      <w:r w:rsidR="00685D06" w:rsidRPr="00685D06">
        <w:t xml:space="preserve"> prosecution, conviction and imprisonment for refusing to perform compulsory military service </w:t>
      </w:r>
      <w:r w:rsidR="009F6F75">
        <w:t>because of</w:t>
      </w:r>
      <w:r w:rsidR="00685D06" w:rsidRPr="00685D06">
        <w:t xml:space="preserve"> his religious beliefs and conscientious objection have violated his rights under article 18</w:t>
      </w:r>
      <w:r w:rsidR="009F6F75">
        <w:t xml:space="preserve"> (</w:t>
      </w:r>
      <w:r w:rsidR="00685D06" w:rsidRPr="00685D06">
        <w:t>1</w:t>
      </w:r>
      <w:r w:rsidR="009F6F75">
        <w:t>)</w:t>
      </w:r>
      <w:r w:rsidR="00685D06" w:rsidRPr="00685D06">
        <w:t xml:space="preserve"> of the Covenant.</w:t>
      </w:r>
      <w:r w:rsidR="00685D06" w:rsidRPr="0021464B">
        <w:rPr>
          <w:rStyle w:val="FootnoteReference"/>
        </w:rPr>
        <w:footnoteReference w:id="12"/>
      </w:r>
      <w:r w:rsidR="00685D06" w:rsidRPr="00685D06">
        <w:t xml:space="preserve"> He notes that he repeatedly informed the Turkmen authorities that he was willing to fulfil his civic duties by performing genuine alternative service; however</w:t>
      </w:r>
      <w:r w:rsidR="009F6F75">
        <w:t>,</w:t>
      </w:r>
      <w:r w:rsidR="00685D06" w:rsidRPr="00685D06">
        <w:t xml:space="preserve"> the State party’s legislation does not provide for the possibility </w:t>
      </w:r>
      <w:r w:rsidR="009F6F75">
        <w:t>of</w:t>
      </w:r>
      <w:r w:rsidR="009F6F75" w:rsidRPr="00685D06">
        <w:t xml:space="preserve"> </w:t>
      </w:r>
      <w:r w:rsidR="00685D06" w:rsidRPr="00685D06">
        <w:t>perform</w:t>
      </w:r>
      <w:r w:rsidR="009F6F75">
        <w:t>ing</w:t>
      </w:r>
      <w:r w:rsidR="00685D06" w:rsidRPr="00685D06">
        <w:t xml:space="preserve"> any alternative service.</w:t>
      </w:r>
    </w:p>
    <w:p w14:paraId="1D432128" w14:textId="77777777" w:rsidR="00602F70" w:rsidRDefault="00685D06" w:rsidP="00A62065">
      <w:pPr>
        <w:pStyle w:val="SingleTxtG"/>
        <w:spacing w:line="240" w:lineRule="auto"/>
      </w:pPr>
      <w:r>
        <w:t>3.4</w:t>
      </w:r>
      <w:r>
        <w:tab/>
      </w:r>
      <w:r w:rsidR="00911DE5" w:rsidRPr="00911DE5">
        <w:t>The author requests the Committee to direct the State party (a) to acquit him of the charges under article 219 (1) of the Criminal Code and to expunge his criminal record; (b) to provide him with appropriate compensation for the non-pecuniary damages suffered as a result of his conviction and imprisonment</w:t>
      </w:r>
      <w:r w:rsidR="009F6F75">
        <w:t>;</w:t>
      </w:r>
      <w:r w:rsidR="00911DE5" w:rsidRPr="00911DE5">
        <w:t xml:space="preserve"> and (c) to provide him with appropriate monetary compensation for his legal expenses.</w:t>
      </w:r>
    </w:p>
    <w:p w14:paraId="335BB929" w14:textId="77777777" w:rsidR="003521FD" w:rsidRPr="00A36331" w:rsidRDefault="003521FD" w:rsidP="006358CB">
      <w:pPr>
        <w:pStyle w:val="H23G"/>
        <w:spacing w:line="240" w:lineRule="auto"/>
      </w:pPr>
      <w:r w:rsidRPr="00A36331">
        <w:lastRenderedPageBreak/>
        <w:tab/>
      </w:r>
      <w:r w:rsidRPr="00A36331">
        <w:tab/>
        <w:t xml:space="preserve">State party’s observations on admissibility and </w:t>
      </w:r>
      <w:r w:rsidR="003F2D6A">
        <w:t xml:space="preserve">the </w:t>
      </w:r>
      <w:r w:rsidRPr="00A36331">
        <w:t>merits</w:t>
      </w:r>
    </w:p>
    <w:p w14:paraId="60DB2FE0" w14:textId="77777777" w:rsidR="007A6029" w:rsidRDefault="00330053" w:rsidP="00F617E1">
      <w:pPr>
        <w:pStyle w:val="SingleTxtG"/>
        <w:spacing w:line="240" w:lineRule="auto"/>
      </w:pPr>
      <w:r>
        <w:t>4.</w:t>
      </w:r>
      <w:r w:rsidR="003521FD" w:rsidRPr="00A36331">
        <w:tab/>
      </w:r>
      <w:r w:rsidR="000931D3">
        <w:t>On</w:t>
      </w:r>
      <w:r w:rsidR="003521FD" w:rsidRPr="00A36331">
        <w:t xml:space="preserve"> </w:t>
      </w:r>
      <w:r w:rsidR="00425C22">
        <w:t>17</w:t>
      </w:r>
      <w:r w:rsidR="000931D3">
        <w:t xml:space="preserve"> </w:t>
      </w:r>
      <w:r w:rsidR="00373E44">
        <w:t xml:space="preserve">March </w:t>
      </w:r>
      <w:r w:rsidR="000931D3">
        <w:t>2014</w:t>
      </w:r>
      <w:r w:rsidR="003521FD" w:rsidRPr="00A36331">
        <w:t xml:space="preserve">, the State party submitted </w:t>
      </w:r>
      <w:r w:rsidR="009F6F75">
        <w:t xml:space="preserve">a note verbale containing </w:t>
      </w:r>
      <w:r w:rsidR="003521FD">
        <w:t xml:space="preserve">its observations on </w:t>
      </w:r>
      <w:r w:rsidR="000931D3">
        <w:t xml:space="preserve">the </w:t>
      </w:r>
      <w:r w:rsidR="003521FD">
        <w:t>admissibility</w:t>
      </w:r>
      <w:r w:rsidR="000931D3">
        <w:t xml:space="preserve"> </w:t>
      </w:r>
      <w:r w:rsidR="00EC53FB">
        <w:t xml:space="preserve">and merits </w:t>
      </w:r>
      <w:r w:rsidR="000931D3">
        <w:t>of the communication</w:t>
      </w:r>
      <w:r w:rsidR="003521FD">
        <w:t>.</w:t>
      </w:r>
      <w:r w:rsidR="000931D3">
        <w:t xml:space="preserve"> </w:t>
      </w:r>
      <w:r w:rsidR="0011544F">
        <w:t>T</w:t>
      </w:r>
      <w:r w:rsidR="0011544F" w:rsidRPr="0011544F">
        <w:t xml:space="preserve">he State party </w:t>
      </w:r>
      <w:r w:rsidR="009F6F75">
        <w:t>reports</w:t>
      </w:r>
      <w:r w:rsidR="009F6F75" w:rsidRPr="0011544F">
        <w:t xml:space="preserve"> </w:t>
      </w:r>
      <w:r w:rsidR="0011544F" w:rsidRPr="0011544F">
        <w:t>that</w:t>
      </w:r>
      <w:r w:rsidR="009F6F75">
        <w:t>,</w:t>
      </w:r>
      <w:r w:rsidR="0011544F" w:rsidRPr="0011544F">
        <w:t xml:space="preserve"> among othe</w:t>
      </w:r>
      <w:r w:rsidR="001A2983">
        <w:t>r</w:t>
      </w:r>
      <w:r w:rsidR="009F6F75">
        <w:t xml:space="preserve"> things</w:t>
      </w:r>
      <w:r w:rsidR="001A2983">
        <w:t xml:space="preserve">, the author’s case </w:t>
      </w:r>
      <w:r w:rsidR="009F6F75">
        <w:t>was</w:t>
      </w:r>
      <w:r w:rsidR="001A2983">
        <w:t xml:space="preserve"> </w:t>
      </w:r>
      <w:r w:rsidR="0011544F" w:rsidRPr="0011544F">
        <w:t>carefully considered by the relevant law enforcement bodies of Turkmenistan and no reason had been found to appeal the court</w:t>
      </w:r>
      <w:r w:rsidR="006075B8">
        <w:t>’s</w:t>
      </w:r>
      <w:r w:rsidR="0011544F" w:rsidRPr="0011544F">
        <w:t xml:space="preserve"> decision. According to the State party, the criminal offen</w:t>
      </w:r>
      <w:r w:rsidR="001A2983">
        <w:t>ce committed by the author was “</w:t>
      </w:r>
      <w:r w:rsidR="0011544F" w:rsidRPr="0011544F">
        <w:t>determined accurately according to the Criminal Code of Turkmenistan</w:t>
      </w:r>
      <w:r w:rsidR="001A2983">
        <w:t>”</w:t>
      </w:r>
      <w:r w:rsidR="0011544F" w:rsidRPr="0011544F">
        <w:t>. It further note</w:t>
      </w:r>
      <w:r w:rsidR="009F6F75">
        <w:t>s</w:t>
      </w:r>
      <w:r w:rsidR="0011544F" w:rsidRPr="0011544F">
        <w:t xml:space="preserve"> that according to a</w:t>
      </w:r>
      <w:r w:rsidR="001A2983">
        <w:t>rticle 41 of the Constitution, “</w:t>
      </w:r>
      <w:r w:rsidR="0011544F" w:rsidRPr="0011544F">
        <w:t>protection of Turkmenistan is t</w:t>
      </w:r>
      <w:r w:rsidR="001A2983">
        <w:t>he sacred duty of every citizen”</w:t>
      </w:r>
      <w:r w:rsidR="0011544F" w:rsidRPr="0011544F">
        <w:t xml:space="preserve"> and that general conscription is compulsory for male citizens of Turkmenistan. In addition, the author </w:t>
      </w:r>
      <w:r w:rsidR="001A2983">
        <w:t>“</w:t>
      </w:r>
      <w:r w:rsidR="0011544F" w:rsidRPr="0011544F">
        <w:t>did not meet the criteria of persons to be exempted from military service as provided for under article 18 of the Law on Military Duty and Military Service</w:t>
      </w:r>
      <w:r w:rsidR="001A2983">
        <w:t>”</w:t>
      </w:r>
      <w:r w:rsidR="0011544F" w:rsidRPr="0011544F">
        <w:t>.</w:t>
      </w:r>
    </w:p>
    <w:p w14:paraId="53C87BA1" w14:textId="77777777" w:rsidR="003521FD" w:rsidRPr="00A36331" w:rsidRDefault="003521FD" w:rsidP="006358CB">
      <w:pPr>
        <w:pStyle w:val="H23G"/>
        <w:spacing w:line="240" w:lineRule="auto"/>
      </w:pPr>
      <w:r>
        <w:tab/>
      </w:r>
      <w:r>
        <w:tab/>
      </w:r>
      <w:r w:rsidRPr="00A36331">
        <w:t>Author’s comments on the State party’s observations</w:t>
      </w:r>
    </w:p>
    <w:p w14:paraId="4D3BAA27" w14:textId="77777777" w:rsidR="003175C8" w:rsidRDefault="00C764DF" w:rsidP="003175C8">
      <w:pPr>
        <w:pStyle w:val="SingleTxtG"/>
        <w:spacing w:line="240" w:lineRule="auto"/>
      </w:pPr>
      <w:r>
        <w:t>5.1</w:t>
      </w:r>
      <w:r>
        <w:tab/>
      </w:r>
      <w:r w:rsidR="00322809">
        <w:t xml:space="preserve">On </w:t>
      </w:r>
      <w:r w:rsidR="00F617E1">
        <w:t xml:space="preserve">14 May </w:t>
      </w:r>
      <w:r w:rsidR="00322809">
        <w:t xml:space="preserve">2014, </w:t>
      </w:r>
      <w:r w:rsidR="003521FD" w:rsidRPr="00A36331">
        <w:t xml:space="preserve">the author </w:t>
      </w:r>
      <w:r w:rsidR="003521FD">
        <w:t>submitted h</w:t>
      </w:r>
      <w:r w:rsidR="005E014B">
        <w:t>is</w:t>
      </w:r>
      <w:r w:rsidR="003521FD">
        <w:t xml:space="preserve"> comments on the State party’</w:t>
      </w:r>
      <w:r w:rsidR="00D336E4">
        <w:t>s observations</w:t>
      </w:r>
      <w:r w:rsidR="00D44383">
        <w:t xml:space="preserve">. </w:t>
      </w:r>
      <w:r w:rsidR="000D6110">
        <w:t xml:space="preserve">The author </w:t>
      </w:r>
      <w:r w:rsidR="006A2ABA">
        <w:t xml:space="preserve">notes </w:t>
      </w:r>
      <w:r w:rsidR="000D6110">
        <w:t>that</w:t>
      </w:r>
      <w:r w:rsidR="00D24D12">
        <w:t xml:space="preserve"> </w:t>
      </w:r>
      <w:r w:rsidR="003175C8" w:rsidRPr="003175C8">
        <w:t xml:space="preserve">the State party in its submission on the admissibility and merits does not disagree with any facts set out in the communication. The only attempted justification </w:t>
      </w:r>
      <w:r w:rsidR="009F6F75">
        <w:t>provided</w:t>
      </w:r>
      <w:r w:rsidR="009F6F75" w:rsidRPr="003175C8">
        <w:t xml:space="preserve"> </w:t>
      </w:r>
      <w:r w:rsidR="003175C8" w:rsidRPr="003175C8">
        <w:t xml:space="preserve">by the State party is its assertion that the author was convicted and imprisoned as </w:t>
      </w:r>
      <w:r w:rsidR="009F6F75">
        <w:t xml:space="preserve">a </w:t>
      </w:r>
      <w:r w:rsidR="003175C8" w:rsidRPr="003175C8">
        <w:t xml:space="preserve">conscientious objector to military service because he </w:t>
      </w:r>
      <w:r w:rsidR="003175C8">
        <w:t>“</w:t>
      </w:r>
      <w:r w:rsidR="003175C8" w:rsidRPr="003175C8">
        <w:t>did not qualify</w:t>
      </w:r>
      <w:r w:rsidR="003175C8">
        <w:t>”</w:t>
      </w:r>
      <w:r w:rsidR="003175C8" w:rsidRPr="003175C8">
        <w:t xml:space="preserve"> for an exemption from military service under article 18 of the Law on Military Duty and Military Service. According to the author, the State party’s submission shows total disregard for its commitments under article 18 of the Covenant and the Committee’s jurisprudence, which upholds the right to conscientious objection to military service. Furthermore, the State party does not contest the author’s allegations that he has suffered inhuman and degrading treatment at the hands of law enforcement officers and prison officers, contrary to article 7 of the Covenant.</w:t>
      </w:r>
    </w:p>
    <w:p w14:paraId="04FB6BC5" w14:textId="77777777" w:rsidR="003175C8" w:rsidRDefault="003175C8" w:rsidP="003175C8">
      <w:pPr>
        <w:pStyle w:val="SingleTxtG"/>
        <w:spacing w:line="240" w:lineRule="auto"/>
      </w:pPr>
      <w:r>
        <w:t>5.2</w:t>
      </w:r>
      <w:r>
        <w:tab/>
        <w:t>The author concludes that his prosecution, conviction and imprisonment violated his rights under articles 7 and 18</w:t>
      </w:r>
      <w:r w:rsidR="003069FF">
        <w:t xml:space="preserve"> </w:t>
      </w:r>
      <w:r>
        <w:t xml:space="preserve">(1) of the Covenant. He reiterates </w:t>
      </w:r>
      <w:r w:rsidR="006A2ABA">
        <w:t xml:space="preserve">his </w:t>
      </w:r>
      <w:r w:rsidR="006A2ABA" w:rsidRPr="00A4654A">
        <w:t>request</w:t>
      </w:r>
      <w:r w:rsidR="006A2ABA">
        <w:t xml:space="preserve"> for remedies to be provided by the State party </w:t>
      </w:r>
      <w:r>
        <w:t>(see para. 3.4)</w:t>
      </w:r>
      <w:r w:rsidR="006A2ABA">
        <w:t>.</w:t>
      </w:r>
    </w:p>
    <w:p w14:paraId="3C6210A0" w14:textId="77777777" w:rsidR="00D53EA4" w:rsidRDefault="003175C8" w:rsidP="00424792">
      <w:pPr>
        <w:pStyle w:val="SingleTxtG"/>
        <w:spacing w:line="240" w:lineRule="auto"/>
      </w:pPr>
      <w:r>
        <w:t>5.3</w:t>
      </w:r>
      <w:r>
        <w:tab/>
        <w:t>On 22 October 2014,</w:t>
      </w:r>
      <w:r w:rsidR="0017783F" w:rsidRPr="0021464B">
        <w:rPr>
          <w:rStyle w:val="FootnoteReference"/>
        </w:rPr>
        <w:footnoteReference w:id="13"/>
      </w:r>
      <w:r>
        <w:t xml:space="preserve"> the author added that he was released on 9 August 2013</w:t>
      </w:r>
      <w:r w:rsidR="00F3019B">
        <w:t xml:space="preserve"> after serving his prison term</w:t>
      </w:r>
      <w:r>
        <w:t xml:space="preserve">. </w:t>
      </w:r>
      <w:r w:rsidRPr="003175C8">
        <w:t xml:space="preserve">He </w:t>
      </w:r>
      <w:r>
        <w:t xml:space="preserve">provided </w:t>
      </w:r>
      <w:r w:rsidR="00F3019B">
        <w:t xml:space="preserve">the Committee with </w:t>
      </w:r>
      <w:r>
        <w:t xml:space="preserve">a signed statement </w:t>
      </w:r>
      <w:r w:rsidR="00F3019B">
        <w:t xml:space="preserve">reiterating the facts of his case and adding </w:t>
      </w:r>
      <w:r w:rsidRPr="003175C8">
        <w:t>that</w:t>
      </w:r>
      <w:r w:rsidR="00F3019B">
        <w:t xml:space="preserve"> on 28 August 201</w:t>
      </w:r>
      <w:r w:rsidR="002022A4">
        <w:t>1</w:t>
      </w:r>
      <w:r w:rsidR="00F3019B">
        <w:t>, he was transferred to LBK-12 prison in Seydi from the temporary holding facility DZ-D/7 in Dashoguz, where he spent 18 days.</w:t>
      </w:r>
      <w:r w:rsidR="00462F7C">
        <w:t xml:space="preserve"> </w:t>
      </w:r>
      <w:r w:rsidR="00D63EED">
        <w:t>He stated</w:t>
      </w:r>
      <w:r w:rsidR="00F3019B">
        <w:t xml:space="preserve"> that he was placed in </w:t>
      </w:r>
      <w:r w:rsidR="0017774C">
        <w:t xml:space="preserve">an isolation cell </w:t>
      </w:r>
      <w:r w:rsidR="00D63EED">
        <w:t xml:space="preserve">for </w:t>
      </w:r>
      <w:r w:rsidR="003069FF">
        <w:t xml:space="preserve">10 </w:t>
      </w:r>
      <w:r w:rsidR="00D63EED">
        <w:t>da</w:t>
      </w:r>
      <w:r w:rsidR="00F3019B">
        <w:t>y</w:t>
      </w:r>
      <w:r w:rsidR="00D63EED">
        <w:t>s</w:t>
      </w:r>
      <w:r w:rsidR="00F3019B">
        <w:t xml:space="preserve"> upon arrival </w:t>
      </w:r>
      <w:r w:rsidR="003069FF">
        <w:t xml:space="preserve">at </w:t>
      </w:r>
      <w:r w:rsidR="00F3019B">
        <w:t xml:space="preserve">the LBK-12 prison. </w:t>
      </w:r>
      <w:r w:rsidR="003069FF">
        <w:t>I</w:t>
      </w:r>
      <w:r w:rsidRPr="003175C8">
        <w:t xml:space="preserve">n September 2011, the director of the </w:t>
      </w:r>
      <w:r w:rsidR="00427B04">
        <w:t>prisons’ working facilities for detainees</w:t>
      </w:r>
      <w:r w:rsidRPr="003175C8">
        <w:t>, Major R.B.,</w:t>
      </w:r>
      <w:r w:rsidRPr="0021464B">
        <w:rPr>
          <w:rStyle w:val="FootnoteReference"/>
        </w:rPr>
        <w:footnoteReference w:id="14"/>
      </w:r>
      <w:r w:rsidRPr="003175C8">
        <w:t xml:space="preserve"> kicked him in the chest, </w:t>
      </w:r>
      <w:r w:rsidR="00107C28">
        <w:t>slapped him several times</w:t>
      </w:r>
      <w:r w:rsidRPr="003175C8">
        <w:t xml:space="preserve"> and used his palms to hit him in the area </w:t>
      </w:r>
      <w:r w:rsidR="003069FF">
        <w:t>around</w:t>
      </w:r>
      <w:r w:rsidR="003069FF" w:rsidRPr="003175C8">
        <w:t xml:space="preserve"> </w:t>
      </w:r>
      <w:r w:rsidRPr="003175C8">
        <w:t>his ears. The author state</w:t>
      </w:r>
      <w:r w:rsidR="00322708">
        <w:t>d</w:t>
      </w:r>
      <w:r w:rsidRPr="003175C8">
        <w:t xml:space="preserve"> that his left ear hurt for </w:t>
      </w:r>
      <w:r w:rsidR="003069FF">
        <w:t>a</w:t>
      </w:r>
      <w:r w:rsidR="003069FF" w:rsidRPr="003175C8">
        <w:t xml:space="preserve"> </w:t>
      </w:r>
      <w:r w:rsidRPr="003175C8">
        <w:t>month after</w:t>
      </w:r>
      <w:r w:rsidR="003069FF">
        <w:t>wards</w:t>
      </w:r>
      <w:r w:rsidRPr="003175C8">
        <w:t xml:space="preserve">. </w:t>
      </w:r>
      <w:r w:rsidR="00D63EED">
        <w:t>The author further claimed</w:t>
      </w:r>
      <w:r w:rsidRPr="003175C8">
        <w:t xml:space="preserve"> that Major R.B. used to hit him with a wire on his back and that on a different occasion, he hit him from morning until lunch</w:t>
      </w:r>
      <w:r w:rsidR="003069FF">
        <w:t>time</w:t>
      </w:r>
      <w:r w:rsidRPr="003175C8">
        <w:t>.</w:t>
      </w:r>
      <w:r w:rsidRPr="0021464B">
        <w:rPr>
          <w:rStyle w:val="FootnoteReference"/>
        </w:rPr>
        <w:footnoteReference w:id="15"/>
      </w:r>
      <w:r w:rsidRPr="003175C8">
        <w:t xml:space="preserve"> </w:t>
      </w:r>
      <w:r w:rsidR="00D63EED">
        <w:t>The author further claimed</w:t>
      </w:r>
      <w:r w:rsidRPr="003175C8">
        <w:t xml:space="preserve"> that the </w:t>
      </w:r>
      <w:r w:rsidR="003069FF">
        <w:t xml:space="preserve">conditions of </w:t>
      </w:r>
      <w:r w:rsidRPr="003175C8">
        <w:t>detention were very bad as there was no glass in the windows</w:t>
      </w:r>
      <w:r w:rsidR="003069FF">
        <w:t>;</w:t>
      </w:r>
      <w:r w:rsidRPr="003175C8">
        <w:t xml:space="preserve"> it was </w:t>
      </w:r>
      <w:r w:rsidR="003069FF">
        <w:t>therefore v</w:t>
      </w:r>
      <w:r w:rsidR="003069FF" w:rsidRPr="003175C8">
        <w:t xml:space="preserve">ery </w:t>
      </w:r>
      <w:r w:rsidRPr="003175C8">
        <w:t xml:space="preserve">cold during the winter and very hot during the summer. Furthermore, he was not allowed to use the </w:t>
      </w:r>
      <w:r w:rsidR="003069FF">
        <w:t xml:space="preserve">indoor </w:t>
      </w:r>
      <w:r w:rsidRPr="003175C8">
        <w:t xml:space="preserve">showers during </w:t>
      </w:r>
      <w:r w:rsidR="003069FF">
        <w:t xml:space="preserve">the </w:t>
      </w:r>
      <w:r w:rsidRPr="003175C8">
        <w:t>winter, so he had to use those located outdoors</w:t>
      </w:r>
      <w:r w:rsidR="003069FF">
        <w:t>,</w:t>
      </w:r>
      <w:r w:rsidR="0036419D">
        <w:t xml:space="preserve"> </w:t>
      </w:r>
      <w:r w:rsidR="00107C28">
        <w:t xml:space="preserve">where it was </w:t>
      </w:r>
      <w:r w:rsidR="0036419D">
        <w:t>freezing</w:t>
      </w:r>
      <w:r w:rsidRPr="003175C8">
        <w:t>. Finally, he state</w:t>
      </w:r>
      <w:r w:rsidR="00D63EED">
        <w:t>d</w:t>
      </w:r>
      <w:r w:rsidRPr="003175C8">
        <w:t xml:space="preserve"> that he has been suffering from kidney pain since his imprisonment. </w:t>
      </w:r>
    </w:p>
    <w:p w14:paraId="19249C79" w14:textId="77777777" w:rsidR="003521FD" w:rsidRPr="00A36331" w:rsidRDefault="003521FD" w:rsidP="006358CB">
      <w:pPr>
        <w:pStyle w:val="H23G"/>
        <w:spacing w:line="240" w:lineRule="auto"/>
      </w:pPr>
      <w:r w:rsidRPr="00A36331">
        <w:lastRenderedPageBreak/>
        <w:tab/>
      </w:r>
      <w:r w:rsidRPr="00A36331">
        <w:tab/>
        <w:t>Issues and proceedings before the Committee</w:t>
      </w:r>
    </w:p>
    <w:p w14:paraId="2C939956" w14:textId="77777777" w:rsidR="003521FD" w:rsidRPr="00A36331" w:rsidRDefault="003521FD" w:rsidP="006358CB">
      <w:pPr>
        <w:pStyle w:val="H4G"/>
        <w:spacing w:line="240" w:lineRule="auto"/>
        <w:rPr>
          <w:lang w:val="en-US"/>
        </w:rPr>
      </w:pPr>
      <w:r w:rsidRPr="00A36331">
        <w:rPr>
          <w:lang w:val="en-US"/>
        </w:rPr>
        <w:tab/>
      </w:r>
      <w:r w:rsidRPr="00A36331">
        <w:rPr>
          <w:lang w:val="en-US"/>
        </w:rPr>
        <w:tab/>
        <w:t>Consideration of admissibility</w:t>
      </w:r>
    </w:p>
    <w:p w14:paraId="356E47BE" w14:textId="77777777" w:rsidR="003521FD" w:rsidRPr="00A36331" w:rsidRDefault="00D92F83" w:rsidP="006358CB">
      <w:pPr>
        <w:pStyle w:val="SingleTxtG"/>
        <w:spacing w:line="240" w:lineRule="auto"/>
        <w:rPr>
          <w:lang w:val="en-US"/>
        </w:rPr>
      </w:pPr>
      <w:r>
        <w:rPr>
          <w:lang w:val="en-US"/>
        </w:rPr>
        <w:t>6</w:t>
      </w:r>
      <w:r w:rsidR="00330053">
        <w:rPr>
          <w:lang w:val="en-US"/>
        </w:rPr>
        <w:t>.1</w:t>
      </w:r>
      <w:r w:rsidR="003521FD" w:rsidRPr="00A36331">
        <w:rPr>
          <w:lang w:val="en-US"/>
        </w:rPr>
        <w:tab/>
        <w:t>Before considering any claims contained in a communication, the Committee must, in accordance with rule 93 of its rules of procedure, decide whether or not it is admissible under the Optional Protocol.</w:t>
      </w:r>
    </w:p>
    <w:p w14:paraId="62C31325" w14:textId="77777777" w:rsidR="00D26131" w:rsidRDefault="00D92F83" w:rsidP="00982C12">
      <w:pPr>
        <w:pStyle w:val="SingleTxtG"/>
      </w:pPr>
      <w:r>
        <w:rPr>
          <w:lang w:val="en-US"/>
        </w:rPr>
        <w:t>6</w:t>
      </w:r>
      <w:r w:rsidR="00330053">
        <w:rPr>
          <w:lang w:val="en-US"/>
        </w:rPr>
        <w:t>.2</w:t>
      </w:r>
      <w:r w:rsidR="003521FD" w:rsidRPr="00A36331">
        <w:rPr>
          <w:lang w:val="en-US"/>
        </w:rPr>
        <w:tab/>
      </w:r>
      <w:r w:rsidR="00D26131">
        <w:t xml:space="preserve">The Committee </w:t>
      </w:r>
      <w:r w:rsidR="00322708">
        <w:t>has ascertained</w:t>
      </w:r>
      <w:r w:rsidR="00D26131">
        <w:t xml:space="preserve">, as required </w:t>
      </w:r>
      <w:r w:rsidR="00322708">
        <w:t xml:space="preserve">under </w:t>
      </w:r>
      <w:r w:rsidR="00D26131">
        <w:t>article 5</w:t>
      </w:r>
      <w:r w:rsidR="003069FF">
        <w:t xml:space="preserve"> (</w:t>
      </w:r>
      <w:r w:rsidR="00D26131">
        <w:t>2</w:t>
      </w:r>
      <w:r w:rsidR="003069FF">
        <w:t>)</w:t>
      </w:r>
      <w:r w:rsidR="00D26131">
        <w:t xml:space="preserve"> (a) of the Optional Protocol, that the same matter is not being examined under any other international procedure of </w:t>
      </w:r>
      <w:r w:rsidR="00322708">
        <w:t xml:space="preserve">international </w:t>
      </w:r>
      <w:r w:rsidR="00D26131">
        <w:t xml:space="preserve">investigation or settlement. </w:t>
      </w:r>
    </w:p>
    <w:p w14:paraId="70C26B73" w14:textId="77777777" w:rsidR="00414083" w:rsidRPr="00414083" w:rsidRDefault="00D26131" w:rsidP="00414083">
      <w:pPr>
        <w:pStyle w:val="SingleTxtG"/>
      </w:pPr>
      <w:r>
        <w:t>6.3</w:t>
      </w:r>
      <w:r>
        <w:tab/>
      </w:r>
      <w:r w:rsidR="00414083" w:rsidRPr="00414083">
        <w:t xml:space="preserve">The Committee further recalls its jurisprudence to the effect that authors must avail themselves of all domestic remedies in order to fulfil the requirement of article 5 </w:t>
      </w:r>
      <w:r w:rsidR="003069FF">
        <w:t>(</w:t>
      </w:r>
      <w:r w:rsidR="00414083" w:rsidRPr="00414083">
        <w:t>2</w:t>
      </w:r>
      <w:r w:rsidR="003069FF">
        <w:t>)</w:t>
      </w:r>
      <w:r w:rsidR="00414083" w:rsidRPr="00414083">
        <w:t xml:space="preserve"> (b) of the Optional Protocol, insofar as such remedies appear to be effective in the given case and are </w:t>
      </w:r>
      <w:r w:rsidR="00414083" w:rsidRPr="00414083">
        <w:rPr>
          <w:iCs/>
        </w:rPr>
        <w:t>de facto</w:t>
      </w:r>
      <w:r w:rsidR="00414083" w:rsidRPr="00414083">
        <w:t xml:space="preserve"> available to the author.</w:t>
      </w:r>
      <w:r w:rsidR="00414083" w:rsidRPr="0021464B">
        <w:rPr>
          <w:rStyle w:val="FootnoteReference"/>
        </w:rPr>
        <w:footnoteReference w:id="16"/>
      </w:r>
      <w:r w:rsidR="00414083" w:rsidRPr="00414083">
        <w:t xml:space="preserve"> The Committee notes the author’s submission that there are no effective remedies available to him in the State party</w:t>
      </w:r>
      <w:r w:rsidR="007751C7">
        <w:t xml:space="preserve"> in regard </w:t>
      </w:r>
      <w:r w:rsidR="00322708">
        <w:t>to</w:t>
      </w:r>
      <w:r w:rsidR="007751C7">
        <w:t xml:space="preserve"> his claims under articles 7, 10 and 18 of the Covenant</w:t>
      </w:r>
      <w:r w:rsidR="007751C7" w:rsidRPr="00A4654A">
        <w:t>.</w:t>
      </w:r>
      <w:r w:rsidR="00414083" w:rsidRPr="00414083">
        <w:t xml:space="preserve"> The Committee further notes the State party</w:t>
      </w:r>
      <w:r w:rsidR="00044A92" w:rsidRPr="00044A92">
        <w:t>’s assertion of 17 March 2014 that the author’s case had been “carefully considered by the relevant law enforcement bodies of Turkmenistan and [that] no reason had been found to appeal the court decision”</w:t>
      </w:r>
      <w:r w:rsidR="00A71482">
        <w:t xml:space="preserve"> </w:t>
      </w:r>
      <w:r w:rsidR="00044A92" w:rsidRPr="00044A92">
        <w:t>and that it</w:t>
      </w:r>
      <w:r w:rsidR="00414083" w:rsidRPr="00414083">
        <w:t xml:space="preserve"> has not contested the author’s argumen</w:t>
      </w:r>
      <w:r w:rsidR="003069FF">
        <w:t>t</w:t>
      </w:r>
      <w:r w:rsidR="00414083" w:rsidRPr="00414083">
        <w:t xml:space="preserve"> </w:t>
      </w:r>
      <w:r w:rsidR="003069FF">
        <w:t>concerning</w:t>
      </w:r>
      <w:r w:rsidR="003069FF" w:rsidRPr="00414083">
        <w:t xml:space="preserve"> </w:t>
      </w:r>
      <w:r w:rsidR="00414083" w:rsidRPr="00414083">
        <w:t>the issue of exhaustion of domestic remedies. In these circumstances, the Committee considers that in the present case</w:t>
      </w:r>
      <w:r w:rsidR="003069FF">
        <w:t>,</w:t>
      </w:r>
      <w:r w:rsidR="00414083" w:rsidRPr="00414083">
        <w:t xml:space="preserve"> it is not precluded by article 5 </w:t>
      </w:r>
      <w:r w:rsidR="003069FF">
        <w:t>(</w:t>
      </w:r>
      <w:r w:rsidR="00414083" w:rsidRPr="00414083">
        <w:t>2</w:t>
      </w:r>
      <w:r w:rsidR="003069FF">
        <w:t>)</w:t>
      </w:r>
      <w:r w:rsidR="00414083" w:rsidRPr="00414083">
        <w:t xml:space="preserve"> (b), of the Optional Protocol from examining the communication.</w:t>
      </w:r>
    </w:p>
    <w:p w14:paraId="6DA10207" w14:textId="77777777" w:rsidR="00047068" w:rsidRDefault="0066200B" w:rsidP="00330053">
      <w:pPr>
        <w:pStyle w:val="SingleTxtG"/>
      </w:pPr>
      <w:r w:rsidRPr="0066200B">
        <w:t>6.4</w:t>
      </w:r>
      <w:r w:rsidRPr="0066200B">
        <w:tab/>
        <w:t>The Committee considers that the author’s claims raising issues under articles 7</w:t>
      </w:r>
      <w:r w:rsidR="003069FF">
        <w:t>,</w:t>
      </w:r>
      <w:r w:rsidRPr="0066200B">
        <w:t xml:space="preserve"> 10 and 18</w:t>
      </w:r>
      <w:r w:rsidR="003069FF">
        <w:t xml:space="preserve"> (</w:t>
      </w:r>
      <w:r w:rsidRPr="0066200B">
        <w:t>1</w:t>
      </w:r>
      <w:r w:rsidR="003069FF">
        <w:t>)</w:t>
      </w:r>
      <w:r w:rsidRPr="0066200B">
        <w:t xml:space="preserve"> of the Covenant are sufficiently substantiated for purposes of admissibility, declares them admissible and proceeds to t</w:t>
      </w:r>
      <w:r w:rsidR="00330053">
        <w:t>heir examination on the merits.</w:t>
      </w:r>
    </w:p>
    <w:p w14:paraId="54D7AC12" w14:textId="77777777" w:rsidR="00C92F41" w:rsidRDefault="00330053" w:rsidP="00330053">
      <w:pPr>
        <w:pStyle w:val="H4G"/>
      </w:pPr>
      <w:r>
        <w:tab/>
      </w:r>
      <w:r>
        <w:tab/>
      </w:r>
      <w:r w:rsidR="00C92F41" w:rsidRPr="00C92F41">
        <w:t>Consideration on the merits</w:t>
      </w:r>
    </w:p>
    <w:p w14:paraId="70F10D2C" w14:textId="77777777" w:rsidR="0077731B" w:rsidRDefault="00C92F41" w:rsidP="0077731B">
      <w:pPr>
        <w:pStyle w:val="SingleTxtG"/>
        <w:spacing w:line="240" w:lineRule="auto"/>
      </w:pPr>
      <w:r>
        <w:t>7.1</w:t>
      </w:r>
      <w:r>
        <w:tab/>
      </w:r>
      <w:r w:rsidR="0077731B" w:rsidRPr="0077731B">
        <w:t xml:space="preserve">The Committee has considered the communication in </w:t>
      </w:r>
      <w:r w:rsidR="00322708">
        <w:t xml:space="preserve">the </w:t>
      </w:r>
      <w:r w:rsidR="0077731B" w:rsidRPr="0077731B">
        <w:t>light of all the information made available to it by the parties, as provided under article 5</w:t>
      </w:r>
      <w:r w:rsidR="003069FF">
        <w:t>(</w:t>
      </w:r>
      <w:r w:rsidR="0077731B" w:rsidRPr="0077731B">
        <w:t>1</w:t>
      </w:r>
      <w:r w:rsidR="003069FF">
        <w:t>)</w:t>
      </w:r>
      <w:r w:rsidR="0077731B" w:rsidRPr="0077731B">
        <w:t xml:space="preserve"> of the Optional Protocol. </w:t>
      </w:r>
    </w:p>
    <w:p w14:paraId="6A933AA2" w14:textId="77777777" w:rsidR="0017774C" w:rsidRDefault="0084264C" w:rsidP="00297387">
      <w:pPr>
        <w:pStyle w:val="SingleTxtG"/>
        <w:spacing w:line="240" w:lineRule="auto"/>
      </w:pPr>
      <w:r>
        <w:t>7.2</w:t>
      </w:r>
      <w:r>
        <w:tab/>
      </w:r>
      <w:r w:rsidR="00A37449" w:rsidRPr="00A37449">
        <w:t>The Committee takes note of the author’s claim that</w:t>
      </w:r>
      <w:r w:rsidR="00B736DE">
        <w:t xml:space="preserve"> he was ill-treated </w:t>
      </w:r>
      <w:r w:rsidR="003069FF">
        <w:t xml:space="preserve">by the prison staff </w:t>
      </w:r>
      <w:r w:rsidR="00B736DE">
        <w:t xml:space="preserve">while in </w:t>
      </w:r>
      <w:r w:rsidR="00240BBF">
        <w:t xml:space="preserve">the LBK-12 prison </w:t>
      </w:r>
      <w:r w:rsidR="00B736DE">
        <w:t xml:space="preserve">in violation of article 7 of the Covenant. It notes that the author has provided a </w:t>
      </w:r>
      <w:r w:rsidR="00A66801">
        <w:t xml:space="preserve">detailed </w:t>
      </w:r>
      <w:r w:rsidR="00B736DE">
        <w:t>description of the manner in which he was ill-treated</w:t>
      </w:r>
      <w:r w:rsidR="00297387">
        <w:t xml:space="preserve"> and that he has provided the identity of the perpetrator. The Committee also notes that the author</w:t>
      </w:r>
      <w:r w:rsidR="00CE4597">
        <w:t xml:space="preserve"> stated that he was beaten</w:t>
      </w:r>
      <w:r w:rsidR="0017774C">
        <w:t xml:space="preserve"> </w:t>
      </w:r>
      <w:r w:rsidR="003069FF">
        <w:t xml:space="preserve">on </w:t>
      </w:r>
      <w:r w:rsidR="0017774C">
        <w:t>different parts of his body</w:t>
      </w:r>
      <w:r w:rsidR="00EF45DE">
        <w:t xml:space="preserve"> </w:t>
      </w:r>
      <w:r w:rsidR="003069FF">
        <w:t xml:space="preserve">on </w:t>
      </w:r>
      <w:r w:rsidR="00EF45DE">
        <w:t>at least in two occa</w:t>
      </w:r>
      <w:r w:rsidR="00240BBF">
        <w:t>sions</w:t>
      </w:r>
      <w:r w:rsidR="0017774C">
        <w:t xml:space="preserve">, </w:t>
      </w:r>
      <w:r w:rsidR="00CE4597">
        <w:t xml:space="preserve">including his face and </w:t>
      </w:r>
      <w:r w:rsidR="00240BBF">
        <w:t xml:space="preserve">his </w:t>
      </w:r>
      <w:r w:rsidR="00CE4597">
        <w:t>head</w:t>
      </w:r>
      <w:r w:rsidR="003069FF">
        <w:t>;</w:t>
      </w:r>
      <w:r w:rsidR="00CE4597">
        <w:t xml:space="preserve"> that</w:t>
      </w:r>
      <w:r w:rsidR="0017774C">
        <w:t xml:space="preserve"> he was</w:t>
      </w:r>
      <w:r w:rsidR="00240BBF">
        <w:t xml:space="preserve"> once</w:t>
      </w:r>
      <w:r w:rsidR="0017774C">
        <w:t xml:space="preserve"> kicked in the chest</w:t>
      </w:r>
      <w:r w:rsidR="003069FF">
        <w:t>;</w:t>
      </w:r>
      <w:r w:rsidR="0017774C">
        <w:t xml:space="preserve"> and </w:t>
      </w:r>
      <w:r w:rsidR="00CE4597">
        <w:t xml:space="preserve">that </w:t>
      </w:r>
      <w:r w:rsidR="00240BBF">
        <w:t xml:space="preserve">he </w:t>
      </w:r>
      <w:r w:rsidR="0017774C">
        <w:t xml:space="preserve">was </w:t>
      </w:r>
      <w:r w:rsidR="00CE4597">
        <w:t xml:space="preserve">often </w:t>
      </w:r>
      <w:r w:rsidR="0017774C">
        <w:t>beaten with a wire</w:t>
      </w:r>
      <w:r w:rsidR="00CE4597" w:rsidRPr="00CE4597">
        <w:t xml:space="preserve"> </w:t>
      </w:r>
      <w:r w:rsidR="003069FF">
        <w:t>on</w:t>
      </w:r>
      <w:r w:rsidR="003069FF" w:rsidRPr="00CE4597">
        <w:t xml:space="preserve"> </w:t>
      </w:r>
      <w:r w:rsidR="00CE4597" w:rsidRPr="00CE4597">
        <w:t>his back</w:t>
      </w:r>
      <w:r w:rsidR="00A60EF8" w:rsidRPr="00297387">
        <w:t>.</w:t>
      </w:r>
      <w:r w:rsidR="00297387" w:rsidRPr="00297387">
        <w:t xml:space="preserve"> </w:t>
      </w:r>
      <w:r w:rsidR="000841F3">
        <w:t>The Committee further notes the author’s allegation regarding the lack of adequate mechanisms for investigati</w:t>
      </w:r>
      <w:r w:rsidR="003069FF">
        <w:t>ng</w:t>
      </w:r>
      <w:r w:rsidR="000841F3">
        <w:t xml:space="preserve"> torture and ill</w:t>
      </w:r>
      <w:r w:rsidR="003069FF">
        <w:t>-</w:t>
      </w:r>
      <w:r w:rsidR="000841F3">
        <w:t>treatment in the State party.</w:t>
      </w:r>
      <w:r w:rsidR="00462F7C">
        <w:t xml:space="preserve"> </w:t>
      </w:r>
      <w:r w:rsidR="00297387" w:rsidRPr="00297387">
        <w:t>The State party has not refute</w:t>
      </w:r>
      <w:r w:rsidR="000841F3">
        <w:t>d</w:t>
      </w:r>
      <w:r w:rsidR="00297387" w:rsidRPr="00297387">
        <w:t xml:space="preserve"> these allegations, nor provided any information in this respect. In the circumstances, due weight must be given to the author’s allegations. Accordingly, the Committee concludes that the facts as presented reveal a violation of the author’s rights u</w:t>
      </w:r>
      <w:r w:rsidR="000841F3">
        <w:t>nder article 7 of the Covenant.</w:t>
      </w:r>
    </w:p>
    <w:p w14:paraId="2D3D3730" w14:textId="77777777" w:rsidR="001F0456" w:rsidRDefault="00E93BDC" w:rsidP="001F0456">
      <w:pPr>
        <w:pStyle w:val="SingleTxtG"/>
        <w:spacing w:line="240" w:lineRule="auto"/>
      </w:pPr>
      <w:r>
        <w:t>7.3</w:t>
      </w:r>
      <w:r>
        <w:tab/>
      </w:r>
      <w:r w:rsidRPr="00E93BDC">
        <w:t xml:space="preserve">The Committee further notes the author’s claims concerning the deplorable prison conditions at the LBK-12 prison, including </w:t>
      </w:r>
      <w:r w:rsidR="003069FF">
        <w:t>his</w:t>
      </w:r>
      <w:r w:rsidR="003069FF" w:rsidRPr="00E93BDC">
        <w:t xml:space="preserve"> </w:t>
      </w:r>
      <w:r w:rsidRPr="00E93BDC">
        <w:t xml:space="preserve">placement </w:t>
      </w:r>
      <w:r w:rsidR="00F63DD8" w:rsidRPr="00F63DD8">
        <w:t xml:space="preserve">upon arrival </w:t>
      </w:r>
      <w:r w:rsidRPr="00E93BDC">
        <w:t xml:space="preserve">in </w:t>
      </w:r>
      <w:r w:rsidR="00E947E0">
        <w:t xml:space="preserve">quarantine </w:t>
      </w:r>
      <w:r w:rsidR="00236F58">
        <w:t xml:space="preserve">for </w:t>
      </w:r>
      <w:r w:rsidR="003069FF">
        <w:t xml:space="preserve">10 </w:t>
      </w:r>
      <w:r w:rsidR="00236F58">
        <w:t xml:space="preserve">days, </w:t>
      </w:r>
      <w:r w:rsidR="00E947E0">
        <w:t xml:space="preserve">the harsh climatic conditions the author was exposed to during </w:t>
      </w:r>
      <w:r w:rsidR="004468FE">
        <w:t xml:space="preserve">an extremely hot </w:t>
      </w:r>
      <w:r w:rsidR="00E947E0">
        <w:t xml:space="preserve">summer and </w:t>
      </w:r>
      <w:r w:rsidR="004468FE">
        <w:t xml:space="preserve">an extremely cold </w:t>
      </w:r>
      <w:r w:rsidR="00E947E0">
        <w:t>winter</w:t>
      </w:r>
      <w:r w:rsidR="00090081">
        <w:t>,</w:t>
      </w:r>
      <w:r w:rsidR="00E947E0">
        <w:t xml:space="preserve"> and the fact that he was obliged to use the outdoor showers during winter</w:t>
      </w:r>
      <w:r w:rsidR="003069FF">
        <w:t>,</w:t>
      </w:r>
      <w:r w:rsidR="00A879A8">
        <w:t xml:space="preserve"> when </w:t>
      </w:r>
      <w:r w:rsidR="003069FF">
        <w:t>it</w:t>
      </w:r>
      <w:r w:rsidR="00A879A8">
        <w:t xml:space="preserve"> was</w:t>
      </w:r>
      <w:r w:rsidR="00E947E0">
        <w:t xml:space="preserve"> very </w:t>
      </w:r>
      <w:r w:rsidR="003069FF">
        <w:t>cold</w:t>
      </w:r>
      <w:r w:rsidR="00E947E0">
        <w:t>.</w:t>
      </w:r>
      <w:r w:rsidR="00E947E0" w:rsidRPr="0021464B">
        <w:rPr>
          <w:rStyle w:val="FootnoteReference"/>
        </w:rPr>
        <w:footnoteReference w:id="17"/>
      </w:r>
      <w:r w:rsidR="00E947E0">
        <w:t xml:space="preserve"> </w:t>
      </w:r>
      <w:r w:rsidR="001F0456" w:rsidRPr="001F0456">
        <w:t>The Committee notes that the</w:t>
      </w:r>
      <w:r w:rsidR="00650C1A">
        <w:t>se allegations were not</w:t>
      </w:r>
      <w:r w:rsidR="001F0456" w:rsidRPr="001F0456">
        <w:t xml:space="preserve"> contest</w:t>
      </w:r>
      <w:r w:rsidR="00650C1A">
        <w:t>ed</w:t>
      </w:r>
      <w:r w:rsidR="001F0456" w:rsidRPr="001F0456">
        <w:t xml:space="preserve"> by the State party</w:t>
      </w:r>
      <w:r w:rsidR="00044A92" w:rsidRPr="00044A92">
        <w:t xml:space="preserve"> and that they are consistent with the findings of the </w:t>
      </w:r>
      <w:r w:rsidR="00044A92" w:rsidRPr="00044A92">
        <w:lastRenderedPageBreak/>
        <w:t>Committee against Torture in its most recent concluding observations with regard to the State party.</w:t>
      </w:r>
      <w:r w:rsidR="00044A92" w:rsidRPr="0021464B">
        <w:rPr>
          <w:rStyle w:val="FootnoteReference"/>
        </w:rPr>
        <w:footnoteReference w:id="18"/>
      </w:r>
      <w:r w:rsidR="001F0456" w:rsidRPr="001F0456">
        <w:t xml:space="preserve"> The 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rsidR="001F0456" w:rsidRPr="0021464B">
        <w:rPr>
          <w:rStyle w:val="FootnoteReference"/>
        </w:rPr>
        <w:footnoteReference w:id="19"/>
      </w:r>
      <w:r w:rsidR="001F0456" w:rsidRPr="001F0456">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rsidR="003069FF">
        <w:t xml:space="preserve"> (</w:t>
      </w:r>
      <w:r w:rsidR="001F0456" w:rsidRPr="001F0456">
        <w:t>1</w:t>
      </w:r>
      <w:r w:rsidR="003069FF">
        <w:t>)</w:t>
      </w:r>
      <w:r w:rsidR="001F0456" w:rsidRPr="001F0456">
        <w:t xml:space="preserve"> of the Covenant.</w:t>
      </w:r>
      <w:r w:rsidR="001F0456" w:rsidRPr="0021464B">
        <w:rPr>
          <w:rStyle w:val="FootnoteReference"/>
        </w:rPr>
        <w:footnoteReference w:id="20"/>
      </w:r>
      <w:r w:rsidR="001F0456" w:rsidRPr="001F0456">
        <w:t xml:space="preserve"> </w:t>
      </w:r>
    </w:p>
    <w:p w14:paraId="207AFA37" w14:textId="77777777" w:rsidR="005336E2" w:rsidRPr="005336E2" w:rsidRDefault="005336E2" w:rsidP="005336E2">
      <w:pPr>
        <w:pStyle w:val="SingleTxtG"/>
        <w:spacing w:line="240" w:lineRule="auto"/>
      </w:pPr>
      <w:r>
        <w:t>7.4</w:t>
      </w:r>
      <w:r>
        <w:tab/>
      </w:r>
      <w:r w:rsidRPr="005336E2">
        <w:t xml:space="preserve">The Committee further notes the author’s claim that his rights under article 18 </w:t>
      </w:r>
      <w:r w:rsidR="003069FF">
        <w:t>(</w:t>
      </w:r>
      <w:r w:rsidRPr="005336E2">
        <w:t>1</w:t>
      </w:r>
      <w:r w:rsidR="003069FF">
        <w:t>)</w:t>
      </w:r>
      <w:r w:rsidRPr="005336E2">
        <w:t xml:space="preserve"> of the Covenant have been violated due to the absence in the State party of an alternative to compulsory military service, as a result of which his refusal to perform military service on account of his religious </w:t>
      </w:r>
      <w:r w:rsidR="00322708">
        <w:t>beliefs</w:t>
      </w:r>
      <w:r w:rsidR="00322708" w:rsidRPr="005336E2">
        <w:t xml:space="preserve"> </w:t>
      </w:r>
      <w:r w:rsidRPr="005336E2">
        <w:t>led to his criminal prosecution and subsequent imprisonment. The Committee takes note of the State party’s submission that the criminal offen</w:t>
      </w:r>
      <w:r>
        <w:t>ce committed by the author was “</w:t>
      </w:r>
      <w:r w:rsidRPr="005336E2">
        <w:t>determined accurately according to the Criminal Code of Turkmenistan</w:t>
      </w:r>
      <w:r>
        <w:t>”</w:t>
      </w:r>
      <w:r w:rsidR="008C0CF4">
        <w:t>,</w:t>
      </w:r>
      <w:r w:rsidRPr="005336E2">
        <w:t xml:space="preserve"> that pursuant to article 41 of the Constitution</w:t>
      </w:r>
      <w:r w:rsidR="008C0CF4">
        <w:t>,</w:t>
      </w:r>
      <w:r w:rsidRPr="005336E2">
        <w:t xml:space="preserve"> </w:t>
      </w:r>
      <w:r>
        <w:t>“</w:t>
      </w:r>
      <w:r w:rsidR="008C0CF4">
        <w:t>p</w:t>
      </w:r>
      <w:r w:rsidRPr="005336E2">
        <w:t>rotection of Turkmenistan is t</w:t>
      </w:r>
      <w:r>
        <w:t>he sacred duty of every citizen”</w:t>
      </w:r>
      <w:r w:rsidRPr="005336E2">
        <w:t xml:space="preserve"> and that general conscription is compulsory for male citizens. </w:t>
      </w:r>
    </w:p>
    <w:p w14:paraId="28DDD84A" w14:textId="77777777" w:rsidR="005336E2" w:rsidRPr="005336E2" w:rsidRDefault="005336E2" w:rsidP="005336E2">
      <w:pPr>
        <w:pStyle w:val="SingleTxtG"/>
        <w:spacing w:line="240" w:lineRule="auto"/>
      </w:pPr>
      <w:r w:rsidRPr="005336E2">
        <w:t>7.</w:t>
      </w:r>
      <w:r w:rsidR="00462F7C">
        <w:t>5</w:t>
      </w:r>
      <w:r w:rsidRPr="005336E2">
        <w:tab/>
        <w:t>The Committee recalls its general comment No. 22</w:t>
      </w:r>
      <w:r w:rsidR="00322708">
        <w:t xml:space="preserve"> (1993) on freedom of thought, conscience or religion</w:t>
      </w:r>
      <w:r w:rsidRPr="005336E2">
        <w:t>, in which it considers that the fundamental character of the freedoms enshrined in article 18</w:t>
      </w:r>
      <w:r w:rsidR="008C0CF4">
        <w:t xml:space="preserve"> (</w:t>
      </w:r>
      <w:r w:rsidRPr="005336E2">
        <w:t>1</w:t>
      </w:r>
      <w:r w:rsidR="008C0CF4">
        <w:t>)</w:t>
      </w:r>
      <w:r w:rsidRPr="005336E2">
        <w:t xml:space="preserve"> is reflected in the fact that this provision cannot be derogated from even in time of public emergency, as stated in article 4</w:t>
      </w:r>
      <w:r w:rsidR="008C0CF4">
        <w:t xml:space="preserve"> (</w:t>
      </w:r>
      <w:r w:rsidRPr="005336E2">
        <w:t>2</w:t>
      </w:r>
      <w:r w:rsidR="008C0CF4">
        <w:t>)</w:t>
      </w:r>
      <w:r w:rsidRPr="005336E2">
        <w:t xml:space="preserve"> of the Covenant. The Committee recalls its prior jurisprudence</w:t>
      </w:r>
      <w:r w:rsidR="008C0CF4">
        <w:t>,</w:t>
      </w:r>
      <w:r w:rsidRPr="005336E2">
        <w:t xml:space="preserve"> </w:t>
      </w:r>
      <w:r w:rsidR="008C0CF4">
        <w:t>according to which</w:t>
      </w:r>
      <w:r w:rsidR="008C0CF4" w:rsidRPr="005336E2">
        <w:t xml:space="preserve"> </w:t>
      </w:r>
      <w:r w:rsidRPr="005336E2">
        <w:t xml:space="preserve">although the Covenant does not explicitly refer to a right of conscientious objection, such a right derives from article 18, inasmuch as the obligation to be involved in the use of lethal force may seriously conflict with the freedom of </w:t>
      </w:r>
      <w:r w:rsidR="00A6689B">
        <w:t xml:space="preserve">thought, </w:t>
      </w:r>
      <w:r w:rsidRPr="005336E2">
        <w:t>conscience</w:t>
      </w:r>
      <w:r w:rsidR="00A6689B">
        <w:t xml:space="preserve"> and religion</w:t>
      </w:r>
      <w:r w:rsidRPr="005336E2">
        <w:t>.</w:t>
      </w:r>
      <w:r w:rsidRPr="0021464B">
        <w:rPr>
          <w:rStyle w:val="FootnoteReference"/>
        </w:rPr>
        <w:footnoteReference w:id="21"/>
      </w:r>
      <w:r w:rsidRPr="005336E2">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Pr="0021464B">
        <w:rPr>
          <w:rStyle w:val="FootnoteReference"/>
        </w:rPr>
        <w:footnoteReference w:id="22"/>
      </w:r>
      <w:r w:rsidRPr="005336E2">
        <w:t xml:space="preserve"> </w:t>
      </w:r>
    </w:p>
    <w:p w14:paraId="61BF4D39" w14:textId="77777777" w:rsidR="005336E2" w:rsidRPr="005336E2" w:rsidRDefault="005336E2" w:rsidP="005336E2">
      <w:pPr>
        <w:pStyle w:val="SingleTxtG"/>
        <w:spacing w:line="240" w:lineRule="auto"/>
      </w:pPr>
      <w:r w:rsidRPr="005336E2">
        <w:t>7.</w:t>
      </w:r>
      <w:r w:rsidR="00462F7C">
        <w:t>6</w:t>
      </w:r>
      <w:r w:rsidRPr="005336E2">
        <w:tab/>
        <w:t>In the present case, the Committee considers that the author’s refusal to be drafted for compulsory military service derives from his religious beliefs and that the author’s subsequent conviction and sentence amounted to an infringement of his freedom of</w:t>
      </w:r>
      <w:r w:rsidR="00A6689B">
        <w:t xml:space="preserve"> thought, </w:t>
      </w:r>
      <w:r w:rsidRPr="005336E2">
        <w:t>conscience</w:t>
      </w:r>
      <w:r w:rsidR="00A6689B">
        <w:t xml:space="preserve"> and religion</w:t>
      </w:r>
      <w:r w:rsidRPr="005336E2">
        <w:t>, in breach of article 18</w:t>
      </w:r>
      <w:r w:rsidR="008C0CF4">
        <w:t xml:space="preserve"> (</w:t>
      </w:r>
      <w:r w:rsidRPr="005336E2">
        <w:t>1</w:t>
      </w:r>
      <w:r w:rsidR="008C0CF4">
        <w:t>)</w:t>
      </w:r>
      <w:r w:rsidRPr="005336E2">
        <w:t xml:space="preserve"> of the Covenant. In this context, the Committee recalls that repression of the refusal to be drafted for compulsory military </w:t>
      </w:r>
      <w:r w:rsidRPr="005336E2">
        <w:lastRenderedPageBreak/>
        <w:t>service, exercised against persons whose conscience or religion prohibit the use of arms, is incompatible with article 18</w:t>
      </w:r>
      <w:r w:rsidR="008C0CF4">
        <w:t xml:space="preserve"> (</w:t>
      </w:r>
      <w:r w:rsidRPr="005336E2">
        <w:t>1</w:t>
      </w:r>
      <w:r w:rsidR="008C0CF4">
        <w:t>)</w:t>
      </w:r>
      <w:r w:rsidR="005621EC">
        <w:t xml:space="preserve"> </w:t>
      </w:r>
      <w:r w:rsidRPr="005336E2">
        <w:t>of the Covenant.</w:t>
      </w:r>
      <w:r w:rsidRPr="0021464B">
        <w:rPr>
          <w:rStyle w:val="FootnoteReference"/>
        </w:rPr>
        <w:footnoteReference w:id="23"/>
      </w:r>
      <w:r w:rsidRPr="005336E2">
        <w:t xml:space="preserve"> It also recalls that during the consideration of the State party’s initial report under article 40 of the Covenant, it ha</w:t>
      </w:r>
      <w:r w:rsidR="008C0CF4">
        <w:t>d</w:t>
      </w:r>
      <w:r w:rsidRPr="005336E2">
        <w:t xml:space="preserve"> expressed its concern that the Law on Military Duty and Military Service, as amended on 25 September 2010, does not recognize a person’s right to exercise conscientious objection to military service and does not provide for any alternative military service</w:t>
      </w:r>
      <w:r w:rsidR="008C0CF4">
        <w:t>,</w:t>
      </w:r>
      <w:r w:rsidRPr="005336E2">
        <w:t xml:space="preserve"> and recommended that the State party, </w:t>
      </w:r>
      <w:r w:rsidRPr="00751110">
        <w:t>inter alia</w:t>
      </w:r>
      <w:r w:rsidRPr="007E4354">
        <w:t>,</w:t>
      </w:r>
      <w:r w:rsidRPr="005336E2">
        <w:t xml:space="preserve"> take all necessary measures to review its legislation with a view to providing for alternative service.</w:t>
      </w:r>
      <w:r w:rsidRPr="0021464B">
        <w:rPr>
          <w:rStyle w:val="FootnoteReference"/>
        </w:rPr>
        <w:footnoteReference w:id="24"/>
      </w:r>
    </w:p>
    <w:p w14:paraId="03026258" w14:textId="77777777" w:rsidR="005336E2" w:rsidRPr="005336E2" w:rsidRDefault="005336E2" w:rsidP="005336E2">
      <w:pPr>
        <w:pStyle w:val="SingleTxtG"/>
        <w:spacing w:line="240" w:lineRule="auto"/>
      </w:pPr>
      <w:r w:rsidRPr="005336E2">
        <w:t>8.</w:t>
      </w:r>
      <w:r w:rsidRPr="005336E2">
        <w:tab/>
        <w:t>The Committee, acting under article 5</w:t>
      </w:r>
      <w:r w:rsidR="008C0CF4">
        <w:t xml:space="preserve"> </w:t>
      </w:r>
      <w:r w:rsidR="00701B4E">
        <w:t>(</w:t>
      </w:r>
      <w:r w:rsidRPr="005336E2">
        <w:t>4</w:t>
      </w:r>
      <w:r w:rsidR="00701B4E">
        <w:t>)</w:t>
      </w:r>
      <w:r w:rsidRPr="005336E2">
        <w:t xml:space="preserve">, of the Optional Protocol, is of the view that the </w:t>
      </w:r>
      <w:r w:rsidR="00A6689B">
        <w:t xml:space="preserve">facts before it disclose a violation of </w:t>
      </w:r>
      <w:r w:rsidRPr="005336E2">
        <w:t xml:space="preserve">the author’s rights under articles </w:t>
      </w:r>
      <w:r w:rsidR="009C133C">
        <w:t>7,</w:t>
      </w:r>
      <w:r w:rsidRPr="005336E2">
        <w:t xml:space="preserve"> 10 </w:t>
      </w:r>
      <w:r w:rsidR="008C0CF4">
        <w:t>(</w:t>
      </w:r>
      <w:r w:rsidRPr="005336E2">
        <w:t>1</w:t>
      </w:r>
      <w:r w:rsidR="008C0CF4">
        <w:t>)</w:t>
      </w:r>
      <w:r w:rsidRPr="005336E2">
        <w:t xml:space="preserve"> and 18</w:t>
      </w:r>
      <w:r w:rsidR="008C0CF4">
        <w:t xml:space="preserve"> (</w:t>
      </w:r>
      <w:r w:rsidRPr="005336E2">
        <w:t>1</w:t>
      </w:r>
      <w:r w:rsidR="008C0CF4">
        <w:t>)</w:t>
      </w:r>
      <w:r w:rsidRPr="005336E2">
        <w:t xml:space="preserve"> of the Covenant.</w:t>
      </w:r>
    </w:p>
    <w:p w14:paraId="0D838D42" w14:textId="77777777" w:rsidR="005336E2" w:rsidRPr="005336E2" w:rsidRDefault="005336E2" w:rsidP="005336E2">
      <w:pPr>
        <w:pStyle w:val="SingleTxtG"/>
        <w:spacing w:line="240" w:lineRule="auto"/>
      </w:pPr>
      <w:r w:rsidRPr="005336E2">
        <w:t>9.</w:t>
      </w:r>
      <w:r w:rsidRPr="005336E2">
        <w:tab/>
        <w:t>In accordance with article 2</w:t>
      </w:r>
      <w:r w:rsidR="008C0CF4">
        <w:t xml:space="preserve"> (</w:t>
      </w:r>
      <w:r w:rsidRPr="005336E2">
        <w:t>3</w:t>
      </w:r>
      <w:r w:rsidR="008C0CF4">
        <w:t>)</w:t>
      </w:r>
      <w:r w:rsidRPr="005336E2">
        <w:t xml:space="preserve"> (a) of the Covenant, the State party is under an obligation to provide the author with an effective remedy</w:t>
      </w:r>
      <w:r w:rsidR="007751C7">
        <w:t xml:space="preserve">. </w:t>
      </w:r>
      <w:r w:rsidR="007751C7" w:rsidRPr="00636CCF">
        <w:t xml:space="preserve">This requires it to make full reparation to individuals whose Covenant rights have been violated. Accordingly, the State party is </w:t>
      </w:r>
      <w:r w:rsidR="004F09E1">
        <w:t xml:space="preserve">also </w:t>
      </w:r>
      <w:r w:rsidR="007751C7" w:rsidRPr="00636CCF">
        <w:t>obligated, inter alia</w:t>
      </w:r>
      <w:r w:rsidR="007751C7" w:rsidRPr="00A4654A">
        <w:t>,</w:t>
      </w:r>
      <w:r w:rsidRPr="005336E2">
        <w:t xml:space="preserve"> to expung</w:t>
      </w:r>
      <w:r w:rsidR="007751C7">
        <w:t xml:space="preserve">e the author’s </w:t>
      </w:r>
      <w:r w:rsidRPr="005336E2">
        <w:t xml:space="preserve">criminal record and </w:t>
      </w:r>
      <w:r w:rsidR="007751C7">
        <w:t xml:space="preserve">to provide him with </w:t>
      </w:r>
      <w:r w:rsidR="00463ED0">
        <w:t>adequate</w:t>
      </w:r>
      <w:r w:rsidR="00463ED0" w:rsidRPr="005336E2">
        <w:t xml:space="preserve"> </w:t>
      </w:r>
      <w:r w:rsidRPr="005336E2">
        <w:t xml:space="preserve">compensation. The State party is under an obligation to avoid similar violations of the Covenant in the future, which includes the adoption of legislative measures guaranteeing the right to conscientious objection. </w:t>
      </w:r>
    </w:p>
    <w:p w14:paraId="0ACED4CE" w14:textId="77777777" w:rsidR="0047156B" w:rsidRDefault="005336E2" w:rsidP="009C133C">
      <w:pPr>
        <w:pStyle w:val="SingleTxtG"/>
        <w:spacing w:line="240" w:lineRule="auto"/>
      </w:pPr>
      <w:r w:rsidRPr="005336E2">
        <w:t>10.</w:t>
      </w:r>
      <w:r w:rsidRPr="005336E2">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4F09E1">
        <w:t xml:space="preserve">when ithas been determined that </w:t>
      </w:r>
      <w:r w:rsidRPr="005336E2">
        <w:t xml:space="preserve"> a violation has </w:t>
      </w:r>
      <w:r w:rsidR="004F09E1">
        <w:t>occurred</w:t>
      </w:r>
      <w:r w:rsidRPr="005336E2">
        <w:t>, the Committee wishes to receive from the State party, within 180 days, information about the measures taken to give effect to the Committee’s Views. The State party is also requested to publish the Committee’s Views.</w:t>
      </w:r>
    </w:p>
    <w:p w14:paraId="3BC69351" w14:textId="77777777" w:rsidR="00952FC1" w:rsidRDefault="00952FC1" w:rsidP="009C133C">
      <w:pPr>
        <w:pStyle w:val="SingleTxtG"/>
        <w:spacing w:line="240" w:lineRule="auto"/>
        <w:sectPr w:rsidR="00952FC1" w:rsidSect="00312C0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4C0E51E8" w14:textId="77777777" w:rsidR="0017774C" w:rsidRDefault="0047156B" w:rsidP="00751110">
      <w:pPr>
        <w:pStyle w:val="HChG"/>
      </w:pPr>
      <w:r>
        <w:lastRenderedPageBreak/>
        <w:t>Appendix</w:t>
      </w:r>
    </w:p>
    <w:p w14:paraId="5C69160F" w14:textId="77777777" w:rsidR="0047156B" w:rsidRDefault="0047156B" w:rsidP="00751110">
      <w:pPr>
        <w:pStyle w:val="H1G"/>
        <w:rPr>
          <w:rFonts w:eastAsia="MS Mincho"/>
        </w:rPr>
      </w:pPr>
      <w:r>
        <w:rPr>
          <w:rFonts w:eastAsia="MS Mincho"/>
        </w:rPr>
        <w:tab/>
      </w:r>
      <w:r>
        <w:rPr>
          <w:rFonts w:eastAsia="MS Mincho"/>
        </w:rPr>
        <w:tab/>
      </w:r>
      <w:r w:rsidRPr="00BC2DCF">
        <w:rPr>
          <w:rFonts w:eastAsia="MS Mincho"/>
        </w:rPr>
        <w:t>Joint opinion of Committee members Yuji Iwasawa, Anja Seibert-Fohr, Yuval Shany and Konstantine Vardzelashvili (concurring)</w:t>
      </w:r>
    </w:p>
    <w:p w14:paraId="4680230D" w14:textId="77777777" w:rsidR="0047156B" w:rsidRPr="009B0362" w:rsidRDefault="008C0CF4" w:rsidP="00751110">
      <w:pPr>
        <w:pStyle w:val="SingleTxtG"/>
        <w:rPr>
          <w:rFonts w:eastAsia="MS Mincho"/>
        </w:rPr>
      </w:pPr>
      <w:r>
        <w:rPr>
          <w:rFonts w:eastAsia="MS Mincho"/>
        </w:rPr>
        <w:tab/>
      </w:r>
      <w:r w:rsidR="0047156B" w:rsidRPr="009B0362">
        <w:rPr>
          <w:rFonts w:eastAsia="MS Mincho"/>
        </w:rPr>
        <w:t>We concur with the Committee’s conclusion that the State party has violated the rights of the author under article</w:t>
      </w:r>
      <w:r w:rsidR="0047156B" w:rsidRPr="009B0362">
        <w:rPr>
          <w:rFonts w:eastAsia="MS Mincho" w:hint="eastAsia"/>
        </w:rPr>
        <w:t xml:space="preserve"> </w:t>
      </w:r>
      <w:r w:rsidR="0047156B" w:rsidRPr="009B0362">
        <w:rPr>
          <w:rFonts w:eastAsia="MS Mincho"/>
        </w:rPr>
        <w:t>18</w:t>
      </w:r>
      <w:r>
        <w:rPr>
          <w:rFonts w:eastAsia="MS Mincho"/>
        </w:rPr>
        <w:t xml:space="preserve"> (</w:t>
      </w:r>
      <w:r w:rsidR="0047156B" w:rsidRPr="009B0362">
        <w:rPr>
          <w:rFonts w:eastAsia="MS Mincho" w:hint="eastAsia"/>
        </w:rPr>
        <w:t>1</w:t>
      </w:r>
      <w:r>
        <w:rPr>
          <w:rFonts w:eastAsia="MS Mincho"/>
        </w:rPr>
        <w:t>)</w:t>
      </w:r>
      <w:r w:rsidR="0047156B" w:rsidRPr="009B0362">
        <w:rPr>
          <w:rFonts w:eastAsia="MS Mincho"/>
        </w:rPr>
        <w:t xml:space="preserve"> of the Covenant, but for reasons</w:t>
      </w:r>
      <w:r w:rsidR="0047156B" w:rsidRPr="009B0362">
        <w:rPr>
          <w:rFonts w:eastAsia="MS Mincho" w:hint="eastAsia"/>
        </w:rPr>
        <w:t xml:space="preserve"> different from </w:t>
      </w:r>
      <w:r>
        <w:rPr>
          <w:rFonts w:eastAsia="MS Mincho"/>
        </w:rPr>
        <w:t xml:space="preserve">those of </w:t>
      </w:r>
      <w:r w:rsidR="0047156B" w:rsidRPr="009B0362">
        <w:rPr>
          <w:rFonts w:eastAsia="MS Mincho" w:hint="eastAsia"/>
        </w:rPr>
        <w:t>the majority of the Committee</w:t>
      </w:r>
      <w:r w:rsidR="0047156B" w:rsidRPr="009B0362">
        <w:rPr>
          <w:rFonts w:eastAsia="MS Mincho"/>
        </w:rPr>
        <w:t>.</w:t>
      </w:r>
      <w:r w:rsidR="0047156B" w:rsidRPr="00751110">
        <w:rPr>
          <w:rStyle w:val="FootnoteReference"/>
          <w:rFonts w:eastAsia="MS Mincho"/>
        </w:rPr>
        <w:footnoteReference w:id="25"/>
      </w:r>
      <w:r w:rsidR="0047156B">
        <w:rPr>
          <w:rFonts w:eastAsia="MS Mincho" w:hint="eastAsia"/>
        </w:rPr>
        <w:t xml:space="preserve"> </w:t>
      </w:r>
      <w:r w:rsidR="0047156B" w:rsidRPr="009B0362">
        <w:rPr>
          <w:rFonts w:eastAsia="MS Mincho"/>
        </w:rPr>
        <w:t xml:space="preserve">We will retain our reasoning even though we may not find it compelling to repeat it in future </w:t>
      </w:r>
      <w:r w:rsidR="0047156B" w:rsidRPr="009B0362">
        <w:rPr>
          <w:rFonts w:eastAsia="MS Mincho" w:hint="eastAsia"/>
        </w:rPr>
        <w:t>communication</w:t>
      </w:r>
      <w:r w:rsidR="0047156B" w:rsidRPr="009B0362">
        <w:rPr>
          <w:rFonts w:eastAsia="MS Mincho"/>
        </w:rPr>
        <w:t>s</w:t>
      </w:r>
      <w:r w:rsidR="0047156B" w:rsidRPr="009B0362">
        <w:rPr>
          <w:rFonts w:eastAsia="MS Mincho" w:hint="eastAsia"/>
        </w:rPr>
        <w:t>.</w:t>
      </w:r>
    </w:p>
    <w:p w14:paraId="3CCD8F40" w14:textId="77777777" w:rsidR="0047156B" w:rsidRPr="0047156B" w:rsidRDefault="0047156B" w:rsidP="00751110"/>
    <w:p w14:paraId="34FD68CF" w14:textId="77777777"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751110">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22T15:03:00Z" w:initials="Start">
    <w:p w14:paraId="380EE4D3" w14:textId="77777777" w:rsidR="00312C0F" w:rsidRDefault="00312C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NO&gt;&gt;N1528946E&lt;&lt;ODS JOB NO&gt;&gt;</w:t>
      </w:r>
    </w:p>
    <w:p w14:paraId="2E6D46B9" w14:textId="77777777" w:rsidR="00312C0F" w:rsidRDefault="00312C0F">
      <w:pPr>
        <w:pStyle w:val="CommentText"/>
      </w:pPr>
      <w:r>
        <w:t>&lt;&lt;ODS DOC SYMBOL1&gt;&gt;CCPR/C/115/D/2221/2012&lt;&lt;ODS DOC SYMBOL1&gt;&gt;</w:t>
      </w:r>
    </w:p>
    <w:p w14:paraId="313EF968" w14:textId="77777777" w:rsidR="00312C0F" w:rsidRDefault="00312C0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EF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1B74" w14:textId="77777777" w:rsidR="008F3491" w:rsidRDefault="008F3491"/>
  </w:endnote>
  <w:endnote w:type="continuationSeparator" w:id="0">
    <w:p w14:paraId="078ADCE7" w14:textId="77777777" w:rsidR="008F3491" w:rsidRDefault="008F3491"/>
  </w:endnote>
  <w:endnote w:type="continuationNotice" w:id="1">
    <w:p w14:paraId="16A55347" w14:textId="77777777" w:rsidR="008F3491" w:rsidRDefault="008F3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BC6C" w14:textId="77777777" w:rsidR="00DA1F54" w:rsidRPr="00A36331" w:rsidRDefault="00DA1F54"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725E30">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4E7B" w14:textId="77777777" w:rsidR="00DA1F54" w:rsidRPr="00751110" w:rsidRDefault="00DA1F54" w:rsidP="003521FD">
    <w:pPr>
      <w:pStyle w:val="Footer"/>
      <w:tabs>
        <w:tab w:val="right" w:pos="9638"/>
      </w:tabs>
      <w:rPr>
        <w:b/>
        <w:bCs/>
        <w:sz w:val="18"/>
      </w:rPr>
    </w:pPr>
    <w:r>
      <w:rPr>
        <w:b/>
        <w:sz w:val="18"/>
      </w:rPr>
      <w:tab/>
    </w:r>
    <w:r w:rsidRPr="00751110">
      <w:rPr>
        <w:b/>
        <w:bCs/>
        <w:sz w:val="18"/>
      </w:rPr>
      <w:fldChar w:fldCharType="begin"/>
    </w:r>
    <w:r w:rsidRPr="00751110">
      <w:rPr>
        <w:b/>
        <w:bCs/>
        <w:sz w:val="18"/>
      </w:rPr>
      <w:instrText xml:space="preserve"> PAGE  \* MERGEFORMAT </w:instrText>
    </w:r>
    <w:r w:rsidRPr="00751110">
      <w:rPr>
        <w:b/>
        <w:bCs/>
        <w:sz w:val="18"/>
      </w:rPr>
      <w:fldChar w:fldCharType="separate"/>
    </w:r>
    <w:r w:rsidR="00725E30">
      <w:rPr>
        <w:b/>
        <w:bCs/>
        <w:noProof/>
        <w:sz w:val="18"/>
      </w:rPr>
      <w:t>3</w:t>
    </w:r>
    <w:r w:rsidRPr="0075111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12C0F" w14:paraId="0802A9DC" w14:textId="77777777" w:rsidTr="00312C0F">
      <w:tc>
        <w:tcPr>
          <w:tcW w:w="3614" w:type="dxa"/>
          <w:shd w:val="clear" w:color="auto" w:fill="auto"/>
        </w:tcPr>
        <w:p w14:paraId="585D3A98" w14:textId="77777777" w:rsidR="00312C0F" w:rsidRDefault="00312C0F" w:rsidP="00312C0F">
          <w:pPr>
            <w:pStyle w:val="Footer"/>
            <w:rPr>
              <w:sz w:val="20"/>
            </w:rPr>
          </w:pPr>
          <w:r>
            <w:rPr>
              <w:noProof/>
              <w:sz w:val="20"/>
              <w:lang w:val="en-US"/>
            </w:rPr>
            <w:drawing>
              <wp:anchor distT="0" distB="0" distL="114300" distR="114300" simplePos="0" relativeHeight="251658240" behindDoc="0" locked="0" layoutInCell="1" allowOverlap="1" wp14:anchorId="209C7303" wp14:editId="2CF5107C">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CPR/C/115/D/2221/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21/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GE.15-22124(E)</w:t>
          </w:r>
        </w:p>
        <w:p w14:paraId="0B9DB23D" w14:textId="77777777" w:rsidR="00312C0F" w:rsidRPr="00312C0F" w:rsidRDefault="00312C0F" w:rsidP="00312C0F">
          <w:pPr>
            <w:pStyle w:val="Footer"/>
            <w:rPr>
              <w:rFonts w:ascii="Barcode 3 of 9 by request" w:hAnsi="Barcode 3 of 9 by request"/>
              <w:sz w:val="24"/>
            </w:rPr>
          </w:pPr>
          <w:r>
            <w:rPr>
              <w:rFonts w:ascii="Barcode 3 of 9 by request" w:hAnsi="Barcode 3 of 9 by request"/>
              <w:sz w:val="24"/>
            </w:rPr>
            <w:t>*1522124*</w:t>
          </w:r>
        </w:p>
      </w:tc>
      <w:tc>
        <w:tcPr>
          <w:tcW w:w="4752" w:type="dxa"/>
          <w:shd w:val="clear" w:color="auto" w:fill="auto"/>
        </w:tcPr>
        <w:p w14:paraId="3BCB798B" w14:textId="77777777" w:rsidR="00312C0F" w:rsidRDefault="00312C0F" w:rsidP="00312C0F">
          <w:pPr>
            <w:pStyle w:val="Footer"/>
            <w:spacing w:line="240" w:lineRule="atLeast"/>
            <w:jc w:val="right"/>
            <w:rPr>
              <w:sz w:val="20"/>
            </w:rPr>
          </w:pPr>
          <w:r>
            <w:rPr>
              <w:noProof/>
              <w:sz w:val="20"/>
              <w:lang w:val="en-US"/>
            </w:rPr>
            <w:drawing>
              <wp:inline distT="0" distB="0" distL="0" distR="0" wp14:anchorId="50862915" wp14:editId="45E2E1C5">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93B00A9" w14:textId="77777777" w:rsidR="00312C0F" w:rsidRPr="00312C0F" w:rsidRDefault="00312C0F" w:rsidP="00312C0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A864C" w14:textId="77777777" w:rsidR="008F3491" w:rsidRPr="000B175B" w:rsidRDefault="008F3491" w:rsidP="003521FD">
      <w:pPr>
        <w:tabs>
          <w:tab w:val="right" w:pos="2155"/>
        </w:tabs>
        <w:spacing w:after="80"/>
        <w:ind w:left="680"/>
        <w:rPr>
          <w:u w:val="single"/>
        </w:rPr>
      </w:pPr>
      <w:r>
        <w:rPr>
          <w:u w:val="single"/>
        </w:rPr>
        <w:tab/>
      </w:r>
    </w:p>
  </w:footnote>
  <w:footnote w:type="continuationSeparator" w:id="0">
    <w:p w14:paraId="1B179813" w14:textId="77777777" w:rsidR="008F3491" w:rsidRPr="00FC68B7" w:rsidRDefault="008F3491" w:rsidP="003521FD">
      <w:pPr>
        <w:tabs>
          <w:tab w:val="left" w:pos="2155"/>
        </w:tabs>
        <w:spacing w:after="80"/>
        <w:ind w:left="680"/>
        <w:rPr>
          <w:u w:val="single"/>
        </w:rPr>
      </w:pPr>
      <w:r>
        <w:rPr>
          <w:u w:val="single"/>
        </w:rPr>
        <w:tab/>
      </w:r>
    </w:p>
  </w:footnote>
  <w:footnote w:type="continuationNotice" w:id="1">
    <w:p w14:paraId="5A0D8EF7" w14:textId="77777777" w:rsidR="008F3491" w:rsidRDefault="008F3491"/>
  </w:footnote>
  <w:footnote w:id="2">
    <w:p w14:paraId="2BFC25EC" w14:textId="77777777" w:rsidR="00DA1F54" w:rsidRPr="00751110" w:rsidRDefault="00DA1F54" w:rsidP="00E2566F">
      <w:pPr>
        <w:pStyle w:val="FootnoteText"/>
        <w:rPr>
          <w:bCs/>
          <w:szCs w:val="18"/>
          <w:lang w:val="fr-CH"/>
        </w:rPr>
      </w:pPr>
      <w:r w:rsidRPr="00751110">
        <w:rPr>
          <w:rStyle w:val="FootnoteReference"/>
          <w:lang w:val="fr-CH"/>
        </w:rPr>
        <w:tab/>
      </w:r>
      <w:r w:rsidRPr="00751110">
        <w:rPr>
          <w:rStyle w:val="FootnoteReference"/>
          <w:sz w:val="20"/>
          <w:vertAlign w:val="baseline"/>
          <w:lang w:val="fr-CH"/>
        </w:rPr>
        <w:t>*</w:t>
      </w:r>
      <w:r w:rsidRPr="00751110">
        <w:rPr>
          <w:rStyle w:val="FootnoteReference"/>
          <w:sz w:val="20"/>
          <w:vertAlign w:val="baseline"/>
          <w:lang w:val="fr-CH"/>
        </w:rPr>
        <w:tab/>
      </w:r>
      <w:bookmarkStart w:id="2" w:name="OLE_LINK1"/>
      <w:bookmarkStart w:id="3" w:name="OLE_LINK2"/>
      <w:r w:rsidRPr="00751110">
        <w:rPr>
          <w:szCs w:val="18"/>
          <w:lang w:val="fr-CH"/>
        </w:rPr>
        <w:t xml:space="preserve">The following members of the Committee participated in the examination of the present communication: </w:t>
      </w:r>
      <w:bookmarkEnd w:id="2"/>
      <w:bookmarkEnd w:id="3"/>
      <w:r w:rsidRPr="00751110">
        <w:rPr>
          <w:szCs w:val="18"/>
          <w:lang w:val="fr-CH"/>
        </w:rPr>
        <w:t>Yadh Ben Achour, Lazhari Bouzid, Sarah Cleveland, Ahmed</w:t>
      </w:r>
      <w:r>
        <w:rPr>
          <w:szCs w:val="18"/>
          <w:lang w:val="fr-CH"/>
        </w:rPr>
        <w:t> </w:t>
      </w:r>
      <w:r w:rsidRPr="00751110">
        <w:rPr>
          <w:szCs w:val="18"/>
          <w:lang w:val="fr-CH"/>
        </w:rPr>
        <w:t xml:space="preserve">Amin Fathalla, </w:t>
      </w:r>
      <w:r w:rsidR="003F2D6A" w:rsidRPr="00544EAA">
        <w:rPr>
          <w:szCs w:val="18"/>
          <w:lang w:val="fr-CH"/>
        </w:rPr>
        <w:t xml:space="preserve">Olivier de Frouville, </w:t>
      </w:r>
      <w:r w:rsidRPr="00751110">
        <w:rPr>
          <w:szCs w:val="18"/>
          <w:lang w:val="fr-CH"/>
        </w:rPr>
        <w:t>Yuji Iwasawa, Ivana Jeli</w:t>
      </w:r>
      <w:r>
        <w:rPr>
          <w:szCs w:val="18"/>
          <w:lang w:val="fr-CH"/>
        </w:rPr>
        <w:t>ć</w:t>
      </w:r>
      <w:r w:rsidRPr="00751110">
        <w:rPr>
          <w:szCs w:val="18"/>
          <w:lang w:val="fr-CH"/>
        </w:rPr>
        <w:t>, Duncan Laki</w:t>
      </w:r>
      <w:r>
        <w:rPr>
          <w:szCs w:val="18"/>
          <w:lang w:val="fr-CH"/>
        </w:rPr>
        <w:t xml:space="preserve"> </w:t>
      </w:r>
      <w:r w:rsidRPr="00A5710C">
        <w:rPr>
          <w:szCs w:val="18"/>
          <w:lang w:val="fr-CH"/>
        </w:rPr>
        <w:t>Muhumuza</w:t>
      </w:r>
      <w:r w:rsidRPr="00751110">
        <w:rPr>
          <w:szCs w:val="18"/>
          <w:lang w:val="fr-CH"/>
        </w:rPr>
        <w:t>, Photini Pazartzis, Mauro</w:t>
      </w:r>
      <w:r>
        <w:rPr>
          <w:szCs w:val="18"/>
          <w:lang w:val="fr-CH"/>
        </w:rPr>
        <w:t> </w:t>
      </w:r>
      <w:r w:rsidRPr="00751110">
        <w:rPr>
          <w:szCs w:val="18"/>
          <w:lang w:val="fr-CH"/>
        </w:rPr>
        <w:t xml:space="preserve">Politi, </w:t>
      </w:r>
      <w:r w:rsidRPr="00751110">
        <w:rPr>
          <w:bCs/>
          <w:szCs w:val="18"/>
          <w:lang w:val="fr-CH"/>
        </w:rPr>
        <w:t>Sir</w:t>
      </w:r>
      <w:r w:rsidRPr="00751110">
        <w:rPr>
          <w:szCs w:val="18"/>
          <w:lang w:val="fr-CH"/>
        </w:rPr>
        <w:t xml:space="preserve"> Nigel Rodley, V</w:t>
      </w:r>
      <w:r w:rsidR="008D5F5A">
        <w:rPr>
          <w:szCs w:val="18"/>
          <w:lang w:val="fr-CH"/>
        </w:rPr>
        <w:t>í</w:t>
      </w:r>
      <w:r w:rsidRPr="00751110">
        <w:rPr>
          <w:szCs w:val="18"/>
          <w:lang w:val="fr-CH"/>
        </w:rPr>
        <w:t>ctor Manuel Rodríguez-Rescia, Fabián Omar Salvioli, Dheerujlall Seetulsingh, Anja Seibert-Fohr, Yuval Shany, Konstantine Vardzelashvili and Margo Waterval</w:t>
      </w:r>
      <w:r w:rsidRPr="00751110">
        <w:rPr>
          <w:bCs/>
          <w:szCs w:val="18"/>
          <w:lang w:val="fr-CH"/>
        </w:rPr>
        <w:t>.</w:t>
      </w:r>
    </w:p>
    <w:p w14:paraId="0347A308" w14:textId="77777777" w:rsidR="00DA1F54" w:rsidRPr="00676CD3" w:rsidRDefault="00DA1F54">
      <w:pPr>
        <w:pStyle w:val="FootnoteText"/>
      </w:pPr>
      <w:r w:rsidRPr="00751110">
        <w:rPr>
          <w:rStyle w:val="FootnoteReference"/>
          <w:sz w:val="20"/>
        </w:rPr>
        <w:tab/>
      </w:r>
      <w:r w:rsidRPr="00751110">
        <w:rPr>
          <w:rStyle w:val="FootnoteReference"/>
          <w:sz w:val="20"/>
        </w:rPr>
        <w:tab/>
      </w:r>
      <w:r w:rsidRPr="00685E45">
        <w:t xml:space="preserve">The text of </w:t>
      </w:r>
      <w:r w:rsidRPr="00751110">
        <w:t>a joint</w:t>
      </w:r>
      <w:r w:rsidRPr="00685E45">
        <w:t xml:space="preserve"> opinion of Committee member</w:t>
      </w:r>
      <w:r>
        <w:t>s</w:t>
      </w:r>
      <w:r w:rsidRPr="00685E45">
        <w:t xml:space="preserve"> </w:t>
      </w:r>
      <w:r w:rsidRPr="00FA0D00">
        <w:t xml:space="preserve">Yuji Iwasawa, Anja Seibert-Fohr, Yuval Shany and Konstantine Vardzelashvili </w:t>
      </w:r>
      <w:r w:rsidRPr="00E70667">
        <w:t>(</w:t>
      </w:r>
      <w:r>
        <w:t>concurring</w:t>
      </w:r>
      <w:r w:rsidRPr="00E70667">
        <w:t>)</w:t>
      </w:r>
      <w:r w:rsidRPr="00685E45">
        <w:t xml:space="preserve"> </w:t>
      </w:r>
      <w:r>
        <w:t>is</w:t>
      </w:r>
      <w:r w:rsidRPr="00685E45">
        <w:t xml:space="preserve"> appended to the present Views</w:t>
      </w:r>
      <w:r>
        <w:t>.</w:t>
      </w:r>
    </w:p>
  </w:footnote>
  <w:footnote w:id="3">
    <w:p w14:paraId="6E462AA4" w14:textId="77777777" w:rsidR="00DA1F54" w:rsidRPr="00205987" w:rsidRDefault="00DA1F54">
      <w:pPr>
        <w:pStyle w:val="FootnoteText"/>
        <w:rPr>
          <w:lang w:val="en-GB"/>
        </w:rPr>
      </w:pPr>
      <w:r w:rsidRPr="00F5438C">
        <w:rPr>
          <w:lang w:val="en-GB"/>
        </w:rPr>
        <w:tab/>
      </w:r>
      <w:r w:rsidRPr="0021464B">
        <w:rPr>
          <w:rStyle w:val="FootnoteReference"/>
        </w:rPr>
        <w:footnoteRef/>
      </w:r>
      <w:r>
        <w:rPr>
          <w:lang w:val="en-GB"/>
        </w:rPr>
        <w:tab/>
        <w:t xml:space="preserve">Information contained in a </w:t>
      </w:r>
      <w:r w:rsidRPr="00205987">
        <w:rPr>
          <w:lang w:val="en-GB"/>
        </w:rPr>
        <w:t>statement of an official of the Military Commi</w:t>
      </w:r>
      <w:r>
        <w:rPr>
          <w:lang w:val="en-GB"/>
        </w:rPr>
        <w:t>s</w:t>
      </w:r>
      <w:r w:rsidRPr="00205987">
        <w:rPr>
          <w:lang w:val="en-GB"/>
        </w:rPr>
        <w:t xml:space="preserve">sariat </w:t>
      </w:r>
      <w:r>
        <w:rPr>
          <w:lang w:val="en-GB"/>
        </w:rPr>
        <w:t xml:space="preserve">included in the decision of the Dashoguz City Court of 9 August 2011 (an unofficial English translation of the ruling has been provided by the author). </w:t>
      </w:r>
    </w:p>
  </w:footnote>
  <w:footnote w:id="4">
    <w:p w14:paraId="14DED363" w14:textId="77777777" w:rsidR="00DA1F54" w:rsidRPr="00205987" w:rsidRDefault="00DA1F54" w:rsidP="00751110">
      <w:pPr>
        <w:pStyle w:val="FootnoteText"/>
        <w:rPr>
          <w:lang w:val="en-GB"/>
        </w:rPr>
      </w:pPr>
      <w:r w:rsidRPr="00E55A31">
        <w:rPr>
          <w:lang w:val="en-GB"/>
        </w:rPr>
        <w:tab/>
      </w:r>
      <w:r w:rsidRPr="0021464B">
        <w:rPr>
          <w:rStyle w:val="FootnoteReference"/>
        </w:rPr>
        <w:footnoteRef/>
      </w:r>
      <w:r>
        <w:rPr>
          <w:lang w:val="en-GB"/>
        </w:rPr>
        <w:tab/>
      </w:r>
      <w:r w:rsidRPr="00205987">
        <w:rPr>
          <w:lang w:val="en-GB"/>
        </w:rPr>
        <w:t>According to the statement of the</w:t>
      </w:r>
      <w:r>
        <w:rPr>
          <w:lang w:val="en-GB"/>
        </w:rPr>
        <w:t xml:space="preserve"> Military</w:t>
      </w:r>
      <w:r w:rsidRPr="00205987">
        <w:rPr>
          <w:lang w:val="en-GB"/>
        </w:rPr>
        <w:t xml:space="preserve"> Commi</w:t>
      </w:r>
      <w:r>
        <w:rPr>
          <w:lang w:val="en-GB"/>
        </w:rPr>
        <w:t>s</w:t>
      </w:r>
      <w:r w:rsidRPr="00205987">
        <w:rPr>
          <w:lang w:val="en-GB"/>
        </w:rPr>
        <w:t>sariat</w:t>
      </w:r>
      <w:r>
        <w:rPr>
          <w:lang w:val="en-GB"/>
        </w:rPr>
        <w:t xml:space="preserve"> official contained in the ruling of the Dashoguz City Court of 9 August 2011, in 2008,</w:t>
      </w:r>
      <w:r w:rsidRPr="00205987">
        <w:rPr>
          <w:lang w:val="en-GB"/>
        </w:rPr>
        <w:t xml:space="preserve"> 2009 </w:t>
      </w:r>
      <w:r>
        <w:rPr>
          <w:lang w:val="en-GB"/>
        </w:rPr>
        <w:t xml:space="preserve">and 2010 </w:t>
      </w:r>
      <w:r w:rsidRPr="00205987">
        <w:rPr>
          <w:lang w:val="en-GB"/>
        </w:rPr>
        <w:t>the aut</w:t>
      </w:r>
      <w:r>
        <w:rPr>
          <w:lang w:val="en-GB"/>
        </w:rPr>
        <w:t>h</w:t>
      </w:r>
      <w:r w:rsidRPr="00205987">
        <w:rPr>
          <w:lang w:val="en-GB"/>
        </w:rPr>
        <w:t xml:space="preserve">or </w:t>
      </w:r>
      <w:r>
        <w:rPr>
          <w:lang w:val="en-GB"/>
        </w:rPr>
        <w:t xml:space="preserve">wrote indicating that he could not perform military service because of his religion. The reasons why the author was given the deferrals during this period (2008-2010) are </w:t>
      </w:r>
      <w:r w:rsidR="003F2D6A">
        <w:rPr>
          <w:lang w:val="en-GB"/>
        </w:rPr>
        <w:t xml:space="preserve">not </w:t>
      </w:r>
      <w:r>
        <w:rPr>
          <w:lang w:val="en-GB"/>
        </w:rPr>
        <w:t xml:space="preserve">specified in the official’s statement or in the ruling. </w:t>
      </w:r>
    </w:p>
  </w:footnote>
  <w:footnote w:id="5">
    <w:p w14:paraId="43604678" w14:textId="77777777" w:rsidR="00DA1F54" w:rsidRPr="0028332A" w:rsidRDefault="00DA1F54" w:rsidP="00751110">
      <w:pPr>
        <w:pStyle w:val="FootnoteText"/>
        <w:rPr>
          <w:b/>
          <w:bCs/>
          <w:lang w:val="en-GB"/>
        </w:rPr>
      </w:pPr>
      <w:r>
        <w:rPr>
          <w:lang w:val="en-GB"/>
        </w:rPr>
        <w:tab/>
      </w:r>
      <w:r w:rsidRPr="0021464B">
        <w:rPr>
          <w:rStyle w:val="FootnoteReference"/>
        </w:rPr>
        <w:footnoteRef/>
      </w:r>
      <w:r>
        <w:rPr>
          <w:lang w:val="en-GB"/>
        </w:rPr>
        <w:tab/>
        <w:t>The author</w:t>
      </w:r>
      <w:r w:rsidRPr="00D20889">
        <w:rPr>
          <w:lang w:val="en-GB"/>
        </w:rPr>
        <w:t xml:space="preserve"> provided an unoffi</w:t>
      </w:r>
      <w:r>
        <w:rPr>
          <w:lang w:val="en-GB"/>
        </w:rPr>
        <w:t xml:space="preserve">cial translation of article 219 </w:t>
      </w:r>
      <w:r w:rsidRPr="00D20889">
        <w:rPr>
          <w:lang w:val="en-GB"/>
        </w:rPr>
        <w:t>(1)</w:t>
      </w:r>
      <w:r>
        <w:rPr>
          <w:lang w:val="en-GB"/>
        </w:rPr>
        <w:t xml:space="preserve"> of the Criminal Code</w:t>
      </w:r>
      <w:r w:rsidRPr="00D20889">
        <w:rPr>
          <w:lang w:val="en-GB"/>
        </w:rPr>
        <w:t xml:space="preserve">. </w:t>
      </w:r>
      <w:r w:rsidRPr="002775CA">
        <w:rPr>
          <w:bCs/>
          <w:lang w:val="en-GB"/>
        </w:rPr>
        <w:t>Article 219: Evasion of the draft for military service:</w:t>
      </w:r>
      <w:r w:rsidRPr="00D20889">
        <w:rPr>
          <w:b/>
          <w:bCs/>
          <w:lang w:val="en-GB"/>
        </w:rPr>
        <w:t xml:space="preserve"> </w:t>
      </w:r>
      <w:r w:rsidRPr="00D20889">
        <w:rPr>
          <w:lang w:val="en-GB"/>
        </w:rPr>
        <w:t>(1) Evasion of the draft for military</w:t>
      </w:r>
      <w:r w:rsidRPr="00D20889">
        <w:rPr>
          <w:b/>
          <w:bCs/>
          <w:lang w:val="en-GB"/>
        </w:rPr>
        <w:t xml:space="preserve"> </w:t>
      </w:r>
      <w:r w:rsidRPr="00D20889">
        <w:rPr>
          <w:lang w:val="en-GB"/>
        </w:rPr>
        <w:t>service without legal grounds for</w:t>
      </w:r>
      <w:r w:rsidRPr="00D20889">
        <w:rPr>
          <w:b/>
          <w:bCs/>
          <w:lang w:val="en-GB"/>
        </w:rPr>
        <w:t xml:space="preserve"> </w:t>
      </w:r>
      <w:r w:rsidRPr="00D20889">
        <w:rPr>
          <w:lang w:val="en-GB"/>
        </w:rPr>
        <w:t>exemption from such service,</w:t>
      </w:r>
      <w:r w:rsidRPr="00D20889">
        <w:rPr>
          <w:b/>
          <w:bCs/>
          <w:lang w:val="en-GB"/>
        </w:rPr>
        <w:t xml:space="preserve"> </w:t>
      </w:r>
      <w:r>
        <w:rPr>
          <w:lang w:val="en-GB"/>
        </w:rPr>
        <w:t>s</w:t>
      </w:r>
      <w:r w:rsidRPr="00D20889">
        <w:rPr>
          <w:lang w:val="en-GB"/>
        </w:rPr>
        <w:t>hall be punished by up to two years of</w:t>
      </w:r>
      <w:r w:rsidRPr="00D20889">
        <w:rPr>
          <w:b/>
          <w:bCs/>
          <w:lang w:val="en-GB"/>
        </w:rPr>
        <w:t xml:space="preserve"> </w:t>
      </w:r>
      <w:r w:rsidRPr="00D20889">
        <w:rPr>
          <w:lang w:val="en-GB"/>
        </w:rPr>
        <w:t>corrective labo</w:t>
      </w:r>
      <w:r>
        <w:rPr>
          <w:lang w:val="en-GB"/>
        </w:rPr>
        <w:t>u</w:t>
      </w:r>
      <w:r w:rsidRPr="00D20889">
        <w:rPr>
          <w:lang w:val="en-GB"/>
        </w:rPr>
        <w:t>r or up to two years of</w:t>
      </w:r>
      <w:r w:rsidRPr="00D20889">
        <w:rPr>
          <w:b/>
          <w:bCs/>
          <w:lang w:val="en-GB"/>
        </w:rPr>
        <w:t xml:space="preserve"> </w:t>
      </w:r>
      <w:r w:rsidRPr="00D20889">
        <w:rPr>
          <w:lang w:val="en-GB"/>
        </w:rPr>
        <w:t>deprivation of freedom</w:t>
      </w:r>
      <w:r w:rsidR="003F2D6A">
        <w:rPr>
          <w:lang w:val="en-GB"/>
        </w:rPr>
        <w:t xml:space="preserve"> and</w:t>
      </w:r>
      <w:r>
        <w:rPr>
          <w:lang w:val="en-GB"/>
        </w:rPr>
        <w:t xml:space="preserve"> s</w:t>
      </w:r>
      <w:r w:rsidRPr="00D20889">
        <w:rPr>
          <w:lang w:val="en-GB"/>
        </w:rPr>
        <w:t>hall be punished by three to ten years</w:t>
      </w:r>
      <w:r w:rsidRPr="00D20889">
        <w:rPr>
          <w:b/>
          <w:bCs/>
          <w:lang w:val="en-GB"/>
        </w:rPr>
        <w:t xml:space="preserve"> </w:t>
      </w:r>
      <w:r w:rsidRPr="00D20889">
        <w:rPr>
          <w:lang w:val="en-GB"/>
        </w:rPr>
        <w:t xml:space="preserve">of deprivation of </w:t>
      </w:r>
      <w:r>
        <w:rPr>
          <w:lang w:val="en-GB"/>
        </w:rPr>
        <w:t>liberty</w:t>
      </w:r>
      <w:r w:rsidRPr="00D20889">
        <w:rPr>
          <w:lang w:val="en-GB"/>
        </w:rPr>
        <w:t>.</w:t>
      </w:r>
    </w:p>
  </w:footnote>
  <w:footnote w:id="6">
    <w:p w14:paraId="5F7C4AB3" w14:textId="77777777" w:rsidR="00DA1F54" w:rsidRPr="001E61B3" w:rsidRDefault="00DA1F54">
      <w:pPr>
        <w:pStyle w:val="FootnoteText"/>
        <w:rPr>
          <w:lang w:val="en-GB"/>
        </w:rPr>
      </w:pPr>
      <w:r>
        <w:rPr>
          <w:lang w:val="en-GB"/>
        </w:rPr>
        <w:tab/>
      </w:r>
      <w:r w:rsidRPr="0021464B">
        <w:rPr>
          <w:rStyle w:val="FootnoteReference"/>
        </w:rPr>
        <w:footnoteRef/>
      </w:r>
      <w:r>
        <w:rPr>
          <w:lang w:val="en-GB"/>
        </w:rPr>
        <w:tab/>
        <w:t xml:space="preserve">The author provided an unofficial translation of the ruling of the Dashoguz Regional Court. </w:t>
      </w:r>
    </w:p>
  </w:footnote>
  <w:footnote w:id="7">
    <w:p w14:paraId="3E4A9E74" w14:textId="77777777" w:rsidR="00DA1F54" w:rsidRPr="00003F8E" w:rsidRDefault="00DA1F54">
      <w:pPr>
        <w:pStyle w:val="FootnoteText"/>
      </w:pPr>
      <w:r>
        <w:tab/>
      </w:r>
      <w:r w:rsidRPr="0021464B">
        <w:rPr>
          <w:rStyle w:val="FootnoteReference"/>
        </w:rPr>
        <w:footnoteRef/>
      </w:r>
      <w:r w:rsidRPr="00751110">
        <w:tab/>
      </w:r>
      <w:r w:rsidRPr="008161E4">
        <w:t>S</w:t>
      </w:r>
      <w:r w:rsidRPr="008161E4">
        <w:rPr>
          <w:lang w:eastAsia="en-GB"/>
        </w:rPr>
        <w:t xml:space="preserve">ee </w:t>
      </w:r>
      <w:r w:rsidRPr="008161E4">
        <w:t>CAT/C/TKM/CO/1, para. </w:t>
      </w:r>
      <w:r w:rsidRPr="00003F8E">
        <w:t>10.</w:t>
      </w:r>
    </w:p>
  </w:footnote>
  <w:footnote w:id="8">
    <w:p w14:paraId="4FAD916B" w14:textId="77777777" w:rsidR="00DA1F54" w:rsidRPr="007E4354" w:rsidRDefault="00DA1F54">
      <w:pPr>
        <w:pStyle w:val="FootnoteText"/>
        <w:rPr>
          <w:lang w:val="en-GB"/>
        </w:rPr>
      </w:pPr>
      <w:r w:rsidRPr="00751110">
        <w:tab/>
      </w:r>
      <w:r w:rsidRPr="007E4354">
        <w:rPr>
          <w:rStyle w:val="FootnoteReference"/>
        </w:rPr>
        <w:footnoteRef/>
      </w:r>
      <w:r w:rsidRPr="00751110">
        <w:tab/>
        <w:t xml:space="preserve">Ibid., para. </w:t>
      </w:r>
      <w:r w:rsidRPr="007E4354">
        <w:rPr>
          <w:lang w:val="en-GB"/>
        </w:rPr>
        <w:t>11.</w:t>
      </w:r>
    </w:p>
  </w:footnote>
  <w:footnote w:id="9">
    <w:p w14:paraId="50B0A870" w14:textId="77777777" w:rsidR="00DA1F54" w:rsidRPr="00FF66EF" w:rsidRDefault="00DA1F54">
      <w:pPr>
        <w:pStyle w:val="FootnoteText"/>
        <w:rPr>
          <w:lang w:val="en-GB"/>
        </w:rPr>
      </w:pPr>
      <w:r>
        <w:rPr>
          <w:lang w:val="en-GB"/>
        </w:rPr>
        <w:tab/>
      </w:r>
      <w:r w:rsidRPr="0021464B">
        <w:rPr>
          <w:rStyle w:val="FootnoteReference"/>
        </w:rPr>
        <w:footnoteRef/>
      </w:r>
      <w:r>
        <w:rPr>
          <w:lang w:val="en-GB"/>
        </w:rPr>
        <w:tab/>
        <w:t>See paras. 2.4 and 5.3.</w:t>
      </w:r>
    </w:p>
  </w:footnote>
  <w:footnote w:id="10">
    <w:p w14:paraId="243AA01D" w14:textId="77777777" w:rsidR="00DA1F54" w:rsidRPr="009F6F75" w:rsidRDefault="00DA1F54">
      <w:pPr>
        <w:pStyle w:val="FootnoteText"/>
        <w:rPr>
          <w:lang w:val="en-GB"/>
        </w:rPr>
      </w:pPr>
      <w:r>
        <w:rPr>
          <w:lang w:val="en-GB"/>
        </w:rPr>
        <w:tab/>
      </w:r>
      <w:r w:rsidRPr="007E4354">
        <w:rPr>
          <w:rStyle w:val="FootnoteReference"/>
        </w:rPr>
        <w:footnoteRef/>
      </w:r>
      <w:r w:rsidRPr="007E4354">
        <w:rPr>
          <w:lang w:val="en-GB"/>
        </w:rPr>
        <w:tab/>
      </w:r>
      <w:r w:rsidRPr="009F6F75">
        <w:rPr>
          <w:lang w:val="en-GB"/>
        </w:rPr>
        <w:t>CAT/C/TKM/CO/1, para. 18.</w:t>
      </w:r>
    </w:p>
  </w:footnote>
  <w:footnote w:id="11">
    <w:p w14:paraId="781D40B0" w14:textId="77777777" w:rsidR="00DA1F54" w:rsidRPr="00D339C1" w:rsidRDefault="00DA1F54">
      <w:pPr>
        <w:pStyle w:val="FootnoteText"/>
        <w:rPr>
          <w:lang w:val="en-GB"/>
        </w:rPr>
      </w:pPr>
      <w:r>
        <w:rPr>
          <w:lang w:val="en-GB"/>
        </w:rPr>
        <w:tab/>
      </w:r>
      <w:r w:rsidRPr="0021464B">
        <w:rPr>
          <w:rStyle w:val="FootnoteReference"/>
        </w:rPr>
        <w:footnoteRef/>
      </w:r>
      <w:r w:rsidRPr="007751C7">
        <w:rPr>
          <w:lang w:val="en-GB"/>
        </w:rPr>
        <w:tab/>
      </w:r>
      <w:r w:rsidRPr="00665963">
        <w:t>The author provided a detailed description of the ill</w:t>
      </w:r>
      <w:r>
        <w:t>-</w:t>
      </w:r>
      <w:r w:rsidRPr="00665963">
        <w:t>treatment he was subjected to while in detention when he was released in August 2013. See para. 5.3</w:t>
      </w:r>
      <w:r>
        <w:t>.</w:t>
      </w:r>
    </w:p>
  </w:footnote>
  <w:footnote w:id="12">
    <w:p w14:paraId="15479D12" w14:textId="77777777" w:rsidR="00DA1F54" w:rsidRDefault="00DA1F54">
      <w:pPr>
        <w:pStyle w:val="FootnoteText"/>
      </w:pPr>
      <w:r>
        <w:tab/>
      </w:r>
      <w:r w:rsidRPr="0021464B">
        <w:rPr>
          <w:rStyle w:val="FootnoteReference"/>
        </w:rPr>
        <w:footnoteRef/>
      </w:r>
      <w:r w:rsidRPr="00483B89">
        <w:rPr>
          <w:lang w:val="en-GB"/>
        </w:rPr>
        <w:tab/>
      </w:r>
      <w:r>
        <w:t xml:space="preserve">See, for example, </w:t>
      </w:r>
      <w:r w:rsidRPr="00330053">
        <w:t>communication</w:t>
      </w:r>
      <w:r w:rsidR="008D5F5A">
        <w:t>s</w:t>
      </w:r>
      <w:r>
        <w:t xml:space="preserve"> No</w:t>
      </w:r>
      <w:r w:rsidR="003F2D6A">
        <w:t>s</w:t>
      </w:r>
      <w:r>
        <w:t xml:space="preserve">. 1853-1854/2008, </w:t>
      </w:r>
      <w:r>
        <w:rPr>
          <w:i/>
        </w:rPr>
        <w:t xml:space="preserve">Atasoy and Sarkut v. </w:t>
      </w:r>
      <w:r w:rsidRPr="00557507">
        <w:rPr>
          <w:i/>
        </w:rPr>
        <w:t>Turkey</w:t>
      </w:r>
      <w:r>
        <w:t>, Views adopted on 29 March 2012, paras. 10.4 and 10.5.</w:t>
      </w:r>
    </w:p>
  </w:footnote>
  <w:footnote w:id="13">
    <w:p w14:paraId="77617C33" w14:textId="77777777" w:rsidR="00DA1F54" w:rsidRPr="00FD0797" w:rsidRDefault="00DA1F54">
      <w:pPr>
        <w:pStyle w:val="FootnoteText"/>
        <w:rPr>
          <w:lang w:val="en-GB"/>
        </w:rPr>
      </w:pPr>
      <w:r>
        <w:rPr>
          <w:lang w:val="en-GB"/>
        </w:rPr>
        <w:tab/>
      </w:r>
      <w:r w:rsidRPr="0021464B">
        <w:rPr>
          <w:rStyle w:val="FootnoteReference"/>
        </w:rPr>
        <w:footnoteRef/>
      </w:r>
      <w:r>
        <w:rPr>
          <w:lang w:val="en-GB"/>
        </w:rPr>
        <w:tab/>
        <w:t>The author’s submission was transmitted to the State party on 9 December 2014.</w:t>
      </w:r>
      <w:r>
        <w:t xml:space="preserve"> </w:t>
      </w:r>
    </w:p>
  </w:footnote>
  <w:footnote w:id="14">
    <w:p w14:paraId="71E6A75C" w14:textId="77777777" w:rsidR="00DA1F54" w:rsidRPr="00AC658F" w:rsidRDefault="00DA1F54">
      <w:pPr>
        <w:pStyle w:val="FootnoteText"/>
        <w:rPr>
          <w:lang w:val="en-GB"/>
        </w:rPr>
      </w:pPr>
      <w:r>
        <w:rPr>
          <w:lang w:val="en-GB"/>
        </w:rPr>
        <w:tab/>
      </w:r>
      <w:r w:rsidRPr="0021464B">
        <w:rPr>
          <w:rStyle w:val="FootnoteReference"/>
        </w:rPr>
        <w:footnoteRef/>
      </w:r>
      <w:r>
        <w:rPr>
          <w:lang w:val="en-GB"/>
        </w:rPr>
        <w:tab/>
        <w:t>The author does not specify the date of this event.</w:t>
      </w:r>
    </w:p>
  </w:footnote>
  <w:footnote w:id="15">
    <w:p w14:paraId="38AF77EC" w14:textId="77777777" w:rsidR="00DA1F54" w:rsidRPr="001B6457" w:rsidRDefault="00DA1F54">
      <w:pPr>
        <w:pStyle w:val="FootnoteText"/>
        <w:rPr>
          <w:lang w:val="en-GB"/>
        </w:rPr>
      </w:pPr>
      <w:r>
        <w:rPr>
          <w:lang w:val="en-GB"/>
        </w:rPr>
        <w:tab/>
      </w:r>
      <w:r w:rsidRPr="0021464B">
        <w:rPr>
          <w:rStyle w:val="FootnoteReference"/>
        </w:rPr>
        <w:footnoteRef/>
      </w:r>
      <w:r>
        <w:rPr>
          <w:lang w:val="en-GB"/>
        </w:rPr>
        <w:tab/>
        <w:t>The author does not provide further information regarding this claim.</w:t>
      </w:r>
    </w:p>
  </w:footnote>
  <w:footnote w:id="16">
    <w:p w14:paraId="3E986A2F" w14:textId="77777777" w:rsidR="00DA1F54" w:rsidRPr="00921992" w:rsidRDefault="00DA1F54">
      <w:pPr>
        <w:pStyle w:val="FootnoteText"/>
      </w:pPr>
      <w:r>
        <w:rPr>
          <w:lang w:val="en-GB"/>
        </w:rPr>
        <w:tab/>
      </w:r>
      <w:r w:rsidRPr="0021464B">
        <w:rPr>
          <w:rStyle w:val="FootnoteReference"/>
        </w:rPr>
        <w:footnoteRef/>
      </w:r>
      <w:r>
        <w:rPr>
          <w:lang w:val="en-GB"/>
        </w:rPr>
        <w:tab/>
      </w:r>
      <w:r>
        <w:t xml:space="preserve">See, for example, </w:t>
      </w:r>
      <w:r w:rsidRPr="0067314F">
        <w:t>communication</w:t>
      </w:r>
      <w:r w:rsidRPr="00921992">
        <w:t xml:space="preserve"> No. </w:t>
      </w:r>
      <w:r>
        <w:t>2097/2011</w:t>
      </w:r>
      <w:r w:rsidRPr="00921992">
        <w:t xml:space="preserve">, </w:t>
      </w:r>
      <w:r>
        <w:rPr>
          <w:i/>
          <w:iCs/>
        </w:rPr>
        <w:t>Timmer v. the Netherlands</w:t>
      </w:r>
      <w:r w:rsidRPr="00921992">
        <w:t xml:space="preserve">, </w:t>
      </w:r>
      <w:r>
        <w:t xml:space="preserve">Views adopted on 24 July 2014, para. 6.3. </w:t>
      </w:r>
    </w:p>
  </w:footnote>
  <w:footnote w:id="17">
    <w:p w14:paraId="782E518E" w14:textId="77777777" w:rsidR="00DA1F54" w:rsidRPr="00E947E0" w:rsidRDefault="00DA1F54">
      <w:pPr>
        <w:pStyle w:val="FootnoteText"/>
        <w:rPr>
          <w:lang w:val="en-GB"/>
        </w:rPr>
      </w:pPr>
      <w:r>
        <w:rPr>
          <w:lang w:val="en-GB"/>
        </w:rPr>
        <w:tab/>
      </w:r>
      <w:r w:rsidRPr="0021464B">
        <w:rPr>
          <w:rStyle w:val="FootnoteReference"/>
        </w:rPr>
        <w:footnoteRef/>
      </w:r>
      <w:r>
        <w:rPr>
          <w:lang w:val="en-GB"/>
        </w:rPr>
        <w:tab/>
        <w:t>See para. 3.2.</w:t>
      </w:r>
    </w:p>
  </w:footnote>
  <w:footnote w:id="18">
    <w:p w14:paraId="23FBB58A" w14:textId="77777777" w:rsidR="00DA1F54" w:rsidRPr="007565D4" w:rsidRDefault="00DA1F54">
      <w:pPr>
        <w:pStyle w:val="FootnoteText"/>
        <w:rPr>
          <w:lang w:val="en-GB"/>
        </w:rPr>
      </w:pPr>
      <w:r>
        <w:rPr>
          <w:lang w:val="en-GB"/>
        </w:rPr>
        <w:tab/>
      </w:r>
      <w:r w:rsidRPr="0021464B">
        <w:rPr>
          <w:rStyle w:val="FootnoteReference"/>
        </w:rPr>
        <w:footnoteRef/>
      </w:r>
      <w:r w:rsidRPr="00751110">
        <w:rPr>
          <w:lang w:val="pt-BR"/>
        </w:rPr>
        <w:tab/>
        <w:t xml:space="preserve">CAT/C/TKM/CO/1, para. </w:t>
      </w:r>
      <w:r>
        <w:rPr>
          <w:lang w:val="en-GB"/>
        </w:rPr>
        <w:t>19.</w:t>
      </w:r>
    </w:p>
  </w:footnote>
  <w:footnote w:id="19">
    <w:p w14:paraId="0A7039D7" w14:textId="77777777" w:rsidR="00DA1F54" w:rsidRPr="006E3654" w:rsidRDefault="00DA1F54">
      <w:pPr>
        <w:pStyle w:val="FootnoteText"/>
      </w:pPr>
      <w:r>
        <w:tab/>
      </w:r>
      <w:r w:rsidRPr="0021464B">
        <w:rPr>
          <w:rStyle w:val="FootnoteReference"/>
        </w:rPr>
        <w:footnoteRef/>
      </w:r>
      <w:r>
        <w:tab/>
      </w:r>
      <w:r w:rsidRPr="0096345C">
        <w:t>See</w:t>
      </w:r>
      <w:r>
        <w:t>, for example,</w:t>
      </w:r>
      <w:r w:rsidRPr="0096345C">
        <w:t xml:space="preserve"> communication</w:t>
      </w:r>
      <w:r w:rsidR="00322708">
        <w:t>s</w:t>
      </w:r>
      <w:r w:rsidRPr="0096345C">
        <w:t xml:space="preserve"> No. </w:t>
      </w:r>
      <w:r>
        <w:t>1520/</w:t>
      </w:r>
      <w:r w:rsidRPr="0067314F">
        <w:t>2006</w:t>
      </w:r>
      <w:r w:rsidRPr="0096345C">
        <w:t xml:space="preserve">, </w:t>
      </w:r>
      <w:r>
        <w:rPr>
          <w:i/>
        </w:rPr>
        <w:t>Mwamba v. Zambia</w:t>
      </w:r>
      <w:r w:rsidRPr="0096345C">
        <w:t xml:space="preserve">, Views adopted on </w:t>
      </w:r>
      <w:r>
        <w:t>10 March</w:t>
      </w:r>
      <w:r w:rsidRPr="0096345C">
        <w:t xml:space="preserve"> 2010, para.</w:t>
      </w:r>
      <w:r>
        <w:t xml:space="preserve"> 6.4 and No. 2218/2012, </w:t>
      </w:r>
      <w:r>
        <w:rPr>
          <w:i/>
        </w:rPr>
        <w:t>Abdullayev v. Turkmenistan</w:t>
      </w:r>
      <w:r>
        <w:t>, Views adopted on 25 March 2015, para. 7.3.</w:t>
      </w:r>
    </w:p>
  </w:footnote>
  <w:footnote w:id="20">
    <w:p w14:paraId="0E67A442" w14:textId="77777777" w:rsidR="00DA1F54" w:rsidRPr="0096345C" w:rsidRDefault="00DA1F54">
      <w:pPr>
        <w:pStyle w:val="FootnoteText"/>
      </w:pPr>
      <w:r>
        <w:tab/>
      </w:r>
      <w:r w:rsidRPr="0021464B">
        <w:rPr>
          <w:rStyle w:val="FootnoteReference"/>
        </w:rPr>
        <w:footnoteRef/>
      </w:r>
      <w:r>
        <w:tab/>
      </w:r>
      <w:r w:rsidRPr="0096345C">
        <w:t>See</w:t>
      </w:r>
      <w:r>
        <w:t>, for example,</w:t>
      </w:r>
      <w:r w:rsidRPr="0096345C">
        <w:t xml:space="preserve"> </w:t>
      </w:r>
      <w:r w:rsidRPr="0067314F">
        <w:t>communication</w:t>
      </w:r>
      <w:r w:rsidRPr="0096345C">
        <w:t xml:space="preserve"> No. 1530/2006, </w:t>
      </w:r>
      <w:r w:rsidRPr="0096345C">
        <w:rPr>
          <w:i/>
        </w:rPr>
        <w:t>Bozbey v. Turkmenistan</w:t>
      </w:r>
      <w:r w:rsidRPr="0096345C">
        <w:t>, Views adopted on 27 October 2010, para. 7.3</w:t>
      </w:r>
      <w:r>
        <w:t xml:space="preserve"> and</w:t>
      </w:r>
      <w:r w:rsidRPr="003C6761">
        <w:t xml:space="preserve"> </w:t>
      </w:r>
      <w:r w:rsidRPr="0071562B">
        <w:rPr>
          <w:i/>
        </w:rPr>
        <w:t>Abdullayev v. Turkmenistan</w:t>
      </w:r>
      <w:r>
        <w:t>, para. 7.3</w:t>
      </w:r>
      <w:r w:rsidRPr="0096345C">
        <w:t>.</w:t>
      </w:r>
    </w:p>
  </w:footnote>
  <w:footnote w:id="21">
    <w:p w14:paraId="39151F77" w14:textId="77777777" w:rsidR="00DA1F54" w:rsidRPr="003E2AC2" w:rsidRDefault="00DA1F54">
      <w:pPr>
        <w:pStyle w:val="FootnoteText"/>
      </w:pPr>
      <w:r>
        <w:tab/>
      </w:r>
      <w:r w:rsidRPr="0021464B">
        <w:rPr>
          <w:rStyle w:val="FootnoteReference"/>
        </w:rPr>
        <w:footnoteRef/>
      </w:r>
      <w:r>
        <w:tab/>
      </w:r>
      <w:r w:rsidRPr="003E2AC2">
        <w:t>See communication</w:t>
      </w:r>
      <w:r>
        <w:t>s</w:t>
      </w:r>
      <w:r w:rsidRPr="003E2AC2">
        <w:t xml:space="preserve"> Nos. 1321</w:t>
      </w:r>
      <w:r>
        <w:t>-</w:t>
      </w:r>
      <w:r w:rsidRPr="003E2AC2">
        <w:t xml:space="preserve">1322/2004, </w:t>
      </w:r>
      <w:r w:rsidRPr="001002BF">
        <w:rPr>
          <w:i/>
        </w:rPr>
        <w:t>Yeo-Bum Yoon and Myung-Jin Choi v. the Republic of Korea</w:t>
      </w:r>
      <w:r w:rsidRPr="003E2AC2">
        <w:t xml:space="preserve">, Views adopted on 3 November 2006, para. 8.3; No. 1786/2008, </w:t>
      </w:r>
      <w:r w:rsidRPr="001002BF">
        <w:rPr>
          <w:i/>
        </w:rPr>
        <w:t xml:space="preserve">Jong-nam Kim et al. v. </w:t>
      </w:r>
      <w:r w:rsidR="007E4354">
        <w:rPr>
          <w:i/>
        </w:rPr>
        <w:t xml:space="preserve">the </w:t>
      </w:r>
      <w:r w:rsidRPr="001002BF">
        <w:rPr>
          <w:i/>
        </w:rPr>
        <w:t>Republic of Korea</w:t>
      </w:r>
      <w:r w:rsidRPr="003E2AC2">
        <w:t>, Views adopted on 25 October 2012, para. 7.3</w:t>
      </w:r>
      <w:r>
        <w:t xml:space="preserve">; </w:t>
      </w:r>
      <w:r w:rsidRPr="001002BF">
        <w:rPr>
          <w:i/>
        </w:rPr>
        <w:t>Abdullayev v. Turkmenistan</w:t>
      </w:r>
      <w:r>
        <w:t xml:space="preserve">, </w:t>
      </w:r>
      <w:r w:rsidRPr="0082419E">
        <w:t>para. 7.</w:t>
      </w:r>
      <w:r>
        <w:t>7</w:t>
      </w:r>
      <w:r w:rsidR="004F09E1">
        <w:t>;</w:t>
      </w:r>
      <w:r w:rsidRPr="00A6689B">
        <w:rPr>
          <w:lang w:val="en-GB"/>
        </w:rPr>
        <w:t xml:space="preserve"> and No</w:t>
      </w:r>
      <w:r w:rsidR="004F09E1">
        <w:rPr>
          <w:lang w:val="en-GB"/>
        </w:rPr>
        <w:t>s</w:t>
      </w:r>
      <w:r w:rsidRPr="00A6689B">
        <w:rPr>
          <w:lang w:val="en-GB"/>
        </w:rPr>
        <w:t xml:space="preserve">. 1853-1854/2008, </w:t>
      </w:r>
      <w:r w:rsidRPr="00A6689B">
        <w:rPr>
          <w:i/>
          <w:lang w:val="en-GB"/>
        </w:rPr>
        <w:t>Atasoy and Sarkut v. Turkey</w:t>
      </w:r>
      <w:r w:rsidRPr="00A6689B">
        <w:rPr>
          <w:lang w:val="en-GB"/>
        </w:rPr>
        <w:t>, Views adopted on 29 March 2012, paras. 10.4 and 10.5.</w:t>
      </w:r>
    </w:p>
  </w:footnote>
  <w:footnote w:id="22">
    <w:p w14:paraId="7A64E780" w14:textId="77777777" w:rsidR="00DA1F54" w:rsidRPr="00D339C1" w:rsidRDefault="00DA1F54">
      <w:pPr>
        <w:pStyle w:val="FootnoteText"/>
        <w:rPr>
          <w:lang w:val="en-GB"/>
        </w:rPr>
      </w:pPr>
      <w:r>
        <w:tab/>
      </w:r>
      <w:r w:rsidRPr="0021464B">
        <w:rPr>
          <w:rStyle w:val="FootnoteReference"/>
        </w:rPr>
        <w:footnoteRef/>
      </w:r>
      <w:r>
        <w:tab/>
      </w:r>
      <w:r w:rsidRPr="003E2AC2">
        <w:t>See communication</w:t>
      </w:r>
      <w:r w:rsidR="00827FDC">
        <w:t>s</w:t>
      </w:r>
      <w:r w:rsidRPr="003E2AC2">
        <w:t xml:space="preserve"> Nos. 1642-1741</w:t>
      </w:r>
      <w:r w:rsidR="00322708">
        <w:t>/2007</w:t>
      </w:r>
      <w:r w:rsidRPr="003E2AC2">
        <w:t xml:space="preserve">, </w:t>
      </w:r>
      <w:r w:rsidRPr="001002BF">
        <w:rPr>
          <w:i/>
        </w:rPr>
        <w:t>Min-Kyu Jeong et al</w:t>
      </w:r>
      <w:r w:rsidR="000455F5">
        <w:rPr>
          <w:i/>
        </w:rPr>
        <w:t>.</w:t>
      </w:r>
      <w:r w:rsidRPr="001002BF">
        <w:rPr>
          <w:i/>
        </w:rPr>
        <w:t xml:space="preserve"> v. </w:t>
      </w:r>
      <w:r>
        <w:rPr>
          <w:i/>
        </w:rPr>
        <w:t>t</w:t>
      </w:r>
      <w:r w:rsidRPr="001002BF">
        <w:rPr>
          <w:i/>
        </w:rPr>
        <w:t>he Republic of Korea</w:t>
      </w:r>
      <w:r w:rsidRPr="003E2AC2">
        <w:t>, Views adopted on 24 March 2011, para. 7.3;</w:t>
      </w:r>
      <w:r w:rsidRPr="00291B37">
        <w:rPr>
          <w:lang w:val="en-GB"/>
        </w:rPr>
        <w:t xml:space="preserve"> </w:t>
      </w:r>
      <w:r w:rsidRPr="00291B37">
        <w:rPr>
          <w:i/>
          <w:lang w:val="en-GB"/>
        </w:rPr>
        <w:t>Atasoy and Sarkut v. Turkey</w:t>
      </w:r>
      <w:r w:rsidRPr="00291B37">
        <w:rPr>
          <w:lang w:val="en-GB"/>
        </w:rPr>
        <w:t>, paras. 10.4 and 10.5</w:t>
      </w:r>
      <w:r>
        <w:rPr>
          <w:lang w:val="en-GB"/>
        </w:rPr>
        <w:t xml:space="preserve">; </w:t>
      </w:r>
      <w:r w:rsidRPr="001002BF">
        <w:rPr>
          <w:i/>
        </w:rPr>
        <w:t xml:space="preserve">Jong-nam Kim et al. v. </w:t>
      </w:r>
      <w:r>
        <w:rPr>
          <w:i/>
        </w:rPr>
        <w:t xml:space="preserve">the </w:t>
      </w:r>
      <w:r w:rsidRPr="001002BF">
        <w:rPr>
          <w:i/>
        </w:rPr>
        <w:t>Republic of</w:t>
      </w:r>
      <w:r w:rsidRPr="003E2AC2">
        <w:t xml:space="preserve"> </w:t>
      </w:r>
      <w:r w:rsidRPr="00751110">
        <w:rPr>
          <w:i/>
        </w:rPr>
        <w:t>Korea</w:t>
      </w:r>
      <w:r w:rsidRPr="003E2AC2">
        <w:t>, para. 7.4</w:t>
      </w:r>
      <w:r>
        <w:t xml:space="preserve">; </w:t>
      </w:r>
      <w:r w:rsidR="007E4354">
        <w:t xml:space="preserve">and </w:t>
      </w:r>
      <w:r w:rsidRPr="001002BF">
        <w:rPr>
          <w:i/>
        </w:rPr>
        <w:t>Abdullayev v. Turkmenistan</w:t>
      </w:r>
      <w:r>
        <w:t xml:space="preserve">, </w:t>
      </w:r>
      <w:r w:rsidRPr="0082419E">
        <w:t>para. 7.7</w:t>
      </w:r>
      <w:r w:rsidRPr="003E2AC2">
        <w:t>.</w:t>
      </w:r>
    </w:p>
  </w:footnote>
  <w:footnote w:id="23">
    <w:p w14:paraId="0C122073" w14:textId="77777777" w:rsidR="00DA1F54" w:rsidRPr="003E2AC2" w:rsidRDefault="00DA1F54">
      <w:pPr>
        <w:pStyle w:val="FootnoteText"/>
      </w:pPr>
      <w:r>
        <w:tab/>
      </w:r>
      <w:r w:rsidRPr="0021464B">
        <w:rPr>
          <w:rStyle w:val="FootnoteReference"/>
        </w:rPr>
        <w:footnoteRef/>
      </w:r>
      <w:r>
        <w:tab/>
      </w:r>
      <w:r w:rsidRPr="003E2AC2">
        <w:t xml:space="preserve">See </w:t>
      </w:r>
      <w:r w:rsidRPr="001002BF">
        <w:rPr>
          <w:i/>
        </w:rPr>
        <w:t>Min-Kyu Jeong et al</w:t>
      </w:r>
      <w:r w:rsidR="00C14479">
        <w:rPr>
          <w:i/>
        </w:rPr>
        <w:t>.</w:t>
      </w:r>
      <w:r w:rsidRPr="001002BF">
        <w:rPr>
          <w:i/>
        </w:rPr>
        <w:t xml:space="preserve"> v. </w:t>
      </w:r>
      <w:r w:rsidR="00C14479">
        <w:rPr>
          <w:i/>
        </w:rPr>
        <w:t>t</w:t>
      </w:r>
      <w:r w:rsidRPr="001002BF">
        <w:rPr>
          <w:i/>
        </w:rPr>
        <w:t>he Republic of Korea</w:t>
      </w:r>
      <w:r w:rsidRPr="003E2AC2">
        <w:t xml:space="preserve">, para. 7.4; </w:t>
      </w:r>
      <w:r w:rsidRPr="001002BF">
        <w:rPr>
          <w:i/>
        </w:rPr>
        <w:t xml:space="preserve">Jong-nam Kim et al. v. </w:t>
      </w:r>
      <w:r w:rsidR="00C14479">
        <w:rPr>
          <w:i/>
        </w:rPr>
        <w:t xml:space="preserve">the </w:t>
      </w:r>
      <w:r w:rsidRPr="001002BF">
        <w:rPr>
          <w:i/>
        </w:rPr>
        <w:t>Republic of Korea</w:t>
      </w:r>
      <w:r w:rsidRPr="003E2AC2">
        <w:t xml:space="preserve">, </w:t>
      </w:r>
      <w:r>
        <w:t xml:space="preserve">para. 7.5; </w:t>
      </w:r>
      <w:r w:rsidRPr="001002BF">
        <w:rPr>
          <w:i/>
        </w:rPr>
        <w:t xml:space="preserve">Young-kwan Kim et al. v. </w:t>
      </w:r>
      <w:r w:rsidR="00322708">
        <w:rPr>
          <w:i/>
        </w:rPr>
        <w:t xml:space="preserve">the </w:t>
      </w:r>
      <w:r w:rsidRPr="001002BF">
        <w:rPr>
          <w:i/>
        </w:rPr>
        <w:t>Republic of Korea</w:t>
      </w:r>
      <w:r w:rsidRPr="003E2AC2">
        <w:t>, para. 7.</w:t>
      </w:r>
      <w:r>
        <w:t xml:space="preserve">4; </w:t>
      </w:r>
      <w:r w:rsidRPr="00E6370F">
        <w:rPr>
          <w:i/>
        </w:rPr>
        <w:t>Atasoy and Sarkut</w:t>
      </w:r>
      <w:r w:rsidR="00C14479">
        <w:rPr>
          <w:i/>
        </w:rPr>
        <w:t xml:space="preserve"> v. Turkey</w:t>
      </w:r>
      <w:r w:rsidRPr="00E6370F">
        <w:t>, para.</w:t>
      </w:r>
      <w:r>
        <w:t xml:space="preserve"> </w:t>
      </w:r>
      <w:r w:rsidRPr="00E6370F">
        <w:t>10.4</w:t>
      </w:r>
      <w:r>
        <w:t xml:space="preserve">; </w:t>
      </w:r>
      <w:r w:rsidRPr="001002BF">
        <w:rPr>
          <w:i/>
        </w:rPr>
        <w:t>Abdullayev v. Turkmenistan</w:t>
      </w:r>
      <w:r>
        <w:t>, para. 7.8.</w:t>
      </w:r>
    </w:p>
  </w:footnote>
  <w:footnote w:id="24">
    <w:p w14:paraId="2E739480" w14:textId="77777777" w:rsidR="00DA1F54" w:rsidRPr="00751110" w:rsidRDefault="00DA1F54">
      <w:pPr>
        <w:pStyle w:val="FootnoteText"/>
      </w:pPr>
      <w:r>
        <w:tab/>
      </w:r>
      <w:r w:rsidRPr="0021464B">
        <w:rPr>
          <w:rStyle w:val="FootnoteReference"/>
        </w:rPr>
        <w:footnoteRef/>
      </w:r>
      <w:r w:rsidRPr="003F2D6A">
        <w:tab/>
      </w:r>
      <w:r w:rsidR="004F09E1">
        <w:t xml:space="preserve">See </w:t>
      </w:r>
      <w:r w:rsidRPr="003F2D6A">
        <w:t xml:space="preserve">CPR/C/TKM/CO/1, para. </w:t>
      </w:r>
      <w:r w:rsidRPr="00EB0708">
        <w:t>16.</w:t>
      </w:r>
    </w:p>
  </w:footnote>
  <w:footnote w:id="25">
    <w:p w14:paraId="2314B93C" w14:textId="77777777" w:rsidR="00DA1F54" w:rsidRPr="006F1C8B" w:rsidRDefault="00DA1F54" w:rsidP="00751110">
      <w:pPr>
        <w:pStyle w:val="FootnoteText"/>
        <w:rPr>
          <w:lang w:eastAsia="ja-JP"/>
        </w:rPr>
      </w:pPr>
      <w:r w:rsidRPr="00751110">
        <w:tab/>
      </w:r>
      <w:r w:rsidRPr="0021464B">
        <w:rPr>
          <w:rStyle w:val="FootnoteReference"/>
        </w:rPr>
        <w:footnoteRef/>
      </w:r>
      <w:r w:rsidRPr="00751110">
        <w:tab/>
      </w:r>
      <w:r>
        <w:rPr>
          <w:rFonts w:hint="eastAsia"/>
          <w:lang w:eastAsia="ja-JP"/>
        </w:rPr>
        <w:t xml:space="preserve">For </w:t>
      </w:r>
      <w:r w:rsidRPr="00751110">
        <w:rPr>
          <w:lang w:eastAsia="en-US"/>
        </w:rPr>
        <w:t>details</w:t>
      </w:r>
      <w:r>
        <w:rPr>
          <w:rFonts w:hint="eastAsia"/>
          <w:lang w:eastAsia="ja-JP"/>
        </w:rPr>
        <w:t xml:space="preserve">, see </w:t>
      </w:r>
      <w:r w:rsidRPr="008842E7">
        <w:rPr>
          <w:lang w:eastAsia="ja-JP"/>
        </w:rPr>
        <w:t xml:space="preserve">communication </w:t>
      </w:r>
      <w:r w:rsidR="00003F8E">
        <w:rPr>
          <w:lang w:eastAsia="ja-JP"/>
        </w:rPr>
        <w:t xml:space="preserve"> </w:t>
      </w:r>
      <w:r w:rsidRPr="008842E7">
        <w:rPr>
          <w:lang w:eastAsia="ja-JP"/>
        </w:rPr>
        <w:t xml:space="preserve">No. 2218/2012, </w:t>
      </w:r>
      <w:r w:rsidRPr="00751110">
        <w:rPr>
          <w:i/>
          <w:iCs/>
          <w:lang w:eastAsia="ja-JP"/>
        </w:rPr>
        <w:t>Abdullayev v. Turkmenistan</w:t>
      </w:r>
      <w:r w:rsidRPr="008842E7">
        <w:rPr>
          <w:lang w:eastAsia="ja-JP"/>
        </w:rPr>
        <w:t>, Views adopted on 25</w:t>
      </w:r>
      <w:r>
        <w:rPr>
          <w:lang w:eastAsia="ja-JP"/>
        </w:rPr>
        <w:t> </w:t>
      </w:r>
      <w:r w:rsidRPr="008842E7">
        <w:rPr>
          <w:lang w:eastAsia="ja-JP"/>
        </w:rPr>
        <w:t>March 2015</w:t>
      </w:r>
      <w:r>
        <w:rPr>
          <w:rFonts w:hint="eastAsia"/>
          <w:lang w:eastAsia="ja-JP"/>
        </w:rPr>
        <w:t xml:space="preserve"> (joint </w:t>
      </w:r>
      <w:r w:rsidRPr="006F1C8B">
        <w:rPr>
          <w:lang w:val="en-GB"/>
        </w:rPr>
        <w:t>individual opinion of Committee member</w:t>
      </w:r>
      <w:r>
        <w:rPr>
          <w:rFonts w:hint="eastAsia"/>
          <w:lang w:val="en-GB" w:eastAsia="ja-JP"/>
        </w:rPr>
        <w:t>s</w:t>
      </w:r>
      <w:r w:rsidRPr="006F1C8B">
        <w:rPr>
          <w:lang w:val="en-GB"/>
        </w:rPr>
        <w:t xml:space="preserve"> </w:t>
      </w:r>
      <w:r>
        <w:rPr>
          <w:rFonts w:hint="eastAsia"/>
          <w:lang w:val="en-GB" w:eastAsia="ja-JP"/>
        </w:rPr>
        <w:t xml:space="preserve">Yuji Iwasawa, Anja Seibert-Fohr, Yuval Shany and </w:t>
      </w:r>
      <w:r w:rsidRPr="006F1C8B">
        <w:rPr>
          <w:lang w:val="en-GB"/>
        </w:rPr>
        <w:t>Konstantine Vardzelashvili</w:t>
      </w:r>
      <w:r>
        <w:rPr>
          <w:rFonts w:hint="eastAsia"/>
          <w:lang w:eastAsia="ja-JP"/>
        </w:rPr>
        <w:t>)</w:t>
      </w:r>
      <w:r w:rsidR="00003F8E">
        <w:rPr>
          <w:lang w:eastAsia="ja-JP"/>
        </w:rPr>
        <w:t>;</w:t>
      </w:r>
      <w:r>
        <w:rPr>
          <w:lang w:val="en-GB"/>
        </w:rPr>
        <w:t xml:space="preserve"> </w:t>
      </w:r>
      <w:r w:rsidRPr="006F1C8B">
        <w:rPr>
          <w:lang w:val="en-GB"/>
        </w:rPr>
        <w:t>communications No</w:t>
      </w:r>
      <w:r w:rsidR="00003F8E">
        <w:rPr>
          <w:lang w:val="en-GB"/>
        </w:rPr>
        <w:t>s</w:t>
      </w:r>
      <w:r w:rsidRPr="006F1C8B">
        <w:rPr>
          <w:lang w:val="en-GB"/>
        </w:rPr>
        <w:t>. 1853</w:t>
      </w:r>
      <w:r w:rsidR="00003F8E">
        <w:rPr>
          <w:lang w:val="en-GB"/>
        </w:rPr>
        <w:t xml:space="preserve"> </w:t>
      </w:r>
      <w:r w:rsidRPr="006F1C8B">
        <w:rPr>
          <w:lang w:val="en-GB"/>
        </w:rPr>
        <w:t xml:space="preserve">1854/2008, </w:t>
      </w:r>
      <w:r w:rsidRPr="006F1C8B">
        <w:rPr>
          <w:i/>
          <w:lang w:val="en-GB"/>
        </w:rPr>
        <w:t xml:space="preserve">Atasoy and Sarkut </w:t>
      </w:r>
      <w:r w:rsidRPr="00751110">
        <w:rPr>
          <w:i/>
          <w:iCs/>
          <w:lang w:val="en-GB"/>
        </w:rPr>
        <w:t>v.</w:t>
      </w:r>
      <w:r w:rsidRPr="006F1C8B">
        <w:rPr>
          <w:i/>
          <w:lang w:val="en-GB"/>
        </w:rPr>
        <w:t xml:space="preserve"> Turkey</w:t>
      </w:r>
      <w:r w:rsidRPr="006F1C8B">
        <w:rPr>
          <w:lang w:val="en-GB"/>
        </w:rPr>
        <w:t>, Views adopted on 29 March 2012 (individual opinion of Committee member Gerald L. Neuman, jointly with members Yuji Iwasawa, Michael O’Flaherty and Walter Kälin)</w:t>
      </w:r>
      <w:r w:rsidR="00003F8E">
        <w:rPr>
          <w:lang w:val="en-GB"/>
        </w:rPr>
        <w:t>;</w:t>
      </w:r>
      <w:r>
        <w:rPr>
          <w:lang w:val="en-GB"/>
        </w:rPr>
        <w:t xml:space="preserve"> and</w:t>
      </w:r>
      <w:r w:rsidRPr="006F1C8B">
        <w:rPr>
          <w:lang w:val="en-GB"/>
        </w:rPr>
        <w:t xml:space="preserve"> No. 1786/2008, </w:t>
      </w:r>
      <w:r w:rsidRPr="006F1C8B">
        <w:rPr>
          <w:i/>
          <w:lang w:val="en-GB"/>
        </w:rPr>
        <w:t xml:space="preserve">Kim et al. </w:t>
      </w:r>
      <w:r w:rsidRPr="00751110">
        <w:rPr>
          <w:i/>
          <w:lang w:val="en-GB"/>
        </w:rPr>
        <w:t>v.</w:t>
      </w:r>
      <w:r w:rsidRPr="006F1C8B">
        <w:rPr>
          <w:i/>
          <w:lang w:val="en-GB"/>
        </w:rPr>
        <w:t xml:space="preserve"> the Republic of Korea</w:t>
      </w:r>
      <w:r w:rsidRPr="006F1C8B">
        <w:rPr>
          <w:lang w:val="en-GB"/>
        </w:rPr>
        <w:t>, Views adopted on 25 October 2012 (individual opinions of Committee member Walter Kälin and Committee members Gerald L. Neuman</w:t>
      </w:r>
      <w:r>
        <w:rPr>
          <w:lang w:val="en-GB"/>
        </w:rPr>
        <w:t xml:space="preserve"> and Yuji Iwasawa</w:t>
      </w:r>
      <w:r w:rsidRPr="006F1C8B">
        <w:rPr>
          <w:lang w:val="en-GB"/>
        </w:rPr>
        <w:t>)</w:t>
      </w:r>
      <w:r>
        <w:rPr>
          <w:rFonts w:hint="eastAsia"/>
          <w:lang w:val="en-GB"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316C" w14:textId="77777777" w:rsidR="00DA1F54" w:rsidRPr="00A36331" w:rsidRDefault="00DA1F54" w:rsidP="003521FD">
    <w:pPr>
      <w:pStyle w:val="Header"/>
    </w:pPr>
    <w:r>
      <w:t xml:space="preserve">CCPR/C/115/D/2221/2012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84AE" w14:textId="77777777" w:rsidR="00DA1F54" w:rsidRPr="00A36331" w:rsidRDefault="00DA1F54" w:rsidP="001B6457">
    <w:pPr>
      <w:pStyle w:val="Header"/>
      <w:jc w:val="right"/>
    </w:pPr>
    <w:r w:rsidRPr="00482F72">
      <w:t>CCPR/C/115/</w:t>
    </w:r>
    <w:r>
      <w:t>D</w:t>
    </w:r>
    <w:r w:rsidRPr="00482F72">
      <w:t>/2221/201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42A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C7F6C"/>
    <w:multiLevelType w:val="hybridMultilevel"/>
    <w:tmpl w:val="B9708AE8"/>
    <w:lvl w:ilvl="0" w:tplc="EF8C4F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3F8E"/>
    <w:rsid w:val="0001160D"/>
    <w:rsid w:val="00014573"/>
    <w:rsid w:val="00015C9A"/>
    <w:rsid w:val="00020C90"/>
    <w:rsid w:val="00022F2F"/>
    <w:rsid w:val="000247D4"/>
    <w:rsid w:val="00027624"/>
    <w:rsid w:val="00027E4D"/>
    <w:rsid w:val="0003198D"/>
    <w:rsid w:val="000344FA"/>
    <w:rsid w:val="00036372"/>
    <w:rsid w:val="0003669A"/>
    <w:rsid w:val="0003797F"/>
    <w:rsid w:val="00037ADA"/>
    <w:rsid w:val="00040E9D"/>
    <w:rsid w:val="000413BC"/>
    <w:rsid w:val="00044A92"/>
    <w:rsid w:val="000455F5"/>
    <w:rsid w:val="00047068"/>
    <w:rsid w:val="000500CF"/>
    <w:rsid w:val="00052B78"/>
    <w:rsid w:val="00052F04"/>
    <w:rsid w:val="00053402"/>
    <w:rsid w:val="0005371B"/>
    <w:rsid w:val="0005393C"/>
    <w:rsid w:val="00054A2F"/>
    <w:rsid w:val="00057C3C"/>
    <w:rsid w:val="00060323"/>
    <w:rsid w:val="00060948"/>
    <w:rsid w:val="000647D6"/>
    <w:rsid w:val="000665FF"/>
    <w:rsid w:val="00067476"/>
    <w:rsid w:val="00067BB1"/>
    <w:rsid w:val="000701BB"/>
    <w:rsid w:val="00070207"/>
    <w:rsid w:val="000720A1"/>
    <w:rsid w:val="00073383"/>
    <w:rsid w:val="000739DC"/>
    <w:rsid w:val="00073DBA"/>
    <w:rsid w:val="000756E6"/>
    <w:rsid w:val="00076283"/>
    <w:rsid w:val="00076DB4"/>
    <w:rsid w:val="0007777E"/>
    <w:rsid w:val="000823B7"/>
    <w:rsid w:val="00082B88"/>
    <w:rsid w:val="000841F3"/>
    <w:rsid w:val="00085F87"/>
    <w:rsid w:val="0008640C"/>
    <w:rsid w:val="00087319"/>
    <w:rsid w:val="00090081"/>
    <w:rsid w:val="000904E1"/>
    <w:rsid w:val="00090732"/>
    <w:rsid w:val="000929A8"/>
    <w:rsid w:val="000931D3"/>
    <w:rsid w:val="00093876"/>
    <w:rsid w:val="00094AA5"/>
    <w:rsid w:val="000970A9"/>
    <w:rsid w:val="000A1004"/>
    <w:rsid w:val="000A2910"/>
    <w:rsid w:val="000A2FED"/>
    <w:rsid w:val="000B07E2"/>
    <w:rsid w:val="000B196A"/>
    <w:rsid w:val="000B3796"/>
    <w:rsid w:val="000B4F14"/>
    <w:rsid w:val="000B58A4"/>
    <w:rsid w:val="000B5E58"/>
    <w:rsid w:val="000B7E50"/>
    <w:rsid w:val="000C02F4"/>
    <w:rsid w:val="000C0928"/>
    <w:rsid w:val="000C25B2"/>
    <w:rsid w:val="000D3E8A"/>
    <w:rsid w:val="000D6110"/>
    <w:rsid w:val="000D671D"/>
    <w:rsid w:val="000D7C47"/>
    <w:rsid w:val="000E0AC8"/>
    <w:rsid w:val="000E17C5"/>
    <w:rsid w:val="000E40F7"/>
    <w:rsid w:val="000E7F30"/>
    <w:rsid w:val="000F30FF"/>
    <w:rsid w:val="000F4ADF"/>
    <w:rsid w:val="000F54A0"/>
    <w:rsid w:val="000F6923"/>
    <w:rsid w:val="000F722B"/>
    <w:rsid w:val="00101C5A"/>
    <w:rsid w:val="00102233"/>
    <w:rsid w:val="00104C19"/>
    <w:rsid w:val="00107C28"/>
    <w:rsid w:val="001106A5"/>
    <w:rsid w:val="00113DF2"/>
    <w:rsid w:val="0011544F"/>
    <w:rsid w:val="00116483"/>
    <w:rsid w:val="00117F05"/>
    <w:rsid w:val="0012672F"/>
    <w:rsid w:val="001313EE"/>
    <w:rsid w:val="00132D6B"/>
    <w:rsid w:val="001344A6"/>
    <w:rsid w:val="001346C3"/>
    <w:rsid w:val="0013566D"/>
    <w:rsid w:val="00136DC6"/>
    <w:rsid w:val="00141567"/>
    <w:rsid w:val="001449DF"/>
    <w:rsid w:val="001479E0"/>
    <w:rsid w:val="00150023"/>
    <w:rsid w:val="00150CC2"/>
    <w:rsid w:val="00151013"/>
    <w:rsid w:val="00151BD5"/>
    <w:rsid w:val="00151EAF"/>
    <w:rsid w:val="00153AA5"/>
    <w:rsid w:val="0015528F"/>
    <w:rsid w:val="00155382"/>
    <w:rsid w:val="00157ABB"/>
    <w:rsid w:val="00160847"/>
    <w:rsid w:val="00163940"/>
    <w:rsid w:val="00165320"/>
    <w:rsid w:val="001704EC"/>
    <w:rsid w:val="00170ADC"/>
    <w:rsid w:val="00176EA2"/>
    <w:rsid w:val="0017774C"/>
    <w:rsid w:val="0017783F"/>
    <w:rsid w:val="0017796D"/>
    <w:rsid w:val="00180257"/>
    <w:rsid w:val="001807FB"/>
    <w:rsid w:val="00182C97"/>
    <w:rsid w:val="00185783"/>
    <w:rsid w:val="00191D93"/>
    <w:rsid w:val="0019222B"/>
    <w:rsid w:val="00193BB8"/>
    <w:rsid w:val="00193E25"/>
    <w:rsid w:val="00196DAD"/>
    <w:rsid w:val="001A089D"/>
    <w:rsid w:val="001A1341"/>
    <w:rsid w:val="001A2983"/>
    <w:rsid w:val="001A641F"/>
    <w:rsid w:val="001A6780"/>
    <w:rsid w:val="001B0B2A"/>
    <w:rsid w:val="001B6457"/>
    <w:rsid w:val="001C168B"/>
    <w:rsid w:val="001C1F57"/>
    <w:rsid w:val="001C2261"/>
    <w:rsid w:val="001C2D69"/>
    <w:rsid w:val="001C4133"/>
    <w:rsid w:val="001C4993"/>
    <w:rsid w:val="001C4DE5"/>
    <w:rsid w:val="001C5029"/>
    <w:rsid w:val="001D1C3A"/>
    <w:rsid w:val="001E61B3"/>
    <w:rsid w:val="001F0456"/>
    <w:rsid w:val="001F0BCE"/>
    <w:rsid w:val="001F1884"/>
    <w:rsid w:val="001F50C7"/>
    <w:rsid w:val="001F54B0"/>
    <w:rsid w:val="001F6867"/>
    <w:rsid w:val="002006F8"/>
    <w:rsid w:val="002007F6"/>
    <w:rsid w:val="00200A85"/>
    <w:rsid w:val="00200BE4"/>
    <w:rsid w:val="002016F8"/>
    <w:rsid w:val="002022A4"/>
    <w:rsid w:val="00202D1A"/>
    <w:rsid w:val="0020482B"/>
    <w:rsid w:val="00205987"/>
    <w:rsid w:val="00206509"/>
    <w:rsid w:val="002108FF"/>
    <w:rsid w:val="00211D65"/>
    <w:rsid w:val="0021464B"/>
    <w:rsid w:val="00220996"/>
    <w:rsid w:val="0022261C"/>
    <w:rsid w:val="00222B06"/>
    <w:rsid w:val="00223E8F"/>
    <w:rsid w:val="00223FCD"/>
    <w:rsid w:val="00227516"/>
    <w:rsid w:val="00236F58"/>
    <w:rsid w:val="00240333"/>
    <w:rsid w:val="00240B24"/>
    <w:rsid w:val="00240BBF"/>
    <w:rsid w:val="00240C8A"/>
    <w:rsid w:val="00242301"/>
    <w:rsid w:val="002473A3"/>
    <w:rsid w:val="0025075F"/>
    <w:rsid w:val="00254321"/>
    <w:rsid w:val="00254CE8"/>
    <w:rsid w:val="00255F48"/>
    <w:rsid w:val="00256BD9"/>
    <w:rsid w:val="00260F3A"/>
    <w:rsid w:val="00261982"/>
    <w:rsid w:val="00261D5A"/>
    <w:rsid w:val="002624CC"/>
    <w:rsid w:val="002654C7"/>
    <w:rsid w:val="002723D7"/>
    <w:rsid w:val="002731ED"/>
    <w:rsid w:val="0027541A"/>
    <w:rsid w:val="0027701C"/>
    <w:rsid w:val="002775CA"/>
    <w:rsid w:val="0028332A"/>
    <w:rsid w:val="00285A55"/>
    <w:rsid w:val="00286040"/>
    <w:rsid w:val="0029107F"/>
    <w:rsid w:val="0029109D"/>
    <w:rsid w:val="00291B37"/>
    <w:rsid w:val="0029356D"/>
    <w:rsid w:val="002952B5"/>
    <w:rsid w:val="00295A1F"/>
    <w:rsid w:val="00297387"/>
    <w:rsid w:val="002A33F1"/>
    <w:rsid w:val="002A3706"/>
    <w:rsid w:val="002B2E9E"/>
    <w:rsid w:val="002B2ECD"/>
    <w:rsid w:val="002B3E08"/>
    <w:rsid w:val="002C2931"/>
    <w:rsid w:val="002C293D"/>
    <w:rsid w:val="002C4175"/>
    <w:rsid w:val="002C5445"/>
    <w:rsid w:val="002C566A"/>
    <w:rsid w:val="002C6551"/>
    <w:rsid w:val="002D4903"/>
    <w:rsid w:val="002D70B8"/>
    <w:rsid w:val="002E30E8"/>
    <w:rsid w:val="002E5C5C"/>
    <w:rsid w:val="002E667A"/>
    <w:rsid w:val="002F0FC2"/>
    <w:rsid w:val="002F11D6"/>
    <w:rsid w:val="002F208E"/>
    <w:rsid w:val="002F2640"/>
    <w:rsid w:val="002F666C"/>
    <w:rsid w:val="002F7A2B"/>
    <w:rsid w:val="002F7DAA"/>
    <w:rsid w:val="00301D34"/>
    <w:rsid w:val="0030214C"/>
    <w:rsid w:val="00304913"/>
    <w:rsid w:val="003069FF"/>
    <w:rsid w:val="00312C0F"/>
    <w:rsid w:val="0031381F"/>
    <w:rsid w:val="003140C8"/>
    <w:rsid w:val="00314B1B"/>
    <w:rsid w:val="00315FE9"/>
    <w:rsid w:val="003163D6"/>
    <w:rsid w:val="003175C8"/>
    <w:rsid w:val="00322708"/>
    <w:rsid w:val="00322809"/>
    <w:rsid w:val="00323AE1"/>
    <w:rsid w:val="00330053"/>
    <w:rsid w:val="003305D4"/>
    <w:rsid w:val="00330FCC"/>
    <w:rsid w:val="00334EAF"/>
    <w:rsid w:val="0033580E"/>
    <w:rsid w:val="00335B00"/>
    <w:rsid w:val="003368E0"/>
    <w:rsid w:val="00346004"/>
    <w:rsid w:val="003521FD"/>
    <w:rsid w:val="0035291A"/>
    <w:rsid w:val="0035381D"/>
    <w:rsid w:val="003538C1"/>
    <w:rsid w:val="00355B25"/>
    <w:rsid w:val="00361A7A"/>
    <w:rsid w:val="003620D9"/>
    <w:rsid w:val="003628C0"/>
    <w:rsid w:val="00363C65"/>
    <w:rsid w:val="0036419D"/>
    <w:rsid w:val="0036583C"/>
    <w:rsid w:val="00373E44"/>
    <w:rsid w:val="00383B95"/>
    <w:rsid w:val="0038722E"/>
    <w:rsid w:val="003878C6"/>
    <w:rsid w:val="00391F31"/>
    <w:rsid w:val="00392406"/>
    <w:rsid w:val="00394CC6"/>
    <w:rsid w:val="00397E07"/>
    <w:rsid w:val="003A1820"/>
    <w:rsid w:val="003A6558"/>
    <w:rsid w:val="003B539C"/>
    <w:rsid w:val="003B785A"/>
    <w:rsid w:val="003B7AB3"/>
    <w:rsid w:val="003B7DD4"/>
    <w:rsid w:val="003C279E"/>
    <w:rsid w:val="003C444F"/>
    <w:rsid w:val="003C62CC"/>
    <w:rsid w:val="003D0114"/>
    <w:rsid w:val="003D0740"/>
    <w:rsid w:val="003D34C3"/>
    <w:rsid w:val="003D485C"/>
    <w:rsid w:val="003D53DD"/>
    <w:rsid w:val="003D5DBF"/>
    <w:rsid w:val="003D6988"/>
    <w:rsid w:val="003D704C"/>
    <w:rsid w:val="003E6481"/>
    <w:rsid w:val="003E7A58"/>
    <w:rsid w:val="003F0371"/>
    <w:rsid w:val="003F2D6A"/>
    <w:rsid w:val="003F3297"/>
    <w:rsid w:val="003F36E2"/>
    <w:rsid w:val="003F3D5E"/>
    <w:rsid w:val="003F5D49"/>
    <w:rsid w:val="003F74C0"/>
    <w:rsid w:val="00401413"/>
    <w:rsid w:val="0040273E"/>
    <w:rsid w:val="00402A9F"/>
    <w:rsid w:val="00410917"/>
    <w:rsid w:val="00411F53"/>
    <w:rsid w:val="004130A4"/>
    <w:rsid w:val="00414083"/>
    <w:rsid w:val="00414FB9"/>
    <w:rsid w:val="004150DE"/>
    <w:rsid w:val="004171BE"/>
    <w:rsid w:val="00417547"/>
    <w:rsid w:val="004205B7"/>
    <w:rsid w:val="00422EBE"/>
    <w:rsid w:val="00423075"/>
    <w:rsid w:val="00423B64"/>
    <w:rsid w:val="00424792"/>
    <w:rsid w:val="00424F03"/>
    <w:rsid w:val="00425C22"/>
    <w:rsid w:val="004269BD"/>
    <w:rsid w:val="00427149"/>
    <w:rsid w:val="00427B04"/>
    <w:rsid w:val="0043026B"/>
    <w:rsid w:val="00430737"/>
    <w:rsid w:val="0043426D"/>
    <w:rsid w:val="004370F4"/>
    <w:rsid w:val="004408E9"/>
    <w:rsid w:val="00445244"/>
    <w:rsid w:val="00445D05"/>
    <w:rsid w:val="004468FE"/>
    <w:rsid w:val="0045055A"/>
    <w:rsid w:val="00450952"/>
    <w:rsid w:val="004514F6"/>
    <w:rsid w:val="00451C91"/>
    <w:rsid w:val="004532F9"/>
    <w:rsid w:val="00454F5B"/>
    <w:rsid w:val="004554FD"/>
    <w:rsid w:val="00457329"/>
    <w:rsid w:val="00461235"/>
    <w:rsid w:val="00461A69"/>
    <w:rsid w:val="00461E68"/>
    <w:rsid w:val="00462F7C"/>
    <w:rsid w:val="0046394E"/>
    <w:rsid w:val="00463ED0"/>
    <w:rsid w:val="004655EC"/>
    <w:rsid w:val="00465BB9"/>
    <w:rsid w:val="00466E98"/>
    <w:rsid w:val="004702F6"/>
    <w:rsid w:val="0047156B"/>
    <w:rsid w:val="00482F72"/>
    <w:rsid w:val="00483B89"/>
    <w:rsid w:val="00484DEF"/>
    <w:rsid w:val="0049035A"/>
    <w:rsid w:val="00495158"/>
    <w:rsid w:val="004A076D"/>
    <w:rsid w:val="004A146C"/>
    <w:rsid w:val="004A2ED0"/>
    <w:rsid w:val="004A326B"/>
    <w:rsid w:val="004A3303"/>
    <w:rsid w:val="004A593B"/>
    <w:rsid w:val="004A7970"/>
    <w:rsid w:val="004B04CD"/>
    <w:rsid w:val="004B1A99"/>
    <w:rsid w:val="004B3E49"/>
    <w:rsid w:val="004B6BD2"/>
    <w:rsid w:val="004C0794"/>
    <w:rsid w:val="004C1FBD"/>
    <w:rsid w:val="004C25D1"/>
    <w:rsid w:val="004C3710"/>
    <w:rsid w:val="004C4D3E"/>
    <w:rsid w:val="004C6B44"/>
    <w:rsid w:val="004C6E5E"/>
    <w:rsid w:val="004D3321"/>
    <w:rsid w:val="004D6C66"/>
    <w:rsid w:val="004D78FC"/>
    <w:rsid w:val="004E01B1"/>
    <w:rsid w:val="004E0CBC"/>
    <w:rsid w:val="004E1918"/>
    <w:rsid w:val="004E19CF"/>
    <w:rsid w:val="004E1F4F"/>
    <w:rsid w:val="004E3357"/>
    <w:rsid w:val="004E4E36"/>
    <w:rsid w:val="004E593E"/>
    <w:rsid w:val="004E5C13"/>
    <w:rsid w:val="004E786F"/>
    <w:rsid w:val="004F09E1"/>
    <w:rsid w:val="004F25F8"/>
    <w:rsid w:val="005014F4"/>
    <w:rsid w:val="0050180D"/>
    <w:rsid w:val="005028F4"/>
    <w:rsid w:val="005040FF"/>
    <w:rsid w:val="00511A47"/>
    <w:rsid w:val="00512990"/>
    <w:rsid w:val="00514AB4"/>
    <w:rsid w:val="00515BDC"/>
    <w:rsid w:val="00515EC0"/>
    <w:rsid w:val="00520A9E"/>
    <w:rsid w:val="00521FC9"/>
    <w:rsid w:val="00522B02"/>
    <w:rsid w:val="0052450C"/>
    <w:rsid w:val="005277ED"/>
    <w:rsid w:val="00531B86"/>
    <w:rsid w:val="005336E2"/>
    <w:rsid w:val="005353EF"/>
    <w:rsid w:val="00535DA8"/>
    <w:rsid w:val="005377AA"/>
    <w:rsid w:val="005417AE"/>
    <w:rsid w:val="00541D7A"/>
    <w:rsid w:val="00543A80"/>
    <w:rsid w:val="00543BA4"/>
    <w:rsid w:val="00544238"/>
    <w:rsid w:val="00553850"/>
    <w:rsid w:val="0055730A"/>
    <w:rsid w:val="005607A9"/>
    <w:rsid w:val="005621EC"/>
    <w:rsid w:val="005663B7"/>
    <w:rsid w:val="00566EAC"/>
    <w:rsid w:val="00570191"/>
    <w:rsid w:val="00572084"/>
    <w:rsid w:val="00573931"/>
    <w:rsid w:val="0057556D"/>
    <w:rsid w:val="0057740D"/>
    <w:rsid w:val="00582E85"/>
    <w:rsid w:val="00583A8C"/>
    <w:rsid w:val="005840C6"/>
    <w:rsid w:val="0058490C"/>
    <w:rsid w:val="0059048E"/>
    <w:rsid w:val="00593CB6"/>
    <w:rsid w:val="005971C3"/>
    <w:rsid w:val="00597BD6"/>
    <w:rsid w:val="005A1B2D"/>
    <w:rsid w:val="005A2EE0"/>
    <w:rsid w:val="005A4DD5"/>
    <w:rsid w:val="005A71B0"/>
    <w:rsid w:val="005A7E06"/>
    <w:rsid w:val="005C19E3"/>
    <w:rsid w:val="005C1D49"/>
    <w:rsid w:val="005C4267"/>
    <w:rsid w:val="005C5A67"/>
    <w:rsid w:val="005E014B"/>
    <w:rsid w:val="005E3C13"/>
    <w:rsid w:val="005F219D"/>
    <w:rsid w:val="005F39EB"/>
    <w:rsid w:val="005F7529"/>
    <w:rsid w:val="005F7F3F"/>
    <w:rsid w:val="00602F70"/>
    <w:rsid w:val="006030F7"/>
    <w:rsid w:val="006038D4"/>
    <w:rsid w:val="00603953"/>
    <w:rsid w:val="00603AA3"/>
    <w:rsid w:val="006075B8"/>
    <w:rsid w:val="00614CA7"/>
    <w:rsid w:val="00614FF1"/>
    <w:rsid w:val="0061633C"/>
    <w:rsid w:val="0061653D"/>
    <w:rsid w:val="0061768F"/>
    <w:rsid w:val="00624781"/>
    <w:rsid w:val="00625A04"/>
    <w:rsid w:val="0062757F"/>
    <w:rsid w:val="006337C9"/>
    <w:rsid w:val="0063486D"/>
    <w:rsid w:val="006358CB"/>
    <w:rsid w:val="00640E68"/>
    <w:rsid w:val="00643F32"/>
    <w:rsid w:val="00645E10"/>
    <w:rsid w:val="00647E2B"/>
    <w:rsid w:val="00650C1A"/>
    <w:rsid w:val="006515AF"/>
    <w:rsid w:val="0065184E"/>
    <w:rsid w:val="00652DEA"/>
    <w:rsid w:val="00653D61"/>
    <w:rsid w:val="00655051"/>
    <w:rsid w:val="00656287"/>
    <w:rsid w:val="00656555"/>
    <w:rsid w:val="00660089"/>
    <w:rsid w:val="00661370"/>
    <w:rsid w:val="0066200B"/>
    <w:rsid w:val="006640E0"/>
    <w:rsid w:val="00665963"/>
    <w:rsid w:val="0066705F"/>
    <w:rsid w:val="006723B1"/>
    <w:rsid w:val="0067293A"/>
    <w:rsid w:val="006733CF"/>
    <w:rsid w:val="00673498"/>
    <w:rsid w:val="00676CD3"/>
    <w:rsid w:val="00684FFF"/>
    <w:rsid w:val="00685D06"/>
    <w:rsid w:val="006861FD"/>
    <w:rsid w:val="006911C4"/>
    <w:rsid w:val="0069454D"/>
    <w:rsid w:val="00695203"/>
    <w:rsid w:val="006977DA"/>
    <w:rsid w:val="006A2ABA"/>
    <w:rsid w:val="006A3970"/>
    <w:rsid w:val="006A7D8B"/>
    <w:rsid w:val="006B03AB"/>
    <w:rsid w:val="006B5433"/>
    <w:rsid w:val="006B763D"/>
    <w:rsid w:val="006C0A80"/>
    <w:rsid w:val="006C10ED"/>
    <w:rsid w:val="006D1362"/>
    <w:rsid w:val="006D2C8D"/>
    <w:rsid w:val="006D2D35"/>
    <w:rsid w:val="006D4CCC"/>
    <w:rsid w:val="006E08D3"/>
    <w:rsid w:val="006E1DE9"/>
    <w:rsid w:val="006E2F4E"/>
    <w:rsid w:val="006E37BE"/>
    <w:rsid w:val="006E39F9"/>
    <w:rsid w:val="006E4C01"/>
    <w:rsid w:val="006E5110"/>
    <w:rsid w:val="006E6A91"/>
    <w:rsid w:val="006F1B59"/>
    <w:rsid w:val="006F2B9E"/>
    <w:rsid w:val="006F336E"/>
    <w:rsid w:val="006F53C9"/>
    <w:rsid w:val="006F5FC3"/>
    <w:rsid w:val="006F673D"/>
    <w:rsid w:val="00701B4E"/>
    <w:rsid w:val="007022BA"/>
    <w:rsid w:val="00710EF2"/>
    <w:rsid w:val="00711170"/>
    <w:rsid w:val="00711B13"/>
    <w:rsid w:val="00711EA4"/>
    <w:rsid w:val="00713C79"/>
    <w:rsid w:val="00716191"/>
    <w:rsid w:val="007165EE"/>
    <w:rsid w:val="0072161B"/>
    <w:rsid w:val="00723E3B"/>
    <w:rsid w:val="007248A3"/>
    <w:rsid w:val="00725BB7"/>
    <w:rsid w:val="00725E30"/>
    <w:rsid w:val="007270AC"/>
    <w:rsid w:val="007302A1"/>
    <w:rsid w:val="00731983"/>
    <w:rsid w:val="00732076"/>
    <w:rsid w:val="00733C1F"/>
    <w:rsid w:val="0073701A"/>
    <w:rsid w:val="00746F2F"/>
    <w:rsid w:val="00751110"/>
    <w:rsid w:val="007547EF"/>
    <w:rsid w:val="0075531F"/>
    <w:rsid w:val="007560D3"/>
    <w:rsid w:val="00756194"/>
    <w:rsid w:val="007570F5"/>
    <w:rsid w:val="007604A0"/>
    <w:rsid w:val="00760A71"/>
    <w:rsid w:val="007632F5"/>
    <w:rsid w:val="00766D8C"/>
    <w:rsid w:val="00773656"/>
    <w:rsid w:val="00774C81"/>
    <w:rsid w:val="00775194"/>
    <w:rsid w:val="007751C7"/>
    <w:rsid w:val="0077731B"/>
    <w:rsid w:val="007812FA"/>
    <w:rsid w:val="00784C28"/>
    <w:rsid w:val="00785BDA"/>
    <w:rsid w:val="0079103A"/>
    <w:rsid w:val="00796BD0"/>
    <w:rsid w:val="007A06CB"/>
    <w:rsid w:val="007A130B"/>
    <w:rsid w:val="007A1454"/>
    <w:rsid w:val="007A32EC"/>
    <w:rsid w:val="007A5396"/>
    <w:rsid w:val="007A6029"/>
    <w:rsid w:val="007A6099"/>
    <w:rsid w:val="007A7CFE"/>
    <w:rsid w:val="007B0DFA"/>
    <w:rsid w:val="007B0F55"/>
    <w:rsid w:val="007B0FBB"/>
    <w:rsid w:val="007B4AFF"/>
    <w:rsid w:val="007B587A"/>
    <w:rsid w:val="007C30B3"/>
    <w:rsid w:val="007C38CE"/>
    <w:rsid w:val="007C5CE6"/>
    <w:rsid w:val="007C6B60"/>
    <w:rsid w:val="007C7D52"/>
    <w:rsid w:val="007D0B44"/>
    <w:rsid w:val="007E0247"/>
    <w:rsid w:val="007E137A"/>
    <w:rsid w:val="007E20F0"/>
    <w:rsid w:val="007E308C"/>
    <w:rsid w:val="007E328C"/>
    <w:rsid w:val="007E4354"/>
    <w:rsid w:val="007E4918"/>
    <w:rsid w:val="007F05D2"/>
    <w:rsid w:val="007F2DAC"/>
    <w:rsid w:val="007F4A31"/>
    <w:rsid w:val="00801601"/>
    <w:rsid w:val="00805DA7"/>
    <w:rsid w:val="0081228D"/>
    <w:rsid w:val="008161E4"/>
    <w:rsid w:val="0081732B"/>
    <w:rsid w:val="00820D59"/>
    <w:rsid w:val="00824476"/>
    <w:rsid w:val="00826DD2"/>
    <w:rsid w:val="00826F91"/>
    <w:rsid w:val="008279B5"/>
    <w:rsid w:val="00827FDC"/>
    <w:rsid w:val="00831439"/>
    <w:rsid w:val="00831A5C"/>
    <w:rsid w:val="008333CA"/>
    <w:rsid w:val="00835AED"/>
    <w:rsid w:val="0084113C"/>
    <w:rsid w:val="00841575"/>
    <w:rsid w:val="0084264C"/>
    <w:rsid w:val="00843C8B"/>
    <w:rsid w:val="00847264"/>
    <w:rsid w:val="00851321"/>
    <w:rsid w:val="00853FE4"/>
    <w:rsid w:val="008559B3"/>
    <w:rsid w:val="00860BBC"/>
    <w:rsid w:val="00862825"/>
    <w:rsid w:val="00865104"/>
    <w:rsid w:val="00866765"/>
    <w:rsid w:val="00870551"/>
    <w:rsid w:val="0087233B"/>
    <w:rsid w:val="00873A23"/>
    <w:rsid w:val="00874152"/>
    <w:rsid w:val="00875162"/>
    <w:rsid w:val="00880464"/>
    <w:rsid w:val="00881E61"/>
    <w:rsid w:val="00882E4B"/>
    <w:rsid w:val="00884D72"/>
    <w:rsid w:val="00885B7D"/>
    <w:rsid w:val="00885BC3"/>
    <w:rsid w:val="00887388"/>
    <w:rsid w:val="00890498"/>
    <w:rsid w:val="00890EB7"/>
    <w:rsid w:val="00891380"/>
    <w:rsid w:val="008938FC"/>
    <w:rsid w:val="008939EA"/>
    <w:rsid w:val="00895060"/>
    <w:rsid w:val="00897D68"/>
    <w:rsid w:val="008A3B5F"/>
    <w:rsid w:val="008A5CC7"/>
    <w:rsid w:val="008A6350"/>
    <w:rsid w:val="008A6590"/>
    <w:rsid w:val="008A6745"/>
    <w:rsid w:val="008A69EB"/>
    <w:rsid w:val="008A7ABE"/>
    <w:rsid w:val="008B375F"/>
    <w:rsid w:val="008B40DB"/>
    <w:rsid w:val="008B50E3"/>
    <w:rsid w:val="008B5FE0"/>
    <w:rsid w:val="008C0CF4"/>
    <w:rsid w:val="008C1FC7"/>
    <w:rsid w:val="008C2883"/>
    <w:rsid w:val="008C3142"/>
    <w:rsid w:val="008C4D92"/>
    <w:rsid w:val="008C63FE"/>
    <w:rsid w:val="008C7327"/>
    <w:rsid w:val="008D1AE2"/>
    <w:rsid w:val="008D1E0C"/>
    <w:rsid w:val="008D3EF9"/>
    <w:rsid w:val="008D5F5A"/>
    <w:rsid w:val="008D668B"/>
    <w:rsid w:val="008D6E86"/>
    <w:rsid w:val="008E0351"/>
    <w:rsid w:val="008E093B"/>
    <w:rsid w:val="008E6267"/>
    <w:rsid w:val="008F3491"/>
    <w:rsid w:val="008F350C"/>
    <w:rsid w:val="008F6B3E"/>
    <w:rsid w:val="008F7C0C"/>
    <w:rsid w:val="00901FA4"/>
    <w:rsid w:val="00911297"/>
    <w:rsid w:val="00911DE5"/>
    <w:rsid w:val="009125FE"/>
    <w:rsid w:val="009128CB"/>
    <w:rsid w:val="00914C00"/>
    <w:rsid w:val="009174B8"/>
    <w:rsid w:val="00927B0C"/>
    <w:rsid w:val="00930BB4"/>
    <w:rsid w:val="00932E12"/>
    <w:rsid w:val="00933BEE"/>
    <w:rsid w:val="00936BF3"/>
    <w:rsid w:val="009379A4"/>
    <w:rsid w:val="009415AE"/>
    <w:rsid w:val="00942716"/>
    <w:rsid w:val="0094343E"/>
    <w:rsid w:val="00943BE7"/>
    <w:rsid w:val="009449EA"/>
    <w:rsid w:val="00946229"/>
    <w:rsid w:val="00952FC1"/>
    <w:rsid w:val="00953FCB"/>
    <w:rsid w:val="00954186"/>
    <w:rsid w:val="00957840"/>
    <w:rsid w:val="00962222"/>
    <w:rsid w:val="00964671"/>
    <w:rsid w:val="00964F38"/>
    <w:rsid w:val="009667F1"/>
    <w:rsid w:val="009679BD"/>
    <w:rsid w:val="00967A1C"/>
    <w:rsid w:val="00967C70"/>
    <w:rsid w:val="00967ED5"/>
    <w:rsid w:val="009715A4"/>
    <w:rsid w:val="00981ADD"/>
    <w:rsid w:val="00982679"/>
    <w:rsid w:val="00982C12"/>
    <w:rsid w:val="00985016"/>
    <w:rsid w:val="009861BB"/>
    <w:rsid w:val="00990F5A"/>
    <w:rsid w:val="0099708D"/>
    <w:rsid w:val="009A0DB5"/>
    <w:rsid w:val="009A2B9F"/>
    <w:rsid w:val="009A3007"/>
    <w:rsid w:val="009A492A"/>
    <w:rsid w:val="009A62AE"/>
    <w:rsid w:val="009B0E51"/>
    <w:rsid w:val="009B159E"/>
    <w:rsid w:val="009B1C23"/>
    <w:rsid w:val="009B7C46"/>
    <w:rsid w:val="009C133C"/>
    <w:rsid w:val="009C31C6"/>
    <w:rsid w:val="009C4323"/>
    <w:rsid w:val="009C50D4"/>
    <w:rsid w:val="009C5B9B"/>
    <w:rsid w:val="009C6170"/>
    <w:rsid w:val="009C7F9A"/>
    <w:rsid w:val="009D27F7"/>
    <w:rsid w:val="009D4215"/>
    <w:rsid w:val="009D4A89"/>
    <w:rsid w:val="009D5C22"/>
    <w:rsid w:val="009D6F4F"/>
    <w:rsid w:val="009D7425"/>
    <w:rsid w:val="009E190A"/>
    <w:rsid w:val="009E25C7"/>
    <w:rsid w:val="009E7CE2"/>
    <w:rsid w:val="009F071D"/>
    <w:rsid w:val="009F6D6B"/>
    <w:rsid w:val="009F6F75"/>
    <w:rsid w:val="00A00D09"/>
    <w:rsid w:val="00A04101"/>
    <w:rsid w:val="00A049F0"/>
    <w:rsid w:val="00A04D3C"/>
    <w:rsid w:val="00A1253D"/>
    <w:rsid w:val="00A12AE1"/>
    <w:rsid w:val="00A14293"/>
    <w:rsid w:val="00A1481D"/>
    <w:rsid w:val="00A179C7"/>
    <w:rsid w:val="00A17F1F"/>
    <w:rsid w:val="00A20AE0"/>
    <w:rsid w:val="00A24C5B"/>
    <w:rsid w:val="00A265C8"/>
    <w:rsid w:val="00A3065A"/>
    <w:rsid w:val="00A31022"/>
    <w:rsid w:val="00A32505"/>
    <w:rsid w:val="00A33BA3"/>
    <w:rsid w:val="00A34DE4"/>
    <w:rsid w:val="00A36331"/>
    <w:rsid w:val="00A369BB"/>
    <w:rsid w:val="00A37449"/>
    <w:rsid w:val="00A438FA"/>
    <w:rsid w:val="00A44388"/>
    <w:rsid w:val="00A456FA"/>
    <w:rsid w:val="00A50902"/>
    <w:rsid w:val="00A53310"/>
    <w:rsid w:val="00A57F05"/>
    <w:rsid w:val="00A60EF8"/>
    <w:rsid w:val="00A62065"/>
    <w:rsid w:val="00A62454"/>
    <w:rsid w:val="00A639F0"/>
    <w:rsid w:val="00A63DAE"/>
    <w:rsid w:val="00A66801"/>
    <w:rsid w:val="00A6689B"/>
    <w:rsid w:val="00A71482"/>
    <w:rsid w:val="00A736D5"/>
    <w:rsid w:val="00A8389B"/>
    <w:rsid w:val="00A84D4F"/>
    <w:rsid w:val="00A875E2"/>
    <w:rsid w:val="00A879A8"/>
    <w:rsid w:val="00A913F1"/>
    <w:rsid w:val="00A94F21"/>
    <w:rsid w:val="00A95258"/>
    <w:rsid w:val="00A9749F"/>
    <w:rsid w:val="00AA20C8"/>
    <w:rsid w:val="00AA21A4"/>
    <w:rsid w:val="00AA33D1"/>
    <w:rsid w:val="00AA3FE2"/>
    <w:rsid w:val="00AA4700"/>
    <w:rsid w:val="00AA7702"/>
    <w:rsid w:val="00AA77D8"/>
    <w:rsid w:val="00AB0FA2"/>
    <w:rsid w:val="00AC12F3"/>
    <w:rsid w:val="00AC2349"/>
    <w:rsid w:val="00AC4990"/>
    <w:rsid w:val="00AC658F"/>
    <w:rsid w:val="00AC6CEC"/>
    <w:rsid w:val="00AC6EAF"/>
    <w:rsid w:val="00AD326D"/>
    <w:rsid w:val="00AD50AB"/>
    <w:rsid w:val="00AD5A37"/>
    <w:rsid w:val="00AD719F"/>
    <w:rsid w:val="00AD765B"/>
    <w:rsid w:val="00AD7D18"/>
    <w:rsid w:val="00AE1AA9"/>
    <w:rsid w:val="00AF38A6"/>
    <w:rsid w:val="00AF3F37"/>
    <w:rsid w:val="00AF56C7"/>
    <w:rsid w:val="00AF6062"/>
    <w:rsid w:val="00B013C3"/>
    <w:rsid w:val="00B03988"/>
    <w:rsid w:val="00B045E0"/>
    <w:rsid w:val="00B125D9"/>
    <w:rsid w:val="00B1664E"/>
    <w:rsid w:val="00B17DAC"/>
    <w:rsid w:val="00B22CC1"/>
    <w:rsid w:val="00B256DB"/>
    <w:rsid w:val="00B2676A"/>
    <w:rsid w:val="00B27A98"/>
    <w:rsid w:val="00B30C01"/>
    <w:rsid w:val="00B315D4"/>
    <w:rsid w:val="00B3389D"/>
    <w:rsid w:val="00B354BC"/>
    <w:rsid w:val="00B4597C"/>
    <w:rsid w:val="00B52262"/>
    <w:rsid w:val="00B5602D"/>
    <w:rsid w:val="00B5617D"/>
    <w:rsid w:val="00B56509"/>
    <w:rsid w:val="00B56A4D"/>
    <w:rsid w:val="00B602D4"/>
    <w:rsid w:val="00B63CD7"/>
    <w:rsid w:val="00B72765"/>
    <w:rsid w:val="00B72E5D"/>
    <w:rsid w:val="00B73601"/>
    <w:rsid w:val="00B736DE"/>
    <w:rsid w:val="00B74F7F"/>
    <w:rsid w:val="00B76D27"/>
    <w:rsid w:val="00B80B4D"/>
    <w:rsid w:val="00B86826"/>
    <w:rsid w:val="00BA0B78"/>
    <w:rsid w:val="00BA1AD3"/>
    <w:rsid w:val="00BA36EA"/>
    <w:rsid w:val="00BA452B"/>
    <w:rsid w:val="00BA67F8"/>
    <w:rsid w:val="00BB29F8"/>
    <w:rsid w:val="00BB4732"/>
    <w:rsid w:val="00BB6668"/>
    <w:rsid w:val="00BB6C0F"/>
    <w:rsid w:val="00BC099C"/>
    <w:rsid w:val="00BC0D9B"/>
    <w:rsid w:val="00BC19FB"/>
    <w:rsid w:val="00BC349C"/>
    <w:rsid w:val="00BC4196"/>
    <w:rsid w:val="00BC66CA"/>
    <w:rsid w:val="00BD4016"/>
    <w:rsid w:val="00BE03E7"/>
    <w:rsid w:val="00BE3A93"/>
    <w:rsid w:val="00BE41FA"/>
    <w:rsid w:val="00BE4D5A"/>
    <w:rsid w:val="00BE551E"/>
    <w:rsid w:val="00BF2768"/>
    <w:rsid w:val="00BF2EB6"/>
    <w:rsid w:val="00BF570D"/>
    <w:rsid w:val="00C0120F"/>
    <w:rsid w:val="00C01655"/>
    <w:rsid w:val="00C01DB8"/>
    <w:rsid w:val="00C0224F"/>
    <w:rsid w:val="00C066C4"/>
    <w:rsid w:val="00C06826"/>
    <w:rsid w:val="00C079A4"/>
    <w:rsid w:val="00C120AC"/>
    <w:rsid w:val="00C12F45"/>
    <w:rsid w:val="00C13C92"/>
    <w:rsid w:val="00C14479"/>
    <w:rsid w:val="00C16C39"/>
    <w:rsid w:val="00C23AF6"/>
    <w:rsid w:val="00C257D7"/>
    <w:rsid w:val="00C25A3F"/>
    <w:rsid w:val="00C26ED0"/>
    <w:rsid w:val="00C302BF"/>
    <w:rsid w:val="00C37446"/>
    <w:rsid w:val="00C40193"/>
    <w:rsid w:val="00C51EE8"/>
    <w:rsid w:val="00C522A5"/>
    <w:rsid w:val="00C55C68"/>
    <w:rsid w:val="00C5784F"/>
    <w:rsid w:val="00C61CEB"/>
    <w:rsid w:val="00C649E2"/>
    <w:rsid w:val="00C65EDD"/>
    <w:rsid w:val="00C665FC"/>
    <w:rsid w:val="00C764DF"/>
    <w:rsid w:val="00C77B3E"/>
    <w:rsid w:val="00C80EA5"/>
    <w:rsid w:val="00C81F8D"/>
    <w:rsid w:val="00C828B3"/>
    <w:rsid w:val="00C85938"/>
    <w:rsid w:val="00C9055D"/>
    <w:rsid w:val="00C92F41"/>
    <w:rsid w:val="00C97F06"/>
    <w:rsid w:val="00CA301C"/>
    <w:rsid w:val="00CA348C"/>
    <w:rsid w:val="00CB0C33"/>
    <w:rsid w:val="00CB1528"/>
    <w:rsid w:val="00CB3390"/>
    <w:rsid w:val="00CB67A7"/>
    <w:rsid w:val="00CB6FDB"/>
    <w:rsid w:val="00CC401C"/>
    <w:rsid w:val="00CC6717"/>
    <w:rsid w:val="00CD1EFF"/>
    <w:rsid w:val="00CD724B"/>
    <w:rsid w:val="00CD7A0A"/>
    <w:rsid w:val="00CE0EE0"/>
    <w:rsid w:val="00CE23C4"/>
    <w:rsid w:val="00CE3C06"/>
    <w:rsid w:val="00CE4597"/>
    <w:rsid w:val="00CF0022"/>
    <w:rsid w:val="00CF1B44"/>
    <w:rsid w:val="00CF2FE4"/>
    <w:rsid w:val="00CF612C"/>
    <w:rsid w:val="00CF7884"/>
    <w:rsid w:val="00D013B0"/>
    <w:rsid w:val="00D056E0"/>
    <w:rsid w:val="00D0745E"/>
    <w:rsid w:val="00D139E6"/>
    <w:rsid w:val="00D14875"/>
    <w:rsid w:val="00D15F91"/>
    <w:rsid w:val="00D171EE"/>
    <w:rsid w:val="00D1765A"/>
    <w:rsid w:val="00D20889"/>
    <w:rsid w:val="00D21B0B"/>
    <w:rsid w:val="00D22541"/>
    <w:rsid w:val="00D24346"/>
    <w:rsid w:val="00D24D12"/>
    <w:rsid w:val="00D2607B"/>
    <w:rsid w:val="00D26131"/>
    <w:rsid w:val="00D26642"/>
    <w:rsid w:val="00D27EA6"/>
    <w:rsid w:val="00D3107D"/>
    <w:rsid w:val="00D31896"/>
    <w:rsid w:val="00D336E4"/>
    <w:rsid w:val="00D339C1"/>
    <w:rsid w:val="00D3488E"/>
    <w:rsid w:val="00D4401C"/>
    <w:rsid w:val="00D44383"/>
    <w:rsid w:val="00D44AA2"/>
    <w:rsid w:val="00D50A66"/>
    <w:rsid w:val="00D51E05"/>
    <w:rsid w:val="00D53B80"/>
    <w:rsid w:val="00D53EA4"/>
    <w:rsid w:val="00D57C61"/>
    <w:rsid w:val="00D60E57"/>
    <w:rsid w:val="00D61B49"/>
    <w:rsid w:val="00D6209D"/>
    <w:rsid w:val="00D626D7"/>
    <w:rsid w:val="00D63EED"/>
    <w:rsid w:val="00D646B7"/>
    <w:rsid w:val="00D64B94"/>
    <w:rsid w:val="00D74147"/>
    <w:rsid w:val="00D744ED"/>
    <w:rsid w:val="00D7694F"/>
    <w:rsid w:val="00D76D10"/>
    <w:rsid w:val="00D825B0"/>
    <w:rsid w:val="00D82EDC"/>
    <w:rsid w:val="00D84FA4"/>
    <w:rsid w:val="00D8682E"/>
    <w:rsid w:val="00D92F83"/>
    <w:rsid w:val="00D933AF"/>
    <w:rsid w:val="00D93808"/>
    <w:rsid w:val="00DA1015"/>
    <w:rsid w:val="00DA1854"/>
    <w:rsid w:val="00DA1F54"/>
    <w:rsid w:val="00DA3907"/>
    <w:rsid w:val="00DA5A64"/>
    <w:rsid w:val="00DA78C1"/>
    <w:rsid w:val="00DB6130"/>
    <w:rsid w:val="00DB627C"/>
    <w:rsid w:val="00DB78C9"/>
    <w:rsid w:val="00DC0760"/>
    <w:rsid w:val="00DC0CD3"/>
    <w:rsid w:val="00DC2E31"/>
    <w:rsid w:val="00DC2F1A"/>
    <w:rsid w:val="00DC5D4E"/>
    <w:rsid w:val="00DD134C"/>
    <w:rsid w:val="00DD28A2"/>
    <w:rsid w:val="00DD391E"/>
    <w:rsid w:val="00DD57CB"/>
    <w:rsid w:val="00DE11CB"/>
    <w:rsid w:val="00DE3B58"/>
    <w:rsid w:val="00DE56B4"/>
    <w:rsid w:val="00DF5E11"/>
    <w:rsid w:val="00DF7E82"/>
    <w:rsid w:val="00E01E03"/>
    <w:rsid w:val="00E02AC2"/>
    <w:rsid w:val="00E05F63"/>
    <w:rsid w:val="00E062FF"/>
    <w:rsid w:val="00E0701D"/>
    <w:rsid w:val="00E11EFA"/>
    <w:rsid w:val="00E13C5B"/>
    <w:rsid w:val="00E16D5E"/>
    <w:rsid w:val="00E16EFF"/>
    <w:rsid w:val="00E20BEC"/>
    <w:rsid w:val="00E23533"/>
    <w:rsid w:val="00E24DA8"/>
    <w:rsid w:val="00E2566F"/>
    <w:rsid w:val="00E263E7"/>
    <w:rsid w:val="00E2691A"/>
    <w:rsid w:val="00E27119"/>
    <w:rsid w:val="00E314C2"/>
    <w:rsid w:val="00E31D5E"/>
    <w:rsid w:val="00E36591"/>
    <w:rsid w:val="00E3661C"/>
    <w:rsid w:val="00E41625"/>
    <w:rsid w:val="00E420FA"/>
    <w:rsid w:val="00E44D25"/>
    <w:rsid w:val="00E44DC9"/>
    <w:rsid w:val="00E46239"/>
    <w:rsid w:val="00E46E50"/>
    <w:rsid w:val="00E50DEF"/>
    <w:rsid w:val="00E54D55"/>
    <w:rsid w:val="00E55A31"/>
    <w:rsid w:val="00E575CB"/>
    <w:rsid w:val="00E5761E"/>
    <w:rsid w:val="00E60D9F"/>
    <w:rsid w:val="00E610A3"/>
    <w:rsid w:val="00E64803"/>
    <w:rsid w:val="00E64F65"/>
    <w:rsid w:val="00E65BE9"/>
    <w:rsid w:val="00E65EAD"/>
    <w:rsid w:val="00E6771D"/>
    <w:rsid w:val="00E71F73"/>
    <w:rsid w:val="00E724E6"/>
    <w:rsid w:val="00E72F5A"/>
    <w:rsid w:val="00E73CFF"/>
    <w:rsid w:val="00E74019"/>
    <w:rsid w:val="00E77B05"/>
    <w:rsid w:val="00E9201A"/>
    <w:rsid w:val="00E924DF"/>
    <w:rsid w:val="00E93473"/>
    <w:rsid w:val="00E93BDC"/>
    <w:rsid w:val="00E9422F"/>
    <w:rsid w:val="00E947E0"/>
    <w:rsid w:val="00EA0218"/>
    <w:rsid w:val="00EA0D10"/>
    <w:rsid w:val="00EA1C2B"/>
    <w:rsid w:val="00EB13E1"/>
    <w:rsid w:val="00EB1D3F"/>
    <w:rsid w:val="00EB27C7"/>
    <w:rsid w:val="00EB3E08"/>
    <w:rsid w:val="00EB48D4"/>
    <w:rsid w:val="00EB5DC6"/>
    <w:rsid w:val="00EC0C45"/>
    <w:rsid w:val="00EC273C"/>
    <w:rsid w:val="00EC2A95"/>
    <w:rsid w:val="00EC422B"/>
    <w:rsid w:val="00EC53FB"/>
    <w:rsid w:val="00ED028C"/>
    <w:rsid w:val="00ED0B9F"/>
    <w:rsid w:val="00ED16E2"/>
    <w:rsid w:val="00ED2EE9"/>
    <w:rsid w:val="00ED394B"/>
    <w:rsid w:val="00ED5EAA"/>
    <w:rsid w:val="00ED6478"/>
    <w:rsid w:val="00ED6558"/>
    <w:rsid w:val="00EE02A4"/>
    <w:rsid w:val="00EE2339"/>
    <w:rsid w:val="00EE35E1"/>
    <w:rsid w:val="00EE6823"/>
    <w:rsid w:val="00EE78B5"/>
    <w:rsid w:val="00EF45DE"/>
    <w:rsid w:val="00EF5E11"/>
    <w:rsid w:val="00EF6ADA"/>
    <w:rsid w:val="00F02C07"/>
    <w:rsid w:val="00F040E3"/>
    <w:rsid w:val="00F07397"/>
    <w:rsid w:val="00F17110"/>
    <w:rsid w:val="00F174E1"/>
    <w:rsid w:val="00F207F1"/>
    <w:rsid w:val="00F20C01"/>
    <w:rsid w:val="00F2169E"/>
    <w:rsid w:val="00F24FA2"/>
    <w:rsid w:val="00F2537F"/>
    <w:rsid w:val="00F274E4"/>
    <w:rsid w:val="00F3019B"/>
    <w:rsid w:val="00F3690C"/>
    <w:rsid w:val="00F36C18"/>
    <w:rsid w:val="00F40A7F"/>
    <w:rsid w:val="00F41C28"/>
    <w:rsid w:val="00F44C37"/>
    <w:rsid w:val="00F45849"/>
    <w:rsid w:val="00F511F2"/>
    <w:rsid w:val="00F533B8"/>
    <w:rsid w:val="00F54212"/>
    <w:rsid w:val="00F5438C"/>
    <w:rsid w:val="00F6094E"/>
    <w:rsid w:val="00F617E1"/>
    <w:rsid w:val="00F637AC"/>
    <w:rsid w:val="00F63DD8"/>
    <w:rsid w:val="00F64643"/>
    <w:rsid w:val="00F655CA"/>
    <w:rsid w:val="00F71FEB"/>
    <w:rsid w:val="00F740BE"/>
    <w:rsid w:val="00F74337"/>
    <w:rsid w:val="00F75036"/>
    <w:rsid w:val="00F7533C"/>
    <w:rsid w:val="00F77E06"/>
    <w:rsid w:val="00F77FBA"/>
    <w:rsid w:val="00F818EC"/>
    <w:rsid w:val="00F82529"/>
    <w:rsid w:val="00F84E98"/>
    <w:rsid w:val="00F85B4E"/>
    <w:rsid w:val="00F91221"/>
    <w:rsid w:val="00F913F0"/>
    <w:rsid w:val="00F928B3"/>
    <w:rsid w:val="00F94A19"/>
    <w:rsid w:val="00F95F78"/>
    <w:rsid w:val="00F96A62"/>
    <w:rsid w:val="00FA03CA"/>
    <w:rsid w:val="00FA0D00"/>
    <w:rsid w:val="00FA32A7"/>
    <w:rsid w:val="00FA3B20"/>
    <w:rsid w:val="00FA631C"/>
    <w:rsid w:val="00FB17B9"/>
    <w:rsid w:val="00FB181D"/>
    <w:rsid w:val="00FB2606"/>
    <w:rsid w:val="00FB3BE0"/>
    <w:rsid w:val="00FB705E"/>
    <w:rsid w:val="00FB7952"/>
    <w:rsid w:val="00FC224F"/>
    <w:rsid w:val="00FC4EF0"/>
    <w:rsid w:val="00FC5185"/>
    <w:rsid w:val="00FD0797"/>
    <w:rsid w:val="00FD14B8"/>
    <w:rsid w:val="00FD1A98"/>
    <w:rsid w:val="00FD5F28"/>
    <w:rsid w:val="00FE21A7"/>
    <w:rsid w:val="00FE4415"/>
    <w:rsid w:val="00FF18E6"/>
    <w:rsid w:val="00FF1FCC"/>
    <w:rsid w:val="00FF22BB"/>
    <w:rsid w:val="00FF6537"/>
    <w:rsid w:val="00FF66EF"/>
    <w:rsid w:val="00FF68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4DBE"/>
  <w15:docId w15:val="{CF3E069D-B69A-4F4D-8CEC-6E113427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7148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7148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Revision">
    <w:name w:val="Revision"/>
    <w:hidden/>
    <w:uiPriority w:val="99"/>
    <w:semiHidden/>
    <w:rsid w:val="00094A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7870-A025-475A-9416-89AC879C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2015-12-22T14:03:00Z</cp:lastPrinted>
  <dcterms:created xsi:type="dcterms:W3CDTF">2017-01-25T01:37:00Z</dcterms:created>
  <dcterms:modified xsi:type="dcterms:W3CDTF">2017-01-25T01:37:00Z</dcterms:modified>
</cp:coreProperties>
</file>