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67ED8" w:rsidP="00D50C8F">
            <w:pPr>
              <w:jc w:val="right"/>
            </w:pPr>
            <w:r w:rsidRPr="00367ED8">
              <w:rPr>
                <w:sz w:val="40"/>
              </w:rPr>
              <w:t>CCPR</w:t>
            </w:r>
            <w:r>
              <w:t>/C/106/D/</w:t>
            </w:r>
            <w:r w:rsidR="000C4765">
              <w:t>1803</w:t>
            </w:r>
            <w:r>
              <w:t>/20</w:t>
            </w:r>
            <w:r w:rsidR="000C4765">
              <w:t>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80AFC" w:rsidP="00B6553F">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67ED8" w:rsidP="00367ED8">
            <w:pPr>
              <w:spacing w:before="240" w:line="240" w:lineRule="exact"/>
            </w:pPr>
            <w:r>
              <w:t xml:space="preserve">Distr.: </w:t>
            </w:r>
            <w:r w:rsidR="00D50C8F">
              <w:t>General</w:t>
            </w:r>
          </w:p>
          <w:p w:rsidR="00367ED8" w:rsidRDefault="00A26DBC" w:rsidP="00367ED8">
            <w:pPr>
              <w:spacing w:line="240" w:lineRule="exact"/>
            </w:pPr>
            <w:r>
              <w:t>2</w:t>
            </w:r>
            <w:r w:rsidR="0013370A">
              <w:t>9</w:t>
            </w:r>
            <w:r>
              <w:t xml:space="preserve"> November</w:t>
            </w:r>
            <w:r w:rsidR="00367ED8">
              <w:t xml:space="preserve"> 2012</w:t>
            </w:r>
          </w:p>
          <w:p w:rsidR="00367ED8" w:rsidRDefault="00367ED8" w:rsidP="00367ED8">
            <w:pPr>
              <w:spacing w:line="240" w:lineRule="exact"/>
            </w:pPr>
          </w:p>
          <w:p w:rsidR="00367ED8" w:rsidRDefault="00367ED8" w:rsidP="00367ED8">
            <w:pPr>
              <w:spacing w:line="240" w:lineRule="exact"/>
            </w:pPr>
            <w:r>
              <w:t>Original: English</w:t>
            </w:r>
          </w:p>
        </w:tc>
      </w:tr>
    </w:tbl>
    <w:p w:rsidR="00D82EA3" w:rsidRDefault="00D82EA3" w:rsidP="006A1132">
      <w:pPr>
        <w:spacing w:before="120" w:line="240" w:lineRule="exact"/>
        <w:rPr>
          <w:bCs/>
        </w:rPr>
      </w:pPr>
      <w:r w:rsidRPr="007D3E05">
        <w:rPr>
          <w:b/>
          <w:sz w:val="24"/>
          <w:szCs w:val="24"/>
        </w:rPr>
        <w:t>Human Rights Committee</w:t>
      </w:r>
    </w:p>
    <w:p w:rsidR="00D82EA3" w:rsidRDefault="00D82EA3" w:rsidP="00F74B01">
      <w:pPr>
        <w:pStyle w:val="HChG"/>
      </w:pPr>
      <w:r>
        <w:tab/>
      </w:r>
      <w:r>
        <w:tab/>
      </w:r>
      <w:r w:rsidRPr="00F74B01">
        <w:t>Communication</w:t>
      </w:r>
      <w:r w:rsidRPr="007C1F31">
        <w:t xml:space="preserve"> No. </w:t>
      </w:r>
      <w:r w:rsidR="000C4765">
        <w:t>1803/2008</w:t>
      </w:r>
    </w:p>
    <w:p w:rsidR="00D82EA3" w:rsidRPr="007D3E05" w:rsidRDefault="00D82EA3" w:rsidP="00F74B01">
      <w:pPr>
        <w:pStyle w:val="H1G"/>
      </w:pPr>
      <w:r w:rsidRPr="007D3E05">
        <w:tab/>
      </w:r>
      <w:r w:rsidRPr="007D3E05">
        <w:tab/>
      </w:r>
      <w:r w:rsidR="00D50C8F">
        <w:t>Views adopted by the Committee at its 106th session (15 October</w:t>
      </w:r>
      <w:r w:rsidR="006A1132">
        <w:t>–</w:t>
      </w:r>
      <w:r w:rsidR="00D50C8F">
        <w:t>2 November 2012)</w:t>
      </w:r>
    </w:p>
    <w:p w:rsidR="00D82EA3" w:rsidRPr="00F74B01" w:rsidRDefault="00D82EA3" w:rsidP="00937230">
      <w:pPr>
        <w:pStyle w:val="SingleTxtG"/>
        <w:ind w:left="4536" w:hanging="3402"/>
        <w:jc w:val="left"/>
      </w:pPr>
      <w:r w:rsidRPr="00F74B01">
        <w:rPr>
          <w:i/>
        </w:rPr>
        <w:t>Submitted by:</w:t>
      </w:r>
      <w:r w:rsidRPr="00F74B01">
        <w:tab/>
      </w:r>
      <w:r w:rsidR="000C4765">
        <w:t>Dmitriy Vladimirovich</w:t>
      </w:r>
      <w:r w:rsidR="00080DB6" w:rsidRPr="00080DB6">
        <w:t xml:space="preserve"> </w:t>
      </w:r>
      <w:r w:rsidR="00080DB6">
        <w:t>Bulgakov</w:t>
      </w:r>
      <w:r w:rsidR="000C4765">
        <w:t xml:space="preserve"> (n</w:t>
      </w:r>
      <w:r w:rsidR="00F74B01">
        <w:t>ot represented by counsel)</w:t>
      </w:r>
    </w:p>
    <w:p w:rsidR="00D82EA3" w:rsidRPr="00F74B01" w:rsidRDefault="00D82EA3" w:rsidP="00F74B01">
      <w:pPr>
        <w:pStyle w:val="SingleTxtG"/>
        <w:ind w:left="4536" w:hanging="3402"/>
      </w:pPr>
      <w:r w:rsidRPr="00F74B01">
        <w:rPr>
          <w:i/>
        </w:rPr>
        <w:t>All</w:t>
      </w:r>
      <w:r w:rsidR="00F74B01">
        <w:rPr>
          <w:i/>
        </w:rPr>
        <w:t>eged victim</w:t>
      </w:r>
      <w:r w:rsidRPr="00F74B01">
        <w:rPr>
          <w:i/>
        </w:rPr>
        <w:t>:</w:t>
      </w:r>
      <w:r w:rsidRPr="00F74B01">
        <w:tab/>
        <w:t>The author</w:t>
      </w:r>
    </w:p>
    <w:p w:rsidR="00D82EA3" w:rsidRPr="00F74B01" w:rsidRDefault="00D82EA3" w:rsidP="00F74B01">
      <w:pPr>
        <w:pStyle w:val="SingleTxtG"/>
        <w:ind w:left="4536" w:hanging="3402"/>
      </w:pPr>
      <w:r w:rsidRPr="00F74B01">
        <w:rPr>
          <w:i/>
        </w:rPr>
        <w:t>State party:</w:t>
      </w:r>
      <w:r w:rsidRPr="00F74B01">
        <w:tab/>
      </w:r>
      <w:smartTag w:uri="urn:schemas-microsoft-com:office:smarttags" w:element="place">
        <w:smartTag w:uri="urn:schemas-microsoft-com:office:smarttags" w:element="country-region">
          <w:r w:rsidR="000C4765">
            <w:t>Ukraine</w:t>
          </w:r>
        </w:smartTag>
      </w:smartTag>
    </w:p>
    <w:p w:rsidR="00D82EA3" w:rsidRDefault="00D82EA3" w:rsidP="00F74B01">
      <w:pPr>
        <w:pStyle w:val="SingleTxtG"/>
        <w:ind w:left="4536" w:hanging="3402"/>
      </w:pPr>
      <w:r w:rsidRPr="00F74B01">
        <w:rPr>
          <w:i/>
        </w:rPr>
        <w:t>Date of communication:</w:t>
      </w:r>
      <w:r w:rsidRPr="00F74B01">
        <w:tab/>
      </w:r>
      <w:r w:rsidR="000C4765">
        <w:t>23 May 2008</w:t>
      </w:r>
      <w:r w:rsidRPr="00F74B01">
        <w:t xml:space="preserve"> (initial submission)</w:t>
      </w:r>
    </w:p>
    <w:p w:rsidR="005332A5" w:rsidRDefault="005332A5" w:rsidP="00937230">
      <w:pPr>
        <w:pStyle w:val="SingleTxtG"/>
        <w:ind w:left="4536" w:hanging="3402"/>
        <w:jc w:val="left"/>
        <w:rPr>
          <w:lang w:val="en-US"/>
        </w:rPr>
      </w:pPr>
      <w:r w:rsidRPr="005332A5">
        <w:rPr>
          <w:i/>
          <w:lang w:val="en-US"/>
        </w:rPr>
        <w:t>Document references:</w:t>
      </w:r>
      <w:r>
        <w:rPr>
          <w:lang w:val="en-US"/>
        </w:rPr>
        <w:tab/>
        <w:t>Special Rapporteur’s rule 97 decision, transmitted to the State party on 15 August 2008 (not issued in document form)</w:t>
      </w:r>
    </w:p>
    <w:p w:rsidR="00D82EA3" w:rsidRDefault="00D82EA3" w:rsidP="00F74B01">
      <w:pPr>
        <w:pStyle w:val="SingleTxtG"/>
        <w:ind w:left="4536" w:hanging="3402"/>
      </w:pPr>
      <w:r w:rsidRPr="00F74B01">
        <w:rPr>
          <w:i/>
        </w:rPr>
        <w:t xml:space="preserve">Date of adoption of </w:t>
      </w:r>
      <w:r w:rsidR="00F74B01" w:rsidRPr="00F74B01">
        <w:rPr>
          <w:i/>
        </w:rPr>
        <w:t>decision</w:t>
      </w:r>
      <w:r w:rsidRPr="00F74B01">
        <w:rPr>
          <w:i/>
        </w:rPr>
        <w:t>:</w:t>
      </w:r>
      <w:r w:rsidRPr="00F74B01">
        <w:tab/>
      </w:r>
      <w:r w:rsidR="00D50C8F">
        <w:t xml:space="preserve">29 </w:t>
      </w:r>
      <w:r w:rsidRPr="00F74B01">
        <w:t>October 2012</w:t>
      </w:r>
    </w:p>
    <w:p w:rsidR="008236FC" w:rsidRDefault="00D82EA3" w:rsidP="00937230">
      <w:pPr>
        <w:pStyle w:val="SingleTxtG"/>
        <w:ind w:left="4536" w:hanging="3402"/>
        <w:jc w:val="left"/>
      </w:pPr>
      <w:r w:rsidRPr="00D82EA3">
        <w:rPr>
          <w:i/>
        </w:rPr>
        <w:t xml:space="preserve">Subject matter:  </w:t>
      </w:r>
      <w:r w:rsidRPr="00D82EA3">
        <w:rPr>
          <w:i/>
        </w:rPr>
        <w:tab/>
      </w:r>
      <w:r w:rsidR="009E0B5C">
        <w:rPr>
          <w:iCs/>
        </w:rPr>
        <w:t>S</w:t>
      </w:r>
      <w:r w:rsidR="008236FC">
        <w:t>pelling of author’s name according to Ukrainian orthography in identity documents</w:t>
      </w:r>
    </w:p>
    <w:p w:rsidR="00D82EA3" w:rsidRPr="00D82EA3" w:rsidRDefault="00D82EA3" w:rsidP="00F74B01">
      <w:pPr>
        <w:pStyle w:val="SingleTxtG"/>
        <w:ind w:left="4536" w:hanging="3402"/>
      </w:pPr>
      <w:r w:rsidRPr="00D82EA3">
        <w:rPr>
          <w:i/>
        </w:rPr>
        <w:t xml:space="preserve">Procedural issues: </w:t>
      </w:r>
      <w:r w:rsidRPr="00D82EA3">
        <w:rPr>
          <w:i/>
        </w:rPr>
        <w:tab/>
      </w:r>
      <w:r w:rsidR="007065D1">
        <w:t>None</w:t>
      </w:r>
    </w:p>
    <w:p w:rsidR="00D82EA3" w:rsidRPr="00D82EA3" w:rsidRDefault="00D82EA3" w:rsidP="00937230">
      <w:pPr>
        <w:pStyle w:val="SingleTxtG"/>
        <w:ind w:left="4536" w:hanging="3402"/>
        <w:jc w:val="left"/>
      </w:pPr>
      <w:r w:rsidRPr="00D82EA3">
        <w:rPr>
          <w:i/>
        </w:rPr>
        <w:t xml:space="preserve">Substantive issues: </w:t>
      </w:r>
      <w:r w:rsidRPr="00D82EA3">
        <w:rPr>
          <w:i/>
        </w:rPr>
        <w:tab/>
      </w:r>
      <w:r w:rsidR="008236FC">
        <w:t xml:space="preserve">Arbitrary and unlawful interference with private life; </w:t>
      </w:r>
      <w:r w:rsidR="006A1132">
        <w:t>p</w:t>
      </w:r>
      <w:r w:rsidR="008236FC">
        <w:t xml:space="preserve">rohibition of discrimination; </w:t>
      </w:r>
      <w:r w:rsidR="006A1132">
        <w:t>p</w:t>
      </w:r>
      <w:r w:rsidR="008236FC">
        <w:t>rotection of minorities</w:t>
      </w:r>
    </w:p>
    <w:p w:rsidR="00D82EA3" w:rsidRPr="00D82EA3" w:rsidRDefault="00D82EA3" w:rsidP="00F74B01">
      <w:pPr>
        <w:pStyle w:val="SingleTxtG"/>
        <w:ind w:left="4536" w:hanging="3402"/>
      </w:pPr>
      <w:r w:rsidRPr="00D82EA3">
        <w:rPr>
          <w:i/>
        </w:rPr>
        <w:t>Articles of the Covenant:</w:t>
      </w:r>
      <w:r w:rsidRPr="00D82EA3">
        <w:t xml:space="preserve"> </w:t>
      </w:r>
      <w:r w:rsidRPr="00D82EA3">
        <w:tab/>
        <w:t>1</w:t>
      </w:r>
      <w:r w:rsidR="008236FC">
        <w:t>7</w:t>
      </w:r>
      <w:r w:rsidRPr="00D82EA3">
        <w:t xml:space="preserve">, </w:t>
      </w:r>
      <w:r w:rsidR="008236FC">
        <w:t>26</w:t>
      </w:r>
      <w:r w:rsidRPr="00D82EA3">
        <w:t xml:space="preserve"> and 2</w:t>
      </w:r>
      <w:r w:rsidR="008236FC">
        <w:t>7</w:t>
      </w:r>
    </w:p>
    <w:p w:rsidR="00D82EA3" w:rsidRDefault="00D82EA3" w:rsidP="00F74B01">
      <w:pPr>
        <w:pStyle w:val="SingleTxtG"/>
        <w:ind w:left="4536" w:hanging="3402"/>
      </w:pPr>
      <w:r w:rsidRPr="00D82EA3">
        <w:rPr>
          <w:i/>
        </w:rPr>
        <w:t>Article of the Optional Protocol:</w:t>
      </w:r>
      <w:r w:rsidRPr="00D82EA3">
        <w:rPr>
          <w:i/>
        </w:rPr>
        <w:tab/>
      </w:r>
      <w:r w:rsidRPr="00D82EA3">
        <w:t>2</w:t>
      </w:r>
    </w:p>
    <w:p w:rsidR="00D82EA3" w:rsidRPr="00D82EA3" w:rsidRDefault="00D82EA3" w:rsidP="00F74B01">
      <w:pPr>
        <w:pStyle w:val="HChG"/>
      </w:pPr>
      <w:r w:rsidRPr="00D82EA3">
        <w:br w:type="page"/>
      </w:r>
      <w:r w:rsidRPr="00D82EA3">
        <w:lastRenderedPageBreak/>
        <w:t>Annex</w:t>
      </w:r>
    </w:p>
    <w:p w:rsidR="000647F7" w:rsidRDefault="00D82EA3" w:rsidP="000647F7">
      <w:pPr>
        <w:pStyle w:val="HChG"/>
      </w:pPr>
      <w:r w:rsidRPr="00D82EA3">
        <w:tab/>
      </w:r>
      <w:r w:rsidRPr="00D82EA3">
        <w:tab/>
      </w:r>
      <w:r w:rsidR="000647F7">
        <w:t>Views of the Human Rights Committee under article 5, paragraph 4, of the Optional Protocol to the International Covenant on Civil and Political Rights (</w:t>
      </w:r>
      <w:r w:rsidR="006A1132">
        <w:t>106th</w:t>
      </w:r>
      <w:r w:rsidR="0000214D" w:rsidRPr="00D82EA3">
        <w:t xml:space="preserve"> session</w:t>
      </w:r>
      <w:r w:rsidR="000647F7">
        <w:t>)</w:t>
      </w:r>
    </w:p>
    <w:p w:rsidR="000647F7" w:rsidRDefault="000647F7" w:rsidP="000647F7">
      <w:pPr>
        <w:pStyle w:val="SingleTxtG"/>
        <w:rPr>
          <w:bCs/>
        </w:rPr>
      </w:pPr>
      <w:r>
        <w:rPr>
          <w:bCs/>
        </w:rPr>
        <w:t>concerning</w:t>
      </w:r>
    </w:p>
    <w:p w:rsidR="00D82EA3" w:rsidRPr="00D82EA3" w:rsidRDefault="00D82EA3" w:rsidP="00F74B01">
      <w:pPr>
        <w:pStyle w:val="H1G"/>
      </w:pPr>
      <w:r w:rsidRPr="00D82EA3">
        <w:tab/>
      </w:r>
      <w:r w:rsidRPr="00D82EA3">
        <w:tab/>
        <w:t xml:space="preserve">Communication No. </w:t>
      </w:r>
      <w:r w:rsidR="000C4765">
        <w:t>1803</w:t>
      </w:r>
      <w:r w:rsidRPr="00D82EA3">
        <w:t>/20</w:t>
      </w:r>
      <w:r w:rsidR="000C4765">
        <w:t>08</w:t>
      </w:r>
      <w:r w:rsidR="008D3797" w:rsidRPr="008305D9">
        <w:rPr>
          <w:sz w:val="18"/>
          <w:szCs w:val="18"/>
          <w:vertAlign w:val="superscript"/>
        </w:rPr>
        <w:footnoteReference w:customMarkFollows="1" w:id="2"/>
        <w:t>*</w:t>
      </w:r>
    </w:p>
    <w:p w:rsidR="000C4765" w:rsidRPr="00F74B01" w:rsidRDefault="000C4765" w:rsidP="00937230">
      <w:pPr>
        <w:pStyle w:val="SingleTxtG"/>
        <w:ind w:left="4536" w:hanging="3402"/>
        <w:jc w:val="left"/>
      </w:pPr>
      <w:r w:rsidRPr="00F74B01">
        <w:rPr>
          <w:i/>
        </w:rPr>
        <w:t>Submitted by:</w:t>
      </w:r>
      <w:r w:rsidRPr="00F74B01">
        <w:tab/>
      </w:r>
      <w:r>
        <w:t>Dmitriy Vladimirovich</w:t>
      </w:r>
      <w:r w:rsidR="00080DB6" w:rsidRPr="00080DB6">
        <w:t xml:space="preserve"> </w:t>
      </w:r>
      <w:r w:rsidR="00080DB6">
        <w:t>Bulgakov</w:t>
      </w:r>
      <w:r>
        <w:t xml:space="preserve"> (not represented by counsel)</w:t>
      </w:r>
    </w:p>
    <w:p w:rsidR="000C4765" w:rsidRPr="00F74B01" w:rsidRDefault="000C4765" w:rsidP="000C4765">
      <w:pPr>
        <w:pStyle w:val="SingleTxtG"/>
        <w:ind w:left="4536" w:hanging="3402"/>
      </w:pPr>
      <w:r w:rsidRPr="00F74B01">
        <w:rPr>
          <w:i/>
        </w:rPr>
        <w:t>All</w:t>
      </w:r>
      <w:r>
        <w:rPr>
          <w:i/>
        </w:rPr>
        <w:t>eged victim</w:t>
      </w:r>
      <w:r w:rsidRPr="00F74B01">
        <w:rPr>
          <w:i/>
        </w:rPr>
        <w:t>:</w:t>
      </w:r>
      <w:r w:rsidRPr="00F74B01">
        <w:tab/>
        <w:t>The author</w:t>
      </w:r>
    </w:p>
    <w:p w:rsidR="000C4765" w:rsidRPr="00F74B01" w:rsidRDefault="000C4765" w:rsidP="000C4765">
      <w:pPr>
        <w:pStyle w:val="SingleTxtG"/>
        <w:ind w:left="4536" w:hanging="3402"/>
      </w:pPr>
      <w:r w:rsidRPr="00F74B01">
        <w:rPr>
          <w:i/>
        </w:rPr>
        <w:t>State party:</w:t>
      </w:r>
      <w:r w:rsidRPr="00F74B01">
        <w:tab/>
      </w:r>
      <w:smartTag w:uri="urn:schemas-microsoft-com:office:smarttags" w:element="place">
        <w:smartTag w:uri="urn:schemas-microsoft-com:office:smarttags" w:element="country-region">
          <w:r>
            <w:t>Ukraine</w:t>
          </w:r>
        </w:smartTag>
      </w:smartTag>
    </w:p>
    <w:p w:rsidR="000C4765" w:rsidRPr="00F74B01" w:rsidRDefault="000C4765" w:rsidP="000C4765">
      <w:pPr>
        <w:pStyle w:val="SingleTxtG"/>
        <w:ind w:left="4536" w:hanging="3402"/>
      </w:pPr>
      <w:r w:rsidRPr="00F74B01">
        <w:rPr>
          <w:i/>
        </w:rPr>
        <w:t>Date of communication:</w:t>
      </w:r>
      <w:r w:rsidRPr="00F74B01">
        <w:tab/>
      </w:r>
      <w:r>
        <w:t>23 May 2008</w:t>
      </w:r>
      <w:r w:rsidRPr="00F74B01">
        <w:t xml:space="preserve"> (initial submission)</w:t>
      </w:r>
    </w:p>
    <w:p w:rsidR="00D82EA3" w:rsidRPr="00D82EA3" w:rsidRDefault="00D82EA3" w:rsidP="00F74B01">
      <w:pPr>
        <w:pStyle w:val="SingleTxtG"/>
      </w:pPr>
      <w:r w:rsidRPr="00D82EA3">
        <w:rPr>
          <w:i/>
        </w:rPr>
        <w:tab/>
      </w:r>
      <w:r w:rsidRPr="00F74B01">
        <w:rPr>
          <w:i/>
        </w:rPr>
        <w:t>The Human Rights Committee</w:t>
      </w:r>
      <w:r w:rsidRPr="00D82EA3">
        <w:t>, established under article 28 of the International Covenant on Civil and Political Rights,</w:t>
      </w:r>
    </w:p>
    <w:p w:rsidR="00D82EA3" w:rsidRDefault="00D82EA3" w:rsidP="00F74B01">
      <w:pPr>
        <w:pStyle w:val="SingleTxtG"/>
      </w:pPr>
      <w:r w:rsidRPr="00D82EA3">
        <w:tab/>
      </w:r>
      <w:r w:rsidRPr="00F74B01">
        <w:rPr>
          <w:i/>
        </w:rPr>
        <w:t xml:space="preserve">Meeting </w:t>
      </w:r>
      <w:r w:rsidRPr="006A1132">
        <w:t>on</w:t>
      </w:r>
      <w:r w:rsidRPr="00D82EA3">
        <w:t xml:space="preserve"> </w:t>
      </w:r>
      <w:r w:rsidR="00D50C8F">
        <w:t xml:space="preserve">29 </w:t>
      </w:r>
      <w:r w:rsidR="007A6DAA">
        <w:t xml:space="preserve">October </w:t>
      </w:r>
      <w:r w:rsidRPr="00D82EA3">
        <w:t>2012,</w:t>
      </w:r>
    </w:p>
    <w:p w:rsidR="006A1132" w:rsidRPr="009E31DB" w:rsidRDefault="006A1132" w:rsidP="006A1132">
      <w:pPr>
        <w:pStyle w:val="SingleTxtG"/>
      </w:pPr>
      <w:r>
        <w:rPr>
          <w:i/>
        </w:rPr>
        <w:tab/>
      </w:r>
      <w:r w:rsidRPr="002E4134">
        <w:rPr>
          <w:i/>
        </w:rPr>
        <w:t>Having concluded</w:t>
      </w:r>
      <w:r w:rsidRPr="009E31DB">
        <w:t xml:space="preserve"> its consideration of communication No. </w:t>
      </w:r>
      <w:r>
        <w:t>1803/2008</w:t>
      </w:r>
      <w:r w:rsidRPr="009E31DB">
        <w:t xml:space="preserve">, submitted to the Human Rights Committee by </w:t>
      </w:r>
      <w:r>
        <w:t>Dmitriy Vladimirovich</w:t>
      </w:r>
      <w:r w:rsidRPr="00080DB6">
        <w:t xml:space="preserve"> </w:t>
      </w:r>
      <w:r>
        <w:t>Bulgakov</w:t>
      </w:r>
      <w:r w:rsidRPr="009E31DB">
        <w:t xml:space="preserve"> under the Optional Protocol to the International Covenant on Civil and Political Rights,</w:t>
      </w:r>
    </w:p>
    <w:p w:rsidR="006A1132" w:rsidRPr="00D82EA3" w:rsidRDefault="006A1132" w:rsidP="006A1132">
      <w:pPr>
        <w:pStyle w:val="SingleTxtG"/>
      </w:pPr>
      <w:r w:rsidRPr="009E31DB">
        <w:tab/>
      </w:r>
      <w:r w:rsidRPr="002E4134">
        <w:rPr>
          <w:i/>
        </w:rPr>
        <w:t>Having taken into account</w:t>
      </w:r>
      <w:r w:rsidRPr="009E31DB">
        <w:t xml:space="preserve"> all written information made available to it by the author of the communication and the State party,</w:t>
      </w:r>
    </w:p>
    <w:p w:rsidR="00D82EA3" w:rsidRPr="00D82EA3" w:rsidRDefault="00D82EA3" w:rsidP="00F74B01">
      <w:pPr>
        <w:pStyle w:val="SingleTxtG"/>
      </w:pPr>
      <w:r w:rsidRPr="00D82EA3">
        <w:tab/>
      </w:r>
      <w:r w:rsidRPr="00F74B01">
        <w:rPr>
          <w:i/>
        </w:rPr>
        <w:t xml:space="preserve">Adopts </w:t>
      </w:r>
      <w:r w:rsidRPr="006A1132">
        <w:t>the following</w:t>
      </w:r>
      <w:r w:rsidRPr="00D82EA3">
        <w:t>:</w:t>
      </w:r>
    </w:p>
    <w:p w:rsidR="000C4765" w:rsidRDefault="00D82EA3" w:rsidP="000C4765">
      <w:pPr>
        <w:pStyle w:val="H1G"/>
      </w:pPr>
      <w:r w:rsidRPr="00D82EA3">
        <w:tab/>
      </w:r>
      <w:r w:rsidRPr="00D82EA3">
        <w:tab/>
      </w:r>
      <w:r w:rsidR="000C4765">
        <w:t>Views under article 5, paragraph 4, of the Optional Protocol</w:t>
      </w:r>
    </w:p>
    <w:p w:rsidR="00341EE5" w:rsidRPr="00341EE5" w:rsidRDefault="00D82EA3" w:rsidP="00966A0B">
      <w:pPr>
        <w:pStyle w:val="SingleTxtG"/>
        <w:spacing w:line="240" w:lineRule="auto"/>
      </w:pPr>
      <w:r w:rsidRPr="00D82EA3">
        <w:t>1.</w:t>
      </w:r>
      <w:r w:rsidRPr="00D82EA3">
        <w:tab/>
        <w:t>The author of the communication is</w:t>
      </w:r>
      <w:r w:rsidR="007253CF" w:rsidRPr="007253CF">
        <w:t xml:space="preserve"> </w:t>
      </w:r>
      <w:r w:rsidR="007253CF" w:rsidRPr="00341EE5">
        <w:t>Dmitriy Vladimirovich B</w:t>
      </w:r>
      <w:r w:rsidR="007253CF">
        <w:t>ulgakov</w:t>
      </w:r>
      <w:r w:rsidRPr="00D82EA3">
        <w:t xml:space="preserve">, </w:t>
      </w:r>
      <w:r w:rsidR="00080DB6">
        <w:t xml:space="preserve">a </w:t>
      </w:r>
      <w:r w:rsidR="007253CF" w:rsidRPr="00341EE5">
        <w:t>Ukrainian citizen of Russian origin</w:t>
      </w:r>
      <w:r w:rsidR="007253CF">
        <w:t xml:space="preserve">, </w:t>
      </w:r>
      <w:r w:rsidR="007253CF" w:rsidRPr="00341EE5">
        <w:t xml:space="preserve">born </w:t>
      </w:r>
      <w:r w:rsidR="00080DB6">
        <w:t>in</w:t>
      </w:r>
      <w:r w:rsidR="007253CF" w:rsidRPr="00341EE5">
        <w:t xml:space="preserve"> 1974</w:t>
      </w:r>
      <w:r w:rsidR="007253CF">
        <w:t>.</w:t>
      </w:r>
      <w:r w:rsidR="007253CF" w:rsidRPr="007253CF">
        <w:t xml:space="preserve"> </w:t>
      </w:r>
      <w:r w:rsidR="007253CF" w:rsidRPr="00341EE5">
        <w:t>He</w:t>
      </w:r>
      <w:r w:rsidR="007253CF" w:rsidRPr="00341EE5">
        <w:rPr>
          <w:lang w:val="en-US"/>
        </w:rPr>
        <w:t xml:space="preserve"> claims to be a victim of violation</w:t>
      </w:r>
      <w:r w:rsidR="006C47D8">
        <w:rPr>
          <w:lang w:val="en-US"/>
        </w:rPr>
        <w:t>s</w:t>
      </w:r>
      <w:r w:rsidR="007253CF" w:rsidRPr="00341EE5">
        <w:rPr>
          <w:lang w:val="en-US"/>
        </w:rPr>
        <w:t xml:space="preserve"> by </w:t>
      </w:r>
      <w:smartTag w:uri="urn:schemas-microsoft-com:office:smarttags" w:element="country-region">
        <w:smartTag w:uri="urn:schemas-microsoft-com:office:smarttags" w:element="place">
          <w:r w:rsidR="007253CF" w:rsidRPr="00341EE5">
            <w:rPr>
              <w:lang w:val="en-US"/>
            </w:rPr>
            <w:t>Ukraine</w:t>
          </w:r>
        </w:smartTag>
      </w:smartTag>
      <w:r w:rsidR="007253CF" w:rsidRPr="00341EE5">
        <w:rPr>
          <w:lang w:val="en-US"/>
        </w:rPr>
        <w:t xml:space="preserve"> of his rights under article</w:t>
      </w:r>
      <w:r w:rsidR="006A1132">
        <w:rPr>
          <w:lang w:val="en-US"/>
        </w:rPr>
        <w:t>s</w:t>
      </w:r>
      <w:r w:rsidR="007253CF" w:rsidRPr="00341EE5">
        <w:rPr>
          <w:lang w:val="en-US"/>
        </w:rPr>
        <w:t xml:space="preserve"> 17, 26 and 27 of the </w:t>
      </w:r>
      <w:r w:rsidR="00D50C8F">
        <w:rPr>
          <w:lang w:val="en-US"/>
        </w:rPr>
        <w:t xml:space="preserve">International </w:t>
      </w:r>
      <w:r w:rsidR="007253CF" w:rsidRPr="00341EE5">
        <w:rPr>
          <w:lang w:val="en-US"/>
        </w:rPr>
        <w:t xml:space="preserve">Covenant on Civil and Political Rights. </w:t>
      </w:r>
      <w:r w:rsidR="007253CF" w:rsidRPr="00341EE5">
        <w:t xml:space="preserve">The Covenant and Optional Protocol to the Covenant entered into force for </w:t>
      </w:r>
      <w:smartTag w:uri="urn:schemas-microsoft-com:office:smarttags" w:element="country-region">
        <w:smartTag w:uri="urn:schemas-microsoft-com:office:smarttags" w:element="place">
          <w:r w:rsidR="007253CF" w:rsidRPr="00341EE5">
            <w:t>Ukraine</w:t>
          </w:r>
        </w:smartTag>
      </w:smartTag>
      <w:r w:rsidR="007253CF" w:rsidRPr="00341EE5">
        <w:t xml:space="preserve"> on </w:t>
      </w:r>
      <w:r w:rsidR="00080DB6">
        <w:t>23 March 1976</w:t>
      </w:r>
      <w:r w:rsidR="007253CF" w:rsidRPr="00341EE5">
        <w:t xml:space="preserve"> and 25 </w:t>
      </w:r>
      <w:r w:rsidR="00080DB6">
        <w:t>October</w:t>
      </w:r>
      <w:r w:rsidR="00080DB6" w:rsidRPr="00341EE5">
        <w:t xml:space="preserve"> </w:t>
      </w:r>
      <w:r w:rsidR="007253CF" w:rsidRPr="00341EE5">
        <w:t>1991</w:t>
      </w:r>
      <w:r w:rsidR="006A1132">
        <w:t>, respectively</w:t>
      </w:r>
      <w:r w:rsidR="007253CF" w:rsidRPr="00341EE5">
        <w:t>. The author is unrepresented.</w:t>
      </w:r>
    </w:p>
    <w:p w:rsidR="00341EE5" w:rsidRPr="00341EE5" w:rsidRDefault="00BA76A7" w:rsidP="00BA76A7">
      <w:pPr>
        <w:pStyle w:val="H23G"/>
        <w:rPr>
          <w:lang w:val="en-US"/>
        </w:rPr>
      </w:pPr>
      <w:r>
        <w:rPr>
          <w:lang w:val="en-US"/>
        </w:rPr>
        <w:tab/>
      </w:r>
      <w:r>
        <w:rPr>
          <w:lang w:val="en-US"/>
        </w:rPr>
        <w:tab/>
      </w:r>
      <w:r w:rsidR="00341EE5" w:rsidRPr="00341EE5">
        <w:rPr>
          <w:lang w:val="en-US"/>
        </w:rPr>
        <w:t>The facts as presented by the author</w:t>
      </w:r>
    </w:p>
    <w:p w:rsidR="00341EE5" w:rsidRPr="00341EE5" w:rsidRDefault="0000214D" w:rsidP="00966A0B">
      <w:pPr>
        <w:pStyle w:val="SingleTxtG"/>
        <w:spacing w:line="240" w:lineRule="auto"/>
        <w:rPr>
          <w:lang w:val="en-US"/>
        </w:rPr>
      </w:pPr>
      <w:r>
        <w:rPr>
          <w:lang w:val="en-US"/>
        </w:rPr>
        <w:t>2.1</w:t>
      </w:r>
      <w:r w:rsidR="005E4075">
        <w:rPr>
          <w:lang w:val="en-US"/>
        </w:rPr>
        <w:tab/>
      </w:r>
      <w:r w:rsidR="00341EE5" w:rsidRPr="00341EE5">
        <w:rPr>
          <w:lang w:val="en-US"/>
        </w:rPr>
        <w:t xml:space="preserve">The author was born in the former </w:t>
      </w:r>
      <w:smartTag w:uri="urn:schemas-microsoft-com:office:smarttags" w:element="PlaceName">
        <w:r w:rsidR="00080DB6">
          <w:rPr>
            <w:lang w:val="en-US"/>
          </w:rPr>
          <w:t>Byelorussian</w:t>
        </w:r>
      </w:smartTag>
      <w:r w:rsidR="00080DB6">
        <w:rPr>
          <w:lang w:val="en-US"/>
        </w:rPr>
        <w:t xml:space="preserve"> </w:t>
      </w:r>
      <w:smartTag w:uri="urn:schemas-microsoft-com:office:smarttags" w:element="PlaceName">
        <w:r w:rsidR="00080DB6">
          <w:rPr>
            <w:lang w:val="en-US"/>
          </w:rPr>
          <w:t>Soviet</w:t>
        </w:r>
      </w:smartTag>
      <w:r w:rsidR="00080DB6">
        <w:rPr>
          <w:lang w:val="en-US"/>
        </w:rPr>
        <w:t xml:space="preserve"> </w:t>
      </w:r>
      <w:smartTag w:uri="urn:schemas-microsoft-com:office:smarttags" w:element="PlaceName">
        <w:r w:rsidR="00080DB6">
          <w:rPr>
            <w:lang w:val="en-US"/>
          </w:rPr>
          <w:t>Socialist</w:t>
        </w:r>
      </w:smartTag>
      <w:r w:rsidR="00080DB6">
        <w:rPr>
          <w:lang w:val="en-US"/>
        </w:rPr>
        <w:t xml:space="preserve"> </w:t>
      </w:r>
      <w:smartTag w:uri="urn:schemas-microsoft-com:office:smarttags" w:element="PlaceType">
        <w:r w:rsidR="00080DB6">
          <w:rPr>
            <w:lang w:val="en-US"/>
          </w:rPr>
          <w:t>Republic</w:t>
        </w:r>
      </w:smartTag>
      <w:r w:rsidR="00341EE5" w:rsidRPr="00341EE5">
        <w:rPr>
          <w:lang w:val="en-US"/>
        </w:rPr>
        <w:t xml:space="preserve"> (one of the republics of the former </w:t>
      </w:r>
      <w:smartTag w:uri="urn:schemas-microsoft-com:office:smarttags" w:element="place">
        <w:r w:rsidR="009C1830">
          <w:rPr>
            <w:lang w:val="en-US"/>
          </w:rPr>
          <w:t>Soviet Union</w:t>
        </w:r>
      </w:smartTag>
      <w:r w:rsidR="009C1830">
        <w:rPr>
          <w:lang w:val="en-US"/>
        </w:rPr>
        <w:t>)</w:t>
      </w:r>
      <w:r w:rsidR="00341EE5" w:rsidRPr="00341EE5">
        <w:rPr>
          <w:lang w:val="en-US"/>
        </w:rPr>
        <w:t>. Since 1986 he has lived in the Autonomous Republic of Crimea (</w:t>
      </w:r>
      <w:smartTag w:uri="urn:schemas-microsoft-com:office:smarttags" w:element="place">
        <w:smartTag w:uri="urn:schemas-microsoft-com:office:smarttags" w:element="country-region">
          <w:r w:rsidR="00341EE5" w:rsidRPr="00341EE5">
            <w:rPr>
              <w:lang w:val="en-US"/>
            </w:rPr>
            <w:t>Ukraine</w:t>
          </w:r>
        </w:smartTag>
      </w:smartTag>
      <w:r w:rsidR="00341EE5" w:rsidRPr="00341EE5">
        <w:rPr>
          <w:lang w:val="en-US"/>
        </w:rPr>
        <w:t>). On 21 September 1990</w:t>
      </w:r>
      <w:r w:rsidR="00E1558E">
        <w:rPr>
          <w:lang w:val="en-US"/>
        </w:rPr>
        <w:t>,</w:t>
      </w:r>
      <w:r w:rsidR="00341EE5" w:rsidRPr="00341EE5">
        <w:rPr>
          <w:lang w:val="en-US"/>
        </w:rPr>
        <w:t xml:space="preserve"> he received his first Soviet passport, </w:t>
      </w:r>
      <w:r w:rsidR="00341EE5" w:rsidRPr="00341EE5">
        <w:rPr>
          <w:lang w:val="en-US"/>
        </w:rPr>
        <w:lastRenderedPageBreak/>
        <w:t>issued in Russian and Ukrainian</w:t>
      </w:r>
      <w:r w:rsidR="00055A34">
        <w:rPr>
          <w:lang w:val="en-US"/>
        </w:rPr>
        <w:t>,</w:t>
      </w:r>
      <w:r w:rsidR="00341EE5" w:rsidRPr="00341EE5">
        <w:rPr>
          <w:lang w:val="en-US"/>
        </w:rPr>
        <w:t xml:space="preserve"> </w:t>
      </w:r>
      <w:r w:rsidR="00055A34">
        <w:rPr>
          <w:lang w:val="en-US"/>
        </w:rPr>
        <w:t xml:space="preserve">in which his name was </w:t>
      </w:r>
      <w:r w:rsidR="00341EE5" w:rsidRPr="00341EE5">
        <w:rPr>
          <w:lang w:val="en-US"/>
        </w:rPr>
        <w:t>trans</w:t>
      </w:r>
      <w:r w:rsidR="00083DEB">
        <w:rPr>
          <w:lang w:val="en-US"/>
        </w:rPr>
        <w:t>cribed</w:t>
      </w:r>
      <w:r w:rsidR="00341EE5" w:rsidRPr="00341EE5">
        <w:rPr>
          <w:lang w:val="en-US"/>
        </w:rPr>
        <w:t xml:space="preserve"> as “</w:t>
      </w:r>
      <w:r w:rsidR="00341EE5" w:rsidRPr="00341EE5">
        <w:rPr>
          <w:lang w:val="ru-RU"/>
        </w:rPr>
        <w:t>Дм</w:t>
      </w:r>
      <w:r w:rsidR="00341EE5" w:rsidRPr="00341EE5">
        <w:rPr>
          <w:lang w:val="en-US"/>
        </w:rPr>
        <w:t>i</w:t>
      </w:r>
      <w:r w:rsidR="00341EE5" w:rsidRPr="00341EE5">
        <w:rPr>
          <w:lang w:val="ru-RU"/>
        </w:rPr>
        <w:t>тр</w:t>
      </w:r>
      <w:r w:rsidR="00341EE5" w:rsidRPr="00341EE5">
        <w:rPr>
          <w:lang w:val="en-US"/>
        </w:rPr>
        <w:t>i</w:t>
      </w:r>
      <w:r w:rsidR="00341EE5" w:rsidRPr="00341EE5">
        <w:rPr>
          <w:lang w:val="ru-RU"/>
        </w:rPr>
        <w:t>й</w:t>
      </w:r>
      <w:r w:rsidR="00341EE5" w:rsidRPr="00341EE5">
        <w:rPr>
          <w:lang w:val="en-US"/>
        </w:rPr>
        <w:t xml:space="preserve"> </w:t>
      </w:r>
      <w:r w:rsidR="00341EE5" w:rsidRPr="00341EE5">
        <w:rPr>
          <w:lang w:val="ru-RU"/>
        </w:rPr>
        <w:t>Влад</w:t>
      </w:r>
      <w:r w:rsidR="00341EE5" w:rsidRPr="00341EE5">
        <w:rPr>
          <w:lang w:val="en-US"/>
        </w:rPr>
        <w:t>i</w:t>
      </w:r>
      <w:r w:rsidR="00341EE5" w:rsidRPr="00341EE5">
        <w:rPr>
          <w:lang w:val="ru-RU"/>
        </w:rPr>
        <w:t>м</w:t>
      </w:r>
      <w:r w:rsidR="00341EE5" w:rsidRPr="00341EE5">
        <w:rPr>
          <w:lang w:val="en-US"/>
        </w:rPr>
        <w:t>i</w:t>
      </w:r>
      <w:r w:rsidR="00341EE5" w:rsidRPr="00341EE5">
        <w:rPr>
          <w:lang w:val="ru-RU"/>
        </w:rPr>
        <w:t>ров</w:t>
      </w:r>
      <w:r w:rsidR="00341EE5" w:rsidRPr="00341EE5">
        <w:rPr>
          <w:lang w:val="en-US"/>
        </w:rPr>
        <w:t>i</w:t>
      </w:r>
      <w:r w:rsidR="00341EE5" w:rsidRPr="00341EE5">
        <w:rPr>
          <w:lang w:val="ru-RU"/>
        </w:rPr>
        <w:t>ч</w:t>
      </w:r>
      <w:r w:rsidR="00341EE5" w:rsidRPr="00341EE5">
        <w:rPr>
          <w:lang w:val="en-US"/>
        </w:rPr>
        <w:t>”</w:t>
      </w:r>
      <w:r w:rsidR="0016248B">
        <w:rPr>
          <w:lang w:val="en-US"/>
        </w:rPr>
        <w:t xml:space="preserve"> </w:t>
      </w:r>
      <w:r w:rsidR="00055A34">
        <w:rPr>
          <w:lang w:val="en-US"/>
        </w:rPr>
        <w:t>(</w:t>
      </w:r>
      <w:r w:rsidR="00055A34" w:rsidRPr="00341EE5">
        <w:t>Dmitriy Vladimirovich</w:t>
      </w:r>
      <w:r w:rsidR="00341EE5" w:rsidRPr="00341EE5">
        <w:rPr>
          <w:lang w:val="en-US"/>
        </w:rPr>
        <w:t>).</w:t>
      </w:r>
    </w:p>
    <w:p w:rsidR="00341EE5" w:rsidRPr="00341EE5" w:rsidRDefault="0000214D" w:rsidP="00966A0B">
      <w:pPr>
        <w:pStyle w:val="SingleTxtG"/>
        <w:spacing w:line="240" w:lineRule="auto"/>
        <w:rPr>
          <w:lang w:val="en-US"/>
        </w:rPr>
      </w:pPr>
      <w:r>
        <w:rPr>
          <w:lang w:val="en-US"/>
        </w:rPr>
        <w:t>2.2</w:t>
      </w:r>
      <w:r w:rsidR="005E4075">
        <w:rPr>
          <w:lang w:val="en-US"/>
        </w:rPr>
        <w:tab/>
      </w:r>
      <w:r w:rsidR="00341EE5" w:rsidRPr="00341EE5">
        <w:rPr>
          <w:lang w:val="en-US"/>
        </w:rPr>
        <w:t xml:space="preserve">On 24 August 1991, the date of declaration of independence of </w:t>
      </w:r>
      <w:smartTag w:uri="urn:schemas-microsoft-com:office:smarttags" w:element="place">
        <w:smartTag w:uri="urn:schemas-microsoft-com:office:smarttags" w:element="country-region">
          <w:r w:rsidR="00341EE5" w:rsidRPr="00341EE5">
            <w:rPr>
              <w:lang w:val="en-US"/>
            </w:rPr>
            <w:t>Ukraine</w:t>
          </w:r>
        </w:smartTag>
      </w:smartTag>
      <w:r w:rsidR="00341EE5" w:rsidRPr="00341EE5">
        <w:rPr>
          <w:lang w:val="en-US"/>
        </w:rPr>
        <w:t xml:space="preserve">, the author became a Ukrainian citizen. </w:t>
      </w:r>
      <w:r w:rsidR="009C72C4">
        <w:rPr>
          <w:lang w:val="en-US"/>
        </w:rPr>
        <w:t xml:space="preserve">Subsequently, </w:t>
      </w:r>
      <w:r w:rsidR="009C72C4" w:rsidRPr="00341EE5">
        <w:rPr>
          <w:lang w:val="en-US"/>
        </w:rPr>
        <w:t>in the internal and external passport</w:t>
      </w:r>
      <w:r w:rsidR="009C72C4">
        <w:rPr>
          <w:lang w:val="en-US"/>
        </w:rPr>
        <w:t>s</w:t>
      </w:r>
      <w:r w:rsidR="009C72C4" w:rsidRPr="00341EE5">
        <w:rPr>
          <w:vertAlign w:val="superscript"/>
          <w:lang w:val="en-US"/>
        </w:rPr>
        <w:footnoteReference w:id="3"/>
      </w:r>
      <w:r w:rsidR="009C72C4" w:rsidRPr="00341EE5">
        <w:rPr>
          <w:lang w:val="en-US"/>
        </w:rPr>
        <w:t xml:space="preserve"> </w:t>
      </w:r>
      <w:r w:rsidR="009C72C4">
        <w:rPr>
          <w:lang w:val="en-US"/>
        </w:rPr>
        <w:t>issued to him</w:t>
      </w:r>
      <w:r w:rsidR="009C72C4" w:rsidRPr="00341EE5">
        <w:rPr>
          <w:lang w:val="en-US"/>
        </w:rPr>
        <w:t xml:space="preserve"> in 1997 and 1998</w:t>
      </w:r>
      <w:r w:rsidR="0016248B">
        <w:rPr>
          <w:lang w:val="en-US"/>
        </w:rPr>
        <w:t>,</w:t>
      </w:r>
      <w:r w:rsidR="009C72C4" w:rsidRPr="00341EE5">
        <w:rPr>
          <w:lang w:val="en-US"/>
        </w:rPr>
        <w:t xml:space="preserve"> resp</w:t>
      </w:r>
      <w:r w:rsidR="009C72C4">
        <w:rPr>
          <w:lang w:val="en-US"/>
        </w:rPr>
        <w:t xml:space="preserve">ectively, his name and </w:t>
      </w:r>
      <w:r w:rsidR="00001FC1">
        <w:rPr>
          <w:lang w:val="en-US"/>
        </w:rPr>
        <w:t>patronymic</w:t>
      </w:r>
      <w:r w:rsidR="009C72C4" w:rsidRPr="00341EE5">
        <w:rPr>
          <w:lang w:val="en-US"/>
        </w:rPr>
        <w:t xml:space="preserve"> were changed, against his will, from “</w:t>
      </w:r>
      <w:r w:rsidR="009C72C4" w:rsidRPr="00341EE5">
        <w:rPr>
          <w:lang w:val="ru-RU"/>
        </w:rPr>
        <w:t>Дм</w:t>
      </w:r>
      <w:r w:rsidR="009C72C4" w:rsidRPr="00341EE5">
        <w:rPr>
          <w:lang w:val="en-US"/>
        </w:rPr>
        <w:t>i</w:t>
      </w:r>
      <w:r w:rsidR="009C72C4" w:rsidRPr="00341EE5">
        <w:rPr>
          <w:lang w:val="ru-RU"/>
        </w:rPr>
        <w:t>тр</w:t>
      </w:r>
      <w:r w:rsidR="009C72C4" w:rsidRPr="00341EE5">
        <w:rPr>
          <w:lang w:val="en-US"/>
        </w:rPr>
        <w:t>i</w:t>
      </w:r>
      <w:r w:rsidR="009C72C4" w:rsidRPr="00341EE5">
        <w:rPr>
          <w:lang w:val="ru-RU"/>
        </w:rPr>
        <w:t>й</w:t>
      </w:r>
      <w:r w:rsidR="009C72C4" w:rsidRPr="00341EE5">
        <w:rPr>
          <w:lang w:val="en-US"/>
        </w:rPr>
        <w:t xml:space="preserve"> </w:t>
      </w:r>
      <w:r w:rsidR="009C72C4" w:rsidRPr="00341EE5">
        <w:rPr>
          <w:lang w:val="ru-RU"/>
        </w:rPr>
        <w:t>Влад</w:t>
      </w:r>
      <w:r w:rsidR="009C72C4" w:rsidRPr="00341EE5">
        <w:rPr>
          <w:lang w:val="en-US"/>
        </w:rPr>
        <w:t>i</w:t>
      </w:r>
      <w:r w:rsidR="009C72C4" w:rsidRPr="00341EE5">
        <w:rPr>
          <w:lang w:val="ru-RU"/>
        </w:rPr>
        <w:t>м</w:t>
      </w:r>
      <w:r w:rsidR="009C72C4" w:rsidRPr="00341EE5">
        <w:rPr>
          <w:lang w:val="en-US"/>
        </w:rPr>
        <w:t>i</w:t>
      </w:r>
      <w:r w:rsidR="009C72C4" w:rsidRPr="00341EE5">
        <w:rPr>
          <w:lang w:val="ru-RU"/>
        </w:rPr>
        <w:t>ров</w:t>
      </w:r>
      <w:r w:rsidR="009C72C4" w:rsidRPr="00341EE5">
        <w:rPr>
          <w:lang w:val="en-US"/>
        </w:rPr>
        <w:t>i</w:t>
      </w:r>
      <w:r w:rsidR="009C72C4" w:rsidRPr="00341EE5">
        <w:rPr>
          <w:lang w:val="ru-RU"/>
        </w:rPr>
        <w:t>ч</w:t>
      </w:r>
      <w:r w:rsidR="009C72C4" w:rsidRPr="00341EE5">
        <w:rPr>
          <w:lang w:val="en-US"/>
        </w:rPr>
        <w:t>” (Dmitriy Vladimirovich) to “</w:t>
      </w:r>
      <w:r w:rsidR="009C72C4" w:rsidRPr="00341EE5">
        <w:rPr>
          <w:lang w:val="ru-RU"/>
        </w:rPr>
        <w:t>Дмитро</w:t>
      </w:r>
      <w:r w:rsidR="009C72C4" w:rsidRPr="00341EE5">
        <w:rPr>
          <w:lang w:val="en-US"/>
        </w:rPr>
        <w:t xml:space="preserve"> </w:t>
      </w:r>
      <w:r w:rsidR="009C72C4" w:rsidRPr="00341EE5">
        <w:rPr>
          <w:lang w:val="ru-RU"/>
        </w:rPr>
        <w:t>Володимирович</w:t>
      </w:r>
      <w:r w:rsidR="009C72C4" w:rsidRPr="00341EE5">
        <w:rPr>
          <w:lang w:val="en-US"/>
        </w:rPr>
        <w:t>” (Dmytro Volodymyrovych).</w:t>
      </w:r>
      <w:r w:rsidR="009C72C4">
        <w:rPr>
          <w:lang w:val="en-US"/>
        </w:rPr>
        <w:t xml:space="preserve"> </w:t>
      </w:r>
      <w:r w:rsidR="005E4075">
        <w:rPr>
          <w:lang w:val="en-US"/>
        </w:rPr>
        <w:t>According to the author, this constituted</w:t>
      </w:r>
      <w:r w:rsidR="00341EE5" w:rsidRPr="00341EE5">
        <w:rPr>
          <w:lang w:val="en-US"/>
        </w:rPr>
        <w:t xml:space="preserve"> a violation of his right to integrity of his given name and </w:t>
      </w:r>
      <w:r w:rsidR="00001FC1">
        <w:rPr>
          <w:lang w:val="en-US"/>
        </w:rPr>
        <w:t>patronymic</w:t>
      </w:r>
      <w:r w:rsidR="009E0B5C">
        <w:rPr>
          <w:lang w:val="en-US"/>
        </w:rPr>
        <w:t xml:space="preserve"> and</w:t>
      </w:r>
      <w:r w:rsidR="00341EE5" w:rsidRPr="00341EE5">
        <w:rPr>
          <w:lang w:val="en-US"/>
        </w:rPr>
        <w:t xml:space="preserve"> an unjustified interference with his right to respect for his private and family life, in violation of article 17 of the Covenant.</w:t>
      </w:r>
    </w:p>
    <w:p w:rsidR="00341EE5" w:rsidRPr="00341EE5" w:rsidRDefault="00341EE5" w:rsidP="00966A0B">
      <w:pPr>
        <w:pStyle w:val="SingleTxtG"/>
        <w:spacing w:line="240" w:lineRule="auto"/>
        <w:rPr>
          <w:lang w:val="en-US"/>
        </w:rPr>
      </w:pPr>
      <w:r w:rsidRPr="00341EE5">
        <w:rPr>
          <w:lang w:val="en-US"/>
        </w:rPr>
        <w:t>2.3</w:t>
      </w:r>
      <w:r w:rsidR="005E4075">
        <w:rPr>
          <w:lang w:val="en-US"/>
        </w:rPr>
        <w:tab/>
      </w:r>
      <w:r w:rsidR="00287278">
        <w:rPr>
          <w:lang w:val="en-US"/>
        </w:rPr>
        <w:t>On an unspecified date, th</w:t>
      </w:r>
      <w:r w:rsidR="005E4075" w:rsidRPr="00341EE5">
        <w:rPr>
          <w:lang w:val="en-US"/>
        </w:rPr>
        <w:t xml:space="preserve">e author submitted </w:t>
      </w:r>
      <w:r w:rsidR="005E4075">
        <w:rPr>
          <w:lang w:val="en-US"/>
        </w:rPr>
        <w:t>a</w:t>
      </w:r>
      <w:r w:rsidR="005E4075" w:rsidRPr="00341EE5">
        <w:rPr>
          <w:lang w:val="en-US"/>
        </w:rPr>
        <w:t>ppeals to the Passport Service of the Kiev District Department of th</w:t>
      </w:r>
      <w:r w:rsidR="005E4075">
        <w:rPr>
          <w:lang w:val="en-US"/>
        </w:rPr>
        <w:t>e Simferopol City Board and to t</w:t>
      </w:r>
      <w:r w:rsidR="005E4075" w:rsidRPr="00341EE5">
        <w:rPr>
          <w:lang w:val="en-US"/>
        </w:rPr>
        <w:t xml:space="preserve">he Main Board of the Ministry of Internal Affairs of Ukraine in </w:t>
      </w:r>
      <w:smartTag w:uri="urn:schemas-microsoft-com:office:smarttags" w:element="place">
        <w:r w:rsidR="005E4075" w:rsidRPr="00341EE5">
          <w:rPr>
            <w:lang w:val="en-US"/>
          </w:rPr>
          <w:t>Crimea</w:t>
        </w:r>
      </w:smartTag>
      <w:r w:rsidR="009E0B5C">
        <w:rPr>
          <w:lang w:val="en-US"/>
        </w:rPr>
        <w:t>,</w:t>
      </w:r>
      <w:r w:rsidR="005E4075" w:rsidRPr="00341EE5">
        <w:rPr>
          <w:lang w:val="en-US"/>
        </w:rPr>
        <w:t xml:space="preserve"> asking </w:t>
      </w:r>
      <w:r w:rsidR="005E4075">
        <w:rPr>
          <w:lang w:val="en-US"/>
        </w:rPr>
        <w:t>that</w:t>
      </w:r>
      <w:r w:rsidR="005E4075" w:rsidRPr="00341EE5">
        <w:rPr>
          <w:lang w:val="en-US"/>
        </w:rPr>
        <w:t xml:space="preserve"> his given name and </w:t>
      </w:r>
      <w:r w:rsidR="00001FC1">
        <w:rPr>
          <w:lang w:val="en-US"/>
        </w:rPr>
        <w:t>patronymic be</w:t>
      </w:r>
      <w:r w:rsidR="005E4075">
        <w:rPr>
          <w:lang w:val="en-US"/>
        </w:rPr>
        <w:t xml:space="preserve"> restored </w:t>
      </w:r>
      <w:r w:rsidR="005E4075" w:rsidRPr="00341EE5">
        <w:rPr>
          <w:lang w:val="en-US"/>
        </w:rPr>
        <w:t>to their original phonetic form</w:t>
      </w:r>
      <w:r w:rsidR="005E4075">
        <w:rPr>
          <w:lang w:val="en-US"/>
        </w:rPr>
        <w:t xml:space="preserve"> in </w:t>
      </w:r>
      <w:r w:rsidR="005E4075" w:rsidRPr="00341EE5">
        <w:rPr>
          <w:lang w:val="en-US"/>
        </w:rPr>
        <w:t xml:space="preserve">his </w:t>
      </w:r>
      <w:r w:rsidR="009C1830">
        <w:rPr>
          <w:lang w:val="en-US"/>
        </w:rPr>
        <w:t>identity documents</w:t>
      </w:r>
      <w:r w:rsidR="005E4075" w:rsidRPr="00341EE5">
        <w:rPr>
          <w:lang w:val="en-US"/>
        </w:rPr>
        <w:t xml:space="preserve">. </w:t>
      </w:r>
      <w:r w:rsidR="005E4075">
        <w:rPr>
          <w:lang w:val="en-US"/>
        </w:rPr>
        <w:t>T</w:t>
      </w:r>
      <w:r w:rsidR="005E4075" w:rsidRPr="00341EE5">
        <w:rPr>
          <w:lang w:val="en-US"/>
        </w:rPr>
        <w:t xml:space="preserve">hose appeals were dismissed </w:t>
      </w:r>
      <w:r w:rsidR="005E4075">
        <w:rPr>
          <w:lang w:val="en-US"/>
        </w:rPr>
        <w:t>o</w:t>
      </w:r>
      <w:r w:rsidR="005E4075" w:rsidRPr="00341EE5">
        <w:rPr>
          <w:lang w:val="en-US"/>
        </w:rPr>
        <w:t>n 30 April 1999 and 15 May 2000</w:t>
      </w:r>
      <w:r w:rsidR="00897324">
        <w:rPr>
          <w:lang w:val="en-US"/>
        </w:rPr>
        <w:t>, respectively</w:t>
      </w:r>
      <w:r w:rsidR="005E4075" w:rsidRPr="00341EE5">
        <w:rPr>
          <w:lang w:val="en-US"/>
        </w:rPr>
        <w:t xml:space="preserve">. </w:t>
      </w:r>
      <w:r w:rsidR="00055A34">
        <w:rPr>
          <w:lang w:val="en-US"/>
        </w:rPr>
        <w:t>Further, o</w:t>
      </w:r>
      <w:r w:rsidRPr="00341EE5">
        <w:rPr>
          <w:lang w:val="en-US"/>
        </w:rPr>
        <w:t>n 14 July 1998 (regarding the external passport) and 13 June 2000 (regarding the internal passport)</w:t>
      </w:r>
      <w:r w:rsidR="00055A34">
        <w:rPr>
          <w:lang w:val="en-US"/>
        </w:rPr>
        <w:t>, th</w:t>
      </w:r>
      <w:r w:rsidRPr="00341EE5">
        <w:rPr>
          <w:lang w:val="en-US"/>
        </w:rPr>
        <w:t>e</w:t>
      </w:r>
      <w:r w:rsidR="00055A34">
        <w:rPr>
          <w:lang w:val="en-US"/>
        </w:rPr>
        <w:t xml:space="preserve"> author</w:t>
      </w:r>
      <w:r w:rsidRPr="00341EE5">
        <w:rPr>
          <w:lang w:val="en-US"/>
        </w:rPr>
        <w:t xml:space="preserve"> filed complaint</w:t>
      </w:r>
      <w:r w:rsidR="005E4075">
        <w:rPr>
          <w:lang w:val="en-US"/>
        </w:rPr>
        <w:t>s before</w:t>
      </w:r>
      <w:r w:rsidRPr="00341EE5">
        <w:rPr>
          <w:lang w:val="en-US"/>
        </w:rPr>
        <w:t xml:space="preserve"> the Kiev District Court</w:t>
      </w:r>
      <w:r w:rsidR="005E4075">
        <w:rPr>
          <w:lang w:val="en-US"/>
        </w:rPr>
        <w:t>,</w:t>
      </w:r>
      <w:r w:rsidRPr="00341EE5">
        <w:rPr>
          <w:lang w:val="en-US"/>
        </w:rPr>
        <w:t xml:space="preserve"> asking </w:t>
      </w:r>
      <w:r w:rsidR="005E4075">
        <w:rPr>
          <w:lang w:val="en-US"/>
        </w:rPr>
        <w:t>that</w:t>
      </w:r>
      <w:r w:rsidRPr="00341EE5">
        <w:rPr>
          <w:lang w:val="en-US"/>
        </w:rPr>
        <w:t xml:space="preserve"> his given name and </w:t>
      </w:r>
      <w:r w:rsidR="00001FC1">
        <w:rPr>
          <w:lang w:val="en-US"/>
        </w:rPr>
        <w:t>patronymic</w:t>
      </w:r>
      <w:r w:rsidRPr="00341EE5">
        <w:rPr>
          <w:lang w:val="en-US"/>
        </w:rPr>
        <w:t xml:space="preserve"> </w:t>
      </w:r>
      <w:r w:rsidR="00001FC1">
        <w:rPr>
          <w:lang w:val="en-US"/>
        </w:rPr>
        <w:t>be</w:t>
      </w:r>
      <w:r w:rsidR="005E4075">
        <w:rPr>
          <w:lang w:val="en-US"/>
        </w:rPr>
        <w:t xml:space="preserve"> restored </w:t>
      </w:r>
      <w:r w:rsidRPr="00341EE5">
        <w:rPr>
          <w:lang w:val="en-US"/>
        </w:rPr>
        <w:t>to their original phonetic form. Both claims were dismissed</w:t>
      </w:r>
      <w:r w:rsidR="00966A0B">
        <w:rPr>
          <w:lang w:val="en-US"/>
        </w:rPr>
        <w:t>,</w:t>
      </w:r>
      <w:r w:rsidR="00966A0B" w:rsidRPr="00966A0B">
        <w:rPr>
          <w:lang w:val="en-US"/>
        </w:rPr>
        <w:t xml:space="preserve"> </w:t>
      </w:r>
      <w:r w:rsidR="00966A0B" w:rsidRPr="00341EE5">
        <w:rPr>
          <w:lang w:val="en-US"/>
        </w:rPr>
        <w:t>on 16 August 1999 (regarding the external passport) and on 7 August 2000 (regarding the internal passport)</w:t>
      </w:r>
      <w:r w:rsidR="009C1830">
        <w:rPr>
          <w:lang w:val="en-US"/>
        </w:rPr>
        <w:t xml:space="preserve">. He </w:t>
      </w:r>
      <w:r w:rsidRPr="00341EE5">
        <w:rPr>
          <w:lang w:val="en-US"/>
        </w:rPr>
        <w:t xml:space="preserve">appealed </w:t>
      </w:r>
      <w:r w:rsidR="009C1830">
        <w:rPr>
          <w:lang w:val="en-US"/>
        </w:rPr>
        <w:t>the first instance decisions before</w:t>
      </w:r>
      <w:r w:rsidRPr="00341EE5">
        <w:rPr>
          <w:lang w:val="en-US"/>
        </w:rPr>
        <w:t xml:space="preserve"> the Supreme Court</w:t>
      </w:r>
      <w:r w:rsidR="00897324">
        <w:rPr>
          <w:lang w:val="en-US"/>
        </w:rPr>
        <w:t xml:space="preserve"> of Crimea</w:t>
      </w:r>
      <w:r w:rsidRPr="00341EE5">
        <w:rPr>
          <w:lang w:val="en-US"/>
        </w:rPr>
        <w:t>, b</w:t>
      </w:r>
      <w:r w:rsidR="00966A0B">
        <w:rPr>
          <w:lang w:val="en-US"/>
        </w:rPr>
        <w:t>ut both appeals were dismissed, on 2 February 2000 and 30 August 2000</w:t>
      </w:r>
      <w:r w:rsidR="00897324">
        <w:rPr>
          <w:lang w:val="en-US"/>
        </w:rPr>
        <w:t>, respectively</w:t>
      </w:r>
      <w:r w:rsidR="00966A0B">
        <w:rPr>
          <w:lang w:val="en-US"/>
        </w:rPr>
        <w:t>.</w:t>
      </w:r>
    </w:p>
    <w:p w:rsidR="00341EE5" w:rsidRPr="00341EE5" w:rsidRDefault="0000214D" w:rsidP="00966A0B">
      <w:pPr>
        <w:pStyle w:val="SingleTxtG"/>
        <w:spacing w:line="240" w:lineRule="auto"/>
        <w:rPr>
          <w:lang w:val="en-US"/>
        </w:rPr>
      </w:pPr>
      <w:r>
        <w:rPr>
          <w:lang w:val="en-US"/>
        </w:rPr>
        <w:t>2.4</w:t>
      </w:r>
      <w:r w:rsidR="005E4075">
        <w:rPr>
          <w:lang w:val="en-US"/>
        </w:rPr>
        <w:tab/>
      </w:r>
      <w:r w:rsidR="00341EE5" w:rsidRPr="00341EE5">
        <w:rPr>
          <w:lang w:val="en-US"/>
        </w:rPr>
        <w:t>On 21 July 2000</w:t>
      </w:r>
      <w:r w:rsidR="005E4075">
        <w:rPr>
          <w:lang w:val="en-US"/>
        </w:rPr>
        <w:t>,</w:t>
      </w:r>
      <w:r w:rsidR="00055A34">
        <w:rPr>
          <w:lang w:val="en-US"/>
        </w:rPr>
        <w:t xml:space="preserve"> the author lodged an</w:t>
      </w:r>
      <w:r w:rsidR="00341EE5" w:rsidRPr="00341EE5">
        <w:rPr>
          <w:lang w:val="en-US"/>
        </w:rPr>
        <w:t xml:space="preserve"> application (</w:t>
      </w:r>
      <w:r w:rsidR="00897324">
        <w:rPr>
          <w:lang w:val="en-US"/>
        </w:rPr>
        <w:t>N</w:t>
      </w:r>
      <w:r w:rsidR="00341EE5" w:rsidRPr="00341EE5">
        <w:rPr>
          <w:lang w:val="en-US"/>
        </w:rPr>
        <w:t>o. 5989</w:t>
      </w:r>
      <w:r w:rsidR="009C1830">
        <w:rPr>
          <w:lang w:val="en-US"/>
        </w:rPr>
        <w:t>4/00) with the European Court of</w:t>
      </w:r>
      <w:r w:rsidR="00341EE5" w:rsidRPr="00341EE5">
        <w:rPr>
          <w:lang w:val="en-US"/>
        </w:rPr>
        <w:t xml:space="preserve"> Human Rights for alleged violation of article</w:t>
      </w:r>
      <w:r w:rsidR="00897324">
        <w:rPr>
          <w:lang w:val="en-US"/>
        </w:rPr>
        <w:t>s</w:t>
      </w:r>
      <w:r w:rsidR="00341EE5" w:rsidRPr="00341EE5">
        <w:rPr>
          <w:lang w:val="en-US"/>
        </w:rPr>
        <w:t xml:space="preserve"> </w:t>
      </w:r>
      <w:r w:rsidR="009E0B5C">
        <w:rPr>
          <w:lang w:val="en-US"/>
        </w:rPr>
        <w:t>8</w:t>
      </w:r>
      <w:r w:rsidR="00341EE5" w:rsidRPr="00341EE5">
        <w:rPr>
          <w:lang w:val="en-US"/>
        </w:rPr>
        <w:t xml:space="preserve"> and 14 of the E</w:t>
      </w:r>
      <w:r w:rsidR="009E0B5C">
        <w:rPr>
          <w:lang w:val="en-US"/>
        </w:rPr>
        <w:t xml:space="preserve">uropean </w:t>
      </w:r>
      <w:r w:rsidR="00341EE5" w:rsidRPr="00341EE5">
        <w:rPr>
          <w:lang w:val="en-US"/>
        </w:rPr>
        <w:t>C</w:t>
      </w:r>
      <w:r w:rsidR="009C1830">
        <w:rPr>
          <w:lang w:val="en-US"/>
        </w:rPr>
        <w:t xml:space="preserve">onvention </w:t>
      </w:r>
      <w:r w:rsidR="00897324">
        <w:rPr>
          <w:lang w:val="en-US"/>
        </w:rPr>
        <w:t>for the Protection of</w:t>
      </w:r>
      <w:r w:rsidR="009E0B5C">
        <w:rPr>
          <w:lang w:val="en-US"/>
        </w:rPr>
        <w:t xml:space="preserve"> </w:t>
      </w:r>
      <w:r w:rsidR="00341EE5" w:rsidRPr="00341EE5">
        <w:rPr>
          <w:lang w:val="en-US"/>
        </w:rPr>
        <w:t>H</w:t>
      </w:r>
      <w:r w:rsidR="009E0B5C">
        <w:rPr>
          <w:lang w:val="en-US"/>
        </w:rPr>
        <w:t xml:space="preserve">uman </w:t>
      </w:r>
      <w:r w:rsidR="00341EE5" w:rsidRPr="00341EE5">
        <w:rPr>
          <w:lang w:val="en-US"/>
        </w:rPr>
        <w:t>R</w:t>
      </w:r>
      <w:r w:rsidR="009E0B5C">
        <w:rPr>
          <w:lang w:val="en-US"/>
        </w:rPr>
        <w:t>ights</w:t>
      </w:r>
      <w:r w:rsidR="009C1830">
        <w:rPr>
          <w:lang w:val="en-US"/>
        </w:rPr>
        <w:t xml:space="preserve"> and Fundamental Freedoms</w:t>
      </w:r>
      <w:r w:rsidR="00341EE5" w:rsidRPr="00341EE5">
        <w:rPr>
          <w:lang w:val="en-US"/>
        </w:rPr>
        <w:t>. On 11 September 2007, th</w:t>
      </w:r>
      <w:r w:rsidR="00093398">
        <w:rPr>
          <w:lang w:val="en-US"/>
        </w:rPr>
        <w:t>e</w:t>
      </w:r>
      <w:r w:rsidR="005E4075" w:rsidRPr="00341EE5">
        <w:rPr>
          <w:lang w:val="en-US"/>
        </w:rPr>
        <w:t xml:space="preserve"> Court</w:t>
      </w:r>
      <w:r w:rsidR="00341EE5" w:rsidRPr="00341EE5">
        <w:rPr>
          <w:lang w:val="en-US"/>
        </w:rPr>
        <w:t xml:space="preserve"> dismissed his claims.</w:t>
      </w:r>
    </w:p>
    <w:p w:rsidR="00341EE5" w:rsidRPr="00341EE5" w:rsidRDefault="009C1830" w:rsidP="00966A0B">
      <w:pPr>
        <w:pStyle w:val="SingleTxtG"/>
        <w:spacing w:line="240" w:lineRule="auto"/>
        <w:rPr>
          <w:lang w:val="en-US"/>
        </w:rPr>
      </w:pPr>
      <w:r>
        <w:rPr>
          <w:lang w:val="en-US"/>
        </w:rPr>
        <w:t>2.5</w:t>
      </w:r>
      <w:r w:rsidR="005E4075">
        <w:rPr>
          <w:lang w:val="en-US"/>
        </w:rPr>
        <w:tab/>
      </w:r>
      <w:r w:rsidR="00341EE5" w:rsidRPr="00341EE5">
        <w:rPr>
          <w:lang w:val="en-US"/>
        </w:rPr>
        <w:t>On 25 September 2007</w:t>
      </w:r>
      <w:r w:rsidR="005E4075">
        <w:rPr>
          <w:lang w:val="en-US"/>
        </w:rPr>
        <w:t xml:space="preserve">, </w:t>
      </w:r>
      <w:r w:rsidR="00341EE5" w:rsidRPr="00341EE5">
        <w:rPr>
          <w:lang w:val="en-US"/>
        </w:rPr>
        <w:t>the author lodged an application with the Civil Status Registration Department of the Kiev District of Simferopol</w:t>
      </w:r>
      <w:r w:rsidR="005E4075">
        <w:rPr>
          <w:lang w:val="en-US"/>
        </w:rPr>
        <w:t>,</w:t>
      </w:r>
      <w:r w:rsidR="00341EE5" w:rsidRPr="00341EE5">
        <w:rPr>
          <w:lang w:val="en-US"/>
        </w:rPr>
        <w:t xml:space="preserve"> requesting to change his given name and </w:t>
      </w:r>
      <w:r w:rsidR="00001FC1">
        <w:rPr>
          <w:lang w:val="en-US"/>
        </w:rPr>
        <w:t>patronymic</w:t>
      </w:r>
      <w:r w:rsidR="00341EE5" w:rsidRPr="00341EE5">
        <w:rPr>
          <w:lang w:val="en-US"/>
        </w:rPr>
        <w:t xml:space="preserve">, according </w:t>
      </w:r>
      <w:r>
        <w:rPr>
          <w:lang w:val="en-US"/>
        </w:rPr>
        <w:t xml:space="preserve">to </w:t>
      </w:r>
      <w:r w:rsidR="00341EE5" w:rsidRPr="00341EE5">
        <w:rPr>
          <w:lang w:val="en-US"/>
        </w:rPr>
        <w:t>a specific procedure for change</w:t>
      </w:r>
      <w:r w:rsidR="00001FC1">
        <w:rPr>
          <w:lang w:val="en-US"/>
        </w:rPr>
        <w:t>s</w:t>
      </w:r>
      <w:r w:rsidR="00001FC1" w:rsidRPr="00001FC1">
        <w:rPr>
          <w:lang w:val="en-US"/>
        </w:rPr>
        <w:t xml:space="preserve"> </w:t>
      </w:r>
      <w:r w:rsidR="00001FC1">
        <w:rPr>
          <w:lang w:val="en-US"/>
        </w:rPr>
        <w:t>of names</w:t>
      </w:r>
      <w:r w:rsidR="00055A34">
        <w:rPr>
          <w:lang w:val="en-US"/>
        </w:rPr>
        <w:t>,</w:t>
      </w:r>
      <w:r w:rsidR="00341EE5" w:rsidRPr="00341EE5">
        <w:rPr>
          <w:lang w:val="en-US"/>
        </w:rPr>
        <w:t xml:space="preserve"> mentioned by the </w:t>
      </w:r>
      <w:r w:rsidR="005E4075" w:rsidRPr="00341EE5">
        <w:rPr>
          <w:lang w:val="en-US"/>
        </w:rPr>
        <w:t>European Court</w:t>
      </w:r>
      <w:r w:rsidR="00341EE5" w:rsidRPr="00341EE5">
        <w:rPr>
          <w:lang w:val="en-US"/>
        </w:rPr>
        <w:t xml:space="preserve"> </w:t>
      </w:r>
      <w:r w:rsidR="00093398">
        <w:rPr>
          <w:lang w:val="en-US"/>
        </w:rPr>
        <w:t xml:space="preserve">of Human Rights </w:t>
      </w:r>
      <w:r w:rsidR="00341EE5" w:rsidRPr="00341EE5">
        <w:rPr>
          <w:lang w:val="en-US"/>
        </w:rPr>
        <w:t>in its judgment.</w:t>
      </w:r>
      <w:r w:rsidR="00BF1447">
        <w:rPr>
          <w:lang w:val="en-US"/>
        </w:rPr>
        <w:t xml:space="preserve"> </w:t>
      </w:r>
      <w:r w:rsidR="00341EE5" w:rsidRPr="00341EE5">
        <w:rPr>
          <w:lang w:val="en-US"/>
        </w:rPr>
        <w:t>However, on 14 November 2007</w:t>
      </w:r>
      <w:r w:rsidR="005E4075">
        <w:rPr>
          <w:lang w:val="en-US"/>
        </w:rPr>
        <w:t>,</w:t>
      </w:r>
      <w:r w:rsidR="00341EE5" w:rsidRPr="00341EE5">
        <w:rPr>
          <w:lang w:val="en-US"/>
        </w:rPr>
        <w:t xml:space="preserve"> this application was </w:t>
      </w:r>
      <w:r w:rsidR="007D407A">
        <w:rPr>
          <w:lang w:val="en-US"/>
        </w:rPr>
        <w:t xml:space="preserve">also </w:t>
      </w:r>
      <w:r w:rsidR="00341EE5" w:rsidRPr="00341EE5">
        <w:rPr>
          <w:lang w:val="en-US"/>
        </w:rPr>
        <w:t>dismissed</w:t>
      </w:r>
      <w:r w:rsidR="00BF1447">
        <w:rPr>
          <w:lang w:val="en-US"/>
        </w:rPr>
        <w:t xml:space="preserve"> </w:t>
      </w:r>
      <w:r>
        <w:rPr>
          <w:lang w:val="en-US"/>
        </w:rPr>
        <w:t>by</w:t>
      </w:r>
      <w:r w:rsidR="00BF1447">
        <w:rPr>
          <w:lang w:val="en-US"/>
        </w:rPr>
        <w:t xml:space="preserve"> the </w:t>
      </w:r>
      <w:r w:rsidR="00BF1447" w:rsidRPr="00341EE5">
        <w:rPr>
          <w:lang w:val="en-US"/>
        </w:rPr>
        <w:t>Civil Status Registration Department</w:t>
      </w:r>
      <w:r>
        <w:rPr>
          <w:lang w:val="en-US"/>
        </w:rPr>
        <w:t xml:space="preserve">, and the latter </w:t>
      </w:r>
      <w:r w:rsidR="00BF1447">
        <w:rPr>
          <w:lang w:val="en-US"/>
        </w:rPr>
        <w:t>in its reply underlined that the procedure for examining applications for name changes was not applicable to the author’s situation</w:t>
      </w:r>
      <w:r w:rsidR="00341EE5" w:rsidRPr="00341EE5">
        <w:rPr>
          <w:lang w:val="en-US"/>
        </w:rPr>
        <w:t>.</w:t>
      </w:r>
      <w:r w:rsidR="005E4075" w:rsidRPr="005E4075">
        <w:rPr>
          <w:lang w:val="en-US"/>
        </w:rPr>
        <w:t xml:space="preserve"> </w:t>
      </w:r>
      <w:r w:rsidR="005E4075" w:rsidRPr="00341EE5">
        <w:rPr>
          <w:lang w:val="en-US"/>
        </w:rPr>
        <w:t xml:space="preserve">The author </w:t>
      </w:r>
      <w:r w:rsidR="005E4075">
        <w:rPr>
          <w:lang w:val="en-US"/>
        </w:rPr>
        <w:t>maintains</w:t>
      </w:r>
      <w:r w:rsidR="005E4075" w:rsidRPr="00341EE5">
        <w:rPr>
          <w:lang w:val="en-US"/>
        </w:rPr>
        <w:t xml:space="preserve"> that he has exhausted all available domestic remedies.</w:t>
      </w:r>
    </w:p>
    <w:p w:rsidR="00341EE5" w:rsidRPr="00341EE5" w:rsidRDefault="00BA76A7" w:rsidP="00BA76A7">
      <w:pPr>
        <w:pStyle w:val="H23G"/>
        <w:rPr>
          <w:lang w:val="en-US"/>
        </w:rPr>
      </w:pPr>
      <w:r>
        <w:rPr>
          <w:lang w:val="en-US"/>
        </w:rPr>
        <w:tab/>
      </w:r>
      <w:r>
        <w:rPr>
          <w:lang w:val="en-US"/>
        </w:rPr>
        <w:tab/>
      </w:r>
      <w:r w:rsidR="00341EE5" w:rsidRPr="00341EE5">
        <w:rPr>
          <w:lang w:val="en-US"/>
        </w:rPr>
        <w:t>The complaint</w:t>
      </w:r>
    </w:p>
    <w:p w:rsidR="003F6228" w:rsidRDefault="00341EE5" w:rsidP="00966A0B">
      <w:pPr>
        <w:pStyle w:val="SingleTxtG"/>
        <w:spacing w:line="240" w:lineRule="auto"/>
        <w:rPr>
          <w:lang w:val="en-US"/>
        </w:rPr>
      </w:pPr>
      <w:r w:rsidRPr="00341EE5">
        <w:rPr>
          <w:lang w:val="en-US"/>
        </w:rPr>
        <w:t>3.1</w:t>
      </w:r>
      <w:r w:rsidR="005E4075">
        <w:rPr>
          <w:lang w:val="en-US"/>
        </w:rPr>
        <w:tab/>
      </w:r>
      <w:r w:rsidRPr="00341EE5">
        <w:rPr>
          <w:lang w:val="en-US"/>
        </w:rPr>
        <w:t xml:space="preserve">With regard to article 17 of the Covenant, the author claims that, by </w:t>
      </w:r>
      <w:r w:rsidR="009C1830">
        <w:rPr>
          <w:lang w:val="en-US"/>
        </w:rPr>
        <w:t xml:space="preserve">unilaterally changing </w:t>
      </w:r>
      <w:r w:rsidR="009C1830" w:rsidRPr="00341EE5">
        <w:rPr>
          <w:lang w:val="en-US"/>
        </w:rPr>
        <w:t xml:space="preserve">his given name and </w:t>
      </w:r>
      <w:r w:rsidR="00001FC1">
        <w:rPr>
          <w:lang w:val="en-US"/>
        </w:rPr>
        <w:t>patronymic</w:t>
      </w:r>
      <w:r w:rsidR="009C1830" w:rsidRPr="00341EE5">
        <w:rPr>
          <w:lang w:val="en-US"/>
        </w:rPr>
        <w:t xml:space="preserve"> </w:t>
      </w:r>
      <w:r w:rsidR="009C1830">
        <w:rPr>
          <w:lang w:val="en-US"/>
        </w:rPr>
        <w:t xml:space="preserve">and by </w:t>
      </w:r>
      <w:r w:rsidR="009C1830" w:rsidRPr="00341EE5">
        <w:rPr>
          <w:lang w:val="en-US"/>
        </w:rPr>
        <w:t xml:space="preserve">precluding </w:t>
      </w:r>
      <w:r w:rsidRPr="00341EE5">
        <w:rPr>
          <w:lang w:val="en-US"/>
        </w:rPr>
        <w:t xml:space="preserve">him from </w:t>
      </w:r>
      <w:r w:rsidR="009C1830">
        <w:rPr>
          <w:lang w:val="en-US"/>
        </w:rPr>
        <w:t xml:space="preserve">restoring </w:t>
      </w:r>
      <w:r w:rsidRPr="00341EE5">
        <w:rPr>
          <w:lang w:val="en-US"/>
        </w:rPr>
        <w:t>their original phonetic form</w:t>
      </w:r>
      <w:r w:rsidR="009C1830">
        <w:rPr>
          <w:lang w:val="en-US"/>
        </w:rPr>
        <w:t xml:space="preserve"> in his identity documents</w:t>
      </w:r>
      <w:r w:rsidRPr="00341EE5">
        <w:rPr>
          <w:lang w:val="en-US"/>
        </w:rPr>
        <w:t xml:space="preserve">, </w:t>
      </w:r>
      <w:r w:rsidR="009C1830">
        <w:rPr>
          <w:lang w:val="en-US"/>
        </w:rPr>
        <w:t>the State party</w:t>
      </w:r>
      <w:r w:rsidRPr="00341EE5">
        <w:rPr>
          <w:lang w:val="en-US"/>
        </w:rPr>
        <w:t xml:space="preserve"> violate</w:t>
      </w:r>
      <w:r w:rsidR="005E4075">
        <w:rPr>
          <w:lang w:val="en-US"/>
        </w:rPr>
        <w:t>d</w:t>
      </w:r>
      <w:r w:rsidRPr="00341EE5">
        <w:rPr>
          <w:lang w:val="en-US"/>
        </w:rPr>
        <w:t xml:space="preserve"> his natural right to preserve his name and violate</w:t>
      </w:r>
      <w:r w:rsidR="009C1830">
        <w:rPr>
          <w:lang w:val="en-US"/>
        </w:rPr>
        <w:t>d</w:t>
      </w:r>
      <w:r w:rsidRPr="00341EE5">
        <w:rPr>
          <w:lang w:val="en-US"/>
        </w:rPr>
        <w:t xml:space="preserve"> article 17 of the Covenant, i.e. his right to respect for family and private life.</w:t>
      </w:r>
      <w:r w:rsidR="003F6228">
        <w:rPr>
          <w:lang w:val="en-US"/>
        </w:rPr>
        <w:t xml:space="preserve"> He further claims that the State party’s domestic courts did not provide any justification as to why the </w:t>
      </w:r>
      <w:r w:rsidR="003F6228" w:rsidRPr="003F6228">
        <w:rPr>
          <w:lang w:val="en-US"/>
        </w:rPr>
        <w:t>“Ukrainiani</w:t>
      </w:r>
      <w:r w:rsidR="00897324">
        <w:rPr>
          <w:lang w:val="en-US"/>
        </w:rPr>
        <w:t>z</w:t>
      </w:r>
      <w:r w:rsidR="003F6228" w:rsidRPr="003F6228">
        <w:rPr>
          <w:lang w:val="en-US"/>
        </w:rPr>
        <w:t>ation”</w:t>
      </w:r>
      <w:r w:rsidR="003F6228">
        <w:rPr>
          <w:lang w:val="en-US"/>
        </w:rPr>
        <w:t xml:space="preserve"> of his names would be necessary to protect the rights and freedoms of others and therefore the interference with </w:t>
      </w:r>
      <w:r w:rsidR="009C1830">
        <w:rPr>
          <w:lang w:val="en-US"/>
        </w:rPr>
        <w:t>his</w:t>
      </w:r>
      <w:r w:rsidR="003F6228">
        <w:rPr>
          <w:lang w:val="en-US"/>
        </w:rPr>
        <w:t xml:space="preserve"> right to private and family life did not pursue a legitimate aim. He also submits that the change of his names resulted in numerous misunderstandings, since the Ukrainian pronunciation of his names sounded “rough and ridiculous” in Russian and he was often subjected to “mockeries” by Russian-speaking fellow citizens in </w:t>
      </w:r>
      <w:smartTag w:uri="urn:schemas-microsoft-com:office:smarttags" w:element="place">
        <w:r w:rsidR="003F6228">
          <w:rPr>
            <w:lang w:val="en-US"/>
          </w:rPr>
          <w:t>Crimea</w:t>
        </w:r>
      </w:smartTag>
      <w:r w:rsidR="003F6228">
        <w:rPr>
          <w:lang w:val="en-US"/>
        </w:rPr>
        <w:t xml:space="preserve">, where there were “anti-Ukrainian sentiments”. </w:t>
      </w:r>
    </w:p>
    <w:p w:rsidR="00341EE5" w:rsidRPr="00341EE5" w:rsidRDefault="005E4075" w:rsidP="00966A0B">
      <w:pPr>
        <w:pStyle w:val="SingleTxtG"/>
        <w:spacing w:line="240" w:lineRule="auto"/>
        <w:rPr>
          <w:lang w:val="en-US"/>
        </w:rPr>
      </w:pPr>
      <w:r>
        <w:rPr>
          <w:lang w:val="en-US"/>
        </w:rPr>
        <w:lastRenderedPageBreak/>
        <w:t>3.2</w:t>
      </w:r>
      <w:r>
        <w:rPr>
          <w:lang w:val="en-US"/>
        </w:rPr>
        <w:tab/>
      </w:r>
      <w:r w:rsidR="00341EE5" w:rsidRPr="00341EE5">
        <w:rPr>
          <w:lang w:val="en-US"/>
        </w:rPr>
        <w:t xml:space="preserve">In this connection, the author draws attention to the fact that a law </w:t>
      </w:r>
      <w:r w:rsidR="00897324">
        <w:rPr>
          <w:lang w:val="en-US"/>
        </w:rPr>
        <w:t>that</w:t>
      </w:r>
      <w:r w:rsidR="00897324" w:rsidRPr="00341EE5">
        <w:rPr>
          <w:lang w:val="en-US"/>
        </w:rPr>
        <w:t xml:space="preserve"> </w:t>
      </w:r>
      <w:r w:rsidR="00341EE5" w:rsidRPr="00341EE5">
        <w:rPr>
          <w:lang w:val="en-US"/>
        </w:rPr>
        <w:t>would provide for the change of original names into Ukrainian names does not exist in the State party.</w:t>
      </w:r>
      <w:r>
        <w:rPr>
          <w:lang w:val="en-US"/>
        </w:rPr>
        <w:t xml:space="preserve"> </w:t>
      </w:r>
      <w:r w:rsidR="00341EE5" w:rsidRPr="00341EE5">
        <w:rPr>
          <w:lang w:val="en-US"/>
        </w:rPr>
        <w:t xml:space="preserve">On the contrary, the Council of Europe Framework Convention for the Protection of National Minorities of 1 February 1995 (ratified by Ukraine on </w:t>
      </w:r>
      <w:r w:rsidR="002246C2">
        <w:rPr>
          <w:lang w:val="en-US"/>
        </w:rPr>
        <w:t>26 January 1998</w:t>
      </w:r>
      <w:r w:rsidR="00341EE5" w:rsidRPr="00341EE5">
        <w:rPr>
          <w:lang w:val="en-US"/>
        </w:rPr>
        <w:t>), the Ukrainian Law on Languages of 28 October 1989, the Law on National Minorities of 25 June 1992 and the Civil Code of Ukraine of 16 January 2003 all provide for the spelling and the use of the original names of citizens of Ukraine in their respective ori</w:t>
      </w:r>
      <w:r w:rsidR="009C1830">
        <w:rPr>
          <w:lang w:val="en-US"/>
        </w:rPr>
        <w:t>ginal phonetic form</w:t>
      </w:r>
      <w:r w:rsidR="00341EE5" w:rsidRPr="00341EE5">
        <w:rPr>
          <w:lang w:val="en-US"/>
        </w:rPr>
        <w:t>.</w:t>
      </w:r>
    </w:p>
    <w:p w:rsidR="00341EE5" w:rsidRPr="00341EE5" w:rsidRDefault="0000214D" w:rsidP="00966A0B">
      <w:pPr>
        <w:pStyle w:val="SingleTxtG"/>
        <w:spacing w:line="240" w:lineRule="auto"/>
        <w:rPr>
          <w:lang w:val="en-US"/>
        </w:rPr>
      </w:pPr>
      <w:r>
        <w:rPr>
          <w:lang w:val="en-US"/>
        </w:rPr>
        <w:t>3.3</w:t>
      </w:r>
      <w:r w:rsidR="002E0522">
        <w:rPr>
          <w:lang w:val="en-US"/>
        </w:rPr>
        <w:tab/>
      </w:r>
      <w:r w:rsidR="00341EE5" w:rsidRPr="00341EE5">
        <w:rPr>
          <w:lang w:val="en-US"/>
        </w:rPr>
        <w:t>In this context, the author contends that the practice of the “Ukrainiani</w:t>
      </w:r>
      <w:r w:rsidR="003A2EDA">
        <w:rPr>
          <w:lang w:val="en-US"/>
        </w:rPr>
        <w:t>z</w:t>
      </w:r>
      <w:r w:rsidR="00341EE5" w:rsidRPr="00341EE5">
        <w:rPr>
          <w:lang w:val="en-US"/>
        </w:rPr>
        <w:t>ation” of the given names of individuals belonging to the two other nations of the Eastern Slavic group (Russians and Bel</w:t>
      </w:r>
      <w:r w:rsidR="00165ACE">
        <w:rPr>
          <w:lang w:val="en-US"/>
        </w:rPr>
        <w:t>a</w:t>
      </w:r>
      <w:r w:rsidR="00341EE5" w:rsidRPr="00341EE5">
        <w:rPr>
          <w:lang w:val="en-US"/>
        </w:rPr>
        <w:t xml:space="preserve">rusians) cannot be imposed on individuals against their will, since it contradicts </w:t>
      </w:r>
      <w:r w:rsidR="002E0522">
        <w:rPr>
          <w:lang w:val="en-US"/>
        </w:rPr>
        <w:t xml:space="preserve">national laws. He maintains that the </w:t>
      </w:r>
      <w:r w:rsidR="00341EE5" w:rsidRPr="00341EE5">
        <w:rPr>
          <w:lang w:val="en-US"/>
        </w:rPr>
        <w:t xml:space="preserve">Ukrainian authorities </w:t>
      </w:r>
      <w:r w:rsidR="002E0522">
        <w:rPr>
          <w:lang w:val="en-US"/>
        </w:rPr>
        <w:t>implement</w:t>
      </w:r>
      <w:r w:rsidR="00341EE5" w:rsidRPr="00341EE5">
        <w:rPr>
          <w:lang w:val="en-US"/>
        </w:rPr>
        <w:t xml:space="preserve"> such </w:t>
      </w:r>
      <w:r w:rsidR="002E0522">
        <w:rPr>
          <w:lang w:val="en-US"/>
        </w:rPr>
        <w:t xml:space="preserve">a </w:t>
      </w:r>
      <w:r w:rsidR="00341EE5" w:rsidRPr="00341EE5">
        <w:rPr>
          <w:lang w:val="en-US"/>
        </w:rPr>
        <w:t xml:space="preserve">practice, which, according to the author, is aimed at the assimilation of the Russian national minority in </w:t>
      </w:r>
      <w:smartTag w:uri="urn:schemas-microsoft-com:office:smarttags" w:element="country-region">
        <w:smartTag w:uri="urn:schemas-microsoft-com:office:smarttags" w:element="place">
          <w:r w:rsidR="00341EE5" w:rsidRPr="00341EE5">
            <w:rPr>
              <w:lang w:val="en-US"/>
            </w:rPr>
            <w:t>Ukraine</w:t>
          </w:r>
        </w:smartTag>
      </w:smartTag>
      <w:r w:rsidR="00341EE5" w:rsidRPr="00341EE5">
        <w:rPr>
          <w:lang w:val="en-US"/>
        </w:rPr>
        <w:t>.</w:t>
      </w:r>
    </w:p>
    <w:p w:rsidR="00341EE5" w:rsidRPr="00341EE5" w:rsidRDefault="0000214D" w:rsidP="00966A0B">
      <w:pPr>
        <w:pStyle w:val="SingleTxtG"/>
        <w:spacing w:line="240" w:lineRule="auto"/>
        <w:rPr>
          <w:lang w:val="en-US"/>
        </w:rPr>
      </w:pPr>
      <w:r>
        <w:rPr>
          <w:lang w:val="en-US"/>
        </w:rPr>
        <w:t>3.4</w:t>
      </w:r>
      <w:r w:rsidR="002E0522">
        <w:rPr>
          <w:lang w:val="en-US"/>
        </w:rPr>
        <w:tab/>
      </w:r>
      <w:r w:rsidR="00966A0B" w:rsidRPr="00341EE5">
        <w:rPr>
          <w:lang w:val="en-US"/>
        </w:rPr>
        <w:t xml:space="preserve">The author notes that while the Russian minority in </w:t>
      </w:r>
      <w:smartTag w:uri="urn:schemas-microsoft-com:office:smarttags" w:element="country-region">
        <w:r w:rsidR="00966A0B" w:rsidRPr="00341EE5">
          <w:rPr>
            <w:lang w:val="en-US"/>
          </w:rPr>
          <w:t>Ukraine</w:t>
        </w:r>
      </w:smartTag>
      <w:r w:rsidR="00966A0B" w:rsidRPr="00341EE5">
        <w:rPr>
          <w:lang w:val="en-US"/>
        </w:rPr>
        <w:t xml:space="preserve"> constitutes about 40</w:t>
      </w:r>
      <w:r w:rsidR="003A2EDA">
        <w:rPr>
          <w:lang w:val="en-US"/>
        </w:rPr>
        <w:t xml:space="preserve"> per cent</w:t>
      </w:r>
      <w:r w:rsidR="00966A0B" w:rsidRPr="00341EE5">
        <w:rPr>
          <w:lang w:val="en-US"/>
        </w:rPr>
        <w:t xml:space="preserve"> of the total population of </w:t>
      </w:r>
      <w:smartTag w:uri="urn:schemas-microsoft-com:office:smarttags" w:element="country-region">
        <w:smartTag w:uri="urn:schemas-microsoft-com:office:smarttags" w:element="place">
          <w:r w:rsidR="00966A0B" w:rsidRPr="00341EE5">
            <w:rPr>
              <w:lang w:val="en-US"/>
            </w:rPr>
            <w:t>Ukraine</w:t>
          </w:r>
        </w:smartTag>
      </w:smartTag>
      <w:r w:rsidR="00966A0B" w:rsidRPr="00341EE5">
        <w:rPr>
          <w:lang w:val="en-US"/>
        </w:rPr>
        <w:t>, Russians constitute around 70</w:t>
      </w:r>
      <w:r w:rsidR="003A2EDA">
        <w:rPr>
          <w:lang w:val="en-US"/>
        </w:rPr>
        <w:t xml:space="preserve"> per cent</w:t>
      </w:r>
      <w:r w:rsidR="00966A0B" w:rsidRPr="00341EE5">
        <w:rPr>
          <w:lang w:val="en-US"/>
        </w:rPr>
        <w:t xml:space="preserve"> of the Crimean peninsula’s total population. Moreover, </w:t>
      </w:r>
      <w:smartTag w:uri="urn:schemas-microsoft-com:office:smarttags" w:element="place">
        <w:r w:rsidR="00966A0B" w:rsidRPr="00341EE5">
          <w:rPr>
            <w:lang w:val="en-US"/>
          </w:rPr>
          <w:t>Crimea</w:t>
        </w:r>
      </w:smartTag>
      <w:r w:rsidR="00966A0B" w:rsidRPr="00341EE5">
        <w:rPr>
          <w:lang w:val="en-US"/>
        </w:rPr>
        <w:t xml:space="preserve"> is an autonomous republic within the </w:t>
      </w:r>
      <w:r w:rsidR="009C1830">
        <w:rPr>
          <w:lang w:val="en-US"/>
        </w:rPr>
        <w:t>S</w:t>
      </w:r>
      <w:r w:rsidR="00966A0B" w:rsidRPr="00341EE5">
        <w:rPr>
          <w:lang w:val="en-US"/>
        </w:rPr>
        <w:t xml:space="preserve">tate party. Article 11 of the Constitution of the Autonomous Republic of Crimea </w:t>
      </w:r>
      <w:r w:rsidR="003A2EDA">
        <w:rPr>
          <w:lang w:val="en-US"/>
        </w:rPr>
        <w:t>provides</w:t>
      </w:r>
      <w:r w:rsidR="003A2EDA" w:rsidRPr="00341EE5">
        <w:rPr>
          <w:lang w:val="en-US"/>
        </w:rPr>
        <w:t xml:space="preserve"> </w:t>
      </w:r>
      <w:r w:rsidR="00966A0B" w:rsidRPr="00341EE5">
        <w:rPr>
          <w:lang w:val="en-US"/>
        </w:rPr>
        <w:t xml:space="preserve">that in the Autonomous Republic of Crimea official documents certifying the status of a citizen </w:t>
      </w:r>
      <w:r w:rsidR="009C1830">
        <w:rPr>
          <w:lang w:val="en-US"/>
        </w:rPr>
        <w:t xml:space="preserve">shall be </w:t>
      </w:r>
      <w:r w:rsidR="00966A0B" w:rsidRPr="00341EE5">
        <w:rPr>
          <w:lang w:val="en-US"/>
        </w:rPr>
        <w:t xml:space="preserve">issued in both Ukrainian and Russian. However, all official documents issued by </w:t>
      </w:r>
      <w:r w:rsidR="009C1830">
        <w:rPr>
          <w:lang w:val="en-US"/>
        </w:rPr>
        <w:t xml:space="preserve">the </w:t>
      </w:r>
      <w:r w:rsidR="00966A0B" w:rsidRPr="00341EE5">
        <w:rPr>
          <w:lang w:val="en-US"/>
        </w:rPr>
        <w:t xml:space="preserve">authorities to the author are in the Ukrainian language only. </w:t>
      </w:r>
      <w:r w:rsidR="00966A0B">
        <w:rPr>
          <w:lang w:val="en-US"/>
        </w:rPr>
        <w:t>The author maintains, w</w:t>
      </w:r>
      <w:r w:rsidR="00341EE5" w:rsidRPr="00341EE5">
        <w:rPr>
          <w:lang w:val="en-US"/>
        </w:rPr>
        <w:t>ith regard to article 27</w:t>
      </w:r>
      <w:r w:rsidR="003A2EDA">
        <w:rPr>
          <w:lang w:val="en-US"/>
        </w:rPr>
        <w:t xml:space="preserve"> of the Covenant,</w:t>
      </w:r>
      <w:r w:rsidR="00341EE5" w:rsidRPr="00341EE5">
        <w:rPr>
          <w:lang w:val="en-US"/>
        </w:rPr>
        <w:t xml:space="preserve"> that since the original name of a person is an essential element of his or her eth</w:t>
      </w:r>
      <w:r w:rsidR="00137394">
        <w:rPr>
          <w:lang w:val="en-US"/>
        </w:rPr>
        <w:t>n</w:t>
      </w:r>
      <w:r w:rsidR="00341EE5" w:rsidRPr="00341EE5">
        <w:rPr>
          <w:lang w:val="en-US"/>
        </w:rPr>
        <w:t>ic, cultural and linguistic identity, Ukrainian authorities violated his right to enjoy his own culture and use his own language.</w:t>
      </w:r>
    </w:p>
    <w:p w:rsidR="00341EE5" w:rsidRPr="00341EE5" w:rsidRDefault="0000214D" w:rsidP="00966A0B">
      <w:pPr>
        <w:pStyle w:val="SingleTxtG"/>
        <w:spacing w:line="240" w:lineRule="auto"/>
        <w:rPr>
          <w:lang w:val="en-US"/>
        </w:rPr>
      </w:pPr>
      <w:r>
        <w:rPr>
          <w:lang w:val="en-US"/>
        </w:rPr>
        <w:t>3.5</w:t>
      </w:r>
      <w:r w:rsidR="002E0522">
        <w:rPr>
          <w:lang w:val="en-US"/>
        </w:rPr>
        <w:tab/>
      </w:r>
      <w:r w:rsidR="00341EE5" w:rsidRPr="00341EE5">
        <w:rPr>
          <w:lang w:val="en-US"/>
        </w:rPr>
        <w:t>The author considers himself a victim of discrimination prohibited under article 26 of the Covenant read together with article 17</w:t>
      </w:r>
      <w:r w:rsidR="001F5471">
        <w:rPr>
          <w:lang w:val="en-US"/>
        </w:rPr>
        <w:t xml:space="preserve">, based on his </w:t>
      </w:r>
      <w:r w:rsidR="00966A0B">
        <w:rPr>
          <w:lang w:val="en-US"/>
        </w:rPr>
        <w:t>national origin</w:t>
      </w:r>
      <w:r w:rsidR="00341EE5" w:rsidRPr="00341EE5">
        <w:rPr>
          <w:lang w:val="en-US"/>
        </w:rPr>
        <w:t>.</w:t>
      </w:r>
      <w:r w:rsidR="002E0522">
        <w:rPr>
          <w:lang w:val="en-US"/>
        </w:rPr>
        <w:t xml:space="preserve"> </w:t>
      </w:r>
      <w:r w:rsidR="00341EE5" w:rsidRPr="00341EE5">
        <w:rPr>
          <w:lang w:val="en-US"/>
        </w:rPr>
        <w:t xml:space="preserve">He claims that the fact that only the given names and </w:t>
      </w:r>
      <w:r w:rsidR="00001FC1">
        <w:rPr>
          <w:lang w:val="en-US"/>
        </w:rPr>
        <w:t>patronymics</w:t>
      </w:r>
      <w:r w:rsidR="00341EE5" w:rsidRPr="00341EE5">
        <w:rPr>
          <w:lang w:val="en-US"/>
        </w:rPr>
        <w:t xml:space="preserve"> of Russian origin are subject to “Ukrainiani</w:t>
      </w:r>
      <w:r w:rsidR="00165ACE">
        <w:rPr>
          <w:lang w:val="en-US"/>
        </w:rPr>
        <w:t>z</w:t>
      </w:r>
      <w:r w:rsidR="00341EE5" w:rsidRPr="00341EE5">
        <w:rPr>
          <w:lang w:val="en-US"/>
        </w:rPr>
        <w:t>ation” and that the domestic courts and other Ukrainian bodies dismissed his request to restore h</w:t>
      </w:r>
      <w:r w:rsidR="009C1830">
        <w:rPr>
          <w:lang w:val="en-US"/>
        </w:rPr>
        <w:t xml:space="preserve">is given name and </w:t>
      </w:r>
      <w:r w:rsidR="00001FC1">
        <w:rPr>
          <w:lang w:val="en-US"/>
        </w:rPr>
        <w:t>patronymic</w:t>
      </w:r>
      <w:r w:rsidR="009C1830">
        <w:rPr>
          <w:lang w:val="en-US"/>
        </w:rPr>
        <w:t xml:space="preserve"> to their </w:t>
      </w:r>
      <w:r w:rsidR="00341EE5" w:rsidRPr="00341EE5">
        <w:rPr>
          <w:lang w:val="en-US"/>
        </w:rPr>
        <w:t xml:space="preserve">original phonetic form implies that only individuals of Russian origin are deprived of the possibility to </w:t>
      </w:r>
      <w:r w:rsidR="006B02D4">
        <w:rPr>
          <w:lang w:val="en-US"/>
        </w:rPr>
        <w:t xml:space="preserve">preserve </w:t>
      </w:r>
      <w:r w:rsidR="00341EE5" w:rsidRPr="00341EE5">
        <w:rPr>
          <w:lang w:val="en-US"/>
        </w:rPr>
        <w:t xml:space="preserve">their original given names and </w:t>
      </w:r>
      <w:r w:rsidR="00001FC1">
        <w:rPr>
          <w:lang w:val="en-US"/>
        </w:rPr>
        <w:t>patronymic</w:t>
      </w:r>
      <w:r w:rsidR="00341EE5" w:rsidRPr="00341EE5">
        <w:rPr>
          <w:lang w:val="en-US"/>
        </w:rPr>
        <w:t>s.</w:t>
      </w:r>
    </w:p>
    <w:p w:rsidR="00341EE5" w:rsidRPr="00341EE5" w:rsidRDefault="00BA76A7" w:rsidP="00BA76A7">
      <w:pPr>
        <w:pStyle w:val="H23G"/>
      </w:pPr>
      <w:r>
        <w:rPr>
          <w:b w:val="0"/>
        </w:rPr>
        <w:tab/>
      </w:r>
      <w:r>
        <w:rPr>
          <w:b w:val="0"/>
        </w:rPr>
        <w:tab/>
      </w:r>
      <w:r w:rsidR="00341EE5" w:rsidRPr="00341EE5">
        <w:t xml:space="preserve">State party’s observations </w:t>
      </w:r>
    </w:p>
    <w:p w:rsidR="00FD3763" w:rsidRPr="00FD3763" w:rsidRDefault="00D068BA" w:rsidP="009C1830">
      <w:pPr>
        <w:pStyle w:val="SingleTxtG"/>
        <w:spacing w:line="240" w:lineRule="auto"/>
      </w:pPr>
      <w:r>
        <w:t>4.1</w:t>
      </w:r>
      <w:r>
        <w:tab/>
      </w:r>
      <w:r w:rsidR="00966A0B">
        <w:t>On 10 February 2009, the State party reiterate</w:t>
      </w:r>
      <w:r w:rsidR="003A2EDA">
        <w:t>d</w:t>
      </w:r>
      <w:r w:rsidR="00966A0B">
        <w:t xml:space="preserve"> the facts relat</w:t>
      </w:r>
      <w:r w:rsidR="003A2EDA">
        <w:t>ing</w:t>
      </w:r>
      <w:r w:rsidR="00966A0B">
        <w:t xml:space="preserve"> to the issuance of the author’s identity documents and his attempts to revert to his original name</w:t>
      </w:r>
      <w:r w:rsidR="009C1830">
        <w:t>s</w:t>
      </w:r>
      <w:r w:rsidR="00966A0B">
        <w:t xml:space="preserve"> through the courts. The State party further submits that the author complained to the European Court </w:t>
      </w:r>
      <w:r w:rsidR="003A2EDA">
        <w:t xml:space="preserve">of Human Rights </w:t>
      </w:r>
      <w:r w:rsidR="00966A0B">
        <w:t>regarding violations of his rights under articles 8 and 14 of the European Conv</w:t>
      </w:r>
      <w:r w:rsidR="00242BB5">
        <w:t xml:space="preserve">ention </w:t>
      </w:r>
      <w:r w:rsidR="009C1830">
        <w:t>on</w:t>
      </w:r>
      <w:r w:rsidR="00242BB5">
        <w:t xml:space="preserve"> </w:t>
      </w:r>
      <w:r w:rsidR="00966A0B">
        <w:t xml:space="preserve">Human </w:t>
      </w:r>
      <w:r w:rsidR="00242BB5">
        <w:t>Rights and that his application was rejected with the</w:t>
      </w:r>
      <w:r w:rsidR="00FD3763">
        <w:t xml:space="preserve"> following motivation. </w:t>
      </w:r>
      <w:r w:rsidR="00FD3763" w:rsidRPr="00FD3763">
        <w:t xml:space="preserve">Firstly, the procedure foreseen by the Ukrainian legislation for changing one’s name was not particularly complicated, </w:t>
      </w:r>
      <w:r w:rsidR="00472B4D">
        <w:t>with no</w:t>
      </w:r>
      <w:r w:rsidR="00FD3763" w:rsidRPr="00FD3763">
        <w:t xml:space="preserve"> excessive burden </w:t>
      </w:r>
      <w:r w:rsidR="00472B4D">
        <w:t xml:space="preserve">placed </w:t>
      </w:r>
      <w:r w:rsidR="00FD3763" w:rsidRPr="00FD3763">
        <w:t>on the author, but the latter never used this procedure. The refusal of the do</w:t>
      </w:r>
      <w:r w:rsidR="009C1830">
        <w:t>mestic courts to order the issuing</w:t>
      </w:r>
      <w:r w:rsidR="00FD3763" w:rsidRPr="00FD3763">
        <w:t xml:space="preserve"> of new passports reflecting a particular form and spelling of the applicant</w:t>
      </w:r>
      <w:r w:rsidR="00093398">
        <w:t>’</w:t>
      </w:r>
      <w:r w:rsidR="00FD3763" w:rsidRPr="00FD3763">
        <w:t>s name, when he</w:t>
      </w:r>
      <w:r w:rsidR="009C1830">
        <w:t xml:space="preserve"> could have sought</w:t>
      </w:r>
      <w:r w:rsidR="00FD3763" w:rsidRPr="00FD3763">
        <w:t xml:space="preserve"> its change under the specific procedure, </w:t>
      </w:r>
      <w:r w:rsidR="009C1830">
        <w:t>could not</w:t>
      </w:r>
      <w:r w:rsidR="00FD3763" w:rsidRPr="00FD3763">
        <w:t xml:space="preserve"> </w:t>
      </w:r>
      <w:r w:rsidR="009C1830">
        <w:t>“</w:t>
      </w:r>
      <w:r w:rsidR="00FD3763" w:rsidRPr="00FD3763">
        <w:t>be deemed to have b</w:t>
      </w:r>
      <w:r w:rsidR="009C1830">
        <w:t xml:space="preserve">een unreasonable or arbitrary”. </w:t>
      </w:r>
      <w:r w:rsidR="00FD3763" w:rsidRPr="00FD3763">
        <w:t xml:space="preserve">Accordingly, the Court found no violation of </w:t>
      </w:r>
      <w:r w:rsidR="00093398">
        <w:t>a</w:t>
      </w:r>
      <w:r w:rsidR="00FD3763" w:rsidRPr="00FD3763">
        <w:t xml:space="preserve">rticle 8 of the Convention. Secondly, </w:t>
      </w:r>
      <w:r w:rsidR="009C1830">
        <w:t xml:space="preserve">the Court considered that </w:t>
      </w:r>
      <w:r w:rsidR="00FD3763" w:rsidRPr="00FD3763">
        <w:t>there exist</w:t>
      </w:r>
      <w:r w:rsidR="009C1830">
        <w:t>ed</w:t>
      </w:r>
      <w:r w:rsidR="00FD3763" w:rsidRPr="00FD3763">
        <w:t xml:space="preserve"> differences regarding the translation of certain names, which</w:t>
      </w:r>
      <w:r w:rsidR="009C1830">
        <w:t>,</w:t>
      </w:r>
      <w:r w:rsidR="00FD3763" w:rsidRPr="00FD3763">
        <w:t xml:space="preserve"> however</w:t>
      </w:r>
      <w:r w:rsidR="009C1830">
        <w:t>, we</w:t>
      </w:r>
      <w:r w:rsidR="00FD3763" w:rsidRPr="00FD3763">
        <w:t>re not related to the ethnic origin of the individual. The Court recogni</w:t>
      </w:r>
      <w:r w:rsidR="00093398">
        <w:t>z</w:t>
      </w:r>
      <w:r w:rsidR="00FD3763" w:rsidRPr="00FD3763">
        <w:t xml:space="preserve">ed the right of the </w:t>
      </w:r>
      <w:smartTag w:uri="urn:schemas-microsoft-com:office:smarttags" w:element="place">
        <w:smartTag w:uri="urn:schemas-microsoft-com:office:smarttags" w:element="PlaceName">
          <w:r w:rsidR="00FD3763" w:rsidRPr="00FD3763">
            <w:t>Contracting</w:t>
          </w:r>
        </w:smartTag>
        <w:r w:rsidR="00FD3763" w:rsidRPr="00FD3763">
          <w:t xml:space="preserve"> </w:t>
        </w:r>
        <w:smartTag w:uri="urn:schemas-microsoft-com:office:smarttags" w:element="PlaceType">
          <w:r w:rsidR="00FD3763" w:rsidRPr="00FD3763">
            <w:t>State</w:t>
          </w:r>
        </w:smartTag>
      </w:smartTag>
      <w:r w:rsidR="00FD3763" w:rsidRPr="00FD3763">
        <w:t xml:space="preserve"> to establish a rule, in accordance with the longstanding and generally accepted tradition of using two different forms of the same name in Russian and Ukrainian, which rule applie</w:t>
      </w:r>
      <w:r w:rsidR="009C1830">
        <w:t>d</w:t>
      </w:r>
      <w:r w:rsidR="00FD3763" w:rsidRPr="00FD3763">
        <w:t xml:space="preserve"> in the absence of any clearly expressed wish of the person concerned to the contrary. The Court also noted that it ha</w:t>
      </w:r>
      <w:r w:rsidR="001C14F7">
        <w:t>d</w:t>
      </w:r>
      <w:r w:rsidR="00FD3763" w:rsidRPr="00FD3763">
        <w:t xml:space="preserve"> not been shown that the author could not obtain a departure from that rule if he were to follow the procedure for a change of name. Accordingly, the Court found no violation of </w:t>
      </w:r>
      <w:r w:rsidR="00093398">
        <w:t>a</w:t>
      </w:r>
      <w:r w:rsidR="00FD3763" w:rsidRPr="00FD3763">
        <w:t>rticle 14 of the Convention.</w:t>
      </w:r>
    </w:p>
    <w:p w:rsidR="00FB2AB4" w:rsidRDefault="00392131" w:rsidP="00966A0B">
      <w:pPr>
        <w:pStyle w:val="SingleTxtG"/>
        <w:spacing w:line="240" w:lineRule="auto"/>
        <w:rPr>
          <w:lang w:val="en-US"/>
        </w:rPr>
      </w:pPr>
      <w:r>
        <w:lastRenderedPageBreak/>
        <w:t>4.2</w:t>
      </w:r>
      <w:r w:rsidR="00376ED2">
        <w:tab/>
        <w:t xml:space="preserve">The State party submits that, on 25 September 2007, the author submitted to the </w:t>
      </w:r>
      <w:r w:rsidR="00376ED2" w:rsidRPr="00341EE5">
        <w:rPr>
          <w:lang w:val="en-US"/>
        </w:rPr>
        <w:t>Civil Status Registration Department of the Kiev District of Simferopol</w:t>
      </w:r>
      <w:r w:rsidR="00376ED2">
        <w:rPr>
          <w:lang w:val="en-US"/>
        </w:rPr>
        <w:t xml:space="preserve"> a</w:t>
      </w:r>
      <w:r w:rsidR="00376ED2" w:rsidRPr="00341EE5">
        <w:rPr>
          <w:lang w:val="en-US"/>
        </w:rPr>
        <w:t xml:space="preserve"> request</w:t>
      </w:r>
      <w:r w:rsidR="00376ED2">
        <w:rPr>
          <w:lang w:val="en-US"/>
        </w:rPr>
        <w:t xml:space="preserve"> </w:t>
      </w:r>
      <w:r w:rsidR="00376ED2" w:rsidRPr="00341EE5">
        <w:rPr>
          <w:lang w:val="en-US"/>
        </w:rPr>
        <w:t xml:space="preserve">to change his given name and </w:t>
      </w:r>
      <w:r w:rsidR="00001FC1">
        <w:rPr>
          <w:lang w:val="en-US"/>
        </w:rPr>
        <w:t>patronymic</w:t>
      </w:r>
      <w:r w:rsidR="00376ED2">
        <w:rPr>
          <w:lang w:val="en-US"/>
        </w:rPr>
        <w:t xml:space="preserve">. </w:t>
      </w:r>
      <w:r w:rsidR="00107B74">
        <w:rPr>
          <w:lang w:val="en-US"/>
        </w:rPr>
        <w:t>On 9 October 2007, his request was rejected, with the explanation that the P</w:t>
      </w:r>
      <w:r w:rsidR="00107B74" w:rsidRPr="00107B74">
        <w:rPr>
          <w:lang w:val="en-US"/>
        </w:rPr>
        <w:t xml:space="preserve">rocedure for </w:t>
      </w:r>
      <w:r w:rsidR="00107B74">
        <w:rPr>
          <w:lang w:val="en-US"/>
        </w:rPr>
        <w:t>Considering A</w:t>
      </w:r>
      <w:r w:rsidR="00107B74" w:rsidRPr="00107B74">
        <w:rPr>
          <w:lang w:val="en-US"/>
        </w:rPr>
        <w:t xml:space="preserve">pplications for </w:t>
      </w:r>
      <w:r w:rsidR="00107B74">
        <w:rPr>
          <w:lang w:val="en-US"/>
        </w:rPr>
        <w:t>C</w:t>
      </w:r>
      <w:r w:rsidR="00107B74" w:rsidRPr="00107B74">
        <w:rPr>
          <w:lang w:val="en-US"/>
        </w:rPr>
        <w:t xml:space="preserve">hange of </w:t>
      </w:r>
      <w:r w:rsidR="00107B74">
        <w:rPr>
          <w:lang w:val="en-US"/>
        </w:rPr>
        <w:t>N</w:t>
      </w:r>
      <w:r w:rsidR="00107B74" w:rsidRPr="00107B74">
        <w:rPr>
          <w:lang w:val="en-US"/>
        </w:rPr>
        <w:t>ame</w:t>
      </w:r>
      <w:r w:rsidR="00107B74">
        <w:rPr>
          <w:lang w:val="en-US"/>
        </w:rPr>
        <w:t xml:space="preserve"> of a Natural Person, approved by </w:t>
      </w:r>
      <w:r w:rsidR="00A45436">
        <w:rPr>
          <w:lang w:val="en-US"/>
        </w:rPr>
        <w:t>Ordinance No</w:t>
      </w:r>
      <w:r w:rsidR="00124B76">
        <w:rPr>
          <w:lang w:val="en-US"/>
        </w:rPr>
        <w:t>.</w:t>
      </w:r>
      <w:r w:rsidR="00A45436">
        <w:rPr>
          <w:lang w:val="en-US"/>
        </w:rPr>
        <w:t xml:space="preserve"> 915 of </w:t>
      </w:r>
      <w:r w:rsidR="00107B74">
        <w:rPr>
          <w:lang w:val="en-US"/>
        </w:rPr>
        <w:t>the Council of Ministers</w:t>
      </w:r>
      <w:r w:rsidR="00A45436">
        <w:rPr>
          <w:lang w:val="en-US"/>
        </w:rPr>
        <w:t xml:space="preserve"> of</w:t>
      </w:r>
      <w:r w:rsidR="00107B74">
        <w:rPr>
          <w:lang w:val="en-US"/>
        </w:rPr>
        <w:t xml:space="preserve"> 11 November 2007</w:t>
      </w:r>
      <w:r w:rsidR="00A45436">
        <w:rPr>
          <w:lang w:val="en-US"/>
        </w:rPr>
        <w:t>, does not foresee the registration of the change of name and pat</w:t>
      </w:r>
      <w:r w:rsidR="00124B76">
        <w:rPr>
          <w:lang w:val="en-US"/>
        </w:rPr>
        <w:t>r</w:t>
      </w:r>
      <w:r w:rsidR="00A45436">
        <w:rPr>
          <w:lang w:val="en-US"/>
        </w:rPr>
        <w:t>onym</w:t>
      </w:r>
      <w:r w:rsidR="00124B76">
        <w:rPr>
          <w:lang w:val="en-US"/>
        </w:rPr>
        <w:t>ic</w:t>
      </w:r>
      <w:r w:rsidR="00A45436">
        <w:rPr>
          <w:lang w:val="en-US"/>
        </w:rPr>
        <w:t xml:space="preserve"> with indication of particular trans</w:t>
      </w:r>
      <w:r w:rsidR="00083DEB">
        <w:rPr>
          <w:lang w:val="en-US"/>
        </w:rPr>
        <w:t>cription</w:t>
      </w:r>
      <w:r w:rsidR="00124B76">
        <w:rPr>
          <w:lang w:val="en-US"/>
        </w:rPr>
        <w:t>,</w:t>
      </w:r>
      <w:r w:rsidR="00A45436">
        <w:rPr>
          <w:lang w:val="en-US"/>
        </w:rPr>
        <w:t xml:space="preserve"> and he was recommended to make a notarized translation (with trans</w:t>
      </w:r>
      <w:r w:rsidR="00083DEB">
        <w:rPr>
          <w:lang w:val="en-US"/>
        </w:rPr>
        <w:t>cription</w:t>
      </w:r>
      <w:r w:rsidR="00A45436">
        <w:rPr>
          <w:lang w:val="en-US"/>
        </w:rPr>
        <w:t xml:space="preserve">) of the names contained in his birth certificate. Rather than filing a second application to the </w:t>
      </w:r>
      <w:r w:rsidR="00A45436" w:rsidRPr="00341EE5">
        <w:rPr>
          <w:lang w:val="en-US"/>
        </w:rPr>
        <w:t>Civil Status Registration Department</w:t>
      </w:r>
      <w:r w:rsidR="00A45436">
        <w:rPr>
          <w:lang w:val="en-US"/>
        </w:rPr>
        <w:t xml:space="preserve"> supplementing it with the above notarized translation, the author proceeded to file a request </w:t>
      </w:r>
      <w:r w:rsidR="00124B76">
        <w:rPr>
          <w:lang w:val="en-US"/>
        </w:rPr>
        <w:t>for</w:t>
      </w:r>
      <w:r w:rsidR="00A45436">
        <w:rPr>
          <w:lang w:val="en-US"/>
        </w:rPr>
        <w:t xml:space="preserve"> a new passport </w:t>
      </w:r>
      <w:r w:rsidR="00124B76">
        <w:rPr>
          <w:lang w:val="en-US"/>
        </w:rPr>
        <w:t xml:space="preserve">with </w:t>
      </w:r>
      <w:r w:rsidR="00A45436">
        <w:rPr>
          <w:lang w:val="en-US"/>
        </w:rPr>
        <w:t xml:space="preserve">the Department of Citizenship, Immigration and Registration of Natural Persons of the Kiev District Department of the Simferopol Division of the Ministry of </w:t>
      </w:r>
      <w:r w:rsidR="00124B76">
        <w:rPr>
          <w:lang w:val="en-US"/>
        </w:rPr>
        <w:t xml:space="preserve">the </w:t>
      </w:r>
      <w:r w:rsidR="00A45436">
        <w:rPr>
          <w:lang w:val="en-US"/>
        </w:rPr>
        <w:t>Interior. The latter rejected his request on 14 November 2007, stating that a birth certificate</w:t>
      </w:r>
      <w:r w:rsidR="00D72451">
        <w:rPr>
          <w:lang w:val="en-US"/>
        </w:rPr>
        <w:t xml:space="preserve"> can be used by citizens as the basis for th</w:t>
      </w:r>
      <w:r w:rsidR="00A45436">
        <w:rPr>
          <w:lang w:val="en-US"/>
        </w:rPr>
        <w:t>e issu</w:t>
      </w:r>
      <w:r w:rsidR="00D72451">
        <w:rPr>
          <w:lang w:val="en-US"/>
        </w:rPr>
        <w:t>ance of a passport</w:t>
      </w:r>
      <w:r w:rsidR="00A45436">
        <w:rPr>
          <w:lang w:val="en-US"/>
        </w:rPr>
        <w:t xml:space="preserve"> only when they first reach the age of 16.</w:t>
      </w:r>
      <w:r w:rsidR="001C5204">
        <w:rPr>
          <w:lang w:val="en-US"/>
        </w:rPr>
        <w:t xml:space="preserve"> The </w:t>
      </w:r>
      <w:r w:rsidR="00D62170">
        <w:rPr>
          <w:lang w:val="en-US"/>
        </w:rPr>
        <w:t xml:space="preserve">State party maintains that the </w:t>
      </w:r>
      <w:r w:rsidR="001C5204">
        <w:rPr>
          <w:lang w:val="en-US"/>
        </w:rPr>
        <w:t xml:space="preserve">author was supposed to file a second request for name change to the </w:t>
      </w:r>
      <w:r w:rsidR="001C5204" w:rsidRPr="00341EE5">
        <w:rPr>
          <w:lang w:val="en-US"/>
        </w:rPr>
        <w:t>Civil Status Registration Department</w:t>
      </w:r>
      <w:r w:rsidR="001C5204">
        <w:rPr>
          <w:lang w:val="en-US"/>
        </w:rPr>
        <w:t xml:space="preserve"> and apply for a passport after being issued a certificate for a name change</w:t>
      </w:r>
      <w:r w:rsidR="00D62170">
        <w:rPr>
          <w:lang w:val="en-US"/>
        </w:rPr>
        <w:t>,</w:t>
      </w:r>
      <w:r w:rsidR="001C5204">
        <w:rPr>
          <w:lang w:val="en-US"/>
        </w:rPr>
        <w:t xml:space="preserve"> based on Ordinance No</w:t>
      </w:r>
      <w:r w:rsidR="00124B76">
        <w:rPr>
          <w:lang w:val="en-US"/>
        </w:rPr>
        <w:t>.</w:t>
      </w:r>
      <w:r w:rsidR="001C5204">
        <w:rPr>
          <w:lang w:val="en-US"/>
        </w:rPr>
        <w:t xml:space="preserve"> 915.</w:t>
      </w:r>
    </w:p>
    <w:p w:rsidR="00341EE5" w:rsidRDefault="00FB2AB4" w:rsidP="00966A0B">
      <w:pPr>
        <w:pStyle w:val="SingleTxtG"/>
        <w:spacing w:line="240" w:lineRule="auto"/>
      </w:pPr>
      <w:r>
        <w:rPr>
          <w:lang w:val="en-US"/>
        </w:rPr>
        <w:t>4.3</w:t>
      </w:r>
      <w:r>
        <w:rPr>
          <w:lang w:val="en-US"/>
        </w:rPr>
        <w:tab/>
      </w:r>
      <w:r w:rsidR="004160CE">
        <w:rPr>
          <w:lang w:val="en-US"/>
        </w:rPr>
        <w:t>In addition</w:t>
      </w:r>
      <w:r w:rsidR="00D62170">
        <w:rPr>
          <w:lang w:val="en-US"/>
        </w:rPr>
        <w:t>,</w:t>
      </w:r>
      <w:r w:rsidR="004160CE">
        <w:rPr>
          <w:lang w:val="en-US"/>
        </w:rPr>
        <w:t xml:space="preserve"> the State party </w:t>
      </w:r>
      <w:r w:rsidR="00D62170">
        <w:rPr>
          <w:lang w:val="en-US"/>
        </w:rPr>
        <w:t>submits</w:t>
      </w:r>
      <w:r w:rsidR="004160CE">
        <w:rPr>
          <w:lang w:val="en-US"/>
        </w:rPr>
        <w:t xml:space="preserve"> that in the </w:t>
      </w:r>
      <w:r w:rsidR="007C21E6">
        <w:rPr>
          <w:lang w:val="en-US"/>
        </w:rPr>
        <w:t>East</w:t>
      </w:r>
      <w:r w:rsidR="00D72451">
        <w:rPr>
          <w:lang w:val="en-US"/>
        </w:rPr>
        <w:t xml:space="preserve">ern </w:t>
      </w:r>
      <w:r w:rsidR="004160CE">
        <w:rPr>
          <w:lang w:val="en-US"/>
        </w:rPr>
        <w:t xml:space="preserve">Slavic countries (Ukraine, Belarus and </w:t>
      </w:r>
      <w:r w:rsidR="00124B76">
        <w:rPr>
          <w:lang w:val="en-US"/>
        </w:rPr>
        <w:t xml:space="preserve">the </w:t>
      </w:r>
      <w:r w:rsidR="004160CE">
        <w:rPr>
          <w:lang w:val="en-US"/>
        </w:rPr>
        <w:t>Russia</w:t>
      </w:r>
      <w:r w:rsidR="00124B76">
        <w:rPr>
          <w:lang w:val="en-US"/>
        </w:rPr>
        <w:t>n Federation</w:t>
      </w:r>
      <w:r w:rsidR="004160CE">
        <w:rPr>
          <w:lang w:val="en-US"/>
        </w:rPr>
        <w:t>), in accordance with the established practice</w:t>
      </w:r>
      <w:r w:rsidR="00287F44">
        <w:rPr>
          <w:lang w:val="en-US"/>
        </w:rPr>
        <w:t>,</w:t>
      </w:r>
      <w:r w:rsidR="004160CE">
        <w:rPr>
          <w:lang w:val="en-US"/>
        </w:rPr>
        <w:t xml:space="preserve"> names and </w:t>
      </w:r>
      <w:r w:rsidR="00001FC1">
        <w:rPr>
          <w:lang w:val="en-US"/>
        </w:rPr>
        <w:t>patronymic</w:t>
      </w:r>
      <w:r w:rsidR="004160CE">
        <w:rPr>
          <w:lang w:val="en-US"/>
        </w:rPr>
        <w:t>s</w:t>
      </w:r>
      <w:r w:rsidR="00124B76">
        <w:rPr>
          <w:lang w:val="en-US"/>
        </w:rPr>
        <w:t>,</w:t>
      </w:r>
      <w:r w:rsidR="004160CE">
        <w:rPr>
          <w:lang w:val="en-US"/>
        </w:rPr>
        <w:t xml:space="preserve"> when translated from one language into another</w:t>
      </w:r>
      <w:r w:rsidR="00D62170">
        <w:rPr>
          <w:lang w:val="en-US"/>
        </w:rPr>
        <w:t>,</w:t>
      </w:r>
      <w:r w:rsidR="004160CE">
        <w:rPr>
          <w:lang w:val="en-US"/>
        </w:rPr>
        <w:t xml:space="preserve"> are not trans</w:t>
      </w:r>
      <w:r w:rsidR="00083DEB">
        <w:rPr>
          <w:lang w:val="en-US"/>
        </w:rPr>
        <w:t>cribed</w:t>
      </w:r>
      <w:r w:rsidR="004160CE">
        <w:rPr>
          <w:lang w:val="en-US"/>
        </w:rPr>
        <w:t xml:space="preserve"> but are “replaced by the corresponding, historically established, equivalent”</w:t>
      </w:r>
      <w:r w:rsidR="00083DEB">
        <w:rPr>
          <w:lang w:val="en-US"/>
        </w:rPr>
        <w:t xml:space="preserve">. The rules for that replacement are reflected in the Ukrainian grammar book </w:t>
      </w:r>
      <w:r w:rsidR="00083DEB" w:rsidRPr="00124B76">
        <w:rPr>
          <w:i/>
          <w:lang w:val="en-US"/>
        </w:rPr>
        <w:t>Ukrainian Spelling</w:t>
      </w:r>
      <w:r w:rsidR="00083DEB">
        <w:rPr>
          <w:lang w:val="en-US"/>
        </w:rPr>
        <w:t>. The State party states that the above rules were also applicable in 1990.</w:t>
      </w:r>
    </w:p>
    <w:p w:rsidR="00D068BA" w:rsidRPr="00D068BA" w:rsidRDefault="00BA76A7" w:rsidP="00BA76A7">
      <w:pPr>
        <w:pStyle w:val="H23G"/>
        <w:rPr>
          <w:lang w:val="en-US"/>
        </w:rPr>
      </w:pPr>
      <w:r>
        <w:rPr>
          <w:lang w:val="en-US"/>
        </w:rPr>
        <w:tab/>
      </w:r>
      <w:r>
        <w:rPr>
          <w:lang w:val="en-US"/>
        </w:rPr>
        <w:tab/>
      </w:r>
      <w:r w:rsidR="00D068BA" w:rsidRPr="00D068BA">
        <w:rPr>
          <w:lang w:val="en-US"/>
        </w:rPr>
        <w:t>Author</w:t>
      </w:r>
      <w:r w:rsidR="00124B76">
        <w:rPr>
          <w:lang w:val="en-US"/>
        </w:rPr>
        <w:t>’</w:t>
      </w:r>
      <w:r w:rsidR="00D068BA" w:rsidRPr="00D068BA">
        <w:rPr>
          <w:lang w:val="en-US"/>
        </w:rPr>
        <w:t>s comments on the State party</w:t>
      </w:r>
      <w:r w:rsidR="00124B76">
        <w:rPr>
          <w:lang w:val="en-US"/>
        </w:rPr>
        <w:t>’</w:t>
      </w:r>
      <w:r w:rsidR="00D068BA" w:rsidRPr="00D068BA">
        <w:rPr>
          <w:lang w:val="en-US"/>
        </w:rPr>
        <w:t>s observations</w:t>
      </w:r>
    </w:p>
    <w:p w:rsidR="00604DF4" w:rsidRDefault="00D068BA" w:rsidP="00966A0B">
      <w:pPr>
        <w:pStyle w:val="SingleTxtG"/>
        <w:spacing w:line="240" w:lineRule="auto"/>
        <w:rPr>
          <w:lang w:val="en-US"/>
        </w:rPr>
      </w:pPr>
      <w:r w:rsidRPr="00D068BA">
        <w:rPr>
          <w:lang w:val="en-US"/>
        </w:rPr>
        <w:t>5.1</w:t>
      </w:r>
      <w:r w:rsidR="006B2787">
        <w:rPr>
          <w:lang w:val="en-US"/>
        </w:rPr>
        <w:tab/>
        <w:t>On 14 April 2009, the author submit</w:t>
      </w:r>
      <w:r w:rsidR="00124B76">
        <w:rPr>
          <w:lang w:val="en-US"/>
        </w:rPr>
        <w:t>ted</w:t>
      </w:r>
      <w:r w:rsidR="006B2787">
        <w:rPr>
          <w:lang w:val="en-US"/>
        </w:rPr>
        <w:t xml:space="preserve"> that</w:t>
      </w:r>
      <w:r w:rsidR="00031747">
        <w:rPr>
          <w:lang w:val="en-US"/>
        </w:rPr>
        <w:t xml:space="preserve"> on 25</w:t>
      </w:r>
      <w:r w:rsidR="00D62170">
        <w:rPr>
          <w:lang w:val="en-US"/>
        </w:rPr>
        <w:t xml:space="preserve"> September 2007, he had</w:t>
      </w:r>
      <w:r w:rsidR="00031747">
        <w:rPr>
          <w:lang w:val="en-US"/>
        </w:rPr>
        <w:t xml:space="preserve"> indeed filed a request </w:t>
      </w:r>
      <w:r w:rsidR="00D72451">
        <w:rPr>
          <w:lang w:val="en-US"/>
        </w:rPr>
        <w:t>with</w:t>
      </w:r>
      <w:r w:rsidR="00031747">
        <w:rPr>
          <w:lang w:val="en-US"/>
        </w:rPr>
        <w:t xml:space="preserve"> the </w:t>
      </w:r>
      <w:r w:rsidR="00031747" w:rsidRPr="00341EE5">
        <w:rPr>
          <w:lang w:val="en-US"/>
        </w:rPr>
        <w:t>Civil Status Registration Department of the Kiev District of Simferopol</w:t>
      </w:r>
      <w:r w:rsidR="00031747">
        <w:rPr>
          <w:lang w:val="en-US"/>
        </w:rPr>
        <w:t xml:space="preserve"> </w:t>
      </w:r>
      <w:r w:rsidR="00031747" w:rsidRPr="00341EE5">
        <w:rPr>
          <w:lang w:val="en-US"/>
        </w:rPr>
        <w:t xml:space="preserve">to change his given name and </w:t>
      </w:r>
      <w:r w:rsidR="00001FC1">
        <w:rPr>
          <w:lang w:val="en-US"/>
        </w:rPr>
        <w:t>patronymic</w:t>
      </w:r>
      <w:r w:rsidR="00031747">
        <w:rPr>
          <w:lang w:val="en-US"/>
        </w:rPr>
        <w:t>. On 9 October 2007, his request was rejected, with the explanation that the P</w:t>
      </w:r>
      <w:r w:rsidR="00031747" w:rsidRPr="00107B74">
        <w:rPr>
          <w:lang w:val="en-US"/>
        </w:rPr>
        <w:t xml:space="preserve">rocedure for </w:t>
      </w:r>
      <w:r w:rsidR="00031747">
        <w:rPr>
          <w:lang w:val="en-US"/>
        </w:rPr>
        <w:t>Considering A</w:t>
      </w:r>
      <w:r w:rsidR="00031747" w:rsidRPr="00107B74">
        <w:rPr>
          <w:lang w:val="en-US"/>
        </w:rPr>
        <w:t xml:space="preserve">pplications for </w:t>
      </w:r>
      <w:r w:rsidR="00031747">
        <w:rPr>
          <w:lang w:val="en-US"/>
        </w:rPr>
        <w:t>C</w:t>
      </w:r>
      <w:r w:rsidR="00031747" w:rsidRPr="00107B74">
        <w:rPr>
          <w:lang w:val="en-US"/>
        </w:rPr>
        <w:t xml:space="preserve">hange of </w:t>
      </w:r>
      <w:r w:rsidR="00031747">
        <w:rPr>
          <w:lang w:val="en-US"/>
        </w:rPr>
        <w:t>N</w:t>
      </w:r>
      <w:r w:rsidR="00031747" w:rsidRPr="00107B74">
        <w:rPr>
          <w:lang w:val="en-US"/>
        </w:rPr>
        <w:t>ame</w:t>
      </w:r>
      <w:r w:rsidR="00031747">
        <w:rPr>
          <w:lang w:val="en-US"/>
        </w:rPr>
        <w:t xml:space="preserve"> of a Natural Person, approved by Ordinance No</w:t>
      </w:r>
      <w:r w:rsidR="00124B76">
        <w:rPr>
          <w:lang w:val="en-US"/>
        </w:rPr>
        <w:t>.</w:t>
      </w:r>
      <w:r w:rsidR="00031747">
        <w:rPr>
          <w:lang w:val="en-US"/>
        </w:rPr>
        <w:t xml:space="preserve"> 915 of the Council of Ministers of 11 November 2007, does not foresee the registration of the change of name and pat</w:t>
      </w:r>
      <w:r w:rsidR="00001FC1">
        <w:rPr>
          <w:lang w:val="en-US"/>
        </w:rPr>
        <w:t>r</w:t>
      </w:r>
      <w:r w:rsidR="00031747">
        <w:rPr>
          <w:lang w:val="en-US"/>
        </w:rPr>
        <w:t>onym</w:t>
      </w:r>
      <w:r w:rsidR="00001FC1">
        <w:rPr>
          <w:lang w:val="en-US"/>
        </w:rPr>
        <w:t>ic</w:t>
      </w:r>
      <w:r w:rsidR="00031747">
        <w:rPr>
          <w:lang w:val="en-US"/>
        </w:rPr>
        <w:t xml:space="preserve"> with indication of particular transcription. </w:t>
      </w:r>
      <w:r w:rsidR="00D72451">
        <w:rPr>
          <w:lang w:val="en-US"/>
        </w:rPr>
        <w:t xml:space="preserve">It </w:t>
      </w:r>
      <w:r w:rsidR="00031747">
        <w:rPr>
          <w:lang w:val="en-US"/>
        </w:rPr>
        <w:t xml:space="preserve">was recommended </w:t>
      </w:r>
      <w:r w:rsidR="00D72451">
        <w:rPr>
          <w:lang w:val="en-US"/>
        </w:rPr>
        <w:t>he</w:t>
      </w:r>
      <w:r w:rsidR="00031747">
        <w:rPr>
          <w:lang w:val="en-US"/>
        </w:rPr>
        <w:t xml:space="preserve"> </w:t>
      </w:r>
      <w:r w:rsidR="00D72451">
        <w:rPr>
          <w:lang w:val="en-US"/>
        </w:rPr>
        <w:t xml:space="preserve">use </w:t>
      </w:r>
      <w:r w:rsidR="00031747">
        <w:rPr>
          <w:lang w:val="en-US"/>
        </w:rPr>
        <w:t xml:space="preserve">the procedure provided for </w:t>
      </w:r>
      <w:r w:rsidR="00D72451">
        <w:rPr>
          <w:lang w:val="en-US"/>
        </w:rPr>
        <w:t xml:space="preserve">under </w:t>
      </w:r>
      <w:r w:rsidR="00031747">
        <w:rPr>
          <w:lang w:val="en-US"/>
        </w:rPr>
        <w:t>article 294 of the Civil Code of Ukraine,</w:t>
      </w:r>
      <w:r w:rsidR="00287F44">
        <w:rPr>
          <w:rStyle w:val="FootnoteReference"/>
          <w:lang w:val="en-US"/>
        </w:rPr>
        <w:footnoteReference w:id="4"/>
      </w:r>
      <w:r w:rsidR="00031747">
        <w:rPr>
          <w:lang w:val="en-US"/>
        </w:rPr>
        <w:t xml:space="preserve"> </w:t>
      </w:r>
      <w:r w:rsidR="00A341AB">
        <w:rPr>
          <w:lang w:val="en-US"/>
        </w:rPr>
        <w:t>and</w:t>
      </w:r>
      <w:r w:rsidR="00031747">
        <w:rPr>
          <w:lang w:val="en-US"/>
        </w:rPr>
        <w:t xml:space="preserve"> make a notarized translation (with transcription) of the names contained in his birth certificate.</w:t>
      </w:r>
    </w:p>
    <w:p w:rsidR="00D068BA" w:rsidRPr="00731280" w:rsidRDefault="00604DF4" w:rsidP="00966A0B">
      <w:pPr>
        <w:pStyle w:val="SingleTxtG"/>
        <w:spacing w:line="240" w:lineRule="auto"/>
      </w:pPr>
      <w:r>
        <w:rPr>
          <w:lang w:val="en-US"/>
        </w:rPr>
        <w:t>5.2</w:t>
      </w:r>
      <w:r>
        <w:rPr>
          <w:lang w:val="en-US"/>
        </w:rPr>
        <w:tab/>
      </w:r>
      <w:r w:rsidR="00031747">
        <w:rPr>
          <w:lang w:val="en-US"/>
        </w:rPr>
        <w:t xml:space="preserve">On 16 October 2007, the author </w:t>
      </w:r>
      <w:r w:rsidR="00D62170">
        <w:rPr>
          <w:lang w:val="en-US"/>
        </w:rPr>
        <w:t>obtained a notarized translation (with transcription) of the names contained in his birth certificate</w:t>
      </w:r>
      <w:r w:rsidR="00031747">
        <w:rPr>
          <w:lang w:val="en-US"/>
        </w:rPr>
        <w:t>.</w:t>
      </w:r>
      <w:r w:rsidR="00287F44">
        <w:rPr>
          <w:lang w:val="en-US"/>
        </w:rPr>
        <w:t xml:space="preserve"> </w:t>
      </w:r>
      <w:r w:rsidR="00D62170">
        <w:rPr>
          <w:lang w:val="en-US"/>
        </w:rPr>
        <w:t>He submits that, a</w:t>
      </w:r>
      <w:r w:rsidR="00287F44">
        <w:rPr>
          <w:lang w:val="en-US"/>
        </w:rPr>
        <w:t>ccording to point 16 of the Regulation Regarding the Passport of the Ukrainian Citizen, approved by the Supreme Council of Ukraine on 2 September 1993</w:t>
      </w:r>
      <w:r w:rsidR="00A341AB">
        <w:rPr>
          <w:lang w:val="en-US"/>
        </w:rPr>
        <w:t>:</w:t>
      </w:r>
      <w:r w:rsidR="00287F44">
        <w:rPr>
          <w:lang w:val="en-US"/>
        </w:rPr>
        <w:t xml:space="preserve"> “A replacement of a passport shall be effectuated in case</w:t>
      </w:r>
      <w:r w:rsidR="00D62170">
        <w:rPr>
          <w:lang w:val="en-US"/>
        </w:rPr>
        <w:t xml:space="preserve"> of</w:t>
      </w:r>
      <w:r w:rsidR="00287F44">
        <w:rPr>
          <w:lang w:val="en-US"/>
        </w:rPr>
        <w:t xml:space="preserve">: 1. Change in the family name, the </w:t>
      </w:r>
      <w:r w:rsidR="00001FC1">
        <w:rPr>
          <w:lang w:val="en-US"/>
        </w:rPr>
        <w:t>patronymic</w:t>
      </w:r>
      <w:r w:rsidR="00287F44">
        <w:rPr>
          <w:lang w:val="en-US"/>
        </w:rPr>
        <w:t xml:space="preserve"> or the name</w:t>
      </w:r>
      <w:r w:rsidR="004F63AA">
        <w:rPr>
          <w:lang w:val="en-US"/>
        </w:rPr>
        <w:t>; 2. Establish</w:t>
      </w:r>
      <w:r w:rsidR="00D62170">
        <w:rPr>
          <w:lang w:val="en-US"/>
        </w:rPr>
        <w:t>ment</w:t>
      </w:r>
      <w:r w:rsidR="004F63AA">
        <w:rPr>
          <w:lang w:val="en-US"/>
        </w:rPr>
        <w:t xml:space="preserve"> of a discrepancy in the records; 3. Unsuitability for usage.</w:t>
      </w:r>
      <w:r w:rsidR="00470D4B">
        <w:rPr>
          <w:lang w:val="en-US"/>
        </w:rPr>
        <w:t>”</w:t>
      </w:r>
      <w:r w:rsidR="004F63AA">
        <w:rPr>
          <w:rStyle w:val="FootnoteReference"/>
          <w:lang w:val="en-US"/>
        </w:rPr>
        <w:footnoteReference w:id="5"/>
      </w:r>
      <w:r w:rsidR="00B85CB5">
        <w:rPr>
          <w:lang w:val="en-US"/>
        </w:rPr>
        <w:t xml:space="preserve"> On 18 October 2007, the author applied to the Head of the Department of Citizenship, Immigration and Registration of Natural Persons of the Kiev District Department of the Simferopol Division of the Ministry of Interior to replace his internal passport, taking into consideration the established discrepancies between his names in the birth certificate and the passport, based on point 16</w:t>
      </w:r>
      <w:r w:rsidR="00470D4B">
        <w:rPr>
          <w:lang w:val="en-US"/>
        </w:rPr>
        <w:t xml:space="preserve">, </w:t>
      </w:r>
      <w:r w:rsidR="00470D4B">
        <w:rPr>
          <w:lang w:val="en-US"/>
        </w:rPr>
        <w:lastRenderedPageBreak/>
        <w:t xml:space="preserve">paragraph </w:t>
      </w:r>
      <w:r w:rsidR="00B85CB5">
        <w:rPr>
          <w:lang w:val="en-US"/>
        </w:rPr>
        <w:t>2</w:t>
      </w:r>
      <w:r w:rsidR="00470D4B">
        <w:rPr>
          <w:lang w:val="en-US"/>
        </w:rPr>
        <w:t>,</w:t>
      </w:r>
      <w:r w:rsidR="00B85CB5">
        <w:rPr>
          <w:lang w:val="en-US"/>
        </w:rPr>
        <w:t xml:space="preserve"> of the Regulation Regarding the Passport of the Ukrainian Citizen. On 14 November 2007, his application was rejected, with the explanation that they </w:t>
      </w:r>
      <w:r w:rsidR="00D72451">
        <w:rPr>
          <w:lang w:val="en-US"/>
        </w:rPr>
        <w:t xml:space="preserve">could </w:t>
      </w:r>
      <w:r w:rsidR="00B85CB5">
        <w:rPr>
          <w:lang w:val="en-US"/>
        </w:rPr>
        <w:t>only issue a passport based on the birth certificate when a person reache</w:t>
      </w:r>
      <w:r w:rsidR="00D72451">
        <w:rPr>
          <w:lang w:val="en-US"/>
        </w:rPr>
        <w:t>d</w:t>
      </w:r>
      <w:r w:rsidR="00B85CB5">
        <w:rPr>
          <w:lang w:val="en-US"/>
        </w:rPr>
        <w:t xml:space="preserve"> the age of 16. The author maintains that the above explanation contradicts the Ukrainian legislation, in particular because point 7 of the above Regulation reads: “In cases of replacement of passports of citizens, the latter should submit the passport, subject to replacement, and in cases […] when discrepancies in the records are established, also</w:t>
      </w:r>
      <w:r w:rsidR="00470D4B">
        <w:rPr>
          <w:lang w:val="en-US"/>
        </w:rPr>
        <w:t xml:space="preserve"> </w:t>
      </w:r>
      <w:r w:rsidR="00B85CB5">
        <w:rPr>
          <w:lang w:val="en-US"/>
        </w:rPr>
        <w:t>[…] the documentation confirming the above circumstances.”</w:t>
      </w:r>
      <w:r w:rsidR="00B85CB5">
        <w:rPr>
          <w:rStyle w:val="FootnoteReference"/>
          <w:lang w:val="en-US"/>
        </w:rPr>
        <w:footnoteReference w:id="6"/>
      </w:r>
      <w:r w:rsidR="00B85CB5">
        <w:rPr>
          <w:lang w:val="en-US"/>
        </w:rPr>
        <w:t xml:space="preserve"> The author maintains that he should be able to apply for a replacement of his passport</w:t>
      </w:r>
      <w:r w:rsidR="00644334">
        <w:rPr>
          <w:lang w:val="en-US"/>
        </w:rPr>
        <w:t xml:space="preserve"> in case of discrepancy in the record</w:t>
      </w:r>
      <w:r w:rsidR="00D62170">
        <w:rPr>
          <w:lang w:val="en-US"/>
        </w:rPr>
        <w:t>s</w:t>
      </w:r>
      <w:r w:rsidR="00644334">
        <w:rPr>
          <w:lang w:val="en-US"/>
        </w:rPr>
        <w:t xml:space="preserve"> and that he submitted, as documentation evidencing the discrepancy in the records, the official translation of his birth certificate. Further, article 294</w:t>
      </w:r>
      <w:r w:rsidR="00470D4B">
        <w:rPr>
          <w:lang w:val="en-US"/>
        </w:rPr>
        <w:t xml:space="preserve">, paragraph </w:t>
      </w:r>
      <w:r w:rsidR="00644334">
        <w:rPr>
          <w:lang w:val="en-US"/>
        </w:rPr>
        <w:t>3</w:t>
      </w:r>
      <w:r w:rsidR="00470D4B">
        <w:rPr>
          <w:lang w:val="en-US"/>
        </w:rPr>
        <w:t>,</w:t>
      </w:r>
      <w:r w:rsidR="00644334">
        <w:rPr>
          <w:lang w:val="en-US"/>
        </w:rPr>
        <w:t xml:space="preserve"> of the Civil Code prescribes that </w:t>
      </w:r>
      <w:r w:rsidR="00644334">
        <w:t>i</w:t>
      </w:r>
      <w:r w:rsidR="00644334" w:rsidRPr="00287F44">
        <w:t xml:space="preserve">f the </w:t>
      </w:r>
      <w:r w:rsidR="00D62170">
        <w:t>“</w:t>
      </w:r>
      <w:r w:rsidR="00644334" w:rsidRPr="00287F44">
        <w:t xml:space="preserve">distortion of the name was carried out in </w:t>
      </w:r>
      <w:r w:rsidR="00644334">
        <w:t>a</w:t>
      </w:r>
      <w:r w:rsidR="00644334" w:rsidRPr="00287F44">
        <w:t xml:space="preserve"> document</w:t>
      </w:r>
      <w:r w:rsidR="00D62170">
        <w:t>”</w:t>
      </w:r>
      <w:r w:rsidR="00644334">
        <w:t xml:space="preserve">, </w:t>
      </w:r>
      <w:r w:rsidR="00470D4B">
        <w:t>such</w:t>
      </w:r>
      <w:r>
        <w:t xml:space="preserve"> document must be replaced</w:t>
      </w:r>
      <w:r w:rsidR="00470D4B">
        <w:t>,</w:t>
      </w:r>
      <w:r>
        <w:t xml:space="preserve"> and the author maintains that the internal passport issued to him </w:t>
      </w:r>
      <w:r w:rsidRPr="00731280">
        <w:t>was the first document, where his names were distorted.</w:t>
      </w:r>
      <w:r w:rsidR="00731280" w:rsidRPr="00731280">
        <w:rPr>
          <w:rStyle w:val="FootnoteReference"/>
          <w:sz w:val="20"/>
        </w:rPr>
        <w:footnoteReference w:id="7"/>
      </w:r>
    </w:p>
    <w:p w:rsidR="00604DF4" w:rsidRPr="00731280" w:rsidRDefault="00604DF4" w:rsidP="00966A0B">
      <w:pPr>
        <w:pStyle w:val="SingleTxtG"/>
        <w:spacing w:line="240" w:lineRule="auto"/>
      </w:pPr>
      <w:r w:rsidRPr="00731280">
        <w:t>5.3</w:t>
      </w:r>
      <w:r w:rsidRPr="00731280">
        <w:tab/>
      </w:r>
      <w:r w:rsidR="00731280" w:rsidRPr="00731280">
        <w:t xml:space="preserve">The author </w:t>
      </w:r>
      <w:r w:rsidR="00731280">
        <w:t xml:space="preserve">notes the State party’s submission that he was supposed to file a second </w:t>
      </w:r>
      <w:r w:rsidR="00731280">
        <w:rPr>
          <w:lang w:val="en-US"/>
        </w:rPr>
        <w:t xml:space="preserve">request for name change to the </w:t>
      </w:r>
      <w:r w:rsidR="00731280" w:rsidRPr="00341EE5">
        <w:rPr>
          <w:lang w:val="en-US"/>
        </w:rPr>
        <w:t>Civil Status Registration Department</w:t>
      </w:r>
      <w:r w:rsidR="00731280">
        <w:rPr>
          <w:lang w:val="en-US"/>
        </w:rPr>
        <w:t xml:space="preserve"> and apply for a passport after being issued a certificate for a name change based on Ordinance No</w:t>
      </w:r>
      <w:r w:rsidR="00470D4B">
        <w:rPr>
          <w:lang w:val="en-US"/>
        </w:rPr>
        <w:t>.</w:t>
      </w:r>
      <w:r w:rsidR="00731280">
        <w:rPr>
          <w:lang w:val="en-US"/>
        </w:rPr>
        <w:t xml:space="preserve"> 915, but he submits that the rejection letter of 9 October 2007 did </w:t>
      </w:r>
      <w:r w:rsidR="007C21E6">
        <w:rPr>
          <w:lang w:val="en-US"/>
        </w:rPr>
        <w:t xml:space="preserve">not </w:t>
      </w:r>
      <w:r w:rsidR="00731280">
        <w:rPr>
          <w:lang w:val="en-US"/>
        </w:rPr>
        <w:t>contain any notification that he should follow such procedure.</w:t>
      </w:r>
      <w:r w:rsidR="00F55DF9">
        <w:rPr>
          <w:lang w:val="en-US"/>
        </w:rPr>
        <w:t xml:space="preserve"> On the contrary, the letter explicitly stated that the P</w:t>
      </w:r>
      <w:r w:rsidR="00F55DF9" w:rsidRPr="00107B74">
        <w:rPr>
          <w:lang w:val="en-US"/>
        </w:rPr>
        <w:t xml:space="preserve">rocedure for </w:t>
      </w:r>
      <w:r w:rsidR="00F55DF9">
        <w:rPr>
          <w:lang w:val="en-US"/>
        </w:rPr>
        <w:t>Considering A</w:t>
      </w:r>
      <w:r w:rsidR="00F55DF9" w:rsidRPr="00107B74">
        <w:rPr>
          <w:lang w:val="en-US"/>
        </w:rPr>
        <w:t xml:space="preserve">pplications for </w:t>
      </w:r>
      <w:r w:rsidR="00F55DF9">
        <w:rPr>
          <w:lang w:val="en-US"/>
        </w:rPr>
        <w:t>C</w:t>
      </w:r>
      <w:r w:rsidR="00F55DF9" w:rsidRPr="00107B74">
        <w:rPr>
          <w:lang w:val="en-US"/>
        </w:rPr>
        <w:t xml:space="preserve">hange of </w:t>
      </w:r>
      <w:r w:rsidR="00F55DF9">
        <w:rPr>
          <w:lang w:val="en-US"/>
        </w:rPr>
        <w:t>N</w:t>
      </w:r>
      <w:r w:rsidR="00F55DF9" w:rsidRPr="00107B74">
        <w:rPr>
          <w:lang w:val="en-US"/>
        </w:rPr>
        <w:t>ame</w:t>
      </w:r>
      <w:r w:rsidR="00F55DF9">
        <w:rPr>
          <w:lang w:val="en-US"/>
        </w:rPr>
        <w:t xml:space="preserve"> of a Natural Person did not foresee the registration of the change of name and pat</w:t>
      </w:r>
      <w:r w:rsidR="00470D4B">
        <w:rPr>
          <w:lang w:val="en-US"/>
        </w:rPr>
        <w:t>r</w:t>
      </w:r>
      <w:r w:rsidR="00F55DF9">
        <w:rPr>
          <w:lang w:val="en-US"/>
        </w:rPr>
        <w:t>onym</w:t>
      </w:r>
      <w:r w:rsidR="00470D4B">
        <w:rPr>
          <w:lang w:val="en-US"/>
        </w:rPr>
        <w:t>ic</w:t>
      </w:r>
      <w:r w:rsidR="00F55DF9">
        <w:rPr>
          <w:lang w:val="en-US"/>
        </w:rPr>
        <w:t xml:space="preserve"> with indication of particular transcription. Despite that, on 27 March 2009, wishing to settle the dispute</w:t>
      </w:r>
      <w:r w:rsidR="007C21E6">
        <w:rPr>
          <w:lang w:val="en-US"/>
        </w:rPr>
        <w:t>,</w:t>
      </w:r>
      <w:r w:rsidR="00F55DF9">
        <w:rPr>
          <w:lang w:val="en-US"/>
        </w:rPr>
        <w:t xml:space="preserve"> the author filed </w:t>
      </w:r>
      <w:r w:rsidR="00470D4B">
        <w:rPr>
          <w:lang w:val="en-US"/>
        </w:rPr>
        <w:t xml:space="preserve">with </w:t>
      </w:r>
      <w:r w:rsidR="00F55DF9">
        <w:rPr>
          <w:lang w:val="en-US"/>
        </w:rPr>
        <w:t xml:space="preserve">the </w:t>
      </w:r>
      <w:r w:rsidR="00F55DF9" w:rsidRPr="00341EE5">
        <w:rPr>
          <w:lang w:val="en-US"/>
        </w:rPr>
        <w:t>Civil Status Registration Department</w:t>
      </w:r>
      <w:r w:rsidR="00F55DF9" w:rsidRPr="00F55DF9">
        <w:rPr>
          <w:lang w:val="en-US"/>
        </w:rPr>
        <w:t xml:space="preserve"> </w:t>
      </w:r>
      <w:r w:rsidR="00F55DF9">
        <w:rPr>
          <w:lang w:val="en-US"/>
        </w:rPr>
        <w:t>a second request to amend/restore his original names</w:t>
      </w:r>
      <w:r w:rsidR="00D62170">
        <w:rPr>
          <w:lang w:val="en-US"/>
        </w:rPr>
        <w:t xml:space="preserve"> in his identity documents</w:t>
      </w:r>
      <w:r w:rsidR="00F55DF9">
        <w:rPr>
          <w:lang w:val="en-US"/>
        </w:rPr>
        <w:t xml:space="preserve">, accompanied with the certified translation of his birth certificate, in accordance with the State party’s submission of 10 February 2009. The above request was once again rejected on 10 April 2009. He further submits that the domestic legislation of the State party does not appear to foresee a procedure suitable to remedy </w:t>
      </w:r>
      <w:r w:rsidR="00D62170">
        <w:rPr>
          <w:lang w:val="en-US"/>
        </w:rPr>
        <w:t xml:space="preserve">his </w:t>
      </w:r>
      <w:r w:rsidR="00F55DF9">
        <w:rPr>
          <w:lang w:val="en-US"/>
        </w:rPr>
        <w:t xml:space="preserve">situation, because all procedures </w:t>
      </w:r>
      <w:r w:rsidR="00051DA9">
        <w:rPr>
          <w:lang w:val="en-US"/>
        </w:rPr>
        <w:t xml:space="preserve">are oriented towards correcting or amending an individual’s birth certificate, but in his case the latter is the only document where his names are transcribed correctly. He submits that of the final decisions of all </w:t>
      </w:r>
      <w:r w:rsidR="00470D4B">
        <w:rPr>
          <w:lang w:val="en-US"/>
        </w:rPr>
        <w:t xml:space="preserve">the </w:t>
      </w:r>
      <w:r w:rsidR="00051DA9">
        <w:rPr>
          <w:lang w:val="en-US"/>
        </w:rPr>
        <w:t>courts</w:t>
      </w:r>
      <w:r w:rsidR="00F33C07">
        <w:rPr>
          <w:lang w:val="en-US"/>
        </w:rPr>
        <w:t xml:space="preserve"> </w:t>
      </w:r>
      <w:r w:rsidR="00470D4B">
        <w:rPr>
          <w:lang w:val="en-US"/>
        </w:rPr>
        <w:t xml:space="preserve">that </w:t>
      </w:r>
      <w:r w:rsidR="00051DA9">
        <w:rPr>
          <w:lang w:val="en-US"/>
        </w:rPr>
        <w:t>reviewed his complain</w:t>
      </w:r>
      <w:r w:rsidR="00470D4B">
        <w:rPr>
          <w:lang w:val="en-US"/>
        </w:rPr>
        <w:t>t</w:t>
      </w:r>
      <w:r w:rsidR="00051DA9">
        <w:rPr>
          <w:lang w:val="en-US"/>
        </w:rPr>
        <w:t xml:space="preserve">s and appeals, </w:t>
      </w:r>
      <w:r w:rsidR="00470D4B">
        <w:rPr>
          <w:lang w:val="en-US"/>
        </w:rPr>
        <w:t xml:space="preserve">none </w:t>
      </w:r>
      <w:r w:rsidR="00051DA9">
        <w:rPr>
          <w:lang w:val="en-US"/>
        </w:rPr>
        <w:t xml:space="preserve">mentioned a procedure that the author could follow to correct his name and </w:t>
      </w:r>
      <w:r w:rsidR="00001FC1">
        <w:rPr>
          <w:lang w:val="en-US"/>
        </w:rPr>
        <w:t>patronymic</w:t>
      </w:r>
      <w:r w:rsidR="00051DA9">
        <w:rPr>
          <w:lang w:val="en-US"/>
        </w:rPr>
        <w:t xml:space="preserve"> in his identity documents.</w:t>
      </w:r>
    </w:p>
    <w:p w:rsidR="00D068BA" w:rsidRPr="00D068BA" w:rsidRDefault="00BA76A7" w:rsidP="00BA76A7">
      <w:pPr>
        <w:pStyle w:val="H23G"/>
        <w:rPr>
          <w:lang w:val="en-US"/>
        </w:rPr>
      </w:pPr>
      <w:r>
        <w:rPr>
          <w:lang w:val="en-US"/>
        </w:rPr>
        <w:tab/>
      </w:r>
      <w:r>
        <w:rPr>
          <w:lang w:val="en-US"/>
        </w:rPr>
        <w:tab/>
      </w:r>
      <w:r w:rsidR="00D068BA" w:rsidRPr="00D068BA">
        <w:rPr>
          <w:lang w:val="en-US"/>
        </w:rPr>
        <w:t>Issues and proceedings before the Committee</w:t>
      </w:r>
    </w:p>
    <w:p w:rsidR="00D068BA" w:rsidRPr="00D068BA" w:rsidRDefault="00BA76A7" w:rsidP="00BA76A7">
      <w:pPr>
        <w:pStyle w:val="H4G"/>
        <w:rPr>
          <w:lang w:val="en-US"/>
        </w:rPr>
      </w:pPr>
      <w:r>
        <w:rPr>
          <w:lang w:val="en-US"/>
        </w:rPr>
        <w:tab/>
      </w:r>
      <w:r>
        <w:rPr>
          <w:lang w:val="en-US"/>
        </w:rPr>
        <w:tab/>
      </w:r>
      <w:r w:rsidR="00D068BA" w:rsidRPr="00D068BA">
        <w:rPr>
          <w:lang w:val="en-US"/>
        </w:rPr>
        <w:t>Consideration of admissibility</w:t>
      </w:r>
    </w:p>
    <w:p w:rsidR="00D068BA" w:rsidRPr="00D068BA" w:rsidRDefault="00DA49CF" w:rsidP="00966A0B">
      <w:pPr>
        <w:pStyle w:val="SingleTxtG"/>
        <w:spacing w:line="240" w:lineRule="auto"/>
        <w:rPr>
          <w:lang w:val="en-US"/>
        </w:rPr>
      </w:pPr>
      <w:r>
        <w:rPr>
          <w:lang w:val="en-US"/>
        </w:rPr>
        <w:t>6</w:t>
      </w:r>
      <w:r w:rsidR="00D068BA" w:rsidRPr="00D068BA">
        <w:rPr>
          <w:lang w:val="en-US"/>
        </w:rPr>
        <w:t>.1</w:t>
      </w:r>
      <w:r w:rsidR="00D068BA" w:rsidRPr="00D068BA">
        <w:rPr>
          <w:lang w:val="en-US"/>
        </w:rPr>
        <w:tab/>
        <w:t>Before considering any claims contained in a communication, the Human Rights Committee must, in accordance with rule 93 of its rules of procedure, decide whether or not it is admissible under the Optional Protocol to the Covenant.</w:t>
      </w:r>
    </w:p>
    <w:p w:rsidR="00D068BA" w:rsidRDefault="00DA49CF" w:rsidP="00966A0B">
      <w:pPr>
        <w:pStyle w:val="SingleTxtG"/>
        <w:spacing w:line="240" w:lineRule="auto"/>
      </w:pPr>
      <w:r>
        <w:rPr>
          <w:lang w:val="en-US"/>
        </w:rPr>
        <w:t>6</w:t>
      </w:r>
      <w:r w:rsidR="00D068BA" w:rsidRPr="00D068BA">
        <w:rPr>
          <w:lang w:val="en-US"/>
        </w:rPr>
        <w:t>.2</w:t>
      </w:r>
      <w:r w:rsidR="00D068BA" w:rsidRPr="00D068BA">
        <w:rPr>
          <w:lang w:val="en-US"/>
        </w:rPr>
        <w:tab/>
      </w:r>
      <w:r w:rsidR="00D068BA" w:rsidRPr="00D068BA">
        <w:t>The Committee has ascertained, as required under article 5, paragraph 2</w:t>
      </w:r>
      <w:r w:rsidR="001012CF">
        <w:t> </w:t>
      </w:r>
      <w:r w:rsidR="00D068BA" w:rsidRPr="00D068BA">
        <w:t xml:space="preserve">(a), of the Optional Protocol, that the same matter is not being examined under another procedure of international investigation or settlement. </w:t>
      </w:r>
    </w:p>
    <w:p w:rsidR="0051697B" w:rsidRDefault="006B2787" w:rsidP="0051697B">
      <w:pPr>
        <w:pStyle w:val="SingleTxtG"/>
        <w:spacing w:line="240" w:lineRule="auto"/>
        <w:rPr>
          <w:lang w:val="en-US"/>
        </w:rPr>
      </w:pPr>
      <w:r>
        <w:t>6.3</w:t>
      </w:r>
      <w:r>
        <w:tab/>
      </w:r>
      <w:r w:rsidRPr="006B2787">
        <w:t>The Committee further notes the State party</w:t>
      </w:r>
      <w:r w:rsidR="0051697B">
        <w:t xml:space="preserve">’s submission that </w:t>
      </w:r>
      <w:r w:rsidR="0051697B">
        <w:rPr>
          <w:lang w:val="en-US"/>
        </w:rPr>
        <w:t xml:space="preserve">the author could have filed a second request for </w:t>
      </w:r>
      <w:r w:rsidR="00BA76A7">
        <w:rPr>
          <w:lang w:val="en-US"/>
        </w:rPr>
        <w:t xml:space="preserve">the </w:t>
      </w:r>
      <w:r w:rsidR="0051697B">
        <w:rPr>
          <w:lang w:val="en-US"/>
        </w:rPr>
        <w:t xml:space="preserve">name change </w:t>
      </w:r>
      <w:r w:rsidR="00BA76A7">
        <w:rPr>
          <w:lang w:val="en-US"/>
        </w:rPr>
        <w:t>with</w:t>
      </w:r>
      <w:r w:rsidR="0051697B">
        <w:rPr>
          <w:lang w:val="en-US"/>
        </w:rPr>
        <w:t xml:space="preserve"> the </w:t>
      </w:r>
      <w:r w:rsidR="0051697B" w:rsidRPr="00341EE5">
        <w:rPr>
          <w:lang w:val="en-US"/>
        </w:rPr>
        <w:t>Civil Status Registration Department</w:t>
      </w:r>
      <w:r w:rsidR="0051697B">
        <w:rPr>
          <w:lang w:val="en-US"/>
        </w:rPr>
        <w:t xml:space="preserve"> and applied for a passport after being issued a certificate for a name change, based on Ordinance No</w:t>
      </w:r>
      <w:r w:rsidR="00BA76A7">
        <w:rPr>
          <w:lang w:val="en-US"/>
        </w:rPr>
        <w:t>.</w:t>
      </w:r>
      <w:r w:rsidR="0051697B">
        <w:rPr>
          <w:lang w:val="en-US"/>
        </w:rPr>
        <w:t xml:space="preserve"> 915. The Committee, however, observes that the author attempted to use the above procedure in order to restore his original names, by filing on 27 March 2009</w:t>
      </w:r>
      <w:r w:rsidR="0051697B" w:rsidRPr="0051697B">
        <w:rPr>
          <w:lang w:val="en-US"/>
        </w:rPr>
        <w:t xml:space="preserve"> </w:t>
      </w:r>
      <w:r w:rsidR="0051697B">
        <w:rPr>
          <w:lang w:val="en-US"/>
        </w:rPr>
        <w:t xml:space="preserve">a second request to the </w:t>
      </w:r>
      <w:r w:rsidR="0051697B" w:rsidRPr="00341EE5">
        <w:rPr>
          <w:lang w:val="en-US"/>
        </w:rPr>
        <w:t>Civil Status Registration Department</w:t>
      </w:r>
      <w:r w:rsidR="0051697B" w:rsidRPr="00F55DF9">
        <w:rPr>
          <w:lang w:val="en-US"/>
        </w:rPr>
        <w:t xml:space="preserve"> </w:t>
      </w:r>
      <w:r w:rsidR="0051697B">
        <w:rPr>
          <w:lang w:val="en-US"/>
        </w:rPr>
        <w:t xml:space="preserve">and that the above request was once </w:t>
      </w:r>
      <w:r w:rsidR="0051697B">
        <w:rPr>
          <w:lang w:val="en-US"/>
        </w:rPr>
        <w:lastRenderedPageBreak/>
        <w:t xml:space="preserve">again rejected on 10 April 2009. The Committee accordingly finds that the remedy suggested by the State party </w:t>
      </w:r>
      <w:r w:rsidR="0051697B" w:rsidRPr="0051697B">
        <w:t xml:space="preserve">was not an adequate mechanism for dealing with </w:t>
      </w:r>
      <w:r w:rsidR="0051697B">
        <w:t>the author’</w:t>
      </w:r>
      <w:r w:rsidR="00080DB6">
        <w:t>s</w:t>
      </w:r>
      <w:r w:rsidR="0051697B">
        <w:t xml:space="preserve"> </w:t>
      </w:r>
      <w:r w:rsidR="0051697B" w:rsidRPr="0051697B">
        <w:t>allegations</w:t>
      </w:r>
      <w:r w:rsidR="0051697B">
        <w:t xml:space="preserve"> and concludes</w:t>
      </w:r>
      <w:r w:rsidR="0051697B" w:rsidRPr="0051697B">
        <w:t xml:space="preserve"> that </w:t>
      </w:r>
      <w:r w:rsidR="0051697B">
        <w:t xml:space="preserve">the </w:t>
      </w:r>
      <w:r w:rsidR="0051697B" w:rsidRPr="0051697B">
        <w:t>domestic remedies had been exhausted.</w:t>
      </w:r>
    </w:p>
    <w:p w:rsidR="006B2787" w:rsidRDefault="0051697B" w:rsidP="00966A0B">
      <w:pPr>
        <w:pStyle w:val="SingleTxtG"/>
        <w:spacing w:line="240" w:lineRule="auto"/>
      </w:pPr>
      <w:r>
        <w:t>6.4</w:t>
      </w:r>
      <w:r>
        <w:tab/>
        <w:t>The Committee considers that the author’</w:t>
      </w:r>
      <w:r w:rsidR="00080DB6">
        <w:t>s</w:t>
      </w:r>
      <w:r>
        <w:t xml:space="preserve"> claims under articles 17, 26 and 27 of the Covenant are sufficiently substantiated, for purposes of admissibility, and proceeds to their examination on the merits</w:t>
      </w:r>
      <w:r w:rsidR="00F00D2A">
        <w:t>.</w:t>
      </w:r>
    </w:p>
    <w:p w:rsidR="000B1956" w:rsidRPr="000B1956" w:rsidRDefault="00BA76A7" w:rsidP="00BA76A7">
      <w:pPr>
        <w:pStyle w:val="H23G"/>
      </w:pPr>
      <w:r>
        <w:tab/>
      </w:r>
      <w:r>
        <w:tab/>
      </w:r>
      <w:r w:rsidR="000B1956" w:rsidRPr="000B1956">
        <w:t>Consideration of the merits</w:t>
      </w:r>
    </w:p>
    <w:p w:rsidR="005335A9" w:rsidRDefault="00DA49CF" w:rsidP="00966A0B">
      <w:pPr>
        <w:pStyle w:val="SingleTxtG"/>
        <w:spacing w:line="240" w:lineRule="auto"/>
      </w:pPr>
      <w:r>
        <w:t>7</w:t>
      </w:r>
      <w:r w:rsidR="000B1956" w:rsidRPr="000B1956">
        <w:t>.1</w:t>
      </w:r>
      <w:r w:rsidR="000B1956" w:rsidRPr="000B1956">
        <w:tab/>
      </w:r>
      <w:r w:rsidR="005335A9" w:rsidRPr="005335A9">
        <w:t>The Human Rights Committee has considered the present communication in the light of all the information made available to it, as provided under article 5, paragr</w:t>
      </w:r>
      <w:r w:rsidR="005335A9">
        <w:t>aph 1, of the Optional Protocol.</w:t>
      </w:r>
    </w:p>
    <w:p w:rsidR="00CA656A" w:rsidRDefault="005335A9" w:rsidP="00966A0B">
      <w:pPr>
        <w:pStyle w:val="SingleTxtG"/>
        <w:spacing w:line="240" w:lineRule="auto"/>
      </w:pPr>
      <w:r>
        <w:t>7.2</w:t>
      </w:r>
      <w:r>
        <w:tab/>
      </w:r>
      <w:r w:rsidRPr="005335A9">
        <w:t>Regarding the alleged violation of article 17, the Committee has taken note of</w:t>
      </w:r>
      <w:r w:rsidR="00652CED">
        <w:t xml:space="preserve"> the author</w:t>
      </w:r>
      <w:r w:rsidR="00F00D2A">
        <w:t>’</w:t>
      </w:r>
      <w:r w:rsidR="00652CED">
        <w:t>s argument that the</w:t>
      </w:r>
      <w:r w:rsidRPr="005335A9">
        <w:t xml:space="preserve"> imposi</w:t>
      </w:r>
      <w:r w:rsidR="00652CED">
        <w:t>tion of a Ukrainian</w:t>
      </w:r>
      <w:r w:rsidRPr="005335A9">
        <w:t xml:space="preserve"> spelling for his </w:t>
      </w:r>
      <w:r w:rsidR="009848CA">
        <w:t xml:space="preserve">first </w:t>
      </w:r>
      <w:r w:rsidRPr="005335A9">
        <w:t>name</w:t>
      </w:r>
      <w:r w:rsidR="009848CA">
        <w:t xml:space="preserve"> and </w:t>
      </w:r>
      <w:r w:rsidR="00001FC1">
        <w:t>patronymic</w:t>
      </w:r>
      <w:r w:rsidRPr="005335A9">
        <w:t xml:space="preserve"> in </w:t>
      </w:r>
      <w:r w:rsidR="00652CED">
        <w:t>his identity documents</w:t>
      </w:r>
      <w:r w:rsidRPr="005335A9">
        <w:t xml:space="preserve"> resulted in </w:t>
      </w:r>
      <w:r w:rsidR="00652CED">
        <w:t>him being subjected to frequent mockery and gen</w:t>
      </w:r>
      <w:r w:rsidRPr="005335A9">
        <w:t xml:space="preserve">erated a feeling of deprivation and arbitrariness, since </w:t>
      </w:r>
      <w:r w:rsidR="00652CED">
        <w:t xml:space="preserve">it sounded ridiculous to Russian speakers. </w:t>
      </w:r>
      <w:r w:rsidRPr="005335A9">
        <w:t>The Committee recalls that the notion of privacy refers to the sphere of a person</w:t>
      </w:r>
      <w:r w:rsidR="00F00D2A">
        <w:t>’</w:t>
      </w:r>
      <w:r w:rsidRPr="005335A9">
        <w:t xml:space="preserve">s life in which he or she can freely express his or her identity, be it by entering into relationships with others or alone. The Committee further </w:t>
      </w:r>
      <w:r w:rsidR="007C21E6">
        <w:t xml:space="preserve">recalls </w:t>
      </w:r>
      <w:r w:rsidRPr="005335A9">
        <w:t>that a person</w:t>
      </w:r>
      <w:r w:rsidR="00F00D2A">
        <w:t>’</w:t>
      </w:r>
      <w:r w:rsidRPr="005335A9">
        <w:t>s surname constitutes an important component of one</w:t>
      </w:r>
      <w:r w:rsidR="00F00D2A">
        <w:t>’</w:t>
      </w:r>
      <w:r w:rsidRPr="005335A9">
        <w:t>s identity, and that the protection against arbitrary or unlawful interference with one</w:t>
      </w:r>
      <w:r w:rsidR="00F00D2A">
        <w:t>’</w:t>
      </w:r>
      <w:r w:rsidRPr="005335A9">
        <w:t>s privacy includes the protection against arbitrary or unlawful interference with the right to choose and change one</w:t>
      </w:r>
      <w:r w:rsidR="00F00D2A">
        <w:t>’</w:t>
      </w:r>
      <w:r w:rsidRPr="005335A9">
        <w:t>s own name</w:t>
      </w:r>
      <w:r w:rsidR="00383283">
        <w:t>.</w:t>
      </w:r>
      <w:r>
        <w:rPr>
          <w:rStyle w:val="FootnoteReference"/>
        </w:rPr>
        <w:footnoteReference w:id="8"/>
      </w:r>
      <w:r w:rsidRPr="005335A9">
        <w:t xml:space="preserve"> </w:t>
      </w:r>
      <w:r w:rsidR="00FB2AB4">
        <w:t xml:space="preserve">The Committee notes the State party’s submission that in Ukraine </w:t>
      </w:r>
      <w:r w:rsidR="00FB2AB4">
        <w:rPr>
          <w:lang w:val="en-US"/>
        </w:rPr>
        <w:t xml:space="preserve">names and </w:t>
      </w:r>
      <w:r w:rsidR="00001FC1">
        <w:rPr>
          <w:lang w:val="en-US"/>
        </w:rPr>
        <w:t>patronymic</w:t>
      </w:r>
      <w:r w:rsidR="00FB2AB4">
        <w:rPr>
          <w:lang w:val="en-US"/>
        </w:rPr>
        <w:t>s when translated from one language into another are not transcribed, but are “replaced by the corresponding, historically established, equivalent” and that the</w:t>
      </w:r>
      <w:r w:rsidRPr="005335A9">
        <w:t xml:space="preserve"> author</w:t>
      </w:r>
      <w:r w:rsidR="00383283">
        <w:t>’</w:t>
      </w:r>
      <w:r w:rsidRPr="005335A9">
        <w:t xml:space="preserve">s name was modified so as to comply with the </w:t>
      </w:r>
      <w:r w:rsidR="00652CED">
        <w:t>Ukrainian naming tradition</w:t>
      </w:r>
      <w:r w:rsidR="00FB2AB4">
        <w:t>.</w:t>
      </w:r>
    </w:p>
    <w:p w:rsidR="00FB2AB4" w:rsidRDefault="00CA656A" w:rsidP="00966A0B">
      <w:pPr>
        <w:pStyle w:val="SingleTxtG"/>
        <w:spacing w:line="240" w:lineRule="auto"/>
      </w:pPr>
      <w:r>
        <w:t>7.3</w:t>
      </w:r>
      <w:r>
        <w:tab/>
      </w:r>
      <w:r w:rsidR="00FB2AB4">
        <w:t xml:space="preserve">The Committee </w:t>
      </w:r>
      <w:r>
        <w:t xml:space="preserve">further </w:t>
      </w:r>
      <w:r w:rsidR="00FB2AB4">
        <w:t>observes that the legal basis for th</w:t>
      </w:r>
      <w:r>
        <w:t>e modification of the author</w:t>
      </w:r>
      <w:r w:rsidR="00383283">
        <w:t>’</w:t>
      </w:r>
      <w:r>
        <w:t>s name</w:t>
      </w:r>
      <w:r w:rsidR="009848CA">
        <w:t xml:space="preserve"> and </w:t>
      </w:r>
      <w:r w:rsidR="00001FC1">
        <w:t>patronymic</w:t>
      </w:r>
      <w:r w:rsidR="00FB2AB4">
        <w:t xml:space="preserve"> remains unclear and</w:t>
      </w:r>
      <w:r w:rsidR="00001FC1">
        <w:t xml:space="preserve"> that the State party has not disputed the author’s claim that such modification actually violates the domestic laws of the State</w:t>
      </w:r>
      <w:r w:rsidR="009848CA">
        <w:t>,</w:t>
      </w:r>
      <w:r w:rsidR="00001FC1">
        <w:t xml:space="preserve"> and,</w:t>
      </w:r>
      <w:r w:rsidR="00FB2AB4">
        <w:t xml:space="preserve"> therefore</w:t>
      </w:r>
      <w:r w:rsidR="009848CA">
        <w:t>,</w:t>
      </w:r>
      <w:r w:rsidR="00FB2AB4">
        <w:t xml:space="preserve"> find</w:t>
      </w:r>
      <w:r w:rsidR="009848CA">
        <w:t>s</w:t>
      </w:r>
      <w:r w:rsidR="00FB2AB4">
        <w:t xml:space="preserve"> that the in</w:t>
      </w:r>
      <w:r w:rsidR="005335A9" w:rsidRPr="005335A9">
        <w:t>terference at stake</w:t>
      </w:r>
      <w:r w:rsidR="00D50C8F">
        <w:t xml:space="preserve"> is</w:t>
      </w:r>
      <w:r w:rsidR="005335A9" w:rsidRPr="005335A9">
        <w:t xml:space="preserve"> unlawful</w:t>
      </w:r>
      <w:r w:rsidR="007C21E6" w:rsidRPr="005335A9">
        <w:t>.</w:t>
      </w:r>
      <w:r w:rsidR="007C21E6">
        <w:t xml:space="preserve"> </w:t>
      </w:r>
      <w:r w:rsidR="00D50C8F">
        <w:t>The Committee</w:t>
      </w:r>
      <w:r w:rsidR="00FB2AB4">
        <w:t xml:space="preserve"> </w:t>
      </w:r>
      <w:r w:rsidR="007C21E6">
        <w:t>tak</w:t>
      </w:r>
      <w:r w:rsidR="00D50C8F">
        <w:t>es</w:t>
      </w:r>
      <w:r w:rsidR="007C21E6">
        <w:t xml:space="preserve"> account of </w:t>
      </w:r>
      <w:r w:rsidR="00D50C8F">
        <w:t>its</w:t>
      </w:r>
      <w:r w:rsidR="00576566">
        <w:t xml:space="preserve"> </w:t>
      </w:r>
      <w:r w:rsidR="00FB2AB4" w:rsidRPr="005335A9">
        <w:t>previous jurisprudence,</w:t>
      </w:r>
      <w:r w:rsidR="007C21E6">
        <w:rPr>
          <w:rStyle w:val="FootnoteReference"/>
        </w:rPr>
        <w:footnoteReference w:id="9"/>
      </w:r>
      <w:r w:rsidR="00FB2AB4" w:rsidRPr="005335A9">
        <w:t xml:space="preserve"> where it held that the protection offered by article 17 encompassed the right to </w:t>
      </w:r>
      <w:r w:rsidR="00FB2AB4" w:rsidRPr="00383283">
        <w:rPr>
          <w:iCs/>
        </w:rPr>
        <w:t>choose and change</w:t>
      </w:r>
      <w:r w:rsidR="00FB2AB4" w:rsidRPr="005335A9">
        <w:rPr>
          <w:i/>
          <w:iCs/>
        </w:rPr>
        <w:t xml:space="preserve"> </w:t>
      </w:r>
      <w:r w:rsidR="00FB2AB4" w:rsidRPr="005335A9">
        <w:t>one</w:t>
      </w:r>
      <w:r w:rsidR="00383283">
        <w:t>’</w:t>
      </w:r>
      <w:r w:rsidR="00FB2AB4" w:rsidRPr="005335A9">
        <w:t>s own name</w:t>
      </w:r>
      <w:r w:rsidR="00D50C8F">
        <w:t xml:space="preserve"> and</w:t>
      </w:r>
      <w:r w:rsidR="00FB2AB4" w:rsidRPr="005335A9">
        <w:t xml:space="preserve"> consider</w:t>
      </w:r>
      <w:r w:rsidR="00D50C8F">
        <w:t>ed</w:t>
      </w:r>
      <w:r w:rsidR="00FB2AB4" w:rsidRPr="005335A9">
        <w:t xml:space="preserve"> that th</w:t>
      </w:r>
      <w:r w:rsidR="00383283">
        <w:t>at</w:t>
      </w:r>
      <w:r w:rsidR="00FB2AB4" w:rsidRPr="005335A9">
        <w:t xml:space="preserve"> protection </w:t>
      </w:r>
      <w:r w:rsidR="00FB2AB4" w:rsidRPr="00383283">
        <w:rPr>
          <w:iCs/>
        </w:rPr>
        <w:t xml:space="preserve">a fortiori </w:t>
      </w:r>
      <w:r w:rsidR="00FB2AB4" w:rsidRPr="005335A9">
        <w:t>protect</w:t>
      </w:r>
      <w:r w:rsidR="00383283">
        <w:t>ed</w:t>
      </w:r>
      <w:r w:rsidR="00FB2AB4" w:rsidRPr="005335A9">
        <w:t xml:space="preserve"> persons from </w:t>
      </w:r>
      <w:r w:rsidR="007C21E6">
        <w:t xml:space="preserve">having a name change being imposed upon them </w:t>
      </w:r>
      <w:r w:rsidR="00FB2AB4" w:rsidRPr="005335A9">
        <w:t xml:space="preserve">by the State party. </w:t>
      </w:r>
      <w:r w:rsidR="00001FC1">
        <w:t>In this regard the Committee further observes that in the present case the State party went beyond trans</w:t>
      </w:r>
      <w:r w:rsidR="00CC0A9A">
        <w:t>cribing</w:t>
      </w:r>
      <w:r w:rsidR="00001FC1">
        <w:t xml:space="preserve"> the name </w:t>
      </w:r>
      <w:r w:rsidR="00567A2F">
        <w:t xml:space="preserve">and </w:t>
      </w:r>
      <w:r w:rsidR="00CC0A9A">
        <w:t xml:space="preserve">patronymic of the author </w:t>
      </w:r>
      <w:r w:rsidR="00001FC1">
        <w:t xml:space="preserve">and actually changed </w:t>
      </w:r>
      <w:r w:rsidR="00CC0A9A">
        <w:t>them</w:t>
      </w:r>
      <w:r w:rsidR="00001FC1">
        <w:t xml:space="preserve"> on the basis </w:t>
      </w:r>
      <w:r w:rsidR="00411720">
        <w:t xml:space="preserve">of the rules contained in </w:t>
      </w:r>
      <w:r w:rsidR="00567A2F">
        <w:t>a</w:t>
      </w:r>
      <w:r w:rsidR="00411720">
        <w:t xml:space="preserve"> Ukrainian grammar book. </w:t>
      </w:r>
      <w:r w:rsidR="00FB2AB4" w:rsidRPr="005335A9">
        <w:t>The Committee therefore considers that the State party</w:t>
      </w:r>
      <w:r w:rsidR="00383283">
        <w:t>’</w:t>
      </w:r>
      <w:r w:rsidR="00FB2AB4" w:rsidRPr="005335A9">
        <w:t>s unilateral modification of the author</w:t>
      </w:r>
      <w:r w:rsidR="00383283">
        <w:t>’</w:t>
      </w:r>
      <w:r w:rsidR="00FB2AB4" w:rsidRPr="005335A9">
        <w:t xml:space="preserve">s name </w:t>
      </w:r>
      <w:r w:rsidR="009848CA">
        <w:t xml:space="preserve">and </w:t>
      </w:r>
      <w:r w:rsidR="00001FC1">
        <w:t>patronymic</w:t>
      </w:r>
      <w:r w:rsidR="009848CA">
        <w:t xml:space="preserve"> </w:t>
      </w:r>
      <w:r w:rsidR="00FB2AB4" w:rsidRPr="005335A9">
        <w:t xml:space="preserve">on official documents is not reasonable, and </w:t>
      </w:r>
      <w:r w:rsidR="00D50C8F" w:rsidRPr="005335A9">
        <w:t>amount</w:t>
      </w:r>
      <w:r w:rsidR="00D50C8F">
        <w:t>s</w:t>
      </w:r>
      <w:r w:rsidR="00D50C8F" w:rsidRPr="005335A9">
        <w:t xml:space="preserve"> </w:t>
      </w:r>
      <w:r w:rsidR="00FB2AB4" w:rsidRPr="005335A9">
        <w:t xml:space="preserve">to </w:t>
      </w:r>
      <w:r w:rsidR="00080DB6">
        <w:t>unlawful</w:t>
      </w:r>
      <w:r w:rsidR="00576566">
        <w:t xml:space="preserve"> and </w:t>
      </w:r>
      <w:r w:rsidR="00FB2AB4" w:rsidRPr="005335A9">
        <w:t>arbitrary interference with his privacy, in violation of article 17 of the Covenant.</w:t>
      </w:r>
    </w:p>
    <w:p w:rsidR="00186360" w:rsidRDefault="005335A9" w:rsidP="00186360">
      <w:pPr>
        <w:pStyle w:val="SingleTxtG"/>
      </w:pPr>
      <w:r>
        <w:t>7.</w:t>
      </w:r>
      <w:r w:rsidR="00CA656A">
        <w:t>4</w:t>
      </w:r>
      <w:r>
        <w:tab/>
      </w:r>
      <w:r w:rsidRPr="005335A9">
        <w:t>Having found a violation of article 17, with respect to the unilateral change of the author</w:t>
      </w:r>
      <w:r w:rsidR="00383283">
        <w:t>’</w:t>
      </w:r>
      <w:r w:rsidRPr="005335A9">
        <w:t>s name</w:t>
      </w:r>
      <w:r w:rsidR="009848CA">
        <w:t xml:space="preserve"> and </w:t>
      </w:r>
      <w:r w:rsidR="00001FC1">
        <w:t>patronymic</w:t>
      </w:r>
      <w:r w:rsidR="009848CA">
        <w:t xml:space="preserve"> </w:t>
      </w:r>
      <w:r w:rsidRPr="005335A9">
        <w:t xml:space="preserve">by the State party, </w:t>
      </w:r>
      <w:r w:rsidR="00186360">
        <w:rPr>
          <w:lang w:val="en-US"/>
        </w:rPr>
        <w:t xml:space="preserve">the Committee decides not to examine </w:t>
      </w:r>
      <w:r w:rsidR="00576566">
        <w:rPr>
          <w:lang w:val="en-US"/>
        </w:rPr>
        <w:t xml:space="preserve">separately </w:t>
      </w:r>
      <w:r w:rsidR="00186360">
        <w:rPr>
          <w:lang w:val="en-US"/>
        </w:rPr>
        <w:t xml:space="preserve">the </w:t>
      </w:r>
      <w:r w:rsidR="00576566">
        <w:rPr>
          <w:lang w:val="en-US"/>
        </w:rPr>
        <w:t>claims</w:t>
      </w:r>
      <w:r w:rsidR="00186360">
        <w:rPr>
          <w:lang w:val="en-US"/>
        </w:rPr>
        <w:t xml:space="preserve"> under article</w:t>
      </w:r>
      <w:r w:rsidR="00383283">
        <w:rPr>
          <w:lang w:val="en-US"/>
        </w:rPr>
        <w:t>s</w:t>
      </w:r>
      <w:r w:rsidR="00186360">
        <w:rPr>
          <w:lang w:val="en-US"/>
        </w:rPr>
        <w:t xml:space="preserve"> 26 and 27 of the Covenant.</w:t>
      </w:r>
    </w:p>
    <w:p w:rsidR="005335A9" w:rsidRDefault="00707FE1" w:rsidP="00966A0B">
      <w:pPr>
        <w:pStyle w:val="SingleTxtG"/>
        <w:spacing w:line="240" w:lineRule="auto"/>
      </w:pPr>
      <w:r>
        <w:t>8</w:t>
      </w:r>
      <w:r w:rsidR="005335A9">
        <w:t>.</w:t>
      </w:r>
      <w:r w:rsidR="005335A9">
        <w:tab/>
      </w:r>
      <w:r w:rsidR="005335A9" w:rsidRPr="005335A9">
        <w:t>The Human Rights Committee, acting under article 5, paragraph 4, of the Optional Protocol to the International Covenant on Civil and Political Rights, is of the view that the facts before it disclose a violation of article 17 of the Covenant.</w:t>
      </w:r>
    </w:p>
    <w:p w:rsidR="00E1558E" w:rsidRDefault="00707FE1" w:rsidP="00FB2AB4">
      <w:pPr>
        <w:pStyle w:val="SingleTxtG"/>
      </w:pPr>
      <w:r>
        <w:t>9</w:t>
      </w:r>
      <w:r w:rsidR="006C47D8">
        <w:t>.</w:t>
      </w:r>
      <w:r w:rsidR="006C47D8">
        <w:tab/>
      </w:r>
      <w:r w:rsidR="005335A9" w:rsidRPr="005335A9">
        <w:t xml:space="preserve">Pursuant to article 2 of the Covenant, the State party is under an obligation to </w:t>
      </w:r>
      <w:r w:rsidR="00576566">
        <w:t xml:space="preserve">provide </w:t>
      </w:r>
      <w:r w:rsidR="003F3B30" w:rsidRPr="005335A9">
        <w:t xml:space="preserve">Mr. </w:t>
      </w:r>
      <w:r w:rsidR="003F3B30">
        <w:t xml:space="preserve">Bulgakov with </w:t>
      </w:r>
      <w:r w:rsidR="00576566">
        <w:t>an effective remedy, including to</w:t>
      </w:r>
      <w:r w:rsidR="00576566">
        <w:rPr>
          <w:lang w:val="en-US"/>
        </w:rPr>
        <w:t xml:space="preserve"> </w:t>
      </w:r>
      <w:r w:rsidR="00E1558E">
        <w:rPr>
          <w:lang w:val="en-US"/>
        </w:rPr>
        <w:t xml:space="preserve">restore </w:t>
      </w:r>
      <w:r w:rsidR="00E1558E" w:rsidRPr="00341EE5">
        <w:rPr>
          <w:lang w:val="en-US"/>
        </w:rPr>
        <w:t xml:space="preserve">the original phonetic </w:t>
      </w:r>
      <w:r w:rsidR="00E1558E" w:rsidRPr="00341EE5">
        <w:rPr>
          <w:lang w:val="en-US"/>
        </w:rPr>
        <w:lastRenderedPageBreak/>
        <w:t>form</w:t>
      </w:r>
      <w:r w:rsidR="00E1558E">
        <w:rPr>
          <w:lang w:val="en-US"/>
        </w:rPr>
        <w:t xml:space="preserve"> in </w:t>
      </w:r>
      <w:r w:rsidR="00576566">
        <w:rPr>
          <w:lang w:val="en-US"/>
        </w:rPr>
        <w:t xml:space="preserve">his </w:t>
      </w:r>
      <w:r w:rsidR="00E1558E">
        <w:rPr>
          <w:lang w:val="en-US"/>
        </w:rPr>
        <w:t>identity documents</w:t>
      </w:r>
      <w:r w:rsidR="005335A9" w:rsidRPr="005335A9">
        <w:t xml:space="preserve"> and to adopt such measures as may be necessary to ensure that similar violations do not occur in the future. </w:t>
      </w:r>
    </w:p>
    <w:p w:rsidR="005335A9" w:rsidRDefault="00E1558E" w:rsidP="00FB2AB4">
      <w:pPr>
        <w:pStyle w:val="SingleTxtG"/>
      </w:pPr>
      <w:r>
        <w:t>10.</w:t>
      </w:r>
      <w: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the event that a violation is established, the Committee wishes to receive from the State party, within 180 days, information about the measures taken to give effect to the Committee’s Views. The State party is also requested </w:t>
      </w:r>
      <w:r w:rsidR="00FB2AB4" w:rsidRPr="0056210F">
        <w:t>to publish</w:t>
      </w:r>
      <w:r w:rsidR="00FB2AB4" w:rsidRPr="00AF6C3B">
        <w:t xml:space="preserve"> the </w:t>
      </w:r>
      <w:r w:rsidR="00FB2AB4">
        <w:t>present</w:t>
      </w:r>
      <w:r w:rsidR="00FB2AB4" w:rsidRPr="00AF6C3B">
        <w:t xml:space="preserve"> Views</w:t>
      </w:r>
      <w:r w:rsidR="003F3B30">
        <w:t xml:space="preserve"> and</w:t>
      </w:r>
      <w:r w:rsidR="00FB2AB4" w:rsidRPr="00AF6C3B">
        <w:t xml:space="preserve"> </w:t>
      </w:r>
      <w:r w:rsidR="00383283">
        <w:t xml:space="preserve">have them </w:t>
      </w:r>
      <w:r w:rsidR="00FB2AB4">
        <w:t>translated into Ukrainian and</w:t>
      </w:r>
      <w:r w:rsidR="00FB2AB4" w:rsidRPr="00AF6C3B">
        <w:t xml:space="preserve"> </w:t>
      </w:r>
      <w:r w:rsidR="00FB2AB4">
        <w:t xml:space="preserve">widely disseminated in Ukrainian and Russian in the </w:t>
      </w:r>
      <w:r w:rsidR="00FB2AB4" w:rsidRPr="00AF6C3B">
        <w:t>State party.</w:t>
      </w:r>
    </w:p>
    <w:p w:rsidR="00442A83" w:rsidRDefault="00D82EA3" w:rsidP="00966A0B">
      <w:pPr>
        <w:pStyle w:val="SingleTxtG"/>
        <w:spacing w:line="240" w:lineRule="auto"/>
      </w:pPr>
      <w:r w:rsidRPr="00D82EA3">
        <w:t>[Adopted in English, French and Spanish, the English text being the original version. Subsequently to be issued also in Arabic, Chinese and Russian as part of the Committee’s annual report to the General Assembly.]</w:t>
      </w:r>
    </w:p>
    <w:p w:rsidR="00F74B01" w:rsidRPr="00F74B01" w:rsidRDefault="00F74B01" w:rsidP="00966A0B">
      <w:pPr>
        <w:pStyle w:val="SingleTxtG"/>
        <w:spacing w:before="240" w:after="0" w:line="240" w:lineRule="auto"/>
        <w:jc w:val="center"/>
        <w:rPr>
          <w:u w:val="single"/>
        </w:rPr>
      </w:pPr>
      <w:r>
        <w:rPr>
          <w:u w:val="single"/>
        </w:rPr>
        <w:tab/>
      </w:r>
      <w:r>
        <w:rPr>
          <w:u w:val="single"/>
        </w:rPr>
        <w:tab/>
      </w:r>
      <w:r>
        <w:rPr>
          <w:u w:val="single"/>
        </w:rPr>
        <w:tab/>
      </w:r>
    </w:p>
    <w:sectPr w:rsidR="00F74B01" w:rsidRPr="00F74B01" w:rsidSect="00367ED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FC" w:rsidRDefault="00B80AFC"/>
  </w:endnote>
  <w:endnote w:type="continuationSeparator" w:id="0">
    <w:p w:rsidR="00B80AFC" w:rsidRDefault="00B80AFC"/>
  </w:endnote>
  <w:endnote w:type="continuationNotice" w:id="1">
    <w:p w:rsidR="00B80AFC" w:rsidRDefault="00B80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9" w:rsidRPr="00367ED8" w:rsidRDefault="00E13C49" w:rsidP="00367ED8">
    <w:pPr>
      <w:pStyle w:val="Footer"/>
      <w:tabs>
        <w:tab w:val="right" w:pos="9638"/>
      </w:tabs>
    </w:pPr>
    <w:r w:rsidRPr="00367ED8">
      <w:rPr>
        <w:b/>
        <w:sz w:val="18"/>
      </w:rPr>
      <w:fldChar w:fldCharType="begin"/>
    </w:r>
    <w:r w:rsidRPr="00367ED8">
      <w:rPr>
        <w:b/>
        <w:sz w:val="18"/>
      </w:rPr>
      <w:instrText xml:space="preserve"> PAGE  \* MERGEFORMAT </w:instrText>
    </w:r>
    <w:r w:rsidRPr="00367ED8">
      <w:rPr>
        <w:b/>
        <w:sz w:val="18"/>
      </w:rPr>
      <w:fldChar w:fldCharType="separate"/>
    </w:r>
    <w:r w:rsidR="00903814">
      <w:rPr>
        <w:b/>
        <w:noProof/>
        <w:sz w:val="18"/>
      </w:rPr>
      <w:t>2</w:t>
    </w:r>
    <w:r w:rsidRPr="00367ED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9" w:rsidRPr="00367ED8" w:rsidRDefault="00E13C49" w:rsidP="00367ED8">
    <w:pPr>
      <w:pStyle w:val="Footer"/>
      <w:tabs>
        <w:tab w:val="right" w:pos="9638"/>
      </w:tabs>
      <w:rPr>
        <w:b/>
        <w:sz w:val="18"/>
      </w:rPr>
    </w:pPr>
    <w:r>
      <w:tab/>
    </w:r>
    <w:r w:rsidRPr="00367ED8">
      <w:rPr>
        <w:b/>
        <w:sz w:val="18"/>
      </w:rPr>
      <w:fldChar w:fldCharType="begin"/>
    </w:r>
    <w:r w:rsidRPr="00367ED8">
      <w:rPr>
        <w:b/>
        <w:sz w:val="18"/>
      </w:rPr>
      <w:instrText xml:space="preserve"> PAGE  \* MERGEFORMAT </w:instrText>
    </w:r>
    <w:r w:rsidRPr="00367ED8">
      <w:rPr>
        <w:b/>
        <w:sz w:val="18"/>
      </w:rPr>
      <w:fldChar w:fldCharType="separate"/>
    </w:r>
    <w:r w:rsidR="00903814">
      <w:rPr>
        <w:b/>
        <w:noProof/>
        <w:sz w:val="18"/>
      </w:rPr>
      <w:t>3</w:t>
    </w:r>
    <w:r w:rsidRPr="00367E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9" w:rsidRPr="00367ED8" w:rsidRDefault="00B80AF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Description: recycle_English" style="position:absolute;margin-left:405.4pt;margin-top:-6.25pt;width:73.25pt;height:18.15pt;z-index:1;visibility:visible">
          <v:imagedata r:id="rId1" o:title="recycle_English"/>
          <w10:anchorlock/>
        </v:shape>
      </w:pict>
    </w:r>
    <w:r w:rsidR="00E13C49">
      <w:t>GE.12-48313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FC" w:rsidRPr="000B175B" w:rsidRDefault="00B80AFC" w:rsidP="000B175B">
      <w:pPr>
        <w:tabs>
          <w:tab w:val="right" w:pos="2155"/>
        </w:tabs>
        <w:spacing w:after="80"/>
        <w:ind w:left="680"/>
        <w:rPr>
          <w:u w:val="single"/>
        </w:rPr>
      </w:pPr>
      <w:r>
        <w:rPr>
          <w:u w:val="single"/>
        </w:rPr>
        <w:tab/>
      </w:r>
    </w:p>
  </w:footnote>
  <w:footnote w:type="continuationSeparator" w:id="0">
    <w:p w:rsidR="00B80AFC" w:rsidRPr="00FC68B7" w:rsidRDefault="00B80AFC" w:rsidP="00FC68B7">
      <w:pPr>
        <w:tabs>
          <w:tab w:val="left" w:pos="2155"/>
        </w:tabs>
        <w:spacing w:after="80"/>
        <w:ind w:left="680"/>
        <w:rPr>
          <w:u w:val="single"/>
        </w:rPr>
      </w:pPr>
      <w:r>
        <w:rPr>
          <w:u w:val="single"/>
        </w:rPr>
        <w:tab/>
      </w:r>
    </w:p>
  </w:footnote>
  <w:footnote w:type="continuationNotice" w:id="1">
    <w:p w:rsidR="00B80AFC" w:rsidRDefault="00B80AFC"/>
  </w:footnote>
  <w:footnote w:id="2">
    <w:p w:rsidR="00E13C49" w:rsidRDefault="00E13C49" w:rsidP="0013370A">
      <w:pPr>
        <w:pStyle w:val="FootnoteText"/>
        <w:ind w:firstLine="0"/>
        <w:jc w:val="both"/>
      </w:pPr>
      <w:r w:rsidRPr="0013370A">
        <w:rPr>
          <w:rStyle w:val="FootnoteReference"/>
        </w:rPr>
        <w:t>*</w:t>
      </w:r>
      <w:r>
        <w:t xml:space="preserve"> The following members of the Committee participated in the examination of the present communication: Mr. Yadh Ben Achour, </w:t>
      </w:r>
      <w:r>
        <w:rPr>
          <w:lang w:val="en-US"/>
        </w:rPr>
        <w:t xml:space="preserve">Ms. Christine Chanet, </w:t>
      </w:r>
      <w:r>
        <w:t xml:space="preserve">Mr. Cornelis Flinterman, Mr. Yuji Iwasawa, Mr. Walter Kälin, Ms. Zonke Zanele Majodina, Mr. Gerald L. Neuman, Mr. Michael O’Flaherty, Mr. Rafael Rivas Posada, Sir Nigel Rodley, </w:t>
      </w:r>
      <w:r>
        <w:rPr>
          <w:lang w:val="en-US"/>
        </w:rPr>
        <w:t xml:space="preserve">Mr. Fabián Omar Salvioli, Mr. Marat Sarsembayev, Mr. Krister Thelin and </w:t>
      </w:r>
      <w:r>
        <w:t>Ms. Margo Waterval.</w:t>
      </w:r>
    </w:p>
  </w:footnote>
  <w:footnote w:id="3">
    <w:p w:rsidR="00E13C49" w:rsidRPr="005E4075" w:rsidRDefault="00E13C49" w:rsidP="0013370A">
      <w:pPr>
        <w:pStyle w:val="FootnoteText"/>
        <w:ind w:firstLine="0"/>
        <w:jc w:val="both"/>
        <w:rPr>
          <w:lang w:val="en"/>
        </w:rPr>
      </w:pPr>
      <w:r w:rsidRPr="005E4075">
        <w:rPr>
          <w:rStyle w:val="FootnoteReference"/>
          <w:szCs w:val="18"/>
        </w:rPr>
        <w:footnoteRef/>
      </w:r>
      <w:r>
        <w:rPr>
          <w:lang w:val="en"/>
        </w:rPr>
        <w:t xml:space="preserve"> T</w:t>
      </w:r>
      <w:r w:rsidRPr="005E4075">
        <w:rPr>
          <w:lang w:val="en"/>
        </w:rPr>
        <w:t>wo types of passport</w:t>
      </w:r>
      <w:r>
        <w:rPr>
          <w:lang w:val="en"/>
        </w:rPr>
        <w:t>s are</w:t>
      </w:r>
      <w:r w:rsidRPr="005E4075">
        <w:rPr>
          <w:lang w:val="en"/>
        </w:rPr>
        <w:t xml:space="preserve"> issued by the Ukrainian </w:t>
      </w:r>
      <w:r>
        <w:rPr>
          <w:lang w:val="en"/>
        </w:rPr>
        <w:t>authorities,</w:t>
      </w:r>
      <w:r w:rsidRPr="005E4075">
        <w:rPr>
          <w:lang w:val="en"/>
        </w:rPr>
        <w:t xml:space="preserve"> commonly known as </w:t>
      </w:r>
      <w:r>
        <w:rPr>
          <w:lang w:val="en"/>
        </w:rPr>
        <w:t xml:space="preserve">the </w:t>
      </w:r>
      <w:hyperlink r:id="rId1" w:tooltip="Internal passport" w:history="1">
        <w:r w:rsidRPr="005E4075">
          <w:rPr>
            <w:rStyle w:val="Hyperlink"/>
            <w:szCs w:val="18"/>
            <w:lang w:val="en"/>
          </w:rPr>
          <w:t>internal passport</w:t>
        </w:r>
      </w:hyperlink>
      <w:r w:rsidRPr="005E4075">
        <w:rPr>
          <w:lang w:val="en"/>
        </w:rPr>
        <w:t xml:space="preserve"> (the main domestic identification document) and external/international passport for international travel.</w:t>
      </w:r>
    </w:p>
  </w:footnote>
  <w:footnote w:id="4">
    <w:p w:rsidR="00E13C49" w:rsidRDefault="00E13C49" w:rsidP="0013370A">
      <w:pPr>
        <w:pStyle w:val="FootnoteText"/>
        <w:ind w:firstLine="0"/>
        <w:jc w:val="both"/>
      </w:pPr>
      <w:r>
        <w:rPr>
          <w:rStyle w:val="FootnoteReference"/>
        </w:rPr>
        <w:footnoteRef/>
      </w:r>
      <w:r>
        <w:t xml:space="preserve"> Article 294 of the Ukraine Civil Code reads as follows (unofficial translation): </w:t>
      </w:r>
    </w:p>
    <w:p w:rsidR="00E13C49" w:rsidRDefault="00E13C49" w:rsidP="0013370A">
      <w:pPr>
        <w:pStyle w:val="FootnoteText"/>
        <w:ind w:firstLine="0"/>
        <w:jc w:val="both"/>
      </w:pPr>
      <w:r w:rsidRPr="00287F44">
        <w:t xml:space="preserve">Right to a Name </w:t>
      </w:r>
    </w:p>
    <w:p w:rsidR="00E13C49" w:rsidRDefault="00E13C49" w:rsidP="0013370A">
      <w:pPr>
        <w:pStyle w:val="FootnoteText"/>
        <w:ind w:firstLine="0"/>
        <w:jc w:val="both"/>
      </w:pPr>
      <w:r>
        <w:t xml:space="preserve">1. </w:t>
      </w:r>
      <w:r w:rsidRPr="00287F44">
        <w:t>A</w:t>
      </w:r>
      <w:r>
        <w:t xml:space="preserve"> natural perso</w:t>
      </w:r>
      <w:r w:rsidRPr="00287F44">
        <w:t xml:space="preserve">n has the right to a name. </w:t>
      </w:r>
    </w:p>
    <w:p w:rsidR="00E13C49" w:rsidRDefault="00E13C49" w:rsidP="0013370A">
      <w:pPr>
        <w:pStyle w:val="FootnoteText"/>
        <w:ind w:firstLine="0"/>
        <w:jc w:val="both"/>
      </w:pPr>
      <w:r>
        <w:t xml:space="preserve">2. </w:t>
      </w:r>
      <w:r w:rsidRPr="00287F44">
        <w:t>A</w:t>
      </w:r>
      <w:r>
        <w:t xml:space="preserve"> </w:t>
      </w:r>
      <w:r w:rsidRPr="00287F44">
        <w:t>n</w:t>
      </w:r>
      <w:r>
        <w:t xml:space="preserve">atural person </w:t>
      </w:r>
      <w:r w:rsidRPr="00287F44">
        <w:t>is entitled to a transcribed</w:t>
      </w:r>
      <w:r>
        <w:t xml:space="preserve"> </w:t>
      </w:r>
      <w:r w:rsidRPr="00287F44">
        <w:t xml:space="preserve">record of his </w:t>
      </w:r>
      <w:r>
        <w:t xml:space="preserve">first and last </w:t>
      </w:r>
      <w:r w:rsidRPr="00287F44">
        <w:t xml:space="preserve">name </w:t>
      </w:r>
      <w:r>
        <w:t>in accordance with his/her nati</w:t>
      </w:r>
      <w:r w:rsidRPr="00287F44">
        <w:t xml:space="preserve">onal traditions. </w:t>
      </w:r>
    </w:p>
    <w:p w:rsidR="00E13C49" w:rsidRPr="00287F44" w:rsidRDefault="00E13C49" w:rsidP="0013370A">
      <w:pPr>
        <w:pStyle w:val="FootnoteText"/>
        <w:ind w:firstLine="0"/>
        <w:jc w:val="both"/>
      </w:pPr>
      <w:r>
        <w:t xml:space="preserve">3. </w:t>
      </w:r>
      <w:r w:rsidRPr="00287F44">
        <w:t>In the case of distortion of a natural person</w:t>
      </w:r>
      <w:r>
        <w:t>’s name</w:t>
      </w:r>
      <w:r w:rsidRPr="00287F44">
        <w:t xml:space="preserve"> it must be corrected. If the distortion of the name was carried out in </w:t>
      </w:r>
      <w:r>
        <w:t>a</w:t>
      </w:r>
      <w:r w:rsidRPr="00287F44">
        <w:t xml:space="preserve"> document, </w:t>
      </w:r>
      <w:r>
        <w:t>such</w:t>
      </w:r>
      <w:r w:rsidRPr="00287F44">
        <w:t xml:space="preserve"> document is subject to</w:t>
      </w:r>
      <w:r>
        <w:t xml:space="preserve"> replacement. [...]</w:t>
      </w:r>
      <w:r w:rsidRPr="00287F44">
        <w:t xml:space="preserve"> </w:t>
      </w:r>
    </w:p>
  </w:footnote>
  <w:footnote w:id="5">
    <w:p w:rsidR="00E13C49" w:rsidRPr="004F63AA" w:rsidRDefault="00E13C49" w:rsidP="0013370A">
      <w:pPr>
        <w:pStyle w:val="FootnoteText"/>
        <w:ind w:firstLine="0"/>
        <w:jc w:val="both"/>
      </w:pPr>
      <w:r>
        <w:rPr>
          <w:rStyle w:val="FootnoteReference"/>
        </w:rPr>
        <w:footnoteRef/>
      </w:r>
      <w:r>
        <w:t xml:space="preserve"> Unofficial translation.</w:t>
      </w:r>
    </w:p>
  </w:footnote>
  <w:footnote w:id="6">
    <w:p w:rsidR="00E13C49" w:rsidRDefault="00E13C49" w:rsidP="0013370A">
      <w:pPr>
        <w:pStyle w:val="FootnoteText"/>
        <w:ind w:firstLine="0"/>
        <w:jc w:val="both"/>
      </w:pPr>
      <w:r>
        <w:rPr>
          <w:rStyle w:val="FootnoteReference"/>
        </w:rPr>
        <w:footnoteRef/>
      </w:r>
      <w:r>
        <w:t xml:space="preserve"> Unofficial translation.</w:t>
      </w:r>
    </w:p>
  </w:footnote>
  <w:footnote w:id="7">
    <w:p w:rsidR="00E13C49" w:rsidRDefault="00E13C49" w:rsidP="0013370A">
      <w:pPr>
        <w:pStyle w:val="FootnoteText"/>
        <w:ind w:firstLine="0"/>
        <w:jc w:val="both"/>
      </w:pPr>
      <w:r>
        <w:rPr>
          <w:rStyle w:val="FootnoteReference"/>
        </w:rPr>
        <w:footnoteRef/>
      </w:r>
      <w:r>
        <w:rPr>
          <w:szCs w:val="18"/>
        </w:rPr>
        <w:t xml:space="preserve"> </w:t>
      </w:r>
      <w:r w:rsidRPr="00731280">
        <w:rPr>
          <w:szCs w:val="18"/>
        </w:rPr>
        <w:t>The author further makes references to cases similar to his, in which the national courts had ruled in favour of the applicants.</w:t>
      </w:r>
    </w:p>
  </w:footnote>
  <w:footnote w:id="8">
    <w:p w:rsidR="00E13C49" w:rsidRPr="005335A9" w:rsidRDefault="00E13C49" w:rsidP="0013370A">
      <w:pPr>
        <w:pStyle w:val="FootnoteText"/>
        <w:ind w:firstLine="0"/>
        <w:jc w:val="both"/>
      </w:pPr>
      <w:r>
        <w:rPr>
          <w:rStyle w:val="FootnoteReference"/>
        </w:rPr>
        <w:footnoteRef/>
      </w:r>
      <w:r>
        <w:t xml:space="preserve"> Communication No. 453/1991, </w:t>
      </w:r>
      <w:r>
        <w:rPr>
          <w:i/>
          <w:iCs/>
        </w:rPr>
        <w:t xml:space="preserve">Coeriel and Aurik </w:t>
      </w:r>
      <w:r w:rsidRPr="00810039">
        <w:rPr>
          <w:iCs/>
        </w:rPr>
        <w:t>v.</w:t>
      </w:r>
      <w:r>
        <w:rPr>
          <w:i/>
          <w:iCs/>
        </w:rPr>
        <w:t xml:space="preserve"> </w:t>
      </w:r>
      <w:smartTag w:uri="urn:schemas-microsoft-com:office:smarttags" w:element="country-region">
        <w:smartTag w:uri="urn:schemas-microsoft-com:office:smarttags" w:element="place">
          <w:r>
            <w:rPr>
              <w:i/>
              <w:iCs/>
            </w:rPr>
            <w:t>Netherlands</w:t>
          </w:r>
        </w:smartTag>
      </w:smartTag>
      <w:r>
        <w:t>, para. 10.2.</w:t>
      </w:r>
    </w:p>
  </w:footnote>
  <w:footnote w:id="9">
    <w:p w:rsidR="00E13C49" w:rsidRPr="00FC6195" w:rsidRDefault="00E13C49" w:rsidP="0013370A">
      <w:pPr>
        <w:pStyle w:val="FootnoteText"/>
        <w:ind w:firstLine="0"/>
        <w:jc w:val="both"/>
        <w:rPr>
          <w:lang w:val="en-US"/>
        </w:rPr>
      </w:pPr>
      <w:r w:rsidRPr="00FC6195">
        <w:rPr>
          <w:rStyle w:val="FootnoteReference"/>
          <w:szCs w:val="18"/>
        </w:rPr>
        <w:footnoteRef/>
      </w:r>
      <w:r>
        <w:t xml:space="preserve"> C</w:t>
      </w:r>
      <w:r w:rsidRPr="00FC6195">
        <w:t xml:space="preserve">ommunication No. 1621/2007, </w:t>
      </w:r>
      <w:r w:rsidRPr="00D50C8F">
        <w:rPr>
          <w:i/>
        </w:rPr>
        <w:t xml:space="preserve">Raihman </w:t>
      </w:r>
      <w:r w:rsidRPr="00810039">
        <w:t>v.</w:t>
      </w:r>
      <w:r w:rsidRPr="00D50C8F">
        <w:rPr>
          <w:i/>
        </w:rPr>
        <w:t xml:space="preserve"> </w:t>
      </w:r>
      <w:smartTag w:uri="urn:schemas-microsoft-com:office:smarttags" w:element="country-region">
        <w:smartTag w:uri="urn:schemas-microsoft-com:office:smarttags" w:element="place">
          <w:r w:rsidRPr="00D50C8F">
            <w:rPr>
              <w:i/>
            </w:rPr>
            <w:t>Latvia</w:t>
          </w:r>
        </w:smartTag>
      </w:smartTag>
      <w:r w:rsidRPr="00FC6195">
        <w:t>, paras</w:t>
      </w:r>
      <w:r>
        <w:t>.</w:t>
      </w:r>
      <w:r w:rsidRPr="00FC6195">
        <w:t xml:space="preserve"> 8.3</w:t>
      </w:r>
      <w:r>
        <w:t>–</w:t>
      </w:r>
      <w:r w:rsidRPr="00FC6195">
        <w:t>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9" w:rsidRPr="00367ED8" w:rsidRDefault="00E13C49">
    <w:pPr>
      <w:pStyle w:val="Header"/>
    </w:pPr>
    <w:r>
      <w:t>CCPR/C/106/D/1803/2008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9" w:rsidRPr="00367ED8" w:rsidRDefault="00E13C49" w:rsidP="00367ED8">
    <w:pPr>
      <w:pStyle w:val="Header"/>
      <w:jc w:val="right"/>
    </w:pPr>
    <w:r>
      <w:t>CCPR/C/106/D/1803/2008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9" w:rsidRDefault="00E13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B21D08"/>
    <w:multiLevelType w:val="hybridMultilevel"/>
    <w:tmpl w:val="FD8A5E5A"/>
    <w:lvl w:ilvl="0" w:tplc="D53C061E">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65780360"/>
    <w:multiLevelType w:val="hybridMultilevel"/>
    <w:tmpl w:val="6B3A18CA"/>
    <w:lvl w:ilvl="0" w:tplc="F4563A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ED8"/>
    <w:rsid w:val="00001FC1"/>
    <w:rsid w:val="0000214D"/>
    <w:rsid w:val="000272B3"/>
    <w:rsid w:val="00031747"/>
    <w:rsid w:val="00050F6B"/>
    <w:rsid w:val="00051DA9"/>
    <w:rsid w:val="00055A34"/>
    <w:rsid w:val="00057E97"/>
    <w:rsid w:val="00060C3A"/>
    <w:rsid w:val="000647F7"/>
    <w:rsid w:val="00072C8C"/>
    <w:rsid w:val="000733B5"/>
    <w:rsid w:val="00074A1C"/>
    <w:rsid w:val="00080DB6"/>
    <w:rsid w:val="00081815"/>
    <w:rsid w:val="00083DEB"/>
    <w:rsid w:val="000931C0"/>
    <w:rsid w:val="00093398"/>
    <w:rsid w:val="000A33E0"/>
    <w:rsid w:val="000B175B"/>
    <w:rsid w:val="000B1956"/>
    <w:rsid w:val="000B3A0F"/>
    <w:rsid w:val="000B4EF7"/>
    <w:rsid w:val="000C2C03"/>
    <w:rsid w:val="000C2D2E"/>
    <w:rsid w:val="000C4765"/>
    <w:rsid w:val="000E0415"/>
    <w:rsid w:val="000E5DFF"/>
    <w:rsid w:val="000F023C"/>
    <w:rsid w:val="001012CF"/>
    <w:rsid w:val="00106BFD"/>
    <w:rsid w:val="00107B74"/>
    <w:rsid w:val="001103AA"/>
    <w:rsid w:val="001213DF"/>
    <w:rsid w:val="00123791"/>
    <w:rsid w:val="00124B76"/>
    <w:rsid w:val="0013370A"/>
    <w:rsid w:val="00137394"/>
    <w:rsid w:val="00144A68"/>
    <w:rsid w:val="00145870"/>
    <w:rsid w:val="0016248B"/>
    <w:rsid w:val="00165ACE"/>
    <w:rsid w:val="00165F3A"/>
    <w:rsid w:val="00181AB7"/>
    <w:rsid w:val="00182712"/>
    <w:rsid w:val="00183968"/>
    <w:rsid w:val="00186360"/>
    <w:rsid w:val="001A6686"/>
    <w:rsid w:val="001B4B04"/>
    <w:rsid w:val="001C14F7"/>
    <w:rsid w:val="001C5204"/>
    <w:rsid w:val="001C6663"/>
    <w:rsid w:val="001C7895"/>
    <w:rsid w:val="001D0C8C"/>
    <w:rsid w:val="001D26DF"/>
    <w:rsid w:val="001D3A03"/>
    <w:rsid w:val="001D7E32"/>
    <w:rsid w:val="001E5075"/>
    <w:rsid w:val="001E6CE4"/>
    <w:rsid w:val="001F418E"/>
    <w:rsid w:val="001F5471"/>
    <w:rsid w:val="00202DA8"/>
    <w:rsid w:val="00211E0B"/>
    <w:rsid w:val="002246C2"/>
    <w:rsid w:val="0023210C"/>
    <w:rsid w:val="00242BB5"/>
    <w:rsid w:val="00267F5F"/>
    <w:rsid w:val="0027580C"/>
    <w:rsid w:val="00286B4D"/>
    <w:rsid w:val="00287278"/>
    <w:rsid w:val="00287F44"/>
    <w:rsid w:val="002E0522"/>
    <w:rsid w:val="002E2373"/>
    <w:rsid w:val="002E241A"/>
    <w:rsid w:val="002F175C"/>
    <w:rsid w:val="002F7F27"/>
    <w:rsid w:val="003229D8"/>
    <w:rsid w:val="0033387C"/>
    <w:rsid w:val="00341EE5"/>
    <w:rsid w:val="00352709"/>
    <w:rsid w:val="00355C2A"/>
    <w:rsid w:val="00367567"/>
    <w:rsid w:val="00367ED8"/>
    <w:rsid w:val="00371178"/>
    <w:rsid w:val="00376ED2"/>
    <w:rsid w:val="00383283"/>
    <w:rsid w:val="0038336C"/>
    <w:rsid w:val="00392131"/>
    <w:rsid w:val="003965AA"/>
    <w:rsid w:val="003A2EDA"/>
    <w:rsid w:val="003A6810"/>
    <w:rsid w:val="003C1AC8"/>
    <w:rsid w:val="003C2CC4"/>
    <w:rsid w:val="003D4B23"/>
    <w:rsid w:val="003F3B30"/>
    <w:rsid w:val="003F6228"/>
    <w:rsid w:val="004007D4"/>
    <w:rsid w:val="004046D3"/>
    <w:rsid w:val="00410C89"/>
    <w:rsid w:val="00411720"/>
    <w:rsid w:val="004160CE"/>
    <w:rsid w:val="00426B9B"/>
    <w:rsid w:val="004325CB"/>
    <w:rsid w:val="00436B33"/>
    <w:rsid w:val="00442A83"/>
    <w:rsid w:val="0045495B"/>
    <w:rsid w:val="0046705D"/>
    <w:rsid w:val="00470D4B"/>
    <w:rsid w:val="00472B4D"/>
    <w:rsid w:val="0048325E"/>
    <w:rsid w:val="0048695A"/>
    <w:rsid w:val="00487488"/>
    <w:rsid w:val="00496C97"/>
    <w:rsid w:val="004E0507"/>
    <w:rsid w:val="004F63AA"/>
    <w:rsid w:val="005121D0"/>
    <w:rsid w:val="0051697B"/>
    <w:rsid w:val="0052136D"/>
    <w:rsid w:val="0052775E"/>
    <w:rsid w:val="005332A5"/>
    <w:rsid w:val="005335A9"/>
    <w:rsid w:val="00536960"/>
    <w:rsid w:val="00542098"/>
    <w:rsid w:val="005420F2"/>
    <w:rsid w:val="005536F0"/>
    <w:rsid w:val="005579C1"/>
    <w:rsid w:val="005628B6"/>
    <w:rsid w:val="00563ABC"/>
    <w:rsid w:val="00567A2F"/>
    <w:rsid w:val="00576566"/>
    <w:rsid w:val="005848B3"/>
    <w:rsid w:val="00590E06"/>
    <w:rsid w:val="00590F87"/>
    <w:rsid w:val="00592C4A"/>
    <w:rsid w:val="005B3DB3"/>
    <w:rsid w:val="005B5F53"/>
    <w:rsid w:val="005E4075"/>
    <w:rsid w:val="005F7717"/>
    <w:rsid w:val="005F7B75"/>
    <w:rsid w:val="006001EE"/>
    <w:rsid w:val="00604DF4"/>
    <w:rsid w:val="00605042"/>
    <w:rsid w:val="006067AA"/>
    <w:rsid w:val="00607006"/>
    <w:rsid w:val="00611FC4"/>
    <w:rsid w:val="006176FB"/>
    <w:rsid w:val="00627A78"/>
    <w:rsid w:val="00637F10"/>
    <w:rsid w:val="00640B26"/>
    <w:rsid w:val="00644334"/>
    <w:rsid w:val="00652CED"/>
    <w:rsid w:val="00652D0A"/>
    <w:rsid w:val="006627DA"/>
    <w:rsid w:val="00662BB6"/>
    <w:rsid w:val="00672658"/>
    <w:rsid w:val="00684C21"/>
    <w:rsid w:val="00690A67"/>
    <w:rsid w:val="006A1132"/>
    <w:rsid w:val="006A1B3E"/>
    <w:rsid w:val="006B02D4"/>
    <w:rsid w:val="006B2787"/>
    <w:rsid w:val="006C47D8"/>
    <w:rsid w:val="006D37AF"/>
    <w:rsid w:val="006D51D0"/>
    <w:rsid w:val="006E564B"/>
    <w:rsid w:val="006E7191"/>
    <w:rsid w:val="00703577"/>
    <w:rsid w:val="007065D1"/>
    <w:rsid w:val="00707FE1"/>
    <w:rsid w:val="007253CF"/>
    <w:rsid w:val="0072632A"/>
    <w:rsid w:val="00731280"/>
    <w:rsid w:val="007327D5"/>
    <w:rsid w:val="007629C8"/>
    <w:rsid w:val="0077720E"/>
    <w:rsid w:val="00793EB9"/>
    <w:rsid w:val="007A6DAA"/>
    <w:rsid w:val="007B6BA5"/>
    <w:rsid w:val="007C21E6"/>
    <w:rsid w:val="007C3390"/>
    <w:rsid w:val="007C4F4B"/>
    <w:rsid w:val="007C784F"/>
    <w:rsid w:val="007D407A"/>
    <w:rsid w:val="007E0B2D"/>
    <w:rsid w:val="007F6611"/>
    <w:rsid w:val="0080658B"/>
    <w:rsid w:val="00810039"/>
    <w:rsid w:val="008105B8"/>
    <w:rsid w:val="00814CA8"/>
    <w:rsid w:val="008236FC"/>
    <w:rsid w:val="008242D7"/>
    <w:rsid w:val="0082570E"/>
    <w:rsid w:val="008257B1"/>
    <w:rsid w:val="0082767A"/>
    <w:rsid w:val="00843767"/>
    <w:rsid w:val="008445E5"/>
    <w:rsid w:val="0086106F"/>
    <w:rsid w:val="008679D9"/>
    <w:rsid w:val="00897324"/>
    <w:rsid w:val="008979B1"/>
    <w:rsid w:val="008A1DB2"/>
    <w:rsid w:val="008A6B25"/>
    <w:rsid w:val="008A6C4F"/>
    <w:rsid w:val="008B2335"/>
    <w:rsid w:val="008D3797"/>
    <w:rsid w:val="008E0678"/>
    <w:rsid w:val="008F35C6"/>
    <w:rsid w:val="00903814"/>
    <w:rsid w:val="00910F40"/>
    <w:rsid w:val="00912C08"/>
    <w:rsid w:val="00921C89"/>
    <w:rsid w:val="009223CA"/>
    <w:rsid w:val="00937230"/>
    <w:rsid w:val="00940F93"/>
    <w:rsid w:val="0095347F"/>
    <w:rsid w:val="00966A0B"/>
    <w:rsid w:val="009760F3"/>
    <w:rsid w:val="009848CA"/>
    <w:rsid w:val="00985C6B"/>
    <w:rsid w:val="00987FF9"/>
    <w:rsid w:val="009909F5"/>
    <w:rsid w:val="009A0E8D"/>
    <w:rsid w:val="009B26E7"/>
    <w:rsid w:val="009B35AC"/>
    <w:rsid w:val="009C1830"/>
    <w:rsid w:val="009C72C4"/>
    <w:rsid w:val="009E0401"/>
    <w:rsid w:val="009E0B5C"/>
    <w:rsid w:val="00A00A3F"/>
    <w:rsid w:val="00A01489"/>
    <w:rsid w:val="00A26DBC"/>
    <w:rsid w:val="00A338F1"/>
    <w:rsid w:val="00A341AB"/>
    <w:rsid w:val="00A44615"/>
    <w:rsid w:val="00A45436"/>
    <w:rsid w:val="00A462D5"/>
    <w:rsid w:val="00A50BD3"/>
    <w:rsid w:val="00A7067C"/>
    <w:rsid w:val="00A72F22"/>
    <w:rsid w:val="00A7360F"/>
    <w:rsid w:val="00A748A6"/>
    <w:rsid w:val="00A769F4"/>
    <w:rsid w:val="00A776B4"/>
    <w:rsid w:val="00A86C21"/>
    <w:rsid w:val="00A94361"/>
    <w:rsid w:val="00AA1930"/>
    <w:rsid w:val="00AA293C"/>
    <w:rsid w:val="00AC7F98"/>
    <w:rsid w:val="00AF74FD"/>
    <w:rsid w:val="00B06438"/>
    <w:rsid w:val="00B13E9B"/>
    <w:rsid w:val="00B30179"/>
    <w:rsid w:val="00B339A7"/>
    <w:rsid w:val="00B56E4A"/>
    <w:rsid w:val="00B56E9C"/>
    <w:rsid w:val="00B64B1F"/>
    <w:rsid w:val="00B6553F"/>
    <w:rsid w:val="00B66E5E"/>
    <w:rsid w:val="00B77D05"/>
    <w:rsid w:val="00B803E1"/>
    <w:rsid w:val="00B80AFC"/>
    <w:rsid w:val="00B81206"/>
    <w:rsid w:val="00B81E12"/>
    <w:rsid w:val="00B820F6"/>
    <w:rsid w:val="00B85CB5"/>
    <w:rsid w:val="00B9067B"/>
    <w:rsid w:val="00BA0B6D"/>
    <w:rsid w:val="00BA76A7"/>
    <w:rsid w:val="00BC2C23"/>
    <w:rsid w:val="00BC74E9"/>
    <w:rsid w:val="00BD4FE1"/>
    <w:rsid w:val="00BF1447"/>
    <w:rsid w:val="00BF68A8"/>
    <w:rsid w:val="00C11A03"/>
    <w:rsid w:val="00C463DD"/>
    <w:rsid w:val="00C4724C"/>
    <w:rsid w:val="00C611D6"/>
    <w:rsid w:val="00C629A0"/>
    <w:rsid w:val="00C745C3"/>
    <w:rsid w:val="00CA656A"/>
    <w:rsid w:val="00CB2C86"/>
    <w:rsid w:val="00CC0A9A"/>
    <w:rsid w:val="00CC0E99"/>
    <w:rsid w:val="00CE4A8F"/>
    <w:rsid w:val="00CF3440"/>
    <w:rsid w:val="00D068BA"/>
    <w:rsid w:val="00D17641"/>
    <w:rsid w:val="00D2031B"/>
    <w:rsid w:val="00D25FE2"/>
    <w:rsid w:val="00D43252"/>
    <w:rsid w:val="00D47EEA"/>
    <w:rsid w:val="00D50C8F"/>
    <w:rsid w:val="00D62170"/>
    <w:rsid w:val="00D72451"/>
    <w:rsid w:val="00D82EA3"/>
    <w:rsid w:val="00D95303"/>
    <w:rsid w:val="00D978C6"/>
    <w:rsid w:val="00DA3111"/>
    <w:rsid w:val="00DA3C1C"/>
    <w:rsid w:val="00DA49CF"/>
    <w:rsid w:val="00DB0C79"/>
    <w:rsid w:val="00DE2F05"/>
    <w:rsid w:val="00DE6ED5"/>
    <w:rsid w:val="00E11D0D"/>
    <w:rsid w:val="00E13C49"/>
    <w:rsid w:val="00E1558E"/>
    <w:rsid w:val="00E27346"/>
    <w:rsid w:val="00E71BC8"/>
    <w:rsid w:val="00E71EEA"/>
    <w:rsid w:val="00E7260F"/>
    <w:rsid w:val="00E779FC"/>
    <w:rsid w:val="00E96630"/>
    <w:rsid w:val="00EB2581"/>
    <w:rsid w:val="00EB2FCE"/>
    <w:rsid w:val="00ED6EC7"/>
    <w:rsid w:val="00ED7A2A"/>
    <w:rsid w:val="00EE3DF2"/>
    <w:rsid w:val="00EF1D7F"/>
    <w:rsid w:val="00EF325F"/>
    <w:rsid w:val="00F00D2A"/>
    <w:rsid w:val="00F018D1"/>
    <w:rsid w:val="00F052EF"/>
    <w:rsid w:val="00F20C3D"/>
    <w:rsid w:val="00F332F9"/>
    <w:rsid w:val="00F33C07"/>
    <w:rsid w:val="00F43E9E"/>
    <w:rsid w:val="00F55DF9"/>
    <w:rsid w:val="00F74B01"/>
    <w:rsid w:val="00F9057C"/>
    <w:rsid w:val="00F906D7"/>
    <w:rsid w:val="00F93781"/>
    <w:rsid w:val="00FA1144"/>
    <w:rsid w:val="00FB2AB4"/>
    <w:rsid w:val="00FB613B"/>
    <w:rsid w:val="00FC0F8E"/>
    <w:rsid w:val="00FC6195"/>
    <w:rsid w:val="00FC68B7"/>
    <w:rsid w:val="00FD3763"/>
    <w:rsid w:val="00FE106A"/>
    <w:rsid w:val="00FE60E0"/>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E5D39C50-5C8D-4BDE-970C-793F5D41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0C4765"/>
    <w:pPr>
      <w:spacing w:line="240" w:lineRule="auto"/>
    </w:pPr>
    <w:rPr>
      <w:rFonts w:ascii="Tahoma" w:hAnsi="Tahoma" w:cs="Tahoma"/>
      <w:sz w:val="16"/>
      <w:szCs w:val="16"/>
    </w:rPr>
  </w:style>
  <w:style w:type="character" w:customStyle="1" w:styleId="BalloonTextChar">
    <w:name w:val="Balloon Text Char"/>
    <w:link w:val="BalloonText"/>
    <w:rsid w:val="000C4765"/>
    <w:rPr>
      <w:rFonts w:ascii="Tahoma" w:hAnsi="Tahoma" w:cs="Tahoma"/>
      <w:sz w:val="16"/>
      <w:szCs w:val="16"/>
      <w:lang w:eastAsia="en-US"/>
    </w:rPr>
  </w:style>
  <w:style w:type="character" w:customStyle="1" w:styleId="SingleTxtGChar">
    <w:name w:val="_ Single Txt_G Char"/>
    <w:link w:val="SingleTxtG"/>
    <w:locked/>
    <w:rsid w:val="000C4765"/>
    <w:rPr>
      <w:lang w:eastAsia="en-US"/>
    </w:rPr>
  </w:style>
  <w:style w:type="paragraph" w:styleId="NormalWeb">
    <w:name w:val="Normal (Web)"/>
    <w:basedOn w:val="Normal"/>
    <w:rsid w:val="00341EE5"/>
    <w:rPr>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5335A9"/>
    <w:rPr>
      <w:sz w:val="18"/>
      <w:lang w:eastAsia="en-US"/>
    </w:rPr>
  </w:style>
  <w:style w:type="character" w:styleId="CommentReference">
    <w:name w:val="annotation reference"/>
    <w:semiHidden/>
    <w:rsid w:val="006A1132"/>
    <w:rPr>
      <w:sz w:val="16"/>
      <w:szCs w:val="16"/>
    </w:rPr>
  </w:style>
  <w:style w:type="paragraph" w:styleId="CommentText">
    <w:name w:val="annotation text"/>
    <w:basedOn w:val="Normal"/>
    <w:semiHidden/>
    <w:rsid w:val="006A1132"/>
  </w:style>
  <w:style w:type="paragraph" w:styleId="CommentSubject">
    <w:name w:val="annotation subject"/>
    <w:basedOn w:val="CommentText"/>
    <w:next w:val="CommentText"/>
    <w:semiHidden/>
    <w:rsid w:val="006A1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4537">
      <w:bodyDiv w:val="1"/>
      <w:marLeft w:val="0"/>
      <w:marRight w:val="0"/>
      <w:marTop w:val="0"/>
      <w:marBottom w:val="0"/>
      <w:divBdr>
        <w:top w:val="none" w:sz="0" w:space="0" w:color="auto"/>
        <w:left w:val="none" w:sz="0" w:space="0" w:color="auto"/>
        <w:bottom w:val="none" w:sz="0" w:space="0" w:color="auto"/>
        <w:right w:val="none" w:sz="0" w:space="0" w:color="auto"/>
      </w:divBdr>
    </w:div>
    <w:div w:id="193807869">
      <w:bodyDiv w:val="1"/>
      <w:marLeft w:val="0"/>
      <w:marRight w:val="0"/>
      <w:marTop w:val="0"/>
      <w:marBottom w:val="0"/>
      <w:divBdr>
        <w:top w:val="none" w:sz="0" w:space="0" w:color="auto"/>
        <w:left w:val="none" w:sz="0" w:space="0" w:color="auto"/>
        <w:bottom w:val="none" w:sz="0" w:space="0" w:color="auto"/>
        <w:right w:val="none" w:sz="0" w:space="0" w:color="auto"/>
      </w:divBdr>
    </w:div>
    <w:div w:id="268239594">
      <w:bodyDiv w:val="1"/>
      <w:marLeft w:val="0"/>
      <w:marRight w:val="0"/>
      <w:marTop w:val="0"/>
      <w:marBottom w:val="0"/>
      <w:divBdr>
        <w:top w:val="none" w:sz="0" w:space="0" w:color="auto"/>
        <w:left w:val="none" w:sz="0" w:space="0" w:color="auto"/>
        <w:bottom w:val="none" w:sz="0" w:space="0" w:color="auto"/>
        <w:right w:val="none" w:sz="0" w:space="0" w:color="auto"/>
      </w:divBdr>
      <w:divsChild>
        <w:div w:id="213272788">
          <w:marLeft w:val="0"/>
          <w:marRight w:val="0"/>
          <w:marTop w:val="0"/>
          <w:marBottom w:val="0"/>
          <w:divBdr>
            <w:top w:val="none" w:sz="0" w:space="0" w:color="auto"/>
            <w:left w:val="none" w:sz="0" w:space="0" w:color="auto"/>
            <w:bottom w:val="none" w:sz="0" w:space="0" w:color="auto"/>
            <w:right w:val="none" w:sz="0" w:space="0" w:color="auto"/>
          </w:divBdr>
          <w:divsChild>
            <w:div w:id="1039011354">
              <w:marLeft w:val="0"/>
              <w:marRight w:val="0"/>
              <w:marTop w:val="0"/>
              <w:marBottom w:val="0"/>
              <w:divBdr>
                <w:top w:val="none" w:sz="0" w:space="0" w:color="auto"/>
                <w:left w:val="none" w:sz="0" w:space="0" w:color="auto"/>
                <w:bottom w:val="none" w:sz="0" w:space="0" w:color="auto"/>
                <w:right w:val="none" w:sz="0" w:space="0" w:color="auto"/>
              </w:divBdr>
              <w:divsChild>
                <w:div w:id="1688092554">
                  <w:marLeft w:val="0"/>
                  <w:marRight w:val="0"/>
                  <w:marTop w:val="0"/>
                  <w:marBottom w:val="0"/>
                  <w:divBdr>
                    <w:top w:val="none" w:sz="0" w:space="0" w:color="auto"/>
                    <w:left w:val="none" w:sz="0" w:space="0" w:color="auto"/>
                    <w:bottom w:val="none" w:sz="0" w:space="0" w:color="auto"/>
                    <w:right w:val="none" w:sz="0" w:space="0" w:color="auto"/>
                  </w:divBdr>
                  <w:divsChild>
                    <w:div w:id="1827549744">
                      <w:marLeft w:val="0"/>
                      <w:marRight w:val="0"/>
                      <w:marTop w:val="0"/>
                      <w:marBottom w:val="0"/>
                      <w:divBdr>
                        <w:top w:val="none" w:sz="0" w:space="0" w:color="auto"/>
                        <w:left w:val="none" w:sz="0" w:space="0" w:color="auto"/>
                        <w:bottom w:val="none" w:sz="0" w:space="0" w:color="auto"/>
                        <w:right w:val="none" w:sz="0" w:space="0" w:color="auto"/>
                      </w:divBdr>
                      <w:divsChild>
                        <w:div w:id="271279978">
                          <w:marLeft w:val="0"/>
                          <w:marRight w:val="0"/>
                          <w:marTop w:val="0"/>
                          <w:marBottom w:val="0"/>
                          <w:divBdr>
                            <w:top w:val="none" w:sz="0" w:space="0" w:color="auto"/>
                            <w:left w:val="none" w:sz="0" w:space="0" w:color="auto"/>
                            <w:bottom w:val="none" w:sz="0" w:space="0" w:color="auto"/>
                            <w:right w:val="none" w:sz="0" w:space="0" w:color="auto"/>
                          </w:divBdr>
                          <w:divsChild>
                            <w:div w:id="567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20033">
      <w:bodyDiv w:val="1"/>
      <w:marLeft w:val="0"/>
      <w:marRight w:val="0"/>
      <w:marTop w:val="0"/>
      <w:marBottom w:val="0"/>
      <w:divBdr>
        <w:top w:val="none" w:sz="0" w:space="0" w:color="auto"/>
        <w:left w:val="none" w:sz="0" w:space="0" w:color="auto"/>
        <w:bottom w:val="none" w:sz="0" w:space="0" w:color="auto"/>
        <w:right w:val="none" w:sz="0" w:space="0" w:color="auto"/>
      </w:divBdr>
    </w:div>
    <w:div w:id="412318334">
      <w:bodyDiv w:val="1"/>
      <w:marLeft w:val="0"/>
      <w:marRight w:val="0"/>
      <w:marTop w:val="0"/>
      <w:marBottom w:val="0"/>
      <w:divBdr>
        <w:top w:val="none" w:sz="0" w:space="0" w:color="auto"/>
        <w:left w:val="none" w:sz="0" w:space="0" w:color="auto"/>
        <w:bottom w:val="none" w:sz="0" w:space="0" w:color="auto"/>
        <w:right w:val="none" w:sz="0" w:space="0" w:color="auto"/>
      </w:divBdr>
    </w:div>
    <w:div w:id="496120225">
      <w:bodyDiv w:val="1"/>
      <w:marLeft w:val="0"/>
      <w:marRight w:val="0"/>
      <w:marTop w:val="0"/>
      <w:marBottom w:val="0"/>
      <w:divBdr>
        <w:top w:val="none" w:sz="0" w:space="0" w:color="auto"/>
        <w:left w:val="none" w:sz="0" w:space="0" w:color="auto"/>
        <w:bottom w:val="none" w:sz="0" w:space="0" w:color="auto"/>
        <w:right w:val="none" w:sz="0" w:space="0" w:color="auto"/>
      </w:divBdr>
    </w:div>
    <w:div w:id="540244104">
      <w:bodyDiv w:val="1"/>
      <w:marLeft w:val="0"/>
      <w:marRight w:val="0"/>
      <w:marTop w:val="0"/>
      <w:marBottom w:val="0"/>
      <w:divBdr>
        <w:top w:val="none" w:sz="0" w:space="0" w:color="auto"/>
        <w:left w:val="none" w:sz="0" w:space="0" w:color="auto"/>
        <w:bottom w:val="none" w:sz="0" w:space="0" w:color="auto"/>
        <w:right w:val="none" w:sz="0" w:space="0" w:color="auto"/>
      </w:divBdr>
    </w:div>
    <w:div w:id="612980341">
      <w:bodyDiv w:val="1"/>
      <w:marLeft w:val="0"/>
      <w:marRight w:val="0"/>
      <w:marTop w:val="0"/>
      <w:marBottom w:val="0"/>
      <w:divBdr>
        <w:top w:val="none" w:sz="0" w:space="0" w:color="auto"/>
        <w:left w:val="none" w:sz="0" w:space="0" w:color="auto"/>
        <w:bottom w:val="none" w:sz="0" w:space="0" w:color="auto"/>
        <w:right w:val="none" w:sz="0" w:space="0" w:color="auto"/>
      </w:divBdr>
    </w:div>
    <w:div w:id="723143124">
      <w:bodyDiv w:val="1"/>
      <w:marLeft w:val="0"/>
      <w:marRight w:val="0"/>
      <w:marTop w:val="0"/>
      <w:marBottom w:val="0"/>
      <w:divBdr>
        <w:top w:val="none" w:sz="0" w:space="0" w:color="auto"/>
        <w:left w:val="none" w:sz="0" w:space="0" w:color="auto"/>
        <w:bottom w:val="none" w:sz="0" w:space="0" w:color="auto"/>
        <w:right w:val="none" w:sz="0" w:space="0" w:color="auto"/>
      </w:divBdr>
    </w:div>
    <w:div w:id="796994737">
      <w:bodyDiv w:val="1"/>
      <w:marLeft w:val="0"/>
      <w:marRight w:val="0"/>
      <w:marTop w:val="0"/>
      <w:marBottom w:val="0"/>
      <w:divBdr>
        <w:top w:val="none" w:sz="0" w:space="0" w:color="auto"/>
        <w:left w:val="none" w:sz="0" w:space="0" w:color="auto"/>
        <w:bottom w:val="none" w:sz="0" w:space="0" w:color="auto"/>
        <w:right w:val="none" w:sz="0" w:space="0" w:color="auto"/>
      </w:divBdr>
    </w:div>
    <w:div w:id="867525261">
      <w:bodyDiv w:val="1"/>
      <w:marLeft w:val="0"/>
      <w:marRight w:val="0"/>
      <w:marTop w:val="0"/>
      <w:marBottom w:val="0"/>
      <w:divBdr>
        <w:top w:val="none" w:sz="0" w:space="0" w:color="auto"/>
        <w:left w:val="none" w:sz="0" w:space="0" w:color="auto"/>
        <w:bottom w:val="none" w:sz="0" w:space="0" w:color="auto"/>
        <w:right w:val="none" w:sz="0" w:space="0" w:color="auto"/>
      </w:divBdr>
    </w:div>
    <w:div w:id="869025702">
      <w:bodyDiv w:val="1"/>
      <w:marLeft w:val="0"/>
      <w:marRight w:val="0"/>
      <w:marTop w:val="0"/>
      <w:marBottom w:val="0"/>
      <w:divBdr>
        <w:top w:val="none" w:sz="0" w:space="0" w:color="auto"/>
        <w:left w:val="none" w:sz="0" w:space="0" w:color="auto"/>
        <w:bottom w:val="none" w:sz="0" w:space="0" w:color="auto"/>
        <w:right w:val="none" w:sz="0" w:space="0" w:color="auto"/>
      </w:divBdr>
    </w:div>
    <w:div w:id="924001263">
      <w:bodyDiv w:val="1"/>
      <w:marLeft w:val="0"/>
      <w:marRight w:val="0"/>
      <w:marTop w:val="0"/>
      <w:marBottom w:val="0"/>
      <w:divBdr>
        <w:top w:val="none" w:sz="0" w:space="0" w:color="auto"/>
        <w:left w:val="none" w:sz="0" w:space="0" w:color="auto"/>
        <w:bottom w:val="none" w:sz="0" w:space="0" w:color="auto"/>
        <w:right w:val="none" w:sz="0" w:space="0" w:color="auto"/>
      </w:divBdr>
    </w:div>
    <w:div w:id="1040588321">
      <w:bodyDiv w:val="1"/>
      <w:marLeft w:val="0"/>
      <w:marRight w:val="0"/>
      <w:marTop w:val="0"/>
      <w:marBottom w:val="0"/>
      <w:divBdr>
        <w:top w:val="none" w:sz="0" w:space="0" w:color="auto"/>
        <w:left w:val="none" w:sz="0" w:space="0" w:color="auto"/>
        <w:bottom w:val="none" w:sz="0" w:space="0" w:color="auto"/>
        <w:right w:val="none" w:sz="0" w:space="0" w:color="auto"/>
      </w:divBdr>
    </w:div>
    <w:div w:id="1080174525">
      <w:bodyDiv w:val="1"/>
      <w:marLeft w:val="0"/>
      <w:marRight w:val="0"/>
      <w:marTop w:val="0"/>
      <w:marBottom w:val="0"/>
      <w:divBdr>
        <w:top w:val="none" w:sz="0" w:space="0" w:color="auto"/>
        <w:left w:val="none" w:sz="0" w:space="0" w:color="auto"/>
        <w:bottom w:val="none" w:sz="0" w:space="0" w:color="auto"/>
        <w:right w:val="none" w:sz="0" w:space="0" w:color="auto"/>
      </w:divBdr>
    </w:div>
    <w:div w:id="1119031003">
      <w:bodyDiv w:val="1"/>
      <w:marLeft w:val="0"/>
      <w:marRight w:val="0"/>
      <w:marTop w:val="0"/>
      <w:marBottom w:val="0"/>
      <w:divBdr>
        <w:top w:val="none" w:sz="0" w:space="0" w:color="auto"/>
        <w:left w:val="none" w:sz="0" w:space="0" w:color="auto"/>
        <w:bottom w:val="none" w:sz="0" w:space="0" w:color="auto"/>
        <w:right w:val="none" w:sz="0" w:space="0" w:color="auto"/>
      </w:divBdr>
    </w:div>
    <w:div w:id="1137725083">
      <w:bodyDiv w:val="1"/>
      <w:marLeft w:val="0"/>
      <w:marRight w:val="0"/>
      <w:marTop w:val="0"/>
      <w:marBottom w:val="0"/>
      <w:divBdr>
        <w:top w:val="none" w:sz="0" w:space="0" w:color="auto"/>
        <w:left w:val="none" w:sz="0" w:space="0" w:color="auto"/>
        <w:bottom w:val="none" w:sz="0" w:space="0" w:color="auto"/>
        <w:right w:val="none" w:sz="0" w:space="0" w:color="auto"/>
      </w:divBdr>
    </w:div>
    <w:div w:id="1242642017">
      <w:bodyDiv w:val="1"/>
      <w:marLeft w:val="0"/>
      <w:marRight w:val="0"/>
      <w:marTop w:val="0"/>
      <w:marBottom w:val="0"/>
      <w:divBdr>
        <w:top w:val="none" w:sz="0" w:space="0" w:color="auto"/>
        <w:left w:val="none" w:sz="0" w:space="0" w:color="auto"/>
        <w:bottom w:val="none" w:sz="0" w:space="0" w:color="auto"/>
        <w:right w:val="none" w:sz="0" w:space="0" w:color="auto"/>
      </w:divBdr>
      <w:divsChild>
        <w:div w:id="239218823">
          <w:marLeft w:val="0"/>
          <w:marRight w:val="0"/>
          <w:marTop w:val="0"/>
          <w:marBottom w:val="0"/>
          <w:divBdr>
            <w:top w:val="none" w:sz="0" w:space="0" w:color="auto"/>
            <w:left w:val="none" w:sz="0" w:space="0" w:color="auto"/>
            <w:bottom w:val="none" w:sz="0" w:space="0" w:color="auto"/>
            <w:right w:val="none" w:sz="0" w:space="0" w:color="auto"/>
          </w:divBdr>
          <w:divsChild>
            <w:div w:id="678655828">
              <w:marLeft w:val="0"/>
              <w:marRight w:val="0"/>
              <w:marTop w:val="0"/>
              <w:marBottom w:val="0"/>
              <w:divBdr>
                <w:top w:val="none" w:sz="0" w:space="0" w:color="auto"/>
                <w:left w:val="none" w:sz="0" w:space="0" w:color="auto"/>
                <w:bottom w:val="none" w:sz="0" w:space="0" w:color="auto"/>
                <w:right w:val="none" w:sz="0" w:space="0" w:color="auto"/>
              </w:divBdr>
              <w:divsChild>
                <w:div w:id="723985535">
                  <w:marLeft w:val="0"/>
                  <w:marRight w:val="0"/>
                  <w:marTop w:val="0"/>
                  <w:marBottom w:val="0"/>
                  <w:divBdr>
                    <w:top w:val="none" w:sz="0" w:space="0" w:color="auto"/>
                    <w:left w:val="none" w:sz="0" w:space="0" w:color="auto"/>
                    <w:bottom w:val="none" w:sz="0" w:space="0" w:color="auto"/>
                    <w:right w:val="none" w:sz="0" w:space="0" w:color="auto"/>
                  </w:divBdr>
                  <w:divsChild>
                    <w:div w:id="1037238536">
                      <w:marLeft w:val="0"/>
                      <w:marRight w:val="0"/>
                      <w:marTop w:val="0"/>
                      <w:marBottom w:val="0"/>
                      <w:divBdr>
                        <w:top w:val="none" w:sz="0" w:space="0" w:color="auto"/>
                        <w:left w:val="none" w:sz="0" w:space="0" w:color="auto"/>
                        <w:bottom w:val="none" w:sz="0" w:space="0" w:color="auto"/>
                        <w:right w:val="none" w:sz="0" w:space="0" w:color="auto"/>
                      </w:divBdr>
                      <w:divsChild>
                        <w:div w:id="2024239807">
                          <w:marLeft w:val="0"/>
                          <w:marRight w:val="0"/>
                          <w:marTop w:val="0"/>
                          <w:marBottom w:val="0"/>
                          <w:divBdr>
                            <w:top w:val="none" w:sz="0" w:space="0" w:color="auto"/>
                            <w:left w:val="none" w:sz="0" w:space="0" w:color="auto"/>
                            <w:bottom w:val="none" w:sz="0" w:space="0" w:color="auto"/>
                            <w:right w:val="none" w:sz="0" w:space="0" w:color="auto"/>
                          </w:divBdr>
                          <w:divsChild>
                            <w:div w:id="8953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73927">
      <w:bodyDiv w:val="1"/>
      <w:marLeft w:val="0"/>
      <w:marRight w:val="0"/>
      <w:marTop w:val="0"/>
      <w:marBottom w:val="0"/>
      <w:divBdr>
        <w:top w:val="none" w:sz="0" w:space="0" w:color="auto"/>
        <w:left w:val="none" w:sz="0" w:space="0" w:color="auto"/>
        <w:bottom w:val="none" w:sz="0" w:space="0" w:color="auto"/>
        <w:right w:val="none" w:sz="0" w:space="0" w:color="auto"/>
      </w:divBdr>
    </w:div>
    <w:div w:id="1497645513">
      <w:bodyDiv w:val="1"/>
      <w:marLeft w:val="0"/>
      <w:marRight w:val="0"/>
      <w:marTop w:val="0"/>
      <w:marBottom w:val="0"/>
      <w:divBdr>
        <w:top w:val="none" w:sz="0" w:space="0" w:color="auto"/>
        <w:left w:val="none" w:sz="0" w:space="0" w:color="auto"/>
        <w:bottom w:val="none" w:sz="0" w:space="0" w:color="auto"/>
        <w:right w:val="none" w:sz="0" w:space="0" w:color="auto"/>
      </w:divBdr>
    </w:div>
    <w:div w:id="1509903373">
      <w:bodyDiv w:val="1"/>
      <w:marLeft w:val="0"/>
      <w:marRight w:val="0"/>
      <w:marTop w:val="0"/>
      <w:marBottom w:val="0"/>
      <w:divBdr>
        <w:top w:val="none" w:sz="0" w:space="0" w:color="auto"/>
        <w:left w:val="none" w:sz="0" w:space="0" w:color="auto"/>
        <w:bottom w:val="none" w:sz="0" w:space="0" w:color="auto"/>
        <w:right w:val="none" w:sz="0" w:space="0" w:color="auto"/>
      </w:divBdr>
    </w:div>
    <w:div w:id="1572348288">
      <w:bodyDiv w:val="1"/>
      <w:marLeft w:val="0"/>
      <w:marRight w:val="0"/>
      <w:marTop w:val="0"/>
      <w:marBottom w:val="0"/>
      <w:divBdr>
        <w:top w:val="none" w:sz="0" w:space="0" w:color="auto"/>
        <w:left w:val="none" w:sz="0" w:space="0" w:color="auto"/>
        <w:bottom w:val="none" w:sz="0" w:space="0" w:color="auto"/>
        <w:right w:val="none" w:sz="0" w:space="0" w:color="auto"/>
      </w:divBdr>
    </w:div>
    <w:div w:id="1575116655">
      <w:bodyDiv w:val="1"/>
      <w:marLeft w:val="0"/>
      <w:marRight w:val="0"/>
      <w:marTop w:val="0"/>
      <w:marBottom w:val="0"/>
      <w:divBdr>
        <w:top w:val="none" w:sz="0" w:space="0" w:color="auto"/>
        <w:left w:val="none" w:sz="0" w:space="0" w:color="auto"/>
        <w:bottom w:val="none" w:sz="0" w:space="0" w:color="auto"/>
        <w:right w:val="none" w:sz="0" w:space="0" w:color="auto"/>
      </w:divBdr>
    </w:div>
    <w:div w:id="1696006533">
      <w:bodyDiv w:val="1"/>
      <w:marLeft w:val="0"/>
      <w:marRight w:val="0"/>
      <w:marTop w:val="0"/>
      <w:marBottom w:val="0"/>
      <w:divBdr>
        <w:top w:val="none" w:sz="0" w:space="0" w:color="auto"/>
        <w:left w:val="none" w:sz="0" w:space="0" w:color="auto"/>
        <w:bottom w:val="none" w:sz="0" w:space="0" w:color="auto"/>
        <w:right w:val="none" w:sz="0" w:space="0" w:color="auto"/>
      </w:divBdr>
    </w:div>
    <w:div w:id="1777552819">
      <w:bodyDiv w:val="1"/>
      <w:marLeft w:val="0"/>
      <w:marRight w:val="0"/>
      <w:marTop w:val="0"/>
      <w:marBottom w:val="0"/>
      <w:divBdr>
        <w:top w:val="none" w:sz="0" w:space="0" w:color="auto"/>
        <w:left w:val="none" w:sz="0" w:space="0" w:color="auto"/>
        <w:bottom w:val="none" w:sz="0" w:space="0" w:color="auto"/>
        <w:right w:val="none" w:sz="0" w:space="0" w:color="auto"/>
      </w:divBdr>
    </w:div>
    <w:div w:id="1815443884">
      <w:bodyDiv w:val="1"/>
      <w:marLeft w:val="0"/>
      <w:marRight w:val="0"/>
      <w:marTop w:val="0"/>
      <w:marBottom w:val="0"/>
      <w:divBdr>
        <w:top w:val="none" w:sz="0" w:space="0" w:color="auto"/>
        <w:left w:val="none" w:sz="0" w:space="0" w:color="auto"/>
        <w:bottom w:val="none" w:sz="0" w:space="0" w:color="auto"/>
        <w:right w:val="none" w:sz="0" w:space="0" w:color="auto"/>
      </w:divBdr>
    </w:div>
    <w:div w:id="1891990255">
      <w:bodyDiv w:val="1"/>
      <w:marLeft w:val="0"/>
      <w:marRight w:val="0"/>
      <w:marTop w:val="0"/>
      <w:marBottom w:val="0"/>
      <w:divBdr>
        <w:top w:val="none" w:sz="0" w:space="0" w:color="auto"/>
        <w:left w:val="none" w:sz="0" w:space="0" w:color="auto"/>
        <w:bottom w:val="none" w:sz="0" w:space="0" w:color="auto"/>
        <w:right w:val="none" w:sz="0" w:space="0" w:color="auto"/>
      </w:divBdr>
    </w:div>
    <w:div w:id="1950702908">
      <w:bodyDiv w:val="1"/>
      <w:marLeft w:val="0"/>
      <w:marRight w:val="0"/>
      <w:marTop w:val="0"/>
      <w:marBottom w:val="0"/>
      <w:divBdr>
        <w:top w:val="none" w:sz="0" w:space="0" w:color="auto"/>
        <w:left w:val="none" w:sz="0" w:space="0" w:color="auto"/>
        <w:bottom w:val="none" w:sz="0" w:space="0" w:color="auto"/>
        <w:right w:val="none" w:sz="0" w:space="0" w:color="auto"/>
      </w:divBdr>
    </w:div>
    <w:div w:id="1986350816">
      <w:bodyDiv w:val="1"/>
      <w:marLeft w:val="0"/>
      <w:marRight w:val="0"/>
      <w:marTop w:val="0"/>
      <w:marBottom w:val="0"/>
      <w:divBdr>
        <w:top w:val="none" w:sz="0" w:space="0" w:color="auto"/>
        <w:left w:val="none" w:sz="0" w:space="0" w:color="auto"/>
        <w:bottom w:val="none" w:sz="0" w:space="0" w:color="auto"/>
        <w:right w:val="none" w:sz="0" w:space="0" w:color="auto"/>
      </w:divBdr>
    </w:div>
    <w:div w:id="2107996527">
      <w:bodyDiv w:val="1"/>
      <w:marLeft w:val="0"/>
      <w:marRight w:val="0"/>
      <w:marTop w:val="0"/>
      <w:marBottom w:val="0"/>
      <w:divBdr>
        <w:top w:val="none" w:sz="0" w:space="0" w:color="auto"/>
        <w:left w:val="none" w:sz="0" w:space="0" w:color="auto"/>
        <w:bottom w:val="none" w:sz="0" w:space="0" w:color="auto"/>
        <w:right w:val="none" w:sz="0" w:space="0" w:color="auto"/>
      </w:divBdr>
    </w:div>
    <w:div w:id="21234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Internal_pass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23145</CharactersWithSpaces>
  <SharedDoc>false</SharedDoc>
  <HLinks>
    <vt:vector size="6" baseType="variant">
      <vt:variant>
        <vt:i4>4653117</vt:i4>
      </vt:variant>
      <vt:variant>
        <vt:i4>0</vt:i4>
      </vt:variant>
      <vt:variant>
        <vt:i4>0</vt:i4>
      </vt:variant>
      <vt:variant>
        <vt:i4>5</vt:i4>
      </vt:variant>
      <vt:variant>
        <vt:lpwstr>http://en.wikipedia.org/wiki/Internal_passport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2012-11-27T15:27:00Z</cp:lastPrinted>
  <dcterms:created xsi:type="dcterms:W3CDTF">2017-01-25T01:41:00Z</dcterms:created>
  <dcterms:modified xsi:type="dcterms:W3CDTF">2017-01-25T01:41:00Z</dcterms:modified>
</cp:coreProperties>
</file>