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D72B6F">
        <w:trPr>
          <w:cantSplit/>
          <w:trHeight w:hRule="exact" w:val="851"/>
        </w:trPr>
        <w:tc>
          <w:tcPr>
            <w:tcW w:w="1276" w:type="dxa"/>
            <w:tcBorders>
              <w:bottom w:val="single" w:sz="4" w:space="0" w:color="auto"/>
            </w:tcBorders>
            <w:shd w:val="clear" w:color="auto" w:fill="auto"/>
            <w:vAlign w:val="bottom"/>
          </w:tcPr>
          <w:p w:rsidR="00165C15" w:rsidRPr="003D1513" w:rsidRDefault="00165C15" w:rsidP="00D72B6F">
            <w:pPr>
              <w:spacing w:after="80"/>
              <w:rPr>
                <w:lang w:val="fr-FR"/>
              </w:rPr>
            </w:pPr>
            <w:bookmarkStart w:id="0" w:name="_GoBack"/>
            <w:bookmarkEnd w:id="0"/>
          </w:p>
        </w:tc>
        <w:tc>
          <w:tcPr>
            <w:tcW w:w="2268" w:type="dxa"/>
            <w:tcBorders>
              <w:bottom w:val="single" w:sz="4" w:space="0" w:color="auto"/>
            </w:tcBorders>
            <w:shd w:val="clear" w:color="auto" w:fill="auto"/>
            <w:vAlign w:val="bottom"/>
          </w:tcPr>
          <w:p w:rsidR="00165C15" w:rsidRPr="00D72B6F" w:rsidRDefault="004A033D" w:rsidP="00D72B6F">
            <w:pPr>
              <w:spacing w:after="80" w:line="300" w:lineRule="exact"/>
              <w:rPr>
                <w:b/>
                <w:sz w:val="24"/>
                <w:szCs w:val="24"/>
              </w:rPr>
            </w:pPr>
            <w:r w:rsidRPr="00C95C11">
              <w:rPr>
                <w:sz w:val="28"/>
                <w:lang w:val="fr-FR"/>
              </w:rPr>
              <w:t>Nations Unies</w:t>
            </w:r>
          </w:p>
        </w:tc>
        <w:tc>
          <w:tcPr>
            <w:tcW w:w="6095" w:type="dxa"/>
            <w:gridSpan w:val="2"/>
            <w:tcBorders>
              <w:bottom w:val="single" w:sz="4" w:space="0" w:color="auto"/>
            </w:tcBorders>
            <w:shd w:val="clear" w:color="auto" w:fill="auto"/>
            <w:vAlign w:val="bottom"/>
          </w:tcPr>
          <w:p w:rsidR="00165C15" w:rsidRPr="00D47EEA" w:rsidRDefault="00597415" w:rsidP="00644CAD">
            <w:pPr>
              <w:suppressAutoHyphens w:val="0"/>
              <w:spacing w:after="20"/>
              <w:jc w:val="right"/>
            </w:pPr>
            <w:r w:rsidRPr="00D72B6F">
              <w:rPr>
                <w:sz w:val="40"/>
              </w:rPr>
              <w:t>CCPR</w:t>
            </w:r>
            <w:r>
              <w:t>/C</w:t>
            </w:r>
            <w:r w:rsidR="005C4836">
              <w:t>/</w:t>
            </w:r>
            <w:r w:rsidR="00051B24">
              <w:t>119</w:t>
            </w:r>
            <w:r>
              <w:t>/D/</w:t>
            </w:r>
            <w:r w:rsidR="00051B24">
              <w:t>2</w:t>
            </w:r>
            <w:r w:rsidR="004A033D">
              <w:t>259</w:t>
            </w:r>
            <w:r>
              <w:t>/</w:t>
            </w:r>
            <w:r w:rsidR="004A033D">
              <w:t>2013</w:t>
            </w:r>
          </w:p>
        </w:tc>
      </w:tr>
      <w:tr w:rsidR="00165C15" w:rsidRPr="006A04CA" w:rsidTr="00D72B6F">
        <w:trPr>
          <w:cantSplit/>
          <w:trHeight w:hRule="exact" w:val="2835"/>
        </w:trPr>
        <w:tc>
          <w:tcPr>
            <w:tcW w:w="1276" w:type="dxa"/>
            <w:tcBorders>
              <w:top w:val="single" w:sz="4" w:space="0" w:color="auto"/>
              <w:bottom w:val="single" w:sz="12" w:space="0" w:color="auto"/>
            </w:tcBorders>
            <w:shd w:val="clear" w:color="auto" w:fill="auto"/>
          </w:tcPr>
          <w:p w:rsidR="00165C15" w:rsidRDefault="00A45059" w:rsidP="00D72B6F">
            <w:pPr>
              <w:spacing w:before="120"/>
            </w:pPr>
            <w:r>
              <w:rPr>
                <w:noProof/>
                <w:lang w:val="en-US"/>
              </w:rPr>
              <w:drawing>
                <wp:inline distT="0" distB="0" distL="0" distR="0" wp14:anchorId="5E62D0BE" wp14:editId="0FEF0076">
                  <wp:extent cx="713740" cy="595630"/>
                  <wp:effectExtent l="0" t="0" r="0" b="0"/>
                  <wp:docPr id="2" name="Picture 1" descr="Description :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Default="004A033D" w:rsidP="00D72B6F">
            <w:pPr>
              <w:spacing w:before="120" w:line="380" w:lineRule="exact"/>
              <w:rPr>
                <w:b/>
                <w:sz w:val="34"/>
                <w:szCs w:val="34"/>
                <w:lang w:val="fr-FR"/>
              </w:rPr>
            </w:pPr>
            <w:r w:rsidRPr="00C95C11">
              <w:rPr>
                <w:b/>
                <w:sz w:val="34"/>
                <w:szCs w:val="34"/>
                <w:lang w:val="fr-FR"/>
              </w:rPr>
              <w:t>Pacte international relatif</w:t>
            </w:r>
            <w:r w:rsidRPr="00C95C11">
              <w:rPr>
                <w:b/>
                <w:sz w:val="34"/>
                <w:szCs w:val="34"/>
                <w:lang w:val="fr-FR"/>
              </w:rPr>
              <w:br/>
              <w:t>aux droits civils et politiques</w:t>
            </w:r>
          </w:p>
          <w:p w:rsidR="00B430D3" w:rsidRPr="00D40799" w:rsidRDefault="00B430D3" w:rsidP="00D72B6F">
            <w:pPr>
              <w:spacing w:before="120" w:line="380" w:lineRule="exact"/>
              <w:rPr>
                <w:sz w:val="34"/>
                <w:lang w:val="fr-CH"/>
              </w:rPr>
            </w:pPr>
          </w:p>
        </w:tc>
        <w:tc>
          <w:tcPr>
            <w:tcW w:w="2835" w:type="dxa"/>
            <w:tcBorders>
              <w:top w:val="single" w:sz="4" w:space="0" w:color="auto"/>
              <w:bottom w:val="single" w:sz="12" w:space="0" w:color="auto"/>
            </w:tcBorders>
            <w:shd w:val="clear" w:color="auto" w:fill="auto"/>
          </w:tcPr>
          <w:p w:rsidR="004A033D" w:rsidRPr="00D40799" w:rsidRDefault="004A033D" w:rsidP="004A033D">
            <w:pPr>
              <w:spacing w:before="240"/>
              <w:rPr>
                <w:lang w:val="fr-CH"/>
              </w:rPr>
            </w:pPr>
            <w:r w:rsidRPr="00D40799">
              <w:rPr>
                <w:lang w:val="fr-CH"/>
              </w:rPr>
              <w:t xml:space="preserve">Distr. </w:t>
            </w:r>
            <w:r w:rsidR="00820AF4">
              <w:rPr>
                <w:lang w:val="fr-CH"/>
              </w:rPr>
              <w:t>générale</w:t>
            </w:r>
          </w:p>
          <w:p w:rsidR="00597415" w:rsidRPr="00D40799" w:rsidRDefault="006A04CA" w:rsidP="006A04CA">
            <w:pPr>
              <w:suppressAutoHyphens w:val="0"/>
              <w:rPr>
                <w:lang w:val="fr-CH"/>
              </w:rPr>
            </w:pPr>
            <w:r>
              <w:rPr>
                <w:lang w:val="fr-FR"/>
              </w:rPr>
              <w:t>1</w:t>
            </w:r>
            <w:r w:rsidR="00495984">
              <w:rPr>
                <w:lang w:val="fr-FR"/>
              </w:rPr>
              <w:t>6</w:t>
            </w:r>
            <w:r>
              <w:rPr>
                <w:lang w:val="fr-FR"/>
              </w:rPr>
              <w:t xml:space="preserve"> </w:t>
            </w:r>
            <w:r w:rsidR="00C1336B">
              <w:rPr>
                <w:lang w:val="fr-FR"/>
              </w:rPr>
              <w:t>mai</w:t>
            </w:r>
            <w:r w:rsidR="00B430D3" w:rsidRPr="0072331E">
              <w:rPr>
                <w:lang w:val="fr-FR"/>
              </w:rPr>
              <w:t xml:space="preserve"> 2017</w:t>
            </w:r>
          </w:p>
          <w:p w:rsidR="00597415" w:rsidRPr="00D40799" w:rsidRDefault="00597415" w:rsidP="00D72B6F">
            <w:pPr>
              <w:suppressAutoHyphens w:val="0"/>
              <w:rPr>
                <w:lang w:val="fr-CH"/>
              </w:rPr>
            </w:pPr>
          </w:p>
          <w:p w:rsidR="00597415" w:rsidRPr="00D40799" w:rsidRDefault="004A033D" w:rsidP="00D72B6F">
            <w:pPr>
              <w:suppressAutoHyphens w:val="0"/>
              <w:rPr>
                <w:lang w:val="fr-CH"/>
              </w:rPr>
            </w:pPr>
            <w:r w:rsidRPr="00D40799">
              <w:rPr>
                <w:lang w:val="fr-CH"/>
              </w:rPr>
              <w:t>Original</w:t>
            </w:r>
            <w:r w:rsidR="00A046FA">
              <w:rPr>
                <w:lang w:val="fr-CH"/>
              </w:rPr>
              <w:t> </w:t>
            </w:r>
            <w:r w:rsidRPr="00D40799">
              <w:rPr>
                <w:lang w:val="fr-CH"/>
              </w:rPr>
              <w:t xml:space="preserve">: </w:t>
            </w:r>
            <w:r w:rsidR="002F56D6">
              <w:rPr>
                <w:lang w:val="fr-FR"/>
              </w:rPr>
              <w:t>f</w:t>
            </w:r>
            <w:r w:rsidRPr="00C95C11">
              <w:rPr>
                <w:lang w:val="fr-FR"/>
              </w:rPr>
              <w:t>rançais</w:t>
            </w:r>
          </w:p>
          <w:p w:rsidR="00597415" w:rsidRPr="00D40799" w:rsidRDefault="00597415" w:rsidP="00D72B6F">
            <w:pPr>
              <w:suppressAutoHyphens w:val="0"/>
              <w:rPr>
                <w:lang w:val="fr-CH"/>
              </w:rPr>
            </w:pPr>
          </w:p>
        </w:tc>
      </w:tr>
    </w:tbl>
    <w:p w:rsidR="004A033D" w:rsidRPr="00D40799" w:rsidRDefault="004A033D" w:rsidP="004A033D">
      <w:pPr>
        <w:kinsoku w:val="0"/>
        <w:overflowPunct w:val="0"/>
        <w:autoSpaceDE w:val="0"/>
        <w:autoSpaceDN w:val="0"/>
        <w:adjustRightInd w:val="0"/>
        <w:snapToGrid w:val="0"/>
        <w:spacing w:before="120"/>
        <w:rPr>
          <w:rFonts w:eastAsiaTheme="minorHAnsi"/>
          <w:b/>
          <w:sz w:val="24"/>
          <w:szCs w:val="24"/>
          <w:lang w:val="fr-CH"/>
        </w:rPr>
      </w:pPr>
      <w:r w:rsidRPr="00D40799">
        <w:rPr>
          <w:rFonts w:eastAsiaTheme="minorHAnsi"/>
          <w:b/>
          <w:sz w:val="24"/>
          <w:szCs w:val="24"/>
          <w:lang w:val="fr-CH"/>
        </w:rPr>
        <w:t>Comité des droits de l’homme</w:t>
      </w:r>
    </w:p>
    <w:p w:rsidR="004A033D" w:rsidRPr="00C95C11" w:rsidRDefault="004A033D" w:rsidP="00320899">
      <w:pPr>
        <w:pStyle w:val="HChG"/>
        <w:rPr>
          <w:lang w:val="fr-FR"/>
        </w:rPr>
      </w:pPr>
      <w:r w:rsidRPr="00D40799">
        <w:rPr>
          <w:kern w:val="3"/>
          <w:lang w:val="fr-CH"/>
        </w:rPr>
        <w:tab/>
      </w:r>
      <w:r w:rsidR="002F56D6">
        <w:rPr>
          <w:kern w:val="3"/>
          <w:lang w:val="fr-CH"/>
        </w:rPr>
        <w:tab/>
      </w:r>
      <w:r w:rsidR="00B430D3" w:rsidRPr="002F56D6">
        <w:rPr>
          <w:lang w:val="fr-FR"/>
        </w:rPr>
        <w:t xml:space="preserve">Constatations adoptées par le Comité au titre </w:t>
      </w:r>
      <w:r w:rsidR="00D4383C">
        <w:rPr>
          <w:lang w:val="fr-FR"/>
        </w:rPr>
        <w:t>de l’article </w:t>
      </w:r>
      <w:r w:rsidR="00B430D3" w:rsidRPr="002F56D6">
        <w:rPr>
          <w:lang w:val="fr-FR"/>
        </w:rPr>
        <w:t xml:space="preserve">5 </w:t>
      </w:r>
      <w:r w:rsidR="00312EC4">
        <w:rPr>
          <w:lang w:val="fr-FR"/>
        </w:rPr>
        <w:t>(par.</w:t>
      </w:r>
      <w:r w:rsidR="00602E7C">
        <w:rPr>
          <w:lang w:val="fr-FR"/>
        </w:rPr>
        <w:t> </w:t>
      </w:r>
      <w:r w:rsidR="00312EC4">
        <w:rPr>
          <w:lang w:val="fr-FR"/>
        </w:rPr>
        <w:t xml:space="preserve">4) </w:t>
      </w:r>
      <w:r w:rsidR="00B430D3" w:rsidRPr="002F56D6">
        <w:rPr>
          <w:lang w:val="fr-FR"/>
        </w:rPr>
        <w:t>du Protocole facultatif</w:t>
      </w:r>
      <w:r w:rsidR="00A42A32">
        <w:rPr>
          <w:lang w:val="fr-FR"/>
        </w:rPr>
        <w:t>,</w:t>
      </w:r>
      <w:r w:rsidR="00B430D3" w:rsidRPr="002F56D6">
        <w:rPr>
          <w:lang w:val="fr-FR"/>
        </w:rPr>
        <w:t xml:space="preserve"> concernant la</w:t>
      </w:r>
      <w:r w:rsidR="00B430D3">
        <w:rPr>
          <w:kern w:val="3"/>
          <w:lang w:val="fr-CH"/>
        </w:rPr>
        <w:t xml:space="preserve"> </w:t>
      </w:r>
      <w:r w:rsidR="00510C2F">
        <w:rPr>
          <w:kern w:val="3"/>
          <w:lang w:val="fr-CH"/>
        </w:rPr>
        <w:t>c</w:t>
      </w:r>
      <w:r w:rsidRPr="00D40799">
        <w:rPr>
          <w:kern w:val="3"/>
          <w:lang w:val="fr-CH"/>
        </w:rPr>
        <w:t xml:space="preserve">ommunication </w:t>
      </w:r>
      <w:r w:rsidR="00510C2F" w:rsidRPr="00D40799">
        <w:rPr>
          <w:kern w:val="3"/>
          <w:lang w:val="fr-CH"/>
        </w:rPr>
        <w:t>n</w:t>
      </w:r>
      <w:r w:rsidR="00510C2F">
        <w:rPr>
          <w:kern w:val="3"/>
          <w:vertAlign w:val="superscript"/>
          <w:lang w:val="fr-CH"/>
        </w:rPr>
        <w:t>o</w:t>
      </w:r>
      <w:r w:rsidR="00510C2F" w:rsidRPr="0072331E">
        <w:rPr>
          <w:kern w:val="3"/>
          <w:lang w:val="fr-CH"/>
        </w:rPr>
        <w:t> </w:t>
      </w:r>
      <w:r w:rsidRPr="00D40799">
        <w:rPr>
          <w:kern w:val="3"/>
          <w:lang w:val="fr-CH"/>
        </w:rPr>
        <w:t>2259/2013</w:t>
      </w:r>
      <w:r w:rsidR="00B430D3" w:rsidRPr="0072331E">
        <w:rPr>
          <w:rStyle w:val="FootnoteReference"/>
          <w:b w:val="0"/>
          <w:bCs/>
          <w:sz w:val="20"/>
          <w:vertAlign w:val="baseline"/>
          <w:lang w:val="fr-FR"/>
        </w:rPr>
        <w:footnoteReference w:customMarkFollows="1" w:id="1"/>
        <w:t>*</w:t>
      </w:r>
      <w:r w:rsidR="00B430D3" w:rsidRPr="0072331E">
        <w:rPr>
          <w:b w:val="0"/>
          <w:bCs/>
          <w:position w:val="4"/>
          <w:sz w:val="20"/>
          <w:lang w:val="fr-FR"/>
        </w:rPr>
        <w:t>,</w:t>
      </w:r>
      <w:r w:rsidR="003E13E5" w:rsidRPr="0072331E">
        <w:rPr>
          <w:b w:val="0"/>
          <w:bCs/>
          <w:position w:val="4"/>
          <w:sz w:val="20"/>
          <w:lang w:val="fr-FR"/>
        </w:rPr>
        <w:t xml:space="preserve"> </w:t>
      </w:r>
      <w:r w:rsidR="00B430D3" w:rsidRPr="0072331E">
        <w:rPr>
          <w:rStyle w:val="FootnoteReference"/>
          <w:b w:val="0"/>
          <w:bCs/>
          <w:sz w:val="20"/>
          <w:vertAlign w:val="baseline"/>
          <w:lang w:val="fr-FR"/>
        </w:rPr>
        <w:footnoteReference w:customMarkFollows="1" w:id="2"/>
        <w:t>*</w:t>
      </w:r>
      <w:r w:rsidR="00B430D3" w:rsidRPr="0072331E">
        <w:rPr>
          <w:rStyle w:val="FootnoteReference"/>
          <w:b w:val="0"/>
          <w:bCs/>
          <w:sz w:val="20"/>
          <w:vertAlign w:val="baseline"/>
          <w:lang w:val="fr-FR"/>
        </w:rPr>
        <w:footnoteReference w:customMarkFollows="1" w:id="3"/>
        <w:t>*</w:t>
      </w:r>
      <w:r w:rsidR="00CA742B">
        <w:rPr>
          <w:b w:val="0"/>
          <w:bCs/>
          <w:sz w:val="20"/>
          <w:lang w:val="fr-FR"/>
        </w:rPr>
        <w:t xml:space="preserve"> </w:t>
      </w:r>
    </w:p>
    <w:tbl>
      <w:tblPr>
        <w:tblW w:w="0" w:type="auto"/>
        <w:tblInd w:w="1134" w:type="dxa"/>
        <w:tblLayout w:type="fixed"/>
        <w:tblCellMar>
          <w:left w:w="10" w:type="dxa"/>
          <w:right w:w="10" w:type="dxa"/>
        </w:tblCellMar>
        <w:tblLook w:val="0000" w:firstRow="0" w:lastRow="0" w:firstColumn="0" w:lastColumn="0" w:noHBand="0" w:noVBand="0"/>
      </w:tblPr>
      <w:tblGrid>
        <w:gridCol w:w="3402"/>
        <w:gridCol w:w="3969"/>
      </w:tblGrid>
      <w:tr w:rsidR="004A033D" w:rsidRPr="006A04CA"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i/>
                <w:kern w:val="3"/>
                <w:lang w:val="fr-FR"/>
              </w:rPr>
              <w:t>Communication présentée par</w:t>
            </w:r>
            <w:r>
              <w:rPr>
                <w:i/>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Pr>
                <w:lang w:val="fr-FR"/>
              </w:rPr>
              <w:t>Malika El Boathi (représentée par Nasse</w:t>
            </w:r>
            <w:r w:rsidRPr="008749AF">
              <w:rPr>
                <w:lang w:val="fr-FR"/>
              </w:rPr>
              <w:t>ra Dutour du Collectif des fam</w:t>
            </w:r>
            <w:r>
              <w:rPr>
                <w:lang w:val="fr-FR"/>
              </w:rPr>
              <w:t>illes de disparu(e)s en Algérie)</w:t>
            </w:r>
          </w:p>
        </w:tc>
      </w:tr>
      <w:tr w:rsidR="004A033D" w:rsidRPr="006A04CA"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i/>
                <w:kern w:val="3"/>
                <w:lang w:val="fr-FR"/>
              </w:rPr>
              <w:t>Au nom de</w:t>
            </w:r>
            <w:r>
              <w:rPr>
                <w:i/>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Pr>
                <w:kern w:val="3"/>
                <w:lang w:val="fr-FR"/>
              </w:rPr>
              <w:t>L’auteure et Brahim El Boathi (fils de l’auteure)</w:t>
            </w:r>
          </w:p>
        </w:tc>
      </w:tr>
      <w:tr w:rsidR="004A033D" w:rsidRPr="00884EA8" w:rsidTr="0072331E">
        <w:tc>
          <w:tcPr>
            <w:tcW w:w="3402" w:type="dxa"/>
            <w:shd w:val="clear" w:color="auto" w:fill="FFFFFF"/>
            <w:tcMar>
              <w:top w:w="0" w:type="dxa"/>
              <w:left w:w="0" w:type="dxa"/>
              <w:bottom w:w="0" w:type="dxa"/>
              <w:right w:w="0" w:type="dxa"/>
            </w:tcMar>
          </w:tcPr>
          <w:p w:rsidR="004A033D" w:rsidRPr="00C95C11" w:rsidRDefault="00A42A32" w:rsidP="003A183A">
            <w:pPr>
              <w:autoSpaceDN w:val="0"/>
              <w:spacing w:after="100"/>
              <w:textAlignment w:val="baseline"/>
              <w:rPr>
                <w:kern w:val="3"/>
                <w:lang w:val="fr-FR"/>
              </w:rPr>
            </w:pPr>
            <w:r>
              <w:rPr>
                <w:i/>
                <w:kern w:val="3"/>
                <w:lang w:val="fr-FR"/>
              </w:rPr>
              <w:t>État</w:t>
            </w:r>
            <w:r w:rsidRPr="00C95C11">
              <w:rPr>
                <w:i/>
                <w:kern w:val="3"/>
                <w:lang w:val="fr-FR"/>
              </w:rPr>
              <w:t xml:space="preserve"> </w:t>
            </w:r>
            <w:r w:rsidR="004A033D" w:rsidRPr="00C95C11">
              <w:rPr>
                <w:i/>
                <w:kern w:val="3"/>
                <w:lang w:val="fr-FR"/>
              </w:rPr>
              <w:t>partie</w:t>
            </w:r>
            <w:r w:rsidR="004A033D">
              <w:rPr>
                <w:i/>
                <w:kern w:val="3"/>
                <w:lang w:val="fr-FR"/>
              </w:rPr>
              <w:t> </w:t>
            </w:r>
            <w:r w:rsidR="004A033D"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kern w:val="3"/>
                <w:lang w:val="fr-FR"/>
              </w:rPr>
              <w:t>Algérie</w:t>
            </w:r>
          </w:p>
        </w:tc>
      </w:tr>
      <w:tr w:rsidR="004A033D" w:rsidRPr="006A04CA"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i/>
                <w:kern w:val="3"/>
                <w:lang w:val="fr-FR"/>
              </w:rPr>
              <w:t>Date de la communication</w:t>
            </w:r>
            <w:r>
              <w:rPr>
                <w:i/>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Pr>
                <w:kern w:val="3"/>
                <w:lang w:val="fr-FR"/>
              </w:rPr>
              <w:t>5 avril</w:t>
            </w:r>
            <w:r w:rsidRPr="00C95C11">
              <w:rPr>
                <w:kern w:val="3"/>
                <w:lang w:val="fr-FR"/>
              </w:rPr>
              <w:t xml:space="preserve"> 2013 (date de la lettre initiale)</w:t>
            </w:r>
          </w:p>
        </w:tc>
      </w:tr>
      <w:tr w:rsidR="004A033D" w:rsidRPr="006A04CA"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i/>
                <w:kern w:val="3"/>
                <w:lang w:val="fr-FR"/>
              </w:rPr>
              <w:t>Références</w:t>
            </w:r>
            <w:r>
              <w:rPr>
                <w:i/>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20899">
            <w:pPr>
              <w:autoSpaceDN w:val="0"/>
              <w:spacing w:after="100"/>
              <w:textAlignment w:val="baseline"/>
              <w:rPr>
                <w:kern w:val="3"/>
                <w:lang w:val="fr-FR"/>
              </w:rPr>
            </w:pPr>
            <w:r w:rsidRPr="00C95C11">
              <w:rPr>
                <w:kern w:val="3"/>
                <w:lang w:val="fr-FR"/>
              </w:rPr>
              <w:t>Décision prise en</w:t>
            </w:r>
            <w:r w:rsidR="00A77DB5">
              <w:rPr>
                <w:kern w:val="3"/>
                <w:lang w:val="fr-FR"/>
              </w:rPr>
              <w:t xml:space="preserve"> </w:t>
            </w:r>
            <w:r w:rsidRPr="00C95C11">
              <w:rPr>
                <w:kern w:val="3"/>
                <w:lang w:val="fr-FR"/>
              </w:rPr>
              <w:t>application des articles 92 et 97 du règlement intérieur</w:t>
            </w:r>
            <w:r w:rsidR="008C3174">
              <w:rPr>
                <w:kern w:val="3"/>
                <w:lang w:val="fr-FR"/>
              </w:rPr>
              <w:t xml:space="preserve"> du Comité</w:t>
            </w:r>
            <w:r w:rsidRPr="00C95C11">
              <w:rPr>
                <w:kern w:val="3"/>
                <w:lang w:val="fr-FR"/>
              </w:rPr>
              <w:t xml:space="preserve">, communiquée à </w:t>
            </w:r>
            <w:r w:rsidR="00AE1D34" w:rsidRPr="00C95C11">
              <w:rPr>
                <w:kern w:val="3"/>
                <w:lang w:val="fr-FR"/>
              </w:rPr>
              <w:t>l’</w:t>
            </w:r>
            <w:r w:rsidR="00AE1D34">
              <w:rPr>
                <w:kern w:val="3"/>
                <w:lang w:val="fr-FR"/>
              </w:rPr>
              <w:t>État</w:t>
            </w:r>
            <w:r w:rsidR="00AE1D34" w:rsidRPr="00C95C11">
              <w:rPr>
                <w:kern w:val="3"/>
                <w:lang w:val="fr-FR"/>
              </w:rPr>
              <w:t xml:space="preserve"> </w:t>
            </w:r>
            <w:r w:rsidRPr="00C95C11">
              <w:rPr>
                <w:kern w:val="3"/>
                <w:lang w:val="fr-FR"/>
              </w:rPr>
              <w:t xml:space="preserve">partie le </w:t>
            </w:r>
            <w:r>
              <w:rPr>
                <w:kern w:val="3"/>
                <w:lang w:val="fr-FR"/>
              </w:rPr>
              <w:t>14 juin 2013</w:t>
            </w:r>
            <w:r w:rsidRPr="00C95C11">
              <w:rPr>
                <w:kern w:val="3"/>
                <w:lang w:val="fr-FR"/>
              </w:rPr>
              <w:t xml:space="preserve"> (non</w:t>
            </w:r>
            <w:r>
              <w:rPr>
                <w:kern w:val="3"/>
                <w:lang w:val="fr-FR"/>
              </w:rPr>
              <w:t xml:space="preserve"> </w:t>
            </w:r>
            <w:r w:rsidRPr="00C95C11">
              <w:rPr>
                <w:kern w:val="3"/>
                <w:lang w:val="fr-FR"/>
              </w:rPr>
              <w:t>publiée sous forme de document)</w:t>
            </w:r>
          </w:p>
        </w:tc>
      </w:tr>
      <w:tr w:rsidR="004A033D" w:rsidRPr="00884EA8"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i/>
                <w:kern w:val="3"/>
                <w:lang w:val="fr-FR"/>
              </w:rPr>
              <w:t>Date des constatations</w:t>
            </w:r>
            <w:r>
              <w:rPr>
                <w:i/>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644CAD" w:rsidP="003A183A">
            <w:pPr>
              <w:autoSpaceDN w:val="0"/>
              <w:spacing w:after="100"/>
              <w:textAlignment w:val="baseline"/>
              <w:rPr>
                <w:kern w:val="3"/>
                <w:lang w:val="fr-FR"/>
              </w:rPr>
            </w:pPr>
            <w:r>
              <w:rPr>
                <w:kern w:val="3"/>
                <w:lang w:val="fr-FR"/>
              </w:rPr>
              <w:t>17 mars 2017</w:t>
            </w:r>
          </w:p>
        </w:tc>
      </w:tr>
      <w:tr w:rsidR="004A033D" w:rsidRPr="00884EA8"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lang w:val="fr-FR"/>
              </w:rPr>
              <w:br w:type="page"/>
            </w:r>
            <w:r w:rsidRPr="00C95C11">
              <w:rPr>
                <w:rFonts w:ascii="Calibri" w:hAnsi="Calibri" w:cs="Arial"/>
                <w:kern w:val="3"/>
                <w:lang w:val="fr-FR" w:eastAsia="en-GB"/>
              </w:rPr>
              <w:br w:type="page"/>
            </w:r>
            <w:r w:rsidRPr="00C95C11">
              <w:rPr>
                <w:i/>
                <w:iCs/>
                <w:kern w:val="3"/>
                <w:lang w:val="fr-FR"/>
              </w:rPr>
              <w:t>Objet</w:t>
            </w:r>
            <w:r>
              <w:rPr>
                <w:i/>
                <w:iCs/>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Pr>
                <w:kern w:val="3"/>
                <w:lang w:val="fr-FR"/>
              </w:rPr>
              <w:t>Disparition forcée</w:t>
            </w:r>
          </w:p>
        </w:tc>
      </w:tr>
      <w:tr w:rsidR="004A033D" w:rsidRPr="00F3675A" w:rsidTr="0072331E">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i/>
                <w:iCs/>
                <w:kern w:val="3"/>
                <w:lang w:val="fr-FR"/>
              </w:rPr>
            </w:pPr>
            <w:r w:rsidRPr="00C95C11">
              <w:rPr>
                <w:i/>
                <w:iCs/>
                <w:kern w:val="3"/>
                <w:lang w:val="fr-FR"/>
              </w:rPr>
              <w:t>Question(s) de procédure</w:t>
            </w:r>
            <w:r>
              <w:rPr>
                <w:i/>
                <w:iCs/>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F3675A" w:rsidRDefault="004A033D" w:rsidP="003A183A">
            <w:pPr>
              <w:autoSpaceDN w:val="0"/>
              <w:spacing w:after="100"/>
              <w:textAlignment w:val="baseline"/>
              <w:rPr>
                <w:kern w:val="3"/>
                <w:lang w:val="fr-FR"/>
              </w:rPr>
            </w:pPr>
            <w:r>
              <w:rPr>
                <w:kern w:val="3"/>
                <w:lang w:val="fr-FR"/>
              </w:rPr>
              <w:t>Épuisement des recours internes</w:t>
            </w:r>
          </w:p>
        </w:tc>
      </w:tr>
      <w:tr w:rsidR="004A033D" w:rsidRPr="006A04CA" w:rsidTr="0072331E">
        <w:trPr>
          <w:trHeight w:val="1091"/>
        </w:trPr>
        <w:tc>
          <w:tcPr>
            <w:tcW w:w="3402"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C95C11">
              <w:rPr>
                <w:i/>
                <w:iCs/>
                <w:kern w:val="3"/>
                <w:lang w:val="fr-FR"/>
              </w:rPr>
              <w:t>Question(s) de fond</w:t>
            </w:r>
            <w:r>
              <w:rPr>
                <w:i/>
                <w:iCs/>
                <w:kern w:val="3"/>
                <w:lang w:val="fr-FR"/>
              </w:rPr>
              <w:t> </w:t>
            </w:r>
            <w:r w:rsidRPr="00C95C11">
              <w:rPr>
                <w:kern w:val="3"/>
                <w:lang w:val="fr-FR"/>
              </w:rPr>
              <w:t>:</w:t>
            </w:r>
          </w:p>
        </w:tc>
        <w:tc>
          <w:tcPr>
            <w:tcW w:w="3969" w:type="dxa"/>
            <w:shd w:val="clear" w:color="auto" w:fill="FFFFFF"/>
            <w:tcMar>
              <w:top w:w="0" w:type="dxa"/>
              <w:left w:w="0" w:type="dxa"/>
              <w:bottom w:w="0" w:type="dxa"/>
              <w:right w:w="0" w:type="dxa"/>
            </w:tcMar>
          </w:tcPr>
          <w:p w:rsidR="004A033D" w:rsidRPr="00C95C11" w:rsidRDefault="004A033D" w:rsidP="003A183A">
            <w:pPr>
              <w:autoSpaceDN w:val="0"/>
              <w:spacing w:after="100"/>
              <w:textAlignment w:val="baseline"/>
              <w:rPr>
                <w:kern w:val="3"/>
                <w:lang w:val="fr-FR"/>
              </w:rPr>
            </w:pPr>
            <w:r w:rsidRPr="008749AF">
              <w:rPr>
                <w:lang w:val="fr-FR"/>
              </w:rPr>
              <w:t>Droit à un recours utile</w:t>
            </w:r>
            <w:r w:rsidR="005920EB">
              <w:rPr>
                <w:lang w:val="fr-FR"/>
              </w:rPr>
              <w:t> </w:t>
            </w:r>
            <w:r w:rsidRPr="008749AF">
              <w:rPr>
                <w:lang w:val="fr-FR"/>
              </w:rPr>
              <w:t>;</w:t>
            </w:r>
            <w:r w:rsidRPr="005B62F8">
              <w:rPr>
                <w:lang w:val="fr-FR"/>
              </w:rPr>
              <w:t xml:space="preserve"> interdiction de la torture et des traitements cruels, inhumains </w:t>
            </w:r>
            <w:r w:rsidR="008361F1">
              <w:rPr>
                <w:lang w:val="fr-FR"/>
              </w:rPr>
              <w:t>ou</w:t>
            </w:r>
            <w:r w:rsidR="008361F1" w:rsidRPr="005B62F8">
              <w:rPr>
                <w:lang w:val="fr-FR"/>
              </w:rPr>
              <w:t xml:space="preserve"> </w:t>
            </w:r>
            <w:r w:rsidRPr="005B62F8">
              <w:rPr>
                <w:lang w:val="fr-FR"/>
              </w:rPr>
              <w:t>dégradants</w:t>
            </w:r>
            <w:r w:rsidR="005920EB">
              <w:rPr>
                <w:lang w:val="fr-FR"/>
              </w:rPr>
              <w:t> </w:t>
            </w:r>
            <w:r w:rsidRPr="008749AF">
              <w:rPr>
                <w:lang w:val="fr-FR"/>
              </w:rPr>
              <w:t>;</w:t>
            </w:r>
            <w:r w:rsidRPr="005B62F8">
              <w:rPr>
                <w:lang w:val="fr-FR"/>
              </w:rPr>
              <w:t xml:space="preserve"> droit à la liberté et à la sécurité de la</w:t>
            </w:r>
            <w:r w:rsidR="0072331E">
              <w:rPr>
                <w:lang w:val="fr-FR"/>
              </w:rPr>
              <w:t> </w:t>
            </w:r>
            <w:r w:rsidRPr="005B62F8">
              <w:rPr>
                <w:lang w:val="fr-FR"/>
              </w:rPr>
              <w:t>personne</w:t>
            </w:r>
            <w:r w:rsidR="005920EB">
              <w:rPr>
                <w:lang w:val="fr-FR"/>
              </w:rPr>
              <w:t> </w:t>
            </w:r>
            <w:r w:rsidRPr="008749AF">
              <w:rPr>
                <w:lang w:val="fr-FR"/>
              </w:rPr>
              <w:t>;</w:t>
            </w:r>
            <w:r w:rsidRPr="005B62F8">
              <w:rPr>
                <w:lang w:val="fr-FR"/>
              </w:rPr>
              <w:t xml:space="preserve"> respe</w:t>
            </w:r>
            <w:r w:rsidR="0072331E">
              <w:rPr>
                <w:lang w:val="fr-FR"/>
              </w:rPr>
              <w:t>ct de la dignité inhérente à la </w:t>
            </w:r>
            <w:r w:rsidRPr="005B62F8">
              <w:rPr>
                <w:lang w:val="fr-FR"/>
              </w:rPr>
              <w:t>personne humaine</w:t>
            </w:r>
            <w:r w:rsidR="005920EB">
              <w:rPr>
                <w:lang w:val="fr-FR"/>
              </w:rPr>
              <w:t> </w:t>
            </w:r>
            <w:r w:rsidRPr="008749AF">
              <w:rPr>
                <w:lang w:val="fr-FR"/>
              </w:rPr>
              <w:t>;</w:t>
            </w:r>
            <w:r w:rsidR="0072331E">
              <w:rPr>
                <w:lang w:val="fr-FR"/>
              </w:rPr>
              <w:t xml:space="preserve"> reconnaissance de la </w:t>
            </w:r>
            <w:r w:rsidRPr="005B62F8">
              <w:rPr>
                <w:lang w:val="fr-FR"/>
              </w:rPr>
              <w:t>personnalité juridique</w:t>
            </w:r>
          </w:p>
        </w:tc>
      </w:tr>
      <w:tr w:rsidR="004A033D" w:rsidRPr="00884EA8" w:rsidTr="0072331E">
        <w:tc>
          <w:tcPr>
            <w:tcW w:w="3402" w:type="dxa"/>
            <w:shd w:val="clear" w:color="auto" w:fill="FFFFFF"/>
            <w:tcMar>
              <w:top w:w="0" w:type="dxa"/>
              <w:left w:w="0" w:type="dxa"/>
              <w:bottom w:w="0" w:type="dxa"/>
              <w:right w:w="0" w:type="dxa"/>
            </w:tcMar>
          </w:tcPr>
          <w:p w:rsidR="004A033D" w:rsidRPr="00F3675A" w:rsidRDefault="004A033D" w:rsidP="003A183A">
            <w:pPr>
              <w:autoSpaceDN w:val="0"/>
              <w:spacing w:after="100"/>
              <w:textAlignment w:val="baseline"/>
              <w:rPr>
                <w:kern w:val="3"/>
                <w:lang w:val="fr-FR"/>
              </w:rPr>
            </w:pPr>
            <w:r w:rsidRPr="00F3675A">
              <w:rPr>
                <w:i/>
                <w:iCs/>
                <w:kern w:val="3"/>
                <w:lang w:val="fr-FR"/>
              </w:rPr>
              <w:t>Article(s) du Pacte </w:t>
            </w:r>
            <w:r w:rsidRPr="00F3675A">
              <w:rPr>
                <w:kern w:val="3"/>
                <w:lang w:val="fr-FR"/>
              </w:rPr>
              <w:t>:</w:t>
            </w:r>
          </w:p>
        </w:tc>
        <w:tc>
          <w:tcPr>
            <w:tcW w:w="3969" w:type="dxa"/>
            <w:shd w:val="clear" w:color="auto" w:fill="FFFFFF"/>
            <w:tcMar>
              <w:top w:w="0" w:type="dxa"/>
              <w:left w:w="0" w:type="dxa"/>
              <w:bottom w:w="0" w:type="dxa"/>
              <w:right w:w="0" w:type="dxa"/>
            </w:tcMar>
          </w:tcPr>
          <w:p w:rsidR="004A033D" w:rsidRPr="00F3675A" w:rsidRDefault="004A033D" w:rsidP="003A183A">
            <w:pPr>
              <w:autoSpaceDN w:val="0"/>
              <w:spacing w:after="100"/>
              <w:textAlignment w:val="baseline"/>
              <w:rPr>
                <w:kern w:val="3"/>
                <w:lang w:val="fr-FR"/>
              </w:rPr>
            </w:pPr>
            <w:r>
              <w:rPr>
                <w:kern w:val="3"/>
                <w:lang w:val="fr-FR"/>
              </w:rPr>
              <w:t xml:space="preserve">2 </w:t>
            </w:r>
            <w:r w:rsidR="00665A94">
              <w:rPr>
                <w:kern w:val="3"/>
                <w:lang w:val="fr-FR"/>
              </w:rPr>
              <w:t>(</w:t>
            </w:r>
            <w:r>
              <w:rPr>
                <w:kern w:val="3"/>
                <w:lang w:val="fr-FR"/>
              </w:rPr>
              <w:t>par</w:t>
            </w:r>
            <w:r w:rsidR="00665A94">
              <w:rPr>
                <w:kern w:val="3"/>
                <w:lang w:val="fr-FR"/>
              </w:rPr>
              <w:t>.</w:t>
            </w:r>
            <w:r>
              <w:rPr>
                <w:kern w:val="3"/>
                <w:lang w:val="fr-FR"/>
              </w:rPr>
              <w:t xml:space="preserve"> 2 et 3</w:t>
            </w:r>
            <w:r w:rsidR="00665A94">
              <w:rPr>
                <w:kern w:val="3"/>
                <w:lang w:val="fr-FR"/>
              </w:rPr>
              <w:t>)</w:t>
            </w:r>
            <w:r w:rsidRPr="00F3675A">
              <w:rPr>
                <w:kern w:val="3"/>
                <w:lang w:val="fr-FR"/>
              </w:rPr>
              <w:t xml:space="preserve">, </w:t>
            </w:r>
            <w:r>
              <w:rPr>
                <w:kern w:val="3"/>
                <w:lang w:val="fr-FR"/>
              </w:rPr>
              <w:t>6, 7, 9, 10</w:t>
            </w:r>
            <w:r w:rsidRPr="00F3675A">
              <w:rPr>
                <w:kern w:val="3"/>
                <w:lang w:val="fr-FR"/>
              </w:rPr>
              <w:t xml:space="preserve"> et 1</w:t>
            </w:r>
            <w:r>
              <w:rPr>
                <w:kern w:val="3"/>
                <w:lang w:val="fr-FR"/>
              </w:rPr>
              <w:t>6</w:t>
            </w:r>
            <w:r w:rsidRPr="00F3675A">
              <w:rPr>
                <w:kern w:val="3"/>
                <w:lang w:val="fr-FR"/>
              </w:rPr>
              <w:t xml:space="preserve"> </w:t>
            </w:r>
          </w:p>
        </w:tc>
      </w:tr>
    </w:tbl>
    <w:p w:rsidR="004A033D" w:rsidRDefault="004A033D" w:rsidP="00320899">
      <w:pPr>
        <w:pStyle w:val="SingleTxtG"/>
        <w:spacing w:after="100" w:line="220" w:lineRule="atLeast"/>
        <w:rPr>
          <w:lang w:val="fr-FR"/>
        </w:rPr>
      </w:pPr>
      <w:r w:rsidRPr="00A5253A">
        <w:rPr>
          <w:lang w:val="fr-FR"/>
        </w:rPr>
        <w:t>1.</w:t>
      </w:r>
      <w:r>
        <w:rPr>
          <w:lang w:val="fr-FR"/>
        </w:rPr>
        <w:t>1</w:t>
      </w:r>
      <w:r>
        <w:rPr>
          <w:lang w:val="fr-FR"/>
        </w:rPr>
        <w:tab/>
      </w:r>
      <w:r w:rsidRPr="00C95C11">
        <w:rPr>
          <w:lang w:val="fr-FR"/>
        </w:rPr>
        <w:t>L’auteur</w:t>
      </w:r>
      <w:r>
        <w:rPr>
          <w:lang w:val="fr-FR"/>
        </w:rPr>
        <w:t>e</w:t>
      </w:r>
      <w:r w:rsidRPr="00C95C11">
        <w:rPr>
          <w:lang w:val="fr-FR"/>
        </w:rPr>
        <w:t xml:space="preserve"> de la communication </w:t>
      </w:r>
      <w:r>
        <w:rPr>
          <w:lang w:val="fr-FR"/>
        </w:rPr>
        <w:t>est Malika El Boathi, de nationalité algérienne. Elle</w:t>
      </w:r>
      <w:r w:rsidRPr="008749AF">
        <w:rPr>
          <w:lang w:val="fr-FR"/>
        </w:rPr>
        <w:t xml:space="preserve"> fait v</w:t>
      </w:r>
      <w:r>
        <w:rPr>
          <w:lang w:val="fr-FR"/>
        </w:rPr>
        <w:t>aloir que son fils, Brahim El Boathi</w:t>
      </w:r>
      <w:r w:rsidR="004757DF">
        <w:rPr>
          <w:lang w:val="fr-FR"/>
        </w:rPr>
        <w:t>,</w:t>
      </w:r>
      <w:r>
        <w:rPr>
          <w:lang w:val="fr-FR"/>
        </w:rPr>
        <w:t xml:space="preserve"> né le 3 avril </w:t>
      </w:r>
      <w:r w:rsidRPr="00301518">
        <w:rPr>
          <w:lang w:val="fr-FR"/>
        </w:rPr>
        <w:t>1965, de nationalité algérienne également, est victime d’une disparition forcée imputable à l’</w:t>
      </w:r>
      <w:r w:rsidR="00AE1D34">
        <w:rPr>
          <w:lang w:val="fr-FR"/>
        </w:rPr>
        <w:t>État</w:t>
      </w:r>
      <w:r w:rsidRPr="00301518">
        <w:rPr>
          <w:lang w:val="fr-FR"/>
        </w:rPr>
        <w:t xml:space="preserve"> partie, en violation des articles </w:t>
      </w:r>
      <w:r>
        <w:rPr>
          <w:lang w:val="fr-FR"/>
        </w:rPr>
        <w:t xml:space="preserve">2 </w:t>
      </w:r>
      <w:r w:rsidR="004757DF">
        <w:rPr>
          <w:lang w:val="fr-FR"/>
        </w:rPr>
        <w:t>(</w:t>
      </w:r>
      <w:r w:rsidRPr="00301518">
        <w:rPr>
          <w:lang w:val="fr-FR"/>
        </w:rPr>
        <w:t>par</w:t>
      </w:r>
      <w:r w:rsidR="004757DF">
        <w:rPr>
          <w:lang w:val="fr-FR"/>
        </w:rPr>
        <w:t>.</w:t>
      </w:r>
      <w:r>
        <w:rPr>
          <w:lang w:val="fr-FR"/>
        </w:rPr>
        <w:t xml:space="preserve"> 2 et 3</w:t>
      </w:r>
      <w:r w:rsidR="004757DF">
        <w:rPr>
          <w:lang w:val="fr-FR"/>
        </w:rPr>
        <w:t>)</w:t>
      </w:r>
      <w:r w:rsidRPr="00301518">
        <w:rPr>
          <w:lang w:val="fr-FR"/>
        </w:rPr>
        <w:t xml:space="preserve">, </w:t>
      </w:r>
      <w:r>
        <w:rPr>
          <w:lang w:val="fr-FR"/>
        </w:rPr>
        <w:t xml:space="preserve">6, </w:t>
      </w:r>
      <w:r w:rsidRPr="00301518">
        <w:rPr>
          <w:lang w:val="fr-FR"/>
        </w:rPr>
        <w:t>7, 9, 10 et 16 du Pacte. L’auteure soutient, quant à elle, être victime de violations des articles </w:t>
      </w:r>
      <w:r>
        <w:rPr>
          <w:lang w:val="fr-FR"/>
        </w:rPr>
        <w:t>2 (par. 2</w:t>
      </w:r>
      <w:r w:rsidRPr="00301518">
        <w:rPr>
          <w:lang w:val="fr-FR"/>
        </w:rPr>
        <w:t>) et 7</w:t>
      </w:r>
      <w:r>
        <w:rPr>
          <w:lang w:val="fr-FR"/>
        </w:rPr>
        <w:t xml:space="preserve"> lu conjo</w:t>
      </w:r>
      <w:r w:rsidR="00CC76C0">
        <w:rPr>
          <w:lang w:val="fr-FR"/>
        </w:rPr>
        <w:t>intement avec l’article 2 (par. </w:t>
      </w:r>
      <w:r>
        <w:rPr>
          <w:lang w:val="fr-FR"/>
        </w:rPr>
        <w:t>3)</w:t>
      </w:r>
      <w:r w:rsidRPr="00301518">
        <w:rPr>
          <w:lang w:val="fr-FR"/>
        </w:rPr>
        <w:t xml:space="preserve"> du </w:t>
      </w:r>
      <w:r w:rsidRPr="00301518">
        <w:rPr>
          <w:lang w:val="fr-FR"/>
        </w:rPr>
        <w:lastRenderedPageBreak/>
        <w:t>Pacte. Elle est représentée par Nassera Dutour du</w:t>
      </w:r>
      <w:r w:rsidRPr="00301518" w:rsidDel="000E637A">
        <w:rPr>
          <w:lang w:val="fr-FR"/>
        </w:rPr>
        <w:t xml:space="preserve"> </w:t>
      </w:r>
      <w:r w:rsidRPr="00301518">
        <w:rPr>
          <w:lang w:val="fr-FR"/>
        </w:rPr>
        <w:t>Collectif des familles de disparu(e)s en Algérie.</w:t>
      </w:r>
    </w:p>
    <w:p w:rsidR="004A033D" w:rsidRPr="00A52FAA" w:rsidRDefault="004A033D" w:rsidP="004A033D">
      <w:pPr>
        <w:pStyle w:val="H23G"/>
        <w:rPr>
          <w:lang w:val="fr-FR"/>
        </w:rPr>
      </w:pPr>
      <w:r>
        <w:rPr>
          <w:lang w:val="fr-FR"/>
        </w:rPr>
        <w:tab/>
      </w:r>
      <w:r>
        <w:rPr>
          <w:lang w:val="fr-FR"/>
        </w:rPr>
        <w:tab/>
      </w:r>
      <w:r w:rsidRPr="00A33A86">
        <w:rPr>
          <w:lang w:val="fr-FR"/>
        </w:rPr>
        <w:t>Rappel des faits</w:t>
      </w:r>
      <w:r w:rsidR="00A33A86">
        <w:rPr>
          <w:lang w:val="fr-FR"/>
        </w:rPr>
        <w:t xml:space="preserve"> tels que présentés par l’auteure</w:t>
      </w:r>
    </w:p>
    <w:p w:rsidR="004A033D" w:rsidRDefault="004A033D">
      <w:pPr>
        <w:pStyle w:val="SingleTxtG"/>
        <w:rPr>
          <w:lang w:val="fr-FR"/>
        </w:rPr>
      </w:pPr>
      <w:r>
        <w:rPr>
          <w:lang w:val="fr-FR"/>
        </w:rPr>
        <w:t>2.1</w:t>
      </w:r>
      <w:r w:rsidR="002003D6">
        <w:rPr>
          <w:lang w:val="fr-FR"/>
        </w:rPr>
        <w:tab/>
      </w:r>
      <w:r>
        <w:rPr>
          <w:lang w:val="fr-FR"/>
        </w:rPr>
        <w:t>Brahim El Boathi, né le 3 avril 1965, était marié</w:t>
      </w:r>
      <w:r w:rsidR="008321C9">
        <w:rPr>
          <w:lang w:val="fr-FR"/>
        </w:rPr>
        <w:t xml:space="preserve"> et </w:t>
      </w:r>
      <w:r>
        <w:rPr>
          <w:lang w:val="fr-FR"/>
        </w:rPr>
        <w:t xml:space="preserve">père de deux enfants. Il était engagé comme militaire à la caserne de Bouzareah. Le 17 janvier 1994, il a pris le bus de la </w:t>
      </w:r>
      <w:r w:rsidR="00DF213E">
        <w:rPr>
          <w:lang w:val="fr-FR"/>
        </w:rPr>
        <w:t xml:space="preserve">place </w:t>
      </w:r>
      <w:r>
        <w:rPr>
          <w:lang w:val="fr-FR"/>
        </w:rPr>
        <w:t xml:space="preserve">des Martyrs pour se rendre à son travail. Il a été arrêté à un barrage de police au niveau </w:t>
      </w:r>
      <w:r w:rsidR="001D3974">
        <w:rPr>
          <w:lang w:val="fr-FR"/>
        </w:rPr>
        <w:t xml:space="preserve">de la cité </w:t>
      </w:r>
      <w:r>
        <w:rPr>
          <w:lang w:val="fr-FR"/>
        </w:rPr>
        <w:t xml:space="preserve">de Climat de France, dans la commune d’Oued Koriche située dans la </w:t>
      </w:r>
      <w:r w:rsidR="00804C7B">
        <w:rPr>
          <w:lang w:val="fr-FR"/>
        </w:rPr>
        <w:t xml:space="preserve">daïra </w:t>
      </w:r>
      <w:r>
        <w:rPr>
          <w:lang w:val="fr-FR"/>
        </w:rPr>
        <w:t xml:space="preserve">de Bab el Oued, dans la </w:t>
      </w:r>
      <w:r w:rsidR="007771A1">
        <w:rPr>
          <w:lang w:val="fr-FR"/>
        </w:rPr>
        <w:t xml:space="preserve">wilaya </w:t>
      </w:r>
      <w:r>
        <w:rPr>
          <w:lang w:val="fr-FR"/>
        </w:rPr>
        <w:t xml:space="preserve">d’Alger. Sa famille ne l’a plus jamais revu. </w:t>
      </w:r>
    </w:p>
    <w:p w:rsidR="004A033D" w:rsidRDefault="004A033D">
      <w:pPr>
        <w:pStyle w:val="SingleTxtG"/>
        <w:rPr>
          <w:lang w:val="fr-FR"/>
        </w:rPr>
      </w:pPr>
      <w:r>
        <w:rPr>
          <w:lang w:val="fr-FR"/>
        </w:rPr>
        <w:t>2.2</w:t>
      </w:r>
      <w:r w:rsidR="002003D6">
        <w:rPr>
          <w:lang w:val="fr-FR"/>
        </w:rPr>
        <w:tab/>
      </w:r>
      <w:r>
        <w:rPr>
          <w:lang w:val="fr-FR"/>
        </w:rPr>
        <w:t>Le 19 janvier 1994, Malika El Boathi (ci-après l’auteure) a entamé des procédures de recherche de son fils, infructueuses, dans les commissariats aux alentours du lieu de sa disparition. L’auteure s’est rendue au tribunal de Baïnem</w:t>
      </w:r>
      <w:r w:rsidR="002651E3">
        <w:rPr>
          <w:lang w:val="fr-FR"/>
        </w:rPr>
        <w:t>,</w:t>
      </w:r>
      <w:r>
        <w:rPr>
          <w:lang w:val="fr-FR"/>
        </w:rPr>
        <w:t xml:space="preserve"> à Alger</w:t>
      </w:r>
      <w:r w:rsidR="002651E3">
        <w:rPr>
          <w:lang w:val="fr-FR"/>
        </w:rPr>
        <w:t>,</w:t>
      </w:r>
      <w:r>
        <w:rPr>
          <w:lang w:val="fr-FR"/>
        </w:rPr>
        <w:t xml:space="preserve"> où elle a été reçue par le </w:t>
      </w:r>
      <w:r w:rsidR="0009339E">
        <w:rPr>
          <w:lang w:val="fr-FR"/>
        </w:rPr>
        <w:t xml:space="preserve">Procureur </w:t>
      </w:r>
      <w:r>
        <w:rPr>
          <w:lang w:val="fr-FR"/>
        </w:rPr>
        <w:t xml:space="preserve">et l’a informé de la disparition de son fils. Ce dernier a appelé différents commissariats de la </w:t>
      </w:r>
      <w:r w:rsidR="007771A1">
        <w:rPr>
          <w:lang w:val="fr-FR"/>
        </w:rPr>
        <w:t xml:space="preserve">wilaya </w:t>
      </w:r>
      <w:r>
        <w:rPr>
          <w:lang w:val="fr-FR"/>
        </w:rPr>
        <w:t xml:space="preserve">d’Alger. Au commissariat d’Oued Koriche, le </w:t>
      </w:r>
      <w:r w:rsidR="002651E3">
        <w:rPr>
          <w:lang w:val="fr-FR"/>
        </w:rPr>
        <w:t xml:space="preserve">Procureur </w:t>
      </w:r>
      <w:r>
        <w:rPr>
          <w:lang w:val="fr-FR"/>
        </w:rPr>
        <w:t>a parlé avec un officier, A.</w:t>
      </w:r>
      <w:r w:rsidR="002651E3">
        <w:rPr>
          <w:lang w:val="fr-FR"/>
        </w:rPr>
        <w:t> </w:t>
      </w:r>
      <w:r>
        <w:rPr>
          <w:lang w:val="fr-FR"/>
        </w:rPr>
        <w:t xml:space="preserve">Z., qui lui a confirmé qu’il avait lui-même arrêté Brahim El Boathi. Sur les conseils du </w:t>
      </w:r>
      <w:r w:rsidR="002651E3">
        <w:rPr>
          <w:lang w:val="fr-FR"/>
        </w:rPr>
        <w:t xml:space="preserve">Procureur </w:t>
      </w:r>
      <w:r>
        <w:rPr>
          <w:lang w:val="fr-FR"/>
        </w:rPr>
        <w:t>et dotée d’une lettre signée de ce dernier, l’auteure s’est rendue au commissariat d’Oued Koriche où elle a rencontré A.</w:t>
      </w:r>
      <w:r w:rsidR="002651E3">
        <w:rPr>
          <w:lang w:val="fr-FR"/>
        </w:rPr>
        <w:t> </w:t>
      </w:r>
      <w:r>
        <w:rPr>
          <w:lang w:val="fr-FR"/>
        </w:rPr>
        <w:t xml:space="preserve">Z. qui, à la découverte de son identité, a </w:t>
      </w:r>
      <w:r w:rsidR="00207FF0">
        <w:rPr>
          <w:lang w:val="fr-FR"/>
        </w:rPr>
        <w:t>manifesté des</w:t>
      </w:r>
      <w:r>
        <w:rPr>
          <w:lang w:val="fr-FR"/>
        </w:rPr>
        <w:t xml:space="preserve"> signes de violence à son égard. Calmé par la lettre du </w:t>
      </w:r>
      <w:r w:rsidR="00D251E8">
        <w:rPr>
          <w:lang w:val="fr-FR"/>
        </w:rPr>
        <w:t>Procureur</w:t>
      </w:r>
      <w:r>
        <w:rPr>
          <w:lang w:val="fr-FR"/>
        </w:rPr>
        <w:t>, A.</w:t>
      </w:r>
      <w:r w:rsidR="002651E3" w:rsidRPr="0072331E">
        <w:rPr>
          <w:lang w:val="fr-FR"/>
        </w:rPr>
        <w:t> </w:t>
      </w:r>
      <w:r>
        <w:rPr>
          <w:lang w:val="fr-FR"/>
        </w:rPr>
        <w:t>Z. a reconnu avoir arrêté Brahim El Boathi et a affirmé l’avoir tué. A.</w:t>
      </w:r>
      <w:r w:rsidR="002651E3">
        <w:rPr>
          <w:lang w:val="fr-FR"/>
        </w:rPr>
        <w:t> </w:t>
      </w:r>
      <w:r>
        <w:rPr>
          <w:lang w:val="fr-FR"/>
        </w:rPr>
        <w:t xml:space="preserve">Z. a refusé de fournir le certificat de décès réclamé par l’auteure, affirmant que c’était impossible. </w:t>
      </w:r>
    </w:p>
    <w:p w:rsidR="004A033D" w:rsidRDefault="004A033D">
      <w:pPr>
        <w:pStyle w:val="SingleTxtG"/>
        <w:rPr>
          <w:lang w:val="fr-FR"/>
        </w:rPr>
      </w:pPr>
      <w:r>
        <w:rPr>
          <w:lang w:val="fr-FR"/>
        </w:rPr>
        <w:t>2.3</w:t>
      </w:r>
      <w:r w:rsidR="002003D6">
        <w:rPr>
          <w:lang w:val="fr-FR"/>
        </w:rPr>
        <w:tab/>
      </w:r>
      <w:r w:rsidR="00A7590B">
        <w:rPr>
          <w:lang w:val="fr-FR"/>
        </w:rPr>
        <w:t>S</w:t>
      </w:r>
      <w:r>
        <w:rPr>
          <w:lang w:val="fr-FR"/>
        </w:rPr>
        <w:t xml:space="preserve">ur les conseils du </w:t>
      </w:r>
      <w:r w:rsidR="00A7590B">
        <w:rPr>
          <w:lang w:val="fr-FR"/>
        </w:rPr>
        <w:t xml:space="preserve">Procureur </w:t>
      </w:r>
      <w:r>
        <w:rPr>
          <w:lang w:val="fr-FR"/>
        </w:rPr>
        <w:t xml:space="preserve">du tribunal de Baïnem, </w:t>
      </w:r>
      <w:r w:rsidR="00A7590B">
        <w:rPr>
          <w:lang w:val="fr-FR"/>
        </w:rPr>
        <w:t xml:space="preserve">l’auteure </w:t>
      </w:r>
      <w:r>
        <w:rPr>
          <w:lang w:val="fr-FR"/>
        </w:rPr>
        <w:t>est retournée au commissariat d’Oued Koriche pour voir A.</w:t>
      </w:r>
      <w:r w:rsidR="002E3DB0">
        <w:rPr>
          <w:lang w:val="fr-FR"/>
        </w:rPr>
        <w:t> </w:t>
      </w:r>
      <w:r>
        <w:rPr>
          <w:lang w:val="fr-FR"/>
        </w:rPr>
        <w:t>Z. et demander à voir les photos de son fils mort. A.</w:t>
      </w:r>
      <w:r w:rsidR="002E3DB0">
        <w:rPr>
          <w:lang w:val="fr-FR"/>
        </w:rPr>
        <w:t> </w:t>
      </w:r>
      <w:r>
        <w:rPr>
          <w:lang w:val="fr-FR"/>
        </w:rPr>
        <w:t>Z. a affirmé à l’auteure que les photos se trouvaient au commissariat central et lui a demandé de revenir le lendemain. Le lendemain, de retour au commissariat d’Oued Koriche, A.</w:t>
      </w:r>
      <w:r w:rsidR="002E3DB0">
        <w:rPr>
          <w:lang w:val="fr-FR"/>
        </w:rPr>
        <w:t> </w:t>
      </w:r>
      <w:r>
        <w:rPr>
          <w:lang w:val="fr-FR"/>
        </w:rPr>
        <w:t xml:space="preserve">Z. </w:t>
      </w:r>
      <w:r w:rsidR="00AF6764">
        <w:rPr>
          <w:lang w:val="fr-FR"/>
        </w:rPr>
        <w:t xml:space="preserve">lui </w:t>
      </w:r>
      <w:r>
        <w:rPr>
          <w:lang w:val="fr-FR"/>
        </w:rPr>
        <w:t xml:space="preserve">a montré 26 photos de personnes décédées, portant toutes </w:t>
      </w:r>
      <w:r w:rsidR="00686C25">
        <w:rPr>
          <w:lang w:val="fr-FR"/>
        </w:rPr>
        <w:t xml:space="preserve">des </w:t>
      </w:r>
      <w:r>
        <w:rPr>
          <w:lang w:val="fr-FR"/>
        </w:rPr>
        <w:t>traces de torture, et a ordonné à l’auteure d’identifier son fils. L’auteure n’a pas reconnu son fils sur lesdites photos. Quinze jours plus tard, A.</w:t>
      </w:r>
      <w:r w:rsidR="002E3DB0">
        <w:rPr>
          <w:lang w:val="fr-FR"/>
        </w:rPr>
        <w:t> </w:t>
      </w:r>
      <w:r>
        <w:rPr>
          <w:lang w:val="fr-FR"/>
        </w:rPr>
        <w:t>Z. a convoqué l’auteure aux fins de lui donner le numéro de la tombe de son fils au cimetière d’El Alia où elle a alors construit une tombe au nom de son fils. Quelques jours plus tard, A.</w:t>
      </w:r>
      <w:r w:rsidR="002E3DB0">
        <w:rPr>
          <w:lang w:val="fr-FR"/>
        </w:rPr>
        <w:t> </w:t>
      </w:r>
      <w:r>
        <w:rPr>
          <w:lang w:val="fr-FR"/>
        </w:rPr>
        <w:t>Z. a rappelé l’auteure pour l’informer que la personne enterrée dans la tombe indiquée n’était en fait pas son fils.</w:t>
      </w:r>
    </w:p>
    <w:p w:rsidR="004A033D" w:rsidRDefault="004A033D">
      <w:pPr>
        <w:pStyle w:val="SingleTxtG"/>
        <w:rPr>
          <w:lang w:val="fr-FR"/>
        </w:rPr>
      </w:pPr>
      <w:r>
        <w:rPr>
          <w:lang w:val="fr-FR"/>
        </w:rPr>
        <w:t>2.4</w:t>
      </w:r>
      <w:r w:rsidR="002003D6">
        <w:rPr>
          <w:lang w:val="fr-FR"/>
        </w:rPr>
        <w:tab/>
      </w:r>
      <w:r>
        <w:rPr>
          <w:lang w:val="fr-FR"/>
        </w:rPr>
        <w:t xml:space="preserve">L’auteure a saisi le </w:t>
      </w:r>
      <w:r w:rsidR="008C2F32">
        <w:rPr>
          <w:lang w:val="fr-FR"/>
        </w:rPr>
        <w:t xml:space="preserve">Procureur </w:t>
      </w:r>
      <w:r>
        <w:rPr>
          <w:lang w:val="fr-FR"/>
        </w:rPr>
        <w:t xml:space="preserve">du tribunal d’Hammamet qui l’a convoquée pour lui </w:t>
      </w:r>
      <w:r w:rsidR="00A275F9">
        <w:rPr>
          <w:lang w:val="fr-FR"/>
        </w:rPr>
        <w:t xml:space="preserve">indiquer </w:t>
      </w:r>
      <w:r>
        <w:rPr>
          <w:lang w:val="fr-FR"/>
        </w:rPr>
        <w:t xml:space="preserve">que l’affaire de son fils était réglée, sans plus de précisions, et que la police viendrait lui expliquer les événements entourant la mort de son fils. Face au silence de la police, l’auteure est retournée au commissariat d’Oued Koriche, accompagnée de son petit-fils, où elle a été insultée par des policiers cagoulés et s’est enfuie. </w:t>
      </w:r>
    </w:p>
    <w:p w:rsidR="004A033D" w:rsidRDefault="004A033D">
      <w:pPr>
        <w:pStyle w:val="SingleTxtG"/>
        <w:rPr>
          <w:lang w:val="fr-FR"/>
        </w:rPr>
      </w:pPr>
      <w:r>
        <w:rPr>
          <w:lang w:val="fr-FR"/>
        </w:rPr>
        <w:t>2.5</w:t>
      </w:r>
      <w:r w:rsidR="002003D6">
        <w:rPr>
          <w:lang w:val="fr-FR"/>
        </w:rPr>
        <w:tab/>
      </w:r>
      <w:r w:rsidRPr="00D40799">
        <w:rPr>
          <w:lang w:val="fr-CH"/>
        </w:rPr>
        <w:t>Le 2 mai 2000,</w:t>
      </w:r>
      <w:r w:rsidRPr="00B2040D">
        <w:rPr>
          <w:lang w:val="fr-FR"/>
        </w:rPr>
        <w:t xml:space="preserve"> </w:t>
      </w:r>
      <w:r>
        <w:rPr>
          <w:lang w:val="fr-FR"/>
        </w:rPr>
        <w:t>le tribunal d’Abbane Ramdane à Alger</w:t>
      </w:r>
      <w:r w:rsidRPr="00D40799">
        <w:rPr>
          <w:lang w:val="fr-CH"/>
        </w:rPr>
        <w:t xml:space="preserve"> </w:t>
      </w:r>
      <w:r w:rsidR="003C24BA">
        <w:rPr>
          <w:lang w:val="fr-CH"/>
        </w:rPr>
        <w:t xml:space="preserve">a </w:t>
      </w:r>
      <w:r w:rsidRPr="00D40799">
        <w:rPr>
          <w:lang w:val="fr-CH"/>
        </w:rPr>
        <w:t>refus</w:t>
      </w:r>
      <w:r w:rsidR="003C24BA">
        <w:rPr>
          <w:lang w:val="fr-CH"/>
        </w:rPr>
        <w:t>é</w:t>
      </w:r>
      <w:r w:rsidRPr="00D40799">
        <w:rPr>
          <w:lang w:val="fr-CH"/>
        </w:rPr>
        <w:t xml:space="preserve"> de délivrer un jugement de disparition, </w:t>
      </w:r>
      <w:r>
        <w:rPr>
          <w:lang w:val="fr-FR"/>
        </w:rPr>
        <w:t>impliquant une reconnaissance implicite par les autorités de ce que Brahim El Boathi était toujours vivant</w:t>
      </w:r>
      <w:r w:rsidRPr="00D40799">
        <w:rPr>
          <w:lang w:val="fr-CH"/>
        </w:rPr>
        <w:t>.</w:t>
      </w:r>
      <w:r w:rsidR="001462EF">
        <w:rPr>
          <w:lang w:val="fr-CH"/>
        </w:rPr>
        <w:t xml:space="preserve"> </w:t>
      </w:r>
      <w:r>
        <w:rPr>
          <w:lang w:val="fr-FR"/>
        </w:rPr>
        <w:t xml:space="preserve">Toutefois, avant comme après le procès, l’auteure n’a cessé de recevoir des informations contradictoires sur le statut de son fils. Ainsi, </w:t>
      </w:r>
      <w:r w:rsidR="00EA27C8">
        <w:rPr>
          <w:lang w:val="fr-FR"/>
        </w:rPr>
        <w:t xml:space="preserve">elle </w:t>
      </w:r>
      <w:r>
        <w:rPr>
          <w:lang w:val="fr-FR"/>
        </w:rPr>
        <w:t>a été convoquée en 1999 au commissariat du 5</w:t>
      </w:r>
      <w:r w:rsidRPr="00E66BD4">
        <w:rPr>
          <w:vertAlign w:val="superscript"/>
          <w:lang w:val="fr-FR"/>
        </w:rPr>
        <w:t>e</w:t>
      </w:r>
      <w:r>
        <w:rPr>
          <w:lang w:val="fr-FR"/>
        </w:rPr>
        <w:t xml:space="preserve"> arrondissement où le commissaire a affirmé que Brahim El Boathi n’était pas mort, tout en refusant de diffuser son lieu de détention. Le 5</w:t>
      </w:r>
      <w:r w:rsidR="00EF223D">
        <w:rPr>
          <w:lang w:val="fr-FR"/>
        </w:rPr>
        <w:t> </w:t>
      </w:r>
      <w:r>
        <w:rPr>
          <w:lang w:val="fr-FR"/>
        </w:rPr>
        <w:t xml:space="preserve">octobre 2000, le lieutenant de la gendarmerie de Bab el Oued reconnaissait quant à lui que Brahim El Boathi avait disparu dans d’obscures circonstances. L’épouse de Brahim El Boathi a exprimé son accord pour une indemnisation. Depuis, l’auteure ainsi que l’épouse de Brahim El Boathi ont effectué de multiples démarches non juridictionnelles et juridictionnelles pour obtenir des renseignements sur les circonstances de la disparition. L’épouse de Brahim El Boathi a été intimidée et a subi des maltraitances à de multiples reprises par la police et la sécurité militaire dans le cadre de ses démarches pour retrouver son époux. </w:t>
      </w:r>
    </w:p>
    <w:p w:rsidR="004A033D" w:rsidRDefault="004A033D">
      <w:pPr>
        <w:pStyle w:val="SingleTxtG"/>
        <w:rPr>
          <w:lang w:val="fr-FR"/>
        </w:rPr>
      </w:pPr>
      <w:r>
        <w:rPr>
          <w:lang w:val="fr-FR"/>
        </w:rPr>
        <w:t>2.6</w:t>
      </w:r>
      <w:r w:rsidR="002003D6">
        <w:rPr>
          <w:lang w:val="fr-FR"/>
        </w:rPr>
        <w:tab/>
      </w:r>
      <w:r>
        <w:rPr>
          <w:lang w:val="fr-FR"/>
        </w:rPr>
        <w:t>En ce qui concerne les démarches non juridictionnelles, l’épouse a ainsi</w:t>
      </w:r>
      <w:r w:rsidR="001462EF">
        <w:rPr>
          <w:lang w:val="fr-FR"/>
        </w:rPr>
        <w:t> :</w:t>
      </w:r>
      <w:r>
        <w:rPr>
          <w:lang w:val="fr-FR"/>
        </w:rPr>
        <w:t xml:space="preserve"> </w:t>
      </w:r>
      <w:r w:rsidR="001462EF">
        <w:rPr>
          <w:lang w:val="fr-FR"/>
        </w:rPr>
        <w:t>a)</w:t>
      </w:r>
      <w:r w:rsidR="00EF223D">
        <w:rPr>
          <w:lang w:val="fr-FR"/>
        </w:rPr>
        <w:t> </w:t>
      </w:r>
      <w:r>
        <w:rPr>
          <w:lang w:val="fr-FR"/>
        </w:rPr>
        <w:t>lancé un avis de recherche (2000)</w:t>
      </w:r>
      <w:r w:rsidR="001462EF">
        <w:rPr>
          <w:lang w:val="fr-FR"/>
        </w:rPr>
        <w:t> ;</w:t>
      </w:r>
      <w:r>
        <w:rPr>
          <w:lang w:val="fr-FR"/>
        </w:rPr>
        <w:t xml:space="preserve"> </w:t>
      </w:r>
      <w:r w:rsidR="001462EF">
        <w:rPr>
          <w:lang w:val="fr-FR"/>
        </w:rPr>
        <w:t>b)</w:t>
      </w:r>
      <w:r w:rsidR="00EF223D">
        <w:rPr>
          <w:lang w:val="fr-FR"/>
        </w:rPr>
        <w:t> </w:t>
      </w:r>
      <w:r>
        <w:rPr>
          <w:lang w:val="fr-FR"/>
        </w:rPr>
        <w:t xml:space="preserve">envoyé une plainte à l’Observatoire national des droits de </w:t>
      </w:r>
      <w:r w:rsidR="001462EF">
        <w:rPr>
          <w:lang w:val="fr-FR"/>
        </w:rPr>
        <w:t xml:space="preserve">l’homme </w:t>
      </w:r>
      <w:r>
        <w:rPr>
          <w:lang w:val="fr-FR"/>
        </w:rPr>
        <w:t>(2001)</w:t>
      </w:r>
      <w:r w:rsidR="001462EF">
        <w:rPr>
          <w:lang w:val="fr-FR"/>
        </w:rPr>
        <w:t> ; et c)</w:t>
      </w:r>
      <w:r w:rsidR="00EF223D">
        <w:rPr>
          <w:lang w:val="fr-FR"/>
        </w:rPr>
        <w:t> </w:t>
      </w:r>
      <w:r>
        <w:rPr>
          <w:lang w:val="fr-FR"/>
        </w:rPr>
        <w:t xml:space="preserve">adressé une lettre à la </w:t>
      </w:r>
      <w:r w:rsidR="00862FCC">
        <w:rPr>
          <w:lang w:val="fr-FR"/>
        </w:rPr>
        <w:t xml:space="preserve">Présidente </w:t>
      </w:r>
      <w:r>
        <w:rPr>
          <w:lang w:val="fr-FR"/>
        </w:rPr>
        <w:t>de l’association SOS Disparu(e)s (2002). L’auteure a quant à elle adressé</w:t>
      </w:r>
      <w:r w:rsidR="000C30F8">
        <w:rPr>
          <w:lang w:val="fr-FR"/>
        </w:rPr>
        <w:t> :</w:t>
      </w:r>
      <w:r>
        <w:rPr>
          <w:lang w:val="fr-FR"/>
        </w:rPr>
        <w:t xml:space="preserve"> a)</w:t>
      </w:r>
      <w:r w:rsidR="00EF223D">
        <w:rPr>
          <w:lang w:val="fr-FR"/>
        </w:rPr>
        <w:t> </w:t>
      </w:r>
      <w:r>
        <w:rPr>
          <w:lang w:val="fr-FR"/>
        </w:rPr>
        <w:t xml:space="preserve">une plainte au </w:t>
      </w:r>
      <w:r w:rsidR="000C30F8">
        <w:rPr>
          <w:lang w:val="fr-FR"/>
        </w:rPr>
        <w:t xml:space="preserve">Ministre </w:t>
      </w:r>
      <w:r>
        <w:rPr>
          <w:lang w:val="fr-FR"/>
        </w:rPr>
        <w:t xml:space="preserve">de la justice </w:t>
      </w:r>
      <w:r w:rsidR="009A00D1">
        <w:rPr>
          <w:lang w:val="fr-FR"/>
        </w:rPr>
        <w:t>qu</w:t>
      </w:r>
      <w:r w:rsidR="009A00D1" w:rsidRPr="009A00D1">
        <w:rPr>
          <w:lang w:val="fr-FR"/>
        </w:rPr>
        <w:t>’</w:t>
      </w:r>
      <w:r w:rsidR="009A00D1">
        <w:rPr>
          <w:lang w:val="fr-FR"/>
        </w:rPr>
        <w:t>elle</w:t>
      </w:r>
      <w:r>
        <w:rPr>
          <w:lang w:val="fr-FR"/>
        </w:rPr>
        <w:t xml:space="preserve"> a fait suivre au </w:t>
      </w:r>
      <w:r w:rsidR="00862FCC">
        <w:rPr>
          <w:lang w:val="fr-FR"/>
        </w:rPr>
        <w:t xml:space="preserve">Président </w:t>
      </w:r>
      <w:r>
        <w:rPr>
          <w:lang w:val="fr-FR"/>
        </w:rPr>
        <w:t>de la République française en vue de sa visite en Algérie (</w:t>
      </w:r>
      <w:r w:rsidRPr="006438CF">
        <w:rPr>
          <w:lang w:val="fr-FR"/>
        </w:rPr>
        <w:t>2002)</w:t>
      </w:r>
      <w:r w:rsidR="00862FCC">
        <w:rPr>
          <w:lang w:val="fr-FR"/>
        </w:rPr>
        <w:t> ;</w:t>
      </w:r>
      <w:r w:rsidRPr="006438CF">
        <w:rPr>
          <w:lang w:val="fr-FR"/>
        </w:rPr>
        <w:t xml:space="preserve"> b)</w:t>
      </w:r>
      <w:r w:rsidR="00EF223D">
        <w:rPr>
          <w:lang w:val="fr-FR"/>
        </w:rPr>
        <w:t> </w:t>
      </w:r>
      <w:r w:rsidRPr="006438CF">
        <w:rPr>
          <w:lang w:val="fr-FR"/>
        </w:rPr>
        <w:t xml:space="preserve">une lettre au </w:t>
      </w:r>
      <w:r w:rsidR="00862FCC">
        <w:rPr>
          <w:lang w:val="fr-FR"/>
        </w:rPr>
        <w:t>C</w:t>
      </w:r>
      <w:r w:rsidR="00862FCC" w:rsidRPr="006438CF">
        <w:rPr>
          <w:lang w:val="fr-FR"/>
        </w:rPr>
        <w:t xml:space="preserve">hef </w:t>
      </w:r>
      <w:r w:rsidRPr="006438CF">
        <w:rPr>
          <w:lang w:val="fr-FR"/>
        </w:rPr>
        <w:t xml:space="preserve">du </w:t>
      </w:r>
      <w:r w:rsidR="00862FCC">
        <w:rPr>
          <w:lang w:val="fr-FR"/>
        </w:rPr>
        <w:t>G</w:t>
      </w:r>
      <w:r w:rsidR="00862FCC" w:rsidRPr="006438CF">
        <w:rPr>
          <w:lang w:val="fr-FR"/>
        </w:rPr>
        <w:t xml:space="preserve">ouvernement </w:t>
      </w:r>
      <w:r w:rsidRPr="006438CF">
        <w:rPr>
          <w:lang w:val="fr-FR"/>
        </w:rPr>
        <w:t>(2003)</w:t>
      </w:r>
      <w:r w:rsidR="00862FCC">
        <w:rPr>
          <w:lang w:val="fr-FR"/>
        </w:rPr>
        <w:t xml:space="preserve"> ; </w:t>
      </w:r>
      <w:r w:rsidRPr="006438CF">
        <w:rPr>
          <w:lang w:val="fr-FR"/>
        </w:rPr>
        <w:t>c)</w:t>
      </w:r>
      <w:r w:rsidR="00EF223D">
        <w:rPr>
          <w:lang w:val="fr-FR"/>
        </w:rPr>
        <w:t> </w:t>
      </w:r>
      <w:r w:rsidRPr="006438CF">
        <w:rPr>
          <w:lang w:val="fr-FR"/>
        </w:rPr>
        <w:t xml:space="preserve">une requête au </w:t>
      </w:r>
      <w:r w:rsidR="00862FCC">
        <w:rPr>
          <w:lang w:val="fr-FR"/>
        </w:rPr>
        <w:t>P</w:t>
      </w:r>
      <w:r w:rsidR="00862FCC" w:rsidRPr="006438CF">
        <w:rPr>
          <w:lang w:val="fr-FR"/>
        </w:rPr>
        <w:t xml:space="preserve">résident </w:t>
      </w:r>
      <w:r w:rsidRPr="006438CF">
        <w:rPr>
          <w:lang w:val="fr-FR"/>
        </w:rPr>
        <w:t xml:space="preserve">de la Commission nationale consultative pour la promotion et la protection des droits de </w:t>
      </w:r>
      <w:r w:rsidRPr="006438CF">
        <w:rPr>
          <w:lang w:val="fr-FR"/>
        </w:rPr>
        <w:lastRenderedPageBreak/>
        <w:t>l’homme aux fins de réfuter les résultats des enquêtes menées par cette instance (2003)</w:t>
      </w:r>
      <w:r w:rsidR="00862FCC">
        <w:rPr>
          <w:lang w:val="fr-FR"/>
        </w:rPr>
        <w:t> ;</w:t>
      </w:r>
      <w:r w:rsidRPr="006438CF">
        <w:rPr>
          <w:lang w:val="fr-FR"/>
        </w:rPr>
        <w:t xml:space="preserve"> d)</w:t>
      </w:r>
      <w:r w:rsidR="00EF223D">
        <w:rPr>
          <w:lang w:val="fr-FR"/>
        </w:rPr>
        <w:t> </w:t>
      </w:r>
      <w:r w:rsidRPr="006438CF">
        <w:rPr>
          <w:lang w:val="fr-FR"/>
        </w:rPr>
        <w:t>une</w:t>
      </w:r>
      <w:r>
        <w:rPr>
          <w:lang w:val="fr-FR"/>
        </w:rPr>
        <w:t xml:space="preserve"> plainte au </w:t>
      </w:r>
      <w:r w:rsidR="00862FCC">
        <w:rPr>
          <w:lang w:val="fr-FR"/>
        </w:rPr>
        <w:t xml:space="preserve">Président </w:t>
      </w:r>
      <w:r>
        <w:rPr>
          <w:lang w:val="fr-FR"/>
        </w:rPr>
        <w:t>de la même institution (2004)</w:t>
      </w:r>
      <w:r w:rsidR="00862FCC">
        <w:rPr>
          <w:lang w:val="fr-FR"/>
        </w:rPr>
        <w:t> ;</w:t>
      </w:r>
      <w:r>
        <w:rPr>
          <w:lang w:val="fr-FR"/>
        </w:rPr>
        <w:t xml:space="preserve"> e)</w:t>
      </w:r>
      <w:r w:rsidR="00EF223D">
        <w:rPr>
          <w:lang w:val="fr-FR"/>
        </w:rPr>
        <w:t> </w:t>
      </w:r>
      <w:r>
        <w:rPr>
          <w:lang w:val="fr-FR"/>
        </w:rPr>
        <w:t xml:space="preserve">une plainte au </w:t>
      </w:r>
      <w:r w:rsidR="00862FCC">
        <w:rPr>
          <w:lang w:val="fr-FR"/>
        </w:rPr>
        <w:t xml:space="preserve">Président </w:t>
      </w:r>
      <w:r>
        <w:rPr>
          <w:lang w:val="fr-FR"/>
        </w:rPr>
        <w:t xml:space="preserve">de la République, au </w:t>
      </w:r>
      <w:r w:rsidR="00862FCC">
        <w:rPr>
          <w:lang w:val="fr-FR"/>
        </w:rPr>
        <w:t xml:space="preserve">Chef </w:t>
      </w:r>
      <w:r>
        <w:rPr>
          <w:lang w:val="fr-FR"/>
        </w:rPr>
        <w:t xml:space="preserve">du </w:t>
      </w:r>
      <w:r w:rsidR="00862FCC">
        <w:rPr>
          <w:lang w:val="fr-FR"/>
        </w:rPr>
        <w:t xml:space="preserve">Gouvernement et </w:t>
      </w:r>
      <w:r>
        <w:rPr>
          <w:lang w:val="fr-FR"/>
        </w:rPr>
        <w:t>au</w:t>
      </w:r>
      <w:r w:rsidR="004919D5">
        <w:rPr>
          <w:lang w:val="fr-FR"/>
        </w:rPr>
        <w:t>x</w:t>
      </w:r>
      <w:r>
        <w:rPr>
          <w:lang w:val="fr-FR"/>
        </w:rPr>
        <w:t xml:space="preserve"> </w:t>
      </w:r>
      <w:r w:rsidR="00862FCC">
        <w:rPr>
          <w:lang w:val="fr-FR"/>
        </w:rPr>
        <w:t>Ministre</w:t>
      </w:r>
      <w:r w:rsidR="004919D5">
        <w:rPr>
          <w:lang w:val="fr-FR"/>
        </w:rPr>
        <w:t>s</w:t>
      </w:r>
      <w:r w:rsidR="00862FCC">
        <w:rPr>
          <w:lang w:val="fr-FR"/>
        </w:rPr>
        <w:t xml:space="preserve"> </w:t>
      </w:r>
      <w:r>
        <w:rPr>
          <w:lang w:val="fr-FR"/>
        </w:rPr>
        <w:t>de la justice et de l’intérieur (2006)</w:t>
      </w:r>
      <w:r w:rsidR="00862FCC">
        <w:rPr>
          <w:lang w:val="fr-FR"/>
        </w:rPr>
        <w:t> ;</w:t>
      </w:r>
      <w:r>
        <w:rPr>
          <w:lang w:val="fr-FR"/>
        </w:rPr>
        <w:t xml:space="preserve"> f)</w:t>
      </w:r>
      <w:r w:rsidR="00EF223D">
        <w:rPr>
          <w:lang w:val="fr-FR"/>
        </w:rPr>
        <w:t> </w:t>
      </w:r>
      <w:r>
        <w:rPr>
          <w:lang w:val="fr-FR"/>
        </w:rPr>
        <w:t>une requête au chef de la brigade de la gendarmerie d’El Achour (2007)</w:t>
      </w:r>
      <w:r w:rsidR="00B95FA4">
        <w:rPr>
          <w:lang w:val="fr-FR"/>
        </w:rPr>
        <w:t> ;</w:t>
      </w:r>
      <w:r>
        <w:rPr>
          <w:lang w:val="fr-FR"/>
        </w:rPr>
        <w:t xml:space="preserve"> g)</w:t>
      </w:r>
      <w:r w:rsidR="00EF223D">
        <w:rPr>
          <w:lang w:val="fr-FR"/>
        </w:rPr>
        <w:t> </w:t>
      </w:r>
      <w:r>
        <w:rPr>
          <w:lang w:val="fr-FR"/>
        </w:rPr>
        <w:t xml:space="preserve">une plainte au </w:t>
      </w:r>
      <w:r w:rsidR="00B95FA4">
        <w:rPr>
          <w:lang w:val="fr-FR"/>
        </w:rPr>
        <w:t xml:space="preserve">Président </w:t>
      </w:r>
      <w:r>
        <w:rPr>
          <w:lang w:val="fr-FR"/>
        </w:rPr>
        <w:t xml:space="preserve">de la République, au </w:t>
      </w:r>
      <w:r w:rsidR="00051DCE">
        <w:rPr>
          <w:lang w:val="fr-FR"/>
        </w:rPr>
        <w:t xml:space="preserve">Ministre </w:t>
      </w:r>
      <w:r>
        <w:rPr>
          <w:lang w:val="fr-FR"/>
        </w:rPr>
        <w:t xml:space="preserve">de la justice, au </w:t>
      </w:r>
      <w:r w:rsidR="00051DCE">
        <w:rPr>
          <w:lang w:val="fr-FR"/>
        </w:rPr>
        <w:t xml:space="preserve">Ministre </w:t>
      </w:r>
      <w:r>
        <w:rPr>
          <w:lang w:val="fr-FR"/>
        </w:rPr>
        <w:t>de l’intérieur, au chef de la première région militaire de la wilaya de Blida</w:t>
      </w:r>
      <w:r w:rsidR="005908C7">
        <w:rPr>
          <w:lang w:val="fr-FR"/>
        </w:rPr>
        <w:t xml:space="preserve"> et </w:t>
      </w:r>
      <w:r>
        <w:rPr>
          <w:lang w:val="fr-FR"/>
        </w:rPr>
        <w:t xml:space="preserve">au conseiller aux droits de </w:t>
      </w:r>
      <w:r w:rsidR="005908C7">
        <w:rPr>
          <w:lang w:val="fr-FR"/>
        </w:rPr>
        <w:t xml:space="preserve">l’homme </w:t>
      </w:r>
      <w:r>
        <w:rPr>
          <w:lang w:val="fr-FR"/>
        </w:rPr>
        <w:t xml:space="preserve">auprès du </w:t>
      </w:r>
      <w:r w:rsidR="005908C7">
        <w:rPr>
          <w:lang w:val="fr-FR"/>
        </w:rPr>
        <w:t xml:space="preserve">Président </w:t>
      </w:r>
      <w:r>
        <w:rPr>
          <w:lang w:val="fr-FR"/>
        </w:rPr>
        <w:t>de la République (2007)</w:t>
      </w:r>
      <w:r w:rsidR="005908C7">
        <w:rPr>
          <w:lang w:val="fr-FR"/>
        </w:rPr>
        <w:t> ;</w:t>
      </w:r>
      <w:r>
        <w:rPr>
          <w:lang w:val="fr-FR"/>
        </w:rPr>
        <w:t xml:space="preserve"> h)</w:t>
      </w:r>
      <w:r w:rsidR="00EF223D">
        <w:rPr>
          <w:lang w:val="fr-FR"/>
        </w:rPr>
        <w:t> </w:t>
      </w:r>
      <w:r>
        <w:rPr>
          <w:lang w:val="fr-FR"/>
        </w:rPr>
        <w:t>une demande d’intervention au chef de délégation du C</w:t>
      </w:r>
      <w:r w:rsidR="00074514">
        <w:rPr>
          <w:lang w:val="fr-FR"/>
        </w:rPr>
        <w:t>omité international de la Croix-Rouge</w:t>
      </w:r>
      <w:r>
        <w:rPr>
          <w:lang w:val="fr-FR"/>
        </w:rPr>
        <w:t xml:space="preserve"> (2007)</w:t>
      </w:r>
      <w:r w:rsidR="005013E9">
        <w:rPr>
          <w:lang w:val="fr-FR"/>
        </w:rPr>
        <w:t> ;</w:t>
      </w:r>
      <w:r>
        <w:rPr>
          <w:lang w:val="fr-FR"/>
        </w:rPr>
        <w:t xml:space="preserve"> </w:t>
      </w:r>
      <w:r w:rsidR="00EF7D9E">
        <w:rPr>
          <w:lang w:val="fr-FR"/>
        </w:rPr>
        <w:t xml:space="preserve">et </w:t>
      </w:r>
      <w:r>
        <w:rPr>
          <w:lang w:val="fr-FR"/>
        </w:rPr>
        <w:t>i)</w:t>
      </w:r>
      <w:r w:rsidR="00EF223D">
        <w:rPr>
          <w:lang w:val="fr-FR"/>
        </w:rPr>
        <w:t> </w:t>
      </w:r>
      <w:r>
        <w:rPr>
          <w:lang w:val="fr-FR"/>
        </w:rPr>
        <w:t xml:space="preserve">une nouvelle demande d’intervention au </w:t>
      </w:r>
      <w:r w:rsidR="00051DCE">
        <w:rPr>
          <w:lang w:val="fr-FR"/>
        </w:rPr>
        <w:t xml:space="preserve">Ministre </w:t>
      </w:r>
      <w:r>
        <w:rPr>
          <w:lang w:val="fr-FR"/>
        </w:rPr>
        <w:t xml:space="preserve">de la justice et au </w:t>
      </w:r>
      <w:r w:rsidR="00EF7D9E">
        <w:rPr>
          <w:lang w:val="fr-FR"/>
        </w:rPr>
        <w:t xml:space="preserve">Président </w:t>
      </w:r>
      <w:r>
        <w:rPr>
          <w:lang w:val="fr-FR"/>
        </w:rPr>
        <w:t xml:space="preserve">de la République (2009). Certaines autorités ont accusé réception de ces requêtes mais se sont contentées de renvoyer l’auteure vers les tribunaux ou vers des démarches de demande d’indemnisation. </w:t>
      </w:r>
      <w:r w:rsidRPr="00F1114B">
        <w:rPr>
          <w:lang w:val="fr-FR"/>
        </w:rPr>
        <w:t xml:space="preserve">La </w:t>
      </w:r>
      <w:r w:rsidR="00314A4E" w:rsidRPr="006438CF">
        <w:rPr>
          <w:lang w:val="fr-FR"/>
        </w:rPr>
        <w:t>Commission nationale consultative pour la promotion et la protection des droits de l’homme</w:t>
      </w:r>
      <w:r>
        <w:rPr>
          <w:lang w:val="fr-FR"/>
        </w:rPr>
        <w:t xml:space="preserve"> a quant à elle effectué une enquête dont les résultats ont été catégoriquement réfutés par l’auteure.</w:t>
      </w:r>
    </w:p>
    <w:p w:rsidR="004A033D" w:rsidRDefault="004A033D">
      <w:pPr>
        <w:pStyle w:val="SingleTxtG"/>
        <w:rPr>
          <w:lang w:val="fr-FR"/>
        </w:rPr>
      </w:pPr>
      <w:r>
        <w:rPr>
          <w:lang w:val="fr-FR"/>
        </w:rPr>
        <w:t>2.7</w:t>
      </w:r>
      <w:r w:rsidR="002003D6">
        <w:rPr>
          <w:lang w:val="fr-FR"/>
        </w:rPr>
        <w:tab/>
      </w:r>
      <w:r>
        <w:rPr>
          <w:lang w:val="fr-FR"/>
        </w:rPr>
        <w:t>En ce qui concerne les démarches juridictionnelles, la famille El Boathi a demandé l’ouverture d’une enquête dès la disparition de Brahim El Boathi</w:t>
      </w:r>
      <w:r w:rsidR="00B623B7">
        <w:rPr>
          <w:lang w:val="fr-FR"/>
        </w:rPr>
        <w:t>,</w:t>
      </w:r>
      <w:r>
        <w:rPr>
          <w:lang w:val="fr-FR"/>
        </w:rPr>
        <w:t xml:space="preserve"> et l’épouse de Brahim El Boathi a été convoquée le</w:t>
      </w:r>
      <w:r w:rsidR="00B623B7">
        <w:rPr>
          <w:lang w:val="fr-FR"/>
        </w:rPr>
        <w:t>s</w:t>
      </w:r>
      <w:r>
        <w:rPr>
          <w:lang w:val="fr-FR"/>
        </w:rPr>
        <w:t xml:space="preserve"> 20 février 1995 et 26 septembre 1999 par la police de Bab El Oued. Après la décision du tribunal de Bab El Oued et de la chambre d’accusatio</w:t>
      </w:r>
      <w:r w:rsidRPr="00A07801">
        <w:rPr>
          <w:lang w:val="fr-FR"/>
        </w:rPr>
        <w:t>n d’Alger du 2 mai 2000 en appel</w:t>
      </w:r>
      <w:r>
        <w:rPr>
          <w:lang w:val="fr-FR"/>
        </w:rPr>
        <w:t xml:space="preserve"> de prononcer le non-lieu de l’affaire, l’auteure a adressé une plainte au </w:t>
      </w:r>
      <w:r w:rsidR="00B623B7">
        <w:rPr>
          <w:lang w:val="fr-FR"/>
        </w:rPr>
        <w:t xml:space="preserve">Procureur </w:t>
      </w:r>
      <w:r>
        <w:rPr>
          <w:lang w:val="fr-FR"/>
        </w:rPr>
        <w:t>de la République le 1</w:t>
      </w:r>
      <w:r w:rsidRPr="003F50E2">
        <w:rPr>
          <w:vertAlign w:val="superscript"/>
          <w:lang w:val="fr-FR"/>
        </w:rPr>
        <w:t>er</w:t>
      </w:r>
      <w:r>
        <w:rPr>
          <w:lang w:val="fr-FR"/>
        </w:rPr>
        <w:t xml:space="preserve"> octobre 2003 et une plainte au </w:t>
      </w:r>
      <w:r w:rsidR="00B623B7">
        <w:rPr>
          <w:lang w:val="fr-FR"/>
        </w:rPr>
        <w:t xml:space="preserve">Procureur </w:t>
      </w:r>
      <w:r>
        <w:rPr>
          <w:lang w:val="fr-FR"/>
        </w:rPr>
        <w:t xml:space="preserve">de la République près le tribunal d’Alger le 14 juin 2006. L’auteure a également envoyé une plainte au </w:t>
      </w:r>
      <w:r w:rsidR="00B675E7">
        <w:rPr>
          <w:lang w:val="fr-FR"/>
        </w:rPr>
        <w:t xml:space="preserve">Président </w:t>
      </w:r>
      <w:r>
        <w:rPr>
          <w:lang w:val="fr-FR"/>
        </w:rPr>
        <w:t xml:space="preserve">du tribunal de Baïnem de la wilaya d’Alger le 31 octobre 2007 et une demande d’intervention au </w:t>
      </w:r>
      <w:r w:rsidR="00B675E7">
        <w:rPr>
          <w:lang w:val="fr-FR"/>
        </w:rPr>
        <w:t xml:space="preserve">Procureur </w:t>
      </w:r>
      <w:r>
        <w:rPr>
          <w:lang w:val="fr-FR"/>
        </w:rPr>
        <w:t xml:space="preserve">de la République de Hussein Dey le 28 janvier 2009. </w:t>
      </w:r>
    </w:p>
    <w:p w:rsidR="004A033D" w:rsidRDefault="004A033D">
      <w:pPr>
        <w:pStyle w:val="SingleTxtG"/>
        <w:rPr>
          <w:lang w:val="fr-FR"/>
        </w:rPr>
      </w:pPr>
      <w:r>
        <w:rPr>
          <w:lang w:val="fr-FR"/>
        </w:rPr>
        <w:t>2.8</w:t>
      </w:r>
      <w:r w:rsidR="002003D6">
        <w:rPr>
          <w:lang w:val="fr-FR"/>
        </w:rPr>
        <w:tab/>
      </w:r>
      <w:r>
        <w:rPr>
          <w:lang w:val="fr-FR"/>
        </w:rPr>
        <w:t xml:space="preserve">L’auteure a été convoquée à plusieurs reprises par la police et la gendarmerie ainsi que par les </w:t>
      </w:r>
      <w:r w:rsidR="00B675E7">
        <w:rPr>
          <w:lang w:val="fr-FR"/>
        </w:rPr>
        <w:t xml:space="preserve">Procureurs </w:t>
      </w:r>
      <w:r>
        <w:rPr>
          <w:lang w:val="fr-FR"/>
        </w:rPr>
        <w:t xml:space="preserve">de la </w:t>
      </w:r>
      <w:r w:rsidR="00B675E7">
        <w:rPr>
          <w:lang w:val="fr-FR"/>
        </w:rPr>
        <w:t xml:space="preserve">République </w:t>
      </w:r>
      <w:r>
        <w:rPr>
          <w:lang w:val="fr-FR"/>
        </w:rPr>
        <w:t xml:space="preserve">près le tribunal de Cheraga et de Bab el Oued. </w:t>
      </w:r>
      <w:r w:rsidR="003D2D09">
        <w:rPr>
          <w:lang w:val="fr-FR"/>
        </w:rPr>
        <w:t xml:space="preserve">Elle </w:t>
      </w:r>
      <w:r>
        <w:rPr>
          <w:lang w:val="fr-FR"/>
        </w:rPr>
        <w:t xml:space="preserve">a </w:t>
      </w:r>
      <w:r w:rsidR="003D2D09">
        <w:rPr>
          <w:lang w:val="fr-FR"/>
        </w:rPr>
        <w:t>reçu</w:t>
      </w:r>
      <w:r>
        <w:rPr>
          <w:lang w:val="fr-FR"/>
        </w:rPr>
        <w:t xml:space="preserve"> des informations contradictoires, les autorités affirmant parfois que son fils était recherché par les services de sécurité tandis que d’autres autorités affirmaient le contraire. Certaines autorités n’ont pas même accusé </w:t>
      </w:r>
      <w:r w:rsidRPr="006438CF">
        <w:rPr>
          <w:lang w:val="fr-FR"/>
        </w:rPr>
        <w:t xml:space="preserve">réception de ses plaintes. Le </w:t>
      </w:r>
      <w:r w:rsidR="000B7CF3" w:rsidRPr="006438CF">
        <w:rPr>
          <w:lang w:val="fr-FR"/>
        </w:rPr>
        <w:t>P</w:t>
      </w:r>
      <w:r w:rsidRPr="006438CF">
        <w:rPr>
          <w:lang w:val="fr-FR"/>
        </w:rPr>
        <w:t>rocureur près le tribunal de Cheraga a ordonné une enquête qui a été effectuée par la police d</w:t>
      </w:r>
      <w:r w:rsidR="00F8311F" w:rsidRPr="00F8311F">
        <w:rPr>
          <w:lang w:val="fr-FR"/>
        </w:rPr>
        <w:t>’</w:t>
      </w:r>
      <w:r w:rsidRPr="006438CF">
        <w:rPr>
          <w:lang w:val="fr-FR"/>
        </w:rPr>
        <w:t>Oued Koriche en 2011</w:t>
      </w:r>
      <w:r w:rsidR="000B7CF3">
        <w:rPr>
          <w:lang w:val="fr-FR"/>
        </w:rPr>
        <w:t>,</w:t>
      </w:r>
      <w:r w:rsidRPr="006438CF">
        <w:rPr>
          <w:lang w:val="fr-FR"/>
        </w:rPr>
        <w:t xml:space="preserve"> selon laquelle Brahim El Boathi aurait été recherché mais jamais arrêté par les services de sécurité.</w:t>
      </w:r>
      <w:r>
        <w:rPr>
          <w:lang w:val="fr-FR"/>
        </w:rPr>
        <w:t xml:space="preserve"> </w:t>
      </w:r>
    </w:p>
    <w:p w:rsidR="004A033D" w:rsidRDefault="00927A28">
      <w:pPr>
        <w:pStyle w:val="SingleTxtG"/>
        <w:rPr>
          <w:lang w:val="fr-FR"/>
        </w:rPr>
      </w:pPr>
      <w:r>
        <w:rPr>
          <w:lang w:val="fr-FR"/>
        </w:rPr>
        <w:t>2.9</w:t>
      </w:r>
      <w:r w:rsidR="002003D6">
        <w:rPr>
          <w:lang w:val="fr-FR"/>
        </w:rPr>
        <w:tab/>
      </w:r>
      <w:r w:rsidR="004A033D">
        <w:rPr>
          <w:lang w:val="fr-FR"/>
        </w:rPr>
        <w:t xml:space="preserve">Le cas de Brahim El Boathi a également été soumis au Groupe de travail sur les disparitions forcées ou involontaires en décembre 2007. </w:t>
      </w:r>
    </w:p>
    <w:p w:rsidR="004A033D" w:rsidRDefault="004A033D" w:rsidP="004A033D">
      <w:pPr>
        <w:pStyle w:val="H23G"/>
        <w:rPr>
          <w:lang w:val="fr-FR"/>
        </w:rPr>
      </w:pPr>
      <w:r>
        <w:rPr>
          <w:lang w:val="fr-FR"/>
        </w:rPr>
        <w:tab/>
      </w:r>
      <w:r>
        <w:rPr>
          <w:lang w:val="fr-FR"/>
        </w:rPr>
        <w:tab/>
        <w:t>Teneur de la plainte</w:t>
      </w:r>
    </w:p>
    <w:p w:rsidR="004A033D" w:rsidRDefault="004A033D">
      <w:pPr>
        <w:pStyle w:val="SingleTxtG"/>
        <w:rPr>
          <w:lang w:val="fr-FR"/>
        </w:rPr>
      </w:pPr>
      <w:r>
        <w:rPr>
          <w:lang w:val="fr-FR"/>
        </w:rPr>
        <w:t>3.1</w:t>
      </w:r>
      <w:r w:rsidR="002003D6">
        <w:rPr>
          <w:lang w:val="fr-FR"/>
        </w:rPr>
        <w:tab/>
      </w:r>
      <w:r w:rsidRPr="00D40799">
        <w:rPr>
          <w:lang w:val="fr-CH"/>
        </w:rPr>
        <w:t>L’auteure allègue que son fils est victime d’une disparition forcée imputable à l’</w:t>
      </w:r>
      <w:r w:rsidR="00AE1D34">
        <w:rPr>
          <w:lang w:val="fr-CH"/>
        </w:rPr>
        <w:t>État</w:t>
      </w:r>
      <w:r w:rsidRPr="00D40799">
        <w:rPr>
          <w:lang w:val="fr-CH"/>
        </w:rPr>
        <w:t xml:space="preserve"> partie telle que définie par l’article 2 de la Convention internationale pour la protection de toutes les personnes contre les disparitions forcées.</w:t>
      </w:r>
      <w:r>
        <w:rPr>
          <w:lang w:val="fr-FR"/>
        </w:rPr>
        <w:t xml:space="preserve"> </w:t>
      </w:r>
      <w:r w:rsidRPr="008749AF">
        <w:rPr>
          <w:lang w:val="fr-FR"/>
        </w:rPr>
        <w:t>L’auteur</w:t>
      </w:r>
      <w:r>
        <w:rPr>
          <w:lang w:val="fr-FR"/>
        </w:rPr>
        <w:t>e</w:t>
      </w:r>
      <w:r w:rsidRPr="008749AF">
        <w:rPr>
          <w:lang w:val="fr-FR"/>
        </w:rPr>
        <w:t xml:space="preserve"> estime que la disparition forcée de</w:t>
      </w:r>
      <w:r>
        <w:rPr>
          <w:lang w:val="fr-FR"/>
        </w:rPr>
        <w:t xml:space="preserve"> son fils depuis le 17 janvier 1994 </w:t>
      </w:r>
      <w:r w:rsidRPr="008749AF">
        <w:rPr>
          <w:lang w:val="fr-FR"/>
        </w:rPr>
        <w:t xml:space="preserve">constitue </w:t>
      </w:r>
      <w:r>
        <w:rPr>
          <w:lang w:val="fr-FR"/>
        </w:rPr>
        <w:t xml:space="preserve">a) </w:t>
      </w:r>
      <w:r w:rsidRPr="008749AF">
        <w:rPr>
          <w:lang w:val="fr-FR"/>
        </w:rPr>
        <w:t>une violation des articles </w:t>
      </w:r>
      <w:r>
        <w:rPr>
          <w:lang w:val="fr-FR"/>
        </w:rPr>
        <w:t xml:space="preserve">2 (par. 2), 2 (par. 3), 6, 7, 9, 10 et 16 du Pacte à l’égard de Brahim El Boathi et b) une violation de l’article 2 (par. 2) et de l’article 7 lu conjointement avec l’article 2 (par. 3) du Pacte à l’égard de l’auteure et </w:t>
      </w:r>
      <w:r w:rsidR="00DC471D">
        <w:rPr>
          <w:lang w:val="fr-FR"/>
        </w:rPr>
        <w:t xml:space="preserve">de </w:t>
      </w:r>
      <w:r>
        <w:rPr>
          <w:lang w:val="fr-FR"/>
        </w:rPr>
        <w:t>sa famille.</w:t>
      </w:r>
    </w:p>
    <w:p w:rsidR="004A033D" w:rsidRDefault="004A033D">
      <w:pPr>
        <w:pStyle w:val="SingleTxtG"/>
        <w:rPr>
          <w:lang w:val="fr-FR"/>
        </w:rPr>
      </w:pPr>
      <w:r>
        <w:rPr>
          <w:lang w:val="fr-FR"/>
        </w:rPr>
        <w:t>3.2</w:t>
      </w:r>
      <w:r w:rsidR="002003D6">
        <w:rPr>
          <w:lang w:val="fr-FR"/>
        </w:rPr>
        <w:tab/>
      </w:r>
      <w:r>
        <w:rPr>
          <w:lang w:val="fr-FR"/>
        </w:rPr>
        <w:t>L’auteure estime que l’ordonnance n</w:t>
      </w:r>
      <w:r w:rsidR="00736006" w:rsidRPr="0072331E">
        <w:rPr>
          <w:vertAlign w:val="superscript"/>
          <w:lang w:val="fr-FR"/>
        </w:rPr>
        <w:t>o</w:t>
      </w:r>
      <w:r w:rsidR="00736006">
        <w:rPr>
          <w:lang w:val="fr-FR"/>
        </w:rPr>
        <w:t> </w:t>
      </w:r>
      <w:r>
        <w:rPr>
          <w:lang w:val="fr-FR"/>
        </w:rPr>
        <w:t>06-01 du 27 février 2006</w:t>
      </w:r>
      <w:r w:rsidRPr="00EF223D">
        <w:rPr>
          <w:rStyle w:val="FootnoteReference"/>
        </w:rPr>
        <w:footnoteReference w:id="4"/>
      </w:r>
      <w:r>
        <w:rPr>
          <w:lang w:val="fr-FR"/>
        </w:rPr>
        <w:t xml:space="preserve"> portant mise en œuvre de la Charte pour la paix et la réconciliation nationale constitue un manquement à l’obligation générale consacrée à l’article 2 (par. 2) du Pacte en ce sens que ladite disposition implique également une obligation négative pour les </w:t>
      </w:r>
      <w:r w:rsidR="00AE1D34">
        <w:rPr>
          <w:lang w:val="fr-FR"/>
        </w:rPr>
        <w:t>État</w:t>
      </w:r>
      <w:r>
        <w:rPr>
          <w:lang w:val="fr-FR"/>
        </w:rPr>
        <w:t>s de ne pas adopter de mesures contraires au Pacte. En adoptant l’ordonnance n</w:t>
      </w:r>
      <w:r w:rsidR="00736006" w:rsidRPr="0072331E">
        <w:rPr>
          <w:vertAlign w:val="superscript"/>
          <w:lang w:val="fr-FR"/>
        </w:rPr>
        <w:t>o</w:t>
      </w:r>
      <w:r w:rsidR="00736006">
        <w:rPr>
          <w:lang w:val="fr-FR"/>
        </w:rPr>
        <w:t> </w:t>
      </w:r>
      <w:r>
        <w:rPr>
          <w:lang w:val="fr-FR"/>
        </w:rPr>
        <w:t>06-01, l’</w:t>
      </w:r>
      <w:r w:rsidR="00AE1D34">
        <w:rPr>
          <w:lang w:val="fr-FR"/>
        </w:rPr>
        <w:t>État</w:t>
      </w:r>
      <w:r>
        <w:rPr>
          <w:lang w:val="fr-FR"/>
        </w:rPr>
        <w:t xml:space="preserve"> partie aurait donc pris une mesure d’ordre législatif privant d’effets les droits reconnus dans le Pacte</w:t>
      </w:r>
      <w:r w:rsidRPr="00EF223D">
        <w:rPr>
          <w:rStyle w:val="FootnoteReference"/>
        </w:rPr>
        <w:footnoteReference w:id="5"/>
      </w:r>
      <w:r>
        <w:rPr>
          <w:lang w:val="fr-FR"/>
        </w:rPr>
        <w:t xml:space="preserve"> et </w:t>
      </w:r>
      <w:r>
        <w:rPr>
          <w:lang w:val="fr-FR"/>
        </w:rPr>
        <w:lastRenderedPageBreak/>
        <w:t xml:space="preserve">particulièrement le droit d’avoir accès à un recours effectif contre des violations des droits de l’homme. L’auteure allègue qu’elle-même comme son fils ont été victimes de cette </w:t>
      </w:r>
      <w:r w:rsidRPr="00320899">
        <w:rPr>
          <w:spacing w:val="-2"/>
          <w:lang w:val="fr-FR"/>
        </w:rPr>
        <w:t>dispositi</w:t>
      </w:r>
      <w:r w:rsidR="00320899" w:rsidRPr="00320899">
        <w:rPr>
          <w:spacing w:val="-2"/>
          <w:lang w:val="fr-FR"/>
        </w:rPr>
        <w:t>on législative et que l’article 2 (par. </w:t>
      </w:r>
      <w:r w:rsidRPr="00320899">
        <w:rPr>
          <w:spacing w:val="-2"/>
          <w:lang w:val="fr-FR"/>
        </w:rPr>
        <w:t>2) du Pacte a été concrètement violé en l’espèce.</w:t>
      </w:r>
      <w:r>
        <w:rPr>
          <w:lang w:val="fr-FR"/>
        </w:rPr>
        <w:t xml:space="preserve"> </w:t>
      </w:r>
    </w:p>
    <w:p w:rsidR="004A033D" w:rsidRDefault="004A033D">
      <w:pPr>
        <w:pStyle w:val="SingleTxtG"/>
        <w:rPr>
          <w:lang w:val="fr-FR"/>
        </w:rPr>
      </w:pPr>
      <w:r>
        <w:rPr>
          <w:lang w:val="fr-FR"/>
        </w:rPr>
        <w:t>3.3</w:t>
      </w:r>
      <w:r w:rsidR="002003D6">
        <w:rPr>
          <w:lang w:val="fr-FR"/>
        </w:rPr>
        <w:tab/>
      </w:r>
      <w:r>
        <w:rPr>
          <w:lang w:val="fr-FR"/>
        </w:rPr>
        <w:t xml:space="preserve">En rappelant que toutes les voies de recours internes, tant </w:t>
      </w:r>
      <w:r w:rsidR="00506664">
        <w:rPr>
          <w:lang w:val="fr-FR"/>
        </w:rPr>
        <w:t>auprès d</w:t>
      </w:r>
      <w:r>
        <w:rPr>
          <w:lang w:val="fr-FR"/>
        </w:rPr>
        <w:t>es autorités judiciaires qu’administratives, ont été épuisées, sans aucun résultat ou enquête réelle menée, l’auteure allègue q</w:t>
      </w:r>
      <w:r w:rsidR="00994BF2">
        <w:rPr>
          <w:lang w:val="fr-FR"/>
        </w:rPr>
        <w:t>u’en vertu de l’article 2 (par. </w:t>
      </w:r>
      <w:r>
        <w:rPr>
          <w:lang w:val="fr-FR"/>
        </w:rPr>
        <w:t>3) l’</w:t>
      </w:r>
      <w:r w:rsidR="00AE1D34">
        <w:rPr>
          <w:lang w:val="fr-FR"/>
        </w:rPr>
        <w:t>État</w:t>
      </w:r>
      <w:r>
        <w:rPr>
          <w:lang w:val="fr-FR"/>
        </w:rPr>
        <w:t xml:space="preserve"> partie avait l’obligation de protéger son fils, Brahim El Boathi, des violations de ses droits par les agents de l’</w:t>
      </w:r>
      <w:r w:rsidR="00AE1D34">
        <w:rPr>
          <w:lang w:val="fr-FR"/>
        </w:rPr>
        <w:t>État</w:t>
      </w:r>
      <w:r>
        <w:rPr>
          <w:lang w:val="fr-FR"/>
        </w:rPr>
        <w:t>. En se référant à la jurisprudence du Comité</w:t>
      </w:r>
      <w:r w:rsidRPr="00EF223D">
        <w:rPr>
          <w:rStyle w:val="FootnoteReference"/>
        </w:rPr>
        <w:footnoteReference w:id="6"/>
      </w:r>
      <w:r>
        <w:rPr>
          <w:lang w:val="fr-FR"/>
        </w:rPr>
        <w:t xml:space="preserve">, elle affirme également que l’absence d’enquête sur des violations présumées peut en soi donner lieu à une violation distincte du Pacte et que la simple négation de l’implication des services de sécurité ne saurait </w:t>
      </w:r>
      <w:r w:rsidR="00F769B9">
        <w:rPr>
          <w:lang w:val="fr-FR"/>
        </w:rPr>
        <w:t xml:space="preserve">entraîner </w:t>
      </w:r>
      <w:r>
        <w:rPr>
          <w:lang w:val="fr-FR"/>
        </w:rPr>
        <w:t>le respect de l’article 2 (par. 3). L’auteure allègue que son fils a été privé d’exercer son droit de recours utile contre les agents de l’</w:t>
      </w:r>
      <w:r w:rsidR="00AE1D34">
        <w:rPr>
          <w:lang w:val="fr-FR"/>
        </w:rPr>
        <w:t>État</w:t>
      </w:r>
      <w:r>
        <w:rPr>
          <w:lang w:val="fr-FR"/>
        </w:rPr>
        <w:t xml:space="preserve"> et que l’article 2 (par. 3) du Pacte a été violé.</w:t>
      </w:r>
    </w:p>
    <w:p w:rsidR="004A033D" w:rsidRDefault="004A033D">
      <w:pPr>
        <w:pStyle w:val="SingleTxtG"/>
        <w:rPr>
          <w:lang w:val="fr-FR"/>
        </w:rPr>
      </w:pPr>
      <w:r>
        <w:rPr>
          <w:lang w:val="fr-FR"/>
        </w:rPr>
        <w:t>3.4</w:t>
      </w:r>
      <w:r w:rsidR="002003D6">
        <w:rPr>
          <w:lang w:val="fr-FR"/>
        </w:rPr>
        <w:tab/>
      </w:r>
      <w:r w:rsidRPr="00D40799">
        <w:rPr>
          <w:lang w:val="fr-CH"/>
        </w:rPr>
        <w:t xml:space="preserve">En dépit de la décision </w:t>
      </w:r>
      <w:r>
        <w:rPr>
          <w:lang w:val="fr-FR"/>
        </w:rPr>
        <w:t>impliquant une reconnaissance implicite par les autorités de ce que Brahim El Boathi était toujours vivant, l’auteure souligne que les informations contradictoires sur le statut de son fils depuis son arrestation en 1994 ainsi que son absence prolongée laissent à penser que Brahim El Boathi a perdu la vie. La détention au secret constitue qui plus est aux yeux de l’auteure un risque élevé d’atteinte au droit à la vie en ce sens que les détenus comme les geôliers échappent à tout contrôle. En estimant que la jurisprudence du Comité a évolué dans le cadre des disparitions forcées</w:t>
      </w:r>
      <w:r w:rsidRPr="00EF223D">
        <w:rPr>
          <w:rStyle w:val="FootnoteReference"/>
        </w:rPr>
        <w:footnoteReference w:id="7"/>
      </w:r>
      <w:r>
        <w:rPr>
          <w:lang w:val="fr-FR"/>
        </w:rPr>
        <w:t xml:space="preserve"> et que désormais ce dernier </w:t>
      </w:r>
      <w:r w:rsidR="00A15CC8">
        <w:rPr>
          <w:lang w:val="fr-FR"/>
        </w:rPr>
        <w:t xml:space="preserve">reconnaît </w:t>
      </w:r>
      <w:r>
        <w:rPr>
          <w:lang w:val="fr-FR"/>
        </w:rPr>
        <w:t>la responsabilité de l’</w:t>
      </w:r>
      <w:r w:rsidR="00AE1D34">
        <w:rPr>
          <w:lang w:val="fr-FR"/>
        </w:rPr>
        <w:t>État</w:t>
      </w:r>
      <w:r>
        <w:rPr>
          <w:lang w:val="fr-FR"/>
        </w:rPr>
        <w:t xml:space="preserve"> pour violation du droit à la vie dans certains cas où la mort de la victime n’a pas été établie, l’auteure allègue que l’</w:t>
      </w:r>
      <w:r w:rsidR="00AE1D34">
        <w:rPr>
          <w:lang w:val="fr-FR"/>
        </w:rPr>
        <w:t>État</w:t>
      </w:r>
      <w:r>
        <w:rPr>
          <w:lang w:val="fr-FR"/>
        </w:rPr>
        <w:t xml:space="preserve"> partie a failli à son obligation de protéger le droit à la vie de son fils et que l’article 6 du Pacte a été violé.</w:t>
      </w:r>
    </w:p>
    <w:p w:rsidR="004A033D" w:rsidRDefault="004A033D">
      <w:pPr>
        <w:pStyle w:val="SingleTxtG"/>
        <w:rPr>
          <w:lang w:val="fr-FR"/>
        </w:rPr>
      </w:pPr>
      <w:r>
        <w:rPr>
          <w:lang w:val="fr-FR"/>
        </w:rPr>
        <w:t>3.5</w:t>
      </w:r>
      <w:r w:rsidR="002003D6">
        <w:rPr>
          <w:lang w:val="fr-FR"/>
        </w:rPr>
        <w:tab/>
      </w:r>
      <w:r>
        <w:rPr>
          <w:lang w:val="fr-FR"/>
        </w:rPr>
        <w:t>En rappelant les circonstances entourant la disparition de son fils, impliquant l’absence totale d’informations sur sa détention, son incarcération</w:t>
      </w:r>
      <w:r w:rsidR="0042305E">
        <w:rPr>
          <w:lang w:val="fr-FR"/>
        </w:rPr>
        <w:t xml:space="preserve"> et </w:t>
      </w:r>
      <w:r>
        <w:rPr>
          <w:lang w:val="fr-FR"/>
        </w:rPr>
        <w:t>son état de santé et l’absence de communication avec sa famille et le monde extérieur, l’auteure affirme que Brahim El Boathi a été soumis à une forme de traitement inhumain ou dégradant. Elle rappelle également qu’une détention arbitraire prolongée augmente le risque de torture et de traitements inhumain</w:t>
      </w:r>
      <w:r w:rsidR="00A72ADC">
        <w:rPr>
          <w:lang w:val="fr-FR"/>
        </w:rPr>
        <w:t>s</w:t>
      </w:r>
      <w:r>
        <w:rPr>
          <w:lang w:val="fr-FR"/>
        </w:rPr>
        <w:t xml:space="preserve"> ou dégradants. Se référant à la jurisprudence du Comité, l’auteure souligne également que l’angoisse, l’incertitude et la détresse provoquées par la disparition de Brahim El Boathi et les informations contradictoires reçues depuis constituent une forme de traitement inhumain ou dégradant pour la famille. L’intéressée allègue que l’</w:t>
      </w:r>
      <w:r w:rsidR="00AE1D34">
        <w:rPr>
          <w:lang w:val="fr-FR"/>
        </w:rPr>
        <w:t>État</w:t>
      </w:r>
      <w:r>
        <w:rPr>
          <w:lang w:val="fr-FR"/>
        </w:rPr>
        <w:t xml:space="preserve"> partie est responsable d’une violation de l’article 7 à l’égard de Brahim El Boathi et d’une violation de l’article 7 lu conjointement avec l’article 2 (par. 3) du Pacte à son égard ainsi qu’à </w:t>
      </w:r>
      <w:r w:rsidR="00A72ADC">
        <w:rPr>
          <w:lang w:val="fr-FR"/>
        </w:rPr>
        <w:t>l</w:t>
      </w:r>
      <w:r w:rsidR="00A72ADC" w:rsidRPr="00A72ADC">
        <w:rPr>
          <w:lang w:val="fr-FR"/>
        </w:rPr>
        <w:t>’</w:t>
      </w:r>
      <w:r w:rsidR="00A72ADC">
        <w:rPr>
          <w:lang w:val="fr-FR"/>
        </w:rPr>
        <w:t xml:space="preserve">égard de </w:t>
      </w:r>
      <w:r>
        <w:rPr>
          <w:lang w:val="fr-FR"/>
        </w:rPr>
        <w:t>sa famille.</w:t>
      </w:r>
    </w:p>
    <w:p w:rsidR="004A033D" w:rsidRDefault="004A033D">
      <w:pPr>
        <w:pStyle w:val="SingleTxtG"/>
        <w:rPr>
          <w:lang w:val="fr-FR"/>
        </w:rPr>
      </w:pPr>
      <w:r>
        <w:rPr>
          <w:lang w:val="fr-FR"/>
        </w:rPr>
        <w:t>3.6</w:t>
      </w:r>
      <w:r w:rsidR="002003D6">
        <w:rPr>
          <w:lang w:val="fr-FR"/>
        </w:rPr>
        <w:tab/>
      </w:r>
      <w:r>
        <w:rPr>
          <w:lang w:val="fr-FR"/>
        </w:rPr>
        <w:t>Rappelant que Brahim El Boathi a été détenu au secret sans avoir accès à un avocat</w:t>
      </w:r>
      <w:r w:rsidR="00670232">
        <w:rPr>
          <w:lang w:val="fr-FR"/>
        </w:rPr>
        <w:t xml:space="preserve"> et</w:t>
      </w:r>
      <w:r>
        <w:rPr>
          <w:lang w:val="fr-FR"/>
        </w:rPr>
        <w:t xml:space="preserve"> sans être informé des motifs de son arrestation ou des charges retenues contre lui, que sa détention n’a pas été mentionnée dans les registres de garde à vue et qu’il n’y a aucune trace officielle de sa localisation ou de son sort, l’auteure affirme que son fils a été privé de son droit à la liberté et à la sécurité et que les enquêtes </w:t>
      </w:r>
      <w:r w:rsidR="00087EE7">
        <w:rPr>
          <w:lang w:val="fr-FR"/>
        </w:rPr>
        <w:t>n</w:t>
      </w:r>
      <w:r w:rsidR="00087EE7" w:rsidRPr="00087EE7">
        <w:rPr>
          <w:lang w:val="fr-FR"/>
        </w:rPr>
        <w:t>’</w:t>
      </w:r>
      <w:r>
        <w:rPr>
          <w:lang w:val="fr-FR"/>
        </w:rPr>
        <w:t xml:space="preserve">ont </w:t>
      </w:r>
      <w:r w:rsidR="00087EE7">
        <w:rPr>
          <w:lang w:val="fr-FR"/>
        </w:rPr>
        <w:t>pas eu le</w:t>
      </w:r>
      <w:r>
        <w:rPr>
          <w:lang w:val="fr-FR"/>
        </w:rPr>
        <w:t xml:space="preserve"> caractère efficace et effectif requis. L’intéressée allègue que l’</w:t>
      </w:r>
      <w:r w:rsidR="00AE1D34">
        <w:rPr>
          <w:lang w:val="fr-FR"/>
        </w:rPr>
        <w:t>État</w:t>
      </w:r>
      <w:r>
        <w:rPr>
          <w:lang w:val="fr-FR"/>
        </w:rPr>
        <w:t xml:space="preserve"> partie est responsable d’une violation de l’article 9 du Pacte à l’égard de Brahim El Boathi.</w:t>
      </w:r>
    </w:p>
    <w:p w:rsidR="004A033D" w:rsidRDefault="004A033D">
      <w:pPr>
        <w:pStyle w:val="SingleTxtG"/>
        <w:rPr>
          <w:lang w:val="fr-FR"/>
        </w:rPr>
      </w:pPr>
      <w:r>
        <w:rPr>
          <w:lang w:val="fr-FR"/>
        </w:rPr>
        <w:t>3.7</w:t>
      </w:r>
      <w:r w:rsidR="002003D6">
        <w:rPr>
          <w:lang w:val="fr-FR"/>
        </w:rPr>
        <w:tab/>
      </w:r>
      <w:r>
        <w:rPr>
          <w:lang w:val="fr-FR"/>
        </w:rPr>
        <w:t xml:space="preserve">Eu égard au fait que la disparition forcée </w:t>
      </w:r>
      <w:r w:rsidR="00A41442">
        <w:rPr>
          <w:lang w:val="fr-FR"/>
        </w:rPr>
        <w:t>s</w:t>
      </w:r>
      <w:r w:rsidR="00A41442" w:rsidRPr="00A41442">
        <w:rPr>
          <w:lang w:val="fr-FR"/>
        </w:rPr>
        <w:t>’</w:t>
      </w:r>
      <w:r w:rsidR="00A41442">
        <w:rPr>
          <w:lang w:val="fr-FR"/>
        </w:rPr>
        <w:t>accompagne</w:t>
      </w:r>
      <w:r>
        <w:rPr>
          <w:lang w:val="fr-FR"/>
        </w:rPr>
        <w:t xml:space="preserve"> bien souvent d</w:t>
      </w:r>
      <w:r w:rsidR="00CB558D" w:rsidRPr="00CB558D">
        <w:rPr>
          <w:lang w:val="fr-FR"/>
        </w:rPr>
        <w:t>’</w:t>
      </w:r>
      <w:r w:rsidR="00CB558D">
        <w:rPr>
          <w:lang w:val="fr-FR"/>
        </w:rPr>
        <w:t>une</w:t>
      </w:r>
      <w:r>
        <w:rPr>
          <w:lang w:val="fr-FR"/>
        </w:rPr>
        <w:t xml:space="preserve"> violation des droits les plus élémentaires de la personne privée de liberté, l’auteure estime que l’</w:t>
      </w:r>
      <w:r w:rsidR="00AE1D34">
        <w:rPr>
          <w:lang w:val="fr-FR"/>
        </w:rPr>
        <w:t>État</w:t>
      </w:r>
      <w:r>
        <w:rPr>
          <w:lang w:val="fr-FR"/>
        </w:rPr>
        <w:t xml:space="preserve"> partie, du fait de la disparition et de l’absence d’enquête sérieuse, est responsable d’une violation de l’article 10 du Pacte à l’égard de Brahim El Boathi. </w:t>
      </w:r>
    </w:p>
    <w:p w:rsidR="004A033D" w:rsidRDefault="004A033D">
      <w:pPr>
        <w:pStyle w:val="SingleTxtG"/>
        <w:rPr>
          <w:lang w:val="fr-FR"/>
        </w:rPr>
      </w:pPr>
      <w:r>
        <w:rPr>
          <w:lang w:val="fr-FR"/>
        </w:rPr>
        <w:t>3.8</w:t>
      </w:r>
      <w:r w:rsidR="002003D6">
        <w:rPr>
          <w:lang w:val="fr-FR"/>
        </w:rPr>
        <w:tab/>
      </w:r>
      <w:r>
        <w:rPr>
          <w:lang w:val="fr-FR"/>
        </w:rPr>
        <w:t xml:space="preserve">En rappelant que les autorités algériennes n’ont jamais fourni d’informations claires sur le sort de Brahim El Boathi et qu’elles l’ont </w:t>
      </w:r>
      <w:r w:rsidR="00E47196">
        <w:rPr>
          <w:lang w:val="fr-FR"/>
        </w:rPr>
        <w:t xml:space="preserve">détenu </w:t>
      </w:r>
      <w:r>
        <w:rPr>
          <w:lang w:val="fr-FR"/>
        </w:rPr>
        <w:t xml:space="preserve">sans le reconnaître, l’auteure affirme </w:t>
      </w:r>
      <w:r>
        <w:rPr>
          <w:lang w:val="fr-FR"/>
        </w:rPr>
        <w:lastRenderedPageBreak/>
        <w:t>que l’</w:t>
      </w:r>
      <w:r w:rsidR="00AE1D34">
        <w:rPr>
          <w:lang w:val="fr-FR"/>
        </w:rPr>
        <w:t>État</w:t>
      </w:r>
      <w:r>
        <w:rPr>
          <w:lang w:val="fr-FR"/>
        </w:rPr>
        <w:t xml:space="preserve"> partie a traité Brahim El Boathi comme un objet et que sa dignité et personnalité juridique ont été bafouées. L’intéressée allègue qu’en soustrayant son fils à la protection de la loi, les autorités algériennes l’ont privé de son droit à la reconnaissance de sa personnalité juridique et sont donc responsables d’une violation de l’article 16 du Pacte. </w:t>
      </w:r>
    </w:p>
    <w:p w:rsidR="004A033D" w:rsidRPr="00D714BA" w:rsidRDefault="004A033D">
      <w:pPr>
        <w:pStyle w:val="SingleTxtG"/>
        <w:rPr>
          <w:lang w:val="fr-FR"/>
        </w:rPr>
      </w:pPr>
      <w:r>
        <w:rPr>
          <w:lang w:val="fr-FR"/>
        </w:rPr>
        <w:t>3.9</w:t>
      </w:r>
      <w:r w:rsidR="002003D6">
        <w:rPr>
          <w:lang w:val="fr-FR"/>
        </w:rPr>
        <w:tab/>
      </w:r>
      <w:r w:rsidRPr="00C7006C">
        <w:rPr>
          <w:lang w:val="fr-FR"/>
        </w:rPr>
        <w:t>L’auteur</w:t>
      </w:r>
      <w:r w:rsidRPr="00AF35D0">
        <w:rPr>
          <w:lang w:val="fr-FR"/>
        </w:rPr>
        <w:t>e</w:t>
      </w:r>
      <w:r w:rsidRPr="00C7006C">
        <w:rPr>
          <w:lang w:val="fr-FR"/>
        </w:rPr>
        <w:t xml:space="preserve"> demande au Comité d’ordonner à l’</w:t>
      </w:r>
      <w:r w:rsidR="00AE1D34">
        <w:rPr>
          <w:lang w:val="fr-FR"/>
        </w:rPr>
        <w:t>État</w:t>
      </w:r>
      <w:r w:rsidRPr="00C7006C">
        <w:rPr>
          <w:lang w:val="fr-FR"/>
        </w:rPr>
        <w:t xml:space="preserve"> partie </w:t>
      </w:r>
      <w:r>
        <w:rPr>
          <w:lang w:val="fr-FR"/>
        </w:rPr>
        <w:t xml:space="preserve">a) </w:t>
      </w:r>
      <w:r w:rsidR="00166E16">
        <w:rPr>
          <w:lang w:val="fr-FR"/>
        </w:rPr>
        <w:t xml:space="preserve">de </w:t>
      </w:r>
      <w:r>
        <w:rPr>
          <w:lang w:val="fr-FR"/>
        </w:rPr>
        <w:t xml:space="preserve">constater que l’Algérie a violé les articles 2 (par. 2), 2 (par. 3), 6, 7, 9, 10 et 16 du Pacte à l’égard de Brahim El Boathi et </w:t>
      </w:r>
      <w:r w:rsidR="00166E16">
        <w:rPr>
          <w:lang w:val="fr-FR"/>
        </w:rPr>
        <w:t xml:space="preserve">les </w:t>
      </w:r>
      <w:r>
        <w:rPr>
          <w:lang w:val="fr-FR"/>
        </w:rPr>
        <w:t xml:space="preserve">articles 2 (par. 2) et 7 lu conjointement avec l’article 2 (par. 3) à l’égard de l’auteure et de sa famille ; b) </w:t>
      </w:r>
      <w:r w:rsidR="00166E16">
        <w:rPr>
          <w:lang w:val="fr-FR"/>
        </w:rPr>
        <w:t xml:space="preserve">de </w:t>
      </w:r>
      <w:r>
        <w:rPr>
          <w:lang w:val="fr-FR"/>
        </w:rPr>
        <w:t xml:space="preserve">retrouver Brahim El Boathi ; c) de déferrer les auteurs de cette disparition forcée devant les autorités civiles compétentes pour </w:t>
      </w:r>
      <w:r w:rsidR="001B54CA">
        <w:rPr>
          <w:lang w:val="fr-FR"/>
        </w:rPr>
        <w:t>qu</w:t>
      </w:r>
      <w:r w:rsidR="001B54CA" w:rsidRPr="001B54CA">
        <w:rPr>
          <w:lang w:val="fr-FR"/>
        </w:rPr>
        <w:t>’</w:t>
      </w:r>
      <w:r w:rsidR="001B54CA">
        <w:rPr>
          <w:lang w:val="fr-FR"/>
        </w:rPr>
        <w:t>ils fassent</w:t>
      </w:r>
      <w:r>
        <w:rPr>
          <w:lang w:val="fr-FR"/>
        </w:rPr>
        <w:t xml:space="preserve"> l’objet de poursuites ; d) d’offrir à Brahim El Boathi, s’il est encore en vie, ainsi qu’à sa famille une réparation adéquate, effective et rapide du préjudice subi incluant une indemnisation appropriée et proportionnée à la gravité de l’espèce, une réadaptation pleine et entière et des garanties de non</w:t>
      </w:r>
      <w:r w:rsidR="00AE1D34">
        <w:rPr>
          <w:lang w:val="fr-FR"/>
        </w:rPr>
        <w:t>-</w:t>
      </w:r>
      <w:r>
        <w:rPr>
          <w:lang w:val="fr-FR"/>
        </w:rPr>
        <w:t xml:space="preserve">répétition. </w:t>
      </w:r>
    </w:p>
    <w:p w:rsidR="004A033D" w:rsidRDefault="004A033D" w:rsidP="004A033D">
      <w:pPr>
        <w:pStyle w:val="H23G"/>
        <w:rPr>
          <w:lang w:val="fr-FR"/>
        </w:rPr>
      </w:pPr>
      <w:r>
        <w:rPr>
          <w:lang w:val="fr-FR"/>
        </w:rPr>
        <w:tab/>
      </w:r>
      <w:r>
        <w:rPr>
          <w:lang w:val="fr-FR"/>
        </w:rPr>
        <w:tab/>
        <w:t>Observations de l’</w:t>
      </w:r>
      <w:r w:rsidR="00AE1D34">
        <w:rPr>
          <w:lang w:val="fr-FR"/>
        </w:rPr>
        <w:t>État</w:t>
      </w:r>
      <w:r>
        <w:rPr>
          <w:lang w:val="fr-FR"/>
        </w:rPr>
        <w:t xml:space="preserve"> partie </w:t>
      </w:r>
    </w:p>
    <w:p w:rsidR="004A033D" w:rsidRDefault="004A033D" w:rsidP="004A033D">
      <w:pPr>
        <w:pStyle w:val="SingleTxtG"/>
        <w:rPr>
          <w:lang w:val="fr-FR"/>
        </w:rPr>
      </w:pPr>
      <w:r>
        <w:rPr>
          <w:lang w:val="fr-FR"/>
        </w:rPr>
        <w:t>4.1</w:t>
      </w:r>
      <w:r>
        <w:rPr>
          <w:lang w:val="fr-FR"/>
        </w:rPr>
        <w:tab/>
        <w:t>Le 4 mai 2015</w:t>
      </w:r>
      <w:r w:rsidRPr="008749AF">
        <w:rPr>
          <w:lang w:val="fr-FR"/>
        </w:rPr>
        <w:t>, l’</w:t>
      </w:r>
      <w:r w:rsidR="00AE1D34">
        <w:rPr>
          <w:lang w:val="fr-FR"/>
        </w:rPr>
        <w:t>État</w:t>
      </w:r>
      <w:r w:rsidRPr="008749AF">
        <w:rPr>
          <w:lang w:val="fr-FR"/>
        </w:rPr>
        <w:t xml:space="preserve"> partie </w:t>
      </w:r>
      <w:r>
        <w:rPr>
          <w:lang w:val="fr-FR"/>
        </w:rPr>
        <w:t>a contesté la recevabilité de toutes les</w:t>
      </w:r>
      <w:r w:rsidRPr="008749AF">
        <w:rPr>
          <w:lang w:val="fr-FR"/>
        </w:rPr>
        <w:t xml:space="preserve"> communication</w:t>
      </w:r>
      <w:r>
        <w:rPr>
          <w:lang w:val="fr-FR"/>
        </w:rPr>
        <w:t>s couvrant la période de 1993 à 1998</w:t>
      </w:r>
      <w:r w:rsidRPr="008749AF">
        <w:rPr>
          <w:lang w:val="fr-FR"/>
        </w:rPr>
        <w:t xml:space="preserve"> en soumettant une copie de son Mémorandum de référence</w:t>
      </w:r>
      <w:r>
        <w:rPr>
          <w:lang w:val="fr-FR"/>
        </w:rPr>
        <w:t xml:space="preserve">. </w:t>
      </w:r>
    </w:p>
    <w:p w:rsidR="004A033D" w:rsidRDefault="004A033D" w:rsidP="003D7C3E">
      <w:pPr>
        <w:pStyle w:val="SingleTxtG"/>
        <w:rPr>
          <w:lang w:val="fr-FR"/>
        </w:rPr>
      </w:pPr>
      <w:r>
        <w:rPr>
          <w:lang w:val="fr-FR"/>
        </w:rPr>
        <w:t>4.2</w:t>
      </w:r>
      <w:r w:rsidR="002003D6">
        <w:rPr>
          <w:lang w:val="fr-FR"/>
        </w:rPr>
        <w:tab/>
      </w:r>
      <w:r>
        <w:rPr>
          <w:lang w:val="fr-FR"/>
        </w:rPr>
        <w:t>L’</w:t>
      </w:r>
      <w:r w:rsidR="00AE1D34">
        <w:rPr>
          <w:lang w:val="fr-FR"/>
        </w:rPr>
        <w:t>État</w:t>
      </w:r>
      <w:r>
        <w:rPr>
          <w:lang w:val="fr-FR"/>
        </w:rPr>
        <w:t xml:space="preserve"> partie considère que les</w:t>
      </w:r>
      <w:r w:rsidRPr="008749AF">
        <w:rPr>
          <w:lang w:val="fr-FR"/>
        </w:rPr>
        <w:t xml:space="preserve"> communication</w:t>
      </w:r>
      <w:r>
        <w:rPr>
          <w:lang w:val="fr-FR"/>
        </w:rPr>
        <w:t>s</w:t>
      </w:r>
      <w:r w:rsidRPr="008749AF">
        <w:rPr>
          <w:lang w:val="fr-FR"/>
        </w:rPr>
        <w:t xml:space="preserve"> qui met</w:t>
      </w:r>
      <w:r>
        <w:rPr>
          <w:lang w:val="fr-FR"/>
        </w:rPr>
        <w:t>tent</w:t>
      </w:r>
      <w:r w:rsidRPr="008749AF">
        <w:rPr>
          <w:lang w:val="fr-FR"/>
        </w:rPr>
        <w:t xml:space="preserve"> en cause la responsabilité d’agents de l’</w:t>
      </w:r>
      <w:r w:rsidR="00AE1D34">
        <w:rPr>
          <w:lang w:val="fr-FR"/>
        </w:rPr>
        <w:t>État</w:t>
      </w:r>
      <w:r w:rsidRPr="008749AF">
        <w:rPr>
          <w:lang w:val="fr-FR"/>
        </w:rPr>
        <w:t xml:space="preserve"> ou d’autres personnes agissant sous l’autorité des pouvoirs publics dans la survenance de cas de disparition forcée pendant la période de 1993 à 1998 doi</w:t>
      </w:r>
      <w:r>
        <w:rPr>
          <w:lang w:val="fr-FR"/>
        </w:rPr>
        <w:t>ven</w:t>
      </w:r>
      <w:r w:rsidRPr="008749AF">
        <w:rPr>
          <w:lang w:val="fr-FR"/>
        </w:rPr>
        <w:t>t être examin</w:t>
      </w:r>
      <w:r>
        <w:rPr>
          <w:lang w:val="fr-FR"/>
        </w:rPr>
        <w:t>ées «</w:t>
      </w:r>
      <w:r w:rsidR="003D7C3E">
        <w:rPr>
          <w:lang w:val="fr-FR"/>
        </w:rPr>
        <w:t> </w:t>
      </w:r>
      <w:r>
        <w:rPr>
          <w:lang w:val="fr-FR"/>
        </w:rPr>
        <w:t>selon une approche globale</w:t>
      </w:r>
      <w:r w:rsidR="003D7C3E">
        <w:rPr>
          <w:lang w:val="fr-FR"/>
        </w:rPr>
        <w:t> </w:t>
      </w:r>
      <w:r>
        <w:rPr>
          <w:lang w:val="fr-FR"/>
        </w:rPr>
        <w:t>»</w:t>
      </w:r>
      <w:r w:rsidRPr="008749AF">
        <w:rPr>
          <w:lang w:val="fr-FR"/>
        </w:rPr>
        <w:t xml:space="preserve">. </w:t>
      </w:r>
      <w:r w:rsidR="008A4E62">
        <w:rPr>
          <w:lang w:val="fr-FR"/>
        </w:rPr>
        <w:t>Il</w:t>
      </w:r>
      <w:r w:rsidRPr="008749AF">
        <w:rPr>
          <w:lang w:val="fr-FR"/>
        </w:rPr>
        <w:t xml:space="preserve"> considère que les</w:t>
      </w:r>
      <w:r w:rsidR="008A4E62">
        <w:rPr>
          <w:lang w:val="fr-FR"/>
        </w:rPr>
        <w:t xml:space="preserve"> </w:t>
      </w:r>
      <w:r w:rsidRPr="008749AF">
        <w:rPr>
          <w:lang w:val="fr-FR"/>
        </w:rPr>
        <w:t>communications de ce genre devraient être replacées dans le contexte plus général de la situation sociopolitique et des conditions de sécurité dans le pays à une période où le Gouvernement s’employait à lutter contre une forme de terrorisme dont l’objectif était de provoquer «</w:t>
      </w:r>
      <w:r w:rsidR="003D7C3E">
        <w:rPr>
          <w:lang w:val="fr-FR"/>
        </w:rPr>
        <w:t> </w:t>
      </w:r>
      <w:r w:rsidRPr="008749AF">
        <w:rPr>
          <w:lang w:val="fr-FR"/>
        </w:rPr>
        <w:t>l’effondrement de l’</w:t>
      </w:r>
      <w:r w:rsidR="00AE1D34">
        <w:rPr>
          <w:lang w:val="fr-FR"/>
        </w:rPr>
        <w:t>État</w:t>
      </w:r>
      <w:r w:rsidRPr="008749AF">
        <w:rPr>
          <w:lang w:val="fr-FR"/>
        </w:rPr>
        <w:t xml:space="preserve"> républicain</w:t>
      </w:r>
      <w:r w:rsidR="003D7C3E">
        <w:rPr>
          <w:lang w:val="fr-FR"/>
        </w:rPr>
        <w:t> </w:t>
      </w:r>
      <w:r w:rsidRPr="008749AF">
        <w:rPr>
          <w:lang w:val="fr-FR"/>
        </w:rPr>
        <w:t>». C’est dans ce contexte, et conformément aux articles 87 et 91 de la Constitution, que le Gouvernement algérien a pris des mesures de sauvegarde et notifié la proclamation de l’</w:t>
      </w:r>
      <w:r w:rsidR="00CE0A84">
        <w:rPr>
          <w:lang w:val="fr-FR"/>
        </w:rPr>
        <w:t>é</w:t>
      </w:r>
      <w:r w:rsidR="00AE1D34">
        <w:rPr>
          <w:lang w:val="fr-FR"/>
        </w:rPr>
        <w:t>tat</w:t>
      </w:r>
      <w:r w:rsidRPr="008749AF">
        <w:rPr>
          <w:lang w:val="fr-FR"/>
        </w:rPr>
        <w:t xml:space="preserve"> d’urgence au Secrétariat de l’Organisation des Nations Unies, conformément au paragraphe 3 de </w:t>
      </w:r>
      <w:r w:rsidRPr="00145517">
        <w:rPr>
          <w:lang w:val="fr-FR"/>
        </w:rPr>
        <w:t xml:space="preserve">l’article 4 </w:t>
      </w:r>
      <w:r w:rsidRPr="008749AF">
        <w:rPr>
          <w:lang w:val="fr-FR"/>
        </w:rPr>
        <w:t>du Pacte.</w:t>
      </w:r>
    </w:p>
    <w:p w:rsidR="004A033D" w:rsidRDefault="004A033D" w:rsidP="00171D8B">
      <w:pPr>
        <w:pStyle w:val="SingleTxtG"/>
        <w:rPr>
          <w:lang w:val="fr-FR"/>
        </w:rPr>
      </w:pPr>
      <w:r>
        <w:rPr>
          <w:lang w:val="fr-FR"/>
        </w:rPr>
        <w:t>4.3</w:t>
      </w:r>
      <w:r w:rsidRPr="008749AF">
        <w:rPr>
          <w:lang w:val="fr-FR"/>
        </w:rPr>
        <w:tab/>
        <w:t>L’</w:t>
      </w:r>
      <w:r w:rsidR="00AE1D34">
        <w:rPr>
          <w:lang w:val="fr-FR"/>
        </w:rPr>
        <w:t>État</w:t>
      </w:r>
      <w:r w:rsidRPr="008749AF">
        <w:rPr>
          <w:lang w:val="fr-FR"/>
        </w:rPr>
        <w:t xml:space="preserve"> partie souligne que, d</w:t>
      </w:r>
      <w:r>
        <w:rPr>
          <w:lang w:val="fr-FR"/>
        </w:rPr>
        <w:t>ans certaines zones où proliférait</w:t>
      </w:r>
      <w:r w:rsidRPr="008749AF">
        <w:rPr>
          <w:lang w:val="fr-FR"/>
        </w:rPr>
        <w:t xml:space="preserve"> l’habitat informel, les</w:t>
      </w:r>
      <w:r w:rsidR="00B314E2">
        <w:rPr>
          <w:lang w:val="fr-FR"/>
        </w:rPr>
        <w:t xml:space="preserve"> </w:t>
      </w:r>
      <w:r w:rsidRPr="008749AF">
        <w:rPr>
          <w:lang w:val="fr-FR"/>
        </w:rPr>
        <w:t>civils avaient du mal à distinguer les actions de groupes terroristes de celles des forces de l’ordre, auxquelles ils attribuaient souvent les disparitions forcées. D’après l’</w:t>
      </w:r>
      <w:r w:rsidR="00AE1D34">
        <w:rPr>
          <w:lang w:val="fr-FR"/>
        </w:rPr>
        <w:t>État</w:t>
      </w:r>
      <w:r w:rsidRPr="008749AF">
        <w:rPr>
          <w:lang w:val="fr-FR"/>
        </w:rPr>
        <w:t xml:space="preserve"> partie, un nombre important de disparitions forcées</w:t>
      </w:r>
      <w:r>
        <w:rPr>
          <w:lang w:val="fr-FR"/>
        </w:rPr>
        <w:t xml:space="preserve"> </w:t>
      </w:r>
      <w:r w:rsidR="00C07476">
        <w:rPr>
          <w:lang w:val="fr-FR"/>
        </w:rPr>
        <w:t xml:space="preserve">devait </w:t>
      </w:r>
      <w:r>
        <w:rPr>
          <w:lang w:val="fr-FR"/>
        </w:rPr>
        <w:t>être considéré</w:t>
      </w:r>
      <w:r w:rsidRPr="008749AF">
        <w:rPr>
          <w:lang w:val="fr-FR"/>
        </w:rPr>
        <w:t xml:space="preserve"> dans ce contexte. La notion générique de personne disparue en Algérie durant la période considérée renvoie en réalité à six cas de figure distincts. Le premier est celui de personnes déclarées disparues par leurs proches alors qu’elles étaient entrées dans la clandestinité de leur propre chef pour rejoindre les groupes armés, en demandant à leur famille de déclarer qu’elles avaient été arrêtées par les services de sécurité pour «</w:t>
      </w:r>
      <w:r w:rsidR="00171D8B">
        <w:rPr>
          <w:lang w:val="fr-FR"/>
        </w:rPr>
        <w:t> </w:t>
      </w:r>
      <w:r w:rsidRPr="008749AF">
        <w:rPr>
          <w:lang w:val="fr-FR"/>
        </w:rPr>
        <w:t>brouiller les pistes</w:t>
      </w:r>
      <w:r w:rsidR="00171D8B">
        <w:rPr>
          <w:lang w:val="fr-FR"/>
        </w:rPr>
        <w:t> </w:t>
      </w:r>
      <w:r w:rsidRPr="008749AF">
        <w:rPr>
          <w:lang w:val="fr-FR"/>
        </w:rPr>
        <w:t>» et éviter le «</w:t>
      </w:r>
      <w:r w:rsidR="00171D8B">
        <w:rPr>
          <w:lang w:val="fr-FR"/>
        </w:rPr>
        <w:t> </w:t>
      </w:r>
      <w:r w:rsidRPr="008749AF">
        <w:rPr>
          <w:lang w:val="fr-FR"/>
        </w:rPr>
        <w:t>harcèlement</w:t>
      </w:r>
      <w:r w:rsidR="00171D8B">
        <w:rPr>
          <w:lang w:val="fr-FR"/>
        </w:rPr>
        <w:t> </w:t>
      </w:r>
      <w:r w:rsidRPr="008749AF">
        <w:rPr>
          <w:lang w:val="fr-FR"/>
        </w:rPr>
        <w:t xml:space="preserve">» par la police. Le deuxième cas concerne les personnes signalées comme disparues suite à leur arrestation par les services de sécurité, mais qui ont en fait profité de leur libération pour entrer dans la clandestinité. Le troisième </w:t>
      </w:r>
      <w:r w:rsidR="00E23971">
        <w:rPr>
          <w:lang w:val="fr-FR"/>
        </w:rPr>
        <w:t xml:space="preserve">cas </w:t>
      </w:r>
      <w:r w:rsidRPr="008749AF">
        <w:rPr>
          <w:lang w:val="fr-FR"/>
        </w:rPr>
        <w:t>concerne des personnes qui ont été enlevées par des groupes armés qui, parce qu’ils ne sont pas identifiés ou ont agi en usurpant l’uniforme ou les documents d’identification de policiers ou de militaires, ont été assimilés à tort à des agents des forces armées ou des services de sécurité. Le quatrième cas de figure concerne les personnes recherchées par leur famille qui ont pris l’initiative d’abandonner leurs proches, et parfois même de quitter le pays, en raison de problèmes personnels ou de litiges familiaux. Le cinquième cas est celui de personnes signalées comme disparues par leur famille et qui étaient, en fait, des terroristes recherchés qui ont été tués et enterrés dans le maquis à la suite de combats entre factions, de querelles doctrinales ou de conflits autour des butins de guerre entre groupes armés rivaux. L’</w:t>
      </w:r>
      <w:r w:rsidR="00AE1D34">
        <w:rPr>
          <w:lang w:val="fr-FR"/>
        </w:rPr>
        <w:t>État</w:t>
      </w:r>
      <w:r w:rsidRPr="008749AF">
        <w:rPr>
          <w:lang w:val="fr-FR"/>
        </w:rPr>
        <w:t xml:space="preserve"> partie évoque enfin un sixième cas de figure qui concerne les personnes portées disparues qui vivent sur le territoire national ou à l’étranger sous une fausse identité, obtenue grâce à un réseau de falsification de documents.</w:t>
      </w:r>
    </w:p>
    <w:p w:rsidR="004A033D" w:rsidRDefault="004A033D">
      <w:pPr>
        <w:pStyle w:val="SingleTxtG"/>
        <w:rPr>
          <w:lang w:val="fr-FR"/>
        </w:rPr>
      </w:pPr>
      <w:r>
        <w:rPr>
          <w:lang w:val="fr-FR"/>
        </w:rPr>
        <w:t>4.4</w:t>
      </w:r>
      <w:r w:rsidR="002003D6">
        <w:rPr>
          <w:lang w:val="fr-FR"/>
        </w:rPr>
        <w:tab/>
      </w:r>
      <w:r w:rsidRPr="008749AF">
        <w:rPr>
          <w:lang w:val="fr-FR"/>
        </w:rPr>
        <w:t>L’</w:t>
      </w:r>
      <w:r w:rsidR="00AE1D34">
        <w:rPr>
          <w:lang w:val="fr-FR"/>
        </w:rPr>
        <w:t>État</w:t>
      </w:r>
      <w:r w:rsidRPr="008749AF">
        <w:rPr>
          <w:lang w:val="fr-FR"/>
        </w:rPr>
        <w:t xml:space="preserve"> partie souligne également que c’est en considération de la diversité et de la complexité des situations couvertes par la notion générique de disparition que le législateur algérien, à la suite du référendum populaire sur la Charte pour la paix et la récon</w:t>
      </w:r>
      <w:r>
        <w:rPr>
          <w:lang w:val="fr-FR"/>
        </w:rPr>
        <w:t>ciliation nationale, a décidé d’</w:t>
      </w:r>
      <w:r w:rsidR="003C373D">
        <w:rPr>
          <w:lang w:val="fr-FR"/>
        </w:rPr>
        <w:t xml:space="preserve">adopter </w:t>
      </w:r>
      <w:r>
        <w:rPr>
          <w:lang w:val="fr-FR"/>
        </w:rPr>
        <w:t xml:space="preserve">une politique d’appui pour « la prise en charge du dramatique </w:t>
      </w:r>
      <w:r>
        <w:rPr>
          <w:lang w:val="fr-FR"/>
        </w:rPr>
        <w:lastRenderedPageBreak/>
        <w:t xml:space="preserve">dossier des disparus ». La question </w:t>
      </w:r>
      <w:r w:rsidRPr="008749AF">
        <w:rPr>
          <w:lang w:val="fr-FR"/>
        </w:rPr>
        <w:t>des disparus</w:t>
      </w:r>
      <w:r>
        <w:rPr>
          <w:lang w:val="fr-FR"/>
        </w:rPr>
        <w:t xml:space="preserve"> est traitée</w:t>
      </w:r>
      <w:r w:rsidRPr="008749AF">
        <w:rPr>
          <w:lang w:val="fr-FR"/>
        </w:rPr>
        <w:t xml:space="preserve"> dans un cadre global à travers la prise en charge de toutes les personnes disparues dans le contexte de la «</w:t>
      </w:r>
      <w:r w:rsidR="00B02122">
        <w:rPr>
          <w:lang w:val="fr-FR"/>
        </w:rPr>
        <w:t> </w:t>
      </w:r>
      <w:r w:rsidRPr="008749AF">
        <w:rPr>
          <w:lang w:val="fr-FR"/>
        </w:rPr>
        <w:t>tragédie nationale</w:t>
      </w:r>
      <w:r w:rsidR="00B02122">
        <w:rPr>
          <w:lang w:val="fr-FR"/>
        </w:rPr>
        <w:t> </w:t>
      </w:r>
      <w:r w:rsidRPr="008749AF">
        <w:rPr>
          <w:lang w:val="fr-FR"/>
        </w:rPr>
        <w:t>», un soutien pour toutes les victimes afin qu’elles puissent surmonter cette épreuve et l’octroi d’un droit à réparation pour toutes les victimes de disparition et leurs ayants droit.</w:t>
      </w:r>
      <w:r>
        <w:rPr>
          <w:lang w:val="fr-FR"/>
        </w:rPr>
        <w:t xml:space="preserve"> L’</w:t>
      </w:r>
      <w:r w:rsidR="00AE1D34">
        <w:rPr>
          <w:lang w:val="fr-FR"/>
        </w:rPr>
        <w:t>État</w:t>
      </w:r>
      <w:r>
        <w:rPr>
          <w:lang w:val="fr-FR"/>
        </w:rPr>
        <w:t xml:space="preserve"> partie souligne qu’il s’agit d’une réponse propre à la situation de la </w:t>
      </w:r>
      <w:r w:rsidR="00111EFC">
        <w:rPr>
          <w:lang w:val="fr-FR"/>
        </w:rPr>
        <w:t xml:space="preserve">nation </w:t>
      </w:r>
      <w:r>
        <w:rPr>
          <w:lang w:val="fr-FR"/>
        </w:rPr>
        <w:t xml:space="preserve">algérienne à laquelle la </w:t>
      </w:r>
      <w:r w:rsidR="00111EFC">
        <w:rPr>
          <w:lang w:val="fr-FR"/>
        </w:rPr>
        <w:t xml:space="preserve">nation </w:t>
      </w:r>
      <w:r>
        <w:rPr>
          <w:lang w:val="fr-FR"/>
        </w:rPr>
        <w:t xml:space="preserve">a globalement adhéré. Le bilan statistique de l’application des dispositions exécutoires de l’ordonnance </w:t>
      </w:r>
      <w:r w:rsidR="00927CD1">
        <w:rPr>
          <w:lang w:val="fr-FR"/>
        </w:rPr>
        <w:t>n</w:t>
      </w:r>
      <w:r w:rsidR="00927CD1" w:rsidRPr="0072331E">
        <w:rPr>
          <w:vertAlign w:val="superscript"/>
          <w:lang w:val="fr-FR"/>
        </w:rPr>
        <w:t>o</w:t>
      </w:r>
      <w:r w:rsidR="00927CD1">
        <w:rPr>
          <w:lang w:val="fr-FR"/>
        </w:rPr>
        <w:t> </w:t>
      </w:r>
      <w:r>
        <w:rPr>
          <w:lang w:val="fr-FR"/>
        </w:rPr>
        <w:t>06-</w:t>
      </w:r>
      <w:r w:rsidR="00111EFC">
        <w:rPr>
          <w:lang w:val="fr-FR"/>
        </w:rPr>
        <w:t xml:space="preserve">01 </w:t>
      </w:r>
      <w:r>
        <w:rPr>
          <w:lang w:val="fr-FR"/>
        </w:rPr>
        <w:t xml:space="preserve">du 27 février 2006 et des textes subséquents relatifs au traitement de la question des disparus dans la Charte pour la paix et la réconciliation nationale atteste d’une adhésion </w:t>
      </w:r>
      <w:r w:rsidR="008E4751">
        <w:rPr>
          <w:lang w:val="fr-FR"/>
        </w:rPr>
        <w:t>ap</w:t>
      </w:r>
      <w:r>
        <w:rPr>
          <w:lang w:val="fr-FR"/>
        </w:rPr>
        <w:t>portée par plus de 85</w:t>
      </w:r>
      <w:r w:rsidR="00625510">
        <w:rPr>
          <w:lang w:val="fr-FR"/>
        </w:rPr>
        <w:t> </w:t>
      </w:r>
      <w:r>
        <w:rPr>
          <w:lang w:val="fr-FR"/>
        </w:rPr>
        <w:t xml:space="preserve">% des parents de victimes ou leurs ayants droit. </w:t>
      </w:r>
    </w:p>
    <w:p w:rsidR="004A033D" w:rsidRDefault="004A033D">
      <w:pPr>
        <w:pStyle w:val="SingleTxtG"/>
        <w:rPr>
          <w:lang w:val="fr-FR"/>
        </w:rPr>
      </w:pPr>
      <w:r>
        <w:rPr>
          <w:lang w:val="fr-FR"/>
        </w:rPr>
        <w:t>4.5</w:t>
      </w:r>
      <w:r w:rsidR="002003D6">
        <w:rPr>
          <w:lang w:val="fr-FR"/>
        </w:rPr>
        <w:tab/>
      </w:r>
      <w:r w:rsidRPr="008749AF">
        <w:rPr>
          <w:lang w:val="fr-FR"/>
        </w:rPr>
        <w:t>L’</w:t>
      </w:r>
      <w:r w:rsidR="00AE1D34">
        <w:rPr>
          <w:lang w:val="fr-FR"/>
        </w:rPr>
        <w:t>État</w:t>
      </w:r>
      <w:r w:rsidRPr="008749AF">
        <w:rPr>
          <w:lang w:val="fr-FR"/>
        </w:rPr>
        <w:t xml:space="preserve"> partie souligne ensuite la nature, les fondements et le contenu de la Charte pour la paix et la réconciliation nationale et de ses textes d’application.</w:t>
      </w:r>
      <w:r>
        <w:rPr>
          <w:lang w:val="fr-FR"/>
        </w:rPr>
        <w:t xml:space="preserve"> Loin des clichés et jugements lapidaires selon lesquels la Charte serait un obstacle à la procédure visant </w:t>
      </w:r>
      <w:r w:rsidR="002C1979">
        <w:rPr>
          <w:lang w:val="fr-FR"/>
        </w:rPr>
        <w:t xml:space="preserve">à </w:t>
      </w:r>
      <w:r>
        <w:rPr>
          <w:lang w:val="fr-FR"/>
        </w:rPr>
        <w:t>établi</w:t>
      </w:r>
      <w:r w:rsidR="002C1979">
        <w:rPr>
          <w:lang w:val="fr-FR"/>
        </w:rPr>
        <w:t>r</w:t>
      </w:r>
      <w:r>
        <w:rPr>
          <w:lang w:val="fr-FR"/>
        </w:rPr>
        <w:t xml:space="preserve"> la vérité et </w:t>
      </w:r>
      <w:r w:rsidR="00252275">
        <w:rPr>
          <w:lang w:val="fr-FR"/>
        </w:rPr>
        <w:t>exercer</w:t>
      </w:r>
      <w:r w:rsidR="007E2C9E">
        <w:rPr>
          <w:lang w:val="fr-FR"/>
        </w:rPr>
        <w:t xml:space="preserve"> </w:t>
      </w:r>
      <w:r>
        <w:rPr>
          <w:lang w:val="fr-FR"/>
        </w:rPr>
        <w:t xml:space="preserve">la justice, la Charte constitue le mécanisme national interne de traitement </w:t>
      </w:r>
      <w:r w:rsidR="00EE2B76">
        <w:rPr>
          <w:lang w:val="fr-FR"/>
        </w:rPr>
        <w:t xml:space="preserve">et </w:t>
      </w:r>
      <w:r>
        <w:rPr>
          <w:lang w:val="fr-FR"/>
        </w:rPr>
        <w:t>de sortie de crise soumis à l’approbation du peuple et adopté par référendum. L’</w:t>
      </w:r>
      <w:r w:rsidR="00AE1D34">
        <w:rPr>
          <w:lang w:val="fr-FR"/>
        </w:rPr>
        <w:t>État</w:t>
      </w:r>
      <w:r>
        <w:rPr>
          <w:lang w:val="fr-FR"/>
        </w:rPr>
        <w:t xml:space="preserve"> partie expose d’abord les origines et les caractéristiques principales de la crise algérienne pour </w:t>
      </w:r>
      <w:r w:rsidR="00CD58C0">
        <w:rPr>
          <w:lang w:val="fr-FR"/>
        </w:rPr>
        <w:t xml:space="preserve">évaluer </w:t>
      </w:r>
      <w:r>
        <w:rPr>
          <w:lang w:val="fr-FR"/>
        </w:rPr>
        <w:t xml:space="preserve">l’impact de la mise en œuvre de la Charte. La Charte intervient dans le contexte de </w:t>
      </w:r>
      <w:r w:rsidR="00633676">
        <w:rPr>
          <w:lang w:val="fr-FR"/>
        </w:rPr>
        <w:t xml:space="preserve">la </w:t>
      </w:r>
      <w:r>
        <w:rPr>
          <w:lang w:val="fr-FR"/>
        </w:rPr>
        <w:t>crise politico-sécuritaire qui a secoué le pays</w:t>
      </w:r>
      <w:r w:rsidR="009B0B73">
        <w:rPr>
          <w:lang w:val="fr-FR"/>
        </w:rPr>
        <w:t>,</w:t>
      </w:r>
      <w:r>
        <w:rPr>
          <w:lang w:val="fr-FR"/>
        </w:rPr>
        <w:t xml:space="preserve"> qualifiée de « Grande Fitna », concept historico-religieux qui renvoie à la profonde discorde au sein de la communauté de l’Islam après le décès du prophète. Le préambule de la Charte suggère que la « Grande Fitna »</w:t>
      </w:r>
      <w:r w:rsidR="007E2C9E">
        <w:rPr>
          <w:lang w:val="fr-FR"/>
        </w:rPr>
        <w:t>,</w:t>
      </w:r>
      <w:r>
        <w:rPr>
          <w:lang w:val="fr-FR"/>
        </w:rPr>
        <w:t xml:space="preserve"> qui a tenté de « dévier l’évolution de l’Algérie de son cours naturel »</w:t>
      </w:r>
      <w:r w:rsidR="007E2C9E">
        <w:rPr>
          <w:lang w:val="fr-FR"/>
        </w:rPr>
        <w:t>,</w:t>
      </w:r>
      <w:r>
        <w:rPr>
          <w:lang w:val="fr-FR"/>
        </w:rPr>
        <w:t xml:space="preserve"> est constitutive d’une « agression criminelle qui a visé à remettre en cause l’</w:t>
      </w:r>
      <w:r w:rsidR="00AE1D34">
        <w:rPr>
          <w:lang w:val="fr-FR"/>
        </w:rPr>
        <w:t>État</w:t>
      </w:r>
      <w:r>
        <w:rPr>
          <w:lang w:val="fr-FR"/>
        </w:rPr>
        <w:t xml:space="preserve"> national lui-même »</w:t>
      </w:r>
      <w:r w:rsidR="00EE2B76">
        <w:rPr>
          <w:lang w:val="fr-FR"/>
        </w:rPr>
        <w:t>,</w:t>
      </w:r>
      <w:r>
        <w:rPr>
          <w:lang w:val="fr-FR"/>
        </w:rPr>
        <w:t xml:space="preserve"> entraînant une « tragédie nationale » qui a coûté au peuple « un terrible et lourd tribut de sang » par le fait d’un « terrorisme barbare » agissant « en contradiction avec les authentiques valeurs de </w:t>
      </w:r>
      <w:r w:rsidR="007E2C9E">
        <w:rPr>
          <w:lang w:val="fr-FR"/>
        </w:rPr>
        <w:t xml:space="preserve">l’islam </w:t>
      </w:r>
      <w:r>
        <w:rPr>
          <w:lang w:val="fr-FR"/>
        </w:rPr>
        <w:t xml:space="preserve">et les traditions musulmanes de paix, de tolérance et de solidarité ». L’ordonnance et </w:t>
      </w:r>
      <w:r w:rsidR="00EE2B76">
        <w:rPr>
          <w:lang w:val="fr-FR"/>
        </w:rPr>
        <w:t>s</w:t>
      </w:r>
      <w:r>
        <w:rPr>
          <w:lang w:val="fr-FR"/>
        </w:rPr>
        <w:t xml:space="preserve">es quatre décrets d’application visent à répondre à cette </w:t>
      </w:r>
      <w:r w:rsidR="00703B51">
        <w:rPr>
          <w:lang w:val="fr-FR"/>
        </w:rPr>
        <w:t>« </w:t>
      </w:r>
      <w:r>
        <w:rPr>
          <w:lang w:val="fr-FR"/>
        </w:rPr>
        <w:t>Grande Fitna</w:t>
      </w:r>
      <w:r w:rsidR="00703B51">
        <w:rPr>
          <w:lang w:val="fr-FR"/>
        </w:rPr>
        <w:t> »</w:t>
      </w:r>
      <w:r>
        <w:rPr>
          <w:lang w:val="fr-FR"/>
        </w:rPr>
        <w:t xml:space="preserve"> et à prévenir la répétition des faits par des mesures politiques, juridiques et socioéconomiques. L</w:t>
      </w:r>
      <w:r w:rsidRPr="008749AF">
        <w:rPr>
          <w:lang w:val="fr-FR"/>
        </w:rPr>
        <w:t xml:space="preserve">’ordonnance d’application prévoit des mesures d’ordre juridique </w:t>
      </w:r>
      <w:r w:rsidR="00374C8A">
        <w:rPr>
          <w:lang w:val="fr-FR"/>
        </w:rPr>
        <w:t>entraînant une</w:t>
      </w:r>
      <w:r w:rsidR="00374C8A" w:rsidRPr="008749AF">
        <w:rPr>
          <w:lang w:val="fr-FR"/>
        </w:rPr>
        <w:t xml:space="preserve"> </w:t>
      </w:r>
      <w:r w:rsidRPr="008749AF">
        <w:rPr>
          <w:lang w:val="fr-FR"/>
        </w:rPr>
        <w:t xml:space="preserve">extinction de l’action publique et </w:t>
      </w:r>
      <w:r w:rsidR="00900CE6">
        <w:rPr>
          <w:lang w:val="fr-FR"/>
        </w:rPr>
        <w:t xml:space="preserve">une </w:t>
      </w:r>
      <w:r w:rsidRPr="008749AF">
        <w:rPr>
          <w:lang w:val="fr-FR"/>
        </w:rPr>
        <w:t xml:space="preserve">commutation ou remise de peine pour toute personne coupable d’actes de terrorisme ou bénéficiant des dispositions relatives à la discorde civile, à l’exception de celles </w:t>
      </w:r>
      <w:r w:rsidR="00C9417F">
        <w:rPr>
          <w:lang w:val="fr-FR"/>
        </w:rPr>
        <w:t>qui ont</w:t>
      </w:r>
      <w:r w:rsidR="00C9417F" w:rsidRPr="008749AF">
        <w:rPr>
          <w:lang w:val="fr-FR"/>
        </w:rPr>
        <w:t xml:space="preserve"> </w:t>
      </w:r>
      <w:r w:rsidRPr="008749AF">
        <w:rPr>
          <w:lang w:val="fr-FR"/>
        </w:rPr>
        <w:t>commis, comme auteurs ou complices, des actes de massacre collectif, des viols ou des attentats à l’explosif dans des lieux publics. Cette ordonnance prévoit également une procédure de déclaration judiciaire de décès, qui ouvre droit à une indemnisation des ayants droit des disparus en qualité de victimes de la «</w:t>
      </w:r>
      <w:r w:rsidR="00C15B54">
        <w:rPr>
          <w:lang w:val="fr-FR"/>
        </w:rPr>
        <w:t> </w:t>
      </w:r>
      <w:r w:rsidRPr="008749AF">
        <w:rPr>
          <w:lang w:val="fr-FR"/>
        </w:rPr>
        <w:t>tragédie nationale</w:t>
      </w:r>
      <w:r w:rsidR="00C15B54">
        <w:rPr>
          <w:lang w:val="fr-FR"/>
        </w:rPr>
        <w:t> </w:t>
      </w:r>
      <w:r w:rsidRPr="008749AF">
        <w:rPr>
          <w:lang w:val="fr-FR"/>
        </w:rPr>
        <w:t>». En outre, des mesures d’ordre socioéconomique ont été mises en place, parmi lesquelles des aides à la réinsertion professionnelle et le versement d’indemnités à toutes les personnes ayant la qualité de victimes de la «</w:t>
      </w:r>
      <w:r w:rsidR="00C15B54">
        <w:rPr>
          <w:lang w:val="fr-FR"/>
        </w:rPr>
        <w:t> </w:t>
      </w:r>
      <w:r w:rsidRPr="008749AF">
        <w:rPr>
          <w:lang w:val="fr-FR"/>
        </w:rPr>
        <w:t>tragédie nationale</w:t>
      </w:r>
      <w:r w:rsidR="00C15B54">
        <w:rPr>
          <w:lang w:val="fr-FR"/>
        </w:rPr>
        <w:t> </w:t>
      </w:r>
      <w:r w:rsidRPr="008749AF">
        <w:rPr>
          <w:lang w:val="fr-FR"/>
        </w:rPr>
        <w:t>». Enfin, l’ordonnance prévoit des mesures politiques telles que l’interdiction d’exercer une activité politique à toute personne ayant contribué dans le passé à la «</w:t>
      </w:r>
      <w:r w:rsidR="00C15B54">
        <w:rPr>
          <w:lang w:val="fr-FR"/>
        </w:rPr>
        <w:t> </w:t>
      </w:r>
      <w:r w:rsidRPr="008749AF">
        <w:rPr>
          <w:lang w:val="fr-FR"/>
        </w:rPr>
        <w:t>tragédie nationale</w:t>
      </w:r>
      <w:r w:rsidR="00C15B54">
        <w:rPr>
          <w:lang w:val="fr-FR"/>
        </w:rPr>
        <w:t> </w:t>
      </w:r>
      <w:r w:rsidRPr="008749AF">
        <w:rPr>
          <w:lang w:val="fr-FR"/>
        </w:rPr>
        <w:t>» en instrumentalisant la religion</w:t>
      </w:r>
      <w:r w:rsidR="00425D3D">
        <w:rPr>
          <w:lang w:val="fr-FR"/>
        </w:rPr>
        <w:t>,</w:t>
      </w:r>
      <w:r w:rsidRPr="008749AF">
        <w:rPr>
          <w:lang w:val="fr-FR"/>
        </w:rPr>
        <w:t xml:space="preserve"> et dispose qu’aucune poursuite ne peut être engagée,</w:t>
      </w:r>
      <w:r w:rsidRPr="005B62F8">
        <w:rPr>
          <w:lang w:val="fr-FR"/>
        </w:rPr>
        <w:t xml:space="preserve"> à titre indiv</w:t>
      </w:r>
      <w:r w:rsidRPr="00145517">
        <w:rPr>
          <w:lang w:val="fr-FR"/>
        </w:rPr>
        <w:t>iduel ou collectif</w:t>
      </w:r>
      <w:r w:rsidRPr="008749AF">
        <w:rPr>
          <w:lang w:val="fr-FR"/>
        </w:rPr>
        <w:t>,</w:t>
      </w:r>
      <w:r w:rsidRPr="005B62F8">
        <w:rPr>
          <w:lang w:val="fr-FR"/>
        </w:rPr>
        <w:t xml:space="preserve"> à l’encontre des éléments des forces de défense et de sécurité de la République, toutes composantes confondues, pour des actions menées en vue de la protection des personnes et des biens, de la sauvegarde de la nation et de la préservat</w:t>
      </w:r>
      <w:r w:rsidRPr="00145517">
        <w:rPr>
          <w:lang w:val="fr-FR"/>
        </w:rPr>
        <w:t>ion des institutions de la République.</w:t>
      </w:r>
      <w:r>
        <w:rPr>
          <w:lang w:val="fr-FR"/>
        </w:rPr>
        <w:t xml:space="preserve"> </w:t>
      </w:r>
    </w:p>
    <w:p w:rsidR="004A033D" w:rsidRDefault="004A033D">
      <w:pPr>
        <w:pStyle w:val="SingleTxtG"/>
        <w:rPr>
          <w:lang w:val="fr-FR"/>
        </w:rPr>
      </w:pPr>
      <w:r>
        <w:rPr>
          <w:lang w:val="fr-FR"/>
        </w:rPr>
        <w:t>4.6</w:t>
      </w:r>
      <w:r w:rsidR="002003D6">
        <w:rPr>
          <w:lang w:val="fr-FR"/>
        </w:rPr>
        <w:tab/>
      </w:r>
      <w:r>
        <w:rPr>
          <w:lang w:val="fr-FR"/>
        </w:rPr>
        <w:t>En sus de</w:t>
      </w:r>
      <w:r w:rsidRPr="008749AF">
        <w:rPr>
          <w:lang w:val="fr-FR"/>
        </w:rPr>
        <w:t xml:space="preserve"> la création du fonds d’indemnisation pour toutes les victimes de la «</w:t>
      </w:r>
      <w:r w:rsidR="00015B6F">
        <w:rPr>
          <w:lang w:val="fr-FR"/>
        </w:rPr>
        <w:t> </w:t>
      </w:r>
      <w:r w:rsidRPr="008749AF">
        <w:rPr>
          <w:lang w:val="fr-FR"/>
        </w:rPr>
        <w:t>tragédie nationale</w:t>
      </w:r>
      <w:r w:rsidR="00015B6F">
        <w:rPr>
          <w:lang w:val="fr-FR"/>
        </w:rPr>
        <w:t> </w:t>
      </w:r>
      <w:r w:rsidRPr="008749AF">
        <w:rPr>
          <w:lang w:val="fr-FR"/>
        </w:rPr>
        <w:t>», le peuple souverain d’Algérie a, selon l’</w:t>
      </w:r>
      <w:r w:rsidR="00AE1D34">
        <w:rPr>
          <w:lang w:val="fr-FR"/>
        </w:rPr>
        <w:t>État</w:t>
      </w:r>
      <w:r w:rsidRPr="008749AF">
        <w:rPr>
          <w:lang w:val="fr-FR"/>
        </w:rPr>
        <w:t xml:space="preserve"> partie, accepté d’engager une</w:t>
      </w:r>
      <w:r w:rsidR="001513D1">
        <w:rPr>
          <w:lang w:val="fr-FR"/>
        </w:rPr>
        <w:t xml:space="preserve"> </w:t>
      </w:r>
      <w:r w:rsidRPr="008749AF">
        <w:rPr>
          <w:lang w:val="fr-FR"/>
        </w:rPr>
        <w:t>démarche de réconciliation nationale, seul moyen de cicatriser les plaies générées. L’</w:t>
      </w:r>
      <w:r w:rsidR="00AE1D34">
        <w:rPr>
          <w:lang w:val="fr-FR"/>
        </w:rPr>
        <w:t>État</w:t>
      </w:r>
      <w:r w:rsidRPr="008749AF">
        <w:rPr>
          <w:lang w:val="fr-FR"/>
        </w:rPr>
        <w:t xml:space="preserve"> partie insiste sur le fait que la proclamation de la Charte pour la paix et la réconciliation nationale s’inscrit dans une volonté d’éviter les confrontations judiciaires, les</w:t>
      </w:r>
      <w:r w:rsidR="001513D1">
        <w:rPr>
          <w:lang w:val="fr-FR"/>
        </w:rPr>
        <w:t xml:space="preserve"> </w:t>
      </w:r>
      <w:r w:rsidRPr="008749AF">
        <w:rPr>
          <w:lang w:val="fr-FR"/>
        </w:rPr>
        <w:t>déballages médiatiques et les règlements de compte politiques. L’</w:t>
      </w:r>
      <w:r w:rsidR="00AE1D34">
        <w:rPr>
          <w:lang w:val="fr-FR"/>
        </w:rPr>
        <w:t>État</w:t>
      </w:r>
      <w:r w:rsidRPr="008749AF">
        <w:rPr>
          <w:lang w:val="fr-FR"/>
        </w:rPr>
        <w:t xml:space="preserve"> partie considère, dès lors, que les faits allégués </w:t>
      </w:r>
      <w:r w:rsidR="00CC3021">
        <w:rPr>
          <w:lang w:val="fr-FR"/>
        </w:rPr>
        <w:t xml:space="preserve">concernant </w:t>
      </w:r>
      <w:r>
        <w:rPr>
          <w:lang w:val="fr-FR"/>
        </w:rPr>
        <w:t>la période de la tragédie nationale</w:t>
      </w:r>
      <w:r w:rsidRPr="008749AF">
        <w:rPr>
          <w:lang w:val="fr-FR"/>
        </w:rPr>
        <w:t xml:space="preserve"> sont couverts par le mécanisme interne global de règlement induit par le dispositif de la Charte.</w:t>
      </w:r>
    </w:p>
    <w:p w:rsidR="004A033D" w:rsidRPr="009955F0" w:rsidRDefault="004A033D" w:rsidP="004A033D">
      <w:pPr>
        <w:pStyle w:val="H23G"/>
        <w:rPr>
          <w:lang w:val="fr-FR"/>
        </w:rPr>
      </w:pPr>
      <w:r>
        <w:rPr>
          <w:lang w:val="fr-FR"/>
        </w:rPr>
        <w:tab/>
      </w:r>
      <w:r>
        <w:rPr>
          <w:lang w:val="fr-FR"/>
        </w:rPr>
        <w:tab/>
      </w:r>
      <w:r w:rsidRPr="009955F0">
        <w:rPr>
          <w:lang w:val="fr-FR"/>
        </w:rPr>
        <w:t>Commentaires de l’auteure sur les observations de l’</w:t>
      </w:r>
      <w:r w:rsidR="00AE1D34">
        <w:rPr>
          <w:lang w:val="fr-FR"/>
        </w:rPr>
        <w:t>État</w:t>
      </w:r>
      <w:r w:rsidRPr="009955F0">
        <w:rPr>
          <w:lang w:val="fr-FR"/>
        </w:rPr>
        <w:t xml:space="preserve"> partie</w:t>
      </w:r>
    </w:p>
    <w:p w:rsidR="004A033D" w:rsidRPr="00194795" w:rsidRDefault="004A033D" w:rsidP="004A033D">
      <w:pPr>
        <w:pStyle w:val="SingleTxtG"/>
        <w:rPr>
          <w:lang w:val="fr-FR"/>
        </w:rPr>
      </w:pPr>
      <w:r w:rsidRPr="00194795">
        <w:rPr>
          <w:lang w:val="fr-FR"/>
        </w:rPr>
        <w:t>5.1</w:t>
      </w:r>
      <w:r w:rsidRPr="00194795">
        <w:rPr>
          <w:lang w:val="fr-FR"/>
        </w:rPr>
        <w:tab/>
        <w:t>Le 1</w:t>
      </w:r>
      <w:r>
        <w:rPr>
          <w:lang w:val="fr-FR"/>
        </w:rPr>
        <w:t>6 juillet 2015</w:t>
      </w:r>
      <w:r w:rsidRPr="00C7006C">
        <w:rPr>
          <w:lang w:val="fr-FR"/>
        </w:rPr>
        <w:t>, l’auteur</w:t>
      </w:r>
      <w:r w:rsidRPr="00AF35D0">
        <w:rPr>
          <w:lang w:val="fr-FR"/>
        </w:rPr>
        <w:t>e</w:t>
      </w:r>
      <w:r w:rsidRPr="00C7006C">
        <w:rPr>
          <w:lang w:val="fr-FR"/>
        </w:rPr>
        <w:t xml:space="preserve"> a soumis des commentaires sur les observations de l’</w:t>
      </w:r>
      <w:r w:rsidR="00AE1D34">
        <w:rPr>
          <w:lang w:val="fr-FR"/>
        </w:rPr>
        <w:t>État</w:t>
      </w:r>
      <w:r w:rsidRPr="00C7006C">
        <w:rPr>
          <w:lang w:val="fr-FR"/>
        </w:rPr>
        <w:t xml:space="preserve"> partie</w:t>
      </w:r>
      <w:r w:rsidRPr="006B1438">
        <w:rPr>
          <w:lang w:val="fr-FR"/>
        </w:rPr>
        <w:t>.</w:t>
      </w:r>
    </w:p>
    <w:p w:rsidR="004A033D" w:rsidRDefault="004A033D">
      <w:pPr>
        <w:pStyle w:val="SingleTxtG"/>
        <w:rPr>
          <w:lang w:val="fr-FR"/>
        </w:rPr>
      </w:pPr>
      <w:r w:rsidRPr="00194795">
        <w:rPr>
          <w:lang w:val="fr-FR"/>
        </w:rPr>
        <w:lastRenderedPageBreak/>
        <w:t>5.2</w:t>
      </w:r>
      <w:r w:rsidRPr="00194795">
        <w:rPr>
          <w:lang w:val="fr-FR"/>
        </w:rPr>
        <w:tab/>
      </w:r>
      <w:r>
        <w:rPr>
          <w:lang w:val="fr-FR"/>
        </w:rPr>
        <w:t>L’auteure souligne que les observations soumises par l’</w:t>
      </w:r>
      <w:r w:rsidR="00AE1D34">
        <w:rPr>
          <w:lang w:val="fr-FR"/>
        </w:rPr>
        <w:t>État</w:t>
      </w:r>
      <w:r>
        <w:rPr>
          <w:lang w:val="fr-FR"/>
        </w:rPr>
        <w:t xml:space="preserve"> partie sont inadaptées, car </w:t>
      </w:r>
      <w:r w:rsidR="00903249">
        <w:rPr>
          <w:lang w:val="fr-FR"/>
        </w:rPr>
        <w:t xml:space="preserve">elles s’adressent </w:t>
      </w:r>
      <w:r>
        <w:rPr>
          <w:lang w:val="fr-FR"/>
        </w:rPr>
        <w:t>à un autre organe de promotion et de protection des droits de l’homme (</w:t>
      </w:r>
      <w:r w:rsidR="00192E04">
        <w:rPr>
          <w:lang w:val="fr-FR"/>
        </w:rPr>
        <w:t xml:space="preserve">le </w:t>
      </w:r>
      <w:r>
        <w:rPr>
          <w:lang w:val="fr-FR"/>
        </w:rPr>
        <w:t xml:space="preserve">Groupe de travail sur les disparitions forcées </w:t>
      </w:r>
      <w:r w:rsidR="00192E04">
        <w:rPr>
          <w:lang w:val="fr-FR"/>
        </w:rPr>
        <w:t xml:space="preserve">ou </w:t>
      </w:r>
      <w:r>
        <w:rPr>
          <w:lang w:val="fr-FR"/>
        </w:rPr>
        <w:t>involontaires)</w:t>
      </w:r>
      <w:r w:rsidR="00903249">
        <w:rPr>
          <w:lang w:val="fr-FR"/>
        </w:rPr>
        <w:t>,</w:t>
      </w:r>
      <w:r>
        <w:rPr>
          <w:lang w:val="fr-FR"/>
        </w:rPr>
        <w:t xml:space="preserve"> et obsolètes, car </w:t>
      </w:r>
      <w:r w:rsidR="00903249">
        <w:rPr>
          <w:lang w:val="fr-FR"/>
        </w:rPr>
        <w:t xml:space="preserve">elles datent </w:t>
      </w:r>
      <w:r>
        <w:rPr>
          <w:lang w:val="fr-FR"/>
        </w:rPr>
        <w:t>de juillet 2009. L’intéressée souligne que l</w:t>
      </w:r>
      <w:r w:rsidR="00A14D18">
        <w:rPr>
          <w:lang w:val="fr-FR"/>
        </w:rPr>
        <w:t xml:space="preserve">es </w:t>
      </w:r>
      <w:r>
        <w:rPr>
          <w:lang w:val="fr-FR"/>
        </w:rPr>
        <w:t>observation</w:t>
      </w:r>
      <w:r w:rsidR="00A14D18">
        <w:rPr>
          <w:lang w:val="fr-FR"/>
        </w:rPr>
        <w:t>s</w:t>
      </w:r>
      <w:r>
        <w:rPr>
          <w:lang w:val="fr-FR"/>
        </w:rPr>
        <w:t xml:space="preserve"> de l’</w:t>
      </w:r>
      <w:r w:rsidR="00AE1D34">
        <w:rPr>
          <w:lang w:val="fr-FR"/>
        </w:rPr>
        <w:t>État</w:t>
      </w:r>
      <w:r>
        <w:rPr>
          <w:lang w:val="fr-FR"/>
        </w:rPr>
        <w:t xml:space="preserve"> partie ne </w:t>
      </w:r>
      <w:r w:rsidR="00A14D18">
        <w:rPr>
          <w:lang w:val="fr-FR"/>
        </w:rPr>
        <w:t xml:space="preserve">font </w:t>
      </w:r>
      <w:r>
        <w:rPr>
          <w:lang w:val="fr-FR"/>
        </w:rPr>
        <w:t xml:space="preserve">nullement mention de la recevabilité de la communication, des spécificités de l’affaire ou des recours </w:t>
      </w:r>
      <w:r w:rsidR="00A14D18">
        <w:rPr>
          <w:lang w:val="fr-FR"/>
        </w:rPr>
        <w:t xml:space="preserve">introduits </w:t>
      </w:r>
      <w:r>
        <w:rPr>
          <w:lang w:val="fr-FR"/>
        </w:rPr>
        <w:t xml:space="preserve">par la famille de la victime, démontrant </w:t>
      </w:r>
      <w:r w:rsidR="00A14D18">
        <w:rPr>
          <w:lang w:val="fr-FR"/>
        </w:rPr>
        <w:t xml:space="preserve">le </w:t>
      </w:r>
      <w:r>
        <w:rPr>
          <w:lang w:val="fr-FR"/>
        </w:rPr>
        <w:t xml:space="preserve">manque de sérieux et </w:t>
      </w:r>
      <w:r w:rsidR="00A14D18">
        <w:rPr>
          <w:lang w:val="fr-FR"/>
        </w:rPr>
        <w:t xml:space="preserve">le </w:t>
      </w:r>
      <w:r>
        <w:rPr>
          <w:lang w:val="fr-FR"/>
        </w:rPr>
        <w:t xml:space="preserve">mépris des autorités algériennes pour cette procédure. </w:t>
      </w:r>
    </w:p>
    <w:p w:rsidR="004A033D" w:rsidRDefault="004A033D">
      <w:pPr>
        <w:pStyle w:val="SingleTxtG"/>
        <w:rPr>
          <w:lang w:val="fr-FR"/>
        </w:rPr>
      </w:pPr>
      <w:r>
        <w:rPr>
          <w:lang w:val="fr-FR"/>
        </w:rPr>
        <w:t>5.3</w:t>
      </w:r>
      <w:r w:rsidR="002003D6">
        <w:rPr>
          <w:lang w:val="fr-FR"/>
        </w:rPr>
        <w:tab/>
      </w:r>
      <w:r w:rsidR="0029686D">
        <w:rPr>
          <w:lang w:val="fr-FR"/>
        </w:rPr>
        <w:t>R</w:t>
      </w:r>
      <w:r>
        <w:rPr>
          <w:lang w:val="fr-FR"/>
        </w:rPr>
        <w:t xml:space="preserve">appelant qu’aucun recours n’a abouti à l’ouverture d’une enquête diligente ou à des poursuites pénales et que les autorités algériennes n’ont apporté aucun élément tangible laissant penser que des recherches effectives avaient été engagées pour retrouver Brahim El Boathi et identifier les responsables de sa disparition, l’auteure </w:t>
      </w:r>
      <w:r w:rsidR="009B6A9B">
        <w:rPr>
          <w:lang w:val="fr-FR"/>
        </w:rPr>
        <w:t xml:space="preserve">conclut </w:t>
      </w:r>
      <w:r>
        <w:rPr>
          <w:lang w:val="fr-FR"/>
        </w:rPr>
        <w:t>que les voies de recours internes ont été épuisées et que la requête doit être considérée comme recevable par le Comité.</w:t>
      </w:r>
    </w:p>
    <w:p w:rsidR="004A033D" w:rsidRDefault="004A033D" w:rsidP="004A033D">
      <w:pPr>
        <w:pStyle w:val="SingleTxtG"/>
        <w:rPr>
          <w:lang w:val="fr-FR"/>
        </w:rPr>
      </w:pPr>
      <w:r>
        <w:rPr>
          <w:lang w:val="fr-FR"/>
        </w:rPr>
        <w:t>5.4</w:t>
      </w:r>
      <w:r w:rsidR="002003D6">
        <w:rPr>
          <w:lang w:val="fr-FR"/>
        </w:rPr>
        <w:tab/>
      </w:r>
      <w:r>
        <w:rPr>
          <w:lang w:val="fr-FR"/>
        </w:rPr>
        <w:t>En se référant à la jurisprudence du Comité selon laquelle la Charte pour la paix et la réconciliation nationale ne peut être opposée aux individus soumettant une communication individuelle, l’auteure rappelle que les dispositions de la Charte ne représentent en rien une prise en charge adéquate du dossier des disparus</w:t>
      </w:r>
      <w:r w:rsidR="00542C14">
        <w:rPr>
          <w:lang w:val="fr-FR"/>
        </w:rPr>
        <w:t>,</w:t>
      </w:r>
      <w:r>
        <w:rPr>
          <w:lang w:val="fr-FR"/>
        </w:rPr>
        <w:t xml:space="preserve"> qui supposerait le respect du droit à la vérité, à la justice et à la réparation pleine et entière.</w:t>
      </w:r>
    </w:p>
    <w:p w:rsidR="004A033D" w:rsidRPr="00194795" w:rsidRDefault="004A033D" w:rsidP="004A033D">
      <w:pPr>
        <w:pStyle w:val="H23G"/>
        <w:rPr>
          <w:lang w:val="fr-FR"/>
        </w:rPr>
      </w:pPr>
      <w:r>
        <w:rPr>
          <w:lang w:val="fr-FR"/>
        </w:rPr>
        <w:tab/>
      </w:r>
      <w:r>
        <w:rPr>
          <w:lang w:val="fr-FR"/>
        </w:rPr>
        <w:tab/>
      </w:r>
      <w:r w:rsidRPr="00194795">
        <w:rPr>
          <w:lang w:val="fr-FR"/>
        </w:rPr>
        <w:t>Délibérations du Comité</w:t>
      </w:r>
    </w:p>
    <w:p w:rsidR="004A033D" w:rsidRDefault="004A033D" w:rsidP="004A033D">
      <w:pPr>
        <w:pStyle w:val="H4G"/>
        <w:rPr>
          <w:lang w:val="fr-FR"/>
        </w:rPr>
      </w:pPr>
      <w:r w:rsidRPr="00194795">
        <w:rPr>
          <w:lang w:val="fr-FR"/>
        </w:rPr>
        <w:tab/>
      </w:r>
      <w:r w:rsidRPr="00194795">
        <w:rPr>
          <w:lang w:val="fr-FR"/>
        </w:rPr>
        <w:tab/>
        <w:t>Examen de la recevabilité</w:t>
      </w:r>
    </w:p>
    <w:p w:rsidR="004A033D" w:rsidRPr="00D40799" w:rsidRDefault="004A033D">
      <w:pPr>
        <w:pStyle w:val="SingleTxtG"/>
        <w:rPr>
          <w:lang w:val="fr-CH"/>
        </w:rPr>
      </w:pPr>
      <w:r w:rsidRPr="00D40799">
        <w:rPr>
          <w:lang w:val="fr-CH"/>
        </w:rPr>
        <w:t>6.1</w:t>
      </w:r>
      <w:r w:rsidRPr="00D40799">
        <w:rPr>
          <w:lang w:val="fr-CH"/>
        </w:rPr>
        <w:tab/>
        <w:t>Avant d’examiner toute plainte soumise dans une communication, le Comité doit, conformément à l’article 93 de son règlement intérieur, déterminer si la communication est recevable en vertu du Protocole facultatif se rapportant au Pacte.</w:t>
      </w:r>
    </w:p>
    <w:p w:rsidR="004A033D" w:rsidRDefault="004A033D" w:rsidP="004A033D">
      <w:pPr>
        <w:pStyle w:val="SingleTxtG"/>
        <w:rPr>
          <w:lang w:val="fr-FR"/>
        </w:rPr>
      </w:pPr>
      <w:r>
        <w:rPr>
          <w:lang w:val="fr-FR"/>
        </w:rPr>
        <w:t>6.2</w:t>
      </w:r>
      <w:r>
        <w:rPr>
          <w:lang w:val="fr-FR"/>
        </w:rPr>
        <w:tab/>
      </w:r>
      <w:r w:rsidRPr="008749AF">
        <w:rPr>
          <w:lang w:val="fr-FR"/>
        </w:rPr>
        <w:t xml:space="preserve">Le Comité s’est assuré, comme il est tenu de le faire conformément au paragraphe 2 a) de l’article 5 du Protocole facultatif, que la même question n’était pas déjà en cours d’examen devant une autre instance internationale d’enquête ou de règlement. </w:t>
      </w:r>
      <w:r>
        <w:rPr>
          <w:lang w:val="fr-FR"/>
        </w:rPr>
        <w:t>Le Comité note que la disparition a été signalée au Groupe de travail sur les disparitions forcées ou involontaire</w:t>
      </w:r>
      <w:r w:rsidR="00192E04">
        <w:rPr>
          <w:lang w:val="fr-FR"/>
        </w:rPr>
        <w:t>s</w:t>
      </w:r>
      <w:r>
        <w:rPr>
          <w:lang w:val="fr-FR"/>
        </w:rPr>
        <w:t>. Toutefois, l</w:t>
      </w:r>
      <w:r w:rsidRPr="008749AF">
        <w:rPr>
          <w:lang w:val="fr-FR"/>
        </w:rPr>
        <w:t>e Comité rappelle que les procédures ou mécanismes extraconventionnels du Conseil des droits de l’homme dont les mandats consistent à examiner et à faire rapport publiquement sur la situation des droits de l’homme dans un pays ou territoire, ou sur des phénomènes de grande ampleur de violation des droits de l’homme dans le monde, ne relèvent généralement pas d’une procédure internationale d’enquête ou de règlement au sens du pa</w:t>
      </w:r>
      <w:r>
        <w:rPr>
          <w:lang w:val="fr-FR"/>
        </w:rPr>
        <w:t>ra</w:t>
      </w:r>
      <w:r w:rsidRPr="008749AF">
        <w:rPr>
          <w:lang w:val="fr-FR"/>
        </w:rPr>
        <w:t>graphe 2 a) de l’article 5 du Protocole facultatif</w:t>
      </w:r>
      <w:r w:rsidRPr="00EF223D">
        <w:rPr>
          <w:rStyle w:val="FootnoteReference"/>
        </w:rPr>
        <w:footnoteReference w:id="8"/>
      </w:r>
      <w:r w:rsidRPr="008749AF">
        <w:rPr>
          <w:lang w:val="fr-FR"/>
        </w:rPr>
        <w:t xml:space="preserve">. En conséquence, le Comité estime que </w:t>
      </w:r>
      <w:r>
        <w:rPr>
          <w:lang w:val="fr-FR"/>
        </w:rPr>
        <w:t>l’examen du cas de Brahim El Boathi</w:t>
      </w:r>
      <w:r w:rsidRPr="008749AF">
        <w:rPr>
          <w:lang w:val="fr-FR"/>
        </w:rPr>
        <w:t xml:space="preserve"> par le Groupe de travail sur les disparitions forcées ou involontaires ne rend pas la communication irrecevable en vertu de cette disposition. </w:t>
      </w:r>
    </w:p>
    <w:p w:rsidR="004A033D" w:rsidRPr="00A74AEC" w:rsidRDefault="004A033D">
      <w:pPr>
        <w:pStyle w:val="SingleTxtG"/>
        <w:rPr>
          <w:lang w:val="fr-FR"/>
        </w:rPr>
      </w:pPr>
      <w:r w:rsidRPr="00D577AD">
        <w:rPr>
          <w:lang w:val="fr-FR"/>
        </w:rPr>
        <w:t>6.</w:t>
      </w:r>
      <w:r>
        <w:rPr>
          <w:lang w:val="fr-FR"/>
        </w:rPr>
        <w:t>3</w:t>
      </w:r>
      <w:r>
        <w:rPr>
          <w:lang w:val="fr-FR"/>
        </w:rPr>
        <w:tab/>
      </w:r>
      <w:r w:rsidRPr="008749AF">
        <w:rPr>
          <w:lang w:val="fr-FR"/>
        </w:rPr>
        <w:t>Le Comité</w:t>
      </w:r>
      <w:r>
        <w:rPr>
          <w:lang w:val="fr-FR"/>
        </w:rPr>
        <w:t xml:space="preserve"> note que, </w:t>
      </w:r>
      <w:r w:rsidR="008116C1">
        <w:rPr>
          <w:lang w:val="fr-FR"/>
        </w:rPr>
        <w:t>pour</w:t>
      </w:r>
      <w:r>
        <w:rPr>
          <w:lang w:val="fr-FR"/>
        </w:rPr>
        <w:t xml:space="preserve"> contester la recevabilité de la communication, l’</w:t>
      </w:r>
      <w:r w:rsidR="00AE1D34">
        <w:rPr>
          <w:lang w:val="fr-FR"/>
        </w:rPr>
        <w:t>État</w:t>
      </w:r>
      <w:r>
        <w:rPr>
          <w:lang w:val="fr-FR"/>
        </w:rPr>
        <w:t xml:space="preserve"> partie se contente de renvoyer à son mémoire de référence sur le traitement de la question des disparitions à la lumière de la mise en œuvre de la Charte pour la </w:t>
      </w:r>
      <w:r w:rsidR="008D2290">
        <w:rPr>
          <w:lang w:val="fr-FR"/>
        </w:rPr>
        <w:t xml:space="preserve">paix </w:t>
      </w:r>
      <w:r>
        <w:rPr>
          <w:lang w:val="fr-FR"/>
        </w:rPr>
        <w:t xml:space="preserve">et la </w:t>
      </w:r>
      <w:r w:rsidR="008D2290">
        <w:rPr>
          <w:lang w:val="fr-FR"/>
        </w:rPr>
        <w:t>réconciliation nationale</w:t>
      </w:r>
      <w:r>
        <w:rPr>
          <w:lang w:val="fr-FR"/>
        </w:rPr>
        <w:t xml:space="preserve">. Le Comité </w:t>
      </w:r>
      <w:r w:rsidRPr="008749AF">
        <w:rPr>
          <w:lang w:val="fr-FR"/>
        </w:rPr>
        <w:t>rappelle que l’</w:t>
      </w:r>
      <w:r w:rsidR="00AE1D34">
        <w:rPr>
          <w:lang w:val="fr-FR"/>
        </w:rPr>
        <w:t>État</w:t>
      </w:r>
      <w:r w:rsidRPr="008749AF">
        <w:rPr>
          <w:lang w:val="fr-FR"/>
        </w:rPr>
        <w:t xml:space="preserve"> partie a non seulement le devoir de mener des enquêtes approfondies sur les violations supposées des droits de l’homme portées à l’attention de ses autorités, en particulier lorsqu’il s’agit de disparitions forcées</w:t>
      </w:r>
      <w:r>
        <w:rPr>
          <w:lang w:val="fr-FR"/>
        </w:rPr>
        <w:t xml:space="preserve"> ou de violations du droit à la vie</w:t>
      </w:r>
      <w:r w:rsidRPr="008749AF">
        <w:rPr>
          <w:lang w:val="fr-FR"/>
        </w:rPr>
        <w:t>, mais aussi de poursuivre quiconque est présumé responsable de ces violations, de procéder au jugement et de prononcer une peine</w:t>
      </w:r>
      <w:r w:rsidRPr="00EF223D">
        <w:rPr>
          <w:rStyle w:val="FootnoteReference"/>
        </w:rPr>
        <w:footnoteReference w:id="9"/>
      </w:r>
      <w:r w:rsidRPr="008749AF">
        <w:rPr>
          <w:lang w:val="fr-FR"/>
        </w:rPr>
        <w:t>. L’auteur</w:t>
      </w:r>
      <w:r>
        <w:rPr>
          <w:lang w:val="fr-FR"/>
        </w:rPr>
        <w:t>e</w:t>
      </w:r>
      <w:r w:rsidRPr="008749AF">
        <w:rPr>
          <w:lang w:val="fr-FR"/>
        </w:rPr>
        <w:t xml:space="preserve"> a alerté à </w:t>
      </w:r>
      <w:r>
        <w:rPr>
          <w:lang w:val="fr-FR"/>
        </w:rPr>
        <w:t>de multiples</w:t>
      </w:r>
      <w:r w:rsidRPr="008749AF">
        <w:rPr>
          <w:lang w:val="fr-FR"/>
        </w:rPr>
        <w:t xml:space="preserve"> reprises les autorités compétentes</w:t>
      </w:r>
      <w:r>
        <w:rPr>
          <w:lang w:val="fr-FR"/>
        </w:rPr>
        <w:t>, tant juridictionnelles qu’administratives, de la disparition de son fils. Le Comité prend note de ce que la Com</w:t>
      </w:r>
      <w:r w:rsidRPr="00EF4451">
        <w:rPr>
          <w:lang w:val="fr-FR"/>
        </w:rPr>
        <w:t xml:space="preserve">mission nationale </w:t>
      </w:r>
      <w:r w:rsidRPr="00EF4451">
        <w:rPr>
          <w:lang w:val="fr-FR"/>
        </w:rPr>
        <w:lastRenderedPageBreak/>
        <w:t>consultative pour la promotion et la protection des droits de l’homme</w:t>
      </w:r>
      <w:r>
        <w:rPr>
          <w:lang w:val="fr-FR"/>
        </w:rPr>
        <w:t xml:space="preserve"> a mené une enquête sur l’affaire de Brahim El Boathi. L’auteure a toutefois réfuté ladite enquête et</w:t>
      </w:r>
      <w:r w:rsidR="00D715A0">
        <w:rPr>
          <w:lang w:val="fr-FR"/>
        </w:rPr>
        <w:t>,</w:t>
      </w:r>
      <w:r>
        <w:rPr>
          <w:lang w:val="fr-FR"/>
        </w:rPr>
        <w:t xml:space="preserve"> eu égard à l’absence totale d’informations fournies par l’</w:t>
      </w:r>
      <w:r w:rsidR="00AE1D34">
        <w:rPr>
          <w:lang w:val="fr-FR"/>
        </w:rPr>
        <w:t>État</w:t>
      </w:r>
      <w:r>
        <w:rPr>
          <w:lang w:val="fr-FR"/>
        </w:rPr>
        <w:t xml:space="preserve"> partie, le Comité donne foi aux contestations de l’auteure. Le Comité prend également note de ce que le </w:t>
      </w:r>
      <w:r w:rsidR="001B3904">
        <w:rPr>
          <w:lang w:val="fr-FR"/>
        </w:rPr>
        <w:t xml:space="preserve">tribunal </w:t>
      </w:r>
      <w:r>
        <w:rPr>
          <w:lang w:val="fr-FR"/>
        </w:rPr>
        <w:t xml:space="preserve">de Cheraga a ordonné une enquête policière ; toutefois, eu égard au fait que ladite enquête a été menée par la police de Oued Koriche </w:t>
      </w:r>
      <w:r w:rsidR="001B3904">
        <w:rPr>
          <w:lang w:val="fr-FR"/>
        </w:rPr>
        <w:t xml:space="preserve">à laquelle </w:t>
      </w:r>
      <w:r>
        <w:rPr>
          <w:lang w:val="fr-FR"/>
        </w:rPr>
        <w:t>appartenait A.</w:t>
      </w:r>
      <w:r w:rsidR="00186077">
        <w:rPr>
          <w:lang w:val="fr-FR"/>
        </w:rPr>
        <w:t> </w:t>
      </w:r>
      <w:r>
        <w:rPr>
          <w:lang w:val="fr-FR"/>
        </w:rPr>
        <w:t>Z., l’officier qui aurait arrêté et exécuté Brahim El Boathi, le Comité ne saurait qualifier la procédure d’impartiale. Il ressort donc des faits tels que décrits par l’auteur</w:t>
      </w:r>
      <w:r w:rsidR="00186077">
        <w:rPr>
          <w:lang w:val="fr-FR"/>
        </w:rPr>
        <w:t>e</w:t>
      </w:r>
      <w:r>
        <w:rPr>
          <w:lang w:val="fr-FR"/>
        </w:rPr>
        <w:t xml:space="preserve"> que l’</w:t>
      </w:r>
      <w:r w:rsidR="00AE1D34">
        <w:rPr>
          <w:lang w:val="fr-FR"/>
        </w:rPr>
        <w:t>État</w:t>
      </w:r>
      <w:r>
        <w:rPr>
          <w:lang w:val="fr-FR"/>
        </w:rPr>
        <w:t xml:space="preserve"> partie n’a en l’espèce </w:t>
      </w:r>
      <w:r w:rsidRPr="008749AF">
        <w:rPr>
          <w:lang w:val="fr-FR"/>
        </w:rPr>
        <w:t>procédé à aucune enquête approfondie</w:t>
      </w:r>
      <w:r>
        <w:rPr>
          <w:lang w:val="fr-FR"/>
        </w:rPr>
        <w:t>,</w:t>
      </w:r>
      <w:r w:rsidRPr="008749AF">
        <w:rPr>
          <w:lang w:val="fr-FR"/>
        </w:rPr>
        <w:t xml:space="preserve"> rigoureuse</w:t>
      </w:r>
      <w:r>
        <w:rPr>
          <w:lang w:val="fr-FR"/>
        </w:rPr>
        <w:t xml:space="preserve"> et impartiale</w:t>
      </w:r>
      <w:r w:rsidRPr="008749AF">
        <w:rPr>
          <w:lang w:val="fr-FR"/>
        </w:rPr>
        <w:t xml:space="preserve"> sur cette disparition.</w:t>
      </w:r>
      <w:r>
        <w:rPr>
          <w:lang w:val="fr-FR"/>
        </w:rPr>
        <w:t xml:space="preserve"> En outre, l’</w:t>
      </w:r>
      <w:r w:rsidR="00AE1D34">
        <w:rPr>
          <w:lang w:val="fr-FR"/>
        </w:rPr>
        <w:t>État</w:t>
      </w:r>
      <w:r>
        <w:rPr>
          <w:lang w:val="fr-FR"/>
        </w:rPr>
        <w:t xml:space="preserve"> partie n’a apporté aucun élément d’explication spécifique dans ses observations en réponse au cas de Brahim El Boathi qui pourrait permettre</w:t>
      </w:r>
      <w:r w:rsidRPr="008749AF">
        <w:rPr>
          <w:lang w:val="fr-FR"/>
        </w:rPr>
        <w:t xml:space="preserve"> de conclure qu’un recours ef</w:t>
      </w:r>
      <w:r>
        <w:rPr>
          <w:lang w:val="fr-FR"/>
        </w:rPr>
        <w:t xml:space="preserve">ficace et disponible est ouvert. S’ajoute </w:t>
      </w:r>
      <w:r w:rsidR="009D356D">
        <w:rPr>
          <w:lang w:val="fr-FR"/>
        </w:rPr>
        <w:t xml:space="preserve">à cela </w:t>
      </w:r>
      <w:r>
        <w:rPr>
          <w:lang w:val="fr-FR"/>
        </w:rPr>
        <w:t>le fait que</w:t>
      </w:r>
      <w:r w:rsidRPr="008749AF">
        <w:rPr>
          <w:lang w:val="fr-FR"/>
        </w:rPr>
        <w:t xml:space="preserve"> l’ordonnance </w:t>
      </w:r>
      <w:r w:rsidRPr="008749AF">
        <w:rPr>
          <w:rFonts w:eastAsia="MS Mincho"/>
          <w:lang w:val="fr-FR"/>
        </w:rPr>
        <w:t>n</w:t>
      </w:r>
      <w:r w:rsidRPr="008749AF">
        <w:rPr>
          <w:rFonts w:eastAsia="MS Mincho"/>
          <w:vertAlign w:val="superscript"/>
          <w:lang w:val="fr-FR"/>
        </w:rPr>
        <w:t>o</w:t>
      </w:r>
      <w:r w:rsidRPr="008749AF">
        <w:rPr>
          <w:lang w:val="fr-FR"/>
        </w:rPr>
        <w:t> 06-01 c</w:t>
      </w:r>
      <w:r>
        <w:rPr>
          <w:lang w:val="fr-FR"/>
        </w:rPr>
        <w:t xml:space="preserve">ontinue d’être appliquée en dépit du fait </w:t>
      </w:r>
      <w:r w:rsidRPr="008749AF">
        <w:rPr>
          <w:lang w:val="fr-FR"/>
        </w:rPr>
        <w:t>que le Comité a recommandé qu’elle soit mise en conformité avec le Pacte</w:t>
      </w:r>
      <w:r w:rsidR="000E5585">
        <w:rPr>
          <w:lang w:val="fr-FR"/>
        </w:rPr>
        <w:t xml:space="preserve"> (voir </w:t>
      </w:r>
      <w:r w:rsidR="000E5585" w:rsidRPr="00506D12">
        <w:rPr>
          <w:szCs w:val="18"/>
          <w:lang w:val="fr-FR"/>
        </w:rPr>
        <w:t>CCPR/C/DZA/CO/</w:t>
      </w:r>
      <w:r w:rsidR="000E5585">
        <w:rPr>
          <w:szCs w:val="18"/>
          <w:lang w:val="fr-FR"/>
        </w:rPr>
        <w:t xml:space="preserve">, </w:t>
      </w:r>
      <w:r w:rsidR="000E5585" w:rsidRPr="00506D12">
        <w:rPr>
          <w:szCs w:val="18"/>
          <w:lang w:val="fr-FR"/>
        </w:rPr>
        <w:t>par. 7, 8 et 13</w:t>
      </w:r>
      <w:r w:rsidR="000E5585">
        <w:rPr>
          <w:szCs w:val="18"/>
          <w:lang w:val="fr-FR"/>
        </w:rPr>
        <w:t>)</w:t>
      </w:r>
      <w:r w:rsidRPr="008749AF">
        <w:rPr>
          <w:lang w:val="fr-FR"/>
        </w:rPr>
        <w:t xml:space="preserve">. Le Comité conclut par conséquent que le paragraphe 2 b) de l’article 5 du Protocole facultatif ne fait pas obstacle à la recevabilité de la </w:t>
      </w:r>
      <w:r w:rsidRPr="00A74AEC">
        <w:rPr>
          <w:lang w:val="fr-FR"/>
        </w:rPr>
        <w:t>présente communication.</w:t>
      </w:r>
    </w:p>
    <w:p w:rsidR="00A33A86" w:rsidRDefault="004A033D">
      <w:pPr>
        <w:pStyle w:val="SingleTxtG"/>
        <w:rPr>
          <w:rFonts w:eastAsiaTheme="minorHAnsi"/>
          <w:lang w:val="fr-CH"/>
        </w:rPr>
      </w:pPr>
      <w:r w:rsidRPr="00A33A86">
        <w:rPr>
          <w:lang w:val="fr-FR"/>
        </w:rPr>
        <w:t>6.4</w:t>
      </w:r>
      <w:r w:rsidRPr="00A33A86">
        <w:rPr>
          <w:lang w:val="fr-FR"/>
        </w:rPr>
        <w:tab/>
        <w:t xml:space="preserve">Le Comité </w:t>
      </w:r>
      <w:r w:rsidR="00A33A86">
        <w:rPr>
          <w:lang w:val="fr-FR"/>
        </w:rPr>
        <w:t xml:space="preserve">note </w:t>
      </w:r>
      <w:r w:rsidRPr="00A33A86">
        <w:rPr>
          <w:lang w:val="fr-FR"/>
        </w:rPr>
        <w:t>que l’auteure</w:t>
      </w:r>
      <w:r w:rsidR="00A33A86">
        <w:rPr>
          <w:lang w:val="fr-FR"/>
        </w:rPr>
        <w:t xml:space="preserve"> a soulevé une violation de l’article 2 (par. 2</w:t>
      </w:r>
      <w:r w:rsidR="009832BB">
        <w:rPr>
          <w:lang w:val="fr-FR"/>
        </w:rPr>
        <w:t xml:space="preserve">) du Pacte à son égard comme à l’égard de Brahim El Boathi. </w:t>
      </w:r>
      <w:r w:rsidRPr="00A33A86">
        <w:rPr>
          <w:lang w:val="fr-FR"/>
        </w:rPr>
        <w:t xml:space="preserve">Le Comité </w:t>
      </w:r>
      <w:r w:rsidRPr="00A33A86">
        <w:rPr>
          <w:rFonts w:eastAsiaTheme="minorHAnsi"/>
          <w:lang w:val="fr-CH"/>
        </w:rPr>
        <w:t>rappelle</w:t>
      </w:r>
      <w:r w:rsidR="00297593">
        <w:rPr>
          <w:rFonts w:eastAsiaTheme="minorHAnsi"/>
          <w:lang w:val="fr-CH"/>
        </w:rPr>
        <w:t xml:space="preserve"> </w:t>
      </w:r>
      <w:r w:rsidRPr="00A33A86">
        <w:rPr>
          <w:rFonts w:eastAsiaTheme="minorHAnsi"/>
          <w:lang w:val="fr-CH"/>
        </w:rPr>
        <w:t xml:space="preserve">que les dispositions de l’article 2 du Pacte énoncent une obligation générale à l’intention des </w:t>
      </w:r>
      <w:r w:rsidR="00AE1D34">
        <w:rPr>
          <w:rFonts w:eastAsiaTheme="minorHAnsi"/>
          <w:lang w:val="fr-CH"/>
        </w:rPr>
        <w:t>État</w:t>
      </w:r>
      <w:r w:rsidRPr="00A33A86">
        <w:rPr>
          <w:rFonts w:eastAsiaTheme="minorHAnsi"/>
          <w:lang w:val="fr-CH"/>
        </w:rPr>
        <w:t xml:space="preserve">s parties </w:t>
      </w:r>
      <w:r w:rsidR="003868A1">
        <w:rPr>
          <w:rFonts w:eastAsiaTheme="minorHAnsi"/>
          <w:lang w:val="fr-CH"/>
        </w:rPr>
        <w:t>et</w:t>
      </w:r>
      <w:r w:rsidR="003868A1" w:rsidRPr="00A33A86">
        <w:rPr>
          <w:rFonts w:eastAsiaTheme="minorHAnsi"/>
          <w:lang w:val="fr-CH"/>
        </w:rPr>
        <w:t xml:space="preserve"> </w:t>
      </w:r>
      <w:r w:rsidRPr="00A33A86">
        <w:rPr>
          <w:rFonts w:eastAsiaTheme="minorHAnsi"/>
          <w:lang w:val="fr-CH"/>
        </w:rPr>
        <w:t>ne peuvent être invoquées isolément dans une communication</w:t>
      </w:r>
      <w:r w:rsidRPr="00EF223D">
        <w:rPr>
          <w:rStyle w:val="FootnoteReference"/>
        </w:rPr>
        <w:footnoteReference w:id="10"/>
      </w:r>
      <w:r w:rsidRPr="00A33A86">
        <w:rPr>
          <w:rFonts w:eastAsiaTheme="minorHAnsi"/>
          <w:lang w:val="fr-CH"/>
        </w:rPr>
        <w:t xml:space="preserve">. </w:t>
      </w:r>
      <w:r w:rsidR="00D26DED">
        <w:rPr>
          <w:rFonts w:eastAsiaTheme="minorHAnsi"/>
          <w:lang w:val="fr-CH"/>
        </w:rPr>
        <w:t xml:space="preserve">Par conséquent, cette partie de la communication est irrecevable </w:t>
      </w:r>
      <w:r w:rsidR="004B21C1">
        <w:rPr>
          <w:rFonts w:eastAsiaTheme="minorHAnsi"/>
          <w:lang w:val="fr-CH"/>
        </w:rPr>
        <w:t>au titre de</w:t>
      </w:r>
      <w:r w:rsidR="006D0C70">
        <w:rPr>
          <w:rFonts w:eastAsiaTheme="minorHAnsi"/>
          <w:lang w:val="fr-CH"/>
        </w:rPr>
        <w:t xml:space="preserve"> </w:t>
      </w:r>
      <w:r w:rsidR="00D26DED">
        <w:rPr>
          <w:rFonts w:eastAsiaTheme="minorHAnsi"/>
          <w:lang w:val="fr-CH"/>
        </w:rPr>
        <w:t xml:space="preserve">l’article 3 du Protocole facultatif. </w:t>
      </w:r>
    </w:p>
    <w:p w:rsidR="004A033D" w:rsidRPr="004215B8" w:rsidRDefault="00A33A86">
      <w:pPr>
        <w:pStyle w:val="SingleTxtG"/>
        <w:rPr>
          <w:rFonts w:eastAsiaTheme="minorHAnsi"/>
          <w:lang w:val="fr-FR"/>
        </w:rPr>
      </w:pPr>
      <w:r>
        <w:rPr>
          <w:rFonts w:eastAsiaTheme="minorHAnsi"/>
          <w:lang w:val="fr-CH"/>
        </w:rPr>
        <w:t>6.5</w:t>
      </w:r>
      <w:r w:rsidR="000C3E6C">
        <w:rPr>
          <w:rFonts w:eastAsiaTheme="minorHAnsi"/>
          <w:lang w:val="fr-CH"/>
        </w:rPr>
        <w:tab/>
      </w:r>
      <w:r w:rsidR="004A033D" w:rsidRPr="00A33A86">
        <w:rPr>
          <w:lang w:val="fr-FR"/>
        </w:rPr>
        <w:t>Le Comité considère que les allégations qui soulèvent des questions au regard des articles 6, 7, 9, 10</w:t>
      </w:r>
      <w:r w:rsidR="00833AC4">
        <w:rPr>
          <w:lang w:val="fr-FR"/>
        </w:rPr>
        <w:t xml:space="preserve"> et</w:t>
      </w:r>
      <w:r w:rsidR="00833AC4" w:rsidRPr="00A33A86">
        <w:rPr>
          <w:lang w:val="fr-FR"/>
        </w:rPr>
        <w:t xml:space="preserve"> </w:t>
      </w:r>
      <w:r w:rsidR="004A033D" w:rsidRPr="001A7740">
        <w:rPr>
          <w:lang w:val="fr-FR"/>
        </w:rPr>
        <w:t>16 lus</w:t>
      </w:r>
      <w:r w:rsidR="004A033D" w:rsidRPr="00A33A86">
        <w:rPr>
          <w:lang w:val="fr-FR"/>
        </w:rPr>
        <w:t xml:space="preserve"> seuls et conjointement avec l’article 2 (par. 3) du Pacte sont suffisamment étayées</w:t>
      </w:r>
      <w:r w:rsidR="00D26DED">
        <w:rPr>
          <w:lang w:val="fr-FR"/>
        </w:rPr>
        <w:t xml:space="preserve"> et qu’il n</w:t>
      </w:r>
      <w:r w:rsidR="00B33BD4">
        <w:rPr>
          <w:lang w:val="fr-FR"/>
        </w:rPr>
        <w:t>’</w:t>
      </w:r>
      <w:r w:rsidR="00D26DED">
        <w:rPr>
          <w:lang w:val="fr-FR"/>
        </w:rPr>
        <w:t>existe pas d’obstacle à leur recevabilité.</w:t>
      </w:r>
      <w:r w:rsidR="004A033D" w:rsidRPr="00A33A86">
        <w:rPr>
          <w:lang w:val="fr-FR"/>
        </w:rPr>
        <w:t xml:space="preserve"> Le Comité procède donc à l’examen de la communication sur le fond concernant les violations alléguées des articles 6, 7, 9, 10, 16 et 2 (par. 3) du Pacte.</w:t>
      </w:r>
    </w:p>
    <w:p w:rsidR="004A033D" w:rsidRDefault="00E778DB" w:rsidP="0072331E">
      <w:pPr>
        <w:pStyle w:val="H4G"/>
        <w:rPr>
          <w:lang w:val="fr-FR"/>
        </w:rPr>
      </w:pPr>
      <w:r>
        <w:rPr>
          <w:lang w:val="fr-FR"/>
        </w:rPr>
        <w:tab/>
      </w:r>
      <w:r>
        <w:rPr>
          <w:lang w:val="fr-FR"/>
        </w:rPr>
        <w:tab/>
      </w:r>
      <w:r w:rsidR="004A033D" w:rsidRPr="0005169E">
        <w:rPr>
          <w:lang w:val="fr-FR"/>
        </w:rPr>
        <w:t>Examen au fond</w:t>
      </w:r>
    </w:p>
    <w:p w:rsidR="004A033D" w:rsidRPr="00194795" w:rsidRDefault="004A033D" w:rsidP="004A033D">
      <w:pPr>
        <w:pStyle w:val="SingleTxtG"/>
        <w:rPr>
          <w:lang w:val="fr-FR"/>
        </w:rPr>
      </w:pPr>
      <w:r w:rsidRPr="00194795">
        <w:rPr>
          <w:lang w:val="fr-FR"/>
        </w:rPr>
        <w:t>7.1</w:t>
      </w:r>
      <w:r w:rsidRPr="00194795">
        <w:rPr>
          <w:lang w:val="fr-FR"/>
        </w:rPr>
        <w:tab/>
      </w:r>
      <w:r w:rsidRPr="00C7006C">
        <w:rPr>
          <w:lang w:val="fr-FR"/>
        </w:rPr>
        <w:t xml:space="preserve">Conformément au paragraphe 1 de l’article 5 du Protocole facultatif, le Comité </w:t>
      </w:r>
      <w:r w:rsidRPr="00427665">
        <w:rPr>
          <w:lang w:val="fr-FR"/>
        </w:rPr>
        <w:t>a examiné la présente communication en tenant compte de toutes les informations soumises par les parties</w:t>
      </w:r>
      <w:r w:rsidRPr="00CC67AB">
        <w:rPr>
          <w:lang w:val="fr-FR"/>
        </w:rPr>
        <w:t>.</w:t>
      </w:r>
    </w:p>
    <w:p w:rsidR="004A033D" w:rsidRDefault="004A033D">
      <w:pPr>
        <w:pStyle w:val="SingleTxtG"/>
        <w:rPr>
          <w:lang w:val="fr-FR"/>
        </w:rPr>
      </w:pPr>
      <w:r w:rsidRPr="00194795">
        <w:rPr>
          <w:lang w:val="fr-FR"/>
        </w:rPr>
        <w:t>7.2</w:t>
      </w:r>
      <w:r w:rsidRPr="00194795">
        <w:rPr>
          <w:lang w:val="fr-FR"/>
        </w:rPr>
        <w:tab/>
      </w:r>
      <w:r>
        <w:rPr>
          <w:lang w:val="fr-FR"/>
        </w:rPr>
        <w:t xml:space="preserve">Le Comité note que </w:t>
      </w:r>
      <w:r w:rsidR="00EA3274">
        <w:rPr>
          <w:spacing w:val="-2"/>
          <w:lang w:val="fr-FR"/>
        </w:rPr>
        <w:t>l</w:t>
      </w:r>
      <w:r w:rsidRPr="001A4284">
        <w:rPr>
          <w:spacing w:val="-2"/>
          <w:lang w:val="fr-FR"/>
        </w:rPr>
        <w:t>’</w:t>
      </w:r>
      <w:r w:rsidR="00AE1D34">
        <w:rPr>
          <w:spacing w:val="-2"/>
          <w:lang w:val="fr-FR"/>
        </w:rPr>
        <w:t>État</w:t>
      </w:r>
      <w:r w:rsidRPr="001A4284">
        <w:rPr>
          <w:spacing w:val="-2"/>
          <w:lang w:val="fr-FR"/>
        </w:rPr>
        <w:t xml:space="preserve"> partie s’est contenté de faire référence à ses observations collectives et générales</w:t>
      </w:r>
      <w:r>
        <w:rPr>
          <w:spacing w:val="-2"/>
          <w:lang w:val="fr-FR"/>
        </w:rPr>
        <w:t xml:space="preserve"> </w:t>
      </w:r>
      <w:r w:rsidRPr="001A4284">
        <w:rPr>
          <w:spacing w:val="-2"/>
          <w:lang w:val="fr-FR"/>
        </w:rPr>
        <w:t>qui avaient été tra</w:t>
      </w:r>
      <w:r>
        <w:rPr>
          <w:spacing w:val="-2"/>
          <w:lang w:val="fr-FR"/>
        </w:rPr>
        <w:t>nsmises antérieurement au Groupe de travail sur les disparitions forcées ou involontaires et au Comité</w:t>
      </w:r>
      <w:r w:rsidRPr="001A4284">
        <w:rPr>
          <w:spacing w:val="-2"/>
          <w:lang w:val="fr-FR"/>
        </w:rPr>
        <w:t xml:space="preserve"> en relation avec d’autres communications, afin de confirmer sa position selon laquelle de telles affaires ont déjà été réglées dans le cadre de la mise en œuvre de la Charte pour la paix et la réconciliation nationale. Le Comité renvoie à sa jurisprudence et rappelle que l’</w:t>
      </w:r>
      <w:r w:rsidR="00AE1D34">
        <w:rPr>
          <w:spacing w:val="-2"/>
          <w:lang w:val="fr-FR"/>
        </w:rPr>
        <w:t>État</w:t>
      </w:r>
      <w:r w:rsidRPr="001A4284">
        <w:rPr>
          <w:spacing w:val="-2"/>
          <w:lang w:val="fr-FR"/>
        </w:rPr>
        <w:t xml:space="preserve"> partie ne saurait opposer les dispositions de ladite Charte à des personnes qui invoquent les dispositions du Pacte ou qui ont soumis ou pourraient soumettre des communications au Comité. Le Pacte exige de l’</w:t>
      </w:r>
      <w:r w:rsidR="00AE1D34">
        <w:rPr>
          <w:spacing w:val="-2"/>
          <w:lang w:val="fr-FR"/>
        </w:rPr>
        <w:t>État</w:t>
      </w:r>
      <w:r w:rsidRPr="001A4284">
        <w:rPr>
          <w:spacing w:val="-2"/>
          <w:lang w:val="fr-FR"/>
        </w:rPr>
        <w:t xml:space="preserve"> partie qu’il se soucie du sort de chaque personne et qu’il traite chaque personne avec le respect de la dignité inhérente à la personne humaine</w:t>
      </w:r>
      <w:r w:rsidRPr="00EF223D">
        <w:rPr>
          <w:rStyle w:val="FootnoteReference"/>
        </w:rPr>
        <w:footnoteReference w:id="11"/>
      </w:r>
      <w:r w:rsidRPr="001A4284">
        <w:rPr>
          <w:spacing w:val="-2"/>
          <w:lang w:val="fr-FR"/>
        </w:rPr>
        <w:t xml:space="preserve">. En l’absence des modifications recommandées par le Comité, l’ordonnance </w:t>
      </w:r>
      <w:r w:rsidRPr="001A4284">
        <w:rPr>
          <w:rFonts w:eastAsia="MS Mincho"/>
          <w:spacing w:val="-2"/>
          <w:lang w:val="fr-FR"/>
        </w:rPr>
        <w:t>n</w:t>
      </w:r>
      <w:r w:rsidRPr="001A4284">
        <w:rPr>
          <w:rFonts w:eastAsia="MS Mincho"/>
          <w:spacing w:val="-2"/>
          <w:vertAlign w:val="superscript"/>
          <w:lang w:val="fr-FR"/>
        </w:rPr>
        <w:t>o</w:t>
      </w:r>
      <w:r w:rsidRPr="001A4284">
        <w:rPr>
          <w:spacing w:val="-2"/>
          <w:lang w:val="fr-FR"/>
        </w:rPr>
        <w:t> 06-01 contribue dans le cas présent à l’impunité et ne peut donc, en l’</w:t>
      </w:r>
      <w:r w:rsidR="00F57937">
        <w:rPr>
          <w:spacing w:val="-2"/>
          <w:lang w:val="fr-FR"/>
        </w:rPr>
        <w:t>é</w:t>
      </w:r>
      <w:r w:rsidR="00AE1D34">
        <w:rPr>
          <w:spacing w:val="-2"/>
          <w:lang w:val="fr-FR"/>
        </w:rPr>
        <w:t>tat</w:t>
      </w:r>
      <w:r w:rsidRPr="001A4284">
        <w:rPr>
          <w:spacing w:val="-2"/>
          <w:lang w:val="fr-FR"/>
        </w:rPr>
        <w:t>, être jugée compatible avec les dispositions du Pacte</w:t>
      </w:r>
      <w:r w:rsidRPr="00EF223D">
        <w:rPr>
          <w:rStyle w:val="FootnoteReference"/>
        </w:rPr>
        <w:footnoteReference w:id="12"/>
      </w:r>
      <w:r w:rsidRPr="001A4284">
        <w:rPr>
          <w:spacing w:val="-2"/>
          <w:lang w:val="fr-FR"/>
        </w:rPr>
        <w:t>.</w:t>
      </w:r>
      <w:r w:rsidRPr="00711343">
        <w:rPr>
          <w:lang w:val="fr-FR"/>
        </w:rPr>
        <w:t xml:space="preserve"> </w:t>
      </w:r>
    </w:p>
    <w:p w:rsidR="00D40799" w:rsidRDefault="004A033D" w:rsidP="00927A28">
      <w:pPr>
        <w:pStyle w:val="SingleTxtG"/>
        <w:rPr>
          <w:lang w:val="fr-FR"/>
        </w:rPr>
      </w:pPr>
      <w:r>
        <w:rPr>
          <w:lang w:val="fr-FR"/>
        </w:rPr>
        <w:t>7</w:t>
      </w:r>
      <w:r w:rsidRPr="008749AF">
        <w:rPr>
          <w:lang w:val="fr-FR"/>
        </w:rPr>
        <w:t>.3</w:t>
      </w:r>
      <w:r w:rsidRPr="008749AF">
        <w:rPr>
          <w:lang w:val="fr-FR"/>
        </w:rPr>
        <w:tab/>
        <w:t>Le Comité note que l’</w:t>
      </w:r>
      <w:r w:rsidR="00AE1D34">
        <w:rPr>
          <w:lang w:val="fr-FR"/>
        </w:rPr>
        <w:t>État</w:t>
      </w:r>
      <w:r w:rsidRPr="008749AF">
        <w:rPr>
          <w:lang w:val="fr-FR"/>
        </w:rPr>
        <w:t xml:space="preserve"> partie n’a pas répondu aux allégations de l’auteur</w:t>
      </w:r>
      <w:r>
        <w:rPr>
          <w:lang w:val="fr-FR"/>
        </w:rPr>
        <w:t>e</w:t>
      </w:r>
      <w:r w:rsidRPr="008749AF">
        <w:rPr>
          <w:lang w:val="fr-FR"/>
        </w:rPr>
        <w:t xml:space="preserve"> sur le fond et rappelle sa jurisprudence selon laquelle la règle relative à la charge de la preuve ne doit pas incomber uniquement à l’auteur d’une communication, d’autant plus que celui-ci et l’</w:t>
      </w:r>
      <w:r w:rsidR="00AE1D34">
        <w:rPr>
          <w:lang w:val="fr-FR"/>
        </w:rPr>
        <w:t>État</w:t>
      </w:r>
      <w:r w:rsidRPr="008749AF">
        <w:rPr>
          <w:lang w:val="fr-FR"/>
        </w:rPr>
        <w:t xml:space="preserve"> partie n’ont pas toujours un accès égal aux éléments de preuve et que souvent seul l’</w:t>
      </w:r>
      <w:r w:rsidR="00AE1D34">
        <w:rPr>
          <w:lang w:val="fr-FR"/>
        </w:rPr>
        <w:t>État</w:t>
      </w:r>
      <w:r w:rsidRPr="008749AF">
        <w:rPr>
          <w:lang w:val="fr-FR"/>
        </w:rPr>
        <w:t xml:space="preserve"> partie dispose des renseignements nécessaires</w:t>
      </w:r>
      <w:r w:rsidRPr="00EF223D">
        <w:rPr>
          <w:rStyle w:val="FootnoteReference"/>
        </w:rPr>
        <w:footnoteReference w:id="13"/>
      </w:r>
      <w:r w:rsidRPr="008749AF">
        <w:rPr>
          <w:lang w:val="fr-FR"/>
        </w:rPr>
        <w:t xml:space="preserve">. </w:t>
      </w:r>
      <w:r w:rsidRPr="008749AF">
        <w:rPr>
          <w:rFonts w:ascii="TimesNRMT" w:hAnsi="TimesNRMT" w:cs="TimesNRMT"/>
          <w:iCs/>
          <w:lang w:val="fr-FR" w:eastAsia="fr-FR"/>
        </w:rPr>
        <w:t xml:space="preserve">Conformément au paragraphe 2 de </w:t>
      </w:r>
      <w:r w:rsidRPr="008749AF">
        <w:rPr>
          <w:lang w:val="fr-FR"/>
        </w:rPr>
        <w:lastRenderedPageBreak/>
        <w:t>l’article 4 du Protocole facultatif, l’</w:t>
      </w:r>
      <w:r w:rsidR="00AE1D34">
        <w:rPr>
          <w:lang w:val="fr-FR"/>
        </w:rPr>
        <w:t>État</w:t>
      </w:r>
      <w:r w:rsidRPr="008749AF">
        <w:rPr>
          <w:lang w:val="fr-FR"/>
        </w:rPr>
        <w:t xml:space="preserve"> partie est tenu d’enquêter de bonne foi sur toutes les allégations de violations du Pacte portées contre lui et ses représentants et de transmettre au Comité les renseignements qu’il détient</w:t>
      </w:r>
      <w:r w:rsidRPr="00EF223D">
        <w:rPr>
          <w:rStyle w:val="FootnoteReference"/>
        </w:rPr>
        <w:footnoteReference w:id="14"/>
      </w:r>
      <w:r w:rsidRPr="008749AF">
        <w:rPr>
          <w:lang w:val="fr-FR"/>
        </w:rPr>
        <w:t>. En l’absence d’explications de la part de l’</w:t>
      </w:r>
      <w:r w:rsidR="00AE1D34">
        <w:rPr>
          <w:lang w:val="fr-FR"/>
        </w:rPr>
        <w:t>État</w:t>
      </w:r>
      <w:r w:rsidRPr="008749AF">
        <w:rPr>
          <w:lang w:val="fr-FR"/>
        </w:rPr>
        <w:t xml:space="preserve"> partie à ce sujet, il convient d’accorder tout le crédit voulu aux allégations de l’auteur dès lors qu’elles sont suffisamment étayées.</w:t>
      </w:r>
    </w:p>
    <w:p w:rsidR="00D40799" w:rsidRDefault="00297593" w:rsidP="00927A28">
      <w:pPr>
        <w:pStyle w:val="SingleTxtG"/>
        <w:rPr>
          <w:lang w:val="fr-FR"/>
        </w:rPr>
      </w:pPr>
      <w:r>
        <w:rPr>
          <w:lang w:val="fr-FR"/>
        </w:rPr>
        <w:t>7.4</w:t>
      </w:r>
      <w:r w:rsidR="000C3E6C">
        <w:rPr>
          <w:lang w:val="fr-FR"/>
        </w:rPr>
        <w:tab/>
      </w:r>
      <w:r w:rsidRPr="00E0008F">
        <w:rPr>
          <w:lang w:val="fr-FR"/>
        </w:rPr>
        <w:t>Le Comité rappelle que si l</w:t>
      </w:r>
      <w:r>
        <w:rPr>
          <w:lang w:val="fr-FR"/>
        </w:rPr>
        <w:t>’</w:t>
      </w:r>
      <w:r w:rsidRPr="00E0008F">
        <w:rPr>
          <w:lang w:val="fr-FR"/>
        </w:rPr>
        <w:t>expression « disparition forcée » n</w:t>
      </w:r>
      <w:r>
        <w:rPr>
          <w:lang w:val="fr-FR"/>
        </w:rPr>
        <w:t>’</w:t>
      </w:r>
      <w:r w:rsidRPr="00E0008F">
        <w:rPr>
          <w:lang w:val="fr-FR"/>
        </w:rPr>
        <w:t>apparaît expressément dans aucun article du Pacte, la disparition forcée est néanmoins un ensemble particulier d</w:t>
      </w:r>
      <w:r>
        <w:rPr>
          <w:lang w:val="fr-FR"/>
        </w:rPr>
        <w:t>’</w:t>
      </w:r>
      <w:r w:rsidRPr="00E0008F">
        <w:rPr>
          <w:lang w:val="fr-FR"/>
        </w:rPr>
        <w:t>actes représentant une violation continue de plusieurs droits consacrés par cet instrument</w:t>
      </w:r>
      <w:r w:rsidRPr="00EF223D">
        <w:rPr>
          <w:rStyle w:val="FootnoteReference"/>
        </w:rPr>
        <w:footnoteReference w:id="15"/>
      </w:r>
      <w:r w:rsidRPr="00E0008F">
        <w:rPr>
          <w:lang w:val="fr-FR"/>
        </w:rPr>
        <w:t>.</w:t>
      </w:r>
    </w:p>
    <w:p w:rsidR="004A033D" w:rsidRDefault="004A033D">
      <w:pPr>
        <w:pStyle w:val="SingleTxtG"/>
        <w:rPr>
          <w:lang w:val="fr-FR"/>
        </w:rPr>
      </w:pPr>
      <w:r>
        <w:rPr>
          <w:lang w:val="fr-FR"/>
        </w:rPr>
        <w:t>7.</w:t>
      </w:r>
      <w:r w:rsidR="00297593">
        <w:rPr>
          <w:lang w:val="fr-FR"/>
        </w:rPr>
        <w:t>5</w:t>
      </w:r>
      <w:r>
        <w:rPr>
          <w:lang w:val="fr-FR"/>
        </w:rPr>
        <w:tab/>
      </w:r>
      <w:r w:rsidRPr="008749AF">
        <w:rPr>
          <w:lang w:val="fr-FR"/>
        </w:rPr>
        <w:t>Le Comité note que le fils de l’auteur</w:t>
      </w:r>
      <w:r>
        <w:rPr>
          <w:lang w:val="fr-FR"/>
        </w:rPr>
        <w:t>e</w:t>
      </w:r>
      <w:r w:rsidRPr="008749AF">
        <w:rPr>
          <w:lang w:val="fr-FR"/>
        </w:rPr>
        <w:t xml:space="preserve"> a été vu pour la dernière fois lorsqu’il a </w:t>
      </w:r>
      <w:r>
        <w:rPr>
          <w:lang w:val="fr-FR"/>
        </w:rPr>
        <w:t xml:space="preserve">pris le bus </w:t>
      </w:r>
      <w:r w:rsidR="00843FF0">
        <w:rPr>
          <w:lang w:val="fr-FR"/>
        </w:rPr>
        <w:t xml:space="preserve">sur </w:t>
      </w:r>
      <w:r>
        <w:rPr>
          <w:lang w:val="fr-FR"/>
        </w:rPr>
        <w:t xml:space="preserve">la </w:t>
      </w:r>
      <w:r w:rsidR="00F667BF">
        <w:rPr>
          <w:lang w:val="fr-FR"/>
        </w:rPr>
        <w:t xml:space="preserve">place </w:t>
      </w:r>
      <w:r>
        <w:rPr>
          <w:lang w:val="fr-FR"/>
        </w:rPr>
        <w:t xml:space="preserve">des Martyrs le 17 janvier 1994 et que l’auteure et sa famille sont sans nouvelles de </w:t>
      </w:r>
      <w:r w:rsidR="007D2133">
        <w:rPr>
          <w:lang w:val="fr-FR"/>
        </w:rPr>
        <w:t>lui</w:t>
      </w:r>
      <w:r>
        <w:rPr>
          <w:lang w:val="fr-FR"/>
        </w:rPr>
        <w:t xml:space="preserve"> depuis ce jour. </w:t>
      </w:r>
      <w:r w:rsidR="00C34FA8">
        <w:rPr>
          <w:lang w:val="fr-FR"/>
        </w:rPr>
        <w:t>Il</w:t>
      </w:r>
      <w:r>
        <w:rPr>
          <w:lang w:val="fr-FR"/>
        </w:rPr>
        <w:t xml:space="preserve"> note qu’au commissariat d’Oued Koriche, l’officier A.</w:t>
      </w:r>
      <w:r w:rsidR="002E3DB0">
        <w:rPr>
          <w:lang w:val="fr-FR"/>
        </w:rPr>
        <w:t> </w:t>
      </w:r>
      <w:r>
        <w:rPr>
          <w:lang w:val="fr-FR"/>
        </w:rPr>
        <w:t xml:space="preserve">Z. a </w:t>
      </w:r>
      <w:r w:rsidR="00C34FA8">
        <w:rPr>
          <w:lang w:val="fr-FR"/>
        </w:rPr>
        <w:t xml:space="preserve">déclaré </w:t>
      </w:r>
      <w:r>
        <w:rPr>
          <w:lang w:val="fr-FR"/>
        </w:rPr>
        <w:t xml:space="preserve">au Procureur du tribunal de Baïnem à Alger </w:t>
      </w:r>
      <w:r w:rsidR="00C34FA8">
        <w:rPr>
          <w:lang w:val="fr-FR"/>
        </w:rPr>
        <w:t>qu</w:t>
      </w:r>
      <w:r w:rsidR="00C34FA8" w:rsidRPr="00C34FA8">
        <w:rPr>
          <w:lang w:val="fr-FR"/>
        </w:rPr>
        <w:t>’</w:t>
      </w:r>
      <w:r w:rsidR="00C34FA8">
        <w:rPr>
          <w:lang w:val="fr-FR"/>
        </w:rPr>
        <w:t>il avait</w:t>
      </w:r>
      <w:r>
        <w:rPr>
          <w:lang w:val="fr-FR"/>
        </w:rPr>
        <w:t xml:space="preserve"> arrêté Brahim El Boathi et </w:t>
      </w:r>
      <w:r w:rsidR="00C34FA8">
        <w:rPr>
          <w:lang w:val="fr-FR"/>
        </w:rPr>
        <w:t>qu</w:t>
      </w:r>
      <w:r w:rsidR="00C34FA8" w:rsidRPr="00C34FA8">
        <w:rPr>
          <w:lang w:val="fr-FR"/>
        </w:rPr>
        <w:t>’</w:t>
      </w:r>
      <w:r w:rsidR="00C34FA8">
        <w:rPr>
          <w:lang w:val="fr-FR"/>
        </w:rPr>
        <w:t>il avait</w:t>
      </w:r>
      <w:r>
        <w:rPr>
          <w:lang w:val="fr-FR"/>
        </w:rPr>
        <w:t xml:space="preserve"> affirmé devant l’auteure avoir arrêté et exécuté son fils. Le Comité prend également note des </w:t>
      </w:r>
      <w:r w:rsidRPr="006438CF">
        <w:rPr>
          <w:lang w:val="fr-FR"/>
        </w:rPr>
        <w:t>nombreuses informations contradictoires relatives au sort de Brahim El Boathi</w:t>
      </w:r>
      <w:r w:rsidR="00C34FA8">
        <w:rPr>
          <w:lang w:val="fr-FR"/>
        </w:rPr>
        <w:t>,</w:t>
      </w:r>
      <w:r w:rsidRPr="006438CF">
        <w:rPr>
          <w:lang w:val="fr-FR"/>
        </w:rPr>
        <w:t xml:space="preserve"> dont </w:t>
      </w:r>
      <w:r w:rsidRPr="00D40799">
        <w:rPr>
          <w:lang w:val="fr-CH"/>
        </w:rPr>
        <w:t xml:space="preserve">la décision du 2 mai 2000 </w:t>
      </w:r>
      <w:r w:rsidR="00C34FA8" w:rsidRPr="00D40799">
        <w:rPr>
          <w:lang w:val="fr-CH"/>
        </w:rPr>
        <w:t xml:space="preserve">de refus </w:t>
      </w:r>
      <w:r w:rsidRPr="00D40799">
        <w:rPr>
          <w:lang w:val="fr-CH"/>
        </w:rPr>
        <w:t xml:space="preserve">de délivrer un jugement de disparition, </w:t>
      </w:r>
      <w:r w:rsidRPr="006438CF">
        <w:rPr>
          <w:lang w:val="fr-FR"/>
        </w:rPr>
        <w:t xml:space="preserve">laissant supposer que les autorités algériennes le considéraient toujours </w:t>
      </w:r>
      <w:r w:rsidR="00872C9E">
        <w:rPr>
          <w:lang w:val="fr-FR"/>
        </w:rPr>
        <w:t xml:space="preserve">comme </w:t>
      </w:r>
      <w:r w:rsidRPr="006438CF">
        <w:rPr>
          <w:lang w:val="fr-FR"/>
        </w:rPr>
        <w:t>vivant à ce</w:t>
      </w:r>
      <w:r w:rsidR="00DC4F20">
        <w:rPr>
          <w:lang w:val="fr-FR"/>
        </w:rPr>
        <w:t>tte date</w:t>
      </w:r>
      <w:r>
        <w:rPr>
          <w:lang w:val="fr-FR"/>
        </w:rPr>
        <w:t xml:space="preserve">. </w:t>
      </w:r>
      <w:r w:rsidRPr="00194795">
        <w:rPr>
          <w:lang w:val="fr-FR"/>
        </w:rPr>
        <w:t>Le Comité constate que l’</w:t>
      </w:r>
      <w:r w:rsidR="00AE1D34">
        <w:rPr>
          <w:lang w:val="fr-FR"/>
        </w:rPr>
        <w:t>État</w:t>
      </w:r>
      <w:r w:rsidRPr="00194795">
        <w:rPr>
          <w:lang w:val="fr-FR"/>
        </w:rPr>
        <w:t xml:space="preserve"> partie n’a fourni aucun élément permettant de clarifier les informations contradictoires </w:t>
      </w:r>
      <w:r>
        <w:rPr>
          <w:lang w:val="fr-FR"/>
        </w:rPr>
        <w:t xml:space="preserve">données à l’auteure sur ce qu’il est advenu de Brahim El Boathi, </w:t>
      </w:r>
      <w:r w:rsidR="00872C9E">
        <w:rPr>
          <w:lang w:val="fr-FR"/>
        </w:rPr>
        <w:t>et n</w:t>
      </w:r>
      <w:r w:rsidR="00872C9E" w:rsidRPr="00872C9E">
        <w:rPr>
          <w:lang w:val="fr-FR"/>
        </w:rPr>
        <w:t>’</w:t>
      </w:r>
      <w:r w:rsidR="00872C9E">
        <w:rPr>
          <w:lang w:val="fr-FR"/>
        </w:rPr>
        <w:t>a pas non plus</w:t>
      </w:r>
      <w:r>
        <w:rPr>
          <w:lang w:val="fr-FR"/>
        </w:rPr>
        <w:t xml:space="preserve"> confirmé le lieu de sa détention ou la date </w:t>
      </w:r>
      <w:r w:rsidR="00872C9E">
        <w:rPr>
          <w:lang w:val="fr-FR"/>
        </w:rPr>
        <w:t xml:space="preserve">et </w:t>
      </w:r>
      <w:r>
        <w:rPr>
          <w:lang w:val="fr-FR"/>
        </w:rPr>
        <w:t xml:space="preserve">les circonstances de son éventuel décès. </w:t>
      </w:r>
      <w:r w:rsidRPr="00194795">
        <w:rPr>
          <w:lang w:val="fr-FR"/>
        </w:rPr>
        <w:t>Il rappelle que, dans le cas des disparitions forcées, le fait de priver une personne de liberté puis de refuser de reconnaître cette privation de liberté ou de dissimuler le sort réservé à la personne disparue revient à soustraire cette personne à la protection de la loi et fait peser sur sa vie un risque constant et grave, dont l’</w:t>
      </w:r>
      <w:r w:rsidR="00AE1D34">
        <w:rPr>
          <w:lang w:val="fr-FR"/>
        </w:rPr>
        <w:t>État</w:t>
      </w:r>
      <w:r w:rsidRPr="00194795">
        <w:rPr>
          <w:lang w:val="fr-FR"/>
        </w:rPr>
        <w:t xml:space="preserve"> est responsable</w:t>
      </w:r>
      <w:r w:rsidRPr="00EF223D">
        <w:rPr>
          <w:rStyle w:val="FootnoteReference"/>
        </w:rPr>
        <w:footnoteReference w:id="16"/>
      </w:r>
      <w:r w:rsidRPr="00194795">
        <w:rPr>
          <w:lang w:val="fr-FR"/>
        </w:rPr>
        <w:t>.</w:t>
      </w:r>
      <w:r>
        <w:rPr>
          <w:lang w:val="fr-FR"/>
        </w:rPr>
        <w:t xml:space="preserve"> En outre, eu égard aux déclarations de l’officier A.</w:t>
      </w:r>
      <w:r w:rsidR="002E3DB0">
        <w:rPr>
          <w:lang w:val="fr-FR"/>
        </w:rPr>
        <w:t> </w:t>
      </w:r>
      <w:r>
        <w:rPr>
          <w:lang w:val="fr-FR"/>
        </w:rPr>
        <w:t>Z.</w:t>
      </w:r>
      <w:r w:rsidR="007F18AF">
        <w:rPr>
          <w:lang w:val="fr-FR"/>
        </w:rPr>
        <w:t>,</w:t>
      </w:r>
      <w:r>
        <w:rPr>
          <w:lang w:val="fr-FR"/>
        </w:rPr>
        <w:t xml:space="preserve"> ainsi qu’au grand nombre d’années écoulées depuis la disparition de Brahim El Boathi, il est fort probable que ce dernier, en dépit de l’absence de corps, ait été victime d’une exécution sommaire de la part de l’officier A.</w:t>
      </w:r>
      <w:r w:rsidR="002E3DB0">
        <w:rPr>
          <w:lang w:val="fr-FR"/>
        </w:rPr>
        <w:t> </w:t>
      </w:r>
      <w:r>
        <w:rPr>
          <w:lang w:val="fr-FR"/>
        </w:rPr>
        <w:t xml:space="preserve">Z. ou qu’il soit décédé en détention. </w:t>
      </w:r>
      <w:r w:rsidRPr="00194795">
        <w:rPr>
          <w:lang w:val="fr-FR"/>
        </w:rPr>
        <w:t>En l’espèce, le Comité constate que l’</w:t>
      </w:r>
      <w:r w:rsidR="00AE1D34">
        <w:rPr>
          <w:lang w:val="fr-FR"/>
        </w:rPr>
        <w:t>État</w:t>
      </w:r>
      <w:r w:rsidRPr="00194795">
        <w:rPr>
          <w:lang w:val="fr-FR"/>
        </w:rPr>
        <w:t xml:space="preserve"> partie n’a fourni aucun élément susceptible de démontrer qu’il s’est acquitté de son obligation de protéger la vie de </w:t>
      </w:r>
      <w:r>
        <w:rPr>
          <w:lang w:val="fr-FR"/>
        </w:rPr>
        <w:t>Brahim El Boathi</w:t>
      </w:r>
      <w:r w:rsidRPr="00194795">
        <w:rPr>
          <w:lang w:val="fr-FR"/>
        </w:rPr>
        <w:t>. En conséquence, il conclut que l’</w:t>
      </w:r>
      <w:r w:rsidR="00AE1D34">
        <w:rPr>
          <w:lang w:val="fr-FR"/>
        </w:rPr>
        <w:t>État</w:t>
      </w:r>
      <w:r w:rsidRPr="00194795">
        <w:rPr>
          <w:lang w:val="fr-FR"/>
        </w:rPr>
        <w:t xml:space="preserve"> partie a failli à son obligation de protéger la vie de </w:t>
      </w:r>
      <w:r>
        <w:rPr>
          <w:lang w:val="fr-FR"/>
        </w:rPr>
        <w:t>Brahim El Boathi</w:t>
      </w:r>
      <w:r w:rsidRPr="00C7006C">
        <w:rPr>
          <w:lang w:val="fr-FR"/>
        </w:rPr>
        <w:t xml:space="preserve">, en violation </w:t>
      </w:r>
      <w:r w:rsidR="00872C9E">
        <w:rPr>
          <w:lang w:val="fr-FR"/>
        </w:rPr>
        <w:t xml:space="preserve">du paragraphe 1 </w:t>
      </w:r>
      <w:r w:rsidRPr="00C7006C">
        <w:rPr>
          <w:lang w:val="fr-FR"/>
        </w:rPr>
        <w:t>de l’article 6</w:t>
      </w:r>
      <w:r w:rsidRPr="00CC67AB">
        <w:rPr>
          <w:lang w:val="fr-FR"/>
        </w:rPr>
        <w:t xml:space="preserve"> </w:t>
      </w:r>
      <w:r w:rsidRPr="00711343">
        <w:rPr>
          <w:lang w:val="fr-FR"/>
        </w:rPr>
        <w:t>du Pacte</w:t>
      </w:r>
      <w:r w:rsidRPr="006B1438">
        <w:rPr>
          <w:lang w:val="fr-FR"/>
        </w:rPr>
        <w:t>.</w:t>
      </w:r>
      <w:r>
        <w:rPr>
          <w:lang w:val="fr-FR"/>
        </w:rPr>
        <w:t xml:space="preserve"> </w:t>
      </w:r>
    </w:p>
    <w:p w:rsidR="004A033D" w:rsidRDefault="004A033D">
      <w:pPr>
        <w:pStyle w:val="SingleTxtG"/>
        <w:rPr>
          <w:lang w:val="fr-FR"/>
        </w:rPr>
      </w:pPr>
      <w:r>
        <w:rPr>
          <w:lang w:val="fr-FR"/>
        </w:rPr>
        <w:t>7.</w:t>
      </w:r>
      <w:r w:rsidR="00297593">
        <w:rPr>
          <w:lang w:val="fr-FR"/>
        </w:rPr>
        <w:t>6</w:t>
      </w:r>
      <w:r>
        <w:rPr>
          <w:lang w:val="fr-FR"/>
        </w:rPr>
        <w:tab/>
      </w:r>
      <w:r w:rsidRPr="00E243F1">
        <w:rPr>
          <w:lang w:val="fr-FR"/>
        </w:rPr>
        <w:t>Le Comité reconnaît le degré de souffrance qu’implique une détention sans contact avec le monde extérieur pendant une durée indéfinie. Il rappelle son o</w:t>
      </w:r>
      <w:r w:rsidRPr="004D6C20">
        <w:rPr>
          <w:lang w:val="fr-FR"/>
        </w:rPr>
        <w:t xml:space="preserve">bservation générale </w:t>
      </w:r>
      <w:r w:rsidR="00610D5B" w:rsidRPr="00CC67AB">
        <w:rPr>
          <w:lang w:val="fr-FR"/>
        </w:rPr>
        <w:t>n</w:t>
      </w:r>
      <w:r w:rsidR="00610D5B">
        <w:rPr>
          <w:vertAlign w:val="superscript"/>
          <w:lang w:val="fr-FR"/>
        </w:rPr>
        <w:t>o</w:t>
      </w:r>
      <w:r w:rsidR="00610D5B" w:rsidRPr="0072331E">
        <w:rPr>
          <w:lang w:val="fr-FR"/>
        </w:rPr>
        <w:t> </w:t>
      </w:r>
      <w:r w:rsidRPr="00CC67AB">
        <w:rPr>
          <w:lang w:val="fr-FR"/>
        </w:rPr>
        <w:t xml:space="preserve">20 (1992) sur l’interdiction de la torture et des peines ou traitements </w:t>
      </w:r>
      <w:r w:rsidRPr="00711343">
        <w:rPr>
          <w:lang w:val="fr-FR"/>
        </w:rPr>
        <w:t>cruels, inhumains ou dégradants</w:t>
      </w:r>
      <w:r w:rsidRPr="006B1438">
        <w:rPr>
          <w:lang w:val="fr-FR"/>
        </w:rPr>
        <w:t xml:space="preserve">, </w:t>
      </w:r>
      <w:r w:rsidRPr="00427665">
        <w:rPr>
          <w:lang w:val="fr-FR"/>
        </w:rPr>
        <w:t xml:space="preserve">dans laquelle il recommande aux </w:t>
      </w:r>
      <w:r w:rsidR="00AE1D34">
        <w:rPr>
          <w:lang w:val="fr-FR"/>
        </w:rPr>
        <w:t>État</w:t>
      </w:r>
      <w:r w:rsidRPr="00427665">
        <w:rPr>
          <w:lang w:val="fr-FR"/>
        </w:rPr>
        <w:t>s parties de prendre des dispositions pour interdire la détention au secret. Il note</w:t>
      </w:r>
      <w:r w:rsidRPr="00194795">
        <w:rPr>
          <w:lang w:val="fr-FR"/>
        </w:rPr>
        <w:t xml:space="preserve"> en l’espèce que</w:t>
      </w:r>
      <w:r>
        <w:rPr>
          <w:lang w:val="fr-FR"/>
        </w:rPr>
        <w:t xml:space="preserve"> l’auteure et la famille de Brahim El Boathi n’ont jamais eu la moindre </w:t>
      </w:r>
      <w:r w:rsidRPr="006438CF">
        <w:rPr>
          <w:lang w:val="fr-FR"/>
        </w:rPr>
        <w:t>information sur le sort ou le lieu de détention de ce dernier. Le Comité estime donc que Brahim El Boathi, disparu le 17 janvier 1994 et toujours considéré vivant au 2 mai 2000, aurait été détenu au secret pendant au moins ce laps de temps par les autorités algériennes.</w:t>
      </w:r>
      <w:r>
        <w:rPr>
          <w:lang w:val="fr-FR"/>
        </w:rPr>
        <w:t xml:space="preserve"> En l’absence de toute explication de la part de l’</w:t>
      </w:r>
      <w:r w:rsidR="00AE1D34">
        <w:rPr>
          <w:lang w:val="fr-FR"/>
        </w:rPr>
        <w:t>État</w:t>
      </w:r>
      <w:r>
        <w:rPr>
          <w:lang w:val="fr-FR"/>
        </w:rPr>
        <w:t xml:space="preserve"> partie, le Comité considère </w:t>
      </w:r>
      <w:r w:rsidRPr="00C7006C">
        <w:rPr>
          <w:lang w:val="fr-FR"/>
        </w:rPr>
        <w:t>que cette disparition constitue une violation de l’article 7 du Pacte à l’égard</w:t>
      </w:r>
      <w:r w:rsidRPr="006B1438">
        <w:rPr>
          <w:lang w:val="fr-FR"/>
        </w:rPr>
        <w:t xml:space="preserve"> de </w:t>
      </w:r>
      <w:r>
        <w:rPr>
          <w:lang w:val="fr-FR"/>
        </w:rPr>
        <w:t>Brahim El Boathi</w:t>
      </w:r>
      <w:r w:rsidRPr="00EF223D">
        <w:rPr>
          <w:rStyle w:val="FootnoteReference"/>
        </w:rPr>
        <w:footnoteReference w:id="17"/>
      </w:r>
      <w:r w:rsidRPr="006B1438">
        <w:rPr>
          <w:lang w:val="fr-FR"/>
        </w:rPr>
        <w:t>.</w:t>
      </w:r>
    </w:p>
    <w:p w:rsidR="004A033D" w:rsidRPr="001A3D03" w:rsidRDefault="004A033D" w:rsidP="004A033D">
      <w:pPr>
        <w:pStyle w:val="SingleTxtG"/>
        <w:rPr>
          <w:highlight w:val="yellow"/>
          <w:lang w:val="fr-FR"/>
        </w:rPr>
      </w:pPr>
      <w:r>
        <w:rPr>
          <w:lang w:val="fr-FR"/>
        </w:rPr>
        <w:lastRenderedPageBreak/>
        <w:t>7</w:t>
      </w:r>
      <w:r w:rsidRPr="008749AF">
        <w:rPr>
          <w:lang w:val="fr-FR"/>
        </w:rPr>
        <w:t>.</w:t>
      </w:r>
      <w:r w:rsidR="00297593">
        <w:rPr>
          <w:lang w:val="fr-FR"/>
        </w:rPr>
        <w:t>7</w:t>
      </w:r>
      <w:r w:rsidRPr="008749AF">
        <w:rPr>
          <w:lang w:val="fr-FR"/>
        </w:rPr>
        <w:tab/>
        <w:t>Au vu de ce qui précède, le Comité n’examinera pas séparément les griefs tirés</w:t>
      </w:r>
      <w:r>
        <w:rPr>
          <w:lang w:val="fr-FR"/>
        </w:rPr>
        <w:t xml:space="preserve"> de la </w:t>
      </w:r>
      <w:r w:rsidRPr="001A3D03">
        <w:rPr>
          <w:lang w:val="fr-FR"/>
        </w:rPr>
        <w:t>violation de l’article 10 du Pacte</w:t>
      </w:r>
      <w:r w:rsidRPr="00EF223D">
        <w:rPr>
          <w:rStyle w:val="FootnoteReference"/>
        </w:rPr>
        <w:footnoteReference w:id="18"/>
      </w:r>
      <w:r w:rsidRPr="001A3D03">
        <w:rPr>
          <w:lang w:val="fr-FR"/>
        </w:rPr>
        <w:t>.</w:t>
      </w:r>
    </w:p>
    <w:p w:rsidR="004A033D" w:rsidRDefault="004A033D">
      <w:pPr>
        <w:pStyle w:val="SingleTxtG"/>
        <w:rPr>
          <w:lang w:val="fr-FR"/>
        </w:rPr>
      </w:pPr>
      <w:r w:rsidRPr="001A3D03">
        <w:rPr>
          <w:lang w:val="fr-FR"/>
        </w:rPr>
        <w:t>7.</w:t>
      </w:r>
      <w:r w:rsidR="00297593">
        <w:rPr>
          <w:lang w:val="fr-FR"/>
        </w:rPr>
        <w:t>8</w:t>
      </w:r>
      <w:r w:rsidRPr="001A3D03">
        <w:rPr>
          <w:lang w:val="fr-FR"/>
        </w:rPr>
        <w:tab/>
        <w:t xml:space="preserve">Le Comité prend acte également de l’angoisse et de la détresse que la disparition de </w:t>
      </w:r>
      <w:r w:rsidR="00B52F8D">
        <w:rPr>
          <w:lang w:val="fr-FR"/>
        </w:rPr>
        <w:t>Brahim El Boathi</w:t>
      </w:r>
      <w:r w:rsidRPr="001A3D03">
        <w:rPr>
          <w:lang w:val="fr-FR"/>
        </w:rPr>
        <w:t xml:space="preserve"> cause à l’auteure et à sa famille. Il considère que les faits dont il est saisi font apparaître une violation de l’article 7 </w:t>
      </w:r>
      <w:r w:rsidR="00A55131">
        <w:rPr>
          <w:lang w:val="fr-FR"/>
        </w:rPr>
        <w:t xml:space="preserve">seul et </w:t>
      </w:r>
      <w:r w:rsidRPr="001A3D03">
        <w:rPr>
          <w:lang w:val="fr-FR"/>
        </w:rPr>
        <w:t>lu</w:t>
      </w:r>
      <w:r w:rsidR="001A3D03" w:rsidRPr="001A3D03">
        <w:rPr>
          <w:lang w:val="fr-FR"/>
        </w:rPr>
        <w:t xml:space="preserve"> </w:t>
      </w:r>
      <w:r w:rsidRPr="001A3D03">
        <w:rPr>
          <w:lang w:val="fr-FR"/>
        </w:rPr>
        <w:t>conjointement avec l’article 2 (par. 3) du Pacte à leur égard</w:t>
      </w:r>
      <w:r w:rsidRPr="00EF223D">
        <w:rPr>
          <w:rStyle w:val="FootnoteReference"/>
        </w:rPr>
        <w:footnoteReference w:id="19"/>
      </w:r>
      <w:r w:rsidRPr="001A3D03">
        <w:rPr>
          <w:lang w:val="fr-FR"/>
        </w:rPr>
        <w:t>.</w:t>
      </w:r>
      <w:r w:rsidRPr="008749AF">
        <w:rPr>
          <w:lang w:val="fr-FR"/>
        </w:rPr>
        <w:t xml:space="preserve"> </w:t>
      </w:r>
    </w:p>
    <w:p w:rsidR="004A033D" w:rsidRDefault="004A033D" w:rsidP="004A033D">
      <w:pPr>
        <w:pStyle w:val="SingleTxtG"/>
        <w:rPr>
          <w:lang w:val="fr-FR"/>
        </w:rPr>
      </w:pPr>
      <w:r w:rsidRPr="00E243F1">
        <w:rPr>
          <w:lang w:val="fr-FR"/>
        </w:rPr>
        <w:t>7.</w:t>
      </w:r>
      <w:r w:rsidR="00297593">
        <w:rPr>
          <w:lang w:val="fr-FR"/>
        </w:rPr>
        <w:t>9</w:t>
      </w:r>
      <w:r w:rsidRPr="004D6C20">
        <w:rPr>
          <w:lang w:val="fr-FR"/>
        </w:rPr>
        <w:tab/>
        <w:t>En ce qui concerne les griefs de violation de l’article 9, le Comité prend note des allégations de l’auteur</w:t>
      </w:r>
      <w:r w:rsidRPr="00AF35D0">
        <w:rPr>
          <w:lang w:val="fr-FR"/>
        </w:rPr>
        <w:t>e</w:t>
      </w:r>
      <w:r w:rsidRPr="00C7006C">
        <w:rPr>
          <w:lang w:val="fr-FR"/>
        </w:rPr>
        <w:t xml:space="preserve"> selon lesquelles</w:t>
      </w:r>
      <w:r>
        <w:rPr>
          <w:lang w:val="fr-FR"/>
        </w:rPr>
        <w:t xml:space="preserve"> Brahim El Boathi</w:t>
      </w:r>
      <w:r w:rsidRPr="00C7006C">
        <w:rPr>
          <w:lang w:val="fr-FR"/>
        </w:rPr>
        <w:t xml:space="preserve"> </w:t>
      </w:r>
      <w:r w:rsidRPr="006B1438">
        <w:rPr>
          <w:lang w:val="fr-FR"/>
        </w:rPr>
        <w:t xml:space="preserve">a été arrêté </w:t>
      </w:r>
      <w:r>
        <w:rPr>
          <w:lang w:val="fr-FR"/>
        </w:rPr>
        <w:t xml:space="preserve">arbitrairement, </w:t>
      </w:r>
      <w:r w:rsidRPr="006B1438">
        <w:rPr>
          <w:lang w:val="fr-FR"/>
        </w:rPr>
        <w:t xml:space="preserve">sans mandat, </w:t>
      </w:r>
      <w:r w:rsidR="006D590B">
        <w:rPr>
          <w:lang w:val="fr-FR"/>
        </w:rPr>
        <w:t xml:space="preserve">et </w:t>
      </w:r>
      <w:r w:rsidRPr="004D6C20">
        <w:rPr>
          <w:lang w:val="fr-FR"/>
        </w:rPr>
        <w:t xml:space="preserve">n’a pas été inculpé ni présenté devant une autorité judiciaire auprès de laquelle il aurait pu contester la légalité de </w:t>
      </w:r>
      <w:r w:rsidRPr="00CC67AB">
        <w:rPr>
          <w:lang w:val="fr-FR"/>
        </w:rPr>
        <w:t xml:space="preserve">sa détention. </w:t>
      </w:r>
      <w:r w:rsidRPr="0025104C">
        <w:rPr>
          <w:lang w:val="fr-CH"/>
        </w:rPr>
        <w:t>L’État partie n’ayant communiqué aucune information à ce sujet, le Comité considère qu’il convient d’accorder le crédit voulu aux allégations de l’auteure</w:t>
      </w:r>
      <w:r w:rsidRPr="00EF223D">
        <w:rPr>
          <w:rStyle w:val="FootnoteReference"/>
        </w:rPr>
        <w:footnoteReference w:id="20"/>
      </w:r>
      <w:r w:rsidRPr="0025104C">
        <w:rPr>
          <w:lang w:val="fr-CH"/>
        </w:rPr>
        <w:t xml:space="preserve">. </w:t>
      </w:r>
      <w:r>
        <w:rPr>
          <w:lang w:val="fr-FR"/>
        </w:rPr>
        <w:t>L</w:t>
      </w:r>
      <w:r w:rsidRPr="00CC67AB">
        <w:rPr>
          <w:lang w:val="fr-FR"/>
        </w:rPr>
        <w:t xml:space="preserve">e Comité conclut </w:t>
      </w:r>
      <w:r>
        <w:rPr>
          <w:lang w:val="fr-FR"/>
        </w:rPr>
        <w:t xml:space="preserve">donc </w:t>
      </w:r>
      <w:r w:rsidRPr="00CC67AB">
        <w:rPr>
          <w:lang w:val="fr-FR"/>
        </w:rPr>
        <w:t xml:space="preserve">à une violation de l’article 9 </w:t>
      </w:r>
      <w:r w:rsidRPr="00711343">
        <w:rPr>
          <w:lang w:val="fr-FR"/>
        </w:rPr>
        <w:t xml:space="preserve">à l’égard de </w:t>
      </w:r>
      <w:r>
        <w:rPr>
          <w:lang w:val="fr-FR"/>
        </w:rPr>
        <w:t>Brahim El Boathi</w:t>
      </w:r>
      <w:r w:rsidRPr="00EF223D">
        <w:rPr>
          <w:rStyle w:val="FootnoteReference"/>
        </w:rPr>
        <w:footnoteReference w:id="21"/>
      </w:r>
      <w:r w:rsidRPr="006B1438">
        <w:rPr>
          <w:lang w:val="fr-FR"/>
        </w:rPr>
        <w:t>.</w:t>
      </w:r>
    </w:p>
    <w:p w:rsidR="004A033D" w:rsidRDefault="004A033D">
      <w:pPr>
        <w:pStyle w:val="SingleTxtG"/>
        <w:rPr>
          <w:lang w:val="fr-FR"/>
        </w:rPr>
      </w:pPr>
      <w:r w:rsidRPr="00CD3B48">
        <w:rPr>
          <w:lang w:val="fr-FR"/>
        </w:rPr>
        <w:t>7.</w:t>
      </w:r>
      <w:r w:rsidR="00297593" w:rsidRPr="00CD3B48">
        <w:rPr>
          <w:lang w:val="fr-FR"/>
        </w:rPr>
        <w:t>10</w:t>
      </w:r>
      <w:r w:rsidRPr="00CD3B48">
        <w:rPr>
          <w:lang w:val="fr-FR"/>
        </w:rPr>
        <w:tab/>
      </w:r>
      <w:r w:rsidR="00CD3B48" w:rsidRPr="00CD3B48">
        <w:rPr>
          <w:spacing w:val="-2"/>
          <w:lang w:val="fr-FR"/>
        </w:rPr>
        <w:t>Le Comité est d’avis que la soustraction délibérée d’une personne à la protection de la loi constitue un déni du droit de cette personne à la reconnaissance de sa personnalité j</w:t>
      </w:r>
      <w:r w:rsidR="00CD3B48" w:rsidRPr="00CC5C2B">
        <w:rPr>
          <w:spacing w:val="-2"/>
          <w:lang w:val="fr-FR"/>
        </w:rPr>
        <w:t>uridique, en particulier si les efforts déployés par les proches de la victime pour exercer leur droit à un recours effectif ont été systématiquement entravés</w:t>
      </w:r>
      <w:r w:rsidR="00CD3B48" w:rsidRPr="00EF223D">
        <w:rPr>
          <w:rStyle w:val="FootnoteReference"/>
        </w:rPr>
        <w:footnoteReference w:id="22"/>
      </w:r>
      <w:r w:rsidR="00CD3B48" w:rsidRPr="00CC5C2B">
        <w:rPr>
          <w:spacing w:val="-2"/>
          <w:lang w:val="fr-FR"/>
        </w:rPr>
        <w:t>.</w:t>
      </w:r>
      <w:r w:rsidR="00E5355C">
        <w:rPr>
          <w:lang w:val="fr-FR"/>
        </w:rPr>
        <w:t xml:space="preserve"> </w:t>
      </w:r>
      <w:r w:rsidRPr="004B21C1">
        <w:rPr>
          <w:lang w:val="fr-FR"/>
        </w:rPr>
        <w:t>Dans le cas présent, le Comité note que l’</w:t>
      </w:r>
      <w:r w:rsidR="00AE1D34">
        <w:rPr>
          <w:lang w:val="fr-FR"/>
        </w:rPr>
        <w:t>État</w:t>
      </w:r>
      <w:r w:rsidRPr="004B21C1">
        <w:rPr>
          <w:lang w:val="fr-FR"/>
        </w:rPr>
        <w:t xml:space="preserve"> partie n’a fourni aucune explication convaincante sur le sort de Brahim El Boathi ni sur le lieu où il se trouverait, en dépit des multiples demandes que l’auteure a faites en ce sens. Le Comité conclut que la disparition forcée de Brahim El Boathi depuis plus de vingt-trois ans a soustrait celui-ci à la protection de la loi et l’a privé de son droit à la reconnaissance de sa personnalité juridique, en violation de l’article 16 du Pacte.</w:t>
      </w:r>
      <w:r w:rsidR="001A3D03" w:rsidRPr="00CD3B48">
        <w:rPr>
          <w:lang w:val="fr-FR"/>
        </w:rPr>
        <w:t xml:space="preserve"> </w:t>
      </w:r>
    </w:p>
    <w:p w:rsidR="004A033D" w:rsidRDefault="004A033D" w:rsidP="00B34F44">
      <w:pPr>
        <w:pStyle w:val="SingleTxtG"/>
        <w:rPr>
          <w:lang w:val="fr-FR"/>
        </w:rPr>
      </w:pPr>
      <w:r w:rsidRPr="00194795">
        <w:rPr>
          <w:lang w:val="fr-FR"/>
        </w:rPr>
        <w:t>7.1</w:t>
      </w:r>
      <w:r w:rsidR="00297593">
        <w:rPr>
          <w:lang w:val="fr-FR"/>
        </w:rPr>
        <w:t>1</w:t>
      </w:r>
      <w:r w:rsidR="002003D6">
        <w:rPr>
          <w:lang w:val="fr-FR"/>
        </w:rPr>
        <w:tab/>
      </w:r>
      <w:r w:rsidRPr="00D40799">
        <w:rPr>
          <w:lang w:val="fr-CH"/>
        </w:rPr>
        <w:t xml:space="preserve">L’auteure invoque également </w:t>
      </w:r>
      <w:r w:rsidR="00755522">
        <w:rPr>
          <w:lang w:val="fr-CH"/>
        </w:rPr>
        <w:t xml:space="preserve">le paragraphe 3 de </w:t>
      </w:r>
      <w:r w:rsidRPr="00D40799">
        <w:rPr>
          <w:lang w:val="fr-CH"/>
        </w:rPr>
        <w:t xml:space="preserve">l’article 2 du Pacte, qui impose aux États parties l’obligation de garantir à toute personne des recours accessibles, utiles et exécutoires pour faire valoir les droits garantis </w:t>
      </w:r>
      <w:r w:rsidR="00EE12F5">
        <w:rPr>
          <w:lang w:val="fr-CH"/>
        </w:rPr>
        <w:t>par</w:t>
      </w:r>
      <w:r w:rsidR="00EE12F5" w:rsidRPr="00D40799">
        <w:rPr>
          <w:lang w:val="fr-CH"/>
        </w:rPr>
        <w:t xml:space="preserve"> </w:t>
      </w:r>
      <w:r w:rsidRPr="00D40799">
        <w:rPr>
          <w:lang w:val="fr-CH"/>
        </w:rPr>
        <w:t xml:space="preserve">le Pacte. </w:t>
      </w:r>
      <w:r w:rsidRPr="00194795">
        <w:rPr>
          <w:lang w:val="fr-FR"/>
        </w:rPr>
        <w:t xml:space="preserve">Le Comité rappelle </w:t>
      </w:r>
      <w:r w:rsidRPr="00C7006C">
        <w:rPr>
          <w:lang w:val="fr-FR"/>
        </w:rPr>
        <w:t xml:space="preserve">qu’il attache de l’importance à la mise en place par les </w:t>
      </w:r>
      <w:r w:rsidR="00AE1D34">
        <w:rPr>
          <w:lang w:val="fr-FR"/>
        </w:rPr>
        <w:t>État</w:t>
      </w:r>
      <w:r w:rsidRPr="00C7006C">
        <w:rPr>
          <w:lang w:val="fr-FR"/>
        </w:rPr>
        <w:t xml:space="preserve">s parties de mécanismes juridictionnels et administratifs appropriés pour examiner les plaintes faisant </w:t>
      </w:r>
      <w:r w:rsidR="00AE1D34">
        <w:rPr>
          <w:lang w:val="fr-FR"/>
        </w:rPr>
        <w:t>État</w:t>
      </w:r>
      <w:r w:rsidRPr="00C7006C">
        <w:rPr>
          <w:lang w:val="fr-FR"/>
        </w:rPr>
        <w:t xml:space="preserve"> de violations des droits garantis par le Pacte</w:t>
      </w:r>
      <w:r w:rsidRPr="00EF223D">
        <w:rPr>
          <w:rStyle w:val="FootnoteReference"/>
        </w:rPr>
        <w:footnoteReference w:id="23"/>
      </w:r>
      <w:r w:rsidRPr="006B1438">
        <w:rPr>
          <w:lang w:val="fr-FR"/>
        </w:rPr>
        <w:t xml:space="preserve">. Il rappelle son </w:t>
      </w:r>
      <w:r w:rsidRPr="00AF35D0">
        <w:rPr>
          <w:lang w:val="fr-FR"/>
        </w:rPr>
        <w:t>o</w:t>
      </w:r>
      <w:r w:rsidRPr="00C7006C">
        <w:rPr>
          <w:lang w:val="fr-FR"/>
        </w:rPr>
        <w:t xml:space="preserve">bservation générale </w:t>
      </w:r>
      <w:r w:rsidRPr="006B1438">
        <w:rPr>
          <w:rFonts w:eastAsia="MS Mincho"/>
          <w:lang w:val="fr-FR"/>
        </w:rPr>
        <w:t>n</w:t>
      </w:r>
      <w:r w:rsidRPr="00427665">
        <w:rPr>
          <w:rFonts w:eastAsia="MS Mincho"/>
          <w:vertAlign w:val="superscript"/>
          <w:lang w:val="fr-FR"/>
        </w:rPr>
        <w:t>o</w:t>
      </w:r>
      <w:r w:rsidRPr="00E243F1">
        <w:rPr>
          <w:lang w:val="fr-FR"/>
        </w:rPr>
        <w:t xml:space="preserve"> 31 (2004) sur la nature de l’obligation juridique générale imposée aux </w:t>
      </w:r>
      <w:r w:rsidR="00AE1D34">
        <w:rPr>
          <w:lang w:val="fr-FR"/>
        </w:rPr>
        <w:t>État</w:t>
      </w:r>
      <w:r w:rsidRPr="00E243F1">
        <w:rPr>
          <w:lang w:val="fr-FR"/>
        </w:rPr>
        <w:t>s parties au Pacte</w:t>
      </w:r>
      <w:r w:rsidR="00764E16">
        <w:rPr>
          <w:lang w:val="fr-FR"/>
        </w:rPr>
        <w:t>,</w:t>
      </w:r>
      <w:r w:rsidRPr="00C7006C">
        <w:rPr>
          <w:lang w:val="fr-FR"/>
        </w:rPr>
        <w:t xml:space="preserve"> dans laquelle il indique notamment que le fait pour un </w:t>
      </w:r>
      <w:r w:rsidR="00AE1D34">
        <w:rPr>
          <w:lang w:val="fr-FR"/>
        </w:rPr>
        <w:t>État</w:t>
      </w:r>
      <w:r w:rsidRPr="00C7006C">
        <w:rPr>
          <w:lang w:val="fr-FR"/>
        </w:rPr>
        <w:t xml:space="preserve"> partie de ne pas mener d’enquête sur des violations présumées pourrait en soi donner lieu à une violation distincte du Pacte. </w:t>
      </w:r>
      <w:r w:rsidRPr="006B1438">
        <w:rPr>
          <w:lang w:val="fr-FR"/>
        </w:rPr>
        <w:t xml:space="preserve">En l’espèce, la famille de </w:t>
      </w:r>
      <w:r>
        <w:rPr>
          <w:lang w:val="fr-FR"/>
        </w:rPr>
        <w:t>Brahim El Boathi</w:t>
      </w:r>
      <w:r w:rsidRPr="00E243F1">
        <w:rPr>
          <w:lang w:val="fr-FR"/>
        </w:rPr>
        <w:t xml:space="preserve"> a alerté les autorités compétentes de la disparition de ce dernier, notamment le Procureur </w:t>
      </w:r>
      <w:r w:rsidRPr="004D6C20">
        <w:rPr>
          <w:lang w:val="fr-FR"/>
        </w:rPr>
        <w:t xml:space="preserve">de la </w:t>
      </w:r>
      <w:r w:rsidRPr="00CC67AB">
        <w:rPr>
          <w:lang w:val="fr-FR"/>
        </w:rPr>
        <w:t>République</w:t>
      </w:r>
      <w:r>
        <w:rPr>
          <w:lang w:val="fr-FR"/>
        </w:rPr>
        <w:t xml:space="preserve"> près le tribunal d’Alger</w:t>
      </w:r>
      <w:r w:rsidRPr="00CC67AB">
        <w:rPr>
          <w:lang w:val="fr-FR"/>
        </w:rPr>
        <w:t>, mais l’</w:t>
      </w:r>
      <w:r w:rsidR="00AE1D34">
        <w:rPr>
          <w:lang w:val="fr-FR"/>
        </w:rPr>
        <w:t>État</w:t>
      </w:r>
      <w:r w:rsidRPr="00CC67AB">
        <w:rPr>
          <w:lang w:val="fr-FR"/>
        </w:rPr>
        <w:t xml:space="preserve"> partie n’a pas </w:t>
      </w:r>
      <w:r w:rsidRPr="00711343">
        <w:rPr>
          <w:lang w:val="fr-FR"/>
        </w:rPr>
        <w:t>proc</w:t>
      </w:r>
      <w:r>
        <w:rPr>
          <w:lang w:val="fr-FR"/>
        </w:rPr>
        <w:t>édé à une enquête approfondie,</w:t>
      </w:r>
      <w:r w:rsidRPr="00711343">
        <w:rPr>
          <w:lang w:val="fr-FR"/>
        </w:rPr>
        <w:t xml:space="preserve"> rigoureuse </w:t>
      </w:r>
      <w:r>
        <w:rPr>
          <w:lang w:val="fr-FR"/>
        </w:rPr>
        <w:t xml:space="preserve">et impartiale </w:t>
      </w:r>
      <w:r w:rsidRPr="00711343">
        <w:rPr>
          <w:lang w:val="fr-FR"/>
        </w:rPr>
        <w:t xml:space="preserve">sur </w:t>
      </w:r>
      <w:r w:rsidRPr="00AF35D0">
        <w:rPr>
          <w:lang w:val="fr-FR"/>
        </w:rPr>
        <w:t xml:space="preserve">cette disparition et l’auteure n’a reçu que des informations vagues et contradictoires. En outre, l’impossibilité légale de recourir à une instance judiciaire après la promulgation de l’ordonnance </w:t>
      </w:r>
      <w:r w:rsidRPr="00AF35D0">
        <w:rPr>
          <w:rFonts w:eastAsia="MS Mincho"/>
          <w:lang w:val="fr-FR"/>
        </w:rPr>
        <w:t>n</w:t>
      </w:r>
      <w:r w:rsidRPr="00AF35D0">
        <w:rPr>
          <w:rFonts w:eastAsia="MS Mincho"/>
          <w:vertAlign w:val="superscript"/>
          <w:lang w:val="fr-FR"/>
        </w:rPr>
        <w:t>o</w:t>
      </w:r>
      <w:r w:rsidRPr="00AF35D0">
        <w:rPr>
          <w:lang w:val="fr-FR"/>
        </w:rPr>
        <w:t xml:space="preserve"> 06-01 portant mise en œuvre de la Charte pour la paix et la réconciliation nationale continue de priver </w:t>
      </w:r>
      <w:r>
        <w:rPr>
          <w:lang w:val="fr-FR"/>
        </w:rPr>
        <w:t>Brahim El Boathi</w:t>
      </w:r>
      <w:r w:rsidRPr="00AF35D0">
        <w:rPr>
          <w:lang w:val="fr-FR"/>
        </w:rPr>
        <w:t>, l’auteure</w:t>
      </w:r>
      <w:r w:rsidRPr="00C7006C">
        <w:rPr>
          <w:lang w:val="fr-FR"/>
        </w:rPr>
        <w:t xml:space="preserve"> et sa famille de tout accès à un recours utile, puisque cette ordonnance interdit</w:t>
      </w:r>
      <w:r w:rsidRPr="006B1438">
        <w:rPr>
          <w:lang w:val="fr-FR"/>
        </w:rPr>
        <w:t xml:space="preserve"> le recours à la justice pour faire la lumière sur les crimes les plus graves comme les disparitions forcées</w:t>
      </w:r>
      <w:r w:rsidR="00733DB3">
        <w:rPr>
          <w:lang w:val="fr-FR"/>
        </w:rPr>
        <w:t xml:space="preserve"> (voir </w:t>
      </w:r>
      <w:r w:rsidR="00733DB3" w:rsidRPr="00506D12">
        <w:rPr>
          <w:szCs w:val="18"/>
          <w:lang w:val="fr-FR"/>
        </w:rPr>
        <w:t>CCPR/C/DZA/CO/3, par. 7</w:t>
      </w:r>
      <w:r w:rsidR="00733DB3">
        <w:rPr>
          <w:szCs w:val="18"/>
          <w:lang w:val="fr-FR"/>
        </w:rPr>
        <w:t>)</w:t>
      </w:r>
      <w:r w:rsidRPr="006B1438">
        <w:rPr>
          <w:lang w:val="fr-FR"/>
        </w:rPr>
        <w:t>. Le Comité en con</w:t>
      </w:r>
      <w:r w:rsidRPr="00427665">
        <w:rPr>
          <w:lang w:val="fr-FR"/>
        </w:rPr>
        <w:t>clut que les faits dont il est saisi f</w:t>
      </w:r>
      <w:r w:rsidRPr="00E243F1">
        <w:rPr>
          <w:lang w:val="fr-FR"/>
        </w:rPr>
        <w:t>ont apparaître une violation de l’article </w:t>
      </w:r>
      <w:r w:rsidRPr="004D6C20">
        <w:rPr>
          <w:lang w:val="fr-FR"/>
        </w:rPr>
        <w:t>2</w:t>
      </w:r>
      <w:r w:rsidRPr="00CC67AB">
        <w:rPr>
          <w:lang w:val="fr-FR"/>
        </w:rPr>
        <w:t xml:space="preserve"> </w:t>
      </w:r>
      <w:r w:rsidR="00E52D34">
        <w:rPr>
          <w:lang w:val="fr-FR"/>
        </w:rPr>
        <w:t>(</w:t>
      </w:r>
      <w:r w:rsidRPr="00CC67AB">
        <w:rPr>
          <w:lang w:val="fr-FR"/>
        </w:rPr>
        <w:t>par</w:t>
      </w:r>
      <w:r w:rsidR="00E52D34">
        <w:rPr>
          <w:lang w:val="fr-FR"/>
        </w:rPr>
        <w:t>.</w:t>
      </w:r>
      <w:r w:rsidRPr="00711343">
        <w:rPr>
          <w:lang w:val="fr-FR"/>
        </w:rPr>
        <w:t> 3</w:t>
      </w:r>
      <w:r w:rsidR="00E52D34">
        <w:rPr>
          <w:lang w:val="fr-FR"/>
        </w:rPr>
        <w:t>)</w:t>
      </w:r>
      <w:r w:rsidRPr="00AF35D0">
        <w:rPr>
          <w:lang w:val="fr-FR"/>
        </w:rPr>
        <w:t xml:space="preserve"> lu conjointement avec les articles 6 </w:t>
      </w:r>
      <w:r w:rsidR="00E52D34">
        <w:rPr>
          <w:lang w:val="fr-FR"/>
        </w:rPr>
        <w:t>(</w:t>
      </w:r>
      <w:r w:rsidRPr="00AF35D0">
        <w:rPr>
          <w:lang w:val="fr-FR"/>
        </w:rPr>
        <w:t>par</w:t>
      </w:r>
      <w:r w:rsidR="00E52D34">
        <w:rPr>
          <w:lang w:val="fr-FR"/>
        </w:rPr>
        <w:t>.</w:t>
      </w:r>
      <w:r w:rsidRPr="00AF35D0">
        <w:rPr>
          <w:lang w:val="fr-FR"/>
        </w:rPr>
        <w:t> 1</w:t>
      </w:r>
      <w:r w:rsidR="00E52D34">
        <w:rPr>
          <w:lang w:val="fr-FR"/>
        </w:rPr>
        <w:t>)</w:t>
      </w:r>
      <w:r w:rsidRPr="00AF35D0">
        <w:rPr>
          <w:lang w:val="fr-FR"/>
        </w:rPr>
        <w:t>, 7, 9</w:t>
      </w:r>
      <w:r>
        <w:rPr>
          <w:lang w:val="fr-FR"/>
        </w:rPr>
        <w:t xml:space="preserve"> et 16 </w:t>
      </w:r>
      <w:r w:rsidRPr="00AF35D0">
        <w:rPr>
          <w:lang w:val="fr-FR"/>
        </w:rPr>
        <w:t xml:space="preserve">à l’égard de </w:t>
      </w:r>
      <w:r>
        <w:rPr>
          <w:lang w:val="fr-FR"/>
        </w:rPr>
        <w:t>Brahim El Boathi</w:t>
      </w:r>
      <w:r w:rsidRPr="00AF35D0">
        <w:rPr>
          <w:lang w:val="fr-FR"/>
        </w:rPr>
        <w:t xml:space="preserve"> et de l’article 2 </w:t>
      </w:r>
      <w:r w:rsidR="00E52D34">
        <w:rPr>
          <w:lang w:val="fr-FR"/>
        </w:rPr>
        <w:t>(</w:t>
      </w:r>
      <w:r w:rsidRPr="00AF35D0">
        <w:rPr>
          <w:lang w:val="fr-FR"/>
        </w:rPr>
        <w:t>par</w:t>
      </w:r>
      <w:r w:rsidR="00E52D34">
        <w:rPr>
          <w:lang w:val="fr-FR"/>
        </w:rPr>
        <w:t>.</w:t>
      </w:r>
      <w:r w:rsidRPr="00AF35D0">
        <w:rPr>
          <w:lang w:val="fr-FR"/>
        </w:rPr>
        <w:t> 3</w:t>
      </w:r>
      <w:r w:rsidR="00E52D34">
        <w:rPr>
          <w:lang w:val="fr-FR"/>
        </w:rPr>
        <w:t>)</w:t>
      </w:r>
      <w:r w:rsidRPr="00AF35D0">
        <w:rPr>
          <w:lang w:val="fr-FR"/>
        </w:rPr>
        <w:t xml:space="preserve"> lu conjointement avec l’article 7 à l’égard de l’auteure</w:t>
      </w:r>
      <w:r>
        <w:rPr>
          <w:lang w:val="fr-FR"/>
        </w:rPr>
        <w:t xml:space="preserve"> et de sa famille</w:t>
      </w:r>
      <w:r w:rsidRPr="00AF35D0">
        <w:rPr>
          <w:lang w:val="fr-FR"/>
        </w:rPr>
        <w:t>.</w:t>
      </w:r>
    </w:p>
    <w:p w:rsidR="004A033D" w:rsidRPr="00AF35D0" w:rsidRDefault="004A033D" w:rsidP="00CA742B">
      <w:pPr>
        <w:pStyle w:val="SingleTxtG"/>
        <w:keepLines/>
        <w:rPr>
          <w:lang w:val="fr-FR"/>
        </w:rPr>
      </w:pPr>
      <w:r w:rsidRPr="00AF35D0">
        <w:rPr>
          <w:lang w:val="fr-FR"/>
        </w:rPr>
        <w:lastRenderedPageBreak/>
        <w:t>8.</w:t>
      </w:r>
      <w:r w:rsidRPr="00AF35D0">
        <w:rPr>
          <w:lang w:val="fr-FR"/>
        </w:rPr>
        <w:tab/>
        <w:t>Le Comité, agissant en vertu du paragraphe 4 de l’article 5 du Protocole facultatif se rapportant au Pacte, constate que les faits dont il est saisi font apparaître des violations par l’</w:t>
      </w:r>
      <w:r w:rsidR="00AE1D34">
        <w:rPr>
          <w:lang w:val="fr-FR"/>
        </w:rPr>
        <w:t>État</w:t>
      </w:r>
      <w:r w:rsidRPr="00AF35D0">
        <w:rPr>
          <w:lang w:val="fr-FR"/>
        </w:rPr>
        <w:t xml:space="preserve"> partie des articles 6 </w:t>
      </w:r>
      <w:r w:rsidR="00500559">
        <w:rPr>
          <w:lang w:val="fr-FR"/>
        </w:rPr>
        <w:t>(</w:t>
      </w:r>
      <w:r w:rsidRPr="00AF35D0">
        <w:rPr>
          <w:lang w:val="fr-FR"/>
        </w:rPr>
        <w:t>par</w:t>
      </w:r>
      <w:r w:rsidR="00500559">
        <w:rPr>
          <w:lang w:val="fr-FR"/>
        </w:rPr>
        <w:t>.</w:t>
      </w:r>
      <w:r w:rsidRPr="00AF35D0">
        <w:rPr>
          <w:lang w:val="fr-FR"/>
        </w:rPr>
        <w:t> 1</w:t>
      </w:r>
      <w:r w:rsidR="00500559">
        <w:rPr>
          <w:lang w:val="fr-FR"/>
        </w:rPr>
        <w:t>)</w:t>
      </w:r>
      <w:r w:rsidRPr="00AF35D0">
        <w:rPr>
          <w:lang w:val="fr-FR"/>
        </w:rPr>
        <w:t>, 7,</w:t>
      </w:r>
      <w:r>
        <w:rPr>
          <w:lang w:val="fr-FR"/>
        </w:rPr>
        <w:t xml:space="preserve"> 9 et 16 </w:t>
      </w:r>
      <w:r w:rsidRPr="00AF35D0">
        <w:rPr>
          <w:lang w:val="fr-FR"/>
        </w:rPr>
        <w:t>du Pacte, ainsi que de l’article 2</w:t>
      </w:r>
      <w:r w:rsidR="00043791">
        <w:rPr>
          <w:lang w:val="fr-FR"/>
        </w:rPr>
        <w:t xml:space="preserve"> (</w:t>
      </w:r>
      <w:r w:rsidRPr="00AF35D0">
        <w:rPr>
          <w:lang w:val="fr-FR"/>
        </w:rPr>
        <w:t>par</w:t>
      </w:r>
      <w:r w:rsidR="00043791">
        <w:rPr>
          <w:lang w:val="fr-FR"/>
        </w:rPr>
        <w:t>.</w:t>
      </w:r>
      <w:r w:rsidRPr="00AF35D0">
        <w:rPr>
          <w:lang w:val="fr-FR"/>
        </w:rPr>
        <w:t> 3</w:t>
      </w:r>
      <w:r w:rsidR="00043791">
        <w:rPr>
          <w:lang w:val="fr-FR"/>
        </w:rPr>
        <w:t>)</w:t>
      </w:r>
      <w:r w:rsidRPr="00AF35D0">
        <w:rPr>
          <w:lang w:val="fr-FR"/>
        </w:rPr>
        <w:t xml:space="preserve"> lu conjointement avec les articles 6 </w:t>
      </w:r>
      <w:r w:rsidR="00500559">
        <w:rPr>
          <w:lang w:val="fr-FR"/>
        </w:rPr>
        <w:t>(</w:t>
      </w:r>
      <w:r w:rsidRPr="00AF35D0">
        <w:rPr>
          <w:lang w:val="fr-FR"/>
        </w:rPr>
        <w:t>par</w:t>
      </w:r>
      <w:r w:rsidR="00500559">
        <w:rPr>
          <w:lang w:val="fr-FR"/>
        </w:rPr>
        <w:t>.</w:t>
      </w:r>
      <w:r w:rsidRPr="00AF35D0">
        <w:rPr>
          <w:lang w:val="fr-FR"/>
        </w:rPr>
        <w:t> 1</w:t>
      </w:r>
      <w:r w:rsidR="00500559">
        <w:rPr>
          <w:lang w:val="fr-FR"/>
        </w:rPr>
        <w:t>)</w:t>
      </w:r>
      <w:r w:rsidRPr="00AF35D0">
        <w:rPr>
          <w:lang w:val="fr-FR"/>
        </w:rPr>
        <w:t xml:space="preserve">, </w:t>
      </w:r>
      <w:r>
        <w:rPr>
          <w:lang w:val="fr-FR"/>
        </w:rPr>
        <w:t xml:space="preserve">7, 9 et 16 </w:t>
      </w:r>
      <w:r w:rsidRPr="00AF35D0">
        <w:rPr>
          <w:lang w:val="fr-FR"/>
        </w:rPr>
        <w:t xml:space="preserve">à l’égard de </w:t>
      </w:r>
      <w:r>
        <w:rPr>
          <w:lang w:val="fr-FR"/>
        </w:rPr>
        <w:t>Brahim El Boathi</w:t>
      </w:r>
      <w:r w:rsidRPr="00AF35D0">
        <w:rPr>
          <w:lang w:val="fr-FR"/>
        </w:rPr>
        <w:t>. Il</w:t>
      </w:r>
      <w:r w:rsidR="00E778DB">
        <w:rPr>
          <w:lang w:val="fr-FR"/>
        </w:rPr>
        <w:t> </w:t>
      </w:r>
      <w:r w:rsidRPr="00AF35D0">
        <w:rPr>
          <w:lang w:val="fr-FR"/>
        </w:rPr>
        <w:t>constate en outre une violation par l’</w:t>
      </w:r>
      <w:r w:rsidR="00AE1D34">
        <w:rPr>
          <w:lang w:val="fr-FR"/>
        </w:rPr>
        <w:t>État</w:t>
      </w:r>
      <w:r w:rsidRPr="00AF35D0">
        <w:rPr>
          <w:lang w:val="fr-FR"/>
        </w:rPr>
        <w:t xml:space="preserve"> partie de l’article 7 lu conjointement avec l’article 2 </w:t>
      </w:r>
      <w:r w:rsidR="00500559">
        <w:rPr>
          <w:lang w:val="fr-FR"/>
        </w:rPr>
        <w:t>(</w:t>
      </w:r>
      <w:r w:rsidRPr="00AF35D0">
        <w:rPr>
          <w:lang w:val="fr-FR"/>
        </w:rPr>
        <w:t>par</w:t>
      </w:r>
      <w:r w:rsidR="00500559">
        <w:rPr>
          <w:lang w:val="fr-FR"/>
        </w:rPr>
        <w:t>.</w:t>
      </w:r>
      <w:r w:rsidRPr="00AF35D0">
        <w:rPr>
          <w:lang w:val="fr-FR"/>
        </w:rPr>
        <w:t> 3</w:t>
      </w:r>
      <w:r w:rsidR="00500559">
        <w:rPr>
          <w:lang w:val="fr-FR"/>
        </w:rPr>
        <w:t>)</w:t>
      </w:r>
      <w:r w:rsidRPr="00AF35D0">
        <w:rPr>
          <w:lang w:val="fr-FR"/>
        </w:rPr>
        <w:t xml:space="preserve"> à l’égard de l’auteure</w:t>
      </w:r>
      <w:r>
        <w:rPr>
          <w:lang w:val="fr-FR"/>
        </w:rPr>
        <w:t xml:space="preserve"> et de sa famille</w:t>
      </w:r>
      <w:r w:rsidRPr="00AF35D0">
        <w:rPr>
          <w:lang w:val="fr-FR"/>
        </w:rPr>
        <w:t>.</w:t>
      </w:r>
    </w:p>
    <w:p w:rsidR="004A033D" w:rsidRPr="007241AE" w:rsidRDefault="004A033D">
      <w:pPr>
        <w:pStyle w:val="SingleTxtG"/>
        <w:rPr>
          <w:lang w:val="fr-CH"/>
        </w:rPr>
      </w:pPr>
      <w:r w:rsidRPr="00AF35D0">
        <w:rPr>
          <w:lang w:val="fr-FR"/>
        </w:rPr>
        <w:t>9.</w:t>
      </w:r>
      <w:r w:rsidRPr="00AF35D0">
        <w:rPr>
          <w:lang w:val="fr-FR"/>
        </w:rPr>
        <w:tab/>
      </w:r>
      <w:r w:rsidRPr="0025104C">
        <w:rPr>
          <w:rFonts w:eastAsiaTheme="minorHAnsi"/>
          <w:color w:val="000000"/>
          <w:lang w:val="fr-CH"/>
        </w:rPr>
        <w:t xml:space="preserve">En vertu du paragraphe 3 a) de l’article 2 du Pacte, l’État partie est tenu d’assurer à l’auteur un recours utile. </w:t>
      </w:r>
      <w:r w:rsidR="002E6FC5" w:rsidRPr="0025104C">
        <w:rPr>
          <w:rFonts w:eastAsiaTheme="minorHAnsi"/>
          <w:color w:val="000000"/>
          <w:lang w:val="fr-CH"/>
        </w:rPr>
        <w:t>Ce</w:t>
      </w:r>
      <w:r w:rsidR="002E6FC5">
        <w:rPr>
          <w:rFonts w:eastAsiaTheme="minorHAnsi"/>
          <w:color w:val="000000"/>
          <w:lang w:val="fr-CH"/>
        </w:rPr>
        <w:t>la</w:t>
      </w:r>
      <w:r w:rsidR="002E6FC5" w:rsidRPr="0025104C">
        <w:rPr>
          <w:rFonts w:eastAsiaTheme="minorHAnsi"/>
          <w:color w:val="000000"/>
          <w:lang w:val="fr-CH"/>
        </w:rPr>
        <w:t xml:space="preserve"> </w:t>
      </w:r>
      <w:r w:rsidRPr="0025104C">
        <w:rPr>
          <w:rFonts w:eastAsiaTheme="minorHAnsi"/>
          <w:color w:val="000000"/>
          <w:lang w:val="fr-CH"/>
        </w:rPr>
        <w:t xml:space="preserve">exige que les États parties accordent </w:t>
      </w:r>
      <w:r w:rsidR="002A6B95">
        <w:rPr>
          <w:rFonts w:eastAsiaTheme="minorHAnsi"/>
          <w:color w:val="000000"/>
          <w:lang w:val="fr-CH"/>
        </w:rPr>
        <w:t xml:space="preserve">une </w:t>
      </w:r>
      <w:r w:rsidRPr="0025104C">
        <w:rPr>
          <w:rFonts w:eastAsiaTheme="minorHAnsi"/>
          <w:color w:val="000000"/>
          <w:lang w:val="fr-CH"/>
        </w:rPr>
        <w:t xml:space="preserve">réparation intégrale aux personnes dont les droits reconnus par le Pacte ont été violés. </w:t>
      </w:r>
      <w:r w:rsidRPr="00D40799">
        <w:rPr>
          <w:rFonts w:eastAsiaTheme="minorHAnsi"/>
          <w:color w:val="000000"/>
          <w:lang w:val="fr-CH"/>
        </w:rPr>
        <w:t>En l’espèce, l’</w:t>
      </w:r>
      <w:r w:rsidR="00AE1D34">
        <w:rPr>
          <w:rFonts w:eastAsiaTheme="minorHAnsi"/>
          <w:color w:val="000000"/>
          <w:lang w:val="fr-CH"/>
        </w:rPr>
        <w:t>État</w:t>
      </w:r>
      <w:r w:rsidRPr="00D40799">
        <w:rPr>
          <w:rFonts w:eastAsiaTheme="minorHAnsi"/>
          <w:color w:val="000000"/>
          <w:lang w:val="fr-CH"/>
        </w:rPr>
        <w:t xml:space="preserve"> partie est tenu de </w:t>
      </w:r>
      <w:r w:rsidRPr="00C7006C">
        <w:rPr>
          <w:lang w:val="fr-FR"/>
        </w:rPr>
        <w:t>a</w:t>
      </w:r>
      <w:r>
        <w:rPr>
          <w:lang w:val="fr-FR"/>
        </w:rPr>
        <w:t xml:space="preserve">) mener une enquête approfondie, </w:t>
      </w:r>
      <w:r w:rsidRPr="00C7006C">
        <w:rPr>
          <w:lang w:val="fr-FR"/>
        </w:rPr>
        <w:t>rigoureuse</w:t>
      </w:r>
      <w:r>
        <w:rPr>
          <w:lang w:val="fr-FR"/>
        </w:rPr>
        <w:t xml:space="preserve"> et impartiale</w:t>
      </w:r>
      <w:r w:rsidRPr="00C7006C">
        <w:rPr>
          <w:lang w:val="fr-FR"/>
        </w:rPr>
        <w:t xml:space="preserve"> sur la disparition de </w:t>
      </w:r>
      <w:r>
        <w:rPr>
          <w:lang w:val="fr-FR"/>
        </w:rPr>
        <w:t>Brahim El Boathi</w:t>
      </w:r>
      <w:r w:rsidRPr="00427665">
        <w:rPr>
          <w:lang w:val="fr-FR"/>
        </w:rPr>
        <w:t xml:space="preserve"> </w:t>
      </w:r>
      <w:r w:rsidRPr="00E243F1">
        <w:rPr>
          <w:lang w:val="fr-FR"/>
        </w:rPr>
        <w:t xml:space="preserve">et </w:t>
      </w:r>
      <w:r w:rsidRPr="004D6C20">
        <w:rPr>
          <w:lang w:val="fr-FR"/>
        </w:rPr>
        <w:t>fournir à l’auteur</w:t>
      </w:r>
      <w:r w:rsidRPr="00AF35D0">
        <w:rPr>
          <w:lang w:val="fr-FR"/>
        </w:rPr>
        <w:t>e</w:t>
      </w:r>
      <w:r w:rsidRPr="00C7006C">
        <w:rPr>
          <w:lang w:val="fr-FR"/>
        </w:rPr>
        <w:t xml:space="preserve"> et à sa famille des informations détaillées quant aux résultats de cette enquête</w:t>
      </w:r>
      <w:r w:rsidR="005920EB">
        <w:rPr>
          <w:lang w:val="fr-FR"/>
        </w:rPr>
        <w:t> </w:t>
      </w:r>
      <w:r w:rsidRPr="00C7006C">
        <w:rPr>
          <w:lang w:val="fr-FR"/>
        </w:rPr>
        <w:t xml:space="preserve">; b) libérer immédiatement </w:t>
      </w:r>
      <w:r>
        <w:rPr>
          <w:lang w:val="fr-FR"/>
        </w:rPr>
        <w:t xml:space="preserve">Brahim El Boathi </w:t>
      </w:r>
      <w:r w:rsidRPr="00427665">
        <w:rPr>
          <w:lang w:val="fr-FR"/>
        </w:rPr>
        <w:t>s’il</w:t>
      </w:r>
      <w:r w:rsidRPr="00E243F1">
        <w:rPr>
          <w:lang w:val="fr-FR"/>
        </w:rPr>
        <w:t xml:space="preserve"> est toujours détenu au secret</w:t>
      </w:r>
      <w:r w:rsidR="005920EB">
        <w:rPr>
          <w:lang w:val="fr-FR"/>
        </w:rPr>
        <w:t> </w:t>
      </w:r>
      <w:r w:rsidRPr="00E243F1">
        <w:rPr>
          <w:lang w:val="fr-FR"/>
        </w:rPr>
        <w:t xml:space="preserve">; </w:t>
      </w:r>
      <w:r w:rsidRPr="004D6C20">
        <w:rPr>
          <w:lang w:val="fr-FR"/>
        </w:rPr>
        <w:t>c</w:t>
      </w:r>
      <w:r w:rsidRPr="00CC67AB">
        <w:rPr>
          <w:lang w:val="fr-FR"/>
        </w:rPr>
        <w:t xml:space="preserve">) dans l’éventualité où </w:t>
      </w:r>
      <w:r>
        <w:rPr>
          <w:lang w:val="fr-FR"/>
        </w:rPr>
        <w:t>Brahim El Boathi</w:t>
      </w:r>
      <w:r w:rsidRPr="00CC67AB">
        <w:rPr>
          <w:lang w:val="fr-FR"/>
        </w:rPr>
        <w:t xml:space="preserve"> serait décédé, restituer </w:t>
      </w:r>
      <w:r w:rsidRPr="00711343">
        <w:rPr>
          <w:lang w:val="fr-FR"/>
        </w:rPr>
        <w:t>sa dépouille à sa famille</w:t>
      </w:r>
      <w:r w:rsidR="005920EB">
        <w:rPr>
          <w:lang w:val="fr-FR"/>
        </w:rPr>
        <w:t> </w:t>
      </w:r>
      <w:r w:rsidRPr="00711343">
        <w:rPr>
          <w:lang w:val="fr-FR"/>
        </w:rPr>
        <w:t xml:space="preserve">; </w:t>
      </w:r>
      <w:r w:rsidRPr="00AF35D0">
        <w:rPr>
          <w:lang w:val="fr-FR"/>
        </w:rPr>
        <w:t>d) poursuivre, juger et punir les responsables des violations commises</w:t>
      </w:r>
      <w:r w:rsidR="005920EB">
        <w:rPr>
          <w:lang w:val="fr-FR"/>
        </w:rPr>
        <w:t> </w:t>
      </w:r>
      <w:r w:rsidRPr="00AF35D0">
        <w:rPr>
          <w:lang w:val="fr-FR"/>
        </w:rPr>
        <w:t>; e) indemniser de manière appropriée l’auteure</w:t>
      </w:r>
      <w:r w:rsidRPr="00C7006C">
        <w:rPr>
          <w:lang w:val="fr-FR"/>
        </w:rPr>
        <w:t xml:space="preserve"> pour les violations subies, ainsi que </w:t>
      </w:r>
      <w:r>
        <w:rPr>
          <w:lang w:val="fr-FR"/>
        </w:rPr>
        <w:t>Brahim El Boathi</w:t>
      </w:r>
      <w:r w:rsidRPr="006B1438">
        <w:rPr>
          <w:lang w:val="fr-FR"/>
        </w:rPr>
        <w:t xml:space="preserve"> s’il</w:t>
      </w:r>
      <w:r w:rsidRPr="00427665">
        <w:rPr>
          <w:lang w:val="fr-FR"/>
        </w:rPr>
        <w:t xml:space="preserve"> est</w:t>
      </w:r>
      <w:r w:rsidRPr="00E243F1">
        <w:rPr>
          <w:lang w:val="fr-FR"/>
        </w:rPr>
        <w:t xml:space="preserve"> en vie</w:t>
      </w:r>
      <w:r w:rsidR="005920EB">
        <w:rPr>
          <w:lang w:val="fr-FR"/>
        </w:rPr>
        <w:t> </w:t>
      </w:r>
      <w:r w:rsidRPr="00E243F1">
        <w:rPr>
          <w:lang w:val="fr-FR"/>
        </w:rPr>
        <w:t>; et f)</w:t>
      </w:r>
      <w:r w:rsidRPr="004D6C20">
        <w:rPr>
          <w:lang w:val="fr-FR"/>
        </w:rPr>
        <w:t> </w:t>
      </w:r>
      <w:r w:rsidRPr="00CC67AB">
        <w:rPr>
          <w:lang w:val="fr-FR"/>
        </w:rPr>
        <w:t>fournir des mesures de satisfaction appropriées à l’auteure</w:t>
      </w:r>
      <w:r w:rsidRPr="00711343">
        <w:rPr>
          <w:lang w:val="fr-FR"/>
        </w:rPr>
        <w:t xml:space="preserve"> et à sa famille. Nonobstant l’ordonnance </w:t>
      </w:r>
      <w:r w:rsidRPr="00711343">
        <w:rPr>
          <w:rFonts w:eastAsia="MS Mincho"/>
          <w:lang w:val="fr-FR"/>
        </w:rPr>
        <w:t>n</w:t>
      </w:r>
      <w:r w:rsidRPr="00711343">
        <w:rPr>
          <w:rFonts w:eastAsia="MS Mincho"/>
          <w:vertAlign w:val="superscript"/>
          <w:lang w:val="fr-FR"/>
        </w:rPr>
        <w:t>o</w:t>
      </w:r>
      <w:r w:rsidRPr="00AF35D0">
        <w:rPr>
          <w:lang w:val="fr-FR"/>
        </w:rPr>
        <w:t> 06-01, l’</w:t>
      </w:r>
      <w:r w:rsidR="00AE1D34">
        <w:rPr>
          <w:lang w:val="fr-FR"/>
        </w:rPr>
        <w:t>État</w:t>
      </w:r>
      <w:r w:rsidRPr="00AF35D0">
        <w:rPr>
          <w:lang w:val="fr-FR"/>
        </w:rPr>
        <w:t xml:space="preserve"> partie devrait également veiller à ne pas entraver le droit à un recours utile pour les victimes de crimes tels que la torture, les exécutions extrajudiciaires et les disparitions forcées. </w:t>
      </w:r>
      <w:r w:rsidR="00233B1B">
        <w:rPr>
          <w:lang w:val="fr-FR"/>
        </w:rPr>
        <w:t>Il</w:t>
      </w:r>
      <w:r w:rsidRPr="00AF35D0">
        <w:rPr>
          <w:lang w:val="fr-FR"/>
        </w:rPr>
        <w:t xml:space="preserve"> est en outre tenu de prendre des mesures pour empêcher que des violations analogues ne se reproduisent à l’avenir.</w:t>
      </w:r>
      <w:r w:rsidR="00CD3B48">
        <w:rPr>
          <w:lang w:val="fr-FR"/>
        </w:rPr>
        <w:t xml:space="preserve"> </w:t>
      </w:r>
      <w:r w:rsidR="004B06A9">
        <w:rPr>
          <w:rFonts w:asciiTheme="majorBidi" w:hAnsiTheme="majorBidi" w:cstheme="majorBidi"/>
          <w:lang w:val="fr-CH"/>
        </w:rPr>
        <w:t xml:space="preserve">À </w:t>
      </w:r>
      <w:r w:rsidR="007241AE">
        <w:rPr>
          <w:rFonts w:asciiTheme="majorBidi" w:hAnsiTheme="majorBidi" w:cstheme="majorBidi"/>
          <w:lang w:val="fr-CH"/>
        </w:rPr>
        <w:t xml:space="preserve">cet effet, le Comité est d’avis </w:t>
      </w:r>
      <w:r w:rsidR="007241AE" w:rsidRPr="007241AE">
        <w:rPr>
          <w:rFonts w:asciiTheme="majorBidi" w:hAnsiTheme="majorBidi" w:cstheme="majorBidi"/>
          <w:lang w:val="fr-CH"/>
        </w:rPr>
        <w:t>que l’État partie devrait revoir sa législation en fonction de l’obligation qui lui est faite au paragraphe 2 de l’article 2, et en particulier réexaminer l</w:t>
      </w:r>
      <w:r w:rsidR="007241AE">
        <w:rPr>
          <w:rFonts w:asciiTheme="majorBidi" w:hAnsiTheme="majorBidi" w:cstheme="majorBidi"/>
          <w:lang w:val="fr-CH"/>
        </w:rPr>
        <w:t>’ordonnance n</w:t>
      </w:r>
      <w:r w:rsidR="00C561FD" w:rsidRPr="0072331E">
        <w:rPr>
          <w:rFonts w:asciiTheme="majorBidi" w:hAnsiTheme="majorBidi" w:cstheme="majorBidi"/>
          <w:vertAlign w:val="superscript"/>
          <w:lang w:val="fr-CH"/>
        </w:rPr>
        <w:t>o</w:t>
      </w:r>
      <w:r w:rsidR="00C561FD">
        <w:rPr>
          <w:rFonts w:asciiTheme="majorBidi" w:hAnsiTheme="majorBidi" w:cstheme="majorBidi"/>
          <w:lang w:val="fr-CH"/>
        </w:rPr>
        <w:t> </w:t>
      </w:r>
      <w:r w:rsidR="007241AE">
        <w:rPr>
          <w:rFonts w:asciiTheme="majorBidi" w:hAnsiTheme="majorBidi" w:cstheme="majorBidi"/>
          <w:lang w:val="fr-CH"/>
        </w:rPr>
        <w:t xml:space="preserve">06-01, </w:t>
      </w:r>
      <w:r w:rsidR="007241AE" w:rsidRPr="007241AE">
        <w:rPr>
          <w:rFonts w:asciiTheme="majorBidi" w:hAnsiTheme="majorBidi" w:cstheme="majorBidi"/>
          <w:lang w:val="fr-CH"/>
        </w:rPr>
        <w:t>afin que les droits consacrés par le Pacte puissent être pleinement exercés dans l’État partie</w:t>
      </w:r>
      <w:r w:rsidR="007241AE">
        <w:rPr>
          <w:rFonts w:asciiTheme="majorBidi" w:hAnsiTheme="majorBidi" w:cstheme="majorBidi"/>
          <w:lang w:val="fr-CH"/>
        </w:rPr>
        <w:t>.</w:t>
      </w:r>
    </w:p>
    <w:p w:rsidR="00E778DB" w:rsidRDefault="004A033D" w:rsidP="0072331E">
      <w:pPr>
        <w:pStyle w:val="SingleTxtG"/>
        <w:rPr>
          <w:lang w:val="fr-FR"/>
        </w:rPr>
      </w:pPr>
      <w:r w:rsidRPr="00194795">
        <w:rPr>
          <w:lang w:val="fr-FR"/>
        </w:rPr>
        <w:t>10.</w:t>
      </w:r>
      <w:r w:rsidRPr="00194795">
        <w:rPr>
          <w:lang w:val="fr-FR"/>
        </w:rPr>
        <w:tab/>
      </w:r>
      <w:r w:rsidRPr="00C7006C">
        <w:rPr>
          <w:lang w:val="fr-FR"/>
        </w:rPr>
        <w:t>Étant donné qu’en adhérant au Protocole facultatif l’</w:t>
      </w:r>
      <w:r w:rsidR="00AE1D34">
        <w:rPr>
          <w:lang w:val="fr-FR"/>
        </w:rPr>
        <w:t>État</w:t>
      </w:r>
      <w:r w:rsidRPr="00C7006C">
        <w:rPr>
          <w:lang w:val="fr-FR"/>
        </w:rPr>
        <w:t xml:space="preserve"> partie a reconnu que le Comité avait compétence pour d</w:t>
      </w:r>
      <w:r w:rsidRPr="006B1438">
        <w:rPr>
          <w:lang w:val="fr-FR"/>
        </w:rPr>
        <w:t xml:space="preserve">éterminer s’il y avait eu ou non violation du Pacte et que, conformément à l’article 2 du Pacte, il s’est engagé à garantir à tous les individus se trouvant sur son territoire et relevant de sa juridiction les droits reconnus dans le Pacte et à assurer un </w:t>
      </w:r>
      <w:r w:rsidRPr="00427665">
        <w:rPr>
          <w:lang w:val="fr-FR"/>
        </w:rPr>
        <w:t>recours utile et exécutoire lorsqu’une violation a été établie, le Comité souhaite recevoir de l’</w:t>
      </w:r>
      <w:r w:rsidR="00AE1D34">
        <w:rPr>
          <w:lang w:val="fr-FR"/>
        </w:rPr>
        <w:t>État</w:t>
      </w:r>
      <w:r w:rsidRPr="00427665">
        <w:rPr>
          <w:lang w:val="fr-FR"/>
        </w:rPr>
        <w:t xml:space="preserve"> partie, dans un délai de cent quatre-vingts jours, des renseignements sur les mesures prises pour </w:t>
      </w:r>
      <w:r w:rsidRPr="00E243F1">
        <w:rPr>
          <w:lang w:val="fr-FR"/>
        </w:rPr>
        <w:t>donner effet à ses constatations. L’</w:t>
      </w:r>
      <w:r w:rsidR="00AE1D34">
        <w:rPr>
          <w:lang w:val="fr-FR"/>
        </w:rPr>
        <w:t>État</w:t>
      </w:r>
      <w:r w:rsidRPr="00E243F1">
        <w:rPr>
          <w:lang w:val="fr-FR"/>
        </w:rPr>
        <w:t xml:space="preserve"> partie est invité en outre à rendre publiques les présentes constatations et à les diffuser largement dans les langues officielles.</w:t>
      </w:r>
    </w:p>
    <w:p w:rsidR="00E778DB" w:rsidRPr="0072331E" w:rsidRDefault="00E778DB" w:rsidP="0072331E">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E778DB" w:rsidRPr="0072331E" w:rsidSect="0072331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86" w:rsidRPr="00B903E5" w:rsidRDefault="00FB7186" w:rsidP="00B903E5">
      <w:pPr>
        <w:pStyle w:val="Footer"/>
      </w:pPr>
    </w:p>
  </w:endnote>
  <w:endnote w:type="continuationSeparator" w:id="0">
    <w:p w:rsidR="00FB7186" w:rsidRPr="00B903E5" w:rsidRDefault="00FB718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RMT">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12" w:rsidRPr="00597415" w:rsidRDefault="00BF4912" w:rsidP="00597415">
    <w:pPr>
      <w:pStyle w:val="Footer"/>
      <w:tabs>
        <w:tab w:val="right" w:pos="9598"/>
      </w:tabs>
    </w:pPr>
    <w:r w:rsidRPr="00597415">
      <w:rPr>
        <w:b/>
        <w:sz w:val="18"/>
      </w:rPr>
      <w:fldChar w:fldCharType="begin"/>
    </w:r>
    <w:r w:rsidRPr="00597415">
      <w:rPr>
        <w:b/>
        <w:sz w:val="18"/>
      </w:rPr>
      <w:instrText xml:space="preserve"> </w:instrText>
    </w:r>
    <w:r>
      <w:rPr>
        <w:b/>
        <w:sz w:val="18"/>
      </w:rPr>
      <w:instrText>PAGE</w:instrText>
    </w:r>
    <w:r w:rsidRPr="00597415">
      <w:rPr>
        <w:b/>
        <w:sz w:val="18"/>
      </w:rPr>
      <w:instrText xml:space="preserve">  \* MERGEFORMAT </w:instrText>
    </w:r>
    <w:r w:rsidRPr="00597415">
      <w:rPr>
        <w:b/>
        <w:sz w:val="18"/>
      </w:rPr>
      <w:fldChar w:fldCharType="separate"/>
    </w:r>
    <w:r w:rsidR="003A4AF7">
      <w:rPr>
        <w:b/>
        <w:noProof/>
        <w:sz w:val="18"/>
      </w:rPr>
      <w:t>2</w:t>
    </w:r>
    <w:r w:rsidRPr="0059741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12" w:rsidRPr="00597415" w:rsidRDefault="00BF4912" w:rsidP="00597415">
    <w:pPr>
      <w:pStyle w:val="Footer"/>
      <w:tabs>
        <w:tab w:val="right" w:pos="9598"/>
      </w:tabs>
      <w:rPr>
        <w:b/>
        <w:sz w:val="18"/>
      </w:rPr>
    </w:pPr>
    <w:r>
      <w:tab/>
    </w:r>
    <w:r w:rsidRPr="00597415">
      <w:rPr>
        <w:b/>
        <w:sz w:val="18"/>
      </w:rPr>
      <w:fldChar w:fldCharType="begin"/>
    </w:r>
    <w:r w:rsidRPr="00597415">
      <w:rPr>
        <w:b/>
        <w:sz w:val="18"/>
      </w:rPr>
      <w:instrText xml:space="preserve"> </w:instrText>
    </w:r>
    <w:r>
      <w:rPr>
        <w:b/>
        <w:sz w:val="18"/>
      </w:rPr>
      <w:instrText>PAGE</w:instrText>
    </w:r>
    <w:r w:rsidRPr="00597415">
      <w:rPr>
        <w:b/>
        <w:sz w:val="18"/>
      </w:rPr>
      <w:instrText xml:space="preserve">  \* MERGEFORMAT </w:instrText>
    </w:r>
    <w:r w:rsidRPr="00597415">
      <w:rPr>
        <w:b/>
        <w:sz w:val="18"/>
      </w:rPr>
      <w:fldChar w:fldCharType="separate"/>
    </w:r>
    <w:r w:rsidR="003A4AF7">
      <w:rPr>
        <w:b/>
        <w:noProof/>
        <w:sz w:val="18"/>
      </w:rPr>
      <w:t>3</w:t>
    </w:r>
    <w:r w:rsidRPr="0059741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12" w:rsidRPr="0072331E" w:rsidRDefault="00D561CA" w:rsidP="00597415">
    <w:pPr>
      <w:spacing w:line="240" w:lineRule="auto"/>
      <w:rPr>
        <w:rFonts w:asciiTheme="majorBidi" w:hAnsiTheme="majorBidi" w:cstheme="majorBidi"/>
        <w:sz w:val="18"/>
        <w:szCs w:val="18"/>
      </w:rPr>
    </w:pPr>
    <w:r>
      <w:rPr>
        <w:noProof/>
        <w:lang w:val="en-US"/>
      </w:rPr>
      <w:drawing>
        <wp:anchor distT="0" distB="0" distL="114300" distR="114300" simplePos="0" relativeHeight="251660288" behindDoc="0" locked="0" layoutInCell="1" allowOverlap="0" wp14:anchorId="4B0A7650" wp14:editId="6B69A8B0">
          <wp:simplePos x="0" y="0"/>
          <wp:positionH relativeFrom="margin">
            <wp:posOffset>4326255</wp:posOffset>
          </wp:positionH>
          <wp:positionV relativeFrom="margin">
            <wp:posOffset>9177020</wp:posOffset>
          </wp:positionV>
          <wp:extent cx="1104900" cy="23368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18"/>
        <w:szCs w:val="18"/>
        <w:lang w:val="en-US"/>
      </w:rPr>
      <w:drawing>
        <wp:anchor distT="0" distB="0" distL="114300" distR="114300" simplePos="0" relativeHeight="251658240" behindDoc="0" locked="0" layoutInCell="1" allowOverlap="1" wp14:anchorId="4F7948AB" wp14:editId="7AE5B523">
          <wp:simplePos x="0" y="0"/>
          <wp:positionH relativeFrom="column">
            <wp:posOffset>5492750</wp:posOffset>
          </wp:positionH>
          <wp:positionV relativeFrom="paragraph">
            <wp:posOffset>-101600</wp:posOffset>
          </wp:positionV>
          <wp:extent cx="638175" cy="638175"/>
          <wp:effectExtent l="0" t="0" r="9525" b="9525"/>
          <wp:wrapNone/>
          <wp:docPr id="1" name="Image 1" descr="http://undocs.org/m2/QRCode.ashx?DS=CCPR/C/119/D/2259/201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9/D/2259/201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18"/>
        <w:szCs w:val="18"/>
      </w:rPr>
      <w:t>GE.17-07865 (F)</w:t>
    </w:r>
    <w:r>
      <w:rPr>
        <w:rFonts w:asciiTheme="majorBidi" w:hAnsiTheme="majorBidi" w:cstheme="majorBidi"/>
        <w:sz w:val="18"/>
        <w:szCs w:val="18"/>
      </w:rPr>
      <w:br/>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r w:rsidRPr="00D561CA">
      <w:rPr>
        <w:rFonts w:ascii="C39T30Lfz" w:hAnsi="C39T30Lfz" w:cstheme="majorBidi"/>
        <w:sz w:val="56"/>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86" w:rsidRPr="00B903E5" w:rsidRDefault="00FB7186" w:rsidP="00B903E5">
      <w:pPr>
        <w:tabs>
          <w:tab w:val="right" w:pos="2155"/>
        </w:tabs>
        <w:spacing w:after="80" w:line="240" w:lineRule="auto"/>
        <w:ind w:left="680"/>
      </w:pPr>
      <w:r>
        <w:rPr>
          <w:u w:val="single"/>
        </w:rPr>
        <w:tab/>
      </w:r>
    </w:p>
  </w:footnote>
  <w:footnote w:type="continuationSeparator" w:id="0">
    <w:p w:rsidR="00FB7186" w:rsidRPr="00B903E5" w:rsidRDefault="00FB7186" w:rsidP="00B903E5">
      <w:pPr>
        <w:tabs>
          <w:tab w:val="right" w:pos="2155"/>
        </w:tabs>
        <w:spacing w:after="80" w:line="240" w:lineRule="auto"/>
        <w:ind w:left="680"/>
      </w:pPr>
      <w:r>
        <w:rPr>
          <w:u w:val="single"/>
        </w:rPr>
        <w:tab/>
      </w:r>
    </w:p>
  </w:footnote>
  <w:footnote w:id="1">
    <w:p w:rsidR="00B430D3" w:rsidRPr="0072331E" w:rsidRDefault="00B430D3" w:rsidP="00B430D3">
      <w:pPr>
        <w:pStyle w:val="FootnoteText"/>
        <w:rPr>
          <w:lang w:val="fr-FR"/>
        </w:rPr>
      </w:pPr>
      <w:r w:rsidRPr="0072331E">
        <w:rPr>
          <w:rStyle w:val="FootnoteReference"/>
          <w:lang w:val="fr-FR"/>
        </w:rPr>
        <w:tab/>
      </w:r>
      <w:r w:rsidRPr="0072331E">
        <w:rPr>
          <w:rStyle w:val="FootnoteReference"/>
          <w:sz w:val="20"/>
          <w:vertAlign w:val="baseline"/>
          <w:lang w:val="fr-FR"/>
        </w:rPr>
        <w:t>*</w:t>
      </w:r>
      <w:r w:rsidRPr="0072331E">
        <w:rPr>
          <w:rStyle w:val="FootnoteReference"/>
          <w:sz w:val="20"/>
          <w:lang w:val="fr-FR"/>
        </w:rPr>
        <w:tab/>
      </w:r>
      <w:r w:rsidRPr="0072331E">
        <w:rPr>
          <w:lang w:val="fr-FR"/>
        </w:rPr>
        <w:t>Adoptées par le Comité à sa 119</w:t>
      </w:r>
      <w:r w:rsidRPr="0072331E">
        <w:rPr>
          <w:vertAlign w:val="superscript"/>
          <w:lang w:val="fr-FR"/>
        </w:rPr>
        <w:t>e</w:t>
      </w:r>
      <w:r w:rsidRPr="0072331E">
        <w:rPr>
          <w:lang w:val="fr-FR"/>
        </w:rPr>
        <w:t xml:space="preserve"> session (6-29 mars 2017).</w:t>
      </w:r>
    </w:p>
  </w:footnote>
  <w:footnote w:id="2">
    <w:p w:rsidR="00B430D3" w:rsidRPr="00462B12" w:rsidRDefault="00B430D3">
      <w:pPr>
        <w:pStyle w:val="FootnoteText"/>
        <w:rPr>
          <w:szCs w:val="18"/>
          <w:lang w:val="fr-CH"/>
        </w:rPr>
      </w:pPr>
      <w:r w:rsidRPr="0072331E">
        <w:rPr>
          <w:lang w:val="fr-FR"/>
        </w:rPr>
        <w:tab/>
      </w:r>
      <w:r w:rsidRPr="001A3213">
        <w:rPr>
          <w:rStyle w:val="FootnoteReference"/>
          <w:sz w:val="20"/>
          <w:vertAlign w:val="baseline"/>
          <w:lang w:val="fr-CH"/>
        </w:rPr>
        <w:t>**</w:t>
      </w:r>
      <w:r w:rsidRPr="00462B12">
        <w:rPr>
          <w:lang w:val="fr-CH"/>
        </w:rPr>
        <w:tab/>
      </w:r>
      <w:r w:rsidRPr="00462B12">
        <w:rPr>
          <w:szCs w:val="18"/>
          <w:lang w:val="fr-CH"/>
        </w:rPr>
        <w:t>Les membres du Comité dont le nom suit ont participé à l’examen de la communication</w:t>
      </w:r>
      <w:r w:rsidR="00F7262E">
        <w:rPr>
          <w:szCs w:val="18"/>
          <w:lang w:val="fr-CH"/>
        </w:rPr>
        <w:t> </w:t>
      </w:r>
      <w:r w:rsidRPr="00462B12">
        <w:rPr>
          <w:szCs w:val="18"/>
          <w:lang w:val="fr-CH"/>
        </w:rPr>
        <w:t>: Tania María Abdo Rocholl, Yadh</w:t>
      </w:r>
      <w:r w:rsidR="00012299">
        <w:rPr>
          <w:szCs w:val="18"/>
          <w:lang w:val="fr-CH"/>
        </w:rPr>
        <w:t xml:space="preserve"> </w:t>
      </w:r>
      <w:r w:rsidRPr="00462B12">
        <w:rPr>
          <w:szCs w:val="18"/>
          <w:lang w:val="fr-CH"/>
        </w:rPr>
        <w:t xml:space="preserve">Ben Achour, Ilze Brands Kehris, Sarah Cleveland, Ahmed </w:t>
      </w:r>
      <w:r w:rsidR="00B96207">
        <w:rPr>
          <w:szCs w:val="18"/>
          <w:lang w:val="fr-CH"/>
        </w:rPr>
        <w:t xml:space="preserve">Amin </w:t>
      </w:r>
      <w:r w:rsidRPr="00462B12">
        <w:rPr>
          <w:szCs w:val="18"/>
          <w:lang w:val="fr-CH"/>
        </w:rPr>
        <w:t>Fathalla, Olivier de Frouville, Christof Heyns, Yuji</w:t>
      </w:r>
      <w:r w:rsidR="00012299">
        <w:rPr>
          <w:szCs w:val="18"/>
          <w:lang w:val="fr-CH"/>
        </w:rPr>
        <w:t xml:space="preserve"> </w:t>
      </w:r>
      <w:r w:rsidRPr="00462B12">
        <w:rPr>
          <w:szCs w:val="18"/>
          <w:lang w:val="fr-CH"/>
        </w:rPr>
        <w:t>Iwasawa, B</w:t>
      </w:r>
      <w:r w:rsidR="00B96207">
        <w:rPr>
          <w:szCs w:val="18"/>
          <w:lang w:val="fr-CH"/>
        </w:rPr>
        <w:t>a</w:t>
      </w:r>
      <w:r w:rsidRPr="00462B12">
        <w:rPr>
          <w:szCs w:val="18"/>
          <w:lang w:val="fr-CH"/>
        </w:rPr>
        <w:t>mariam Koita, Marcia V.</w:t>
      </w:r>
      <w:r w:rsidR="00012299">
        <w:rPr>
          <w:szCs w:val="18"/>
          <w:lang w:val="fr-CH"/>
        </w:rPr>
        <w:t> </w:t>
      </w:r>
      <w:r w:rsidRPr="00462B12">
        <w:rPr>
          <w:szCs w:val="18"/>
          <w:lang w:val="fr-CH"/>
        </w:rPr>
        <w:t>J. Kran, Duncan</w:t>
      </w:r>
      <w:r w:rsidR="00602E7C">
        <w:rPr>
          <w:szCs w:val="18"/>
          <w:lang w:val="fr-CH"/>
        </w:rPr>
        <w:t> </w:t>
      </w:r>
      <w:r w:rsidRPr="00462B12">
        <w:rPr>
          <w:szCs w:val="18"/>
          <w:lang w:val="fr-CH"/>
        </w:rPr>
        <w:t>Laki Muhumuza, Photini Pazartzis, Mauro Politi, José Manuel Santo</w:t>
      </w:r>
      <w:r w:rsidR="00B96207">
        <w:rPr>
          <w:szCs w:val="18"/>
          <w:lang w:val="fr-CH"/>
        </w:rPr>
        <w:t>s</w:t>
      </w:r>
      <w:r w:rsidRPr="00462B12">
        <w:rPr>
          <w:szCs w:val="18"/>
          <w:lang w:val="fr-CH"/>
        </w:rPr>
        <w:t xml:space="preserve"> Pais, Yuval Shany et</w:t>
      </w:r>
      <w:r w:rsidR="00602E7C">
        <w:rPr>
          <w:szCs w:val="18"/>
          <w:lang w:val="fr-CH"/>
        </w:rPr>
        <w:t> </w:t>
      </w:r>
      <w:r w:rsidRPr="00462B12">
        <w:rPr>
          <w:szCs w:val="18"/>
          <w:lang w:val="fr-CH"/>
        </w:rPr>
        <w:t>Margo</w:t>
      </w:r>
      <w:r w:rsidR="00012299">
        <w:rPr>
          <w:szCs w:val="18"/>
          <w:lang w:val="fr-CH"/>
        </w:rPr>
        <w:t xml:space="preserve"> </w:t>
      </w:r>
      <w:r w:rsidRPr="00462B12">
        <w:rPr>
          <w:szCs w:val="18"/>
          <w:lang w:val="fr-CH"/>
        </w:rPr>
        <w:t>Waterval.</w:t>
      </w:r>
    </w:p>
  </w:footnote>
  <w:footnote w:id="3">
    <w:p w:rsidR="00B430D3" w:rsidRPr="00462B12" w:rsidRDefault="00B430D3">
      <w:pPr>
        <w:pStyle w:val="FootnoteText"/>
        <w:rPr>
          <w:szCs w:val="18"/>
          <w:lang w:val="fr-CH"/>
        </w:rPr>
      </w:pPr>
    </w:p>
  </w:footnote>
  <w:footnote w:id="4">
    <w:p w:rsidR="00BF4912" w:rsidRPr="004F0DE1" w:rsidRDefault="00BF4912">
      <w:pPr>
        <w:pStyle w:val="FootnoteText"/>
        <w:widowControl w:val="0"/>
        <w:tabs>
          <w:tab w:val="clear" w:pos="1021"/>
          <w:tab w:val="right" w:pos="1020"/>
        </w:tabs>
        <w:rPr>
          <w:lang w:val="fr-CH"/>
        </w:rPr>
      </w:pPr>
      <w:r w:rsidRPr="00644CAD">
        <w:rPr>
          <w:lang w:val="fr-CH"/>
        </w:rPr>
        <w:tab/>
      </w:r>
      <w:r w:rsidRPr="00EF223D">
        <w:rPr>
          <w:rStyle w:val="FootnoteReference"/>
        </w:rPr>
        <w:footnoteRef/>
      </w:r>
      <w:r w:rsidRPr="00D40799">
        <w:rPr>
          <w:lang w:val="fr-CH"/>
        </w:rPr>
        <w:tab/>
        <w:t>L’ordonnance n</w:t>
      </w:r>
      <w:r w:rsidR="00FB26B6" w:rsidRPr="0072331E">
        <w:rPr>
          <w:vertAlign w:val="superscript"/>
          <w:lang w:val="fr-CH"/>
        </w:rPr>
        <w:t>o</w:t>
      </w:r>
      <w:r w:rsidR="00FB26B6">
        <w:rPr>
          <w:lang w:val="fr-CH"/>
        </w:rPr>
        <w:t> </w:t>
      </w:r>
      <w:r w:rsidRPr="00D40799">
        <w:rPr>
          <w:lang w:val="fr-CH"/>
        </w:rPr>
        <w:t xml:space="preserve">06-01 du 27 février 2006 porte mise en </w:t>
      </w:r>
      <w:r w:rsidR="00FB26B6" w:rsidRPr="00D40799">
        <w:rPr>
          <w:lang w:val="fr-CH"/>
        </w:rPr>
        <w:t>œuvre</w:t>
      </w:r>
      <w:r w:rsidRPr="00D40799">
        <w:rPr>
          <w:lang w:val="fr-CH"/>
        </w:rPr>
        <w:t xml:space="preserve"> de la Charte pour la paix et la réconciliation nationale. L’article 45 de ladite ordonnance dispose qu’« aucune poursuite ne peut être engagée, à titre individuel ou collectif, à l</w:t>
      </w:r>
      <w:r w:rsidR="0015107E" w:rsidRPr="0015107E">
        <w:rPr>
          <w:lang w:val="fr-CH"/>
        </w:rPr>
        <w:t>’</w:t>
      </w:r>
      <w:r w:rsidRPr="00D40799">
        <w:rPr>
          <w:lang w:val="fr-CH"/>
        </w:rPr>
        <w:t xml:space="preserve">encontre des éléments des forces de défense et de sécurité de la République, toutes composantes confondues, pour des actions menées en vue de la protection des personnes et des biens, de la sauvegarde de la Nation et de la préservation des institutions de la République algérienne démocratique et populaire ». </w:t>
      </w:r>
    </w:p>
  </w:footnote>
  <w:footnote w:id="5">
    <w:p w:rsidR="00BF4912" w:rsidRPr="004F0DE1"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CH"/>
        </w:rPr>
        <w:t xml:space="preserve">L’auteure appuie son argumentation en renvoyant aux opinions individuelles concordantes de Fabián Salvioli, en particulier celle </w:t>
      </w:r>
      <w:r w:rsidR="00117C62">
        <w:rPr>
          <w:szCs w:val="18"/>
          <w:lang w:val="fr-CH"/>
        </w:rPr>
        <w:t xml:space="preserve">exprimée </w:t>
      </w:r>
      <w:r w:rsidRPr="00506D12">
        <w:rPr>
          <w:szCs w:val="18"/>
          <w:lang w:val="fr-CH"/>
        </w:rPr>
        <w:t xml:space="preserve">dans l’affaire </w:t>
      </w:r>
      <w:r w:rsidRPr="00117C62">
        <w:rPr>
          <w:i/>
          <w:szCs w:val="18"/>
          <w:lang w:val="fr-CH"/>
        </w:rPr>
        <w:t>Chihoub c. Algérie</w:t>
      </w:r>
      <w:r w:rsidRPr="00506D12">
        <w:rPr>
          <w:szCs w:val="18"/>
          <w:lang w:val="fr-CH"/>
        </w:rPr>
        <w:t>, communication n</w:t>
      </w:r>
      <w:r w:rsidR="00117C62" w:rsidRPr="0072331E">
        <w:rPr>
          <w:szCs w:val="18"/>
          <w:vertAlign w:val="superscript"/>
          <w:lang w:val="fr-CH"/>
        </w:rPr>
        <w:t>o</w:t>
      </w:r>
      <w:r w:rsidR="00117C62">
        <w:rPr>
          <w:szCs w:val="18"/>
          <w:lang w:val="fr-CH"/>
        </w:rPr>
        <w:t> </w:t>
      </w:r>
      <w:r w:rsidRPr="00506D12">
        <w:rPr>
          <w:szCs w:val="18"/>
          <w:lang w:val="fr-CH"/>
        </w:rPr>
        <w:t>1811/2008, constatations adoptées le 31 octobre 2011</w:t>
      </w:r>
      <w:r>
        <w:rPr>
          <w:szCs w:val="18"/>
          <w:lang w:val="fr-CH"/>
        </w:rPr>
        <w:t>.</w:t>
      </w:r>
      <w:r w:rsidRPr="00D40799">
        <w:rPr>
          <w:lang w:val="fr-CH"/>
        </w:rPr>
        <w:t xml:space="preserve"> </w:t>
      </w:r>
    </w:p>
  </w:footnote>
  <w:footnote w:id="6">
    <w:p w:rsidR="00BF4912" w:rsidRPr="004F0DE1"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25104C">
        <w:rPr>
          <w:lang w:val="fr-CH"/>
        </w:rPr>
        <w:tab/>
      </w:r>
      <w:r w:rsidR="00913CC8">
        <w:rPr>
          <w:szCs w:val="18"/>
          <w:lang w:val="fr-CH"/>
        </w:rPr>
        <w:t>Voir la c</w:t>
      </w:r>
      <w:r w:rsidRPr="0025104C">
        <w:rPr>
          <w:szCs w:val="18"/>
          <w:lang w:val="fr-CH"/>
        </w:rPr>
        <w:t>ommunication n</w:t>
      </w:r>
      <w:r w:rsidR="00054D99" w:rsidRPr="0072331E">
        <w:rPr>
          <w:szCs w:val="18"/>
          <w:vertAlign w:val="superscript"/>
          <w:lang w:val="fr-CH"/>
        </w:rPr>
        <w:t>o</w:t>
      </w:r>
      <w:r w:rsidR="00054D99">
        <w:rPr>
          <w:szCs w:val="18"/>
          <w:lang w:val="fr-CH"/>
        </w:rPr>
        <w:t> </w:t>
      </w:r>
      <w:r w:rsidRPr="0025104C">
        <w:rPr>
          <w:szCs w:val="18"/>
          <w:lang w:val="fr-CH"/>
        </w:rPr>
        <w:t xml:space="preserve">1588/2007, </w:t>
      </w:r>
      <w:r w:rsidRPr="00054D99">
        <w:rPr>
          <w:i/>
          <w:szCs w:val="18"/>
          <w:lang w:val="fr-CH"/>
        </w:rPr>
        <w:t>Benaziza c. Algérie</w:t>
      </w:r>
      <w:r w:rsidRPr="0025104C">
        <w:rPr>
          <w:szCs w:val="18"/>
          <w:lang w:val="fr-CH"/>
        </w:rPr>
        <w:t xml:space="preserve">, constatations adoptées le </w:t>
      </w:r>
      <w:r w:rsidR="00A31465">
        <w:rPr>
          <w:szCs w:val="18"/>
          <w:lang w:val="fr-CH"/>
        </w:rPr>
        <w:t>26 juillet</w:t>
      </w:r>
      <w:r w:rsidRPr="0025104C">
        <w:rPr>
          <w:szCs w:val="18"/>
          <w:lang w:val="fr-CH"/>
        </w:rPr>
        <w:t xml:space="preserve"> 2010, par.</w:t>
      </w:r>
      <w:r w:rsidR="00E778DB">
        <w:rPr>
          <w:szCs w:val="18"/>
          <w:lang w:val="fr-CH"/>
        </w:rPr>
        <w:t> </w:t>
      </w:r>
      <w:r w:rsidRPr="0025104C">
        <w:rPr>
          <w:szCs w:val="18"/>
          <w:lang w:val="fr-CH"/>
        </w:rPr>
        <w:t>9.9.</w:t>
      </w:r>
      <w:r w:rsidRPr="0025104C">
        <w:rPr>
          <w:lang w:val="fr-CH"/>
        </w:rPr>
        <w:t xml:space="preserve"> </w:t>
      </w:r>
    </w:p>
  </w:footnote>
  <w:footnote w:id="7">
    <w:p w:rsidR="00BF4912" w:rsidRPr="004F0DE1" w:rsidRDefault="00BF4912">
      <w:pPr>
        <w:pStyle w:val="FootnoteText"/>
        <w:widowControl w:val="0"/>
        <w:tabs>
          <w:tab w:val="clear" w:pos="1021"/>
          <w:tab w:val="right" w:pos="1020"/>
        </w:tabs>
        <w:rPr>
          <w:lang w:val="fr-CH"/>
        </w:rPr>
      </w:pPr>
      <w:r w:rsidRPr="0025104C">
        <w:rPr>
          <w:lang w:val="fr-CH"/>
        </w:rPr>
        <w:tab/>
      </w:r>
      <w:r w:rsidRPr="00EF223D">
        <w:rPr>
          <w:rStyle w:val="FootnoteReference"/>
        </w:rPr>
        <w:footnoteRef/>
      </w:r>
      <w:r w:rsidRPr="00D40799">
        <w:rPr>
          <w:lang w:val="fr-CH"/>
        </w:rPr>
        <w:tab/>
      </w:r>
      <w:r w:rsidRPr="00506D12">
        <w:rPr>
          <w:szCs w:val="18"/>
          <w:lang w:val="fr-CH"/>
        </w:rPr>
        <w:t>L’auteure cite à l’appui de son affirmation les communication</w:t>
      </w:r>
      <w:r>
        <w:rPr>
          <w:szCs w:val="18"/>
          <w:lang w:val="fr-CH"/>
        </w:rPr>
        <w:t>s</w:t>
      </w:r>
      <w:r w:rsidRPr="00506D12">
        <w:rPr>
          <w:szCs w:val="18"/>
          <w:lang w:val="fr-CH"/>
        </w:rPr>
        <w:t xml:space="preserve"> n</w:t>
      </w:r>
      <w:r w:rsidR="00DF4098" w:rsidRPr="0072331E">
        <w:rPr>
          <w:szCs w:val="18"/>
          <w:vertAlign w:val="superscript"/>
          <w:lang w:val="fr-CH"/>
        </w:rPr>
        <w:t>o</w:t>
      </w:r>
      <w:r w:rsidR="00DF4098">
        <w:rPr>
          <w:szCs w:val="18"/>
          <w:lang w:val="fr-CH"/>
        </w:rPr>
        <w:t> </w:t>
      </w:r>
      <w:r w:rsidRPr="00506D12">
        <w:rPr>
          <w:szCs w:val="18"/>
          <w:lang w:val="fr-CH"/>
        </w:rPr>
        <w:t xml:space="preserve">1753/2008, </w:t>
      </w:r>
      <w:r w:rsidRPr="00506D12">
        <w:rPr>
          <w:i/>
          <w:szCs w:val="18"/>
          <w:lang w:val="fr-CH"/>
        </w:rPr>
        <w:t xml:space="preserve">Guezout et </w:t>
      </w:r>
      <w:r w:rsidR="00886D81">
        <w:rPr>
          <w:i/>
          <w:szCs w:val="18"/>
          <w:lang w:val="fr-CH"/>
        </w:rPr>
        <w:t>consorts</w:t>
      </w:r>
      <w:r w:rsidR="00886D81" w:rsidRPr="00506D12">
        <w:rPr>
          <w:i/>
          <w:szCs w:val="18"/>
          <w:lang w:val="fr-CH"/>
        </w:rPr>
        <w:t xml:space="preserve"> </w:t>
      </w:r>
      <w:r w:rsidRPr="00506D12">
        <w:rPr>
          <w:i/>
          <w:szCs w:val="18"/>
          <w:lang w:val="fr-CH"/>
        </w:rPr>
        <w:t>c.</w:t>
      </w:r>
      <w:r w:rsidR="00E778DB">
        <w:rPr>
          <w:i/>
          <w:szCs w:val="18"/>
          <w:lang w:val="fr-CH"/>
        </w:rPr>
        <w:t> </w:t>
      </w:r>
      <w:r w:rsidRPr="00506D12">
        <w:rPr>
          <w:i/>
          <w:szCs w:val="18"/>
          <w:lang w:val="fr-CH"/>
        </w:rPr>
        <w:t>Algérie</w:t>
      </w:r>
      <w:r w:rsidRPr="00506D12">
        <w:rPr>
          <w:szCs w:val="18"/>
          <w:lang w:val="fr-CH"/>
        </w:rPr>
        <w:t xml:space="preserve">, constatations adoptées le </w:t>
      </w:r>
      <w:r w:rsidR="00984B40">
        <w:rPr>
          <w:szCs w:val="18"/>
          <w:lang w:val="fr-CH"/>
        </w:rPr>
        <w:t>19 juillet</w:t>
      </w:r>
      <w:r w:rsidRPr="00506D12">
        <w:rPr>
          <w:szCs w:val="18"/>
          <w:lang w:val="fr-CH"/>
        </w:rPr>
        <w:t xml:space="preserve"> 2012, par. 8.4 ; n</w:t>
      </w:r>
      <w:r w:rsidR="00DF4098" w:rsidRPr="0072331E">
        <w:rPr>
          <w:szCs w:val="18"/>
          <w:vertAlign w:val="superscript"/>
          <w:lang w:val="fr-CH"/>
        </w:rPr>
        <w:t>o</w:t>
      </w:r>
      <w:r w:rsidR="00DF4098">
        <w:rPr>
          <w:szCs w:val="18"/>
          <w:lang w:val="fr-CH"/>
        </w:rPr>
        <w:t> </w:t>
      </w:r>
      <w:r w:rsidRPr="00506D12">
        <w:rPr>
          <w:szCs w:val="18"/>
          <w:lang w:val="fr-CH"/>
        </w:rPr>
        <w:t>1905/2009</w:t>
      </w:r>
      <w:r w:rsidR="00860869">
        <w:rPr>
          <w:szCs w:val="18"/>
          <w:lang w:val="fr-CH"/>
        </w:rPr>
        <w:t xml:space="preserve"> (et </w:t>
      </w:r>
      <w:r w:rsidR="003E25AD">
        <w:rPr>
          <w:szCs w:val="18"/>
          <w:lang w:val="fr-CH"/>
        </w:rPr>
        <w:t>rectificatif</w:t>
      </w:r>
      <w:r w:rsidR="00860869">
        <w:rPr>
          <w:szCs w:val="18"/>
          <w:lang w:val="fr-CH"/>
        </w:rPr>
        <w:t>)</w:t>
      </w:r>
      <w:r w:rsidRPr="00506D12">
        <w:rPr>
          <w:szCs w:val="18"/>
          <w:lang w:val="fr-CH"/>
        </w:rPr>
        <w:t xml:space="preserve">, </w:t>
      </w:r>
      <w:r w:rsidRPr="00506D12">
        <w:rPr>
          <w:i/>
          <w:szCs w:val="18"/>
          <w:lang w:val="fr-CH"/>
        </w:rPr>
        <w:t>Khirani c.</w:t>
      </w:r>
      <w:r w:rsidR="00E778DB">
        <w:rPr>
          <w:i/>
          <w:szCs w:val="18"/>
          <w:lang w:val="fr-CH"/>
        </w:rPr>
        <w:t> </w:t>
      </w:r>
      <w:r w:rsidRPr="00506D12">
        <w:rPr>
          <w:i/>
          <w:szCs w:val="18"/>
          <w:lang w:val="fr-CH"/>
        </w:rPr>
        <w:t>Algérie</w:t>
      </w:r>
      <w:r w:rsidRPr="00506D12">
        <w:rPr>
          <w:szCs w:val="18"/>
          <w:lang w:val="fr-CH"/>
        </w:rPr>
        <w:t>, constatations adoptées le 26 mars 2012, par. 7.4 ; n</w:t>
      </w:r>
      <w:r w:rsidR="00B12F65" w:rsidRPr="0072331E">
        <w:rPr>
          <w:szCs w:val="18"/>
          <w:vertAlign w:val="superscript"/>
          <w:lang w:val="fr-CH"/>
        </w:rPr>
        <w:t>o</w:t>
      </w:r>
      <w:r w:rsidR="00B12F65">
        <w:rPr>
          <w:szCs w:val="18"/>
          <w:lang w:val="fr-CH"/>
        </w:rPr>
        <w:t> </w:t>
      </w:r>
      <w:r w:rsidRPr="00506D12">
        <w:rPr>
          <w:szCs w:val="18"/>
          <w:lang w:val="fr-CH"/>
        </w:rPr>
        <w:t xml:space="preserve">1781/2008, </w:t>
      </w:r>
      <w:r w:rsidR="002B2DC6">
        <w:rPr>
          <w:i/>
          <w:szCs w:val="18"/>
          <w:lang w:val="fr-CH"/>
        </w:rPr>
        <w:t>Djebrouni</w:t>
      </w:r>
      <w:r w:rsidR="002B2DC6" w:rsidRPr="00506D12">
        <w:rPr>
          <w:i/>
          <w:szCs w:val="18"/>
          <w:lang w:val="fr-CH"/>
        </w:rPr>
        <w:t xml:space="preserve"> </w:t>
      </w:r>
      <w:r w:rsidRPr="00506D12">
        <w:rPr>
          <w:i/>
          <w:szCs w:val="18"/>
          <w:lang w:val="fr-CH"/>
        </w:rPr>
        <w:t>c. Algérie</w:t>
      </w:r>
      <w:r w:rsidRPr="00506D12">
        <w:rPr>
          <w:szCs w:val="18"/>
          <w:lang w:val="fr-CH"/>
        </w:rPr>
        <w:t>, constatations adoptées le 31 octobre 2011, par. 8.4 ; et n</w:t>
      </w:r>
      <w:r w:rsidR="00B12F65" w:rsidRPr="0072331E">
        <w:rPr>
          <w:szCs w:val="18"/>
          <w:vertAlign w:val="superscript"/>
          <w:lang w:val="fr-CH"/>
        </w:rPr>
        <w:t>o</w:t>
      </w:r>
      <w:r w:rsidR="00B12F65">
        <w:rPr>
          <w:szCs w:val="18"/>
          <w:lang w:val="fr-CH"/>
        </w:rPr>
        <w:t> </w:t>
      </w:r>
      <w:r w:rsidRPr="00506D12">
        <w:rPr>
          <w:szCs w:val="18"/>
          <w:lang w:val="fr-CH"/>
        </w:rPr>
        <w:t xml:space="preserve">1780/2008, </w:t>
      </w:r>
      <w:r w:rsidRPr="00506D12">
        <w:rPr>
          <w:i/>
          <w:szCs w:val="18"/>
          <w:lang w:val="fr-CH"/>
        </w:rPr>
        <w:t>Aouabdia c. Algérie</w:t>
      </w:r>
      <w:r w:rsidRPr="00506D12">
        <w:rPr>
          <w:szCs w:val="18"/>
          <w:lang w:val="fr-CH"/>
        </w:rPr>
        <w:t xml:space="preserve">, constatations adoptées le </w:t>
      </w:r>
      <w:r w:rsidR="00D473C6">
        <w:rPr>
          <w:szCs w:val="18"/>
          <w:lang w:val="fr-CH"/>
        </w:rPr>
        <w:t>2</w:t>
      </w:r>
      <w:r w:rsidRPr="00506D12">
        <w:rPr>
          <w:szCs w:val="18"/>
          <w:lang w:val="fr-CH"/>
        </w:rPr>
        <w:t>2 mars 2011, par. 7.10.</w:t>
      </w:r>
      <w:r w:rsidRPr="00D40799">
        <w:rPr>
          <w:lang w:val="fr-CH"/>
        </w:rPr>
        <w:t xml:space="preserve"> </w:t>
      </w:r>
    </w:p>
  </w:footnote>
  <w:footnote w:id="8">
    <w:p w:rsidR="00BF4912" w:rsidRPr="004F0DE1"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Voir, entre autres, les communications n</w:t>
      </w:r>
      <w:r w:rsidRPr="00506D12">
        <w:rPr>
          <w:szCs w:val="18"/>
          <w:vertAlign w:val="superscript"/>
          <w:lang w:val="fr-FR"/>
        </w:rPr>
        <w:t>o</w:t>
      </w:r>
      <w:r w:rsidRPr="00506D12">
        <w:rPr>
          <w:szCs w:val="18"/>
          <w:lang w:val="fr-FR"/>
        </w:rPr>
        <w:t xml:space="preserve"> 2098/2011, </w:t>
      </w:r>
      <w:r w:rsidRPr="008D44FD">
        <w:rPr>
          <w:i/>
          <w:szCs w:val="18"/>
          <w:lang w:val="fr-FR"/>
        </w:rPr>
        <w:t>Ammari c. Algérie</w:t>
      </w:r>
      <w:r w:rsidRPr="00506D12">
        <w:rPr>
          <w:szCs w:val="18"/>
          <w:lang w:val="fr-FR"/>
        </w:rPr>
        <w:t>, constatations adoptées le 30</w:t>
      </w:r>
      <w:r w:rsidR="00E778DB">
        <w:rPr>
          <w:szCs w:val="18"/>
          <w:lang w:val="fr-FR"/>
        </w:rPr>
        <w:t> </w:t>
      </w:r>
      <w:r w:rsidRPr="00506D12">
        <w:rPr>
          <w:szCs w:val="18"/>
          <w:lang w:val="fr-FR"/>
        </w:rPr>
        <w:t>octobre 2014 ; n</w:t>
      </w:r>
      <w:r w:rsidR="008D44FD" w:rsidRPr="0072331E">
        <w:rPr>
          <w:szCs w:val="18"/>
          <w:vertAlign w:val="superscript"/>
          <w:lang w:val="fr-FR"/>
        </w:rPr>
        <w:t>o</w:t>
      </w:r>
      <w:r w:rsidR="008D44FD">
        <w:rPr>
          <w:szCs w:val="18"/>
          <w:lang w:val="fr-FR"/>
        </w:rPr>
        <w:t> </w:t>
      </w:r>
      <w:r w:rsidRPr="00506D12">
        <w:rPr>
          <w:szCs w:val="18"/>
          <w:lang w:val="fr-FR"/>
        </w:rPr>
        <w:t xml:space="preserve">2026/2011, </w:t>
      </w:r>
      <w:r w:rsidRPr="008D44FD">
        <w:rPr>
          <w:i/>
          <w:szCs w:val="18"/>
          <w:lang w:val="fr-FR"/>
        </w:rPr>
        <w:t>Sassene c. Algérie</w:t>
      </w:r>
      <w:r w:rsidRPr="00506D12">
        <w:rPr>
          <w:szCs w:val="18"/>
          <w:lang w:val="fr-FR"/>
        </w:rPr>
        <w:t>, constatations adoptées le 29 octobre 2014 ; n</w:t>
      </w:r>
      <w:r w:rsidRPr="00506D12">
        <w:rPr>
          <w:szCs w:val="18"/>
          <w:vertAlign w:val="superscript"/>
          <w:lang w:val="fr-FR"/>
        </w:rPr>
        <w:t>o</w:t>
      </w:r>
      <w:r w:rsidRPr="00506D12">
        <w:rPr>
          <w:szCs w:val="18"/>
          <w:lang w:val="fr-FR"/>
        </w:rPr>
        <w:t xml:space="preserve"> 1791/2008, </w:t>
      </w:r>
      <w:r w:rsidRPr="008D44FD">
        <w:rPr>
          <w:i/>
          <w:iCs/>
          <w:szCs w:val="18"/>
          <w:lang w:val="fr-FR"/>
        </w:rPr>
        <w:t>Boudjemai</w:t>
      </w:r>
      <w:r w:rsidRPr="0072331E">
        <w:rPr>
          <w:i/>
          <w:iCs/>
          <w:szCs w:val="18"/>
          <w:lang w:val="fr-FR"/>
        </w:rPr>
        <w:t xml:space="preserve"> c. Algérie</w:t>
      </w:r>
      <w:r w:rsidRPr="00506D12">
        <w:rPr>
          <w:szCs w:val="18"/>
          <w:lang w:val="fr-FR"/>
        </w:rPr>
        <w:t>, constatations adoptées le 22 mars 2013, par. 7.2</w:t>
      </w:r>
      <w:r w:rsidR="005920EB">
        <w:rPr>
          <w:szCs w:val="18"/>
          <w:lang w:val="fr-FR"/>
        </w:rPr>
        <w:t> </w:t>
      </w:r>
      <w:r w:rsidRPr="00506D12">
        <w:rPr>
          <w:szCs w:val="18"/>
          <w:lang w:val="fr-FR"/>
        </w:rPr>
        <w:t>; n</w:t>
      </w:r>
      <w:r w:rsidRPr="00506D12">
        <w:rPr>
          <w:szCs w:val="18"/>
          <w:vertAlign w:val="superscript"/>
          <w:lang w:val="fr-FR"/>
        </w:rPr>
        <w:t>o</w:t>
      </w:r>
      <w:r w:rsidRPr="00506D12">
        <w:rPr>
          <w:szCs w:val="18"/>
          <w:lang w:val="fr-FR"/>
        </w:rPr>
        <w:t> 1779/2008</w:t>
      </w:r>
      <w:r w:rsidR="005D1B93">
        <w:rPr>
          <w:szCs w:val="18"/>
          <w:lang w:val="fr-FR"/>
        </w:rPr>
        <w:t xml:space="preserve"> (et Rev.1)</w:t>
      </w:r>
      <w:r w:rsidRPr="00506D12">
        <w:rPr>
          <w:szCs w:val="18"/>
          <w:lang w:val="fr-FR"/>
        </w:rPr>
        <w:t xml:space="preserve">, </w:t>
      </w:r>
      <w:r w:rsidRPr="008D44FD">
        <w:rPr>
          <w:i/>
          <w:iCs/>
          <w:szCs w:val="18"/>
          <w:lang w:val="fr-FR"/>
        </w:rPr>
        <w:t>Mezine</w:t>
      </w:r>
      <w:r w:rsidRPr="0072331E">
        <w:rPr>
          <w:i/>
          <w:iCs/>
          <w:szCs w:val="18"/>
          <w:lang w:val="fr-FR"/>
        </w:rPr>
        <w:t xml:space="preserve"> c. Algérie</w:t>
      </w:r>
      <w:r w:rsidRPr="00506D12">
        <w:rPr>
          <w:szCs w:val="18"/>
          <w:lang w:val="fr-FR"/>
        </w:rPr>
        <w:t>, constatations adoptées le 25 octobre 2012, par. 7.2</w:t>
      </w:r>
      <w:r w:rsidR="005920EB">
        <w:rPr>
          <w:szCs w:val="18"/>
          <w:lang w:val="fr-FR"/>
        </w:rPr>
        <w:t> </w:t>
      </w:r>
      <w:r w:rsidRPr="00506D12">
        <w:rPr>
          <w:szCs w:val="18"/>
          <w:lang w:val="fr-FR"/>
        </w:rPr>
        <w:t xml:space="preserve">; et </w:t>
      </w:r>
      <w:r w:rsidR="007D7B4A">
        <w:rPr>
          <w:i/>
          <w:szCs w:val="18"/>
          <w:lang w:val="fr-CH"/>
        </w:rPr>
        <w:t>Djebrouni</w:t>
      </w:r>
      <w:r w:rsidRPr="0072331E">
        <w:rPr>
          <w:i/>
          <w:iCs/>
          <w:szCs w:val="18"/>
          <w:lang w:val="fr-FR"/>
        </w:rPr>
        <w:t xml:space="preserve"> c.</w:t>
      </w:r>
      <w:r w:rsidR="00E778DB">
        <w:rPr>
          <w:i/>
          <w:iCs/>
          <w:szCs w:val="18"/>
          <w:lang w:val="fr-FR"/>
        </w:rPr>
        <w:t> </w:t>
      </w:r>
      <w:r w:rsidRPr="0072331E">
        <w:rPr>
          <w:i/>
          <w:iCs/>
          <w:szCs w:val="18"/>
          <w:lang w:val="fr-FR"/>
        </w:rPr>
        <w:t>Algérie</w:t>
      </w:r>
      <w:r w:rsidRPr="00506D12">
        <w:rPr>
          <w:szCs w:val="18"/>
          <w:lang w:val="fr-FR"/>
        </w:rPr>
        <w:t>, par. 7.2.</w:t>
      </w:r>
      <w:r w:rsidRPr="00D40799">
        <w:rPr>
          <w:lang w:val="fr-CH"/>
        </w:rPr>
        <w:t xml:space="preserve"> </w:t>
      </w:r>
    </w:p>
  </w:footnote>
  <w:footnote w:id="9">
    <w:p w:rsidR="00BF4912" w:rsidRPr="004F0DE1"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entre autres, </w:t>
      </w:r>
      <w:r w:rsidRPr="00B533C4">
        <w:rPr>
          <w:i/>
          <w:szCs w:val="18"/>
          <w:lang w:val="fr-FR"/>
        </w:rPr>
        <w:t>Sassene c. Algérie</w:t>
      </w:r>
      <w:r w:rsidRPr="00506D12">
        <w:rPr>
          <w:szCs w:val="18"/>
          <w:lang w:val="fr-FR"/>
        </w:rPr>
        <w:t>, par. 6.3</w:t>
      </w:r>
      <w:r w:rsidR="005920EB">
        <w:rPr>
          <w:szCs w:val="18"/>
          <w:lang w:val="fr-FR"/>
        </w:rPr>
        <w:t> </w:t>
      </w:r>
      <w:r w:rsidRPr="00506D12">
        <w:rPr>
          <w:szCs w:val="18"/>
          <w:lang w:val="fr-FR"/>
        </w:rPr>
        <w:t xml:space="preserve">; </w:t>
      </w:r>
      <w:r w:rsidRPr="00D603E2">
        <w:rPr>
          <w:i/>
          <w:szCs w:val="18"/>
          <w:lang w:val="fr-FR"/>
        </w:rPr>
        <w:t>Ammari c. Algérie</w:t>
      </w:r>
      <w:r w:rsidRPr="00506D12">
        <w:rPr>
          <w:szCs w:val="18"/>
          <w:lang w:val="fr-FR"/>
        </w:rPr>
        <w:t xml:space="preserve">, par. 7.3 ; </w:t>
      </w:r>
      <w:r w:rsidRPr="00D603E2">
        <w:rPr>
          <w:i/>
          <w:iCs/>
          <w:szCs w:val="18"/>
          <w:lang w:val="fr-FR"/>
        </w:rPr>
        <w:t>Mezine</w:t>
      </w:r>
      <w:r w:rsidRPr="0072331E">
        <w:rPr>
          <w:i/>
          <w:iCs/>
          <w:szCs w:val="18"/>
          <w:lang w:val="fr-FR"/>
        </w:rPr>
        <w:t xml:space="preserve"> c. Algérie</w:t>
      </w:r>
      <w:r w:rsidRPr="00506D12">
        <w:rPr>
          <w:szCs w:val="18"/>
          <w:lang w:val="fr-FR"/>
        </w:rPr>
        <w:t>, par. 7.4</w:t>
      </w:r>
      <w:r w:rsidR="005920EB">
        <w:rPr>
          <w:szCs w:val="18"/>
          <w:lang w:val="fr-FR"/>
        </w:rPr>
        <w:t> </w:t>
      </w:r>
      <w:r w:rsidRPr="00506D12">
        <w:rPr>
          <w:szCs w:val="18"/>
          <w:lang w:val="fr-FR"/>
        </w:rPr>
        <w:t xml:space="preserve">; </w:t>
      </w:r>
      <w:r w:rsidR="001C658A">
        <w:rPr>
          <w:i/>
          <w:szCs w:val="18"/>
          <w:lang w:val="fr-CH"/>
        </w:rPr>
        <w:t>Djebrouni</w:t>
      </w:r>
      <w:r w:rsidRPr="0072331E">
        <w:rPr>
          <w:i/>
          <w:iCs/>
          <w:szCs w:val="18"/>
          <w:lang w:val="fr-FR"/>
        </w:rPr>
        <w:t xml:space="preserve"> c. Algérie</w:t>
      </w:r>
      <w:r w:rsidRPr="00506D12">
        <w:rPr>
          <w:szCs w:val="18"/>
          <w:lang w:val="fr-FR"/>
        </w:rPr>
        <w:t>, par. 7.4</w:t>
      </w:r>
      <w:r w:rsidR="005920EB">
        <w:rPr>
          <w:szCs w:val="18"/>
          <w:lang w:val="fr-FR"/>
        </w:rPr>
        <w:t> </w:t>
      </w:r>
      <w:r w:rsidRPr="00506D12">
        <w:rPr>
          <w:szCs w:val="18"/>
          <w:lang w:val="fr-FR"/>
        </w:rPr>
        <w:t xml:space="preserve">; </w:t>
      </w:r>
      <w:r w:rsidRPr="00D603E2">
        <w:rPr>
          <w:i/>
          <w:iCs/>
          <w:szCs w:val="18"/>
          <w:lang w:val="fr-FR"/>
        </w:rPr>
        <w:t>Khirani</w:t>
      </w:r>
      <w:r w:rsidRPr="0072331E">
        <w:rPr>
          <w:i/>
          <w:iCs/>
          <w:szCs w:val="18"/>
          <w:lang w:val="fr-FR"/>
        </w:rPr>
        <w:t xml:space="preserve"> c. Algérie</w:t>
      </w:r>
      <w:r w:rsidRPr="00506D12">
        <w:rPr>
          <w:szCs w:val="18"/>
          <w:lang w:val="fr-FR"/>
        </w:rPr>
        <w:t>, par. 6.4</w:t>
      </w:r>
      <w:r w:rsidR="005920EB">
        <w:rPr>
          <w:szCs w:val="18"/>
          <w:lang w:val="fr-FR"/>
        </w:rPr>
        <w:t> </w:t>
      </w:r>
      <w:r w:rsidRPr="00506D12">
        <w:rPr>
          <w:szCs w:val="18"/>
          <w:lang w:val="fr-FR"/>
        </w:rPr>
        <w:t xml:space="preserve">; et </w:t>
      </w:r>
      <w:r w:rsidRPr="00D603E2">
        <w:rPr>
          <w:i/>
          <w:iCs/>
          <w:szCs w:val="18"/>
          <w:lang w:val="fr-FR"/>
        </w:rPr>
        <w:t>Boudjemai</w:t>
      </w:r>
      <w:r w:rsidRPr="0072331E">
        <w:rPr>
          <w:i/>
          <w:iCs/>
          <w:szCs w:val="18"/>
          <w:lang w:val="fr-FR"/>
        </w:rPr>
        <w:t xml:space="preserve"> c. Algérie</w:t>
      </w:r>
      <w:r w:rsidRPr="00506D12">
        <w:rPr>
          <w:szCs w:val="18"/>
          <w:lang w:val="fr-FR"/>
        </w:rPr>
        <w:t>, par. 7.4.</w:t>
      </w:r>
      <w:r w:rsidRPr="00D40799">
        <w:rPr>
          <w:lang w:val="fr-CH"/>
        </w:rPr>
        <w:t xml:space="preserve"> </w:t>
      </w:r>
    </w:p>
  </w:footnote>
  <w:footnote w:id="10">
    <w:p w:rsidR="00BF4912" w:rsidRPr="004E3926"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5A0597">
        <w:rPr>
          <w:lang w:val="fr-CH"/>
        </w:rPr>
        <w:tab/>
      </w:r>
      <w:r w:rsidRPr="005A0597">
        <w:rPr>
          <w:szCs w:val="18"/>
          <w:lang w:val="fr-CH"/>
        </w:rPr>
        <w:t xml:space="preserve">Voir les communications </w:t>
      </w:r>
      <w:r w:rsidR="005A0597">
        <w:rPr>
          <w:szCs w:val="18"/>
          <w:lang w:val="fr-CH"/>
        </w:rPr>
        <w:t>n</w:t>
      </w:r>
      <w:r w:rsidR="00FB332B" w:rsidRPr="0072331E">
        <w:rPr>
          <w:szCs w:val="18"/>
          <w:vertAlign w:val="superscript"/>
          <w:lang w:val="fr-CH"/>
        </w:rPr>
        <w:t>o</w:t>
      </w:r>
      <w:r w:rsidR="00FB332B">
        <w:rPr>
          <w:szCs w:val="18"/>
          <w:lang w:val="fr-CH"/>
        </w:rPr>
        <w:t> </w:t>
      </w:r>
      <w:r w:rsidR="005A0597">
        <w:rPr>
          <w:szCs w:val="18"/>
          <w:lang w:val="fr-CH"/>
        </w:rPr>
        <w:t xml:space="preserve">2019/2010, </w:t>
      </w:r>
      <w:r w:rsidR="005A0597">
        <w:rPr>
          <w:i/>
          <w:szCs w:val="18"/>
          <w:lang w:val="fr-CH"/>
        </w:rPr>
        <w:t>Poplavny c. Bélarus</w:t>
      </w:r>
      <w:r w:rsidR="005A0597">
        <w:rPr>
          <w:szCs w:val="18"/>
          <w:lang w:val="fr-CH"/>
        </w:rPr>
        <w:t xml:space="preserve">, constatations adoptées le 5 novembre 2015, </w:t>
      </w:r>
      <w:r w:rsidR="001A7740">
        <w:rPr>
          <w:szCs w:val="18"/>
          <w:lang w:val="fr-CH"/>
        </w:rPr>
        <w:t xml:space="preserve">par. </w:t>
      </w:r>
      <w:r w:rsidR="00956258">
        <w:rPr>
          <w:szCs w:val="18"/>
          <w:lang w:val="fr-CH"/>
        </w:rPr>
        <w:t>6</w:t>
      </w:r>
      <w:r w:rsidR="0014050F">
        <w:rPr>
          <w:szCs w:val="18"/>
          <w:lang w:val="fr-CH"/>
        </w:rPr>
        <w:t xml:space="preserve"> de l</w:t>
      </w:r>
      <w:r w:rsidR="0014050F" w:rsidRPr="0014050F">
        <w:rPr>
          <w:szCs w:val="18"/>
          <w:lang w:val="fr-CH"/>
        </w:rPr>
        <w:t>’</w:t>
      </w:r>
      <w:r w:rsidR="0014050F">
        <w:rPr>
          <w:szCs w:val="18"/>
          <w:lang w:val="fr-CH"/>
        </w:rPr>
        <w:t>appendice I</w:t>
      </w:r>
      <w:r w:rsidR="001A7740">
        <w:rPr>
          <w:szCs w:val="18"/>
          <w:lang w:val="fr-CH"/>
        </w:rPr>
        <w:t xml:space="preserve"> ; </w:t>
      </w:r>
      <w:r w:rsidRPr="005A0597">
        <w:rPr>
          <w:szCs w:val="18"/>
          <w:lang w:val="fr-CH"/>
        </w:rPr>
        <w:t>n</w:t>
      </w:r>
      <w:r w:rsidR="00FB332B" w:rsidRPr="0072331E">
        <w:rPr>
          <w:szCs w:val="18"/>
          <w:vertAlign w:val="superscript"/>
          <w:lang w:val="fr-CH"/>
        </w:rPr>
        <w:t>o</w:t>
      </w:r>
      <w:r w:rsidR="00FB332B">
        <w:rPr>
          <w:szCs w:val="18"/>
          <w:lang w:val="fr-CH"/>
        </w:rPr>
        <w:t> </w:t>
      </w:r>
      <w:r w:rsidRPr="005A0597">
        <w:rPr>
          <w:szCs w:val="18"/>
          <w:lang w:val="fr-CH"/>
        </w:rPr>
        <w:t>2030/2011,</w:t>
      </w:r>
      <w:r w:rsidRPr="0025104C">
        <w:rPr>
          <w:szCs w:val="18"/>
          <w:lang w:val="fr-CH"/>
        </w:rPr>
        <w:t xml:space="preserve"> </w:t>
      </w:r>
      <w:r w:rsidRPr="00FB332B">
        <w:rPr>
          <w:i/>
          <w:szCs w:val="18"/>
          <w:lang w:val="fr-CH"/>
        </w:rPr>
        <w:t>Poliakov c. Bélarus</w:t>
      </w:r>
      <w:r w:rsidRPr="0025104C">
        <w:rPr>
          <w:szCs w:val="18"/>
          <w:lang w:val="fr-CH"/>
        </w:rPr>
        <w:t xml:space="preserve">, constatations adoptées le 17 juillet 2014, par. </w:t>
      </w:r>
      <w:r w:rsidR="00956258">
        <w:rPr>
          <w:szCs w:val="18"/>
          <w:lang w:val="fr-CH"/>
        </w:rPr>
        <w:t>7.4</w:t>
      </w:r>
      <w:r w:rsidRPr="0025104C">
        <w:rPr>
          <w:szCs w:val="18"/>
          <w:lang w:val="fr-CH"/>
        </w:rPr>
        <w:t xml:space="preserve"> ; </w:t>
      </w:r>
      <w:r w:rsidRPr="0025104C">
        <w:rPr>
          <w:rFonts w:eastAsiaTheme="minorHAnsi"/>
          <w:szCs w:val="18"/>
          <w:lang w:val="fr-CH"/>
        </w:rPr>
        <w:t>n</w:t>
      </w:r>
      <w:r w:rsidR="00D87394" w:rsidRPr="0072331E">
        <w:rPr>
          <w:rFonts w:eastAsiaTheme="minorHAnsi"/>
          <w:szCs w:val="18"/>
          <w:vertAlign w:val="superscript"/>
          <w:lang w:val="fr-CH"/>
        </w:rPr>
        <w:t>o</w:t>
      </w:r>
      <w:r w:rsidR="00D87394">
        <w:rPr>
          <w:rFonts w:eastAsiaTheme="minorHAnsi"/>
          <w:szCs w:val="18"/>
          <w:lang w:val="fr-CH"/>
        </w:rPr>
        <w:t> </w:t>
      </w:r>
      <w:r w:rsidRPr="0025104C">
        <w:rPr>
          <w:rFonts w:eastAsiaTheme="minorHAnsi"/>
          <w:szCs w:val="18"/>
          <w:lang w:val="fr-CH"/>
        </w:rPr>
        <w:t xml:space="preserve">2202/2012, </w:t>
      </w:r>
      <w:r w:rsidRPr="009604F6">
        <w:rPr>
          <w:rFonts w:eastAsiaTheme="minorHAnsi"/>
          <w:i/>
          <w:iCs/>
          <w:szCs w:val="18"/>
          <w:lang w:val="fr-CH"/>
        </w:rPr>
        <w:t>Castañeda c. Mexique</w:t>
      </w:r>
      <w:r w:rsidRPr="0025104C">
        <w:rPr>
          <w:rFonts w:eastAsiaTheme="minorHAnsi"/>
          <w:szCs w:val="18"/>
          <w:lang w:val="fr-CH"/>
        </w:rPr>
        <w:t xml:space="preserve">, </w:t>
      </w:r>
      <w:r w:rsidRPr="0025104C">
        <w:rPr>
          <w:szCs w:val="18"/>
          <w:lang w:val="fr-CH"/>
        </w:rPr>
        <w:t xml:space="preserve">constatations adoptées </w:t>
      </w:r>
      <w:r w:rsidRPr="0025104C">
        <w:rPr>
          <w:rFonts w:eastAsiaTheme="minorHAnsi"/>
          <w:szCs w:val="18"/>
          <w:lang w:val="fr-CH"/>
        </w:rPr>
        <w:t xml:space="preserve">le </w:t>
      </w:r>
      <w:r w:rsidR="00BE12DA">
        <w:rPr>
          <w:rFonts w:eastAsiaTheme="minorHAnsi"/>
          <w:szCs w:val="18"/>
          <w:lang w:val="fr-CH"/>
        </w:rPr>
        <w:t>18 juillet</w:t>
      </w:r>
      <w:r w:rsidRPr="0025104C">
        <w:rPr>
          <w:rFonts w:eastAsiaTheme="minorHAnsi"/>
          <w:szCs w:val="18"/>
          <w:lang w:val="fr-CH"/>
        </w:rPr>
        <w:t xml:space="preserve"> 2013, par.</w:t>
      </w:r>
      <w:r w:rsidR="00E778DB">
        <w:rPr>
          <w:rFonts w:eastAsiaTheme="minorHAnsi"/>
          <w:szCs w:val="18"/>
          <w:lang w:val="fr-CH"/>
        </w:rPr>
        <w:t> </w:t>
      </w:r>
      <w:r w:rsidRPr="0025104C">
        <w:rPr>
          <w:rFonts w:eastAsiaTheme="minorHAnsi"/>
          <w:szCs w:val="18"/>
          <w:lang w:val="fr-CH"/>
        </w:rPr>
        <w:t>6.8 ; n</w:t>
      </w:r>
      <w:r w:rsidR="009604F6" w:rsidRPr="0072331E">
        <w:rPr>
          <w:rFonts w:eastAsiaTheme="minorHAnsi"/>
          <w:szCs w:val="18"/>
          <w:vertAlign w:val="superscript"/>
          <w:lang w:val="fr-CH"/>
        </w:rPr>
        <w:t>o</w:t>
      </w:r>
      <w:r w:rsidR="009604F6">
        <w:rPr>
          <w:rFonts w:eastAsiaTheme="minorHAnsi"/>
          <w:szCs w:val="18"/>
          <w:lang w:val="fr-CH"/>
        </w:rPr>
        <w:t> </w:t>
      </w:r>
      <w:r w:rsidRPr="0025104C">
        <w:rPr>
          <w:rFonts w:eastAsiaTheme="minorHAnsi"/>
          <w:szCs w:val="18"/>
          <w:lang w:val="fr-CH"/>
        </w:rPr>
        <w:t xml:space="preserve">1834/2008, </w:t>
      </w:r>
      <w:r w:rsidRPr="009604F6">
        <w:rPr>
          <w:rFonts w:eastAsiaTheme="minorHAnsi"/>
          <w:i/>
          <w:iCs/>
          <w:szCs w:val="18"/>
          <w:lang w:val="fr-CH"/>
        </w:rPr>
        <w:t>A.</w:t>
      </w:r>
      <w:r w:rsidR="009604F6" w:rsidRPr="009604F6">
        <w:rPr>
          <w:rFonts w:eastAsiaTheme="minorHAnsi"/>
          <w:i/>
          <w:iCs/>
          <w:szCs w:val="18"/>
          <w:lang w:val="fr-CH"/>
        </w:rPr>
        <w:t> </w:t>
      </w:r>
      <w:r w:rsidRPr="009604F6">
        <w:rPr>
          <w:rFonts w:eastAsiaTheme="minorHAnsi"/>
          <w:i/>
          <w:iCs/>
          <w:szCs w:val="18"/>
          <w:lang w:val="fr-CH"/>
        </w:rPr>
        <w:t>P. c. Ukraine</w:t>
      </w:r>
      <w:r w:rsidRPr="0025104C">
        <w:rPr>
          <w:rFonts w:eastAsiaTheme="minorHAnsi"/>
          <w:szCs w:val="18"/>
          <w:lang w:val="fr-CH"/>
        </w:rPr>
        <w:t xml:space="preserve">, </w:t>
      </w:r>
      <w:r w:rsidR="00F50F68">
        <w:rPr>
          <w:szCs w:val="18"/>
          <w:lang w:val="fr-CH"/>
        </w:rPr>
        <w:t>décision</w:t>
      </w:r>
      <w:r w:rsidR="00F50F68" w:rsidRPr="0025104C">
        <w:rPr>
          <w:szCs w:val="18"/>
          <w:lang w:val="fr-CH"/>
        </w:rPr>
        <w:t xml:space="preserve"> </w:t>
      </w:r>
      <w:r w:rsidRPr="0025104C">
        <w:rPr>
          <w:szCs w:val="18"/>
          <w:lang w:val="fr-CH"/>
        </w:rPr>
        <w:t xml:space="preserve">adoptée </w:t>
      </w:r>
      <w:r w:rsidRPr="0025104C">
        <w:rPr>
          <w:rFonts w:eastAsiaTheme="minorHAnsi"/>
          <w:szCs w:val="18"/>
          <w:lang w:val="fr-CH"/>
        </w:rPr>
        <w:t>le 23 juillet 2012, par. 8.5 ; et n</w:t>
      </w:r>
      <w:r w:rsidR="009604F6" w:rsidRPr="0072331E">
        <w:rPr>
          <w:rFonts w:eastAsiaTheme="minorHAnsi"/>
          <w:szCs w:val="18"/>
          <w:vertAlign w:val="superscript"/>
          <w:lang w:val="fr-CH"/>
        </w:rPr>
        <w:t>o</w:t>
      </w:r>
      <w:r w:rsidR="009604F6">
        <w:rPr>
          <w:rFonts w:eastAsiaTheme="minorHAnsi"/>
          <w:szCs w:val="18"/>
          <w:lang w:val="fr-CH"/>
        </w:rPr>
        <w:t> </w:t>
      </w:r>
      <w:r w:rsidRPr="0025104C">
        <w:rPr>
          <w:rFonts w:eastAsiaTheme="minorHAnsi"/>
          <w:szCs w:val="18"/>
          <w:lang w:val="fr-CH"/>
        </w:rPr>
        <w:t xml:space="preserve">1887/2009, </w:t>
      </w:r>
      <w:r w:rsidRPr="009604F6">
        <w:rPr>
          <w:rFonts w:eastAsiaTheme="minorHAnsi"/>
          <w:i/>
          <w:iCs/>
          <w:szCs w:val="18"/>
          <w:lang w:val="fr-CH"/>
        </w:rPr>
        <w:t>Peirano Basso c. Uruguay</w:t>
      </w:r>
      <w:r w:rsidRPr="0025104C">
        <w:rPr>
          <w:rFonts w:eastAsiaTheme="minorHAnsi"/>
          <w:szCs w:val="18"/>
          <w:lang w:val="fr-CH"/>
        </w:rPr>
        <w:t>, constatations adoptées le 19 octobre 2010, par. 9.4.</w:t>
      </w:r>
      <w:r w:rsidRPr="0025104C">
        <w:rPr>
          <w:lang w:val="fr-CH"/>
        </w:rPr>
        <w:t xml:space="preserve"> </w:t>
      </w:r>
    </w:p>
  </w:footnote>
  <w:footnote w:id="11">
    <w:p w:rsidR="00BF4912" w:rsidRPr="004E3926" w:rsidRDefault="00BF4912" w:rsidP="004A033D">
      <w:pPr>
        <w:pStyle w:val="FootnoteText"/>
        <w:widowControl w:val="0"/>
        <w:tabs>
          <w:tab w:val="clear" w:pos="1021"/>
          <w:tab w:val="right" w:pos="1020"/>
        </w:tabs>
        <w:rPr>
          <w:lang w:val="fr-CH"/>
        </w:rPr>
      </w:pPr>
      <w:r w:rsidRPr="0025104C">
        <w:rPr>
          <w:lang w:val="fr-CH"/>
        </w:rPr>
        <w:tab/>
      </w:r>
      <w:r w:rsidRPr="00EF223D">
        <w:rPr>
          <w:rStyle w:val="FootnoteReference"/>
        </w:rPr>
        <w:footnoteRef/>
      </w:r>
      <w:r w:rsidRPr="00D40799">
        <w:rPr>
          <w:lang w:val="fr-CH"/>
        </w:rPr>
        <w:tab/>
      </w:r>
      <w:r w:rsidRPr="00506D12">
        <w:rPr>
          <w:szCs w:val="18"/>
          <w:lang w:val="fr-CH"/>
        </w:rPr>
        <w:t xml:space="preserve">Voir </w:t>
      </w:r>
      <w:r w:rsidRPr="001C623E">
        <w:rPr>
          <w:i/>
          <w:szCs w:val="18"/>
          <w:lang w:val="fr-FR"/>
        </w:rPr>
        <w:t>Sassene c. Algérie</w:t>
      </w:r>
      <w:r w:rsidRPr="00506D12">
        <w:rPr>
          <w:szCs w:val="18"/>
          <w:lang w:val="fr-FR"/>
        </w:rPr>
        <w:t xml:space="preserve">, par. 7.2 ; et </w:t>
      </w:r>
      <w:r w:rsidRPr="001C623E">
        <w:rPr>
          <w:i/>
          <w:szCs w:val="18"/>
          <w:lang w:val="fr-FR"/>
        </w:rPr>
        <w:t>Ammari c. Algérie</w:t>
      </w:r>
      <w:r w:rsidRPr="00506D12">
        <w:rPr>
          <w:szCs w:val="18"/>
          <w:lang w:val="fr-FR"/>
        </w:rPr>
        <w:t>, par. 8.2.</w:t>
      </w:r>
      <w:r w:rsidRPr="00D40799">
        <w:rPr>
          <w:lang w:val="fr-CH"/>
        </w:rPr>
        <w:t xml:space="preserve"> </w:t>
      </w:r>
    </w:p>
  </w:footnote>
  <w:footnote w:id="12">
    <w:p w:rsidR="00BF4912" w:rsidRPr="004E3926" w:rsidRDefault="00BF4912" w:rsidP="004A033D">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CH"/>
        </w:rPr>
        <w:t xml:space="preserve">Voir </w:t>
      </w:r>
      <w:r w:rsidRPr="001C623E">
        <w:rPr>
          <w:i/>
          <w:szCs w:val="18"/>
          <w:lang w:val="fr-FR"/>
        </w:rPr>
        <w:t>Ammari c. Algérie</w:t>
      </w:r>
      <w:r w:rsidRPr="00506D12">
        <w:rPr>
          <w:szCs w:val="18"/>
          <w:lang w:val="fr-FR"/>
        </w:rPr>
        <w:t>, par. 8.2.</w:t>
      </w:r>
      <w:r w:rsidRPr="00D40799">
        <w:rPr>
          <w:lang w:val="fr-CH"/>
        </w:rPr>
        <w:t xml:space="preserve"> </w:t>
      </w:r>
    </w:p>
  </w:footnote>
  <w:footnote w:id="13">
    <w:p w:rsidR="00BF4912" w:rsidRPr="004E3926" w:rsidRDefault="00BF4912" w:rsidP="002F3C27">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entre autres, </w:t>
      </w:r>
      <w:r w:rsidR="00F46E69">
        <w:rPr>
          <w:szCs w:val="18"/>
          <w:lang w:val="fr-FR"/>
        </w:rPr>
        <w:t xml:space="preserve">les communications </w:t>
      </w:r>
      <w:r w:rsidRPr="00F46E69">
        <w:rPr>
          <w:i/>
          <w:szCs w:val="18"/>
          <w:lang w:val="fr-FR"/>
        </w:rPr>
        <w:t>Ammari c. Algérie</w:t>
      </w:r>
      <w:r w:rsidRPr="00506D12">
        <w:rPr>
          <w:szCs w:val="18"/>
          <w:lang w:val="fr-FR"/>
        </w:rPr>
        <w:t xml:space="preserve">, par. 8.3 ; </w:t>
      </w:r>
      <w:r w:rsidRPr="00F46E69">
        <w:rPr>
          <w:i/>
          <w:iCs/>
          <w:szCs w:val="18"/>
          <w:lang w:val="fr-FR"/>
        </w:rPr>
        <w:t>Mezine</w:t>
      </w:r>
      <w:r w:rsidRPr="0072331E">
        <w:rPr>
          <w:i/>
          <w:iCs/>
          <w:szCs w:val="18"/>
          <w:lang w:val="fr-FR"/>
        </w:rPr>
        <w:t xml:space="preserve"> c. Algérie</w:t>
      </w:r>
      <w:r w:rsidRPr="00506D12">
        <w:rPr>
          <w:szCs w:val="18"/>
          <w:lang w:val="fr-FR"/>
        </w:rPr>
        <w:t>, par. 8.3</w:t>
      </w:r>
      <w:r w:rsidR="005920EB">
        <w:rPr>
          <w:szCs w:val="18"/>
          <w:lang w:val="fr-FR"/>
        </w:rPr>
        <w:t> </w:t>
      </w:r>
      <w:r w:rsidRPr="00506D12">
        <w:rPr>
          <w:szCs w:val="18"/>
          <w:lang w:val="fr-FR"/>
        </w:rPr>
        <w:t xml:space="preserve">; </w:t>
      </w:r>
      <w:r w:rsidRPr="00506D12">
        <w:rPr>
          <w:szCs w:val="18"/>
          <w:lang w:val="fr-CH"/>
        </w:rPr>
        <w:t>n</w:t>
      </w:r>
      <w:r w:rsidR="00A568EF" w:rsidRPr="0072331E">
        <w:rPr>
          <w:szCs w:val="18"/>
          <w:vertAlign w:val="superscript"/>
          <w:lang w:val="fr-CH"/>
        </w:rPr>
        <w:t>o</w:t>
      </w:r>
      <w:r w:rsidR="00A568EF">
        <w:rPr>
          <w:szCs w:val="18"/>
          <w:lang w:val="fr-CH"/>
        </w:rPr>
        <w:t> </w:t>
      </w:r>
      <w:r w:rsidRPr="00506D12">
        <w:rPr>
          <w:szCs w:val="18"/>
          <w:lang w:val="fr-CH"/>
        </w:rPr>
        <w:t xml:space="preserve">1640/2007, </w:t>
      </w:r>
      <w:r w:rsidRPr="00A568EF">
        <w:rPr>
          <w:i/>
          <w:iCs/>
          <w:szCs w:val="18"/>
          <w:lang w:val="fr-CH"/>
        </w:rPr>
        <w:t>El Abani c. Jamahiriya arabe libyenne</w:t>
      </w:r>
      <w:r w:rsidRPr="00506D12">
        <w:rPr>
          <w:szCs w:val="18"/>
          <w:lang w:val="fr-CH"/>
        </w:rPr>
        <w:t xml:space="preserve">, constatations adoptées le 26 juillet 2010, </w:t>
      </w:r>
      <w:r w:rsidRPr="00506D12">
        <w:rPr>
          <w:szCs w:val="18"/>
          <w:lang w:val="fr-FR"/>
        </w:rPr>
        <w:t>par. 7.4</w:t>
      </w:r>
      <w:r w:rsidR="00A568EF">
        <w:rPr>
          <w:szCs w:val="18"/>
          <w:lang w:val="fr-FR"/>
        </w:rPr>
        <w:t> </w:t>
      </w:r>
      <w:r w:rsidRPr="00506D12">
        <w:rPr>
          <w:szCs w:val="18"/>
          <w:lang w:val="fr-FR"/>
        </w:rPr>
        <w:t xml:space="preserve">; et </w:t>
      </w:r>
      <w:r w:rsidR="002F3C27">
        <w:rPr>
          <w:i/>
          <w:szCs w:val="18"/>
          <w:lang w:val="fr-CH"/>
        </w:rPr>
        <w:t>Djebrouni</w:t>
      </w:r>
      <w:r w:rsidRPr="0072331E">
        <w:rPr>
          <w:i/>
          <w:iCs/>
          <w:szCs w:val="18"/>
          <w:lang w:val="fr-FR"/>
        </w:rPr>
        <w:t xml:space="preserve"> c. Algérie</w:t>
      </w:r>
      <w:r w:rsidRPr="00506D12">
        <w:rPr>
          <w:szCs w:val="18"/>
          <w:lang w:val="fr-FR"/>
        </w:rPr>
        <w:t xml:space="preserve">, par. 8.3. </w:t>
      </w:r>
    </w:p>
  </w:footnote>
  <w:footnote w:id="14">
    <w:p w:rsidR="00BF4912" w:rsidRPr="004E3926"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w:t>
      </w:r>
      <w:r w:rsidR="003A647B">
        <w:rPr>
          <w:szCs w:val="18"/>
          <w:lang w:val="fr-FR"/>
        </w:rPr>
        <w:t xml:space="preserve">les communications </w:t>
      </w:r>
      <w:r w:rsidRPr="003A647B">
        <w:rPr>
          <w:i/>
          <w:iCs/>
          <w:szCs w:val="18"/>
          <w:lang w:val="fr-FR"/>
        </w:rPr>
        <w:t>Mezine</w:t>
      </w:r>
      <w:r w:rsidRPr="0072331E">
        <w:rPr>
          <w:i/>
          <w:iCs/>
          <w:szCs w:val="18"/>
          <w:lang w:val="fr-FR"/>
        </w:rPr>
        <w:t xml:space="preserve"> c. Algérie</w:t>
      </w:r>
      <w:r w:rsidRPr="00506D12">
        <w:rPr>
          <w:szCs w:val="18"/>
          <w:lang w:val="fr-FR"/>
        </w:rPr>
        <w:t>, par. 8.3</w:t>
      </w:r>
      <w:r w:rsidR="005920EB">
        <w:rPr>
          <w:szCs w:val="18"/>
          <w:lang w:val="fr-FR"/>
        </w:rPr>
        <w:t> </w:t>
      </w:r>
      <w:r w:rsidRPr="00506D12">
        <w:rPr>
          <w:szCs w:val="18"/>
          <w:lang w:val="fr-FR"/>
        </w:rPr>
        <w:t>; et n</w:t>
      </w:r>
      <w:r w:rsidRPr="00506D12">
        <w:rPr>
          <w:szCs w:val="18"/>
          <w:vertAlign w:val="superscript"/>
          <w:lang w:val="fr-FR"/>
        </w:rPr>
        <w:t>o</w:t>
      </w:r>
      <w:r w:rsidRPr="00506D12">
        <w:rPr>
          <w:szCs w:val="18"/>
          <w:lang w:val="fr-FR"/>
        </w:rPr>
        <w:t xml:space="preserve"> 1297/2004, </w:t>
      </w:r>
      <w:r w:rsidRPr="003A647B">
        <w:rPr>
          <w:i/>
          <w:iCs/>
          <w:szCs w:val="18"/>
          <w:lang w:val="fr-FR"/>
        </w:rPr>
        <w:t>Medjnoune</w:t>
      </w:r>
      <w:r w:rsidR="003A647B" w:rsidRPr="0072331E">
        <w:rPr>
          <w:i/>
          <w:iCs/>
          <w:szCs w:val="18"/>
          <w:lang w:val="fr-FR"/>
        </w:rPr>
        <w:t xml:space="preserve"> </w:t>
      </w:r>
      <w:r w:rsidRPr="0072331E">
        <w:rPr>
          <w:i/>
          <w:iCs/>
          <w:szCs w:val="18"/>
          <w:lang w:val="fr-FR"/>
        </w:rPr>
        <w:t>c.</w:t>
      </w:r>
      <w:r w:rsidR="003A647B" w:rsidRPr="0072331E">
        <w:rPr>
          <w:i/>
          <w:iCs/>
          <w:szCs w:val="18"/>
          <w:lang w:val="fr-FR"/>
        </w:rPr>
        <w:t xml:space="preserve"> </w:t>
      </w:r>
      <w:r w:rsidRPr="003A647B">
        <w:rPr>
          <w:i/>
          <w:iCs/>
          <w:szCs w:val="18"/>
          <w:lang w:val="fr-FR"/>
        </w:rPr>
        <w:t>Algérie</w:t>
      </w:r>
      <w:r w:rsidRPr="00506D12">
        <w:rPr>
          <w:szCs w:val="18"/>
          <w:lang w:val="fr-FR"/>
        </w:rPr>
        <w:t xml:space="preserve">, constatations adoptées le </w:t>
      </w:r>
      <w:r w:rsidR="00843FF0">
        <w:rPr>
          <w:szCs w:val="18"/>
          <w:lang w:val="fr-FR"/>
        </w:rPr>
        <w:t>14 juillet</w:t>
      </w:r>
      <w:r w:rsidRPr="00506D12">
        <w:rPr>
          <w:szCs w:val="18"/>
          <w:lang w:val="fr-FR"/>
        </w:rPr>
        <w:t xml:space="preserve"> 2006, par. 8.3.</w:t>
      </w:r>
      <w:r w:rsidRPr="00D40799">
        <w:rPr>
          <w:lang w:val="fr-CH"/>
        </w:rPr>
        <w:t xml:space="preserve"> </w:t>
      </w:r>
    </w:p>
  </w:footnote>
  <w:footnote w:id="15">
    <w:p w:rsidR="00BF4912" w:rsidRPr="00403C8F" w:rsidRDefault="00BF4912">
      <w:pPr>
        <w:pStyle w:val="FootnoteText"/>
        <w:rPr>
          <w:lang w:val="fr-FR"/>
        </w:rPr>
      </w:pPr>
      <w:r w:rsidRPr="00927A28">
        <w:rPr>
          <w:lang w:val="fr-CH"/>
        </w:rPr>
        <w:tab/>
      </w:r>
      <w:r w:rsidRPr="00EF223D">
        <w:rPr>
          <w:rStyle w:val="FootnoteReference"/>
        </w:rPr>
        <w:footnoteRef/>
      </w:r>
      <w:r w:rsidRPr="00927A28">
        <w:rPr>
          <w:lang w:val="fr-CH"/>
        </w:rPr>
        <w:tab/>
      </w:r>
      <w:r>
        <w:rPr>
          <w:lang w:val="fr-FR"/>
        </w:rPr>
        <w:t>Voir</w:t>
      </w:r>
      <w:r w:rsidRPr="00403C8F">
        <w:rPr>
          <w:lang w:val="fr-FR"/>
        </w:rPr>
        <w:t xml:space="preserve"> </w:t>
      </w:r>
      <w:r>
        <w:rPr>
          <w:lang w:val="fr-FR"/>
        </w:rPr>
        <w:t xml:space="preserve">les </w:t>
      </w:r>
      <w:r w:rsidRPr="00403C8F">
        <w:rPr>
          <w:lang w:val="fr-FR"/>
        </w:rPr>
        <w:t xml:space="preserve">communications </w:t>
      </w:r>
      <w:r w:rsidRPr="00325E38">
        <w:rPr>
          <w:rFonts w:eastAsia="MS Mincho"/>
          <w:szCs w:val="18"/>
          <w:lang w:val="fr-FR"/>
        </w:rPr>
        <w:t>n</w:t>
      </w:r>
      <w:r w:rsidRPr="00325E38">
        <w:rPr>
          <w:rFonts w:eastAsia="MS Mincho"/>
          <w:szCs w:val="18"/>
          <w:vertAlign w:val="superscript"/>
          <w:lang w:val="fr-FR"/>
        </w:rPr>
        <w:t>o</w:t>
      </w:r>
      <w:r>
        <w:rPr>
          <w:szCs w:val="18"/>
          <w:lang w:val="fr-FR"/>
        </w:rPr>
        <w:t> </w:t>
      </w:r>
      <w:r w:rsidRPr="00403C8F">
        <w:rPr>
          <w:lang w:val="fr-FR"/>
        </w:rPr>
        <w:t xml:space="preserve">2000/2010, </w:t>
      </w:r>
      <w:r w:rsidRPr="00AA50DE">
        <w:rPr>
          <w:i/>
          <w:lang w:val="fr-FR"/>
        </w:rPr>
        <w:t>Katwal c. Népal</w:t>
      </w:r>
      <w:r w:rsidRPr="00403C8F">
        <w:rPr>
          <w:lang w:val="fr-FR"/>
        </w:rPr>
        <w:t xml:space="preserve">, </w:t>
      </w:r>
      <w:r>
        <w:rPr>
          <w:lang w:val="fr-FR"/>
        </w:rPr>
        <w:t>constatations adoptées le</w:t>
      </w:r>
      <w:r w:rsidRPr="00403C8F">
        <w:rPr>
          <w:lang w:val="fr-FR"/>
        </w:rPr>
        <w:t xml:space="preserve"> 1</w:t>
      </w:r>
      <w:r w:rsidRPr="00403C8F">
        <w:rPr>
          <w:vertAlign w:val="superscript"/>
          <w:lang w:val="fr-FR"/>
        </w:rPr>
        <w:t>er</w:t>
      </w:r>
      <w:r>
        <w:rPr>
          <w:lang w:val="fr-FR"/>
        </w:rPr>
        <w:t xml:space="preserve"> avril 2015, par. </w:t>
      </w:r>
      <w:r w:rsidRPr="00403C8F">
        <w:rPr>
          <w:lang w:val="fr-FR"/>
        </w:rPr>
        <w:t>11.3</w:t>
      </w:r>
      <w:r>
        <w:rPr>
          <w:lang w:val="fr-FR"/>
        </w:rPr>
        <w:t> ;</w:t>
      </w:r>
      <w:r w:rsidRPr="00403C8F">
        <w:rPr>
          <w:lang w:val="fr-FR"/>
        </w:rPr>
        <w:t xml:space="preserve"> </w:t>
      </w:r>
      <w:r w:rsidR="004078BA">
        <w:rPr>
          <w:lang w:val="fr-FR"/>
        </w:rPr>
        <w:t xml:space="preserve">et </w:t>
      </w:r>
      <w:r w:rsidRPr="00325E38">
        <w:rPr>
          <w:rFonts w:eastAsia="MS Mincho"/>
          <w:szCs w:val="18"/>
          <w:lang w:val="fr-FR"/>
        </w:rPr>
        <w:t>n</w:t>
      </w:r>
      <w:r w:rsidRPr="00325E38">
        <w:rPr>
          <w:rFonts w:eastAsia="MS Mincho"/>
          <w:szCs w:val="18"/>
          <w:vertAlign w:val="superscript"/>
          <w:lang w:val="fr-FR"/>
        </w:rPr>
        <w:t>o</w:t>
      </w:r>
      <w:r>
        <w:rPr>
          <w:szCs w:val="18"/>
          <w:lang w:val="fr-FR"/>
        </w:rPr>
        <w:t> </w:t>
      </w:r>
      <w:r w:rsidRPr="00403C8F">
        <w:rPr>
          <w:lang w:val="fr-FR"/>
        </w:rPr>
        <w:t xml:space="preserve">2134/2012, </w:t>
      </w:r>
      <w:r w:rsidR="00D50D2D">
        <w:rPr>
          <w:i/>
          <w:lang w:val="fr-FR"/>
        </w:rPr>
        <w:t>Serna et consorts</w:t>
      </w:r>
      <w:r w:rsidRPr="00AA50DE">
        <w:rPr>
          <w:i/>
          <w:lang w:val="fr-FR"/>
        </w:rPr>
        <w:t xml:space="preserve"> c. Colombie</w:t>
      </w:r>
      <w:r w:rsidRPr="00403C8F">
        <w:rPr>
          <w:lang w:val="fr-FR"/>
        </w:rPr>
        <w:t xml:space="preserve">, </w:t>
      </w:r>
      <w:r>
        <w:rPr>
          <w:lang w:val="fr-FR"/>
        </w:rPr>
        <w:t>constatations adoptées le</w:t>
      </w:r>
      <w:r w:rsidRPr="00403C8F">
        <w:rPr>
          <w:lang w:val="fr-FR"/>
        </w:rPr>
        <w:t xml:space="preserve"> 9</w:t>
      </w:r>
      <w:r>
        <w:rPr>
          <w:lang w:val="fr-FR"/>
        </w:rPr>
        <w:t> juillet 2015, par. </w:t>
      </w:r>
      <w:r w:rsidRPr="00403C8F">
        <w:rPr>
          <w:lang w:val="fr-FR"/>
        </w:rPr>
        <w:t>9.4.</w:t>
      </w:r>
    </w:p>
  </w:footnote>
  <w:footnote w:id="16">
    <w:p w:rsidR="00BF4912" w:rsidRPr="004E3926"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w:t>
      </w:r>
      <w:r w:rsidR="004078BA">
        <w:rPr>
          <w:szCs w:val="18"/>
          <w:lang w:val="fr-FR"/>
        </w:rPr>
        <w:t xml:space="preserve">les </w:t>
      </w:r>
      <w:r w:rsidRPr="00506D12">
        <w:rPr>
          <w:szCs w:val="18"/>
          <w:lang w:val="fr-FR"/>
        </w:rPr>
        <w:t>communication</w:t>
      </w:r>
      <w:r w:rsidR="004078BA">
        <w:rPr>
          <w:szCs w:val="18"/>
          <w:lang w:val="fr-FR"/>
        </w:rPr>
        <w:t>s</w:t>
      </w:r>
      <w:r w:rsidRPr="00506D12">
        <w:rPr>
          <w:szCs w:val="18"/>
          <w:lang w:val="fr-FR"/>
        </w:rPr>
        <w:t xml:space="preserve"> n</w:t>
      </w:r>
      <w:r w:rsidR="004078BA" w:rsidRPr="0072331E">
        <w:rPr>
          <w:szCs w:val="18"/>
          <w:vertAlign w:val="superscript"/>
          <w:lang w:val="fr-FR"/>
        </w:rPr>
        <w:t>o</w:t>
      </w:r>
      <w:r w:rsidR="004078BA">
        <w:rPr>
          <w:szCs w:val="18"/>
          <w:lang w:val="fr-FR"/>
        </w:rPr>
        <w:t> </w:t>
      </w:r>
      <w:r w:rsidRPr="00506D12">
        <w:rPr>
          <w:szCs w:val="18"/>
          <w:lang w:val="fr-FR"/>
        </w:rPr>
        <w:t xml:space="preserve">2117/2011, </w:t>
      </w:r>
      <w:r w:rsidRPr="004078BA">
        <w:rPr>
          <w:i/>
          <w:szCs w:val="18"/>
          <w:lang w:val="fr-FR"/>
        </w:rPr>
        <w:t>Louddi c. Algérie</w:t>
      </w:r>
      <w:r w:rsidRPr="00506D12">
        <w:rPr>
          <w:szCs w:val="18"/>
          <w:lang w:val="fr-FR"/>
        </w:rPr>
        <w:t xml:space="preserve">, </w:t>
      </w:r>
      <w:r w:rsidRPr="00506D12">
        <w:rPr>
          <w:szCs w:val="18"/>
          <w:lang w:val="fr-CH"/>
        </w:rPr>
        <w:t xml:space="preserve">constatations adoptées le 30 octobre 2014, par. 7. 4 ; </w:t>
      </w:r>
      <w:r w:rsidRPr="004078BA">
        <w:rPr>
          <w:i/>
          <w:iCs/>
          <w:szCs w:val="18"/>
          <w:lang w:val="fr-FR"/>
        </w:rPr>
        <w:t>Mezine</w:t>
      </w:r>
      <w:r w:rsidRPr="0072331E">
        <w:rPr>
          <w:i/>
          <w:iCs/>
          <w:szCs w:val="18"/>
          <w:lang w:val="fr-FR"/>
        </w:rPr>
        <w:t xml:space="preserve"> c. Algérie</w:t>
      </w:r>
      <w:r w:rsidRPr="00506D12">
        <w:rPr>
          <w:szCs w:val="18"/>
          <w:lang w:val="fr-FR"/>
        </w:rPr>
        <w:t>, par. 8.4</w:t>
      </w:r>
      <w:r w:rsidR="005920EB">
        <w:rPr>
          <w:szCs w:val="18"/>
          <w:lang w:val="fr-FR"/>
        </w:rPr>
        <w:t> </w:t>
      </w:r>
      <w:r w:rsidRPr="00506D12">
        <w:rPr>
          <w:szCs w:val="18"/>
          <w:lang w:val="fr-FR"/>
        </w:rPr>
        <w:t xml:space="preserve">; et </w:t>
      </w:r>
      <w:r w:rsidRPr="004078BA">
        <w:rPr>
          <w:i/>
          <w:iCs/>
          <w:szCs w:val="18"/>
          <w:lang w:val="fr-FR"/>
        </w:rPr>
        <w:t>Boudjemai</w:t>
      </w:r>
      <w:r w:rsidRPr="0072331E">
        <w:rPr>
          <w:i/>
          <w:iCs/>
          <w:szCs w:val="18"/>
          <w:lang w:val="fr-FR"/>
        </w:rPr>
        <w:t xml:space="preserve"> c. Algérie</w:t>
      </w:r>
      <w:r w:rsidRPr="00506D12">
        <w:rPr>
          <w:szCs w:val="18"/>
          <w:lang w:val="fr-FR"/>
        </w:rPr>
        <w:t>, par. 8.4.</w:t>
      </w:r>
      <w:r w:rsidRPr="00D40799">
        <w:rPr>
          <w:lang w:val="fr-CH"/>
        </w:rPr>
        <w:t xml:space="preserve"> </w:t>
      </w:r>
    </w:p>
  </w:footnote>
  <w:footnote w:id="17">
    <w:p w:rsidR="00BF4912" w:rsidRPr="00683309" w:rsidRDefault="00BF4912" w:rsidP="002F3C27">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w:t>
      </w:r>
      <w:r w:rsidR="0046245E">
        <w:rPr>
          <w:szCs w:val="18"/>
          <w:lang w:val="fr-FR"/>
        </w:rPr>
        <w:t xml:space="preserve">les communications </w:t>
      </w:r>
      <w:r w:rsidRPr="0046245E">
        <w:rPr>
          <w:i/>
          <w:szCs w:val="18"/>
          <w:lang w:val="fr-FR"/>
        </w:rPr>
        <w:t>Ammari c. Algérie</w:t>
      </w:r>
      <w:r w:rsidRPr="00506D12">
        <w:rPr>
          <w:szCs w:val="18"/>
          <w:lang w:val="fr-FR"/>
        </w:rPr>
        <w:t xml:space="preserve">, par. 8.5 ; </w:t>
      </w:r>
      <w:r w:rsidRPr="0046245E">
        <w:rPr>
          <w:i/>
          <w:iCs/>
          <w:szCs w:val="18"/>
          <w:lang w:val="fr-FR"/>
        </w:rPr>
        <w:t>Mezine</w:t>
      </w:r>
      <w:r w:rsidRPr="0072331E">
        <w:rPr>
          <w:i/>
          <w:iCs/>
          <w:szCs w:val="18"/>
          <w:lang w:val="fr-FR"/>
        </w:rPr>
        <w:t xml:space="preserve"> c. Algérie</w:t>
      </w:r>
      <w:r w:rsidRPr="00506D12">
        <w:rPr>
          <w:szCs w:val="18"/>
          <w:lang w:val="fr-FR"/>
        </w:rPr>
        <w:t>, par. 8.5</w:t>
      </w:r>
      <w:r w:rsidR="005920EB">
        <w:rPr>
          <w:szCs w:val="18"/>
          <w:lang w:val="fr-FR"/>
        </w:rPr>
        <w:t> </w:t>
      </w:r>
      <w:r w:rsidRPr="00506D12">
        <w:rPr>
          <w:szCs w:val="18"/>
          <w:lang w:val="fr-FR"/>
        </w:rPr>
        <w:t xml:space="preserve">; </w:t>
      </w:r>
      <w:r w:rsidRPr="0046245E">
        <w:rPr>
          <w:i/>
          <w:iCs/>
          <w:szCs w:val="18"/>
          <w:lang w:val="fr-FR"/>
        </w:rPr>
        <w:t>Khirani</w:t>
      </w:r>
      <w:r w:rsidRPr="0072331E">
        <w:rPr>
          <w:i/>
          <w:iCs/>
          <w:szCs w:val="18"/>
          <w:lang w:val="fr-FR"/>
        </w:rPr>
        <w:t xml:space="preserve"> </w:t>
      </w:r>
      <w:r w:rsidRPr="0072331E">
        <w:rPr>
          <w:rFonts w:eastAsia="MS Mincho"/>
          <w:i/>
          <w:iCs/>
          <w:szCs w:val="18"/>
          <w:lang w:val="fr-FR"/>
        </w:rPr>
        <w:t>c. Algérie</w:t>
      </w:r>
      <w:r w:rsidRPr="00506D12">
        <w:rPr>
          <w:rFonts w:eastAsia="MS Mincho"/>
          <w:szCs w:val="18"/>
          <w:lang w:val="fr-FR"/>
        </w:rPr>
        <w:t>, par. 7.5</w:t>
      </w:r>
      <w:r w:rsidR="005920EB">
        <w:rPr>
          <w:rFonts w:eastAsia="MS Mincho"/>
          <w:szCs w:val="18"/>
          <w:lang w:val="fr-FR"/>
        </w:rPr>
        <w:t> </w:t>
      </w:r>
      <w:r w:rsidRPr="00506D12">
        <w:rPr>
          <w:rFonts w:eastAsia="MS Mincho"/>
          <w:szCs w:val="18"/>
          <w:lang w:val="fr-FR"/>
        </w:rPr>
        <w:t xml:space="preserve">; </w:t>
      </w:r>
      <w:r w:rsidR="002F3C27">
        <w:rPr>
          <w:i/>
          <w:szCs w:val="18"/>
          <w:lang w:val="fr-CH"/>
        </w:rPr>
        <w:t>Djebrouni</w:t>
      </w:r>
      <w:r w:rsidRPr="0072331E" w:rsidDel="008272B2">
        <w:rPr>
          <w:rFonts w:eastAsia="MS Mincho"/>
          <w:i/>
          <w:iCs/>
          <w:szCs w:val="18"/>
          <w:lang w:val="fr-FR"/>
        </w:rPr>
        <w:t xml:space="preserve"> </w:t>
      </w:r>
      <w:r w:rsidRPr="0072331E">
        <w:rPr>
          <w:rFonts w:eastAsia="MS Mincho"/>
          <w:i/>
          <w:iCs/>
          <w:szCs w:val="18"/>
          <w:lang w:val="fr-FR"/>
        </w:rPr>
        <w:t>c. Algérie</w:t>
      </w:r>
      <w:r w:rsidRPr="00506D12">
        <w:rPr>
          <w:rFonts w:eastAsia="MS Mincho"/>
          <w:szCs w:val="18"/>
          <w:lang w:val="fr-FR"/>
        </w:rPr>
        <w:t>, par. 8.5</w:t>
      </w:r>
      <w:r w:rsidR="005920EB">
        <w:rPr>
          <w:rFonts w:eastAsia="MS Mincho"/>
          <w:szCs w:val="18"/>
          <w:lang w:val="fr-FR"/>
        </w:rPr>
        <w:t> </w:t>
      </w:r>
      <w:r w:rsidRPr="00506D12">
        <w:rPr>
          <w:rFonts w:eastAsia="MS Mincho"/>
          <w:szCs w:val="18"/>
          <w:lang w:val="fr-FR"/>
        </w:rPr>
        <w:t xml:space="preserve">; et </w:t>
      </w:r>
      <w:r w:rsidRPr="00506D12">
        <w:rPr>
          <w:szCs w:val="18"/>
          <w:lang w:val="fr-FR"/>
        </w:rPr>
        <w:t>n</w:t>
      </w:r>
      <w:r w:rsidRPr="00506D12">
        <w:rPr>
          <w:szCs w:val="18"/>
          <w:vertAlign w:val="superscript"/>
          <w:lang w:val="fr-FR"/>
        </w:rPr>
        <w:t>o</w:t>
      </w:r>
      <w:r w:rsidRPr="00506D12">
        <w:rPr>
          <w:szCs w:val="18"/>
          <w:lang w:val="fr-FR"/>
        </w:rPr>
        <w:t xml:space="preserve"> 1295/2004, </w:t>
      </w:r>
      <w:r w:rsidRPr="0046245E">
        <w:rPr>
          <w:i/>
          <w:iCs/>
          <w:szCs w:val="18"/>
          <w:lang w:val="fr-FR"/>
        </w:rPr>
        <w:t>El Alwani</w:t>
      </w:r>
      <w:r w:rsidRPr="0072331E">
        <w:rPr>
          <w:i/>
          <w:iCs/>
          <w:szCs w:val="18"/>
          <w:lang w:val="fr-FR"/>
        </w:rPr>
        <w:t xml:space="preserve"> c. </w:t>
      </w:r>
      <w:r w:rsidRPr="0046245E">
        <w:rPr>
          <w:rFonts w:eastAsia="MS Mincho"/>
          <w:i/>
          <w:iCs/>
          <w:szCs w:val="18"/>
          <w:lang w:val="fr-FR"/>
        </w:rPr>
        <w:t>Jamahiriya arabe libyenne</w:t>
      </w:r>
      <w:r w:rsidRPr="00506D12">
        <w:rPr>
          <w:szCs w:val="18"/>
          <w:lang w:val="fr-FR"/>
        </w:rPr>
        <w:t>, constatations adoptées le 11 juillet 2007, par. 6.5.</w:t>
      </w:r>
      <w:r w:rsidRPr="00D40799">
        <w:rPr>
          <w:lang w:val="fr-CH"/>
        </w:rPr>
        <w:t xml:space="preserve"> </w:t>
      </w:r>
    </w:p>
  </w:footnote>
  <w:footnote w:id="18">
    <w:p w:rsidR="00BF4912" w:rsidRPr="00683309" w:rsidRDefault="00BF4912" w:rsidP="004A033D">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CH"/>
        </w:rPr>
        <w:t xml:space="preserve">Voir </w:t>
      </w:r>
      <w:r w:rsidRPr="00506D12">
        <w:rPr>
          <w:i/>
          <w:szCs w:val="18"/>
          <w:lang w:val="fr-FR"/>
        </w:rPr>
        <w:t>Ammari c. Algérie</w:t>
      </w:r>
      <w:r w:rsidRPr="00506D12">
        <w:rPr>
          <w:szCs w:val="18"/>
          <w:lang w:val="fr-FR"/>
        </w:rPr>
        <w:t>, par. 8.6.</w:t>
      </w:r>
      <w:r w:rsidRPr="00D40799">
        <w:rPr>
          <w:lang w:val="fr-CH"/>
        </w:rPr>
        <w:t xml:space="preserve"> </w:t>
      </w:r>
    </w:p>
  </w:footnote>
  <w:footnote w:id="19">
    <w:p w:rsidR="00BF4912" w:rsidRPr="00683309" w:rsidRDefault="00BF4912" w:rsidP="002F3C27">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w:t>
      </w:r>
      <w:r w:rsidR="00401C57">
        <w:rPr>
          <w:szCs w:val="18"/>
          <w:lang w:val="fr-FR"/>
        </w:rPr>
        <w:t xml:space="preserve">les communications </w:t>
      </w:r>
      <w:r w:rsidRPr="00401C57">
        <w:rPr>
          <w:i/>
          <w:iCs/>
          <w:szCs w:val="18"/>
          <w:lang w:val="fr-FR"/>
        </w:rPr>
        <w:t>Mezine</w:t>
      </w:r>
      <w:r w:rsidRPr="0072331E">
        <w:rPr>
          <w:i/>
          <w:iCs/>
          <w:szCs w:val="18"/>
          <w:lang w:val="fr-FR"/>
        </w:rPr>
        <w:t xml:space="preserve"> c. Algérie</w:t>
      </w:r>
      <w:r w:rsidRPr="00506D12">
        <w:rPr>
          <w:szCs w:val="18"/>
          <w:lang w:val="fr-FR"/>
        </w:rPr>
        <w:t>, par. 8.6</w:t>
      </w:r>
      <w:r w:rsidR="005920EB">
        <w:rPr>
          <w:szCs w:val="18"/>
          <w:lang w:val="fr-FR"/>
        </w:rPr>
        <w:t> </w:t>
      </w:r>
      <w:r w:rsidRPr="00506D12">
        <w:rPr>
          <w:szCs w:val="18"/>
          <w:lang w:val="fr-FR"/>
        </w:rPr>
        <w:t xml:space="preserve">; </w:t>
      </w:r>
      <w:r w:rsidRPr="00401C57">
        <w:rPr>
          <w:i/>
          <w:iCs/>
          <w:szCs w:val="18"/>
          <w:lang w:val="fr-FR"/>
        </w:rPr>
        <w:t>Khirani</w:t>
      </w:r>
      <w:r w:rsidRPr="0072331E">
        <w:rPr>
          <w:i/>
          <w:iCs/>
          <w:szCs w:val="18"/>
          <w:lang w:val="fr-FR"/>
        </w:rPr>
        <w:t xml:space="preserve"> c. Algérie</w:t>
      </w:r>
      <w:r w:rsidRPr="00506D12">
        <w:rPr>
          <w:szCs w:val="18"/>
          <w:lang w:val="fr-FR"/>
        </w:rPr>
        <w:t>, par. 7.6</w:t>
      </w:r>
      <w:r w:rsidR="005920EB">
        <w:rPr>
          <w:szCs w:val="18"/>
          <w:lang w:val="fr-FR"/>
        </w:rPr>
        <w:t> </w:t>
      </w:r>
      <w:r w:rsidRPr="00506D12">
        <w:rPr>
          <w:szCs w:val="18"/>
          <w:lang w:val="fr-FR"/>
        </w:rPr>
        <w:t xml:space="preserve">; </w:t>
      </w:r>
      <w:r w:rsidR="002F3C27">
        <w:rPr>
          <w:i/>
          <w:szCs w:val="18"/>
          <w:lang w:val="fr-CH"/>
        </w:rPr>
        <w:t>Djebrouni</w:t>
      </w:r>
      <w:r w:rsidRPr="0072331E" w:rsidDel="008272B2">
        <w:rPr>
          <w:i/>
          <w:iCs/>
          <w:szCs w:val="18"/>
          <w:lang w:val="fr-FR"/>
        </w:rPr>
        <w:t xml:space="preserve"> </w:t>
      </w:r>
      <w:r w:rsidRPr="0072331E">
        <w:rPr>
          <w:i/>
          <w:iCs/>
          <w:szCs w:val="18"/>
          <w:lang w:val="fr-FR"/>
        </w:rPr>
        <w:t>c.</w:t>
      </w:r>
      <w:r w:rsidR="00E778DB">
        <w:rPr>
          <w:i/>
          <w:iCs/>
          <w:szCs w:val="18"/>
          <w:lang w:val="fr-FR"/>
        </w:rPr>
        <w:t> </w:t>
      </w:r>
      <w:r w:rsidRPr="0072331E">
        <w:rPr>
          <w:i/>
          <w:iCs/>
          <w:szCs w:val="18"/>
          <w:lang w:val="fr-FR"/>
        </w:rPr>
        <w:t>Algérie</w:t>
      </w:r>
      <w:r w:rsidRPr="00506D12">
        <w:rPr>
          <w:szCs w:val="18"/>
          <w:lang w:val="fr-FR"/>
        </w:rPr>
        <w:t>, par. 8.6</w:t>
      </w:r>
      <w:r w:rsidR="005920EB">
        <w:rPr>
          <w:szCs w:val="18"/>
          <w:lang w:val="fr-FR"/>
        </w:rPr>
        <w:t> </w:t>
      </w:r>
      <w:r w:rsidRPr="00506D12">
        <w:rPr>
          <w:szCs w:val="18"/>
          <w:lang w:val="fr-FR"/>
        </w:rPr>
        <w:t xml:space="preserve">; </w:t>
      </w:r>
      <w:r w:rsidRPr="007D67E3">
        <w:rPr>
          <w:i/>
          <w:iCs/>
          <w:szCs w:val="18"/>
          <w:lang w:val="fr-FR"/>
        </w:rPr>
        <w:t>El Abani</w:t>
      </w:r>
      <w:r w:rsidRPr="0072331E">
        <w:rPr>
          <w:i/>
          <w:iCs/>
          <w:szCs w:val="18"/>
          <w:lang w:val="fr-FR"/>
        </w:rPr>
        <w:t xml:space="preserve"> c. Jamahiriya arabe libyenne</w:t>
      </w:r>
      <w:r w:rsidRPr="00506D12">
        <w:rPr>
          <w:szCs w:val="18"/>
          <w:lang w:val="fr-FR"/>
        </w:rPr>
        <w:t>, par. 7.5</w:t>
      </w:r>
      <w:r w:rsidR="005920EB">
        <w:rPr>
          <w:szCs w:val="18"/>
          <w:lang w:val="fr-FR"/>
        </w:rPr>
        <w:t> </w:t>
      </w:r>
      <w:r w:rsidRPr="00506D12">
        <w:rPr>
          <w:szCs w:val="18"/>
          <w:lang w:val="fr-FR"/>
        </w:rPr>
        <w:t>; et n</w:t>
      </w:r>
      <w:r w:rsidRPr="00506D12">
        <w:rPr>
          <w:szCs w:val="18"/>
          <w:vertAlign w:val="superscript"/>
          <w:lang w:val="fr-FR"/>
        </w:rPr>
        <w:t>o</w:t>
      </w:r>
      <w:r w:rsidRPr="00506D12">
        <w:rPr>
          <w:szCs w:val="18"/>
          <w:lang w:val="fr-FR"/>
        </w:rPr>
        <w:t xml:space="preserve"> 1422/2005, </w:t>
      </w:r>
      <w:r w:rsidRPr="007D67E3">
        <w:rPr>
          <w:i/>
          <w:iCs/>
          <w:szCs w:val="18"/>
          <w:lang w:val="fr-FR"/>
        </w:rPr>
        <w:t>El Hassy</w:t>
      </w:r>
      <w:r w:rsidRPr="0072331E">
        <w:rPr>
          <w:i/>
          <w:iCs/>
          <w:szCs w:val="18"/>
          <w:lang w:val="fr-FR"/>
        </w:rPr>
        <w:t xml:space="preserve"> c.</w:t>
      </w:r>
      <w:r w:rsidR="00E778DB">
        <w:rPr>
          <w:i/>
          <w:iCs/>
          <w:szCs w:val="18"/>
          <w:lang w:val="fr-FR"/>
        </w:rPr>
        <w:t> </w:t>
      </w:r>
      <w:r w:rsidRPr="0072331E">
        <w:rPr>
          <w:i/>
          <w:iCs/>
          <w:szCs w:val="18"/>
          <w:lang w:val="fr-FR"/>
        </w:rPr>
        <w:t>Jamahiriya arabe libyenne</w:t>
      </w:r>
      <w:r w:rsidRPr="00506D12">
        <w:rPr>
          <w:szCs w:val="18"/>
          <w:lang w:val="fr-FR"/>
        </w:rPr>
        <w:t>, constatations adoptées le 24 octobre 2007, par. 6.11.</w:t>
      </w:r>
      <w:r w:rsidRPr="00D40799">
        <w:rPr>
          <w:lang w:val="fr-CH"/>
        </w:rPr>
        <w:t xml:space="preserve"> </w:t>
      </w:r>
    </w:p>
  </w:footnote>
  <w:footnote w:id="20">
    <w:p w:rsidR="00BF4912" w:rsidRPr="00683309"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CH"/>
        </w:rPr>
        <w:t xml:space="preserve">Voir </w:t>
      </w:r>
      <w:r w:rsidR="005C18BB">
        <w:rPr>
          <w:szCs w:val="18"/>
          <w:lang w:val="fr-CH"/>
        </w:rPr>
        <w:t xml:space="preserve">la </w:t>
      </w:r>
      <w:r w:rsidRPr="00506D12">
        <w:rPr>
          <w:szCs w:val="18"/>
          <w:lang w:val="fr-CH"/>
        </w:rPr>
        <w:t>communication</w:t>
      </w:r>
      <w:r w:rsidRPr="00506D12">
        <w:rPr>
          <w:i/>
          <w:szCs w:val="18"/>
          <w:lang w:val="fr-CH"/>
        </w:rPr>
        <w:t xml:space="preserve"> </w:t>
      </w:r>
      <w:r w:rsidRPr="00506D12">
        <w:rPr>
          <w:szCs w:val="18"/>
          <w:lang w:val="fr-CH"/>
        </w:rPr>
        <w:t>n</w:t>
      </w:r>
      <w:r w:rsidR="005C18BB" w:rsidRPr="0072331E">
        <w:rPr>
          <w:szCs w:val="18"/>
          <w:vertAlign w:val="superscript"/>
          <w:lang w:val="fr-CH"/>
        </w:rPr>
        <w:t>o</w:t>
      </w:r>
      <w:r w:rsidR="005C18BB">
        <w:rPr>
          <w:szCs w:val="18"/>
          <w:lang w:val="fr-CH"/>
        </w:rPr>
        <w:t> </w:t>
      </w:r>
      <w:r w:rsidRPr="00506D12">
        <w:rPr>
          <w:szCs w:val="18"/>
          <w:lang w:val="fr-CH"/>
        </w:rPr>
        <w:t xml:space="preserve">2297/2013, </w:t>
      </w:r>
      <w:r w:rsidRPr="00506D12">
        <w:rPr>
          <w:i/>
          <w:szCs w:val="18"/>
          <w:lang w:val="fr-CH"/>
        </w:rPr>
        <w:t>Chani c. Algérie</w:t>
      </w:r>
      <w:r w:rsidRPr="00506D12">
        <w:rPr>
          <w:szCs w:val="18"/>
          <w:lang w:val="fr-CH"/>
        </w:rPr>
        <w:t>, constatations adoptées le 11 mars 2016</w:t>
      </w:r>
      <w:r w:rsidR="00EF3491">
        <w:rPr>
          <w:szCs w:val="18"/>
          <w:lang w:val="fr-CH"/>
        </w:rPr>
        <w:t xml:space="preserve">, </w:t>
      </w:r>
      <w:r w:rsidR="00EF3491" w:rsidRPr="00506D12">
        <w:rPr>
          <w:szCs w:val="18"/>
          <w:lang w:val="fr-CH"/>
        </w:rPr>
        <w:t>par.</w:t>
      </w:r>
      <w:r w:rsidR="00E778DB">
        <w:rPr>
          <w:szCs w:val="18"/>
          <w:lang w:val="fr-CH"/>
        </w:rPr>
        <w:t> </w:t>
      </w:r>
      <w:r w:rsidR="00EF3491" w:rsidRPr="00506D12">
        <w:rPr>
          <w:szCs w:val="18"/>
          <w:lang w:val="fr-CH"/>
        </w:rPr>
        <w:t>7.5</w:t>
      </w:r>
      <w:r w:rsidRPr="00506D12">
        <w:rPr>
          <w:szCs w:val="18"/>
          <w:lang w:val="fr-CH"/>
        </w:rPr>
        <w:t>.</w:t>
      </w:r>
      <w:r w:rsidRPr="00D40799">
        <w:rPr>
          <w:lang w:val="fr-CH"/>
        </w:rPr>
        <w:t xml:space="preserve"> </w:t>
      </w:r>
    </w:p>
  </w:footnote>
  <w:footnote w:id="21">
    <w:p w:rsidR="00BF4912" w:rsidRPr="00683309" w:rsidRDefault="00BF4912" w:rsidP="002F3C27">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FR"/>
        </w:rPr>
        <w:t xml:space="preserve">Voir, entre autres, </w:t>
      </w:r>
      <w:r w:rsidRPr="00061DD2">
        <w:rPr>
          <w:i/>
          <w:iCs/>
          <w:szCs w:val="18"/>
          <w:lang w:val="fr-FR"/>
        </w:rPr>
        <w:t>Mezine</w:t>
      </w:r>
      <w:r w:rsidRPr="0072331E">
        <w:rPr>
          <w:i/>
          <w:iCs/>
          <w:szCs w:val="18"/>
          <w:lang w:val="fr-FR"/>
        </w:rPr>
        <w:t xml:space="preserve"> c. Algérie</w:t>
      </w:r>
      <w:r w:rsidRPr="00506D12">
        <w:rPr>
          <w:szCs w:val="18"/>
          <w:lang w:val="fr-FR"/>
        </w:rPr>
        <w:t>, par. 8.7</w:t>
      </w:r>
      <w:r w:rsidR="005920EB">
        <w:rPr>
          <w:szCs w:val="18"/>
          <w:lang w:val="fr-FR"/>
        </w:rPr>
        <w:t> </w:t>
      </w:r>
      <w:r w:rsidRPr="00506D12">
        <w:rPr>
          <w:szCs w:val="18"/>
          <w:lang w:val="fr-FR"/>
        </w:rPr>
        <w:t xml:space="preserve">; </w:t>
      </w:r>
      <w:r w:rsidRPr="00061DD2">
        <w:rPr>
          <w:i/>
          <w:iCs/>
          <w:szCs w:val="18"/>
          <w:lang w:val="fr-FR"/>
        </w:rPr>
        <w:t>Khirani</w:t>
      </w:r>
      <w:r w:rsidRPr="0072331E">
        <w:rPr>
          <w:i/>
          <w:iCs/>
          <w:szCs w:val="18"/>
          <w:lang w:val="fr-FR"/>
        </w:rPr>
        <w:t xml:space="preserve"> c. Algérie</w:t>
      </w:r>
      <w:r w:rsidRPr="00506D12">
        <w:rPr>
          <w:szCs w:val="18"/>
          <w:lang w:val="fr-FR"/>
        </w:rPr>
        <w:t>, par. 7.7</w:t>
      </w:r>
      <w:r w:rsidR="005920EB">
        <w:rPr>
          <w:szCs w:val="18"/>
          <w:lang w:val="fr-FR"/>
        </w:rPr>
        <w:t> </w:t>
      </w:r>
      <w:r w:rsidRPr="00506D12">
        <w:rPr>
          <w:szCs w:val="18"/>
          <w:lang w:val="fr-FR"/>
        </w:rPr>
        <w:t xml:space="preserve">; et </w:t>
      </w:r>
      <w:r w:rsidR="002F3C27">
        <w:rPr>
          <w:i/>
          <w:szCs w:val="18"/>
          <w:lang w:val="fr-CH"/>
        </w:rPr>
        <w:t>Djebrouni</w:t>
      </w:r>
      <w:r w:rsidRPr="0072331E" w:rsidDel="008272B2">
        <w:rPr>
          <w:i/>
          <w:iCs/>
          <w:szCs w:val="18"/>
          <w:lang w:val="fr-FR"/>
        </w:rPr>
        <w:t xml:space="preserve"> </w:t>
      </w:r>
      <w:r w:rsidRPr="0072331E">
        <w:rPr>
          <w:i/>
          <w:iCs/>
          <w:szCs w:val="18"/>
          <w:lang w:val="fr-FR"/>
        </w:rPr>
        <w:t>c. Algérie</w:t>
      </w:r>
      <w:r w:rsidRPr="00506D12">
        <w:rPr>
          <w:szCs w:val="18"/>
          <w:lang w:val="fr-FR"/>
        </w:rPr>
        <w:t>, par. 8.7.</w:t>
      </w:r>
      <w:r w:rsidRPr="00D40799">
        <w:rPr>
          <w:lang w:val="fr-CH"/>
        </w:rPr>
        <w:t xml:space="preserve"> </w:t>
      </w:r>
    </w:p>
  </w:footnote>
  <w:footnote w:id="22">
    <w:p w:rsidR="00BF4912" w:rsidRPr="002A5084" w:rsidRDefault="00BF4912" w:rsidP="00FE3E75">
      <w:pPr>
        <w:pStyle w:val="FootnoteText"/>
        <w:rPr>
          <w:lang w:val="fr-FR"/>
        </w:rPr>
      </w:pPr>
      <w:r w:rsidRPr="004B21C1">
        <w:rPr>
          <w:lang w:val="fr-CH"/>
        </w:rPr>
        <w:tab/>
      </w:r>
      <w:r w:rsidRPr="00EF223D">
        <w:rPr>
          <w:rStyle w:val="FootnoteReference"/>
        </w:rPr>
        <w:footnoteRef/>
      </w:r>
      <w:r w:rsidRPr="004B21C1">
        <w:rPr>
          <w:lang w:val="fr-CH"/>
        </w:rPr>
        <w:tab/>
      </w:r>
      <w:r w:rsidRPr="002A5084">
        <w:rPr>
          <w:lang w:val="fr-FR"/>
        </w:rPr>
        <w:t>Voir les communications</w:t>
      </w:r>
      <w:r>
        <w:rPr>
          <w:lang w:val="fr-FR"/>
        </w:rPr>
        <w:t xml:space="preserve"> </w:t>
      </w:r>
      <w:r w:rsidRPr="00325E38">
        <w:rPr>
          <w:rFonts w:eastAsia="MS Mincho"/>
          <w:szCs w:val="18"/>
          <w:lang w:val="fr-FR"/>
        </w:rPr>
        <w:t>n</w:t>
      </w:r>
      <w:r w:rsidRPr="00325E38">
        <w:rPr>
          <w:rFonts w:eastAsia="MS Mincho"/>
          <w:szCs w:val="18"/>
          <w:vertAlign w:val="superscript"/>
          <w:lang w:val="fr-FR"/>
        </w:rPr>
        <w:t>o</w:t>
      </w:r>
      <w:r>
        <w:rPr>
          <w:szCs w:val="18"/>
          <w:lang w:val="fr-FR"/>
        </w:rPr>
        <w:t> </w:t>
      </w:r>
      <w:r w:rsidRPr="002A5084">
        <w:rPr>
          <w:lang w:val="fr-FR"/>
        </w:rPr>
        <w:t xml:space="preserve">2164/2012, </w:t>
      </w:r>
      <w:r w:rsidRPr="001A304C">
        <w:rPr>
          <w:i/>
          <w:lang w:val="fr-FR"/>
        </w:rPr>
        <w:t>Basnet c. Népal</w:t>
      </w:r>
      <w:r w:rsidRPr="002A5084">
        <w:rPr>
          <w:lang w:val="fr-FR"/>
        </w:rPr>
        <w:t xml:space="preserve">, </w:t>
      </w:r>
      <w:r>
        <w:rPr>
          <w:lang w:val="fr-FR"/>
        </w:rPr>
        <w:t>constatations adoptées le</w:t>
      </w:r>
      <w:r w:rsidRPr="002A5084">
        <w:rPr>
          <w:lang w:val="fr-FR"/>
        </w:rPr>
        <w:t xml:space="preserve"> 12</w:t>
      </w:r>
      <w:r>
        <w:rPr>
          <w:lang w:val="fr-FR"/>
        </w:rPr>
        <w:t> juillet 2016, par. </w:t>
      </w:r>
      <w:r w:rsidRPr="002A5084">
        <w:rPr>
          <w:lang w:val="fr-FR"/>
        </w:rPr>
        <w:t>10.9</w:t>
      </w:r>
      <w:r>
        <w:rPr>
          <w:lang w:val="fr-FR"/>
        </w:rPr>
        <w:t> ;</w:t>
      </w:r>
      <w:r w:rsidRPr="002A5084">
        <w:rPr>
          <w:lang w:val="fr-FR"/>
        </w:rPr>
        <w:t xml:space="preserve"> </w:t>
      </w:r>
      <w:r w:rsidRPr="00325E38">
        <w:rPr>
          <w:rFonts w:eastAsia="MS Mincho"/>
          <w:szCs w:val="18"/>
          <w:lang w:val="fr-FR"/>
        </w:rPr>
        <w:t>n</w:t>
      </w:r>
      <w:r w:rsidRPr="00325E38">
        <w:rPr>
          <w:rFonts w:eastAsia="MS Mincho"/>
          <w:szCs w:val="18"/>
          <w:vertAlign w:val="superscript"/>
          <w:lang w:val="fr-FR"/>
        </w:rPr>
        <w:t>o</w:t>
      </w:r>
      <w:r>
        <w:rPr>
          <w:szCs w:val="18"/>
          <w:lang w:val="fr-FR"/>
        </w:rPr>
        <w:t> </w:t>
      </w:r>
      <w:r w:rsidRPr="002A5084">
        <w:rPr>
          <w:lang w:val="fr-FR"/>
        </w:rPr>
        <w:t xml:space="preserve">2038/2011, </w:t>
      </w:r>
      <w:r w:rsidRPr="001A304C">
        <w:rPr>
          <w:i/>
          <w:lang w:val="fr-FR"/>
        </w:rPr>
        <w:t>Tharu et consorts c. Népal</w:t>
      </w:r>
      <w:r w:rsidRPr="002A5084">
        <w:rPr>
          <w:lang w:val="fr-FR"/>
        </w:rPr>
        <w:t xml:space="preserve">, </w:t>
      </w:r>
      <w:r>
        <w:rPr>
          <w:lang w:val="fr-FR"/>
        </w:rPr>
        <w:t xml:space="preserve">constatations adoptées le </w:t>
      </w:r>
      <w:r w:rsidRPr="002A5084">
        <w:rPr>
          <w:lang w:val="fr-FR"/>
        </w:rPr>
        <w:t>3</w:t>
      </w:r>
      <w:r>
        <w:rPr>
          <w:lang w:val="fr-FR"/>
        </w:rPr>
        <w:t> juillet 2015, par. </w:t>
      </w:r>
      <w:r w:rsidRPr="002A5084">
        <w:rPr>
          <w:lang w:val="fr-FR"/>
        </w:rPr>
        <w:t>10.9</w:t>
      </w:r>
      <w:r>
        <w:rPr>
          <w:lang w:val="fr-FR"/>
        </w:rPr>
        <w:t> ;</w:t>
      </w:r>
      <w:r w:rsidRPr="002A5084">
        <w:rPr>
          <w:lang w:val="fr-FR"/>
        </w:rPr>
        <w:t xml:space="preserve"> </w:t>
      </w:r>
      <w:r>
        <w:rPr>
          <w:lang w:val="fr-FR"/>
        </w:rPr>
        <w:t xml:space="preserve">et </w:t>
      </w:r>
      <w:r w:rsidR="00FE3E75">
        <w:rPr>
          <w:i/>
          <w:lang w:val="fr-FR"/>
        </w:rPr>
        <w:t>Serna et consorts</w:t>
      </w:r>
      <w:r w:rsidRPr="0072331E">
        <w:rPr>
          <w:i/>
          <w:iCs/>
          <w:lang w:val="fr-FR"/>
        </w:rPr>
        <w:t xml:space="preserve"> c. Colombie</w:t>
      </w:r>
      <w:r w:rsidRPr="009D4FEA">
        <w:rPr>
          <w:lang w:val="fr-FR"/>
        </w:rPr>
        <w:t>, par. 9.5.</w:t>
      </w:r>
    </w:p>
  </w:footnote>
  <w:footnote w:id="23">
    <w:p w:rsidR="00BF4912" w:rsidRPr="00683309" w:rsidRDefault="00BF4912">
      <w:pPr>
        <w:pStyle w:val="FootnoteText"/>
        <w:widowControl w:val="0"/>
        <w:tabs>
          <w:tab w:val="clear" w:pos="1021"/>
          <w:tab w:val="right" w:pos="1020"/>
        </w:tabs>
        <w:rPr>
          <w:lang w:val="fr-CH"/>
        </w:rPr>
      </w:pPr>
      <w:r w:rsidRPr="00D40799">
        <w:rPr>
          <w:lang w:val="fr-CH"/>
        </w:rPr>
        <w:tab/>
      </w:r>
      <w:r w:rsidRPr="00EF223D">
        <w:rPr>
          <w:rStyle w:val="FootnoteReference"/>
        </w:rPr>
        <w:footnoteRef/>
      </w:r>
      <w:r w:rsidRPr="00D40799">
        <w:rPr>
          <w:lang w:val="fr-CH"/>
        </w:rPr>
        <w:tab/>
      </w:r>
      <w:r w:rsidRPr="00506D12">
        <w:rPr>
          <w:szCs w:val="18"/>
          <w:lang w:val="fr-CH"/>
        </w:rPr>
        <w:t xml:space="preserve">Voir </w:t>
      </w:r>
      <w:r w:rsidR="00F5261C">
        <w:rPr>
          <w:szCs w:val="18"/>
          <w:lang w:val="fr-CH"/>
        </w:rPr>
        <w:t xml:space="preserve">la </w:t>
      </w:r>
      <w:r w:rsidRPr="00506D12">
        <w:rPr>
          <w:szCs w:val="18"/>
          <w:lang w:val="fr-CH"/>
        </w:rPr>
        <w:t>communication n</w:t>
      </w:r>
      <w:r w:rsidR="00F5261C" w:rsidRPr="0072331E">
        <w:rPr>
          <w:szCs w:val="18"/>
          <w:vertAlign w:val="superscript"/>
          <w:lang w:val="fr-CH"/>
        </w:rPr>
        <w:t>o</w:t>
      </w:r>
      <w:r w:rsidR="00F5261C">
        <w:rPr>
          <w:szCs w:val="18"/>
          <w:lang w:val="fr-CH"/>
        </w:rPr>
        <w:t> </w:t>
      </w:r>
      <w:r w:rsidRPr="00506D12">
        <w:rPr>
          <w:szCs w:val="18"/>
          <w:lang w:val="fr-CH"/>
        </w:rPr>
        <w:t xml:space="preserve">2132/2012, </w:t>
      </w:r>
      <w:r w:rsidRPr="00F5261C">
        <w:rPr>
          <w:i/>
          <w:szCs w:val="18"/>
          <w:lang w:val="fr-CH"/>
        </w:rPr>
        <w:t>Kerouane c. Algérie</w:t>
      </w:r>
      <w:r w:rsidRPr="00506D12">
        <w:rPr>
          <w:szCs w:val="18"/>
          <w:lang w:val="fr-CH"/>
        </w:rPr>
        <w:t>, constatations adoptées le 30 octobre 2014, par.</w:t>
      </w:r>
      <w:r w:rsidR="00E778DB">
        <w:rPr>
          <w:szCs w:val="18"/>
          <w:lang w:val="fr-CH"/>
        </w:rPr>
        <w:t> </w:t>
      </w:r>
      <w:r w:rsidRPr="00506D12">
        <w:rPr>
          <w:szCs w:val="18"/>
          <w:lang w:val="fr-CH"/>
        </w:rPr>
        <w:t>7.11.</w:t>
      </w:r>
      <w:r w:rsidRPr="00D40799">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12" w:rsidRPr="00597415" w:rsidRDefault="00BF4912" w:rsidP="00597415">
    <w:pPr>
      <w:pStyle w:val="Header"/>
    </w:pPr>
    <w:r>
      <w:t>CCPR/C/</w:t>
    </w:r>
    <w:r w:rsidRPr="00597415">
      <w:t>11</w:t>
    </w:r>
    <w:r>
      <w:t>9</w:t>
    </w:r>
    <w:r w:rsidRPr="00597415">
      <w:t>/D/</w:t>
    </w:r>
    <w:r>
      <w:t>2259/2013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12" w:rsidRPr="00597415" w:rsidRDefault="00BF4912" w:rsidP="00597415">
    <w:pPr>
      <w:pStyle w:val="Header"/>
      <w:jc w:val="right"/>
    </w:pPr>
    <w:r>
      <w:t>CCPR/C/</w:t>
    </w:r>
    <w:r w:rsidRPr="00597415">
      <w:t>11</w:t>
    </w:r>
    <w:r>
      <w:t>9</w:t>
    </w:r>
    <w:r w:rsidRPr="00597415">
      <w:t>/D/</w:t>
    </w:r>
    <w:r>
      <w:t>2259/2013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12" w:rsidRPr="000854CC" w:rsidRDefault="00BF4912" w:rsidP="000854CC">
    <w:pPr>
      <w:pStyle w:val="Header"/>
      <w:pBdr>
        <w:bottom w:val="none" w:sz="0" w:space="0" w:color="auto"/>
      </w:pBdr>
      <w:rPr>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94A5FE1"/>
    <w:multiLevelType w:val="hybridMultilevel"/>
    <w:tmpl w:val="8402C784"/>
    <w:lvl w:ilvl="0" w:tplc="5E848CC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BE85327"/>
    <w:multiLevelType w:val="hybridMultilevel"/>
    <w:tmpl w:val="40381806"/>
    <w:lvl w:ilvl="0" w:tplc="D16E07E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15F61"/>
    <w:multiLevelType w:val="multilevel"/>
    <w:tmpl w:val="B4B8AE1A"/>
    <w:lvl w:ilvl="0">
      <w:start w:val="1"/>
      <w:numFmt w:val="decimal"/>
      <w:lvlText w:val="%1"/>
      <w:lvlJc w:val="left"/>
      <w:pPr>
        <w:ind w:left="576" w:hanging="576"/>
      </w:pPr>
      <w:rPr>
        <w:rFonts w:hint="default"/>
      </w:rPr>
    </w:lvl>
    <w:lvl w:ilvl="1">
      <w:start w:val="1"/>
      <w:numFmt w:val="decimal"/>
      <w:lvlText w:val="%1.%2"/>
      <w:lvlJc w:val="left"/>
      <w:pPr>
        <w:ind w:left="1710" w:hanging="576"/>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26BB1B3C"/>
    <w:multiLevelType w:val="hybridMultilevel"/>
    <w:tmpl w:val="1B3C1108"/>
    <w:lvl w:ilvl="0" w:tplc="7FEE59F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D747DA5"/>
    <w:multiLevelType w:val="hybridMultilevel"/>
    <w:tmpl w:val="2264CA0C"/>
    <w:lvl w:ilvl="0" w:tplc="E494AA7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4"/>
  </w:num>
  <w:num w:numId="3">
    <w:abstractNumId w:val="0"/>
  </w:num>
  <w:num w:numId="4">
    <w:abstractNumId w:val="10"/>
  </w:num>
  <w:num w:numId="5">
    <w:abstractNumId w:val="11"/>
  </w:num>
  <w:num w:numId="6">
    <w:abstractNumId w:val="13"/>
  </w:num>
  <w:num w:numId="7">
    <w:abstractNumId w:val="1"/>
  </w:num>
  <w:num w:numId="8">
    <w:abstractNumId w:val="5"/>
  </w:num>
  <w:num w:numId="9">
    <w:abstractNumId w:val="2"/>
  </w:num>
  <w:num w:numId="10">
    <w:abstractNumId w:val="7"/>
  </w:num>
  <w:num w:numId="11">
    <w:abstractNumId w:val="3"/>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17"/>
    <w:rsid w:val="00000598"/>
    <w:rsid w:val="000007C3"/>
    <w:rsid w:val="00000B29"/>
    <w:rsid w:val="00001042"/>
    <w:rsid w:val="00003329"/>
    <w:rsid w:val="000039FB"/>
    <w:rsid w:val="000044FD"/>
    <w:rsid w:val="0000589F"/>
    <w:rsid w:val="0001161D"/>
    <w:rsid w:val="00012299"/>
    <w:rsid w:val="00012A6A"/>
    <w:rsid w:val="000141F8"/>
    <w:rsid w:val="000158F1"/>
    <w:rsid w:val="00015B6F"/>
    <w:rsid w:val="00021E5D"/>
    <w:rsid w:val="00023459"/>
    <w:rsid w:val="000238E8"/>
    <w:rsid w:val="00025711"/>
    <w:rsid w:val="00035085"/>
    <w:rsid w:val="0003530E"/>
    <w:rsid w:val="00035604"/>
    <w:rsid w:val="00037CC2"/>
    <w:rsid w:val="00040342"/>
    <w:rsid w:val="0004066F"/>
    <w:rsid w:val="00043791"/>
    <w:rsid w:val="00046E92"/>
    <w:rsid w:val="00047D17"/>
    <w:rsid w:val="00047D61"/>
    <w:rsid w:val="00051B24"/>
    <w:rsid w:val="00051DCE"/>
    <w:rsid w:val="00053C07"/>
    <w:rsid w:val="00054D99"/>
    <w:rsid w:val="00060192"/>
    <w:rsid w:val="00061DD2"/>
    <w:rsid w:val="00062B82"/>
    <w:rsid w:val="000642DA"/>
    <w:rsid w:val="00064581"/>
    <w:rsid w:val="0006523D"/>
    <w:rsid w:val="000656A5"/>
    <w:rsid w:val="00066270"/>
    <w:rsid w:val="00066399"/>
    <w:rsid w:val="00066D51"/>
    <w:rsid w:val="00066EAC"/>
    <w:rsid w:val="00066FD4"/>
    <w:rsid w:val="000671D9"/>
    <w:rsid w:val="00070B22"/>
    <w:rsid w:val="00073D70"/>
    <w:rsid w:val="000740D1"/>
    <w:rsid w:val="00074115"/>
    <w:rsid w:val="00074514"/>
    <w:rsid w:val="0007478D"/>
    <w:rsid w:val="00075253"/>
    <w:rsid w:val="0007570E"/>
    <w:rsid w:val="00075F3D"/>
    <w:rsid w:val="00076968"/>
    <w:rsid w:val="00081114"/>
    <w:rsid w:val="00081444"/>
    <w:rsid w:val="00081A7D"/>
    <w:rsid w:val="00082BDF"/>
    <w:rsid w:val="00083B8F"/>
    <w:rsid w:val="00083EB4"/>
    <w:rsid w:val="00084D5C"/>
    <w:rsid w:val="0008515B"/>
    <w:rsid w:val="000854CC"/>
    <w:rsid w:val="00086829"/>
    <w:rsid w:val="00086EB5"/>
    <w:rsid w:val="000873F4"/>
    <w:rsid w:val="00087EE7"/>
    <w:rsid w:val="000912EC"/>
    <w:rsid w:val="00091E35"/>
    <w:rsid w:val="00093044"/>
    <w:rsid w:val="0009339E"/>
    <w:rsid w:val="00094E35"/>
    <w:rsid w:val="00096E35"/>
    <w:rsid w:val="00097054"/>
    <w:rsid w:val="00097173"/>
    <w:rsid w:val="000A1B7A"/>
    <w:rsid w:val="000A2C3E"/>
    <w:rsid w:val="000A329A"/>
    <w:rsid w:val="000A6335"/>
    <w:rsid w:val="000B1389"/>
    <w:rsid w:val="000B627E"/>
    <w:rsid w:val="000B7CF3"/>
    <w:rsid w:val="000C2DC5"/>
    <w:rsid w:val="000C30F8"/>
    <w:rsid w:val="000C37CE"/>
    <w:rsid w:val="000C3E6C"/>
    <w:rsid w:val="000C445C"/>
    <w:rsid w:val="000C4E11"/>
    <w:rsid w:val="000C5C0F"/>
    <w:rsid w:val="000C65DD"/>
    <w:rsid w:val="000C6690"/>
    <w:rsid w:val="000C7074"/>
    <w:rsid w:val="000C7811"/>
    <w:rsid w:val="000D0D47"/>
    <w:rsid w:val="000D5948"/>
    <w:rsid w:val="000D78BF"/>
    <w:rsid w:val="000D7BF7"/>
    <w:rsid w:val="000E053F"/>
    <w:rsid w:val="000E0F77"/>
    <w:rsid w:val="000E3041"/>
    <w:rsid w:val="000E33D8"/>
    <w:rsid w:val="000E5585"/>
    <w:rsid w:val="000E55C4"/>
    <w:rsid w:val="000E5816"/>
    <w:rsid w:val="000E5E7D"/>
    <w:rsid w:val="000E6345"/>
    <w:rsid w:val="000E6561"/>
    <w:rsid w:val="000E7BF7"/>
    <w:rsid w:val="000F1C8E"/>
    <w:rsid w:val="000F2816"/>
    <w:rsid w:val="000F4FC9"/>
    <w:rsid w:val="000F7B45"/>
    <w:rsid w:val="0010240E"/>
    <w:rsid w:val="00102B9C"/>
    <w:rsid w:val="00103A40"/>
    <w:rsid w:val="00106286"/>
    <w:rsid w:val="00106B22"/>
    <w:rsid w:val="00111EFC"/>
    <w:rsid w:val="00112187"/>
    <w:rsid w:val="00112EB5"/>
    <w:rsid w:val="00113619"/>
    <w:rsid w:val="00114774"/>
    <w:rsid w:val="00117C62"/>
    <w:rsid w:val="00122147"/>
    <w:rsid w:val="001221DA"/>
    <w:rsid w:val="001253C2"/>
    <w:rsid w:val="00126FAA"/>
    <w:rsid w:val="001271D9"/>
    <w:rsid w:val="00130A30"/>
    <w:rsid w:val="00131D7A"/>
    <w:rsid w:val="001340B4"/>
    <w:rsid w:val="00140085"/>
    <w:rsid w:val="0014050F"/>
    <w:rsid w:val="00143253"/>
    <w:rsid w:val="001437B7"/>
    <w:rsid w:val="00144384"/>
    <w:rsid w:val="001462EF"/>
    <w:rsid w:val="00147816"/>
    <w:rsid w:val="0015107E"/>
    <w:rsid w:val="001513D1"/>
    <w:rsid w:val="00151982"/>
    <w:rsid w:val="00152E75"/>
    <w:rsid w:val="00155C6F"/>
    <w:rsid w:val="00157AAF"/>
    <w:rsid w:val="00157D8E"/>
    <w:rsid w:val="00164763"/>
    <w:rsid w:val="0016516F"/>
    <w:rsid w:val="00165C15"/>
    <w:rsid w:val="00166E16"/>
    <w:rsid w:val="001707DB"/>
    <w:rsid w:val="00170A21"/>
    <w:rsid w:val="00170B78"/>
    <w:rsid w:val="001719D6"/>
    <w:rsid w:val="00171C4C"/>
    <w:rsid w:val="00171D8B"/>
    <w:rsid w:val="00174F3E"/>
    <w:rsid w:val="0017651C"/>
    <w:rsid w:val="001777F3"/>
    <w:rsid w:val="00180A2A"/>
    <w:rsid w:val="001842F6"/>
    <w:rsid w:val="0018463A"/>
    <w:rsid w:val="00186077"/>
    <w:rsid w:val="0018656D"/>
    <w:rsid w:val="00187EA7"/>
    <w:rsid w:val="00191A39"/>
    <w:rsid w:val="00191C8E"/>
    <w:rsid w:val="00192E04"/>
    <w:rsid w:val="00194083"/>
    <w:rsid w:val="001942A2"/>
    <w:rsid w:val="00194C71"/>
    <w:rsid w:val="0019577E"/>
    <w:rsid w:val="00195E08"/>
    <w:rsid w:val="001A304C"/>
    <w:rsid w:val="001A3213"/>
    <w:rsid w:val="001A3D03"/>
    <w:rsid w:val="001A698B"/>
    <w:rsid w:val="001A7600"/>
    <w:rsid w:val="001A7740"/>
    <w:rsid w:val="001A7980"/>
    <w:rsid w:val="001B3904"/>
    <w:rsid w:val="001B53EE"/>
    <w:rsid w:val="001B54CA"/>
    <w:rsid w:val="001B63A1"/>
    <w:rsid w:val="001B7291"/>
    <w:rsid w:val="001C0BCD"/>
    <w:rsid w:val="001C2F09"/>
    <w:rsid w:val="001C5DD3"/>
    <w:rsid w:val="001C623E"/>
    <w:rsid w:val="001C658A"/>
    <w:rsid w:val="001C79EB"/>
    <w:rsid w:val="001D04E2"/>
    <w:rsid w:val="001D06BD"/>
    <w:rsid w:val="001D1283"/>
    <w:rsid w:val="001D2348"/>
    <w:rsid w:val="001D3756"/>
    <w:rsid w:val="001D3974"/>
    <w:rsid w:val="001D4DF9"/>
    <w:rsid w:val="001D509B"/>
    <w:rsid w:val="001D5D43"/>
    <w:rsid w:val="001D789C"/>
    <w:rsid w:val="001E01D8"/>
    <w:rsid w:val="001E42DA"/>
    <w:rsid w:val="001E4480"/>
    <w:rsid w:val="001E7A39"/>
    <w:rsid w:val="001F1521"/>
    <w:rsid w:val="001F3D2B"/>
    <w:rsid w:val="001F3E29"/>
    <w:rsid w:val="001F48FD"/>
    <w:rsid w:val="001F4C90"/>
    <w:rsid w:val="001F570A"/>
    <w:rsid w:val="001F6047"/>
    <w:rsid w:val="00200124"/>
    <w:rsid w:val="002003D6"/>
    <w:rsid w:val="00200809"/>
    <w:rsid w:val="00200C05"/>
    <w:rsid w:val="002022A2"/>
    <w:rsid w:val="002027E7"/>
    <w:rsid w:val="00204879"/>
    <w:rsid w:val="00207FF0"/>
    <w:rsid w:val="00211358"/>
    <w:rsid w:val="00211C2F"/>
    <w:rsid w:val="0021349E"/>
    <w:rsid w:val="00213A23"/>
    <w:rsid w:val="00214051"/>
    <w:rsid w:val="00214966"/>
    <w:rsid w:val="002163CF"/>
    <w:rsid w:val="00216BEF"/>
    <w:rsid w:val="00216F72"/>
    <w:rsid w:val="002232DC"/>
    <w:rsid w:val="00223C56"/>
    <w:rsid w:val="00224621"/>
    <w:rsid w:val="00224DBA"/>
    <w:rsid w:val="002270D8"/>
    <w:rsid w:val="00227189"/>
    <w:rsid w:val="00231AA2"/>
    <w:rsid w:val="0023255D"/>
    <w:rsid w:val="00232C56"/>
    <w:rsid w:val="0023394E"/>
    <w:rsid w:val="002339CD"/>
    <w:rsid w:val="00233B1B"/>
    <w:rsid w:val="002345CE"/>
    <w:rsid w:val="002375A0"/>
    <w:rsid w:val="002401D3"/>
    <w:rsid w:val="0024087C"/>
    <w:rsid w:val="0024110B"/>
    <w:rsid w:val="00242BF4"/>
    <w:rsid w:val="0024787E"/>
    <w:rsid w:val="00247E2C"/>
    <w:rsid w:val="0025104C"/>
    <w:rsid w:val="00251497"/>
    <w:rsid w:val="00252275"/>
    <w:rsid w:val="00252F0A"/>
    <w:rsid w:val="00254D22"/>
    <w:rsid w:val="00257FDB"/>
    <w:rsid w:val="00260CF6"/>
    <w:rsid w:val="00262D86"/>
    <w:rsid w:val="00263A2B"/>
    <w:rsid w:val="00263C28"/>
    <w:rsid w:val="002651E3"/>
    <w:rsid w:val="002661E0"/>
    <w:rsid w:val="00267E71"/>
    <w:rsid w:val="00270E86"/>
    <w:rsid w:val="00272E8C"/>
    <w:rsid w:val="00280D53"/>
    <w:rsid w:val="00282736"/>
    <w:rsid w:val="00282934"/>
    <w:rsid w:val="00283D72"/>
    <w:rsid w:val="00283EB3"/>
    <w:rsid w:val="00286DFE"/>
    <w:rsid w:val="00287C66"/>
    <w:rsid w:val="002904D4"/>
    <w:rsid w:val="0029074E"/>
    <w:rsid w:val="00291E5F"/>
    <w:rsid w:val="00292215"/>
    <w:rsid w:val="00293836"/>
    <w:rsid w:val="00293C1A"/>
    <w:rsid w:val="00293D64"/>
    <w:rsid w:val="002956BA"/>
    <w:rsid w:val="00295E3B"/>
    <w:rsid w:val="002962C7"/>
    <w:rsid w:val="0029686D"/>
    <w:rsid w:val="00296ED6"/>
    <w:rsid w:val="00297593"/>
    <w:rsid w:val="002A072E"/>
    <w:rsid w:val="002A098D"/>
    <w:rsid w:val="002A2608"/>
    <w:rsid w:val="002A2CB1"/>
    <w:rsid w:val="002A4BF4"/>
    <w:rsid w:val="002A5F3A"/>
    <w:rsid w:val="002A6B95"/>
    <w:rsid w:val="002B2CF7"/>
    <w:rsid w:val="002B2DC6"/>
    <w:rsid w:val="002B37C2"/>
    <w:rsid w:val="002B3D7B"/>
    <w:rsid w:val="002B5A74"/>
    <w:rsid w:val="002B60C7"/>
    <w:rsid w:val="002C1979"/>
    <w:rsid w:val="002C290D"/>
    <w:rsid w:val="002C3444"/>
    <w:rsid w:val="002C5AD4"/>
    <w:rsid w:val="002C6BE9"/>
    <w:rsid w:val="002D458B"/>
    <w:rsid w:val="002D6C53"/>
    <w:rsid w:val="002E14A4"/>
    <w:rsid w:val="002E3B84"/>
    <w:rsid w:val="002E3DB0"/>
    <w:rsid w:val="002E40C7"/>
    <w:rsid w:val="002E642F"/>
    <w:rsid w:val="002E6FB4"/>
    <w:rsid w:val="002E6FC5"/>
    <w:rsid w:val="002E7D98"/>
    <w:rsid w:val="002E7E22"/>
    <w:rsid w:val="002F2813"/>
    <w:rsid w:val="002F2F90"/>
    <w:rsid w:val="002F3484"/>
    <w:rsid w:val="002F3C27"/>
    <w:rsid w:val="002F5595"/>
    <w:rsid w:val="002F56D6"/>
    <w:rsid w:val="002F62E5"/>
    <w:rsid w:val="003016C3"/>
    <w:rsid w:val="00301B3D"/>
    <w:rsid w:val="00307B78"/>
    <w:rsid w:val="00307D66"/>
    <w:rsid w:val="003112C1"/>
    <w:rsid w:val="0031278C"/>
    <w:rsid w:val="003129A6"/>
    <w:rsid w:val="00312EC4"/>
    <w:rsid w:val="003139FC"/>
    <w:rsid w:val="00314A4E"/>
    <w:rsid w:val="00316B29"/>
    <w:rsid w:val="00320899"/>
    <w:rsid w:val="00321342"/>
    <w:rsid w:val="003240ED"/>
    <w:rsid w:val="0032588D"/>
    <w:rsid w:val="0033016D"/>
    <w:rsid w:val="0033268A"/>
    <w:rsid w:val="00334F6A"/>
    <w:rsid w:val="00337F05"/>
    <w:rsid w:val="003426FD"/>
    <w:rsid w:val="00342AC8"/>
    <w:rsid w:val="00342DA3"/>
    <w:rsid w:val="0034448C"/>
    <w:rsid w:val="00346C2A"/>
    <w:rsid w:val="00346F23"/>
    <w:rsid w:val="00347BC2"/>
    <w:rsid w:val="00351F71"/>
    <w:rsid w:val="003524B7"/>
    <w:rsid w:val="00355132"/>
    <w:rsid w:val="003563A1"/>
    <w:rsid w:val="0035715A"/>
    <w:rsid w:val="00360017"/>
    <w:rsid w:val="00362D7D"/>
    <w:rsid w:val="00363279"/>
    <w:rsid w:val="003657ED"/>
    <w:rsid w:val="00365BC6"/>
    <w:rsid w:val="00365DE2"/>
    <w:rsid w:val="003663F4"/>
    <w:rsid w:val="003718B8"/>
    <w:rsid w:val="00372075"/>
    <w:rsid w:val="00372857"/>
    <w:rsid w:val="00372B23"/>
    <w:rsid w:val="00373A09"/>
    <w:rsid w:val="00373D94"/>
    <w:rsid w:val="00374C8A"/>
    <w:rsid w:val="003759FA"/>
    <w:rsid w:val="003804D1"/>
    <w:rsid w:val="0038070F"/>
    <w:rsid w:val="00381854"/>
    <w:rsid w:val="00381C25"/>
    <w:rsid w:val="00382C07"/>
    <w:rsid w:val="0038381E"/>
    <w:rsid w:val="00383A31"/>
    <w:rsid w:val="003841C6"/>
    <w:rsid w:val="00384907"/>
    <w:rsid w:val="0038571A"/>
    <w:rsid w:val="00385D9A"/>
    <w:rsid w:val="00386508"/>
    <w:rsid w:val="003868A1"/>
    <w:rsid w:val="0039447B"/>
    <w:rsid w:val="00394DDE"/>
    <w:rsid w:val="00396DCC"/>
    <w:rsid w:val="003A183A"/>
    <w:rsid w:val="003A1B18"/>
    <w:rsid w:val="003A2432"/>
    <w:rsid w:val="003A2AA6"/>
    <w:rsid w:val="003A31CB"/>
    <w:rsid w:val="003A4A67"/>
    <w:rsid w:val="003A4AF7"/>
    <w:rsid w:val="003A647B"/>
    <w:rsid w:val="003A72F2"/>
    <w:rsid w:val="003A7DB1"/>
    <w:rsid w:val="003B1917"/>
    <w:rsid w:val="003B2927"/>
    <w:rsid w:val="003B4550"/>
    <w:rsid w:val="003B4D71"/>
    <w:rsid w:val="003B6729"/>
    <w:rsid w:val="003B6ED6"/>
    <w:rsid w:val="003B7965"/>
    <w:rsid w:val="003C1666"/>
    <w:rsid w:val="003C23FF"/>
    <w:rsid w:val="003C24BA"/>
    <w:rsid w:val="003C373D"/>
    <w:rsid w:val="003C4191"/>
    <w:rsid w:val="003C46C7"/>
    <w:rsid w:val="003C48D4"/>
    <w:rsid w:val="003C49ED"/>
    <w:rsid w:val="003C7909"/>
    <w:rsid w:val="003D1513"/>
    <w:rsid w:val="003D270C"/>
    <w:rsid w:val="003D2D09"/>
    <w:rsid w:val="003D2F75"/>
    <w:rsid w:val="003D3403"/>
    <w:rsid w:val="003D444E"/>
    <w:rsid w:val="003D6488"/>
    <w:rsid w:val="003D7C3E"/>
    <w:rsid w:val="003E13E5"/>
    <w:rsid w:val="003E2228"/>
    <w:rsid w:val="003E25AD"/>
    <w:rsid w:val="003E5FA7"/>
    <w:rsid w:val="003E6DC5"/>
    <w:rsid w:val="003E6DEF"/>
    <w:rsid w:val="003E6E96"/>
    <w:rsid w:val="003E7159"/>
    <w:rsid w:val="003F047A"/>
    <w:rsid w:val="003F189E"/>
    <w:rsid w:val="003F2680"/>
    <w:rsid w:val="003F4F09"/>
    <w:rsid w:val="003F72B2"/>
    <w:rsid w:val="003F7982"/>
    <w:rsid w:val="00401C57"/>
    <w:rsid w:val="0040302B"/>
    <w:rsid w:val="004078BA"/>
    <w:rsid w:val="004079A5"/>
    <w:rsid w:val="00413BCA"/>
    <w:rsid w:val="0041688C"/>
    <w:rsid w:val="0041694A"/>
    <w:rsid w:val="0042305E"/>
    <w:rsid w:val="0042448E"/>
    <w:rsid w:val="00425D3D"/>
    <w:rsid w:val="00430678"/>
    <w:rsid w:val="00432CD0"/>
    <w:rsid w:val="0043309F"/>
    <w:rsid w:val="0043349B"/>
    <w:rsid w:val="00435808"/>
    <w:rsid w:val="0043631E"/>
    <w:rsid w:val="00436DB8"/>
    <w:rsid w:val="004371F5"/>
    <w:rsid w:val="00440229"/>
    <w:rsid w:val="00440E41"/>
    <w:rsid w:val="00442A74"/>
    <w:rsid w:val="00443636"/>
    <w:rsid w:val="0044446E"/>
    <w:rsid w:val="00445F77"/>
    <w:rsid w:val="00450DA3"/>
    <w:rsid w:val="004513CB"/>
    <w:rsid w:val="00453090"/>
    <w:rsid w:val="00454772"/>
    <w:rsid w:val="004549C3"/>
    <w:rsid w:val="00455A36"/>
    <w:rsid w:val="00455CE9"/>
    <w:rsid w:val="00456710"/>
    <w:rsid w:val="004567EC"/>
    <w:rsid w:val="0045724B"/>
    <w:rsid w:val="00460654"/>
    <w:rsid w:val="00461253"/>
    <w:rsid w:val="00461B78"/>
    <w:rsid w:val="0046245E"/>
    <w:rsid w:val="00464F4C"/>
    <w:rsid w:val="00465689"/>
    <w:rsid w:val="00467169"/>
    <w:rsid w:val="00467AA8"/>
    <w:rsid w:val="00467C74"/>
    <w:rsid w:val="00473446"/>
    <w:rsid w:val="004737D5"/>
    <w:rsid w:val="00473FA6"/>
    <w:rsid w:val="00474589"/>
    <w:rsid w:val="00475723"/>
    <w:rsid w:val="004757DF"/>
    <w:rsid w:val="00475DC8"/>
    <w:rsid w:val="004760C3"/>
    <w:rsid w:val="004774B9"/>
    <w:rsid w:val="00477AD9"/>
    <w:rsid w:val="00477E70"/>
    <w:rsid w:val="0048130A"/>
    <w:rsid w:val="00481693"/>
    <w:rsid w:val="0048429F"/>
    <w:rsid w:val="004869DD"/>
    <w:rsid w:val="004901B8"/>
    <w:rsid w:val="004919D5"/>
    <w:rsid w:val="00491D58"/>
    <w:rsid w:val="0049369A"/>
    <w:rsid w:val="00494940"/>
    <w:rsid w:val="00494BFD"/>
    <w:rsid w:val="00495984"/>
    <w:rsid w:val="00496ADD"/>
    <w:rsid w:val="00496E80"/>
    <w:rsid w:val="004A033D"/>
    <w:rsid w:val="004A051E"/>
    <w:rsid w:val="004A0822"/>
    <w:rsid w:val="004A19BB"/>
    <w:rsid w:val="004A1BA1"/>
    <w:rsid w:val="004A5606"/>
    <w:rsid w:val="004A5758"/>
    <w:rsid w:val="004A6421"/>
    <w:rsid w:val="004A6816"/>
    <w:rsid w:val="004A736B"/>
    <w:rsid w:val="004B06A9"/>
    <w:rsid w:val="004B099F"/>
    <w:rsid w:val="004B135A"/>
    <w:rsid w:val="004B1FD2"/>
    <w:rsid w:val="004B21C1"/>
    <w:rsid w:val="004B3B95"/>
    <w:rsid w:val="004B42A3"/>
    <w:rsid w:val="004B6130"/>
    <w:rsid w:val="004B630E"/>
    <w:rsid w:val="004B6E0C"/>
    <w:rsid w:val="004B7668"/>
    <w:rsid w:val="004C496B"/>
    <w:rsid w:val="004C6578"/>
    <w:rsid w:val="004C70DB"/>
    <w:rsid w:val="004C73B0"/>
    <w:rsid w:val="004D0580"/>
    <w:rsid w:val="004D13F2"/>
    <w:rsid w:val="004D1AA1"/>
    <w:rsid w:val="004D530D"/>
    <w:rsid w:val="004D572F"/>
    <w:rsid w:val="004E4690"/>
    <w:rsid w:val="004E4F0D"/>
    <w:rsid w:val="004E7B9A"/>
    <w:rsid w:val="004F1B4C"/>
    <w:rsid w:val="004F4F81"/>
    <w:rsid w:val="004F6FBE"/>
    <w:rsid w:val="00500559"/>
    <w:rsid w:val="005013E9"/>
    <w:rsid w:val="005042C2"/>
    <w:rsid w:val="00504A67"/>
    <w:rsid w:val="00506664"/>
    <w:rsid w:val="00510C2F"/>
    <w:rsid w:val="00511959"/>
    <w:rsid w:val="00513A72"/>
    <w:rsid w:val="00515273"/>
    <w:rsid w:val="005159B2"/>
    <w:rsid w:val="00516090"/>
    <w:rsid w:val="005204AA"/>
    <w:rsid w:val="00525734"/>
    <w:rsid w:val="0053240A"/>
    <w:rsid w:val="00532D2E"/>
    <w:rsid w:val="00535240"/>
    <w:rsid w:val="00540E81"/>
    <w:rsid w:val="00542C14"/>
    <w:rsid w:val="0054408A"/>
    <w:rsid w:val="00545363"/>
    <w:rsid w:val="005458CC"/>
    <w:rsid w:val="005477CD"/>
    <w:rsid w:val="00556655"/>
    <w:rsid w:val="00557F22"/>
    <w:rsid w:val="0056323E"/>
    <w:rsid w:val="00567FBE"/>
    <w:rsid w:val="00574006"/>
    <w:rsid w:val="00574B85"/>
    <w:rsid w:val="0057582D"/>
    <w:rsid w:val="00576466"/>
    <w:rsid w:val="005830AF"/>
    <w:rsid w:val="00583923"/>
    <w:rsid w:val="00583E2C"/>
    <w:rsid w:val="0058400F"/>
    <w:rsid w:val="0058515D"/>
    <w:rsid w:val="00586FB7"/>
    <w:rsid w:val="00587711"/>
    <w:rsid w:val="005908C7"/>
    <w:rsid w:val="00590EC6"/>
    <w:rsid w:val="00591E51"/>
    <w:rsid w:val="005920EB"/>
    <w:rsid w:val="00593643"/>
    <w:rsid w:val="005938DB"/>
    <w:rsid w:val="00597415"/>
    <w:rsid w:val="005A0597"/>
    <w:rsid w:val="005A2524"/>
    <w:rsid w:val="005A32DA"/>
    <w:rsid w:val="005A4276"/>
    <w:rsid w:val="005A54CA"/>
    <w:rsid w:val="005A54DE"/>
    <w:rsid w:val="005A5845"/>
    <w:rsid w:val="005A6406"/>
    <w:rsid w:val="005A65A3"/>
    <w:rsid w:val="005A7E23"/>
    <w:rsid w:val="005B01AC"/>
    <w:rsid w:val="005B0817"/>
    <w:rsid w:val="005B2FD5"/>
    <w:rsid w:val="005B3277"/>
    <w:rsid w:val="005B444E"/>
    <w:rsid w:val="005B481A"/>
    <w:rsid w:val="005B596F"/>
    <w:rsid w:val="005B62C2"/>
    <w:rsid w:val="005B7E6F"/>
    <w:rsid w:val="005C18BB"/>
    <w:rsid w:val="005C2614"/>
    <w:rsid w:val="005C3117"/>
    <w:rsid w:val="005C4836"/>
    <w:rsid w:val="005C582D"/>
    <w:rsid w:val="005D120D"/>
    <w:rsid w:val="005D1B93"/>
    <w:rsid w:val="005D7DBD"/>
    <w:rsid w:val="005E0325"/>
    <w:rsid w:val="005E7EAF"/>
    <w:rsid w:val="005F06C0"/>
    <w:rsid w:val="005F23D3"/>
    <w:rsid w:val="005F3124"/>
    <w:rsid w:val="005F4755"/>
    <w:rsid w:val="005F4B1F"/>
    <w:rsid w:val="005F4BB9"/>
    <w:rsid w:val="005F5130"/>
    <w:rsid w:val="005F628D"/>
    <w:rsid w:val="00602E7C"/>
    <w:rsid w:val="00603150"/>
    <w:rsid w:val="00603F36"/>
    <w:rsid w:val="00610D5B"/>
    <w:rsid w:val="00611058"/>
    <w:rsid w:val="0061134A"/>
    <w:rsid w:val="0061185A"/>
    <w:rsid w:val="00613D27"/>
    <w:rsid w:val="0061477F"/>
    <w:rsid w:val="00615C9B"/>
    <w:rsid w:val="00616D57"/>
    <w:rsid w:val="0061705E"/>
    <w:rsid w:val="0062525E"/>
    <w:rsid w:val="00625510"/>
    <w:rsid w:val="006258D0"/>
    <w:rsid w:val="00631114"/>
    <w:rsid w:val="006314DF"/>
    <w:rsid w:val="00633676"/>
    <w:rsid w:val="0063383A"/>
    <w:rsid w:val="006356AA"/>
    <w:rsid w:val="00635BCA"/>
    <w:rsid w:val="00635BE3"/>
    <w:rsid w:val="00636FDD"/>
    <w:rsid w:val="00640AC1"/>
    <w:rsid w:val="0064291A"/>
    <w:rsid w:val="00643AE9"/>
    <w:rsid w:val="00644772"/>
    <w:rsid w:val="00644CAD"/>
    <w:rsid w:val="0064681D"/>
    <w:rsid w:val="00646FDA"/>
    <w:rsid w:val="00647D33"/>
    <w:rsid w:val="00650F38"/>
    <w:rsid w:val="006519EC"/>
    <w:rsid w:val="00651F1F"/>
    <w:rsid w:val="00651F4B"/>
    <w:rsid w:val="00653E14"/>
    <w:rsid w:val="00655DCC"/>
    <w:rsid w:val="006658A1"/>
    <w:rsid w:val="00665A94"/>
    <w:rsid w:val="00670232"/>
    <w:rsid w:val="00671529"/>
    <w:rsid w:val="00673E02"/>
    <w:rsid w:val="006748EC"/>
    <w:rsid w:val="00676A5C"/>
    <w:rsid w:val="00677078"/>
    <w:rsid w:val="00677E94"/>
    <w:rsid w:val="006833E2"/>
    <w:rsid w:val="006854CC"/>
    <w:rsid w:val="00685DEB"/>
    <w:rsid w:val="00686130"/>
    <w:rsid w:val="00686C25"/>
    <w:rsid w:val="00690882"/>
    <w:rsid w:val="00690887"/>
    <w:rsid w:val="00690FBD"/>
    <w:rsid w:val="006921DB"/>
    <w:rsid w:val="00694AF2"/>
    <w:rsid w:val="00695757"/>
    <w:rsid w:val="00696494"/>
    <w:rsid w:val="006A04CA"/>
    <w:rsid w:val="006A0F7E"/>
    <w:rsid w:val="006A2407"/>
    <w:rsid w:val="006A39AD"/>
    <w:rsid w:val="006A74CB"/>
    <w:rsid w:val="006B1229"/>
    <w:rsid w:val="006B3E8F"/>
    <w:rsid w:val="006B57A8"/>
    <w:rsid w:val="006B6FA2"/>
    <w:rsid w:val="006B7449"/>
    <w:rsid w:val="006C2FA9"/>
    <w:rsid w:val="006C361F"/>
    <w:rsid w:val="006C3D13"/>
    <w:rsid w:val="006C4711"/>
    <w:rsid w:val="006C5B87"/>
    <w:rsid w:val="006D042A"/>
    <w:rsid w:val="006D0C70"/>
    <w:rsid w:val="006D417D"/>
    <w:rsid w:val="006D4F07"/>
    <w:rsid w:val="006D590B"/>
    <w:rsid w:val="006D5A44"/>
    <w:rsid w:val="006D6876"/>
    <w:rsid w:val="006D711D"/>
    <w:rsid w:val="006D7342"/>
    <w:rsid w:val="006E026B"/>
    <w:rsid w:val="006E1961"/>
    <w:rsid w:val="006E19CF"/>
    <w:rsid w:val="006E5807"/>
    <w:rsid w:val="006E612A"/>
    <w:rsid w:val="006E7306"/>
    <w:rsid w:val="006E77C4"/>
    <w:rsid w:val="006E789A"/>
    <w:rsid w:val="006F355F"/>
    <w:rsid w:val="006F45F2"/>
    <w:rsid w:val="006F467E"/>
    <w:rsid w:val="00701763"/>
    <w:rsid w:val="007027BD"/>
    <w:rsid w:val="007032BB"/>
    <w:rsid w:val="0070395D"/>
    <w:rsid w:val="00703B51"/>
    <w:rsid w:val="0070593F"/>
    <w:rsid w:val="007064E6"/>
    <w:rsid w:val="00707D99"/>
    <w:rsid w:val="00712B60"/>
    <w:rsid w:val="0071372D"/>
    <w:rsid w:val="007144CB"/>
    <w:rsid w:val="0071482C"/>
    <w:rsid w:val="00720510"/>
    <w:rsid w:val="00722010"/>
    <w:rsid w:val="0072331E"/>
    <w:rsid w:val="00723340"/>
    <w:rsid w:val="007241AE"/>
    <w:rsid w:val="007268F9"/>
    <w:rsid w:val="00727A4C"/>
    <w:rsid w:val="00730157"/>
    <w:rsid w:val="0073066C"/>
    <w:rsid w:val="00731C0E"/>
    <w:rsid w:val="00731EF1"/>
    <w:rsid w:val="0073286C"/>
    <w:rsid w:val="00733DB3"/>
    <w:rsid w:val="00733F7C"/>
    <w:rsid w:val="007356EF"/>
    <w:rsid w:val="00736006"/>
    <w:rsid w:val="007370BB"/>
    <w:rsid w:val="007407FF"/>
    <w:rsid w:val="00740B56"/>
    <w:rsid w:val="00741252"/>
    <w:rsid w:val="00741433"/>
    <w:rsid w:val="007414C6"/>
    <w:rsid w:val="0074270F"/>
    <w:rsid w:val="007443E9"/>
    <w:rsid w:val="00745E6E"/>
    <w:rsid w:val="007462DB"/>
    <w:rsid w:val="00746B63"/>
    <w:rsid w:val="00750D66"/>
    <w:rsid w:val="007515DE"/>
    <w:rsid w:val="007516EC"/>
    <w:rsid w:val="00751D0C"/>
    <w:rsid w:val="007534A8"/>
    <w:rsid w:val="00755522"/>
    <w:rsid w:val="00755EE1"/>
    <w:rsid w:val="007562B4"/>
    <w:rsid w:val="007564AB"/>
    <w:rsid w:val="007565F9"/>
    <w:rsid w:val="00757010"/>
    <w:rsid w:val="00760390"/>
    <w:rsid w:val="007608E0"/>
    <w:rsid w:val="00760A3E"/>
    <w:rsid w:val="00761F6A"/>
    <w:rsid w:val="00762CF4"/>
    <w:rsid w:val="00762F61"/>
    <w:rsid w:val="007638C3"/>
    <w:rsid w:val="00764E16"/>
    <w:rsid w:val="007657D6"/>
    <w:rsid w:val="007670FE"/>
    <w:rsid w:val="00767951"/>
    <w:rsid w:val="00772E00"/>
    <w:rsid w:val="007754DB"/>
    <w:rsid w:val="00775908"/>
    <w:rsid w:val="0077638F"/>
    <w:rsid w:val="007771A1"/>
    <w:rsid w:val="00777292"/>
    <w:rsid w:val="00777BDB"/>
    <w:rsid w:val="0078053B"/>
    <w:rsid w:val="007815A6"/>
    <w:rsid w:val="007825CA"/>
    <w:rsid w:val="0078593D"/>
    <w:rsid w:val="0078658A"/>
    <w:rsid w:val="00786DFF"/>
    <w:rsid w:val="00787269"/>
    <w:rsid w:val="00790093"/>
    <w:rsid w:val="00793B1A"/>
    <w:rsid w:val="00794BF6"/>
    <w:rsid w:val="0079628C"/>
    <w:rsid w:val="00797242"/>
    <w:rsid w:val="00797741"/>
    <w:rsid w:val="00797AA8"/>
    <w:rsid w:val="007A0A5E"/>
    <w:rsid w:val="007A360B"/>
    <w:rsid w:val="007A4A30"/>
    <w:rsid w:val="007A4E15"/>
    <w:rsid w:val="007A5297"/>
    <w:rsid w:val="007A5597"/>
    <w:rsid w:val="007B20C5"/>
    <w:rsid w:val="007B2B04"/>
    <w:rsid w:val="007B315C"/>
    <w:rsid w:val="007B425D"/>
    <w:rsid w:val="007B6E5B"/>
    <w:rsid w:val="007B758F"/>
    <w:rsid w:val="007C0DA4"/>
    <w:rsid w:val="007C3590"/>
    <w:rsid w:val="007C3925"/>
    <w:rsid w:val="007C3F35"/>
    <w:rsid w:val="007C52B0"/>
    <w:rsid w:val="007C628E"/>
    <w:rsid w:val="007D1C12"/>
    <w:rsid w:val="007D200C"/>
    <w:rsid w:val="007D2133"/>
    <w:rsid w:val="007D2816"/>
    <w:rsid w:val="007D4938"/>
    <w:rsid w:val="007D565C"/>
    <w:rsid w:val="007D5C66"/>
    <w:rsid w:val="007D67E3"/>
    <w:rsid w:val="007D6F3F"/>
    <w:rsid w:val="007D737E"/>
    <w:rsid w:val="007D7B4A"/>
    <w:rsid w:val="007E107A"/>
    <w:rsid w:val="007E11F8"/>
    <w:rsid w:val="007E14A1"/>
    <w:rsid w:val="007E2C9E"/>
    <w:rsid w:val="007E46D5"/>
    <w:rsid w:val="007E6BC6"/>
    <w:rsid w:val="007F0925"/>
    <w:rsid w:val="007F18AF"/>
    <w:rsid w:val="007F2EE0"/>
    <w:rsid w:val="007F47EE"/>
    <w:rsid w:val="007F49D8"/>
    <w:rsid w:val="00802FA6"/>
    <w:rsid w:val="00803F2C"/>
    <w:rsid w:val="00804C7B"/>
    <w:rsid w:val="00806978"/>
    <w:rsid w:val="008100BC"/>
    <w:rsid w:val="008112C8"/>
    <w:rsid w:val="008114FE"/>
    <w:rsid w:val="008116C1"/>
    <w:rsid w:val="00811E35"/>
    <w:rsid w:val="0081309C"/>
    <w:rsid w:val="00813327"/>
    <w:rsid w:val="00815664"/>
    <w:rsid w:val="00817DE2"/>
    <w:rsid w:val="00817E57"/>
    <w:rsid w:val="00820AF4"/>
    <w:rsid w:val="00822A2D"/>
    <w:rsid w:val="008238A9"/>
    <w:rsid w:val="00823CC5"/>
    <w:rsid w:val="008263EF"/>
    <w:rsid w:val="00831256"/>
    <w:rsid w:val="008321C9"/>
    <w:rsid w:val="00832EFF"/>
    <w:rsid w:val="00833AC4"/>
    <w:rsid w:val="00834BBE"/>
    <w:rsid w:val="00835511"/>
    <w:rsid w:val="008361F1"/>
    <w:rsid w:val="0083663D"/>
    <w:rsid w:val="00840D2F"/>
    <w:rsid w:val="00843FF0"/>
    <w:rsid w:val="008453C0"/>
    <w:rsid w:val="0084664C"/>
    <w:rsid w:val="00851122"/>
    <w:rsid w:val="008516EF"/>
    <w:rsid w:val="00854AD9"/>
    <w:rsid w:val="00855424"/>
    <w:rsid w:val="00856346"/>
    <w:rsid w:val="008578B6"/>
    <w:rsid w:val="00857F52"/>
    <w:rsid w:val="008603C9"/>
    <w:rsid w:val="00860869"/>
    <w:rsid w:val="008616F3"/>
    <w:rsid w:val="00861AEA"/>
    <w:rsid w:val="00861D2C"/>
    <w:rsid w:val="00862FCC"/>
    <w:rsid w:val="008644AA"/>
    <w:rsid w:val="00865145"/>
    <w:rsid w:val="00867190"/>
    <w:rsid w:val="00867549"/>
    <w:rsid w:val="00867B78"/>
    <w:rsid w:val="00870264"/>
    <w:rsid w:val="00872C9E"/>
    <w:rsid w:val="008746A0"/>
    <w:rsid w:val="008758F1"/>
    <w:rsid w:val="00875D77"/>
    <w:rsid w:val="00876141"/>
    <w:rsid w:val="008809EC"/>
    <w:rsid w:val="00886D81"/>
    <w:rsid w:val="00887037"/>
    <w:rsid w:val="00890052"/>
    <w:rsid w:val="008903F3"/>
    <w:rsid w:val="00892AC4"/>
    <w:rsid w:val="00896569"/>
    <w:rsid w:val="00896816"/>
    <w:rsid w:val="008A3343"/>
    <w:rsid w:val="008A3D58"/>
    <w:rsid w:val="008A4E62"/>
    <w:rsid w:val="008A542D"/>
    <w:rsid w:val="008A6B65"/>
    <w:rsid w:val="008B2AB3"/>
    <w:rsid w:val="008B3C4D"/>
    <w:rsid w:val="008B489D"/>
    <w:rsid w:val="008B5077"/>
    <w:rsid w:val="008B569F"/>
    <w:rsid w:val="008B5C09"/>
    <w:rsid w:val="008B6F9D"/>
    <w:rsid w:val="008B7413"/>
    <w:rsid w:val="008C1BF2"/>
    <w:rsid w:val="008C1EF5"/>
    <w:rsid w:val="008C2671"/>
    <w:rsid w:val="008C2D40"/>
    <w:rsid w:val="008C2F32"/>
    <w:rsid w:val="008C3174"/>
    <w:rsid w:val="008C3C7F"/>
    <w:rsid w:val="008C6BCC"/>
    <w:rsid w:val="008D1669"/>
    <w:rsid w:val="008D2290"/>
    <w:rsid w:val="008D31B9"/>
    <w:rsid w:val="008D3450"/>
    <w:rsid w:val="008D44FD"/>
    <w:rsid w:val="008D5472"/>
    <w:rsid w:val="008D5854"/>
    <w:rsid w:val="008D5C4D"/>
    <w:rsid w:val="008E4751"/>
    <w:rsid w:val="008E6E79"/>
    <w:rsid w:val="008E702D"/>
    <w:rsid w:val="008E7A86"/>
    <w:rsid w:val="008F6EDC"/>
    <w:rsid w:val="00900CE6"/>
    <w:rsid w:val="00900DCB"/>
    <w:rsid w:val="009022A6"/>
    <w:rsid w:val="00903249"/>
    <w:rsid w:val="0090374F"/>
    <w:rsid w:val="009050C0"/>
    <w:rsid w:val="00905ADD"/>
    <w:rsid w:val="00910588"/>
    <w:rsid w:val="009117F2"/>
    <w:rsid w:val="00913A5C"/>
    <w:rsid w:val="00913CC8"/>
    <w:rsid w:val="00914B8C"/>
    <w:rsid w:val="00915151"/>
    <w:rsid w:val="009154E7"/>
    <w:rsid w:val="00915DBE"/>
    <w:rsid w:val="009171BC"/>
    <w:rsid w:val="009172C8"/>
    <w:rsid w:val="00920309"/>
    <w:rsid w:val="00924C7B"/>
    <w:rsid w:val="009251B2"/>
    <w:rsid w:val="009267CC"/>
    <w:rsid w:val="0092731C"/>
    <w:rsid w:val="00927A28"/>
    <w:rsid w:val="00927CD1"/>
    <w:rsid w:val="009310F5"/>
    <w:rsid w:val="009317CB"/>
    <w:rsid w:val="00934E81"/>
    <w:rsid w:val="00934F62"/>
    <w:rsid w:val="009351E1"/>
    <w:rsid w:val="00935454"/>
    <w:rsid w:val="00937074"/>
    <w:rsid w:val="00937FCC"/>
    <w:rsid w:val="009409DA"/>
    <w:rsid w:val="009411B4"/>
    <w:rsid w:val="00941AA2"/>
    <w:rsid w:val="00941B0F"/>
    <w:rsid w:val="0094289D"/>
    <w:rsid w:val="00944037"/>
    <w:rsid w:val="00944FEC"/>
    <w:rsid w:val="009453CA"/>
    <w:rsid w:val="0094680B"/>
    <w:rsid w:val="00947F6C"/>
    <w:rsid w:val="009508C5"/>
    <w:rsid w:val="00950F18"/>
    <w:rsid w:val="00953860"/>
    <w:rsid w:val="009547C4"/>
    <w:rsid w:val="009548FF"/>
    <w:rsid w:val="00954AE3"/>
    <w:rsid w:val="00956258"/>
    <w:rsid w:val="00956284"/>
    <w:rsid w:val="009562F8"/>
    <w:rsid w:val="0095749E"/>
    <w:rsid w:val="009604F6"/>
    <w:rsid w:val="00960CE3"/>
    <w:rsid w:val="00960DA9"/>
    <w:rsid w:val="009617C5"/>
    <w:rsid w:val="00962486"/>
    <w:rsid w:val="00962DD2"/>
    <w:rsid w:val="00963188"/>
    <w:rsid w:val="00966E5B"/>
    <w:rsid w:val="009674DE"/>
    <w:rsid w:val="009716D5"/>
    <w:rsid w:val="00971991"/>
    <w:rsid w:val="00973618"/>
    <w:rsid w:val="00974412"/>
    <w:rsid w:val="00975CB3"/>
    <w:rsid w:val="0097760B"/>
    <w:rsid w:val="00977720"/>
    <w:rsid w:val="0098238E"/>
    <w:rsid w:val="00982E15"/>
    <w:rsid w:val="009832BB"/>
    <w:rsid w:val="00983915"/>
    <w:rsid w:val="00984434"/>
    <w:rsid w:val="00984B40"/>
    <w:rsid w:val="0099018B"/>
    <w:rsid w:val="00990260"/>
    <w:rsid w:val="009919F6"/>
    <w:rsid w:val="00994BF2"/>
    <w:rsid w:val="00996584"/>
    <w:rsid w:val="009A00D1"/>
    <w:rsid w:val="009A077C"/>
    <w:rsid w:val="009A0F37"/>
    <w:rsid w:val="009A2B0B"/>
    <w:rsid w:val="009A5E39"/>
    <w:rsid w:val="009B0B73"/>
    <w:rsid w:val="009B0F40"/>
    <w:rsid w:val="009B17C4"/>
    <w:rsid w:val="009B1852"/>
    <w:rsid w:val="009B3D53"/>
    <w:rsid w:val="009B5157"/>
    <w:rsid w:val="009B5E74"/>
    <w:rsid w:val="009B6A9B"/>
    <w:rsid w:val="009C0288"/>
    <w:rsid w:val="009C76C7"/>
    <w:rsid w:val="009D0139"/>
    <w:rsid w:val="009D0231"/>
    <w:rsid w:val="009D0730"/>
    <w:rsid w:val="009D0C5E"/>
    <w:rsid w:val="009D1AD3"/>
    <w:rsid w:val="009D1BDE"/>
    <w:rsid w:val="009D1D16"/>
    <w:rsid w:val="009D356D"/>
    <w:rsid w:val="009D4EDC"/>
    <w:rsid w:val="009D6366"/>
    <w:rsid w:val="009E4320"/>
    <w:rsid w:val="009E493B"/>
    <w:rsid w:val="009E4A63"/>
    <w:rsid w:val="009E7BBB"/>
    <w:rsid w:val="009F59C6"/>
    <w:rsid w:val="009F5B2F"/>
    <w:rsid w:val="009F5CDC"/>
    <w:rsid w:val="009F5E1B"/>
    <w:rsid w:val="009F62A1"/>
    <w:rsid w:val="009F7B35"/>
    <w:rsid w:val="00A02DD1"/>
    <w:rsid w:val="00A04101"/>
    <w:rsid w:val="00A046FA"/>
    <w:rsid w:val="00A04CE2"/>
    <w:rsid w:val="00A05C31"/>
    <w:rsid w:val="00A063CC"/>
    <w:rsid w:val="00A065E8"/>
    <w:rsid w:val="00A0742B"/>
    <w:rsid w:val="00A11C45"/>
    <w:rsid w:val="00A13E95"/>
    <w:rsid w:val="00A14D18"/>
    <w:rsid w:val="00A15CC8"/>
    <w:rsid w:val="00A20AEF"/>
    <w:rsid w:val="00A20C93"/>
    <w:rsid w:val="00A21633"/>
    <w:rsid w:val="00A23459"/>
    <w:rsid w:val="00A246C2"/>
    <w:rsid w:val="00A25E53"/>
    <w:rsid w:val="00A25E6F"/>
    <w:rsid w:val="00A274DA"/>
    <w:rsid w:val="00A275F9"/>
    <w:rsid w:val="00A31465"/>
    <w:rsid w:val="00A32C6D"/>
    <w:rsid w:val="00A33A86"/>
    <w:rsid w:val="00A3532B"/>
    <w:rsid w:val="00A35420"/>
    <w:rsid w:val="00A401DD"/>
    <w:rsid w:val="00A41442"/>
    <w:rsid w:val="00A415D7"/>
    <w:rsid w:val="00A41E96"/>
    <w:rsid w:val="00A42A32"/>
    <w:rsid w:val="00A42E24"/>
    <w:rsid w:val="00A4355D"/>
    <w:rsid w:val="00A45059"/>
    <w:rsid w:val="00A46249"/>
    <w:rsid w:val="00A465CF"/>
    <w:rsid w:val="00A519DA"/>
    <w:rsid w:val="00A52306"/>
    <w:rsid w:val="00A52D03"/>
    <w:rsid w:val="00A52E8B"/>
    <w:rsid w:val="00A55131"/>
    <w:rsid w:val="00A5554D"/>
    <w:rsid w:val="00A568EF"/>
    <w:rsid w:val="00A726C0"/>
    <w:rsid w:val="00A72A9D"/>
    <w:rsid w:val="00A72ADC"/>
    <w:rsid w:val="00A754C8"/>
    <w:rsid w:val="00A75696"/>
    <w:rsid w:val="00A7590B"/>
    <w:rsid w:val="00A76295"/>
    <w:rsid w:val="00A76B56"/>
    <w:rsid w:val="00A775CF"/>
    <w:rsid w:val="00A77DB5"/>
    <w:rsid w:val="00A8088C"/>
    <w:rsid w:val="00A819FA"/>
    <w:rsid w:val="00A84FC8"/>
    <w:rsid w:val="00A865BA"/>
    <w:rsid w:val="00A86790"/>
    <w:rsid w:val="00A9040C"/>
    <w:rsid w:val="00A90838"/>
    <w:rsid w:val="00A91CD3"/>
    <w:rsid w:val="00AA1B0B"/>
    <w:rsid w:val="00AA4A82"/>
    <w:rsid w:val="00AA50DE"/>
    <w:rsid w:val="00AA5395"/>
    <w:rsid w:val="00AA5EDC"/>
    <w:rsid w:val="00AA720F"/>
    <w:rsid w:val="00AA7CA1"/>
    <w:rsid w:val="00AB2116"/>
    <w:rsid w:val="00AB4811"/>
    <w:rsid w:val="00AB53CE"/>
    <w:rsid w:val="00AB5A68"/>
    <w:rsid w:val="00AB6FEA"/>
    <w:rsid w:val="00AC2E23"/>
    <w:rsid w:val="00AC3900"/>
    <w:rsid w:val="00AD0C31"/>
    <w:rsid w:val="00AD372C"/>
    <w:rsid w:val="00AD533F"/>
    <w:rsid w:val="00AD67BD"/>
    <w:rsid w:val="00AD7988"/>
    <w:rsid w:val="00AD7C85"/>
    <w:rsid w:val="00AE0B4E"/>
    <w:rsid w:val="00AE1D34"/>
    <w:rsid w:val="00AE217D"/>
    <w:rsid w:val="00AE23FA"/>
    <w:rsid w:val="00AE24EB"/>
    <w:rsid w:val="00AE5ED0"/>
    <w:rsid w:val="00AE5EF4"/>
    <w:rsid w:val="00AE649A"/>
    <w:rsid w:val="00AE6EF2"/>
    <w:rsid w:val="00AF0F64"/>
    <w:rsid w:val="00AF1B94"/>
    <w:rsid w:val="00AF2ADF"/>
    <w:rsid w:val="00AF38F8"/>
    <w:rsid w:val="00AF464B"/>
    <w:rsid w:val="00AF6764"/>
    <w:rsid w:val="00AF772D"/>
    <w:rsid w:val="00B0078F"/>
    <w:rsid w:val="00B00C4A"/>
    <w:rsid w:val="00B012C4"/>
    <w:rsid w:val="00B02122"/>
    <w:rsid w:val="00B04C33"/>
    <w:rsid w:val="00B06045"/>
    <w:rsid w:val="00B06778"/>
    <w:rsid w:val="00B10484"/>
    <w:rsid w:val="00B12F65"/>
    <w:rsid w:val="00B13E83"/>
    <w:rsid w:val="00B157A6"/>
    <w:rsid w:val="00B159D3"/>
    <w:rsid w:val="00B159FE"/>
    <w:rsid w:val="00B15ECA"/>
    <w:rsid w:val="00B1689D"/>
    <w:rsid w:val="00B2242B"/>
    <w:rsid w:val="00B24CAE"/>
    <w:rsid w:val="00B25A33"/>
    <w:rsid w:val="00B2640C"/>
    <w:rsid w:val="00B26915"/>
    <w:rsid w:val="00B3041A"/>
    <w:rsid w:val="00B314E2"/>
    <w:rsid w:val="00B31A42"/>
    <w:rsid w:val="00B32659"/>
    <w:rsid w:val="00B32C51"/>
    <w:rsid w:val="00B3374F"/>
    <w:rsid w:val="00B33BD4"/>
    <w:rsid w:val="00B34F44"/>
    <w:rsid w:val="00B351AD"/>
    <w:rsid w:val="00B35E3A"/>
    <w:rsid w:val="00B430D3"/>
    <w:rsid w:val="00B43986"/>
    <w:rsid w:val="00B50409"/>
    <w:rsid w:val="00B50B8D"/>
    <w:rsid w:val="00B50FFD"/>
    <w:rsid w:val="00B52F8D"/>
    <w:rsid w:val="00B533C4"/>
    <w:rsid w:val="00B536F4"/>
    <w:rsid w:val="00B56A12"/>
    <w:rsid w:val="00B60E62"/>
    <w:rsid w:val="00B623B7"/>
    <w:rsid w:val="00B660F4"/>
    <w:rsid w:val="00B666D3"/>
    <w:rsid w:val="00B675E7"/>
    <w:rsid w:val="00B676DC"/>
    <w:rsid w:val="00B67D4A"/>
    <w:rsid w:val="00B730D0"/>
    <w:rsid w:val="00B75AE6"/>
    <w:rsid w:val="00B75F49"/>
    <w:rsid w:val="00B75F54"/>
    <w:rsid w:val="00B87610"/>
    <w:rsid w:val="00B903E5"/>
    <w:rsid w:val="00B91A54"/>
    <w:rsid w:val="00B945BF"/>
    <w:rsid w:val="00B94BED"/>
    <w:rsid w:val="00B95FA4"/>
    <w:rsid w:val="00B96207"/>
    <w:rsid w:val="00BA08C4"/>
    <w:rsid w:val="00BA15FA"/>
    <w:rsid w:val="00BA1CA4"/>
    <w:rsid w:val="00BA2551"/>
    <w:rsid w:val="00BA3165"/>
    <w:rsid w:val="00BA3E2D"/>
    <w:rsid w:val="00BA424B"/>
    <w:rsid w:val="00BA7F87"/>
    <w:rsid w:val="00BB15A7"/>
    <w:rsid w:val="00BB525B"/>
    <w:rsid w:val="00BB6B0E"/>
    <w:rsid w:val="00BB7C23"/>
    <w:rsid w:val="00BC1329"/>
    <w:rsid w:val="00BC263D"/>
    <w:rsid w:val="00BC2CFF"/>
    <w:rsid w:val="00BC3A12"/>
    <w:rsid w:val="00BC4A96"/>
    <w:rsid w:val="00BC5E18"/>
    <w:rsid w:val="00BC6017"/>
    <w:rsid w:val="00BC68ED"/>
    <w:rsid w:val="00BC7C8C"/>
    <w:rsid w:val="00BD04C8"/>
    <w:rsid w:val="00BD0CF5"/>
    <w:rsid w:val="00BD3B56"/>
    <w:rsid w:val="00BD4D37"/>
    <w:rsid w:val="00BD65AD"/>
    <w:rsid w:val="00BD7B69"/>
    <w:rsid w:val="00BE07BB"/>
    <w:rsid w:val="00BE12DA"/>
    <w:rsid w:val="00BE2049"/>
    <w:rsid w:val="00BF0694"/>
    <w:rsid w:val="00BF13F4"/>
    <w:rsid w:val="00BF1EE5"/>
    <w:rsid w:val="00BF2E63"/>
    <w:rsid w:val="00BF421A"/>
    <w:rsid w:val="00BF4912"/>
    <w:rsid w:val="00C0089B"/>
    <w:rsid w:val="00C016E3"/>
    <w:rsid w:val="00C054A1"/>
    <w:rsid w:val="00C07476"/>
    <w:rsid w:val="00C11B78"/>
    <w:rsid w:val="00C11CDE"/>
    <w:rsid w:val="00C11E82"/>
    <w:rsid w:val="00C1204F"/>
    <w:rsid w:val="00C120E2"/>
    <w:rsid w:val="00C12712"/>
    <w:rsid w:val="00C1271F"/>
    <w:rsid w:val="00C1336B"/>
    <w:rsid w:val="00C13F54"/>
    <w:rsid w:val="00C14BD6"/>
    <w:rsid w:val="00C15B54"/>
    <w:rsid w:val="00C164CF"/>
    <w:rsid w:val="00C16D7D"/>
    <w:rsid w:val="00C17AB1"/>
    <w:rsid w:val="00C17E23"/>
    <w:rsid w:val="00C208E3"/>
    <w:rsid w:val="00C24D7C"/>
    <w:rsid w:val="00C25084"/>
    <w:rsid w:val="00C250F8"/>
    <w:rsid w:val="00C25472"/>
    <w:rsid w:val="00C264C8"/>
    <w:rsid w:val="00C30BD5"/>
    <w:rsid w:val="00C30C19"/>
    <w:rsid w:val="00C32400"/>
    <w:rsid w:val="00C33A6F"/>
    <w:rsid w:val="00C34191"/>
    <w:rsid w:val="00C34FA8"/>
    <w:rsid w:val="00C35A27"/>
    <w:rsid w:val="00C35AD2"/>
    <w:rsid w:val="00C35AF2"/>
    <w:rsid w:val="00C37789"/>
    <w:rsid w:val="00C41D24"/>
    <w:rsid w:val="00C41E53"/>
    <w:rsid w:val="00C43FB7"/>
    <w:rsid w:val="00C44C30"/>
    <w:rsid w:val="00C477B2"/>
    <w:rsid w:val="00C52018"/>
    <w:rsid w:val="00C522B5"/>
    <w:rsid w:val="00C529C4"/>
    <w:rsid w:val="00C52FA7"/>
    <w:rsid w:val="00C5305B"/>
    <w:rsid w:val="00C53AAE"/>
    <w:rsid w:val="00C53BCD"/>
    <w:rsid w:val="00C54D52"/>
    <w:rsid w:val="00C561FD"/>
    <w:rsid w:val="00C56770"/>
    <w:rsid w:val="00C57018"/>
    <w:rsid w:val="00C61DDE"/>
    <w:rsid w:val="00C62499"/>
    <w:rsid w:val="00C6257D"/>
    <w:rsid w:val="00C635D4"/>
    <w:rsid w:val="00C636EA"/>
    <w:rsid w:val="00C706EC"/>
    <w:rsid w:val="00C727B9"/>
    <w:rsid w:val="00C73369"/>
    <w:rsid w:val="00C73491"/>
    <w:rsid w:val="00C73EA7"/>
    <w:rsid w:val="00C75DD8"/>
    <w:rsid w:val="00C7636D"/>
    <w:rsid w:val="00C76CA0"/>
    <w:rsid w:val="00C77BEF"/>
    <w:rsid w:val="00C802CF"/>
    <w:rsid w:val="00C8054E"/>
    <w:rsid w:val="00C81C19"/>
    <w:rsid w:val="00C83A29"/>
    <w:rsid w:val="00C83BD0"/>
    <w:rsid w:val="00C83D5D"/>
    <w:rsid w:val="00C852B4"/>
    <w:rsid w:val="00C873E3"/>
    <w:rsid w:val="00C873ED"/>
    <w:rsid w:val="00C91DCD"/>
    <w:rsid w:val="00C92E4E"/>
    <w:rsid w:val="00C930D2"/>
    <w:rsid w:val="00C9417F"/>
    <w:rsid w:val="00CA0CF6"/>
    <w:rsid w:val="00CA0D26"/>
    <w:rsid w:val="00CA24B4"/>
    <w:rsid w:val="00CA2FD3"/>
    <w:rsid w:val="00CA46A1"/>
    <w:rsid w:val="00CA553F"/>
    <w:rsid w:val="00CA70AD"/>
    <w:rsid w:val="00CA70B6"/>
    <w:rsid w:val="00CA742B"/>
    <w:rsid w:val="00CB0CE9"/>
    <w:rsid w:val="00CB0FAB"/>
    <w:rsid w:val="00CB132E"/>
    <w:rsid w:val="00CB2101"/>
    <w:rsid w:val="00CB3682"/>
    <w:rsid w:val="00CB558D"/>
    <w:rsid w:val="00CB5F44"/>
    <w:rsid w:val="00CB6DF0"/>
    <w:rsid w:val="00CC3021"/>
    <w:rsid w:val="00CC3ABC"/>
    <w:rsid w:val="00CC5C2B"/>
    <w:rsid w:val="00CC7017"/>
    <w:rsid w:val="00CC76C0"/>
    <w:rsid w:val="00CC7A70"/>
    <w:rsid w:val="00CD06B4"/>
    <w:rsid w:val="00CD09FD"/>
    <w:rsid w:val="00CD3B48"/>
    <w:rsid w:val="00CD5306"/>
    <w:rsid w:val="00CD58C0"/>
    <w:rsid w:val="00CE00E5"/>
    <w:rsid w:val="00CE0251"/>
    <w:rsid w:val="00CE07A9"/>
    <w:rsid w:val="00CE0A84"/>
    <w:rsid w:val="00CE14D9"/>
    <w:rsid w:val="00CE1A5A"/>
    <w:rsid w:val="00CE2EAF"/>
    <w:rsid w:val="00CE4C22"/>
    <w:rsid w:val="00CE4D14"/>
    <w:rsid w:val="00CE728D"/>
    <w:rsid w:val="00CF015C"/>
    <w:rsid w:val="00CF01E2"/>
    <w:rsid w:val="00CF1666"/>
    <w:rsid w:val="00CF17F9"/>
    <w:rsid w:val="00CF1822"/>
    <w:rsid w:val="00CF225E"/>
    <w:rsid w:val="00CF4708"/>
    <w:rsid w:val="00CF5209"/>
    <w:rsid w:val="00CF67C5"/>
    <w:rsid w:val="00CF72F9"/>
    <w:rsid w:val="00CF76AD"/>
    <w:rsid w:val="00D00233"/>
    <w:rsid w:val="00D058C2"/>
    <w:rsid w:val="00D069CF"/>
    <w:rsid w:val="00D07196"/>
    <w:rsid w:val="00D13D7A"/>
    <w:rsid w:val="00D14A0A"/>
    <w:rsid w:val="00D15334"/>
    <w:rsid w:val="00D205BF"/>
    <w:rsid w:val="00D21BD1"/>
    <w:rsid w:val="00D21F3E"/>
    <w:rsid w:val="00D22838"/>
    <w:rsid w:val="00D228CC"/>
    <w:rsid w:val="00D24797"/>
    <w:rsid w:val="00D251E8"/>
    <w:rsid w:val="00D26D80"/>
    <w:rsid w:val="00D26DED"/>
    <w:rsid w:val="00D3008F"/>
    <w:rsid w:val="00D308C8"/>
    <w:rsid w:val="00D320BE"/>
    <w:rsid w:val="00D32E37"/>
    <w:rsid w:val="00D35EBD"/>
    <w:rsid w:val="00D37ACC"/>
    <w:rsid w:val="00D37EAD"/>
    <w:rsid w:val="00D40799"/>
    <w:rsid w:val="00D436D0"/>
    <w:rsid w:val="00D4383C"/>
    <w:rsid w:val="00D447C3"/>
    <w:rsid w:val="00D45390"/>
    <w:rsid w:val="00D46B83"/>
    <w:rsid w:val="00D473C6"/>
    <w:rsid w:val="00D50D2D"/>
    <w:rsid w:val="00D51A0C"/>
    <w:rsid w:val="00D51C32"/>
    <w:rsid w:val="00D52571"/>
    <w:rsid w:val="00D55BB3"/>
    <w:rsid w:val="00D561CA"/>
    <w:rsid w:val="00D56BD6"/>
    <w:rsid w:val="00D570C2"/>
    <w:rsid w:val="00D603E2"/>
    <w:rsid w:val="00D60686"/>
    <w:rsid w:val="00D60726"/>
    <w:rsid w:val="00D60C02"/>
    <w:rsid w:val="00D60F69"/>
    <w:rsid w:val="00D61500"/>
    <w:rsid w:val="00D62171"/>
    <w:rsid w:val="00D62428"/>
    <w:rsid w:val="00D647D1"/>
    <w:rsid w:val="00D64B24"/>
    <w:rsid w:val="00D64C1E"/>
    <w:rsid w:val="00D664AD"/>
    <w:rsid w:val="00D667A0"/>
    <w:rsid w:val="00D67361"/>
    <w:rsid w:val="00D67620"/>
    <w:rsid w:val="00D70071"/>
    <w:rsid w:val="00D70FCB"/>
    <w:rsid w:val="00D715A0"/>
    <w:rsid w:val="00D72B6F"/>
    <w:rsid w:val="00D72C9E"/>
    <w:rsid w:val="00D74FFE"/>
    <w:rsid w:val="00D75CA0"/>
    <w:rsid w:val="00D8165D"/>
    <w:rsid w:val="00D82320"/>
    <w:rsid w:val="00D8282D"/>
    <w:rsid w:val="00D82F12"/>
    <w:rsid w:val="00D843A0"/>
    <w:rsid w:val="00D84455"/>
    <w:rsid w:val="00D8494A"/>
    <w:rsid w:val="00D84AF7"/>
    <w:rsid w:val="00D86777"/>
    <w:rsid w:val="00D87394"/>
    <w:rsid w:val="00D8770C"/>
    <w:rsid w:val="00D90295"/>
    <w:rsid w:val="00D90983"/>
    <w:rsid w:val="00D91D4B"/>
    <w:rsid w:val="00D91FA2"/>
    <w:rsid w:val="00D94811"/>
    <w:rsid w:val="00D965DA"/>
    <w:rsid w:val="00DA1378"/>
    <w:rsid w:val="00DA3546"/>
    <w:rsid w:val="00DA75A3"/>
    <w:rsid w:val="00DB0DD6"/>
    <w:rsid w:val="00DB321C"/>
    <w:rsid w:val="00DB3860"/>
    <w:rsid w:val="00DB5A27"/>
    <w:rsid w:val="00DB76AA"/>
    <w:rsid w:val="00DC0CFB"/>
    <w:rsid w:val="00DC471D"/>
    <w:rsid w:val="00DC4809"/>
    <w:rsid w:val="00DC4F20"/>
    <w:rsid w:val="00DC540B"/>
    <w:rsid w:val="00DD015F"/>
    <w:rsid w:val="00DD0408"/>
    <w:rsid w:val="00DD2298"/>
    <w:rsid w:val="00DD32CD"/>
    <w:rsid w:val="00DD3B6A"/>
    <w:rsid w:val="00DE1295"/>
    <w:rsid w:val="00DE187B"/>
    <w:rsid w:val="00DE4F85"/>
    <w:rsid w:val="00DE51A2"/>
    <w:rsid w:val="00DE51B7"/>
    <w:rsid w:val="00DE643A"/>
    <w:rsid w:val="00DE6A18"/>
    <w:rsid w:val="00DE6C1F"/>
    <w:rsid w:val="00DE7E27"/>
    <w:rsid w:val="00DF213E"/>
    <w:rsid w:val="00DF4098"/>
    <w:rsid w:val="00DF7152"/>
    <w:rsid w:val="00DF7483"/>
    <w:rsid w:val="00DF79D2"/>
    <w:rsid w:val="00E00B6E"/>
    <w:rsid w:val="00E02C2B"/>
    <w:rsid w:val="00E05142"/>
    <w:rsid w:val="00E070C9"/>
    <w:rsid w:val="00E1028E"/>
    <w:rsid w:val="00E10A34"/>
    <w:rsid w:val="00E124D9"/>
    <w:rsid w:val="00E162E9"/>
    <w:rsid w:val="00E16E86"/>
    <w:rsid w:val="00E17413"/>
    <w:rsid w:val="00E17804"/>
    <w:rsid w:val="00E2070D"/>
    <w:rsid w:val="00E20F92"/>
    <w:rsid w:val="00E23971"/>
    <w:rsid w:val="00E23CAE"/>
    <w:rsid w:val="00E2711A"/>
    <w:rsid w:val="00E319AA"/>
    <w:rsid w:val="00E32256"/>
    <w:rsid w:val="00E33842"/>
    <w:rsid w:val="00E362FF"/>
    <w:rsid w:val="00E3719B"/>
    <w:rsid w:val="00E43ED1"/>
    <w:rsid w:val="00E47196"/>
    <w:rsid w:val="00E47962"/>
    <w:rsid w:val="00E507FD"/>
    <w:rsid w:val="00E509EC"/>
    <w:rsid w:val="00E50D8C"/>
    <w:rsid w:val="00E52D34"/>
    <w:rsid w:val="00E5355C"/>
    <w:rsid w:val="00E56416"/>
    <w:rsid w:val="00E601EA"/>
    <w:rsid w:val="00E640F8"/>
    <w:rsid w:val="00E64588"/>
    <w:rsid w:val="00E6516A"/>
    <w:rsid w:val="00E66A08"/>
    <w:rsid w:val="00E6760B"/>
    <w:rsid w:val="00E705F1"/>
    <w:rsid w:val="00E70AD7"/>
    <w:rsid w:val="00E7170D"/>
    <w:rsid w:val="00E725C0"/>
    <w:rsid w:val="00E7273D"/>
    <w:rsid w:val="00E72826"/>
    <w:rsid w:val="00E74CD3"/>
    <w:rsid w:val="00E75852"/>
    <w:rsid w:val="00E763AE"/>
    <w:rsid w:val="00E765CA"/>
    <w:rsid w:val="00E778DB"/>
    <w:rsid w:val="00E800D1"/>
    <w:rsid w:val="00E80752"/>
    <w:rsid w:val="00E823AC"/>
    <w:rsid w:val="00E86AA4"/>
    <w:rsid w:val="00E90C5C"/>
    <w:rsid w:val="00E917AD"/>
    <w:rsid w:val="00E929BB"/>
    <w:rsid w:val="00E92E2E"/>
    <w:rsid w:val="00E942DA"/>
    <w:rsid w:val="00E94527"/>
    <w:rsid w:val="00E94C66"/>
    <w:rsid w:val="00E96F5A"/>
    <w:rsid w:val="00E97100"/>
    <w:rsid w:val="00EA03A7"/>
    <w:rsid w:val="00EA27C8"/>
    <w:rsid w:val="00EA3274"/>
    <w:rsid w:val="00EA416D"/>
    <w:rsid w:val="00EA7A6A"/>
    <w:rsid w:val="00EB6764"/>
    <w:rsid w:val="00EC17A6"/>
    <w:rsid w:val="00EC29B8"/>
    <w:rsid w:val="00EC492D"/>
    <w:rsid w:val="00EC79D6"/>
    <w:rsid w:val="00ED0A1A"/>
    <w:rsid w:val="00ED2D86"/>
    <w:rsid w:val="00ED42FE"/>
    <w:rsid w:val="00ED491D"/>
    <w:rsid w:val="00ED59BB"/>
    <w:rsid w:val="00ED5A88"/>
    <w:rsid w:val="00ED6791"/>
    <w:rsid w:val="00ED6BA6"/>
    <w:rsid w:val="00ED6C48"/>
    <w:rsid w:val="00ED6D88"/>
    <w:rsid w:val="00ED7026"/>
    <w:rsid w:val="00EE03EC"/>
    <w:rsid w:val="00EE12F5"/>
    <w:rsid w:val="00EE2B76"/>
    <w:rsid w:val="00EE353A"/>
    <w:rsid w:val="00EE3C36"/>
    <w:rsid w:val="00EE64C9"/>
    <w:rsid w:val="00EE7A16"/>
    <w:rsid w:val="00EF0B95"/>
    <w:rsid w:val="00EF0FAA"/>
    <w:rsid w:val="00EF223D"/>
    <w:rsid w:val="00EF2E14"/>
    <w:rsid w:val="00EF3472"/>
    <w:rsid w:val="00EF3491"/>
    <w:rsid w:val="00EF413B"/>
    <w:rsid w:val="00EF5381"/>
    <w:rsid w:val="00EF5B3E"/>
    <w:rsid w:val="00EF6641"/>
    <w:rsid w:val="00EF76EB"/>
    <w:rsid w:val="00EF7D9E"/>
    <w:rsid w:val="00F00F58"/>
    <w:rsid w:val="00F01753"/>
    <w:rsid w:val="00F03328"/>
    <w:rsid w:val="00F051AF"/>
    <w:rsid w:val="00F0672F"/>
    <w:rsid w:val="00F07BBC"/>
    <w:rsid w:val="00F122DA"/>
    <w:rsid w:val="00F13459"/>
    <w:rsid w:val="00F13D68"/>
    <w:rsid w:val="00F16421"/>
    <w:rsid w:val="00F20CBA"/>
    <w:rsid w:val="00F2346D"/>
    <w:rsid w:val="00F27570"/>
    <w:rsid w:val="00F3159E"/>
    <w:rsid w:val="00F33243"/>
    <w:rsid w:val="00F340D2"/>
    <w:rsid w:val="00F340E9"/>
    <w:rsid w:val="00F35FCE"/>
    <w:rsid w:val="00F36A27"/>
    <w:rsid w:val="00F36BA6"/>
    <w:rsid w:val="00F371AD"/>
    <w:rsid w:val="00F37DCA"/>
    <w:rsid w:val="00F41F0F"/>
    <w:rsid w:val="00F42CFA"/>
    <w:rsid w:val="00F42F99"/>
    <w:rsid w:val="00F46E69"/>
    <w:rsid w:val="00F47F00"/>
    <w:rsid w:val="00F50F68"/>
    <w:rsid w:val="00F5261C"/>
    <w:rsid w:val="00F55411"/>
    <w:rsid w:val="00F57937"/>
    <w:rsid w:val="00F607DF"/>
    <w:rsid w:val="00F61882"/>
    <w:rsid w:val="00F64D7A"/>
    <w:rsid w:val="00F65082"/>
    <w:rsid w:val="00F65412"/>
    <w:rsid w:val="00F6585F"/>
    <w:rsid w:val="00F65F5D"/>
    <w:rsid w:val="00F667BF"/>
    <w:rsid w:val="00F7046E"/>
    <w:rsid w:val="00F706C5"/>
    <w:rsid w:val="00F7262E"/>
    <w:rsid w:val="00F74024"/>
    <w:rsid w:val="00F75D68"/>
    <w:rsid w:val="00F769B9"/>
    <w:rsid w:val="00F76B97"/>
    <w:rsid w:val="00F80749"/>
    <w:rsid w:val="00F81597"/>
    <w:rsid w:val="00F81BDD"/>
    <w:rsid w:val="00F822CB"/>
    <w:rsid w:val="00F8311F"/>
    <w:rsid w:val="00F84292"/>
    <w:rsid w:val="00F850A4"/>
    <w:rsid w:val="00F85787"/>
    <w:rsid w:val="00F86A3A"/>
    <w:rsid w:val="00F87360"/>
    <w:rsid w:val="00F913F4"/>
    <w:rsid w:val="00F9346F"/>
    <w:rsid w:val="00F96A46"/>
    <w:rsid w:val="00F96F88"/>
    <w:rsid w:val="00F974F1"/>
    <w:rsid w:val="00FA0579"/>
    <w:rsid w:val="00FA2FF8"/>
    <w:rsid w:val="00FA4CE5"/>
    <w:rsid w:val="00FA622B"/>
    <w:rsid w:val="00FA744B"/>
    <w:rsid w:val="00FB0E02"/>
    <w:rsid w:val="00FB1546"/>
    <w:rsid w:val="00FB1793"/>
    <w:rsid w:val="00FB26B6"/>
    <w:rsid w:val="00FB2798"/>
    <w:rsid w:val="00FB2B50"/>
    <w:rsid w:val="00FB332B"/>
    <w:rsid w:val="00FB39C4"/>
    <w:rsid w:val="00FB39F6"/>
    <w:rsid w:val="00FB49CC"/>
    <w:rsid w:val="00FB5BCE"/>
    <w:rsid w:val="00FB6D2C"/>
    <w:rsid w:val="00FB7186"/>
    <w:rsid w:val="00FC07BD"/>
    <w:rsid w:val="00FC4BF3"/>
    <w:rsid w:val="00FC6777"/>
    <w:rsid w:val="00FC6E57"/>
    <w:rsid w:val="00FC7643"/>
    <w:rsid w:val="00FC7FCC"/>
    <w:rsid w:val="00FD1F41"/>
    <w:rsid w:val="00FD2EB3"/>
    <w:rsid w:val="00FD2F4A"/>
    <w:rsid w:val="00FE146A"/>
    <w:rsid w:val="00FE17CE"/>
    <w:rsid w:val="00FE36C3"/>
    <w:rsid w:val="00FE3E75"/>
    <w:rsid w:val="00FE694C"/>
    <w:rsid w:val="00FF04B4"/>
    <w:rsid w:val="00FF11D5"/>
    <w:rsid w:val="00FF2CDC"/>
    <w:rsid w:val="00FF42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28084C-95AE-4248-9EC2-54A5DAB5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EF223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AB2116"/>
    <w:rPr>
      <w:rFonts w:ascii="Times New Roman" w:hAnsi="Times New Roman" w:cs="Times New Roman"/>
      <w:sz w:val="18"/>
      <w:lang w:val="en-GB" w:eastAsia="zh-CN"/>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EF223D"/>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locked/>
    <w:rsid w:val="00597415"/>
    <w:rPr>
      <w:rFonts w:ascii="Times New Roman" w:hAnsi="Times New Roman" w:cs="Times New Roman"/>
      <w:sz w:val="20"/>
      <w:szCs w:val="20"/>
    </w:rPr>
  </w:style>
  <w:style w:type="character" w:styleId="CommentReference">
    <w:name w:val="annotation reference"/>
    <w:uiPriority w:val="99"/>
    <w:semiHidden/>
    <w:unhideWhenUsed/>
    <w:rsid w:val="00C120E2"/>
    <w:rPr>
      <w:sz w:val="16"/>
      <w:szCs w:val="16"/>
    </w:rPr>
  </w:style>
  <w:style w:type="paragraph" w:styleId="CommentText">
    <w:name w:val="annotation text"/>
    <w:basedOn w:val="Normal"/>
    <w:link w:val="CommentTextChar"/>
    <w:uiPriority w:val="99"/>
    <w:unhideWhenUsed/>
    <w:rsid w:val="00C120E2"/>
    <w:pPr>
      <w:spacing w:line="240" w:lineRule="auto"/>
    </w:pPr>
  </w:style>
  <w:style w:type="character" w:customStyle="1" w:styleId="CommentTextChar">
    <w:name w:val="Comment Text Char"/>
    <w:link w:val="CommentText"/>
    <w:uiPriority w:val="99"/>
    <w:rsid w:val="00C120E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120E2"/>
    <w:rPr>
      <w:b/>
      <w:bCs/>
    </w:rPr>
  </w:style>
  <w:style w:type="character" w:customStyle="1" w:styleId="CommentSubjectChar">
    <w:name w:val="Comment Subject Char"/>
    <w:link w:val="CommentSubject"/>
    <w:uiPriority w:val="99"/>
    <w:semiHidden/>
    <w:rsid w:val="00C120E2"/>
    <w:rPr>
      <w:rFonts w:ascii="Times New Roman" w:eastAsia="Times New Roman" w:hAnsi="Times New Roman" w:cs="Times New Roman"/>
      <w:b/>
      <w:bCs/>
      <w:sz w:val="20"/>
      <w:szCs w:val="20"/>
      <w:lang w:eastAsia="en-US"/>
    </w:rPr>
  </w:style>
  <w:style w:type="character" w:styleId="Emphasis">
    <w:name w:val="Emphasis"/>
    <w:uiPriority w:val="20"/>
    <w:qFormat/>
    <w:rsid w:val="00655DCC"/>
    <w:rPr>
      <w:b/>
      <w:bCs/>
      <w:i w:val="0"/>
      <w:iCs w:val="0"/>
    </w:rPr>
  </w:style>
  <w:style w:type="character" w:customStyle="1" w:styleId="st1">
    <w:name w:val="st1"/>
    <w:basedOn w:val="DefaultParagraphFont"/>
    <w:rsid w:val="00655DCC"/>
  </w:style>
  <w:style w:type="paragraph" w:styleId="Revision">
    <w:name w:val="Revision"/>
    <w:hidden/>
    <w:uiPriority w:val="99"/>
    <w:semiHidden/>
    <w:rsid w:val="00A065E8"/>
    <w:rPr>
      <w:rFonts w:ascii="Times New Roman" w:eastAsia="Times New Roman" w:hAnsi="Times New Roman" w:cs="Times New Roman"/>
      <w:lang w:val="en-GB" w:eastAsia="en-US"/>
    </w:rPr>
  </w:style>
  <w:style w:type="paragraph" w:customStyle="1" w:styleId="Default">
    <w:name w:val="Default"/>
    <w:rsid w:val="006D0C70"/>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505">
      <w:bodyDiv w:val="1"/>
      <w:marLeft w:val="0"/>
      <w:marRight w:val="0"/>
      <w:marTop w:val="0"/>
      <w:marBottom w:val="0"/>
      <w:divBdr>
        <w:top w:val="none" w:sz="0" w:space="0" w:color="auto"/>
        <w:left w:val="none" w:sz="0" w:space="0" w:color="auto"/>
        <w:bottom w:val="none" w:sz="0" w:space="0" w:color="auto"/>
        <w:right w:val="none" w:sz="0" w:space="0" w:color="auto"/>
      </w:divBdr>
    </w:div>
    <w:div w:id="34163170">
      <w:bodyDiv w:val="1"/>
      <w:marLeft w:val="0"/>
      <w:marRight w:val="0"/>
      <w:marTop w:val="0"/>
      <w:marBottom w:val="0"/>
      <w:divBdr>
        <w:top w:val="none" w:sz="0" w:space="0" w:color="auto"/>
        <w:left w:val="none" w:sz="0" w:space="0" w:color="auto"/>
        <w:bottom w:val="none" w:sz="0" w:space="0" w:color="auto"/>
        <w:right w:val="none" w:sz="0" w:space="0" w:color="auto"/>
      </w:divBdr>
    </w:div>
    <w:div w:id="88820244">
      <w:bodyDiv w:val="1"/>
      <w:marLeft w:val="0"/>
      <w:marRight w:val="0"/>
      <w:marTop w:val="0"/>
      <w:marBottom w:val="0"/>
      <w:divBdr>
        <w:top w:val="none" w:sz="0" w:space="0" w:color="auto"/>
        <w:left w:val="none" w:sz="0" w:space="0" w:color="auto"/>
        <w:bottom w:val="none" w:sz="0" w:space="0" w:color="auto"/>
        <w:right w:val="none" w:sz="0" w:space="0" w:color="auto"/>
      </w:divBdr>
    </w:div>
    <w:div w:id="121963529">
      <w:bodyDiv w:val="1"/>
      <w:marLeft w:val="15"/>
      <w:marRight w:val="15"/>
      <w:marTop w:val="15"/>
      <w:marBottom w:val="15"/>
      <w:divBdr>
        <w:top w:val="none" w:sz="0" w:space="0" w:color="auto"/>
        <w:left w:val="none" w:sz="0" w:space="0" w:color="auto"/>
        <w:bottom w:val="none" w:sz="0" w:space="0" w:color="auto"/>
        <w:right w:val="none" w:sz="0" w:space="0" w:color="auto"/>
      </w:divBdr>
      <w:divsChild>
        <w:div w:id="1478379575">
          <w:marLeft w:val="150"/>
          <w:marRight w:val="150"/>
          <w:marTop w:val="0"/>
          <w:marBottom w:val="150"/>
          <w:divBdr>
            <w:top w:val="none" w:sz="0" w:space="0" w:color="auto"/>
            <w:left w:val="none" w:sz="0" w:space="0" w:color="auto"/>
            <w:bottom w:val="none" w:sz="0" w:space="0" w:color="auto"/>
            <w:right w:val="none" w:sz="0" w:space="0" w:color="auto"/>
          </w:divBdr>
        </w:div>
      </w:divsChild>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146553057">
      <w:bodyDiv w:val="1"/>
      <w:marLeft w:val="0"/>
      <w:marRight w:val="0"/>
      <w:marTop w:val="0"/>
      <w:marBottom w:val="0"/>
      <w:divBdr>
        <w:top w:val="none" w:sz="0" w:space="0" w:color="auto"/>
        <w:left w:val="none" w:sz="0" w:space="0" w:color="auto"/>
        <w:bottom w:val="none" w:sz="0" w:space="0" w:color="auto"/>
        <w:right w:val="none" w:sz="0" w:space="0" w:color="auto"/>
      </w:divBdr>
    </w:div>
    <w:div w:id="216817884">
      <w:bodyDiv w:val="1"/>
      <w:marLeft w:val="15"/>
      <w:marRight w:val="15"/>
      <w:marTop w:val="15"/>
      <w:marBottom w:val="15"/>
      <w:divBdr>
        <w:top w:val="none" w:sz="0" w:space="0" w:color="auto"/>
        <w:left w:val="none" w:sz="0" w:space="0" w:color="auto"/>
        <w:bottom w:val="none" w:sz="0" w:space="0" w:color="auto"/>
        <w:right w:val="none" w:sz="0" w:space="0" w:color="auto"/>
      </w:divBdr>
      <w:divsChild>
        <w:div w:id="1258903118">
          <w:marLeft w:val="150"/>
          <w:marRight w:val="150"/>
          <w:marTop w:val="0"/>
          <w:marBottom w:val="150"/>
          <w:divBdr>
            <w:top w:val="none" w:sz="0" w:space="0" w:color="auto"/>
            <w:left w:val="none" w:sz="0" w:space="0" w:color="auto"/>
            <w:bottom w:val="none" w:sz="0" w:space="0" w:color="auto"/>
            <w:right w:val="none" w:sz="0" w:space="0" w:color="auto"/>
          </w:divBdr>
        </w:div>
      </w:divsChild>
    </w:div>
    <w:div w:id="259683652">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07277179">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5657078">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937448124">
      <w:bodyDiv w:val="1"/>
      <w:marLeft w:val="15"/>
      <w:marRight w:val="15"/>
      <w:marTop w:val="15"/>
      <w:marBottom w:val="15"/>
      <w:divBdr>
        <w:top w:val="none" w:sz="0" w:space="0" w:color="auto"/>
        <w:left w:val="none" w:sz="0" w:space="0" w:color="auto"/>
        <w:bottom w:val="none" w:sz="0" w:space="0" w:color="auto"/>
        <w:right w:val="none" w:sz="0" w:space="0" w:color="auto"/>
      </w:divBdr>
      <w:divsChild>
        <w:div w:id="1273055278">
          <w:marLeft w:val="150"/>
          <w:marRight w:val="150"/>
          <w:marTop w:val="0"/>
          <w:marBottom w:val="150"/>
          <w:divBdr>
            <w:top w:val="none" w:sz="0" w:space="0" w:color="auto"/>
            <w:left w:val="none" w:sz="0" w:space="0" w:color="auto"/>
            <w:bottom w:val="none" w:sz="0" w:space="0" w:color="auto"/>
            <w:right w:val="none" w:sz="0" w:space="0" w:color="auto"/>
          </w:divBdr>
        </w:div>
      </w:divsChild>
    </w:div>
    <w:div w:id="980038096">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077096272">
      <w:bodyDiv w:val="1"/>
      <w:marLeft w:val="0"/>
      <w:marRight w:val="0"/>
      <w:marTop w:val="0"/>
      <w:marBottom w:val="0"/>
      <w:divBdr>
        <w:top w:val="none" w:sz="0" w:space="0" w:color="auto"/>
        <w:left w:val="none" w:sz="0" w:space="0" w:color="auto"/>
        <w:bottom w:val="none" w:sz="0" w:space="0" w:color="auto"/>
        <w:right w:val="none" w:sz="0" w:space="0" w:color="auto"/>
      </w:divBdr>
    </w:div>
    <w:div w:id="1339695988">
      <w:bodyDiv w:val="1"/>
      <w:marLeft w:val="0"/>
      <w:marRight w:val="0"/>
      <w:marTop w:val="0"/>
      <w:marBottom w:val="0"/>
      <w:divBdr>
        <w:top w:val="none" w:sz="0" w:space="0" w:color="auto"/>
        <w:left w:val="none" w:sz="0" w:space="0" w:color="auto"/>
        <w:bottom w:val="none" w:sz="0" w:space="0" w:color="auto"/>
        <w:right w:val="none" w:sz="0" w:space="0" w:color="auto"/>
      </w:divBdr>
    </w:div>
    <w:div w:id="1352412815">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480029460">
      <w:bodyDiv w:val="1"/>
      <w:marLeft w:val="0"/>
      <w:marRight w:val="0"/>
      <w:marTop w:val="0"/>
      <w:marBottom w:val="0"/>
      <w:divBdr>
        <w:top w:val="none" w:sz="0" w:space="0" w:color="auto"/>
        <w:left w:val="none" w:sz="0" w:space="0" w:color="auto"/>
        <w:bottom w:val="none" w:sz="0" w:space="0" w:color="auto"/>
        <w:right w:val="none" w:sz="0" w:space="0" w:color="auto"/>
      </w:divBdr>
      <w:divsChild>
        <w:div w:id="389155499">
          <w:marLeft w:val="0"/>
          <w:marRight w:val="0"/>
          <w:marTop w:val="0"/>
          <w:marBottom w:val="0"/>
          <w:divBdr>
            <w:top w:val="none" w:sz="0" w:space="0" w:color="auto"/>
            <w:left w:val="none" w:sz="0" w:space="0" w:color="auto"/>
            <w:bottom w:val="none" w:sz="0" w:space="0" w:color="auto"/>
            <w:right w:val="none" w:sz="0" w:space="0" w:color="auto"/>
          </w:divBdr>
          <w:divsChild>
            <w:div w:id="2015567261">
              <w:marLeft w:val="0"/>
              <w:marRight w:val="0"/>
              <w:marTop w:val="0"/>
              <w:marBottom w:val="0"/>
              <w:divBdr>
                <w:top w:val="none" w:sz="0" w:space="0" w:color="auto"/>
                <w:left w:val="none" w:sz="0" w:space="0" w:color="auto"/>
                <w:bottom w:val="none" w:sz="0" w:space="0" w:color="auto"/>
                <w:right w:val="none" w:sz="0" w:space="0" w:color="auto"/>
              </w:divBdr>
              <w:divsChild>
                <w:div w:id="1486818048">
                  <w:marLeft w:val="0"/>
                  <w:marRight w:val="0"/>
                  <w:marTop w:val="0"/>
                  <w:marBottom w:val="0"/>
                  <w:divBdr>
                    <w:top w:val="none" w:sz="0" w:space="0" w:color="auto"/>
                    <w:left w:val="none" w:sz="0" w:space="0" w:color="auto"/>
                    <w:bottom w:val="none" w:sz="0" w:space="0" w:color="auto"/>
                    <w:right w:val="none" w:sz="0" w:space="0" w:color="auto"/>
                  </w:divBdr>
                  <w:divsChild>
                    <w:div w:id="1993368652">
                      <w:marLeft w:val="0"/>
                      <w:marRight w:val="0"/>
                      <w:marTop w:val="0"/>
                      <w:marBottom w:val="0"/>
                      <w:divBdr>
                        <w:top w:val="none" w:sz="0" w:space="0" w:color="auto"/>
                        <w:left w:val="none" w:sz="0" w:space="0" w:color="auto"/>
                        <w:bottom w:val="none" w:sz="0" w:space="0" w:color="auto"/>
                        <w:right w:val="none" w:sz="0" w:space="0" w:color="auto"/>
                      </w:divBdr>
                      <w:divsChild>
                        <w:div w:id="619186937">
                          <w:marLeft w:val="0"/>
                          <w:marRight w:val="0"/>
                          <w:marTop w:val="45"/>
                          <w:marBottom w:val="0"/>
                          <w:divBdr>
                            <w:top w:val="none" w:sz="0" w:space="0" w:color="auto"/>
                            <w:left w:val="none" w:sz="0" w:space="0" w:color="auto"/>
                            <w:bottom w:val="none" w:sz="0" w:space="0" w:color="auto"/>
                            <w:right w:val="none" w:sz="0" w:space="0" w:color="auto"/>
                          </w:divBdr>
                          <w:divsChild>
                            <w:div w:id="519441710">
                              <w:marLeft w:val="0"/>
                              <w:marRight w:val="0"/>
                              <w:marTop w:val="0"/>
                              <w:marBottom w:val="0"/>
                              <w:divBdr>
                                <w:top w:val="none" w:sz="0" w:space="0" w:color="auto"/>
                                <w:left w:val="none" w:sz="0" w:space="0" w:color="auto"/>
                                <w:bottom w:val="none" w:sz="0" w:space="0" w:color="auto"/>
                                <w:right w:val="none" w:sz="0" w:space="0" w:color="auto"/>
                              </w:divBdr>
                              <w:divsChild>
                                <w:div w:id="933787991">
                                  <w:marLeft w:val="2070"/>
                                  <w:marRight w:val="3810"/>
                                  <w:marTop w:val="0"/>
                                  <w:marBottom w:val="0"/>
                                  <w:divBdr>
                                    <w:top w:val="none" w:sz="0" w:space="0" w:color="auto"/>
                                    <w:left w:val="none" w:sz="0" w:space="0" w:color="auto"/>
                                    <w:bottom w:val="none" w:sz="0" w:space="0" w:color="auto"/>
                                    <w:right w:val="none" w:sz="0" w:space="0" w:color="auto"/>
                                  </w:divBdr>
                                  <w:divsChild>
                                    <w:div w:id="1478885658">
                                      <w:marLeft w:val="0"/>
                                      <w:marRight w:val="0"/>
                                      <w:marTop w:val="0"/>
                                      <w:marBottom w:val="0"/>
                                      <w:divBdr>
                                        <w:top w:val="none" w:sz="0" w:space="0" w:color="auto"/>
                                        <w:left w:val="none" w:sz="0" w:space="0" w:color="auto"/>
                                        <w:bottom w:val="none" w:sz="0" w:space="0" w:color="auto"/>
                                        <w:right w:val="none" w:sz="0" w:space="0" w:color="auto"/>
                                      </w:divBdr>
                                      <w:divsChild>
                                        <w:div w:id="402408895">
                                          <w:marLeft w:val="0"/>
                                          <w:marRight w:val="0"/>
                                          <w:marTop w:val="0"/>
                                          <w:marBottom w:val="0"/>
                                          <w:divBdr>
                                            <w:top w:val="none" w:sz="0" w:space="0" w:color="auto"/>
                                            <w:left w:val="none" w:sz="0" w:space="0" w:color="auto"/>
                                            <w:bottom w:val="none" w:sz="0" w:space="0" w:color="auto"/>
                                            <w:right w:val="none" w:sz="0" w:space="0" w:color="auto"/>
                                          </w:divBdr>
                                          <w:divsChild>
                                            <w:div w:id="1044408027">
                                              <w:marLeft w:val="0"/>
                                              <w:marRight w:val="0"/>
                                              <w:marTop w:val="0"/>
                                              <w:marBottom w:val="0"/>
                                              <w:divBdr>
                                                <w:top w:val="none" w:sz="0" w:space="0" w:color="auto"/>
                                                <w:left w:val="none" w:sz="0" w:space="0" w:color="auto"/>
                                                <w:bottom w:val="none" w:sz="0" w:space="0" w:color="auto"/>
                                                <w:right w:val="none" w:sz="0" w:space="0" w:color="auto"/>
                                              </w:divBdr>
                                              <w:divsChild>
                                                <w:div w:id="19205256">
                                                  <w:marLeft w:val="0"/>
                                                  <w:marRight w:val="0"/>
                                                  <w:marTop w:val="90"/>
                                                  <w:marBottom w:val="0"/>
                                                  <w:divBdr>
                                                    <w:top w:val="none" w:sz="0" w:space="0" w:color="auto"/>
                                                    <w:left w:val="none" w:sz="0" w:space="0" w:color="auto"/>
                                                    <w:bottom w:val="none" w:sz="0" w:space="0" w:color="auto"/>
                                                    <w:right w:val="none" w:sz="0" w:space="0" w:color="auto"/>
                                                  </w:divBdr>
                                                  <w:divsChild>
                                                    <w:div w:id="1830168272">
                                                      <w:marLeft w:val="0"/>
                                                      <w:marRight w:val="0"/>
                                                      <w:marTop w:val="0"/>
                                                      <w:marBottom w:val="0"/>
                                                      <w:divBdr>
                                                        <w:top w:val="none" w:sz="0" w:space="0" w:color="auto"/>
                                                        <w:left w:val="none" w:sz="0" w:space="0" w:color="auto"/>
                                                        <w:bottom w:val="none" w:sz="0" w:space="0" w:color="auto"/>
                                                        <w:right w:val="none" w:sz="0" w:space="0" w:color="auto"/>
                                                      </w:divBdr>
                                                      <w:divsChild>
                                                        <w:div w:id="1944416470">
                                                          <w:marLeft w:val="0"/>
                                                          <w:marRight w:val="0"/>
                                                          <w:marTop w:val="0"/>
                                                          <w:marBottom w:val="345"/>
                                                          <w:divBdr>
                                                            <w:top w:val="none" w:sz="0" w:space="0" w:color="auto"/>
                                                            <w:left w:val="none" w:sz="0" w:space="0" w:color="auto"/>
                                                            <w:bottom w:val="none" w:sz="0" w:space="0" w:color="auto"/>
                                                            <w:right w:val="none" w:sz="0" w:space="0" w:color="auto"/>
                                                          </w:divBdr>
                                                          <w:divsChild>
                                                            <w:div w:id="1211259466">
                                                              <w:marLeft w:val="0"/>
                                                              <w:marRight w:val="0"/>
                                                              <w:marTop w:val="0"/>
                                                              <w:marBottom w:val="0"/>
                                                              <w:divBdr>
                                                                <w:top w:val="none" w:sz="0" w:space="0" w:color="auto"/>
                                                                <w:left w:val="none" w:sz="0" w:space="0" w:color="auto"/>
                                                                <w:bottom w:val="none" w:sz="0" w:space="0" w:color="auto"/>
                                                                <w:right w:val="none" w:sz="0" w:space="0" w:color="auto"/>
                                                              </w:divBdr>
                                                              <w:divsChild>
                                                                <w:div w:id="569778807">
                                                                  <w:marLeft w:val="0"/>
                                                                  <w:marRight w:val="0"/>
                                                                  <w:marTop w:val="0"/>
                                                                  <w:marBottom w:val="0"/>
                                                                  <w:divBdr>
                                                                    <w:top w:val="none" w:sz="0" w:space="0" w:color="auto"/>
                                                                    <w:left w:val="none" w:sz="0" w:space="0" w:color="auto"/>
                                                                    <w:bottom w:val="none" w:sz="0" w:space="0" w:color="auto"/>
                                                                    <w:right w:val="none" w:sz="0" w:space="0" w:color="auto"/>
                                                                  </w:divBdr>
                                                                  <w:divsChild>
                                                                    <w:div w:id="1791432226">
                                                                      <w:marLeft w:val="0"/>
                                                                      <w:marRight w:val="0"/>
                                                                      <w:marTop w:val="0"/>
                                                                      <w:marBottom w:val="0"/>
                                                                      <w:divBdr>
                                                                        <w:top w:val="none" w:sz="0" w:space="0" w:color="auto"/>
                                                                        <w:left w:val="none" w:sz="0" w:space="0" w:color="auto"/>
                                                                        <w:bottom w:val="none" w:sz="0" w:space="0" w:color="auto"/>
                                                                        <w:right w:val="none" w:sz="0" w:space="0" w:color="auto"/>
                                                                      </w:divBdr>
                                                                      <w:divsChild>
                                                                        <w:div w:id="1337883382">
                                                                          <w:marLeft w:val="0"/>
                                                                          <w:marRight w:val="0"/>
                                                                          <w:marTop w:val="0"/>
                                                                          <w:marBottom w:val="0"/>
                                                                          <w:divBdr>
                                                                            <w:top w:val="none" w:sz="0" w:space="0" w:color="auto"/>
                                                                            <w:left w:val="none" w:sz="0" w:space="0" w:color="auto"/>
                                                                            <w:bottom w:val="none" w:sz="0" w:space="0" w:color="auto"/>
                                                                            <w:right w:val="none" w:sz="0" w:space="0" w:color="auto"/>
                                                                          </w:divBdr>
                                                                          <w:divsChild>
                                                                            <w:div w:id="1343585618">
                                                                              <w:marLeft w:val="0"/>
                                                                              <w:marRight w:val="0"/>
                                                                              <w:marTop w:val="0"/>
                                                                              <w:marBottom w:val="0"/>
                                                                              <w:divBdr>
                                                                                <w:top w:val="none" w:sz="0" w:space="0" w:color="auto"/>
                                                                                <w:left w:val="none" w:sz="0" w:space="0" w:color="auto"/>
                                                                                <w:bottom w:val="none" w:sz="0" w:space="0" w:color="auto"/>
                                                                                <w:right w:val="none" w:sz="0" w:space="0" w:color="auto"/>
                                                                              </w:divBdr>
                                                                              <w:divsChild>
                                                                                <w:div w:id="369917135">
                                                                                  <w:marLeft w:val="0"/>
                                                                                  <w:marRight w:val="0"/>
                                                                                  <w:marTop w:val="0"/>
                                                                                  <w:marBottom w:val="0"/>
                                                                                  <w:divBdr>
                                                                                    <w:top w:val="none" w:sz="0" w:space="0" w:color="auto"/>
                                                                                    <w:left w:val="none" w:sz="0" w:space="0" w:color="auto"/>
                                                                                    <w:bottom w:val="none" w:sz="0" w:space="0" w:color="auto"/>
                                                                                    <w:right w:val="none" w:sz="0" w:space="0" w:color="auto"/>
                                                                                  </w:divBdr>
                                                                                  <w:divsChild>
                                                                                    <w:div w:id="340935432">
                                                                                      <w:marLeft w:val="0"/>
                                                                                      <w:marRight w:val="0"/>
                                                                                      <w:marTop w:val="0"/>
                                                                                      <w:marBottom w:val="0"/>
                                                                                      <w:divBdr>
                                                                                        <w:top w:val="none" w:sz="0" w:space="0" w:color="auto"/>
                                                                                        <w:left w:val="none" w:sz="0" w:space="0" w:color="auto"/>
                                                                                        <w:bottom w:val="none" w:sz="0" w:space="0" w:color="auto"/>
                                                                                        <w:right w:val="none" w:sz="0" w:space="0" w:color="auto"/>
                                                                                      </w:divBdr>
                                                                                      <w:divsChild>
                                                                                        <w:div w:id="19322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828597291">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32221037">
      <w:bodyDiv w:val="1"/>
      <w:marLeft w:val="0"/>
      <w:marRight w:val="0"/>
      <w:marTop w:val="0"/>
      <w:marBottom w:val="0"/>
      <w:divBdr>
        <w:top w:val="none" w:sz="0" w:space="0" w:color="auto"/>
        <w:left w:val="none" w:sz="0" w:space="0" w:color="auto"/>
        <w:bottom w:val="none" w:sz="0" w:space="0" w:color="auto"/>
        <w:right w:val="none" w:sz="0" w:space="0" w:color="auto"/>
      </w:divBdr>
    </w:div>
    <w:div w:id="2041003015">
      <w:bodyDiv w:val="1"/>
      <w:marLeft w:val="15"/>
      <w:marRight w:val="15"/>
      <w:marTop w:val="15"/>
      <w:marBottom w:val="15"/>
      <w:divBdr>
        <w:top w:val="none" w:sz="0" w:space="0" w:color="auto"/>
        <w:left w:val="none" w:sz="0" w:space="0" w:color="auto"/>
        <w:bottom w:val="none" w:sz="0" w:space="0" w:color="auto"/>
        <w:right w:val="none" w:sz="0" w:space="0" w:color="auto"/>
      </w:divBdr>
      <w:divsChild>
        <w:div w:id="444274586">
          <w:marLeft w:val="150"/>
          <w:marRight w:val="150"/>
          <w:marTop w:val="0"/>
          <w:marBottom w:val="150"/>
          <w:divBdr>
            <w:top w:val="none" w:sz="0" w:space="0" w:color="auto"/>
            <w:left w:val="none" w:sz="0" w:space="0" w:color="auto"/>
            <w:bottom w:val="none" w:sz="0" w:space="0" w:color="auto"/>
            <w:right w:val="none" w:sz="0" w:space="0" w:color="auto"/>
          </w:divBdr>
        </w:div>
      </w:divsChild>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 w:id="21395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BBC1-0A88-4FE9-9708-BF32AC40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6296</Words>
  <Characters>35890</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CCPR/C/119/D/2259/2013</vt:lpstr>
      <vt:lpstr>CCPR/C/119/D/2259/2013</vt:lpstr>
    </vt:vector>
  </TitlesOfParts>
  <Company>DCM</Company>
  <LinksUpToDate>false</LinksUpToDate>
  <CharactersWithSpaces>42102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CCPR/C/119/D/2259/2013</dc:title>
  <dc:subject/>
  <dc:creator>Nath V.</dc:creator>
  <cp:keywords/>
  <dc:description/>
  <cp:lastModifiedBy>Sarah Willig</cp:lastModifiedBy>
  <cp:revision>2</cp:revision>
  <cp:lastPrinted>2017-03-01T16:08:00Z</cp:lastPrinted>
  <dcterms:created xsi:type="dcterms:W3CDTF">2017-05-18T16:13:00Z</dcterms:created>
  <dcterms:modified xsi:type="dcterms:W3CDTF">2017-05-18T16:13:00Z</dcterms:modified>
</cp:coreProperties>
</file>