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1814FB">
        <w:trPr>
          <w:trHeight w:hRule="exact" w:val="851"/>
        </w:trPr>
        <w:tc>
          <w:tcPr>
            <w:tcW w:w="1276" w:type="dxa"/>
            <w:tcBorders>
              <w:bottom w:val="single" w:sz="4" w:space="0" w:color="auto"/>
            </w:tcBorders>
            <w:vAlign w:val="bottom"/>
          </w:tcPr>
          <w:p w:rsidR="00B56E9C" w:rsidRPr="00044076" w:rsidRDefault="00B56E9C" w:rsidP="00B6553F">
            <w:pPr>
              <w:spacing w:after="80"/>
            </w:pPr>
            <w:bookmarkStart w:id="0" w:name="_GoBack"/>
            <w:bookmarkEnd w:id="0"/>
          </w:p>
        </w:tc>
        <w:tc>
          <w:tcPr>
            <w:tcW w:w="1985" w:type="dxa"/>
            <w:tcBorders>
              <w:bottom w:val="single" w:sz="4" w:space="0" w:color="auto"/>
            </w:tcBorders>
            <w:vAlign w:val="bottom"/>
          </w:tcPr>
          <w:p w:rsidR="00B56E9C" w:rsidRPr="00DF23DE" w:rsidRDefault="005D5AC7" w:rsidP="00B6553F">
            <w:pPr>
              <w:spacing w:after="80" w:line="300" w:lineRule="exact"/>
              <w:rPr>
                <w:b/>
                <w:sz w:val="24"/>
                <w:szCs w:val="24"/>
              </w:rPr>
            </w:pPr>
            <w:r w:rsidRPr="00DF23DE">
              <w:rPr>
                <w:sz w:val="28"/>
                <w:szCs w:val="28"/>
              </w:rPr>
              <w:t>United Nations</w:t>
            </w:r>
          </w:p>
        </w:tc>
        <w:tc>
          <w:tcPr>
            <w:tcW w:w="6378" w:type="dxa"/>
            <w:gridSpan w:val="2"/>
            <w:tcBorders>
              <w:bottom w:val="single" w:sz="4" w:space="0" w:color="auto"/>
            </w:tcBorders>
            <w:vAlign w:val="bottom"/>
          </w:tcPr>
          <w:p w:rsidR="00B56E9C" w:rsidRPr="001814FB" w:rsidRDefault="00785A61" w:rsidP="00C64CE5">
            <w:pPr>
              <w:jc w:val="right"/>
              <w:rPr>
                <w:lang w:val="en-US"/>
              </w:rPr>
            </w:pPr>
            <w:r w:rsidRPr="001814FB">
              <w:rPr>
                <w:sz w:val="40"/>
                <w:lang w:val="en-US"/>
              </w:rPr>
              <w:t>CAT</w:t>
            </w:r>
            <w:r w:rsidRPr="001814FB">
              <w:rPr>
                <w:lang w:val="en-US"/>
              </w:rPr>
              <w:t>/C/</w:t>
            </w:r>
            <w:r w:rsidR="000360C6" w:rsidRPr="001814FB">
              <w:rPr>
                <w:lang w:val="en-US"/>
              </w:rPr>
              <w:t>5</w:t>
            </w:r>
            <w:r w:rsidR="00133F8C">
              <w:rPr>
                <w:lang w:val="en-US"/>
              </w:rPr>
              <w:t>8</w:t>
            </w:r>
            <w:r w:rsidRPr="001814FB">
              <w:rPr>
                <w:lang w:val="en-US"/>
              </w:rPr>
              <w:t>/</w:t>
            </w:r>
            <w:r w:rsidR="0026218D" w:rsidRPr="001814FB">
              <w:rPr>
                <w:lang w:val="en-US"/>
              </w:rPr>
              <w:t>D</w:t>
            </w:r>
            <w:r w:rsidR="000077B8" w:rsidRPr="001814FB">
              <w:rPr>
                <w:lang w:val="en-US"/>
              </w:rPr>
              <w:t>/</w:t>
            </w:r>
            <w:r w:rsidR="00133F8C">
              <w:rPr>
                <w:lang w:val="en-US"/>
              </w:rPr>
              <w:t>595</w:t>
            </w:r>
            <w:r w:rsidRPr="001814FB">
              <w:rPr>
                <w:lang w:val="en-US"/>
              </w:rPr>
              <w:t>/</w:t>
            </w:r>
            <w:r w:rsidR="00133F8C">
              <w:rPr>
                <w:lang w:val="en-US"/>
              </w:rPr>
              <w:t>2014</w:t>
            </w:r>
          </w:p>
        </w:tc>
      </w:tr>
      <w:tr w:rsidR="00B56E9C" w:rsidRPr="00DF23DE">
        <w:trPr>
          <w:cantSplit/>
          <w:trHeight w:hRule="exact" w:val="2835"/>
        </w:trPr>
        <w:tc>
          <w:tcPr>
            <w:tcW w:w="1276" w:type="dxa"/>
            <w:tcBorders>
              <w:top w:val="single" w:sz="4" w:space="0" w:color="auto"/>
              <w:bottom w:val="single" w:sz="12" w:space="0" w:color="auto"/>
            </w:tcBorders>
          </w:tcPr>
          <w:p w:rsidR="00B56E9C" w:rsidRPr="00DF23DE" w:rsidRDefault="008C1930" w:rsidP="00B6553F">
            <w:pPr>
              <w:spacing w:before="120"/>
            </w:pPr>
            <w:r>
              <w:rPr>
                <w:noProof/>
                <w:lang w:val="en-US"/>
              </w:rPr>
              <w:drawing>
                <wp:inline distT="0" distB="0" distL="0" distR="0" wp14:anchorId="703744E8" wp14:editId="135B7D6F">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DF23DE" w:rsidRDefault="005D5AC7" w:rsidP="00267F5F">
            <w:pPr>
              <w:spacing w:before="120" w:line="380" w:lineRule="exact"/>
              <w:rPr>
                <w:sz w:val="34"/>
              </w:rPr>
            </w:pPr>
            <w:r w:rsidRPr="00DF23DE">
              <w:rPr>
                <w:b/>
                <w:sz w:val="34"/>
                <w:szCs w:val="34"/>
              </w:rPr>
              <w:t>Convention against Torture</w:t>
            </w:r>
            <w:r w:rsidRPr="00DF23DE">
              <w:rPr>
                <w:b/>
                <w:sz w:val="34"/>
                <w:szCs w:val="34"/>
              </w:rPr>
              <w:br/>
              <w:t>and Other Cruel, Inhuman or Degrading Treatment</w:t>
            </w:r>
            <w:r w:rsidRPr="00DF23DE">
              <w:rPr>
                <w:b/>
                <w:sz w:val="34"/>
                <w:szCs w:val="34"/>
              </w:rPr>
              <w:br/>
              <w:t>or Punishment</w:t>
            </w:r>
          </w:p>
        </w:tc>
        <w:tc>
          <w:tcPr>
            <w:tcW w:w="2835" w:type="dxa"/>
            <w:tcBorders>
              <w:top w:val="single" w:sz="4" w:space="0" w:color="auto"/>
              <w:bottom w:val="single" w:sz="12" w:space="0" w:color="auto"/>
            </w:tcBorders>
          </w:tcPr>
          <w:p w:rsidR="00133F8C" w:rsidRPr="00C07884" w:rsidRDefault="00133F8C" w:rsidP="00133F8C">
            <w:pPr>
              <w:spacing w:before="240" w:line="240" w:lineRule="exact"/>
            </w:pPr>
            <w:r w:rsidRPr="00C07884">
              <w:t xml:space="preserve">Distr.: </w:t>
            </w:r>
            <w:r w:rsidR="006B6369">
              <w:t>General</w:t>
            </w:r>
          </w:p>
          <w:p w:rsidR="00133F8C" w:rsidRPr="00C07884" w:rsidRDefault="00592184" w:rsidP="0071411B">
            <w:pPr>
              <w:spacing w:line="240" w:lineRule="exact"/>
            </w:pPr>
            <w:r w:rsidRPr="003A40BB">
              <w:t>1</w:t>
            </w:r>
            <w:r w:rsidR="001664A5" w:rsidRPr="003A40BB">
              <w:t>6</w:t>
            </w:r>
            <w:r w:rsidR="00C64CE5" w:rsidRPr="003A40BB">
              <w:t xml:space="preserve"> </w:t>
            </w:r>
            <w:r w:rsidR="008C1930" w:rsidRPr="003A40BB">
              <w:t>Septemb</w:t>
            </w:r>
            <w:r w:rsidR="00BA3B9E" w:rsidRPr="003A40BB">
              <w:t>er</w:t>
            </w:r>
            <w:r w:rsidR="00133F8C" w:rsidRPr="003A40BB">
              <w:t xml:space="preserve"> 2016</w:t>
            </w:r>
          </w:p>
          <w:p w:rsidR="00133F8C" w:rsidRPr="00C07884" w:rsidRDefault="00133F8C" w:rsidP="00133F8C">
            <w:pPr>
              <w:spacing w:line="240" w:lineRule="exact"/>
            </w:pPr>
          </w:p>
          <w:p w:rsidR="00133F8C" w:rsidRDefault="00133F8C" w:rsidP="00133F8C">
            <w:pPr>
              <w:spacing w:line="240" w:lineRule="exact"/>
            </w:pPr>
            <w:r w:rsidRPr="00C07884">
              <w:t>Original: English</w:t>
            </w:r>
          </w:p>
          <w:p w:rsidR="00133F8C" w:rsidRPr="00C07884" w:rsidRDefault="00133F8C" w:rsidP="00133F8C">
            <w:pPr>
              <w:spacing w:line="240" w:lineRule="exact"/>
            </w:pPr>
          </w:p>
          <w:p w:rsidR="00991F66" w:rsidRPr="00DF23DE" w:rsidRDefault="00991F66" w:rsidP="005715BB">
            <w:pPr>
              <w:spacing w:line="240" w:lineRule="exact"/>
            </w:pPr>
          </w:p>
        </w:tc>
      </w:tr>
    </w:tbl>
    <w:p w:rsidR="001275E2" w:rsidRDefault="001275E2" w:rsidP="001275E2">
      <w:pPr>
        <w:spacing w:before="120"/>
        <w:rPr>
          <w:b/>
          <w:sz w:val="24"/>
          <w:szCs w:val="24"/>
        </w:rPr>
      </w:pPr>
      <w:r w:rsidRPr="00DF23DE">
        <w:rPr>
          <w:b/>
          <w:sz w:val="24"/>
          <w:szCs w:val="24"/>
        </w:rPr>
        <w:t>Committee against Torture</w:t>
      </w:r>
      <w:r w:rsidR="00BA3B9E">
        <w:rPr>
          <w:b/>
          <w:sz w:val="24"/>
          <w:szCs w:val="24"/>
        </w:rPr>
        <w:t xml:space="preserve"> </w:t>
      </w:r>
    </w:p>
    <w:p w:rsidR="00133F8C" w:rsidRPr="003A40BB" w:rsidRDefault="001275E2" w:rsidP="003A40BB">
      <w:pPr>
        <w:pStyle w:val="HChG"/>
        <w:rPr>
          <w:b w:val="0"/>
          <w:sz w:val="20"/>
        </w:rPr>
      </w:pPr>
      <w:r w:rsidRPr="00DF23DE">
        <w:rPr>
          <w:snapToGrid w:val="0"/>
        </w:rPr>
        <w:tab/>
      </w:r>
      <w:r w:rsidR="004C7ED7" w:rsidRPr="00DF23DE">
        <w:rPr>
          <w:snapToGrid w:val="0"/>
        </w:rPr>
        <w:tab/>
      </w:r>
      <w:r w:rsidR="00F27E1B">
        <w:rPr>
          <w:snapToGrid w:val="0"/>
        </w:rPr>
        <w:t xml:space="preserve">Decision adopted by the Committee under article 22 of the Convention, concerning </w:t>
      </w:r>
      <w:r w:rsidR="00F27E1B">
        <w:t>c</w:t>
      </w:r>
      <w:r w:rsidR="00133F8C" w:rsidRPr="00C07884">
        <w:t xml:space="preserve">ommunication No. </w:t>
      </w:r>
      <w:r w:rsidR="00133F8C">
        <w:t>595/2014</w:t>
      </w:r>
      <w:r w:rsidR="007E3DE7" w:rsidRPr="003A40BB">
        <w:rPr>
          <w:rStyle w:val="FootnoteReference"/>
          <w:b w:val="0"/>
          <w:bCs/>
          <w:sz w:val="20"/>
          <w:vertAlign w:val="baseline"/>
        </w:rPr>
        <w:footnoteReference w:customMarkFollows="1" w:id="2"/>
        <w:t>*</w:t>
      </w:r>
      <w:r w:rsidR="00F27E1B" w:rsidRPr="003A40BB">
        <w:rPr>
          <w:b w:val="0"/>
          <w:bCs/>
          <w:position w:val="4"/>
          <w:sz w:val="20"/>
        </w:rPr>
        <w:t>,</w:t>
      </w:r>
      <w:r w:rsidR="00F27E1B" w:rsidRPr="003A40BB">
        <w:rPr>
          <w:b w:val="0"/>
          <w:bCs/>
          <w:sz w:val="20"/>
        </w:rPr>
        <w:t xml:space="preserve"> </w:t>
      </w:r>
      <w:r w:rsidR="007E3DE7" w:rsidRPr="003A40BB">
        <w:rPr>
          <w:rStyle w:val="FootnoteReference"/>
          <w:b w:val="0"/>
          <w:bCs/>
          <w:sz w:val="20"/>
          <w:vertAlign w:val="baseline"/>
        </w:rPr>
        <w:footnoteReference w:customMarkFollows="1" w:id="3"/>
        <w:t>**</w:t>
      </w:r>
      <w:r w:rsidR="007E3DE7">
        <w:rPr>
          <w:b w:val="0"/>
        </w:rPr>
        <w:t xml:space="preserve"> </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AD2038" w:rsidRPr="00DF23DE" w:rsidTr="003A40BB">
        <w:tc>
          <w:tcPr>
            <w:tcW w:w="3402" w:type="dxa"/>
          </w:tcPr>
          <w:p w:rsidR="00AD2038" w:rsidRPr="00DF23DE" w:rsidRDefault="00DB7144" w:rsidP="00117576">
            <w:pPr>
              <w:pStyle w:val="SingleTxtG"/>
              <w:ind w:left="0" w:right="0"/>
              <w:jc w:val="left"/>
              <w:rPr>
                <w:i/>
              </w:rPr>
            </w:pPr>
            <w:r>
              <w:rPr>
                <w:i/>
              </w:rPr>
              <w:t>Communication s</w:t>
            </w:r>
            <w:r w:rsidR="00AD2038" w:rsidRPr="00DF23DE">
              <w:rPr>
                <w:i/>
              </w:rPr>
              <w:t>ubmitted by:</w:t>
            </w:r>
          </w:p>
        </w:tc>
        <w:tc>
          <w:tcPr>
            <w:tcW w:w="3969" w:type="dxa"/>
          </w:tcPr>
          <w:p w:rsidR="00AD2038" w:rsidRPr="00DF23DE" w:rsidRDefault="00133F8C" w:rsidP="009F0A3E">
            <w:pPr>
              <w:pStyle w:val="SingleTxtG"/>
              <w:ind w:left="0" w:right="0"/>
              <w:jc w:val="left"/>
            </w:pPr>
            <w:r w:rsidRPr="001352A1">
              <w:rPr>
                <w:color w:val="000000"/>
              </w:rPr>
              <w:t>D</w:t>
            </w:r>
            <w:r w:rsidR="009F0A3E" w:rsidRPr="001352A1">
              <w:rPr>
                <w:color w:val="000000"/>
              </w:rPr>
              <w:t>.</w:t>
            </w:r>
            <w:r w:rsidRPr="001352A1">
              <w:rPr>
                <w:color w:val="000000"/>
              </w:rPr>
              <w:t>M</w:t>
            </w:r>
            <w:r w:rsidR="009F0A3E" w:rsidRPr="001352A1">
              <w:rPr>
                <w:color w:val="000000"/>
              </w:rPr>
              <w:t>.</w:t>
            </w:r>
            <w:r w:rsidRPr="001352A1">
              <w:rPr>
                <w:color w:val="000000"/>
              </w:rPr>
              <w:t xml:space="preserve"> </w:t>
            </w:r>
            <w:r w:rsidR="00FF118F" w:rsidRPr="00DF23DE">
              <w:t xml:space="preserve">(represented by counsel, </w:t>
            </w:r>
            <w:r w:rsidRPr="00133F8C">
              <w:t xml:space="preserve">John </w:t>
            </w:r>
            <w:r w:rsidR="00ED37C8">
              <w:t>Phillip</w:t>
            </w:r>
            <w:r w:rsidR="00752B74">
              <w:t xml:space="preserve"> </w:t>
            </w:r>
            <w:r w:rsidRPr="00133F8C">
              <w:t>Sweeney</w:t>
            </w:r>
            <w:r w:rsidR="00FF118F" w:rsidRPr="00DF23DE">
              <w:t>)</w:t>
            </w:r>
            <w:r w:rsidRPr="00133F8C">
              <w:rPr>
                <w:color w:val="FF0000"/>
              </w:rPr>
              <w:t xml:space="preserve"> </w:t>
            </w:r>
          </w:p>
        </w:tc>
      </w:tr>
      <w:tr w:rsidR="00AD2038" w:rsidRPr="00DF23DE" w:rsidTr="003A40BB">
        <w:tc>
          <w:tcPr>
            <w:tcW w:w="3402" w:type="dxa"/>
          </w:tcPr>
          <w:p w:rsidR="00AD2038" w:rsidRPr="00DF23DE" w:rsidRDefault="00AD2038" w:rsidP="00960527">
            <w:pPr>
              <w:pStyle w:val="SingleTxtG"/>
              <w:ind w:left="0" w:right="0"/>
              <w:jc w:val="left"/>
              <w:rPr>
                <w:i/>
              </w:rPr>
            </w:pPr>
            <w:r w:rsidRPr="00DF23DE">
              <w:rPr>
                <w:i/>
              </w:rPr>
              <w:t>Alleged victim:</w:t>
            </w:r>
          </w:p>
        </w:tc>
        <w:tc>
          <w:tcPr>
            <w:tcW w:w="3969" w:type="dxa"/>
          </w:tcPr>
          <w:p w:rsidR="00AD2038" w:rsidRPr="00DF23DE" w:rsidRDefault="008B419E" w:rsidP="00117576">
            <w:pPr>
              <w:pStyle w:val="SingleTxtG"/>
              <w:ind w:left="0" w:right="0"/>
              <w:jc w:val="left"/>
            </w:pPr>
            <w:r w:rsidRPr="00DF23DE">
              <w:rPr>
                <w:snapToGrid w:val="0"/>
              </w:rPr>
              <w:t>T</w:t>
            </w:r>
            <w:r w:rsidR="00FF118F" w:rsidRPr="00DF23DE">
              <w:rPr>
                <w:snapToGrid w:val="0"/>
              </w:rPr>
              <w:t>he complainant</w:t>
            </w:r>
          </w:p>
        </w:tc>
      </w:tr>
      <w:tr w:rsidR="00AD2038" w:rsidRPr="00DF23DE" w:rsidTr="003A40BB">
        <w:tc>
          <w:tcPr>
            <w:tcW w:w="3402" w:type="dxa"/>
          </w:tcPr>
          <w:p w:rsidR="00AD2038" w:rsidRPr="001352A1" w:rsidRDefault="00AD2038" w:rsidP="00117576">
            <w:pPr>
              <w:pStyle w:val="SingleTxtG"/>
              <w:ind w:left="0" w:right="0"/>
              <w:jc w:val="left"/>
              <w:rPr>
                <w:i/>
                <w:color w:val="000000"/>
              </w:rPr>
            </w:pPr>
            <w:r w:rsidRPr="001352A1">
              <w:rPr>
                <w:i/>
                <w:color w:val="000000"/>
              </w:rPr>
              <w:t>State party:</w:t>
            </w:r>
          </w:p>
        </w:tc>
        <w:tc>
          <w:tcPr>
            <w:tcW w:w="3969" w:type="dxa"/>
          </w:tcPr>
          <w:p w:rsidR="00AD2038" w:rsidRPr="001352A1" w:rsidRDefault="00133F8C" w:rsidP="00133F8C">
            <w:pPr>
              <w:pStyle w:val="SingleTxtG"/>
              <w:ind w:left="0" w:right="0"/>
              <w:jc w:val="left"/>
              <w:rPr>
                <w:color w:val="000000"/>
              </w:rPr>
            </w:pPr>
            <w:r w:rsidRPr="001352A1">
              <w:rPr>
                <w:color w:val="000000"/>
              </w:rPr>
              <w:t>Australia</w:t>
            </w:r>
          </w:p>
        </w:tc>
      </w:tr>
      <w:tr w:rsidR="00AD2038" w:rsidRPr="00DF23DE" w:rsidTr="003A40BB">
        <w:tc>
          <w:tcPr>
            <w:tcW w:w="3402" w:type="dxa"/>
          </w:tcPr>
          <w:p w:rsidR="00AD2038" w:rsidRPr="00DF23DE" w:rsidRDefault="00AD2038" w:rsidP="00117576">
            <w:pPr>
              <w:pStyle w:val="SingleTxtG"/>
              <w:ind w:left="0" w:right="0"/>
              <w:jc w:val="left"/>
              <w:rPr>
                <w:i/>
              </w:rPr>
            </w:pPr>
            <w:r w:rsidRPr="00DF23DE">
              <w:rPr>
                <w:i/>
              </w:rPr>
              <w:t>Date of complaint:</w:t>
            </w:r>
          </w:p>
        </w:tc>
        <w:tc>
          <w:tcPr>
            <w:tcW w:w="3969" w:type="dxa"/>
          </w:tcPr>
          <w:p w:rsidR="00AD2038" w:rsidRPr="00DF23DE" w:rsidRDefault="00133F8C" w:rsidP="00133F8C">
            <w:pPr>
              <w:pStyle w:val="SingleTxtG"/>
              <w:ind w:left="0" w:right="0"/>
              <w:jc w:val="left"/>
            </w:pPr>
            <w:r w:rsidRPr="001352A1">
              <w:rPr>
                <w:color w:val="000000"/>
              </w:rPr>
              <w:t>8 Apr</w:t>
            </w:r>
            <w:r w:rsidR="00865A6F">
              <w:rPr>
                <w:color w:val="000000"/>
              </w:rPr>
              <w:t>il</w:t>
            </w:r>
            <w:r w:rsidRPr="001352A1">
              <w:rPr>
                <w:color w:val="000000"/>
              </w:rPr>
              <w:t xml:space="preserve"> 2014</w:t>
            </w:r>
            <w:r w:rsidR="00AD2038" w:rsidRPr="001352A1">
              <w:rPr>
                <w:color w:val="000000"/>
              </w:rPr>
              <w:t xml:space="preserve"> </w:t>
            </w:r>
            <w:r w:rsidR="00AD2038" w:rsidRPr="00DF23DE">
              <w:t>(initial submission)</w:t>
            </w:r>
          </w:p>
        </w:tc>
      </w:tr>
      <w:tr w:rsidR="00AD2038" w:rsidRPr="00DF23DE" w:rsidTr="003A40BB">
        <w:tc>
          <w:tcPr>
            <w:tcW w:w="3402" w:type="dxa"/>
          </w:tcPr>
          <w:p w:rsidR="00AD2038" w:rsidRPr="00DF23DE" w:rsidRDefault="00AD2038">
            <w:pPr>
              <w:pStyle w:val="SingleTxtG"/>
              <w:ind w:left="0" w:right="0"/>
              <w:jc w:val="left"/>
              <w:rPr>
                <w:i/>
              </w:rPr>
            </w:pPr>
            <w:r w:rsidRPr="00DF23DE">
              <w:rPr>
                <w:i/>
              </w:rPr>
              <w:t xml:space="preserve">Date of </w:t>
            </w:r>
            <w:r w:rsidR="00865A6F">
              <w:rPr>
                <w:i/>
              </w:rPr>
              <w:t>present</w:t>
            </w:r>
            <w:r w:rsidRPr="00DF23DE">
              <w:rPr>
                <w:i/>
              </w:rPr>
              <w:t xml:space="preserve"> decision:</w:t>
            </w:r>
          </w:p>
        </w:tc>
        <w:tc>
          <w:tcPr>
            <w:tcW w:w="3969" w:type="dxa"/>
            <w:vAlign w:val="bottom"/>
          </w:tcPr>
          <w:p w:rsidR="00AD2038" w:rsidRPr="00DF23DE" w:rsidRDefault="00C64CE5" w:rsidP="00C64CE5">
            <w:pPr>
              <w:pStyle w:val="SingleTxtG"/>
              <w:ind w:left="0" w:right="0"/>
              <w:jc w:val="left"/>
            </w:pPr>
            <w:r>
              <w:rPr>
                <w:color w:val="000000"/>
              </w:rPr>
              <w:t>8</w:t>
            </w:r>
            <w:r w:rsidR="00133F8C" w:rsidRPr="001352A1">
              <w:rPr>
                <w:color w:val="000000"/>
              </w:rPr>
              <w:t xml:space="preserve"> August 2016</w:t>
            </w:r>
          </w:p>
        </w:tc>
      </w:tr>
      <w:tr w:rsidR="00AD2038" w:rsidRPr="00DF23DE" w:rsidTr="003A40BB">
        <w:tc>
          <w:tcPr>
            <w:tcW w:w="3402" w:type="dxa"/>
          </w:tcPr>
          <w:p w:rsidR="00AD2038" w:rsidRPr="00DF23DE" w:rsidRDefault="00AD2038" w:rsidP="00117576">
            <w:pPr>
              <w:pStyle w:val="SingleTxtG"/>
              <w:ind w:left="0" w:right="0"/>
              <w:jc w:val="left"/>
              <w:rPr>
                <w:i/>
              </w:rPr>
            </w:pPr>
            <w:r w:rsidRPr="00DF23DE">
              <w:rPr>
                <w:i/>
                <w:iCs/>
              </w:rPr>
              <w:t>Subject matter:</w:t>
            </w:r>
          </w:p>
        </w:tc>
        <w:tc>
          <w:tcPr>
            <w:tcW w:w="3969" w:type="dxa"/>
          </w:tcPr>
          <w:p w:rsidR="00AD2038" w:rsidRPr="00DF23DE" w:rsidRDefault="00ED065E" w:rsidP="00133F8C">
            <w:pPr>
              <w:pStyle w:val="SingleTxtG"/>
              <w:ind w:left="0" w:right="0"/>
              <w:jc w:val="left"/>
            </w:pPr>
            <w:r>
              <w:rPr>
                <w:snapToGrid w:val="0"/>
              </w:rPr>
              <w:t>Deportation</w:t>
            </w:r>
            <w:r w:rsidR="00133F8C">
              <w:rPr>
                <w:snapToGrid w:val="0"/>
              </w:rPr>
              <w:t xml:space="preserve"> to Sri Lanka; risk of torture</w:t>
            </w:r>
          </w:p>
        </w:tc>
      </w:tr>
      <w:tr w:rsidR="00AD2038" w:rsidRPr="00DF23DE" w:rsidTr="003A40BB">
        <w:tc>
          <w:tcPr>
            <w:tcW w:w="3402" w:type="dxa"/>
          </w:tcPr>
          <w:p w:rsidR="00AD2038" w:rsidRPr="00DF23DE" w:rsidRDefault="00AD2038" w:rsidP="00117576">
            <w:pPr>
              <w:pStyle w:val="SingleTxtG"/>
              <w:ind w:left="0" w:right="0"/>
              <w:jc w:val="left"/>
              <w:rPr>
                <w:i/>
                <w:iCs/>
              </w:rPr>
            </w:pPr>
            <w:r w:rsidRPr="00DF23DE">
              <w:rPr>
                <w:i/>
                <w:iCs/>
              </w:rPr>
              <w:t>Substantive issue</w:t>
            </w:r>
            <w:r w:rsidR="00790862">
              <w:rPr>
                <w:i/>
                <w:iCs/>
              </w:rPr>
              <w:t>s</w:t>
            </w:r>
            <w:r w:rsidRPr="00DF23DE">
              <w:rPr>
                <w:i/>
                <w:iCs/>
              </w:rPr>
              <w:t>:</w:t>
            </w:r>
          </w:p>
        </w:tc>
        <w:tc>
          <w:tcPr>
            <w:tcW w:w="3969" w:type="dxa"/>
          </w:tcPr>
          <w:p w:rsidR="00AD2038" w:rsidRPr="00DF23DE" w:rsidRDefault="00133F8C" w:rsidP="001E6185">
            <w:pPr>
              <w:pStyle w:val="SingleTxtG"/>
              <w:ind w:left="0" w:right="0"/>
              <w:jc w:val="left"/>
            </w:pPr>
            <w:r>
              <w:rPr>
                <w:snapToGrid w:val="0"/>
              </w:rPr>
              <w:t>Non-refoulement</w:t>
            </w:r>
            <w:r w:rsidR="00ED065E" w:rsidRPr="003659C5">
              <w:rPr>
                <w:snapToGrid w:val="0"/>
                <w:color w:val="FF0000"/>
              </w:rPr>
              <w:t xml:space="preserve"> </w:t>
            </w:r>
          </w:p>
        </w:tc>
      </w:tr>
      <w:tr w:rsidR="00AD2038" w:rsidRPr="00DF23DE" w:rsidTr="003A40BB">
        <w:tc>
          <w:tcPr>
            <w:tcW w:w="3402" w:type="dxa"/>
          </w:tcPr>
          <w:p w:rsidR="00AD2038" w:rsidRPr="00DF23DE" w:rsidRDefault="00AD2038" w:rsidP="00117576">
            <w:pPr>
              <w:pStyle w:val="SingleTxtG"/>
              <w:ind w:left="0" w:right="0"/>
              <w:jc w:val="left"/>
              <w:rPr>
                <w:i/>
                <w:iCs/>
              </w:rPr>
            </w:pPr>
            <w:r w:rsidRPr="00DF23DE">
              <w:rPr>
                <w:i/>
                <w:iCs/>
              </w:rPr>
              <w:t>Procedural issue</w:t>
            </w:r>
            <w:r w:rsidR="00C669CC" w:rsidRPr="00DF23DE">
              <w:rPr>
                <w:i/>
                <w:iCs/>
              </w:rPr>
              <w:t>s</w:t>
            </w:r>
            <w:r w:rsidRPr="00DF23DE">
              <w:rPr>
                <w:i/>
              </w:rPr>
              <w:t>:</w:t>
            </w:r>
          </w:p>
        </w:tc>
        <w:tc>
          <w:tcPr>
            <w:tcW w:w="3969" w:type="dxa"/>
          </w:tcPr>
          <w:p w:rsidR="003C002F" w:rsidRPr="00DF23DE" w:rsidRDefault="009F0A3E">
            <w:pPr>
              <w:pStyle w:val="SingleTxtG"/>
              <w:ind w:left="0" w:right="0"/>
              <w:jc w:val="left"/>
            </w:pPr>
            <w:r w:rsidRPr="001352A1">
              <w:rPr>
                <w:snapToGrid w:val="0"/>
                <w:color w:val="000000"/>
              </w:rPr>
              <w:t xml:space="preserve">Admissibility </w:t>
            </w:r>
            <w:r w:rsidR="00865A6F" w:rsidRPr="00865A6F">
              <w:rPr>
                <w:snapToGrid w:val="0"/>
                <w:color w:val="000000"/>
              </w:rPr>
              <w:t>—</w:t>
            </w:r>
            <w:r w:rsidRPr="00865A6F">
              <w:rPr>
                <w:snapToGrid w:val="0"/>
                <w:color w:val="000000"/>
              </w:rPr>
              <w:t xml:space="preserve"> </w:t>
            </w:r>
            <w:r w:rsidRPr="00865A6F">
              <w:rPr>
                <w:snapToGrid w:val="0"/>
                <w:color w:val="000000"/>
                <w:lang w:val="en"/>
              </w:rPr>
              <w:t xml:space="preserve">manifestly </w:t>
            </w:r>
            <w:r w:rsidR="00865A6F">
              <w:rPr>
                <w:snapToGrid w:val="0"/>
                <w:color w:val="000000"/>
                <w:lang w:val="en"/>
              </w:rPr>
              <w:t>un</w:t>
            </w:r>
            <w:r w:rsidRPr="00865A6F">
              <w:rPr>
                <w:snapToGrid w:val="0"/>
                <w:color w:val="000000"/>
                <w:lang w:val="en"/>
              </w:rPr>
              <w:t>founded</w:t>
            </w:r>
          </w:p>
        </w:tc>
      </w:tr>
      <w:tr w:rsidR="00AD2038" w:rsidRPr="00DF23DE" w:rsidTr="003A40BB">
        <w:tc>
          <w:tcPr>
            <w:tcW w:w="3402" w:type="dxa"/>
          </w:tcPr>
          <w:p w:rsidR="00AD2038" w:rsidRPr="00DF23DE" w:rsidRDefault="00AD2038" w:rsidP="00117576">
            <w:pPr>
              <w:pStyle w:val="SingleTxtG"/>
              <w:spacing w:after="240"/>
              <w:ind w:left="0" w:right="0"/>
              <w:jc w:val="left"/>
              <w:rPr>
                <w:i/>
                <w:iCs/>
              </w:rPr>
            </w:pPr>
            <w:r w:rsidRPr="00DF23DE">
              <w:rPr>
                <w:i/>
                <w:iCs/>
              </w:rPr>
              <w:t>Article</w:t>
            </w:r>
            <w:r w:rsidR="00790862">
              <w:rPr>
                <w:i/>
                <w:iCs/>
              </w:rPr>
              <w:t>s</w:t>
            </w:r>
            <w:r w:rsidRPr="00DF23DE">
              <w:rPr>
                <w:i/>
                <w:iCs/>
              </w:rPr>
              <w:t xml:space="preserve"> of the Convention</w:t>
            </w:r>
            <w:r w:rsidRPr="00DF23DE">
              <w:rPr>
                <w:i/>
              </w:rPr>
              <w:t>:</w:t>
            </w:r>
          </w:p>
        </w:tc>
        <w:tc>
          <w:tcPr>
            <w:tcW w:w="3969" w:type="dxa"/>
          </w:tcPr>
          <w:p w:rsidR="00AD2038" w:rsidRPr="00DF23DE" w:rsidRDefault="00AD2038" w:rsidP="00133F8C">
            <w:pPr>
              <w:pStyle w:val="SingleTxtG"/>
              <w:spacing w:after="240"/>
              <w:ind w:left="0" w:right="0"/>
              <w:jc w:val="left"/>
            </w:pPr>
            <w:r w:rsidRPr="00DF23DE">
              <w:t>3</w:t>
            </w:r>
            <w:r w:rsidR="00EE69E1" w:rsidRPr="00DF23DE">
              <w:t xml:space="preserve"> </w:t>
            </w:r>
            <w:r w:rsidR="00DB0E68" w:rsidRPr="00DF23DE">
              <w:t>and</w:t>
            </w:r>
            <w:r w:rsidR="007F7B15" w:rsidRPr="00DF23DE">
              <w:t xml:space="preserve"> 22</w:t>
            </w:r>
          </w:p>
        </w:tc>
      </w:tr>
    </w:tbl>
    <w:p w:rsidR="00876264" w:rsidRDefault="00D5558F" w:rsidP="003A40BB">
      <w:pPr>
        <w:pStyle w:val="SingleTxtG"/>
        <w:spacing w:before="240"/>
        <w:rPr>
          <w:snapToGrid w:val="0"/>
        </w:rPr>
      </w:pPr>
      <w:r w:rsidRPr="00DF23DE">
        <w:rPr>
          <w:snapToGrid w:val="0"/>
        </w:rPr>
        <w:t>1.1</w:t>
      </w:r>
      <w:r w:rsidRPr="00DF23DE">
        <w:rPr>
          <w:snapToGrid w:val="0"/>
        </w:rPr>
        <w:tab/>
        <w:t>The complainant</w:t>
      </w:r>
      <w:r w:rsidR="00522E7C" w:rsidRPr="00DF23DE">
        <w:rPr>
          <w:snapToGrid w:val="0"/>
        </w:rPr>
        <w:t xml:space="preserve"> is</w:t>
      </w:r>
      <w:r w:rsidR="00DB189D" w:rsidRPr="00DF23DE">
        <w:rPr>
          <w:snapToGrid w:val="0"/>
        </w:rPr>
        <w:t xml:space="preserve"> </w:t>
      </w:r>
      <w:r w:rsidR="00876264" w:rsidRPr="00876264">
        <w:rPr>
          <w:snapToGrid w:val="0"/>
        </w:rPr>
        <w:t>D</w:t>
      </w:r>
      <w:r w:rsidR="009F0A3E">
        <w:rPr>
          <w:snapToGrid w:val="0"/>
        </w:rPr>
        <w:t>.</w:t>
      </w:r>
      <w:r w:rsidR="00876264" w:rsidRPr="00876264">
        <w:rPr>
          <w:snapToGrid w:val="0"/>
        </w:rPr>
        <w:t>M</w:t>
      </w:r>
      <w:r w:rsidR="009F0A3E">
        <w:rPr>
          <w:snapToGrid w:val="0"/>
        </w:rPr>
        <w:t>.</w:t>
      </w:r>
      <w:r w:rsidR="00876264" w:rsidRPr="00876264">
        <w:rPr>
          <w:snapToGrid w:val="0"/>
        </w:rPr>
        <w:t>, a national</w:t>
      </w:r>
      <w:r w:rsidR="005E7E4A">
        <w:rPr>
          <w:snapToGrid w:val="0"/>
        </w:rPr>
        <w:t xml:space="preserve"> of Sri Lanka</w:t>
      </w:r>
      <w:r w:rsidR="00876264" w:rsidRPr="00876264">
        <w:rPr>
          <w:snapToGrid w:val="0"/>
        </w:rPr>
        <w:t xml:space="preserve"> born in 1991. He </w:t>
      </w:r>
      <w:r w:rsidR="00C37356">
        <w:rPr>
          <w:snapToGrid w:val="0"/>
        </w:rPr>
        <w:t>was not granted</w:t>
      </w:r>
      <w:r w:rsidR="000C79D0">
        <w:rPr>
          <w:snapToGrid w:val="0"/>
        </w:rPr>
        <w:t xml:space="preserve"> refugee status</w:t>
      </w:r>
      <w:r w:rsidR="00876264" w:rsidRPr="00876264">
        <w:rPr>
          <w:snapToGrid w:val="0"/>
        </w:rPr>
        <w:t xml:space="preserve"> in Australia. He </w:t>
      </w:r>
      <w:r w:rsidR="005E7E4A">
        <w:rPr>
          <w:snapToGrid w:val="0"/>
        </w:rPr>
        <w:t>claims</w:t>
      </w:r>
      <w:r w:rsidR="005E7E4A" w:rsidRPr="00876264">
        <w:rPr>
          <w:snapToGrid w:val="0"/>
        </w:rPr>
        <w:t xml:space="preserve"> </w:t>
      </w:r>
      <w:r w:rsidR="00876264" w:rsidRPr="00876264">
        <w:rPr>
          <w:snapToGrid w:val="0"/>
        </w:rPr>
        <w:t xml:space="preserve">that if </w:t>
      </w:r>
      <w:r w:rsidR="000C79D0">
        <w:rPr>
          <w:snapToGrid w:val="0"/>
        </w:rPr>
        <w:t xml:space="preserve">he is </w:t>
      </w:r>
      <w:r w:rsidR="00876264" w:rsidRPr="00876264">
        <w:rPr>
          <w:snapToGrid w:val="0"/>
        </w:rPr>
        <w:t>deported to Sri Lanka he will face a risk of torture</w:t>
      </w:r>
      <w:r w:rsidR="000C79D0">
        <w:rPr>
          <w:snapToGrid w:val="0"/>
        </w:rPr>
        <w:t>,</w:t>
      </w:r>
      <w:r w:rsidR="00876264" w:rsidRPr="00876264">
        <w:rPr>
          <w:snapToGrid w:val="0"/>
        </w:rPr>
        <w:t xml:space="preserve"> in violation of article 3 of the Convention against Torture</w:t>
      </w:r>
      <w:r w:rsidR="000C79D0">
        <w:rPr>
          <w:snapToGrid w:val="0"/>
        </w:rPr>
        <w:t xml:space="preserve"> </w:t>
      </w:r>
      <w:r w:rsidR="000C79D0" w:rsidRPr="000C79D0">
        <w:rPr>
          <w:snapToGrid w:val="0"/>
        </w:rPr>
        <w:t>and Other Cruel, Inhuman or Degrading Treatment or Punishment</w:t>
      </w:r>
      <w:r w:rsidR="00876264" w:rsidRPr="00876264">
        <w:rPr>
          <w:snapToGrid w:val="0"/>
        </w:rPr>
        <w:t xml:space="preserve">. </w:t>
      </w:r>
      <w:r w:rsidR="00876264">
        <w:rPr>
          <w:snapToGrid w:val="0"/>
        </w:rPr>
        <w:t>At the time of</w:t>
      </w:r>
      <w:r w:rsidR="005E7E4A">
        <w:rPr>
          <w:snapToGrid w:val="0"/>
        </w:rPr>
        <w:t xml:space="preserve"> the</w:t>
      </w:r>
      <w:r w:rsidR="00876264">
        <w:rPr>
          <w:snapToGrid w:val="0"/>
        </w:rPr>
        <w:t xml:space="preserve"> submission</w:t>
      </w:r>
      <w:r w:rsidR="005E7E4A">
        <w:rPr>
          <w:snapToGrid w:val="0"/>
        </w:rPr>
        <w:t xml:space="preserve"> of his complaint,</w:t>
      </w:r>
      <w:r w:rsidR="00876264">
        <w:rPr>
          <w:snapToGrid w:val="0"/>
        </w:rPr>
        <w:t xml:space="preserve"> h</w:t>
      </w:r>
      <w:r w:rsidR="00876264" w:rsidRPr="00876264">
        <w:rPr>
          <w:snapToGrid w:val="0"/>
        </w:rPr>
        <w:t xml:space="preserve">is deportation to Sri Lanka </w:t>
      </w:r>
      <w:r w:rsidR="00876264">
        <w:rPr>
          <w:snapToGrid w:val="0"/>
        </w:rPr>
        <w:t>wa</w:t>
      </w:r>
      <w:r w:rsidR="00876264" w:rsidRPr="00876264">
        <w:rPr>
          <w:snapToGrid w:val="0"/>
        </w:rPr>
        <w:t xml:space="preserve">s imminent. The </w:t>
      </w:r>
      <w:r w:rsidR="00ED37C8">
        <w:rPr>
          <w:snapToGrid w:val="0"/>
        </w:rPr>
        <w:t>complainant</w:t>
      </w:r>
      <w:r w:rsidR="00876264" w:rsidRPr="00876264">
        <w:rPr>
          <w:snapToGrid w:val="0"/>
        </w:rPr>
        <w:t xml:space="preserve"> is represented by </w:t>
      </w:r>
      <w:r w:rsidR="00876264">
        <w:rPr>
          <w:snapToGrid w:val="0"/>
        </w:rPr>
        <w:t xml:space="preserve">counsel, </w:t>
      </w:r>
      <w:r w:rsidR="00876264" w:rsidRPr="00876264">
        <w:rPr>
          <w:snapToGrid w:val="0"/>
        </w:rPr>
        <w:t xml:space="preserve">John Phillip Sweeney. </w:t>
      </w:r>
    </w:p>
    <w:p w:rsidR="00876264" w:rsidRPr="00DF23DE" w:rsidRDefault="00876264">
      <w:pPr>
        <w:pStyle w:val="SingleTxtG"/>
        <w:rPr>
          <w:snapToGrid w:val="0"/>
        </w:rPr>
      </w:pPr>
      <w:r w:rsidRPr="00DF23DE">
        <w:rPr>
          <w:snapToGrid w:val="0"/>
        </w:rPr>
        <w:t>1.</w:t>
      </w:r>
      <w:r>
        <w:rPr>
          <w:snapToGrid w:val="0"/>
        </w:rPr>
        <w:t>2</w:t>
      </w:r>
      <w:r w:rsidRPr="00DF23DE">
        <w:rPr>
          <w:snapToGrid w:val="0"/>
        </w:rPr>
        <w:tab/>
      </w:r>
      <w:r>
        <w:t>On 8 April 2014, the Committee, acting through its</w:t>
      </w:r>
      <w:r w:rsidRPr="0007593D">
        <w:t xml:space="preserve"> Rapporteur on new complaints and interim measures</w:t>
      </w:r>
      <w:r>
        <w:t xml:space="preserve">, </w:t>
      </w:r>
      <w:r w:rsidR="000C79D0">
        <w:t>requested</w:t>
      </w:r>
      <w:r w:rsidR="000C79D0" w:rsidRPr="00EF3454">
        <w:t xml:space="preserve"> </w:t>
      </w:r>
      <w:r w:rsidRPr="00EF3454">
        <w:t xml:space="preserve">the State party not to </w:t>
      </w:r>
      <w:r w:rsidR="000C79D0">
        <w:t>deport</w:t>
      </w:r>
      <w:r w:rsidR="000C79D0" w:rsidRPr="00EF3454">
        <w:t xml:space="preserve"> </w:t>
      </w:r>
      <w:r>
        <w:t xml:space="preserve">the </w:t>
      </w:r>
      <w:r w:rsidR="000C79D0">
        <w:t xml:space="preserve">complainant to Sri Lanka </w:t>
      </w:r>
      <w:r w:rsidRPr="00EF3454">
        <w:t>while the complaint was being considered</w:t>
      </w:r>
      <w:r w:rsidR="000C79D0">
        <w:t xml:space="preserve"> by the Committee</w:t>
      </w:r>
      <w:r>
        <w:t xml:space="preserve">. On </w:t>
      </w:r>
      <w:r w:rsidR="000D3AEA">
        <w:t>2 May 2016</w:t>
      </w:r>
      <w:r w:rsidRPr="00755915">
        <w:t>,</w:t>
      </w:r>
      <w:r>
        <w:t xml:space="preserve"> </w:t>
      </w:r>
      <w:r w:rsidR="00836813">
        <w:t xml:space="preserve">following a request by the State party dated 31 March 2016, </w:t>
      </w:r>
      <w:r>
        <w:t>the Committee, acting through the same Rapporteur,</w:t>
      </w:r>
      <w:r w:rsidRPr="0007593D">
        <w:t xml:space="preserve"> denied the request of the State party</w:t>
      </w:r>
      <w:r>
        <w:t xml:space="preserve"> to lift interim measures.</w:t>
      </w:r>
    </w:p>
    <w:p w:rsidR="007821E7" w:rsidRPr="00DF23DE" w:rsidRDefault="007821E7">
      <w:pPr>
        <w:pStyle w:val="H23G"/>
        <w:rPr>
          <w:snapToGrid w:val="0"/>
        </w:rPr>
      </w:pPr>
      <w:r w:rsidRPr="00DF23DE">
        <w:rPr>
          <w:snapToGrid w:val="0"/>
        </w:rPr>
        <w:lastRenderedPageBreak/>
        <w:tab/>
      </w:r>
      <w:r w:rsidRPr="00DF23DE">
        <w:rPr>
          <w:snapToGrid w:val="0"/>
        </w:rPr>
        <w:tab/>
      </w:r>
      <w:r w:rsidR="005E7E4A">
        <w:rPr>
          <w:snapToGrid w:val="0"/>
        </w:rPr>
        <w:t>F</w:t>
      </w:r>
      <w:r w:rsidRPr="00DF23DE">
        <w:rPr>
          <w:snapToGrid w:val="0"/>
        </w:rPr>
        <w:t xml:space="preserve">acts </w:t>
      </w:r>
      <w:r w:rsidRPr="00597408">
        <w:rPr>
          <w:snapToGrid w:val="0"/>
        </w:rPr>
        <w:t>as pre</w:t>
      </w:r>
      <w:r w:rsidR="003A48CB" w:rsidRPr="00597408">
        <w:rPr>
          <w:snapToGrid w:val="0"/>
        </w:rPr>
        <w:t>sented by the complainant</w:t>
      </w:r>
    </w:p>
    <w:p w:rsidR="00876264" w:rsidRPr="00876264" w:rsidRDefault="007821E7" w:rsidP="005F0AA8">
      <w:pPr>
        <w:pStyle w:val="SingleTxtG"/>
        <w:rPr>
          <w:snapToGrid w:val="0"/>
        </w:rPr>
      </w:pPr>
      <w:r w:rsidRPr="00DF23DE">
        <w:rPr>
          <w:snapToGrid w:val="0"/>
        </w:rPr>
        <w:t>2.1</w:t>
      </w:r>
      <w:r w:rsidRPr="00DF23DE">
        <w:rPr>
          <w:snapToGrid w:val="0"/>
        </w:rPr>
        <w:tab/>
      </w:r>
      <w:r w:rsidR="00ED37C8">
        <w:rPr>
          <w:snapToGrid w:val="0"/>
        </w:rPr>
        <w:t>T</w:t>
      </w:r>
      <w:r w:rsidR="00876264" w:rsidRPr="00876264">
        <w:rPr>
          <w:snapToGrid w:val="0"/>
        </w:rPr>
        <w:t xml:space="preserve">he </w:t>
      </w:r>
      <w:r w:rsidR="00ED37C8">
        <w:rPr>
          <w:snapToGrid w:val="0"/>
        </w:rPr>
        <w:t>complainant</w:t>
      </w:r>
      <w:r w:rsidR="00876264" w:rsidRPr="00876264">
        <w:rPr>
          <w:snapToGrid w:val="0"/>
        </w:rPr>
        <w:t xml:space="preserve"> arrived in Australia </w:t>
      </w:r>
      <w:r w:rsidR="00ED37C8">
        <w:rPr>
          <w:snapToGrid w:val="0"/>
        </w:rPr>
        <w:t>o</w:t>
      </w:r>
      <w:r w:rsidR="00ED37C8" w:rsidRPr="00876264">
        <w:rPr>
          <w:snapToGrid w:val="0"/>
        </w:rPr>
        <w:t xml:space="preserve">n 11 April 2012 </w:t>
      </w:r>
      <w:r w:rsidR="00F807AB" w:rsidRPr="00876264">
        <w:rPr>
          <w:snapToGrid w:val="0"/>
        </w:rPr>
        <w:t>from Sri Lanka</w:t>
      </w:r>
      <w:r w:rsidR="00C01DCF">
        <w:rPr>
          <w:snapToGrid w:val="0"/>
        </w:rPr>
        <w:t>,</w:t>
      </w:r>
      <w:r w:rsidR="00F807AB" w:rsidRPr="00876264">
        <w:rPr>
          <w:snapToGrid w:val="0"/>
        </w:rPr>
        <w:t xml:space="preserve"> </w:t>
      </w:r>
      <w:r w:rsidR="00876264" w:rsidRPr="00876264">
        <w:rPr>
          <w:snapToGrid w:val="0"/>
        </w:rPr>
        <w:t>by boat</w:t>
      </w:r>
      <w:r w:rsidR="00C01DCF">
        <w:rPr>
          <w:snapToGrid w:val="0"/>
        </w:rPr>
        <w:t>,</w:t>
      </w:r>
      <w:r w:rsidR="00876264" w:rsidRPr="00876264">
        <w:rPr>
          <w:snapToGrid w:val="0"/>
        </w:rPr>
        <w:t xml:space="preserve"> and was detained upon </w:t>
      </w:r>
      <w:r w:rsidR="00876264" w:rsidRPr="0079311E">
        <w:rPr>
          <w:snapToGrid w:val="0"/>
        </w:rPr>
        <w:t xml:space="preserve">arrival. </w:t>
      </w:r>
      <w:r w:rsidR="008E6704" w:rsidRPr="0079311E">
        <w:rPr>
          <w:snapToGrid w:val="0"/>
        </w:rPr>
        <w:t xml:space="preserve">In </w:t>
      </w:r>
      <w:r w:rsidR="00876264" w:rsidRPr="0079311E">
        <w:rPr>
          <w:snapToGrid w:val="0"/>
        </w:rPr>
        <w:t xml:space="preserve">July 2012, </w:t>
      </w:r>
      <w:r w:rsidR="00D9379F" w:rsidRPr="0079311E">
        <w:rPr>
          <w:snapToGrid w:val="0"/>
        </w:rPr>
        <w:t>he</w:t>
      </w:r>
      <w:r w:rsidR="00876264" w:rsidRPr="0079311E">
        <w:rPr>
          <w:snapToGrid w:val="0"/>
        </w:rPr>
        <w:t xml:space="preserve"> submitted</w:t>
      </w:r>
      <w:r w:rsidR="00876264" w:rsidRPr="00876264">
        <w:rPr>
          <w:snapToGrid w:val="0"/>
        </w:rPr>
        <w:t xml:space="preserve"> an application for </w:t>
      </w:r>
      <w:r w:rsidR="00D9379F">
        <w:rPr>
          <w:snapToGrid w:val="0"/>
        </w:rPr>
        <w:t xml:space="preserve">a </w:t>
      </w:r>
      <w:r w:rsidR="00876264" w:rsidRPr="00876264">
        <w:rPr>
          <w:snapToGrid w:val="0"/>
        </w:rPr>
        <w:t xml:space="preserve">protection visa to the </w:t>
      </w:r>
      <w:r w:rsidR="00D9379F">
        <w:rPr>
          <w:snapToGrid w:val="0"/>
        </w:rPr>
        <w:t>Department of Immigration and Citizenship</w:t>
      </w:r>
      <w:r w:rsidR="00876264" w:rsidRPr="00876264">
        <w:rPr>
          <w:snapToGrid w:val="0"/>
        </w:rPr>
        <w:t xml:space="preserve"> </w:t>
      </w:r>
      <w:r w:rsidR="00D9379F">
        <w:rPr>
          <w:snapToGrid w:val="0"/>
        </w:rPr>
        <w:t xml:space="preserve">of the State party </w:t>
      </w:r>
      <w:r w:rsidR="00876264" w:rsidRPr="00876264">
        <w:rPr>
          <w:snapToGrid w:val="0"/>
        </w:rPr>
        <w:t>on the basis of a risk of torture and ill-treatment</w:t>
      </w:r>
      <w:r w:rsidR="00D9379F">
        <w:rPr>
          <w:snapToGrid w:val="0"/>
        </w:rPr>
        <w:t>,</w:t>
      </w:r>
      <w:r w:rsidR="00876264" w:rsidRPr="00876264">
        <w:rPr>
          <w:snapToGrid w:val="0"/>
        </w:rPr>
        <w:t xml:space="preserve"> for the following reasons: </w:t>
      </w:r>
      <w:r w:rsidR="00D9379F">
        <w:rPr>
          <w:snapToGrid w:val="0"/>
        </w:rPr>
        <w:t xml:space="preserve">(a) </w:t>
      </w:r>
      <w:r w:rsidR="00ED37C8">
        <w:rPr>
          <w:snapToGrid w:val="0"/>
        </w:rPr>
        <w:t xml:space="preserve">he had </w:t>
      </w:r>
      <w:r w:rsidR="009F0A3E">
        <w:rPr>
          <w:snapToGrid w:val="0"/>
        </w:rPr>
        <w:t xml:space="preserve">in the past </w:t>
      </w:r>
      <w:r w:rsidR="00876264" w:rsidRPr="00876264">
        <w:rPr>
          <w:snapToGrid w:val="0"/>
        </w:rPr>
        <w:t xml:space="preserve">experienced harm in Sri Lanka due to his Tamil ethnicity; </w:t>
      </w:r>
      <w:r w:rsidR="00D9379F">
        <w:rPr>
          <w:snapToGrid w:val="0"/>
        </w:rPr>
        <w:t xml:space="preserve">(b) </w:t>
      </w:r>
      <w:r w:rsidR="00ED37C8">
        <w:rPr>
          <w:snapToGrid w:val="0"/>
        </w:rPr>
        <w:t>he bore</w:t>
      </w:r>
      <w:r w:rsidR="00876264" w:rsidRPr="00876264">
        <w:rPr>
          <w:snapToGrid w:val="0"/>
        </w:rPr>
        <w:t xml:space="preserve"> scarring on his legs</w:t>
      </w:r>
      <w:r w:rsidR="00D9379F">
        <w:rPr>
          <w:snapToGrid w:val="0"/>
        </w:rPr>
        <w:t>,</w:t>
      </w:r>
      <w:r w:rsidR="00876264" w:rsidRPr="00876264">
        <w:rPr>
          <w:snapToGrid w:val="0"/>
        </w:rPr>
        <w:t xml:space="preserve"> </w:t>
      </w:r>
      <w:r w:rsidR="00F807AB">
        <w:rPr>
          <w:snapToGrid w:val="0"/>
        </w:rPr>
        <w:t xml:space="preserve">which he alleged would lead the Sri </w:t>
      </w:r>
      <w:r w:rsidR="00752B74">
        <w:rPr>
          <w:snapToGrid w:val="0"/>
        </w:rPr>
        <w:t>La</w:t>
      </w:r>
      <w:r w:rsidR="00F807AB">
        <w:rPr>
          <w:snapToGrid w:val="0"/>
        </w:rPr>
        <w:t>nk</w:t>
      </w:r>
      <w:r w:rsidR="00752B74">
        <w:rPr>
          <w:snapToGrid w:val="0"/>
        </w:rPr>
        <w:t>a</w:t>
      </w:r>
      <w:r w:rsidR="00F807AB">
        <w:rPr>
          <w:snapToGrid w:val="0"/>
        </w:rPr>
        <w:t xml:space="preserve">n </w:t>
      </w:r>
      <w:r w:rsidR="00752B74">
        <w:rPr>
          <w:snapToGrid w:val="0"/>
        </w:rPr>
        <w:t>authorities</w:t>
      </w:r>
      <w:r w:rsidR="00F807AB">
        <w:rPr>
          <w:snapToGrid w:val="0"/>
        </w:rPr>
        <w:t xml:space="preserve"> to believe that he had </w:t>
      </w:r>
      <w:r w:rsidR="00ED37C8">
        <w:rPr>
          <w:snapToGrid w:val="0"/>
        </w:rPr>
        <w:t>been involved in the past with the Liberation Tigers of Tamil Eelam; and</w:t>
      </w:r>
      <w:r w:rsidR="00876264" w:rsidRPr="00876264">
        <w:rPr>
          <w:snapToGrid w:val="0"/>
        </w:rPr>
        <w:t xml:space="preserve"> </w:t>
      </w:r>
      <w:r w:rsidR="00D9379F">
        <w:rPr>
          <w:snapToGrid w:val="0"/>
        </w:rPr>
        <w:t xml:space="preserve">(c) </w:t>
      </w:r>
      <w:r w:rsidR="00ED37C8">
        <w:rPr>
          <w:snapToGrid w:val="0"/>
        </w:rPr>
        <w:t>h</w:t>
      </w:r>
      <w:r w:rsidR="009F0A3E">
        <w:rPr>
          <w:snapToGrid w:val="0"/>
        </w:rPr>
        <w:t xml:space="preserve">e had departed </w:t>
      </w:r>
      <w:r w:rsidR="00876264" w:rsidRPr="00876264">
        <w:rPr>
          <w:snapToGrid w:val="0"/>
        </w:rPr>
        <w:t>from Sri Lanka</w:t>
      </w:r>
      <w:r w:rsidR="009F0A3E" w:rsidRPr="009F0A3E">
        <w:rPr>
          <w:snapToGrid w:val="0"/>
        </w:rPr>
        <w:t xml:space="preserve"> </w:t>
      </w:r>
      <w:r w:rsidR="009F0A3E">
        <w:rPr>
          <w:snapToGrid w:val="0"/>
        </w:rPr>
        <w:t>illegally</w:t>
      </w:r>
      <w:r w:rsidR="00876264" w:rsidRPr="00876264">
        <w:rPr>
          <w:snapToGrid w:val="0"/>
        </w:rPr>
        <w:t xml:space="preserve">. On 10 October 2012, the Australian </w:t>
      </w:r>
      <w:r w:rsidR="00ED37C8">
        <w:rPr>
          <w:snapToGrid w:val="0"/>
        </w:rPr>
        <w:t>i</w:t>
      </w:r>
      <w:r w:rsidR="00876264" w:rsidRPr="00876264">
        <w:rPr>
          <w:snapToGrid w:val="0"/>
        </w:rPr>
        <w:t>mmigration</w:t>
      </w:r>
      <w:r w:rsidR="00ED37C8">
        <w:rPr>
          <w:snapToGrid w:val="0"/>
        </w:rPr>
        <w:t xml:space="preserve"> authorities</w:t>
      </w:r>
      <w:r w:rsidR="00876264" w:rsidRPr="00876264">
        <w:rPr>
          <w:snapToGrid w:val="0"/>
        </w:rPr>
        <w:t xml:space="preserve"> rejected the application on the grounds that the </w:t>
      </w:r>
      <w:r w:rsidR="00ED37C8">
        <w:rPr>
          <w:snapToGrid w:val="0"/>
        </w:rPr>
        <w:t>complainant</w:t>
      </w:r>
      <w:r w:rsidR="00876264" w:rsidRPr="00876264">
        <w:rPr>
          <w:snapToGrid w:val="0"/>
        </w:rPr>
        <w:t xml:space="preserve"> “does not face a chance of real persecution in Sri Lanka” since “he lived there most of his life without incident”</w:t>
      </w:r>
      <w:r w:rsidR="00D14D4D">
        <w:rPr>
          <w:snapToGrid w:val="0"/>
        </w:rPr>
        <w:t>,</w:t>
      </w:r>
      <w:r w:rsidR="00876264" w:rsidRPr="00876264">
        <w:rPr>
          <w:snapToGrid w:val="0"/>
        </w:rPr>
        <w:t xml:space="preserve"> and if returned “it is open to him to return to his village or to relocate anywhere else and to live there without a real chance of serious harm”</w:t>
      </w:r>
      <w:r w:rsidR="00D14D4D">
        <w:rPr>
          <w:snapToGrid w:val="0"/>
        </w:rPr>
        <w:t>.</w:t>
      </w:r>
      <w:r w:rsidR="00876264" w:rsidRPr="00876264">
        <w:rPr>
          <w:snapToGrid w:val="0"/>
        </w:rPr>
        <w:t xml:space="preserve"> </w:t>
      </w:r>
    </w:p>
    <w:p w:rsidR="00876264" w:rsidRPr="00876264" w:rsidRDefault="00876264" w:rsidP="00BF135B">
      <w:pPr>
        <w:pStyle w:val="SingleTxtG"/>
        <w:rPr>
          <w:snapToGrid w:val="0"/>
        </w:rPr>
      </w:pPr>
      <w:r>
        <w:rPr>
          <w:snapToGrid w:val="0"/>
        </w:rPr>
        <w:t>2.2</w:t>
      </w:r>
      <w:r>
        <w:rPr>
          <w:snapToGrid w:val="0"/>
        </w:rPr>
        <w:tab/>
      </w:r>
      <w:r w:rsidRPr="00876264">
        <w:rPr>
          <w:snapToGrid w:val="0"/>
        </w:rPr>
        <w:t xml:space="preserve">On 17 October 2012, the </w:t>
      </w:r>
      <w:r w:rsidR="00ED37C8">
        <w:rPr>
          <w:snapToGrid w:val="0"/>
        </w:rPr>
        <w:t>complainant</w:t>
      </w:r>
      <w:r w:rsidRPr="00876264">
        <w:rPr>
          <w:snapToGrid w:val="0"/>
        </w:rPr>
        <w:t xml:space="preserve"> submitted an appeal to the Refugee Review Tribunal. On 13 February 2013, the </w:t>
      </w:r>
      <w:r w:rsidR="00B73CD7">
        <w:rPr>
          <w:snapToGrid w:val="0"/>
        </w:rPr>
        <w:t>Tribunal</w:t>
      </w:r>
      <w:r w:rsidR="00B73CD7" w:rsidRPr="00876264">
        <w:rPr>
          <w:snapToGrid w:val="0"/>
        </w:rPr>
        <w:t xml:space="preserve"> </w:t>
      </w:r>
      <w:r w:rsidRPr="00876264">
        <w:rPr>
          <w:snapToGrid w:val="0"/>
        </w:rPr>
        <w:t xml:space="preserve">upheld the decision of the </w:t>
      </w:r>
      <w:r w:rsidR="009F0A3E">
        <w:rPr>
          <w:snapToGrid w:val="0"/>
        </w:rPr>
        <w:t>i</w:t>
      </w:r>
      <w:r w:rsidRPr="00876264">
        <w:rPr>
          <w:snapToGrid w:val="0"/>
        </w:rPr>
        <w:t xml:space="preserve">mmigration </w:t>
      </w:r>
      <w:r w:rsidR="009F0A3E">
        <w:rPr>
          <w:snapToGrid w:val="0"/>
        </w:rPr>
        <w:t xml:space="preserve">authorities </w:t>
      </w:r>
      <w:r w:rsidRPr="00876264">
        <w:rPr>
          <w:snapToGrid w:val="0"/>
        </w:rPr>
        <w:t>and dismissed the appeal</w:t>
      </w:r>
      <w:r w:rsidR="00D14D4D">
        <w:rPr>
          <w:snapToGrid w:val="0"/>
        </w:rPr>
        <w:t>,</w:t>
      </w:r>
      <w:r w:rsidRPr="00876264">
        <w:rPr>
          <w:snapToGrid w:val="0"/>
        </w:rPr>
        <w:t xml:space="preserve"> on the grounds that the </w:t>
      </w:r>
      <w:r w:rsidR="00ED37C8">
        <w:rPr>
          <w:snapToGrid w:val="0"/>
        </w:rPr>
        <w:t>complainant</w:t>
      </w:r>
      <w:r w:rsidRPr="00876264">
        <w:rPr>
          <w:snapToGrid w:val="0"/>
        </w:rPr>
        <w:t xml:space="preserve"> d</w:t>
      </w:r>
      <w:r w:rsidR="00D14D4D">
        <w:rPr>
          <w:snapToGrid w:val="0"/>
        </w:rPr>
        <w:t>id</w:t>
      </w:r>
      <w:r w:rsidRPr="00876264">
        <w:rPr>
          <w:snapToGrid w:val="0"/>
        </w:rPr>
        <w:t xml:space="preserve"> not satisfy the criteria to be considered a person </w:t>
      </w:r>
      <w:r w:rsidR="00FC3942">
        <w:rPr>
          <w:snapToGrid w:val="0"/>
        </w:rPr>
        <w:t xml:space="preserve">to </w:t>
      </w:r>
      <w:r w:rsidRPr="00876264">
        <w:rPr>
          <w:snapToGrid w:val="0"/>
        </w:rPr>
        <w:t xml:space="preserve">whom </w:t>
      </w:r>
      <w:r w:rsidR="009F0A3E">
        <w:rPr>
          <w:snapToGrid w:val="0"/>
        </w:rPr>
        <w:t>the State party</w:t>
      </w:r>
      <w:r w:rsidRPr="00876264">
        <w:rPr>
          <w:snapToGrid w:val="0"/>
        </w:rPr>
        <w:t xml:space="preserve"> ha</w:t>
      </w:r>
      <w:r w:rsidR="00D14D4D">
        <w:rPr>
          <w:snapToGrid w:val="0"/>
        </w:rPr>
        <w:t>d</w:t>
      </w:r>
      <w:r w:rsidR="003A40BB">
        <w:rPr>
          <w:snapToGrid w:val="0"/>
        </w:rPr>
        <w:t xml:space="preserve"> protection obligations. On 20 </w:t>
      </w:r>
      <w:r w:rsidRPr="00876264">
        <w:rPr>
          <w:snapToGrid w:val="0"/>
        </w:rPr>
        <w:t xml:space="preserve">March 2013, the </w:t>
      </w:r>
      <w:r w:rsidR="00ED37C8">
        <w:rPr>
          <w:snapToGrid w:val="0"/>
        </w:rPr>
        <w:t>complainant</w:t>
      </w:r>
      <w:r w:rsidRPr="00876264">
        <w:rPr>
          <w:snapToGrid w:val="0"/>
        </w:rPr>
        <w:t xml:space="preserve"> applied for </w:t>
      </w:r>
      <w:r w:rsidR="00B73CD7">
        <w:rPr>
          <w:snapToGrid w:val="0"/>
        </w:rPr>
        <w:t>a</w:t>
      </w:r>
      <w:r w:rsidR="00B73CD7" w:rsidRPr="00876264">
        <w:rPr>
          <w:snapToGrid w:val="0"/>
        </w:rPr>
        <w:t xml:space="preserve"> </w:t>
      </w:r>
      <w:r w:rsidRPr="00876264">
        <w:rPr>
          <w:snapToGrid w:val="0"/>
        </w:rPr>
        <w:t xml:space="preserve">judicial review </w:t>
      </w:r>
      <w:r w:rsidR="005B6B56">
        <w:rPr>
          <w:snapToGrid w:val="0"/>
        </w:rPr>
        <w:t>of the Tribunal’s decision</w:t>
      </w:r>
      <w:r w:rsidRPr="00876264">
        <w:rPr>
          <w:snapToGrid w:val="0"/>
        </w:rPr>
        <w:t xml:space="preserve"> to the Federal </w:t>
      </w:r>
      <w:r w:rsidR="009F0A3E">
        <w:rPr>
          <w:snapToGrid w:val="0"/>
        </w:rPr>
        <w:t>Circuit</w:t>
      </w:r>
      <w:r w:rsidRPr="00876264">
        <w:rPr>
          <w:snapToGrid w:val="0"/>
        </w:rPr>
        <w:t xml:space="preserve"> Court. </w:t>
      </w:r>
      <w:r w:rsidR="00ED37C8">
        <w:rPr>
          <w:snapToGrid w:val="0"/>
        </w:rPr>
        <w:t>The la</w:t>
      </w:r>
      <w:r w:rsidR="009F0A3E">
        <w:rPr>
          <w:snapToGrid w:val="0"/>
        </w:rPr>
        <w:t>t</w:t>
      </w:r>
      <w:r w:rsidR="00ED37C8">
        <w:rPr>
          <w:snapToGrid w:val="0"/>
        </w:rPr>
        <w:t>ter dismissed th</w:t>
      </w:r>
      <w:r w:rsidR="007527B0">
        <w:rPr>
          <w:snapToGrid w:val="0"/>
        </w:rPr>
        <w:t>at</w:t>
      </w:r>
      <w:r w:rsidR="00ED37C8">
        <w:rPr>
          <w:snapToGrid w:val="0"/>
        </w:rPr>
        <w:t xml:space="preserve"> appeal on </w:t>
      </w:r>
      <w:r w:rsidRPr="00876264">
        <w:rPr>
          <w:snapToGrid w:val="0"/>
        </w:rPr>
        <w:t>17 January 2014</w:t>
      </w:r>
      <w:r w:rsidR="00ED37C8">
        <w:rPr>
          <w:snapToGrid w:val="0"/>
        </w:rPr>
        <w:t>. O</w:t>
      </w:r>
      <w:r w:rsidR="003A40BB">
        <w:rPr>
          <w:snapToGrid w:val="0"/>
        </w:rPr>
        <w:t>n 21 </w:t>
      </w:r>
      <w:r w:rsidRPr="00876264">
        <w:rPr>
          <w:snapToGrid w:val="0"/>
        </w:rPr>
        <w:t xml:space="preserve">February 2014, the </w:t>
      </w:r>
      <w:r w:rsidR="00ED37C8">
        <w:rPr>
          <w:snapToGrid w:val="0"/>
        </w:rPr>
        <w:t>complainant</w:t>
      </w:r>
      <w:r w:rsidRPr="00876264">
        <w:rPr>
          <w:snapToGrid w:val="0"/>
        </w:rPr>
        <w:t xml:space="preserve"> submitted an application for </w:t>
      </w:r>
      <w:r w:rsidR="007527B0">
        <w:rPr>
          <w:snapToGrid w:val="0"/>
        </w:rPr>
        <w:t>m</w:t>
      </w:r>
      <w:r w:rsidRPr="00876264">
        <w:rPr>
          <w:snapToGrid w:val="0"/>
        </w:rPr>
        <w:t xml:space="preserve">inisterial </w:t>
      </w:r>
      <w:r w:rsidR="007527B0">
        <w:rPr>
          <w:snapToGrid w:val="0"/>
        </w:rPr>
        <w:t>i</w:t>
      </w:r>
      <w:r w:rsidRPr="00876264">
        <w:rPr>
          <w:snapToGrid w:val="0"/>
        </w:rPr>
        <w:t xml:space="preserve">ntervention under section 46A (2) of the Migration Act </w:t>
      </w:r>
      <w:r w:rsidR="005F2021">
        <w:rPr>
          <w:snapToGrid w:val="0"/>
        </w:rPr>
        <w:t xml:space="preserve">1958 </w:t>
      </w:r>
      <w:r w:rsidRPr="00876264">
        <w:rPr>
          <w:snapToGrid w:val="0"/>
        </w:rPr>
        <w:t xml:space="preserve">to the Minister </w:t>
      </w:r>
      <w:r w:rsidR="00BF135B" w:rsidRPr="005F2021">
        <w:t>for Immigration and Border Protection</w:t>
      </w:r>
      <w:r w:rsidRPr="00876264">
        <w:rPr>
          <w:snapToGrid w:val="0"/>
        </w:rPr>
        <w:t xml:space="preserve">. On 8 April 2014, the </w:t>
      </w:r>
      <w:r w:rsidR="00ED37C8">
        <w:rPr>
          <w:snapToGrid w:val="0"/>
        </w:rPr>
        <w:t>complainant</w:t>
      </w:r>
      <w:r w:rsidRPr="00876264">
        <w:rPr>
          <w:snapToGrid w:val="0"/>
        </w:rPr>
        <w:t xml:space="preserve"> received a letter informing him that his application for </w:t>
      </w:r>
      <w:r w:rsidR="007527B0">
        <w:rPr>
          <w:snapToGrid w:val="0"/>
        </w:rPr>
        <w:t>m</w:t>
      </w:r>
      <w:r w:rsidRPr="00876264">
        <w:rPr>
          <w:snapToGrid w:val="0"/>
        </w:rPr>
        <w:t xml:space="preserve">inisterial </w:t>
      </w:r>
      <w:r w:rsidR="007527B0">
        <w:rPr>
          <w:snapToGrid w:val="0"/>
        </w:rPr>
        <w:t>i</w:t>
      </w:r>
      <w:r w:rsidRPr="00876264">
        <w:rPr>
          <w:snapToGrid w:val="0"/>
        </w:rPr>
        <w:t xml:space="preserve">ntervention </w:t>
      </w:r>
      <w:r w:rsidR="00FB3D70">
        <w:rPr>
          <w:snapToGrid w:val="0"/>
        </w:rPr>
        <w:t>had been</w:t>
      </w:r>
      <w:r w:rsidR="00FB3D70" w:rsidRPr="00876264">
        <w:rPr>
          <w:snapToGrid w:val="0"/>
        </w:rPr>
        <w:t xml:space="preserve"> </w:t>
      </w:r>
      <w:r w:rsidRPr="00876264">
        <w:rPr>
          <w:snapToGrid w:val="0"/>
        </w:rPr>
        <w:t xml:space="preserve">rejected as “not being in </w:t>
      </w:r>
      <w:r w:rsidR="00FB3D70">
        <w:rPr>
          <w:snapToGrid w:val="0"/>
        </w:rPr>
        <w:t>the</w:t>
      </w:r>
      <w:r w:rsidRPr="00876264">
        <w:rPr>
          <w:snapToGrid w:val="0"/>
        </w:rPr>
        <w:t xml:space="preserve"> public interest”.</w:t>
      </w:r>
    </w:p>
    <w:p w:rsidR="00876264" w:rsidRPr="00876264" w:rsidRDefault="00876264" w:rsidP="005F0AA8">
      <w:pPr>
        <w:pStyle w:val="SingleTxtG"/>
        <w:rPr>
          <w:snapToGrid w:val="0"/>
        </w:rPr>
      </w:pPr>
      <w:r>
        <w:rPr>
          <w:snapToGrid w:val="0"/>
        </w:rPr>
        <w:t>2.3</w:t>
      </w:r>
      <w:r>
        <w:rPr>
          <w:snapToGrid w:val="0"/>
        </w:rPr>
        <w:tab/>
      </w:r>
      <w:r w:rsidRPr="00876264">
        <w:rPr>
          <w:snapToGrid w:val="0"/>
        </w:rPr>
        <w:t xml:space="preserve">The </w:t>
      </w:r>
      <w:r w:rsidR="00ED37C8">
        <w:rPr>
          <w:snapToGrid w:val="0"/>
        </w:rPr>
        <w:t>complainant</w:t>
      </w:r>
      <w:r w:rsidRPr="00876264">
        <w:rPr>
          <w:snapToGrid w:val="0"/>
        </w:rPr>
        <w:t xml:space="preserve"> </w:t>
      </w:r>
      <w:r w:rsidR="00FB3D70">
        <w:rPr>
          <w:snapToGrid w:val="0"/>
        </w:rPr>
        <w:t>submits</w:t>
      </w:r>
      <w:r w:rsidR="00FB3D70" w:rsidRPr="00876264">
        <w:rPr>
          <w:snapToGrid w:val="0"/>
        </w:rPr>
        <w:t xml:space="preserve"> </w:t>
      </w:r>
      <w:r w:rsidRPr="00876264">
        <w:rPr>
          <w:snapToGrid w:val="0"/>
        </w:rPr>
        <w:t xml:space="preserve">that he has exhausted </w:t>
      </w:r>
      <w:r w:rsidR="00ED37C8">
        <w:rPr>
          <w:snapToGrid w:val="0"/>
        </w:rPr>
        <w:t xml:space="preserve">all </w:t>
      </w:r>
      <w:r w:rsidRPr="00876264">
        <w:rPr>
          <w:snapToGrid w:val="0"/>
        </w:rPr>
        <w:t xml:space="preserve">available and effective domestic remedies. He </w:t>
      </w:r>
      <w:r w:rsidR="00FB3D70">
        <w:rPr>
          <w:snapToGrid w:val="0"/>
        </w:rPr>
        <w:t>maintains</w:t>
      </w:r>
      <w:r w:rsidR="00FB3D70" w:rsidRPr="00876264">
        <w:rPr>
          <w:snapToGrid w:val="0"/>
        </w:rPr>
        <w:t xml:space="preserve"> </w:t>
      </w:r>
      <w:r w:rsidRPr="00876264">
        <w:rPr>
          <w:snapToGrid w:val="0"/>
        </w:rPr>
        <w:t>that he should not be required to pursue further remedies in higher Australian courts</w:t>
      </w:r>
      <w:r w:rsidR="00FB3D70">
        <w:rPr>
          <w:snapToGrid w:val="0"/>
        </w:rPr>
        <w:t>,</w:t>
      </w:r>
      <w:r w:rsidRPr="00876264">
        <w:rPr>
          <w:snapToGrid w:val="0"/>
        </w:rPr>
        <w:t xml:space="preserve"> since such litigation may take a prolonged period of time to be finalized and the </w:t>
      </w:r>
      <w:r w:rsidR="00ED37C8">
        <w:rPr>
          <w:snapToGrid w:val="0"/>
        </w:rPr>
        <w:t>complainant</w:t>
      </w:r>
      <w:r w:rsidRPr="00876264">
        <w:rPr>
          <w:snapToGrid w:val="0"/>
        </w:rPr>
        <w:t xml:space="preserve"> is at risk of removal from </w:t>
      </w:r>
      <w:r w:rsidR="00ED37C8">
        <w:rPr>
          <w:snapToGrid w:val="0"/>
        </w:rPr>
        <w:t>the country</w:t>
      </w:r>
      <w:r w:rsidRPr="00876264">
        <w:rPr>
          <w:snapToGrid w:val="0"/>
        </w:rPr>
        <w:t xml:space="preserve"> if his </w:t>
      </w:r>
      <w:r w:rsidR="00FB3D70">
        <w:rPr>
          <w:snapToGrid w:val="0"/>
        </w:rPr>
        <w:t>b</w:t>
      </w:r>
      <w:r w:rsidRPr="00876264">
        <w:rPr>
          <w:snapToGrid w:val="0"/>
        </w:rPr>
        <w:t xml:space="preserve">ridging </w:t>
      </w:r>
      <w:r w:rsidR="00FB3D70">
        <w:rPr>
          <w:snapToGrid w:val="0"/>
        </w:rPr>
        <w:t>v</w:t>
      </w:r>
      <w:r w:rsidRPr="00876264">
        <w:rPr>
          <w:snapToGrid w:val="0"/>
        </w:rPr>
        <w:t>isa is cancelled by the Department</w:t>
      </w:r>
      <w:r w:rsidR="000B70D4">
        <w:rPr>
          <w:snapToGrid w:val="0"/>
        </w:rPr>
        <w:t xml:space="preserve"> of Immigration and Border Protection</w:t>
      </w:r>
      <w:r w:rsidRPr="00876264">
        <w:rPr>
          <w:snapToGrid w:val="0"/>
        </w:rPr>
        <w:t xml:space="preserve"> in the meantime.</w:t>
      </w:r>
    </w:p>
    <w:p w:rsidR="007821E7" w:rsidRPr="00DF23DE" w:rsidRDefault="007821E7" w:rsidP="007821E7">
      <w:pPr>
        <w:pStyle w:val="H23G"/>
        <w:rPr>
          <w:snapToGrid w:val="0"/>
        </w:rPr>
      </w:pPr>
      <w:r w:rsidRPr="00DF23DE">
        <w:rPr>
          <w:snapToGrid w:val="0"/>
        </w:rPr>
        <w:tab/>
      </w:r>
      <w:r w:rsidRPr="00DF23DE">
        <w:rPr>
          <w:snapToGrid w:val="0"/>
        </w:rPr>
        <w:tab/>
      </w:r>
      <w:r w:rsidR="007F1728" w:rsidRPr="00DF23DE">
        <w:rPr>
          <w:snapToGrid w:val="0"/>
        </w:rPr>
        <w:t>T</w:t>
      </w:r>
      <w:r w:rsidRPr="00DF23DE">
        <w:rPr>
          <w:snapToGrid w:val="0"/>
        </w:rPr>
        <w:t>he complaint</w:t>
      </w:r>
    </w:p>
    <w:p w:rsidR="00876264" w:rsidRPr="00876264" w:rsidRDefault="001F3BCA" w:rsidP="005F0AA8">
      <w:pPr>
        <w:pStyle w:val="SingleTxtG"/>
        <w:rPr>
          <w:snapToGrid w:val="0"/>
        </w:rPr>
      </w:pPr>
      <w:r w:rsidRPr="00DF23DE">
        <w:rPr>
          <w:snapToGrid w:val="0"/>
        </w:rPr>
        <w:t>3.</w:t>
      </w:r>
      <w:r w:rsidR="00147B55">
        <w:rPr>
          <w:snapToGrid w:val="0"/>
        </w:rPr>
        <w:t>1</w:t>
      </w:r>
      <w:r w:rsidR="00876264">
        <w:rPr>
          <w:snapToGrid w:val="0"/>
        </w:rPr>
        <w:tab/>
      </w:r>
      <w:r w:rsidR="00876264" w:rsidRPr="00876264">
        <w:rPr>
          <w:snapToGrid w:val="0"/>
        </w:rPr>
        <w:t xml:space="preserve">The </w:t>
      </w:r>
      <w:r w:rsidR="00ED37C8">
        <w:rPr>
          <w:snapToGrid w:val="0"/>
        </w:rPr>
        <w:t>complainant</w:t>
      </w:r>
      <w:r w:rsidR="00876264" w:rsidRPr="00876264">
        <w:rPr>
          <w:snapToGrid w:val="0"/>
        </w:rPr>
        <w:t xml:space="preserve"> claim</w:t>
      </w:r>
      <w:r w:rsidR="00ED37C8">
        <w:rPr>
          <w:snapToGrid w:val="0"/>
        </w:rPr>
        <w:t>ed</w:t>
      </w:r>
      <w:r w:rsidR="00876264" w:rsidRPr="00876264">
        <w:rPr>
          <w:snapToGrid w:val="0"/>
        </w:rPr>
        <w:t xml:space="preserve"> that there </w:t>
      </w:r>
      <w:r w:rsidR="000B70D4">
        <w:rPr>
          <w:snapToGrid w:val="0"/>
        </w:rPr>
        <w:t>we</w:t>
      </w:r>
      <w:r w:rsidR="00876264" w:rsidRPr="00876264">
        <w:rPr>
          <w:snapToGrid w:val="0"/>
        </w:rPr>
        <w:t>re substantial grounds for believing that he would be to</w:t>
      </w:r>
      <w:r w:rsidR="00ED37C8">
        <w:rPr>
          <w:snapToGrid w:val="0"/>
        </w:rPr>
        <w:t>rtured if returned to Sri Lanka. He maintained that, a</w:t>
      </w:r>
      <w:r w:rsidR="00876264" w:rsidRPr="00876264">
        <w:rPr>
          <w:snapToGrid w:val="0"/>
        </w:rPr>
        <w:t xml:space="preserve">s a young Tamil male from the </w:t>
      </w:r>
      <w:r w:rsidR="000B70D4">
        <w:rPr>
          <w:snapToGrid w:val="0"/>
        </w:rPr>
        <w:t>n</w:t>
      </w:r>
      <w:r w:rsidR="00876264" w:rsidRPr="00876264">
        <w:rPr>
          <w:snapToGrid w:val="0"/>
        </w:rPr>
        <w:t>orth of Sri Lanka</w:t>
      </w:r>
      <w:r w:rsidR="00ED37C8">
        <w:rPr>
          <w:snapToGrid w:val="0"/>
        </w:rPr>
        <w:t>,</w:t>
      </w:r>
      <w:r w:rsidR="00876264" w:rsidRPr="00876264">
        <w:rPr>
          <w:snapToGrid w:val="0"/>
        </w:rPr>
        <w:t xml:space="preserve"> </w:t>
      </w:r>
      <w:r w:rsidR="00B728DA">
        <w:rPr>
          <w:snapToGrid w:val="0"/>
        </w:rPr>
        <w:t>with</w:t>
      </w:r>
      <w:r w:rsidR="00876264" w:rsidRPr="00876264">
        <w:rPr>
          <w:snapToGrid w:val="0"/>
        </w:rPr>
        <w:t xml:space="preserve"> significant scarring on his leg from shrapnel, he w</w:t>
      </w:r>
      <w:r w:rsidR="00B728DA">
        <w:rPr>
          <w:snapToGrid w:val="0"/>
        </w:rPr>
        <w:t>ould</w:t>
      </w:r>
      <w:r w:rsidR="00876264" w:rsidRPr="00876264">
        <w:rPr>
          <w:snapToGrid w:val="0"/>
        </w:rPr>
        <w:t xml:space="preserve"> be suspected of having been a combatant in the closing period of the war between the Sri Lanka Army and the </w:t>
      </w:r>
      <w:r w:rsidR="00B73CD7">
        <w:rPr>
          <w:snapToGrid w:val="0"/>
        </w:rPr>
        <w:t>Liberation Tigers of Tamil Eelam</w:t>
      </w:r>
      <w:r w:rsidR="00876264" w:rsidRPr="00876264">
        <w:rPr>
          <w:snapToGrid w:val="0"/>
        </w:rPr>
        <w:t xml:space="preserve"> and </w:t>
      </w:r>
      <w:r w:rsidR="00B728DA">
        <w:rPr>
          <w:snapToGrid w:val="0"/>
        </w:rPr>
        <w:t xml:space="preserve">was </w:t>
      </w:r>
      <w:r w:rsidR="00876264" w:rsidRPr="00876264">
        <w:rPr>
          <w:snapToGrid w:val="0"/>
        </w:rPr>
        <w:t>therefore likely to be detained for</w:t>
      </w:r>
      <w:r w:rsidR="00FC3942">
        <w:rPr>
          <w:snapToGrid w:val="0"/>
        </w:rPr>
        <w:t xml:space="preserve"> a</w:t>
      </w:r>
      <w:r w:rsidR="00876264" w:rsidRPr="00876264">
        <w:rPr>
          <w:snapToGrid w:val="0"/>
        </w:rPr>
        <w:t xml:space="preserve"> long period without charge and interrogated with the use of torture</w:t>
      </w:r>
      <w:r w:rsidR="00ED37C8">
        <w:rPr>
          <w:snapToGrid w:val="0"/>
        </w:rPr>
        <w:t xml:space="preserve">. He also maintained that, </w:t>
      </w:r>
      <w:r w:rsidR="00B56DA5">
        <w:rPr>
          <w:snapToGrid w:val="0"/>
        </w:rPr>
        <w:t>having</w:t>
      </w:r>
      <w:r w:rsidR="00876264" w:rsidRPr="00876264">
        <w:rPr>
          <w:snapToGrid w:val="0"/>
        </w:rPr>
        <w:t xml:space="preserve"> failed </w:t>
      </w:r>
      <w:r w:rsidR="00B56DA5">
        <w:rPr>
          <w:snapToGrid w:val="0"/>
        </w:rPr>
        <w:t xml:space="preserve">in his claim for </w:t>
      </w:r>
      <w:r w:rsidR="00876264" w:rsidRPr="00876264">
        <w:rPr>
          <w:snapToGrid w:val="0"/>
        </w:rPr>
        <w:t xml:space="preserve">refugee </w:t>
      </w:r>
      <w:r w:rsidR="00B56DA5">
        <w:rPr>
          <w:snapToGrid w:val="0"/>
        </w:rPr>
        <w:t>status</w:t>
      </w:r>
      <w:r w:rsidR="00B56DA5" w:rsidRPr="00876264">
        <w:rPr>
          <w:snapToGrid w:val="0"/>
        </w:rPr>
        <w:t xml:space="preserve"> </w:t>
      </w:r>
      <w:r w:rsidR="00B56DA5">
        <w:rPr>
          <w:snapToGrid w:val="0"/>
        </w:rPr>
        <w:t>in</w:t>
      </w:r>
      <w:r w:rsidR="00B56DA5" w:rsidRPr="00876264">
        <w:rPr>
          <w:snapToGrid w:val="0"/>
        </w:rPr>
        <w:t xml:space="preserve"> </w:t>
      </w:r>
      <w:r w:rsidR="00876264" w:rsidRPr="00876264">
        <w:rPr>
          <w:snapToGrid w:val="0"/>
        </w:rPr>
        <w:t>Australia, he w</w:t>
      </w:r>
      <w:r w:rsidR="00B56DA5">
        <w:rPr>
          <w:snapToGrid w:val="0"/>
        </w:rPr>
        <w:t>ould</w:t>
      </w:r>
      <w:r w:rsidR="00876264" w:rsidRPr="00876264">
        <w:rPr>
          <w:snapToGrid w:val="0"/>
        </w:rPr>
        <w:t xml:space="preserve"> be held in remand at Negombo </w:t>
      </w:r>
      <w:r w:rsidR="00B56DA5">
        <w:rPr>
          <w:snapToGrid w:val="0"/>
        </w:rPr>
        <w:t>Prison</w:t>
      </w:r>
      <w:r w:rsidR="00B56DA5" w:rsidRPr="00876264">
        <w:rPr>
          <w:snapToGrid w:val="0"/>
        </w:rPr>
        <w:t xml:space="preserve"> </w:t>
      </w:r>
      <w:r w:rsidR="00876264" w:rsidRPr="00876264">
        <w:rPr>
          <w:snapToGrid w:val="0"/>
        </w:rPr>
        <w:t xml:space="preserve">for contravention of the Immigrants and Emigrants Act, </w:t>
      </w:r>
      <w:r w:rsidR="00B56DA5">
        <w:rPr>
          <w:snapToGrid w:val="0"/>
        </w:rPr>
        <w:t xml:space="preserve">and </w:t>
      </w:r>
      <w:r w:rsidR="00876264" w:rsidRPr="00876264">
        <w:rPr>
          <w:snapToGrid w:val="0"/>
        </w:rPr>
        <w:t xml:space="preserve">may be charged and face </w:t>
      </w:r>
      <w:r w:rsidR="00B56DA5">
        <w:rPr>
          <w:snapToGrid w:val="0"/>
        </w:rPr>
        <w:t>a long period</w:t>
      </w:r>
      <w:r w:rsidR="00876264" w:rsidRPr="00876264">
        <w:rPr>
          <w:snapToGrid w:val="0"/>
        </w:rPr>
        <w:t xml:space="preserve"> of imprisonment for illegal departure. </w:t>
      </w:r>
    </w:p>
    <w:p w:rsidR="00876264" w:rsidRPr="00876264" w:rsidRDefault="00CF792C" w:rsidP="005F0AA8">
      <w:pPr>
        <w:pStyle w:val="SingleTxtG"/>
        <w:rPr>
          <w:snapToGrid w:val="0"/>
        </w:rPr>
      </w:pPr>
      <w:r>
        <w:rPr>
          <w:snapToGrid w:val="0"/>
        </w:rPr>
        <w:t>3.2</w:t>
      </w:r>
      <w:r>
        <w:rPr>
          <w:snapToGrid w:val="0"/>
        </w:rPr>
        <w:tab/>
      </w:r>
      <w:r w:rsidR="00876264" w:rsidRPr="00876264">
        <w:rPr>
          <w:snapToGrid w:val="0"/>
        </w:rPr>
        <w:t xml:space="preserve">The </w:t>
      </w:r>
      <w:r w:rsidR="00ED37C8">
        <w:rPr>
          <w:snapToGrid w:val="0"/>
        </w:rPr>
        <w:t>complainant</w:t>
      </w:r>
      <w:r>
        <w:rPr>
          <w:snapToGrid w:val="0"/>
        </w:rPr>
        <w:t xml:space="preserve"> </w:t>
      </w:r>
      <w:r w:rsidR="00A4551A">
        <w:rPr>
          <w:snapToGrid w:val="0"/>
        </w:rPr>
        <w:t xml:space="preserve">also </w:t>
      </w:r>
      <w:r>
        <w:rPr>
          <w:snapToGrid w:val="0"/>
        </w:rPr>
        <w:t>claimed</w:t>
      </w:r>
      <w:r w:rsidR="00876264" w:rsidRPr="00876264">
        <w:rPr>
          <w:snapToGrid w:val="0"/>
        </w:rPr>
        <w:t xml:space="preserve"> that the Government </w:t>
      </w:r>
      <w:r w:rsidR="00876264" w:rsidRPr="005F0AA8">
        <w:rPr>
          <w:snapToGrid w:val="0"/>
        </w:rPr>
        <w:t>believe</w:t>
      </w:r>
      <w:r w:rsidR="00A4551A">
        <w:rPr>
          <w:snapToGrid w:val="0"/>
        </w:rPr>
        <w:t>d</w:t>
      </w:r>
      <w:r w:rsidR="00876264" w:rsidRPr="005F0AA8">
        <w:rPr>
          <w:snapToGrid w:val="0"/>
        </w:rPr>
        <w:t xml:space="preserve"> that groups abroad </w:t>
      </w:r>
      <w:r w:rsidR="00A4551A" w:rsidRPr="005F0AA8">
        <w:rPr>
          <w:snapToGrid w:val="0"/>
        </w:rPr>
        <w:t xml:space="preserve">that </w:t>
      </w:r>
      <w:r w:rsidR="00A4551A">
        <w:rPr>
          <w:snapToGrid w:val="0"/>
        </w:rPr>
        <w:t xml:space="preserve">were linked to the Liberation Tigers of Tamil Eelam and that had </w:t>
      </w:r>
      <w:r w:rsidR="00876264" w:rsidRPr="005F0AA8">
        <w:rPr>
          <w:snapToGrid w:val="0"/>
        </w:rPr>
        <w:t xml:space="preserve">managed to flee Sri Lanka during the Humanitarian Operation </w:t>
      </w:r>
      <w:r w:rsidR="00A4551A">
        <w:rPr>
          <w:snapToGrid w:val="0"/>
        </w:rPr>
        <w:t>we</w:t>
      </w:r>
      <w:r w:rsidR="00876264" w:rsidRPr="005F0AA8">
        <w:rPr>
          <w:snapToGrid w:val="0"/>
        </w:rPr>
        <w:t>re consistently trying to contact various</w:t>
      </w:r>
      <w:r w:rsidR="00876264" w:rsidRPr="00876264">
        <w:rPr>
          <w:snapToGrid w:val="0"/>
        </w:rPr>
        <w:t xml:space="preserve"> people within Sri Lanka and encourage them to regroup militarily. The </w:t>
      </w:r>
      <w:r w:rsidR="00ED37C8">
        <w:rPr>
          <w:snapToGrid w:val="0"/>
        </w:rPr>
        <w:t>complainant</w:t>
      </w:r>
      <w:r w:rsidR="00876264" w:rsidRPr="00876264">
        <w:rPr>
          <w:snapToGrid w:val="0"/>
        </w:rPr>
        <w:t xml:space="preserve"> </w:t>
      </w:r>
      <w:r>
        <w:rPr>
          <w:snapToGrid w:val="0"/>
        </w:rPr>
        <w:t xml:space="preserve">referred </w:t>
      </w:r>
      <w:r w:rsidRPr="00876264">
        <w:rPr>
          <w:snapToGrid w:val="0"/>
        </w:rPr>
        <w:t xml:space="preserve">to </w:t>
      </w:r>
      <w:r>
        <w:rPr>
          <w:snapToGrid w:val="0"/>
        </w:rPr>
        <w:t>a</w:t>
      </w:r>
      <w:r w:rsidRPr="00876264">
        <w:rPr>
          <w:snapToGrid w:val="0"/>
        </w:rPr>
        <w:t xml:space="preserve"> </w:t>
      </w:r>
      <w:r w:rsidR="00A4551A">
        <w:rPr>
          <w:snapToGrid w:val="0"/>
        </w:rPr>
        <w:t>s</w:t>
      </w:r>
      <w:r w:rsidRPr="00876264">
        <w:rPr>
          <w:snapToGrid w:val="0"/>
        </w:rPr>
        <w:t xml:space="preserve">tatement </w:t>
      </w:r>
      <w:r w:rsidR="001B7EE3">
        <w:rPr>
          <w:snapToGrid w:val="0"/>
        </w:rPr>
        <w:t xml:space="preserve">made on 11 January 2012 </w:t>
      </w:r>
      <w:r w:rsidR="00A4551A">
        <w:rPr>
          <w:snapToGrid w:val="0"/>
        </w:rPr>
        <w:t>by</w:t>
      </w:r>
      <w:r w:rsidRPr="00876264">
        <w:rPr>
          <w:snapToGrid w:val="0"/>
        </w:rPr>
        <w:t xml:space="preserve"> the </w:t>
      </w:r>
      <w:r w:rsidR="001B7EE3">
        <w:rPr>
          <w:snapToGrid w:val="0"/>
        </w:rPr>
        <w:t>Minister of Defence of Sri Lanka</w:t>
      </w:r>
      <w:r>
        <w:rPr>
          <w:snapToGrid w:val="0"/>
        </w:rPr>
        <w:t xml:space="preserve"> </w:t>
      </w:r>
      <w:r w:rsidR="00A4551A">
        <w:rPr>
          <w:snapToGrid w:val="0"/>
        </w:rPr>
        <w:t>t</w:t>
      </w:r>
      <w:r w:rsidR="001B7EE3">
        <w:rPr>
          <w:snapToGrid w:val="0"/>
        </w:rPr>
        <w:t>o </w:t>
      </w:r>
      <w:r w:rsidR="00A4551A">
        <w:rPr>
          <w:snapToGrid w:val="0"/>
        </w:rPr>
        <w:t>that effect</w:t>
      </w:r>
      <w:r>
        <w:rPr>
          <w:snapToGrid w:val="0"/>
        </w:rPr>
        <w:t xml:space="preserve"> and</w:t>
      </w:r>
      <w:r w:rsidRPr="00876264">
        <w:rPr>
          <w:snapToGrid w:val="0"/>
        </w:rPr>
        <w:t xml:space="preserve"> </w:t>
      </w:r>
      <w:r w:rsidR="00876264" w:rsidRPr="00876264">
        <w:rPr>
          <w:snapToGrid w:val="0"/>
        </w:rPr>
        <w:t>claim</w:t>
      </w:r>
      <w:r>
        <w:rPr>
          <w:snapToGrid w:val="0"/>
        </w:rPr>
        <w:t>ed</w:t>
      </w:r>
      <w:r w:rsidR="00876264" w:rsidRPr="00876264">
        <w:rPr>
          <w:snapToGrid w:val="0"/>
        </w:rPr>
        <w:t xml:space="preserve"> that should he be returned to Sri Lanka</w:t>
      </w:r>
      <w:r>
        <w:rPr>
          <w:snapToGrid w:val="0"/>
        </w:rPr>
        <w:t>,</w:t>
      </w:r>
      <w:r w:rsidR="00876264" w:rsidRPr="00876264">
        <w:rPr>
          <w:snapToGrid w:val="0"/>
        </w:rPr>
        <w:t xml:space="preserve"> he </w:t>
      </w:r>
      <w:r w:rsidR="00A4551A">
        <w:rPr>
          <w:snapToGrid w:val="0"/>
        </w:rPr>
        <w:t>would</w:t>
      </w:r>
      <w:r w:rsidR="00A4551A" w:rsidRPr="00876264">
        <w:rPr>
          <w:snapToGrid w:val="0"/>
        </w:rPr>
        <w:t xml:space="preserve"> </w:t>
      </w:r>
      <w:r w:rsidR="00876264" w:rsidRPr="00876264">
        <w:rPr>
          <w:snapToGrid w:val="0"/>
        </w:rPr>
        <w:t>be arbitrarily detained and interrogated on th</w:t>
      </w:r>
      <w:r w:rsidR="00A4551A">
        <w:rPr>
          <w:snapToGrid w:val="0"/>
        </w:rPr>
        <w:t>at</w:t>
      </w:r>
      <w:r w:rsidR="00876264" w:rsidRPr="00876264">
        <w:rPr>
          <w:snapToGrid w:val="0"/>
        </w:rPr>
        <w:t xml:space="preserve"> very point and </w:t>
      </w:r>
      <w:r w:rsidR="00A4551A">
        <w:rPr>
          <w:snapToGrid w:val="0"/>
        </w:rPr>
        <w:t xml:space="preserve">would </w:t>
      </w:r>
      <w:r w:rsidR="00876264" w:rsidRPr="00876264">
        <w:rPr>
          <w:snapToGrid w:val="0"/>
        </w:rPr>
        <w:t xml:space="preserve">be at risk of torture and other ill-treatment. </w:t>
      </w:r>
      <w:r w:rsidR="0013127E" w:rsidRPr="0013127E">
        <w:rPr>
          <w:snapToGrid w:val="0"/>
        </w:rPr>
        <w:t xml:space="preserve">The complainant </w:t>
      </w:r>
      <w:r w:rsidR="0013127E">
        <w:rPr>
          <w:snapToGrid w:val="0"/>
        </w:rPr>
        <w:t>also maintained that</w:t>
      </w:r>
      <w:r w:rsidR="0013127E" w:rsidRPr="0013127E">
        <w:rPr>
          <w:snapToGrid w:val="0"/>
        </w:rPr>
        <w:t xml:space="preserve"> </w:t>
      </w:r>
      <w:r w:rsidR="001B7EE3">
        <w:rPr>
          <w:snapToGrid w:val="0"/>
        </w:rPr>
        <w:t xml:space="preserve">relocation internally </w:t>
      </w:r>
      <w:r w:rsidR="0013127E" w:rsidRPr="0013127E">
        <w:rPr>
          <w:snapToGrid w:val="0"/>
        </w:rPr>
        <w:t xml:space="preserve">within Sri Lanka </w:t>
      </w:r>
      <w:r w:rsidR="001B7EE3">
        <w:rPr>
          <w:snapToGrid w:val="0"/>
        </w:rPr>
        <w:t xml:space="preserve">was not an option </w:t>
      </w:r>
      <w:r w:rsidR="0013127E" w:rsidRPr="0013127E">
        <w:rPr>
          <w:snapToGrid w:val="0"/>
        </w:rPr>
        <w:t xml:space="preserve">for a person at real risk from </w:t>
      </w:r>
      <w:r w:rsidR="001B7EE3">
        <w:rPr>
          <w:snapToGrid w:val="0"/>
        </w:rPr>
        <w:t xml:space="preserve">the </w:t>
      </w:r>
      <w:r w:rsidR="0013127E" w:rsidRPr="0013127E">
        <w:rPr>
          <w:snapToGrid w:val="0"/>
        </w:rPr>
        <w:t>Sri</w:t>
      </w:r>
      <w:r w:rsidR="0013127E">
        <w:rPr>
          <w:snapToGrid w:val="0"/>
        </w:rPr>
        <w:t xml:space="preserve"> </w:t>
      </w:r>
      <w:r w:rsidR="0013127E" w:rsidRPr="0013127E">
        <w:rPr>
          <w:snapToGrid w:val="0"/>
        </w:rPr>
        <w:t>Lankan authorities, since the Government now control</w:t>
      </w:r>
      <w:r w:rsidR="001B7EE3">
        <w:rPr>
          <w:snapToGrid w:val="0"/>
        </w:rPr>
        <w:t>led</w:t>
      </w:r>
      <w:r w:rsidR="0013127E" w:rsidRPr="0013127E">
        <w:rPr>
          <w:snapToGrid w:val="0"/>
        </w:rPr>
        <w:t xml:space="preserve"> the whole of Sri</w:t>
      </w:r>
      <w:r w:rsidR="0013127E">
        <w:rPr>
          <w:snapToGrid w:val="0"/>
        </w:rPr>
        <w:t xml:space="preserve"> </w:t>
      </w:r>
      <w:r w:rsidR="0013127E" w:rsidRPr="0013127E">
        <w:rPr>
          <w:snapToGrid w:val="0"/>
        </w:rPr>
        <w:t>Lanka and illegal</w:t>
      </w:r>
      <w:r w:rsidR="00FC3942">
        <w:rPr>
          <w:snapToGrid w:val="0"/>
        </w:rPr>
        <w:t>ly</w:t>
      </w:r>
      <w:r w:rsidR="0013127E" w:rsidRPr="0013127E">
        <w:rPr>
          <w:snapToGrid w:val="0"/>
        </w:rPr>
        <w:t xml:space="preserve"> departed persons and/or failed asylum </w:t>
      </w:r>
      <w:r w:rsidR="0013127E" w:rsidRPr="0013127E">
        <w:rPr>
          <w:snapToGrid w:val="0"/>
        </w:rPr>
        <w:lastRenderedPageBreak/>
        <w:t xml:space="preserve">seekers </w:t>
      </w:r>
      <w:r w:rsidR="001B7EE3">
        <w:rPr>
          <w:snapToGrid w:val="0"/>
        </w:rPr>
        <w:t>we</w:t>
      </w:r>
      <w:r w:rsidR="0013127E" w:rsidRPr="0013127E">
        <w:rPr>
          <w:snapToGrid w:val="0"/>
        </w:rPr>
        <w:t>re immediately</w:t>
      </w:r>
      <w:r w:rsidR="0013127E">
        <w:rPr>
          <w:snapToGrid w:val="0"/>
        </w:rPr>
        <w:t xml:space="preserve"> </w:t>
      </w:r>
      <w:r w:rsidR="0013127E" w:rsidRPr="0013127E">
        <w:rPr>
          <w:snapToGrid w:val="0"/>
        </w:rPr>
        <w:t xml:space="preserve">detected and taken into custody by </w:t>
      </w:r>
      <w:r w:rsidR="001B7EE3">
        <w:rPr>
          <w:snapToGrid w:val="0"/>
        </w:rPr>
        <w:t xml:space="preserve">the </w:t>
      </w:r>
      <w:r w:rsidR="0013127E" w:rsidRPr="0013127E">
        <w:rPr>
          <w:snapToGrid w:val="0"/>
        </w:rPr>
        <w:t>Sri Lankan authorities upon</w:t>
      </w:r>
      <w:r w:rsidR="001B7EE3">
        <w:rPr>
          <w:snapToGrid w:val="0"/>
        </w:rPr>
        <w:t xml:space="preserve"> their</w:t>
      </w:r>
      <w:r w:rsidR="0013127E" w:rsidRPr="0013127E">
        <w:rPr>
          <w:snapToGrid w:val="0"/>
        </w:rPr>
        <w:t xml:space="preserve"> arrival at Colombo</w:t>
      </w:r>
      <w:r w:rsidR="0013127E">
        <w:rPr>
          <w:snapToGrid w:val="0"/>
        </w:rPr>
        <w:t xml:space="preserve"> </w:t>
      </w:r>
      <w:r w:rsidR="0013127E" w:rsidRPr="0013127E">
        <w:rPr>
          <w:snapToGrid w:val="0"/>
        </w:rPr>
        <w:t>Airport.</w:t>
      </w:r>
    </w:p>
    <w:p w:rsidR="00876264" w:rsidRPr="00DF23DE" w:rsidRDefault="00CF792C" w:rsidP="00876264">
      <w:pPr>
        <w:pStyle w:val="SingleTxtG"/>
        <w:rPr>
          <w:snapToGrid w:val="0"/>
        </w:rPr>
      </w:pPr>
      <w:r>
        <w:rPr>
          <w:snapToGrid w:val="0"/>
        </w:rPr>
        <w:t>3.3</w:t>
      </w:r>
      <w:r>
        <w:rPr>
          <w:snapToGrid w:val="0"/>
        </w:rPr>
        <w:tab/>
      </w:r>
      <w:r w:rsidR="00876264" w:rsidRPr="00876264">
        <w:rPr>
          <w:snapToGrid w:val="0"/>
        </w:rPr>
        <w:t xml:space="preserve">The </w:t>
      </w:r>
      <w:r w:rsidR="00ED37C8">
        <w:rPr>
          <w:snapToGrid w:val="0"/>
        </w:rPr>
        <w:t>complainant</w:t>
      </w:r>
      <w:r w:rsidR="00876264" w:rsidRPr="00876264">
        <w:rPr>
          <w:snapToGrid w:val="0"/>
        </w:rPr>
        <w:t xml:space="preserve"> therefore maintains that his return to Sri Lanka, if implemented, would constitute a breach of article 3 of the Convention.</w:t>
      </w:r>
    </w:p>
    <w:p w:rsidR="007821E7" w:rsidRPr="00597408" w:rsidRDefault="007821E7" w:rsidP="00597408">
      <w:pPr>
        <w:pStyle w:val="H23G"/>
        <w:rPr>
          <w:snapToGrid w:val="0"/>
        </w:rPr>
      </w:pPr>
      <w:r w:rsidRPr="00DF23DE">
        <w:rPr>
          <w:snapToGrid w:val="0"/>
        </w:rPr>
        <w:tab/>
      </w:r>
      <w:r w:rsidRPr="00DF23DE">
        <w:rPr>
          <w:snapToGrid w:val="0"/>
        </w:rPr>
        <w:tab/>
        <w:t xml:space="preserve">State party’s observations on </w:t>
      </w:r>
      <w:r w:rsidR="006A2B5E" w:rsidRPr="00597408">
        <w:rPr>
          <w:snapToGrid w:val="0"/>
        </w:rPr>
        <w:t>admissibility</w:t>
      </w:r>
      <w:r w:rsidR="00597408" w:rsidRPr="00597408">
        <w:rPr>
          <w:snapToGrid w:val="0"/>
        </w:rPr>
        <w:t xml:space="preserve"> and the merits</w:t>
      </w:r>
    </w:p>
    <w:p w:rsidR="00265340" w:rsidRPr="00DF23DE" w:rsidRDefault="007821E7" w:rsidP="00D67CE1">
      <w:pPr>
        <w:pStyle w:val="SingleTxtG"/>
        <w:rPr>
          <w:snapToGrid w:val="0"/>
        </w:rPr>
      </w:pPr>
      <w:r w:rsidRPr="00DF23DE">
        <w:rPr>
          <w:snapToGrid w:val="0"/>
        </w:rPr>
        <w:t>4.1</w:t>
      </w:r>
      <w:r w:rsidRPr="00DF23DE">
        <w:rPr>
          <w:snapToGrid w:val="0"/>
        </w:rPr>
        <w:tab/>
      </w:r>
      <w:r w:rsidR="005770B1">
        <w:rPr>
          <w:snapToGrid w:val="0"/>
        </w:rPr>
        <w:t>On 7 November 2014, the State party submitted that the complainant’s allegations were inadmissible as they were manifestly unfounded pursuant to rule 113</w:t>
      </w:r>
      <w:r w:rsidR="001B7EE3">
        <w:rPr>
          <w:snapToGrid w:val="0"/>
        </w:rPr>
        <w:t xml:space="preserve"> </w:t>
      </w:r>
      <w:r w:rsidR="005770B1">
        <w:rPr>
          <w:snapToGrid w:val="0"/>
        </w:rPr>
        <w:t xml:space="preserve">(b) of the Committee’s </w:t>
      </w:r>
      <w:r w:rsidR="001B7EE3">
        <w:rPr>
          <w:snapToGrid w:val="0"/>
        </w:rPr>
        <w:t>r</w:t>
      </w:r>
      <w:r w:rsidR="005770B1">
        <w:rPr>
          <w:snapToGrid w:val="0"/>
        </w:rPr>
        <w:t xml:space="preserve">ules of </w:t>
      </w:r>
      <w:r w:rsidR="001B7EE3">
        <w:rPr>
          <w:snapToGrid w:val="0"/>
        </w:rPr>
        <w:t>p</w:t>
      </w:r>
      <w:r w:rsidR="005770B1">
        <w:rPr>
          <w:snapToGrid w:val="0"/>
        </w:rPr>
        <w:t>rocedure. Should the Committee find the allegations admissible, the State party maintain</w:t>
      </w:r>
      <w:r w:rsidR="00F63FCC">
        <w:rPr>
          <w:snapToGrid w:val="0"/>
        </w:rPr>
        <w:t>s</w:t>
      </w:r>
      <w:r w:rsidR="005770B1">
        <w:rPr>
          <w:snapToGrid w:val="0"/>
        </w:rPr>
        <w:t xml:space="preserve"> that they </w:t>
      </w:r>
      <w:r w:rsidR="00367EC5">
        <w:rPr>
          <w:snapToGrid w:val="0"/>
        </w:rPr>
        <w:t xml:space="preserve">are </w:t>
      </w:r>
      <w:r w:rsidR="005770B1">
        <w:rPr>
          <w:snapToGrid w:val="0"/>
        </w:rPr>
        <w:t xml:space="preserve">without </w:t>
      </w:r>
      <w:r w:rsidR="00D67CE1">
        <w:rPr>
          <w:snapToGrid w:val="0"/>
        </w:rPr>
        <w:t xml:space="preserve">merit </w:t>
      </w:r>
      <w:r w:rsidR="005770B1">
        <w:rPr>
          <w:snapToGrid w:val="0"/>
        </w:rPr>
        <w:t>as they have not been supported by sufficient evidence that th</w:t>
      </w:r>
      <w:r w:rsidR="004C63E9">
        <w:rPr>
          <w:snapToGrid w:val="0"/>
        </w:rPr>
        <w:t xml:space="preserve">ere were substantial grounds for believing that the complainant </w:t>
      </w:r>
      <w:r w:rsidR="008E6704">
        <w:rPr>
          <w:snapToGrid w:val="0"/>
        </w:rPr>
        <w:t xml:space="preserve">was </w:t>
      </w:r>
      <w:r w:rsidR="004C63E9">
        <w:rPr>
          <w:snapToGrid w:val="0"/>
        </w:rPr>
        <w:t xml:space="preserve">in danger of being tortured as defined </w:t>
      </w:r>
      <w:r w:rsidR="00F63FCC">
        <w:rPr>
          <w:snapToGrid w:val="0"/>
        </w:rPr>
        <w:t>in</w:t>
      </w:r>
      <w:r w:rsidR="004C63E9">
        <w:rPr>
          <w:snapToGrid w:val="0"/>
        </w:rPr>
        <w:t xml:space="preserve"> article 1 of the Convention.</w:t>
      </w:r>
    </w:p>
    <w:p w:rsidR="007821E7" w:rsidRDefault="00147B55">
      <w:pPr>
        <w:pStyle w:val="SingleTxtG"/>
        <w:rPr>
          <w:snapToGrid w:val="0"/>
        </w:rPr>
      </w:pPr>
      <w:r>
        <w:rPr>
          <w:snapToGrid w:val="0"/>
        </w:rPr>
        <w:t>4.2</w:t>
      </w:r>
      <w:r>
        <w:rPr>
          <w:snapToGrid w:val="0"/>
        </w:rPr>
        <w:tab/>
      </w:r>
      <w:r w:rsidR="004C63E9">
        <w:rPr>
          <w:snapToGrid w:val="0"/>
        </w:rPr>
        <w:t>The State party made reference to the Committee’s general comment No</w:t>
      </w:r>
      <w:r w:rsidR="00367EC5" w:rsidRPr="00121C32">
        <w:rPr>
          <w:snapToGrid w:val="0"/>
        </w:rPr>
        <w:t xml:space="preserve">. </w:t>
      </w:r>
      <w:r w:rsidR="004C63E9" w:rsidRPr="00121C32">
        <w:rPr>
          <w:snapToGrid w:val="0"/>
        </w:rPr>
        <w:t>1</w:t>
      </w:r>
      <w:r w:rsidR="00367EC5" w:rsidRPr="00121C32">
        <w:rPr>
          <w:snapToGrid w:val="0"/>
        </w:rPr>
        <w:t xml:space="preserve"> (199</w:t>
      </w:r>
      <w:r w:rsidR="00121C32" w:rsidRPr="003A40BB">
        <w:rPr>
          <w:snapToGrid w:val="0"/>
        </w:rPr>
        <w:t>7</w:t>
      </w:r>
      <w:r w:rsidR="00367EC5" w:rsidRPr="00121C32">
        <w:rPr>
          <w:snapToGrid w:val="0"/>
        </w:rPr>
        <w:t>)</w:t>
      </w:r>
      <w:r w:rsidR="00367EC5">
        <w:rPr>
          <w:snapToGrid w:val="0"/>
        </w:rPr>
        <w:t xml:space="preserve"> on the implementation of article 3 of the Convention in the context of article 22</w:t>
      </w:r>
      <w:r w:rsidR="004C63E9">
        <w:rPr>
          <w:snapToGrid w:val="0"/>
        </w:rPr>
        <w:t xml:space="preserve">, </w:t>
      </w:r>
      <w:r w:rsidR="008C0B1E">
        <w:rPr>
          <w:snapToGrid w:val="0"/>
        </w:rPr>
        <w:t xml:space="preserve">which </w:t>
      </w:r>
      <w:r w:rsidR="004C63E9">
        <w:rPr>
          <w:snapToGrid w:val="0"/>
        </w:rPr>
        <w:t>outlin</w:t>
      </w:r>
      <w:r w:rsidR="008C0B1E">
        <w:rPr>
          <w:snapToGrid w:val="0"/>
        </w:rPr>
        <w:t>e</w:t>
      </w:r>
      <w:r w:rsidR="0039126B">
        <w:rPr>
          <w:snapToGrid w:val="0"/>
        </w:rPr>
        <w:t>d</w:t>
      </w:r>
      <w:r w:rsidR="004C63E9">
        <w:rPr>
          <w:snapToGrid w:val="0"/>
        </w:rPr>
        <w:t xml:space="preserve"> non-refoulement standards</w:t>
      </w:r>
      <w:r w:rsidR="00367EC5">
        <w:rPr>
          <w:snapToGrid w:val="0"/>
        </w:rPr>
        <w:t>,</w:t>
      </w:r>
      <w:r w:rsidR="004C63E9">
        <w:rPr>
          <w:snapToGrid w:val="0"/>
        </w:rPr>
        <w:t xml:space="preserve"> and to </w:t>
      </w:r>
      <w:r w:rsidR="008C0B1E">
        <w:rPr>
          <w:snapToGrid w:val="0"/>
        </w:rPr>
        <w:t>the Committee’s</w:t>
      </w:r>
      <w:r w:rsidR="004C63E9">
        <w:rPr>
          <w:snapToGrid w:val="0"/>
        </w:rPr>
        <w:t xml:space="preserve"> </w:t>
      </w:r>
      <w:r w:rsidR="004C63E9" w:rsidRPr="00592184">
        <w:rPr>
          <w:snapToGrid w:val="0"/>
        </w:rPr>
        <w:t xml:space="preserve">decision in </w:t>
      </w:r>
      <w:r w:rsidR="004C63E9" w:rsidRPr="00592184">
        <w:rPr>
          <w:i/>
          <w:snapToGrid w:val="0"/>
        </w:rPr>
        <w:t>G.R.B. v</w:t>
      </w:r>
      <w:r w:rsidR="00367EC5" w:rsidRPr="00592184">
        <w:rPr>
          <w:i/>
          <w:snapToGrid w:val="0"/>
        </w:rPr>
        <w:t>.</w:t>
      </w:r>
      <w:r w:rsidR="004C63E9" w:rsidRPr="00592184">
        <w:rPr>
          <w:i/>
          <w:snapToGrid w:val="0"/>
        </w:rPr>
        <w:t xml:space="preserve"> Sweden.</w:t>
      </w:r>
      <w:r w:rsidR="00D04EDC" w:rsidRPr="003A40BB">
        <w:rPr>
          <w:rStyle w:val="FootnoteReference"/>
          <w:iCs/>
          <w:snapToGrid w:val="0"/>
        </w:rPr>
        <w:footnoteReference w:id="4"/>
      </w:r>
      <w:r w:rsidR="004C63E9">
        <w:rPr>
          <w:i/>
          <w:snapToGrid w:val="0"/>
        </w:rPr>
        <w:t xml:space="preserve"> </w:t>
      </w:r>
      <w:r w:rsidR="004C63E9" w:rsidRPr="004C63E9">
        <w:rPr>
          <w:snapToGrid w:val="0"/>
        </w:rPr>
        <w:t xml:space="preserve">The </w:t>
      </w:r>
      <w:r w:rsidR="004C63E9">
        <w:rPr>
          <w:snapToGrid w:val="0"/>
        </w:rPr>
        <w:t>S</w:t>
      </w:r>
      <w:r w:rsidR="004C63E9" w:rsidRPr="004C63E9">
        <w:rPr>
          <w:snapToGrid w:val="0"/>
        </w:rPr>
        <w:t>tat</w:t>
      </w:r>
      <w:r w:rsidR="004C63E9">
        <w:rPr>
          <w:snapToGrid w:val="0"/>
        </w:rPr>
        <w:t xml:space="preserve">e party maintained that the complainant had failed to establish a prima facie case that there </w:t>
      </w:r>
      <w:r w:rsidR="00367EC5">
        <w:rPr>
          <w:snapToGrid w:val="0"/>
        </w:rPr>
        <w:t>wa</w:t>
      </w:r>
      <w:r w:rsidR="004C63E9">
        <w:rPr>
          <w:snapToGrid w:val="0"/>
        </w:rPr>
        <w:t xml:space="preserve">s a foreseeable, real and personal risk </w:t>
      </w:r>
      <w:r w:rsidR="00367EC5">
        <w:rPr>
          <w:snapToGrid w:val="0"/>
        </w:rPr>
        <w:t xml:space="preserve">that </w:t>
      </w:r>
      <w:r w:rsidR="004C63E9">
        <w:rPr>
          <w:snapToGrid w:val="0"/>
        </w:rPr>
        <w:t>he would be subjected to torture if returned to Sri Lanka. The complainant’s claims ha</w:t>
      </w:r>
      <w:r w:rsidR="008C0B1E">
        <w:rPr>
          <w:snapToGrid w:val="0"/>
        </w:rPr>
        <w:t>d</w:t>
      </w:r>
      <w:r w:rsidR="004C63E9">
        <w:rPr>
          <w:snapToGrid w:val="0"/>
        </w:rPr>
        <w:t xml:space="preserve"> been thoroughly considered by the State party’s “robust and comprehensive domestic administrative and judicial process”</w:t>
      </w:r>
      <w:r w:rsidR="008C0B1E">
        <w:rPr>
          <w:snapToGrid w:val="0"/>
        </w:rPr>
        <w:t>,</w:t>
      </w:r>
      <w:r w:rsidR="004C63E9">
        <w:rPr>
          <w:snapToGrid w:val="0"/>
        </w:rPr>
        <w:t xml:space="preserve"> including by the Federal Circuit Court</w:t>
      </w:r>
      <w:r w:rsidR="008C0B1E">
        <w:rPr>
          <w:snapToGrid w:val="0"/>
        </w:rPr>
        <w:t>, and</w:t>
      </w:r>
      <w:r w:rsidR="004C63E9">
        <w:rPr>
          <w:snapToGrid w:val="0"/>
        </w:rPr>
        <w:t xml:space="preserve"> the State party </w:t>
      </w:r>
      <w:r w:rsidR="008C0B1E">
        <w:rPr>
          <w:snapToGrid w:val="0"/>
        </w:rPr>
        <w:t xml:space="preserve">took </w:t>
      </w:r>
      <w:r w:rsidR="004C63E9">
        <w:rPr>
          <w:snapToGrid w:val="0"/>
        </w:rPr>
        <w:t xml:space="preserve">its obligations under the Convention seriously and </w:t>
      </w:r>
      <w:r w:rsidR="008C0B1E">
        <w:rPr>
          <w:snapToGrid w:val="0"/>
        </w:rPr>
        <w:t>implemented them</w:t>
      </w:r>
      <w:r w:rsidR="004C63E9">
        <w:rPr>
          <w:snapToGrid w:val="0"/>
        </w:rPr>
        <w:t xml:space="preserve"> in good faith through its domestic migration processes. The State party </w:t>
      </w:r>
      <w:r w:rsidR="002313F4">
        <w:rPr>
          <w:snapToGrid w:val="0"/>
        </w:rPr>
        <w:t xml:space="preserve">requests that the Committee accept that it has thoroughly assessed the complainant’s claims through its domestic processes and </w:t>
      </w:r>
      <w:r w:rsidR="008C0B1E">
        <w:rPr>
          <w:snapToGrid w:val="0"/>
        </w:rPr>
        <w:t xml:space="preserve">has </w:t>
      </w:r>
      <w:r w:rsidR="002313F4">
        <w:rPr>
          <w:snapToGrid w:val="0"/>
        </w:rPr>
        <w:t>found that it does not owe the author protection obligations under the Convention.</w:t>
      </w:r>
    </w:p>
    <w:p w:rsidR="002313F4" w:rsidRDefault="002313F4">
      <w:pPr>
        <w:pStyle w:val="SingleTxtG"/>
        <w:rPr>
          <w:snapToGrid w:val="0"/>
        </w:rPr>
      </w:pPr>
      <w:r>
        <w:rPr>
          <w:snapToGrid w:val="0"/>
        </w:rPr>
        <w:t>4.3</w:t>
      </w:r>
      <w:r>
        <w:rPr>
          <w:snapToGrid w:val="0"/>
        </w:rPr>
        <w:tab/>
        <w:t xml:space="preserve">The complainant initially lodged an application for a protection visa </w:t>
      </w:r>
      <w:r w:rsidR="0000320F">
        <w:rPr>
          <w:snapToGrid w:val="0"/>
        </w:rPr>
        <w:t>on 7 July 2012</w:t>
      </w:r>
      <w:r w:rsidR="002E0B76">
        <w:rPr>
          <w:snapToGrid w:val="0"/>
        </w:rPr>
        <w:t xml:space="preserve">. The decision maker conducted an interview with him with the assistance of an interpreter and considered relevant material such as country information provided by the Australian Department of Foreign Affairs and Trade. The complainant claimed that in April 2011, the Sri Lanka Army separated him from other villagers because of </w:t>
      </w:r>
      <w:r w:rsidR="009F0A3E">
        <w:rPr>
          <w:snapToGrid w:val="0"/>
        </w:rPr>
        <w:t xml:space="preserve">a </w:t>
      </w:r>
      <w:r w:rsidR="002E0B76">
        <w:rPr>
          <w:snapToGrid w:val="0"/>
        </w:rPr>
        <w:t>physical scar on his body, detained him overnight in a S</w:t>
      </w:r>
      <w:r w:rsidR="00B728DA">
        <w:rPr>
          <w:snapToGrid w:val="0"/>
        </w:rPr>
        <w:t xml:space="preserve">ri </w:t>
      </w:r>
      <w:r w:rsidR="002E0B76">
        <w:rPr>
          <w:snapToGrid w:val="0"/>
        </w:rPr>
        <w:t>L</w:t>
      </w:r>
      <w:r w:rsidR="00B728DA">
        <w:rPr>
          <w:snapToGrid w:val="0"/>
        </w:rPr>
        <w:t xml:space="preserve">anka </w:t>
      </w:r>
      <w:r w:rsidR="002E0B76">
        <w:rPr>
          <w:snapToGrid w:val="0"/>
        </w:rPr>
        <w:t>A</w:t>
      </w:r>
      <w:r w:rsidR="00B728DA">
        <w:rPr>
          <w:snapToGrid w:val="0"/>
        </w:rPr>
        <w:t>rmy</w:t>
      </w:r>
      <w:r w:rsidR="002E0B76">
        <w:rPr>
          <w:snapToGrid w:val="0"/>
        </w:rPr>
        <w:t xml:space="preserve"> camp and interrogated him. He was slapped, his side was twisted and his father was beaten. He also claimed that in October 2011 four armed men arrived at his house</w:t>
      </w:r>
      <w:r w:rsidR="001F4A01">
        <w:rPr>
          <w:snapToGrid w:val="0"/>
        </w:rPr>
        <w:t>, two of whom</w:t>
      </w:r>
      <w:r w:rsidR="002E0B76">
        <w:rPr>
          <w:snapToGrid w:val="0"/>
        </w:rPr>
        <w:t xml:space="preserve"> </w:t>
      </w:r>
      <w:r w:rsidR="005C09BC">
        <w:rPr>
          <w:snapToGrid w:val="0"/>
        </w:rPr>
        <w:t>came</w:t>
      </w:r>
      <w:r w:rsidR="002E0B76">
        <w:rPr>
          <w:snapToGrid w:val="0"/>
        </w:rPr>
        <w:t xml:space="preserve"> into the house and accused him of being a member of </w:t>
      </w:r>
      <w:r w:rsidR="00B73CD7">
        <w:rPr>
          <w:snapToGrid w:val="0"/>
        </w:rPr>
        <w:t>the Liberation Tigers of Tamil Eelam</w:t>
      </w:r>
      <w:r w:rsidR="002E0B76">
        <w:rPr>
          <w:snapToGrid w:val="0"/>
        </w:rPr>
        <w:t>. After th</w:t>
      </w:r>
      <w:r w:rsidR="001F4A01">
        <w:rPr>
          <w:snapToGrid w:val="0"/>
        </w:rPr>
        <w:t>at</w:t>
      </w:r>
      <w:r w:rsidR="002E0B76">
        <w:rPr>
          <w:snapToGrid w:val="0"/>
        </w:rPr>
        <w:t xml:space="preserve"> incident</w:t>
      </w:r>
      <w:r w:rsidR="00B73CD7">
        <w:rPr>
          <w:snapToGrid w:val="0"/>
        </w:rPr>
        <w:t>,</w:t>
      </w:r>
      <w:r w:rsidR="002E0B76">
        <w:rPr>
          <w:snapToGrid w:val="0"/>
        </w:rPr>
        <w:t xml:space="preserve"> he moved to Gampaha. In March 2012, the complainant alleged, he was kidnapped by four men, kept in a room for a week</w:t>
      </w:r>
      <w:r w:rsidR="001F4A01">
        <w:rPr>
          <w:snapToGrid w:val="0"/>
        </w:rPr>
        <w:t>,</w:t>
      </w:r>
      <w:r w:rsidR="002E0B76">
        <w:rPr>
          <w:snapToGrid w:val="0"/>
        </w:rPr>
        <w:t xml:space="preserve"> and </w:t>
      </w:r>
      <w:r w:rsidR="0024212C">
        <w:rPr>
          <w:snapToGrid w:val="0"/>
        </w:rPr>
        <w:t xml:space="preserve">then </w:t>
      </w:r>
      <w:r w:rsidR="002E0B76">
        <w:rPr>
          <w:snapToGrid w:val="0"/>
        </w:rPr>
        <w:t xml:space="preserve">told that he must </w:t>
      </w:r>
      <w:r w:rsidR="00300C06">
        <w:rPr>
          <w:snapToGrid w:val="0"/>
        </w:rPr>
        <w:t>“</w:t>
      </w:r>
      <w:r w:rsidR="002E0B76">
        <w:rPr>
          <w:snapToGrid w:val="0"/>
        </w:rPr>
        <w:t>join them</w:t>
      </w:r>
      <w:r w:rsidR="00300C06">
        <w:rPr>
          <w:snapToGrid w:val="0"/>
        </w:rPr>
        <w:t>”</w:t>
      </w:r>
      <w:r w:rsidR="002E0B76">
        <w:rPr>
          <w:snapToGrid w:val="0"/>
        </w:rPr>
        <w:t xml:space="preserve"> and that they would keep him locked </w:t>
      </w:r>
      <w:r w:rsidR="0024212C">
        <w:rPr>
          <w:snapToGrid w:val="0"/>
        </w:rPr>
        <w:t xml:space="preserve">up </w:t>
      </w:r>
      <w:r w:rsidR="002E0B76">
        <w:rPr>
          <w:snapToGrid w:val="0"/>
        </w:rPr>
        <w:t xml:space="preserve">until he agreed. The complainant escaped </w:t>
      </w:r>
      <w:r w:rsidR="00D10B77">
        <w:rPr>
          <w:snapToGrid w:val="0"/>
        </w:rPr>
        <w:t>and several days later departed for Australia.</w:t>
      </w:r>
    </w:p>
    <w:p w:rsidR="00D10B77" w:rsidRDefault="00D10B77" w:rsidP="00065A2E">
      <w:pPr>
        <w:pStyle w:val="SingleTxtG"/>
        <w:rPr>
          <w:snapToGrid w:val="0"/>
        </w:rPr>
      </w:pPr>
      <w:r>
        <w:rPr>
          <w:snapToGrid w:val="0"/>
        </w:rPr>
        <w:t>4.4</w:t>
      </w:r>
      <w:r>
        <w:rPr>
          <w:snapToGrid w:val="0"/>
        </w:rPr>
        <w:tab/>
        <w:t xml:space="preserve">The complainant claimed that he feared that if </w:t>
      </w:r>
      <w:r w:rsidR="00065A2E">
        <w:rPr>
          <w:snapToGrid w:val="0"/>
        </w:rPr>
        <w:t xml:space="preserve">he were </w:t>
      </w:r>
      <w:r>
        <w:rPr>
          <w:snapToGrid w:val="0"/>
        </w:rPr>
        <w:t xml:space="preserve">returned to Sri Lanka, he </w:t>
      </w:r>
      <w:r w:rsidR="00065A2E">
        <w:rPr>
          <w:snapToGrid w:val="0"/>
        </w:rPr>
        <w:t xml:space="preserve">would </w:t>
      </w:r>
      <w:r>
        <w:rPr>
          <w:snapToGrid w:val="0"/>
        </w:rPr>
        <w:t xml:space="preserve">be abducted and killed by the </w:t>
      </w:r>
      <w:r w:rsidR="00B728DA">
        <w:rPr>
          <w:snapToGrid w:val="0"/>
        </w:rPr>
        <w:t xml:space="preserve">Sri Lanka Army </w:t>
      </w:r>
      <w:r>
        <w:rPr>
          <w:snapToGrid w:val="0"/>
        </w:rPr>
        <w:t xml:space="preserve">or </w:t>
      </w:r>
      <w:r w:rsidR="00065A2E">
        <w:rPr>
          <w:snapToGrid w:val="0"/>
        </w:rPr>
        <w:t xml:space="preserve">be </w:t>
      </w:r>
      <w:r>
        <w:rPr>
          <w:snapToGrid w:val="0"/>
        </w:rPr>
        <w:t xml:space="preserve">forced to join a paramilitary group. He would be targeted because he </w:t>
      </w:r>
      <w:r w:rsidR="00065A2E">
        <w:rPr>
          <w:snapToGrid w:val="0"/>
        </w:rPr>
        <w:t>wa</w:t>
      </w:r>
      <w:r>
        <w:rPr>
          <w:snapToGrid w:val="0"/>
        </w:rPr>
        <w:t xml:space="preserve">s a young Tamil man and he would remain under suspicion of involvement </w:t>
      </w:r>
      <w:r w:rsidR="00B73CD7">
        <w:rPr>
          <w:snapToGrid w:val="0"/>
        </w:rPr>
        <w:t xml:space="preserve">with the Liberation Tigers of Tamil Eelam </w:t>
      </w:r>
      <w:r>
        <w:rPr>
          <w:snapToGrid w:val="0"/>
        </w:rPr>
        <w:t xml:space="preserve">because of the scars on his body </w:t>
      </w:r>
      <w:r w:rsidR="00065A2E">
        <w:rPr>
          <w:snapToGrid w:val="0"/>
        </w:rPr>
        <w:t xml:space="preserve">that </w:t>
      </w:r>
      <w:r>
        <w:rPr>
          <w:snapToGrid w:val="0"/>
        </w:rPr>
        <w:t>result</w:t>
      </w:r>
      <w:r w:rsidR="00065A2E">
        <w:rPr>
          <w:snapToGrid w:val="0"/>
        </w:rPr>
        <w:t>ed</w:t>
      </w:r>
      <w:r>
        <w:rPr>
          <w:snapToGrid w:val="0"/>
        </w:rPr>
        <w:t xml:space="preserve"> from shrapnel wounds </w:t>
      </w:r>
      <w:r w:rsidR="00065A2E">
        <w:rPr>
          <w:snapToGrid w:val="0"/>
        </w:rPr>
        <w:t xml:space="preserve">he had </w:t>
      </w:r>
      <w:r>
        <w:rPr>
          <w:snapToGrid w:val="0"/>
        </w:rPr>
        <w:t>suffered during the civil war.</w:t>
      </w:r>
    </w:p>
    <w:p w:rsidR="00DC7B9D" w:rsidRDefault="00413E1E" w:rsidP="00DC0F1A">
      <w:pPr>
        <w:pStyle w:val="SingleTxtG"/>
        <w:rPr>
          <w:snapToGrid w:val="0"/>
        </w:rPr>
      </w:pPr>
      <w:r>
        <w:rPr>
          <w:snapToGrid w:val="0"/>
        </w:rPr>
        <w:t>4.5</w:t>
      </w:r>
      <w:r>
        <w:rPr>
          <w:snapToGrid w:val="0"/>
        </w:rPr>
        <w:tab/>
        <w:t xml:space="preserve">The primary decision maker determined that the complainant’s claims lacked credibility, in particular </w:t>
      </w:r>
      <w:r w:rsidR="00D208AD">
        <w:rPr>
          <w:snapToGrid w:val="0"/>
        </w:rPr>
        <w:t xml:space="preserve">doubting </w:t>
      </w:r>
      <w:r>
        <w:rPr>
          <w:snapToGrid w:val="0"/>
        </w:rPr>
        <w:t xml:space="preserve">that the events </w:t>
      </w:r>
      <w:r w:rsidR="00065A2E">
        <w:rPr>
          <w:snapToGrid w:val="0"/>
        </w:rPr>
        <w:t xml:space="preserve">that it was claimed had occurred in </w:t>
      </w:r>
      <w:r>
        <w:rPr>
          <w:snapToGrid w:val="0"/>
        </w:rPr>
        <w:t xml:space="preserve">October 2011 and March 2012 had </w:t>
      </w:r>
      <w:r w:rsidR="00DC0F1A">
        <w:rPr>
          <w:snapToGrid w:val="0"/>
        </w:rPr>
        <w:t>taken place</w:t>
      </w:r>
      <w:r>
        <w:rPr>
          <w:snapToGrid w:val="0"/>
        </w:rPr>
        <w:t xml:space="preserve">. The primary decision maker concluded that the complainant did not have a significant profile that would draw particular adverse attention from the </w:t>
      </w:r>
      <w:r w:rsidR="00B728DA">
        <w:rPr>
          <w:snapToGrid w:val="0"/>
        </w:rPr>
        <w:t>Sri Lanka Army</w:t>
      </w:r>
      <w:r>
        <w:rPr>
          <w:snapToGrid w:val="0"/>
        </w:rPr>
        <w:t xml:space="preserve">, </w:t>
      </w:r>
      <w:r w:rsidR="00DA1DBD">
        <w:rPr>
          <w:snapToGrid w:val="0"/>
        </w:rPr>
        <w:t xml:space="preserve">from </w:t>
      </w:r>
      <w:r>
        <w:rPr>
          <w:snapToGrid w:val="0"/>
        </w:rPr>
        <w:t xml:space="preserve">government authorities or </w:t>
      </w:r>
      <w:r w:rsidR="00DA1DBD">
        <w:rPr>
          <w:snapToGrid w:val="0"/>
        </w:rPr>
        <w:t xml:space="preserve">from </w:t>
      </w:r>
      <w:r>
        <w:rPr>
          <w:snapToGrid w:val="0"/>
        </w:rPr>
        <w:t xml:space="preserve">any paramilitary </w:t>
      </w:r>
      <w:r>
        <w:rPr>
          <w:snapToGrid w:val="0"/>
        </w:rPr>
        <w:lastRenderedPageBreak/>
        <w:t>or other group</w:t>
      </w:r>
      <w:r w:rsidR="00DA1DBD">
        <w:rPr>
          <w:snapToGrid w:val="0"/>
        </w:rPr>
        <w:t>, and</w:t>
      </w:r>
      <w:r>
        <w:rPr>
          <w:snapToGrid w:val="0"/>
        </w:rPr>
        <w:t xml:space="preserve"> that any vulnerability arising from the complainant’s Tamil ethnicity and its impact on his returning as a failed asylum seeker, or the scarring on his legs, in</w:t>
      </w:r>
      <w:r w:rsidR="00DA1DBD">
        <w:rPr>
          <w:snapToGrid w:val="0"/>
        </w:rPr>
        <w:t xml:space="preserve"> the</w:t>
      </w:r>
      <w:r>
        <w:rPr>
          <w:snapToGrid w:val="0"/>
        </w:rPr>
        <w:t xml:space="preserve"> light of all of the circumstances</w:t>
      </w:r>
      <w:r w:rsidR="00DA1DBD">
        <w:rPr>
          <w:snapToGrid w:val="0"/>
        </w:rPr>
        <w:t>,</w:t>
      </w:r>
      <w:r>
        <w:rPr>
          <w:snapToGrid w:val="0"/>
        </w:rPr>
        <w:t xml:space="preserve"> did not engage the State party’s non-refoulement obligations. </w:t>
      </w:r>
    </w:p>
    <w:p w:rsidR="00413E1E" w:rsidRDefault="00DC7B9D" w:rsidP="001E4EA8">
      <w:pPr>
        <w:pStyle w:val="SingleTxtG"/>
        <w:rPr>
          <w:snapToGrid w:val="0"/>
        </w:rPr>
      </w:pPr>
      <w:r>
        <w:rPr>
          <w:snapToGrid w:val="0"/>
        </w:rPr>
        <w:t>4.6</w:t>
      </w:r>
      <w:r>
        <w:rPr>
          <w:snapToGrid w:val="0"/>
        </w:rPr>
        <w:tab/>
      </w:r>
      <w:r w:rsidR="00413E1E">
        <w:rPr>
          <w:snapToGrid w:val="0"/>
        </w:rPr>
        <w:t>The above</w:t>
      </w:r>
      <w:r w:rsidR="00FD48D0">
        <w:rPr>
          <w:snapToGrid w:val="0"/>
        </w:rPr>
        <w:t>-mentioned</w:t>
      </w:r>
      <w:r w:rsidR="00413E1E">
        <w:rPr>
          <w:snapToGrid w:val="0"/>
        </w:rPr>
        <w:t xml:space="preserve"> decision was confirmed </w:t>
      </w:r>
      <w:r w:rsidR="0092246A">
        <w:rPr>
          <w:snapToGrid w:val="0"/>
        </w:rPr>
        <w:t xml:space="preserve">by the Refugee Review Tribunal </w:t>
      </w:r>
      <w:r w:rsidR="00413E1E">
        <w:rPr>
          <w:snapToGrid w:val="0"/>
        </w:rPr>
        <w:t>on 12 February 2013</w:t>
      </w:r>
      <w:r w:rsidR="0092246A">
        <w:rPr>
          <w:snapToGrid w:val="0"/>
        </w:rPr>
        <w:t>,</w:t>
      </w:r>
      <w:r w:rsidR="00413E1E">
        <w:rPr>
          <w:snapToGrid w:val="0"/>
        </w:rPr>
        <w:t xml:space="preserve"> upon appeal</w:t>
      </w:r>
      <w:r w:rsidR="0092246A">
        <w:rPr>
          <w:snapToGrid w:val="0"/>
        </w:rPr>
        <w:t>.</w:t>
      </w:r>
      <w:r w:rsidR="00413E1E">
        <w:rPr>
          <w:snapToGrid w:val="0"/>
        </w:rPr>
        <w:t xml:space="preserve"> </w:t>
      </w:r>
      <w:r>
        <w:rPr>
          <w:snapToGrid w:val="0"/>
        </w:rPr>
        <w:t xml:space="preserve">The </w:t>
      </w:r>
      <w:r w:rsidR="0092246A">
        <w:rPr>
          <w:snapToGrid w:val="0"/>
        </w:rPr>
        <w:t>Refugee Review Tribunal</w:t>
      </w:r>
      <w:r>
        <w:rPr>
          <w:snapToGrid w:val="0"/>
        </w:rPr>
        <w:t xml:space="preserve"> is a specialist external review body </w:t>
      </w:r>
      <w:r w:rsidR="00FD48D0">
        <w:rPr>
          <w:snapToGrid w:val="0"/>
        </w:rPr>
        <w:t>that fully and independently reviews</w:t>
      </w:r>
      <w:r>
        <w:rPr>
          <w:snapToGrid w:val="0"/>
        </w:rPr>
        <w:t xml:space="preserve"> decisions concerning protection visas. The author was present at the hearing and was represented by a registered migration agent. He was able to make oral submissions</w:t>
      </w:r>
      <w:r w:rsidR="0092246A">
        <w:rPr>
          <w:snapToGrid w:val="0"/>
        </w:rPr>
        <w:t>,</w:t>
      </w:r>
      <w:r>
        <w:rPr>
          <w:snapToGrid w:val="0"/>
        </w:rPr>
        <w:t xml:space="preserve"> with the assistance of an interpreter. The </w:t>
      </w:r>
      <w:r w:rsidR="0092246A">
        <w:rPr>
          <w:snapToGrid w:val="0"/>
        </w:rPr>
        <w:t xml:space="preserve">Tribunal </w:t>
      </w:r>
      <w:r>
        <w:rPr>
          <w:snapToGrid w:val="0"/>
        </w:rPr>
        <w:t xml:space="preserve">did not accept that his account of the October 2011 </w:t>
      </w:r>
      <w:r w:rsidR="00FD48D0">
        <w:rPr>
          <w:snapToGrid w:val="0"/>
        </w:rPr>
        <w:t xml:space="preserve">events </w:t>
      </w:r>
      <w:r>
        <w:rPr>
          <w:snapToGrid w:val="0"/>
        </w:rPr>
        <w:t xml:space="preserve">was credible, finding it implausible that an unknown group of men would threaten the complainant because of his scar and </w:t>
      </w:r>
      <w:r w:rsidR="00FD48D0">
        <w:rPr>
          <w:snapToGrid w:val="0"/>
        </w:rPr>
        <w:t xml:space="preserve">would </w:t>
      </w:r>
      <w:r>
        <w:rPr>
          <w:snapToGrid w:val="0"/>
        </w:rPr>
        <w:t xml:space="preserve">beat his father, </w:t>
      </w:r>
      <w:r w:rsidR="00FD48D0">
        <w:rPr>
          <w:snapToGrid w:val="0"/>
        </w:rPr>
        <w:t xml:space="preserve">and </w:t>
      </w:r>
      <w:r>
        <w:rPr>
          <w:snapToGrid w:val="0"/>
        </w:rPr>
        <w:t xml:space="preserve">yet </w:t>
      </w:r>
      <w:r w:rsidR="00FD48D0">
        <w:rPr>
          <w:snapToGrid w:val="0"/>
        </w:rPr>
        <w:t xml:space="preserve">would </w:t>
      </w:r>
      <w:r>
        <w:rPr>
          <w:snapToGrid w:val="0"/>
        </w:rPr>
        <w:t xml:space="preserve">not take any steps to detain or otherwise pursue him. </w:t>
      </w:r>
      <w:r w:rsidR="0092246A">
        <w:rPr>
          <w:snapToGrid w:val="0"/>
        </w:rPr>
        <w:t>Neither did the Tribunal</w:t>
      </w:r>
      <w:r>
        <w:rPr>
          <w:snapToGrid w:val="0"/>
        </w:rPr>
        <w:t xml:space="preserve"> accept that the March 2012 </w:t>
      </w:r>
      <w:r w:rsidR="00FD48D0">
        <w:rPr>
          <w:snapToGrid w:val="0"/>
        </w:rPr>
        <w:t xml:space="preserve">events </w:t>
      </w:r>
      <w:r>
        <w:rPr>
          <w:snapToGrid w:val="0"/>
        </w:rPr>
        <w:t xml:space="preserve">had occurred, because it did not accept that scarring would be a reason for a paramilitary group working outside the law to target the complainant for recruitment. The </w:t>
      </w:r>
      <w:r w:rsidR="005B6B56">
        <w:rPr>
          <w:snapToGrid w:val="0"/>
        </w:rPr>
        <w:t xml:space="preserve">Tribunal </w:t>
      </w:r>
      <w:r>
        <w:rPr>
          <w:snapToGrid w:val="0"/>
        </w:rPr>
        <w:t xml:space="preserve">concluded that the complainant did not have a well-founded fear of being apprehended by the </w:t>
      </w:r>
      <w:r w:rsidR="00B728DA" w:rsidRPr="00B728DA">
        <w:rPr>
          <w:snapToGrid w:val="0"/>
        </w:rPr>
        <w:t>Sri Lanka Army</w:t>
      </w:r>
      <w:r>
        <w:rPr>
          <w:snapToGrid w:val="0"/>
        </w:rPr>
        <w:t xml:space="preserve"> in the future</w:t>
      </w:r>
      <w:r w:rsidR="00093F2C">
        <w:rPr>
          <w:snapToGrid w:val="0"/>
        </w:rPr>
        <w:t xml:space="preserve"> due to his scar and/or an imputed association with the </w:t>
      </w:r>
      <w:r w:rsidR="00B73CD7">
        <w:rPr>
          <w:snapToGrid w:val="0"/>
        </w:rPr>
        <w:t>Liberation Tigers of Tamil Eelam</w:t>
      </w:r>
      <w:r w:rsidR="001E4EA8">
        <w:rPr>
          <w:snapToGrid w:val="0"/>
        </w:rPr>
        <w:t>,</w:t>
      </w:r>
      <w:r w:rsidR="00093F2C">
        <w:rPr>
          <w:snapToGrid w:val="0"/>
        </w:rPr>
        <w:t xml:space="preserve"> or </w:t>
      </w:r>
      <w:r w:rsidR="001E4EA8">
        <w:rPr>
          <w:snapToGrid w:val="0"/>
        </w:rPr>
        <w:t xml:space="preserve">of </w:t>
      </w:r>
      <w:r w:rsidR="00093F2C">
        <w:rPr>
          <w:snapToGrid w:val="0"/>
        </w:rPr>
        <w:t xml:space="preserve">being abducted or recruited by any paramilitary group. The </w:t>
      </w:r>
      <w:r w:rsidR="005B6B56">
        <w:rPr>
          <w:snapToGrid w:val="0"/>
        </w:rPr>
        <w:t xml:space="preserve">Tribunal </w:t>
      </w:r>
      <w:r w:rsidR="00093F2C">
        <w:rPr>
          <w:snapToGrid w:val="0"/>
        </w:rPr>
        <w:t>did not consider that the complainant would face persecution solely on the basis of his Tamil ethnicity</w:t>
      </w:r>
      <w:r w:rsidR="005B6B56">
        <w:rPr>
          <w:snapToGrid w:val="0"/>
        </w:rPr>
        <w:t>,</w:t>
      </w:r>
      <w:r w:rsidR="00093F2C">
        <w:rPr>
          <w:snapToGrid w:val="0"/>
        </w:rPr>
        <w:t xml:space="preserve"> either. It found that upon return to Sri Lanka</w:t>
      </w:r>
      <w:r w:rsidR="001E4EA8">
        <w:rPr>
          <w:snapToGrid w:val="0"/>
        </w:rPr>
        <w:t>,</w:t>
      </w:r>
      <w:r w:rsidR="00093F2C">
        <w:rPr>
          <w:snapToGrid w:val="0"/>
        </w:rPr>
        <w:t xml:space="preserve"> the complainant might experience a delay in having his entry processed and may be detained and fined before being released, but decided that the above did not engage the State party’s non-refoulement obligations.</w:t>
      </w:r>
    </w:p>
    <w:p w:rsidR="00093F2C" w:rsidRDefault="00093F2C" w:rsidP="001E4EA8">
      <w:pPr>
        <w:pStyle w:val="SingleTxtG"/>
        <w:rPr>
          <w:snapToGrid w:val="0"/>
        </w:rPr>
      </w:pPr>
      <w:r>
        <w:rPr>
          <w:snapToGrid w:val="0"/>
        </w:rPr>
        <w:t>4.7</w:t>
      </w:r>
      <w:r>
        <w:rPr>
          <w:snapToGrid w:val="0"/>
        </w:rPr>
        <w:tab/>
        <w:t>On 20 March 2013, the complainant applied for a judicial review of the decision</w:t>
      </w:r>
      <w:r w:rsidR="005B6B56">
        <w:rPr>
          <w:snapToGrid w:val="0"/>
        </w:rPr>
        <w:t xml:space="preserve"> of the Refugee Review Tribunal</w:t>
      </w:r>
      <w:r>
        <w:rPr>
          <w:snapToGrid w:val="0"/>
        </w:rPr>
        <w:t xml:space="preserve">, claiming that the </w:t>
      </w:r>
      <w:r w:rsidR="005B6B56">
        <w:rPr>
          <w:snapToGrid w:val="0"/>
        </w:rPr>
        <w:t xml:space="preserve">Tribunal </w:t>
      </w:r>
      <w:r>
        <w:rPr>
          <w:snapToGrid w:val="0"/>
        </w:rPr>
        <w:t>had failed to consider his claims that if returned he would be remanded for a lengthy period and subjected to penalties under the Immigrants and Emigrants Act, which include</w:t>
      </w:r>
      <w:r w:rsidR="001E4EA8">
        <w:rPr>
          <w:snapToGrid w:val="0"/>
        </w:rPr>
        <w:t>d</w:t>
      </w:r>
      <w:r>
        <w:rPr>
          <w:snapToGrid w:val="0"/>
        </w:rPr>
        <w:t xml:space="preserve"> up to 18 months of imprisonment. On 17 January 2014, the </w:t>
      </w:r>
      <w:r w:rsidR="001E4EA8" w:rsidRPr="001E4EA8">
        <w:rPr>
          <w:snapToGrid w:val="0"/>
        </w:rPr>
        <w:t>Federal Circuit Court</w:t>
      </w:r>
      <w:r>
        <w:rPr>
          <w:snapToGrid w:val="0"/>
        </w:rPr>
        <w:t xml:space="preserve"> considered that the </w:t>
      </w:r>
      <w:r w:rsidR="005B6B56">
        <w:rPr>
          <w:snapToGrid w:val="0"/>
        </w:rPr>
        <w:t>Refugee Review Tribunal</w:t>
      </w:r>
      <w:r>
        <w:rPr>
          <w:snapToGrid w:val="0"/>
        </w:rPr>
        <w:t xml:space="preserve"> had determined that the author would not be subject to arbitrary or lengthy dete</w:t>
      </w:r>
      <w:r w:rsidR="003715A9">
        <w:rPr>
          <w:snapToGrid w:val="0"/>
        </w:rPr>
        <w:t>ntion upon return</w:t>
      </w:r>
      <w:r w:rsidR="001E4EA8">
        <w:rPr>
          <w:snapToGrid w:val="0"/>
        </w:rPr>
        <w:t>ing</w:t>
      </w:r>
      <w:r>
        <w:rPr>
          <w:snapToGrid w:val="0"/>
        </w:rPr>
        <w:t xml:space="preserve"> </w:t>
      </w:r>
      <w:r w:rsidR="003715A9">
        <w:rPr>
          <w:snapToGrid w:val="0"/>
        </w:rPr>
        <w:t xml:space="preserve">to Sri Lanka. </w:t>
      </w:r>
      <w:r w:rsidR="001E4EA8">
        <w:rPr>
          <w:snapToGrid w:val="0"/>
        </w:rPr>
        <w:t xml:space="preserve">The </w:t>
      </w:r>
      <w:r w:rsidR="001E4EA8" w:rsidRPr="001E4EA8">
        <w:rPr>
          <w:snapToGrid w:val="0"/>
        </w:rPr>
        <w:t>Federal Circuit Court</w:t>
      </w:r>
      <w:r w:rsidR="00C05A5A">
        <w:rPr>
          <w:snapToGrid w:val="0"/>
        </w:rPr>
        <w:t xml:space="preserve"> concluded that the complainant’s claims had been dealt with </w:t>
      </w:r>
      <w:r w:rsidR="001E4EA8">
        <w:rPr>
          <w:snapToGrid w:val="0"/>
        </w:rPr>
        <w:t xml:space="preserve">sufficiently </w:t>
      </w:r>
      <w:r w:rsidR="00C05A5A">
        <w:rPr>
          <w:snapToGrid w:val="0"/>
        </w:rPr>
        <w:t xml:space="preserve">by the </w:t>
      </w:r>
      <w:r w:rsidR="00E10234">
        <w:rPr>
          <w:snapToGrid w:val="0"/>
        </w:rPr>
        <w:t>Refugee Review Tribunal</w:t>
      </w:r>
      <w:r w:rsidR="00C05A5A">
        <w:rPr>
          <w:snapToGrid w:val="0"/>
        </w:rPr>
        <w:t xml:space="preserve"> and dismissed the application for a judicial review.</w:t>
      </w:r>
    </w:p>
    <w:p w:rsidR="00C05A5A" w:rsidRDefault="00C05A5A" w:rsidP="001E4EA8">
      <w:pPr>
        <w:pStyle w:val="SingleTxtG"/>
        <w:rPr>
          <w:snapToGrid w:val="0"/>
        </w:rPr>
      </w:pPr>
      <w:r>
        <w:rPr>
          <w:snapToGrid w:val="0"/>
        </w:rPr>
        <w:t>4.8</w:t>
      </w:r>
      <w:r>
        <w:rPr>
          <w:snapToGrid w:val="0"/>
        </w:rPr>
        <w:tab/>
        <w:t xml:space="preserve">On 21 February 2014, the complainant made a request for </w:t>
      </w:r>
      <w:r w:rsidR="007527B0">
        <w:rPr>
          <w:snapToGrid w:val="0"/>
        </w:rPr>
        <w:t>m</w:t>
      </w:r>
      <w:r>
        <w:rPr>
          <w:snapToGrid w:val="0"/>
        </w:rPr>
        <w:t xml:space="preserve">inisterial </w:t>
      </w:r>
      <w:r w:rsidR="007527B0">
        <w:rPr>
          <w:snapToGrid w:val="0"/>
        </w:rPr>
        <w:t>i</w:t>
      </w:r>
      <w:r>
        <w:rPr>
          <w:snapToGrid w:val="0"/>
        </w:rPr>
        <w:t xml:space="preserve">ntervention under sections 417 and 48B of the Migration Act 1958. His claims were assessed and found not to meet the criteria for </w:t>
      </w:r>
      <w:r w:rsidR="007527B0">
        <w:rPr>
          <w:snapToGrid w:val="0"/>
        </w:rPr>
        <w:t>m</w:t>
      </w:r>
      <w:r>
        <w:rPr>
          <w:snapToGrid w:val="0"/>
        </w:rPr>
        <w:t xml:space="preserve">inisterial </w:t>
      </w:r>
      <w:r w:rsidR="007527B0">
        <w:rPr>
          <w:snapToGrid w:val="0"/>
        </w:rPr>
        <w:t>i</w:t>
      </w:r>
      <w:r>
        <w:rPr>
          <w:snapToGrid w:val="0"/>
        </w:rPr>
        <w:t xml:space="preserve">ntervention. The decision maker did not consider that there was any new information or evidence to contradict the </w:t>
      </w:r>
      <w:r w:rsidR="005B6B56">
        <w:rPr>
          <w:snapToGrid w:val="0"/>
        </w:rPr>
        <w:t>Refugee Review Tribunal’s</w:t>
      </w:r>
      <w:r>
        <w:rPr>
          <w:snapToGrid w:val="0"/>
        </w:rPr>
        <w:t xml:space="preserve"> findings.</w:t>
      </w:r>
    </w:p>
    <w:p w:rsidR="00C05A5A" w:rsidRPr="004C63E9" w:rsidRDefault="00C05A5A" w:rsidP="00D67CE1">
      <w:pPr>
        <w:pStyle w:val="SingleTxtG"/>
        <w:rPr>
          <w:snapToGrid w:val="0"/>
        </w:rPr>
      </w:pPr>
      <w:r>
        <w:rPr>
          <w:snapToGrid w:val="0"/>
        </w:rPr>
        <w:t>4.9</w:t>
      </w:r>
      <w:r>
        <w:rPr>
          <w:snapToGrid w:val="0"/>
        </w:rPr>
        <w:tab/>
        <w:t>The State party further submitted that the complainant</w:t>
      </w:r>
      <w:r w:rsidR="0045300B">
        <w:rPr>
          <w:snapToGrid w:val="0"/>
        </w:rPr>
        <w:t xml:space="preserve"> had claimed that he ma</w:t>
      </w:r>
      <w:r>
        <w:rPr>
          <w:snapToGrid w:val="0"/>
        </w:rPr>
        <w:t>y be held by the Sri Lankan authorities for a longer period of time because his passport had been used as evidence in a people</w:t>
      </w:r>
      <w:r w:rsidR="00CD0050">
        <w:rPr>
          <w:snapToGrid w:val="0"/>
        </w:rPr>
        <w:t>-</w:t>
      </w:r>
      <w:r>
        <w:rPr>
          <w:snapToGrid w:val="0"/>
        </w:rPr>
        <w:t xml:space="preserve">smuggling case and as a result </w:t>
      </w:r>
      <w:r w:rsidR="0045300B">
        <w:rPr>
          <w:snapToGrid w:val="0"/>
        </w:rPr>
        <w:t>he was at risk of torture</w:t>
      </w:r>
      <w:r w:rsidR="00CD0050">
        <w:rPr>
          <w:snapToGrid w:val="0"/>
        </w:rPr>
        <w:t xml:space="preserve"> and</w:t>
      </w:r>
      <w:r w:rsidR="0045300B">
        <w:rPr>
          <w:snapToGrid w:val="0"/>
        </w:rPr>
        <w:t xml:space="preserve"> cruel </w:t>
      </w:r>
      <w:r w:rsidR="00CD0050">
        <w:rPr>
          <w:snapToGrid w:val="0"/>
        </w:rPr>
        <w:t xml:space="preserve">or </w:t>
      </w:r>
      <w:r w:rsidR="0045300B">
        <w:rPr>
          <w:snapToGrid w:val="0"/>
        </w:rPr>
        <w:t xml:space="preserve">inhuman treatment </w:t>
      </w:r>
      <w:r w:rsidR="00CD0050">
        <w:rPr>
          <w:snapToGrid w:val="0"/>
        </w:rPr>
        <w:t xml:space="preserve">or </w:t>
      </w:r>
      <w:r w:rsidR="0045300B">
        <w:rPr>
          <w:snapToGrid w:val="0"/>
        </w:rPr>
        <w:t xml:space="preserve">punishment by </w:t>
      </w:r>
      <w:r w:rsidR="00CD0050">
        <w:rPr>
          <w:snapToGrid w:val="0"/>
        </w:rPr>
        <w:t xml:space="preserve">the </w:t>
      </w:r>
      <w:r w:rsidR="0045300B">
        <w:rPr>
          <w:snapToGrid w:val="0"/>
        </w:rPr>
        <w:t>Sri Lankan authorities. The Department of Immigration and Citizenship assessed th</w:t>
      </w:r>
      <w:r w:rsidR="00CD0050">
        <w:rPr>
          <w:snapToGrid w:val="0"/>
        </w:rPr>
        <w:t>o</w:t>
      </w:r>
      <w:r w:rsidR="0045300B">
        <w:rPr>
          <w:snapToGrid w:val="0"/>
        </w:rPr>
        <w:t xml:space="preserve">se claims and concluded that they were not credible, since there was no information suggesting that </w:t>
      </w:r>
      <w:r w:rsidR="00CD0050">
        <w:rPr>
          <w:snapToGrid w:val="0"/>
        </w:rPr>
        <w:t>he</w:t>
      </w:r>
      <w:r w:rsidR="0045300B">
        <w:rPr>
          <w:snapToGrid w:val="0"/>
        </w:rPr>
        <w:t xml:space="preserve"> was suspected of </w:t>
      </w:r>
      <w:r w:rsidR="00CD0050">
        <w:rPr>
          <w:snapToGrid w:val="0"/>
        </w:rPr>
        <w:t>having taken</w:t>
      </w:r>
      <w:r w:rsidR="0045300B">
        <w:rPr>
          <w:snapToGrid w:val="0"/>
        </w:rPr>
        <w:t xml:space="preserve"> part in people</w:t>
      </w:r>
      <w:r w:rsidR="00CD0050">
        <w:rPr>
          <w:snapToGrid w:val="0"/>
        </w:rPr>
        <w:t>-</w:t>
      </w:r>
      <w:r w:rsidR="0045300B">
        <w:rPr>
          <w:snapToGrid w:val="0"/>
        </w:rPr>
        <w:t xml:space="preserve">smuggling activities. The complainant had also claimed that he would </w:t>
      </w:r>
      <w:r w:rsidR="00CD0050">
        <w:rPr>
          <w:snapToGrid w:val="0"/>
        </w:rPr>
        <w:t>be unable</w:t>
      </w:r>
      <w:r w:rsidR="0045300B">
        <w:rPr>
          <w:snapToGrid w:val="0"/>
        </w:rPr>
        <w:t xml:space="preserve"> to relocate within Sri Lanka</w:t>
      </w:r>
      <w:r w:rsidR="00CD0050">
        <w:rPr>
          <w:snapToGrid w:val="0"/>
        </w:rPr>
        <w:t>,</w:t>
      </w:r>
      <w:r w:rsidR="0045300B">
        <w:rPr>
          <w:snapToGrid w:val="0"/>
        </w:rPr>
        <w:t xml:space="preserve"> since the </w:t>
      </w:r>
      <w:r w:rsidR="00CD0050">
        <w:rPr>
          <w:snapToGrid w:val="0"/>
        </w:rPr>
        <w:t>S</w:t>
      </w:r>
      <w:r w:rsidR="0045300B">
        <w:rPr>
          <w:snapToGrid w:val="0"/>
        </w:rPr>
        <w:t>tate authorities control</w:t>
      </w:r>
      <w:r w:rsidR="00CD0050">
        <w:rPr>
          <w:snapToGrid w:val="0"/>
        </w:rPr>
        <w:t>led</w:t>
      </w:r>
      <w:r w:rsidR="0045300B">
        <w:rPr>
          <w:snapToGrid w:val="0"/>
        </w:rPr>
        <w:t xml:space="preserve"> the entire country </w:t>
      </w:r>
      <w:r w:rsidR="00D67CE1">
        <w:rPr>
          <w:snapToGrid w:val="0"/>
        </w:rPr>
        <w:t xml:space="preserve">now </w:t>
      </w:r>
      <w:r w:rsidR="0045300B">
        <w:rPr>
          <w:snapToGrid w:val="0"/>
        </w:rPr>
        <w:t xml:space="preserve">and persons </w:t>
      </w:r>
      <w:r w:rsidR="00D67CE1">
        <w:rPr>
          <w:snapToGrid w:val="0"/>
        </w:rPr>
        <w:t xml:space="preserve">who had departed illegally </w:t>
      </w:r>
      <w:r w:rsidR="0045300B">
        <w:rPr>
          <w:snapToGrid w:val="0"/>
        </w:rPr>
        <w:t xml:space="preserve">and/or failed asylum seekers </w:t>
      </w:r>
      <w:r w:rsidR="00D67CE1">
        <w:rPr>
          <w:snapToGrid w:val="0"/>
        </w:rPr>
        <w:t>we</w:t>
      </w:r>
      <w:r w:rsidR="0045300B">
        <w:rPr>
          <w:snapToGrid w:val="0"/>
        </w:rPr>
        <w:t>re taken into custody upon</w:t>
      </w:r>
      <w:r w:rsidR="00D67CE1">
        <w:rPr>
          <w:snapToGrid w:val="0"/>
        </w:rPr>
        <w:t xml:space="preserve"> their</w:t>
      </w:r>
      <w:r w:rsidR="0045300B">
        <w:rPr>
          <w:snapToGrid w:val="0"/>
        </w:rPr>
        <w:t xml:space="preserve"> arrival in Sri Lanka. </w:t>
      </w:r>
      <w:r w:rsidR="00D67CE1">
        <w:rPr>
          <w:snapToGrid w:val="0"/>
        </w:rPr>
        <w:t>That</w:t>
      </w:r>
      <w:r w:rsidR="00B90DFD">
        <w:rPr>
          <w:snapToGrid w:val="0"/>
        </w:rPr>
        <w:t xml:space="preserve"> claim had</w:t>
      </w:r>
      <w:r w:rsidR="0045300B">
        <w:rPr>
          <w:snapToGrid w:val="0"/>
        </w:rPr>
        <w:t xml:space="preserve"> been </w:t>
      </w:r>
      <w:r w:rsidR="00B90DFD">
        <w:rPr>
          <w:snapToGrid w:val="0"/>
        </w:rPr>
        <w:t xml:space="preserve">considered at the protection visa stage, </w:t>
      </w:r>
      <w:r w:rsidR="00D67CE1">
        <w:rPr>
          <w:snapToGrid w:val="0"/>
        </w:rPr>
        <w:t>and</w:t>
      </w:r>
      <w:r w:rsidR="00B90DFD">
        <w:rPr>
          <w:snapToGrid w:val="0"/>
        </w:rPr>
        <w:t xml:space="preserve"> the decision maker had concluded that the author did not have a profile with </w:t>
      </w:r>
      <w:r w:rsidR="00FC3942">
        <w:rPr>
          <w:snapToGrid w:val="0"/>
        </w:rPr>
        <w:t xml:space="preserve">the </w:t>
      </w:r>
      <w:r w:rsidR="00B90DFD">
        <w:rPr>
          <w:snapToGrid w:val="0"/>
        </w:rPr>
        <w:t>Sri Lankan authorities and could live elsewhere in Sri Lanka.</w:t>
      </w:r>
    </w:p>
    <w:p w:rsidR="00775D23" w:rsidRPr="00DF23DE" w:rsidRDefault="007821E7" w:rsidP="007821E7">
      <w:pPr>
        <w:pStyle w:val="H23G"/>
        <w:rPr>
          <w:snapToGrid w:val="0"/>
        </w:rPr>
      </w:pPr>
      <w:r w:rsidRPr="00DF23DE">
        <w:rPr>
          <w:snapToGrid w:val="0"/>
        </w:rPr>
        <w:lastRenderedPageBreak/>
        <w:tab/>
      </w:r>
      <w:r w:rsidRPr="00DF23DE">
        <w:rPr>
          <w:snapToGrid w:val="0"/>
        </w:rPr>
        <w:tab/>
      </w:r>
      <w:r w:rsidR="00B90DFD" w:rsidRPr="00DF23DE">
        <w:rPr>
          <w:snapToGrid w:val="0"/>
        </w:rPr>
        <w:t>Complainant’s comments on the State party’s observations</w:t>
      </w:r>
    </w:p>
    <w:p w:rsidR="00045109" w:rsidRDefault="00775D23">
      <w:pPr>
        <w:pStyle w:val="SingleTxtG"/>
        <w:rPr>
          <w:snapToGrid w:val="0"/>
          <w:lang w:val="en-AU"/>
        </w:rPr>
      </w:pPr>
      <w:r w:rsidRPr="00DF23DE">
        <w:rPr>
          <w:snapToGrid w:val="0"/>
        </w:rPr>
        <w:t>5.</w:t>
      </w:r>
      <w:r w:rsidR="00045109">
        <w:rPr>
          <w:snapToGrid w:val="0"/>
        </w:rPr>
        <w:t>1</w:t>
      </w:r>
      <w:r w:rsidR="003A40BB">
        <w:rPr>
          <w:snapToGrid w:val="0"/>
        </w:rPr>
        <w:tab/>
      </w:r>
      <w:r w:rsidR="00045109" w:rsidRPr="00045109">
        <w:rPr>
          <w:snapToGrid w:val="0"/>
          <w:lang w:val="en-AU"/>
        </w:rPr>
        <w:t xml:space="preserve">On 13 August 2015, the complainant disputed the State party’s submission that his </w:t>
      </w:r>
      <w:r w:rsidR="00B90DFD" w:rsidRPr="00045109">
        <w:rPr>
          <w:snapToGrid w:val="0"/>
          <w:lang w:val="en-AU"/>
        </w:rPr>
        <w:t xml:space="preserve">allegations </w:t>
      </w:r>
      <w:r w:rsidR="00D67CE1">
        <w:rPr>
          <w:snapToGrid w:val="0"/>
          <w:lang w:val="en-AU"/>
        </w:rPr>
        <w:t>we</w:t>
      </w:r>
      <w:r w:rsidR="00B90DFD" w:rsidRPr="00045109">
        <w:rPr>
          <w:snapToGrid w:val="0"/>
          <w:lang w:val="en-AU"/>
        </w:rPr>
        <w:t>re inadmissible and without merit</w:t>
      </w:r>
      <w:r w:rsidR="00045109" w:rsidRPr="00045109">
        <w:rPr>
          <w:snapToGrid w:val="0"/>
          <w:lang w:val="en-AU"/>
        </w:rPr>
        <w:t xml:space="preserve"> and </w:t>
      </w:r>
      <w:r w:rsidR="009F0A3E">
        <w:rPr>
          <w:snapToGrid w:val="0"/>
          <w:lang w:val="en-AU"/>
        </w:rPr>
        <w:t xml:space="preserve">maintained </w:t>
      </w:r>
      <w:r w:rsidR="00B90DFD" w:rsidRPr="00045109">
        <w:rPr>
          <w:snapToGrid w:val="0"/>
          <w:lang w:val="en-AU"/>
        </w:rPr>
        <w:t>that his peculiar circumstances render</w:t>
      </w:r>
      <w:r w:rsidR="00045109" w:rsidRPr="00045109">
        <w:rPr>
          <w:snapToGrid w:val="0"/>
          <w:lang w:val="en-AU"/>
        </w:rPr>
        <w:t>ed</w:t>
      </w:r>
      <w:r w:rsidR="00B90DFD" w:rsidRPr="00045109">
        <w:rPr>
          <w:snapToGrid w:val="0"/>
          <w:lang w:val="en-AU"/>
        </w:rPr>
        <w:t xml:space="preserve"> him susceptible </w:t>
      </w:r>
      <w:r w:rsidR="000B1102">
        <w:rPr>
          <w:snapToGrid w:val="0"/>
          <w:lang w:val="en-AU"/>
        </w:rPr>
        <w:t>to</w:t>
      </w:r>
      <w:r w:rsidR="000B1102" w:rsidRPr="00045109">
        <w:rPr>
          <w:snapToGrid w:val="0"/>
          <w:lang w:val="en-AU"/>
        </w:rPr>
        <w:t xml:space="preserve"> </w:t>
      </w:r>
      <w:r w:rsidR="00B90DFD" w:rsidRPr="00045109">
        <w:rPr>
          <w:snapToGrid w:val="0"/>
          <w:lang w:val="en-AU"/>
        </w:rPr>
        <w:t>torture, forced recruitment by paramilitary organi</w:t>
      </w:r>
      <w:r w:rsidR="000B1102">
        <w:rPr>
          <w:snapToGrid w:val="0"/>
          <w:lang w:val="en-AU"/>
        </w:rPr>
        <w:t>z</w:t>
      </w:r>
      <w:r w:rsidR="00B90DFD" w:rsidRPr="00045109">
        <w:rPr>
          <w:snapToGrid w:val="0"/>
          <w:lang w:val="en-AU"/>
        </w:rPr>
        <w:t>ations and prolonged periods of detention.</w:t>
      </w:r>
      <w:r w:rsidR="00045109" w:rsidRPr="00045109">
        <w:rPr>
          <w:snapToGrid w:val="0"/>
          <w:lang w:val="en-AU"/>
        </w:rPr>
        <w:t xml:space="preserve"> He refer</w:t>
      </w:r>
      <w:r w:rsidR="000B1102">
        <w:rPr>
          <w:snapToGrid w:val="0"/>
          <w:lang w:val="en-AU"/>
        </w:rPr>
        <w:t>red</w:t>
      </w:r>
      <w:r w:rsidR="00045109" w:rsidRPr="00045109">
        <w:rPr>
          <w:snapToGrid w:val="0"/>
          <w:lang w:val="en-AU"/>
        </w:rPr>
        <w:t xml:space="preserve"> to the findings of the </w:t>
      </w:r>
      <w:r w:rsidR="00B90DFD" w:rsidRPr="00592184">
        <w:rPr>
          <w:snapToGrid w:val="0"/>
          <w:lang w:val="en-AU"/>
        </w:rPr>
        <w:t>European Court of Human Rights</w:t>
      </w:r>
      <w:r w:rsidR="00045109" w:rsidRPr="00592184">
        <w:rPr>
          <w:i/>
          <w:iCs/>
          <w:snapToGrid w:val="0"/>
          <w:lang w:val="en-AU"/>
        </w:rPr>
        <w:t xml:space="preserve"> </w:t>
      </w:r>
      <w:r w:rsidR="00045109" w:rsidRPr="00592184">
        <w:rPr>
          <w:iCs/>
          <w:snapToGrid w:val="0"/>
          <w:lang w:val="en-AU"/>
        </w:rPr>
        <w:t xml:space="preserve">in </w:t>
      </w:r>
      <w:r w:rsidR="00B90DFD" w:rsidRPr="00592184">
        <w:rPr>
          <w:i/>
          <w:iCs/>
          <w:snapToGrid w:val="0"/>
          <w:lang w:val="en-AU"/>
        </w:rPr>
        <w:t>NA</w:t>
      </w:r>
      <w:r w:rsidR="00592184">
        <w:rPr>
          <w:i/>
          <w:iCs/>
          <w:snapToGrid w:val="0"/>
          <w:lang w:val="en-AU"/>
        </w:rPr>
        <w:t>.</w:t>
      </w:r>
      <w:r w:rsidR="00B90DFD" w:rsidRPr="00592184">
        <w:rPr>
          <w:i/>
          <w:iCs/>
          <w:snapToGrid w:val="0"/>
          <w:lang w:val="en-AU"/>
        </w:rPr>
        <w:t xml:space="preserve"> v</w:t>
      </w:r>
      <w:r w:rsidR="00592184">
        <w:rPr>
          <w:i/>
          <w:iCs/>
          <w:snapToGrid w:val="0"/>
          <w:lang w:val="en-AU"/>
        </w:rPr>
        <w:t>.</w:t>
      </w:r>
      <w:r w:rsidR="00B90DFD" w:rsidRPr="00592184">
        <w:rPr>
          <w:i/>
          <w:iCs/>
          <w:snapToGrid w:val="0"/>
          <w:lang w:val="en-AU"/>
        </w:rPr>
        <w:t xml:space="preserve"> </w:t>
      </w:r>
      <w:r w:rsidR="00592184">
        <w:rPr>
          <w:i/>
          <w:iCs/>
          <w:snapToGrid w:val="0"/>
          <w:lang w:val="en-AU"/>
        </w:rPr>
        <w:t xml:space="preserve">the </w:t>
      </w:r>
      <w:r w:rsidR="00B90DFD" w:rsidRPr="00592184">
        <w:rPr>
          <w:i/>
          <w:iCs/>
          <w:snapToGrid w:val="0"/>
          <w:lang w:val="en-AU"/>
        </w:rPr>
        <w:t>United Kingdom</w:t>
      </w:r>
      <w:r w:rsidR="00D04EDC" w:rsidRPr="003A40BB">
        <w:rPr>
          <w:rStyle w:val="FootnoteReference"/>
          <w:snapToGrid w:val="0"/>
          <w:lang w:val="en-AU"/>
        </w:rPr>
        <w:footnoteReference w:id="5"/>
      </w:r>
      <w:r w:rsidR="001A7F0C" w:rsidRPr="00592184">
        <w:rPr>
          <w:i/>
          <w:iCs/>
          <w:snapToGrid w:val="0"/>
          <w:lang w:val="en-AU"/>
        </w:rPr>
        <w:t xml:space="preserve"> </w:t>
      </w:r>
      <w:r w:rsidR="00045109" w:rsidRPr="00592184">
        <w:rPr>
          <w:iCs/>
          <w:snapToGrid w:val="0"/>
          <w:lang w:val="en-AU"/>
        </w:rPr>
        <w:t>and</w:t>
      </w:r>
      <w:r w:rsidR="00045109" w:rsidRPr="00045109">
        <w:rPr>
          <w:iCs/>
          <w:snapToGrid w:val="0"/>
          <w:lang w:val="en-AU"/>
        </w:rPr>
        <w:t xml:space="preserve"> maintained that in his case </w:t>
      </w:r>
      <w:r w:rsidR="000B1102">
        <w:rPr>
          <w:iCs/>
          <w:snapToGrid w:val="0"/>
          <w:lang w:val="en-AU"/>
        </w:rPr>
        <w:t xml:space="preserve">too </w:t>
      </w:r>
      <w:r w:rsidR="00045109" w:rsidRPr="00045109">
        <w:rPr>
          <w:iCs/>
          <w:snapToGrid w:val="0"/>
          <w:lang w:val="en-AU"/>
        </w:rPr>
        <w:t xml:space="preserve">there was a </w:t>
      </w:r>
      <w:r w:rsidR="00B90DFD" w:rsidRPr="00045109">
        <w:rPr>
          <w:snapToGrid w:val="0"/>
          <w:lang w:val="en-AU"/>
        </w:rPr>
        <w:t>clear danger of being strip</w:t>
      </w:r>
      <w:r w:rsidR="000B1102">
        <w:rPr>
          <w:snapToGrid w:val="0"/>
          <w:lang w:val="en-AU"/>
        </w:rPr>
        <w:t>-</w:t>
      </w:r>
      <w:r w:rsidR="00B90DFD" w:rsidRPr="00045109">
        <w:rPr>
          <w:snapToGrid w:val="0"/>
          <w:lang w:val="en-AU"/>
        </w:rPr>
        <w:t xml:space="preserve">searched in the </w:t>
      </w:r>
      <w:r w:rsidR="00045109" w:rsidRPr="00045109">
        <w:rPr>
          <w:snapToGrid w:val="0"/>
          <w:lang w:val="en-AU"/>
        </w:rPr>
        <w:t>a</w:t>
      </w:r>
      <w:r w:rsidR="00B90DFD" w:rsidRPr="00045109">
        <w:rPr>
          <w:snapToGrid w:val="0"/>
          <w:lang w:val="en-AU"/>
        </w:rPr>
        <w:t xml:space="preserve">irport </w:t>
      </w:r>
      <w:r w:rsidR="00045109" w:rsidRPr="00045109">
        <w:rPr>
          <w:snapToGrid w:val="0"/>
          <w:lang w:val="en-AU"/>
        </w:rPr>
        <w:t xml:space="preserve">upon arrival </w:t>
      </w:r>
      <w:r w:rsidR="003248FF">
        <w:rPr>
          <w:snapToGrid w:val="0"/>
          <w:lang w:val="en-AU"/>
        </w:rPr>
        <w:t xml:space="preserve">in Sri Lanka </w:t>
      </w:r>
      <w:r w:rsidR="00B90DFD" w:rsidRPr="00045109">
        <w:rPr>
          <w:snapToGrid w:val="0"/>
          <w:lang w:val="en-AU"/>
        </w:rPr>
        <w:t xml:space="preserve">and an adverse inference to be drawn in the event </w:t>
      </w:r>
      <w:r w:rsidR="00592184">
        <w:rPr>
          <w:snapToGrid w:val="0"/>
          <w:lang w:val="en-AU"/>
        </w:rPr>
        <w:t xml:space="preserve">that </w:t>
      </w:r>
      <w:r w:rsidR="00B90DFD" w:rsidRPr="00045109">
        <w:rPr>
          <w:snapToGrid w:val="0"/>
          <w:lang w:val="en-AU"/>
        </w:rPr>
        <w:t xml:space="preserve">scars </w:t>
      </w:r>
      <w:r w:rsidR="00592184">
        <w:rPr>
          <w:snapToGrid w:val="0"/>
          <w:lang w:val="en-AU"/>
        </w:rPr>
        <w:t>we</w:t>
      </w:r>
      <w:r w:rsidR="00B90DFD" w:rsidRPr="00045109">
        <w:rPr>
          <w:snapToGrid w:val="0"/>
          <w:lang w:val="en-AU"/>
        </w:rPr>
        <w:t xml:space="preserve">re </w:t>
      </w:r>
      <w:r w:rsidR="00592184">
        <w:rPr>
          <w:snapToGrid w:val="0"/>
          <w:lang w:val="en-AU"/>
        </w:rPr>
        <w:t xml:space="preserve">to be </w:t>
      </w:r>
      <w:r w:rsidR="00B90DFD" w:rsidRPr="00045109">
        <w:rPr>
          <w:snapToGrid w:val="0"/>
          <w:lang w:val="en-AU"/>
        </w:rPr>
        <w:t xml:space="preserve">found. </w:t>
      </w:r>
      <w:r w:rsidR="00045109" w:rsidRPr="00045109">
        <w:rPr>
          <w:snapToGrid w:val="0"/>
          <w:lang w:val="en-AU"/>
        </w:rPr>
        <w:t xml:space="preserve">He </w:t>
      </w:r>
      <w:r w:rsidR="009E0997">
        <w:rPr>
          <w:snapToGrid w:val="0"/>
          <w:lang w:val="en-AU"/>
        </w:rPr>
        <w:t>also</w:t>
      </w:r>
      <w:r w:rsidR="009E0997" w:rsidRPr="00045109">
        <w:rPr>
          <w:snapToGrid w:val="0"/>
          <w:lang w:val="en-AU"/>
        </w:rPr>
        <w:t xml:space="preserve"> </w:t>
      </w:r>
      <w:r w:rsidR="00045109" w:rsidRPr="00045109">
        <w:rPr>
          <w:snapToGrid w:val="0"/>
          <w:lang w:val="en-AU"/>
        </w:rPr>
        <w:t xml:space="preserve">referred to the cases of two </w:t>
      </w:r>
      <w:r w:rsidR="00B90DFD" w:rsidRPr="00045109">
        <w:rPr>
          <w:snapToGrid w:val="0"/>
          <w:lang w:val="en-AU"/>
        </w:rPr>
        <w:t>returnees</w:t>
      </w:r>
      <w:r w:rsidR="009E0997">
        <w:rPr>
          <w:snapToGrid w:val="0"/>
          <w:lang w:val="en-AU"/>
        </w:rPr>
        <w:t xml:space="preserve"> from Australia</w:t>
      </w:r>
      <w:r w:rsidR="00B90DFD" w:rsidRPr="00045109">
        <w:rPr>
          <w:snapToGrid w:val="0"/>
          <w:lang w:val="en-AU"/>
        </w:rPr>
        <w:t xml:space="preserve"> to Sri Lanka </w:t>
      </w:r>
      <w:r w:rsidR="00045109" w:rsidRPr="00045109">
        <w:rPr>
          <w:snapToGrid w:val="0"/>
          <w:lang w:val="en-AU"/>
        </w:rPr>
        <w:t xml:space="preserve">who </w:t>
      </w:r>
      <w:r w:rsidR="009E0997">
        <w:rPr>
          <w:snapToGrid w:val="0"/>
          <w:lang w:val="en-AU"/>
        </w:rPr>
        <w:t>had been</w:t>
      </w:r>
      <w:r w:rsidR="00B90DFD" w:rsidRPr="00045109">
        <w:rPr>
          <w:snapToGrid w:val="0"/>
          <w:lang w:val="en-AU"/>
        </w:rPr>
        <w:t xml:space="preserve"> interrogated and tortured</w:t>
      </w:r>
      <w:r w:rsidR="00045109" w:rsidRPr="00045109">
        <w:rPr>
          <w:snapToGrid w:val="0"/>
          <w:lang w:val="en-AU"/>
        </w:rPr>
        <w:t xml:space="preserve"> upon </w:t>
      </w:r>
      <w:r w:rsidR="009E0997">
        <w:rPr>
          <w:snapToGrid w:val="0"/>
          <w:lang w:val="en-AU"/>
        </w:rPr>
        <w:t xml:space="preserve">their </w:t>
      </w:r>
      <w:r w:rsidR="00045109" w:rsidRPr="00045109">
        <w:rPr>
          <w:snapToGrid w:val="0"/>
          <w:lang w:val="en-AU"/>
        </w:rPr>
        <w:t>return</w:t>
      </w:r>
      <w:r w:rsidR="00B90DFD" w:rsidRPr="00045109">
        <w:rPr>
          <w:snapToGrid w:val="0"/>
          <w:lang w:val="en-AU"/>
        </w:rPr>
        <w:t>.</w:t>
      </w:r>
      <w:r w:rsidR="00D04EDC">
        <w:rPr>
          <w:rStyle w:val="FootnoteReference"/>
          <w:snapToGrid w:val="0"/>
          <w:lang w:val="en-AU"/>
        </w:rPr>
        <w:footnoteReference w:id="6"/>
      </w:r>
      <w:r w:rsidR="00045109" w:rsidRPr="00045109">
        <w:rPr>
          <w:snapToGrid w:val="0"/>
          <w:lang w:val="en-AU"/>
        </w:rPr>
        <w:t xml:space="preserve"> </w:t>
      </w:r>
    </w:p>
    <w:p w:rsidR="00045109" w:rsidRDefault="00045109" w:rsidP="00C05BA3">
      <w:pPr>
        <w:pStyle w:val="SingleTxtG"/>
        <w:rPr>
          <w:snapToGrid w:val="0"/>
          <w:lang w:val="en-AU"/>
        </w:rPr>
      </w:pPr>
      <w:r>
        <w:rPr>
          <w:snapToGrid w:val="0"/>
          <w:lang w:val="en-AU"/>
        </w:rPr>
        <w:t>5.2</w:t>
      </w:r>
      <w:r>
        <w:rPr>
          <w:snapToGrid w:val="0"/>
          <w:lang w:val="en-AU"/>
        </w:rPr>
        <w:tab/>
      </w:r>
      <w:r w:rsidRPr="00045109">
        <w:rPr>
          <w:snapToGrid w:val="0"/>
          <w:lang w:val="en-AU"/>
        </w:rPr>
        <w:t xml:space="preserve">The complainant submitted that in his request for </w:t>
      </w:r>
      <w:r w:rsidR="007527B0">
        <w:rPr>
          <w:snapToGrid w:val="0"/>
          <w:lang w:val="en-AU"/>
        </w:rPr>
        <w:t>m</w:t>
      </w:r>
      <w:r w:rsidRPr="00045109">
        <w:rPr>
          <w:snapToGrid w:val="0"/>
          <w:lang w:val="en-AU"/>
        </w:rPr>
        <w:t xml:space="preserve">inisterial </w:t>
      </w:r>
      <w:r w:rsidR="007527B0">
        <w:rPr>
          <w:snapToGrid w:val="0"/>
          <w:lang w:val="en-AU"/>
        </w:rPr>
        <w:t>i</w:t>
      </w:r>
      <w:r w:rsidRPr="00045109">
        <w:rPr>
          <w:snapToGrid w:val="0"/>
          <w:lang w:val="en-AU"/>
        </w:rPr>
        <w:t xml:space="preserve">ntervention he </w:t>
      </w:r>
      <w:r w:rsidR="0079767A">
        <w:rPr>
          <w:snapToGrid w:val="0"/>
          <w:lang w:val="en-AU"/>
        </w:rPr>
        <w:t>had drawn</w:t>
      </w:r>
      <w:r w:rsidR="0079767A" w:rsidRPr="00045109">
        <w:rPr>
          <w:snapToGrid w:val="0"/>
          <w:lang w:val="en-AU"/>
        </w:rPr>
        <w:t xml:space="preserve"> </w:t>
      </w:r>
      <w:r w:rsidR="00B90DFD" w:rsidRPr="00045109">
        <w:rPr>
          <w:snapToGrid w:val="0"/>
          <w:lang w:val="en-AU"/>
        </w:rPr>
        <w:t xml:space="preserve">attention </w:t>
      </w:r>
      <w:r w:rsidRPr="00045109">
        <w:rPr>
          <w:snapToGrid w:val="0"/>
          <w:lang w:val="en-AU"/>
        </w:rPr>
        <w:t>to the</w:t>
      </w:r>
      <w:r w:rsidR="00B90DFD" w:rsidRPr="00045109">
        <w:rPr>
          <w:snapToGrid w:val="0"/>
          <w:lang w:val="en-AU"/>
        </w:rPr>
        <w:t xml:space="preserve"> contradictory positions taken</w:t>
      </w:r>
      <w:r w:rsidR="00782057">
        <w:rPr>
          <w:snapToGrid w:val="0"/>
          <w:lang w:val="en-AU"/>
        </w:rPr>
        <w:t xml:space="preserve"> — to his detriment —</w:t>
      </w:r>
      <w:r w:rsidR="00B90DFD" w:rsidRPr="00045109">
        <w:rPr>
          <w:snapToGrid w:val="0"/>
          <w:lang w:val="en-AU"/>
        </w:rPr>
        <w:t xml:space="preserve"> by the </w:t>
      </w:r>
      <w:r w:rsidR="005B6B56">
        <w:rPr>
          <w:snapToGrid w:val="0"/>
        </w:rPr>
        <w:t>Refugee Review Tribunal</w:t>
      </w:r>
      <w:r w:rsidRPr="00045109">
        <w:rPr>
          <w:snapToGrid w:val="0"/>
          <w:lang w:val="en-AU"/>
        </w:rPr>
        <w:t>, but t</w:t>
      </w:r>
      <w:r w:rsidR="00B90DFD" w:rsidRPr="00045109">
        <w:rPr>
          <w:snapToGrid w:val="0"/>
          <w:lang w:val="en-AU"/>
        </w:rPr>
        <w:t xml:space="preserve">he </w:t>
      </w:r>
      <w:r w:rsidRPr="00045109">
        <w:rPr>
          <w:snapToGrid w:val="0"/>
          <w:lang w:val="en-AU"/>
        </w:rPr>
        <w:t>M</w:t>
      </w:r>
      <w:r w:rsidR="00B90DFD" w:rsidRPr="00045109">
        <w:rPr>
          <w:snapToGrid w:val="0"/>
          <w:lang w:val="en-AU"/>
        </w:rPr>
        <w:t xml:space="preserve">inister </w:t>
      </w:r>
      <w:r w:rsidR="00D05414">
        <w:rPr>
          <w:snapToGrid w:val="0"/>
          <w:lang w:val="en-AU"/>
        </w:rPr>
        <w:t xml:space="preserve">had </w:t>
      </w:r>
      <w:r w:rsidR="00B90DFD" w:rsidRPr="00045109">
        <w:rPr>
          <w:snapToGrid w:val="0"/>
          <w:lang w:val="en-AU"/>
        </w:rPr>
        <w:t>failed to consider the importance of the material placed before him</w:t>
      </w:r>
      <w:r w:rsidRPr="00045109">
        <w:rPr>
          <w:snapToGrid w:val="0"/>
          <w:lang w:val="en-AU"/>
        </w:rPr>
        <w:t xml:space="preserve">. He had cited a </w:t>
      </w:r>
      <w:r w:rsidR="005B6B56">
        <w:rPr>
          <w:snapToGrid w:val="0"/>
        </w:rPr>
        <w:t>Refugee Review Tribunal</w:t>
      </w:r>
      <w:r w:rsidRPr="00045109">
        <w:rPr>
          <w:snapToGrid w:val="0"/>
          <w:lang w:val="en-AU"/>
        </w:rPr>
        <w:t xml:space="preserve"> decision</w:t>
      </w:r>
      <w:r w:rsidR="00B54C39">
        <w:rPr>
          <w:rStyle w:val="FootnoteReference"/>
          <w:snapToGrid w:val="0"/>
          <w:lang w:val="en-AU"/>
        </w:rPr>
        <w:footnoteReference w:id="7"/>
      </w:r>
      <w:r w:rsidR="00B90DFD" w:rsidRPr="00045109">
        <w:rPr>
          <w:snapToGrid w:val="0"/>
          <w:lang w:val="en-AU"/>
        </w:rPr>
        <w:t xml:space="preserve"> that considered scarring resembling battle wounds among Tamils in Sri Lanka to trigger a peculiar profile susceptible </w:t>
      </w:r>
      <w:r w:rsidR="00D914F8">
        <w:rPr>
          <w:snapToGrid w:val="0"/>
          <w:lang w:val="en-AU"/>
        </w:rPr>
        <w:t>to</w:t>
      </w:r>
      <w:r w:rsidR="00D914F8" w:rsidRPr="00045109">
        <w:rPr>
          <w:snapToGrid w:val="0"/>
          <w:lang w:val="en-AU"/>
        </w:rPr>
        <w:t xml:space="preserve"> </w:t>
      </w:r>
      <w:r w:rsidR="00B90DFD" w:rsidRPr="00045109">
        <w:rPr>
          <w:snapToGrid w:val="0"/>
          <w:lang w:val="en-AU"/>
        </w:rPr>
        <w:t xml:space="preserve">harm both </w:t>
      </w:r>
      <w:r w:rsidR="00D914F8">
        <w:rPr>
          <w:snapToGrid w:val="0"/>
          <w:lang w:val="en-AU"/>
        </w:rPr>
        <w:t xml:space="preserve">from </w:t>
      </w:r>
      <w:r w:rsidR="00B90DFD" w:rsidRPr="00045109">
        <w:rPr>
          <w:snapToGrid w:val="0"/>
          <w:lang w:val="en-AU"/>
        </w:rPr>
        <w:t xml:space="preserve">the authorities </w:t>
      </w:r>
      <w:r w:rsidRPr="00045109">
        <w:rPr>
          <w:snapToGrid w:val="0"/>
          <w:lang w:val="en-AU"/>
        </w:rPr>
        <w:t xml:space="preserve">and </w:t>
      </w:r>
      <w:r w:rsidR="00D914F8">
        <w:rPr>
          <w:snapToGrid w:val="0"/>
          <w:lang w:val="en-AU"/>
        </w:rPr>
        <w:t xml:space="preserve">from </w:t>
      </w:r>
      <w:r w:rsidRPr="00045109">
        <w:rPr>
          <w:snapToGrid w:val="0"/>
          <w:lang w:val="en-AU"/>
        </w:rPr>
        <w:t>paramilitary organizations</w:t>
      </w:r>
      <w:r w:rsidR="00D914F8">
        <w:rPr>
          <w:snapToGrid w:val="0"/>
          <w:lang w:val="en-AU"/>
        </w:rPr>
        <w:t>,</w:t>
      </w:r>
      <w:r w:rsidRPr="00045109">
        <w:rPr>
          <w:snapToGrid w:val="0"/>
          <w:lang w:val="en-AU"/>
        </w:rPr>
        <w:t xml:space="preserve"> and pointed out that in his case the</w:t>
      </w:r>
      <w:r w:rsidR="00B90DFD" w:rsidRPr="00045109">
        <w:rPr>
          <w:snapToGrid w:val="0"/>
          <w:lang w:val="en-AU"/>
        </w:rPr>
        <w:t xml:space="preserve"> </w:t>
      </w:r>
      <w:r w:rsidR="005B6B56">
        <w:rPr>
          <w:snapToGrid w:val="0"/>
          <w:lang w:val="en-AU"/>
        </w:rPr>
        <w:t>Tribunal</w:t>
      </w:r>
      <w:r w:rsidR="00D914F8">
        <w:rPr>
          <w:snapToGrid w:val="0"/>
          <w:lang w:val="en-AU"/>
        </w:rPr>
        <w:t xml:space="preserve"> had</w:t>
      </w:r>
      <w:r w:rsidR="005B6B56" w:rsidRPr="00045109">
        <w:rPr>
          <w:snapToGrid w:val="0"/>
          <w:lang w:val="en-AU"/>
        </w:rPr>
        <w:t xml:space="preserve"> </w:t>
      </w:r>
      <w:r w:rsidR="00B90DFD" w:rsidRPr="00045109">
        <w:rPr>
          <w:snapToGrid w:val="0"/>
          <w:lang w:val="en-AU"/>
        </w:rPr>
        <w:t xml:space="preserve">considered the same kind of evidence </w:t>
      </w:r>
      <w:r w:rsidRPr="00045109">
        <w:rPr>
          <w:snapToGrid w:val="0"/>
          <w:lang w:val="en-AU"/>
        </w:rPr>
        <w:t>but</w:t>
      </w:r>
      <w:r w:rsidR="00B90DFD" w:rsidRPr="00045109">
        <w:rPr>
          <w:snapToGrid w:val="0"/>
          <w:lang w:val="en-AU"/>
        </w:rPr>
        <w:t xml:space="preserve"> </w:t>
      </w:r>
      <w:r w:rsidR="00D914F8">
        <w:rPr>
          <w:snapToGrid w:val="0"/>
          <w:lang w:val="en-AU"/>
        </w:rPr>
        <w:t xml:space="preserve">had </w:t>
      </w:r>
      <w:r w:rsidR="00B90DFD" w:rsidRPr="00045109">
        <w:rPr>
          <w:snapToGrid w:val="0"/>
          <w:lang w:val="en-AU"/>
        </w:rPr>
        <w:t xml:space="preserve">decided that scarring </w:t>
      </w:r>
      <w:r w:rsidR="005B6B56">
        <w:rPr>
          <w:snapToGrid w:val="0"/>
          <w:lang w:val="en-AU"/>
        </w:rPr>
        <w:t>did</w:t>
      </w:r>
      <w:r w:rsidR="005B6B56" w:rsidRPr="00045109">
        <w:rPr>
          <w:snapToGrid w:val="0"/>
          <w:lang w:val="en-AU"/>
        </w:rPr>
        <w:t xml:space="preserve"> </w:t>
      </w:r>
      <w:r w:rsidR="00B90DFD" w:rsidRPr="00045109">
        <w:rPr>
          <w:snapToGrid w:val="0"/>
          <w:lang w:val="en-AU"/>
        </w:rPr>
        <w:t xml:space="preserve">not give rise to suspicion </w:t>
      </w:r>
      <w:r w:rsidR="00B90DFD" w:rsidRPr="00D914F8">
        <w:rPr>
          <w:snapToGrid w:val="0"/>
          <w:lang w:val="en-AU"/>
        </w:rPr>
        <w:t>of membership</w:t>
      </w:r>
      <w:r w:rsidR="00B90DFD" w:rsidRPr="00045109">
        <w:rPr>
          <w:snapToGrid w:val="0"/>
          <w:lang w:val="en-AU"/>
        </w:rPr>
        <w:t xml:space="preserve"> </w:t>
      </w:r>
      <w:r w:rsidR="00D914F8">
        <w:rPr>
          <w:snapToGrid w:val="0"/>
          <w:lang w:val="en-AU"/>
        </w:rPr>
        <w:t xml:space="preserve">in the </w:t>
      </w:r>
      <w:r w:rsidR="00D914F8" w:rsidRPr="00D914F8">
        <w:rPr>
          <w:snapToGrid w:val="0"/>
          <w:lang w:val="en-AU"/>
        </w:rPr>
        <w:t>Liberation Tigers of Tamil Eelam</w:t>
      </w:r>
      <w:r w:rsidR="00D914F8">
        <w:rPr>
          <w:snapToGrid w:val="0"/>
          <w:lang w:val="en-AU"/>
        </w:rPr>
        <w:t xml:space="preserve"> </w:t>
      </w:r>
      <w:r w:rsidR="00B90DFD" w:rsidRPr="00045109">
        <w:rPr>
          <w:snapToGrid w:val="0"/>
          <w:lang w:val="en-AU"/>
        </w:rPr>
        <w:t xml:space="preserve">or </w:t>
      </w:r>
      <w:r w:rsidR="00D914F8">
        <w:rPr>
          <w:snapToGrid w:val="0"/>
          <w:lang w:val="en-AU"/>
        </w:rPr>
        <w:t xml:space="preserve">of </w:t>
      </w:r>
      <w:r w:rsidR="00B90DFD" w:rsidRPr="00045109">
        <w:rPr>
          <w:snapToGrid w:val="0"/>
          <w:lang w:val="en-AU"/>
        </w:rPr>
        <w:t xml:space="preserve">combat experience. </w:t>
      </w:r>
      <w:r w:rsidRPr="00045109">
        <w:rPr>
          <w:snapToGrid w:val="0"/>
          <w:lang w:val="en-AU"/>
        </w:rPr>
        <w:t>T</w:t>
      </w:r>
      <w:r w:rsidR="00B90DFD" w:rsidRPr="00045109">
        <w:rPr>
          <w:snapToGrid w:val="0"/>
          <w:lang w:val="en-AU"/>
        </w:rPr>
        <w:t xml:space="preserve">he </w:t>
      </w:r>
      <w:r w:rsidR="00C05BA3">
        <w:rPr>
          <w:snapToGrid w:val="0"/>
          <w:lang w:val="en-AU"/>
        </w:rPr>
        <w:t>M</w:t>
      </w:r>
      <w:r w:rsidR="00B90DFD" w:rsidRPr="00045109">
        <w:rPr>
          <w:snapToGrid w:val="0"/>
          <w:lang w:val="en-AU"/>
        </w:rPr>
        <w:t xml:space="preserve">inister </w:t>
      </w:r>
      <w:r w:rsidR="00C05BA3">
        <w:rPr>
          <w:snapToGrid w:val="0"/>
          <w:lang w:val="en-AU"/>
        </w:rPr>
        <w:t>had</w:t>
      </w:r>
      <w:r w:rsidR="00C05BA3" w:rsidRPr="00045109">
        <w:rPr>
          <w:snapToGrid w:val="0"/>
          <w:lang w:val="en-AU"/>
        </w:rPr>
        <w:t xml:space="preserve"> </w:t>
      </w:r>
      <w:r w:rsidRPr="00045109">
        <w:rPr>
          <w:snapToGrid w:val="0"/>
          <w:lang w:val="en-AU"/>
        </w:rPr>
        <w:t>not address</w:t>
      </w:r>
      <w:r w:rsidR="00C05BA3">
        <w:rPr>
          <w:snapToGrid w:val="0"/>
          <w:lang w:val="en-AU"/>
        </w:rPr>
        <w:t>ed</w:t>
      </w:r>
      <w:r w:rsidR="00B90DFD" w:rsidRPr="00045109">
        <w:rPr>
          <w:snapToGrid w:val="0"/>
          <w:lang w:val="en-AU"/>
        </w:rPr>
        <w:t xml:space="preserve"> the material injustice committed against </w:t>
      </w:r>
      <w:r w:rsidRPr="00045109">
        <w:rPr>
          <w:snapToGrid w:val="0"/>
          <w:lang w:val="en-AU"/>
        </w:rPr>
        <w:t>the complainant</w:t>
      </w:r>
      <w:r w:rsidR="00B90DFD" w:rsidRPr="00045109">
        <w:rPr>
          <w:snapToGrid w:val="0"/>
          <w:lang w:val="en-AU"/>
        </w:rPr>
        <w:t>.</w:t>
      </w:r>
    </w:p>
    <w:p w:rsidR="00045109" w:rsidRDefault="00045109" w:rsidP="000E407A">
      <w:pPr>
        <w:pStyle w:val="SingleTxtG"/>
        <w:rPr>
          <w:snapToGrid w:val="0"/>
          <w:lang w:val="en-AU"/>
        </w:rPr>
      </w:pPr>
      <w:r>
        <w:rPr>
          <w:snapToGrid w:val="0"/>
          <w:lang w:val="en-AU"/>
        </w:rPr>
        <w:t>5.3</w:t>
      </w:r>
      <w:r>
        <w:rPr>
          <w:snapToGrid w:val="0"/>
          <w:lang w:val="en-AU"/>
        </w:rPr>
        <w:tab/>
      </w:r>
      <w:r w:rsidR="00B90DFD" w:rsidRPr="00045109">
        <w:rPr>
          <w:snapToGrid w:val="0"/>
          <w:lang w:val="en-AU"/>
        </w:rPr>
        <w:t xml:space="preserve">The </w:t>
      </w:r>
      <w:r w:rsidRPr="00045109">
        <w:rPr>
          <w:snapToGrid w:val="0"/>
          <w:lang w:val="en-AU"/>
        </w:rPr>
        <w:t xml:space="preserve">complainant noted that the </w:t>
      </w:r>
      <w:r w:rsidR="00B90DFD" w:rsidRPr="00045109">
        <w:rPr>
          <w:snapToGrid w:val="0"/>
          <w:lang w:val="en-AU"/>
        </w:rPr>
        <w:t xml:space="preserve">findings of the </w:t>
      </w:r>
      <w:r w:rsidR="005B6B56">
        <w:rPr>
          <w:snapToGrid w:val="0"/>
        </w:rPr>
        <w:t>Refugee Review Tribunal</w:t>
      </w:r>
      <w:r w:rsidR="00B90DFD" w:rsidRPr="00045109">
        <w:rPr>
          <w:snapToGrid w:val="0"/>
          <w:lang w:val="en-AU"/>
        </w:rPr>
        <w:t xml:space="preserve"> pertaining to complementary protection </w:t>
      </w:r>
      <w:r w:rsidR="00C92266">
        <w:rPr>
          <w:snapToGrid w:val="0"/>
          <w:lang w:val="en-AU"/>
        </w:rPr>
        <w:t>we</w:t>
      </w:r>
      <w:r w:rsidR="00B90DFD" w:rsidRPr="00045109">
        <w:rPr>
          <w:snapToGrid w:val="0"/>
          <w:lang w:val="en-AU"/>
        </w:rPr>
        <w:t>re restricted to one paragraph</w:t>
      </w:r>
      <w:r w:rsidRPr="00045109">
        <w:rPr>
          <w:snapToGrid w:val="0"/>
          <w:lang w:val="en-AU"/>
        </w:rPr>
        <w:t xml:space="preserve"> </w:t>
      </w:r>
      <w:r w:rsidR="00C92266">
        <w:rPr>
          <w:snapToGrid w:val="0"/>
          <w:lang w:val="en-AU"/>
        </w:rPr>
        <w:t xml:space="preserve">in which it was </w:t>
      </w:r>
      <w:r w:rsidRPr="00045109">
        <w:rPr>
          <w:snapToGrid w:val="0"/>
          <w:lang w:val="en-AU"/>
        </w:rPr>
        <w:t>stat</w:t>
      </w:r>
      <w:r w:rsidR="00C92266">
        <w:rPr>
          <w:snapToGrid w:val="0"/>
          <w:lang w:val="en-AU"/>
        </w:rPr>
        <w:t>ed</w:t>
      </w:r>
      <w:r w:rsidRPr="00045109">
        <w:rPr>
          <w:snapToGrid w:val="0"/>
          <w:lang w:val="en-AU"/>
        </w:rPr>
        <w:t xml:space="preserve"> that the </w:t>
      </w:r>
      <w:r w:rsidR="00C92266">
        <w:rPr>
          <w:snapToGrid w:val="0"/>
          <w:lang w:val="en-AU"/>
        </w:rPr>
        <w:t>T</w:t>
      </w:r>
      <w:r w:rsidRPr="00045109">
        <w:rPr>
          <w:snapToGrid w:val="0"/>
          <w:lang w:val="en-AU"/>
        </w:rPr>
        <w:t>ribunal wa</w:t>
      </w:r>
      <w:r w:rsidR="00B90DFD" w:rsidRPr="00045109">
        <w:rPr>
          <w:snapToGrid w:val="0"/>
          <w:lang w:val="en-AU"/>
        </w:rPr>
        <w:t xml:space="preserve">s not satisfied that </w:t>
      </w:r>
      <w:r w:rsidRPr="00045109">
        <w:rPr>
          <w:snapToGrid w:val="0"/>
          <w:lang w:val="en-AU"/>
        </w:rPr>
        <w:t>he was</w:t>
      </w:r>
      <w:r w:rsidR="00B90DFD" w:rsidRPr="00045109">
        <w:rPr>
          <w:snapToGrid w:val="0"/>
          <w:lang w:val="en-AU"/>
        </w:rPr>
        <w:t xml:space="preserve"> a person of interest to </w:t>
      </w:r>
      <w:r w:rsidR="00C92266">
        <w:rPr>
          <w:snapToGrid w:val="0"/>
          <w:lang w:val="en-AU"/>
        </w:rPr>
        <w:t xml:space="preserve">the </w:t>
      </w:r>
      <w:r w:rsidR="00B90DFD" w:rsidRPr="00045109">
        <w:rPr>
          <w:snapToGrid w:val="0"/>
          <w:lang w:val="en-AU"/>
        </w:rPr>
        <w:t xml:space="preserve">Sri Lankan authorities and </w:t>
      </w:r>
      <w:r w:rsidR="00467A1F">
        <w:rPr>
          <w:snapToGrid w:val="0"/>
          <w:lang w:val="en-AU"/>
        </w:rPr>
        <w:t>he therefore</w:t>
      </w:r>
      <w:r w:rsidR="00B90DFD" w:rsidRPr="00045109">
        <w:rPr>
          <w:snapToGrid w:val="0"/>
          <w:lang w:val="en-AU"/>
        </w:rPr>
        <w:t xml:space="preserve"> d</w:t>
      </w:r>
      <w:r w:rsidRPr="00045109">
        <w:rPr>
          <w:snapToGrid w:val="0"/>
          <w:lang w:val="en-AU"/>
        </w:rPr>
        <w:t>id</w:t>
      </w:r>
      <w:r w:rsidR="00B90DFD" w:rsidRPr="00045109">
        <w:rPr>
          <w:snapToGrid w:val="0"/>
          <w:lang w:val="en-AU"/>
        </w:rPr>
        <w:t xml:space="preserve"> not meet the complementary protection criterion. </w:t>
      </w:r>
      <w:r w:rsidRPr="00045109">
        <w:rPr>
          <w:snapToGrid w:val="0"/>
          <w:lang w:val="en-AU"/>
        </w:rPr>
        <w:t xml:space="preserve">He submitted that the </w:t>
      </w:r>
      <w:r w:rsidR="00B90DFD" w:rsidRPr="00045109">
        <w:rPr>
          <w:snapToGrid w:val="0"/>
          <w:lang w:val="en-AU"/>
        </w:rPr>
        <w:t xml:space="preserve">presence of </w:t>
      </w:r>
      <w:r w:rsidRPr="00045109">
        <w:rPr>
          <w:snapToGrid w:val="0"/>
          <w:lang w:val="en-AU"/>
        </w:rPr>
        <w:t xml:space="preserve">scars from an artillery attack </w:t>
      </w:r>
      <w:r w:rsidR="00D07E4C">
        <w:rPr>
          <w:snapToGrid w:val="0"/>
          <w:lang w:val="en-AU"/>
        </w:rPr>
        <w:t>had been</w:t>
      </w:r>
      <w:r w:rsidR="00D07E4C" w:rsidRPr="00045109">
        <w:rPr>
          <w:snapToGrid w:val="0"/>
          <w:lang w:val="en-AU"/>
        </w:rPr>
        <w:t xml:space="preserve"> </w:t>
      </w:r>
      <w:r w:rsidR="00B90DFD" w:rsidRPr="00045109">
        <w:rPr>
          <w:snapToGrid w:val="0"/>
          <w:lang w:val="en-AU"/>
        </w:rPr>
        <w:t xml:space="preserve">admitted by the </w:t>
      </w:r>
      <w:r w:rsidR="005B6B56">
        <w:rPr>
          <w:snapToGrid w:val="0"/>
        </w:rPr>
        <w:t>Tribunal</w:t>
      </w:r>
      <w:r w:rsidR="00D07E4C">
        <w:rPr>
          <w:snapToGrid w:val="0"/>
        </w:rPr>
        <w:t>,</w:t>
      </w:r>
      <w:r w:rsidR="00B90DFD" w:rsidRPr="00045109">
        <w:rPr>
          <w:snapToGrid w:val="0"/>
          <w:lang w:val="en-AU"/>
        </w:rPr>
        <w:t xml:space="preserve"> but </w:t>
      </w:r>
      <w:r w:rsidR="00D07E4C">
        <w:rPr>
          <w:snapToGrid w:val="0"/>
          <w:lang w:val="en-AU"/>
        </w:rPr>
        <w:t>the Tribunal</w:t>
      </w:r>
      <w:r w:rsidR="00D07E4C" w:rsidRPr="00045109">
        <w:rPr>
          <w:snapToGrid w:val="0"/>
          <w:lang w:val="en-AU"/>
        </w:rPr>
        <w:t xml:space="preserve"> </w:t>
      </w:r>
      <w:r w:rsidR="00B90DFD" w:rsidRPr="00045109">
        <w:rPr>
          <w:snapToGrid w:val="0"/>
          <w:lang w:val="en-AU"/>
        </w:rPr>
        <w:t>ha</w:t>
      </w:r>
      <w:r w:rsidRPr="00045109">
        <w:rPr>
          <w:snapToGrid w:val="0"/>
          <w:lang w:val="en-AU"/>
        </w:rPr>
        <w:t>d</w:t>
      </w:r>
      <w:r w:rsidR="00B90DFD" w:rsidRPr="00045109">
        <w:rPr>
          <w:snapToGrid w:val="0"/>
          <w:lang w:val="en-AU"/>
        </w:rPr>
        <w:t xml:space="preserve"> ignored </w:t>
      </w:r>
      <w:r w:rsidRPr="00045109">
        <w:rPr>
          <w:snapToGrid w:val="0"/>
          <w:lang w:val="en-AU"/>
        </w:rPr>
        <w:t>“</w:t>
      </w:r>
      <w:r w:rsidR="00B90DFD" w:rsidRPr="00045109">
        <w:rPr>
          <w:snapToGrid w:val="0"/>
          <w:lang w:val="en-AU"/>
        </w:rPr>
        <w:t>the inferences that are drawn by the authorities</w:t>
      </w:r>
      <w:r w:rsidRPr="00045109">
        <w:rPr>
          <w:snapToGrid w:val="0"/>
          <w:lang w:val="en-AU"/>
        </w:rPr>
        <w:t>” and had</w:t>
      </w:r>
      <w:r w:rsidR="00B90DFD" w:rsidRPr="00045109">
        <w:rPr>
          <w:snapToGrid w:val="0"/>
          <w:lang w:val="en-AU"/>
        </w:rPr>
        <w:t xml:space="preserve"> failed to consider whether there </w:t>
      </w:r>
      <w:r w:rsidR="003E7F8D">
        <w:rPr>
          <w:snapToGrid w:val="0"/>
          <w:lang w:val="en-AU"/>
        </w:rPr>
        <w:t>wa</w:t>
      </w:r>
      <w:r w:rsidR="00B90DFD" w:rsidRPr="00045109">
        <w:rPr>
          <w:snapToGrid w:val="0"/>
          <w:lang w:val="en-AU"/>
        </w:rPr>
        <w:t xml:space="preserve">s a </w:t>
      </w:r>
      <w:r w:rsidR="003E7F8D">
        <w:rPr>
          <w:snapToGrid w:val="0"/>
          <w:lang w:val="en-AU"/>
        </w:rPr>
        <w:t>“</w:t>
      </w:r>
      <w:r w:rsidR="00B90DFD" w:rsidRPr="00045109">
        <w:rPr>
          <w:snapToGrid w:val="0"/>
          <w:lang w:val="en-AU"/>
        </w:rPr>
        <w:t>real chance</w:t>
      </w:r>
      <w:r w:rsidR="003E7F8D">
        <w:rPr>
          <w:snapToGrid w:val="0"/>
          <w:lang w:val="en-AU"/>
        </w:rPr>
        <w:t>”</w:t>
      </w:r>
      <w:r w:rsidR="00B90DFD" w:rsidRPr="00045109">
        <w:rPr>
          <w:snapToGrid w:val="0"/>
          <w:lang w:val="en-AU"/>
        </w:rPr>
        <w:t xml:space="preserve"> that </w:t>
      </w:r>
      <w:r w:rsidRPr="00045109">
        <w:rPr>
          <w:snapToGrid w:val="0"/>
          <w:lang w:val="en-AU"/>
        </w:rPr>
        <w:t>he</w:t>
      </w:r>
      <w:r w:rsidR="00B90DFD" w:rsidRPr="00045109">
        <w:rPr>
          <w:snapToGrid w:val="0"/>
          <w:lang w:val="en-AU"/>
        </w:rPr>
        <w:t xml:space="preserve"> would be subject to serious harm. </w:t>
      </w:r>
      <w:r w:rsidRPr="00045109">
        <w:rPr>
          <w:snapToGrid w:val="0"/>
          <w:lang w:val="en-AU"/>
        </w:rPr>
        <w:t xml:space="preserve">The complainant </w:t>
      </w:r>
      <w:r w:rsidR="003E7F8D">
        <w:rPr>
          <w:snapToGrid w:val="0"/>
          <w:lang w:val="en-AU"/>
        </w:rPr>
        <w:t>also</w:t>
      </w:r>
      <w:r w:rsidR="003E7F8D" w:rsidRPr="00045109">
        <w:rPr>
          <w:snapToGrid w:val="0"/>
          <w:lang w:val="en-AU"/>
        </w:rPr>
        <w:t xml:space="preserve"> </w:t>
      </w:r>
      <w:r w:rsidRPr="00045109">
        <w:rPr>
          <w:snapToGrid w:val="0"/>
          <w:lang w:val="en-AU"/>
        </w:rPr>
        <w:t>argued that the non-refoulement protection in the State party had not been adequate in his case.</w:t>
      </w:r>
      <w:r w:rsidR="002077EB">
        <w:rPr>
          <w:snapToGrid w:val="0"/>
          <w:lang w:val="en-AU"/>
        </w:rPr>
        <w:t xml:space="preserve"> The complainant provided an overview of recent amendments in the domestic legislation which, he argued, diminish</w:t>
      </w:r>
      <w:r w:rsidR="000E407A">
        <w:rPr>
          <w:snapToGrid w:val="0"/>
          <w:lang w:val="en-AU"/>
        </w:rPr>
        <w:t>ed</w:t>
      </w:r>
      <w:r w:rsidR="002077EB">
        <w:rPr>
          <w:snapToGrid w:val="0"/>
          <w:lang w:val="en-AU"/>
        </w:rPr>
        <w:t xml:space="preserve"> protection for asylum seekers and </w:t>
      </w:r>
      <w:r w:rsidR="000E407A">
        <w:rPr>
          <w:snapToGrid w:val="0"/>
          <w:lang w:val="en-AU"/>
        </w:rPr>
        <w:t xml:space="preserve">went </w:t>
      </w:r>
      <w:r w:rsidR="002077EB">
        <w:rPr>
          <w:snapToGrid w:val="0"/>
          <w:lang w:val="en-AU"/>
        </w:rPr>
        <w:t>against the non-refoulement principle.</w:t>
      </w:r>
      <w:r w:rsidR="00397A96">
        <w:rPr>
          <w:snapToGrid w:val="0"/>
          <w:lang w:val="en-AU"/>
        </w:rPr>
        <w:t xml:space="preserve"> </w:t>
      </w:r>
    </w:p>
    <w:p w:rsidR="00775D23" w:rsidRPr="00045109" w:rsidRDefault="00045109" w:rsidP="00097266">
      <w:pPr>
        <w:pStyle w:val="SingleTxtG"/>
        <w:rPr>
          <w:snapToGrid w:val="0"/>
          <w:lang w:val="en-AU"/>
        </w:rPr>
      </w:pPr>
      <w:r>
        <w:rPr>
          <w:snapToGrid w:val="0"/>
          <w:lang w:val="en-AU"/>
        </w:rPr>
        <w:t>5.</w:t>
      </w:r>
      <w:r w:rsidR="002077EB">
        <w:rPr>
          <w:snapToGrid w:val="0"/>
          <w:lang w:val="en-AU"/>
        </w:rPr>
        <w:t>4</w:t>
      </w:r>
      <w:r>
        <w:rPr>
          <w:snapToGrid w:val="0"/>
          <w:lang w:val="en-AU"/>
        </w:rPr>
        <w:tab/>
      </w:r>
      <w:r w:rsidRPr="00045109">
        <w:rPr>
          <w:snapToGrid w:val="0"/>
          <w:lang w:val="en-AU"/>
        </w:rPr>
        <w:t xml:space="preserve">The complainant also referred to the </w:t>
      </w:r>
      <w:r w:rsidR="00272E34">
        <w:rPr>
          <w:snapToGrid w:val="0"/>
          <w:lang w:val="en-AU"/>
        </w:rPr>
        <w:t>c</w:t>
      </w:r>
      <w:r w:rsidRPr="00045109">
        <w:rPr>
          <w:snapToGrid w:val="0"/>
          <w:lang w:val="en-AU"/>
        </w:rPr>
        <w:t>oncluding observation</w:t>
      </w:r>
      <w:r w:rsidR="00272E34">
        <w:rPr>
          <w:snapToGrid w:val="0"/>
          <w:lang w:val="en-AU"/>
        </w:rPr>
        <w:t>s</w:t>
      </w:r>
      <w:r w:rsidRPr="00045109">
        <w:rPr>
          <w:snapToGrid w:val="0"/>
          <w:lang w:val="en-AU"/>
        </w:rPr>
        <w:t xml:space="preserve"> of the Committee</w:t>
      </w:r>
      <w:r w:rsidR="00DC5FF9">
        <w:rPr>
          <w:rStyle w:val="FootnoteReference"/>
          <w:snapToGrid w:val="0"/>
          <w:lang w:val="en-AU"/>
        </w:rPr>
        <w:footnoteReference w:id="8"/>
      </w:r>
      <w:r w:rsidRPr="00045109">
        <w:rPr>
          <w:snapToGrid w:val="0"/>
          <w:lang w:val="en-AU"/>
        </w:rPr>
        <w:t xml:space="preserve"> with regard to Sri Lanka and noted that many of its recommendations </w:t>
      </w:r>
      <w:r w:rsidR="00097266">
        <w:rPr>
          <w:snapToGrid w:val="0"/>
          <w:lang w:val="en-AU"/>
        </w:rPr>
        <w:t>concern</w:t>
      </w:r>
      <w:r w:rsidRPr="00045109">
        <w:rPr>
          <w:snapToGrid w:val="0"/>
          <w:lang w:val="en-AU"/>
        </w:rPr>
        <w:t xml:space="preserve">ing preventing and investigating instances of torture remained unimplemented and that </w:t>
      </w:r>
      <w:r w:rsidR="00272E34">
        <w:rPr>
          <w:snapToGrid w:val="0"/>
          <w:lang w:val="en-AU"/>
        </w:rPr>
        <w:t xml:space="preserve">a </w:t>
      </w:r>
      <w:r w:rsidR="00B90DFD" w:rsidRPr="00045109">
        <w:rPr>
          <w:snapToGrid w:val="0"/>
          <w:lang w:val="en-AU"/>
        </w:rPr>
        <w:t xml:space="preserve">culture of impunity </w:t>
      </w:r>
      <w:r w:rsidRPr="00045109">
        <w:rPr>
          <w:snapToGrid w:val="0"/>
          <w:lang w:val="en-AU"/>
        </w:rPr>
        <w:t xml:space="preserve">continued to </w:t>
      </w:r>
      <w:r w:rsidR="00B90DFD" w:rsidRPr="00045109">
        <w:rPr>
          <w:snapToGrid w:val="0"/>
          <w:lang w:val="en-AU"/>
        </w:rPr>
        <w:t>exist in Sri Lanka.</w:t>
      </w:r>
      <w:r w:rsidR="00B90DFD" w:rsidRPr="00045109">
        <w:rPr>
          <w:snapToGrid w:val="0"/>
          <w:u w:val="single"/>
          <w:lang w:val="en-AU"/>
        </w:rPr>
        <w:t xml:space="preserve"> </w:t>
      </w:r>
    </w:p>
    <w:p w:rsidR="008265E3" w:rsidRPr="00DF23DE" w:rsidRDefault="00BC34B7" w:rsidP="00597408">
      <w:pPr>
        <w:pStyle w:val="H23G"/>
        <w:rPr>
          <w:snapToGrid w:val="0"/>
        </w:rPr>
      </w:pPr>
      <w:r w:rsidRPr="00DF23DE">
        <w:rPr>
          <w:snapToGrid w:val="0"/>
        </w:rPr>
        <w:tab/>
      </w:r>
      <w:r w:rsidRPr="00DF23DE">
        <w:rPr>
          <w:snapToGrid w:val="0"/>
        </w:rPr>
        <w:tab/>
      </w:r>
      <w:r w:rsidR="00597408" w:rsidRPr="002876E2">
        <w:t xml:space="preserve">State party’s </w:t>
      </w:r>
      <w:r w:rsidR="00597408">
        <w:t>additional</w:t>
      </w:r>
      <w:r w:rsidR="00597408" w:rsidRPr="002876E2">
        <w:t xml:space="preserve"> observations on admissibility and </w:t>
      </w:r>
      <w:r w:rsidR="005E7E4A">
        <w:t xml:space="preserve">the </w:t>
      </w:r>
      <w:r w:rsidR="00597408" w:rsidRPr="002876E2">
        <w:t>merits</w:t>
      </w:r>
    </w:p>
    <w:p w:rsidR="008265E3" w:rsidRPr="00DF23DE" w:rsidRDefault="008265E3" w:rsidP="00DF1060">
      <w:pPr>
        <w:pStyle w:val="SingleTxtG"/>
        <w:rPr>
          <w:snapToGrid w:val="0"/>
        </w:rPr>
      </w:pPr>
      <w:r w:rsidRPr="00DF23DE">
        <w:rPr>
          <w:snapToGrid w:val="0"/>
        </w:rPr>
        <w:t>6.</w:t>
      </w:r>
      <w:r w:rsidR="00910707" w:rsidRPr="00DF23DE">
        <w:rPr>
          <w:snapToGrid w:val="0"/>
        </w:rPr>
        <w:t>1</w:t>
      </w:r>
      <w:r w:rsidR="003F4589" w:rsidRPr="00DF23DE">
        <w:rPr>
          <w:snapToGrid w:val="0"/>
        </w:rPr>
        <w:tab/>
      </w:r>
      <w:r w:rsidR="00B90DFD">
        <w:rPr>
          <w:snapToGrid w:val="0"/>
        </w:rPr>
        <w:t xml:space="preserve">On 23 December 2015, the State party </w:t>
      </w:r>
      <w:r w:rsidR="001C5CAC">
        <w:rPr>
          <w:snapToGrid w:val="0"/>
        </w:rPr>
        <w:t>not</w:t>
      </w:r>
      <w:r w:rsidR="00B90DFD">
        <w:rPr>
          <w:snapToGrid w:val="0"/>
        </w:rPr>
        <w:t xml:space="preserve">ed that </w:t>
      </w:r>
      <w:r w:rsidR="001C5CAC">
        <w:rPr>
          <w:snapToGrid w:val="0"/>
        </w:rPr>
        <w:t xml:space="preserve">in his submission the complainant had claimed that scarring resembling battle wounds among Tamils in Sri Lanka triggered a profile susceptible </w:t>
      </w:r>
      <w:r w:rsidR="006926D3">
        <w:rPr>
          <w:snapToGrid w:val="0"/>
        </w:rPr>
        <w:t>to</w:t>
      </w:r>
      <w:r w:rsidR="001C5CAC">
        <w:rPr>
          <w:snapToGrid w:val="0"/>
        </w:rPr>
        <w:t xml:space="preserve"> harm </w:t>
      </w:r>
      <w:r w:rsidR="006926D3">
        <w:rPr>
          <w:snapToGrid w:val="0"/>
        </w:rPr>
        <w:t xml:space="preserve">both </w:t>
      </w:r>
      <w:r w:rsidR="001C5CAC">
        <w:rPr>
          <w:snapToGrid w:val="0"/>
        </w:rPr>
        <w:t xml:space="preserve">from the authorities and </w:t>
      </w:r>
      <w:r w:rsidR="006926D3">
        <w:rPr>
          <w:snapToGrid w:val="0"/>
        </w:rPr>
        <w:t xml:space="preserve">from </w:t>
      </w:r>
      <w:r w:rsidR="001C5CAC">
        <w:rPr>
          <w:snapToGrid w:val="0"/>
        </w:rPr>
        <w:t xml:space="preserve">paramilitary groups. The State party submitted </w:t>
      </w:r>
      <w:r w:rsidR="005B6B56">
        <w:rPr>
          <w:snapToGrid w:val="0"/>
        </w:rPr>
        <w:t>i</w:t>
      </w:r>
      <w:r w:rsidR="001C5CAC">
        <w:rPr>
          <w:snapToGrid w:val="0"/>
        </w:rPr>
        <w:t xml:space="preserve">n that regard that the </w:t>
      </w:r>
      <w:r w:rsidR="005B6B56">
        <w:rPr>
          <w:snapToGrid w:val="0"/>
        </w:rPr>
        <w:t>Refugee Review Tribunal</w:t>
      </w:r>
      <w:r w:rsidR="001C5CAC">
        <w:rPr>
          <w:snapToGrid w:val="0"/>
        </w:rPr>
        <w:t xml:space="preserve"> </w:t>
      </w:r>
      <w:r w:rsidR="006926D3">
        <w:rPr>
          <w:snapToGrid w:val="0"/>
        </w:rPr>
        <w:t>had</w:t>
      </w:r>
      <w:r w:rsidR="001C5CAC">
        <w:rPr>
          <w:snapToGrid w:val="0"/>
        </w:rPr>
        <w:t xml:space="preserve"> not accept</w:t>
      </w:r>
      <w:r w:rsidR="006926D3">
        <w:rPr>
          <w:snapToGrid w:val="0"/>
        </w:rPr>
        <w:t>ed</w:t>
      </w:r>
      <w:r w:rsidR="001C5CAC">
        <w:rPr>
          <w:snapToGrid w:val="0"/>
        </w:rPr>
        <w:t xml:space="preserve"> that the complainant had been targeted </w:t>
      </w:r>
      <w:r w:rsidR="002248C6">
        <w:rPr>
          <w:snapToGrid w:val="0"/>
        </w:rPr>
        <w:t xml:space="preserve">in October 2011, nor </w:t>
      </w:r>
      <w:r w:rsidR="006926D3">
        <w:rPr>
          <w:snapToGrid w:val="0"/>
        </w:rPr>
        <w:t xml:space="preserve">that he had been </w:t>
      </w:r>
      <w:r w:rsidR="002248C6">
        <w:rPr>
          <w:snapToGrid w:val="0"/>
        </w:rPr>
        <w:t xml:space="preserve">abducted by a paramilitary group in March 2012 due to his scar or </w:t>
      </w:r>
      <w:r w:rsidR="006926D3">
        <w:rPr>
          <w:snapToGrid w:val="0"/>
        </w:rPr>
        <w:t xml:space="preserve">for </w:t>
      </w:r>
      <w:r w:rsidR="002248C6">
        <w:rPr>
          <w:snapToGrid w:val="0"/>
        </w:rPr>
        <w:t xml:space="preserve">any other reason. The </w:t>
      </w:r>
      <w:r w:rsidR="001E4EA8" w:rsidRPr="00876264">
        <w:rPr>
          <w:snapToGrid w:val="0"/>
        </w:rPr>
        <w:t xml:space="preserve">Federal </w:t>
      </w:r>
      <w:r w:rsidR="001E4EA8">
        <w:rPr>
          <w:snapToGrid w:val="0"/>
        </w:rPr>
        <w:t>Circuit</w:t>
      </w:r>
      <w:r w:rsidR="001E4EA8" w:rsidRPr="00876264">
        <w:rPr>
          <w:snapToGrid w:val="0"/>
        </w:rPr>
        <w:t xml:space="preserve"> Court</w:t>
      </w:r>
      <w:r w:rsidR="002248C6">
        <w:rPr>
          <w:snapToGrid w:val="0"/>
        </w:rPr>
        <w:t xml:space="preserve"> concluded that the </w:t>
      </w:r>
      <w:r w:rsidR="005B6B56">
        <w:rPr>
          <w:snapToGrid w:val="0"/>
        </w:rPr>
        <w:t xml:space="preserve">Tribunal’s </w:t>
      </w:r>
      <w:r w:rsidR="002248C6">
        <w:rPr>
          <w:snapToGrid w:val="0"/>
        </w:rPr>
        <w:t xml:space="preserve">findings that the alleged events </w:t>
      </w:r>
      <w:r w:rsidR="00DF1060">
        <w:rPr>
          <w:snapToGrid w:val="0"/>
        </w:rPr>
        <w:t xml:space="preserve">had not </w:t>
      </w:r>
      <w:r w:rsidR="00DF1060">
        <w:rPr>
          <w:snapToGrid w:val="0"/>
        </w:rPr>
        <w:lastRenderedPageBreak/>
        <w:t>occurred</w:t>
      </w:r>
      <w:r w:rsidR="002248C6">
        <w:rPr>
          <w:snapToGrid w:val="0"/>
        </w:rPr>
        <w:t xml:space="preserve"> “were reasonably open to it based on the evidence before it”. It </w:t>
      </w:r>
      <w:r w:rsidR="001A7F0C">
        <w:rPr>
          <w:snapToGrid w:val="0"/>
        </w:rPr>
        <w:t>also</w:t>
      </w:r>
      <w:r w:rsidR="002248C6">
        <w:rPr>
          <w:snapToGrid w:val="0"/>
        </w:rPr>
        <w:t xml:space="preserve"> considered that the </w:t>
      </w:r>
      <w:r w:rsidR="005B6B56">
        <w:rPr>
          <w:snapToGrid w:val="0"/>
        </w:rPr>
        <w:t>Tribunal</w:t>
      </w:r>
      <w:r w:rsidR="004773D4">
        <w:rPr>
          <w:snapToGrid w:val="0"/>
        </w:rPr>
        <w:t xml:space="preserve"> had</w:t>
      </w:r>
      <w:r w:rsidR="005B6B56">
        <w:rPr>
          <w:snapToGrid w:val="0"/>
        </w:rPr>
        <w:t xml:space="preserve"> </w:t>
      </w:r>
      <w:r w:rsidR="002248C6">
        <w:rPr>
          <w:snapToGrid w:val="0"/>
        </w:rPr>
        <w:t xml:space="preserve">sufficiently dealt with the claim made </w:t>
      </w:r>
      <w:r w:rsidR="00696BCA">
        <w:rPr>
          <w:snapToGrid w:val="0"/>
        </w:rPr>
        <w:t xml:space="preserve">in </w:t>
      </w:r>
      <w:r w:rsidR="002248C6">
        <w:rPr>
          <w:snapToGrid w:val="0"/>
        </w:rPr>
        <w:t>regard</w:t>
      </w:r>
      <w:r w:rsidR="00696BCA">
        <w:rPr>
          <w:snapToGrid w:val="0"/>
        </w:rPr>
        <w:t xml:space="preserve"> to</w:t>
      </w:r>
      <w:r w:rsidR="002248C6">
        <w:rPr>
          <w:snapToGrid w:val="0"/>
        </w:rPr>
        <w:t xml:space="preserve"> the scarring on the complainant’s leg. Following the complainant’s submission to the Committee o</w:t>
      </w:r>
      <w:r w:rsidR="00AE1899">
        <w:rPr>
          <w:snapToGrid w:val="0"/>
        </w:rPr>
        <w:t>n</w:t>
      </w:r>
      <w:r w:rsidR="002248C6">
        <w:rPr>
          <w:snapToGrid w:val="0"/>
        </w:rPr>
        <w:t xml:space="preserve"> </w:t>
      </w:r>
      <w:r w:rsidR="002248C6" w:rsidRPr="00045109">
        <w:rPr>
          <w:snapToGrid w:val="0"/>
          <w:lang w:val="en-AU"/>
        </w:rPr>
        <w:t>13 August 2015</w:t>
      </w:r>
      <w:r w:rsidR="002248C6">
        <w:rPr>
          <w:snapToGrid w:val="0"/>
          <w:lang w:val="en-AU"/>
        </w:rPr>
        <w:t>, the Department of Immigration and Border Protection assessed the evidence presented by the complainant (photo</w:t>
      </w:r>
      <w:r w:rsidR="00DF1060">
        <w:rPr>
          <w:snapToGrid w:val="0"/>
          <w:lang w:val="en-AU"/>
        </w:rPr>
        <w:t>graph</w:t>
      </w:r>
      <w:r w:rsidR="002248C6">
        <w:rPr>
          <w:snapToGrid w:val="0"/>
          <w:lang w:val="en-AU"/>
        </w:rPr>
        <w:t xml:space="preserve">s and </w:t>
      </w:r>
      <w:r w:rsidR="00DF1060">
        <w:rPr>
          <w:snapToGrid w:val="0"/>
          <w:lang w:val="en-AU"/>
        </w:rPr>
        <w:t xml:space="preserve">a </w:t>
      </w:r>
      <w:r w:rsidR="002248C6">
        <w:rPr>
          <w:snapToGrid w:val="0"/>
          <w:lang w:val="en-AU"/>
        </w:rPr>
        <w:t>signed statutory declaration) and determined that they provide</w:t>
      </w:r>
      <w:r w:rsidR="00DF1060">
        <w:rPr>
          <w:snapToGrid w:val="0"/>
          <w:lang w:val="en-AU"/>
        </w:rPr>
        <w:t>d</w:t>
      </w:r>
      <w:r w:rsidR="002248C6">
        <w:rPr>
          <w:snapToGrid w:val="0"/>
          <w:lang w:val="en-AU"/>
        </w:rPr>
        <w:t xml:space="preserve"> no further evidence regarding the complainant’s claims that he ha</w:t>
      </w:r>
      <w:r w:rsidR="00DF1060">
        <w:rPr>
          <w:snapToGrid w:val="0"/>
          <w:lang w:val="en-AU"/>
        </w:rPr>
        <w:t>d</w:t>
      </w:r>
      <w:r w:rsidR="002248C6">
        <w:rPr>
          <w:snapToGrid w:val="0"/>
          <w:lang w:val="en-AU"/>
        </w:rPr>
        <w:t xml:space="preserve"> a profile within Sri Lanka that would attract the attention of the authorities or that his scars “would give rise to a profile, imputed or otherwise, on arrival in Sri Lanka”. The </w:t>
      </w:r>
      <w:r w:rsidR="00AE1899">
        <w:rPr>
          <w:snapToGrid w:val="0"/>
          <w:lang w:val="en-AU"/>
        </w:rPr>
        <w:t>Department of Immigration and Border Protection</w:t>
      </w:r>
      <w:r w:rsidR="002248C6">
        <w:rPr>
          <w:snapToGrid w:val="0"/>
          <w:lang w:val="en-AU"/>
        </w:rPr>
        <w:t xml:space="preserve"> assessed that there </w:t>
      </w:r>
      <w:r w:rsidR="00DF1060">
        <w:rPr>
          <w:snapToGrid w:val="0"/>
          <w:lang w:val="en-AU"/>
        </w:rPr>
        <w:t>we</w:t>
      </w:r>
      <w:r w:rsidR="002248C6">
        <w:rPr>
          <w:snapToGrid w:val="0"/>
          <w:lang w:val="en-AU"/>
        </w:rPr>
        <w:t xml:space="preserve">re no substantial grounds for believing that the </w:t>
      </w:r>
      <w:r w:rsidR="001A7F0C">
        <w:rPr>
          <w:snapToGrid w:val="0"/>
          <w:lang w:val="en-AU"/>
        </w:rPr>
        <w:t>complainant’s</w:t>
      </w:r>
      <w:r w:rsidR="002248C6">
        <w:rPr>
          <w:snapToGrid w:val="0"/>
          <w:lang w:val="en-AU"/>
        </w:rPr>
        <w:t xml:space="preserve"> scars would put him at risk of torture</w:t>
      </w:r>
      <w:r w:rsidR="001A7F0C">
        <w:rPr>
          <w:snapToGrid w:val="0"/>
          <w:lang w:val="en-AU"/>
        </w:rPr>
        <w:t>.</w:t>
      </w:r>
    </w:p>
    <w:p w:rsidR="00910707" w:rsidRDefault="00147B55" w:rsidP="00AC6C72">
      <w:pPr>
        <w:pStyle w:val="SingleTxtG"/>
        <w:rPr>
          <w:iCs/>
          <w:snapToGrid w:val="0"/>
          <w:lang w:val="en-AU"/>
        </w:rPr>
      </w:pPr>
      <w:r>
        <w:rPr>
          <w:snapToGrid w:val="0"/>
        </w:rPr>
        <w:t>6.2</w:t>
      </w:r>
      <w:r>
        <w:rPr>
          <w:snapToGrid w:val="0"/>
        </w:rPr>
        <w:tab/>
      </w:r>
      <w:r w:rsidR="00C60BE6">
        <w:rPr>
          <w:snapToGrid w:val="0"/>
        </w:rPr>
        <w:t xml:space="preserve">In </w:t>
      </w:r>
      <w:r w:rsidR="001A7F0C">
        <w:rPr>
          <w:snapToGrid w:val="0"/>
        </w:rPr>
        <w:t>regard to the complainant’s reference to the decision of the European Court</w:t>
      </w:r>
      <w:r w:rsidR="00990238">
        <w:rPr>
          <w:snapToGrid w:val="0"/>
        </w:rPr>
        <w:t xml:space="preserve"> of Human </w:t>
      </w:r>
      <w:r w:rsidR="00990238" w:rsidRPr="00BC57CE">
        <w:rPr>
          <w:snapToGrid w:val="0"/>
        </w:rPr>
        <w:t>Rights</w:t>
      </w:r>
      <w:r w:rsidR="001A7F0C" w:rsidRPr="00BC57CE">
        <w:rPr>
          <w:snapToGrid w:val="0"/>
        </w:rPr>
        <w:t xml:space="preserve"> in </w:t>
      </w:r>
      <w:r w:rsidR="001A7F0C" w:rsidRPr="00BC57CE">
        <w:rPr>
          <w:i/>
          <w:iCs/>
          <w:snapToGrid w:val="0"/>
          <w:lang w:val="en-AU"/>
        </w:rPr>
        <w:t>NA</w:t>
      </w:r>
      <w:r w:rsidR="00BC57CE">
        <w:rPr>
          <w:i/>
          <w:iCs/>
          <w:snapToGrid w:val="0"/>
          <w:lang w:val="en-AU"/>
        </w:rPr>
        <w:t>.</w:t>
      </w:r>
      <w:r w:rsidR="001A7F0C" w:rsidRPr="00BC57CE">
        <w:rPr>
          <w:i/>
          <w:iCs/>
          <w:snapToGrid w:val="0"/>
          <w:lang w:val="en-AU"/>
        </w:rPr>
        <w:t xml:space="preserve"> v</w:t>
      </w:r>
      <w:r w:rsidR="00BC57CE">
        <w:rPr>
          <w:i/>
          <w:iCs/>
          <w:snapToGrid w:val="0"/>
          <w:lang w:val="en-AU"/>
        </w:rPr>
        <w:t>. the</w:t>
      </w:r>
      <w:r w:rsidR="001A7F0C" w:rsidRPr="00BC57CE">
        <w:rPr>
          <w:i/>
          <w:iCs/>
          <w:snapToGrid w:val="0"/>
          <w:lang w:val="en-AU"/>
        </w:rPr>
        <w:t xml:space="preserve"> United Kingdom</w:t>
      </w:r>
      <w:r w:rsidR="001A7F0C" w:rsidRPr="003A40BB">
        <w:rPr>
          <w:snapToGrid w:val="0"/>
          <w:lang w:val="en-AU"/>
        </w:rPr>
        <w:t>,</w:t>
      </w:r>
      <w:r w:rsidR="001A7F0C" w:rsidRPr="00BC57CE">
        <w:rPr>
          <w:i/>
          <w:iCs/>
          <w:snapToGrid w:val="0"/>
          <w:lang w:val="en-AU"/>
        </w:rPr>
        <w:t xml:space="preserve"> </w:t>
      </w:r>
      <w:r w:rsidR="001A7F0C" w:rsidRPr="00BC57CE">
        <w:rPr>
          <w:iCs/>
          <w:snapToGrid w:val="0"/>
          <w:lang w:val="en-AU"/>
        </w:rPr>
        <w:t>the</w:t>
      </w:r>
      <w:r w:rsidR="001A7F0C" w:rsidRPr="001A7F0C">
        <w:rPr>
          <w:iCs/>
          <w:snapToGrid w:val="0"/>
          <w:lang w:val="en-AU"/>
        </w:rPr>
        <w:t xml:space="preserve"> </w:t>
      </w:r>
      <w:r w:rsidR="001A7F0C">
        <w:rPr>
          <w:iCs/>
          <w:snapToGrid w:val="0"/>
          <w:lang w:val="en-AU"/>
        </w:rPr>
        <w:t xml:space="preserve">State party argued </w:t>
      </w:r>
      <w:r w:rsidR="00990238">
        <w:rPr>
          <w:iCs/>
          <w:snapToGrid w:val="0"/>
          <w:lang w:val="en-AU"/>
        </w:rPr>
        <w:t>that that decision</w:t>
      </w:r>
      <w:r w:rsidR="001A7F0C">
        <w:rPr>
          <w:iCs/>
          <w:snapToGrid w:val="0"/>
          <w:lang w:val="en-AU"/>
        </w:rPr>
        <w:t xml:space="preserve"> concerned the situation in 2008, before the end of the civil war in Sri Lanka, and that the levels of violence in 2008 could not be equated to the levels of violence in 2015. While there may have been a risk in 2008, the </w:t>
      </w:r>
      <w:r w:rsidR="00990238">
        <w:rPr>
          <w:iCs/>
          <w:snapToGrid w:val="0"/>
          <w:lang w:val="en-AU"/>
        </w:rPr>
        <w:t xml:space="preserve">decision of the </w:t>
      </w:r>
      <w:r w:rsidR="001A7F0C">
        <w:rPr>
          <w:iCs/>
          <w:snapToGrid w:val="0"/>
          <w:lang w:val="en-AU"/>
        </w:rPr>
        <w:t>European Court</w:t>
      </w:r>
      <w:r w:rsidR="00990238">
        <w:rPr>
          <w:iCs/>
          <w:snapToGrid w:val="0"/>
          <w:lang w:val="en-AU"/>
        </w:rPr>
        <w:t xml:space="preserve"> of Human Rights</w:t>
      </w:r>
      <w:r w:rsidR="001A7F0C">
        <w:rPr>
          <w:iCs/>
          <w:snapToGrid w:val="0"/>
          <w:lang w:val="en-AU"/>
        </w:rPr>
        <w:t xml:space="preserve"> did not constitute evidence supporting the complainant’s claim that the risk still existed after the war had ended and </w:t>
      </w:r>
      <w:r w:rsidR="00D01F7E">
        <w:rPr>
          <w:iCs/>
          <w:snapToGrid w:val="0"/>
          <w:lang w:val="en-AU"/>
        </w:rPr>
        <w:t xml:space="preserve">with </w:t>
      </w:r>
      <w:r w:rsidR="001A7F0C">
        <w:rPr>
          <w:iCs/>
          <w:snapToGrid w:val="0"/>
          <w:lang w:val="en-AU"/>
        </w:rPr>
        <w:t xml:space="preserve">the </w:t>
      </w:r>
      <w:r w:rsidR="00B73CD7">
        <w:rPr>
          <w:snapToGrid w:val="0"/>
        </w:rPr>
        <w:t>Liberation Tigers of Tamil Eelam</w:t>
      </w:r>
      <w:r w:rsidR="00990238">
        <w:rPr>
          <w:snapToGrid w:val="0"/>
        </w:rPr>
        <w:t xml:space="preserve"> </w:t>
      </w:r>
      <w:r w:rsidR="001A7F0C">
        <w:rPr>
          <w:iCs/>
          <w:snapToGrid w:val="0"/>
          <w:lang w:val="en-AU"/>
        </w:rPr>
        <w:t xml:space="preserve">no longer active in Sri Lanka. </w:t>
      </w:r>
      <w:r w:rsidR="00EA7E54">
        <w:rPr>
          <w:iCs/>
          <w:snapToGrid w:val="0"/>
          <w:lang w:val="en-AU"/>
        </w:rPr>
        <w:t xml:space="preserve">Recent events, such as a change in government leading to political reforms and </w:t>
      </w:r>
      <w:r w:rsidR="0023038D">
        <w:rPr>
          <w:iCs/>
          <w:snapToGrid w:val="0"/>
          <w:lang w:val="en-AU"/>
        </w:rPr>
        <w:t xml:space="preserve">to </w:t>
      </w:r>
      <w:r w:rsidR="00566E8B">
        <w:rPr>
          <w:iCs/>
          <w:snapToGrid w:val="0"/>
          <w:lang w:val="en-AU"/>
        </w:rPr>
        <w:t xml:space="preserve">a </w:t>
      </w:r>
      <w:r w:rsidR="00EA7E54">
        <w:rPr>
          <w:iCs/>
          <w:snapToGrid w:val="0"/>
          <w:lang w:val="en-AU"/>
        </w:rPr>
        <w:t xml:space="preserve">reduced military presence in the </w:t>
      </w:r>
      <w:r w:rsidR="00D01F7E">
        <w:rPr>
          <w:iCs/>
          <w:snapToGrid w:val="0"/>
          <w:lang w:val="en-AU"/>
        </w:rPr>
        <w:t>n</w:t>
      </w:r>
      <w:r w:rsidR="00EA7E54">
        <w:rPr>
          <w:iCs/>
          <w:snapToGrid w:val="0"/>
          <w:lang w:val="en-AU"/>
        </w:rPr>
        <w:t xml:space="preserve">orth and </w:t>
      </w:r>
      <w:r w:rsidR="00D01F7E">
        <w:rPr>
          <w:iCs/>
          <w:snapToGrid w:val="0"/>
          <w:lang w:val="en-AU"/>
        </w:rPr>
        <w:t>e</w:t>
      </w:r>
      <w:r w:rsidR="00EA7E54">
        <w:rPr>
          <w:iCs/>
          <w:snapToGrid w:val="0"/>
          <w:lang w:val="en-AU"/>
        </w:rPr>
        <w:t xml:space="preserve">ast of </w:t>
      </w:r>
      <w:r w:rsidR="00C60BE6">
        <w:rPr>
          <w:iCs/>
          <w:snapToGrid w:val="0"/>
          <w:lang w:val="en-AU"/>
        </w:rPr>
        <w:t>the country</w:t>
      </w:r>
      <w:r w:rsidR="00EA7E54">
        <w:rPr>
          <w:iCs/>
          <w:snapToGrid w:val="0"/>
          <w:lang w:val="en-AU"/>
        </w:rPr>
        <w:t xml:space="preserve">, </w:t>
      </w:r>
      <w:r w:rsidR="00566E8B">
        <w:rPr>
          <w:iCs/>
          <w:snapToGrid w:val="0"/>
          <w:lang w:val="en-AU"/>
        </w:rPr>
        <w:t xml:space="preserve">have </w:t>
      </w:r>
      <w:r w:rsidR="00EA7E54">
        <w:rPr>
          <w:iCs/>
          <w:snapToGrid w:val="0"/>
          <w:lang w:val="en-AU"/>
        </w:rPr>
        <w:t>provide</w:t>
      </w:r>
      <w:r w:rsidR="00566E8B">
        <w:rPr>
          <w:iCs/>
          <w:snapToGrid w:val="0"/>
          <w:lang w:val="en-AU"/>
        </w:rPr>
        <w:t>d</w:t>
      </w:r>
      <w:r w:rsidR="00EA7E54">
        <w:rPr>
          <w:iCs/>
          <w:snapToGrid w:val="0"/>
          <w:lang w:val="en-AU"/>
        </w:rPr>
        <w:t xml:space="preserve"> increase</w:t>
      </w:r>
      <w:r w:rsidR="00566E8B">
        <w:rPr>
          <w:iCs/>
          <w:snapToGrid w:val="0"/>
          <w:lang w:val="en-AU"/>
        </w:rPr>
        <w:t>d</w:t>
      </w:r>
      <w:r w:rsidR="00EA7E54">
        <w:rPr>
          <w:iCs/>
          <w:snapToGrid w:val="0"/>
          <w:lang w:val="en-AU"/>
        </w:rPr>
        <w:t xml:space="preserve"> security since the complainant’s claims were last considered. </w:t>
      </w:r>
      <w:r w:rsidR="00AC6C72">
        <w:rPr>
          <w:iCs/>
          <w:snapToGrid w:val="0"/>
          <w:lang w:val="en-AU"/>
        </w:rPr>
        <w:t>On the basis of</w:t>
      </w:r>
      <w:r w:rsidR="00EA7E54">
        <w:rPr>
          <w:iCs/>
          <w:snapToGrid w:val="0"/>
          <w:lang w:val="en-AU"/>
        </w:rPr>
        <w:t xml:space="preserve"> current country information, the State party’s </w:t>
      </w:r>
      <w:r w:rsidR="002F4DA6">
        <w:rPr>
          <w:iCs/>
          <w:snapToGrid w:val="0"/>
          <w:lang w:val="en-AU"/>
        </w:rPr>
        <w:t>domestic processes have assessed that the complainant has not provided evidence that he would be identified as a sympathi</w:t>
      </w:r>
      <w:r w:rsidR="00566E8B">
        <w:rPr>
          <w:iCs/>
          <w:snapToGrid w:val="0"/>
          <w:lang w:val="en-AU"/>
        </w:rPr>
        <w:t>z</w:t>
      </w:r>
      <w:r w:rsidR="002F4DA6">
        <w:rPr>
          <w:iCs/>
          <w:snapToGrid w:val="0"/>
          <w:lang w:val="en-AU"/>
        </w:rPr>
        <w:t xml:space="preserve">er of the </w:t>
      </w:r>
      <w:r w:rsidR="00B73CD7" w:rsidRPr="00B73CD7">
        <w:rPr>
          <w:iCs/>
          <w:snapToGrid w:val="0"/>
          <w:lang w:val="en-AU"/>
        </w:rPr>
        <w:t>Liberation Tigers of Tamil Eelam</w:t>
      </w:r>
      <w:r w:rsidR="002F4DA6">
        <w:rPr>
          <w:iCs/>
          <w:snapToGrid w:val="0"/>
          <w:lang w:val="en-AU"/>
        </w:rPr>
        <w:t xml:space="preserve"> (including on account of his scarring) and has not provided evidence that even if he were </w:t>
      </w:r>
      <w:r w:rsidR="002F4DA6" w:rsidRPr="00B73CD7">
        <w:rPr>
          <w:iCs/>
          <w:snapToGrid w:val="0"/>
          <w:lang w:val="en-AU"/>
        </w:rPr>
        <w:t xml:space="preserve">identified as having family links with </w:t>
      </w:r>
      <w:r w:rsidR="00B73CD7">
        <w:rPr>
          <w:iCs/>
          <w:snapToGrid w:val="0"/>
          <w:lang w:val="en-AU"/>
        </w:rPr>
        <w:t>a</w:t>
      </w:r>
      <w:r w:rsidR="002F4DA6" w:rsidRPr="00B73CD7">
        <w:rPr>
          <w:iCs/>
          <w:snapToGrid w:val="0"/>
          <w:lang w:val="en-AU"/>
        </w:rPr>
        <w:t xml:space="preserve"> member</w:t>
      </w:r>
      <w:r w:rsidR="00B73CD7" w:rsidRPr="00B73CD7">
        <w:rPr>
          <w:iCs/>
          <w:snapToGrid w:val="0"/>
          <w:lang w:val="en-AU"/>
        </w:rPr>
        <w:t xml:space="preserve"> of the </w:t>
      </w:r>
      <w:r w:rsidR="00B73CD7" w:rsidRPr="003A40BB">
        <w:rPr>
          <w:rStyle w:val="en"/>
        </w:rPr>
        <w:t>Liberation Tigers of Tamil Eelam</w:t>
      </w:r>
      <w:r w:rsidR="002F4DA6" w:rsidRPr="00B73CD7">
        <w:rPr>
          <w:iCs/>
          <w:snapToGrid w:val="0"/>
          <w:lang w:val="en-AU"/>
        </w:rPr>
        <w:t xml:space="preserve">, or </w:t>
      </w:r>
      <w:r w:rsidR="00566E8B">
        <w:rPr>
          <w:iCs/>
          <w:snapToGrid w:val="0"/>
          <w:lang w:val="en-AU"/>
        </w:rPr>
        <w:t xml:space="preserve">a </w:t>
      </w:r>
      <w:r w:rsidR="002F4DA6" w:rsidRPr="00B73CD7">
        <w:rPr>
          <w:iCs/>
          <w:snapToGrid w:val="0"/>
          <w:lang w:val="en-AU"/>
        </w:rPr>
        <w:t>suspected</w:t>
      </w:r>
      <w:r w:rsidR="002F4DA6">
        <w:rPr>
          <w:iCs/>
          <w:snapToGrid w:val="0"/>
          <w:lang w:val="en-AU"/>
        </w:rPr>
        <w:t xml:space="preserve"> member, that he would have a sufficiently high profile to be in danger of being subjected to torture.</w:t>
      </w:r>
    </w:p>
    <w:p w:rsidR="002F4DA6" w:rsidRDefault="002F4DA6" w:rsidP="003E1D72">
      <w:pPr>
        <w:pStyle w:val="SingleTxtG"/>
      </w:pPr>
      <w:r>
        <w:t>6.3</w:t>
      </w:r>
      <w:r>
        <w:tab/>
        <w:t xml:space="preserve">The State party </w:t>
      </w:r>
      <w:r w:rsidR="00AC6C72">
        <w:t xml:space="preserve">also </w:t>
      </w:r>
      <w:r>
        <w:t xml:space="preserve">submitted that </w:t>
      </w:r>
      <w:r w:rsidR="00AC6C72">
        <w:t xml:space="preserve">the </w:t>
      </w:r>
      <w:r w:rsidR="008E6704">
        <w:t xml:space="preserve">up-to-date </w:t>
      </w:r>
      <w:r>
        <w:t xml:space="preserve">country information concurred with the conclusions reached by the </w:t>
      </w:r>
      <w:r w:rsidR="005B6B56">
        <w:rPr>
          <w:snapToGrid w:val="0"/>
        </w:rPr>
        <w:t>Refugee Review Tribunal</w:t>
      </w:r>
      <w:r>
        <w:t>. In relation to the complainant’s illegal departure from Sri Lanka, under section 45</w:t>
      </w:r>
      <w:r w:rsidR="005B6B56">
        <w:t xml:space="preserve"> </w:t>
      </w:r>
      <w:r>
        <w:t>(1)</w:t>
      </w:r>
      <w:r w:rsidR="005B6B56">
        <w:t xml:space="preserve"> </w:t>
      </w:r>
      <w:r>
        <w:t>(b) of the Immigrants and Emigrants Act it is an offence to depart other than via</w:t>
      </w:r>
      <w:r w:rsidR="004D716F">
        <w:t xml:space="preserve"> an official port of entry or exit and </w:t>
      </w:r>
      <w:r w:rsidR="00AC6C72">
        <w:t xml:space="preserve">the </w:t>
      </w:r>
      <w:r w:rsidR="004D716F">
        <w:t>penalties include custodial sentences of up to five years and a fine of up to 200</w:t>
      </w:r>
      <w:r w:rsidR="00AC6C72">
        <w:t>,</w:t>
      </w:r>
      <w:r w:rsidR="004D716F">
        <w:t xml:space="preserve">000 </w:t>
      </w:r>
      <w:r w:rsidR="005B6B56">
        <w:t>r</w:t>
      </w:r>
      <w:r w:rsidR="004D716F">
        <w:t xml:space="preserve">upees. However </w:t>
      </w:r>
      <w:r w:rsidR="00397B60">
        <w:t xml:space="preserve">on the basis of the </w:t>
      </w:r>
      <w:r w:rsidR="004D716F">
        <w:t>current country information</w:t>
      </w:r>
      <w:r w:rsidR="00AC6C72">
        <w:t>,</w:t>
      </w:r>
      <w:r w:rsidR="004D716F">
        <w:t xml:space="preserve"> the </w:t>
      </w:r>
      <w:r w:rsidR="00AE1899">
        <w:rPr>
          <w:snapToGrid w:val="0"/>
          <w:lang w:val="en-AU"/>
        </w:rPr>
        <w:t>Department of Immigration and Border Protection</w:t>
      </w:r>
      <w:r w:rsidR="004D716F">
        <w:t xml:space="preserve"> had assessed</w:t>
      </w:r>
      <w:r w:rsidR="00397B60">
        <w:t xml:space="preserve"> that</w:t>
      </w:r>
      <w:r w:rsidR="004D716F">
        <w:t xml:space="preserve"> the most likely penalty was a fine and </w:t>
      </w:r>
      <w:r w:rsidR="00397B60">
        <w:t xml:space="preserve">that </w:t>
      </w:r>
      <w:r w:rsidR="004D716F">
        <w:t xml:space="preserve">custodial sentences were not given to passengers </w:t>
      </w:r>
      <w:r w:rsidR="00397B60">
        <w:t>i</w:t>
      </w:r>
      <w:r w:rsidR="004D716F">
        <w:t>n people</w:t>
      </w:r>
      <w:r w:rsidR="00397B60">
        <w:t>-</w:t>
      </w:r>
      <w:r w:rsidR="004D716F">
        <w:t>smuggling ventures. The risk of torture was greater for those who were suspected of having committed serious crimes, including people smuggling</w:t>
      </w:r>
      <w:r w:rsidR="00397B60">
        <w:t xml:space="preserve"> and</w:t>
      </w:r>
      <w:r w:rsidR="004D716F">
        <w:t xml:space="preserve"> terr</w:t>
      </w:r>
      <w:r w:rsidR="004D716F" w:rsidRPr="00B73CD7">
        <w:t xml:space="preserve">orism offences, or </w:t>
      </w:r>
      <w:r w:rsidR="00AC6C72">
        <w:t xml:space="preserve">for </w:t>
      </w:r>
      <w:r w:rsidR="004D716F" w:rsidRPr="00B73CD7">
        <w:t>high-profile former members</w:t>
      </w:r>
      <w:r w:rsidR="00B73CD7" w:rsidRPr="00B73CD7">
        <w:t xml:space="preserve"> of the </w:t>
      </w:r>
      <w:r w:rsidR="00B73CD7" w:rsidRPr="003A40BB">
        <w:rPr>
          <w:rStyle w:val="en"/>
        </w:rPr>
        <w:t>Liberation Tigers of Tamil Eelam</w:t>
      </w:r>
      <w:r w:rsidR="004D716F" w:rsidRPr="00B73CD7">
        <w:t>.</w:t>
      </w:r>
      <w:r w:rsidR="004D716F">
        <w:t xml:space="preserve"> The State party argued that the complainant did not have those </w:t>
      </w:r>
      <w:r w:rsidR="003E1D72">
        <w:t>characteristics</w:t>
      </w:r>
      <w:r w:rsidR="004D716F">
        <w:t>.</w:t>
      </w:r>
    </w:p>
    <w:p w:rsidR="00E022F5" w:rsidRDefault="007E3DE7" w:rsidP="003A40BB">
      <w:pPr>
        <w:pStyle w:val="H23G"/>
      </w:pPr>
      <w:r>
        <w:tab/>
      </w:r>
      <w:r>
        <w:tab/>
      </w:r>
      <w:r w:rsidR="00E022F5">
        <w:t>Complainant’s further comments</w:t>
      </w:r>
    </w:p>
    <w:p w:rsidR="00E022F5" w:rsidRPr="00E022F5" w:rsidRDefault="00E022F5">
      <w:pPr>
        <w:pStyle w:val="SingleTxtG"/>
        <w:rPr>
          <w:b/>
        </w:rPr>
      </w:pPr>
      <w:r>
        <w:rPr>
          <w:b/>
        </w:rPr>
        <w:t>7.</w:t>
      </w:r>
      <w:r>
        <w:rPr>
          <w:b/>
        </w:rPr>
        <w:tab/>
      </w:r>
      <w:r w:rsidRPr="000023EB">
        <w:rPr>
          <w:color w:val="000000"/>
        </w:rPr>
        <w:t>On 5 August 2016, the complainant reiterated that he disagree</w:t>
      </w:r>
      <w:r w:rsidR="003753E1">
        <w:rPr>
          <w:color w:val="000000"/>
        </w:rPr>
        <w:t>d</w:t>
      </w:r>
      <w:r w:rsidRPr="000023EB">
        <w:rPr>
          <w:color w:val="000000"/>
        </w:rPr>
        <w:t xml:space="preserve"> with the State party’s statement that his claims for protection </w:t>
      </w:r>
      <w:r w:rsidR="003753E1">
        <w:rPr>
          <w:color w:val="000000"/>
        </w:rPr>
        <w:t>had been</w:t>
      </w:r>
      <w:r w:rsidRPr="000023EB">
        <w:rPr>
          <w:color w:val="000000"/>
        </w:rPr>
        <w:t xml:space="preserve"> subjected to “robust and comprehensive domestic administrative and judicial processes”, since there were inconsistencies in the </w:t>
      </w:r>
      <w:r w:rsidR="003753E1">
        <w:rPr>
          <w:snapToGrid w:val="0"/>
        </w:rPr>
        <w:t>Refugee Review Tribunal</w:t>
      </w:r>
      <w:r w:rsidRPr="000023EB">
        <w:rPr>
          <w:color w:val="000000"/>
        </w:rPr>
        <w:t xml:space="preserve"> decision, </w:t>
      </w:r>
      <w:r w:rsidR="003753E1">
        <w:rPr>
          <w:color w:val="000000"/>
        </w:rPr>
        <w:t xml:space="preserve">and </w:t>
      </w:r>
      <w:r w:rsidRPr="000023EB">
        <w:rPr>
          <w:color w:val="000000"/>
        </w:rPr>
        <w:t xml:space="preserve">the </w:t>
      </w:r>
      <w:r w:rsidR="003753E1">
        <w:rPr>
          <w:color w:val="000000"/>
        </w:rPr>
        <w:t>Tribunal</w:t>
      </w:r>
      <w:r w:rsidRPr="000023EB">
        <w:rPr>
          <w:color w:val="000000"/>
        </w:rPr>
        <w:t xml:space="preserve"> had paid scant attention to the </w:t>
      </w:r>
      <w:r w:rsidR="00705BD7">
        <w:rPr>
          <w:color w:val="000000"/>
        </w:rPr>
        <w:t xml:space="preserve">State party’s </w:t>
      </w:r>
      <w:r w:rsidRPr="000023EB">
        <w:rPr>
          <w:color w:val="000000"/>
        </w:rPr>
        <w:t>non-refoulement obligations unde</w:t>
      </w:r>
      <w:r>
        <w:rPr>
          <w:color w:val="000000"/>
        </w:rPr>
        <w:t xml:space="preserve">r the Convention </w:t>
      </w:r>
      <w:r w:rsidR="00705BD7">
        <w:rPr>
          <w:color w:val="000000"/>
        </w:rPr>
        <w:t>as</w:t>
      </w:r>
      <w:r>
        <w:rPr>
          <w:color w:val="000000"/>
        </w:rPr>
        <w:t xml:space="preserve"> it </w:t>
      </w:r>
      <w:r w:rsidR="003753E1">
        <w:rPr>
          <w:color w:val="000000"/>
        </w:rPr>
        <w:t xml:space="preserve">had </w:t>
      </w:r>
      <w:r>
        <w:rPr>
          <w:color w:val="000000"/>
        </w:rPr>
        <w:t>addressed his claims in</w:t>
      </w:r>
      <w:r w:rsidRPr="000023EB">
        <w:rPr>
          <w:color w:val="000000"/>
        </w:rPr>
        <w:t xml:space="preserve"> one paragraph</w:t>
      </w:r>
      <w:r>
        <w:rPr>
          <w:color w:val="000000"/>
        </w:rPr>
        <w:t xml:space="preserve"> only. He reiterates that being seen with a scar </w:t>
      </w:r>
      <w:r w:rsidRPr="000023EB">
        <w:rPr>
          <w:color w:val="000000"/>
        </w:rPr>
        <w:t xml:space="preserve">on arrival at the </w:t>
      </w:r>
      <w:r>
        <w:rPr>
          <w:color w:val="000000"/>
        </w:rPr>
        <w:t xml:space="preserve">airport would </w:t>
      </w:r>
      <w:r w:rsidR="00A23FA8">
        <w:rPr>
          <w:color w:val="000000"/>
        </w:rPr>
        <w:t xml:space="preserve">in and </w:t>
      </w:r>
      <w:r w:rsidRPr="000023EB">
        <w:rPr>
          <w:color w:val="000000"/>
        </w:rPr>
        <w:t>of itself provoke</w:t>
      </w:r>
      <w:r>
        <w:rPr>
          <w:color w:val="000000"/>
        </w:rPr>
        <w:t xml:space="preserve"> </w:t>
      </w:r>
      <w:r w:rsidRPr="000023EB">
        <w:rPr>
          <w:color w:val="000000"/>
        </w:rPr>
        <w:t xml:space="preserve">sufficient suspicion to place </w:t>
      </w:r>
      <w:r>
        <w:rPr>
          <w:color w:val="000000"/>
        </w:rPr>
        <w:t>him</w:t>
      </w:r>
      <w:r w:rsidRPr="000023EB">
        <w:rPr>
          <w:color w:val="000000"/>
        </w:rPr>
        <w:t xml:space="preserve"> at risk of an extended period of</w:t>
      </w:r>
      <w:r>
        <w:rPr>
          <w:color w:val="000000"/>
        </w:rPr>
        <w:t xml:space="preserve"> </w:t>
      </w:r>
      <w:r w:rsidRPr="000023EB">
        <w:rPr>
          <w:color w:val="000000"/>
        </w:rPr>
        <w:t>detent</w:t>
      </w:r>
      <w:r>
        <w:rPr>
          <w:color w:val="000000"/>
        </w:rPr>
        <w:t xml:space="preserve">ion </w:t>
      </w:r>
      <w:r w:rsidR="001A778F">
        <w:rPr>
          <w:color w:val="000000"/>
        </w:rPr>
        <w:t>o</w:t>
      </w:r>
      <w:r>
        <w:rPr>
          <w:color w:val="000000"/>
        </w:rPr>
        <w:t xml:space="preserve">n remand at Negombo Prison. It would also place him at a </w:t>
      </w:r>
      <w:r w:rsidRPr="000023EB">
        <w:rPr>
          <w:color w:val="000000"/>
        </w:rPr>
        <w:t>significant risk of ongoing harassment on</w:t>
      </w:r>
      <w:r>
        <w:rPr>
          <w:color w:val="000000"/>
        </w:rPr>
        <w:t xml:space="preserve"> </w:t>
      </w:r>
      <w:r w:rsidR="003F7B25">
        <w:rPr>
          <w:color w:val="000000"/>
        </w:rPr>
        <w:t xml:space="preserve">his </w:t>
      </w:r>
      <w:r w:rsidRPr="000023EB">
        <w:rPr>
          <w:color w:val="000000"/>
        </w:rPr>
        <w:t>return to his home village</w:t>
      </w:r>
      <w:r>
        <w:rPr>
          <w:color w:val="000000"/>
        </w:rPr>
        <w:t>,</w:t>
      </w:r>
      <w:r w:rsidRPr="000023EB">
        <w:rPr>
          <w:color w:val="000000"/>
        </w:rPr>
        <w:t xml:space="preserve"> because the Sri Lankan authorities </w:t>
      </w:r>
      <w:r w:rsidR="003F7B25">
        <w:rPr>
          <w:color w:val="000000"/>
        </w:rPr>
        <w:t>would</w:t>
      </w:r>
      <w:r w:rsidRPr="000023EB">
        <w:rPr>
          <w:color w:val="000000"/>
        </w:rPr>
        <w:t xml:space="preserve"> be</w:t>
      </w:r>
      <w:r>
        <w:rPr>
          <w:color w:val="000000"/>
        </w:rPr>
        <w:t xml:space="preserve"> </w:t>
      </w:r>
      <w:r w:rsidRPr="000023EB">
        <w:rPr>
          <w:color w:val="000000"/>
        </w:rPr>
        <w:t xml:space="preserve">concerned that the scar </w:t>
      </w:r>
      <w:r w:rsidR="003F7B25">
        <w:rPr>
          <w:color w:val="000000"/>
        </w:rPr>
        <w:t>had been</w:t>
      </w:r>
      <w:r w:rsidRPr="000023EB">
        <w:rPr>
          <w:color w:val="000000"/>
        </w:rPr>
        <w:t xml:space="preserve"> acquired in battle and</w:t>
      </w:r>
      <w:r>
        <w:rPr>
          <w:color w:val="000000"/>
        </w:rPr>
        <w:t xml:space="preserve"> </w:t>
      </w:r>
      <w:r w:rsidR="003F7B25">
        <w:rPr>
          <w:color w:val="000000"/>
        </w:rPr>
        <w:t xml:space="preserve">would </w:t>
      </w:r>
      <w:r>
        <w:rPr>
          <w:color w:val="000000"/>
        </w:rPr>
        <w:t xml:space="preserve">perceive him as </w:t>
      </w:r>
      <w:r w:rsidRPr="000023EB">
        <w:rPr>
          <w:color w:val="000000"/>
        </w:rPr>
        <w:t xml:space="preserve">a combatant or </w:t>
      </w:r>
      <w:r w:rsidR="003F7B25">
        <w:rPr>
          <w:color w:val="000000"/>
        </w:rPr>
        <w:t xml:space="preserve">would </w:t>
      </w:r>
      <w:r>
        <w:rPr>
          <w:color w:val="000000"/>
        </w:rPr>
        <w:t xml:space="preserve">suspect that the scar </w:t>
      </w:r>
      <w:r w:rsidR="007D13F4">
        <w:rPr>
          <w:color w:val="000000"/>
        </w:rPr>
        <w:t xml:space="preserve">had been </w:t>
      </w:r>
      <w:r w:rsidRPr="000023EB">
        <w:rPr>
          <w:color w:val="000000"/>
        </w:rPr>
        <w:t>acquired as part of the alleged shelling of civilian populations at the end of the</w:t>
      </w:r>
      <w:r>
        <w:rPr>
          <w:color w:val="000000"/>
        </w:rPr>
        <w:t xml:space="preserve"> </w:t>
      </w:r>
      <w:r w:rsidRPr="000023EB">
        <w:rPr>
          <w:color w:val="000000"/>
        </w:rPr>
        <w:t xml:space="preserve">war. </w:t>
      </w:r>
      <w:r>
        <w:rPr>
          <w:color w:val="000000"/>
        </w:rPr>
        <w:t xml:space="preserve">He maintains that </w:t>
      </w:r>
      <w:r w:rsidRPr="000023EB">
        <w:rPr>
          <w:color w:val="000000"/>
        </w:rPr>
        <w:t xml:space="preserve">civilians </w:t>
      </w:r>
      <w:r w:rsidRPr="000023EB">
        <w:rPr>
          <w:color w:val="000000"/>
        </w:rPr>
        <w:lastRenderedPageBreak/>
        <w:t xml:space="preserve">who were </w:t>
      </w:r>
      <w:r w:rsidR="007D13F4">
        <w:rPr>
          <w:color w:val="000000"/>
        </w:rPr>
        <w:t>victims of or witnesses to</w:t>
      </w:r>
      <w:r w:rsidRPr="000023EB">
        <w:rPr>
          <w:color w:val="000000"/>
        </w:rPr>
        <w:t xml:space="preserve"> war crimes,</w:t>
      </w:r>
      <w:r>
        <w:rPr>
          <w:color w:val="000000"/>
        </w:rPr>
        <w:t xml:space="preserve"> </w:t>
      </w:r>
      <w:r w:rsidRPr="000023EB">
        <w:rPr>
          <w:color w:val="000000"/>
        </w:rPr>
        <w:t>such as the shelling t</w:t>
      </w:r>
      <w:r>
        <w:rPr>
          <w:color w:val="000000"/>
        </w:rPr>
        <w:t>hat injured him,</w:t>
      </w:r>
      <w:r w:rsidRPr="000023EB">
        <w:rPr>
          <w:color w:val="000000"/>
        </w:rPr>
        <w:t xml:space="preserve"> are at risk in Sri Lanka</w:t>
      </w:r>
      <w:r w:rsidR="007D13F4">
        <w:rPr>
          <w:color w:val="000000"/>
        </w:rPr>
        <w:t>,</w:t>
      </w:r>
      <w:r w:rsidRPr="000023EB">
        <w:rPr>
          <w:color w:val="000000"/>
        </w:rPr>
        <w:t xml:space="preserve"> as the</w:t>
      </w:r>
      <w:r>
        <w:rPr>
          <w:color w:val="000000"/>
        </w:rPr>
        <w:t xml:space="preserve"> </w:t>
      </w:r>
      <w:r w:rsidR="007D13F4">
        <w:rPr>
          <w:color w:val="000000"/>
        </w:rPr>
        <w:t>G</w:t>
      </w:r>
      <w:r w:rsidRPr="000023EB">
        <w:rPr>
          <w:color w:val="000000"/>
        </w:rPr>
        <w:t>overnment continues to resist credible investigations into war crimes allegations.</w:t>
      </w:r>
      <w:r>
        <w:rPr>
          <w:rStyle w:val="FootnoteReference"/>
          <w:color w:val="000000"/>
        </w:rPr>
        <w:footnoteReference w:id="9"/>
      </w:r>
      <w:r>
        <w:rPr>
          <w:color w:val="000000"/>
        </w:rPr>
        <w:t xml:space="preserve"> The complainant also noted that the </w:t>
      </w:r>
      <w:r w:rsidR="003753E1">
        <w:rPr>
          <w:snapToGrid w:val="0"/>
        </w:rPr>
        <w:t>Refugee Review Tribunal</w:t>
      </w:r>
      <w:r>
        <w:rPr>
          <w:color w:val="000000"/>
        </w:rPr>
        <w:t xml:space="preserve"> decisions were </w:t>
      </w:r>
      <w:r w:rsidRPr="000023EB">
        <w:rPr>
          <w:color w:val="000000"/>
        </w:rPr>
        <w:t>largely based on credibility</w:t>
      </w:r>
      <w:r w:rsidR="00197428">
        <w:rPr>
          <w:color w:val="000000"/>
        </w:rPr>
        <w:t>,</w:t>
      </w:r>
      <w:r>
        <w:rPr>
          <w:color w:val="000000"/>
        </w:rPr>
        <w:t xml:space="preserve"> and maintained that </w:t>
      </w:r>
      <w:r w:rsidR="00BC3286">
        <w:rPr>
          <w:color w:val="000000"/>
        </w:rPr>
        <w:t xml:space="preserve">according to the law, </w:t>
      </w:r>
      <w:r>
        <w:rPr>
          <w:color w:val="000000"/>
        </w:rPr>
        <w:t xml:space="preserve">questions </w:t>
      </w:r>
      <w:r w:rsidRPr="000023EB">
        <w:rPr>
          <w:color w:val="000000"/>
        </w:rPr>
        <w:t>of credibility c</w:t>
      </w:r>
      <w:r>
        <w:rPr>
          <w:color w:val="000000"/>
        </w:rPr>
        <w:t xml:space="preserve">ould </w:t>
      </w:r>
      <w:r w:rsidRPr="000023EB">
        <w:rPr>
          <w:color w:val="000000"/>
        </w:rPr>
        <w:t xml:space="preserve">not </w:t>
      </w:r>
      <w:r>
        <w:rPr>
          <w:color w:val="000000"/>
        </w:rPr>
        <w:t>be reviewed by the courts, since t</w:t>
      </w:r>
      <w:r w:rsidRPr="000023EB">
        <w:rPr>
          <w:color w:val="000000"/>
        </w:rPr>
        <w:t>hey only</w:t>
      </w:r>
      <w:r>
        <w:rPr>
          <w:color w:val="000000"/>
        </w:rPr>
        <w:t xml:space="preserve"> </w:t>
      </w:r>
      <w:r w:rsidRPr="000023EB">
        <w:rPr>
          <w:color w:val="000000"/>
        </w:rPr>
        <w:t>ha</w:t>
      </w:r>
      <w:r w:rsidR="00197428">
        <w:rPr>
          <w:color w:val="000000"/>
        </w:rPr>
        <w:t>d</w:t>
      </w:r>
      <w:r w:rsidRPr="000023EB">
        <w:rPr>
          <w:color w:val="000000"/>
        </w:rPr>
        <w:t xml:space="preserve"> jurisdiction to consider legal errors.</w:t>
      </w:r>
      <w:r>
        <w:rPr>
          <w:color w:val="000000"/>
        </w:rPr>
        <w:t xml:space="preserve"> He further note</w:t>
      </w:r>
      <w:r w:rsidR="00197428">
        <w:rPr>
          <w:color w:val="000000"/>
        </w:rPr>
        <w:t>d</w:t>
      </w:r>
      <w:r>
        <w:rPr>
          <w:color w:val="000000"/>
        </w:rPr>
        <w:t xml:space="preserve"> that the State party had referred to the</w:t>
      </w:r>
      <w:r w:rsidRPr="000023EB">
        <w:rPr>
          <w:color w:val="000000"/>
        </w:rPr>
        <w:t xml:space="preserve"> lower level of violence in Sri Lanka</w:t>
      </w:r>
      <w:r>
        <w:rPr>
          <w:color w:val="000000"/>
        </w:rPr>
        <w:t xml:space="preserve"> </w:t>
      </w:r>
      <w:r w:rsidRPr="000023EB">
        <w:rPr>
          <w:color w:val="000000"/>
        </w:rPr>
        <w:t xml:space="preserve">compared to </w:t>
      </w:r>
      <w:r w:rsidR="00BC3286">
        <w:rPr>
          <w:color w:val="000000"/>
        </w:rPr>
        <w:t>the period before</w:t>
      </w:r>
      <w:r w:rsidRPr="000023EB">
        <w:rPr>
          <w:color w:val="000000"/>
        </w:rPr>
        <w:t xml:space="preserve"> 2009 and </w:t>
      </w:r>
      <w:r w:rsidR="00BC3286">
        <w:rPr>
          <w:color w:val="000000"/>
        </w:rPr>
        <w:t xml:space="preserve">had </w:t>
      </w:r>
      <w:r w:rsidRPr="000023EB">
        <w:rPr>
          <w:color w:val="000000"/>
        </w:rPr>
        <w:t>nominate</w:t>
      </w:r>
      <w:r>
        <w:rPr>
          <w:color w:val="000000"/>
        </w:rPr>
        <w:t>d</w:t>
      </w:r>
      <w:r w:rsidRPr="000023EB">
        <w:rPr>
          <w:color w:val="000000"/>
        </w:rPr>
        <w:t xml:space="preserve"> some profiles of those </w:t>
      </w:r>
      <w:r w:rsidR="00BC3286">
        <w:rPr>
          <w:color w:val="000000"/>
        </w:rPr>
        <w:t xml:space="preserve">that </w:t>
      </w:r>
      <w:r w:rsidRPr="000023EB">
        <w:rPr>
          <w:color w:val="000000"/>
        </w:rPr>
        <w:t>it consider</w:t>
      </w:r>
      <w:r w:rsidR="00BC3286">
        <w:rPr>
          <w:color w:val="000000"/>
        </w:rPr>
        <w:t>ed</w:t>
      </w:r>
      <w:r w:rsidRPr="000023EB">
        <w:rPr>
          <w:color w:val="000000"/>
        </w:rPr>
        <w:t xml:space="preserve"> to be at</w:t>
      </w:r>
      <w:r>
        <w:rPr>
          <w:color w:val="000000"/>
        </w:rPr>
        <w:t xml:space="preserve"> </w:t>
      </w:r>
      <w:r w:rsidRPr="000023EB">
        <w:rPr>
          <w:color w:val="000000"/>
        </w:rPr>
        <w:t>risk</w:t>
      </w:r>
      <w:r>
        <w:rPr>
          <w:color w:val="000000"/>
        </w:rPr>
        <w:t>, but</w:t>
      </w:r>
      <w:r w:rsidRPr="000023EB">
        <w:rPr>
          <w:color w:val="000000"/>
        </w:rPr>
        <w:t xml:space="preserve"> </w:t>
      </w:r>
      <w:r w:rsidR="000D20B5">
        <w:rPr>
          <w:color w:val="000000"/>
        </w:rPr>
        <w:t>it had advanced</w:t>
      </w:r>
      <w:r w:rsidRPr="000023EB">
        <w:rPr>
          <w:color w:val="000000"/>
        </w:rPr>
        <w:t xml:space="preserve"> no further argument</w:t>
      </w:r>
      <w:r w:rsidR="000D20B5">
        <w:rPr>
          <w:color w:val="000000"/>
        </w:rPr>
        <w:t>s</w:t>
      </w:r>
      <w:r w:rsidR="00BC3286">
        <w:rPr>
          <w:color w:val="000000"/>
        </w:rPr>
        <w:t xml:space="preserve"> as to</w:t>
      </w:r>
      <w:r w:rsidRPr="000023EB">
        <w:rPr>
          <w:color w:val="000000"/>
        </w:rPr>
        <w:t xml:space="preserve"> why the </w:t>
      </w:r>
      <w:r w:rsidR="000D20B5">
        <w:rPr>
          <w:color w:val="000000"/>
        </w:rPr>
        <w:t xml:space="preserve">complainant’s </w:t>
      </w:r>
      <w:r>
        <w:rPr>
          <w:color w:val="000000"/>
        </w:rPr>
        <w:t>arguments p</w:t>
      </w:r>
      <w:r w:rsidRPr="000023EB">
        <w:rPr>
          <w:color w:val="000000"/>
        </w:rPr>
        <w:t>ut forward to the C</w:t>
      </w:r>
      <w:r>
        <w:rPr>
          <w:color w:val="000000"/>
        </w:rPr>
        <w:t xml:space="preserve">ommittee </w:t>
      </w:r>
      <w:r w:rsidR="00BC3286">
        <w:rPr>
          <w:color w:val="000000"/>
        </w:rPr>
        <w:t xml:space="preserve">about </w:t>
      </w:r>
      <w:r w:rsidRPr="000023EB">
        <w:rPr>
          <w:color w:val="000000"/>
        </w:rPr>
        <w:t xml:space="preserve">why he would be at risk </w:t>
      </w:r>
      <w:r w:rsidR="000D20B5">
        <w:rPr>
          <w:color w:val="000000"/>
        </w:rPr>
        <w:t>we</w:t>
      </w:r>
      <w:r w:rsidRPr="000023EB">
        <w:rPr>
          <w:color w:val="000000"/>
        </w:rPr>
        <w:t xml:space="preserve">re not to be considered. </w:t>
      </w:r>
      <w:r>
        <w:rPr>
          <w:color w:val="000000"/>
        </w:rPr>
        <w:t xml:space="preserve">He argues that the Committee should </w:t>
      </w:r>
      <w:r w:rsidRPr="000023EB">
        <w:rPr>
          <w:color w:val="000000"/>
        </w:rPr>
        <w:t>consider his particular circumstances</w:t>
      </w:r>
      <w:r>
        <w:rPr>
          <w:color w:val="000000"/>
        </w:rPr>
        <w:t>,</w:t>
      </w:r>
      <w:r w:rsidRPr="000023EB">
        <w:rPr>
          <w:color w:val="000000"/>
        </w:rPr>
        <w:t xml:space="preserve"> </w:t>
      </w:r>
      <w:r w:rsidR="00DB6F42">
        <w:rPr>
          <w:color w:val="000000"/>
        </w:rPr>
        <w:t xml:space="preserve">should not </w:t>
      </w:r>
      <w:r w:rsidRPr="000023EB">
        <w:rPr>
          <w:color w:val="000000"/>
        </w:rPr>
        <w:t xml:space="preserve">take the </w:t>
      </w:r>
      <w:r w:rsidR="003753E1">
        <w:rPr>
          <w:snapToGrid w:val="0"/>
        </w:rPr>
        <w:t>Refugee Review Tribunal</w:t>
      </w:r>
      <w:r w:rsidR="00F024AC">
        <w:rPr>
          <w:snapToGrid w:val="0"/>
        </w:rPr>
        <w:t>’s</w:t>
      </w:r>
      <w:r w:rsidRPr="000023EB">
        <w:rPr>
          <w:color w:val="000000"/>
        </w:rPr>
        <w:t xml:space="preserve"> negative credibility findings at face </w:t>
      </w:r>
      <w:r w:rsidRPr="0023038D">
        <w:rPr>
          <w:color w:val="000000"/>
        </w:rPr>
        <w:t>value and</w:t>
      </w:r>
      <w:r w:rsidR="003B22AB" w:rsidRPr="0023038D">
        <w:rPr>
          <w:color w:val="000000"/>
        </w:rPr>
        <w:t xml:space="preserve"> should not</w:t>
      </w:r>
      <w:r w:rsidRPr="0023038D">
        <w:rPr>
          <w:color w:val="000000"/>
        </w:rPr>
        <w:t xml:space="preserve"> accept</w:t>
      </w:r>
      <w:r w:rsidRPr="000023EB">
        <w:rPr>
          <w:color w:val="000000"/>
        </w:rPr>
        <w:t xml:space="preserve"> the opinion of the Department of </w:t>
      </w:r>
      <w:r w:rsidRPr="0023038D">
        <w:rPr>
          <w:color w:val="000000"/>
        </w:rPr>
        <w:t xml:space="preserve">Immigration </w:t>
      </w:r>
      <w:r w:rsidR="003B22AB" w:rsidRPr="0023038D">
        <w:rPr>
          <w:color w:val="000000"/>
        </w:rPr>
        <w:t>and Border Protection unquestioningly.</w:t>
      </w:r>
    </w:p>
    <w:p w:rsidR="00CB6AEA" w:rsidRPr="00DF23DE" w:rsidRDefault="00775D23" w:rsidP="00240CD4">
      <w:pPr>
        <w:pStyle w:val="H23G"/>
        <w:rPr>
          <w:rFonts w:eastAsia="Cambria"/>
          <w:snapToGrid w:val="0"/>
        </w:rPr>
      </w:pPr>
      <w:r w:rsidRPr="00DF23DE">
        <w:rPr>
          <w:snapToGrid w:val="0"/>
        </w:rPr>
        <w:tab/>
      </w:r>
      <w:r w:rsidR="007821E7" w:rsidRPr="00DF23DE">
        <w:rPr>
          <w:snapToGrid w:val="0"/>
        </w:rPr>
        <w:tab/>
      </w:r>
      <w:r w:rsidR="00CB6AEA" w:rsidRPr="00DF23DE">
        <w:rPr>
          <w:rFonts w:eastAsia="Cambria"/>
          <w:snapToGrid w:val="0"/>
        </w:rPr>
        <w:t>Issues and proceedings before the Committee</w:t>
      </w:r>
    </w:p>
    <w:p w:rsidR="00C31926" w:rsidRPr="00DF23DE" w:rsidRDefault="00D91B02" w:rsidP="00240CD4">
      <w:pPr>
        <w:pStyle w:val="H4G"/>
        <w:rPr>
          <w:rFonts w:eastAsia="Cambria"/>
          <w:snapToGrid w:val="0"/>
        </w:rPr>
      </w:pPr>
      <w:r w:rsidRPr="00DF23DE">
        <w:tab/>
      </w:r>
      <w:r w:rsidR="002E38E2">
        <w:tab/>
      </w:r>
      <w:r w:rsidR="00C31926" w:rsidRPr="00DF23DE">
        <w:rPr>
          <w:rFonts w:eastAsia="Calibri"/>
          <w:kern w:val="3"/>
          <w:lang w:eastAsia="zh-CN"/>
        </w:rPr>
        <w:t>Consideration of admissibility</w:t>
      </w:r>
      <w:r w:rsidR="00C31926" w:rsidRPr="00DF23DE">
        <w:rPr>
          <w:rFonts w:eastAsia="Cambria"/>
          <w:snapToGrid w:val="0"/>
        </w:rPr>
        <w:t xml:space="preserve"> </w:t>
      </w:r>
    </w:p>
    <w:p w:rsidR="00C31926" w:rsidRPr="00DF23DE" w:rsidRDefault="00E022F5" w:rsidP="00597408">
      <w:pPr>
        <w:pStyle w:val="SingleTxtG"/>
        <w:rPr>
          <w:lang w:eastAsia="zh-CN"/>
        </w:rPr>
      </w:pPr>
      <w:r>
        <w:rPr>
          <w:rFonts w:eastAsia="Cambria"/>
          <w:snapToGrid w:val="0"/>
        </w:rPr>
        <w:t>8</w:t>
      </w:r>
      <w:r w:rsidR="00C31926" w:rsidRPr="00DF23DE">
        <w:rPr>
          <w:rFonts w:eastAsia="Cambria"/>
          <w:snapToGrid w:val="0"/>
        </w:rPr>
        <w:t>.1</w:t>
      </w:r>
      <w:r w:rsidR="00C31926" w:rsidRPr="00DF23DE">
        <w:rPr>
          <w:rFonts w:eastAsia="Cambria"/>
          <w:i/>
          <w:snapToGrid w:val="0"/>
        </w:rPr>
        <w:tab/>
      </w:r>
      <w:r w:rsidR="00C31926" w:rsidRPr="00DF23DE">
        <w:rPr>
          <w:lang w:eastAsia="zh-CN"/>
        </w:rPr>
        <w:t xml:space="preserve">Before considering any complaint submitted in a communication, the Committee must decide whether it is admissible under article 22 of the Convention. The Committee has ascertained, as </w:t>
      </w:r>
      <w:r w:rsidR="00597408">
        <w:rPr>
          <w:lang w:eastAsia="zh-CN"/>
        </w:rPr>
        <w:t xml:space="preserve">it is </w:t>
      </w:r>
      <w:r w:rsidR="00C31926" w:rsidRPr="00DF23DE">
        <w:rPr>
          <w:lang w:eastAsia="zh-CN"/>
        </w:rPr>
        <w:t>required</w:t>
      </w:r>
      <w:r w:rsidR="00597408">
        <w:rPr>
          <w:lang w:eastAsia="zh-CN"/>
        </w:rPr>
        <w:t xml:space="preserve"> to do </w:t>
      </w:r>
      <w:r w:rsidR="00C31926" w:rsidRPr="00DF23DE">
        <w:rPr>
          <w:lang w:eastAsia="zh-CN"/>
        </w:rPr>
        <w:t>under article 22</w:t>
      </w:r>
      <w:r w:rsidR="00FF6EB6" w:rsidRPr="00DF23DE">
        <w:rPr>
          <w:lang w:eastAsia="zh-CN"/>
        </w:rPr>
        <w:t xml:space="preserve"> (5) (a)</w:t>
      </w:r>
      <w:r w:rsidR="00C31926" w:rsidRPr="00DF23DE">
        <w:rPr>
          <w:lang w:eastAsia="zh-CN"/>
        </w:rPr>
        <w:t xml:space="preserve"> of the Convention, that the same matter has not been and is not being examined under another procedure of international investigation or settlement. </w:t>
      </w:r>
    </w:p>
    <w:p w:rsidR="00C30C41" w:rsidRPr="00C30C41" w:rsidRDefault="00E022F5">
      <w:pPr>
        <w:pStyle w:val="SingleTxtG"/>
        <w:rPr>
          <w:lang w:val="en-US" w:eastAsia="zh-CN"/>
        </w:rPr>
      </w:pPr>
      <w:r>
        <w:rPr>
          <w:lang w:eastAsia="zh-CN"/>
        </w:rPr>
        <w:t>8</w:t>
      </w:r>
      <w:r w:rsidR="00C31926" w:rsidRPr="00DF23DE">
        <w:rPr>
          <w:lang w:eastAsia="zh-CN"/>
        </w:rPr>
        <w:t>.</w:t>
      </w:r>
      <w:r w:rsidR="00456837">
        <w:rPr>
          <w:lang w:eastAsia="zh-CN"/>
        </w:rPr>
        <w:t>2</w:t>
      </w:r>
      <w:r w:rsidR="00C31926" w:rsidRPr="00DF23DE">
        <w:rPr>
          <w:lang w:eastAsia="zh-CN"/>
        </w:rPr>
        <w:t xml:space="preserve"> </w:t>
      </w:r>
      <w:r w:rsidR="00C31926" w:rsidRPr="00DF23DE">
        <w:rPr>
          <w:lang w:eastAsia="zh-CN"/>
        </w:rPr>
        <w:tab/>
      </w:r>
      <w:r w:rsidR="00C30C41" w:rsidRPr="00C30C41">
        <w:rPr>
          <w:lang w:val="en-US" w:eastAsia="zh-CN"/>
        </w:rPr>
        <w:t>The Committee notes the State party’s submission that the present communication is manifestly unfounded and thus inadmissible pursuant to rule 113 (b) of the Committee’s rules of procedure. The Committee considers</w:t>
      </w:r>
      <w:r w:rsidR="00C807E9">
        <w:rPr>
          <w:lang w:val="en-US" w:eastAsia="zh-CN"/>
        </w:rPr>
        <w:t>, however,</w:t>
      </w:r>
      <w:r w:rsidR="00C30C41" w:rsidRPr="00C30C41">
        <w:rPr>
          <w:lang w:val="en-US" w:eastAsia="zh-CN"/>
        </w:rPr>
        <w:t xml:space="preserve"> that the communication has been substantiated for the purposes of admissibility, as the complainant ha</w:t>
      </w:r>
      <w:r w:rsidR="009F0A3E">
        <w:rPr>
          <w:lang w:val="en-US" w:eastAsia="zh-CN"/>
        </w:rPr>
        <w:t>s</w:t>
      </w:r>
      <w:r w:rsidR="00C30C41" w:rsidRPr="00C30C41">
        <w:rPr>
          <w:lang w:val="en-US" w:eastAsia="zh-CN"/>
        </w:rPr>
        <w:t xml:space="preserve"> detailed </w:t>
      </w:r>
      <w:r w:rsidR="00C807E9">
        <w:rPr>
          <w:lang w:val="en-US" w:eastAsia="zh-CN"/>
        </w:rPr>
        <w:t xml:space="preserve">sufficiently </w:t>
      </w:r>
      <w:r w:rsidR="00C30C41" w:rsidRPr="00C30C41">
        <w:rPr>
          <w:lang w:val="en-US" w:eastAsia="zh-CN"/>
        </w:rPr>
        <w:t xml:space="preserve">the facts and the basis of the claim for a decision by the Committee. </w:t>
      </w:r>
    </w:p>
    <w:p w:rsidR="00C31926" w:rsidRDefault="00E022F5">
      <w:pPr>
        <w:pStyle w:val="SingleTxtG"/>
      </w:pPr>
      <w:r>
        <w:rPr>
          <w:lang w:val="en-US" w:eastAsia="zh-CN"/>
        </w:rPr>
        <w:t>8</w:t>
      </w:r>
      <w:r w:rsidR="00C30C41" w:rsidRPr="00C30C41">
        <w:rPr>
          <w:lang w:val="en-US" w:eastAsia="zh-CN"/>
        </w:rPr>
        <w:t>.3</w:t>
      </w:r>
      <w:r w:rsidR="00C30C41" w:rsidRPr="00C30C41">
        <w:rPr>
          <w:lang w:val="en-US" w:eastAsia="zh-CN"/>
        </w:rPr>
        <w:tab/>
        <w:t xml:space="preserve">The Committee recalls that, in accordance with article 22 (5) (b) of the Convention, it shall not consider any communication from an individual unless it has ascertained that the individual has exhausted all available domestic remedies. </w:t>
      </w:r>
      <w:r w:rsidR="005608DF">
        <w:rPr>
          <w:lang w:val="en-US" w:eastAsia="zh-CN"/>
        </w:rPr>
        <w:t>The Committee</w:t>
      </w:r>
      <w:r w:rsidR="00C30C41" w:rsidRPr="00C30C41">
        <w:rPr>
          <w:lang w:val="en-US" w:eastAsia="zh-CN"/>
        </w:rPr>
        <w:t xml:space="preserve"> notes that</w:t>
      </w:r>
      <w:r w:rsidR="005608DF">
        <w:rPr>
          <w:lang w:val="en-US" w:eastAsia="zh-CN"/>
        </w:rPr>
        <w:t>,</w:t>
      </w:r>
      <w:r w:rsidR="00C30C41" w:rsidRPr="00C30C41">
        <w:rPr>
          <w:lang w:val="en-US" w:eastAsia="zh-CN"/>
        </w:rPr>
        <w:t xml:space="preserve"> in the present case, the State party has </w:t>
      </w:r>
      <w:r w:rsidR="009F0A3E">
        <w:rPr>
          <w:lang w:val="en-US" w:eastAsia="zh-CN"/>
        </w:rPr>
        <w:t xml:space="preserve">not </w:t>
      </w:r>
      <w:r w:rsidR="005608DF">
        <w:rPr>
          <w:lang w:val="en-US" w:eastAsia="zh-CN"/>
        </w:rPr>
        <w:t>contested</w:t>
      </w:r>
      <w:r w:rsidR="005608DF" w:rsidRPr="00C30C41">
        <w:rPr>
          <w:lang w:val="en-US" w:eastAsia="zh-CN"/>
        </w:rPr>
        <w:t xml:space="preserve"> </w:t>
      </w:r>
      <w:r w:rsidR="00C30C41" w:rsidRPr="00C30C41">
        <w:rPr>
          <w:lang w:val="en-US" w:eastAsia="zh-CN"/>
        </w:rPr>
        <w:t>that the complainant ha</w:t>
      </w:r>
      <w:r w:rsidR="009F0A3E">
        <w:rPr>
          <w:lang w:val="en-US" w:eastAsia="zh-CN"/>
        </w:rPr>
        <w:t>s</w:t>
      </w:r>
      <w:r w:rsidR="00C30C41" w:rsidRPr="00C30C41">
        <w:rPr>
          <w:lang w:val="en-US" w:eastAsia="zh-CN"/>
        </w:rPr>
        <w:t xml:space="preserve"> exhausted all available domestic remedies.</w:t>
      </w:r>
      <w:r w:rsidR="00C30C41" w:rsidRPr="00C30C41">
        <w:rPr>
          <w:lang w:eastAsia="zh-CN"/>
        </w:rPr>
        <w:t xml:space="preserve"> </w:t>
      </w:r>
      <w:r w:rsidR="00F15518" w:rsidRPr="00DF3A81">
        <w:t>Accordingly,</w:t>
      </w:r>
      <w:r w:rsidR="00C30C41">
        <w:t xml:space="preserve"> </w:t>
      </w:r>
      <w:r w:rsidR="00EE3A5A" w:rsidRPr="00DF23DE">
        <w:t xml:space="preserve">the Committee concludes that </w:t>
      </w:r>
      <w:r w:rsidR="00264EB1" w:rsidRPr="00DF23DE">
        <w:t>it is not precluded by article 22</w:t>
      </w:r>
      <w:r w:rsidR="00FF6EB6" w:rsidRPr="00DF23DE">
        <w:t> (</w:t>
      </w:r>
      <w:r w:rsidR="00264EB1" w:rsidRPr="00DF23DE">
        <w:t>5</w:t>
      </w:r>
      <w:r w:rsidR="00FF6EB6" w:rsidRPr="00DF23DE">
        <w:t>) </w:t>
      </w:r>
      <w:r w:rsidR="00264EB1" w:rsidRPr="00DF23DE">
        <w:t xml:space="preserve">(b) </w:t>
      </w:r>
      <w:r w:rsidR="00F15518">
        <w:t xml:space="preserve">of the Convention </w:t>
      </w:r>
      <w:r w:rsidR="00264EB1" w:rsidRPr="00DF23DE">
        <w:t xml:space="preserve">from examining the present case. </w:t>
      </w:r>
      <w:r w:rsidR="00C31926" w:rsidRPr="00DF23DE">
        <w:t>As the Committee finds no further obstacles to admissibility, it declares the communication</w:t>
      </w:r>
      <w:r w:rsidR="009668CA" w:rsidRPr="00DF23DE">
        <w:t xml:space="preserve"> </w:t>
      </w:r>
      <w:r w:rsidR="00C31926" w:rsidRPr="00DF23DE">
        <w:t>admissible</w:t>
      </w:r>
      <w:r w:rsidR="00213695" w:rsidRPr="00DF23DE">
        <w:t xml:space="preserve"> and proceeds with its </w:t>
      </w:r>
      <w:r w:rsidR="00F15518">
        <w:t>consideration of</w:t>
      </w:r>
      <w:r w:rsidR="00213695" w:rsidRPr="00DF23DE">
        <w:t xml:space="preserve"> the merits</w:t>
      </w:r>
      <w:r w:rsidR="00C31926" w:rsidRPr="00DF23DE">
        <w:t>.</w:t>
      </w:r>
    </w:p>
    <w:p w:rsidR="00CB6AEA" w:rsidRPr="005E4862" w:rsidRDefault="009227F4" w:rsidP="005E4862">
      <w:pPr>
        <w:pStyle w:val="H4G"/>
        <w:rPr>
          <w:rFonts w:eastAsia="Cambria"/>
        </w:rPr>
      </w:pPr>
      <w:r w:rsidRPr="00DF23DE">
        <w:rPr>
          <w:rFonts w:eastAsia="Cambria"/>
          <w:snapToGrid w:val="0"/>
        </w:rPr>
        <w:tab/>
      </w:r>
      <w:r w:rsidRPr="00DF23DE">
        <w:rPr>
          <w:rFonts w:eastAsia="Cambria"/>
          <w:snapToGrid w:val="0"/>
        </w:rPr>
        <w:tab/>
      </w:r>
      <w:r w:rsidR="00CB6AEA" w:rsidRPr="00DF23DE">
        <w:rPr>
          <w:rFonts w:eastAsia="Cambria"/>
          <w:snapToGrid w:val="0"/>
        </w:rPr>
        <w:t>Consideration of the merits</w:t>
      </w:r>
    </w:p>
    <w:p w:rsidR="00CB6AEA" w:rsidRPr="005E4862" w:rsidRDefault="00E022F5" w:rsidP="00F15518">
      <w:pPr>
        <w:pStyle w:val="SingleTxtG"/>
        <w:rPr>
          <w:rFonts w:eastAsia="Cambria"/>
        </w:rPr>
      </w:pPr>
      <w:r>
        <w:rPr>
          <w:rFonts w:eastAsia="Cambria"/>
          <w:snapToGrid w:val="0"/>
        </w:rPr>
        <w:t>9</w:t>
      </w:r>
      <w:r w:rsidR="00836813">
        <w:rPr>
          <w:rFonts w:eastAsia="Cambria"/>
          <w:snapToGrid w:val="0"/>
        </w:rPr>
        <w:t>.</w:t>
      </w:r>
      <w:r w:rsidR="00CB6AEA" w:rsidRPr="00DF23DE">
        <w:rPr>
          <w:rFonts w:eastAsia="Cambria"/>
          <w:snapToGrid w:val="0"/>
        </w:rPr>
        <w:t>1</w:t>
      </w:r>
      <w:r w:rsidR="00CB6AEA" w:rsidRPr="00DF23DE">
        <w:rPr>
          <w:rFonts w:eastAsia="Cambria"/>
          <w:snapToGrid w:val="0"/>
        </w:rPr>
        <w:tab/>
        <w:t>The Committee has considered the communication in the light of all the information made available to it by the parties, in accordance with article 22</w:t>
      </w:r>
      <w:r w:rsidR="007C3033" w:rsidRPr="00DF23DE">
        <w:rPr>
          <w:rFonts w:eastAsia="Cambria"/>
          <w:snapToGrid w:val="0"/>
        </w:rPr>
        <w:t xml:space="preserve"> (</w:t>
      </w:r>
      <w:r w:rsidR="00CB6AEA" w:rsidRPr="00DF23DE">
        <w:rPr>
          <w:rFonts w:eastAsia="Cambria"/>
          <w:snapToGrid w:val="0"/>
        </w:rPr>
        <w:t>4</w:t>
      </w:r>
      <w:r w:rsidR="007C3033" w:rsidRPr="00DF23DE">
        <w:rPr>
          <w:rFonts w:eastAsia="Cambria"/>
          <w:snapToGrid w:val="0"/>
        </w:rPr>
        <w:t>)</w:t>
      </w:r>
      <w:r w:rsidR="00CB6AEA" w:rsidRPr="00DF23DE">
        <w:rPr>
          <w:rFonts w:eastAsia="Cambria"/>
          <w:snapToGrid w:val="0"/>
        </w:rPr>
        <w:t xml:space="preserve"> of the Convention.</w:t>
      </w:r>
    </w:p>
    <w:p w:rsidR="00C30C41" w:rsidRPr="00C30C41" w:rsidRDefault="00E022F5">
      <w:pPr>
        <w:pStyle w:val="SingleTxtG"/>
        <w:rPr>
          <w:rFonts w:eastAsia="Cambria"/>
        </w:rPr>
      </w:pPr>
      <w:r>
        <w:rPr>
          <w:rFonts w:eastAsia="Cambria"/>
        </w:rPr>
        <w:t>9</w:t>
      </w:r>
      <w:r w:rsidR="00CB6AEA" w:rsidRPr="00DF23DE">
        <w:rPr>
          <w:rFonts w:eastAsia="Cambria"/>
        </w:rPr>
        <w:t>.2</w:t>
      </w:r>
      <w:r w:rsidR="00CB6AEA" w:rsidRPr="00DF23DE">
        <w:rPr>
          <w:rFonts w:eastAsia="Cambria"/>
        </w:rPr>
        <w:tab/>
      </w:r>
      <w:r w:rsidR="00C30C41" w:rsidRPr="00C30C41">
        <w:rPr>
          <w:rFonts w:eastAsia="Cambria"/>
        </w:rPr>
        <w:t>The issue before the Committee is whether the</w:t>
      </w:r>
      <w:r w:rsidR="00795FC5">
        <w:rPr>
          <w:rFonts w:eastAsia="Cambria"/>
        </w:rPr>
        <w:t xml:space="preserve"> forced removal </w:t>
      </w:r>
      <w:r w:rsidR="00C30C41" w:rsidRPr="00C30C41">
        <w:rPr>
          <w:rFonts w:eastAsia="Cambria"/>
        </w:rPr>
        <w:t xml:space="preserve">of the complainant to Sri Lanka would constitute a violation of the State party’s obligation under article 3 of the Convention not to expel or to return a person to another State where there are substantial grounds for believing that </w:t>
      </w:r>
      <w:r w:rsidR="005608DF">
        <w:rPr>
          <w:rFonts w:eastAsia="Cambria"/>
        </w:rPr>
        <w:t>he or she</w:t>
      </w:r>
      <w:r w:rsidR="00C30C41" w:rsidRPr="00C30C41">
        <w:rPr>
          <w:rFonts w:eastAsia="Cambria"/>
        </w:rPr>
        <w:t xml:space="preserve"> would be in danger of being subjected to torture.</w:t>
      </w:r>
    </w:p>
    <w:p w:rsidR="00C30C41" w:rsidRPr="00C30C41" w:rsidRDefault="00E022F5">
      <w:pPr>
        <w:pStyle w:val="SingleTxtG"/>
        <w:rPr>
          <w:rFonts w:eastAsia="Cambria"/>
        </w:rPr>
      </w:pPr>
      <w:r>
        <w:rPr>
          <w:rFonts w:eastAsia="Cambria"/>
        </w:rPr>
        <w:t>9</w:t>
      </w:r>
      <w:r w:rsidR="00C30C41" w:rsidRPr="00C30C41">
        <w:rPr>
          <w:rFonts w:eastAsia="Cambria"/>
        </w:rPr>
        <w:t>.3</w:t>
      </w:r>
      <w:r w:rsidR="00C30C41" w:rsidRPr="00C30C41">
        <w:rPr>
          <w:rFonts w:eastAsia="Cambria"/>
        </w:rPr>
        <w:tab/>
        <w:t xml:space="preserve">The Committee must evaluate whether there are substantial grounds for believing that the complainant would be personally in danger of being subjected to torture upon </w:t>
      </w:r>
      <w:r w:rsidR="00C30C41" w:rsidRPr="00C30C41">
        <w:rPr>
          <w:rFonts w:eastAsia="Cambria"/>
        </w:rPr>
        <w:lastRenderedPageBreak/>
        <w:t>return to Sri Lanka. In assessing th</w:t>
      </w:r>
      <w:r w:rsidR="0060626F">
        <w:rPr>
          <w:rFonts w:eastAsia="Cambria"/>
        </w:rPr>
        <w:t>at</w:t>
      </w:r>
      <w:r w:rsidR="00C30C41" w:rsidRPr="00C30C41">
        <w:rPr>
          <w:rFonts w:eastAsia="Cambria"/>
        </w:rPr>
        <w:t xml:space="preserve"> risk, the Committee must take into account all relevant considerations, pursuant to article </w:t>
      </w:r>
      <w:r w:rsidR="0060626F">
        <w:rPr>
          <w:rFonts w:eastAsia="Cambria"/>
        </w:rPr>
        <w:t>3 (2)</w:t>
      </w:r>
      <w:r w:rsidR="00C30C41" w:rsidRPr="00C30C41">
        <w:rPr>
          <w:rFonts w:eastAsia="Cambria"/>
        </w:rPr>
        <w:t xml:space="preserve"> of the Convention, including the existence of a consistent pattern of gross, flagrant or mass violations of human rights. </w:t>
      </w:r>
      <w:r w:rsidR="006E7A1F">
        <w:t xml:space="preserve">The Committee remains seriously concerned about the continued and consistent allegations of widespread use of torture and </w:t>
      </w:r>
      <w:r w:rsidR="0060626F">
        <w:t xml:space="preserve">of </w:t>
      </w:r>
      <w:r w:rsidR="006E7A1F">
        <w:t>other cruel, inhuman or degrading treatment perpetrated by State actors, both the military and the police, which have continued in many parts of the country since the conflict ended in May 2009.</w:t>
      </w:r>
      <w:r w:rsidR="00DC5FF9">
        <w:rPr>
          <w:rStyle w:val="FootnoteReference"/>
        </w:rPr>
        <w:footnoteReference w:id="10"/>
      </w:r>
      <w:r w:rsidR="006E7A1F">
        <w:t xml:space="preserve"> </w:t>
      </w:r>
      <w:r w:rsidR="00C30C41" w:rsidRPr="00C30C41">
        <w:rPr>
          <w:rFonts w:eastAsia="Cambria"/>
        </w:rPr>
        <w:t xml:space="preserve">However, the Committee recalls that the aim of </w:t>
      </w:r>
      <w:r w:rsidR="0060626F">
        <w:rPr>
          <w:rFonts w:eastAsia="Cambria"/>
        </w:rPr>
        <w:t>such determinations</w:t>
      </w:r>
      <w:r w:rsidR="00C30C41" w:rsidRPr="00C30C41">
        <w:rPr>
          <w:rFonts w:eastAsia="Cambria"/>
        </w:rPr>
        <w:t xml:space="preserve"> is to establish whether the individual concerned would be personally at a foreseeable and real risk of being subjected to torture in the country to which he or she would return; additional grounds must be adduced to show that the individual concerned would be </w:t>
      </w:r>
      <w:r w:rsidR="0060626F">
        <w:rPr>
          <w:rFonts w:eastAsia="Cambria"/>
        </w:rPr>
        <w:t xml:space="preserve">at risk </w:t>
      </w:r>
      <w:r w:rsidR="00C30C41" w:rsidRPr="00C30C41">
        <w:rPr>
          <w:rFonts w:eastAsia="Cambria"/>
        </w:rPr>
        <w:t>personally.</w:t>
      </w:r>
      <w:r w:rsidR="00C30C41" w:rsidRPr="00C30C41">
        <w:rPr>
          <w:rFonts w:eastAsia="Cambria"/>
          <w:vertAlign w:val="superscript"/>
        </w:rPr>
        <w:footnoteReference w:id="11"/>
      </w:r>
    </w:p>
    <w:p w:rsidR="00C30C41" w:rsidRPr="00C30C41" w:rsidRDefault="00E022F5">
      <w:pPr>
        <w:pStyle w:val="SingleTxtG"/>
        <w:rPr>
          <w:rFonts w:eastAsia="Cambria"/>
        </w:rPr>
      </w:pPr>
      <w:r>
        <w:rPr>
          <w:rFonts w:eastAsia="Cambria"/>
        </w:rPr>
        <w:t>9</w:t>
      </w:r>
      <w:r w:rsidR="00C30C41" w:rsidRPr="00C30C41">
        <w:rPr>
          <w:rFonts w:eastAsia="Cambria"/>
        </w:rPr>
        <w:t>.4</w:t>
      </w:r>
      <w:r w:rsidR="00C30C41" w:rsidRPr="00C30C41">
        <w:rPr>
          <w:rFonts w:eastAsia="Cambria"/>
        </w:rPr>
        <w:tab/>
        <w:t>The Committee recalls its general comment No. 1</w:t>
      </w:r>
      <w:r w:rsidR="00121C32">
        <w:rPr>
          <w:rFonts w:eastAsia="Cambria"/>
        </w:rPr>
        <w:t>, in which it is stated</w:t>
      </w:r>
      <w:r w:rsidR="00C30C41" w:rsidRPr="00C30C41">
        <w:rPr>
          <w:rFonts w:eastAsia="Cambria"/>
        </w:rPr>
        <w:t xml:space="preserve"> that “the risk of torture must be assessed on grounds that go beyond mere theory or suspicion. However, the risk does not have to meet the test of being highly probable”, but it must be </w:t>
      </w:r>
      <w:r w:rsidR="00121C32">
        <w:rPr>
          <w:rFonts w:eastAsia="Cambria"/>
        </w:rPr>
        <w:t>“</w:t>
      </w:r>
      <w:r w:rsidR="00C30C41" w:rsidRPr="00C30C41">
        <w:rPr>
          <w:rFonts w:eastAsia="Cambria"/>
        </w:rPr>
        <w:t>personal and present</w:t>
      </w:r>
      <w:r w:rsidR="00121C32">
        <w:rPr>
          <w:rFonts w:eastAsia="Cambria"/>
        </w:rPr>
        <w:t>”</w:t>
      </w:r>
      <w:r w:rsidR="00C30C41" w:rsidRPr="00C30C41">
        <w:rPr>
          <w:rFonts w:eastAsia="Cambria"/>
        </w:rPr>
        <w:t>. In th</w:t>
      </w:r>
      <w:r w:rsidR="00121C32">
        <w:rPr>
          <w:rFonts w:eastAsia="Cambria"/>
        </w:rPr>
        <w:t>at</w:t>
      </w:r>
      <w:r w:rsidR="00C30C41" w:rsidRPr="00C30C41">
        <w:rPr>
          <w:rFonts w:eastAsia="Cambria"/>
        </w:rPr>
        <w:t xml:space="preserve"> regard, in previous decisions, the Committee has determined that the risk of torture must be foreseeable, real and personal.</w:t>
      </w:r>
      <w:r w:rsidR="00397A96">
        <w:rPr>
          <w:rFonts w:eastAsia="Cambria"/>
        </w:rPr>
        <w:t xml:space="preserve"> </w:t>
      </w:r>
      <w:r w:rsidR="00C30C41" w:rsidRPr="00C30C41">
        <w:rPr>
          <w:rFonts w:eastAsia="Cambria"/>
        </w:rPr>
        <w:t xml:space="preserve">The Committee recalls that under the terms of general comment No. 1, it gives considerable weight to findings of fact that are made by organs of the State party concerned, while at the same time it is not bound by such findings and instead has the power, provided </w:t>
      </w:r>
      <w:r w:rsidR="00C30C41" w:rsidRPr="00506934">
        <w:rPr>
          <w:rFonts w:eastAsia="Cambria"/>
        </w:rPr>
        <w:t xml:space="preserve">by article 22 </w:t>
      </w:r>
      <w:r w:rsidR="00F662A9" w:rsidRPr="00506934">
        <w:rPr>
          <w:rFonts w:eastAsia="Cambria"/>
        </w:rPr>
        <w:t>(</w:t>
      </w:r>
      <w:r w:rsidR="00C30C41" w:rsidRPr="00506934">
        <w:rPr>
          <w:rFonts w:eastAsia="Cambria"/>
        </w:rPr>
        <w:t>4</w:t>
      </w:r>
      <w:r w:rsidR="00F662A9" w:rsidRPr="00506934">
        <w:rPr>
          <w:rFonts w:eastAsia="Cambria"/>
        </w:rPr>
        <w:t>)</w:t>
      </w:r>
      <w:r w:rsidR="00C30C41" w:rsidRPr="00506934">
        <w:rPr>
          <w:rFonts w:eastAsia="Cambria"/>
        </w:rPr>
        <w:t xml:space="preserve"> of the Convention, of</w:t>
      </w:r>
      <w:r w:rsidR="00C30C41" w:rsidRPr="00C30C41">
        <w:rPr>
          <w:rFonts w:eastAsia="Cambria"/>
        </w:rPr>
        <w:t xml:space="preserve"> free </w:t>
      </w:r>
      <w:r w:rsidR="00C30C41" w:rsidRPr="00C7732B">
        <w:rPr>
          <w:rFonts w:eastAsia="Cambria"/>
        </w:rPr>
        <w:t>assessment of the facts based upon the full set of circumstances in every case.</w:t>
      </w:r>
      <w:r w:rsidR="00C64CE5" w:rsidRPr="00C7732B">
        <w:rPr>
          <w:bCs/>
        </w:rPr>
        <w:t xml:space="preserve"> In th</w:t>
      </w:r>
      <w:r w:rsidR="00F662A9" w:rsidRPr="00C7732B">
        <w:rPr>
          <w:bCs/>
        </w:rPr>
        <w:t>at</w:t>
      </w:r>
      <w:r w:rsidR="00C64CE5" w:rsidRPr="00C7732B">
        <w:rPr>
          <w:bCs/>
        </w:rPr>
        <w:t xml:space="preserve"> context, the Committee refers to its concluding observations following its 2011 examination of the combined third and fourth periodic reports of Sri Lanka,</w:t>
      </w:r>
      <w:r w:rsidR="00C64CE5" w:rsidRPr="00C7732B">
        <w:rPr>
          <w:rStyle w:val="FootnoteReference"/>
          <w:bCs/>
        </w:rPr>
        <w:footnoteReference w:id="12"/>
      </w:r>
      <w:r w:rsidR="00C64CE5" w:rsidRPr="00C7732B">
        <w:rPr>
          <w:bCs/>
        </w:rPr>
        <w:t xml:space="preserve"> </w:t>
      </w:r>
      <w:r w:rsidR="00F662A9" w:rsidRPr="00C7732B">
        <w:rPr>
          <w:bCs/>
        </w:rPr>
        <w:t>in which</w:t>
      </w:r>
      <w:r w:rsidR="00C64CE5">
        <w:rPr>
          <w:bCs/>
        </w:rPr>
        <w:t xml:space="preserve"> </w:t>
      </w:r>
      <w:r w:rsidR="00C64CE5">
        <w:t>it expressed serious concern about</w:t>
      </w:r>
      <w:r w:rsidR="00C64CE5">
        <w:rPr>
          <w:lang w:val="en-US"/>
        </w:rPr>
        <w:t xml:space="preserve"> </w:t>
      </w:r>
      <w:r w:rsidR="00C64CE5">
        <w:t>reports suggest</w:t>
      </w:r>
      <w:r w:rsidR="00C64CE5">
        <w:rPr>
          <w:lang w:val="en-US"/>
        </w:rPr>
        <w:t>ing</w:t>
      </w:r>
      <w:r w:rsidR="00C64CE5">
        <w:t xml:space="preserve"> that torture and ill-treatment perpetrated by State actors</w:t>
      </w:r>
      <w:r w:rsidR="00C64CE5" w:rsidRPr="00456088">
        <w:t xml:space="preserve"> in Sri Lanka</w:t>
      </w:r>
      <w:r w:rsidR="00F662A9">
        <w:t xml:space="preserve"> —</w:t>
      </w:r>
      <w:r w:rsidR="00C64CE5">
        <w:t xml:space="preserve"> both the military and the police</w:t>
      </w:r>
      <w:r w:rsidR="00F662A9">
        <w:t xml:space="preserve"> —</w:t>
      </w:r>
      <w:r w:rsidR="00C64CE5">
        <w:t xml:space="preserve"> h</w:t>
      </w:r>
      <w:r w:rsidR="00C64CE5">
        <w:rPr>
          <w:lang w:val="en-US"/>
        </w:rPr>
        <w:t>ad</w:t>
      </w:r>
      <w:r w:rsidR="00C64CE5">
        <w:t xml:space="preserve"> continued in many parts of the country after the conflict</w:t>
      </w:r>
      <w:r w:rsidR="00C64CE5">
        <w:rPr>
          <w:lang w:val="en-US"/>
        </w:rPr>
        <w:t xml:space="preserve"> with the </w:t>
      </w:r>
      <w:r w:rsidR="00B73CD7" w:rsidRPr="003A40BB">
        <w:rPr>
          <w:rStyle w:val="en"/>
        </w:rPr>
        <w:t>Liberation Tigers of Tamil Eelam</w:t>
      </w:r>
      <w:r w:rsidR="00C64CE5">
        <w:t xml:space="preserve"> </w:t>
      </w:r>
      <w:r w:rsidR="00F662A9">
        <w:t xml:space="preserve">had </w:t>
      </w:r>
      <w:r w:rsidR="00C64CE5">
        <w:t xml:space="preserve">ended </w:t>
      </w:r>
      <w:r w:rsidR="00C64CE5" w:rsidRPr="00C7732B">
        <w:t>in May 2009.</w:t>
      </w:r>
      <w:r w:rsidR="00C64CE5" w:rsidRPr="00C7732B">
        <w:rPr>
          <w:rStyle w:val="FootnoteReference"/>
        </w:rPr>
        <w:footnoteReference w:id="13"/>
      </w:r>
      <w:r w:rsidR="00C64CE5" w:rsidRPr="00C7732B">
        <w:t xml:space="preserve"> The Committee also refers to its concluding observations following its 2013 examination of the fifth periodic report of the United</w:t>
      </w:r>
      <w:r w:rsidR="00C64CE5">
        <w:t xml:space="preserve"> Kingdom of Great Britain and Northern Ireland, in which </w:t>
      </w:r>
      <w:r w:rsidR="00C7732B">
        <w:t>it</w:t>
      </w:r>
      <w:r w:rsidR="00C64CE5">
        <w:t xml:space="preserve"> noted evidence that some Sri Lankan Tamils ha</w:t>
      </w:r>
      <w:r w:rsidR="00C64CE5">
        <w:rPr>
          <w:lang w:val="en-US"/>
        </w:rPr>
        <w:t>d</w:t>
      </w:r>
      <w:r w:rsidR="00C64CE5">
        <w:t xml:space="preserve"> been victims of torture and ill-treatment following their forced or voluntary removal from the State party</w:t>
      </w:r>
      <w:r w:rsidR="00C64CE5" w:rsidRPr="00E10461">
        <w:t xml:space="preserve"> </w:t>
      </w:r>
      <w:r w:rsidR="00C64CE5">
        <w:t>to Sri Lanka</w:t>
      </w:r>
      <w:r w:rsidR="00C64CE5">
        <w:rPr>
          <w:lang w:val="en-US"/>
        </w:rPr>
        <w:t>.</w:t>
      </w:r>
      <w:r w:rsidR="00C64CE5">
        <w:rPr>
          <w:rStyle w:val="FootnoteReference"/>
          <w:lang w:val="en-US"/>
        </w:rPr>
        <w:footnoteReference w:id="14"/>
      </w:r>
      <w:r w:rsidR="00C64CE5">
        <w:rPr>
          <w:lang w:val="en-US"/>
        </w:rPr>
        <w:t xml:space="preserve"> The Committee further refers to the </w:t>
      </w:r>
      <w:r w:rsidR="00F662A9">
        <w:rPr>
          <w:lang w:val="en-US"/>
        </w:rPr>
        <w:t>p</w:t>
      </w:r>
      <w:r w:rsidR="00C64CE5">
        <w:rPr>
          <w:lang w:val="en-US"/>
        </w:rPr>
        <w:t xml:space="preserve">reliminary observations and recommendations of the Special Rapporteur on torture and other cruel, inhuman and degrading treatment or punishment following </w:t>
      </w:r>
      <w:r w:rsidR="00F662A9">
        <w:rPr>
          <w:lang w:val="en-US"/>
        </w:rPr>
        <w:t>his</w:t>
      </w:r>
      <w:r w:rsidR="00C64CE5">
        <w:rPr>
          <w:lang w:val="en-US"/>
        </w:rPr>
        <w:t xml:space="preserve"> </w:t>
      </w:r>
      <w:r w:rsidR="00F662A9">
        <w:rPr>
          <w:lang w:val="en-US"/>
        </w:rPr>
        <w:t>joint official</w:t>
      </w:r>
      <w:r w:rsidR="00C64CE5">
        <w:rPr>
          <w:lang w:val="en-US"/>
        </w:rPr>
        <w:t xml:space="preserve"> visit </w:t>
      </w:r>
      <w:r w:rsidR="00C95360">
        <w:rPr>
          <w:lang w:val="en-US"/>
        </w:rPr>
        <w:t xml:space="preserve">to Sri Lanka </w:t>
      </w:r>
      <w:r w:rsidR="00C64CE5">
        <w:rPr>
          <w:lang w:val="en-US"/>
        </w:rPr>
        <w:t>with the Special Rapporteur on the independence of judges and lawyers</w:t>
      </w:r>
      <w:r w:rsidR="00C95360">
        <w:rPr>
          <w:lang w:val="en-US"/>
        </w:rPr>
        <w:t>,</w:t>
      </w:r>
      <w:r w:rsidR="00C64CE5">
        <w:rPr>
          <w:lang w:val="en-US"/>
        </w:rPr>
        <w:t xml:space="preserve"> from 29 April to 7 May 2016, wherein it was noted that “torture is a common practice” and that </w:t>
      </w:r>
      <w:r w:rsidR="00C95360">
        <w:rPr>
          <w:lang w:val="en-US"/>
        </w:rPr>
        <w:t>“</w:t>
      </w:r>
      <w:r w:rsidR="00C64CE5">
        <w:rPr>
          <w:lang w:val="en-US"/>
        </w:rPr>
        <w:t>the current legal framework and the lack of reform within the structures of the armed forces, police, Attorney-General’s Office and judiciary perpetuate the real risk that the practice of torture will continue”</w:t>
      </w:r>
      <w:r w:rsidR="008A6918">
        <w:rPr>
          <w:lang w:val="en-US"/>
        </w:rPr>
        <w:t>.</w:t>
      </w:r>
      <w:r w:rsidR="00C64CE5">
        <w:rPr>
          <w:rStyle w:val="FootnoteReference"/>
          <w:lang w:val="en-US"/>
        </w:rPr>
        <w:footnoteReference w:id="15"/>
      </w:r>
      <w:r w:rsidR="00C64CE5">
        <w:rPr>
          <w:lang w:val="en-US"/>
        </w:rPr>
        <w:t xml:space="preserve"> The Committee also takes note of credible reports published by non-governmental organizations concerning the treatment given </w:t>
      </w:r>
      <w:r w:rsidR="00787815">
        <w:rPr>
          <w:lang w:val="en-US"/>
        </w:rPr>
        <w:t xml:space="preserve">by the Sri Lankan authorities </w:t>
      </w:r>
      <w:r w:rsidR="00C64CE5">
        <w:rPr>
          <w:lang w:val="en-US"/>
        </w:rPr>
        <w:t>to individuals returned to Sri Lanka.</w:t>
      </w:r>
      <w:r w:rsidR="00C64CE5">
        <w:rPr>
          <w:rStyle w:val="FootnoteReference"/>
          <w:lang w:val="en-US"/>
        </w:rPr>
        <w:footnoteReference w:id="16"/>
      </w:r>
      <w:r w:rsidR="00FD70CE">
        <w:rPr>
          <w:lang w:val="en-US"/>
        </w:rPr>
        <w:t xml:space="preserve"> </w:t>
      </w:r>
    </w:p>
    <w:p w:rsidR="00D84EB1" w:rsidRPr="006B2667" w:rsidRDefault="00E022F5">
      <w:pPr>
        <w:pStyle w:val="SingleTxtG"/>
      </w:pPr>
      <w:r>
        <w:rPr>
          <w:rFonts w:eastAsia="Cambria"/>
          <w:snapToGrid w:val="0"/>
        </w:rPr>
        <w:lastRenderedPageBreak/>
        <w:t>9</w:t>
      </w:r>
      <w:r w:rsidR="00BA07E1">
        <w:rPr>
          <w:rFonts w:eastAsia="Cambria"/>
          <w:snapToGrid w:val="0"/>
        </w:rPr>
        <w:t>.</w:t>
      </w:r>
      <w:r w:rsidR="00C30C41">
        <w:rPr>
          <w:rFonts w:eastAsia="Cambria"/>
          <w:snapToGrid w:val="0"/>
        </w:rPr>
        <w:t>5</w:t>
      </w:r>
      <w:r w:rsidR="00BA07E1">
        <w:rPr>
          <w:rFonts w:eastAsia="Cambria"/>
          <w:snapToGrid w:val="0"/>
        </w:rPr>
        <w:tab/>
      </w:r>
      <w:r w:rsidR="005B3955" w:rsidRPr="005B3955">
        <w:rPr>
          <w:rFonts w:eastAsia="Cambria"/>
          <w:snapToGrid w:val="0"/>
        </w:rPr>
        <w:t>The Committee notes the complainant</w:t>
      </w:r>
      <w:r w:rsidR="00EB6A47">
        <w:rPr>
          <w:rFonts w:eastAsia="Cambria"/>
          <w:snapToGrid w:val="0"/>
        </w:rPr>
        <w:t>’s</w:t>
      </w:r>
      <w:r w:rsidR="005B3955" w:rsidRPr="005B3955">
        <w:rPr>
          <w:rFonts w:eastAsia="Cambria"/>
          <w:snapToGrid w:val="0"/>
        </w:rPr>
        <w:t xml:space="preserve"> claims </w:t>
      </w:r>
      <w:r w:rsidR="00EB6A47">
        <w:rPr>
          <w:rFonts w:eastAsia="Cambria"/>
          <w:snapToGrid w:val="0"/>
        </w:rPr>
        <w:t xml:space="preserve">that he would be at a real </w:t>
      </w:r>
      <w:r w:rsidR="004D378E">
        <w:rPr>
          <w:rFonts w:eastAsia="Cambria"/>
          <w:snapToGrid w:val="0"/>
        </w:rPr>
        <w:t xml:space="preserve">and </w:t>
      </w:r>
      <w:r w:rsidR="00EB6A47">
        <w:rPr>
          <w:rFonts w:eastAsia="Cambria"/>
          <w:snapToGrid w:val="0"/>
        </w:rPr>
        <w:t xml:space="preserve">personal risk of torture if returned to Sri Lanka </w:t>
      </w:r>
      <w:r w:rsidR="004D378E">
        <w:rPr>
          <w:rFonts w:eastAsia="Cambria"/>
          <w:snapToGrid w:val="0"/>
        </w:rPr>
        <w:t xml:space="preserve">(a) </w:t>
      </w:r>
      <w:r w:rsidR="00EB6A47">
        <w:rPr>
          <w:rFonts w:eastAsia="Cambria"/>
          <w:snapToGrid w:val="0"/>
        </w:rPr>
        <w:t xml:space="preserve">because </w:t>
      </w:r>
      <w:r w:rsidR="00EB6A47" w:rsidRPr="00EB6A47">
        <w:rPr>
          <w:rFonts w:eastAsia="Cambria"/>
          <w:snapToGrid w:val="0"/>
        </w:rPr>
        <w:t xml:space="preserve">he had </w:t>
      </w:r>
      <w:r w:rsidR="00EB6A47" w:rsidRPr="005B3955">
        <w:rPr>
          <w:rFonts w:eastAsia="Cambria"/>
          <w:snapToGrid w:val="0"/>
        </w:rPr>
        <w:t xml:space="preserve">been </w:t>
      </w:r>
      <w:r w:rsidR="00EB6A47">
        <w:rPr>
          <w:rFonts w:eastAsia="Cambria"/>
          <w:snapToGrid w:val="0"/>
        </w:rPr>
        <w:t>detained and subjected to ill-treatment</w:t>
      </w:r>
      <w:r w:rsidR="00EB6A47" w:rsidRPr="005B3955">
        <w:rPr>
          <w:rFonts w:eastAsia="Cambria"/>
          <w:snapToGrid w:val="0"/>
        </w:rPr>
        <w:t xml:space="preserve"> in </w:t>
      </w:r>
      <w:r w:rsidR="00EB6A47">
        <w:rPr>
          <w:rFonts w:eastAsia="Cambria"/>
          <w:snapToGrid w:val="0"/>
        </w:rPr>
        <w:t xml:space="preserve">2011 and 2012 by the </w:t>
      </w:r>
      <w:r w:rsidR="00B728DA" w:rsidRPr="00B728DA">
        <w:rPr>
          <w:rFonts w:eastAsia="Cambria"/>
          <w:snapToGrid w:val="0"/>
        </w:rPr>
        <w:t>Sri Lanka Army</w:t>
      </w:r>
      <w:r w:rsidR="00EB6A47">
        <w:rPr>
          <w:rFonts w:eastAsia="Cambria"/>
          <w:snapToGrid w:val="0"/>
        </w:rPr>
        <w:t xml:space="preserve"> and by an unidentified paramilitary group</w:t>
      </w:r>
      <w:r w:rsidR="00EB6A47" w:rsidRPr="00EB6A47">
        <w:rPr>
          <w:rFonts w:eastAsia="Cambria"/>
          <w:snapToGrid w:val="0"/>
        </w:rPr>
        <w:t xml:space="preserve">; </w:t>
      </w:r>
      <w:r w:rsidR="004D378E">
        <w:rPr>
          <w:rFonts w:eastAsia="Cambria"/>
          <w:snapToGrid w:val="0"/>
        </w:rPr>
        <w:t xml:space="preserve">(b) because </w:t>
      </w:r>
      <w:r w:rsidR="00EB6A47" w:rsidRPr="00EB6A47">
        <w:rPr>
          <w:rFonts w:eastAsia="Cambria"/>
          <w:snapToGrid w:val="0"/>
        </w:rPr>
        <w:t>he bore scarring on his leg which he alleged would lead the Sri Lankan authorities to believe that he had been involved in the past with the Liberation Tigers of Tamil Eelam; and</w:t>
      </w:r>
      <w:r w:rsidR="004D378E">
        <w:rPr>
          <w:rFonts w:eastAsia="Cambria"/>
          <w:snapToGrid w:val="0"/>
        </w:rPr>
        <w:t xml:space="preserve"> (c) because of</w:t>
      </w:r>
      <w:r w:rsidR="00EB6A47" w:rsidRPr="00EB6A47">
        <w:rPr>
          <w:rFonts w:eastAsia="Cambria"/>
          <w:snapToGrid w:val="0"/>
        </w:rPr>
        <w:t xml:space="preserve"> his illegal departure from Sri Lanka. </w:t>
      </w:r>
      <w:r w:rsidR="005B3955" w:rsidRPr="005B3955">
        <w:rPr>
          <w:rFonts w:eastAsia="Cambria"/>
          <w:snapToGrid w:val="0"/>
        </w:rPr>
        <w:t>The Committee notes</w:t>
      </w:r>
      <w:r w:rsidR="004D378E">
        <w:rPr>
          <w:rFonts w:eastAsia="Cambria"/>
          <w:snapToGrid w:val="0"/>
        </w:rPr>
        <w:t>, however,</w:t>
      </w:r>
      <w:r w:rsidR="005B3955" w:rsidRPr="005B3955">
        <w:rPr>
          <w:rFonts w:eastAsia="Cambria"/>
          <w:snapToGrid w:val="0"/>
        </w:rPr>
        <w:t xml:space="preserve"> that the </w:t>
      </w:r>
      <w:r w:rsidR="00F95C48">
        <w:rPr>
          <w:rFonts w:eastAsia="Cambria"/>
          <w:snapToGrid w:val="0"/>
        </w:rPr>
        <w:t>relevant organs</w:t>
      </w:r>
      <w:r w:rsidR="005B3955" w:rsidRPr="005B3955">
        <w:rPr>
          <w:rFonts w:eastAsia="Cambria"/>
          <w:snapToGrid w:val="0"/>
        </w:rPr>
        <w:t xml:space="preserve"> of the State party thoroughly evaluated all the evidence presented by the complainant</w:t>
      </w:r>
      <w:r w:rsidR="005B3955">
        <w:rPr>
          <w:rFonts w:eastAsia="Cambria"/>
          <w:snapToGrid w:val="0"/>
        </w:rPr>
        <w:t xml:space="preserve"> and</w:t>
      </w:r>
      <w:r w:rsidR="005B3955" w:rsidRPr="005B3955">
        <w:rPr>
          <w:rFonts w:eastAsia="Cambria"/>
          <w:snapToGrid w:val="0"/>
        </w:rPr>
        <w:t xml:space="preserve"> found it to lack credibility. </w:t>
      </w:r>
      <w:r w:rsidR="00D84EB1">
        <w:rPr>
          <w:color w:val="000000"/>
        </w:rPr>
        <w:t xml:space="preserve">In addition, </w:t>
      </w:r>
      <w:r w:rsidR="00D84EB1">
        <w:t xml:space="preserve">the Committee </w:t>
      </w:r>
      <w:r w:rsidR="00F95C48">
        <w:t>notes</w:t>
      </w:r>
      <w:r w:rsidR="00D84EB1">
        <w:t xml:space="preserve"> that, according to his own statement,</w:t>
      </w:r>
      <w:r w:rsidR="00C64CE5">
        <w:t xml:space="preserve"> neither</w:t>
      </w:r>
      <w:r w:rsidR="00D84EB1">
        <w:t xml:space="preserve"> the complainant </w:t>
      </w:r>
      <w:r w:rsidR="00C64CE5">
        <w:t>nor</w:t>
      </w:r>
      <w:r w:rsidR="00D84EB1">
        <w:t xml:space="preserve"> any member of his family were ever involved with the </w:t>
      </w:r>
      <w:r w:rsidR="00B73CD7" w:rsidRPr="003A40BB">
        <w:rPr>
          <w:rStyle w:val="en"/>
        </w:rPr>
        <w:t>Liberation Tigers of Tamil Eelam</w:t>
      </w:r>
      <w:r w:rsidR="00F95C48">
        <w:rPr>
          <w:rStyle w:val="en"/>
        </w:rPr>
        <w:t>,</w:t>
      </w:r>
      <w:r w:rsidR="00AE4EEB">
        <w:t xml:space="preserve"> and </w:t>
      </w:r>
      <w:r w:rsidR="008C7C51">
        <w:t xml:space="preserve">that </w:t>
      </w:r>
      <w:r w:rsidR="00AE4EEB">
        <w:t xml:space="preserve">the complainant has not presented </w:t>
      </w:r>
      <w:r w:rsidR="00C64CE5">
        <w:t>credible</w:t>
      </w:r>
      <w:r w:rsidR="00AE4EEB">
        <w:t xml:space="preserve"> evidence that his scar</w:t>
      </w:r>
      <w:r w:rsidR="00F95C48">
        <w:t>r</w:t>
      </w:r>
      <w:r w:rsidR="00AE4EEB">
        <w:t>ing alone, resulting from a</w:t>
      </w:r>
      <w:r w:rsidR="00C64CE5">
        <w:t xml:space="preserve"> shrapnel</w:t>
      </w:r>
      <w:r w:rsidR="00AE4EEB">
        <w:t xml:space="preserve"> injury sustained in his childhood, would result in </w:t>
      </w:r>
      <w:r w:rsidR="00F95C48">
        <w:t xml:space="preserve">him </w:t>
      </w:r>
      <w:r w:rsidR="00AE4EEB">
        <w:t xml:space="preserve">being suspected of links with </w:t>
      </w:r>
      <w:r w:rsidR="00B73CD7">
        <w:t>the</w:t>
      </w:r>
      <w:r w:rsidR="00B73CD7" w:rsidRPr="00B73CD7">
        <w:t xml:space="preserve"> </w:t>
      </w:r>
      <w:r w:rsidR="00B73CD7" w:rsidRPr="003A40BB">
        <w:rPr>
          <w:rStyle w:val="en"/>
        </w:rPr>
        <w:t>Liberation Tigers of Tamil Eelam</w:t>
      </w:r>
      <w:r w:rsidR="00D84EB1">
        <w:t>.</w:t>
      </w:r>
      <w:r w:rsidR="00397A96">
        <w:t xml:space="preserve"> </w:t>
      </w:r>
    </w:p>
    <w:p w:rsidR="00541815" w:rsidRPr="005B3955" w:rsidRDefault="00E022F5">
      <w:pPr>
        <w:pStyle w:val="SingleTxtG"/>
        <w:rPr>
          <w:rFonts w:eastAsia="Cambria"/>
          <w:snapToGrid w:val="0"/>
        </w:rPr>
      </w:pPr>
      <w:r>
        <w:rPr>
          <w:rFonts w:eastAsia="Cambria"/>
          <w:snapToGrid w:val="0"/>
        </w:rPr>
        <w:t>9</w:t>
      </w:r>
      <w:r w:rsidR="005B3955" w:rsidRPr="005B3955">
        <w:rPr>
          <w:rFonts w:eastAsia="Cambria"/>
          <w:snapToGrid w:val="0"/>
        </w:rPr>
        <w:t>.6</w:t>
      </w:r>
      <w:r w:rsidR="005B3955" w:rsidRPr="005B3955">
        <w:rPr>
          <w:rFonts w:eastAsia="Cambria"/>
          <w:snapToGrid w:val="0"/>
        </w:rPr>
        <w:tab/>
      </w:r>
      <w:r w:rsidR="00EB6A47">
        <w:rPr>
          <w:rFonts w:eastAsia="Cambria"/>
          <w:snapToGrid w:val="0"/>
        </w:rPr>
        <w:t xml:space="preserve">With regard to the complainant’s allegation that he would be arrested and jailed </w:t>
      </w:r>
      <w:r w:rsidR="008C7C51">
        <w:rPr>
          <w:rFonts w:eastAsia="Cambria"/>
          <w:snapToGrid w:val="0"/>
        </w:rPr>
        <w:t>because</w:t>
      </w:r>
      <w:r w:rsidR="00EB6A47">
        <w:rPr>
          <w:rFonts w:eastAsia="Cambria"/>
          <w:snapToGrid w:val="0"/>
        </w:rPr>
        <w:t xml:space="preserve"> of his illegal departure from Sri Lanka, the Committee notes the uncontested information that </w:t>
      </w:r>
      <w:r w:rsidR="00EB6A47">
        <w:t>under section 45</w:t>
      </w:r>
      <w:r w:rsidR="00B73CD7">
        <w:t xml:space="preserve"> </w:t>
      </w:r>
      <w:r w:rsidR="00EB6A47">
        <w:t>(1)</w:t>
      </w:r>
      <w:r w:rsidR="00B73CD7">
        <w:t xml:space="preserve"> </w:t>
      </w:r>
      <w:r w:rsidR="00EB6A47">
        <w:t xml:space="preserve">(b) of the Immigrants and Emigrants Act, it is an offence to depart other than via an official port of entry or exit and </w:t>
      </w:r>
      <w:r w:rsidR="008C7C51">
        <w:t xml:space="preserve">the </w:t>
      </w:r>
      <w:r w:rsidR="00EB6A47">
        <w:t>penalties include custodial sentences of up to five years and a fine of up to 200</w:t>
      </w:r>
      <w:r w:rsidR="008C7C51">
        <w:t>,</w:t>
      </w:r>
      <w:r w:rsidR="00EB6A47">
        <w:t xml:space="preserve">000 </w:t>
      </w:r>
      <w:r w:rsidR="008C7C51">
        <w:t>r</w:t>
      </w:r>
      <w:r w:rsidR="00EB6A47">
        <w:t xml:space="preserve">upees. </w:t>
      </w:r>
      <w:r w:rsidR="00D84EB1">
        <w:t xml:space="preserve">The </w:t>
      </w:r>
      <w:r w:rsidR="00D84EB1" w:rsidRPr="006B2667">
        <w:t xml:space="preserve">Committee recalls that </w:t>
      </w:r>
      <w:r w:rsidR="00D84EB1" w:rsidRPr="004209A6">
        <w:t>the mere risk of being arrested and interrogated is not sufficient to conclude that there is also a risk of being subjected to torture.</w:t>
      </w:r>
      <w:r w:rsidR="00D84EB1" w:rsidRPr="004209A6">
        <w:rPr>
          <w:vertAlign w:val="superscript"/>
        </w:rPr>
        <w:footnoteReference w:id="17"/>
      </w:r>
      <w:r w:rsidR="00D84EB1" w:rsidRPr="004209A6">
        <w:t xml:space="preserve"> T</w:t>
      </w:r>
      <w:r w:rsidR="00EB6A47" w:rsidRPr="004209A6">
        <w:t xml:space="preserve">he Committee </w:t>
      </w:r>
      <w:r w:rsidR="008C7C51" w:rsidRPr="004209A6">
        <w:t xml:space="preserve">also </w:t>
      </w:r>
      <w:r w:rsidR="00EB6A47" w:rsidRPr="004209A6">
        <w:t>observes that even</w:t>
      </w:r>
      <w:r w:rsidR="00EB6A47">
        <w:t xml:space="preserve"> if the complainant is sentenced to a custodial sentence,</w:t>
      </w:r>
      <w:r w:rsidR="00D84EB1">
        <w:t xml:space="preserve"> </w:t>
      </w:r>
      <w:r w:rsidR="009F0A3E">
        <w:t>having to serve</w:t>
      </w:r>
      <w:r w:rsidR="00944E55">
        <w:t xml:space="preserve"> </w:t>
      </w:r>
      <w:r w:rsidR="00AE4EEB">
        <w:t>such</w:t>
      </w:r>
      <w:r w:rsidR="00944E55">
        <w:t xml:space="preserve"> a</w:t>
      </w:r>
      <w:r w:rsidR="00AE4EEB">
        <w:t xml:space="preserve"> sentence</w:t>
      </w:r>
      <w:r w:rsidR="00EB6A47">
        <w:t xml:space="preserve"> would not </w:t>
      </w:r>
      <w:r w:rsidR="009F0A3E">
        <w:t xml:space="preserve">in itself </w:t>
      </w:r>
      <w:r w:rsidR="00EB6A47">
        <w:t xml:space="preserve">constitute a violation of </w:t>
      </w:r>
      <w:r w:rsidR="00C64CE5">
        <w:t>article 3 of the Convention</w:t>
      </w:r>
      <w:r w:rsidR="00EB6A47">
        <w:t xml:space="preserve">. </w:t>
      </w:r>
      <w:r w:rsidR="005B3955" w:rsidRPr="005B3955">
        <w:rPr>
          <w:rFonts w:eastAsia="Cambria"/>
          <w:snapToGrid w:val="0"/>
        </w:rPr>
        <w:t xml:space="preserve">The Committee recalls </w:t>
      </w:r>
      <w:r w:rsidR="00121C32">
        <w:rPr>
          <w:rFonts w:eastAsia="Cambria"/>
          <w:snapToGrid w:val="0"/>
        </w:rPr>
        <w:t xml:space="preserve">its </w:t>
      </w:r>
      <w:r w:rsidR="005B3955" w:rsidRPr="005B3955">
        <w:rPr>
          <w:rFonts w:eastAsia="Cambria"/>
          <w:snapToGrid w:val="0"/>
        </w:rPr>
        <w:t>general comment No. 1, according to which the burden of presenting an arguable case lies with the author of a communication</w:t>
      </w:r>
      <w:r w:rsidR="008C7C51">
        <w:rPr>
          <w:rFonts w:eastAsia="Cambria"/>
          <w:snapToGrid w:val="0"/>
        </w:rPr>
        <w:t xml:space="preserve"> (para. 5)</w:t>
      </w:r>
      <w:r w:rsidR="005B3955" w:rsidRPr="005B3955">
        <w:rPr>
          <w:rFonts w:eastAsia="Cambria"/>
          <w:snapToGrid w:val="0"/>
        </w:rPr>
        <w:t>. In the Committee’s opinion, the complainant has not discharged th</w:t>
      </w:r>
      <w:r w:rsidR="008C7C51">
        <w:rPr>
          <w:rFonts w:eastAsia="Cambria"/>
          <w:snapToGrid w:val="0"/>
        </w:rPr>
        <w:t>at</w:t>
      </w:r>
      <w:r w:rsidR="005B3955" w:rsidRPr="005B3955">
        <w:rPr>
          <w:rFonts w:eastAsia="Cambria"/>
          <w:snapToGrid w:val="0"/>
        </w:rPr>
        <w:t xml:space="preserve"> burden of proof.</w:t>
      </w:r>
    </w:p>
    <w:p w:rsidR="005B3955" w:rsidRDefault="00E022F5">
      <w:pPr>
        <w:pStyle w:val="SingleTxtG"/>
        <w:rPr>
          <w:rFonts w:eastAsia="Cambria"/>
          <w:snapToGrid w:val="0"/>
        </w:rPr>
      </w:pPr>
      <w:r>
        <w:rPr>
          <w:rFonts w:eastAsia="Cambria"/>
          <w:snapToGrid w:val="0"/>
        </w:rPr>
        <w:t>10</w:t>
      </w:r>
      <w:r w:rsidR="005B3955" w:rsidRPr="005B3955">
        <w:rPr>
          <w:rFonts w:eastAsia="Cambria"/>
          <w:snapToGrid w:val="0"/>
        </w:rPr>
        <w:t>.</w:t>
      </w:r>
      <w:r w:rsidR="005B3955" w:rsidRPr="005B3955">
        <w:rPr>
          <w:rFonts w:eastAsia="Cambria"/>
          <w:snapToGrid w:val="0"/>
        </w:rPr>
        <w:tab/>
        <w:t xml:space="preserve">The Committee against Torture, acting under article </w:t>
      </w:r>
      <w:r w:rsidR="008C7C51">
        <w:rPr>
          <w:rFonts w:eastAsia="Cambria"/>
          <w:snapToGrid w:val="0"/>
        </w:rPr>
        <w:t>22 (7)</w:t>
      </w:r>
      <w:r w:rsidR="005B3955" w:rsidRPr="005B3955">
        <w:rPr>
          <w:rFonts w:eastAsia="Cambria"/>
          <w:snapToGrid w:val="0"/>
        </w:rPr>
        <w:t xml:space="preserve"> of the Convention, concludes that the decision of the State party to return the complainant to Sri Lanka does not constitute a breach of article 3 of the Convention.</w:t>
      </w:r>
    </w:p>
    <w:p w:rsidR="00CB6AEA" w:rsidRPr="00D546AB" w:rsidRDefault="00DC5FF9" w:rsidP="00D546AB">
      <w:pPr>
        <w:pStyle w:val="SingleTxtG"/>
        <w:spacing w:before="240" w:after="0"/>
        <w:jc w:val="center"/>
        <w:rPr>
          <w:rFonts w:eastAsia="Cambria"/>
          <w:snapToGrid w:val="0"/>
          <w:u w:val="single"/>
        </w:rPr>
      </w:pPr>
      <w:r>
        <w:rPr>
          <w:rFonts w:eastAsia="Cambria"/>
          <w:snapToGrid w:val="0"/>
          <w:u w:val="single"/>
        </w:rPr>
        <w:tab/>
      </w:r>
      <w:r>
        <w:rPr>
          <w:rFonts w:eastAsia="Cambria"/>
          <w:snapToGrid w:val="0"/>
          <w:u w:val="single"/>
        </w:rPr>
        <w:tab/>
      </w:r>
      <w:r>
        <w:rPr>
          <w:rFonts w:eastAsia="Cambria"/>
          <w:snapToGrid w:val="0"/>
          <w:u w:val="single"/>
        </w:rPr>
        <w:tab/>
      </w:r>
    </w:p>
    <w:sectPr w:rsidR="00CB6AEA" w:rsidRPr="00D546AB" w:rsidSect="005B1C0A">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01" w:rsidRDefault="000F7301"/>
  </w:endnote>
  <w:endnote w:type="continuationSeparator" w:id="0">
    <w:p w:rsidR="000F7301" w:rsidRDefault="000F7301"/>
  </w:endnote>
  <w:endnote w:type="continuationNotice" w:id="1">
    <w:p w:rsidR="000F7301" w:rsidRDefault="000F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2" w:rsidRPr="00785A61" w:rsidRDefault="00AC6C72" w:rsidP="00785A61">
    <w:pPr>
      <w:pStyle w:val="Footer"/>
      <w:tabs>
        <w:tab w:val="right" w:pos="9638"/>
      </w:tabs>
    </w:pPr>
    <w:r w:rsidRPr="00785A61">
      <w:rPr>
        <w:b/>
        <w:sz w:val="18"/>
      </w:rPr>
      <w:fldChar w:fldCharType="begin"/>
    </w:r>
    <w:r w:rsidRPr="00785A61">
      <w:rPr>
        <w:b/>
        <w:sz w:val="18"/>
      </w:rPr>
      <w:instrText xml:space="preserve"> PAGE  \* MERGEFORMAT </w:instrText>
    </w:r>
    <w:r w:rsidRPr="00785A61">
      <w:rPr>
        <w:b/>
        <w:sz w:val="18"/>
      </w:rPr>
      <w:fldChar w:fldCharType="separate"/>
    </w:r>
    <w:r w:rsidR="00A931B6">
      <w:rPr>
        <w:b/>
        <w:noProof/>
        <w:sz w:val="18"/>
      </w:rPr>
      <w:t>2</w:t>
    </w:r>
    <w:r w:rsidRPr="00785A6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2" w:rsidRPr="00785A61" w:rsidRDefault="00AC6C72" w:rsidP="00785A61">
    <w:pPr>
      <w:pStyle w:val="Footer"/>
      <w:tabs>
        <w:tab w:val="right" w:pos="9638"/>
      </w:tabs>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A931B6">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2" w:rsidRDefault="004D282D" w:rsidP="004D282D">
    <w:pPr>
      <w:pStyle w:val="Footer"/>
      <w:ind w:right="1134"/>
      <w:rPr>
        <w:rFonts w:asciiTheme="majorBidi" w:hAnsiTheme="majorBidi" w:cstheme="majorBidi"/>
        <w:sz w:val="20"/>
        <w:lang w:val="en-US" w:eastAsia="zh-CN"/>
      </w:rPr>
    </w:pPr>
    <w:r w:rsidRPr="004D282D">
      <w:rPr>
        <w:rFonts w:ascii="C39T30Lfz" w:hAnsi="C39T30Lfz" w:cstheme="majorBidi"/>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4D282D" w:rsidRDefault="004D282D" w:rsidP="004D282D">
    <w:pPr>
      <w:pStyle w:val="Footer"/>
      <w:ind w:right="1134"/>
      <w:rPr>
        <w:rFonts w:asciiTheme="majorBidi" w:hAnsiTheme="majorBidi" w:cstheme="majorBidi"/>
        <w:sz w:val="20"/>
        <w:lang w:val="en-US" w:eastAsia="zh-CN"/>
      </w:rPr>
    </w:pPr>
    <w:r>
      <w:rPr>
        <w:rFonts w:asciiTheme="majorBidi" w:hAnsiTheme="majorBidi" w:cstheme="majorBidi"/>
        <w:sz w:val="20"/>
        <w:lang w:val="en-US" w:eastAsia="zh-CN"/>
      </w:rPr>
      <w:t>GE.16-16028(E)</w:t>
    </w:r>
  </w:p>
  <w:p w:rsidR="004D282D" w:rsidRPr="004D282D" w:rsidRDefault="004D282D" w:rsidP="004D282D">
    <w:pPr>
      <w:pStyle w:val="Footer"/>
      <w:ind w:right="1134"/>
      <w:rPr>
        <w:rFonts w:ascii="C39T30Lfz" w:hAnsi="C39T30Lfz" w:cstheme="majorBidi"/>
        <w:sz w:val="56"/>
        <w:lang w:val="en-US" w:eastAsia="zh-CN"/>
      </w:rPr>
    </w:pP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8/D/595/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595/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01" w:rsidRPr="000B175B" w:rsidRDefault="000F7301" w:rsidP="000B175B">
      <w:pPr>
        <w:tabs>
          <w:tab w:val="right" w:pos="2155"/>
        </w:tabs>
        <w:spacing w:after="80"/>
        <w:ind w:left="680"/>
        <w:rPr>
          <w:u w:val="single"/>
        </w:rPr>
      </w:pPr>
      <w:r>
        <w:rPr>
          <w:u w:val="single"/>
        </w:rPr>
        <w:tab/>
      </w:r>
    </w:p>
  </w:footnote>
  <w:footnote w:type="continuationSeparator" w:id="0">
    <w:p w:rsidR="000F7301" w:rsidRPr="00FC68B7" w:rsidRDefault="000F7301" w:rsidP="00FC68B7">
      <w:pPr>
        <w:tabs>
          <w:tab w:val="left" w:pos="2155"/>
        </w:tabs>
        <w:spacing w:after="80"/>
        <w:ind w:left="680"/>
        <w:rPr>
          <w:u w:val="single"/>
        </w:rPr>
      </w:pPr>
      <w:r>
        <w:rPr>
          <w:u w:val="single"/>
        </w:rPr>
        <w:tab/>
      </w:r>
    </w:p>
  </w:footnote>
  <w:footnote w:type="continuationNotice" w:id="1">
    <w:p w:rsidR="000F7301" w:rsidRDefault="000F7301"/>
  </w:footnote>
  <w:footnote w:id="2">
    <w:p w:rsidR="007E3DE7" w:rsidRPr="00F32A0F" w:rsidRDefault="007E3DE7" w:rsidP="007E3DE7">
      <w:pPr>
        <w:pStyle w:val="FootnoteText"/>
        <w:rPr>
          <w:lang w:val="en-US"/>
        </w:rPr>
      </w:pPr>
      <w:r>
        <w:rPr>
          <w:rStyle w:val="FootnoteReference"/>
        </w:rPr>
        <w:tab/>
      </w:r>
      <w:r w:rsidRPr="003A40BB">
        <w:rPr>
          <w:rStyle w:val="FootnoteReference"/>
          <w:sz w:val="20"/>
          <w:vertAlign w:val="baseline"/>
        </w:rPr>
        <w:t>*</w:t>
      </w:r>
      <w:r>
        <w:rPr>
          <w:rStyle w:val="FootnoteReference"/>
          <w:sz w:val="20"/>
          <w:vertAlign w:val="baseline"/>
        </w:rPr>
        <w:tab/>
      </w:r>
      <w:r w:rsidRPr="0090138A">
        <w:rPr>
          <w:szCs w:val="18"/>
        </w:rPr>
        <w:t xml:space="preserve">Adopted by the Committee at its </w:t>
      </w:r>
      <w:r w:rsidRPr="00FC6F11">
        <w:rPr>
          <w:color w:val="000000" w:themeColor="text1"/>
          <w:szCs w:val="18"/>
        </w:rPr>
        <w:t>fifty-eighth session (25 July-12 August 2016).</w:t>
      </w:r>
    </w:p>
  </w:footnote>
  <w:footnote w:id="3">
    <w:p w:rsidR="007E3DE7" w:rsidRPr="00F32A0F" w:rsidRDefault="007E3DE7" w:rsidP="003A40BB">
      <w:pPr>
        <w:pStyle w:val="FootnoteText"/>
        <w:rPr>
          <w:lang w:val="en-US"/>
        </w:rPr>
      </w:pPr>
      <w:r>
        <w:rPr>
          <w:rStyle w:val="FootnoteReference"/>
        </w:rPr>
        <w:tab/>
      </w:r>
      <w:r w:rsidRPr="003A40BB">
        <w:rPr>
          <w:rStyle w:val="FootnoteReference"/>
          <w:sz w:val="20"/>
          <w:vertAlign w:val="baseline"/>
        </w:rPr>
        <w:t>**</w:t>
      </w:r>
      <w:r>
        <w:rPr>
          <w:rStyle w:val="FootnoteReference"/>
          <w:sz w:val="20"/>
          <w:vertAlign w:val="baseline"/>
        </w:rPr>
        <w:tab/>
      </w:r>
      <w:r w:rsidRPr="00FC6F11">
        <w:rPr>
          <w:szCs w:val="18"/>
        </w:rPr>
        <w:t xml:space="preserve">The following members of the Committee participated in the examination of the present communication: </w:t>
      </w:r>
      <w:r w:rsidRPr="00865A6F">
        <w:rPr>
          <w:szCs w:val="18"/>
        </w:rPr>
        <w:t xml:space="preserve">Essadia Belmir, Alessio Bruni, Felice Gaer, </w:t>
      </w:r>
      <w:r w:rsidRPr="00862E93">
        <w:rPr>
          <w:color w:val="000000"/>
          <w:szCs w:val="18"/>
          <w:lang w:eastAsia="en-GB"/>
        </w:rPr>
        <w:t>Abdelwahab Hani, Claude Heller</w:t>
      </w:r>
      <w:r>
        <w:rPr>
          <w:color w:val="000000"/>
          <w:szCs w:val="18"/>
          <w:lang w:eastAsia="en-GB"/>
        </w:rPr>
        <w:t>-</w:t>
      </w:r>
      <w:r w:rsidRPr="00862E93">
        <w:rPr>
          <w:color w:val="000000"/>
          <w:szCs w:val="18"/>
          <w:lang w:eastAsia="en-GB"/>
        </w:rPr>
        <w:t xml:space="preserve">Rouassant, </w:t>
      </w:r>
      <w:r w:rsidRPr="00865A6F">
        <w:rPr>
          <w:bCs/>
          <w:szCs w:val="18"/>
        </w:rPr>
        <w:t>Jens Modvig,</w:t>
      </w:r>
      <w:r w:rsidRPr="00865A6F">
        <w:rPr>
          <w:color w:val="000000"/>
          <w:szCs w:val="18"/>
          <w:lang w:eastAsia="en-GB"/>
        </w:rPr>
        <w:t xml:space="preserve"> Ana Racu, Sébastien Touze</w:t>
      </w:r>
      <w:r w:rsidRPr="00865A6F">
        <w:rPr>
          <w:bCs/>
          <w:szCs w:val="18"/>
        </w:rPr>
        <w:t xml:space="preserve"> and </w:t>
      </w:r>
      <w:r w:rsidRPr="00865A6F">
        <w:rPr>
          <w:szCs w:val="18"/>
        </w:rPr>
        <w:t>Kening Zhang.</w:t>
      </w:r>
    </w:p>
  </w:footnote>
  <w:footnote w:id="4">
    <w:p w:rsidR="00AC6C72" w:rsidRPr="00E022F5" w:rsidRDefault="00AC6C72" w:rsidP="003A40BB">
      <w:pPr>
        <w:pStyle w:val="FootnoteText"/>
        <w:widowControl w:val="0"/>
        <w:tabs>
          <w:tab w:val="clear" w:pos="1021"/>
          <w:tab w:val="right" w:pos="1020"/>
        </w:tabs>
      </w:pPr>
      <w:r>
        <w:tab/>
      </w:r>
      <w:r w:rsidRPr="004209A6">
        <w:rPr>
          <w:rStyle w:val="FootnoteReference"/>
        </w:rPr>
        <w:footnoteRef/>
      </w:r>
      <w:r w:rsidRPr="004209A6">
        <w:tab/>
        <w:t>Communication No. 83/1997, Views adopted on 15 May 1998, para. 6.3.</w:t>
      </w:r>
    </w:p>
  </w:footnote>
  <w:footnote w:id="5">
    <w:p w:rsidR="00AC6C72" w:rsidRPr="004209A6" w:rsidRDefault="00AC6C72" w:rsidP="003A40BB">
      <w:pPr>
        <w:pStyle w:val="FootnoteText"/>
        <w:widowControl w:val="0"/>
        <w:tabs>
          <w:tab w:val="clear" w:pos="1021"/>
          <w:tab w:val="right" w:pos="1020"/>
        </w:tabs>
      </w:pPr>
      <w:r>
        <w:tab/>
      </w:r>
      <w:r>
        <w:rPr>
          <w:rStyle w:val="FootnoteReference"/>
        </w:rPr>
        <w:footnoteRef/>
      </w:r>
      <w:r>
        <w:tab/>
      </w:r>
      <w:r w:rsidRPr="004209A6">
        <w:rPr>
          <w:szCs w:val="18"/>
        </w:rPr>
        <w:t>Application No</w:t>
      </w:r>
      <w:r w:rsidR="00592184" w:rsidRPr="004209A6">
        <w:rPr>
          <w:szCs w:val="18"/>
        </w:rPr>
        <w:t xml:space="preserve">. </w:t>
      </w:r>
      <w:r w:rsidRPr="004209A6">
        <w:rPr>
          <w:szCs w:val="18"/>
        </w:rPr>
        <w:t>25904/07, para</w:t>
      </w:r>
      <w:r w:rsidR="00592184" w:rsidRPr="004209A6">
        <w:rPr>
          <w:szCs w:val="18"/>
        </w:rPr>
        <w:t>.</w:t>
      </w:r>
      <w:r w:rsidRPr="004209A6">
        <w:rPr>
          <w:szCs w:val="18"/>
        </w:rPr>
        <w:t xml:space="preserve"> 147.</w:t>
      </w:r>
      <w:r w:rsidRPr="004209A6">
        <w:t xml:space="preserve"> </w:t>
      </w:r>
    </w:p>
  </w:footnote>
  <w:footnote w:id="6">
    <w:p w:rsidR="00AC6C72" w:rsidRPr="004209A6"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Pr="004209A6">
        <w:rPr>
          <w:szCs w:val="18"/>
        </w:rPr>
        <w:t>The complainant submit</w:t>
      </w:r>
      <w:r w:rsidR="00243C53" w:rsidRPr="004209A6">
        <w:rPr>
          <w:szCs w:val="18"/>
        </w:rPr>
        <w:t>ted</w:t>
      </w:r>
      <w:r w:rsidRPr="004209A6">
        <w:rPr>
          <w:szCs w:val="18"/>
        </w:rPr>
        <w:t xml:space="preserve"> a two</w:t>
      </w:r>
      <w:r w:rsidR="00243C53" w:rsidRPr="004209A6">
        <w:rPr>
          <w:szCs w:val="18"/>
        </w:rPr>
        <w:t>-</w:t>
      </w:r>
      <w:r w:rsidRPr="004209A6">
        <w:rPr>
          <w:szCs w:val="18"/>
        </w:rPr>
        <w:t>page report by the Edmund Rice Cent</w:t>
      </w:r>
      <w:r w:rsidR="00243C53" w:rsidRPr="004209A6">
        <w:rPr>
          <w:szCs w:val="18"/>
        </w:rPr>
        <w:t>re</w:t>
      </w:r>
      <w:r w:rsidRPr="004209A6">
        <w:rPr>
          <w:szCs w:val="18"/>
        </w:rPr>
        <w:t>, dated 5 May 2015, describing the above</w:t>
      </w:r>
      <w:r w:rsidR="00243C53" w:rsidRPr="004209A6">
        <w:rPr>
          <w:szCs w:val="18"/>
        </w:rPr>
        <w:t>-</w:t>
      </w:r>
      <w:r w:rsidRPr="004209A6">
        <w:rPr>
          <w:szCs w:val="18"/>
        </w:rPr>
        <w:t xml:space="preserve">mentioned cases, </w:t>
      </w:r>
      <w:r w:rsidR="00243C53" w:rsidRPr="004209A6">
        <w:rPr>
          <w:szCs w:val="18"/>
        </w:rPr>
        <w:t xml:space="preserve">which is </w:t>
      </w:r>
      <w:r w:rsidRPr="004209A6">
        <w:rPr>
          <w:szCs w:val="18"/>
        </w:rPr>
        <w:t>available on file.</w:t>
      </w:r>
      <w:r w:rsidRPr="004209A6">
        <w:t xml:space="preserve"> </w:t>
      </w:r>
    </w:p>
  </w:footnote>
  <w:footnote w:id="7">
    <w:p w:rsidR="00AC6C72" w:rsidRPr="004209A6"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00BC57CE" w:rsidRPr="004209A6">
        <w:rPr>
          <w:szCs w:val="18"/>
        </w:rPr>
        <w:t>See d</w:t>
      </w:r>
      <w:r w:rsidRPr="004209A6">
        <w:rPr>
          <w:szCs w:val="18"/>
        </w:rPr>
        <w:t>ecision 1213580 [2012] RRTA 1161 (12 December 2012), paras</w:t>
      </w:r>
      <w:r w:rsidR="00BC57CE" w:rsidRPr="004209A6">
        <w:rPr>
          <w:szCs w:val="18"/>
        </w:rPr>
        <w:t>.</w:t>
      </w:r>
      <w:r w:rsidRPr="004209A6">
        <w:rPr>
          <w:szCs w:val="18"/>
        </w:rPr>
        <w:t xml:space="preserve"> 98-100.</w:t>
      </w:r>
      <w:r w:rsidRPr="004209A6">
        <w:t xml:space="preserve"> </w:t>
      </w:r>
    </w:p>
  </w:footnote>
  <w:footnote w:id="8">
    <w:p w:rsidR="00AC6C72" w:rsidRPr="00E022F5"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Pr="00934797">
        <w:rPr>
          <w:szCs w:val="18"/>
        </w:rPr>
        <w:t xml:space="preserve">See </w:t>
      </w:r>
      <w:r w:rsidRPr="003A40BB">
        <w:rPr>
          <w:szCs w:val="18"/>
        </w:rPr>
        <w:t>CAT/C/LKA/CO/3-4.</w:t>
      </w:r>
      <w:r>
        <w:t xml:space="preserve"> </w:t>
      </w:r>
    </w:p>
  </w:footnote>
  <w:footnote w:id="9">
    <w:p w:rsidR="00AC6C72" w:rsidRPr="000023EB" w:rsidRDefault="007E3DE7" w:rsidP="003A40BB">
      <w:pPr>
        <w:pStyle w:val="FootnoteText"/>
        <w:widowControl w:val="0"/>
        <w:rPr>
          <w:szCs w:val="18"/>
        </w:rPr>
      </w:pPr>
      <w:r>
        <w:rPr>
          <w:szCs w:val="18"/>
        </w:rPr>
        <w:tab/>
      </w:r>
      <w:r w:rsidR="00AC6C72" w:rsidRPr="004209A6">
        <w:rPr>
          <w:rStyle w:val="FootnoteReference"/>
          <w:szCs w:val="18"/>
        </w:rPr>
        <w:footnoteRef/>
      </w:r>
      <w:r>
        <w:rPr>
          <w:szCs w:val="18"/>
        </w:rPr>
        <w:tab/>
      </w:r>
      <w:r w:rsidR="00AC6C72" w:rsidRPr="004209A6">
        <w:rPr>
          <w:szCs w:val="18"/>
        </w:rPr>
        <w:t xml:space="preserve">The complainant refers to </w:t>
      </w:r>
      <w:r w:rsidR="00506934" w:rsidRPr="004209A6">
        <w:rPr>
          <w:szCs w:val="18"/>
        </w:rPr>
        <w:t xml:space="preserve">the </w:t>
      </w:r>
      <w:r w:rsidR="00AC6C72" w:rsidRPr="004209A6">
        <w:rPr>
          <w:szCs w:val="18"/>
        </w:rPr>
        <w:t xml:space="preserve">media articles available </w:t>
      </w:r>
      <w:r w:rsidR="00506934" w:rsidRPr="004209A6">
        <w:rPr>
          <w:szCs w:val="18"/>
        </w:rPr>
        <w:t>from</w:t>
      </w:r>
      <w:r w:rsidR="00AC6C72" w:rsidRPr="004209A6">
        <w:rPr>
          <w:szCs w:val="18"/>
        </w:rPr>
        <w:t xml:space="preserve"> http://tribune.com.pk/story/961509/sri-lanka-rejects-international</w:t>
      </w:r>
      <w:r w:rsidR="00506934" w:rsidRPr="004209A6">
        <w:rPr>
          <w:szCs w:val="18"/>
        </w:rPr>
        <w:t>-</w:t>
      </w:r>
      <w:r w:rsidR="00AC6C72" w:rsidRPr="004209A6">
        <w:rPr>
          <w:szCs w:val="18"/>
        </w:rPr>
        <w:t>war-crimes-probe/ and</w:t>
      </w:r>
      <w:r w:rsidR="00506934" w:rsidRPr="004209A6">
        <w:rPr>
          <w:szCs w:val="18"/>
        </w:rPr>
        <w:t xml:space="preserve"> from</w:t>
      </w:r>
      <w:r w:rsidR="00AC6C72" w:rsidRPr="004209A6">
        <w:rPr>
          <w:szCs w:val="18"/>
        </w:rPr>
        <w:t xml:space="preserve"> www.loc.gov/law/foreign-news/article/sri-lanka</w:t>
      </w:r>
      <w:r w:rsidR="00506934" w:rsidRPr="004209A6">
        <w:rPr>
          <w:szCs w:val="18"/>
        </w:rPr>
        <w:t>-</w:t>
      </w:r>
      <w:r w:rsidR="00AC6C72" w:rsidRPr="004209A6">
        <w:rPr>
          <w:szCs w:val="18"/>
        </w:rPr>
        <w:t>update-on-war-crimes-investigation-proposal.</w:t>
      </w:r>
    </w:p>
  </w:footnote>
  <w:footnote w:id="10">
    <w:p w:rsidR="00AC6C72" w:rsidRPr="004209A6" w:rsidRDefault="00AC6C72" w:rsidP="003A40BB">
      <w:pPr>
        <w:pStyle w:val="FootnoteText"/>
        <w:widowControl w:val="0"/>
        <w:tabs>
          <w:tab w:val="clear" w:pos="1021"/>
          <w:tab w:val="right" w:pos="1020"/>
        </w:tabs>
      </w:pPr>
      <w:r>
        <w:tab/>
      </w:r>
      <w:r w:rsidRPr="004209A6">
        <w:rPr>
          <w:rStyle w:val="FootnoteReference"/>
        </w:rPr>
        <w:footnoteRef/>
      </w:r>
      <w:r w:rsidRPr="004209A6">
        <w:tab/>
        <w:t xml:space="preserve">See CAT/C/LKA/CO/3-4, para. 6. </w:t>
      </w:r>
    </w:p>
  </w:footnote>
  <w:footnote w:id="11">
    <w:p w:rsidR="00AC6C72" w:rsidRPr="004209A6" w:rsidRDefault="00AC6C72" w:rsidP="003A40BB">
      <w:pPr>
        <w:pStyle w:val="FootnoteText"/>
      </w:pPr>
      <w:r w:rsidRPr="004209A6">
        <w:tab/>
      </w:r>
      <w:r w:rsidRPr="004209A6">
        <w:rPr>
          <w:rStyle w:val="FootnoteReference"/>
        </w:rPr>
        <w:footnoteRef/>
      </w:r>
      <w:r w:rsidRPr="004209A6">
        <w:tab/>
        <w:t xml:space="preserve">See communications No. 282/2005, </w:t>
      </w:r>
      <w:r w:rsidRPr="004209A6">
        <w:rPr>
          <w:i/>
        </w:rPr>
        <w:t xml:space="preserve">S.P.A. </w:t>
      </w:r>
      <w:r w:rsidRPr="003A40BB">
        <w:rPr>
          <w:i/>
          <w:iCs/>
        </w:rPr>
        <w:t xml:space="preserve">v. </w:t>
      </w:r>
      <w:r w:rsidRPr="004209A6">
        <w:rPr>
          <w:i/>
        </w:rPr>
        <w:t>Canada</w:t>
      </w:r>
      <w:r w:rsidRPr="004209A6">
        <w:t xml:space="preserve">, decision adopted on 7 November 2006; No. 333/2007, </w:t>
      </w:r>
      <w:r w:rsidRPr="004209A6">
        <w:rPr>
          <w:i/>
        </w:rPr>
        <w:t>T.I. v. Canada</w:t>
      </w:r>
      <w:r w:rsidRPr="004209A6">
        <w:t xml:space="preserve">, decision adopted on 15 November 2010; and No. 344/2008, </w:t>
      </w:r>
      <w:r w:rsidR="007E3DE7">
        <w:br/>
      </w:r>
      <w:r w:rsidRPr="004209A6">
        <w:rPr>
          <w:i/>
        </w:rPr>
        <w:t xml:space="preserve">A.M.A. </w:t>
      </w:r>
      <w:r w:rsidRPr="003A40BB">
        <w:rPr>
          <w:i/>
          <w:iCs/>
        </w:rPr>
        <w:t>v. Switzerland</w:t>
      </w:r>
      <w:r w:rsidRPr="004209A6">
        <w:t>, decision adopted on 12 November 2010.</w:t>
      </w:r>
    </w:p>
  </w:footnote>
  <w:footnote w:id="12">
    <w:p w:rsidR="00AC6C72" w:rsidRPr="004209A6"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00780FA9" w:rsidRPr="004209A6">
        <w:rPr>
          <w:bCs/>
          <w:szCs w:val="18"/>
        </w:rPr>
        <w:t>See</w:t>
      </w:r>
      <w:r w:rsidRPr="004209A6">
        <w:rPr>
          <w:bCs/>
          <w:szCs w:val="18"/>
        </w:rPr>
        <w:t xml:space="preserve"> CAT/C/LKA/CO/3-4</w:t>
      </w:r>
      <w:r w:rsidR="00780FA9" w:rsidRPr="004209A6">
        <w:t>.</w:t>
      </w:r>
    </w:p>
  </w:footnote>
  <w:footnote w:id="13">
    <w:p w:rsidR="00AC6C72" w:rsidRPr="004209A6"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Pr="004209A6">
        <w:rPr>
          <w:bCs/>
          <w:szCs w:val="18"/>
        </w:rPr>
        <w:t>Ibid</w:t>
      </w:r>
      <w:r w:rsidR="00C7732B" w:rsidRPr="004209A6">
        <w:rPr>
          <w:bCs/>
          <w:szCs w:val="18"/>
        </w:rPr>
        <w:t>.</w:t>
      </w:r>
      <w:r w:rsidRPr="004209A6">
        <w:rPr>
          <w:bCs/>
          <w:szCs w:val="18"/>
        </w:rPr>
        <w:t>, para</w:t>
      </w:r>
      <w:r w:rsidR="00C7732B" w:rsidRPr="004209A6">
        <w:rPr>
          <w:bCs/>
          <w:szCs w:val="18"/>
        </w:rPr>
        <w:t>.</w:t>
      </w:r>
      <w:r w:rsidRPr="004209A6">
        <w:rPr>
          <w:bCs/>
          <w:szCs w:val="18"/>
        </w:rPr>
        <w:t xml:space="preserve"> 6.</w:t>
      </w:r>
      <w:r w:rsidRPr="004209A6">
        <w:t xml:space="preserve"> </w:t>
      </w:r>
    </w:p>
  </w:footnote>
  <w:footnote w:id="14">
    <w:p w:rsidR="00AC6C72" w:rsidRPr="00253A06" w:rsidRDefault="00AC6C72" w:rsidP="003A40BB">
      <w:pPr>
        <w:pStyle w:val="FootnoteText"/>
        <w:widowControl w:val="0"/>
        <w:tabs>
          <w:tab w:val="clear" w:pos="1021"/>
          <w:tab w:val="right" w:pos="1020"/>
        </w:tabs>
      </w:pPr>
      <w:r w:rsidRPr="004209A6">
        <w:tab/>
      </w:r>
      <w:r w:rsidRPr="004209A6">
        <w:rPr>
          <w:rStyle w:val="FootnoteReference"/>
        </w:rPr>
        <w:footnoteRef/>
      </w:r>
      <w:r w:rsidRPr="004209A6">
        <w:tab/>
      </w:r>
      <w:r w:rsidRPr="004209A6">
        <w:rPr>
          <w:szCs w:val="18"/>
        </w:rPr>
        <w:t xml:space="preserve">See </w:t>
      </w:r>
      <w:r w:rsidRPr="004209A6">
        <w:rPr>
          <w:bCs/>
          <w:szCs w:val="18"/>
        </w:rPr>
        <w:t>CAT/C/GBR/CO/5, para</w:t>
      </w:r>
      <w:r w:rsidR="00C7732B" w:rsidRPr="004209A6">
        <w:rPr>
          <w:bCs/>
          <w:szCs w:val="18"/>
        </w:rPr>
        <w:t>.</w:t>
      </w:r>
      <w:r w:rsidRPr="004209A6">
        <w:rPr>
          <w:bCs/>
          <w:szCs w:val="18"/>
        </w:rPr>
        <w:t xml:space="preserve"> 20.</w:t>
      </w:r>
      <w:r>
        <w:t xml:space="preserve"> </w:t>
      </w:r>
    </w:p>
  </w:footnote>
  <w:footnote w:id="15">
    <w:p w:rsidR="00AC6C72" w:rsidRPr="004209A6" w:rsidRDefault="00AC6C72" w:rsidP="003A40BB">
      <w:pPr>
        <w:pStyle w:val="FootnoteText"/>
        <w:widowControl w:val="0"/>
        <w:tabs>
          <w:tab w:val="clear" w:pos="1021"/>
          <w:tab w:val="right" w:pos="1020"/>
        </w:tabs>
      </w:pPr>
      <w:r>
        <w:tab/>
      </w:r>
      <w:r w:rsidRPr="004209A6">
        <w:rPr>
          <w:rStyle w:val="FootnoteReference"/>
        </w:rPr>
        <w:footnoteRef/>
      </w:r>
      <w:r w:rsidRPr="004209A6">
        <w:tab/>
      </w:r>
      <w:r w:rsidR="00C95360" w:rsidRPr="004209A6">
        <w:t>See www.ohchr.org/EN/NewsEvents/Pages/DisplayNews.aspx?NewsID=19943&amp;LangID=E.</w:t>
      </w:r>
      <w:r w:rsidRPr="004209A6">
        <w:t xml:space="preserve"> </w:t>
      </w:r>
    </w:p>
  </w:footnote>
  <w:footnote w:id="16">
    <w:p w:rsidR="00AC6C72" w:rsidRPr="007A6A9F" w:rsidRDefault="007E3DE7" w:rsidP="003A40BB">
      <w:pPr>
        <w:pStyle w:val="FootnoteText"/>
        <w:widowControl w:val="0"/>
      </w:pPr>
      <w:r>
        <w:tab/>
      </w:r>
      <w:r w:rsidR="00AC6C72" w:rsidRPr="004209A6">
        <w:rPr>
          <w:rStyle w:val="FootnoteReference"/>
        </w:rPr>
        <w:footnoteRef/>
      </w:r>
      <w:r>
        <w:tab/>
      </w:r>
      <w:r w:rsidR="00AC6C72" w:rsidRPr="004209A6">
        <w:rPr>
          <w:bCs/>
          <w:szCs w:val="18"/>
        </w:rPr>
        <w:t xml:space="preserve">Freedom from Torture, </w:t>
      </w:r>
      <w:r w:rsidR="00696732" w:rsidRPr="004209A6">
        <w:rPr>
          <w:bCs/>
          <w:szCs w:val="18"/>
        </w:rPr>
        <w:t>“</w:t>
      </w:r>
      <w:r w:rsidR="00AC6C72" w:rsidRPr="003A40BB">
        <w:rPr>
          <w:bCs/>
          <w:szCs w:val="18"/>
        </w:rPr>
        <w:t xml:space="preserve">Tainted </w:t>
      </w:r>
      <w:r w:rsidR="00696732" w:rsidRPr="004209A6">
        <w:rPr>
          <w:bCs/>
          <w:szCs w:val="18"/>
        </w:rPr>
        <w:t>p</w:t>
      </w:r>
      <w:r w:rsidR="00AC6C72" w:rsidRPr="003A40BB">
        <w:rPr>
          <w:bCs/>
          <w:szCs w:val="18"/>
        </w:rPr>
        <w:t xml:space="preserve">eace: </w:t>
      </w:r>
      <w:r w:rsidR="00696732" w:rsidRPr="004209A6">
        <w:rPr>
          <w:bCs/>
          <w:szCs w:val="18"/>
        </w:rPr>
        <w:t>t</w:t>
      </w:r>
      <w:r w:rsidR="00AC6C72" w:rsidRPr="003A40BB">
        <w:rPr>
          <w:bCs/>
          <w:szCs w:val="18"/>
        </w:rPr>
        <w:t>orture in Sri Lanka since May 2009</w:t>
      </w:r>
      <w:r w:rsidR="00696732" w:rsidRPr="004209A6">
        <w:rPr>
          <w:bCs/>
          <w:szCs w:val="18"/>
        </w:rPr>
        <w:t>”</w:t>
      </w:r>
      <w:r w:rsidR="00AC6C72" w:rsidRPr="004209A6">
        <w:rPr>
          <w:bCs/>
          <w:szCs w:val="18"/>
        </w:rPr>
        <w:t xml:space="preserve">, August 2015, available </w:t>
      </w:r>
      <w:r w:rsidR="00696732" w:rsidRPr="004209A6">
        <w:rPr>
          <w:bCs/>
          <w:szCs w:val="18"/>
        </w:rPr>
        <w:t>from</w:t>
      </w:r>
      <w:r w:rsidR="00AC6C72" w:rsidRPr="004209A6">
        <w:rPr>
          <w:bCs/>
          <w:szCs w:val="18"/>
        </w:rPr>
        <w:t xml:space="preserve"> </w:t>
      </w:r>
      <w:hyperlink r:id="rId1" w:history="1">
        <w:r w:rsidR="00696732" w:rsidRPr="004209A6">
          <w:rPr>
            <w:rStyle w:val="Hyperlink"/>
            <w:bCs/>
            <w:szCs w:val="18"/>
          </w:rPr>
          <w:t>www.freedomfromtorture.org/sites/default/files/documents/sl_report_a4_-_final-f-b-web.pdf</w:t>
        </w:r>
      </w:hyperlink>
      <w:r w:rsidR="00AC6C72" w:rsidRPr="004209A6">
        <w:rPr>
          <w:rStyle w:val="Hyperlink"/>
          <w:bCs/>
          <w:szCs w:val="18"/>
        </w:rPr>
        <w:t xml:space="preserve">; and </w:t>
      </w:r>
      <w:r w:rsidR="00AC6C72" w:rsidRPr="004209A6">
        <w:t>Yasmin Sooka, The Bar Human Rights Committee of England and Wales</w:t>
      </w:r>
      <w:r w:rsidR="00FA00FA" w:rsidRPr="004209A6">
        <w:t>,</w:t>
      </w:r>
      <w:r w:rsidR="00AC6C72" w:rsidRPr="004209A6">
        <w:t xml:space="preserve"> and The International Truth and Justice Project, Sri Lanka</w:t>
      </w:r>
      <w:r w:rsidR="00FA00FA" w:rsidRPr="004209A6">
        <w:t>,</w:t>
      </w:r>
      <w:r w:rsidR="00AC6C72" w:rsidRPr="004209A6">
        <w:t xml:space="preserve"> </w:t>
      </w:r>
      <w:r w:rsidR="00FA00FA" w:rsidRPr="004209A6">
        <w:t>“</w:t>
      </w:r>
      <w:r w:rsidR="00AC6C72" w:rsidRPr="003A40BB">
        <w:t xml:space="preserve">An </w:t>
      </w:r>
      <w:r w:rsidR="00FA00FA" w:rsidRPr="004209A6">
        <w:t>u</w:t>
      </w:r>
      <w:r w:rsidR="00AC6C72" w:rsidRPr="003A40BB">
        <w:t xml:space="preserve">nfinished </w:t>
      </w:r>
      <w:r w:rsidR="00FA00FA" w:rsidRPr="004209A6">
        <w:t>w</w:t>
      </w:r>
      <w:r w:rsidR="00AC6C72" w:rsidRPr="003A40BB">
        <w:t>ar</w:t>
      </w:r>
      <w:r w:rsidR="0023038D">
        <w:t>:</w:t>
      </w:r>
      <w:r w:rsidR="00AC6C72" w:rsidRPr="003A40BB">
        <w:t xml:space="preserve"> </w:t>
      </w:r>
      <w:r w:rsidR="00FA00FA" w:rsidRPr="004209A6">
        <w:t>t</w:t>
      </w:r>
      <w:r w:rsidR="00AC6C72" w:rsidRPr="003A40BB">
        <w:t xml:space="preserve">orture and </w:t>
      </w:r>
      <w:r w:rsidR="00FA00FA" w:rsidRPr="004209A6">
        <w:t>s</w:t>
      </w:r>
      <w:r w:rsidR="00AC6C72" w:rsidRPr="003A40BB">
        <w:t xml:space="preserve">exual </w:t>
      </w:r>
      <w:r w:rsidR="00FA00FA" w:rsidRPr="004209A6">
        <w:t>v</w:t>
      </w:r>
      <w:r w:rsidR="00AC6C72" w:rsidRPr="003A40BB">
        <w:t>iolence in Sri Lanka 2009-2014</w:t>
      </w:r>
      <w:r w:rsidR="00FA00FA" w:rsidRPr="0023038D">
        <w:t>”</w:t>
      </w:r>
      <w:r w:rsidR="00AC6C72" w:rsidRPr="0023038D">
        <w:t xml:space="preserve">, March 2014, available </w:t>
      </w:r>
      <w:r w:rsidR="00FA00FA" w:rsidRPr="0023038D">
        <w:t>from</w:t>
      </w:r>
      <w:r w:rsidR="0023038D">
        <w:t xml:space="preserve"> </w:t>
      </w:r>
      <w:r w:rsidR="0023038D" w:rsidRPr="00FD70CE">
        <w:t>www.univie.ac.at/bimtor/dateien/violence_in_sri_lanka_2009_2014.pdf</w:t>
      </w:r>
      <w:r w:rsidR="00AC6C72" w:rsidRPr="0023038D">
        <w:t>.</w:t>
      </w:r>
    </w:p>
  </w:footnote>
  <w:footnote w:id="17">
    <w:p w:rsidR="00AC6C72" w:rsidRDefault="00AC6C72" w:rsidP="003A40BB">
      <w:pPr>
        <w:pStyle w:val="FootnoteText"/>
      </w:pPr>
      <w:r>
        <w:tab/>
      </w:r>
      <w:r w:rsidRPr="004209A6">
        <w:rPr>
          <w:rStyle w:val="FootnoteReference"/>
          <w:szCs w:val="18"/>
        </w:rPr>
        <w:footnoteRef/>
      </w:r>
      <w:r w:rsidRPr="004209A6">
        <w:tab/>
        <w:t xml:space="preserve">See communications No. 57/1996, </w:t>
      </w:r>
      <w:r w:rsidRPr="004209A6">
        <w:rPr>
          <w:i/>
          <w:iCs/>
        </w:rPr>
        <w:t xml:space="preserve">P.Q.L. v. </w:t>
      </w:r>
      <w:smartTag w:uri="urn:schemas-microsoft-com:office:smarttags" w:element="place">
        <w:smartTag w:uri="urn:schemas-microsoft-com:office:smarttags" w:element="country-region">
          <w:r w:rsidRPr="004209A6">
            <w:rPr>
              <w:i/>
              <w:iCs/>
            </w:rPr>
            <w:t>Canada</w:t>
          </w:r>
        </w:smartTag>
      </w:smartTag>
      <w:r w:rsidRPr="004209A6">
        <w:t>, Views adopted on 17 November 1997, para.</w:t>
      </w:r>
      <w:r w:rsidR="004209A6" w:rsidRPr="004209A6">
        <w:t> </w:t>
      </w:r>
      <w:r w:rsidRPr="004209A6">
        <w:t>10.5</w:t>
      </w:r>
      <w:r w:rsidR="004209A6" w:rsidRPr="004209A6">
        <w:t>;</w:t>
      </w:r>
      <w:r w:rsidRPr="004209A6">
        <w:t xml:space="preserve"> and No. 438/2010, </w:t>
      </w:r>
      <w:r w:rsidRPr="004209A6">
        <w:rPr>
          <w:i/>
        </w:rPr>
        <w:t>M.A.H. and F.H. v. Switzerland</w:t>
      </w:r>
      <w:r w:rsidRPr="004209A6">
        <w:t xml:space="preserve">, </w:t>
      </w:r>
      <w:r w:rsidR="004209A6" w:rsidRPr="004209A6">
        <w:t>d</w:t>
      </w:r>
      <w:r w:rsidRPr="004209A6">
        <w:t>ecision of 7 November 2013,</w:t>
      </w:r>
      <w:r w:rsidR="004209A6" w:rsidRPr="004209A6">
        <w:br/>
      </w:r>
      <w:r w:rsidRPr="004209A6">
        <w:t>para</w:t>
      </w:r>
      <w:r w:rsidR="004209A6" w:rsidRPr="004209A6">
        <w:t xml:space="preserve">. </w:t>
      </w:r>
      <w:r w:rsidRPr="004209A6">
        <w:t>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2" w:rsidRPr="00785A61" w:rsidRDefault="00AC6C72" w:rsidP="00D546AB">
    <w:pPr>
      <w:pStyle w:val="Header"/>
    </w:pPr>
    <w:r>
      <w:t>CAT/C/58/D/</w:t>
    </w:r>
    <w:r>
      <w:rPr>
        <w:lang w:val="en-US"/>
      </w:rPr>
      <w:t>595</w:t>
    </w:r>
    <w:r w:rsidRPr="001814FB">
      <w:rPr>
        <w:lang w:val="en-US"/>
      </w:rPr>
      <w:t>/</w:t>
    </w:r>
    <w:r>
      <w:rPr>
        <w:lang w:val="en-US"/>
      </w:rP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72" w:rsidRPr="00785A61" w:rsidRDefault="00AC6C72" w:rsidP="001814FB">
    <w:pPr>
      <w:pStyle w:val="Header"/>
      <w:jc w:val="right"/>
    </w:pPr>
    <w:r>
      <w:t>CAT/C/58/D/</w:t>
    </w:r>
    <w:r>
      <w:rPr>
        <w:lang w:val="en-US"/>
      </w:rPr>
      <w:t>595</w:t>
    </w:r>
    <w:r w:rsidRPr="001814FB">
      <w:rPr>
        <w:lang w:val="en-US"/>
      </w:rPr>
      <w:t>/</w:t>
    </w:r>
    <w:r>
      <w:rPr>
        <w:lang w:val="en-US"/>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20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94656"/>
    <w:multiLevelType w:val="hybridMultilevel"/>
    <w:tmpl w:val="1A7434C8"/>
    <w:lvl w:ilvl="0" w:tplc="E304B2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A022CEC"/>
    <w:multiLevelType w:val="hybridMultilevel"/>
    <w:tmpl w:val="84DA21FE"/>
    <w:lvl w:ilvl="0" w:tplc="58BA48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F47709D"/>
    <w:multiLevelType w:val="hybridMultilevel"/>
    <w:tmpl w:val="0C3485CC"/>
    <w:lvl w:ilvl="0" w:tplc="285240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8"/>
    <w:rsid w:val="000006A4"/>
    <w:rsid w:val="0000248A"/>
    <w:rsid w:val="0000320F"/>
    <w:rsid w:val="00006479"/>
    <w:rsid w:val="000077B8"/>
    <w:rsid w:val="00010311"/>
    <w:rsid w:val="00016027"/>
    <w:rsid w:val="00016464"/>
    <w:rsid w:val="000218EA"/>
    <w:rsid w:val="000218FE"/>
    <w:rsid w:val="00025F8E"/>
    <w:rsid w:val="00026A50"/>
    <w:rsid w:val="00030A80"/>
    <w:rsid w:val="0003225A"/>
    <w:rsid w:val="0003276C"/>
    <w:rsid w:val="0003386B"/>
    <w:rsid w:val="000360C6"/>
    <w:rsid w:val="00037536"/>
    <w:rsid w:val="00040296"/>
    <w:rsid w:val="000404CF"/>
    <w:rsid w:val="000407ED"/>
    <w:rsid w:val="000425A8"/>
    <w:rsid w:val="000431A6"/>
    <w:rsid w:val="00044076"/>
    <w:rsid w:val="000440EF"/>
    <w:rsid w:val="00045109"/>
    <w:rsid w:val="00045224"/>
    <w:rsid w:val="000465D1"/>
    <w:rsid w:val="00050F6B"/>
    <w:rsid w:val="00051496"/>
    <w:rsid w:val="0005248B"/>
    <w:rsid w:val="00055D93"/>
    <w:rsid w:val="00057E97"/>
    <w:rsid w:val="00061F70"/>
    <w:rsid w:val="000620B7"/>
    <w:rsid w:val="000653B2"/>
    <w:rsid w:val="00065A2E"/>
    <w:rsid w:val="000707C1"/>
    <w:rsid w:val="00072C8C"/>
    <w:rsid w:val="000732DE"/>
    <w:rsid w:val="000733B5"/>
    <w:rsid w:val="00076017"/>
    <w:rsid w:val="00080555"/>
    <w:rsid w:val="00081815"/>
    <w:rsid w:val="00084A20"/>
    <w:rsid w:val="000926FA"/>
    <w:rsid w:val="000931C0"/>
    <w:rsid w:val="00093F2C"/>
    <w:rsid w:val="000946EC"/>
    <w:rsid w:val="00094A47"/>
    <w:rsid w:val="00094B47"/>
    <w:rsid w:val="00095FA9"/>
    <w:rsid w:val="00096278"/>
    <w:rsid w:val="000964F6"/>
    <w:rsid w:val="0009681D"/>
    <w:rsid w:val="00097266"/>
    <w:rsid w:val="000B081D"/>
    <w:rsid w:val="000B1102"/>
    <w:rsid w:val="000B175B"/>
    <w:rsid w:val="000B3672"/>
    <w:rsid w:val="000B3A0F"/>
    <w:rsid w:val="000B3C2B"/>
    <w:rsid w:val="000B4EF7"/>
    <w:rsid w:val="000B70D4"/>
    <w:rsid w:val="000C28B7"/>
    <w:rsid w:val="000C2C03"/>
    <w:rsid w:val="000C2C07"/>
    <w:rsid w:val="000C2D2E"/>
    <w:rsid w:val="000C37A8"/>
    <w:rsid w:val="000C4331"/>
    <w:rsid w:val="000C5831"/>
    <w:rsid w:val="000C705B"/>
    <w:rsid w:val="000C79D0"/>
    <w:rsid w:val="000D020F"/>
    <w:rsid w:val="000D20B5"/>
    <w:rsid w:val="000D342F"/>
    <w:rsid w:val="000D3AEA"/>
    <w:rsid w:val="000D6A51"/>
    <w:rsid w:val="000D6CFD"/>
    <w:rsid w:val="000E01F5"/>
    <w:rsid w:val="000E0415"/>
    <w:rsid w:val="000E210C"/>
    <w:rsid w:val="000E407A"/>
    <w:rsid w:val="000E5354"/>
    <w:rsid w:val="000E7C3D"/>
    <w:rsid w:val="000E7CA0"/>
    <w:rsid w:val="000F2318"/>
    <w:rsid w:val="000F4619"/>
    <w:rsid w:val="000F5257"/>
    <w:rsid w:val="000F6D48"/>
    <w:rsid w:val="000F7301"/>
    <w:rsid w:val="0010113D"/>
    <w:rsid w:val="001051BF"/>
    <w:rsid w:val="001103AA"/>
    <w:rsid w:val="001119BE"/>
    <w:rsid w:val="00114FA0"/>
    <w:rsid w:val="00115DA8"/>
    <w:rsid w:val="00115E3A"/>
    <w:rsid w:val="001162D4"/>
    <w:rsid w:val="00117576"/>
    <w:rsid w:val="001203E5"/>
    <w:rsid w:val="00120B2E"/>
    <w:rsid w:val="00121C32"/>
    <w:rsid w:val="00122EBE"/>
    <w:rsid w:val="00124A72"/>
    <w:rsid w:val="001255FA"/>
    <w:rsid w:val="00125AB0"/>
    <w:rsid w:val="00126520"/>
    <w:rsid w:val="001275E2"/>
    <w:rsid w:val="00127DE9"/>
    <w:rsid w:val="00131211"/>
    <w:rsid w:val="0013127E"/>
    <w:rsid w:val="00131E66"/>
    <w:rsid w:val="00132792"/>
    <w:rsid w:val="00133158"/>
    <w:rsid w:val="00133F8C"/>
    <w:rsid w:val="001352A1"/>
    <w:rsid w:val="001360DB"/>
    <w:rsid w:val="00141919"/>
    <w:rsid w:val="00143907"/>
    <w:rsid w:val="001450BD"/>
    <w:rsid w:val="00147B55"/>
    <w:rsid w:val="001516F0"/>
    <w:rsid w:val="00153179"/>
    <w:rsid w:val="00153E70"/>
    <w:rsid w:val="001541A1"/>
    <w:rsid w:val="00161D69"/>
    <w:rsid w:val="00164501"/>
    <w:rsid w:val="00165F3A"/>
    <w:rsid w:val="001664A5"/>
    <w:rsid w:val="00170096"/>
    <w:rsid w:val="00172B04"/>
    <w:rsid w:val="001774E9"/>
    <w:rsid w:val="00177F76"/>
    <w:rsid w:val="001814FB"/>
    <w:rsid w:val="001818E0"/>
    <w:rsid w:val="00181B4D"/>
    <w:rsid w:val="00182B7C"/>
    <w:rsid w:val="00183227"/>
    <w:rsid w:val="00185FC6"/>
    <w:rsid w:val="00191C9C"/>
    <w:rsid w:val="0019432A"/>
    <w:rsid w:val="0019442B"/>
    <w:rsid w:val="00197428"/>
    <w:rsid w:val="001978A6"/>
    <w:rsid w:val="0019793D"/>
    <w:rsid w:val="00197B02"/>
    <w:rsid w:val="001A03E6"/>
    <w:rsid w:val="001A20C4"/>
    <w:rsid w:val="001A3AB7"/>
    <w:rsid w:val="001A3D74"/>
    <w:rsid w:val="001A778F"/>
    <w:rsid w:val="001A7E38"/>
    <w:rsid w:val="001A7F0C"/>
    <w:rsid w:val="001A7F19"/>
    <w:rsid w:val="001A7FDB"/>
    <w:rsid w:val="001B14E9"/>
    <w:rsid w:val="001B1858"/>
    <w:rsid w:val="001B1AE4"/>
    <w:rsid w:val="001B1BD3"/>
    <w:rsid w:val="001B1FE3"/>
    <w:rsid w:val="001B28F6"/>
    <w:rsid w:val="001B3C5D"/>
    <w:rsid w:val="001B4999"/>
    <w:rsid w:val="001B4B04"/>
    <w:rsid w:val="001B51BE"/>
    <w:rsid w:val="001B63F8"/>
    <w:rsid w:val="001B7EE3"/>
    <w:rsid w:val="001C1CD1"/>
    <w:rsid w:val="001C1D4E"/>
    <w:rsid w:val="001C3527"/>
    <w:rsid w:val="001C5CAC"/>
    <w:rsid w:val="001C5F3F"/>
    <w:rsid w:val="001C6663"/>
    <w:rsid w:val="001C7895"/>
    <w:rsid w:val="001D0C8C"/>
    <w:rsid w:val="001D26DF"/>
    <w:rsid w:val="001D31C5"/>
    <w:rsid w:val="001D3A03"/>
    <w:rsid w:val="001D602B"/>
    <w:rsid w:val="001E1188"/>
    <w:rsid w:val="001E2856"/>
    <w:rsid w:val="001E2B6D"/>
    <w:rsid w:val="001E2ED8"/>
    <w:rsid w:val="001E350B"/>
    <w:rsid w:val="001E414E"/>
    <w:rsid w:val="001E4EA8"/>
    <w:rsid w:val="001E6185"/>
    <w:rsid w:val="001F0F0B"/>
    <w:rsid w:val="001F0F61"/>
    <w:rsid w:val="001F17D1"/>
    <w:rsid w:val="001F19C1"/>
    <w:rsid w:val="001F3BCA"/>
    <w:rsid w:val="001F4A01"/>
    <w:rsid w:val="001F4BD8"/>
    <w:rsid w:val="001F6885"/>
    <w:rsid w:val="00201120"/>
    <w:rsid w:val="00202DA8"/>
    <w:rsid w:val="00202F3D"/>
    <w:rsid w:val="0020302F"/>
    <w:rsid w:val="00205AD1"/>
    <w:rsid w:val="002077EB"/>
    <w:rsid w:val="00207D17"/>
    <w:rsid w:val="002117B3"/>
    <w:rsid w:val="00211E0B"/>
    <w:rsid w:val="00213695"/>
    <w:rsid w:val="00214161"/>
    <w:rsid w:val="002149B4"/>
    <w:rsid w:val="002178F2"/>
    <w:rsid w:val="00220622"/>
    <w:rsid w:val="00222B37"/>
    <w:rsid w:val="002248C6"/>
    <w:rsid w:val="0022571C"/>
    <w:rsid w:val="00226752"/>
    <w:rsid w:val="0023038D"/>
    <w:rsid w:val="00231149"/>
    <w:rsid w:val="00231394"/>
    <w:rsid w:val="002313F4"/>
    <w:rsid w:val="00233774"/>
    <w:rsid w:val="00233D4D"/>
    <w:rsid w:val="00234705"/>
    <w:rsid w:val="00237410"/>
    <w:rsid w:val="00240CD4"/>
    <w:rsid w:val="00241811"/>
    <w:rsid w:val="0024212C"/>
    <w:rsid w:val="00243C53"/>
    <w:rsid w:val="00244166"/>
    <w:rsid w:val="00247E03"/>
    <w:rsid w:val="00251186"/>
    <w:rsid w:val="002554DD"/>
    <w:rsid w:val="002564D6"/>
    <w:rsid w:val="00256C5E"/>
    <w:rsid w:val="00257ECF"/>
    <w:rsid w:val="0026218D"/>
    <w:rsid w:val="00264EB1"/>
    <w:rsid w:val="00265340"/>
    <w:rsid w:val="00267CF0"/>
    <w:rsid w:val="00267F5F"/>
    <w:rsid w:val="00272E34"/>
    <w:rsid w:val="00275BB9"/>
    <w:rsid w:val="002762A4"/>
    <w:rsid w:val="002771DB"/>
    <w:rsid w:val="0027730D"/>
    <w:rsid w:val="00277C9F"/>
    <w:rsid w:val="002809C5"/>
    <w:rsid w:val="002834B6"/>
    <w:rsid w:val="00283EDD"/>
    <w:rsid w:val="00285580"/>
    <w:rsid w:val="0028582C"/>
    <w:rsid w:val="0028626B"/>
    <w:rsid w:val="00286B4D"/>
    <w:rsid w:val="00286C54"/>
    <w:rsid w:val="0028771D"/>
    <w:rsid w:val="00291663"/>
    <w:rsid w:val="002955D6"/>
    <w:rsid w:val="00297799"/>
    <w:rsid w:val="002A004D"/>
    <w:rsid w:val="002A45E1"/>
    <w:rsid w:val="002A54E3"/>
    <w:rsid w:val="002A683C"/>
    <w:rsid w:val="002B3C39"/>
    <w:rsid w:val="002B466B"/>
    <w:rsid w:val="002B71F7"/>
    <w:rsid w:val="002C2857"/>
    <w:rsid w:val="002C3239"/>
    <w:rsid w:val="002C4494"/>
    <w:rsid w:val="002D05C2"/>
    <w:rsid w:val="002D0A13"/>
    <w:rsid w:val="002D0C17"/>
    <w:rsid w:val="002D3031"/>
    <w:rsid w:val="002D45D8"/>
    <w:rsid w:val="002D511C"/>
    <w:rsid w:val="002D5515"/>
    <w:rsid w:val="002D7846"/>
    <w:rsid w:val="002E0B76"/>
    <w:rsid w:val="002E38E2"/>
    <w:rsid w:val="002F0D9F"/>
    <w:rsid w:val="002F1546"/>
    <w:rsid w:val="002F175C"/>
    <w:rsid w:val="002F1A00"/>
    <w:rsid w:val="002F4A6E"/>
    <w:rsid w:val="002F4DA6"/>
    <w:rsid w:val="002F55B4"/>
    <w:rsid w:val="002F6F0F"/>
    <w:rsid w:val="00300C06"/>
    <w:rsid w:val="00301209"/>
    <w:rsid w:val="003027D9"/>
    <w:rsid w:val="003037CD"/>
    <w:rsid w:val="00303FC2"/>
    <w:rsid w:val="003046C1"/>
    <w:rsid w:val="00305210"/>
    <w:rsid w:val="00307A89"/>
    <w:rsid w:val="0031435D"/>
    <w:rsid w:val="00314AEE"/>
    <w:rsid w:val="00314F7A"/>
    <w:rsid w:val="00315E8C"/>
    <w:rsid w:val="003165BD"/>
    <w:rsid w:val="003202D5"/>
    <w:rsid w:val="00320E27"/>
    <w:rsid w:val="003229D8"/>
    <w:rsid w:val="00323B6C"/>
    <w:rsid w:val="0032453D"/>
    <w:rsid w:val="003248FF"/>
    <w:rsid w:val="003279E5"/>
    <w:rsid w:val="00331BDA"/>
    <w:rsid w:val="003331F6"/>
    <w:rsid w:val="00334863"/>
    <w:rsid w:val="003351BF"/>
    <w:rsid w:val="003370D9"/>
    <w:rsid w:val="0033745E"/>
    <w:rsid w:val="00337473"/>
    <w:rsid w:val="00337E17"/>
    <w:rsid w:val="00340548"/>
    <w:rsid w:val="00341118"/>
    <w:rsid w:val="0034254A"/>
    <w:rsid w:val="0034364D"/>
    <w:rsid w:val="0034428F"/>
    <w:rsid w:val="00346358"/>
    <w:rsid w:val="00347C0E"/>
    <w:rsid w:val="00352709"/>
    <w:rsid w:val="00352D99"/>
    <w:rsid w:val="00353D26"/>
    <w:rsid w:val="00354302"/>
    <w:rsid w:val="00355026"/>
    <w:rsid w:val="00357D7C"/>
    <w:rsid w:val="00362287"/>
    <w:rsid w:val="0036586F"/>
    <w:rsid w:val="003659C5"/>
    <w:rsid w:val="00367EC5"/>
    <w:rsid w:val="003710E7"/>
    <w:rsid w:val="00371178"/>
    <w:rsid w:val="003715A9"/>
    <w:rsid w:val="003753E1"/>
    <w:rsid w:val="0037556C"/>
    <w:rsid w:val="00375E9B"/>
    <w:rsid w:val="00376654"/>
    <w:rsid w:val="00381A41"/>
    <w:rsid w:val="00383364"/>
    <w:rsid w:val="003850DF"/>
    <w:rsid w:val="00390DD6"/>
    <w:rsid w:val="00390E97"/>
    <w:rsid w:val="0039126B"/>
    <w:rsid w:val="00395F31"/>
    <w:rsid w:val="00396BAC"/>
    <w:rsid w:val="00397A96"/>
    <w:rsid w:val="00397B60"/>
    <w:rsid w:val="003A0945"/>
    <w:rsid w:val="003A1E6E"/>
    <w:rsid w:val="003A408F"/>
    <w:rsid w:val="003A40BB"/>
    <w:rsid w:val="003A48CB"/>
    <w:rsid w:val="003A552B"/>
    <w:rsid w:val="003A6810"/>
    <w:rsid w:val="003A701B"/>
    <w:rsid w:val="003B022C"/>
    <w:rsid w:val="003B1D53"/>
    <w:rsid w:val="003B20D4"/>
    <w:rsid w:val="003B22AB"/>
    <w:rsid w:val="003B4314"/>
    <w:rsid w:val="003C002F"/>
    <w:rsid w:val="003C1586"/>
    <w:rsid w:val="003C2CC4"/>
    <w:rsid w:val="003C3975"/>
    <w:rsid w:val="003C3F5A"/>
    <w:rsid w:val="003C6111"/>
    <w:rsid w:val="003D1F3E"/>
    <w:rsid w:val="003D2FFD"/>
    <w:rsid w:val="003D4253"/>
    <w:rsid w:val="003D4B23"/>
    <w:rsid w:val="003D4DE7"/>
    <w:rsid w:val="003D79A9"/>
    <w:rsid w:val="003E1D72"/>
    <w:rsid w:val="003E2F9B"/>
    <w:rsid w:val="003E4BE2"/>
    <w:rsid w:val="003E7F8D"/>
    <w:rsid w:val="003F3814"/>
    <w:rsid w:val="003F4553"/>
    <w:rsid w:val="003F4589"/>
    <w:rsid w:val="003F7618"/>
    <w:rsid w:val="003F7B25"/>
    <w:rsid w:val="003F7DFF"/>
    <w:rsid w:val="00406B87"/>
    <w:rsid w:val="00407B05"/>
    <w:rsid w:val="004109C5"/>
    <w:rsid w:val="00410C89"/>
    <w:rsid w:val="00413CEC"/>
    <w:rsid w:val="00413E1E"/>
    <w:rsid w:val="00414771"/>
    <w:rsid w:val="00416EAF"/>
    <w:rsid w:val="004209A6"/>
    <w:rsid w:val="004221D4"/>
    <w:rsid w:val="0042438D"/>
    <w:rsid w:val="00426B9B"/>
    <w:rsid w:val="004309A3"/>
    <w:rsid w:val="00431C6E"/>
    <w:rsid w:val="00431E72"/>
    <w:rsid w:val="0043207E"/>
    <w:rsid w:val="004325CB"/>
    <w:rsid w:val="0043276D"/>
    <w:rsid w:val="00432822"/>
    <w:rsid w:val="00436114"/>
    <w:rsid w:val="00437047"/>
    <w:rsid w:val="004411D4"/>
    <w:rsid w:val="00442A83"/>
    <w:rsid w:val="004437F2"/>
    <w:rsid w:val="00444E73"/>
    <w:rsid w:val="00444FDE"/>
    <w:rsid w:val="0045018F"/>
    <w:rsid w:val="00451C9B"/>
    <w:rsid w:val="00452CAF"/>
    <w:rsid w:val="0045300B"/>
    <w:rsid w:val="0045495B"/>
    <w:rsid w:val="004559F9"/>
    <w:rsid w:val="00456837"/>
    <w:rsid w:val="00456ED5"/>
    <w:rsid w:val="004605BC"/>
    <w:rsid w:val="00461F0D"/>
    <w:rsid w:val="0046348A"/>
    <w:rsid w:val="00467A1F"/>
    <w:rsid w:val="00467A4C"/>
    <w:rsid w:val="004711D9"/>
    <w:rsid w:val="00472839"/>
    <w:rsid w:val="004735BD"/>
    <w:rsid w:val="0047366A"/>
    <w:rsid w:val="0047398D"/>
    <w:rsid w:val="00475072"/>
    <w:rsid w:val="004773D4"/>
    <w:rsid w:val="0048541D"/>
    <w:rsid w:val="00485DF1"/>
    <w:rsid w:val="0048765F"/>
    <w:rsid w:val="00494E19"/>
    <w:rsid w:val="00497A6A"/>
    <w:rsid w:val="004A4699"/>
    <w:rsid w:val="004A57F0"/>
    <w:rsid w:val="004A57F8"/>
    <w:rsid w:val="004A63C3"/>
    <w:rsid w:val="004A78A5"/>
    <w:rsid w:val="004B07D8"/>
    <w:rsid w:val="004B2B84"/>
    <w:rsid w:val="004B473F"/>
    <w:rsid w:val="004B4C23"/>
    <w:rsid w:val="004B4E89"/>
    <w:rsid w:val="004B5A15"/>
    <w:rsid w:val="004B6683"/>
    <w:rsid w:val="004B7802"/>
    <w:rsid w:val="004C0DF7"/>
    <w:rsid w:val="004C1E30"/>
    <w:rsid w:val="004C6343"/>
    <w:rsid w:val="004C63E9"/>
    <w:rsid w:val="004C7ED7"/>
    <w:rsid w:val="004D0D0F"/>
    <w:rsid w:val="004D282D"/>
    <w:rsid w:val="004D378E"/>
    <w:rsid w:val="004D37F4"/>
    <w:rsid w:val="004D4F87"/>
    <w:rsid w:val="004D716F"/>
    <w:rsid w:val="004E0A2D"/>
    <w:rsid w:val="004E3783"/>
    <w:rsid w:val="004E4810"/>
    <w:rsid w:val="004E5846"/>
    <w:rsid w:val="004E5D93"/>
    <w:rsid w:val="004E6B36"/>
    <w:rsid w:val="004F4E52"/>
    <w:rsid w:val="00503A46"/>
    <w:rsid w:val="005045AB"/>
    <w:rsid w:val="00505919"/>
    <w:rsid w:val="00506934"/>
    <w:rsid w:val="0051042E"/>
    <w:rsid w:val="00510ECA"/>
    <w:rsid w:val="005119FD"/>
    <w:rsid w:val="00516043"/>
    <w:rsid w:val="00516EBF"/>
    <w:rsid w:val="0052136D"/>
    <w:rsid w:val="005214F6"/>
    <w:rsid w:val="00522740"/>
    <w:rsid w:val="00522E7C"/>
    <w:rsid w:val="00523C5D"/>
    <w:rsid w:val="00526898"/>
    <w:rsid w:val="0052775E"/>
    <w:rsid w:val="00530271"/>
    <w:rsid w:val="005307A0"/>
    <w:rsid w:val="00533F55"/>
    <w:rsid w:val="0053422B"/>
    <w:rsid w:val="005356F4"/>
    <w:rsid w:val="00536EAF"/>
    <w:rsid w:val="00540EFE"/>
    <w:rsid w:val="00541815"/>
    <w:rsid w:val="005420F2"/>
    <w:rsid w:val="00543167"/>
    <w:rsid w:val="00545389"/>
    <w:rsid w:val="00545A68"/>
    <w:rsid w:val="00545C95"/>
    <w:rsid w:val="00545EEB"/>
    <w:rsid w:val="00551027"/>
    <w:rsid w:val="005556BF"/>
    <w:rsid w:val="005608DF"/>
    <w:rsid w:val="0056249B"/>
    <w:rsid w:val="005628B6"/>
    <w:rsid w:val="005636C7"/>
    <w:rsid w:val="00564F50"/>
    <w:rsid w:val="00565CEE"/>
    <w:rsid w:val="005668D9"/>
    <w:rsid w:val="00566B76"/>
    <w:rsid w:val="00566E8B"/>
    <w:rsid w:val="00567E09"/>
    <w:rsid w:val="00570419"/>
    <w:rsid w:val="00571184"/>
    <w:rsid w:val="005715BB"/>
    <w:rsid w:val="00576268"/>
    <w:rsid w:val="005770B1"/>
    <w:rsid w:val="00586664"/>
    <w:rsid w:val="00586B44"/>
    <w:rsid w:val="005875F6"/>
    <w:rsid w:val="00590CD4"/>
    <w:rsid w:val="00591835"/>
    <w:rsid w:val="00591EEF"/>
    <w:rsid w:val="00592184"/>
    <w:rsid w:val="005923C0"/>
    <w:rsid w:val="0059347A"/>
    <w:rsid w:val="00594A73"/>
    <w:rsid w:val="00594B48"/>
    <w:rsid w:val="0059567B"/>
    <w:rsid w:val="00597408"/>
    <w:rsid w:val="005A06DC"/>
    <w:rsid w:val="005A1975"/>
    <w:rsid w:val="005A3A05"/>
    <w:rsid w:val="005A43C9"/>
    <w:rsid w:val="005B1388"/>
    <w:rsid w:val="005B1C0A"/>
    <w:rsid w:val="005B3955"/>
    <w:rsid w:val="005B3DB3"/>
    <w:rsid w:val="005B57F4"/>
    <w:rsid w:val="005B6B56"/>
    <w:rsid w:val="005C09BC"/>
    <w:rsid w:val="005C185C"/>
    <w:rsid w:val="005C3812"/>
    <w:rsid w:val="005C45E3"/>
    <w:rsid w:val="005D0FD7"/>
    <w:rsid w:val="005D0FDF"/>
    <w:rsid w:val="005D21E5"/>
    <w:rsid w:val="005D2FD3"/>
    <w:rsid w:val="005D5AC7"/>
    <w:rsid w:val="005D63C2"/>
    <w:rsid w:val="005D6D06"/>
    <w:rsid w:val="005E0F10"/>
    <w:rsid w:val="005E11C1"/>
    <w:rsid w:val="005E4862"/>
    <w:rsid w:val="005E6B99"/>
    <w:rsid w:val="005E70DE"/>
    <w:rsid w:val="005E7AC6"/>
    <w:rsid w:val="005E7E4A"/>
    <w:rsid w:val="005F0AA8"/>
    <w:rsid w:val="005F2021"/>
    <w:rsid w:val="005F3D09"/>
    <w:rsid w:val="005F63F2"/>
    <w:rsid w:val="005F7B75"/>
    <w:rsid w:val="005F7BCE"/>
    <w:rsid w:val="006001EE"/>
    <w:rsid w:val="00604051"/>
    <w:rsid w:val="00605042"/>
    <w:rsid w:val="0060626F"/>
    <w:rsid w:val="00606C59"/>
    <w:rsid w:val="00607063"/>
    <w:rsid w:val="00607B2D"/>
    <w:rsid w:val="00610918"/>
    <w:rsid w:val="00611960"/>
    <w:rsid w:val="00611FC4"/>
    <w:rsid w:val="00612984"/>
    <w:rsid w:val="00617666"/>
    <w:rsid w:val="006176FB"/>
    <w:rsid w:val="00617729"/>
    <w:rsid w:val="00617744"/>
    <w:rsid w:val="006241A2"/>
    <w:rsid w:val="00630255"/>
    <w:rsid w:val="00630551"/>
    <w:rsid w:val="00630D71"/>
    <w:rsid w:val="006327A9"/>
    <w:rsid w:val="006368EB"/>
    <w:rsid w:val="00640123"/>
    <w:rsid w:val="00640B26"/>
    <w:rsid w:val="00642F32"/>
    <w:rsid w:val="00646B5B"/>
    <w:rsid w:val="00647EB5"/>
    <w:rsid w:val="00651AFE"/>
    <w:rsid w:val="00652D0A"/>
    <w:rsid w:val="00655A09"/>
    <w:rsid w:val="006561EC"/>
    <w:rsid w:val="0065674C"/>
    <w:rsid w:val="00660479"/>
    <w:rsid w:val="00662BB6"/>
    <w:rsid w:val="006632E2"/>
    <w:rsid w:val="00663AC6"/>
    <w:rsid w:val="006642B1"/>
    <w:rsid w:val="00665519"/>
    <w:rsid w:val="00665B89"/>
    <w:rsid w:val="00670A6F"/>
    <w:rsid w:val="006721BA"/>
    <w:rsid w:val="00673C52"/>
    <w:rsid w:val="00675438"/>
    <w:rsid w:val="00684C21"/>
    <w:rsid w:val="006850DE"/>
    <w:rsid w:val="00687553"/>
    <w:rsid w:val="006875B1"/>
    <w:rsid w:val="006879A4"/>
    <w:rsid w:val="00687E46"/>
    <w:rsid w:val="006926D3"/>
    <w:rsid w:val="006938D7"/>
    <w:rsid w:val="006945DC"/>
    <w:rsid w:val="00694F01"/>
    <w:rsid w:val="00695491"/>
    <w:rsid w:val="00696732"/>
    <w:rsid w:val="00696BCA"/>
    <w:rsid w:val="006970AD"/>
    <w:rsid w:val="00697441"/>
    <w:rsid w:val="006A2B5E"/>
    <w:rsid w:val="006A4445"/>
    <w:rsid w:val="006A4EA3"/>
    <w:rsid w:val="006A57E6"/>
    <w:rsid w:val="006B0327"/>
    <w:rsid w:val="006B2584"/>
    <w:rsid w:val="006B2B77"/>
    <w:rsid w:val="006B4766"/>
    <w:rsid w:val="006B60F3"/>
    <w:rsid w:val="006B6369"/>
    <w:rsid w:val="006B6695"/>
    <w:rsid w:val="006B7360"/>
    <w:rsid w:val="006B7805"/>
    <w:rsid w:val="006C044D"/>
    <w:rsid w:val="006C19AB"/>
    <w:rsid w:val="006C386B"/>
    <w:rsid w:val="006C40E8"/>
    <w:rsid w:val="006C5D61"/>
    <w:rsid w:val="006D37AF"/>
    <w:rsid w:val="006D3DD8"/>
    <w:rsid w:val="006D47B4"/>
    <w:rsid w:val="006D49CE"/>
    <w:rsid w:val="006D4AB3"/>
    <w:rsid w:val="006D51D0"/>
    <w:rsid w:val="006D6D8B"/>
    <w:rsid w:val="006E2038"/>
    <w:rsid w:val="006E3202"/>
    <w:rsid w:val="006E564B"/>
    <w:rsid w:val="006E7191"/>
    <w:rsid w:val="006E7A1F"/>
    <w:rsid w:val="006F5689"/>
    <w:rsid w:val="006F63A7"/>
    <w:rsid w:val="006F7096"/>
    <w:rsid w:val="00700431"/>
    <w:rsid w:val="007019E5"/>
    <w:rsid w:val="00703577"/>
    <w:rsid w:val="00703E95"/>
    <w:rsid w:val="00705BD7"/>
    <w:rsid w:val="00706BAC"/>
    <w:rsid w:val="00707420"/>
    <w:rsid w:val="0070769A"/>
    <w:rsid w:val="00710A7E"/>
    <w:rsid w:val="0071411B"/>
    <w:rsid w:val="0071573F"/>
    <w:rsid w:val="00717B83"/>
    <w:rsid w:val="00723D2B"/>
    <w:rsid w:val="0072632A"/>
    <w:rsid w:val="007304C9"/>
    <w:rsid w:val="007327D5"/>
    <w:rsid w:val="00733D14"/>
    <w:rsid w:val="00734376"/>
    <w:rsid w:val="0073586F"/>
    <w:rsid w:val="00741DBD"/>
    <w:rsid w:val="00746A6B"/>
    <w:rsid w:val="0075141A"/>
    <w:rsid w:val="007527B0"/>
    <w:rsid w:val="0075293A"/>
    <w:rsid w:val="00752B74"/>
    <w:rsid w:val="00753481"/>
    <w:rsid w:val="0076237C"/>
    <w:rsid w:val="007629C8"/>
    <w:rsid w:val="00764D3F"/>
    <w:rsid w:val="007669C7"/>
    <w:rsid w:val="00767ED2"/>
    <w:rsid w:val="00770319"/>
    <w:rsid w:val="007733FD"/>
    <w:rsid w:val="00774F88"/>
    <w:rsid w:val="00775D23"/>
    <w:rsid w:val="00776D09"/>
    <w:rsid w:val="00780FA9"/>
    <w:rsid w:val="00782057"/>
    <w:rsid w:val="007821E7"/>
    <w:rsid w:val="0078413D"/>
    <w:rsid w:val="007843F8"/>
    <w:rsid w:val="00785A61"/>
    <w:rsid w:val="00787815"/>
    <w:rsid w:val="00790862"/>
    <w:rsid w:val="0079139D"/>
    <w:rsid w:val="0079311E"/>
    <w:rsid w:val="00795724"/>
    <w:rsid w:val="00795FC5"/>
    <w:rsid w:val="0079767A"/>
    <w:rsid w:val="007A0EEE"/>
    <w:rsid w:val="007A1923"/>
    <w:rsid w:val="007A4CA3"/>
    <w:rsid w:val="007A7AA7"/>
    <w:rsid w:val="007B09AE"/>
    <w:rsid w:val="007B1F8F"/>
    <w:rsid w:val="007B4630"/>
    <w:rsid w:val="007B5467"/>
    <w:rsid w:val="007B6BA5"/>
    <w:rsid w:val="007B70BB"/>
    <w:rsid w:val="007B7291"/>
    <w:rsid w:val="007C1D00"/>
    <w:rsid w:val="007C3033"/>
    <w:rsid w:val="007C3390"/>
    <w:rsid w:val="007C36FB"/>
    <w:rsid w:val="007C4F4B"/>
    <w:rsid w:val="007D13F4"/>
    <w:rsid w:val="007D1602"/>
    <w:rsid w:val="007D3CD2"/>
    <w:rsid w:val="007D7E03"/>
    <w:rsid w:val="007E3DE7"/>
    <w:rsid w:val="007F1728"/>
    <w:rsid w:val="007F46F8"/>
    <w:rsid w:val="007F6611"/>
    <w:rsid w:val="007F6FF8"/>
    <w:rsid w:val="007F7B15"/>
    <w:rsid w:val="00800B26"/>
    <w:rsid w:val="008031FB"/>
    <w:rsid w:val="00806534"/>
    <w:rsid w:val="008103D1"/>
    <w:rsid w:val="008121F7"/>
    <w:rsid w:val="008242D7"/>
    <w:rsid w:val="008244AB"/>
    <w:rsid w:val="008257B1"/>
    <w:rsid w:val="00826119"/>
    <w:rsid w:val="008265E3"/>
    <w:rsid w:val="008306AF"/>
    <w:rsid w:val="00830B10"/>
    <w:rsid w:val="008314DD"/>
    <w:rsid w:val="008326D5"/>
    <w:rsid w:val="00836769"/>
    <w:rsid w:val="00836813"/>
    <w:rsid w:val="00836B63"/>
    <w:rsid w:val="00836D1B"/>
    <w:rsid w:val="00841B90"/>
    <w:rsid w:val="00843086"/>
    <w:rsid w:val="00843767"/>
    <w:rsid w:val="0084575D"/>
    <w:rsid w:val="008472A9"/>
    <w:rsid w:val="00847B9F"/>
    <w:rsid w:val="00852F87"/>
    <w:rsid w:val="008536B7"/>
    <w:rsid w:val="008579BB"/>
    <w:rsid w:val="00857A8A"/>
    <w:rsid w:val="00860B6C"/>
    <w:rsid w:val="00862194"/>
    <w:rsid w:val="00862A3D"/>
    <w:rsid w:val="00863C85"/>
    <w:rsid w:val="00864804"/>
    <w:rsid w:val="00865A6F"/>
    <w:rsid w:val="00865D49"/>
    <w:rsid w:val="008676EC"/>
    <w:rsid w:val="008679D9"/>
    <w:rsid w:val="008702D6"/>
    <w:rsid w:val="00870E1B"/>
    <w:rsid w:val="00871BAB"/>
    <w:rsid w:val="0087361A"/>
    <w:rsid w:val="008745EF"/>
    <w:rsid w:val="00875E99"/>
    <w:rsid w:val="00876264"/>
    <w:rsid w:val="008816CB"/>
    <w:rsid w:val="00882F2B"/>
    <w:rsid w:val="00883E11"/>
    <w:rsid w:val="00886660"/>
    <w:rsid w:val="0088739E"/>
    <w:rsid w:val="00890240"/>
    <w:rsid w:val="008918F3"/>
    <w:rsid w:val="0089225C"/>
    <w:rsid w:val="00892376"/>
    <w:rsid w:val="008923C7"/>
    <w:rsid w:val="00893007"/>
    <w:rsid w:val="008942A2"/>
    <w:rsid w:val="00896F54"/>
    <w:rsid w:val="00896F5C"/>
    <w:rsid w:val="008976B8"/>
    <w:rsid w:val="008979B1"/>
    <w:rsid w:val="008A235E"/>
    <w:rsid w:val="008A3D89"/>
    <w:rsid w:val="008A3FC2"/>
    <w:rsid w:val="008A4939"/>
    <w:rsid w:val="008A6918"/>
    <w:rsid w:val="008A697D"/>
    <w:rsid w:val="008A6B25"/>
    <w:rsid w:val="008A6C4F"/>
    <w:rsid w:val="008A6CD1"/>
    <w:rsid w:val="008A726F"/>
    <w:rsid w:val="008B0C2D"/>
    <w:rsid w:val="008B18AE"/>
    <w:rsid w:val="008B2335"/>
    <w:rsid w:val="008B368C"/>
    <w:rsid w:val="008B3C8D"/>
    <w:rsid w:val="008B3CAD"/>
    <w:rsid w:val="008B419E"/>
    <w:rsid w:val="008B4E93"/>
    <w:rsid w:val="008B6971"/>
    <w:rsid w:val="008B6DB6"/>
    <w:rsid w:val="008B7C8C"/>
    <w:rsid w:val="008C01BC"/>
    <w:rsid w:val="008C0B1E"/>
    <w:rsid w:val="008C1930"/>
    <w:rsid w:val="008C25B1"/>
    <w:rsid w:val="008C336C"/>
    <w:rsid w:val="008C42FE"/>
    <w:rsid w:val="008C530C"/>
    <w:rsid w:val="008C7C51"/>
    <w:rsid w:val="008C7C8F"/>
    <w:rsid w:val="008D2C67"/>
    <w:rsid w:val="008D3847"/>
    <w:rsid w:val="008D3E95"/>
    <w:rsid w:val="008D60AA"/>
    <w:rsid w:val="008D66CA"/>
    <w:rsid w:val="008E0678"/>
    <w:rsid w:val="008E0882"/>
    <w:rsid w:val="008E2F37"/>
    <w:rsid w:val="008E3A34"/>
    <w:rsid w:val="008E4285"/>
    <w:rsid w:val="008E5DD2"/>
    <w:rsid w:val="008E6704"/>
    <w:rsid w:val="008F0D4C"/>
    <w:rsid w:val="008F1834"/>
    <w:rsid w:val="00900E34"/>
    <w:rsid w:val="00901748"/>
    <w:rsid w:val="00902968"/>
    <w:rsid w:val="00903232"/>
    <w:rsid w:val="009067E1"/>
    <w:rsid w:val="00907347"/>
    <w:rsid w:val="00910707"/>
    <w:rsid w:val="00916F1E"/>
    <w:rsid w:val="00917D15"/>
    <w:rsid w:val="009223CA"/>
    <w:rsid w:val="0092246A"/>
    <w:rsid w:val="009227F4"/>
    <w:rsid w:val="00923116"/>
    <w:rsid w:val="00923D5D"/>
    <w:rsid w:val="00924130"/>
    <w:rsid w:val="009248FC"/>
    <w:rsid w:val="00930173"/>
    <w:rsid w:val="0093193D"/>
    <w:rsid w:val="00933826"/>
    <w:rsid w:val="00934797"/>
    <w:rsid w:val="00940F93"/>
    <w:rsid w:val="00941411"/>
    <w:rsid w:val="009419FA"/>
    <w:rsid w:val="00944260"/>
    <w:rsid w:val="00944E55"/>
    <w:rsid w:val="00945D3C"/>
    <w:rsid w:val="009462F6"/>
    <w:rsid w:val="0095157F"/>
    <w:rsid w:val="00953B82"/>
    <w:rsid w:val="00954527"/>
    <w:rsid w:val="009602E1"/>
    <w:rsid w:val="00960527"/>
    <w:rsid w:val="00964A81"/>
    <w:rsid w:val="009668CA"/>
    <w:rsid w:val="00966CDA"/>
    <w:rsid w:val="009723C9"/>
    <w:rsid w:val="00973FE7"/>
    <w:rsid w:val="00974974"/>
    <w:rsid w:val="009749C7"/>
    <w:rsid w:val="009760F3"/>
    <w:rsid w:val="009774D4"/>
    <w:rsid w:val="00980B3B"/>
    <w:rsid w:val="00982B71"/>
    <w:rsid w:val="00984734"/>
    <w:rsid w:val="009878EA"/>
    <w:rsid w:val="00987DA7"/>
    <w:rsid w:val="00990238"/>
    <w:rsid w:val="00991F66"/>
    <w:rsid w:val="00994206"/>
    <w:rsid w:val="00995E1C"/>
    <w:rsid w:val="009965C8"/>
    <w:rsid w:val="0099794D"/>
    <w:rsid w:val="009A0E8D"/>
    <w:rsid w:val="009A196C"/>
    <w:rsid w:val="009A198F"/>
    <w:rsid w:val="009A414A"/>
    <w:rsid w:val="009A5997"/>
    <w:rsid w:val="009A6BF4"/>
    <w:rsid w:val="009A746F"/>
    <w:rsid w:val="009A7B68"/>
    <w:rsid w:val="009B06B3"/>
    <w:rsid w:val="009B26E7"/>
    <w:rsid w:val="009B38A3"/>
    <w:rsid w:val="009B3A80"/>
    <w:rsid w:val="009B5609"/>
    <w:rsid w:val="009C0574"/>
    <w:rsid w:val="009C064A"/>
    <w:rsid w:val="009C3B5C"/>
    <w:rsid w:val="009C40B0"/>
    <w:rsid w:val="009C49D3"/>
    <w:rsid w:val="009C4AD2"/>
    <w:rsid w:val="009D1C5F"/>
    <w:rsid w:val="009D4F9B"/>
    <w:rsid w:val="009D682E"/>
    <w:rsid w:val="009E0997"/>
    <w:rsid w:val="009E2A24"/>
    <w:rsid w:val="009E31B5"/>
    <w:rsid w:val="009E3DA1"/>
    <w:rsid w:val="009E3F3B"/>
    <w:rsid w:val="009E5C79"/>
    <w:rsid w:val="009F0A3E"/>
    <w:rsid w:val="009F23F4"/>
    <w:rsid w:val="009F28F0"/>
    <w:rsid w:val="009F56EF"/>
    <w:rsid w:val="009F572F"/>
    <w:rsid w:val="009F5B1C"/>
    <w:rsid w:val="009F5B46"/>
    <w:rsid w:val="009F7150"/>
    <w:rsid w:val="00A00A3F"/>
    <w:rsid w:val="00A01489"/>
    <w:rsid w:val="00A03A7E"/>
    <w:rsid w:val="00A04BEC"/>
    <w:rsid w:val="00A06117"/>
    <w:rsid w:val="00A069A6"/>
    <w:rsid w:val="00A149E6"/>
    <w:rsid w:val="00A23FA8"/>
    <w:rsid w:val="00A25891"/>
    <w:rsid w:val="00A25EC5"/>
    <w:rsid w:val="00A26D66"/>
    <w:rsid w:val="00A27329"/>
    <w:rsid w:val="00A31244"/>
    <w:rsid w:val="00A32B60"/>
    <w:rsid w:val="00A32EA2"/>
    <w:rsid w:val="00A338F1"/>
    <w:rsid w:val="00A37804"/>
    <w:rsid w:val="00A420B0"/>
    <w:rsid w:val="00A43432"/>
    <w:rsid w:val="00A43512"/>
    <w:rsid w:val="00A44971"/>
    <w:rsid w:val="00A44CC0"/>
    <w:rsid w:val="00A4551A"/>
    <w:rsid w:val="00A5214F"/>
    <w:rsid w:val="00A53CD6"/>
    <w:rsid w:val="00A54142"/>
    <w:rsid w:val="00A544AA"/>
    <w:rsid w:val="00A55169"/>
    <w:rsid w:val="00A615C9"/>
    <w:rsid w:val="00A618E1"/>
    <w:rsid w:val="00A61B32"/>
    <w:rsid w:val="00A62A23"/>
    <w:rsid w:val="00A630FA"/>
    <w:rsid w:val="00A64C9B"/>
    <w:rsid w:val="00A7036F"/>
    <w:rsid w:val="00A70E86"/>
    <w:rsid w:val="00A72F22"/>
    <w:rsid w:val="00A7357A"/>
    <w:rsid w:val="00A7360F"/>
    <w:rsid w:val="00A73B46"/>
    <w:rsid w:val="00A73F02"/>
    <w:rsid w:val="00A74571"/>
    <w:rsid w:val="00A747CF"/>
    <w:rsid w:val="00A748A6"/>
    <w:rsid w:val="00A76746"/>
    <w:rsid w:val="00A769F4"/>
    <w:rsid w:val="00A776B4"/>
    <w:rsid w:val="00A77A48"/>
    <w:rsid w:val="00A86702"/>
    <w:rsid w:val="00A86D79"/>
    <w:rsid w:val="00A90EFF"/>
    <w:rsid w:val="00A931B6"/>
    <w:rsid w:val="00A9334D"/>
    <w:rsid w:val="00A94361"/>
    <w:rsid w:val="00A94975"/>
    <w:rsid w:val="00A94A7D"/>
    <w:rsid w:val="00A964C9"/>
    <w:rsid w:val="00AA1846"/>
    <w:rsid w:val="00AA19AC"/>
    <w:rsid w:val="00AA293C"/>
    <w:rsid w:val="00AA451C"/>
    <w:rsid w:val="00AA5EC9"/>
    <w:rsid w:val="00AA654F"/>
    <w:rsid w:val="00AB1033"/>
    <w:rsid w:val="00AB1123"/>
    <w:rsid w:val="00AB73EC"/>
    <w:rsid w:val="00AC1F8D"/>
    <w:rsid w:val="00AC24F2"/>
    <w:rsid w:val="00AC3551"/>
    <w:rsid w:val="00AC639E"/>
    <w:rsid w:val="00AC6C72"/>
    <w:rsid w:val="00AD2038"/>
    <w:rsid w:val="00AD60F0"/>
    <w:rsid w:val="00AD7AB3"/>
    <w:rsid w:val="00AE0CE8"/>
    <w:rsid w:val="00AE1899"/>
    <w:rsid w:val="00AE382C"/>
    <w:rsid w:val="00AE41A7"/>
    <w:rsid w:val="00AE4EEB"/>
    <w:rsid w:val="00AE5125"/>
    <w:rsid w:val="00AE7328"/>
    <w:rsid w:val="00AF1C7B"/>
    <w:rsid w:val="00AF1E53"/>
    <w:rsid w:val="00AF29E9"/>
    <w:rsid w:val="00AF4A5C"/>
    <w:rsid w:val="00AF5670"/>
    <w:rsid w:val="00AF657A"/>
    <w:rsid w:val="00AF67D6"/>
    <w:rsid w:val="00AF75D9"/>
    <w:rsid w:val="00AF7A8D"/>
    <w:rsid w:val="00B02F55"/>
    <w:rsid w:val="00B064F8"/>
    <w:rsid w:val="00B0741E"/>
    <w:rsid w:val="00B13B54"/>
    <w:rsid w:val="00B15F8F"/>
    <w:rsid w:val="00B1695E"/>
    <w:rsid w:val="00B17772"/>
    <w:rsid w:val="00B225A1"/>
    <w:rsid w:val="00B22C8A"/>
    <w:rsid w:val="00B24943"/>
    <w:rsid w:val="00B25F3D"/>
    <w:rsid w:val="00B30179"/>
    <w:rsid w:val="00B34174"/>
    <w:rsid w:val="00B4173A"/>
    <w:rsid w:val="00B45098"/>
    <w:rsid w:val="00B502F4"/>
    <w:rsid w:val="00B51ED4"/>
    <w:rsid w:val="00B5356B"/>
    <w:rsid w:val="00B539AA"/>
    <w:rsid w:val="00B54C39"/>
    <w:rsid w:val="00B54F31"/>
    <w:rsid w:val="00B55C51"/>
    <w:rsid w:val="00B56DA5"/>
    <w:rsid w:val="00B56E4A"/>
    <w:rsid w:val="00B56E9C"/>
    <w:rsid w:val="00B60B7B"/>
    <w:rsid w:val="00B63019"/>
    <w:rsid w:val="00B648D1"/>
    <w:rsid w:val="00B64B1F"/>
    <w:rsid w:val="00B6529C"/>
    <w:rsid w:val="00B6553F"/>
    <w:rsid w:val="00B67D69"/>
    <w:rsid w:val="00B70101"/>
    <w:rsid w:val="00B728DA"/>
    <w:rsid w:val="00B73CD7"/>
    <w:rsid w:val="00B7409A"/>
    <w:rsid w:val="00B74BA4"/>
    <w:rsid w:val="00B75008"/>
    <w:rsid w:val="00B773A6"/>
    <w:rsid w:val="00B77D05"/>
    <w:rsid w:val="00B81206"/>
    <w:rsid w:val="00B81E12"/>
    <w:rsid w:val="00B82192"/>
    <w:rsid w:val="00B8310E"/>
    <w:rsid w:val="00B84933"/>
    <w:rsid w:val="00B8572E"/>
    <w:rsid w:val="00B90BC8"/>
    <w:rsid w:val="00B90DFD"/>
    <w:rsid w:val="00B911ED"/>
    <w:rsid w:val="00B91E3C"/>
    <w:rsid w:val="00B92937"/>
    <w:rsid w:val="00B93182"/>
    <w:rsid w:val="00B9587E"/>
    <w:rsid w:val="00B97A1E"/>
    <w:rsid w:val="00B97EE2"/>
    <w:rsid w:val="00BA07E1"/>
    <w:rsid w:val="00BA0F69"/>
    <w:rsid w:val="00BA2E7A"/>
    <w:rsid w:val="00BA3B9E"/>
    <w:rsid w:val="00BB0725"/>
    <w:rsid w:val="00BB4587"/>
    <w:rsid w:val="00BB5BCD"/>
    <w:rsid w:val="00BC065B"/>
    <w:rsid w:val="00BC3286"/>
    <w:rsid w:val="00BC34B7"/>
    <w:rsid w:val="00BC57CE"/>
    <w:rsid w:val="00BC6718"/>
    <w:rsid w:val="00BC74E9"/>
    <w:rsid w:val="00BD1705"/>
    <w:rsid w:val="00BD3455"/>
    <w:rsid w:val="00BD77B8"/>
    <w:rsid w:val="00BD7C6A"/>
    <w:rsid w:val="00BE02C9"/>
    <w:rsid w:val="00BE4753"/>
    <w:rsid w:val="00BE6D1F"/>
    <w:rsid w:val="00BE7331"/>
    <w:rsid w:val="00BF135B"/>
    <w:rsid w:val="00BF1DD6"/>
    <w:rsid w:val="00BF2B01"/>
    <w:rsid w:val="00BF3DA0"/>
    <w:rsid w:val="00BF4194"/>
    <w:rsid w:val="00BF604B"/>
    <w:rsid w:val="00BF68A8"/>
    <w:rsid w:val="00BF783D"/>
    <w:rsid w:val="00C002FF"/>
    <w:rsid w:val="00C01DCF"/>
    <w:rsid w:val="00C02D4B"/>
    <w:rsid w:val="00C059CD"/>
    <w:rsid w:val="00C05A5A"/>
    <w:rsid w:val="00C05BA3"/>
    <w:rsid w:val="00C11A03"/>
    <w:rsid w:val="00C1613C"/>
    <w:rsid w:val="00C2011B"/>
    <w:rsid w:val="00C218F2"/>
    <w:rsid w:val="00C22386"/>
    <w:rsid w:val="00C22A6A"/>
    <w:rsid w:val="00C24F84"/>
    <w:rsid w:val="00C25817"/>
    <w:rsid w:val="00C27052"/>
    <w:rsid w:val="00C30C41"/>
    <w:rsid w:val="00C31926"/>
    <w:rsid w:val="00C364D6"/>
    <w:rsid w:val="00C37356"/>
    <w:rsid w:val="00C42634"/>
    <w:rsid w:val="00C463DD"/>
    <w:rsid w:val="00C4724C"/>
    <w:rsid w:val="00C537C8"/>
    <w:rsid w:val="00C578F1"/>
    <w:rsid w:val="00C60BE6"/>
    <w:rsid w:val="00C61ADE"/>
    <w:rsid w:val="00C629A0"/>
    <w:rsid w:val="00C64CE5"/>
    <w:rsid w:val="00C664E5"/>
    <w:rsid w:val="00C66978"/>
    <w:rsid w:val="00C669CC"/>
    <w:rsid w:val="00C66DFD"/>
    <w:rsid w:val="00C6760E"/>
    <w:rsid w:val="00C7097D"/>
    <w:rsid w:val="00C71AF4"/>
    <w:rsid w:val="00C745C3"/>
    <w:rsid w:val="00C748AE"/>
    <w:rsid w:val="00C7732B"/>
    <w:rsid w:val="00C802AB"/>
    <w:rsid w:val="00C807E9"/>
    <w:rsid w:val="00C80C5E"/>
    <w:rsid w:val="00C83A14"/>
    <w:rsid w:val="00C87749"/>
    <w:rsid w:val="00C90A5B"/>
    <w:rsid w:val="00C9101C"/>
    <w:rsid w:val="00C92266"/>
    <w:rsid w:val="00C95360"/>
    <w:rsid w:val="00C9543F"/>
    <w:rsid w:val="00C96E0C"/>
    <w:rsid w:val="00C9704F"/>
    <w:rsid w:val="00CB5C40"/>
    <w:rsid w:val="00CB6442"/>
    <w:rsid w:val="00CB6AEA"/>
    <w:rsid w:val="00CC05CF"/>
    <w:rsid w:val="00CC0642"/>
    <w:rsid w:val="00CC151D"/>
    <w:rsid w:val="00CC372C"/>
    <w:rsid w:val="00CC4032"/>
    <w:rsid w:val="00CC4B27"/>
    <w:rsid w:val="00CD0050"/>
    <w:rsid w:val="00CD5FC4"/>
    <w:rsid w:val="00CD6014"/>
    <w:rsid w:val="00CD64D1"/>
    <w:rsid w:val="00CE01AA"/>
    <w:rsid w:val="00CE0AEF"/>
    <w:rsid w:val="00CE0EC6"/>
    <w:rsid w:val="00CE290C"/>
    <w:rsid w:val="00CE4658"/>
    <w:rsid w:val="00CE4A8F"/>
    <w:rsid w:val="00CF0F87"/>
    <w:rsid w:val="00CF0F8C"/>
    <w:rsid w:val="00CF26ED"/>
    <w:rsid w:val="00CF529F"/>
    <w:rsid w:val="00CF702E"/>
    <w:rsid w:val="00CF792C"/>
    <w:rsid w:val="00D01F7E"/>
    <w:rsid w:val="00D030DE"/>
    <w:rsid w:val="00D04EDC"/>
    <w:rsid w:val="00D05414"/>
    <w:rsid w:val="00D07338"/>
    <w:rsid w:val="00D07E4C"/>
    <w:rsid w:val="00D10B74"/>
    <w:rsid w:val="00D10B77"/>
    <w:rsid w:val="00D11158"/>
    <w:rsid w:val="00D14D4D"/>
    <w:rsid w:val="00D1588A"/>
    <w:rsid w:val="00D16DEC"/>
    <w:rsid w:val="00D2031B"/>
    <w:rsid w:val="00D208AD"/>
    <w:rsid w:val="00D20EC6"/>
    <w:rsid w:val="00D21697"/>
    <w:rsid w:val="00D22FC8"/>
    <w:rsid w:val="00D25FE2"/>
    <w:rsid w:val="00D26C4C"/>
    <w:rsid w:val="00D3034F"/>
    <w:rsid w:val="00D303B7"/>
    <w:rsid w:val="00D32217"/>
    <w:rsid w:val="00D3255D"/>
    <w:rsid w:val="00D3276F"/>
    <w:rsid w:val="00D32A2D"/>
    <w:rsid w:val="00D3362F"/>
    <w:rsid w:val="00D3615A"/>
    <w:rsid w:val="00D41B56"/>
    <w:rsid w:val="00D43252"/>
    <w:rsid w:val="00D43A58"/>
    <w:rsid w:val="00D46717"/>
    <w:rsid w:val="00D47706"/>
    <w:rsid w:val="00D47AC7"/>
    <w:rsid w:val="00D47EEA"/>
    <w:rsid w:val="00D5166F"/>
    <w:rsid w:val="00D53B6C"/>
    <w:rsid w:val="00D546AB"/>
    <w:rsid w:val="00D5558F"/>
    <w:rsid w:val="00D55823"/>
    <w:rsid w:val="00D55B97"/>
    <w:rsid w:val="00D5602B"/>
    <w:rsid w:val="00D618FE"/>
    <w:rsid w:val="00D633EA"/>
    <w:rsid w:val="00D63904"/>
    <w:rsid w:val="00D63F6F"/>
    <w:rsid w:val="00D64765"/>
    <w:rsid w:val="00D65C14"/>
    <w:rsid w:val="00D6618D"/>
    <w:rsid w:val="00D668C8"/>
    <w:rsid w:val="00D67CE1"/>
    <w:rsid w:val="00D67D7A"/>
    <w:rsid w:val="00D715E5"/>
    <w:rsid w:val="00D7481D"/>
    <w:rsid w:val="00D76E67"/>
    <w:rsid w:val="00D813D0"/>
    <w:rsid w:val="00D82C30"/>
    <w:rsid w:val="00D845A6"/>
    <w:rsid w:val="00D84EB1"/>
    <w:rsid w:val="00D85072"/>
    <w:rsid w:val="00D862FD"/>
    <w:rsid w:val="00D914F8"/>
    <w:rsid w:val="00D91B02"/>
    <w:rsid w:val="00D9347E"/>
    <w:rsid w:val="00D9379F"/>
    <w:rsid w:val="00D93CC8"/>
    <w:rsid w:val="00D95303"/>
    <w:rsid w:val="00D95A36"/>
    <w:rsid w:val="00D978C6"/>
    <w:rsid w:val="00DA1DBD"/>
    <w:rsid w:val="00DA28D8"/>
    <w:rsid w:val="00DA3C1C"/>
    <w:rsid w:val="00DA5DED"/>
    <w:rsid w:val="00DA6285"/>
    <w:rsid w:val="00DA71CB"/>
    <w:rsid w:val="00DA7C42"/>
    <w:rsid w:val="00DB06BA"/>
    <w:rsid w:val="00DB0E68"/>
    <w:rsid w:val="00DB13AB"/>
    <w:rsid w:val="00DB16FC"/>
    <w:rsid w:val="00DB189D"/>
    <w:rsid w:val="00DB1AB6"/>
    <w:rsid w:val="00DB26B2"/>
    <w:rsid w:val="00DB41D2"/>
    <w:rsid w:val="00DB6F42"/>
    <w:rsid w:val="00DB7144"/>
    <w:rsid w:val="00DC0D8F"/>
    <w:rsid w:val="00DC0F1A"/>
    <w:rsid w:val="00DC1764"/>
    <w:rsid w:val="00DC20F6"/>
    <w:rsid w:val="00DC2CC4"/>
    <w:rsid w:val="00DC47EB"/>
    <w:rsid w:val="00DC552A"/>
    <w:rsid w:val="00DC5FF9"/>
    <w:rsid w:val="00DC7595"/>
    <w:rsid w:val="00DC7B9D"/>
    <w:rsid w:val="00DD2666"/>
    <w:rsid w:val="00DD6AE9"/>
    <w:rsid w:val="00DE086D"/>
    <w:rsid w:val="00DE08FF"/>
    <w:rsid w:val="00DE17F4"/>
    <w:rsid w:val="00DE63DC"/>
    <w:rsid w:val="00DE6D70"/>
    <w:rsid w:val="00DF1060"/>
    <w:rsid w:val="00DF23B6"/>
    <w:rsid w:val="00DF23DE"/>
    <w:rsid w:val="00DF2600"/>
    <w:rsid w:val="00DF319A"/>
    <w:rsid w:val="00DF5B7D"/>
    <w:rsid w:val="00DF5BB7"/>
    <w:rsid w:val="00DF7CB0"/>
    <w:rsid w:val="00E00752"/>
    <w:rsid w:val="00E01137"/>
    <w:rsid w:val="00E022F5"/>
    <w:rsid w:val="00E03386"/>
    <w:rsid w:val="00E04264"/>
    <w:rsid w:val="00E04C84"/>
    <w:rsid w:val="00E051C3"/>
    <w:rsid w:val="00E06689"/>
    <w:rsid w:val="00E10201"/>
    <w:rsid w:val="00E10234"/>
    <w:rsid w:val="00E1227A"/>
    <w:rsid w:val="00E15476"/>
    <w:rsid w:val="00E16444"/>
    <w:rsid w:val="00E16D5D"/>
    <w:rsid w:val="00E16EFC"/>
    <w:rsid w:val="00E20264"/>
    <w:rsid w:val="00E21A27"/>
    <w:rsid w:val="00E24F3D"/>
    <w:rsid w:val="00E25070"/>
    <w:rsid w:val="00E2526B"/>
    <w:rsid w:val="00E2604A"/>
    <w:rsid w:val="00E27346"/>
    <w:rsid w:val="00E32EFC"/>
    <w:rsid w:val="00E3472B"/>
    <w:rsid w:val="00E35236"/>
    <w:rsid w:val="00E407C1"/>
    <w:rsid w:val="00E41971"/>
    <w:rsid w:val="00E467B0"/>
    <w:rsid w:val="00E46CE2"/>
    <w:rsid w:val="00E525C2"/>
    <w:rsid w:val="00E5408A"/>
    <w:rsid w:val="00E62931"/>
    <w:rsid w:val="00E63979"/>
    <w:rsid w:val="00E64279"/>
    <w:rsid w:val="00E666A6"/>
    <w:rsid w:val="00E710C2"/>
    <w:rsid w:val="00E71125"/>
    <w:rsid w:val="00E71BC8"/>
    <w:rsid w:val="00E7260F"/>
    <w:rsid w:val="00E735D6"/>
    <w:rsid w:val="00E737BB"/>
    <w:rsid w:val="00E75863"/>
    <w:rsid w:val="00E807EF"/>
    <w:rsid w:val="00E82196"/>
    <w:rsid w:val="00E856B5"/>
    <w:rsid w:val="00E85AD0"/>
    <w:rsid w:val="00E85E7F"/>
    <w:rsid w:val="00E91F65"/>
    <w:rsid w:val="00E959E0"/>
    <w:rsid w:val="00E96630"/>
    <w:rsid w:val="00E96CE0"/>
    <w:rsid w:val="00EA0709"/>
    <w:rsid w:val="00EA4118"/>
    <w:rsid w:val="00EA6049"/>
    <w:rsid w:val="00EA7E54"/>
    <w:rsid w:val="00EB08F6"/>
    <w:rsid w:val="00EB1E49"/>
    <w:rsid w:val="00EB4C6E"/>
    <w:rsid w:val="00EB6A47"/>
    <w:rsid w:val="00EB7728"/>
    <w:rsid w:val="00EC153A"/>
    <w:rsid w:val="00EC17D9"/>
    <w:rsid w:val="00EC3875"/>
    <w:rsid w:val="00EC765A"/>
    <w:rsid w:val="00ED065E"/>
    <w:rsid w:val="00ED37C8"/>
    <w:rsid w:val="00ED47FF"/>
    <w:rsid w:val="00ED6F5C"/>
    <w:rsid w:val="00ED7A2A"/>
    <w:rsid w:val="00EE16C9"/>
    <w:rsid w:val="00EE2F57"/>
    <w:rsid w:val="00EE3830"/>
    <w:rsid w:val="00EE3A5A"/>
    <w:rsid w:val="00EE69E1"/>
    <w:rsid w:val="00EF0A9D"/>
    <w:rsid w:val="00EF1D7F"/>
    <w:rsid w:val="00EF2C11"/>
    <w:rsid w:val="00F024AC"/>
    <w:rsid w:val="00F071E4"/>
    <w:rsid w:val="00F071FB"/>
    <w:rsid w:val="00F078D7"/>
    <w:rsid w:val="00F15518"/>
    <w:rsid w:val="00F1765F"/>
    <w:rsid w:val="00F20C84"/>
    <w:rsid w:val="00F20C99"/>
    <w:rsid w:val="00F2442E"/>
    <w:rsid w:val="00F2779F"/>
    <w:rsid w:val="00F27E1B"/>
    <w:rsid w:val="00F32383"/>
    <w:rsid w:val="00F32A0F"/>
    <w:rsid w:val="00F34539"/>
    <w:rsid w:val="00F3480C"/>
    <w:rsid w:val="00F412B8"/>
    <w:rsid w:val="00F44E1F"/>
    <w:rsid w:val="00F514DA"/>
    <w:rsid w:val="00F52CF8"/>
    <w:rsid w:val="00F52EE1"/>
    <w:rsid w:val="00F5393A"/>
    <w:rsid w:val="00F54BE9"/>
    <w:rsid w:val="00F57012"/>
    <w:rsid w:val="00F60A0D"/>
    <w:rsid w:val="00F63FCC"/>
    <w:rsid w:val="00F65158"/>
    <w:rsid w:val="00F662A9"/>
    <w:rsid w:val="00F70147"/>
    <w:rsid w:val="00F71B36"/>
    <w:rsid w:val="00F72A51"/>
    <w:rsid w:val="00F72D60"/>
    <w:rsid w:val="00F72FD3"/>
    <w:rsid w:val="00F738E0"/>
    <w:rsid w:val="00F74FE8"/>
    <w:rsid w:val="00F75696"/>
    <w:rsid w:val="00F76DB8"/>
    <w:rsid w:val="00F807AB"/>
    <w:rsid w:val="00F906F5"/>
    <w:rsid w:val="00F92AEB"/>
    <w:rsid w:val="00F93781"/>
    <w:rsid w:val="00F94550"/>
    <w:rsid w:val="00F94C3A"/>
    <w:rsid w:val="00F95C48"/>
    <w:rsid w:val="00FA00FA"/>
    <w:rsid w:val="00FA1C9D"/>
    <w:rsid w:val="00FA4165"/>
    <w:rsid w:val="00FA4CC8"/>
    <w:rsid w:val="00FA5869"/>
    <w:rsid w:val="00FA5AD3"/>
    <w:rsid w:val="00FA7230"/>
    <w:rsid w:val="00FB06CC"/>
    <w:rsid w:val="00FB1778"/>
    <w:rsid w:val="00FB3D70"/>
    <w:rsid w:val="00FB4221"/>
    <w:rsid w:val="00FB613B"/>
    <w:rsid w:val="00FB70C1"/>
    <w:rsid w:val="00FC1527"/>
    <w:rsid w:val="00FC187B"/>
    <w:rsid w:val="00FC1897"/>
    <w:rsid w:val="00FC2659"/>
    <w:rsid w:val="00FC2E43"/>
    <w:rsid w:val="00FC2F6F"/>
    <w:rsid w:val="00FC3942"/>
    <w:rsid w:val="00FC3E6D"/>
    <w:rsid w:val="00FC6503"/>
    <w:rsid w:val="00FC68B7"/>
    <w:rsid w:val="00FD0578"/>
    <w:rsid w:val="00FD48D0"/>
    <w:rsid w:val="00FD5207"/>
    <w:rsid w:val="00FD70CE"/>
    <w:rsid w:val="00FE106A"/>
    <w:rsid w:val="00FE3208"/>
    <w:rsid w:val="00FF118F"/>
    <w:rsid w:val="00FF168B"/>
    <w:rsid w:val="00FF2DEB"/>
    <w:rsid w:val="00FF42B4"/>
    <w:rsid w:val="00FF46DB"/>
    <w:rsid w:val="00FF602A"/>
    <w:rsid w:val="00FF6EB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678D506E-533F-45B8-950D-F63E911E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7E3D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7E3DE7"/>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tabs>
        <w:tab w:val="clear" w:pos="1701"/>
        <w:tab w:val="num" w:pos="567"/>
      </w:tabs>
      <w:spacing w:after="120"/>
      <w:ind w:left="567" w:right="1134" w:hanging="556"/>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rFonts w:eastAsia="SimSun"/>
      <w:sz w:val="18"/>
      <w:lang w:eastAsia="zh-CN"/>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val="en-US" w:eastAsia="zh-CN"/>
    </w:rPr>
  </w:style>
  <w:style w:type="character" w:styleId="CommentReference">
    <w:name w:val="annotation reference"/>
    <w:semiHidden/>
    <w:rsid w:val="00B75008"/>
    <w:rPr>
      <w:sz w:val="16"/>
    </w:rPr>
  </w:style>
  <w:style w:type="paragraph" w:styleId="BalloonText">
    <w:name w:val="Balloon Text"/>
    <w:basedOn w:val="Normal"/>
    <w:link w:val="BalloonTextChar"/>
    <w:rsid w:val="00660479"/>
    <w:pPr>
      <w:spacing w:line="240" w:lineRule="auto"/>
    </w:pPr>
    <w:rPr>
      <w:rFonts w:ascii="Tahoma" w:hAnsi="Tahoma" w:cs="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customStyle="1" w:styleId="MediumList2-Accent21">
    <w:name w:val="Medium List 2 - Accent 21"/>
    <w:hidden/>
    <w:uiPriority w:val="99"/>
    <w:semiHidden/>
    <w:rsid w:val="00EF0A9D"/>
    <w:rPr>
      <w:lang w:eastAsia="en-US"/>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 w:type="paragraph" w:styleId="Revision">
    <w:name w:val="Revision"/>
    <w:hidden/>
    <w:uiPriority w:val="99"/>
    <w:semiHidden/>
    <w:rsid w:val="00F2779F"/>
    <w:rPr>
      <w:lang w:eastAsia="en-US"/>
    </w:rPr>
  </w:style>
  <w:style w:type="character" w:customStyle="1" w:styleId="en">
    <w:name w:val="en"/>
    <w:basedOn w:val="DefaultParagraphFont"/>
    <w:rsid w:val="00B7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314845667">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823666071">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1992246634">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file:///C:\Users\pavlova\AppData\Local\Temp\notes499728\www.freedomfromtorture.org\sites\default\files\documents\sl_report_a4_-_final-f-b-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5734-5251-42D4-8F38-F1774B68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1616028</vt:lpstr>
    </vt:vector>
  </TitlesOfParts>
  <Company>CSD</Company>
  <LinksUpToDate>false</LinksUpToDate>
  <CharactersWithSpaces>30593</CharactersWithSpaces>
  <SharedDoc>false</SharedDoc>
  <HLinks>
    <vt:vector size="12" baseType="variant">
      <vt:variant>
        <vt:i4>7471108</vt:i4>
      </vt:variant>
      <vt:variant>
        <vt:i4>3</vt:i4>
      </vt:variant>
      <vt:variant>
        <vt:i4>0</vt:i4>
      </vt:variant>
      <vt:variant>
        <vt:i4>5</vt:i4>
      </vt:variant>
      <vt:variant>
        <vt:lpwstr>https://barhumanrights.org.uk/sites/default/files/documents/news/an_unfinihsed_war._torture_and_sexual_violence_in_sri_lanka_2009-2014_0.pdf</vt:lpwstr>
      </vt:variant>
      <vt:variant>
        <vt:lpwstr/>
      </vt:variant>
      <vt:variant>
        <vt:i4>8257663</vt:i4>
      </vt:variant>
      <vt:variant>
        <vt:i4>0</vt:i4>
      </vt:variant>
      <vt:variant>
        <vt:i4>0</vt:i4>
      </vt:variant>
      <vt:variant>
        <vt:i4>5</vt:i4>
      </vt:variant>
      <vt:variant>
        <vt:lpwstr>http://www.freedomfromtorture.org/sites/default/files/documents/sl_report_a4_-_final-f-b-web.pdf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1616028</dc:title>
  <dc:subject>CAT/C/58/D/595/2014</dc:subject>
  <dc:creator>default</dc:creator>
  <cp:keywords/>
  <dc:description/>
  <cp:lastModifiedBy>Sarah Willig</cp:lastModifiedBy>
  <cp:revision>2</cp:revision>
  <cp:lastPrinted>2016-09-09T15:46:00Z</cp:lastPrinted>
  <dcterms:created xsi:type="dcterms:W3CDTF">2017-04-10T17:35:00Z</dcterms:created>
  <dcterms:modified xsi:type="dcterms:W3CDTF">2017-04-10T17:35:00Z</dcterms:modified>
</cp:coreProperties>
</file>