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trPr>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1985"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378" w:type="dxa"/>
            <w:gridSpan w:val="2"/>
            <w:tcBorders>
              <w:bottom w:val="single" w:sz="4" w:space="0" w:color="auto"/>
            </w:tcBorders>
            <w:vAlign w:val="bottom"/>
          </w:tcPr>
          <w:p w:rsidR="00B56E9C" w:rsidRPr="00D47EEA" w:rsidRDefault="00A511AC" w:rsidP="008D773E">
            <w:pPr>
              <w:jc w:val="right"/>
            </w:pPr>
            <w:r w:rsidRPr="00A511AC">
              <w:rPr>
                <w:sz w:val="40"/>
              </w:rPr>
              <w:t>CAT</w:t>
            </w:r>
            <w:r>
              <w:t>/C/5</w:t>
            </w:r>
            <w:r w:rsidR="004266F1">
              <w:t>8</w:t>
            </w:r>
            <w:r>
              <w:t>/D/</w:t>
            </w:r>
            <w:r w:rsidR="00275825">
              <w:t>60</w:t>
            </w:r>
            <w:r w:rsidR="00695EA2">
              <w:t>0</w:t>
            </w:r>
            <w:r w:rsidR="009352A4">
              <w:t>/</w:t>
            </w:r>
            <w:r>
              <w:t>20</w:t>
            </w:r>
            <w:r w:rsidR="000B1D28">
              <w:t>1</w:t>
            </w:r>
            <w:r w:rsidR="00C950A1">
              <w:t>4</w:t>
            </w:r>
          </w:p>
        </w:tc>
      </w:tr>
      <w:tr w:rsidR="00B56E9C">
        <w:trPr>
          <w:cantSplit/>
          <w:trHeight w:hRule="exact" w:val="2835"/>
        </w:trPr>
        <w:tc>
          <w:tcPr>
            <w:tcW w:w="1276" w:type="dxa"/>
            <w:tcBorders>
              <w:top w:val="single" w:sz="4" w:space="0" w:color="auto"/>
              <w:bottom w:val="single" w:sz="12" w:space="0" w:color="auto"/>
            </w:tcBorders>
          </w:tcPr>
          <w:p w:rsidR="00B56E9C" w:rsidRDefault="00C3546C" w:rsidP="00B6553F">
            <w:pPr>
              <w:spacing w:before="120"/>
            </w:pPr>
            <w:r>
              <w:rPr>
                <w:noProof/>
                <w:lang w:val="en-US"/>
              </w:rPr>
              <w:drawing>
                <wp:inline distT="0" distB="0" distL="0" distR="0" wp14:anchorId="34D2C508" wp14:editId="14DD9176">
                  <wp:extent cx="716280" cy="594360"/>
                  <wp:effectExtent l="0" t="0" r="7620" b="0"/>
                  <wp:docPr id="3"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B56E9C" w:rsidRDefault="00B54F31" w:rsidP="00267F5F">
            <w:pPr>
              <w:spacing w:before="120" w:line="380" w:lineRule="exact"/>
              <w:rPr>
                <w:b/>
                <w:sz w:val="34"/>
                <w:szCs w:val="40"/>
              </w:rPr>
            </w:pPr>
            <w:r>
              <w:rPr>
                <w:b/>
                <w:sz w:val="34"/>
                <w:szCs w:val="40"/>
              </w:rPr>
              <w:t>Convention against Torture</w:t>
            </w:r>
            <w:r w:rsidR="001450BD">
              <w:rPr>
                <w:b/>
                <w:sz w:val="34"/>
                <w:szCs w:val="40"/>
              </w:rPr>
              <w:br/>
            </w:r>
            <w:r>
              <w:rPr>
                <w:b/>
                <w:sz w:val="34"/>
                <w:szCs w:val="40"/>
              </w:rPr>
              <w:t>and Other Cruel, Inhuman</w:t>
            </w:r>
            <w:r w:rsidR="001450BD">
              <w:rPr>
                <w:b/>
                <w:sz w:val="34"/>
                <w:szCs w:val="40"/>
              </w:rPr>
              <w:br/>
            </w:r>
            <w:r>
              <w:rPr>
                <w:b/>
                <w:sz w:val="34"/>
                <w:szCs w:val="40"/>
              </w:rPr>
              <w:t>or</w:t>
            </w:r>
            <w:r w:rsidR="001450BD">
              <w:rPr>
                <w:b/>
                <w:sz w:val="34"/>
                <w:szCs w:val="40"/>
              </w:rPr>
              <w:t xml:space="preserve"> </w:t>
            </w:r>
            <w:r>
              <w:rPr>
                <w:b/>
                <w:sz w:val="34"/>
                <w:szCs w:val="40"/>
              </w:rPr>
              <w:t>Degrading Treatment</w:t>
            </w:r>
            <w:r>
              <w:rPr>
                <w:b/>
                <w:sz w:val="34"/>
                <w:szCs w:val="40"/>
              </w:rPr>
              <w:br/>
            </w:r>
            <w:r w:rsidR="001450BD">
              <w:rPr>
                <w:b/>
                <w:sz w:val="34"/>
                <w:szCs w:val="40"/>
              </w:rPr>
              <w:t xml:space="preserve">or </w:t>
            </w:r>
            <w:r>
              <w:rPr>
                <w:b/>
                <w:sz w:val="34"/>
                <w:szCs w:val="40"/>
              </w:rPr>
              <w:t>Punishment</w:t>
            </w:r>
          </w:p>
          <w:p w:rsidR="006E56CB" w:rsidRPr="00D60A89" w:rsidRDefault="006E56CB" w:rsidP="005659AA">
            <w:pPr>
              <w:spacing w:before="120" w:line="380" w:lineRule="exact"/>
              <w:rPr>
                <w:b/>
                <w:sz w:val="24"/>
                <w:szCs w:val="24"/>
              </w:rPr>
            </w:pPr>
          </w:p>
        </w:tc>
        <w:tc>
          <w:tcPr>
            <w:tcW w:w="2835" w:type="dxa"/>
            <w:tcBorders>
              <w:top w:val="single" w:sz="4" w:space="0" w:color="auto"/>
              <w:bottom w:val="single" w:sz="12" w:space="0" w:color="auto"/>
            </w:tcBorders>
          </w:tcPr>
          <w:p w:rsidR="00796FF6" w:rsidRPr="00DA41C2" w:rsidRDefault="00A511AC" w:rsidP="00796FF6">
            <w:pPr>
              <w:spacing w:before="240" w:line="240" w:lineRule="exact"/>
            </w:pPr>
            <w:r>
              <w:t xml:space="preserve">Distr.: </w:t>
            </w:r>
            <w:r w:rsidR="008D773E">
              <w:t>General</w:t>
            </w:r>
          </w:p>
          <w:p w:rsidR="00A511AC" w:rsidRDefault="006A2EA8" w:rsidP="0027128F">
            <w:pPr>
              <w:spacing w:line="240" w:lineRule="exact"/>
            </w:pPr>
            <w:r>
              <w:t>13</w:t>
            </w:r>
            <w:r w:rsidR="005659AA">
              <w:t xml:space="preserve"> September</w:t>
            </w:r>
            <w:r w:rsidR="00275825">
              <w:t xml:space="preserve"> </w:t>
            </w:r>
            <w:r w:rsidR="00A511AC">
              <w:t>201</w:t>
            </w:r>
            <w:r w:rsidR="00275825">
              <w:t>6</w:t>
            </w:r>
          </w:p>
          <w:p w:rsidR="00A511AC" w:rsidRDefault="00A511AC" w:rsidP="00A511AC">
            <w:pPr>
              <w:spacing w:line="240" w:lineRule="exact"/>
            </w:pPr>
          </w:p>
          <w:p w:rsidR="00A511AC" w:rsidRDefault="00A511AC" w:rsidP="00A511AC">
            <w:pPr>
              <w:spacing w:line="240" w:lineRule="exact"/>
            </w:pPr>
            <w:r>
              <w:t>Original: English</w:t>
            </w:r>
          </w:p>
          <w:p w:rsidR="006841D7" w:rsidRDefault="006841D7" w:rsidP="00C3546C">
            <w:pPr>
              <w:spacing w:line="240" w:lineRule="exact"/>
            </w:pPr>
          </w:p>
        </w:tc>
      </w:tr>
    </w:tbl>
    <w:p w:rsidR="009120B2" w:rsidRPr="009120B2" w:rsidRDefault="009120B2" w:rsidP="009120B2">
      <w:pPr>
        <w:spacing w:line="20" w:lineRule="exact"/>
        <w:rPr>
          <w:b/>
          <w:sz w:val="2"/>
          <w:szCs w:val="24"/>
        </w:rPr>
      </w:pPr>
    </w:p>
    <w:p w:rsidR="0065486C" w:rsidRPr="00C07884" w:rsidRDefault="0065486C" w:rsidP="00D60A89">
      <w:pPr>
        <w:spacing w:before="120"/>
        <w:rPr>
          <w:b/>
        </w:rPr>
      </w:pPr>
      <w:r w:rsidRPr="00DF23DE">
        <w:rPr>
          <w:b/>
          <w:sz w:val="24"/>
          <w:szCs w:val="24"/>
        </w:rPr>
        <w:t>Committee against Torture</w:t>
      </w:r>
    </w:p>
    <w:p w:rsidR="008D773E" w:rsidRPr="00D60A89" w:rsidRDefault="0065486C" w:rsidP="00D60A89">
      <w:pPr>
        <w:pStyle w:val="HChG"/>
        <w:rPr>
          <w:sz w:val="20"/>
          <w:szCs w:val="24"/>
        </w:rPr>
      </w:pPr>
      <w:r w:rsidRPr="00C07884">
        <w:tab/>
      </w:r>
      <w:r w:rsidRPr="00C07884">
        <w:tab/>
      </w:r>
      <w:r w:rsidR="008D773E" w:rsidRPr="003D6252">
        <w:rPr>
          <w:szCs w:val="24"/>
        </w:rPr>
        <w:t xml:space="preserve">Decision adopted by the Committee </w:t>
      </w:r>
      <w:r w:rsidR="005659AA">
        <w:rPr>
          <w:szCs w:val="24"/>
        </w:rPr>
        <w:t>under article 22 of the Convention, concerning communication No. 600/2014</w:t>
      </w:r>
      <w:r w:rsidR="005659AA" w:rsidRPr="00D60A89">
        <w:rPr>
          <w:rStyle w:val="FootnoteReference"/>
          <w:b w:val="0"/>
          <w:bCs/>
          <w:sz w:val="20"/>
          <w:vertAlign w:val="baseline"/>
        </w:rPr>
        <w:footnoteReference w:customMarkFollows="1" w:id="2"/>
        <w:t>*</w:t>
      </w:r>
      <w:r w:rsidR="005659AA" w:rsidRPr="00D60A89">
        <w:rPr>
          <w:rStyle w:val="FootnoteReference"/>
          <w:b w:val="0"/>
          <w:bCs/>
          <w:position w:val="4"/>
          <w:sz w:val="20"/>
          <w:szCs w:val="24"/>
          <w:vertAlign w:val="baseline"/>
        </w:rPr>
        <w:t>,</w:t>
      </w:r>
      <w:r w:rsidR="005659AA" w:rsidRPr="00D60A89">
        <w:rPr>
          <w:b w:val="0"/>
          <w:bCs/>
          <w:sz w:val="20"/>
          <w:szCs w:val="24"/>
        </w:rPr>
        <w:t xml:space="preserve"> </w:t>
      </w:r>
      <w:r w:rsidR="005659AA" w:rsidRPr="00D60A89">
        <w:rPr>
          <w:rStyle w:val="FootnoteReference"/>
          <w:b w:val="0"/>
          <w:bCs/>
          <w:sz w:val="20"/>
          <w:szCs w:val="24"/>
          <w:vertAlign w:val="baseline"/>
        </w:rPr>
        <w:footnoteReference w:customMarkFollows="1" w:id="3"/>
        <w:t>**</w:t>
      </w:r>
      <w:r w:rsidR="00C3680D">
        <w:rPr>
          <w:b w:val="0"/>
          <w:bCs/>
          <w:sz w:val="20"/>
          <w:szCs w:val="24"/>
        </w:rPr>
        <w:t xml:space="preserve"> </w:t>
      </w:r>
    </w:p>
    <w:tbl>
      <w:tblPr>
        <w:tblW w:w="0" w:type="auto"/>
        <w:tblInd w:w="1200" w:type="dxa"/>
        <w:tblLayout w:type="fixed"/>
        <w:tblCellMar>
          <w:left w:w="0" w:type="dxa"/>
          <w:right w:w="0" w:type="dxa"/>
        </w:tblCellMar>
        <w:tblLook w:val="01E0" w:firstRow="1" w:lastRow="1" w:firstColumn="1" w:lastColumn="1" w:noHBand="0" w:noVBand="0"/>
      </w:tblPr>
      <w:tblGrid>
        <w:gridCol w:w="3402"/>
        <w:gridCol w:w="3969"/>
      </w:tblGrid>
      <w:tr w:rsidR="00125038" w:rsidRPr="00125038" w:rsidTr="00D60A89">
        <w:tc>
          <w:tcPr>
            <w:tcW w:w="3402" w:type="dxa"/>
          </w:tcPr>
          <w:p w:rsidR="00125038" w:rsidRPr="00125038" w:rsidRDefault="00125038" w:rsidP="0087521E">
            <w:pPr>
              <w:pStyle w:val="SingleTxtG"/>
              <w:ind w:left="0" w:right="0"/>
              <w:jc w:val="left"/>
              <w:rPr>
                <w:i/>
              </w:rPr>
            </w:pPr>
            <w:r w:rsidRPr="00125038">
              <w:rPr>
                <w:i/>
              </w:rPr>
              <w:t>Communication submitted by:</w:t>
            </w:r>
          </w:p>
        </w:tc>
        <w:tc>
          <w:tcPr>
            <w:tcW w:w="3969" w:type="dxa"/>
          </w:tcPr>
          <w:p w:rsidR="00125038" w:rsidRPr="00125038" w:rsidRDefault="00695EA2">
            <w:pPr>
              <w:pStyle w:val="SingleTxtG"/>
              <w:ind w:left="0" w:right="0"/>
              <w:jc w:val="left"/>
            </w:pPr>
            <w:r w:rsidRPr="00AB178E">
              <w:rPr>
                <w:rStyle w:val="SingleTxtGChar"/>
              </w:rPr>
              <w:t>K</w:t>
            </w:r>
            <w:r w:rsidR="00641969">
              <w:rPr>
                <w:rStyle w:val="SingleTxtGChar"/>
              </w:rPr>
              <w:t>.</w:t>
            </w:r>
            <w:r w:rsidRPr="00AB178E">
              <w:rPr>
                <w:rStyle w:val="SingleTxtGChar"/>
              </w:rPr>
              <w:t>V</w:t>
            </w:r>
            <w:r w:rsidR="00641969">
              <w:rPr>
                <w:rStyle w:val="SingleTxtGChar"/>
              </w:rPr>
              <w:t>.</w:t>
            </w:r>
            <w:r w:rsidR="005B4CB3" w:rsidRPr="00AB178E">
              <w:rPr>
                <w:rStyle w:val="SingleTxtGChar"/>
              </w:rPr>
              <w:t xml:space="preserve"> </w:t>
            </w:r>
          </w:p>
        </w:tc>
      </w:tr>
      <w:tr w:rsidR="00125038" w:rsidRPr="00125038" w:rsidTr="00D60A89">
        <w:tc>
          <w:tcPr>
            <w:tcW w:w="3402" w:type="dxa"/>
          </w:tcPr>
          <w:p w:rsidR="00125038" w:rsidRPr="00125038" w:rsidRDefault="00125038" w:rsidP="0087521E">
            <w:pPr>
              <w:pStyle w:val="SingleTxtG"/>
              <w:ind w:left="0" w:right="0"/>
              <w:jc w:val="left"/>
              <w:rPr>
                <w:i/>
              </w:rPr>
            </w:pPr>
            <w:r w:rsidRPr="00125038">
              <w:rPr>
                <w:i/>
              </w:rPr>
              <w:t>Alleged victim:</w:t>
            </w:r>
          </w:p>
        </w:tc>
        <w:tc>
          <w:tcPr>
            <w:tcW w:w="3969" w:type="dxa"/>
          </w:tcPr>
          <w:p w:rsidR="00125038" w:rsidRPr="00125038" w:rsidRDefault="00125038" w:rsidP="0087521E">
            <w:pPr>
              <w:pStyle w:val="SingleTxtG"/>
              <w:ind w:left="0" w:right="0"/>
              <w:jc w:val="left"/>
            </w:pPr>
            <w:r w:rsidRPr="00125038">
              <w:rPr>
                <w:snapToGrid w:val="0"/>
              </w:rPr>
              <w:t>The complainant</w:t>
            </w:r>
          </w:p>
        </w:tc>
      </w:tr>
      <w:tr w:rsidR="00125038" w:rsidRPr="00125038" w:rsidTr="00D60A89">
        <w:tc>
          <w:tcPr>
            <w:tcW w:w="3402" w:type="dxa"/>
          </w:tcPr>
          <w:p w:rsidR="00125038" w:rsidRPr="00125038" w:rsidRDefault="00125038" w:rsidP="0087521E">
            <w:pPr>
              <w:pStyle w:val="SingleTxtG"/>
              <w:ind w:left="0" w:right="0"/>
              <w:jc w:val="left"/>
              <w:rPr>
                <w:i/>
              </w:rPr>
            </w:pPr>
            <w:r w:rsidRPr="00125038">
              <w:rPr>
                <w:i/>
              </w:rPr>
              <w:t>State party:</w:t>
            </w:r>
          </w:p>
        </w:tc>
        <w:tc>
          <w:tcPr>
            <w:tcW w:w="3969" w:type="dxa"/>
          </w:tcPr>
          <w:p w:rsidR="00125038" w:rsidRPr="005B4CB3" w:rsidRDefault="00125038" w:rsidP="00125038">
            <w:pPr>
              <w:pStyle w:val="SingleTxtG"/>
              <w:ind w:left="0" w:right="0"/>
              <w:jc w:val="left"/>
              <w:rPr>
                <w:iCs/>
              </w:rPr>
            </w:pPr>
            <w:r w:rsidRPr="005B4CB3">
              <w:rPr>
                <w:iCs/>
              </w:rPr>
              <w:t>Australia</w:t>
            </w:r>
          </w:p>
        </w:tc>
      </w:tr>
      <w:tr w:rsidR="00125038" w:rsidRPr="00125038" w:rsidTr="00D60A89">
        <w:tc>
          <w:tcPr>
            <w:tcW w:w="3402" w:type="dxa"/>
          </w:tcPr>
          <w:p w:rsidR="00125038" w:rsidRPr="00125038" w:rsidRDefault="00125038" w:rsidP="0087521E">
            <w:pPr>
              <w:pStyle w:val="SingleTxtG"/>
              <w:ind w:left="0" w:right="0"/>
              <w:jc w:val="left"/>
              <w:rPr>
                <w:i/>
              </w:rPr>
            </w:pPr>
            <w:r w:rsidRPr="00125038">
              <w:rPr>
                <w:i/>
              </w:rPr>
              <w:t>Date of complaint:</w:t>
            </w:r>
          </w:p>
        </w:tc>
        <w:tc>
          <w:tcPr>
            <w:tcW w:w="3969" w:type="dxa"/>
          </w:tcPr>
          <w:p w:rsidR="00125038" w:rsidRPr="005B4CB3" w:rsidRDefault="00125038" w:rsidP="00695EA2">
            <w:pPr>
              <w:pStyle w:val="SingleTxtG"/>
              <w:ind w:left="0" w:right="0"/>
              <w:jc w:val="left"/>
              <w:rPr>
                <w:iCs/>
              </w:rPr>
            </w:pPr>
            <w:r w:rsidRPr="005B4CB3">
              <w:rPr>
                <w:iCs/>
              </w:rPr>
              <w:t>2</w:t>
            </w:r>
            <w:r w:rsidR="00695EA2" w:rsidRPr="005B4CB3">
              <w:rPr>
                <w:iCs/>
              </w:rPr>
              <w:t xml:space="preserve">5 April </w:t>
            </w:r>
            <w:r w:rsidRPr="005B4CB3">
              <w:rPr>
                <w:iCs/>
              </w:rPr>
              <w:t>2014 (initial submission)</w:t>
            </w:r>
          </w:p>
        </w:tc>
      </w:tr>
      <w:tr w:rsidR="00125038" w:rsidRPr="00125038" w:rsidTr="00D60A89">
        <w:tc>
          <w:tcPr>
            <w:tcW w:w="3402" w:type="dxa"/>
          </w:tcPr>
          <w:p w:rsidR="00125038" w:rsidRPr="00125038" w:rsidRDefault="00125038">
            <w:pPr>
              <w:pStyle w:val="SingleTxtG"/>
              <w:ind w:left="0" w:right="0"/>
              <w:jc w:val="left"/>
              <w:rPr>
                <w:i/>
              </w:rPr>
            </w:pPr>
            <w:r w:rsidRPr="00125038">
              <w:rPr>
                <w:i/>
              </w:rPr>
              <w:t xml:space="preserve">Date of </w:t>
            </w:r>
            <w:r w:rsidR="005659AA">
              <w:rPr>
                <w:i/>
              </w:rPr>
              <w:t>present</w:t>
            </w:r>
            <w:r w:rsidRPr="00125038">
              <w:rPr>
                <w:i/>
              </w:rPr>
              <w:t xml:space="preserve"> decision:</w:t>
            </w:r>
          </w:p>
        </w:tc>
        <w:tc>
          <w:tcPr>
            <w:tcW w:w="3969" w:type="dxa"/>
            <w:vAlign w:val="bottom"/>
          </w:tcPr>
          <w:p w:rsidR="00125038" w:rsidRPr="005B4CB3" w:rsidRDefault="008D773E" w:rsidP="008D773E">
            <w:pPr>
              <w:pStyle w:val="SingleTxtG"/>
              <w:ind w:left="0" w:right="0"/>
              <w:jc w:val="left"/>
              <w:rPr>
                <w:iCs/>
              </w:rPr>
            </w:pPr>
            <w:r>
              <w:rPr>
                <w:iCs/>
              </w:rPr>
              <w:t xml:space="preserve">11 </w:t>
            </w:r>
            <w:r w:rsidR="00125038" w:rsidRPr="005B4CB3">
              <w:rPr>
                <w:iCs/>
              </w:rPr>
              <w:t>August 2016</w:t>
            </w:r>
          </w:p>
        </w:tc>
      </w:tr>
      <w:tr w:rsidR="00125038" w:rsidRPr="00125038" w:rsidTr="00D60A89">
        <w:tc>
          <w:tcPr>
            <w:tcW w:w="3402" w:type="dxa"/>
          </w:tcPr>
          <w:p w:rsidR="00125038" w:rsidRPr="00125038" w:rsidRDefault="00125038" w:rsidP="0087521E">
            <w:pPr>
              <w:pStyle w:val="SingleTxtG"/>
              <w:ind w:left="0" w:right="0"/>
              <w:jc w:val="left"/>
              <w:rPr>
                <w:i/>
              </w:rPr>
            </w:pPr>
            <w:r w:rsidRPr="00125038">
              <w:rPr>
                <w:i/>
                <w:iCs/>
              </w:rPr>
              <w:t>Subject matter:</w:t>
            </w:r>
          </w:p>
        </w:tc>
        <w:tc>
          <w:tcPr>
            <w:tcW w:w="3969" w:type="dxa"/>
          </w:tcPr>
          <w:p w:rsidR="00125038" w:rsidRPr="005B4CB3" w:rsidRDefault="00125038">
            <w:pPr>
              <w:pStyle w:val="SingleTxtG"/>
              <w:ind w:left="0" w:right="0"/>
              <w:jc w:val="left"/>
              <w:rPr>
                <w:iCs/>
              </w:rPr>
            </w:pPr>
            <w:r w:rsidRPr="005B4CB3">
              <w:rPr>
                <w:iCs/>
              </w:rPr>
              <w:t xml:space="preserve">Deportation to Sri Lanka </w:t>
            </w:r>
          </w:p>
        </w:tc>
      </w:tr>
      <w:tr w:rsidR="00125038" w:rsidRPr="00125038" w:rsidTr="00D60A89">
        <w:tc>
          <w:tcPr>
            <w:tcW w:w="3402" w:type="dxa"/>
          </w:tcPr>
          <w:p w:rsidR="00125038" w:rsidRPr="00125038" w:rsidRDefault="00125038" w:rsidP="0087521E">
            <w:pPr>
              <w:pStyle w:val="SingleTxtG"/>
              <w:ind w:left="0" w:right="0"/>
              <w:jc w:val="left"/>
              <w:rPr>
                <w:i/>
                <w:iCs/>
              </w:rPr>
            </w:pPr>
            <w:r w:rsidRPr="00125038">
              <w:rPr>
                <w:i/>
                <w:iCs/>
              </w:rPr>
              <w:t>Substantive issues:</w:t>
            </w:r>
          </w:p>
        </w:tc>
        <w:tc>
          <w:tcPr>
            <w:tcW w:w="3969" w:type="dxa"/>
          </w:tcPr>
          <w:p w:rsidR="00125038" w:rsidRPr="00125038" w:rsidRDefault="00125038">
            <w:pPr>
              <w:pStyle w:val="SingleTxtG"/>
              <w:ind w:left="0" w:right="0"/>
              <w:jc w:val="left"/>
              <w:rPr>
                <w:snapToGrid w:val="0"/>
              </w:rPr>
            </w:pPr>
            <w:r w:rsidRPr="005B4CB3">
              <w:rPr>
                <w:iCs/>
              </w:rPr>
              <w:t>Risk of torture</w:t>
            </w:r>
            <w:r w:rsidR="005B4CB3" w:rsidRPr="005B4CB3">
              <w:rPr>
                <w:iCs/>
              </w:rPr>
              <w:t xml:space="preserve"> upon return to country of origin</w:t>
            </w:r>
            <w:r w:rsidR="005659AA">
              <w:rPr>
                <w:iCs/>
              </w:rPr>
              <w:t>;</w:t>
            </w:r>
            <w:r w:rsidRPr="005B4CB3">
              <w:rPr>
                <w:iCs/>
              </w:rPr>
              <w:t xml:space="preserve"> non</w:t>
            </w:r>
            <w:r w:rsidRPr="00125038">
              <w:rPr>
                <w:iCs/>
              </w:rPr>
              <w:t>-refoulement</w:t>
            </w:r>
            <w:r w:rsidRPr="00125038">
              <w:rPr>
                <w:snapToGrid w:val="0"/>
              </w:rPr>
              <w:t xml:space="preserve"> </w:t>
            </w:r>
          </w:p>
        </w:tc>
      </w:tr>
      <w:tr w:rsidR="00125038" w:rsidRPr="00125038" w:rsidTr="00D60A89">
        <w:tc>
          <w:tcPr>
            <w:tcW w:w="3402" w:type="dxa"/>
          </w:tcPr>
          <w:p w:rsidR="00125038" w:rsidRPr="00125038" w:rsidRDefault="00125038" w:rsidP="0087521E">
            <w:pPr>
              <w:pStyle w:val="SingleTxtG"/>
              <w:ind w:left="0" w:right="0"/>
              <w:jc w:val="left"/>
              <w:rPr>
                <w:i/>
                <w:iCs/>
              </w:rPr>
            </w:pPr>
            <w:r w:rsidRPr="00125038">
              <w:rPr>
                <w:i/>
                <w:iCs/>
              </w:rPr>
              <w:t>Procedural issues</w:t>
            </w:r>
            <w:r w:rsidRPr="00125038">
              <w:rPr>
                <w:i/>
              </w:rPr>
              <w:t>:</w:t>
            </w:r>
          </w:p>
        </w:tc>
        <w:tc>
          <w:tcPr>
            <w:tcW w:w="3969" w:type="dxa"/>
          </w:tcPr>
          <w:p w:rsidR="00125038" w:rsidRPr="00125038" w:rsidRDefault="00695EA2" w:rsidP="00125038">
            <w:pPr>
              <w:pStyle w:val="SingleTxtG"/>
              <w:ind w:left="0" w:right="0"/>
              <w:jc w:val="left"/>
            </w:pPr>
            <w:r w:rsidRPr="0010694E">
              <w:rPr>
                <w:iCs/>
              </w:rPr>
              <w:t>Non-substantiation of claims</w:t>
            </w:r>
            <w:r w:rsidR="00125038" w:rsidRPr="00125038">
              <w:rPr>
                <w:snapToGrid w:val="0"/>
              </w:rPr>
              <w:t xml:space="preserve"> </w:t>
            </w:r>
          </w:p>
        </w:tc>
      </w:tr>
      <w:tr w:rsidR="00125038" w:rsidRPr="00125038" w:rsidTr="00D60A89">
        <w:tc>
          <w:tcPr>
            <w:tcW w:w="3402" w:type="dxa"/>
          </w:tcPr>
          <w:p w:rsidR="00125038" w:rsidRPr="00125038" w:rsidRDefault="00125038" w:rsidP="0087521E">
            <w:pPr>
              <w:pStyle w:val="SingleTxtG"/>
              <w:spacing w:after="240"/>
              <w:ind w:left="0" w:right="0"/>
              <w:jc w:val="left"/>
              <w:rPr>
                <w:i/>
                <w:iCs/>
              </w:rPr>
            </w:pPr>
            <w:r w:rsidRPr="00125038">
              <w:rPr>
                <w:i/>
                <w:iCs/>
              </w:rPr>
              <w:t>Articles of the Convention</w:t>
            </w:r>
            <w:r w:rsidRPr="00125038">
              <w:rPr>
                <w:i/>
              </w:rPr>
              <w:t>:</w:t>
            </w:r>
          </w:p>
        </w:tc>
        <w:tc>
          <w:tcPr>
            <w:tcW w:w="3969" w:type="dxa"/>
          </w:tcPr>
          <w:p w:rsidR="00125038" w:rsidRPr="00125038" w:rsidRDefault="00125038" w:rsidP="00125038">
            <w:pPr>
              <w:pStyle w:val="SingleTxtG"/>
              <w:spacing w:after="240"/>
              <w:ind w:left="0" w:right="0"/>
              <w:jc w:val="left"/>
            </w:pPr>
            <w:r w:rsidRPr="00125038">
              <w:rPr>
                <w:snapToGrid w:val="0"/>
              </w:rPr>
              <w:t>3</w:t>
            </w:r>
          </w:p>
        </w:tc>
      </w:tr>
    </w:tbl>
    <w:p w:rsidR="00823AF6" w:rsidRDefault="00626245" w:rsidP="00D60A89">
      <w:r>
        <w:tab/>
      </w:r>
    </w:p>
    <w:p w:rsidR="00FF4B8D" w:rsidRDefault="002E3A50" w:rsidP="0027128F">
      <w:pPr>
        <w:pStyle w:val="SingleTxtG"/>
        <w:rPr>
          <w:lang w:val="en-US"/>
        </w:rPr>
      </w:pPr>
      <w:r>
        <w:t>1.1</w:t>
      </w:r>
      <w:r>
        <w:tab/>
      </w:r>
      <w:r w:rsidR="0086703C" w:rsidRPr="002E3A50">
        <w:t xml:space="preserve">The </w:t>
      </w:r>
      <w:r w:rsidR="00823D16" w:rsidRPr="00AB178E">
        <w:t>complainant</w:t>
      </w:r>
      <w:r w:rsidR="0086703C" w:rsidRPr="00AB178E">
        <w:t xml:space="preserve"> </w:t>
      </w:r>
      <w:r w:rsidR="00EA34F6" w:rsidRPr="00AB178E">
        <w:t>i</w:t>
      </w:r>
      <w:r w:rsidR="0086703C" w:rsidRPr="00AB178E">
        <w:t xml:space="preserve">s </w:t>
      </w:r>
      <w:r w:rsidR="005B4CB3" w:rsidRPr="00AB178E">
        <w:rPr>
          <w:rStyle w:val="SingleTxtGChar"/>
        </w:rPr>
        <w:t>K</w:t>
      </w:r>
      <w:r w:rsidR="00641969">
        <w:rPr>
          <w:rStyle w:val="SingleTxtGChar"/>
        </w:rPr>
        <w:t>.</w:t>
      </w:r>
      <w:r w:rsidR="005B4CB3" w:rsidRPr="00AB178E">
        <w:rPr>
          <w:rStyle w:val="SingleTxtGChar"/>
        </w:rPr>
        <w:t>V</w:t>
      </w:r>
      <w:r w:rsidR="00641969">
        <w:rPr>
          <w:rStyle w:val="SingleTxtGChar"/>
        </w:rPr>
        <w:t>.</w:t>
      </w:r>
      <w:r w:rsidR="00F65F74" w:rsidRPr="00AB178E">
        <w:t xml:space="preserve">, </w:t>
      </w:r>
      <w:r w:rsidR="005B4CB3" w:rsidRPr="00AB178E">
        <w:t xml:space="preserve">a </w:t>
      </w:r>
      <w:r w:rsidR="0027128F">
        <w:t xml:space="preserve">national of </w:t>
      </w:r>
      <w:r w:rsidR="00A45950" w:rsidRPr="00AB178E">
        <w:t xml:space="preserve">Sri Lanka national </w:t>
      </w:r>
      <w:r w:rsidR="00F65F74" w:rsidRPr="00AB178E">
        <w:t xml:space="preserve">born </w:t>
      </w:r>
      <w:r w:rsidR="00FF4B8D" w:rsidRPr="00AB178E">
        <w:t>in 19</w:t>
      </w:r>
      <w:r w:rsidR="005B4CB3" w:rsidRPr="00AB178E">
        <w:t>92</w:t>
      </w:r>
      <w:r w:rsidR="007B6112" w:rsidRPr="00AB178E">
        <w:t>.</w:t>
      </w:r>
      <w:r w:rsidR="00BD0D89" w:rsidRPr="00AB178E">
        <w:t xml:space="preserve"> </w:t>
      </w:r>
      <w:r w:rsidR="00125ED9" w:rsidRPr="00AB178E">
        <w:t>H</w:t>
      </w:r>
      <w:r w:rsidR="007B6112" w:rsidRPr="00AB178E">
        <w:t xml:space="preserve">e </w:t>
      </w:r>
      <w:r w:rsidR="004D1415" w:rsidRPr="00AB178E">
        <w:t xml:space="preserve">claims that </w:t>
      </w:r>
      <w:r w:rsidR="00FF4B8D" w:rsidRPr="00AB178E">
        <w:t xml:space="preserve">his </w:t>
      </w:r>
      <w:r w:rsidR="005B4CB3" w:rsidRPr="00AB178E">
        <w:t xml:space="preserve">deportation </w:t>
      </w:r>
      <w:r w:rsidR="00FF4B8D" w:rsidRPr="00AB178E">
        <w:t xml:space="preserve">to Sri Lanka </w:t>
      </w:r>
      <w:r w:rsidR="00FF4B8D" w:rsidRPr="00AB178E">
        <w:rPr>
          <w:lang w:val="en-US"/>
        </w:rPr>
        <w:t>would constitute a violation</w:t>
      </w:r>
      <w:r w:rsidR="00FF4B8D" w:rsidRPr="00A14839">
        <w:rPr>
          <w:lang w:val="en-US"/>
        </w:rPr>
        <w:t xml:space="preserve"> </w:t>
      </w:r>
      <w:r w:rsidR="005B4CB3" w:rsidRPr="00A14839">
        <w:rPr>
          <w:lang w:val="en-US"/>
        </w:rPr>
        <w:t xml:space="preserve">by Australia </w:t>
      </w:r>
      <w:r w:rsidR="00FF4B8D" w:rsidRPr="00A14839">
        <w:rPr>
          <w:lang w:val="en-US"/>
        </w:rPr>
        <w:t xml:space="preserve">of his rights under article 3 of the Convention. </w:t>
      </w:r>
      <w:r w:rsidR="005B4CB3" w:rsidRPr="00A14839">
        <w:rPr>
          <w:lang w:val="en-US"/>
        </w:rPr>
        <w:t xml:space="preserve">The complainant is not </w:t>
      </w:r>
      <w:r w:rsidR="00FF4B8D" w:rsidRPr="00A14839">
        <w:rPr>
          <w:lang w:val="en-US"/>
        </w:rPr>
        <w:t>represented</w:t>
      </w:r>
      <w:r w:rsidR="00FF4B8D">
        <w:rPr>
          <w:lang w:val="en-US"/>
        </w:rPr>
        <w:t xml:space="preserve"> by counsel. </w:t>
      </w:r>
    </w:p>
    <w:p w:rsidR="005B4CB3" w:rsidRDefault="005B4CB3" w:rsidP="00C50A7E">
      <w:pPr>
        <w:pStyle w:val="SingleTxtG"/>
      </w:pPr>
      <w:r w:rsidRPr="004C07A2">
        <w:rPr>
          <w:bCs/>
        </w:rPr>
        <w:t>1.2</w:t>
      </w:r>
      <w:r w:rsidRPr="004C07A2">
        <w:rPr>
          <w:bCs/>
        </w:rPr>
        <w:tab/>
      </w:r>
      <w:r w:rsidRPr="00AA4282">
        <w:t xml:space="preserve">On </w:t>
      </w:r>
      <w:r>
        <w:t>8</w:t>
      </w:r>
      <w:r w:rsidRPr="00B4730B">
        <w:t xml:space="preserve"> </w:t>
      </w:r>
      <w:r>
        <w:t xml:space="preserve">May </w:t>
      </w:r>
      <w:r w:rsidRPr="00AA4282">
        <w:t>201</w:t>
      </w:r>
      <w:r>
        <w:t>4</w:t>
      </w:r>
      <w:r w:rsidRPr="00AA4282">
        <w:t xml:space="preserve">, </w:t>
      </w:r>
      <w:r w:rsidR="00C50A7E">
        <w:t>in application of</w:t>
      </w:r>
      <w:r>
        <w:t xml:space="preserve"> rule 114</w:t>
      </w:r>
      <w:r w:rsidR="004D1FEA">
        <w:t xml:space="preserve"> (</w:t>
      </w:r>
      <w:r>
        <w:t>1</w:t>
      </w:r>
      <w:r w:rsidR="004D1FEA">
        <w:t>)</w:t>
      </w:r>
      <w:r w:rsidRPr="00AA4282">
        <w:t xml:space="preserve"> of its </w:t>
      </w:r>
      <w:r>
        <w:t>rules of procedure</w:t>
      </w:r>
      <w:r w:rsidRPr="00AA4282">
        <w:t>, the Committee</w:t>
      </w:r>
      <w:r w:rsidRPr="00236CF0">
        <w:t xml:space="preserve">, </w:t>
      </w:r>
      <w:r>
        <w:t>through its</w:t>
      </w:r>
      <w:r w:rsidRPr="0007593D">
        <w:t xml:space="preserve"> Rapporteur on new complaints and interim measures</w:t>
      </w:r>
      <w:r>
        <w:t>,</w:t>
      </w:r>
      <w:r w:rsidRPr="00AA4282">
        <w:t xml:space="preserve"> requested the State party </w:t>
      </w:r>
      <w:r w:rsidRPr="00B4730B">
        <w:t xml:space="preserve">to refrain from </w:t>
      </w:r>
      <w:r>
        <w:t>returning</w:t>
      </w:r>
      <w:r w:rsidRPr="00B4730B">
        <w:t xml:space="preserve"> </w:t>
      </w:r>
      <w:r w:rsidRPr="00AA4282">
        <w:t xml:space="preserve">the complainant to </w:t>
      </w:r>
      <w:r w:rsidR="00A14839">
        <w:t xml:space="preserve">Sri Lanka </w:t>
      </w:r>
      <w:r>
        <w:t xml:space="preserve">while </w:t>
      </w:r>
      <w:r w:rsidR="00A14839">
        <w:t xml:space="preserve">his </w:t>
      </w:r>
      <w:r w:rsidRPr="00AA4282">
        <w:t>com</w:t>
      </w:r>
      <w:r w:rsidR="00A14839">
        <w:t xml:space="preserve">plaint </w:t>
      </w:r>
      <w:r>
        <w:t>wa</w:t>
      </w:r>
      <w:r w:rsidRPr="00AA4282">
        <w:t>s being considered by the Committee.</w:t>
      </w:r>
      <w:r w:rsidRPr="00236CF0">
        <w:t xml:space="preserve"> </w:t>
      </w:r>
      <w:r w:rsidRPr="009A44EB">
        <w:t>On 1</w:t>
      </w:r>
      <w:r w:rsidR="00A14839">
        <w:t xml:space="preserve">3 June </w:t>
      </w:r>
      <w:r w:rsidRPr="009A44EB">
        <w:t>201</w:t>
      </w:r>
      <w:r w:rsidR="00A14839">
        <w:t>6</w:t>
      </w:r>
      <w:r w:rsidRPr="009A44EB">
        <w:t>, the Committee, acting through the same Rapporteur, denied the State party’s request to lift interim measures.</w:t>
      </w:r>
    </w:p>
    <w:p w:rsidR="00CA7A6D" w:rsidRDefault="00626245" w:rsidP="00626245">
      <w:pPr>
        <w:pStyle w:val="H23G"/>
      </w:pPr>
      <w:r>
        <w:lastRenderedPageBreak/>
        <w:tab/>
      </w:r>
      <w:r>
        <w:tab/>
      </w:r>
      <w:r w:rsidR="00925E89">
        <w:t>Factual background</w:t>
      </w:r>
    </w:p>
    <w:p w:rsidR="008D339D" w:rsidRDefault="00102164">
      <w:pPr>
        <w:pStyle w:val="SingleTxtG"/>
      </w:pPr>
      <w:r w:rsidRPr="00BA723F">
        <w:t>2.1</w:t>
      </w:r>
      <w:r w:rsidRPr="00BA723F">
        <w:tab/>
      </w:r>
      <w:r w:rsidRPr="00F36C81">
        <w:rPr>
          <w:rFonts w:eastAsia="Calibri"/>
        </w:rPr>
        <w:t xml:space="preserve">The </w:t>
      </w:r>
      <w:r>
        <w:rPr>
          <w:rFonts w:eastAsia="Calibri"/>
        </w:rPr>
        <w:t xml:space="preserve">complainant </w:t>
      </w:r>
      <w:r w:rsidRPr="00AE7D12">
        <w:t>is of Tamil ethnicity</w:t>
      </w:r>
      <w:r w:rsidR="006D5965">
        <w:t xml:space="preserve"> and </w:t>
      </w:r>
      <w:r w:rsidR="00394307">
        <w:t xml:space="preserve">of the </w:t>
      </w:r>
      <w:r w:rsidR="006D5965">
        <w:t>Hindu</w:t>
      </w:r>
      <w:r w:rsidR="00394307">
        <w:t xml:space="preserve"> </w:t>
      </w:r>
      <w:r w:rsidR="006D5965">
        <w:t>faith</w:t>
      </w:r>
      <w:r w:rsidRPr="00AE7D12">
        <w:t xml:space="preserve">. He </w:t>
      </w:r>
      <w:r>
        <w:t>was born in the village of Kaluwanchikudy, Batticaloa District, Eastern Province</w:t>
      </w:r>
      <w:r w:rsidR="007E6EBA">
        <w:t xml:space="preserve">, </w:t>
      </w:r>
      <w:r w:rsidR="00394307">
        <w:t>Sri Lanka</w:t>
      </w:r>
      <w:r w:rsidR="006A35E4">
        <w:t>,</w:t>
      </w:r>
      <w:r w:rsidR="00394307">
        <w:t xml:space="preserve"> </w:t>
      </w:r>
      <w:r w:rsidR="007E6EBA">
        <w:t xml:space="preserve">and lived there until 2007, when he and his family were displaced from their village </w:t>
      </w:r>
      <w:r w:rsidR="00CD397D">
        <w:t>owing to</w:t>
      </w:r>
      <w:r w:rsidR="007E6EBA">
        <w:t xml:space="preserve"> the civil war. The family sought refuge in Kaluthavalai, a village </w:t>
      </w:r>
      <w:r w:rsidR="00CD397D">
        <w:t>approximately</w:t>
      </w:r>
      <w:r w:rsidR="007E6EBA">
        <w:t xml:space="preserve"> 25 kilometres from </w:t>
      </w:r>
      <w:r w:rsidR="00CD397D">
        <w:t xml:space="preserve">the city of </w:t>
      </w:r>
      <w:r w:rsidR="007E6EBA">
        <w:t>Batticaloa</w:t>
      </w:r>
      <w:r w:rsidR="00CD397D">
        <w:t>,</w:t>
      </w:r>
      <w:r w:rsidR="007E6EBA">
        <w:t xml:space="preserve"> and remained there for </w:t>
      </w:r>
      <w:r w:rsidR="00CD397D">
        <w:t>about</w:t>
      </w:r>
      <w:r w:rsidR="007E6EBA">
        <w:t xml:space="preserve"> four months. They then returned to their home, where t</w:t>
      </w:r>
      <w:r w:rsidR="00AB178E">
        <w:t>he complainant remained until his</w:t>
      </w:r>
      <w:r w:rsidR="007E6EBA">
        <w:t xml:space="preserve"> depart</w:t>
      </w:r>
      <w:r w:rsidR="00AB178E">
        <w:t xml:space="preserve">ure </w:t>
      </w:r>
      <w:r w:rsidR="0089709A">
        <w:t xml:space="preserve">for </w:t>
      </w:r>
      <w:r w:rsidR="007E6EBA">
        <w:t>Australia.</w:t>
      </w:r>
      <w:r w:rsidR="004A7E15">
        <w:t xml:space="preserve"> </w:t>
      </w:r>
    </w:p>
    <w:p w:rsidR="001C66A1" w:rsidRDefault="00973EC1" w:rsidP="00D60A89">
      <w:pPr>
        <w:pStyle w:val="SingleTxtG"/>
        <w:rPr>
          <w:lang w:eastAsia="en-CA"/>
        </w:rPr>
      </w:pPr>
      <w:r>
        <w:rPr>
          <w:lang w:eastAsia="en-CA"/>
        </w:rPr>
        <w:t>2.2</w:t>
      </w:r>
      <w:r>
        <w:rPr>
          <w:lang w:eastAsia="en-CA"/>
        </w:rPr>
        <w:tab/>
      </w:r>
      <w:r w:rsidR="001C66A1">
        <w:rPr>
          <w:lang w:eastAsia="en-CA"/>
        </w:rPr>
        <w:t>The complainant claims that he fled Sri Lanka because he feared for his life after be</w:t>
      </w:r>
      <w:r w:rsidR="004D1FEA">
        <w:rPr>
          <w:lang w:eastAsia="en-CA"/>
        </w:rPr>
        <w:t>ing</w:t>
      </w:r>
      <w:r w:rsidR="001C66A1">
        <w:rPr>
          <w:lang w:eastAsia="en-CA"/>
        </w:rPr>
        <w:t xml:space="preserve"> personally threatened on two occasions by </w:t>
      </w:r>
      <w:r w:rsidR="00CD397D">
        <w:rPr>
          <w:lang w:eastAsia="en-CA"/>
        </w:rPr>
        <w:t xml:space="preserve">soldiers of </w:t>
      </w:r>
      <w:r w:rsidR="00AB178E">
        <w:rPr>
          <w:lang w:eastAsia="en-CA"/>
        </w:rPr>
        <w:t xml:space="preserve">the </w:t>
      </w:r>
      <w:r w:rsidR="001C66A1">
        <w:rPr>
          <w:lang w:eastAsia="en-CA"/>
        </w:rPr>
        <w:t>Sri Lanka Army. He worked as a mason and travel</w:t>
      </w:r>
      <w:r w:rsidR="004D1FEA">
        <w:rPr>
          <w:lang w:eastAsia="en-CA"/>
        </w:rPr>
        <w:t>led</w:t>
      </w:r>
      <w:r w:rsidR="001C66A1">
        <w:rPr>
          <w:lang w:eastAsia="en-CA"/>
        </w:rPr>
        <w:t xml:space="preserve"> to di</w:t>
      </w:r>
      <w:r w:rsidR="004D1FEA">
        <w:rPr>
          <w:lang w:eastAsia="en-CA"/>
        </w:rPr>
        <w:t>fferent</w:t>
      </w:r>
      <w:r w:rsidR="001C66A1">
        <w:rPr>
          <w:lang w:eastAsia="en-CA"/>
        </w:rPr>
        <w:t xml:space="preserve"> places for his work. On 10 September 2011, he was working at a construction site a</w:t>
      </w:r>
      <w:r w:rsidR="003227E2">
        <w:rPr>
          <w:lang w:eastAsia="en-CA"/>
        </w:rPr>
        <w:t>pproximately</w:t>
      </w:r>
      <w:r w:rsidR="001C66A1">
        <w:rPr>
          <w:lang w:eastAsia="en-CA"/>
        </w:rPr>
        <w:t xml:space="preserve"> 25 kilometres away from his home. After finish</w:t>
      </w:r>
      <w:r w:rsidR="004D1FEA">
        <w:rPr>
          <w:lang w:eastAsia="en-CA"/>
        </w:rPr>
        <w:t>ing his</w:t>
      </w:r>
      <w:r w:rsidR="001C66A1">
        <w:rPr>
          <w:lang w:eastAsia="en-CA"/>
        </w:rPr>
        <w:t xml:space="preserve"> work, he travelled home with his colleagues. When he arrived home, he reali</w:t>
      </w:r>
      <w:r w:rsidR="004D1FEA">
        <w:rPr>
          <w:lang w:eastAsia="en-CA"/>
        </w:rPr>
        <w:t>z</w:t>
      </w:r>
      <w:r w:rsidR="001C66A1">
        <w:rPr>
          <w:lang w:eastAsia="en-CA"/>
        </w:rPr>
        <w:t xml:space="preserve">ed that he had left his phone and wallet at work. He decided to return to the worksite to collect his belongings on his bicycle. </w:t>
      </w:r>
      <w:r w:rsidR="004D1FEA">
        <w:rPr>
          <w:lang w:eastAsia="en-CA"/>
        </w:rPr>
        <w:t>He</w:t>
      </w:r>
      <w:r w:rsidR="001C66A1">
        <w:rPr>
          <w:lang w:eastAsia="en-CA"/>
        </w:rPr>
        <w:t xml:space="preserve"> picke</w:t>
      </w:r>
      <w:r w:rsidR="00AB178E">
        <w:rPr>
          <w:lang w:eastAsia="en-CA"/>
        </w:rPr>
        <w:t>d</w:t>
      </w:r>
      <w:r w:rsidR="001C66A1">
        <w:rPr>
          <w:lang w:eastAsia="en-CA"/>
        </w:rPr>
        <w:t xml:space="preserve"> up his phone and wallet and was walking back to his bicycle when he heard a woman screaming. The sound was coming from an abandoned house which was a few metres away from the worksite. The complainant rushed over to see what was happening. He looked inside the abandoned house and saw two soldiers and a woman in one of the rooms. The woman was lying on the floor and one of the soldiers was sitting over her, strangling her. The other soldier was watching. The soldiers were wearing black </w:t>
      </w:r>
      <w:r w:rsidR="004D1FEA">
        <w:rPr>
          <w:lang w:eastAsia="en-CA"/>
        </w:rPr>
        <w:t>T</w:t>
      </w:r>
      <w:r w:rsidR="001C66A1">
        <w:rPr>
          <w:lang w:eastAsia="en-CA"/>
        </w:rPr>
        <w:t>-shirts and army trousers and had black grease smeared over their faces.</w:t>
      </w:r>
    </w:p>
    <w:p w:rsidR="001C66A1" w:rsidRDefault="00973EC1" w:rsidP="00D60A89">
      <w:pPr>
        <w:pStyle w:val="SingleTxtG"/>
        <w:rPr>
          <w:lang w:eastAsia="en-CA"/>
        </w:rPr>
      </w:pPr>
      <w:r>
        <w:rPr>
          <w:lang w:eastAsia="en-CA"/>
        </w:rPr>
        <w:t>2.3</w:t>
      </w:r>
      <w:r>
        <w:rPr>
          <w:lang w:eastAsia="en-CA"/>
        </w:rPr>
        <w:tab/>
      </w:r>
      <w:r w:rsidR="001C66A1">
        <w:rPr>
          <w:lang w:eastAsia="en-CA"/>
        </w:rPr>
        <w:t xml:space="preserve">The soldier who was watching the attack </w:t>
      </w:r>
      <w:r w:rsidR="0027644D">
        <w:rPr>
          <w:lang w:eastAsia="en-CA"/>
        </w:rPr>
        <w:t>saw</w:t>
      </w:r>
      <w:r w:rsidR="001C66A1">
        <w:rPr>
          <w:lang w:eastAsia="en-CA"/>
        </w:rPr>
        <w:t xml:space="preserve"> the complainant</w:t>
      </w:r>
      <w:r w:rsidR="00550F5B">
        <w:rPr>
          <w:lang w:eastAsia="en-CA"/>
        </w:rPr>
        <w:t xml:space="preserve"> </w:t>
      </w:r>
      <w:r w:rsidR="0027644D">
        <w:rPr>
          <w:lang w:eastAsia="en-CA"/>
        </w:rPr>
        <w:t>and</w:t>
      </w:r>
      <w:r w:rsidR="001C66A1">
        <w:rPr>
          <w:lang w:eastAsia="en-CA"/>
        </w:rPr>
        <w:t xml:space="preserve"> </w:t>
      </w:r>
      <w:r w:rsidR="00C50C58">
        <w:rPr>
          <w:lang w:eastAsia="en-CA"/>
        </w:rPr>
        <w:t xml:space="preserve">started to </w:t>
      </w:r>
      <w:r w:rsidR="001C66A1">
        <w:rPr>
          <w:lang w:eastAsia="en-CA"/>
        </w:rPr>
        <w:t xml:space="preserve">approach </w:t>
      </w:r>
      <w:r w:rsidR="0027644D">
        <w:rPr>
          <w:lang w:eastAsia="en-CA"/>
        </w:rPr>
        <w:t>him</w:t>
      </w:r>
      <w:r w:rsidR="004D1FEA">
        <w:rPr>
          <w:lang w:eastAsia="en-CA"/>
        </w:rPr>
        <w:t>,</w:t>
      </w:r>
      <w:r w:rsidR="0027644D">
        <w:rPr>
          <w:lang w:eastAsia="en-CA"/>
        </w:rPr>
        <w:t xml:space="preserve"> but </w:t>
      </w:r>
      <w:r w:rsidR="001C66A1">
        <w:rPr>
          <w:lang w:eastAsia="en-CA"/>
        </w:rPr>
        <w:t xml:space="preserve">the complainant </w:t>
      </w:r>
      <w:r w:rsidR="0027644D">
        <w:rPr>
          <w:lang w:eastAsia="en-CA"/>
        </w:rPr>
        <w:t>run away</w:t>
      </w:r>
      <w:r w:rsidR="001C66A1">
        <w:rPr>
          <w:lang w:eastAsia="en-CA"/>
        </w:rPr>
        <w:t>. The soldier chased him and shout</w:t>
      </w:r>
      <w:r w:rsidR="004D1FEA">
        <w:rPr>
          <w:lang w:eastAsia="en-CA"/>
        </w:rPr>
        <w:t>ed</w:t>
      </w:r>
      <w:r w:rsidR="001C66A1">
        <w:rPr>
          <w:lang w:eastAsia="en-CA"/>
        </w:rPr>
        <w:t xml:space="preserve"> at him in Sinhala</w:t>
      </w:r>
      <w:r w:rsidR="004D1FEA">
        <w:rPr>
          <w:lang w:eastAsia="en-CA"/>
        </w:rPr>
        <w:t>,</w:t>
      </w:r>
      <w:r w:rsidR="001C66A1">
        <w:rPr>
          <w:lang w:eastAsia="en-CA"/>
        </w:rPr>
        <w:t xml:space="preserve"> but the complainant does not speak Sinhala and could not understand what the soldier was saying. The complainant kept running and, at some point, the soldier stopped chasing him. When he reached home two to three hours later, he reali</w:t>
      </w:r>
      <w:r w:rsidR="004D1FEA">
        <w:rPr>
          <w:lang w:eastAsia="en-CA"/>
        </w:rPr>
        <w:t>z</w:t>
      </w:r>
      <w:r w:rsidR="001C66A1">
        <w:rPr>
          <w:lang w:eastAsia="en-CA"/>
        </w:rPr>
        <w:t xml:space="preserve">ed that he </w:t>
      </w:r>
      <w:r w:rsidR="004D1FEA">
        <w:rPr>
          <w:lang w:eastAsia="en-CA"/>
        </w:rPr>
        <w:t>did not have</w:t>
      </w:r>
      <w:r w:rsidR="001C66A1">
        <w:rPr>
          <w:lang w:eastAsia="en-CA"/>
        </w:rPr>
        <w:t xml:space="preserve"> his wallet. </w:t>
      </w:r>
      <w:r w:rsidR="00473EEC">
        <w:rPr>
          <w:lang w:eastAsia="en-CA"/>
        </w:rPr>
        <w:t>He</w:t>
      </w:r>
      <w:r w:rsidR="001C66A1">
        <w:rPr>
          <w:lang w:eastAsia="en-CA"/>
        </w:rPr>
        <w:t xml:space="preserve"> </w:t>
      </w:r>
      <w:r w:rsidR="00473EEC">
        <w:rPr>
          <w:lang w:eastAsia="en-CA"/>
        </w:rPr>
        <w:t>did</w:t>
      </w:r>
      <w:r w:rsidR="001C66A1">
        <w:rPr>
          <w:lang w:eastAsia="en-CA"/>
        </w:rPr>
        <w:t xml:space="preserve"> not </w:t>
      </w:r>
      <w:r w:rsidR="00473EEC">
        <w:rPr>
          <w:lang w:eastAsia="en-CA"/>
        </w:rPr>
        <w:t>know</w:t>
      </w:r>
      <w:r w:rsidR="001C66A1">
        <w:rPr>
          <w:lang w:eastAsia="en-CA"/>
        </w:rPr>
        <w:t xml:space="preserve"> where he had dropped it. He told his family what had happened. </w:t>
      </w:r>
    </w:p>
    <w:p w:rsidR="001C66A1" w:rsidRDefault="00973EC1" w:rsidP="00D60A89">
      <w:pPr>
        <w:pStyle w:val="SingleTxtG"/>
        <w:rPr>
          <w:lang w:eastAsia="en-CA"/>
        </w:rPr>
      </w:pPr>
      <w:r>
        <w:rPr>
          <w:lang w:eastAsia="en-CA"/>
        </w:rPr>
        <w:t>2.4</w:t>
      </w:r>
      <w:r>
        <w:rPr>
          <w:lang w:eastAsia="en-CA"/>
        </w:rPr>
        <w:tab/>
      </w:r>
      <w:r w:rsidR="001C66A1">
        <w:rPr>
          <w:lang w:eastAsia="en-CA"/>
        </w:rPr>
        <w:t>The next day, on 11 September 2011, the complainant and his father went to the local police station to report what the complainant has seen. He told a police officer what had happened and provided the location of the village where the attack had occurred and a description of the soldiers. The police officer reportedly suggested that the soldier who</w:t>
      </w:r>
      <w:r w:rsidR="00473EEC">
        <w:rPr>
          <w:lang w:eastAsia="en-CA"/>
        </w:rPr>
        <w:t xml:space="preserve"> had</w:t>
      </w:r>
      <w:r w:rsidR="001C66A1">
        <w:rPr>
          <w:lang w:eastAsia="en-CA"/>
        </w:rPr>
        <w:t xml:space="preserve"> chased the complainant was only a “madman” and </w:t>
      </w:r>
      <w:r w:rsidR="00C50C58">
        <w:rPr>
          <w:lang w:eastAsia="en-CA"/>
        </w:rPr>
        <w:t xml:space="preserve">he </w:t>
      </w:r>
      <w:r w:rsidR="002C3DDE">
        <w:rPr>
          <w:lang w:eastAsia="en-CA"/>
        </w:rPr>
        <w:t xml:space="preserve">did </w:t>
      </w:r>
      <w:r w:rsidR="001C66A1">
        <w:rPr>
          <w:lang w:eastAsia="en-CA"/>
        </w:rPr>
        <w:t xml:space="preserve">not take the complainant’s statement. </w:t>
      </w:r>
    </w:p>
    <w:p w:rsidR="001C66A1" w:rsidRDefault="00973EC1" w:rsidP="00D60A89">
      <w:pPr>
        <w:pStyle w:val="SingleTxtG"/>
        <w:rPr>
          <w:lang w:eastAsia="en-CA"/>
        </w:rPr>
      </w:pPr>
      <w:r>
        <w:rPr>
          <w:lang w:eastAsia="en-CA"/>
        </w:rPr>
        <w:t>2.5</w:t>
      </w:r>
      <w:r>
        <w:rPr>
          <w:lang w:eastAsia="en-CA"/>
        </w:rPr>
        <w:tab/>
      </w:r>
      <w:r w:rsidR="001C66A1">
        <w:rPr>
          <w:lang w:eastAsia="en-CA"/>
        </w:rPr>
        <w:t xml:space="preserve">Late in the evening on 13 September 2011, three soldiers </w:t>
      </w:r>
      <w:r w:rsidR="00C50C58">
        <w:rPr>
          <w:lang w:eastAsia="en-CA"/>
        </w:rPr>
        <w:t>came</w:t>
      </w:r>
      <w:r w:rsidR="001C66A1">
        <w:rPr>
          <w:lang w:eastAsia="en-CA"/>
        </w:rPr>
        <w:t xml:space="preserve"> to the complainant’s house. One of them began banging on the front door but the complainant’s parents did not open it. The soldiers began yelling in Sinhala but the complainant and his family </w:t>
      </w:r>
      <w:r w:rsidR="00473EEC">
        <w:rPr>
          <w:lang w:eastAsia="en-CA"/>
        </w:rPr>
        <w:t>did</w:t>
      </w:r>
      <w:r w:rsidR="001C66A1">
        <w:rPr>
          <w:lang w:eastAsia="en-CA"/>
        </w:rPr>
        <w:t xml:space="preserve"> not understand what they were saying. The neighbours heard the shouting and started coming around to see what was happening. </w:t>
      </w:r>
      <w:r w:rsidR="002C3DDE">
        <w:rPr>
          <w:lang w:eastAsia="en-CA"/>
        </w:rPr>
        <w:t>When</w:t>
      </w:r>
      <w:r w:rsidR="001C66A1">
        <w:rPr>
          <w:lang w:eastAsia="en-CA"/>
        </w:rPr>
        <w:t xml:space="preserve"> the soldiers saw the neighbours they decided to leave and drove away in a white van. After this, the complainant</w:t>
      </w:r>
      <w:r w:rsidR="002C3DDE">
        <w:rPr>
          <w:lang w:eastAsia="en-CA"/>
        </w:rPr>
        <w:t xml:space="preserve"> decided to hide and went </w:t>
      </w:r>
      <w:r w:rsidR="001C66A1">
        <w:rPr>
          <w:lang w:eastAsia="en-CA"/>
        </w:rPr>
        <w:t xml:space="preserve">to live with other relatives. </w:t>
      </w:r>
    </w:p>
    <w:p w:rsidR="001C66A1" w:rsidRDefault="00973EC1" w:rsidP="00D60A89">
      <w:pPr>
        <w:pStyle w:val="SingleTxtG"/>
      </w:pPr>
      <w:r>
        <w:rPr>
          <w:lang w:eastAsia="en-CA"/>
        </w:rPr>
        <w:t>2.6</w:t>
      </w:r>
      <w:r>
        <w:rPr>
          <w:lang w:eastAsia="en-CA"/>
        </w:rPr>
        <w:tab/>
      </w:r>
      <w:r w:rsidR="001C66A1">
        <w:rPr>
          <w:lang w:eastAsia="en-CA"/>
        </w:rPr>
        <w:t xml:space="preserve">On 19 September 2011, the complainant was walking along a road </w:t>
      </w:r>
      <w:r w:rsidR="002C3DDE">
        <w:rPr>
          <w:lang w:eastAsia="en-CA"/>
        </w:rPr>
        <w:t>close to</w:t>
      </w:r>
      <w:r w:rsidR="001C66A1">
        <w:rPr>
          <w:lang w:eastAsia="en-CA"/>
        </w:rPr>
        <w:t xml:space="preserve"> his house</w:t>
      </w:r>
      <w:r w:rsidR="002C3DDE">
        <w:rPr>
          <w:lang w:eastAsia="en-CA"/>
        </w:rPr>
        <w:t xml:space="preserve"> when a </w:t>
      </w:r>
      <w:r w:rsidR="00E2245E">
        <w:rPr>
          <w:lang w:eastAsia="en-CA"/>
        </w:rPr>
        <w:t xml:space="preserve">white van with no number plates </w:t>
      </w:r>
      <w:r w:rsidR="002C3DDE">
        <w:rPr>
          <w:lang w:eastAsia="en-CA"/>
        </w:rPr>
        <w:t>stopped next to</w:t>
      </w:r>
      <w:r w:rsidR="001C66A1">
        <w:rPr>
          <w:lang w:eastAsia="en-CA"/>
        </w:rPr>
        <w:t xml:space="preserve"> him. The complainant suspected that it was the same van </w:t>
      </w:r>
      <w:r w:rsidR="00E2245E">
        <w:rPr>
          <w:lang w:eastAsia="en-CA"/>
        </w:rPr>
        <w:t>used by</w:t>
      </w:r>
      <w:r w:rsidR="001C66A1">
        <w:rPr>
          <w:lang w:eastAsia="en-CA"/>
        </w:rPr>
        <w:t xml:space="preserve"> the soldiers wh</w:t>
      </w:r>
      <w:r w:rsidR="00E2245E">
        <w:rPr>
          <w:lang w:eastAsia="en-CA"/>
        </w:rPr>
        <w:t xml:space="preserve">o </w:t>
      </w:r>
      <w:r w:rsidR="00E7170F">
        <w:rPr>
          <w:lang w:eastAsia="en-CA"/>
        </w:rPr>
        <w:t xml:space="preserve">had come </w:t>
      </w:r>
      <w:r w:rsidR="001C66A1">
        <w:rPr>
          <w:lang w:eastAsia="en-CA"/>
        </w:rPr>
        <w:t xml:space="preserve">to his house on 13 September 2011. </w:t>
      </w:r>
      <w:r w:rsidR="00473EEC">
        <w:rPr>
          <w:lang w:eastAsia="en-CA"/>
        </w:rPr>
        <w:t>As t</w:t>
      </w:r>
      <w:r w:rsidR="001C66A1">
        <w:rPr>
          <w:lang w:eastAsia="en-CA"/>
        </w:rPr>
        <w:t xml:space="preserve">he complainant was near his aunt’s house, he jumped over a fence and ran into her back yard. The van drove away. </w:t>
      </w:r>
      <w:r w:rsidR="00E2245E">
        <w:rPr>
          <w:lang w:eastAsia="en-CA"/>
        </w:rPr>
        <w:t>After that, he</w:t>
      </w:r>
      <w:r w:rsidR="001C66A1">
        <w:rPr>
          <w:lang w:eastAsia="en-CA"/>
        </w:rPr>
        <w:t xml:space="preserve"> decided to leave Sri Lanka.</w:t>
      </w:r>
    </w:p>
    <w:p w:rsidR="00973EC1" w:rsidRDefault="0089709A" w:rsidP="00D60A89">
      <w:pPr>
        <w:pStyle w:val="SingleTxtG"/>
        <w:rPr>
          <w:lang w:eastAsia="en-CA"/>
        </w:rPr>
      </w:pPr>
      <w:r>
        <w:rPr>
          <w:lang w:eastAsia="en-CA"/>
        </w:rPr>
        <w:t>2.</w:t>
      </w:r>
      <w:r w:rsidR="00973EC1">
        <w:rPr>
          <w:lang w:eastAsia="en-CA"/>
        </w:rPr>
        <w:t>7</w:t>
      </w:r>
      <w:r w:rsidR="008D339D">
        <w:rPr>
          <w:lang w:eastAsia="en-CA"/>
        </w:rPr>
        <w:tab/>
        <w:t>On 28 January 2012, the complainant left his v</w:t>
      </w:r>
      <w:r w:rsidR="002373DE">
        <w:rPr>
          <w:lang w:eastAsia="en-CA"/>
        </w:rPr>
        <w:t xml:space="preserve">illage and travelled </w:t>
      </w:r>
      <w:r w:rsidR="008D339D">
        <w:rPr>
          <w:lang w:eastAsia="en-CA"/>
        </w:rPr>
        <w:t>by bus to Colombo</w:t>
      </w:r>
      <w:r w:rsidR="00473EEC">
        <w:rPr>
          <w:lang w:eastAsia="en-CA"/>
        </w:rPr>
        <w:t xml:space="preserve">, then </w:t>
      </w:r>
      <w:r w:rsidR="002373DE">
        <w:rPr>
          <w:lang w:eastAsia="en-CA"/>
        </w:rPr>
        <w:t>to Beruwala, a town in Kalutara District, Western Province, and, on 2</w:t>
      </w:r>
      <w:r w:rsidR="004A7E15">
        <w:rPr>
          <w:lang w:eastAsia="en-CA"/>
        </w:rPr>
        <w:t> </w:t>
      </w:r>
      <w:r w:rsidR="002373DE">
        <w:rPr>
          <w:lang w:eastAsia="en-CA"/>
        </w:rPr>
        <w:t xml:space="preserve">February 2012, </w:t>
      </w:r>
      <w:r w:rsidR="00E2245E">
        <w:rPr>
          <w:lang w:eastAsia="en-CA"/>
        </w:rPr>
        <w:t>he</w:t>
      </w:r>
      <w:r w:rsidR="002373DE">
        <w:rPr>
          <w:lang w:eastAsia="en-CA"/>
        </w:rPr>
        <w:t xml:space="preserve"> left Sri Lanka illegally by boat. On 17 February 2012, he arrived at Christmas Island, </w:t>
      </w:r>
      <w:r w:rsidR="00E7170F">
        <w:rPr>
          <w:lang w:eastAsia="en-CA"/>
        </w:rPr>
        <w:t xml:space="preserve">Australia, </w:t>
      </w:r>
      <w:r w:rsidR="002373DE">
        <w:rPr>
          <w:lang w:eastAsia="en-CA"/>
        </w:rPr>
        <w:t xml:space="preserve">without a valid visa. The complainant </w:t>
      </w:r>
      <w:r w:rsidR="00473EEC">
        <w:rPr>
          <w:lang w:eastAsia="en-CA"/>
        </w:rPr>
        <w:t xml:space="preserve">participated in </w:t>
      </w:r>
      <w:r w:rsidR="002373DE">
        <w:rPr>
          <w:lang w:eastAsia="en-CA"/>
        </w:rPr>
        <w:t xml:space="preserve">an entry </w:t>
      </w:r>
      <w:r w:rsidR="002373DE">
        <w:rPr>
          <w:lang w:eastAsia="en-CA"/>
        </w:rPr>
        <w:lastRenderedPageBreak/>
        <w:t xml:space="preserve">interview on 15 March 2012. On 28 May 2012, he was interviewed by </w:t>
      </w:r>
      <w:r w:rsidR="00E7170F">
        <w:rPr>
          <w:lang w:eastAsia="en-CA"/>
        </w:rPr>
        <w:t xml:space="preserve">a representative of the </w:t>
      </w:r>
      <w:r w:rsidR="002373DE" w:rsidRPr="002373DE">
        <w:rPr>
          <w:lang w:eastAsia="en-CA"/>
        </w:rPr>
        <w:t>Immigration Advice and Application Assistance Scheme</w:t>
      </w:r>
      <w:r w:rsidR="002373DE">
        <w:rPr>
          <w:lang w:eastAsia="en-CA"/>
        </w:rPr>
        <w:t xml:space="preserve"> (IAAAS) and </w:t>
      </w:r>
      <w:r w:rsidR="006462B2">
        <w:rPr>
          <w:lang w:eastAsia="en-CA"/>
        </w:rPr>
        <w:t xml:space="preserve">applied to the </w:t>
      </w:r>
      <w:r w:rsidR="00A43F1B">
        <w:rPr>
          <w:lang w:eastAsia="en-CA"/>
        </w:rPr>
        <w:t xml:space="preserve">then </w:t>
      </w:r>
      <w:r w:rsidR="006462B2">
        <w:rPr>
          <w:lang w:eastAsia="en-CA"/>
        </w:rPr>
        <w:t>Department of Immigration and Citizenship</w:t>
      </w:r>
      <w:r w:rsidR="00A43F1B">
        <w:rPr>
          <w:rStyle w:val="FootnoteReference"/>
          <w:lang w:eastAsia="en-CA"/>
        </w:rPr>
        <w:footnoteReference w:id="4"/>
      </w:r>
      <w:r w:rsidR="002373DE">
        <w:rPr>
          <w:lang w:eastAsia="en-CA"/>
        </w:rPr>
        <w:t xml:space="preserve"> </w:t>
      </w:r>
      <w:r w:rsidR="00735536">
        <w:rPr>
          <w:lang w:eastAsia="en-CA"/>
        </w:rPr>
        <w:t xml:space="preserve">for a protection visa. </w:t>
      </w:r>
      <w:r w:rsidR="002373DE">
        <w:rPr>
          <w:lang w:eastAsia="en-CA"/>
        </w:rPr>
        <w:t xml:space="preserve">On 1 June 2012, he participated in a protection visa interview at Scherger </w:t>
      </w:r>
      <w:r w:rsidR="00A37A8C">
        <w:rPr>
          <w:lang w:eastAsia="en-CA"/>
        </w:rPr>
        <w:t xml:space="preserve">Immigration Detention </w:t>
      </w:r>
      <w:r w:rsidR="002F53E6">
        <w:rPr>
          <w:lang w:eastAsia="en-CA"/>
        </w:rPr>
        <w:t>Centre</w:t>
      </w:r>
      <w:r w:rsidR="00A37A8C">
        <w:rPr>
          <w:lang w:eastAsia="en-CA"/>
        </w:rPr>
        <w:t xml:space="preserve">. </w:t>
      </w:r>
      <w:r w:rsidR="002F53E6">
        <w:rPr>
          <w:lang w:eastAsia="en-CA"/>
        </w:rPr>
        <w:t>D</w:t>
      </w:r>
      <w:r w:rsidR="00973EC1">
        <w:rPr>
          <w:lang w:eastAsia="en-CA"/>
        </w:rPr>
        <w:t xml:space="preserve">uring </w:t>
      </w:r>
      <w:r w:rsidR="002F53E6">
        <w:rPr>
          <w:lang w:eastAsia="en-CA"/>
        </w:rPr>
        <w:t xml:space="preserve">the </w:t>
      </w:r>
      <w:r w:rsidR="00973EC1">
        <w:rPr>
          <w:lang w:eastAsia="en-CA"/>
        </w:rPr>
        <w:t xml:space="preserve">interview he </w:t>
      </w:r>
      <w:r w:rsidR="002F53E6">
        <w:rPr>
          <w:lang w:eastAsia="en-CA"/>
        </w:rPr>
        <w:t xml:space="preserve">said that he </w:t>
      </w:r>
      <w:r w:rsidR="00973EC1">
        <w:rPr>
          <w:lang w:eastAsia="en-CA"/>
        </w:rPr>
        <w:t xml:space="preserve">was not sure if anyone else was in the area at the time </w:t>
      </w:r>
      <w:r w:rsidR="002F53E6">
        <w:rPr>
          <w:lang w:eastAsia="en-CA"/>
        </w:rPr>
        <w:t xml:space="preserve">that </w:t>
      </w:r>
      <w:r w:rsidR="00973EC1">
        <w:rPr>
          <w:lang w:eastAsia="en-CA"/>
        </w:rPr>
        <w:t xml:space="preserve">the woman was being attacked </w:t>
      </w:r>
      <w:r w:rsidR="002F53E6">
        <w:rPr>
          <w:lang w:eastAsia="en-CA"/>
        </w:rPr>
        <w:t>but he</w:t>
      </w:r>
      <w:r w:rsidR="00973EC1">
        <w:rPr>
          <w:lang w:eastAsia="en-CA"/>
        </w:rPr>
        <w:t xml:space="preserve"> did not think </w:t>
      </w:r>
      <w:r w:rsidR="00C50A7E">
        <w:rPr>
          <w:lang w:eastAsia="en-CA"/>
        </w:rPr>
        <w:t xml:space="preserve">that </w:t>
      </w:r>
      <w:r w:rsidR="00973EC1">
        <w:rPr>
          <w:lang w:eastAsia="en-CA"/>
        </w:rPr>
        <w:t xml:space="preserve">anyone else </w:t>
      </w:r>
      <w:r w:rsidR="00C50A7E">
        <w:rPr>
          <w:lang w:eastAsia="en-CA"/>
        </w:rPr>
        <w:t xml:space="preserve">had </w:t>
      </w:r>
      <w:r w:rsidR="00973EC1">
        <w:rPr>
          <w:lang w:eastAsia="en-CA"/>
        </w:rPr>
        <w:t xml:space="preserve">heard the </w:t>
      </w:r>
      <w:r w:rsidR="002F53E6">
        <w:rPr>
          <w:lang w:eastAsia="en-CA"/>
        </w:rPr>
        <w:t>woman screaming</w:t>
      </w:r>
      <w:r w:rsidR="00973EC1">
        <w:rPr>
          <w:lang w:eastAsia="en-CA"/>
        </w:rPr>
        <w:t xml:space="preserve">. He did not know what had happened to the woman who was being attacked. </w:t>
      </w:r>
      <w:r w:rsidR="00C50A7E">
        <w:rPr>
          <w:lang w:eastAsia="en-CA"/>
        </w:rPr>
        <w:t>He</w:t>
      </w:r>
      <w:r w:rsidR="000E33F3">
        <w:rPr>
          <w:lang w:eastAsia="en-CA"/>
        </w:rPr>
        <w:t xml:space="preserve"> </w:t>
      </w:r>
      <w:r w:rsidR="002F53E6">
        <w:rPr>
          <w:lang w:eastAsia="en-CA"/>
        </w:rPr>
        <w:t>stated</w:t>
      </w:r>
      <w:r w:rsidR="000E33F3">
        <w:rPr>
          <w:lang w:eastAsia="en-CA"/>
        </w:rPr>
        <w:t xml:space="preserve"> that he </w:t>
      </w:r>
      <w:r w:rsidR="002F53E6">
        <w:rPr>
          <w:lang w:eastAsia="en-CA"/>
        </w:rPr>
        <w:t>was afraid of being</w:t>
      </w:r>
      <w:r w:rsidR="000E33F3">
        <w:rPr>
          <w:lang w:eastAsia="en-CA"/>
        </w:rPr>
        <w:t xml:space="preserve"> harm</w:t>
      </w:r>
      <w:r w:rsidR="002F53E6">
        <w:rPr>
          <w:lang w:eastAsia="en-CA"/>
        </w:rPr>
        <w:t xml:space="preserve">ed </w:t>
      </w:r>
      <w:r w:rsidR="00C50A7E">
        <w:rPr>
          <w:lang w:eastAsia="en-CA"/>
        </w:rPr>
        <w:t>because</w:t>
      </w:r>
      <w:r w:rsidR="002F53E6">
        <w:rPr>
          <w:lang w:eastAsia="en-CA"/>
        </w:rPr>
        <w:t xml:space="preserve"> he was a</w:t>
      </w:r>
      <w:r w:rsidR="000E33F3">
        <w:rPr>
          <w:lang w:eastAsia="en-CA"/>
        </w:rPr>
        <w:t xml:space="preserve"> Tamil </w:t>
      </w:r>
      <w:r w:rsidR="002F53E6">
        <w:rPr>
          <w:lang w:eastAsia="en-CA"/>
        </w:rPr>
        <w:t>and belonged to</w:t>
      </w:r>
      <w:r w:rsidR="000E33F3">
        <w:rPr>
          <w:lang w:eastAsia="en-CA"/>
        </w:rPr>
        <w:t xml:space="preserve"> the particular social group of Sri Lankan Tamils</w:t>
      </w:r>
      <w:r w:rsidR="002F53E6">
        <w:rPr>
          <w:lang w:eastAsia="en-CA"/>
        </w:rPr>
        <w:t xml:space="preserve"> </w:t>
      </w:r>
      <w:r w:rsidR="000E33F3">
        <w:rPr>
          <w:lang w:eastAsia="en-CA"/>
        </w:rPr>
        <w:t xml:space="preserve">from the North or East of Sri Lanka and </w:t>
      </w:r>
      <w:r w:rsidR="00C50A7E">
        <w:rPr>
          <w:lang w:eastAsia="en-CA"/>
        </w:rPr>
        <w:t xml:space="preserve">because of </w:t>
      </w:r>
      <w:r w:rsidR="000E33F3">
        <w:rPr>
          <w:lang w:eastAsia="en-CA"/>
        </w:rPr>
        <w:t xml:space="preserve">his real and imputed political opinion </w:t>
      </w:r>
      <w:r w:rsidR="002F53E6">
        <w:rPr>
          <w:lang w:eastAsia="en-CA"/>
        </w:rPr>
        <w:t>owing to the ethnic group to which he belonged</w:t>
      </w:r>
      <w:r w:rsidR="000E33F3">
        <w:rPr>
          <w:lang w:eastAsia="en-CA"/>
        </w:rPr>
        <w:t xml:space="preserve"> and </w:t>
      </w:r>
      <w:r w:rsidR="002F53E6">
        <w:rPr>
          <w:lang w:eastAsia="en-CA"/>
        </w:rPr>
        <w:t xml:space="preserve">his </w:t>
      </w:r>
      <w:r w:rsidR="000E33F3">
        <w:rPr>
          <w:lang w:eastAsia="en-CA"/>
        </w:rPr>
        <w:t xml:space="preserve">former residence in a predominantly Tamil region. He also submitted that his fear of </w:t>
      </w:r>
      <w:r w:rsidR="002F53E6">
        <w:rPr>
          <w:lang w:eastAsia="en-CA"/>
        </w:rPr>
        <w:t xml:space="preserve">being </w:t>
      </w:r>
      <w:r w:rsidR="000E33F3">
        <w:rPr>
          <w:lang w:eastAsia="en-CA"/>
        </w:rPr>
        <w:t>harm</w:t>
      </w:r>
      <w:r w:rsidR="00A422D0">
        <w:rPr>
          <w:lang w:eastAsia="en-CA"/>
        </w:rPr>
        <w:t>ed</w:t>
      </w:r>
      <w:r w:rsidR="000E33F3">
        <w:rPr>
          <w:lang w:eastAsia="en-CA"/>
        </w:rPr>
        <w:t xml:space="preserve"> ha</w:t>
      </w:r>
      <w:r w:rsidR="002F53E6">
        <w:rPr>
          <w:lang w:eastAsia="en-CA"/>
        </w:rPr>
        <w:t>d</w:t>
      </w:r>
      <w:r w:rsidR="000E33F3">
        <w:rPr>
          <w:lang w:eastAsia="en-CA"/>
        </w:rPr>
        <w:t xml:space="preserve"> been exacerbated because he </w:t>
      </w:r>
      <w:r w:rsidR="00C50A7E">
        <w:rPr>
          <w:lang w:eastAsia="en-CA"/>
        </w:rPr>
        <w:t>was seeking</w:t>
      </w:r>
      <w:r w:rsidR="000E33F3">
        <w:rPr>
          <w:lang w:eastAsia="en-CA"/>
        </w:rPr>
        <w:t xml:space="preserve"> asylum in Australia. </w:t>
      </w:r>
    </w:p>
    <w:p w:rsidR="00142F93" w:rsidRDefault="00973EC1" w:rsidP="00D60A89">
      <w:pPr>
        <w:pStyle w:val="SingleTxtG"/>
        <w:rPr>
          <w:lang w:eastAsia="en-CA"/>
        </w:rPr>
      </w:pPr>
      <w:r>
        <w:rPr>
          <w:lang w:eastAsia="en-CA"/>
        </w:rPr>
        <w:t>2.8</w:t>
      </w:r>
      <w:r>
        <w:rPr>
          <w:lang w:eastAsia="en-CA"/>
        </w:rPr>
        <w:tab/>
      </w:r>
      <w:r w:rsidR="00500910">
        <w:rPr>
          <w:lang w:eastAsia="en-CA"/>
        </w:rPr>
        <w:t xml:space="preserve">The complainant believes that if </w:t>
      </w:r>
      <w:r w:rsidR="00EE6444">
        <w:rPr>
          <w:lang w:eastAsia="en-CA"/>
        </w:rPr>
        <w:t xml:space="preserve">he is </w:t>
      </w:r>
      <w:r w:rsidR="00500910">
        <w:rPr>
          <w:lang w:eastAsia="en-CA"/>
        </w:rPr>
        <w:t>returned to Sri Lanka, his life would be in danger because he witnessed a soldier strangling a woman. He fears that the soldiers who were looking for him will abduct and kill him to prevent him from testifying against them in court. He believes that they found his wallet and know all of his details.</w:t>
      </w:r>
      <w:r w:rsidR="006F305C">
        <w:rPr>
          <w:lang w:eastAsia="en-CA"/>
        </w:rPr>
        <w:t xml:space="preserve"> The complainant states that he tried to seek help from the </w:t>
      </w:r>
      <w:r w:rsidR="00E2245E">
        <w:rPr>
          <w:lang w:eastAsia="en-CA"/>
        </w:rPr>
        <w:t>police</w:t>
      </w:r>
      <w:r w:rsidR="006F305C">
        <w:rPr>
          <w:lang w:eastAsia="en-CA"/>
        </w:rPr>
        <w:t xml:space="preserve"> but they did not offer him any protection. He believes that the police officer </w:t>
      </w:r>
      <w:r w:rsidR="00E2245E">
        <w:rPr>
          <w:lang w:eastAsia="en-CA"/>
        </w:rPr>
        <w:t>did</w:t>
      </w:r>
      <w:r w:rsidR="006F305C">
        <w:rPr>
          <w:lang w:eastAsia="en-CA"/>
        </w:rPr>
        <w:t xml:space="preserve"> not </w:t>
      </w:r>
      <w:r w:rsidR="00E2245E">
        <w:rPr>
          <w:lang w:eastAsia="en-CA"/>
        </w:rPr>
        <w:t>pay attention</w:t>
      </w:r>
      <w:r w:rsidR="006F305C">
        <w:rPr>
          <w:lang w:eastAsia="en-CA"/>
        </w:rPr>
        <w:t xml:space="preserve"> to his account because he is a Tamil and “of no significance”</w:t>
      </w:r>
      <w:r w:rsidR="00337F47">
        <w:rPr>
          <w:lang w:eastAsia="en-CA"/>
        </w:rPr>
        <w:t xml:space="preserve"> and</w:t>
      </w:r>
      <w:r w:rsidR="006F305C">
        <w:rPr>
          <w:lang w:eastAsia="en-CA"/>
        </w:rPr>
        <w:t xml:space="preserve"> that the police knew the soldiers and were covering up for them. </w:t>
      </w:r>
      <w:r w:rsidR="00142F93">
        <w:rPr>
          <w:lang w:eastAsia="en-CA"/>
        </w:rPr>
        <w:t xml:space="preserve">Consequently, he does not believe that the </w:t>
      </w:r>
      <w:r w:rsidR="00EE6444">
        <w:rPr>
          <w:lang w:eastAsia="en-CA"/>
        </w:rPr>
        <w:t>G</w:t>
      </w:r>
      <w:r w:rsidR="00142F93">
        <w:rPr>
          <w:lang w:eastAsia="en-CA"/>
        </w:rPr>
        <w:t xml:space="preserve">overnment will </w:t>
      </w:r>
      <w:r w:rsidR="00EE6444">
        <w:rPr>
          <w:lang w:eastAsia="en-CA"/>
        </w:rPr>
        <w:t>provide</w:t>
      </w:r>
      <w:r w:rsidR="00142F93">
        <w:rPr>
          <w:lang w:eastAsia="en-CA"/>
        </w:rPr>
        <w:t xml:space="preserve"> him </w:t>
      </w:r>
      <w:r w:rsidR="00EE6444">
        <w:rPr>
          <w:lang w:eastAsia="en-CA"/>
        </w:rPr>
        <w:t xml:space="preserve">with </w:t>
      </w:r>
      <w:r w:rsidR="00142F93">
        <w:rPr>
          <w:lang w:eastAsia="en-CA"/>
        </w:rPr>
        <w:t>any protection if he return</w:t>
      </w:r>
      <w:r w:rsidR="00EE6444">
        <w:rPr>
          <w:lang w:eastAsia="en-CA"/>
        </w:rPr>
        <w:t>ed</w:t>
      </w:r>
      <w:r w:rsidR="00142F93">
        <w:rPr>
          <w:lang w:eastAsia="en-CA"/>
        </w:rPr>
        <w:t xml:space="preserve"> to Sri Lanka now. </w:t>
      </w:r>
    </w:p>
    <w:p w:rsidR="00142F93" w:rsidRDefault="00973EC1" w:rsidP="00D60A89">
      <w:pPr>
        <w:pStyle w:val="SingleTxtG"/>
        <w:rPr>
          <w:lang w:eastAsia="en-CA"/>
        </w:rPr>
      </w:pPr>
      <w:r>
        <w:rPr>
          <w:lang w:eastAsia="en-CA"/>
        </w:rPr>
        <w:t>2.9</w:t>
      </w:r>
      <w:r>
        <w:rPr>
          <w:lang w:eastAsia="en-CA"/>
        </w:rPr>
        <w:tab/>
      </w:r>
      <w:r w:rsidR="00142F93">
        <w:rPr>
          <w:lang w:eastAsia="en-CA"/>
        </w:rPr>
        <w:t xml:space="preserve">The complainant submits that after he left Sri Lanka, officials from the Sri Lanka Criminal Investigation Department </w:t>
      </w:r>
      <w:r w:rsidR="00EE6444">
        <w:rPr>
          <w:lang w:eastAsia="en-CA"/>
        </w:rPr>
        <w:t>had gone</w:t>
      </w:r>
      <w:r w:rsidR="00142F93">
        <w:rPr>
          <w:lang w:eastAsia="en-CA"/>
        </w:rPr>
        <w:t xml:space="preserve"> to his house looking for him. His family told the</w:t>
      </w:r>
      <w:r w:rsidR="00EE6444">
        <w:rPr>
          <w:lang w:eastAsia="en-CA"/>
        </w:rPr>
        <w:t>m</w:t>
      </w:r>
      <w:r w:rsidR="00142F93">
        <w:rPr>
          <w:lang w:eastAsia="en-CA"/>
        </w:rPr>
        <w:t xml:space="preserve"> that he had travelled to Australia. </w:t>
      </w:r>
      <w:r w:rsidR="00EE6444">
        <w:rPr>
          <w:lang w:eastAsia="en-CA"/>
        </w:rPr>
        <w:t>He</w:t>
      </w:r>
      <w:r w:rsidR="00142F93">
        <w:rPr>
          <w:lang w:eastAsia="en-CA"/>
        </w:rPr>
        <w:t xml:space="preserve"> does not know why the </w:t>
      </w:r>
      <w:r w:rsidR="00EE6444">
        <w:rPr>
          <w:lang w:eastAsia="en-CA"/>
        </w:rPr>
        <w:t>Criminal Investigation Department</w:t>
      </w:r>
      <w:r w:rsidR="00142F93">
        <w:rPr>
          <w:lang w:eastAsia="en-CA"/>
        </w:rPr>
        <w:t xml:space="preserve"> wa</w:t>
      </w:r>
      <w:r w:rsidR="00EE6444">
        <w:rPr>
          <w:lang w:eastAsia="en-CA"/>
        </w:rPr>
        <w:t>nted</w:t>
      </w:r>
      <w:r w:rsidR="00142F93">
        <w:rPr>
          <w:lang w:eastAsia="en-CA"/>
        </w:rPr>
        <w:t xml:space="preserve"> to speak to him. He suggests, however, that the soldiers who were looking for him </w:t>
      </w:r>
      <w:r w:rsidR="00F75D44">
        <w:rPr>
          <w:lang w:eastAsia="en-CA"/>
        </w:rPr>
        <w:t xml:space="preserve">may </w:t>
      </w:r>
      <w:r w:rsidR="00142F93">
        <w:rPr>
          <w:lang w:eastAsia="en-CA"/>
        </w:rPr>
        <w:t>ha</w:t>
      </w:r>
      <w:r w:rsidR="00317905">
        <w:rPr>
          <w:lang w:eastAsia="en-CA"/>
        </w:rPr>
        <w:t xml:space="preserve">ve </w:t>
      </w:r>
      <w:r w:rsidR="00142F93">
        <w:rPr>
          <w:lang w:eastAsia="en-CA"/>
        </w:rPr>
        <w:t>framed him for the assault or murder of the woman</w:t>
      </w:r>
      <w:r w:rsidR="00F75D44">
        <w:rPr>
          <w:lang w:eastAsia="en-CA"/>
        </w:rPr>
        <w:t xml:space="preserve"> </w:t>
      </w:r>
      <w:r w:rsidR="00142F93">
        <w:rPr>
          <w:lang w:eastAsia="en-CA"/>
        </w:rPr>
        <w:t xml:space="preserve">and the </w:t>
      </w:r>
      <w:r w:rsidR="00EE6444">
        <w:rPr>
          <w:lang w:eastAsia="en-CA"/>
        </w:rPr>
        <w:t>Department</w:t>
      </w:r>
      <w:r w:rsidR="00142F93">
        <w:rPr>
          <w:lang w:eastAsia="en-CA"/>
        </w:rPr>
        <w:t xml:space="preserve"> was investigating</w:t>
      </w:r>
      <w:r w:rsidR="00F75D44">
        <w:rPr>
          <w:lang w:eastAsia="en-CA"/>
        </w:rPr>
        <w:t xml:space="preserve"> his involvement.</w:t>
      </w:r>
      <w:r w:rsidR="00142F93">
        <w:rPr>
          <w:lang w:eastAsia="en-CA"/>
        </w:rPr>
        <w:t xml:space="preserve"> </w:t>
      </w:r>
    </w:p>
    <w:p w:rsidR="001C66A1" w:rsidRDefault="00973EC1" w:rsidP="00D60A89">
      <w:pPr>
        <w:pStyle w:val="SingleTxtG"/>
        <w:rPr>
          <w:lang w:eastAsia="en-CA"/>
        </w:rPr>
      </w:pPr>
      <w:r>
        <w:rPr>
          <w:lang w:eastAsia="en-CA"/>
        </w:rPr>
        <w:t>2.10</w:t>
      </w:r>
      <w:r>
        <w:rPr>
          <w:lang w:eastAsia="en-CA"/>
        </w:rPr>
        <w:tab/>
      </w:r>
      <w:r w:rsidR="00142F93">
        <w:rPr>
          <w:lang w:eastAsia="en-CA"/>
        </w:rPr>
        <w:t xml:space="preserve">The </w:t>
      </w:r>
      <w:r w:rsidR="008C1D34">
        <w:rPr>
          <w:lang w:eastAsia="en-CA"/>
        </w:rPr>
        <w:t>complainant refer</w:t>
      </w:r>
      <w:r w:rsidR="00D00AEB">
        <w:rPr>
          <w:lang w:eastAsia="en-CA"/>
        </w:rPr>
        <w:t>red</w:t>
      </w:r>
      <w:r w:rsidR="008C1D34">
        <w:rPr>
          <w:lang w:eastAsia="en-CA"/>
        </w:rPr>
        <w:t xml:space="preserve"> to an article published on 2 April 2012 on </w:t>
      </w:r>
      <w:r w:rsidR="00D00AEB">
        <w:rPr>
          <w:lang w:eastAsia="en-CA"/>
        </w:rPr>
        <w:t>a</w:t>
      </w:r>
      <w:r w:rsidR="008C1D34">
        <w:rPr>
          <w:lang w:eastAsia="en-CA"/>
        </w:rPr>
        <w:t xml:space="preserve"> Tamil news website, according to which</w:t>
      </w:r>
      <w:r w:rsidR="00D00AEB">
        <w:rPr>
          <w:lang w:eastAsia="en-CA"/>
        </w:rPr>
        <w:t>,</w:t>
      </w:r>
      <w:r w:rsidR="008C1D34">
        <w:rPr>
          <w:lang w:eastAsia="en-CA"/>
        </w:rPr>
        <w:t xml:space="preserve"> the </w:t>
      </w:r>
      <w:r w:rsidR="00EE6444">
        <w:rPr>
          <w:lang w:eastAsia="en-CA"/>
        </w:rPr>
        <w:t>G</w:t>
      </w:r>
      <w:r w:rsidR="008C1D34">
        <w:rPr>
          <w:lang w:eastAsia="en-CA"/>
        </w:rPr>
        <w:t>overnment</w:t>
      </w:r>
      <w:r w:rsidR="00EE6444">
        <w:rPr>
          <w:lang w:eastAsia="en-CA"/>
        </w:rPr>
        <w:t xml:space="preserve"> of Sri Lanka</w:t>
      </w:r>
      <w:r w:rsidR="008C1D34">
        <w:rPr>
          <w:lang w:eastAsia="en-CA"/>
        </w:rPr>
        <w:t xml:space="preserve"> had declared that everyone on the boat </w:t>
      </w:r>
      <w:r w:rsidR="00F75D44">
        <w:rPr>
          <w:lang w:eastAsia="en-CA"/>
        </w:rPr>
        <w:t>in which</w:t>
      </w:r>
      <w:r w:rsidR="008C1D34">
        <w:rPr>
          <w:lang w:eastAsia="en-CA"/>
        </w:rPr>
        <w:t xml:space="preserve"> he </w:t>
      </w:r>
      <w:r w:rsidR="00EE6444">
        <w:rPr>
          <w:lang w:eastAsia="en-CA"/>
        </w:rPr>
        <w:t xml:space="preserve">had </w:t>
      </w:r>
      <w:r w:rsidR="008C1D34">
        <w:rPr>
          <w:lang w:eastAsia="en-CA"/>
        </w:rPr>
        <w:t>travelled to Australia had fought with the Liberation Tigers of Tamil Eelam (LTTE). He fears that the police in Sri Lanka will arrest him if he returns because</w:t>
      </w:r>
      <w:r w:rsidR="00EE6444">
        <w:rPr>
          <w:lang w:eastAsia="en-CA"/>
        </w:rPr>
        <w:t xml:space="preserve"> he is</w:t>
      </w:r>
      <w:r w:rsidR="00F75D44">
        <w:rPr>
          <w:lang w:eastAsia="en-CA"/>
        </w:rPr>
        <w:t xml:space="preserve"> a young Tamil</w:t>
      </w:r>
      <w:r w:rsidR="00EE6444">
        <w:rPr>
          <w:lang w:eastAsia="en-CA"/>
        </w:rPr>
        <w:t xml:space="preserve"> and</w:t>
      </w:r>
      <w:r w:rsidR="008C1D34">
        <w:rPr>
          <w:lang w:eastAsia="en-CA"/>
        </w:rPr>
        <w:t xml:space="preserve"> they would suspect </w:t>
      </w:r>
      <w:r w:rsidR="00F75D44">
        <w:rPr>
          <w:lang w:eastAsia="en-CA"/>
        </w:rPr>
        <w:t xml:space="preserve">him of having </w:t>
      </w:r>
      <w:r w:rsidR="008C1D34">
        <w:rPr>
          <w:lang w:eastAsia="en-CA"/>
        </w:rPr>
        <w:t>links with LTTE</w:t>
      </w:r>
      <w:r w:rsidR="00F75D44">
        <w:rPr>
          <w:lang w:eastAsia="en-CA"/>
        </w:rPr>
        <w:t>.</w:t>
      </w:r>
      <w:r w:rsidR="008C1D34">
        <w:rPr>
          <w:lang w:eastAsia="en-CA"/>
        </w:rPr>
        <w:t xml:space="preserve"> He is also concerned that he will come to their attention because he left Sri Lanka illegally. The complainant does not believe that he could defend himself against th</w:t>
      </w:r>
      <w:r w:rsidR="00D00AEB">
        <w:rPr>
          <w:lang w:eastAsia="en-CA"/>
        </w:rPr>
        <w:t>o</w:t>
      </w:r>
      <w:r w:rsidR="008C1D34">
        <w:rPr>
          <w:lang w:eastAsia="en-CA"/>
        </w:rPr>
        <w:t>se allegations and fears that he would be seriously mistreated as a consequence.</w:t>
      </w:r>
    </w:p>
    <w:p w:rsidR="001F677C" w:rsidRDefault="00973EC1" w:rsidP="00D60A89">
      <w:pPr>
        <w:pStyle w:val="SingleTxtG"/>
        <w:rPr>
          <w:lang w:eastAsia="en-CA"/>
        </w:rPr>
      </w:pPr>
      <w:r>
        <w:rPr>
          <w:lang w:eastAsia="en-CA"/>
        </w:rPr>
        <w:t>2.11</w:t>
      </w:r>
      <w:r>
        <w:rPr>
          <w:lang w:eastAsia="en-CA"/>
        </w:rPr>
        <w:tab/>
      </w:r>
      <w:r w:rsidR="00102164">
        <w:rPr>
          <w:lang w:eastAsia="en-CA"/>
        </w:rPr>
        <w:t xml:space="preserve">On 31 August 2012, the </w:t>
      </w:r>
      <w:r w:rsidR="00C47F11">
        <w:rPr>
          <w:lang w:eastAsia="en-CA"/>
        </w:rPr>
        <w:t>Department of Immigration and Citizenship</w:t>
      </w:r>
      <w:r w:rsidR="00102164">
        <w:rPr>
          <w:lang w:eastAsia="en-CA"/>
        </w:rPr>
        <w:t xml:space="preserve"> refused to grant </w:t>
      </w:r>
      <w:r w:rsidR="001C66A1">
        <w:rPr>
          <w:lang w:eastAsia="en-CA"/>
        </w:rPr>
        <w:t xml:space="preserve">the </w:t>
      </w:r>
      <w:r w:rsidR="001C66A1" w:rsidRPr="00B076FA">
        <w:rPr>
          <w:lang w:eastAsia="en-CA"/>
        </w:rPr>
        <w:t xml:space="preserve">complainant a </w:t>
      </w:r>
      <w:r w:rsidR="00102164" w:rsidRPr="00B076FA">
        <w:rPr>
          <w:lang w:eastAsia="en-CA"/>
        </w:rPr>
        <w:t xml:space="preserve">protection visa on the grounds </w:t>
      </w:r>
      <w:r w:rsidR="001C66A1" w:rsidRPr="00B076FA">
        <w:rPr>
          <w:lang w:eastAsia="en-CA"/>
        </w:rPr>
        <w:t xml:space="preserve">that his statements lacked </w:t>
      </w:r>
      <w:r w:rsidR="00102164" w:rsidRPr="00B076FA">
        <w:rPr>
          <w:lang w:eastAsia="en-CA"/>
        </w:rPr>
        <w:t>credibility</w:t>
      </w:r>
      <w:r w:rsidR="003410BA">
        <w:rPr>
          <w:lang w:eastAsia="en-CA"/>
        </w:rPr>
        <w:t xml:space="preserve"> and his</w:t>
      </w:r>
      <w:r w:rsidR="0091478F" w:rsidRPr="00B076FA">
        <w:rPr>
          <w:lang w:eastAsia="en-CA"/>
        </w:rPr>
        <w:t xml:space="preserve"> fear of persecution w</w:t>
      </w:r>
      <w:r w:rsidR="003410BA">
        <w:rPr>
          <w:lang w:eastAsia="en-CA"/>
        </w:rPr>
        <w:t>as</w:t>
      </w:r>
      <w:r w:rsidR="0091478F" w:rsidRPr="00B076FA">
        <w:rPr>
          <w:lang w:eastAsia="en-CA"/>
        </w:rPr>
        <w:t xml:space="preserve"> not well-f</w:t>
      </w:r>
      <w:r w:rsidR="00102164" w:rsidRPr="00B076FA">
        <w:rPr>
          <w:lang w:eastAsia="en-CA"/>
        </w:rPr>
        <w:t>ounded. On 2</w:t>
      </w:r>
      <w:r w:rsidR="006462B2" w:rsidRPr="00B076FA">
        <w:rPr>
          <w:lang w:eastAsia="en-CA"/>
        </w:rPr>
        <w:t xml:space="preserve">0 </w:t>
      </w:r>
      <w:r w:rsidR="00102164" w:rsidRPr="00B076FA">
        <w:rPr>
          <w:lang w:eastAsia="en-CA"/>
        </w:rPr>
        <w:t xml:space="preserve">December 2012, the </w:t>
      </w:r>
      <w:r w:rsidR="003410BA">
        <w:rPr>
          <w:lang w:eastAsia="en-CA"/>
        </w:rPr>
        <w:t xml:space="preserve">Refugee Review Tribunal </w:t>
      </w:r>
      <w:r w:rsidR="00102164" w:rsidRPr="00B076FA">
        <w:rPr>
          <w:lang w:eastAsia="en-CA"/>
        </w:rPr>
        <w:t>confirmed the decision. On 2</w:t>
      </w:r>
      <w:r w:rsidR="00863AF7" w:rsidRPr="00B076FA">
        <w:rPr>
          <w:lang w:eastAsia="en-CA"/>
        </w:rPr>
        <w:t>3 January</w:t>
      </w:r>
      <w:r w:rsidR="00102164" w:rsidRPr="00B076FA">
        <w:rPr>
          <w:lang w:eastAsia="en-CA"/>
        </w:rPr>
        <w:t xml:space="preserve"> 2013, the complainant</w:t>
      </w:r>
      <w:r w:rsidR="00863AF7" w:rsidRPr="00B076FA">
        <w:rPr>
          <w:lang w:eastAsia="en-CA"/>
        </w:rPr>
        <w:t xml:space="preserve"> filed </w:t>
      </w:r>
      <w:r w:rsidR="00102164" w:rsidRPr="00B076FA">
        <w:rPr>
          <w:lang w:eastAsia="en-CA"/>
        </w:rPr>
        <w:t xml:space="preserve">an application </w:t>
      </w:r>
      <w:r w:rsidR="0048495B">
        <w:rPr>
          <w:lang w:eastAsia="en-CA"/>
        </w:rPr>
        <w:t xml:space="preserve">for review </w:t>
      </w:r>
      <w:r w:rsidR="00863AF7" w:rsidRPr="00B076FA">
        <w:rPr>
          <w:lang w:eastAsia="en-CA"/>
        </w:rPr>
        <w:t>with the Federal Circuit Court of Australia</w:t>
      </w:r>
      <w:r w:rsidR="002C5E94">
        <w:rPr>
          <w:lang w:eastAsia="en-CA"/>
        </w:rPr>
        <w:t>,</w:t>
      </w:r>
      <w:r w:rsidR="0048495B">
        <w:rPr>
          <w:lang w:eastAsia="en-CA"/>
        </w:rPr>
        <w:t xml:space="preserve"> which was rejected o</w:t>
      </w:r>
      <w:r w:rsidR="00102164" w:rsidRPr="00B076FA">
        <w:rPr>
          <w:lang w:eastAsia="en-CA"/>
        </w:rPr>
        <w:t xml:space="preserve">n 28 August 2013. </w:t>
      </w:r>
      <w:r w:rsidR="00D27C39" w:rsidRPr="00B076FA">
        <w:rPr>
          <w:lang w:eastAsia="en-CA"/>
        </w:rPr>
        <w:t>On 5 December 2013, the complainant’s application for leave to appeal the decision of the Federal Circuit Court</w:t>
      </w:r>
      <w:r w:rsidR="00D27C39">
        <w:rPr>
          <w:lang w:eastAsia="en-CA"/>
        </w:rPr>
        <w:t xml:space="preserve"> </w:t>
      </w:r>
      <w:r w:rsidR="005E1FEB">
        <w:rPr>
          <w:lang w:eastAsia="en-CA"/>
        </w:rPr>
        <w:t>before</w:t>
      </w:r>
      <w:r w:rsidR="00D27C39">
        <w:rPr>
          <w:lang w:eastAsia="en-CA"/>
        </w:rPr>
        <w:t xml:space="preserve"> the Federal Court of Australia was also dismissed. </w:t>
      </w:r>
      <w:r w:rsidR="00102164">
        <w:rPr>
          <w:lang w:eastAsia="en-CA"/>
        </w:rPr>
        <w:t>On 15 December 2013, the complainant requested the Minister for Immigration and Border Protection to exercise his public interest power</w:t>
      </w:r>
      <w:r w:rsidR="002C5E94">
        <w:rPr>
          <w:lang w:eastAsia="en-CA"/>
        </w:rPr>
        <w:t>s</w:t>
      </w:r>
      <w:r w:rsidR="00102164">
        <w:rPr>
          <w:lang w:eastAsia="en-CA"/>
        </w:rPr>
        <w:t xml:space="preserve"> under section 417 of the Migration Act. On </w:t>
      </w:r>
      <w:r w:rsidR="00B076FA">
        <w:rPr>
          <w:lang w:eastAsia="en-CA"/>
        </w:rPr>
        <w:t xml:space="preserve">25 February 2014 and 16 March 2014, respectively, </w:t>
      </w:r>
      <w:r w:rsidR="00102164">
        <w:rPr>
          <w:lang w:eastAsia="en-CA"/>
        </w:rPr>
        <w:t xml:space="preserve">the Minister’s office declined to </w:t>
      </w:r>
      <w:r w:rsidR="00102164">
        <w:rPr>
          <w:lang w:eastAsia="en-CA"/>
        </w:rPr>
        <w:lastRenderedPageBreak/>
        <w:t xml:space="preserve">intervene. </w:t>
      </w:r>
      <w:r w:rsidR="00102164" w:rsidRPr="007471E1">
        <w:rPr>
          <w:lang w:eastAsia="en-CA"/>
        </w:rPr>
        <w:t xml:space="preserve">The complainant therefore submits that he has exhausted all available and effective domestic remedies. </w:t>
      </w:r>
    </w:p>
    <w:p w:rsidR="001F677C" w:rsidRDefault="004A7E15" w:rsidP="00D60A89">
      <w:pPr>
        <w:pStyle w:val="H23G"/>
      </w:pPr>
      <w:r>
        <w:rPr>
          <w:b w:val="0"/>
        </w:rPr>
        <w:tab/>
      </w:r>
      <w:r>
        <w:rPr>
          <w:b w:val="0"/>
        </w:rPr>
        <w:tab/>
      </w:r>
      <w:r w:rsidR="00102164" w:rsidRPr="005E1FEB">
        <w:t>The complaint</w:t>
      </w:r>
    </w:p>
    <w:p w:rsidR="00102164" w:rsidRPr="001F677C" w:rsidRDefault="001F677C" w:rsidP="00D60A89">
      <w:pPr>
        <w:pStyle w:val="SingleTxtG"/>
        <w:rPr>
          <w:lang w:eastAsia="en-CA"/>
        </w:rPr>
      </w:pPr>
      <w:r w:rsidRPr="001F677C">
        <w:t>3</w:t>
      </w:r>
      <w:r w:rsidR="00102164" w:rsidRPr="001F677C">
        <w:rPr>
          <w:lang w:eastAsia="en-CA"/>
        </w:rPr>
        <w:t>.</w:t>
      </w:r>
      <w:r w:rsidR="00102164" w:rsidRPr="001F677C">
        <w:rPr>
          <w:lang w:eastAsia="en-CA"/>
        </w:rPr>
        <w:tab/>
        <w:t>The</w:t>
      </w:r>
      <w:r w:rsidR="00102164">
        <w:rPr>
          <w:lang w:eastAsia="en-CA"/>
        </w:rPr>
        <w:t xml:space="preserve"> complainant claims that there are substantial grounds for believing that he w</w:t>
      </w:r>
      <w:r w:rsidR="00DC0167">
        <w:rPr>
          <w:lang w:eastAsia="en-CA"/>
        </w:rPr>
        <w:t xml:space="preserve">ill </w:t>
      </w:r>
      <w:r>
        <w:rPr>
          <w:lang w:eastAsia="en-CA"/>
        </w:rPr>
        <w:t xml:space="preserve">suffer irreparable harm </w:t>
      </w:r>
      <w:r w:rsidR="00102164">
        <w:rPr>
          <w:lang w:eastAsia="en-CA"/>
        </w:rPr>
        <w:t xml:space="preserve">if </w:t>
      </w:r>
      <w:r w:rsidR="00F62D2D">
        <w:rPr>
          <w:lang w:eastAsia="en-CA"/>
        </w:rPr>
        <w:t>deported</w:t>
      </w:r>
      <w:r w:rsidR="00102164">
        <w:rPr>
          <w:lang w:eastAsia="en-CA"/>
        </w:rPr>
        <w:t xml:space="preserve"> to Sri Lanka. </w:t>
      </w:r>
      <w:r w:rsidR="00DC0167">
        <w:rPr>
          <w:lang w:eastAsia="en-CA"/>
        </w:rPr>
        <w:t xml:space="preserve">He states that, as a consequence of </w:t>
      </w:r>
      <w:r w:rsidR="005E1FEB">
        <w:rPr>
          <w:lang w:eastAsia="en-CA"/>
        </w:rPr>
        <w:t xml:space="preserve">his </w:t>
      </w:r>
      <w:r w:rsidR="00DC0167">
        <w:rPr>
          <w:lang w:eastAsia="en-CA"/>
        </w:rPr>
        <w:t xml:space="preserve">complaining to </w:t>
      </w:r>
      <w:r w:rsidR="005E1FEB">
        <w:rPr>
          <w:lang w:eastAsia="en-CA"/>
        </w:rPr>
        <w:t xml:space="preserve">the </w:t>
      </w:r>
      <w:r w:rsidR="00DC0167">
        <w:rPr>
          <w:lang w:eastAsia="en-CA"/>
        </w:rPr>
        <w:t xml:space="preserve">Sri Lankan police about </w:t>
      </w:r>
      <w:r w:rsidR="005E1FEB">
        <w:rPr>
          <w:lang w:eastAsia="en-CA"/>
        </w:rPr>
        <w:t>the</w:t>
      </w:r>
      <w:r w:rsidR="00DC0167">
        <w:rPr>
          <w:lang w:eastAsia="en-CA"/>
        </w:rPr>
        <w:t xml:space="preserve"> woman being strangled</w:t>
      </w:r>
      <w:r w:rsidR="005E1FEB">
        <w:rPr>
          <w:lang w:eastAsia="en-CA"/>
        </w:rPr>
        <w:t xml:space="preserve"> by soldiers</w:t>
      </w:r>
      <w:r w:rsidR="00DC0167">
        <w:rPr>
          <w:lang w:eastAsia="en-CA"/>
        </w:rPr>
        <w:t xml:space="preserve">, the </w:t>
      </w:r>
      <w:r w:rsidR="00F62D2D">
        <w:rPr>
          <w:lang w:eastAsia="en-CA"/>
        </w:rPr>
        <w:t xml:space="preserve">military intelligence of Sri Lanka </w:t>
      </w:r>
      <w:r w:rsidR="005E1FEB">
        <w:rPr>
          <w:lang w:eastAsia="en-CA"/>
        </w:rPr>
        <w:t xml:space="preserve">is </w:t>
      </w:r>
      <w:r w:rsidR="00F62D2D">
        <w:rPr>
          <w:lang w:eastAsia="en-CA"/>
        </w:rPr>
        <w:t>demand</w:t>
      </w:r>
      <w:r w:rsidR="005E1FEB">
        <w:rPr>
          <w:lang w:eastAsia="en-CA"/>
        </w:rPr>
        <w:t>ing</w:t>
      </w:r>
      <w:r w:rsidR="00F62D2D">
        <w:rPr>
          <w:lang w:eastAsia="en-CA"/>
        </w:rPr>
        <w:t xml:space="preserve"> his return</w:t>
      </w:r>
      <w:r w:rsidR="005E1FEB">
        <w:rPr>
          <w:lang w:eastAsia="en-CA"/>
        </w:rPr>
        <w:t>. H</w:t>
      </w:r>
      <w:r w:rsidR="00F62D2D">
        <w:rPr>
          <w:lang w:eastAsia="en-CA"/>
        </w:rPr>
        <w:t xml:space="preserve">e </w:t>
      </w:r>
      <w:r w:rsidR="00D00AEB">
        <w:rPr>
          <w:lang w:eastAsia="en-CA"/>
        </w:rPr>
        <w:t xml:space="preserve">also </w:t>
      </w:r>
      <w:r w:rsidR="005E1FEB">
        <w:rPr>
          <w:lang w:eastAsia="en-CA"/>
        </w:rPr>
        <w:t xml:space="preserve">states that he </w:t>
      </w:r>
      <w:r w:rsidR="00F62D2D">
        <w:rPr>
          <w:lang w:eastAsia="en-CA"/>
        </w:rPr>
        <w:t xml:space="preserve">has “no hope of survival in Sri Lanka” if returned. The complainant argues that, since he left Sri Lanka illegally by boat, </w:t>
      </w:r>
      <w:r w:rsidR="005E1FEB">
        <w:rPr>
          <w:lang w:eastAsia="en-CA"/>
        </w:rPr>
        <w:t xml:space="preserve">if he is returned, </w:t>
      </w:r>
      <w:r w:rsidR="00F62D2D">
        <w:rPr>
          <w:lang w:eastAsia="en-CA"/>
        </w:rPr>
        <w:t xml:space="preserve">he will be taken to Negombo prison for interrogation and </w:t>
      </w:r>
      <w:r w:rsidR="0048495B">
        <w:rPr>
          <w:lang w:eastAsia="en-CA"/>
        </w:rPr>
        <w:t xml:space="preserve">subjected to </w:t>
      </w:r>
      <w:r w:rsidR="00F62D2D">
        <w:rPr>
          <w:lang w:eastAsia="en-CA"/>
        </w:rPr>
        <w:t>torture.</w:t>
      </w:r>
      <w:r w:rsidR="004A7E15">
        <w:rPr>
          <w:lang w:eastAsia="en-CA"/>
        </w:rPr>
        <w:t xml:space="preserve"> </w:t>
      </w:r>
    </w:p>
    <w:p w:rsidR="00102164" w:rsidRDefault="004A7E15" w:rsidP="00D60A89">
      <w:pPr>
        <w:pStyle w:val="H23G"/>
      </w:pPr>
      <w:r>
        <w:tab/>
      </w:r>
      <w:r>
        <w:tab/>
      </w:r>
      <w:r w:rsidR="00C358F6">
        <w:t xml:space="preserve">State party’s observations on admissibility and </w:t>
      </w:r>
      <w:r w:rsidR="00E760E8">
        <w:t xml:space="preserve">the </w:t>
      </w:r>
      <w:r w:rsidR="00C358F6">
        <w:t>merits</w:t>
      </w:r>
    </w:p>
    <w:p w:rsidR="00C358F6" w:rsidRDefault="00C358F6" w:rsidP="00D60A89">
      <w:pPr>
        <w:pStyle w:val="SingleTxtG"/>
        <w:rPr>
          <w:lang w:eastAsia="en-CA"/>
        </w:rPr>
      </w:pPr>
      <w:r>
        <w:rPr>
          <w:lang w:eastAsia="en-CA"/>
        </w:rPr>
        <w:t>4.1</w:t>
      </w:r>
      <w:r>
        <w:rPr>
          <w:lang w:eastAsia="en-CA"/>
        </w:rPr>
        <w:tab/>
        <w:t xml:space="preserve">On 7 November 2014, the State party submitted its observations on the admissibility and merits of the </w:t>
      </w:r>
      <w:r w:rsidRPr="00630A16">
        <w:rPr>
          <w:lang w:eastAsia="en-CA"/>
        </w:rPr>
        <w:t>complaint. It asserts that the complainant’s</w:t>
      </w:r>
      <w:r w:rsidR="00965456" w:rsidRPr="00630A16">
        <w:rPr>
          <w:lang w:eastAsia="en-CA"/>
        </w:rPr>
        <w:t xml:space="preserve"> claims </w:t>
      </w:r>
      <w:r w:rsidRPr="00630A16">
        <w:rPr>
          <w:lang w:eastAsia="en-CA"/>
        </w:rPr>
        <w:t>are manifestly unfounded and therefore inadmissible</w:t>
      </w:r>
      <w:r w:rsidR="00965456" w:rsidRPr="00630A16">
        <w:rPr>
          <w:lang w:eastAsia="en-CA"/>
        </w:rPr>
        <w:t xml:space="preserve"> </w:t>
      </w:r>
      <w:r w:rsidR="00E760E8">
        <w:rPr>
          <w:lang w:eastAsia="en-CA"/>
        </w:rPr>
        <w:t>under</w:t>
      </w:r>
      <w:r w:rsidR="00965456" w:rsidRPr="00630A16">
        <w:rPr>
          <w:lang w:eastAsia="en-CA"/>
        </w:rPr>
        <w:t xml:space="preserve"> rule 113</w:t>
      </w:r>
      <w:r w:rsidR="00337F47">
        <w:rPr>
          <w:lang w:eastAsia="en-CA"/>
        </w:rPr>
        <w:t xml:space="preserve"> </w:t>
      </w:r>
      <w:r w:rsidR="00965456" w:rsidRPr="00630A16">
        <w:rPr>
          <w:lang w:eastAsia="en-CA"/>
        </w:rPr>
        <w:t xml:space="preserve">(b) of the Committee’s rules of procedure, as he failed to establish a </w:t>
      </w:r>
      <w:r w:rsidR="00965456" w:rsidRPr="00D60A89">
        <w:rPr>
          <w:iCs/>
          <w:lang w:eastAsia="en-CA"/>
        </w:rPr>
        <w:t>prima facie</w:t>
      </w:r>
      <w:r w:rsidR="00965456" w:rsidRPr="00630A16">
        <w:rPr>
          <w:lang w:eastAsia="en-CA"/>
        </w:rPr>
        <w:t xml:space="preserve"> case </w:t>
      </w:r>
      <w:r w:rsidR="00630A16" w:rsidRPr="00630A16">
        <w:rPr>
          <w:lang w:eastAsia="en-CA"/>
        </w:rPr>
        <w:t xml:space="preserve">for the purpose of admissibility of his complaint under article 22 of the Convention. </w:t>
      </w:r>
      <w:r w:rsidR="00337F47">
        <w:rPr>
          <w:lang w:eastAsia="en-CA"/>
        </w:rPr>
        <w:t>However, s</w:t>
      </w:r>
      <w:r w:rsidR="00E760E8">
        <w:rPr>
          <w:lang w:eastAsia="en-CA"/>
        </w:rPr>
        <w:t>hould the Committee consider the communication admissible</w:t>
      </w:r>
      <w:r w:rsidR="00630A16" w:rsidRPr="00630A16">
        <w:rPr>
          <w:lang w:eastAsia="en-CA"/>
        </w:rPr>
        <w:t>, the State party</w:t>
      </w:r>
      <w:r w:rsidR="00630A16">
        <w:rPr>
          <w:lang w:eastAsia="en-CA"/>
        </w:rPr>
        <w:t xml:space="preserve"> submits that the complainant’s claims are without merit. </w:t>
      </w:r>
      <w:r w:rsidR="00F62D2D">
        <w:rPr>
          <w:lang w:eastAsia="en-CA"/>
        </w:rPr>
        <w:t xml:space="preserve">The State party assumes that </w:t>
      </w:r>
      <w:r w:rsidR="00E760E8">
        <w:rPr>
          <w:lang w:eastAsia="en-CA"/>
        </w:rPr>
        <w:t>the</w:t>
      </w:r>
      <w:r w:rsidR="00F62D2D">
        <w:rPr>
          <w:lang w:eastAsia="en-CA"/>
        </w:rPr>
        <w:t xml:space="preserve"> claims are in relation to article 3 of the Convention, although the complainant does not specifically invoke </w:t>
      </w:r>
      <w:r w:rsidR="00E760E8">
        <w:rPr>
          <w:lang w:eastAsia="en-CA"/>
        </w:rPr>
        <w:t>this</w:t>
      </w:r>
      <w:r w:rsidR="00F62D2D">
        <w:rPr>
          <w:lang w:eastAsia="en-CA"/>
        </w:rPr>
        <w:t xml:space="preserve"> in his submissions.</w:t>
      </w:r>
      <w:r w:rsidR="00947B3B">
        <w:rPr>
          <w:lang w:eastAsia="en-CA"/>
        </w:rPr>
        <w:t xml:space="preserve"> </w:t>
      </w:r>
      <w:r w:rsidR="00E760E8">
        <w:rPr>
          <w:lang w:eastAsia="en-CA"/>
        </w:rPr>
        <w:t>Regarding</w:t>
      </w:r>
      <w:r w:rsidR="00947B3B">
        <w:rPr>
          <w:lang w:eastAsia="en-CA"/>
        </w:rPr>
        <w:t xml:space="preserve"> the facts, the State party submits that, on 9 October 2014, the complainant was granted a </w:t>
      </w:r>
      <w:r w:rsidR="001F1B72">
        <w:rPr>
          <w:lang w:eastAsia="en-CA"/>
        </w:rPr>
        <w:t>bridging v</w:t>
      </w:r>
      <w:r w:rsidR="00947B3B">
        <w:rPr>
          <w:lang w:eastAsia="en-CA"/>
        </w:rPr>
        <w:t xml:space="preserve">isa by the Department of Immigration and Border </w:t>
      </w:r>
      <w:r w:rsidR="00E760E8">
        <w:rPr>
          <w:lang w:eastAsia="en-CA"/>
        </w:rPr>
        <w:t>P</w:t>
      </w:r>
      <w:r w:rsidR="00947B3B">
        <w:rPr>
          <w:lang w:eastAsia="en-CA"/>
        </w:rPr>
        <w:t xml:space="preserve">rotection </w:t>
      </w:r>
      <w:r w:rsidR="00E760E8">
        <w:rPr>
          <w:lang w:eastAsia="en-CA"/>
        </w:rPr>
        <w:t xml:space="preserve">that </w:t>
      </w:r>
      <w:r w:rsidR="00947B3B">
        <w:rPr>
          <w:lang w:eastAsia="en-CA"/>
        </w:rPr>
        <w:t>allow</w:t>
      </w:r>
      <w:r w:rsidR="00E760E8">
        <w:rPr>
          <w:lang w:eastAsia="en-CA"/>
        </w:rPr>
        <w:t>ed</w:t>
      </w:r>
      <w:r w:rsidR="00947B3B">
        <w:rPr>
          <w:lang w:eastAsia="en-CA"/>
        </w:rPr>
        <w:t xml:space="preserve"> him to live in the community.</w:t>
      </w:r>
      <w:r w:rsidR="001D7650">
        <w:rPr>
          <w:rStyle w:val="FootnoteReference"/>
          <w:lang w:eastAsia="en-CA"/>
        </w:rPr>
        <w:footnoteReference w:id="5"/>
      </w:r>
    </w:p>
    <w:p w:rsidR="00947B3B" w:rsidRDefault="0023383C" w:rsidP="00337F47">
      <w:pPr>
        <w:pStyle w:val="SingleTxtG"/>
        <w:rPr>
          <w:spacing w:val="4"/>
          <w:w w:val="103"/>
          <w:kern w:val="14"/>
        </w:rPr>
      </w:pPr>
      <w:r>
        <w:rPr>
          <w:w w:val="103"/>
        </w:rPr>
        <w:t>4.2</w:t>
      </w:r>
      <w:r>
        <w:rPr>
          <w:w w:val="103"/>
        </w:rPr>
        <w:tab/>
      </w:r>
      <w:r w:rsidR="00947B3B">
        <w:rPr>
          <w:w w:val="103"/>
        </w:rPr>
        <w:t>The State party recalls</w:t>
      </w:r>
      <w:r w:rsidR="00DA61D6">
        <w:rPr>
          <w:w w:val="103"/>
        </w:rPr>
        <w:t>, bas</w:t>
      </w:r>
      <w:r w:rsidR="00E760E8">
        <w:rPr>
          <w:w w:val="103"/>
        </w:rPr>
        <w:t>ed on</w:t>
      </w:r>
      <w:r w:rsidR="00DA61D6">
        <w:rPr>
          <w:w w:val="103"/>
        </w:rPr>
        <w:t xml:space="preserve"> the Committee’s jurisprudence, </w:t>
      </w:r>
      <w:r w:rsidR="00965456" w:rsidRPr="00E96905">
        <w:rPr>
          <w:w w:val="103"/>
        </w:rPr>
        <w:t>that</w:t>
      </w:r>
      <w:r w:rsidR="00E760E8">
        <w:rPr>
          <w:w w:val="103"/>
        </w:rPr>
        <w:t>,</w:t>
      </w:r>
      <w:r w:rsidR="00686CBD">
        <w:rPr>
          <w:w w:val="103"/>
        </w:rPr>
        <w:t xml:space="preserve"> </w:t>
      </w:r>
      <w:r w:rsidR="00DA61D6">
        <w:rPr>
          <w:w w:val="103"/>
        </w:rPr>
        <w:t>i</w:t>
      </w:r>
      <w:r w:rsidR="00947B3B" w:rsidRPr="00E96905">
        <w:rPr>
          <w:w w:val="103"/>
        </w:rPr>
        <w:t xml:space="preserve">n order to show that a State party would be in breach of its </w:t>
      </w:r>
      <w:r w:rsidR="00947B3B" w:rsidRPr="00D60A89">
        <w:rPr>
          <w:iCs/>
          <w:w w:val="103"/>
        </w:rPr>
        <w:t>non-refoulement</w:t>
      </w:r>
      <w:r w:rsidR="00947B3B" w:rsidRPr="00E96905">
        <w:rPr>
          <w:w w:val="103"/>
        </w:rPr>
        <w:t xml:space="preserve"> obligations under article 3 of the Convention, an individual must be </w:t>
      </w:r>
      <w:r w:rsidR="00947B3B" w:rsidRPr="00F46EB5">
        <w:t>found</w:t>
      </w:r>
      <w:r w:rsidR="00947B3B" w:rsidRPr="00E96905">
        <w:rPr>
          <w:w w:val="103"/>
        </w:rPr>
        <w:t xml:space="preserve"> to be personally at risk of </w:t>
      </w:r>
      <w:r w:rsidR="00012DE4">
        <w:rPr>
          <w:w w:val="103"/>
        </w:rPr>
        <w:t>being subjected to torture</w:t>
      </w:r>
      <w:r w:rsidR="00947B3B" w:rsidRPr="00E96905">
        <w:rPr>
          <w:w w:val="103"/>
        </w:rPr>
        <w:t xml:space="preserve"> should he or she be returned</w:t>
      </w:r>
      <w:r w:rsidR="00947B3B">
        <w:rPr>
          <w:w w:val="103"/>
        </w:rPr>
        <w:t xml:space="preserve"> to a country</w:t>
      </w:r>
      <w:r w:rsidR="00947B3B" w:rsidRPr="00E96905">
        <w:rPr>
          <w:w w:val="103"/>
        </w:rPr>
        <w:t>. In addition, the onus of proving that there is a foreseeable, real and</w:t>
      </w:r>
      <w:r w:rsidR="00947B3B">
        <w:rPr>
          <w:w w:val="103"/>
        </w:rPr>
        <w:t xml:space="preserve"> </w:t>
      </w:r>
      <w:r w:rsidR="00947B3B" w:rsidRPr="00B03DB4">
        <w:rPr>
          <w:spacing w:val="4"/>
          <w:w w:val="103"/>
          <w:kern w:val="14"/>
        </w:rPr>
        <w:t xml:space="preserve">personal risk of being subjected to torture upon extradition or deportation rests on the complainant </w:t>
      </w:r>
      <w:r w:rsidR="00012DE4">
        <w:rPr>
          <w:spacing w:val="4"/>
          <w:w w:val="103"/>
          <w:kern w:val="14"/>
        </w:rPr>
        <w:t>and t</w:t>
      </w:r>
      <w:r w:rsidR="00947B3B" w:rsidRPr="00B03DB4">
        <w:rPr>
          <w:spacing w:val="4"/>
          <w:w w:val="103"/>
          <w:kern w:val="14"/>
        </w:rPr>
        <w:t>he risk must be assessed on grounds that go beyond mere theory and suspicion</w:t>
      </w:r>
      <w:r w:rsidR="00947B3B">
        <w:rPr>
          <w:spacing w:val="4"/>
          <w:w w:val="103"/>
          <w:kern w:val="14"/>
        </w:rPr>
        <w:t>.</w:t>
      </w:r>
      <w:r w:rsidR="00947B3B">
        <w:rPr>
          <w:rStyle w:val="FootnoteReference"/>
          <w:spacing w:val="4"/>
          <w:w w:val="103"/>
          <w:kern w:val="14"/>
        </w:rPr>
        <w:footnoteReference w:id="6"/>
      </w:r>
      <w:r w:rsidR="00947B3B" w:rsidRPr="00B03DB4">
        <w:rPr>
          <w:spacing w:val="4"/>
          <w:w w:val="103"/>
          <w:kern w:val="14"/>
        </w:rPr>
        <w:t xml:space="preserve"> </w:t>
      </w:r>
    </w:p>
    <w:p w:rsidR="00772C4E" w:rsidRDefault="00040D05" w:rsidP="00D60A89">
      <w:pPr>
        <w:pStyle w:val="SingleTxtG"/>
        <w:rPr>
          <w:w w:val="103"/>
        </w:rPr>
      </w:pPr>
      <w:r>
        <w:rPr>
          <w:w w:val="103"/>
        </w:rPr>
        <w:t>4.3</w:t>
      </w:r>
      <w:r w:rsidR="0023383C">
        <w:rPr>
          <w:w w:val="103"/>
        </w:rPr>
        <w:tab/>
      </w:r>
      <w:r w:rsidR="00947B3B" w:rsidRPr="00B03DB4">
        <w:rPr>
          <w:w w:val="103"/>
        </w:rPr>
        <w:t xml:space="preserve">The State party </w:t>
      </w:r>
      <w:r w:rsidR="00772C4E">
        <w:rPr>
          <w:w w:val="103"/>
        </w:rPr>
        <w:t xml:space="preserve">argues </w:t>
      </w:r>
      <w:r w:rsidR="00947B3B" w:rsidRPr="00B03DB4">
        <w:rPr>
          <w:w w:val="103"/>
        </w:rPr>
        <w:t xml:space="preserve">that the complainant’s claims </w:t>
      </w:r>
      <w:r w:rsidR="00DC5623">
        <w:rPr>
          <w:w w:val="103"/>
        </w:rPr>
        <w:t>were</w:t>
      </w:r>
      <w:r w:rsidR="00947B3B" w:rsidRPr="00B03DB4">
        <w:rPr>
          <w:w w:val="103"/>
        </w:rPr>
        <w:t xml:space="preserve"> thoroughly considered by a number of domestic </w:t>
      </w:r>
      <w:r w:rsidR="00772C4E">
        <w:rPr>
          <w:w w:val="103"/>
        </w:rPr>
        <w:t>decision</w:t>
      </w:r>
      <w:r w:rsidR="00564E3A">
        <w:rPr>
          <w:w w:val="103"/>
        </w:rPr>
        <w:t xml:space="preserve"> </w:t>
      </w:r>
      <w:r w:rsidR="00772C4E">
        <w:rPr>
          <w:w w:val="103"/>
        </w:rPr>
        <w:t>maker</w:t>
      </w:r>
      <w:r w:rsidR="00963A69">
        <w:rPr>
          <w:w w:val="103"/>
        </w:rPr>
        <w:t>s</w:t>
      </w:r>
      <w:r w:rsidR="00772C4E">
        <w:rPr>
          <w:w w:val="103"/>
        </w:rPr>
        <w:t>, including the R</w:t>
      </w:r>
      <w:r w:rsidR="00564E3A">
        <w:rPr>
          <w:w w:val="103"/>
        </w:rPr>
        <w:t xml:space="preserve">efugee </w:t>
      </w:r>
      <w:r w:rsidR="00772C4E">
        <w:rPr>
          <w:w w:val="103"/>
        </w:rPr>
        <w:t>R</w:t>
      </w:r>
      <w:r w:rsidR="00564E3A">
        <w:rPr>
          <w:w w:val="103"/>
        </w:rPr>
        <w:t xml:space="preserve">eview </w:t>
      </w:r>
      <w:r w:rsidR="00772C4E">
        <w:rPr>
          <w:w w:val="103"/>
        </w:rPr>
        <w:t>T</w:t>
      </w:r>
      <w:r w:rsidR="00564E3A">
        <w:rPr>
          <w:w w:val="103"/>
        </w:rPr>
        <w:t>ribunal</w:t>
      </w:r>
      <w:r w:rsidR="00772C4E">
        <w:rPr>
          <w:w w:val="103"/>
        </w:rPr>
        <w:t>, and subject</w:t>
      </w:r>
      <w:r w:rsidR="00564E3A">
        <w:rPr>
          <w:w w:val="103"/>
        </w:rPr>
        <w:t>ed</w:t>
      </w:r>
      <w:r w:rsidR="00772C4E">
        <w:rPr>
          <w:w w:val="103"/>
        </w:rPr>
        <w:t xml:space="preserve"> to judicial review by the </w:t>
      </w:r>
      <w:r w:rsidR="00947B3B" w:rsidRPr="00B03DB4">
        <w:rPr>
          <w:w w:val="103"/>
        </w:rPr>
        <w:t xml:space="preserve">Federal Circuit Court </w:t>
      </w:r>
      <w:r w:rsidR="00772C4E">
        <w:rPr>
          <w:w w:val="103"/>
        </w:rPr>
        <w:t>and the Federal Court of Australia</w:t>
      </w:r>
      <w:r w:rsidR="00947B3B" w:rsidRPr="00B03DB4">
        <w:rPr>
          <w:w w:val="103"/>
        </w:rPr>
        <w:t>.</w:t>
      </w:r>
      <w:r w:rsidR="00772C4E">
        <w:rPr>
          <w:w w:val="103"/>
        </w:rPr>
        <w:t xml:space="preserve"> </w:t>
      </w:r>
      <w:r w:rsidR="00772C4E" w:rsidRPr="00B03DB4">
        <w:rPr>
          <w:w w:val="103"/>
        </w:rPr>
        <w:t xml:space="preserve">Each body specifically considered </w:t>
      </w:r>
      <w:r w:rsidR="00772C4E">
        <w:rPr>
          <w:w w:val="103"/>
        </w:rPr>
        <w:t xml:space="preserve">the claims </w:t>
      </w:r>
      <w:r w:rsidR="00772C4E" w:rsidRPr="00B03DB4">
        <w:rPr>
          <w:w w:val="103"/>
        </w:rPr>
        <w:t>and determined that the</w:t>
      </w:r>
      <w:r w:rsidR="00772C4E">
        <w:rPr>
          <w:w w:val="103"/>
        </w:rPr>
        <w:t>y</w:t>
      </w:r>
      <w:r w:rsidR="00772C4E" w:rsidRPr="00B03DB4">
        <w:rPr>
          <w:w w:val="103"/>
        </w:rPr>
        <w:t xml:space="preserve"> </w:t>
      </w:r>
      <w:r w:rsidR="00772C4E">
        <w:rPr>
          <w:w w:val="103"/>
        </w:rPr>
        <w:t xml:space="preserve">were </w:t>
      </w:r>
      <w:r w:rsidR="00772C4E" w:rsidRPr="00B03DB4">
        <w:rPr>
          <w:w w:val="103"/>
        </w:rPr>
        <w:t xml:space="preserve">not </w:t>
      </w:r>
      <w:r w:rsidR="00772C4E">
        <w:rPr>
          <w:w w:val="103"/>
        </w:rPr>
        <w:t xml:space="preserve">credible and </w:t>
      </w:r>
      <w:r w:rsidR="00564E3A">
        <w:rPr>
          <w:w w:val="103"/>
        </w:rPr>
        <w:t xml:space="preserve">that they </w:t>
      </w:r>
      <w:r w:rsidR="00772C4E">
        <w:rPr>
          <w:w w:val="103"/>
        </w:rPr>
        <w:t xml:space="preserve">did not engage the State party’s </w:t>
      </w:r>
      <w:r w:rsidR="00772C4E" w:rsidRPr="00D60A89">
        <w:rPr>
          <w:iCs/>
          <w:w w:val="103"/>
        </w:rPr>
        <w:t>non-refoulement</w:t>
      </w:r>
      <w:r w:rsidR="00772C4E">
        <w:rPr>
          <w:w w:val="103"/>
        </w:rPr>
        <w:t xml:space="preserve"> obligations. </w:t>
      </w:r>
      <w:r w:rsidR="00772C4E" w:rsidRPr="00B03DB4">
        <w:rPr>
          <w:w w:val="103"/>
        </w:rPr>
        <w:t xml:space="preserve">In particular, the complainant’s claims </w:t>
      </w:r>
      <w:r w:rsidR="00772C4E">
        <w:rPr>
          <w:w w:val="103"/>
        </w:rPr>
        <w:t>were</w:t>
      </w:r>
      <w:r w:rsidR="00772C4E" w:rsidRPr="00B03DB4">
        <w:rPr>
          <w:w w:val="103"/>
        </w:rPr>
        <w:t xml:space="preserve"> assessed under the complementary protection provisions </w:t>
      </w:r>
      <w:r w:rsidR="00504EA2">
        <w:rPr>
          <w:w w:val="103"/>
        </w:rPr>
        <w:t>of</w:t>
      </w:r>
      <w:r w:rsidR="00772C4E" w:rsidRPr="00B03DB4">
        <w:rPr>
          <w:w w:val="103"/>
        </w:rPr>
        <w:t xml:space="preserve"> </w:t>
      </w:r>
      <w:r w:rsidR="00504EA2">
        <w:rPr>
          <w:w w:val="103"/>
        </w:rPr>
        <w:t>section</w:t>
      </w:r>
      <w:r w:rsidR="00772C4E" w:rsidRPr="00B03DB4">
        <w:rPr>
          <w:w w:val="103"/>
        </w:rPr>
        <w:t xml:space="preserve"> 36</w:t>
      </w:r>
      <w:r w:rsidR="00772C4E">
        <w:rPr>
          <w:w w:val="103"/>
        </w:rPr>
        <w:t xml:space="preserve"> </w:t>
      </w:r>
      <w:r w:rsidR="00772C4E" w:rsidRPr="00B03DB4">
        <w:rPr>
          <w:w w:val="103"/>
        </w:rPr>
        <w:t>(2)</w:t>
      </w:r>
      <w:r w:rsidR="00772C4E">
        <w:rPr>
          <w:w w:val="103"/>
        </w:rPr>
        <w:t xml:space="preserve"> </w:t>
      </w:r>
      <w:r w:rsidR="00772C4E" w:rsidRPr="00B03DB4">
        <w:rPr>
          <w:w w:val="103"/>
        </w:rPr>
        <w:t>(aa) of the Migration Act, which contain</w:t>
      </w:r>
      <w:r w:rsidR="00DC5623">
        <w:rPr>
          <w:w w:val="103"/>
        </w:rPr>
        <w:t>s</w:t>
      </w:r>
      <w:r w:rsidR="00772C4E" w:rsidRPr="00B03DB4">
        <w:rPr>
          <w:w w:val="103"/>
        </w:rPr>
        <w:t xml:space="preserve"> the State party’s </w:t>
      </w:r>
      <w:r w:rsidR="00772C4E" w:rsidRPr="00D60A89">
        <w:rPr>
          <w:iCs/>
          <w:w w:val="103"/>
        </w:rPr>
        <w:t>non-refoulement</w:t>
      </w:r>
      <w:r w:rsidR="00772C4E" w:rsidRPr="00B03DB4">
        <w:rPr>
          <w:w w:val="103"/>
        </w:rPr>
        <w:t xml:space="preserve"> obligations under, </w:t>
      </w:r>
      <w:r w:rsidR="00772C4E" w:rsidRPr="00D60A89">
        <w:rPr>
          <w:iCs/>
          <w:w w:val="103"/>
        </w:rPr>
        <w:t>inter alia</w:t>
      </w:r>
      <w:r w:rsidR="00772C4E" w:rsidRPr="00B03DB4">
        <w:rPr>
          <w:w w:val="103"/>
        </w:rPr>
        <w:t xml:space="preserve">, the Convention. </w:t>
      </w:r>
    </w:p>
    <w:p w:rsidR="00772C4E" w:rsidRDefault="00963A69" w:rsidP="00D60A89">
      <w:pPr>
        <w:pStyle w:val="SingleTxtG"/>
        <w:rPr>
          <w:w w:val="103"/>
        </w:rPr>
      </w:pPr>
      <w:r>
        <w:rPr>
          <w:w w:val="103"/>
        </w:rPr>
        <w:t>4.</w:t>
      </w:r>
      <w:r w:rsidR="00040D05">
        <w:rPr>
          <w:w w:val="103"/>
        </w:rPr>
        <w:t>4</w:t>
      </w:r>
      <w:r>
        <w:rPr>
          <w:w w:val="103"/>
        </w:rPr>
        <w:tab/>
      </w:r>
      <w:r w:rsidR="00DA61D6">
        <w:rPr>
          <w:w w:val="103"/>
        </w:rPr>
        <w:t>W</w:t>
      </w:r>
      <w:r w:rsidR="00772C4E">
        <w:rPr>
          <w:w w:val="103"/>
        </w:rPr>
        <w:t>hen assessing the complainant’s claims, the T</w:t>
      </w:r>
      <w:r w:rsidR="00504EA2">
        <w:rPr>
          <w:w w:val="103"/>
        </w:rPr>
        <w:t>ribunal</w:t>
      </w:r>
      <w:r w:rsidR="00772C4E">
        <w:rPr>
          <w:w w:val="103"/>
        </w:rPr>
        <w:t xml:space="preserve"> </w:t>
      </w:r>
      <w:r w:rsidR="00504EA2">
        <w:rPr>
          <w:w w:val="103"/>
        </w:rPr>
        <w:t>took into account</w:t>
      </w:r>
      <w:r w:rsidR="00772C4E">
        <w:rPr>
          <w:w w:val="103"/>
        </w:rPr>
        <w:t xml:space="preserve"> the difficulties faced by asylum seekers in providing supporting evidence. It considered, however, that it was reasonable to expect that an individual would be able to provide evidence at a basic level regarding personal experiences. </w:t>
      </w:r>
      <w:r w:rsidR="00DA61D6">
        <w:rPr>
          <w:w w:val="103"/>
        </w:rPr>
        <w:t>T</w:t>
      </w:r>
      <w:r w:rsidR="00772C4E" w:rsidRPr="00B03DB4">
        <w:rPr>
          <w:w w:val="103"/>
        </w:rPr>
        <w:t xml:space="preserve">he complainant has not provided any </w:t>
      </w:r>
      <w:r w:rsidR="00073114">
        <w:rPr>
          <w:w w:val="103"/>
        </w:rPr>
        <w:t xml:space="preserve">credible </w:t>
      </w:r>
      <w:r w:rsidR="00772C4E" w:rsidRPr="00B03DB4">
        <w:rPr>
          <w:w w:val="103"/>
        </w:rPr>
        <w:t>new evidence in his submis</w:t>
      </w:r>
      <w:r w:rsidR="00073114">
        <w:rPr>
          <w:w w:val="103"/>
        </w:rPr>
        <w:t>sions to the Committee that ha</w:t>
      </w:r>
      <w:r w:rsidR="00337F47">
        <w:rPr>
          <w:w w:val="103"/>
        </w:rPr>
        <w:t>d</w:t>
      </w:r>
      <w:r w:rsidR="00772C4E" w:rsidRPr="00B03DB4">
        <w:rPr>
          <w:w w:val="103"/>
        </w:rPr>
        <w:t xml:space="preserve"> not already been considered </w:t>
      </w:r>
      <w:r w:rsidR="00504EA2">
        <w:rPr>
          <w:w w:val="103"/>
        </w:rPr>
        <w:t>in</w:t>
      </w:r>
      <w:r w:rsidR="00772C4E" w:rsidRPr="00B03DB4">
        <w:rPr>
          <w:w w:val="103"/>
        </w:rPr>
        <w:t xml:space="preserve"> th</w:t>
      </w:r>
      <w:r w:rsidR="00073114">
        <w:rPr>
          <w:w w:val="103"/>
        </w:rPr>
        <w:t xml:space="preserve">e </w:t>
      </w:r>
      <w:r w:rsidR="00772C4E" w:rsidRPr="00B03DB4">
        <w:rPr>
          <w:w w:val="103"/>
        </w:rPr>
        <w:t xml:space="preserve">domestic administrative and judicial proceedings. In this </w:t>
      </w:r>
      <w:r w:rsidR="00772C4E" w:rsidRPr="00B03DB4">
        <w:rPr>
          <w:w w:val="103"/>
        </w:rPr>
        <w:lastRenderedPageBreak/>
        <w:t xml:space="preserve">regard, the State party refers to the Committee’s </w:t>
      </w:r>
      <w:r w:rsidR="00772C4E">
        <w:rPr>
          <w:w w:val="103"/>
        </w:rPr>
        <w:t>g</w:t>
      </w:r>
      <w:r w:rsidR="00772C4E" w:rsidRPr="00B03DB4">
        <w:rPr>
          <w:w w:val="103"/>
        </w:rPr>
        <w:t xml:space="preserve">eneral </w:t>
      </w:r>
      <w:r w:rsidR="00772C4E">
        <w:rPr>
          <w:w w:val="103"/>
        </w:rPr>
        <w:t>c</w:t>
      </w:r>
      <w:r w:rsidR="00772C4E" w:rsidRPr="00B03DB4">
        <w:rPr>
          <w:w w:val="103"/>
        </w:rPr>
        <w:t>omment N</w:t>
      </w:r>
      <w:r w:rsidR="00772C4E">
        <w:rPr>
          <w:w w:val="103"/>
        </w:rPr>
        <w:t>o</w:t>
      </w:r>
      <w:r w:rsidR="00772C4E" w:rsidRPr="00B03DB4">
        <w:rPr>
          <w:w w:val="103"/>
        </w:rPr>
        <w:t>. 1</w:t>
      </w:r>
      <w:r w:rsidR="00772C4E">
        <w:rPr>
          <w:w w:val="103"/>
        </w:rPr>
        <w:t>, in which it is stated</w:t>
      </w:r>
      <w:r w:rsidR="00772C4E" w:rsidRPr="00B03DB4">
        <w:rPr>
          <w:w w:val="103"/>
        </w:rPr>
        <w:t xml:space="preserve"> that</w:t>
      </w:r>
      <w:r w:rsidR="00772C4E">
        <w:rPr>
          <w:w w:val="103"/>
        </w:rPr>
        <w:t xml:space="preserve"> the Committee</w:t>
      </w:r>
      <w:r w:rsidR="00772C4E" w:rsidRPr="00B03DB4">
        <w:rPr>
          <w:w w:val="103"/>
        </w:rPr>
        <w:t xml:space="preserve"> is not an appellate or judicial body</w:t>
      </w:r>
      <w:r w:rsidR="00772C4E">
        <w:rPr>
          <w:w w:val="103"/>
        </w:rPr>
        <w:t xml:space="preserve"> and that </w:t>
      </w:r>
      <w:r w:rsidR="00772C4E" w:rsidRPr="00B03DB4">
        <w:rPr>
          <w:w w:val="103"/>
        </w:rPr>
        <w:t>it gives considerable weight to findings of fact that are made by the organs of the State party</w:t>
      </w:r>
      <w:r w:rsidR="00772C4E">
        <w:rPr>
          <w:w w:val="103"/>
        </w:rPr>
        <w:t xml:space="preserve"> concerned</w:t>
      </w:r>
      <w:r w:rsidR="00772C4E" w:rsidRPr="00B03DB4">
        <w:rPr>
          <w:w w:val="103"/>
        </w:rPr>
        <w:t>.</w:t>
      </w:r>
      <w:bookmarkStart w:id="1" w:name="_Ref454983357"/>
      <w:r w:rsidR="00073114">
        <w:rPr>
          <w:rStyle w:val="FootnoteReference"/>
          <w:w w:val="103"/>
        </w:rPr>
        <w:footnoteReference w:id="7"/>
      </w:r>
      <w:bookmarkEnd w:id="1"/>
      <w:r w:rsidR="00772C4E" w:rsidRPr="00B03DB4">
        <w:rPr>
          <w:w w:val="103"/>
        </w:rPr>
        <w:t xml:space="preserve"> The State party therefore requests that the Committee accept that </w:t>
      </w:r>
      <w:r w:rsidR="00772C4E">
        <w:rPr>
          <w:w w:val="103"/>
        </w:rPr>
        <w:t>it</w:t>
      </w:r>
      <w:r w:rsidR="00772C4E" w:rsidRPr="00B03DB4">
        <w:rPr>
          <w:w w:val="103"/>
        </w:rPr>
        <w:t xml:space="preserve"> has thoroughly assessed the complainant’s claims </w:t>
      </w:r>
      <w:r w:rsidR="00772C4E">
        <w:rPr>
          <w:w w:val="103"/>
        </w:rPr>
        <w:t>in</w:t>
      </w:r>
      <w:r w:rsidR="00772C4E" w:rsidRPr="00B03DB4">
        <w:rPr>
          <w:w w:val="103"/>
        </w:rPr>
        <w:t xml:space="preserve"> its domestic proceedings and found that it does not owe the complainant protection obligations under the Convention.</w:t>
      </w:r>
    </w:p>
    <w:p w:rsidR="00073114" w:rsidRPr="00B03DB4" w:rsidRDefault="00963A69" w:rsidP="00073114">
      <w:pPr>
        <w:pStyle w:val="SingleTxtG"/>
        <w:rPr>
          <w:w w:val="103"/>
        </w:rPr>
      </w:pPr>
      <w:r>
        <w:rPr>
          <w:w w:val="103"/>
        </w:rPr>
        <w:t>4.</w:t>
      </w:r>
      <w:r w:rsidR="00040D05">
        <w:rPr>
          <w:w w:val="103"/>
        </w:rPr>
        <w:t>5</w:t>
      </w:r>
      <w:r w:rsidR="0023383C">
        <w:rPr>
          <w:w w:val="103"/>
        </w:rPr>
        <w:tab/>
      </w:r>
      <w:r w:rsidR="00040D05">
        <w:rPr>
          <w:w w:val="103"/>
        </w:rPr>
        <w:t xml:space="preserve">The State party recalls that </w:t>
      </w:r>
      <w:r w:rsidR="00073114" w:rsidRPr="00B03DB4">
        <w:rPr>
          <w:w w:val="103"/>
        </w:rPr>
        <w:t xml:space="preserve">the complainant lodged an application for </w:t>
      </w:r>
      <w:r w:rsidR="00073114">
        <w:rPr>
          <w:w w:val="103"/>
        </w:rPr>
        <w:t xml:space="preserve">a </w:t>
      </w:r>
      <w:r w:rsidR="00C47F11">
        <w:rPr>
          <w:w w:val="103"/>
        </w:rPr>
        <w:t>protection visa on 28</w:t>
      </w:r>
      <w:r w:rsidR="00073114" w:rsidRPr="00B03DB4">
        <w:rPr>
          <w:w w:val="103"/>
        </w:rPr>
        <w:t xml:space="preserve"> May 2012. He was granted a </w:t>
      </w:r>
      <w:r w:rsidR="001F1B72">
        <w:rPr>
          <w:w w:val="103"/>
        </w:rPr>
        <w:t>b</w:t>
      </w:r>
      <w:r w:rsidR="00073114" w:rsidRPr="00B03DB4">
        <w:rPr>
          <w:w w:val="103"/>
        </w:rPr>
        <w:t xml:space="preserve">ridging </w:t>
      </w:r>
      <w:r w:rsidR="001F1B72">
        <w:rPr>
          <w:w w:val="103"/>
        </w:rPr>
        <w:t>v</w:t>
      </w:r>
      <w:r w:rsidR="00073114" w:rsidRPr="00B03DB4">
        <w:rPr>
          <w:w w:val="103"/>
        </w:rPr>
        <w:t xml:space="preserve">isa while his protection visa application was under consideration by the Department of Immigration and </w:t>
      </w:r>
      <w:r w:rsidR="00A43F1B">
        <w:rPr>
          <w:w w:val="103"/>
        </w:rPr>
        <w:t>Citizenship</w:t>
      </w:r>
      <w:r w:rsidR="00073114" w:rsidRPr="00B03DB4">
        <w:rPr>
          <w:w w:val="103"/>
        </w:rPr>
        <w:t xml:space="preserve">. On </w:t>
      </w:r>
      <w:r w:rsidR="00A129B4">
        <w:rPr>
          <w:w w:val="103"/>
        </w:rPr>
        <w:t>31</w:t>
      </w:r>
      <w:r w:rsidR="00073114">
        <w:rPr>
          <w:w w:val="103"/>
        </w:rPr>
        <w:t> </w:t>
      </w:r>
      <w:r w:rsidR="00073114" w:rsidRPr="00B03DB4">
        <w:rPr>
          <w:w w:val="103"/>
        </w:rPr>
        <w:t>August 2012, the complainant’s protection visa application was refused.</w:t>
      </w:r>
    </w:p>
    <w:p w:rsidR="009D3D3F" w:rsidRDefault="00040D05">
      <w:pPr>
        <w:pStyle w:val="SingleTxtG"/>
        <w:rPr>
          <w:w w:val="103"/>
        </w:rPr>
      </w:pPr>
      <w:r>
        <w:rPr>
          <w:w w:val="103"/>
        </w:rPr>
        <w:t>4.6</w:t>
      </w:r>
      <w:r w:rsidR="0023383C">
        <w:rPr>
          <w:w w:val="103"/>
        </w:rPr>
        <w:tab/>
      </w:r>
      <w:r w:rsidR="00073114" w:rsidRPr="003E3C4A">
        <w:rPr>
          <w:w w:val="103"/>
        </w:rPr>
        <w:t xml:space="preserve">The </w:t>
      </w:r>
      <w:r w:rsidR="00A129B4" w:rsidRPr="00B03DB4">
        <w:rPr>
          <w:w w:val="103"/>
        </w:rPr>
        <w:t xml:space="preserve">Department of Immigration and </w:t>
      </w:r>
      <w:r w:rsidR="00A43F1B">
        <w:rPr>
          <w:w w:val="103"/>
        </w:rPr>
        <w:t>Citizenship</w:t>
      </w:r>
      <w:r w:rsidR="00A43F1B" w:rsidRPr="003E3C4A">
        <w:rPr>
          <w:w w:val="103"/>
        </w:rPr>
        <w:t xml:space="preserve"> </w:t>
      </w:r>
      <w:r w:rsidR="00073114" w:rsidRPr="003E3C4A">
        <w:rPr>
          <w:w w:val="103"/>
        </w:rPr>
        <w:t>interview</w:t>
      </w:r>
      <w:r w:rsidR="00073114">
        <w:rPr>
          <w:w w:val="103"/>
        </w:rPr>
        <w:t>ed</w:t>
      </w:r>
      <w:r w:rsidR="00073114" w:rsidRPr="003E3C4A">
        <w:rPr>
          <w:w w:val="103"/>
        </w:rPr>
        <w:t xml:space="preserve"> the complainant (with </w:t>
      </w:r>
      <w:r w:rsidR="00555B71">
        <w:rPr>
          <w:w w:val="103"/>
        </w:rPr>
        <w:t xml:space="preserve">the </w:t>
      </w:r>
      <w:r w:rsidR="00073114" w:rsidRPr="003E3C4A">
        <w:rPr>
          <w:w w:val="103"/>
        </w:rPr>
        <w:t>assistance of an interpreter) and also considered other relevant material</w:t>
      </w:r>
      <w:r w:rsidR="00073114">
        <w:rPr>
          <w:w w:val="103"/>
        </w:rPr>
        <w:t>,</w:t>
      </w:r>
      <w:r w:rsidR="00073114" w:rsidRPr="003E3C4A">
        <w:rPr>
          <w:w w:val="103"/>
        </w:rPr>
        <w:t xml:space="preserve"> such as country information provided by the Australian Department of Foreign Affairs and Trade.</w:t>
      </w:r>
      <w:r w:rsidR="009D3D3F">
        <w:rPr>
          <w:w w:val="103"/>
        </w:rPr>
        <w:t xml:space="preserve"> The decision</w:t>
      </w:r>
      <w:r w:rsidR="00555B71">
        <w:rPr>
          <w:w w:val="103"/>
        </w:rPr>
        <w:t xml:space="preserve"> </w:t>
      </w:r>
      <w:r w:rsidR="009D3D3F">
        <w:rPr>
          <w:w w:val="103"/>
        </w:rPr>
        <w:t xml:space="preserve">maker who examined the complainant’s protection visa application evaluated </w:t>
      </w:r>
      <w:r w:rsidR="00A535AC">
        <w:rPr>
          <w:w w:val="103"/>
        </w:rPr>
        <w:t xml:space="preserve">the </w:t>
      </w:r>
      <w:r w:rsidR="009D3D3F">
        <w:rPr>
          <w:w w:val="103"/>
        </w:rPr>
        <w:t xml:space="preserve">copies of character references </w:t>
      </w:r>
      <w:r w:rsidR="00555B71">
        <w:rPr>
          <w:w w:val="103"/>
        </w:rPr>
        <w:t xml:space="preserve">that were </w:t>
      </w:r>
      <w:r w:rsidR="009D3D3F">
        <w:rPr>
          <w:w w:val="103"/>
        </w:rPr>
        <w:t xml:space="preserve">filed with his application. Despite claiming to be a Hindu, he provided a reference </w:t>
      </w:r>
      <w:r w:rsidR="00555B71">
        <w:rPr>
          <w:w w:val="103"/>
        </w:rPr>
        <w:t>from</w:t>
      </w:r>
      <w:r w:rsidR="006B2F19">
        <w:rPr>
          <w:w w:val="103"/>
        </w:rPr>
        <w:t xml:space="preserve"> a </w:t>
      </w:r>
      <w:r w:rsidR="00555B71">
        <w:rPr>
          <w:w w:val="103"/>
        </w:rPr>
        <w:t>p</w:t>
      </w:r>
      <w:r w:rsidR="006B2F19">
        <w:rPr>
          <w:w w:val="103"/>
        </w:rPr>
        <w:t xml:space="preserve">arish </w:t>
      </w:r>
      <w:r w:rsidR="00555B71">
        <w:rPr>
          <w:w w:val="103"/>
        </w:rPr>
        <w:t>p</w:t>
      </w:r>
      <w:r w:rsidR="006B2F19">
        <w:rPr>
          <w:w w:val="103"/>
        </w:rPr>
        <w:t xml:space="preserve">riest </w:t>
      </w:r>
      <w:r w:rsidR="00555B71">
        <w:rPr>
          <w:w w:val="103"/>
        </w:rPr>
        <w:t>of</w:t>
      </w:r>
      <w:r w:rsidR="006B2F19">
        <w:rPr>
          <w:w w:val="103"/>
        </w:rPr>
        <w:t xml:space="preserve"> St. John de Brito’s Church in Batticaloa, Sri Lanka, </w:t>
      </w:r>
      <w:r w:rsidR="00555B71">
        <w:rPr>
          <w:w w:val="103"/>
        </w:rPr>
        <w:t>dated</w:t>
      </w:r>
      <w:r w:rsidR="006B2F19">
        <w:rPr>
          <w:w w:val="103"/>
        </w:rPr>
        <w:t xml:space="preserve"> 15 March 2012</w:t>
      </w:r>
      <w:r w:rsidR="00555B71">
        <w:rPr>
          <w:w w:val="103"/>
        </w:rPr>
        <w:t>,</w:t>
      </w:r>
      <w:r w:rsidR="00920EC9">
        <w:rPr>
          <w:w w:val="103"/>
        </w:rPr>
        <w:t xml:space="preserve"> indicating </w:t>
      </w:r>
      <w:r w:rsidR="006B2F19">
        <w:rPr>
          <w:w w:val="103"/>
        </w:rPr>
        <w:t xml:space="preserve">that the </w:t>
      </w:r>
      <w:r w:rsidR="00555B71">
        <w:rPr>
          <w:w w:val="103"/>
        </w:rPr>
        <w:t>p</w:t>
      </w:r>
      <w:r w:rsidR="006B2F19">
        <w:rPr>
          <w:w w:val="103"/>
        </w:rPr>
        <w:t>riest ha</w:t>
      </w:r>
      <w:r w:rsidR="00920EC9">
        <w:rPr>
          <w:w w:val="103"/>
        </w:rPr>
        <w:t>d</w:t>
      </w:r>
      <w:r w:rsidR="006B2F19">
        <w:rPr>
          <w:w w:val="103"/>
        </w:rPr>
        <w:t xml:space="preserve"> known the complainant “for some years”. However, the decision</w:t>
      </w:r>
      <w:r w:rsidR="00555B71">
        <w:rPr>
          <w:w w:val="103"/>
        </w:rPr>
        <w:t xml:space="preserve"> </w:t>
      </w:r>
      <w:r w:rsidR="006B2F19">
        <w:rPr>
          <w:w w:val="103"/>
        </w:rPr>
        <w:t xml:space="preserve">maker determined that the </w:t>
      </w:r>
      <w:r w:rsidR="00555B71">
        <w:rPr>
          <w:w w:val="103"/>
        </w:rPr>
        <w:t>p</w:t>
      </w:r>
      <w:r w:rsidR="006B2F19">
        <w:rPr>
          <w:w w:val="103"/>
        </w:rPr>
        <w:t>riest did not appear to know the complainant personally, which called into question the integrity of the reference. After consider</w:t>
      </w:r>
      <w:r w:rsidR="00555B71">
        <w:rPr>
          <w:w w:val="103"/>
        </w:rPr>
        <w:t>ing</w:t>
      </w:r>
      <w:r w:rsidR="006B2F19">
        <w:rPr>
          <w:w w:val="103"/>
        </w:rPr>
        <w:t xml:space="preserve"> all the information available, the </w:t>
      </w:r>
      <w:r w:rsidR="006B2F19" w:rsidRPr="00B03DB4">
        <w:rPr>
          <w:w w:val="103"/>
        </w:rPr>
        <w:t xml:space="preserve">Department of Immigration and </w:t>
      </w:r>
      <w:r w:rsidR="00A43F1B">
        <w:rPr>
          <w:w w:val="103"/>
        </w:rPr>
        <w:t xml:space="preserve">Citizenship </w:t>
      </w:r>
      <w:r w:rsidR="006B2F19">
        <w:rPr>
          <w:w w:val="103"/>
        </w:rPr>
        <w:t>was not satisfied that there were substantial grounds for believing that, as a necessary and foreseeable consequence of the complainant being removed to Sri Lan</w:t>
      </w:r>
      <w:r w:rsidR="00A43F1B">
        <w:rPr>
          <w:w w:val="103"/>
        </w:rPr>
        <w:t xml:space="preserve">ka, there was a real risk that </w:t>
      </w:r>
      <w:r w:rsidR="006B2F19">
        <w:rPr>
          <w:w w:val="103"/>
        </w:rPr>
        <w:t>he would suffer significant harm.</w:t>
      </w:r>
    </w:p>
    <w:p w:rsidR="00073114" w:rsidRDefault="00040D05" w:rsidP="00D60A89">
      <w:pPr>
        <w:pStyle w:val="SingleTxtG"/>
        <w:rPr>
          <w:w w:val="103"/>
        </w:rPr>
      </w:pPr>
      <w:r>
        <w:rPr>
          <w:w w:val="103"/>
        </w:rPr>
        <w:t>4.7</w:t>
      </w:r>
      <w:r w:rsidR="0023383C">
        <w:rPr>
          <w:w w:val="103"/>
        </w:rPr>
        <w:tab/>
      </w:r>
      <w:r w:rsidR="00073114">
        <w:rPr>
          <w:w w:val="103"/>
        </w:rPr>
        <w:t>T</w:t>
      </w:r>
      <w:r w:rsidR="00073114" w:rsidRPr="003E3C4A">
        <w:rPr>
          <w:w w:val="103"/>
        </w:rPr>
        <w:t xml:space="preserve">he complainant subsequently </w:t>
      </w:r>
      <w:r w:rsidR="00073114">
        <w:rPr>
          <w:w w:val="103"/>
        </w:rPr>
        <w:t>filed</w:t>
      </w:r>
      <w:r w:rsidR="00073114" w:rsidRPr="003E3C4A">
        <w:rPr>
          <w:w w:val="103"/>
        </w:rPr>
        <w:t xml:space="preserve"> an application for</w:t>
      </w:r>
      <w:r w:rsidR="00073114">
        <w:rPr>
          <w:w w:val="103"/>
        </w:rPr>
        <w:t xml:space="preserve"> an</w:t>
      </w:r>
      <w:r w:rsidR="00073114" w:rsidRPr="003E3C4A">
        <w:rPr>
          <w:w w:val="103"/>
        </w:rPr>
        <w:t xml:space="preserve"> external merits review </w:t>
      </w:r>
      <w:r w:rsidR="00073114">
        <w:rPr>
          <w:w w:val="103"/>
        </w:rPr>
        <w:t>with</w:t>
      </w:r>
      <w:r w:rsidR="00073114" w:rsidRPr="003E3C4A">
        <w:rPr>
          <w:w w:val="103"/>
        </w:rPr>
        <w:t xml:space="preserve"> the R</w:t>
      </w:r>
      <w:r w:rsidR="00555B71">
        <w:rPr>
          <w:w w:val="103"/>
        </w:rPr>
        <w:t xml:space="preserve">efugee </w:t>
      </w:r>
      <w:r w:rsidR="006B2F19">
        <w:rPr>
          <w:w w:val="103"/>
        </w:rPr>
        <w:t>R</w:t>
      </w:r>
      <w:r w:rsidR="00555B71">
        <w:rPr>
          <w:w w:val="103"/>
        </w:rPr>
        <w:t xml:space="preserve">eview </w:t>
      </w:r>
      <w:r w:rsidR="006B2F19">
        <w:rPr>
          <w:w w:val="103"/>
        </w:rPr>
        <w:t>T</w:t>
      </w:r>
      <w:r w:rsidR="00555B71">
        <w:rPr>
          <w:w w:val="103"/>
        </w:rPr>
        <w:t>ribunal</w:t>
      </w:r>
      <w:r w:rsidR="00073114">
        <w:rPr>
          <w:w w:val="103"/>
        </w:rPr>
        <w:t>. Such review</w:t>
      </w:r>
      <w:r w:rsidR="00073114" w:rsidRPr="003E3C4A">
        <w:rPr>
          <w:w w:val="103"/>
        </w:rPr>
        <w:t xml:space="preserve"> is </w:t>
      </w:r>
      <w:r w:rsidR="00073114">
        <w:rPr>
          <w:w w:val="103"/>
        </w:rPr>
        <w:t xml:space="preserve">normally carried out by </w:t>
      </w:r>
      <w:r w:rsidR="00073114" w:rsidRPr="003E3C4A">
        <w:rPr>
          <w:w w:val="103"/>
        </w:rPr>
        <w:t xml:space="preserve">a special external review body </w:t>
      </w:r>
      <w:r w:rsidR="00073114">
        <w:rPr>
          <w:w w:val="103"/>
        </w:rPr>
        <w:t>that</w:t>
      </w:r>
      <w:r w:rsidR="00073114" w:rsidRPr="003E3C4A">
        <w:rPr>
          <w:w w:val="103"/>
        </w:rPr>
        <w:t xml:space="preserve"> provides</w:t>
      </w:r>
      <w:r w:rsidR="00073114">
        <w:rPr>
          <w:w w:val="103"/>
        </w:rPr>
        <w:t xml:space="preserve"> a</w:t>
      </w:r>
      <w:r w:rsidR="00073114" w:rsidRPr="003E3C4A">
        <w:rPr>
          <w:w w:val="103"/>
        </w:rPr>
        <w:t xml:space="preserve"> full and independent review of decisions concerning protection visas. </w:t>
      </w:r>
      <w:r w:rsidR="00920EC9">
        <w:rPr>
          <w:w w:val="103"/>
        </w:rPr>
        <w:t>T</w:t>
      </w:r>
      <w:r w:rsidR="00073114" w:rsidRPr="003E3C4A">
        <w:rPr>
          <w:w w:val="103"/>
        </w:rPr>
        <w:t xml:space="preserve">he complainant was present at the </w:t>
      </w:r>
      <w:r w:rsidR="00555B71">
        <w:rPr>
          <w:w w:val="103"/>
        </w:rPr>
        <w:t xml:space="preserve">review </w:t>
      </w:r>
      <w:r w:rsidR="006B2F19">
        <w:rPr>
          <w:w w:val="103"/>
        </w:rPr>
        <w:t xml:space="preserve">hearing on 7 November 2012 </w:t>
      </w:r>
      <w:r w:rsidR="00073114" w:rsidRPr="003E3C4A">
        <w:rPr>
          <w:w w:val="103"/>
        </w:rPr>
        <w:t xml:space="preserve">and was represented by a registered migration </w:t>
      </w:r>
      <w:r w:rsidR="00073114">
        <w:rPr>
          <w:w w:val="103"/>
        </w:rPr>
        <w:t>officer</w:t>
      </w:r>
      <w:r w:rsidR="00073114" w:rsidRPr="003E3C4A">
        <w:rPr>
          <w:w w:val="103"/>
        </w:rPr>
        <w:t>. He was able to make oral submissions with the assistance of an interpreter.</w:t>
      </w:r>
    </w:p>
    <w:p w:rsidR="002F0902" w:rsidRDefault="00040D05" w:rsidP="00D60A89">
      <w:pPr>
        <w:pStyle w:val="SingleTxtG"/>
        <w:rPr>
          <w:w w:val="103"/>
        </w:rPr>
      </w:pPr>
      <w:r>
        <w:rPr>
          <w:w w:val="103"/>
        </w:rPr>
        <w:t>4.8</w:t>
      </w:r>
      <w:r w:rsidR="0023383C">
        <w:rPr>
          <w:w w:val="103"/>
        </w:rPr>
        <w:tab/>
      </w:r>
      <w:r w:rsidR="002F0902">
        <w:rPr>
          <w:w w:val="103"/>
        </w:rPr>
        <w:t xml:space="preserve">After considering the </w:t>
      </w:r>
      <w:r>
        <w:rPr>
          <w:w w:val="103"/>
        </w:rPr>
        <w:t xml:space="preserve">available </w:t>
      </w:r>
      <w:r w:rsidR="002F0902">
        <w:rPr>
          <w:w w:val="103"/>
        </w:rPr>
        <w:t>evidence, the T</w:t>
      </w:r>
      <w:r w:rsidR="00555B71">
        <w:rPr>
          <w:w w:val="103"/>
        </w:rPr>
        <w:t>ribunal</w:t>
      </w:r>
      <w:r w:rsidR="002F0902">
        <w:rPr>
          <w:w w:val="103"/>
        </w:rPr>
        <w:t xml:space="preserve"> concluded that the complainant “was not providing evidence regarding events that he had actually participated in or witnessed. He was instead providing evidence from a script that he had learnt based on fabricated claims that he had used to try and strengthen his claim for refugee status”. The T</w:t>
      </w:r>
      <w:r w:rsidR="00555B71">
        <w:rPr>
          <w:w w:val="103"/>
        </w:rPr>
        <w:t>ribunal</w:t>
      </w:r>
      <w:r w:rsidR="002F0902">
        <w:rPr>
          <w:w w:val="103"/>
        </w:rPr>
        <w:t xml:space="preserve"> considered that the evidence indicated that the claims were fabricated, including for the following reasons: (</w:t>
      </w:r>
      <w:r w:rsidR="00555B71">
        <w:rPr>
          <w:w w:val="103"/>
        </w:rPr>
        <w:t>a</w:t>
      </w:r>
      <w:r w:rsidR="002F0902">
        <w:rPr>
          <w:w w:val="103"/>
        </w:rPr>
        <w:t xml:space="preserve">) the death certificate provided by the complainant </w:t>
      </w:r>
      <w:r w:rsidR="00555B71">
        <w:rPr>
          <w:w w:val="103"/>
        </w:rPr>
        <w:t>in respect of</w:t>
      </w:r>
      <w:r w:rsidR="002F0902">
        <w:rPr>
          <w:w w:val="103"/>
        </w:rPr>
        <w:t xml:space="preserve"> the woman </w:t>
      </w:r>
      <w:r w:rsidR="00555B71">
        <w:rPr>
          <w:w w:val="103"/>
        </w:rPr>
        <w:t xml:space="preserve">who was </w:t>
      </w:r>
      <w:r w:rsidR="002F0902">
        <w:rPr>
          <w:w w:val="103"/>
        </w:rPr>
        <w:t>allegedly killed in the September 2011 incident was not genuine. The T</w:t>
      </w:r>
      <w:r w:rsidR="00555B71">
        <w:rPr>
          <w:w w:val="103"/>
        </w:rPr>
        <w:t>ribunal</w:t>
      </w:r>
      <w:r w:rsidR="002F0902">
        <w:rPr>
          <w:w w:val="103"/>
        </w:rPr>
        <w:t xml:space="preserve"> found that his answers to the questions about how his father had discovered who had been killed were circular and that his evidence about this was fabricated; (</w:t>
      </w:r>
      <w:r w:rsidR="00555B71">
        <w:rPr>
          <w:w w:val="103"/>
        </w:rPr>
        <w:t>b</w:t>
      </w:r>
      <w:r w:rsidR="002F0902">
        <w:rPr>
          <w:w w:val="103"/>
        </w:rPr>
        <w:t xml:space="preserve">) </w:t>
      </w:r>
      <w:r w:rsidR="00E43E68">
        <w:rPr>
          <w:w w:val="103"/>
        </w:rPr>
        <w:t xml:space="preserve">the complainant acknowledged that he had remained in Sri Lanka for almost four months after the alleged incident. He </w:t>
      </w:r>
      <w:r w:rsidR="00555B71">
        <w:rPr>
          <w:w w:val="103"/>
        </w:rPr>
        <w:t xml:space="preserve">had </w:t>
      </w:r>
      <w:r w:rsidR="00E43E68">
        <w:rPr>
          <w:w w:val="103"/>
        </w:rPr>
        <w:t xml:space="preserve">initially said that he </w:t>
      </w:r>
      <w:r w:rsidR="00555B71">
        <w:rPr>
          <w:w w:val="103"/>
        </w:rPr>
        <w:t>had been</w:t>
      </w:r>
      <w:r w:rsidR="00E43E68">
        <w:rPr>
          <w:w w:val="103"/>
        </w:rPr>
        <w:t xml:space="preserve"> visited twice while in Sri Lanka</w:t>
      </w:r>
      <w:r w:rsidR="00555B71">
        <w:rPr>
          <w:w w:val="103"/>
        </w:rPr>
        <w:t>:</w:t>
      </w:r>
      <w:r w:rsidR="00E43E68">
        <w:rPr>
          <w:w w:val="103"/>
        </w:rPr>
        <w:t xml:space="preserve"> the first time being when three men came to his house late </w:t>
      </w:r>
      <w:r w:rsidR="00555B71">
        <w:rPr>
          <w:w w:val="103"/>
        </w:rPr>
        <w:t>one</w:t>
      </w:r>
      <w:r w:rsidR="00E43E68">
        <w:rPr>
          <w:w w:val="103"/>
        </w:rPr>
        <w:t xml:space="preserve"> evening</w:t>
      </w:r>
      <w:r w:rsidR="00F96457">
        <w:rPr>
          <w:w w:val="103"/>
        </w:rPr>
        <w:t>;</w:t>
      </w:r>
      <w:r w:rsidR="00E43E68">
        <w:rPr>
          <w:w w:val="103"/>
        </w:rPr>
        <w:t xml:space="preserve"> and the second time being when people in a white van attempted to abduct him; (</w:t>
      </w:r>
      <w:r w:rsidR="00F96457">
        <w:rPr>
          <w:w w:val="103"/>
        </w:rPr>
        <w:t>c</w:t>
      </w:r>
      <w:r w:rsidR="00E43E68">
        <w:rPr>
          <w:w w:val="103"/>
        </w:rPr>
        <w:t>) when the T</w:t>
      </w:r>
      <w:r w:rsidR="00F96457">
        <w:rPr>
          <w:w w:val="103"/>
        </w:rPr>
        <w:t>ribunal</w:t>
      </w:r>
      <w:r w:rsidR="00E43E68">
        <w:rPr>
          <w:w w:val="103"/>
        </w:rPr>
        <w:t xml:space="preserve"> raised </w:t>
      </w:r>
      <w:r w:rsidR="00F96457">
        <w:rPr>
          <w:w w:val="103"/>
        </w:rPr>
        <w:t>that four months</w:t>
      </w:r>
      <w:r w:rsidR="00E43E68">
        <w:rPr>
          <w:w w:val="103"/>
        </w:rPr>
        <w:t xml:space="preserve"> was a long time to remain in Sri Lanka if he was being pursued by the S</w:t>
      </w:r>
      <w:r w:rsidR="00F96457">
        <w:rPr>
          <w:w w:val="103"/>
        </w:rPr>
        <w:t xml:space="preserve">ri </w:t>
      </w:r>
      <w:r w:rsidR="00E43E68">
        <w:rPr>
          <w:w w:val="103"/>
        </w:rPr>
        <w:t>L</w:t>
      </w:r>
      <w:r w:rsidR="00F96457">
        <w:rPr>
          <w:w w:val="103"/>
        </w:rPr>
        <w:t xml:space="preserve">anka </w:t>
      </w:r>
      <w:r w:rsidR="00E43E68">
        <w:rPr>
          <w:w w:val="103"/>
        </w:rPr>
        <w:t>A</w:t>
      </w:r>
      <w:r w:rsidR="00F96457">
        <w:rPr>
          <w:w w:val="103"/>
        </w:rPr>
        <w:t>rmy</w:t>
      </w:r>
      <w:r w:rsidR="00E43E68">
        <w:rPr>
          <w:w w:val="103"/>
        </w:rPr>
        <w:t xml:space="preserve"> or authorities, the complainant said that he had been visited a </w:t>
      </w:r>
      <w:r w:rsidR="00F96457">
        <w:rPr>
          <w:w w:val="103"/>
        </w:rPr>
        <w:t>third</w:t>
      </w:r>
      <w:r w:rsidR="00E43E68">
        <w:rPr>
          <w:w w:val="103"/>
        </w:rPr>
        <w:t xml:space="preserve"> time before he left for Australia. </w:t>
      </w:r>
    </w:p>
    <w:p w:rsidR="00872507" w:rsidRDefault="00963A69" w:rsidP="00D60A89">
      <w:pPr>
        <w:pStyle w:val="SingleTxtG"/>
        <w:rPr>
          <w:lang w:eastAsia="en-CA"/>
        </w:rPr>
      </w:pPr>
      <w:r>
        <w:rPr>
          <w:w w:val="103"/>
        </w:rPr>
        <w:lastRenderedPageBreak/>
        <w:t>4.</w:t>
      </w:r>
      <w:r w:rsidR="00040D05">
        <w:rPr>
          <w:w w:val="103"/>
        </w:rPr>
        <w:t>9</w:t>
      </w:r>
      <w:r w:rsidR="0023383C">
        <w:rPr>
          <w:w w:val="103"/>
        </w:rPr>
        <w:tab/>
      </w:r>
      <w:r w:rsidR="002B729F">
        <w:rPr>
          <w:w w:val="103"/>
        </w:rPr>
        <w:t>The T</w:t>
      </w:r>
      <w:r w:rsidR="00F96457">
        <w:rPr>
          <w:w w:val="103"/>
        </w:rPr>
        <w:t>ribunal</w:t>
      </w:r>
      <w:r w:rsidR="002B729F">
        <w:rPr>
          <w:w w:val="103"/>
        </w:rPr>
        <w:t xml:space="preserve"> noted that the complainant would be subject to security checks when returned to</w:t>
      </w:r>
      <w:r w:rsidR="003444AF">
        <w:rPr>
          <w:w w:val="103"/>
        </w:rPr>
        <w:t xml:space="preserve"> Sri Lanka and might face short-</w:t>
      </w:r>
      <w:r w:rsidR="002B729F">
        <w:rPr>
          <w:w w:val="103"/>
        </w:rPr>
        <w:t xml:space="preserve">term detention and/or </w:t>
      </w:r>
      <w:r w:rsidR="00D412D3">
        <w:rPr>
          <w:w w:val="103"/>
        </w:rPr>
        <w:t xml:space="preserve">a </w:t>
      </w:r>
      <w:r w:rsidR="002B729F">
        <w:rPr>
          <w:w w:val="103"/>
        </w:rPr>
        <w:t xml:space="preserve">fine for </w:t>
      </w:r>
      <w:r w:rsidR="00F96457">
        <w:rPr>
          <w:w w:val="103"/>
        </w:rPr>
        <w:t xml:space="preserve">leaving </w:t>
      </w:r>
      <w:r w:rsidR="002B729F">
        <w:rPr>
          <w:w w:val="103"/>
        </w:rPr>
        <w:t>Sri Lanka</w:t>
      </w:r>
      <w:r w:rsidR="003444AF">
        <w:rPr>
          <w:w w:val="103"/>
        </w:rPr>
        <w:t xml:space="preserve"> illegally</w:t>
      </w:r>
      <w:r w:rsidR="002B729F">
        <w:rPr>
          <w:w w:val="103"/>
        </w:rPr>
        <w:t>. However, the T</w:t>
      </w:r>
      <w:r w:rsidR="00F96457">
        <w:rPr>
          <w:w w:val="103"/>
        </w:rPr>
        <w:t>ribunal</w:t>
      </w:r>
      <w:r w:rsidR="002B729F">
        <w:rPr>
          <w:w w:val="103"/>
        </w:rPr>
        <w:t xml:space="preserve"> </w:t>
      </w:r>
      <w:r w:rsidR="00872507">
        <w:rPr>
          <w:w w:val="103"/>
        </w:rPr>
        <w:t xml:space="preserve">did not consider that there was any evidence to support a finding that the complainant had issues that would </w:t>
      </w:r>
      <w:r w:rsidR="00F96457">
        <w:rPr>
          <w:w w:val="103"/>
        </w:rPr>
        <w:t>draw</w:t>
      </w:r>
      <w:r w:rsidR="00872507">
        <w:rPr>
          <w:w w:val="103"/>
        </w:rPr>
        <w:t xml:space="preserve"> additional scrutiny or attention </w:t>
      </w:r>
      <w:r w:rsidR="001F4F4E">
        <w:rPr>
          <w:w w:val="103"/>
        </w:rPr>
        <w:t xml:space="preserve">to him </w:t>
      </w:r>
      <w:r w:rsidR="00872507">
        <w:rPr>
          <w:w w:val="103"/>
        </w:rPr>
        <w:t xml:space="preserve">on </w:t>
      </w:r>
      <w:r w:rsidR="00F96457">
        <w:rPr>
          <w:w w:val="103"/>
        </w:rPr>
        <w:t xml:space="preserve">his </w:t>
      </w:r>
      <w:r w:rsidR="00872507">
        <w:rPr>
          <w:w w:val="103"/>
        </w:rPr>
        <w:t xml:space="preserve">return or </w:t>
      </w:r>
      <w:r w:rsidR="00F96457">
        <w:rPr>
          <w:w w:val="103"/>
        </w:rPr>
        <w:t xml:space="preserve">that would </w:t>
      </w:r>
      <w:r w:rsidR="00872507">
        <w:rPr>
          <w:w w:val="103"/>
        </w:rPr>
        <w:t>delay his release after such checks</w:t>
      </w:r>
      <w:r w:rsidR="00F96457">
        <w:rPr>
          <w:w w:val="103"/>
        </w:rPr>
        <w:t xml:space="preserve"> were made</w:t>
      </w:r>
      <w:r w:rsidR="00872507">
        <w:rPr>
          <w:w w:val="103"/>
        </w:rPr>
        <w:t>.</w:t>
      </w:r>
      <w:r w:rsidR="00496A32">
        <w:rPr>
          <w:w w:val="103"/>
        </w:rPr>
        <w:t xml:space="preserve"> </w:t>
      </w:r>
      <w:r w:rsidR="003444AF">
        <w:rPr>
          <w:w w:val="103"/>
        </w:rPr>
        <w:t>The T</w:t>
      </w:r>
      <w:r w:rsidR="00F96457">
        <w:rPr>
          <w:w w:val="103"/>
        </w:rPr>
        <w:t>ribunal</w:t>
      </w:r>
      <w:r w:rsidR="003444AF">
        <w:rPr>
          <w:w w:val="103"/>
        </w:rPr>
        <w:t xml:space="preserve"> found that, in such circumstances, security checks, short-term detention and/or a fine for </w:t>
      </w:r>
      <w:r w:rsidR="00F96457">
        <w:rPr>
          <w:w w:val="103"/>
        </w:rPr>
        <w:t>leaving</w:t>
      </w:r>
      <w:r w:rsidR="003444AF">
        <w:rPr>
          <w:w w:val="103"/>
        </w:rPr>
        <w:t xml:space="preserve"> Sri Lanka illegally did not constitute significant harm under section 36 (2) (aa) of the Migration Act which implements the State party’s </w:t>
      </w:r>
      <w:r w:rsidR="003444AF" w:rsidRPr="00D60A89">
        <w:rPr>
          <w:iCs/>
          <w:w w:val="103"/>
        </w:rPr>
        <w:t>non-refoulement</w:t>
      </w:r>
      <w:r w:rsidR="003444AF">
        <w:rPr>
          <w:w w:val="103"/>
        </w:rPr>
        <w:t xml:space="preserve"> obligations. </w:t>
      </w:r>
      <w:r w:rsidR="00496A32">
        <w:rPr>
          <w:lang w:eastAsia="en-CA"/>
        </w:rPr>
        <w:t>Accordingly, the T</w:t>
      </w:r>
      <w:r w:rsidR="00F96457">
        <w:rPr>
          <w:lang w:eastAsia="en-CA"/>
        </w:rPr>
        <w:t>ribunal</w:t>
      </w:r>
      <w:r w:rsidR="00496A32">
        <w:rPr>
          <w:lang w:eastAsia="en-CA"/>
        </w:rPr>
        <w:t xml:space="preserve"> concluded that there were no substantial grounds for believing that there was a real risk of the complainant being subjected to torture if removed to Sri Lanka.</w:t>
      </w:r>
    </w:p>
    <w:p w:rsidR="00496A32" w:rsidRDefault="00040D05" w:rsidP="00D60A89">
      <w:pPr>
        <w:pStyle w:val="SingleTxtG"/>
        <w:rPr>
          <w:lang w:eastAsia="en-CA"/>
        </w:rPr>
      </w:pPr>
      <w:r w:rsidRPr="00E007FB">
        <w:rPr>
          <w:lang w:eastAsia="en-CA"/>
        </w:rPr>
        <w:t>4.10</w:t>
      </w:r>
      <w:r w:rsidR="0023383C">
        <w:rPr>
          <w:lang w:eastAsia="en-CA"/>
        </w:rPr>
        <w:tab/>
      </w:r>
      <w:r w:rsidR="00D27C39">
        <w:rPr>
          <w:lang w:eastAsia="en-CA"/>
        </w:rPr>
        <w:t>The State party also notes that, on 28 August 2013, the Federal Circuit Court was unable to find any grounds upon which it could conclude that the T</w:t>
      </w:r>
      <w:r w:rsidR="00E007FB">
        <w:rPr>
          <w:lang w:eastAsia="en-CA"/>
        </w:rPr>
        <w:t>ribunal had made any</w:t>
      </w:r>
      <w:r w:rsidR="00D27C39">
        <w:rPr>
          <w:lang w:eastAsia="en-CA"/>
        </w:rPr>
        <w:t xml:space="preserve"> jurisdictional error in reach</w:t>
      </w:r>
      <w:r w:rsidR="00E007FB">
        <w:rPr>
          <w:lang w:eastAsia="en-CA"/>
        </w:rPr>
        <w:t>ing</w:t>
      </w:r>
      <w:r w:rsidR="00D27C39">
        <w:rPr>
          <w:lang w:eastAsia="en-CA"/>
        </w:rPr>
        <w:t xml:space="preserve"> its decision. On 5 December 2013, the complainant’s application for leave to appeal the decision of the Federal Circuit Court </w:t>
      </w:r>
      <w:r w:rsidR="00E007FB">
        <w:rPr>
          <w:lang w:eastAsia="en-CA"/>
        </w:rPr>
        <w:t>before</w:t>
      </w:r>
      <w:r w:rsidR="00D27C39">
        <w:rPr>
          <w:lang w:eastAsia="en-CA"/>
        </w:rPr>
        <w:t xml:space="preserve"> the Federal Court of Australia was also dismissed.</w:t>
      </w:r>
      <w:r w:rsidR="00354E65">
        <w:rPr>
          <w:lang w:eastAsia="en-CA"/>
        </w:rPr>
        <w:t xml:space="preserve"> </w:t>
      </w:r>
    </w:p>
    <w:p w:rsidR="009F4F80" w:rsidRDefault="0023383C" w:rsidP="00A535AC">
      <w:pPr>
        <w:pStyle w:val="SingleTxtG"/>
        <w:rPr>
          <w:w w:val="103"/>
        </w:rPr>
      </w:pPr>
      <w:r>
        <w:rPr>
          <w:w w:val="103"/>
        </w:rPr>
        <w:t>4.1</w:t>
      </w:r>
      <w:r w:rsidR="00040D05">
        <w:rPr>
          <w:w w:val="103"/>
        </w:rPr>
        <w:t>1</w:t>
      </w:r>
      <w:r>
        <w:rPr>
          <w:w w:val="103"/>
        </w:rPr>
        <w:tab/>
      </w:r>
      <w:r w:rsidR="00354E65" w:rsidRPr="003E3C4A">
        <w:rPr>
          <w:w w:val="103"/>
        </w:rPr>
        <w:t xml:space="preserve">On </w:t>
      </w:r>
      <w:r w:rsidR="00354E65">
        <w:rPr>
          <w:w w:val="103"/>
        </w:rPr>
        <w:t xml:space="preserve">15 December </w:t>
      </w:r>
      <w:r w:rsidR="00354E65" w:rsidRPr="003E3C4A">
        <w:rPr>
          <w:w w:val="103"/>
        </w:rPr>
        <w:t xml:space="preserve">2013, the complainant </w:t>
      </w:r>
      <w:r w:rsidR="00354E65">
        <w:rPr>
          <w:w w:val="103"/>
        </w:rPr>
        <w:t xml:space="preserve">filed </w:t>
      </w:r>
      <w:r w:rsidR="00354E65" w:rsidRPr="003E3C4A">
        <w:rPr>
          <w:w w:val="103"/>
        </w:rPr>
        <w:t xml:space="preserve">a request for </w:t>
      </w:r>
      <w:r w:rsidR="00354E65">
        <w:rPr>
          <w:w w:val="103"/>
        </w:rPr>
        <w:t>m</w:t>
      </w:r>
      <w:r w:rsidR="00354E65" w:rsidRPr="003E3C4A">
        <w:rPr>
          <w:w w:val="103"/>
        </w:rPr>
        <w:t xml:space="preserve">inisterial </w:t>
      </w:r>
      <w:r w:rsidR="00354E65">
        <w:rPr>
          <w:w w:val="103"/>
        </w:rPr>
        <w:t>i</w:t>
      </w:r>
      <w:r w:rsidR="00354E65" w:rsidRPr="003E3C4A">
        <w:rPr>
          <w:w w:val="103"/>
        </w:rPr>
        <w:t>ntervention under section</w:t>
      </w:r>
      <w:r w:rsidR="00354E65">
        <w:rPr>
          <w:w w:val="103"/>
        </w:rPr>
        <w:t>s</w:t>
      </w:r>
      <w:r w:rsidR="00354E65" w:rsidRPr="003E3C4A">
        <w:rPr>
          <w:w w:val="103"/>
        </w:rPr>
        <w:t xml:space="preserve"> </w:t>
      </w:r>
      <w:r w:rsidR="00904500">
        <w:rPr>
          <w:w w:val="103"/>
        </w:rPr>
        <w:t xml:space="preserve">48B and </w:t>
      </w:r>
      <w:r w:rsidR="00354E65" w:rsidRPr="003E3C4A">
        <w:rPr>
          <w:w w:val="103"/>
        </w:rPr>
        <w:t xml:space="preserve">417 of the </w:t>
      </w:r>
      <w:r w:rsidR="00354E65">
        <w:rPr>
          <w:w w:val="103"/>
        </w:rPr>
        <w:t xml:space="preserve">Migration </w:t>
      </w:r>
      <w:r w:rsidR="00354E65" w:rsidRPr="003E3C4A">
        <w:rPr>
          <w:w w:val="103"/>
        </w:rPr>
        <w:t>Act</w:t>
      </w:r>
      <w:r w:rsidR="00354E65">
        <w:rPr>
          <w:w w:val="103"/>
        </w:rPr>
        <w:t>, which w</w:t>
      </w:r>
      <w:r w:rsidR="00904500">
        <w:rPr>
          <w:w w:val="103"/>
        </w:rPr>
        <w:t>as</w:t>
      </w:r>
      <w:r w:rsidR="00354E65">
        <w:rPr>
          <w:w w:val="103"/>
        </w:rPr>
        <w:t xml:space="preserve"> determined not to meet the relevant guidelines on 25 February 2014 and 16 March 2014, respectively. In his request for ministerial intervention, the complainant reiterated his previous claims. He </w:t>
      </w:r>
      <w:r w:rsidR="00904500">
        <w:rPr>
          <w:w w:val="103"/>
        </w:rPr>
        <w:t>also</w:t>
      </w:r>
      <w:r w:rsidR="00354E65">
        <w:rPr>
          <w:w w:val="103"/>
        </w:rPr>
        <w:t xml:space="preserve"> claimed that returnees who were believed to have departed in breach of immigration laws were arrested at the airport and brought before a court to apply for bail and might be placed in Negombo Prison, possibly for days until a bail hearing date becomes available.</w:t>
      </w:r>
      <w:r w:rsidR="00693E73">
        <w:rPr>
          <w:w w:val="103"/>
        </w:rPr>
        <w:t xml:space="preserve"> The complainant further claimed that the T</w:t>
      </w:r>
      <w:r w:rsidR="00904500">
        <w:rPr>
          <w:w w:val="103"/>
        </w:rPr>
        <w:t>ribunal had</w:t>
      </w:r>
      <w:r w:rsidR="00693E73">
        <w:rPr>
          <w:w w:val="103"/>
        </w:rPr>
        <w:t xml:space="preserve"> failed to apply the correct test for </w:t>
      </w:r>
      <w:r w:rsidR="009F4F80">
        <w:rPr>
          <w:w w:val="103"/>
        </w:rPr>
        <w:t xml:space="preserve">degrading punishment in relation to contravention of the </w:t>
      </w:r>
      <w:r w:rsidR="00016AFD">
        <w:rPr>
          <w:w w:val="103"/>
        </w:rPr>
        <w:t>Sri Lanka Immigrants and Emigrants Act</w:t>
      </w:r>
      <w:r w:rsidR="009F4F80">
        <w:rPr>
          <w:w w:val="103"/>
        </w:rPr>
        <w:t xml:space="preserve">. He claimed that he had no family or close relatives in Colombo to secure bail on his behalf, </w:t>
      </w:r>
      <w:r w:rsidR="00904500">
        <w:rPr>
          <w:w w:val="103"/>
        </w:rPr>
        <w:t xml:space="preserve">which </w:t>
      </w:r>
      <w:r w:rsidR="009F4F80">
        <w:rPr>
          <w:w w:val="103"/>
        </w:rPr>
        <w:t>expos</w:t>
      </w:r>
      <w:r w:rsidR="00904500">
        <w:rPr>
          <w:w w:val="103"/>
        </w:rPr>
        <w:t>ed</w:t>
      </w:r>
      <w:r w:rsidR="009F4F80">
        <w:rPr>
          <w:w w:val="103"/>
        </w:rPr>
        <w:t xml:space="preserve"> him to long-term detention. </w:t>
      </w:r>
    </w:p>
    <w:p w:rsidR="00354E65" w:rsidRDefault="00040D05" w:rsidP="00854BB3">
      <w:pPr>
        <w:pStyle w:val="SingleTxtG"/>
        <w:rPr>
          <w:w w:val="103"/>
        </w:rPr>
      </w:pPr>
      <w:r w:rsidRPr="00854BB3">
        <w:rPr>
          <w:w w:val="103"/>
        </w:rPr>
        <w:t>4.12</w:t>
      </w:r>
      <w:r w:rsidR="0023383C">
        <w:rPr>
          <w:w w:val="103"/>
        </w:rPr>
        <w:tab/>
      </w:r>
      <w:r w:rsidR="009F4F80">
        <w:rPr>
          <w:w w:val="103"/>
        </w:rPr>
        <w:t>The</w:t>
      </w:r>
      <w:r w:rsidR="00354E65">
        <w:rPr>
          <w:w w:val="103"/>
        </w:rPr>
        <w:t xml:space="preserve"> </w:t>
      </w:r>
      <w:r w:rsidR="009F4F80">
        <w:rPr>
          <w:w w:val="103"/>
        </w:rPr>
        <w:t xml:space="preserve">ministerial intervention assessment concluded that it was reasonable to expect that, in </w:t>
      </w:r>
      <w:r w:rsidR="005C34EC">
        <w:rPr>
          <w:w w:val="103"/>
        </w:rPr>
        <w:t xml:space="preserve">the </w:t>
      </w:r>
      <w:r w:rsidR="009F4F80">
        <w:rPr>
          <w:w w:val="103"/>
        </w:rPr>
        <w:t xml:space="preserve">light of the </w:t>
      </w:r>
      <w:r w:rsidR="005C34EC">
        <w:rPr>
          <w:w w:val="103"/>
        </w:rPr>
        <w:t xml:space="preserve">complainant’s </w:t>
      </w:r>
      <w:r w:rsidR="009F4F80">
        <w:rPr>
          <w:w w:val="103"/>
        </w:rPr>
        <w:t xml:space="preserve">apparent concern for his personal safety, a member of his family would travel to secure his release from remand in the event </w:t>
      </w:r>
      <w:r w:rsidR="00683E38">
        <w:rPr>
          <w:w w:val="103"/>
        </w:rPr>
        <w:t xml:space="preserve">that </w:t>
      </w:r>
      <w:r w:rsidR="009F4F80">
        <w:rPr>
          <w:w w:val="103"/>
        </w:rPr>
        <w:t xml:space="preserve">he were brought before </w:t>
      </w:r>
      <w:r w:rsidR="00683E38">
        <w:rPr>
          <w:w w:val="103"/>
        </w:rPr>
        <w:t xml:space="preserve">the </w:t>
      </w:r>
      <w:r w:rsidR="009F4F80">
        <w:rPr>
          <w:w w:val="103"/>
        </w:rPr>
        <w:t xml:space="preserve">court to apply for bail. Furthermore, the complainant had previously stated that his family lived in the Batticaloa area and that he still communicated with them. The ministerial intervention assessment considered that, based on the information available, the complainant would not be exposed to long-term detention, as it would be reasonable to expect a family member to travel to Negombo to secure his release from remand. The assessment concluded that </w:t>
      </w:r>
      <w:r w:rsidR="00683E38">
        <w:rPr>
          <w:w w:val="103"/>
        </w:rPr>
        <w:t>his</w:t>
      </w:r>
      <w:r w:rsidR="009F4F80">
        <w:rPr>
          <w:w w:val="103"/>
        </w:rPr>
        <w:t xml:space="preserve"> claims were mere</w:t>
      </w:r>
      <w:r w:rsidR="00683E38">
        <w:rPr>
          <w:w w:val="103"/>
        </w:rPr>
        <w:t>ly an</w:t>
      </w:r>
      <w:r w:rsidR="009F4F80">
        <w:rPr>
          <w:w w:val="103"/>
        </w:rPr>
        <w:t xml:space="preserve"> attempt to bolster his chances for protection</w:t>
      </w:r>
      <w:r w:rsidR="00683E38">
        <w:rPr>
          <w:w w:val="103"/>
        </w:rPr>
        <w:t xml:space="preserve"> in Australia</w:t>
      </w:r>
      <w:r w:rsidR="009F4F80">
        <w:rPr>
          <w:w w:val="103"/>
        </w:rPr>
        <w:t>, rather than a genuine concern for his safety</w:t>
      </w:r>
      <w:r w:rsidR="00683E38">
        <w:rPr>
          <w:w w:val="103"/>
        </w:rPr>
        <w:t xml:space="preserve"> in Sri Lanka</w:t>
      </w:r>
      <w:r w:rsidR="009F4F80">
        <w:rPr>
          <w:w w:val="103"/>
        </w:rPr>
        <w:t xml:space="preserve">. </w:t>
      </w:r>
    </w:p>
    <w:p w:rsidR="00B076FA" w:rsidRDefault="00040D05" w:rsidP="001F4F4E">
      <w:pPr>
        <w:pStyle w:val="SingleTxtG"/>
        <w:rPr>
          <w:w w:val="103"/>
          <w:lang w:eastAsia="en-AU"/>
        </w:rPr>
      </w:pPr>
      <w:r>
        <w:rPr>
          <w:w w:val="103"/>
          <w:lang w:eastAsia="en-AU"/>
        </w:rPr>
        <w:t>4.13</w:t>
      </w:r>
      <w:r w:rsidR="0023383C">
        <w:rPr>
          <w:w w:val="103"/>
          <w:lang w:eastAsia="en-AU"/>
        </w:rPr>
        <w:tab/>
      </w:r>
      <w:r w:rsidR="001A5922">
        <w:rPr>
          <w:w w:val="103"/>
          <w:lang w:eastAsia="en-AU"/>
        </w:rPr>
        <w:t>E</w:t>
      </w:r>
      <w:r w:rsidR="00F251E2" w:rsidRPr="001808C3">
        <w:rPr>
          <w:w w:val="103"/>
          <w:lang w:eastAsia="en-AU"/>
        </w:rPr>
        <w:t xml:space="preserve">xtensive country information </w:t>
      </w:r>
      <w:r w:rsidR="00F251E2">
        <w:rPr>
          <w:w w:val="103"/>
          <w:lang w:eastAsia="en-AU"/>
        </w:rPr>
        <w:t>on</w:t>
      </w:r>
      <w:r w:rsidR="00F251E2" w:rsidRPr="001808C3">
        <w:rPr>
          <w:w w:val="103"/>
          <w:lang w:eastAsia="en-AU"/>
        </w:rPr>
        <w:t xml:space="preserve"> Sri Lanka</w:t>
      </w:r>
      <w:r w:rsidR="00683E38">
        <w:rPr>
          <w:w w:val="103"/>
          <w:lang w:eastAsia="en-AU"/>
        </w:rPr>
        <w:t xml:space="preserve"> regarding</w:t>
      </w:r>
      <w:r w:rsidR="00F251E2" w:rsidRPr="001808C3">
        <w:rPr>
          <w:w w:val="103"/>
          <w:lang w:eastAsia="en-AU"/>
        </w:rPr>
        <w:t xml:space="preserve"> the return of failed asylum seekers specifically </w:t>
      </w:r>
      <w:r w:rsidR="00F251E2">
        <w:rPr>
          <w:w w:val="103"/>
          <w:lang w:eastAsia="en-AU"/>
        </w:rPr>
        <w:t>w</w:t>
      </w:r>
      <w:r w:rsidR="00F251E2" w:rsidRPr="001808C3">
        <w:rPr>
          <w:w w:val="103"/>
          <w:lang w:eastAsia="en-AU"/>
        </w:rPr>
        <w:t>as also carefully considered throughout the domestic processes. In particular, during the complainant’s protection visa application review</w:t>
      </w:r>
      <w:r w:rsidR="00F251E2">
        <w:rPr>
          <w:w w:val="103"/>
          <w:lang w:eastAsia="en-AU"/>
        </w:rPr>
        <w:t>,</w:t>
      </w:r>
      <w:r w:rsidR="00F251E2" w:rsidRPr="001808C3">
        <w:rPr>
          <w:w w:val="103"/>
          <w:lang w:eastAsia="en-AU"/>
        </w:rPr>
        <w:t xml:space="preserve"> material before the </w:t>
      </w:r>
      <w:r w:rsidR="00F251E2">
        <w:rPr>
          <w:w w:val="103"/>
          <w:lang w:eastAsia="en-AU"/>
        </w:rPr>
        <w:t>authorities</w:t>
      </w:r>
      <w:r w:rsidR="00F251E2" w:rsidRPr="001808C3">
        <w:rPr>
          <w:w w:val="103"/>
          <w:lang w:eastAsia="en-AU"/>
        </w:rPr>
        <w:t xml:space="preserve"> </w:t>
      </w:r>
      <w:r w:rsidR="00F251E2">
        <w:rPr>
          <w:w w:val="103"/>
          <w:lang w:eastAsia="en-AU"/>
        </w:rPr>
        <w:t>included</w:t>
      </w:r>
      <w:r w:rsidR="00F251E2" w:rsidRPr="001808C3">
        <w:rPr>
          <w:w w:val="103"/>
          <w:lang w:eastAsia="en-AU"/>
        </w:rPr>
        <w:t xml:space="preserve"> country information </w:t>
      </w:r>
      <w:r w:rsidR="00F251E2">
        <w:rPr>
          <w:w w:val="103"/>
          <w:lang w:eastAsia="en-AU"/>
        </w:rPr>
        <w:t>from</w:t>
      </w:r>
      <w:r w:rsidR="00F251E2" w:rsidRPr="001808C3">
        <w:rPr>
          <w:w w:val="103"/>
          <w:lang w:eastAsia="en-AU"/>
        </w:rPr>
        <w:t xml:space="preserve"> the </w:t>
      </w:r>
      <w:r w:rsidR="00F251E2" w:rsidRPr="003E3C4A">
        <w:rPr>
          <w:w w:val="103"/>
        </w:rPr>
        <w:t>Department of Foreign Affairs and Trade</w:t>
      </w:r>
      <w:r w:rsidR="00F251E2">
        <w:rPr>
          <w:w w:val="103"/>
        </w:rPr>
        <w:t xml:space="preserve">, </w:t>
      </w:r>
      <w:r w:rsidR="00F251E2" w:rsidRPr="001808C3">
        <w:rPr>
          <w:w w:val="103"/>
          <w:lang w:eastAsia="en-AU"/>
        </w:rPr>
        <w:t>non-governmental organi</w:t>
      </w:r>
      <w:r w:rsidR="00F251E2">
        <w:rPr>
          <w:w w:val="103"/>
          <w:lang w:eastAsia="en-AU"/>
        </w:rPr>
        <w:t>z</w:t>
      </w:r>
      <w:r w:rsidR="00F251E2" w:rsidRPr="001808C3">
        <w:rPr>
          <w:w w:val="103"/>
          <w:lang w:eastAsia="en-AU"/>
        </w:rPr>
        <w:t>ations</w:t>
      </w:r>
      <w:r w:rsidR="001A5922">
        <w:rPr>
          <w:w w:val="103"/>
          <w:lang w:eastAsia="en-AU"/>
        </w:rPr>
        <w:t xml:space="preserve"> and</w:t>
      </w:r>
      <w:r w:rsidR="00F251E2" w:rsidRPr="001808C3">
        <w:rPr>
          <w:w w:val="103"/>
          <w:lang w:eastAsia="en-AU"/>
        </w:rPr>
        <w:t xml:space="preserve"> the </w:t>
      </w:r>
      <w:r w:rsidR="00F251E2">
        <w:rPr>
          <w:w w:val="103"/>
          <w:lang w:eastAsia="en-AU"/>
        </w:rPr>
        <w:t xml:space="preserve">Office of the </w:t>
      </w:r>
      <w:r w:rsidR="00F251E2" w:rsidRPr="001808C3">
        <w:rPr>
          <w:w w:val="103"/>
          <w:lang w:eastAsia="en-AU"/>
        </w:rPr>
        <w:t>United Nations High Commissioner for Refugees</w:t>
      </w:r>
      <w:r w:rsidR="00F251E2">
        <w:rPr>
          <w:w w:val="103"/>
          <w:lang w:eastAsia="en-AU"/>
        </w:rPr>
        <w:t xml:space="preserve"> (UNHCR)</w:t>
      </w:r>
      <w:r w:rsidR="00F251E2" w:rsidRPr="001808C3">
        <w:rPr>
          <w:w w:val="103"/>
          <w:lang w:eastAsia="en-AU"/>
        </w:rPr>
        <w:t>.</w:t>
      </w:r>
      <w:bookmarkStart w:id="2" w:name="_Ref454293473"/>
      <w:r w:rsidR="00B56577">
        <w:rPr>
          <w:rStyle w:val="FootnoteReference"/>
          <w:w w:val="103"/>
          <w:lang w:eastAsia="en-AU"/>
        </w:rPr>
        <w:footnoteReference w:id="8"/>
      </w:r>
      <w:bookmarkEnd w:id="2"/>
      <w:r w:rsidR="001A5922">
        <w:rPr>
          <w:w w:val="103"/>
          <w:lang w:eastAsia="en-AU"/>
        </w:rPr>
        <w:t xml:space="preserve"> T</w:t>
      </w:r>
      <w:r w:rsidR="00F251E2" w:rsidRPr="001808C3">
        <w:rPr>
          <w:w w:val="103"/>
          <w:lang w:eastAsia="en-AU"/>
        </w:rPr>
        <w:t>he R</w:t>
      </w:r>
      <w:r w:rsidR="00854BB3">
        <w:rPr>
          <w:w w:val="103"/>
          <w:lang w:eastAsia="en-AU"/>
        </w:rPr>
        <w:t xml:space="preserve">efugee </w:t>
      </w:r>
      <w:r w:rsidR="00977F0C">
        <w:rPr>
          <w:w w:val="103"/>
          <w:lang w:eastAsia="en-AU"/>
        </w:rPr>
        <w:t>R</w:t>
      </w:r>
      <w:r w:rsidR="00854BB3">
        <w:rPr>
          <w:w w:val="103"/>
          <w:lang w:eastAsia="en-AU"/>
        </w:rPr>
        <w:t xml:space="preserve">eview </w:t>
      </w:r>
      <w:r w:rsidR="00977F0C">
        <w:rPr>
          <w:w w:val="103"/>
          <w:lang w:eastAsia="en-AU"/>
        </w:rPr>
        <w:t>T</w:t>
      </w:r>
      <w:r w:rsidR="00854BB3">
        <w:rPr>
          <w:w w:val="103"/>
          <w:lang w:eastAsia="en-AU"/>
        </w:rPr>
        <w:t>ribunal</w:t>
      </w:r>
      <w:r w:rsidR="00977F0C">
        <w:rPr>
          <w:w w:val="103"/>
          <w:lang w:eastAsia="en-AU"/>
        </w:rPr>
        <w:t xml:space="preserve"> found that failed asylum seekers and Tamils </w:t>
      </w:r>
      <w:r w:rsidR="001F4F4E">
        <w:rPr>
          <w:w w:val="103"/>
          <w:lang w:eastAsia="en-AU"/>
        </w:rPr>
        <w:t>we</w:t>
      </w:r>
      <w:r w:rsidR="00977F0C">
        <w:rPr>
          <w:w w:val="103"/>
          <w:lang w:eastAsia="en-AU"/>
        </w:rPr>
        <w:t>re not specifically targeted for adverse attention from the Sri Lankan authorities at the time of entry and that</w:t>
      </w:r>
      <w:r w:rsidR="00977F0C">
        <w:rPr>
          <w:w w:val="103"/>
        </w:rPr>
        <w:t xml:space="preserve"> there was no evidence before it to support a finding that the complainant had issues that would </w:t>
      </w:r>
      <w:r w:rsidR="001F4F4E">
        <w:rPr>
          <w:w w:val="103"/>
        </w:rPr>
        <w:t>attract</w:t>
      </w:r>
      <w:r w:rsidR="00977F0C">
        <w:rPr>
          <w:w w:val="103"/>
        </w:rPr>
        <w:t xml:space="preserve"> additional scrutiny or </w:t>
      </w:r>
      <w:r w:rsidR="00977F0C">
        <w:rPr>
          <w:w w:val="103"/>
        </w:rPr>
        <w:lastRenderedPageBreak/>
        <w:t xml:space="preserve">attention on return, or </w:t>
      </w:r>
      <w:r w:rsidR="00A535AC">
        <w:rPr>
          <w:w w:val="103"/>
        </w:rPr>
        <w:t xml:space="preserve">that would </w:t>
      </w:r>
      <w:r w:rsidR="00977F0C">
        <w:rPr>
          <w:w w:val="103"/>
        </w:rPr>
        <w:t>delay his releas</w:t>
      </w:r>
      <w:r w:rsidR="00B076FA">
        <w:rPr>
          <w:w w:val="103"/>
        </w:rPr>
        <w:t xml:space="preserve">e after </w:t>
      </w:r>
      <w:r w:rsidR="00BC2592">
        <w:rPr>
          <w:w w:val="103"/>
        </w:rPr>
        <w:t xml:space="preserve">the </w:t>
      </w:r>
      <w:r w:rsidR="00B076FA">
        <w:rPr>
          <w:w w:val="103"/>
        </w:rPr>
        <w:t>security checks on</w:t>
      </w:r>
      <w:r w:rsidR="00977F0C">
        <w:rPr>
          <w:w w:val="103"/>
        </w:rPr>
        <w:t xml:space="preserve"> </w:t>
      </w:r>
      <w:r w:rsidR="00BC2592">
        <w:rPr>
          <w:w w:val="103"/>
        </w:rPr>
        <w:t xml:space="preserve">his </w:t>
      </w:r>
      <w:r w:rsidR="00B076FA">
        <w:rPr>
          <w:w w:val="103"/>
        </w:rPr>
        <w:t xml:space="preserve">return to Sri Lanka. </w:t>
      </w:r>
      <w:r w:rsidR="001A5922">
        <w:rPr>
          <w:w w:val="103"/>
          <w:lang w:eastAsia="en-AU"/>
        </w:rPr>
        <w:t>T</w:t>
      </w:r>
      <w:r w:rsidR="00F251E2" w:rsidRPr="001808C3">
        <w:rPr>
          <w:w w:val="103"/>
          <w:lang w:eastAsia="en-AU"/>
        </w:rPr>
        <w:t xml:space="preserve">he </w:t>
      </w:r>
      <w:r w:rsidR="00F251E2">
        <w:rPr>
          <w:w w:val="103"/>
          <w:lang w:eastAsia="en-AU"/>
        </w:rPr>
        <w:t>m</w:t>
      </w:r>
      <w:r w:rsidR="00F251E2" w:rsidRPr="001808C3">
        <w:rPr>
          <w:w w:val="103"/>
          <w:lang w:eastAsia="en-AU"/>
        </w:rPr>
        <w:t xml:space="preserve">inisterial </w:t>
      </w:r>
      <w:r w:rsidR="00F251E2">
        <w:rPr>
          <w:w w:val="103"/>
          <w:lang w:eastAsia="en-AU"/>
        </w:rPr>
        <w:t>i</w:t>
      </w:r>
      <w:r w:rsidR="00F251E2" w:rsidRPr="001808C3">
        <w:rPr>
          <w:w w:val="103"/>
          <w:lang w:eastAsia="en-AU"/>
        </w:rPr>
        <w:t>ntervention</w:t>
      </w:r>
      <w:r w:rsidR="00B076FA">
        <w:rPr>
          <w:w w:val="103"/>
          <w:lang w:eastAsia="en-AU"/>
        </w:rPr>
        <w:t xml:space="preserve"> assessment considered that, </w:t>
      </w:r>
      <w:r w:rsidR="00F251E2" w:rsidRPr="001808C3">
        <w:rPr>
          <w:w w:val="103"/>
          <w:lang w:eastAsia="en-AU"/>
        </w:rPr>
        <w:t xml:space="preserve">while failed asylum seekers </w:t>
      </w:r>
      <w:r w:rsidR="00B076FA">
        <w:rPr>
          <w:w w:val="103"/>
          <w:lang w:eastAsia="en-AU"/>
        </w:rPr>
        <w:t>were</w:t>
      </w:r>
      <w:r w:rsidR="00F251E2" w:rsidRPr="001808C3">
        <w:rPr>
          <w:w w:val="103"/>
          <w:lang w:eastAsia="en-AU"/>
        </w:rPr>
        <w:t xml:space="preserve"> detained</w:t>
      </w:r>
      <w:r w:rsidR="00F251E2" w:rsidRPr="001808C3">
        <w:rPr>
          <w:b/>
          <w:w w:val="103"/>
          <w:lang w:eastAsia="en-AU"/>
        </w:rPr>
        <w:t xml:space="preserve"> </w:t>
      </w:r>
      <w:r w:rsidR="00F251E2" w:rsidRPr="001808C3">
        <w:rPr>
          <w:w w:val="103"/>
          <w:lang w:eastAsia="en-AU"/>
        </w:rPr>
        <w:t xml:space="preserve">on return to Sri Lanka under laws relating to leaving the country illegally, </w:t>
      </w:r>
      <w:r w:rsidR="00B076FA">
        <w:rPr>
          <w:w w:val="103"/>
          <w:lang w:eastAsia="en-AU"/>
        </w:rPr>
        <w:t xml:space="preserve">returnees have </w:t>
      </w:r>
      <w:r w:rsidR="00BC2592">
        <w:rPr>
          <w:w w:val="103"/>
          <w:lang w:eastAsia="en-AU"/>
        </w:rPr>
        <w:t xml:space="preserve">immediately </w:t>
      </w:r>
      <w:r w:rsidR="00B076FA">
        <w:rPr>
          <w:w w:val="103"/>
          <w:lang w:eastAsia="en-AU"/>
        </w:rPr>
        <w:t>been</w:t>
      </w:r>
      <w:r w:rsidR="00F251E2" w:rsidRPr="001808C3">
        <w:rPr>
          <w:w w:val="103"/>
          <w:lang w:eastAsia="en-AU"/>
        </w:rPr>
        <w:t xml:space="preserve"> granted bail </w:t>
      </w:r>
      <w:r w:rsidR="00B076FA">
        <w:rPr>
          <w:w w:val="103"/>
          <w:lang w:eastAsia="en-AU"/>
        </w:rPr>
        <w:t>on personal recogni</w:t>
      </w:r>
      <w:r w:rsidR="00BC2592">
        <w:rPr>
          <w:w w:val="103"/>
          <w:lang w:eastAsia="en-AU"/>
        </w:rPr>
        <w:t>z</w:t>
      </w:r>
      <w:r w:rsidR="00B076FA">
        <w:rPr>
          <w:w w:val="103"/>
          <w:lang w:eastAsia="en-AU"/>
        </w:rPr>
        <w:t xml:space="preserve">ance by the magistrate, with the requirement </w:t>
      </w:r>
      <w:r w:rsidR="00BC2592">
        <w:rPr>
          <w:w w:val="103"/>
          <w:lang w:eastAsia="en-AU"/>
        </w:rPr>
        <w:t>that</w:t>
      </w:r>
      <w:r w:rsidR="00B076FA">
        <w:rPr>
          <w:w w:val="103"/>
          <w:lang w:eastAsia="en-AU"/>
        </w:rPr>
        <w:t xml:space="preserve"> a family member act</w:t>
      </w:r>
      <w:r w:rsidR="00BC2592">
        <w:rPr>
          <w:w w:val="103"/>
          <w:lang w:eastAsia="en-AU"/>
        </w:rPr>
        <w:t>s</w:t>
      </w:r>
      <w:r w:rsidR="00B076FA">
        <w:rPr>
          <w:w w:val="103"/>
          <w:lang w:eastAsia="en-AU"/>
        </w:rPr>
        <w:t xml:space="preserve"> as guarantor. </w:t>
      </w:r>
      <w:r w:rsidR="001A5922">
        <w:rPr>
          <w:w w:val="103"/>
          <w:lang w:eastAsia="en-AU"/>
        </w:rPr>
        <w:t>T</w:t>
      </w:r>
      <w:r w:rsidR="00B076FA">
        <w:rPr>
          <w:w w:val="103"/>
          <w:lang w:eastAsia="en-AU"/>
        </w:rPr>
        <w:t>he complainant ha</w:t>
      </w:r>
      <w:r w:rsidR="001A5922">
        <w:rPr>
          <w:w w:val="103"/>
          <w:lang w:eastAsia="en-AU"/>
        </w:rPr>
        <w:t>d</w:t>
      </w:r>
      <w:r w:rsidR="00F251E2" w:rsidRPr="001808C3">
        <w:rPr>
          <w:w w:val="103"/>
          <w:lang w:eastAsia="en-AU"/>
        </w:rPr>
        <w:t xml:space="preserve"> family members resid</w:t>
      </w:r>
      <w:r w:rsidR="00F251E2">
        <w:rPr>
          <w:w w:val="103"/>
          <w:lang w:eastAsia="en-AU"/>
        </w:rPr>
        <w:t>ing</w:t>
      </w:r>
      <w:r w:rsidR="00F251E2" w:rsidRPr="001808C3">
        <w:rPr>
          <w:w w:val="103"/>
          <w:lang w:eastAsia="en-AU"/>
        </w:rPr>
        <w:t xml:space="preserve"> in Sri Lanka </w:t>
      </w:r>
      <w:r w:rsidR="00B076FA">
        <w:rPr>
          <w:w w:val="103"/>
          <w:lang w:eastAsia="en-AU"/>
        </w:rPr>
        <w:t xml:space="preserve">and it was reasonable to expect that his family would assist </w:t>
      </w:r>
      <w:r w:rsidR="001A5922">
        <w:rPr>
          <w:w w:val="103"/>
          <w:lang w:eastAsia="en-AU"/>
        </w:rPr>
        <w:t>him</w:t>
      </w:r>
      <w:r w:rsidR="00B076FA">
        <w:rPr>
          <w:w w:val="103"/>
          <w:lang w:eastAsia="en-AU"/>
        </w:rPr>
        <w:t xml:space="preserve"> with bail in such circumstances.</w:t>
      </w:r>
    </w:p>
    <w:p w:rsidR="00051A5C" w:rsidRDefault="00040D05" w:rsidP="00D60A89">
      <w:pPr>
        <w:pStyle w:val="SingleTxtG"/>
      </w:pPr>
      <w:r w:rsidRPr="001F4F4E">
        <w:t>4.14</w:t>
      </w:r>
      <w:r w:rsidR="0023383C">
        <w:tab/>
        <w:t>On 31 March 2016, the State party reiterated its observations and maintained that there were no substantial grounds for believing that the complainant faced a real risk of irreparable harm if returned to Sri Lanka and therefore considered the Committee’s request for interim measures to be unwarranted.</w:t>
      </w:r>
    </w:p>
    <w:p w:rsidR="00B90023" w:rsidRPr="00051A5C" w:rsidRDefault="004A7E15" w:rsidP="00D60A89">
      <w:pPr>
        <w:pStyle w:val="H23G"/>
      </w:pPr>
      <w:r>
        <w:rPr>
          <w:lang w:eastAsia="zh-CN"/>
        </w:rPr>
        <w:tab/>
      </w:r>
      <w:r>
        <w:rPr>
          <w:lang w:eastAsia="zh-CN"/>
        </w:rPr>
        <w:tab/>
      </w:r>
      <w:r w:rsidR="00B90023" w:rsidRPr="00051A5C">
        <w:rPr>
          <w:lang w:eastAsia="zh-CN"/>
        </w:rPr>
        <w:t xml:space="preserve">Complainant’s comments on the State party’s observations </w:t>
      </w:r>
    </w:p>
    <w:p w:rsidR="00051A5C" w:rsidRDefault="00B90023" w:rsidP="00D60A89">
      <w:pPr>
        <w:pStyle w:val="SingleTxtG"/>
        <w:rPr>
          <w:kern w:val="3"/>
          <w:lang w:eastAsia="zh-CN"/>
        </w:rPr>
      </w:pPr>
      <w:r>
        <w:rPr>
          <w:kern w:val="3"/>
          <w:lang w:eastAsia="zh-CN"/>
        </w:rPr>
        <w:t>5</w:t>
      </w:r>
      <w:r w:rsidRPr="005F7869">
        <w:rPr>
          <w:kern w:val="3"/>
          <w:lang w:eastAsia="zh-CN"/>
        </w:rPr>
        <w:t>.1</w:t>
      </w:r>
      <w:r>
        <w:rPr>
          <w:kern w:val="3"/>
          <w:lang w:eastAsia="zh-CN"/>
        </w:rPr>
        <w:tab/>
        <w:t xml:space="preserve">On </w:t>
      </w:r>
      <w:r w:rsidR="00051A5C">
        <w:rPr>
          <w:kern w:val="3"/>
          <w:lang w:eastAsia="zh-CN"/>
        </w:rPr>
        <w:t>7</w:t>
      </w:r>
      <w:r>
        <w:rPr>
          <w:kern w:val="3"/>
          <w:lang w:eastAsia="zh-CN"/>
        </w:rPr>
        <w:t xml:space="preserve"> April 2016, the complainant </w:t>
      </w:r>
      <w:r w:rsidR="001F4F4E">
        <w:rPr>
          <w:kern w:val="3"/>
          <w:lang w:eastAsia="zh-CN"/>
        </w:rPr>
        <w:t xml:space="preserve">submitted his </w:t>
      </w:r>
      <w:r>
        <w:rPr>
          <w:kern w:val="3"/>
          <w:lang w:eastAsia="zh-CN"/>
        </w:rPr>
        <w:t>comments on the State party’s observations.</w:t>
      </w:r>
      <w:r w:rsidR="002D27F1">
        <w:rPr>
          <w:kern w:val="3"/>
          <w:lang w:eastAsia="zh-CN"/>
        </w:rPr>
        <w:t xml:space="preserve"> He recalls the facts on which the present complaint is based and states that he fears for his life, as </w:t>
      </w:r>
      <w:r w:rsidR="002C2A17">
        <w:rPr>
          <w:kern w:val="3"/>
          <w:lang w:eastAsia="zh-CN"/>
        </w:rPr>
        <w:t xml:space="preserve">the </w:t>
      </w:r>
      <w:r w:rsidR="002D27F1">
        <w:rPr>
          <w:kern w:val="3"/>
          <w:lang w:eastAsia="zh-CN"/>
        </w:rPr>
        <w:t xml:space="preserve">soldiers who were looking for him made “all attempts to silence him as an eyewitness of their gruesome crime”. He </w:t>
      </w:r>
      <w:r w:rsidR="00E33F28">
        <w:rPr>
          <w:kern w:val="3"/>
          <w:lang w:eastAsia="zh-CN"/>
        </w:rPr>
        <w:t>claims that he will be detain</w:t>
      </w:r>
      <w:r w:rsidR="002D27F1">
        <w:rPr>
          <w:kern w:val="3"/>
          <w:lang w:eastAsia="zh-CN"/>
        </w:rPr>
        <w:t>ed and interrogated at the airport</w:t>
      </w:r>
      <w:r w:rsidR="00722392">
        <w:rPr>
          <w:kern w:val="3"/>
          <w:lang w:eastAsia="zh-CN"/>
        </w:rPr>
        <w:t xml:space="preserve"> and that, a</w:t>
      </w:r>
      <w:r w:rsidR="002D27F1">
        <w:rPr>
          <w:kern w:val="3"/>
          <w:lang w:eastAsia="zh-CN"/>
        </w:rPr>
        <w:t xml:space="preserve">t that time or at </w:t>
      </w:r>
      <w:r w:rsidR="00CC5CE6">
        <w:rPr>
          <w:kern w:val="3"/>
          <w:lang w:eastAsia="zh-CN"/>
        </w:rPr>
        <w:t xml:space="preserve">any moment </w:t>
      </w:r>
      <w:r w:rsidR="002D27F1">
        <w:rPr>
          <w:kern w:val="3"/>
          <w:lang w:eastAsia="zh-CN"/>
        </w:rPr>
        <w:t>thereafter</w:t>
      </w:r>
      <w:r w:rsidR="00905EB6">
        <w:rPr>
          <w:kern w:val="3"/>
          <w:lang w:eastAsia="zh-CN"/>
        </w:rPr>
        <w:t>,</w:t>
      </w:r>
      <w:r w:rsidR="002D27F1">
        <w:rPr>
          <w:kern w:val="3"/>
          <w:lang w:eastAsia="zh-CN"/>
        </w:rPr>
        <w:t xml:space="preserve"> it could come to light that he </w:t>
      </w:r>
      <w:r w:rsidR="00905EB6">
        <w:rPr>
          <w:kern w:val="3"/>
          <w:lang w:eastAsia="zh-CN"/>
        </w:rPr>
        <w:t>wa</w:t>
      </w:r>
      <w:r w:rsidR="002D27F1">
        <w:rPr>
          <w:kern w:val="3"/>
          <w:lang w:eastAsia="zh-CN"/>
        </w:rPr>
        <w:t xml:space="preserve">s an eyewitness </w:t>
      </w:r>
      <w:r w:rsidR="00905EB6">
        <w:rPr>
          <w:kern w:val="3"/>
          <w:lang w:eastAsia="zh-CN"/>
        </w:rPr>
        <w:t>to</w:t>
      </w:r>
      <w:r w:rsidR="002D27F1">
        <w:rPr>
          <w:kern w:val="3"/>
          <w:lang w:eastAsia="zh-CN"/>
        </w:rPr>
        <w:t xml:space="preserve"> a crime committed by S</w:t>
      </w:r>
      <w:r w:rsidR="00B169F1">
        <w:rPr>
          <w:kern w:val="3"/>
          <w:lang w:eastAsia="zh-CN"/>
        </w:rPr>
        <w:t xml:space="preserve">ri </w:t>
      </w:r>
      <w:r w:rsidR="002D27F1">
        <w:rPr>
          <w:kern w:val="3"/>
          <w:lang w:eastAsia="zh-CN"/>
        </w:rPr>
        <w:t>L</w:t>
      </w:r>
      <w:r w:rsidR="00B169F1">
        <w:rPr>
          <w:kern w:val="3"/>
          <w:lang w:eastAsia="zh-CN"/>
        </w:rPr>
        <w:t xml:space="preserve">anka </w:t>
      </w:r>
      <w:r w:rsidR="002D27F1">
        <w:rPr>
          <w:kern w:val="3"/>
          <w:lang w:eastAsia="zh-CN"/>
        </w:rPr>
        <w:t>A</w:t>
      </w:r>
      <w:r w:rsidR="00B169F1">
        <w:rPr>
          <w:kern w:val="3"/>
          <w:lang w:eastAsia="zh-CN"/>
        </w:rPr>
        <w:t>rmy</w:t>
      </w:r>
      <w:r w:rsidR="002D27F1">
        <w:rPr>
          <w:kern w:val="3"/>
          <w:lang w:eastAsia="zh-CN"/>
        </w:rPr>
        <w:t xml:space="preserve"> soldiers. </w:t>
      </w:r>
      <w:r w:rsidR="00243E07">
        <w:rPr>
          <w:kern w:val="3"/>
          <w:lang w:eastAsia="zh-CN"/>
        </w:rPr>
        <w:t>There is, therefore, a real chance that he may even be summoned as a witness in any inquiry regarding th</w:t>
      </w:r>
      <w:r w:rsidR="001E23AD">
        <w:rPr>
          <w:kern w:val="3"/>
          <w:lang w:eastAsia="zh-CN"/>
        </w:rPr>
        <w:t>at</w:t>
      </w:r>
      <w:r w:rsidR="00243E07">
        <w:rPr>
          <w:kern w:val="3"/>
          <w:lang w:eastAsia="zh-CN"/>
        </w:rPr>
        <w:t xml:space="preserve"> crime or in the event </w:t>
      </w:r>
      <w:r w:rsidR="001E23AD">
        <w:rPr>
          <w:kern w:val="3"/>
          <w:lang w:eastAsia="zh-CN"/>
        </w:rPr>
        <w:t xml:space="preserve">that </w:t>
      </w:r>
      <w:r w:rsidR="00243E07">
        <w:rPr>
          <w:kern w:val="3"/>
          <w:lang w:eastAsia="zh-CN"/>
        </w:rPr>
        <w:t xml:space="preserve">the soldiers are </w:t>
      </w:r>
      <w:r w:rsidR="001E23AD">
        <w:rPr>
          <w:kern w:val="3"/>
          <w:lang w:eastAsia="zh-CN"/>
        </w:rPr>
        <w:t>prosecuted</w:t>
      </w:r>
      <w:r w:rsidR="00243E07">
        <w:rPr>
          <w:kern w:val="3"/>
          <w:lang w:eastAsia="zh-CN"/>
        </w:rPr>
        <w:t xml:space="preserve">. </w:t>
      </w:r>
      <w:r w:rsidR="005D4526">
        <w:rPr>
          <w:kern w:val="3"/>
          <w:lang w:eastAsia="zh-CN"/>
        </w:rPr>
        <w:t>H</w:t>
      </w:r>
      <w:r w:rsidR="00243E07">
        <w:rPr>
          <w:kern w:val="3"/>
          <w:lang w:eastAsia="zh-CN"/>
        </w:rPr>
        <w:t>e would then be targeted by other S</w:t>
      </w:r>
      <w:r w:rsidR="001E23AD">
        <w:rPr>
          <w:kern w:val="3"/>
          <w:lang w:eastAsia="zh-CN"/>
        </w:rPr>
        <w:t xml:space="preserve">ri </w:t>
      </w:r>
      <w:r w:rsidR="00243E07">
        <w:rPr>
          <w:kern w:val="3"/>
          <w:lang w:eastAsia="zh-CN"/>
        </w:rPr>
        <w:t>L</w:t>
      </w:r>
      <w:r w:rsidR="001E23AD">
        <w:rPr>
          <w:kern w:val="3"/>
          <w:lang w:eastAsia="zh-CN"/>
        </w:rPr>
        <w:t xml:space="preserve">anka </w:t>
      </w:r>
      <w:r w:rsidR="00243E07">
        <w:rPr>
          <w:kern w:val="3"/>
          <w:lang w:eastAsia="zh-CN"/>
        </w:rPr>
        <w:t>A</w:t>
      </w:r>
      <w:r w:rsidR="001E23AD">
        <w:rPr>
          <w:kern w:val="3"/>
          <w:lang w:eastAsia="zh-CN"/>
        </w:rPr>
        <w:t>rmy</w:t>
      </w:r>
      <w:r w:rsidR="00243E07">
        <w:rPr>
          <w:kern w:val="3"/>
          <w:lang w:eastAsia="zh-CN"/>
        </w:rPr>
        <w:t xml:space="preserve"> personnel and would not be able to rely on police protection. </w:t>
      </w:r>
      <w:r w:rsidR="005D4526">
        <w:rPr>
          <w:kern w:val="3"/>
          <w:lang w:eastAsia="zh-CN"/>
        </w:rPr>
        <w:t>A</w:t>
      </w:r>
      <w:r w:rsidR="00243E07">
        <w:rPr>
          <w:kern w:val="3"/>
          <w:lang w:eastAsia="zh-CN"/>
        </w:rPr>
        <w:t xml:space="preserve">s a young Tamil male from the area previously controlled by LTTE </w:t>
      </w:r>
      <w:r w:rsidR="001E23AD">
        <w:rPr>
          <w:kern w:val="3"/>
          <w:lang w:eastAsia="zh-CN"/>
        </w:rPr>
        <w:t xml:space="preserve">and </w:t>
      </w:r>
      <w:r w:rsidR="00243E07">
        <w:rPr>
          <w:kern w:val="3"/>
          <w:lang w:eastAsia="zh-CN"/>
        </w:rPr>
        <w:t xml:space="preserve">who had left Sri Lanka illegally, he would be imputed with strong LTTE links either in order to silence him or </w:t>
      </w:r>
      <w:r w:rsidR="001E23AD">
        <w:rPr>
          <w:kern w:val="3"/>
          <w:lang w:eastAsia="zh-CN"/>
        </w:rPr>
        <w:t>in</w:t>
      </w:r>
      <w:r w:rsidR="00243E07">
        <w:rPr>
          <w:kern w:val="3"/>
          <w:lang w:eastAsia="zh-CN"/>
        </w:rPr>
        <w:t xml:space="preserve"> revenge for having exposed </w:t>
      </w:r>
      <w:r w:rsidR="001E23AD">
        <w:rPr>
          <w:kern w:val="3"/>
          <w:lang w:eastAsia="zh-CN"/>
        </w:rPr>
        <w:t>Army</w:t>
      </w:r>
      <w:r w:rsidR="00243E07">
        <w:rPr>
          <w:kern w:val="3"/>
          <w:lang w:eastAsia="zh-CN"/>
        </w:rPr>
        <w:t xml:space="preserve"> personnel by giving evidence and to discourage others from coming forward to give such evidence. </w:t>
      </w:r>
    </w:p>
    <w:p w:rsidR="00A205F6" w:rsidRDefault="00D20DE1" w:rsidP="00D60A89">
      <w:pPr>
        <w:pStyle w:val="SingleTxtG"/>
        <w:rPr>
          <w:kern w:val="3"/>
          <w:lang w:eastAsia="zh-CN"/>
        </w:rPr>
      </w:pPr>
      <w:r>
        <w:rPr>
          <w:kern w:val="3"/>
          <w:lang w:eastAsia="zh-CN"/>
        </w:rPr>
        <w:t>5.2</w:t>
      </w:r>
      <w:r>
        <w:rPr>
          <w:kern w:val="3"/>
          <w:lang w:eastAsia="zh-CN"/>
        </w:rPr>
        <w:tab/>
      </w:r>
      <w:r w:rsidR="00243E07">
        <w:rPr>
          <w:kern w:val="3"/>
          <w:lang w:eastAsia="zh-CN"/>
        </w:rPr>
        <w:t xml:space="preserve">The complainant further submits that even the </w:t>
      </w:r>
      <w:r w:rsidR="001E23AD">
        <w:rPr>
          <w:kern w:val="3"/>
          <w:lang w:eastAsia="zh-CN"/>
        </w:rPr>
        <w:t>current</w:t>
      </w:r>
      <w:r w:rsidR="00243E07">
        <w:rPr>
          <w:kern w:val="3"/>
          <w:lang w:eastAsia="zh-CN"/>
        </w:rPr>
        <w:t xml:space="preserve"> </w:t>
      </w:r>
      <w:r w:rsidR="001E23AD">
        <w:rPr>
          <w:kern w:val="3"/>
          <w:lang w:eastAsia="zh-CN"/>
        </w:rPr>
        <w:t>G</w:t>
      </w:r>
      <w:r w:rsidR="00243E07">
        <w:rPr>
          <w:kern w:val="3"/>
          <w:lang w:eastAsia="zh-CN"/>
        </w:rPr>
        <w:t>overnment in Sri Lanka has not indicated any intention to repeal the Prevention of Terrorism Act</w:t>
      </w:r>
      <w:r w:rsidR="00ED1A2B">
        <w:rPr>
          <w:kern w:val="3"/>
          <w:lang w:eastAsia="zh-CN"/>
        </w:rPr>
        <w:t xml:space="preserve"> or to release Tamil political prisoners </w:t>
      </w:r>
      <w:r w:rsidR="001E23AD">
        <w:rPr>
          <w:kern w:val="3"/>
          <w:lang w:eastAsia="zh-CN"/>
        </w:rPr>
        <w:t xml:space="preserve">who have been </w:t>
      </w:r>
      <w:r w:rsidR="00ED1A2B">
        <w:rPr>
          <w:kern w:val="3"/>
          <w:lang w:eastAsia="zh-CN"/>
        </w:rPr>
        <w:t>detained in camps for long periods of time without charge. With reference to the country situation reports on Sri Lanka,</w:t>
      </w:r>
      <w:r w:rsidR="00F327A4">
        <w:rPr>
          <w:rStyle w:val="FootnoteReference"/>
          <w:kern w:val="3"/>
          <w:lang w:eastAsia="zh-CN"/>
        </w:rPr>
        <w:footnoteReference w:id="9"/>
      </w:r>
      <w:r w:rsidR="00ED1A2B">
        <w:rPr>
          <w:kern w:val="3"/>
          <w:lang w:eastAsia="zh-CN"/>
        </w:rPr>
        <w:t xml:space="preserve"> he adds that the witnesses of war crimes and those imputed with a pro-LTTE political profile suffer a foreseeable, real and personal risk of being subjected to torture.</w:t>
      </w:r>
      <w:r w:rsidR="00A205F6">
        <w:rPr>
          <w:kern w:val="3"/>
          <w:lang w:eastAsia="zh-CN"/>
        </w:rPr>
        <w:t xml:space="preserve"> This risk is personal and present </w:t>
      </w:r>
      <w:r w:rsidR="005D4526">
        <w:rPr>
          <w:kern w:val="3"/>
          <w:lang w:eastAsia="zh-CN"/>
        </w:rPr>
        <w:t>for him.</w:t>
      </w:r>
      <w:r w:rsidR="00A205F6">
        <w:rPr>
          <w:kern w:val="3"/>
          <w:lang w:eastAsia="zh-CN"/>
        </w:rPr>
        <w:t xml:space="preserve"> Therefore, the State party will</w:t>
      </w:r>
      <w:r w:rsidR="001E23AD">
        <w:rPr>
          <w:kern w:val="3"/>
          <w:lang w:eastAsia="zh-CN"/>
        </w:rPr>
        <w:t xml:space="preserve"> be</w:t>
      </w:r>
      <w:r w:rsidR="00A205F6">
        <w:rPr>
          <w:kern w:val="3"/>
          <w:lang w:eastAsia="zh-CN"/>
        </w:rPr>
        <w:t xml:space="preserve"> violat</w:t>
      </w:r>
      <w:r w:rsidR="001E23AD">
        <w:rPr>
          <w:kern w:val="3"/>
          <w:lang w:eastAsia="zh-CN"/>
        </w:rPr>
        <w:t>ing</w:t>
      </w:r>
      <w:r w:rsidR="00A205F6">
        <w:rPr>
          <w:kern w:val="3"/>
          <w:lang w:eastAsia="zh-CN"/>
        </w:rPr>
        <w:t xml:space="preserve"> its obligations under article 3 of the Convention</w:t>
      </w:r>
      <w:r w:rsidR="001E23AD">
        <w:rPr>
          <w:kern w:val="3"/>
          <w:lang w:eastAsia="zh-CN"/>
        </w:rPr>
        <w:t xml:space="preserve"> if it </w:t>
      </w:r>
      <w:r w:rsidR="00A205F6">
        <w:rPr>
          <w:kern w:val="3"/>
          <w:lang w:eastAsia="zh-CN"/>
        </w:rPr>
        <w:t>deport</w:t>
      </w:r>
      <w:r w:rsidR="001E23AD">
        <w:rPr>
          <w:kern w:val="3"/>
          <w:lang w:eastAsia="zh-CN"/>
        </w:rPr>
        <w:t>s him</w:t>
      </w:r>
      <w:r w:rsidR="00A205F6">
        <w:rPr>
          <w:kern w:val="3"/>
          <w:lang w:eastAsia="zh-CN"/>
        </w:rPr>
        <w:t xml:space="preserve"> to Sri Lanka.</w:t>
      </w:r>
    </w:p>
    <w:p w:rsidR="00243E07" w:rsidRDefault="00D20DE1" w:rsidP="00D60A89">
      <w:pPr>
        <w:pStyle w:val="SingleTxtG"/>
        <w:rPr>
          <w:kern w:val="3"/>
          <w:lang w:eastAsia="zh-CN"/>
        </w:rPr>
      </w:pPr>
      <w:r>
        <w:rPr>
          <w:kern w:val="3"/>
          <w:lang w:eastAsia="zh-CN"/>
        </w:rPr>
        <w:t>5.3</w:t>
      </w:r>
      <w:r>
        <w:rPr>
          <w:kern w:val="3"/>
          <w:lang w:eastAsia="zh-CN"/>
        </w:rPr>
        <w:tab/>
      </w:r>
      <w:r w:rsidR="001E3994">
        <w:rPr>
          <w:kern w:val="3"/>
          <w:lang w:eastAsia="zh-CN"/>
        </w:rPr>
        <w:t>The complainant acknowledges the fact that he did not provide any evidence to corroborate his claims</w:t>
      </w:r>
      <w:r w:rsidR="005E18EF">
        <w:rPr>
          <w:kern w:val="3"/>
          <w:lang w:eastAsia="zh-CN"/>
        </w:rPr>
        <w:t>,</w:t>
      </w:r>
      <w:r w:rsidR="001E3994">
        <w:rPr>
          <w:kern w:val="3"/>
          <w:lang w:eastAsia="zh-CN"/>
        </w:rPr>
        <w:t xml:space="preserve"> other than the death certificate of the woman who</w:t>
      </w:r>
      <w:r w:rsidR="00CC5CE6">
        <w:rPr>
          <w:kern w:val="3"/>
          <w:lang w:eastAsia="zh-CN"/>
        </w:rPr>
        <w:t>se</w:t>
      </w:r>
      <w:r w:rsidR="001E3994">
        <w:rPr>
          <w:kern w:val="3"/>
          <w:lang w:eastAsia="zh-CN"/>
        </w:rPr>
        <w:t xml:space="preserve"> murder he had witnessed. He submits, however, that a careful study of the facts on which the present complaint is based would establish that “this is one of those unfortunate cases where it is impossible to produce further evidence” to substantiate claims. </w:t>
      </w:r>
      <w:r w:rsidR="00041838">
        <w:rPr>
          <w:kern w:val="3"/>
          <w:lang w:eastAsia="zh-CN"/>
        </w:rPr>
        <w:t>H</w:t>
      </w:r>
      <w:r w:rsidR="00B56577">
        <w:rPr>
          <w:kern w:val="3"/>
          <w:lang w:eastAsia="zh-CN"/>
        </w:rPr>
        <w:t xml:space="preserve">e was the only eyewitness </w:t>
      </w:r>
      <w:r w:rsidR="001E23AD">
        <w:rPr>
          <w:kern w:val="3"/>
          <w:lang w:eastAsia="zh-CN"/>
        </w:rPr>
        <w:t>to</w:t>
      </w:r>
      <w:r w:rsidR="00B56577">
        <w:rPr>
          <w:kern w:val="3"/>
          <w:lang w:eastAsia="zh-CN"/>
        </w:rPr>
        <w:t xml:space="preserve"> the murder </w:t>
      </w:r>
      <w:r w:rsidR="00041838">
        <w:rPr>
          <w:kern w:val="3"/>
          <w:lang w:eastAsia="zh-CN"/>
        </w:rPr>
        <w:t xml:space="preserve">and </w:t>
      </w:r>
      <w:r w:rsidR="00B56577">
        <w:rPr>
          <w:kern w:val="3"/>
          <w:lang w:eastAsia="zh-CN"/>
        </w:rPr>
        <w:t xml:space="preserve">the other persons present at the scene were the perpetrators of the crime themselves. </w:t>
      </w:r>
      <w:r w:rsidR="00041838">
        <w:rPr>
          <w:kern w:val="3"/>
          <w:lang w:eastAsia="zh-CN"/>
        </w:rPr>
        <w:t>I</w:t>
      </w:r>
      <w:r w:rsidR="00B56577">
        <w:rPr>
          <w:kern w:val="3"/>
          <w:lang w:eastAsia="zh-CN"/>
        </w:rPr>
        <w:t xml:space="preserve">n the </w:t>
      </w:r>
      <w:r w:rsidR="00CC5CE6">
        <w:rPr>
          <w:kern w:val="3"/>
          <w:lang w:eastAsia="zh-CN"/>
        </w:rPr>
        <w:t xml:space="preserve">particular </w:t>
      </w:r>
      <w:r w:rsidR="00B56577">
        <w:rPr>
          <w:kern w:val="3"/>
          <w:lang w:eastAsia="zh-CN"/>
        </w:rPr>
        <w:t>circumstances of his case, it is unreasonable to reject his claims on the ground of unfoundedness or inability to produce strong evidence.</w:t>
      </w:r>
      <w:r w:rsidR="005C6026">
        <w:rPr>
          <w:kern w:val="3"/>
          <w:lang w:eastAsia="zh-CN"/>
        </w:rPr>
        <w:t xml:space="preserve"> W</w:t>
      </w:r>
      <w:r w:rsidR="0055476C">
        <w:rPr>
          <w:kern w:val="3"/>
          <w:lang w:eastAsia="zh-CN"/>
        </w:rPr>
        <w:t>ith reference to the UNHCR Handbook,</w:t>
      </w:r>
      <w:r w:rsidR="0055476C">
        <w:rPr>
          <w:rStyle w:val="FootnoteReference"/>
          <w:kern w:val="3"/>
          <w:lang w:eastAsia="zh-CN"/>
        </w:rPr>
        <w:footnoteReference w:id="10"/>
      </w:r>
      <w:r w:rsidR="0055476C">
        <w:rPr>
          <w:kern w:val="3"/>
          <w:lang w:eastAsia="zh-CN"/>
        </w:rPr>
        <w:t xml:space="preserve"> </w:t>
      </w:r>
      <w:r w:rsidR="005C6026">
        <w:rPr>
          <w:kern w:val="3"/>
          <w:lang w:eastAsia="zh-CN"/>
        </w:rPr>
        <w:t>he claims that the Australian authorities</w:t>
      </w:r>
      <w:r w:rsidR="00583D3A">
        <w:rPr>
          <w:kern w:val="3"/>
          <w:lang w:eastAsia="zh-CN"/>
        </w:rPr>
        <w:t xml:space="preserve"> </w:t>
      </w:r>
      <w:r w:rsidR="0055476C">
        <w:rPr>
          <w:kern w:val="3"/>
          <w:lang w:eastAsia="zh-CN"/>
        </w:rPr>
        <w:t>should have granted him the “benefit of the doubt”.</w:t>
      </w:r>
      <w:r w:rsidR="00583D3A">
        <w:rPr>
          <w:kern w:val="3"/>
          <w:lang w:eastAsia="zh-CN"/>
        </w:rPr>
        <w:t xml:space="preserve"> </w:t>
      </w:r>
    </w:p>
    <w:p w:rsidR="00393325" w:rsidRDefault="00436DBB" w:rsidP="00D60A89">
      <w:pPr>
        <w:pStyle w:val="SingleTxtG"/>
        <w:rPr>
          <w:w w:val="103"/>
        </w:rPr>
      </w:pPr>
      <w:r>
        <w:rPr>
          <w:kern w:val="3"/>
          <w:lang w:eastAsia="zh-CN"/>
        </w:rPr>
        <w:lastRenderedPageBreak/>
        <w:t>5.4</w:t>
      </w:r>
      <w:r w:rsidR="00D20DE1">
        <w:rPr>
          <w:kern w:val="3"/>
          <w:lang w:eastAsia="zh-CN"/>
        </w:rPr>
        <w:tab/>
      </w:r>
      <w:r w:rsidR="00393325">
        <w:rPr>
          <w:kern w:val="3"/>
          <w:lang w:eastAsia="zh-CN"/>
        </w:rPr>
        <w:t>The complainant submits that one should take in</w:t>
      </w:r>
      <w:r w:rsidR="001E23AD">
        <w:rPr>
          <w:kern w:val="3"/>
          <w:lang w:eastAsia="zh-CN"/>
        </w:rPr>
        <w:t>to</w:t>
      </w:r>
      <w:r w:rsidR="00393325">
        <w:rPr>
          <w:kern w:val="3"/>
          <w:lang w:eastAsia="zh-CN"/>
        </w:rPr>
        <w:t xml:space="preserve"> consideration in assessing his case and his demeanour in answering </w:t>
      </w:r>
      <w:r w:rsidR="001E23AD">
        <w:rPr>
          <w:kern w:val="3"/>
          <w:lang w:eastAsia="zh-CN"/>
        </w:rPr>
        <w:t xml:space="preserve">the </w:t>
      </w:r>
      <w:r w:rsidR="00393325">
        <w:rPr>
          <w:kern w:val="3"/>
          <w:lang w:eastAsia="zh-CN"/>
        </w:rPr>
        <w:t>questions of the State party’s decision</w:t>
      </w:r>
      <w:r w:rsidR="001E23AD">
        <w:rPr>
          <w:kern w:val="3"/>
          <w:lang w:eastAsia="zh-CN"/>
        </w:rPr>
        <w:t xml:space="preserve"> </w:t>
      </w:r>
      <w:r w:rsidR="00393325">
        <w:rPr>
          <w:kern w:val="3"/>
          <w:lang w:eastAsia="zh-CN"/>
        </w:rPr>
        <w:t xml:space="preserve">makers that he was </w:t>
      </w:r>
      <w:r w:rsidR="007051FF">
        <w:rPr>
          <w:kern w:val="3"/>
          <w:lang w:eastAsia="zh-CN"/>
        </w:rPr>
        <w:t xml:space="preserve">still </w:t>
      </w:r>
      <w:r w:rsidR="00393325">
        <w:rPr>
          <w:kern w:val="3"/>
          <w:lang w:eastAsia="zh-CN"/>
        </w:rPr>
        <w:t>a teenager</w:t>
      </w:r>
      <w:r w:rsidR="007051FF">
        <w:rPr>
          <w:kern w:val="3"/>
          <w:lang w:eastAsia="zh-CN"/>
        </w:rPr>
        <w:t xml:space="preserve"> at the time</w:t>
      </w:r>
      <w:r w:rsidR="00393325">
        <w:rPr>
          <w:kern w:val="3"/>
          <w:lang w:eastAsia="zh-CN"/>
        </w:rPr>
        <w:t xml:space="preserve"> </w:t>
      </w:r>
      <w:r w:rsidR="00722392">
        <w:rPr>
          <w:kern w:val="3"/>
          <w:lang w:eastAsia="zh-CN"/>
        </w:rPr>
        <w:t xml:space="preserve">of the incident </w:t>
      </w:r>
      <w:r w:rsidR="00393325">
        <w:rPr>
          <w:kern w:val="3"/>
          <w:lang w:eastAsia="zh-CN"/>
        </w:rPr>
        <w:t>who had undergone a very frightening experience of seeing a woman being strangled</w:t>
      </w:r>
      <w:r w:rsidR="00722392">
        <w:rPr>
          <w:kern w:val="3"/>
          <w:lang w:eastAsia="zh-CN"/>
        </w:rPr>
        <w:t>; he</w:t>
      </w:r>
      <w:r w:rsidR="00393325">
        <w:rPr>
          <w:kern w:val="3"/>
          <w:lang w:eastAsia="zh-CN"/>
        </w:rPr>
        <w:t xml:space="preserve"> </w:t>
      </w:r>
      <w:r w:rsidR="007051FF">
        <w:rPr>
          <w:kern w:val="3"/>
          <w:lang w:eastAsia="zh-CN"/>
        </w:rPr>
        <w:t xml:space="preserve">had </w:t>
      </w:r>
      <w:r w:rsidR="00393325">
        <w:rPr>
          <w:kern w:val="3"/>
          <w:lang w:eastAsia="zh-CN"/>
        </w:rPr>
        <w:t>escap</w:t>
      </w:r>
      <w:r w:rsidR="00722392">
        <w:rPr>
          <w:kern w:val="3"/>
          <w:lang w:eastAsia="zh-CN"/>
        </w:rPr>
        <w:t>ed</w:t>
      </w:r>
      <w:r w:rsidR="00393325">
        <w:rPr>
          <w:kern w:val="3"/>
          <w:lang w:eastAsia="zh-CN"/>
        </w:rPr>
        <w:t xml:space="preserve"> from being abducted</w:t>
      </w:r>
      <w:r w:rsidR="00722392">
        <w:rPr>
          <w:kern w:val="3"/>
          <w:lang w:eastAsia="zh-CN"/>
        </w:rPr>
        <w:t>;</w:t>
      </w:r>
      <w:r w:rsidR="00393325">
        <w:rPr>
          <w:kern w:val="3"/>
          <w:lang w:eastAsia="zh-CN"/>
        </w:rPr>
        <w:t xml:space="preserve"> and </w:t>
      </w:r>
      <w:r w:rsidR="00722392">
        <w:rPr>
          <w:kern w:val="3"/>
          <w:lang w:eastAsia="zh-CN"/>
        </w:rPr>
        <w:t xml:space="preserve">had </w:t>
      </w:r>
      <w:r w:rsidR="00393325">
        <w:rPr>
          <w:kern w:val="3"/>
          <w:lang w:eastAsia="zh-CN"/>
        </w:rPr>
        <w:t>undertak</w:t>
      </w:r>
      <w:r w:rsidR="007051FF">
        <w:rPr>
          <w:kern w:val="3"/>
          <w:lang w:eastAsia="zh-CN"/>
        </w:rPr>
        <w:t>en</w:t>
      </w:r>
      <w:r w:rsidR="00393325">
        <w:rPr>
          <w:kern w:val="3"/>
          <w:lang w:eastAsia="zh-CN"/>
        </w:rPr>
        <w:t xml:space="preserve"> an illegal and perilous boat journey. He was not used to liv</w:t>
      </w:r>
      <w:r w:rsidR="007051FF">
        <w:rPr>
          <w:kern w:val="3"/>
          <w:lang w:eastAsia="zh-CN"/>
        </w:rPr>
        <w:t>ing</w:t>
      </w:r>
      <w:r w:rsidR="00393325">
        <w:rPr>
          <w:kern w:val="3"/>
          <w:lang w:eastAsia="zh-CN"/>
        </w:rPr>
        <w:t xml:space="preserve"> outside of his home </w:t>
      </w:r>
      <w:r w:rsidR="00722392">
        <w:rPr>
          <w:kern w:val="3"/>
          <w:lang w:eastAsia="zh-CN"/>
        </w:rPr>
        <w:t>country</w:t>
      </w:r>
      <w:r w:rsidR="00393325">
        <w:rPr>
          <w:kern w:val="3"/>
          <w:lang w:eastAsia="zh-CN"/>
        </w:rPr>
        <w:t xml:space="preserve"> nor to answering questions under extreme stress and fear for his future safety. </w:t>
      </w:r>
      <w:r w:rsidR="0058796F">
        <w:rPr>
          <w:kern w:val="3"/>
          <w:lang w:eastAsia="zh-CN"/>
        </w:rPr>
        <w:t xml:space="preserve">Therefore, </w:t>
      </w:r>
      <w:r w:rsidR="007051FF">
        <w:rPr>
          <w:kern w:val="3"/>
          <w:lang w:eastAsia="zh-CN"/>
        </w:rPr>
        <w:t>before</w:t>
      </w:r>
      <w:r w:rsidR="0058796F">
        <w:rPr>
          <w:kern w:val="3"/>
          <w:lang w:eastAsia="zh-CN"/>
        </w:rPr>
        <w:t xml:space="preserve"> the interviewers, he </w:t>
      </w:r>
      <w:r w:rsidR="007051FF">
        <w:rPr>
          <w:kern w:val="3"/>
          <w:lang w:eastAsia="zh-CN"/>
        </w:rPr>
        <w:t>may have</w:t>
      </w:r>
      <w:r w:rsidR="0058796F">
        <w:rPr>
          <w:kern w:val="3"/>
          <w:lang w:eastAsia="zh-CN"/>
        </w:rPr>
        <w:t xml:space="preserve"> made small inconsistences in his statements</w:t>
      </w:r>
      <w:r w:rsidR="0058796F">
        <w:rPr>
          <w:w w:val="103"/>
        </w:rPr>
        <w:t>.</w:t>
      </w:r>
    </w:p>
    <w:p w:rsidR="0058796F" w:rsidRDefault="00D20DE1" w:rsidP="00D60A89">
      <w:pPr>
        <w:pStyle w:val="SingleTxtG"/>
        <w:rPr>
          <w:w w:val="103"/>
        </w:rPr>
      </w:pPr>
      <w:r>
        <w:rPr>
          <w:w w:val="103"/>
        </w:rPr>
        <w:t>5.</w:t>
      </w:r>
      <w:r w:rsidR="00436DBB">
        <w:rPr>
          <w:w w:val="103"/>
        </w:rPr>
        <w:t>5</w:t>
      </w:r>
      <w:r>
        <w:rPr>
          <w:w w:val="103"/>
        </w:rPr>
        <w:tab/>
      </w:r>
      <w:r w:rsidR="0058796F">
        <w:rPr>
          <w:w w:val="103"/>
        </w:rPr>
        <w:t xml:space="preserve">The </w:t>
      </w:r>
      <w:r w:rsidR="0058796F">
        <w:rPr>
          <w:kern w:val="3"/>
          <w:lang w:eastAsia="zh-CN"/>
        </w:rPr>
        <w:t>D</w:t>
      </w:r>
      <w:r w:rsidR="0058796F" w:rsidRPr="00B03DB4">
        <w:rPr>
          <w:w w:val="103"/>
        </w:rPr>
        <w:t xml:space="preserve">epartment of Immigration and </w:t>
      </w:r>
      <w:r w:rsidR="00B8197E">
        <w:rPr>
          <w:w w:val="103"/>
        </w:rPr>
        <w:t xml:space="preserve">Citizenship </w:t>
      </w:r>
      <w:r w:rsidR="0058796F">
        <w:rPr>
          <w:w w:val="103"/>
        </w:rPr>
        <w:t xml:space="preserve">noted that the complainant’s claims were inconsistent with his first biodata interview. </w:t>
      </w:r>
      <w:r w:rsidR="00873329">
        <w:rPr>
          <w:w w:val="103"/>
        </w:rPr>
        <w:t>In th</w:t>
      </w:r>
      <w:r w:rsidR="007051FF">
        <w:rPr>
          <w:w w:val="103"/>
        </w:rPr>
        <w:t>at</w:t>
      </w:r>
      <w:r w:rsidR="00873329">
        <w:rPr>
          <w:w w:val="103"/>
        </w:rPr>
        <w:t xml:space="preserve"> </w:t>
      </w:r>
      <w:r w:rsidR="007051FF">
        <w:rPr>
          <w:w w:val="103"/>
        </w:rPr>
        <w:t>respect</w:t>
      </w:r>
      <w:r w:rsidR="00873329">
        <w:rPr>
          <w:w w:val="103"/>
        </w:rPr>
        <w:t xml:space="preserve">, </w:t>
      </w:r>
      <w:r w:rsidR="007051FF">
        <w:rPr>
          <w:w w:val="103"/>
        </w:rPr>
        <w:t>th</w:t>
      </w:r>
      <w:r w:rsidR="00873329">
        <w:rPr>
          <w:w w:val="103"/>
        </w:rPr>
        <w:t xml:space="preserve">e </w:t>
      </w:r>
      <w:r w:rsidR="007051FF">
        <w:rPr>
          <w:w w:val="103"/>
        </w:rPr>
        <w:t xml:space="preserve">complainant </w:t>
      </w:r>
      <w:r w:rsidR="00873329">
        <w:rPr>
          <w:w w:val="103"/>
        </w:rPr>
        <w:t xml:space="preserve">submits that he </w:t>
      </w:r>
      <w:r w:rsidR="007051FF">
        <w:rPr>
          <w:w w:val="103"/>
        </w:rPr>
        <w:t>felt</w:t>
      </w:r>
      <w:r w:rsidR="00873329">
        <w:rPr>
          <w:w w:val="103"/>
        </w:rPr>
        <w:t xml:space="preserve"> rushed in his first biodata interview and </w:t>
      </w:r>
      <w:r w:rsidR="007051FF">
        <w:rPr>
          <w:w w:val="103"/>
        </w:rPr>
        <w:t xml:space="preserve">was </w:t>
      </w:r>
      <w:r w:rsidR="00873329">
        <w:rPr>
          <w:w w:val="103"/>
        </w:rPr>
        <w:t xml:space="preserve">made to summarize his claims in Tamil in one sentence. Furthermore, he was never given an opportunity in the first interview to elaborate </w:t>
      </w:r>
      <w:r w:rsidR="007051FF">
        <w:rPr>
          <w:w w:val="103"/>
        </w:rPr>
        <w:t xml:space="preserve">on </w:t>
      </w:r>
      <w:r w:rsidR="00873329">
        <w:rPr>
          <w:w w:val="103"/>
        </w:rPr>
        <w:t xml:space="preserve">his claims. </w:t>
      </w:r>
      <w:r w:rsidR="00FA6CDF">
        <w:rPr>
          <w:w w:val="103"/>
        </w:rPr>
        <w:t xml:space="preserve">The </w:t>
      </w:r>
      <w:r w:rsidR="00FA6CDF">
        <w:rPr>
          <w:kern w:val="3"/>
          <w:lang w:eastAsia="zh-CN"/>
        </w:rPr>
        <w:t>D</w:t>
      </w:r>
      <w:r w:rsidR="00FA6CDF" w:rsidRPr="00B03DB4">
        <w:rPr>
          <w:w w:val="103"/>
        </w:rPr>
        <w:t xml:space="preserve">epartment of Immigration and </w:t>
      </w:r>
      <w:r w:rsidR="00B8197E">
        <w:rPr>
          <w:w w:val="103"/>
        </w:rPr>
        <w:t xml:space="preserve">Citizenship </w:t>
      </w:r>
      <w:r w:rsidR="00FA6CDF">
        <w:rPr>
          <w:w w:val="103"/>
        </w:rPr>
        <w:t xml:space="preserve">also noted that the complainant’s claims were inconsistent with his first entry interview because he </w:t>
      </w:r>
      <w:r w:rsidR="007051FF">
        <w:rPr>
          <w:w w:val="103"/>
        </w:rPr>
        <w:t xml:space="preserve">had </w:t>
      </w:r>
      <w:r w:rsidR="00FA6CDF">
        <w:rPr>
          <w:w w:val="103"/>
        </w:rPr>
        <w:t>only mentioned one attacker</w:t>
      </w:r>
      <w:r w:rsidR="007051FF">
        <w:rPr>
          <w:w w:val="103"/>
        </w:rPr>
        <w:t xml:space="preserve"> in the incident</w:t>
      </w:r>
      <w:r w:rsidR="00FA6CDF">
        <w:rPr>
          <w:w w:val="103"/>
        </w:rPr>
        <w:t>. The complainant accepts that he only mentioned one attacker and explains that he did so because the other soldier was not participating</w:t>
      </w:r>
      <w:r w:rsidR="007051FF">
        <w:rPr>
          <w:w w:val="103"/>
        </w:rPr>
        <w:t xml:space="preserve"> directly</w:t>
      </w:r>
      <w:r w:rsidR="00FA6CDF">
        <w:rPr>
          <w:w w:val="103"/>
        </w:rPr>
        <w:t xml:space="preserve"> in the attack. The entry interview was also rushed and no further questions were asked. He adds that he also did not mention </w:t>
      </w:r>
      <w:r w:rsidR="007051FF">
        <w:rPr>
          <w:w w:val="103"/>
        </w:rPr>
        <w:t xml:space="preserve">the </w:t>
      </w:r>
      <w:r w:rsidR="00B8197E">
        <w:rPr>
          <w:w w:val="103"/>
        </w:rPr>
        <w:t xml:space="preserve">white </w:t>
      </w:r>
      <w:r w:rsidR="00FA6CDF">
        <w:rPr>
          <w:w w:val="103"/>
        </w:rPr>
        <w:t>van during his entry interview as th</w:t>
      </w:r>
      <w:r w:rsidR="007051FF">
        <w:rPr>
          <w:w w:val="103"/>
        </w:rPr>
        <w:t>at</w:t>
      </w:r>
      <w:r w:rsidR="00FA6CDF">
        <w:rPr>
          <w:w w:val="103"/>
        </w:rPr>
        <w:t xml:space="preserve"> element was not central to his </w:t>
      </w:r>
      <w:r w:rsidR="007051FF">
        <w:rPr>
          <w:w w:val="103"/>
        </w:rPr>
        <w:t>request at that time</w:t>
      </w:r>
      <w:r w:rsidR="00FA6CDF">
        <w:rPr>
          <w:w w:val="103"/>
        </w:rPr>
        <w:t xml:space="preserve"> and he did not think of mentioning it. </w:t>
      </w:r>
    </w:p>
    <w:p w:rsidR="004C1696" w:rsidRDefault="00436DBB" w:rsidP="00D60A89">
      <w:pPr>
        <w:pStyle w:val="SingleTxtG"/>
        <w:rPr>
          <w:w w:val="103"/>
        </w:rPr>
      </w:pPr>
      <w:r>
        <w:rPr>
          <w:w w:val="103"/>
        </w:rPr>
        <w:t>5.6</w:t>
      </w:r>
      <w:r w:rsidR="00D20DE1">
        <w:rPr>
          <w:w w:val="103"/>
        </w:rPr>
        <w:tab/>
      </w:r>
      <w:r w:rsidR="004C1696">
        <w:rPr>
          <w:w w:val="103"/>
        </w:rPr>
        <w:t xml:space="preserve">The complainant submits that the aforementioned inconsistences are minor and can be explained by the fact that he was stressed, required an interpreter and the first interviews were short. However, he was consistent </w:t>
      </w:r>
      <w:r w:rsidR="007051FF">
        <w:rPr>
          <w:w w:val="103"/>
        </w:rPr>
        <w:t xml:space="preserve">in his explanations </w:t>
      </w:r>
      <w:r w:rsidR="004C1696">
        <w:rPr>
          <w:w w:val="103"/>
        </w:rPr>
        <w:t xml:space="preserve">whenever he </w:t>
      </w:r>
      <w:r w:rsidR="007051FF">
        <w:rPr>
          <w:w w:val="103"/>
        </w:rPr>
        <w:t>did</w:t>
      </w:r>
      <w:r w:rsidR="004C1696">
        <w:rPr>
          <w:w w:val="103"/>
        </w:rPr>
        <w:t xml:space="preserve"> not </w:t>
      </w:r>
      <w:r w:rsidR="007051FF">
        <w:rPr>
          <w:w w:val="103"/>
        </w:rPr>
        <w:t xml:space="preserve">feel </w:t>
      </w:r>
      <w:r w:rsidR="004C1696">
        <w:rPr>
          <w:w w:val="103"/>
        </w:rPr>
        <w:t xml:space="preserve">rushed. </w:t>
      </w:r>
    </w:p>
    <w:p w:rsidR="00D20DE1" w:rsidRDefault="00436DBB" w:rsidP="00D60A89">
      <w:pPr>
        <w:pStyle w:val="SingleTxtG"/>
        <w:rPr>
          <w:w w:val="103"/>
        </w:rPr>
      </w:pPr>
      <w:r>
        <w:rPr>
          <w:w w:val="103"/>
        </w:rPr>
        <w:t>5.7</w:t>
      </w:r>
      <w:r w:rsidR="00D20DE1">
        <w:rPr>
          <w:w w:val="103"/>
        </w:rPr>
        <w:tab/>
      </w:r>
      <w:r w:rsidR="00A0002C">
        <w:rPr>
          <w:w w:val="103"/>
        </w:rPr>
        <w:t xml:space="preserve">The complainant </w:t>
      </w:r>
      <w:r w:rsidR="00E06EE2">
        <w:rPr>
          <w:w w:val="103"/>
        </w:rPr>
        <w:t>contends</w:t>
      </w:r>
      <w:r w:rsidR="00A0002C">
        <w:rPr>
          <w:w w:val="103"/>
        </w:rPr>
        <w:t xml:space="preserve"> that the Committee should not accept the R</w:t>
      </w:r>
      <w:r w:rsidR="00E06EE2">
        <w:rPr>
          <w:w w:val="103"/>
        </w:rPr>
        <w:t xml:space="preserve">efugee </w:t>
      </w:r>
      <w:r w:rsidR="00A0002C">
        <w:rPr>
          <w:w w:val="103"/>
        </w:rPr>
        <w:t>R</w:t>
      </w:r>
      <w:r w:rsidR="00E06EE2">
        <w:rPr>
          <w:w w:val="103"/>
        </w:rPr>
        <w:t xml:space="preserve">eview </w:t>
      </w:r>
      <w:r w:rsidR="00A0002C">
        <w:rPr>
          <w:w w:val="103"/>
        </w:rPr>
        <w:t>T</w:t>
      </w:r>
      <w:r w:rsidR="00E06EE2">
        <w:rPr>
          <w:w w:val="103"/>
        </w:rPr>
        <w:t>ribunal</w:t>
      </w:r>
      <w:r w:rsidR="00A0002C">
        <w:rPr>
          <w:w w:val="103"/>
        </w:rPr>
        <w:t xml:space="preserve">’s conclusion </w:t>
      </w:r>
      <w:r w:rsidR="00510AFA">
        <w:rPr>
          <w:w w:val="103"/>
        </w:rPr>
        <w:t xml:space="preserve">about his lack of credibility </w:t>
      </w:r>
      <w:r w:rsidR="00A0002C">
        <w:rPr>
          <w:w w:val="103"/>
        </w:rPr>
        <w:t>for the following reasons: (</w:t>
      </w:r>
      <w:r w:rsidR="00E06EE2">
        <w:rPr>
          <w:w w:val="103"/>
        </w:rPr>
        <w:t>a</w:t>
      </w:r>
      <w:r w:rsidR="00D60A89">
        <w:rPr>
          <w:w w:val="103"/>
        </w:rPr>
        <w:t>) </w:t>
      </w:r>
      <w:r w:rsidR="00A0002C">
        <w:rPr>
          <w:w w:val="103"/>
        </w:rPr>
        <w:t xml:space="preserve">he was asked argumentative questions, such as how a woman could have screamed while being strangled, whereas </w:t>
      </w:r>
      <w:r w:rsidR="00E06EE2">
        <w:rPr>
          <w:w w:val="103"/>
        </w:rPr>
        <w:t xml:space="preserve">in </w:t>
      </w:r>
      <w:r w:rsidR="00A0002C">
        <w:rPr>
          <w:w w:val="103"/>
        </w:rPr>
        <w:t xml:space="preserve">his testimony </w:t>
      </w:r>
      <w:r w:rsidR="00E06EE2">
        <w:rPr>
          <w:w w:val="103"/>
        </w:rPr>
        <w:t xml:space="preserve">he said </w:t>
      </w:r>
      <w:r w:rsidR="00A0002C">
        <w:rPr>
          <w:w w:val="103"/>
        </w:rPr>
        <w:t xml:space="preserve">that he ran towards the house when he heard a woman scream, not when she was being strangled. He was confused about how to explain this obvious position </w:t>
      </w:r>
      <w:r w:rsidR="00B8197E">
        <w:rPr>
          <w:w w:val="103"/>
        </w:rPr>
        <w:t xml:space="preserve">without being </w:t>
      </w:r>
      <w:r w:rsidR="00E06EE2">
        <w:rPr>
          <w:w w:val="103"/>
        </w:rPr>
        <w:t>considered</w:t>
      </w:r>
      <w:r w:rsidR="00A0002C">
        <w:rPr>
          <w:w w:val="103"/>
        </w:rPr>
        <w:t xml:space="preserve"> argumentative and insolent. By repeating his story, </w:t>
      </w:r>
      <w:r w:rsidR="00510AFA">
        <w:rPr>
          <w:w w:val="103"/>
        </w:rPr>
        <w:t>he</w:t>
      </w:r>
      <w:r w:rsidR="00A0002C">
        <w:rPr>
          <w:w w:val="103"/>
        </w:rPr>
        <w:t xml:space="preserve"> was attempting to explain to the T</w:t>
      </w:r>
      <w:r w:rsidR="00E06EE2">
        <w:rPr>
          <w:w w:val="103"/>
        </w:rPr>
        <w:t>ribunal</w:t>
      </w:r>
      <w:r w:rsidR="00A0002C">
        <w:rPr>
          <w:w w:val="103"/>
        </w:rPr>
        <w:t xml:space="preserve"> that the question itself was flawed; (</w:t>
      </w:r>
      <w:r w:rsidR="00E06EE2">
        <w:rPr>
          <w:w w:val="103"/>
        </w:rPr>
        <w:t>b</w:t>
      </w:r>
      <w:r w:rsidR="00A0002C">
        <w:rPr>
          <w:w w:val="103"/>
        </w:rPr>
        <w:t xml:space="preserve">) </w:t>
      </w:r>
      <w:r w:rsidR="00AD2099">
        <w:rPr>
          <w:w w:val="103"/>
        </w:rPr>
        <w:t xml:space="preserve">he was asked questions for which answers were obvious, for example, why </w:t>
      </w:r>
      <w:r w:rsidR="00E06EE2">
        <w:rPr>
          <w:w w:val="103"/>
        </w:rPr>
        <w:t xml:space="preserve">did </w:t>
      </w:r>
      <w:r w:rsidR="00AD2099">
        <w:rPr>
          <w:w w:val="103"/>
        </w:rPr>
        <w:t xml:space="preserve">he complain to the police. He thought that it was incumbent on any person who had witnessed a crime to report it to the police, as required by law and for one’s own safety. </w:t>
      </w:r>
      <w:r w:rsidR="00510AFA">
        <w:rPr>
          <w:w w:val="103"/>
        </w:rPr>
        <w:t>He</w:t>
      </w:r>
      <w:r w:rsidR="00AD2099">
        <w:rPr>
          <w:w w:val="103"/>
        </w:rPr>
        <w:t xml:space="preserve"> was confused </w:t>
      </w:r>
      <w:r w:rsidR="00E06EE2">
        <w:rPr>
          <w:w w:val="103"/>
        </w:rPr>
        <w:t xml:space="preserve">as to </w:t>
      </w:r>
      <w:r w:rsidR="00AD2099">
        <w:rPr>
          <w:w w:val="103"/>
        </w:rPr>
        <w:t xml:space="preserve">why such questions were being asked and thought that he was actually being asked about the facts of his case. </w:t>
      </w:r>
      <w:r w:rsidR="00AD2099" w:rsidRPr="005F53D8">
        <w:rPr>
          <w:w w:val="103"/>
        </w:rPr>
        <w:t>Later, the T</w:t>
      </w:r>
      <w:r w:rsidR="00E06EE2" w:rsidRPr="005F53D8">
        <w:rPr>
          <w:w w:val="103"/>
        </w:rPr>
        <w:t>ribunal</w:t>
      </w:r>
      <w:r w:rsidR="00AD2099">
        <w:rPr>
          <w:w w:val="103"/>
        </w:rPr>
        <w:t xml:space="preserve"> rephrased the question and he answer</w:t>
      </w:r>
      <w:r w:rsidR="005F53D8">
        <w:rPr>
          <w:w w:val="103"/>
        </w:rPr>
        <w:t>ed</w:t>
      </w:r>
      <w:r w:rsidR="00AD2099">
        <w:rPr>
          <w:w w:val="103"/>
        </w:rPr>
        <w:t xml:space="preserve"> the newly formulated question; (</w:t>
      </w:r>
      <w:r w:rsidR="005F53D8">
        <w:rPr>
          <w:w w:val="103"/>
        </w:rPr>
        <w:t>c</w:t>
      </w:r>
      <w:r w:rsidR="00AD2099">
        <w:rPr>
          <w:w w:val="103"/>
        </w:rPr>
        <w:t xml:space="preserve">) </w:t>
      </w:r>
      <w:r w:rsidR="005F53D8">
        <w:rPr>
          <w:w w:val="103"/>
        </w:rPr>
        <w:t>he</w:t>
      </w:r>
      <w:r w:rsidR="007678C2">
        <w:rPr>
          <w:w w:val="103"/>
        </w:rPr>
        <w:t xml:space="preserve"> does not understand how he could have been more “spontaneous” and yet answer the T</w:t>
      </w:r>
      <w:r w:rsidR="005F53D8">
        <w:rPr>
          <w:w w:val="103"/>
        </w:rPr>
        <w:t>ribunal</w:t>
      </w:r>
      <w:r w:rsidR="007678C2">
        <w:rPr>
          <w:w w:val="103"/>
        </w:rPr>
        <w:t xml:space="preserve">’s question </w:t>
      </w:r>
      <w:r w:rsidR="005F53D8">
        <w:rPr>
          <w:w w:val="103"/>
        </w:rPr>
        <w:t>as to</w:t>
      </w:r>
      <w:r w:rsidR="007678C2">
        <w:rPr>
          <w:w w:val="103"/>
        </w:rPr>
        <w:t xml:space="preserve"> whether he had seen the three men who allegedly came to his house one night; (</w:t>
      </w:r>
      <w:r w:rsidR="005F53D8">
        <w:rPr>
          <w:w w:val="103"/>
        </w:rPr>
        <w:t>d</w:t>
      </w:r>
      <w:r w:rsidR="007678C2">
        <w:rPr>
          <w:w w:val="103"/>
        </w:rPr>
        <w:t>) he accepts that he did not immediately answer the T</w:t>
      </w:r>
      <w:r w:rsidR="005F53D8">
        <w:rPr>
          <w:w w:val="103"/>
        </w:rPr>
        <w:t>ribunal</w:t>
      </w:r>
      <w:r w:rsidR="007678C2">
        <w:rPr>
          <w:w w:val="103"/>
        </w:rPr>
        <w:t xml:space="preserve">’s question </w:t>
      </w:r>
      <w:r w:rsidR="005F53D8">
        <w:rPr>
          <w:w w:val="103"/>
        </w:rPr>
        <w:t>as to</w:t>
      </w:r>
      <w:r w:rsidR="007678C2">
        <w:rPr>
          <w:w w:val="103"/>
        </w:rPr>
        <w:t xml:space="preserve"> why the men had come to his house, </w:t>
      </w:r>
      <w:r w:rsidR="005F53D8">
        <w:rPr>
          <w:w w:val="103"/>
        </w:rPr>
        <w:t>because</w:t>
      </w:r>
      <w:r w:rsidR="007678C2">
        <w:rPr>
          <w:w w:val="103"/>
        </w:rPr>
        <w:t xml:space="preserve"> he </w:t>
      </w:r>
      <w:r w:rsidR="005F53D8">
        <w:rPr>
          <w:w w:val="103"/>
        </w:rPr>
        <w:t>did</w:t>
      </w:r>
      <w:r w:rsidR="007678C2">
        <w:rPr>
          <w:w w:val="103"/>
        </w:rPr>
        <w:t xml:space="preserve"> not speak English and </w:t>
      </w:r>
      <w:r w:rsidR="005F53D8">
        <w:rPr>
          <w:w w:val="103"/>
        </w:rPr>
        <w:t>found it</w:t>
      </w:r>
      <w:r w:rsidR="007678C2">
        <w:rPr>
          <w:w w:val="103"/>
        </w:rPr>
        <w:t xml:space="preserve"> difficult using an interpreter. However, when the question was rephrased, he </w:t>
      </w:r>
      <w:r w:rsidR="005F53D8">
        <w:rPr>
          <w:w w:val="103"/>
        </w:rPr>
        <w:t xml:space="preserve">did </w:t>
      </w:r>
      <w:r w:rsidR="007678C2">
        <w:rPr>
          <w:w w:val="103"/>
        </w:rPr>
        <w:t>answer</w:t>
      </w:r>
      <w:r w:rsidR="005F53D8">
        <w:rPr>
          <w:w w:val="103"/>
        </w:rPr>
        <w:t xml:space="preserve"> the</w:t>
      </w:r>
      <w:r w:rsidR="007678C2">
        <w:rPr>
          <w:w w:val="103"/>
        </w:rPr>
        <w:t xml:space="preserve"> newly formulated question; (</w:t>
      </w:r>
      <w:r w:rsidR="005F53D8">
        <w:rPr>
          <w:w w:val="103"/>
        </w:rPr>
        <w:t>e</w:t>
      </w:r>
      <w:r w:rsidR="007678C2">
        <w:rPr>
          <w:w w:val="103"/>
        </w:rPr>
        <w:t>) he accepts that he did not answer the T</w:t>
      </w:r>
      <w:r w:rsidR="005F53D8">
        <w:rPr>
          <w:w w:val="103"/>
        </w:rPr>
        <w:t>ribunal</w:t>
      </w:r>
      <w:r w:rsidR="007678C2">
        <w:rPr>
          <w:w w:val="103"/>
        </w:rPr>
        <w:t xml:space="preserve">’s question </w:t>
      </w:r>
      <w:r w:rsidR="005F53D8">
        <w:rPr>
          <w:w w:val="103"/>
        </w:rPr>
        <w:t>as to</w:t>
      </w:r>
      <w:r w:rsidR="007678C2">
        <w:rPr>
          <w:w w:val="103"/>
        </w:rPr>
        <w:t xml:space="preserve"> why members of the S</w:t>
      </w:r>
      <w:r w:rsidR="005F53D8">
        <w:rPr>
          <w:w w:val="103"/>
        </w:rPr>
        <w:t xml:space="preserve">ri </w:t>
      </w:r>
      <w:r w:rsidR="007678C2">
        <w:rPr>
          <w:w w:val="103"/>
        </w:rPr>
        <w:t>L</w:t>
      </w:r>
      <w:r w:rsidR="005F53D8">
        <w:rPr>
          <w:w w:val="103"/>
        </w:rPr>
        <w:t xml:space="preserve">anka </w:t>
      </w:r>
      <w:r w:rsidR="007678C2">
        <w:rPr>
          <w:w w:val="103"/>
        </w:rPr>
        <w:t>A</w:t>
      </w:r>
      <w:r w:rsidR="005F53D8">
        <w:rPr>
          <w:w w:val="103"/>
        </w:rPr>
        <w:t>rmy</w:t>
      </w:r>
      <w:r w:rsidR="007678C2">
        <w:rPr>
          <w:w w:val="103"/>
        </w:rPr>
        <w:t xml:space="preserve"> involved in </w:t>
      </w:r>
      <w:r w:rsidR="005F53D8">
        <w:rPr>
          <w:w w:val="103"/>
        </w:rPr>
        <w:t>an</w:t>
      </w:r>
      <w:r w:rsidR="007678C2">
        <w:rPr>
          <w:w w:val="103"/>
        </w:rPr>
        <w:t xml:space="preserve"> alleged murder would pursue him, when it would connect them to the alleged murder, because he </w:t>
      </w:r>
      <w:r w:rsidR="005F53D8">
        <w:rPr>
          <w:w w:val="103"/>
        </w:rPr>
        <w:t>did</w:t>
      </w:r>
      <w:r w:rsidR="007678C2">
        <w:rPr>
          <w:w w:val="103"/>
        </w:rPr>
        <w:t xml:space="preserve"> not speak English and the interpretation sometimes confused him. Unfortunately, he was unaware that he had inadvertently mis</w:t>
      </w:r>
      <w:r w:rsidR="005F53D8">
        <w:rPr>
          <w:w w:val="103"/>
        </w:rPr>
        <w:t>understood</w:t>
      </w:r>
      <w:r w:rsidR="007678C2">
        <w:rPr>
          <w:w w:val="103"/>
        </w:rPr>
        <w:t xml:space="preserve"> the question</w:t>
      </w:r>
      <w:r w:rsidR="00713068">
        <w:rPr>
          <w:w w:val="103"/>
        </w:rPr>
        <w:t>; (</w:t>
      </w:r>
      <w:r w:rsidR="005F53D8">
        <w:rPr>
          <w:w w:val="103"/>
        </w:rPr>
        <w:t>f</w:t>
      </w:r>
      <w:r w:rsidR="00713068">
        <w:rPr>
          <w:w w:val="103"/>
        </w:rPr>
        <w:t xml:space="preserve">) </w:t>
      </w:r>
      <w:r w:rsidR="005F53D8">
        <w:rPr>
          <w:w w:val="103"/>
        </w:rPr>
        <w:t>regarding</w:t>
      </w:r>
      <w:r w:rsidR="00713068">
        <w:rPr>
          <w:w w:val="103"/>
        </w:rPr>
        <w:t xml:space="preserve"> his inability to explain to the T</w:t>
      </w:r>
      <w:r w:rsidR="005F53D8">
        <w:rPr>
          <w:w w:val="103"/>
        </w:rPr>
        <w:t>ribunal</w:t>
      </w:r>
      <w:r w:rsidR="00713068">
        <w:rPr>
          <w:w w:val="103"/>
        </w:rPr>
        <w:t xml:space="preserve"> the exact means through which his father had </w:t>
      </w:r>
      <w:r w:rsidR="00510AFA">
        <w:rPr>
          <w:w w:val="103"/>
        </w:rPr>
        <w:t xml:space="preserve">found out about </w:t>
      </w:r>
      <w:r w:rsidR="00713068">
        <w:rPr>
          <w:w w:val="103"/>
        </w:rPr>
        <w:t xml:space="preserve">the murder of </w:t>
      </w:r>
      <w:r w:rsidR="00510AFA">
        <w:rPr>
          <w:w w:val="103"/>
        </w:rPr>
        <w:t xml:space="preserve">the </w:t>
      </w:r>
      <w:r w:rsidR="00713068">
        <w:rPr>
          <w:w w:val="103"/>
        </w:rPr>
        <w:t>woman</w:t>
      </w:r>
      <w:r w:rsidR="005F53D8">
        <w:rPr>
          <w:w w:val="103"/>
        </w:rPr>
        <w:t>,</w:t>
      </w:r>
      <w:r w:rsidR="00713068">
        <w:rPr>
          <w:w w:val="103"/>
        </w:rPr>
        <w:t xml:space="preserve"> he submits that he was not given time to ask his father, instead, he was declared not credible; (</w:t>
      </w:r>
      <w:r w:rsidR="005F53D8">
        <w:rPr>
          <w:w w:val="103"/>
        </w:rPr>
        <w:t>g</w:t>
      </w:r>
      <w:r w:rsidR="00713068">
        <w:rPr>
          <w:w w:val="103"/>
        </w:rPr>
        <w:t>) he submits that, in the specific circumstances of his case, it is unreasonable to expect him to remember the exact characteristics of the soldiers who were present at the crime scene; (</w:t>
      </w:r>
      <w:r w:rsidR="005F53D8">
        <w:rPr>
          <w:w w:val="103"/>
        </w:rPr>
        <w:t>h</w:t>
      </w:r>
      <w:r w:rsidR="00713068">
        <w:rPr>
          <w:w w:val="103"/>
        </w:rPr>
        <w:t xml:space="preserve">) he also argues that </w:t>
      </w:r>
      <w:r w:rsidR="009F10B3">
        <w:rPr>
          <w:w w:val="103"/>
        </w:rPr>
        <w:t xml:space="preserve">it is unreasonable to expect him </w:t>
      </w:r>
      <w:r w:rsidR="009F10B3">
        <w:rPr>
          <w:w w:val="103"/>
        </w:rPr>
        <w:lastRenderedPageBreak/>
        <w:t xml:space="preserve">to recall the exact address of the crime scene or </w:t>
      </w:r>
      <w:r w:rsidR="005F53D8">
        <w:rPr>
          <w:w w:val="103"/>
        </w:rPr>
        <w:t xml:space="preserve">of </w:t>
      </w:r>
      <w:r w:rsidR="009F10B3">
        <w:rPr>
          <w:w w:val="103"/>
        </w:rPr>
        <w:t xml:space="preserve">his worksite, since he </w:t>
      </w:r>
      <w:r w:rsidR="005F53D8">
        <w:rPr>
          <w:w w:val="103"/>
        </w:rPr>
        <w:t>knew how</w:t>
      </w:r>
      <w:r w:rsidR="009F10B3">
        <w:rPr>
          <w:w w:val="103"/>
        </w:rPr>
        <w:t xml:space="preserve"> to get there </w:t>
      </w:r>
      <w:r w:rsidR="005F53D8">
        <w:rPr>
          <w:w w:val="103"/>
        </w:rPr>
        <w:t>by</w:t>
      </w:r>
      <w:r w:rsidR="009F10B3">
        <w:rPr>
          <w:w w:val="103"/>
        </w:rPr>
        <w:t xml:space="preserve"> visual memory </w:t>
      </w:r>
      <w:r w:rsidR="00722392">
        <w:rPr>
          <w:w w:val="103"/>
        </w:rPr>
        <w:t>as</w:t>
      </w:r>
      <w:r w:rsidR="009F10B3">
        <w:rPr>
          <w:w w:val="103"/>
        </w:rPr>
        <w:t xml:space="preserve"> street names and house numbers are not common in rural and remote areas of Sri Lanka; (</w:t>
      </w:r>
      <w:r w:rsidR="005F53D8">
        <w:rPr>
          <w:w w:val="103"/>
        </w:rPr>
        <w:t>i</w:t>
      </w:r>
      <w:r w:rsidR="009F10B3">
        <w:rPr>
          <w:w w:val="103"/>
        </w:rPr>
        <w:t xml:space="preserve">) </w:t>
      </w:r>
      <w:r w:rsidR="002B0E12">
        <w:rPr>
          <w:w w:val="103"/>
        </w:rPr>
        <w:t>as to the T</w:t>
      </w:r>
      <w:r w:rsidR="005F53D8">
        <w:rPr>
          <w:w w:val="103"/>
        </w:rPr>
        <w:t>ribunal</w:t>
      </w:r>
      <w:r w:rsidR="002B0E12">
        <w:rPr>
          <w:w w:val="103"/>
        </w:rPr>
        <w:t xml:space="preserve">’s finding that it was implausible </w:t>
      </w:r>
      <w:r w:rsidR="005F53D8">
        <w:rPr>
          <w:w w:val="103"/>
        </w:rPr>
        <w:t>that he had stayed</w:t>
      </w:r>
      <w:r w:rsidR="002B0E12">
        <w:rPr>
          <w:w w:val="103"/>
        </w:rPr>
        <w:t xml:space="preserve"> four months </w:t>
      </w:r>
      <w:r w:rsidR="005F53D8">
        <w:rPr>
          <w:w w:val="103"/>
        </w:rPr>
        <w:t xml:space="preserve">before </w:t>
      </w:r>
      <w:r w:rsidR="002B0E12">
        <w:rPr>
          <w:w w:val="103"/>
        </w:rPr>
        <w:t>leav</w:t>
      </w:r>
      <w:r w:rsidR="005F53D8">
        <w:rPr>
          <w:w w:val="103"/>
        </w:rPr>
        <w:t>ing</w:t>
      </w:r>
      <w:r w:rsidR="002B0E12">
        <w:rPr>
          <w:w w:val="103"/>
        </w:rPr>
        <w:t xml:space="preserve"> Sri Lanka, he argues that four months is a short period of time to decide to leave one’s home country forever, as he first wanted to see whether the problem would subside on its own and his first attempt to leave Sri Lanka earlier </w:t>
      </w:r>
      <w:r w:rsidR="00D0330C">
        <w:rPr>
          <w:w w:val="103"/>
        </w:rPr>
        <w:t xml:space="preserve">had </w:t>
      </w:r>
      <w:r w:rsidR="002B0E12">
        <w:rPr>
          <w:w w:val="103"/>
        </w:rPr>
        <w:t>failed; and (</w:t>
      </w:r>
      <w:r w:rsidR="00D0330C">
        <w:rPr>
          <w:w w:val="103"/>
        </w:rPr>
        <w:t>j</w:t>
      </w:r>
      <w:r w:rsidR="002B0E12">
        <w:rPr>
          <w:w w:val="103"/>
        </w:rPr>
        <w:t>) contrary to the State party</w:t>
      </w:r>
      <w:r w:rsidR="00862991">
        <w:rPr>
          <w:w w:val="103"/>
        </w:rPr>
        <w:t>’s claims</w:t>
      </w:r>
      <w:r w:rsidR="002B0E12">
        <w:rPr>
          <w:w w:val="103"/>
        </w:rPr>
        <w:t xml:space="preserve"> (see para</w:t>
      </w:r>
      <w:r w:rsidR="00D0330C">
        <w:rPr>
          <w:w w:val="103"/>
        </w:rPr>
        <w:t>.</w:t>
      </w:r>
      <w:r w:rsidR="002B0E12">
        <w:rPr>
          <w:w w:val="103"/>
        </w:rPr>
        <w:t xml:space="preserve"> 4.</w:t>
      </w:r>
      <w:r w:rsidR="00862991">
        <w:rPr>
          <w:w w:val="103"/>
        </w:rPr>
        <w:t>8</w:t>
      </w:r>
      <w:r w:rsidR="00D0330C">
        <w:rPr>
          <w:w w:val="103"/>
        </w:rPr>
        <w:t xml:space="preserve"> above</w:t>
      </w:r>
      <w:r w:rsidR="002B0E12">
        <w:rPr>
          <w:w w:val="103"/>
        </w:rPr>
        <w:t xml:space="preserve">), the complainant </w:t>
      </w:r>
      <w:r w:rsidR="00862991">
        <w:rPr>
          <w:w w:val="103"/>
        </w:rPr>
        <w:t>states</w:t>
      </w:r>
      <w:r w:rsidR="002B0E12">
        <w:rPr>
          <w:w w:val="103"/>
        </w:rPr>
        <w:t xml:space="preserve"> that he clearly told the T</w:t>
      </w:r>
      <w:r w:rsidR="00862991">
        <w:rPr>
          <w:w w:val="103"/>
        </w:rPr>
        <w:t>ribunal</w:t>
      </w:r>
      <w:r w:rsidR="002B0E12">
        <w:rPr>
          <w:w w:val="103"/>
        </w:rPr>
        <w:t xml:space="preserve"> that the Sri Lankan authorities visited his house for the third time </w:t>
      </w:r>
      <w:r w:rsidR="00722392">
        <w:rPr>
          <w:w w:val="103"/>
        </w:rPr>
        <w:t>after</w:t>
      </w:r>
      <w:r w:rsidR="002B0E12">
        <w:rPr>
          <w:w w:val="103"/>
        </w:rPr>
        <w:t xml:space="preserve"> he had already left for Australia.</w:t>
      </w:r>
      <w:r w:rsidR="00713068">
        <w:rPr>
          <w:w w:val="103"/>
        </w:rPr>
        <w:t xml:space="preserve"> </w:t>
      </w:r>
      <w:r w:rsidR="002B0E12">
        <w:rPr>
          <w:w w:val="103"/>
        </w:rPr>
        <w:t>In conclusion, the complainant submits that</w:t>
      </w:r>
      <w:r>
        <w:rPr>
          <w:w w:val="103"/>
        </w:rPr>
        <w:t xml:space="preserve"> </w:t>
      </w:r>
      <w:r w:rsidR="00741B1D">
        <w:rPr>
          <w:w w:val="103"/>
        </w:rPr>
        <w:t>i</w:t>
      </w:r>
      <w:r w:rsidR="002B0E12">
        <w:rPr>
          <w:w w:val="103"/>
        </w:rPr>
        <w:t xml:space="preserve">t was unfair </w:t>
      </w:r>
      <w:r w:rsidR="00862991">
        <w:rPr>
          <w:w w:val="103"/>
        </w:rPr>
        <w:t>of</w:t>
      </w:r>
      <w:r w:rsidR="002B0E12">
        <w:rPr>
          <w:w w:val="103"/>
        </w:rPr>
        <w:t xml:space="preserve"> the R</w:t>
      </w:r>
      <w:r w:rsidR="00862991">
        <w:rPr>
          <w:w w:val="103"/>
        </w:rPr>
        <w:t xml:space="preserve">efugee </w:t>
      </w:r>
      <w:r w:rsidR="002B0E12">
        <w:rPr>
          <w:w w:val="103"/>
        </w:rPr>
        <w:t>R</w:t>
      </w:r>
      <w:r w:rsidR="00862991">
        <w:rPr>
          <w:w w:val="103"/>
        </w:rPr>
        <w:t xml:space="preserve">eview </w:t>
      </w:r>
      <w:r w:rsidR="002B0E12">
        <w:rPr>
          <w:w w:val="103"/>
        </w:rPr>
        <w:t>T</w:t>
      </w:r>
      <w:r w:rsidR="00862991">
        <w:rPr>
          <w:w w:val="103"/>
        </w:rPr>
        <w:t>ribunal</w:t>
      </w:r>
      <w:r w:rsidR="002B0E12">
        <w:rPr>
          <w:w w:val="103"/>
        </w:rPr>
        <w:t xml:space="preserve"> to rely on small and explainable discrepancies to dismiss his general credibility. </w:t>
      </w:r>
    </w:p>
    <w:p w:rsidR="00D20DE1" w:rsidRDefault="00A82036" w:rsidP="00D60A89">
      <w:pPr>
        <w:pStyle w:val="SingleTxtG"/>
        <w:rPr>
          <w:w w:val="103"/>
        </w:rPr>
      </w:pPr>
      <w:r>
        <w:rPr>
          <w:w w:val="103"/>
        </w:rPr>
        <w:t>5.8</w:t>
      </w:r>
      <w:r w:rsidR="00D20DE1">
        <w:rPr>
          <w:w w:val="103"/>
        </w:rPr>
        <w:tab/>
        <w:t>The complainant submits that, according to the State party’s law, the decision</w:t>
      </w:r>
      <w:r w:rsidR="00862991">
        <w:rPr>
          <w:w w:val="103"/>
        </w:rPr>
        <w:t xml:space="preserve"> of the Tribunal</w:t>
      </w:r>
      <w:r w:rsidR="00D20DE1">
        <w:rPr>
          <w:w w:val="103"/>
        </w:rPr>
        <w:t xml:space="preserve"> </w:t>
      </w:r>
      <w:r w:rsidR="00862991">
        <w:rPr>
          <w:w w:val="103"/>
        </w:rPr>
        <w:t>may only</w:t>
      </w:r>
      <w:r w:rsidR="00D20DE1">
        <w:rPr>
          <w:w w:val="103"/>
        </w:rPr>
        <w:t xml:space="preserve"> be challenged on </w:t>
      </w:r>
      <w:r w:rsidR="00862991">
        <w:rPr>
          <w:w w:val="103"/>
        </w:rPr>
        <w:t xml:space="preserve">the </w:t>
      </w:r>
      <w:r w:rsidR="00D20DE1">
        <w:rPr>
          <w:w w:val="103"/>
        </w:rPr>
        <w:t>grounds of jurisdictional errors. However, the courts’ inability to find a jurisdictional error is unrelated to whether article 3 of the Convention w</w:t>
      </w:r>
      <w:r w:rsidR="00862991">
        <w:rPr>
          <w:w w:val="103"/>
        </w:rPr>
        <w:t>ould</w:t>
      </w:r>
      <w:r w:rsidR="00D20DE1">
        <w:rPr>
          <w:w w:val="103"/>
        </w:rPr>
        <w:t xml:space="preserve"> be violated in case of his return to Sri Lanka. </w:t>
      </w:r>
    </w:p>
    <w:p w:rsidR="00FF1862" w:rsidRPr="00D20DE1" w:rsidRDefault="00D20DE1" w:rsidP="00D60A89">
      <w:pPr>
        <w:pStyle w:val="SingleTxtG"/>
        <w:rPr>
          <w:w w:val="103"/>
        </w:rPr>
      </w:pPr>
      <w:r>
        <w:rPr>
          <w:w w:val="103"/>
        </w:rPr>
        <w:t>5.</w:t>
      </w:r>
      <w:r w:rsidR="00A82036">
        <w:rPr>
          <w:w w:val="103"/>
        </w:rPr>
        <w:t>9</w:t>
      </w:r>
      <w:r>
        <w:rPr>
          <w:w w:val="103"/>
        </w:rPr>
        <w:tab/>
        <w:t>Last</w:t>
      </w:r>
      <w:r w:rsidR="00741B1D">
        <w:rPr>
          <w:w w:val="103"/>
        </w:rPr>
        <w:t>ly</w:t>
      </w:r>
      <w:r>
        <w:rPr>
          <w:w w:val="103"/>
        </w:rPr>
        <w:t xml:space="preserve">, the complainant argues that the ministerial intervention on humanitarian grounds is highly discretionary and did not adequately consider whether the </w:t>
      </w:r>
      <w:r w:rsidR="00862991">
        <w:rPr>
          <w:w w:val="103"/>
        </w:rPr>
        <w:t>Tribunal</w:t>
      </w:r>
      <w:r>
        <w:rPr>
          <w:w w:val="103"/>
        </w:rPr>
        <w:t xml:space="preserve"> was mistaken in its finding.</w:t>
      </w:r>
      <w:r w:rsidR="004A7E15">
        <w:rPr>
          <w:w w:val="103"/>
        </w:rPr>
        <w:t xml:space="preserve"> </w:t>
      </w:r>
    </w:p>
    <w:p w:rsidR="00CA7A6D" w:rsidRDefault="00626245" w:rsidP="00626245">
      <w:pPr>
        <w:pStyle w:val="H23G"/>
        <w:rPr>
          <w:lang w:eastAsia="zh-CN"/>
        </w:rPr>
      </w:pPr>
      <w:r>
        <w:rPr>
          <w:lang w:eastAsia="zh-CN"/>
        </w:rPr>
        <w:tab/>
      </w:r>
      <w:r>
        <w:rPr>
          <w:lang w:eastAsia="zh-CN"/>
        </w:rPr>
        <w:tab/>
      </w:r>
      <w:r w:rsidR="00F164D6" w:rsidRPr="00F164D6">
        <w:rPr>
          <w:lang w:eastAsia="zh-CN"/>
        </w:rPr>
        <w:t>Issues and proceedings before the Committee</w:t>
      </w:r>
    </w:p>
    <w:p w:rsidR="00CA7A6D" w:rsidRDefault="004A7E15" w:rsidP="00D60A89">
      <w:pPr>
        <w:pStyle w:val="H4G"/>
        <w:rPr>
          <w:lang w:eastAsia="zh-CN"/>
        </w:rPr>
      </w:pPr>
      <w:r>
        <w:rPr>
          <w:lang w:eastAsia="zh-CN"/>
        </w:rPr>
        <w:tab/>
      </w:r>
      <w:r>
        <w:rPr>
          <w:lang w:eastAsia="zh-CN"/>
        </w:rPr>
        <w:tab/>
      </w:r>
      <w:r w:rsidR="00F164D6" w:rsidRPr="00F164D6">
        <w:rPr>
          <w:lang w:eastAsia="zh-CN"/>
        </w:rPr>
        <w:t>Consideration of admissibility</w:t>
      </w:r>
    </w:p>
    <w:p w:rsidR="00007DA9" w:rsidRPr="00015B99" w:rsidRDefault="00007DA9" w:rsidP="00165A19">
      <w:pPr>
        <w:pStyle w:val="SingleTxtG"/>
      </w:pPr>
      <w:r>
        <w:t>6</w:t>
      </w:r>
      <w:r w:rsidRPr="00015B99">
        <w:t>.1</w:t>
      </w:r>
      <w:r w:rsidRPr="00015B99">
        <w:tab/>
        <w:t xml:space="preserve">Before considering any </w:t>
      </w:r>
      <w:r>
        <w:t xml:space="preserve">claim </w:t>
      </w:r>
      <w:r w:rsidR="00D4227B">
        <w:t>submitted in a communication</w:t>
      </w:r>
      <w:r w:rsidRPr="00015B99">
        <w:t>, the Committee must decide whether it is admissible under article 22 of the Convention. The Committee has ascertained, as it is required to do under article 22</w:t>
      </w:r>
      <w:r w:rsidR="00D4227B">
        <w:t xml:space="preserve"> (</w:t>
      </w:r>
      <w:r w:rsidRPr="00015B99">
        <w:t>5</w:t>
      </w:r>
      <w:r w:rsidR="00D4227B">
        <w:t>)</w:t>
      </w:r>
      <w:r>
        <w:t xml:space="preserve"> </w:t>
      </w:r>
      <w:r w:rsidRPr="00015B99">
        <w:t xml:space="preserve">(a) of the Convention, that the same matter has not been and is not being examined under another procedure of international investigation or settlement. </w:t>
      </w:r>
    </w:p>
    <w:p w:rsidR="00007DA9" w:rsidRDefault="00007DA9" w:rsidP="00D4227B">
      <w:pPr>
        <w:pStyle w:val="SingleTxtG"/>
        <w:rPr>
          <w:w w:val="103"/>
        </w:rPr>
      </w:pPr>
      <w:r>
        <w:rPr>
          <w:w w:val="103"/>
        </w:rPr>
        <w:t>6</w:t>
      </w:r>
      <w:r w:rsidRPr="00015B99">
        <w:rPr>
          <w:w w:val="103"/>
        </w:rPr>
        <w:t>.2</w:t>
      </w:r>
      <w:r w:rsidRPr="00015B99">
        <w:rPr>
          <w:w w:val="103"/>
        </w:rPr>
        <w:tab/>
        <w:t>The Committee recalls that, in accordance with article 22</w:t>
      </w:r>
      <w:r w:rsidR="00D4227B">
        <w:rPr>
          <w:w w:val="103"/>
        </w:rPr>
        <w:t xml:space="preserve"> (</w:t>
      </w:r>
      <w:r w:rsidRPr="00015B99">
        <w:rPr>
          <w:w w:val="103"/>
        </w:rPr>
        <w:t>5</w:t>
      </w:r>
      <w:r w:rsidR="00D4227B">
        <w:rPr>
          <w:w w:val="103"/>
        </w:rPr>
        <w:t>)</w:t>
      </w:r>
      <w:r w:rsidRPr="00015B99">
        <w:rPr>
          <w:w w:val="103"/>
        </w:rPr>
        <w:t xml:space="preserve"> (b) of the Convention, it shall not consider any communication from an individual unless it has ascertained that the individual has exhausted all available domestic remedies. The Committee notes that</w:t>
      </w:r>
      <w:r w:rsidR="00D4227B">
        <w:rPr>
          <w:w w:val="103"/>
        </w:rPr>
        <w:t>,</w:t>
      </w:r>
      <w:r w:rsidRPr="00015B99">
        <w:rPr>
          <w:w w:val="103"/>
        </w:rPr>
        <w:t xml:space="preserve"> in the </w:t>
      </w:r>
      <w:r>
        <w:rPr>
          <w:w w:val="103"/>
        </w:rPr>
        <w:t>present</w:t>
      </w:r>
      <w:r w:rsidRPr="00015B99">
        <w:rPr>
          <w:w w:val="103"/>
        </w:rPr>
        <w:t xml:space="preserve"> case, the State party has not contested the complainant</w:t>
      </w:r>
      <w:r w:rsidR="000A7954">
        <w:rPr>
          <w:w w:val="103"/>
        </w:rPr>
        <w:t>’s assertion that he</w:t>
      </w:r>
      <w:r w:rsidRPr="00015B99">
        <w:rPr>
          <w:w w:val="103"/>
        </w:rPr>
        <w:t xml:space="preserve"> has exhausted all available domestic remedies</w:t>
      </w:r>
      <w:r>
        <w:rPr>
          <w:w w:val="103"/>
        </w:rPr>
        <w:t>.</w:t>
      </w:r>
      <w:r w:rsidRPr="00015B99">
        <w:rPr>
          <w:w w:val="103"/>
        </w:rPr>
        <w:t xml:space="preserve"> The Committee therefore finds that it is not precluded from considering the communication under article 22</w:t>
      </w:r>
      <w:r w:rsidR="00D4227B">
        <w:rPr>
          <w:w w:val="103"/>
        </w:rPr>
        <w:t xml:space="preserve"> (</w:t>
      </w:r>
      <w:r w:rsidRPr="00015B99">
        <w:rPr>
          <w:w w:val="103"/>
        </w:rPr>
        <w:t>5</w:t>
      </w:r>
      <w:r w:rsidR="00D4227B">
        <w:rPr>
          <w:w w:val="103"/>
        </w:rPr>
        <w:t>)</w:t>
      </w:r>
      <w:r w:rsidRPr="00015B99">
        <w:rPr>
          <w:w w:val="103"/>
        </w:rPr>
        <w:t xml:space="preserve"> (b) of the Convention.</w:t>
      </w:r>
    </w:p>
    <w:p w:rsidR="00007DA9" w:rsidRPr="00015B99" w:rsidRDefault="00007DA9" w:rsidP="00165A19">
      <w:pPr>
        <w:pStyle w:val="SingleTxtG"/>
        <w:rPr>
          <w:w w:val="103"/>
        </w:rPr>
      </w:pPr>
      <w:r>
        <w:rPr>
          <w:w w:val="103"/>
        </w:rPr>
        <w:t>6</w:t>
      </w:r>
      <w:r w:rsidRPr="00015B99">
        <w:rPr>
          <w:w w:val="103"/>
        </w:rPr>
        <w:t>.3</w:t>
      </w:r>
      <w:r w:rsidRPr="00015B99">
        <w:rPr>
          <w:w w:val="103"/>
        </w:rPr>
        <w:tab/>
        <w:t xml:space="preserve">The Committee notes that the State party has contested the admissibility of the </w:t>
      </w:r>
      <w:r w:rsidR="00165A19">
        <w:rPr>
          <w:w w:val="103"/>
        </w:rPr>
        <w:t>communication</w:t>
      </w:r>
      <w:r w:rsidRPr="00015B99">
        <w:rPr>
          <w:w w:val="103"/>
        </w:rPr>
        <w:t xml:space="preserve"> on the grounds that the complainant’s claims are manifestly unfounded. </w:t>
      </w:r>
      <w:r w:rsidRPr="00A10F46">
        <w:t>The Committee however considers that th</w:t>
      </w:r>
      <w:r w:rsidR="001F5CD6">
        <w:t>is</w:t>
      </w:r>
      <w:r w:rsidRPr="00A10F46">
        <w:t xml:space="preserve"> </w:t>
      </w:r>
      <w:r>
        <w:t xml:space="preserve">ground </w:t>
      </w:r>
      <w:r w:rsidRPr="00A10F46">
        <w:t xml:space="preserve">is </w:t>
      </w:r>
      <w:r w:rsidR="00D4227B">
        <w:t>closely</w:t>
      </w:r>
      <w:r w:rsidRPr="00A10F46">
        <w:t xml:space="preserve"> linked to the merits </w:t>
      </w:r>
      <w:r w:rsidR="001F5CD6">
        <w:t xml:space="preserve">of the </w:t>
      </w:r>
      <w:r w:rsidR="00165A19">
        <w:t xml:space="preserve">communication </w:t>
      </w:r>
      <w:r w:rsidRPr="00A10F46">
        <w:t>and should thus be considered at that stage.</w:t>
      </w:r>
      <w:r>
        <w:t xml:space="preserve"> </w:t>
      </w:r>
    </w:p>
    <w:p w:rsidR="00007DA9" w:rsidRDefault="00007DA9" w:rsidP="00D60A89">
      <w:pPr>
        <w:pStyle w:val="SingleTxtG"/>
        <w:rPr>
          <w:w w:val="103"/>
        </w:rPr>
      </w:pPr>
      <w:r>
        <w:rPr>
          <w:w w:val="103"/>
        </w:rPr>
        <w:t>6</w:t>
      </w:r>
      <w:r w:rsidRPr="00015B99">
        <w:rPr>
          <w:w w:val="103"/>
        </w:rPr>
        <w:t>.4</w:t>
      </w:r>
      <w:r w:rsidRPr="00015B99">
        <w:rPr>
          <w:w w:val="103"/>
        </w:rPr>
        <w:tab/>
      </w:r>
      <w:r>
        <w:rPr>
          <w:w w:val="103"/>
        </w:rPr>
        <w:t>As t</w:t>
      </w:r>
      <w:r w:rsidRPr="00015B99">
        <w:rPr>
          <w:w w:val="103"/>
        </w:rPr>
        <w:t xml:space="preserve">he Committee finds no further obstacles to admissibility, </w:t>
      </w:r>
      <w:r>
        <w:rPr>
          <w:w w:val="103"/>
        </w:rPr>
        <w:t>it declares</w:t>
      </w:r>
      <w:r w:rsidRPr="00015B99">
        <w:rPr>
          <w:w w:val="103"/>
        </w:rPr>
        <w:t xml:space="preserve"> the </w:t>
      </w:r>
      <w:r>
        <w:rPr>
          <w:w w:val="103"/>
        </w:rPr>
        <w:t>com</w:t>
      </w:r>
      <w:r w:rsidR="00165A19">
        <w:rPr>
          <w:w w:val="103"/>
        </w:rPr>
        <w:t>munication</w:t>
      </w:r>
      <w:r>
        <w:rPr>
          <w:w w:val="103"/>
        </w:rPr>
        <w:t xml:space="preserve"> submitted under article 3 of the Convention</w:t>
      </w:r>
      <w:r w:rsidRPr="00015B99">
        <w:rPr>
          <w:w w:val="103"/>
        </w:rPr>
        <w:t xml:space="preserve"> admissible </w:t>
      </w:r>
      <w:r>
        <w:rPr>
          <w:w w:val="103"/>
        </w:rPr>
        <w:t>a</w:t>
      </w:r>
      <w:r w:rsidRPr="00015B99">
        <w:rPr>
          <w:w w:val="103"/>
        </w:rPr>
        <w:t>nd proceeds with its consideration of the merits.</w:t>
      </w:r>
    </w:p>
    <w:p w:rsidR="00B11392" w:rsidRDefault="004A7E15" w:rsidP="00D60A89">
      <w:pPr>
        <w:pStyle w:val="H4G"/>
        <w:rPr>
          <w:lang w:eastAsia="zh-CN"/>
        </w:rPr>
      </w:pPr>
      <w:r>
        <w:rPr>
          <w:lang w:eastAsia="zh-CN"/>
        </w:rPr>
        <w:tab/>
      </w:r>
      <w:r>
        <w:rPr>
          <w:lang w:eastAsia="zh-CN"/>
        </w:rPr>
        <w:tab/>
      </w:r>
      <w:r w:rsidR="00B11392" w:rsidRPr="00F164D6">
        <w:rPr>
          <w:lang w:eastAsia="zh-CN"/>
        </w:rPr>
        <w:t>Consideration of the merits</w:t>
      </w:r>
    </w:p>
    <w:p w:rsidR="00B11392" w:rsidRPr="00BE3814" w:rsidRDefault="008E1196" w:rsidP="00D60A89">
      <w:pPr>
        <w:pStyle w:val="SingleTxtG"/>
      </w:pPr>
      <w:r>
        <w:t>7</w:t>
      </w:r>
      <w:r w:rsidR="00B11392" w:rsidRPr="00BE3814">
        <w:t>.1</w:t>
      </w:r>
      <w:r w:rsidR="00B11392" w:rsidRPr="00BE3814">
        <w:tab/>
        <w:t xml:space="preserve">The Committee has considered the </w:t>
      </w:r>
      <w:r w:rsidR="00165A19">
        <w:t>communication</w:t>
      </w:r>
      <w:r w:rsidR="00B11392">
        <w:t xml:space="preserve"> </w:t>
      </w:r>
      <w:r w:rsidR="00B11392" w:rsidRPr="00BE3814">
        <w:t xml:space="preserve">in the light of all </w:t>
      </w:r>
      <w:r w:rsidR="00D4227B">
        <w:t xml:space="preserve">the </w:t>
      </w:r>
      <w:r w:rsidR="00B11392" w:rsidRPr="00BE3814">
        <w:t>information made available to it by the parties, in accordance with article 22</w:t>
      </w:r>
      <w:r w:rsidR="00D4227B">
        <w:t xml:space="preserve"> (</w:t>
      </w:r>
      <w:r w:rsidR="00B11392" w:rsidRPr="00BE3814">
        <w:t>4</w:t>
      </w:r>
      <w:r w:rsidR="00D4227B">
        <w:t>)</w:t>
      </w:r>
      <w:r w:rsidR="00B11392" w:rsidRPr="00BE3814">
        <w:t xml:space="preserve"> of the Convention.</w:t>
      </w:r>
    </w:p>
    <w:p w:rsidR="00B11392" w:rsidRPr="00BE3814" w:rsidRDefault="008E1196" w:rsidP="00D60A89">
      <w:pPr>
        <w:pStyle w:val="SingleTxtG"/>
      </w:pPr>
      <w:r>
        <w:t>7</w:t>
      </w:r>
      <w:r w:rsidR="00B11392" w:rsidRPr="00BE3814">
        <w:t>.2</w:t>
      </w:r>
      <w:r w:rsidR="00B11392" w:rsidRPr="00BE3814">
        <w:tab/>
      </w:r>
      <w:r w:rsidR="00D4227B">
        <w:t>In the present case, t</w:t>
      </w:r>
      <w:r w:rsidR="00B11392" w:rsidRPr="00BE3814">
        <w:t xml:space="preserve">he issue before the Committee is whether the </w:t>
      </w:r>
      <w:r w:rsidR="00D4227B">
        <w:t>return</w:t>
      </w:r>
      <w:r w:rsidR="00B11392">
        <w:t xml:space="preserve"> </w:t>
      </w:r>
      <w:r w:rsidR="00B11392" w:rsidRPr="00BE3814">
        <w:t xml:space="preserve">of the complainant to </w:t>
      </w:r>
      <w:r w:rsidR="00E35532">
        <w:t xml:space="preserve">Sri Lanka </w:t>
      </w:r>
      <w:r w:rsidR="00B11392" w:rsidRPr="00BE3814">
        <w:t xml:space="preserve">would constitute a violation of the State party’s obligation under article 3 of the Convention not to expel or to return </w:t>
      </w:r>
      <w:r w:rsidR="00B11392">
        <w:t>(</w:t>
      </w:r>
      <w:r w:rsidR="00007DA9">
        <w:t>“</w:t>
      </w:r>
      <w:r w:rsidR="00B11392">
        <w:t>refouler</w:t>
      </w:r>
      <w:r w:rsidR="00007DA9">
        <w:t>”</w:t>
      </w:r>
      <w:r w:rsidR="00B11392">
        <w:t xml:space="preserve">) </w:t>
      </w:r>
      <w:r w:rsidR="00B11392" w:rsidRPr="00BE3814">
        <w:t xml:space="preserve">a person to another State </w:t>
      </w:r>
      <w:r w:rsidR="00B11392" w:rsidRPr="00BE3814">
        <w:lastRenderedPageBreak/>
        <w:t>where there are substantial grounds for believing that he</w:t>
      </w:r>
      <w:r w:rsidR="00D4227B">
        <w:t xml:space="preserve"> or she</w:t>
      </w:r>
      <w:r w:rsidR="00B11392" w:rsidRPr="00BE3814">
        <w:t xml:space="preserve"> would be in danger of being subjected to torture.</w:t>
      </w:r>
    </w:p>
    <w:p w:rsidR="00B11392" w:rsidRPr="00BE3814" w:rsidRDefault="008E1196" w:rsidP="00D60A89">
      <w:pPr>
        <w:pStyle w:val="SingleTxtG"/>
      </w:pPr>
      <w:r>
        <w:t>7</w:t>
      </w:r>
      <w:r w:rsidR="00B11392" w:rsidRPr="00BE3814">
        <w:t>.3</w:t>
      </w:r>
      <w:r w:rsidR="00B11392" w:rsidRPr="00BE3814">
        <w:tab/>
        <w:t xml:space="preserve">The Committee must evaluate whether there are substantial grounds for believing that the complainant would be personally in danger of being subjected to torture upon return to </w:t>
      </w:r>
      <w:r w:rsidR="00E35532">
        <w:t>Sri Lanka</w:t>
      </w:r>
      <w:r w:rsidR="00B11392">
        <w:t xml:space="preserve">. </w:t>
      </w:r>
      <w:r w:rsidR="00B11392" w:rsidRPr="00BE3814">
        <w:t>In assessing this risk, the Committee must take into account all relevant considerations, pursuant to article 3</w:t>
      </w:r>
      <w:r w:rsidR="00D4227B">
        <w:t xml:space="preserve"> (</w:t>
      </w:r>
      <w:r w:rsidR="00B11392" w:rsidRPr="00BE3814">
        <w:t>2</w:t>
      </w:r>
      <w:r w:rsidR="00D4227B">
        <w:t>)</w:t>
      </w:r>
      <w:r w:rsidR="00B11392" w:rsidRPr="00BE3814">
        <w:t xml:space="preserve"> of the Convention, including the existence of a consistent pattern of gross, flagrant or mass violations of human rights. </w:t>
      </w:r>
      <w:r w:rsidR="00A47D70">
        <w:t>T</w:t>
      </w:r>
      <w:r w:rsidR="00B11392" w:rsidRPr="00BE3814">
        <w:t>he Committee recalls that the aim of such determination is to establish whether the individual concerned would be personally at a foreseeable and real risk of being subjected to torture in the country to which he or she would</w:t>
      </w:r>
      <w:r w:rsidR="00FD162E">
        <w:t xml:space="preserve"> be</w:t>
      </w:r>
      <w:r w:rsidR="00B11392" w:rsidRPr="00BE3814">
        <w:t xml:space="preserve"> return</w:t>
      </w:r>
      <w:r w:rsidR="00FD162E">
        <w:t>ed</w:t>
      </w:r>
      <w:r w:rsidR="00B11392" w:rsidRPr="00BE3814">
        <w:t>. 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 Conversely, the absence of a consistent pattern of flagrant violations of human rights does not mean that a person might not be subjected to torture in his or her specific circumstances.</w:t>
      </w:r>
      <w:r w:rsidR="00035983">
        <w:rPr>
          <w:rStyle w:val="FootnoteReference"/>
        </w:rPr>
        <w:footnoteReference w:id="11"/>
      </w:r>
    </w:p>
    <w:p w:rsidR="00B11392" w:rsidRPr="00BE3814" w:rsidRDefault="008E1196" w:rsidP="00D60A89">
      <w:pPr>
        <w:pStyle w:val="SingleTxtG"/>
      </w:pPr>
      <w:r>
        <w:t>7</w:t>
      </w:r>
      <w:r w:rsidR="00B11392" w:rsidRPr="00BE3814">
        <w:t>.4</w:t>
      </w:r>
      <w:r w:rsidR="00B11392" w:rsidRPr="00BE3814">
        <w:tab/>
        <w:t xml:space="preserve">The Committee recalls its general comment No. 1 (1997) on the implementation of article 3 of the Convention, </w:t>
      </w:r>
      <w:r w:rsidR="00926640">
        <w:t>according to</w:t>
      </w:r>
      <w:r w:rsidR="00B11392">
        <w:t xml:space="preserve"> which </w:t>
      </w:r>
      <w:r w:rsidR="00B11392" w:rsidRPr="00BE3814">
        <w:t xml:space="preserve">the risk of torture must be assessed on grounds that go beyond mere theory or suspicion. </w:t>
      </w:r>
      <w:r w:rsidR="00B11392">
        <w:t xml:space="preserve">Although </w:t>
      </w:r>
      <w:r w:rsidR="00B11392" w:rsidRPr="00BE3814">
        <w:t>the risk does not have to meet the test of being highly probable</w:t>
      </w:r>
      <w:r w:rsidR="00926640">
        <w:t xml:space="preserve"> (para. 6)</w:t>
      </w:r>
      <w:r w:rsidR="00B11392" w:rsidRPr="00BE3814">
        <w:t xml:space="preserve">, </w:t>
      </w:r>
      <w:r w:rsidR="00B11392">
        <w:t xml:space="preserve">the burden of proof </w:t>
      </w:r>
      <w:r w:rsidR="00926640">
        <w:t>generally</w:t>
      </w:r>
      <w:r w:rsidR="00B11392">
        <w:t xml:space="preserve"> falls upon the complainant, who must present an arguable case establishing that he or she </w:t>
      </w:r>
      <w:r w:rsidR="00926640">
        <w:t>faces</w:t>
      </w:r>
      <w:r w:rsidR="00B11392">
        <w:t xml:space="preserve"> a foreseeable, real and personal risk.</w:t>
      </w:r>
      <w:r w:rsidR="00035983">
        <w:rPr>
          <w:rStyle w:val="FootnoteReference"/>
        </w:rPr>
        <w:footnoteReference w:id="12"/>
      </w:r>
      <w:r w:rsidR="00B11392">
        <w:t xml:space="preserve"> The Committee gives considerable weight to findings of fact that are made by organs of the State party concerned, </w:t>
      </w:r>
      <w:r w:rsidR="009E7482">
        <w:t>however,</w:t>
      </w:r>
      <w:r w:rsidR="00B11392">
        <w:t xml:space="preserve"> it is not bound by such findings </w:t>
      </w:r>
      <w:r w:rsidR="009E7482">
        <w:t>but rather</w:t>
      </w:r>
      <w:r w:rsidR="00B11392">
        <w:t xml:space="preserve"> ha</w:t>
      </w:r>
      <w:r w:rsidR="009E7482">
        <w:t>s</w:t>
      </w:r>
      <w:r w:rsidR="00B11392">
        <w:t xml:space="preserve"> the power, provided by article 22</w:t>
      </w:r>
      <w:r w:rsidR="009E7482">
        <w:t xml:space="preserve"> (</w:t>
      </w:r>
      <w:r w:rsidR="00B11392">
        <w:t>4</w:t>
      </w:r>
      <w:r w:rsidR="009E7482">
        <w:t>)</w:t>
      </w:r>
      <w:r w:rsidR="00B11392">
        <w:t xml:space="preserve"> of the Convention, </w:t>
      </w:r>
      <w:r w:rsidR="009E7482">
        <w:t>to</w:t>
      </w:r>
      <w:r w:rsidR="00B11392">
        <w:t xml:space="preserve"> free</w:t>
      </w:r>
      <w:r w:rsidR="009E7482">
        <w:t>ly</w:t>
      </w:r>
      <w:r w:rsidR="00B11392">
        <w:t xml:space="preserve"> assess the facts based on the full set of circumstances in every case.</w:t>
      </w:r>
      <w:r w:rsidR="00035983">
        <w:rPr>
          <w:rStyle w:val="FootnoteReference"/>
        </w:rPr>
        <w:footnoteReference w:id="13"/>
      </w:r>
      <w:r w:rsidR="004A7E15">
        <w:t xml:space="preserve"> </w:t>
      </w:r>
    </w:p>
    <w:p w:rsidR="0067152D" w:rsidRDefault="008E1196" w:rsidP="00D60A89">
      <w:pPr>
        <w:pStyle w:val="SingleTxtG"/>
      </w:pPr>
      <w:r>
        <w:t>7</w:t>
      </w:r>
      <w:r w:rsidR="00B11392" w:rsidRPr="002E7EDB">
        <w:t>.5</w:t>
      </w:r>
      <w:r w:rsidR="00B11392" w:rsidRPr="002E7EDB">
        <w:tab/>
        <w:t xml:space="preserve">The Committee notes </w:t>
      </w:r>
      <w:r w:rsidR="002E7EDB" w:rsidRPr="002E7EDB">
        <w:t>the complainant</w:t>
      </w:r>
      <w:r w:rsidR="007A5D8D">
        <w:t>’s</w:t>
      </w:r>
      <w:r w:rsidR="002E7EDB" w:rsidRPr="002E7EDB">
        <w:t xml:space="preserve"> claim</w:t>
      </w:r>
      <w:r w:rsidR="007A4DD2">
        <w:t>s</w:t>
      </w:r>
      <w:r w:rsidR="002E7EDB" w:rsidRPr="002E7EDB">
        <w:t xml:space="preserve"> that his</w:t>
      </w:r>
      <w:r w:rsidR="002E7EDB">
        <w:t xml:space="preserve"> </w:t>
      </w:r>
      <w:r w:rsidR="00CC60A8">
        <w:t xml:space="preserve">forcible removal </w:t>
      </w:r>
      <w:r w:rsidR="002E7EDB" w:rsidRPr="00CC60A8">
        <w:t xml:space="preserve">to </w:t>
      </w:r>
      <w:r w:rsidR="00CC60A8" w:rsidRPr="00CC60A8">
        <w:t xml:space="preserve">Sri Lanka </w:t>
      </w:r>
      <w:r w:rsidR="00CE6EC2" w:rsidRPr="00CC60A8">
        <w:t>would amount to a violation of article</w:t>
      </w:r>
      <w:r w:rsidR="007204E0">
        <w:t xml:space="preserve"> </w:t>
      </w:r>
      <w:r w:rsidR="00CE6EC2" w:rsidRPr="00CC60A8">
        <w:t>3 of the Convention</w:t>
      </w:r>
      <w:r w:rsidR="005E18EF">
        <w:t>,</w:t>
      </w:r>
      <w:r w:rsidR="00CE6EC2" w:rsidRPr="00CC60A8">
        <w:t xml:space="preserve"> as he would </w:t>
      </w:r>
      <w:r w:rsidR="000B4C67">
        <w:t xml:space="preserve">be at risk of being detained </w:t>
      </w:r>
      <w:r w:rsidR="000B4C67">
        <w:rPr>
          <w:kern w:val="3"/>
          <w:lang w:eastAsia="zh-CN"/>
        </w:rPr>
        <w:t xml:space="preserve">and interrogated upon arrival at the airport. </w:t>
      </w:r>
      <w:r w:rsidR="009E7482">
        <w:rPr>
          <w:kern w:val="3"/>
          <w:lang w:eastAsia="zh-CN"/>
        </w:rPr>
        <w:t>If, a</w:t>
      </w:r>
      <w:r w:rsidR="000B4C67">
        <w:rPr>
          <w:kern w:val="3"/>
          <w:lang w:eastAsia="zh-CN"/>
        </w:rPr>
        <w:t>t that time or at any moment thereafter</w:t>
      </w:r>
      <w:r w:rsidR="009E7482">
        <w:rPr>
          <w:kern w:val="3"/>
          <w:lang w:eastAsia="zh-CN"/>
        </w:rPr>
        <w:t>,</w:t>
      </w:r>
      <w:r w:rsidR="000B4C67">
        <w:rPr>
          <w:kern w:val="3"/>
          <w:lang w:eastAsia="zh-CN"/>
        </w:rPr>
        <w:t xml:space="preserve"> it </w:t>
      </w:r>
      <w:r w:rsidR="009E7482">
        <w:rPr>
          <w:kern w:val="3"/>
          <w:lang w:eastAsia="zh-CN"/>
        </w:rPr>
        <w:t>sh</w:t>
      </w:r>
      <w:r w:rsidR="000B4C67">
        <w:rPr>
          <w:kern w:val="3"/>
          <w:lang w:eastAsia="zh-CN"/>
        </w:rPr>
        <w:t xml:space="preserve">ould come to light that he </w:t>
      </w:r>
      <w:r w:rsidR="009E7482">
        <w:rPr>
          <w:kern w:val="3"/>
          <w:lang w:eastAsia="zh-CN"/>
        </w:rPr>
        <w:t>wa</w:t>
      </w:r>
      <w:r w:rsidR="000B4C67">
        <w:rPr>
          <w:kern w:val="3"/>
          <w:lang w:eastAsia="zh-CN"/>
        </w:rPr>
        <w:t xml:space="preserve">s an eyewitness </w:t>
      </w:r>
      <w:r w:rsidR="009E7482">
        <w:rPr>
          <w:kern w:val="3"/>
          <w:lang w:eastAsia="zh-CN"/>
        </w:rPr>
        <w:t>to</w:t>
      </w:r>
      <w:r w:rsidR="000B4C67">
        <w:rPr>
          <w:kern w:val="3"/>
          <w:lang w:eastAsia="zh-CN"/>
        </w:rPr>
        <w:t xml:space="preserve"> a crime committed by S</w:t>
      </w:r>
      <w:r w:rsidR="009E7482">
        <w:rPr>
          <w:kern w:val="3"/>
          <w:lang w:eastAsia="zh-CN"/>
        </w:rPr>
        <w:t xml:space="preserve">ri </w:t>
      </w:r>
      <w:r w:rsidR="000B4C67">
        <w:rPr>
          <w:kern w:val="3"/>
          <w:lang w:eastAsia="zh-CN"/>
        </w:rPr>
        <w:t>L</w:t>
      </w:r>
      <w:r w:rsidR="009E7482">
        <w:rPr>
          <w:kern w:val="3"/>
          <w:lang w:eastAsia="zh-CN"/>
        </w:rPr>
        <w:t xml:space="preserve">anka </w:t>
      </w:r>
      <w:r w:rsidR="000B4C67">
        <w:rPr>
          <w:kern w:val="3"/>
          <w:lang w:eastAsia="zh-CN"/>
        </w:rPr>
        <w:t>A</w:t>
      </w:r>
      <w:r w:rsidR="009E7482">
        <w:rPr>
          <w:kern w:val="3"/>
          <w:lang w:eastAsia="zh-CN"/>
        </w:rPr>
        <w:t>rmy</w:t>
      </w:r>
      <w:r w:rsidR="000B4C67">
        <w:rPr>
          <w:kern w:val="3"/>
          <w:lang w:eastAsia="zh-CN"/>
        </w:rPr>
        <w:t xml:space="preserve"> soldiers, he may even be summoned as a witness in any inquiry regarding th</w:t>
      </w:r>
      <w:r w:rsidR="009E7482">
        <w:rPr>
          <w:kern w:val="3"/>
          <w:lang w:eastAsia="zh-CN"/>
        </w:rPr>
        <w:t>at</w:t>
      </w:r>
      <w:r w:rsidR="000B4C67">
        <w:rPr>
          <w:kern w:val="3"/>
          <w:lang w:eastAsia="zh-CN"/>
        </w:rPr>
        <w:t xml:space="preserve"> crime or at court; he would then be targeted by other S</w:t>
      </w:r>
      <w:r w:rsidR="009E7482">
        <w:rPr>
          <w:kern w:val="3"/>
          <w:lang w:eastAsia="zh-CN"/>
        </w:rPr>
        <w:t xml:space="preserve">ri </w:t>
      </w:r>
      <w:r w:rsidR="000B4C67">
        <w:rPr>
          <w:kern w:val="3"/>
          <w:lang w:eastAsia="zh-CN"/>
        </w:rPr>
        <w:t>L</w:t>
      </w:r>
      <w:r w:rsidR="009E7482">
        <w:rPr>
          <w:kern w:val="3"/>
          <w:lang w:eastAsia="zh-CN"/>
        </w:rPr>
        <w:t xml:space="preserve">anka </w:t>
      </w:r>
      <w:r w:rsidR="000B4C67">
        <w:rPr>
          <w:kern w:val="3"/>
          <w:lang w:eastAsia="zh-CN"/>
        </w:rPr>
        <w:t>A</w:t>
      </w:r>
      <w:r w:rsidR="009E7482">
        <w:rPr>
          <w:kern w:val="3"/>
          <w:lang w:eastAsia="zh-CN"/>
        </w:rPr>
        <w:t>rmy</w:t>
      </w:r>
      <w:r w:rsidR="000B4C67">
        <w:rPr>
          <w:kern w:val="3"/>
          <w:lang w:eastAsia="zh-CN"/>
        </w:rPr>
        <w:t xml:space="preserve"> personnel and would not be able to rely on police protection. Furthermore, </w:t>
      </w:r>
      <w:r w:rsidR="009E7482">
        <w:rPr>
          <w:kern w:val="3"/>
          <w:lang w:eastAsia="zh-CN"/>
        </w:rPr>
        <w:t xml:space="preserve">he claims that, </w:t>
      </w:r>
      <w:r w:rsidR="002E5F04">
        <w:rPr>
          <w:kern w:val="3"/>
          <w:lang w:eastAsia="zh-CN"/>
        </w:rPr>
        <w:t>as a young Tamil male originating from the area previously controlled by LTTE</w:t>
      </w:r>
      <w:r w:rsidR="00165A19">
        <w:rPr>
          <w:kern w:val="3"/>
          <w:lang w:eastAsia="zh-CN"/>
        </w:rPr>
        <w:t xml:space="preserve"> and</w:t>
      </w:r>
      <w:r w:rsidR="002E5F04">
        <w:rPr>
          <w:kern w:val="3"/>
          <w:lang w:eastAsia="zh-CN"/>
        </w:rPr>
        <w:t xml:space="preserve"> who had left Sri Lanka illegally</w:t>
      </w:r>
      <w:r w:rsidR="005E18EF">
        <w:rPr>
          <w:kern w:val="3"/>
          <w:lang w:eastAsia="zh-CN"/>
        </w:rPr>
        <w:t xml:space="preserve"> and failed in his asylum application</w:t>
      </w:r>
      <w:r w:rsidR="002E5F04">
        <w:rPr>
          <w:kern w:val="3"/>
          <w:lang w:eastAsia="zh-CN"/>
        </w:rPr>
        <w:t>, he would be imputed with strong LTTE links</w:t>
      </w:r>
      <w:r w:rsidR="003C4263">
        <w:rPr>
          <w:kern w:val="3"/>
          <w:lang w:eastAsia="zh-CN"/>
        </w:rPr>
        <w:t>. He also claims</w:t>
      </w:r>
      <w:r w:rsidR="002E5F04">
        <w:rPr>
          <w:kern w:val="3"/>
          <w:lang w:eastAsia="zh-CN"/>
        </w:rPr>
        <w:t xml:space="preserve"> </w:t>
      </w:r>
      <w:r w:rsidR="007A4DD2">
        <w:t xml:space="preserve">that </w:t>
      </w:r>
      <w:r w:rsidR="00216CD2">
        <w:t xml:space="preserve">although he clarified the </w:t>
      </w:r>
      <w:r w:rsidR="002E5F04">
        <w:t xml:space="preserve">discrepancies </w:t>
      </w:r>
      <w:r w:rsidR="00216CD2">
        <w:t>of his accounts</w:t>
      </w:r>
      <w:r w:rsidR="003C4263">
        <w:t xml:space="preserve"> before </w:t>
      </w:r>
      <w:r w:rsidR="009650B0">
        <w:t xml:space="preserve">the State party’s </w:t>
      </w:r>
      <w:r w:rsidR="003C4263">
        <w:t>authorities</w:t>
      </w:r>
      <w:r w:rsidR="00216CD2">
        <w:t xml:space="preserve"> and explained why </w:t>
      </w:r>
      <w:r w:rsidR="002E5F04">
        <w:t xml:space="preserve">it was not possible to </w:t>
      </w:r>
      <w:r w:rsidR="005E18EF">
        <w:t xml:space="preserve">provide any evidence to corroborate his claims, other than the death certificate of the woman whose murder he had witnessed, the </w:t>
      </w:r>
      <w:r w:rsidR="00B22E64">
        <w:t xml:space="preserve">Australian </w:t>
      </w:r>
      <w:r w:rsidR="005E18EF">
        <w:t xml:space="preserve">Department of Immigration and </w:t>
      </w:r>
      <w:r w:rsidR="00AF136D">
        <w:t xml:space="preserve">Citizenship </w:t>
      </w:r>
      <w:r w:rsidR="005E18EF">
        <w:t xml:space="preserve">and </w:t>
      </w:r>
      <w:r w:rsidR="007A4DD2">
        <w:t>the R</w:t>
      </w:r>
      <w:r w:rsidR="00B22E64">
        <w:t xml:space="preserve">efugee </w:t>
      </w:r>
      <w:r w:rsidR="00AF136D">
        <w:t>R</w:t>
      </w:r>
      <w:r w:rsidR="00B22E64">
        <w:t xml:space="preserve">eview </w:t>
      </w:r>
      <w:r w:rsidR="007A4DD2">
        <w:t>T</w:t>
      </w:r>
      <w:r w:rsidR="00B22E64">
        <w:t>ribunal</w:t>
      </w:r>
      <w:r w:rsidR="007A4DD2">
        <w:t xml:space="preserve"> </w:t>
      </w:r>
      <w:r w:rsidR="00A828B6">
        <w:t>questioned</w:t>
      </w:r>
      <w:r w:rsidR="007A4DD2">
        <w:t xml:space="preserve"> his credibility </w:t>
      </w:r>
      <w:r w:rsidR="00A828B6">
        <w:t xml:space="preserve">and </w:t>
      </w:r>
      <w:r w:rsidR="00216CD2">
        <w:t>arbitrar</w:t>
      </w:r>
      <w:r w:rsidR="00985F4F">
        <w:t>ily dismiss</w:t>
      </w:r>
      <w:r w:rsidR="00A828B6">
        <w:t>ed</w:t>
      </w:r>
      <w:r w:rsidR="00985F4F">
        <w:t xml:space="preserve"> his request for </w:t>
      </w:r>
      <w:r w:rsidR="00B22E64">
        <w:t xml:space="preserve">a </w:t>
      </w:r>
      <w:r w:rsidR="005751DE">
        <w:lastRenderedPageBreak/>
        <w:t>protection visa</w:t>
      </w:r>
      <w:r w:rsidR="00985F4F">
        <w:t xml:space="preserve">. </w:t>
      </w:r>
      <w:r w:rsidR="00AF136D">
        <w:t xml:space="preserve">The complainant also claims that </w:t>
      </w:r>
      <w:r w:rsidR="00AF136D">
        <w:rPr>
          <w:w w:val="103"/>
        </w:rPr>
        <w:t xml:space="preserve">returnees who </w:t>
      </w:r>
      <w:r w:rsidR="00B22E64">
        <w:rPr>
          <w:w w:val="103"/>
        </w:rPr>
        <w:t>are</w:t>
      </w:r>
      <w:r w:rsidR="00AF136D">
        <w:rPr>
          <w:w w:val="103"/>
        </w:rPr>
        <w:t xml:space="preserve"> believed to have departed in breach of </w:t>
      </w:r>
      <w:r w:rsidR="00B8197E">
        <w:rPr>
          <w:w w:val="103"/>
        </w:rPr>
        <w:t>the Sri Lanka Immigra</w:t>
      </w:r>
      <w:r w:rsidR="00016AFD">
        <w:rPr>
          <w:w w:val="103"/>
        </w:rPr>
        <w:t xml:space="preserve">nts </w:t>
      </w:r>
      <w:r w:rsidR="00B8197E">
        <w:rPr>
          <w:w w:val="103"/>
        </w:rPr>
        <w:t>and Em</w:t>
      </w:r>
      <w:r w:rsidR="00AF136D">
        <w:rPr>
          <w:w w:val="103"/>
        </w:rPr>
        <w:t>igra</w:t>
      </w:r>
      <w:r w:rsidR="00016AFD">
        <w:rPr>
          <w:w w:val="103"/>
        </w:rPr>
        <w:t xml:space="preserve">nts </w:t>
      </w:r>
      <w:r w:rsidR="00B8197E">
        <w:rPr>
          <w:w w:val="103"/>
        </w:rPr>
        <w:t xml:space="preserve">Act </w:t>
      </w:r>
      <w:r w:rsidR="00B22E64">
        <w:rPr>
          <w:w w:val="103"/>
        </w:rPr>
        <w:t>a</w:t>
      </w:r>
      <w:r w:rsidR="00AF136D">
        <w:rPr>
          <w:w w:val="103"/>
        </w:rPr>
        <w:t xml:space="preserve">re arrested at the airport and brought before a court to apply for bail and might be placed in Negombo </w:t>
      </w:r>
      <w:r w:rsidR="00B22E64">
        <w:rPr>
          <w:w w:val="103"/>
        </w:rPr>
        <w:t>p</w:t>
      </w:r>
      <w:r w:rsidR="00AF136D">
        <w:rPr>
          <w:w w:val="103"/>
        </w:rPr>
        <w:t>rison, possibly for some days until a bail hearing date becomes available.</w:t>
      </w:r>
      <w:r w:rsidR="00FE7842">
        <w:t xml:space="preserve"> </w:t>
      </w:r>
    </w:p>
    <w:p w:rsidR="005E3F3F" w:rsidRDefault="00A30F98" w:rsidP="00165A19">
      <w:pPr>
        <w:pStyle w:val="SingleTxtG"/>
        <w:rPr>
          <w:w w:val="103"/>
        </w:rPr>
      </w:pPr>
      <w:r>
        <w:t>7.6</w:t>
      </w:r>
      <w:r w:rsidR="00542613">
        <w:t xml:space="preserve"> </w:t>
      </w:r>
      <w:r w:rsidR="00542613">
        <w:tab/>
      </w:r>
      <w:r w:rsidR="00542613" w:rsidRPr="001F7740">
        <w:rPr>
          <w:lang w:val="en-US"/>
        </w:rPr>
        <w:t>The Committee</w:t>
      </w:r>
      <w:r w:rsidR="00542613" w:rsidRPr="00AE7D12">
        <w:rPr>
          <w:lang w:val="en-US"/>
        </w:rPr>
        <w:t xml:space="preserve"> also n</w:t>
      </w:r>
      <w:r w:rsidR="005F07BB">
        <w:rPr>
          <w:lang w:val="en-US"/>
        </w:rPr>
        <w:t xml:space="preserve">otes the State party’s </w:t>
      </w:r>
      <w:r w:rsidR="00254640">
        <w:rPr>
          <w:lang w:val="en-US"/>
        </w:rPr>
        <w:t xml:space="preserve">assertions </w:t>
      </w:r>
      <w:r w:rsidR="00254640" w:rsidRPr="00FA2CC3">
        <w:rPr>
          <w:bCs/>
        </w:rPr>
        <w:t>that, in the present case, the complainant ha</w:t>
      </w:r>
      <w:r w:rsidR="00254640">
        <w:rPr>
          <w:bCs/>
        </w:rPr>
        <w:t>s</w:t>
      </w:r>
      <w:r w:rsidR="00254640" w:rsidRPr="00FA2CC3">
        <w:rPr>
          <w:bCs/>
        </w:rPr>
        <w:t xml:space="preserve"> not provided </w:t>
      </w:r>
      <w:r w:rsidR="00254640">
        <w:rPr>
          <w:bCs/>
        </w:rPr>
        <w:t xml:space="preserve">any new </w:t>
      </w:r>
      <w:r w:rsidR="00254640" w:rsidRPr="00FA2CC3">
        <w:rPr>
          <w:bCs/>
        </w:rPr>
        <w:t xml:space="preserve">credible evidence </w:t>
      </w:r>
      <w:r w:rsidR="00254640">
        <w:rPr>
          <w:bCs/>
        </w:rPr>
        <w:t xml:space="preserve">in his submissions to the Committee; he </w:t>
      </w:r>
      <w:r w:rsidR="00254640" w:rsidRPr="00FA2CC3">
        <w:rPr>
          <w:bCs/>
        </w:rPr>
        <w:t>ha</w:t>
      </w:r>
      <w:r w:rsidR="00254640">
        <w:rPr>
          <w:bCs/>
        </w:rPr>
        <w:t>s</w:t>
      </w:r>
      <w:r w:rsidR="00254640" w:rsidRPr="00FA2CC3">
        <w:rPr>
          <w:bCs/>
        </w:rPr>
        <w:t xml:space="preserve"> failed to substantiate that there was a foreseeable, real and personal risk that he would be subjected to torture by the </w:t>
      </w:r>
      <w:r w:rsidR="00254640">
        <w:rPr>
          <w:bCs/>
        </w:rPr>
        <w:t xml:space="preserve">Sri Lankan </w:t>
      </w:r>
      <w:r w:rsidR="00254640" w:rsidRPr="00FA2CC3">
        <w:rPr>
          <w:bCs/>
        </w:rPr>
        <w:t xml:space="preserve">authorities if he </w:t>
      </w:r>
      <w:r w:rsidR="00254640">
        <w:rPr>
          <w:bCs/>
        </w:rPr>
        <w:t xml:space="preserve">were to be </w:t>
      </w:r>
      <w:r w:rsidR="00254640" w:rsidRPr="00FA2CC3">
        <w:rPr>
          <w:bCs/>
        </w:rPr>
        <w:t xml:space="preserve">returned to </w:t>
      </w:r>
      <w:r w:rsidR="00254640">
        <w:rPr>
          <w:bCs/>
        </w:rPr>
        <w:t>his country of origin</w:t>
      </w:r>
      <w:r w:rsidR="00254640" w:rsidRPr="00FA2CC3">
        <w:rPr>
          <w:bCs/>
        </w:rPr>
        <w:t xml:space="preserve">; </w:t>
      </w:r>
      <w:r w:rsidR="0021508C">
        <w:rPr>
          <w:w w:val="103"/>
        </w:rPr>
        <w:t xml:space="preserve">his </w:t>
      </w:r>
      <w:r w:rsidR="0021508C" w:rsidRPr="00B03DB4">
        <w:rPr>
          <w:w w:val="103"/>
        </w:rPr>
        <w:t xml:space="preserve">claims have been thoroughly considered by a number of domestic </w:t>
      </w:r>
      <w:r w:rsidR="0021508C">
        <w:rPr>
          <w:w w:val="103"/>
        </w:rPr>
        <w:t>decision</w:t>
      </w:r>
      <w:r w:rsidR="001F7740">
        <w:rPr>
          <w:w w:val="103"/>
        </w:rPr>
        <w:t xml:space="preserve"> </w:t>
      </w:r>
      <w:r w:rsidR="0021508C">
        <w:rPr>
          <w:w w:val="103"/>
        </w:rPr>
        <w:t>makers, including the R</w:t>
      </w:r>
      <w:r w:rsidR="001F7740">
        <w:rPr>
          <w:w w:val="103"/>
        </w:rPr>
        <w:t xml:space="preserve">efugee </w:t>
      </w:r>
      <w:r w:rsidR="0021508C">
        <w:rPr>
          <w:w w:val="103"/>
        </w:rPr>
        <w:t>R</w:t>
      </w:r>
      <w:r w:rsidR="001F7740">
        <w:rPr>
          <w:w w:val="103"/>
        </w:rPr>
        <w:t xml:space="preserve">eview </w:t>
      </w:r>
      <w:r w:rsidR="0021508C">
        <w:rPr>
          <w:w w:val="103"/>
        </w:rPr>
        <w:t>T</w:t>
      </w:r>
      <w:r w:rsidR="001F7740">
        <w:rPr>
          <w:w w:val="103"/>
        </w:rPr>
        <w:t>ribunal</w:t>
      </w:r>
      <w:r w:rsidR="0021508C">
        <w:rPr>
          <w:w w:val="103"/>
        </w:rPr>
        <w:t>, and subject</w:t>
      </w:r>
      <w:r w:rsidR="001F7740">
        <w:rPr>
          <w:w w:val="103"/>
        </w:rPr>
        <w:t>ed</w:t>
      </w:r>
      <w:r w:rsidR="0021508C">
        <w:rPr>
          <w:w w:val="103"/>
        </w:rPr>
        <w:t xml:space="preserve"> to judicial review by the </w:t>
      </w:r>
      <w:r w:rsidR="0021508C" w:rsidRPr="00B03DB4">
        <w:rPr>
          <w:w w:val="103"/>
        </w:rPr>
        <w:t xml:space="preserve">Federal Circuit Court </w:t>
      </w:r>
      <w:r w:rsidR="0021508C">
        <w:rPr>
          <w:w w:val="103"/>
        </w:rPr>
        <w:t>and the Federal Court of Australia; and e</w:t>
      </w:r>
      <w:r w:rsidR="0021508C" w:rsidRPr="00B03DB4">
        <w:rPr>
          <w:w w:val="103"/>
        </w:rPr>
        <w:t xml:space="preserve">ach body specifically considered </w:t>
      </w:r>
      <w:r w:rsidR="0021508C">
        <w:rPr>
          <w:w w:val="103"/>
        </w:rPr>
        <w:t xml:space="preserve">the claims </w:t>
      </w:r>
      <w:r w:rsidR="0021508C" w:rsidRPr="00B03DB4">
        <w:rPr>
          <w:w w:val="103"/>
        </w:rPr>
        <w:t>and determined that the</w:t>
      </w:r>
      <w:r w:rsidR="0021508C">
        <w:rPr>
          <w:w w:val="103"/>
        </w:rPr>
        <w:t>y</w:t>
      </w:r>
      <w:r w:rsidR="0021508C" w:rsidRPr="00B03DB4">
        <w:rPr>
          <w:w w:val="103"/>
        </w:rPr>
        <w:t xml:space="preserve"> </w:t>
      </w:r>
      <w:r w:rsidR="0021508C">
        <w:rPr>
          <w:w w:val="103"/>
        </w:rPr>
        <w:t xml:space="preserve">were </w:t>
      </w:r>
      <w:r w:rsidR="0021508C" w:rsidRPr="00B03DB4">
        <w:rPr>
          <w:w w:val="103"/>
        </w:rPr>
        <w:t xml:space="preserve">not </w:t>
      </w:r>
      <w:r w:rsidR="0021508C">
        <w:rPr>
          <w:w w:val="103"/>
        </w:rPr>
        <w:t>credible.</w:t>
      </w:r>
      <w:r w:rsidR="005E3F3F">
        <w:rPr>
          <w:w w:val="103"/>
        </w:rPr>
        <w:t xml:space="preserve"> With reference to the decision</w:t>
      </w:r>
      <w:r w:rsidR="001F7740">
        <w:rPr>
          <w:w w:val="103"/>
        </w:rPr>
        <w:t xml:space="preserve"> of the Tribunal</w:t>
      </w:r>
      <w:r w:rsidR="005E3F3F">
        <w:rPr>
          <w:w w:val="103"/>
        </w:rPr>
        <w:t xml:space="preserve"> and </w:t>
      </w:r>
      <w:r w:rsidR="005E3F3F" w:rsidRPr="001808C3">
        <w:rPr>
          <w:w w:val="103"/>
          <w:lang w:eastAsia="en-AU"/>
        </w:rPr>
        <w:t xml:space="preserve">the </w:t>
      </w:r>
      <w:r w:rsidR="005E3F3F">
        <w:rPr>
          <w:w w:val="103"/>
          <w:lang w:eastAsia="en-AU"/>
        </w:rPr>
        <w:t>m</w:t>
      </w:r>
      <w:r w:rsidR="005E3F3F" w:rsidRPr="001808C3">
        <w:rPr>
          <w:w w:val="103"/>
          <w:lang w:eastAsia="en-AU"/>
        </w:rPr>
        <w:t xml:space="preserve">inisterial </w:t>
      </w:r>
      <w:r w:rsidR="005E3F3F">
        <w:rPr>
          <w:w w:val="103"/>
          <w:lang w:eastAsia="en-AU"/>
        </w:rPr>
        <w:t>i</w:t>
      </w:r>
      <w:r w:rsidR="005E3F3F" w:rsidRPr="001808C3">
        <w:rPr>
          <w:w w:val="103"/>
          <w:lang w:eastAsia="en-AU"/>
        </w:rPr>
        <w:t>ntervention</w:t>
      </w:r>
      <w:r w:rsidR="005E3F3F">
        <w:rPr>
          <w:w w:val="103"/>
          <w:lang w:eastAsia="en-AU"/>
        </w:rPr>
        <w:t xml:space="preserve"> assessment</w:t>
      </w:r>
      <w:r w:rsidR="005E3F3F">
        <w:rPr>
          <w:w w:val="103"/>
        </w:rPr>
        <w:t xml:space="preserve">, the State party also argues that </w:t>
      </w:r>
      <w:r w:rsidR="005E3F3F">
        <w:rPr>
          <w:w w:val="103"/>
          <w:lang w:eastAsia="en-AU"/>
        </w:rPr>
        <w:t xml:space="preserve">failed asylum seekers and Tamils are not specifically targeted for adverse attention </w:t>
      </w:r>
      <w:r w:rsidR="001F7740">
        <w:rPr>
          <w:w w:val="103"/>
          <w:lang w:eastAsia="en-AU"/>
        </w:rPr>
        <w:t>by</w:t>
      </w:r>
      <w:r w:rsidR="005E3F3F">
        <w:rPr>
          <w:w w:val="103"/>
          <w:lang w:eastAsia="en-AU"/>
        </w:rPr>
        <w:t xml:space="preserve"> the Sri Lankan authorities at the time of entry</w:t>
      </w:r>
      <w:r w:rsidR="001F7740">
        <w:rPr>
          <w:w w:val="103"/>
          <w:lang w:eastAsia="en-AU"/>
        </w:rPr>
        <w:t xml:space="preserve"> into the country</w:t>
      </w:r>
      <w:r w:rsidR="005E3F3F">
        <w:rPr>
          <w:w w:val="103"/>
          <w:lang w:eastAsia="en-AU"/>
        </w:rPr>
        <w:t xml:space="preserve"> and that</w:t>
      </w:r>
      <w:r w:rsidR="005E3F3F">
        <w:rPr>
          <w:w w:val="103"/>
        </w:rPr>
        <w:t xml:space="preserve"> there was no evidence to support a finding that the complainant had issues that would </w:t>
      </w:r>
      <w:r w:rsidR="001F7740">
        <w:rPr>
          <w:w w:val="103"/>
        </w:rPr>
        <w:t>draw</w:t>
      </w:r>
      <w:r w:rsidR="005E3F3F">
        <w:rPr>
          <w:w w:val="103"/>
        </w:rPr>
        <w:t xml:space="preserve"> additional scrutiny or attention</w:t>
      </w:r>
      <w:r w:rsidR="001F7740">
        <w:rPr>
          <w:w w:val="103"/>
        </w:rPr>
        <w:t xml:space="preserve"> to him </w:t>
      </w:r>
      <w:r w:rsidR="005E3F3F">
        <w:rPr>
          <w:w w:val="103"/>
        </w:rPr>
        <w:t xml:space="preserve">on </w:t>
      </w:r>
      <w:r w:rsidR="00165A19">
        <w:rPr>
          <w:w w:val="103"/>
        </w:rPr>
        <w:t xml:space="preserve">his </w:t>
      </w:r>
      <w:r w:rsidR="005E3F3F">
        <w:rPr>
          <w:w w:val="103"/>
        </w:rPr>
        <w:t xml:space="preserve">return or </w:t>
      </w:r>
      <w:r w:rsidR="001F7740">
        <w:rPr>
          <w:w w:val="103"/>
        </w:rPr>
        <w:t xml:space="preserve">that would </w:t>
      </w:r>
      <w:r w:rsidR="005E3F3F">
        <w:rPr>
          <w:w w:val="103"/>
        </w:rPr>
        <w:t xml:space="preserve">delay his release after security checks on </w:t>
      </w:r>
      <w:r w:rsidR="001F7740">
        <w:rPr>
          <w:w w:val="103"/>
        </w:rPr>
        <w:t xml:space="preserve">his </w:t>
      </w:r>
      <w:r w:rsidR="005E3F3F">
        <w:rPr>
          <w:w w:val="103"/>
        </w:rPr>
        <w:t xml:space="preserve">return to Sri Lanka. </w:t>
      </w:r>
    </w:p>
    <w:p w:rsidR="00723B07" w:rsidRDefault="00723B07" w:rsidP="00884F9B">
      <w:pPr>
        <w:pStyle w:val="SingleTxtG"/>
        <w:rPr>
          <w:w w:val="103"/>
          <w:lang w:eastAsia="en-AU"/>
        </w:rPr>
      </w:pPr>
      <w:r>
        <w:rPr>
          <w:color w:val="000000"/>
          <w:lang w:eastAsia="en-GB"/>
        </w:rPr>
        <w:t>7.7</w:t>
      </w:r>
      <w:r>
        <w:rPr>
          <w:color w:val="000000"/>
          <w:lang w:eastAsia="en-GB"/>
        </w:rPr>
        <w:tab/>
        <w:t xml:space="preserve">In this context, the Committee refers to its concluding observations </w:t>
      </w:r>
      <w:r w:rsidR="00884F9B">
        <w:rPr>
          <w:color w:val="000000"/>
          <w:lang w:eastAsia="en-GB"/>
        </w:rPr>
        <w:t>on</w:t>
      </w:r>
      <w:r>
        <w:rPr>
          <w:color w:val="000000"/>
          <w:lang w:eastAsia="en-GB"/>
        </w:rPr>
        <w:t xml:space="preserve"> the combined third and fourth periodic reports of Sri Lanka,</w:t>
      </w:r>
      <w:r>
        <w:rPr>
          <w:rStyle w:val="FootnoteReference"/>
          <w:color w:val="000000"/>
          <w:lang w:eastAsia="en-GB"/>
        </w:rPr>
        <w:footnoteReference w:id="14"/>
      </w:r>
      <w:r>
        <w:rPr>
          <w:color w:val="000000"/>
          <w:lang w:eastAsia="en-GB"/>
        </w:rPr>
        <w:t xml:space="preserve"> </w:t>
      </w:r>
      <w:r w:rsidR="00884F9B">
        <w:rPr>
          <w:color w:val="000000"/>
          <w:lang w:eastAsia="en-GB"/>
        </w:rPr>
        <w:t>in which</w:t>
      </w:r>
      <w:r>
        <w:rPr>
          <w:color w:val="000000"/>
          <w:lang w:eastAsia="en-GB"/>
        </w:rPr>
        <w:t xml:space="preserve"> it expressed serious concern about reports suggesting that torture and ill-treatment perpetrated by State actors in Sri Lanka, both the military and the police, had continued in many parts of the country after the conflict with the LTTE </w:t>
      </w:r>
      <w:r w:rsidR="00884F9B">
        <w:rPr>
          <w:color w:val="000000"/>
          <w:lang w:eastAsia="en-GB"/>
        </w:rPr>
        <w:t xml:space="preserve">had </w:t>
      </w:r>
      <w:r>
        <w:rPr>
          <w:color w:val="000000"/>
          <w:lang w:eastAsia="en-GB"/>
        </w:rPr>
        <w:t>ended in May 2009.</w:t>
      </w:r>
      <w:r>
        <w:rPr>
          <w:rStyle w:val="FootnoteReference"/>
          <w:color w:val="000000"/>
          <w:lang w:eastAsia="en-GB"/>
        </w:rPr>
        <w:footnoteReference w:id="15"/>
      </w:r>
      <w:r>
        <w:rPr>
          <w:color w:val="000000"/>
          <w:lang w:eastAsia="en-GB"/>
        </w:rPr>
        <w:t xml:space="preserve"> The Committee also refers to its concluding observations o</w:t>
      </w:r>
      <w:r w:rsidR="00884F9B">
        <w:rPr>
          <w:color w:val="000000"/>
          <w:lang w:eastAsia="en-GB"/>
        </w:rPr>
        <w:t>n</w:t>
      </w:r>
      <w:r>
        <w:rPr>
          <w:color w:val="000000"/>
          <w:lang w:eastAsia="en-GB"/>
        </w:rPr>
        <w:t xml:space="preserve"> the fifth periodic report of the United Kingdom of Great Britain and Northern Ireland, in which </w:t>
      </w:r>
      <w:r w:rsidR="00884F9B">
        <w:rPr>
          <w:color w:val="000000"/>
          <w:lang w:eastAsia="en-GB"/>
        </w:rPr>
        <w:t>it had</w:t>
      </w:r>
      <w:r>
        <w:rPr>
          <w:color w:val="000000"/>
          <w:lang w:eastAsia="en-GB"/>
        </w:rPr>
        <w:t xml:space="preserve"> noted evidence that some Sri Lankan Tamils had been victims of torture and ill-treatment following their forced or voluntary removal from the State party to Sri Lanka.</w:t>
      </w:r>
      <w:r>
        <w:rPr>
          <w:rStyle w:val="FootnoteReference"/>
          <w:color w:val="000000"/>
          <w:lang w:eastAsia="en-GB"/>
        </w:rPr>
        <w:footnoteReference w:id="16"/>
      </w:r>
    </w:p>
    <w:p w:rsidR="00157B5E" w:rsidRPr="00626245" w:rsidRDefault="00A30F98" w:rsidP="00F627C3">
      <w:pPr>
        <w:pStyle w:val="SingleTxtG"/>
      </w:pPr>
      <w:r>
        <w:rPr>
          <w:lang w:val="en-US"/>
        </w:rPr>
        <w:t>7.</w:t>
      </w:r>
      <w:r w:rsidR="00723B07">
        <w:rPr>
          <w:lang w:val="en-US"/>
        </w:rPr>
        <w:t>8</w:t>
      </w:r>
      <w:r w:rsidR="00473EAC">
        <w:rPr>
          <w:lang w:val="en-US"/>
        </w:rPr>
        <w:tab/>
      </w:r>
      <w:r w:rsidR="00473EAC" w:rsidRPr="00AE7D12">
        <w:rPr>
          <w:lang w:val="en-US"/>
        </w:rPr>
        <w:t>In the present case, the Committee notes that</w:t>
      </w:r>
      <w:r w:rsidR="00135216">
        <w:rPr>
          <w:lang w:val="en-US"/>
        </w:rPr>
        <w:t xml:space="preserve"> the information submitted by the complainant regarding the events in Sri Lanka </w:t>
      </w:r>
      <w:r w:rsidR="00F627C3">
        <w:rPr>
          <w:lang w:val="en-US"/>
        </w:rPr>
        <w:t>that</w:t>
      </w:r>
      <w:r w:rsidR="00135216">
        <w:rPr>
          <w:lang w:val="en-US"/>
        </w:rPr>
        <w:t xml:space="preserve"> led to his leaving the country were thoroughly evaluated by</w:t>
      </w:r>
      <w:r w:rsidR="004A7E15">
        <w:rPr>
          <w:lang w:val="en-US"/>
        </w:rPr>
        <w:t xml:space="preserve"> </w:t>
      </w:r>
      <w:r w:rsidR="005D6D85">
        <w:rPr>
          <w:w w:val="103"/>
        </w:rPr>
        <w:t>the State party’s authorities</w:t>
      </w:r>
      <w:r w:rsidR="00135216">
        <w:rPr>
          <w:w w:val="103"/>
        </w:rPr>
        <w:t>, who</w:t>
      </w:r>
      <w:r w:rsidR="004A7E15">
        <w:rPr>
          <w:w w:val="103"/>
        </w:rPr>
        <w:t xml:space="preserve"> </w:t>
      </w:r>
      <w:r w:rsidR="009F41C5" w:rsidRPr="00461F26">
        <w:rPr>
          <w:lang w:val="en-US"/>
        </w:rPr>
        <w:t xml:space="preserve">found </w:t>
      </w:r>
      <w:r w:rsidR="005D6D85">
        <w:rPr>
          <w:lang w:val="en-US"/>
        </w:rPr>
        <w:t xml:space="preserve">it </w:t>
      </w:r>
      <w:r w:rsidR="00135216">
        <w:rPr>
          <w:lang w:val="en-US"/>
        </w:rPr>
        <w:t xml:space="preserve">insufficient </w:t>
      </w:r>
      <w:r w:rsidR="009F41C5" w:rsidRPr="00461F26">
        <w:rPr>
          <w:lang w:val="en-US"/>
        </w:rPr>
        <w:t>to</w:t>
      </w:r>
      <w:r w:rsidR="00135216">
        <w:rPr>
          <w:lang w:val="en-US"/>
        </w:rPr>
        <w:t xml:space="preserve"> show that he was in need of protection. The </w:t>
      </w:r>
      <w:r w:rsidR="009F41C5" w:rsidRPr="00F503B6">
        <w:t>Commit</w:t>
      </w:r>
      <w:r w:rsidR="009F41C5">
        <w:t>t</w:t>
      </w:r>
      <w:r w:rsidR="009F41C5" w:rsidRPr="00F503B6">
        <w:t>ee</w:t>
      </w:r>
      <w:r w:rsidR="009F41C5">
        <w:t xml:space="preserve"> </w:t>
      </w:r>
      <w:r w:rsidR="00135216">
        <w:t xml:space="preserve">also notes </w:t>
      </w:r>
      <w:r w:rsidR="009F41C5">
        <w:t xml:space="preserve">that the complainant </w:t>
      </w:r>
      <w:r w:rsidR="00135216">
        <w:t>has</w:t>
      </w:r>
      <w:r w:rsidR="009F41C5" w:rsidRPr="00290059">
        <w:t xml:space="preserve"> not </w:t>
      </w:r>
      <w:r w:rsidR="009F41C5">
        <w:t>present</w:t>
      </w:r>
      <w:r w:rsidR="00135216">
        <w:t>ed</w:t>
      </w:r>
      <w:r w:rsidR="009F41C5" w:rsidRPr="00290059">
        <w:t xml:space="preserve"> </w:t>
      </w:r>
      <w:r w:rsidR="009F41C5">
        <w:t xml:space="preserve">any evidence </w:t>
      </w:r>
      <w:r w:rsidR="00157B5E">
        <w:t>in support of his claims that the S</w:t>
      </w:r>
      <w:r w:rsidR="00884F9B">
        <w:t xml:space="preserve">ri </w:t>
      </w:r>
      <w:r w:rsidR="00157B5E">
        <w:t>L</w:t>
      </w:r>
      <w:r w:rsidR="00884F9B">
        <w:t xml:space="preserve">anka </w:t>
      </w:r>
      <w:r w:rsidR="00157B5E">
        <w:t>A</w:t>
      </w:r>
      <w:r w:rsidR="00884F9B">
        <w:t>rmy</w:t>
      </w:r>
      <w:r w:rsidR="00157B5E">
        <w:t xml:space="preserve"> or the C</w:t>
      </w:r>
      <w:r w:rsidR="00884F9B">
        <w:t xml:space="preserve">riminal </w:t>
      </w:r>
      <w:r w:rsidR="00157B5E">
        <w:t>I</w:t>
      </w:r>
      <w:r w:rsidR="00884F9B">
        <w:t xml:space="preserve">nvestigation </w:t>
      </w:r>
      <w:r w:rsidR="00157B5E">
        <w:t>D</w:t>
      </w:r>
      <w:r w:rsidR="00884F9B">
        <w:t>epartment</w:t>
      </w:r>
      <w:r w:rsidR="00157B5E">
        <w:t xml:space="preserve"> </w:t>
      </w:r>
      <w:r w:rsidR="00135216">
        <w:t>are</w:t>
      </w:r>
      <w:r w:rsidR="007D3337">
        <w:t xml:space="preserve"> interested in </w:t>
      </w:r>
      <w:r w:rsidR="00157B5E">
        <w:t>him</w:t>
      </w:r>
      <w:r w:rsidR="00135216">
        <w:t xml:space="preserve">; </w:t>
      </w:r>
      <w:r w:rsidR="003B47A1">
        <w:t xml:space="preserve">that his fears regarding the soldiers whom he claims committed a murder and the investigation related to it are based on speculation; </w:t>
      </w:r>
      <w:r w:rsidR="00135216">
        <w:t>and that his family continues to live in their village</w:t>
      </w:r>
      <w:r w:rsidR="003B47A1">
        <w:t xml:space="preserve"> and do not seem to have been disturbed by persons looking for him. </w:t>
      </w:r>
      <w:r w:rsidR="009650B0">
        <w:t xml:space="preserve">The Committee further notes that, despite </w:t>
      </w:r>
      <w:r w:rsidR="00666116">
        <w:t xml:space="preserve">the complainant being a Tamil </w:t>
      </w:r>
      <w:r w:rsidR="009650B0">
        <w:rPr>
          <w:kern w:val="3"/>
          <w:lang w:eastAsia="zh-CN"/>
        </w:rPr>
        <w:t xml:space="preserve">originating from the area previously controlled by LTTE, </w:t>
      </w:r>
      <w:r w:rsidR="00666116">
        <w:rPr>
          <w:kern w:val="3"/>
          <w:lang w:eastAsia="zh-CN"/>
        </w:rPr>
        <w:t xml:space="preserve">the Sri Lankan authorities </w:t>
      </w:r>
      <w:r w:rsidR="0034462D">
        <w:rPr>
          <w:kern w:val="3"/>
          <w:lang w:eastAsia="zh-CN"/>
        </w:rPr>
        <w:t>did</w:t>
      </w:r>
      <w:r w:rsidR="00666116">
        <w:rPr>
          <w:kern w:val="3"/>
          <w:lang w:eastAsia="zh-CN"/>
        </w:rPr>
        <w:t xml:space="preserve"> not suspected him of having any links with LTTE prior to his departure from the country. </w:t>
      </w:r>
      <w:r w:rsidR="003B47A1">
        <w:rPr>
          <w:lang w:val="en-US"/>
        </w:rPr>
        <w:t>A</w:t>
      </w:r>
      <w:r w:rsidR="00D57212">
        <w:rPr>
          <w:lang w:val="en-US"/>
        </w:rPr>
        <w:t>lthough</w:t>
      </w:r>
      <w:r w:rsidR="003B47A1">
        <w:rPr>
          <w:lang w:val="en-US"/>
        </w:rPr>
        <w:t xml:space="preserve"> the</w:t>
      </w:r>
      <w:r w:rsidR="00D57212">
        <w:rPr>
          <w:lang w:val="en-US"/>
        </w:rPr>
        <w:t xml:space="preserve"> complainant</w:t>
      </w:r>
      <w:r w:rsidR="00D57212" w:rsidRPr="00AE7D12">
        <w:rPr>
          <w:lang w:val="en-US"/>
        </w:rPr>
        <w:t xml:space="preserve"> disagrees with the</w:t>
      </w:r>
      <w:r w:rsidR="00D57212">
        <w:rPr>
          <w:lang w:val="en-US"/>
        </w:rPr>
        <w:t xml:space="preserve"> assessment of his accounts by the State party’s authorities, </w:t>
      </w:r>
      <w:r w:rsidR="00D57212" w:rsidRPr="00AE7D12">
        <w:rPr>
          <w:lang w:val="en-US"/>
        </w:rPr>
        <w:t>he</w:t>
      </w:r>
      <w:r w:rsidR="00D57212" w:rsidRPr="00AE7D12">
        <w:rPr>
          <w:lang w:val="en-US" w:eastAsia="en-GB"/>
        </w:rPr>
        <w:t xml:space="preserve"> has failed to </w:t>
      </w:r>
      <w:r w:rsidR="003B47A1">
        <w:rPr>
          <w:lang w:val="en-US" w:eastAsia="en-GB"/>
        </w:rPr>
        <w:t>demonstrate that</w:t>
      </w:r>
      <w:r w:rsidR="00D57212" w:rsidRPr="00AE7D12">
        <w:rPr>
          <w:lang w:val="en-US" w:eastAsia="en-GB"/>
        </w:rPr>
        <w:t xml:space="preserve"> the decision</w:t>
      </w:r>
      <w:r w:rsidR="00D57212">
        <w:rPr>
          <w:lang w:val="en-US" w:eastAsia="en-GB"/>
        </w:rPr>
        <w:t xml:space="preserve"> to refuse him </w:t>
      </w:r>
      <w:r w:rsidR="0034462D">
        <w:rPr>
          <w:lang w:val="en-US" w:eastAsia="en-GB"/>
        </w:rPr>
        <w:t xml:space="preserve">a </w:t>
      </w:r>
      <w:r w:rsidR="00D57212">
        <w:rPr>
          <w:lang w:val="en-US" w:eastAsia="en-GB"/>
        </w:rPr>
        <w:t>protection visa was</w:t>
      </w:r>
      <w:r w:rsidR="00D57212" w:rsidRPr="00AE7D12">
        <w:rPr>
          <w:lang w:val="en-US" w:eastAsia="en-GB"/>
        </w:rPr>
        <w:t xml:space="preserve"> </w:t>
      </w:r>
      <w:r w:rsidR="00D57212" w:rsidRPr="004C5D50">
        <w:rPr>
          <w:color w:val="000000"/>
          <w:lang w:eastAsia="en-GB"/>
        </w:rPr>
        <w:t>clearly arbitrary or amounted to a denial of justice</w:t>
      </w:r>
      <w:r w:rsidR="009F41C5">
        <w:rPr>
          <w:bCs/>
        </w:rPr>
        <w:t>.</w:t>
      </w:r>
      <w:r w:rsidR="007D3337">
        <w:rPr>
          <w:bCs/>
        </w:rPr>
        <w:t xml:space="preserve"> </w:t>
      </w:r>
    </w:p>
    <w:p w:rsidR="009F41C5" w:rsidRPr="00ED588B" w:rsidRDefault="00D57212" w:rsidP="00F627C3">
      <w:pPr>
        <w:pStyle w:val="SingleTxtG"/>
        <w:rPr>
          <w:color w:val="000000"/>
          <w:lang w:eastAsia="en-GB"/>
        </w:rPr>
      </w:pPr>
      <w:r>
        <w:t>7.</w:t>
      </w:r>
      <w:r w:rsidR="00723B07">
        <w:t>9</w:t>
      </w:r>
      <w:r>
        <w:tab/>
      </w:r>
      <w:r w:rsidR="00F627C3">
        <w:t>T</w:t>
      </w:r>
      <w:r>
        <w:t xml:space="preserve">he Committee recalls its general comment No. 1, </w:t>
      </w:r>
      <w:r w:rsidR="00F627C3">
        <w:t xml:space="preserve">according to which </w:t>
      </w:r>
      <w:r>
        <w:t>the burden of presenting an arguable case lies with the com</w:t>
      </w:r>
      <w:r w:rsidR="00ED588B">
        <w:t>plain</w:t>
      </w:r>
      <w:r w:rsidR="00F627C3">
        <w:t>an</w:t>
      </w:r>
      <w:r w:rsidR="00ED588B">
        <w:t>t</w:t>
      </w:r>
      <w:r>
        <w:t>. In the Committee’s opinion, in the present case, the complainant has not discharged this burden of proof.</w:t>
      </w:r>
      <w:r>
        <w:rPr>
          <w:rStyle w:val="FootnoteReference"/>
        </w:rPr>
        <w:footnoteReference w:id="17"/>
      </w:r>
      <w:r>
        <w:t xml:space="preserve"> </w:t>
      </w:r>
    </w:p>
    <w:p w:rsidR="00A44072" w:rsidRDefault="00ED588B" w:rsidP="00D60A89">
      <w:pPr>
        <w:pStyle w:val="SingleTxtG"/>
      </w:pPr>
      <w:r>
        <w:lastRenderedPageBreak/>
        <w:t xml:space="preserve">8. </w:t>
      </w:r>
      <w:r>
        <w:tab/>
      </w:r>
      <w:r w:rsidRPr="007C5C32">
        <w:t xml:space="preserve">Consequently, the </w:t>
      </w:r>
      <w:r w:rsidRPr="00EF2824">
        <w:rPr>
          <w:lang w:val="en-US"/>
        </w:rPr>
        <w:t xml:space="preserve">Committee </w:t>
      </w:r>
      <w:r w:rsidR="00A44072" w:rsidRPr="004D37FE">
        <w:t xml:space="preserve">considers that the material </w:t>
      </w:r>
      <w:r w:rsidR="00A44072">
        <w:t xml:space="preserve">before it </w:t>
      </w:r>
      <w:r w:rsidR="00A44072" w:rsidRPr="004D37FE">
        <w:t xml:space="preserve">does not enable it to conclude </w:t>
      </w:r>
      <w:r w:rsidR="00A44072">
        <w:t xml:space="preserve">that the complainant </w:t>
      </w:r>
      <w:r w:rsidR="00A44072" w:rsidRPr="00EF2824">
        <w:rPr>
          <w:lang w:val="en-US"/>
        </w:rPr>
        <w:t>would run a real, foreseeable, personal and present risk of being subjected to torture</w:t>
      </w:r>
      <w:r w:rsidR="00A44072">
        <w:rPr>
          <w:lang w:val="en-US"/>
        </w:rPr>
        <w:t xml:space="preserve"> </w:t>
      </w:r>
      <w:r w:rsidR="00A44072" w:rsidRPr="00B634A9">
        <w:rPr>
          <w:bCs/>
        </w:rPr>
        <w:t>within the meaning of article 3 of the Convention</w:t>
      </w:r>
      <w:r w:rsidR="00A44072" w:rsidRPr="0029244B">
        <w:rPr>
          <w:lang w:val="en-US"/>
        </w:rPr>
        <w:t xml:space="preserve"> </w:t>
      </w:r>
      <w:r w:rsidR="00F627C3">
        <w:rPr>
          <w:lang w:val="en-US"/>
        </w:rPr>
        <w:t>if</w:t>
      </w:r>
      <w:r w:rsidR="00A44072" w:rsidRPr="0029244B">
        <w:rPr>
          <w:lang w:val="en-US"/>
        </w:rPr>
        <w:t xml:space="preserve"> </w:t>
      </w:r>
      <w:r w:rsidR="00A44072">
        <w:rPr>
          <w:lang w:val="en-US"/>
        </w:rPr>
        <w:t>return</w:t>
      </w:r>
      <w:r w:rsidR="00F627C3">
        <w:rPr>
          <w:lang w:val="en-US"/>
        </w:rPr>
        <w:t>ed</w:t>
      </w:r>
      <w:r w:rsidR="00A44072">
        <w:rPr>
          <w:lang w:val="en-US"/>
        </w:rPr>
        <w:t xml:space="preserve"> </w:t>
      </w:r>
      <w:r w:rsidR="00A44072" w:rsidRPr="0029244B">
        <w:rPr>
          <w:lang w:val="en-US"/>
        </w:rPr>
        <w:t>to Sri Lanka</w:t>
      </w:r>
      <w:r w:rsidR="00A44072" w:rsidRPr="00350241">
        <w:rPr>
          <w:lang w:val="en-US"/>
        </w:rPr>
        <w:t>.</w:t>
      </w:r>
    </w:p>
    <w:p w:rsidR="00ED588B" w:rsidRDefault="00ED588B" w:rsidP="00D60A89">
      <w:pPr>
        <w:pStyle w:val="SingleTxtG"/>
        <w:rPr>
          <w:lang w:eastAsia="zh-CN"/>
        </w:rPr>
      </w:pPr>
      <w:r>
        <w:t>9.</w:t>
      </w:r>
      <w:r>
        <w:tab/>
      </w:r>
      <w:r w:rsidR="00F627C3">
        <w:t>In the light of the foregoing, t</w:t>
      </w:r>
      <w:r>
        <w:t>he Committee, acting under article 22</w:t>
      </w:r>
      <w:r w:rsidR="0034462D">
        <w:t xml:space="preserve"> (</w:t>
      </w:r>
      <w:r>
        <w:t>7</w:t>
      </w:r>
      <w:r w:rsidR="0034462D">
        <w:t>)</w:t>
      </w:r>
      <w:r>
        <w:t xml:space="preserve"> of the Convention, concludes that the complainant’s removal to Sri Lanka by the State party would not constitute a breach of article 3 of the Convention. </w:t>
      </w:r>
    </w:p>
    <w:p w:rsidR="00ED588B" w:rsidRDefault="00ED588B" w:rsidP="00ED588B">
      <w:pPr>
        <w:autoSpaceDN w:val="0"/>
        <w:spacing w:after="120" w:line="240" w:lineRule="auto"/>
        <w:jc w:val="center"/>
        <w:textAlignment w:val="baseline"/>
        <w:rPr>
          <w:kern w:val="3"/>
          <w:u w:val="single"/>
          <w:lang w:eastAsia="zh-CN"/>
        </w:rPr>
      </w:pPr>
      <w:r w:rsidRPr="00861B73">
        <w:rPr>
          <w:kern w:val="3"/>
          <w:u w:val="single"/>
          <w:lang w:eastAsia="zh-CN"/>
        </w:rPr>
        <w:tab/>
      </w:r>
      <w:r w:rsidRPr="00861B73">
        <w:rPr>
          <w:kern w:val="3"/>
          <w:u w:val="single"/>
          <w:lang w:eastAsia="zh-CN"/>
        </w:rPr>
        <w:tab/>
      </w:r>
      <w:r w:rsidRPr="00861B73">
        <w:rPr>
          <w:kern w:val="3"/>
          <w:u w:val="single"/>
          <w:lang w:eastAsia="zh-CN"/>
        </w:rPr>
        <w:tab/>
      </w:r>
    </w:p>
    <w:p w:rsidR="005132FF" w:rsidRPr="00F164D6" w:rsidRDefault="005132FF" w:rsidP="00ED588B">
      <w:pPr>
        <w:autoSpaceDN w:val="0"/>
        <w:spacing w:after="120" w:line="240" w:lineRule="auto"/>
        <w:jc w:val="center"/>
        <w:textAlignment w:val="baseline"/>
        <w:rPr>
          <w:lang w:eastAsia="zh-CN"/>
        </w:rPr>
      </w:pPr>
    </w:p>
    <w:sectPr w:rsidR="005132FF" w:rsidRPr="00F164D6" w:rsidSect="00D60A89">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644" w:rsidRDefault="00577644"/>
  </w:endnote>
  <w:endnote w:type="continuationSeparator" w:id="0">
    <w:p w:rsidR="00577644" w:rsidRDefault="00577644"/>
  </w:endnote>
  <w:endnote w:type="continuationNotice" w:id="1">
    <w:p w:rsidR="00577644" w:rsidRDefault="00577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F0C" w:rsidRPr="00A511AC" w:rsidRDefault="00977F0C" w:rsidP="00A511AC">
    <w:pPr>
      <w:pStyle w:val="Footer"/>
      <w:tabs>
        <w:tab w:val="right" w:pos="9638"/>
      </w:tabs>
    </w:pPr>
    <w:r w:rsidRPr="00A511AC">
      <w:rPr>
        <w:b/>
        <w:sz w:val="18"/>
      </w:rPr>
      <w:fldChar w:fldCharType="begin"/>
    </w:r>
    <w:r w:rsidRPr="00A511AC">
      <w:rPr>
        <w:b/>
        <w:sz w:val="18"/>
      </w:rPr>
      <w:instrText xml:space="preserve"> PAGE  \* MERGEFORMAT </w:instrText>
    </w:r>
    <w:r w:rsidRPr="00A511AC">
      <w:rPr>
        <w:b/>
        <w:sz w:val="18"/>
      </w:rPr>
      <w:fldChar w:fldCharType="separate"/>
    </w:r>
    <w:r w:rsidR="001A5F9F">
      <w:rPr>
        <w:b/>
        <w:noProof/>
        <w:sz w:val="18"/>
      </w:rPr>
      <w:t>2</w:t>
    </w:r>
    <w:r w:rsidRPr="00A511AC">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F0C" w:rsidRPr="00A511AC" w:rsidRDefault="00977F0C" w:rsidP="00A511AC">
    <w:pPr>
      <w:pStyle w:val="Footer"/>
      <w:tabs>
        <w:tab w:val="right" w:pos="9638"/>
      </w:tabs>
      <w:rPr>
        <w:b/>
        <w:sz w:val="18"/>
      </w:rPr>
    </w:pPr>
    <w:r>
      <w:tab/>
    </w:r>
    <w:r w:rsidRPr="00A511AC">
      <w:rPr>
        <w:b/>
        <w:sz w:val="18"/>
      </w:rPr>
      <w:fldChar w:fldCharType="begin"/>
    </w:r>
    <w:r w:rsidRPr="00A511AC">
      <w:rPr>
        <w:b/>
        <w:sz w:val="18"/>
      </w:rPr>
      <w:instrText xml:space="preserve"> PAGE  \* MERGEFORMAT </w:instrText>
    </w:r>
    <w:r w:rsidRPr="00A511AC">
      <w:rPr>
        <w:b/>
        <w:sz w:val="18"/>
      </w:rPr>
      <w:fldChar w:fldCharType="separate"/>
    </w:r>
    <w:r w:rsidR="001A5F9F">
      <w:rPr>
        <w:b/>
        <w:noProof/>
        <w:sz w:val="18"/>
      </w:rPr>
      <w:t>3</w:t>
    </w:r>
    <w:r w:rsidRPr="00A511AC">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2FF" w:rsidRDefault="00FA6385" w:rsidP="00FA6385">
    <w:pPr>
      <w:pStyle w:val="Footer"/>
      <w:ind w:right="1134"/>
      <w:rPr>
        <w:rFonts w:asciiTheme="majorBidi" w:hAnsiTheme="majorBidi" w:cstheme="majorBidi"/>
        <w:sz w:val="20"/>
      </w:rPr>
    </w:pPr>
    <w:r w:rsidRPr="00FA6385">
      <w:rPr>
        <w:rFonts w:ascii="C39T30Lfz" w:hAnsi="C39T30Lfz" w:cstheme="majorBidi"/>
        <w:noProof/>
        <w:sz w:val="56"/>
        <w:u w:val="single"/>
        <w:lang w:val="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FA6385" w:rsidRDefault="00FA6385" w:rsidP="00FA6385">
    <w:pPr>
      <w:pStyle w:val="Footer"/>
      <w:ind w:right="1134"/>
      <w:rPr>
        <w:rFonts w:asciiTheme="majorBidi" w:hAnsiTheme="majorBidi" w:cstheme="majorBidi"/>
        <w:sz w:val="20"/>
      </w:rPr>
    </w:pPr>
    <w:r>
      <w:rPr>
        <w:rFonts w:asciiTheme="majorBidi" w:hAnsiTheme="majorBidi" w:cstheme="majorBidi"/>
        <w:sz w:val="20"/>
      </w:rPr>
      <w:t>GE.16-15694(E)</w:t>
    </w:r>
  </w:p>
  <w:p w:rsidR="00FA6385" w:rsidRPr="00FA6385" w:rsidRDefault="00FA6385" w:rsidP="00FA6385">
    <w:pPr>
      <w:pStyle w:val="Footer"/>
      <w:ind w:right="1134"/>
      <w:rPr>
        <w:rFonts w:ascii="C39T30Lfz" w:hAnsi="C39T30Lfz" w:cstheme="majorBidi"/>
        <w:sz w:val="56"/>
      </w:rPr>
    </w:pP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sz w:val="56"/>
      </w:rPr>
      <w:t></w:t>
    </w:r>
    <w:r>
      <w:rPr>
        <w:rFonts w:ascii="C39T30Lfz" w:hAnsi="C39T30Lfz" w:cstheme="majorBidi"/>
        <w:noProof/>
        <w:sz w:val="56"/>
        <w:lang w:val="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8175" cy="638175"/>
          <wp:effectExtent l="0" t="0" r="9525" b="9525"/>
          <wp:wrapNone/>
          <wp:docPr id="1" name="Picture 1" descr="http://undocs.org/m2/QRCode.ashx?DS=CAT/C/58/D/600/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AT/C/58/D/600/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644" w:rsidRPr="000B175B" w:rsidRDefault="00577644" w:rsidP="000B175B">
      <w:pPr>
        <w:tabs>
          <w:tab w:val="right" w:pos="2155"/>
        </w:tabs>
        <w:spacing w:after="80"/>
        <w:ind w:left="680"/>
        <w:rPr>
          <w:u w:val="single"/>
        </w:rPr>
      </w:pPr>
      <w:r>
        <w:rPr>
          <w:u w:val="single"/>
        </w:rPr>
        <w:tab/>
      </w:r>
    </w:p>
  </w:footnote>
  <w:footnote w:type="continuationSeparator" w:id="0">
    <w:p w:rsidR="00577644" w:rsidRPr="00FC68B7" w:rsidRDefault="00577644" w:rsidP="00FC68B7">
      <w:pPr>
        <w:tabs>
          <w:tab w:val="left" w:pos="2155"/>
        </w:tabs>
        <w:spacing w:after="80"/>
        <w:ind w:left="680"/>
        <w:rPr>
          <w:u w:val="single"/>
        </w:rPr>
      </w:pPr>
      <w:r>
        <w:rPr>
          <w:u w:val="single"/>
        </w:rPr>
        <w:tab/>
      </w:r>
    </w:p>
  </w:footnote>
  <w:footnote w:type="continuationNotice" w:id="1">
    <w:p w:rsidR="00577644" w:rsidRDefault="00577644"/>
  </w:footnote>
  <w:footnote w:id="2">
    <w:p w:rsidR="005659AA" w:rsidRPr="00D60A89" w:rsidRDefault="005659AA" w:rsidP="005659AA">
      <w:pPr>
        <w:pStyle w:val="FootnoteText"/>
        <w:rPr>
          <w:lang w:val="en-US"/>
        </w:rPr>
      </w:pPr>
      <w:r>
        <w:rPr>
          <w:rStyle w:val="FootnoteReference"/>
        </w:rPr>
        <w:tab/>
      </w:r>
      <w:r w:rsidRPr="00D60A89">
        <w:rPr>
          <w:rStyle w:val="FootnoteReference"/>
          <w:sz w:val="20"/>
          <w:vertAlign w:val="baseline"/>
        </w:rPr>
        <w:t>*</w:t>
      </w:r>
      <w:r>
        <w:rPr>
          <w:rStyle w:val="FootnoteReference"/>
          <w:sz w:val="20"/>
          <w:vertAlign w:val="baseline"/>
        </w:rPr>
        <w:tab/>
      </w:r>
      <w:r>
        <w:t>Adopted by the Committee at its fifty-eight session (25 July-12 August 2016).</w:t>
      </w:r>
    </w:p>
  </w:footnote>
  <w:footnote w:id="3">
    <w:p w:rsidR="005659AA" w:rsidRPr="00D60A89" w:rsidRDefault="005659AA" w:rsidP="005659AA">
      <w:pPr>
        <w:pStyle w:val="FootnoteText"/>
        <w:rPr>
          <w:lang w:val="en-US"/>
        </w:rPr>
      </w:pPr>
      <w:r>
        <w:rPr>
          <w:rStyle w:val="FootnoteReference"/>
        </w:rPr>
        <w:tab/>
      </w:r>
      <w:r w:rsidRPr="00D60A89">
        <w:rPr>
          <w:rStyle w:val="FootnoteReference"/>
          <w:sz w:val="20"/>
          <w:vertAlign w:val="baseline"/>
        </w:rPr>
        <w:t>**</w:t>
      </w:r>
      <w:r>
        <w:rPr>
          <w:rStyle w:val="FootnoteReference"/>
          <w:sz w:val="20"/>
          <w:vertAlign w:val="baseline"/>
        </w:rPr>
        <w:tab/>
      </w:r>
      <w:r w:rsidRPr="00D60A89">
        <w:rPr>
          <w:szCs w:val="18"/>
        </w:rPr>
        <w:t xml:space="preserve">The following members of the Committee participated in the consideration of the present communication: </w:t>
      </w:r>
      <w:r w:rsidRPr="0027128F">
        <w:rPr>
          <w:szCs w:val="18"/>
        </w:rPr>
        <w:t xml:space="preserve">Essadia Belmir, Alessio Bruni, Felice Gaer, </w:t>
      </w:r>
      <w:r w:rsidRPr="0027128F">
        <w:rPr>
          <w:color w:val="000000"/>
          <w:szCs w:val="18"/>
          <w:lang w:eastAsia="en-GB"/>
        </w:rPr>
        <w:t xml:space="preserve">Abdelwahab Hani, </w:t>
      </w:r>
      <w:r w:rsidR="00C3680D">
        <w:rPr>
          <w:color w:val="000000"/>
          <w:szCs w:val="18"/>
          <w:lang w:eastAsia="en-GB"/>
        </w:rPr>
        <w:br/>
      </w:r>
      <w:r w:rsidRPr="0027128F">
        <w:rPr>
          <w:color w:val="000000"/>
          <w:szCs w:val="18"/>
          <w:lang w:eastAsia="en-GB"/>
        </w:rPr>
        <w:t xml:space="preserve">Claude Heller-Rouassant, </w:t>
      </w:r>
      <w:r w:rsidRPr="0027128F">
        <w:rPr>
          <w:bCs/>
          <w:szCs w:val="18"/>
          <w:lang w:val="en-US"/>
        </w:rPr>
        <w:t>Jens Modvig,</w:t>
      </w:r>
      <w:r w:rsidRPr="0027128F">
        <w:rPr>
          <w:color w:val="000000"/>
          <w:szCs w:val="18"/>
          <w:lang w:eastAsia="en-GB"/>
        </w:rPr>
        <w:t xml:space="preserve"> Ana Racu, Sébastien Touze</w:t>
      </w:r>
      <w:r w:rsidRPr="0027128F">
        <w:rPr>
          <w:bCs/>
          <w:szCs w:val="18"/>
          <w:lang w:val="en-US"/>
        </w:rPr>
        <w:t xml:space="preserve"> and </w:t>
      </w:r>
      <w:r w:rsidRPr="0027128F">
        <w:rPr>
          <w:szCs w:val="18"/>
        </w:rPr>
        <w:t>Kening Zhang.</w:t>
      </w:r>
    </w:p>
  </w:footnote>
  <w:footnote w:id="4">
    <w:p w:rsidR="00A43F1B" w:rsidRPr="00A43F1B" w:rsidRDefault="00A43F1B" w:rsidP="00D60A89">
      <w:pPr>
        <w:pStyle w:val="FootnoteText"/>
      </w:pPr>
      <w:r>
        <w:tab/>
      </w:r>
      <w:r>
        <w:rPr>
          <w:rStyle w:val="FootnoteReference"/>
        </w:rPr>
        <w:footnoteRef/>
      </w:r>
      <w:r>
        <w:t xml:space="preserve"> </w:t>
      </w:r>
      <w:r>
        <w:tab/>
        <w:t xml:space="preserve">As of September 2013, the </w:t>
      </w:r>
      <w:r w:rsidR="00EE6444">
        <w:t xml:space="preserve">name of the </w:t>
      </w:r>
      <w:r>
        <w:t xml:space="preserve">Department of Immigration and Citizenship </w:t>
      </w:r>
      <w:r w:rsidR="00EE6444">
        <w:t xml:space="preserve">was </w:t>
      </w:r>
      <w:r>
        <w:t>changed</w:t>
      </w:r>
      <w:r w:rsidR="00EE6444">
        <w:t xml:space="preserve"> </w:t>
      </w:r>
      <w:r>
        <w:t>to Department of Immigration and Border Protection.</w:t>
      </w:r>
    </w:p>
  </w:footnote>
  <w:footnote w:id="5">
    <w:p w:rsidR="001D7650" w:rsidRPr="001D7650" w:rsidRDefault="001D7650" w:rsidP="00D60A89">
      <w:pPr>
        <w:pStyle w:val="FootnoteText"/>
      </w:pPr>
      <w:r>
        <w:tab/>
      </w:r>
      <w:r>
        <w:rPr>
          <w:rStyle w:val="FootnoteReference"/>
        </w:rPr>
        <w:footnoteRef/>
      </w:r>
      <w:r w:rsidR="003C2DD4">
        <w:tab/>
      </w:r>
      <w:r>
        <w:t xml:space="preserve">In its </w:t>
      </w:r>
      <w:r w:rsidR="00012DE4">
        <w:t xml:space="preserve">additional </w:t>
      </w:r>
      <w:r>
        <w:t xml:space="preserve">observations of 31 March 2016, the State party stated that the complainant </w:t>
      </w:r>
      <w:r w:rsidR="00E3009F">
        <w:t>ha</w:t>
      </w:r>
      <w:r w:rsidR="00407F93">
        <w:t>d</w:t>
      </w:r>
      <w:r w:rsidR="00E3009F">
        <w:t xml:space="preserve"> been in Australia since 17 February 2012 and was currently residing unl</w:t>
      </w:r>
      <w:r w:rsidR="003C2DD4">
        <w:t>awfully in the community.</w:t>
      </w:r>
      <w:r>
        <w:t xml:space="preserve"> </w:t>
      </w:r>
    </w:p>
  </w:footnote>
  <w:footnote w:id="6">
    <w:p w:rsidR="00977F0C" w:rsidRPr="00467C18" w:rsidRDefault="00977F0C" w:rsidP="00D60A89">
      <w:pPr>
        <w:pStyle w:val="FootnoteText"/>
        <w:widowControl w:val="0"/>
        <w:tabs>
          <w:tab w:val="clear" w:pos="1021"/>
          <w:tab w:val="right" w:pos="1020"/>
        </w:tabs>
      </w:pPr>
      <w:r>
        <w:tab/>
      </w:r>
      <w:r>
        <w:rPr>
          <w:rStyle w:val="FootnoteReference"/>
        </w:rPr>
        <w:footnoteRef/>
      </w:r>
      <w:r>
        <w:tab/>
      </w:r>
      <w:r w:rsidR="00564E3A">
        <w:t xml:space="preserve">See, for example, communication No. 203/2002, </w:t>
      </w:r>
      <w:r w:rsidR="00564E3A" w:rsidRPr="00510162">
        <w:rPr>
          <w:i/>
          <w:szCs w:val="18"/>
        </w:rPr>
        <w:t>A.R</w:t>
      </w:r>
      <w:r w:rsidR="00564E3A">
        <w:rPr>
          <w:i/>
          <w:szCs w:val="18"/>
        </w:rPr>
        <w:t>.</w:t>
      </w:r>
      <w:r w:rsidR="00564E3A" w:rsidRPr="00510162">
        <w:rPr>
          <w:i/>
          <w:szCs w:val="18"/>
        </w:rPr>
        <w:t xml:space="preserve"> v</w:t>
      </w:r>
      <w:r w:rsidR="00564E3A">
        <w:rPr>
          <w:i/>
          <w:szCs w:val="18"/>
        </w:rPr>
        <w:t>.</w:t>
      </w:r>
      <w:r w:rsidR="00564E3A" w:rsidRPr="00510162">
        <w:rPr>
          <w:i/>
          <w:szCs w:val="18"/>
        </w:rPr>
        <w:t xml:space="preserve"> Netherlands</w:t>
      </w:r>
      <w:r w:rsidR="00564E3A" w:rsidRPr="00510162">
        <w:rPr>
          <w:szCs w:val="18"/>
        </w:rPr>
        <w:t>,</w:t>
      </w:r>
      <w:r w:rsidR="00564E3A">
        <w:rPr>
          <w:szCs w:val="18"/>
        </w:rPr>
        <w:t xml:space="preserve"> decision adopted on 14</w:t>
      </w:r>
      <w:r w:rsidR="004A7E15">
        <w:rPr>
          <w:szCs w:val="18"/>
        </w:rPr>
        <w:t> </w:t>
      </w:r>
      <w:r w:rsidR="00564E3A">
        <w:rPr>
          <w:szCs w:val="18"/>
        </w:rPr>
        <w:t>November 2003, para. 7.3</w:t>
      </w:r>
      <w:r w:rsidRPr="00510162">
        <w:rPr>
          <w:iCs/>
          <w:szCs w:val="18"/>
        </w:rPr>
        <w:t>.</w:t>
      </w:r>
      <w:r>
        <w:t xml:space="preserve"> </w:t>
      </w:r>
    </w:p>
  </w:footnote>
  <w:footnote w:id="7">
    <w:p w:rsidR="00977F0C" w:rsidRPr="00AB178E" w:rsidRDefault="00977F0C" w:rsidP="00D60A89">
      <w:pPr>
        <w:pStyle w:val="FootnoteText"/>
      </w:pPr>
      <w:r>
        <w:tab/>
      </w:r>
      <w:r>
        <w:rPr>
          <w:rStyle w:val="FootnoteReference"/>
        </w:rPr>
        <w:footnoteRef/>
      </w:r>
      <w:r>
        <w:t xml:space="preserve"> </w:t>
      </w:r>
      <w:r>
        <w:tab/>
        <w:t xml:space="preserve">See, the </w:t>
      </w:r>
      <w:r w:rsidRPr="00510162">
        <w:rPr>
          <w:szCs w:val="18"/>
        </w:rPr>
        <w:t>Committee</w:t>
      </w:r>
      <w:r>
        <w:rPr>
          <w:szCs w:val="18"/>
        </w:rPr>
        <w:t>’s</w:t>
      </w:r>
      <w:r w:rsidRPr="00510162">
        <w:rPr>
          <w:szCs w:val="18"/>
        </w:rPr>
        <w:t xml:space="preserve"> </w:t>
      </w:r>
      <w:r>
        <w:rPr>
          <w:szCs w:val="18"/>
        </w:rPr>
        <w:t>g</w:t>
      </w:r>
      <w:r w:rsidRPr="00510162">
        <w:rPr>
          <w:szCs w:val="18"/>
        </w:rPr>
        <w:t xml:space="preserve">eneral </w:t>
      </w:r>
      <w:r>
        <w:rPr>
          <w:szCs w:val="18"/>
        </w:rPr>
        <w:t>c</w:t>
      </w:r>
      <w:r w:rsidRPr="00510162">
        <w:rPr>
          <w:szCs w:val="18"/>
        </w:rPr>
        <w:t>omment No</w:t>
      </w:r>
      <w:r>
        <w:rPr>
          <w:szCs w:val="18"/>
        </w:rPr>
        <w:t>.</w:t>
      </w:r>
      <w:r w:rsidRPr="00510162">
        <w:rPr>
          <w:szCs w:val="18"/>
        </w:rPr>
        <w:t xml:space="preserve"> 1</w:t>
      </w:r>
      <w:r w:rsidR="00040D05">
        <w:rPr>
          <w:szCs w:val="18"/>
        </w:rPr>
        <w:t xml:space="preserve"> (1997) on the implementation of article 3 of the Convention in the context of article 22,</w:t>
      </w:r>
      <w:r>
        <w:rPr>
          <w:szCs w:val="18"/>
        </w:rPr>
        <w:t xml:space="preserve"> </w:t>
      </w:r>
      <w:r w:rsidRPr="00510162">
        <w:rPr>
          <w:szCs w:val="18"/>
        </w:rPr>
        <w:t>para</w:t>
      </w:r>
      <w:r>
        <w:rPr>
          <w:szCs w:val="18"/>
        </w:rPr>
        <w:t>.</w:t>
      </w:r>
      <w:r w:rsidRPr="00510162">
        <w:rPr>
          <w:szCs w:val="18"/>
        </w:rPr>
        <w:t xml:space="preserve"> </w:t>
      </w:r>
      <w:r w:rsidR="00555B71">
        <w:rPr>
          <w:szCs w:val="18"/>
        </w:rPr>
        <w:t>9</w:t>
      </w:r>
      <w:r w:rsidRPr="00510162">
        <w:rPr>
          <w:szCs w:val="18"/>
        </w:rPr>
        <w:t>.</w:t>
      </w:r>
    </w:p>
  </w:footnote>
  <w:footnote w:id="8">
    <w:p w:rsidR="00B56577" w:rsidRPr="00B56577" w:rsidRDefault="00B56577" w:rsidP="00D60A89">
      <w:pPr>
        <w:pStyle w:val="FootnoteText"/>
      </w:pPr>
      <w:r>
        <w:tab/>
      </w:r>
      <w:r>
        <w:rPr>
          <w:rStyle w:val="FootnoteReference"/>
        </w:rPr>
        <w:footnoteRef/>
      </w:r>
      <w:r>
        <w:tab/>
      </w:r>
      <w:r w:rsidR="00683E38">
        <w:t xml:space="preserve">See </w:t>
      </w:r>
      <w:r>
        <w:t>UNHCR,</w:t>
      </w:r>
      <w:r w:rsidR="00722392">
        <w:t xml:space="preserve"> </w:t>
      </w:r>
      <w:r w:rsidRPr="00AB79DE">
        <w:rPr>
          <w:i/>
          <w:iCs/>
        </w:rPr>
        <w:t xml:space="preserve">Handbook on </w:t>
      </w:r>
      <w:r w:rsidR="00854BB3" w:rsidRPr="00AB79DE">
        <w:rPr>
          <w:i/>
          <w:iCs/>
        </w:rPr>
        <w:t>P</w:t>
      </w:r>
      <w:r w:rsidRPr="00AB79DE">
        <w:rPr>
          <w:i/>
          <w:iCs/>
        </w:rPr>
        <w:t xml:space="preserve">rocedures and </w:t>
      </w:r>
      <w:r w:rsidR="00854BB3" w:rsidRPr="00AB79DE">
        <w:rPr>
          <w:i/>
          <w:iCs/>
        </w:rPr>
        <w:t>C</w:t>
      </w:r>
      <w:r w:rsidRPr="00AB79DE">
        <w:rPr>
          <w:i/>
          <w:iCs/>
        </w:rPr>
        <w:t xml:space="preserve">riteria for </w:t>
      </w:r>
      <w:r w:rsidR="00854BB3" w:rsidRPr="00AB79DE">
        <w:rPr>
          <w:i/>
          <w:iCs/>
        </w:rPr>
        <w:t>D</w:t>
      </w:r>
      <w:r w:rsidRPr="00AB79DE">
        <w:rPr>
          <w:i/>
          <w:iCs/>
        </w:rPr>
        <w:t xml:space="preserve">etermining </w:t>
      </w:r>
      <w:r w:rsidR="00854BB3" w:rsidRPr="00AB79DE">
        <w:rPr>
          <w:i/>
          <w:iCs/>
        </w:rPr>
        <w:t>R</w:t>
      </w:r>
      <w:r w:rsidRPr="00AB79DE">
        <w:rPr>
          <w:i/>
          <w:iCs/>
        </w:rPr>
        <w:t xml:space="preserve">efugee </w:t>
      </w:r>
      <w:r w:rsidR="00854BB3" w:rsidRPr="00AB79DE">
        <w:rPr>
          <w:i/>
          <w:iCs/>
        </w:rPr>
        <w:t>S</w:t>
      </w:r>
      <w:r w:rsidRPr="00AB79DE">
        <w:rPr>
          <w:i/>
          <w:iCs/>
        </w:rPr>
        <w:t>tatus</w:t>
      </w:r>
      <w:r w:rsidR="00854BB3" w:rsidRPr="00AB79DE">
        <w:rPr>
          <w:i/>
          <w:iCs/>
        </w:rPr>
        <w:t xml:space="preserve"> under the 1951 Convention and the 1967 Protocol Relating to the Status of Refugees</w:t>
      </w:r>
      <w:r w:rsidR="00854BB3">
        <w:t xml:space="preserve"> (Geneva, </w:t>
      </w:r>
      <w:r>
        <w:t>1998</w:t>
      </w:r>
      <w:r w:rsidR="00854BB3">
        <w:t>)</w:t>
      </w:r>
      <w:r>
        <w:t xml:space="preserve">. </w:t>
      </w:r>
    </w:p>
  </w:footnote>
  <w:footnote w:id="9">
    <w:p w:rsidR="00F327A4" w:rsidRPr="00F327A4" w:rsidRDefault="00F327A4" w:rsidP="00D60A89">
      <w:pPr>
        <w:pStyle w:val="FootnoteText"/>
      </w:pPr>
      <w:r>
        <w:tab/>
      </w:r>
      <w:r>
        <w:rPr>
          <w:rStyle w:val="FootnoteReference"/>
        </w:rPr>
        <w:footnoteRef/>
      </w:r>
      <w:r>
        <w:tab/>
        <w:t xml:space="preserve">Reference is made to UNHCR, </w:t>
      </w:r>
      <w:r w:rsidRPr="00AB79DE">
        <w:rPr>
          <w:i/>
          <w:iCs/>
        </w:rPr>
        <w:t>UNHCR Eligibility Guidelines</w:t>
      </w:r>
      <w:r w:rsidR="000723B6" w:rsidRPr="00AB79DE">
        <w:rPr>
          <w:i/>
          <w:iCs/>
        </w:rPr>
        <w:t xml:space="preserve"> for Assessing the International Protection Needs of Asylum-Seekers from Sri Lanka</w:t>
      </w:r>
      <w:r w:rsidR="00AD0743">
        <w:t xml:space="preserve"> (Geneva, </w:t>
      </w:r>
      <w:r w:rsidR="000723B6">
        <w:t>21 December 2012</w:t>
      </w:r>
      <w:r w:rsidR="00AD0743">
        <w:t>)</w:t>
      </w:r>
      <w:r w:rsidR="000723B6">
        <w:t>, p</w:t>
      </w:r>
      <w:r w:rsidR="00034AC7">
        <w:t>p</w:t>
      </w:r>
      <w:r w:rsidR="000723B6">
        <w:t xml:space="preserve">. 5, 13-14; Human Rights Watch, </w:t>
      </w:r>
      <w:r w:rsidR="000723B6" w:rsidRPr="00AB79DE">
        <w:rPr>
          <w:i/>
          <w:iCs/>
        </w:rPr>
        <w:t>World Report 2014</w:t>
      </w:r>
      <w:r w:rsidR="00034AC7" w:rsidRPr="00AB79DE">
        <w:rPr>
          <w:i/>
          <w:iCs/>
        </w:rPr>
        <w:t>:</w:t>
      </w:r>
      <w:r w:rsidR="000723B6" w:rsidRPr="00AB79DE">
        <w:rPr>
          <w:i/>
          <w:iCs/>
        </w:rPr>
        <w:t xml:space="preserve"> Sri Lanka</w:t>
      </w:r>
      <w:r w:rsidR="000723B6">
        <w:t xml:space="preserve">; and </w:t>
      </w:r>
      <w:r w:rsidR="000723B6" w:rsidRPr="000723B6">
        <w:t>CAT</w:t>
      </w:r>
      <w:r w:rsidR="000723B6" w:rsidRPr="00F258E3">
        <w:t>/C/LKA/CO/3-4</w:t>
      </w:r>
      <w:r w:rsidR="000723B6" w:rsidRPr="00095767">
        <w:t>, para. 1</w:t>
      </w:r>
      <w:r w:rsidR="00DA0BEF">
        <w:t>9</w:t>
      </w:r>
      <w:r w:rsidR="000723B6" w:rsidRPr="00095767">
        <w:t>.</w:t>
      </w:r>
      <w:r w:rsidR="004A7E15">
        <w:t xml:space="preserve"> </w:t>
      </w:r>
    </w:p>
  </w:footnote>
  <w:footnote w:id="10">
    <w:p w:rsidR="0055476C" w:rsidRPr="0055476C" w:rsidRDefault="0055476C" w:rsidP="00A10666">
      <w:pPr>
        <w:pStyle w:val="FootnoteText"/>
      </w:pPr>
      <w:r>
        <w:tab/>
      </w:r>
      <w:r>
        <w:rPr>
          <w:rStyle w:val="FootnoteReference"/>
        </w:rPr>
        <w:footnoteRef/>
      </w:r>
      <w:r w:rsidRPr="00AB79DE">
        <w:rPr>
          <w:lang w:val="en-US"/>
        </w:rPr>
        <w:tab/>
      </w:r>
      <w:r w:rsidR="00034AC7">
        <w:rPr>
          <w:lang w:val="en-US"/>
        </w:rPr>
        <w:t xml:space="preserve">See </w:t>
      </w:r>
      <w:r w:rsidRPr="00AB79DE">
        <w:rPr>
          <w:lang w:val="en-US"/>
        </w:rPr>
        <w:t xml:space="preserve">UNHCR Handbook, paras. </w:t>
      </w:r>
      <w:r>
        <w:t xml:space="preserve">196 and 203. </w:t>
      </w:r>
    </w:p>
  </w:footnote>
  <w:footnote w:id="11">
    <w:p w:rsidR="00977F0C" w:rsidRPr="005C0805" w:rsidRDefault="00977F0C" w:rsidP="00D60A89">
      <w:pPr>
        <w:pStyle w:val="FootnoteText"/>
        <w:widowControl w:val="0"/>
        <w:tabs>
          <w:tab w:val="clear" w:pos="1021"/>
          <w:tab w:val="right" w:pos="1020"/>
        </w:tabs>
      </w:pPr>
      <w:r>
        <w:tab/>
      </w:r>
      <w:r>
        <w:rPr>
          <w:rStyle w:val="FootnoteReference"/>
        </w:rPr>
        <w:footnoteRef/>
      </w:r>
      <w:r>
        <w:tab/>
        <w:t>See</w:t>
      </w:r>
      <w:r w:rsidR="00007DA9">
        <w:t xml:space="preserve">, for example, </w:t>
      </w:r>
      <w:r>
        <w:t>communication</w:t>
      </w:r>
      <w:r w:rsidR="00034AC7">
        <w:t>s</w:t>
      </w:r>
      <w:r>
        <w:t xml:space="preserve"> No. 467/2011, </w:t>
      </w:r>
      <w:r w:rsidRPr="00EC7E8E">
        <w:rPr>
          <w:i/>
        </w:rPr>
        <w:t>Y.B.F., S.A.Q. and Y.Y. v. Switzerland</w:t>
      </w:r>
      <w:r>
        <w:t>, decision adopted on 31</w:t>
      </w:r>
      <w:r w:rsidRPr="00116B35">
        <w:t xml:space="preserve"> </w:t>
      </w:r>
      <w:r>
        <w:t>May 2013, para. 7.2</w:t>
      </w:r>
      <w:r w:rsidR="00007DA9">
        <w:t xml:space="preserve">; </w:t>
      </w:r>
      <w:r>
        <w:t xml:space="preserve">No. 392/2009, </w:t>
      </w:r>
      <w:r w:rsidRPr="00074071">
        <w:rPr>
          <w:i/>
        </w:rPr>
        <w:t>R.S.M. v. Canada</w:t>
      </w:r>
      <w:r>
        <w:t>, decision adopted on 24</w:t>
      </w:r>
      <w:r w:rsidRPr="00116B35">
        <w:t xml:space="preserve"> </w:t>
      </w:r>
      <w:r>
        <w:t>May 2013, para. 7.3</w:t>
      </w:r>
      <w:r w:rsidR="00007DA9">
        <w:t xml:space="preserve">; and </w:t>
      </w:r>
      <w:r>
        <w:t xml:space="preserve">No. 213/2002, </w:t>
      </w:r>
      <w:r w:rsidRPr="00074071">
        <w:rPr>
          <w:i/>
        </w:rPr>
        <w:t>E.J.V.M. v. Sweden</w:t>
      </w:r>
      <w:r>
        <w:t>, decision ado</w:t>
      </w:r>
      <w:r w:rsidR="00B30482">
        <w:t>pted on 14 November 2003, para. </w:t>
      </w:r>
      <w:r>
        <w:t>8.3.</w:t>
      </w:r>
      <w:r w:rsidR="004A7E15">
        <w:t xml:space="preserve"> </w:t>
      </w:r>
    </w:p>
  </w:footnote>
  <w:footnote w:id="12">
    <w:p w:rsidR="00977F0C" w:rsidRPr="005C0805" w:rsidRDefault="00977F0C" w:rsidP="00D60A89">
      <w:pPr>
        <w:pStyle w:val="FootnoteText"/>
        <w:widowControl w:val="0"/>
        <w:tabs>
          <w:tab w:val="clear" w:pos="1021"/>
          <w:tab w:val="right" w:pos="1020"/>
        </w:tabs>
      </w:pPr>
      <w:r>
        <w:tab/>
      </w:r>
      <w:r>
        <w:rPr>
          <w:rStyle w:val="FootnoteReference"/>
        </w:rPr>
        <w:footnoteRef/>
      </w:r>
      <w:r>
        <w:tab/>
      </w:r>
      <w:r w:rsidR="00C67CA5">
        <w:t xml:space="preserve">See, for example, </w:t>
      </w:r>
      <w:r w:rsidRPr="001A5494">
        <w:rPr>
          <w:i/>
        </w:rPr>
        <w:t>A.R. v. Netherlands</w:t>
      </w:r>
      <w:r>
        <w:t xml:space="preserve">, para. 7.3; </w:t>
      </w:r>
      <w:r w:rsidR="00975C75">
        <w:t xml:space="preserve">also </w:t>
      </w:r>
      <w:r w:rsidR="00C67CA5">
        <w:t>communication</w:t>
      </w:r>
      <w:r w:rsidR="00975C75">
        <w:t>s</w:t>
      </w:r>
      <w:r w:rsidR="00C67CA5">
        <w:t xml:space="preserve"> </w:t>
      </w:r>
      <w:r>
        <w:t xml:space="preserve">No. 285/2006. </w:t>
      </w:r>
      <w:r w:rsidRPr="001A5494">
        <w:rPr>
          <w:i/>
        </w:rPr>
        <w:t>A.A. et al. v. Switzerland</w:t>
      </w:r>
      <w:r>
        <w:t xml:space="preserve">, decision adopted on 10 November 2008, para. 7.6; No. 322/2007, </w:t>
      </w:r>
      <w:r w:rsidRPr="001A5494">
        <w:rPr>
          <w:i/>
        </w:rPr>
        <w:t>Njamba and Balikosa v. Sweden</w:t>
      </w:r>
      <w:r>
        <w:t>, decision ad</w:t>
      </w:r>
      <w:r w:rsidR="00666116">
        <w:t>opted on 14 May 2010, para. 9.4</w:t>
      </w:r>
      <w:r>
        <w:t xml:space="preserve">; </w:t>
      </w:r>
      <w:r w:rsidRPr="001A5494">
        <w:t xml:space="preserve">No. 343/2008, </w:t>
      </w:r>
      <w:r w:rsidRPr="00C67CA5">
        <w:rPr>
          <w:i/>
        </w:rPr>
        <w:t>Kalonzo v. Canada</w:t>
      </w:r>
      <w:r w:rsidRPr="001A5494">
        <w:t>, decision ad</w:t>
      </w:r>
      <w:r w:rsidR="00666116">
        <w:t>opted on 18 May 2012, para. 9.3</w:t>
      </w:r>
      <w:r>
        <w:t xml:space="preserve">; and No. 414/2010, </w:t>
      </w:r>
      <w:r w:rsidRPr="00F95847">
        <w:rPr>
          <w:i/>
        </w:rPr>
        <w:t>N.T.W. v. Switzerland</w:t>
      </w:r>
      <w:r w:rsidR="00D60A89">
        <w:t>, decision adopted on 16 </w:t>
      </w:r>
      <w:r>
        <w:t xml:space="preserve">May 2012, para. 7.3. </w:t>
      </w:r>
    </w:p>
  </w:footnote>
  <w:footnote w:id="13">
    <w:p w:rsidR="00977F0C" w:rsidRPr="005C0805" w:rsidRDefault="00977F0C" w:rsidP="00D60A89">
      <w:pPr>
        <w:pStyle w:val="FootnoteText"/>
        <w:widowControl w:val="0"/>
        <w:tabs>
          <w:tab w:val="clear" w:pos="1021"/>
          <w:tab w:val="right" w:pos="1020"/>
        </w:tabs>
      </w:pPr>
      <w:r>
        <w:tab/>
      </w:r>
      <w:r>
        <w:rPr>
          <w:rStyle w:val="FootnoteReference"/>
        </w:rPr>
        <w:footnoteRef/>
      </w:r>
      <w:r>
        <w:tab/>
        <w:t xml:space="preserve">See, </w:t>
      </w:r>
      <w:r w:rsidR="00D57212">
        <w:t>for example</w:t>
      </w:r>
      <w:r>
        <w:t xml:space="preserve">, communication No. 356/2008, </w:t>
      </w:r>
      <w:r w:rsidRPr="00730059">
        <w:rPr>
          <w:i/>
        </w:rPr>
        <w:t>N.S. v. Switzerland</w:t>
      </w:r>
      <w:r>
        <w:t xml:space="preserve">, decision adopted on 6 May 2010. </w:t>
      </w:r>
    </w:p>
  </w:footnote>
  <w:footnote w:id="14">
    <w:p w:rsidR="00723B07" w:rsidRPr="0067152D" w:rsidRDefault="00723B07" w:rsidP="00A10666">
      <w:pPr>
        <w:pStyle w:val="FootnoteText"/>
      </w:pPr>
      <w:r>
        <w:tab/>
      </w:r>
      <w:r>
        <w:rPr>
          <w:rStyle w:val="FootnoteReference"/>
        </w:rPr>
        <w:footnoteRef/>
      </w:r>
      <w:r>
        <w:tab/>
        <w:t xml:space="preserve">See </w:t>
      </w:r>
      <w:r>
        <w:rPr>
          <w:color w:val="000000"/>
          <w:szCs w:val="18"/>
          <w:lang w:eastAsia="en-GB"/>
        </w:rPr>
        <w:t xml:space="preserve">CAT/C/LKA/CO/3-4. </w:t>
      </w:r>
    </w:p>
  </w:footnote>
  <w:footnote w:id="15">
    <w:p w:rsidR="00723B07" w:rsidRPr="00723B07" w:rsidRDefault="00723B07" w:rsidP="00A10666">
      <w:pPr>
        <w:pStyle w:val="FootnoteText"/>
      </w:pPr>
      <w:r>
        <w:tab/>
      </w:r>
      <w:r>
        <w:rPr>
          <w:rStyle w:val="FootnoteReference"/>
        </w:rPr>
        <w:footnoteRef/>
      </w:r>
      <w:r>
        <w:tab/>
      </w:r>
      <w:r>
        <w:rPr>
          <w:color w:val="000000"/>
          <w:szCs w:val="18"/>
          <w:lang w:eastAsia="en-GB"/>
        </w:rPr>
        <w:t>Ibid</w:t>
      </w:r>
      <w:r w:rsidR="00975C75">
        <w:rPr>
          <w:color w:val="000000"/>
          <w:szCs w:val="18"/>
          <w:lang w:eastAsia="en-GB"/>
        </w:rPr>
        <w:t>.</w:t>
      </w:r>
      <w:r>
        <w:rPr>
          <w:color w:val="000000"/>
          <w:szCs w:val="18"/>
          <w:lang w:eastAsia="en-GB"/>
        </w:rPr>
        <w:t>, para</w:t>
      </w:r>
      <w:r w:rsidR="00A42F68">
        <w:rPr>
          <w:color w:val="000000"/>
          <w:szCs w:val="18"/>
          <w:lang w:eastAsia="en-GB"/>
        </w:rPr>
        <w:t>.</w:t>
      </w:r>
      <w:r>
        <w:rPr>
          <w:color w:val="000000"/>
          <w:szCs w:val="18"/>
          <w:lang w:eastAsia="en-GB"/>
        </w:rPr>
        <w:t xml:space="preserve"> 6.</w:t>
      </w:r>
      <w:r w:rsidR="004A7E15">
        <w:rPr>
          <w:color w:val="000000"/>
          <w:szCs w:val="18"/>
          <w:lang w:eastAsia="en-GB"/>
        </w:rPr>
        <w:t xml:space="preserve"> </w:t>
      </w:r>
    </w:p>
  </w:footnote>
  <w:footnote w:id="16">
    <w:p w:rsidR="00723B07" w:rsidRPr="00723B07" w:rsidRDefault="00723B07" w:rsidP="00D60A89">
      <w:pPr>
        <w:pStyle w:val="FootnoteText"/>
      </w:pPr>
      <w:r>
        <w:tab/>
      </w:r>
      <w:r>
        <w:rPr>
          <w:rStyle w:val="FootnoteReference"/>
        </w:rPr>
        <w:footnoteRef/>
      </w:r>
      <w:r>
        <w:tab/>
      </w:r>
      <w:r>
        <w:rPr>
          <w:color w:val="000000"/>
          <w:szCs w:val="18"/>
          <w:lang w:eastAsia="en-GB"/>
        </w:rPr>
        <w:t>See</w:t>
      </w:r>
      <w:r w:rsidR="00975C75">
        <w:rPr>
          <w:color w:val="000000"/>
          <w:szCs w:val="18"/>
          <w:lang w:eastAsia="en-GB"/>
        </w:rPr>
        <w:t xml:space="preserve"> </w:t>
      </w:r>
      <w:r>
        <w:rPr>
          <w:color w:val="000000"/>
          <w:szCs w:val="18"/>
          <w:lang w:eastAsia="en-GB"/>
        </w:rPr>
        <w:t>CAT/C/GBR/CO/5, para</w:t>
      </w:r>
      <w:r w:rsidR="00975C75">
        <w:rPr>
          <w:color w:val="000000"/>
          <w:szCs w:val="18"/>
          <w:lang w:eastAsia="en-GB"/>
        </w:rPr>
        <w:t>.</w:t>
      </w:r>
      <w:r>
        <w:rPr>
          <w:color w:val="000000"/>
          <w:szCs w:val="18"/>
          <w:lang w:eastAsia="en-GB"/>
        </w:rPr>
        <w:t xml:space="preserve"> 20.</w:t>
      </w:r>
      <w:r w:rsidR="004A7E15">
        <w:rPr>
          <w:color w:val="000000"/>
          <w:szCs w:val="18"/>
          <w:lang w:eastAsia="en-GB"/>
        </w:rPr>
        <w:t xml:space="preserve"> </w:t>
      </w:r>
    </w:p>
  </w:footnote>
  <w:footnote w:id="17">
    <w:p w:rsidR="00D57212" w:rsidRDefault="00D57212" w:rsidP="00D60A89">
      <w:pPr>
        <w:pStyle w:val="FootnoteText"/>
        <w:widowControl w:val="0"/>
      </w:pPr>
      <w:r>
        <w:tab/>
      </w:r>
      <w:r>
        <w:rPr>
          <w:rStyle w:val="FootnoteReference"/>
        </w:rPr>
        <w:footnoteRef/>
      </w:r>
      <w:r>
        <w:tab/>
      </w:r>
      <w:r>
        <w:rPr>
          <w:szCs w:val="18"/>
        </w:rPr>
        <w:t xml:space="preserve">See communication No. 429/2010, </w:t>
      </w:r>
      <w:r>
        <w:rPr>
          <w:i/>
          <w:iCs/>
          <w:szCs w:val="18"/>
        </w:rPr>
        <w:t>Sivagnanaratnam</w:t>
      </w:r>
      <w:r>
        <w:rPr>
          <w:i/>
          <w:szCs w:val="18"/>
          <w:lang w:val="en"/>
        </w:rPr>
        <w:t xml:space="preserve"> v. Denmark</w:t>
      </w:r>
      <w:r>
        <w:rPr>
          <w:szCs w:val="18"/>
          <w:lang w:val="en"/>
        </w:rPr>
        <w:t>, decision adopted on 11 November 2013, paras. 10.5</w:t>
      </w:r>
      <w:r w:rsidR="009A5C19">
        <w:rPr>
          <w:szCs w:val="18"/>
          <w:lang w:val="en"/>
        </w:rPr>
        <w:t>-</w:t>
      </w:r>
      <w:r>
        <w:rPr>
          <w:szCs w:val="18"/>
          <w:lang w:val="en"/>
        </w:rPr>
        <w:t xml:space="preserve">10.6.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F0C" w:rsidRPr="00A511AC" w:rsidRDefault="00977F0C">
    <w:pPr>
      <w:pStyle w:val="Header"/>
    </w:pPr>
    <w:r>
      <w:t>CAT/C/58/D/600/2014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F0C" w:rsidRPr="00A511AC" w:rsidRDefault="00977F0C" w:rsidP="00A511AC">
    <w:pPr>
      <w:pStyle w:val="Header"/>
      <w:jc w:val="right"/>
    </w:pPr>
    <w:r>
      <w:t>CAT/C/58/D/600/2014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1284E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DC6A3F"/>
    <w:multiLevelType w:val="multilevel"/>
    <w:tmpl w:val="E8406DE6"/>
    <w:lvl w:ilvl="0">
      <w:start w:val="1"/>
      <w:numFmt w:val="decimal"/>
      <w:lvlText w:val="%1"/>
      <w:lvlJc w:val="left"/>
      <w:pPr>
        <w:ind w:left="555" w:hanging="555"/>
      </w:pPr>
      <w:rPr>
        <w:rFonts w:hint="default"/>
      </w:rPr>
    </w:lvl>
    <w:lvl w:ilvl="1">
      <w:start w:val="1"/>
      <w:numFmt w:val="decimal"/>
      <w:lvlText w:val="%1.%2"/>
      <w:lvlJc w:val="left"/>
      <w:pPr>
        <w:ind w:left="1689"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 w15:restartNumberingAfterBreak="0">
    <w:nsid w:val="4FA948BC"/>
    <w:multiLevelType w:val="hybridMultilevel"/>
    <w:tmpl w:val="C2863270"/>
    <w:lvl w:ilvl="0" w:tplc="F4BC81F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59F84726"/>
    <w:multiLevelType w:val="multilevel"/>
    <w:tmpl w:val="862A7A3A"/>
    <w:styleLink w:val="WW8Num1"/>
    <w:lvl w:ilvl="0">
      <w:start w:val="1"/>
      <w:numFmt w:val="decimal"/>
      <w:pStyle w:val="ListNumber5"/>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1AC"/>
    <w:rsid w:val="000004D1"/>
    <w:rsid w:val="00001045"/>
    <w:rsid w:val="000019E0"/>
    <w:rsid w:val="00001C01"/>
    <w:rsid w:val="0000248A"/>
    <w:rsid w:val="00003A56"/>
    <w:rsid w:val="00003E08"/>
    <w:rsid w:val="000049AF"/>
    <w:rsid w:val="00005D37"/>
    <w:rsid w:val="00007DA9"/>
    <w:rsid w:val="00011167"/>
    <w:rsid w:val="000117DB"/>
    <w:rsid w:val="00012DE4"/>
    <w:rsid w:val="000131EA"/>
    <w:rsid w:val="00015214"/>
    <w:rsid w:val="00016AFD"/>
    <w:rsid w:val="0002174C"/>
    <w:rsid w:val="00023A20"/>
    <w:rsid w:val="00023CA2"/>
    <w:rsid w:val="0002600F"/>
    <w:rsid w:val="000271CE"/>
    <w:rsid w:val="000302A4"/>
    <w:rsid w:val="00030C73"/>
    <w:rsid w:val="00031088"/>
    <w:rsid w:val="000318EA"/>
    <w:rsid w:val="00031FDE"/>
    <w:rsid w:val="0003246E"/>
    <w:rsid w:val="00034AC7"/>
    <w:rsid w:val="00035983"/>
    <w:rsid w:val="00037371"/>
    <w:rsid w:val="00037AE1"/>
    <w:rsid w:val="00040755"/>
    <w:rsid w:val="00040D05"/>
    <w:rsid w:val="00041838"/>
    <w:rsid w:val="00042F7C"/>
    <w:rsid w:val="00050F6B"/>
    <w:rsid w:val="00051A5C"/>
    <w:rsid w:val="000522F5"/>
    <w:rsid w:val="0005234F"/>
    <w:rsid w:val="00057E97"/>
    <w:rsid w:val="00064058"/>
    <w:rsid w:val="00066599"/>
    <w:rsid w:val="00067DC2"/>
    <w:rsid w:val="0007032D"/>
    <w:rsid w:val="000705FC"/>
    <w:rsid w:val="000706A4"/>
    <w:rsid w:val="000706D9"/>
    <w:rsid w:val="00071434"/>
    <w:rsid w:val="000723B6"/>
    <w:rsid w:val="0007294D"/>
    <w:rsid w:val="00072C8C"/>
    <w:rsid w:val="00073114"/>
    <w:rsid w:val="00073205"/>
    <w:rsid w:val="000733B5"/>
    <w:rsid w:val="00073F42"/>
    <w:rsid w:val="00074071"/>
    <w:rsid w:val="000748C8"/>
    <w:rsid w:val="0007622D"/>
    <w:rsid w:val="000766CE"/>
    <w:rsid w:val="00076FDF"/>
    <w:rsid w:val="00077C46"/>
    <w:rsid w:val="00077D81"/>
    <w:rsid w:val="00081815"/>
    <w:rsid w:val="0008368C"/>
    <w:rsid w:val="0008393B"/>
    <w:rsid w:val="00083FC1"/>
    <w:rsid w:val="00086665"/>
    <w:rsid w:val="000873DF"/>
    <w:rsid w:val="00087D31"/>
    <w:rsid w:val="00092D14"/>
    <w:rsid w:val="00092E5D"/>
    <w:rsid w:val="000931C0"/>
    <w:rsid w:val="00094B47"/>
    <w:rsid w:val="00095D3F"/>
    <w:rsid w:val="0009696B"/>
    <w:rsid w:val="00096F5E"/>
    <w:rsid w:val="00097965"/>
    <w:rsid w:val="00097EC6"/>
    <w:rsid w:val="000A2753"/>
    <w:rsid w:val="000A2B48"/>
    <w:rsid w:val="000A3518"/>
    <w:rsid w:val="000A4DF3"/>
    <w:rsid w:val="000A5E21"/>
    <w:rsid w:val="000A61C1"/>
    <w:rsid w:val="000A6C82"/>
    <w:rsid w:val="000A7954"/>
    <w:rsid w:val="000A7C36"/>
    <w:rsid w:val="000B175B"/>
    <w:rsid w:val="000B1D28"/>
    <w:rsid w:val="000B1EB5"/>
    <w:rsid w:val="000B2EC8"/>
    <w:rsid w:val="000B30BF"/>
    <w:rsid w:val="000B3A0F"/>
    <w:rsid w:val="000B4C67"/>
    <w:rsid w:val="000B4EF7"/>
    <w:rsid w:val="000B6B92"/>
    <w:rsid w:val="000B7CB3"/>
    <w:rsid w:val="000C2752"/>
    <w:rsid w:val="000C27A9"/>
    <w:rsid w:val="000C2C03"/>
    <w:rsid w:val="000C2D2E"/>
    <w:rsid w:val="000C308E"/>
    <w:rsid w:val="000C3ACC"/>
    <w:rsid w:val="000C59A2"/>
    <w:rsid w:val="000C5D10"/>
    <w:rsid w:val="000D596E"/>
    <w:rsid w:val="000D68C8"/>
    <w:rsid w:val="000D7472"/>
    <w:rsid w:val="000E0415"/>
    <w:rsid w:val="000E1ED8"/>
    <w:rsid w:val="000E25B8"/>
    <w:rsid w:val="000E2F6D"/>
    <w:rsid w:val="000E33F3"/>
    <w:rsid w:val="000E64DD"/>
    <w:rsid w:val="000E65BD"/>
    <w:rsid w:val="000E67D7"/>
    <w:rsid w:val="000F14E0"/>
    <w:rsid w:val="000F38DA"/>
    <w:rsid w:val="000F6DDA"/>
    <w:rsid w:val="00102164"/>
    <w:rsid w:val="001023E8"/>
    <w:rsid w:val="00103BB9"/>
    <w:rsid w:val="001049F0"/>
    <w:rsid w:val="00104EF9"/>
    <w:rsid w:val="001103AA"/>
    <w:rsid w:val="00111139"/>
    <w:rsid w:val="00112C77"/>
    <w:rsid w:val="00114166"/>
    <w:rsid w:val="00115704"/>
    <w:rsid w:val="00117045"/>
    <w:rsid w:val="0011728E"/>
    <w:rsid w:val="0011793F"/>
    <w:rsid w:val="001217A9"/>
    <w:rsid w:val="00121D39"/>
    <w:rsid w:val="00124B27"/>
    <w:rsid w:val="00125038"/>
    <w:rsid w:val="00125773"/>
    <w:rsid w:val="001258FD"/>
    <w:rsid w:val="00125ED9"/>
    <w:rsid w:val="001305B1"/>
    <w:rsid w:val="00133217"/>
    <w:rsid w:val="00134B0B"/>
    <w:rsid w:val="00135216"/>
    <w:rsid w:val="001378DF"/>
    <w:rsid w:val="001419D6"/>
    <w:rsid w:val="00142F93"/>
    <w:rsid w:val="00144DA6"/>
    <w:rsid w:val="001450BD"/>
    <w:rsid w:val="00145655"/>
    <w:rsid w:val="00145D48"/>
    <w:rsid w:val="00145D97"/>
    <w:rsid w:val="0014608A"/>
    <w:rsid w:val="00153179"/>
    <w:rsid w:val="001532C2"/>
    <w:rsid w:val="00153368"/>
    <w:rsid w:val="00153BB4"/>
    <w:rsid w:val="00154F34"/>
    <w:rsid w:val="00155064"/>
    <w:rsid w:val="00156034"/>
    <w:rsid w:val="00157B5E"/>
    <w:rsid w:val="001603C4"/>
    <w:rsid w:val="00160BB1"/>
    <w:rsid w:val="001613D0"/>
    <w:rsid w:val="001613D4"/>
    <w:rsid w:val="0016179A"/>
    <w:rsid w:val="00161EA6"/>
    <w:rsid w:val="00162A94"/>
    <w:rsid w:val="0016417F"/>
    <w:rsid w:val="00164401"/>
    <w:rsid w:val="00164A60"/>
    <w:rsid w:val="00165A19"/>
    <w:rsid w:val="00165F3A"/>
    <w:rsid w:val="00167E53"/>
    <w:rsid w:val="0017003E"/>
    <w:rsid w:val="00170D93"/>
    <w:rsid w:val="001719B5"/>
    <w:rsid w:val="00172118"/>
    <w:rsid w:val="001727EF"/>
    <w:rsid w:val="0017462B"/>
    <w:rsid w:val="00177568"/>
    <w:rsid w:val="0018007A"/>
    <w:rsid w:val="0018281C"/>
    <w:rsid w:val="00182D02"/>
    <w:rsid w:val="00183227"/>
    <w:rsid w:val="00183A58"/>
    <w:rsid w:val="001841DC"/>
    <w:rsid w:val="00184313"/>
    <w:rsid w:val="00184A88"/>
    <w:rsid w:val="00184FAF"/>
    <w:rsid w:val="00186069"/>
    <w:rsid w:val="001923D2"/>
    <w:rsid w:val="001950F4"/>
    <w:rsid w:val="001967BF"/>
    <w:rsid w:val="00197B02"/>
    <w:rsid w:val="00197BD1"/>
    <w:rsid w:val="00197F23"/>
    <w:rsid w:val="001A0265"/>
    <w:rsid w:val="001A1823"/>
    <w:rsid w:val="001A222D"/>
    <w:rsid w:val="001A30AA"/>
    <w:rsid w:val="001A414A"/>
    <w:rsid w:val="001A4690"/>
    <w:rsid w:val="001A5494"/>
    <w:rsid w:val="001A5922"/>
    <w:rsid w:val="001A5CC2"/>
    <w:rsid w:val="001A5F9F"/>
    <w:rsid w:val="001A7088"/>
    <w:rsid w:val="001A7BC7"/>
    <w:rsid w:val="001B07B0"/>
    <w:rsid w:val="001B1F71"/>
    <w:rsid w:val="001B1FE3"/>
    <w:rsid w:val="001B2D41"/>
    <w:rsid w:val="001B3179"/>
    <w:rsid w:val="001B3CB7"/>
    <w:rsid w:val="001B4B04"/>
    <w:rsid w:val="001B535F"/>
    <w:rsid w:val="001B5922"/>
    <w:rsid w:val="001B6595"/>
    <w:rsid w:val="001B7844"/>
    <w:rsid w:val="001C0242"/>
    <w:rsid w:val="001C270A"/>
    <w:rsid w:val="001C3A5C"/>
    <w:rsid w:val="001C450E"/>
    <w:rsid w:val="001C51A6"/>
    <w:rsid w:val="001C5995"/>
    <w:rsid w:val="001C6663"/>
    <w:rsid w:val="001C66A1"/>
    <w:rsid w:val="001C7895"/>
    <w:rsid w:val="001D041E"/>
    <w:rsid w:val="001D0C8C"/>
    <w:rsid w:val="001D26DF"/>
    <w:rsid w:val="001D3813"/>
    <w:rsid w:val="001D3A03"/>
    <w:rsid w:val="001D592F"/>
    <w:rsid w:val="001D5E67"/>
    <w:rsid w:val="001D7650"/>
    <w:rsid w:val="001E057E"/>
    <w:rsid w:val="001E136C"/>
    <w:rsid w:val="001E23AD"/>
    <w:rsid w:val="001E28D9"/>
    <w:rsid w:val="001E28EC"/>
    <w:rsid w:val="001E3886"/>
    <w:rsid w:val="001E3994"/>
    <w:rsid w:val="001E5F27"/>
    <w:rsid w:val="001E79A5"/>
    <w:rsid w:val="001E7F6E"/>
    <w:rsid w:val="001F00F4"/>
    <w:rsid w:val="001F13D2"/>
    <w:rsid w:val="001F13ED"/>
    <w:rsid w:val="001F1B72"/>
    <w:rsid w:val="001F1E67"/>
    <w:rsid w:val="001F23E0"/>
    <w:rsid w:val="001F2BE1"/>
    <w:rsid w:val="001F3F94"/>
    <w:rsid w:val="001F4697"/>
    <w:rsid w:val="001F4F4E"/>
    <w:rsid w:val="001F5CD6"/>
    <w:rsid w:val="001F677C"/>
    <w:rsid w:val="001F6F65"/>
    <w:rsid w:val="001F7740"/>
    <w:rsid w:val="001F7C71"/>
    <w:rsid w:val="002010DD"/>
    <w:rsid w:val="00201AC9"/>
    <w:rsid w:val="00202824"/>
    <w:rsid w:val="00202DA8"/>
    <w:rsid w:val="00203A90"/>
    <w:rsid w:val="0020758E"/>
    <w:rsid w:val="00207B35"/>
    <w:rsid w:val="002118EC"/>
    <w:rsid w:val="00211E0B"/>
    <w:rsid w:val="00212536"/>
    <w:rsid w:val="002125F8"/>
    <w:rsid w:val="00212A2F"/>
    <w:rsid w:val="00212AE3"/>
    <w:rsid w:val="00213D30"/>
    <w:rsid w:val="002148FA"/>
    <w:rsid w:val="00214978"/>
    <w:rsid w:val="0021508C"/>
    <w:rsid w:val="00215341"/>
    <w:rsid w:val="0021559E"/>
    <w:rsid w:val="00216CD2"/>
    <w:rsid w:val="0022272C"/>
    <w:rsid w:val="0022391B"/>
    <w:rsid w:val="00223B3B"/>
    <w:rsid w:val="00223ECF"/>
    <w:rsid w:val="00223F37"/>
    <w:rsid w:val="0022463A"/>
    <w:rsid w:val="00224ABB"/>
    <w:rsid w:val="00224E23"/>
    <w:rsid w:val="002316AD"/>
    <w:rsid w:val="002318D4"/>
    <w:rsid w:val="00233142"/>
    <w:rsid w:val="0023383C"/>
    <w:rsid w:val="0023421E"/>
    <w:rsid w:val="00235A91"/>
    <w:rsid w:val="00236591"/>
    <w:rsid w:val="0023696E"/>
    <w:rsid w:val="002373DE"/>
    <w:rsid w:val="00237E2D"/>
    <w:rsid w:val="002430BF"/>
    <w:rsid w:val="00243E07"/>
    <w:rsid w:val="00246276"/>
    <w:rsid w:val="00250242"/>
    <w:rsid w:val="00251D39"/>
    <w:rsid w:val="00252428"/>
    <w:rsid w:val="00254640"/>
    <w:rsid w:val="0025478C"/>
    <w:rsid w:val="00254C2C"/>
    <w:rsid w:val="00260528"/>
    <w:rsid w:val="002605EB"/>
    <w:rsid w:val="0026101A"/>
    <w:rsid w:val="00261765"/>
    <w:rsid w:val="00262E7C"/>
    <w:rsid w:val="00263BD4"/>
    <w:rsid w:val="00266282"/>
    <w:rsid w:val="002679D7"/>
    <w:rsid w:val="00267CF0"/>
    <w:rsid w:val="00267F5F"/>
    <w:rsid w:val="00270071"/>
    <w:rsid w:val="0027128F"/>
    <w:rsid w:val="00272507"/>
    <w:rsid w:val="00273003"/>
    <w:rsid w:val="00275825"/>
    <w:rsid w:val="00276395"/>
    <w:rsid w:val="002763D6"/>
    <w:rsid w:val="0027644D"/>
    <w:rsid w:val="002764C7"/>
    <w:rsid w:val="00276D04"/>
    <w:rsid w:val="00277685"/>
    <w:rsid w:val="00281903"/>
    <w:rsid w:val="0028233D"/>
    <w:rsid w:val="00282485"/>
    <w:rsid w:val="002834B6"/>
    <w:rsid w:val="0028447C"/>
    <w:rsid w:val="00286B4D"/>
    <w:rsid w:val="002920C3"/>
    <w:rsid w:val="0029244B"/>
    <w:rsid w:val="00292889"/>
    <w:rsid w:val="002955D6"/>
    <w:rsid w:val="002966B5"/>
    <w:rsid w:val="002966E0"/>
    <w:rsid w:val="0029771C"/>
    <w:rsid w:val="00297799"/>
    <w:rsid w:val="00297ACF"/>
    <w:rsid w:val="002A03F1"/>
    <w:rsid w:val="002A08AC"/>
    <w:rsid w:val="002A1FB8"/>
    <w:rsid w:val="002A20D3"/>
    <w:rsid w:val="002A2B16"/>
    <w:rsid w:val="002A369B"/>
    <w:rsid w:val="002A4230"/>
    <w:rsid w:val="002A5248"/>
    <w:rsid w:val="002A6197"/>
    <w:rsid w:val="002A6A24"/>
    <w:rsid w:val="002A6F40"/>
    <w:rsid w:val="002B0E12"/>
    <w:rsid w:val="002B1DAB"/>
    <w:rsid w:val="002B3C39"/>
    <w:rsid w:val="002B3EE4"/>
    <w:rsid w:val="002B466B"/>
    <w:rsid w:val="002B4F65"/>
    <w:rsid w:val="002B729F"/>
    <w:rsid w:val="002C1C6C"/>
    <w:rsid w:val="002C2A17"/>
    <w:rsid w:val="002C3424"/>
    <w:rsid w:val="002C3D60"/>
    <w:rsid w:val="002C3DDE"/>
    <w:rsid w:val="002C3F95"/>
    <w:rsid w:val="002C573B"/>
    <w:rsid w:val="002C5E94"/>
    <w:rsid w:val="002C6CC0"/>
    <w:rsid w:val="002C73E1"/>
    <w:rsid w:val="002D2728"/>
    <w:rsid w:val="002D27F1"/>
    <w:rsid w:val="002D6EE7"/>
    <w:rsid w:val="002D75B6"/>
    <w:rsid w:val="002E076A"/>
    <w:rsid w:val="002E0D7C"/>
    <w:rsid w:val="002E1FFA"/>
    <w:rsid w:val="002E3A50"/>
    <w:rsid w:val="002E5CDC"/>
    <w:rsid w:val="002E5F04"/>
    <w:rsid w:val="002E6E16"/>
    <w:rsid w:val="002E78B0"/>
    <w:rsid w:val="002E7EDB"/>
    <w:rsid w:val="002F0380"/>
    <w:rsid w:val="002F0902"/>
    <w:rsid w:val="002F0FC5"/>
    <w:rsid w:val="002F0FDE"/>
    <w:rsid w:val="002F175C"/>
    <w:rsid w:val="002F1A00"/>
    <w:rsid w:val="002F22BE"/>
    <w:rsid w:val="002F28E1"/>
    <w:rsid w:val="002F3094"/>
    <w:rsid w:val="002F390D"/>
    <w:rsid w:val="002F4A6E"/>
    <w:rsid w:val="002F53E6"/>
    <w:rsid w:val="002F5DA0"/>
    <w:rsid w:val="003018B6"/>
    <w:rsid w:val="00301D28"/>
    <w:rsid w:val="00302BF5"/>
    <w:rsid w:val="003038AE"/>
    <w:rsid w:val="00306A8D"/>
    <w:rsid w:val="00311E5E"/>
    <w:rsid w:val="00312E1A"/>
    <w:rsid w:val="003135B1"/>
    <w:rsid w:val="00315043"/>
    <w:rsid w:val="00315A85"/>
    <w:rsid w:val="00317488"/>
    <w:rsid w:val="00317905"/>
    <w:rsid w:val="003212DF"/>
    <w:rsid w:val="00321B58"/>
    <w:rsid w:val="003227E2"/>
    <w:rsid w:val="003229D8"/>
    <w:rsid w:val="003254F5"/>
    <w:rsid w:val="00325858"/>
    <w:rsid w:val="00326AF8"/>
    <w:rsid w:val="00334038"/>
    <w:rsid w:val="003348A8"/>
    <w:rsid w:val="003357C1"/>
    <w:rsid w:val="00336AF8"/>
    <w:rsid w:val="00337F47"/>
    <w:rsid w:val="00340714"/>
    <w:rsid w:val="00341021"/>
    <w:rsid w:val="003410BA"/>
    <w:rsid w:val="003424CB"/>
    <w:rsid w:val="00342799"/>
    <w:rsid w:val="00342918"/>
    <w:rsid w:val="00342CC4"/>
    <w:rsid w:val="00343B2C"/>
    <w:rsid w:val="00344420"/>
    <w:rsid w:val="003444AF"/>
    <w:rsid w:val="0034462D"/>
    <w:rsid w:val="00345000"/>
    <w:rsid w:val="0034503E"/>
    <w:rsid w:val="003453E8"/>
    <w:rsid w:val="003460DB"/>
    <w:rsid w:val="00346320"/>
    <w:rsid w:val="00346A65"/>
    <w:rsid w:val="00350241"/>
    <w:rsid w:val="00350CD9"/>
    <w:rsid w:val="00350FF3"/>
    <w:rsid w:val="00352709"/>
    <w:rsid w:val="00353125"/>
    <w:rsid w:val="00353A1B"/>
    <w:rsid w:val="00354E65"/>
    <w:rsid w:val="00354FC1"/>
    <w:rsid w:val="0035603B"/>
    <w:rsid w:val="0036519B"/>
    <w:rsid w:val="003656A5"/>
    <w:rsid w:val="003673ED"/>
    <w:rsid w:val="003679EB"/>
    <w:rsid w:val="003702EF"/>
    <w:rsid w:val="00371178"/>
    <w:rsid w:val="003740F8"/>
    <w:rsid w:val="00374402"/>
    <w:rsid w:val="0037503F"/>
    <w:rsid w:val="003767C1"/>
    <w:rsid w:val="003772A1"/>
    <w:rsid w:val="00381142"/>
    <w:rsid w:val="00383732"/>
    <w:rsid w:val="00383B35"/>
    <w:rsid w:val="00384FF9"/>
    <w:rsid w:val="00386B4C"/>
    <w:rsid w:val="003906BC"/>
    <w:rsid w:val="00392D96"/>
    <w:rsid w:val="00393325"/>
    <w:rsid w:val="00394307"/>
    <w:rsid w:val="00394875"/>
    <w:rsid w:val="00395A27"/>
    <w:rsid w:val="00396E3E"/>
    <w:rsid w:val="003A2618"/>
    <w:rsid w:val="003A38BB"/>
    <w:rsid w:val="003A6810"/>
    <w:rsid w:val="003B028C"/>
    <w:rsid w:val="003B1A66"/>
    <w:rsid w:val="003B23EC"/>
    <w:rsid w:val="003B37E8"/>
    <w:rsid w:val="003B4316"/>
    <w:rsid w:val="003B47A1"/>
    <w:rsid w:val="003C03D1"/>
    <w:rsid w:val="003C1955"/>
    <w:rsid w:val="003C2B2D"/>
    <w:rsid w:val="003C2CC4"/>
    <w:rsid w:val="003C2DD4"/>
    <w:rsid w:val="003C41DF"/>
    <w:rsid w:val="003C4263"/>
    <w:rsid w:val="003C4286"/>
    <w:rsid w:val="003C588E"/>
    <w:rsid w:val="003C5E3B"/>
    <w:rsid w:val="003C7624"/>
    <w:rsid w:val="003D0B8B"/>
    <w:rsid w:val="003D2A47"/>
    <w:rsid w:val="003D2B71"/>
    <w:rsid w:val="003D379A"/>
    <w:rsid w:val="003D45E8"/>
    <w:rsid w:val="003D4B23"/>
    <w:rsid w:val="003D5516"/>
    <w:rsid w:val="003D5B67"/>
    <w:rsid w:val="003D6CEF"/>
    <w:rsid w:val="003D7CCC"/>
    <w:rsid w:val="003E0C29"/>
    <w:rsid w:val="003E1DA7"/>
    <w:rsid w:val="003E24CF"/>
    <w:rsid w:val="003E4892"/>
    <w:rsid w:val="003F07C1"/>
    <w:rsid w:val="003F17B2"/>
    <w:rsid w:val="003F19D8"/>
    <w:rsid w:val="003F19DB"/>
    <w:rsid w:val="003F1DF4"/>
    <w:rsid w:val="003F2B8A"/>
    <w:rsid w:val="003F2D0F"/>
    <w:rsid w:val="003F4DB3"/>
    <w:rsid w:val="003F75B8"/>
    <w:rsid w:val="0040138E"/>
    <w:rsid w:val="004055B1"/>
    <w:rsid w:val="0040602E"/>
    <w:rsid w:val="00407DBD"/>
    <w:rsid w:val="00407F93"/>
    <w:rsid w:val="00410302"/>
    <w:rsid w:val="00410C89"/>
    <w:rsid w:val="00412584"/>
    <w:rsid w:val="004127AE"/>
    <w:rsid w:val="0041398C"/>
    <w:rsid w:val="00414EE2"/>
    <w:rsid w:val="00416EAD"/>
    <w:rsid w:val="00416EAF"/>
    <w:rsid w:val="00417383"/>
    <w:rsid w:val="00417B0D"/>
    <w:rsid w:val="0042085D"/>
    <w:rsid w:val="004245B9"/>
    <w:rsid w:val="0042482E"/>
    <w:rsid w:val="004266F1"/>
    <w:rsid w:val="00426B9B"/>
    <w:rsid w:val="00426BC5"/>
    <w:rsid w:val="00426C7C"/>
    <w:rsid w:val="00427CEA"/>
    <w:rsid w:val="00430C3E"/>
    <w:rsid w:val="0043178E"/>
    <w:rsid w:val="0043253B"/>
    <w:rsid w:val="004325CB"/>
    <w:rsid w:val="004339EE"/>
    <w:rsid w:val="00435DFE"/>
    <w:rsid w:val="00436DBB"/>
    <w:rsid w:val="00440024"/>
    <w:rsid w:val="004405D6"/>
    <w:rsid w:val="004405FE"/>
    <w:rsid w:val="00440D27"/>
    <w:rsid w:val="004410DF"/>
    <w:rsid w:val="004428D7"/>
    <w:rsid w:val="00442A83"/>
    <w:rsid w:val="004437F2"/>
    <w:rsid w:val="004446BB"/>
    <w:rsid w:val="00444C17"/>
    <w:rsid w:val="004464C9"/>
    <w:rsid w:val="004473A2"/>
    <w:rsid w:val="0045088A"/>
    <w:rsid w:val="00451164"/>
    <w:rsid w:val="0045280F"/>
    <w:rsid w:val="004535F3"/>
    <w:rsid w:val="0045495B"/>
    <w:rsid w:val="00454975"/>
    <w:rsid w:val="00455450"/>
    <w:rsid w:val="004558CB"/>
    <w:rsid w:val="00457332"/>
    <w:rsid w:val="00461C0E"/>
    <w:rsid w:val="00462ABA"/>
    <w:rsid w:val="004656A5"/>
    <w:rsid w:val="00471601"/>
    <w:rsid w:val="00472CCB"/>
    <w:rsid w:val="0047310D"/>
    <w:rsid w:val="0047387C"/>
    <w:rsid w:val="00473EAC"/>
    <w:rsid w:val="00473EEC"/>
    <w:rsid w:val="00474076"/>
    <w:rsid w:val="004749DF"/>
    <w:rsid w:val="00474FC9"/>
    <w:rsid w:val="00475072"/>
    <w:rsid w:val="004775CB"/>
    <w:rsid w:val="00481FEC"/>
    <w:rsid w:val="004848F0"/>
    <w:rsid w:val="0048495B"/>
    <w:rsid w:val="00484C45"/>
    <w:rsid w:val="00490FAB"/>
    <w:rsid w:val="00491956"/>
    <w:rsid w:val="00491C54"/>
    <w:rsid w:val="00493397"/>
    <w:rsid w:val="0049362B"/>
    <w:rsid w:val="00496A32"/>
    <w:rsid w:val="00497928"/>
    <w:rsid w:val="004A02B8"/>
    <w:rsid w:val="004A0D32"/>
    <w:rsid w:val="004A163D"/>
    <w:rsid w:val="004A42AF"/>
    <w:rsid w:val="004A536F"/>
    <w:rsid w:val="004A7AAF"/>
    <w:rsid w:val="004A7E15"/>
    <w:rsid w:val="004B2DE4"/>
    <w:rsid w:val="004B3937"/>
    <w:rsid w:val="004B43C5"/>
    <w:rsid w:val="004B4714"/>
    <w:rsid w:val="004B4C23"/>
    <w:rsid w:val="004B519C"/>
    <w:rsid w:val="004B55C7"/>
    <w:rsid w:val="004B59D0"/>
    <w:rsid w:val="004B6769"/>
    <w:rsid w:val="004B69BD"/>
    <w:rsid w:val="004B7448"/>
    <w:rsid w:val="004B7802"/>
    <w:rsid w:val="004B7D29"/>
    <w:rsid w:val="004C0373"/>
    <w:rsid w:val="004C12D0"/>
    <w:rsid w:val="004C1696"/>
    <w:rsid w:val="004C25DB"/>
    <w:rsid w:val="004C2CDA"/>
    <w:rsid w:val="004C3388"/>
    <w:rsid w:val="004C3BD6"/>
    <w:rsid w:val="004C46DD"/>
    <w:rsid w:val="004C5BF3"/>
    <w:rsid w:val="004C5D50"/>
    <w:rsid w:val="004C5F9A"/>
    <w:rsid w:val="004C6AE0"/>
    <w:rsid w:val="004D0A17"/>
    <w:rsid w:val="004D0D0F"/>
    <w:rsid w:val="004D1415"/>
    <w:rsid w:val="004D1FEA"/>
    <w:rsid w:val="004D24E4"/>
    <w:rsid w:val="004D2A89"/>
    <w:rsid w:val="004D2BCF"/>
    <w:rsid w:val="004D37FE"/>
    <w:rsid w:val="004D39A4"/>
    <w:rsid w:val="004D4E5D"/>
    <w:rsid w:val="004D5CCE"/>
    <w:rsid w:val="004E2A48"/>
    <w:rsid w:val="004E7C97"/>
    <w:rsid w:val="004F1B75"/>
    <w:rsid w:val="004F34A5"/>
    <w:rsid w:val="004F3CAF"/>
    <w:rsid w:val="004F4240"/>
    <w:rsid w:val="004F469B"/>
    <w:rsid w:val="004F46A3"/>
    <w:rsid w:val="004F5090"/>
    <w:rsid w:val="004F5677"/>
    <w:rsid w:val="004F5CC1"/>
    <w:rsid w:val="004F5F97"/>
    <w:rsid w:val="004F6926"/>
    <w:rsid w:val="004F6AA6"/>
    <w:rsid w:val="004F7C31"/>
    <w:rsid w:val="004F7CA5"/>
    <w:rsid w:val="00500910"/>
    <w:rsid w:val="00502437"/>
    <w:rsid w:val="00502DEE"/>
    <w:rsid w:val="005045AB"/>
    <w:rsid w:val="00504886"/>
    <w:rsid w:val="00504EA2"/>
    <w:rsid w:val="00505ACD"/>
    <w:rsid w:val="00506043"/>
    <w:rsid w:val="005064FD"/>
    <w:rsid w:val="00507656"/>
    <w:rsid w:val="00510AFA"/>
    <w:rsid w:val="0051256E"/>
    <w:rsid w:val="005132FF"/>
    <w:rsid w:val="0051698B"/>
    <w:rsid w:val="0051724E"/>
    <w:rsid w:val="00520565"/>
    <w:rsid w:val="00520FD2"/>
    <w:rsid w:val="00521092"/>
    <w:rsid w:val="0052136D"/>
    <w:rsid w:val="00523029"/>
    <w:rsid w:val="00523234"/>
    <w:rsid w:val="005241A4"/>
    <w:rsid w:val="005248D0"/>
    <w:rsid w:val="005250C8"/>
    <w:rsid w:val="005259A9"/>
    <w:rsid w:val="005270CC"/>
    <w:rsid w:val="0052750B"/>
    <w:rsid w:val="00527538"/>
    <w:rsid w:val="0052775E"/>
    <w:rsid w:val="005306A4"/>
    <w:rsid w:val="00531261"/>
    <w:rsid w:val="005315F3"/>
    <w:rsid w:val="00531EF8"/>
    <w:rsid w:val="005344D3"/>
    <w:rsid w:val="00534C0C"/>
    <w:rsid w:val="00536AC0"/>
    <w:rsid w:val="00536E88"/>
    <w:rsid w:val="005413AF"/>
    <w:rsid w:val="00541F18"/>
    <w:rsid w:val="005420F2"/>
    <w:rsid w:val="00542613"/>
    <w:rsid w:val="00542944"/>
    <w:rsid w:val="005438C4"/>
    <w:rsid w:val="00544EE8"/>
    <w:rsid w:val="0054716C"/>
    <w:rsid w:val="00547C0D"/>
    <w:rsid w:val="005502A2"/>
    <w:rsid w:val="00550958"/>
    <w:rsid w:val="00550F5B"/>
    <w:rsid w:val="00551D1F"/>
    <w:rsid w:val="00552A4A"/>
    <w:rsid w:val="00553556"/>
    <w:rsid w:val="0055437E"/>
    <w:rsid w:val="0055476C"/>
    <w:rsid w:val="00554DA6"/>
    <w:rsid w:val="00555B71"/>
    <w:rsid w:val="005561E0"/>
    <w:rsid w:val="00556672"/>
    <w:rsid w:val="00556C1D"/>
    <w:rsid w:val="0055750F"/>
    <w:rsid w:val="00561192"/>
    <w:rsid w:val="005628B6"/>
    <w:rsid w:val="00564E3A"/>
    <w:rsid w:val="005659AA"/>
    <w:rsid w:val="005700FF"/>
    <w:rsid w:val="0057284A"/>
    <w:rsid w:val="00572F7F"/>
    <w:rsid w:val="00573B2D"/>
    <w:rsid w:val="00573CA4"/>
    <w:rsid w:val="00575196"/>
    <w:rsid w:val="005751DE"/>
    <w:rsid w:val="00577644"/>
    <w:rsid w:val="005777A5"/>
    <w:rsid w:val="00580235"/>
    <w:rsid w:val="0058191D"/>
    <w:rsid w:val="00583244"/>
    <w:rsid w:val="00583D3A"/>
    <w:rsid w:val="00584192"/>
    <w:rsid w:val="00584405"/>
    <w:rsid w:val="0058520C"/>
    <w:rsid w:val="0058796F"/>
    <w:rsid w:val="0059718D"/>
    <w:rsid w:val="0059782E"/>
    <w:rsid w:val="005A438D"/>
    <w:rsid w:val="005A6444"/>
    <w:rsid w:val="005A763F"/>
    <w:rsid w:val="005B0F0E"/>
    <w:rsid w:val="005B283F"/>
    <w:rsid w:val="005B3DB3"/>
    <w:rsid w:val="005B4CB3"/>
    <w:rsid w:val="005B52ED"/>
    <w:rsid w:val="005B6772"/>
    <w:rsid w:val="005B6CB4"/>
    <w:rsid w:val="005B70FC"/>
    <w:rsid w:val="005B76C0"/>
    <w:rsid w:val="005C0805"/>
    <w:rsid w:val="005C0AAD"/>
    <w:rsid w:val="005C10D9"/>
    <w:rsid w:val="005C1E6B"/>
    <w:rsid w:val="005C2733"/>
    <w:rsid w:val="005C34EC"/>
    <w:rsid w:val="005C3BF4"/>
    <w:rsid w:val="005C522B"/>
    <w:rsid w:val="005C56BB"/>
    <w:rsid w:val="005C6026"/>
    <w:rsid w:val="005C68A6"/>
    <w:rsid w:val="005C7816"/>
    <w:rsid w:val="005D0619"/>
    <w:rsid w:val="005D0D8D"/>
    <w:rsid w:val="005D0FDF"/>
    <w:rsid w:val="005D154F"/>
    <w:rsid w:val="005D4382"/>
    <w:rsid w:val="005D4526"/>
    <w:rsid w:val="005D469F"/>
    <w:rsid w:val="005D4726"/>
    <w:rsid w:val="005D4751"/>
    <w:rsid w:val="005D58E4"/>
    <w:rsid w:val="005D6730"/>
    <w:rsid w:val="005D6D7A"/>
    <w:rsid w:val="005D6D85"/>
    <w:rsid w:val="005D7505"/>
    <w:rsid w:val="005E063B"/>
    <w:rsid w:val="005E1864"/>
    <w:rsid w:val="005E18EF"/>
    <w:rsid w:val="005E1FEB"/>
    <w:rsid w:val="005E2849"/>
    <w:rsid w:val="005E286D"/>
    <w:rsid w:val="005E2FCB"/>
    <w:rsid w:val="005E3F3F"/>
    <w:rsid w:val="005E4484"/>
    <w:rsid w:val="005E57A8"/>
    <w:rsid w:val="005E5A20"/>
    <w:rsid w:val="005F0171"/>
    <w:rsid w:val="005F07BB"/>
    <w:rsid w:val="005F3A96"/>
    <w:rsid w:val="005F4341"/>
    <w:rsid w:val="005F4AE2"/>
    <w:rsid w:val="005F53D8"/>
    <w:rsid w:val="005F60F3"/>
    <w:rsid w:val="005F72CB"/>
    <w:rsid w:val="005F7869"/>
    <w:rsid w:val="005F7B75"/>
    <w:rsid w:val="006001EE"/>
    <w:rsid w:val="00600B87"/>
    <w:rsid w:val="00601B91"/>
    <w:rsid w:val="00601DB0"/>
    <w:rsid w:val="00603641"/>
    <w:rsid w:val="00605042"/>
    <w:rsid w:val="0060543E"/>
    <w:rsid w:val="006055B1"/>
    <w:rsid w:val="006060A5"/>
    <w:rsid w:val="006068A7"/>
    <w:rsid w:val="00611FC4"/>
    <w:rsid w:val="00616D48"/>
    <w:rsid w:val="006176FB"/>
    <w:rsid w:val="00620D4F"/>
    <w:rsid w:val="00620DDC"/>
    <w:rsid w:val="00621B38"/>
    <w:rsid w:val="00621F3A"/>
    <w:rsid w:val="0062381A"/>
    <w:rsid w:val="00624635"/>
    <w:rsid w:val="00624892"/>
    <w:rsid w:val="00624F2B"/>
    <w:rsid w:val="00625DA0"/>
    <w:rsid w:val="00626102"/>
    <w:rsid w:val="00626245"/>
    <w:rsid w:val="0062679D"/>
    <w:rsid w:val="00630A16"/>
    <w:rsid w:val="00635712"/>
    <w:rsid w:val="00635AB9"/>
    <w:rsid w:val="0063608E"/>
    <w:rsid w:val="006368A6"/>
    <w:rsid w:val="006375F5"/>
    <w:rsid w:val="006401C7"/>
    <w:rsid w:val="00640B26"/>
    <w:rsid w:val="00640D87"/>
    <w:rsid w:val="00640DF9"/>
    <w:rsid w:val="00641969"/>
    <w:rsid w:val="00642652"/>
    <w:rsid w:val="00642A42"/>
    <w:rsid w:val="00642B10"/>
    <w:rsid w:val="0064306A"/>
    <w:rsid w:val="006445AC"/>
    <w:rsid w:val="006454C8"/>
    <w:rsid w:val="0064578B"/>
    <w:rsid w:val="006462B2"/>
    <w:rsid w:val="00646572"/>
    <w:rsid w:val="006505C0"/>
    <w:rsid w:val="006517FA"/>
    <w:rsid w:val="00652670"/>
    <w:rsid w:val="0065293F"/>
    <w:rsid w:val="00652D0A"/>
    <w:rsid w:val="0065486C"/>
    <w:rsid w:val="00655CBC"/>
    <w:rsid w:val="006563DB"/>
    <w:rsid w:val="00656EE7"/>
    <w:rsid w:val="0065739D"/>
    <w:rsid w:val="0065746D"/>
    <w:rsid w:val="006610A5"/>
    <w:rsid w:val="0066191E"/>
    <w:rsid w:val="00661BA1"/>
    <w:rsid w:val="00662640"/>
    <w:rsid w:val="00662BB6"/>
    <w:rsid w:val="00666116"/>
    <w:rsid w:val="00666CF9"/>
    <w:rsid w:val="006671A2"/>
    <w:rsid w:val="0066741D"/>
    <w:rsid w:val="00667C7B"/>
    <w:rsid w:val="0067152D"/>
    <w:rsid w:val="00671842"/>
    <w:rsid w:val="00673F13"/>
    <w:rsid w:val="00676F6B"/>
    <w:rsid w:val="00681970"/>
    <w:rsid w:val="00682090"/>
    <w:rsid w:val="00682255"/>
    <w:rsid w:val="0068355A"/>
    <w:rsid w:val="006836D3"/>
    <w:rsid w:val="00683E38"/>
    <w:rsid w:val="006841D7"/>
    <w:rsid w:val="00684C21"/>
    <w:rsid w:val="00684D20"/>
    <w:rsid w:val="00685A70"/>
    <w:rsid w:val="00685B9E"/>
    <w:rsid w:val="006862F8"/>
    <w:rsid w:val="00686CBD"/>
    <w:rsid w:val="0068705A"/>
    <w:rsid w:val="00687F43"/>
    <w:rsid w:val="00690A59"/>
    <w:rsid w:val="006930D6"/>
    <w:rsid w:val="006932B7"/>
    <w:rsid w:val="00693E73"/>
    <w:rsid w:val="0069504E"/>
    <w:rsid w:val="0069532B"/>
    <w:rsid w:val="00695EA2"/>
    <w:rsid w:val="0069624E"/>
    <w:rsid w:val="006979A9"/>
    <w:rsid w:val="006A0A42"/>
    <w:rsid w:val="006A134D"/>
    <w:rsid w:val="006A2EA8"/>
    <w:rsid w:val="006A35E4"/>
    <w:rsid w:val="006A391A"/>
    <w:rsid w:val="006A521C"/>
    <w:rsid w:val="006A574E"/>
    <w:rsid w:val="006A5D9D"/>
    <w:rsid w:val="006A5ED0"/>
    <w:rsid w:val="006A6393"/>
    <w:rsid w:val="006A698D"/>
    <w:rsid w:val="006B025A"/>
    <w:rsid w:val="006B09F4"/>
    <w:rsid w:val="006B0B73"/>
    <w:rsid w:val="006B1052"/>
    <w:rsid w:val="006B2B77"/>
    <w:rsid w:val="006B2F19"/>
    <w:rsid w:val="006B3B4E"/>
    <w:rsid w:val="006B3BC2"/>
    <w:rsid w:val="006B70A1"/>
    <w:rsid w:val="006C19AB"/>
    <w:rsid w:val="006C2D0D"/>
    <w:rsid w:val="006C4A45"/>
    <w:rsid w:val="006C69B1"/>
    <w:rsid w:val="006C75A0"/>
    <w:rsid w:val="006D1D7E"/>
    <w:rsid w:val="006D20F1"/>
    <w:rsid w:val="006D37AF"/>
    <w:rsid w:val="006D51D0"/>
    <w:rsid w:val="006D5965"/>
    <w:rsid w:val="006D5A72"/>
    <w:rsid w:val="006D7A68"/>
    <w:rsid w:val="006E0B23"/>
    <w:rsid w:val="006E4A2B"/>
    <w:rsid w:val="006E4E6C"/>
    <w:rsid w:val="006E564B"/>
    <w:rsid w:val="006E56CB"/>
    <w:rsid w:val="006E5FA7"/>
    <w:rsid w:val="006E7191"/>
    <w:rsid w:val="006E7886"/>
    <w:rsid w:val="006F0540"/>
    <w:rsid w:val="006F2EA0"/>
    <w:rsid w:val="006F305C"/>
    <w:rsid w:val="006F3180"/>
    <w:rsid w:val="006F3318"/>
    <w:rsid w:val="006F5689"/>
    <w:rsid w:val="006F5E37"/>
    <w:rsid w:val="006F674F"/>
    <w:rsid w:val="006F6C29"/>
    <w:rsid w:val="007016C2"/>
    <w:rsid w:val="00701798"/>
    <w:rsid w:val="00703577"/>
    <w:rsid w:val="007051FF"/>
    <w:rsid w:val="007064CC"/>
    <w:rsid w:val="00706707"/>
    <w:rsid w:val="00706733"/>
    <w:rsid w:val="00712FA5"/>
    <w:rsid w:val="00713068"/>
    <w:rsid w:val="007130A3"/>
    <w:rsid w:val="007132D7"/>
    <w:rsid w:val="00714574"/>
    <w:rsid w:val="00714B40"/>
    <w:rsid w:val="007156F5"/>
    <w:rsid w:val="007204E0"/>
    <w:rsid w:val="007209AA"/>
    <w:rsid w:val="007210CF"/>
    <w:rsid w:val="007218D9"/>
    <w:rsid w:val="00722392"/>
    <w:rsid w:val="00723B07"/>
    <w:rsid w:val="007240BC"/>
    <w:rsid w:val="00725867"/>
    <w:rsid w:val="0072632A"/>
    <w:rsid w:val="00726676"/>
    <w:rsid w:val="00726890"/>
    <w:rsid w:val="00726EB4"/>
    <w:rsid w:val="0072742C"/>
    <w:rsid w:val="00730059"/>
    <w:rsid w:val="00730213"/>
    <w:rsid w:val="007327D5"/>
    <w:rsid w:val="0073427C"/>
    <w:rsid w:val="00735536"/>
    <w:rsid w:val="00735FA9"/>
    <w:rsid w:val="0073651E"/>
    <w:rsid w:val="00741B1D"/>
    <w:rsid w:val="00742EDA"/>
    <w:rsid w:val="00744010"/>
    <w:rsid w:val="00745BB7"/>
    <w:rsid w:val="007471F2"/>
    <w:rsid w:val="00751780"/>
    <w:rsid w:val="00752258"/>
    <w:rsid w:val="00752945"/>
    <w:rsid w:val="00753790"/>
    <w:rsid w:val="00754068"/>
    <w:rsid w:val="007544B0"/>
    <w:rsid w:val="00756AD2"/>
    <w:rsid w:val="007629C8"/>
    <w:rsid w:val="007629E7"/>
    <w:rsid w:val="00762D29"/>
    <w:rsid w:val="00764E65"/>
    <w:rsid w:val="007660BE"/>
    <w:rsid w:val="007678C2"/>
    <w:rsid w:val="007721A3"/>
    <w:rsid w:val="007727FA"/>
    <w:rsid w:val="00772C4E"/>
    <w:rsid w:val="007734EA"/>
    <w:rsid w:val="00773A11"/>
    <w:rsid w:val="00773F4D"/>
    <w:rsid w:val="00774091"/>
    <w:rsid w:val="00775BBB"/>
    <w:rsid w:val="00776EF8"/>
    <w:rsid w:val="00780138"/>
    <w:rsid w:val="00780262"/>
    <w:rsid w:val="007809DC"/>
    <w:rsid w:val="007812E3"/>
    <w:rsid w:val="00782883"/>
    <w:rsid w:val="007832AA"/>
    <w:rsid w:val="00783C9A"/>
    <w:rsid w:val="00785359"/>
    <w:rsid w:val="0078564E"/>
    <w:rsid w:val="00785816"/>
    <w:rsid w:val="007877C7"/>
    <w:rsid w:val="00787D71"/>
    <w:rsid w:val="00790019"/>
    <w:rsid w:val="00791F99"/>
    <w:rsid w:val="007925BB"/>
    <w:rsid w:val="0079269F"/>
    <w:rsid w:val="00792805"/>
    <w:rsid w:val="00795025"/>
    <w:rsid w:val="00796FF6"/>
    <w:rsid w:val="00797737"/>
    <w:rsid w:val="007A0045"/>
    <w:rsid w:val="007A4DD2"/>
    <w:rsid w:val="007A5D8D"/>
    <w:rsid w:val="007A5D8F"/>
    <w:rsid w:val="007A5EB5"/>
    <w:rsid w:val="007A6730"/>
    <w:rsid w:val="007B00AE"/>
    <w:rsid w:val="007B0AEE"/>
    <w:rsid w:val="007B25D4"/>
    <w:rsid w:val="007B2AB3"/>
    <w:rsid w:val="007B3AE2"/>
    <w:rsid w:val="007B43CE"/>
    <w:rsid w:val="007B51CD"/>
    <w:rsid w:val="007B6112"/>
    <w:rsid w:val="007B6116"/>
    <w:rsid w:val="007B6BA5"/>
    <w:rsid w:val="007B77E3"/>
    <w:rsid w:val="007C0202"/>
    <w:rsid w:val="007C04CB"/>
    <w:rsid w:val="007C334E"/>
    <w:rsid w:val="007C3390"/>
    <w:rsid w:val="007C3433"/>
    <w:rsid w:val="007C36FB"/>
    <w:rsid w:val="007C4F4B"/>
    <w:rsid w:val="007C4FB9"/>
    <w:rsid w:val="007C5C32"/>
    <w:rsid w:val="007C5E59"/>
    <w:rsid w:val="007C6596"/>
    <w:rsid w:val="007C6B88"/>
    <w:rsid w:val="007C7ED5"/>
    <w:rsid w:val="007D18C8"/>
    <w:rsid w:val="007D1FFB"/>
    <w:rsid w:val="007D2003"/>
    <w:rsid w:val="007D2467"/>
    <w:rsid w:val="007D3337"/>
    <w:rsid w:val="007D530F"/>
    <w:rsid w:val="007D5336"/>
    <w:rsid w:val="007D69E9"/>
    <w:rsid w:val="007D7E62"/>
    <w:rsid w:val="007E259C"/>
    <w:rsid w:val="007E51F9"/>
    <w:rsid w:val="007E6EBA"/>
    <w:rsid w:val="007E7AE5"/>
    <w:rsid w:val="007F0775"/>
    <w:rsid w:val="007F5A27"/>
    <w:rsid w:val="007F5EE5"/>
    <w:rsid w:val="007F6611"/>
    <w:rsid w:val="008004C1"/>
    <w:rsid w:val="00800B48"/>
    <w:rsid w:val="0080349B"/>
    <w:rsid w:val="00805180"/>
    <w:rsid w:val="0080559D"/>
    <w:rsid w:val="0080630E"/>
    <w:rsid w:val="008064D0"/>
    <w:rsid w:val="00806D24"/>
    <w:rsid w:val="00806F6A"/>
    <w:rsid w:val="008079B8"/>
    <w:rsid w:val="00810BEC"/>
    <w:rsid w:val="0081110E"/>
    <w:rsid w:val="00812A3B"/>
    <w:rsid w:val="00813362"/>
    <w:rsid w:val="00817FC7"/>
    <w:rsid w:val="008236BB"/>
    <w:rsid w:val="00823AF6"/>
    <w:rsid w:val="00823D16"/>
    <w:rsid w:val="008242D7"/>
    <w:rsid w:val="008257B1"/>
    <w:rsid w:val="0083129E"/>
    <w:rsid w:val="00832AA7"/>
    <w:rsid w:val="00834F88"/>
    <w:rsid w:val="00843035"/>
    <w:rsid w:val="00843086"/>
    <w:rsid w:val="00843767"/>
    <w:rsid w:val="00847046"/>
    <w:rsid w:val="008471D6"/>
    <w:rsid w:val="00850055"/>
    <w:rsid w:val="008503D3"/>
    <w:rsid w:val="00850D55"/>
    <w:rsid w:val="00850DA8"/>
    <w:rsid w:val="00853BED"/>
    <w:rsid w:val="00854BB3"/>
    <w:rsid w:val="00855EC6"/>
    <w:rsid w:val="00860539"/>
    <w:rsid w:val="00861B73"/>
    <w:rsid w:val="008621D5"/>
    <w:rsid w:val="00862943"/>
    <w:rsid w:val="00862991"/>
    <w:rsid w:val="008636A3"/>
    <w:rsid w:val="00863AF7"/>
    <w:rsid w:val="00863BD3"/>
    <w:rsid w:val="0086442A"/>
    <w:rsid w:val="0086505E"/>
    <w:rsid w:val="0086703C"/>
    <w:rsid w:val="008679D9"/>
    <w:rsid w:val="008714B3"/>
    <w:rsid w:val="00871D97"/>
    <w:rsid w:val="00872507"/>
    <w:rsid w:val="00873329"/>
    <w:rsid w:val="00874006"/>
    <w:rsid w:val="0087521E"/>
    <w:rsid w:val="0087578A"/>
    <w:rsid w:val="00877EA8"/>
    <w:rsid w:val="00880230"/>
    <w:rsid w:val="0088096A"/>
    <w:rsid w:val="00880BF6"/>
    <w:rsid w:val="00882576"/>
    <w:rsid w:val="00883554"/>
    <w:rsid w:val="00883B55"/>
    <w:rsid w:val="00883F21"/>
    <w:rsid w:val="00884F9B"/>
    <w:rsid w:val="0088637E"/>
    <w:rsid w:val="0088669D"/>
    <w:rsid w:val="00886DB6"/>
    <w:rsid w:val="008907BC"/>
    <w:rsid w:val="008916E8"/>
    <w:rsid w:val="00892A48"/>
    <w:rsid w:val="008940DF"/>
    <w:rsid w:val="0089709A"/>
    <w:rsid w:val="008971FB"/>
    <w:rsid w:val="0089765C"/>
    <w:rsid w:val="008979B1"/>
    <w:rsid w:val="008A187D"/>
    <w:rsid w:val="008A1D87"/>
    <w:rsid w:val="008A29C0"/>
    <w:rsid w:val="008A4FFD"/>
    <w:rsid w:val="008A605D"/>
    <w:rsid w:val="008A6B25"/>
    <w:rsid w:val="008A6C4F"/>
    <w:rsid w:val="008A6EE4"/>
    <w:rsid w:val="008B017B"/>
    <w:rsid w:val="008B1848"/>
    <w:rsid w:val="008B2335"/>
    <w:rsid w:val="008B2568"/>
    <w:rsid w:val="008B2EA6"/>
    <w:rsid w:val="008B324E"/>
    <w:rsid w:val="008B3D47"/>
    <w:rsid w:val="008B4270"/>
    <w:rsid w:val="008B4D5D"/>
    <w:rsid w:val="008B4FCB"/>
    <w:rsid w:val="008B5953"/>
    <w:rsid w:val="008B64B1"/>
    <w:rsid w:val="008B6DDF"/>
    <w:rsid w:val="008B7E23"/>
    <w:rsid w:val="008C1520"/>
    <w:rsid w:val="008C1D34"/>
    <w:rsid w:val="008C249A"/>
    <w:rsid w:val="008C39A2"/>
    <w:rsid w:val="008C42AE"/>
    <w:rsid w:val="008C6815"/>
    <w:rsid w:val="008C69EE"/>
    <w:rsid w:val="008D0493"/>
    <w:rsid w:val="008D0A49"/>
    <w:rsid w:val="008D1B13"/>
    <w:rsid w:val="008D339D"/>
    <w:rsid w:val="008D45B2"/>
    <w:rsid w:val="008D63D3"/>
    <w:rsid w:val="008D6944"/>
    <w:rsid w:val="008D6FA2"/>
    <w:rsid w:val="008D773E"/>
    <w:rsid w:val="008E04FA"/>
    <w:rsid w:val="008E05FC"/>
    <w:rsid w:val="008E0678"/>
    <w:rsid w:val="008E1196"/>
    <w:rsid w:val="008E1E1F"/>
    <w:rsid w:val="008E2210"/>
    <w:rsid w:val="008E4285"/>
    <w:rsid w:val="008E4A20"/>
    <w:rsid w:val="008E50CF"/>
    <w:rsid w:val="008E59AE"/>
    <w:rsid w:val="008E78A3"/>
    <w:rsid w:val="008F162B"/>
    <w:rsid w:val="008F4E51"/>
    <w:rsid w:val="008F61ED"/>
    <w:rsid w:val="009008F2"/>
    <w:rsid w:val="00900915"/>
    <w:rsid w:val="009022AC"/>
    <w:rsid w:val="009044D7"/>
    <w:rsid w:val="00904500"/>
    <w:rsid w:val="0090457B"/>
    <w:rsid w:val="00904608"/>
    <w:rsid w:val="00904734"/>
    <w:rsid w:val="00905570"/>
    <w:rsid w:val="00905948"/>
    <w:rsid w:val="00905EB6"/>
    <w:rsid w:val="009064D9"/>
    <w:rsid w:val="009120B2"/>
    <w:rsid w:val="009125A1"/>
    <w:rsid w:val="00914158"/>
    <w:rsid w:val="0091478F"/>
    <w:rsid w:val="00915571"/>
    <w:rsid w:val="00916D93"/>
    <w:rsid w:val="00917676"/>
    <w:rsid w:val="00917930"/>
    <w:rsid w:val="0092095B"/>
    <w:rsid w:val="00920BD0"/>
    <w:rsid w:val="00920EC9"/>
    <w:rsid w:val="009223CA"/>
    <w:rsid w:val="00923207"/>
    <w:rsid w:val="00923A8E"/>
    <w:rsid w:val="00925E89"/>
    <w:rsid w:val="00926640"/>
    <w:rsid w:val="00927E52"/>
    <w:rsid w:val="00930CF8"/>
    <w:rsid w:val="00934172"/>
    <w:rsid w:val="009352A4"/>
    <w:rsid w:val="00936DAB"/>
    <w:rsid w:val="00940585"/>
    <w:rsid w:val="00940F93"/>
    <w:rsid w:val="00941965"/>
    <w:rsid w:val="00941AB7"/>
    <w:rsid w:val="00941CB6"/>
    <w:rsid w:val="009424B6"/>
    <w:rsid w:val="009430AF"/>
    <w:rsid w:val="0094396A"/>
    <w:rsid w:val="00944D9A"/>
    <w:rsid w:val="00945873"/>
    <w:rsid w:val="00945D3C"/>
    <w:rsid w:val="009469A9"/>
    <w:rsid w:val="00946D1C"/>
    <w:rsid w:val="00947A95"/>
    <w:rsid w:val="00947B1E"/>
    <w:rsid w:val="00947B3B"/>
    <w:rsid w:val="009529C7"/>
    <w:rsid w:val="0095354C"/>
    <w:rsid w:val="009543E0"/>
    <w:rsid w:val="00955380"/>
    <w:rsid w:val="0095593D"/>
    <w:rsid w:val="00957E0E"/>
    <w:rsid w:val="0096062C"/>
    <w:rsid w:val="009615F5"/>
    <w:rsid w:val="00962446"/>
    <w:rsid w:val="00963149"/>
    <w:rsid w:val="00963298"/>
    <w:rsid w:val="00963A69"/>
    <w:rsid w:val="009650B0"/>
    <w:rsid w:val="00965456"/>
    <w:rsid w:val="00965F87"/>
    <w:rsid w:val="009673E4"/>
    <w:rsid w:val="00967F8E"/>
    <w:rsid w:val="00970E50"/>
    <w:rsid w:val="00971F42"/>
    <w:rsid w:val="009736FC"/>
    <w:rsid w:val="00973EC1"/>
    <w:rsid w:val="0097451D"/>
    <w:rsid w:val="00975C75"/>
    <w:rsid w:val="009760F3"/>
    <w:rsid w:val="00977F0C"/>
    <w:rsid w:val="0098152F"/>
    <w:rsid w:val="00981AD9"/>
    <w:rsid w:val="00981E69"/>
    <w:rsid w:val="0098203F"/>
    <w:rsid w:val="00984511"/>
    <w:rsid w:val="00984894"/>
    <w:rsid w:val="00985162"/>
    <w:rsid w:val="00985F4F"/>
    <w:rsid w:val="009908D7"/>
    <w:rsid w:val="009947F3"/>
    <w:rsid w:val="00995AED"/>
    <w:rsid w:val="00995E99"/>
    <w:rsid w:val="00996F52"/>
    <w:rsid w:val="00997445"/>
    <w:rsid w:val="009A081E"/>
    <w:rsid w:val="009A0B9F"/>
    <w:rsid w:val="009A0E8D"/>
    <w:rsid w:val="009A1AB5"/>
    <w:rsid w:val="009A2F05"/>
    <w:rsid w:val="009A3122"/>
    <w:rsid w:val="009A5117"/>
    <w:rsid w:val="009A5C19"/>
    <w:rsid w:val="009A6630"/>
    <w:rsid w:val="009A6E0B"/>
    <w:rsid w:val="009A6F50"/>
    <w:rsid w:val="009B063C"/>
    <w:rsid w:val="009B223B"/>
    <w:rsid w:val="009B26E7"/>
    <w:rsid w:val="009B32E0"/>
    <w:rsid w:val="009B3408"/>
    <w:rsid w:val="009B5196"/>
    <w:rsid w:val="009B5607"/>
    <w:rsid w:val="009B5EF0"/>
    <w:rsid w:val="009C1114"/>
    <w:rsid w:val="009C1B94"/>
    <w:rsid w:val="009C23C8"/>
    <w:rsid w:val="009C38C6"/>
    <w:rsid w:val="009C4EF2"/>
    <w:rsid w:val="009C5101"/>
    <w:rsid w:val="009D0642"/>
    <w:rsid w:val="009D0E84"/>
    <w:rsid w:val="009D2DDD"/>
    <w:rsid w:val="009D3D3F"/>
    <w:rsid w:val="009D4398"/>
    <w:rsid w:val="009D44F0"/>
    <w:rsid w:val="009D4B1B"/>
    <w:rsid w:val="009D594A"/>
    <w:rsid w:val="009D63C1"/>
    <w:rsid w:val="009D67E7"/>
    <w:rsid w:val="009D73A6"/>
    <w:rsid w:val="009E04BD"/>
    <w:rsid w:val="009E17EE"/>
    <w:rsid w:val="009E2A87"/>
    <w:rsid w:val="009E3A75"/>
    <w:rsid w:val="009E4315"/>
    <w:rsid w:val="009E4B26"/>
    <w:rsid w:val="009E58A8"/>
    <w:rsid w:val="009E6054"/>
    <w:rsid w:val="009E637D"/>
    <w:rsid w:val="009E7482"/>
    <w:rsid w:val="009F07A3"/>
    <w:rsid w:val="009F10B3"/>
    <w:rsid w:val="009F28F0"/>
    <w:rsid w:val="009F30D6"/>
    <w:rsid w:val="009F3E7D"/>
    <w:rsid w:val="009F41C5"/>
    <w:rsid w:val="009F4F80"/>
    <w:rsid w:val="009F5370"/>
    <w:rsid w:val="009F6575"/>
    <w:rsid w:val="00A0002C"/>
    <w:rsid w:val="00A004DA"/>
    <w:rsid w:val="00A00A3F"/>
    <w:rsid w:val="00A01489"/>
    <w:rsid w:val="00A04E14"/>
    <w:rsid w:val="00A06200"/>
    <w:rsid w:val="00A069A6"/>
    <w:rsid w:val="00A07BAE"/>
    <w:rsid w:val="00A07D19"/>
    <w:rsid w:val="00A10666"/>
    <w:rsid w:val="00A11476"/>
    <w:rsid w:val="00A129B4"/>
    <w:rsid w:val="00A13CB4"/>
    <w:rsid w:val="00A14839"/>
    <w:rsid w:val="00A16AB7"/>
    <w:rsid w:val="00A20562"/>
    <w:rsid w:val="00A205F6"/>
    <w:rsid w:val="00A2069F"/>
    <w:rsid w:val="00A2122A"/>
    <w:rsid w:val="00A21728"/>
    <w:rsid w:val="00A2281F"/>
    <w:rsid w:val="00A23346"/>
    <w:rsid w:val="00A24947"/>
    <w:rsid w:val="00A24DFA"/>
    <w:rsid w:val="00A30F98"/>
    <w:rsid w:val="00A31E8D"/>
    <w:rsid w:val="00A338F1"/>
    <w:rsid w:val="00A33929"/>
    <w:rsid w:val="00A3442C"/>
    <w:rsid w:val="00A37A8C"/>
    <w:rsid w:val="00A37DF4"/>
    <w:rsid w:val="00A405A5"/>
    <w:rsid w:val="00A422D0"/>
    <w:rsid w:val="00A42F68"/>
    <w:rsid w:val="00A43F1B"/>
    <w:rsid w:val="00A44072"/>
    <w:rsid w:val="00A45950"/>
    <w:rsid w:val="00A46158"/>
    <w:rsid w:val="00A473AE"/>
    <w:rsid w:val="00A47D70"/>
    <w:rsid w:val="00A511AC"/>
    <w:rsid w:val="00A5214F"/>
    <w:rsid w:val="00A535AC"/>
    <w:rsid w:val="00A54390"/>
    <w:rsid w:val="00A555D8"/>
    <w:rsid w:val="00A55BEC"/>
    <w:rsid w:val="00A56E47"/>
    <w:rsid w:val="00A5730D"/>
    <w:rsid w:val="00A57F75"/>
    <w:rsid w:val="00A60E48"/>
    <w:rsid w:val="00A60FA9"/>
    <w:rsid w:val="00A61069"/>
    <w:rsid w:val="00A6159C"/>
    <w:rsid w:val="00A618E1"/>
    <w:rsid w:val="00A61D07"/>
    <w:rsid w:val="00A627BF"/>
    <w:rsid w:val="00A62939"/>
    <w:rsid w:val="00A62A0E"/>
    <w:rsid w:val="00A62F2E"/>
    <w:rsid w:val="00A664C6"/>
    <w:rsid w:val="00A67654"/>
    <w:rsid w:val="00A67A18"/>
    <w:rsid w:val="00A67B62"/>
    <w:rsid w:val="00A700EE"/>
    <w:rsid w:val="00A7059A"/>
    <w:rsid w:val="00A72F22"/>
    <w:rsid w:val="00A73049"/>
    <w:rsid w:val="00A73091"/>
    <w:rsid w:val="00A7360F"/>
    <w:rsid w:val="00A748A6"/>
    <w:rsid w:val="00A75ADC"/>
    <w:rsid w:val="00A76518"/>
    <w:rsid w:val="00A769F4"/>
    <w:rsid w:val="00A776B4"/>
    <w:rsid w:val="00A80CAE"/>
    <w:rsid w:val="00A80E71"/>
    <w:rsid w:val="00A82036"/>
    <w:rsid w:val="00A8230E"/>
    <w:rsid w:val="00A828B6"/>
    <w:rsid w:val="00A8498D"/>
    <w:rsid w:val="00A859B8"/>
    <w:rsid w:val="00A874AF"/>
    <w:rsid w:val="00A92959"/>
    <w:rsid w:val="00A94269"/>
    <w:rsid w:val="00A94361"/>
    <w:rsid w:val="00A94975"/>
    <w:rsid w:val="00A9541A"/>
    <w:rsid w:val="00A96B56"/>
    <w:rsid w:val="00A96E58"/>
    <w:rsid w:val="00A97920"/>
    <w:rsid w:val="00A97F19"/>
    <w:rsid w:val="00AA0227"/>
    <w:rsid w:val="00AA1162"/>
    <w:rsid w:val="00AA1415"/>
    <w:rsid w:val="00AA293C"/>
    <w:rsid w:val="00AA2B99"/>
    <w:rsid w:val="00AA3899"/>
    <w:rsid w:val="00AA4282"/>
    <w:rsid w:val="00AA5A49"/>
    <w:rsid w:val="00AA5AC4"/>
    <w:rsid w:val="00AA609D"/>
    <w:rsid w:val="00AB178E"/>
    <w:rsid w:val="00AB1A88"/>
    <w:rsid w:val="00AB3C2A"/>
    <w:rsid w:val="00AB43F0"/>
    <w:rsid w:val="00AB50D1"/>
    <w:rsid w:val="00AB7009"/>
    <w:rsid w:val="00AB79DE"/>
    <w:rsid w:val="00AC0AC4"/>
    <w:rsid w:val="00AC0C21"/>
    <w:rsid w:val="00AC3654"/>
    <w:rsid w:val="00AC3BC0"/>
    <w:rsid w:val="00AC3EDB"/>
    <w:rsid w:val="00AC51ED"/>
    <w:rsid w:val="00AC5D8E"/>
    <w:rsid w:val="00AC5E5E"/>
    <w:rsid w:val="00AD0743"/>
    <w:rsid w:val="00AD0899"/>
    <w:rsid w:val="00AD0BCB"/>
    <w:rsid w:val="00AD17A2"/>
    <w:rsid w:val="00AD2099"/>
    <w:rsid w:val="00AD41B5"/>
    <w:rsid w:val="00AD4465"/>
    <w:rsid w:val="00AD4CF0"/>
    <w:rsid w:val="00AD5224"/>
    <w:rsid w:val="00AD6B25"/>
    <w:rsid w:val="00AD6E0D"/>
    <w:rsid w:val="00AE09AF"/>
    <w:rsid w:val="00AE397A"/>
    <w:rsid w:val="00AE4595"/>
    <w:rsid w:val="00AE5990"/>
    <w:rsid w:val="00AE7112"/>
    <w:rsid w:val="00AE75F1"/>
    <w:rsid w:val="00AE7BC2"/>
    <w:rsid w:val="00AF136D"/>
    <w:rsid w:val="00AF169A"/>
    <w:rsid w:val="00AF23E1"/>
    <w:rsid w:val="00AF26F6"/>
    <w:rsid w:val="00AF302C"/>
    <w:rsid w:val="00AF3396"/>
    <w:rsid w:val="00AF34D9"/>
    <w:rsid w:val="00AF4AA9"/>
    <w:rsid w:val="00AF5A62"/>
    <w:rsid w:val="00AF6F8F"/>
    <w:rsid w:val="00AF7140"/>
    <w:rsid w:val="00AF7949"/>
    <w:rsid w:val="00B020A5"/>
    <w:rsid w:val="00B076FA"/>
    <w:rsid w:val="00B11392"/>
    <w:rsid w:val="00B12A75"/>
    <w:rsid w:val="00B13286"/>
    <w:rsid w:val="00B13F6B"/>
    <w:rsid w:val="00B1425E"/>
    <w:rsid w:val="00B143EB"/>
    <w:rsid w:val="00B145DB"/>
    <w:rsid w:val="00B14DE1"/>
    <w:rsid w:val="00B169F1"/>
    <w:rsid w:val="00B218A3"/>
    <w:rsid w:val="00B22E64"/>
    <w:rsid w:val="00B240BF"/>
    <w:rsid w:val="00B25BAD"/>
    <w:rsid w:val="00B25BC7"/>
    <w:rsid w:val="00B26C8B"/>
    <w:rsid w:val="00B27DD0"/>
    <w:rsid w:val="00B30179"/>
    <w:rsid w:val="00B30231"/>
    <w:rsid w:val="00B30482"/>
    <w:rsid w:val="00B30978"/>
    <w:rsid w:val="00B323BD"/>
    <w:rsid w:val="00B327B1"/>
    <w:rsid w:val="00B32FF1"/>
    <w:rsid w:val="00B36EE6"/>
    <w:rsid w:val="00B370AA"/>
    <w:rsid w:val="00B4032C"/>
    <w:rsid w:val="00B47126"/>
    <w:rsid w:val="00B47DB3"/>
    <w:rsid w:val="00B47E18"/>
    <w:rsid w:val="00B502F4"/>
    <w:rsid w:val="00B519A9"/>
    <w:rsid w:val="00B51AC0"/>
    <w:rsid w:val="00B53F6B"/>
    <w:rsid w:val="00B54676"/>
    <w:rsid w:val="00B54F31"/>
    <w:rsid w:val="00B55628"/>
    <w:rsid w:val="00B56079"/>
    <w:rsid w:val="00B56577"/>
    <w:rsid w:val="00B56C72"/>
    <w:rsid w:val="00B56E4A"/>
    <w:rsid w:val="00B56E9C"/>
    <w:rsid w:val="00B570F3"/>
    <w:rsid w:val="00B62057"/>
    <w:rsid w:val="00B623D5"/>
    <w:rsid w:val="00B62900"/>
    <w:rsid w:val="00B63B52"/>
    <w:rsid w:val="00B63E21"/>
    <w:rsid w:val="00B64B1F"/>
    <w:rsid w:val="00B65401"/>
    <w:rsid w:val="00B6553F"/>
    <w:rsid w:val="00B670CD"/>
    <w:rsid w:val="00B677B2"/>
    <w:rsid w:val="00B745C1"/>
    <w:rsid w:val="00B77D05"/>
    <w:rsid w:val="00B80FF0"/>
    <w:rsid w:val="00B81206"/>
    <w:rsid w:val="00B8197E"/>
    <w:rsid w:val="00B81E12"/>
    <w:rsid w:val="00B82174"/>
    <w:rsid w:val="00B830B4"/>
    <w:rsid w:val="00B835BA"/>
    <w:rsid w:val="00B85258"/>
    <w:rsid w:val="00B85516"/>
    <w:rsid w:val="00B871DF"/>
    <w:rsid w:val="00B87A1E"/>
    <w:rsid w:val="00B90023"/>
    <w:rsid w:val="00B901F5"/>
    <w:rsid w:val="00B91477"/>
    <w:rsid w:val="00B9230F"/>
    <w:rsid w:val="00B92937"/>
    <w:rsid w:val="00B93090"/>
    <w:rsid w:val="00B93ADC"/>
    <w:rsid w:val="00B94910"/>
    <w:rsid w:val="00B94B44"/>
    <w:rsid w:val="00B95E45"/>
    <w:rsid w:val="00B97003"/>
    <w:rsid w:val="00B9744B"/>
    <w:rsid w:val="00B97EE2"/>
    <w:rsid w:val="00BA0E96"/>
    <w:rsid w:val="00BA2138"/>
    <w:rsid w:val="00BA2595"/>
    <w:rsid w:val="00BA4964"/>
    <w:rsid w:val="00BA62E8"/>
    <w:rsid w:val="00BA723F"/>
    <w:rsid w:val="00BB1BF7"/>
    <w:rsid w:val="00BB4A93"/>
    <w:rsid w:val="00BB4E2C"/>
    <w:rsid w:val="00BB5282"/>
    <w:rsid w:val="00BB5681"/>
    <w:rsid w:val="00BC0B19"/>
    <w:rsid w:val="00BC1058"/>
    <w:rsid w:val="00BC2592"/>
    <w:rsid w:val="00BC3AC6"/>
    <w:rsid w:val="00BC534A"/>
    <w:rsid w:val="00BC74E9"/>
    <w:rsid w:val="00BD06A0"/>
    <w:rsid w:val="00BD0D89"/>
    <w:rsid w:val="00BD13AF"/>
    <w:rsid w:val="00BD4ABA"/>
    <w:rsid w:val="00BD4D26"/>
    <w:rsid w:val="00BD543B"/>
    <w:rsid w:val="00BE31F7"/>
    <w:rsid w:val="00BE33A0"/>
    <w:rsid w:val="00BE3814"/>
    <w:rsid w:val="00BE58A1"/>
    <w:rsid w:val="00BF1D1D"/>
    <w:rsid w:val="00BF3468"/>
    <w:rsid w:val="00BF3861"/>
    <w:rsid w:val="00BF39DD"/>
    <w:rsid w:val="00BF599F"/>
    <w:rsid w:val="00BF5E2B"/>
    <w:rsid w:val="00BF68A8"/>
    <w:rsid w:val="00C00DDE"/>
    <w:rsid w:val="00C02F96"/>
    <w:rsid w:val="00C03AAB"/>
    <w:rsid w:val="00C1112D"/>
    <w:rsid w:val="00C11A03"/>
    <w:rsid w:val="00C12581"/>
    <w:rsid w:val="00C129FB"/>
    <w:rsid w:val="00C16562"/>
    <w:rsid w:val="00C16C23"/>
    <w:rsid w:val="00C175CB"/>
    <w:rsid w:val="00C20163"/>
    <w:rsid w:val="00C205E2"/>
    <w:rsid w:val="00C20D6D"/>
    <w:rsid w:val="00C2272D"/>
    <w:rsid w:val="00C24BDC"/>
    <w:rsid w:val="00C25E60"/>
    <w:rsid w:val="00C309DD"/>
    <w:rsid w:val="00C30D9E"/>
    <w:rsid w:val="00C34947"/>
    <w:rsid w:val="00C3546C"/>
    <w:rsid w:val="00C354B5"/>
    <w:rsid w:val="00C356E9"/>
    <w:rsid w:val="00C358F6"/>
    <w:rsid w:val="00C35B3E"/>
    <w:rsid w:val="00C36026"/>
    <w:rsid w:val="00C3680D"/>
    <w:rsid w:val="00C36E0D"/>
    <w:rsid w:val="00C372B7"/>
    <w:rsid w:val="00C372E1"/>
    <w:rsid w:val="00C40224"/>
    <w:rsid w:val="00C408E6"/>
    <w:rsid w:val="00C41D7A"/>
    <w:rsid w:val="00C424FB"/>
    <w:rsid w:val="00C42634"/>
    <w:rsid w:val="00C4366A"/>
    <w:rsid w:val="00C44C46"/>
    <w:rsid w:val="00C4539F"/>
    <w:rsid w:val="00C457AC"/>
    <w:rsid w:val="00C463DD"/>
    <w:rsid w:val="00C4724C"/>
    <w:rsid w:val="00C47F11"/>
    <w:rsid w:val="00C50345"/>
    <w:rsid w:val="00C50A7E"/>
    <w:rsid w:val="00C50C58"/>
    <w:rsid w:val="00C51ED8"/>
    <w:rsid w:val="00C539FE"/>
    <w:rsid w:val="00C53BFA"/>
    <w:rsid w:val="00C55953"/>
    <w:rsid w:val="00C5764E"/>
    <w:rsid w:val="00C603F6"/>
    <w:rsid w:val="00C629A0"/>
    <w:rsid w:val="00C6677B"/>
    <w:rsid w:val="00C667BE"/>
    <w:rsid w:val="00C672E3"/>
    <w:rsid w:val="00C675ED"/>
    <w:rsid w:val="00C67CA5"/>
    <w:rsid w:val="00C67F2E"/>
    <w:rsid w:val="00C70FA9"/>
    <w:rsid w:val="00C71603"/>
    <w:rsid w:val="00C7204B"/>
    <w:rsid w:val="00C72A3C"/>
    <w:rsid w:val="00C745C3"/>
    <w:rsid w:val="00C81515"/>
    <w:rsid w:val="00C83816"/>
    <w:rsid w:val="00C85FA5"/>
    <w:rsid w:val="00C91E5A"/>
    <w:rsid w:val="00C9244B"/>
    <w:rsid w:val="00C9441B"/>
    <w:rsid w:val="00C949C5"/>
    <w:rsid w:val="00C950A1"/>
    <w:rsid w:val="00C96583"/>
    <w:rsid w:val="00C96A9A"/>
    <w:rsid w:val="00C97BC4"/>
    <w:rsid w:val="00CA4DD1"/>
    <w:rsid w:val="00CA5471"/>
    <w:rsid w:val="00CA58B5"/>
    <w:rsid w:val="00CA5F1D"/>
    <w:rsid w:val="00CA6DFB"/>
    <w:rsid w:val="00CA7A6D"/>
    <w:rsid w:val="00CB05D8"/>
    <w:rsid w:val="00CB1801"/>
    <w:rsid w:val="00CB290A"/>
    <w:rsid w:val="00CB4300"/>
    <w:rsid w:val="00CB491C"/>
    <w:rsid w:val="00CB5285"/>
    <w:rsid w:val="00CB6901"/>
    <w:rsid w:val="00CC166D"/>
    <w:rsid w:val="00CC189E"/>
    <w:rsid w:val="00CC2261"/>
    <w:rsid w:val="00CC33FC"/>
    <w:rsid w:val="00CC5CE6"/>
    <w:rsid w:val="00CC60A8"/>
    <w:rsid w:val="00CC67B3"/>
    <w:rsid w:val="00CC699A"/>
    <w:rsid w:val="00CC7057"/>
    <w:rsid w:val="00CD06C7"/>
    <w:rsid w:val="00CD2A88"/>
    <w:rsid w:val="00CD397D"/>
    <w:rsid w:val="00CD6A0F"/>
    <w:rsid w:val="00CD6D4B"/>
    <w:rsid w:val="00CD770C"/>
    <w:rsid w:val="00CD7D3F"/>
    <w:rsid w:val="00CE4A8F"/>
    <w:rsid w:val="00CE6EC2"/>
    <w:rsid w:val="00CF17D4"/>
    <w:rsid w:val="00CF5255"/>
    <w:rsid w:val="00D005AA"/>
    <w:rsid w:val="00D00AEB"/>
    <w:rsid w:val="00D01282"/>
    <w:rsid w:val="00D014A5"/>
    <w:rsid w:val="00D01DA0"/>
    <w:rsid w:val="00D028DD"/>
    <w:rsid w:val="00D02E37"/>
    <w:rsid w:val="00D0330C"/>
    <w:rsid w:val="00D06C93"/>
    <w:rsid w:val="00D07053"/>
    <w:rsid w:val="00D15E6C"/>
    <w:rsid w:val="00D16458"/>
    <w:rsid w:val="00D20024"/>
    <w:rsid w:val="00D2031B"/>
    <w:rsid w:val="00D20DE1"/>
    <w:rsid w:val="00D21697"/>
    <w:rsid w:val="00D23304"/>
    <w:rsid w:val="00D235DE"/>
    <w:rsid w:val="00D23779"/>
    <w:rsid w:val="00D25F5E"/>
    <w:rsid w:val="00D25FE2"/>
    <w:rsid w:val="00D26CAB"/>
    <w:rsid w:val="00D2753F"/>
    <w:rsid w:val="00D27C39"/>
    <w:rsid w:val="00D27EFB"/>
    <w:rsid w:val="00D33184"/>
    <w:rsid w:val="00D33490"/>
    <w:rsid w:val="00D3364A"/>
    <w:rsid w:val="00D354CC"/>
    <w:rsid w:val="00D357EA"/>
    <w:rsid w:val="00D35CD0"/>
    <w:rsid w:val="00D40513"/>
    <w:rsid w:val="00D40EDB"/>
    <w:rsid w:val="00D412D3"/>
    <w:rsid w:val="00D4227B"/>
    <w:rsid w:val="00D43252"/>
    <w:rsid w:val="00D435DD"/>
    <w:rsid w:val="00D445D1"/>
    <w:rsid w:val="00D44E50"/>
    <w:rsid w:val="00D47706"/>
    <w:rsid w:val="00D47EEA"/>
    <w:rsid w:val="00D47F9A"/>
    <w:rsid w:val="00D518B5"/>
    <w:rsid w:val="00D51CB6"/>
    <w:rsid w:val="00D550F5"/>
    <w:rsid w:val="00D57212"/>
    <w:rsid w:val="00D60A89"/>
    <w:rsid w:val="00D62448"/>
    <w:rsid w:val="00D631D6"/>
    <w:rsid w:val="00D63F7D"/>
    <w:rsid w:val="00D6469B"/>
    <w:rsid w:val="00D65037"/>
    <w:rsid w:val="00D65CC1"/>
    <w:rsid w:val="00D67123"/>
    <w:rsid w:val="00D67175"/>
    <w:rsid w:val="00D70588"/>
    <w:rsid w:val="00D70B1C"/>
    <w:rsid w:val="00D712CD"/>
    <w:rsid w:val="00D7281D"/>
    <w:rsid w:val="00D74069"/>
    <w:rsid w:val="00D75722"/>
    <w:rsid w:val="00D757FA"/>
    <w:rsid w:val="00D75C67"/>
    <w:rsid w:val="00D7614B"/>
    <w:rsid w:val="00D76978"/>
    <w:rsid w:val="00D77443"/>
    <w:rsid w:val="00D80562"/>
    <w:rsid w:val="00D815BA"/>
    <w:rsid w:val="00D81BFE"/>
    <w:rsid w:val="00D90550"/>
    <w:rsid w:val="00D935BC"/>
    <w:rsid w:val="00D93CC8"/>
    <w:rsid w:val="00D95303"/>
    <w:rsid w:val="00D96F81"/>
    <w:rsid w:val="00D978C6"/>
    <w:rsid w:val="00D97C46"/>
    <w:rsid w:val="00DA0BEF"/>
    <w:rsid w:val="00DA23D8"/>
    <w:rsid w:val="00DA3C1C"/>
    <w:rsid w:val="00DA4441"/>
    <w:rsid w:val="00DA4F24"/>
    <w:rsid w:val="00DA61D6"/>
    <w:rsid w:val="00DA6348"/>
    <w:rsid w:val="00DA68B2"/>
    <w:rsid w:val="00DA724C"/>
    <w:rsid w:val="00DB0A00"/>
    <w:rsid w:val="00DB2D8E"/>
    <w:rsid w:val="00DB3E5C"/>
    <w:rsid w:val="00DB62F8"/>
    <w:rsid w:val="00DB6371"/>
    <w:rsid w:val="00DC0167"/>
    <w:rsid w:val="00DC017C"/>
    <w:rsid w:val="00DC1764"/>
    <w:rsid w:val="00DC2992"/>
    <w:rsid w:val="00DC3118"/>
    <w:rsid w:val="00DC3445"/>
    <w:rsid w:val="00DC3F5A"/>
    <w:rsid w:val="00DC4521"/>
    <w:rsid w:val="00DC5623"/>
    <w:rsid w:val="00DD05FE"/>
    <w:rsid w:val="00DD0FE4"/>
    <w:rsid w:val="00DD267D"/>
    <w:rsid w:val="00DD38A2"/>
    <w:rsid w:val="00DD3978"/>
    <w:rsid w:val="00DD57A3"/>
    <w:rsid w:val="00DE3F65"/>
    <w:rsid w:val="00DE4546"/>
    <w:rsid w:val="00DE4EAC"/>
    <w:rsid w:val="00DE785C"/>
    <w:rsid w:val="00DE78A8"/>
    <w:rsid w:val="00DE7BE1"/>
    <w:rsid w:val="00DE7C10"/>
    <w:rsid w:val="00DE7F2E"/>
    <w:rsid w:val="00DF0FE6"/>
    <w:rsid w:val="00DF16C8"/>
    <w:rsid w:val="00DF1D50"/>
    <w:rsid w:val="00DF2A77"/>
    <w:rsid w:val="00DF32CD"/>
    <w:rsid w:val="00DF364C"/>
    <w:rsid w:val="00DF6118"/>
    <w:rsid w:val="00DF621B"/>
    <w:rsid w:val="00DF67DC"/>
    <w:rsid w:val="00DF6857"/>
    <w:rsid w:val="00DF7D64"/>
    <w:rsid w:val="00DF7FED"/>
    <w:rsid w:val="00E007FB"/>
    <w:rsid w:val="00E00BE6"/>
    <w:rsid w:val="00E0268C"/>
    <w:rsid w:val="00E04440"/>
    <w:rsid w:val="00E04CD2"/>
    <w:rsid w:val="00E058DC"/>
    <w:rsid w:val="00E06299"/>
    <w:rsid w:val="00E06EE2"/>
    <w:rsid w:val="00E0760E"/>
    <w:rsid w:val="00E12C96"/>
    <w:rsid w:val="00E13E9D"/>
    <w:rsid w:val="00E14FE7"/>
    <w:rsid w:val="00E169CC"/>
    <w:rsid w:val="00E17487"/>
    <w:rsid w:val="00E1762F"/>
    <w:rsid w:val="00E17C8E"/>
    <w:rsid w:val="00E2023F"/>
    <w:rsid w:val="00E20E6A"/>
    <w:rsid w:val="00E2245E"/>
    <w:rsid w:val="00E23319"/>
    <w:rsid w:val="00E27346"/>
    <w:rsid w:val="00E3009F"/>
    <w:rsid w:val="00E32250"/>
    <w:rsid w:val="00E32D9C"/>
    <w:rsid w:val="00E32EFC"/>
    <w:rsid w:val="00E331AC"/>
    <w:rsid w:val="00E33941"/>
    <w:rsid w:val="00E33F28"/>
    <w:rsid w:val="00E34F6B"/>
    <w:rsid w:val="00E35532"/>
    <w:rsid w:val="00E36DA2"/>
    <w:rsid w:val="00E36EF3"/>
    <w:rsid w:val="00E373F2"/>
    <w:rsid w:val="00E40A9E"/>
    <w:rsid w:val="00E40D05"/>
    <w:rsid w:val="00E424A2"/>
    <w:rsid w:val="00E43E68"/>
    <w:rsid w:val="00E44CF1"/>
    <w:rsid w:val="00E460AC"/>
    <w:rsid w:val="00E468EF"/>
    <w:rsid w:val="00E47987"/>
    <w:rsid w:val="00E47B1D"/>
    <w:rsid w:val="00E524A6"/>
    <w:rsid w:val="00E535FA"/>
    <w:rsid w:val="00E55059"/>
    <w:rsid w:val="00E55345"/>
    <w:rsid w:val="00E5623F"/>
    <w:rsid w:val="00E5733B"/>
    <w:rsid w:val="00E57519"/>
    <w:rsid w:val="00E60462"/>
    <w:rsid w:val="00E60471"/>
    <w:rsid w:val="00E60960"/>
    <w:rsid w:val="00E60E80"/>
    <w:rsid w:val="00E61E38"/>
    <w:rsid w:val="00E63F84"/>
    <w:rsid w:val="00E649D4"/>
    <w:rsid w:val="00E65163"/>
    <w:rsid w:val="00E70CE5"/>
    <w:rsid w:val="00E7170F"/>
    <w:rsid w:val="00E71BC8"/>
    <w:rsid w:val="00E71EA7"/>
    <w:rsid w:val="00E7251C"/>
    <w:rsid w:val="00E7260F"/>
    <w:rsid w:val="00E73E1A"/>
    <w:rsid w:val="00E760E8"/>
    <w:rsid w:val="00E76845"/>
    <w:rsid w:val="00E7799B"/>
    <w:rsid w:val="00E77A4E"/>
    <w:rsid w:val="00E80235"/>
    <w:rsid w:val="00E80843"/>
    <w:rsid w:val="00E81380"/>
    <w:rsid w:val="00E81898"/>
    <w:rsid w:val="00E81ED2"/>
    <w:rsid w:val="00E82E73"/>
    <w:rsid w:val="00E838B5"/>
    <w:rsid w:val="00E84809"/>
    <w:rsid w:val="00E87778"/>
    <w:rsid w:val="00E90B41"/>
    <w:rsid w:val="00E911C9"/>
    <w:rsid w:val="00E926F4"/>
    <w:rsid w:val="00E92929"/>
    <w:rsid w:val="00E9312A"/>
    <w:rsid w:val="00E94A69"/>
    <w:rsid w:val="00E952E9"/>
    <w:rsid w:val="00E95CEB"/>
    <w:rsid w:val="00E96630"/>
    <w:rsid w:val="00E96A16"/>
    <w:rsid w:val="00E97BE3"/>
    <w:rsid w:val="00EA21B0"/>
    <w:rsid w:val="00EA308F"/>
    <w:rsid w:val="00EA34F6"/>
    <w:rsid w:val="00EA3BDB"/>
    <w:rsid w:val="00EA3C5D"/>
    <w:rsid w:val="00EA416E"/>
    <w:rsid w:val="00EA6949"/>
    <w:rsid w:val="00EA78A7"/>
    <w:rsid w:val="00EA7E7C"/>
    <w:rsid w:val="00EB0398"/>
    <w:rsid w:val="00EB0D0E"/>
    <w:rsid w:val="00EB20A9"/>
    <w:rsid w:val="00EB2FDD"/>
    <w:rsid w:val="00EB45D0"/>
    <w:rsid w:val="00EB4B37"/>
    <w:rsid w:val="00EC23CA"/>
    <w:rsid w:val="00EC23D2"/>
    <w:rsid w:val="00EC2EE4"/>
    <w:rsid w:val="00EC310E"/>
    <w:rsid w:val="00EC5BA2"/>
    <w:rsid w:val="00EC6305"/>
    <w:rsid w:val="00EC6964"/>
    <w:rsid w:val="00EC7ABC"/>
    <w:rsid w:val="00EC7E8E"/>
    <w:rsid w:val="00ED0B7D"/>
    <w:rsid w:val="00ED19DD"/>
    <w:rsid w:val="00ED1A2B"/>
    <w:rsid w:val="00ED2DB1"/>
    <w:rsid w:val="00ED2FDF"/>
    <w:rsid w:val="00ED3A05"/>
    <w:rsid w:val="00ED588B"/>
    <w:rsid w:val="00ED7A2A"/>
    <w:rsid w:val="00ED7D55"/>
    <w:rsid w:val="00EE0A9E"/>
    <w:rsid w:val="00EE17A8"/>
    <w:rsid w:val="00EE5835"/>
    <w:rsid w:val="00EE60CF"/>
    <w:rsid w:val="00EE6444"/>
    <w:rsid w:val="00EF013A"/>
    <w:rsid w:val="00EF06FB"/>
    <w:rsid w:val="00EF0D97"/>
    <w:rsid w:val="00EF1B0A"/>
    <w:rsid w:val="00EF1D7F"/>
    <w:rsid w:val="00EF2824"/>
    <w:rsid w:val="00EF3A4D"/>
    <w:rsid w:val="00EF3C43"/>
    <w:rsid w:val="00EF432D"/>
    <w:rsid w:val="00EF5E06"/>
    <w:rsid w:val="00EF6863"/>
    <w:rsid w:val="00F004C8"/>
    <w:rsid w:val="00F00612"/>
    <w:rsid w:val="00F0085C"/>
    <w:rsid w:val="00F00B2C"/>
    <w:rsid w:val="00F00CCE"/>
    <w:rsid w:val="00F033E7"/>
    <w:rsid w:val="00F04491"/>
    <w:rsid w:val="00F05A06"/>
    <w:rsid w:val="00F063B0"/>
    <w:rsid w:val="00F0751B"/>
    <w:rsid w:val="00F11449"/>
    <w:rsid w:val="00F11BF8"/>
    <w:rsid w:val="00F128F8"/>
    <w:rsid w:val="00F150D5"/>
    <w:rsid w:val="00F15ED5"/>
    <w:rsid w:val="00F164D6"/>
    <w:rsid w:val="00F16990"/>
    <w:rsid w:val="00F16DB4"/>
    <w:rsid w:val="00F208CF"/>
    <w:rsid w:val="00F2162B"/>
    <w:rsid w:val="00F21A77"/>
    <w:rsid w:val="00F251E2"/>
    <w:rsid w:val="00F258EE"/>
    <w:rsid w:val="00F258FF"/>
    <w:rsid w:val="00F25E82"/>
    <w:rsid w:val="00F25EF8"/>
    <w:rsid w:val="00F27BDB"/>
    <w:rsid w:val="00F30BDD"/>
    <w:rsid w:val="00F31D7A"/>
    <w:rsid w:val="00F327A4"/>
    <w:rsid w:val="00F32ECD"/>
    <w:rsid w:val="00F34539"/>
    <w:rsid w:val="00F34D2A"/>
    <w:rsid w:val="00F35192"/>
    <w:rsid w:val="00F35A01"/>
    <w:rsid w:val="00F35C34"/>
    <w:rsid w:val="00F36C81"/>
    <w:rsid w:val="00F36FA5"/>
    <w:rsid w:val="00F405E4"/>
    <w:rsid w:val="00F4137C"/>
    <w:rsid w:val="00F418E3"/>
    <w:rsid w:val="00F42ACE"/>
    <w:rsid w:val="00F442DC"/>
    <w:rsid w:val="00F445FA"/>
    <w:rsid w:val="00F45BD2"/>
    <w:rsid w:val="00F460E4"/>
    <w:rsid w:val="00F50538"/>
    <w:rsid w:val="00F51E74"/>
    <w:rsid w:val="00F52349"/>
    <w:rsid w:val="00F52EE1"/>
    <w:rsid w:val="00F53BA8"/>
    <w:rsid w:val="00F543E1"/>
    <w:rsid w:val="00F55E32"/>
    <w:rsid w:val="00F568B4"/>
    <w:rsid w:val="00F627C3"/>
    <w:rsid w:val="00F62D2D"/>
    <w:rsid w:val="00F65F74"/>
    <w:rsid w:val="00F66EA8"/>
    <w:rsid w:val="00F70699"/>
    <w:rsid w:val="00F718B1"/>
    <w:rsid w:val="00F71C9B"/>
    <w:rsid w:val="00F7221D"/>
    <w:rsid w:val="00F75D44"/>
    <w:rsid w:val="00F81E92"/>
    <w:rsid w:val="00F86FD1"/>
    <w:rsid w:val="00F877E5"/>
    <w:rsid w:val="00F87A0C"/>
    <w:rsid w:val="00F90EA6"/>
    <w:rsid w:val="00F91759"/>
    <w:rsid w:val="00F92963"/>
    <w:rsid w:val="00F92FC2"/>
    <w:rsid w:val="00F93781"/>
    <w:rsid w:val="00F95847"/>
    <w:rsid w:val="00F96457"/>
    <w:rsid w:val="00FA0252"/>
    <w:rsid w:val="00FA29A0"/>
    <w:rsid w:val="00FA29A5"/>
    <w:rsid w:val="00FA5869"/>
    <w:rsid w:val="00FA6385"/>
    <w:rsid w:val="00FA6CDF"/>
    <w:rsid w:val="00FA7CCD"/>
    <w:rsid w:val="00FB08BC"/>
    <w:rsid w:val="00FB1447"/>
    <w:rsid w:val="00FB161D"/>
    <w:rsid w:val="00FB20E9"/>
    <w:rsid w:val="00FB2E68"/>
    <w:rsid w:val="00FB30EE"/>
    <w:rsid w:val="00FB3A46"/>
    <w:rsid w:val="00FB5CF8"/>
    <w:rsid w:val="00FB613B"/>
    <w:rsid w:val="00FB62CC"/>
    <w:rsid w:val="00FB65BD"/>
    <w:rsid w:val="00FC1148"/>
    <w:rsid w:val="00FC26CE"/>
    <w:rsid w:val="00FC2817"/>
    <w:rsid w:val="00FC2A80"/>
    <w:rsid w:val="00FC60EA"/>
    <w:rsid w:val="00FC68B7"/>
    <w:rsid w:val="00FD0878"/>
    <w:rsid w:val="00FD162E"/>
    <w:rsid w:val="00FD318B"/>
    <w:rsid w:val="00FD3981"/>
    <w:rsid w:val="00FD4293"/>
    <w:rsid w:val="00FD46E0"/>
    <w:rsid w:val="00FD66B8"/>
    <w:rsid w:val="00FD78B4"/>
    <w:rsid w:val="00FE006F"/>
    <w:rsid w:val="00FE009E"/>
    <w:rsid w:val="00FE106A"/>
    <w:rsid w:val="00FE122A"/>
    <w:rsid w:val="00FE50BE"/>
    <w:rsid w:val="00FE5191"/>
    <w:rsid w:val="00FE7842"/>
    <w:rsid w:val="00FF0CCB"/>
    <w:rsid w:val="00FF1862"/>
    <w:rsid w:val="00FF1995"/>
    <w:rsid w:val="00FF1B8C"/>
    <w:rsid w:val="00FF4B8D"/>
    <w:rsid w:val="00FF4DD2"/>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2C45C2-96BF-4ED5-BF26-544B0C0D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eastAsia="en-US"/>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qFormat/>
    <w:rsid w:val="00C3680D"/>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rsid w:val="00416EAF"/>
    <w:rPr>
      <w:rFonts w:ascii="Times New Roman" w:hAnsi="Times New Roman"/>
      <w:sz w:val="18"/>
      <w:vertAlign w:val="superscript"/>
    </w:rPr>
  </w:style>
  <w:style w:type="character" w:styleId="FootnoteReference">
    <w:name w:val="footnote reference"/>
    <w:aliases w:val="4_G"/>
    <w:qFormat/>
    <w:rsid w:val="00C3680D"/>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link w:val="FooterChar"/>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796FF6"/>
    <w:rPr>
      <w:rFonts w:eastAsia="SimSun"/>
      <w:sz w:val="18"/>
      <w:lang w:eastAsia="zh-CN"/>
    </w:rPr>
  </w:style>
  <w:style w:type="paragraph" w:customStyle="1" w:styleId="Footnote">
    <w:name w:val="Footnote"/>
    <w:basedOn w:val="Normal"/>
    <w:rsid w:val="00823AF6"/>
    <w:pPr>
      <w:tabs>
        <w:tab w:val="right" w:pos="2155"/>
      </w:tabs>
      <w:autoSpaceDN w:val="0"/>
      <w:spacing w:line="220" w:lineRule="exact"/>
      <w:ind w:left="1134" w:right="1134" w:hanging="1134"/>
      <w:textAlignment w:val="baseline"/>
    </w:pPr>
    <w:rPr>
      <w:kern w:val="3"/>
      <w:sz w:val="18"/>
      <w:lang w:eastAsia="zh-CN"/>
    </w:rPr>
  </w:style>
  <w:style w:type="paragraph" w:styleId="ListNumber5">
    <w:name w:val="List Number 5"/>
    <w:basedOn w:val="Normal"/>
    <w:rsid w:val="00823AF6"/>
    <w:pPr>
      <w:numPr>
        <w:numId w:val="3"/>
      </w:numPr>
      <w:autoSpaceDN w:val="0"/>
      <w:textAlignment w:val="baseline"/>
    </w:pPr>
    <w:rPr>
      <w:kern w:val="3"/>
      <w:lang w:eastAsia="zh-CN"/>
    </w:rPr>
  </w:style>
  <w:style w:type="numbering" w:customStyle="1" w:styleId="WW8Num1">
    <w:name w:val="WW8Num1"/>
    <w:basedOn w:val="NoList"/>
    <w:rsid w:val="00823AF6"/>
    <w:pPr>
      <w:numPr>
        <w:numId w:val="3"/>
      </w:numPr>
    </w:pPr>
  </w:style>
  <w:style w:type="numbering" w:customStyle="1" w:styleId="WW8Num11">
    <w:name w:val="WW8Num11"/>
    <w:basedOn w:val="NoList"/>
    <w:rsid w:val="00823AF6"/>
  </w:style>
  <w:style w:type="paragraph" w:customStyle="1" w:styleId="Standard">
    <w:name w:val="Standard"/>
    <w:link w:val="StandardChar"/>
    <w:rsid w:val="008F61ED"/>
    <w:pPr>
      <w:suppressAutoHyphens/>
      <w:autoSpaceDN w:val="0"/>
      <w:spacing w:line="240" w:lineRule="atLeast"/>
      <w:textAlignment w:val="baseline"/>
    </w:pPr>
    <w:rPr>
      <w:kern w:val="3"/>
      <w:lang w:eastAsia="zh-CN"/>
    </w:rPr>
  </w:style>
  <w:style w:type="character" w:customStyle="1" w:styleId="StandardChar">
    <w:name w:val="Standard Char"/>
    <w:link w:val="Standard"/>
    <w:rsid w:val="008F61ED"/>
    <w:rPr>
      <w:kern w:val="3"/>
      <w:lang w:eastAsia="zh-CN"/>
    </w:rPr>
  </w:style>
  <w:style w:type="numbering" w:customStyle="1" w:styleId="WW8Num12">
    <w:name w:val="WW8Num12"/>
    <w:basedOn w:val="NoList"/>
    <w:rsid w:val="008F61ED"/>
  </w:style>
  <w:style w:type="numbering" w:customStyle="1" w:styleId="WW8Num13">
    <w:name w:val="WW8Num13"/>
    <w:basedOn w:val="NoList"/>
    <w:rsid w:val="00497928"/>
  </w:style>
  <w:style w:type="numbering" w:customStyle="1" w:styleId="WW8Num14">
    <w:name w:val="WW8Num14"/>
    <w:basedOn w:val="NoList"/>
    <w:rsid w:val="007C04CB"/>
  </w:style>
  <w:style w:type="numbering" w:customStyle="1" w:styleId="WW8Num15">
    <w:name w:val="WW8Num15"/>
    <w:basedOn w:val="NoList"/>
    <w:rsid w:val="007D18C8"/>
  </w:style>
  <w:style w:type="numbering" w:customStyle="1" w:styleId="WW8Num16">
    <w:name w:val="WW8Num16"/>
    <w:basedOn w:val="NoList"/>
    <w:rsid w:val="00F442DC"/>
  </w:style>
  <w:style w:type="paragraph" w:styleId="BalloonText">
    <w:name w:val="Balloon Text"/>
    <w:basedOn w:val="Normal"/>
    <w:link w:val="BalloonTextChar"/>
    <w:rsid w:val="000B1D28"/>
    <w:pPr>
      <w:spacing w:line="240" w:lineRule="auto"/>
    </w:pPr>
    <w:rPr>
      <w:rFonts w:ascii="Tahoma" w:hAnsi="Tahoma" w:cs="Tahoma"/>
      <w:sz w:val="16"/>
      <w:szCs w:val="16"/>
    </w:rPr>
  </w:style>
  <w:style w:type="character" w:customStyle="1" w:styleId="BalloonTextChar">
    <w:name w:val="Balloon Text Char"/>
    <w:link w:val="BalloonText"/>
    <w:rsid w:val="000B1D28"/>
    <w:rPr>
      <w:rFonts w:ascii="Tahoma" w:hAnsi="Tahoma" w:cs="Tahoma"/>
      <w:sz w:val="16"/>
      <w:szCs w:val="16"/>
      <w:lang w:eastAsia="en-US"/>
    </w:rPr>
  </w:style>
  <w:style w:type="paragraph" w:customStyle="1" w:styleId="ColorfulList-Accent11">
    <w:name w:val="Colorful List - Accent 11"/>
    <w:basedOn w:val="Normal"/>
    <w:uiPriority w:val="34"/>
    <w:qFormat/>
    <w:rsid w:val="00541F18"/>
    <w:pPr>
      <w:ind w:left="720"/>
      <w:contextualSpacing/>
    </w:pPr>
  </w:style>
  <w:style w:type="paragraph" w:customStyle="1" w:styleId="MediumGrid21">
    <w:name w:val="Medium Grid 21"/>
    <w:uiPriority w:val="1"/>
    <w:qFormat/>
    <w:rsid w:val="004C0373"/>
    <w:rPr>
      <w:rFonts w:ascii="Calibri" w:eastAsia="Calibri" w:hAnsi="Calibri"/>
      <w:sz w:val="22"/>
      <w:szCs w:val="22"/>
      <w:lang w:val="en-US" w:eastAsia="en-US"/>
    </w:rPr>
  </w:style>
  <w:style w:type="paragraph" w:styleId="NormalWeb">
    <w:name w:val="Normal (Web)"/>
    <w:basedOn w:val="Normal"/>
    <w:rsid w:val="007A5D8F"/>
    <w:rPr>
      <w:sz w:val="24"/>
      <w:szCs w:val="24"/>
    </w:rPr>
  </w:style>
  <w:style w:type="character" w:styleId="CommentReference">
    <w:name w:val="annotation reference"/>
    <w:rsid w:val="006F2EA0"/>
    <w:rPr>
      <w:sz w:val="16"/>
      <w:szCs w:val="16"/>
    </w:rPr>
  </w:style>
  <w:style w:type="paragraph" w:styleId="CommentText">
    <w:name w:val="annotation text"/>
    <w:basedOn w:val="Normal"/>
    <w:link w:val="CommentTextChar"/>
    <w:rsid w:val="006F2EA0"/>
    <w:pPr>
      <w:spacing w:line="240" w:lineRule="auto"/>
    </w:pPr>
  </w:style>
  <w:style w:type="character" w:customStyle="1" w:styleId="CommentTextChar">
    <w:name w:val="Comment Text Char"/>
    <w:link w:val="CommentText"/>
    <w:rsid w:val="006F2EA0"/>
    <w:rPr>
      <w:lang w:eastAsia="en-US"/>
    </w:rPr>
  </w:style>
  <w:style w:type="paragraph" w:styleId="CommentSubject">
    <w:name w:val="annotation subject"/>
    <w:basedOn w:val="CommentText"/>
    <w:next w:val="CommentText"/>
    <w:link w:val="CommentSubjectChar"/>
    <w:rsid w:val="006F2EA0"/>
    <w:rPr>
      <w:b/>
      <w:bCs/>
    </w:rPr>
  </w:style>
  <w:style w:type="character" w:customStyle="1" w:styleId="CommentSubjectChar">
    <w:name w:val="Comment Subject Char"/>
    <w:link w:val="CommentSubject"/>
    <w:rsid w:val="006F2EA0"/>
    <w:rPr>
      <w:b/>
      <w:bCs/>
      <w:lang w:eastAsia="en-US"/>
    </w:rPr>
  </w:style>
  <w:style w:type="paragraph" w:customStyle="1" w:styleId="Default">
    <w:name w:val="Default"/>
    <w:rsid w:val="006B1052"/>
    <w:pPr>
      <w:autoSpaceDE w:val="0"/>
      <w:autoSpaceDN w:val="0"/>
      <w:adjustRightInd w:val="0"/>
    </w:pPr>
    <w:rPr>
      <w:color w:val="000000"/>
      <w:sz w:val="24"/>
      <w:szCs w:val="24"/>
    </w:rPr>
  </w:style>
  <w:style w:type="character" w:customStyle="1" w:styleId="SingleTxtGChar">
    <w:name w:val="_ Single Txt_G Char"/>
    <w:link w:val="SingleTxtG"/>
    <w:locked/>
    <w:rsid w:val="00626102"/>
    <w:rPr>
      <w:lang w:eastAsia="en-US"/>
    </w:rPr>
  </w:style>
  <w:style w:type="paragraph" w:customStyle="1" w:styleId="ColorfulShading-Accent11">
    <w:name w:val="Colorful Shading - Accent 11"/>
    <w:hidden/>
    <w:uiPriority w:val="99"/>
    <w:rsid w:val="005D4751"/>
    <w:rPr>
      <w:lang w:eastAsia="en-US"/>
    </w:rPr>
  </w:style>
  <w:style w:type="paragraph" w:customStyle="1" w:styleId="SingleTxt">
    <w:name w:val="__Single Txt"/>
    <w:basedOn w:val="Normal"/>
    <w:rsid w:val="00620DD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rFonts w:eastAsia="SimSun"/>
      <w:spacing w:val="4"/>
      <w:w w:val="103"/>
      <w:kern w:val="14"/>
      <w:lang w:eastAsia="zh-CN"/>
    </w:rPr>
  </w:style>
  <w:style w:type="paragraph" w:styleId="NoSpacing">
    <w:name w:val="No Spacing"/>
    <w:uiPriority w:val="1"/>
    <w:qFormat/>
    <w:rsid w:val="002E3A50"/>
    <w:pPr>
      <w:suppressAutoHyphens/>
    </w:pPr>
    <w:rPr>
      <w:lang w:eastAsia="en-US"/>
    </w:rPr>
  </w:style>
  <w:style w:type="paragraph" w:styleId="ListParagraph">
    <w:name w:val="List Paragraph"/>
    <w:basedOn w:val="Normal"/>
    <w:uiPriority w:val="34"/>
    <w:qFormat/>
    <w:rsid w:val="00276D04"/>
    <w:pPr>
      <w:suppressAutoHyphens w:val="0"/>
      <w:spacing w:after="200" w:line="276" w:lineRule="auto"/>
      <w:ind w:left="720"/>
      <w:contextualSpacing/>
    </w:pPr>
    <w:rPr>
      <w:rFonts w:ascii="Calibri" w:eastAsia="Calibri" w:hAnsi="Calibri"/>
      <w:sz w:val="22"/>
      <w:szCs w:val="22"/>
      <w:lang w:val="en-CA"/>
    </w:rPr>
  </w:style>
  <w:style w:type="character" w:customStyle="1" w:styleId="apple-converted-space">
    <w:name w:val="apple-converted-space"/>
    <w:rsid w:val="00F16DB4"/>
  </w:style>
  <w:style w:type="character" w:customStyle="1" w:styleId="FooterChar">
    <w:name w:val="Footer Char"/>
    <w:aliases w:val="3_G Char"/>
    <w:link w:val="Footer"/>
    <w:rsid w:val="00965456"/>
    <w:rPr>
      <w:sz w:val="16"/>
      <w:lang w:eastAsia="en-US"/>
    </w:rPr>
  </w:style>
  <w:style w:type="paragraph" w:styleId="Revision">
    <w:name w:val="Revision"/>
    <w:hidden/>
    <w:uiPriority w:val="99"/>
    <w:semiHidden/>
    <w:rsid w:val="00F75D4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44840">
      <w:bodyDiv w:val="1"/>
      <w:marLeft w:val="0"/>
      <w:marRight w:val="0"/>
      <w:marTop w:val="0"/>
      <w:marBottom w:val="0"/>
      <w:divBdr>
        <w:top w:val="none" w:sz="0" w:space="0" w:color="auto"/>
        <w:left w:val="none" w:sz="0" w:space="0" w:color="auto"/>
        <w:bottom w:val="none" w:sz="0" w:space="0" w:color="auto"/>
        <w:right w:val="none" w:sz="0" w:space="0" w:color="auto"/>
      </w:divBdr>
    </w:div>
    <w:div w:id="1027294734">
      <w:bodyDiv w:val="1"/>
      <w:marLeft w:val="0"/>
      <w:marRight w:val="0"/>
      <w:marTop w:val="0"/>
      <w:marBottom w:val="0"/>
      <w:divBdr>
        <w:top w:val="none" w:sz="0" w:space="0" w:color="auto"/>
        <w:left w:val="none" w:sz="0" w:space="0" w:color="auto"/>
        <w:bottom w:val="none" w:sz="0" w:space="0" w:color="auto"/>
        <w:right w:val="none" w:sz="0" w:space="0" w:color="auto"/>
      </w:divBdr>
    </w:div>
    <w:div w:id="1142120432">
      <w:bodyDiv w:val="1"/>
      <w:marLeft w:val="0"/>
      <w:marRight w:val="0"/>
      <w:marTop w:val="0"/>
      <w:marBottom w:val="0"/>
      <w:divBdr>
        <w:top w:val="none" w:sz="0" w:space="0" w:color="auto"/>
        <w:left w:val="none" w:sz="0" w:space="0" w:color="auto"/>
        <w:bottom w:val="none" w:sz="0" w:space="0" w:color="auto"/>
        <w:right w:val="none" w:sz="0" w:space="0" w:color="auto"/>
      </w:divBdr>
    </w:div>
    <w:div w:id="1383291528">
      <w:bodyDiv w:val="1"/>
      <w:marLeft w:val="0"/>
      <w:marRight w:val="0"/>
      <w:marTop w:val="0"/>
      <w:marBottom w:val="0"/>
      <w:divBdr>
        <w:top w:val="none" w:sz="0" w:space="0" w:color="auto"/>
        <w:left w:val="none" w:sz="0" w:space="0" w:color="auto"/>
        <w:bottom w:val="none" w:sz="0" w:space="0" w:color="auto"/>
        <w:right w:val="none" w:sz="0" w:space="0" w:color="auto"/>
      </w:divBdr>
    </w:div>
    <w:div w:id="1386031839">
      <w:bodyDiv w:val="1"/>
      <w:marLeft w:val="0"/>
      <w:marRight w:val="0"/>
      <w:marTop w:val="0"/>
      <w:marBottom w:val="0"/>
      <w:divBdr>
        <w:top w:val="none" w:sz="0" w:space="0" w:color="auto"/>
        <w:left w:val="none" w:sz="0" w:space="0" w:color="auto"/>
        <w:bottom w:val="none" w:sz="0" w:space="0" w:color="auto"/>
        <w:right w:val="none" w:sz="0" w:space="0" w:color="auto"/>
      </w:divBdr>
      <w:divsChild>
        <w:div w:id="267005714">
          <w:marLeft w:val="0"/>
          <w:marRight w:val="0"/>
          <w:marTop w:val="0"/>
          <w:marBottom w:val="0"/>
          <w:divBdr>
            <w:top w:val="none" w:sz="0" w:space="0" w:color="auto"/>
            <w:left w:val="none" w:sz="0" w:space="0" w:color="auto"/>
            <w:bottom w:val="none" w:sz="0" w:space="0" w:color="auto"/>
            <w:right w:val="none" w:sz="0" w:space="0" w:color="auto"/>
          </w:divBdr>
          <w:divsChild>
            <w:div w:id="1246837381">
              <w:marLeft w:val="0"/>
              <w:marRight w:val="0"/>
              <w:marTop w:val="0"/>
              <w:marBottom w:val="0"/>
              <w:divBdr>
                <w:top w:val="none" w:sz="0" w:space="0" w:color="auto"/>
                <w:left w:val="none" w:sz="0" w:space="0" w:color="auto"/>
                <w:bottom w:val="none" w:sz="0" w:space="0" w:color="auto"/>
                <w:right w:val="none" w:sz="0" w:space="0" w:color="auto"/>
              </w:divBdr>
              <w:divsChild>
                <w:div w:id="659578932">
                  <w:marLeft w:val="0"/>
                  <w:marRight w:val="0"/>
                  <w:marTop w:val="0"/>
                  <w:marBottom w:val="0"/>
                  <w:divBdr>
                    <w:top w:val="none" w:sz="0" w:space="0" w:color="auto"/>
                    <w:left w:val="none" w:sz="0" w:space="0" w:color="auto"/>
                    <w:bottom w:val="none" w:sz="0" w:space="0" w:color="auto"/>
                    <w:right w:val="none" w:sz="0" w:space="0" w:color="auto"/>
                  </w:divBdr>
                  <w:divsChild>
                    <w:div w:id="1125583263">
                      <w:marLeft w:val="0"/>
                      <w:marRight w:val="0"/>
                      <w:marTop w:val="0"/>
                      <w:marBottom w:val="0"/>
                      <w:divBdr>
                        <w:top w:val="none" w:sz="0" w:space="0" w:color="auto"/>
                        <w:left w:val="none" w:sz="0" w:space="0" w:color="auto"/>
                        <w:bottom w:val="none" w:sz="0" w:space="0" w:color="auto"/>
                        <w:right w:val="none" w:sz="0" w:space="0" w:color="auto"/>
                      </w:divBdr>
                      <w:divsChild>
                        <w:div w:id="47187887">
                          <w:marLeft w:val="0"/>
                          <w:marRight w:val="0"/>
                          <w:marTop w:val="0"/>
                          <w:marBottom w:val="0"/>
                          <w:divBdr>
                            <w:top w:val="none" w:sz="0" w:space="0" w:color="auto"/>
                            <w:left w:val="none" w:sz="0" w:space="0" w:color="auto"/>
                            <w:bottom w:val="none" w:sz="0" w:space="0" w:color="auto"/>
                            <w:right w:val="none" w:sz="0" w:space="0" w:color="auto"/>
                          </w:divBdr>
                          <w:divsChild>
                            <w:div w:id="2022588470">
                              <w:marLeft w:val="0"/>
                              <w:marRight w:val="0"/>
                              <w:marTop w:val="0"/>
                              <w:marBottom w:val="0"/>
                              <w:divBdr>
                                <w:top w:val="none" w:sz="0" w:space="0" w:color="auto"/>
                                <w:left w:val="none" w:sz="0" w:space="0" w:color="auto"/>
                                <w:bottom w:val="none" w:sz="0" w:space="0" w:color="auto"/>
                                <w:right w:val="none" w:sz="0" w:space="0" w:color="auto"/>
                              </w:divBdr>
                              <w:divsChild>
                                <w:div w:id="931427366">
                                  <w:marLeft w:val="0"/>
                                  <w:marRight w:val="0"/>
                                  <w:marTop w:val="0"/>
                                  <w:marBottom w:val="0"/>
                                  <w:divBdr>
                                    <w:top w:val="none" w:sz="0" w:space="0" w:color="auto"/>
                                    <w:left w:val="none" w:sz="0" w:space="0" w:color="auto"/>
                                    <w:bottom w:val="none" w:sz="0" w:space="0" w:color="auto"/>
                                    <w:right w:val="none" w:sz="0" w:space="0" w:color="auto"/>
                                  </w:divBdr>
                                  <w:divsChild>
                                    <w:div w:id="182911618">
                                      <w:marLeft w:val="60"/>
                                      <w:marRight w:val="0"/>
                                      <w:marTop w:val="0"/>
                                      <w:marBottom w:val="0"/>
                                      <w:divBdr>
                                        <w:top w:val="none" w:sz="0" w:space="0" w:color="auto"/>
                                        <w:left w:val="none" w:sz="0" w:space="0" w:color="auto"/>
                                        <w:bottom w:val="none" w:sz="0" w:space="0" w:color="auto"/>
                                        <w:right w:val="none" w:sz="0" w:space="0" w:color="auto"/>
                                      </w:divBdr>
                                      <w:divsChild>
                                        <w:div w:id="780951722">
                                          <w:marLeft w:val="0"/>
                                          <w:marRight w:val="0"/>
                                          <w:marTop w:val="0"/>
                                          <w:marBottom w:val="0"/>
                                          <w:divBdr>
                                            <w:top w:val="none" w:sz="0" w:space="0" w:color="auto"/>
                                            <w:left w:val="none" w:sz="0" w:space="0" w:color="auto"/>
                                            <w:bottom w:val="none" w:sz="0" w:space="0" w:color="auto"/>
                                            <w:right w:val="none" w:sz="0" w:space="0" w:color="auto"/>
                                          </w:divBdr>
                                          <w:divsChild>
                                            <w:div w:id="484778998">
                                              <w:marLeft w:val="0"/>
                                              <w:marRight w:val="0"/>
                                              <w:marTop w:val="0"/>
                                              <w:marBottom w:val="120"/>
                                              <w:divBdr>
                                                <w:top w:val="single" w:sz="6" w:space="0" w:color="F5F5F5"/>
                                                <w:left w:val="single" w:sz="6" w:space="0" w:color="F5F5F5"/>
                                                <w:bottom w:val="single" w:sz="6" w:space="0" w:color="F5F5F5"/>
                                                <w:right w:val="single" w:sz="6" w:space="0" w:color="F5F5F5"/>
                                              </w:divBdr>
                                              <w:divsChild>
                                                <w:div w:id="1846480911">
                                                  <w:marLeft w:val="0"/>
                                                  <w:marRight w:val="0"/>
                                                  <w:marTop w:val="0"/>
                                                  <w:marBottom w:val="0"/>
                                                  <w:divBdr>
                                                    <w:top w:val="none" w:sz="0" w:space="0" w:color="auto"/>
                                                    <w:left w:val="none" w:sz="0" w:space="0" w:color="auto"/>
                                                    <w:bottom w:val="none" w:sz="0" w:space="0" w:color="auto"/>
                                                    <w:right w:val="none" w:sz="0" w:space="0" w:color="auto"/>
                                                  </w:divBdr>
                                                  <w:divsChild>
                                                    <w:div w:id="18786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944219">
      <w:bodyDiv w:val="1"/>
      <w:marLeft w:val="0"/>
      <w:marRight w:val="0"/>
      <w:marTop w:val="0"/>
      <w:marBottom w:val="0"/>
      <w:divBdr>
        <w:top w:val="none" w:sz="0" w:space="0" w:color="auto"/>
        <w:left w:val="none" w:sz="0" w:space="0" w:color="auto"/>
        <w:bottom w:val="none" w:sz="0" w:space="0" w:color="auto"/>
        <w:right w:val="none" w:sz="0" w:space="0" w:color="auto"/>
      </w:divBdr>
    </w:div>
    <w:div w:id="1842349304">
      <w:bodyDiv w:val="1"/>
      <w:marLeft w:val="0"/>
      <w:marRight w:val="0"/>
      <w:marTop w:val="0"/>
      <w:marBottom w:val="0"/>
      <w:divBdr>
        <w:top w:val="none" w:sz="0" w:space="0" w:color="auto"/>
        <w:left w:val="none" w:sz="0" w:space="0" w:color="auto"/>
        <w:bottom w:val="none" w:sz="0" w:space="0" w:color="auto"/>
        <w:right w:val="none" w:sz="0" w:space="0" w:color="auto"/>
      </w:divBdr>
    </w:div>
    <w:div w:id="193982297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AT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98962-37AE-46CA-8F30-870C9F901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CAT_E</Template>
  <TotalTime>0</TotalTime>
  <Pages>12</Pages>
  <Words>5890</Words>
  <Characters>33578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1615694</vt:lpstr>
    </vt:vector>
  </TitlesOfParts>
  <Company>CSD</Company>
  <LinksUpToDate>false</LinksUpToDate>
  <CharactersWithSpaces>39390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1615694</dc:title>
  <dc:subject>CAT/C/58/D/600/2014</dc:subject>
  <dc:creator>Anne Kawuki</dc:creator>
  <cp:keywords/>
  <dc:description/>
  <cp:lastModifiedBy>Sarah Willig</cp:lastModifiedBy>
  <cp:revision>2</cp:revision>
  <cp:lastPrinted>2016-08-24T10:16:00Z</cp:lastPrinted>
  <dcterms:created xsi:type="dcterms:W3CDTF">2017-04-10T17:39:00Z</dcterms:created>
  <dcterms:modified xsi:type="dcterms:W3CDTF">2017-04-10T17:39:00Z</dcterms:modified>
</cp:coreProperties>
</file>