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B05447" w:rsidP="00E9590B">
            <w:pPr>
              <w:jc w:val="right"/>
            </w:pPr>
            <w:r w:rsidRPr="00B05447">
              <w:rPr>
                <w:sz w:val="40"/>
              </w:rPr>
              <w:t>CCPR</w:t>
            </w:r>
            <w:r w:rsidR="006F5B0A">
              <w:t>/C/1</w:t>
            </w:r>
            <w:r w:rsidR="00C13551">
              <w:t>1</w:t>
            </w:r>
            <w:r w:rsidR="006F5B0A">
              <w:t>0</w:t>
            </w:r>
            <w:r>
              <w:t>/D/1885/2009</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2E70A5"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267F5F" w:rsidRDefault="00B56E9C" w:rsidP="00267F5F">
            <w:pPr>
              <w:spacing w:before="120" w:line="380" w:lineRule="exact"/>
              <w:rPr>
                <w:sz w:val="34"/>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tc>
        <w:tc>
          <w:tcPr>
            <w:tcW w:w="2835" w:type="dxa"/>
            <w:tcBorders>
              <w:top w:val="single" w:sz="4" w:space="0" w:color="auto"/>
              <w:bottom w:val="single" w:sz="12" w:space="0" w:color="auto"/>
            </w:tcBorders>
          </w:tcPr>
          <w:p w:rsidR="00B56E9C" w:rsidRDefault="00B05447" w:rsidP="00B05447">
            <w:pPr>
              <w:spacing w:before="240" w:line="240" w:lineRule="exact"/>
            </w:pPr>
            <w:r>
              <w:t xml:space="preserve">Distr.: </w:t>
            </w:r>
            <w:r w:rsidR="00BF6CCF">
              <w:t>General</w:t>
            </w:r>
          </w:p>
          <w:p w:rsidR="00B05447" w:rsidRDefault="00B52284" w:rsidP="00BD79A4">
            <w:pPr>
              <w:spacing w:line="240" w:lineRule="exact"/>
            </w:pPr>
            <w:r>
              <w:t>5</w:t>
            </w:r>
            <w:r w:rsidR="005A1EF6">
              <w:t xml:space="preserve"> </w:t>
            </w:r>
            <w:r w:rsidR="00BD79A4">
              <w:t>June</w:t>
            </w:r>
            <w:r w:rsidR="00B05447">
              <w:t xml:space="preserve"> 201</w:t>
            </w:r>
            <w:r w:rsidR="005A1EF6">
              <w:t>4</w:t>
            </w:r>
          </w:p>
          <w:p w:rsidR="00B05447" w:rsidRDefault="00B05447" w:rsidP="00B05447">
            <w:pPr>
              <w:spacing w:line="240" w:lineRule="exact"/>
            </w:pPr>
          </w:p>
          <w:p w:rsidR="00B05447" w:rsidRDefault="00B05447" w:rsidP="00B05447">
            <w:pPr>
              <w:spacing w:line="240" w:lineRule="exact"/>
            </w:pPr>
            <w:r>
              <w:t>Original: English</w:t>
            </w:r>
          </w:p>
          <w:p w:rsidR="00E9590B" w:rsidRDefault="00E9590B" w:rsidP="00B05447">
            <w:pPr>
              <w:spacing w:line="240" w:lineRule="exact"/>
            </w:pPr>
          </w:p>
          <w:p w:rsidR="00E9590B" w:rsidRPr="00E9590B" w:rsidRDefault="00E9590B" w:rsidP="00B05447">
            <w:pPr>
              <w:spacing w:line="240" w:lineRule="exact"/>
              <w:rPr>
                <w:b/>
              </w:rPr>
            </w:pPr>
          </w:p>
        </w:tc>
      </w:tr>
    </w:tbl>
    <w:p w:rsidR="00CA435D" w:rsidRPr="00B05447" w:rsidRDefault="00B05447" w:rsidP="00B05447">
      <w:pPr>
        <w:spacing w:before="120"/>
        <w:rPr>
          <w:b/>
          <w:sz w:val="24"/>
          <w:szCs w:val="24"/>
          <w:lang w:val="en-US"/>
        </w:rPr>
      </w:pPr>
      <w:r w:rsidRPr="00B05447">
        <w:rPr>
          <w:b/>
          <w:sz w:val="24"/>
          <w:szCs w:val="24"/>
          <w:lang w:val="en-US"/>
        </w:rPr>
        <w:t>Human Rights Committee</w:t>
      </w:r>
    </w:p>
    <w:p w:rsidR="00B05447" w:rsidRPr="00B05447" w:rsidRDefault="00B05447" w:rsidP="00B05447">
      <w:pPr>
        <w:pStyle w:val="HChG"/>
      </w:pPr>
      <w:r w:rsidRPr="00B05447">
        <w:tab/>
      </w:r>
      <w:r w:rsidRPr="00B05447">
        <w:tab/>
        <w:t>Communication No. 1885/2009</w:t>
      </w:r>
    </w:p>
    <w:p w:rsidR="00B05447" w:rsidRPr="00B05447" w:rsidRDefault="00B05447" w:rsidP="00CE2D12">
      <w:pPr>
        <w:pStyle w:val="H1G"/>
      </w:pPr>
      <w:r>
        <w:tab/>
      </w:r>
      <w:r>
        <w:tab/>
      </w:r>
      <w:r w:rsidR="00E9590B">
        <w:t xml:space="preserve">Views adopted by the Committee at its 110th session </w:t>
      </w:r>
      <w:r w:rsidR="00E9590B">
        <w:br/>
        <w:t>(10</w:t>
      </w:r>
      <w:r w:rsidR="00CE2D12" w:rsidRPr="006E7FBD">
        <w:t>–</w:t>
      </w:r>
      <w:r w:rsidR="00E9590B">
        <w:t>28 March 2014)</w:t>
      </w:r>
    </w:p>
    <w:p w:rsidR="00B05447" w:rsidRPr="00B05447" w:rsidRDefault="002E70A5" w:rsidP="00C302A4">
      <w:pPr>
        <w:pStyle w:val="SingleTxtG"/>
        <w:ind w:left="4536" w:hanging="3402"/>
        <w:jc w:val="left"/>
      </w:pPr>
      <w:r>
        <w:rPr>
          <w:i/>
          <w:noProof/>
          <w:lang w:val="en-US"/>
        </w:rPr>
        <w:pict>
          <v:shape id="_x0000_s1027" type="#_x0000_t75" style="position:absolute;left:0;text-align:left;margin-left:432.55pt;margin-top:623.6pt;width:50.25pt;height:50.25pt;z-index:1;mso-position-horizontal-relative:margin;mso-position-vertical-relative:margin" o:allowoverlap="f">
            <v:imagedata r:id="rId8" o:title="2009&amp;Size=2 &amp;Lang=E"/>
            <w10:wrap anchorx="margin" anchory="margin"/>
          </v:shape>
        </w:pict>
      </w:r>
      <w:r w:rsidR="00B05447" w:rsidRPr="00B05447">
        <w:rPr>
          <w:i/>
        </w:rPr>
        <w:t>Submitted by:</w:t>
      </w:r>
      <w:r w:rsidR="00B05447" w:rsidRPr="00B05447">
        <w:tab/>
        <w:t>Corinna Horvat</w:t>
      </w:r>
      <w:r w:rsidR="00C302A4">
        <w:t>h (represented by counsel</w:t>
      </w:r>
      <w:r w:rsidR="006E7FBD">
        <w:t>,</w:t>
      </w:r>
      <w:r w:rsidR="00C302A4">
        <w:t xml:space="preserve"> Tamar </w:t>
      </w:r>
      <w:r w:rsidR="005B6DCF" w:rsidRPr="00B05447">
        <w:t>Hopkins)</w:t>
      </w:r>
    </w:p>
    <w:p w:rsidR="00B05447" w:rsidRPr="00B05447" w:rsidRDefault="00B05447" w:rsidP="00C302A4">
      <w:pPr>
        <w:pStyle w:val="SingleTxtG"/>
        <w:ind w:left="4536" w:hanging="3402"/>
        <w:jc w:val="left"/>
      </w:pPr>
      <w:r w:rsidRPr="00B05447">
        <w:rPr>
          <w:i/>
        </w:rPr>
        <w:t>Alleged victim:</w:t>
      </w:r>
      <w:r w:rsidRPr="00B05447">
        <w:tab/>
        <w:t>The author</w:t>
      </w:r>
    </w:p>
    <w:p w:rsidR="00B05447" w:rsidRPr="00B05447" w:rsidRDefault="00B05447" w:rsidP="00C302A4">
      <w:pPr>
        <w:pStyle w:val="SingleTxtG"/>
        <w:ind w:left="4536" w:hanging="3402"/>
        <w:jc w:val="left"/>
      </w:pPr>
      <w:r w:rsidRPr="00B05447">
        <w:rPr>
          <w:i/>
        </w:rPr>
        <w:t>State party:</w:t>
      </w:r>
      <w:r w:rsidRPr="00B05447">
        <w:tab/>
      </w:r>
      <w:smartTag w:uri="urn:schemas-microsoft-com:office:smarttags" w:element="place">
        <w:smartTag w:uri="urn:schemas-microsoft-com:office:smarttags" w:element="country-region">
          <w:r w:rsidRPr="00B05447">
            <w:t>Australia</w:t>
          </w:r>
        </w:smartTag>
      </w:smartTag>
    </w:p>
    <w:p w:rsidR="00B05447" w:rsidRPr="00B05447" w:rsidRDefault="00B05447" w:rsidP="00C302A4">
      <w:pPr>
        <w:pStyle w:val="SingleTxtG"/>
        <w:ind w:left="4536" w:hanging="3402"/>
        <w:jc w:val="left"/>
      </w:pPr>
      <w:r w:rsidRPr="00B05447">
        <w:rPr>
          <w:i/>
        </w:rPr>
        <w:t>Date of communication:</w:t>
      </w:r>
      <w:r w:rsidRPr="00B05447">
        <w:tab/>
        <w:t>19 August 2008 (initial submission)</w:t>
      </w:r>
    </w:p>
    <w:p w:rsidR="00B05447" w:rsidRPr="00B05447" w:rsidRDefault="00B05447" w:rsidP="00C302A4">
      <w:pPr>
        <w:pStyle w:val="SingleTxtG"/>
        <w:ind w:left="4536" w:hanging="3402"/>
        <w:jc w:val="left"/>
      </w:pPr>
      <w:r w:rsidRPr="00B05447">
        <w:rPr>
          <w:i/>
        </w:rPr>
        <w:t>Document references:</w:t>
      </w:r>
      <w:r w:rsidRPr="00B05447">
        <w:tab/>
        <w:t>Special Rapporteur’s rule 97 decision, transmitted to the State party on 13 July 2009 (not issued in document form)</w:t>
      </w:r>
    </w:p>
    <w:p w:rsidR="00B05447" w:rsidRPr="00B05447" w:rsidRDefault="00B05447" w:rsidP="00C302A4">
      <w:pPr>
        <w:pStyle w:val="SingleTxtG"/>
        <w:ind w:left="4536" w:hanging="3402"/>
        <w:jc w:val="left"/>
      </w:pPr>
      <w:r w:rsidRPr="00B05447">
        <w:rPr>
          <w:i/>
        </w:rPr>
        <w:t>Date of adoption of Views:</w:t>
      </w:r>
      <w:r w:rsidRPr="00B05447">
        <w:tab/>
      </w:r>
      <w:r w:rsidR="00E9590B">
        <w:t>27</w:t>
      </w:r>
      <w:r w:rsidR="00E9590B" w:rsidRPr="00B05447">
        <w:t xml:space="preserve"> </w:t>
      </w:r>
      <w:r w:rsidR="00C13551">
        <w:t>March</w:t>
      </w:r>
      <w:r w:rsidRPr="00B05447">
        <w:t xml:space="preserve"> 201</w:t>
      </w:r>
      <w:r w:rsidR="00C13551">
        <w:t>4</w:t>
      </w:r>
    </w:p>
    <w:p w:rsidR="00B05447" w:rsidRPr="00B05447" w:rsidRDefault="00B05447" w:rsidP="00E0072B">
      <w:pPr>
        <w:pStyle w:val="SingleTxtG"/>
        <w:tabs>
          <w:tab w:val="left" w:pos="4536"/>
        </w:tabs>
        <w:ind w:left="4536" w:hanging="3402"/>
        <w:jc w:val="left"/>
      </w:pPr>
      <w:r w:rsidRPr="00B05447">
        <w:rPr>
          <w:i/>
          <w:iCs/>
        </w:rPr>
        <w:t>Subject matter:</w:t>
      </w:r>
      <w:r w:rsidRPr="00B05447">
        <w:rPr>
          <w:iCs/>
        </w:rPr>
        <w:t xml:space="preserve"> </w:t>
      </w:r>
      <w:r w:rsidR="0069455E">
        <w:rPr>
          <w:iCs/>
        </w:rPr>
        <w:tab/>
      </w:r>
      <w:r w:rsidRPr="00B05447">
        <w:rPr>
          <w:iCs/>
        </w:rPr>
        <w:t>Non</w:t>
      </w:r>
      <w:r w:rsidR="00E0072B">
        <w:rPr>
          <w:iCs/>
        </w:rPr>
        <w:t>-</w:t>
      </w:r>
      <w:r w:rsidRPr="00B05447">
        <w:rPr>
          <w:iCs/>
        </w:rPr>
        <w:t>enforcement of judg</w:t>
      </w:r>
      <w:r w:rsidR="00E0072B">
        <w:rPr>
          <w:iCs/>
        </w:rPr>
        <w:t>e</w:t>
      </w:r>
      <w:r w:rsidRPr="00B05447">
        <w:rPr>
          <w:iCs/>
        </w:rPr>
        <w:t>ment providing compensation</w:t>
      </w:r>
      <w:r w:rsidR="00E01128">
        <w:rPr>
          <w:iCs/>
        </w:rPr>
        <w:t xml:space="preserve"> for police misconduct</w:t>
      </w:r>
    </w:p>
    <w:p w:rsidR="00B05447" w:rsidRPr="00B05447" w:rsidRDefault="00B05447" w:rsidP="004F6324">
      <w:pPr>
        <w:pStyle w:val="SingleTxtG"/>
        <w:ind w:left="4536" w:hanging="3402"/>
        <w:jc w:val="left"/>
      </w:pPr>
      <w:r w:rsidRPr="00B05447">
        <w:rPr>
          <w:i/>
          <w:iCs/>
        </w:rPr>
        <w:t xml:space="preserve">Substantive issue: </w:t>
      </w:r>
      <w:r w:rsidR="0069455E">
        <w:rPr>
          <w:i/>
          <w:iCs/>
        </w:rPr>
        <w:tab/>
      </w:r>
      <w:r w:rsidRPr="00B05447">
        <w:rPr>
          <w:iCs/>
        </w:rPr>
        <w:t>Right to an effective remedy</w:t>
      </w:r>
    </w:p>
    <w:p w:rsidR="00B05447" w:rsidRPr="00B05447" w:rsidRDefault="00B05447" w:rsidP="004F6324">
      <w:pPr>
        <w:pStyle w:val="SingleTxtG"/>
        <w:ind w:left="4536" w:hanging="3402"/>
        <w:jc w:val="left"/>
      </w:pPr>
      <w:r w:rsidRPr="00B05447">
        <w:rPr>
          <w:i/>
          <w:iCs/>
        </w:rPr>
        <w:t xml:space="preserve">Procedural issue: </w:t>
      </w:r>
      <w:r w:rsidR="0069455E">
        <w:rPr>
          <w:i/>
          <w:iCs/>
        </w:rPr>
        <w:tab/>
      </w:r>
      <w:r w:rsidRPr="00B05447">
        <w:rPr>
          <w:iCs/>
        </w:rPr>
        <w:t>Non-exhaustion of domestic remedies</w:t>
      </w:r>
    </w:p>
    <w:p w:rsidR="00B05447" w:rsidRPr="00983D99" w:rsidRDefault="00B05447" w:rsidP="00983D99">
      <w:pPr>
        <w:pStyle w:val="SingleTxtG"/>
        <w:ind w:left="4536" w:hanging="3402"/>
        <w:jc w:val="left"/>
      </w:pPr>
      <w:r w:rsidRPr="00B05447">
        <w:rPr>
          <w:i/>
          <w:iCs/>
        </w:rPr>
        <w:t>Articles of the Covenant:</w:t>
      </w:r>
      <w:r w:rsidRPr="00B05447">
        <w:t xml:space="preserve"> </w:t>
      </w:r>
      <w:r w:rsidR="0069455E">
        <w:tab/>
      </w:r>
      <w:r w:rsidR="00983D99">
        <w:t xml:space="preserve">Articles </w:t>
      </w:r>
      <w:r w:rsidRPr="00983D99">
        <w:t>2</w:t>
      </w:r>
      <w:r w:rsidR="00983D99">
        <w:t xml:space="preserve"> (</w:t>
      </w:r>
      <w:r w:rsidRPr="00983D99">
        <w:t>para</w:t>
      </w:r>
      <w:r w:rsidR="00983D99">
        <w:t>.</w:t>
      </w:r>
      <w:r w:rsidRPr="00983D99">
        <w:t xml:space="preserve"> 3</w:t>
      </w:r>
      <w:r w:rsidR="00983D99">
        <w:t>),</w:t>
      </w:r>
      <w:r w:rsidRPr="00983D99">
        <w:t xml:space="preserve"> 7</w:t>
      </w:r>
      <w:r w:rsidR="00983D99">
        <w:t>,</w:t>
      </w:r>
      <w:r w:rsidR="00C302A4" w:rsidRPr="00983D99">
        <w:t xml:space="preserve"> 9 </w:t>
      </w:r>
      <w:r w:rsidR="00983D99">
        <w:t>(</w:t>
      </w:r>
      <w:r w:rsidR="00C302A4" w:rsidRPr="00983D99">
        <w:t>paras</w:t>
      </w:r>
      <w:r w:rsidR="00983D99">
        <w:t>.</w:t>
      </w:r>
      <w:r w:rsidR="00C302A4" w:rsidRPr="00983D99">
        <w:t xml:space="preserve"> 1 and 5</w:t>
      </w:r>
      <w:r w:rsidR="00983D99">
        <w:t>),</w:t>
      </w:r>
      <w:r w:rsidR="00C302A4" w:rsidRPr="00983D99">
        <w:t xml:space="preserve"> 10</w:t>
      </w:r>
      <w:r w:rsidR="00983D99">
        <w:t xml:space="preserve"> and</w:t>
      </w:r>
      <w:r w:rsidR="00C302A4" w:rsidRPr="00983D99">
        <w:t xml:space="preserve"> 17</w:t>
      </w:r>
    </w:p>
    <w:p w:rsidR="00B05447" w:rsidRPr="00B05447" w:rsidRDefault="00B05447" w:rsidP="004F6324">
      <w:pPr>
        <w:pStyle w:val="SingleTxtG"/>
        <w:ind w:left="4536" w:hanging="3402"/>
        <w:jc w:val="left"/>
      </w:pPr>
      <w:r w:rsidRPr="00983D99">
        <w:rPr>
          <w:i/>
          <w:iCs/>
        </w:rPr>
        <w:t>Article of the Optional Protocol:</w:t>
      </w:r>
      <w:r w:rsidRPr="00983D99">
        <w:rPr>
          <w:iCs/>
        </w:rPr>
        <w:t xml:space="preserve"> </w:t>
      </w:r>
      <w:r w:rsidR="0069455E" w:rsidRPr="00983D99">
        <w:rPr>
          <w:iCs/>
        </w:rPr>
        <w:tab/>
      </w:r>
      <w:r w:rsidR="00983D99">
        <w:t xml:space="preserve">Article </w:t>
      </w:r>
      <w:r w:rsidRPr="00983D99">
        <w:rPr>
          <w:iCs/>
        </w:rPr>
        <w:t xml:space="preserve">5 </w:t>
      </w:r>
      <w:r w:rsidR="00983D99">
        <w:rPr>
          <w:iCs/>
        </w:rPr>
        <w:t>(</w:t>
      </w:r>
      <w:r w:rsidRPr="00983D99">
        <w:rPr>
          <w:iCs/>
        </w:rPr>
        <w:t>para</w:t>
      </w:r>
      <w:r w:rsidR="00983D99">
        <w:rPr>
          <w:iCs/>
        </w:rPr>
        <w:t>.</w:t>
      </w:r>
      <w:r w:rsidRPr="00983D99">
        <w:rPr>
          <w:iCs/>
        </w:rPr>
        <w:t xml:space="preserve"> 2 </w:t>
      </w:r>
      <w:r w:rsidR="001173CE" w:rsidRPr="00983D99">
        <w:rPr>
          <w:iCs/>
        </w:rPr>
        <w:t>(</w:t>
      </w:r>
      <w:r w:rsidRPr="00983D99">
        <w:rPr>
          <w:iCs/>
        </w:rPr>
        <w:t>b)</w:t>
      </w:r>
      <w:r w:rsidR="00983D99">
        <w:rPr>
          <w:iCs/>
        </w:rPr>
        <w:t>)</w:t>
      </w:r>
      <w:r w:rsidR="00756EAA">
        <w:rPr>
          <w:iCs/>
        </w:rPr>
        <w:t xml:space="preserve"> </w:t>
      </w:r>
    </w:p>
    <w:p w:rsidR="00B05447" w:rsidRPr="00B05447" w:rsidRDefault="00C302A4" w:rsidP="00C302A4">
      <w:pPr>
        <w:pStyle w:val="SingleTxtG"/>
        <w:ind w:firstLine="3402"/>
        <w:jc w:val="left"/>
        <w:rPr>
          <w:bCs/>
          <w:iCs/>
        </w:rPr>
      </w:pPr>
      <w:r>
        <w:tab/>
      </w:r>
    </w:p>
    <w:p w:rsidR="00B05447" w:rsidRPr="00B05447" w:rsidRDefault="00B05447" w:rsidP="0069455E">
      <w:pPr>
        <w:pStyle w:val="HChG"/>
      </w:pPr>
      <w:r w:rsidRPr="00B05447">
        <w:br w:type="page"/>
      </w:r>
      <w:r w:rsidRPr="00B05447">
        <w:lastRenderedPageBreak/>
        <w:t>Annex</w:t>
      </w:r>
    </w:p>
    <w:p w:rsidR="00B05447" w:rsidRPr="00B05447" w:rsidRDefault="00B05447" w:rsidP="00756EAA">
      <w:pPr>
        <w:pStyle w:val="HChG"/>
        <w:rPr>
          <w:bCs/>
        </w:rPr>
      </w:pPr>
      <w:r w:rsidRPr="00B05447">
        <w:tab/>
      </w:r>
      <w:r w:rsidRPr="00B05447">
        <w:tab/>
        <w:t xml:space="preserve">Views of the Human Rights Committee under article 5, paragraph 4, of the Optional Protocol to the International Covenant on Civil and Political </w:t>
      </w:r>
      <w:r w:rsidR="00756EAA">
        <w:t>R</w:t>
      </w:r>
      <w:r w:rsidRPr="00B05447">
        <w:t>ights (1</w:t>
      </w:r>
      <w:r w:rsidR="00E01128">
        <w:t>1</w:t>
      </w:r>
      <w:r w:rsidRPr="00B05447">
        <w:t xml:space="preserve">0th </w:t>
      </w:r>
      <w:r w:rsidRPr="00B05447">
        <w:rPr>
          <w:bCs/>
        </w:rPr>
        <w:t>session)</w:t>
      </w:r>
    </w:p>
    <w:p w:rsidR="00B05447" w:rsidRPr="00B05447" w:rsidRDefault="00B05447" w:rsidP="00B05447">
      <w:pPr>
        <w:pStyle w:val="SingleTxtG"/>
        <w:rPr>
          <w:b/>
          <w:bCs/>
        </w:rPr>
      </w:pPr>
      <w:r w:rsidRPr="00B05447">
        <w:t>concerning</w:t>
      </w:r>
    </w:p>
    <w:p w:rsidR="00B05447" w:rsidRPr="00B05447" w:rsidRDefault="00B05447" w:rsidP="0069455E">
      <w:pPr>
        <w:pStyle w:val="H1G"/>
      </w:pPr>
      <w:r w:rsidRPr="00B05447">
        <w:tab/>
      </w:r>
      <w:r w:rsidRPr="00B05447">
        <w:tab/>
        <w:t xml:space="preserve">Communication No. </w:t>
      </w:r>
      <w:r w:rsidR="0069455E">
        <w:t>1885</w:t>
      </w:r>
      <w:r w:rsidRPr="00B05447">
        <w:t>/2009</w:t>
      </w:r>
      <w:r w:rsidR="00E9590B" w:rsidRPr="00C302A4">
        <w:rPr>
          <w:rStyle w:val="FootnoteReference"/>
          <w:b w:val="0"/>
          <w:bCs/>
          <w:sz w:val="20"/>
          <w:vertAlign w:val="baseline"/>
        </w:rPr>
        <w:footnoteReference w:customMarkFollows="1" w:id="2"/>
        <w:t>*</w:t>
      </w:r>
    </w:p>
    <w:p w:rsidR="00B05447" w:rsidRPr="00B05447" w:rsidRDefault="00B05447" w:rsidP="00C9129C">
      <w:pPr>
        <w:pStyle w:val="SingleTxtG"/>
        <w:ind w:left="4536" w:hanging="3402"/>
        <w:jc w:val="left"/>
      </w:pPr>
      <w:r w:rsidRPr="00B05447">
        <w:rPr>
          <w:i/>
        </w:rPr>
        <w:t>Submitted by:</w:t>
      </w:r>
      <w:r w:rsidRPr="00B05447">
        <w:tab/>
        <w:t>Corinna Horvat</w:t>
      </w:r>
      <w:r w:rsidR="00C9129C">
        <w:t>h (represented by counsel</w:t>
      </w:r>
      <w:r w:rsidR="001173CE">
        <w:t>,</w:t>
      </w:r>
      <w:r w:rsidR="00C9129C">
        <w:t xml:space="preserve"> Tamar </w:t>
      </w:r>
      <w:r w:rsidRPr="00B05447">
        <w:t>Hopkins )</w:t>
      </w:r>
    </w:p>
    <w:p w:rsidR="00B05447" w:rsidRPr="00B05447" w:rsidRDefault="00B05447" w:rsidP="00C9129C">
      <w:pPr>
        <w:pStyle w:val="SingleTxtG"/>
        <w:ind w:left="4536" w:hanging="3402"/>
        <w:jc w:val="left"/>
      </w:pPr>
      <w:r w:rsidRPr="00B05447">
        <w:rPr>
          <w:i/>
        </w:rPr>
        <w:t>Alleged victim:</w:t>
      </w:r>
      <w:r w:rsidRPr="00B05447">
        <w:tab/>
        <w:t>The author</w:t>
      </w:r>
    </w:p>
    <w:p w:rsidR="00B05447" w:rsidRPr="00B05447" w:rsidRDefault="00B05447" w:rsidP="00C9129C">
      <w:pPr>
        <w:pStyle w:val="SingleTxtG"/>
        <w:ind w:left="4536" w:hanging="3402"/>
        <w:jc w:val="left"/>
      </w:pPr>
      <w:r w:rsidRPr="00B05447">
        <w:rPr>
          <w:i/>
        </w:rPr>
        <w:t>State party:</w:t>
      </w:r>
      <w:r w:rsidRPr="00B05447">
        <w:tab/>
      </w:r>
      <w:smartTag w:uri="urn:schemas-microsoft-com:office:smarttags" w:element="place">
        <w:smartTag w:uri="urn:schemas-microsoft-com:office:smarttags" w:element="country-region">
          <w:r w:rsidRPr="00B05447">
            <w:t>Australia</w:t>
          </w:r>
        </w:smartTag>
      </w:smartTag>
    </w:p>
    <w:p w:rsidR="00B05447" w:rsidRPr="00B05447" w:rsidRDefault="00B05447" w:rsidP="00C9129C">
      <w:pPr>
        <w:pStyle w:val="SingleTxtG"/>
        <w:ind w:left="4536" w:hanging="3402"/>
        <w:jc w:val="left"/>
      </w:pPr>
      <w:r w:rsidRPr="00B05447">
        <w:rPr>
          <w:i/>
        </w:rPr>
        <w:t>Date of communication:</w:t>
      </w:r>
      <w:r w:rsidRPr="00B05447">
        <w:tab/>
        <w:t>19 August 2008 (initial submission)</w:t>
      </w:r>
    </w:p>
    <w:p w:rsidR="00B05447" w:rsidRPr="00B05447" w:rsidRDefault="00B05447" w:rsidP="00C9129C">
      <w:pPr>
        <w:pStyle w:val="SingleTxtG"/>
        <w:spacing w:before="240"/>
      </w:pPr>
      <w:r w:rsidRPr="00B05447">
        <w:tab/>
      </w:r>
      <w:r w:rsidRPr="00B05447">
        <w:rPr>
          <w:i/>
        </w:rPr>
        <w:t>The Human Rights Committee</w:t>
      </w:r>
      <w:r w:rsidRPr="00B05447">
        <w:t xml:space="preserve">, established under article 28 of the International Covenant on Civil and Political Rights, </w:t>
      </w:r>
    </w:p>
    <w:p w:rsidR="00B05447" w:rsidRPr="00B05447" w:rsidRDefault="00B05447" w:rsidP="00B05447">
      <w:pPr>
        <w:pStyle w:val="SingleTxtG"/>
      </w:pPr>
      <w:r w:rsidRPr="00B05447">
        <w:tab/>
      </w:r>
      <w:r w:rsidRPr="00B05447">
        <w:rPr>
          <w:i/>
        </w:rPr>
        <w:t>Meeting on</w:t>
      </w:r>
      <w:r w:rsidRPr="00B05447">
        <w:t xml:space="preserve"> </w:t>
      </w:r>
      <w:r w:rsidR="00E9590B">
        <w:t>27</w:t>
      </w:r>
      <w:r w:rsidR="00E9590B" w:rsidRPr="00B05447">
        <w:t xml:space="preserve"> </w:t>
      </w:r>
      <w:r w:rsidR="00C13551">
        <w:t>March</w:t>
      </w:r>
      <w:r w:rsidRPr="00B05447">
        <w:t xml:space="preserve"> 201</w:t>
      </w:r>
      <w:r w:rsidR="00C13551">
        <w:t>4</w:t>
      </w:r>
      <w:r w:rsidRPr="00B05447">
        <w:t>,</w:t>
      </w:r>
    </w:p>
    <w:p w:rsidR="00B05447" w:rsidRPr="00B05447" w:rsidRDefault="00B05447" w:rsidP="00E0072B">
      <w:pPr>
        <w:pStyle w:val="SingleTxtG"/>
      </w:pPr>
      <w:r w:rsidRPr="00B05447">
        <w:tab/>
      </w:r>
      <w:r w:rsidRPr="00B05447">
        <w:rPr>
          <w:i/>
        </w:rPr>
        <w:t>Having concluded</w:t>
      </w:r>
      <w:r w:rsidRPr="00B05447">
        <w:t xml:space="preserve"> its consideration of communication No. 1885/2009, submitted to the Human Rights Committee by Corinna Horvath under the Optional Protocol to the International Covenant on Civil and Political Rights,</w:t>
      </w:r>
    </w:p>
    <w:p w:rsidR="00B05447" w:rsidRPr="00B05447" w:rsidRDefault="00B05447" w:rsidP="00B05447">
      <w:pPr>
        <w:pStyle w:val="SingleTxtG"/>
      </w:pPr>
      <w:r w:rsidRPr="00B05447">
        <w:tab/>
      </w:r>
      <w:r w:rsidRPr="00B05447">
        <w:rPr>
          <w:i/>
        </w:rPr>
        <w:t>Having taken into account</w:t>
      </w:r>
      <w:r w:rsidRPr="00B05447">
        <w:t xml:space="preserve"> all written information made available to it by the author of the communication and the State party,</w:t>
      </w:r>
    </w:p>
    <w:p w:rsidR="00B05447" w:rsidRPr="00B05447" w:rsidRDefault="00B05447" w:rsidP="00B05447">
      <w:pPr>
        <w:pStyle w:val="SingleTxtG"/>
        <w:rPr>
          <w:i/>
        </w:rPr>
      </w:pPr>
      <w:r w:rsidRPr="00B05447">
        <w:tab/>
      </w:r>
      <w:r w:rsidRPr="00B05447">
        <w:rPr>
          <w:i/>
        </w:rPr>
        <w:t>Adopts the following:</w:t>
      </w:r>
    </w:p>
    <w:p w:rsidR="00B05447" w:rsidRPr="00B05447" w:rsidRDefault="00B05447" w:rsidP="0069455E">
      <w:pPr>
        <w:pStyle w:val="H1G"/>
      </w:pPr>
      <w:r w:rsidRPr="00B05447">
        <w:tab/>
      </w:r>
      <w:r w:rsidRPr="00B05447">
        <w:tab/>
        <w:t>Views under article 5, paragraph 4, of the Optional Protocol</w:t>
      </w:r>
    </w:p>
    <w:p w:rsidR="00B05447" w:rsidRPr="00B05447" w:rsidRDefault="00B05447" w:rsidP="00983D99">
      <w:pPr>
        <w:pStyle w:val="SingleTxtG"/>
      </w:pPr>
      <w:r w:rsidRPr="00B05447">
        <w:t>1.</w:t>
      </w:r>
      <w:r w:rsidRPr="00B05447">
        <w:tab/>
        <w:t>The author of the communication is</w:t>
      </w:r>
      <w:r w:rsidR="00C9129C">
        <w:t xml:space="preserve"> </w:t>
      </w:r>
      <w:r w:rsidRPr="00B05447">
        <w:t xml:space="preserve">Corinna Horvath, an Australian national. She claims that her rights under articles </w:t>
      </w:r>
      <w:r w:rsidRPr="00983D99">
        <w:t>2</w:t>
      </w:r>
      <w:r w:rsidR="00983D99">
        <w:t>,</w:t>
      </w:r>
      <w:r w:rsidRPr="00983D99">
        <w:t xml:space="preserve"> 7</w:t>
      </w:r>
      <w:r w:rsidR="00983D99">
        <w:t>,</w:t>
      </w:r>
      <w:r w:rsidRPr="00983D99">
        <w:t xml:space="preserve"> 9 </w:t>
      </w:r>
      <w:r w:rsidR="00983D99">
        <w:t>(</w:t>
      </w:r>
      <w:r w:rsidRPr="00983D99">
        <w:t>paras</w:t>
      </w:r>
      <w:r w:rsidR="00983D99">
        <w:t>.</w:t>
      </w:r>
      <w:r w:rsidRPr="00983D99">
        <w:t xml:space="preserve"> 1 and 5</w:t>
      </w:r>
      <w:r w:rsidR="00983D99">
        <w:t>),</w:t>
      </w:r>
      <w:r w:rsidRPr="00983D99">
        <w:t xml:space="preserve"> 10 and 17</w:t>
      </w:r>
      <w:r w:rsidRPr="00B05447">
        <w:t xml:space="preserve"> were violated by </w:t>
      </w:r>
      <w:smartTag w:uri="urn:schemas-microsoft-com:office:smarttags" w:element="place">
        <w:smartTag w:uri="urn:schemas-microsoft-com:office:smarttags" w:element="country-region">
          <w:r w:rsidRPr="00B05447">
            <w:t>Australia</w:t>
          </w:r>
        </w:smartTag>
      </w:smartTag>
      <w:r w:rsidRPr="00B05447">
        <w:t xml:space="preserve">. The author is represented by counsel. </w:t>
      </w:r>
    </w:p>
    <w:p w:rsidR="00B05447" w:rsidRPr="00B05447" w:rsidRDefault="00B05447" w:rsidP="00AD57E6">
      <w:pPr>
        <w:pStyle w:val="H23G"/>
      </w:pPr>
      <w:r w:rsidRPr="00B05447">
        <w:tab/>
      </w:r>
      <w:r w:rsidRPr="00B05447">
        <w:tab/>
        <w:t xml:space="preserve">The facts as </w:t>
      </w:r>
      <w:r w:rsidR="00AD57E6">
        <w:t>submit</w:t>
      </w:r>
      <w:r w:rsidRPr="00B05447">
        <w:t>ted by the author</w:t>
      </w:r>
    </w:p>
    <w:p w:rsidR="00B05447" w:rsidRPr="00B05447" w:rsidRDefault="00B05447" w:rsidP="00B05447">
      <w:pPr>
        <w:pStyle w:val="SingleTxtG"/>
      </w:pPr>
      <w:r w:rsidRPr="00B05447">
        <w:t>2.1</w:t>
      </w:r>
      <w:r w:rsidRPr="00B05447">
        <w:tab/>
        <w:t xml:space="preserve">On 9 March 1996, around 9.40 p.m., two police officers, constables J. and D., arrived at the author’s house in Summerville, State of </w:t>
      </w:r>
      <w:smartTag w:uri="urn:schemas-microsoft-com:office:smarttags" w:element="place">
        <w:smartTag w:uri="urn:schemas-microsoft-com:office:smarttags" w:element="State">
          <w:r w:rsidRPr="00B05447">
            <w:t>Victoria</w:t>
          </w:r>
        </w:smartTag>
      </w:smartTag>
      <w:r w:rsidRPr="00B05447">
        <w:t>, to inspect the author’s car for evidence that it had been recently driven. The constables had issued an unroadworthy certificate the previous day. The author, who was then aged 21,</w:t>
      </w:r>
      <w:r w:rsidR="00C9129C">
        <w:t xml:space="preserve"> </w:t>
      </w:r>
      <w:r w:rsidRPr="00B05447">
        <w:t xml:space="preserve">did not allow the police to </w:t>
      </w:r>
      <w:r w:rsidR="00E01128">
        <w:lastRenderedPageBreak/>
        <w:t>remain on the premises</w:t>
      </w:r>
      <w:r w:rsidRPr="00B05447">
        <w:t xml:space="preserve"> as they had no warrant, and </w:t>
      </w:r>
      <w:r w:rsidR="00E01128">
        <w:t>she and her companion, C.L., used force to make</w:t>
      </w:r>
      <w:r w:rsidRPr="00B05447">
        <w:t xml:space="preserve"> them leave. The police officers called for reinforcements and, at about 10.30 p.m., eight officers arrived at the house stating that they intended to arrest the author</w:t>
      </w:r>
      <w:r w:rsidR="00E01128">
        <w:t xml:space="preserve"> and</w:t>
      </w:r>
      <w:r w:rsidRPr="00B05447">
        <w:t xml:space="preserve"> C.L. for having attacked constables J. and D. </w:t>
      </w:r>
      <w:r w:rsidR="00E01128">
        <w:t>o</w:t>
      </w:r>
      <w:r w:rsidRPr="00B05447">
        <w:t xml:space="preserve">n their first visit and that they did not need a warrant for that. </w:t>
      </w:r>
    </w:p>
    <w:p w:rsidR="00B05447" w:rsidRPr="00B05447" w:rsidRDefault="00B05447" w:rsidP="00CB4175">
      <w:pPr>
        <w:pStyle w:val="SingleTxtG"/>
      </w:pPr>
      <w:r w:rsidRPr="00B05447">
        <w:t>2.2</w:t>
      </w:r>
      <w:r w:rsidRPr="00B05447">
        <w:tab/>
        <w:t>Constable J. kicked the front door open and in so doing</w:t>
      </w:r>
      <w:r w:rsidR="00550EFC">
        <w:t>,</w:t>
      </w:r>
      <w:r w:rsidRPr="00B05447">
        <w:t xml:space="preserve"> struck </w:t>
      </w:r>
      <w:r w:rsidR="00550EFC" w:rsidRPr="00B05447">
        <w:t xml:space="preserve">on the face </w:t>
      </w:r>
      <w:r w:rsidRPr="00B05447">
        <w:t xml:space="preserve">D.K., one of </w:t>
      </w:r>
      <w:r w:rsidR="00E01128">
        <w:t>a group of</w:t>
      </w:r>
      <w:r w:rsidRPr="00B05447">
        <w:t xml:space="preserve"> friends</w:t>
      </w:r>
      <w:r w:rsidR="00E01128">
        <w:t xml:space="preserve"> who were also present</w:t>
      </w:r>
      <w:r w:rsidRPr="00B05447">
        <w:t xml:space="preserve">, causing </w:t>
      </w:r>
      <w:r w:rsidR="00550EFC">
        <w:t xml:space="preserve">him </w:t>
      </w:r>
      <w:r w:rsidRPr="00B05447">
        <w:t xml:space="preserve">injury. Then, Constable J. brought D.K. to the floor, struck him on the right side of the head and hit him with a baton across his lower back. Constable J. </w:t>
      </w:r>
      <w:r w:rsidR="00AD57E6">
        <w:t xml:space="preserve">then </w:t>
      </w:r>
      <w:r w:rsidRPr="00B05447">
        <w:t>pulled the author to the floor and punched her in the face. With the assistance of another policeman, Constable J. rolled the author over and, despite her bleeding nose, handcuffed her, dragged her out to the</w:t>
      </w:r>
      <w:r w:rsidR="00550EFC">
        <w:t xml:space="preserve"> police</w:t>
      </w:r>
      <w:r w:rsidRPr="00B05447">
        <w:t xml:space="preserve"> van and took her to the police station at </w:t>
      </w:r>
      <w:smartTag w:uri="urn:schemas-microsoft-com:office:smarttags" w:element="place">
        <w:smartTag w:uri="urn:schemas-microsoft-com:office:smarttags" w:element="City">
          <w:r w:rsidRPr="00B05447">
            <w:t>Hastings</w:t>
          </w:r>
        </w:smartTag>
      </w:smartTag>
      <w:r w:rsidRPr="00B05447">
        <w:t xml:space="preserve">. </w:t>
      </w:r>
    </w:p>
    <w:p w:rsidR="00B05447" w:rsidRPr="00B05447" w:rsidRDefault="00B05447" w:rsidP="00381D1C">
      <w:pPr>
        <w:pStyle w:val="SingleTxtG"/>
      </w:pPr>
      <w:r w:rsidRPr="00B05447">
        <w:t>2.3</w:t>
      </w:r>
      <w:r w:rsidRPr="00B05447">
        <w:tab/>
      </w:r>
      <w:r w:rsidR="009A21A5">
        <w:t>T</w:t>
      </w:r>
      <w:r w:rsidRPr="00B05447">
        <w:t xml:space="preserve">he author suffered a fractured nose and other facial injuries, including bruising and a chipped tooth. She also had some bruising, scratches and abrasions to other parts of her body. The police officers handcuffed the author in a manner that </w:t>
      </w:r>
      <w:r w:rsidR="00550EFC">
        <w:t>prevent</w:t>
      </w:r>
      <w:r w:rsidRPr="00B05447">
        <w:t xml:space="preserve">ed her from reducing the pain and blood flow from her nose or otherwise relieving her injuries. </w:t>
      </w:r>
      <w:r w:rsidR="009A21A5">
        <w:t>At the police station</w:t>
      </w:r>
      <w:r w:rsidR="00AD57E6">
        <w:t>,</w:t>
      </w:r>
      <w:r w:rsidR="00C9129C">
        <w:t xml:space="preserve"> </w:t>
      </w:r>
      <w:r w:rsidR="009A21A5">
        <w:t>s</w:t>
      </w:r>
      <w:r w:rsidRPr="00B05447">
        <w:t>he was not provided with immediate medical treatment. Instead, she was left screaming in pain in the cell. She was eventually discovered by a police doctor who contacted her parents</w:t>
      </w:r>
      <w:r w:rsidR="00381D1C">
        <w:t>, who</w:t>
      </w:r>
      <w:r w:rsidRPr="00B05447">
        <w:t xml:space="preserve"> arranged to have her taken by ambulance to </w:t>
      </w:r>
      <w:smartTag w:uri="urn:schemas-microsoft-com:office:smarttags" w:element="place">
        <w:smartTag w:uri="urn:schemas-microsoft-com:office:smarttags" w:element="PlaceName">
          <w:r w:rsidRPr="00B05447">
            <w:t>Frankston</w:t>
          </w:r>
        </w:smartTag>
        <w:r w:rsidRPr="00B05447">
          <w:t xml:space="preserve"> </w:t>
        </w:r>
        <w:smartTag w:uri="urn:schemas-microsoft-com:office:smarttags" w:element="PlaceType">
          <w:r w:rsidRPr="00B05447">
            <w:t>Hospital</w:t>
          </w:r>
        </w:smartTag>
      </w:smartTag>
      <w:r w:rsidRPr="00B05447">
        <w:t>.</w:t>
      </w:r>
      <w:r w:rsidR="00C9129C">
        <w:t xml:space="preserve"> </w:t>
      </w:r>
      <w:r w:rsidRPr="00B05447">
        <w:t>A week</w:t>
      </w:r>
      <w:r w:rsidR="009A21A5">
        <w:t xml:space="preserve"> later</w:t>
      </w:r>
      <w:r w:rsidRPr="00B05447">
        <w:t xml:space="preserve">, she was readmitted </w:t>
      </w:r>
      <w:r w:rsidR="00AD57E6">
        <w:t>to</w:t>
      </w:r>
      <w:r w:rsidRPr="00B05447">
        <w:t xml:space="preserve"> hospital for five days in relation to her nose injury. After some months</w:t>
      </w:r>
      <w:r w:rsidR="00550EFC">
        <w:t>,</w:t>
      </w:r>
      <w:r w:rsidRPr="00B05447">
        <w:t xml:space="preserve"> she recovered from her physical injuries but was left with some </w:t>
      </w:r>
      <w:r w:rsidR="00CB4175" w:rsidRPr="00B05447">
        <w:t xml:space="preserve">scars </w:t>
      </w:r>
      <w:r w:rsidR="00CB4175">
        <w:t xml:space="preserve">on her </w:t>
      </w:r>
      <w:r w:rsidRPr="00B05447">
        <w:t xml:space="preserve">nose and </w:t>
      </w:r>
      <w:r w:rsidR="00550EFC">
        <w:t xml:space="preserve">a </w:t>
      </w:r>
      <w:r w:rsidRPr="00B05447">
        <w:t>possibl</w:t>
      </w:r>
      <w:r w:rsidR="00CB4175">
        <w:t>e</w:t>
      </w:r>
      <w:r w:rsidRPr="00B05447">
        <w:t xml:space="preserve"> aggravation of hay fever. </w:t>
      </w:r>
      <w:r w:rsidR="00BC1DD9">
        <w:t>S</w:t>
      </w:r>
      <w:r w:rsidRPr="00B05447">
        <w:t>he also suffered from anxiety and depression</w:t>
      </w:r>
      <w:r w:rsidR="00AD57E6">
        <w:t>, for</w:t>
      </w:r>
      <w:r w:rsidRPr="00B05447">
        <w:t xml:space="preserve"> which she received treatment. </w:t>
      </w:r>
    </w:p>
    <w:p w:rsidR="00EB7543" w:rsidRDefault="00B05447" w:rsidP="00AD57E6">
      <w:pPr>
        <w:pStyle w:val="SingleTxtG"/>
      </w:pPr>
      <w:r w:rsidRPr="00B05447">
        <w:t>2.4</w:t>
      </w:r>
      <w:r w:rsidRPr="00B05447">
        <w:tab/>
        <w:t xml:space="preserve">On 6 June 1997, the author </w:t>
      </w:r>
      <w:r w:rsidR="004833B4">
        <w:t xml:space="preserve">and three other plaintiffs </w:t>
      </w:r>
      <w:r w:rsidRPr="00B05447">
        <w:t xml:space="preserve">filed proceedings for damages against </w:t>
      </w:r>
      <w:r w:rsidR="0081254A">
        <w:t>four</w:t>
      </w:r>
      <w:r w:rsidRPr="00B05447">
        <w:t xml:space="preserve"> police officers</w:t>
      </w:r>
      <w:r w:rsidR="00240F07">
        <w:t xml:space="preserve"> individually</w:t>
      </w:r>
      <w:r w:rsidRPr="00B05447">
        <w:t>,</w:t>
      </w:r>
      <w:r w:rsidR="00240F07">
        <w:t xml:space="preserve"> and against the State of Victoria</w:t>
      </w:r>
      <w:r w:rsidRPr="00B05447">
        <w:t xml:space="preserve"> under s</w:t>
      </w:r>
      <w:r w:rsidR="00AD57E6">
        <w:t>ection</w:t>
      </w:r>
      <w:r w:rsidRPr="00B05447">
        <w:t xml:space="preserve"> 123 of the </w:t>
      </w:r>
      <w:r w:rsidR="00240F07">
        <w:t>Police Regulation</w:t>
      </w:r>
      <w:r w:rsidRPr="00B05447">
        <w:t xml:space="preserve"> Act 1958 (Vic</w:t>
      </w:r>
      <w:r w:rsidR="00AD57E6">
        <w:t>toria</w:t>
      </w:r>
      <w:r w:rsidRPr="00B05447">
        <w:t xml:space="preserve">), before the County Court of Victoria. On 23 February 2001, Judge Williams of the County Court </w:t>
      </w:r>
      <w:r w:rsidR="00240F07">
        <w:t xml:space="preserve">held </w:t>
      </w:r>
      <w:r w:rsidR="0081254A">
        <w:t>that</w:t>
      </w:r>
      <w:r w:rsidR="00AD57E6">
        <w:t>, with regard to the author,</w:t>
      </w:r>
      <w:r w:rsidR="0081254A">
        <w:t xml:space="preserve"> </w:t>
      </w:r>
      <w:r w:rsidR="00240F07">
        <w:t>Constable J.</w:t>
      </w:r>
      <w:r w:rsidR="0081254A">
        <w:t xml:space="preserve"> was</w:t>
      </w:r>
      <w:r w:rsidR="00240F07">
        <w:t xml:space="preserve"> liable for assault and malicious prosecution; Sergeant C. was liable for negligence; and all four </w:t>
      </w:r>
      <w:r w:rsidR="0081254A">
        <w:t>officers</w:t>
      </w:r>
      <w:r w:rsidR="00240F07">
        <w:t xml:space="preserve"> were jointly liable for</w:t>
      </w:r>
      <w:r w:rsidRPr="00B05447">
        <w:t xml:space="preserve"> trespass, wrongful arrest</w:t>
      </w:r>
      <w:r w:rsidR="00240F07">
        <w:t xml:space="preserve"> and</w:t>
      </w:r>
      <w:r w:rsidRPr="00B05447">
        <w:t xml:space="preserve"> false imprisonment</w:t>
      </w:r>
      <w:r w:rsidR="00240F07">
        <w:t xml:space="preserve">. The officers were also </w:t>
      </w:r>
      <w:r w:rsidR="00CB4175">
        <w:t xml:space="preserve">held to be </w:t>
      </w:r>
      <w:r w:rsidR="00240F07">
        <w:t xml:space="preserve">liable for various similar claims </w:t>
      </w:r>
      <w:r w:rsidR="00AD57E6">
        <w:t>with regard to</w:t>
      </w:r>
      <w:r w:rsidR="00240F07">
        <w:t xml:space="preserve"> C.L. and the two remaining plaintiffs.</w:t>
      </w:r>
      <w:r w:rsidR="00C9129C">
        <w:t xml:space="preserve"> </w:t>
      </w:r>
    </w:p>
    <w:p w:rsidR="00EA13E8" w:rsidRDefault="0037275F" w:rsidP="001F2822">
      <w:pPr>
        <w:pStyle w:val="SingleTxtG"/>
      </w:pPr>
      <w:r>
        <w:t>2.5</w:t>
      </w:r>
      <w:r>
        <w:tab/>
      </w:r>
      <w:r w:rsidR="004833B4">
        <w:t>Judge Williams</w:t>
      </w:r>
      <w:r w:rsidR="00B05447" w:rsidRPr="00B05447">
        <w:t xml:space="preserve"> ordered </w:t>
      </w:r>
      <w:r w:rsidR="004B69A7">
        <w:t xml:space="preserve">the following damages awards: (a) </w:t>
      </w:r>
      <w:r w:rsidR="004B69A7" w:rsidRPr="00983D99">
        <w:t>$</w:t>
      </w:r>
      <w:r w:rsidR="00983D99">
        <w:t>A</w:t>
      </w:r>
      <w:r w:rsidR="00BE3DD6">
        <w:t xml:space="preserve"> </w:t>
      </w:r>
      <w:r w:rsidR="004B69A7" w:rsidRPr="00B05447">
        <w:t xml:space="preserve">120,000 </w:t>
      </w:r>
      <w:r w:rsidR="004B69A7">
        <w:t>for negligence against Sergeant C., transferred to the State; (b) $</w:t>
      </w:r>
      <w:r w:rsidR="00983D99">
        <w:t>A</w:t>
      </w:r>
      <w:r w:rsidR="004B69A7">
        <w:t xml:space="preserve"> 90,000 for assault, against </w:t>
      </w:r>
      <w:r w:rsidR="00B05447" w:rsidRPr="00B05447">
        <w:t>Constable J.</w:t>
      </w:r>
      <w:r w:rsidR="004B69A7">
        <w:t>; (c) $</w:t>
      </w:r>
      <w:r w:rsidR="00983D99">
        <w:t>A</w:t>
      </w:r>
      <w:r w:rsidR="00BE3DD6">
        <w:t xml:space="preserve"> </w:t>
      </w:r>
      <w:r w:rsidR="004B69A7">
        <w:t>30,000 for trespass, wrongful arrest and false imprisonment, against all</w:t>
      </w:r>
      <w:r w:rsidR="001F2822">
        <w:t xml:space="preserve"> the</w:t>
      </w:r>
      <w:r w:rsidR="004B69A7">
        <w:t xml:space="preserve"> defendants, transferred to the State; and (d) $</w:t>
      </w:r>
      <w:r w:rsidR="00983D99">
        <w:t>A</w:t>
      </w:r>
      <w:r w:rsidR="00BE3DD6">
        <w:t xml:space="preserve"> </w:t>
      </w:r>
      <w:r w:rsidR="004B69A7">
        <w:t>30,000 for malicious prosecution</w:t>
      </w:r>
      <w:r w:rsidR="001F2822">
        <w:t>,</w:t>
      </w:r>
      <w:r w:rsidR="004B69A7">
        <w:t xml:space="preserve"> against Constable J. alone. </w:t>
      </w:r>
      <w:r w:rsidR="00681F34">
        <w:t xml:space="preserve">The officers were also held liable for various similar claims </w:t>
      </w:r>
      <w:r w:rsidR="001F2822">
        <w:t xml:space="preserve">in relation </w:t>
      </w:r>
      <w:r w:rsidR="00681F34">
        <w:t>to C.L. and the two remaining plaintiffs.</w:t>
      </w:r>
      <w:r w:rsidR="00681F34">
        <w:rPr>
          <w:rStyle w:val="FootnoteReference"/>
        </w:rPr>
        <w:footnoteReference w:id="3"/>
      </w:r>
    </w:p>
    <w:p w:rsidR="00B05447" w:rsidRPr="00B05447" w:rsidRDefault="0037275F" w:rsidP="00983D99">
      <w:pPr>
        <w:pStyle w:val="SingleTxtG"/>
      </w:pPr>
      <w:r>
        <w:t>2.6</w:t>
      </w:r>
      <w:r>
        <w:tab/>
      </w:r>
      <w:r w:rsidR="00B05447" w:rsidRPr="00B05447">
        <w:t xml:space="preserve">On 9 April 2001, the State of </w:t>
      </w:r>
      <w:smartTag w:uri="urn:schemas-microsoft-com:office:smarttags" w:element="place">
        <w:smartTag w:uri="urn:schemas-microsoft-com:office:smarttags" w:element="State">
          <w:r w:rsidR="00B05447" w:rsidRPr="00B05447">
            <w:t>Victoria</w:t>
          </w:r>
        </w:smartTag>
      </w:smartTag>
      <w:r w:rsidR="00B05447" w:rsidRPr="00B05447">
        <w:t xml:space="preserve"> filed an appeal against Judge Williams’ decision </w:t>
      </w:r>
      <w:r w:rsidR="004F63C6">
        <w:t>regarding</w:t>
      </w:r>
      <w:r w:rsidR="00B05447" w:rsidRPr="00B05447">
        <w:t xml:space="preserve"> its liability for damages. On 7 November 2002, the Court of Appeal overturned Judge Williams’ decision that the State was liable to pay for damages arising from the intentional actions of Constable J. and </w:t>
      </w:r>
      <w:r w:rsidR="00681F34">
        <w:t xml:space="preserve">the negligence of </w:t>
      </w:r>
      <w:r w:rsidR="00B05447" w:rsidRPr="00B05447">
        <w:t>Sergeant C</w:t>
      </w:r>
      <w:r w:rsidR="00B05447" w:rsidRPr="00983D99">
        <w:t>.</w:t>
      </w:r>
      <w:r w:rsidR="00B05447" w:rsidRPr="00B05447">
        <w:t xml:space="preserve"> The Court found that the latter’s negligence was not a cause of the injuries to the author</w:t>
      </w:r>
      <w:r w:rsidR="00474616">
        <w:t>,</w:t>
      </w:r>
      <w:r w:rsidR="00B05447" w:rsidRPr="00B05447">
        <w:t xml:space="preserve"> but rather </w:t>
      </w:r>
      <w:r w:rsidR="00474616">
        <w:t xml:space="preserve">that </w:t>
      </w:r>
      <w:r w:rsidR="00B05447" w:rsidRPr="00B05447">
        <w:t>they were caused by intentional actions that in effect severed the causal chain of liability of Sergeant C. As a consequence, the liability of the officers remained</w:t>
      </w:r>
      <w:r w:rsidR="00BA3983">
        <w:t>,</w:t>
      </w:r>
      <w:r w:rsidR="00B05447" w:rsidRPr="00B05447">
        <w:t xml:space="preserve"> but the liability of the State to pay damages was overturned. The author was awarded damages totalling </w:t>
      </w:r>
      <w:r w:rsidR="00B05447" w:rsidRPr="00983D99">
        <w:t>$</w:t>
      </w:r>
      <w:r w:rsidR="00983D99">
        <w:t>A</w:t>
      </w:r>
      <w:r w:rsidR="00474616">
        <w:t xml:space="preserve"> </w:t>
      </w:r>
      <w:r w:rsidR="00B05447" w:rsidRPr="00B05447">
        <w:t>143,</w:t>
      </w:r>
      <w:r>
        <w:t>525</w:t>
      </w:r>
      <w:r w:rsidR="00B05447" w:rsidRPr="00B05447">
        <w:t xml:space="preserve">. With respect to the claim against the State of </w:t>
      </w:r>
      <w:smartTag w:uri="urn:schemas-microsoft-com:office:smarttags" w:element="place">
        <w:smartTag w:uri="urn:schemas-microsoft-com:office:smarttags" w:element="State">
          <w:r w:rsidR="00B05447" w:rsidRPr="00B05447">
            <w:t>Victoria</w:t>
          </w:r>
        </w:smartTag>
      </w:smartTag>
      <w:r w:rsidR="00474616">
        <w:t>, the author</w:t>
      </w:r>
      <w:r w:rsidR="00B05447" w:rsidRPr="00B05447">
        <w:t xml:space="preserve"> </w:t>
      </w:r>
      <w:r w:rsidR="00B05447" w:rsidRPr="00B05447">
        <w:lastRenderedPageBreak/>
        <w:t xml:space="preserve">sought leave to appeal against the </w:t>
      </w:r>
      <w:r w:rsidR="00E0072B">
        <w:t>judgement</w:t>
      </w:r>
      <w:r w:rsidR="00B05447" w:rsidRPr="00B05447">
        <w:t xml:space="preserve"> of the Court of Appeal in the High Court of Australia, which was refused on 18 June 2004. </w:t>
      </w:r>
    </w:p>
    <w:p w:rsidR="00B05447" w:rsidRPr="00B05447" w:rsidRDefault="00B05447" w:rsidP="00591A42">
      <w:pPr>
        <w:pStyle w:val="SingleTxtG"/>
      </w:pPr>
      <w:r w:rsidRPr="00B05447">
        <w:t>2.</w:t>
      </w:r>
      <w:r w:rsidR="0037275F">
        <w:t>7</w:t>
      </w:r>
      <w:r w:rsidRPr="00B05447">
        <w:tab/>
        <w:t xml:space="preserve">The author filed a complaint to the Ethical Standards Department of Victoria Police. As a result, disciplinary proceedings were </w:t>
      </w:r>
      <w:r w:rsidR="00BA3983">
        <w:t>launched</w:t>
      </w:r>
      <w:r w:rsidRPr="00B05447">
        <w:t xml:space="preserve">, but </w:t>
      </w:r>
      <w:r w:rsidR="00591A42">
        <w:t xml:space="preserve">they </w:t>
      </w:r>
      <w:r w:rsidRPr="00B05447">
        <w:t>were subsequently d</w:t>
      </w:r>
      <w:r w:rsidR="00591A42">
        <w:t>ropp</w:t>
      </w:r>
      <w:r w:rsidRPr="00B05447">
        <w:t xml:space="preserve">ed for lack of evidence, despite the strong </w:t>
      </w:r>
      <w:r w:rsidR="00BA3983">
        <w:t xml:space="preserve">factual </w:t>
      </w:r>
      <w:r w:rsidRPr="00B05447">
        <w:t xml:space="preserve">findings against </w:t>
      </w:r>
      <w:r w:rsidR="00BA3983">
        <w:t xml:space="preserve">the </w:t>
      </w:r>
      <w:r w:rsidRPr="00B05447">
        <w:t xml:space="preserve">police </w:t>
      </w:r>
      <w:r w:rsidR="00BA3983">
        <w:t xml:space="preserve">officers recorded </w:t>
      </w:r>
      <w:r w:rsidRPr="00B05447">
        <w:t xml:space="preserve">during the court proceedings outlined above. The author had no standing in the proceedings and was not called as a witness. </w:t>
      </w:r>
      <w:r w:rsidR="004F63C6">
        <w:t>On 4 August 2004, she</w:t>
      </w:r>
      <w:r w:rsidRPr="00B05447">
        <w:t xml:space="preserve"> made a complaint to the Police Ombudsman which was </w:t>
      </w:r>
      <w:r w:rsidR="004F63C6">
        <w:t xml:space="preserve">then </w:t>
      </w:r>
      <w:r w:rsidRPr="00B05447">
        <w:t xml:space="preserve">transferred to the Office of Police Integrity. </w:t>
      </w:r>
    </w:p>
    <w:p w:rsidR="00B05447" w:rsidRPr="00B05447" w:rsidRDefault="00B05447" w:rsidP="00591A42">
      <w:pPr>
        <w:pStyle w:val="SingleTxtG"/>
      </w:pPr>
      <w:r w:rsidRPr="00B05447">
        <w:t>2.</w:t>
      </w:r>
      <w:r w:rsidR="0037275F">
        <w:t>8</w:t>
      </w:r>
      <w:r w:rsidRPr="00B05447">
        <w:tab/>
        <w:t>At the time the author submitted the communication to the Committee</w:t>
      </w:r>
      <w:r w:rsidR="00BA3983">
        <w:t>,</w:t>
      </w:r>
      <w:r w:rsidRPr="00B05447">
        <w:t xml:space="preserve"> the situation in respect of compensation was as follows: (a) </w:t>
      </w:r>
      <w:r w:rsidR="00AA65AB" w:rsidRPr="00983D99">
        <w:t>s</w:t>
      </w:r>
      <w:r w:rsidRPr="00B05447">
        <w:t xml:space="preserve">he had not received any damages from the individual police officers; (b) </w:t>
      </w:r>
      <w:r w:rsidR="00AA65AB">
        <w:t>s</w:t>
      </w:r>
      <w:r w:rsidRPr="00B05447">
        <w:t xml:space="preserve">he had not received costs to pay her legal team; and (c) </w:t>
      </w:r>
      <w:r w:rsidR="00AA65AB">
        <w:t>t</w:t>
      </w:r>
      <w:r w:rsidRPr="00B05447">
        <w:t xml:space="preserve">he State of Victoria continued to maintain a legal landscape that absolved its liability to compensate victims of intentional human rights abuses. The situation in respect of disciplinary matters was as follows: (a) </w:t>
      </w:r>
      <w:r w:rsidR="00983D99">
        <w:t>a</w:t>
      </w:r>
      <w:r w:rsidRPr="00B05447">
        <w:t xml:space="preserve">ll or most </w:t>
      </w:r>
      <w:r w:rsidR="00591A42">
        <w:t xml:space="preserve">of the </w:t>
      </w:r>
      <w:r w:rsidRPr="00B05447">
        <w:t xml:space="preserve">police involved in the incident remained employed by the State of </w:t>
      </w:r>
      <w:smartTag w:uri="urn:schemas-microsoft-com:office:smarttags" w:element="place">
        <w:smartTag w:uri="urn:schemas-microsoft-com:office:smarttags" w:element="State">
          <w:r w:rsidRPr="00B05447">
            <w:t>Victoria</w:t>
          </w:r>
        </w:smartTag>
      </w:smartTag>
      <w:r w:rsidRPr="00B05447">
        <w:t>, with no disciplinary or criminal action having been successfully taken against any of them, despite Judge Williams’ findings of serious misconduct. None of the occupants of the house w</w:t>
      </w:r>
      <w:r w:rsidR="00591A42">
        <w:t>as</w:t>
      </w:r>
      <w:r w:rsidRPr="00B05447">
        <w:t xml:space="preserve"> </w:t>
      </w:r>
      <w:r w:rsidR="001C3C9C">
        <w:t>consulted</w:t>
      </w:r>
      <w:r w:rsidRPr="00B05447">
        <w:t xml:space="preserve"> by police investigators from </w:t>
      </w:r>
      <w:r w:rsidR="00AA65AB">
        <w:t xml:space="preserve">the </w:t>
      </w:r>
      <w:r w:rsidRPr="00B05447">
        <w:t>Ethical Standards</w:t>
      </w:r>
      <w:r w:rsidR="00AA65AB">
        <w:t xml:space="preserve"> Department</w:t>
      </w:r>
      <w:r w:rsidRPr="00B05447">
        <w:t xml:space="preserve">; </w:t>
      </w:r>
      <w:r w:rsidRPr="00983D99">
        <w:t xml:space="preserve">and (b) </w:t>
      </w:r>
      <w:r w:rsidR="00983D99">
        <w:t>t</w:t>
      </w:r>
      <w:r w:rsidRPr="00983D99">
        <w:t xml:space="preserve">he </w:t>
      </w:r>
      <w:r w:rsidR="004F63C6" w:rsidRPr="00983D99">
        <w:t xml:space="preserve">legal system </w:t>
      </w:r>
      <w:r w:rsidR="00BC1DD9" w:rsidRPr="00983D99">
        <w:t>of</w:t>
      </w:r>
      <w:r w:rsidRPr="00983D99">
        <w:t xml:space="preserve"> </w:t>
      </w:r>
      <w:smartTag w:uri="urn:schemas-microsoft-com:office:smarttags" w:element="place">
        <w:smartTag w:uri="urn:schemas-microsoft-com:office:smarttags" w:element="State">
          <w:r w:rsidRPr="00983D99">
            <w:t>Victoria</w:t>
          </w:r>
        </w:smartTag>
      </w:smartTag>
      <w:r w:rsidRPr="00983D99">
        <w:t xml:space="preserve"> </w:t>
      </w:r>
      <w:r w:rsidR="00BC1DD9" w:rsidRPr="00983D99">
        <w:t>does</w:t>
      </w:r>
      <w:r w:rsidR="004F63C6" w:rsidRPr="00983D99">
        <w:t xml:space="preserve"> not</w:t>
      </w:r>
      <w:r w:rsidRPr="00983D99">
        <w:t xml:space="preserve"> ensure effective discipline or prosecution of police engaged in human rights abuses.</w:t>
      </w:r>
    </w:p>
    <w:p w:rsidR="00B05447" w:rsidRPr="00B05447" w:rsidRDefault="00B05447" w:rsidP="00591A42">
      <w:pPr>
        <w:pStyle w:val="SingleTxtG"/>
      </w:pPr>
      <w:r w:rsidRPr="00B05447">
        <w:t>2.</w:t>
      </w:r>
      <w:r w:rsidR="0037275F">
        <w:t>9</w:t>
      </w:r>
      <w:r w:rsidRPr="00B05447">
        <w:tab/>
        <w:t xml:space="preserve">Constable J. brought charges against the author for assault against police and traffic infringements, which were dismissed by the Magistrates’ Court in Frankston on 9 November 1996. In </w:t>
      </w:r>
      <w:r w:rsidR="004F63C6">
        <w:t>his</w:t>
      </w:r>
      <w:r w:rsidRPr="00B05447">
        <w:t xml:space="preserve"> </w:t>
      </w:r>
      <w:r w:rsidR="00E0072B">
        <w:t>judgement</w:t>
      </w:r>
      <w:r w:rsidRPr="00B05447">
        <w:t xml:space="preserve"> </w:t>
      </w:r>
      <w:r w:rsidR="0081254A">
        <w:t xml:space="preserve">of </w:t>
      </w:r>
      <w:r w:rsidR="004F63C6">
        <w:t>23 February 2001</w:t>
      </w:r>
      <w:r w:rsidR="00C676D3">
        <w:t>,</w:t>
      </w:r>
      <w:r w:rsidR="004F63C6">
        <w:t xml:space="preserve"> </w:t>
      </w:r>
      <w:r w:rsidRPr="00B05447">
        <w:t>Judge Williams</w:t>
      </w:r>
      <w:r w:rsidR="0081254A">
        <w:t xml:space="preserve"> </w:t>
      </w:r>
      <w:r w:rsidRPr="00B05447">
        <w:t xml:space="preserve">found that </w:t>
      </w:r>
      <w:r w:rsidR="00C676D3">
        <w:t>C</w:t>
      </w:r>
      <w:r w:rsidR="00312955">
        <w:t xml:space="preserve">onstable </w:t>
      </w:r>
      <w:r w:rsidRPr="00B05447">
        <w:t>J. had conducted a prosecution</w:t>
      </w:r>
      <w:r w:rsidR="0037275F">
        <w:t xml:space="preserve"> for assault</w:t>
      </w:r>
      <w:r w:rsidRPr="00B05447">
        <w:t xml:space="preserve"> against the author that was not based upon a proper motive, but arose from a mixture of ill-will and a desire to justify </w:t>
      </w:r>
      <w:r w:rsidRPr="00591A42">
        <w:rPr>
          <w:iCs/>
        </w:rPr>
        <w:t>ex post facto</w:t>
      </w:r>
      <w:r w:rsidRPr="00B05447">
        <w:t xml:space="preserve"> the general conduct of </w:t>
      </w:r>
      <w:r w:rsidR="00591A42">
        <w:t xml:space="preserve">the </w:t>
      </w:r>
      <w:r w:rsidRPr="00B05447">
        <w:t>police throughout the whole affair. On th</w:t>
      </w:r>
      <w:r w:rsidR="00C676D3">
        <w:t>at</w:t>
      </w:r>
      <w:r w:rsidRPr="00B05447">
        <w:t xml:space="preserve"> basis</w:t>
      </w:r>
      <w:r w:rsidR="00C676D3">
        <w:t>,</w:t>
      </w:r>
      <w:r w:rsidRPr="00B05447">
        <w:t xml:space="preserve"> Judge Williams found </w:t>
      </w:r>
      <w:r w:rsidR="00C676D3">
        <w:t xml:space="preserve">that </w:t>
      </w:r>
      <w:r w:rsidRPr="00B05447">
        <w:t xml:space="preserve">the tort of malicious prosecution </w:t>
      </w:r>
      <w:r w:rsidR="00C676D3">
        <w:t xml:space="preserve">had </w:t>
      </w:r>
      <w:r w:rsidRPr="00B05447">
        <w:t>be</w:t>
      </w:r>
      <w:r w:rsidR="00C676D3">
        <w:t>en committed</w:t>
      </w:r>
      <w:r w:rsidRPr="00B05447">
        <w:t xml:space="preserve">. </w:t>
      </w:r>
    </w:p>
    <w:p w:rsidR="00B05447" w:rsidRPr="00B05447" w:rsidRDefault="0069455E" w:rsidP="0069455E">
      <w:pPr>
        <w:pStyle w:val="H23G"/>
      </w:pPr>
      <w:r>
        <w:tab/>
      </w:r>
      <w:r>
        <w:tab/>
      </w:r>
      <w:r w:rsidR="00B05447" w:rsidRPr="00B05447">
        <w:t xml:space="preserve">The </w:t>
      </w:r>
      <w:r w:rsidR="0037275F">
        <w:t>c</w:t>
      </w:r>
      <w:r w:rsidR="00B05447" w:rsidRPr="00B05447">
        <w:t xml:space="preserve">omplaint </w:t>
      </w:r>
    </w:p>
    <w:p w:rsidR="00B05447" w:rsidRPr="00B05447" w:rsidRDefault="0069455E" w:rsidP="00467F1E">
      <w:pPr>
        <w:pStyle w:val="H4G"/>
      </w:pPr>
      <w:r>
        <w:tab/>
      </w:r>
      <w:r>
        <w:tab/>
      </w:r>
      <w:r w:rsidR="00B05447" w:rsidRPr="00B05447">
        <w:t>Article 2</w:t>
      </w:r>
    </w:p>
    <w:p w:rsidR="00B05447" w:rsidRPr="00B05447" w:rsidRDefault="00B05447" w:rsidP="007B2DF4">
      <w:pPr>
        <w:pStyle w:val="SingleTxtG"/>
      </w:pPr>
      <w:r w:rsidRPr="00B05447">
        <w:t>3.1</w:t>
      </w:r>
      <w:r w:rsidRPr="00B05447">
        <w:tab/>
        <w:t>The author claims that the State party violated article 2</w:t>
      </w:r>
      <w:r w:rsidR="00C676D3">
        <w:t>, paragraph 3,</w:t>
      </w:r>
      <w:r w:rsidRPr="00B05447">
        <w:t xml:space="preserve"> of the Covenant, as it did not provide her with an effective remedy. She received no compensation and no disciplinary action</w:t>
      </w:r>
      <w:r w:rsidR="007B2DF4">
        <w:t xml:space="preserve"> was taken</w:t>
      </w:r>
      <w:r w:rsidRPr="00B05447">
        <w:t xml:space="preserve"> against the perpetrators of the assault. </w:t>
      </w:r>
    </w:p>
    <w:p w:rsidR="00B05447" w:rsidRPr="00B05447" w:rsidRDefault="00B05447" w:rsidP="007B2DF4">
      <w:pPr>
        <w:pStyle w:val="SingleTxtG"/>
      </w:pPr>
      <w:r w:rsidRPr="00B05447">
        <w:t>3.2</w:t>
      </w:r>
      <w:r w:rsidRPr="00B05447">
        <w:tab/>
        <w:t>The</w:t>
      </w:r>
      <w:r w:rsidR="00CB5942">
        <w:t>re is no</w:t>
      </w:r>
      <w:r w:rsidRPr="00B05447">
        <w:t xml:space="preserve"> statutory scheme </w:t>
      </w:r>
      <w:r w:rsidR="00CB5942">
        <w:t xml:space="preserve">in </w:t>
      </w:r>
      <w:smartTag w:uri="urn:schemas-microsoft-com:office:smarttags" w:element="place">
        <w:smartTag w:uri="urn:schemas-microsoft-com:office:smarttags" w:element="State">
          <w:r w:rsidR="00CB5942">
            <w:t>Victoria</w:t>
          </w:r>
        </w:smartTag>
      </w:smartTag>
      <w:r w:rsidR="00CB5942">
        <w:t xml:space="preserve"> </w:t>
      </w:r>
      <w:r w:rsidRPr="00B05447">
        <w:t>that provides adequate compensation for human rights abuses. Under common law, the State is not responsible for police conduct because when police act on the basis of a power under law, they act independently</w:t>
      </w:r>
      <w:r w:rsidR="00C676D3">
        <w:t>,</w:t>
      </w:r>
      <w:r w:rsidRPr="00B05447">
        <w:t xml:space="preserve"> not as agents of the State. Section 123 of the Police Regulation Act 1958 remedies th</w:t>
      </w:r>
      <w:r w:rsidR="007B2DF4">
        <w:t>at</w:t>
      </w:r>
      <w:r w:rsidRPr="00B05447">
        <w:t xml:space="preserve"> situation </w:t>
      </w:r>
      <w:r w:rsidR="007B2DF4" w:rsidRPr="00B05447">
        <w:t xml:space="preserve">only partially </w:t>
      </w:r>
      <w:r w:rsidRPr="00B05447">
        <w:t>by holding the State liable only where police act reasonably in good faith.</w:t>
      </w:r>
      <w:r w:rsidR="00151E64">
        <w:rPr>
          <w:rStyle w:val="FootnoteReference"/>
        </w:rPr>
        <w:footnoteReference w:id="4"/>
      </w:r>
      <w:r w:rsidRPr="00B05447">
        <w:t xml:space="preserve"> Moreover, the Act creates an exceptionally narrow class of State liability for actions or omissions of police officers. In order for the State to be liable, the actions of the police must </w:t>
      </w:r>
      <w:r w:rsidRPr="00B05447">
        <w:lastRenderedPageBreak/>
        <w:t xml:space="preserve">be negligent, yet the police must </w:t>
      </w:r>
      <w:r w:rsidR="007B2DF4" w:rsidRPr="00B05447">
        <w:t xml:space="preserve">also </w:t>
      </w:r>
      <w:r w:rsidRPr="00B05447">
        <w:t xml:space="preserve">be acting in good faith, and the act or omission must be “necessarily or reasonably done” in the course of their duty. It is very difficult to imagine a case that satisfies </w:t>
      </w:r>
      <w:r w:rsidR="007B2DF4">
        <w:t>those</w:t>
      </w:r>
      <w:r w:rsidRPr="00B05447">
        <w:t xml:space="preserve"> criteria. In the present case</w:t>
      </w:r>
      <w:r w:rsidR="007B2DF4">
        <w:t>,</w:t>
      </w:r>
      <w:r w:rsidRPr="00B05447">
        <w:t xml:space="preserve"> the </w:t>
      </w:r>
      <w:r w:rsidR="007B2DF4">
        <w:t>t</w:t>
      </w:r>
      <w:r w:rsidRPr="00B05447">
        <w:t xml:space="preserve">rial </w:t>
      </w:r>
      <w:r w:rsidR="007B2DF4">
        <w:t>j</w:t>
      </w:r>
      <w:r w:rsidRPr="00B05447">
        <w:t>udge was satisfied that the negligent planning and supervision of the raid by Sergeant C. was a reasonable yet negligent action done in good faith, and that the abuse suffered by the author flowed from that negligence. However, the Court of Appeal overturned th</w:t>
      </w:r>
      <w:r w:rsidR="007B2DF4">
        <w:t>at</w:t>
      </w:r>
      <w:r w:rsidRPr="00B05447">
        <w:t xml:space="preserve"> analysis, holding that the actions of </w:t>
      </w:r>
      <w:r w:rsidR="007B2DF4">
        <w:t>the p</w:t>
      </w:r>
      <w:r w:rsidRPr="00B05447">
        <w:t xml:space="preserve">olice during the raid effectively severed the causal chain. The Court of Appeal found that there was a “common design” agreed between the officers to commit intentional torts that </w:t>
      </w:r>
      <w:r w:rsidR="007B2DF4">
        <w:t xml:space="preserve">outweighed </w:t>
      </w:r>
      <w:r w:rsidRPr="00B05447">
        <w:t xml:space="preserve">any negligence of Sergeant C. in planning the raid. </w:t>
      </w:r>
    </w:p>
    <w:p w:rsidR="00B05447" w:rsidRPr="00B05447" w:rsidRDefault="00B05447" w:rsidP="0058345E">
      <w:pPr>
        <w:pStyle w:val="SingleTxtG"/>
      </w:pPr>
      <w:r w:rsidRPr="00B05447">
        <w:t>3.3</w:t>
      </w:r>
      <w:r w:rsidRPr="00B05447">
        <w:tab/>
        <w:t xml:space="preserve">Four </w:t>
      </w:r>
      <w:r w:rsidR="007B2DF4">
        <w:t>s</w:t>
      </w:r>
      <w:r w:rsidRPr="00B05447">
        <w:t xml:space="preserve">tates in </w:t>
      </w:r>
      <w:smartTag w:uri="urn:schemas-microsoft-com:office:smarttags" w:element="place">
        <w:smartTag w:uri="urn:schemas-microsoft-com:office:smarttags" w:element="country-region">
          <w:r w:rsidRPr="00B05447">
            <w:t>Australia</w:t>
          </w:r>
        </w:smartTag>
      </w:smartTag>
      <w:r w:rsidRPr="00B05447">
        <w:t xml:space="preserve"> ensure </w:t>
      </w:r>
      <w:r w:rsidR="00AF5BD4">
        <w:t>s</w:t>
      </w:r>
      <w:r w:rsidRPr="00B05447">
        <w:t xml:space="preserve">tate compensation for victims of police tort even when police actions are intentional or in bad faith. In two </w:t>
      </w:r>
      <w:r w:rsidR="00CB5942">
        <w:t>of them</w:t>
      </w:r>
      <w:r w:rsidRPr="00B05447">
        <w:t xml:space="preserve">, the </w:t>
      </w:r>
      <w:r w:rsidR="00AF5BD4">
        <w:t>s</w:t>
      </w:r>
      <w:r w:rsidRPr="00B05447">
        <w:t xml:space="preserve">tate will pay punitive damages awarded against officers. </w:t>
      </w:r>
    </w:p>
    <w:p w:rsidR="00B05447" w:rsidRPr="00B05447" w:rsidRDefault="00B05447" w:rsidP="0058345E">
      <w:pPr>
        <w:pStyle w:val="SingleTxtG"/>
      </w:pPr>
      <w:r w:rsidRPr="00B05447">
        <w:t>3.4</w:t>
      </w:r>
      <w:r w:rsidRPr="00B05447">
        <w:tab/>
        <w:t xml:space="preserve">The State party has failed to ensure that the perpetrators are tried before a criminal court. As a result of their status as police officers, they were not brought before </w:t>
      </w:r>
      <w:r w:rsidR="0058345E">
        <w:t>a</w:t>
      </w:r>
      <w:r w:rsidRPr="00B05447">
        <w:t xml:space="preserve"> </w:t>
      </w:r>
      <w:r w:rsidR="00CB5942">
        <w:t>c</w:t>
      </w:r>
      <w:r w:rsidRPr="00B05447">
        <w:t xml:space="preserve">ourt as any other perpetrator of similar abuse would have been. </w:t>
      </w:r>
      <w:r w:rsidR="00CB5942">
        <w:t>Furthermore,</w:t>
      </w:r>
      <w:r w:rsidRPr="00B05447">
        <w:t xml:space="preserve"> the State permitted the officers involved to continue </w:t>
      </w:r>
      <w:r w:rsidR="00CB5942">
        <w:t>occupying</w:t>
      </w:r>
      <w:r w:rsidRPr="00B05447">
        <w:t xml:space="preserve"> positions </w:t>
      </w:r>
      <w:r w:rsidR="00AF5BD4">
        <w:t xml:space="preserve">in </w:t>
      </w:r>
      <w:r w:rsidRPr="00B05447">
        <w:t>wh</w:t>
      </w:r>
      <w:r w:rsidR="00AF5BD4">
        <w:t>ich</w:t>
      </w:r>
      <w:r w:rsidRPr="00B05447">
        <w:t xml:space="preserve"> their unacceptable </w:t>
      </w:r>
      <w:r w:rsidR="005B6DCF" w:rsidRPr="00B05447">
        <w:t>behaviour</w:t>
      </w:r>
      <w:r w:rsidRPr="00B05447">
        <w:t xml:space="preserve"> could be repeated. </w:t>
      </w:r>
    </w:p>
    <w:p w:rsidR="00B05447" w:rsidRPr="00B05447" w:rsidRDefault="0069455E" w:rsidP="0069455E">
      <w:pPr>
        <w:pStyle w:val="H4G"/>
      </w:pPr>
      <w:r>
        <w:tab/>
      </w:r>
      <w:r>
        <w:tab/>
      </w:r>
      <w:r w:rsidR="00B05447" w:rsidRPr="00B05447">
        <w:t>Article 7</w:t>
      </w:r>
    </w:p>
    <w:p w:rsidR="00B05447" w:rsidRPr="00B05447" w:rsidRDefault="00B05447" w:rsidP="00B05447">
      <w:pPr>
        <w:pStyle w:val="SingleTxtG"/>
      </w:pPr>
      <w:r w:rsidRPr="00B05447">
        <w:t>3.5</w:t>
      </w:r>
      <w:r w:rsidRPr="00B05447">
        <w:tab/>
        <w:t xml:space="preserve">The author claims that </w:t>
      </w:r>
      <w:r w:rsidR="00702AC5">
        <w:t>s</w:t>
      </w:r>
      <w:r w:rsidRPr="00B05447">
        <w:t>he was subject</w:t>
      </w:r>
      <w:r w:rsidR="00702AC5">
        <w:t>ed to</w:t>
      </w:r>
      <w:r w:rsidRPr="00B05447">
        <w:t xml:space="preserve"> cruel, inhuman and degrading treatment during the raid. Th</w:t>
      </w:r>
      <w:r w:rsidR="00702AC5">
        <w:t>e</w:t>
      </w:r>
      <w:r w:rsidRPr="00B05447">
        <w:t xml:space="preserve"> degradation was enhanced by her being handcuffed, taken into custody and later charged. </w:t>
      </w:r>
      <w:r w:rsidR="00702AC5">
        <w:t>H</w:t>
      </w:r>
      <w:r w:rsidRPr="00B05447">
        <w:t>er</w:t>
      </w:r>
      <w:r w:rsidR="00702AC5">
        <w:t xml:space="preserve"> arrest</w:t>
      </w:r>
      <w:r w:rsidRPr="00B05447">
        <w:t xml:space="preserve"> was cruel and unjustified. </w:t>
      </w:r>
    </w:p>
    <w:p w:rsidR="00B05447" w:rsidRPr="00B05447" w:rsidRDefault="00B05447" w:rsidP="00AF5BD4">
      <w:pPr>
        <w:pStyle w:val="SingleTxtG"/>
      </w:pPr>
      <w:r w:rsidRPr="00B05447">
        <w:t>3.6</w:t>
      </w:r>
      <w:r w:rsidRPr="00B05447">
        <w:tab/>
        <w:t>The level of force used against the author during the raid went far beyond the force required to detain her and was not necessary</w:t>
      </w:r>
      <w:r w:rsidR="00702AC5">
        <w:t>.</w:t>
      </w:r>
      <w:r w:rsidRPr="00B05447">
        <w:t xml:space="preserve"> The trial judge found that Constable J. “pulled her to the floor and began ‘brutally and unnecessarily’ to punch her in the face</w:t>
      </w:r>
      <w:r w:rsidR="0058345E">
        <w:t>,</w:t>
      </w:r>
      <w:r w:rsidRPr="00B05447">
        <w:t xml:space="preserve"> thereby fracturing her nose and rendering her senseless. In the result, Horvath had no recollection of J</w:t>
      </w:r>
      <w:r w:rsidR="0058345E">
        <w:t>.</w:t>
      </w:r>
      <w:r w:rsidRPr="00B05447">
        <w:t>’s assault on her. With the assistance of S., J. then rolled Horvath over and, despite her bleeding nose, handcuffed her and th</w:t>
      </w:r>
      <w:r w:rsidR="00C302A4">
        <w:t>en dragged her out to the van”</w:t>
      </w:r>
      <w:r w:rsidR="00AF5BD4">
        <w:t>.</w:t>
      </w:r>
      <w:r w:rsidRPr="00B05447">
        <w:rPr>
          <w:vertAlign w:val="superscript"/>
        </w:rPr>
        <w:footnoteReference w:id="5"/>
      </w:r>
    </w:p>
    <w:p w:rsidR="00B05447" w:rsidRPr="00B05447" w:rsidRDefault="00B05447" w:rsidP="0058345E">
      <w:pPr>
        <w:pStyle w:val="SingleTxtG"/>
      </w:pPr>
      <w:r w:rsidRPr="00B05447">
        <w:t>3.7</w:t>
      </w:r>
      <w:r w:rsidRPr="00B05447">
        <w:tab/>
      </w:r>
      <w:r w:rsidR="0028381D">
        <w:t>A</w:t>
      </w:r>
      <w:r w:rsidRPr="00B05447">
        <w:t>rticle 7 imposes two obligations</w:t>
      </w:r>
      <w:r w:rsidR="00E007B3">
        <w:t xml:space="preserve"> on States parties</w:t>
      </w:r>
      <w:r w:rsidRPr="00B05447">
        <w:t xml:space="preserve">: </w:t>
      </w:r>
      <w:r w:rsidR="0058345E">
        <w:t>a</w:t>
      </w:r>
      <w:r w:rsidRPr="00B05447">
        <w:t xml:space="preserve"> substantive (or negative) obligation to prevent violations and a procedural (or positive) obligation to provide an effective investigation into allegations of substantive violations. In the present case, the investigation was carried out by the Ethical Standards Department, a </w:t>
      </w:r>
      <w:r w:rsidR="00646CBB">
        <w:t>unit within</w:t>
      </w:r>
      <w:r w:rsidRPr="00B05447">
        <w:t xml:space="preserve"> the Victoria Police. The Victoria Police disciplinary system was critici</w:t>
      </w:r>
      <w:r w:rsidR="00646CBB">
        <w:t>z</w:t>
      </w:r>
      <w:r w:rsidR="00BC1DD9">
        <w:t>ed</w:t>
      </w:r>
      <w:r w:rsidRPr="00B05447">
        <w:t xml:space="preserve"> in a 2007</w:t>
      </w:r>
      <w:r w:rsidR="00BC1DD9">
        <w:t xml:space="preserve"> report of the</w:t>
      </w:r>
      <w:r w:rsidRPr="00B05447">
        <w:t xml:space="preserve"> Office of Police Integrity entitled “A </w:t>
      </w:r>
      <w:r w:rsidR="0058345E">
        <w:t>f</w:t>
      </w:r>
      <w:r w:rsidRPr="00B05447">
        <w:t>air</w:t>
      </w:r>
      <w:r w:rsidR="008F3916">
        <w:t xml:space="preserve"> and </w:t>
      </w:r>
      <w:r w:rsidR="0058345E">
        <w:t>e</w:t>
      </w:r>
      <w:r w:rsidR="008F3916">
        <w:t>ffective</w:t>
      </w:r>
      <w:r w:rsidRPr="00B05447">
        <w:t xml:space="preserve"> </w:t>
      </w:r>
      <w:r w:rsidR="008F3916">
        <w:t xml:space="preserve">Victoria </w:t>
      </w:r>
      <w:r w:rsidRPr="00B05447">
        <w:t xml:space="preserve">Police </w:t>
      </w:r>
      <w:r w:rsidR="0058345E">
        <w:t>d</w:t>
      </w:r>
      <w:r w:rsidRPr="00B05447">
        <w:t xml:space="preserve">isciplinary </w:t>
      </w:r>
      <w:r w:rsidR="0058345E">
        <w:t>s</w:t>
      </w:r>
      <w:r w:rsidRPr="00B05447">
        <w:t>ystem”. The author’s case is mentioned in th</w:t>
      </w:r>
      <w:r w:rsidR="00646CBB">
        <w:t>at</w:t>
      </w:r>
      <w:r w:rsidRPr="00B05447">
        <w:t xml:space="preserve"> report in a manner which makes it clear that the failure of the disciplinary process to h</w:t>
      </w:r>
      <w:r w:rsidR="00BC1DD9">
        <w:t>o</w:t>
      </w:r>
      <w:r w:rsidRPr="00B05447">
        <w:t xml:space="preserve">ld police accountable is of concern. </w:t>
      </w:r>
    </w:p>
    <w:p w:rsidR="00B05447" w:rsidRPr="00B05447" w:rsidRDefault="00B05447" w:rsidP="0058345E">
      <w:pPr>
        <w:pStyle w:val="SingleTxtG"/>
      </w:pPr>
      <w:r w:rsidRPr="00B05447">
        <w:t>3.8</w:t>
      </w:r>
      <w:r w:rsidRPr="00B05447">
        <w:tab/>
        <w:t xml:space="preserve">The County Court of </w:t>
      </w:r>
      <w:smartTag w:uri="urn:schemas-microsoft-com:office:smarttags" w:element="place">
        <w:smartTag w:uri="urn:schemas-microsoft-com:office:smarttags" w:element="State">
          <w:r w:rsidRPr="00B05447">
            <w:t>Victoria</w:t>
          </w:r>
        </w:smartTag>
      </w:smartTag>
      <w:r w:rsidRPr="00B05447">
        <w:t xml:space="preserve"> came to clear findings of fault against the police. </w:t>
      </w:r>
      <w:r w:rsidR="00702AC5">
        <w:t>Despite the fact</w:t>
      </w:r>
      <w:r w:rsidRPr="00B05447">
        <w:t xml:space="preserve"> that the standards of proof </w:t>
      </w:r>
      <w:r w:rsidR="00702AC5">
        <w:t>in</w:t>
      </w:r>
      <w:r w:rsidRPr="00B05447">
        <w:t xml:space="preserve"> civil </w:t>
      </w:r>
      <w:r w:rsidR="00702AC5">
        <w:t xml:space="preserve">and disciplinary proceedings </w:t>
      </w:r>
      <w:r w:rsidRPr="00B05447">
        <w:t>are the same</w:t>
      </w:r>
      <w:r w:rsidR="00646CBB">
        <w:t>,</w:t>
      </w:r>
      <w:r w:rsidRPr="00B05447">
        <w:t xml:space="preserve"> the disciplinary process failed to achieve the same result. </w:t>
      </w:r>
      <w:r w:rsidR="00646CBB">
        <w:t>Owing to the</w:t>
      </w:r>
      <w:r w:rsidRPr="00B05447">
        <w:t xml:space="preserve"> failure to investigate </w:t>
      </w:r>
      <w:r w:rsidR="00646CBB">
        <w:t xml:space="preserve">the case </w:t>
      </w:r>
      <w:r w:rsidR="0058345E" w:rsidRPr="00B05447">
        <w:t xml:space="preserve">effectively </w:t>
      </w:r>
      <w:r w:rsidRPr="00B05447">
        <w:t xml:space="preserve">or use the findings in the civil proceedings as evidence to remove </w:t>
      </w:r>
      <w:r w:rsidR="0058345E">
        <w:t xml:space="preserve">the </w:t>
      </w:r>
      <w:r w:rsidRPr="00B05447">
        <w:t xml:space="preserve">police perpetrators from duty, </w:t>
      </w:r>
      <w:r w:rsidR="00C61A01">
        <w:t>the</w:t>
      </w:r>
      <w:r w:rsidRPr="00B05447">
        <w:t xml:space="preserve"> perpetrators </w:t>
      </w:r>
      <w:r w:rsidR="00C61A01">
        <w:t>remained</w:t>
      </w:r>
      <w:r w:rsidRPr="00B05447">
        <w:t xml:space="preserve"> employed </w:t>
      </w:r>
      <w:r w:rsidR="00646CBB">
        <w:t xml:space="preserve">and were not subjected to </w:t>
      </w:r>
      <w:r w:rsidRPr="00B05447">
        <w:t>any form of discipline. Th</w:t>
      </w:r>
      <w:r w:rsidR="00646CBB">
        <w:t>at</w:t>
      </w:r>
      <w:r w:rsidRPr="00B05447">
        <w:t xml:space="preserve"> inaction condones </w:t>
      </w:r>
      <w:r w:rsidR="0058345E">
        <w:t xml:space="preserve">a violation of article 7 </w:t>
      </w:r>
      <w:r w:rsidRPr="00B05447">
        <w:t xml:space="preserve">and effectively authorizes further potential violation of </w:t>
      </w:r>
      <w:r w:rsidR="00646CBB">
        <w:t>a</w:t>
      </w:r>
      <w:r w:rsidRPr="00B05447">
        <w:t>rticle 7.</w:t>
      </w:r>
    </w:p>
    <w:p w:rsidR="00B05447" w:rsidRPr="00B05447" w:rsidRDefault="0069455E" w:rsidP="00D54428">
      <w:pPr>
        <w:pStyle w:val="H4G"/>
      </w:pPr>
      <w:r>
        <w:lastRenderedPageBreak/>
        <w:tab/>
      </w:r>
      <w:r>
        <w:tab/>
      </w:r>
      <w:r w:rsidR="00B05447" w:rsidRPr="00B05447">
        <w:t xml:space="preserve">Article 9 </w:t>
      </w:r>
      <w:r w:rsidR="00D54428">
        <w:t>(</w:t>
      </w:r>
      <w:r w:rsidR="00B05447" w:rsidRPr="00B05447">
        <w:t>paras</w:t>
      </w:r>
      <w:r w:rsidR="00D54428">
        <w:t>.</w:t>
      </w:r>
      <w:r w:rsidR="00B05447" w:rsidRPr="00B05447">
        <w:t xml:space="preserve"> 1 and 5</w:t>
      </w:r>
      <w:r w:rsidR="00D54428">
        <w:t>)</w:t>
      </w:r>
    </w:p>
    <w:p w:rsidR="00B05447" w:rsidRPr="00B05447" w:rsidRDefault="00B05447" w:rsidP="00983D99">
      <w:pPr>
        <w:pStyle w:val="SingleTxtG"/>
      </w:pPr>
      <w:r w:rsidRPr="00B05447">
        <w:t>3.9</w:t>
      </w:r>
      <w:r w:rsidRPr="00B05447">
        <w:tab/>
        <w:t>The author was subjected to arbitrary arrest and det</w:t>
      </w:r>
      <w:r w:rsidR="00C302A4">
        <w:t>ention, in violation of article </w:t>
      </w:r>
      <w:r w:rsidRPr="00B05447">
        <w:t>9, paragraph 1</w:t>
      </w:r>
      <w:r w:rsidR="00D54428">
        <w:t>,</w:t>
      </w:r>
      <w:r w:rsidRPr="00B05447">
        <w:t xml:space="preserve"> of the Covenant. Without a warrant</w:t>
      </w:r>
      <w:r w:rsidR="00D54428">
        <w:t>,</w:t>
      </w:r>
      <w:r w:rsidRPr="00B05447">
        <w:t xml:space="preserve"> the police had no right to enter </w:t>
      </w:r>
      <w:r w:rsidR="0081254A">
        <w:t>the author</w:t>
      </w:r>
      <w:r w:rsidR="00C61A01">
        <w:t>’s house</w:t>
      </w:r>
      <w:r w:rsidR="0081254A">
        <w:t xml:space="preserve"> </w:t>
      </w:r>
      <w:r w:rsidRPr="00B05447">
        <w:t xml:space="preserve">and arrest </w:t>
      </w:r>
      <w:r w:rsidR="0081254A">
        <w:t>her</w:t>
      </w:r>
      <w:r w:rsidRPr="00B05447">
        <w:t xml:space="preserve">. </w:t>
      </w:r>
      <w:r w:rsidR="00C61A01">
        <w:t>T</w:t>
      </w:r>
      <w:r w:rsidRPr="00B05447">
        <w:t xml:space="preserve">he detention </w:t>
      </w:r>
      <w:r w:rsidR="00C61A01">
        <w:t xml:space="preserve">was not </w:t>
      </w:r>
      <w:r w:rsidRPr="00B05447">
        <w:t>justified or lawful. Judge Williams found that she had been falsely arrested and imprisoned. Furthermore, the State party did not grant her an enforceable right to compensation, which entails a viola</w:t>
      </w:r>
      <w:r w:rsidR="00C302A4">
        <w:t>tion of article 9, paragraph 5.</w:t>
      </w:r>
    </w:p>
    <w:p w:rsidR="00B05447" w:rsidRPr="00B05447" w:rsidRDefault="0069455E" w:rsidP="0069455E">
      <w:pPr>
        <w:pStyle w:val="H4G"/>
      </w:pPr>
      <w:r>
        <w:tab/>
      </w:r>
      <w:r>
        <w:tab/>
      </w:r>
      <w:r w:rsidR="00B05447" w:rsidRPr="00B05447">
        <w:t xml:space="preserve">Article 10 </w:t>
      </w:r>
    </w:p>
    <w:p w:rsidR="00B05447" w:rsidRPr="00B05447" w:rsidRDefault="00B05447" w:rsidP="0058345E">
      <w:pPr>
        <w:pStyle w:val="SingleTxtG"/>
      </w:pPr>
      <w:r w:rsidRPr="00B05447">
        <w:t>3.10</w:t>
      </w:r>
      <w:r w:rsidRPr="00B05447">
        <w:tab/>
        <w:t xml:space="preserve">The assault, constraint by handcuffing, arrest, detention and delay in medical treatment </w:t>
      </w:r>
      <w:r w:rsidR="00D54428">
        <w:t xml:space="preserve">suffered by the author </w:t>
      </w:r>
      <w:r w:rsidR="0058345E">
        <w:t>were</w:t>
      </w:r>
      <w:r w:rsidRPr="00B05447">
        <w:t xml:space="preserve"> inhumane and a violation of article 10, in addition to article 7. </w:t>
      </w:r>
      <w:r w:rsidR="00D54428">
        <w:t>H</w:t>
      </w:r>
      <w:r w:rsidRPr="00B05447">
        <w:t>e</w:t>
      </w:r>
      <w:r w:rsidR="00D54428">
        <w:t xml:space="preserve">r </w:t>
      </w:r>
      <w:r w:rsidRPr="00B05447">
        <w:t xml:space="preserve">detention in a situation </w:t>
      </w:r>
      <w:r w:rsidR="00D54428">
        <w:t xml:space="preserve">in </w:t>
      </w:r>
      <w:r w:rsidRPr="00B05447">
        <w:t>wh</w:t>
      </w:r>
      <w:r w:rsidR="00D54428">
        <w:t>ich</w:t>
      </w:r>
      <w:r w:rsidRPr="00B05447">
        <w:t xml:space="preserve"> medical attention was required added to the trauma </w:t>
      </w:r>
      <w:r w:rsidR="00D54428">
        <w:t xml:space="preserve">she </w:t>
      </w:r>
      <w:r w:rsidRPr="00B05447">
        <w:t>experience</w:t>
      </w:r>
      <w:r w:rsidR="00BE123F">
        <w:t>d</w:t>
      </w:r>
      <w:r w:rsidRPr="00B05447">
        <w:t xml:space="preserve">. </w:t>
      </w:r>
    </w:p>
    <w:p w:rsidR="00B05447" w:rsidRPr="00B05447" w:rsidRDefault="0069455E" w:rsidP="0069455E">
      <w:pPr>
        <w:pStyle w:val="H4G"/>
      </w:pPr>
      <w:r>
        <w:tab/>
      </w:r>
      <w:r>
        <w:tab/>
      </w:r>
      <w:r w:rsidR="00B05447" w:rsidRPr="00B05447">
        <w:t xml:space="preserve">Article 17 </w:t>
      </w:r>
    </w:p>
    <w:p w:rsidR="00B05447" w:rsidRPr="00B05447" w:rsidRDefault="00B05447" w:rsidP="004668CB">
      <w:pPr>
        <w:pStyle w:val="SingleTxtG"/>
      </w:pPr>
      <w:r w:rsidRPr="00B05447">
        <w:t>3.11</w:t>
      </w:r>
      <w:r w:rsidRPr="00B05447">
        <w:tab/>
      </w:r>
      <w:r w:rsidR="00C61A01">
        <w:t>In the absence of a warrant or a reason to believe</w:t>
      </w:r>
      <w:r w:rsidRPr="00B05447">
        <w:t xml:space="preserve"> that </w:t>
      </w:r>
      <w:r w:rsidR="00C61A01">
        <w:t>the author</w:t>
      </w:r>
      <w:r w:rsidRPr="00B05447">
        <w:t xml:space="preserve"> had committed a serious indictable offence</w:t>
      </w:r>
      <w:r w:rsidR="00D54428">
        <w:t>,</w:t>
      </w:r>
      <w:r w:rsidR="00C61A01">
        <w:t xml:space="preserve"> the police</w:t>
      </w:r>
      <w:r w:rsidRPr="00B05447">
        <w:t xml:space="preserve"> invasion </w:t>
      </w:r>
      <w:r w:rsidR="00C61A01">
        <w:t xml:space="preserve">of the </w:t>
      </w:r>
      <w:r w:rsidR="00D54428">
        <w:t xml:space="preserve">author’s </w:t>
      </w:r>
      <w:r w:rsidR="00C61A01">
        <w:t>house constituted arbitrary and unlawful</w:t>
      </w:r>
      <w:r w:rsidRPr="00B05447">
        <w:t xml:space="preserve"> interference with her home, family and privacy.</w:t>
      </w:r>
      <w:r w:rsidR="001E3DF1">
        <w:t xml:space="preserve"> Furthermore, t</w:t>
      </w:r>
      <w:r w:rsidRPr="00B05447">
        <w:t>he malicious prosecution of the author for assaulting Constable J. was an unlawful attack on her honour and reputation</w:t>
      </w:r>
      <w:r w:rsidR="001E3DF1">
        <w:t xml:space="preserve"> and</w:t>
      </w:r>
      <w:r w:rsidRPr="00B05447">
        <w:t xml:space="preserve"> a disproportionate </w:t>
      </w:r>
      <w:r w:rsidR="001E3DF1">
        <w:t>action</w:t>
      </w:r>
      <w:r w:rsidRPr="00B05447">
        <w:t xml:space="preserve"> which could not be justified by any </w:t>
      </w:r>
      <w:r w:rsidR="00D54428">
        <w:t>interpretation</w:t>
      </w:r>
      <w:r w:rsidR="00D54428" w:rsidRPr="00B05447">
        <w:t xml:space="preserve"> </w:t>
      </w:r>
      <w:r w:rsidRPr="00B05447">
        <w:t xml:space="preserve">of </w:t>
      </w:r>
      <w:r w:rsidR="004668CB">
        <w:t xml:space="preserve"> a </w:t>
      </w:r>
      <w:r w:rsidRPr="00B05447">
        <w:t xml:space="preserve">pressing social need. </w:t>
      </w:r>
    </w:p>
    <w:p w:rsidR="00B05447" w:rsidRPr="00B05447" w:rsidRDefault="0069455E" w:rsidP="0069455E">
      <w:pPr>
        <w:pStyle w:val="H4G"/>
      </w:pPr>
      <w:r>
        <w:tab/>
      </w:r>
      <w:r>
        <w:tab/>
      </w:r>
      <w:r w:rsidR="00B05447" w:rsidRPr="00B05447">
        <w:t>Exhaustion of domestic remedies</w:t>
      </w:r>
    </w:p>
    <w:p w:rsidR="00B05447" w:rsidRPr="00B05447" w:rsidRDefault="00B05447" w:rsidP="009611C9">
      <w:pPr>
        <w:pStyle w:val="SingleTxtG"/>
      </w:pPr>
      <w:r w:rsidRPr="00B05447">
        <w:t>3.12</w:t>
      </w:r>
      <w:r w:rsidRPr="00B05447">
        <w:tab/>
        <w:t xml:space="preserve">The author claims that she exhausted domestic remedies in attempting to claim damages from the State of </w:t>
      </w:r>
      <w:smartTag w:uri="urn:schemas-microsoft-com:office:smarttags" w:element="place">
        <w:smartTag w:uri="urn:schemas-microsoft-com:office:smarttags" w:element="State">
          <w:r w:rsidRPr="00B05447">
            <w:t>Victoria</w:t>
          </w:r>
        </w:smartTag>
      </w:smartTag>
      <w:r w:rsidRPr="00B05447">
        <w:t xml:space="preserve">. </w:t>
      </w:r>
      <w:r w:rsidR="00DD4038">
        <w:t>She</w:t>
      </w:r>
      <w:r w:rsidRPr="00B05447">
        <w:t xml:space="preserve"> learned through her lawyer that the individual police officers against whom </w:t>
      </w:r>
      <w:r w:rsidR="00E0072B">
        <w:t>judgement</w:t>
      </w:r>
      <w:r w:rsidRPr="00B05447">
        <w:t xml:space="preserve"> was entered d</w:t>
      </w:r>
      <w:r w:rsidR="0084312A">
        <w:t>id</w:t>
      </w:r>
      <w:r w:rsidRPr="00B05447">
        <w:t xml:space="preserve"> not have the resources to pay the </w:t>
      </w:r>
      <w:r w:rsidR="00E0072B">
        <w:t>judgement</w:t>
      </w:r>
      <w:r w:rsidRPr="00B05447">
        <w:t xml:space="preserve"> amount and cost or any substantial portion thereof. Furthermore, the author cannot obtain compensation through the Victims of Crime Compensation Tribunal, since the acts </w:t>
      </w:r>
      <w:r w:rsidR="009611C9" w:rsidRPr="00B05447">
        <w:t xml:space="preserve">to </w:t>
      </w:r>
      <w:r w:rsidR="009611C9">
        <w:t xml:space="preserve">which </w:t>
      </w:r>
      <w:r w:rsidRPr="00B05447">
        <w:t xml:space="preserve">she was subjected were non-criminal. </w:t>
      </w:r>
    </w:p>
    <w:p w:rsidR="00B05447" w:rsidRPr="00B05447" w:rsidRDefault="00B05447" w:rsidP="0058345E">
      <w:pPr>
        <w:pStyle w:val="SingleTxtG"/>
      </w:pPr>
      <w:r w:rsidRPr="00B05447">
        <w:t>3.13</w:t>
      </w:r>
      <w:r w:rsidRPr="00B05447">
        <w:tab/>
      </w:r>
      <w:r w:rsidR="00DD4038">
        <w:t>S</w:t>
      </w:r>
      <w:r w:rsidR="00D060AB">
        <w:t>ection</w:t>
      </w:r>
      <w:r w:rsidRPr="00B05447">
        <w:t xml:space="preserve"> 123 of the </w:t>
      </w:r>
      <w:r w:rsidRPr="00D060AB">
        <w:rPr>
          <w:iCs/>
        </w:rPr>
        <w:t xml:space="preserve">Police Regulation Act </w:t>
      </w:r>
      <w:r w:rsidRPr="00B05447">
        <w:t>1958 provides no effective remedy for victims of police abuse, even whe</w:t>
      </w:r>
      <w:r w:rsidR="009611C9">
        <w:t>n</w:t>
      </w:r>
      <w:r w:rsidRPr="00B05447">
        <w:t xml:space="preserve"> th</w:t>
      </w:r>
      <w:r w:rsidR="009611C9">
        <w:t>e</w:t>
      </w:r>
      <w:r w:rsidRPr="00B05447">
        <w:t xml:space="preserve"> abuse </w:t>
      </w:r>
      <w:r w:rsidR="009611C9">
        <w:t xml:space="preserve">is the result of </w:t>
      </w:r>
      <w:r w:rsidRPr="00B05447">
        <w:t xml:space="preserve">misconduct during police operations and procedures. Victims of police abuse in </w:t>
      </w:r>
      <w:smartTag w:uri="urn:schemas-microsoft-com:office:smarttags" w:element="place">
        <w:smartTag w:uri="urn:schemas-microsoft-com:office:smarttags" w:element="State">
          <w:r w:rsidRPr="00B05447">
            <w:t>Victoria</w:t>
          </w:r>
        </w:smartTag>
      </w:smartTag>
      <w:r w:rsidRPr="00B05447">
        <w:t xml:space="preserve"> are reliant on damages being paid by the individual perpetrators. Th</w:t>
      </w:r>
      <w:r w:rsidR="009611C9">
        <w:t>at</w:t>
      </w:r>
      <w:r w:rsidRPr="00B05447">
        <w:t xml:space="preserve"> is problematic because police officers organize their assets in ways that shield them from potential liability to civil actions. In cases where the individual police officer has no capacity to pay or has no assets in his/her name, the victim </w:t>
      </w:r>
      <w:r w:rsidR="009611C9">
        <w:t>i</w:t>
      </w:r>
      <w:r w:rsidRPr="00B05447">
        <w:t xml:space="preserve">s </w:t>
      </w:r>
      <w:r w:rsidR="009611C9">
        <w:t xml:space="preserve">not </w:t>
      </w:r>
      <w:r w:rsidRPr="00B05447">
        <w:t>compensated. Th</w:t>
      </w:r>
      <w:r w:rsidR="009611C9">
        <w:t>at</w:t>
      </w:r>
      <w:r w:rsidRPr="00B05447">
        <w:t xml:space="preserve"> is neither an effective compensation scheme, nor does it provide any incentive to the Victoria Police to prevent further abuses.</w:t>
      </w:r>
    </w:p>
    <w:p w:rsidR="00B05447" w:rsidRPr="00B05447" w:rsidRDefault="0069455E" w:rsidP="0069455E">
      <w:pPr>
        <w:pStyle w:val="H4G"/>
      </w:pPr>
      <w:r>
        <w:tab/>
      </w:r>
      <w:r>
        <w:tab/>
      </w:r>
      <w:r w:rsidR="00B05447" w:rsidRPr="00B05447">
        <w:t>Remedies sought</w:t>
      </w:r>
    </w:p>
    <w:p w:rsidR="00B05447" w:rsidRPr="00B05447" w:rsidRDefault="00B05447" w:rsidP="00160A10">
      <w:pPr>
        <w:pStyle w:val="SingleTxtG"/>
      </w:pPr>
      <w:r w:rsidRPr="00B05447">
        <w:t>3.14</w:t>
      </w:r>
      <w:r w:rsidRPr="00B05447">
        <w:tab/>
        <w:t>The author see</w:t>
      </w:r>
      <w:r w:rsidR="009B0CC9">
        <w:t>ks</w:t>
      </w:r>
      <w:r w:rsidRPr="00B05447">
        <w:t>: (</w:t>
      </w:r>
      <w:r w:rsidR="009611C9">
        <w:t>a</w:t>
      </w:r>
      <w:r w:rsidRPr="00B05447">
        <w:t xml:space="preserve">) </w:t>
      </w:r>
      <w:r w:rsidR="009611C9">
        <w:t xml:space="preserve">to </w:t>
      </w:r>
      <w:r w:rsidR="00983D99">
        <w:t>b</w:t>
      </w:r>
      <w:r w:rsidRPr="00B05447">
        <w:t>e awarded compensation, assessed according to the standards applicable under Australian domestic law; (</w:t>
      </w:r>
      <w:r w:rsidR="009611C9">
        <w:t>b</w:t>
      </w:r>
      <w:r w:rsidRPr="00B05447">
        <w:t xml:space="preserve">) </w:t>
      </w:r>
      <w:r w:rsidR="009611C9">
        <w:t xml:space="preserve">that </w:t>
      </w:r>
      <w:r w:rsidR="00983D99">
        <w:t>t</w:t>
      </w:r>
      <w:r w:rsidRPr="00B05447">
        <w:t>he State party be directed to enact legislation allowing for compensation by the State party for the illegal activities of police officers; (</w:t>
      </w:r>
      <w:r w:rsidR="009611C9">
        <w:t>c</w:t>
      </w:r>
      <w:r w:rsidRPr="00B05447">
        <w:t xml:space="preserve">) </w:t>
      </w:r>
      <w:r w:rsidR="009611C9">
        <w:t xml:space="preserve">that </w:t>
      </w:r>
      <w:r w:rsidR="00983D99">
        <w:t>t</w:t>
      </w:r>
      <w:r w:rsidRPr="00B05447">
        <w:t xml:space="preserve">he State party be directed to ensure </w:t>
      </w:r>
      <w:r w:rsidR="00160A10">
        <w:t xml:space="preserve">that </w:t>
      </w:r>
      <w:r w:rsidR="00160A10" w:rsidRPr="00B05447">
        <w:t xml:space="preserve">people </w:t>
      </w:r>
      <w:r w:rsidR="00160A10">
        <w:t xml:space="preserve">have </w:t>
      </w:r>
      <w:r w:rsidRPr="00B05447">
        <w:t>genuine access to civil action alleging police abuse</w:t>
      </w:r>
      <w:r w:rsidR="00160A10" w:rsidRPr="00160A10">
        <w:t xml:space="preserve"> </w:t>
      </w:r>
      <w:r w:rsidR="00160A10">
        <w:t xml:space="preserve">and receive </w:t>
      </w:r>
      <w:r w:rsidR="00160A10" w:rsidRPr="00B05447">
        <w:t>assistance</w:t>
      </w:r>
      <w:r w:rsidR="00160A10">
        <w:t xml:space="preserve"> in that regard</w:t>
      </w:r>
      <w:r w:rsidR="0058345E">
        <w:t>,</w:t>
      </w:r>
      <w:r w:rsidR="00DD4038">
        <w:t xml:space="preserve"> </w:t>
      </w:r>
      <w:r w:rsidR="00577838">
        <w:t>in order</w:t>
      </w:r>
      <w:r w:rsidRPr="00B05447">
        <w:t xml:space="preserve"> to ensure </w:t>
      </w:r>
      <w:r w:rsidR="00DD4038">
        <w:t xml:space="preserve">that </w:t>
      </w:r>
      <w:r w:rsidRPr="00B05447">
        <w:t xml:space="preserve">civil actions have </w:t>
      </w:r>
      <w:r w:rsidR="009611C9">
        <w:t xml:space="preserve">a </w:t>
      </w:r>
      <w:r w:rsidRPr="00B05447">
        <w:t xml:space="preserve">systemic impact on reform within police agencies; </w:t>
      </w:r>
      <w:r w:rsidR="00983D99">
        <w:t xml:space="preserve">and </w:t>
      </w:r>
      <w:r w:rsidRPr="00B05447">
        <w:t>(</w:t>
      </w:r>
      <w:r w:rsidR="009611C9">
        <w:t>d</w:t>
      </w:r>
      <w:r w:rsidRPr="00B05447">
        <w:t xml:space="preserve">) </w:t>
      </w:r>
      <w:r w:rsidR="009611C9">
        <w:t xml:space="preserve">that </w:t>
      </w:r>
      <w:r w:rsidR="00983D99">
        <w:t>t</w:t>
      </w:r>
      <w:r w:rsidRPr="00B05447">
        <w:t xml:space="preserve">he State party be directed to </w:t>
      </w:r>
      <w:r w:rsidR="00577838">
        <w:t>introduce</w:t>
      </w:r>
      <w:r w:rsidRPr="00B05447">
        <w:t xml:space="preserve"> reforms to the current disciplinary procedures applicable to police officers in the State of Victoria to ensure that:</w:t>
      </w:r>
      <w:r w:rsidR="00C9129C">
        <w:t xml:space="preserve"> </w:t>
      </w:r>
      <w:r w:rsidRPr="00B05447">
        <w:t>(</w:t>
      </w:r>
      <w:r w:rsidR="009611C9">
        <w:t>i</w:t>
      </w:r>
      <w:r w:rsidRPr="00B05447">
        <w:t xml:space="preserve">) </w:t>
      </w:r>
      <w:r w:rsidR="00983D99">
        <w:t>a</w:t>
      </w:r>
      <w:r w:rsidRPr="00B05447">
        <w:t xml:space="preserve">ll police who are found civilly liable for human rights abuses are disciplined and removed from the </w:t>
      </w:r>
      <w:r w:rsidR="009611C9">
        <w:t>f</w:t>
      </w:r>
      <w:r w:rsidRPr="00B05447">
        <w:t>orce; (</w:t>
      </w:r>
      <w:r w:rsidR="009611C9">
        <w:t>ii</w:t>
      </w:r>
      <w:r w:rsidRPr="00B05447">
        <w:t xml:space="preserve">) the State </w:t>
      </w:r>
      <w:r w:rsidR="00160A10">
        <w:t xml:space="preserve">party </w:t>
      </w:r>
      <w:r w:rsidRPr="00B05447">
        <w:t xml:space="preserve">prosecutes </w:t>
      </w:r>
      <w:r w:rsidR="009611C9">
        <w:t>p</w:t>
      </w:r>
      <w:r w:rsidRPr="00B05447">
        <w:t>olice who have committed criminal offences; and (</w:t>
      </w:r>
      <w:r w:rsidR="009611C9">
        <w:t>iii</w:t>
      </w:r>
      <w:r w:rsidRPr="00B05447">
        <w:t xml:space="preserve">) police not </w:t>
      </w:r>
      <w:r w:rsidRPr="00B05447">
        <w:lastRenderedPageBreak/>
        <w:t xml:space="preserve">subject to civil proceedings </w:t>
      </w:r>
      <w:r w:rsidR="009611C9">
        <w:t>are</w:t>
      </w:r>
      <w:r w:rsidRPr="00B05447">
        <w:t xml:space="preserve"> investigated and subject to proceedings </w:t>
      </w:r>
      <w:r w:rsidR="009611C9">
        <w:t>that can result in</w:t>
      </w:r>
      <w:r w:rsidRPr="00B05447">
        <w:t xml:space="preserve"> their removal from duty where appropriate. </w:t>
      </w:r>
    </w:p>
    <w:p w:rsidR="00B05447" w:rsidRPr="00B05447" w:rsidRDefault="0069455E" w:rsidP="0069455E">
      <w:pPr>
        <w:pStyle w:val="H23G"/>
      </w:pPr>
      <w:r>
        <w:tab/>
      </w:r>
      <w:r>
        <w:tab/>
      </w:r>
      <w:r w:rsidR="00B05447" w:rsidRPr="00B05447">
        <w:t xml:space="preserve">Observations of the State party on admissibility and </w:t>
      </w:r>
      <w:r w:rsidR="00E74E5E">
        <w:t xml:space="preserve">on the </w:t>
      </w:r>
      <w:r w:rsidR="00B05447" w:rsidRPr="00B05447">
        <w:t xml:space="preserve">merits </w:t>
      </w:r>
    </w:p>
    <w:p w:rsidR="00B05447" w:rsidRPr="00B05447" w:rsidRDefault="00B05447" w:rsidP="00E74E5E">
      <w:pPr>
        <w:pStyle w:val="SingleTxtG"/>
      </w:pPr>
      <w:r w:rsidRPr="00B05447">
        <w:t>4.1</w:t>
      </w:r>
      <w:r w:rsidRPr="00B05447">
        <w:tab/>
        <w:t xml:space="preserve">The State party submitted </w:t>
      </w:r>
      <w:r w:rsidR="00E74E5E">
        <w:t xml:space="preserve">its </w:t>
      </w:r>
      <w:r w:rsidRPr="00B05447">
        <w:t>observations on 24 March 2010.</w:t>
      </w:r>
    </w:p>
    <w:p w:rsidR="00B05447" w:rsidRPr="00B05447" w:rsidRDefault="0069455E" w:rsidP="0069455E">
      <w:pPr>
        <w:pStyle w:val="H4G"/>
      </w:pPr>
      <w:r>
        <w:tab/>
      </w:r>
      <w:r>
        <w:tab/>
      </w:r>
      <w:r w:rsidR="00B05447" w:rsidRPr="00B05447">
        <w:t>Claims under article 2</w:t>
      </w:r>
    </w:p>
    <w:p w:rsidR="00B05447" w:rsidRPr="00B05447" w:rsidRDefault="00B05447" w:rsidP="009C7C68">
      <w:pPr>
        <w:pStyle w:val="SingleTxtG"/>
      </w:pPr>
      <w:r w:rsidRPr="00B05447">
        <w:t>4.2</w:t>
      </w:r>
      <w:r w:rsidRPr="00B05447">
        <w:tab/>
        <w:t xml:space="preserve">The State party contends that the author failed to substantiate </w:t>
      </w:r>
      <w:r w:rsidR="00577838">
        <w:t>her</w:t>
      </w:r>
      <w:r w:rsidRPr="00B05447">
        <w:t xml:space="preserve"> claim of </w:t>
      </w:r>
      <w:r w:rsidR="00E74E5E">
        <w:t xml:space="preserve">a </w:t>
      </w:r>
      <w:r w:rsidRPr="00B05447">
        <w:t xml:space="preserve">violation of article 2. In particular, she failed to substantiate her claim that the four members of the Victoria Police against whom </w:t>
      </w:r>
      <w:r w:rsidR="00E0072B">
        <w:t>judgement</w:t>
      </w:r>
      <w:r w:rsidRPr="00B05447">
        <w:t xml:space="preserve"> was made d</w:t>
      </w:r>
      <w:r w:rsidR="00577838">
        <w:t>id</w:t>
      </w:r>
      <w:r w:rsidRPr="00B05447">
        <w:t xml:space="preserve"> not have </w:t>
      </w:r>
      <w:r w:rsidR="009C7C68">
        <w:t>the resources</w:t>
      </w:r>
      <w:r w:rsidRPr="00B05447">
        <w:t xml:space="preserve"> to pay </w:t>
      </w:r>
      <w:r w:rsidR="0058345E">
        <w:t xml:space="preserve">the damages awarded </w:t>
      </w:r>
      <w:r w:rsidRPr="00B05447">
        <w:t>and d</w:t>
      </w:r>
      <w:r w:rsidR="00577838">
        <w:t>id</w:t>
      </w:r>
      <w:r w:rsidRPr="00B05447">
        <w:t xml:space="preserve"> not have any assets in their name</w:t>
      </w:r>
      <w:r w:rsidR="0058345E">
        <w:t>s</w:t>
      </w:r>
      <w:r w:rsidRPr="00B05447">
        <w:t xml:space="preserve">. Furthermore, domestic legal avenues </w:t>
      </w:r>
      <w:r w:rsidR="009C7C68">
        <w:t xml:space="preserve">are </w:t>
      </w:r>
      <w:r w:rsidRPr="00B05447">
        <w:t xml:space="preserve">available to the author to determine whether her assertion is correct. The </w:t>
      </w:r>
      <w:r w:rsidR="009C7C68" w:rsidRPr="00B05447">
        <w:t>Rules</w:t>
      </w:r>
      <w:r w:rsidR="009C7C68" w:rsidRPr="00B05447" w:rsidDel="009C7C68">
        <w:t xml:space="preserve"> </w:t>
      </w:r>
      <w:r w:rsidR="009C7C68">
        <w:t xml:space="preserve">of the </w:t>
      </w:r>
      <w:r w:rsidRPr="00B05447">
        <w:t xml:space="preserve">Supreme Court </w:t>
      </w:r>
      <w:r w:rsidR="009C7C68">
        <w:t xml:space="preserve">of </w:t>
      </w:r>
      <w:r w:rsidR="009C7C68" w:rsidRPr="00B05447">
        <w:t xml:space="preserve">Victoria </w:t>
      </w:r>
      <w:r w:rsidRPr="00B05447">
        <w:t xml:space="preserve">set out a process for discovery in aid of enforcement. </w:t>
      </w:r>
      <w:r w:rsidR="00577838">
        <w:t>T</w:t>
      </w:r>
      <w:r w:rsidRPr="00B05447">
        <w:t xml:space="preserve">he Court may, on application by a person entitled to enforce a </w:t>
      </w:r>
      <w:r w:rsidR="00E0072B">
        <w:t>judgement</w:t>
      </w:r>
      <w:r w:rsidRPr="00B05447">
        <w:t xml:space="preserve">, order a person bound by the </w:t>
      </w:r>
      <w:r w:rsidR="00E0072B">
        <w:t>judgement</w:t>
      </w:r>
      <w:r w:rsidRPr="00B05447">
        <w:t xml:space="preserve"> to attend court, be orally examined on material questions, and produce any document or thing in the possession, custody or power of the person relating to the material questions. There is no evidence that the author sought such an order. </w:t>
      </w:r>
    </w:p>
    <w:p w:rsidR="00B05447" w:rsidRPr="00B05447" w:rsidRDefault="00B05447" w:rsidP="0058345E">
      <w:pPr>
        <w:pStyle w:val="SingleTxtG"/>
      </w:pPr>
      <w:r w:rsidRPr="00B05447">
        <w:t>4.3</w:t>
      </w:r>
      <w:r w:rsidRPr="00B05447">
        <w:tab/>
        <w:t xml:space="preserve">Even if the four members of the police do not have </w:t>
      </w:r>
      <w:r w:rsidR="009C7C68">
        <w:t>the resources</w:t>
      </w:r>
      <w:r w:rsidR="009C7C68" w:rsidRPr="00B05447">
        <w:t xml:space="preserve"> </w:t>
      </w:r>
      <w:r w:rsidRPr="00B05447">
        <w:t xml:space="preserve">to pay </w:t>
      </w:r>
      <w:r w:rsidR="0058345E">
        <w:t>or</w:t>
      </w:r>
      <w:r w:rsidRPr="00B05447">
        <w:t xml:space="preserve"> assets in their name</w:t>
      </w:r>
      <w:r w:rsidR="009C7C68">
        <w:t>s</w:t>
      </w:r>
      <w:r w:rsidRPr="00B05447">
        <w:t xml:space="preserve">, domestic avenues remain available to the author to recover all or part of the </w:t>
      </w:r>
      <w:r w:rsidR="00E0072B">
        <w:t>judgement</w:t>
      </w:r>
      <w:r w:rsidRPr="00B05447">
        <w:t xml:space="preserve"> debt. A </w:t>
      </w:r>
      <w:r w:rsidR="00E0072B">
        <w:t>judgement</w:t>
      </w:r>
      <w:r w:rsidRPr="00B05447">
        <w:t xml:space="preserve"> for the payment of money made in the Supreme Court of Victoria</w:t>
      </w:r>
      <w:r w:rsidR="009C7C68">
        <w:t>,</w:t>
      </w:r>
      <w:r w:rsidRPr="00B05447">
        <w:t xml:space="preserve"> which includes the Court of Appeal</w:t>
      </w:r>
      <w:r w:rsidR="009C7C68">
        <w:t>,</w:t>
      </w:r>
      <w:r w:rsidRPr="00B05447">
        <w:t xml:space="preserve"> may be enforced by a number of means, including warrant of seizure and sale, attachment of debts, attachment of earnings, a charging order against the property of the debtor and, in certain circumstances, committal for trial and sequestration (seizure of property). In particular, the Supreme Court Rules provide that a </w:t>
      </w:r>
      <w:r w:rsidR="00E0072B">
        <w:t>judgement</w:t>
      </w:r>
      <w:r w:rsidRPr="00B05447">
        <w:t xml:space="preserve"> creditor may apply to the Court for an attachment of earnings order. The effect of such an order is that the </w:t>
      </w:r>
      <w:r w:rsidR="00E0072B">
        <w:t>judgement</w:t>
      </w:r>
      <w:r w:rsidRPr="00B05447">
        <w:t xml:space="preserve"> debtor’s employer must pay a reasonable proportion of the debtor’s earnings to the creditor. The author is also entitled to apply to the Court of Appeal for an order that the </w:t>
      </w:r>
      <w:r w:rsidR="00E0072B">
        <w:t>judgement</w:t>
      </w:r>
      <w:r w:rsidRPr="00B05447">
        <w:t xml:space="preserve"> debt be paid by instalments. The author has made no attempt to recover the </w:t>
      </w:r>
      <w:r w:rsidR="00E0072B">
        <w:t>judgement</w:t>
      </w:r>
      <w:r w:rsidRPr="00B05447">
        <w:t xml:space="preserve"> debt, whether by an order for an attachment of earnings or otherwise. </w:t>
      </w:r>
    </w:p>
    <w:p w:rsidR="00B05447" w:rsidRPr="00B05447" w:rsidRDefault="00B05447" w:rsidP="009C7C68">
      <w:pPr>
        <w:pStyle w:val="SingleTxtG"/>
      </w:pPr>
      <w:r w:rsidRPr="00B05447">
        <w:t>4.4</w:t>
      </w:r>
      <w:r w:rsidRPr="00B05447">
        <w:tab/>
      </w:r>
      <w:r w:rsidR="0037275F">
        <w:t>In 2003, a</w:t>
      </w:r>
      <w:r w:rsidRPr="00B05447">
        <w:t xml:space="preserve">bout six months after the Court of Appeal </w:t>
      </w:r>
      <w:r w:rsidR="00E0072B">
        <w:t>judgement</w:t>
      </w:r>
      <w:r w:rsidRPr="00B05447">
        <w:t xml:space="preserve"> against Constable J. was entered, he voluntarily chose to become bankrupt. The author has not provided information as to what contact, if any, she had with the trustee appointed to administer Constable J.’s estate in order to ensure that her interests were taken into account in the administration process. Constable J.’s bankruptcy was discharged at the expiry of three years. </w:t>
      </w:r>
      <w:r w:rsidR="007B3608">
        <w:t>T</w:t>
      </w:r>
      <w:r w:rsidRPr="00B05447">
        <w:t xml:space="preserve">he author </w:t>
      </w:r>
      <w:r w:rsidR="007B3608">
        <w:t>did</w:t>
      </w:r>
      <w:r w:rsidRPr="00B05447">
        <w:t xml:space="preserve"> not s</w:t>
      </w:r>
      <w:r w:rsidR="009C7C68">
        <w:t>eek</w:t>
      </w:r>
      <w:r w:rsidRPr="00B05447">
        <w:t xml:space="preserve"> to enforce the </w:t>
      </w:r>
      <w:r w:rsidR="00E0072B">
        <w:t>judgement</w:t>
      </w:r>
      <w:r w:rsidRPr="00B05447">
        <w:t xml:space="preserve"> against him following the discharge of his bankruptcy in July 2006. </w:t>
      </w:r>
    </w:p>
    <w:p w:rsidR="00B05447" w:rsidRPr="00B05447" w:rsidRDefault="00B05447" w:rsidP="00AA6018">
      <w:pPr>
        <w:pStyle w:val="SingleTxtG"/>
      </w:pPr>
      <w:r w:rsidRPr="00B05447">
        <w:t>4.5</w:t>
      </w:r>
      <w:r w:rsidRPr="00B05447">
        <w:tab/>
      </w:r>
      <w:r w:rsidR="0037275F">
        <w:t xml:space="preserve">According to a document submitted by the author, </w:t>
      </w:r>
      <w:r w:rsidR="007B3608">
        <w:t>she</w:t>
      </w:r>
      <w:r w:rsidR="0037275F">
        <w:t xml:space="preserve"> learned in 2007 that her lawyer had not taken any steps to recover the </w:t>
      </w:r>
      <w:r w:rsidR="00E0072B">
        <w:t>judgement</w:t>
      </w:r>
      <w:r w:rsidR="0037275F">
        <w:t xml:space="preserve"> debt. Although the author instructed her lawyers in 2008 to take bankruptcy proceedings against the remaining police officers,</w:t>
      </w:r>
      <w:r w:rsidRPr="00B05447">
        <w:t xml:space="preserve"> </w:t>
      </w:r>
      <w:r w:rsidR="00046D4A">
        <w:t>t</w:t>
      </w:r>
      <w:r w:rsidRPr="00B05447">
        <w:t xml:space="preserve">he bankruptcy register </w:t>
      </w:r>
      <w:r w:rsidR="00AA6018">
        <w:t xml:space="preserve">shows no </w:t>
      </w:r>
      <w:r w:rsidRPr="00B05447">
        <w:t xml:space="preserve">record </w:t>
      </w:r>
      <w:r w:rsidR="00AA6018">
        <w:t xml:space="preserve">of </w:t>
      </w:r>
      <w:r w:rsidRPr="00B05447">
        <w:t>any creditor’s petition issued in relation to the individual police officers.</w:t>
      </w:r>
    </w:p>
    <w:p w:rsidR="00B05447" w:rsidRPr="00B05447" w:rsidRDefault="00B05447" w:rsidP="00375185">
      <w:pPr>
        <w:pStyle w:val="SingleTxtG"/>
      </w:pPr>
      <w:r w:rsidRPr="00B05447">
        <w:t>4.6</w:t>
      </w:r>
      <w:r w:rsidRPr="00B05447">
        <w:tab/>
        <w:t xml:space="preserve">The author has not pursued compensation from the Victims of Crime Assistance Tribunal or its predecessor, the Crimes Compensation Tribunal, despite being eligible to make an application for compensation up to </w:t>
      </w:r>
      <w:r w:rsidR="00983D99">
        <w:t>$</w:t>
      </w:r>
      <w:r w:rsidRPr="00983D99">
        <w:t>A</w:t>
      </w:r>
      <w:r w:rsidRPr="00B05447">
        <w:t xml:space="preserve"> 60,000. The absence of a criminal prosecution in respect of the acts of the individual police officers does not preclude appl</w:t>
      </w:r>
      <w:r w:rsidR="0058174F">
        <w:t>i</w:t>
      </w:r>
      <w:r w:rsidR="00D83BFA">
        <w:t>catio</w:t>
      </w:r>
      <w:r w:rsidR="0058174F">
        <w:t>n to th</w:t>
      </w:r>
      <w:r w:rsidR="00375185">
        <w:t>e</w:t>
      </w:r>
      <w:r w:rsidR="0058174F">
        <w:t xml:space="preserve"> </w:t>
      </w:r>
      <w:r w:rsidR="00D83BFA">
        <w:t>T</w:t>
      </w:r>
      <w:r w:rsidR="0058174F">
        <w:t>ribunal</w:t>
      </w:r>
      <w:r w:rsidRPr="00B05447">
        <w:t xml:space="preserve">. </w:t>
      </w:r>
      <w:r w:rsidR="00D83BFA">
        <w:t>T</w:t>
      </w:r>
      <w:r w:rsidR="00D83BFA" w:rsidRPr="00B05447">
        <w:t xml:space="preserve">he author has </w:t>
      </w:r>
      <w:r w:rsidR="00D83BFA">
        <w:t>t</w:t>
      </w:r>
      <w:r w:rsidR="00D83BFA" w:rsidRPr="00B05447">
        <w:t xml:space="preserve">herefore failed to exhaust domestic remedies </w:t>
      </w:r>
      <w:r w:rsidRPr="00B05447">
        <w:t>on th</w:t>
      </w:r>
      <w:r w:rsidR="00D83BFA">
        <w:t>at</w:t>
      </w:r>
      <w:r w:rsidRPr="00B05447">
        <w:t xml:space="preserve"> basis as well. </w:t>
      </w:r>
    </w:p>
    <w:p w:rsidR="00B05447" w:rsidRPr="00B05447" w:rsidRDefault="00B05447" w:rsidP="00160A10">
      <w:pPr>
        <w:pStyle w:val="SingleTxtG"/>
      </w:pPr>
      <w:r w:rsidRPr="00B05447">
        <w:lastRenderedPageBreak/>
        <w:t>4.7</w:t>
      </w:r>
      <w:r w:rsidRPr="00B05447">
        <w:tab/>
        <w:t xml:space="preserve">The State party contends that the author’s claims under article 2 are without merits. In </w:t>
      </w:r>
      <w:smartTag w:uri="urn:schemas-microsoft-com:office:smarttags" w:element="place">
        <w:smartTag w:uri="urn:schemas-microsoft-com:office:smarttags" w:element="country-region">
          <w:r w:rsidRPr="00B05447">
            <w:t>Australia</w:t>
          </w:r>
        </w:smartTag>
      </w:smartTag>
      <w:r w:rsidRPr="00B05447">
        <w:t xml:space="preserve">, the common law rule set out in </w:t>
      </w:r>
      <w:r w:rsidRPr="00B05447">
        <w:rPr>
          <w:i/>
        </w:rPr>
        <w:t>Enever v. The King</w:t>
      </w:r>
      <w:r w:rsidRPr="00B05447">
        <w:t xml:space="preserve"> provides that </w:t>
      </w:r>
      <w:r w:rsidR="00D0244E">
        <w:t>a “</w:t>
      </w:r>
      <w:r w:rsidRPr="00B05447">
        <w:t xml:space="preserve">police officer </w:t>
      </w:r>
      <w:r w:rsidR="00D0244E">
        <w:t>is</w:t>
      </w:r>
      <w:r w:rsidRPr="00B05447">
        <w:t xml:space="preserve"> </w:t>
      </w:r>
      <w:r w:rsidR="00D0244E">
        <w:t xml:space="preserve">himself </w:t>
      </w:r>
      <w:r w:rsidRPr="00B05447">
        <w:t xml:space="preserve">responsible for unjustifiable acts done in the </w:t>
      </w:r>
      <w:r w:rsidR="00D0244E">
        <w:t xml:space="preserve">intended </w:t>
      </w:r>
      <w:r w:rsidRPr="00B05447">
        <w:t xml:space="preserve">exercise of </w:t>
      </w:r>
      <w:r w:rsidR="00D0244E">
        <w:t xml:space="preserve">his </w:t>
      </w:r>
      <w:r w:rsidRPr="00B05447">
        <w:t>lawful authority</w:t>
      </w:r>
      <w:r w:rsidR="00D0244E">
        <w:t>”</w:t>
      </w:r>
      <w:r w:rsidRPr="00B05447">
        <w:t>. The liability for such acts is not transferred to the state. Section 123</w:t>
      </w:r>
      <w:r w:rsidR="00983D99">
        <w:t xml:space="preserve"> </w:t>
      </w:r>
      <w:r w:rsidRPr="00B05447">
        <w:t xml:space="preserve">(1) of the Police Regulation Act 1958 modifies the common law position, providing that a police officer </w:t>
      </w:r>
      <w:r w:rsidR="00D060AB">
        <w:t>“</w:t>
      </w:r>
      <w:r w:rsidRPr="00B05447">
        <w:t>is not personally liable for anything necessarily or reasonably done or omitted to be done in good faith in the course of his or her duty</w:t>
      </w:r>
      <w:r w:rsidR="00D060AB">
        <w:t>”</w:t>
      </w:r>
      <w:r w:rsidRPr="00B05447">
        <w:t>. Under section 123</w:t>
      </w:r>
      <w:r w:rsidR="00D060AB">
        <w:t xml:space="preserve"> </w:t>
      </w:r>
      <w:r w:rsidRPr="00B05447">
        <w:t xml:space="preserve">(2), liability for such an act or omission attaches instead to the </w:t>
      </w:r>
      <w:r w:rsidR="00D0244E">
        <w:t>S</w:t>
      </w:r>
      <w:r w:rsidRPr="00B05447">
        <w:t xml:space="preserve">tate of </w:t>
      </w:r>
      <w:smartTag w:uri="urn:schemas-microsoft-com:office:smarttags" w:element="place">
        <w:smartTag w:uri="urn:schemas-microsoft-com:office:smarttags" w:element="State">
          <w:r w:rsidRPr="00B05447">
            <w:t>Victoria</w:t>
          </w:r>
        </w:smartTag>
      </w:smartTag>
      <w:r w:rsidRPr="00B05447">
        <w:t>. The outcome is a compensatory scheme whereby, in the event of any unlawful act or omission by a police officer, either the state or the individual police officer will be held liable. Th</w:t>
      </w:r>
      <w:r w:rsidR="00D0244E">
        <w:t>at</w:t>
      </w:r>
      <w:r w:rsidRPr="00B05447">
        <w:t xml:space="preserve"> scheme balances an appropriate level of protection and the need to ensure that there is no encouragement to develop an attitude of irresponsibility among police officers. It ensures that there is no scope for impunity and that compensation will be awarded where appropriate. Individual liability has an important deterrent effect. </w:t>
      </w:r>
      <w:r w:rsidR="00816360">
        <w:t>T</w:t>
      </w:r>
      <w:r w:rsidRPr="00B05447">
        <w:t>he function of awards of exemplary, aggravated or punitive damages would be undermined if they were simply to be transferred to the state. Consequently, the state’s refusal to indemnify acts or omissions of police officers that fall outside the scope of section 123 is consistent with articl</w:t>
      </w:r>
      <w:r w:rsidR="00C9129C">
        <w:t>e </w:t>
      </w:r>
      <w:r w:rsidRPr="00B05447">
        <w:t xml:space="preserve">2. </w:t>
      </w:r>
    </w:p>
    <w:p w:rsidR="00B05447" w:rsidRPr="00B05447" w:rsidRDefault="00B05447" w:rsidP="0058345E">
      <w:pPr>
        <w:pStyle w:val="SingleTxtG"/>
      </w:pPr>
      <w:r w:rsidRPr="00B05447">
        <w:t>4.8</w:t>
      </w:r>
      <w:r w:rsidRPr="00B05447">
        <w:tab/>
        <w:t xml:space="preserve">The outcome of the </w:t>
      </w:r>
      <w:r w:rsidR="001E57BE" w:rsidRPr="00B05447">
        <w:t>decision</w:t>
      </w:r>
      <w:r w:rsidR="001E57BE" w:rsidRPr="00B05447" w:rsidDel="001E57BE">
        <w:t xml:space="preserve"> </w:t>
      </w:r>
      <w:r w:rsidR="001E57BE">
        <w:t xml:space="preserve">of the </w:t>
      </w:r>
      <w:r w:rsidRPr="00B05447">
        <w:t>Court of Appeal</w:t>
      </w:r>
      <w:r w:rsidR="001E57BE" w:rsidRPr="001E57BE">
        <w:t xml:space="preserve"> </w:t>
      </w:r>
      <w:r w:rsidR="001E57BE">
        <w:t xml:space="preserve">of </w:t>
      </w:r>
      <w:smartTag w:uri="urn:schemas-microsoft-com:office:smarttags" w:element="place">
        <w:smartTag w:uri="urn:schemas-microsoft-com:office:smarttags" w:element="State">
          <w:r w:rsidR="001E57BE" w:rsidRPr="00B05447">
            <w:t>Victoria</w:t>
          </w:r>
        </w:smartTag>
      </w:smartTag>
      <w:r w:rsidRPr="00B05447">
        <w:t xml:space="preserve"> was that the individual police officers were personally liable to pay damages for assault, trespass, false imprisonment and malicious prosecution. The damages awarded to the author included compensatory damages, aggravated damages and </w:t>
      </w:r>
      <w:r w:rsidR="009B0CC9">
        <w:t xml:space="preserve">exemplary damages totalling </w:t>
      </w:r>
      <w:r w:rsidR="00983D99">
        <w:t>$</w:t>
      </w:r>
      <w:r w:rsidR="009B0CC9" w:rsidRPr="00983D99">
        <w:t>A</w:t>
      </w:r>
      <w:r w:rsidR="009B0CC9">
        <w:t xml:space="preserve"> </w:t>
      </w:r>
      <w:r w:rsidRPr="00B05447">
        <w:t xml:space="preserve">143,525. </w:t>
      </w:r>
      <w:r w:rsidR="001B6B79">
        <w:t>Of th</w:t>
      </w:r>
      <w:r w:rsidR="007679E2">
        <w:t>at</w:t>
      </w:r>
      <w:r w:rsidR="001B6B79">
        <w:t xml:space="preserve"> amount, she was awarded </w:t>
      </w:r>
      <w:r w:rsidR="00983D99">
        <w:t>$</w:t>
      </w:r>
      <w:r w:rsidR="001B6B79">
        <w:t xml:space="preserve">A 93,525 for the assault against her by Constable J; </w:t>
      </w:r>
      <w:r w:rsidR="00983D99">
        <w:t>$</w:t>
      </w:r>
      <w:r w:rsidR="001B6B79">
        <w:t>A 30,000 for trespass and false</w:t>
      </w:r>
      <w:r w:rsidR="00DC51F8">
        <w:t xml:space="preserve"> imprisonment </w:t>
      </w:r>
      <w:r w:rsidR="0058345E">
        <w:t>by</w:t>
      </w:r>
      <w:r w:rsidR="00DC51F8">
        <w:t xml:space="preserve"> all </w:t>
      </w:r>
      <w:r w:rsidR="0058345E">
        <w:t xml:space="preserve">the </w:t>
      </w:r>
      <w:r w:rsidR="00DC51F8">
        <w:t xml:space="preserve">defendant officers; and </w:t>
      </w:r>
      <w:r w:rsidR="00983D99">
        <w:t>$</w:t>
      </w:r>
      <w:r w:rsidR="00DC51F8">
        <w:t xml:space="preserve">A 20,000 for malicious prosecution against </w:t>
      </w:r>
      <w:r w:rsidR="0058345E">
        <w:t xml:space="preserve">her by </w:t>
      </w:r>
      <w:r w:rsidR="00DC51F8">
        <w:t xml:space="preserve">Constable J. </w:t>
      </w:r>
      <w:r w:rsidRPr="00B05447">
        <w:t xml:space="preserve">Hence, the author’s right to adequate and effective reparation has been realized. The State party does not accept that the author has successfully </w:t>
      </w:r>
      <w:r w:rsidR="001E57BE">
        <w:t>proved</w:t>
      </w:r>
      <w:r w:rsidRPr="00B05447">
        <w:t xml:space="preserve"> that she faced difficulties in enforcing the </w:t>
      </w:r>
      <w:r w:rsidR="00E0072B">
        <w:t>judgement</w:t>
      </w:r>
      <w:r w:rsidRPr="00B05447">
        <w:t xml:space="preserve"> made in her favour, as judicial processes for enforcement are available to her. In any event, a breach of article 2 cannot </w:t>
      </w:r>
      <w:r w:rsidR="001E57BE">
        <w:t xml:space="preserve">depend on </w:t>
      </w:r>
      <w:r w:rsidRPr="00B05447">
        <w:t xml:space="preserve">whether the individual police officers against whom </w:t>
      </w:r>
      <w:r w:rsidR="00E0072B">
        <w:t>judgement</w:t>
      </w:r>
      <w:r w:rsidRPr="00B05447">
        <w:t xml:space="preserve"> was made have </w:t>
      </w:r>
      <w:r w:rsidR="004E3A45">
        <w:t>the resources</w:t>
      </w:r>
      <w:r w:rsidRPr="00B05447">
        <w:t xml:space="preserve"> to pay or have assets in their name</w:t>
      </w:r>
      <w:r w:rsidR="001E57BE">
        <w:t>s</w:t>
      </w:r>
      <w:r w:rsidRPr="00B05447">
        <w:t xml:space="preserve">. </w:t>
      </w:r>
    </w:p>
    <w:p w:rsidR="00B05447" w:rsidRPr="00B05447" w:rsidRDefault="00B05447" w:rsidP="004E3A45">
      <w:pPr>
        <w:pStyle w:val="SingleTxtG"/>
      </w:pPr>
      <w:r w:rsidRPr="00B05447">
        <w:t>4.9</w:t>
      </w:r>
      <w:r w:rsidRPr="00B05447">
        <w:tab/>
        <w:t>Regarding the author’s claim that the State party breached article 2 by failing to criminally prosecute those allegedly responsible for violatin</w:t>
      </w:r>
      <w:r w:rsidR="001E57BE">
        <w:t>g</w:t>
      </w:r>
      <w:r w:rsidRPr="00B05447">
        <w:t xml:space="preserve"> her rights, the State party recalls the Committee’s jurisprudence that the Covenant does not provide a right for an individual to require that the State party criminally prosecute another person. Further, the State party has effective legal processes in place to address any alleged violations of inhuman or degrading treatment or punishment by police officers, and th</w:t>
      </w:r>
      <w:r w:rsidR="004E3A45">
        <w:t>o</w:t>
      </w:r>
      <w:r w:rsidRPr="00B05447">
        <w:t xml:space="preserve">se processes have been adequately invoked in the present case. </w:t>
      </w:r>
    </w:p>
    <w:p w:rsidR="00B05447" w:rsidRPr="00B05447" w:rsidRDefault="00B05447" w:rsidP="004E3A45">
      <w:pPr>
        <w:pStyle w:val="SingleTxtG"/>
      </w:pPr>
      <w:r w:rsidRPr="00B05447">
        <w:t>4.10</w:t>
      </w:r>
      <w:r w:rsidRPr="00B05447">
        <w:tab/>
        <w:t>The Police Regulation Act 1958 establishes a disciplinary process which is overseen by the Chief Commissioner of Police and undertaken by the Ethical Standards Department of Victoria Police. Th</w:t>
      </w:r>
      <w:r w:rsidR="004E3A45">
        <w:t>e</w:t>
      </w:r>
      <w:r w:rsidRPr="00B05447">
        <w:t xml:space="preserve"> Department is responsible for investigating police misconduct and corruption and dealing with service delivery and disciplinary issues. </w:t>
      </w:r>
      <w:r w:rsidR="004E3A45">
        <w:t>It</w:t>
      </w:r>
      <w:r w:rsidRPr="00B05447">
        <w:t xml:space="preserve"> deals with claims in a prompt and impartial manner. Since November 2004, the Office of Police Integrity has been the independent body that detects, investigates and prevents police corruption and serious misconduct. Furthermore, criminal sanctions are available for conduct constituting serious violations of human rights. The statutory requirement that the Deputy Ombudsman (Police Complaints) be informed of disciplinary investigations provides an important independent check on the adequacy and appropriateness of the disciplinary process.</w:t>
      </w:r>
    </w:p>
    <w:p w:rsidR="00B05447" w:rsidRPr="00B05447" w:rsidRDefault="00B05447" w:rsidP="004E3A45">
      <w:pPr>
        <w:pStyle w:val="SingleTxtG"/>
      </w:pPr>
      <w:r w:rsidRPr="00B05447">
        <w:t>4.11</w:t>
      </w:r>
      <w:r w:rsidRPr="00B05447">
        <w:tab/>
        <w:t xml:space="preserve">As a result of a complaint filed by the author on 21 March 1996, preliminary investigations were undertaken. The </w:t>
      </w:r>
      <w:r w:rsidR="004E3A45" w:rsidRPr="00B05447">
        <w:t xml:space="preserve">Ethical Standards </w:t>
      </w:r>
      <w:r w:rsidRPr="00B05447">
        <w:t xml:space="preserve">Department informed the author about the status of the investigations on several occasions. When the file was opened, the Department also informed the author that she could make an additional complaint to the Deputy Ombudsman (Police Complaints). The Deputy Ombudsman responded on 30 April </w:t>
      </w:r>
      <w:r w:rsidRPr="00B05447">
        <w:lastRenderedPageBreak/>
        <w:t xml:space="preserve">1997 that the time taken to arrange medical treatment for the author was not unreasonable and that the proposal to charge Sergeant C. and Constable J. with disciplinary offences was appropriate in the circumstances. As a result of the preliminary investigation, Constable J. was charged with disgraceful conduct and Sergeant C. with being negligent in the discharge of his duty. An inquiry for Constable J. was conducted on 25 August 1998 and for Sergeant C. on 31 August 1998. </w:t>
      </w:r>
      <w:r w:rsidR="00391A94">
        <w:t>As</w:t>
      </w:r>
      <w:r w:rsidRPr="00B05447">
        <w:t xml:space="preserve"> the hearing officer could not reasonably be satisfied on the evidence before him</w:t>
      </w:r>
      <w:r w:rsidR="004E3A45">
        <w:t>,</w:t>
      </w:r>
      <w:r w:rsidRPr="00B05447">
        <w:t xml:space="preserve"> all charges were dismissed. In respect of the inquiry for Constable J., the hearing officer also noted inconsistencies in the evidence provided by civilian witnesses. At the time the inquiries were concluded, the civil proceedings had not concluded and no findings of fact had been made by the trial judge which could have been considered by the hearing officer. That outcome does not undermine the adequacy of the process to respond to complaints of alleged police misconduct. It is the general practice of the Committee not to question the evaluation of the evidence made in domestic processes. </w:t>
      </w:r>
    </w:p>
    <w:p w:rsidR="00B05447" w:rsidRPr="00B05447" w:rsidRDefault="00B05447" w:rsidP="00B44490">
      <w:pPr>
        <w:pStyle w:val="SingleTxtG"/>
      </w:pPr>
      <w:r w:rsidRPr="00B05447">
        <w:t>4.12</w:t>
      </w:r>
      <w:r w:rsidRPr="00B05447">
        <w:tab/>
        <w:t xml:space="preserve">The disparity between the findings of the trial judge and the outcome of the disciplinary proceeding can be explained by reference to the different standards of proof which apply in each forum. In disciplinary proceedings involving allegations of serious misconduct, the usual civil standard requiring proof on the balance of probabilities applies, but is </w:t>
      </w:r>
      <w:r w:rsidR="004E3A45">
        <w:t>increased</w:t>
      </w:r>
      <w:r w:rsidRPr="00B05447">
        <w:t xml:space="preserve"> by an additional requirement that the degree of certainty required must be particularly high given the gravity of the consequences which flow from an adverse finding. Th</w:t>
      </w:r>
      <w:r w:rsidR="004E3A45">
        <w:t>at</w:t>
      </w:r>
      <w:r w:rsidRPr="00B05447">
        <w:t xml:space="preserve"> standard is consistent with the serious nature of such proceedings and the punishment</w:t>
      </w:r>
      <w:r w:rsidR="00B44490">
        <w:t>,</w:t>
      </w:r>
      <w:r w:rsidRPr="00B05447">
        <w:t xml:space="preserve"> including dismissal</w:t>
      </w:r>
      <w:r w:rsidR="00B44490">
        <w:t>,</w:t>
      </w:r>
      <w:r w:rsidRPr="00B05447">
        <w:t xml:space="preserve"> which can result. </w:t>
      </w:r>
    </w:p>
    <w:p w:rsidR="00B05447" w:rsidRPr="00B05447" w:rsidRDefault="0069455E" w:rsidP="0069455E">
      <w:pPr>
        <w:pStyle w:val="H4G"/>
      </w:pPr>
      <w:r>
        <w:tab/>
      </w:r>
      <w:r>
        <w:tab/>
      </w:r>
      <w:r w:rsidR="00B05447" w:rsidRPr="00B05447">
        <w:t>Claims under article 7</w:t>
      </w:r>
    </w:p>
    <w:p w:rsidR="00B05447" w:rsidRPr="00B05447" w:rsidRDefault="00B05447" w:rsidP="00B05447">
      <w:pPr>
        <w:pStyle w:val="SingleTxtG"/>
      </w:pPr>
      <w:r w:rsidRPr="00B05447">
        <w:t>4.13</w:t>
      </w:r>
      <w:r w:rsidRPr="00B05447">
        <w:tab/>
        <w:t xml:space="preserve">Based on the author’s failure to make use of all judicial and administrative avenues that offer her a reasonable prospect of redress, the State party submits that the author failed to exhaust domestic remedies. If the Committee finds that the claim under article 7 is admissible, the State party submits that the allegations are without merit. </w:t>
      </w:r>
    </w:p>
    <w:p w:rsidR="00B05447" w:rsidRPr="00B05447" w:rsidRDefault="00B05447" w:rsidP="00B44490">
      <w:pPr>
        <w:pStyle w:val="SingleTxtG"/>
      </w:pPr>
      <w:r w:rsidRPr="00B05447">
        <w:t>4.14</w:t>
      </w:r>
      <w:r w:rsidRPr="00B05447">
        <w:tab/>
        <w:t xml:space="preserve">The author’s treatment did not amount to cruel, inhuman or degrading treatment or punishment. The State party accepts that a conclusion that the treatment was unacceptable or inappropriate is open on the facts, particularly in light of the Court of Appeal’s decision to uphold the award of damages to the author for assault and false imprisonment. Nevertheless, her treatment during the incident did not amount to a breach of article 7. For treatment in the context of an arrest to be degrading, there must be an exacerbating factor beyond the usual incidents of arrest. Since arrest, like detention, contains an inherent aspect of humiliation, an element of reprehensibleness must also be present for it to qualify as a violation of article 7. Any exacerbating factor or element of reprehensibleness in the author’s purported arrest or detention was insufficient to meet the threshold level of severity required for a breach of article 7. Furthermore, the author has not substantiated </w:t>
      </w:r>
      <w:r w:rsidR="00B44490">
        <w:t xml:space="preserve">the claim </w:t>
      </w:r>
      <w:r w:rsidRPr="00B05447">
        <w:t xml:space="preserve">that she suffered ongoing adverse physical or mental effects. </w:t>
      </w:r>
    </w:p>
    <w:p w:rsidR="00B05447" w:rsidRPr="00B05447" w:rsidRDefault="00B05447" w:rsidP="0058345E">
      <w:pPr>
        <w:pStyle w:val="SingleTxtG"/>
      </w:pPr>
      <w:r w:rsidRPr="00B05447">
        <w:t>4.15</w:t>
      </w:r>
      <w:r w:rsidRPr="00B05447">
        <w:tab/>
        <w:t>Failure to provide necessary medical attention can, in certain circumstances, amount to a breach of article 7. However, in the present case police records confirm that the author received appropriate and timely medical treatment while in custody. She was treated by a doctor within 20 minutes of arriving at the police station, at 11.00 p</w:t>
      </w:r>
      <w:r w:rsidR="00B44490">
        <w:t>.</w:t>
      </w:r>
      <w:r w:rsidRPr="00B05447">
        <w:t>m</w:t>
      </w:r>
      <w:r w:rsidR="00B44490">
        <w:t>.</w:t>
      </w:r>
      <w:r w:rsidRPr="00B05447">
        <w:t xml:space="preserve"> on 9 March 1996. At midnight, an ambulance arrived </w:t>
      </w:r>
      <w:r w:rsidR="00391A94">
        <w:t>and the author was administered</w:t>
      </w:r>
      <w:r w:rsidRPr="00B05447">
        <w:t xml:space="preserve"> further treatment. She was released from custody at 12.20 a</w:t>
      </w:r>
      <w:r w:rsidR="00B44490">
        <w:t>.</w:t>
      </w:r>
      <w:r w:rsidRPr="00B05447">
        <w:t>m</w:t>
      </w:r>
      <w:r w:rsidR="00B44490">
        <w:t>.</w:t>
      </w:r>
      <w:r w:rsidRPr="00B05447">
        <w:t xml:space="preserve"> on 10 March 1996 and conveyed to hospital by ambulance. She was readmitted to hospital approximately one week </w:t>
      </w:r>
      <w:r w:rsidR="00391A94">
        <w:t xml:space="preserve">later </w:t>
      </w:r>
      <w:r w:rsidRPr="00B05447">
        <w:t xml:space="preserve">in relation to her nose injury. There is nothing to suggest that she received anything other than appropriate and timely medical treatment while in detention. On 30 April 1997, the Deputy Ombudsman observed that the time taken to arrange medical treatment </w:t>
      </w:r>
      <w:r w:rsidR="0058345E">
        <w:t>for</w:t>
      </w:r>
      <w:r w:rsidRPr="00B05447">
        <w:t xml:space="preserve"> the author was not unreasonable. </w:t>
      </w:r>
    </w:p>
    <w:p w:rsidR="00B05447" w:rsidRPr="00B05447" w:rsidRDefault="00B05447" w:rsidP="00F92B8F">
      <w:pPr>
        <w:pStyle w:val="SingleTxtG"/>
      </w:pPr>
      <w:r w:rsidRPr="00B05447">
        <w:lastRenderedPageBreak/>
        <w:t>4.16</w:t>
      </w:r>
      <w:r w:rsidRPr="00B05447">
        <w:tab/>
        <w:t xml:space="preserve">The author claims that the failure to effectively investigate and discipline police involved in the raid condones </w:t>
      </w:r>
      <w:r w:rsidR="0058345E">
        <w:t xml:space="preserve">violations </w:t>
      </w:r>
      <w:r w:rsidR="0058345E" w:rsidRPr="00B05447">
        <w:t>of article 7</w:t>
      </w:r>
      <w:r w:rsidR="0058345E">
        <w:t xml:space="preserve"> </w:t>
      </w:r>
      <w:r w:rsidRPr="00B05447">
        <w:t>and effectively authorizes further potential violations. However, th</w:t>
      </w:r>
      <w:r w:rsidR="00B44490">
        <w:t>at</w:t>
      </w:r>
      <w:r w:rsidRPr="00B05447">
        <w:t xml:space="preserve"> claim overlaps with he</w:t>
      </w:r>
      <w:r w:rsidR="00391A94">
        <w:t>r</w:t>
      </w:r>
      <w:r w:rsidRPr="00B05447">
        <w:t xml:space="preserve"> claim </w:t>
      </w:r>
      <w:r w:rsidR="00391A94">
        <w:t>under</w:t>
      </w:r>
      <w:r w:rsidRPr="00B05447">
        <w:t xml:space="preserve"> article 2 and should be considered in conjunction with </w:t>
      </w:r>
      <w:r w:rsidR="00391A94">
        <w:t>it</w:t>
      </w:r>
      <w:r w:rsidRPr="00B05447">
        <w:t xml:space="preserve">. States have an obligation to ensure that complaints made in relation to article 7 are investigated promptly and impartially by competent authorities. In the present case, the successful civil action against members of </w:t>
      </w:r>
      <w:r w:rsidR="00BC61D3">
        <w:t>the</w:t>
      </w:r>
      <w:r w:rsidRPr="00B05447">
        <w:t xml:space="preserve"> </w:t>
      </w:r>
      <w:r w:rsidR="00B44490">
        <w:t>p</w:t>
      </w:r>
      <w:r w:rsidRPr="00B05447">
        <w:t xml:space="preserve">olice demonstrates that individuals remain liable for their acts and omissions. If, as the author proposes, civil liability for all acts and omissions of police officers were to be transferred to the state, </w:t>
      </w:r>
      <w:r w:rsidR="00B44490">
        <w:t>i</w:t>
      </w:r>
      <w:r w:rsidRPr="00B05447">
        <w:t>t would effectively absolve individuals of their potential individual civil liability. Th</w:t>
      </w:r>
      <w:r w:rsidR="00B44490">
        <w:t>at</w:t>
      </w:r>
      <w:r w:rsidRPr="00B05447">
        <w:t xml:space="preserve"> liability acts as an important deterrent to police officers. </w:t>
      </w:r>
    </w:p>
    <w:p w:rsidR="00B05447" w:rsidRPr="00B05447" w:rsidRDefault="0069455E" w:rsidP="0069455E">
      <w:pPr>
        <w:pStyle w:val="H4G"/>
      </w:pPr>
      <w:r>
        <w:tab/>
      </w:r>
      <w:r>
        <w:tab/>
      </w:r>
      <w:r w:rsidR="00B05447" w:rsidRPr="00B05447">
        <w:t>Claim under article 9, paragraph 1</w:t>
      </w:r>
    </w:p>
    <w:p w:rsidR="00B05447" w:rsidRPr="00B05447" w:rsidRDefault="00B05447" w:rsidP="00B44490">
      <w:pPr>
        <w:pStyle w:val="SingleTxtG"/>
      </w:pPr>
      <w:r w:rsidRPr="00B05447">
        <w:t>4.17</w:t>
      </w:r>
      <w:r w:rsidRPr="00B05447">
        <w:tab/>
      </w:r>
      <w:r w:rsidR="00B44490">
        <w:t>T</w:t>
      </w:r>
      <w:r w:rsidRPr="00B05447">
        <w:t>he State party argues that domestic remedies have not been exhausted and that the claim is without merit. The author’s purported arrest and detention should not be characterized as unlawful or arbitrary in the context of article 9, paragraph 1. As was recognized by the Court of Appeal</w:t>
      </w:r>
      <w:r w:rsidR="00B44490" w:rsidRPr="00B44490">
        <w:t xml:space="preserve"> </w:t>
      </w:r>
      <w:r w:rsidR="00B44490">
        <w:t xml:space="preserve">of </w:t>
      </w:r>
      <w:r w:rsidR="00B44490" w:rsidRPr="00B05447">
        <w:t>Victoria</w:t>
      </w:r>
      <w:r w:rsidRPr="00B05447">
        <w:t>, the members of Victoria Police involved in the raid were of the opinion that they had authority to enter the premises and arrest the author under section 459A of the Crimes Act 1958 (Vic</w:t>
      </w:r>
      <w:r w:rsidR="00B44490">
        <w:t>toria</w:t>
      </w:r>
      <w:r w:rsidRPr="00B05447">
        <w:t xml:space="preserve">). </w:t>
      </w:r>
    </w:p>
    <w:p w:rsidR="00B05447" w:rsidRPr="00B05447" w:rsidRDefault="0069455E" w:rsidP="0069455E">
      <w:pPr>
        <w:pStyle w:val="H4G"/>
      </w:pPr>
      <w:r>
        <w:tab/>
      </w:r>
      <w:r>
        <w:tab/>
      </w:r>
      <w:r w:rsidR="00B05447" w:rsidRPr="00B05447">
        <w:t>Claim under article 10</w:t>
      </w:r>
    </w:p>
    <w:p w:rsidR="00B05447" w:rsidRPr="00B05447" w:rsidRDefault="00B05447" w:rsidP="00B44490">
      <w:pPr>
        <w:pStyle w:val="SingleTxtG"/>
      </w:pPr>
      <w:r w:rsidRPr="00B05447">
        <w:t>4.18</w:t>
      </w:r>
      <w:r w:rsidRPr="00B05447">
        <w:tab/>
      </w:r>
      <w:r w:rsidR="00B44490">
        <w:t>T</w:t>
      </w:r>
      <w:r w:rsidRPr="00B05447">
        <w:t>he State party argues that domestic remedies have not been exhausted and that the claim is without merit. Further, the author does not clearly identify which treatment is alleged to f</w:t>
      </w:r>
      <w:r w:rsidR="00C9129C">
        <w:t>all within the scope of article </w:t>
      </w:r>
      <w:r w:rsidRPr="00B05447">
        <w:t xml:space="preserve">10. </w:t>
      </w:r>
    </w:p>
    <w:p w:rsidR="00B05447" w:rsidRPr="00B05447" w:rsidRDefault="00B05447" w:rsidP="00B44490">
      <w:pPr>
        <w:pStyle w:val="SingleTxtG"/>
      </w:pPr>
      <w:r w:rsidRPr="00B05447">
        <w:t>4.19</w:t>
      </w:r>
      <w:r w:rsidRPr="00B05447">
        <w:tab/>
        <w:t>The principle that treatment prohibited by the Covenant under article 7 must entail elements beyond the mere fact of deprivation of liberty is also relevant to article 10. Any element of humiliation that may have accompanied the handcuffing and detention was insufficient to meet the threshold required to establish a breach of article 10. Following her arrest, the author was brought directly to the police station</w:t>
      </w:r>
      <w:r w:rsidR="00F92B8F">
        <w:t>,</w:t>
      </w:r>
      <w:r w:rsidRPr="00B05447">
        <w:t xml:space="preserve"> where her handcuffs were removed. Handcuffing, in the context of what was considered to be a lawful arrest, and in the context of her clear non-cooperation with police, was not unreasonable in the circumstances. The </w:t>
      </w:r>
      <w:r w:rsidR="00B44490" w:rsidRPr="00B05447">
        <w:t>author</w:t>
      </w:r>
      <w:r w:rsidR="00B44490">
        <w:t>’s</w:t>
      </w:r>
      <w:r w:rsidR="00B44490" w:rsidRPr="00B05447">
        <w:t xml:space="preserve"> </w:t>
      </w:r>
      <w:r w:rsidRPr="00B05447">
        <w:t xml:space="preserve">alleged </w:t>
      </w:r>
      <w:r w:rsidR="00B44490">
        <w:t>inability to</w:t>
      </w:r>
      <w:r w:rsidRPr="00B05447">
        <w:t xml:space="preserve"> reduc</w:t>
      </w:r>
      <w:r w:rsidR="00B44490">
        <w:t>e</w:t>
      </w:r>
      <w:r w:rsidRPr="00B05447">
        <w:t xml:space="preserve"> the pain and blood flow from her nose or otherwise reliev</w:t>
      </w:r>
      <w:r w:rsidR="00B44490">
        <w:t>e</w:t>
      </w:r>
      <w:r w:rsidRPr="00B05447">
        <w:t xml:space="preserve"> her injuries was insufficient to reach the level of humiliation or debasement prohibited by article 10. Consequently, the purported arrest, handcuffing and detention cannot in themselves amount to a breach of </w:t>
      </w:r>
      <w:r w:rsidR="00B44490">
        <w:t>article 10</w:t>
      </w:r>
      <w:r w:rsidRPr="00B05447">
        <w:t xml:space="preserve">. </w:t>
      </w:r>
    </w:p>
    <w:p w:rsidR="00B05447" w:rsidRPr="00B05447" w:rsidRDefault="00B05447" w:rsidP="00B83146">
      <w:pPr>
        <w:pStyle w:val="SingleTxtG"/>
      </w:pPr>
      <w:r w:rsidRPr="00B05447">
        <w:t>4.20</w:t>
      </w:r>
      <w:r w:rsidRPr="00B05447">
        <w:tab/>
        <w:t>As to the alleged delay in medical treatment, the State party submits that the author’s treatment in detention did not breach article 10. Police records confirm that the author received prompt medical treatment while in custody. There was no medical advice to indicate that she should not be detained. The nature of her injuries and the short period of detention are relevant considerations in th</w:t>
      </w:r>
      <w:r w:rsidR="00B83146">
        <w:t>at</w:t>
      </w:r>
      <w:r w:rsidRPr="00B05447">
        <w:t xml:space="preserve"> regard. The author was briefly admitted to hospital within hours of her arrest and was subsequently discharged. She did not spend a significant period in hospital until almost a week after the incident, indicating that the treatment she required was not urgent. </w:t>
      </w:r>
    </w:p>
    <w:p w:rsidR="00B05447" w:rsidRPr="00B05447" w:rsidRDefault="0069455E" w:rsidP="0069455E">
      <w:pPr>
        <w:pStyle w:val="H4G"/>
      </w:pPr>
      <w:r>
        <w:tab/>
      </w:r>
      <w:r>
        <w:tab/>
      </w:r>
      <w:r w:rsidR="00B05447" w:rsidRPr="00B05447">
        <w:t>Claim under article 17</w:t>
      </w:r>
    </w:p>
    <w:p w:rsidR="00B05447" w:rsidRPr="00B05447" w:rsidRDefault="00B05447" w:rsidP="00B83146">
      <w:pPr>
        <w:pStyle w:val="SingleTxtG"/>
      </w:pPr>
      <w:r w:rsidRPr="00B05447">
        <w:t>4.21</w:t>
      </w:r>
      <w:r w:rsidRPr="00B05447">
        <w:tab/>
      </w:r>
      <w:r w:rsidR="00B83146">
        <w:t>T</w:t>
      </w:r>
      <w:r w:rsidRPr="00B05447">
        <w:t xml:space="preserve">he State party argues that domestic remedies have not been exhausted and that the claim is without merit. The State party reiterates its arguments in connection with article 9 of the Covenant and submits that the author has presented no evidence to suggest that her honour and reputation were maliciously attacked. To the extent that the charges against </w:t>
      </w:r>
      <w:r w:rsidR="00BC61D3">
        <w:t>her</w:t>
      </w:r>
      <w:r w:rsidRPr="00B05447">
        <w:t xml:space="preserve"> may have been prosecuted without reasonable cause and maliciously, she was successful in her claim for malicious prosecution against Constable J. </w:t>
      </w:r>
    </w:p>
    <w:p w:rsidR="00B05447" w:rsidRPr="00B05447" w:rsidRDefault="0069455E" w:rsidP="00B83146">
      <w:pPr>
        <w:pStyle w:val="H23G"/>
      </w:pPr>
      <w:r>
        <w:lastRenderedPageBreak/>
        <w:tab/>
      </w:r>
      <w:r>
        <w:tab/>
      </w:r>
      <w:r w:rsidR="00B05447" w:rsidRPr="00B05447">
        <w:t>Author’s comments o</w:t>
      </w:r>
      <w:r w:rsidR="00B83146">
        <w:t>n</w:t>
      </w:r>
      <w:r w:rsidR="00B05447" w:rsidRPr="00B05447">
        <w:t xml:space="preserve"> the Stat</w:t>
      </w:r>
      <w:r w:rsidR="0084312A">
        <w:t>e</w:t>
      </w:r>
      <w:r w:rsidR="00B05447" w:rsidRPr="00B05447">
        <w:t xml:space="preserve"> party’s observations</w:t>
      </w:r>
    </w:p>
    <w:p w:rsidR="00B05447" w:rsidRPr="00B05447" w:rsidRDefault="00B05447" w:rsidP="00D54428">
      <w:pPr>
        <w:pStyle w:val="SingleTxtG"/>
      </w:pPr>
      <w:r w:rsidRPr="00B05447">
        <w:t>5.1</w:t>
      </w:r>
      <w:r w:rsidRPr="00B05447">
        <w:tab/>
        <w:t>On 2 July 2010</w:t>
      </w:r>
      <w:r w:rsidR="00D54428">
        <w:t>,</w:t>
      </w:r>
      <w:r w:rsidRPr="00B05447">
        <w:t xml:space="preserve"> the author submitted comments o</w:t>
      </w:r>
      <w:r w:rsidR="00D54428">
        <w:t>n</w:t>
      </w:r>
      <w:r w:rsidRPr="00B05447">
        <w:t xml:space="preserve"> the State party’s observations. The author reiterates her allegations and states that she has exhausted all avenues in seeking to recover the </w:t>
      </w:r>
      <w:r w:rsidR="00E0072B">
        <w:t>judgement</w:t>
      </w:r>
      <w:r w:rsidRPr="00B05447">
        <w:t xml:space="preserve"> debt. </w:t>
      </w:r>
    </w:p>
    <w:p w:rsidR="00B05447" w:rsidRPr="00B05447" w:rsidRDefault="00B05447" w:rsidP="00F92B8F">
      <w:pPr>
        <w:pStyle w:val="SingleTxtG"/>
      </w:pPr>
      <w:r w:rsidRPr="00B05447">
        <w:t>5.2</w:t>
      </w:r>
      <w:r w:rsidRPr="00B05447">
        <w:tab/>
        <w:t>Once the judgements became enforceable against the individual police officers, letters of demand were forwarded to them seeking payment of the amounts owed to the author. In response, the police officers’ counsel informed the author’s counsel that Constable J. had declared himself bankrupt and therefore the author was prevented, under the provisions of the Bankruptcy Act, from pursuing any further action against him. As for the remaining defendants, they had minimal assets, a</w:t>
      </w:r>
      <w:r w:rsidR="007679E2">
        <w:t>ccording to</w:t>
      </w:r>
      <w:r w:rsidRPr="00B05447">
        <w:t xml:space="preserve"> the research undertaken by the author’s counsel. Under Australian law, superannuation is not accessible in a bankruptcy</w:t>
      </w:r>
      <w:r w:rsidR="007679E2">
        <w:t>.</w:t>
      </w:r>
      <w:r w:rsidRPr="00B05447">
        <w:t xml:space="preserve"> </w:t>
      </w:r>
      <w:r w:rsidR="007679E2">
        <w:t>T</w:t>
      </w:r>
      <w:r w:rsidRPr="00B05447">
        <w:t xml:space="preserve">herefore, effectively, if any of the defendants were declared bankrupt, they would have no assets which would be distributable to the author and the other plaintiffs. A </w:t>
      </w:r>
      <w:r w:rsidR="00F92B8F">
        <w:t>w</w:t>
      </w:r>
      <w:r w:rsidRPr="00B05447">
        <w:t xml:space="preserve">arrant of </w:t>
      </w:r>
      <w:r w:rsidR="00F92B8F">
        <w:t>s</w:t>
      </w:r>
      <w:r w:rsidRPr="00B05447">
        <w:t xml:space="preserve">eizure and </w:t>
      </w:r>
      <w:r w:rsidR="00F92B8F">
        <w:t>s</w:t>
      </w:r>
      <w:r w:rsidRPr="00B05447">
        <w:t xml:space="preserve">ale, or a </w:t>
      </w:r>
      <w:r w:rsidR="00F92B8F">
        <w:t>c</w:t>
      </w:r>
      <w:r w:rsidRPr="00B05447">
        <w:t xml:space="preserve">harging </w:t>
      </w:r>
      <w:r w:rsidR="00F92B8F">
        <w:t>o</w:t>
      </w:r>
      <w:r w:rsidRPr="00B05447">
        <w:t>rder against a property of a debtor is only of benefit if there are assets which c</w:t>
      </w:r>
      <w:r w:rsidR="007679E2">
        <w:t>an</w:t>
      </w:r>
      <w:r w:rsidRPr="00B05447">
        <w:t xml:space="preserve"> be seized or property which can be charged. </w:t>
      </w:r>
      <w:r w:rsidR="007679E2">
        <w:t>T</w:t>
      </w:r>
      <w:r w:rsidRPr="00B05447">
        <w:t xml:space="preserve">he author’s counsel, having obtained information from the </w:t>
      </w:r>
      <w:r w:rsidR="00447706">
        <w:t>d</w:t>
      </w:r>
      <w:r w:rsidRPr="00B05447">
        <w:t>efendants and carri</w:t>
      </w:r>
      <w:r w:rsidR="007679E2">
        <w:t>ed</w:t>
      </w:r>
      <w:r w:rsidRPr="00B05447">
        <w:t xml:space="preserve"> out his own searches, </w:t>
      </w:r>
      <w:r w:rsidR="007679E2">
        <w:t>was of the view that</w:t>
      </w:r>
      <w:r w:rsidR="007679E2" w:rsidRPr="00B05447" w:rsidDel="007679E2">
        <w:t xml:space="preserve"> </w:t>
      </w:r>
      <w:r w:rsidRPr="00B05447">
        <w:t xml:space="preserve">any application to issue a </w:t>
      </w:r>
      <w:r w:rsidR="00F92B8F">
        <w:t>w</w:t>
      </w:r>
      <w:r w:rsidRPr="00B05447">
        <w:t xml:space="preserve">arrant or a </w:t>
      </w:r>
      <w:r w:rsidR="00F92B8F">
        <w:t>c</w:t>
      </w:r>
      <w:r w:rsidRPr="00B05447">
        <w:t xml:space="preserve">harging </w:t>
      </w:r>
      <w:r w:rsidR="00F92B8F">
        <w:t>o</w:t>
      </w:r>
      <w:r w:rsidRPr="00B05447">
        <w:t xml:space="preserve">rder would be futile and result in no monies being available. Accordingly, the author’s counsel </w:t>
      </w:r>
      <w:r w:rsidR="00447706">
        <w:t xml:space="preserve">opted </w:t>
      </w:r>
      <w:r w:rsidR="007679E2">
        <w:t>t</w:t>
      </w:r>
      <w:r w:rsidR="00447706">
        <w:t xml:space="preserve">o </w:t>
      </w:r>
      <w:r w:rsidRPr="00B05447">
        <w:t>attempt to negotiate a settlement. As a result, the non-bankrupt defendants offered a final settlement of $</w:t>
      </w:r>
      <w:r w:rsidR="00983D99">
        <w:t>A</w:t>
      </w:r>
      <w:r w:rsidRPr="00B05447">
        <w:t xml:space="preserve"> 45,000</w:t>
      </w:r>
      <w:r w:rsidR="00F92B8F">
        <w:t>,</w:t>
      </w:r>
      <w:r w:rsidRPr="00B05447">
        <w:t xml:space="preserve"> payable to the author and her three co-plaintiffs. Th</w:t>
      </w:r>
      <w:r w:rsidR="007679E2">
        <w:t>at</w:t>
      </w:r>
      <w:r w:rsidRPr="00B05447">
        <w:t xml:space="preserve"> settlement was accepted. Constable J. was obliged to notify the Trustee in Bankruptcy of the money owed to the author. As no communication was received from the Trustee, it was apparent that no funds were available for distribution to the creditors.</w:t>
      </w:r>
    </w:p>
    <w:p w:rsidR="00B05447" w:rsidRPr="00B05447" w:rsidRDefault="00B05447" w:rsidP="004603D1">
      <w:pPr>
        <w:pStyle w:val="SingleTxtG"/>
      </w:pPr>
      <w:r w:rsidRPr="00B05447">
        <w:t>5.3</w:t>
      </w:r>
      <w:r w:rsidRPr="00B05447">
        <w:tab/>
        <w:t xml:space="preserve">Regarding the State party’s observation that </w:t>
      </w:r>
      <w:r w:rsidR="007241AB">
        <w:t>t</w:t>
      </w:r>
      <w:r w:rsidRPr="00B05447">
        <w:t xml:space="preserve">he </w:t>
      </w:r>
      <w:r w:rsidR="007241AB">
        <w:t xml:space="preserve">author </w:t>
      </w:r>
      <w:r w:rsidRPr="00B05447">
        <w:t xml:space="preserve">could have pursued a claim for compensation in the Victims of Crime Assistance Tribunal, </w:t>
      </w:r>
      <w:r w:rsidR="007241AB">
        <w:t>s</w:t>
      </w:r>
      <w:r w:rsidRPr="00B05447">
        <w:t>he states that the Tribunal does not provide compensation for pain and suffering and focuses on timely and practical measures to assist victim</w:t>
      </w:r>
      <w:r w:rsidR="007241AB">
        <w:t>s</w:t>
      </w:r>
      <w:r w:rsidRPr="00B05447">
        <w:t xml:space="preserve"> of crime. The Tribunal may award amounts as financial assistance and special financial assistance. Financial assistance is granted for medical and counselling expenses, loss of earnings and damage to clothes during </w:t>
      </w:r>
      <w:r w:rsidR="007241AB">
        <w:t>an</w:t>
      </w:r>
      <w:r w:rsidRPr="00B05447">
        <w:t xml:space="preserve"> act of violence. Special financial assistance may be seen as compensatory in nature. The Tribunal awards modest amounts when an applicant suffers any significant adverse effect as a direct result of an act of violence. </w:t>
      </w:r>
      <w:r w:rsidR="00447706">
        <w:t>It</w:t>
      </w:r>
      <w:r w:rsidRPr="00B05447">
        <w:t xml:space="preserve"> uses categories of offences to determine the maximum level of special financial assistance to be awarded. It is possible that in the author’s case, if she d</w:t>
      </w:r>
      <w:r w:rsidR="007241AB">
        <w:t>id</w:t>
      </w:r>
      <w:r w:rsidRPr="00B05447">
        <w:t xml:space="preserve"> not establish that she </w:t>
      </w:r>
      <w:r w:rsidR="00F20290">
        <w:t xml:space="preserve">had </w:t>
      </w:r>
      <w:r w:rsidRPr="00B05447">
        <w:t>suffered a very serious injury, she would be eligible for financial assistance of either $</w:t>
      </w:r>
      <w:r w:rsidR="00983D99">
        <w:t xml:space="preserve">A </w:t>
      </w:r>
      <w:r w:rsidRPr="00B05447">
        <w:t>130</w:t>
      </w:r>
      <w:r w:rsidR="00983D99">
        <w:t>–</w:t>
      </w:r>
      <w:r w:rsidRPr="00B05447">
        <w:t>$</w:t>
      </w:r>
      <w:r w:rsidR="00983D99">
        <w:t xml:space="preserve">A </w:t>
      </w:r>
      <w:r w:rsidRPr="00B05447">
        <w:t>650 or $</w:t>
      </w:r>
      <w:r w:rsidR="00983D99">
        <w:t xml:space="preserve">A </w:t>
      </w:r>
      <w:r w:rsidRPr="00B05447">
        <w:t>650</w:t>
      </w:r>
      <w:r w:rsidR="00983D99">
        <w:t>–</w:t>
      </w:r>
      <w:r w:rsidRPr="00B05447">
        <w:t>$</w:t>
      </w:r>
      <w:r w:rsidR="00983D99">
        <w:t xml:space="preserve">A </w:t>
      </w:r>
      <w:r w:rsidRPr="00B05447">
        <w:t>1</w:t>
      </w:r>
      <w:r w:rsidR="00983D99">
        <w:t>,</w:t>
      </w:r>
      <w:r w:rsidRPr="00B05447">
        <w:t xml:space="preserve">300, </w:t>
      </w:r>
      <w:r w:rsidR="00F20290">
        <w:t xml:space="preserve">which are the </w:t>
      </w:r>
      <w:r w:rsidRPr="00B05447">
        <w:t xml:space="preserve">amounts awarded </w:t>
      </w:r>
      <w:r w:rsidR="00F20290">
        <w:t>for</w:t>
      </w:r>
      <w:r w:rsidRPr="00B05447">
        <w:t xml:space="preserve"> offences </w:t>
      </w:r>
      <w:r w:rsidR="00F20290">
        <w:t xml:space="preserve">that result </w:t>
      </w:r>
      <w:r w:rsidRPr="00B05447">
        <w:t xml:space="preserve">in serious injury and assault respectively. The awards are symbolic and are not intended to reflect the level of compensation to which victims of crime may be entitled </w:t>
      </w:r>
      <w:r w:rsidR="00F20290">
        <w:t>under</w:t>
      </w:r>
      <w:r w:rsidRPr="00B05447">
        <w:t xml:space="preserve"> common law or otherwise. An extendable time limit of two years applies to claims before the Tribunal. The presumption is that </w:t>
      </w:r>
      <w:r w:rsidR="004603D1">
        <w:t xml:space="preserve">an </w:t>
      </w:r>
      <w:r w:rsidRPr="00B05447">
        <w:t>application</w:t>
      </w:r>
      <w:r w:rsidR="004603D1">
        <w:t xml:space="preserve"> concerning the present communication </w:t>
      </w:r>
      <w:r w:rsidRPr="00B05447">
        <w:t>w</w:t>
      </w:r>
      <w:r w:rsidR="004603D1">
        <w:t>ou</w:t>
      </w:r>
      <w:r w:rsidRPr="00B05447">
        <w:t>l</w:t>
      </w:r>
      <w:r w:rsidR="004603D1">
        <w:t>d</w:t>
      </w:r>
      <w:r w:rsidRPr="00B05447">
        <w:t xml:space="preserve"> be </w:t>
      </w:r>
      <w:r w:rsidR="004603D1">
        <w:t>inadmissible</w:t>
      </w:r>
      <w:r w:rsidRPr="00B05447">
        <w:t>, since the incident occurred in 1996.</w:t>
      </w:r>
    </w:p>
    <w:p w:rsidR="00B05447" w:rsidRPr="00B05447" w:rsidRDefault="00B05447" w:rsidP="004603D1">
      <w:pPr>
        <w:pStyle w:val="SingleTxtG"/>
      </w:pPr>
      <w:r w:rsidRPr="00B05447">
        <w:t>5.4</w:t>
      </w:r>
      <w:r w:rsidRPr="00B05447">
        <w:tab/>
        <w:t xml:space="preserve">Furthermore, the Tribunal does not make any findings of guilt. Its investigative powers are limited to establishing whether an act of violence occurred and whether the application for financial assistance should be granted to meet expenses related to that act. </w:t>
      </w:r>
      <w:r w:rsidR="004603D1">
        <w:t>I</w:t>
      </w:r>
      <w:r w:rsidR="004603D1" w:rsidRPr="00B05447">
        <w:t>t</w:t>
      </w:r>
      <w:r w:rsidR="004603D1" w:rsidRPr="00B05447" w:rsidDel="00447706">
        <w:t xml:space="preserve"> </w:t>
      </w:r>
      <w:r w:rsidRPr="00B05447">
        <w:t xml:space="preserve">does not have the capacity to remedy the breaches outlined in the present communication. Accordingly, an award from </w:t>
      </w:r>
      <w:r w:rsidR="004603D1">
        <w:t>t</w:t>
      </w:r>
      <w:r w:rsidR="004603D1" w:rsidRPr="00B05447">
        <w:t xml:space="preserve">he Tribunal </w:t>
      </w:r>
      <w:r w:rsidRPr="00B05447">
        <w:t>is not an effective remedy for the author. To comply with the requirement to exhaust domestic remedies an author must access those remedies which are available and effective in redressing the wrong. Such remedies must also provide the State with an opportunity to respond to and remedy the issue within its jurisdiction.</w:t>
      </w:r>
      <w:r w:rsidR="00C9129C">
        <w:t xml:space="preserve"> </w:t>
      </w:r>
    </w:p>
    <w:p w:rsidR="00B05447" w:rsidRPr="00B05447" w:rsidRDefault="00B05447" w:rsidP="00F92B8F">
      <w:pPr>
        <w:pStyle w:val="SingleTxtG"/>
      </w:pPr>
      <w:r w:rsidRPr="00B05447">
        <w:t>5.5</w:t>
      </w:r>
      <w:r w:rsidRPr="00B05447">
        <w:tab/>
        <w:t xml:space="preserve">The author disagrees with the State party’s arguments regarding the individual responsibility of perpetrators. It is the State’s responsibility to ensure that its police do not </w:t>
      </w:r>
      <w:r w:rsidRPr="00B05447">
        <w:lastRenderedPageBreak/>
        <w:t xml:space="preserve">violate human rights and to remedy violations </w:t>
      </w:r>
      <w:r w:rsidR="006526D1">
        <w:t>when they occur</w:t>
      </w:r>
      <w:r w:rsidRPr="00B05447">
        <w:t xml:space="preserve">. By directly compensating </w:t>
      </w:r>
      <w:r w:rsidR="006526D1">
        <w:t>victims</w:t>
      </w:r>
      <w:r w:rsidR="004603D1">
        <w:t>,</w:t>
      </w:r>
      <w:r w:rsidRPr="00B05447">
        <w:t xml:space="preserve"> the State ensures that its obligations </w:t>
      </w:r>
      <w:r w:rsidR="006526D1">
        <w:t>in th</w:t>
      </w:r>
      <w:r w:rsidR="004603D1">
        <w:t>at</w:t>
      </w:r>
      <w:r w:rsidR="006526D1">
        <w:t xml:space="preserve"> respect </w:t>
      </w:r>
      <w:r w:rsidRPr="00B05447">
        <w:t>are fulfilled. Such a position does not relieve the individual perpetrators of liability</w:t>
      </w:r>
      <w:r w:rsidR="006526D1">
        <w:t xml:space="preserve"> </w:t>
      </w:r>
      <w:r w:rsidRPr="00B05447">
        <w:t xml:space="preserve">in civil proceedings. It is also </w:t>
      </w:r>
      <w:r w:rsidR="008F3916">
        <w:t>possible</w:t>
      </w:r>
      <w:r w:rsidRPr="00B05447">
        <w:t xml:space="preserve"> for the State to pursue the individual perpetrators for reimbursement. </w:t>
      </w:r>
      <w:r w:rsidR="008F3916">
        <w:t>C</w:t>
      </w:r>
      <w:r w:rsidRPr="00B05447">
        <w:t xml:space="preserve">urrently, the practical effect of </w:t>
      </w:r>
      <w:r w:rsidR="00D060AB">
        <w:t>s</w:t>
      </w:r>
      <w:r w:rsidRPr="00B05447">
        <w:t xml:space="preserve">ection 123 of the Police Regulation Act is to absolve the State of responsibility for police who act in bad faith, unreasonably and outside the course of their duty. In </w:t>
      </w:r>
      <w:r w:rsidR="008F3916">
        <w:t xml:space="preserve">the </w:t>
      </w:r>
      <w:r w:rsidRPr="00B05447">
        <w:t>light of th</w:t>
      </w:r>
      <w:r w:rsidR="008F3916">
        <w:t>at</w:t>
      </w:r>
      <w:r w:rsidRPr="00B05447">
        <w:t xml:space="preserve">, the State of </w:t>
      </w:r>
      <w:smartTag w:uri="urn:schemas-microsoft-com:office:smarttags" w:element="place">
        <w:smartTag w:uri="urn:schemas-microsoft-com:office:smarttags" w:element="State">
          <w:r w:rsidRPr="00B05447">
            <w:t>Victoria</w:t>
          </w:r>
        </w:smartTag>
      </w:smartTag>
      <w:r w:rsidRPr="00B05447">
        <w:t xml:space="preserve"> is obliged to change its domestic laws, as other </w:t>
      </w:r>
      <w:r w:rsidR="00F92B8F">
        <w:t>s</w:t>
      </w:r>
      <w:r w:rsidRPr="00B05447">
        <w:t xml:space="preserve">tates </w:t>
      </w:r>
      <w:r w:rsidR="008F3916">
        <w:t xml:space="preserve">have </w:t>
      </w:r>
      <w:r w:rsidRPr="00B05447">
        <w:t>already d</w:t>
      </w:r>
      <w:r w:rsidR="008F3916">
        <w:t>one</w:t>
      </w:r>
      <w:r w:rsidRPr="00B05447">
        <w:t xml:space="preserve">. </w:t>
      </w:r>
      <w:r w:rsidR="006526D1">
        <w:t>Furthermore, p</w:t>
      </w:r>
      <w:r w:rsidRPr="00B05447">
        <w:t xml:space="preserve">olice violence occurs in part </w:t>
      </w:r>
      <w:r w:rsidR="008F3916">
        <w:t>owing</w:t>
      </w:r>
      <w:r w:rsidRPr="00B05447">
        <w:t xml:space="preserve"> to systemic failures in training, oversight and disciplinary measures. State liability for the actions of its agents ensures that such systemic failures are addressed.</w:t>
      </w:r>
    </w:p>
    <w:p w:rsidR="00B05447" w:rsidRPr="00B05447" w:rsidRDefault="00B05447" w:rsidP="00E365CD">
      <w:pPr>
        <w:pStyle w:val="SingleTxtG"/>
      </w:pPr>
      <w:r w:rsidRPr="00B05447">
        <w:t>5.6</w:t>
      </w:r>
      <w:r w:rsidRPr="00B05447">
        <w:tab/>
      </w:r>
      <w:r w:rsidRPr="00E365CD">
        <w:t xml:space="preserve">Regarding the State party’s observations on the effectiveness of the </w:t>
      </w:r>
      <w:r w:rsidR="008F3916" w:rsidRPr="00E365CD">
        <w:t>disciplinary</w:t>
      </w:r>
      <w:r w:rsidR="008F3916" w:rsidRPr="00B05447">
        <w:t xml:space="preserve"> system</w:t>
      </w:r>
      <w:r w:rsidR="008F3916" w:rsidRPr="00B05447" w:rsidDel="008F3916">
        <w:t xml:space="preserve"> </w:t>
      </w:r>
      <w:r w:rsidR="008F3916">
        <w:t xml:space="preserve">in </w:t>
      </w:r>
      <w:smartTag w:uri="urn:schemas-microsoft-com:office:smarttags" w:element="place">
        <w:smartTag w:uri="urn:schemas-microsoft-com:office:smarttags" w:element="State">
          <w:r w:rsidRPr="00B05447">
            <w:t>Victoria</w:t>
          </w:r>
        </w:smartTag>
      </w:smartTag>
      <w:r w:rsidR="008F3916">
        <w:t>,</w:t>
      </w:r>
      <w:r w:rsidRPr="00B05447">
        <w:t xml:space="preserve"> the author argues that the Ethical Standards Department lacks practical independence</w:t>
      </w:r>
      <w:r w:rsidR="006526D1">
        <w:t xml:space="preserve"> and that f</w:t>
      </w:r>
      <w:r w:rsidRPr="00B05447">
        <w:t xml:space="preserve">indings of criminal or torturous conduct against police are rare. </w:t>
      </w:r>
      <w:r w:rsidR="006526D1">
        <w:t>She claims that she</w:t>
      </w:r>
      <w:r w:rsidRPr="00B05447">
        <w:t xml:space="preserve"> was not called to give evidence in the hearing of the disciplinary charge against Constable J</w:t>
      </w:r>
      <w:r w:rsidR="008F3916">
        <w:t>. and nor</w:t>
      </w:r>
      <w:r w:rsidRPr="00B05447">
        <w:t xml:space="preserve"> were any of the civilian witnesses. The hearing occurred two years after the incident and the investigation took 11 months. Such a delay is inexcusable. </w:t>
      </w:r>
    </w:p>
    <w:p w:rsidR="00B05447" w:rsidRPr="00B05447" w:rsidRDefault="00B05447" w:rsidP="00E365CD">
      <w:pPr>
        <w:pStyle w:val="SingleTxtG"/>
      </w:pPr>
      <w:r w:rsidRPr="00B05447">
        <w:t>5.7</w:t>
      </w:r>
      <w:r w:rsidRPr="00B05447">
        <w:tab/>
        <w:t>The author request</w:t>
      </w:r>
      <w:r w:rsidR="008F3916">
        <w:t>ed</w:t>
      </w:r>
      <w:r w:rsidRPr="00B05447">
        <w:t xml:space="preserve"> a copy of the disciplinary file related to her case, but it was denied to her on the grounds that it would divert too much of the State’s resources. The only publicly released information about the process was contained in a brief paragraph </w:t>
      </w:r>
      <w:r w:rsidR="008F3916">
        <w:t>in</w:t>
      </w:r>
      <w:r w:rsidRPr="00B05447">
        <w:t xml:space="preserve"> the Office of Police Integrity report</w:t>
      </w:r>
      <w:r w:rsidR="008F3916">
        <w:t xml:space="preserve"> entitled</w:t>
      </w:r>
      <w:r w:rsidRPr="00B05447">
        <w:t xml:space="preserve"> “A </w:t>
      </w:r>
      <w:r w:rsidR="00E365CD">
        <w:t>f</w:t>
      </w:r>
      <w:r w:rsidRPr="00B05447">
        <w:t>air</w:t>
      </w:r>
      <w:r w:rsidR="008F3916" w:rsidRPr="008F3916">
        <w:t xml:space="preserve"> </w:t>
      </w:r>
      <w:r w:rsidR="008F3916">
        <w:t xml:space="preserve">and </w:t>
      </w:r>
      <w:r w:rsidR="00E365CD">
        <w:t>e</w:t>
      </w:r>
      <w:r w:rsidR="008F3916">
        <w:t>ffective</w:t>
      </w:r>
      <w:r w:rsidR="008F3916" w:rsidRPr="00B05447">
        <w:t xml:space="preserve"> </w:t>
      </w:r>
      <w:r w:rsidR="008F3916">
        <w:t>Victoria</w:t>
      </w:r>
      <w:r w:rsidRPr="00B05447">
        <w:t xml:space="preserve"> </w:t>
      </w:r>
      <w:r w:rsidR="008F3916">
        <w:t xml:space="preserve">Police </w:t>
      </w:r>
      <w:r w:rsidR="00E365CD">
        <w:t>d</w:t>
      </w:r>
      <w:r w:rsidRPr="00B05447">
        <w:t xml:space="preserve">isciplinary </w:t>
      </w:r>
      <w:r w:rsidR="00E365CD">
        <w:t>s</w:t>
      </w:r>
      <w:r w:rsidRPr="00B05447">
        <w:t xml:space="preserve">ystem”. There </w:t>
      </w:r>
      <w:r w:rsidR="006526D1">
        <w:t>w</w:t>
      </w:r>
      <w:r w:rsidRPr="00B05447">
        <w:t>as no public scrutiny of the investigation</w:t>
      </w:r>
      <w:r w:rsidR="008135D6">
        <w:t>,</w:t>
      </w:r>
      <w:r w:rsidRPr="00B05447">
        <w:t xml:space="preserve"> </w:t>
      </w:r>
      <w:r w:rsidR="008135D6">
        <w:t xml:space="preserve">the </w:t>
      </w:r>
      <w:r w:rsidRPr="00B05447">
        <w:t>hearing or the decision</w:t>
      </w:r>
      <w:r w:rsidR="003C2075">
        <w:t>,</w:t>
      </w:r>
      <w:r w:rsidRPr="00B05447">
        <w:t xml:space="preserve"> and no appeal mechanism</w:t>
      </w:r>
      <w:r w:rsidR="008135D6">
        <w:t xml:space="preserve"> was</w:t>
      </w:r>
      <w:r w:rsidRPr="00B05447">
        <w:t xml:space="preserve"> </w:t>
      </w:r>
      <w:r w:rsidR="003C2075">
        <w:t xml:space="preserve">open to </w:t>
      </w:r>
      <w:r w:rsidR="008135D6">
        <w:t>the author</w:t>
      </w:r>
      <w:r w:rsidRPr="00B05447">
        <w:t xml:space="preserve">. As for the role of the Deputy Ombudsman as a safeguard of the process, the author claims that mere notification was all that was required and that there is no supervision as such. </w:t>
      </w:r>
    </w:p>
    <w:p w:rsidR="00B05447" w:rsidRPr="00B05447" w:rsidRDefault="00B05447" w:rsidP="00E365CD">
      <w:pPr>
        <w:pStyle w:val="SingleTxtG"/>
      </w:pPr>
      <w:r w:rsidRPr="00B05447">
        <w:t>5.8</w:t>
      </w:r>
      <w:r w:rsidRPr="00B05447">
        <w:tab/>
        <w:t>The State party’s reference to the standard of proof to explain the difference</w:t>
      </w:r>
      <w:r w:rsidR="003C2075">
        <w:t xml:space="preserve"> in outcomes</w:t>
      </w:r>
      <w:r w:rsidRPr="00B05447">
        <w:t xml:space="preserve"> between the disciplinary and the civil proceeding</w:t>
      </w:r>
      <w:r w:rsidR="003C2075">
        <w:t>s</w:t>
      </w:r>
      <w:r w:rsidRPr="00B05447">
        <w:t xml:space="preserve"> is unjustified and unsupported. It </w:t>
      </w:r>
      <w:r w:rsidR="00187E85">
        <w:t>does not</w:t>
      </w:r>
      <w:r w:rsidRPr="00B05447">
        <w:t xml:space="preserve"> address th</w:t>
      </w:r>
      <w:r w:rsidR="00E365CD">
        <w:t>e</w:t>
      </w:r>
      <w:r w:rsidRPr="00B05447">
        <w:t xml:space="preserve"> </w:t>
      </w:r>
      <w:r w:rsidR="00187E85">
        <w:t xml:space="preserve">fact that </w:t>
      </w:r>
      <w:r w:rsidRPr="00B05447">
        <w:t xml:space="preserve">the disciplinary hearing failed to adduce </w:t>
      </w:r>
      <w:r w:rsidRPr="00187E85">
        <w:rPr>
          <w:iCs/>
        </w:rPr>
        <w:t xml:space="preserve">viva voce </w:t>
      </w:r>
      <w:r w:rsidRPr="00B05447">
        <w:t>evidence from civilian witnesses to the police misconduct, which reflect</w:t>
      </w:r>
      <w:r w:rsidR="00AF603E">
        <w:t>s</w:t>
      </w:r>
      <w:r w:rsidRPr="00B05447">
        <w:t xml:space="preserve"> a systemic and serious failure of the process in circumstances where it was purported that there was insufficient evidence to make a finding of misconduct. The difference in outcomes between the </w:t>
      </w:r>
      <w:r w:rsidR="003C2075">
        <w:t>two</w:t>
      </w:r>
      <w:r w:rsidRPr="00B05447">
        <w:t xml:space="preserve"> process</w:t>
      </w:r>
      <w:r w:rsidR="00AF603E">
        <w:t>es</w:t>
      </w:r>
      <w:r w:rsidRPr="00B05447">
        <w:t xml:space="preserve"> lies in the lack of adequacy, transparency, accountability and independence of the disciplinary hearing process. </w:t>
      </w:r>
    </w:p>
    <w:p w:rsidR="00B05447" w:rsidRPr="00B05447" w:rsidRDefault="00B05447" w:rsidP="00AF603E">
      <w:pPr>
        <w:pStyle w:val="SingleTxtG"/>
      </w:pPr>
      <w:r w:rsidRPr="00B05447">
        <w:t>5.9</w:t>
      </w:r>
      <w:r w:rsidRPr="00B05447">
        <w:tab/>
        <w:t>Once the civil proceeding</w:t>
      </w:r>
      <w:r w:rsidR="003C2075">
        <w:t xml:space="preserve">s </w:t>
      </w:r>
      <w:r w:rsidR="00AF603E">
        <w:t xml:space="preserve">had </w:t>
      </w:r>
      <w:r w:rsidR="003C2075">
        <w:t>concluded</w:t>
      </w:r>
      <w:r w:rsidRPr="00B05447">
        <w:t xml:space="preserve"> that the police had lied on matters of major significance, there was the opportunity to reopen or recommence disciplinary proceedings and refer a prosecution brief to the Office of Public Prosecutions. The State failed to pursue th</w:t>
      </w:r>
      <w:r w:rsidR="00AF603E">
        <w:t>o</w:t>
      </w:r>
      <w:r w:rsidRPr="00B05447">
        <w:t xml:space="preserve">se avenues. </w:t>
      </w:r>
    </w:p>
    <w:p w:rsidR="00B05447" w:rsidRPr="00B05447" w:rsidRDefault="00B05447" w:rsidP="00AF603E">
      <w:pPr>
        <w:pStyle w:val="SingleTxtG"/>
      </w:pPr>
      <w:r w:rsidRPr="00B05447">
        <w:t>5.10</w:t>
      </w:r>
      <w:r w:rsidRPr="00B05447">
        <w:tab/>
        <w:t xml:space="preserve">The author reiterates that the treatment </w:t>
      </w:r>
      <w:r w:rsidR="00AF603E" w:rsidRPr="00B05447">
        <w:t xml:space="preserve">to </w:t>
      </w:r>
      <w:r w:rsidR="00AF603E">
        <w:t xml:space="preserve">which </w:t>
      </w:r>
      <w:r w:rsidRPr="00B05447">
        <w:t xml:space="preserve">she was subjected </w:t>
      </w:r>
      <w:r w:rsidR="00EE1935">
        <w:t>breached</w:t>
      </w:r>
      <w:r w:rsidRPr="00B05447">
        <w:t xml:space="preserve"> article 7 of the Covenant. She was 21 at the time </w:t>
      </w:r>
      <w:r w:rsidR="00EE1935">
        <w:t>and t</w:t>
      </w:r>
      <w:r w:rsidRPr="00B05447">
        <w:t xml:space="preserve">he treatment was premeditated and </w:t>
      </w:r>
      <w:r w:rsidR="00EE1935">
        <w:t>intended</w:t>
      </w:r>
      <w:r w:rsidRPr="00B05447">
        <w:t xml:space="preserve"> to punish and intimidate her. She was repeatedly punched, causing very serious and cruel suffering in the form of a broken nose, facial injuries, bruising to </w:t>
      </w:r>
      <w:r w:rsidR="00AF603E">
        <w:t xml:space="preserve">her </w:t>
      </w:r>
      <w:r w:rsidRPr="00B05447">
        <w:t xml:space="preserve">face and other parts of her body, </w:t>
      </w:r>
      <w:r w:rsidR="003C2075">
        <w:t xml:space="preserve">a </w:t>
      </w:r>
      <w:r w:rsidRPr="00B05447">
        <w:t xml:space="preserve">chipped tooth, loss of consciousness, fear, anguish, distress, intimidation and ongoing psychological conditions. The assault continued while </w:t>
      </w:r>
      <w:r w:rsidR="003C2075">
        <w:t>she</w:t>
      </w:r>
      <w:r w:rsidRPr="00B05447">
        <w:t xml:space="preserve"> was helpless and unconscious.</w:t>
      </w:r>
      <w:r w:rsidR="00C9129C">
        <w:t xml:space="preserve"> </w:t>
      </w:r>
      <w:r w:rsidRPr="00B05447">
        <w:t xml:space="preserve">The treatment was unnecessarily prolonged by the arrest and transport to the police station, where she continued to be </w:t>
      </w:r>
      <w:r w:rsidR="00AF603E">
        <w:t>hand</w:t>
      </w:r>
      <w:r w:rsidRPr="00B05447">
        <w:t>cuffed. According to Judge Williams, the police viewed the author with “extraordinary bigotry and bias”, describing her as a “filthy, dirty, drug-affected female”. Th</w:t>
      </w:r>
      <w:r w:rsidR="00AF603E">
        <w:t>at</w:t>
      </w:r>
      <w:r w:rsidRPr="00B05447">
        <w:t xml:space="preserve"> provides support for </w:t>
      </w:r>
      <w:r w:rsidR="003C2075">
        <w:t>her</w:t>
      </w:r>
      <w:r w:rsidRPr="00B05447">
        <w:t xml:space="preserve"> claim that the intention was to debase, degrade and punish her. </w:t>
      </w:r>
    </w:p>
    <w:p w:rsidR="00B05447" w:rsidRPr="00B05447" w:rsidRDefault="00B05447" w:rsidP="00E365CD">
      <w:pPr>
        <w:pStyle w:val="SingleTxtG"/>
      </w:pPr>
      <w:r w:rsidRPr="00B05447">
        <w:t>5.11</w:t>
      </w:r>
      <w:r w:rsidRPr="00B05447">
        <w:tab/>
        <w:t>Regarding the State party’s observations with respect to article 9, the author reiterates that the police entry into the house was inappropriate, unjust and unreasonable. It was also unlawful, as stated by Judge Williams.</w:t>
      </w:r>
      <w:r w:rsidR="00C9129C">
        <w:t xml:space="preserve"> </w:t>
      </w:r>
      <w:r w:rsidR="00AF603E">
        <w:t>T</w:t>
      </w:r>
      <w:r w:rsidR="00AF603E" w:rsidRPr="00B05447">
        <w:t xml:space="preserve">he police could have utilized </w:t>
      </w:r>
      <w:r w:rsidRPr="00B05447">
        <w:t xml:space="preserve">less invasive </w:t>
      </w:r>
      <w:r w:rsidR="00782E08">
        <w:lastRenderedPageBreak/>
        <w:t>ways</w:t>
      </w:r>
      <w:r w:rsidRPr="00B05447">
        <w:t xml:space="preserve"> to effect an arrest if it was truly necessary, such as obtaining a warrant or conducting static observations of the premises. Even if the entry to the premises was believed to be lawful by individual police officers, it does not mean that what occurred after entry was lawful</w:t>
      </w:r>
      <w:r w:rsidR="00782E08">
        <w:t>. T</w:t>
      </w:r>
      <w:r w:rsidRPr="00B05447">
        <w:t>he assault and transportation to the police station w</w:t>
      </w:r>
      <w:r w:rsidR="00E365CD">
        <w:t>ere</w:t>
      </w:r>
      <w:r w:rsidRPr="00B05447">
        <w:t xml:space="preserve"> not proportionate in the circumstances. </w:t>
      </w:r>
    </w:p>
    <w:p w:rsidR="00B05447" w:rsidRPr="00B05447" w:rsidRDefault="00B05447" w:rsidP="004F0FA3">
      <w:pPr>
        <w:pStyle w:val="SingleTxtG"/>
      </w:pPr>
      <w:r w:rsidRPr="00B05447">
        <w:t>5.12</w:t>
      </w:r>
      <w:r w:rsidRPr="00B05447">
        <w:tab/>
        <w:t xml:space="preserve">If the Committee </w:t>
      </w:r>
      <w:r w:rsidR="00B2544A">
        <w:t xml:space="preserve">considers that </w:t>
      </w:r>
      <w:r w:rsidR="004F0FA3">
        <w:t xml:space="preserve">there was </w:t>
      </w:r>
      <w:r w:rsidR="00B2544A">
        <w:t>no</w:t>
      </w:r>
      <w:r w:rsidRPr="00B05447">
        <w:t xml:space="preserve"> breach of article 9, including paragraph 5, the author submits that th</w:t>
      </w:r>
      <w:r w:rsidR="004F0FA3">
        <w:t>o</w:t>
      </w:r>
      <w:r w:rsidRPr="00B05447">
        <w:t xml:space="preserve">se actions </w:t>
      </w:r>
      <w:r w:rsidR="004F0FA3">
        <w:t>violated</w:t>
      </w:r>
      <w:r w:rsidRPr="00B05447">
        <w:t xml:space="preserve"> her freedom of movement under article 12 of the Covenant. </w:t>
      </w:r>
    </w:p>
    <w:p w:rsidR="00B05447" w:rsidRPr="00B05447" w:rsidRDefault="00B05447" w:rsidP="00B05447">
      <w:pPr>
        <w:pStyle w:val="SingleTxtG"/>
      </w:pPr>
      <w:r w:rsidRPr="00B05447">
        <w:t>5.13</w:t>
      </w:r>
      <w:r w:rsidRPr="00B05447">
        <w:tab/>
        <w:t>The author reiterates her claims under article 17. She states that a malicious prosecution by necessity breache</w:t>
      </w:r>
      <w:r w:rsidR="00782E08">
        <w:t>d her</w:t>
      </w:r>
      <w:r w:rsidRPr="00B05447">
        <w:t xml:space="preserve"> right to privacy and not to be subjected to unlawful attacks on her reputation. </w:t>
      </w:r>
    </w:p>
    <w:p w:rsidR="00B05447" w:rsidRPr="00B05447" w:rsidRDefault="0069455E" w:rsidP="0069455E">
      <w:pPr>
        <w:pStyle w:val="H23G"/>
      </w:pPr>
      <w:r>
        <w:tab/>
      </w:r>
      <w:r>
        <w:tab/>
      </w:r>
      <w:r w:rsidR="00B05447" w:rsidRPr="00B05447">
        <w:t xml:space="preserve">Additional observations from the State party </w:t>
      </w:r>
    </w:p>
    <w:p w:rsidR="00B05447" w:rsidRPr="00B05447" w:rsidRDefault="00B05447" w:rsidP="004668CB">
      <w:pPr>
        <w:pStyle w:val="SingleTxtG"/>
      </w:pPr>
      <w:r w:rsidRPr="00B05447">
        <w:t>6.1</w:t>
      </w:r>
      <w:r w:rsidRPr="00B05447">
        <w:tab/>
        <w:t xml:space="preserve">In August 2011, the State party submitted further observations on admissibility and </w:t>
      </w:r>
      <w:r w:rsidR="004F0FA3">
        <w:t xml:space="preserve">on the </w:t>
      </w:r>
      <w:r w:rsidRPr="00B05447">
        <w:t xml:space="preserve">merits. With respect to </w:t>
      </w:r>
      <w:r w:rsidR="0007105D">
        <w:t>c</w:t>
      </w:r>
      <w:r w:rsidRPr="00B05447">
        <w:t xml:space="preserve">ompensation under </w:t>
      </w:r>
      <w:r w:rsidR="0007105D">
        <w:t xml:space="preserve">the </w:t>
      </w:r>
      <w:r w:rsidRPr="00B05447">
        <w:t>Victims of Crime Assistance Scheme</w:t>
      </w:r>
      <w:r w:rsidR="004F0FA3">
        <w:t>,</w:t>
      </w:r>
      <w:r w:rsidRPr="00B05447">
        <w:t xml:space="preserve"> the State party argues that at the time of the incidents in question, the author would have been entitled to make a claim under the Criminal Injuries Compensation Act 1983 (Vic</w:t>
      </w:r>
      <w:r w:rsidR="004F0FA3">
        <w:t>toria</w:t>
      </w:r>
      <w:r w:rsidRPr="00B05447">
        <w:t>)</w:t>
      </w:r>
      <w:r w:rsidR="005738F2">
        <w:t xml:space="preserve"> and</w:t>
      </w:r>
      <w:r w:rsidRPr="00B05447">
        <w:t xml:space="preserve"> to compensation of up to </w:t>
      </w:r>
      <w:r w:rsidR="00983D99">
        <w:t>$</w:t>
      </w:r>
      <w:r w:rsidRPr="00B05447">
        <w:t xml:space="preserve">A 50,000, including an award of compensation for pain and suffering of up to </w:t>
      </w:r>
      <w:r w:rsidR="00983D99">
        <w:t>$</w:t>
      </w:r>
      <w:r w:rsidRPr="00B05447">
        <w:t xml:space="preserve">A 20,000. The categories of special financial assistance relied upon by </w:t>
      </w:r>
      <w:r w:rsidR="0007105D">
        <w:t>th</w:t>
      </w:r>
      <w:r w:rsidRPr="00B05447">
        <w:t xml:space="preserve">e author did not come into force until 2000. Awards made under the </w:t>
      </w:r>
      <w:r w:rsidR="004668CB">
        <w:t>S</w:t>
      </w:r>
      <w:r w:rsidRPr="00B05447">
        <w:t xml:space="preserve">cheme serve similar purposes to public law damages available in other jurisdictions, in terms of both compensation and vindication. </w:t>
      </w:r>
    </w:p>
    <w:p w:rsidR="00B05447" w:rsidRPr="00B05447" w:rsidRDefault="00B05447" w:rsidP="00B05447">
      <w:pPr>
        <w:pStyle w:val="SingleTxtG"/>
      </w:pPr>
      <w:r w:rsidRPr="00B05447">
        <w:t>6.2</w:t>
      </w:r>
      <w:r w:rsidRPr="00B05447">
        <w:tab/>
      </w:r>
      <w:r w:rsidR="005738F2">
        <w:t>C</w:t>
      </w:r>
      <w:r w:rsidRPr="00B05447">
        <w:t xml:space="preserve">ompensation under the Victims of Crime Assistance Act 1996 is an effective remedy for the purposes of article 2. The author remains eligible to pursue </w:t>
      </w:r>
      <w:r w:rsidR="00507CC4">
        <w:t xml:space="preserve">such </w:t>
      </w:r>
      <w:r w:rsidRPr="00B05447">
        <w:t xml:space="preserve">compensation. As she has not done so, she has failed to exhaust all available domestic remedies. </w:t>
      </w:r>
    </w:p>
    <w:p w:rsidR="00B05447" w:rsidRPr="00B05447" w:rsidRDefault="00B05447" w:rsidP="009A5A37">
      <w:pPr>
        <w:pStyle w:val="SingleTxtG"/>
      </w:pPr>
      <w:r w:rsidRPr="00B05447">
        <w:t>6.3</w:t>
      </w:r>
      <w:r w:rsidRPr="00B05447">
        <w:tab/>
        <w:t xml:space="preserve">In jurisdictions that have a separate public law cause of action for breach of human rights, public law damages may serve the objectives of compensating the claimant for loss and suffering caused by the breach, vindicating the right </w:t>
      </w:r>
      <w:r w:rsidR="004668CB">
        <w:t xml:space="preserve">in question </w:t>
      </w:r>
      <w:r w:rsidRPr="00B05447">
        <w:t>by emphasizing its importance and the gravity of the breach and deterring State agents from committing future breaches. Damages are generally not awarded unless one or more of th</w:t>
      </w:r>
      <w:r w:rsidR="009A5A37">
        <w:t>o</w:t>
      </w:r>
      <w:r w:rsidRPr="00B05447">
        <w:t>se object</w:t>
      </w:r>
      <w:r w:rsidR="009A5A37">
        <w:t>ive</w:t>
      </w:r>
      <w:r w:rsidRPr="00B05447">
        <w:t xml:space="preserve">s is served. Where damages are appropriate, the concern is to restore the claimant to the position </w:t>
      </w:r>
      <w:r w:rsidR="009A5A37">
        <w:t xml:space="preserve">in which </w:t>
      </w:r>
      <w:r w:rsidRPr="00B05447">
        <w:t xml:space="preserve">she would have been had the breach not been committed. </w:t>
      </w:r>
    </w:p>
    <w:p w:rsidR="00B05447" w:rsidRPr="00B05447" w:rsidRDefault="00B05447" w:rsidP="00983D99">
      <w:pPr>
        <w:pStyle w:val="SingleTxtG"/>
      </w:pPr>
      <w:r w:rsidRPr="00B05447">
        <w:t>6.4</w:t>
      </w:r>
      <w:r w:rsidRPr="00B05447">
        <w:tab/>
        <w:t xml:space="preserve">The State party rejects the author’s claim that only full payment of compensatory damages, aggravated damages, exemplary damages and full legal costs by the State of </w:t>
      </w:r>
      <w:smartTag w:uri="urn:schemas-microsoft-com:office:smarttags" w:element="place">
        <w:smartTag w:uri="urn:schemas-microsoft-com:office:smarttags" w:element="State">
          <w:r w:rsidRPr="00B05447">
            <w:t>Victoria</w:t>
          </w:r>
        </w:smartTag>
      </w:smartTag>
      <w:r w:rsidRPr="00B05447">
        <w:t xml:space="preserve"> will </w:t>
      </w:r>
      <w:r w:rsidR="00507CC4">
        <w:t>constitute</w:t>
      </w:r>
      <w:r w:rsidRPr="00B05447">
        <w:t xml:space="preserve"> an “effective remedy”. Section 123 of the Police Regulation Act means that the State of </w:t>
      </w:r>
      <w:smartTag w:uri="urn:schemas-microsoft-com:office:smarttags" w:element="place">
        <w:smartTag w:uri="urn:schemas-microsoft-com:office:smarttags" w:element="State">
          <w:r w:rsidRPr="00B05447">
            <w:t>Victoria</w:t>
          </w:r>
        </w:smartTag>
      </w:smartTag>
      <w:r w:rsidRPr="00B05447">
        <w:t xml:space="preserve"> will be liable for breaches of human rights by individual police officers where those breaches occur in accordance with practices and procedures promulgated by Victoria Police or in circumstances in which the conduct is contributed to by systemic issues such as inadequate training, policies and procedures. It is only when a police officer acts well outside the authorized policies and procedures, such that Victoria Police and the State of </w:t>
      </w:r>
      <w:smartTag w:uri="urn:schemas-microsoft-com:office:smarttags" w:element="State">
        <w:r w:rsidRPr="00B05447">
          <w:t>Victoria</w:t>
        </w:r>
      </w:smartTag>
      <w:r w:rsidRPr="00B05447">
        <w:t xml:space="preserve"> cannot be said to have contributed in any way to the conduct, that the State of </w:t>
      </w:r>
      <w:smartTag w:uri="urn:schemas-microsoft-com:office:smarttags" w:element="place">
        <w:smartTag w:uri="urn:schemas-microsoft-com:office:smarttags" w:element="State">
          <w:r w:rsidRPr="00B05447">
            <w:t>Victoria</w:t>
          </w:r>
        </w:smartTag>
      </w:smartTag>
      <w:r w:rsidRPr="00B05447">
        <w:t xml:space="preserve"> will not be liable for the breach. </w:t>
      </w:r>
    </w:p>
    <w:p w:rsidR="00B05447" w:rsidRPr="00B05447" w:rsidRDefault="00B05447" w:rsidP="009A5A37">
      <w:pPr>
        <w:pStyle w:val="SingleTxtG"/>
      </w:pPr>
      <w:r w:rsidRPr="00B05447">
        <w:t>6.5</w:t>
      </w:r>
      <w:r w:rsidRPr="00B05447">
        <w:tab/>
        <w:t>Regarding the claim</w:t>
      </w:r>
      <w:r w:rsidR="00507CC4">
        <w:t>s</w:t>
      </w:r>
      <w:r w:rsidRPr="00B05447">
        <w:t xml:space="preserve"> under article 12</w:t>
      </w:r>
      <w:r w:rsidR="009A5A37">
        <w:t>,</w:t>
      </w:r>
      <w:r w:rsidRPr="00B05447">
        <w:t xml:space="preserve"> the State party submits that the author has failed to exhaust domestic remedies for the reasons specified above</w:t>
      </w:r>
      <w:r w:rsidR="00507CC4">
        <w:t>,</w:t>
      </w:r>
      <w:r w:rsidRPr="00B05447">
        <w:t xml:space="preserve"> and that the claim is without merits. The right to liberty and freedom of movement are distinct concepts. While restrictions not amounting to a breach of the right to liberty may in some circumstances amount to a breach of freedom of movement, th</w:t>
      </w:r>
      <w:r w:rsidR="009A5A37">
        <w:t>at</w:t>
      </w:r>
      <w:r w:rsidRPr="00B05447">
        <w:t xml:space="preserve"> will not always be the case. The facts of the current case do not give rise to issues regarding liberty of movement as contemplated in </w:t>
      </w:r>
      <w:r w:rsidRPr="00B05447">
        <w:lastRenderedPageBreak/>
        <w:t>article 12. Even if th</w:t>
      </w:r>
      <w:r w:rsidR="009A5A37">
        <w:t>at</w:t>
      </w:r>
      <w:r w:rsidRPr="00B05447">
        <w:t xml:space="preserve"> was the case, any restriction on the author’s liberty of movement was within the scope of restrictions permit</w:t>
      </w:r>
      <w:r w:rsidR="00C9129C">
        <w:t>ted under article 12, paragraph </w:t>
      </w:r>
      <w:r w:rsidRPr="00B05447">
        <w:t xml:space="preserve">3. </w:t>
      </w:r>
    </w:p>
    <w:p w:rsidR="00B05447" w:rsidRPr="00B05447" w:rsidRDefault="00B05447" w:rsidP="00016090">
      <w:pPr>
        <w:pStyle w:val="SingleTxtG"/>
      </w:pPr>
      <w:r w:rsidRPr="00B05447">
        <w:t>6.6</w:t>
      </w:r>
      <w:r w:rsidRPr="00B05447">
        <w:tab/>
        <w:t>Section 459A of the Crimes Act 1958 (Vic</w:t>
      </w:r>
      <w:r w:rsidR="009A5A37">
        <w:t>toria</w:t>
      </w:r>
      <w:r w:rsidRPr="00B05447">
        <w:t>) provides that a police officer may enter and search premises for the purpose of arresting a person where the officer believes, on reasonable grounds, that the person has committed a serious indictable offence. Entry, search and arrest in th</w:t>
      </w:r>
      <w:r w:rsidR="00016090">
        <w:t>o</w:t>
      </w:r>
      <w:r w:rsidRPr="00B05447">
        <w:t xml:space="preserve">se circumstances are actions provided for by law and necessary to protect national security, public order and the rights and freedoms of others. </w:t>
      </w:r>
    </w:p>
    <w:p w:rsidR="00B05447" w:rsidRPr="00B05447" w:rsidRDefault="00B05447" w:rsidP="00983D99">
      <w:pPr>
        <w:pStyle w:val="SingleTxtG"/>
      </w:pPr>
      <w:r w:rsidRPr="00B05447">
        <w:t>6.7</w:t>
      </w:r>
      <w:r w:rsidRPr="00B05447">
        <w:tab/>
        <w:t xml:space="preserve">As was recognized by the Court of Appeal, the police officers </w:t>
      </w:r>
      <w:r w:rsidR="002557BC">
        <w:t>believed</w:t>
      </w:r>
      <w:r w:rsidRPr="00B05447">
        <w:t xml:space="preserve"> that they had </w:t>
      </w:r>
      <w:r w:rsidR="00016090">
        <w:t xml:space="preserve">the </w:t>
      </w:r>
      <w:r w:rsidRPr="00B05447">
        <w:t>authority to enter the premises and arrest the author under section 459A. While the Court of Appeal ultimately found that the entry and arrest were unlawful, the belief of the police officers should be taken into consideration in assessing the</w:t>
      </w:r>
      <w:r w:rsidR="002557BC">
        <w:t>ir</w:t>
      </w:r>
      <w:r w:rsidRPr="00B05447">
        <w:t xml:space="preserve"> actions.</w:t>
      </w:r>
    </w:p>
    <w:p w:rsidR="00B05447" w:rsidRPr="00B05447" w:rsidRDefault="00B05447" w:rsidP="0069455E">
      <w:pPr>
        <w:pStyle w:val="H23G"/>
      </w:pPr>
      <w:r w:rsidRPr="00B05447">
        <w:tab/>
      </w:r>
      <w:r w:rsidRPr="00B05447">
        <w:tab/>
        <w:t>Issues and proceedings before the Committee</w:t>
      </w:r>
    </w:p>
    <w:p w:rsidR="00B05447" w:rsidRPr="00B05447" w:rsidRDefault="00B05447" w:rsidP="0069455E">
      <w:pPr>
        <w:pStyle w:val="H4G"/>
      </w:pPr>
      <w:r w:rsidRPr="00B05447">
        <w:tab/>
      </w:r>
      <w:r w:rsidRPr="00B05447">
        <w:tab/>
        <w:t>Consideration of admissibility</w:t>
      </w:r>
    </w:p>
    <w:p w:rsidR="00E9590B" w:rsidRPr="00B05447" w:rsidRDefault="00E9590B" w:rsidP="00FA659F">
      <w:pPr>
        <w:pStyle w:val="SingleTxtG"/>
        <w:rPr>
          <w:bCs/>
        </w:rPr>
      </w:pPr>
      <w:r>
        <w:rPr>
          <w:bCs/>
        </w:rPr>
        <w:t>7</w:t>
      </w:r>
      <w:r w:rsidRPr="00B05447">
        <w:rPr>
          <w:bCs/>
        </w:rPr>
        <w:t>.1</w:t>
      </w:r>
      <w:r w:rsidRPr="00B05447">
        <w:rPr>
          <w:bCs/>
        </w:rPr>
        <w:tab/>
        <w:t xml:space="preserve">Before considering any claim contained in a communication, the Human Rights Committee must, in accordance with rule 93 of its </w:t>
      </w:r>
      <w:r w:rsidR="00FA659F">
        <w:rPr>
          <w:bCs/>
        </w:rPr>
        <w:t>r</w:t>
      </w:r>
      <w:r w:rsidRPr="00B05447">
        <w:rPr>
          <w:bCs/>
        </w:rPr>
        <w:t>ules of procedure, decide whether or not the case is admissible under the Optional Protocol to the Covenant.</w:t>
      </w:r>
    </w:p>
    <w:p w:rsidR="00E9590B" w:rsidRDefault="00E9590B" w:rsidP="00E9590B">
      <w:pPr>
        <w:pStyle w:val="SingleTxtG"/>
      </w:pPr>
      <w:r>
        <w:t>7</w:t>
      </w:r>
      <w:r w:rsidRPr="00B05447">
        <w:t>.2</w:t>
      </w:r>
      <w:r w:rsidRPr="00B05447">
        <w:tab/>
        <w:t xml:space="preserve">The Committee has ascertained, as required under article 5, paragraph 2 (a), of the Optional Protocol, that the same matter is not being examined under another procedure of international investigation or settlement. </w:t>
      </w:r>
    </w:p>
    <w:p w:rsidR="00E9590B" w:rsidRDefault="00E9590B" w:rsidP="00E365CD">
      <w:pPr>
        <w:pStyle w:val="SingleTxtG"/>
      </w:pPr>
      <w:r>
        <w:t>7.3</w:t>
      </w:r>
      <w:r>
        <w:tab/>
        <w:t xml:space="preserve">The author claims that the treatment </w:t>
      </w:r>
      <w:r w:rsidR="00FA659F">
        <w:rPr>
          <w:lang w:val="en-US" w:bidi="he-IL"/>
        </w:rPr>
        <w:t>to</w:t>
      </w:r>
      <w:r w:rsidR="00FA659F">
        <w:t xml:space="preserve"> which </w:t>
      </w:r>
      <w:r>
        <w:t>she was subjected in connection with the incidents that occurred on 9 March 1996 and subsequent events violated her rights under articles 7</w:t>
      </w:r>
      <w:r w:rsidR="00FA659F">
        <w:t>,</w:t>
      </w:r>
      <w:r w:rsidRPr="00B05447">
        <w:t xml:space="preserve"> 9 </w:t>
      </w:r>
      <w:r w:rsidR="00FA659F">
        <w:t>(</w:t>
      </w:r>
      <w:r w:rsidRPr="00B05447">
        <w:t>paras</w:t>
      </w:r>
      <w:r w:rsidR="00FA659F">
        <w:t>.</w:t>
      </w:r>
      <w:r w:rsidRPr="00B05447">
        <w:t xml:space="preserve"> 1 and 5</w:t>
      </w:r>
      <w:r w:rsidR="00FA659F">
        <w:t>),</w:t>
      </w:r>
      <w:r w:rsidRPr="00B05447">
        <w:t xml:space="preserve"> 10 </w:t>
      </w:r>
      <w:r w:rsidR="00FA659F">
        <w:t>(</w:t>
      </w:r>
      <w:r w:rsidRPr="00B05447">
        <w:t>para</w:t>
      </w:r>
      <w:r w:rsidR="00FA659F">
        <w:t>.</w:t>
      </w:r>
      <w:r w:rsidRPr="00B05447">
        <w:t xml:space="preserve"> 1</w:t>
      </w:r>
      <w:r w:rsidR="00FA659F">
        <w:t>)</w:t>
      </w:r>
      <w:r w:rsidRPr="00B05447">
        <w:t xml:space="preserve"> and 17</w:t>
      </w:r>
      <w:r>
        <w:t xml:space="preserve"> of the Covenant. The Committee notes </w:t>
      </w:r>
      <w:r w:rsidRPr="00B05447">
        <w:t xml:space="preserve">that the </w:t>
      </w:r>
      <w:r>
        <w:t xml:space="preserve">essence of the </w:t>
      </w:r>
      <w:r w:rsidRPr="00B05447">
        <w:t>claims made by the</w:t>
      </w:r>
      <w:r>
        <w:t xml:space="preserve"> author before the Committee</w:t>
      </w:r>
      <w:r w:rsidRPr="00B05447">
        <w:t xml:space="preserve"> </w:t>
      </w:r>
      <w:r w:rsidR="00FA659F">
        <w:t>is</w:t>
      </w:r>
      <w:r>
        <w:t xml:space="preserve"> based on the same grounds as</w:t>
      </w:r>
      <w:r w:rsidRPr="00B05447">
        <w:t xml:space="preserve"> those she brought before the national judicial authorities</w:t>
      </w:r>
      <w:r>
        <w:t>. In th</w:t>
      </w:r>
      <w:r w:rsidR="00FA659F">
        <w:t>at</w:t>
      </w:r>
      <w:r>
        <w:t xml:space="preserve"> regard, the County Court of Victoria</w:t>
      </w:r>
      <w:r w:rsidRPr="00B05447">
        <w:t xml:space="preserve"> established </w:t>
      </w:r>
      <w:r>
        <w:t xml:space="preserve">the </w:t>
      </w:r>
      <w:r w:rsidRPr="00B05447">
        <w:t xml:space="preserve">liability </w:t>
      </w:r>
      <w:r>
        <w:t xml:space="preserve">of the police officers who raided her house </w:t>
      </w:r>
      <w:r w:rsidR="00FA659F">
        <w:t>for</w:t>
      </w:r>
      <w:r w:rsidRPr="00B05447">
        <w:t xml:space="preserve"> trespass, assault, wrongful arrest, false imprisonment, malicious prosecution and negligence</w:t>
      </w:r>
      <w:r>
        <w:t xml:space="preserve">. </w:t>
      </w:r>
      <w:r w:rsidR="00FA659F">
        <w:t>T</w:t>
      </w:r>
      <w:r>
        <w:t>he Court of Appeal found that the individual police officers were liable to pay damages for assault, trespass, false imprisonment and malicious prosecution. T</w:t>
      </w:r>
      <w:r w:rsidRPr="00B05447">
        <w:t>he Committee considers that</w:t>
      </w:r>
      <w:r w:rsidR="00E365CD">
        <w:t>,</w:t>
      </w:r>
      <w:r>
        <w:t xml:space="preserve"> in addressing the substance of the author’s claims</w:t>
      </w:r>
      <w:r w:rsidR="00FA659F">
        <w:t>,</w:t>
      </w:r>
      <w:r>
        <w:t xml:space="preserve"> the domestic courts acknowledged that the author’s rights had been violated and established </w:t>
      </w:r>
      <w:r w:rsidR="00FA659F">
        <w:t xml:space="preserve">the perpetrators’ </w:t>
      </w:r>
      <w:r>
        <w:t>civil responsibility for acts which fall under the scope of the above</w:t>
      </w:r>
      <w:r w:rsidR="00FA659F">
        <w:t>-mentioned</w:t>
      </w:r>
      <w:r>
        <w:t xml:space="preserve"> provisions of the Covenant. In view of the acknowledgement by </w:t>
      </w:r>
      <w:r w:rsidR="00E365CD">
        <w:t xml:space="preserve">the </w:t>
      </w:r>
      <w:r>
        <w:t>domestic courts of the civil responsibility of State agents for domestic law violations which are covered by articles 7</w:t>
      </w:r>
      <w:r w:rsidR="00FA659F">
        <w:t>,</w:t>
      </w:r>
      <w:r>
        <w:t xml:space="preserve"> 9 </w:t>
      </w:r>
      <w:r w:rsidR="00FA659F">
        <w:t>(</w:t>
      </w:r>
      <w:r>
        <w:t>para</w:t>
      </w:r>
      <w:r w:rsidR="00FA659F">
        <w:t>.</w:t>
      </w:r>
      <w:r>
        <w:t xml:space="preserve"> 1</w:t>
      </w:r>
      <w:r w:rsidR="00FA659F">
        <w:t>)</w:t>
      </w:r>
      <w:r>
        <w:t xml:space="preserve"> and 17 of the Covenant, and their liability to pay damages, the Committee considers that the real issue before it is whether the author obtained an effective remedy for the violations of her rights under the Covenant, after the final decision of the domestic court</w:t>
      </w:r>
      <w:r w:rsidR="00E365CD">
        <w:t>s</w:t>
      </w:r>
      <w:r>
        <w:t xml:space="preserve"> became enforceable. </w:t>
      </w:r>
    </w:p>
    <w:p w:rsidR="00E9590B" w:rsidRDefault="00E9590B" w:rsidP="00A835BA">
      <w:pPr>
        <w:pStyle w:val="SingleTxtG"/>
      </w:pPr>
      <w:r>
        <w:t>7.4</w:t>
      </w:r>
      <w:r>
        <w:tab/>
        <w:t xml:space="preserve">The Committee notes the author’s claims under article 2 that she did not receive full compensation, as established by the national courts, and that no criminal and disciplinary actions </w:t>
      </w:r>
      <w:r w:rsidR="00FA659F">
        <w:t xml:space="preserve">were taken </w:t>
      </w:r>
      <w:r>
        <w:t>against the perpetrators of the assault. T</w:t>
      </w:r>
      <w:r w:rsidRPr="00B05447">
        <w:t>he Committee</w:t>
      </w:r>
      <w:r>
        <w:t xml:space="preserve"> also</w:t>
      </w:r>
      <w:r w:rsidRPr="00B05447">
        <w:t xml:space="preserve"> notes</w:t>
      </w:r>
      <w:r>
        <w:t xml:space="preserve"> </w:t>
      </w:r>
      <w:r w:rsidRPr="00B05447">
        <w:t>the State party</w:t>
      </w:r>
      <w:r>
        <w:t>’s</w:t>
      </w:r>
      <w:r w:rsidRPr="00B05447">
        <w:t xml:space="preserve"> challenge to the admissibility of the communication on the ground that domestic remedies </w:t>
      </w:r>
      <w:r>
        <w:t>were</w:t>
      </w:r>
      <w:r w:rsidRPr="00B05447">
        <w:t xml:space="preserve"> not exhausted, as the author did not seek the enforcement of the judgement in her favour, in application of the </w:t>
      </w:r>
      <w:r w:rsidR="00FA659F" w:rsidRPr="00B05447">
        <w:t xml:space="preserve">Rules </w:t>
      </w:r>
      <w:r w:rsidR="00FA659F">
        <w:t xml:space="preserve">of the </w:t>
      </w:r>
      <w:r w:rsidRPr="00B05447">
        <w:t xml:space="preserve">Supreme Court </w:t>
      </w:r>
      <w:r w:rsidR="00FA659F">
        <w:t xml:space="preserve">of Victoria </w:t>
      </w:r>
      <w:r w:rsidRPr="00B05447">
        <w:t>regarding the process for discovery in aid of enforcement</w:t>
      </w:r>
      <w:r w:rsidR="001018D5">
        <w:t>,</w:t>
      </w:r>
      <w:r w:rsidRPr="00B05447">
        <w:t xml:space="preserve"> following the discharge of Constable J.’s bankruptcy. The State party also claims that the author did not pursue compensation from the Victims of Crime Assistance Tribunal. The Committee </w:t>
      </w:r>
      <w:r>
        <w:t>further</w:t>
      </w:r>
      <w:r w:rsidRPr="00B05447">
        <w:t xml:space="preserve"> notes the information provided by the author regarding the steps taken to seek the enforcement of the judgement and the final settlement that she and her co-plaintiffs felt obliged to accept. </w:t>
      </w:r>
      <w:r w:rsidR="00A835BA">
        <w:lastRenderedPageBreak/>
        <w:t>T</w:t>
      </w:r>
      <w:r>
        <w:t>he Committee notes the author’s argument</w:t>
      </w:r>
      <w:r w:rsidRPr="00B05447">
        <w:t xml:space="preserve"> that </w:t>
      </w:r>
      <w:r w:rsidR="00A835BA" w:rsidRPr="00B05447">
        <w:t>the awards provided by the Victims of Crime Assistance Tribunal</w:t>
      </w:r>
      <w:r w:rsidRPr="00B05447">
        <w:t xml:space="preserve"> are symbolic and are not intended to reflect the level of compensation to which victims of crime may be entitled </w:t>
      </w:r>
      <w:r w:rsidR="00A835BA">
        <w:t>under</w:t>
      </w:r>
      <w:r w:rsidRPr="00B05447">
        <w:t xml:space="preserve"> common law or otherwise. </w:t>
      </w:r>
    </w:p>
    <w:p w:rsidR="00E9590B" w:rsidRDefault="00E9590B" w:rsidP="00E9590B">
      <w:pPr>
        <w:pStyle w:val="SingleTxtG"/>
      </w:pPr>
      <w:r>
        <w:t>7.5</w:t>
      </w:r>
      <w:r>
        <w:tab/>
      </w:r>
      <w:r w:rsidRPr="00B05447">
        <w:t>The Committee considers that</w:t>
      </w:r>
      <w:r w:rsidR="001018D5">
        <w:t>,</w:t>
      </w:r>
      <w:r w:rsidRPr="00B05447">
        <w:t xml:space="preserve"> in choosing to file proceedings for damages against the police officers under the Crown Proceedings Act</w:t>
      </w:r>
      <w:r w:rsidR="00D91652">
        <w:t>,</w:t>
      </w:r>
      <w:r w:rsidRPr="00B05447">
        <w:t xml:space="preserve"> the author sought an appropriate avenue of redress, as demonstrated inter alia by the fact that she was successful in her judicial claims and that compensation was awarded to her under the Act. The fact that the judgement of the Court of Appeal w</w:t>
      </w:r>
      <w:r>
        <w:t>as</w:t>
      </w:r>
      <w:r w:rsidRPr="00B05447">
        <w:t xml:space="preserve"> not </w:t>
      </w:r>
      <w:r>
        <w:t xml:space="preserve">fully </w:t>
      </w:r>
      <w:r w:rsidRPr="00B05447">
        <w:t>enforced, despite the efforts she undertook subsequently in that respect</w:t>
      </w:r>
      <w:r>
        <w:t>,</w:t>
      </w:r>
      <w:r w:rsidRPr="00B05447">
        <w:t xml:space="preserve"> is not attributable to the author. Accordingly, for the purpose of admissibility, it cannot be expected that, in addition to those proceedings, the author </w:t>
      </w:r>
      <w:r>
        <w:t xml:space="preserve">would </w:t>
      </w:r>
      <w:r w:rsidRPr="00B05447">
        <w:t>seek compensation from the Victims of Crime Assistance Tribunal. The Committee therefore concludes that domestic remedies have been exhausted.</w:t>
      </w:r>
    </w:p>
    <w:p w:rsidR="00E9590B" w:rsidRDefault="00E9590B" w:rsidP="00983D99">
      <w:pPr>
        <w:pStyle w:val="SingleTxtG"/>
      </w:pPr>
      <w:r>
        <w:t>7</w:t>
      </w:r>
      <w:r w:rsidRPr="00B05447">
        <w:t>.</w:t>
      </w:r>
      <w:r>
        <w:t>6</w:t>
      </w:r>
      <w:r w:rsidRPr="00B05447">
        <w:tab/>
        <w:t xml:space="preserve">As the Committee does not see any other obstacle to admissibility, it decides that the communication is admissible insofar as it appears to raise issues under </w:t>
      </w:r>
      <w:r>
        <w:t>articles</w:t>
      </w:r>
      <w:r w:rsidRPr="00B05447">
        <w:t xml:space="preserve"> 7</w:t>
      </w:r>
      <w:r w:rsidR="00983D99">
        <w:t>,</w:t>
      </w:r>
      <w:r w:rsidRPr="00B05447">
        <w:t xml:space="preserve"> 9 </w:t>
      </w:r>
      <w:r w:rsidR="00983D99">
        <w:t>(</w:t>
      </w:r>
      <w:r w:rsidRPr="00B05447">
        <w:t>para</w:t>
      </w:r>
      <w:r w:rsidR="00983D99">
        <w:t>.</w:t>
      </w:r>
      <w:r w:rsidRPr="00B05447">
        <w:t xml:space="preserve"> 1</w:t>
      </w:r>
      <w:r w:rsidR="00983D99">
        <w:t>),</w:t>
      </w:r>
      <w:r w:rsidRPr="00B05447">
        <w:t xml:space="preserve"> 10 </w:t>
      </w:r>
      <w:r w:rsidR="00983D99">
        <w:t>(</w:t>
      </w:r>
      <w:r w:rsidRPr="00B05447">
        <w:t>para</w:t>
      </w:r>
      <w:r w:rsidR="00983D99">
        <w:t>.</w:t>
      </w:r>
      <w:r w:rsidRPr="00B05447">
        <w:t xml:space="preserve"> 1</w:t>
      </w:r>
      <w:r w:rsidR="00983D99">
        <w:t>)</w:t>
      </w:r>
      <w:r w:rsidRPr="00B05447">
        <w:t xml:space="preserve"> and 17</w:t>
      </w:r>
      <w:r>
        <w:t xml:space="preserve"> of the Covenant on their own and read together with article 2 </w:t>
      </w:r>
      <w:r w:rsidR="00983D99">
        <w:t>(</w:t>
      </w:r>
      <w:r>
        <w:t>para</w:t>
      </w:r>
      <w:r w:rsidR="00983D99">
        <w:t>.</w:t>
      </w:r>
      <w:r>
        <w:t xml:space="preserve"> 3</w:t>
      </w:r>
      <w:r w:rsidR="00983D99">
        <w:t>)</w:t>
      </w:r>
      <w:r>
        <w:t xml:space="preserve">; and under article 9 </w:t>
      </w:r>
      <w:r w:rsidR="00983D99">
        <w:t>(</w:t>
      </w:r>
      <w:r>
        <w:t>para</w:t>
      </w:r>
      <w:r w:rsidR="00983D99">
        <w:t>.</w:t>
      </w:r>
      <w:r>
        <w:t xml:space="preserve"> 5</w:t>
      </w:r>
      <w:r w:rsidR="00983D99">
        <w:t>)</w:t>
      </w:r>
      <w:r>
        <w:t xml:space="preserve"> on its own</w:t>
      </w:r>
      <w:r w:rsidRPr="00B05447">
        <w:t>.</w:t>
      </w:r>
    </w:p>
    <w:p w:rsidR="00E9590B" w:rsidRPr="00B05447" w:rsidRDefault="00E9590B" w:rsidP="00E9590B">
      <w:pPr>
        <w:pStyle w:val="H4G"/>
      </w:pPr>
      <w:r>
        <w:tab/>
      </w:r>
      <w:r>
        <w:tab/>
      </w:r>
      <w:r w:rsidRPr="00B05447">
        <w:t>Consideration of the merits</w:t>
      </w:r>
    </w:p>
    <w:p w:rsidR="00E9590B" w:rsidRDefault="00E9590B" w:rsidP="00E9590B">
      <w:pPr>
        <w:pStyle w:val="SingleTxtG"/>
      </w:pPr>
      <w:r>
        <w:rPr>
          <w:iCs/>
        </w:rPr>
        <w:t>8</w:t>
      </w:r>
      <w:r w:rsidRPr="00B05447">
        <w:rPr>
          <w:iCs/>
        </w:rPr>
        <w:t>.1</w:t>
      </w:r>
      <w:r w:rsidRPr="00B05447">
        <w:rPr>
          <w:iCs/>
        </w:rPr>
        <w:tab/>
      </w:r>
      <w:r w:rsidRPr="00B05447">
        <w:t xml:space="preserve">The Human Rights Committee has considered the communication in </w:t>
      </w:r>
      <w:r w:rsidR="00D91652">
        <w:t xml:space="preserve">the </w:t>
      </w:r>
      <w:r w:rsidRPr="00B05447">
        <w:t xml:space="preserve">light of all the information made available to it by the parties, as provided for under article 5, paragraph 1, of the Optional Protocol. </w:t>
      </w:r>
    </w:p>
    <w:p w:rsidR="00E9590B" w:rsidRDefault="00E9590B" w:rsidP="00D91652">
      <w:pPr>
        <w:pStyle w:val="SingleTxtG"/>
      </w:pPr>
      <w:r>
        <w:t>8.2</w:t>
      </w:r>
      <w:r>
        <w:tab/>
        <w:t>The Committee notes the author’s claims that the State party failed to ensure that the perpetrators be tried before a criminal court and that her complaints before the disciplinary bodies of the Victoria Police were unsuccessful. In th</w:t>
      </w:r>
      <w:r w:rsidR="00D91652">
        <w:t>at</w:t>
      </w:r>
      <w:r>
        <w:t xml:space="preserve"> connection</w:t>
      </w:r>
      <w:r w:rsidR="00D91652">
        <w:t>,</w:t>
      </w:r>
      <w:r>
        <w:t xml:space="preserve"> the Committee considers that article 2, paragraph 3</w:t>
      </w:r>
      <w:r w:rsidR="00D91652">
        <w:t>,</w:t>
      </w:r>
      <w:r>
        <w:t xml:space="preserve"> of the Covenant does not impose on State</w:t>
      </w:r>
      <w:r w:rsidR="001018D5">
        <w:t>s</w:t>
      </w:r>
      <w:r>
        <w:t xml:space="preserve"> parties any particular form of remedy and that the Covenant does not provide a right for individuals to require that the State criminally prosecute a third party.</w:t>
      </w:r>
      <w:r>
        <w:rPr>
          <w:rStyle w:val="FootnoteReference"/>
        </w:rPr>
        <w:footnoteReference w:id="6"/>
      </w:r>
      <w:r>
        <w:t xml:space="preserve"> However, article 2, paragraph 3 does impose on States parties the obligation to investigate allegations of violations promptly, thoroughly and effectively through independent and impartial bodies.</w:t>
      </w:r>
      <w:r>
        <w:rPr>
          <w:rStyle w:val="FootnoteReference"/>
        </w:rPr>
        <w:footnoteReference w:id="7"/>
      </w:r>
      <w:r>
        <w:t xml:space="preserve"> Furthermore, in deciding whether the victim of a violation of the Covenant has obtained adequate reparation</w:t>
      </w:r>
      <w:r w:rsidR="008E3615">
        <w:t>,</w:t>
      </w:r>
      <w:r>
        <w:t xml:space="preserve"> the Committee can take into consideration the availability and effectiveness not just of one particular remedy but the cumulative effect of several remedies of </w:t>
      </w:r>
      <w:r w:rsidR="008E3615">
        <w:t xml:space="preserve">a </w:t>
      </w:r>
      <w:r>
        <w:t>different nature, such as criminal, civil, administrative or disciplinary</w:t>
      </w:r>
      <w:r w:rsidR="008E3615">
        <w:t xml:space="preserve"> remedies</w:t>
      </w:r>
      <w:r>
        <w:t xml:space="preserve">. </w:t>
      </w:r>
    </w:p>
    <w:p w:rsidR="00E9590B" w:rsidRDefault="00E9590B" w:rsidP="001018D5">
      <w:pPr>
        <w:pStyle w:val="SingleTxtG"/>
      </w:pPr>
      <w:r>
        <w:t>8.3</w:t>
      </w:r>
      <w:r>
        <w:tab/>
        <w:t xml:space="preserve">In the present case, the </w:t>
      </w:r>
      <w:r w:rsidRPr="00B05447">
        <w:t xml:space="preserve">disciplinary </w:t>
      </w:r>
      <w:r>
        <w:t>claims</w:t>
      </w:r>
      <w:r w:rsidRPr="00B05447">
        <w:t xml:space="preserve"> </w:t>
      </w:r>
      <w:r>
        <w:t>before the Police Department were dismissed</w:t>
      </w:r>
      <w:r w:rsidRPr="00B05447">
        <w:t xml:space="preserve"> for lack of evidence. In</w:t>
      </w:r>
      <w:r>
        <w:t xml:space="preserve"> th</w:t>
      </w:r>
      <w:r w:rsidR="008E3615">
        <w:t>at</w:t>
      </w:r>
      <w:r>
        <w:t xml:space="preserve"> respect, the Committee notes</w:t>
      </w:r>
      <w:r w:rsidRPr="00B05447">
        <w:t xml:space="preserve"> the author’s allegations, uncontested by the State party, that neither the author nor the other civilian witnesses were called to give evidence; that </w:t>
      </w:r>
      <w:r>
        <w:t>the author</w:t>
      </w:r>
      <w:r w:rsidRPr="00B05447">
        <w:t xml:space="preserve"> was refused access to the file;</w:t>
      </w:r>
      <w:r>
        <w:t xml:space="preserve"> </w:t>
      </w:r>
      <w:r w:rsidRPr="00B05447">
        <w:t>that there was no public hearing</w:t>
      </w:r>
      <w:r>
        <w:t xml:space="preserve">; and that once the </w:t>
      </w:r>
      <w:r w:rsidR="001018D5">
        <w:t xml:space="preserve">finding was made in the </w:t>
      </w:r>
      <w:r>
        <w:t>civil proceeding, there was no opportunity to reopen or recommence disciplinary proceedings. In view of th</w:t>
      </w:r>
      <w:r w:rsidR="008E3615">
        <w:t>o</w:t>
      </w:r>
      <w:r>
        <w:t>se shortcomings</w:t>
      </w:r>
      <w:r w:rsidRPr="00B05447">
        <w:t xml:space="preserve"> and given the nature of the </w:t>
      </w:r>
      <w:r>
        <w:t xml:space="preserve">deciding </w:t>
      </w:r>
      <w:r w:rsidRPr="00B05447">
        <w:t>body, the C</w:t>
      </w:r>
      <w:r>
        <w:t xml:space="preserve">ommittee considers that the State party failed to show that the </w:t>
      </w:r>
      <w:r w:rsidR="001018D5">
        <w:t xml:space="preserve">disciplinary </w:t>
      </w:r>
      <w:r>
        <w:t xml:space="preserve">proceedings </w:t>
      </w:r>
      <w:r w:rsidRPr="00B05447">
        <w:t xml:space="preserve">met the requirements </w:t>
      </w:r>
      <w:r>
        <w:t>of</w:t>
      </w:r>
      <w:r w:rsidRPr="00B05447">
        <w:t xml:space="preserve"> an effective remedy under article 2, paragraph 3</w:t>
      </w:r>
      <w:r w:rsidR="008E3615">
        <w:t>,</w:t>
      </w:r>
      <w:r w:rsidRPr="00B05447">
        <w:t xml:space="preserve"> of the Covenant.</w:t>
      </w:r>
    </w:p>
    <w:p w:rsidR="00E9590B" w:rsidRDefault="00E9590B" w:rsidP="00603683">
      <w:pPr>
        <w:pStyle w:val="SingleTxtG"/>
      </w:pPr>
      <w:r>
        <w:t>8.4</w:t>
      </w:r>
      <w:r>
        <w:tab/>
        <w:t xml:space="preserve">The Committee further notes that the author was successful in her civil suit and that compensation was ordered by the </w:t>
      </w:r>
      <w:r w:rsidRPr="00B05447">
        <w:t xml:space="preserve">national judicial bodies with reference to </w:t>
      </w:r>
      <w:r>
        <w:t xml:space="preserve">the </w:t>
      </w:r>
      <w:r w:rsidRPr="00B05447">
        <w:t xml:space="preserve">police </w:t>
      </w:r>
      <w:r w:rsidRPr="00B05447">
        <w:lastRenderedPageBreak/>
        <w:t>officers</w:t>
      </w:r>
      <w:r>
        <w:t>’</w:t>
      </w:r>
      <w:r w:rsidRPr="00B05447">
        <w:t xml:space="preserve"> liability in </w:t>
      </w:r>
      <w:r w:rsidR="001018D5">
        <w:t xml:space="preserve">relation to </w:t>
      </w:r>
      <w:r w:rsidRPr="00B05447">
        <w:t xml:space="preserve">trespass, assault, wrongful arrest, false imprisonment, malicious prosecution and negligence </w:t>
      </w:r>
      <w:r w:rsidR="008E3615">
        <w:t>—</w:t>
      </w:r>
      <w:r>
        <w:t xml:space="preserve"> unlawful acts of </w:t>
      </w:r>
      <w:r w:rsidRPr="00B05447">
        <w:t xml:space="preserve">which she was </w:t>
      </w:r>
      <w:r>
        <w:t xml:space="preserve">found to be </w:t>
      </w:r>
      <w:r w:rsidRPr="00B05447">
        <w:t xml:space="preserve">a victim. </w:t>
      </w:r>
      <w:r>
        <w:t xml:space="preserve">However, her efforts </w:t>
      </w:r>
      <w:r w:rsidRPr="00B05447">
        <w:t xml:space="preserve">to seek the enforcement of the </w:t>
      </w:r>
      <w:r>
        <w:t xml:space="preserve">final </w:t>
      </w:r>
      <w:r w:rsidRPr="00B05447">
        <w:t>judgement</w:t>
      </w:r>
      <w:r>
        <w:t xml:space="preserve"> w</w:t>
      </w:r>
      <w:r w:rsidR="008E3615">
        <w:t>ere</w:t>
      </w:r>
      <w:r>
        <w:t xml:space="preserve"> unsuccessful. In the end, the author was left with no other option but </w:t>
      </w:r>
      <w:r w:rsidRPr="00B05447">
        <w:t xml:space="preserve">to accept a final settlement involving a quantum which represented a </w:t>
      </w:r>
      <w:r>
        <w:t>small portion</w:t>
      </w:r>
      <w:r w:rsidRPr="00B05447">
        <w:t xml:space="preserve"> of the </w:t>
      </w:r>
      <w:r>
        <w:t>quantum</w:t>
      </w:r>
      <w:r w:rsidRPr="00B05447">
        <w:t xml:space="preserve"> granted to her </w:t>
      </w:r>
      <w:r w:rsidR="00603683">
        <w:t>in</w:t>
      </w:r>
      <w:r w:rsidRPr="00B05447">
        <w:t xml:space="preserve"> court. </w:t>
      </w:r>
    </w:p>
    <w:p w:rsidR="00E9590B" w:rsidRPr="00B05447" w:rsidRDefault="00E9590B" w:rsidP="00573C7D">
      <w:pPr>
        <w:pStyle w:val="SingleTxtG"/>
      </w:pPr>
      <w:r>
        <w:t>8.5</w:t>
      </w:r>
      <w:r>
        <w:tab/>
        <w:t xml:space="preserve">With reference to </w:t>
      </w:r>
      <w:r w:rsidR="00D060AB">
        <w:t>s</w:t>
      </w:r>
      <w:r>
        <w:t>ection 123 of the Police Regulation Act (Vic</w:t>
      </w:r>
      <w:r w:rsidR="008E3615">
        <w:t>toria</w:t>
      </w:r>
      <w:r>
        <w:t>), t</w:t>
      </w:r>
      <w:r w:rsidRPr="00B05447">
        <w:t xml:space="preserve">he Committee </w:t>
      </w:r>
      <w:r>
        <w:t>notes that th</w:t>
      </w:r>
      <w:r w:rsidR="008E3615">
        <w:t>e</w:t>
      </w:r>
      <w:r>
        <w:t xml:space="preserve"> provision limits the responsibility of the State for wrongful acts committed by its agents without providing for an alternative mechanism for full compensation for violations of the Covenant by State agents. Under th</w:t>
      </w:r>
      <w:r w:rsidR="008E3615">
        <w:t>o</w:t>
      </w:r>
      <w:r>
        <w:t xml:space="preserve">se circumstances, the Committee considers that </w:t>
      </w:r>
      <w:r w:rsidR="00D060AB">
        <w:t>s</w:t>
      </w:r>
      <w:r>
        <w:t xml:space="preserve">ection 123 is incompatible with article 2, paragraph 2, </w:t>
      </w:r>
      <w:r w:rsidR="008E3615">
        <w:t xml:space="preserve">and </w:t>
      </w:r>
      <w:r>
        <w:t>with article 2, paragraph 3</w:t>
      </w:r>
      <w:r w:rsidR="00D060AB">
        <w:t>,</w:t>
      </w:r>
      <w:r>
        <w:t xml:space="preserve"> of the Covenant, as a State cannot elude its responsibility for violations of the Covenant committed by its own agents. </w:t>
      </w:r>
      <w:r w:rsidR="00573C7D">
        <w:t>In that respect,</w:t>
      </w:r>
      <w:r w:rsidR="00573C7D" w:rsidRPr="00B05447">
        <w:t xml:space="preserve"> </w:t>
      </w:r>
      <w:r w:rsidR="00573C7D">
        <w:t>t</w:t>
      </w:r>
      <w:r>
        <w:t xml:space="preserve">he Committee </w:t>
      </w:r>
      <w:r w:rsidRPr="00B05447">
        <w:t>recalls</w:t>
      </w:r>
      <w:r>
        <w:t xml:space="preserve"> that article 2, paragraph 2</w:t>
      </w:r>
      <w:r w:rsidR="00FB521B">
        <w:t>,</w:t>
      </w:r>
      <w:r>
        <w:t xml:space="preserve"> requires States parties to take the necessary steps to give effect to the Covenant rights in the domestic order, and to make such changes to domestic laws and practices as are necessary to ensure their conformity with the Covenant.</w:t>
      </w:r>
      <w:r>
        <w:rPr>
          <w:rStyle w:val="FootnoteReference"/>
        </w:rPr>
        <w:footnoteReference w:id="8"/>
      </w:r>
      <w:r>
        <w:t xml:space="preserve"> The Committee also recalls </w:t>
      </w:r>
      <w:r w:rsidRPr="00B05447">
        <w:t xml:space="preserve">that under article 2, paragraph 3, States </w:t>
      </w:r>
      <w:r w:rsidR="00FB521B">
        <w:t>p</w:t>
      </w:r>
      <w:r w:rsidRPr="00B05447">
        <w:t xml:space="preserve">arties are required to make reparation to individuals whose Covenant rights have been violated. Without such reparation the obligation to provide an effective remedy, which is central to the efficacy of article 2, paragraph 3, is not discharged. In addition to the explicit reparation required by articles 9, paragraph 5, and 14, paragraph 6, the Committee considers that the Covenant generally </w:t>
      </w:r>
      <w:r w:rsidR="00573C7D">
        <w:t>entails</w:t>
      </w:r>
      <w:r w:rsidRPr="00B05447">
        <w:t xml:space="preserve"> appropriate compensation.</w:t>
      </w:r>
      <w:r w:rsidRPr="00B05447">
        <w:rPr>
          <w:vertAlign w:val="superscript"/>
        </w:rPr>
        <w:footnoteReference w:id="9"/>
      </w:r>
      <w:r w:rsidRPr="00B05447">
        <w:t xml:space="preserve"> </w:t>
      </w:r>
    </w:p>
    <w:p w:rsidR="00E9590B" w:rsidRDefault="00E9590B" w:rsidP="00603683">
      <w:pPr>
        <w:pStyle w:val="SingleTxtG"/>
      </w:pPr>
      <w:r>
        <w:t>8</w:t>
      </w:r>
      <w:r w:rsidRPr="00B05447">
        <w:t>.</w:t>
      </w:r>
      <w:r>
        <w:t>6</w:t>
      </w:r>
      <w:r w:rsidRPr="00B05447">
        <w:tab/>
        <w:t xml:space="preserve">The Committee </w:t>
      </w:r>
      <w:r>
        <w:t xml:space="preserve">further </w:t>
      </w:r>
      <w:r w:rsidRPr="00B05447">
        <w:t xml:space="preserve">considers that actions for damages in domestic courts may provide an effective remedy in cases of alleged unlawfulness or negligence by </w:t>
      </w:r>
      <w:r>
        <w:t>State</w:t>
      </w:r>
      <w:r w:rsidRPr="00B05447">
        <w:t xml:space="preserve"> </w:t>
      </w:r>
      <w:r>
        <w:t>agents</w:t>
      </w:r>
      <w:r w:rsidRPr="00B05447">
        <w:t xml:space="preserve">. </w:t>
      </w:r>
      <w:r>
        <w:t>It recalls that the obligation of States under article 2, paragraph 3</w:t>
      </w:r>
      <w:r w:rsidR="00573C7D">
        <w:t>,</w:t>
      </w:r>
      <w:r>
        <w:t xml:space="preserve"> encompasses not only the obligation to provide an effective remedy, but also the obligation to ensure that the competent authorities enforce such remedies when granted. Th</w:t>
      </w:r>
      <w:r w:rsidR="00573C7D">
        <w:t>at</w:t>
      </w:r>
      <w:r>
        <w:t xml:space="preserve"> obligation, enshrined in article 2, paragraph 3</w:t>
      </w:r>
      <w:r w:rsidR="008E3615">
        <w:t xml:space="preserve"> </w:t>
      </w:r>
      <w:r>
        <w:t>(c)</w:t>
      </w:r>
      <w:r w:rsidR="00573C7D">
        <w:t>,</w:t>
      </w:r>
      <w:r>
        <w:t xml:space="preserve"> means that State authorities have the burden to enforce </w:t>
      </w:r>
      <w:r w:rsidR="00E0072B">
        <w:t>judgement</w:t>
      </w:r>
      <w:r>
        <w:t>s of domestic courts which provide effective remedies to victims. In order to ensure th</w:t>
      </w:r>
      <w:r w:rsidR="00BC2DC1">
        <w:t>at</w:t>
      </w:r>
      <w:r>
        <w:t>, State</w:t>
      </w:r>
      <w:r w:rsidR="00603683">
        <w:t>s</w:t>
      </w:r>
      <w:r>
        <w:t xml:space="preserve"> parties should use all appropriate means and organize their legal system</w:t>
      </w:r>
      <w:r w:rsidR="00BC2DC1">
        <w:t>s</w:t>
      </w:r>
      <w:r>
        <w:t xml:space="preserve"> in such a way as to guarantee the enforcement of remedies in a manner that is consistent with their obligations under the Covenant.</w:t>
      </w:r>
    </w:p>
    <w:p w:rsidR="00E9590B" w:rsidRDefault="00E9590B" w:rsidP="00BC2DC1">
      <w:pPr>
        <w:pStyle w:val="SingleTxtG"/>
      </w:pPr>
      <w:r>
        <w:t>8.7</w:t>
      </w:r>
      <w:r>
        <w:tab/>
      </w:r>
      <w:r w:rsidRPr="00B05447">
        <w:t xml:space="preserve">In the present case, the success of the author in obtaining compensation in her civil claim has been nullified by the impossibility </w:t>
      </w:r>
      <w:r w:rsidR="00BC2DC1">
        <w:t>of</w:t>
      </w:r>
      <w:r w:rsidRPr="00B05447">
        <w:t xml:space="preserve"> hav</w:t>
      </w:r>
      <w:r w:rsidR="00BC2DC1">
        <w:t>ing</w:t>
      </w:r>
      <w:r w:rsidRPr="00B05447">
        <w:t xml:space="preserve"> the judgement of the Court of Appeal adequately enforced, </w:t>
      </w:r>
      <w:r w:rsidR="00BC2DC1">
        <w:t>owing</w:t>
      </w:r>
      <w:r w:rsidRPr="00B05447">
        <w:t xml:space="preserve"> to factual and legal obstacles. </w:t>
      </w:r>
      <w:r>
        <w:t>The procedure established in the domestic law of the State party to remedy the violation of the author’s rights under articles</w:t>
      </w:r>
      <w:r w:rsidR="00C9129C">
        <w:t> </w:t>
      </w:r>
      <w:r>
        <w:t>7</w:t>
      </w:r>
      <w:r w:rsidR="00573C7D">
        <w:t>,</w:t>
      </w:r>
      <w:r>
        <w:t xml:space="preserve"> 9, paragraph 1</w:t>
      </w:r>
      <w:r w:rsidR="00573C7D">
        <w:t>,</w:t>
      </w:r>
      <w:r>
        <w:t xml:space="preserve"> and 17 of the Covenant proved to be ineffective and t</w:t>
      </w:r>
      <w:r w:rsidRPr="00B05447">
        <w:t xml:space="preserve">he compensatory award </w:t>
      </w:r>
      <w:r>
        <w:t>finally proposed to</w:t>
      </w:r>
      <w:r w:rsidRPr="00B05447">
        <w:t xml:space="preserve"> the author </w:t>
      </w:r>
      <w:r w:rsidR="00BC2DC1">
        <w:t>was</w:t>
      </w:r>
      <w:r w:rsidRPr="00B05447">
        <w:t xml:space="preserve"> inadequate, in view of the acts complained of, to satisfy the requirements of an eff</w:t>
      </w:r>
      <w:r w:rsidR="00C9129C">
        <w:t>ective reparation under article </w:t>
      </w:r>
      <w:r w:rsidRPr="00B05447">
        <w:t>2, paragraph 3</w:t>
      </w:r>
      <w:r w:rsidR="00BC2DC1">
        <w:t>,</w:t>
      </w:r>
      <w:r w:rsidRPr="00B05447">
        <w:t xml:space="preserve"> of the Covenant. </w:t>
      </w:r>
      <w:r>
        <w:t xml:space="preserve">The Committee considers that in situations where the execution of a final </w:t>
      </w:r>
      <w:r w:rsidR="00E0072B">
        <w:t>judgement</w:t>
      </w:r>
      <w:r>
        <w:t xml:space="preserve"> becomes impossible in view of the circumstances of the case</w:t>
      </w:r>
      <w:r w:rsidR="00BC2DC1">
        <w:t>,</w:t>
      </w:r>
      <w:r>
        <w:t xml:space="preserve"> other legal avenues should be available in order for the State to comply with its obligation to provide adequate redress to a victim. However, in the present case the State party has not shown that such alternative avenues existed or were effective. The State party refers to </w:t>
      </w:r>
      <w:r w:rsidR="00BC2DC1">
        <w:t>c</w:t>
      </w:r>
      <w:r>
        <w:t xml:space="preserve">ompensation under </w:t>
      </w:r>
      <w:r w:rsidR="00BC2DC1">
        <w:t xml:space="preserve">the </w:t>
      </w:r>
      <w:r>
        <w:t>Victims of Crime Assistance Scheme, but the Committee is not convinced that, given the nature of th</w:t>
      </w:r>
      <w:r w:rsidR="00BC2DC1">
        <w:t>e</w:t>
      </w:r>
      <w:r>
        <w:t xml:space="preserve"> Scheme, including its no-fault attributes, the author could indeed obtain adequate redress </w:t>
      </w:r>
      <w:r w:rsidR="00BC2DC1">
        <w:t xml:space="preserve">through it </w:t>
      </w:r>
      <w:r>
        <w:t xml:space="preserve">for serious harm inflicted by State </w:t>
      </w:r>
      <w:r>
        <w:lastRenderedPageBreak/>
        <w:t>agents. The Committee notes in th</w:t>
      </w:r>
      <w:r w:rsidR="00BC2DC1">
        <w:t>at</w:t>
      </w:r>
      <w:r>
        <w:t xml:space="preserve"> respect that the State party has not provided information about cases in which persons </w:t>
      </w:r>
      <w:r w:rsidR="00BC2DC1">
        <w:t>with</w:t>
      </w:r>
      <w:r>
        <w:t xml:space="preserve"> claims similar to those of the author obtained adequate redress through th</w:t>
      </w:r>
      <w:r w:rsidR="00BC2DC1">
        <w:t>e</w:t>
      </w:r>
      <w:r>
        <w:t xml:space="preserve"> Scheme.</w:t>
      </w:r>
    </w:p>
    <w:p w:rsidR="00E9590B" w:rsidRPr="00B05447" w:rsidRDefault="00E9590B" w:rsidP="00BC2DC1">
      <w:pPr>
        <w:pStyle w:val="SingleTxtG"/>
      </w:pPr>
      <w:r>
        <w:t>8.8</w:t>
      </w:r>
      <w:r>
        <w:tab/>
        <w:t>In view of the foregoing, including the shortcomings regarding the disciplinary proceedings, the Committee considers that the facts before it reveal a violation of article 2, paragraph 3</w:t>
      </w:r>
      <w:r w:rsidR="00BC2DC1">
        <w:t>,</w:t>
      </w:r>
      <w:r>
        <w:t xml:space="preserve"> in connection with articles 7</w:t>
      </w:r>
      <w:r w:rsidR="00BC2DC1">
        <w:t>,</w:t>
      </w:r>
      <w:r>
        <w:t xml:space="preserve"> 9, paragraph 1</w:t>
      </w:r>
      <w:r w:rsidR="00BC2DC1">
        <w:t>,</w:t>
      </w:r>
      <w:r>
        <w:t xml:space="preserve"> and 17 of the Covenant. In view of th</w:t>
      </w:r>
      <w:r w:rsidR="00BC2DC1">
        <w:t>at</w:t>
      </w:r>
      <w:r>
        <w:t xml:space="preserve"> finding, the Committee will not consider whether the circumstances of the case constitute a separate violation of articles 7</w:t>
      </w:r>
      <w:r w:rsidR="00BC2DC1">
        <w:t>,</w:t>
      </w:r>
      <w:r>
        <w:t xml:space="preserve"> 9, paragraph 1</w:t>
      </w:r>
      <w:r w:rsidR="00BC2DC1">
        <w:t>,</w:t>
      </w:r>
      <w:r>
        <w:t xml:space="preserve"> and 17. Neither will it consider whether there was a violation of article 10, paragraph 1, on its own and read together with article 2</w:t>
      </w:r>
      <w:r w:rsidR="00BC2DC1">
        <w:t>,</w:t>
      </w:r>
      <w:r>
        <w:t xml:space="preserve"> paragraph 3; and of article 9, paragraph 5.</w:t>
      </w:r>
    </w:p>
    <w:p w:rsidR="00E9590B" w:rsidRPr="00B05447" w:rsidRDefault="00E9590B" w:rsidP="00603683">
      <w:pPr>
        <w:pStyle w:val="SingleTxtG"/>
      </w:pPr>
      <w:r>
        <w:t>9</w:t>
      </w:r>
      <w:r w:rsidRPr="00B05447">
        <w:t>.</w:t>
      </w:r>
      <w:r w:rsidRPr="00B05447">
        <w:tab/>
        <w:t>The Human Rights Committee, acting under article 5, paragraph 4, of the Optional Protocol to the International Covenant on Civil and Political Rights, is of the view that the State party has violated the author</w:t>
      </w:r>
      <w:r w:rsidR="00603683">
        <w:t>’</w:t>
      </w:r>
      <w:r w:rsidRPr="00B05447">
        <w:t>s rights under article 2, paragraph 3</w:t>
      </w:r>
      <w:r w:rsidR="00D54428">
        <w:t>,</w:t>
      </w:r>
      <w:r w:rsidRPr="00B05447">
        <w:t xml:space="preserve"> in connection with</w:t>
      </w:r>
      <w:r w:rsidR="00C9129C">
        <w:t xml:space="preserve"> </w:t>
      </w:r>
      <w:r w:rsidRPr="00B05447">
        <w:t xml:space="preserve">articles </w:t>
      </w:r>
      <w:r>
        <w:t>7</w:t>
      </w:r>
      <w:r w:rsidR="00D54428">
        <w:t>,</w:t>
      </w:r>
      <w:r>
        <w:t xml:space="preserve"> 9, paragraphs 1 and 5</w:t>
      </w:r>
      <w:r w:rsidR="00BC2DC1">
        <w:t>,</w:t>
      </w:r>
      <w:r>
        <w:t xml:space="preserve"> 10, paragraph 1</w:t>
      </w:r>
      <w:r w:rsidR="00BC2DC1">
        <w:t>,</w:t>
      </w:r>
      <w:r>
        <w:t xml:space="preserve"> and 17 of the Covenant.</w:t>
      </w:r>
    </w:p>
    <w:p w:rsidR="00E9590B" w:rsidRPr="00B05447" w:rsidRDefault="00E9590B" w:rsidP="00BC2DC1">
      <w:pPr>
        <w:pStyle w:val="SingleTxtG"/>
      </w:pPr>
      <w:r w:rsidRPr="00B05447">
        <w:t>1</w:t>
      </w:r>
      <w:r>
        <w:t>0</w:t>
      </w:r>
      <w:r w:rsidRPr="00B05447">
        <w:t>.</w:t>
      </w:r>
      <w:r w:rsidRPr="00B05447">
        <w:tab/>
        <w:t>In accordance with article 2, paragraph 3</w:t>
      </w:r>
      <w:r w:rsidR="00C9129C">
        <w:t> </w:t>
      </w:r>
      <w:r w:rsidRPr="00B05447">
        <w:t>(a), of the Covenant, the State party is under an obligation to provide the author with an effective remedy</w:t>
      </w:r>
      <w:r>
        <w:t>, including adequate compensation</w:t>
      </w:r>
      <w:r w:rsidRPr="00B05447">
        <w:t>. The State party is also under an obligation to take steps to prevent similar violations in the future. In th</w:t>
      </w:r>
      <w:r w:rsidR="00BC2DC1">
        <w:t>at</w:t>
      </w:r>
      <w:r w:rsidRPr="00B05447">
        <w:t xml:space="preserve"> connection, the State party should review its legislation to ensure its conformity with the requirements of the Covenant. </w:t>
      </w:r>
    </w:p>
    <w:p w:rsidR="00B05447" w:rsidRPr="00B05447" w:rsidRDefault="00E9590B" w:rsidP="00603683">
      <w:pPr>
        <w:pStyle w:val="SingleTxtG"/>
      </w:pPr>
      <w:r w:rsidRPr="00B05447">
        <w:t>1</w:t>
      </w:r>
      <w:r>
        <w:t>1</w:t>
      </w:r>
      <w:r w:rsidRPr="00B05447">
        <w:t>.</w:t>
      </w:r>
      <w:r w:rsidRPr="00B05447">
        <w:tab/>
        <w:t xml:space="preserve">Bearing in mind that, by becoming a party to the Optional Protocol, the State party has recognized the competence of the Committee to determine whether </w:t>
      </w:r>
      <w:r w:rsidR="00590BEF" w:rsidRPr="00B05447">
        <w:t xml:space="preserve">or not </w:t>
      </w:r>
      <w:r w:rsidRPr="00B05447">
        <w:t xml:space="preserve">there has been a violation of the Covenant and that, pursuant to article 2 of the Covenant, the State party has undertaken to ensure </w:t>
      </w:r>
      <w:r w:rsidR="00590BEF">
        <w:t>for</w:t>
      </w:r>
      <w:r w:rsidRPr="00B05447">
        <w:t xml:space="preserve"> all individuals within its territory or subject to its jurisdiction the rights recognized in the Covenant and to provide an effective and enforceable remedy when a violation has </w:t>
      </w:r>
      <w:r w:rsidR="00590BEF">
        <w:t>been established</w:t>
      </w:r>
      <w:r w:rsidRPr="00B05447">
        <w:t>, the Committee wishes to receive from the State party, within 180 days, information about the measures taken to give effect to the Committee</w:t>
      </w:r>
      <w:r w:rsidR="00780822">
        <w:t>’</w:t>
      </w:r>
      <w:r w:rsidRPr="00B05447">
        <w:t xml:space="preserve">s Views. The State party is also requested to publish the present Views and </w:t>
      </w:r>
      <w:r w:rsidRPr="00B05447">
        <w:rPr>
          <w:lang w:val="en-US"/>
        </w:rPr>
        <w:t xml:space="preserve">disseminate </w:t>
      </w:r>
      <w:r w:rsidR="00780822">
        <w:rPr>
          <w:lang w:val="en-US"/>
        </w:rPr>
        <w:t xml:space="preserve">them widely </w:t>
      </w:r>
      <w:r w:rsidRPr="00B05447">
        <w:rPr>
          <w:lang w:val="en-US"/>
        </w:rPr>
        <w:t>in the State party</w:t>
      </w:r>
      <w:r w:rsidRPr="00B05447">
        <w:t>.</w:t>
      </w:r>
      <w:r w:rsidR="00B05447" w:rsidRPr="00B05447">
        <w:t xml:space="preserve"> </w:t>
      </w:r>
    </w:p>
    <w:p w:rsidR="00442A83" w:rsidRDefault="00B05447" w:rsidP="00780822">
      <w:pPr>
        <w:pStyle w:val="SingleTxtG"/>
      </w:pPr>
      <w:r w:rsidRPr="00B05447">
        <w:t>[Adopted in English, French and Spanish, the English text being the original version. Subsequently to be issued also in Arabic, Chinese and Russian as part of the Committee</w:t>
      </w:r>
      <w:r w:rsidR="00780822">
        <w:t>’</w:t>
      </w:r>
      <w:r w:rsidRPr="00B05447">
        <w:t>s annual report to the General Assembly.]</w:t>
      </w:r>
    </w:p>
    <w:p w:rsidR="009B0CC9" w:rsidRDefault="009B0CC9" w:rsidP="00B05447">
      <w:pPr>
        <w:pStyle w:val="SingleTxtG"/>
      </w:pPr>
    </w:p>
    <w:p w:rsidR="00234008" w:rsidRDefault="00234008" w:rsidP="00B05447">
      <w:pPr>
        <w:pStyle w:val="SingleTxtG"/>
        <w:sectPr w:rsidR="00234008" w:rsidSect="00B05447">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pPr>
    </w:p>
    <w:p w:rsidR="00234008" w:rsidRDefault="00234008" w:rsidP="00234008">
      <w:pPr>
        <w:pStyle w:val="HChG"/>
      </w:pPr>
      <w:r>
        <w:lastRenderedPageBreak/>
        <w:t>Appendix</w:t>
      </w:r>
      <w:r w:rsidR="00603683">
        <w:t xml:space="preserve"> I</w:t>
      </w:r>
    </w:p>
    <w:p w:rsidR="00AB2B73" w:rsidRPr="00F54997" w:rsidRDefault="00234008" w:rsidP="00603683">
      <w:pPr>
        <w:pStyle w:val="H1G"/>
      </w:pPr>
      <w:r>
        <w:tab/>
      </w:r>
      <w:r>
        <w:tab/>
      </w:r>
      <w:r w:rsidR="00AB2B73" w:rsidRPr="00F54997">
        <w:t xml:space="preserve">Individual opinion </w:t>
      </w:r>
      <w:r w:rsidR="00AB2B73">
        <w:t>by</w:t>
      </w:r>
      <w:r w:rsidR="00AB2B73" w:rsidRPr="00F54997">
        <w:t xml:space="preserve"> Committee member </w:t>
      </w:r>
      <w:r w:rsidR="00603683">
        <w:t>Anja</w:t>
      </w:r>
      <w:r w:rsidR="00AB2B73" w:rsidRPr="00F54997">
        <w:t xml:space="preserve"> Seibert-Fohr</w:t>
      </w:r>
      <w:r w:rsidR="00AB2B73">
        <w:t xml:space="preserve">, </w:t>
      </w:r>
      <w:r w:rsidR="009B0CC9">
        <w:br/>
      </w:r>
      <w:r w:rsidR="00AB2B73" w:rsidRPr="009A658A">
        <w:t>joined by</w:t>
      </w:r>
      <w:r w:rsidR="009B0CC9">
        <w:t xml:space="preserve"> </w:t>
      </w:r>
      <w:r w:rsidR="00AB2B73" w:rsidRPr="009A658A">
        <w:t>Committee member</w:t>
      </w:r>
      <w:r w:rsidR="00AB2B73">
        <w:t>s</w:t>
      </w:r>
      <w:r w:rsidR="00AB2B73" w:rsidRPr="009A658A">
        <w:t xml:space="preserve"> </w:t>
      </w:r>
      <w:r w:rsidR="00603683">
        <w:t>Yuji</w:t>
      </w:r>
      <w:r w:rsidR="00AB2B73">
        <w:t xml:space="preserve"> Iwasawa</w:t>
      </w:r>
      <w:r w:rsidR="00AB2B73" w:rsidRPr="00F54997">
        <w:t xml:space="preserve"> </w:t>
      </w:r>
      <w:r w:rsidR="00AB2B73">
        <w:t xml:space="preserve">and </w:t>
      </w:r>
      <w:r w:rsidR="00603683">
        <w:t>Walter</w:t>
      </w:r>
      <w:r w:rsidR="00AB2B73" w:rsidRPr="00F54997">
        <w:t xml:space="preserve"> Kälin</w:t>
      </w:r>
      <w:r w:rsidR="00AB2B73">
        <w:t xml:space="preserve"> (partly</w:t>
      </w:r>
      <w:r w:rsidR="009B0CC9">
        <w:t> </w:t>
      </w:r>
      <w:r w:rsidR="00AB2B73">
        <w:t>dissenting)</w:t>
      </w:r>
    </w:p>
    <w:p w:rsidR="00AB2B73" w:rsidRDefault="00062BC7" w:rsidP="00062BC7">
      <w:pPr>
        <w:pStyle w:val="SingleTxtG"/>
        <w:ind w:left="1138" w:right="1138"/>
      </w:pPr>
      <w:r>
        <w:t>1.</w:t>
      </w:r>
      <w:r>
        <w:tab/>
      </w:r>
      <w:r w:rsidR="00AB2B73">
        <w:t>The main issue of th</w:t>
      </w:r>
      <w:r>
        <w:t>e present</w:t>
      </w:r>
      <w:r w:rsidR="00AB2B73">
        <w:t xml:space="preserve"> case is the State party’s failure to recognize its responsibility for the violent police misconduct. On 9 March 1996, as established by the </w:t>
      </w:r>
      <w:r w:rsidR="00AB2B73" w:rsidRPr="001D3E05">
        <w:t>Country Court of Victoria</w:t>
      </w:r>
      <w:r w:rsidR="00AB2B73">
        <w:t xml:space="preserve">, the author was tackled by a police officer who pulled her to the floor and began to brutally punch her face rendering her senseless </w:t>
      </w:r>
      <w:r>
        <w:t xml:space="preserve">and leaving her </w:t>
      </w:r>
      <w:r w:rsidR="00AB2B73">
        <w:t xml:space="preserve">with a badly beaten and broken nose. She was rolled over and handcuffed despite her bleeding nose and dragged to a van. </w:t>
      </w:r>
      <w:r>
        <w:t>Alt</w:t>
      </w:r>
      <w:r w:rsidR="00AB2B73">
        <w:t>hough the County Court established the individual police officer’s civil liability on th</w:t>
      </w:r>
      <w:r>
        <w:t>o</w:t>
      </w:r>
      <w:r w:rsidR="00AB2B73">
        <w:t>se grounds, the State party continues to deny responsibility for cruel, inhuman or degrading treatment. We regret that the majority of the Committee decided not to consider th</w:t>
      </w:r>
      <w:r>
        <w:t>at</w:t>
      </w:r>
      <w:r w:rsidR="00AB2B73">
        <w:t xml:space="preserve"> important aspect of the case and instead characterized the remedies available to the author as the real issue. To our mind</w:t>
      </w:r>
      <w:r>
        <w:t>s</w:t>
      </w:r>
      <w:r w:rsidR="00AB2B73">
        <w:t>, given the gravity of the ill-treatment and the State party’s denial of responsibility, it was indispensable for the Committee to find that the police officer’s acts</w:t>
      </w:r>
      <w:r>
        <w:t>,</w:t>
      </w:r>
      <w:r w:rsidR="00AB2B73">
        <w:t xml:space="preserve"> which were clearly attributable to the State party</w:t>
      </w:r>
      <w:r>
        <w:t>,</w:t>
      </w:r>
      <w:r w:rsidR="00AB2B73">
        <w:t xml:space="preserve"> amounted to a violation of article 7. Such </w:t>
      </w:r>
      <w:r>
        <w:t xml:space="preserve">a </w:t>
      </w:r>
      <w:r w:rsidR="00AB2B73">
        <w:t>finding also would have provided the necessary precondition for the Committee’s analysis of the author’s compensation claim under article 2, paragraph 3</w:t>
      </w:r>
      <w:r>
        <w:t>,</w:t>
      </w:r>
      <w:r w:rsidR="00AB2B73">
        <w:t xml:space="preserve"> which does not provide for an independent</w:t>
      </w:r>
      <w:r>
        <w:t>,</w:t>
      </w:r>
      <w:r w:rsidR="00AB2B73">
        <w:t xml:space="preserve"> free-standing right.</w:t>
      </w:r>
    </w:p>
    <w:p w:rsidR="00AB2B73" w:rsidRDefault="00062BC7" w:rsidP="00CF7CFE">
      <w:pPr>
        <w:pStyle w:val="SingleTxtG"/>
      </w:pPr>
      <w:r>
        <w:t>2.</w:t>
      </w:r>
      <w:r>
        <w:tab/>
      </w:r>
      <w:r w:rsidR="00AB2B73">
        <w:t xml:space="preserve">We concur that the violation of article 7 was insufficiently remedied because the author </w:t>
      </w:r>
      <w:r w:rsidR="00CF7CFE">
        <w:t xml:space="preserve">neither </w:t>
      </w:r>
      <w:r w:rsidR="00AB2B73">
        <w:t>receive</w:t>
      </w:r>
      <w:r w:rsidR="00CF7CFE">
        <w:t>d</w:t>
      </w:r>
      <w:r w:rsidR="00AB2B73">
        <w:t xml:space="preserve"> any payment for the ill-treatment inflicted on her by Constable J.</w:t>
      </w:r>
      <w:r w:rsidR="00CF7CFE">
        <w:t>,</w:t>
      </w:r>
      <w:r w:rsidR="00AB2B73">
        <w:t xml:space="preserve"> nor was her ill-treatment subject to an independent official investigation </w:t>
      </w:r>
      <w:r w:rsidR="00CF7CFE">
        <w:t xml:space="preserve">to </w:t>
      </w:r>
      <w:r w:rsidR="00AB2B73">
        <w:t>which she had access. The procedure established under domestic law thus did not provide the author with an effective remedy as required under article 2, paragraph 3 (a)</w:t>
      </w:r>
      <w:r w:rsidR="00CF7CFE">
        <w:t>,</w:t>
      </w:r>
      <w:r w:rsidR="00AB2B73">
        <w:t xml:space="preserve"> of the Covenant. The Committee’s reference to subparagraph (c), however, is misleading as it was not the failure to enforce a judicial remedy but the failure to provide for an effective remedy in the first place which led to a violation of article 2. We emphasize th</w:t>
      </w:r>
      <w:r w:rsidR="00CF7CFE">
        <w:t>at</w:t>
      </w:r>
      <w:r w:rsidR="00AB2B73">
        <w:t xml:space="preserve"> aspect because without th</w:t>
      </w:r>
      <w:r w:rsidR="00CF7CFE">
        <w:t>at</w:t>
      </w:r>
      <w:r w:rsidR="00AB2B73">
        <w:t xml:space="preserve"> clarification</w:t>
      </w:r>
      <w:r w:rsidR="00CF7CFE">
        <w:t>,</w:t>
      </w:r>
      <w:r w:rsidR="00AB2B73">
        <w:t xml:space="preserve"> the Committee’s reasoning might be understood as granting a right to have domestic civil remedies effectuated even to the extent that they go beyond the requirements of article 2, paragraph 3 (a), </w:t>
      </w:r>
      <w:r w:rsidR="00CF7CFE">
        <w:t>such as</w:t>
      </w:r>
      <w:r w:rsidR="00AB2B73">
        <w:t xml:space="preserve"> by providing for </w:t>
      </w:r>
      <w:r w:rsidR="00AB2B73" w:rsidRPr="0004565E">
        <w:t>punitive damages.</w:t>
      </w:r>
      <w:r w:rsidR="00AB2B73">
        <w:t xml:space="preserve"> Th</w:t>
      </w:r>
      <w:r w:rsidR="00CF7CFE">
        <w:t>at</w:t>
      </w:r>
      <w:r w:rsidR="00AB2B73">
        <w:t xml:space="preserve"> is not what article 2 requires and therefore the Committee’s conclusion that the State party is under an obligation to provide the author with an effective remedy, including adequate compensation, should be read on the basis of an understanding which is informed by an autonomous interpretation of article</w:t>
      </w:r>
      <w:r w:rsidR="009B0CC9">
        <w:t> </w:t>
      </w:r>
      <w:r w:rsidR="00AB2B73">
        <w:t>2.</w:t>
      </w:r>
    </w:p>
    <w:p w:rsidR="00234008" w:rsidRDefault="00062BC7" w:rsidP="00013A00">
      <w:pPr>
        <w:pStyle w:val="SingleTxtG"/>
      </w:pPr>
      <w:r>
        <w:t>3.</w:t>
      </w:r>
      <w:r>
        <w:tab/>
      </w:r>
      <w:r w:rsidR="00AB2B73">
        <w:t xml:space="preserve">We disagree with the Committee’s finding that </w:t>
      </w:r>
      <w:r w:rsidR="00D060AB">
        <w:t>s</w:t>
      </w:r>
      <w:r w:rsidR="00AB2B73">
        <w:t>ection 123 of the Police Regulation Act 1958 (</w:t>
      </w:r>
      <w:smartTag w:uri="urn:schemas-microsoft-com:office:smarttags" w:element="place">
        <w:smartTag w:uri="urn:schemas-microsoft-com:office:smarttags" w:element="State">
          <w:r w:rsidR="00AB2B73">
            <w:t>Vic</w:t>
          </w:r>
          <w:r w:rsidR="00D060AB">
            <w:t>toria</w:t>
          </w:r>
        </w:smartTag>
      </w:smartTag>
      <w:r w:rsidR="00AB2B73">
        <w:t>)</w:t>
      </w:r>
      <w:r w:rsidR="00CF7CFE">
        <w:t>,</w:t>
      </w:r>
      <w:r w:rsidR="00AB2B73">
        <w:t xml:space="preserve"> which provides that the State incurs responsibility for a specific category of police misconduct</w:t>
      </w:r>
      <w:r w:rsidR="00CF7CFE">
        <w:t>,</w:t>
      </w:r>
      <w:r w:rsidR="00AB2B73">
        <w:t xml:space="preserve"> is incompatible with article 2. In fact, the damage award ordered by the County Court initially had been transferred to the State on the basis of th</w:t>
      </w:r>
      <w:r w:rsidR="00CF7CFE">
        <w:t>at</w:t>
      </w:r>
      <w:r w:rsidR="00AB2B73">
        <w:t xml:space="preserve"> </w:t>
      </w:r>
      <w:r w:rsidR="00CF7CFE">
        <w:t>A</w:t>
      </w:r>
      <w:r w:rsidR="00AB2B73">
        <w:t>ct. The failure to provide for an effective remedy did not result from th</w:t>
      </w:r>
      <w:r w:rsidR="00CF7CFE">
        <w:t>at</w:t>
      </w:r>
      <w:r w:rsidR="00AB2B73">
        <w:t xml:space="preserve"> provision</w:t>
      </w:r>
      <w:r w:rsidR="00CF7CFE">
        <w:t>,</w:t>
      </w:r>
      <w:r w:rsidR="00AB2B73">
        <w:t xml:space="preserve"> but from the subsequent application of common law </w:t>
      </w:r>
      <w:r w:rsidR="00013A00">
        <w:t xml:space="preserve">to the case </w:t>
      </w:r>
      <w:r w:rsidR="00AB2B73">
        <w:t>by the Court of Appeal in combination with the State party’s failure to establish the availability of an alternative remedy for cases in which individual officers lack the means to pay compensation. We emphasize th</w:t>
      </w:r>
      <w:r w:rsidR="00013A00">
        <w:t>at point</w:t>
      </w:r>
      <w:r w:rsidR="00AB2B73">
        <w:t xml:space="preserve"> in order to highlight the particularity of th</w:t>
      </w:r>
      <w:r w:rsidR="00013A00">
        <w:t>e present</w:t>
      </w:r>
      <w:r w:rsidR="00AB2B73">
        <w:t xml:space="preserve"> case and to avoid misunderstandings which could give rise to an overly broad interpretation of the Committee’s views.</w:t>
      </w:r>
    </w:p>
    <w:p w:rsidR="00AB2B73" w:rsidRDefault="00AB2B73" w:rsidP="00013A00">
      <w:pPr>
        <w:pStyle w:val="SingleTxtG"/>
      </w:pPr>
      <w:r w:rsidRPr="00B05447">
        <w:t>[</w:t>
      </w:r>
      <w:r>
        <w:t>Done</w:t>
      </w:r>
      <w:r w:rsidRPr="00B05447">
        <w:t xml:space="preserve"> in English. Subsequently to be issued also in Arabic, Chinese</w:t>
      </w:r>
      <w:r>
        <w:t>, French,</w:t>
      </w:r>
      <w:r w:rsidRPr="00B05447">
        <w:t xml:space="preserve"> Russian </w:t>
      </w:r>
      <w:r>
        <w:t xml:space="preserve">and Spanish </w:t>
      </w:r>
      <w:r w:rsidRPr="00B05447">
        <w:t>as part of the Committee</w:t>
      </w:r>
      <w:r w:rsidR="00013A00">
        <w:t>’</w:t>
      </w:r>
      <w:r w:rsidRPr="00B05447">
        <w:t>s annual report to the General Assembly.]</w:t>
      </w:r>
    </w:p>
    <w:p w:rsidR="00234008" w:rsidRDefault="00234008" w:rsidP="00234008">
      <w:pPr>
        <w:pStyle w:val="SingleTxtG"/>
        <w:sectPr w:rsidR="00234008" w:rsidSect="00234008">
          <w:headerReference w:type="first" r:id="rId14"/>
          <w:footerReference w:type="first" r:id="rId15"/>
          <w:endnotePr>
            <w:numFmt w:val="decimal"/>
          </w:endnotePr>
          <w:pgSz w:w="11907" w:h="16840" w:code="9"/>
          <w:pgMar w:top="1701" w:right="1134" w:bottom="2268" w:left="1134" w:header="1134" w:footer="1701" w:gutter="0"/>
          <w:cols w:space="720"/>
          <w:docGrid w:linePitch="272"/>
        </w:sectPr>
      </w:pPr>
    </w:p>
    <w:p w:rsidR="00603683" w:rsidRDefault="00603683" w:rsidP="00603683">
      <w:pPr>
        <w:pStyle w:val="HChG"/>
      </w:pPr>
      <w:r>
        <w:lastRenderedPageBreak/>
        <w:t>Appendix II</w:t>
      </w:r>
    </w:p>
    <w:p w:rsidR="00234008" w:rsidRPr="00234008" w:rsidRDefault="00603683" w:rsidP="004668CB">
      <w:pPr>
        <w:pStyle w:val="H1G"/>
        <w:rPr>
          <w:lang w:val="en-US"/>
        </w:rPr>
      </w:pPr>
      <w:r>
        <w:rPr>
          <w:lang w:val="en-US"/>
        </w:rPr>
        <w:tab/>
      </w:r>
      <w:r>
        <w:rPr>
          <w:lang w:val="en-US"/>
        </w:rPr>
        <w:tab/>
      </w:r>
      <w:r w:rsidR="00234008" w:rsidRPr="00234008">
        <w:rPr>
          <w:lang w:val="en-US"/>
        </w:rPr>
        <w:t xml:space="preserve">Individual opinion </w:t>
      </w:r>
      <w:r w:rsidR="004668CB">
        <w:rPr>
          <w:lang w:val="en-US"/>
        </w:rPr>
        <w:t>by</w:t>
      </w:r>
      <w:r w:rsidR="00234008" w:rsidRPr="00234008">
        <w:rPr>
          <w:lang w:val="en-US"/>
        </w:rPr>
        <w:t xml:space="preserve"> Committee </w:t>
      </w:r>
      <w:r w:rsidR="00D54428">
        <w:rPr>
          <w:lang w:val="en-US"/>
        </w:rPr>
        <w:t>m</w:t>
      </w:r>
      <w:r w:rsidR="00234008" w:rsidRPr="00234008">
        <w:rPr>
          <w:lang w:val="en-US"/>
        </w:rPr>
        <w:t>ember Gerald L. Neuman</w:t>
      </w:r>
      <w:r w:rsidR="00234008">
        <w:rPr>
          <w:lang w:val="en-US"/>
        </w:rPr>
        <w:br/>
      </w:r>
      <w:r w:rsidR="00234008" w:rsidRPr="00234008">
        <w:rPr>
          <w:lang w:val="en-US"/>
        </w:rPr>
        <w:t>(partly dissenting)</w:t>
      </w:r>
    </w:p>
    <w:p w:rsidR="00AB2B73" w:rsidRPr="00AB2B73" w:rsidRDefault="00062BC7" w:rsidP="00013A00">
      <w:pPr>
        <w:pStyle w:val="SingleTxtG"/>
        <w:rPr>
          <w:lang w:val="en-US"/>
        </w:rPr>
      </w:pPr>
      <w:r>
        <w:rPr>
          <w:lang w:val="en-US"/>
        </w:rPr>
        <w:t>1.</w:t>
      </w:r>
      <w:r>
        <w:rPr>
          <w:lang w:val="en-US"/>
        </w:rPr>
        <w:tab/>
      </w:r>
      <w:r w:rsidR="00AB2B73" w:rsidRPr="00AB2B73">
        <w:rPr>
          <w:lang w:val="en-US"/>
        </w:rPr>
        <w:t xml:space="preserve">I agree in substance with the dissenting opinion of my fellow Committee </w:t>
      </w:r>
      <w:r w:rsidR="00013A00">
        <w:rPr>
          <w:lang w:val="en-US"/>
        </w:rPr>
        <w:t>m</w:t>
      </w:r>
      <w:r w:rsidR="00AB2B73" w:rsidRPr="00AB2B73">
        <w:rPr>
          <w:lang w:val="en-US"/>
        </w:rPr>
        <w:t>embers.</w:t>
      </w:r>
      <w:r w:rsidR="00C9129C">
        <w:rPr>
          <w:lang w:val="en-US"/>
        </w:rPr>
        <w:t xml:space="preserve"> </w:t>
      </w:r>
      <w:r w:rsidR="00AB2B73" w:rsidRPr="00AB2B73">
        <w:rPr>
          <w:lang w:val="en-US"/>
        </w:rPr>
        <w:t xml:space="preserve">I write very briefly to note a few other aspects of the Committee’s Views </w:t>
      </w:r>
      <w:r w:rsidR="00013A00">
        <w:rPr>
          <w:lang w:val="en-US"/>
        </w:rPr>
        <w:t>with which</w:t>
      </w:r>
      <w:r w:rsidR="00AB2B73" w:rsidRPr="00AB2B73">
        <w:rPr>
          <w:lang w:val="en-US"/>
        </w:rPr>
        <w:t xml:space="preserve"> I cannot </w:t>
      </w:r>
      <w:r w:rsidR="00013A00">
        <w:rPr>
          <w:lang w:val="en-US"/>
        </w:rPr>
        <w:t>concur</w:t>
      </w:r>
      <w:r w:rsidR="00AB2B73" w:rsidRPr="00AB2B73">
        <w:rPr>
          <w:lang w:val="en-US"/>
        </w:rPr>
        <w:t>.</w:t>
      </w:r>
    </w:p>
    <w:p w:rsidR="00AB2B73" w:rsidRPr="00AB2B73" w:rsidRDefault="00013A00" w:rsidP="003F3ED8">
      <w:pPr>
        <w:pStyle w:val="SingleTxtG"/>
        <w:rPr>
          <w:lang w:val="en-US"/>
        </w:rPr>
      </w:pPr>
      <w:r>
        <w:rPr>
          <w:lang w:val="en-US"/>
        </w:rPr>
        <w:t>2.</w:t>
      </w:r>
      <w:r>
        <w:rPr>
          <w:lang w:val="en-US"/>
        </w:rPr>
        <w:tab/>
      </w:r>
      <w:r w:rsidR="00AB2B73" w:rsidRPr="00AB2B73">
        <w:rPr>
          <w:lang w:val="en-US"/>
        </w:rPr>
        <w:t xml:space="preserve">The majority </w:t>
      </w:r>
      <w:r w:rsidR="003F3ED8">
        <w:rPr>
          <w:lang w:val="en-US"/>
        </w:rPr>
        <w:t xml:space="preserve">View </w:t>
      </w:r>
      <w:r w:rsidR="00AB2B73" w:rsidRPr="00AB2B73">
        <w:rPr>
          <w:lang w:val="en-US"/>
        </w:rPr>
        <w:t>cuts too many corners in dealing with the issues that do not relate to the brutal attack by Constable J. that violated article 7.</w:t>
      </w:r>
      <w:r w:rsidR="00C9129C">
        <w:rPr>
          <w:lang w:val="en-US"/>
        </w:rPr>
        <w:t xml:space="preserve"> </w:t>
      </w:r>
      <w:r w:rsidR="00AB2B73" w:rsidRPr="00AB2B73">
        <w:rPr>
          <w:lang w:val="en-US"/>
        </w:rPr>
        <w:t>It treats most of the claims as a unit, although they are different in their character and in their factual bases, and it does not give sufficient consideration to the author’s settlement with the other three officers.</w:t>
      </w:r>
    </w:p>
    <w:p w:rsidR="00AB2B73" w:rsidRPr="00AB2B73" w:rsidRDefault="00013A00" w:rsidP="003F3ED8">
      <w:pPr>
        <w:pStyle w:val="SingleTxtG"/>
        <w:rPr>
          <w:lang w:val="en-US"/>
        </w:rPr>
      </w:pPr>
      <w:r>
        <w:rPr>
          <w:lang w:val="en-US"/>
        </w:rPr>
        <w:t>3</w:t>
      </w:r>
      <w:r w:rsidR="00062BC7">
        <w:rPr>
          <w:lang w:val="en-US"/>
        </w:rPr>
        <w:t>.</w:t>
      </w:r>
      <w:r w:rsidR="00062BC7">
        <w:rPr>
          <w:lang w:val="en-US"/>
        </w:rPr>
        <w:tab/>
      </w:r>
      <w:r w:rsidR="00AB2B73" w:rsidRPr="00AB2B73">
        <w:rPr>
          <w:lang w:val="en-US"/>
        </w:rPr>
        <w:t xml:space="preserve">Moreover, it would be wrong to suggest that the State party has refused to “enforce” a </w:t>
      </w:r>
      <w:r w:rsidR="00E0072B">
        <w:rPr>
          <w:lang w:val="en-US"/>
        </w:rPr>
        <w:t>judgement</w:t>
      </w:r>
      <w:r w:rsidR="00AB2B73" w:rsidRPr="00AB2B73">
        <w:rPr>
          <w:lang w:val="en-US"/>
        </w:rPr>
        <w:t xml:space="preserve"> of its domestic courts.</w:t>
      </w:r>
      <w:r w:rsidR="00C9129C">
        <w:rPr>
          <w:lang w:val="en-US"/>
        </w:rPr>
        <w:t xml:space="preserve"> </w:t>
      </w:r>
      <w:r w:rsidR="00AB2B73" w:rsidRPr="00AB2B73">
        <w:rPr>
          <w:lang w:val="en-US"/>
        </w:rPr>
        <w:t xml:space="preserve">The tort </w:t>
      </w:r>
      <w:r w:rsidR="00E0072B">
        <w:rPr>
          <w:lang w:val="en-US"/>
        </w:rPr>
        <w:t>judgement</w:t>
      </w:r>
      <w:r w:rsidR="00AB2B73" w:rsidRPr="00AB2B73">
        <w:rPr>
          <w:lang w:val="en-US"/>
        </w:rPr>
        <w:t>, granting damages in magnitudes that exceed the requirements of the Covenant, ran only against the individual officers by its own terms.</w:t>
      </w:r>
      <w:r w:rsidR="00C9129C">
        <w:rPr>
          <w:lang w:val="en-US"/>
        </w:rPr>
        <w:t xml:space="preserve"> </w:t>
      </w:r>
      <w:r w:rsidR="00AB2B73" w:rsidRPr="00AB2B73">
        <w:rPr>
          <w:lang w:val="en-US"/>
        </w:rPr>
        <w:t xml:space="preserve">The majority more appropriately shifts in paragraph 8.7 to the subject of “alternative avenues” by which the State party would provide the author adequate compensation from public funds, which was definitely not what the court’s </w:t>
      </w:r>
      <w:r w:rsidR="00E0072B">
        <w:rPr>
          <w:lang w:val="en-US"/>
        </w:rPr>
        <w:t>judgement</w:t>
      </w:r>
      <w:r w:rsidR="00AB2B73" w:rsidRPr="00AB2B73">
        <w:rPr>
          <w:lang w:val="en-US"/>
        </w:rPr>
        <w:t xml:space="preserve"> entailed.</w:t>
      </w:r>
    </w:p>
    <w:p w:rsidR="00AB2B73" w:rsidRPr="00AB2B73" w:rsidRDefault="00013A00" w:rsidP="003F3ED8">
      <w:pPr>
        <w:pStyle w:val="SingleTxtG"/>
        <w:rPr>
          <w:lang w:val="en-US"/>
        </w:rPr>
      </w:pPr>
      <w:r>
        <w:rPr>
          <w:lang w:val="en-US"/>
        </w:rPr>
        <w:t>4</w:t>
      </w:r>
      <w:r w:rsidR="00062BC7">
        <w:rPr>
          <w:lang w:val="en-US"/>
        </w:rPr>
        <w:t>.</w:t>
      </w:r>
      <w:r w:rsidR="00062BC7">
        <w:rPr>
          <w:lang w:val="en-US"/>
        </w:rPr>
        <w:tab/>
      </w:r>
      <w:r w:rsidR="00AB2B73" w:rsidRPr="00AB2B73">
        <w:rPr>
          <w:lang w:val="en-US"/>
        </w:rPr>
        <w:t>My concern about the majority’s expression of its reasons extends beyond th</w:t>
      </w:r>
      <w:r w:rsidR="003F3ED8">
        <w:rPr>
          <w:lang w:val="en-US"/>
        </w:rPr>
        <w:t>e present</w:t>
      </w:r>
      <w:r w:rsidR="00AB2B73" w:rsidRPr="00AB2B73">
        <w:rPr>
          <w:lang w:val="en-US"/>
        </w:rPr>
        <w:t xml:space="preserve"> case.</w:t>
      </w:r>
      <w:r w:rsidR="00C9129C">
        <w:rPr>
          <w:lang w:val="en-US"/>
        </w:rPr>
        <w:t xml:space="preserve"> </w:t>
      </w:r>
      <w:r w:rsidR="00AB2B73" w:rsidRPr="00AB2B73">
        <w:rPr>
          <w:lang w:val="en-US"/>
        </w:rPr>
        <w:t>The overly generalized way in which the majority discusses the issues obscures significant distinctions among violations for which different remedial responses may be sufficient and may have been sufficient in the present case.</w:t>
      </w:r>
      <w:r w:rsidR="00C9129C">
        <w:rPr>
          <w:lang w:val="en-US"/>
        </w:rPr>
        <w:t xml:space="preserve"> </w:t>
      </w:r>
      <w:r w:rsidR="00AB2B73" w:rsidRPr="00AB2B73">
        <w:rPr>
          <w:lang w:val="en-US"/>
        </w:rPr>
        <w:t>The Committee should engage in more nuanced discussion of obligations under article 2, paragraph 3, in the future.</w:t>
      </w:r>
    </w:p>
    <w:p w:rsidR="00234008" w:rsidRPr="00234008" w:rsidRDefault="00013A00" w:rsidP="003F3ED8">
      <w:pPr>
        <w:pStyle w:val="SingleTxtG"/>
        <w:rPr>
          <w:lang w:val="en-US"/>
        </w:rPr>
      </w:pPr>
      <w:r>
        <w:rPr>
          <w:lang w:val="en-US"/>
        </w:rPr>
        <w:t>5</w:t>
      </w:r>
      <w:r w:rsidR="00062BC7">
        <w:rPr>
          <w:lang w:val="en-US"/>
        </w:rPr>
        <w:t>.</w:t>
      </w:r>
      <w:r w:rsidR="00062BC7">
        <w:rPr>
          <w:lang w:val="en-US"/>
        </w:rPr>
        <w:tab/>
      </w:r>
      <w:r w:rsidR="00AB2B73" w:rsidRPr="00AB2B73">
        <w:rPr>
          <w:lang w:val="en-US"/>
        </w:rPr>
        <w:t>Unfortunately, my ability to address th</w:t>
      </w:r>
      <w:r w:rsidR="003F3ED8">
        <w:rPr>
          <w:lang w:val="en-US"/>
        </w:rPr>
        <w:t>o</w:t>
      </w:r>
      <w:r w:rsidR="00AB2B73" w:rsidRPr="00AB2B73">
        <w:rPr>
          <w:lang w:val="en-US"/>
        </w:rPr>
        <w:t>se issues here is impaired by the fact that the United Nations has insisted upon imposing a word limit on the Committee’s Views for budgetary reasons.</w:t>
      </w:r>
      <w:r w:rsidR="00C9129C">
        <w:rPr>
          <w:lang w:val="en-US"/>
        </w:rPr>
        <w:t xml:space="preserve"> </w:t>
      </w:r>
      <w:r w:rsidR="00AB2B73" w:rsidRPr="00AB2B73">
        <w:rPr>
          <w:lang w:val="en-US"/>
        </w:rPr>
        <w:t>Th</w:t>
      </w:r>
      <w:r w:rsidR="003F3ED8">
        <w:rPr>
          <w:lang w:val="en-US"/>
        </w:rPr>
        <w:t>at</w:t>
      </w:r>
      <w:r w:rsidR="00AB2B73" w:rsidRPr="00AB2B73">
        <w:rPr>
          <w:lang w:val="en-US"/>
        </w:rPr>
        <w:t xml:space="preserve"> practice is antithetical to the Committee’s carrying out of its responsibilities, and should be abolished.</w:t>
      </w:r>
    </w:p>
    <w:p w:rsidR="00234008" w:rsidRDefault="00234008" w:rsidP="00234008">
      <w:pPr>
        <w:pStyle w:val="SingleTxtG"/>
      </w:pPr>
      <w:r w:rsidRPr="00B05447">
        <w:t>[</w:t>
      </w:r>
      <w:r>
        <w:t>Done</w:t>
      </w:r>
      <w:r w:rsidRPr="00B05447">
        <w:t xml:space="preserve"> in English. Subsequently to be issued also in Arabic, Chinese</w:t>
      </w:r>
      <w:r>
        <w:t>, French,</w:t>
      </w:r>
      <w:r w:rsidRPr="00B05447">
        <w:t xml:space="preserve"> Russian </w:t>
      </w:r>
      <w:r>
        <w:t xml:space="preserve">and Spanish </w:t>
      </w:r>
      <w:r w:rsidRPr="00B05447">
        <w:t>as part of the Committee</w:t>
      </w:r>
      <w:r w:rsidR="0000617E">
        <w:t>’</w:t>
      </w:r>
      <w:r w:rsidRPr="00B05447">
        <w:t>s annual report to the General Assembly.]</w:t>
      </w:r>
    </w:p>
    <w:p w:rsidR="00E27C7D" w:rsidRPr="00E27C7D" w:rsidRDefault="00E27C7D" w:rsidP="00E27C7D">
      <w:pPr>
        <w:pStyle w:val="SingleTxtG"/>
        <w:spacing w:before="240" w:after="0"/>
        <w:jc w:val="center"/>
        <w:rPr>
          <w:u w:val="single"/>
        </w:rPr>
      </w:pPr>
      <w:r>
        <w:rPr>
          <w:u w:val="single"/>
        </w:rPr>
        <w:tab/>
      </w:r>
      <w:r>
        <w:rPr>
          <w:u w:val="single"/>
        </w:rPr>
        <w:tab/>
      </w:r>
      <w:r>
        <w:rPr>
          <w:u w:val="single"/>
        </w:rPr>
        <w:tab/>
      </w:r>
    </w:p>
    <w:sectPr w:rsidR="00E27C7D" w:rsidRPr="00E27C7D" w:rsidSect="00234008">
      <w:headerReference w:type="first" r:id="rId16"/>
      <w:footerReference w:type="first" r:id="rId17"/>
      <w:endnotePr>
        <w:numFmt w:val="decimal"/>
      </w:endnotePr>
      <w:pgSz w:w="11907" w:h="16840" w:code="9"/>
      <w:pgMar w:top="1701" w:right="1134" w:bottom="2268" w:left="1134"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0A5" w:rsidRDefault="002E70A5"/>
  </w:endnote>
  <w:endnote w:type="continuationSeparator" w:id="0">
    <w:p w:rsidR="002E70A5" w:rsidRDefault="002E70A5"/>
  </w:endnote>
  <w:endnote w:type="continuationNotice" w:id="1">
    <w:p w:rsidR="002E70A5" w:rsidRDefault="002E7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6FF" w:rsidRPr="00B05447" w:rsidRDefault="008B76FF" w:rsidP="00B05447">
    <w:pPr>
      <w:pStyle w:val="Footer"/>
      <w:tabs>
        <w:tab w:val="right" w:pos="9638"/>
      </w:tabs>
    </w:pPr>
    <w:r w:rsidRPr="00B05447">
      <w:rPr>
        <w:b/>
        <w:sz w:val="18"/>
      </w:rPr>
      <w:fldChar w:fldCharType="begin"/>
    </w:r>
    <w:r w:rsidRPr="00B05447">
      <w:rPr>
        <w:b/>
        <w:sz w:val="18"/>
      </w:rPr>
      <w:instrText xml:space="preserve"> PAGE  \* MERGEFORMAT </w:instrText>
    </w:r>
    <w:r w:rsidRPr="00B05447">
      <w:rPr>
        <w:b/>
        <w:sz w:val="18"/>
      </w:rPr>
      <w:fldChar w:fldCharType="separate"/>
    </w:r>
    <w:r w:rsidR="0054556B">
      <w:rPr>
        <w:b/>
        <w:noProof/>
        <w:sz w:val="18"/>
      </w:rPr>
      <w:t>2</w:t>
    </w:r>
    <w:r w:rsidRPr="00B05447">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6FF" w:rsidRPr="00B52284" w:rsidRDefault="008B76FF" w:rsidP="00B05447">
    <w:pPr>
      <w:pStyle w:val="Footer"/>
      <w:tabs>
        <w:tab w:val="right" w:pos="9638"/>
      </w:tabs>
      <w:rPr>
        <w:b/>
        <w:sz w:val="18"/>
      </w:rPr>
    </w:pPr>
    <w:r>
      <w:rPr>
        <w:b/>
        <w:sz w:val="18"/>
      </w:rPr>
      <w:tab/>
    </w:r>
    <w:r w:rsidRPr="00B52284">
      <w:rPr>
        <w:b/>
        <w:sz w:val="18"/>
      </w:rPr>
      <w:fldChar w:fldCharType="begin"/>
    </w:r>
    <w:r w:rsidRPr="00B52284">
      <w:rPr>
        <w:b/>
        <w:sz w:val="18"/>
      </w:rPr>
      <w:instrText xml:space="preserve"> PAGE  \* MERGEFORMAT </w:instrText>
    </w:r>
    <w:r w:rsidRPr="00B52284">
      <w:rPr>
        <w:b/>
        <w:sz w:val="18"/>
      </w:rPr>
      <w:fldChar w:fldCharType="separate"/>
    </w:r>
    <w:r w:rsidR="0054556B">
      <w:rPr>
        <w:b/>
        <w:noProof/>
        <w:sz w:val="18"/>
      </w:rPr>
      <w:t>3</w:t>
    </w:r>
    <w:r w:rsidRPr="00B52284">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6FF" w:rsidRDefault="002E70A5">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337.3pt;margin-top:646.25pt;width:73.25pt;height:18.15pt;z-index:3;mso-position-horizontal-relative:margin;mso-position-vertical-relative:margin">
          <v:imagedata r:id="rId1" o:title="recycle_English"/>
          <w10:wrap anchorx="margin" anchory="margin"/>
        </v:shape>
      </w:pict>
    </w:r>
    <w:r w:rsidR="008B76FF">
      <w:t>GE.14-04349  (E)</w:t>
    </w:r>
    <w:r w:rsidR="008B76FF">
      <w:br/>
    </w:r>
    <w:r w:rsidR="008B76FF" w:rsidRPr="00EB5B5E">
      <w:rPr>
        <w:rFonts w:ascii="C39T30Lfz" w:hAnsi="C39T30Lfz"/>
        <w:sz w:val="56"/>
      </w:rPr>
      <w:t></w:t>
    </w:r>
    <w:r w:rsidR="008B76FF" w:rsidRPr="00EB5B5E">
      <w:rPr>
        <w:rFonts w:ascii="C39T30Lfz" w:hAnsi="C39T30Lfz"/>
        <w:sz w:val="56"/>
      </w:rPr>
      <w:t></w:t>
    </w:r>
    <w:r w:rsidR="008B76FF" w:rsidRPr="00EB5B5E">
      <w:rPr>
        <w:rFonts w:ascii="C39T30Lfz" w:hAnsi="C39T30Lfz"/>
        <w:sz w:val="56"/>
      </w:rPr>
      <w:t></w:t>
    </w:r>
    <w:r w:rsidR="008B76FF" w:rsidRPr="00EB5B5E">
      <w:rPr>
        <w:rFonts w:ascii="C39T30Lfz" w:hAnsi="C39T30Lfz"/>
        <w:sz w:val="56"/>
      </w:rPr>
      <w:t></w:t>
    </w:r>
    <w:r w:rsidR="008B76FF" w:rsidRPr="00EB5B5E">
      <w:rPr>
        <w:rFonts w:ascii="C39T30Lfz" w:hAnsi="C39T30Lfz"/>
        <w:sz w:val="56"/>
      </w:rPr>
      <w:t></w:t>
    </w:r>
    <w:r w:rsidR="008B76FF" w:rsidRPr="00EB5B5E">
      <w:rPr>
        <w:rFonts w:ascii="C39T30Lfz" w:hAnsi="C39T30Lfz"/>
        <w:sz w:val="56"/>
      </w:rPr>
      <w:t></w:t>
    </w:r>
    <w:r w:rsidR="008B76FF" w:rsidRPr="00EB5B5E">
      <w:rPr>
        <w:rFonts w:ascii="C39T30Lfz" w:hAnsi="C39T30Lfz"/>
        <w:sz w:val="56"/>
      </w:rPr>
      <w:t></w:t>
    </w:r>
    <w:r w:rsidR="008B76FF" w:rsidRPr="00EB5B5E">
      <w:rPr>
        <w:rFonts w:ascii="C39T30Lfz" w:hAnsi="C39T30Lfz"/>
        <w:sz w:val="56"/>
      </w:rPr>
      <w:t></w:t>
    </w:r>
    <w:r w:rsidR="008B76FF" w:rsidRPr="00EB5B5E">
      <w:rPr>
        <w:rFonts w:ascii="C39T30Lfz" w:hAnsi="C39T30Lfz"/>
        <w:sz w:val="56"/>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6FF" w:rsidRPr="00234008" w:rsidRDefault="002E70A5" w:rsidP="00234008">
    <w:pPr>
      <w:tabs>
        <w:tab w:val="right" w:pos="9638"/>
      </w:tabs>
      <w:rPr>
        <w:b/>
        <w:sz w:val="18"/>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05.4pt;margin-top:-6.25pt;width:73.25pt;height:18.15pt;z-index:1">
          <v:imagedata r:id="rId1" o:title="recycle_English"/>
          <w10:anchorlock/>
        </v:shape>
      </w:pict>
    </w:r>
    <w:r w:rsidR="008B76FF">
      <w:rPr>
        <w:noProof/>
        <w:lang w:val="en-US"/>
      </w:rPr>
      <w:tab/>
    </w:r>
    <w:r w:rsidR="008B76FF" w:rsidRPr="00234008">
      <w:rPr>
        <w:b/>
        <w:noProof/>
        <w:sz w:val="18"/>
        <w:lang w:val="en-US"/>
      </w:rPr>
      <w:fldChar w:fldCharType="begin"/>
    </w:r>
    <w:r w:rsidR="008B76FF" w:rsidRPr="00234008">
      <w:rPr>
        <w:b/>
        <w:noProof/>
        <w:sz w:val="18"/>
        <w:lang w:val="en-US"/>
      </w:rPr>
      <w:instrText xml:space="preserve"> PAGE  \* MERGEFORMAT </w:instrText>
    </w:r>
    <w:r w:rsidR="008B76FF" w:rsidRPr="00234008">
      <w:rPr>
        <w:b/>
        <w:noProof/>
        <w:sz w:val="18"/>
        <w:lang w:val="en-US"/>
      </w:rPr>
      <w:fldChar w:fldCharType="separate"/>
    </w:r>
    <w:r w:rsidR="008B76FF">
      <w:rPr>
        <w:b/>
        <w:noProof/>
        <w:sz w:val="18"/>
        <w:lang w:val="en-US"/>
      </w:rPr>
      <w:t>23</w:t>
    </w:r>
    <w:r w:rsidR="008B76FF" w:rsidRPr="00234008">
      <w:rPr>
        <w:b/>
        <w:noProof/>
        <w:sz w:val="18"/>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6FF" w:rsidRPr="00234008" w:rsidRDefault="002E70A5" w:rsidP="00234008">
    <w:pPr>
      <w:tabs>
        <w:tab w:val="right" w:pos="9638"/>
      </w:tabs>
      <w:rPr>
        <w:b/>
        <w:sz w:val="18"/>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05.4pt;margin-top:-6.25pt;width:73.25pt;height:18.15pt;z-index:2">
          <v:imagedata r:id="rId1" o:title="recycle_English"/>
          <w10:anchorlock/>
        </v:shape>
      </w:pict>
    </w:r>
    <w:r w:rsidR="008B76FF">
      <w:rPr>
        <w:noProof/>
        <w:lang w:val="en-US"/>
      </w:rPr>
      <w:tab/>
    </w:r>
    <w:r w:rsidR="008B76FF" w:rsidRPr="00234008">
      <w:rPr>
        <w:b/>
        <w:noProof/>
        <w:sz w:val="18"/>
        <w:lang w:val="en-US"/>
      </w:rPr>
      <w:fldChar w:fldCharType="begin"/>
    </w:r>
    <w:r w:rsidR="008B76FF" w:rsidRPr="00234008">
      <w:rPr>
        <w:b/>
        <w:noProof/>
        <w:sz w:val="18"/>
        <w:lang w:val="en-US"/>
      </w:rPr>
      <w:instrText xml:space="preserve"> PAGE  \* MERGEFORMAT </w:instrText>
    </w:r>
    <w:r w:rsidR="008B76FF" w:rsidRPr="00234008">
      <w:rPr>
        <w:b/>
        <w:noProof/>
        <w:sz w:val="18"/>
        <w:lang w:val="en-US"/>
      </w:rPr>
      <w:fldChar w:fldCharType="separate"/>
    </w:r>
    <w:r w:rsidR="008B76FF">
      <w:rPr>
        <w:b/>
        <w:noProof/>
        <w:sz w:val="18"/>
        <w:lang w:val="en-US"/>
      </w:rPr>
      <w:t>23</w:t>
    </w:r>
    <w:r w:rsidR="008B76FF" w:rsidRPr="00234008">
      <w:rPr>
        <w:b/>
        <w:noProof/>
        <w:sz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0A5" w:rsidRPr="000B175B" w:rsidRDefault="002E70A5" w:rsidP="000B175B">
      <w:pPr>
        <w:tabs>
          <w:tab w:val="right" w:pos="2155"/>
        </w:tabs>
        <w:spacing w:after="80"/>
        <w:ind w:left="680"/>
        <w:rPr>
          <w:u w:val="single"/>
        </w:rPr>
      </w:pPr>
      <w:r>
        <w:rPr>
          <w:u w:val="single"/>
        </w:rPr>
        <w:tab/>
      </w:r>
    </w:p>
  </w:footnote>
  <w:footnote w:type="continuationSeparator" w:id="0">
    <w:p w:rsidR="002E70A5" w:rsidRPr="00FC68B7" w:rsidRDefault="002E70A5" w:rsidP="00FC68B7">
      <w:pPr>
        <w:tabs>
          <w:tab w:val="left" w:pos="2155"/>
        </w:tabs>
        <w:spacing w:after="80"/>
        <w:ind w:left="680"/>
        <w:rPr>
          <w:u w:val="single"/>
        </w:rPr>
      </w:pPr>
      <w:r>
        <w:rPr>
          <w:u w:val="single"/>
        </w:rPr>
        <w:tab/>
      </w:r>
    </w:p>
  </w:footnote>
  <w:footnote w:type="continuationNotice" w:id="1">
    <w:p w:rsidR="002E70A5" w:rsidRDefault="002E70A5"/>
  </w:footnote>
  <w:footnote w:id="2">
    <w:p w:rsidR="008B76FF" w:rsidRDefault="008B76FF" w:rsidP="00E0072B">
      <w:pPr>
        <w:pStyle w:val="FootnoteText"/>
        <w:rPr>
          <w:bCs/>
          <w:szCs w:val="18"/>
          <w:lang w:val="en-US"/>
        </w:rPr>
      </w:pPr>
      <w:r w:rsidRPr="00C302A4">
        <w:rPr>
          <w:rStyle w:val="FootnoteReference"/>
          <w:sz w:val="20"/>
          <w:vertAlign w:val="baseline"/>
        </w:rPr>
        <w:tab/>
        <w:t>*</w:t>
      </w:r>
      <w:r>
        <w:tab/>
      </w:r>
      <w:r w:rsidRPr="009131F3">
        <w:rPr>
          <w:szCs w:val="18"/>
        </w:rPr>
        <w:t xml:space="preserve">The following members of the Committee participated in the examination of the present communication: </w:t>
      </w:r>
      <w:r>
        <w:rPr>
          <w:szCs w:val="18"/>
        </w:rPr>
        <w:t xml:space="preserve">Yadh Ben Achour, </w:t>
      </w:r>
      <w:r w:rsidRPr="009131F3">
        <w:rPr>
          <w:bCs/>
          <w:szCs w:val="18"/>
        </w:rPr>
        <w:t xml:space="preserve">Lazhari Bouzid, </w:t>
      </w:r>
      <w:r>
        <w:rPr>
          <w:bCs/>
          <w:szCs w:val="18"/>
          <w:lang w:val="en-US"/>
        </w:rPr>
        <w:t xml:space="preserve">Christine Chanet, </w:t>
      </w:r>
      <w:r w:rsidRPr="009131F3">
        <w:rPr>
          <w:bCs/>
          <w:szCs w:val="18"/>
          <w:lang w:val="en-US"/>
        </w:rPr>
        <w:t xml:space="preserve">Ahmad Amin Fathalla, </w:t>
      </w:r>
      <w:r w:rsidRPr="009131F3">
        <w:rPr>
          <w:bCs/>
          <w:szCs w:val="18"/>
        </w:rPr>
        <w:t xml:space="preserve">Cornelis Flinterman, Yuji Iwasawa, </w:t>
      </w:r>
      <w:r>
        <w:rPr>
          <w:bCs/>
          <w:szCs w:val="18"/>
        </w:rPr>
        <w:t>Walter K</w:t>
      </w:r>
      <w:r w:rsidRPr="00F54997">
        <w:t>ä</w:t>
      </w:r>
      <w:r>
        <w:rPr>
          <w:bCs/>
          <w:szCs w:val="18"/>
        </w:rPr>
        <w:t xml:space="preserve">lin, </w:t>
      </w:r>
      <w:r w:rsidRPr="009131F3">
        <w:rPr>
          <w:bCs/>
          <w:szCs w:val="18"/>
        </w:rPr>
        <w:t>Zonke Zanele Majodina,</w:t>
      </w:r>
      <w:r>
        <w:rPr>
          <w:bCs/>
          <w:szCs w:val="18"/>
        </w:rPr>
        <w:t xml:space="preserve"> </w:t>
      </w:r>
      <w:r w:rsidRPr="009131F3">
        <w:rPr>
          <w:bCs/>
          <w:szCs w:val="18"/>
        </w:rPr>
        <w:t xml:space="preserve">Gerald L. Neuman, </w:t>
      </w:r>
      <w:r>
        <w:rPr>
          <w:bCs/>
          <w:szCs w:val="18"/>
        </w:rPr>
        <w:t>Sir</w:t>
      </w:r>
      <w:r w:rsidRPr="009131F3">
        <w:rPr>
          <w:bCs/>
          <w:szCs w:val="18"/>
        </w:rPr>
        <w:t xml:space="preserve"> Nigel Rodley, </w:t>
      </w:r>
      <w:r>
        <w:rPr>
          <w:bCs/>
          <w:szCs w:val="18"/>
        </w:rPr>
        <w:t xml:space="preserve">Victor Manuel Rodríguez-Rescia, </w:t>
      </w:r>
      <w:r w:rsidRPr="009131F3">
        <w:rPr>
          <w:bCs/>
          <w:szCs w:val="18"/>
          <w:lang w:val="en-US"/>
        </w:rPr>
        <w:t>Fabi</w:t>
      </w:r>
      <w:r>
        <w:rPr>
          <w:bCs/>
          <w:szCs w:val="18"/>
          <w:lang w:val="en-US"/>
        </w:rPr>
        <w:t>á</w:t>
      </w:r>
      <w:r w:rsidRPr="009131F3">
        <w:rPr>
          <w:bCs/>
          <w:szCs w:val="18"/>
          <w:lang w:val="en-US"/>
        </w:rPr>
        <w:t xml:space="preserve">n Omar Salvioli, </w:t>
      </w:r>
      <w:r>
        <w:rPr>
          <w:bCs/>
          <w:szCs w:val="18"/>
          <w:lang w:val="en-US"/>
        </w:rPr>
        <w:t xml:space="preserve">Anja Seibert-Fohr, Yuval Shany, </w:t>
      </w:r>
      <w:r>
        <w:rPr>
          <w:bCs/>
          <w:szCs w:val="18"/>
        </w:rPr>
        <w:t xml:space="preserve">Margo Waterval and </w:t>
      </w:r>
      <w:r w:rsidRPr="00E065A0">
        <w:rPr>
          <w:bCs/>
          <w:szCs w:val="18"/>
          <w:lang w:val="en-US"/>
        </w:rPr>
        <w:t>Andrei Paul Zlatescu</w:t>
      </w:r>
      <w:r>
        <w:rPr>
          <w:bCs/>
          <w:szCs w:val="18"/>
          <w:lang w:val="en-US"/>
        </w:rPr>
        <w:t>.</w:t>
      </w:r>
    </w:p>
    <w:p w:rsidR="008B76FF" w:rsidRPr="0047675B" w:rsidRDefault="008B76FF" w:rsidP="00E0072B">
      <w:pPr>
        <w:pStyle w:val="FootnoteText"/>
      </w:pPr>
      <w:r>
        <w:rPr>
          <w:bCs/>
          <w:szCs w:val="18"/>
          <w:lang w:val="en-US"/>
        </w:rPr>
        <w:tab/>
      </w:r>
      <w:r>
        <w:rPr>
          <w:bCs/>
          <w:szCs w:val="18"/>
          <w:lang w:val="en-US"/>
        </w:rPr>
        <w:tab/>
        <w:t xml:space="preserve">The texts of an individual opinion by Committee member Anja Seibert-Fohr, </w:t>
      </w:r>
      <w:r>
        <w:rPr>
          <w:bCs/>
          <w:szCs w:val="18"/>
        </w:rPr>
        <w:t xml:space="preserve">joined by </w:t>
      </w:r>
      <w:r w:rsidRPr="009131F3">
        <w:rPr>
          <w:bCs/>
          <w:szCs w:val="18"/>
        </w:rPr>
        <w:t>Yuji Iwasawa</w:t>
      </w:r>
      <w:r>
        <w:rPr>
          <w:bCs/>
          <w:szCs w:val="18"/>
        </w:rPr>
        <w:t xml:space="preserve"> and</w:t>
      </w:r>
      <w:r w:rsidRPr="009131F3">
        <w:rPr>
          <w:bCs/>
          <w:szCs w:val="18"/>
        </w:rPr>
        <w:t xml:space="preserve"> </w:t>
      </w:r>
      <w:r>
        <w:rPr>
          <w:bCs/>
          <w:szCs w:val="18"/>
        </w:rPr>
        <w:t>Walter K</w:t>
      </w:r>
      <w:r w:rsidRPr="00F54997">
        <w:t>ä</w:t>
      </w:r>
      <w:r>
        <w:rPr>
          <w:bCs/>
          <w:szCs w:val="18"/>
        </w:rPr>
        <w:t xml:space="preserve">lin, and </w:t>
      </w:r>
      <w:r>
        <w:rPr>
          <w:bCs/>
          <w:szCs w:val="18"/>
          <w:lang w:val="en-US"/>
        </w:rPr>
        <w:t xml:space="preserve">an individual opinion </w:t>
      </w:r>
      <w:r>
        <w:rPr>
          <w:bCs/>
          <w:szCs w:val="18"/>
        </w:rPr>
        <w:t>by Gerald L. Neuman are appended to the present Views.</w:t>
      </w:r>
    </w:p>
  </w:footnote>
  <w:footnote w:id="3">
    <w:p w:rsidR="008B76FF" w:rsidRPr="00133540" w:rsidRDefault="008B76FF" w:rsidP="00591A42">
      <w:pPr>
        <w:pStyle w:val="FootnoteText"/>
      </w:pPr>
      <w:r>
        <w:tab/>
      </w:r>
      <w:r>
        <w:rPr>
          <w:rStyle w:val="FootnoteReference"/>
        </w:rPr>
        <w:footnoteRef/>
      </w:r>
      <w:r>
        <w:tab/>
      </w:r>
      <w:r w:rsidRPr="00133540">
        <w:t>See para</w:t>
      </w:r>
      <w:r>
        <w:t>.</w:t>
      </w:r>
      <w:r w:rsidRPr="00133540">
        <w:t xml:space="preserve"> 4.8.</w:t>
      </w:r>
    </w:p>
  </w:footnote>
  <w:footnote w:id="4">
    <w:p w:rsidR="008B76FF" w:rsidRPr="004557FA" w:rsidRDefault="008B76FF" w:rsidP="00591A42">
      <w:pPr>
        <w:pStyle w:val="FootnoteText"/>
      </w:pPr>
      <w:r>
        <w:tab/>
      </w:r>
      <w:r>
        <w:rPr>
          <w:rStyle w:val="FootnoteReference"/>
        </w:rPr>
        <w:footnoteRef/>
      </w:r>
      <w:r>
        <w:tab/>
        <w:t xml:space="preserve">Section 123 reads: </w:t>
      </w:r>
    </w:p>
    <w:p w:rsidR="008B76FF" w:rsidRPr="004557FA" w:rsidRDefault="008B76FF" w:rsidP="00C302A4">
      <w:pPr>
        <w:pStyle w:val="FootnoteText"/>
        <w:rPr>
          <w:lang w:eastAsia="en-GB"/>
        </w:rPr>
      </w:pPr>
      <w:r>
        <w:rPr>
          <w:lang w:eastAsia="en-GB"/>
        </w:rPr>
        <w:tab/>
      </w:r>
      <w:r>
        <w:rPr>
          <w:lang w:eastAsia="en-GB"/>
        </w:rPr>
        <w:tab/>
        <w:t>“</w:t>
      </w:r>
      <w:r w:rsidRPr="004557FA">
        <w:rPr>
          <w:lang w:eastAsia="en-GB"/>
        </w:rPr>
        <w:t>Immunity of members</w:t>
      </w:r>
    </w:p>
    <w:p w:rsidR="008B76FF" w:rsidRPr="004557FA" w:rsidRDefault="008B76FF" w:rsidP="00D060AB">
      <w:pPr>
        <w:pStyle w:val="FootnoteText"/>
        <w:rPr>
          <w:lang w:eastAsia="en-GB"/>
        </w:rPr>
      </w:pPr>
      <w:r>
        <w:rPr>
          <w:lang w:eastAsia="en-GB"/>
        </w:rPr>
        <w:tab/>
      </w:r>
      <w:r>
        <w:rPr>
          <w:lang w:eastAsia="en-GB"/>
        </w:rPr>
        <w:tab/>
      </w:r>
      <w:r w:rsidRPr="004557FA">
        <w:rPr>
          <w:lang w:eastAsia="en-GB"/>
        </w:rPr>
        <w:t>(1)</w:t>
      </w:r>
      <w:r>
        <w:rPr>
          <w:lang w:eastAsia="en-GB"/>
        </w:rPr>
        <w:t xml:space="preserve"> </w:t>
      </w:r>
      <w:r w:rsidRPr="004557FA">
        <w:rPr>
          <w:lang w:eastAsia="en-GB"/>
        </w:rPr>
        <w:t xml:space="preserve">A member of the force </w:t>
      </w:r>
      <w:r>
        <w:rPr>
          <w:lang w:eastAsia="en-GB"/>
        </w:rPr>
        <w:t xml:space="preserve">… </w:t>
      </w:r>
      <w:r w:rsidRPr="004557FA">
        <w:rPr>
          <w:lang w:eastAsia="en-GB"/>
        </w:rPr>
        <w:t>is not personally liable for</w:t>
      </w:r>
      <w:r>
        <w:rPr>
          <w:lang w:eastAsia="en-GB"/>
        </w:rPr>
        <w:t xml:space="preserve"> </w:t>
      </w:r>
      <w:r w:rsidRPr="004557FA">
        <w:rPr>
          <w:lang w:eastAsia="en-GB"/>
        </w:rPr>
        <w:t>anything necessarily or reasonably done or omitted to be done in good faith in</w:t>
      </w:r>
      <w:r>
        <w:rPr>
          <w:lang w:eastAsia="en-GB"/>
        </w:rPr>
        <w:t xml:space="preserve"> t</w:t>
      </w:r>
      <w:r w:rsidRPr="004557FA">
        <w:rPr>
          <w:lang w:eastAsia="en-GB"/>
        </w:rPr>
        <w:t>he course of his or her duty as a member of the force or police recruit.</w:t>
      </w:r>
    </w:p>
    <w:p w:rsidR="008B76FF" w:rsidRPr="004557FA" w:rsidRDefault="008B76FF" w:rsidP="00D060AB">
      <w:pPr>
        <w:pStyle w:val="FootnoteText"/>
        <w:rPr>
          <w:lang w:eastAsia="en-GB"/>
        </w:rPr>
      </w:pPr>
      <w:r>
        <w:rPr>
          <w:lang w:eastAsia="en-GB"/>
        </w:rPr>
        <w:tab/>
      </w:r>
      <w:r>
        <w:rPr>
          <w:lang w:eastAsia="en-GB"/>
        </w:rPr>
        <w:tab/>
        <w:t xml:space="preserve">(2) </w:t>
      </w:r>
      <w:r w:rsidRPr="004557FA">
        <w:rPr>
          <w:lang w:eastAsia="en-GB"/>
        </w:rPr>
        <w:t>Any liability resulting from an act or omission that, but for subsection</w:t>
      </w:r>
      <w:r>
        <w:rPr>
          <w:lang w:eastAsia="en-GB"/>
        </w:rPr>
        <w:t xml:space="preserve"> </w:t>
      </w:r>
      <w:r w:rsidRPr="004557FA">
        <w:rPr>
          <w:lang w:eastAsia="en-GB"/>
        </w:rPr>
        <w:t>(1), would attach to a member of the force or police recruit, attaches instead</w:t>
      </w:r>
      <w:r>
        <w:rPr>
          <w:lang w:eastAsia="en-GB"/>
        </w:rPr>
        <w:t xml:space="preserve"> </w:t>
      </w:r>
      <w:r w:rsidRPr="004557FA">
        <w:rPr>
          <w:lang w:eastAsia="en-GB"/>
        </w:rPr>
        <w:t>to the State.</w:t>
      </w:r>
    </w:p>
    <w:p w:rsidR="008B76FF" w:rsidRPr="0050750B" w:rsidRDefault="008B76FF" w:rsidP="00D060AB">
      <w:pPr>
        <w:pStyle w:val="FootnoteText"/>
      </w:pPr>
      <w:r>
        <w:tab/>
      </w:r>
      <w:r>
        <w:tab/>
        <w:t xml:space="preserve">(3) </w:t>
      </w:r>
      <w:r w:rsidRPr="004557FA">
        <w:t>This section applies to acts or omissions occurring before as well as</w:t>
      </w:r>
      <w:r>
        <w:t xml:space="preserve"> </w:t>
      </w:r>
      <w:r w:rsidRPr="004557FA">
        <w:t>after the commencement of this section.</w:t>
      </w:r>
      <w:r>
        <w:t>”</w:t>
      </w:r>
    </w:p>
  </w:footnote>
  <w:footnote w:id="5">
    <w:p w:rsidR="008B76FF" w:rsidRPr="00AF43BC" w:rsidRDefault="008B76FF" w:rsidP="00133540">
      <w:pPr>
        <w:pStyle w:val="FootnoteText"/>
      </w:pPr>
      <w:r w:rsidRPr="00AF43BC">
        <w:tab/>
      </w:r>
      <w:r w:rsidRPr="00AF43BC">
        <w:rPr>
          <w:rStyle w:val="FootnoteReference"/>
          <w:szCs w:val="18"/>
        </w:rPr>
        <w:footnoteRef/>
      </w:r>
      <w:r w:rsidRPr="00AF43BC">
        <w:tab/>
        <w:t xml:space="preserve">Details concerning the author’s injuries and psychological consequences are contained in the </w:t>
      </w:r>
      <w:r>
        <w:t>judgement</w:t>
      </w:r>
      <w:r w:rsidRPr="00AF43BC">
        <w:t xml:space="preserve"> of the County Court of Victoria.</w:t>
      </w:r>
    </w:p>
  </w:footnote>
  <w:footnote w:id="6">
    <w:p w:rsidR="008B76FF" w:rsidRPr="0050750B" w:rsidRDefault="008B76FF" w:rsidP="00D91652">
      <w:pPr>
        <w:pStyle w:val="FootnoteText"/>
      </w:pPr>
      <w:r>
        <w:tab/>
      </w:r>
      <w:r>
        <w:rPr>
          <w:rStyle w:val="FootnoteReference"/>
        </w:rPr>
        <w:footnoteRef/>
      </w:r>
      <w:r>
        <w:tab/>
      </w:r>
      <w:r w:rsidRPr="00071B7A">
        <w:t xml:space="preserve">Communication No. 563/1993, </w:t>
      </w:r>
      <w:r w:rsidRPr="00AF4DA0">
        <w:rPr>
          <w:i/>
        </w:rPr>
        <w:t>Bautista de Arellana v. Colombia</w:t>
      </w:r>
      <w:r w:rsidRPr="004557FA">
        <w:t>, Views adopted on 27 October 1995, para</w:t>
      </w:r>
      <w:r>
        <w:t>.</w:t>
      </w:r>
      <w:r w:rsidRPr="004557FA">
        <w:t xml:space="preserve"> 8.6.</w:t>
      </w:r>
      <w:r w:rsidRPr="0050750B">
        <w:t xml:space="preserve"> </w:t>
      </w:r>
    </w:p>
  </w:footnote>
  <w:footnote w:id="7">
    <w:p w:rsidR="008B76FF" w:rsidRPr="0050750B" w:rsidRDefault="008B76FF" w:rsidP="00D91652">
      <w:pPr>
        <w:pStyle w:val="FootnoteText"/>
      </w:pPr>
      <w:r>
        <w:tab/>
      </w:r>
      <w:r>
        <w:rPr>
          <w:rStyle w:val="FootnoteReference"/>
        </w:rPr>
        <w:footnoteRef/>
      </w:r>
      <w:r>
        <w:tab/>
      </w:r>
      <w:r w:rsidRPr="00AF43BC">
        <w:t xml:space="preserve">General </w:t>
      </w:r>
      <w:r>
        <w:t>c</w:t>
      </w:r>
      <w:r w:rsidRPr="00AF43BC">
        <w:t>omment</w:t>
      </w:r>
      <w:r w:rsidRPr="00AF43BC">
        <w:rPr>
          <w:bCs/>
        </w:rPr>
        <w:t xml:space="preserve"> No. 31</w:t>
      </w:r>
      <w:r>
        <w:rPr>
          <w:bCs/>
        </w:rPr>
        <w:t xml:space="preserve"> (2004) on t</w:t>
      </w:r>
      <w:r w:rsidRPr="00AF43BC">
        <w:rPr>
          <w:bCs/>
        </w:rPr>
        <w:t xml:space="preserve">he </w:t>
      </w:r>
      <w:r>
        <w:rPr>
          <w:bCs/>
        </w:rPr>
        <w:t>n</w:t>
      </w:r>
      <w:r w:rsidRPr="00AF43BC">
        <w:rPr>
          <w:bCs/>
        </w:rPr>
        <w:t xml:space="preserve">ature of the </w:t>
      </w:r>
      <w:r>
        <w:rPr>
          <w:bCs/>
        </w:rPr>
        <w:t>g</w:t>
      </w:r>
      <w:r w:rsidRPr="00AF43BC">
        <w:rPr>
          <w:bCs/>
        </w:rPr>
        <w:t xml:space="preserve">eneral </w:t>
      </w:r>
      <w:r>
        <w:rPr>
          <w:bCs/>
        </w:rPr>
        <w:t>l</w:t>
      </w:r>
      <w:r w:rsidRPr="00AF43BC">
        <w:rPr>
          <w:bCs/>
        </w:rPr>
        <w:t xml:space="preserve">egal </w:t>
      </w:r>
      <w:r>
        <w:rPr>
          <w:bCs/>
        </w:rPr>
        <w:t>o</w:t>
      </w:r>
      <w:r w:rsidRPr="00AF43BC">
        <w:rPr>
          <w:bCs/>
        </w:rPr>
        <w:t xml:space="preserve">bligation </w:t>
      </w:r>
      <w:r>
        <w:rPr>
          <w:bCs/>
        </w:rPr>
        <w:t>i</w:t>
      </w:r>
      <w:r w:rsidRPr="00AF43BC">
        <w:rPr>
          <w:bCs/>
        </w:rPr>
        <w:t xml:space="preserve">mposed on States </w:t>
      </w:r>
      <w:r>
        <w:rPr>
          <w:bCs/>
        </w:rPr>
        <w:t>p</w:t>
      </w:r>
      <w:r w:rsidRPr="00AF43BC">
        <w:rPr>
          <w:bCs/>
        </w:rPr>
        <w:t xml:space="preserve">arties to the Covenant, </w:t>
      </w:r>
      <w:r w:rsidRPr="00AF43BC">
        <w:t>para</w:t>
      </w:r>
      <w:r>
        <w:t>. 15.</w:t>
      </w:r>
    </w:p>
  </w:footnote>
  <w:footnote w:id="8">
    <w:p w:rsidR="008B76FF" w:rsidRPr="002D3FCF" w:rsidRDefault="008B76FF" w:rsidP="00D91652">
      <w:pPr>
        <w:pStyle w:val="FootnoteText"/>
      </w:pPr>
      <w:r>
        <w:tab/>
      </w:r>
      <w:r>
        <w:rPr>
          <w:rStyle w:val="FootnoteReference"/>
        </w:rPr>
        <w:footnoteRef/>
      </w:r>
      <w:r>
        <w:tab/>
      </w:r>
      <w:r w:rsidRPr="002D3FCF">
        <w:t xml:space="preserve">General </w:t>
      </w:r>
      <w:r>
        <w:t>c</w:t>
      </w:r>
      <w:r w:rsidRPr="002D3FCF">
        <w:t>omment No. 31, para</w:t>
      </w:r>
      <w:r>
        <w:t>.</w:t>
      </w:r>
      <w:r w:rsidRPr="002D3FCF">
        <w:t xml:space="preserve"> 13.</w:t>
      </w:r>
    </w:p>
  </w:footnote>
  <w:footnote w:id="9">
    <w:p w:rsidR="008B76FF" w:rsidRPr="00AF43BC" w:rsidRDefault="008B76FF" w:rsidP="00D91652">
      <w:pPr>
        <w:pStyle w:val="FootnoteText"/>
      </w:pPr>
      <w:r w:rsidRPr="00AF43BC">
        <w:tab/>
      </w:r>
      <w:r w:rsidRPr="00AF43BC">
        <w:rPr>
          <w:rStyle w:val="FootnoteReference"/>
          <w:szCs w:val="18"/>
        </w:rPr>
        <w:footnoteRef/>
      </w:r>
      <w:r w:rsidRPr="00AF43BC">
        <w:tab/>
        <w:t xml:space="preserve">General </w:t>
      </w:r>
      <w:r>
        <w:t>c</w:t>
      </w:r>
      <w:r w:rsidRPr="00AF43BC">
        <w:t>omment</w:t>
      </w:r>
      <w:r w:rsidRPr="00AF43BC">
        <w:rPr>
          <w:bCs/>
        </w:rPr>
        <w:t xml:space="preserve"> No. 31, </w:t>
      </w:r>
      <w:r w:rsidRPr="00AF43BC">
        <w:t>para</w:t>
      </w:r>
      <w:r>
        <w:t>.</w:t>
      </w:r>
      <w:r w:rsidRPr="00AF43BC">
        <w:t xml:space="preserve">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6FF" w:rsidRPr="00B05447" w:rsidRDefault="008B76FF" w:rsidP="00CE2D12">
    <w:pPr>
      <w:pStyle w:val="Header"/>
      <w:tabs>
        <w:tab w:val="right" w:pos="9639"/>
      </w:tabs>
    </w:pPr>
    <w:r>
      <w:t>CCPR/C/110/D/1885/2009</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6FF" w:rsidRPr="00B05447" w:rsidRDefault="008B76FF" w:rsidP="00E9590B">
    <w:pPr>
      <w:pStyle w:val="Header"/>
      <w:tabs>
        <w:tab w:val="right" w:pos="9639"/>
      </w:tabs>
    </w:pPr>
    <w:r>
      <w:tab/>
      <w:t>CCPR/C/110/D/1885/2009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6FF" w:rsidRPr="00234008" w:rsidRDefault="008B76FF" w:rsidP="00234008">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6FF" w:rsidRPr="00234008" w:rsidRDefault="008B76FF" w:rsidP="00234008">
    <w:pPr>
      <w:pStyle w:val="Header"/>
      <w:jc w:val="right"/>
    </w:pPr>
    <w:r>
      <w:t>CCPR/C/110/D/1885/2009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447"/>
    <w:rsid w:val="0000617E"/>
    <w:rsid w:val="000126CF"/>
    <w:rsid w:val="00013A00"/>
    <w:rsid w:val="00016090"/>
    <w:rsid w:val="000272B3"/>
    <w:rsid w:val="00046D4A"/>
    <w:rsid w:val="00050F6B"/>
    <w:rsid w:val="00057E97"/>
    <w:rsid w:val="00060C3A"/>
    <w:rsid w:val="00062BC7"/>
    <w:rsid w:val="0007105D"/>
    <w:rsid w:val="00071B7A"/>
    <w:rsid w:val="00072C8C"/>
    <w:rsid w:val="000733B5"/>
    <w:rsid w:val="000743EE"/>
    <w:rsid w:val="00081815"/>
    <w:rsid w:val="000931C0"/>
    <w:rsid w:val="000B175B"/>
    <w:rsid w:val="000B3A0F"/>
    <w:rsid w:val="000B4EF7"/>
    <w:rsid w:val="000C2C03"/>
    <w:rsid w:val="000C2D2E"/>
    <w:rsid w:val="000C3E1A"/>
    <w:rsid w:val="000D2C0F"/>
    <w:rsid w:val="000D77A7"/>
    <w:rsid w:val="000D7B30"/>
    <w:rsid w:val="000E0415"/>
    <w:rsid w:val="000E0D51"/>
    <w:rsid w:val="000E3210"/>
    <w:rsid w:val="000E451C"/>
    <w:rsid w:val="000E4FE6"/>
    <w:rsid w:val="000E724A"/>
    <w:rsid w:val="001018D5"/>
    <w:rsid w:val="00107FEC"/>
    <w:rsid w:val="001103AA"/>
    <w:rsid w:val="00115B12"/>
    <w:rsid w:val="001173CE"/>
    <w:rsid w:val="00121DE4"/>
    <w:rsid w:val="00133540"/>
    <w:rsid w:val="00142A03"/>
    <w:rsid w:val="00151E64"/>
    <w:rsid w:val="00160A10"/>
    <w:rsid w:val="00162EE6"/>
    <w:rsid w:val="00165F3A"/>
    <w:rsid w:val="001672BC"/>
    <w:rsid w:val="00183968"/>
    <w:rsid w:val="00187E85"/>
    <w:rsid w:val="001A6686"/>
    <w:rsid w:val="001B3AA4"/>
    <w:rsid w:val="001B3ADF"/>
    <w:rsid w:val="001B4B04"/>
    <w:rsid w:val="001B6B79"/>
    <w:rsid w:val="001C3C9C"/>
    <w:rsid w:val="001C6663"/>
    <w:rsid w:val="001C7895"/>
    <w:rsid w:val="001D0C8C"/>
    <w:rsid w:val="001D26DF"/>
    <w:rsid w:val="001D3A03"/>
    <w:rsid w:val="001E3DF1"/>
    <w:rsid w:val="001E57BE"/>
    <w:rsid w:val="001F2822"/>
    <w:rsid w:val="00201E68"/>
    <w:rsid w:val="00202DA8"/>
    <w:rsid w:val="00207002"/>
    <w:rsid w:val="00211E0B"/>
    <w:rsid w:val="0023210C"/>
    <w:rsid w:val="00234008"/>
    <w:rsid w:val="00237553"/>
    <w:rsid w:val="00240F07"/>
    <w:rsid w:val="002557BC"/>
    <w:rsid w:val="00267F5F"/>
    <w:rsid w:val="00281DF7"/>
    <w:rsid w:val="0028381D"/>
    <w:rsid w:val="00286B4D"/>
    <w:rsid w:val="00295393"/>
    <w:rsid w:val="002955CE"/>
    <w:rsid w:val="002C21A0"/>
    <w:rsid w:val="002E70A5"/>
    <w:rsid w:val="002F175C"/>
    <w:rsid w:val="003104B1"/>
    <w:rsid w:val="00312955"/>
    <w:rsid w:val="003229D8"/>
    <w:rsid w:val="00352709"/>
    <w:rsid w:val="00355919"/>
    <w:rsid w:val="00355FBE"/>
    <w:rsid w:val="00362416"/>
    <w:rsid w:val="00367567"/>
    <w:rsid w:val="003700FA"/>
    <w:rsid w:val="00371178"/>
    <w:rsid w:val="0037275F"/>
    <w:rsid w:val="00372D05"/>
    <w:rsid w:val="00375185"/>
    <w:rsid w:val="00375320"/>
    <w:rsid w:val="00381D1C"/>
    <w:rsid w:val="0038336C"/>
    <w:rsid w:val="00391A94"/>
    <w:rsid w:val="003A6810"/>
    <w:rsid w:val="003B1098"/>
    <w:rsid w:val="003B1392"/>
    <w:rsid w:val="003C2075"/>
    <w:rsid w:val="003C2CC4"/>
    <w:rsid w:val="003D4B23"/>
    <w:rsid w:val="003E4CBB"/>
    <w:rsid w:val="003F3ED8"/>
    <w:rsid w:val="00405462"/>
    <w:rsid w:val="00405EE9"/>
    <w:rsid w:val="00407835"/>
    <w:rsid w:val="00410C89"/>
    <w:rsid w:val="00413A8C"/>
    <w:rsid w:val="00413AD7"/>
    <w:rsid w:val="00426B9B"/>
    <w:rsid w:val="00431D6F"/>
    <w:rsid w:val="004325CB"/>
    <w:rsid w:val="00433F9A"/>
    <w:rsid w:val="0043548A"/>
    <w:rsid w:val="00436B33"/>
    <w:rsid w:val="00442A83"/>
    <w:rsid w:val="00447706"/>
    <w:rsid w:val="00451AA9"/>
    <w:rsid w:val="0045495B"/>
    <w:rsid w:val="004557FA"/>
    <w:rsid w:val="004603D1"/>
    <w:rsid w:val="004668CB"/>
    <w:rsid w:val="00467F1E"/>
    <w:rsid w:val="00474616"/>
    <w:rsid w:val="00475301"/>
    <w:rsid w:val="0047675B"/>
    <w:rsid w:val="004833B4"/>
    <w:rsid w:val="0048520C"/>
    <w:rsid w:val="00487488"/>
    <w:rsid w:val="00487FA5"/>
    <w:rsid w:val="0049552D"/>
    <w:rsid w:val="004B69A7"/>
    <w:rsid w:val="004E3A45"/>
    <w:rsid w:val="004F0FA3"/>
    <w:rsid w:val="004F6324"/>
    <w:rsid w:val="004F63C6"/>
    <w:rsid w:val="0050750B"/>
    <w:rsid w:val="00507CC4"/>
    <w:rsid w:val="0052136D"/>
    <w:rsid w:val="005225DE"/>
    <w:rsid w:val="005275B0"/>
    <w:rsid w:val="0052775E"/>
    <w:rsid w:val="005420F2"/>
    <w:rsid w:val="005445F6"/>
    <w:rsid w:val="0054556B"/>
    <w:rsid w:val="00550EFC"/>
    <w:rsid w:val="00552692"/>
    <w:rsid w:val="005628B6"/>
    <w:rsid w:val="005738F2"/>
    <w:rsid w:val="00573C7D"/>
    <w:rsid w:val="00574780"/>
    <w:rsid w:val="00577838"/>
    <w:rsid w:val="005807DE"/>
    <w:rsid w:val="0058174F"/>
    <w:rsid w:val="0058345E"/>
    <w:rsid w:val="005848B3"/>
    <w:rsid w:val="00590BEF"/>
    <w:rsid w:val="00590F87"/>
    <w:rsid w:val="00591A42"/>
    <w:rsid w:val="00592C4A"/>
    <w:rsid w:val="00594C18"/>
    <w:rsid w:val="00595D49"/>
    <w:rsid w:val="005A1EF6"/>
    <w:rsid w:val="005A2867"/>
    <w:rsid w:val="005B255E"/>
    <w:rsid w:val="005B3DB3"/>
    <w:rsid w:val="005B6DCF"/>
    <w:rsid w:val="005F7717"/>
    <w:rsid w:val="005F7B75"/>
    <w:rsid w:val="006001EE"/>
    <w:rsid w:val="00603683"/>
    <w:rsid w:val="00605042"/>
    <w:rsid w:val="00611FC4"/>
    <w:rsid w:val="006176FB"/>
    <w:rsid w:val="00640B26"/>
    <w:rsid w:val="00646CBB"/>
    <w:rsid w:val="006526D1"/>
    <w:rsid w:val="00652D0A"/>
    <w:rsid w:val="00657F0B"/>
    <w:rsid w:val="00662BB6"/>
    <w:rsid w:val="00662FE3"/>
    <w:rsid w:val="006731CE"/>
    <w:rsid w:val="00681F34"/>
    <w:rsid w:val="00684C21"/>
    <w:rsid w:val="0069455E"/>
    <w:rsid w:val="006C22B4"/>
    <w:rsid w:val="006D37AF"/>
    <w:rsid w:val="006D51D0"/>
    <w:rsid w:val="006E5238"/>
    <w:rsid w:val="006E564B"/>
    <w:rsid w:val="006E7191"/>
    <w:rsid w:val="006E7FBD"/>
    <w:rsid w:val="006F5B0A"/>
    <w:rsid w:val="00702AC5"/>
    <w:rsid w:val="00703577"/>
    <w:rsid w:val="00710B3E"/>
    <w:rsid w:val="007241AB"/>
    <w:rsid w:val="0072632A"/>
    <w:rsid w:val="007327D5"/>
    <w:rsid w:val="00756EAA"/>
    <w:rsid w:val="007629C8"/>
    <w:rsid w:val="007679E2"/>
    <w:rsid w:val="00774CDE"/>
    <w:rsid w:val="00780822"/>
    <w:rsid w:val="00782E08"/>
    <w:rsid w:val="0078301C"/>
    <w:rsid w:val="00787BF5"/>
    <w:rsid w:val="007B2DF4"/>
    <w:rsid w:val="007B3608"/>
    <w:rsid w:val="007B6BA5"/>
    <w:rsid w:val="007C3390"/>
    <w:rsid w:val="007C4F4B"/>
    <w:rsid w:val="007C56A3"/>
    <w:rsid w:val="007C5F2C"/>
    <w:rsid w:val="007C784F"/>
    <w:rsid w:val="007D1EE0"/>
    <w:rsid w:val="007E0B2D"/>
    <w:rsid w:val="007F0F55"/>
    <w:rsid w:val="007F3B22"/>
    <w:rsid w:val="007F6611"/>
    <w:rsid w:val="008105B8"/>
    <w:rsid w:val="0081254A"/>
    <w:rsid w:val="008135D6"/>
    <w:rsid w:val="00816360"/>
    <w:rsid w:val="008210E5"/>
    <w:rsid w:val="00823AE8"/>
    <w:rsid w:val="008242D7"/>
    <w:rsid w:val="008257B1"/>
    <w:rsid w:val="0084312A"/>
    <w:rsid w:val="00843767"/>
    <w:rsid w:val="00843AF2"/>
    <w:rsid w:val="00845046"/>
    <w:rsid w:val="00851899"/>
    <w:rsid w:val="008679D9"/>
    <w:rsid w:val="00884090"/>
    <w:rsid w:val="00885313"/>
    <w:rsid w:val="00886D95"/>
    <w:rsid w:val="008909AA"/>
    <w:rsid w:val="008979B1"/>
    <w:rsid w:val="008A1DB2"/>
    <w:rsid w:val="008A6B25"/>
    <w:rsid w:val="008A6C4F"/>
    <w:rsid w:val="008B2335"/>
    <w:rsid w:val="008B76FF"/>
    <w:rsid w:val="008E0678"/>
    <w:rsid w:val="008E3615"/>
    <w:rsid w:val="008F3916"/>
    <w:rsid w:val="009065D5"/>
    <w:rsid w:val="00910F40"/>
    <w:rsid w:val="00912C08"/>
    <w:rsid w:val="00913F70"/>
    <w:rsid w:val="009223CA"/>
    <w:rsid w:val="0092673A"/>
    <w:rsid w:val="00933C05"/>
    <w:rsid w:val="00935D8B"/>
    <w:rsid w:val="00940F93"/>
    <w:rsid w:val="0095347F"/>
    <w:rsid w:val="009611C9"/>
    <w:rsid w:val="00970491"/>
    <w:rsid w:val="00972325"/>
    <w:rsid w:val="009760F3"/>
    <w:rsid w:val="00983D99"/>
    <w:rsid w:val="00985783"/>
    <w:rsid w:val="009909F5"/>
    <w:rsid w:val="009A0E8D"/>
    <w:rsid w:val="009A21A5"/>
    <w:rsid w:val="009A5A37"/>
    <w:rsid w:val="009B0CC9"/>
    <w:rsid w:val="009B26E7"/>
    <w:rsid w:val="009C7C68"/>
    <w:rsid w:val="00A00A3F"/>
    <w:rsid w:val="00A01489"/>
    <w:rsid w:val="00A13DF0"/>
    <w:rsid w:val="00A2606E"/>
    <w:rsid w:val="00A30B81"/>
    <w:rsid w:val="00A31D57"/>
    <w:rsid w:val="00A32189"/>
    <w:rsid w:val="00A338F1"/>
    <w:rsid w:val="00A44615"/>
    <w:rsid w:val="00A56378"/>
    <w:rsid w:val="00A72F22"/>
    <w:rsid w:val="00A7360F"/>
    <w:rsid w:val="00A748A6"/>
    <w:rsid w:val="00A769F4"/>
    <w:rsid w:val="00A776B4"/>
    <w:rsid w:val="00A835BA"/>
    <w:rsid w:val="00A94361"/>
    <w:rsid w:val="00A9507B"/>
    <w:rsid w:val="00AA293C"/>
    <w:rsid w:val="00AA2EDA"/>
    <w:rsid w:val="00AA6018"/>
    <w:rsid w:val="00AA65AB"/>
    <w:rsid w:val="00AA690D"/>
    <w:rsid w:val="00AB1B56"/>
    <w:rsid w:val="00AB2B73"/>
    <w:rsid w:val="00AD40A7"/>
    <w:rsid w:val="00AD50D1"/>
    <w:rsid w:val="00AD57E6"/>
    <w:rsid w:val="00AE6175"/>
    <w:rsid w:val="00AF0BBC"/>
    <w:rsid w:val="00AF43BC"/>
    <w:rsid w:val="00AF4DA0"/>
    <w:rsid w:val="00AF5BD4"/>
    <w:rsid w:val="00AF603E"/>
    <w:rsid w:val="00B05447"/>
    <w:rsid w:val="00B12736"/>
    <w:rsid w:val="00B13E9B"/>
    <w:rsid w:val="00B2544A"/>
    <w:rsid w:val="00B30179"/>
    <w:rsid w:val="00B30718"/>
    <w:rsid w:val="00B339A7"/>
    <w:rsid w:val="00B40AB3"/>
    <w:rsid w:val="00B44490"/>
    <w:rsid w:val="00B45199"/>
    <w:rsid w:val="00B50AD5"/>
    <w:rsid w:val="00B520D3"/>
    <w:rsid w:val="00B52284"/>
    <w:rsid w:val="00B56E4A"/>
    <w:rsid w:val="00B56E9C"/>
    <w:rsid w:val="00B64B1F"/>
    <w:rsid w:val="00B6553F"/>
    <w:rsid w:val="00B66E5E"/>
    <w:rsid w:val="00B757C7"/>
    <w:rsid w:val="00B77D05"/>
    <w:rsid w:val="00B81206"/>
    <w:rsid w:val="00B81E12"/>
    <w:rsid w:val="00B83146"/>
    <w:rsid w:val="00B9067B"/>
    <w:rsid w:val="00B92DFC"/>
    <w:rsid w:val="00B93FB6"/>
    <w:rsid w:val="00B94EB1"/>
    <w:rsid w:val="00BA3738"/>
    <w:rsid w:val="00BA3983"/>
    <w:rsid w:val="00BC1DD9"/>
    <w:rsid w:val="00BC2C23"/>
    <w:rsid w:val="00BC2DC1"/>
    <w:rsid w:val="00BC574D"/>
    <w:rsid w:val="00BC61D3"/>
    <w:rsid w:val="00BC74E9"/>
    <w:rsid w:val="00BD1C69"/>
    <w:rsid w:val="00BD3E99"/>
    <w:rsid w:val="00BD79A4"/>
    <w:rsid w:val="00BE123F"/>
    <w:rsid w:val="00BE3DD6"/>
    <w:rsid w:val="00BF18E5"/>
    <w:rsid w:val="00BF68A8"/>
    <w:rsid w:val="00BF6CCF"/>
    <w:rsid w:val="00C05CA4"/>
    <w:rsid w:val="00C11A03"/>
    <w:rsid w:val="00C13551"/>
    <w:rsid w:val="00C15994"/>
    <w:rsid w:val="00C302A4"/>
    <w:rsid w:val="00C463DD"/>
    <w:rsid w:val="00C4724C"/>
    <w:rsid w:val="00C61A01"/>
    <w:rsid w:val="00C629A0"/>
    <w:rsid w:val="00C676D3"/>
    <w:rsid w:val="00C745C3"/>
    <w:rsid w:val="00C824DC"/>
    <w:rsid w:val="00C85D36"/>
    <w:rsid w:val="00C87D1C"/>
    <w:rsid w:val="00C9129C"/>
    <w:rsid w:val="00C96AE9"/>
    <w:rsid w:val="00CA435D"/>
    <w:rsid w:val="00CB4175"/>
    <w:rsid w:val="00CB46D8"/>
    <w:rsid w:val="00CB5942"/>
    <w:rsid w:val="00CC061D"/>
    <w:rsid w:val="00CC7EA0"/>
    <w:rsid w:val="00CE2D12"/>
    <w:rsid w:val="00CE352F"/>
    <w:rsid w:val="00CE495B"/>
    <w:rsid w:val="00CE4A8F"/>
    <w:rsid w:val="00CE6D07"/>
    <w:rsid w:val="00CF1EF9"/>
    <w:rsid w:val="00CF7CFE"/>
    <w:rsid w:val="00D0244E"/>
    <w:rsid w:val="00D060AB"/>
    <w:rsid w:val="00D07A6C"/>
    <w:rsid w:val="00D2031B"/>
    <w:rsid w:val="00D25FE2"/>
    <w:rsid w:val="00D266D4"/>
    <w:rsid w:val="00D43252"/>
    <w:rsid w:val="00D47EEA"/>
    <w:rsid w:val="00D54428"/>
    <w:rsid w:val="00D557E0"/>
    <w:rsid w:val="00D61E3A"/>
    <w:rsid w:val="00D76210"/>
    <w:rsid w:val="00D82AB0"/>
    <w:rsid w:val="00D83BFA"/>
    <w:rsid w:val="00D91652"/>
    <w:rsid w:val="00D95303"/>
    <w:rsid w:val="00D9554B"/>
    <w:rsid w:val="00D978C6"/>
    <w:rsid w:val="00DA3111"/>
    <w:rsid w:val="00DA3C1C"/>
    <w:rsid w:val="00DB0C79"/>
    <w:rsid w:val="00DC51F8"/>
    <w:rsid w:val="00DD4038"/>
    <w:rsid w:val="00DD5F59"/>
    <w:rsid w:val="00DD7B3E"/>
    <w:rsid w:val="00E0072B"/>
    <w:rsid w:val="00E007B3"/>
    <w:rsid w:val="00E01128"/>
    <w:rsid w:val="00E028D1"/>
    <w:rsid w:val="00E14A30"/>
    <w:rsid w:val="00E27346"/>
    <w:rsid w:val="00E27C7D"/>
    <w:rsid w:val="00E365CD"/>
    <w:rsid w:val="00E41AC5"/>
    <w:rsid w:val="00E42E10"/>
    <w:rsid w:val="00E50C40"/>
    <w:rsid w:val="00E71BC8"/>
    <w:rsid w:val="00E7260F"/>
    <w:rsid w:val="00E74E5E"/>
    <w:rsid w:val="00E766E4"/>
    <w:rsid w:val="00E779FC"/>
    <w:rsid w:val="00E82E6C"/>
    <w:rsid w:val="00E855F5"/>
    <w:rsid w:val="00E9590B"/>
    <w:rsid w:val="00E96630"/>
    <w:rsid w:val="00EA13E8"/>
    <w:rsid w:val="00EB2581"/>
    <w:rsid w:val="00EB53AF"/>
    <w:rsid w:val="00EB53F2"/>
    <w:rsid w:val="00EB5B5E"/>
    <w:rsid w:val="00EB7543"/>
    <w:rsid w:val="00ED0747"/>
    <w:rsid w:val="00ED7A2A"/>
    <w:rsid w:val="00EE1935"/>
    <w:rsid w:val="00EF1D7F"/>
    <w:rsid w:val="00EF5217"/>
    <w:rsid w:val="00F165E2"/>
    <w:rsid w:val="00F16AC3"/>
    <w:rsid w:val="00F20290"/>
    <w:rsid w:val="00F20C3D"/>
    <w:rsid w:val="00F2265E"/>
    <w:rsid w:val="00F344FA"/>
    <w:rsid w:val="00F43E9E"/>
    <w:rsid w:val="00F44EE1"/>
    <w:rsid w:val="00F505EC"/>
    <w:rsid w:val="00F559DB"/>
    <w:rsid w:val="00F56285"/>
    <w:rsid w:val="00F70A00"/>
    <w:rsid w:val="00F73028"/>
    <w:rsid w:val="00F8284E"/>
    <w:rsid w:val="00F9057C"/>
    <w:rsid w:val="00F906D7"/>
    <w:rsid w:val="00F92B8F"/>
    <w:rsid w:val="00F933C0"/>
    <w:rsid w:val="00F93781"/>
    <w:rsid w:val="00FA659F"/>
    <w:rsid w:val="00FB272F"/>
    <w:rsid w:val="00FB521B"/>
    <w:rsid w:val="00FB613B"/>
    <w:rsid w:val="00FC68B7"/>
    <w:rsid w:val="00FD75CF"/>
    <w:rsid w:val="00FE106A"/>
    <w:rsid w:val="00FE1BDE"/>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4"/>
    <o:shapelayout v:ext="edit">
      <o:idmap v:ext="edit" data="1"/>
    </o:shapelayout>
  </w:shapeDefaults>
  <w:decimalSymbol w:val="."/>
  <w:listSeparator w:val=","/>
  <w15:docId w15:val="{3D5A2445-AB54-40D0-B099-CBC41896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
    <w:basedOn w:val="Normal"/>
    <w:link w:val="FootnoteTextChar"/>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ftref"/>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
    <w:link w:val="FootnoteText"/>
    <w:rsid w:val="00B05447"/>
    <w:rPr>
      <w:sz w:val="18"/>
      <w:lang w:eastAsia="en-US"/>
    </w:rPr>
  </w:style>
  <w:style w:type="paragraph" w:styleId="HTMLPreformatted">
    <w:name w:val="HTML Preformatted"/>
    <w:basedOn w:val="Normal"/>
    <w:link w:val="HTMLPreformattedChar"/>
    <w:uiPriority w:val="99"/>
    <w:unhideWhenUsed/>
    <w:rsid w:val="00151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rPr>
  </w:style>
  <w:style w:type="character" w:customStyle="1" w:styleId="HTMLPreformattedChar">
    <w:name w:val="HTML Preformatted Char"/>
    <w:link w:val="HTMLPreformatted"/>
    <w:uiPriority w:val="99"/>
    <w:rsid w:val="00151E64"/>
    <w:rPr>
      <w:rFonts w:ascii="Courier New" w:hAnsi="Courier New" w:cs="Courier New"/>
    </w:rPr>
  </w:style>
  <w:style w:type="paragraph" w:styleId="BalloonText">
    <w:name w:val="Balloon Text"/>
    <w:basedOn w:val="Normal"/>
    <w:link w:val="BalloonTextChar"/>
    <w:rsid w:val="0050750B"/>
    <w:pPr>
      <w:spacing w:line="240" w:lineRule="auto"/>
    </w:pPr>
    <w:rPr>
      <w:rFonts w:ascii="Tahoma" w:hAnsi="Tahoma"/>
      <w:sz w:val="16"/>
      <w:szCs w:val="16"/>
    </w:rPr>
  </w:style>
  <w:style w:type="character" w:customStyle="1" w:styleId="BalloonTextChar">
    <w:name w:val="Balloon Text Char"/>
    <w:link w:val="BalloonText"/>
    <w:rsid w:val="0050750B"/>
    <w:rPr>
      <w:rFonts w:ascii="Tahoma" w:hAnsi="Tahoma" w:cs="Tahoma"/>
      <w:sz w:val="16"/>
      <w:szCs w:val="16"/>
      <w:lang w:eastAsia="en-US"/>
    </w:rPr>
  </w:style>
  <w:style w:type="character" w:customStyle="1" w:styleId="SingleTxtGChar">
    <w:name w:val="_ Single Txt_G Char"/>
    <w:link w:val="SingleTxtG"/>
    <w:locked/>
    <w:rsid w:val="00851899"/>
    <w:rPr>
      <w:lang w:eastAsia="en-US"/>
    </w:rPr>
  </w:style>
  <w:style w:type="paragraph" w:styleId="NormalWeb">
    <w:name w:val="Normal (Web)"/>
    <w:basedOn w:val="Normal"/>
    <w:rsid w:val="00234008"/>
    <w:pPr>
      <w:suppressAutoHyphens w:val="0"/>
      <w:spacing w:before="100" w:beforeAutospacing="1" w:after="100" w:afterAutospacing="1" w:line="240" w:lineRule="auto"/>
    </w:pPr>
    <w:rPr>
      <w:sz w:val="24"/>
      <w:szCs w:val="24"/>
      <w:lang w:val="de-DE" w:eastAsia="de-DE"/>
    </w:rPr>
  </w:style>
  <w:style w:type="character" w:styleId="CommentReference">
    <w:name w:val="annotation reference"/>
    <w:semiHidden/>
    <w:rsid w:val="00AD57E6"/>
    <w:rPr>
      <w:sz w:val="16"/>
      <w:szCs w:val="16"/>
    </w:rPr>
  </w:style>
  <w:style w:type="paragraph" w:styleId="CommentText">
    <w:name w:val="annotation text"/>
    <w:basedOn w:val="Normal"/>
    <w:semiHidden/>
    <w:rsid w:val="00AD57E6"/>
  </w:style>
  <w:style w:type="paragraph" w:styleId="CommentSubject">
    <w:name w:val="annotation subject"/>
    <w:basedOn w:val="CommentText"/>
    <w:next w:val="CommentText"/>
    <w:semiHidden/>
    <w:rsid w:val="00AD57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08032">
      <w:bodyDiv w:val="1"/>
      <w:marLeft w:val="0"/>
      <w:marRight w:val="0"/>
      <w:marTop w:val="0"/>
      <w:marBottom w:val="0"/>
      <w:divBdr>
        <w:top w:val="none" w:sz="0" w:space="0" w:color="auto"/>
        <w:left w:val="none" w:sz="0" w:space="0" w:color="auto"/>
        <w:bottom w:val="none" w:sz="0" w:space="0" w:color="auto"/>
        <w:right w:val="none" w:sz="0" w:space="0" w:color="auto"/>
      </w:divBdr>
    </w:div>
    <w:div w:id="266934061">
      <w:bodyDiv w:val="1"/>
      <w:marLeft w:val="0"/>
      <w:marRight w:val="0"/>
      <w:marTop w:val="0"/>
      <w:marBottom w:val="0"/>
      <w:divBdr>
        <w:top w:val="none" w:sz="0" w:space="0" w:color="auto"/>
        <w:left w:val="none" w:sz="0" w:space="0" w:color="auto"/>
        <w:bottom w:val="none" w:sz="0" w:space="0" w:color="auto"/>
        <w:right w:val="none" w:sz="0" w:space="0" w:color="auto"/>
      </w:divBdr>
    </w:div>
    <w:div w:id="1201627618">
      <w:bodyDiv w:val="1"/>
      <w:marLeft w:val="0"/>
      <w:marRight w:val="0"/>
      <w:marTop w:val="0"/>
      <w:marBottom w:val="0"/>
      <w:divBdr>
        <w:top w:val="none" w:sz="0" w:space="0" w:color="auto"/>
        <w:left w:val="none" w:sz="0" w:space="0" w:color="auto"/>
        <w:bottom w:val="none" w:sz="0" w:space="0" w:color="auto"/>
        <w:right w:val="none" w:sz="0" w:space="0" w:color="auto"/>
      </w:divBdr>
    </w:div>
    <w:div w:id="164948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19</Pages>
  <Words>9747</Words>
  <Characters>55558</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65175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2014-05-21T07:46:00Z</cp:lastPrinted>
  <dcterms:created xsi:type="dcterms:W3CDTF">2017-01-23T23:22:00Z</dcterms:created>
  <dcterms:modified xsi:type="dcterms:W3CDTF">2017-01-23T23:22:00Z</dcterms:modified>
</cp:coreProperties>
</file>