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635355" w:rsidTr="00B6553F">
        <w:trPr>
          <w:cantSplit/>
          <w:trHeight w:hRule="exact" w:val="851"/>
        </w:trPr>
        <w:tc>
          <w:tcPr>
            <w:tcW w:w="1276" w:type="dxa"/>
            <w:tcBorders>
              <w:bottom w:val="single" w:sz="4" w:space="0" w:color="auto"/>
            </w:tcBorders>
            <w:vAlign w:val="bottom"/>
          </w:tcPr>
          <w:p w:rsidR="00B56E9C" w:rsidRPr="00635355" w:rsidRDefault="00B56E9C" w:rsidP="00B6553F">
            <w:pPr>
              <w:spacing w:after="80"/>
            </w:pPr>
            <w:bookmarkStart w:id="0" w:name="_GoBack"/>
            <w:bookmarkEnd w:id="0"/>
          </w:p>
        </w:tc>
        <w:tc>
          <w:tcPr>
            <w:tcW w:w="2268" w:type="dxa"/>
            <w:tcBorders>
              <w:bottom w:val="single" w:sz="4" w:space="0" w:color="auto"/>
            </w:tcBorders>
            <w:vAlign w:val="bottom"/>
          </w:tcPr>
          <w:p w:rsidR="00B56E9C" w:rsidRPr="00635355" w:rsidRDefault="00B56E9C" w:rsidP="00B6553F">
            <w:pPr>
              <w:spacing w:after="80" w:line="300" w:lineRule="exact"/>
              <w:rPr>
                <w:b/>
                <w:sz w:val="24"/>
                <w:szCs w:val="24"/>
              </w:rPr>
            </w:pPr>
            <w:r w:rsidRPr="00635355">
              <w:rPr>
                <w:sz w:val="28"/>
                <w:szCs w:val="28"/>
              </w:rPr>
              <w:t>United Nations</w:t>
            </w:r>
          </w:p>
        </w:tc>
        <w:tc>
          <w:tcPr>
            <w:tcW w:w="6095" w:type="dxa"/>
            <w:gridSpan w:val="2"/>
            <w:tcBorders>
              <w:bottom w:val="single" w:sz="4" w:space="0" w:color="auto"/>
            </w:tcBorders>
            <w:vAlign w:val="bottom"/>
          </w:tcPr>
          <w:p w:rsidR="00B56E9C" w:rsidRPr="00635355" w:rsidRDefault="008216A5" w:rsidP="00C31701">
            <w:pPr>
              <w:jc w:val="right"/>
            </w:pPr>
            <w:r w:rsidRPr="00635355">
              <w:rPr>
                <w:sz w:val="40"/>
              </w:rPr>
              <w:t>CCPR</w:t>
            </w:r>
            <w:r w:rsidRPr="00635355">
              <w:t>/C/1</w:t>
            </w:r>
            <w:r w:rsidR="00711F00" w:rsidRPr="00635355">
              <w:t>1</w:t>
            </w:r>
            <w:r w:rsidR="000135C0" w:rsidRPr="00635355">
              <w:t>3</w:t>
            </w:r>
            <w:r w:rsidRPr="00635355">
              <w:t>/D/</w:t>
            </w:r>
            <w:r w:rsidR="000135C0" w:rsidRPr="00635355">
              <w:t>2015</w:t>
            </w:r>
            <w:r w:rsidR="00B43A0B" w:rsidRPr="00635355">
              <w:t>/201</w:t>
            </w:r>
            <w:r w:rsidR="00061776" w:rsidRPr="00635355">
              <w:t>0</w:t>
            </w:r>
          </w:p>
        </w:tc>
      </w:tr>
      <w:tr w:rsidR="00B56E9C" w:rsidRPr="00635355" w:rsidTr="00B6553F">
        <w:trPr>
          <w:cantSplit/>
          <w:trHeight w:hRule="exact" w:val="2835"/>
        </w:trPr>
        <w:tc>
          <w:tcPr>
            <w:tcW w:w="1276" w:type="dxa"/>
            <w:tcBorders>
              <w:top w:val="single" w:sz="4" w:space="0" w:color="auto"/>
              <w:bottom w:val="single" w:sz="12" w:space="0" w:color="auto"/>
            </w:tcBorders>
          </w:tcPr>
          <w:p w:rsidR="00B56E9C" w:rsidRPr="00635355" w:rsidRDefault="007D4BC9" w:rsidP="00B6553F">
            <w:pPr>
              <w:spacing w:before="120"/>
            </w:pPr>
            <w:r>
              <w:rPr>
                <w:noProof/>
                <w:lang w:val="en-US"/>
              </w:rPr>
              <w:drawing>
                <wp:inline distT="0" distB="0" distL="0" distR="0">
                  <wp:extent cx="711200" cy="59690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690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635355" w:rsidRDefault="00B56E9C" w:rsidP="00267F5F">
            <w:pPr>
              <w:spacing w:before="120" w:line="380" w:lineRule="exact"/>
              <w:rPr>
                <w:b/>
                <w:sz w:val="34"/>
                <w:szCs w:val="40"/>
              </w:rPr>
            </w:pPr>
            <w:r w:rsidRPr="00635355">
              <w:rPr>
                <w:b/>
                <w:sz w:val="34"/>
                <w:szCs w:val="40"/>
              </w:rPr>
              <w:t xml:space="preserve">International </w:t>
            </w:r>
            <w:r w:rsidR="00060C3A" w:rsidRPr="00635355">
              <w:rPr>
                <w:b/>
                <w:sz w:val="34"/>
                <w:szCs w:val="40"/>
              </w:rPr>
              <w:t>Covenant on</w:t>
            </w:r>
            <w:r w:rsidR="00060C3A" w:rsidRPr="00635355">
              <w:rPr>
                <w:b/>
                <w:sz w:val="34"/>
                <w:szCs w:val="40"/>
              </w:rPr>
              <w:br/>
              <w:t>Civil and Political R</w:t>
            </w:r>
            <w:r w:rsidR="00703577" w:rsidRPr="00635355">
              <w:rPr>
                <w:b/>
                <w:sz w:val="34"/>
                <w:szCs w:val="40"/>
              </w:rPr>
              <w:t>ights</w:t>
            </w:r>
          </w:p>
          <w:p w:rsidR="00C31701" w:rsidRPr="00635355" w:rsidRDefault="00C31701" w:rsidP="00267F5F">
            <w:pPr>
              <w:spacing w:before="120" w:line="380" w:lineRule="exact"/>
              <w:rPr>
                <w:sz w:val="34"/>
              </w:rPr>
            </w:pPr>
          </w:p>
        </w:tc>
        <w:tc>
          <w:tcPr>
            <w:tcW w:w="2835" w:type="dxa"/>
            <w:tcBorders>
              <w:top w:val="single" w:sz="4" w:space="0" w:color="auto"/>
              <w:bottom w:val="single" w:sz="12" w:space="0" w:color="auto"/>
            </w:tcBorders>
          </w:tcPr>
          <w:p w:rsidR="00B56E9C" w:rsidRPr="00635355" w:rsidRDefault="008216A5" w:rsidP="008216A5">
            <w:pPr>
              <w:spacing w:before="240" w:line="240" w:lineRule="exact"/>
            </w:pPr>
            <w:r w:rsidRPr="00635355">
              <w:t xml:space="preserve">Distr.: </w:t>
            </w:r>
            <w:r w:rsidR="00C31701" w:rsidRPr="00635355">
              <w:t>General</w:t>
            </w:r>
          </w:p>
          <w:p w:rsidR="008216A5" w:rsidRPr="00635355" w:rsidRDefault="00C31701" w:rsidP="00375925">
            <w:pPr>
              <w:spacing w:line="240" w:lineRule="exact"/>
            </w:pPr>
            <w:r w:rsidRPr="00635355">
              <w:t>1</w:t>
            </w:r>
            <w:r w:rsidR="00375925" w:rsidRPr="00635355">
              <w:t>3</w:t>
            </w:r>
            <w:r w:rsidRPr="00635355">
              <w:t xml:space="preserve"> </w:t>
            </w:r>
            <w:r w:rsidR="00375925" w:rsidRPr="00635355">
              <w:t>May</w:t>
            </w:r>
            <w:r w:rsidR="006A0E74" w:rsidRPr="00635355">
              <w:t xml:space="preserve"> 2015</w:t>
            </w:r>
          </w:p>
          <w:p w:rsidR="008216A5" w:rsidRPr="00635355" w:rsidRDefault="008216A5" w:rsidP="008216A5">
            <w:pPr>
              <w:spacing w:line="240" w:lineRule="exact"/>
            </w:pPr>
          </w:p>
          <w:p w:rsidR="008216A5" w:rsidRPr="00635355" w:rsidRDefault="008216A5" w:rsidP="008216A5">
            <w:pPr>
              <w:spacing w:line="240" w:lineRule="exact"/>
            </w:pPr>
            <w:r w:rsidRPr="00635355">
              <w:t>Original: English</w:t>
            </w:r>
          </w:p>
          <w:p w:rsidR="00A81F6F" w:rsidRPr="00635355" w:rsidRDefault="00A81F6F" w:rsidP="008216A5">
            <w:pPr>
              <w:spacing w:line="240" w:lineRule="exact"/>
            </w:pPr>
          </w:p>
        </w:tc>
      </w:tr>
    </w:tbl>
    <w:p w:rsidR="008216A5" w:rsidRPr="00635355" w:rsidRDefault="008216A5" w:rsidP="008216A5">
      <w:pPr>
        <w:spacing w:before="120"/>
        <w:rPr>
          <w:b/>
          <w:sz w:val="24"/>
          <w:szCs w:val="24"/>
        </w:rPr>
      </w:pPr>
      <w:r w:rsidRPr="00635355">
        <w:rPr>
          <w:b/>
          <w:sz w:val="24"/>
          <w:szCs w:val="24"/>
        </w:rPr>
        <w:t>Human Rights Committee</w:t>
      </w:r>
    </w:p>
    <w:p w:rsidR="008216A5" w:rsidRPr="00635355" w:rsidRDefault="0049219B" w:rsidP="008216A5">
      <w:pPr>
        <w:pStyle w:val="HChG"/>
      </w:pPr>
      <w:r w:rsidRPr="00635355">
        <w:tab/>
      </w:r>
      <w:r w:rsidRPr="00635355">
        <w:tab/>
        <w:t>Communication</w:t>
      </w:r>
      <w:r w:rsidR="008216A5" w:rsidRPr="00635355">
        <w:t xml:space="preserve"> No.</w:t>
      </w:r>
      <w:r w:rsidR="00EF4905" w:rsidRPr="00635355">
        <w:t> </w:t>
      </w:r>
      <w:r w:rsidR="00905A98" w:rsidRPr="00635355">
        <w:t>2015</w:t>
      </w:r>
      <w:r w:rsidR="00231C9F" w:rsidRPr="00635355">
        <w:t>/201</w:t>
      </w:r>
      <w:r w:rsidR="00061776" w:rsidRPr="00635355">
        <w:t>0</w:t>
      </w:r>
    </w:p>
    <w:p w:rsidR="008216A5" w:rsidRPr="00635355" w:rsidRDefault="008216A5" w:rsidP="008216A5">
      <w:pPr>
        <w:pStyle w:val="H1G"/>
      </w:pPr>
      <w:r w:rsidRPr="00635355">
        <w:tab/>
      </w:r>
      <w:r w:rsidRPr="00635355">
        <w:tab/>
      </w:r>
      <w:r w:rsidR="00C31701" w:rsidRPr="00635355">
        <w:t>Decision adopted by the Committee at its 113</w:t>
      </w:r>
      <w:r w:rsidR="00C31701" w:rsidRPr="00955DC8">
        <w:t>th</w:t>
      </w:r>
      <w:r w:rsidR="00C31701" w:rsidRPr="00635355">
        <w:t xml:space="preserve"> session </w:t>
      </w:r>
      <w:r w:rsidR="00C31701" w:rsidRPr="00635355">
        <w:br/>
        <w:t>(</w:t>
      </w:r>
      <w:r w:rsidR="00C31701" w:rsidRPr="00635355">
        <w:rPr>
          <w:bCs/>
        </w:rPr>
        <w:t>16 March–2 April 2015)</w:t>
      </w:r>
    </w:p>
    <w:p w:rsidR="00202561" w:rsidRPr="00635355" w:rsidRDefault="00202561" w:rsidP="00955DC8">
      <w:pPr>
        <w:pStyle w:val="SingleTxtG"/>
        <w:ind w:left="4536" w:hanging="3402"/>
        <w:jc w:val="left"/>
        <w:rPr>
          <w:i/>
        </w:rPr>
      </w:pPr>
      <w:r w:rsidRPr="00635355">
        <w:rPr>
          <w:i/>
        </w:rPr>
        <w:t>Submitted by:</w:t>
      </w:r>
      <w:r w:rsidRPr="00635355">
        <w:rPr>
          <w:i/>
        </w:rPr>
        <w:tab/>
      </w:r>
      <w:r w:rsidR="009E71CC" w:rsidRPr="00635355">
        <w:t>H.S.</w:t>
      </w:r>
      <w:r w:rsidRPr="00635355">
        <w:t xml:space="preserve"> (not represented by counsel)</w:t>
      </w:r>
    </w:p>
    <w:p w:rsidR="00202561" w:rsidRPr="00635355" w:rsidRDefault="00202561" w:rsidP="00955DC8">
      <w:pPr>
        <w:pStyle w:val="SingleTxtG"/>
        <w:ind w:left="4536" w:hanging="3402"/>
        <w:jc w:val="left"/>
        <w:rPr>
          <w:i/>
        </w:rPr>
      </w:pPr>
      <w:r w:rsidRPr="00635355">
        <w:rPr>
          <w:i/>
        </w:rPr>
        <w:t>Alleged victim:</w:t>
      </w:r>
      <w:r w:rsidRPr="00635355">
        <w:rPr>
          <w:i/>
        </w:rPr>
        <w:tab/>
      </w:r>
      <w:r w:rsidRPr="00635355">
        <w:t>The author</w:t>
      </w:r>
    </w:p>
    <w:p w:rsidR="00202561" w:rsidRPr="00635355" w:rsidRDefault="00202561" w:rsidP="00955DC8">
      <w:pPr>
        <w:pStyle w:val="SingleTxtG"/>
        <w:ind w:left="4536" w:hanging="3402"/>
        <w:jc w:val="left"/>
        <w:rPr>
          <w:i/>
        </w:rPr>
      </w:pPr>
      <w:r w:rsidRPr="00635355">
        <w:rPr>
          <w:i/>
        </w:rPr>
        <w:t>State party:</w:t>
      </w:r>
      <w:r w:rsidRPr="00635355">
        <w:rPr>
          <w:i/>
        </w:rPr>
        <w:tab/>
      </w:r>
      <w:r w:rsidR="009E71CC" w:rsidRPr="00635355">
        <w:t>Australia</w:t>
      </w:r>
    </w:p>
    <w:p w:rsidR="00202561" w:rsidRPr="00635355" w:rsidRDefault="00202561" w:rsidP="00955DC8">
      <w:pPr>
        <w:pStyle w:val="SingleTxtG"/>
        <w:ind w:left="4536" w:hanging="3402"/>
        <w:jc w:val="left"/>
        <w:rPr>
          <w:i/>
        </w:rPr>
      </w:pPr>
      <w:r w:rsidRPr="00635355">
        <w:rPr>
          <w:i/>
        </w:rPr>
        <w:t>Date of communication:</w:t>
      </w:r>
      <w:r w:rsidRPr="00635355">
        <w:rPr>
          <w:i/>
        </w:rPr>
        <w:tab/>
      </w:r>
      <w:r w:rsidR="009E71CC" w:rsidRPr="00635355">
        <w:t>19 February</w:t>
      </w:r>
      <w:r w:rsidRPr="00635355">
        <w:t xml:space="preserve"> 2010</w:t>
      </w:r>
      <w:r w:rsidR="00925327" w:rsidRPr="00635355">
        <w:t xml:space="preserve"> (initial submission)</w:t>
      </w:r>
    </w:p>
    <w:p w:rsidR="00202561" w:rsidRPr="00635355" w:rsidRDefault="00202561" w:rsidP="00955DC8">
      <w:pPr>
        <w:pStyle w:val="SingleTxtG"/>
        <w:ind w:left="4536" w:hanging="3402"/>
        <w:jc w:val="left"/>
        <w:rPr>
          <w:i/>
        </w:rPr>
      </w:pPr>
      <w:r w:rsidRPr="00635355">
        <w:rPr>
          <w:i/>
        </w:rPr>
        <w:t>Document references:</w:t>
      </w:r>
      <w:r w:rsidRPr="00635355">
        <w:rPr>
          <w:i/>
        </w:rPr>
        <w:tab/>
      </w:r>
      <w:r w:rsidRPr="00635355">
        <w:t xml:space="preserve">Special Rapporteur’s rule 97 decision, transmitted to the State party on </w:t>
      </w:r>
      <w:r w:rsidR="009E71CC" w:rsidRPr="00635355">
        <w:t>9 December 2010</w:t>
      </w:r>
      <w:r w:rsidRPr="00635355">
        <w:t xml:space="preserve"> (not issued in a document form)</w:t>
      </w:r>
    </w:p>
    <w:p w:rsidR="00AE65AB" w:rsidRPr="00635355" w:rsidRDefault="00202561" w:rsidP="00955DC8">
      <w:pPr>
        <w:pStyle w:val="SingleTxtG"/>
        <w:ind w:left="4536" w:hanging="3402"/>
        <w:jc w:val="left"/>
      </w:pPr>
      <w:r w:rsidRPr="00635355">
        <w:rPr>
          <w:i/>
        </w:rPr>
        <w:t xml:space="preserve">Date of adoption of </w:t>
      </w:r>
      <w:r w:rsidR="00E7345C" w:rsidRPr="00635355">
        <w:rPr>
          <w:i/>
        </w:rPr>
        <w:t>decision</w:t>
      </w:r>
      <w:r w:rsidRPr="00635355">
        <w:rPr>
          <w:i/>
        </w:rPr>
        <w:t>:</w:t>
      </w:r>
      <w:r w:rsidRPr="00635355">
        <w:rPr>
          <w:i/>
        </w:rPr>
        <w:tab/>
      </w:r>
      <w:r w:rsidR="00C31701" w:rsidRPr="00635355">
        <w:t xml:space="preserve">30 </w:t>
      </w:r>
      <w:r w:rsidR="00774987" w:rsidRPr="00635355">
        <w:t xml:space="preserve">March </w:t>
      </w:r>
      <w:r w:rsidR="00905A98" w:rsidRPr="00635355">
        <w:t>2015</w:t>
      </w:r>
    </w:p>
    <w:p w:rsidR="00202561" w:rsidRPr="00635355" w:rsidRDefault="00EA2D55" w:rsidP="00375925">
      <w:pPr>
        <w:pStyle w:val="SingleTxtG"/>
        <w:ind w:left="4536" w:hanging="3402"/>
        <w:jc w:val="left"/>
      </w:pPr>
      <w:r w:rsidRPr="00635355">
        <w:rPr>
          <w:i/>
        </w:rPr>
        <w:t>Subject matter:</w:t>
      </w:r>
      <w:r w:rsidRPr="00635355">
        <w:rPr>
          <w:i/>
        </w:rPr>
        <w:tab/>
      </w:r>
      <w:r w:rsidRPr="00635355">
        <w:t xml:space="preserve">Right to a </w:t>
      </w:r>
      <w:r w:rsidR="007B4066" w:rsidRPr="00635355">
        <w:t xml:space="preserve">hearing before a </w:t>
      </w:r>
      <w:r w:rsidRPr="00635355">
        <w:t>competent, independent and impartial tribunal; access to court.</w:t>
      </w:r>
    </w:p>
    <w:p w:rsidR="008E7619" w:rsidRPr="00635355" w:rsidRDefault="00D57914" w:rsidP="00375925">
      <w:pPr>
        <w:pStyle w:val="SingleTxtG"/>
        <w:ind w:left="4536" w:hanging="3402"/>
        <w:jc w:val="left"/>
      </w:pPr>
      <w:r w:rsidRPr="00635355">
        <w:rPr>
          <w:i/>
        </w:rPr>
        <w:t>Procedural issue</w:t>
      </w:r>
      <w:r w:rsidR="007B4066" w:rsidRPr="00635355">
        <w:rPr>
          <w:i/>
        </w:rPr>
        <w:t>s</w:t>
      </w:r>
      <w:r w:rsidRPr="00635355">
        <w:rPr>
          <w:i/>
        </w:rPr>
        <w:t xml:space="preserve">: </w:t>
      </w:r>
      <w:r w:rsidRPr="00635355">
        <w:rPr>
          <w:i/>
        </w:rPr>
        <w:tab/>
      </w:r>
      <w:r w:rsidRPr="00635355">
        <w:t xml:space="preserve">Incompatibility </w:t>
      </w:r>
      <w:r w:rsidRPr="00E95D59">
        <w:rPr>
          <w:i/>
          <w:iCs/>
        </w:rPr>
        <w:t>ratione materiae</w:t>
      </w:r>
      <w:r w:rsidRPr="00635355">
        <w:t>; lack of substantiation.</w:t>
      </w:r>
    </w:p>
    <w:p w:rsidR="00202561" w:rsidRPr="00635355" w:rsidRDefault="00202561" w:rsidP="00233913">
      <w:pPr>
        <w:pStyle w:val="SingleTxtG"/>
        <w:ind w:left="4536" w:hanging="3402"/>
        <w:jc w:val="left"/>
        <w:rPr>
          <w:i/>
        </w:rPr>
      </w:pPr>
      <w:r w:rsidRPr="00635355">
        <w:rPr>
          <w:i/>
        </w:rPr>
        <w:t xml:space="preserve">Substantive issues: </w:t>
      </w:r>
      <w:r w:rsidRPr="00635355">
        <w:rPr>
          <w:i/>
        </w:rPr>
        <w:tab/>
      </w:r>
      <w:r w:rsidR="001E1396" w:rsidRPr="00635355">
        <w:t xml:space="preserve">Right to a </w:t>
      </w:r>
      <w:r w:rsidR="007B4066" w:rsidRPr="00635355">
        <w:t xml:space="preserve">hearing before a </w:t>
      </w:r>
      <w:r w:rsidR="001E1396" w:rsidRPr="00635355">
        <w:t>competent, independent and impartial tribunal</w:t>
      </w:r>
      <w:r w:rsidR="00E77827" w:rsidRPr="00635355">
        <w:t xml:space="preserve">; </w:t>
      </w:r>
      <w:r w:rsidR="00D21FFE" w:rsidRPr="00635355">
        <w:t xml:space="preserve">presumption of innocence; right to examine witnesses; </w:t>
      </w:r>
      <w:r w:rsidR="00E77827" w:rsidRPr="00635355">
        <w:t>guilty of an act which did not constitute a criminal offence at the time it was committed; right to priva</w:t>
      </w:r>
      <w:r w:rsidR="00233913" w:rsidRPr="00635355">
        <w:t>cy</w:t>
      </w:r>
      <w:r w:rsidR="00E77827" w:rsidRPr="00635355">
        <w:t xml:space="preserve"> and family life</w:t>
      </w:r>
      <w:r w:rsidRPr="00635355">
        <w:t>.</w:t>
      </w:r>
    </w:p>
    <w:p w:rsidR="00202561" w:rsidRPr="00635355" w:rsidRDefault="00202561" w:rsidP="00212A6E">
      <w:pPr>
        <w:pStyle w:val="SingleTxtG"/>
        <w:ind w:left="4536" w:hanging="3402"/>
        <w:jc w:val="left"/>
        <w:rPr>
          <w:i/>
        </w:rPr>
      </w:pPr>
      <w:r w:rsidRPr="00635355">
        <w:rPr>
          <w:i/>
        </w:rPr>
        <w:t>Article</w:t>
      </w:r>
      <w:r w:rsidR="00E77827" w:rsidRPr="00635355">
        <w:rPr>
          <w:i/>
        </w:rPr>
        <w:t>s</w:t>
      </w:r>
      <w:r w:rsidRPr="00635355">
        <w:rPr>
          <w:i/>
        </w:rPr>
        <w:t xml:space="preserve"> of the Covenant: </w:t>
      </w:r>
      <w:r w:rsidRPr="00635355">
        <w:rPr>
          <w:i/>
        </w:rPr>
        <w:tab/>
      </w:r>
      <w:r w:rsidR="00212A6E">
        <w:rPr>
          <w:iCs/>
        </w:rPr>
        <w:t xml:space="preserve">Articles </w:t>
      </w:r>
      <w:r w:rsidR="00E77827" w:rsidRPr="00635355">
        <w:t>11; 14</w:t>
      </w:r>
      <w:r w:rsidR="001E1396" w:rsidRPr="00635355">
        <w:t xml:space="preserve"> </w:t>
      </w:r>
      <w:r w:rsidR="009C718D">
        <w:t>(</w:t>
      </w:r>
      <w:r w:rsidR="001E1396" w:rsidRPr="00635355">
        <w:t>1</w:t>
      </w:r>
      <w:r w:rsidR="009C718D">
        <w:t>)</w:t>
      </w:r>
      <w:r w:rsidR="00E77827" w:rsidRPr="00635355">
        <w:t xml:space="preserve"> in conjunction with 2</w:t>
      </w:r>
      <w:r w:rsidR="00EA2D55" w:rsidRPr="00635355">
        <w:t> </w:t>
      </w:r>
      <w:r w:rsidR="009C718D">
        <w:t>(</w:t>
      </w:r>
      <w:r w:rsidR="00E77827" w:rsidRPr="00635355">
        <w:t>2</w:t>
      </w:r>
      <w:r w:rsidR="009C718D">
        <w:t>)</w:t>
      </w:r>
      <w:r w:rsidR="00E77827" w:rsidRPr="00635355">
        <w:t>;</w:t>
      </w:r>
      <w:r w:rsidR="001E1396" w:rsidRPr="00635355">
        <w:t xml:space="preserve"> 14 </w:t>
      </w:r>
      <w:r w:rsidR="009C718D">
        <w:t>(</w:t>
      </w:r>
      <w:r w:rsidR="001E1396" w:rsidRPr="00635355">
        <w:t>2</w:t>
      </w:r>
      <w:r w:rsidR="007B4066" w:rsidRPr="00635355">
        <w:t>,</w:t>
      </w:r>
      <w:r w:rsidR="00212A6E">
        <w:t xml:space="preserve"> </w:t>
      </w:r>
      <w:r w:rsidR="001E1396" w:rsidRPr="00635355">
        <w:t>3 and 5</w:t>
      </w:r>
      <w:r w:rsidR="009C718D">
        <w:t>)</w:t>
      </w:r>
      <w:r w:rsidR="001E1396" w:rsidRPr="00635355">
        <w:t>;</w:t>
      </w:r>
      <w:r w:rsidR="00E77827" w:rsidRPr="00635355">
        <w:t xml:space="preserve"> 15; </w:t>
      </w:r>
      <w:r w:rsidR="009C718D">
        <w:t xml:space="preserve">and </w:t>
      </w:r>
      <w:r w:rsidR="00E77827" w:rsidRPr="00635355">
        <w:t>17.</w:t>
      </w:r>
    </w:p>
    <w:p w:rsidR="00202561" w:rsidRPr="00635355" w:rsidRDefault="00202561" w:rsidP="00955DC8">
      <w:pPr>
        <w:pStyle w:val="SingleTxtG"/>
        <w:ind w:left="4536" w:hanging="3402"/>
        <w:jc w:val="left"/>
        <w:rPr>
          <w:i/>
        </w:rPr>
      </w:pPr>
      <w:r w:rsidRPr="00635355">
        <w:rPr>
          <w:i/>
        </w:rPr>
        <w:t>Article</w:t>
      </w:r>
      <w:r w:rsidR="00774987" w:rsidRPr="00635355">
        <w:rPr>
          <w:i/>
        </w:rPr>
        <w:t>s</w:t>
      </w:r>
      <w:r w:rsidRPr="00635355">
        <w:rPr>
          <w:i/>
        </w:rPr>
        <w:t xml:space="preserve"> of the </w:t>
      </w:r>
      <w:r w:rsidR="00925327" w:rsidRPr="00635355">
        <w:rPr>
          <w:i/>
        </w:rPr>
        <w:t>Optional Protocol:</w:t>
      </w:r>
      <w:r w:rsidR="00925327" w:rsidRPr="00635355">
        <w:rPr>
          <w:i/>
        </w:rPr>
        <w:tab/>
      </w:r>
      <w:r w:rsidR="00F11505">
        <w:rPr>
          <w:iCs/>
        </w:rPr>
        <w:t xml:space="preserve">Articles </w:t>
      </w:r>
      <w:r w:rsidR="001E1396" w:rsidRPr="00635355">
        <w:t>2</w:t>
      </w:r>
      <w:r w:rsidR="009C718D">
        <w:t xml:space="preserve"> and</w:t>
      </w:r>
      <w:r w:rsidR="001E1396" w:rsidRPr="00635355">
        <w:t xml:space="preserve"> 3.</w:t>
      </w:r>
    </w:p>
    <w:p w:rsidR="00202561" w:rsidRPr="00635355" w:rsidRDefault="00202561" w:rsidP="00955DC8">
      <w:pPr>
        <w:pStyle w:val="SingleTxtG"/>
      </w:pPr>
    </w:p>
    <w:p w:rsidR="00202561" w:rsidRPr="00635355" w:rsidRDefault="002D1A3C" w:rsidP="00414774">
      <w:pPr>
        <w:pStyle w:val="HChG"/>
      </w:pPr>
      <w:r>
        <w:rPr>
          <w:noProof/>
          <w:lang w:val="en-US"/>
        </w:rPr>
        <w:drawing>
          <wp:anchor distT="0" distB="0" distL="114300" distR="114300" simplePos="0" relativeHeight="251658240" behindDoc="0" locked="0" layoutInCell="1" allowOverlap="1" wp14:anchorId="7FDABFCA" wp14:editId="05FC9868">
            <wp:simplePos x="0" y="0"/>
            <wp:positionH relativeFrom="margin">
              <wp:posOffset>5495290</wp:posOffset>
            </wp:positionH>
            <wp:positionV relativeFrom="paragraph">
              <wp:posOffset>569595</wp:posOffset>
            </wp:positionV>
            <wp:extent cx="632460" cy="632460"/>
            <wp:effectExtent l="0" t="0" r="0" b="0"/>
            <wp:wrapNone/>
            <wp:docPr id="2" name="Picture 2" descr="http://undocs.org/m2/QRCode.ashx?DS=CCPR/C/113/D/2015/2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15/2010&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561" w:rsidRPr="00635355">
        <w:rPr>
          <w:sz w:val="20"/>
        </w:rPr>
        <w:br w:type="page"/>
      </w:r>
      <w:r w:rsidR="00202561" w:rsidRPr="00635355">
        <w:lastRenderedPageBreak/>
        <w:t>Annex</w:t>
      </w:r>
    </w:p>
    <w:p w:rsidR="00202561" w:rsidRPr="00635355" w:rsidRDefault="00202561" w:rsidP="00414774">
      <w:pPr>
        <w:pStyle w:val="HChG"/>
      </w:pPr>
      <w:r w:rsidRPr="00635355">
        <w:tab/>
      </w:r>
      <w:r w:rsidR="00AE65AB" w:rsidRPr="00635355">
        <w:tab/>
      </w:r>
      <w:r w:rsidR="000D6F21" w:rsidRPr="00635355">
        <w:t xml:space="preserve">Decision of the Human Rights Committee under the Optional Protocol to the International Covenant on Civil and Political rights </w:t>
      </w:r>
      <w:r w:rsidR="00905A98" w:rsidRPr="00635355">
        <w:t>(113</w:t>
      </w:r>
      <w:r w:rsidRPr="00635355">
        <w:t>th session)</w:t>
      </w:r>
    </w:p>
    <w:p w:rsidR="00AE65AB" w:rsidRPr="00635355" w:rsidRDefault="00AE65AB" w:rsidP="00AE65AB">
      <w:pPr>
        <w:pStyle w:val="SingleTxtG"/>
        <w:rPr>
          <w:b/>
          <w:bCs/>
        </w:rPr>
      </w:pPr>
      <w:r w:rsidRPr="00635355">
        <w:t>concerning</w:t>
      </w:r>
    </w:p>
    <w:p w:rsidR="00202561" w:rsidRPr="00635355" w:rsidRDefault="00202561" w:rsidP="00375925">
      <w:pPr>
        <w:pStyle w:val="H1G"/>
      </w:pPr>
      <w:r w:rsidRPr="00635355">
        <w:tab/>
      </w:r>
      <w:r w:rsidR="00AE65AB" w:rsidRPr="00635355">
        <w:tab/>
      </w:r>
      <w:r w:rsidRPr="00635355">
        <w:t>Communication No.</w:t>
      </w:r>
      <w:r w:rsidR="00EF4905" w:rsidRPr="00635355">
        <w:t> </w:t>
      </w:r>
      <w:r w:rsidR="00905A98" w:rsidRPr="00635355">
        <w:t>2015</w:t>
      </w:r>
      <w:r w:rsidRPr="00635355">
        <w:t>/2010</w:t>
      </w:r>
      <w:r w:rsidR="00C31701" w:rsidRPr="00955DC8">
        <w:rPr>
          <w:rStyle w:val="FootnoteReference"/>
          <w:b w:val="0"/>
          <w:bCs/>
          <w:sz w:val="20"/>
          <w:vertAlign w:val="baseline"/>
        </w:rPr>
        <w:footnoteReference w:customMarkFollows="1" w:id="2"/>
        <w:t>*</w:t>
      </w:r>
    </w:p>
    <w:p w:rsidR="00202561" w:rsidRPr="00635355" w:rsidRDefault="00202561" w:rsidP="00AE65AB">
      <w:pPr>
        <w:pStyle w:val="SingleTxtG"/>
        <w:ind w:left="4536" w:hanging="3402"/>
      </w:pPr>
      <w:r w:rsidRPr="00635355">
        <w:rPr>
          <w:i/>
        </w:rPr>
        <w:t>Submitted by:</w:t>
      </w:r>
      <w:r w:rsidRPr="00635355">
        <w:tab/>
      </w:r>
      <w:r w:rsidRPr="00635355">
        <w:tab/>
      </w:r>
      <w:r w:rsidR="009E71CC" w:rsidRPr="00635355">
        <w:t>H.S.</w:t>
      </w:r>
      <w:r w:rsidRPr="00635355">
        <w:t xml:space="preserve"> (not represented by counsel)</w:t>
      </w:r>
    </w:p>
    <w:p w:rsidR="00202561" w:rsidRPr="00635355" w:rsidRDefault="00202561" w:rsidP="00AE65AB">
      <w:pPr>
        <w:pStyle w:val="SingleTxtG"/>
        <w:ind w:left="4536" w:hanging="3402"/>
      </w:pPr>
      <w:r w:rsidRPr="00635355">
        <w:rPr>
          <w:i/>
        </w:rPr>
        <w:t>Alleged victim:</w:t>
      </w:r>
      <w:r w:rsidRPr="00635355">
        <w:tab/>
      </w:r>
      <w:r w:rsidRPr="00635355">
        <w:tab/>
        <w:t>The author</w:t>
      </w:r>
    </w:p>
    <w:p w:rsidR="00202561" w:rsidRPr="00635355" w:rsidRDefault="00202561" w:rsidP="00AE65AB">
      <w:pPr>
        <w:pStyle w:val="SingleTxtG"/>
        <w:ind w:left="4536" w:hanging="3402"/>
      </w:pPr>
      <w:r w:rsidRPr="00635355">
        <w:rPr>
          <w:i/>
        </w:rPr>
        <w:t>State party:</w:t>
      </w:r>
      <w:r w:rsidRPr="00635355">
        <w:tab/>
      </w:r>
      <w:r w:rsidRPr="00635355">
        <w:tab/>
      </w:r>
      <w:r w:rsidR="009E71CC" w:rsidRPr="00635355">
        <w:t xml:space="preserve">Australia </w:t>
      </w:r>
    </w:p>
    <w:p w:rsidR="00202561" w:rsidRPr="00635355" w:rsidRDefault="00202561" w:rsidP="00AE65AB">
      <w:pPr>
        <w:pStyle w:val="SingleTxtG"/>
        <w:ind w:left="4536" w:hanging="3402"/>
      </w:pPr>
      <w:r w:rsidRPr="00635355">
        <w:rPr>
          <w:i/>
        </w:rPr>
        <w:t>Date of communication:</w:t>
      </w:r>
      <w:r w:rsidRPr="00635355">
        <w:tab/>
      </w:r>
      <w:r w:rsidR="009E71CC" w:rsidRPr="00635355">
        <w:t>19 February</w:t>
      </w:r>
      <w:r w:rsidRPr="00635355">
        <w:t xml:space="preserve"> 2010 (initial submission)</w:t>
      </w:r>
    </w:p>
    <w:p w:rsidR="00202561" w:rsidRPr="00635355" w:rsidRDefault="00202561" w:rsidP="00AE65AB">
      <w:pPr>
        <w:pStyle w:val="SingleTxtG"/>
      </w:pPr>
      <w:r w:rsidRPr="00635355">
        <w:tab/>
      </w:r>
      <w:r w:rsidRPr="00635355">
        <w:rPr>
          <w:i/>
        </w:rPr>
        <w:t>The Human Rights Committee</w:t>
      </w:r>
      <w:r w:rsidRPr="00635355">
        <w:t xml:space="preserve">, established under </w:t>
      </w:r>
      <w:r w:rsidR="00EF4905" w:rsidRPr="00635355">
        <w:t>article </w:t>
      </w:r>
      <w:r w:rsidRPr="00635355">
        <w:t xml:space="preserve">28 of the International Covenant on Civil and Political Rights, </w:t>
      </w:r>
    </w:p>
    <w:p w:rsidR="00202561" w:rsidRPr="00635355" w:rsidRDefault="00202561" w:rsidP="00AE65AB">
      <w:pPr>
        <w:pStyle w:val="SingleTxtG"/>
      </w:pPr>
      <w:r w:rsidRPr="00635355">
        <w:tab/>
      </w:r>
      <w:r w:rsidRPr="00635355">
        <w:rPr>
          <w:i/>
        </w:rPr>
        <w:t xml:space="preserve">Meeting </w:t>
      </w:r>
      <w:r w:rsidRPr="00955DC8">
        <w:rPr>
          <w:iCs/>
        </w:rPr>
        <w:t xml:space="preserve">on </w:t>
      </w:r>
      <w:r w:rsidR="00C31701" w:rsidRPr="00635355">
        <w:t xml:space="preserve">30 </w:t>
      </w:r>
      <w:r w:rsidR="00774987" w:rsidRPr="00635355">
        <w:t xml:space="preserve">March </w:t>
      </w:r>
      <w:r w:rsidR="00905A98" w:rsidRPr="00635355">
        <w:t>2015</w:t>
      </w:r>
      <w:r w:rsidRPr="00635355">
        <w:t>,</w:t>
      </w:r>
    </w:p>
    <w:p w:rsidR="00202561" w:rsidRPr="00635355" w:rsidRDefault="00202561" w:rsidP="00D9698B">
      <w:pPr>
        <w:pStyle w:val="SingleTxtG"/>
      </w:pPr>
      <w:r w:rsidRPr="00635355">
        <w:tab/>
      </w:r>
      <w:r w:rsidRPr="00635355">
        <w:rPr>
          <w:i/>
        </w:rPr>
        <w:t>Having concluded</w:t>
      </w:r>
      <w:r w:rsidRPr="00635355">
        <w:t xml:space="preserve"> its consideration of communication No.</w:t>
      </w:r>
      <w:r w:rsidR="00EF4905" w:rsidRPr="00635355">
        <w:t> </w:t>
      </w:r>
      <w:r w:rsidR="00905A98" w:rsidRPr="00635355">
        <w:t>2015</w:t>
      </w:r>
      <w:r w:rsidRPr="00635355">
        <w:t xml:space="preserve">/2010, submitted to the Human Rights Committee by </w:t>
      </w:r>
      <w:r w:rsidR="009E71CC" w:rsidRPr="00635355">
        <w:t>H.S.</w:t>
      </w:r>
      <w:r w:rsidRPr="00635355">
        <w:t xml:space="preserve"> under the Optional Protocol to the International Covenant on Civil and Political Rights,</w:t>
      </w:r>
    </w:p>
    <w:p w:rsidR="00202561" w:rsidRPr="00635355" w:rsidRDefault="00202561" w:rsidP="00AE65AB">
      <w:pPr>
        <w:pStyle w:val="SingleTxtG"/>
      </w:pPr>
      <w:r w:rsidRPr="00635355">
        <w:tab/>
      </w:r>
      <w:r w:rsidRPr="00635355">
        <w:rPr>
          <w:i/>
        </w:rPr>
        <w:t>Having taken into account</w:t>
      </w:r>
      <w:r w:rsidRPr="00635355">
        <w:t xml:space="preserve"> all written information made available to it by the author of the communication and the State party,</w:t>
      </w:r>
    </w:p>
    <w:p w:rsidR="00202561" w:rsidRPr="00635355" w:rsidRDefault="00202561" w:rsidP="00AE65AB">
      <w:pPr>
        <w:pStyle w:val="SingleTxtG"/>
      </w:pPr>
      <w:r w:rsidRPr="00635355">
        <w:tab/>
      </w:r>
      <w:r w:rsidRPr="00635355">
        <w:rPr>
          <w:i/>
        </w:rPr>
        <w:t xml:space="preserve">Adopts </w:t>
      </w:r>
      <w:r w:rsidRPr="00955DC8">
        <w:rPr>
          <w:iCs/>
        </w:rPr>
        <w:t>the following</w:t>
      </w:r>
      <w:r w:rsidRPr="00635355">
        <w:t>:</w:t>
      </w:r>
    </w:p>
    <w:p w:rsidR="00202561" w:rsidRPr="00635355" w:rsidRDefault="00202561" w:rsidP="00414774">
      <w:pPr>
        <w:pStyle w:val="H1G"/>
      </w:pPr>
      <w:r w:rsidRPr="00635355">
        <w:tab/>
      </w:r>
      <w:r w:rsidR="00AE65AB" w:rsidRPr="00635355">
        <w:tab/>
      </w:r>
      <w:r w:rsidR="000D6F21" w:rsidRPr="00635355">
        <w:t>Decision on admissibility</w:t>
      </w:r>
    </w:p>
    <w:p w:rsidR="00202561" w:rsidRPr="00635355" w:rsidRDefault="00202561" w:rsidP="00D9698B">
      <w:pPr>
        <w:pStyle w:val="SingleTxtG"/>
      </w:pPr>
      <w:r w:rsidRPr="00635355">
        <w:t>1.</w:t>
      </w:r>
      <w:r w:rsidR="000F6751" w:rsidRPr="00635355">
        <w:t>1</w:t>
      </w:r>
      <w:r w:rsidRPr="00635355">
        <w:tab/>
        <w:t>The a</w:t>
      </w:r>
      <w:r w:rsidR="009E71CC" w:rsidRPr="00635355">
        <w:t>uthor of the communication is H.S.</w:t>
      </w:r>
      <w:r w:rsidRPr="00635355">
        <w:t xml:space="preserve">, </w:t>
      </w:r>
      <w:r w:rsidR="00233913" w:rsidRPr="00635355">
        <w:t>an</w:t>
      </w:r>
      <w:r w:rsidR="00160DFC" w:rsidRPr="00635355">
        <w:t xml:space="preserve"> </w:t>
      </w:r>
      <w:r w:rsidR="009E71CC" w:rsidRPr="00635355">
        <w:t>Australian and</w:t>
      </w:r>
      <w:r w:rsidRPr="00635355">
        <w:t xml:space="preserve"> </w:t>
      </w:r>
      <w:r w:rsidR="009E71CC" w:rsidRPr="00635355">
        <w:t xml:space="preserve">Polish </w:t>
      </w:r>
      <w:r w:rsidRPr="00635355">
        <w:t xml:space="preserve">national born </w:t>
      </w:r>
      <w:r w:rsidR="00160DFC" w:rsidRPr="00635355">
        <w:t xml:space="preserve">in </w:t>
      </w:r>
      <w:r w:rsidR="009E71CC" w:rsidRPr="00635355">
        <w:t>1950. Sh</w:t>
      </w:r>
      <w:r w:rsidRPr="00635355">
        <w:t xml:space="preserve">e claims to be </w:t>
      </w:r>
      <w:r w:rsidR="00D9698B">
        <w:t>the</w:t>
      </w:r>
      <w:r w:rsidRPr="00635355">
        <w:t xml:space="preserve"> victim of a violation by </w:t>
      </w:r>
      <w:r w:rsidR="009E71CC" w:rsidRPr="00635355">
        <w:t>Australia of her</w:t>
      </w:r>
      <w:r w:rsidRPr="00635355">
        <w:t xml:space="preserve"> rights under article</w:t>
      </w:r>
      <w:r w:rsidR="009E71CC" w:rsidRPr="00635355">
        <w:t>s</w:t>
      </w:r>
      <w:r w:rsidR="00EF4905" w:rsidRPr="00635355">
        <w:t> </w:t>
      </w:r>
      <w:r w:rsidR="009E71CC" w:rsidRPr="00635355">
        <w:t>11</w:t>
      </w:r>
      <w:r w:rsidR="00330FB4" w:rsidRPr="00635355">
        <w:t>,</w:t>
      </w:r>
      <w:r w:rsidR="009E71CC" w:rsidRPr="00635355">
        <w:t xml:space="preserve"> 14</w:t>
      </w:r>
      <w:r w:rsidR="00330FB4" w:rsidRPr="00635355">
        <w:t>,</w:t>
      </w:r>
      <w:r w:rsidR="009E71CC" w:rsidRPr="00635355">
        <w:t xml:space="preserve"> 15 and 17</w:t>
      </w:r>
      <w:r w:rsidRPr="00635355">
        <w:t xml:space="preserve"> of the International Covenant on Civil and Political Rights. The Optional Protocol entered into force for the State party on </w:t>
      </w:r>
      <w:r w:rsidR="00946E8F" w:rsidRPr="00635355">
        <w:t>25 September 1991</w:t>
      </w:r>
      <w:r w:rsidRPr="00635355">
        <w:t>.</w:t>
      </w:r>
      <w:r w:rsidR="00CE3A11" w:rsidRPr="00635355">
        <w:t xml:space="preserve"> The author is not represented</w:t>
      </w:r>
      <w:r w:rsidR="0008157C" w:rsidRPr="00635355">
        <w:t xml:space="preserve"> by counsel</w:t>
      </w:r>
      <w:r w:rsidR="00CE3A11" w:rsidRPr="00635355">
        <w:t>.</w:t>
      </w:r>
    </w:p>
    <w:p w:rsidR="000F6751" w:rsidRPr="00635355" w:rsidRDefault="000F6751" w:rsidP="00AE65AB">
      <w:pPr>
        <w:pStyle w:val="SingleTxtG"/>
      </w:pPr>
      <w:r w:rsidRPr="00635355">
        <w:t>1.2</w:t>
      </w:r>
      <w:r w:rsidRPr="00635355">
        <w:tab/>
        <w:t xml:space="preserve">On </w:t>
      </w:r>
      <w:r w:rsidR="00D646BB" w:rsidRPr="00635355">
        <w:t>28 February 2011</w:t>
      </w:r>
      <w:r w:rsidRPr="00635355">
        <w:t>, pursuant to rule 9</w:t>
      </w:r>
      <w:r w:rsidR="00066DCC" w:rsidRPr="00635355">
        <w:t xml:space="preserve">7, </w:t>
      </w:r>
      <w:r w:rsidR="00EA2D55" w:rsidRPr="00635355">
        <w:t>paragraph </w:t>
      </w:r>
      <w:r w:rsidR="00066DCC" w:rsidRPr="00635355">
        <w:t>3,</w:t>
      </w:r>
      <w:r w:rsidRPr="00635355">
        <w:t xml:space="preserve"> of its rules of procedure, the Committee, acting through its </w:t>
      </w:r>
      <w:r w:rsidR="00D646BB" w:rsidRPr="00635355">
        <w:t>Chairman</w:t>
      </w:r>
      <w:r w:rsidRPr="00635355">
        <w:t xml:space="preserve">, granted the request of the State party to </w:t>
      </w:r>
      <w:r w:rsidR="00160DFC" w:rsidRPr="00635355">
        <w:t xml:space="preserve">have the issue of </w:t>
      </w:r>
      <w:r w:rsidRPr="00635355">
        <w:t xml:space="preserve">admissibility </w:t>
      </w:r>
      <w:r w:rsidR="00160DFC" w:rsidRPr="00635355">
        <w:t xml:space="preserve">of the communication examined separately </w:t>
      </w:r>
      <w:r w:rsidRPr="00635355">
        <w:t>from its merits.</w:t>
      </w:r>
    </w:p>
    <w:p w:rsidR="00202561" w:rsidRPr="00635355" w:rsidRDefault="00202561" w:rsidP="00C63C27">
      <w:pPr>
        <w:pStyle w:val="H23G"/>
      </w:pPr>
      <w:r w:rsidRPr="00635355">
        <w:tab/>
      </w:r>
      <w:r w:rsidR="00AE65AB" w:rsidRPr="00635355">
        <w:tab/>
      </w:r>
      <w:r w:rsidRPr="00635355">
        <w:t xml:space="preserve">The facts as </w:t>
      </w:r>
      <w:r w:rsidR="00C63C27">
        <w:t>submitt</w:t>
      </w:r>
      <w:r w:rsidRPr="00635355">
        <w:t>ed by the author</w:t>
      </w:r>
    </w:p>
    <w:p w:rsidR="00E41F3A" w:rsidRPr="00635355" w:rsidRDefault="00414774" w:rsidP="007B4772">
      <w:pPr>
        <w:pStyle w:val="SingleTxtG"/>
      </w:pPr>
      <w:r w:rsidRPr="00635355">
        <w:t>2.1</w:t>
      </w:r>
      <w:r w:rsidRPr="00635355">
        <w:tab/>
      </w:r>
      <w:r w:rsidR="0054394B" w:rsidRPr="00635355">
        <w:t xml:space="preserve">The author is </w:t>
      </w:r>
      <w:r w:rsidR="00160DFC" w:rsidRPr="00635355">
        <w:t>the</w:t>
      </w:r>
      <w:r w:rsidR="0054394B" w:rsidRPr="00635355">
        <w:t xml:space="preserve"> managing</w:t>
      </w:r>
      <w:r w:rsidR="00E41F3A" w:rsidRPr="00635355">
        <w:rPr>
          <w:spacing w:val="-3"/>
        </w:rPr>
        <w:t xml:space="preserve"> </w:t>
      </w:r>
      <w:r w:rsidR="00E41F3A" w:rsidRPr="00635355">
        <w:t>director</w:t>
      </w:r>
      <w:r w:rsidR="00E41F3A" w:rsidRPr="00635355">
        <w:rPr>
          <w:spacing w:val="1"/>
        </w:rPr>
        <w:t xml:space="preserve"> </w:t>
      </w:r>
      <w:r w:rsidR="00E41F3A" w:rsidRPr="00635355">
        <w:rPr>
          <w:spacing w:val="-2"/>
        </w:rPr>
        <w:t xml:space="preserve">of </w:t>
      </w:r>
      <w:r w:rsidR="0054394B" w:rsidRPr="00635355">
        <w:t>a</w:t>
      </w:r>
      <w:r w:rsidR="00E41F3A" w:rsidRPr="00635355">
        <w:t xml:space="preserve"> </w:t>
      </w:r>
      <w:r w:rsidR="0054394B" w:rsidRPr="00635355">
        <w:t>c</w:t>
      </w:r>
      <w:r w:rsidR="00E41F3A" w:rsidRPr="00635355">
        <w:t xml:space="preserve">ompany </w:t>
      </w:r>
      <w:r w:rsidR="0054394B" w:rsidRPr="00635355">
        <w:t xml:space="preserve">she </w:t>
      </w:r>
      <w:r w:rsidR="00E41F3A" w:rsidRPr="00635355">
        <w:t>established</w:t>
      </w:r>
      <w:r w:rsidR="00E41F3A" w:rsidRPr="00635355">
        <w:rPr>
          <w:spacing w:val="-3"/>
        </w:rPr>
        <w:t xml:space="preserve"> </w:t>
      </w:r>
      <w:r w:rsidR="00635355">
        <w:rPr>
          <w:spacing w:val="-3"/>
        </w:rPr>
        <w:t>to</w:t>
      </w:r>
      <w:r w:rsidR="00E41F3A" w:rsidRPr="00635355">
        <w:rPr>
          <w:spacing w:val="1"/>
        </w:rPr>
        <w:t xml:space="preserve"> </w:t>
      </w:r>
      <w:r w:rsidR="00635355">
        <w:t>market</w:t>
      </w:r>
      <w:r w:rsidR="00635355" w:rsidRPr="00635355">
        <w:t xml:space="preserve"> </w:t>
      </w:r>
      <w:r w:rsidR="0054394B" w:rsidRPr="00635355">
        <w:rPr>
          <w:spacing w:val="-2"/>
        </w:rPr>
        <w:t>her</w:t>
      </w:r>
      <w:r w:rsidR="00E41F3A" w:rsidRPr="00635355">
        <w:rPr>
          <w:spacing w:val="53"/>
        </w:rPr>
        <w:t xml:space="preserve"> </w:t>
      </w:r>
      <w:r w:rsidR="00E41F3A" w:rsidRPr="00635355">
        <w:t>invention</w:t>
      </w:r>
      <w:r w:rsidR="006D451A" w:rsidRPr="00635355">
        <w:t xml:space="preserve"> </w:t>
      </w:r>
      <w:r w:rsidR="008368EF">
        <w:t>in the field of</w:t>
      </w:r>
      <w:r w:rsidR="006D451A" w:rsidRPr="00635355">
        <w:t xml:space="preserve"> fastener technology</w:t>
      </w:r>
      <w:r w:rsidR="00E41F3A" w:rsidRPr="00635355">
        <w:t>.</w:t>
      </w:r>
      <w:r w:rsidR="0054394B" w:rsidRPr="00635355">
        <w:t xml:space="preserve"> She</w:t>
      </w:r>
      <w:r w:rsidR="00E41F3A" w:rsidRPr="00635355">
        <w:rPr>
          <w:spacing w:val="-4"/>
        </w:rPr>
        <w:t xml:space="preserve"> </w:t>
      </w:r>
      <w:r w:rsidR="00A36C31" w:rsidRPr="00635355">
        <w:rPr>
          <w:spacing w:val="-4"/>
        </w:rPr>
        <w:t xml:space="preserve">owned </w:t>
      </w:r>
      <w:r w:rsidR="00E41F3A" w:rsidRPr="00635355">
        <w:t>64.5</w:t>
      </w:r>
      <w:r w:rsidR="00A04A60" w:rsidRPr="00635355">
        <w:t xml:space="preserve"> per cent</w:t>
      </w:r>
      <w:r w:rsidR="00E41F3A" w:rsidRPr="00635355">
        <w:rPr>
          <w:spacing w:val="1"/>
        </w:rPr>
        <w:t xml:space="preserve"> </w:t>
      </w:r>
      <w:r w:rsidR="00A36C31" w:rsidRPr="00635355">
        <w:rPr>
          <w:spacing w:val="1"/>
        </w:rPr>
        <w:t>of the company</w:t>
      </w:r>
      <w:r w:rsidR="00E41F3A" w:rsidRPr="00635355">
        <w:t xml:space="preserve">. </w:t>
      </w:r>
      <w:r w:rsidR="00160DFC" w:rsidRPr="00635355">
        <w:t>I</w:t>
      </w:r>
      <w:r w:rsidR="00E41F3A" w:rsidRPr="00635355">
        <w:t xml:space="preserve">n </w:t>
      </w:r>
      <w:r w:rsidR="00E41F3A" w:rsidRPr="00635355">
        <w:lastRenderedPageBreak/>
        <w:t>February</w:t>
      </w:r>
      <w:r w:rsidR="00E41F3A" w:rsidRPr="00635355">
        <w:rPr>
          <w:spacing w:val="-3"/>
        </w:rPr>
        <w:t xml:space="preserve"> </w:t>
      </w:r>
      <w:r w:rsidR="00E41F3A" w:rsidRPr="00635355">
        <w:t>2005</w:t>
      </w:r>
      <w:r w:rsidR="00160DFC" w:rsidRPr="00635355">
        <w:t>,</w:t>
      </w:r>
      <w:r w:rsidR="00E41F3A" w:rsidRPr="00635355">
        <w:t xml:space="preserve"> </w:t>
      </w:r>
      <w:r w:rsidR="00635355">
        <w:t xml:space="preserve">the </w:t>
      </w:r>
      <w:r w:rsidR="0054394B" w:rsidRPr="00635355">
        <w:t>concept</w:t>
      </w:r>
      <w:r w:rsidR="0054394B" w:rsidRPr="00635355">
        <w:rPr>
          <w:spacing w:val="1"/>
        </w:rPr>
        <w:t xml:space="preserve"> </w:t>
      </w:r>
      <w:r w:rsidR="0054394B" w:rsidRPr="00635355">
        <w:t>test</w:t>
      </w:r>
      <w:r w:rsidR="0054394B" w:rsidRPr="00635355">
        <w:rPr>
          <w:spacing w:val="1"/>
        </w:rPr>
        <w:t xml:space="preserve"> </w:t>
      </w:r>
      <w:r w:rsidR="0054394B" w:rsidRPr="00635355">
        <w:t>yielded exceptional</w:t>
      </w:r>
      <w:r w:rsidR="0054394B" w:rsidRPr="00635355">
        <w:rPr>
          <w:spacing w:val="1"/>
        </w:rPr>
        <w:t xml:space="preserve"> </w:t>
      </w:r>
      <w:r w:rsidR="0054394B" w:rsidRPr="00635355">
        <w:t xml:space="preserve">results, </w:t>
      </w:r>
      <w:r w:rsidR="00160DFC" w:rsidRPr="00635355">
        <w:t xml:space="preserve">and </w:t>
      </w:r>
      <w:r w:rsidR="00635355">
        <w:t xml:space="preserve">the </w:t>
      </w:r>
      <w:r w:rsidR="0054394B" w:rsidRPr="00635355">
        <w:t>two other</w:t>
      </w:r>
      <w:r w:rsidR="0054394B" w:rsidRPr="00635355">
        <w:rPr>
          <w:spacing w:val="1"/>
        </w:rPr>
        <w:t xml:space="preserve"> </w:t>
      </w:r>
      <w:r w:rsidR="0054394B" w:rsidRPr="00635355">
        <w:t>directors, L. and D.</w:t>
      </w:r>
      <w:r w:rsidR="00635355">
        <w:t>,</w:t>
      </w:r>
      <w:r w:rsidR="0054394B" w:rsidRPr="00635355">
        <w:t xml:space="preserve"> issued </w:t>
      </w:r>
      <w:r w:rsidR="00635355" w:rsidRPr="00635355">
        <w:t>company</w:t>
      </w:r>
      <w:r w:rsidR="00635355">
        <w:t xml:space="preserve"> </w:t>
      </w:r>
      <w:r w:rsidR="0054394B" w:rsidRPr="00635355">
        <w:t xml:space="preserve">shares </w:t>
      </w:r>
      <w:r w:rsidR="00635355" w:rsidRPr="00635355">
        <w:t>to existing</w:t>
      </w:r>
      <w:r w:rsidR="00635355" w:rsidRPr="00635355">
        <w:rPr>
          <w:spacing w:val="-3"/>
        </w:rPr>
        <w:t xml:space="preserve"> </w:t>
      </w:r>
      <w:r w:rsidR="00635355" w:rsidRPr="00635355">
        <w:t>shareholders</w:t>
      </w:r>
      <w:r w:rsidR="00635355">
        <w:t xml:space="preserve"> </w:t>
      </w:r>
      <w:r w:rsidR="0054394B" w:rsidRPr="00635355">
        <w:t>at</w:t>
      </w:r>
      <w:r w:rsidR="0054394B" w:rsidRPr="00635355">
        <w:rPr>
          <w:spacing w:val="1"/>
        </w:rPr>
        <w:t xml:space="preserve"> </w:t>
      </w:r>
      <w:r w:rsidR="00635355">
        <w:rPr>
          <w:spacing w:val="1"/>
        </w:rPr>
        <w:t xml:space="preserve">a </w:t>
      </w:r>
      <w:r w:rsidR="0054394B" w:rsidRPr="00635355">
        <w:t>95</w:t>
      </w:r>
      <w:r w:rsidR="00A04A60" w:rsidRPr="00635355">
        <w:t xml:space="preserve"> per cent</w:t>
      </w:r>
      <w:r w:rsidR="0054394B" w:rsidRPr="00635355">
        <w:rPr>
          <w:spacing w:val="1"/>
        </w:rPr>
        <w:t xml:space="preserve"> </w:t>
      </w:r>
      <w:r w:rsidR="0054394B" w:rsidRPr="00635355">
        <w:t>discount, aiming</w:t>
      </w:r>
      <w:r w:rsidR="0054394B" w:rsidRPr="00635355">
        <w:rPr>
          <w:spacing w:val="-3"/>
        </w:rPr>
        <w:t xml:space="preserve"> </w:t>
      </w:r>
      <w:r w:rsidR="0054394B" w:rsidRPr="00635355">
        <w:t xml:space="preserve">to </w:t>
      </w:r>
      <w:r w:rsidR="00D9698B">
        <w:t>make</w:t>
      </w:r>
      <w:r w:rsidR="006D451A" w:rsidRPr="00635355">
        <w:t xml:space="preserve"> the author a minority shareholder</w:t>
      </w:r>
      <w:r w:rsidR="0054394B" w:rsidRPr="00635355">
        <w:t xml:space="preserve">. Consequently, during </w:t>
      </w:r>
      <w:r w:rsidR="005709D6" w:rsidRPr="00635355">
        <w:t>a</w:t>
      </w:r>
      <w:r w:rsidR="0054394B" w:rsidRPr="00635355">
        <w:t xml:space="preserve"> </w:t>
      </w:r>
      <w:r w:rsidR="005709D6" w:rsidRPr="00635355">
        <w:t>g</w:t>
      </w:r>
      <w:r w:rsidR="0054394B" w:rsidRPr="00635355">
        <w:t>eneral</w:t>
      </w:r>
      <w:r w:rsidR="0054394B" w:rsidRPr="00635355">
        <w:rPr>
          <w:spacing w:val="-2"/>
        </w:rPr>
        <w:t xml:space="preserve"> </w:t>
      </w:r>
      <w:r w:rsidR="005709D6" w:rsidRPr="00635355">
        <w:t>m</w:t>
      </w:r>
      <w:r w:rsidR="0054394B" w:rsidRPr="00635355">
        <w:t>eeting</w:t>
      </w:r>
      <w:r w:rsidR="005C34CB" w:rsidRPr="00635355">
        <w:t>,</w:t>
      </w:r>
      <w:r w:rsidR="0054394B" w:rsidRPr="00635355">
        <w:t xml:space="preserve"> the author removed L. and D. and appointed </w:t>
      </w:r>
      <w:r w:rsidR="00635355" w:rsidRPr="00635355">
        <w:t>her daughter C</w:t>
      </w:r>
      <w:r w:rsidR="00635355">
        <w:t xml:space="preserve"> </w:t>
      </w:r>
      <w:r w:rsidR="0054394B" w:rsidRPr="00635355">
        <w:t>as a director.</w:t>
      </w:r>
      <w:r w:rsidR="005C34CB" w:rsidRPr="00635355">
        <w:t xml:space="preserve"> </w:t>
      </w:r>
      <w:r w:rsidR="00E41F3A" w:rsidRPr="00635355">
        <w:t>At</w:t>
      </w:r>
      <w:r w:rsidR="00E41F3A" w:rsidRPr="00635355">
        <w:rPr>
          <w:spacing w:val="1"/>
        </w:rPr>
        <w:t xml:space="preserve"> </w:t>
      </w:r>
      <w:r w:rsidR="00E41F3A" w:rsidRPr="00635355">
        <w:t>the</w:t>
      </w:r>
      <w:r w:rsidR="00E41F3A" w:rsidRPr="00635355">
        <w:rPr>
          <w:spacing w:val="-2"/>
        </w:rPr>
        <w:t xml:space="preserve"> </w:t>
      </w:r>
      <w:r w:rsidR="00E41F3A" w:rsidRPr="00635355">
        <w:t xml:space="preserve">time, the </w:t>
      </w:r>
      <w:r w:rsidR="0054394B" w:rsidRPr="00635355">
        <w:t>c</w:t>
      </w:r>
      <w:r w:rsidR="00E41F3A" w:rsidRPr="00635355">
        <w:t xml:space="preserve">ompany was </w:t>
      </w:r>
      <w:r w:rsidR="00635355">
        <w:t>working</w:t>
      </w:r>
      <w:r w:rsidR="00E41F3A" w:rsidRPr="00635355">
        <w:t xml:space="preserve"> with</w:t>
      </w:r>
      <w:r w:rsidR="00E41F3A" w:rsidRPr="00635355">
        <w:rPr>
          <w:spacing w:val="-3"/>
        </w:rPr>
        <w:t xml:space="preserve"> </w:t>
      </w:r>
      <w:r w:rsidR="00E41F3A" w:rsidRPr="00635355">
        <w:t>a venture</w:t>
      </w:r>
      <w:r w:rsidR="005C06A9" w:rsidRPr="00635355">
        <w:t xml:space="preserve"> capital</w:t>
      </w:r>
      <w:r w:rsidR="00E41F3A" w:rsidRPr="00635355">
        <w:rPr>
          <w:spacing w:val="-2"/>
        </w:rPr>
        <w:t xml:space="preserve"> </w:t>
      </w:r>
      <w:r w:rsidR="00160DFC" w:rsidRPr="00635355">
        <w:t>specialist</w:t>
      </w:r>
      <w:r w:rsidR="00E41F3A" w:rsidRPr="00635355">
        <w:rPr>
          <w:spacing w:val="-3"/>
        </w:rPr>
        <w:t xml:space="preserve"> </w:t>
      </w:r>
      <w:r w:rsidR="00E41F3A" w:rsidRPr="00635355">
        <w:t>to raise capital</w:t>
      </w:r>
      <w:r w:rsidR="00E41F3A" w:rsidRPr="00635355">
        <w:rPr>
          <w:spacing w:val="-2"/>
        </w:rPr>
        <w:t xml:space="preserve"> </w:t>
      </w:r>
      <w:r w:rsidR="00E41F3A" w:rsidRPr="00635355">
        <w:t>in</w:t>
      </w:r>
      <w:r w:rsidR="00E41F3A" w:rsidRPr="00635355">
        <w:rPr>
          <w:spacing w:val="-3"/>
        </w:rPr>
        <w:t xml:space="preserve"> </w:t>
      </w:r>
      <w:r w:rsidR="00E41F3A" w:rsidRPr="00635355">
        <w:t>the</w:t>
      </w:r>
      <w:r w:rsidR="00E41F3A" w:rsidRPr="00635355">
        <w:rPr>
          <w:spacing w:val="-2"/>
        </w:rPr>
        <w:t xml:space="preserve"> </w:t>
      </w:r>
      <w:r w:rsidR="00E41F3A" w:rsidRPr="00635355">
        <w:t>range</w:t>
      </w:r>
      <w:r w:rsidR="0054394B" w:rsidRPr="00635355">
        <w:t xml:space="preserve"> </w:t>
      </w:r>
      <w:r w:rsidR="00E41F3A" w:rsidRPr="00635355">
        <w:t>of</w:t>
      </w:r>
      <w:r w:rsidR="00E41F3A" w:rsidRPr="00635355">
        <w:rPr>
          <w:spacing w:val="1"/>
        </w:rPr>
        <w:t xml:space="preserve"> </w:t>
      </w:r>
      <w:r w:rsidR="00635355" w:rsidRPr="00635355">
        <w:t>$</w:t>
      </w:r>
      <w:r w:rsidR="00E41F3A" w:rsidRPr="00635355">
        <w:t>2</w:t>
      </w:r>
      <w:r w:rsidR="00635355">
        <w:t xml:space="preserve"> to </w:t>
      </w:r>
      <w:r w:rsidR="00E41F3A" w:rsidRPr="00635355">
        <w:t>3</w:t>
      </w:r>
      <w:r w:rsidR="00E41F3A" w:rsidRPr="00635355">
        <w:rPr>
          <w:spacing w:val="2"/>
        </w:rPr>
        <w:t xml:space="preserve"> </w:t>
      </w:r>
      <w:r w:rsidR="00E41F3A" w:rsidRPr="00635355">
        <w:t>million</w:t>
      </w:r>
      <w:r w:rsidRPr="00635355">
        <w:t>.</w:t>
      </w:r>
      <w:r w:rsidR="00E41F3A" w:rsidRPr="00635355">
        <w:rPr>
          <w:spacing w:val="-3"/>
        </w:rPr>
        <w:t xml:space="preserve"> </w:t>
      </w:r>
    </w:p>
    <w:p w:rsidR="00215A85" w:rsidRPr="00635355" w:rsidRDefault="00414774" w:rsidP="005F0D65">
      <w:pPr>
        <w:pStyle w:val="SingleTxtG"/>
      </w:pPr>
      <w:r w:rsidRPr="00635355">
        <w:t>2.2</w:t>
      </w:r>
      <w:r w:rsidRPr="00635355">
        <w:tab/>
      </w:r>
      <w:r w:rsidR="00E41F3A" w:rsidRPr="00635355">
        <w:t>On</w:t>
      </w:r>
      <w:r w:rsidR="00E41F3A" w:rsidRPr="00635355">
        <w:rPr>
          <w:spacing w:val="1"/>
        </w:rPr>
        <w:t xml:space="preserve"> </w:t>
      </w:r>
      <w:r w:rsidR="00E41F3A" w:rsidRPr="00635355">
        <w:t>17 June</w:t>
      </w:r>
      <w:r w:rsidR="00E41F3A" w:rsidRPr="00635355">
        <w:rPr>
          <w:spacing w:val="3"/>
        </w:rPr>
        <w:t xml:space="preserve"> </w:t>
      </w:r>
      <w:r w:rsidR="00E41F3A" w:rsidRPr="00635355">
        <w:t>2005,</w:t>
      </w:r>
      <w:r w:rsidR="00E41F3A" w:rsidRPr="00635355">
        <w:rPr>
          <w:spacing w:val="2"/>
        </w:rPr>
        <w:t xml:space="preserve"> </w:t>
      </w:r>
      <w:r w:rsidR="00E41F3A" w:rsidRPr="00635355">
        <w:t>L</w:t>
      </w:r>
      <w:r w:rsidR="0054394B" w:rsidRPr="00635355">
        <w:t xml:space="preserve">. and </w:t>
      </w:r>
      <w:r w:rsidR="00E41F3A" w:rsidRPr="00635355">
        <w:t>D</w:t>
      </w:r>
      <w:r w:rsidR="0054394B" w:rsidRPr="00635355">
        <w:t>.</w:t>
      </w:r>
      <w:r w:rsidR="00E41F3A" w:rsidRPr="00635355">
        <w:t xml:space="preserve"> filed</w:t>
      </w:r>
      <w:r w:rsidR="00E41F3A" w:rsidRPr="00635355">
        <w:rPr>
          <w:spacing w:val="2"/>
        </w:rPr>
        <w:t xml:space="preserve"> </w:t>
      </w:r>
      <w:r w:rsidR="00E41F3A" w:rsidRPr="00635355">
        <w:t>an</w:t>
      </w:r>
      <w:r w:rsidR="00E41F3A" w:rsidRPr="00635355">
        <w:rPr>
          <w:spacing w:val="1"/>
        </w:rPr>
        <w:t xml:space="preserve"> </w:t>
      </w:r>
      <w:r w:rsidR="00883A67" w:rsidRPr="00635355">
        <w:rPr>
          <w:spacing w:val="1"/>
        </w:rPr>
        <w:t>“</w:t>
      </w:r>
      <w:r w:rsidR="0054394B" w:rsidRPr="00635355">
        <w:t>o</w:t>
      </w:r>
      <w:r w:rsidR="00E41F3A" w:rsidRPr="00635355">
        <w:t>riginating process application</w:t>
      </w:r>
      <w:r w:rsidR="00883A67" w:rsidRPr="00635355">
        <w:t>”</w:t>
      </w:r>
      <w:r w:rsidR="00891BAF" w:rsidRPr="00635355">
        <w:t xml:space="preserve"> (the first set of proceedings)</w:t>
      </w:r>
      <w:r w:rsidR="00E41F3A" w:rsidRPr="00635355">
        <w:rPr>
          <w:spacing w:val="20"/>
          <w:position w:val="10"/>
        </w:rPr>
        <w:t xml:space="preserve"> </w:t>
      </w:r>
      <w:r w:rsidR="00891BAF" w:rsidRPr="00635355">
        <w:t>before</w:t>
      </w:r>
      <w:r w:rsidR="00E41F3A" w:rsidRPr="00635355">
        <w:t xml:space="preserve"> the </w:t>
      </w:r>
      <w:r w:rsidR="00E41F3A" w:rsidRPr="00635355">
        <w:rPr>
          <w:spacing w:val="-2"/>
        </w:rPr>
        <w:t>Supreme</w:t>
      </w:r>
      <w:r w:rsidR="00E41F3A" w:rsidRPr="00635355">
        <w:rPr>
          <w:spacing w:val="3"/>
        </w:rPr>
        <w:t xml:space="preserve"> </w:t>
      </w:r>
      <w:r w:rsidR="00E41F3A" w:rsidRPr="00635355">
        <w:t xml:space="preserve">Court, </w:t>
      </w:r>
      <w:r w:rsidR="00891BAF" w:rsidRPr="00635355">
        <w:t>requesting</w:t>
      </w:r>
      <w:r w:rsidR="00E41F3A" w:rsidRPr="00635355">
        <w:rPr>
          <w:spacing w:val="-3"/>
        </w:rPr>
        <w:t xml:space="preserve"> </w:t>
      </w:r>
      <w:r w:rsidR="00534A84">
        <w:t>a</w:t>
      </w:r>
      <w:r w:rsidR="00E41F3A" w:rsidRPr="00635355">
        <w:rPr>
          <w:spacing w:val="1"/>
        </w:rPr>
        <w:t xml:space="preserve"> </w:t>
      </w:r>
      <w:r w:rsidR="00E41F3A" w:rsidRPr="00635355">
        <w:t>permanent</w:t>
      </w:r>
      <w:r w:rsidR="00E41F3A" w:rsidRPr="00635355">
        <w:rPr>
          <w:spacing w:val="-2"/>
        </w:rPr>
        <w:t xml:space="preserve"> </w:t>
      </w:r>
      <w:r w:rsidR="00891BAF" w:rsidRPr="00635355">
        <w:t>injunction</w:t>
      </w:r>
      <w:r w:rsidR="00E41F3A" w:rsidRPr="00635355">
        <w:t xml:space="preserve"> under</w:t>
      </w:r>
      <w:r w:rsidR="00E41F3A" w:rsidRPr="00635355">
        <w:rPr>
          <w:spacing w:val="-2"/>
        </w:rPr>
        <w:t xml:space="preserve"> </w:t>
      </w:r>
      <w:r w:rsidR="00534A84">
        <w:t xml:space="preserve">section </w:t>
      </w:r>
      <w:r w:rsidR="00E41F3A" w:rsidRPr="00635355">
        <w:t xml:space="preserve">1324 </w:t>
      </w:r>
      <w:r w:rsidR="005709D6" w:rsidRPr="00635355">
        <w:t>of the Corporations Act (2001)</w:t>
      </w:r>
      <w:r w:rsidR="00E41F3A" w:rsidRPr="00635355">
        <w:rPr>
          <w:spacing w:val="-3"/>
        </w:rPr>
        <w:t xml:space="preserve"> </w:t>
      </w:r>
      <w:r w:rsidR="00E41F3A" w:rsidRPr="00635355">
        <w:t xml:space="preserve">to </w:t>
      </w:r>
      <w:r w:rsidR="00E41F3A" w:rsidRPr="00635355">
        <w:rPr>
          <w:spacing w:val="-2"/>
        </w:rPr>
        <w:t>remove</w:t>
      </w:r>
      <w:r w:rsidR="00E41F3A" w:rsidRPr="00635355">
        <w:rPr>
          <w:spacing w:val="3"/>
        </w:rPr>
        <w:t xml:space="preserve"> </w:t>
      </w:r>
      <w:r w:rsidR="00891BAF" w:rsidRPr="00635355">
        <w:rPr>
          <w:spacing w:val="-2"/>
        </w:rPr>
        <w:t>the author</w:t>
      </w:r>
      <w:r w:rsidR="00E41F3A" w:rsidRPr="00635355">
        <w:t xml:space="preserve"> as </w:t>
      </w:r>
      <w:r w:rsidR="00891BAF" w:rsidRPr="00635355">
        <w:t xml:space="preserve">a </w:t>
      </w:r>
      <w:r w:rsidR="00E41F3A" w:rsidRPr="00635355">
        <w:t>director</w:t>
      </w:r>
      <w:r w:rsidR="00891BAF" w:rsidRPr="00635355">
        <w:t xml:space="preserve"> of the company</w:t>
      </w:r>
      <w:r w:rsidR="00E41F3A" w:rsidRPr="00635355">
        <w:t xml:space="preserve">, and </w:t>
      </w:r>
      <w:r w:rsidR="00891BAF" w:rsidRPr="00635355">
        <w:t xml:space="preserve">to declare </w:t>
      </w:r>
      <w:r w:rsidR="00E41F3A" w:rsidRPr="00635355">
        <w:t>that</w:t>
      </w:r>
      <w:r w:rsidR="00E41F3A" w:rsidRPr="00635355">
        <w:rPr>
          <w:spacing w:val="1"/>
        </w:rPr>
        <w:t xml:space="preserve"> </w:t>
      </w:r>
      <w:r w:rsidR="00891BAF" w:rsidRPr="00635355">
        <w:t xml:space="preserve">she </w:t>
      </w:r>
      <w:r w:rsidR="00E41F3A" w:rsidRPr="00635355">
        <w:t>h</w:t>
      </w:r>
      <w:r w:rsidR="002F62A5">
        <w:t>e</w:t>
      </w:r>
      <w:r w:rsidR="00E41F3A" w:rsidRPr="00635355">
        <w:t xml:space="preserve">ld </w:t>
      </w:r>
      <w:r w:rsidR="00E41F3A" w:rsidRPr="00635355">
        <w:rPr>
          <w:spacing w:val="-2"/>
        </w:rPr>
        <w:t>5</w:t>
      </w:r>
      <w:r w:rsidR="00A04A60" w:rsidRPr="00635355">
        <w:rPr>
          <w:spacing w:val="-2"/>
        </w:rPr>
        <w:t xml:space="preserve"> per cent</w:t>
      </w:r>
      <w:r w:rsidR="00E41F3A" w:rsidRPr="00635355">
        <w:rPr>
          <w:spacing w:val="1"/>
        </w:rPr>
        <w:t xml:space="preserve"> </w:t>
      </w:r>
      <w:r w:rsidR="00E41F3A" w:rsidRPr="00635355">
        <w:rPr>
          <w:spacing w:val="-2"/>
        </w:rPr>
        <w:t>of</w:t>
      </w:r>
      <w:r w:rsidR="00E41F3A" w:rsidRPr="00635355">
        <w:rPr>
          <w:spacing w:val="1"/>
        </w:rPr>
        <w:t xml:space="preserve"> </w:t>
      </w:r>
      <w:r w:rsidR="00E41F3A" w:rsidRPr="00635355">
        <w:t xml:space="preserve">the </w:t>
      </w:r>
      <w:r w:rsidR="00891BAF" w:rsidRPr="00635355">
        <w:t>c</w:t>
      </w:r>
      <w:r w:rsidR="00E41F3A" w:rsidRPr="00635355">
        <w:t>ompany’s shareholding</w:t>
      </w:r>
      <w:r w:rsidR="00E41F3A" w:rsidRPr="00635355">
        <w:rPr>
          <w:spacing w:val="-3"/>
        </w:rPr>
        <w:t xml:space="preserve"> </w:t>
      </w:r>
      <w:r w:rsidR="00E41F3A" w:rsidRPr="00635355">
        <w:t>in</w:t>
      </w:r>
      <w:r w:rsidR="00E41F3A" w:rsidRPr="00635355">
        <w:rPr>
          <w:spacing w:val="-3"/>
        </w:rPr>
        <w:t xml:space="preserve"> </w:t>
      </w:r>
      <w:r w:rsidR="00E41F3A" w:rsidRPr="00635355">
        <w:t>trust</w:t>
      </w:r>
      <w:r w:rsidR="00E41F3A" w:rsidRPr="00635355">
        <w:rPr>
          <w:spacing w:val="-2"/>
        </w:rPr>
        <w:t xml:space="preserve"> </w:t>
      </w:r>
      <w:r w:rsidR="00E41F3A" w:rsidRPr="00635355">
        <w:t>for</w:t>
      </w:r>
      <w:r w:rsidR="00E41F3A" w:rsidRPr="00635355">
        <w:rPr>
          <w:spacing w:val="1"/>
        </w:rPr>
        <w:t xml:space="preserve"> </w:t>
      </w:r>
      <w:r w:rsidR="00E41F3A" w:rsidRPr="00635355">
        <w:t>D.</w:t>
      </w:r>
      <w:r w:rsidR="00E41F3A" w:rsidRPr="00635355">
        <w:rPr>
          <w:spacing w:val="-3"/>
        </w:rPr>
        <w:t xml:space="preserve"> </w:t>
      </w:r>
      <w:r w:rsidR="00D80066" w:rsidRPr="00635355">
        <w:rPr>
          <w:spacing w:val="-3"/>
        </w:rPr>
        <w:t>On the first day of the hearing</w:t>
      </w:r>
      <w:r w:rsidR="005C34CB" w:rsidRPr="00635355">
        <w:rPr>
          <w:spacing w:val="-3"/>
        </w:rPr>
        <w:t>,</w:t>
      </w:r>
      <w:r w:rsidR="00D80066" w:rsidRPr="00635355">
        <w:rPr>
          <w:spacing w:val="-3"/>
        </w:rPr>
        <w:t xml:space="preserve"> </w:t>
      </w:r>
      <w:r w:rsidR="006D451A" w:rsidRPr="00635355">
        <w:rPr>
          <w:spacing w:val="-3"/>
        </w:rPr>
        <w:t xml:space="preserve">an </w:t>
      </w:r>
      <w:r w:rsidR="00D80066" w:rsidRPr="00635355">
        <w:rPr>
          <w:spacing w:val="-3"/>
        </w:rPr>
        <w:t xml:space="preserve">injunction was ordered </w:t>
      </w:r>
      <w:r w:rsidR="006D451A" w:rsidRPr="00635355">
        <w:rPr>
          <w:spacing w:val="-3"/>
        </w:rPr>
        <w:t xml:space="preserve">against </w:t>
      </w:r>
      <w:r w:rsidR="00D80066" w:rsidRPr="00635355">
        <w:rPr>
          <w:spacing w:val="-3"/>
        </w:rPr>
        <w:t>the author</w:t>
      </w:r>
      <w:r w:rsidR="002F62A5">
        <w:rPr>
          <w:spacing w:val="-3"/>
        </w:rPr>
        <w:t>,</w:t>
      </w:r>
      <w:r w:rsidR="00D80066" w:rsidRPr="00635355">
        <w:rPr>
          <w:spacing w:val="-3"/>
        </w:rPr>
        <w:t xml:space="preserve"> causing </w:t>
      </w:r>
      <w:r w:rsidR="002F62A5">
        <w:rPr>
          <w:spacing w:val="-3"/>
        </w:rPr>
        <w:t>the</w:t>
      </w:r>
      <w:r w:rsidR="00D80066" w:rsidRPr="00635355">
        <w:rPr>
          <w:spacing w:val="-3"/>
        </w:rPr>
        <w:t xml:space="preserve"> venture </w:t>
      </w:r>
      <w:r w:rsidR="005C06A9" w:rsidRPr="00635355">
        <w:rPr>
          <w:spacing w:val="-3"/>
        </w:rPr>
        <w:t xml:space="preserve">capital </w:t>
      </w:r>
      <w:r w:rsidR="00160DFC" w:rsidRPr="00635355">
        <w:rPr>
          <w:spacing w:val="-3"/>
        </w:rPr>
        <w:t xml:space="preserve">specialist </w:t>
      </w:r>
      <w:r w:rsidR="00D80066" w:rsidRPr="00635355">
        <w:rPr>
          <w:spacing w:val="-3"/>
        </w:rPr>
        <w:t xml:space="preserve">to </w:t>
      </w:r>
      <w:r w:rsidR="00D9698B">
        <w:rPr>
          <w:spacing w:val="-3"/>
        </w:rPr>
        <w:t>stop working with</w:t>
      </w:r>
      <w:r w:rsidR="006D451A" w:rsidRPr="00635355">
        <w:rPr>
          <w:spacing w:val="-3"/>
        </w:rPr>
        <w:t xml:space="preserve"> the company</w:t>
      </w:r>
      <w:r w:rsidR="00D80066" w:rsidRPr="00635355">
        <w:rPr>
          <w:spacing w:val="-3"/>
        </w:rPr>
        <w:t xml:space="preserve">. </w:t>
      </w:r>
      <w:r w:rsidR="00891BAF" w:rsidRPr="00635355">
        <w:t>On 2 September 2005, an injunctive order was issued requiring the author to inform the Australian Securities and Investment Commission (ASIC) about the reinstatement of L. and D. as directors. On 26 April 2006, the Court of Appeal held that D. ceased to be director of the company</w:t>
      </w:r>
      <w:r w:rsidR="00D9698B">
        <w:t>, but</w:t>
      </w:r>
      <w:r w:rsidR="00891BAF" w:rsidRPr="00635355">
        <w:t xml:space="preserve"> upheld the reinstatement of L. On 15 November 2006, the High Court of Australia refused </w:t>
      </w:r>
      <w:r w:rsidR="005709D6" w:rsidRPr="00635355">
        <w:t>special leave to a</w:t>
      </w:r>
      <w:r w:rsidR="00891BAF" w:rsidRPr="00635355">
        <w:t xml:space="preserve">ppeal </w:t>
      </w:r>
      <w:r w:rsidR="00F563B5" w:rsidRPr="00635355">
        <w:t xml:space="preserve">finding </w:t>
      </w:r>
      <w:r w:rsidR="00891BAF" w:rsidRPr="00635355">
        <w:t>no error in the judg</w:t>
      </w:r>
      <w:r w:rsidR="002F62A5">
        <w:t>e</w:t>
      </w:r>
      <w:r w:rsidR="00891BAF" w:rsidRPr="00635355">
        <w:t xml:space="preserve">ment of the Court of Appeal and </w:t>
      </w:r>
      <w:r w:rsidR="00F563B5" w:rsidRPr="00635355">
        <w:t xml:space="preserve">concluding </w:t>
      </w:r>
      <w:r w:rsidR="00891BAF" w:rsidRPr="00635355">
        <w:t xml:space="preserve">that the author’s assertion of bias was </w:t>
      </w:r>
      <w:r w:rsidR="005709D6" w:rsidRPr="00635355">
        <w:t>unfounded</w:t>
      </w:r>
      <w:r w:rsidR="00891BAF" w:rsidRPr="00635355">
        <w:t xml:space="preserve">. </w:t>
      </w:r>
    </w:p>
    <w:p w:rsidR="00DC70BB" w:rsidRPr="00635355" w:rsidRDefault="00414774" w:rsidP="00DE6C67">
      <w:pPr>
        <w:pStyle w:val="SingleTxtG"/>
      </w:pPr>
      <w:r w:rsidRPr="00635355">
        <w:rPr>
          <w:spacing w:val="-1"/>
        </w:rPr>
        <w:t>2.3</w:t>
      </w:r>
      <w:r w:rsidRPr="00635355">
        <w:rPr>
          <w:spacing w:val="-1"/>
        </w:rPr>
        <w:tab/>
      </w:r>
      <w:r w:rsidR="00E41F3A" w:rsidRPr="00635355">
        <w:rPr>
          <w:spacing w:val="-1"/>
        </w:rPr>
        <w:t>On</w:t>
      </w:r>
      <w:r w:rsidR="00E41F3A" w:rsidRPr="00635355">
        <w:t xml:space="preserve"> </w:t>
      </w:r>
      <w:r w:rsidR="00E41F3A" w:rsidRPr="00635355">
        <w:rPr>
          <w:spacing w:val="-2"/>
        </w:rPr>
        <w:t>30</w:t>
      </w:r>
      <w:r w:rsidR="00E41F3A" w:rsidRPr="00635355">
        <w:rPr>
          <w:spacing w:val="-3"/>
        </w:rPr>
        <w:t xml:space="preserve"> </w:t>
      </w:r>
      <w:r w:rsidR="00E41F3A" w:rsidRPr="00635355">
        <w:t>Jan</w:t>
      </w:r>
      <w:r w:rsidR="005709D6" w:rsidRPr="00635355">
        <w:t>uary</w:t>
      </w:r>
      <w:r w:rsidR="00E41F3A" w:rsidRPr="00635355">
        <w:t xml:space="preserve"> </w:t>
      </w:r>
      <w:r w:rsidR="00E41F3A" w:rsidRPr="00635355">
        <w:rPr>
          <w:spacing w:val="-1"/>
        </w:rPr>
        <w:t>2006,</w:t>
      </w:r>
      <w:r w:rsidR="00E41F3A" w:rsidRPr="00635355">
        <w:t xml:space="preserve"> </w:t>
      </w:r>
      <w:r w:rsidR="00F563B5" w:rsidRPr="00635355">
        <w:t xml:space="preserve">during </w:t>
      </w:r>
      <w:r w:rsidR="00E41F3A" w:rsidRPr="00635355">
        <w:t>the</w:t>
      </w:r>
      <w:r w:rsidR="00E41F3A" w:rsidRPr="00635355">
        <w:rPr>
          <w:spacing w:val="63"/>
        </w:rPr>
        <w:t xml:space="preserve"> </w:t>
      </w:r>
      <w:r w:rsidR="00E41F3A" w:rsidRPr="00635355">
        <w:rPr>
          <w:spacing w:val="-1"/>
        </w:rPr>
        <w:t>hearing</w:t>
      </w:r>
      <w:r w:rsidR="005C34CB" w:rsidRPr="00635355">
        <w:rPr>
          <w:spacing w:val="-3"/>
        </w:rPr>
        <w:t xml:space="preserve"> </w:t>
      </w:r>
      <w:r w:rsidR="00E41F3A" w:rsidRPr="00635355">
        <w:t>of</w:t>
      </w:r>
      <w:r w:rsidR="00E41F3A" w:rsidRPr="00635355">
        <w:rPr>
          <w:spacing w:val="1"/>
        </w:rPr>
        <w:t xml:space="preserve"> </w:t>
      </w:r>
      <w:r w:rsidR="00891BAF" w:rsidRPr="00635355">
        <w:rPr>
          <w:spacing w:val="-2"/>
        </w:rPr>
        <w:t>her</w:t>
      </w:r>
      <w:r w:rsidR="00E41F3A" w:rsidRPr="00635355">
        <w:rPr>
          <w:spacing w:val="-3"/>
        </w:rPr>
        <w:t xml:space="preserve"> </w:t>
      </w:r>
      <w:r w:rsidR="00E41F3A" w:rsidRPr="00635355">
        <w:rPr>
          <w:spacing w:val="-1"/>
        </w:rPr>
        <w:t>interlocutory</w:t>
      </w:r>
      <w:r w:rsidR="00E41F3A" w:rsidRPr="00635355">
        <w:rPr>
          <w:spacing w:val="-3"/>
        </w:rPr>
        <w:t xml:space="preserve"> </w:t>
      </w:r>
      <w:r w:rsidR="00E41F3A" w:rsidRPr="00635355">
        <w:rPr>
          <w:spacing w:val="-1"/>
        </w:rPr>
        <w:t>application</w:t>
      </w:r>
      <w:r w:rsidR="005C34CB" w:rsidRPr="00635355">
        <w:rPr>
          <w:spacing w:val="-1"/>
        </w:rPr>
        <w:t>,</w:t>
      </w:r>
      <w:r w:rsidR="008B25E5" w:rsidRPr="00635355">
        <w:t xml:space="preserve"> </w:t>
      </w:r>
      <w:r w:rsidR="00F563B5" w:rsidRPr="00635355">
        <w:t>t</w:t>
      </w:r>
      <w:r w:rsidR="008B25E5" w:rsidRPr="00635355">
        <w:t>he</w:t>
      </w:r>
      <w:r w:rsidR="00E41F3A" w:rsidRPr="00635355">
        <w:rPr>
          <w:spacing w:val="-4"/>
        </w:rPr>
        <w:t xml:space="preserve"> </w:t>
      </w:r>
      <w:r w:rsidR="00F563B5" w:rsidRPr="00635355">
        <w:rPr>
          <w:spacing w:val="-4"/>
        </w:rPr>
        <w:t xml:space="preserve">author </w:t>
      </w:r>
      <w:r w:rsidR="00D9698B">
        <w:rPr>
          <w:spacing w:val="-4"/>
        </w:rPr>
        <w:t>discovered</w:t>
      </w:r>
      <w:r w:rsidR="00E41F3A" w:rsidRPr="00635355">
        <w:rPr>
          <w:spacing w:val="-2"/>
        </w:rPr>
        <w:t xml:space="preserve"> </w:t>
      </w:r>
      <w:r w:rsidR="00E41F3A" w:rsidRPr="00635355">
        <w:rPr>
          <w:spacing w:val="-1"/>
        </w:rPr>
        <w:t>that</w:t>
      </w:r>
      <w:r w:rsidR="00E41F3A" w:rsidRPr="00635355">
        <w:rPr>
          <w:spacing w:val="1"/>
        </w:rPr>
        <w:t xml:space="preserve"> </w:t>
      </w:r>
      <w:r w:rsidR="008B25E5" w:rsidRPr="00635355">
        <w:rPr>
          <w:spacing w:val="-1"/>
        </w:rPr>
        <w:t>L. and D. had appointed</w:t>
      </w:r>
      <w:r w:rsidR="00E41F3A" w:rsidRPr="00635355">
        <w:rPr>
          <w:spacing w:val="-2"/>
        </w:rPr>
        <w:t xml:space="preserve"> </w:t>
      </w:r>
      <w:r w:rsidR="00E41F3A" w:rsidRPr="00635355">
        <w:rPr>
          <w:spacing w:val="-1"/>
        </w:rPr>
        <w:t>external</w:t>
      </w:r>
      <w:r w:rsidR="00E41F3A" w:rsidRPr="00635355">
        <w:rPr>
          <w:spacing w:val="87"/>
        </w:rPr>
        <w:t xml:space="preserve"> </w:t>
      </w:r>
      <w:r w:rsidR="00E41F3A" w:rsidRPr="00635355">
        <w:rPr>
          <w:spacing w:val="-1"/>
        </w:rPr>
        <w:t>administrators</w:t>
      </w:r>
      <w:r w:rsidR="00E41F3A" w:rsidRPr="00635355">
        <w:t xml:space="preserve"> to</w:t>
      </w:r>
      <w:r w:rsidR="00E41F3A" w:rsidRPr="00635355">
        <w:rPr>
          <w:spacing w:val="-3"/>
        </w:rPr>
        <w:t xml:space="preserve"> </w:t>
      </w:r>
      <w:r w:rsidR="00E41F3A" w:rsidRPr="00635355">
        <w:t xml:space="preserve">the </w:t>
      </w:r>
      <w:r w:rsidR="008B25E5" w:rsidRPr="00635355">
        <w:t>c</w:t>
      </w:r>
      <w:r w:rsidR="00E41F3A" w:rsidRPr="00635355">
        <w:rPr>
          <w:spacing w:val="-1"/>
        </w:rPr>
        <w:t>ompany</w:t>
      </w:r>
      <w:r w:rsidR="00D9698B">
        <w:rPr>
          <w:spacing w:val="-1"/>
        </w:rPr>
        <w:t>.</w:t>
      </w:r>
      <w:r w:rsidR="00F563B5" w:rsidRPr="00635355">
        <w:rPr>
          <w:spacing w:val="-1"/>
        </w:rPr>
        <w:t xml:space="preserve"> </w:t>
      </w:r>
      <w:r w:rsidR="00D9698B">
        <w:t>S</w:t>
      </w:r>
      <w:r w:rsidR="008B25E5" w:rsidRPr="00635355">
        <w:t>he challenged the validity of th</w:t>
      </w:r>
      <w:r w:rsidR="00834230">
        <w:t>at</w:t>
      </w:r>
      <w:r w:rsidR="008B25E5" w:rsidRPr="00635355">
        <w:t xml:space="preserve"> appointment. </w:t>
      </w:r>
      <w:r w:rsidR="00834230">
        <w:t>O</w:t>
      </w:r>
      <w:r w:rsidR="00834230" w:rsidRPr="00635355">
        <w:t>n 8 February 2006</w:t>
      </w:r>
      <w:r w:rsidR="00834230">
        <w:t>, t</w:t>
      </w:r>
      <w:r w:rsidR="008B25E5" w:rsidRPr="00635355">
        <w:t xml:space="preserve">he administrators in turn filed an application </w:t>
      </w:r>
      <w:r w:rsidR="00834230" w:rsidRPr="00635355">
        <w:t>(the second set of proceedings)</w:t>
      </w:r>
      <w:r w:rsidR="00834230">
        <w:t xml:space="preserve"> </w:t>
      </w:r>
      <w:r w:rsidR="008B25E5" w:rsidRPr="00635355">
        <w:t xml:space="preserve">for </w:t>
      </w:r>
      <w:r w:rsidR="00883A67" w:rsidRPr="00635355">
        <w:t>“</w:t>
      </w:r>
      <w:r w:rsidR="008B25E5" w:rsidRPr="00635355">
        <w:t xml:space="preserve">declaration of </w:t>
      </w:r>
      <w:r w:rsidR="00976622" w:rsidRPr="00635355">
        <w:t>the</w:t>
      </w:r>
      <w:r w:rsidR="00D80066" w:rsidRPr="00635355">
        <w:t xml:space="preserve"> </w:t>
      </w:r>
      <w:r w:rsidR="008B25E5" w:rsidRPr="00635355">
        <w:t xml:space="preserve">validity </w:t>
      </w:r>
      <w:r w:rsidR="00976622" w:rsidRPr="00635355">
        <w:t>of the statutory contract of their appointment as external administrators</w:t>
      </w:r>
      <w:r w:rsidR="00883A67" w:rsidRPr="00635355">
        <w:t>”</w:t>
      </w:r>
      <w:r w:rsidR="00976622" w:rsidRPr="00635355">
        <w:t xml:space="preserve"> </w:t>
      </w:r>
      <w:r w:rsidR="008B25E5" w:rsidRPr="00635355">
        <w:t>against the author</w:t>
      </w:r>
      <w:r w:rsidR="00E92193" w:rsidRPr="00635355">
        <w:t xml:space="preserve"> </w:t>
      </w:r>
      <w:r w:rsidR="008B25E5" w:rsidRPr="00635355">
        <w:t>personally</w:t>
      </w:r>
      <w:r w:rsidR="00976622" w:rsidRPr="00635355">
        <w:t>, even though she, as an individual, did not have any contractual relationship with them</w:t>
      </w:r>
      <w:r w:rsidR="008B25E5" w:rsidRPr="00635355">
        <w:t xml:space="preserve">. </w:t>
      </w:r>
      <w:r w:rsidR="00215A85" w:rsidRPr="00635355">
        <w:t xml:space="preserve">On 16 June 2006, a judge of the Supreme Court of Western Australia declared the appointment of the external administrators valid. The author thereafter filed an appeal for </w:t>
      </w:r>
      <w:r w:rsidR="00834230">
        <w:t>“</w:t>
      </w:r>
      <w:r w:rsidR="00215A85" w:rsidRPr="00635355">
        <w:t>stay of orders</w:t>
      </w:r>
      <w:r w:rsidR="00883A67" w:rsidRPr="00635355">
        <w:t>”</w:t>
      </w:r>
      <w:r w:rsidR="00215A85" w:rsidRPr="00635355">
        <w:t xml:space="preserve">, without success. In August 2006, L. and other </w:t>
      </w:r>
      <w:r w:rsidR="00AB0511" w:rsidRPr="00635355">
        <w:t xml:space="preserve">company </w:t>
      </w:r>
      <w:r w:rsidR="00215A85" w:rsidRPr="00635355">
        <w:t>shareholders converted the external administration into liquidation after the author’s application for stay</w:t>
      </w:r>
      <w:r w:rsidR="00D9698B">
        <w:t xml:space="preserve"> was</w:t>
      </w:r>
      <w:r w:rsidR="00D9698B" w:rsidRPr="00635355">
        <w:t xml:space="preserve"> refus</w:t>
      </w:r>
      <w:r w:rsidR="00D9698B">
        <w:t>ed</w:t>
      </w:r>
      <w:r w:rsidR="00215A85" w:rsidRPr="00635355">
        <w:t xml:space="preserve">; the company was sold to IQ Fasteners, a company registered by L. and other </w:t>
      </w:r>
      <w:r w:rsidR="00AB0511" w:rsidRPr="00635355">
        <w:t xml:space="preserve">company </w:t>
      </w:r>
      <w:r w:rsidR="00215A85" w:rsidRPr="00635355">
        <w:t xml:space="preserve">shareholders. On 16 December 2008, the author filed an application </w:t>
      </w:r>
      <w:r w:rsidR="005B6F6B">
        <w:t>before</w:t>
      </w:r>
      <w:r w:rsidR="00215A85" w:rsidRPr="00635355">
        <w:t xml:space="preserve"> the High Court of Australia for </w:t>
      </w:r>
      <w:r w:rsidR="00A66440" w:rsidRPr="00635355">
        <w:t>s</w:t>
      </w:r>
      <w:r w:rsidR="00215A85" w:rsidRPr="00635355">
        <w:t xml:space="preserve">pecial </w:t>
      </w:r>
      <w:r w:rsidR="00A66440" w:rsidRPr="00635355">
        <w:t>l</w:t>
      </w:r>
      <w:r w:rsidR="00215A85" w:rsidRPr="00635355">
        <w:t xml:space="preserve">eave to </w:t>
      </w:r>
      <w:r w:rsidR="00A66440" w:rsidRPr="00635355">
        <w:t>a</w:t>
      </w:r>
      <w:r w:rsidR="00215A85" w:rsidRPr="00635355">
        <w:t>ppeal and summons to stay all</w:t>
      </w:r>
      <w:r w:rsidR="00E56B56" w:rsidRPr="00635355">
        <w:t xml:space="preserve"> related processes in the court</w:t>
      </w:r>
      <w:r w:rsidR="00052708">
        <w:t>.</w:t>
      </w:r>
      <w:r w:rsidR="00E56B56" w:rsidRPr="00635355">
        <w:t xml:space="preserve"> </w:t>
      </w:r>
      <w:r w:rsidR="00052708">
        <w:t>H</w:t>
      </w:r>
      <w:r w:rsidR="00E56B56" w:rsidRPr="00635355">
        <w:t xml:space="preserve">er application </w:t>
      </w:r>
      <w:r w:rsidR="00215A85" w:rsidRPr="00635355">
        <w:t>was rejected</w:t>
      </w:r>
      <w:r w:rsidR="005C34CB" w:rsidRPr="00635355">
        <w:t>.</w:t>
      </w:r>
      <w:r w:rsidR="00215A85" w:rsidRPr="00635355">
        <w:t xml:space="preserve"> </w:t>
      </w:r>
    </w:p>
    <w:p w:rsidR="00A66440" w:rsidRPr="00635355" w:rsidRDefault="00414774" w:rsidP="00DB0EBC">
      <w:pPr>
        <w:pStyle w:val="SingleTxtG"/>
      </w:pPr>
      <w:r w:rsidRPr="00635355">
        <w:t>2.4</w:t>
      </w:r>
      <w:r w:rsidRPr="00635355">
        <w:tab/>
      </w:r>
      <w:r w:rsidR="00E56B56" w:rsidRPr="00635355">
        <w:t>I</w:t>
      </w:r>
      <w:r w:rsidR="00E41F3A" w:rsidRPr="00635355">
        <w:t>n</w:t>
      </w:r>
      <w:r w:rsidR="00E41F3A" w:rsidRPr="00635355">
        <w:rPr>
          <w:spacing w:val="-5"/>
        </w:rPr>
        <w:t xml:space="preserve"> </w:t>
      </w:r>
      <w:r w:rsidR="00E41F3A" w:rsidRPr="00635355">
        <w:t>June</w:t>
      </w:r>
      <w:r w:rsidR="00E41F3A" w:rsidRPr="00635355">
        <w:rPr>
          <w:spacing w:val="-2"/>
        </w:rPr>
        <w:t xml:space="preserve"> </w:t>
      </w:r>
      <w:r w:rsidR="00E41F3A" w:rsidRPr="00635355">
        <w:t>2006</w:t>
      </w:r>
      <w:r w:rsidR="005B6F6B">
        <w:t>,</w:t>
      </w:r>
      <w:r w:rsidR="00E41F3A" w:rsidRPr="00635355">
        <w:rPr>
          <w:spacing w:val="-3"/>
        </w:rPr>
        <w:t xml:space="preserve"> </w:t>
      </w:r>
      <w:r w:rsidR="00E41F3A" w:rsidRPr="00635355">
        <w:t>the</w:t>
      </w:r>
      <w:r w:rsidR="00E41F3A" w:rsidRPr="00635355">
        <w:rPr>
          <w:spacing w:val="-2"/>
        </w:rPr>
        <w:t xml:space="preserve"> </w:t>
      </w:r>
      <w:r w:rsidR="00E56B56" w:rsidRPr="00635355">
        <w:rPr>
          <w:spacing w:val="-2"/>
        </w:rPr>
        <w:t xml:space="preserve">external </w:t>
      </w:r>
      <w:r w:rsidR="00215A85" w:rsidRPr="00635355">
        <w:t xml:space="preserve">administrators </w:t>
      </w:r>
      <w:r w:rsidR="00CD302C" w:rsidRPr="00635355">
        <w:t xml:space="preserve">complained </w:t>
      </w:r>
      <w:r w:rsidR="00E41F3A" w:rsidRPr="00635355">
        <w:t>to</w:t>
      </w:r>
      <w:r w:rsidR="00E56B56" w:rsidRPr="00635355">
        <w:t xml:space="preserve"> </w:t>
      </w:r>
      <w:r w:rsidR="00E41F3A" w:rsidRPr="00635355">
        <w:rPr>
          <w:spacing w:val="-2"/>
        </w:rPr>
        <w:t>ASIC</w:t>
      </w:r>
      <w:r w:rsidR="00E41F3A" w:rsidRPr="00635355">
        <w:t xml:space="preserve"> </w:t>
      </w:r>
      <w:r w:rsidR="00052708">
        <w:t>that</w:t>
      </w:r>
      <w:r w:rsidR="00E41F3A" w:rsidRPr="00635355">
        <w:rPr>
          <w:spacing w:val="1"/>
        </w:rPr>
        <w:t xml:space="preserve"> </w:t>
      </w:r>
      <w:r w:rsidR="00215A85" w:rsidRPr="00635355">
        <w:t>the author had not supplied</w:t>
      </w:r>
      <w:r w:rsidR="00E41F3A" w:rsidRPr="00635355">
        <w:rPr>
          <w:spacing w:val="-3"/>
        </w:rPr>
        <w:t xml:space="preserve"> </w:t>
      </w:r>
      <w:r w:rsidR="00CD302C" w:rsidRPr="00635355">
        <w:rPr>
          <w:spacing w:val="-3"/>
        </w:rPr>
        <w:t xml:space="preserve">the company </w:t>
      </w:r>
      <w:r w:rsidR="00E41F3A" w:rsidRPr="00635355">
        <w:t>books</w:t>
      </w:r>
      <w:r w:rsidR="005B6F6B">
        <w:t>.</w:t>
      </w:r>
      <w:r w:rsidR="005C34CB" w:rsidRPr="00635355">
        <w:t xml:space="preserve"> </w:t>
      </w:r>
      <w:r w:rsidR="005B6F6B">
        <w:t>O</w:t>
      </w:r>
      <w:r w:rsidR="00072350" w:rsidRPr="00635355">
        <w:t xml:space="preserve">n 11 August 2006, a </w:t>
      </w:r>
      <w:r w:rsidR="00EC32FD">
        <w:t>p</w:t>
      </w:r>
      <w:r w:rsidR="00072350" w:rsidRPr="00635355">
        <w:t xml:space="preserve">rosecution </w:t>
      </w:r>
      <w:r w:rsidR="00EC32FD">
        <w:t>n</w:t>
      </w:r>
      <w:r w:rsidR="00072350" w:rsidRPr="00635355">
        <w:t xml:space="preserve">otice was sent to </w:t>
      </w:r>
      <w:r w:rsidR="00A36C31" w:rsidRPr="00635355">
        <w:t>he</w:t>
      </w:r>
      <w:r w:rsidR="00072350" w:rsidRPr="00635355">
        <w:t xml:space="preserve">r </w:t>
      </w:r>
      <w:r w:rsidR="00DC70BB" w:rsidRPr="00635355">
        <w:t>(the third set of proceedings)</w:t>
      </w:r>
      <w:r w:rsidR="00E41F3A" w:rsidRPr="00635355">
        <w:t xml:space="preserve">. </w:t>
      </w:r>
      <w:r w:rsidR="00DC70BB" w:rsidRPr="00635355">
        <w:t>The author pleaded no jurisdiction and applied to the High Court of Australia requesting it to prohibit her prosecution</w:t>
      </w:r>
      <w:r w:rsidR="005B6F6B">
        <w:t>,</w:t>
      </w:r>
      <w:r w:rsidR="00492717" w:rsidRPr="00635355">
        <w:t xml:space="preserve"> in vain</w:t>
      </w:r>
      <w:r w:rsidR="00DC70BB" w:rsidRPr="00635355">
        <w:t>. On 20</w:t>
      </w:r>
      <w:r w:rsidR="00883A67" w:rsidRPr="00635355">
        <w:t> </w:t>
      </w:r>
      <w:r w:rsidR="00DC70BB" w:rsidRPr="00635355">
        <w:t xml:space="preserve">February 2008, the Magistrates Court of Western Australia convicted the author </w:t>
      </w:r>
      <w:r w:rsidR="00A36C31" w:rsidRPr="00635355">
        <w:t xml:space="preserve">under </w:t>
      </w:r>
      <w:r w:rsidR="00871A89" w:rsidRPr="00635355">
        <w:t>section </w:t>
      </w:r>
      <w:r w:rsidR="000F63C1" w:rsidRPr="00635355">
        <w:t xml:space="preserve">438B (4) of the Corporations Act </w:t>
      </w:r>
      <w:r w:rsidR="00E56B56" w:rsidRPr="00635355">
        <w:t xml:space="preserve">and fined her </w:t>
      </w:r>
      <w:r w:rsidR="0090604B">
        <w:t>$</w:t>
      </w:r>
      <w:r w:rsidR="0090604B" w:rsidRPr="00635355">
        <w:t>A</w:t>
      </w:r>
      <w:r w:rsidR="0090604B">
        <w:t xml:space="preserve"> </w:t>
      </w:r>
      <w:r w:rsidR="00E56B56" w:rsidRPr="00635355">
        <w:t>1,500</w:t>
      </w:r>
      <w:r w:rsidR="00DC70BB" w:rsidRPr="00635355">
        <w:t xml:space="preserve">. </w:t>
      </w:r>
      <w:r w:rsidR="00E56B56" w:rsidRPr="00635355">
        <w:t>The author appealed</w:t>
      </w:r>
      <w:r w:rsidR="00F97EA0" w:rsidRPr="00635355">
        <w:t>,</w:t>
      </w:r>
      <w:r w:rsidR="00E33EB0" w:rsidRPr="00635355">
        <w:t xml:space="preserve"> claiming that the court did not have jurisdiction to convict her</w:t>
      </w:r>
      <w:r w:rsidR="00E56B56" w:rsidRPr="00635355">
        <w:t>, but o</w:t>
      </w:r>
      <w:r w:rsidR="00DC70BB" w:rsidRPr="00635355">
        <w:t xml:space="preserve">n 16 July 2009, </w:t>
      </w:r>
      <w:r w:rsidR="00C932D2" w:rsidRPr="00635355">
        <w:t xml:space="preserve">the </w:t>
      </w:r>
      <w:r w:rsidR="0090604B" w:rsidRPr="00635355">
        <w:t>Court of Appeal</w:t>
      </w:r>
      <w:r w:rsidR="0090604B">
        <w:t xml:space="preserve"> of the</w:t>
      </w:r>
      <w:r w:rsidR="0090604B" w:rsidRPr="00635355">
        <w:t xml:space="preserve"> </w:t>
      </w:r>
      <w:r w:rsidR="00C932D2" w:rsidRPr="00635355">
        <w:t xml:space="preserve">Supreme Court of Western Australia </w:t>
      </w:r>
      <w:r w:rsidR="00E56B56" w:rsidRPr="00635355">
        <w:t>dismissed her</w:t>
      </w:r>
      <w:r w:rsidR="00DC70BB" w:rsidRPr="00635355">
        <w:t xml:space="preserve"> appeal</w:t>
      </w:r>
      <w:r w:rsidR="0090604B">
        <w:t>,</w:t>
      </w:r>
      <w:r w:rsidR="00E33EB0" w:rsidRPr="00635355">
        <w:t xml:space="preserve"> stating that the lower </w:t>
      </w:r>
      <w:r w:rsidR="00637AA4" w:rsidRPr="00635355">
        <w:t>court</w:t>
      </w:r>
      <w:r w:rsidR="00E33EB0" w:rsidRPr="00635355">
        <w:t xml:space="preserve"> had the necessary jurisdiction</w:t>
      </w:r>
      <w:r w:rsidR="00DC70BB" w:rsidRPr="00635355">
        <w:t>. On 9 December 2009, the High Court of Australia rejecte</w:t>
      </w:r>
      <w:r w:rsidR="005709D6" w:rsidRPr="00635355">
        <w:t>d the author’s application for special l</w:t>
      </w:r>
      <w:r w:rsidR="00DC70BB" w:rsidRPr="00635355">
        <w:t xml:space="preserve">eave to </w:t>
      </w:r>
      <w:r w:rsidR="005709D6" w:rsidRPr="00635355">
        <w:t>a</w:t>
      </w:r>
      <w:r w:rsidR="00DC70BB" w:rsidRPr="00635355">
        <w:t>ppeal</w:t>
      </w:r>
      <w:r w:rsidR="0090604B">
        <w:t>,</w:t>
      </w:r>
      <w:r w:rsidR="00C932D2" w:rsidRPr="00635355">
        <w:t xml:space="preserve"> finding the author’s request unfounded</w:t>
      </w:r>
      <w:r w:rsidR="00DC70BB" w:rsidRPr="00635355">
        <w:t xml:space="preserve">. </w:t>
      </w:r>
      <w:r w:rsidR="00CC51E8" w:rsidRPr="00635355">
        <w:t xml:space="preserve">Subsequently, the author filed another appeal, </w:t>
      </w:r>
      <w:r w:rsidR="0090604B">
        <w:t>which</w:t>
      </w:r>
      <w:r w:rsidR="00CC51E8" w:rsidRPr="00635355">
        <w:t xml:space="preserve"> was also dismissed.</w:t>
      </w:r>
    </w:p>
    <w:p w:rsidR="002D2787" w:rsidRPr="00635355" w:rsidRDefault="00FC00C8" w:rsidP="00D756B4">
      <w:pPr>
        <w:pStyle w:val="SingleTxtG"/>
      </w:pPr>
      <w:r w:rsidRPr="00635355">
        <w:t>2.5</w:t>
      </w:r>
      <w:r w:rsidRPr="00635355">
        <w:tab/>
      </w:r>
      <w:r w:rsidR="002D2787" w:rsidRPr="00635355">
        <w:t xml:space="preserve">The author </w:t>
      </w:r>
      <w:r w:rsidR="00A66440" w:rsidRPr="00635355">
        <w:t>notes</w:t>
      </w:r>
      <w:r w:rsidR="002D2787" w:rsidRPr="00635355">
        <w:t xml:space="preserve"> that </w:t>
      </w:r>
      <w:r w:rsidR="00A66440" w:rsidRPr="00635355">
        <w:t xml:space="preserve">she has exhausted all available domestic remedies </w:t>
      </w:r>
      <w:r w:rsidR="002D2787" w:rsidRPr="00635355">
        <w:t>by</w:t>
      </w:r>
      <w:r w:rsidR="002D2787" w:rsidRPr="00635355">
        <w:rPr>
          <w:spacing w:val="-3"/>
        </w:rPr>
        <w:t xml:space="preserve"> </w:t>
      </w:r>
      <w:r w:rsidR="002D2787" w:rsidRPr="00635355">
        <w:t>pursuing</w:t>
      </w:r>
      <w:r w:rsidR="00A66440" w:rsidRPr="00635355">
        <w:t xml:space="preserve"> </w:t>
      </w:r>
      <w:r w:rsidR="002D2787" w:rsidRPr="00635355">
        <w:t>appeals,</w:t>
      </w:r>
      <w:r w:rsidR="002D2787" w:rsidRPr="00635355">
        <w:rPr>
          <w:spacing w:val="-3"/>
        </w:rPr>
        <w:t xml:space="preserve"> </w:t>
      </w:r>
      <w:r w:rsidR="002D2787" w:rsidRPr="00635355">
        <w:t>including</w:t>
      </w:r>
      <w:r w:rsidR="002D2787" w:rsidRPr="00635355">
        <w:rPr>
          <w:spacing w:val="-3"/>
        </w:rPr>
        <w:t xml:space="preserve"> </w:t>
      </w:r>
      <w:r w:rsidR="002D2787" w:rsidRPr="00635355">
        <w:t>applications for</w:t>
      </w:r>
      <w:r w:rsidR="002D2787" w:rsidRPr="00635355">
        <w:rPr>
          <w:spacing w:val="1"/>
        </w:rPr>
        <w:t xml:space="preserve"> </w:t>
      </w:r>
      <w:r w:rsidR="00A66440" w:rsidRPr="00635355">
        <w:t>the special leave</w:t>
      </w:r>
      <w:r w:rsidR="002D2787" w:rsidRPr="00635355">
        <w:rPr>
          <w:spacing w:val="-3"/>
        </w:rPr>
        <w:t xml:space="preserve"> </w:t>
      </w:r>
      <w:r w:rsidR="002D2787" w:rsidRPr="00635355">
        <w:t>to appeal</w:t>
      </w:r>
      <w:r w:rsidR="002D2787" w:rsidRPr="00635355">
        <w:rPr>
          <w:spacing w:val="1"/>
        </w:rPr>
        <w:t xml:space="preserve"> </w:t>
      </w:r>
      <w:r w:rsidR="002D2787" w:rsidRPr="00635355">
        <w:t>to</w:t>
      </w:r>
      <w:r w:rsidR="002D2787" w:rsidRPr="00635355">
        <w:rPr>
          <w:spacing w:val="-3"/>
        </w:rPr>
        <w:t xml:space="preserve"> </w:t>
      </w:r>
      <w:r w:rsidR="002D2787" w:rsidRPr="00635355">
        <w:t>the</w:t>
      </w:r>
      <w:r w:rsidR="002D2787" w:rsidRPr="00635355">
        <w:rPr>
          <w:spacing w:val="-5"/>
        </w:rPr>
        <w:t xml:space="preserve"> </w:t>
      </w:r>
      <w:r w:rsidR="00A66440" w:rsidRPr="00635355">
        <w:t>High Court of Australia</w:t>
      </w:r>
      <w:r w:rsidR="002D2787" w:rsidRPr="00635355">
        <w:t>.</w:t>
      </w:r>
      <w:r w:rsidR="00A66440" w:rsidRPr="00635355">
        <w:t xml:space="preserve"> Her</w:t>
      </w:r>
      <w:r w:rsidR="002D2787" w:rsidRPr="00635355">
        <w:rPr>
          <w:spacing w:val="-3"/>
        </w:rPr>
        <w:t xml:space="preserve"> </w:t>
      </w:r>
      <w:r w:rsidR="002D2787" w:rsidRPr="00635355">
        <w:t>applications at</w:t>
      </w:r>
      <w:r w:rsidR="002D2787" w:rsidRPr="00635355">
        <w:rPr>
          <w:spacing w:val="1"/>
        </w:rPr>
        <w:t xml:space="preserve"> </w:t>
      </w:r>
      <w:r w:rsidR="002D2787" w:rsidRPr="00635355">
        <w:t>each</w:t>
      </w:r>
      <w:r w:rsidR="002D2787" w:rsidRPr="00635355">
        <w:rPr>
          <w:spacing w:val="-3"/>
        </w:rPr>
        <w:t xml:space="preserve"> </w:t>
      </w:r>
      <w:r w:rsidR="002D2787" w:rsidRPr="00635355">
        <w:t>level</w:t>
      </w:r>
      <w:r w:rsidR="002D2787" w:rsidRPr="00635355">
        <w:rPr>
          <w:spacing w:val="1"/>
        </w:rPr>
        <w:t xml:space="preserve"> </w:t>
      </w:r>
      <w:r w:rsidR="002D2787" w:rsidRPr="00635355">
        <w:rPr>
          <w:spacing w:val="-2"/>
        </w:rPr>
        <w:t>of</w:t>
      </w:r>
      <w:r w:rsidR="002D2787" w:rsidRPr="00635355">
        <w:rPr>
          <w:spacing w:val="1"/>
        </w:rPr>
        <w:t xml:space="preserve"> </w:t>
      </w:r>
      <w:r w:rsidR="0090604B">
        <w:rPr>
          <w:spacing w:val="1"/>
        </w:rPr>
        <w:t xml:space="preserve">the </w:t>
      </w:r>
      <w:r w:rsidR="002D2787" w:rsidRPr="00635355">
        <w:t>courts, including</w:t>
      </w:r>
      <w:r w:rsidR="002D2787" w:rsidRPr="00635355">
        <w:rPr>
          <w:spacing w:val="-3"/>
        </w:rPr>
        <w:t xml:space="preserve"> </w:t>
      </w:r>
      <w:r w:rsidR="002D2787" w:rsidRPr="00635355">
        <w:t xml:space="preserve">the </w:t>
      </w:r>
      <w:r w:rsidR="00A66440" w:rsidRPr="00635355">
        <w:t>High Court of Australia</w:t>
      </w:r>
      <w:r w:rsidR="002D2787" w:rsidRPr="00635355">
        <w:t>, were procedural</w:t>
      </w:r>
      <w:r w:rsidR="002D2787" w:rsidRPr="00635355">
        <w:rPr>
          <w:spacing w:val="-2"/>
        </w:rPr>
        <w:t xml:space="preserve"> </w:t>
      </w:r>
      <w:r w:rsidR="002D2787" w:rsidRPr="00635355">
        <w:t>and</w:t>
      </w:r>
      <w:r w:rsidR="002D2787" w:rsidRPr="00635355">
        <w:rPr>
          <w:spacing w:val="77"/>
        </w:rPr>
        <w:t xml:space="preserve"> </w:t>
      </w:r>
      <w:r w:rsidR="002D2787" w:rsidRPr="00635355">
        <w:t>reflected</w:t>
      </w:r>
      <w:r w:rsidR="002D2787" w:rsidRPr="00635355">
        <w:rPr>
          <w:spacing w:val="-3"/>
        </w:rPr>
        <w:t xml:space="preserve"> </w:t>
      </w:r>
      <w:r w:rsidR="002D2787" w:rsidRPr="00635355">
        <w:t>all</w:t>
      </w:r>
      <w:r w:rsidR="002D2787" w:rsidRPr="00635355">
        <w:rPr>
          <w:spacing w:val="1"/>
        </w:rPr>
        <w:t xml:space="preserve"> </w:t>
      </w:r>
      <w:r w:rsidR="002D2787" w:rsidRPr="00635355">
        <w:rPr>
          <w:spacing w:val="-2"/>
        </w:rPr>
        <w:t>of</w:t>
      </w:r>
      <w:r w:rsidR="002D2787" w:rsidRPr="00635355">
        <w:rPr>
          <w:spacing w:val="1"/>
        </w:rPr>
        <w:t xml:space="preserve"> </w:t>
      </w:r>
      <w:r w:rsidR="002D2787" w:rsidRPr="00635355">
        <w:t>the procedural</w:t>
      </w:r>
      <w:r w:rsidR="002D2787" w:rsidRPr="00635355">
        <w:rPr>
          <w:spacing w:val="1"/>
        </w:rPr>
        <w:t xml:space="preserve"> </w:t>
      </w:r>
      <w:r w:rsidR="002D2787" w:rsidRPr="00635355">
        <w:t>violations</w:t>
      </w:r>
      <w:r w:rsidR="002D2787" w:rsidRPr="00635355">
        <w:rPr>
          <w:spacing w:val="-2"/>
        </w:rPr>
        <w:t xml:space="preserve"> </w:t>
      </w:r>
      <w:r w:rsidR="00052708">
        <w:rPr>
          <w:spacing w:val="-2"/>
        </w:rPr>
        <w:t>referred to</w:t>
      </w:r>
      <w:r w:rsidR="002D2787" w:rsidRPr="00635355">
        <w:rPr>
          <w:spacing w:val="-4"/>
        </w:rPr>
        <w:t xml:space="preserve"> </w:t>
      </w:r>
      <w:r w:rsidR="002D2787" w:rsidRPr="00635355">
        <w:t xml:space="preserve">in </w:t>
      </w:r>
      <w:r w:rsidR="00A66440" w:rsidRPr="00635355">
        <w:t>the present communication</w:t>
      </w:r>
      <w:r w:rsidR="002D2787" w:rsidRPr="00635355">
        <w:t xml:space="preserve">. </w:t>
      </w:r>
    </w:p>
    <w:p w:rsidR="00F97EA0" w:rsidRPr="00635355" w:rsidRDefault="00DC70BB" w:rsidP="00FC00C8">
      <w:pPr>
        <w:pStyle w:val="H23G"/>
      </w:pPr>
      <w:r w:rsidRPr="00635355">
        <w:rPr>
          <w:color w:val="7E7E7E"/>
          <w:w w:val="95"/>
        </w:rPr>
        <w:tab/>
      </w:r>
      <w:r w:rsidR="00E41F3A" w:rsidRPr="00635355">
        <w:rPr>
          <w:color w:val="7E7E7E"/>
          <w:w w:val="95"/>
        </w:rPr>
        <w:tab/>
      </w:r>
      <w:r w:rsidR="00202561" w:rsidRPr="00635355">
        <w:t>The complaint</w:t>
      </w:r>
    </w:p>
    <w:p w:rsidR="00527386" w:rsidRPr="00635355" w:rsidRDefault="00723A42" w:rsidP="00F838CE">
      <w:pPr>
        <w:pStyle w:val="SingleTxtG"/>
      </w:pPr>
      <w:r w:rsidRPr="00635355">
        <w:t>3.1</w:t>
      </w:r>
      <w:r w:rsidRPr="00635355">
        <w:tab/>
        <w:t xml:space="preserve">The author submits that </w:t>
      </w:r>
      <w:r w:rsidR="00527386" w:rsidRPr="00635355">
        <w:t xml:space="preserve">she was charged and convicted </w:t>
      </w:r>
      <w:r w:rsidR="006D451A" w:rsidRPr="00635355">
        <w:t xml:space="preserve">for not supplying the company books </w:t>
      </w:r>
      <w:r w:rsidR="00A36C31" w:rsidRPr="00635355">
        <w:t xml:space="preserve">under </w:t>
      </w:r>
      <w:r w:rsidR="00871A89" w:rsidRPr="00635355">
        <w:t>section </w:t>
      </w:r>
      <w:r w:rsidRPr="00635355">
        <w:t>4</w:t>
      </w:r>
      <w:r w:rsidR="00527386" w:rsidRPr="00635355">
        <w:t xml:space="preserve">38B of the Corporations Act </w:t>
      </w:r>
      <w:r w:rsidR="0090604B">
        <w:t>(</w:t>
      </w:r>
      <w:r w:rsidR="00527386" w:rsidRPr="00635355">
        <w:t>200</w:t>
      </w:r>
      <w:r w:rsidR="00652C1E" w:rsidRPr="00635355">
        <w:t>1</w:t>
      </w:r>
      <w:r w:rsidR="0090604B">
        <w:t xml:space="preserve">) </w:t>
      </w:r>
      <w:r w:rsidR="006D451A" w:rsidRPr="00635355">
        <w:t>which</w:t>
      </w:r>
      <w:r w:rsidR="007F2C04" w:rsidRPr="00635355">
        <w:t xml:space="preserve">, according to </w:t>
      </w:r>
      <w:r w:rsidR="007F2C04" w:rsidRPr="00635355">
        <w:lastRenderedPageBreak/>
        <w:t>her,</w:t>
      </w:r>
      <w:r w:rsidR="006D451A" w:rsidRPr="00635355">
        <w:t xml:space="preserve"> relates to a contractual obligation</w:t>
      </w:r>
      <w:r w:rsidR="00527386" w:rsidRPr="00635355">
        <w:rPr>
          <w:spacing w:val="-2"/>
        </w:rPr>
        <w:t xml:space="preserve"> </w:t>
      </w:r>
      <w:r w:rsidR="00527386" w:rsidRPr="00635355">
        <w:t xml:space="preserve">and </w:t>
      </w:r>
      <w:r w:rsidR="00527386" w:rsidRPr="00635355">
        <w:rPr>
          <w:spacing w:val="-1"/>
        </w:rPr>
        <w:t>yet</w:t>
      </w:r>
      <w:r w:rsidR="00527386" w:rsidRPr="00635355">
        <w:rPr>
          <w:spacing w:val="-2"/>
        </w:rPr>
        <w:t xml:space="preserve"> </w:t>
      </w:r>
      <w:r w:rsidR="00527386" w:rsidRPr="00635355">
        <w:t>it</w:t>
      </w:r>
      <w:r w:rsidR="00527386" w:rsidRPr="00635355">
        <w:rPr>
          <w:spacing w:val="-2"/>
        </w:rPr>
        <w:t xml:space="preserve"> </w:t>
      </w:r>
      <w:r w:rsidR="00527386" w:rsidRPr="00635355">
        <w:rPr>
          <w:spacing w:val="-1"/>
        </w:rPr>
        <w:t>carries</w:t>
      </w:r>
      <w:r w:rsidR="00527386" w:rsidRPr="00635355">
        <w:rPr>
          <w:spacing w:val="-2"/>
        </w:rPr>
        <w:t xml:space="preserve"> </w:t>
      </w:r>
      <w:r w:rsidR="00613C04">
        <w:rPr>
          <w:spacing w:val="-2"/>
        </w:rPr>
        <w:t xml:space="preserve">a </w:t>
      </w:r>
      <w:r w:rsidR="00527386" w:rsidRPr="00635355">
        <w:t>penalty</w:t>
      </w:r>
      <w:r w:rsidR="00527386" w:rsidRPr="00635355">
        <w:rPr>
          <w:spacing w:val="-3"/>
        </w:rPr>
        <w:t xml:space="preserve"> </w:t>
      </w:r>
      <w:r w:rsidR="00527386" w:rsidRPr="00635355">
        <w:rPr>
          <w:spacing w:val="-2"/>
        </w:rPr>
        <w:t>of</w:t>
      </w:r>
      <w:r w:rsidR="00527386" w:rsidRPr="00635355">
        <w:rPr>
          <w:spacing w:val="1"/>
        </w:rPr>
        <w:t xml:space="preserve"> </w:t>
      </w:r>
      <w:r w:rsidR="00527386" w:rsidRPr="00635355">
        <w:rPr>
          <w:spacing w:val="-1"/>
        </w:rPr>
        <w:t>imprisonment</w:t>
      </w:r>
      <w:r w:rsidR="00527386" w:rsidRPr="00635355">
        <w:rPr>
          <w:spacing w:val="1"/>
        </w:rPr>
        <w:t xml:space="preserve"> </w:t>
      </w:r>
      <w:r w:rsidR="00527386" w:rsidRPr="00635355">
        <w:t>of</w:t>
      </w:r>
      <w:r w:rsidR="00527386" w:rsidRPr="00635355">
        <w:rPr>
          <w:spacing w:val="1"/>
        </w:rPr>
        <w:t xml:space="preserve"> </w:t>
      </w:r>
      <w:r w:rsidR="00527386" w:rsidRPr="00635355">
        <w:t>up</w:t>
      </w:r>
      <w:r w:rsidR="00527386" w:rsidRPr="00635355">
        <w:rPr>
          <w:spacing w:val="-3"/>
        </w:rPr>
        <w:t xml:space="preserve"> </w:t>
      </w:r>
      <w:r w:rsidR="00527386" w:rsidRPr="00635355">
        <w:t xml:space="preserve">to </w:t>
      </w:r>
      <w:r w:rsidR="00527386" w:rsidRPr="00635355">
        <w:rPr>
          <w:spacing w:val="-2"/>
        </w:rPr>
        <w:t>one</w:t>
      </w:r>
      <w:r w:rsidR="00527386" w:rsidRPr="00635355">
        <w:t xml:space="preserve"> </w:t>
      </w:r>
      <w:r w:rsidR="00527386" w:rsidRPr="00635355">
        <w:rPr>
          <w:spacing w:val="-1"/>
        </w:rPr>
        <w:t>year.</w:t>
      </w:r>
      <w:r w:rsidR="00527386" w:rsidRPr="00635355">
        <w:t xml:space="preserve"> </w:t>
      </w:r>
      <w:r w:rsidR="00E56B56" w:rsidRPr="00635355">
        <w:t>T</w:t>
      </w:r>
      <w:r w:rsidRPr="00635355">
        <w:t>herefore</w:t>
      </w:r>
      <w:r w:rsidR="00E56B56" w:rsidRPr="00635355">
        <w:t xml:space="preserve">, the law in question contravenes </w:t>
      </w:r>
      <w:r w:rsidR="00EF4905" w:rsidRPr="00635355">
        <w:t>article </w:t>
      </w:r>
      <w:r w:rsidRPr="00635355">
        <w:t xml:space="preserve">11 of the Covenant. </w:t>
      </w:r>
    </w:p>
    <w:p w:rsidR="00A55F8F" w:rsidRPr="00635355" w:rsidRDefault="00723A42" w:rsidP="009C718D">
      <w:pPr>
        <w:pStyle w:val="SingleTxtG"/>
      </w:pPr>
      <w:r w:rsidRPr="00635355">
        <w:t>3.</w:t>
      </w:r>
      <w:r w:rsidR="00F12B6D" w:rsidRPr="00635355">
        <w:t>2</w:t>
      </w:r>
      <w:r w:rsidRPr="00635355">
        <w:tab/>
      </w:r>
      <w:r w:rsidR="00A36C31" w:rsidRPr="00635355">
        <w:t xml:space="preserve">She invokes </w:t>
      </w:r>
      <w:r w:rsidR="00EF4905" w:rsidRPr="00635355">
        <w:t>article </w:t>
      </w:r>
      <w:r w:rsidR="0085363B" w:rsidRPr="00635355">
        <w:t xml:space="preserve">14 </w:t>
      </w:r>
      <w:r w:rsidR="009C718D">
        <w:t>(</w:t>
      </w:r>
      <w:r w:rsidR="0085363B" w:rsidRPr="00635355">
        <w:t>1</w:t>
      </w:r>
      <w:r w:rsidR="009C718D">
        <w:t>)</w:t>
      </w:r>
      <w:r w:rsidR="00052708">
        <w:t>,</w:t>
      </w:r>
      <w:r w:rsidR="0085363B" w:rsidRPr="00635355">
        <w:t xml:space="preserve"> in conjunction with </w:t>
      </w:r>
      <w:r w:rsidR="00EF4905" w:rsidRPr="00635355">
        <w:t>article </w:t>
      </w:r>
      <w:r w:rsidR="0085363B" w:rsidRPr="00635355">
        <w:t>2</w:t>
      </w:r>
      <w:r w:rsidR="00EA2D55" w:rsidRPr="00635355">
        <w:t> </w:t>
      </w:r>
      <w:r w:rsidR="009C718D">
        <w:t>(</w:t>
      </w:r>
      <w:r w:rsidR="0085363B" w:rsidRPr="00635355">
        <w:t>2</w:t>
      </w:r>
      <w:r w:rsidR="009C718D">
        <w:t>)</w:t>
      </w:r>
      <w:r w:rsidR="00052708">
        <w:t>,</w:t>
      </w:r>
      <w:r w:rsidR="0085363B" w:rsidRPr="00635355">
        <w:t xml:space="preserve"> of the Covenant, </w:t>
      </w:r>
      <w:r w:rsidR="00A36C31" w:rsidRPr="00635355">
        <w:t xml:space="preserve">and </w:t>
      </w:r>
      <w:r w:rsidR="0085363B" w:rsidRPr="00635355">
        <w:t xml:space="preserve">claims that the State party failed to </w:t>
      </w:r>
      <w:r w:rsidR="00A36C31" w:rsidRPr="00635355">
        <w:t xml:space="preserve">provide </w:t>
      </w:r>
      <w:r w:rsidR="003937A3" w:rsidRPr="00635355">
        <w:t>her with a</w:t>
      </w:r>
      <w:r w:rsidR="0085363B" w:rsidRPr="00635355">
        <w:t xml:space="preserve"> judicial system </w:t>
      </w:r>
      <w:r w:rsidR="00BD2E18">
        <w:t xml:space="preserve">that </w:t>
      </w:r>
      <w:r w:rsidR="0085363B" w:rsidRPr="00635355">
        <w:t>fulfil</w:t>
      </w:r>
      <w:r w:rsidR="00BD2E18">
        <w:t>s</w:t>
      </w:r>
      <w:r w:rsidR="0085363B" w:rsidRPr="00635355">
        <w:t xml:space="preserve"> the criteria of competence, independence and impartiality</w:t>
      </w:r>
      <w:r w:rsidR="00BD2E18">
        <w:t>. She</w:t>
      </w:r>
      <w:r w:rsidR="0085363B" w:rsidRPr="00635355">
        <w:t xml:space="preserve"> </w:t>
      </w:r>
      <w:r w:rsidR="00A36C31" w:rsidRPr="00635355">
        <w:t xml:space="preserve">contends </w:t>
      </w:r>
      <w:r w:rsidR="0085363B" w:rsidRPr="00635355">
        <w:t>that the State party refuse</w:t>
      </w:r>
      <w:r w:rsidR="00BD2E18">
        <w:t>d</w:t>
      </w:r>
      <w:r w:rsidR="0085363B" w:rsidRPr="00635355">
        <w:t xml:space="preserve"> to take the necessary steps to adopt laws in order to give </w:t>
      </w:r>
      <w:r w:rsidR="00A36C31" w:rsidRPr="00635355">
        <w:t xml:space="preserve">full </w:t>
      </w:r>
      <w:r w:rsidR="0085363B" w:rsidRPr="00635355">
        <w:t xml:space="preserve">effect to the rights </w:t>
      </w:r>
      <w:r w:rsidR="00BD2E18">
        <w:t>enshrined in</w:t>
      </w:r>
      <w:r w:rsidR="0085363B" w:rsidRPr="00635355">
        <w:t xml:space="preserve"> </w:t>
      </w:r>
      <w:r w:rsidR="00EF4905" w:rsidRPr="00635355">
        <w:t>article </w:t>
      </w:r>
      <w:r w:rsidR="0085363B" w:rsidRPr="00635355">
        <w:t xml:space="preserve">14 </w:t>
      </w:r>
      <w:r w:rsidR="009C718D">
        <w:t>(</w:t>
      </w:r>
      <w:r w:rsidR="0085363B" w:rsidRPr="00635355">
        <w:t>1</w:t>
      </w:r>
      <w:r w:rsidR="009C718D">
        <w:t>)</w:t>
      </w:r>
      <w:r w:rsidR="0085363B" w:rsidRPr="00635355">
        <w:t xml:space="preserve">. She claims </w:t>
      </w:r>
      <w:r w:rsidRPr="00635355">
        <w:t>that she did not have access to a competent tribunal</w:t>
      </w:r>
      <w:r w:rsidR="00E56B56" w:rsidRPr="00635355">
        <w:t xml:space="preserve"> in the first set of proceedings</w:t>
      </w:r>
      <w:r w:rsidR="00BD2E18">
        <w:t>,</w:t>
      </w:r>
      <w:r w:rsidRPr="00635355">
        <w:t xml:space="preserve"> as </w:t>
      </w:r>
      <w:r w:rsidR="00E95D59" w:rsidRPr="00E30B30">
        <w:t>what she refers to as</w:t>
      </w:r>
      <w:r w:rsidR="00E95D59">
        <w:t xml:space="preserve"> </w:t>
      </w:r>
      <w:r w:rsidR="00E56B56" w:rsidRPr="00635355">
        <w:t xml:space="preserve">the </w:t>
      </w:r>
      <w:r w:rsidR="00883A67" w:rsidRPr="00635355">
        <w:t>“</w:t>
      </w:r>
      <w:r w:rsidRPr="00635355">
        <w:t>matter</w:t>
      </w:r>
      <w:r w:rsidR="00883A67" w:rsidRPr="00635355">
        <w:t>”</w:t>
      </w:r>
      <w:r w:rsidRPr="00635355">
        <w:t xml:space="preserve"> was missing in the lawsuits </w:t>
      </w:r>
      <w:r w:rsidR="00BD2E18">
        <w:t xml:space="preserve">that were brought </w:t>
      </w:r>
      <w:r w:rsidRPr="00635355">
        <w:t>against her and</w:t>
      </w:r>
      <w:r w:rsidR="00E56B56" w:rsidRPr="00635355">
        <w:t>,</w:t>
      </w:r>
      <w:r w:rsidRPr="00635355">
        <w:t xml:space="preserve"> in particular</w:t>
      </w:r>
      <w:r w:rsidR="00E56B56" w:rsidRPr="00635355">
        <w:t>,</w:t>
      </w:r>
      <w:r w:rsidRPr="00635355">
        <w:t xml:space="preserve"> </w:t>
      </w:r>
      <w:r w:rsidR="00A36C31" w:rsidRPr="00635355">
        <w:t xml:space="preserve">that </w:t>
      </w:r>
      <w:r w:rsidRPr="00635355">
        <w:t xml:space="preserve">there </w:t>
      </w:r>
      <w:r w:rsidR="00BD2E18">
        <w:t>wa</w:t>
      </w:r>
      <w:r w:rsidRPr="00635355">
        <w:t xml:space="preserve">s no provision for </w:t>
      </w:r>
      <w:r w:rsidR="00BD2E18">
        <w:t>law</w:t>
      </w:r>
      <w:r w:rsidRPr="00635355">
        <w:t>suits between compan</w:t>
      </w:r>
      <w:r w:rsidR="00BD2E18">
        <w:t>y</w:t>
      </w:r>
      <w:r w:rsidRPr="00635355">
        <w:t xml:space="preserve"> directors.</w:t>
      </w:r>
      <w:r w:rsidR="00AF400F" w:rsidRPr="00635355">
        <w:t xml:space="preserve"> </w:t>
      </w:r>
      <w:r w:rsidRPr="00635355">
        <w:t>She further submits that</w:t>
      </w:r>
      <w:r w:rsidR="00BD2E18">
        <w:t>,</w:t>
      </w:r>
      <w:r w:rsidRPr="00635355">
        <w:t xml:space="preserve"> even though the company was not </w:t>
      </w:r>
      <w:r w:rsidR="00BD2E18">
        <w:t xml:space="preserve">a </w:t>
      </w:r>
      <w:r w:rsidRPr="00635355">
        <w:t>part</w:t>
      </w:r>
      <w:r w:rsidR="00BD2E18">
        <w:t>y</w:t>
      </w:r>
      <w:r w:rsidRPr="00635355">
        <w:t xml:space="preserve"> </w:t>
      </w:r>
      <w:r w:rsidR="003937A3" w:rsidRPr="00635355">
        <w:t>to</w:t>
      </w:r>
      <w:r w:rsidRPr="00635355">
        <w:t xml:space="preserve"> the proceedings, it was </w:t>
      </w:r>
      <w:r w:rsidR="002B200E">
        <w:t xml:space="preserve">cast in the role of </w:t>
      </w:r>
      <w:r w:rsidRPr="00635355">
        <w:t xml:space="preserve">defendant by the court. In the second </w:t>
      </w:r>
      <w:r w:rsidR="00E56B56" w:rsidRPr="00635355">
        <w:t xml:space="preserve">set of </w:t>
      </w:r>
      <w:r w:rsidRPr="00635355">
        <w:t>proceedings, when the two external administrators requested a declaration of validity</w:t>
      </w:r>
      <w:r w:rsidR="00E56B56" w:rsidRPr="00635355">
        <w:t xml:space="preserve"> of their appointment</w:t>
      </w:r>
      <w:r w:rsidRPr="00635355">
        <w:t xml:space="preserve">, the company was not </w:t>
      </w:r>
      <w:r w:rsidR="006D451A" w:rsidRPr="00635355">
        <w:t>a party to</w:t>
      </w:r>
      <w:r w:rsidRPr="00635355">
        <w:t xml:space="preserve"> the proceedings and instead</w:t>
      </w:r>
      <w:r w:rsidR="00E56B56" w:rsidRPr="00635355">
        <w:t>,</w:t>
      </w:r>
      <w:r w:rsidRPr="00635355">
        <w:t xml:space="preserve"> the author was sued in her private capacity. In the absence of a contract between the author and the external administrators, the author submits that she could not have been sued. </w:t>
      </w:r>
    </w:p>
    <w:p w:rsidR="00A55F8F" w:rsidRPr="00635355" w:rsidRDefault="00723A42" w:rsidP="007B4772">
      <w:pPr>
        <w:pStyle w:val="SingleTxtG"/>
      </w:pPr>
      <w:r w:rsidRPr="00635355">
        <w:t>3.</w:t>
      </w:r>
      <w:r w:rsidR="00F12B6D" w:rsidRPr="00635355">
        <w:t>3</w:t>
      </w:r>
      <w:r w:rsidRPr="00635355">
        <w:tab/>
        <w:t xml:space="preserve">The author </w:t>
      </w:r>
      <w:r w:rsidR="003937A3" w:rsidRPr="00635355">
        <w:t>claims</w:t>
      </w:r>
      <w:r w:rsidRPr="00635355">
        <w:t xml:space="preserve"> that </w:t>
      </w:r>
      <w:r w:rsidR="003937A3" w:rsidRPr="00635355">
        <w:t>a</w:t>
      </w:r>
      <w:r w:rsidRPr="00635355">
        <w:t xml:space="preserve"> Court of Appeal </w:t>
      </w:r>
      <w:r w:rsidR="002B200E" w:rsidRPr="00635355">
        <w:t>judge</w:t>
      </w:r>
      <w:r w:rsidR="002B200E">
        <w:t xml:space="preserve"> </w:t>
      </w:r>
      <w:r w:rsidRPr="00635355">
        <w:t>was biased, as he provided judicial help to the other party by asking</w:t>
      </w:r>
      <w:r w:rsidR="006D451A" w:rsidRPr="00635355">
        <w:t xml:space="preserve"> leading</w:t>
      </w:r>
      <w:r w:rsidRPr="00635355">
        <w:t xml:space="preserve"> questions and suggesting the answers</w:t>
      </w:r>
      <w:r w:rsidR="00FC00C8" w:rsidRPr="00635355">
        <w:t>.</w:t>
      </w:r>
      <w:r w:rsidRPr="00635355">
        <w:t xml:space="preserve"> Furthermore, the Court of Appeal decided to reinstate </w:t>
      </w:r>
      <w:r w:rsidR="006D451A" w:rsidRPr="00635355">
        <w:t xml:space="preserve">L. </w:t>
      </w:r>
      <w:r w:rsidR="00E56B56" w:rsidRPr="00635355">
        <w:t xml:space="preserve">as a </w:t>
      </w:r>
      <w:r w:rsidRPr="00635355">
        <w:t xml:space="preserve">director. With regard to the appointment of </w:t>
      </w:r>
      <w:r w:rsidR="00E56B56" w:rsidRPr="00635355">
        <w:t xml:space="preserve">the </w:t>
      </w:r>
      <w:r w:rsidRPr="00635355">
        <w:t xml:space="preserve">external administrators, the Court of Appeal rejected all the evidence provided by the author and relied on the other party’s evidence. With regard to the criminal proceedings, the author </w:t>
      </w:r>
      <w:r w:rsidR="003937A3" w:rsidRPr="00635355">
        <w:t>claims</w:t>
      </w:r>
      <w:r w:rsidRPr="00635355">
        <w:t xml:space="preserve"> that </w:t>
      </w:r>
      <w:r w:rsidR="00052708">
        <w:t>the</w:t>
      </w:r>
      <w:r w:rsidR="003937A3" w:rsidRPr="00635355">
        <w:t xml:space="preserve"> judge</w:t>
      </w:r>
      <w:r w:rsidRPr="00635355">
        <w:t xml:space="preserve"> was biased as the cross-examination of witnesses was constantly interrupted and </w:t>
      </w:r>
      <w:r w:rsidR="006D451A" w:rsidRPr="00635355">
        <w:t xml:space="preserve">some of the </w:t>
      </w:r>
      <w:r w:rsidR="00E56B56" w:rsidRPr="00635355">
        <w:t xml:space="preserve">author’s </w:t>
      </w:r>
      <w:r w:rsidRPr="00635355">
        <w:t xml:space="preserve">questions were </w:t>
      </w:r>
      <w:r w:rsidR="006D451A" w:rsidRPr="00635355">
        <w:t xml:space="preserve">rejected </w:t>
      </w:r>
      <w:r w:rsidRPr="00635355">
        <w:t xml:space="preserve">by the </w:t>
      </w:r>
      <w:r w:rsidR="003937A3" w:rsidRPr="00635355">
        <w:t>judge</w:t>
      </w:r>
      <w:r w:rsidRPr="00635355">
        <w:t xml:space="preserve">. </w:t>
      </w:r>
    </w:p>
    <w:p w:rsidR="003937A3" w:rsidRPr="00635355" w:rsidRDefault="00723A42" w:rsidP="005F0D65">
      <w:pPr>
        <w:pStyle w:val="SingleTxtG"/>
      </w:pPr>
      <w:r w:rsidRPr="00635355">
        <w:t>3.</w:t>
      </w:r>
      <w:r w:rsidR="00F12B6D" w:rsidRPr="00635355">
        <w:t>4</w:t>
      </w:r>
      <w:r w:rsidRPr="00635355">
        <w:tab/>
      </w:r>
      <w:r w:rsidR="003937A3" w:rsidRPr="00635355">
        <w:t>The author claims</w:t>
      </w:r>
      <w:r w:rsidR="006D451A" w:rsidRPr="00635355">
        <w:t xml:space="preserve"> that</w:t>
      </w:r>
      <w:r w:rsidR="00052708">
        <w:t xml:space="preserve"> there was</w:t>
      </w:r>
      <w:r w:rsidR="006D451A" w:rsidRPr="00635355">
        <w:t xml:space="preserve"> </w:t>
      </w:r>
      <w:r w:rsidR="003937A3" w:rsidRPr="00635355">
        <w:t xml:space="preserve">judicial incompetence and arbitrariness in all </w:t>
      </w:r>
      <w:r w:rsidR="002B200E">
        <w:t xml:space="preserve">the </w:t>
      </w:r>
      <w:r w:rsidR="003937A3" w:rsidRPr="00635355">
        <w:t>sets of proceedings</w:t>
      </w:r>
      <w:r w:rsidR="002B200E">
        <w:t>,</w:t>
      </w:r>
      <w:r w:rsidR="003937A3" w:rsidRPr="00635355">
        <w:t xml:space="preserve"> in violation of </w:t>
      </w:r>
      <w:r w:rsidR="00EF4905" w:rsidRPr="00635355">
        <w:t>article </w:t>
      </w:r>
      <w:r w:rsidR="003937A3" w:rsidRPr="00635355">
        <w:t>14</w:t>
      </w:r>
      <w:r w:rsidR="00212A6E">
        <w:t xml:space="preserve"> (</w:t>
      </w:r>
      <w:r w:rsidR="003937A3" w:rsidRPr="00635355">
        <w:t>1</w:t>
      </w:r>
      <w:r w:rsidR="00212A6E">
        <w:t>)</w:t>
      </w:r>
      <w:r w:rsidR="003937A3" w:rsidRPr="00635355">
        <w:t xml:space="preserve"> of the Covenant. She claims that in the first set of proceedings</w:t>
      </w:r>
      <w:r w:rsidR="002B200E">
        <w:t>,</w:t>
      </w:r>
      <w:r w:rsidR="003937A3" w:rsidRPr="00635355">
        <w:t xml:space="preserve"> all the laws </w:t>
      </w:r>
      <w:r w:rsidR="002B200E">
        <w:t>invok</w:t>
      </w:r>
      <w:r w:rsidR="003937A3" w:rsidRPr="00635355">
        <w:t>ed were misinterpreted and misapplied. In the second set of proceedings concerning whether L</w:t>
      </w:r>
      <w:r w:rsidR="00A36C31" w:rsidRPr="00635355">
        <w:t>.</w:t>
      </w:r>
      <w:r w:rsidR="003937A3" w:rsidRPr="00635355">
        <w:t xml:space="preserve"> and D. were directors and could appoint external administrators, </w:t>
      </w:r>
      <w:r w:rsidR="002B200E">
        <w:t xml:space="preserve">in order </w:t>
      </w:r>
      <w:r w:rsidR="002B200E" w:rsidRPr="00635355">
        <w:t>to confirm the validity of the administrators’ appointment</w:t>
      </w:r>
      <w:r w:rsidR="002B200E">
        <w:t xml:space="preserve">, </w:t>
      </w:r>
      <w:r w:rsidR="003937A3" w:rsidRPr="00635355">
        <w:t xml:space="preserve">the court based its </w:t>
      </w:r>
      <w:r w:rsidR="00A36C31" w:rsidRPr="00635355">
        <w:t xml:space="preserve">conclusion </w:t>
      </w:r>
      <w:r w:rsidR="003937A3" w:rsidRPr="00635355">
        <w:t xml:space="preserve">on </w:t>
      </w:r>
      <w:r w:rsidR="00883A67" w:rsidRPr="00635355">
        <w:t>“</w:t>
      </w:r>
      <w:r w:rsidR="003937A3" w:rsidRPr="00635355">
        <w:t>facts unsupported by any evidence or contrary to it</w:t>
      </w:r>
      <w:r w:rsidR="00883A67" w:rsidRPr="00635355">
        <w:t>”</w:t>
      </w:r>
      <w:r w:rsidR="003937A3" w:rsidRPr="00635355">
        <w:t xml:space="preserve">. As to the arbitrariness of the third set of proceedings, the author argues that ASIC did not have the necessary </w:t>
      </w:r>
      <w:r w:rsidR="00883A67" w:rsidRPr="00635355">
        <w:t>“</w:t>
      </w:r>
      <w:r w:rsidR="003937A3" w:rsidRPr="00635355">
        <w:t>prosecuting powers</w:t>
      </w:r>
      <w:r w:rsidR="00883A67" w:rsidRPr="00635355">
        <w:t>”</w:t>
      </w:r>
      <w:r w:rsidR="00052708">
        <w:t>,</w:t>
      </w:r>
      <w:r w:rsidR="003937A3" w:rsidRPr="00635355">
        <w:t xml:space="preserve"> as defined under s</w:t>
      </w:r>
      <w:r w:rsidR="002B200E">
        <w:t xml:space="preserve">ection </w:t>
      </w:r>
      <w:r w:rsidR="003937A3" w:rsidRPr="00635355">
        <w:t xml:space="preserve">49 of the ASIC Act and </w:t>
      </w:r>
      <w:r w:rsidR="00871A89" w:rsidRPr="00635355">
        <w:t>section </w:t>
      </w:r>
      <w:r w:rsidR="003937A3" w:rsidRPr="00635355">
        <w:t>135 of the Corporations Act</w:t>
      </w:r>
      <w:r w:rsidR="00052708">
        <w:t>,</w:t>
      </w:r>
      <w:r w:rsidR="003937A3" w:rsidRPr="00635355">
        <w:t xml:space="preserve"> and that she did not have to submit </w:t>
      </w:r>
      <w:r w:rsidR="00052708">
        <w:t xml:space="preserve">the </w:t>
      </w:r>
      <w:r w:rsidR="003937A3" w:rsidRPr="00635355">
        <w:t xml:space="preserve">originals of the required </w:t>
      </w:r>
      <w:r w:rsidR="006D451A" w:rsidRPr="00635355">
        <w:t>books or documents</w:t>
      </w:r>
      <w:r w:rsidR="006F2B8E" w:rsidRPr="00635355">
        <w:t>.</w:t>
      </w:r>
    </w:p>
    <w:p w:rsidR="00A55F8F" w:rsidRPr="00635355" w:rsidRDefault="00723A42" w:rsidP="00212A6E">
      <w:pPr>
        <w:pStyle w:val="SingleTxtG"/>
      </w:pPr>
      <w:r w:rsidRPr="00635355">
        <w:t>3.</w:t>
      </w:r>
      <w:r w:rsidR="00657735" w:rsidRPr="00635355">
        <w:t>5</w:t>
      </w:r>
      <w:r w:rsidRPr="00635355">
        <w:tab/>
        <w:t>As someone w</w:t>
      </w:r>
      <w:r w:rsidR="002B200E">
        <w:t>ithout</w:t>
      </w:r>
      <w:r w:rsidRPr="00635355">
        <w:t xml:space="preserve"> a legal background, the author submits that </w:t>
      </w:r>
      <w:r w:rsidR="002B200E">
        <w:t xml:space="preserve">the </w:t>
      </w:r>
      <w:r w:rsidRPr="00635355">
        <w:t xml:space="preserve">four days </w:t>
      </w:r>
      <w:r w:rsidR="002B200E">
        <w:t xml:space="preserve">she was granted </w:t>
      </w:r>
      <w:r w:rsidRPr="00635355">
        <w:t>to prepare her submission</w:t>
      </w:r>
      <w:r w:rsidR="00E30F1A" w:rsidRPr="00635355">
        <w:t xml:space="preserve">s </w:t>
      </w:r>
      <w:r w:rsidR="002B200E">
        <w:t>for</w:t>
      </w:r>
      <w:r w:rsidR="00E30F1A" w:rsidRPr="00635355">
        <w:t xml:space="preserve"> the second set of proceedings</w:t>
      </w:r>
      <w:r w:rsidRPr="00635355">
        <w:t xml:space="preserve"> w</w:t>
      </w:r>
      <w:r w:rsidR="002B200E">
        <w:t>as</w:t>
      </w:r>
      <w:r w:rsidRPr="00635355">
        <w:t xml:space="preserve"> in</w:t>
      </w:r>
      <w:r w:rsidR="002B200E">
        <w:t>sufficient,</w:t>
      </w:r>
      <w:r w:rsidR="00643909" w:rsidRPr="00635355">
        <w:t xml:space="preserve"> th</w:t>
      </w:r>
      <w:r w:rsidR="002B200E">
        <w:t xml:space="preserve">us leading to a </w:t>
      </w:r>
      <w:r w:rsidR="00643909" w:rsidRPr="00635355">
        <w:t xml:space="preserve">breach </w:t>
      </w:r>
      <w:r w:rsidR="002B200E">
        <w:t xml:space="preserve">of </w:t>
      </w:r>
      <w:r w:rsidR="00643909" w:rsidRPr="00635355">
        <w:t xml:space="preserve">her rights under </w:t>
      </w:r>
      <w:r w:rsidR="00EF4905" w:rsidRPr="00635355">
        <w:t>article </w:t>
      </w:r>
      <w:r w:rsidR="00643909" w:rsidRPr="00635355">
        <w:t>14</w:t>
      </w:r>
      <w:r w:rsidR="00212A6E">
        <w:t xml:space="preserve"> (</w:t>
      </w:r>
      <w:r w:rsidR="00643909" w:rsidRPr="00635355">
        <w:t>1</w:t>
      </w:r>
      <w:r w:rsidR="00212A6E">
        <w:t>)</w:t>
      </w:r>
      <w:r w:rsidR="00643909" w:rsidRPr="00635355">
        <w:t xml:space="preserve"> of the Covenant</w:t>
      </w:r>
      <w:r w:rsidRPr="00635355">
        <w:t xml:space="preserve">. </w:t>
      </w:r>
    </w:p>
    <w:p w:rsidR="00187999" w:rsidRPr="00635355" w:rsidRDefault="00657735" w:rsidP="007B4772">
      <w:pPr>
        <w:pStyle w:val="SingleTxtG"/>
      </w:pPr>
      <w:r w:rsidRPr="00635355">
        <w:t>3.6</w:t>
      </w:r>
      <w:r w:rsidR="00723A42" w:rsidRPr="00635355">
        <w:tab/>
      </w:r>
      <w:r w:rsidR="00187999" w:rsidRPr="00635355">
        <w:t xml:space="preserve">The author claims that her right to </w:t>
      </w:r>
      <w:r w:rsidR="00A36C31" w:rsidRPr="00635355">
        <w:t xml:space="preserve">be </w:t>
      </w:r>
      <w:r w:rsidR="00187999" w:rsidRPr="00635355">
        <w:t>presum</w:t>
      </w:r>
      <w:r w:rsidR="00A36C31" w:rsidRPr="00635355">
        <w:t xml:space="preserve">ed </w:t>
      </w:r>
      <w:r w:rsidR="00187999" w:rsidRPr="00635355">
        <w:t>innocen</w:t>
      </w:r>
      <w:r w:rsidR="00A36C31" w:rsidRPr="00635355">
        <w:t xml:space="preserve">t </w:t>
      </w:r>
      <w:r w:rsidR="002B200E">
        <w:t xml:space="preserve">until proven guilty, </w:t>
      </w:r>
      <w:r w:rsidR="006C032C" w:rsidRPr="00635355">
        <w:t xml:space="preserve">as guaranteed under </w:t>
      </w:r>
      <w:r w:rsidR="00EF4905" w:rsidRPr="00635355">
        <w:t>article </w:t>
      </w:r>
      <w:r w:rsidR="006C032C" w:rsidRPr="00635355">
        <w:t xml:space="preserve">14 </w:t>
      </w:r>
      <w:r w:rsidR="00212A6E">
        <w:t>(</w:t>
      </w:r>
      <w:r w:rsidR="006C032C" w:rsidRPr="00635355">
        <w:t>2</w:t>
      </w:r>
      <w:r w:rsidR="00212A6E">
        <w:t>)</w:t>
      </w:r>
      <w:r w:rsidR="006C032C" w:rsidRPr="00635355">
        <w:t xml:space="preserve"> of the Covenant</w:t>
      </w:r>
      <w:r w:rsidR="00F838CE">
        <w:t>,</w:t>
      </w:r>
      <w:r w:rsidR="006C032C" w:rsidRPr="00635355">
        <w:t xml:space="preserve"> </w:t>
      </w:r>
      <w:r w:rsidR="00187999" w:rsidRPr="00635355">
        <w:t xml:space="preserve">was violated </w:t>
      </w:r>
      <w:r w:rsidR="00A36C31" w:rsidRPr="00635355">
        <w:t>because</w:t>
      </w:r>
      <w:r w:rsidR="00187999" w:rsidRPr="00635355">
        <w:t xml:space="preserve"> she could not have been found guilty by a court </w:t>
      </w:r>
      <w:r w:rsidR="00E95D59" w:rsidRPr="00E30B30">
        <w:t>the</w:t>
      </w:r>
      <w:r w:rsidR="00187999" w:rsidRPr="00E30B30">
        <w:t xml:space="preserve"> jurisdiction </w:t>
      </w:r>
      <w:r w:rsidR="00E95D59" w:rsidRPr="00E30B30">
        <w:t>of which</w:t>
      </w:r>
      <w:r w:rsidR="00E95D59">
        <w:t xml:space="preserve"> </w:t>
      </w:r>
      <w:r w:rsidR="00187999" w:rsidRPr="00635355">
        <w:t xml:space="preserve">she </w:t>
      </w:r>
      <w:r w:rsidR="006C032C" w:rsidRPr="00635355">
        <w:t xml:space="preserve">had </w:t>
      </w:r>
      <w:r w:rsidR="00187999" w:rsidRPr="00635355">
        <w:t xml:space="preserve">challenged. She further claims that </w:t>
      </w:r>
      <w:r w:rsidR="006C032C" w:rsidRPr="00635355">
        <w:t xml:space="preserve">she </w:t>
      </w:r>
      <w:r w:rsidR="00187999" w:rsidRPr="00635355">
        <w:t xml:space="preserve">was </w:t>
      </w:r>
      <w:r w:rsidR="00075076" w:rsidRPr="00635355">
        <w:t>found</w:t>
      </w:r>
      <w:r w:rsidR="00187999" w:rsidRPr="00635355">
        <w:t xml:space="preserve"> guilty </w:t>
      </w:r>
      <w:r w:rsidR="00075076" w:rsidRPr="00635355">
        <w:t xml:space="preserve">because she had </w:t>
      </w:r>
      <w:r w:rsidR="00187999" w:rsidRPr="00635355">
        <w:t>suppl</w:t>
      </w:r>
      <w:r w:rsidR="00075076" w:rsidRPr="00635355">
        <w:t>ied</w:t>
      </w:r>
      <w:r w:rsidR="00187999" w:rsidRPr="00635355">
        <w:t xml:space="preserve"> </w:t>
      </w:r>
      <w:r w:rsidR="007A1163" w:rsidRPr="00635355">
        <w:t>an</w:t>
      </w:r>
      <w:r w:rsidR="00187999" w:rsidRPr="00635355">
        <w:t xml:space="preserve"> electronic version of </w:t>
      </w:r>
      <w:r w:rsidR="007A1163" w:rsidRPr="00635355">
        <w:t xml:space="preserve">the company </w:t>
      </w:r>
      <w:r w:rsidR="006D451A" w:rsidRPr="00635355">
        <w:t>books</w:t>
      </w:r>
      <w:r w:rsidR="00187999" w:rsidRPr="00635355">
        <w:t xml:space="preserve">, even though </w:t>
      </w:r>
      <w:r w:rsidR="009C718D">
        <w:t>the</w:t>
      </w:r>
      <w:r w:rsidR="00187999" w:rsidRPr="00635355">
        <w:t xml:space="preserve"> prosecutor was unable to prove that </w:t>
      </w:r>
      <w:r w:rsidR="00075076" w:rsidRPr="00635355">
        <w:t xml:space="preserve">she should have provided the </w:t>
      </w:r>
      <w:r w:rsidR="00187999" w:rsidRPr="00635355">
        <w:t xml:space="preserve">originals. Furthermore, she underlines that the prosecutor was </w:t>
      </w:r>
      <w:r w:rsidR="00075076" w:rsidRPr="00635355">
        <w:t>un</w:t>
      </w:r>
      <w:r w:rsidR="00187999" w:rsidRPr="00635355">
        <w:t xml:space="preserve">able to prove that the company was under valid administration; that she was the company director when the books were delivered; that she was in possession of the books but not entitled to keep them and </w:t>
      </w:r>
      <w:r w:rsidR="00075076" w:rsidRPr="00635355">
        <w:t xml:space="preserve">that she </w:t>
      </w:r>
      <w:r w:rsidR="00187999" w:rsidRPr="00635355">
        <w:t xml:space="preserve">had failed to deliver them to the administrators. </w:t>
      </w:r>
    </w:p>
    <w:p w:rsidR="003737F3" w:rsidRPr="00635355" w:rsidRDefault="003737F3" w:rsidP="00F838CE">
      <w:pPr>
        <w:pStyle w:val="SingleTxtG"/>
      </w:pPr>
      <w:r w:rsidRPr="00635355">
        <w:t>3.</w:t>
      </w:r>
      <w:r w:rsidR="00F232FE" w:rsidRPr="00635355">
        <w:t>7</w:t>
      </w:r>
      <w:r w:rsidR="00FC00C8" w:rsidRPr="00635355">
        <w:tab/>
      </w:r>
      <w:r w:rsidRPr="00635355">
        <w:t xml:space="preserve">In the context of the third set of proceedings, the author claims a violation of </w:t>
      </w:r>
      <w:r w:rsidR="00EF4905" w:rsidRPr="00635355">
        <w:t>article </w:t>
      </w:r>
      <w:r w:rsidRPr="00635355">
        <w:t xml:space="preserve">14 </w:t>
      </w:r>
      <w:r w:rsidR="00212A6E">
        <w:t>(</w:t>
      </w:r>
      <w:r w:rsidRPr="00635355">
        <w:t>3</w:t>
      </w:r>
      <w:r w:rsidR="00212A6E">
        <w:t xml:space="preserve"> </w:t>
      </w:r>
      <w:r w:rsidRPr="00635355">
        <w:t>(a)</w:t>
      </w:r>
      <w:r w:rsidR="00212A6E">
        <w:t>)</w:t>
      </w:r>
      <w:r w:rsidR="00075076" w:rsidRPr="00635355">
        <w:t xml:space="preserve"> of the Covenant</w:t>
      </w:r>
      <w:r w:rsidRPr="00635355">
        <w:t xml:space="preserve"> on account of the fact that the national authorities had failed to inform her </w:t>
      </w:r>
      <w:r w:rsidR="00883A67" w:rsidRPr="00635355">
        <w:t>“</w:t>
      </w:r>
      <w:r w:rsidRPr="00635355">
        <w:t>about</w:t>
      </w:r>
      <w:r w:rsidRPr="00635355">
        <w:rPr>
          <w:spacing w:val="1"/>
        </w:rPr>
        <w:t xml:space="preserve"> </w:t>
      </w:r>
      <w:r w:rsidRPr="00635355">
        <w:rPr>
          <w:spacing w:val="-1"/>
        </w:rPr>
        <w:t>the</w:t>
      </w:r>
      <w:r w:rsidRPr="00635355">
        <w:t xml:space="preserve"> </w:t>
      </w:r>
      <w:r w:rsidRPr="00635355">
        <w:rPr>
          <w:spacing w:val="-1"/>
        </w:rPr>
        <w:t>facts</w:t>
      </w:r>
      <w:r w:rsidRPr="00635355">
        <w:t xml:space="preserve"> </w:t>
      </w:r>
      <w:r w:rsidRPr="00635355">
        <w:rPr>
          <w:spacing w:val="-1"/>
        </w:rPr>
        <w:t>behind</w:t>
      </w:r>
      <w:r w:rsidRPr="00635355">
        <w:rPr>
          <w:spacing w:val="-3"/>
        </w:rPr>
        <w:t xml:space="preserve"> </w:t>
      </w:r>
      <w:r w:rsidRPr="00635355">
        <w:t xml:space="preserve">the </w:t>
      </w:r>
      <w:r w:rsidRPr="00635355">
        <w:rPr>
          <w:spacing w:val="-1"/>
        </w:rPr>
        <w:t>charge</w:t>
      </w:r>
      <w:r w:rsidR="00883A67" w:rsidRPr="00635355">
        <w:t>”</w:t>
      </w:r>
      <w:r w:rsidR="00F838CE">
        <w:t>,</w:t>
      </w:r>
      <w:r w:rsidRPr="00635355">
        <w:t xml:space="preserve"> as even though the prosecution notice handed to her contained the reference to </w:t>
      </w:r>
      <w:r w:rsidR="00871A89" w:rsidRPr="00635355">
        <w:t>section </w:t>
      </w:r>
      <w:r w:rsidRPr="00635355">
        <w:t xml:space="preserve">438B of the Corporations Act </w:t>
      </w:r>
      <w:r w:rsidR="0090604B">
        <w:t>(</w:t>
      </w:r>
      <w:r w:rsidRPr="00635355">
        <w:t>2001</w:t>
      </w:r>
      <w:r w:rsidR="0090604B">
        <w:t>)</w:t>
      </w:r>
      <w:r w:rsidRPr="00635355">
        <w:t xml:space="preserve">, the </w:t>
      </w:r>
      <w:r w:rsidR="00883A67" w:rsidRPr="00635355">
        <w:t>“</w:t>
      </w:r>
      <w:r w:rsidRPr="00635355">
        <w:t>particularities</w:t>
      </w:r>
      <w:r w:rsidR="00883A67" w:rsidRPr="00635355">
        <w:t>”</w:t>
      </w:r>
      <w:r w:rsidRPr="00635355">
        <w:t xml:space="preserve"> were missing.</w:t>
      </w:r>
    </w:p>
    <w:p w:rsidR="00A55F8F" w:rsidRPr="00635355" w:rsidRDefault="00187999" w:rsidP="007B4772">
      <w:pPr>
        <w:pStyle w:val="SingleTxtG"/>
      </w:pPr>
      <w:r w:rsidRPr="00635355">
        <w:lastRenderedPageBreak/>
        <w:t>3.</w:t>
      </w:r>
      <w:r w:rsidR="00F232FE" w:rsidRPr="00635355">
        <w:t>8</w:t>
      </w:r>
      <w:r w:rsidR="00FC00C8" w:rsidRPr="00635355">
        <w:tab/>
      </w:r>
      <w:r w:rsidR="00723A42" w:rsidRPr="00635355">
        <w:t xml:space="preserve">The author </w:t>
      </w:r>
      <w:r w:rsidR="00643909" w:rsidRPr="00635355">
        <w:t xml:space="preserve">claims a violation of her rights under </w:t>
      </w:r>
      <w:r w:rsidR="00EF4905" w:rsidRPr="00635355">
        <w:t>article </w:t>
      </w:r>
      <w:r w:rsidR="00643909" w:rsidRPr="00635355">
        <w:t xml:space="preserve">14 </w:t>
      </w:r>
      <w:r w:rsidR="00212A6E">
        <w:t>(</w:t>
      </w:r>
      <w:r w:rsidRPr="00635355">
        <w:t>3</w:t>
      </w:r>
      <w:r w:rsidR="00883A67" w:rsidRPr="00635355">
        <w:t> </w:t>
      </w:r>
      <w:r w:rsidR="00D21FFE" w:rsidRPr="00635355">
        <w:t>(e)</w:t>
      </w:r>
      <w:r w:rsidR="00212A6E">
        <w:t>)</w:t>
      </w:r>
      <w:r w:rsidR="00643909" w:rsidRPr="00635355">
        <w:t xml:space="preserve"> of the Covenant</w:t>
      </w:r>
      <w:r w:rsidR="00075076" w:rsidRPr="00635355">
        <w:t>,</w:t>
      </w:r>
      <w:r w:rsidR="00643909" w:rsidRPr="00635355">
        <w:t xml:space="preserve"> as</w:t>
      </w:r>
      <w:r w:rsidR="00723A42" w:rsidRPr="00635355">
        <w:t xml:space="preserve"> in all </w:t>
      </w:r>
      <w:r w:rsidR="00F838CE">
        <w:t xml:space="preserve">the </w:t>
      </w:r>
      <w:r w:rsidR="00643909" w:rsidRPr="00635355">
        <w:t>proceedin</w:t>
      </w:r>
      <w:r w:rsidRPr="00635355">
        <w:t>gs</w:t>
      </w:r>
      <w:r w:rsidR="00723A42" w:rsidRPr="00635355">
        <w:t xml:space="preserve"> her right</w:t>
      </w:r>
      <w:r w:rsidR="00643909" w:rsidRPr="00635355">
        <w:t xml:space="preserve"> to present evidence and</w:t>
      </w:r>
      <w:r w:rsidR="00723A42" w:rsidRPr="00635355">
        <w:t xml:space="preserve"> to summon and examine witnesses was violated. In the first </w:t>
      </w:r>
      <w:r w:rsidR="00F838CE">
        <w:t xml:space="preserve">set of </w:t>
      </w:r>
      <w:r w:rsidR="00723A42" w:rsidRPr="00635355">
        <w:t xml:space="preserve">proceedings, the author submitted an affidavit in which she pointed out that certain facts in L.’s affidavit were </w:t>
      </w:r>
      <w:r w:rsidR="00075076" w:rsidRPr="00635355">
        <w:t>incorrect</w:t>
      </w:r>
      <w:r w:rsidR="00723A42" w:rsidRPr="00635355">
        <w:t>, w</w:t>
      </w:r>
      <w:r w:rsidR="00E56B56" w:rsidRPr="00635355">
        <w:t>hich L.’s counsel admitted</w:t>
      </w:r>
      <w:r w:rsidR="00EC32FD">
        <w:t>.</w:t>
      </w:r>
      <w:r w:rsidR="00723A42" w:rsidRPr="00635355">
        <w:t xml:space="preserve"> </w:t>
      </w:r>
      <w:r w:rsidR="00EC32FD">
        <w:t>H</w:t>
      </w:r>
      <w:r w:rsidR="00723A42" w:rsidRPr="00635355">
        <w:t>owever</w:t>
      </w:r>
      <w:r w:rsidR="00EC32FD">
        <w:t>,</w:t>
      </w:r>
      <w:r w:rsidR="00723A42" w:rsidRPr="00635355">
        <w:t xml:space="preserve"> the judge disregarded </w:t>
      </w:r>
      <w:r w:rsidR="00EC32FD">
        <w:t>that</w:t>
      </w:r>
      <w:r w:rsidR="00723A42" w:rsidRPr="00635355">
        <w:t>. In the second</w:t>
      </w:r>
      <w:r w:rsidR="00E56B56" w:rsidRPr="00635355">
        <w:t xml:space="preserve"> set of</w:t>
      </w:r>
      <w:r w:rsidR="00723A42" w:rsidRPr="00635355">
        <w:t xml:space="preserve"> proceedings</w:t>
      </w:r>
      <w:r w:rsidR="00075076" w:rsidRPr="00635355">
        <w:t>,</w:t>
      </w:r>
      <w:r w:rsidR="00723A42" w:rsidRPr="00635355">
        <w:t xml:space="preserve"> the author </w:t>
      </w:r>
      <w:r w:rsidR="00643909" w:rsidRPr="00635355">
        <w:t xml:space="preserve">claims </w:t>
      </w:r>
      <w:r w:rsidR="00723A42" w:rsidRPr="00635355">
        <w:t xml:space="preserve">that she was denied </w:t>
      </w:r>
      <w:r w:rsidR="00EC32FD">
        <w:t>the opportunity</w:t>
      </w:r>
      <w:r w:rsidR="00676701" w:rsidRPr="00635355">
        <w:t xml:space="preserve"> to </w:t>
      </w:r>
      <w:r w:rsidR="00723A42" w:rsidRPr="00635355">
        <w:t>examin</w:t>
      </w:r>
      <w:r w:rsidR="00676701" w:rsidRPr="00635355">
        <w:t>e the plaintiffs’ witnesses</w:t>
      </w:r>
      <w:r w:rsidR="00723A42" w:rsidRPr="00635355">
        <w:t xml:space="preserve">. In the </w:t>
      </w:r>
      <w:r w:rsidR="00643909" w:rsidRPr="00635355">
        <w:t>third set of proceedings</w:t>
      </w:r>
      <w:r w:rsidR="00723A42" w:rsidRPr="00635355">
        <w:t xml:space="preserve">, the author </w:t>
      </w:r>
      <w:r w:rsidR="00643909" w:rsidRPr="00635355">
        <w:t>claims</w:t>
      </w:r>
      <w:r w:rsidR="00723A42" w:rsidRPr="00635355">
        <w:t xml:space="preserve"> that her witness examinati</w:t>
      </w:r>
      <w:r w:rsidR="00643909" w:rsidRPr="00635355">
        <w:t xml:space="preserve">on was constantly </w:t>
      </w:r>
      <w:r w:rsidR="008368EF">
        <w:t>interr</w:t>
      </w:r>
      <w:r w:rsidR="00643909" w:rsidRPr="00635355">
        <w:t>upted by a</w:t>
      </w:r>
      <w:r w:rsidR="00723A42" w:rsidRPr="00635355">
        <w:t xml:space="preserve"> prosecutor</w:t>
      </w:r>
      <w:r w:rsidR="00F552CE" w:rsidRPr="00635355">
        <w:t xml:space="preserve"> and</w:t>
      </w:r>
      <w:r w:rsidR="00643909" w:rsidRPr="00635355">
        <w:t xml:space="preserve"> </w:t>
      </w:r>
      <w:r w:rsidR="00676701" w:rsidRPr="00635355">
        <w:t xml:space="preserve">that </w:t>
      </w:r>
      <w:r w:rsidR="00EC32FD">
        <w:t xml:space="preserve">the </w:t>
      </w:r>
      <w:r w:rsidR="008368EF">
        <w:t xml:space="preserve">request to </w:t>
      </w:r>
      <w:r w:rsidR="00676701" w:rsidRPr="00635355">
        <w:t xml:space="preserve">summons </w:t>
      </w:r>
      <w:r w:rsidR="000A54DE" w:rsidRPr="00635355">
        <w:t>and question</w:t>
      </w:r>
      <w:r w:rsidR="00676701" w:rsidRPr="00635355">
        <w:t xml:space="preserve"> </w:t>
      </w:r>
      <w:r w:rsidR="00400D43" w:rsidRPr="00635355">
        <w:t>D.</w:t>
      </w:r>
      <w:r w:rsidR="00676701" w:rsidRPr="00635355">
        <w:t xml:space="preserve"> was</w:t>
      </w:r>
      <w:r w:rsidR="00F552CE" w:rsidRPr="00635355">
        <w:t xml:space="preserve"> refused</w:t>
      </w:r>
      <w:r w:rsidR="000A54DE" w:rsidRPr="00635355">
        <w:t xml:space="preserve"> since his written statement was already</w:t>
      </w:r>
      <w:r w:rsidR="00075076" w:rsidRPr="00635355">
        <w:t xml:space="preserve"> on</w:t>
      </w:r>
      <w:r w:rsidR="000A54DE" w:rsidRPr="00635355">
        <w:t xml:space="preserve"> file</w:t>
      </w:r>
      <w:r w:rsidR="00723A42" w:rsidRPr="00635355">
        <w:t>.</w:t>
      </w:r>
      <w:r w:rsidR="00534E13" w:rsidRPr="00635355">
        <w:t xml:space="preserve"> Moreover, </w:t>
      </w:r>
      <w:r w:rsidR="00EC32FD">
        <w:t>she claims that none of</w:t>
      </w:r>
      <w:r w:rsidR="00534E13" w:rsidRPr="00635355">
        <w:t xml:space="preserve"> her arguments that the court lacked jurisdiction w</w:t>
      </w:r>
      <w:r w:rsidR="00EC32FD">
        <w:t>as</w:t>
      </w:r>
      <w:r w:rsidR="00534E13" w:rsidRPr="00635355">
        <w:t xml:space="preserve"> properly considered.</w:t>
      </w:r>
    </w:p>
    <w:p w:rsidR="00976622" w:rsidRPr="00635355" w:rsidRDefault="00976622" w:rsidP="005F0D65">
      <w:pPr>
        <w:pStyle w:val="SingleTxtG"/>
      </w:pPr>
      <w:r w:rsidRPr="00635355">
        <w:t>3.</w:t>
      </w:r>
      <w:r w:rsidR="00F232FE" w:rsidRPr="00635355">
        <w:t>9</w:t>
      </w:r>
      <w:r w:rsidRPr="00635355">
        <w:tab/>
        <w:t xml:space="preserve">The author </w:t>
      </w:r>
      <w:r w:rsidR="00657735" w:rsidRPr="00635355">
        <w:t>claims</w:t>
      </w:r>
      <w:r w:rsidRPr="00635355">
        <w:t xml:space="preserve"> that she is a victim of a violation of </w:t>
      </w:r>
      <w:r w:rsidR="00EF4905" w:rsidRPr="00635355">
        <w:t>article </w:t>
      </w:r>
      <w:r w:rsidR="00E56B56" w:rsidRPr="00635355">
        <w:t>14</w:t>
      </w:r>
      <w:r w:rsidR="00EA2D55" w:rsidRPr="00635355">
        <w:t> </w:t>
      </w:r>
      <w:r w:rsidR="00212A6E">
        <w:t>(</w:t>
      </w:r>
      <w:r w:rsidR="00E56B56" w:rsidRPr="00635355">
        <w:t>5</w:t>
      </w:r>
      <w:r w:rsidR="00212A6E">
        <w:t>)</w:t>
      </w:r>
      <w:r w:rsidR="00E56B56" w:rsidRPr="00635355">
        <w:t xml:space="preserve"> of the C</w:t>
      </w:r>
      <w:r w:rsidRPr="00635355">
        <w:t>ovenant, as her conviction and sentence w</w:t>
      </w:r>
      <w:r w:rsidR="00EC32FD">
        <w:t>ere</w:t>
      </w:r>
      <w:r w:rsidRPr="00635355">
        <w:t xml:space="preserve"> never reviewed by a higher tribunal according to </w:t>
      </w:r>
      <w:r w:rsidR="008368EF">
        <w:t xml:space="preserve">the </w:t>
      </w:r>
      <w:r w:rsidRPr="00635355">
        <w:t>law</w:t>
      </w:r>
      <w:r w:rsidR="00EC32FD">
        <w:t>,</w:t>
      </w:r>
      <w:r w:rsidRPr="00635355">
        <w:t xml:space="preserve"> </w:t>
      </w:r>
      <w:r w:rsidR="00F556F2" w:rsidRPr="00635355">
        <w:t>d</w:t>
      </w:r>
      <w:r w:rsidRPr="00635355">
        <w:t xml:space="preserve">espite going through </w:t>
      </w:r>
      <w:r w:rsidR="00657971" w:rsidRPr="00635355">
        <w:t xml:space="preserve">all </w:t>
      </w:r>
      <w:r w:rsidR="008368EF">
        <w:t xml:space="preserve">the </w:t>
      </w:r>
      <w:r w:rsidR="00657971" w:rsidRPr="00635355">
        <w:t>levels of</w:t>
      </w:r>
      <w:r w:rsidRPr="00635355">
        <w:t xml:space="preserve"> appeal and two </w:t>
      </w:r>
      <w:r w:rsidR="00E56B56" w:rsidRPr="00635355">
        <w:t xml:space="preserve">applications for </w:t>
      </w:r>
      <w:r w:rsidRPr="00635355">
        <w:t>leave to appeal</w:t>
      </w:r>
      <w:r w:rsidR="00F556F2" w:rsidRPr="00635355">
        <w:t xml:space="preserve"> to the High Court of Australia</w:t>
      </w:r>
      <w:r w:rsidRPr="00635355">
        <w:t>.</w:t>
      </w:r>
    </w:p>
    <w:p w:rsidR="00A55F8F" w:rsidRPr="00635355" w:rsidRDefault="00723A42" w:rsidP="00DE6C67">
      <w:pPr>
        <w:pStyle w:val="SingleTxtG"/>
      </w:pPr>
      <w:r w:rsidRPr="00635355">
        <w:t>3.</w:t>
      </w:r>
      <w:r w:rsidR="00F232FE" w:rsidRPr="00635355">
        <w:t>10</w:t>
      </w:r>
      <w:r w:rsidRPr="00635355">
        <w:tab/>
        <w:t xml:space="preserve">With regard to her conviction, the author </w:t>
      </w:r>
      <w:r w:rsidR="00F12B6D" w:rsidRPr="00635355">
        <w:t xml:space="preserve">claims a violation of </w:t>
      </w:r>
      <w:r w:rsidR="00EF4905" w:rsidRPr="00635355">
        <w:t>article </w:t>
      </w:r>
      <w:r w:rsidR="00F12B6D" w:rsidRPr="00635355">
        <w:t>15 of the Covenant</w:t>
      </w:r>
      <w:r w:rsidR="008368EF">
        <w:t>,</w:t>
      </w:r>
      <w:r w:rsidR="00F12B6D" w:rsidRPr="00635355">
        <w:t xml:space="preserve"> as</w:t>
      </w:r>
      <w:r w:rsidRPr="00635355">
        <w:t xml:space="preserve"> that she was </w:t>
      </w:r>
      <w:r w:rsidR="00E56B56" w:rsidRPr="00635355">
        <w:t>found</w:t>
      </w:r>
      <w:r w:rsidRPr="00635355">
        <w:t xml:space="preserve"> guilty of a criminal offence that</w:t>
      </w:r>
      <w:r w:rsidR="00F12B6D" w:rsidRPr="00635355">
        <w:t xml:space="preserve"> did not constitute an</w:t>
      </w:r>
      <w:r w:rsidR="00E56B56" w:rsidRPr="00635355">
        <w:t xml:space="preserve"> offence</w:t>
      </w:r>
      <w:r w:rsidR="008368EF">
        <w:t>. S</w:t>
      </w:r>
      <w:r w:rsidRPr="00635355">
        <w:t>he had sent e</w:t>
      </w:r>
      <w:r w:rsidR="00F838CE">
        <w:t>-</w:t>
      </w:r>
      <w:r w:rsidRPr="00635355">
        <w:t xml:space="preserve">mails </w:t>
      </w:r>
      <w:r w:rsidR="00E56B56" w:rsidRPr="00635355">
        <w:t>regarding</w:t>
      </w:r>
      <w:r w:rsidRPr="00635355">
        <w:t xml:space="preserve"> the company books to the administrators and claims that </w:t>
      </w:r>
      <w:r w:rsidR="00871A89" w:rsidRPr="00635355">
        <w:t>Section </w:t>
      </w:r>
      <w:r w:rsidRPr="00635355">
        <w:t xml:space="preserve">438B of </w:t>
      </w:r>
      <w:r w:rsidR="00E56B56" w:rsidRPr="00635355">
        <w:t>the Corporations</w:t>
      </w:r>
      <w:r w:rsidRPr="00635355">
        <w:t xml:space="preserve"> Act does</w:t>
      </w:r>
      <w:r w:rsidR="00F838CE">
        <w:t xml:space="preserve"> </w:t>
      </w:r>
      <w:r w:rsidRPr="00635355">
        <w:t>n</w:t>
      </w:r>
      <w:r w:rsidR="00F838CE">
        <w:t>o</w:t>
      </w:r>
      <w:r w:rsidRPr="00635355">
        <w:t xml:space="preserve">t require </w:t>
      </w:r>
      <w:r w:rsidR="008949DE" w:rsidRPr="00635355">
        <w:t>provi</w:t>
      </w:r>
      <w:r w:rsidR="00F838CE">
        <w:t>sion of</w:t>
      </w:r>
      <w:r w:rsidR="008949DE" w:rsidRPr="00635355">
        <w:t xml:space="preserve"> the </w:t>
      </w:r>
      <w:r w:rsidRPr="00635355">
        <w:t xml:space="preserve">originals, the offence for which she was convicted. </w:t>
      </w:r>
    </w:p>
    <w:p w:rsidR="00723A42" w:rsidRPr="00635355" w:rsidRDefault="00DF3B13" w:rsidP="00EC32FD">
      <w:pPr>
        <w:pStyle w:val="SingleTxtG"/>
        <w:rPr>
          <w:b/>
        </w:rPr>
      </w:pPr>
      <w:r w:rsidRPr="00635355">
        <w:t>3.11</w:t>
      </w:r>
      <w:r w:rsidR="00723A42" w:rsidRPr="00635355">
        <w:tab/>
        <w:t xml:space="preserve">She further claims to be </w:t>
      </w:r>
      <w:r w:rsidR="00E56B56" w:rsidRPr="00635355">
        <w:t xml:space="preserve">a </w:t>
      </w:r>
      <w:r w:rsidR="00723A42" w:rsidRPr="00635355">
        <w:t xml:space="preserve">victim of a violation of </w:t>
      </w:r>
      <w:r w:rsidR="00EF4905" w:rsidRPr="00635355">
        <w:t>article </w:t>
      </w:r>
      <w:r w:rsidR="00723A42" w:rsidRPr="00635355">
        <w:t xml:space="preserve">17 </w:t>
      </w:r>
      <w:r w:rsidR="00E56B56" w:rsidRPr="00635355">
        <w:t>of the Covenant</w:t>
      </w:r>
      <w:r w:rsidR="00EC32FD">
        <w:t>,</w:t>
      </w:r>
      <w:r w:rsidR="00E56B56" w:rsidRPr="00635355">
        <w:t xml:space="preserve"> </w:t>
      </w:r>
      <w:r w:rsidR="00723A42" w:rsidRPr="00635355">
        <w:t xml:space="preserve">as the judgements were posted on the </w:t>
      </w:r>
      <w:r w:rsidR="00EC32FD">
        <w:t>I</w:t>
      </w:r>
      <w:r w:rsidR="00723A42" w:rsidRPr="00635355">
        <w:t xml:space="preserve">nternet and the proceedings </w:t>
      </w:r>
      <w:r w:rsidR="00E56B56" w:rsidRPr="00635355">
        <w:t xml:space="preserve">traumatized </w:t>
      </w:r>
      <w:r w:rsidR="00723A42" w:rsidRPr="00635355">
        <w:t>her daughter. Furthermore, she could not find any other gainful employment.</w:t>
      </w:r>
    </w:p>
    <w:p w:rsidR="00202561" w:rsidRPr="00635355" w:rsidRDefault="00AE65AB" w:rsidP="00FC00C8">
      <w:pPr>
        <w:pStyle w:val="H23G"/>
      </w:pPr>
      <w:r w:rsidRPr="00635355">
        <w:tab/>
      </w:r>
      <w:r w:rsidRPr="00635355">
        <w:tab/>
      </w:r>
      <w:r w:rsidR="00202561" w:rsidRPr="00635355">
        <w:t>State party</w:t>
      </w:r>
      <w:r w:rsidR="00EF4905" w:rsidRPr="00635355">
        <w:t>’</w:t>
      </w:r>
      <w:r w:rsidR="00202561" w:rsidRPr="00635355">
        <w:t>s observations on admissibility</w:t>
      </w:r>
    </w:p>
    <w:p w:rsidR="00F3642C" w:rsidRPr="00635355" w:rsidRDefault="00FC00C8" w:rsidP="00BD2292">
      <w:pPr>
        <w:pStyle w:val="SingleTxtG"/>
      </w:pPr>
      <w:r w:rsidRPr="00635355">
        <w:t>4.1</w:t>
      </w:r>
      <w:r w:rsidRPr="00635355">
        <w:tab/>
      </w:r>
      <w:r w:rsidR="00202561" w:rsidRPr="00635355">
        <w:t xml:space="preserve">By note verbale of </w:t>
      </w:r>
      <w:r w:rsidR="00647FA6" w:rsidRPr="00635355">
        <w:t>11 February 2011, the State party challenged the admissibility of the author’s complaints.</w:t>
      </w:r>
      <w:r w:rsidR="005C34CB" w:rsidRPr="00635355">
        <w:t xml:space="preserve"> </w:t>
      </w:r>
      <w:r w:rsidR="00BD2292">
        <w:t>At the outset</w:t>
      </w:r>
      <w:r w:rsidR="00F3642C" w:rsidRPr="00635355">
        <w:t>, it note</w:t>
      </w:r>
      <w:r w:rsidR="00EC32FD">
        <w:t>d</w:t>
      </w:r>
      <w:r w:rsidR="00F3642C" w:rsidRPr="00635355">
        <w:t xml:space="preserve"> that the author </w:t>
      </w:r>
      <w:r w:rsidR="008B7486" w:rsidRPr="00635355">
        <w:t>allege</w:t>
      </w:r>
      <w:r w:rsidR="00EC32FD">
        <w:t>d</w:t>
      </w:r>
      <w:r w:rsidR="008B7486" w:rsidRPr="00635355">
        <w:t xml:space="preserve"> </w:t>
      </w:r>
      <w:r w:rsidR="00F3642C" w:rsidRPr="00635355">
        <w:t xml:space="preserve">a number of violations </w:t>
      </w:r>
      <w:r w:rsidR="008B7486" w:rsidRPr="00635355">
        <w:t xml:space="preserve">under </w:t>
      </w:r>
      <w:r w:rsidR="00F3642C" w:rsidRPr="00635355">
        <w:t xml:space="preserve">the Covenant and submitted </w:t>
      </w:r>
      <w:r w:rsidR="008B7486" w:rsidRPr="00635355">
        <w:t xml:space="preserve">several </w:t>
      </w:r>
      <w:r w:rsidR="00F3642C" w:rsidRPr="00635355">
        <w:t xml:space="preserve">documents, including </w:t>
      </w:r>
      <w:r w:rsidR="002F62A5">
        <w:t>judgement</w:t>
      </w:r>
      <w:r w:rsidR="00F3642C" w:rsidRPr="00635355">
        <w:t>s, transcripts of proceedings and court orders</w:t>
      </w:r>
      <w:r w:rsidR="00BD2292">
        <w:t>. H</w:t>
      </w:r>
      <w:r w:rsidR="00F3642C" w:rsidRPr="00635355">
        <w:t>owever</w:t>
      </w:r>
      <w:r w:rsidR="00BD2292">
        <w:t>, it argued that</w:t>
      </w:r>
      <w:r w:rsidR="00F3642C" w:rsidRPr="00635355">
        <w:t xml:space="preserve"> he</w:t>
      </w:r>
      <w:r w:rsidR="008B7486" w:rsidRPr="00635355">
        <w:t>r</w:t>
      </w:r>
      <w:r w:rsidR="00F3642C" w:rsidRPr="00635355">
        <w:t xml:space="preserve"> claims </w:t>
      </w:r>
      <w:r w:rsidR="00BD2292">
        <w:t>we</w:t>
      </w:r>
      <w:r w:rsidR="00F3642C" w:rsidRPr="00635355">
        <w:t>re unclear regarding the extent to which the author s</w:t>
      </w:r>
      <w:r w:rsidR="00BD2292">
        <w:t>aw</w:t>
      </w:r>
      <w:r w:rsidR="00F3642C" w:rsidRPr="00635355">
        <w:t xml:space="preserve"> each </w:t>
      </w:r>
      <w:r w:rsidR="00EF4905" w:rsidRPr="00635355">
        <w:t xml:space="preserve">article </w:t>
      </w:r>
      <w:r w:rsidR="00F3642C" w:rsidRPr="00635355">
        <w:t>applying in relation to specific allegations and events. Therefore, the State party had to make assumptions about the nature of the author’s allegations in its observations.</w:t>
      </w:r>
    </w:p>
    <w:p w:rsidR="00344325" w:rsidRPr="00635355" w:rsidRDefault="00FC00C8" w:rsidP="007B4772">
      <w:pPr>
        <w:pStyle w:val="SingleTxtG"/>
      </w:pPr>
      <w:r w:rsidRPr="00635355">
        <w:t>4.2</w:t>
      </w:r>
      <w:r w:rsidRPr="00635355">
        <w:tab/>
      </w:r>
      <w:r w:rsidR="00F3642C" w:rsidRPr="00635355">
        <w:t xml:space="preserve">Given the unclear presentation </w:t>
      </w:r>
      <w:r w:rsidR="00BD2292" w:rsidRPr="00635355">
        <w:t>of the facts</w:t>
      </w:r>
      <w:r w:rsidR="00BD2292">
        <w:t xml:space="preserve"> </w:t>
      </w:r>
      <w:r w:rsidR="00F3642C" w:rsidRPr="00635355">
        <w:t xml:space="preserve">by the author, the State party </w:t>
      </w:r>
      <w:r w:rsidR="00C42782" w:rsidRPr="00635355">
        <w:t xml:space="preserve">presents the facts with a number of additional </w:t>
      </w:r>
      <w:r w:rsidR="00BD2292">
        <w:t>details</w:t>
      </w:r>
      <w:r w:rsidR="00BD2292" w:rsidRPr="00635355">
        <w:t xml:space="preserve"> </w:t>
      </w:r>
      <w:r w:rsidR="008B7486" w:rsidRPr="00635355">
        <w:t>in an attempt to introduce some clarity</w:t>
      </w:r>
      <w:r w:rsidR="00F3642C" w:rsidRPr="00635355">
        <w:t xml:space="preserve">. </w:t>
      </w:r>
      <w:r w:rsidR="00C42782" w:rsidRPr="00635355">
        <w:t>I</w:t>
      </w:r>
      <w:r w:rsidR="00F3642C" w:rsidRPr="00635355">
        <w:t>t notes that in 1997</w:t>
      </w:r>
      <w:r w:rsidR="008B7486" w:rsidRPr="00635355">
        <w:t>,</w:t>
      </w:r>
      <w:r w:rsidR="00F3642C" w:rsidRPr="00635355">
        <w:t xml:space="preserve"> the author and a business partner </w:t>
      </w:r>
      <w:r w:rsidR="008B7486" w:rsidRPr="00635355">
        <w:t xml:space="preserve">started </w:t>
      </w:r>
      <w:r w:rsidR="00F3642C" w:rsidRPr="00635355">
        <w:t>a business based on the marketing and sale of an industrial fastener. In 2005, court proceeding</w:t>
      </w:r>
      <w:r w:rsidR="00517BCC" w:rsidRPr="00635355">
        <w:t>s were</w:t>
      </w:r>
      <w:r w:rsidR="00F3642C" w:rsidRPr="00635355">
        <w:t xml:space="preserve"> initiated against the author in the Supreme Court of Western Australia by two shareholders in the company</w:t>
      </w:r>
      <w:r w:rsidR="00751DF6">
        <w:t xml:space="preserve"> who were</w:t>
      </w:r>
      <w:r w:rsidR="00F3642C" w:rsidRPr="00635355">
        <w:t xml:space="preserve"> disputing their removal as directors by the author and her daughter. The author appealed the decision of the court to place an interlocutory injunction in th</w:t>
      </w:r>
      <w:r w:rsidR="00751DF6">
        <w:t>at</w:t>
      </w:r>
      <w:r w:rsidR="00F3642C" w:rsidRPr="00635355">
        <w:t xml:space="preserve"> matter </w:t>
      </w:r>
      <w:r w:rsidR="00751DF6">
        <w:t>before</w:t>
      </w:r>
      <w:r w:rsidR="00F3642C" w:rsidRPr="00635355">
        <w:t xml:space="preserve"> the Supreme Court of Western Australia Court of Appeals, which set aside part of the previous decision and substantially upheld the rest of the order. The High Court of Australia refused the author special leave for further appeal. The substance of th</w:t>
      </w:r>
      <w:r w:rsidR="00751DF6">
        <w:t>at</w:t>
      </w:r>
      <w:r w:rsidR="00F3642C" w:rsidRPr="00635355">
        <w:t xml:space="preserve"> hearing did not progress due to the appointment of administrators and further court action in that regard</w:t>
      </w:r>
      <w:r w:rsidR="00344325" w:rsidRPr="00635355">
        <w:t xml:space="preserve"> (the first set of proceedings).</w:t>
      </w:r>
    </w:p>
    <w:p w:rsidR="00344325" w:rsidRPr="00635355" w:rsidRDefault="00FC00C8" w:rsidP="005F0D65">
      <w:pPr>
        <w:pStyle w:val="SingleTxtG"/>
      </w:pPr>
      <w:r w:rsidRPr="00635355">
        <w:t>4.3</w:t>
      </w:r>
      <w:r w:rsidRPr="00635355">
        <w:tab/>
      </w:r>
      <w:r w:rsidR="00344325" w:rsidRPr="00635355">
        <w:t>In January 2006, administrators were appointed for the company by a number of directors but not by the author. She disputed the validity of th</w:t>
      </w:r>
      <w:r w:rsidR="00751DF6">
        <w:t>at</w:t>
      </w:r>
      <w:r w:rsidR="00344325" w:rsidRPr="00635355">
        <w:t xml:space="preserve"> appointment and a dispute arose between the author and the administrators. The administrators then initiated court proceedings against her in the Supreme Court of Western Australia and the court held that the</w:t>
      </w:r>
      <w:r w:rsidR="008B7486" w:rsidRPr="00635355">
        <w:t>ir appointment was valid</w:t>
      </w:r>
      <w:r w:rsidR="00344325" w:rsidRPr="00635355">
        <w:t>. The author appealed th</w:t>
      </w:r>
      <w:r w:rsidR="00751DF6">
        <w:t>at</w:t>
      </w:r>
      <w:r w:rsidR="00344325" w:rsidRPr="00635355">
        <w:t xml:space="preserve"> decision to the Supreme Court of Western Australia</w:t>
      </w:r>
      <w:r w:rsidR="008368EF">
        <w:t xml:space="preserve"> </w:t>
      </w:r>
      <w:r w:rsidR="008368EF" w:rsidRPr="00635355">
        <w:t>Court of Appeal</w:t>
      </w:r>
      <w:r w:rsidR="00344325" w:rsidRPr="00635355">
        <w:t>. An application by the author to seek special leave was refused by the High Court (the second set of proceedings).</w:t>
      </w:r>
    </w:p>
    <w:p w:rsidR="00517BCC" w:rsidRPr="00635355" w:rsidRDefault="00FC00C8" w:rsidP="005F0D65">
      <w:pPr>
        <w:pStyle w:val="SingleTxtG"/>
      </w:pPr>
      <w:r w:rsidRPr="00635355">
        <w:lastRenderedPageBreak/>
        <w:t>4.4</w:t>
      </w:r>
      <w:r w:rsidRPr="00635355">
        <w:tab/>
      </w:r>
      <w:r w:rsidR="00344325" w:rsidRPr="00635355">
        <w:t xml:space="preserve">Furthermore, due to the author’s failure to fulfil a statutory requirement to provide various documents to the appointed administrators, </w:t>
      </w:r>
      <w:r w:rsidR="008B7486" w:rsidRPr="00635355">
        <w:t>s</w:t>
      </w:r>
      <w:r w:rsidR="00344325" w:rsidRPr="00635355">
        <w:t xml:space="preserve">he was referred to ASIC. As a result, she was charged with two offences under the Corporations Act (2001). </w:t>
      </w:r>
      <w:r w:rsidR="00751DF6">
        <w:t>T</w:t>
      </w:r>
      <w:r w:rsidR="00751DF6" w:rsidRPr="00635355">
        <w:t>he Magistrates Court in Perth</w:t>
      </w:r>
      <w:r w:rsidR="00751DF6">
        <w:t xml:space="preserve"> </w:t>
      </w:r>
      <w:r w:rsidR="00751DF6" w:rsidRPr="00635355">
        <w:t>found</w:t>
      </w:r>
      <w:r w:rsidR="00751DF6">
        <w:t xml:space="preserve"> t</w:t>
      </w:r>
      <w:r w:rsidR="00344325" w:rsidRPr="00635355">
        <w:t xml:space="preserve">he author guilty of </w:t>
      </w:r>
      <w:r w:rsidR="00C42782" w:rsidRPr="00635355">
        <w:t>having committed on</w:t>
      </w:r>
      <w:r w:rsidR="008B7486" w:rsidRPr="00635355">
        <w:t>e</w:t>
      </w:r>
      <w:r w:rsidR="00C42782" w:rsidRPr="00635355">
        <w:t xml:space="preserve"> of th</w:t>
      </w:r>
      <w:r w:rsidR="008368EF">
        <w:t>os</w:t>
      </w:r>
      <w:r w:rsidR="00C42782" w:rsidRPr="00635355">
        <w:t>e</w:t>
      </w:r>
      <w:r w:rsidR="008368EF">
        <w:t xml:space="preserve"> offences</w:t>
      </w:r>
      <w:r w:rsidR="00344325" w:rsidRPr="00635355">
        <w:t xml:space="preserve">. She subsequently appealed to the Supreme Court of Western Australia Court of Appeal, </w:t>
      </w:r>
      <w:r w:rsidR="007B4772">
        <w:t>which</w:t>
      </w:r>
      <w:r w:rsidR="00344325" w:rsidRPr="00635355">
        <w:t xml:space="preserve"> upheld the </w:t>
      </w:r>
      <w:r w:rsidR="00751DF6" w:rsidRPr="00635355">
        <w:t>decision</w:t>
      </w:r>
      <w:r w:rsidR="00751DF6">
        <w:t xml:space="preserve"> of the </w:t>
      </w:r>
      <w:r w:rsidR="00344325" w:rsidRPr="00635355">
        <w:t xml:space="preserve">lower court. The author was fined </w:t>
      </w:r>
      <w:r w:rsidR="0090604B">
        <w:t xml:space="preserve">$A </w:t>
      </w:r>
      <w:r w:rsidR="00344325" w:rsidRPr="00635355">
        <w:t>500. The author represented herself in each of the matters and ha</w:t>
      </w:r>
      <w:r w:rsidR="008B7486" w:rsidRPr="00635355">
        <w:t>s</w:t>
      </w:r>
      <w:r w:rsidR="00344325" w:rsidRPr="00635355">
        <w:t xml:space="preserve"> not sought legal counsel.</w:t>
      </w:r>
    </w:p>
    <w:p w:rsidR="00D41B48" w:rsidRPr="00635355" w:rsidRDefault="00FC00C8" w:rsidP="00D41B48">
      <w:pPr>
        <w:pStyle w:val="SingleTxtG"/>
      </w:pPr>
      <w:r w:rsidRPr="00635355">
        <w:t>4.5</w:t>
      </w:r>
      <w:r w:rsidRPr="00635355">
        <w:tab/>
      </w:r>
      <w:r w:rsidR="00517BCC" w:rsidRPr="00635355">
        <w:t xml:space="preserve">The State party </w:t>
      </w:r>
      <w:r w:rsidR="008B7486" w:rsidRPr="00635355">
        <w:t xml:space="preserve">adds </w:t>
      </w:r>
      <w:r w:rsidR="00517BCC" w:rsidRPr="00635355">
        <w:t xml:space="preserve">that the communication is inadmissible as the author has failed to substantiate her claims and, in the alternative, her claims are inadmissible </w:t>
      </w:r>
      <w:r w:rsidR="00517BCC" w:rsidRPr="00E95D59">
        <w:rPr>
          <w:i/>
        </w:rPr>
        <w:t>ratione materiae</w:t>
      </w:r>
      <w:r w:rsidR="00517BCC" w:rsidRPr="00635355">
        <w:t xml:space="preserve"> as they do not rel</w:t>
      </w:r>
      <w:r w:rsidR="00C42782" w:rsidRPr="00635355">
        <w:t>ate to rights set forth in the C</w:t>
      </w:r>
      <w:r w:rsidR="00517BCC" w:rsidRPr="00635355">
        <w:t>ovenant.</w:t>
      </w:r>
      <w:r w:rsidR="00D41B48" w:rsidRPr="00635355">
        <w:t xml:space="preserve"> </w:t>
      </w:r>
    </w:p>
    <w:p w:rsidR="008422D6" w:rsidRPr="00635355" w:rsidRDefault="00FC00C8" w:rsidP="007B4772">
      <w:pPr>
        <w:pStyle w:val="SingleTxtG"/>
      </w:pPr>
      <w:r w:rsidRPr="00635355">
        <w:t>4.6</w:t>
      </w:r>
      <w:r w:rsidRPr="00635355">
        <w:tab/>
      </w:r>
      <w:r w:rsidR="00D41B48" w:rsidRPr="00635355">
        <w:t xml:space="preserve">The State party </w:t>
      </w:r>
      <w:r w:rsidR="007B4772">
        <w:t xml:space="preserve">takes </w:t>
      </w:r>
      <w:r w:rsidR="00D41B48" w:rsidRPr="00635355">
        <w:t xml:space="preserve">note </w:t>
      </w:r>
      <w:r w:rsidR="007B4772">
        <w:t xml:space="preserve">of </w:t>
      </w:r>
      <w:r w:rsidR="00D41B48" w:rsidRPr="00635355">
        <w:t>the author’s statement that the overarching basis of th</w:t>
      </w:r>
      <w:r w:rsidR="00751DF6">
        <w:t>e</w:t>
      </w:r>
      <w:r w:rsidR="00D41B48" w:rsidRPr="00635355">
        <w:t xml:space="preserve"> communication is </w:t>
      </w:r>
      <w:r w:rsidR="008B2729" w:rsidRPr="00635355">
        <w:t>“</w:t>
      </w:r>
      <w:r w:rsidR="00D41B48" w:rsidRPr="00635355">
        <w:t>the State party’s failure to provide a court to</w:t>
      </w:r>
      <w:r w:rsidR="008B2729" w:rsidRPr="00635355">
        <w:t>”</w:t>
      </w:r>
      <w:r w:rsidR="00D41B48" w:rsidRPr="00635355">
        <w:t xml:space="preserve"> her. </w:t>
      </w:r>
      <w:r w:rsidR="008B7486" w:rsidRPr="00635355">
        <w:t>I</w:t>
      </w:r>
      <w:r w:rsidR="00D41B48" w:rsidRPr="00635355">
        <w:t xml:space="preserve">t submits that the author has failed to substantiate, to the degree required by </w:t>
      </w:r>
      <w:r w:rsidR="00EF4905" w:rsidRPr="00635355">
        <w:t>article </w:t>
      </w:r>
      <w:r w:rsidR="00D41B48" w:rsidRPr="00635355">
        <w:t>2 of the Optional Protocol to the Covenant and rule</w:t>
      </w:r>
      <w:r w:rsidR="008B2729" w:rsidRPr="00635355">
        <w:t> </w:t>
      </w:r>
      <w:r w:rsidR="00D41B48" w:rsidRPr="00635355">
        <w:t xml:space="preserve">96 (b) of the Committee’s </w:t>
      </w:r>
      <w:r w:rsidR="00751DF6">
        <w:t>r</w:t>
      </w:r>
      <w:r w:rsidR="00D41B48" w:rsidRPr="00635355">
        <w:t xml:space="preserve">ules of </w:t>
      </w:r>
      <w:r w:rsidR="00751DF6">
        <w:t>p</w:t>
      </w:r>
      <w:r w:rsidR="00D41B48" w:rsidRPr="00635355">
        <w:t>rocedure, that any of the articles have been violated</w:t>
      </w:r>
      <w:r w:rsidR="00370EC5" w:rsidRPr="00635355">
        <w:t xml:space="preserve">. </w:t>
      </w:r>
      <w:r w:rsidR="00623567" w:rsidRPr="00635355">
        <w:t>It</w:t>
      </w:r>
      <w:r w:rsidR="00370EC5" w:rsidRPr="00635355">
        <w:t xml:space="preserve"> refers to the Committee’s views on the issue of non-substantiation of allegations, </w:t>
      </w:r>
      <w:r w:rsidR="00751DF6">
        <w:t>in which</w:t>
      </w:r>
      <w:r w:rsidR="00370EC5" w:rsidRPr="00635355">
        <w:t xml:space="preserve"> </w:t>
      </w:r>
      <w:r w:rsidR="007B4772" w:rsidRPr="00635355">
        <w:t>the Committee</w:t>
      </w:r>
      <w:r w:rsidR="00370EC5" w:rsidRPr="00635355">
        <w:t xml:space="preserve"> has </w:t>
      </w:r>
      <w:r w:rsidR="008B7486" w:rsidRPr="00635355">
        <w:t>stressed</w:t>
      </w:r>
      <w:r w:rsidR="00370EC5" w:rsidRPr="00635355">
        <w:t xml:space="preserve"> that author</w:t>
      </w:r>
      <w:r w:rsidR="008B7486" w:rsidRPr="00635355">
        <w:t>s</w:t>
      </w:r>
      <w:r w:rsidR="00370EC5" w:rsidRPr="00635355">
        <w:t xml:space="preserve"> must submit sufficient evidence substantiating the</w:t>
      </w:r>
      <w:r w:rsidR="008B7486" w:rsidRPr="00635355">
        <w:t>ir</w:t>
      </w:r>
      <w:r w:rsidR="00370EC5" w:rsidRPr="00635355">
        <w:t xml:space="preserve"> allegations for purposes of admissibility</w:t>
      </w:r>
      <w:r w:rsidRPr="00635355">
        <w:t>.</w:t>
      </w:r>
      <w:r w:rsidR="002275A8" w:rsidRPr="00635355">
        <w:rPr>
          <w:rStyle w:val="FootnoteReference"/>
        </w:rPr>
        <w:footnoteReference w:id="3"/>
      </w:r>
      <w:r w:rsidR="00CD26C2" w:rsidRPr="00635355">
        <w:t xml:space="preserve"> The Committee has stated that </w:t>
      </w:r>
      <w:r w:rsidR="007B4772">
        <w:t>“</w:t>
      </w:r>
      <w:r w:rsidR="00CD26C2" w:rsidRPr="00635355">
        <w:t xml:space="preserve">a </w:t>
      </w:r>
      <w:r w:rsidR="007B4772">
        <w:t>‘</w:t>
      </w:r>
      <w:r w:rsidR="00CD26C2" w:rsidRPr="00635355">
        <w:t>claim</w:t>
      </w:r>
      <w:r w:rsidR="007B4772">
        <w:t>’</w:t>
      </w:r>
      <w:r w:rsidR="00CD26C2" w:rsidRPr="00635355">
        <w:t xml:space="preserve"> is</w:t>
      </w:r>
      <w:r w:rsidR="00D616B8">
        <w:t>,</w:t>
      </w:r>
      <w:r w:rsidR="00CD26C2" w:rsidRPr="00635355">
        <w:t xml:space="preserve"> therefore, not just an allegation, but an allegation supported by substantiating </w:t>
      </w:r>
      <w:r w:rsidR="009B6379">
        <w:t>material</w:t>
      </w:r>
      <w:r w:rsidR="008B2729" w:rsidRPr="00635355">
        <w:t>”</w:t>
      </w:r>
      <w:r w:rsidR="00CD26C2" w:rsidRPr="00635355">
        <w:t>.</w:t>
      </w:r>
      <w:r w:rsidR="00CD26C2" w:rsidRPr="00635355">
        <w:rPr>
          <w:rStyle w:val="FootnoteReference"/>
        </w:rPr>
        <w:footnoteReference w:id="4"/>
      </w:r>
      <w:r w:rsidR="00623567" w:rsidRPr="00635355">
        <w:t xml:space="preserve"> The State party maintains that the author has failed to provide substantive evidence in relation to her claims.</w:t>
      </w:r>
    </w:p>
    <w:p w:rsidR="00623567" w:rsidRPr="00635355" w:rsidRDefault="00FC00C8" w:rsidP="00D648E9">
      <w:pPr>
        <w:pStyle w:val="SingleTxtG"/>
      </w:pPr>
      <w:r w:rsidRPr="00635355">
        <w:t>4.7</w:t>
      </w:r>
      <w:r w:rsidRPr="00635355">
        <w:tab/>
      </w:r>
      <w:r w:rsidR="00623567" w:rsidRPr="00635355">
        <w:t>In the context of the author</w:t>
      </w:r>
      <w:r w:rsidR="00D648E9">
        <w:t>’</w:t>
      </w:r>
      <w:r w:rsidR="00623567" w:rsidRPr="00635355">
        <w:t xml:space="preserve">s allegations concerning a violation of her rights guaranteed by </w:t>
      </w:r>
      <w:r w:rsidR="00EF4905" w:rsidRPr="00635355">
        <w:t>article </w:t>
      </w:r>
      <w:r w:rsidR="00623567" w:rsidRPr="00635355">
        <w:t xml:space="preserve">11 of the Covenant, </w:t>
      </w:r>
      <w:r w:rsidR="00107095" w:rsidRPr="00635355">
        <w:t>the State party submits that the obligation that resulted in the author’s criminal conviction was a legal and not a contractual obligation that arose out of the author’s obligations as a director of a company</w:t>
      </w:r>
      <w:r w:rsidR="00D648E9">
        <w:t>.</w:t>
      </w:r>
      <w:r w:rsidR="00107095" w:rsidRPr="00635355">
        <w:t xml:space="preserve"> </w:t>
      </w:r>
      <w:r w:rsidR="00D648E9">
        <w:t>F</w:t>
      </w:r>
      <w:r w:rsidR="00107095" w:rsidRPr="00635355">
        <w:t>or th</w:t>
      </w:r>
      <w:r w:rsidR="00D648E9">
        <w:t>at</w:t>
      </w:r>
      <w:r w:rsidR="00107095" w:rsidRPr="00635355">
        <w:t xml:space="preserve"> reason, the author’s allegation is incompatible </w:t>
      </w:r>
      <w:r w:rsidR="00107095" w:rsidRPr="00E95D59">
        <w:rPr>
          <w:i/>
        </w:rPr>
        <w:t>ratione materiae</w:t>
      </w:r>
      <w:r w:rsidR="00107095" w:rsidRPr="00635355">
        <w:t xml:space="preserve"> as it does not relate to</w:t>
      </w:r>
      <w:r w:rsidR="006A0E74" w:rsidRPr="00635355">
        <w:t xml:space="preserve"> the</w:t>
      </w:r>
      <w:r w:rsidR="00107095" w:rsidRPr="00635355">
        <w:t xml:space="preserve"> </w:t>
      </w:r>
      <w:r w:rsidR="00D648E9">
        <w:t xml:space="preserve">rights guaranteed under the </w:t>
      </w:r>
      <w:r w:rsidR="00B26FBC" w:rsidRPr="00635355">
        <w:t>Covenant</w:t>
      </w:r>
      <w:r w:rsidR="00107095" w:rsidRPr="00635355">
        <w:t>.</w:t>
      </w:r>
    </w:p>
    <w:p w:rsidR="00F8384A" w:rsidRPr="00635355" w:rsidRDefault="00FC00C8" w:rsidP="005F0D65">
      <w:pPr>
        <w:pStyle w:val="SingleTxtG"/>
      </w:pPr>
      <w:r w:rsidRPr="00635355">
        <w:t>4.8</w:t>
      </w:r>
      <w:r w:rsidRPr="00635355">
        <w:tab/>
      </w:r>
      <w:r w:rsidR="00782F40" w:rsidRPr="00635355">
        <w:t xml:space="preserve">As to the author’s claims under </w:t>
      </w:r>
      <w:r w:rsidR="00EF4905" w:rsidRPr="00635355">
        <w:t>article </w:t>
      </w:r>
      <w:r w:rsidR="00782F40" w:rsidRPr="00635355">
        <w:t xml:space="preserve">14 of the Covenant and her allegation that her </w:t>
      </w:r>
      <w:r w:rsidR="008B2729" w:rsidRPr="00635355">
        <w:t>“</w:t>
      </w:r>
      <w:r w:rsidR="00F3726A" w:rsidRPr="00635355">
        <w:t>right to a decent legal system</w:t>
      </w:r>
      <w:r w:rsidR="008B2729" w:rsidRPr="00635355">
        <w:t>”</w:t>
      </w:r>
      <w:r w:rsidR="00F3726A" w:rsidRPr="00635355">
        <w:t xml:space="preserve"> </w:t>
      </w:r>
      <w:r w:rsidR="00782F40" w:rsidRPr="00635355">
        <w:t xml:space="preserve">has been violated, the State party notes that it is unclear </w:t>
      </w:r>
      <w:r w:rsidR="00215AB3" w:rsidRPr="00635355">
        <w:t xml:space="preserve">which </w:t>
      </w:r>
      <w:r w:rsidR="007B4772" w:rsidRPr="00635355">
        <w:t>specific</w:t>
      </w:r>
      <w:r w:rsidR="007B4772">
        <w:t xml:space="preserve"> </w:t>
      </w:r>
      <w:r w:rsidR="00215AB3" w:rsidRPr="00635355">
        <w:t xml:space="preserve">right the author claims </w:t>
      </w:r>
      <w:r w:rsidR="00D648E9">
        <w:t xml:space="preserve">has been </w:t>
      </w:r>
      <w:r w:rsidR="00215AB3" w:rsidRPr="00635355">
        <w:t>violat</w:t>
      </w:r>
      <w:r w:rsidR="00D648E9">
        <w:t>ed</w:t>
      </w:r>
      <w:r w:rsidR="00215AB3" w:rsidRPr="00635355">
        <w:t xml:space="preserve"> in the context of her allegations concerning the opportunity </w:t>
      </w:r>
      <w:r w:rsidR="00D648E9">
        <w:t xml:space="preserve">she claims she was </w:t>
      </w:r>
      <w:r w:rsidR="00D648E9" w:rsidRPr="00635355">
        <w:t>denied</w:t>
      </w:r>
      <w:r w:rsidR="00D648E9">
        <w:t xml:space="preserve"> </w:t>
      </w:r>
      <w:r w:rsidR="00215AB3" w:rsidRPr="00635355">
        <w:t>to present and contest all the arguments and evidence. The author’s discussion</w:t>
      </w:r>
      <w:r w:rsidR="00F8384A" w:rsidRPr="00635355">
        <w:t>s</w:t>
      </w:r>
      <w:r w:rsidR="00215AB3" w:rsidRPr="00635355">
        <w:t xml:space="preserve"> of her allegations in relation to </w:t>
      </w:r>
      <w:r w:rsidR="00F8384A" w:rsidRPr="00635355">
        <w:t xml:space="preserve">all </w:t>
      </w:r>
      <w:r w:rsidR="00D648E9">
        <w:t xml:space="preserve">the </w:t>
      </w:r>
      <w:r w:rsidR="00F8384A" w:rsidRPr="00635355">
        <w:t>sets of proceedings</w:t>
      </w:r>
      <w:r w:rsidR="00215AB3" w:rsidRPr="00635355">
        <w:t>, while expans</w:t>
      </w:r>
      <w:r w:rsidR="00F8384A" w:rsidRPr="00635355">
        <w:t>ive, are based solely on her own interpretation of Australian domestic law and judicial proce</w:t>
      </w:r>
      <w:r w:rsidR="00B26FBC" w:rsidRPr="00635355">
        <w:t>eding</w:t>
      </w:r>
      <w:r w:rsidR="00F8384A" w:rsidRPr="00635355">
        <w:t>s.</w:t>
      </w:r>
    </w:p>
    <w:p w:rsidR="00D44455" w:rsidRPr="00635355" w:rsidRDefault="00FC00C8" w:rsidP="00DE6C67">
      <w:pPr>
        <w:pStyle w:val="SingleTxtG"/>
      </w:pPr>
      <w:r w:rsidRPr="00635355">
        <w:t>4.9</w:t>
      </w:r>
      <w:r w:rsidRPr="00635355">
        <w:tab/>
      </w:r>
      <w:r w:rsidR="00F8384A" w:rsidRPr="00635355">
        <w:t xml:space="preserve">The State party notes that the author’s allegations in relation to </w:t>
      </w:r>
      <w:r w:rsidR="00D648E9">
        <w:t xml:space="preserve">the </w:t>
      </w:r>
      <w:r w:rsidR="008B2729" w:rsidRPr="00635355">
        <w:t>“</w:t>
      </w:r>
      <w:r w:rsidR="00F8384A" w:rsidRPr="00635355">
        <w:t>right to a competent tribunal violation</w:t>
      </w:r>
      <w:r w:rsidR="008B2729" w:rsidRPr="00635355">
        <w:t>”</w:t>
      </w:r>
      <w:r w:rsidR="00F8384A" w:rsidRPr="00635355">
        <w:t xml:space="preserve">, </w:t>
      </w:r>
      <w:r w:rsidR="008B2729" w:rsidRPr="00635355">
        <w:t>“</w:t>
      </w:r>
      <w:r w:rsidR="00F8384A" w:rsidRPr="00635355">
        <w:t>access to courts violation</w:t>
      </w:r>
      <w:r w:rsidR="008B2729" w:rsidRPr="00635355">
        <w:t>”</w:t>
      </w:r>
      <w:r w:rsidR="00F8384A" w:rsidRPr="00635355">
        <w:t xml:space="preserve">, </w:t>
      </w:r>
      <w:r w:rsidR="008B2729" w:rsidRPr="00635355">
        <w:t>“</w:t>
      </w:r>
      <w:r w:rsidR="00F8384A" w:rsidRPr="00635355">
        <w:t>violation of her right to impartial tribunal – bias rule</w:t>
      </w:r>
      <w:r w:rsidR="008B2729" w:rsidRPr="00635355">
        <w:t>”</w:t>
      </w:r>
      <w:r w:rsidR="00F8384A" w:rsidRPr="00635355">
        <w:t xml:space="preserve">, </w:t>
      </w:r>
      <w:r w:rsidR="008B2729" w:rsidRPr="00635355">
        <w:t>“</w:t>
      </w:r>
      <w:r w:rsidR="00F8384A" w:rsidRPr="00635355">
        <w:t>arbitrary decision manifest error violation</w:t>
      </w:r>
      <w:r w:rsidR="008B2729" w:rsidRPr="00635355">
        <w:t>”</w:t>
      </w:r>
      <w:r w:rsidR="00F8384A" w:rsidRPr="00635355">
        <w:t xml:space="preserve"> and </w:t>
      </w:r>
      <w:r w:rsidR="008B2729" w:rsidRPr="00635355">
        <w:t>“</w:t>
      </w:r>
      <w:r w:rsidR="00F8384A" w:rsidRPr="00635355">
        <w:t>violation of right to independent tribunal</w:t>
      </w:r>
      <w:r w:rsidR="008B2729" w:rsidRPr="00635355">
        <w:t>”</w:t>
      </w:r>
      <w:r w:rsidR="00F8384A" w:rsidRPr="00635355">
        <w:t xml:space="preserve"> all appear to refer to an alleged violation of </w:t>
      </w:r>
      <w:r w:rsidR="00EF4905" w:rsidRPr="00635355">
        <w:t>article </w:t>
      </w:r>
      <w:r w:rsidR="00F8384A" w:rsidRPr="00635355">
        <w:t xml:space="preserve">14 </w:t>
      </w:r>
      <w:r w:rsidR="00212A6E">
        <w:t>(</w:t>
      </w:r>
      <w:r w:rsidR="00F8384A" w:rsidRPr="00635355">
        <w:t>1</w:t>
      </w:r>
      <w:r w:rsidR="00212A6E">
        <w:t>)</w:t>
      </w:r>
      <w:r w:rsidR="00F8384A" w:rsidRPr="00635355">
        <w:t xml:space="preserve"> of the Covenant, in particular, to the second sentence of </w:t>
      </w:r>
      <w:r w:rsidR="00EF4905" w:rsidRPr="00635355">
        <w:t>article </w:t>
      </w:r>
      <w:r w:rsidR="00F8384A" w:rsidRPr="00635355">
        <w:t xml:space="preserve">14 </w:t>
      </w:r>
      <w:r w:rsidR="00212A6E">
        <w:t>(</w:t>
      </w:r>
      <w:r w:rsidR="00F8384A" w:rsidRPr="00635355">
        <w:t>1</w:t>
      </w:r>
      <w:r w:rsidR="00212A6E">
        <w:t>)</w:t>
      </w:r>
      <w:r w:rsidR="00F8384A" w:rsidRPr="00635355">
        <w:t>. The State party submits that the author has failed to substantiate th</w:t>
      </w:r>
      <w:r w:rsidR="007963A1">
        <w:t>o</w:t>
      </w:r>
      <w:r w:rsidR="00F8384A" w:rsidRPr="00635355">
        <w:t>se claims. It further notes that the author’s claims appear to be entirely based upon her own assessment of the legal issues</w:t>
      </w:r>
      <w:r w:rsidR="00F11505">
        <w:t>,</w:t>
      </w:r>
      <w:r w:rsidR="00F8384A" w:rsidRPr="00635355">
        <w:t xml:space="preserve"> </w:t>
      </w:r>
      <w:r w:rsidR="00BC6FBE" w:rsidRPr="00E30B30">
        <w:t>which w</w:t>
      </w:r>
      <w:r w:rsidR="00E30B30">
        <w:t>as</w:t>
      </w:r>
      <w:r w:rsidR="00BC6FBE" w:rsidRPr="00E30B30">
        <w:t xml:space="preserve"> </w:t>
      </w:r>
      <w:r w:rsidR="00F8384A" w:rsidRPr="00E30B30">
        <w:t xml:space="preserve">the subject </w:t>
      </w:r>
      <w:r w:rsidR="00BC6FBE" w:rsidRPr="00E30B30">
        <w:t xml:space="preserve">of </w:t>
      </w:r>
      <w:r w:rsidR="00F8384A" w:rsidRPr="00E30B30">
        <w:t>the</w:t>
      </w:r>
      <w:r w:rsidR="00F8384A" w:rsidRPr="00635355">
        <w:t xml:space="preserve"> numerous court appearances detailed in her communication. She has not provided any evidence of lack of competence on the part of the court. </w:t>
      </w:r>
      <w:r w:rsidR="002D6FCE" w:rsidRPr="00635355">
        <w:t>T</w:t>
      </w:r>
      <w:r w:rsidR="00F8384A" w:rsidRPr="00635355">
        <w:t xml:space="preserve">he State party submits that the interpretation of Australian law raised by the author has been addressed competently and to a sufficient degree of detail in the </w:t>
      </w:r>
      <w:r w:rsidR="002F62A5">
        <w:t>judgement</w:t>
      </w:r>
      <w:r w:rsidR="00F8384A" w:rsidRPr="00635355">
        <w:t>s of the courts</w:t>
      </w:r>
      <w:r w:rsidR="002D6FCE" w:rsidRPr="00635355">
        <w:t>. She has not provided any independent legal advice to support her claims. In th</w:t>
      </w:r>
      <w:r w:rsidR="007B4772">
        <w:t>at regard</w:t>
      </w:r>
      <w:r w:rsidR="002D6FCE" w:rsidRPr="00635355">
        <w:t xml:space="preserve">, the State party notes that the Committee has, in its previous Views, indicated that the </w:t>
      </w:r>
      <w:r w:rsidR="002D6FCE" w:rsidRPr="00635355">
        <w:lastRenderedPageBreak/>
        <w:t xml:space="preserve">Committee is not a </w:t>
      </w:r>
      <w:r w:rsidR="008B2729" w:rsidRPr="00635355">
        <w:t>“</w:t>
      </w:r>
      <w:r w:rsidR="002D6FCE" w:rsidRPr="00635355">
        <w:t>fo</w:t>
      </w:r>
      <w:r w:rsidR="007963A1">
        <w:t>u</w:t>
      </w:r>
      <w:r w:rsidR="002D6FCE" w:rsidRPr="00635355">
        <w:t>rth instance</w:t>
      </w:r>
      <w:r w:rsidR="008B2729" w:rsidRPr="00635355">
        <w:t>”</w:t>
      </w:r>
      <w:r w:rsidR="002D6FCE" w:rsidRPr="00635355">
        <w:t xml:space="preserve"> of appeal from a State’s Supreme Court and its role is not to interpret domestic legislation</w:t>
      </w:r>
      <w:r w:rsidRPr="00635355">
        <w:t>.</w:t>
      </w:r>
      <w:r w:rsidR="002D6FCE" w:rsidRPr="00635355">
        <w:rPr>
          <w:rStyle w:val="FootnoteReference"/>
        </w:rPr>
        <w:footnoteReference w:id="5"/>
      </w:r>
      <w:r w:rsidR="002D6FCE" w:rsidRPr="00635355">
        <w:t xml:space="preserve"> It submits that its judicial system satisfies the test outlined by the Committee</w:t>
      </w:r>
      <w:r w:rsidR="00EB339C">
        <w:t>,</w:t>
      </w:r>
      <w:r w:rsidR="002D6FCE" w:rsidRPr="00635355">
        <w:t xml:space="preserve"> being a body that is established by law</w:t>
      </w:r>
      <w:r w:rsidR="00EB339C">
        <w:t xml:space="preserve"> and</w:t>
      </w:r>
      <w:r w:rsidR="002D6FCE" w:rsidRPr="00635355">
        <w:t xml:space="preserve"> is independent of the executive and legislative branches of government</w:t>
      </w:r>
      <w:r w:rsidRPr="00635355">
        <w:t>.</w:t>
      </w:r>
      <w:r w:rsidR="002D6FCE" w:rsidRPr="00635355">
        <w:rPr>
          <w:rStyle w:val="FootnoteReference"/>
        </w:rPr>
        <w:footnoteReference w:id="6"/>
      </w:r>
      <w:r w:rsidR="002D6FCE" w:rsidRPr="00635355">
        <w:t xml:space="preserve"> It notes that the author has not submitted any evidence to </w:t>
      </w:r>
      <w:r w:rsidR="00FE6FCB">
        <w:t xml:space="preserve">refute </w:t>
      </w:r>
      <w:r w:rsidR="002D6FCE" w:rsidRPr="00635355">
        <w:t>th</w:t>
      </w:r>
      <w:r w:rsidR="00FE6FCB">
        <w:t>at</w:t>
      </w:r>
      <w:r w:rsidR="002D6FCE" w:rsidRPr="00635355">
        <w:t xml:space="preserve"> fact and therefore, her claims under </w:t>
      </w:r>
      <w:r w:rsidR="00EF4905" w:rsidRPr="00635355">
        <w:t>article </w:t>
      </w:r>
      <w:r w:rsidR="002D6FCE" w:rsidRPr="00635355">
        <w:t xml:space="preserve">14 </w:t>
      </w:r>
      <w:r w:rsidR="00212A6E">
        <w:t>(</w:t>
      </w:r>
      <w:r w:rsidR="002D6FCE" w:rsidRPr="00635355">
        <w:t>1</w:t>
      </w:r>
      <w:r w:rsidR="00212A6E">
        <w:t>)</w:t>
      </w:r>
      <w:r w:rsidR="002D6FCE" w:rsidRPr="00635355">
        <w:t xml:space="preserve"> should be dismissed </w:t>
      </w:r>
      <w:r w:rsidR="0009121A" w:rsidRPr="00635355">
        <w:t>as un</w:t>
      </w:r>
      <w:r w:rsidR="002D6FCE" w:rsidRPr="00635355">
        <w:t>substantiate</w:t>
      </w:r>
      <w:r w:rsidR="0009121A" w:rsidRPr="00635355">
        <w:t>d</w:t>
      </w:r>
      <w:r w:rsidR="002D6FCE" w:rsidRPr="00635355">
        <w:t xml:space="preserve"> and, in the alternative, that they are inadmissible </w:t>
      </w:r>
      <w:r w:rsidR="002D6FCE" w:rsidRPr="00E95D59">
        <w:rPr>
          <w:i/>
        </w:rPr>
        <w:t>ratione materiae</w:t>
      </w:r>
      <w:r w:rsidR="002D6FCE" w:rsidRPr="00635355">
        <w:t xml:space="preserve"> as they do not relate to rights set forth in the Covenant.</w:t>
      </w:r>
    </w:p>
    <w:p w:rsidR="002D6FCE" w:rsidRPr="00635355" w:rsidRDefault="00FC00C8" w:rsidP="00DE6C67">
      <w:pPr>
        <w:pStyle w:val="SingleTxtG"/>
      </w:pPr>
      <w:r w:rsidRPr="00635355">
        <w:t>4.10</w:t>
      </w:r>
      <w:r w:rsidRPr="00635355">
        <w:tab/>
      </w:r>
      <w:r w:rsidR="0009121A" w:rsidRPr="00635355">
        <w:t>A</w:t>
      </w:r>
      <w:r w:rsidR="00943A59" w:rsidRPr="00635355">
        <w:t>s to the author</w:t>
      </w:r>
      <w:r w:rsidR="0009121A" w:rsidRPr="00635355">
        <w:t xml:space="preserve">’s </w:t>
      </w:r>
      <w:r w:rsidR="00943A59" w:rsidRPr="00635355">
        <w:t xml:space="preserve">claim </w:t>
      </w:r>
      <w:r w:rsidR="0009121A" w:rsidRPr="00635355">
        <w:t xml:space="preserve">regarding the </w:t>
      </w:r>
      <w:r w:rsidR="008B2729" w:rsidRPr="00635355">
        <w:t>“</w:t>
      </w:r>
      <w:r w:rsidR="00943A59" w:rsidRPr="00635355">
        <w:t>access to courts</w:t>
      </w:r>
      <w:r w:rsidR="00F708DE" w:rsidRPr="00635355">
        <w:t xml:space="preserve"> violation</w:t>
      </w:r>
      <w:r w:rsidR="008B2729" w:rsidRPr="00635355">
        <w:t>”</w:t>
      </w:r>
      <w:r w:rsidR="0009121A" w:rsidRPr="00635355">
        <w:t>,</w:t>
      </w:r>
      <w:r w:rsidR="00943A59" w:rsidRPr="00635355">
        <w:t xml:space="preserve"> the State party notes that it is unsure as to the nature of this c</w:t>
      </w:r>
      <w:r w:rsidR="00F708DE" w:rsidRPr="00635355">
        <w:t xml:space="preserve">omplaint. It appears that the author is alleging that she was unable to gain access to courts; however, she </w:t>
      </w:r>
      <w:r w:rsidR="0009121A" w:rsidRPr="00635355">
        <w:t xml:space="preserve">provides copies of </w:t>
      </w:r>
      <w:r w:rsidR="002F62A5">
        <w:t>judgement</w:t>
      </w:r>
      <w:r w:rsidR="00F708DE" w:rsidRPr="00635355">
        <w:t>s, transcripts and court orders which all, o</w:t>
      </w:r>
      <w:r w:rsidR="00FE6FCB">
        <w:t>n</w:t>
      </w:r>
      <w:r w:rsidR="00F708DE" w:rsidRPr="00635355">
        <w:t xml:space="preserve"> the contrary, </w:t>
      </w:r>
      <w:r w:rsidR="00EB339C">
        <w:t xml:space="preserve">constitute </w:t>
      </w:r>
      <w:r w:rsidR="00F708DE" w:rsidRPr="00635355">
        <w:t xml:space="preserve">evidence </w:t>
      </w:r>
      <w:r w:rsidR="00EB339C">
        <w:t xml:space="preserve">of </w:t>
      </w:r>
      <w:r w:rsidR="00F708DE" w:rsidRPr="00635355">
        <w:t>her access to and use of the Australian judicial system, as well as demonstrat</w:t>
      </w:r>
      <w:r w:rsidR="00EB339C">
        <w:t>ing</w:t>
      </w:r>
      <w:r w:rsidR="00F708DE" w:rsidRPr="00635355">
        <w:t xml:space="preserve"> that she </w:t>
      </w:r>
      <w:r w:rsidR="00FE6FCB">
        <w:t xml:space="preserve">made </w:t>
      </w:r>
      <w:r w:rsidR="00F708DE" w:rsidRPr="00635355">
        <w:t>full u</w:t>
      </w:r>
      <w:r w:rsidR="00FE6FCB">
        <w:t>s</w:t>
      </w:r>
      <w:r w:rsidR="00F708DE" w:rsidRPr="00635355">
        <w:t xml:space="preserve">e </w:t>
      </w:r>
      <w:r w:rsidR="00FE6FCB">
        <w:t xml:space="preserve">of the </w:t>
      </w:r>
      <w:r w:rsidR="00F708DE" w:rsidRPr="00635355">
        <w:t>appeals procedures</w:t>
      </w:r>
      <w:r w:rsidR="00FE6FCB">
        <w:t>,</w:t>
      </w:r>
      <w:r w:rsidR="00F708DE" w:rsidRPr="00635355">
        <w:t xml:space="preserve"> as </w:t>
      </w:r>
      <w:r w:rsidR="00FE6FCB">
        <w:t xml:space="preserve">was </w:t>
      </w:r>
      <w:r w:rsidR="00F708DE" w:rsidRPr="00635355">
        <w:t xml:space="preserve">appropriate. Consequently, the State party submits that this allegation is inadmissible as the author has failed to show </w:t>
      </w:r>
      <w:r w:rsidR="00BC6FBE">
        <w:t xml:space="preserve">that she has </w:t>
      </w:r>
      <w:r w:rsidR="00F708DE" w:rsidRPr="00635355">
        <w:t xml:space="preserve">a claim </w:t>
      </w:r>
      <w:r w:rsidR="00BC6FBE">
        <w:t xml:space="preserve">that could be considered </w:t>
      </w:r>
      <w:r w:rsidR="00F708DE" w:rsidRPr="00635355">
        <w:t xml:space="preserve">under </w:t>
      </w:r>
      <w:r w:rsidR="00EF4905" w:rsidRPr="00635355">
        <w:t>article </w:t>
      </w:r>
      <w:r w:rsidR="00F708DE" w:rsidRPr="00635355">
        <w:t>2 of the Optional Protocol.</w:t>
      </w:r>
    </w:p>
    <w:p w:rsidR="00F708DE" w:rsidRPr="00635355" w:rsidRDefault="00FC00C8" w:rsidP="00DB0EBC">
      <w:pPr>
        <w:pStyle w:val="SingleTxtG"/>
      </w:pPr>
      <w:r w:rsidRPr="00635355">
        <w:t>4.11</w:t>
      </w:r>
      <w:r w:rsidRPr="00635355">
        <w:tab/>
      </w:r>
      <w:r w:rsidR="0009121A" w:rsidRPr="00635355">
        <w:t xml:space="preserve">Regarding </w:t>
      </w:r>
      <w:r w:rsidR="00F708DE" w:rsidRPr="00635355">
        <w:t xml:space="preserve">the author’s claim </w:t>
      </w:r>
      <w:r w:rsidR="0009121A" w:rsidRPr="00635355">
        <w:t xml:space="preserve">concerning the </w:t>
      </w:r>
      <w:r w:rsidR="008B2729" w:rsidRPr="00635355">
        <w:t>“</w:t>
      </w:r>
      <w:r w:rsidR="00F708DE" w:rsidRPr="00635355">
        <w:t>public hearing right violation</w:t>
      </w:r>
      <w:r w:rsidR="008B2729" w:rsidRPr="00635355">
        <w:t>”</w:t>
      </w:r>
      <w:r w:rsidR="00F708DE" w:rsidRPr="00635355">
        <w:t xml:space="preserve"> under </w:t>
      </w:r>
      <w:r w:rsidR="00EF4905" w:rsidRPr="00635355">
        <w:t>article </w:t>
      </w:r>
      <w:r w:rsidR="00F708DE" w:rsidRPr="00635355">
        <w:t>14</w:t>
      </w:r>
      <w:r w:rsidR="00EA2D55" w:rsidRPr="00635355">
        <w:t> </w:t>
      </w:r>
      <w:r w:rsidR="00212A6E">
        <w:t>(</w:t>
      </w:r>
      <w:r w:rsidR="00F708DE" w:rsidRPr="00635355">
        <w:t>1</w:t>
      </w:r>
      <w:r w:rsidR="00212A6E">
        <w:t>)</w:t>
      </w:r>
      <w:r w:rsidR="00F708DE" w:rsidRPr="00635355">
        <w:t xml:space="preserve"> of the Covenant, the State party notes that </w:t>
      </w:r>
      <w:r w:rsidR="0009121A" w:rsidRPr="00635355">
        <w:t xml:space="preserve">the copies of </w:t>
      </w:r>
      <w:r w:rsidR="00FE6FCB">
        <w:t xml:space="preserve">the </w:t>
      </w:r>
      <w:r w:rsidR="002F62A5">
        <w:t>judgement</w:t>
      </w:r>
      <w:r w:rsidR="00F708DE" w:rsidRPr="00635355">
        <w:t xml:space="preserve">s, transcripts and awards </w:t>
      </w:r>
      <w:r w:rsidR="0009121A" w:rsidRPr="00635355">
        <w:t xml:space="preserve">provided by the author show </w:t>
      </w:r>
      <w:r w:rsidR="00FE6FCB">
        <w:t xml:space="preserve">that she had </w:t>
      </w:r>
      <w:r w:rsidR="00F708DE" w:rsidRPr="00635355">
        <w:t>access to</w:t>
      </w:r>
      <w:r w:rsidR="0009121A" w:rsidRPr="00635355">
        <w:t>,</w:t>
      </w:r>
      <w:r w:rsidR="00F708DE" w:rsidRPr="00635355">
        <w:t xml:space="preserve"> and </w:t>
      </w:r>
      <w:r w:rsidR="00FE6FCB">
        <w:t xml:space="preserve">made </w:t>
      </w:r>
      <w:r w:rsidR="00F708DE" w:rsidRPr="00635355">
        <w:t>use of</w:t>
      </w:r>
      <w:r w:rsidR="0009121A" w:rsidRPr="00635355">
        <w:t>,</w:t>
      </w:r>
      <w:r w:rsidR="00F708DE" w:rsidRPr="00635355">
        <w:t xml:space="preserve"> the judicial system and a public and transparent hearing. Accordingly, the State party submits that this allegation is inadmissible as the author has failed </w:t>
      </w:r>
      <w:r w:rsidR="00F708DE" w:rsidRPr="00E30B30">
        <w:t xml:space="preserve">to show </w:t>
      </w:r>
      <w:r w:rsidR="00E30B30">
        <w:t xml:space="preserve">that she has </w:t>
      </w:r>
      <w:r w:rsidR="00F708DE" w:rsidRPr="00E30B30">
        <w:t>a claim</w:t>
      </w:r>
      <w:r w:rsidR="00F708DE" w:rsidRPr="00635355">
        <w:t xml:space="preserve"> </w:t>
      </w:r>
      <w:r w:rsidR="00E30B30">
        <w:t xml:space="preserve">that could be considered </w:t>
      </w:r>
      <w:r w:rsidR="00F708DE" w:rsidRPr="00635355">
        <w:t xml:space="preserve">under </w:t>
      </w:r>
      <w:r w:rsidR="00EF4905" w:rsidRPr="00635355">
        <w:t>article </w:t>
      </w:r>
      <w:r w:rsidR="00F708DE" w:rsidRPr="00635355">
        <w:t>2 of the Optional Protocol.</w:t>
      </w:r>
    </w:p>
    <w:p w:rsidR="00202561" w:rsidRPr="00635355" w:rsidRDefault="00FC00C8" w:rsidP="00D756B4">
      <w:pPr>
        <w:pStyle w:val="SingleTxtG"/>
      </w:pPr>
      <w:r w:rsidRPr="00635355">
        <w:t>4.12</w:t>
      </w:r>
      <w:r w:rsidRPr="00635355">
        <w:tab/>
      </w:r>
      <w:r w:rsidR="008403E5" w:rsidRPr="00635355">
        <w:t xml:space="preserve">As to the author’s claims </w:t>
      </w:r>
      <w:r w:rsidR="00BE1702" w:rsidRPr="00635355">
        <w:t xml:space="preserve">under </w:t>
      </w:r>
      <w:r w:rsidR="00EF4905" w:rsidRPr="00635355">
        <w:t>article </w:t>
      </w:r>
      <w:r w:rsidR="00BE1702" w:rsidRPr="00635355">
        <w:t>14</w:t>
      </w:r>
      <w:r w:rsidR="00EA2D55" w:rsidRPr="00635355">
        <w:t> </w:t>
      </w:r>
      <w:r w:rsidR="00212A6E">
        <w:t>(</w:t>
      </w:r>
      <w:r w:rsidR="00BE1702" w:rsidRPr="00635355">
        <w:t>2</w:t>
      </w:r>
      <w:r w:rsidR="00212A6E">
        <w:t>)</w:t>
      </w:r>
      <w:r w:rsidR="00BE1702" w:rsidRPr="00635355">
        <w:t xml:space="preserve"> of the Covenant </w:t>
      </w:r>
      <w:r w:rsidR="008403E5" w:rsidRPr="00635355">
        <w:t xml:space="preserve">in the context of the right </w:t>
      </w:r>
      <w:r w:rsidR="00BE1702" w:rsidRPr="00635355">
        <w:t xml:space="preserve">to </w:t>
      </w:r>
      <w:r w:rsidR="00FE6FCB">
        <w:t xml:space="preserve">be </w:t>
      </w:r>
      <w:r w:rsidR="00BE1702" w:rsidRPr="00635355">
        <w:t>presum</w:t>
      </w:r>
      <w:r w:rsidR="00FE6FCB">
        <w:t>ed</w:t>
      </w:r>
      <w:r w:rsidR="00BE1702" w:rsidRPr="00635355">
        <w:t xml:space="preserve"> innocen</w:t>
      </w:r>
      <w:r w:rsidR="00FE6FCB">
        <w:t>t</w:t>
      </w:r>
      <w:r w:rsidR="00BE1702" w:rsidRPr="00635355">
        <w:t xml:space="preserve">, the State party submits that she has not substantiated this claim. Instead, the author has offered </w:t>
      </w:r>
      <w:r w:rsidR="00FE6FCB">
        <w:t xml:space="preserve">her </w:t>
      </w:r>
      <w:r w:rsidR="00BE1702" w:rsidRPr="00635355">
        <w:t xml:space="preserve">personal legal analysis of the legal procedure and </w:t>
      </w:r>
      <w:r w:rsidR="00E37B8C">
        <w:t xml:space="preserve">the </w:t>
      </w:r>
      <w:r w:rsidR="00BE1702" w:rsidRPr="00635355">
        <w:t>case that resulted in her conviction. Therefore, this claim is inadmissible due to a failure to substantiate it.</w:t>
      </w:r>
    </w:p>
    <w:p w:rsidR="00BE1702" w:rsidRPr="00635355" w:rsidRDefault="00FC00C8" w:rsidP="00212A6E">
      <w:pPr>
        <w:pStyle w:val="SingleTxtG"/>
      </w:pPr>
      <w:r w:rsidRPr="00635355">
        <w:t>4.13</w:t>
      </w:r>
      <w:r w:rsidRPr="00635355">
        <w:tab/>
      </w:r>
      <w:r w:rsidR="00BE1702" w:rsidRPr="00635355">
        <w:t xml:space="preserve">As regards the author’s claims under </w:t>
      </w:r>
      <w:r w:rsidR="00EF4905" w:rsidRPr="00635355">
        <w:t>article </w:t>
      </w:r>
      <w:r w:rsidR="00BE1702" w:rsidRPr="00635355">
        <w:t>14</w:t>
      </w:r>
      <w:r w:rsidR="00EA2D55" w:rsidRPr="00635355">
        <w:t> </w:t>
      </w:r>
      <w:r w:rsidR="00212A6E">
        <w:t>(</w:t>
      </w:r>
      <w:r w:rsidR="00BE1702" w:rsidRPr="00635355">
        <w:t>3</w:t>
      </w:r>
      <w:r w:rsidR="00212A6E">
        <w:t>)</w:t>
      </w:r>
      <w:r w:rsidR="00BE1702" w:rsidRPr="00635355">
        <w:t xml:space="preserve"> of the Covenant in the context of her right to be informed of </w:t>
      </w:r>
      <w:r w:rsidR="00E37B8C">
        <w:t xml:space="preserve">the </w:t>
      </w:r>
      <w:r w:rsidR="00BE1702" w:rsidRPr="00635355">
        <w:t xml:space="preserve">facts behind </w:t>
      </w:r>
      <w:r w:rsidR="00E37B8C">
        <w:t xml:space="preserve">the </w:t>
      </w:r>
      <w:r w:rsidR="00BE1702" w:rsidRPr="00635355">
        <w:t>charge, the State party notes that she has provided and quoted the prosecution notice</w:t>
      </w:r>
      <w:r w:rsidR="00FE6FCB">
        <w:t>,</w:t>
      </w:r>
      <w:r w:rsidR="00BE1702" w:rsidRPr="00635355">
        <w:t xml:space="preserve"> which includes details of the charge. This indicates that she was informed of the facts behind the charge. Therefore, this claim should be dismissed due to lack of substantiation.</w:t>
      </w:r>
    </w:p>
    <w:p w:rsidR="00BE1702" w:rsidRPr="00635355" w:rsidRDefault="00FC00C8" w:rsidP="005F0D65">
      <w:pPr>
        <w:pStyle w:val="SingleTxtG"/>
      </w:pPr>
      <w:r w:rsidRPr="00635355">
        <w:t>4.14</w:t>
      </w:r>
      <w:r w:rsidRPr="00635355">
        <w:tab/>
      </w:r>
      <w:r w:rsidR="0009121A" w:rsidRPr="00635355">
        <w:t xml:space="preserve">Regarding </w:t>
      </w:r>
      <w:r w:rsidR="00BB4D4C" w:rsidRPr="00635355">
        <w:t>the alleg</w:t>
      </w:r>
      <w:r w:rsidR="0009121A" w:rsidRPr="00635355">
        <w:t>ed</w:t>
      </w:r>
      <w:r w:rsidR="00BB4D4C" w:rsidRPr="00635355">
        <w:t xml:space="preserve"> violation of </w:t>
      </w:r>
      <w:r w:rsidR="00EF4905" w:rsidRPr="00635355">
        <w:t>article </w:t>
      </w:r>
      <w:r w:rsidR="00BB4D4C" w:rsidRPr="00635355">
        <w:t>14</w:t>
      </w:r>
      <w:r w:rsidR="00EA2D55" w:rsidRPr="00635355">
        <w:t> </w:t>
      </w:r>
      <w:r w:rsidR="00212A6E">
        <w:t>(</w:t>
      </w:r>
      <w:r w:rsidR="00BB4D4C" w:rsidRPr="00635355">
        <w:t>1</w:t>
      </w:r>
      <w:r w:rsidR="00212A6E">
        <w:t>)</w:t>
      </w:r>
      <w:r w:rsidR="00BB4D4C" w:rsidRPr="00635355">
        <w:t xml:space="preserve"> of the Covenant</w:t>
      </w:r>
      <w:r w:rsidR="00FE6FCB">
        <w:t>,</w:t>
      </w:r>
      <w:r w:rsidR="00BB4D4C" w:rsidRPr="00635355">
        <w:t xml:space="preserve"> in the context of </w:t>
      </w:r>
      <w:r w:rsidR="00E37B8C">
        <w:t xml:space="preserve">the author being given </w:t>
      </w:r>
      <w:r w:rsidR="00BB4D4C" w:rsidRPr="00635355">
        <w:t xml:space="preserve">insufficient time </w:t>
      </w:r>
      <w:r w:rsidR="00E37B8C">
        <w:t>t</w:t>
      </w:r>
      <w:r w:rsidR="00BB4D4C" w:rsidRPr="00635355">
        <w:t>o prepar</w:t>
      </w:r>
      <w:r w:rsidR="00E37B8C">
        <w:t>e</w:t>
      </w:r>
      <w:r w:rsidR="00BB4D4C" w:rsidRPr="00635355">
        <w:t xml:space="preserve"> her case</w:t>
      </w:r>
      <w:r w:rsidR="00A4211E" w:rsidRPr="00635355">
        <w:t xml:space="preserve"> in the second set of </w:t>
      </w:r>
      <w:r w:rsidR="00921178" w:rsidRPr="00635355">
        <w:t>proceedings</w:t>
      </w:r>
      <w:r w:rsidR="0009121A" w:rsidRPr="00635355">
        <w:t xml:space="preserve">, the State party </w:t>
      </w:r>
      <w:r w:rsidR="00BB4D4C" w:rsidRPr="00635355">
        <w:t xml:space="preserve">submits that there is no temporal element to </w:t>
      </w:r>
      <w:r w:rsidR="00EF4905" w:rsidRPr="00635355">
        <w:t>article </w:t>
      </w:r>
      <w:r w:rsidR="00BB4D4C" w:rsidRPr="00635355">
        <w:t xml:space="preserve">14 </w:t>
      </w:r>
      <w:r w:rsidR="00212A6E">
        <w:t>(</w:t>
      </w:r>
      <w:r w:rsidR="00BB4D4C" w:rsidRPr="00635355">
        <w:t>1</w:t>
      </w:r>
      <w:r w:rsidR="00212A6E">
        <w:t>)</w:t>
      </w:r>
      <w:r w:rsidR="00BB4D4C" w:rsidRPr="00635355">
        <w:t xml:space="preserve"> and that </w:t>
      </w:r>
      <w:r w:rsidR="00E37B8C">
        <w:t xml:space="preserve">the </w:t>
      </w:r>
      <w:r w:rsidR="00BB4D4C" w:rsidRPr="00635355">
        <w:t xml:space="preserve">obligation in relation to time to prepare a court defence falls within the scope of </w:t>
      </w:r>
      <w:r w:rsidR="00EF4905" w:rsidRPr="00635355">
        <w:t>article </w:t>
      </w:r>
      <w:r w:rsidR="00BB4D4C" w:rsidRPr="00635355">
        <w:t>14</w:t>
      </w:r>
      <w:r w:rsidR="00212A6E">
        <w:t xml:space="preserve"> (</w:t>
      </w:r>
      <w:r w:rsidR="00BB4D4C" w:rsidRPr="00635355">
        <w:t>3</w:t>
      </w:r>
      <w:r w:rsidR="00212A6E">
        <w:t>)</w:t>
      </w:r>
      <w:r w:rsidR="00BB4D4C" w:rsidRPr="00635355">
        <w:t>. Further, the State party observes that</w:t>
      </w:r>
      <w:r w:rsidR="00E37B8C">
        <w:t>,</w:t>
      </w:r>
      <w:r w:rsidR="00BB4D4C" w:rsidRPr="00635355">
        <w:t xml:space="preserve"> in support of her claim that </w:t>
      </w:r>
      <w:r w:rsidR="00EF4905" w:rsidRPr="00635355">
        <w:t>article </w:t>
      </w:r>
      <w:r w:rsidR="00BB4D4C" w:rsidRPr="00635355">
        <w:t xml:space="preserve">14 </w:t>
      </w:r>
      <w:r w:rsidR="00212A6E">
        <w:t>(</w:t>
      </w:r>
      <w:r w:rsidR="00BB4D4C" w:rsidRPr="00635355">
        <w:t>1</w:t>
      </w:r>
      <w:r w:rsidR="00212A6E">
        <w:t>)</w:t>
      </w:r>
      <w:r w:rsidR="00BB4D4C" w:rsidRPr="00635355">
        <w:t xml:space="preserve"> provides for obligations in relation to time to prepare a legal matter, the author cites communication </w:t>
      </w:r>
      <w:r w:rsidR="00E37B8C" w:rsidRPr="00E37B8C">
        <w:t>No. 1125/2002</w:t>
      </w:r>
      <w:r w:rsidR="00E37B8C">
        <w:t xml:space="preserve">, </w:t>
      </w:r>
      <w:r w:rsidR="00BB4D4C" w:rsidRPr="00635355">
        <w:rPr>
          <w:i/>
        </w:rPr>
        <w:t xml:space="preserve">Jorge Luis Quispe Rouque </w:t>
      </w:r>
      <w:r w:rsidR="00BB4D4C" w:rsidRPr="00955DC8">
        <w:rPr>
          <w:iCs/>
        </w:rPr>
        <w:t>v.</w:t>
      </w:r>
      <w:r w:rsidR="00BB4D4C" w:rsidRPr="00635355">
        <w:rPr>
          <w:i/>
        </w:rPr>
        <w:t xml:space="preserve"> Peru</w:t>
      </w:r>
      <w:r w:rsidR="00E37B8C">
        <w:rPr>
          <w:i/>
        </w:rPr>
        <w:t>.</w:t>
      </w:r>
      <w:r w:rsidR="00BB4D4C" w:rsidRPr="00635355">
        <w:t xml:space="preserve"> </w:t>
      </w:r>
      <w:r w:rsidR="00E37B8C">
        <w:t>H</w:t>
      </w:r>
      <w:r w:rsidR="00BB4D4C" w:rsidRPr="00635355">
        <w:t>owever, th</w:t>
      </w:r>
      <w:r w:rsidR="00E37B8C">
        <w:t>at</w:t>
      </w:r>
      <w:r w:rsidR="00BB4D4C" w:rsidRPr="00635355">
        <w:t xml:space="preserve"> case provides no authority in regard to a temporal requirement for case preparation </w:t>
      </w:r>
      <w:r w:rsidR="00FE6FCB">
        <w:t xml:space="preserve">under </w:t>
      </w:r>
      <w:r w:rsidR="00EF4905" w:rsidRPr="00635355">
        <w:t>article </w:t>
      </w:r>
      <w:r w:rsidR="00BB4D4C" w:rsidRPr="00635355">
        <w:t>14</w:t>
      </w:r>
      <w:r w:rsidR="00EA2D55" w:rsidRPr="00635355">
        <w:t> </w:t>
      </w:r>
      <w:r w:rsidR="009B5128">
        <w:t>(</w:t>
      </w:r>
      <w:r w:rsidR="00BB4D4C" w:rsidRPr="00635355">
        <w:t>1</w:t>
      </w:r>
      <w:r w:rsidR="009B5128">
        <w:t>)</w:t>
      </w:r>
      <w:r w:rsidR="00BB4D4C" w:rsidRPr="00635355">
        <w:t xml:space="preserve"> of the Covenant</w:t>
      </w:r>
      <w:r w:rsidR="00E37B8C">
        <w:t>,</w:t>
      </w:r>
      <w:r w:rsidR="00BB4D4C" w:rsidRPr="00635355">
        <w:t xml:space="preserve"> as the Committee found </w:t>
      </w:r>
      <w:r w:rsidR="0009121A" w:rsidRPr="00635355">
        <w:t>in th</w:t>
      </w:r>
      <w:r w:rsidR="00E37B8C">
        <w:t>at</w:t>
      </w:r>
      <w:r w:rsidR="0009121A" w:rsidRPr="00635355">
        <w:t xml:space="preserve"> case </w:t>
      </w:r>
      <w:r w:rsidR="00BB4D4C" w:rsidRPr="00635355">
        <w:t xml:space="preserve">that there had been widespread violations of </w:t>
      </w:r>
      <w:r w:rsidR="00EF4905" w:rsidRPr="00635355">
        <w:t>article </w:t>
      </w:r>
      <w:r w:rsidR="00BB4D4C" w:rsidRPr="00635355">
        <w:t>14 rights</w:t>
      </w:r>
      <w:r w:rsidR="00E37B8C">
        <w:t>,</w:t>
      </w:r>
      <w:r w:rsidR="00BB4D4C" w:rsidRPr="00635355">
        <w:t xml:space="preserve"> without </w:t>
      </w:r>
      <w:r w:rsidR="00E37B8C">
        <w:t xml:space="preserve">making reference to any </w:t>
      </w:r>
      <w:r w:rsidR="00BB4D4C" w:rsidRPr="00635355">
        <w:t>specific subsection. Moreover, that particular case involved a criminal matter, while the author alleges violations in respect of a civil dispute.</w:t>
      </w:r>
      <w:r w:rsidR="00A4211E" w:rsidRPr="00635355">
        <w:t xml:space="preserve"> Consequently, the State party maintains that the author’s respective claims are incompatible with the provisions of the Covenant </w:t>
      </w:r>
      <w:r w:rsidR="00A4211E" w:rsidRPr="00E95D59">
        <w:rPr>
          <w:i/>
        </w:rPr>
        <w:t>ratione materiae</w:t>
      </w:r>
      <w:r w:rsidR="00A4211E" w:rsidRPr="00955DC8">
        <w:rPr>
          <w:iCs/>
        </w:rPr>
        <w:t>.</w:t>
      </w:r>
    </w:p>
    <w:p w:rsidR="00A4211E" w:rsidRPr="00635355" w:rsidRDefault="00FC00C8" w:rsidP="00DE6C67">
      <w:pPr>
        <w:pStyle w:val="SingleTxtG"/>
      </w:pPr>
      <w:r w:rsidRPr="00635355">
        <w:lastRenderedPageBreak/>
        <w:t>4.15</w:t>
      </w:r>
      <w:r w:rsidRPr="00635355">
        <w:tab/>
      </w:r>
      <w:r w:rsidR="00671648" w:rsidRPr="00635355">
        <w:t xml:space="preserve">In the alternative, the State party submits that the author’s allegations concerning insufficient time for her case preparation could be understood as an allegation of a violation of </w:t>
      </w:r>
      <w:r w:rsidR="00EF4905" w:rsidRPr="00635355">
        <w:t>article </w:t>
      </w:r>
      <w:r w:rsidR="00671648" w:rsidRPr="00635355">
        <w:t xml:space="preserve">14 </w:t>
      </w:r>
      <w:r w:rsidR="009B5128">
        <w:t>(</w:t>
      </w:r>
      <w:r w:rsidR="00671648" w:rsidRPr="00635355">
        <w:t>3</w:t>
      </w:r>
      <w:r w:rsidR="005D3092" w:rsidRPr="00635355">
        <w:t> </w:t>
      </w:r>
      <w:r w:rsidR="00671648" w:rsidRPr="00635355">
        <w:t>(b)</w:t>
      </w:r>
      <w:r w:rsidR="009B5128">
        <w:t>)</w:t>
      </w:r>
      <w:r w:rsidR="00671648" w:rsidRPr="00635355">
        <w:t xml:space="preserve"> of the Covenant. </w:t>
      </w:r>
      <w:r w:rsidR="0009121A" w:rsidRPr="00635355">
        <w:t>Given that th</w:t>
      </w:r>
      <w:r w:rsidR="000327C1">
        <w:t>o</w:t>
      </w:r>
      <w:r w:rsidR="0009121A" w:rsidRPr="00635355">
        <w:t xml:space="preserve">se </w:t>
      </w:r>
      <w:r w:rsidR="00671648" w:rsidRPr="00635355">
        <w:t>allegations relate to the second set of proceedings</w:t>
      </w:r>
      <w:r w:rsidR="000327C1">
        <w:t xml:space="preserve">, which were </w:t>
      </w:r>
      <w:r w:rsidR="00671648" w:rsidRPr="00635355">
        <w:t>civil proceedings between the administrators of the company and the author</w:t>
      </w:r>
      <w:r w:rsidR="0009121A" w:rsidRPr="00635355">
        <w:t xml:space="preserve">, </w:t>
      </w:r>
      <w:r w:rsidR="000327C1">
        <w:t xml:space="preserve">and </w:t>
      </w:r>
      <w:r w:rsidR="0009121A" w:rsidRPr="00635355">
        <w:t xml:space="preserve">which </w:t>
      </w:r>
      <w:r w:rsidR="00671648" w:rsidRPr="00635355">
        <w:t xml:space="preserve">were not </w:t>
      </w:r>
      <w:r w:rsidR="000327C1">
        <w:t xml:space="preserve">therefore </w:t>
      </w:r>
      <w:r w:rsidR="00671648" w:rsidRPr="00635355">
        <w:t xml:space="preserve">of </w:t>
      </w:r>
      <w:r w:rsidR="00FE6FCB">
        <w:t xml:space="preserve">a </w:t>
      </w:r>
      <w:r w:rsidR="00671648" w:rsidRPr="00635355">
        <w:t>criminal nature</w:t>
      </w:r>
      <w:r w:rsidR="000327C1">
        <w:t>,</w:t>
      </w:r>
      <w:r w:rsidR="00671648" w:rsidRPr="00635355">
        <w:t xml:space="preserve"> and </w:t>
      </w:r>
      <w:r w:rsidR="0009121A" w:rsidRPr="00635355">
        <w:t xml:space="preserve">given </w:t>
      </w:r>
      <w:r w:rsidR="00671648" w:rsidRPr="00635355">
        <w:t xml:space="preserve">that </w:t>
      </w:r>
      <w:r w:rsidR="00EF4905" w:rsidRPr="00635355">
        <w:t>article </w:t>
      </w:r>
      <w:r w:rsidR="00671648" w:rsidRPr="00635355">
        <w:t xml:space="preserve">14 </w:t>
      </w:r>
      <w:r w:rsidR="009B5128">
        <w:t>(</w:t>
      </w:r>
      <w:r w:rsidR="00671648" w:rsidRPr="00635355">
        <w:t>3</w:t>
      </w:r>
      <w:r w:rsidR="005D3092" w:rsidRPr="00635355">
        <w:t> </w:t>
      </w:r>
      <w:r w:rsidR="00671648" w:rsidRPr="00635355">
        <w:t>(b)</w:t>
      </w:r>
      <w:r w:rsidR="009B5128">
        <w:t>)</w:t>
      </w:r>
      <w:r w:rsidR="00671648" w:rsidRPr="00635355">
        <w:t xml:space="preserve"> deals exclusively with the rights of an accused </w:t>
      </w:r>
      <w:r w:rsidR="00FE6FCB">
        <w:t>facing</w:t>
      </w:r>
      <w:r w:rsidR="00671648" w:rsidRPr="00635355">
        <w:t xml:space="preserve"> criminal charge</w:t>
      </w:r>
      <w:r w:rsidR="0009121A" w:rsidRPr="00635355">
        <w:t xml:space="preserve">s, </w:t>
      </w:r>
      <w:r w:rsidR="001416CF" w:rsidRPr="00635355">
        <w:t xml:space="preserve">the State party maintains that this claim is incompatible </w:t>
      </w:r>
      <w:r w:rsidR="001416CF" w:rsidRPr="00E95D59">
        <w:rPr>
          <w:i/>
        </w:rPr>
        <w:t>ratione materiae</w:t>
      </w:r>
      <w:r w:rsidR="001416CF" w:rsidRPr="00635355">
        <w:t xml:space="preserve"> with the provisions of the Covenant.</w:t>
      </w:r>
    </w:p>
    <w:p w:rsidR="00BE1702" w:rsidRPr="00635355" w:rsidRDefault="001416CF" w:rsidP="00DB0EBC">
      <w:pPr>
        <w:pStyle w:val="SingleTxtG"/>
      </w:pPr>
      <w:r w:rsidRPr="00635355">
        <w:t>4.1</w:t>
      </w:r>
      <w:r w:rsidR="00F3726A" w:rsidRPr="00635355">
        <w:t>6</w:t>
      </w:r>
      <w:r w:rsidR="00FC00C8" w:rsidRPr="00635355">
        <w:tab/>
      </w:r>
      <w:r w:rsidR="0009121A" w:rsidRPr="00635355">
        <w:t xml:space="preserve">The State </w:t>
      </w:r>
      <w:r w:rsidR="00D953A3" w:rsidRPr="00635355">
        <w:t>party</w:t>
      </w:r>
      <w:r w:rsidR="0009121A" w:rsidRPr="00635355">
        <w:t xml:space="preserve"> notes that </w:t>
      </w:r>
      <w:r w:rsidRPr="00635355">
        <w:t xml:space="preserve">the author appears to allege a violation of </w:t>
      </w:r>
      <w:r w:rsidR="00EF4905" w:rsidRPr="00635355">
        <w:t>article </w:t>
      </w:r>
      <w:r w:rsidRPr="00635355">
        <w:t xml:space="preserve">14 </w:t>
      </w:r>
      <w:r w:rsidR="009B5128">
        <w:t>(</w:t>
      </w:r>
      <w:r w:rsidRPr="00635355">
        <w:t>3</w:t>
      </w:r>
      <w:r w:rsidR="003A2B61" w:rsidRPr="00635355">
        <w:t> </w:t>
      </w:r>
      <w:r w:rsidRPr="00635355">
        <w:t>(e)</w:t>
      </w:r>
      <w:r w:rsidR="009B5128">
        <w:t>)</w:t>
      </w:r>
      <w:r w:rsidRPr="00635355">
        <w:t xml:space="preserve"> of the Covenant </w:t>
      </w:r>
      <w:r w:rsidR="00F552CE" w:rsidRPr="00635355">
        <w:t>in the context of her right to summon and examine witnesses</w:t>
      </w:r>
      <w:r w:rsidR="000327C1">
        <w:t>.</w:t>
      </w:r>
      <w:r w:rsidR="0009121A" w:rsidRPr="00635355">
        <w:t xml:space="preserve"> </w:t>
      </w:r>
      <w:r w:rsidR="000327C1">
        <w:t>T</w:t>
      </w:r>
      <w:r w:rsidR="0009121A" w:rsidRPr="00635355">
        <w:t>h</w:t>
      </w:r>
      <w:r w:rsidR="000327C1">
        <w:t>at</w:t>
      </w:r>
      <w:r w:rsidR="0009121A" w:rsidRPr="00635355">
        <w:t xml:space="preserve"> provision, however, </w:t>
      </w:r>
      <w:r w:rsidR="00F552CE" w:rsidRPr="00635355">
        <w:t xml:space="preserve">refers specifically to </w:t>
      </w:r>
      <w:r w:rsidR="00D953A3" w:rsidRPr="00635355">
        <w:t xml:space="preserve">criminal </w:t>
      </w:r>
      <w:r w:rsidR="00F552CE" w:rsidRPr="00635355">
        <w:t>matters</w:t>
      </w:r>
      <w:r w:rsidR="00FE6FCB">
        <w:t>.</w:t>
      </w:r>
      <w:r w:rsidR="00F552CE" w:rsidRPr="00635355">
        <w:t xml:space="preserve"> </w:t>
      </w:r>
      <w:r w:rsidR="00FE6FCB">
        <w:t>T</w:t>
      </w:r>
      <w:r w:rsidR="000327C1">
        <w:t xml:space="preserve">he State party </w:t>
      </w:r>
      <w:r w:rsidR="00FE6FCB">
        <w:t xml:space="preserve">therefore </w:t>
      </w:r>
      <w:r w:rsidR="00F552CE" w:rsidRPr="00635355">
        <w:t xml:space="preserve">submits that the author’s claims </w:t>
      </w:r>
      <w:r w:rsidR="00F3726A" w:rsidRPr="00635355">
        <w:t>in</w:t>
      </w:r>
      <w:r w:rsidR="00F552CE" w:rsidRPr="00635355">
        <w:t xml:space="preserve"> the first and second sets of proceedings, which were both civil matters, should be found inadmissible as incompatible </w:t>
      </w:r>
      <w:r w:rsidR="00F552CE" w:rsidRPr="00E95D59">
        <w:rPr>
          <w:i/>
        </w:rPr>
        <w:t>ratione materiae</w:t>
      </w:r>
      <w:r w:rsidR="00F552CE" w:rsidRPr="00635355">
        <w:t xml:space="preserve">. In relation to the third set of proceedings, the author alleges </w:t>
      </w:r>
      <w:r w:rsidR="00D953A3" w:rsidRPr="00635355">
        <w:t xml:space="preserve">a </w:t>
      </w:r>
      <w:r w:rsidR="00F552CE" w:rsidRPr="00635355">
        <w:t>violation in relation to a witness not</w:t>
      </w:r>
      <w:r w:rsidR="00DC1651" w:rsidRPr="00635355">
        <w:t xml:space="preserve"> appearing before the court of h</w:t>
      </w:r>
      <w:r w:rsidR="006F2393" w:rsidRPr="00635355">
        <w:t>is</w:t>
      </w:r>
      <w:r w:rsidR="00DC1651" w:rsidRPr="00635355">
        <w:t>/her</w:t>
      </w:r>
      <w:r w:rsidR="00F552CE" w:rsidRPr="00635355">
        <w:t xml:space="preserve"> own volition.</w:t>
      </w:r>
      <w:r w:rsidR="00DC1651" w:rsidRPr="00635355">
        <w:t xml:space="preserve"> The State party notes that there is no requirement for a State party to compel a witness to appear in court and </w:t>
      </w:r>
      <w:r w:rsidR="00F3726A" w:rsidRPr="00635355">
        <w:t xml:space="preserve">that, in addition, </w:t>
      </w:r>
      <w:r w:rsidR="00DC1651" w:rsidRPr="00635355">
        <w:t xml:space="preserve">the author has provided no evidence to suggest that the State party specifically impinged </w:t>
      </w:r>
      <w:r w:rsidR="006F2393" w:rsidRPr="00635355">
        <w:t xml:space="preserve">upon </w:t>
      </w:r>
      <w:r w:rsidR="00DC1651" w:rsidRPr="00635355">
        <w:t>the author’s rights to call a witness to her defence.</w:t>
      </w:r>
      <w:r w:rsidR="00921178" w:rsidRPr="00635355">
        <w:t xml:space="preserve"> In </w:t>
      </w:r>
      <w:r w:rsidR="000327C1">
        <w:t xml:space="preserve">the </w:t>
      </w:r>
      <w:r w:rsidR="00921178" w:rsidRPr="00635355">
        <w:t>light of th</w:t>
      </w:r>
      <w:r w:rsidR="00012798">
        <w:t>e above</w:t>
      </w:r>
      <w:r w:rsidR="00921178" w:rsidRPr="00635355">
        <w:t>, the State party submits that th</w:t>
      </w:r>
      <w:r w:rsidR="00012798">
        <w:t>at</w:t>
      </w:r>
      <w:r w:rsidR="00921178" w:rsidRPr="00635355">
        <w:t xml:space="preserve"> claim should be dismissed as inadmissible</w:t>
      </w:r>
      <w:r w:rsidR="00012798">
        <w:t>,</w:t>
      </w:r>
      <w:r w:rsidR="00921178" w:rsidRPr="00635355">
        <w:t xml:space="preserve"> </w:t>
      </w:r>
      <w:r w:rsidR="00D953A3" w:rsidRPr="00635355">
        <w:t>as</w:t>
      </w:r>
      <w:r w:rsidR="00921178" w:rsidRPr="00635355">
        <w:t xml:space="preserve"> the author has failed to substantiate her claims and, in the alternative, that the claims are inadmissible </w:t>
      </w:r>
      <w:r w:rsidR="00921178" w:rsidRPr="00E95D59">
        <w:rPr>
          <w:i/>
        </w:rPr>
        <w:t>ratione materiae</w:t>
      </w:r>
      <w:r w:rsidR="00921178" w:rsidRPr="00635355">
        <w:t>.</w:t>
      </w:r>
    </w:p>
    <w:p w:rsidR="00921178" w:rsidRPr="00635355" w:rsidRDefault="00F3726A" w:rsidP="00D756B4">
      <w:pPr>
        <w:pStyle w:val="SingleTxtG"/>
      </w:pPr>
      <w:r w:rsidRPr="00635355">
        <w:t>4.17</w:t>
      </w:r>
      <w:r w:rsidR="00FC00C8" w:rsidRPr="00635355">
        <w:tab/>
      </w:r>
      <w:r w:rsidR="00921178" w:rsidRPr="00635355">
        <w:t xml:space="preserve">As to the author’s allegation that she has been </w:t>
      </w:r>
      <w:r w:rsidR="00012798">
        <w:t>found</w:t>
      </w:r>
      <w:r w:rsidR="00921178" w:rsidRPr="00635355">
        <w:t xml:space="preserve"> guilty of a criminal offence that amounts to a violation of </w:t>
      </w:r>
      <w:r w:rsidR="00EF4905" w:rsidRPr="00635355">
        <w:t>article </w:t>
      </w:r>
      <w:r w:rsidR="00921178" w:rsidRPr="00635355">
        <w:t>15 of the Covenant, the State party notes that she offers no further explanation or evidence</w:t>
      </w:r>
      <w:r w:rsidR="00D953A3" w:rsidRPr="00635355">
        <w:t xml:space="preserve"> in support </w:t>
      </w:r>
      <w:r w:rsidR="000327C1">
        <w:t xml:space="preserve">of that claim, </w:t>
      </w:r>
      <w:r w:rsidR="00D953A3" w:rsidRPr="00635355">
        <w:t>but she</w:t>
      </w:r>
      <w:r w:rsidR="00921178" w:rsidRPr="00635355">
        <w:t xml:space="preserve"> instead discusses the definition of </w:t>
      </w:r>
      <w:r w:rsidR="008B2729" w:rsidRPr="00635355">
        <w:t>“</w:t>
      </w:r>
      <w:r w:rsidR="00921178" w:rsidRPr="00635355">
        <w:t>books</w:t>
      </w:r>
      <w:r w:rsidR="008B2729" w:rsidRPr="00635355">
        <w:t>”</w:t>
      </w:r>
      <w:r w:rsidR="00921178" w:rsidRPr="00635355">
        <w:t xml:space="preserve"> under domestic law, specifically under the Corporations Act. Therefore, th</w:t>
      </w:r>
      <w:r w:rsidR="00012798">
        <w:t>at</w:t>
      </w:r>
      <w:r w:rsidR="00921178" w:rsidRPr="00635355">
        <w:t xml:space="preserve"> claim is inadmissible </w:t>
      </w:r>
      <w:r w:rsidR="00ED71EC" w:rsidRPr="00635355">
        <w:t xml:space="preserve">as </w:t>
      </w:r>
      <w:r w:rsidR="000327C1">
        <w:t xml:space="preserve">it is </w:t>
      </w:r>
      <w:r w:rsidR="00ED71EC" w:rsidRPr="00635355">
        <w:t>un</w:t>
      </w:r>
      <w:r w:rsidR="00921178" w:rsidRPr="00635355">
        <w:t>substantiate</w:t>
      </w:r>
      <w:r w:rsidR="00ED71EC" w:rsidRPr="00635355">
        <w:t>d</w:t>
      </w:r>
      <w:r w:rsidR="00921178" w:rsidRPr="00635355">
        <w:t xml:space="preserve">. In the alternative, the State party notes that a possible interpretation of the author’s allegation under </w:t>
      </w:r>
      <w:r w:rsidR="00EF4905" w:rsidRPr="00635355">
        <w:t>article </w:t>
      </w:r>
      <w:r w:rsidR="00921178" w:rsidRPr="00635355">
        <w:t>15 of the Covenant is that she is of the opinion that she did not commit a crime as defined under the Corporations Act. In th</w:t>
      </w:r>
      <w:r w:rsidR="000327C1">
        <w:t>at</w:t>
      </w:r>
      <w:r w:rsidR="00921178" w:rsidRPr="00635355">
        <w:t xml:space="preserve"> regard, the State party notes that </w:t>
      </w:r>
      <w:r w:rsidR="00EF4905" w:rsidRPr="00635355">
        <w:t>article </w:t>
      </w:r>
      <w:r w:rsidR="00921178" w:rsidRPr="00635355">
        <w:t xml:space="preserve">15 relates to the prohibition of </w:t>
      </w:r>
      <w:r w:rsidR="00ED71EC" w:rsidRPr="00635355">
        <w:t xml:space="preserve">retroactive </w:t>
      </w:r>
      <w:r w:rsidR="00921178" w:rsidRPr="00635355">
        <w:t>criminali</w:t>
      </w:r>
      <w:r w:rsidR="000327C1">
        <w:t>z</w:t>
      </w:r>
      <w:r w:rsidR="00921178" w:rsidRPr="00635355">
        <w:t>ation of acts and penalties except in circumstances recogni</w:t>
      </w:r>
      <w:r w:rsidR="000327C1">
        <w:t>z</w:t>
      </w:r>
      <w:r w:rsidR="00921178" w:rsidRPr="00635355">
        <w:t>ed by customary international law. Given that the author does not appear to be alleging that the Act she was charged under was not in force at the time when she was charged, the State party submits that th</w:t>
      </w:r>
      <w:r w:rsidR="00012798">
        <w:t>at</w:t>
      </w:r>
      <w:r w:rsidR="00921178" w:rsidRPr="00635355">
        <w:t xml:space="preserve"> claim is incompatible </w:t>
      </w:r>
      <w:r w:rsidR="00921178" w:rsidRPr="00E95D59">
        <w:rPr>
          <w:i/>
        </w:rPr>
        <w:t>ratione materiae</w:t>
      </w:r>
      <w:r w:rsidR="00921178" w:rsidRPr="00635355">
        <w:t xml:space="preserve"> with the provisions of the Covenant.</w:t>
      </w:r>
    </w:p>
    <w:p w:rsidR="00921178" w:rsidRPr="00635355" w:rsidRDefault="00921178" w:rsidP="00955DC8">
      <w:pPr>
        <w:pStyle w:val="SingleTxtG"/>
      </w:pPr>
      <w:r w:rsidRPr="00635355">
        <w:t>4.1</w:t>
      </w:r>
      <w:r w:rsidR="00F3726A" w:rsidRPr="00635355">
        <w:t>8</w:t>
      </w:r>
      <w:r w:rsidR="00FC00C8" w:rsidRPr="00635355">
        <w:tab/>
      </w:r>
      <w:r w:rsidR="00F11505">
        <w:t>Last</w:t>
      </w:r>
      <w:r w:rsidR="00A371A5" w:rsidRPr="00635355">
        <w:t xml:space="preserve">ly, the State party notes that </w:t>
      </w:r>
      <w:r w:rsidR="00F57081" w:rsidRPr="00635355">
        <w:t xml:space="preserve">the author alleges violation of </w:t>
      </w:r>
      <w:r w:rsidR="00EF4905" w:rsidRPr="00635355">
        <w:t>article </w:t>
      </w:r>
      <w:r w:rsidR="00F57081" w:rsidRPr="00635355">
        <w:t xml:space="preserve">17 of the Covenant </w:t>
      </w:r>
      <w:r w:rsidR="00012798">
        <w:t>owing</w:t>
      </w:r>
      <w:r w:rsidR="00F57081" w:rsidRPr="00635355">
        <w:t xml:space="preserve"> to the publishing of open court proceedings on the </w:t>
      </w:r>
      <w:r w:rsidR="000327C1">
        <w:t>I</w:t>
      </w:r>
      <w:r w:rsidR="00F57081" w:rsidRPr="00635355">
        <w:t xml:space="preserve">nternet and a loss of financial resources due to the costs of the legal proceedings. </w:t>
      </w:r>
      <w:r w:rsidR="004C63DE" w:rsidRPr="00635355">
        <w:t>The State party submits that</w:t>
      </w:r>
      <w:r w:rsidR="00012798">
        <w:t>, in order</w:t>
      </w:r>
      <w:r w:rsidR="004C63DE" w:rsidRPr="00635355">
        <w:t xml:space="preserve"> to be considered a violation of </w:t>
      </w:r>
      <w:r w:rsidR="00EF4905" w:rsidRPr="00635355">
        <w:t>article </w:t>
      </w:r>
      <w:r w:rsidR="004C63DE" w:rsidRPr="00635355">
        <w:t xml:space="preserve">17, an act must be unlawful and arbitrary or, in the case of attacks on honour and reputation, simply unlawful. The author has not provided any evidence that the publishing of court documents and a record of </w:t>
      </w:r>
      <w:r w:rsidR="00012798">
        <w:t xml:space="preserve">the </w:t>
      </w:r>
      <w:r w:rsidR="004C63DE" w:rsidRPr="00635355">
        <w:t>criminal charge w</w:t>
      </w:r>
      <w:r w:rsidR="00012798">
        <w:t>ere</w:t>
      </w:r>
      <w:r w:rsidR="004C63DE" w:rsidRPr="00635355">
        <w:t xml:space="preserve"> </w:t>
      </w:r>
      <w:r w:rsidR="000327C1">
        <w:t>carried out</w:t>
      </w:r>
      <w:r w:rsidR="004C63DE" w:rsidRPr="00635355">
        <w:t xml:space="preserve"> in a manner that was unlawful or arbitrary. Furthermore, publishing legal </w:t>
      </w:r>
      <w:r w:rsidR="002F62A5">
        <w:t>judgement</w:t>
      </w:r>
      <w:r w:rsidR="004C63DE" w:rsidRPr="00635355">
        <w:t xml:space="preserve">s is a legal requirement, a common practice and, moreover, conforms to </w:t>
      </w:r>
      <w:r w:rsidR="00EF4905" w:rsidRPr="00635355">
        <w:t>article </w:t>
      </w:r>
      <w:r w:rsidR="004C63DE" w:rsidRPr="00635355">
        <w:t xml:space="preserve">14 </w:t>
      </w:r>
      <w:r w:rsidR="009B5128">
        <w:t>(</w:t>
      </w:r>
      <w:r w:rsidR="004C63DE" w:rsidRPr="00635355">
        <w:t>1</w:t>
      </w:r>
      <w:r w:rsidR="009B5128">
        <w:t>)</w:t>
      </w:r>
      <w:r w:rsidR="004C63DE" w:rsidRPr="00635355">
        <w:t xml:space="preserve"> of the Covenant. In th</w:t>
      </w:r>
      <w:r w:rsidR="00012798">
        <w:t>at regard</w:t>
      </w:r>
      <w:r w:rsidR="004C63DE" w:rsidRPr="00635355">
        <w:t>, the State party notes that the author</w:t>
      </w:r>
      <w:r w:rsidR="00A371A5" w:rsidRPr="00635355">
        <w:t xml:space="preserve"> </w:t>
      </w:r>
      <w:r w:rsidR="004C63DE" w:rsidRPr="00635355">
        <w:t xml:space="preserve">has not claimed any of the exceptions to publishing provided for in the last sentence of </w:t>
      </w:r>
      <w:r w:rsidR="00EF4905" w:rsidRPr="00635355">
        <w:t>article </w:t>
      </w:r>
      <w:r w:rsidR="004C63DE" w:rsidRPr="00635355">
        <w:t>14</w:t>
      </w:r>
      <w:r w:rsidR="003A2B61" w:rsidRPr="00635355">
        <w:t> </w:t>
      </w:r>
      <w:r w:rsidR="009B5128">
        <w:t>(</w:t>
      </w:r>
      <w:r w:rsidR="004C63DE" w:rsidRPr="00635355">
        <w:t>1</w:t>
      </w:r>
      <w:r w:rsidR="009B5128">
        <w:t>)</w:t>
      </w:r>
      <w:r w:rsidR="00ED71EC" w:rsidRPr="00635355">
        <w:t xml:space="preserve"> of the Covenant</w:t>
      </w:r>
      <w:r w:rsidR="004C63DE" w:rsidRPr="00635355">
        <w:t xml:space="preserve">. Therefore, this claim should be dismissed </w:t>
      </w:r>
      <w:r w:rsidR="00ED71EC" w:rsidRPr="00635355">
        <w:t>as un</w:t>
      </w:r>
      <w:r w:rsidR="004C63DE" w:rsidRPr="00635355">
        <w:t>substantiate</w:t>
      </w:r>
      <w:r w:rsidR="00ED71EC" w:rsidRPr="00635355">
        <w:t>d</w:t>
      </w:r>
      <w:r w:rsidR="004C63DE" w:rsidRPr="00635355">
        <w:t xml:space="preserve">. As to the author’s claim that the court </w:t>
      </w:r>
      <w:r w:rsidR="002F62A5">
        <w:t>judgement</w:t>
      </w:r>
      <w:r w:rsidR="004C63DE" w:rsidRPr="00635355">
        <w:t xml:space="preserve">s contain </w:t>
      </w:r>
      <w:r w:rsidR="008B2729" w:rsidRPr="00635355">
        <w:t>“</w:t>
      </w:r>
      <w:r w:rsidR="004C63DE" w:rsidRPr="00635355">
        <w:t>judicial attacks on (the author’s) personality</w:t>
      </w:r>
      <w:r w:rsidR="008B2729" w:rsidRPr="00635355">
        <w:t>”</w:t>
      </w:r>
      <w:r w:rsidR="004C63DE" w:rsidRPr="00635355">
        <w:t xml:space="preserve">, the State party refers to the Committee’s previous Views in relation to </w:t>
      </w:r>
      <w:r w:rsidR="004C63DE" w:rsidRPr="00635355">
        <w:lastRenderedPageBreak/>
        <w:t>statements made by judges in the execution of their duty.</w:t>
      </w:r>
      <w:r w:rsidR="004C63DE" w:rsidRPr="00635355">
        <w:rPr>
          <w:rStyle w:val="FootnoteReference"/>
        </w:rPr>
        <w:footnoteReference w:id="7"/>
      </w:r>
      <w:r w:rsidR="003D4F88" w:rsidRPr="00635355">
        <w:t xml:space="preserve"> </w:t>
      </w:r>
      <w:r w:rsidR="003D4F88" w:rsidRPr="00635355">
        <w:rPr>
          <w:rFonts w:eastAsia="SimSun"/>
        </w:rPr>
        <w:t xml:space="preserve">Accordingly, the author’s claims are inadmissible </w:t>
      </w:r>
      <w:r w:rsidR="003D4F88" w:rsidRPr="00E95D59">
        <w:rPr>
          <w:rFonts w:eastAsia="SimSun"/>
          <w:i/>
        </w:rPr>
        <w:t>ratione materiae</w:t>
      </w:r>
      <w:r w:rsidR="003D4F88" w:rsidRPr="00635355">
        <w:rPr>
          <w:rFonts w:eastAsia="SimSun"/>
        </w:rPr>
        <w:t xml:space="preserve"> as they do not relate to rights set forth in the Covenant. Furthermore, the author claims a violation of </w:t>
      </w:r>
      <w:r w:rsidR="00EF4905" w:rsidRPr="00635355">
        <w:rPr>
          <w:rFonts w:eastAsia="SimSun"/>
        </w:rPr>
        <w:t>article </w:t>
      </w:r>
      <w:r w:rsidR="003D4F88" w:rsidRPr="00635355">
        <w:rPr>
          <w:rFonts w:eastAsia="SimSun"/>
        </w:rPr>
        <w:t>17 on account of the fact that her daughter suffered a mental illness as a result of her exposure to frequent litigation, both as a party in the proceedings a</w:t>
      </w:r>
      <w:r w:rsidR="00C63C27">
        <w:rPr>
          <w:rFonts w:eastAsia="SimSun"/>
        </w:rPr>
        <w:t>nd</w:t>
      </w:r>
      <w:r w:rsidR="003D4F88" w:rsidRPr="00635355">
        <w:rPr>
          <w:rFonts w:eastAsia="SimSun"/>
        </w:rPr>
        <w:t xml:space="preserve"> as an observer. The State party submits that this claim is inadmissible </w:t>
      </w:r>
      <w:r w:rsidR="00ED71EC" w:rsidRPr="00635355">
        <w:rPr>
          <w:rFonts w:eastAsia="SimSun"/>
        </w:rPr>
        <w:t>because it is un</w:t>
      </w:r>
      <w:r w:rsidR="003D4F88" w:rsidRPr="00635355">
        <w:rPr>
          <w:rFonts w:eastAsia="SimSun"/>
        </w:rPr>
        <w:t>substantiate</w:t>
      </w:r>
      <w:r w:rsidR="00ED71EC" w:rsidRPr="00635355">
        <w:rPr>
          <w:rFonts w:eastAsia="SimSun"/>
        </w:rPr>
        <w:t>d</w:t>
      </w:r>
      <w:r w:rsidR="003D4F88" w:rsidRPr="00635355">
        <w:rPr>
          <w:rFonts w:eastAsia="SimSun"/>
        </w:rPr>
        <w:t>.</w:t>
      </w:r>
    </w:p>
    <w:p w:rsidR="00887066" w:rsidRPr="00635355" w:rsidRDefault="00FC00C8" w:rsidP="00C63C27">
      <w:pPr>
        <w:pStyle w:val="H23G"/>
      </w:pPr>
      <w:r w:rsidRPr="00635355">
        <w:tab/>
      </w:r>
      <w:r w:rsidRPr="00635355">
        <w:tab/>
      </w:r>
      <w:r w:rsidR="00C63C27">
        <w:t>A</w:t>
      </w:r>
      <w:r w:rsidR="00887066" w:rsidRPr="00635355">
        <w:t xml:space="preserve">uthor’s comments on the State party’s observations on admissibility </w:t>
      </w:r>
    </w:p>
    <w:p w:rsidR="006E7C79" w:rsidRPr="00635355" w:rsidRDefault="00FC00C8" w:rsidP="005F0D65">
      <w:pPr>
        <w:pStyle w:val="SingleTxtG"/>
      </w:pPr>
      <w:r w:rsidRPr="00635355">
        <w:t>5.1</w:t>
      </w:r>
      <w:r w:rsidRPr="00635355">
        <w:tab/>
      </w:r>
      <w:r w:rsidR="00887066" w:rsidRPr="00635355">
        <w:t xml:space="preserve">In reply to the State party’s observations, on 28 May 2011, the </w:t>
      </w:r>
      <w:r w:rsidR="00543DAA" w:rsidRPr="00635355">
        <w:t xml:space="preserve">author </w:t>
      </w:r>
      <w:r w:rsidR="00564AC2" w:rsidRPr="00635355">
        <w:t>submit</w:t>
      </w:r>
      <w:r w:rsidR="00C63C27">
        <w:t>ted</w:t>
      </w:r>
      <w:r w:rsidR="00564AC2" w:rsidRPr="00635355">
        <w:t xml:space="preserve"> that</w:t>
      </w:r>
      <w:r w:rsidR="00C63C27">
        <w:t>,</w:t>
      </w:r>
      <w:r w:rsidR="00564AC2" w:rsidRPr="00635355">
        <w:t xml:space="preserve"> even though she had not supported some of her allegations with evidence, she </w:t>
      </w:r>
      <w:r w:rsidR="00543DAA" w:rsidRPr="00635355">
        <w:t>disagree</w:t>
      </w:r>
      <w:r w:rsidR="00C63C27">
        <w:t>d</w:t>
      </w:r>
      <w:r w:rsidR="00543DAA" w:rsidRPr="00635355">
        <w:t xml:space="preserve"> with the State party’s submission that her claims </w:t>
      </w:r>
      <w:r w:rsidR="00C63C27">
        <w:t>we</w:t>
      </w:r>
      <w:r w:rsidR="00543DAA" w:rsidRPr="00635355">
        <w:t xml:space="preserve">re inadmissible </w:t>
      </w:r>
      <w:r w:rsidR="006F2393" w:rsidRPr="00635355">
        <w:t>on the ground that</w:t>
      </w:r>
      <w:r w:rsidR="00543DAA" w:rsidRPr="00635355">
        <w:t xml:space="preserve"> they d</w:t>
      </w:r>
      <w:r w:rsidR="00012798">
        <w:t>id</w:t>
      </w:r>
      <w:r w:rsidR="00543DAA" w:rsidRPr="00635355">
        <w:t xml:space="preserve"> not relate to </w:t>
      </w:r>
      <w:r w:rsidR="00F3726A" w:rsidRPr="00635355">
        <w:t xml:space="preserve">the </w:t>
      </w:r>
      <w:r w:rsidR="00543DAA" w:rsidRPr="00635355">
        <w:t>rights set forth in the Covenant. She reiter</w:t>
      </w:r>
      <w:r w:rsidR="00564AC2" w:rsidRPr="00635355">
        <w:t>ate</w:t>
      </w:r>
      <w:r w:rsidR="00C63C27">
        <w:t>d</w:t>
      </w:r>
      <w:r w:rsidR="00564AC2" w:rsidRPr="00635355">
        <w:t xml:space="preserve"> </w:t>
      </w:r>
      <w:r w:rsidR="00C63C27">
        <w:t xml:space="preserve">in </w:t>
      </w:r>
      <w:r w:rsidR="00564AC2" w:rsidRPr="00635355">
        <w:t>detail</w:t>
      </w:r>
      <w:r w:rsidR="00543DAA" w:rsidRPr="00635355">
        <w:t xml:space="preserve"> the </w:t>
      </w:r>
      <w:r w:rsidR="00ED71EC" w:rsidRPr="00635355">
        <w:t>circumstances of</w:t>
      </w:r>
      <w:r w:rsidR="00543DAA" w:rsidRPr="00635355">
        <w:t xml:space="preserve"> the three sets of proceedings</w:t>
      </w:r>
      <w:r w:rsidR="00564AC2" w:rsidRPr="00635355">
        <w:t xml:space="preserve"> and submit</w:t>
      </w:r>
      <w:r w:rsidR="00C63C27">
        <w:t>ted</w:t>
      </w:r>
      <w:r w:rsidR="00564AC2" w:rsidRPr="00635355">
        <w:t xml:space="preserve"> that her </w:t>
      </w:r>
      <w:r w:rsidR="008B2729" w:rsidRPr="00635355">
        <w:t>“</w:t>
      </w:r>
      <w:r w:rsidR="00564AC2" w:rsidRPr="00635355">
        <w:t>complaint is about the State party’s failure to provide a decent court (to her)</w:t>
      </w:r>
      <w:r w:rsidR="008B2729" w:rsidRPr="00635355">
        <w:t>”</w:t>
      </w:r>
      <w:r w:rsidR="00543DAA" w:rsidRPr="00635355">
        <w:t>.</w:t>
      </w:r>
      <w:r w:rsidR="005C34CB" w:rsidRPr="00635355">
        <w:t xml:space="preserve"> </w:t>
      </w:r>
      <w:r w:rsidR="00564AC2" w:rsidRPr="00635355">
        <w:t xml:space="preserve">The State party </w:t>
      </w:r>
      <w:r w:rsidR="008B2729" w:rsidRPr="00635355">
        <w:t>“</w:t>
      </w:r>
      <w:r w:rsidR="00564AC2" w:rsidRPr="00635355">
        <w:t>conducted three series of totally vexatious and malicious court proceedings against (her) personally, purportedly under corporations law</w:t>
      </w:r>
      <w:r w:rsidR="00F3726A" w:rsidRPr="00635355">
        <w:t xml:space="preserve">. </w:t>
      </w:r>
      <w:r w:rsidR="00564AC2" w:rsidRPr="00635355">
        <w:t>These proceedings suffered for want of jurisdiction, justiciable controversy, lacked proper parties and were altogether unconstitutional, which amounts to fundamental procedural failures</w:t>
      </w:r>
      <w:r w:rsidR="008B2729" w:rsidRPr="00635355">
        <w:t>”</w:t>
      </w:r>
      <w:r w:rsidR="00012798">
        <w:t>.</w:t>
      </w:r>
      <w:r w:rsidR="00564AC2" w:rsidRPr="00635355">
        <w:t xml:space="preserve"> The author </w:t>
      </w:r>
      <w:r w:rsidR="004D704F">
        <w:t xml:space="preserve">claimed that she </w:t>
      </w:r>
      <w:r w:rsidR="00564AC2" w:rsidRPr="00635355">
        <w:t>was victimized by the judicial branch of the State party, which</w:t>
      </w:r>
      <w:r w:rsidR="00B009F7" w:rsidRPr="00635355">
        <w:t xml:space="preserve"> </w:t>
      </w:r>
      <w:r w:rsidR="008B2729" w:rsidRPr="00635355">
        <w:t>“</w:t>
      </w:r>
      <w:r w:rsidR="00564AC2" w:rsidRPr="00635355">
        <w:t xml:space="preserve">with wanton disregard to (her) right to self-determination, in free pursuit of (her) chosen occupation, for (her) own ends to freely pursue economic, social and cultural development, to freely dispose of (her) resources, as </w:t>
      </w:r>
      <w:r w:rsidR="001425A7" w:rsidRPr="00635355">
        <w:t>stipulated</w:t>
      </w:r>
      <w:r w:rsidR="00564AC2" w:rsidRPr="00635355">
        <w:t xml:space="preserve"> </w:t>
      </w:r>
      <w:r w:rsidR="00F3726A" w:rsidRPr="00635355">
        <w:t xml:space="preserve">under </w:t>
      </w:r>
      <w:r w:rsidR="00EF4905" w:rsidRPr="00635355">
        <w:t>article </w:t>
      </w:r>
      <w:r w:rsidR="00564AC2" w:rsidRPr="00635355">
        <w:t>1 of the Covenant</w:t>
      </w:r>
      <w:r w:rsidR="008B2729" w:rsidRPr="00635355">
        <w:t>”</w:t>
      </w:r>
      <w:r w:rsidR="00564AC2" w:rsidRPr="00635355">
        <w:t>, violated articles</w:t>
      </w:r>
      <w:r w:rsidR="003A2B61" w:rsidRPr="00635355">
        <w:t> </w:t>
      </w:r>
      <w:r w:rsidR="00564AC2" w:rsidRPr="00635355">
        <w:t>14</w:t>
      </w:r>
      <w:r w:rsidR="004D704F">
        <w:t>,</w:t>
      </w:r>
      <w:r w:rsidR="00F3726A" w:rsidRPr="00635355">
        <w:t xml:space="preserve"> 15 and 17 of the Covenant</w:t>
      </w:r>
      <w:r w:rsidR="005314DE" w:rsidRPr="00635355">
        <w:t>.</w:t>
      </w:r>
    </w:p>
    <w:p w:rsidR="004C63DE" w:rsidRPr="00635355" w:rsidRDefault="00FC00C8" w:rsidP="00DE6C67">
      <w:pPr>
        <w:pStyle w:val="SingleTxtG"/>
      </w:pPr>
      <w:r w:rsidRPr="00635355">
        <w:t>5.2</w:t>
      </w:r>
      <w:r w:rsidRPr="00635355">
        <w:tab/>
      </w:r>
      <w:r w:rsidR="00564AC2" w:rsidRPr="00635355">
        <w:t xml:space="preserve">In particular, by referring to </w:t>
      </w:r>
      <w:r w:rsidR="00EF4905" w:rsidRPr="00635355">
        <w:t>article </w:t>
      </w:r>
      <w:r w:rsidR="00564AC2" w:rsidRPr="00635355">
        <w:t>14</w:t>
      </w:r>
      <w:r w:rsidR="005314DE" w:rsidRPr="00635355">
        <w:t xml:space="preserve"> </w:t>
      </w:r>
      <w:r w:rsidR="009B5128">
        <w:t>(</w:t>
      </w:r>
      <w:r w:rsidR="005314DE" w:rsidRPr="00635355">
        <w:t>1</w:t>
      </w:r>
      <w:r w:rsidR="009B5128">
        <w:t>)</w:t>
      </w:r>
      <w:r w:rsidR="005314DE" w:rsidRPr="00635355">
        <w:t xml:space="preserve"> in conjunction with </w:t>
      </w:r>
      <w:r w:rsidR="00EF4905" w:rsidRPr="00635355">
        <w:t>article </w:t>
      </w:r>
      <w:r w:rsidR="005314DE" w:rsidRPr="00635355">
        <w:t>2</w:t>
      </w:r>
      <w:r w:rsidR="00EA2D55" w:rsidRPr="00635355">
        <w:t> </w:t>
      </w:r>
      <w:r w:rsidR="009B5128">
        <w:t>(</w:t>
      </w:r>
      <w:r w:rsidR="005314DE" w:rsidRPr="00635355">
        <w:t>2</w:t>
      </w:r>
      <w:r w:rsidR="009B5128">
        <w:t>)</w:t>
      </w:r>
      <w:r w:rsidR="005314DE" w:rsidRPr="00635355">
        <w:t xml:space="preserve"> of the Covenant, </w:t>
      </w:r>
      <w:r w:rsidR="00564AC2" w:rsidRPr="00635355">
        <w:t>t</w:t>
      </w:r>
      <w:r w:rsidR="00543DAA" w:rsidRPr="00635355">
        <w:t xml:space="preserve">he author submits that the State party has failed to ensure a judicial system </w:t>
      </w:r>
      <w:r w:rsidR="004D704F">
        <w:t xml:space="preserve">that </w:t>
      </w:r>
      <w:r w:rsidR="00543DAA" w:rsidRPr="00635355">
        <w:t>fulfil</w:t>
      </w:r>
      <w:r w:rsidR="004D704F">
        <w:t>s</w:t>
      </w:r>
      <w:r w:rsidR="00543DAA" w:rsidRPr="00635355">
        <w:t xml:space="preserve"> the criteria of competence, independence and impartiality</w:t>
      </w:r>
      <w:r w:rsidR="004D704F">
        <w:t>,</w:t>
      </w:r>
      <w:r w:rsidR="00543DAA" w:rsidRPr="00635355">
        <w:t xml:space="preserve"> as required by </w:t>
      </w:r>
      <w:r w:rsidR="00EF4905" w:rsidRPr="00635355">
        <w:t>article </w:t>
      </w:r>
      <w:r w:rsidR="00543DAA" w:rsidRPr="00635355">
        <w:t>14 of the Covenant</w:t>
      </w:r>
      <w:r w:rsidR="00B009F7" w:rsidRPr="00635355">
        <w:t>,</w:t>
      </w:r>
      <w:r w:rsidR="005314DE" w:rsidRPr="00635355">
        <w:t xml:space="preserve"> and that the State party refuses to take the necessary steps to adopt laws in order to give effect to the rights protected </w:t>
      </w:r>
      <w:r w:rsidR="004D704F">
        <w:t>under</w:t>
      </w:r>
      <w:r w:rsidR="005314DE" w:rsidRPr="00635355">
        <w:t xml:space="preserve"> </w:t>
      </w:r>
      <w:r w:rsidR="00EF4905" w:rsidRPr="00635355">
        <w:t>article </w:t>
      </w:r>
      <w:r w:rsidR="005314DE" w:rsidRPr="00635355">
        <w:t xml:space="preserve">14 </w:t>
      </w:r>
      <w:r w:rsidR="009B5128">
        <w:t>(</w:t>
      </w:r>
      <w:r w:rsidR="005314DE" w:rsidRPr="00635355">
        <w:t>1</w:t>
      </w:r>
      <w:r w:rsidR="009B5128">
        <w:t>)</w:t>
      </w:r>
      <w:r w:rsidR="005314DE" w:rsidRPr="00635355">
        <w:t>.</w:t>
      </w:r>
      <w:r w:rsidR="00543DAA" w:rsidRPr="00635355">
        <w:t xml:space="preserve"> The State party’s courts are not independent as they are appointed by the executive branch without any objective criteria </w:t>
      </w:r>
      <w:r w:rsidR="005314DE" w:rsidRPr="00635355">
        <w:t xml:space="preserve">and </w:t>
      </w:r>
      <w:r w:rsidR="00C52975" w:rsidRPr="00635355">
        <w:t xml:space="preserve">there are no adverse legal consequences </w:t>
      </w:r>
      <w:r w:rsidR="00012798">
        <w:t xml:space="preserve">for </w:t>
      </w:r>
      <w:r w:rsidR="005314DE" w:rsidRPr="00635355">
        <w:t xml:space="preserve">judges </w:t>
      </w:r>
      <w:r w:rsidR="00012798">
        <w:t xml:space="preserve">found guilty </w:t>
      </w:r>
      <w:r w:rsidR="00B009F7" w:rsidRPr="00635355">
        <w:t xml:space="preserve">of </w:t>
      </w:r>
      <w:r w:rsidR="005314DE" w:rsidRPr="00635355">
        <w:t>gross misbehaviour.</w:t>
      </w:r>
      <w:r w:rsidR="000C037E" w:rsidRPr="00635355">
        <w:t xml:space="preserve"> </w:t>
      </w:r>
      <w:r w:rsidR="00891621" w:rsidRPr="00635355">
        <w:t>O</w:t>
      </w:r>
      <w:r w:rsidR="000C037E" w:rsidRPr="00635355">
        <w:t>ver the last six years</w:t>
      </w:r>
      <w:r w:rsidR="004D704F">
        <w:t>,</w:t>
      </w:r>
      <w:r w:rsidR="000C037E" w:rsidRPr="00635355">
        <w:t xml:space="preserve"> she </w:t>
      </w:r>
      <w:r w:rsidR="004D704F">
        <w:t xml:space="preserve">claims that she </w:t>
      </w:r>
      <w:r w:rsidR="000C037E" w:rsidRPr="00635355">
        <w:t xml:space="preserve">has been </w:t>
      </w:r>
      <w:r w:rsidR="008B2729" w:rsidRPr="00635355">
        <w:t>“</w:t>
      </w:r>
      <w:r w:rsidR="000C037E" w:rsidRPr="00635355">
        <w:t>actually terrori</w:t>
      </w:r>
      <w:r w:rsidR="004D704F">
        <w:t>z</w:t>
      </w:r>
      <w:r w:rsidR="000C037E" w:rsidRPr="00635355">
        <w:t>ed and (her) life was ruined with the use of (the State party’s) courts</w:t>
      </w:r>
      <w:r w:rsidR="008B2729" w:rsidRPr="00635355">
        <w:t>”</w:t>
      </w:r>
      <w:r w:rsidR="004D704F">
        <w:t>.</w:t>
      </w:r>
      <w:r w:rsidR="000C037E" w:rsidRPr="00635355">
        <w:t xml:space="preserve"> As a result, she cannot initiate proceedings against L., D.</w:t>
      </w:r>
      <w:r w:rsidR="006F2393" w:rsidRPr="00635355">
        <w:t xml:space="preserve"> and the administrators</w:t>
      </w:r>
      <w:r w:rsidR="000C037E" w:rsidRPr="00635355">
        <w:t xml:space="preserve"> for compensation as, given her past </w:t>
      </w:r>
      <w:r w:rsidR="001E5DBC" w:rsidRPr="00635355">
        <w:t>experience</w:t>
      </w:r>
      <w:r w:rsidR="004D704F">
        <w:t>,</w:t>
      </w:r>
      <w:r w:rsidR="000C037E" w:rsidRPr="00635355">
        <w:t xml:space="preserve"> </w:t>
      </w:r>
      <w:r w:rsidR="00B009F7" w:rsidRPr="00635355">
        <w:t>s</w:t>
      </w:r>
      <w:r w:rsidR="000C037E" w:rsidRPr="00635355">
        <w:t xml:space="preserve">he can expect only manifestly unreasonable </w:t>
      </w:r>
      <w:r w:rsidR="002F62A5">
        <w:t>judgement</w:t>
      </w:r>
      <w:r w:rsidR="00E0525C" w:rsidRPr="00635355">
        <w:t>s.</w:t>
      </w:r>
    </w:p>
    <w:p w:rsidR="00421210" w:rsidRPr="00635355" w:rsidRDefault="00FC00C8" w:rsidP="00DB0EBC">
      <w:pPr>
        <w:pStyle w:val="SingleTxtG"/>
      </w:pPr>
      <w:r w:rsidRPr="00635355">
        <w:t>5.3</w:t>
      </w:r>
      <w:r w:rsidRPr="00635355">
        <w:tab/>
      </w:r>
      <w:r w:rsidR="00421210" w:rsidRPr="00635355">
        <w:t xml:space="preserve">The author notes that since 17 June 2009, she has been requesting </w:t>
      </w:r>
      <w:r w:rsidR="00012798">
        <w:t xml:space="preserve">that </w:t>
      </w:r>
      <w:r w:rsidR="00421210" w:rsidRPr="00635355">
        <w:t xml:space="preserve">the Attorney General participate in the first set of proceedings in order to ensure </w:t>
      </w:r>
      <w:r w:rsidR="008B2729" w:rsidRPr="00635355">
        <w:t>“</w:t>
      </w:r>
      <w:r w:rsidR="00421210" w:rsidRPr="00635355">
        <w:t>a fair trial</w:t>
      </w:r>
      <w:r w:rsidR="008B2729" w:rsidRPr="00635355">
        <w:t>”</w:t>
      </w:r>
      <w:r w:rsidR="00421210" w:rsidRPr="00635355">
        <w:t xml:space="preserve">, in vain. The second and third sets of proceedings were unconstitutional per se, </w:t>
      </w:r>
      <w:r w:rsidR="00B009F7" w:rsidRPr="00635355">
        <w:t xml:space="preserve">and are </w:t>
      </w:r>
      <w:r w:rsidR="00421210" w:rsidRPr="00635355">
        <w:t xml:space="preserve">therefore </w:t>
      </w:r>
      <w:r w:rsidR="008B2729" w:rsidRPr="00635355">
        <w:t>“</w:t>
      </w:r>
      <w:r w:rsidR="00421210" w:rsidRPr="00635355">
        <w:t>null and void</w:t>
      </w:r>
      <w:r w:rsidR="008B2729" w:rsidRPr="00635355">
        <w:t>”</w:t>
      </w:r>
      <w:r w:rsidR="00421210" w:rsidRPr="00635355">
        <w:t>. The author explain</w:t>
      </w:r>
      <w:r w:rsidR="00B009F7" w:rsidRPr="00635355">
        <w:t>s</w:t>
      </w:r>
      <w:r w:rsidR="00421210" w:rsidRPr="00635355">
        <w:t xml:space="preserve"> at length that the domestic courts in all three sets of proceedings were not competent tribunals within the meaning of </w:t>
      </w:r>
      <w:r w:rsidR="00EF4905" w:rsidRPr="00635355">
        <w:t>article </w:t>
      </w:r>
      <w:r w:rsidR="00421210" w:rsidRPr="00635355">
        <w:t>14</w:t>
      </w:r>
      <w:r w:rsidR="00EA2D55" w:rsidRPr="00635355">
        <w:t> </w:t>
      </w:r>
      <w:r w:rsidR="009B5128">
        <w:t>(</w:t>
      </w:r>
      <w:r w:rsidR="00421210" w:rsidRPr="00635355">
        <w:t>1</w:t>
      </w:r>
      <w:r w:rsidR="009B5128">
        <w:t>)</w:t>
      </w:r>
      <w:r w:rsidR="00421210" w:rsidRPr="00635355">
        <w:t xml:space="preserve"> of the Covenant, as the</w:t>
      </w:r>
      <w:r w:rsidR="00B009F7" w:rsidRPr="00635355">
        <w:t>y</w:t>
      </w:r>
      <w:r w:rsidR="00421210" w:rsidRPr="00635355">
        <w:t xml:space="preserve"> lacked jurisdiction due to different circumstances and reasons related to the parties of the proceedings, </w:t>
      </w:r>
      <w:r w:rsidR="00E71619" w:rsidRPr="00635355">
        <w:t xml:space="preserve">the </w:t>
      </w:r>
      <w:r w:rsidR="00421210" w:rsidRPr="00635355">
        <w:t xml:space="preserve">standing of </w:t>
      </w:r>
      <w:r w:rsidR="004D704F">
        <w:t xml:space="preserve">the </w:t>
      </w:r>
      <w:r w:rsidR="00421210" w:rsidRPr="00635355">
        <w:t xml:space="preserve">plaintiff, the </w:t>
      </w:r>
      <w:r w:rsidR="009B5128" w:rsidRPr="00635355">
        <w:t>authority</w:t>
      </w:r>
      <w:r w:rsidR="009B5128">
        <w:t xml:space="preserve"> of </w:t>
      </w:r>
      <w:r w:rsidR="00421210" w:rsidRPr="00635355">
        <w:t>ASIC t</w:t>
      </w:r>
      <w:r w:rsidR="00541729" w:rsidRPr="00635355">
        <w:t>o initiate proceedings against the author</w:t>
      </w:r>
      <w:r w:rsidR="009B5128">
        <w:t xml:space="preserve"> and</w:t>
      </w:r>
      <w:r w:rsidR="00C33062" w:rsidRPr="00635355">
        <w:t xml:space="preserve"> </w:t>
      </w:r>
      <w:r w:rsidR="004D704F">
        <w:t xml:space="preserve">the </w:t>
      </w:r>
      <w:r w:rsidR="00C33062" w:rsidRPr="00635355">
        <w:t xml:space="preserve">lack of </w:t>
      </w:r>
      <w:r w:rsidR="008B2729" w:rsidRPr="00635355">
        <w:t>“</w:t>
      </w:r>
      <w:r w:rsidR="00C33062" w:rsidRPr="00635355">
        <w:t>matter</w:t>
      </w:r>
      <w:r w:rsidR="008B2729" w:rsidRPr="00635355">
        <w:t>”</w:t>
      </w:r>
      <w:r w:rsidR="00C33062" w:rsidRPr="00635355">
        <w:t>.</w:t>
      </w:r>
    </w:p>
    <w:p w:rsidR="00C33062" w:rsidRPr="00635355" w:rsidRDefault="00FC00C8" w:rsidP="00D756B4">
      <w:pPr>
        <w:pStyle w:val="SingleTxtG"/>
      </w:pPr>
      <w:r w:rsidRPr="00635355">
        <w:t>5.4</w:t>
      </w:r>
      <w:r w:rsidRPr="00635355">
        <w:tab/>
      </w:r>
      <w:r w:rsidR="0048091B" w:rsidRPr="00635355">
        <w:t xml:space="preserve">The author </w:t>
      </w:r>
      <w:r w:rsidR="00B009F7" w:rsidRPr="00635355">
        <w:t xml:space="preserve">also </w:t>
      </w:r>
      <w:r w:rsidR="0048091B" w:rsidRPr="00635355">
        <w:t xml:space="preserve">claims judicial incompetence and arbitrariness </w:t>
      </w:r>
      <w:r w:rsidR="00E41B89" w:rsidRPr="00635355">
        <w:t xml:space="preserve">in all </w:t>
      </w:r>
      <w:r w:rsidR="004D704F">
        <w:t xml:space="preserve">the </w:t>
      </w:r>
      <w:r w:rsidR="00E41B89" w:rsidRPr="00635355">
        <w:t>sets of proceedings</w:t>
      </w:r>
      <w:r w:rsidR="00B009F7" w:rsidRPr="00635355">
        <w:t>,</w:t>
      </w:r>
      <w:r w:rsidR="00E41B89" w:rsidRPr="00635355">
        <w:t xml:space="preserve"> </w:t>
      </w:r>
      <w:r w:rsidR="0048091B" w:rsidRPr="00635355">
        <w:t xml:space="preserve">in violation of </w:t>
      </w:r>
      <w:r w:rsidR="00EF4905" w:rsidRPr="00635355">
        <w:t>article </w:t>
      </w:r>
      <w:r w:rsidR="0048091B" w:rsidRPr="00635355">
        <w:t>14</w:t>
      </w:r>
      <w:r w:rsidR="00EA2D55" w:rsidRPr="00635355">
        <w:t> </w:t>
      </w:r>
      <w:r w:rsidR="009B5128">
        <w:t>(</w:t>
      </w:r>
      <w:r w:rsidR="0048091B" w:rsidRPr="00635355">
        <w:t>1</w:t>
      </w:r>
      <w:r w:rsidR="009B5128">
        <w:t>)</w:t>
      </w:r>
      <w:r w:rsidR="0048091B" w:rsidRPr="00635355">
        <w:t xml:space="preserve"> of the Covenant. She submits that in the first set of proceedings</w:t>
      </w:r>
      <w:r w:rsidR="00B009F7" w:rsidRPr="00635355">
        <w:t>,</w:t>
      </w:r>
      <w:r w:rsidR="0048091B" w:rsidRPr="00635355">
        <w:t xml:space="preserve"> all the laws </w:t>
      </w:r>
      <w:r w:rsidR="00895812">
        <w:t>invoked</w:t>
      </w:r>
      <w:r w:rsidR="0048091B" w:rsidRPr="00635355">
        <w:t xml:space="preserve"> were misinterpreted </w:t>
      </w:r>
      <w:r w:rsidR="00B009F7" w:rsidRPr="00635355">
        <w:t>or</w:t>
      </w:r>
      <w:r w:rsidR="0048091B" w:rsidRPr="00635355">
        <w:t xml:space="preserve"> misapplied. </w:t>
      </w:r>
      <w:r w:rsidR="003871B8" w:rsidRPr="00635355">
        <w:t>S</w:t>
      </w:r>
      <w:r w:rsidR="0048091B" w:rsidRPr="00635355">
        <w:t>he</w:t>
      </w:r>
      <w:r w:rsidR="008B5DEA" w:rsidRPr="00635355">
        <w:t xml:space="preserve"> </w:t>
      </w:r>
      <w:r w:rsidR="003871B8" w:rsidRPr="00635355">
        <w:t xml:space="preserve">considers that </w:t>
      </w:r>
      <w:r w:rsidR="008B5DEA" w:rsidRPr="00635355">
        <w:t>different sections of the Corporations Act were</w:t>
      </w:r>
      <w:r w:rsidR="0048091B" w:rsidRPr="00635355">
        <w:t xml:space="preserve"> completely misinterpreted </w:t>
      </w:r>
      <w:r w:rsidR="008B5DEA" w:rsidRPr="00635355">
        <w:t xml:space="preserve">by the court and </w:t>
      </w:r>
      <w:r w:rsidR="003871B8" w:rsidRPr="00635355">
        <w:t>claims that the</w:t>
      </w:r>
      <w:r w:rsidR="0048091B" w:rsidRPr="00635355">
        <w:t xml:space="preserve"> injunction to prevent her from being a director of the company</w:t>
      </w:r>
      <w:r w:rsidR="008B5DEA" w:rsidRPr="00635355">
        <w:t xml:space="preserve"> was granted unlawfully</w:t>
      </w:r>
      <w:r w:rsidR="0048091B" w:rsidRPr="00635355">
        <w:t>.</w:t>
      </w:r>
      <w:r w:rsidR="005C34CB" w:rsidRPr="00635355">
        <w:t xml:space="preserve"> </w:t>
      </w:r>
      <w:r w:rsidR="008B5DEA" w:rsidRPr="00635355">
        <w:t>In the second set of proceedings concerning whether L</w:t>
      </w:r>
      <w:r w:rsidR="009B5128">
        <w:t>.</w:t>
      </w:r>
      <w:r w:rsidR="008B5DEA" w:rsidRPr="00635355">
        <w:t xml:space="preserve"> and D. were directors </w:t>
      </w:r>
      <w:r w:rsidR="008B5DEA" w:rsidRPr="00635355">
        <w:lastRenderedPageBreak/>
        <w:t xml:space="preserve">and could appoint external administrators, the author submits that the national court based its </w:t>
      </w:r>
      <w:r w:rsidR="002F62A5">
        <w:t>judgement</w:t>
      </w:r>
      <w:r w:rsidR="008B5DEA" w:rsidRPr="00635355">
        <w:t xml:space="preserve"> confirming the validity of the administrators’ appointment on </w:t>
      </w:r>
      <w:r w:rsidR="008B2729" w:rsidRPr="00635355">
        <w:t>“</w:t>
      </w:r>
      <w:r w:rsidR="008B5DEA" w:rsidRPr="00635355">
        <w:t>facts unsupported by any evidence or contrary to it</w:t>
      </w:r>
      <w:r w:rsidR="008B2729" w:rsidRPr="00635355">
        <w:t>”</w:t>
      </w:r>
      <w:r w:rsidR="008B5DEA" w:rsidRPr="00635355">
        <w:t xml:space="preserve">. As to the arbitrariness of the third set of proceedings, the author </w:t>
      </w:r>
      <w:r w:rsidR="00786282" w:rsidRPr="00635355">
        <w:t xml:space="preserve">argues that ASIC did not have the necessary </w:t>
      </w:r>
      <w:r w:rsidR="008B2729" w:rsidRPr="00635355">
        <w:t>“</w:t>
      </w:r>
      <w:r w:rsidR="00786282" w:rsidRPr="00635355">
        <w:t>prosecuting powers</w:t>
      </w:r>
      <w:r w:rsidR="008B2729" w:rsidRPr="00635355">
        <w:t>”</w:t>
      </w:r>
      <w:r w:rsidR="00895812">
        <w:t>,</w:t>
      </w:r>
      <w:r w:rsidR="00786282" w:rsidRPr="00635355">
        <w:t xml:space="preserve"> as defined under </w:t>
      </w:r>
      <w:r w:rsidR="004D704F">
        <w:t xml:space="preserve">section </w:t>
      </w:r>
      <w:r w:rsidR="00786282" w:rsidRPr="00635355">
        <w:t xml:space="preserve">49 of the ASIC Act and </w:t>
      </w:r>
      <w:r w:rsidR="004D704F">
        <w:t xml:space="preserve">section </w:t>
      </w:r>
      <w:r w:rsidR="00786282" w:rsidRPr="00635355">
        <w:t xml:space="preserve">135 of the Corporations Act; that she did not have to submit originals of the required bank statements; </w:t>
      </w:r>
      <w:r w:rsidR="00895812">
        <w:t xml:space="preserve">and </w:t>
      </w:r>
      <w:r w:rsidR="00786282" w:rsidRPr="00635355">
        <w:t xml:space="preserve">that she was found </w:t>
      </w:r>
      <w:r w:rsidR="00883A67" w:rsidRPr="00635355">
        <w:t>“</w:t>
      </w:r>
      <w:r w:rsidR="00786282" w:rsidRPr="00635355">
        <w:t>guilty, not as charged</w:t>
      </w:r>
      <w:r w:rsidR="00883A67" w:rsidRPr="00635355">
        <w:t>”</w:t>
      </w:r>
      <w:r w:rsidR="00786282" w:rsidRPr="00635355">
        <w:t xml:space="preserve">, as she was found guilty of not supplying the originals of bank statements and </w:t>
      </w:r>
      <w:r w:rsidR="004D704F">
        <w:t>not saying</w:t>
      </w:r>
      <w:r w:rsidR="00786282" w:rsidRPr="00635355">
        <w:t xml:space="preserve"> where the tax return was, while she was charged with </w:t>
      </w:r>
      <w:r w:rsidR="00883A67" w:rsidRPr="00635355">
        <w:t>“</w:t>
      </w:r>
      <w:r w:rsidR="00786282" w:rsidRPr="00635355">
        <w:t>non</w:t>
      </w:r>
      <w:r w:rsidR="004D704F">
        <w:t>-</w:t>
      </w:r>
      <w:r w:rsidR="00786282" w:rsidRPr="00635355">
        <w:t>supply of books and not telling where the books are</w:t>
      </w:r>
      <w:r w:rsidR="00883A67" w:rsidRPr="00635355">
        <w:t>”</w:t>
      </w:r>
      <w:r w:rsidR="00786282" w:rsidRPr="00635355">
        <w:t>.</w:t>
      </w:r>
    </w:p>
    <w:p w:rsidR="00786282" w:rsidRPr="00635355" w:rsidRDefault="00FC00C8" w:rsidP="00D756B4">
      <w:pPr>
        <w:pStyle w:val="SingleTxtG"/>
      </w:pPr>
      <w:r w:rsidRPr="00635355">
        <w:t>5.5</w:t>
      </w:r>
      <w:r w:rsidRPr="00635355">
        <w:tab/>
      </w:r>
      <w:r w:rsidR="00B55866" w:rsidRPr="00635355">
        <w:t xml:space="preserve">Furthermore, </w:t>
      </w:r>
      <w:r w:rsidR="00131840" w:rsidRPr="00635355">
        <w:t>s</w:t>
      </w:r>
      <w:r w:rsidR="00B55866" w:rsidRPr="00635355">
        <w:t>he maintains that she did not have access to courts</w:t>
      </w:r>
      <w:r w:rsidR="004D704F">
        <w:t>,</w:t>
      </w:r>
      <w:r w:rsidR="00B55866" w:rsidRPr="00635355">
        <w:t xml:space="preserve"> in violation of </w:t>
      </w:r>
      <w:r w:rsidR="00EF4905" w:rsidRPr="00635355">
        <w:t>article </w:t>
      </w:r>
      <w:r w:rsidR="00B55866" w:rsidRPr="00635355">
        <w:t>14</w:t>
      </w:r>
      <w:r w:rsidR="00EA2D55" w:rsidRPr="00635355">
        <w:t> </w:t>
      </w:r>
      <w:r w:rsidR="009B5128">
        <w:t>(</w:t>
      </w:r>
      <w:r w:rsidR="00B55866" w:rsidRPr="00635355">
        <w:t>1</w:t>
      </w:r>
      <w:r w:rsidR="009B5128">
        <w:t>)</w:t>
      </w:r>
      <w:r w:rsidR="00B55866" w:rsidRPr="00635355">
        <w:t xml:space="preserve"> of the Covenant. She notes the State party’s argument that she was ensured access to courts</w:t>
      </w:r>
      <w:r w:rsidR="004D704F">
        <w:t>,</w:t>
      </w:r>
      <w:r w:rsidR="00B55866" w:rsidRPr="00635355">
        <w:t xml:space="preserve"> as she had attached to her communication </w:t>
      </w:r>
      <w:r w:rsidR="002F62A5">
        <w:t>judgement</w:t>
      </w:r>
      <w:r w:rsidR="00B55866" w:rsidRPr="00635355">
        <w:t xml:space="preserve">s, transcripts and court orders which </w:t>
      </w:r>
      <w:r w:rsidR="00E71619" w:rsidRPr="00635355">
        <w:t>prove</w:t>
      </w:r>
      <w:r w:rsidR="00B55866" w:rsidRPr="00635355">
        <w:t xml:space="preserve"> her access to and use of the Australian judicial system. </w:t>
      </w:r>
      <w:r w:rsidR="000D1DCD" w:rsidRPr="00635355">
        <w:t>In th</w:t>
      </w:r>
      <w:r w:rsidR="00895812">
        <w:t>at regard</w:t>
      </w:r>
      <w:r w:rsidR="000D1DCD" w:rsidRPr="00635355">
        <w:t xml:space="preserve">, the author submits that </w:t>
      </w:r>
      <w:r w:rsidR="008B2729" w:rsidRPr="00635355">
        <w:t>“</w:t>
      </w:r>
      <w:r w:rsidR="000D1DCD" w:rsidRPr="00635355">
        <w:t>superficially</w:t>
      </w:r>
      <w:r w:rsidR="008B2729" w:rsidRPr="00635355">
        <w:t>”</w:t>
      </w:r>
      <w:r w:rsidR="004D704F">
        <w:t>,</w:t>
      </w:r>
      <w:r w:rsidR="000D1DCD" w:rsidRPr="00635355">
        <w:t xml:space="preserve"> she had access to courts</w:t>
      </w:r>
      <w:r w:rsidR="004D704F">
        <w:t>,</w:t>
      </w:r>
      <w:r w:rsidR="000D1DCD" w:rsidRPr="00635355">
        <w:t xml:space="preserve"> except</w:t>
      </w:r>
      <w:r w:rsidR="004D704F">
        <w:t xml:space="preserve"> </w:t>
      </w:r>
      <w:r w:rsidR="000D1DCD" w:rsidRPr="00635355">
        <w:t xml:space="preserve">when she was refused </w:t>
      </w:r>
      <w:r w:rsidR="004D704F">
        <w:t xml:space="preserve">the right to </w:t>
      </w:r>
      <w:r w:rsidR="000D1DCD" w:rsidRPr="00635355">
        <w:t>fil</w:t>
      </w:r>
      <w:r w:rsidR="004D704F">
        <w:t>e</w:t>
      </w:r>
      <w:r w:rsidR="000D1DCD" w:rsidRPr="00635355">
        <w:t xml:space="preserve"> </w:t>
      </w:r>
      <w:r w:rsidR="00895812">
        <w:t>for</w:t>
      </w:r>
      <w:r w:rsidR="000D1DCD" w:rsidRPr="00635355">
        <w:t xml:space="preserve"> </w:t>
      </w:r>
      <w:r w:rsidR="00EA1FFC" w:rsidRPr="00635355">
        <w:t xml:space="preserve">special leave </w:t>
      </w:r>
      <w:r w:rsidR="00895812">
        <w:t>to</w:t>
      </w:r>
      <w:r w:rsidR="00EA1FFC" w:rsidRPr="00635355">
        <w:t xml:space="preserve"> appeal before the High Court of Australia. However, access to courts should be not about appearance, but substance. It is not about going through motions, but conclusively resolving the issue.</w:t>
      </w:r>
      <w:r w:rsidR="00604B3B" w:rsidRPr="00635355">
        <w:t xml:space="preserve"> In the context of the first set of proceedings</w:t>
      </w:r>
      <w:r w:rsidR="004D704F">
        <w:t>,</w:t>
      </w:r>
      <w:r w:rsidR="00604B3B" w:rsidRPr="00635355">
        <w:t xml:space="preserve"> when the injunction was granted against the author, it </w:t>
      </w:r>
      <w:r w:rsidR="0051742A" w:rsidRPr="00635355">
        <w:t xml:space="preserve">drastically </w:t>
      </w:r>
      <w:r w:rsidR="00604B3B" w:rsidRPr="00635355">
        <w:t xml:space="preserve">damaged her life; she would like to take the matter </w:t>
      </w:r>
      <w:r w:rsidR="008B2729" w:rsidRPr="00635355">
        <w:t>“</w:t>
      </w:r>
      <w:r w:rsidR="00604B3B" w:rsidRPr="00635355">
        <w:t>to trial</w:t>
      </w:r>
      <w:r w:rsidR="008B2729" w:rsidRPr="00635355">
        <w:t>”</w:t>
      </w:r>
      <w:r w:rsidR="00604B3B" w:rsidRPr="00635355">
        <w:t>. If conducted according to law, th</w:t>
      </w:r>
      <w:r w:rsidR="004D704F">
        <w:t>o</w:t>
      </w:r>
      <w:r w:rsidR="00604B3B" w:rsidRPr="00635355">
        <w:t xml:space="preserve">se proceedings should be dismissed for want of </w:t>
      </w:r>
      <w:r w:rsidR="00883A67" w:rsidRPr="00635355">
        <w:t>“</w:t>
      </w:r>
      <w:r w:rsidR="00604B3B" w:rsidRPr="00635355">
        <w:t>matter</w:t>
      </w:r>
      <w:r w:rsidR="00883A67" w:rsidRPr="00635355">
        <w:t>”</w:t>
      </w:r>
      <w:r w:rsidR="00604B3B" w:rsidRPr="00635355">
        <w:t xml:space="preserve"> and the author should be awarded damages. However, based on her past experience, including the massive unjustified costs against her, the author cannot expect a fair trial. Therefore, her fear of massive costs and </w:t>
      </w:r>
      <w:r w:rsidR="005A7965">
        <w:t xml:space="preserve">the </w:t>
      </w:r>
      <w:r w:rsidR="00604B3B" w:rsidRPr="00635355">
        <w:t xml:space="preserve">failure of the State party to provide </w:t>
      </w:r>
      <w:r w:rsidR="00883A67" w:rsidRPr="00635355">
        <w:t>“</w:t>
      </w:r>
      <w:r w:rsidR="00604B3B" w:rsidRPr="00635355">
        <w:t>a decent court</w:t>
      </w:r>
      <w:r w:rsidR="00883A67" w:rsidRPr="00635355">
        <w:t>”</w:t>
      </w:r>
      <w:r w:rsidR="00604B3B" w:rsidRPr="00635355">
        <w:t xml:space="preserve"> constitute a bar to her court access. </w:t>
      </w:r>
      <w:r w:rsidR="004F4A88" w:rsidRPr="00635355">
        <w:t xml:space="preserve">In the context of the second set of proceedings, </w:t>
      </w:r>
      <w:r w:rsidR="0051742A" w:rsidRPr="00635355">
        <w:t>s</w:t>
      </w:r>
      <w:r w:rsidR="004F4A88" w:rsidRPr="00635355">
        <w:t>he states that she was denied access to court as her application for special leave to appeal was dismissed by the High Court of Australia.</w:t>
      </w:r>
      <w:r w:rsidR="003B669C" w:rsidRPr="00635355">
        <w:t xml:space="preserve"> As to the third set of proceeding, </w:t>
      </w:r>
      <w:r w:rsidR="0051742A" w:rsidRPr="00635355">
        <w:t>s</w:t>
      </w:r>
      <w:r w:rsidR="003B669C" w:rsidRPr="00635355">
        <w:t xml:space="preserve">he submits that </w:t>
      </w:r>
      <w:r w:rsidR="00E41B89" w:rsidRPr="00635355">
        <w:t xml:space="preserve">she challenged the court’s jurisdiction as ASIC did not have the necessary </w:t>
      </w:r>
      <w:r w:rsidR="008B2729" w:rsidRPr="00635355">
        <w:t>“</w:t>
      </w:r>
      <w:r w:rsidR="00E41B89" w:rsidRPr="00635355">
        <w:t>power</w:t>
      </w:r>
      <w:r w:rsidR="008B2729" w:rsidRPr="00635355">
        <w:t>”</w:t>
      </w:r>
      <w:r w:rsidR="00E41B89" w:rsidRPr="00635355">
        <w:t xml:space="preserve"> to prosecute her.</w:t>
      </w:r>
    </w:p>
    <w:p w:rsidR="00E41B89" w:rsidRPr="00635355" w:rsidRDefault="00FC00C8" w:rsidP="00D756B4">
      <w:pPr>
        <w:pStyle w:val="SingleTxtG"/>
      </w:pPr>
      <w:r w:rsidRPr="00635355">
        <w:t>5.6</w:t>
      </w:r>
      <w:r w:rsidRPr="00635355">
        <w:tab/>
      </w:r>
      <w:r w:rsidR="00E41B89" w:rsidRPr="00635355">
        <w:t>Furthermore, the author submits that</w:t>
      </w:r>
      <w:r w:rsidR="005A7965">
        <w:t>,</w:t>
      </w:r>
      <w:r w:rsidR="00E41B89" w:rsidRPr="00635355">
        <w:t xml:space="preserve"> in violation of </w:t>
      </w:r>
      <w:r w:rsidR="00EF4905" w:rsidRPr="00635355">
        <w:t>article </w:t>
      </w:r>
      <w:r w:rsidR="00E41B89" w:rsidRPr="00635355">
        <w:t>14</w:t>
      </w:r>
      <w:r w:rsidR="00EA2D55" w:rsidRPr="00635355">
        <w:t> </w:t>
      </w:r>
      <w:r w:rsidR="009B5128">
        <w:t>(</w:t>
      </w:r>
      <w:r w:rsidR="00E41B89" w:rsidRPr="00635355">
        <w:t>5</w:t>
      </w:r>
      <w:r w:rsidR="009B5128">
        <w:t>)</w:t>
      </w:r>
      <w:r w:rsidR="00E41B89" w:rsidRPr="00635355">
        <w:t xml:space="preserve"> of the Covenant, the High Court of Australia refused to </w:t>
      </w:r>
      <w:r w:rsidR="008B2729" w:rsidRPr="00635355">
        <w:t>“</w:t>
      </w:r>
      <w:r w:rsidR="00A04690" w:rsidRPr="00635355">
        <w:t>conduct prerogative writ proceedings</w:t>
      </w:r>
      <w:r w:rsidR="008B2729" w:rsidRPr="00635355">
        <w:t>”</w:t>
      </w:r>
      <w:r w:rsidR="00A04690" w:rsidRPr="00635355">
        <w:t xml:space="preserve"> and </w:t>
      </w:r>
      <w:r w:rsidR="00E41B89" w:rsidRPr="00635355">
        <w:t xml:space="preserve">satisfy her application for </w:t>
      </w:r>
      <w:r w:rsidR="008B2729" w:rsidRPr="00635355">
        <w:t>“</w:t>
      </w:r>
      <w:r w:rsidR="00E41B89" w:rsidRPr="00635355">
        <w:t>prohibi</w:t>
      </w:r>
      <w:r w:rsidR="00793B0D" w:rsidRPr="00635355">
        <w:t>tion and mandamus against</w:t>
      </w:r>
      <w:r w:rsidR="008B2729" w:rsidRPr="00635355">
        <w:t>”</w:t>
      </w:r>
      <w:r w:rsidR="00793B0D" w:rsidRPr="00635355">
        <w:t xml:space="preserve"> ASIC</w:t>
      </w:r>
      <w:r w:rsidR="00A04690" w:rsidRPr="00635355">
        <w:t>. The refusal was based</w:t>
      </w:r>
      <w:r w:rsidR="00E41B89" w:rsidRPr="00635355">
        <w:t xml:space="preserve"> on </w:t>
      </w:r>
      <w:r w:rsidR="005A7965">
        <w:t xml:space="preserve">the </w:t>
      </w:r>
      <w:r w:rsidR="00E41B89" w:rsidRPr="00635355">
        <w:t>grounds that her application did not comply with the necessary format requirements and that it was vex</w:t>
      </w:r>
      <w:r w:rsidR="00A04690" w:rsidRPr="00635355">
        <w:t>atious</w:t>
      </w:r>
      <w:r w:rsidR="00E41B89" w:rsidRPr="00635355">
        <w:t xml:space="preserve">. </w:t>
      </w:r>
      <w:r w:rsidR="00A04690" w:rsidRPr="00635355">
        <w:t xml:space="preserve">The author submits that she has never been a vexatious litigant, let alone </w:t>
      </w:r>
      <w:r w:rsidR="00895812">
        <w:t>categorized as</w:t>
      </w:r>
      <w:r w:rsidR="00A04690" w:rsidRPr="00635355">
        <w:t xml:space="preserve"> such by a court. She tried on two occasions to initiate proceedings to review the </w:t>
      </w:r>
      <w:r w:rsidR="008B2729" w:rsidRPr="00635355">
        <w:t>“</w:t>
      </w:r>
      <w:r w:rsidR="00A04690" w:rsidRPr="00635355">
        <w:t>criminal court’s jurisdiction</w:t>
      </w:r>
      <w:r w:rsidR="008B2729" w:rsidRPr="00635355">
        <w:t>”</w:t>
      </w:r>
      <w:r w:rsidR="00A04690" w:rsidRPr="00635355">
        <w:t xml:space="preserve">. </w:t>
      </w:r>
      <w:r w:rsidR="00FD6C42" w:rsidRPr="00635355">
        <w:t xml:space="preserve">Thereafter, when her </w:t>
      </w:r>
      <w:r w:rsidR="00066ED4" w:rsidRPr="00635355">
        <w:t>prosecution</w:t>
      </w:r>
      <w:r w:rsidR="00FD6C42" w:rsidRPr="00635355">
        <w:t xml:space="preserve"> trial was</w:t>
      </w:r>
      <w:r w:rsidR="005C34CB" w:rsidRPr="00635355">
        <w:t xml:space="preserve"> </w:t>
      </w:r>
      <w:r w:rsidR="00066ED4" w:rsidRPr="00635355">
        <w:t>before</w:t>
      </w:r>
      <w:r w:rsidR="00FD6C42" w:rsidRPr="00635355">
        <w:t xml:space="preserve"> the Supreme Court of Western Australia, </w:t>
      </w:r>
      <w:r w:rsidR="0051742A" w:rsidRPr="00635355">
        <w:t>s</w:t>
      </w:r>
      <w:r w:rsidR="00FD6C42" w:rsidRPr="00635355">
        <w:t xml:space="preserve">he challenged the court’s jurisdiction to prosecute her by ASIC on </w:t>
      </w:r>
      <w:r w:rsidR="005A7965">
        <w:t>12</w:t>
      </w:r>
      <w:r w:rsidR="00FD6C42" w:rsidRPr="00635355">
        <w:t xml:space="preserve"> statutory and common law grounds; however her application for review order was </w:t>
      </w:r>
      <w:r w:rsidR="00066ED4" w:rsidRPr="00635355">
        <w:t xml:space="preserve">dismissed. She submits that her application was </w:t>
      </w:r>
      <w:r w:rsidR="00FD6C42" w:rsidRPr="00635355">
        <w:t>not properly examined</w:t>
      </w:r>
      <w:r w:rsidR="005A7965">
        <w:t>,</w:t>
      </w:r>
      <w:r w:rsidR="00FD6C42" w:rsidRPr="00635355">
        <w:t xml:space="preserve"> as </w:t>
      </w:r>
      <w:r w:rsidR="0051742A" w:rsidRPr="00635355">
        <w:t xml:space="preserve">not all </w:t>
      </w:r>
      <w:r w:rsidR="005A7965">
        <w:t xml:space="preserve">the </w:t>
      </w:r>
      <w:r w:rsidR="00FD6C42" w:rsidRPr="00635355">
        <w:t xml:space="preserve">grounds invoked by her were </w:t>
      </w:r>
      <w:r w:rsidR="00066ED4" w:rsidRPr="00635355">
        <w:t>reviewed</w:t>
      </w:r>
      <w:r w:rsidR="00FD6C42" w:rsidRPr="00635355">
        <w:t xml:space="preserve">. </w:t>
      </w:r>
      <w:r w:rsidR="0051742A" w:rsidRPr="00635355">
        <w:t>S</w:t>
      </w:r>
      <w:r w:rsidR="00066ED4" w:rsidRPr="00635355">
        <w:t xml:space="preserve">he appealed </w:t>
      </w:r>
      <w:r w:rsidR="00E71619" w:rsidRPr="00635355">
        <w:t xml:space="preserve">against </w:t>
      </w:r>
      <w:r w:rsidR="00066ED4" w:rsidRPr="00635355">
        <w:t>the dismissal of her application for review to the Court of Appeal and in t</w:t>
      </w:r>
      <w:r w:rsidR="00032106" w:rsidRPr="00635355">
        <w:t xml:space="preserve">he High Court of Australia; the court </w:t>
      </w:r>
      <w:r w:rsidR="002E51ED" w:rsidRPr="00635355">
        <w:t>did examine</w:t>
      </w:r>
      <w:r w:rsidR="00032106" w:rsidRPr="00635355">
        <w:t xml:space="preserve"> some of the grounds raised by her</w:t>
      </w:r>
      <w:r w:rsidR="0051742A" w:rsidRPr="00635355">
        <w:t>,</w:t>
      </w:r>
      <w:r w:rsidR="002E51ED" w:rsidRPr="00635355">
        <w:t xml:space="preserve"> but</w:t>
      </w:r>
      <w:r w:rsidR="00032106" w:rsidRPr="00635355">
        <w:t xml:space="preserve"> </w:t>
      </w:r>
      <w:r w:rsidR="0051742A" w:rsidRPr="00635355">
        <w:t>her appeal was rejected</w:t>
      </w:r>
      <w:r w:rsidR="00066ED4" w:rsidRPr="00635355">
        <w:t>.</w:t>
      </w:r>
      <w:r w:rsidR="00A83EC4" w:rsidRPr="00635355">
        <w:t xml:space="preserve"> The author </w:t>
      </w:r>
      <w:r w:rsidR="005F495B" w:rsidRPr="00635355">
        <w:t>also</w:t>
      </w:r>
      <w:r w:rsidR="00A83EC4" w:rsidRPr="00635355">
        <w:t xml:space="preserve"> s</w:t>
      </w:r>
      <w:r w:rsidR="005F495B" w:rsidRPr="00635355">
        <w:t>ubmits that the Court of Appeal</w:t>
      </w:r>
      <w:r w:rsidR="00A83EC4" w:rsidRPr="00635355">
        <w:t xml:space="preserve"> applied </w:t>
      </w:r>
      <w:r w:rsidR="00871A89" w:rsidRPr="00635355">
        <w:t>section </w:t>
      </w:r>
      <w:r w:rsidR="00A83EC4" w:rsidRPr="00635355">
        <w:t>27 of the Criminal Appeals Act</w:t>
      </w:r>
      <w:r w:rsidR="00895812">
        <w:t>,</w:t>
      </w:r>
      <w:r w:rsidR="00A83EC4" w:rsidRPr="00635355">
        <w:t xml:space="preserve"> but it should have proceeded under </w:t>
      </w:r>
      <w:r w:rsidR="00895812">
        <w:t>s</w:t>
      </w:r>
      <w:r w:rsidR="00871A89" w:rsidRPr="00635355">
        <w:t>ection </w:t>
      </w:r>
      <w:r w:rsidR="00A83EC4" w:rsidRPr="00635355">
        <w:t>16</w:t>
      </w:r>
      <w:r w:rsidR="005A7965">
        <w:t xml:space="preserve"> </w:t>
      </w:r>
      <w:r w:rsidR="00A83EC4" w:rsidRPr="00635355">
        <w:t>(2)</w:t>
      </w:r>
      <w:r w:rsidR="005A7965">
        <w:t>,</w:t>
      </w:r>
      <w:r w:rsidR="00A83EC4" w:rsidRPr="00635355">
        <w:t xml:space="preserve"> which concerns appeals </w:t>
      </w:r>
      <w:r w:rsidR="005A7965">
        <w:t xml:space="preserve">against </w:t>
      </w:r>
      <w:r w:rsidR="00A83EC4" w:rsidRPr="00635355">
        <w:t>decisions of a single judge who refuses leave to appeal.</w:t>
      </w:r>
      <w:r w:rsidR="005F495B" w:rsidRPr="00635355">
        <w:t xml:space="preserve"> She notes a number of other procedura</w:t>
      </w:r>
      <w:r w:rsidR="00125D7A" w:rsidRPr="00635355">
        <w:t>l errors contrary to different s</w:t>
      </w:r>
      <w:r w:rsidR="005F495B" w:rsidRPr="00635355">
        <w:t>ections of the Criminal Appeals Act. In the context of her application to the High Court of Australia</w:t>
      </w:r>
      <w:r w:rsidR="00B67E5A" w:rsidRPr="00635355">
        <w:t>, the author notes that she invoked 10 grounds</w:t>
      </w:r>
      <w:r w:rsidR="00125D7A" w:rsidRPr="00635355">
        <w:t>,</w:t>
      </w:r>
      <w:r w:rsidR="00B67E5A" w:rsidRPr="00635355">
        <w:t xml:space="preserve"> </w:t>
      </w:r>
      <w:r w:rsidR="005F495B" w:rsidRPr="00635355">
        <w:t xml:space="preserve">challenging the court’s jurisdiction to try her, including </w:t>
      </w:r>
      <w:r w:rsidR="005A7965">
        <w:t xml:space="preserve">the </w:t>
      </w:r>
      <w:r w:rsidR="005F495B" w:rsidRPr="00635355">
        <w:t>grounds that the court was biased and</w:t>
      </w:r>
      <w:r w:rsidR="00B67E5A" w:rsidRPr="00635355">
        <w:t xml:space="preserve"> </w:t>
      </w:r>
      <w:r w:rsidR="00895812">
        <w:t xml:space="preserve">had </w:t>
      </w:r>
      <w:r w:rsidR="00B67E5A" w:rsidRPr="00635355">
        <w:t xml:space="preserve">conspired with </w:t>
      </w:r>
      <w:r w:rsidR="00125D7A" w:rsidRPr="00635355">
        <w:t>a</w:t>
      </w:r>
      <w:r w:rsidR="00B67E5A" w:rsidRPr="00635355">
        <w:t xml:space="preserve"> prosecutor</w:t>
      </w:r>
      <w:r w:rsidR="005A7965">
        <w:t>. H</w:t>
      </w:r>
      <w:r w:rsidR="00B67E5A" w:rsidRPr="00635355">
        <w:t>owever</w:t>
      </w:r>
      <w:r w:rsidR="005A7965">
        <w:t>,</w:t>
      </w:r>
      <w:r w:rsidR="00B67E5A" w:rsidRPr="00635355">
        <w:t xml:space="preserve"> </w:t>
      </w:r>
      <w:r w:rsidR="005F495B" w:rsidRPr="00635355">
        <w:t xml:space="preserve">her application was dismissed without </w:t>
      </w:r>
      <w:r w:rsidR="0051742A" w:rsidRPr="00635355">
        <w:t xml:space="preserve">a proper </w:t>
      </w:r>
      <w:r w:rsidR="00B67E5A" w:rsidRPr="00635355">
        <w:t>examination of the grounds</w:t>
      </w:r>
      <w:r w:rsidR="00895812">
        <w:t xml:space="preserve"> cited</w:t>
      </w:r>
      <w:r w:rsidR="00B67E5A" w:rsidRPr="00635355">
        <w:t>.</w:t>
      </w:r>
      <w:r w:rsidR="00B312B7" w:rsidRPr="00635355">
        <w:t xml:space="preserve"> </w:t>
      </w:r>
      <w:r w:rsidR="00895812">
        <w:t>S</w:t>
      </w:r>
      <w:r w:rsidR="00B312B7" w:rsidRPr="00635355">
        <w:t xml:space="preserve">he also applied for special leave to appeal </w:t>
      </w:r>
      <w:r w:rsidR="00E71619" w:rsidRPr="00635355">
        <w:t xml:space="preserve">against </w:t>
      </w:r>
      <w:r w:rsidR="00B312B7" w:rsidRPr="00635355">
        <w:t>her conviction</w:t>
      </w:r>
      <w:r w:rsidR="0051742A" w:rsidRPr="00635355">
        <w:t xml:space="preserve">, </w:t>
      </w:r>
      <w:r w:rsidR="00B312B7" w:rsidRPr="00635355">
        <w:t>in vain.</w:t>
      </w:r>
    </w:p>
    <w:p w:rsidR="00B312B7" w:rsidRPr="00635355" w:rsidRDefault="00FC00C8" w:rsidP="005A7965">
      <w:pPr>
        <w:pStyle w:val="SingleTxtG"/>
      </w:pPr>
      <w:r w:rsidRPr="00635355">
        <w:t>5.7</w:t>
      </w:r>
      <w:r w:rsidRPr="00635355">
        <w:tab/>
      </w:r>
      <w:r w:rsidR="0051742A" w:rsidRPr="00635355">
        <w:t xml:space="preserve">Regarding </w:t>
      </w:r>
      <w:r w:rsidR="00EF4905" w:rsidRPr="00635355">
        <w:t>article </w:t>
      </w:r>
      <w:r w:rsidR="00B312B7" w:rsidRPr="00635355">
        <w:t>14</w:t>
      </w:r>
      <w:r w:rsidR="00EA2D55" w:rsidRPr="00635355">
        <w:t> </w:t>
      </w:r>
      <w:r w:rsidR="009B5128">
        <w:t>(</w:t>
      </w:r>
      <w:r w:rsidR="00B312B7" w:rsidRPr="00635355">
        <w:t>1</w:t>
      </w:r>
      <w:r w:rsidR="009B5128">
        <w:t>)</w:t>
      </w:r>
      <w:r w:rsidR="00B312B7" w:rsidRPr="00635355">
        <w:t xml:space="preserve"> of the Covenant</w:t>
      </w:r>
      <w:r w:rsidR="0051742A" w:rsidRPr="00635355">
        <w:t>,</w:t>
      </w:r>
      <w:r w:rsidR="00B312B7" w:rsidRPr="00635355">
        <w:t xml:space="preserve"> the author submits that her right to </w:t>
      </w:r>
      <w:r w:rsidR="00E71619" w:rsidRPr="00635355">
        <w:t xml:space="preserve">an </w:t>
      </w:r>
      <w:r w:rsidR="00B312B7" w:rsidRPr="00635355">
        <w:t xml:space="preserve">impartial tribunal was violated. She notes that she obtained legal advice from two lawyers regarding the </w:t>
      </w:r>
      <w:r w:rsidR="002F62A5">
        <w:t>judgement</w:t>
      </w:r>
      <w:r w:rsidR="00B312B7" w:rsidRPr="00635355">
        <w:t xml:space="preserve">s in the first </w:t>
      </w:r>
      <w:r w:rsidR="002F1A96" w:rsidRPr="00635355">
        <w:t xml:space="preserve">and second </w:t>
      </w:r>
      <w:r w:rsidR="00B312B7" w:rsidRPr="00635355">
        <w:t>set</w:t>
      </w:r>
      <w:r w:rsidR="005A7965">
        <w:t>s</w:t>
      </w:r>
      <w:r w:rsidR="00B312B7" w:rsidRPr="00635355">
        <w:t xml:space="preserve"> of proceedings</w:t>
      </w:r>
      <w:r w:rsidR="005A7965">
        <w:t>,</w:t>
      </w:r>
      <w:r w:rsidR="002F1A96" w:rsidRPr="00635355">
        <w:t xml:space="preserve"> and their impression </w:t>
      </w:r>
      <w:r w:rsidR="002F1A96" w:rsidRPr="00635355">
        <w:lastRenderedPageBreak/>
        <w:t>was that the respective judges were biased against her.</w:t>
      </w:r>
      <w:r w:rsidR="00FB5C53" w:rsidRPr="00635355">
        <w:t xml:space="preserve"> </w:t>
      </w:r>
      <w:r w:rsidR="00A63164" w:rsidRPr="00635355">
        <w:t>S</w:t>
      </w:r>
      <w:r w:rsidR="00FB5C53" w:rsidRPr="00635355">
        <w:t xml:space="preserve">he provides </w:t>
      </w:r>
      <w:r w:rsidR="00EF09C6" w:rsidRPr="00635355">
        <w:t xml:space="preserve">a </w:t>
      </w:r>
      <w:r w:rsidR="005A7965">
        <w:t>long</w:t>
      </w:r>
      <w:r w:rsidR="00EF09C6" w:rsidRPr="00635355">
        <w:t xml:space="preserve"> account of specific phrases, </w:t>
      </w:r>
      <w:r w:rsidR="00FB5C53" w:rsidRPr="00635355">
        <w:t>comments</w:t>
      </w:r>
      <w:r w:rsidR="00EF09C6" w:rsidRPr="00635355">
        <w:t>, contradictory findings</w:t>
      </w:r>
      <w:r w:rsidR="00FB5C53" w:rsidRPr="00635355">
        <w:t xml:space="preserve"> </w:t>
      </w:r>
      <w:r w:rsidR="00EF09C6" w:rsidRPr="00635355">
        <w:t>and actions of the parties and judges in all three sets of proceedings which</w:t>
      </w:r>
      <w:r w:rsidR="00A63164" w:rsidRPr="00635355">
        <w:t>, according to her,</w:t>
      </w:r>
      <w:r w:rsidR="00EF09C6" w:rsidRPr="00635355">
        <w:t xml:space="preserve"> demonstrate the </w:t>
      </w:r>
      <w:r w:rsidR="005A7965">
        <w:t>bias</w:t>
      </w:r>
      <w:r w:rsidR="00EF09C6" w:rsidRPr="00635355">
        <w:t xml:space="preserve"> of the courts. </w:t>
      </w:r>
      <w:r w:rsidR="00A63164" w:rsidRPr="00635355">
        <w:t>S</w:t>
      </w:r>
      <w:r w:rsidR="00EF09C6" w:rsidRPr="00635355">
        <w:t xml:space="preserve">he also submits that her right to </w:t>
      </w:r>
      <w:r w:rsidR="00E71619" w:rsidRPr="00635355">
        <w:t xml:space="preserve">an </w:t>
      </w:r>
      <w:r w:rsidR="00EF09C6" w:rsidRPr="00635355">
        <w:t>independent tribunal was violated in the second and third sets of proceedings.</w:t>
      </w:r>
      <w:r w:rsidR="005C34CB" w:rsidRPr="00635355">
        <w:t xml:space="preserve"> </w:t>
      </w:r>
      <w:r w:rsidR="00EF09C6" w:rsidRPr="00635355">
        <w:t>In the second set of proceedings</w:t>
      </w:r>
      <w:r w:rsidR="005A7965">
        <w:t>,</w:t>
      </w:r>
      <w:r w:rsidR="00EF09C6" w:rsidRPr="00635355">
        <w:t xml:space="preserve"> the court adopted an</w:t>
      </w:r>
      <w:r w:rsidR="00DC63DB" w:rsidRPr="00635355">
        <w:t xml:space="preserve"> “</w:t>
      </w:r>
      <w:r w:rsidR="00EF09C6" w:rsidRPr="00635355">
        <w:t>irrational</w:t>
      </w:r>
      <w:r w:rsidR="00DC63DB" w:rsidRPr="00635355">
        <w:t>”</w:t>
      </w:r>
      <w:r w:rsidR="00EF09C6" w:rsidRPr="00635355">
        <w:t xml:space="preserve"> </w:t>
      </w:r>
      <w:r w:rsidR="002F62A5">
        <w:t>judgement</w:t>
      </w:r>
      <w:r w:rsidR="005A7965">
        <w:t>,</w:t>
      </w:r>
      <w:r w:rsidR="00EF09C6" w:rsidRPr="00635355">
        <w:t xml:space="preserve"> </w:t>
      </w:r>
      <w:r w:rsidR="005A7965">
        <w:t>and</w:t>
      </w:r>
      <w:r w:rsidR="00EF09C6" w:rsidRPr="00635355">
        <w:t xml:space="preserve"> in the third set of proceedings</w:t>
      </w:r>
      <w:r w:rsidR="005A7965">
        <w:t>,</w:t>
      </w:r>
      <w:r w:rsidR="00EF09C6" w:rsidRPr="00635355">
        <w:t xml:space="preserve"> the court</w:t>
      </w:r>
      <w:r w:rsidR="00233A03" w:rsidRPr="00635355">
        <w:t>s</w:t>
      </w:r>
      <w:r w:rsidR="00EF09C6" w:rsidRPr="00635355">
        <w:t xml:space="preserve"> </w:t>
      </w:r>
      <w:r w:rsidR="00233A03" w:rsidRPr="00635355">
        <w:t xml:space="preserve">adopted </w:t>
      </w:r>
      <w:r w:rsidR="008B2729" w:rsidRPr="00635355">
        <w:t>“</w:t>
      </w:r>
      <w:r w:rsidR="00233A03" w:rsidRPr="00635355">
        <w:t>manifestly wrong</w:t>
      </w:r>
      <w:r w:rsidR="008B2729" w:rsidRPr="00635355">
        <w:t>”</w:t>
      </w:r>
      <w:r w:rsidR="00233A03" w:rsidRPr="00635355">
        <w:t xml:space="preserve"> </w:t>
      </w:r>
      <w:r w:rsidR="002F62A5">
        <w:t>judgement</w:t>
      </w:r>
      <w:r w:rsidR="00233A03" w:rsidRPr="00635355">
        <w:t>s</w:t>
      </w:r>
      <w:r w:rsidR="005A7965">
        <w:t>,</w:t>
      </w:r>
      <w:r w:rsidR="00233A03" w:rsidRPr="00635355">
        <w:t xml:space="preserve"> </w:t>
      </w:r>
      <w:r w:rsidR="00A63164" w:rsidRPr="00635355">
        <w:t xml:space="preserve">which </w:t>
      </w:r>
      <w:r w:rsidR="00233A03" w:rsidRPr="00635355">
        <w:t>were wrongly upheld by higher courts.</w:t>
      </w:r>
    </w:p>
    <w:p w:rsidR="00233A03" w:rsidRPr="00635355" w:rsidRDefault="00FC00C8" w:rsidP="005F0D65">
      <w:pPr>
        <w:pStyle w:val="SingleTxtG"/>
      </w:pPr>
      <w:r w:rsidRPr="00635355">
        <w:t>5.8</w:t>
      </w:r>
      <w:r w:rsidRPr="00635355">
        <w:tab/>
      </w:r>
      <w:r w:rsidR="00A63164" w:rsidRPr="00635355">
        <w:t>S</w:t>
      </w:r>
      <w:r w:rsidR="00F716CD" w:rsidRPr="00635355">
        <w:t xml:space="preserve">he reiterates that she did not have sufficient time </w:t>
      </w:r>
      <w:r w:rsidR="005A7965">
        <w:t>t</w:t>
      </w:r>
      <w:r w:rsidR="00F716CD" w:rsidRPr="00635355">
        <w:t>o</w:t>
      </w:r>
      <w:r w:rsidR="00A63164" w:rsidRPr="00635355">
        <w:t xml:space="preserve"> </w:t>
      </w:r>
      <w:r w:rsidR="00F716CD" w:rsidRPr="00635355">
        <w:t>prepar</w:t>
      </w:r>
      <w:r w:rsidR="005A7965">
        <w:t>e</w:t>
      </w:r>
      <w:r w:rsidR="00F716CD" w:rsidRPr="00635355">
        <w:t xml:space="preserve"> her case in the second set of proceedings</w:t>
      </w:r>
      <w:r w:rsidR="00A63164" w:rsidRPr="00635355">
        <w:t>,</w:t>
      </w:r>
      <w:r w:rsidR="00F716CD" w:rsidRPr="00635355">
        <w:t xml:space="preserve"> in violation of </w:t>
      </w:r>
      <w:r w:rsidR="00EF4905" w:rsidRPr="00635355">
        <w:t>article </w:t>
      </w:r>
      <w:r w:rsidR="00F716CD" w:rsidRPr="00635355">
        <w:t>14</w:t>
      </w:r>
      <w:r w:rsidR="00EA2D55" w:rsidRPr="00635355">
        <w:t> </w:t>
      </w:r>
      <w:r w:rsidR="009B5128">
        <w:t>(</w:t>
      </w:r>
      <w:r w:rsidR="00F716CD" w:rsidRPr="00635355">
        <w:t>1</w:t>
      </w:r>
      <w:r w:rsidR="009B5128">
        <w:t>)</w:t>
      </w:r>
      <w:r w:rsidR="00F716CD" w:rsidRPr="00635355">
        <w:t xml:space="preserve"> of the Covenant.</w:t>
      </w:r>
    </w:p>
    <w:p w:rsidR="00F716CD" w:rsidRPr="00635355" w:rsidRDefault="00FC00C8" w:rsidP="005F0D65">
      <w:pPr>
        <w:pStyle w:val="SingleTxtG"/>
      </w:pPr>
      <w:r w:rsidRPr="00635355">
        <w:t>5.9</w:t>
      </w:r>
      <w:r w:rsidRPr="00635355">
        <w:tab/>
      </w:r>
      <w:r w:rsidR="002B7F57" w:rsidRPr="00635355">
        <w:t xml:space="preserve">The author submits that her right to </w:t>
      </w:r>
      <w:r w:rsidR="00883A67" w:rsidRPr="00635355">
        <w:t>“</w:t>
      </w:r>
      <w:r w:rsidR="002B7F57" w:rsidRPr="00635355">
        <w:t>present and contest</w:t>
      </w:r>
      <w:r w:rsidR="00883A67" w:rsidRPr="00635355">
        <w:t>”</w:t>
      </w:r>
      <w:r w:rsidR="002B7F57" w:rsidRPr="00635355">
        <w:t xml:space="preserve"> under </w:t>
      </w:r>
      <w:r w:rsidR="00EF4905" w:rsidRPr="00635355">
        <w:t>article </w:t>
      </w:r>
      <w:r w:rsidR="002B7F57" w:rsidRPr="00635355">
        <w:t>14</w:t>
      </w:r>
      <w:r w:rsidR="00883A67" w:rsidRPr="00635355">
        <w:t> </w:t>
      </w:r>
      <w:r w:rsidR="009B5128">
        <w:t>(</w:t>
      </w:r>
      <w:r w:rsidR="002B7F57" w:rsidRPr="00635355">
        <w:t>1</w:t>
      </w:r>
      <w:r w:rsidR="009B5128">
        <w:t>)</w:t>
      </w:r>
      <w:r w:rsidR="002B7F57" w:rsidRPr="00635355">
        <w:t xml:space="preserve"> of the Covenant was also violated. </w:t>
      </w:r>
      <w:r w:rsidR="005A7965">
        <w:t>I</w:t>
      </w:r>
      <w:r w:rsidR="002B7F57" w:rsidRPr="00635355">
        <w:t>n the first set of proceedings</w:t>
      </w:r>
      <w:r w:rsidR="005A7965">
        <w:t>,</w:t>
      </w:r>
      <w:r w:rsidR="002B7F57" w:rsidRPr="00635355">
        <w:t xml:space="preserve"> the national courts disregarded her evidence of </w:t>
      </w:r>
      <w:r w:rsidR="00883A67" w:rsidRPr="00635355">
        <w:t>“</w:t>
      </w:r>
      <w:r w:rsidR="002B7F57" w:rsidRPr="00635355">
        <w:t>proven fabrications</w:t>
      </w:r>
      <w:r w:rsidR="00883A67" w:rsidRPr="00635355">
        <w:t>”</w:t>
      </w:r>
      <w:r w:rsidR="002B7F57" w:rsidRPr="00635355">
        <w:t xml:space="preserve"> by the plaintiffs. </w:t>
      </w:r>
      <w:r w:rsidR="005A7965">
        <w:t>I</w:t>
      </w:r>
      <w:r w:rsidR="002B7F57" w:rsidRPr="00635355">
        <w:t>n the second set of proceedings</w:t>
      </w:r>
      <w:r w:rsidR="005A7965">
        <w:t>,</w:t>
      </w:r>
      <w:r w:rsidR="002B7F57" w:rsidRPr="00635355">
        <w:t xml:space="preserve"> her affidavits were disregarded and disallowed. </w:t>
      </w:r>
      <w:r w:rsidR="005A7965">
        <w:t>I</w:t>
      </w:r>
      <w:r w:rsidR="002B7F57" w:rsidRPr="00635355">
        <w:t>n the third set of proceedings</w:t>
      </w:r>
      <w:r w:rsidR="005A7965">
        <w:t>,</w:t>
      </w:r>
      <w:r w:rsidR="002B7F57" w:rsidRPr="00635355">
        <w:t xml:space="preserve"> all the grounds presented by the author concerning the court’s lack of jurisdiction should have been examined and should have </w:t>
      </w:r>
      <w:r w:rsidR="00883A67" w:rsidRPr="00635355">
        <w:t>“</w:t>
      </w:r>
      <w:r w:rsidR="002B7F57" w:rsidRPr="00635355">
        <w:t>culminated with an order resolving the magistrate’s jurisdiction</w:t>
      </w:r>
      <w:r w:rsidR="00883A67" w:rsidRPr="00635355">
        <w:t>”</w:t>
      </w:r>
      <w:r w:rsidR="002B7F57" w:rsidRPr="00635355">
        <w:t xml:space="preserve">. </w:t>
      </w:r>
      <w:r w:rsidR="00AB0AA1" w:rsidRPr="00635355">
        <w:t xml:space="preserve">The author provides a detailed account of facts, her arguments, </w:t>
      </w:r>
      <w:r w:rsidR="005A7965">
        <w:t>various</w:t>
      </w:r>
      <w:r w:rsidR="00AB0AA1" w:rsidRPr="00635355">
        <w:t xml:space="preserve"> submissions, documents and errors on </w:t>
      </w:r>
      <w:r w:rsidR="005A7965">
        <w:t xml:space="preserve">the </w:t>
      </w:r>
      <w:r w:rsidR="00AB0AA1" w:rsidRPr="00635355">
        <w:t>part of ASIC</w:t>
      </w:r>
      <w:r w:rsidR="005A7965">
        <w:t>,</w:t>
      </w:r>
      <w:r w:rsidR="00AB0AA1" w:rsidRPr="00635355">
        <w:t xml:space="preserve"> which were disregarded by the court</w:t>
      </w:r>
      <w:r w:rsidR="00A63164" w:rsidRPr="00635355">
        <w:t>s, in her view</w:t>
      </w:r>
      <w:r w:rsidR="00AB0AA1" w:rsidRPr="00635355">
        <w:t>.</w:t>
      </w:r>
    </w:p>
    <w:p w:rsidR="00D065E5" w:rsidRPr="00635355" w:rsidRDefault="006165AC" w:rsidP="00DE6C67">
      <w:pPr>
        <w:pStyle w:val="SingleTxtG"/>
      </w:pPr>
      <w:r w:rsidRPr="00635355">
        <w:t>5</w:t>
      </w:r>
      <w:r w:rsidR="00981069" w:rsidRPr="00635355">
        <w:t>.10</w:t>
      </w:r>
      <w:r w:rsidR="00981069" w:rsidRPr="00635355">
        <w:tab/>
      </w:r>
      <w:r w:rsidRPr="00635355">
        <w:t xml:space="preserve">As to the State party’s argument that the second set of proceedings was civil in nature and therefore </w:t>
      </w:r>
      <w:r w:rsidR="00EF4905" w:rsidRPr="00635355">
        <w:t>article </w:t>
      </w:r>
      <w:r w:rsidRPr="00635355">
        <w:t>14</w:t>
      </w:r>
      <w:r w:rsidR="00EA2D55" w:rsidRPr="00635355">
        <w:t> </w:t>
      </w:r>
      <w:r w:rsidR="009B5128">
        <w:t>(</w:t>
      </w:r>
      <w:r w:rsidRPr="00635355">
        <w:t>3</w:t>
      </w:r>
      <w:r w:rsidR="009B5128">
        <w:t>)</w:t>
      </w:r>
      <w:r w:rsidRPr="00635355">
        <w:t xml:space="preserve"> </w:t>
      </w:r>
      <w:r w:rsidR="00E25393" w:rsidRPr="00635355">
        <w:t xml:space="preserve">of the Covenant </w:t>
      </w:r>
      <w:r w:rsidRPr="00635355">
        <w:t xml:space="preserve">is not applicable, the author notes that </w:t>
      </w:r>
      <w:r w:rsidR="006D59D0" w:rsidRPr="00635355">
        <w:t xml:space="preserve">this provision </w:t>
      </w:r>
      <w:r w:rsidRPr="00635355">
        <w:t xml:space="preserve">explicitly grants </w:t>
      </w:r>
      <w:r w:rsidR="005A7965">
        <w:t>the</w:t>
      </w:r>
      <w:r w:rsidRPr="00635355">
        <w:t xml:space="preserve"> right to summon or examine a witness; however </w:t>
      </w:r>
      <w:r w:rsidR="00EF4905" w:rsidRPr="00635355">
        <w:t>article </w:t>
      </w:r>
      <w:r w:rsidRPr="00635355">
        <w:t xml:space="preserve">14 </w:t>
      </w:r>
      <w:r w:rsidR="009B5128">
        <w:t>(</w:t>
      </w:r>
      <w:r w:rsidRPr="00635355">
        <w:t>1</w:t>
      </w:r>
      <w:r w:rsidR="009B5128">
        <w:t>)</w:t>
      </w:r>
      <w:r w:rsidRPr="00635355">
        <w:t xml:space="preserve"> guarantees </w:t>
      </w:r>
      <w:r w:rsidR="005A7965">
        <w:t>the</w:t>
      </w:r>
      <w:r w:rsidRPr="00635355">
        <w:t xml:space="preserve"> right to a fair trial. Consequently, a violation of the right to fair trial occurs in situations where a trial is not going to be fair unless a party is allowed to examine a witness. In th</w:t>
      </w:r>
      <w:r w:rsidR="005F0D65">
        <w:t>at regard</w:t>
      </w:r>
      <w:r w:rsidRPr="00635355">
        <w:t>, the author submits that in the second set of proceedings</w:t>
      </w:r>
      <w:r w:rsidR="005A7965">
        <w:t>,</w:t>
      </w:r>
      <w:r w:rsidRPr="00635355">
        <w:t xml:space="preserve"> she was not permitted to </w:t>
      </w:r>
      <w:r w:rsidR="00D065E5" w:rsidRPr="00635355">
        <w:t>examine th</w:t>
      </w:r>
      <w:r w:rsidR="006D59D0" w:rsidRPr="00635355">
        <w:t>os</w:t>
      </w:r>
      <w:r w:rsidR="00D065E5" w:rsidRPr="00635355">
        <w:t xml:space="preserve">e </w:t>
      </w:r>
      <w:r w:rsidR="006D59D0" w:rsidRPr="00635355">
        <w:t xml:space="preserve">responsible </w:t>
      </w:r>
      <w:r w:rsidR="00D065E5" w:rsidRPr="00635355">
        <w:t>f</w:t>
      </w:r>
      <w:r w:rsidR="006D59D0" w:rsidRPr="00635355">
        <w:t>or</w:t>
      </w:r>
      <w:r w:rsidR="00D065E5" w:rsidRPr="00635355">
        <w:t xml:space="preserve"> the fraudulent affidavits submitted by the plaintiffs. She notes that the accusation of fraud is a very serious </w:t>
      </w:r>
      <w:r w:rsidR="006D59D0" w:rsidRPr="00635355">
        <w:t>one</w:t>
      </w:r>
      <w:r w:rsidR="00D065E5" w:rsidRPr="00635355">
        <w:t xml:space="preserve"> and the proceedings could convert from civil to criminal. Therefore, a judge’s refusal to allow </w:t>
      </w:r>
      <w:r w:rsidR="00B720E2" w:rsidRPr="00635355">
        <w:t>examin</w:t>
      </w:r>
      <w:r w:rsidR="005A7965">
        <w:t>ation</w:t>
      </w:r>
      <w:r w:rsidR="00D065E5" w:rsidRPr="00635355">
        <w:t xml:space="preserve"> </w:t>
      </w:r>
      <w:r w:rsidR="005A7965">
        <w:t xml:space="preserve">of </w:t>
      </w:r>
      <w:r w:rsidR="00D065E5" w:rsidRPr="00635355">
        <w:t xml:space="preserve">the respective witnesses may be considered either as a violation of </w:t>
      </w:r>
      <w:r w:rsidR="009B5128" w:rsidRPr="00635355">
        <w:t>article 14</w:t>
      </w:r>
      <w:r w:rsidR="00EA2D55" w:rsidRPr="00635355">
        <w:t> </w:t>
      </w:r>
      <w:r w:rsidR="009B5128">
        <w:t>(</w:t>
      </w:r>
      <w:r w:rsidR="00D065E5" w:rsidRPr="00635355">
        <w:t>1</w:t>
      </w:r>
      <w:r w:rsidR="009B5128">
        <w:t>)</w:t>
      </w:r>
      <w:r w:rsidR="00D065E5" w:rsidRPr="00635355">
        <w:t xml:space="preserve"> or </w:t>
      </w:r>
      <w:r w:rsidR="009B5128" w:rsidRPr="00635355">
        <w:t>article 14</w:t>
      </w:r>
      <w:r w:rsidR="009B5128">
        <w:t xml:space="preserve"> (</w:t>
      </w:r>
      <w:r w:rsidR="00D065E5" w:rsidRPr="00635355">
        <w:t>3</w:t>
      </w:r>
      <w:r w:rsidR="009B5128">
        <w:t>)</w:t>
      </w:r>
      <w:r w:rsidR="00E25393" w:rsidRPr="00635355">
        <w:t xml:space="preserve"> </w:t>
      </w:r>
      <w:r w:rsidR="00D065E5" w:rsidRPr="00635355">
        <w:t>of the Covenant.</w:t>
      </w:r>
    </w:p>
    <w:p w:rsidR="00B720E2" w:rsidRPr="00635355" w:rsidRDefault="00EB7710" w:rsidP="00DB0EBC">
      <w:pPr>
        <w:pStyle w:val="SingleTxtG"/>
      </w:pPr>
      <w:r w:rsidRPr="00635355">
        <w:t>5.11</w:t>
      </w:r>
      <w:r w:rsidRPr="00635355">
        <w:tab/>
      </w:r>
      <w:r w:rsidR="00B720E2" w:rsidRPr="00635355">
        <w:t xml:space="preserve">As regards a violation of her right under </w:t>
      </w:r>
      <w:r w:rsidR="00EF4905" w:rsidRPr="00635355">
        <w:t>article </w:t>
      </w:r>
      <w:r w:rsidR="00B720E2" w:rsidRPr="00635355">
        <w:t>14</w:t>
      </w:r>
      <w:r w:rsidR="009B5128">
        <w:t xml:space="preserve"> (</w:t>
      </w:r>
      <w:r w:rsidR="00B720E2" w:rsidRPr="00635355">
        <w:t>2</w:t>
      </w:r>
      <w:r w:rsidR="009B5128">
        <w:t>)</w:t>
      </w:r>
      <w:r w:rsidR="00B720E2" w:rsidRPr="00635355">
        <w:t xml:space="preserve"> of the Covenant</w:t>
      </w:r>
      <w:r w:rsidR="006D59D0" w:rsidRPr="00635355">
        <w:t xml:space="preserve">, </w:t>
      </w:r>
      <w:r w:rsidR="00B720E2" w:rsidRPr="00635355">
        <w:t>the author submits that she could not have been found guilty according to law by a court wh</w:t>
      </w:r>
      <w:r w:rsidR="0044729D">
        <w:t>en its</w:t>
      </w:r>
      <w:r w:rsidR="00B720E2" w:rsidRPr="00635355">
        <w:t xml:space="preserve"> </w:t>
      </w:r>
      <w:r w:rsidR="00883A67" w:rsidRPr="00635355">
        <w:t>“</w:t>
      </w:r>
      <w:r w:rsidR="00B720E2" w:rsidRPr="00635355">
        <w:t xml:space="preserve">jurisdiction was challenged, but </w:t>
      </w:r>
      <w:r w:rsidR="0044729D">
        <w:t xml:space="preserve">(the issue) </w:t>
      </w:r>
      <w:r w:rsidR="00B720E2" w:rsidRPr="00635355">
        <w:t>remains unresolved</w:t>
      </w:r>
      <w:r w:rsidR="00883A67" w:rsidRPr="00635355">
        <w:t>”</w:t>
      </w:r>
      <w:r w:rsidR="00B720E2" w:rsidRPr="00635355">
        <w:t xml:space="preserve">. Her right to </w:t>
      </w:r>
      <w:r w:rsidR="0044729D">
        <w:t xml:space="preserve">be </w:t>
      </w:r>
      <w:r w:rsidR="00B720E2" w:rsidRPr="00635355">
        <w:t>presum</w:t>
      </w:r>
      <w:r w:rsidR="0044729D">
        <w:t>ed</w:t>
      </w:r>
      <w:r w:rsidR="00B720E2" w:rsidRPr="00635355">
        <w:t xml:space="preserve"> innocen</w:t>
      </w:r>
      <w:r w:rsidR="0044729D">
        <w:t>t</w:t>
      </w:r>
      <w:r w:rsidR="00B720E2" w:rsidRPr="00635355">
        <w:t xml:space="preserve"> was </w:t>
      </w:r>
      <w:r w:rsidR="005314DA" w:rsidRPr="00635355">
        <w:t>violated already</w:t>
      </w:r>
      <w:r w:rsidR="00B720E2" w:rsidRPr="00635355">
        <w:t xml:space="preserve"> at the preliminary stage, when </w:t>
      </w:r>
      <w:r w:rsidR="006D59D0" w:rsidRPr="00635355">
        <w:t xml:space="preserve">a </w:t>
      </w:r>
      <w:r w:rsidR="00883A67" w:rsidRPr="00635355">
        <w:t>“</w:t>
      </w:r>
      <w:r w:rsidR="00B720E2" w:rsidRPr="00635355">
        <w:t xml:space="preserve">sentencing </w:t>
      </w:r>
      <w:r w:rsidR="002F62A5">
        <w:t>judgement</w:t>
      </w:r>
      <w:r w:rsidR="00B720E2" w:rsidRPr="00635355">
        <w:t xml:space="preserve"> was issued and can be found by the public</w:t>
      </w:r>
      <w:r w:rsidR="00883A67" w:rsidRPr="00635355">
        <w:t>”</w:t>
      </w:r>
      <w:r w:rsidR="00B720E2" w:rsidRPr="00635355">
        <w:t>.</w:t>
      </w:r>
      <w:r w:rsidR="005314DA" w:rsidRPr="00635355">
        <w:t xml:space="preserve"> The author </w:t>
      </w:r>
      <w:r w:rsidR="0044729D">
        <w:t>also</w:t>
      </w:r>
      <w:r w:rsidR="0044729D" w:rsidRPr="00635355">
        <w:t xml:space="preserve"> </w:t>
      </w:r>
      <w:r w:rsidR="005314DA" w:rsidRPr="00635355">
        <w:t xml:space="preserve">lists facts which </w:t>
      </w:r>
      <w:r w:rsidR="0044729D">
        <w:t>the</w:t>
      </w:r>
      <w:r w:rsidR="005314DA" w:rsidRPr="00635355">
        <w:t xml:space="preserve"> prosecutor failed to </w:t>
      </w:r>
      <w:r w:rsidR="006D59D0" w:rsidRPr="00635355">
        <w:t>establish</w:t>
      </w:r>
      <w:r w:rsidR="005314DA" w:rsidRPr="00635355">
        <w:t xml:space="preserve"> and notes that she was found guilty despite </w:t>
      </w:r>
      <w:r w:rsidR="0044729D">
        <w:t>the</w:t>
      </w:r>
      <w:r w:rsidR="005314DA" w:rsidRPr="00635355">
        <w:t xml:space="preserve"> prosecutor’s failure to prove, inter alia, that supply</w:t>
      </w:r>
      <w:r w:rsidR="0044729D">
        <w:t>ing</w:t>
      </w:r>
      <w:r w:rsidR="005314DA" w:rsidRPr="00635355">
        <w:t xml:space="preserve"> copies </w:t>
      </w:r>
      <w:r w:rsidR="005F0D65" w:rsidRPr="00635355">
        <w:t xml:space="preserve">of bank statements </w:t>
      </w:r>
      <w:r w:rsidR="005314DA" w:rsidRPr="00635355">
        <w:t xml:space="preserve">rather than </w:t>
      </w:r>
      <w:r w:rsidR="005F0D65">
        <w:t xml:space="preserve">the </w:t>
      </w:r>
      <w:r w:rsidR="005314DA" w:rsidRPr="00635355">
        <w:t>originals constituted an offence.</w:t>
      </w:r>
    </w:p>
    <w:p w:rsidR="0041418E" w:rsidRPr="00635355" w:rsidRDefault="00EB7710" w:rsidP="00D756B4">
      <w:pPr>
        <w:pStyle w:val="SingleTxtG"/>
      </w:pPr>
      <w:r w:rsidRPr="00635355">
        <w:t>5.12</w:t>
      </w:r>
      <w:r w:rsidRPr="00635355">
        <w:tab/>
      </w:r>
      <w:r w:rsidR="005314DA" w:rsidRPr="00635355">
        <w:t>The author notes that</w:t>
      </w:r>
      <w:r w:rsidR="0044729D">
        <w:t>,</w:t>
      </w:r>
      <w:r w:rsidR="005314DA" w:rsidRPr="00635355">
        <w:t xml:space="preserve"> in violation of </w:t>
      </w:r>
      <w:r w:rsidR="00EF4905" w:rsidRPr="00635355">
        <w:t>article </w:t>
      </w:r>
      <w:r w:rsidR="005314DA" w:rsidRPr="00635355">
        <w:t xml:space="preserve">14 </w:t>
      </w:r>
      <w:r w:rsidR="009B5128">
        <w:t>(</w:t>
      </w:r>
      <w:r w:rsidR="005314DA" w:rsidRPr="00635355">
        <w:t>3</w:t>
      </w:r>
      <w:r w:rsidR="009B5128">
        <w:t>)</w:t>
      </w:r>
      <w:r w:rsidR="005314DA" w:rsidRPr="00635355">
        <w:t xml:space="preserve"> of the Covenant</w:t>
      </w:r>
      <w:r w:rsidR="0044729D">
        <w:t>,</w:t>
      </w:r>
      <w:r w:rsidR="005314DA" w:rsidRPr="00635355">
        <w:t xml:space="preserve"> </w:t>
      </w:r>
      <w:r w:rsidR="0056296B" w:rsidRPr="00635355">
        <w:t xml:space="preserve">the prosecution notice did not specify any </w:t>
      </w:r>
      <w:r w:rsidR="00883A67" w:rsidRPr="00635355">
        <w:t>“</w:t>
      </w:r>
      <w:r w:rsidR="0056296B" w:rsidRPr="00635355">
        <w:t>factual ingredients</w:t>
      </w:r>
      <w:r w:rsidR="00883A67" w:rsidRPr="00635355">
        <w:t>”</w:t>
      </w:r>
      <w:r w:rsidRPr="00635355">
        <w:t>.</w:t>
      </w:r>
      <w:r w:rsidR="0056296B" w:rsidRPr="00635355">
        <w:t xml:space="preserve"> </w:t>
      </w:r>
      <w:r w:rsidR="0041418E" w:rsidRPr="00635355">
        <w:t xml:space="preserve">She </w:t>
      </w:r>
      <w:r w:rsidR="0044729D">
        <w:t xml:space="preserve">also </w:t>
      </w:r>
      <w:r w:rsidR="0041418E" w:rsidRPr="00635355">
        <w:t xml:space="preserve">argues that she was charged </w:t>
      </w:r>
      <w:r w:rsidR="005F0D65">
        <w:t>with</w:t>
      </w:r>
      <w:r w:rsidR="006D59D0" w:rsidRPr="00635355">
        <w:t xml:space="preserve"> </w:t>
      </w:r>
      <w:r w:rsidR="0041418E" w:rsidRPr="00635355">
        <w:t>one offence, but found guilty of another.</w:t>
      </w:r>
    </w:p>
    <w:p w:rsidR="001056A5" w:rsidRPr="00635355" w:rsidRDefault="00EB7710" w:rsidP="00D756B4">
      <w:pPr>
        <w:pStyle w:val="SingleTxtG"/>
      </w:pPr>
      <w:r w:rsidRPr="00635355">
        <w:t>5.13</w:t>
      </w:r>
      <w:r w:rsidRPr="00635355">
        <w:tab/>
      </w:r>
      <w:r w:rsidR="001056A5" w:rsidRPr="00635355">
        <w:t xml:space="preserve">Furthermore, </w:t>
      </w:r>
      <w:r w:rsidR="006D59D0" w:rsidRPr="00635355">
        <w:t>s</w:t>
      </w:r>
      <w:r w:rsidR="001056A5" w:rsidRPr="00635355">
        <w:t xml:space="preserve">he submits that her rights under </w:t>
      </w:r>
      <w:r w:rsidR="00EF4905" w:rsidRPr="00635355">
        <w:t>article </w:t>
      </w:r>
      <w:r w:rsidR="001056A5" w:rsidRPr="00635355">
        <w:t>15 were violated as</w:t>
      </w:r>
      <w:r w:rsidR="0044729D">
        <w:t>,</w:t>
      </w:r>
      <w:r w:rsidR="001056A5" w:rsidRPr="00635355">
        <w:t xml:space="preserve"> according to the </w:t>
      </w:r>
      <w:r w:rsidR="005F0D65">
        <w:t>c</w:t>
      </w:r>
      <w:r w:rsidR="005F0D65" w:rsidRPr="00635355">
        <w:t>onviction</w:t>
      </w:r>
      <w:r w:rsidR="005F0D65">
        <w:t xml:space="preserve"> </w:t>
      </w:r>
      <w:r w:rsidR="0044729D">
        <w:t>n</w:t>
      </w:r>
      <w:r w:rsidR="001056A5" w:rsidRPr="00635355">
        <w:t>otice</w:t>
      </w:r>
      <w:r w:rsidR="0044729D">
        <w:t>,</w:t>
      </w:r>
      <w:r w:rsidR="001056A5" w:rsidRPr="00635355">
        <w:t xml:space="preserve"> she was </w:t>
      </w:r>
      <w:r w:rsidR="0044729D">
        <w:t xml:space="preserve">accused of </w:t>
      </w:r>
      <w:r w:rsidR="00BC6FBE">
        <w:t>com</w:t>
      </w:r>
      <w:r w:rsidR="0044729D">
        <w:t xml:space="preserve">ing </w:t>
      </w:r>
      <w:r w:rsidR="00BC6FBE">
        <w:t>under</w:t>
      </w:r>
      <w:r w:rsidR="0044729D">
        <w:t xml:space="preserve"> the category of a</w:t>
      </w:r>
      <w:r w:rsidR="001056A5" w:rsidRPr="00635355">
        <w:t xml:space="preserve"> </w:t>
      </w:r>
      <w:r w:rsidR="00BC6FBE">
        <w:t>“p</w:t>
      </w:r>
      <w:r w:rsidR="001056A5" w:rsidRPr="00635355">
        <w:t>erson who does not do an act that is required or directed to do by or under the provisions of this Act</w:t>
      </w:r>
      <w:r w:rsidR="00883A67" w:rsidRPr="00635355">
        <w:t>”</w:t>
      </w:r>
      <w:r w:rsidR="001056A5" w:rsidRPr="00635355">
        <w:t xml:space="preserve">. There is no offence specified or law contravened, which means that </w:t>
      </w:r>
      <w:r w:rsidR="006D59D0" w:rsidRPr="00635355">
        <w:t>s</w:t>
      </w:r>
      <w:r w:rsidR="001056A5" w:rsidRPr="00635355">
        <w:t>he was found guilty o</w:t>
      </w:r>
      <w:r w:rsidR="005F0D65">
        <w:t>f</w:t>
      </w:r>
      <w:r w:rsidR="001056A5" w:rsidRPr="00635355">
        <w:t xml:space="preserve">  </w:t>
      </w:r>
      <w:r w:rsidR="005F0D65">
        <w:t>a</w:t>
      </w:r>
      <w:r w:rsidR="00E71619" w:rsidRPr="00635355">
        <w:t xml:space="preserve">n </w:t>
      </w:r>
      <w:r w:rsidR="001056A5" w:rsidRPr="00635355">
        <w:t xml:space="preserve">act </w:t>
      </w:r>
      <w:r w:rsidR="006D59D0" w:rsidRPr="00635355">
        <w:t xml:space="preserve">which </w:t>
      </w:r>
      <w:r w:rsidR="001056A5" w:rsidRPr="00635355">
        <w:t>is not criminal</w:t>
      </w:r>
      <w:r w:rsidR="006D59D0" w:rsidRPr="00635355">
        <w:t>i</w:t>
      </w:r>
      <w:r w:rsidR="0044729D">
        <w:t>z</w:t>
      </w:r>
      <w:r w:rsidR="006D59D0" w:rsidRPr="00635355">
        <w:t>ed</w:t>
      </w:r>
      <w:r w:rsidR="001056A5" w:rsidRPr="00635355">
        <w:t xml:space="preserve">. The author </w:t>
      </w:r>
      <w:r w:rsidR="005F0D65">
        <w:t>also</w:t>
      </w:r>
      <w:r w:rsidR="001056A5" w:rsidRPr="00635355">
        <w:t xml:space="preserve"> challenges the court’s reasoning </w:t>
      </w:r>
      <w:r w:rsidR="0044729D">
        <w:t>that</w:t>
      </w:r>
      <w:r w:rsidR="001056A5" w:rsidRPr="00635355">
        <w:t xml:space="preserve"> led to </w:t>
      </w:r>
      <w:r w:rsidR="006D59D0" w:rsidRPr="00635355">
        <w:t xml:space="preserve">her </w:t>
      </w:r>
      <w:r w:rsidR="001056A5" w:rsidRPr="00635355">
        <w:t>conviction and reiterates that she was not required by law to provide the originals of the company bank statements.</w:t>
      </w:r>
    </w:p>
    <w:p w:rsidR="006719C9" w:rsidRPr="00635355" w:rsidRDefault="00EB7710" w:rsidP="00955DC8">
      <w:pPr>
        <w:pStyle w:val="SingleTxtG"/>
      </w:pPr>
      <w:r w:rsidRPr="00635355">
        <w:t>5.14</w:t>
      </w:r>
      <w:r w:rsidRPr="00635355">
        <w:tab/>
      </w:r>
      <w:r w:rsidR="0044729D">
        <w:t>W</w:t>
      </w:r>
      <w:r w:rsidR="006D59D0" w:rsidRPr="00635355">
        <w:t xml:space="preserve">ith </w:t>
      </w:r>
      <w:r w:rsidR="00734BA3" w:rsidRPr="00635355">
        <w:t>refer</w:t>
      </w:r>
      <w:r w:rsidR="006D59D0" w:rsidRPr="00635355">
        <w:t xml:space="preserve">ence </w:t>
      </w:r>
      <w:r w:rsidR="00734BA3" w:rsidRPr="00635355">
        <w:t xml:space="preserve">to </w:t>
      </w:r>
      <w:r w:rsidR="00EF4905" w:rsidRPr="00635355">
        <w:t>article </w:t>
      </w:r>
      <w:r w:rsidR="00734BA3" w:rsidRPr="00635355">
        <w:t>17</w:t>
      </w:r>
      <w:r w:rsidR="006719C9" w:rsidRPr="00635355">
        <w:t xml:space="preserve"> </w:t>
      </w:r>
      <w:r w:rsidR="009B5128">
        <w:t>(</w:t>
      </w:r>
      <w:r w:rsidR="006719C9" w:rsidRPr="00635355">
        <w:t>1</w:t>
      </w:r>
      <w:r w:rsidR="009B5128">
        <w:t>)</w:t>
      </w:r>
      <w:r w:rsidR="00734BA3" w:rsidRPr="00635355">
        <w:t xml:space="preserve"> of the Covenant, the author maintains that the assault on her reputation and the interference with her privacy and family </w:t>
      </w:r>
      <w:r w:rsidR="00883A67" w:rsidRPr="00635355">
        <w:t>“</w:t>
      </w:r>
      <w:r w:rsidR="00734BA3" w:rsidRPr="00635355">
        <w:t>occurred collaterally and as a consequence of</w:t>
      </w:r>
      <w:r w:rsidR="00883A67" w:rsidRPr="00635355">
        <w:t>”</w:t>
      </w:r>
      <w:r w:rsidR="00734BA3" w:rsidRPr="00635355">
        <w:t xml:space="preserve"> </w:t>
      </w:r>
      <w:r w:rsidR="006D59D0" w:rsidRPr="00635355">
        <w:t>her</w:t>
      </w:r>
      <w:r w:rsidR="00734BA3" w:rsidRPr="00635355">
        <w:t xml:space="preserve"> right to a fair trial. In th</w:t>
      </w:r>
      <w:r w:rsidR="005F0D65">
        <w:t>at regard</w:t>
      </w:r>
      <w:r w:rsidR="00734BA3" w:rsidRPr="00635355">
        <w:t xml:space="preserve">, </w:t>
      </w:r>
      <w:r w:rsidR="006D59D0" w:rsidRPr="00635355">
        <w:t>s</w:t>
      </w:r>
      <w:r w:rsidR="00734BA3" w:rsidRPr="00635355">
        <w:t xml:space="preserve">he reiterates that all three </w:t>
      </w:r>
      <w:r w:rsidR="00734BA3" w:rsidRPr="00635355">
        <w:lastRenderedPageBreak/>
        <w:t>set</w:t>
      </w:r>
      <w:r w:rsidR="005F0D65">
        <w:t>s</w:t>
      </w:r>
      <w:r w:rsidR="00734BA3" w:rsidRPr="00635355">
        <w:t xml:space="preserve"> of proceedings against her were conducted without jurisdiction and were unconstitutional </w:t>
      </w:r>
      <w:r w:rsidR="00883A67" w:rsidRPr="00635355">
        <w:t>“</w:t>
      </w:r>
      <w:r w:rsidR="00734BA3" w:rsidRPr="00635355">
        <w:t>for want of a ‘matter’</w:t>
      </w:r>
      <w:r w:rsidR="00883A67" w:rsidRPr="00635355">
        <w:t>”</w:t>
      </w:r>
      <w:r w:rsidR="00734BA3" w:rsidRPr="00635355">
        <w:t xml:space="preserve"> and that ASIC initiated her prosecution illegally </w:t>
      </w:r>
      <w:r w:rsidR="00883A67" w:rsidRPr="00635355">
        <w:t>“</w:t>
      </w:r>
      <w:r w:rsidR="00734BA3" w:rsidRPr="00635355">
        <w:t>without powers and for improper purpose</w:t>
      </w:r>
      <w:r w:rsidR="00883A67" w:rsidRPr="00635355">
        <w:t>”</w:t>
      </w:r>
      <w:r w:rsidR="00734BA3" w:rsidRPr="00635355">
        <w:t xml:space="preserve">. The prosecution destroyed her family life. The </w:t>
      </w:r>
      <w:r w:rsidR="002F62A5">
        <w:t>judgement</w:t>
      </w:r>
      <w:r w:rsidR="00734BA3" w:rsidRPr="00635355">
        <w:t xml:space="preserve">s are available on </w:t>
      </w:r>
      <w:r w:rsidR="0044729D">
        <w:t>the I</w:t>
      </w:r>
      <w:r w:rsidR="00734BA3" w:rsidRPr="00635355">
        <w:t xml:space="preserve">nternet and the author is listed on </w:t>
      </w:r>
      <w:r w:rsidR="0044729D">
        <w:t xml:space="preserve">the </w:t>
      </w:r>
      <w:r w:rsidR="0044729D" w:rsidRPr="00635355">
        <w:t>ASIC</w:t>
      </w:r>
      <w:r w:rsidR="000028B9">
        <w:t xml:space="preserve"> website</w:t>
      </w:r>
      <w:r w:rsidR="0044729D" w:rsidRPr="00635355">
        <w:t xml:space="preserve"> </w:t>
      </w:r>
      <w:r w:rsidR="00734BA3" w:rsidRPr="00635355">
        <w:t xml:space="preserve">among the </w:t>
      </w:r>
      <w:r w:rsidR="00883A67" w:rsidRPr="00635355">
        <w:t>“</w:t>
      </w:r>
      <w:r w:rsidR="00734BA3" w:rsidRPr="00635355">
        <w:t>criminals</w:t>
      </w:r>
      <w:r w:rsidR="00883A67" w:rsidRPr="00635355">
        <w:t>”</w:t>
      </w:r>
      <w:r w:rsidR="00734BA3" w:rsidRPr="00635355">
        <w:t xml:space="preserve">. </w:t>
      </w:r>
      <w:r w:rsidR="006D59D0" w:rsidRPr="00635355">
        <w:t>S</w:t>
      </w:r>
      <w:r w:rsidR="00734BA3" w:rsidRPr="00635355">
        <w:t xml:space="preserve">he </w:t>
      </w:r>
      <w:r w:rsidR="006D59D0" w:rsidRPr="00635355">
        <w:t xml:space="preserve">adds </w:t>
      </w:r>
      <w:r w:rsidR="00734BA3" w:rsidRPr="00635355">
        <w:t xml:space="preserve">that as soon as the injunction </w:t>
      </w:r>
      <w:r w:rsidR="005F0D65" w:rsidRPr="00635355">
        <w:t>order</w:t>
      </w:r>
      <w:r w:rsidR="005F0D65">
        <w:t xml:space="preserve"> </w:t>
      </w:r>
      <w:r w:rsidR="00734BA3" w:rsidRPr="00635355">
        <w:t xml:space="preserve">was </w:t>
      </w:r>
      <w:r w:rsidR="006719C9" w:rsidRPr="00635355">
        <w:t>issued</w:t>
      </w:r>
      <w:r w:rsidRPr="00635355">
        <w:t>,</w:t>
      </w:r>
      <w:r w:rsidR="006719C9" w:rsidRPr="00635355">
        <w:t xml:space="preserve"> she was deprived of employment and income. Furthermore, as a result of ongoing proceedings, her daughter started </w:t>
      </w:r>
      <w:r w:rsidR="00976389" w:rsidRPr="00635355">
        <w:t>having health problems</w:t>
      </w:r>
      <w:r w:rsidRPr="00635355">
        <w:t>,</w:t>
      </w:r>
      <w:r w:rsidR="00976389" w:rsidRPr="00635355">
        <w:t xml:space="preserve"> and </w:t>
      </w:r>
      <w:r w:rsidR="006719C9" w:rsidRPr="00635355">
        <w:t xml:space="preserve">the author’s son had to </w:t>
      </w:r>
      <w:r w:rsidR="000028B9">
        <w:t>abandon</w:t>
      </w:r>
      <w:r w:rsidR="006719C9" w:rsidRPr="00635355">
        <w:t xml:space="preserve"> his studies in order to earn </w:t>
      </w:r>
      <w:r w:rsidR="005F0D65">
        <w:t>a</w:t>
      </w:r>
      <w:r w:rsidR="006719C9" w:rsidRPr="00635355">
        <w:t xml:space="preserve"> living.</w:t>
      </w:r>
    </w:p>
    <w:p w:rsidR="004F52B0" w:rsidRPr="00635355" w:rsidRDefault="00EB7710" w:rsidP="00C63C27">
      <w:pPr>
        <w:pStyle w:val="H23G"/>
      </w:pPr>
      <w:r w:rsidRPr="00635355">
        <w:tab/>
      </w:r>
      <w:r w:rsidRPr="00635355">
        <w:tab/>
      </w:r>
      <w:r w:rsidR="00131AD4" w:rsidRPr="00635355">
        <w:t xml:space="preserve">State party’s </w:t>
      </w:r>
      <w:r w:rsidR="00C63C27">
        <w:t>additional</w:t>
      </w:r>
      <w:r w:rsidR="00131AD4" w:rsidRPr="00635355">
        <w:t xml:space="preserve"> observations</w:t>
      </w:r>
    </w:p>
    <w:p w:rsidR="00820AED" w:rsidRPr="00635355" w:rsidRDefault="00131AD4" w:rsidP="00E30B30">
      <w:pPr>
        <w:pStyle w:val="SingleTxtG"/>
      </w:pPr>
      <w:r w:rsidRPr="00635355">
        <w:t>6</w:t>
      </w:r>
      <w:r w:rsidR="00EB7710" w:rsidRPr="00635355">
        <w:tab/>
      </w:r>
      <w:r w:rsidR="00820AED" w:rsidRPr="00635355">
        <w:t>By note verbale of 28 October 2011, the State party maintain</w:t>
      </w:r>
      <w:r w:rsidR="00553ACF">
        <w:t>ed</w:t>
      </w:r>
      <w:r w:rsidR="00820AED" w:rsidRPr="00635355">
        <w:t xml:space="preserve"> its previous observations as to the inadmissibility of the present communication and, with regard to the author’s new allegations concerning a violation of </w:t>
      </w:r>
      <w:r w:rsidR="00EF4905" w:rsidRPr="00635355">
        <w:t>article </w:t>
      </w:r>
      <w:r w:rsidR="00820AED" w:rsidRPr="00635355">
        <w:t xml:space="preserve">14 </w:t>
      </w:r>
      <w:r w:rsidR="009B5128">
        <w:t>(</w:t>
      </w:r>
      <w:r w:rsidR="00820AED" w:rsidRPr="00635355">
        <w:t>5</w:t>
      </w:r>
      <w:r w:rsidR="009B5128">
        <w:t>)</w:t>
      </w:r>
      <w:r w:rsidR="00820AED" w:rsidRPr="00635355">
        <w:t xml:space="preserve"> of the Covenant, submit</w:t>
      </w:r>
      <w:r w:rsidR="00553ACF">
        <w:t>ted</w:t>
      </w:r>
      <w:r w:rsidR="00820AED" w:rsidRPr="00635355">
        <w:t xml:space="preserve"> that th</w:t>
      </w:r>
      <w:r w:rsidR="00553ACF">
        <w:t>at</w:t>
      </w:r>
      <w:r w:rsidR="00820AED" w:rsidRPr="00635355">
        <w:t xml:space="preserve"> claim </w:t>
      </w:r>
      <w:r w:rsidR="00553ACF">
        <w:t>wa</w:t>
      </w:r>
      <w:r w:rsidR="00820AED" w:rsidRPr="00635355">
        <w:t>s also inadmissible. It observes that the author claims a violation under th</w:t>
      </w:r>
      <w:r w:rsidR="000028B9">
        <w:t>at</w:t>
      </w:r>
      <w:r w:rsidR="00976389" w:rsidRPr="00635355">
        <w:t xml:space="preserve"> provision </w:t>
      </w:r>
      <w:r w:rsidR="00820AED" w:rsidRPr="00635355">
        <w:t xml:space="preserve">on the basis that the Supreme Court of Western Australia refused to </w:t>
      </w:r>
      <w:r w:rsidR="00883A67" w:rsidRPr="00635355">
        <w:t>“</w:t>
      </w:r>
      <w:r w:rsidR="00820AED" w:rsidRPr="00635355">
        <w:t>conduct review of the magistrate’s jurisdiction</w:t>
      </w:r>
      <w:r w:rsidR="00883A67" w:rsidRPr="00635355">
        <w:t>”</w:t>
      </w:r>
      <w:r w:rsidR="00820AED" w:rsidRPr="00635355">
        <w:t xml:space="preserve"> and </w:t>
      </w:r>
      <w:r w:rsidR="00883A67" w:rsidRPr="00635355">
        <w:t>“</w:t>
      </w:r>
      <w:r w:rsidR="00820AED" w:rsidRPr="00635355">
        <w:t>entertain the Single Judge Appeal according to law</w:t>
      </w:r>
      <w:r w:rsidR="00883A67" w:rsidRPr="00635355">
        <w:t>”</w:t>
      </w:r>
      <w:r w:rsidR="00820AED" w:rsidRPr="00635355">
        <w:t xml:space="preserve">; the Supreme Court of Western Australia Court of Appeal refused to </w:t>
      </w:r>
      <w:r w:rsidR="00883A67" w:rsidRPr="00635355">
        <w:t>“</w:t>
      </w:r>
      <w:r w:rsidR="00820AED" w:rsidRPr="00635355">
        <w:t>decide the magistrates jurisdiction</w:t>
      </w:r>
      <w:r w:rsidR="00883A67" w:rsidRPr="00635355">
        <w:t>”</w:t>
      </w:r>
      <w:r w:rsidR="00820AED" w:rsidRPr="00635355">
        <w:t xml:space="preserve">, </w:t>
      </w:r>
      <w:r w:rsidR="00883A67" w:rsidRPr="00635355">
        <w:t>“</w:t>
      </w:r>
      <w:r w:rsidR="00820AED" w:rsidRPr="00635355">
        <w:t>entertain criminal appeal according to law</w:t>
      </w:r>
      <w:r w:rsidR="00883A67" w:rsidRPr="00635355">
        <w:t>”</w:t>
      </w:r>
      <w:r w:rsidR="00820AED" w:rsidRPr="00635355">
        <w:t xml:space="preserve">, and displayed </w:t>
      </w:r>
      <w:r w:rsidR="00883A67" w:rsidRPr="00635355">
        <w:t>“</w:t>
      </w:r>
      <w:r w:rsidR="00820AED" w:rsidRPr="00635355">
        <w:t>disregard of presented grounds in appeal to writ</w:t>
      </w:r>
      <w:r w:rsidR="00883A67" w:rsidRPr="00635355">
        <w:t>”</w:t>
      </w:r>
      <w:r w:rsidR="00820AED" w:rsidRPr="00635355">
        <w:t xml:space="preserve">; and the High Court of Australia refused to </w:t>
      </w:r>
      <w:r w:rsidR="00883A67" w:rsidRPr="00635355">
        <w:t>“</w:t>
      </w:r>
      <w:r w:rsidR="00820AED" w:rsidRPr="00635355">
        <w:t>conduct prerogative writ proceedings</w:t>
      </w:r>
      <w:r w:rsidR="00883A67" w:rsidRPr="00635355">
        <w:t>”</w:t>
      </w:r>
      <w:r w:rsidR="00820AED" w:rsidRPr="00635355">
        <w:t xml:space="preserve">, </w:t>
      </w:r>
      <w:r w:rsidR="00883A67" w:rsidRPr="00635355">
        <w:t>“</w:t>
      </w:r>
      <w:r w:rsidR="00820AED" w:rsidRPr="00635355">
        <w:t>conduct the appeal regarding jurisdiction</w:t>
      </w:r>
      <w:r w:rsidR="00883A67" w:rsidRPr="00635355">
        <w:t>”</w:t>
      </w:r>
      <w:r w:rsidR="00820AED" w:rsidRPr="00635355">
        <w:t xml:space="preserve"> and </w:t>
      </w:r>
      <w:r w:rsidR="00883A67" w:rsidRPr="00635355">
        <w:t>“</w:t>
      </w:r>
      <w:r w:rsidR="00820AED" w:rsidRPr="00635355">
        <w:t>conduct the appeal to conviction</w:t>
      </w:r>
      <w:r w:rsidR="00883A67" w:rsidRPr="00635355">
        <w:t>”</w:t>
      </w:r>
      <w:r w:rsidR="00EB7710" w:rsidRPr="00635355">
        <w:t>.</w:t>
      </w:r>
      <w:r w:rsidR="00E30B30">
        <w:t xml:space="preserve"> </w:t>
      </w:r>
      <w:r w:rsidR="00AC46F2" w:rsidRPr="00635355">
        <w:t xml:space="preserve">The State party </w:t>
      </w:r>
      <w:r w:rsidR="00976389" w:rsidRPr="00635355">
        <w:t xml:space="preserve">notes </w:t>
      </w:r>
      <w:r w:rsidR="00AC46F2" w:rsidRPr="00635355">
        <w:t>that the author has provided no evidence to substantiate th</w:t>
      </w:r>
      <w:r w:rsidR="000028B9">
        <w:t>o</w:t>
      </w:r>
      <w:r w:rsidR="00AC46F2" w:rsidRPr="00635355">
        <w:t xml:space="preserve">se claims. It observes that she has provided transcripts and </w:t>
      </w:r>
      <w:r w:rsidR="002F62A5">
        <w:t>judgement</w:t>
      </w:r>
      <w:r w:rsidR="00AC46F2" w:rsidRPr="00635355">
        <w:t xml:space="preserve">s of her appeal proceedings in the Supreme Court of Western Australia and the Supreme Court of Western Australia Court of Appeal, which </w:t>
      </w:r>
      <w:r w:rsidR="00976389" w:rsidRPr="00635355">
        <w:t xml:space="preserve">demonstrate </w:t>
      </w:r>
      <w:r w:rsidR="00AC46F2" w:rsidRPr="00635355">
        <w:t>that the author’s case was reviewed by higher tribunals</w:t>
      </w:r>
      <w:r w:rsidR="00976389" w:rsidRPr="00635355">
        <w:t>,</w:t>
      </w:r>
      <w:r w:rsidR="00AC46F2" w:rsidRPr="00635355">
        <w:t xml:space="preserve"> according to law</w:t>
      </w:r>
      <w:r w:rsidR="00976389" w:rsidRPr="00635355">
        <w:t>,</w:t>
      </w:r>
      <w:r w:rsidR="00AC46F2" w:rsidRPr="00635355">
        <w:t xml:space="preserve"> in compliance with </w:t>
      </w:r>
      <w:r w:rsidR="00EF4905" w:rsidRPr="00635355">
        <w:t>article </w:t>
      </w:r>
      <w:r w:rsidR="00AC46F2" w:rsidRPr="00635355">
        <w:t>14</w:t>
      </w:r>
      <w:r w:rsidR="00EA2D55" w:rsidRPr="00635355">
        <w:t> </w:t>
      </w:r>
      <w:r w:rsidR="009B5128">
        <w:t>(</w:t>
      </w:r>
      <w:r w:rsidR="00AC46F2" w:rsidRPr="00635355">
        <w:t>5</w:t>
      </w:r>
      <w:r w:rsidR="009B5128">
        <w:t>)</w:t>
      </w:r>
      <w:r w:rsidR="00AC46F2" w:rsidRPr="00635355">
        <w:t xml:space="preserve"> of the Covenant. Moreover, the author admits </w:t>
      </w:r>
      <w:r w:rsidR="000028B9">
        <w:t>i</w:t>
      </w:r>
      <w:r w:rsidR="00AC46F2" w:rsidRPr="00635355">
        <w:t xml:space="preserve">n her </w:t>
      </w:r>
      <w:r w:rsidR="000028B9">
        <w:t>comments</w:t>
      </w:r>
      <w:r w:rsidR="00AC46F2" w:rsidRPr="00635355">
        <w:t xml:space="preserve"> that the Supreme Court of Western Australia did consider some of the grounds, which were sourced from her oral submission</w:t>
      </w:r>
      <w:r w:rsidR="00032106" w:rsidRPr="00635355">
        <w:t xml:space="preserve"> and that the Court of Appeal had </w:t>
      </w:r>
      <w:r w:rsidR="00883A67" w:rsidRPr="00635355">
        <w:t>“</w:t>
      </w:r>
      <w:r w:rsidR="00032106" w:rsidRPr="00635355">
        <w:t>replied extensively to some of (her) grounds</w:t>
      </w:r>
      <w:r w:rsidR="00883A67" w:rsidRPr="00635355">
        <w:t>”</w:t>
      </w:r>
      <w:r w:rsidR="00EB7710" w:rsidRPr="00635355">
        <w:t>.</w:t>
      </w:r>
      <w:r w:rsidR="00032106" w:rsidRPr="00635355">
        <w:t xml:space="preserve"> The State party maintains that the dismissal of the author’s special leave to appeal to the High Court of Australia was conducted in accordance with the requirements of </w:t>
      </w:r>
      <w:r w:rsidR="00871A89" w:rsidRPr="00635355">
        <w:t>section </w:t>
      </w:r>
      <w:r w:rsidR="00032106" w:rsidRPr="00635355">
        <w:t xml:space="preserve">35A of the Judiciary Act 1903 and does not represent a violation of the author’s rights under the Covenant. Therefore, the present claim is inadmissible </w:t>
      </w:r>
      <w:r w:rsidR="00976389" w:rsidRPr="00635355">
        <w:t xml:space="preserve">as </w:t>
      </w:r>
      <w:r w:rsidR="000028B9">
        <w:t xml:space="preserve">it is </w:t>
      </w:r>
      <w:r w:rsidR="00976389" w:rsidRPr="00635355">
        <w:t>unsubstantiated</w:t>
      </w:r>
      <w:r w:rsidR="00032106" w:rsidRPr="00635355">
        <w:t>.</w:t>
      </w:r>
    </w:p>
    <w:p w:rsidR="00E70726" w:rsidRPr="00635355" w:rsidRDefault="00EB7710" w:rsidP="00C63C27">
      <w:pPr>
        <w:pStyle w:val="H23G"/>
      </w:pPr>
      <w:r w:rsidRPr="00635355">
        <w:tab/>
      </w:r>
      <w:r w:rsidRPr="00635355">
        <w:tab/>
      </w:r>
      <w:r w:rsidR="00E70726" w:rsidRPr="00635355">
        <w:t>Author’s comments</w:t>
      </w:r>
      <w:r w:rsidR="00C63C27">
        <w:t xml:space="preserve"> </w:t>
      </w:r>
      <w:r w:rsidR="00C63C27" w:rsidRPr="00C63C27">
        <w:t>on the State party’s additional observations</w:t>
      </w:r>
    </w:p>
    <w:p w:rsidR="00E70726" w:rsidRPr="00635355" w:rsidRDefault="00512AEE" w:rsidP="000028B9">
      <w:pPr>
        <w:pStyle w:val="SingleTxtG"/>
      </w:pPr>
      <w:r w:rsidRPr="00635355">
        <w:t>7.</w:t>
      </w:r>
      <w:r w:rsidR="00EB7710" w:rsidRPr="00635355">
        <w:tab/>
      </w:r>
      <w:r w:rsidRPr="00635355">
        <w:t xml:space="preserve">On 23 January 2012, the author submitted further </w:t>
      </w:r>
      <w:r w:rsidR="000028B9">
        <w:t>comment</w:t>
      </w:r>
      <w:r w:rsidR="000028B9" w:rsidRPr="00635355">
        <w:t>s</w:t>
      </w:r>
      <w:r w:rsidRPr="00635355">
        <w:t>. She provided copies of documents relating to the third set of proceedings and reiterate</w:t>
      </w:r>
      <w:r w:rsidR="00E71619" w:rsidRPr="00635355">
        <w:t>d</w:t>
      </w:r>
      <w:r w:rsidR="00976389" w:rsidRPr="00635355">
        <w:t xml:space="preserve"> </w:t>
      </w:r>
      <w:r w:rsidRPr="00635355">
        <w:t xml:space="preserve">her </w:t>
      </w:r>
      <w:r w:rsidR="002A6AEF" w:rsidRPr="00635355">
        <w:t>previous</w:t>
      </w:r>
      <w:r w:rsidR="00976389" w:rsidRPr="00635355">
        <w:t xml:space="preserve"> argument regarding the alleged violation of </w:t>
      </w:r>
      <w:r w:rsidRPr="00635355">
        <w:t xml:space="preserve">her rights under </w:t>
      </w:r>
      <w:r w:rsidR="00EF4905" w:rsidRPr="00635355">
        <w:t>article </w:t>
      </w:r>
      <w:r w:rsidRPr="00635355">
        <w:t>14</w:t>
      </w:r>
      <w:r w:rsidR="00EA2D55" w:rsidRPr="00635355">
        <w:t> </w:t>
      </w:r>
      <w:r w:rsidR="009B5128">
        <w:t>(</w:t>
      </w:r>
      <w:r w:rsidRPr="00635355">
        <w:t>1</w:t>
      </w:r>
      <w:r w:rsidR="009B5128">
        <w:t>)</w:t>
      </w:r>
      <w:r w:rsidRPr="00635355">
        <w:t xml:space="preserve"> in conjunction with </w:t>
      </w:r>
      <w:r w:rsidR="00EF4905" w:rsidRPr="00635355">
        <w:t>article </w:t>
      </w:r>
      <w:r w:rsidRPr="00635355">
        <w:t>2</w:t>
      </w:r>
      <w:r w:rsidR="00EA2D55" w:rsidRPr="00635355">
        <w:t> </w:t>
      </w:r>
      <w:r w:rsidR="009B5128">
        <w:t>(</w:t>
      </w:r>
      <w:r w:rsidRPr="00635355">
        <w:t>2</w:t>
      </w:r>
      <w:r w:rsidR="009B5128">
        <w:t>)</w:t>
      </w:r>
      <w:r w:rsidRPr="00635355">
        <w:t xml:space="preserve">; </w:t>
      </w:r>
      <w:r w:rsidR="00EF4905" w:rsidRPr="00635355">
        <w:t>article </w:t>
      </w:r>
      <w:r w:rsidRPr="00635355">
        <w:t>14</w:t>
      </w:r>
      <w:r w:rsidR="0022443E" w:rsidRPr="00635355">
        <w:t> </w:t>
      </w:r>
      <w:r w:rsidR="009B5128">
        <w:t>(</w:t>
      </w:r>
      <w:r w:rsidRPr="00635355">
        <w:t>2 and 3</w:t>
      </w:r>
      <w:r w:rsidR="009B5128">
        <w:t>)</w:t>
      </w:r>
      <w:r w:rsidRPr="00635355">
        <w:t xml:space="preserve">; </w:t>
      </w:r>
      <w:r w:rsidR="00976389" w:rsidRPr="00635355">
        <w:t xml:space="preserve">and </w:t>
      </w:r>
      <w:r w:rsidRPr="00635355">
        <w:t>articles</w:t>
      </w:r>
      <w:r w:rsidR="0022443E" w:rsidRPr="00635355">
        <w:t> </w:t>
      </w:r>
      <w:r w:rsidRPr="00635355">
        <w:t>15 and 17</w:t>
      </w:r>
      <w:r w:rsidR="00976389" w:rsidRPr="00635355">
        <w:t xml:space="preserve"> of the Covenant</w:t>
      </w:r>
      <w:r w:rsidRPr="00635355">
        <w:t xml:space="preserve">. </w:t>
      </w:r>
    </w:p>
    <w:p w:rsidR="009466AB" w:rsidRPr="00635355" w:rsidRDefault="00EB7710" w:rsidP="00EB7710">
      <w:pPr>
        <w:pStyle w:val="H23G"/>
      </w:pPr>
      <w:r w:rsidRPr="00635355">
        <w:tab/>
      </w:r>
      <w:r w:rsidRPr="00635355">
        <w:tab/>
      </w:r>
      <w:r w:rsidR="009466AB" w:rsidRPr="00635355">
        <w:t>Issues and proceedings before the Committee</w:t>
      </w:r>
    </w:p>
    <w:p w:rsidR="009466AB" w:rsidRPr="00635355" w:rsidRDefault="009466AB" w:rsidP="00EB7710">
      <w:pPr>
        <w:pStyle w:val="H4G"/>
      </w:pPr>
      <w:r w:rsidRPr="00635355">
        <w:tab/>
      </w:r>
      <w:r w:rsidRPr="00635355">
        <w:tab/>
        <w:t>Consideration of admissibility</w:t>
      </w:r>
    </w:p>
    <w:p w:rsidR="009466AB" w:rsidRPr="00635355" w:rsidRDefault="009466AB" w:rsidP="00C63C27">
      <w:pPr>
        <w:pStyle w:val="SingleTxtG"/>
        <w:spacing w:line="220" w:lineRule="atLeast"/>
        <w:rPr>
          <w:bCs/>
        </w:rPr>
      </w:pPr>
      <w:r w:rsidRPr="00635355">
        <w:rPr>
          <w:bCs/>
        </w:rPr>
        <w:t>8.1</w:t>
      </w:r>
      <w:r w:rsidRPr="00635355">
        <w:rPr>
          <w:bCs/>
        </w:rPr>
        <w:tab/>
        <w:t>Before considering any claim contained in a communication, the Human Rights Committee must, in accordance with rule 93 of its rules of procedure, decide whether the c</w:t>
      </w:r>
      <w:r w:rsidR="00C63C27">
        <w:rPr>
          <w:bCs/>
        </w:rPr>
        <w:t>ommunication</w:t>
      </w:r>
      <w:r w:rsidRPr="00635355">
        <w:rPr>
          <w:bCs/>
        </w:rPr>
        <w:t xml:space="preserve"> is admissible under the Optional Protocol to the Covenant.</w:t>
      </w:r>
    </w:p>
    <w:p w:rsidR="009466AB" w:rsidRPr="00635355" w:rsidRDefault="009466AB" w:rsidP="009B5128">
      <w:pPr>
        <w:pStyle w:val="SingleTxtG"/>
        <w:spacing w:line="220" w:lineRule="atLeast"/>
      </w:pPr>
      <w:r w:rsidRPr="00635355">
        <w:t>8.2</w:t>
      </w:r>
      <w:r w:rsidRPr="00635355">
        <w:tab/>
        <w:t xml:space="preserve">As required under </w:t>
      </w:r>
      <w:r w:rsidR="00EF4905" w:rsidRPr="00635355">
        <w:t>article </w:t>
      </w:r>
      <w:r w:rsidRPr="00635355">
        <w:t xml:space="preserve">5 </w:t>
      </w:r>
      <w:r w:rsidR="009B5128">
        <w:t>(</w:t>
      </w:r>
      <w:r w:rsidRPr="00635355">
        <w:t>2 (a)</w:t>
      </w:r>
      <w:r w:rsidR="009B5128">
        <w:t>)</w:t>
      </w:r>
      <w:r w:rsidRPr="00635355">
        <w:t xml:space="preserve"> of the Optional Protocol, the Committee has ascertained that the same matter is not being examined under another procedure of international investigation or settlement.</w:t>
      </w:r>
      <w:r w:rsidR="00C87908" w:rsidRPr="00635355">
        <w:t xml:space="preserve"> It also notes that it is not </w:t>
      </w:r>
      <w:r w:rsidR="00A531E3" w:rsidRPr="00635355">
        <w:t>disputed that</w:t>
      </w:r>
      <w:r w:rsidR="00C87908" w:rsidRPr="00635355">
        <w:t xml:space="preserve"> the author has exhausted all available domestic remedies, as required</w:t>
      </w:r>
      <w:r w:rsidR="005C34CB" w:rsidRPr="00635355">
        <w:t xml:space="preserve"> </w:t>
      </w:r>
      <w:r w:rsidR="00976389" w:rsidRPr="00635355">
        <w:t xml:space="preserve">under </w:t>
      </w:r>
      <w:r w:rsidR="00EF4905" w:rsidRPr="00635355">
        <w:t>article </w:t>
      </w:r>
      <w:r w:rsidR="00976389" w:rsidRPr="00635355">
        <w:t>5</w:t>
      </w:r>
      <w:r w:rsidR="00EA2D55" w:rsidRPr="00635355">
        <w:t> </w:t>
      </w:r>
      <w:r w:rsidR="009B5128">
        <w:t>(</w:t>
      </w:r>
      <w:r w:rsidR="00976389" w:rsidRPr="00635355">
        <w:t>2</w:t>
      </w:r>
      <w:r w:rsidR="0059616A" w:rsidRPr="00635355">
        <w:t> </w:t>
      </w:r>
      <w:r w:rsidR="00976389" w:rsidRPr="00635355">
        <w:t>(b)</w:t>
      </w:r>
      <w:r w:rsidR="009B5128">
        <w:t>)</w:t>
      </w:r>
      <w:r w:rsidR="00976389" w:rsidRPr="00635355">
        <w:t xml:space="preserve"> of the </w:t>
      </w:r>
      <w:r w:rsidR="00142B8E" w:rsidRPr="00635355">
        <w:t>O</w:t>
      </w:r>
      <w:r w:rsidR="00C87908" w:rsidRPr="00635355">
        <w:t>ptional Protocol</w:t>
      </w:r>
      <w:r w:rsidR="00976389" w:rsidRPr="00635355">
        <w:t xml:space="preserve">. </w:t>
      </w:r>
      <w:r w:rsidR="00C87908" w:rsidRPr="00635355">
        <w:t>Therefore, the Committee considers that this requirement has been met.</w:t>
      </w:r>
    </w:p>
    <w:p w:rsidR="00A8771D" w:rsidRPr="00635355" w:rsidRDefault="006303C8" w:rsidP="00DE6C67">
      <w:pPr>
        <w:pStyle w:val="SingleTxtG"/>
        <w:spacing w:line="220" w:lineRule="atLeast"/>
      </w:pPr>
      <w:r w:rsidRPr="00635355">
        <w:lastRenderedPageBreak/>
        <w:t>8.</w:t>
      </w:r>
      <w:r w:rsidR="0017295C" w:rsidRPr="00635355">
        <w:t>3</w:t>
      </w:r>
      <w:r w:rsidR="00EB7710" w:rsidRPr="00635355">
        <w:tab/>
      </w:r>
      <w:r w:rsidR="00A8771D" w:rsidRPr="00635355">
        <w:t xml:space="preserve">The Committee notes the author’s claim </w:t>
      </w:r>
      <w:r w:rsidR="007E20B4" w:rsidRPr="00635355">
        <w:t xml:space="preserve">that she was charged and convicted </w:t>
      </w:r>
      <w:r w:rsidR="0017295C" w:rsidRPr="00635355">
        <w:t xml:space="preserve">under </w:t>
      </w:r>
      <w:r w:rsidR="00871A89" w:rsidRPr="00635355">
        <w:t>section </w:t>
      </w:r>
      <w:r w:rsidR="00514B1E" w:rsidRPr="00635355">
        <w:t xml:space="preserve">438B of the Corporations Act </w:t>
      </w:r>
      <w:r w:rsidR="0090604B">
        <w:t>(</w:t>
      </w:r>
      <w:r w:rsidR="007E20B4" w:rsidRPr="00635355">
        <w:t>2001</w:t>
      </w:r>
      <w:r w:rsidR="0090604B">
        <w:t>)</w:t>
      </w:r>
      <w:r w:rsidR="007E20B4" w:rsidRPr="00635355">
        <w:t xml:space="preserve">, which relates to </w:t>
      </w:r>
      <w:r w:rsidR="00E71619" w:rsidRPr="00635355">
        <w:t>a contractual obligation</w:t>
      </w:r>
      <w:r w:rsidR="007E20B4" w:rsidRPr="00635355">
        <w:t xml:space="preserve"> and carries punishment in the form of imprisonment </w:t>
      </w:r>
      <w:r w:rsidR="000028B9">
        <w:t xml:space="preserve">for </w:t>
      </w:r>
      <w:r w:rsidR="007E20B4" w:rsidRPr="00635355">
        <w:t>up to one year</w:t>
      </w:r>
      <w:r w:rsidR="0017295C" w:rsidRPr="00635355">
        <w:t xml:space="preserve">, </w:t>
      </w:r>
      <w:r w:rsidR="00E71619" w:rsidRPr="00635355">
        <w:t xml:space="preserve">and </w:t>
      </w:r>
      <w:r w:rsidR="007E20B4" w:rsidRPr="00635355">
        <w:t xml:space="preserve">contravenes </w:t>
      </w:r>
      <w:r w:rsidR="00EF4905" w:rsidRPr="00635355">
        <w:t>article </w:t>
      </w:r>
      <w:r w:rsidR="007E20B4" w:rsidRPr="00635355">
        <w:t>11 of the Covenant.</w:t>
      </w:r>
      <w:r w:rsidR="00514B1E" w:rsidRPr="00635355">
        <w:t xml:space="preserve"> </w:t>
      </w:r>
      <w:r w:rsidR="00514B1E" w:rsidRPr="008639E9">
        <w:t>In th</w:t>
      </w:r>
      <w:r w:rsidR="00553ACF">
        <w:t>at regard</w:t>
      </w:r>
      <w:r w:rsidR="00514B1E" w:rsidRPr="008639E9">
        <w:t>, the Committee</w:t>
      </w:r>
      <w:r w:rsidR="009E081C" w:rsidRPr="008639E9">
        <w:t xml:space="preserve"> takes note of </w:t>
      </w:r>
      <w:r w:rsidR="00514B1E" w:rsidRPr="008639E9">
        <w:t xml:space="preserve">the State party’s submission that the obligations </w:t>
      </w:r>
      <w:r w:rsidR="008639E9">
        <w:t xml:space="preserve">the </w:t>
      </w:r>
      <w:r w:rsidR="008639E9" w:rsidRPr="008639E9">
        <w:t>author faile</w:t>
      </w:r>
      <w:r w:rsidR="008639E9">
        <w:t>d</w:t>
      </w:r>
      <w:r w:rsidR="008639E9" w:rsidRPr="008639E9">
        <w:t xml:space="preserve"> to fulfil </w:t>
      </w:r>
      <w:r w:rsidR="00E2301A" w:rsidRPr="008639E9">
        <w:t xml:space="preserve">as a company director </w:t>
      </w:r>
      <w:r w:rsidR="00514B1E" w:rsidRPr="008639E9">
        <w:t xml:space="preserve">under </w:t>
      </w:r>
      <w:r w:rsidR="00871A89" w:rsidRPr="008639E9">
        <w:t>section </w:t>
      </w:r>
      <w:r w:rsidR="00514B1E" w:rsidRPr="008639E9">
        <w:t xml:space="preserve">438B of the Corporations Act </w:t>
      </w:r>
      <w:r w:rsidR="0090604B" w:rsidRPr="008639E9">
        <w:t>(</w:t>
      </w:r>
      <w:r w:rsidR="00514B1E" w:rsidRPr="008639E9">
        <w:t>2001</w:t>
      </w:r>
      <w:r w:rsidR="0090604B" w:rsidRPr="008639E9">
        <w:t>)</w:t>
      </w:r>
      <w:r w:rsidR="008639E9">
        <w:t>, and which</w:t>
      </w:r>
      <w:r w:rsidR="00514B1E" w:rsidRPr="008639E9">
        <w:t xml:space="preserve"> resulted in her criminal convi</w:t>
      </w:r>
      <w:r w:rsidR="004F3C13" w:rsidRPr="008639E9">
        <w:t>ction</w:t>
      </w:r>
      <w:r w:rsidR="000028B9" w:rsidRPr="008639E9">
        <w:t>,</w:t>
      </w:r>
      <w:r w:rsidR="004F3C13" w:rsidRPr="008639E9">
        <w:t xml:space="preserve"> </w:t>
      </w:r>
      <w:r w:rsidR="00514B1E" w:rsidRPr="008639E9">
        <w:t>were not contractual obligations, but legal ones, arising from domestic law.</w:t>
      </w:r>
      <w:r w:rsidR="00514B1E" w:rsidRPr="00635355">
        <w:t xml:space="preserve"> Furthermore, the Committee notes that the author has never been imprisoned</w:t>
      </w:r>
      <w:r w:rsidR="004F3C13" w:rsidRPr="00635355">
        <w:t xml:space="preserve"> </w:t>
      </w:r>
      <w:r w:rsidR="00514B1E" w:rsidRPr="00635355">
        <w:t xml:space="preserve">as a result of her failure to fulfil </w:t>
      </w:r>
      <w:r w:rsidR="004F3C13" w:rsidRPr="00635355">
        <w:t xml:space="preserve">any kind of contractual obligation. </w:t>
      </w:r>
      <w:r w:rsidR="00514B1E" w:rsidRPr="00635355">
        <w:t xml:space="preserve">In these circumstances, the Committee concludes that </w:t>
      </w:r>
      <w:r w:rsidR="00E2301A" w:rsidRPr="00635355">
        <w:t>the present claim</w:t>
      </w:r>
      <w:r w:rsidR="00514B1E" w:rsidRPr="00635355">
        <w:t xml:space="preserve"> </w:t>
      </w:r>
      <w:r w:rsidR="00E2301A" w:rsidRPr="00635355">
        <w:t>is</w:t>
      </w:r>
      <w:r w:rsidR="00514B1E" w:rsidRPr="00635355">
        <w:t xml:space="preserve"> incompatible with the provisions of the Covenant and, therefore, th</w:t>
      </w:r>
      <w:r w:rsidR="00E2301A" w:rsidRPr="00635355">
        <w:t>is</w:t>
      </w:r>
      <w:r w:rsidR="00514B1E" w:rsidRPr="00635355">
        <w:t xml:space="preserve"> part of the communication is inadmissible under </w:t>
      </w:r>
      <w:r w:rsidR="00EF4905" w:rsidRPr="00635355">
        <w:t>article </w:t>
      </w:r>
      <w:r w:rsidR="00514B1E" w:rsidRPr="00635355">
        <w:t>3 of the Optional Protocol.</w:t>
      </w:r>
    </w:p>
    <w:p w:rsidR="007E0CF9" w:rsidRPr="00635355" w:rsidRDefault="009466AB" w:rsidP="00DE6C67">
      <w:pPr>
        <w:pStyle w:val="SingleTxtG"/>
        <w:spacing w:line="220" w:lineRule="atLeast"/>
      </w:pPr>
      <w:r w:rsidRPr="00635355">
        <w:t>8</w:t>
      </w:r>
      <w:r w:rsidR="0057253C" w:rsidRPr="00635355">
        <w:t>.</w:t>
      </w:r>
      <w:r w:rsidR="0017295C" w:rsidRPr="00635355">
        <w:t>4</w:t>
      </w:r>
      <w:r w:rsidRPr="00635355">
        <w:tab/>
      </w:r>
      <w:r w:rsidR="007E7858" w:rsidRPr="00635355">
        <w:t>The Committee note</w:t>
      </w:r>
      <w:r w:rsidR="0017295C" w:rsidRPr="00635355">
        <w:t>s</w:t>
      </w:r>
      <w:r w:rsidR="007E7858" w:rsidRPr="00635355">
        <w:t xml:space="preserve"> the author’s claims under </w:t>
      </w:r>
      <w:r w:rsidR="00EF4905" w:rsidRPr="00635355">
        <w:t>article </w:t>
      </w:r>
      <w:r w:rsidR="007E7858" w:rsidRPr="00635355">
        <w:t>14</w:t>
      </w:r>
      <w:r w:rsidR="00EA2D55" w:rsidRPr="00635355">
        <w:t> </w:t>
      </w:r>
      <w:r w:rsidR="009B5128">
        <w:t>(</w:t>
      </w:r>
      <w:r w:rsidR="007E7858" w:rsidRPr="00635355">
        <w:t>1</w:t>
      </w:r>
      <w:r w:rsidR="009B5128">
        <w:t>)</w:t>
      </w:r>
      <w:r w:rsidR="007E7858" w:rsidRPr="00635355">
        <w:t xml:space="preserve"> in conjunction with </w:t>
      </w:r>
      <w:r w:rsidR="00EF4905" w:rsidRPr="00635355">
        <w:t>article </w:t>
      </w:r>
      <w:r w:rsidR="007E7858" w:rsidRPr="00635355">
        <w:t>2</w:t>
      </w:r>
      <w:r w:rsidR="00EA2D55" w:rsidRPr="00635355">
        <w:t> </w:t>
      </w:r>
      <w:r w:rsidR="009B5128">
        <w:t>(</w:t>
      </w:r>
      <w:r w:rsidR="007E7858" w:rsidRPr="00635355">
        <w:t>2</w:t>
      </w:r>
      <w:r w:rsidR="009B5128">
        <w:t>)</w:t>
      </w:r>
      <w:r w:rsidR="007E7858" w:rsidRPr="00635355">
        <w:t xml:space="preserve"> of the Covenant</w:t>
      </w:r>
      <w:r w:rsidR="008639E9">
        <w:t>,</w:t>
      </w:r>
      <w:r w:rsidR="0057253C" w:rsidRPr="00635355">
        <w:t xml:space="preserve"> in the context of all three sets of</w:t>
      </w:r>
      <w:r w:rsidR="007E7858" w:rsidRPr="00635355">
        <w:t xml:space="preserve"> proceedings</w:t>
      </w:r>
      <w:r w:rsidR="008639E9">
        <w:t>,</w:t>
      </w:r>
      <w:r w:rsidR="007E7858" w:rsidRPr="00635355">
        <w:t xml:space="preserve"> </w:t>
      </w:r>
      <w:r w:rsidR="0017295C" w:rsidRPr="00635355">
        <w:t>t</w:t>
      </w:r>
      <w:r w:rsidR="007E7858" w:rsidRPr="00635355">
        <w:t xml:space="preserve">hat the State party has failed to ensure her with a judicial system </w:t>
      </w:r>
      <w:r w:rsidR="008639E9">
        <w:t xml:space="preserve">that </w:t>
      </w:r>
      <w:r w:rsidR="007E7858" w:rsidRPr="00635355">
        <w:t>fulfil</w:t>
      </w:r>
      <w:r w:rsidR="008639E9">
        <w:t>s</w:t>
      </w:r>
      <w:r w:rsidR="007E7858" w:rsidRPr="00635355">
        <w:t xml:space="preserve"> the criteria of competence, independence and impartiality</w:t>
      </w:r>
      <w:r w:rsidR="008639E9">
        <w:t>,</w:t>
      </w:r>
      <w:r w:rsidR="007E7858" w:rsidRPr="00635355">
        <w:t xml:space="preserve"> as required by </w:t>
      </w:r>
      <w:r w:rsidR="00EF4905" w:rsidRPr="00635355">
        <w:t>article </w:t>
      </w:r>
      <w:r w:rsidR="007E7858" w:rsidRPr="00635355">
        <w:t>14 of the Covenant</w:t>
      </w:r>
      <w:r w:rsidR="008639E9">
        <w:t>,</w:t>
      </w:r>
      <w:r w:rsidR="007E7858" w:rsidRPr="00635355">
        <w:t xml:space="preserve"> and that </w:t>
      </w:r>
      <w:r w:rsidR="008639E9">
        <w:t>the State party</w:t>
      </w:r>
      <w:r w:rsidR="0017295C" w:rsidRPr="00635355">
        <w:t xml:space="preserve"> </w:t>
      </w:r>
      <w:r w:rsidR="007E7858" w:rsidRPr="00635355">
        <w:t xml:space="preserve">refuses to take the necessary steps </w:t>
      </w:r>
      <w:r w:rsidR="0017295C" w:rsidRPr="00635355">
        <w:t xml:space="preserve">and </w:t>
      </w:r>
      <w:r w:rsidR="007E7858" w:rsidRPr="00635355">
        <w:t xml:space="preserve">adopt laws in order to give effect to the rights protected </w:t>
      </w:r>
      <w:r w:rsidR="008639E9">
        <w:t>under article 14</w:t>
      </w:r>
      <w:r w:rsidR="0017295C" w:rsidRPr="00635355">
        <w:t>.</w:t>
      </w:r>
      <w:r w:rsidR="00C34D85" w:rsidRPr="00635355">
        <w:t xml:space="preserve"> It </w:t>
      </w:r>
      <w:r w:rsidR="008639E9">
        <w:t>also</w:t>
      </w:r>
      <w:r w:rsidR="00C34D85" w:rsidRPr="00635355">
        <w:t xml:space="preserve"> notes the author’s claim concerning judicial incompetence and arbitrariness in all sets of proceedings in violation of </w:t>
      </w:r>
      <w:r w:rsidR="00EF4905" w:rsidRPr="00635355">
        <w:t>article </w:t>
      </w:r>
      <w:r w:rsidR="00C34D85" w:rsidRPr="00635355">
        <w:t>14</w:t>
      </w:r>
      <w:r w:rsidR="00EA2D55" w:rsidRPr="00635355">
        <w:t> </w:t>
      </w:r>
      <w:r w:rsidR="009B5128">
        <w:t>(</w:t>
      </w:r>
      <w:r w:rsidR="00C34D85" w:rsidRPr="00635355">
        <w:t>1</w:t>
      </w:r>
      <w:r w:rsidR="009B5128">
        <w:t>)</w:t>
      </w:r>
      <w:r w:rsidR="00C34D85" w:rsidRPr="00635355">
        <w:t xml:space="preserve"> of the Covenant</w:t>
      </w:r>
      <w:r w:rsidR="00EB7710" w:rsidRPr="00635355">
        <w:t>.</w:t>
      </w:r>
      <w:r w:rsidR="00011266" w:rsidRPr="00635355">
        <w:t xml:space="preserve"> </w:t>
      </w:r>
      <w:r w:rsidR="007E0CF9" w:rsidRPr="00635355">
        <w:t>It further note</w:t>
      </w:r>
      <w:r w:rsidR="008639E9">
        <w:t>s</w:t>
      </w:r>
      <w:r w:rsidR="006F1A0F" w:rsidRPr="00635355">
        <w:t xml:space="preserve"> </w:t>
      </w:r>
      <w:r w:rsidR="007E0CF9" w:rsidRPr="00635355">
        <w:t>the State party’s arguments that the author has failed to substantiate th</w:t>
      </w:r>
      <w:r w:rsidR="008639E9">
        <w:t>o</w:t>
      </w:r>
      <w:r w:rsidR="007E0CF9" w:rsidRPr="00635355">
        <w:t xml:space="preserve">se claims and that her claims appear to be based </w:t>
      </w:r>
      <w:r w:rsidR="00553ACF" w:rsidRPr="00635355">
        <w:t>entirely</w:t>
      </w:r>
      <w:r w:rsidR="00553ACF">
        <w:t xml:space="preserve"> </w:t>
      </w:r>
      <w:r w:rsidR="007E0CF9" w:rsidRPr="00635355">
        <w:t>on her own assessment of the legal issues</w:t>
      </w:r>
      <w:r w:rsidR="008639E9">
        <w:t>,</w:t>
      </w:r>
      <w:r w:rsidR="007E0CF9" w:rsidRPr="00635355">
        <w:t xml:space="preserve"> </w:t>
      </w:r>
      <w:r w:rsidR="00E30B30">
        <w:t xml:space="preserve">which was </w:t>
      </w:r>
      <w:r w:rsidR="007E0CF9" w:rsidRPr="00635355">
        <w:t xml:space="preserve">the subject of the numerous court appearances detailed in her communication. The Committee also takes note of the State party’s submission that the interpretation of Australian law </w:t>
      </w:r>
      <w:r w:rsidR="008639E9">
        <w:t>made</w:t>
      </w:r>
      <w:r w:rsidR="007E0CF9" w:rsidRPr="00635355">
        <w:t xml:space="preserve"> by the author has been addressed competently and to a sufficient degree of detail in the </w:t>
      </w:r>
      <w:r w:rsidR="002F62A5">
        <w:t>judgement</w:t>
      </w:r>
      <w:r w:rsidR="007E0CF9" w:rsidRPr="00635355">
        <w:t xml:space="preserve">s of the courts. </w:t>
      </w:r>
    </w:p>
    <w:p w:rsidR="007E7858" w:rsidRPr="00635355" w:rsidRDefault="00EB7710" w:rsidP="009B5128">
      <w:pPr>
        <w:pStyle w:val="SingleTxtG"/>
        <w:spacing w:line="220" w:lineRule="atLeast"/>
      </w:pPr>
      <w:r w:rsidRPr="00635355">
        <w:t>8.5</w:t>
      </w:r>
      <w:r w:rsidRPr="00635355">
        <w:tab/>
      </w:r>
      <w:r w:rsidR="007E0CF9" w:rsidRPr="00635355">
        <w:t xml:space="preserve">In </w:t>
      </w:r>
      <w:r w:rsidR="008639E9">
        <w:t xml:space="preserve">the </w:t>
      </w:r>
      <w:r w:rsidR="007E0CF9" w:rsidRPr="00635355">
        <w:t>light of the above, t</w:t>
      </w:r>
      <w:r w:rsidR="00011266" w:rsidRPr="00635355">
        <w:t xml:space="preserve">he Committee observes that </w:t>
      </w:r>
      <w:r w:rsidR="007E0CF9" w:rsidRPr="00635355">
        <w:t xml:space="preserve">the author’s </w:t>
      </w:r>
      <w:r w:rsidR="00011266" w:rsidRPr="00635355">
        <w:t xml:space="preserve">allegations relate primarily to the evaluation of facts and evidence by the State party’s courts. </w:t>
      </w:r>
      <w:r w:rsidR="0017295C" w:rsidRPr="00635355">
        <w:t>In this respect, the Committee recalls that it is generally for the courts of States parties to evaluate facts and evidence in a particular case, unless it can be ascertained that the evaluation was clearly arbitrary or amounted to a denial of justice</w:t>
      </w:r>
      <w:r w:rsidRPr="00635355">
        <w:t>.</w:t>
      </w:r>
      <w:r w:rsidR="0017295C" w:rsidRPr="00635355">
        <w:rPr>
          <w:rStyle w:val="FootnoteReference"/>
        </w:rPr>
        <w:footnoteReference w:id="8"/>
      </w:r>
      <w:r w:rsidR="0017295C" w:rsidRPr="00635355">
        <w:t xml:space="preserve"> The Committee will exercise its powers of review only if it has been ascertained that the evaluation or interpretation was clearly arbitrary or amounted to a denial of justice.</w:t>
      </w:r>
      <w:r w:rsidR="0017295C" w:rsidRPr="00635355">
        <w:rPr>
          <w:rStyle w:val="FootnoteReference"/>
        </w:rPr>
        <w:footnoteReference w:id="9"/>
      </w:r>
      <w:r w:rsidR="0017295C" w:rsidRPr="00635355">
        <w:t xml:space="preserve"> The Committee notes that in the present case, the information contained on file do</w:t>
      </w:r>
      <w:r w:rsidR="006A0E74" w:rsidRPr="00635355">
        <w:t>es</w:t>
      </w:r>
      <w:r w:rsidR="0017295C" w:rsidRPr="00635355">
        <w:t xml:space="preserve"> not permit </w:t>
      </w:r>
      <w:r w:rsidR="008639E9">
        <w:t xml:space="preserve">it </w:t>
      </w:r>
      <w:r w:rsidR="0017295C" w:rsidRPr="00635355">
        <w:t xml:space="preserve">to conclude that the court proceedings in the author’s case have suffered from such defects. In these circumstances, the Committee finds that the author has failed to sufficiently substantiate </w:t>
      </w:r>
      <w:r w:rsidR="006A0E74" w:rsidRPr="00635355">
        <w:t xml:space="preserve">her </w:t>
      </w:r>
      <w:r w:rsidR="0017295C" w:rsidRPr="00635355">
        <w:t xml:space="preserve">claim under </w:t>
      </w:r>
      <w:r w:rsidR="00EF4905" w:rsidRPr="00635355">
        <w:t>article </w:t>
      </w:r>
      <w:r w:rsidR="0017295C" w:rsidRPr="00635355">
        <w:t xml:space="preserve">14 </w:t>
      </w:r>
      <w:r w:rsidR="009B5128">
        <w:t>(</w:t>
      </w:r>
      <w:r w:rsidR="0017295C" w:rsidRPr="00635355">
        <w:t>1</w:t>
      </w:r>
      <w:r w:rsidR="009B5128">
        <w:t>)</w:t>
      </w:r>
      <w:r w:rsidR="0017295C" w:rsidRPr="00635355">
        <w:t xml:space="preserve"> in conjunction with </w:t>
      </w:r>
      <w:r w:rsidR="00EF4905" w:rsidRPr="00635355">
        <w:t>article </w:t>
      </w:r>
      <w:r w:rsidR="0017295C" w:rsidRPr="00635355">
        <w:t>2</w:t>
      </w:r>
      <w:r w:rsidR="00EA2D55" w:rsidRPr="00635355">
        <w:t> </w:t>
      </w:r>
      <w:r w:rsidR="009B5128">
        <w:t>(</w:t>
      </w:r>
      <w:r w:rsidR="0017295C" w:rsidRPr="00635355">
        <w:t>2</w:t>
      </w:r>
      <w:r w:rsidR="009B5128">
        <w:t>)</w:t>
      </w:r>
      <w:r w:rsidR="0017295C" w:rsidRPr="00635355">
        <w:t xml:space="preserve"> of the Covenant, for purposes of admissibility, and declares it inadmissible under </w:t>
      </w:r>
      <w:r w:rsidR="00EF4905" w:rsidRPr="00635355">
        <w:t>article </w:t>
      </w:r>
      <w:r w:rsidR="0017295C" w:rsidRPr="00635355">
        <w:t>2 of the Optional Protocol.</w:t>
      </w:r>
    </w:p>
    <w:p w:rsidR="004C14B4" w:rsidRPr="00635355" w:rsidRDefault="001422E8" w:rsidP="00DE6C67">
      <w:pPr>
        <w:pStyle w:val="SingleTxtG"/>
        <w:spacing w:line="220" w:lineRule="atLeast"/>
      </w:pPr>
      <w:r w:rsidRPr="00635355">
        <w:t>8.</w:t>
      </w:r>
      <w:r w:rsidR="00AF72A3" w:rsidRPr="00635355">
        <w:t>6</w:t>
      </w:r>
      <w:r w:rsidR="00EB7710" w:rsidRPr="00635355">
        <w:tab/>
      </w:r>
      <w:r w:rsidR="00BA7C11">
        <w:t>R</w:t>
      </w:r>
      <w:r w:rsidR="0017295C" w:rsidRPr="00635355">
        <w:t xml:space="preserve">egarding </w:t>
      </w:r>
      <w:r w:rsidR="009C4B0C" w:rsidRPr="00635355">
        <w:t xml:space="preserve">the author’s claim under </w:t>
      </w:r>
      <w:r w:rsidR="00EF4905" w:rsidRPr="00635355">
        <w:t>article </w:t>
      </w:r>
      <w:r w:rsidR="009C4B0C" w:rsidRPr="00635355">
        <w:t>14</w:t>
      </w:r>
      <w:r w:rsidR="00EA2D55" w:rsidRPr="00635355">
        <w:t> </w:t>
      </w:r>
      <w:r w:rsidR="009B5128">
        <w:t>(</w:t>
      </w:r>
      <w:r w:rsidR="009C4B0C" w:rsidRPr="00635355">
        <w:t>1</w:t>
      </w:r>
      <w:r w:rsidR="009B5128">
        <w:t>)</w:t>
      </w:r>
      <w:r w:rsidR="009C4B0C" w:rsidRPr="00635355">
        <w:t xml:space="preserve"> of the Covenant concerning the fact that she did not have sufficient time to prepare her submissions during the second set of proceedings</w:t>
      </w:r>
      <w:r w:rsidR="000F43E6" w:rsidRPr="00635355">
        <w:t>,</w:t>
      </w:r>
      <w:r w:rsidR="009C4B0C" w:rsidRPr="00635355">
        <w:t xml:space="preserve"> </w:t>
      </w:r>
      <w:r w:rsidR="006A0E74" w:rsidRPr="00635355">
        <w:t xml:space="preserve">in </w:t>
      </w:r>
      <w:r w:rsidR="00553ACF">
        <w:t xml:space="preserve">the </w:t>
      </w:r>
      <w:r w:rsidR="006A0E74" w:rsidRPr="00635355">
        <w:t>light of the available</w:t>
      </w:r>
      <w:r w:rsidR="00EF4905" w:rsidRPr="00635355">
        <w:t xml:space="preserve"> </w:t>
      </w:r>
      <w:r w:rsidR="006A0E74" w:rsidRPr="00635355">
        <w:t>information and documents</w:t>
      </w:r>
      <w:r w:rsidR="00781CF4" w:rsidRPr="00635355">
        <w:t xml:space="preserve"> and in the absence of any other pertinent information on file, </w:t>
      </w:r>
      <w:r w:rsidR="009C4B0C" w:rsidRPr="00635355">
        <w:t>the Committee</w:t>
      </w:r>
      <w:r w:rsidR="001B19E3" w:rsidRPr="00635355">
        <w:t xml:space="preserve"> </w:t>
      </w:r>
      <w:r w:rsidR="006A0E74" w:rsidRPr="00635355">
        <w:t xml:space="preserve">concludes </w:t>
      </w:r>
      <w:r w:rsidR="002722DB" w:rsidRPr="00635355">
        <w:t xml:space="preserve">that </w:t>
      </w:r>
      <w:r w:rsidR="006A0E74" w:rsidRPr="00635355">
        <w:t>the author has failed to sufficiently substantiat</w:t>
      </w:r>
      <w:r w:rsidR="00D90C88" w:rsidRPr="00635355">
        <w:t>e</w:t>
      </w:r>
      <w:r w:rsidR="006A0E74" w:rsidRPr="00635355">
        <w:t xml:space="preserve"> her</w:t>
      </w:r>
      <w:r w:rsidR="00781CF4" w:rsidRPr="00635355">
        <w:t xml:space="preserve"> </w:t>
      </w:r>
      <w:r w:rsidR="006A0E74" w:rsidRPr="00635355">
        <w:t xml:space="preserve">claim </w:t>
      </w:r>
      <w:r w:rsidR="00EE0E01" w:rsidRPr="00635355">
        <w:t>for the purposes of admissibility and declares</w:t>
      </w:r>
      <w:r w:rsidR="006A0E74" w:rsidRPr="00635355">
        <w:t xml:space="preserve"> </w:t>
      </w:r>
      <w:r w:rsidR="004C14B4" w:rsidRPr="00635355">
        <w:t xml:space="preserve">this part of the </w:t>
      </w:r>
      <w:r w:rsidR="00142B8E" w:rsidRPr="00635355">
        <w:t>c</w:t>
      </w:r>
      <w:r w:rsidR="004C14B4" w:rsidRPr="00635355">
        <w:t xml:space="preserve">ommunication inadmissible </w:t>
      </w:r>
      <w:r w:rsidR="00142B8E" w:rsidRPr="00635355">
        <w:t>under</w:t>
      </w:r>
      <w:r w:rsidR="004C14B4" w:rsidRPr="00635355">
        <w:t xml:space="preserve"> </w:t>
      </w:r>
      <w:r w:rsidR="00EF4905" w:rsidRPr="00635355">
        <w:t>article </w:t>
      </w:r>
      <w:r w:rsidR="004C14B4" w:rsidRPr="00635355">
        <w:t>2 of the Optional Protocol.</w:t>
      </w:r>
    </w:p>
    <w:p w:rsidR="008E78C6" w:rsidRPr="00635355" w:rsidRDefault="00EB7710" w:rsidP="00DE6C67">
      <w:pPr>
        <w:pStyle w:val="SingleTxtG"/>
        <w:spacing w:line="220" w:lineRule="atLeast"/>
      </w:pPr>
      <w:r w:rsidRPr="00635355">
        <w:t>8.7</w:t>
      </w:r>
      <w:r w:rsidRPr="00635355">
        <w:tab/>
      </w:r>
      <w:r w:rsidR="00142B8E" w:rsidRPr="00635355">
        <w:t>T</w:t>
      </w:r>
      <w:r w:rsidR="00E339DE" w:rsidRPr="00635355">
        <w:t xml:space="preserve">he Committee </w:t>
      </w:r>
      <w:r w:rsidR="00142B8E" w:rsidRPr="00635355">
        <w:t>n</w:t>
      </w:r>
      <w:r w:rsidR="00E339DE" w:rsidRPr="00635355">
        <w:t xml:space="preserve">otes the author’s claim that her right to </w:t>
      </w:r>
      <w:r w:rsidR="00BA7C11">
        <w:t xml:space="preserve">be </w:t>
      </w:r>
      <w:r w:rsidR="00E339DE" w:rsidRPr="00635355">
        <w:t>presum</w:t>
      </w:r>
      <w:r w:rsidR="00BA7C11">
        <w:t>ed</w:t>
      </w:r>
      <w:r w:rsidR="00E339DE" w:rsidRPr="00635355">
        <w:t xml:space="preserve"> innocen</w:t>
      </w:r>
      <w:r w:rsidR="00BA7C11">
        <w:t>t</w:t>
      </w:r>
      <w:r w:rsidR="00E339DE" w:rsidRPr="00635355">
        <w:t xml:space="preserve"> as guaranteed under </w:t>
      </w:r>
      <w:r w:rsidR="00EF4905" w:rsidRPr="00635355">
        <w:t>article </w:t>
      </w:r>
      <w:r w:rsidR="00E339DE" w:rsidRPr="00635355">
        <w:t>14</w:t>
      </w:r>
      <w:r w:rsidR="00EA2D55" w:rsidRPr="00635355">
        <w:t> </w:t>
      </w:r>
      <w:r w:rsidR="009B5128">
        <w:t>(</w:t>
      </w:r>
      <w:r w:rsidR="00E339DE" w:rsidRPr="00635355">
        <w:t>2</w:t>
      </w:r>
      <w:r w:rsidR="009B5128">
        <w:t>)</w:t>
      </w:r>
      <w:r w:rsidR="00E339DE" w:rsidRPr="00635355">
        <w:t xml:space="preserve"> of the Covenant was violated</w:t>
      </w:r>
      <w:r w:rsidR="00F16968" w:rsidRPr="00635355">
        <w:t xml:space="preserve"> in the context of the third set of proceedings</w:t>
      </w:r>
      <w:r w:rsidR="00E339DE" w:rsidRPr="00635355">
        <w:t xml:space="preserve">, as she could not have been found guilty according to </w:t>
      </w:r>
      <w:r w:rsidR="00BA7C11">
        <w:t xml:space="preserve">the </w:t>
      </w:r>
      <w:r w:rsidR="00E339DE" w:rsidRPr="00635355">
        <w:t xml:space="preserve">law by a court </w:t>
      </w:r>
      <w:r w:rsidR="00BA7C11">
        <w:t xml:space="preserve">the </w:t>
      </w:r>
      <w:r w:rsidR="00E339DE" w:rsidRPr="00635355">
        <w:t xml:space="preserve">jurisdiction </w:t>
      </w:r>
      <w:r w:rsidR="00BA7C11">
        <w:t xml:space="preserve">of which </w:t>
      </w:r>
      <w:r w:rsidR="00E339DE" w:rsidRPr="00635355">
        <w:t xml:space="preserve">she had challenged, </w:t>
      </w:r>
      <w:r w:rsidR="00BA7C11">
        <w:t>and</w:t>
      </w:r>
      <w:r w:rsidR="00E339DE" w:rsidRPr="00635355">
        <w:t xml:space="preserve"> because she was </w:t>
      </w:r>
      <w:r w:rsidR="00BA7C11">
        <w:t>found</w:t>
      </w:r>
      <w:r w:rsidR="00E339DE" w:rsidRPr="00635355">
        <w:t xml:space="preserve"> guilty </w:t>
      </w:r>
      <w:r w:rsidR="00553ACF">
        <w:t>o</w:t>
      </w:r>
      <w:r w:rsidR="00E339DE" w:rsidRPr="00635355">
        <w:t xml:space="preserve">f supplying an </w:t>
      </w:r>
      <w:r w:rsidR="00E339DE" w:rsidRPr="00635355">
        <w:lastRenderedPageBreak/>
        <w:t>electronic version of the company bank statement</w:t>
      </w:r>
      <w:r w:rsidR="007A1163" w:rsidRPr="00635355">
        <w:t xml:space="preserve">s even though </w:t>
      </w:r>
      <w:r w:rsidR="00BA7C11">
        <w:t>the</w:t>
      </w:r>
      <w:r w:rsidR="007A1163" w:rsidRPr="00635355">
        <w:t xml:space="preserve"> prosecutor was unable to prove that originals were required.</w:t>
      </w:r>
      <w:r w:rsidR="00102F62" w:rsidRPr="00635355">
        <w:t xml:space="preserve"> </w:t>
      </w:r>
      <w:r w:rsidR="000822F8" w:rsidRPr="00635355">
        <w:t>T</w:t>
      </w:r>
      <w:r w:rsidR="00BF5887" w:rsidRPr="00635355">
        <w:t>he Committee recalls its general comment No.</w:t>
      </w:r>
      <w:r w:rsidR="00EF4905" w:rsidRPr="00635355">
        <w:t> </w:t>
      </w:r>
      <w:r w:rsidR="00BF5887" w:rsidRPr="00635355">
        <w:t xml:space="preserve">32, </w:t>
      </w:r>
      <w:r w:rsidR="009B5128">
        <w:t xml:space="preserve">in </w:t>
      </w:r>
      <w:r w:rsidR="00BF5887" w:rsidRPr="00635355">
        <w:t>wh</w:t>
      </w:r>
      <w:r w:rsidR="009B5128">
        <w:t>ich</w:t>
      </w:r>
      <w:r w:rsidR="00142B8E" w:rsidRPr="00635355">
        <w:t xml:space="preserve"> </w:t>
      </w:r>
      <w:r w:rsidR="00BF5887" w:rsidRPr="00635355">
        <w:t>it state</w:t>
      </w:r>
      <w:r w:rsidR="00DE6C67">
        <w:t>s</w:t>
      </w:r>
      <w:r w:rsidR="00BF5887" w:rsidRPr="00635355">
        <w:t xml:space="preserve"> that </w:t>
      </w:r>
      <w:r w:rsidR="00142B8E" w:rsidRPr="00635355">
        <w:t xml:space="preserve">under </w:t>
      </w:r>
      <w:r w:rsidR="00EF4905" w:rsidRPr="00635355">
        <w:t>article </w:t>
      </w:r>
      <w:r w:rsidR="00BB6B53" w:rsidRPr="00635355">
        <w:t>14</w:t>
      </w:r>
      <w:r w:rsidR="00EA2D55" w:rsidRPr="00635355">
        <w:t> </w:t>
      </w:r>
      <w:r w:rsidR="009B5128">
        <w:t>(</w:t>
      </w:r>
      <w:r w:rsidR="00BB6B53" w:rsidRPr="00635355">
        <w:t>2</w:t>
      </w:r>
      <w:r w:rsidR="009B5128">
        <w:t>)</w:t>
      </w:r>
      <w:r w:rsidR="00142B8E" w:rsidRPr="00635355">
        <w:t>,</w:t>
      </w:r>
      <w:r w:rsidR="00BB6B53" w:rsidRPr="00635355">
        <w:t xml:space="preserve"> everyone charged with a criminal offence shall have the right to be presumed innocent until proven guilty according to law. The presumption of innocence, which is fundamental to the protection of human rights, imposes on the prosecution the burden of proving the charge, guarantees that no guilt can be presumed until the charge has been proved beyond reasonable doubt, ensures that the accused has the benefit of doubt, and requires that persons accused of a criminal act must be treated in accordance with this principle</w:t>
      </w:r>
      <w:r w:rsidRPr="00635355">
        <w:t>.</w:t>
      </w:r>
      <w:r w:rsidR="00BB6B53" w:rsidRPr="00635355">
        <w:rPr>
          <w:rStyle w:val="FootnoteReference"/>
        </w:rPr>
        <w:footnoteReference w:id="10"/>
      </w:r>
      <w:r w:rsidR="008E78C6" w:rsidRPr="00635355">
        <w:t xml:space="preserve"> </w:t>
      </w:r>
      <w:r w:rsidR="00D90C88" w:rsidRPr="00635355">
        <w:t>In th</w:t>
      </w:r>
      <w:r w:rsidR="00DE6C67">
        <w:t>at regard</w:t>
      </w:r>
      <w:r w:rsidR="00D90C88" w:rsidRPr="00635355">
        <w:t xml:space="preserve">, the Committee takes note of the State party’s argument that the author has failed to substantiate this claim and, instead, has offered personal analysis of the legal procedure and the case that resulted in her conviction. Accordingly, </w:t>
      </w:r>
      <w:r w:rsidR="00781CF4" w:rsidRPr="00635355">
        <w:t xml:space="preserve">and </w:t>
      </w:r>
      <w:r w:rsidR="00D90C88" w:rsidRPr="00635355">
        <w:t>i</w:t>
      </w:r>
      <w:r w:rsidR="00142B8E" w:rsidRPr="00635355">
        <w:t xml:space="preserve">n </w:t>
      </w:r>
      <w:r w:rsidR="000822F8" w:rsidRPr="00635355">
        <w:t xml:space="preserve">the </w:t>
      </w:r>
      <w:r w:rsidR="00142B8E" w:rsidRPr="00635355">
        <w:t>light of the information provided by th</w:t>
      </w:r>
      <w:r w:rsidR="004C3C09" w:rsidRPr="00635355">
        <w:t>e</w:t>
      </w:r>
      <w:r w:rsidR="00142B8E" w:rsidRPr="00635355">
        <w:t xml:space="preserve"> parties, </w:t>
      </w:r>
      <w:r w:rsidR="008E78C6" w:rsidRPr="00635355">
        <w:t xml:space="preserve">the Committee considers that the </w:t>
      </w:r>
      <w:r w:rsidR="00781CF4" w:rsidRPr="00635355">
        <w:t xml:space="preserve">author has failed to sufficiently substantiate her </w:t>
      </w:r>
      <w:r w:rsidR="008E78C6" w:rsidRPr="00635355">
        <w:t>claim</w:t>
      </w:r>
      <w:r w:rsidR="00781CF4" w:rsidRPr="00635355">
        <w:t xml:space="preserve">, for purposes of admissibility, and this part of the communication is therefore </w:t>
      </w:r>
      <w:r w:rsidR="008E78C6" w:rsidRPr="00635355">
        <w:t xml:space="preserve">inadmissible under </w:t>
      </w:r>
      <w:r w:rsidR="00EF4905" w:rsidRPr="00635355">
        <w:t>article </w:t>
      </w:r>
      <w:r w:rsidR="008E78C6" w:rsidRPr="00635355">
        <w:t xml:space="preserve">2 of the Optional Protocol. </w:t>
      </w:r>
    </w:p>
    <w:p w:rsidR="00132811" w:rsidRPr="00635355" w:rsidRDefault="00132811" w:rsidP="007B4772">
      <w:pPr>
        <w:pStyle w:val="SingleTxtG"/>
      </w:pPr>
      <w:r w:rsidRPr="00635355">
        <w:t>8.</w:t>
      </w:r>
      <w:r w:rsidR="00AF72A3" w:rsidRPr="00635355">
        <w:t>8</w:t>
      </w:r>
      <w:r w:rsidR="00EB7710" w:rsidRPr="00635355">
        <w:tab/>
      </w:r>
      <w:r w:rsidRPr="00635355">
        <w:t xml:space="preserve">The author </w:t>
      </w:r>
      <w:r w:rsidR="00BA7C11">
        <w:t>also</w:t>
      </w:r>
      <w:r w:rsidR="00BA7C11" w:rsidRPr="00635355">
        <w:t xml:space="preserve"> </w:t>
      </w:r>
      <w:r w:rsidRPr="00635355">
        <w:t xml:space="preserve">claims a violation of </w:t>
      </w:r>
      <w:r w:rsidR="00EF4905" w:rsidRPr="00635355">
        <w:t>article </w:t>
      </w:r>
      <w:r w:rsidRPr="00635355">
        <w:t xml:space="preserve">14 </w:t>
      </w:r>
      <w:r w:rsidR="009B5128">
        <w:t>(</w:t>
      </w:r>
      <w:r w:rsidRPr="00635355">
        <w:t>3 (a)</w:t>
      </w:r>
      <w:r w:rsidR="009B5128">
        <w:t>)</w:t>
      </w:r>
      <w:r w:rsidRPr="00635355">
        <w:t xml:space="preserve"> on account of the fact that the national authorities had failed to inform her </w:t>
      </w:r>
      <w:r w:rsidR="00883A67" w:rsidRPr="00635355">
        <w:t>“</w:t>
      </w:r>
      <w:r w:rsidRPr="00635355">
        <w:t>about</w:t>
      </w:r>
      <w:r w:rsidRPr="00635355">
        <w:rPr>
          <w:spacing w:val="1"/>
        </w:rPr>
        <w:t xml:space="preserve"> </w:t>
      </w:r>
      <w:r w:rsidRPr="00635355">
        <w:rPr>
          <w:spacing w:val="-1"/>
        </w:rPr>
        <w:t>the</w:t>
      </w:r>
      <w:r w:rsidRPr="00635355">
        <w:t xml:space="preserve"> </w:t>
      </w:r>
      <w:r w:rsidRPr="00635355">
        <w:rPr>
          <w:spacing w:val="-1"/>
        </w:rPr>
        <w:t>facts</w:t>
      </w:r>
      <w:r w:rsidRPr="00635355">
        <w:t xml:space="preserve"> </w:t>
      </w:r>
      <w:r w:rsidRPr="00635355">
        <w:rPr>
          <w:spacing w:val="-1"/>
        </w:rPr>
        <w:t>behind</w:t>
      </w:r>
      <w:r w:rsidRPr="00635355">
        <w:rPr>
          <w:spacing w:val="-3"/>
        </w:rPr>
        <w:t xml:space="preserve"> </w:t>
      </w:r>
      <w:r w:rsidRPr="00635355">
        <w:t xml:space="preserve">the </w:t>
      </w:r>
      <w:r w:rsidRPr="00635355">
        <w:rPr>
          <w:spacing w:val="-1"/>
        </w:rPr>
        <w:t>charge</w:t>
      </w:r>
      <w:r w:rsidR="00883A67" w:rsidRPr="00635355">
        <w:t>”</w:t>
      </w:r>
      <w:r w:rsidRPr="00635355">
        <w:t xml:space="preserve"> as, </w:t>
      </w:r>
      <w:r w:rsidR="00E2301A" w:rsidRPr="00635355">
        <w:t xml:space="preserve">even though the </w:t>
      </w:r>
      <w:r w:rsidR="00BA7C11">
        <w:t>p</w:t>
      </w:r>
      <w:r w:rsidRPr="00635355">
        <w:t xml:space="preserve">rosecution </w:t>
      </w:r>
      <w:r w:rsidR="00BA7C11">
        <w:t>n</w:t>
      </w:r>
      <w:r w:rsidRPr="00635355">
        <w:t>otice handed to her contained the reference to section</w:t>
      </w:r>
      <w:r w:rsidR="00883A67" w:rsidRPr="00635355">
        <w:t> </w:t>
      </w:r>
      <w:r w:rsidRPr="00635355">
        <w:t xml:space="preserve">438B of the Corporations Act </w:t>
      </w:r>
      <w:r w:rsidR="0090604B">
        <w:t>(</w:t>
      </w:r>
      <w:r w:rsidRPr="00635355">
        <w:t>2001</w:t>
      </w:r>
      <w:r w:rsidR="0090604B">
        <w:t>)</w:t>
      </w:r>
      <w:r w:rsidRPr="00635355">
        <w:t xml:space="preserve">, the actual </w:t>
      </w:r>
      <w:r w:rsidR="00883A67" w:rsidRPr="00635355">
        <w:t>“</w:t>
      </w:r>
      <w:r w:rsidRPr="00635355">
        <w:t>particularities</w:t>
      </w:r>
      <w:r w:rsidR="00883A67" w:rsidRPr="00635355">
        <w:t>”</w:t>
      </w:r>
      <w:r w:rsidRPr="00635355">
        <w:t xml:space="preserve"> were missing.</w:t>
      </w:r>
      <w:r w:rsidR="00C053A4" w:rsidRPr="00635355">
        <w:t xml:space="preserve"> </w:t>
      </w:r>
      <w:r w:rsidR="001E3616" w:rsidRPr="00635355">
        <w:t>In this connection, the Committee notes the State party’s submission that the author was informed of the facts behind the charge</w:t>
      </w:r>
      <w:r w:rsidR="00DB0EBC">
        <w:t>,</w:t>
      </w:r>
      <w:r w:rsidR="001E3616" w:rsidRPr="00635355">
        <w:t xml:space="preserve"> as she has provided and quoted the </w:t>
      </w:r>
      <w:r w:rsidR="00BA7C11">
        <w:t>p</w:t>
      </w:r>
      <w:r w:rsidR="001E3616" w:rsidRPr="00635355">
        <w:t xml:space="preserve">rosecution </w:t>
      </w:r>
      <w:r w:rsidR="00BA7C11">
        <w:t>n</w:t>
      </w:r>
      <w:r w:rsidR="001E3616" w:rsidRPr="00635355">
        <w:t xml:space="preserve">otice, which includes details of the charge. </w:t>
      </w:r>
      <w:r w:rsidR="003E71E8" w:rsidRPr="00635355">
        <w:t xml:space="preserve">In this regard, the Committee notes that the copy of the </w:t>
      </w:r>
      <w:r w:rsidR="00BA7C11">
        <w:t>p</w:t>
      </w:r>
      <w:r w:rsidR="003E71E8" w:rsidRPr="00635355">
        <w:t xml:space="preserve">rosecution </w:t>
      </w:r>
      <w:r w:rsidR="00BA7C11">
        <w:t>n</w:t>
      </w:r>
      <w:r w:rsidR="003E71E8" w:rsidRPr="00635355">
        <w:t>otice of 11 August 2006</w:t>
      </w:r>
      <w:r w:rsidR="006E0D35" w:rsidRPr="00635355">
        <w:t xml:space="preserve"> was brought to the author’s attention promptly and that it</w:t>
      </w:r>
      <w:r w:rsidR="003E71E8" w:rsidRPr="00635355">
        <w:t xml:space="preserve"> contains </w:t>
      </w:r>
      <w:r w:rsidR="006E0D35" w:rsidRPr="00635355">
        <w:t>information concerning the charges and makes the necessary reference to the author’s failure</w:t>
      </w:r>
      <w:r w:rsidR="00BA7C11">
        <w:t>,</w:t>
      </w:r>
      <w:r w:rsidR="006E0D35" w:rsidRPr="00635355">
        <w:t xml:space="preserve"> </w:t>
      </w:r>
      <w:r w:rsidR="00BA7C11" w:rsidRPr="00635355">
        <w:t>as a company director</w:t>
      </w:r>
      <w:r w:rsidR="00BA7C11">
        <w:t xml:space="preserve">, </w:t>
      </w:r>
      <w:r w:rsidR="006E0D35" w:rsidRPr="00635355">
        <w:t xml:space="preserve">to comply with a number of subparagraphs of </w:t>
      </w:r>
      <w:r w:rsidR="00871A89" w:rsidRPr="00635355">
        <w:t>section </w:t>
      </w:r>
      <w:r w:rsidR="006E0D35" w:rsidRPr="00635355">
        <w:t xml:space="preserve">438B. Consequently, </w:t>
      </w:r>
      <w:r w:rsidR="004C3C09" w:rsidRPr="00635355">
        <w:t xml:space="preserve">and </w:t>
      </w:r>
      <w:r w:rsidR="006E0D35" w:rsidRPr="00635355">
        <w:t xml:space="preserve">in </w:t>
      </w:r>
      <w:r w:rsidR="009B5128">
        <w:t xml:space="preserve">the </w:t>
      </w:r>
      <w:r w:rsidR="006E0D35" w:rsidRPr="00635355">
        <w:t xml:space="preserve">light of the information provided by the author and the available documents on file, the Committee considers that the present claim is inadmissible under </w:t>
      </w:r>
      <w:r w:rsidR="00EF4905" w:rsidRPr="00635355">
        <w:t>article </w:t>
      </w:r>
      <w:r w:rsidR="006E0D35" w:rsidRPr="00635355">
        <w:t xml:space="preserve">2 of the Optional Protocol, as </w:t>
      </w:r>
      <w:r w:rsidR="00F838CE">
        <w:t xml:space="preserve">it is </w:t>
      </w:r>
      <w:r w:rsidR="006E0D35" w:rsidRPr="00635355">
        <w:t>insufficiently substantiated.</w:t>
      </w:r>
    </w:p>
    <w:p w:rsidR="002C02B6" w:rsidRPr="00635355" w:rsidRDefault="00C15CC6" w:rsidP="00BA7C11">
      <w:pPr>
        <w:pStyle w:val="SingleTxtG"/>
        <w:spacing w:line="220" w:lineRule="atLeast"/>
      </w:pPr>
      <w:r w:rsidRPr="00635355">
        <w:t>8.</w:t>
      </w:r>
      <w:r w:rsidR="00AF72A3" w:rsidRPr="00635355">
        <w:t>9</w:t>
      </w:r>
      <w:r w:rsidR="00EB7710" w:rsidRPr="00635355">
        <w:tab/>
      </w:r>
      <w:r w:rsidR="00D21FFE" w:rsidRPr="00635355">
        <w:t xml:space="preserve">The author </w:t>
      </w:r>
      <w:r w:rsidR="005D144B" w:rsidRPr="00635355">
        <w:t>also</w:t>
      </w:r>
      <w:r w:rsidR="00D21FFE" w:rsidRPr="00635355">
        <w:t xml:space="preserve"> claims a violation of her rights under </w:t>
      </w:r>
      <w:r w:rsidR="00EF4905" w:rsidRPr="00635355">
        <w:t>article </w:t>
      </w:r>
      <w:r w:rsidR="00D21FFE" w:rsidRPr="00635355">
        <w:t>14</w:t>
      </w:r>
      <w:r w:rsidR="00EA2D55" w:rsidRPr="00635355">
        <w:t> </w:t>
      </w:r>
      <w:r w:rsidR="00F838CE">
        <w:t>(</w:t>
      </w:r>
      <w:r w:rsidR="00D21FFE" w:rsidRPr="00635355">
        <w:t>3 (e)</w:t>
      </w:r>
      <w:r w:rsidR="00F838CE">
        <w:t>)</w:t>
      </w:r>
      <w:r w:rsidR="00D21FFE" w:rsidRPr="00635355">
        <w:t xml:space="preserve"> of the Covenant</w:t>
      </w:r>
      <w:r w:rsidR="004C3C09" w:rsidRPr="00635355">
        <w:t>,</w:t>
      </w:r>
      <w:r w:rsidR="00D21FFE" w:rsidRPr="00635355">
        <w:t xml:space="preserve"> as </w:t>
      </w:r>
      <w:r w:rsidR="004C3C09" w:rsidRPr="00635355">
        <w:t xml:space="preserve">she believes that </w:t>
      </w:r>
      <w:r w:rsidR="00D21FFE" w:rsidRPr="00635355">
        <w:t xml:space="preserve">in all </w:t>
      </w:r>
      <w:r w:rsidR="002C02B6" w:rsidRPr="00635355">
        <w:t xml:space="preserve">three sets of </w:t>
      </w:r>
      <w:r w:rsidR="00D21FFE" w:rsidRPr="00635355">
        <w:t>proceedings</w:t>
      </w:r>
      <w:r w:rsidR="004C3C09" w:rsidRPr="00635355">
        <w:t>,</w:t>
      </w:r>
      <w:r w:rsidR="00D21FFE" w:rsidRPr="00635355">
        <w:t xml:space="preserve"> her right to present evidence and to summon and examine witnesses was violated.</w:t>
      </w:r>
      <w:r w:rsidR="005D144B" w:rsidRPr="00635355">
        <w:t xml:space="preserve"> In this connection, the Committee recalls that </w:t>
      </w:r>
      <w:r w:rsidR="00EF4905" w:rsidRPr="00635355">
        <w:t>article </w:t>
      </w:r>
      <w:r w:rsidR="005D144B" w:rsidRPr="00635355">
        <w:t>14</w:t>
      </w:r>
      <w:r w:rsidR="00EA2D55" w:rsidRPr="00635355">
        <w:t> </w:t>
      </w:r>
      <w:r w:rsidR="00F838CE">
        <w:t>(</w:t>
      </w:r>
      <w:r w:rsidR="005D144B" w:rsidRPr="00635355">
        <w:t>3</w:t>
      </w:r>
      <w:r w:rsidR="0059616A" w:rsidRPr="00635355">
        <w:t> </w:t>
      </w:r>
      <w:r w:rsidR="005D144B" w:rsidRPr="00635355">
        <w:t>(e)</w:t>
      </w:r>
      <w:r w:rsidR="00F838CE">
        <w:t>)</w:t>
      </w:r>
      <w:r w:rsidR="005D144B" w:rsidRPr="00635355">
        <w:t xml:space="preserve"> of the Covenant refers specifically to matters of </w:t>
      </w:r>
      <w:r w:rsidR="00BA7C11">
        <w:t xml:space="preserve">a </w:t>
      </w:r>
      <w:r w:rsidR="005D144B" w:rsidRPr="00635355">
        <w:t>criminal nature</w:t>
      </w:r>
      <w:r w:rsidR="00EB7710" w:rsidRPr="00635355">
        <w:t>.</w:t>
      </w:r>
      <w:r w:rsidR="005D144B" w:rsidRPr="00635355">
        <w:rPr>
          <w:rStyle w:val="FootnoteReference"/>
        </w:rPr>
        <w:footnoteReference w:id="11"/>
      </w:r>
      <w:r w:rsidR="002C02B6" w:rsidRPr="00635355">
        <w:t xml:space="preserve"> Therefore, the Committee considers the present claim</w:t>
      </w:r>
      <w:r w:rsidR="00BA7C11">
        <w:t>,</w:t>
      </w:r>
      <w:r w:rsidR="002C02B6" w:rsidRPr="00635355">
        <w:t xml:space="preserve"> insofar as it relates to the first and the second sets of proceedings, which </w:t>
      </w:r>
      <w:r w:rsidR="00BA7C11" w:rsidRPr="00635355">
        <w:t>were</w:t>
      </w:r>
      <w:r w:rsidR="00BA7C11">
        <w:t xml:space="preserve"> </w:t>
      </w:r>
      <w:r w:rsidR="002C02B6" w:rsidRPr="00635355">
        <w:t xml:space="preserve">both of </w:t>
      </w:r>
      <w:r w:rsidR="00BA7C11">
        <w:t xml:space="preserve">a </w:t>
      </w:r>
      <w:r w:rsidR="002C02B6" w:rsidRPr="00635355">
        <w:t xml:space="preserve">civil nature, </w:t>
      </w:r>
      <w:r w:rsidR="004C3C09" w:rsidRPr="00635355">
        <w:t xml:space="preserve">is </w:t>
      </w:r>
      <w:r w:rsidR="002C02B6" w:rsidRPr="00635355">
        <w:t xml:space="preserve">inadmissible under </w:t>
      </w:r>
      <w:r w:rsidR="00EF4905" w:rsidRPr="00635355">
        <w:t>article </w:t>
      </w:r>
      <w:r w:rsidR="002C02B6" w:rsidRPr="00635355">
        <w:t>3 of the Optional Protocol to the Covenant. As to the third set of proceedings</w:t>
      </w:r>
      <w:r w:rsidR="0031498C" w:rsidRPr="00635355">
        <w:t>, which were criminal in nature,</w:t>
      </w:r>
      <w:r w:rsidR="002C02B6" w:rsidRPr="00635355">
        <w:t xml:space="preserve"> the Committee notes that </w:t>
      </w:r>
      <w:r w:rsidR="003C2DAB" w:rsidRPr="00635355">
        <w:t xml:space="preserve">the author submits in general terms that </w:t>
      </w:r>
      <w:r w:rsidR="00E71619" w:rsidRPr="00635355">
        <w:t xml:space="preserve">the examination of </w:t>
      </w:r>
      <w:r w:rsidR="003C2DAB" w:rsidRPr="00635355">
        <w:t xml:space="preserve">her witness was constantly disrupted by </w:t>
      </w:r>
      <w:r w:rsidR="00BA7C11">
        <w:t>the</w:t>
      </w:r>
      <w:r w:rsidR="003C2DAB" w:rsidRPr="00635355">
        <w:t xml:space="preserve"> prosecutor and that </w:t>
      </w:r>
      <w:r w:rsidR="00E30D72" w:rsidRPr="00635355">
        <w:t xml:space="preserve">her request to summon and question </w:t>
      </w:r>
      <w:r w:rsidR="003C2DAB" w:rsidRPr="00635355">
        <w:t>D. was refused since his statements were already in the case file</w:t>
      </w:r>
      <w:r w:rsidR="004C3C09" w:rsidRPr="00635355">
        <w:t>,</w:t>
      </w:r>
      <w:r w:rsidR="003C2DAB" w:rsidRPr="00635355">
        <w:t xml:space="preserve"> in a written form. </w:t>
      </w:r>
      <w:r w:rsidR="00E30D72" w:rsidRPr="00635355">
        <w:t>The State party in this regard submits that that there is no requirement for a State party to compel a witness to appear in court</w:t>
      </w:r>
      <w:r w:rsidR="00D90C88" w:rsidRPr="00635355">
        <w:t xml:space="preserve"> </w:t>
      </w:r>
      <w:r w:rsidR="00E71619" w:rsidRPr="00635355">
        <w:t>on behalf</w:t>
      </w:r>
      <w:r w:rsidR="00D90C88" w:rsidRPr="00635355">
        <w:t xml:space="preserve"> of the author </w:t>
      </w:r>
      <w:r w:rsidR="00E30D72" w:rsidRPr="00635355">
        <w:t xml:space="preserve">and that, in addition, the author has provided no evidence to suggest that the State party specifically impinged the author’s right to call a witness to her defence. </w:t>
      </w:r>
      <w:r w:rsidR="003C2DAB" w:rsidRPr="00635355">
        <w:t>In these circumstances</w:t>
      </w:r>
      <w:r w:rsidR="004C3C09" w:rsidRPr="00635355">
        <w:t>,</w:t>
      </w:r>
      <w:r w:rsidR="003C2DAB" w:rsidRPr="00635355">
        <w:t xml:space="preserve"> and in the absence of any further pertinent information on file, the Committee considers that the author has failed to sufficiently substantiate her present claim for </w:t>
      </w:r>
      <w:r w:rsidR="00BA7C11">
        <w:t xml:space="preserve">the </w:t>
      </w:r>
      <w:r w:rsidR="003C2DAB" w:rsidRPr="00635355">
        <w:t xml:space="preserve">purposes of admissibility, and concludes that it is inadmissible under </w:t>
      </w:r>
      <w:r w:rsidR="00EF4905" w:rsidRPr="00635355">
        <w:t>article </w:t>
      </w:r>
      <w:r w:rsidR="003C2DAB" w:rsidRPr="00635355">
        <w:t>2 of the Optional Protocol.</w:t>
      </w:r>
      <w:r w:rsidR="002C02B6" w:rsidRPr="00635355">
        <w:t xml:space="preserve"> </w:t>
      </w:r>
    </w:p>
    <w:p w:rsidR="00E546A6" w:rsidRPr="00635355" w:rsidRDefault="006D79C3" w:rsidP="00BA7C11">
      <w:pPr>
        <w:pStyle w:val="SingleTxtG"/>
      </w:pPr>
      <w:r w:rsidRPr="00635355">
        <w:t>8.</w:t>
      </w:r>
      <w:r w:rsidR="00AF72A3" w:rsidRPr="00635355">
        <w:t>10</w:t>
      </w:r>
      <w:r w:rsidR="00EB7710" w:rsidRPr="00635355">
        <w:tab/>
      </w:r>
      <w:r w:rsidRPr="00635355">
        <w:t xml:space="preserve">Furthermore, the author claims that she is a victim of a violation of </w:t>
      </w:r>
      <w:r w:rsidR="00EF4905" w:rsidRPr="00635355">
        <w:t>article </w:t>
      </w:r>
      <w:r w:rsidRPr="00635355">
        <w:t xml:space="preserve">14 </w:t>
      </w:r>
      <w:r w:rsidR="00F838CE">
        <w:t>(</w:t>
      </w:r>
      <w:r w:rsidRPr="00635355">
        <w:t>5</w:t>
      </w:r>
      <w:r w:rsidR="00F838CE">
        <w:t>)</w:t>
      </w:r>
      <w:r w:rsidRPr="00635355">
        <w:t xml:space="preserve"> of the Covenant, as her conviction and sentence was never reviewed by a higher tribunal </w:t>
      </w:r>
      <w:r w:rsidRPr="00635355">
        <w:lastRenderedPageBreak/>
        <w:t xml:space="preserve">according to law. </w:t>
      </w:r>
      <w:r w:rsidR="00647574" w:rsidRPr="00635355">
        <w:t>T</w:t>
      </w:r>
      <w:r w:rsidR="00864281" w:rsidRPr="00635355">
        <w:t xml:space="preserve">he Committee </w:t>
      </w:r>
      <w:r w:rsidR="00647574" w:rsidRPr="00635355">
        <w:t>notes</w:t>
      </w:r>
      <w:r w:rsidR="00864281" w:rsidRPr="00635355">
        <w:t xml:space="preserve"> that</w:t>
      </w:r>
      <w:r w:rsidR="00AF72D2" w:rsidRPr="00635355">
        <w:t>,</w:t>
      </w:r>
      <w:r w:rsidR="00864281" w:rsidRPr="00635355">
        <w:t xml:space="preserve"> </w:t>
      </w:r>
      <w:r w:rsidR="00637AA4" w:rsidRPr="00635355">
        <w:t xml:space="preserve">on 20 February 2008, the Magistrates Court of Western Australia convicted the author pursuant to </w:t>
      </w:r>
      <w:r w:rsidR="00871A89" w:rsidRPr="00635355">
        <w:t>section </w:t>
      </w:r>
      <w:r w:rsidR="00637AA4" w:rsidRPr="00635355">
        <w:t xml:space="preserve">438B (4) of the Corporations Act and fined her in the amount of </w:t>
      </w:r>
      <w:r w:rsidR="0090604B">
        <w:t xml:space="preserve">$A </w:t>
      </w:r>
      <w:r w:rsidR="00637AA4" w:rsidRPr="00635355">
        <w:t>500</w:t>
      </w:r>
      <w:r w:rsidR="00E71619" w:rsidRPr="00635355">
        <w:t xml:space="preserve"> and </w:t>
      </w:r>
      <w:r w:rsidR="0090604B">
        <w:t xml:space="preserve">$A </w:t>
      </w:r>
      <w:r w:rsidR="00E71619" w:rsidRPr="00635355">
        <w:t>1</w:t>
      </w:r>
      <w:r w:rsidR="0090604B">
        <w:t>,</w:t>
      </w:r>
      <w:r w:rsidR="00E71619" w:rsidRPr="00635355">
        <w:t>000 in costs</w:t>
      </w:r>
      <w:r w:rsidR="00637AA4" w:rsidRPr="00635355">
        <w:t xml:space="preserve">. The author appealed, claiming that the court did not have jurisdiction to convict her, but on 16 July 2009, the </w:t>
      </w:r>
      <w:r w:rsidR="00C932D2" w:rsidRPr="00635355">
        <w:t>Supreme Court of Western Australia</w:t>
      </w:r>
      <w:r w:rsidR="009F7285" w:rsidRPr="00635355">
        <w:t xml:space="preserve"> </w:t>
      </w:r>
      <w:r w:rsidR="00637AA4" w:rsidRPr="00635355">
        <w:t>Court of Appeal</w:t>
      </w:r>
      <w:r w:rsidR="009F7285" w:rsidRPr="00635355">
        <w:t xml:space="preserve"> </w:t>
      </w:r>
      <w:r w:rsidR="00637AA4" w:rsidRPr="00635355">
        <w:t xml:space="preserve">dismissed her </w:t>
      </w:r>
      <w:r w:rsidR="00485AE3" w:rsidRPr="00635355">
        <w:t xml:space="preserve">application </w:t>
      </w:r>
      <w:r w:rsidR="00637AA4" w:rsidRPr="00635355">
        <w:t xml:space="preserve">stating that the lower court had the necessary jurisdiction. </w:t>
      </w:r>
      <w:r w:rsidR="00647574" w:rsidRPr="00635355">
        <w:t>The Committee observes that the Court of Appeal examined and analy</w:t>
      </w:r>
      <w:r w:rsidR="00BA7C11">
        <w:t>s</w:t>
      </w:r>
      <w:r w:rsidR="00647574" w:rsidRPr="00635355">
        <w:t xml:space="preserve">ed extensively the grounds invoked by the author concerning her conviction, the validity of the </w:t>
      </w:r>
      <w:r w:rsidR="00BA7C11">
        <w:t>p</w:t>
      </w:r>
      <w:r w:rsidR="00647574" w:rsidRPr="00635355">
        <w:t xml:space="preserve">rosecution </w:t>
      </w:r>
      <w:r w:rsidR="00BA7C11">
        <w:t>n</w:t>
      </w:r>
      <w:r w:rsidR="00647574" w:rsidRPr="00635355">
        <w:t xml:space="preserve">otice, </w:t>
      </w:r>
      <w:r w:rsidR="00BA7C11">
        <w:t xml:space="preserve">the </w:t>
      </w:r>
      <w:r w:rsidR="00647574" w:rsidRPr="00635355">
        <w:t xml:space="preserve">adequacy of the reasons </w:t>
      </w:r>
      <w:r w:rsidR="00E71619" w:rsidRPr="00635355">
        <w:t xml:space="preserve">in the </w:t>
      </w:r>
      <w:r w:rsidR="002F62A5">
        <w:t>judgement</w:t>
      </w:r>
      <w:r w:rsidR="00BA7C11">
        <w:t xml:space="preserve"> and the</w:t>
      </w:r>
      <w:r w:rsidR="00647574" w:rsidRPr="00635355">
        <w:t xml:space="preserve"> allegations of bias. </w:t>
      </w:r>
      <w:r w:rsidR="00637AA4" w:rsidRPr="00635355">
        <w:t>On 9 December 2009, the High Court of Australia rejected the author’s application for special leave to appeal</w:t>
      </w:r>
      <w:r w:rsidR="00F958B3">
        <w:t>,</w:t>
      </w:r>
      <w:r w:rsidR="003A6145" w:rsidRPr="00635355">
        <w:t xml:space="preserve"> finding the author’s request unfounded</w:t>
      </w:r>
      <w:r w:rsidR="00637AA4" w:rsidRPr="00635355">
        <w:t>.</w:t>
      </w:r>
      <w:r w:rsidR="00485AE3" w:rsidRPr="00635355">
        <w:t xml:space="preserve"> In these circumstances, the Committee considers that the author has failed to provide sufficient substantiation of her claim under </w:t>
      </w:r>
      <w:r w:rsidR="00EF4905" w:rsidRPr="00635355">
        <w:t>article </w:t>
      </w:r>
      <w:r w:rsidR="00485AE3" w:rsidRPr="00635355">
        <w:t>14</w:t>
      </w:r>
      <w:r w:rsidR="00EA2D55" w:rsidRPr="00635355">
        <w:t> </w:t>
      </w:r>
      <w:r w:rsidR="00F838CE">
        <w:t>(</w:t>
      </w:r>
      <w:r w:rsidR="00485AE3" w:rsidRPr="00635355">
        <w:t>5</w:t>
      </w:r>
      <w:r w:rsidR="00F838CE">
        <w:t>)</w:t>
      </w:r>
      <w:r w:rsidR="00485AE3" w:rsidRPr="00635355">
        <w:t xml:space="preserve"> of the Covenant and concludes that the present claim is inadmissible under </w:t>
      </w:r>
      <w:r w:rsidR="00EF4905" w:rsidRPr="00635355">
        <w:t>article </w:t>
      </w:r>
      <w:r w:rsidR="00485AE3" w:rsidRPr="00635355">
        <w:t>2 of the Optional Protocol.</w:t>
      </w:r>
    </w:p>
    <w:p w:rsidR="00DD4083" w:rsidRPr="00635355" w:rsidRDefault="00DD4083" w:rsidP="00F958B3">
      <w:pPr>
        <w:pStyle w:val="SingleTxtG"/>
      </w:pPr>
      <w:r w:rsidRPr="00635355">
        <w:t>8.1</w:t>
      </w:r>
      <w:r w:rsidR="00AF72A3" w:rsidRPr="00635355">
        <w:t>1</w:t>
      </w:r>
      <w:r w:rsidR="00EB7710" w:rsidRPr="00635355">
        <w:tab/>
      </w:r>
      <w:r w:rsidRPr="00635355">
        <w:t xml:space="preserve">The Committee </w:t>
      </w:r>
      <w:r w:rsidR="00E546A6" w:rsidRPr="00635355">
        <w:t xml:space="preserve">further </w:t>
      </w:r>
      <w:r w:rsidRPr="00635355">
        <w:t>note</w:t>
      </w:r>
      <w:r w:rsidR="004F23ED" w:rsidRPr="00635355">
        <w:t>s</w:t>
      </w:r>
      <w:r w:rsidRPr="00635355">
        <w:t xml:space="preserve"> the author’s claim under </w:t>
      </w:r>
      <w:r w:rsidR="00EF4905" w:rsidRPr="00635355">
        <w:t>article </w:t>
      </w:r>
      <w:r w:rsidRPr="00635355">
        <w:t xml:space="preserve">15 of the Covenant </w:t>
      </w:r>
      <w:r w:rsidR="004F23ED" w:rsidRPr="00635355">
        <w:t>that</w:t>
      </w:r>
      <w:r w:rsidRPr="00635355">
        <w:t xml:space="preserve"> she had been found guilty of a</w:t>
      </w:r>
      <w:r w:rsidR="004F23ED" w:rsidRPr="00635355">
        <w:t>n action which</w:t>
      </w:r>
      <w:r w:rsidRPr="00635355">
        <w:t xml:space="preserve"> did not constitute an offence. </w:t>
      </w:r>
      <w:r w:rsidR="00A11A5A" w:rsidRPr="00635355">
        <w:t xml:space="preserve">In this connection, the author provides an extensive explanation concerning the term </w:t>
      </w:r>
      <w:r w:rsidR="00883A67" w:rsidRPr="00635355">
        <w:t>“</w:t>
      </w:r>
      <w:r w:rsidR="00A11A5A" w:rsidRPr="00635355">
        <w:t>books</w:t>
      </w:r>
      <w:r w:rsidR="00883A67" w:rsidRPr="00635355">
        <w:t>”</w:t>
      </w:r>
      <w:r w:rsidR="00A11A5A" w:rsidRPr="00635355">
        <w:t xml:space="preserve"> and </w:t>
      </w:r>
      <w:r w:rsidR="00F958B3">
        <w:t xml:space="preserve">the fact </w:t>
      </w:r>
      <w:r w:rsidR="00A9442B" w:rsidRPr="00635355">
        <w:t xml:space="preserve">that </w:t>
      </w:r>
      <w:r w:rsidR="00A11A5A" w:rsidRPr="00635355">
        <w:t xml:space="preserve">she </w:t>
      </w:r>
      <w:r w:rsidR="00A9442B" w:rsidRPr="00635355">
        <w:t xml:space="preserve">was not obliged </w:t>
      </w:r>
      <w:r w:rsidR="00A11A5A" w:rsidRPr="00635355">
        <w:t>to submit to the company’s external administrators the originals of the company books.</w:t>
      </w:r>
      <w:r w:rsidR="00A031F9" w:rsidRPr="00635355">
        <w:t xml:space="preserve"> </w:t>
      </w:r>
      <w:r w:rsidR="002B0E68" w:rsidRPr="00635355">
        <w:t xml:space="preserve">The Committee also takes note of the State party’s submission that </w:t>
      </w:r>
      <w:r w:rsidR="006F7DA9" w:rsidRPr="00635355">
        <w:t xml:space="preserve">this claim is inadmissible as unsubstantiated as the author </w:t>
      </w:r>
      <w:r w:rsidR="00195980" w:rsidRPr="00635355">
        <w:t xml:space="preserve">offers no further explanation or evidence in support of her claim, but instead discusses the definition of </w:t>
      </w:r>
      <w:r w:rsidR="00883A67" w:rsidRPr="00635355">
        <w:t>“</w:t>
      </w:r>
      <w:r w:rsidR="00195980" w:rsidRPr="00635355">
        <w:t>books</w:t>
      </w:r>
      <w:r w:rsidR="00883A67" w:rsidRPr="00635355">
        <w:t>”</w:t>
      </w:r>
      <w:r w:rsidR="00195980" w:rsidRPr="00635355">
        <w:t xml:space="preserve"> under domestic law, specifically the Corporations Act. In the alternative, according to the State party, this claim is inadmissible as </w:t>
      </w:r>
      <w:r w:rsidR="00F958B3">
        <w:t xml:space="preserve">it is </w:t>
      </w:r>
      <w:r w:rsidR="00195980" w:rsidRPr="00635355">
        <w:t>incompatible with the provisions of the Covenant</w:t>
      </w:r>
      <w:r w:rsidR="00F958B3">
        <w:t>,</w:t>
      </w:r>
      <w:r w:rsidR="00195980" w:rsidRPr="00635355">
        <w:t xml:space="preserve"> since </w:t>
      </w:r>
      <w:r w:rsidR="00EF4905" w:rsidRPr="00635355">
        <w:t>article </w:t>
      </w:r>
      <w:r w:rsidR="00195980" w:rsidRPr="00635355">
        <w:t>15 relates to the prohibition of retroactive criminali</w:t>
      </w:r>
      <w:r w:rsidR="00F958B3">
        <w:t>z</w:t>
      </w:r>
      <w:r w:rsidR="00195980" w:rsidRPr="00635355">
        <w:t xml:space="preserve">ation of </w:t>
      </w:r>
      <w:r w:rsidR="00735F3F" w:rsidRPr="00635355">
        <w:t>any act which did not constitute a criminal offence at the time it was committed</w:t>
      </w:r>
      <w:r w:rsidR="00195980" w:rsidRPr="00635355">
        <w:t xml:space="preserve">. However, the author does not appear to be alleging that the Corporations Act she was charged under was not in force at the time when she was charged. </w:t>
      </w:r>
      <w:r w:rsidR="00E546A6" w:rsidRPr="00635355">
        <w:t xml:space="preserve">Accordingly, given that on 20 February 2008, the author was not convicted by </w:t>
      </w:r>
      <w:r w:rsidR="00735F3F" w:rsidRPr="00635355">
        <w:t xml:space="preserve">the </w:t>
      </w:r>
      <w:r w:rsidR="004230CF" w:rsidRPr="00635355">
        <w:t>retroactive application of</w:t>
      </w:r>
      <w:r w:rsidR="005C34CB" w:rsidRPr="00635355">
        <w:t xml:space="preserve"> </w:t>
      </w:r>
      <w:r w:rsidR="00871A89" w:rsidRPr="00635355">
        <w:t>section </w:t>
      </w:r>
      <w:r w:rsidR="00E546A6" w:rsidRPr="00635355">
        <w:t xml:space="preserve">438B of the Corporations Act </w:t>
      </w:r>
      <w:r w:rsidR="0090604B">
        <w:t>(</w:t>
      </w:r>
      <w:r w:rsidR="00E546A6" w:rsidRPr="00635355">
        <w:t>2001</w:t>
      </w:r>
      <w:r w:rsidR="0090604B">
        <w:t>)</w:t>
      </w:r>
      <w:r w:rsidR="00A031F9" w:rsidRPr="00635355">
        <w:t xml:space="preserve">, the Committee considers that the </w:t>
      </w:r>
      <w:r w:rsidR="00DA28B2" w:rsidRPr="00635355">
        <w:t>author’s claim</w:t>
      </w:r>
      <w:r w:rsidR="00A031F9" w:rsidRPr="00635355">
        <w:t xml:space="preserve"> is incompatible with the provisions of the Covenant, and therefore declares this part of the communication inadmissible under </w:t>
      </w:r>
      <w:r w:rsidR="00EF4905" w:rsidRPr="00635355">
        <w:t>article </w:t>
      </w:r>
      <w:r w:rsidR="00A031F9" w:rsidRPr="00635355">
        <w:t>3 of the Optional Protocol.</w:t>
      </w:r>
    </w:p>
    <w:p w:rsidR="004230CF" w:rsidRPr="00635355" w:rsidRDefault="004230CF" w:rsidP="00F958B3">
      <w:pPr>
        <w:pStyle w:val="SingleTxtG"/>
        <w:rPr>
          <w:b/>
        </w:rPr>
      </w:pPr>
      <w:r w:rsidRPr="00635355">
        <w:t>8.1</w:t>
      </w:r>
      <w:r w:rsidR="00AF72A3" w:rsidRPr="00635355">
        <w:t>2</w:t>
      </w:r>
      <w:r w:rsidR="00EB7710" w:rsidRPr="00635355">
        <w:tab/>
      </w:r>
      <w:r w:rsidR="00F958B3">
        <w:t>Lastly,</w:t>
      </w:r>
      <w:r w:rsidR="0095014B" w:rsidRPr="00635355">
        <w:t xml:space="preserve"> the author claims to be a victim of a violation of </w:t>
      </w:r>
      <w:r w:rsidR="00EF4905" w:rsidRPr="00635355">
        <w:t>article </w:t>
      </w:r>
      <w:r w:rsidR="0095014B" w:rsidRPr="00635355">
        <w:t xml:space="preserve">17 of the Covenant as the judgements </w:t>
      </w:r>
      <w:r w:rsidR="004F23ED" w:rsidRPr="00635355">
        <w:t xml:space="preserve">in her case </w:t>
      </w:r>
      <w:r w:rsidR="0095014B" w:rsidRPr="00635355">
        <w:t xml:space="preserve">were posted on the </w:t>
      </w:r>
      <w:r w:rsidR="00F958B3">
        <w:t>I</w:t>
      </w:r>
      <w:r w:rsidR="0095014B" w:rsidRPr="00635355">
        <w:t xml:space="preserve">nternet and </w:t>
      </w:r>
      <w:r w:rsidR="00F958B3">
        <w:t xml:space="preserve">she claims </w:t>
      </w:r>
      <w:r w:rsidR="0095014B" w:rsidRPr="00635355">
        <w:t xml:space="preserve">that the proceedings traumatized her daughter. </w:t>
      </w:r>
      <w:r w:rsidR="00AE62E2" w:rsidRPr="00635355">
        <w:t>In addition</w:t>
      </w:r>
      <w:r w:rsidR="0095014B" w:rsidRPr="00635355">
        <w:t>, she could not find any other gainful employment.</w:t>
      </w:r>
      <w:r w:rsidR="009C3A73" w:rsidRPr="00635355">
        <w:t xml:space="preserve"> In this regard, the Committee takes note of the State party’s </w:t>
      </w:r>
      <w:r w:rsidR="00735F3F" w:rsidRPr="00635355">
        <w:t xml:space="preserve">reply </w:t>
      </w:r>
      <w:r w:rsidR="009C3A73" w:rsidRPr="00635355">
        <w:t>that</w:t>
      </w:r>
      <w:r w:rsidR="00905FDE" w:rsidRPr="00635355">
        <w:t xml:space="preserve"> during the trials, </w:t>
      </w:r>
      <w:r w:rsidR="009C3A73" w:rsidRPr="00635355">
        <w:t>the author n</w:t>
      </w:r>
      <w:r w:rsidR="00905FDE" w:rsidRPr="00635355">
        <w:t>ever</w:t>
      </w:r>
      <w:r w:rsidR="009C3A73" w:rsidRPr="00635355">
        <w:t xml:space="preserve"> claimed that the exceptions to the publishing of </w:t>
      </w:r>
      <w:r w:rsidR="002F62A5">
        <w:t>judgement</w:t>
      </w:r>
      <w:r w:rsidR="009C3A73" w:rsidRPr="00635355">
        <w:t>s</w:t>
      </w:r>
      <w:r w:rsidR="00AE62E2" w:rsidRPr="00635355">
        <w:t xml:space="preserve"> mentioned in the last sentence of </w:t>
      </w:r>
      <w:r w:rsidR="00EF4905" w:rsidRPr="00635355">
        <w:t>article </w:t>
      </w:r>
      <w:r w:rsidR="00AE62E2" w:rsidRPr="00635355">
        <w:t>14</w:t>
      </w:r>
      <w:r w:rsidR="00EA2D55" w:rsidRPr="00635355">
        <w:t> </w:t>
      </w:r>
      <w:r w:rsidR="00F838CE">
        <w:t>(</w:t>
      </w:r>
      <w:r w:rsidR="00AE62E2" w:rsidRPr="00635355">
        <w:t>1</w:t>
      </w:r>
      <w:r w:rsidR="00F838CE">
        <w:t>)</w:t>
      </w:r>
      <w:r w:rsidR="00AE62E2" w:rsidRPr="00635355">
        <w:t xml:space="preserve"> of the Covenant </w:t>
      </w:r>
      <w:r w:rsidR="004F23ED" w:rsidRPr="00635355">
        <w:t>sh</w:t>
      </w:r>
      <w:r w:rsidR="00F958B3">
        <w:t>ould</w:t>
      </w:r>
      <w:r w:rsidR="004F23ED" w:rsidRPr="00635355">
        <w:t xml:space="preserve"> be </w:t>
      </w:r>
      <w:r w:rsidR="00AE62E2" w:rsidRPr="00635355">
        <w:t>appl</w:t>
      </w:r>
      <w:r w:rsidR="004F23ED" w:rsidRPr="00635355">
        <w:t>ied</w:t>
      </w:r>
      <w:r w:rsidR="00AE62E2" w:rsidRPr="00635355">
        <w:t xml:space="preserve"> in her case</w:t>
      </w:r>
      <w:r w:rsidR="00905FDE" w:rsidRPr="00635355">
        <w:t xml:space="preserve"> and</w:t>
      </w:r>
      <w:r w:rsidR="00195980" w:rsidRPr="00635355">
        <w:t xml:space="preserve">, therefore, the </w:t>
      </w:r>
      <w:r w:rsidR="002F62A5">
        <w:t>judgement</w:t>
      </w:r>
      <w:r w:rsidR="00195980" w:rsidRPr="00635355">
        <w:t xml:space="preserve">s at issue should not have been rendered </w:t>
      </w:r>
      <w:r w:rsidR="00AB0511" w:rsidRPr="00635355">
        <w:t>public</w:t>
      </w:r>
      <w:r w:rsidR="00AE62E2" w:rsidRPr="00635355">
        <w:t xml:space="preserve">. Furthermore, </w:t>
      </w:r>
      <w:r w:rsidR="00B836E5" w:rsidRPr="00635355">
        <w:t xml:space="preserve">the Committee notes that the author has not </w:t>
      </w:r>
      <w:r w:rsidR="00660249" w:rsidRPr="00635355">
        <w:t>substantiated the causal link between the alleged breach of</w:t>
      </w:r>
      <w:r w:rsidR="00B836E5" w:rsidRPr="00635355">
        <w:t xml:space="preserve"> her rights under </w:t>
      </w:r>
      <w:r w:rsidR="00EF4905" w:rsidRPr="00635355">
        <w:t>article </w:t>
      </w:r>
      <w:r w:rsidR="00B836E5" w:rsidRPr="00635355">
        <w:t xml:space="preserve">17 of the Covenant </w:t>
      </w:r>
      <w:r w:rsidR="00660249" w:rsidRPr="00635355">
        <w:t>and</w:t>
      </w:r>
      <w:r w:rsidR="00B836E5" w:rsidRPr="00635355">
        <w:t xml:space="preserve"> the fact that her daughter was traumatized by the </w:t>
      </w:r>
      <w:r w:rsidR="00EE295F" w:rsidRPr="00635355">
        <w:t xml:space="preserve">court </w:t>
      </w:r>
      <w:r w:rsidR="00B836E5" w:rsidRPr="00635355">
        <w:t xml:space="preserve">proceedings </w:t>
      </w:r>
      <w:r w:rsidR="00F958B3">
        <w:t>concern</w:t>
      </w:r>
      <w:r w:rsidR="00EE295F" w:rsidRPr="00635355">
        <w:t xml:space="preserve">ing her mother, </w:t>
      </w:r>
      <w:r w:rsidR="00B836E5" w:rsidRPr="00635355">
        <w:t xml:space="preserve">and that the author could not find </w:t>
      </w:r>
      <w:r w:rsidR="00883A67" w:rsidRPr="00635355">
        <w:t>“</w:t>
      </w:r>
      <w:r w:rsidR="00B836E5" w:rsidRPr="00635355">
        <w:t>other gainful employment</w:t>
      </w:r>
      <w:r w:rsidR="00883A67" w:rsidRPr="00635355">
        <w:t>”</w:t>
      </w:r>
      <w:r w:rsidR="00B836E5" w:rsidRPr="00635355">
        <w:t>.</w:t>
      </w:r>
      <w:r w:rsidR="00660249" w:rsidRPr="00635355">
        <w:t xml:space="preserve"> In these circumstances and in the absence of any further pertinent information on file, the Committee considers that the author has failed to sufficiently substantiate her present claim for </w:t>
      </w:r>
      <w:r w:rsidR="00F958B3">
        <w:t xml:space="preserve">the </w:t>
      </w:r>
      <w:r w:rsidR="00660249" w:rsidRPr="00635355">
        <w:t xml:space="preserve">purposes of admissibility, and concludes that it is inadmissible under </w:t>
      </w:r>
      <w:r w:rsidR="00EF4905" w:rsidRPr="00635355">
        <w:t>article </w:t>
      </w:r>
      <w:r w:rsidR="00660249" w:rsidRPr="00635355">
        <w:t>2 of the Optional Protocol.</w:t>
      </w:r>
    </w:p>
    <w:p w:rsidR="00EB7710" w:rsidRPr="00635355" w:rsidRDefault="009466AB" w:rsidP="00EB7710">
      <w:pPr>
        <w:pStyle w:val="SingleTxtG"/>
      </w:pPr>
      <w:r w:rsidRPr="00635355">
        <w:t>9.</w:t>
      </w:r>
      <w:r w:rsidRPr="00635355">
        <w:tab/>
        <w:t>The Human Rights Committee therefore decides t</w:t>
      </w:r>
      <w:r w:rsidR="00EB7710" w:rsidRPr="00635355">
        <w:t>hat:</w:t>
      </w:r>
    </w:p>
    <w:p w:rsidR="00EB7710" w:rsidRPr="00635355" w:rsidRDefault="009466AB" w:rsidP="00955DC8">
      <w:pPr>
        <w:pStyle w:val="SingleTxtG"/>
        <w:ind w:firstLine="567"/>
      </w:pPr>
      <w:r w:rsidRPr="00635355">
        <w:t>(a)</w:t>
      </w:r>
      <w:r w:rsidRPr="00635355">
        <w:tab/>
        <w:t>The communication is inadmissible under articles 2 a</w:t>
      </w:r>
      <w:r w:rsidR="00AD6967" w:rsidRPr="00635355">
        <w:t>nd 3 of the Optional Protocol;</w:t>
      </w:r>
    </w:p>
    <w:p w:rsidR="009466AB" w:rsidRPr="00635355" w:rsidRDefault="009466AB" w:rsidP="00955DC8">
      <w:pPr>
        <w:pStyle w:val="SingleTxtG"/>
        <w:ind w:firstLine="567"/>
      </w:pPr>
      <w:r w:rsidRPr="00635355">
        <w:t>(b)</w:t>
      </w:r>
      <w:r w:rsidRPr="00635355">
        <w:tab/>
        <w:t>The present decision shall be transmitted to the State party and the author</w:t>
      </w:r>
      <w:r w:rsidR="00C63C27">
        <w:t xml:space="preserve"> of the communication</w:t>
      </w:r>
      <w:r w:rsidRPr="00635355">
        <w:t>.</w:t>
      </w:r>
    </w:p>
    <w:p w:rsidR="00202561" w:rsidRPr="00635355" w:rsidRDefault="009466AB" w:rsidP="00EB7710">
      <w:pPr>
        <w:pStyle w:val="SingleTxtG"/>
        <w:spacing w:before="240" w:after="0"/>
        <w:jc w:val="center"/>
        <w:rPr>
          <w:u w:val="single"/>
        </w:rPr>
      </w:pPr>
      <w:r w:rsidRPr="00635355">
        <w:rPr>
          <w:u w:val="single"/>
        </w:rPr>
        <w:tab/>
      </w:r>
      <w:r w:rsidRPr="00635355">
        <w:rPr>
          <w:u w:val="single"/>
        </w:rPr>
        <w:tab/>
      </w:r>
      <w:r w:rsidRPr="00635355">
        <w:rPr>
          <w:u w:val="single"/>
        </w:rPr>
        <w:tab/>
      </w:r>
    </w:p>
    <w:sectPr w:rsidR="00202561" w:rsidRPr="00635355" w:rsidSect="001F05B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01" w:rsidRDefault="00D46401"/>
  </w:endnote>
  <w:endnote w:type="continuationSeparator" w:id="0">
    <w:p w:rsidR="00D46401" w:rsidRDefault="00D46401"/>
  </w:endnote>
  <w:endnote w:type="continuationNotice" w:id="1">
    <w:p w:rsidR="00D46401" w:rsidRDefault="00D46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9D" w:rsidRPr="00781C83" w:rsidRDefault="0044729D"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C7133F">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9D" w:rsidRPr="00CF2748" w:rsidRDefault="0044729D" w:rsidP="00781C83">
    <w:pPr>
      <w:pStyle w:val="Footer"/>
      <w:tabs>
        <w:tab w:val="right" w:pos="9638"/>
      </w:tabs>
      <w:rPr>
        <w:b/>
        <w:bCs/>
        <w:sz w:val="18"/>
      </w:rPr>
    </w:pPr>
    <w:r>
      <w:rPr>
        <w:b/>
        <w:sz w:val="18"/>
      </w:rPr>
      <w:tab/>
    </w:r>
    <w:r w:rsidRPr="00CF2748">
      <w:rPr>
        <w:b/>
        <w:bCs/>
        <w:sz w:val="18"/>
      </w:rPr>
      <w:fldChar w:fldCharType="begin"/>
    </w:r>
    <w:r w:rsidRPr="00CF2748">
      <w:rPr>
        <w:b/>
        <w:bCs/>
        <w:sz w:val="18"/>
      </w:rPr>
      <w:instrText xml:space="preserve"> PAGE  \* MERGEFORMAT </w:instrText>
    </w:r>
    <w:r w:rsidRPr="00CF2748">
      <w:rPr>
        <w:b/>
        <w:bCs/>
        <w:sz w:val="18"/>
      </w:rPr>
      <w:fldChar w:fldCharType="separate"/>
    </w:r>
    <w:r w:rsidR="00C7133F">
      <w:rPr>
        <w:b/>
        <w:bCs/>
        <w:noProof/>
        <w:sz w:val="18"/>
      </w:rPr>
      <w:t>3</w:t>
    </w:r>
    <w:r w:rsidRPr="00CF2748">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9D" w:rsidRDefault="00D41B04">
    <w:r>
      <w:rPr>
        <w:noProof/>
        <w:lang w:val="en-US"/>
      </w:rPr>
      <w:drawing>
        <wp:anchor distT="0" distB="0" distL="114300" distR="114300" simplePos="0" relativeHeight="251659264" behindDoc="0" locked="0" layoutInCell="1" allowOverlap="1" wp14:anchorId="57B8FA6C" wp14:editId="6E6BEE2D">
          <wp:simplePos x="0" y="0"/>
          <wp:positionH relativeFrom="margin">
            <wp:posOffset>4283710</wp:posOffset>
          </wp:positionH>
          <wp:positionV relativeFrom="margin">
            <wp:posOffset>8207375</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44729D">
      <w:t>GE.15-</w:t>
    </w:r>
    <w:r w:rsidR="00A31A46">
      <w:t>09703</w:t>
    </w:r>
    <w:r>
      <w:t xml:space="preserve">  (E)</w:t>
    </w:r>
    <w:r w:rsidR="002D1A3C">
      <w:br/>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r w:rsidR="002D1A3C" w:rsidRPr="002D1A3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01" w:rsidRPr="000B175B" w:rsidRDefault="00D46401" w:rsidP="000B175B">
      <w:pPr>
        <w:tabs>
          <w:tab w:val="right" w:pos="2155"/>
        </w:tabs>
        <w:spacing w:after="80"/>
        <w:ind w:left="680"/>
        <w:rPr>
          <w:u w:val="single"/>
        </w:rPr>
      </w:pPr>
      <w:r>
        <w:rPr>
          <w:u w:val="single"/>
        </w:rPr>
        <w:tab/>
      </w:r>
    </w:p>
  </w:footnote>
  <w:footnote w:type="continuationSeparator" w:id="0">
    <w:p w:rsidR="00D46401" w:rsidRPr="00FC68B7" w:rsidRDefault="00D46401" w:rsidP="00FC68B7">
      <w:pPr>
        <w:tabs>
          <w:tab w:val="left" w:pos="2155"/>
        </w:tabs>
        <w:spacing w:after="80"/>
        <w:ind w:left="680"/>
        <w:rPr>
          <w:u w:val="single"/>
        </w:rPr>
      </w:pPr>
      <w:r>
        <w:rPr>
          <w:u w:val="single"/>
        </w:rPr>
        <w:tab/>
      </w:r>
    </w:p>
  </w:footnote>
  <w:footnote w:type="continuationNotice" w:id="1">
    <w:p w:rsidR="00D46401" w:rsidRDefault="00D46401"/>
  </w:footnote>
  <w:footnote w:id="2">
    <w:p w:rsidR="0044729D" w:rsidRPr="00955DC8" w:rsidRDefault="0044729D" w:rsidP="00E95D59">
      <w:pPr>
        <w:pStyle w:val="FootnoteText"/>
      </w:pPr>
      <w:r>
        <w:rPr>
          <w:rStyle w:val="FootnoteReference"/>
        </w:rPr>
        <w:tab/>
      </w:r>
      <w:r w:rsidRPr="00375925">
        <w:rPr>
          <w:rStyle w:val="FootnoteReference"/>
          <w:sz w:val="20"/>
          <w:vertAlign w:val="baseline"/>
        </w:rPr>
        <w:t>*</w:t>
      </w:r>
      <w:r w:rsidRPr="00375925">
        <w:rPr>
          <w:rStyle w:val="FootnoteReference"/>
          <w:sz w:val="20"/>
          <w:vertAlign w:val="baseline"/>
        </w:rPr>
        <w:tab/>
      </w:r>
      <w:r>
        <w:t xml:space="preserve">The following members of the </w:t>
      </w:r>
      <w:r w:rsidRPr="00955DC8">
        <w:t>Committee p</w:t>
      </w:r>
      <w:r>
        <w:t xml:space="preserve">articipated in the examination of the present communication: Yadh Ben Achour, Lazhari Bouzid, Sarah Cleveland, Olivier de Frouville, Yuji Iwasawa, Ivana Jelić, </w:t>
      </w:r>
      <w:r w:rsidRPr="00C31701">
        <w:t>Duncan</w:t>
      </w:r>
      <w:r>
        <w:t xml:space="preserve"> </w:t>
      </w:r>
      <w:r w:rsidR="00E95D59">
        <w:t xml:space="preserve">Laki </w:t>
      </w:r>
      <w:r>
        <w:t>Muhumuza, Photini Pazartzis, Mauro Politi, Sir Nigel Rodley, Víctor Manuel Rodríguez-Rescia, Fabián Omar Salvioli, Dheerujlall Seetulsingh, Anja Seibert-Fohr, Yuval Shany, Konstantine Vardzelashvili and Margo Waterval.</w:t>
      </w:r>
    </w:p>
  </w:footnote>
  <w:footnote w:id="3">
    <w:p w:rsidR="0044729D" w:rsidRPr="00955DC8" w:rsidRDefault="0044729D" w:rsidP="00955DC8">
      <w:pPr>
        <w:pStyle w:val="FootnoteText"/>
      </w:pPr>
      <w:r>
        <w:tab/>
      </w:r>
      <w:r>
        <w:rPr>
          <w:rStyle w:val="FootnoteReference"/>
        </w:rPr>
        <w:footnoteRef/>
      </w:r>
      <w:r>
        <w:tab/>
      </w:r>
      <w:r w:rsidRPr="002850BF">
        <w:t xml:space="preserve">The State party refers to </w:t>
      </w:r>
      <w:r w:rsidR="002850BF" w:rsidRPr="009B6379">
        <w:t xml:space="preserve">the </w:t>
      </w:r>
      <w:r w:rsidR="002850BF">
        <w:t xml:space="preserve">following </w:t>
      </w:r>
      <w:r w:rsidR="002850BF" w:rsidRPr="00C60528">
        <w:t>r</w:t>
      </w:r>
      <w:r w:rsidR="002850BF" w:rsidRPr="002850BF">
        <w:t>eport</w:t>
      </w:r>
      <w:r w:rsidR="002850BF">
        <w:t>s</w:t>
      </w:r>
      <w:r w:rsidR="002850BF" w:rsidRPr="002850BF">
        <w:t xml:space="preserve"> of the Human Rights Committee</w:t>
      </w:r>
      <w:r w:rsidR="002850BF">
        <w:t>:</w:t>
      </w:r>
      <w:r w:rsidR="002850BF" w:rsidRPr="002850BF">
        <w:t xml:space="preserve"> </w:t>
      </w:r>
      <w:r w:rsidRPr="002850BF">
        <w:t xml:space="preserve">A/64/40 </w:t>
      </w:r>
      <w:r w:rsidR="002850BF">
        <w:t>(</w:t>
      </w:r>
      <w:r w:rsidR="002850BF" w:rsidRPr="002850BF">
        <w:t>Vol</w:t>
      </w:r>
      <w:r w:rsidR="002850BF" w:rsidRPr="00364BAB">
        <w:t>.</w:t>
      </w:r>
      <w:r w:rsidR="002850BF" w:rsidRPr="009B6379">
        <w:t xml:space="preserve"> </w:t>
      </w:r>
      <w:r w:rsidR="002850BF" w:rsidRPr="00955DC8">
        <w:rPr>
          <w:lang w:val="it-IT"/>
        </w:rPr>
        <w:t xml:space="preserve">I), para. </w:t>
      </w:r>
      <w:r w:rsidRPr="00955DC8">
        <w:rPr>
          <w:lang w:val="it-IT"/>
        </w:rPr>
        <w:t>118; A/63/40</w:t>
      </w:r>
      <w:r w:rsidR="002850BF">
        <w:rPr>
          <w:lang w:val="it-IT"/>
        </w:rPr>
        <w:t xml:space="preserve"> </w:t>
      </w:r>
      <w:r w:rsidR="002850BF" w:rsidRPr="00955DC8">
        <w:rPr>
          <w:lang w:val="it-IT"/>
        </w:rPr>
        <w:t xml:space="preserve">(Vol. I), para. </w:t>
      </w:r>
      <w:r w:rsidRPr="00955DC8">
        <w:t xml:space="preserve">108; A/62/40 </w:t>
      </w:r>
      <w:r w:rsidR="002850BF">
        <w:t>(</w:t>
      </w:r>
      <w:r w:rsidR="002850BF" w:rsidRPr="002850BF">
        <w:t>Vol</w:t>
      </w:r>
      <w:r w:rsidR="002850BF" w:rsidRPr="00364BAB">
        <w:t>.</w:t>
      </w:r>
      <w:r w:rsidR="002850BF" w:rsidRPr="009B6379">
        <w:t xml:space="preserve"> I</w:t>
      </w:r>
      <w:r w:rsidR="002850BF">
        <w:t>)</w:t>
      </w:r>
      <w:r w:rsidR="002850BF" w:rsidRPr="00C60528">
        <w:t>, para.</w:t>
      </w:r>
      <w:r w:rsidR="002850BF" w:rsidRPr="009B6379">
        <w:t xml:space="preserve"> </w:t>
      </w:r>
      <w:r w:rsidRPr="00955DC8">
        <w:t xml:space="preserve">119; </w:t>
      </w:r>
      <w:r w:rsidR="002850BF" w:rsidRPr="00955DC8">
        <w:t xml:space="preserve">and </w:t>
      </w:r>
      <w:r w:rsidRPr="00955DC8">
        <w:t xml:space="preserve">A/61/40 </w:t>
      </w:r>
      <w:r w:rsidR="002850BF">
        <w:t>(</w:t>
      </w:r>
      <w:r w:rsidR="002850BF" w:rsidRPr="002850BF">
        <w:t>Vol</w:t>
      </w:r>
      <w:r w:rsidR="002850BF" w:rsidRPr="00364BAB">
        <w:t>.</w:t>
      </w:r>
      <w:r w:rsidR="002850BF" w:rsidRPr="009B6379">
        <w:t xml:space="preserve"> I</w:t>
      </w:r>
      <w:r w:rsidR="002850BF">
        <w:t>)</w:t>
      </w:r>
      <w:r w:rsidR="002850BF" w:rsidRPr="00C60528">
        <w:t>, para.</w:t>
      </w:r>
      <w:r w:rsidR="002850BF" w:rsidRPr="009B6379">
        <w:t xml:space="preserve"> </w:t>
      </w:r>
      <w:r w:rsidRPr="00955DC8">
        <w:t xml:space="preserve">115. </w:t>
      </w:r>
    </w:p>
  </w:footnote>
  <w:footnote w:id="4">
    <w:p w:rsidR="0044729D" w:rsidRPr="00CD26C2" w:rsidRDefault="0044729D" w:rsidP="00955DC8">
      <w:pPr>
        <w:pStyle w:val="FootnoteText"/>
      </w:pPr>
      <w:r w:rsidRPr="00955DC8">
        <w:tab/>
      </w:r>
      <w:r w:rsidRPr="009B6379">
        <w:rPr>
          <w:rStyle w:val="FootnoteReference"/>
        </w:rPr>
        <w:footnoteRef/>
      </w:r>
      <w:r w:rsidRPr="009B6379">
        <w:tab/>
        <w:t xml:space="preserve">The State party refers to the </w:t>
      </w:r>
      <w:r w:rsidR="00D616B8" w:rsidRPr="00955DC8">
        <w:t>r</w:t>
      </w:r>
      <w:r w:rsidRPr="002850BF">
        <w:t>eport of the Human Rights Committee (A/64/40</w:t>
      </w:r>
      <w:r w:rsidR="002850BF">
        <w:t xml:space="preserve"> (</w:t>
      </w:r>
      <w:r w:rsidR="002850BF" w:rsidRPr="002850BF">
        <w:t>Vol</w:t>
      </w:r>
      <w:r w:rsidR="002850BF" w:rsidRPr="00364BAB">
        <w:t>.</w:t>
      </w:r>
      <w:r w:rsidR="002850BF" w:rsidRPr="009B6379">
        <w:t xml:space="preserve"> I</w:t>
      </w:r>
      <w:r w:rsidR="002850BF">
        <w:t>)</w:t>
      </w:r>
      <w:r w:rsidR="00D616B8" w:rsidRPr="00955DC8">
        <w:t>)</w:t>
      </w:r>
      <w:r w:rsidR="009B6379" w:rsidRPr="00955DC8">
        <w:t>, para.</w:t>
      </w:r>
      <w:r w:rsidRPr="009B6379">
        <w:t xml:space="preserve"> 118.</w:t>
      </w:r>
    </w:p>
  </w:footnote>
  <w:footnote w:id="5">
    <w:p w:rsidR="0044729D" w:rsidRPr="002D6FCE" w:rsidRDefault="0044729D" w:rsidP="007963A1">
      <w:pPr>
        <w:pStyle w:val="FootnoteText"/>
      </w:pPr>
      <w:r>
        <w:tab/>
      </w:r>
      <w:r>
        <w:rPr>
          <w:rStyle w:val="FootnoteReference"/>
        </w:rPr>
        <w:footnoteRef/>
      </w:r>
      <w:r>
        <w:tab/>
      </w:r>
      <w:r w:rsidRPr="002D6FCE">
        <w:t xml:space="preserve">The State </w:t>
      </w:r>
      <w:r w:rsidRPr="00FC00C8">
        <w:t>party</w:t>
      </w:r>
      <w:r w:rsidRPr="002D6FCE">
        <w:t xml:space="preserve"> makes reference to communication No.</w:t>
      </w:r>
      <w:r>
        <w:t xml:space="preserve"> 215/1986, </w:t>
      </w:r>
      <w:r w:rsidRPr="002D6FCE">
        <w:rPr>
          <w:i/>
        </w:rPr>
        <w:t xml:space="preserve">G.A. van Meurs </w:t>
      </w:r>
      <w:r w:rsidRPr="00955DC8">
        <w:rPr>
          <w:iCs/>
        </w:rPr>
        <w:t>v.</w:t>
      </w:r>
      <w:r w:rsidRPr="002D6FCE">
        <w:rPr>
          <w:i/>
        </w:rPr>
        <w:t xml:space="preserve"> </w:t>
      </w:r>
      <w:r>
        <w:rPr>
          <w:i/>
        </w:rPr>
        <w:t xml:space="preserve">The </w:t>
      </w:r>
      <w:r w:rsidRPr="002D6FCE">
        <w:rPr>
          <w:i/>
        </w:rPr>
        <w:t>Netherlands</w:t>
      </w:r>
      <w:r>
        <w:t>, Views adopted on 13 July 1990, para. 7.1.</w:t>
      </w:r>
    </w:p>
  </w:footnote>
  <w:footnote w:id="6">
    <w:p w:rsidR="0044729D" w:rsidRPr="002D6FCE" w:rsidRDefault="0044729D" w:rsidP="000327C1">
      <w:pPr>
        <w:pStyle w:val="FootnoteText"/>
      </w:pPr>
      <w:r>
        <w:tab/>
      </w:r>
      <w:r>
        <w:rPr>
          <w:rStyle w:val="FootnoteReference"/>
        </w:rPr>
        <w:footnoteRef/>
      </w:r>
      <w:r>
        <w:tab/>
      </w:r>
      <w:r w:rsidRPr="002D6FCE">
        <w:t xml:space="preserve">The State party makes reference </w:t>
      </w:r>
      <w:r w:rsidRPr="00FC00C8">
        <w:t>to</w:t>
      </w:r>
      <w:r w:rsidRPr="002D6FCE">
        <w:t xml:space="preserve"> the Committee’s </w:t>
      </w:r>
      <w:r>
        <w:t>g</w:t>
      </w:r>
      <w:r w:rsidRPr="002D6FCE">
        <w:t xml:space="preserve">eneral </w:t>
      </w:r>
      <w:r>
        <w:t>c</w:t>
      </w:r>
      <w:r w:rsidRPr="002D6FCE">
        <w:t>omment</w:t>
      </w:r>
      <w:r>
        <w:t xml:space="preserve"> No.</w:t>
      </w:r>
      <w:r w:rsidRPr="002D6FCE">
        <w:t xml:space="preserve"> 32 </w:t>
      </w:r>
      <w:r w:rsidRPr="00EB339C">
        <w:t>(2007) on the right to equality before courts and tribunals and to a fair trial</w:t>
      </w:r>
      <w:r>
        <w:t>, para. 18.</w:t>
      </w:r>
    </w:p>
  </w:footnote>
  <w:footnote w:id="7">
    <w:p w:rsidR="0044729D" w:rsidRPr="004C63DE" w:rsidRDefault="0044729D" w:rsidP="005F0D65">
      <w:pPr>
        <w:pStyle w:val="FootnoteText"/>
      </w:pPr>
      <w:r>
        <w:tab/>
      </w:r>
      <w:r>
        <w:rPr>
          <w:rStyle w:val="FootnoteReference"/>
        </w:rPr>
        <w:footnoteRef/>
      </w:r>
      <w:r>
        <w:tab/>
      </w:r>
      <w:r w:rsidRPr="002D6FCE">
        <w:t xml:space="preserve">The </w:t>
      </w:r>
      <w:r w:rsidRPr="00FC00C8">
        <w:t>State</w:t>
      </w:r>
      <w:r w:rsidRPr="002D6FCE">
        <w:t xml:space="preserve"> party makes reference to communication No.</w:t>
      </w:r>
      <w:r>
        <w:t xml:space="preserve"> 380/1989, </w:t>
      </w:r>
      <w:r>
        <w:rPr>
          <w:i/>
        </w:rPr>
        <w:t xml:space="preserve">R.L.M. </w:t>
      </w:r>
      <w:r w:rsidRPr="00955DC8">
        <w:rPr>
          <w:iCs/>
        </w:rPr>
        <w:t>v.</w:t>
      </w:r>
      <w:r>
        <w:rPr>
          <w:i/>
        </w:rPr>
        <w:t xml:space="preserve"> Trinidad and Tobago</w:t>
      </w:r>
      <w:r>
        <w:t>, decision of inadmissibility adopted on 17 June 1989.</w:t>
      </w:r>
    </w:p>
  </w:footnote>
  <w:footnote w:id="8">
    <w:p w:rsidR="0044729D" w:rsidRPr="00FC7F47" w:rsidRDefault="0044729D" w:rsidP="008639E9">
      <w:pPr>
        <w:pStyle w:val="FootnoteText"/>
      </w:pPr>
      <w:r>
        <w:tab/>
      </w:r>
      <w:r>
        <w:rPr>
          <w:rStyle w:val="FootnoteReference"/>
        </w:rPr>
        <w:footnoteRef/>
      </w:r>
      <w:r>
        <w:tab/>
      </w:r>
      <w:r w:rsidRPr="007212F5">
        <w:t xml:space="preserve">See, inter alia, </w:t>
      </w:r>
      <w:r w:rsidR="008639E9">
        <w:t>c</w:t>
      </w:r>
      <w:r w:rsidRPr="007212F5">
        <w:t>ommunication No.</w:t>
      </w:r>
      <w:r>
        <w:t> </w:t>
      </w:r>
      <w:r w:rsidRPr="007212F5">
        <w:t xml:space="preserve">541/1993, </w:t>
      </w:r>
      <w:r w:rsidRPr="007212F5">
        <w:rPr>
          <w:i/>
          <w:iCs/>
        </w:rPr>
        <w:t xml:space="preserve">Errol Simms </w:t>
      </w:r>
      <w:r w:rsidRPr="00955DC8">
        <w:t>v.</w:t>
      </w:r>
      <w:r w:rsidRPr="007212F5">
        <w:rPr>
          <w:i/>
          <w:iCs/>
        </w:rPr>
        <w:t xml:space="preserve"> Jamaica</w:t>
      </w:r>
      <w:r w:rsidRPr="007212F5">
        <w:t xml:space="preserve">, </w:t>
      </w:r>
      <w:r w:rsidR="008639E9" w:rsidRPr="007212F5">
        <w:t>decision</w:t>
      </w:r>
      <w:r w:rsidR="008639E9">
        <w:t xml:space="preserve"> of </w:t>
      </w:r>
      <w:r w:rsidRPr="007212F5">
        <w:t>inadmissibility</w:t>
      </w:r>
      <w:r w:rsidR="008639E9">
        <w:t xml:space="preserve"> </w:t>
      </w:r>
      <w:r w:rsidRPr="007212F5">
        <w:t>adopted on 3 April 1995, para</w:t>
      </w:r>
      <w:r>
        <w:t>. </w:t>
      </w:r>
      <w:r w:rsidRPr="007212F5">
        <w:t>6.2.</w:t>
      </w:r>
    </w:p>
  </w:footnote>
  <w:footnote w:id="9">
    <w:p w:rsidR="0044729D" w:rsidRPr="00011266" w:rsidRDefault="0044729D" w:rsidP="00DE6C67">
      <w:pPr>
        <w:pStyle w:val="FootnoteText"/>
      </w:pPr>
      <w:r>
        <w:tab/>
      </w:r>
      <w:r>
        <w:rPr>
          <w:rStyle w:val="FootnoteReference"/>
        </w:rPr>
        <w:footnoteRef/>
      </w:r>
      <w:r>
        <w:tab/>
        <w:t>See</w:t>
      </w:r>
      <w:r w:rsidR="008639E9" w:rsidRPr="007212F5">
        <w:t xml:space="preserve">, inter alia, </w:t>
      </w:r>
      <w:r>
        <w:t>communication</w:t>
      </w:r>
      <w:r w:rsidR="00553ACF">
        <w:t>s</w:t>
      </w:r>
      <w:r w:rsidRPr="00921992">
        <w:t xml:space="preserve"> No</w:t>
      </w:r>
      <w:r>
        <w:t>. 2058/2011</w:t>
      </w:r>
      <w:r w:rsidRPr="00921992">
        <w:t xml:space="preserve">, </w:t>
      </w:r>
      <w:r w:rsidRPr="00011266">
        <w:rPr>
          <w:i/>
        </w:rPr>
        <w:t>O.D.</w:t>
      </w:r>
      <w:r>
        <w:rPr>
          <w:i/>
          <w:iCs/>
        </w:rPr>
        <w:t xml:space="preserve"> </w:t>
      </w:r>
      <w:r w:rsidRPr="00955DC8">
        <w:t>v.</w:t>
      </w:r>
      <w:r>
        <w:rPr>
          <w:i/>
          <w:iCs/>
        </w:rPr>
        <w:t xml:space="preserve"> the Russian Federation</w:t>
      </w:r>
      <w:r w:rsidRPr="00921992">
        <w:t xml:space="preserve">, </w:t>
      </w:r>
      <w:r w:rsidR="008639E9">
        <w:t>decision of i</w:t>
      </w:r>
      <w:r>
        <w:t xml:space="preserve">nadmissibility </w:t>
      </w:r>
      <w:r w:rsidR="008639E9">
        <w:t xml:space="preserve">adopted on </w:t>
      </w:r>
      <w:r>
        <w:t xml:space="preserve">26 March 2012, para. 4.2; </w:t>
      </w:r>
      <w:r w:rsidRPr="00921992">
        <w:t>No</w:t>
      </w:r>
      <w:r>
        <w:t>. 2103/2011</w:t>
      </w:r>
      <w:r w:rsidRPr="00921992">
        <w:t xml:space="preserve">, </w:t>
      </w:r>
      <w:r>
        <w:rPr>
          <w:i/>
        </w:rPr>
        <w:t xml:space="preserve">Poliakov </w:t>
      </w:r>
      <w:r w:rsidRPr="00955DC8">
        <w:rPr>
          <w:iCs/>
        </w:rPr>
        <w:t>v.</w:t>
      </w:r>
      <w:r>
        <w:rPr>
          <w:i/>
        </w:rPr>
        <w:t xml:space="preserve"> Belarus</w:t>
      </w:r>
      <w:r w:rsidRPr="00921992">
        <w:t xml:space="preserve">, </w:t>
      </w:r>
      <w:r>
        <w:t>Views adopted on 17 July 2014, para. 9.4.</w:t>
      </w:r>
    </w:p>
  </w:footnote>
  <w:footnote w:id="10">
    <w:p w:rsidR="0044729D" w:rsidRPr="009E30DF" w:rsidRDefault="0044729D" w:rsidP="00955DC8">
      <w:pPr>
        <w:pStyle w:val="FootnoteText"/>
      </w:pPr>
      <w:r>
        <w:tab/>
      </w:r>
      <w:r>
        <w:rPr>
          <w:rStyle w:val="FootnoteReference"/>
        </w:rPr>
        <w:footnoteRef/>
      </w:r>
      <w:r>
        <w:tab/>
      </w:r>
      <w:r w:rsidRPr="009E30DF">
        <w:t xml:space="preserve">See </w:t>
      </w:r>
      <w:r>
        <w:t xml:space="preserve">the </w:t>
      </w:r>
      <w:r w:rsidRPr="00EB7710">
        <w:t>Committee’s</w:t>
      </w:r>
      <w:r>
        <w:t xml:space="preserve"> general comment No.  32 (2007) on article 14: </w:t>
      </w:r>
      <w:r w:rsidR="00DE6C67">
        <w:t>r</w:t>
      </w:r>
      <w:r>
        <w:t>ight to equality before courts and tribunals and to a fair trial,</w:t>
      </w:r>
      <w:r w:rsidRPr="009E30DF">
        <w:t xml:space="preserve"> para.</w:t>
      </w:r>
      <w:r>
        <w:t xml:space="preserve">  </w:t>
      </w:r>
      <w:r w:rsidRPr="009E30DF">
        <w:t>30.</w:t>
      </w:r>
    </w:p>
  </w:footnote>
  <w:footnote w:id="11">
    <w:p w:rsidR="0044729D" w:rsidRPr="005D144B" w:rsidRDefault="0044729D" w:rsidP="00955DC8">
      <w:pPr>
        <w:pStyle w:val="FootnoteText"/>
      </w:pPr>
      <w:r>
        <w:tab/>
      </w:r>
      <w:r>
        <w:rPr>
          <w:rStyle w:val="FootnoteReference"/>
        </w:rPr>
        <w:footnoteRef/>
      </w:r>
      <w:r>
        <w:tab/>
      </w:r>
      <w:r w:rsidR="00BA7C11">
        <w:t>Ibid.</w:t>
      </w:r>
      <w:r>
        <w:t>, para. 39</w:t>
      </w:r>
      <w:r w:rsidRPr="009E30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9D" w:rsidRPr="00781C83" w:rsidRDefault="0044729D" w:rsidP="00781C83">
    <w:pPr>
      <w:pStyle w:val="Header"/>
    </w:pPr>
    <w:r>
      <w:t>CCPR/C/113/D/2015/2010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9D" w:rsidRPr="00781C83" w:rsidRDefault="0044729D" w:rsidP="00781C83">
    <w:pPr>
      <w:pStyle w:val="Header"/>
      <w:jc w:val="right"/>
    </w:pPr>
    <w:r w:rsidRPr="00061776">
      <w:t>CCPR/C/11</w:t>
    </w:r>
    <w:r>
      <w:t>3</w:t>
    </w:r>
    <w:r w:rsidRPr="00061776">
      <w:t>/D/</w:t>
    </w:r>
    <w:r>
      <w:t>2015</w:t>
    </w:r>
    <w:r w:rsidRPr="00061776">
      <w:t>/2010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D3DD9"/>
    <w:multiLevelType w:val="hybridMultilevel"/>
    <w:tmpl w:val="0E6CAF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817FF1"/>
    <w:multiLevelType w:val="hybridMultilevel"/>
    <w:tmpl w:val="4C5CFB04"/>
    <w:lvl w:ilvl="0" w:tplc="85C0AB44">
      <w:start w:val="8"/>
      <w:numFmt w:val="lowerRoman"/>
      <w:lvlText w:val="(%1)"/>
      <w:lvlJc w:val="left"/>
      <w:pPr>
        <w:ind w:left="1213" w:hanging="497"/>
      </w:pPr>
      <w:rPr>
        <w:rFonts w:ascii="Times New Roman" w:eastAsia="Times New Roman" w:hAnsi="Times New Roman" w:hint="default"/>
        <w:sz w:val="22"/>
        <w:szCs w:val="22"/>
      </w:rPr>
    </w:lvl>
    <w:lvl w:ilvl="1" w:tplc="E6E22A6A">
      <w:start w:val="1"/>
      <w:numFmt w:val="bullet"/>
      <w:lvlText w:val="•"/>
      <w:lvlJc w:val="left"/>
      <w:pPr>
        <w:ind w:left="2070" w:hanging="497"/>
      </w:pPr>
      <w:rPr>
        <w:rFonts w:hint="default"/>
      </w:rPr>
    </w:lvl>
    <w:lvl w:ilvl="2" w:tplc="A3F0AFDE">
      <w:start w:val="1"/>
      <w:numFmt w:val="bullet"/>
      <w:lvlText w:val="•"/>
      <w:lvlJc w:val="left"/>
      <w:pPr>
        <w:ind w:left="2926" w:hanging="497"/>
      </w:pPr>
      <w:rPr>
        <w:rFonts w:hint="default"/>
      </w:rPr>
    </w:lvl>
    <w:lvl w:ilvl="3" w:tplc="58366EB0">
      <w:start w:val="1"/>
      <w:numFmt w:val="bullet"/>
      <w:lvlText w:val="•"/>
      <w:lvlJc w:val="left"/>
      <w:pPr>
        <w:ind w:left="3783" w:hanging="497"/>
      </w:pPr>
      <w:rPr>
        <w:rFonts w:hint="default"/>
      </w:rPr>
    </w:lvl>
    <w:lvl w:ilvl="4" w:tplc="EA62341E">
      <w:start w:val="1"/>
      <w:numFmt w:val="bullet"/>
      <w:lvlText w:val="•"/>
      <w:lvlJc w:val="left"/>
      <w:pPr>
        <w:ind w:left="4640" w:hanging="497"/>
      </w:pPr>
      <w:rPr>
        <w:rFonts w:hint="default"/>
      </w:rPr>
    </w:lvl>
    <w:lvl w:ilvl="5" w:tplc="C13A5A4C">
      <w:start w:val="1"/>
      <w:numFmt w:val="bullet"/>
      <w:lvlText w:val="•"/>
      <w:lvlJc w:val="left"/>
      <w:pPr>
        <w:ind w:left="5496" w:hanging="497"/>
      </w:pPr>
      <w:rPr>
        <w:rFonts w:hint="default"/>
      </w:rPr>
    </w:lvl>
    <w:lvl w:ilvl="6" w:tplc="9A600568">
      <w:start w:val="1"/>
      <w:numFmt w:val="bullet"/>
      <w:lvlText w:val="•"/>
      <w:lvlJc w:val="left"/>
      <w:pPr>
        <w:ind w:left="6353" w:hanging="497"/>
      </w:pPr>
      <w:rPr>
        <w:rFonts w:hint="default"/>
      </w:rPr>
    </w:lvl>
    <w:lvl w:ilvl="7" w:tplc="A1A0119C">
      <w:start w:val="1"/>
      <w:numFmt w:val="bullet"/>
      <w:lvlText w:val="•"/>
      <w:lvlJc w:val="left"/>
      <w:pPr>
        <w:ind w:left="7210" w:hanging="497"/>
      </w:pPr>
      <w:rPr>
        <w:rFonts w:hint="default"/>
      </w:rPr>
    </w:lvl>
    <w:lvl w:ilvl="8" w:tplc="F796F962">
      <w:start w:val="1"/>
      <w:numFmt w:val="bullet"/>
      <w:lvlText w:val="•"/>
      <w:lvlJc w:val="left"/>
      <w:pPr>
        <w:ind w:left="8066" w:hanging="497"/>
      </w:pPr>
      <w:rPr>
        <w:rFonts w:hint="default"/>
      </w:rPr>
    </w:lvl>
  </w:abstractNum>
  <w:abstractNum w:abstractNumId="3" w15:restartNumberingAfterBreak="0">
    <w:nsid w:val="48F531BD"/>
    <w:multiLevelType w:val="hybridMultilevel"/>
    <w:tmpl w:val="D4E4DA10"/>
    <w:lvl w:ilvl="0" w:tplc="45FA05F8">
      <w:start w:val="1"/>
      <w:numFmt w:val="lowerRoman"/>
      <w:lvlText w:val="(%1)"/>
      <w:lvlJc w:val="left"/>
      <w:pPr>
        <w:ind w:left="1381" w:hanging="569"/>
        <w:jc w:val="right"/>
      </w:pPr>
      <w:rPr>
        <w:rFonts w:ascii="Times New Roman" w:eastAsia="Times New Roman" w:hAnsi="Times New Roman" w:hint="default"/>
        <w:sz w:val="22"/>
        <w:szCs w:val="22"/>
      </w:rPr>
    </w:lvl>
    <w:lvl w:ilvl="1" w:tplc="75F4B600">
      <w:start w:val="1"/>
      <w:numFmt w:val="bullet"/>
      <w:lvlText w:val="•"/>
      <w:lvlJc w:val="left"/>
      <w:pPr>
        <w:ind w:left="2215" w:hanging="569"/>
      </w:pPr>
      <w:rPr>
        <w:rFonts w:hint="default"/>
      </w:rPr>
    </w:lvl>
    <w:lvl w:ilvl="2" w:tplc="8F620A5C">
      <w:start w:val="1"/>
      <w:numFmt w:val="bullet"/>
      <w:lvlText w:val="•"/>
      <w:lvlJc w:val="left"/>
      <w:pPr>
        <w:ind w:left="3049" w:hanging="569"/>
      </w:pPr>
      <w:rPr>
        <w:rFonts w:hint="default"/>
      </w:rPr>
    </w:lvl>
    <w:lvl w:ilvl="3" w:tplc="AC84CBB2">
      <w:start w:val="1"/>
      <w:numFmt w:val="bullet"/>
      <w:lvlText w:val="•"/>
      <w:lvlJc w:val="left"/>
      <w:pPr>
        <w:ind w:left="3883" w:hanging="569"/>
      </w:pPr>
      <w:rPr>
        <w:rFonts w:hint="default"/>
      </w:rPr>
    </w:lvl>
    <w:lvl w:ilvl="4" w:tplc="18BE736C">
      <w:start w:val="1"/>
      <w:numFmt w:val="bullet"/>
      <w:lvlText w:val="•"/>
      <w:lvlJc w:val="left"/>
      <w:pPr>
        <w:ind w:left="4716" w:hanging="569"/>
      </w:pPr>
      <w:rPr>
        <w:rFonts w:hint="default"/>
      </w:rPr>
    </w:lvl>
    <w:lvl w:ilvl="5" w:tplc="84D417D2">
      <w:start w:val="1"/>
      <w:numFmt w:val="bullet"/>
      <w:lvlText w:val="•"/>
      <w:lvlJc w:val="left"/>
      <w:pPr>
        <w:ind w:left="5550" w:hanging="569"/>
      </w:pPr>
      <w:rPr>
        <w:rFonts w:hint="default"/>
      </w:rPr>
    </w:lvl>
    <w:lvl w:ilvl="6" w:tplc="10EECDEA">
      <w:start w:val="1"/>
      <w:numFmt w:val="bullet"/>
      <w:lvlText w:val="•"/>
      <w:lvlJc w:val="left"/>
      <w:pPr>
        <w:ind w:left="6384" w:hanging="569"/>
      </w:pPr>
      <w:rPr>
        <w:rFonts w:hint="default"/>
      </w:rPr>
    </w:lvl>
    <w:lvl w:ilvl="7" w:tplc="02A01E2C">
      <w:start w:val="1"/>
      <w:numFmt w:val="bullet"/>
      <w:lvlText w:val="•"/>
      <w:lvlJc w:val="left"/>
      <w:pPr>
        <w:ind w:left="7218" w:hanging="569"/>
      </w:pPr>
      <w:rPr>
        <w:rFonts w:hint="default"/>
      </w:rPr>
    </w:lvl>
    <w:lvl w:ilvl="8" w:tplc="DFD219D0">
      <w:start w:val="1"/>
      <w:numFmt w:val="bullet"/>
      <w:lvlText w:val="•"/>
      <w:lvlJc w:val="left"/>
      <w:pPr>
        <w:ind w:left="8052" w:hanging="569"/>
      </w:pPr>
      <w:rPr>
        <w:rFonts w:hint="default"/>
      </w:rPr>
    </w:lvl>
  </w:abstractNum>
  <w:abstractNum w:abstractNumId="4" w15:restartNumberingAfterBreak="0">
    <w:nsid w:val="50076F04"/>
    <w:multiLevelType w:val="hybridMultilevel"/>
    <w:tmpl w:val="2794D642"/>
    <w:lvl w:ilvl="0" w:tplc="2C120C1C">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39A07FC"/>
    <w:multiLevelType w:val="hybridMultilevel"/>
    <w:tmpl w:val="F340A0B6"/>
    <w:lvl w:ilvl="0" w:tplc="DB3E6CB8">
      <w:start w:val="1"/>
      <w:numFmt w:val="upperRoman"/>
      <w:lvlText w:val="%1."/>
      <w:lvlJc w:val="left"/>
      <w:pPr>
        <w:ind w:left="1741" w:hanging="720"/>
      </w:pPr>
      <w:rPr>
        <w:rFonts w:ascii="Times New Roman" w:eastAsia="Times New Roman" w:hAnsi="Times New Roman" w:hint="default"/>
        <w:b/>
        <w:bCs/>
        <w:w w:val="99"/>
        <w:sz w:val="24"/>
        <w:szCs w:val="24"/>
      </w:rPr>
    </w:lvl>
    <w:lvl w:ilvl="1" w:tplc="37EA85B2">
      <w:start w:val="1"/>
      <w:numFmt w:val="bullet"/>
      <w:lvlText w:val="•"/>
      <w:lvlJc w:val="left"/>
      <w:pPr>
        <w:ind w:left="2153" w:hanging="720"/>
      </w:pPr>
      <w:rPr>
        <w:rFonts w:hint="default"/>
      </w:rPr>
    </w:lvl>
    <w:lvl w:ilvl="2" w:tplc="8FBEF538">
      <w:start w:val="1"/>
      <w:numFmt w:val="bullet"/>
      <w:lvlText w:val="•"/>
      <w:lvlJc w:val="left"/>
      <w:pPr>
        <w:ind w:left="2565" w:hanging="720"/>
      </w:pPr>
      <w:rPr>
        <w:rFonts w:hint="default"/>
      </w:rPr>
    </w:lvl>
    <w:lvl w:ilvl="3" w:tplc="296C78F6">
      <w:start w:val="1"/>
      <w:numFmt w:val="bullet"/>
      <w:lvlText w:val="•"/>
      <w:lvlJc w:val="left"/>
      <w:pPr>
        <w:ind w:left="2977" w:hanging="720"/>
      </w:pPr>
      <w:rPr>
        <w:rFonts w:hint="default"/>
      </w:rPr>
    </w:lvl>
    <w:lvl w:ilvl="4" w:tplc="FC1EB88E">
      <w:start w:val="1"/>
      <w:numFmt w:val="bullet"/>
      <w:lvlText w:val="•"/>
      <w:lvlJc w:val="left"/>
      <w:pPr>
        <w:ind w:left="3389" w:hanging="720"/>
      </w:pPr>
      <w:rPr>
        <w:rFonts w:hint="default"/>
      </w:rPr>
    </w:lvl>
    <w:lvl w:ilvl="5" w:tplc="D054B882">
      <w:start w:val="1"/>
      <w:numFmt w:val="bullet"/>
      <w:lvlText w:val="•"/>
      <w:lvlJc w:val="left"/>
      <w:pPr>
        <w:ind w:left="3801" w:hanging="720"/>
      </w:pPr>
      <w:rPr>
        <w:rFonts w:hint="default"/>
      </w:rPr>
    </w:lvl>
    <w:lvl w:ilvl="6" w:tplc="05B40308">
      <w:start w:val="1"/>
      <w:numFmt w:val="bullet"/>
      <w:lvlText w:val="•"/>
      <w:lvlJc w:val="left"/>
      <w:pPr>
        <w:ind w:left="4213" w:hanging="720"/>
      </w:pPr>
      <w:rPr>
        <w:rFonts w:hint="default"/>
      </w:rPr>
    </w:lvl>
    <w:lvl w:ilvl="7" w:tplc="90220BE4">
      <w:start w:val="1"/>
      <w:numFmt w:val="bullet"/>
      <w:lvlText w:val="•"/>
      <w:lvlJc w:val="left"/>
      <w:pPr>
        <w:ind w:left="4625" w:hanging="720"/>
      </w:pPr>
      <w:rPr>
        <w:rFonts w:hint="default"/>
      </w:rPr>
    </w:lvl>
    <w:lvl w:ilvl="8" w:tplc="AF70F9E8">
      <w:start w:val="1"/>
      <w:numFmt w:val="bullet"/>
      <w:lvlText w:val="•"/>
      <w:lvlJc w:val="left"/>
      <w:pPr>
        <w:ind w:left="5037" w:hanging="720"/>
      </w:pPr>
      <w:rPr>
        <w:rFonts w:hint="default"/>
      </w:rPr>
    </w:lvl>
  </w:abstractNum>
  <w:abstractNum w:abstractNumId="6" w15:restartNumberingAfterBreak="0">
    <w:nsid w:val="5ABA4C41"/>
    <w:multiLevelType w:val="hybridMultilevel"/>
    <w:tmpl w:val="326004EA"/>
    <w:lvl w:ilvl="0" w:tplc="F0ACB366">
      <w:start w:val="1"/>
      <w:numFmt w:val="decimal"/>
      <w:lvlText w:val="%1."/>
      <w:lvlJc w:val="left"/>
      <w:pPr>
        <w:ind w:left="1381" w:hanging="360"/>
      </w:pPr>
      <w:rPr>
        <w:rFonts w:ascii="Times New Roman" w:eastAsia="Times New Roman" w:hAnsi="Times New Roman" w:hint="default"/>
        <w:sz w:val="22"/>
        <w:szCs w:val="22"/>
      </w:rPr>
    </w:lvl>
    <w:lvl w:ilvl="1" w:tplc="FB9E9B72">
      <w:start w:val="1"/>
      <w:numFmt w:val="bullet"/>
      <w:lvlText w:val="•"/>
      <w:lvlJc w:val="left"/>
      <w:pPr>
        <w:ind w:left="2215" w:hanging="360"/>
      </w:pPr>
      <w:rPr>
        <w:rFonts w:hint="default"/>
      </w:rPr>
    </w:lvl>
    <w:lvl w:ilvl="2" w:tplc="E2D232FA">
      <w:start w:val="1"/>
      <w:numFmt w:val="bullet"/>
      <w:lvlText w:val="•"/>
      <w:lvlJc w:val="left"/>
      <w:pPr>
        <w:ind w:left="3049" w:hanging="360"/>
      </w:pPr>
      <w:rPr>
        <w:rFonts w:hint="default"/>
      </w:rPr>
    </w:lvl>
    <w:lvl w:ilvl="3" w:tplc="07221E7A">
      <w:start w:val="1"/>
      <w:numFmt w:val="bullet"/>
      <w:lvlText w:val="•"/>
      <w:lvlJc w:val="left"/>
      <w:pPr>
        <w:ind w:left="3883" w:hanging="360"/>
      </w:pPr>
      <w:rPr>
        <w:rFonts w:hint="default"/>
      </w:rPr>
    </w:lvl>
    <w:lvl w:ilvl="4" w:tplc="ACC23332">
      <w:start w:val="1"/>
      <w:numFmt w:val="bullet"/>
      <w:lvlText w:val="•"/>
      <w:lvlJc w:val="left"/>
      <w:pPr>
        <w:ind w:left="4716" w:hanging="360"/>
      </w:pPr>
      <w:rPr>
        <w:rFonts w:hint="default"/>
      </w:rPr>
    </w:lvl>
    <w:lvl w:ilvl="5" w:tplc="7F1012EA">
      <w:start w:val="1"/>
      <w:numFmt w:val="bullet"/>
      <w:lvlText w:val="•"/>
      <w:lvlJc w:val="left"/>
      <w:pPr>
        <w:ind w:left="5550" w:hanging="360"/>
      </w:pPr>
      <w:rPr>
        <w:rFonts w:hint="default"/>
      </w:rPr>
    </w:lvl>
    <w:lvl w:ilvl="6" w:tplc="20920796">
      <w:start w:val="1"/>
      <w:numFmt w:val="bullet"/>
      <w:lvlText w:val="•"/>
      <w:lvlJc w:val="left"/>
      <w:pPr>
        <w:ind w:left="6384" w:hanging="360"/>
      </w:pPr>
      <w:rPr>
        <w:rFonts w:hint="default"/>
      </w:rPr>
    </w:lvl>
    <w:lvl w:ilvl="7" w:tplc="84D69CFE">
      <w:start w:val="1"/>
      <w:numFmt w:val="bullet"/>
      <w:lvlText w:val="•"/>
      <w:lvlJc w:val="left"/>
      <w:pPr>
        <w:ind w:left="7218" w:hanging="360"/>
      </w:pPr>
      <w:rPr>
        <w:rFonts w:hint="default"/>
      </w:rPr>
    </w:lvl>
    <w:lvl w:ilvl="8" w:tplc="501215AA">
      <w:start w:val="1"/>
      <w:numFmt w:val="bullet"/>
      <w:lvlText w:val="•"/>
      <w:lvlJc w:val="left"/>
      <w:pPr>
        <w:ind w:left="8052" w:hanging="360"/>
      </w:pPr>
      <w:rPr>
        <w:rFont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5B6AC5"/>
    <w:multiLevelType w:val="hybridMultilevel"/>
    <w:tmpl w:val="8BB2C680"/>
    <w:lvl w:ilvl="0" w:tplc="B9CC74B6">
      <w:start w:val="2"/>
      <w:numFmt w:val="upperRoman"/>
      <w:lvlText w:val="%1."/>
      <w:lvlJc w:val="left"/>
      <w:pPr>
        <w:ind w:left="1321" w:hanging="440"/>
      </w:pPr>
      <w:rPr>
        <w:rFonts w:ascii="Times New Roman" w:eastAsia="Times New Roman" w:hAnsi="Times New Roman" w:hint="default"/>
        <w:w w:val="99"/>
        <w:sz w:val="20"/>
        <w:szCs w:val="20"/>
      </w:rPr>
    </w:lvl>
    <w:lvl w:ilvl="1" w:tplc="F6B41AE0">
      <w:start w:val="1"/>
      <w:numFmt w:val="bullet"/>
      <w:lvlText w:val="•"/>
      <w:lvlJc w:val="left"/>
      <w:pPr>
        <w:ind w:left="2161" w:hanging="440"/>
      </w:pPr>
      <w:rPr>
        <w:rFonts w:hint="default"/>
      </w:rPr>
    </w:lvl>
    <w:lvl w:ilvl="2" w:tplc="4FAA8B44">
      <w:start w:val="1"/>
      <w:numFmt w:val="bullet"/>
      <w:lvlText w:val="•"/>
      <w:lvlJc w:val="left"/>
      <w:pPr>
        <w:ind w:left="3001" w:hanging="440"/>
      </w:pPr>
      <w:rPr>
        <w:rFonts w:hint="default"/>
      </w:rPr>
    </w:lvl>
    <w:lvl w:ilvl="3" w:tplc="3C46B4D6">
      <w:start w:val="1"/>
      <w:numFmt w:val="bullet"/>
      <w:lvlText w:val="•"/>
      <w:lvlJc w:val="left"/>
      <w:pPr>
        <w:ind w:left="3841" w:hanging="440"/>
      </w:pPr>
      <w:rPr>
        <w:rFonts w:hint="default"/>
      </w:rPr>
    </w:lvl>
    <w:lvl w:ilvl="4" w:tplc="000AF910">
      <w:start w:val="1"/>
      <w:numFmt w:val="bullet"/>
      <w:lvlText w:val="•"/>
      <w:lvlJc w:val="left"/>
      <w:pPr>
        <w:ind w:left="4680" w:hanging="440"/>
      </w:pPr>
      <w:rPr>
        <w:rFonts w:hint="default"/>
      </w:rPr>
    </w:lvl>
    <w:lvl w:ilvl="5" w:tplc="9ABE01C2">
      <w:start w:val="1"/>
      <w:numFmt w:val="bullet"/>
      <w:lvlText w:val="•"/>
      <w:lvlJc w:val="left"/>
      <w:pPr>
        <w:ind w:left="5520" w:hanging="440"/>
      </w:pPr>
      <w:rPr>
        <w:rFonts w:hint="default"/>
      </w:rPr>
    </w:lvl>
    <w:lvl w:ilvl="6" w:tplc="F10CE23C">
      <w:start w:val="1"/>
      <w:numFmt w:val="bullet"/>
      <w:lvlText w:val="•"/>
      <w:lvlJc w:val="left"/>
      <w:pPr>
        <w:ind w:left="6360" w:hanging="440"/>
      </w:pPr>
      <w:rPr>
        <w:rFonts w:hint="default"/>
      </w:rPr>
    </w:lvl>
    <w:lvl w:ilvl="7" w:tplc="AEA21794">
      <w:start w:val="1"/>
      <w:numFmt w:val="bullet"/>
      <w:lvlText w:val="•"/>
      <w:lvlJc w:val="left"/>
      <w:pPr>
        <w:ind w:left="7200" w:hanging="440"/>
      </w:pPr>
      <w:rPr>
        <w:rFonts w:hint="default"/>
      </w:rPr>
    </w:lvl>
    <w:lvl w:ilvl="8" w:tplc="1160E780">
      <w:start w:val="1"/>
      <w:numFmt w:val="bullet"/>
      <w:lvlText w:val="•"/>
      <w:lvlJc w:val="left"/>
      <w:pPr>
        <w:ind w:left="8040" w:hanging="440"/>
      </w:pPr>
      <w:rPr>
        <w:rFonts w:hint="default"/>
      </w:rPr>
    </w:lvl>
  </w:abstractNum>
  <w:num w:numId="1">
    <w:abstractNumId w:val="0"/>
  </w:num>
  <w:num w:numId="2">
    <w:abstractNumId w:val="7"/>
  </w:num>
  <w:num w:numId="3">
    <w:abstractNumId w:val="4"/>
  </w:num>
  <w:num w:numId="4">
    <w:abstractNumId w:val="6"/>
  </w:num>
  <w:num w:numId="5">
    <w:abstractNumId w:val="3"/>
  </w:num>
  <w:num w:numId="6">
    <w:abstractNumId w:val="2"/>
  </w:num>
  <w:num w:numId="7">
    <w:abstractNumId w:val="5"/>
  </w:num>
  <w:num w:numId="8">
    <w:abstractNumId w:val="8"/>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28B9"/>
    <w:rsid w:val="0000424B"/>
    <w:rsid w:val="000044E2"/>
    <w:rsid w:val="00004A35"/>
    <w:rsid w:val="00007379"/>
    <w:rsid w:val="00011266"/>
    <w:rsid w:val="00011D7E"/>
    <w:rsid w:val="00012459"/>
    <w:rsid w:val="00012798"/>
    <w:rsid w:val="000135C0"/>
    <w:rsid w:val="000158D2"/>
    <w:rsid w:val="000170E2"/>
    <w:rsid w:val="00020D12"/>
    <w:rsid w:val="000234EF"/>
    <w:rsid w:val="00025370"/>
    <w:rsid w:val="00025418"/>
    <w:rsid w:val="00025D41"/>
    <w:rsid w:val="000272B3"/>
    <w:rsid w:val="000278E7"/>
    <w:rsid w:val="00027A45"/>
    <w:rsid w:val="00027D63"/>
    <w:rsid w:val="00027F39"/>
    <w:rsid w:val="00032106"/>
    <w:rsid w:val="000327C1"/>
    <w:rsid w:val="00032DE2"/>
    <w:rsid w:val="0003387B"/>
    <w:rsid w:val="0004092D"/>
    <w:rsid w:val="00041994"/>
    <w:rsid w:val="00043E12"/>
    <w:rsid w:val="00050F6B"/>
    <w:rsid w:val="00052708"/>
    <w:rsid w:val="0005782B"/>
    <w:rsid w:val="00057E97"/>
    <w:rsid w:val="00060C3A"/>
    <w:rsid w:val="00061776"/>
    <w:rsid w:val="00066476"/>
    <w:rsid w:val="00066DCC"/>
    <w:rsid w:val="00066ED4"/>
    <w:rsid w:val="00072350"/>
    <w:rsid w:val="00072C8C"/>
    <w:rsid w:val="000733B5"/>
    <w:rsid w:val="00073C4A"/>
    <w:rsid w:val="00075076"/>
    <w:rsid w:val="00077A04"/>
    <w:rsid w:val="000808E9"/>
    <w:rsid w:val="0008157C"/>
    <w:rsid w:val="00081815"/>
    <w:rsid w:val="000822F8"/>
    <w:rsid w:val="00090C80"/>
    <w:rsid w:val="0009121A"/>
    <w:rsid w:val="000931C0"/>
    <w:rsid w:val="00096890"/>
    <w:rsid w:val="000970C1"/>
    <w:rsid w:val="000A34F4"/>
    <w:rsid w:val="000A54DE"/>
    <w:rsid w:val="000A74C2"/>
    <w:rsid w:val="000B09E9"/>
    <w:rsid w:val="000B175B"/>
    <w:rsid w:val="000B1788"/>
    <w:rsid w:val="000B2E33"/>
    <w:rsid w:val="000B3A0F"/>
    <w:rsid w:val="000B4EF7"/>
    <w:rsid w:val="000C037E"/>
    <w:rsid w:val="000C2C03"/>
    <w:rsid w:val="000C2D2E"/>
    <w:rsid w:val="000C2E06"/>
    <w:rsid w:val="000C6F58"/>
    <w:rsid w:val="000D0A22"/>
    <w:rsid w:val="000D10EA"/>
    <w:rsid w:val="000D1DCD"/>
    <w:rsid w:val="000D6F21"/>
    <w:rsid w:val="000D6FF3"/>
    <w:rsid w:val="000E0333"/>
    <w:rsid w:val="000E0415"/>
    <w:rsid w:val="000E0781"/>
    <w:rsid w:val="000E42FA"/>
    <w:rsid w:val="000E4A8B"/>
    <w:rsid w:val="000E567F"/>
    <w:rsid w:val="000E58AE"/>
    <w:rsid w:val="000F0193"/>
    <w:rsid w:val="000F43E6"/>
    <w:rsid w:val="000F4E65"/>
    <w:rsid w:val="000F554C"/>
    <w:rsid w:val="000F570E"/>
    <w:rsid w:val="000F577A"/>
    <w:rsid w:val="000F63C1"/>
    <w:rsid w:val="000F6751"/>
    <w:rsid w:val="000F76E4"/>
    <w:rsid w:val="000F7E69"/>
    <w:rsid w:val="00102F62"/>
    <w:rsid w:val="001037D9"/>
    <w:rsid w:val="001056A5"/>
    <w:rsid w:val="00107095"/>
    <w:rsid w:val="001103AA"/>
    <w:rsid w:val="001147FE"/>
    <w:rsid w:val="00117BAE"/>
    <w:rsid w:val="00125D7A"/>
    <w:rsid w:val="001306DD"/>
    <w:rsid w:val="00131840"/>
    <w:rsid w:val="00131AD4"/>
    <w:rsid w:val="0013235B"/>
    <w:rsid w:val="00132811"/>
    <w:rsid w:val="001416CF"/>
    <w:rsid w:val="00142286"/>
    <w:rsid w:val="001422E8"/>
    <w:rsid w:val="001425A7"/>
    <w:rsid w:val="00142B8E"/>
    <w:rsid w:val="0015431F"/>
    <w:rsid w:val="001548E2"/>
    <w:rsid w:val="00160DFC"/>
    <w:rsid w:val="00161364"/>
    <w:rsid w:val="00164895"/>
    <w:rsid w:val="001648B2"/>
    <w:rsid w:val="00165F3A"/>
    <w:rsid w:val="0017277A"/>
    <w:rsid w:val="0017295C"/>
    <w:rsid w:val="00177907"/>
    <w:rsid w:val="00183968"/>
    <w:rsid w:val="00187713"/>
    <w:rsid w:val="00187999"/>
    <w:rsid w:val="00195980"/>
    <w:rsid w:val="00196780"/>
    <w:rsid w:val="00196CDF"/>
    <w:rsid w:val="001A079F"/>
    <w:rsid w:val="001A09DE"/>
    <w:rsid w:val="001A535E"/>
    <w:rsid w:val="001A660B"/>
    <w:rsid w:val="001A6686"/>
    <w:rsid w:val="001A723C"/>
    <w:rsid w:val="001A7E7E"/>
    <w:rsid w:val="001B19E3"/>
    <w:rsid w:val="001B3BE6"/>
    <w:rsid w:val="001B4041"/>
    <w:rsid w:val="001B4B04"/>
    <w:rsid w:val="001C24F9"/>
    <w:rsid w:val="001C3094"/>
    <w:rsid w:val="001C657F"/>
    <w:rsid w:val="001C6663"/>
    <w:rsid w:val="001C7895"/>
    <w:rsid w:val="001D0C8C"/>
    <w:rsid w:val="001D26DF"/>
    <w:rsid w:val="001D350E"/>
    <w:rsid w:val="001D384D"/>
    <w:rsid w:val="001D3A03"/>
    <w:rsid w:val="001D5C81"/>
    <w:rsid w:val="001E10EC"/>
    <w:rsid w:val="001E1396"/>
    <w:rsid w:val="001E3616"/>
    <w:rsid w:val="001E43B5"/>
    <w:rsid w:val="001E48A9"/>
    <w:rsid w:val="001E4D37"/>
    <w:rsid w:val="001E5DBC"/>
    <w:rsid w:val="001F05BD"/>
    <w:rsid w:val="001F10A2"/>
    <w:rsid w:val="00200101"/>
    <w:rsid w:val="00202561"/>
    <w:rsid w:val="00202DA8"/>
    <w:rsid w:val="00204C6A"/>
    <w:rsid w:val="00210947"/>
    <w:rsid w:val="00210CE0"/>
    <w:rsid w:val="002117EE"/>
    <w:rsid w:val="00211E0B"/>
    <w:rsid w:val="0021282F"/>
    <w:rsid w:val="00212A6E"/>
    <w:rsid w:val="00215A85"/>
    <w:rsid w:val="00215AB3"/>
    <w:rsid w:val="00215C91"/>
    <w:rsid w:val="00217082"/>
    <w:rsid w:val="0022443E"/>
    <w:rsid w:val="0022501D"/>
    <w:rsid w:val="002272F0"/>
    <w:rsid w:val="002275A8"/>
    <w:rsid w:val="002313C7"/>
    <w:rsid w:val="00231C9F"/>
    <w:rsid w:val="0023210C"/>
    <w:rsid w:val="00233913"/>
    <w:rsid w:val="00233A03"/>
    <w:rsid w:val="002351E1"/>
    <w:rsid w:val="00245A6C"/>
    <w:rsid w:val="002512B7"/>
    <w:rsid w:val="00252B63"/>
    <w:rsid w:val="002531D2"/>
    <w:rsid w:val="00256036"/>
    <w:rsid w:val="002569AF"/>
    <w:rsid w:val="002579AB"/>
    <w:rsid w:val="00260A1F"/>
    <w:rsid w:val="00262CD0"/>
    <w:rsid w:val="00267F5F"/>
    <w:rsid w:val="002722DB"/>
    <w:rsid w:val="00273A0F"/>
    <w:rsid w:val="002743EE"/>
    <w:rsid w:val="002850BF"/>
    <w:rsid w:val="00286B4D"/>
    <w:rsid w:val="00287EBE"/>
    <w:rsid w:val="00293346"/>
    <w:rsid w:val="00295324"/>
    <w:rsid w:val="00296605"/>
    <w:rsid w:val="002A01B3"/>
    <w:rsid w:val="002A5DF1"/>
    <w:rsid w:val="002A6AEF"/>
    <w:rsid w:val="002B0E68"/>
    <w:rsid w:val="002B200E"/>
    <w:rsid w:val="002B3F1E"/>
    <w:rsid w:val="002B798E"/>
    <w:rsid w:val="002B7F57"/>
    <w:rsid w:val="002C02B6"/>
    <w:rsid w:val="002C032D"/>
    <w:rsid w:val="002C5BCD"/>
    <w:rsid w:val="002D1A3C"/>
    <w:rsid w:val="002D2787"/>
    <w:rsid w:val="002D3AF5"/>
    <w:rsid w:val="002D46DB"/>
    <w:rsid w:val="002D6FCE"/>
    <w:rsid w:val="002E51ED"/>
    <w:rsid w:val="002F039C"/>
    <w:rsid w:val="002F0E52"/>
    <w:rsid w:val="002F14CA"/>
    <w:rsid w:val="002F175C"/>
    <w:rsid w:val="002F1A96"/>
    <w:rsid w:val="002F20C2"/>
    <w:rsid w:val="002F4F83"/>
    <w:rsid w:val="002F5188"/>
    <w:rsid w:val="002F62A5"/>
    <w:rsid w:val="002F781E"/>
    <w:rsid w:val="0030138D"/>
    <w:rsid w:val="00305BDC"/>
    <w:rsid w:val="00306124"/>
    <w:rsid w:val="0030729F"/>
    <w:rsid w:val="00310E95"/>
    <w:rsid w:val="003114D5"/>
    <w:rsid w:val="0031498C"/>
    <w:rsid w:val="003170E1"/>
    <w:rsid w:val="00320E07"/>
    <w:rsid w:val="003229D8"/>
    <w:rsid w:val="0032316E"/>
    <w:rsid w:val="003257EC"/>
    <w:rsid w:val="00327502"/>
    <w:rsid w:val="0033033E"/>
    <w:rsid w:val="00330FB4"/>
    <w:rsid w:val="00335D8E"/>
    <w:rsid w:val="00344325"/>
    <w:rsid w:val="00345534"/>
    <w:rsid w:val="003464C6"/>
    <w:rsid w:val="00346B4A"/>
    <w:rsid w:val="0034775A"/>
    <w:rsid w:val="00347B23"/>
    <w:rsid w:val="00351F3E"/>
    <w:rsid w:val="00352709"/>
    <w:rsid w:val="00354AA8"/>
    <w:rsid w:val="00356C9B"/>
    <w:rsid w:val="00361609"/>
    <w:rsid w:val="003637CE"/>
    <w:rsid w:val="0036645D"/>
    <w:rsid w:val="00367567"/>
    <w:rsid w:val="003705C9"/>
    <w:rsid w:val="00370EC5"/>
    <w:rsid w:val="00371178"/>
    <w:rsid w:val="003719B4"/>
    <w:rsid w:val="0037204F"/>
    <w:rsid w:val="003730DD"/>
    <w:rsid w:val="003737F3"/>
    <w:rsid w:val="00375925"/>
    <w:rsid w:val="0038336C"/>
    <w:rsid w:val="00384557"/>
    <w:rsid w:val="00385893"/>
    <w:rsid w:val="003871B8"/>
    <w:rsid w:val="003871ED"/>
    <w:rsid w:val="003937A3"/>
    <w:rsid w:val="00395804"/>
    <w:rsid w:val="003A1534"/>
    <w:rsid w:val="003A1602"/>
    <w:rsid w:val="003A2B61"/>
    <w:rsid w:val="003A4C72"/>
    <w:rsid w:val="003A6145"/>
    <w:rsid w:val="003A6810"/>
    <w:rsid w:val="003B04AA"/>
    <w:rsid w:val="003B3CE4"/>
    <w:rsid w:val="003B669C"/>
    <w:rsid w:val="003C02AB"/>
    <w:rsid w:val="003C2CC4"/>
    <w:rsid w:val="003C2DAB"/>
    <w:rsid w:val="003D0290"/>
    <w:rsid w:val="003D325C"/>
    <w:rsid w:val="003D46D5"/>
    <w:rsid w:val="003D4B23"/>
    <w:rsid w:val="003D4F88"/>
    <w:rsid w:val="003E03B8"/>
    <w:rsid w:val="003E2A82"/>
    <w:rsid w:val="003E3626"/>
    <w:rsid w:val="003E6D09"/>
    <w:rsid w:val="003E6F7E"/>
    <w:rsid w:val="003E71E8"/>
    <w:rsid w:val="003E7270"/>
    <w:rsid w:val="003E7861"/>
    <w:rsid w:val="003F1595"/>
    <w:rsid w:val="003F15B6"/>
    <w:rsid w:val="003F3A40"/>
    <w:rsid w:val="003F4B5B"/>
    <w:rsid w:val="00400ACF"/>
    <w:rsid w:val="00400D43"/>
    <w:rsid w:val="004026D8"/>
    <w:rsid w:val="00405473"/>
    <w:rsid w:val="00410C89"/>
    <w:rsid w:val="00411225"/>
    <w:rsid w:val="0041418E"/>
    <w:rsid w:val="00414774"/>
    <w:rsid w:val="00414931"/>
    <w:rsid w:val="00414B35"/>
    <w:rsid w:val="004152C2"/>
    <w:rsid w:val="0042059A"/>
    <w:rsid w:val="00421210"/>
    <w:rsid w:val="004230CF"/>
    <w:rsid w:val="00426B9B"/>
    <w:rsid w:val="00431987"/>
    <w:rsid w:val="004325CB"/>
    <w:rsid w:val="00435D83"/>
    <w:rsid w:val="00436B33"/>
    <w:rsid w:val="004377EF"/>
    <w:rsid w:val="00442A83"/>
    <w:rsid w:val="00443F10"/>
    <w:rsid w:val="0044729D"/>
    <w:rsid w:val="00452D23"/>
    <w:rsid w:val="0045495B"/>
    <w:rsid w:val="00454B7D"/>
    <w:rsid w:val="0045741F"/>
    <w:rsid w:val="00466B4C"/>
    <w:rsid w:val="00473963"/>
    <w:rsid w:val="0048091B"/>
    <w:rsid w:val="00484B45"/>
    <w:rsid w:val="00485AE3"/>
    <w:rsid w:val="00487488"/>
    <w:rsid w:val="0049219B"/>
    <w:rsid w:val="00492717"/>
    <w:rsid w:val="00494022"/>
    <w:rsid w:val="004A28A7"/>
    <w:rsid w:val="004A5201"/>
    <w:rsid w:val="004B0A86"/>
    <w:rsid w:val="004B468A"/>
    <w:rsid w:val="004B58E1"/>
    <w:rsid w:val="004C14B4"/>
    <w:rsid w:val="004C1E78"/>
    <w:rsid w:val="004C21EA"/>
    <w:rsid w:val="004C3C09"/>
    <w:rsid w:val="004C63DE"/>
    <w:rsid w:val="004D4206"/>
    <w:rsid w:val="004D5BEC"/>
    <w:rsid w:val="004D704F"/>
    <w:rsid w:val="004E362A"/>
    <w:rsid w:val="004E64A6"/>
    <w:rsid w:val="004F23ED"/>
    <w:rsid w:val="004F38C9"/>
    <w:rsid w:val="004F3C13"/>
    <w:rsid w:val="004F4A88"/>
    <w:rsid w:val="004F5078"/>
    <w:rsid w:val="004F52B0"/>
    <w:rsid w:val="005026D6"/>
    <w:rsid w:val="005057ED"/>
    <w:rsid w:val="00506235"/>
    <w:rsid w:val="005066D1"/>
    <w:rsid w:val="0050688E"/>
    <w:rsid w:val="00512AEE"/>
    <w:rsid w:val="00514B1E"/>
    <w:rsid w:val="00516BF2"/>
    <w:rsid w:val="0051742A"/>
    <w:rsid w:val="00517950"/>
    <w:rsid w:val="00517BCC"/>
    <w:rsid w:val="0052136D"/>
    <w:rsid w:val="00525395"/>
    <w:rsid w:val="00525B51"/>
    <w:rsid w:val="00527386"/>
    <w:rsid w:val="0052775E"/>
    <w:rsid w:val="00530461"/>
    <w:rsid w:val="005314DA"/>
    <w:rsid w:val="005314DE"/>
    <w:rsid w:val="00534A84"/>
    <w:rsid w:val="00534E13"/>
    <w:rsid w:val="0054049B"/>
    <w:rsid w:val="005409DC"/>
    <w:rsid w:val="00541729"/>
    <w:rsid w:val="005420F2"/>
    <w:rsid w:val="00542175"/>
    <w:rsid w:val="0054394B"/>
    <w:rsid w:val="00543DAA"/>
    <w:rsid w:val="005468CC"/>
    <w:rsid w:val="00550088"/>
    <w:rsid w:val="00550D3B"/>
    <w:rsid w:val="00552689"/>
    <w:rsid w:val="00553ACF"/>
    <w:rsid w:val="00557F72"/>
    <w:rsid w:val="005628B6"/>
    <w:rsid w:val="0056296B"/>
    <w:rsid w:val="00562F4D"/>
    <w:rsid w:val="00564714"/>
    <w:rsid w:val="00564AC2"/>
    <w:rsid w:val="00565F39"/>
    <w:rsid w:val="0056624F"/>
    <w:rsid w:val="00567C7A"/>
    <w:rsid w:val="005709D6"/>
    <w:rsid w:val="005722B3"/>
    <w:rsid w:val="0057253C"/>
    <w:rsid w:val="00572A27"/>
    <w:rsid w:val="00573FCA"/>
    <w:rsid w:val="00577913"/>
    <w:rsid w:val="00580A80"/>
    <w:rsid w:val="005848B3"/>
    <w:rsid w:val="0058739B"/>
    <w:rsid w:val="00590DD6"/>
    <w:rsid w:val="00590F87"/>
    <w:rsid w:val="00592C4A"/>
    <w:rsid w:val="005945B3"/>
    <w:rsid w:val="00595536"/>
    <w:rsid w:val="0059616A"/>
    <w:rsid w:val="00596F58"/>
    <w:rsid w:val="005A00B3"/>
    <w:rsid w:val="005A0415"/>
    <w:rsid w:val="005A3B8B"/>
    <w:rsid w:val="005A533E"/>
    <w:rsid w:val="005A7965"/>
    <w:rsid w:val="005B269A"/>
    <w:rsid w:val="005B3CC1"/>
    <w:rsid w:val="005B3DB3"/>
    <w:rsid w:val="005B615D"/>
    <w:rsid w:val="005B6F6B"/>
    <w:rsid w:val="005C06A9"/>
    <w:rsid w:val="005C2714"/>
    <w:rsid w:val="005C27A1"/>
    <w:rsid w:val="005C2F93"/>
    <w:rsid w:val="005C34CB"/>
    <w:rsid w:val="005D144B"/>
    <w:rsid w:val="005D3092"/>
    <w:rsid w:val="005D542D"/>
    <w:rsid w:val="005D5721"/>
    <w:rsid w:val="005D59F1"/>
    <w:rsid w:val="005D5AF5"/>
    <w:rsid w:val="005E06C2"/>
    <w:rsid w:val="005E1214"/>
    <w:rsid w:val="005E7646"/>
    <w:rsid w:val="005E783D"/>
    <w:rsid w:val="005F0943"/>
    <w:rsid w:val="005F0D65"/>
    <w:rsid w:val="005F495B"/>
    <w:rsid w:val="005F5699"/>
    <w:rsid w:val="005F7717"/>
    <w:rsid w:val="005F7B75"/>
    <w:rsid w:val="005F7F93"/>
    <w:rsid w:val="006001EE"/>
    <w:rsid w:val="00604B3B"/>
    <w:rsid w:val="00605042"/>
    <w:rsid w:val="00610058"/>
    <w:rsid w:val="0061019E"/>
    <w:rsid w:val="00611FC4"/>
    <w:rsid w:val="00613C04"/>
    <w:rsid w:val="00614352"/>
    <w:rsid w:val="00614C50"/>
    <w:rsid w:val="006165AC"/>
    <w:rsid w:val="006176FB"/>
    <w:rsid w:val="00623567"/>
    <w:rsid w:val="00624434"/>
    <w:rsid w:val="006274AD"/>
    <w:rsid w:val="00627FB0"/>
    <w:rsid w:val="006303C8"/>
    <w:rsid w:val="006311B4"/>
    <w:rsid w:val="00633C9B"/>
    <w:rsid w:val="00635355"/>
    <w:rsid w:val="00635C5A"/>
    <w:rsid w:val="00637AA4"/>
    <w:rsid w:val="00640B26"/>
    <w:rsid w:val="00643909"/>
    <w:rsid w:val="00647574"/>
    <w:rsid w:val="00647FA6"/>
    <w:rsid w:val="00652C1E"/>
    <w:rsid w:val="00652D0A"/>
    <w:rsid w:val="00656300"/>
    <w:rsid w:val="00657735"/>
    <w:rsid w:val="00657971"/>
    <w:rsid w:val="00660249"/>
    <w:rsid w:val="00662BB6"/>
    <w:rsid w:val="00671648"/>
    <w:rsid w:val="006719C9"/>
    <w:rsid w:val="00672C74"/>
    <w:rsid w:val="006743E9"/>
    <w:rsid w:val="00674D88"/>
    <w:rsid w:val="00676701"/>
    <w:rsid w:val="00676D2D"/>
    <w:rsid w:val="0067747C"/>
    <w:rsid w:val="0068071A"/>
    <w:rsid w:val="00682284"/>
    <w:rsid w:val="006838C8"/>
    <w:rsid w:val="00684C21"/>
    <w:rsid w:val="00685FA6"/>
    <w:rsid w:val="0068743C"/>
    <w:rsid w:val="00692BBE"/>
    <w:rsid w:val="00692FAF"/>
    <w:rsid w:val="006942B2"/>
    <w:rsid w:val="00694AE6"/>
    <w:rsid w:val="0069763E"/>
    <w:rsid w:val="006A0E74"/>
    <w:rsid w:val="006B03C2"/>
    <w:rsid w:val="006B18E9"/>
    <w:rsid w:val="006B212D"/>
    <w:rsid w:val="006C0284"/>
    <w:rsid w:val="006C032C"/>
    <w:rsid w:val="006C14E4"/>
    <w:rsid w:val="006C3AD1"/>
    <w:rsid w:val="006C7E2F"/>
    <w:rsid w:val="006D1282"/>
    <w:rsid w:val="006D1770"/>
    <w:rsid w:val="006D2B97"/>
    <w:rsid w:val="006D37AF"/>
    <w:rsid w:val="006D3D55"/>
    <w:rsid w:val="006D451A"/>
    <w:rsid w:val="006D51D0"/>
    <w:rsid w:val="006D59D0"/>
    <w:rsid w:val="006D752F"/>
    <w:rsid w:val="006D79C3"/>
    <w:rsid w:val="006E0D35"/>
    <w:rsid w:val="006E3134"/>
    <w:rsid w:val="006E37EC"/>
    <w:rsid w:val="006E564B"/>
    <w:rsid w:val="006E7191"/>
    <w:rsid w:val="006E7C79"/>
    <w:rsid w:val="006F102B"/>
    <w:rsid w:val="006F1A0F"/>
    <w:rsid w:val="006F2393"/>
    <w:rsid w:val="006F2B8E"/>
    <w:rsid w:val="006F7DA9"/>
    <w:rsid w:val="007027BC"/>
    <w:rsid w:val="00703577"/>
    <w:rsid w:val="00705625"/>
    <w:rsid w:val="00707F36"/>
    <w:rsid w:val="00711F00"/>
    <w:rsid w:val="00714D98"/>
    <w:rsid w:val="00721E76"/>
    <w:rsid w:val="00723A42"/>
    <w:rsid w:val="00724A27"/>
    <w:rsid w:val="0072632A"/>
    <w:rsid w:val="007327D5"/>
    <w:rsid w:val="00734BA3"/>
    <w:rsid w:val="00735906"/>
    <w:rsid w:val="00735CA1"/>
    <w:rsid w:val="00735D81"/>
    <w:rsid w:val="00735F3F"/>
    <w:rsid w:val="00740255"/>
    <w:rsid w:val="0074266A"/>
    <w:rsid w:val="007462DF"/>
    <w:rsid w:val="00746F1E"/>
    <w:rsid w:val="00747714"/>
    <w:rsid w:val="00751147"/>
    <w:rsid w:val="00751DF6"/>
    <w:rsid w:val="0075327A"/>
    <w:rsid w:val="00754AAA"/>
    <w:rsid w:val="00754CF2"/>
    <w:rsid w:val="007629C8"/>
    <w:rsid w:val="00764271"/>
    <w:rsid w:val="00767016"/>
    <w:rsid w:val="007670A3"/>
    <w:rsid w:val="00773C7A"/>
    <w:rsid w:val="00774987"/>
    <w:rsid w:val="007812BA"/>
    <w:rsid w:val="00781C83"/>
    <w:rsid w:val="00781CF4"/>
    <w:rsid w:val="00782F40"/>
    <w:rsid w:val="0078300D"/>
    <w:rsid w:val="00786282"/>
    <w:rsid w:val="00787E5D"/>
    <w:rsid w:val="007925AE"/>
    <w:rsid w:val="00793B0D"/>
    <w:rsid w:val="00795F7A"/>
    <w:rsid w:val="007963A1"/>
    <w:rsid w:val="007A1163"/>
    <w:rsid w:val="007A6120"/>
    <w:rsid w:val="007A7BD9"/>
    <w:rsid w:val="007B4066"/>
    <w:rsid w:val="007B4772"/>
    <w:rsid w:val="007B6BA5"/>
    <w:rsid w:val="007C203A"/>
    <w:rsid w:val="007C3390"/>
    <w:rsid w:val="007C3FFB"/>
    <w:rsid w:val="007C4F4B"/>
    <w:rsid w:val="007C784F"/>
    <w:rsid w:val="007C7C57"/>
    <w:rsid w:val="007D4BC9"/>
    <w:rsid w:val="007D5A1F"/>
    <w:rsid w:val="007D6DFC"/>
    <w:rsid w:val="007D72CF"/>
    <w:rsid w:val="007E0B2D"/>
    <w:rsid w:val="007E0CF9"/>
    <w:rsid w:val="007E20B4"/>
    <w:rsid w:val="007E7858"/>
    <w:rsid w:val="007F1247"/>
    <w:rsid w:val="007F1472"/>
    <w:rsid w:val="007F2C04"/>
    <w:rsid w:val="007F3A2C"/>
    <w:rsid w:val="007F466F"/>
    <w:rsid w:val="007F4DB1"/>
    <w:rsid w:val="007F5EA4"/>
    <w:rsid w:val="007F6611"/>
    <w:rsid w:val="007F69D9"/>
    <w:rsid w:val="007F7246"/>
    <w:rsid w:val="008019D0"/>
    <w:rsid w:val="00803EEC"/>
    <w:rsid w:val="00806AAA"/>
    <w:rsid w:val="00807810"/>
    <w:rsid w:val="008105B8"/>
    <w:rsid w:val="008111BA"/>
    <w:rsid w:val="00812971"/>
    <w:rsid w:val="00812B5F"/>
    <w:rsid w:val="00816972"/>
    <w:rsid w:val="00816B79"/>
    <w:rsid w:val="00820AED"/>
    <w:rsid w:val="008216A5"/>
    <w:rsid w:val="00821A8D"/>
    <w:rsid w:val="008242D7"/>
    <w:rsid w:val="00824F1B"/>
    <w:rsid w:val="00825427"/>
    <w:rsid w:val="00825659"/>
    <w:rsid w:val="008257B1"/>
    <w:rsid w:val="00834230"/>
    <w:rsid w:val="00834586"/>
    <w:rsid w:val="00834953"/>
    <w:rsid w:val="008349DB"/>
    <w:rsid w:val="008368EF"/>
    <w:rsid w:val="008375F8"/>
    <w:rsid w:val="008403E5"/>
    <w:rsid w:val="0084126F"/>
    <w:rsid w:val="008422D6"/>
    <w:rsid w:val="00843767"/>
    <w:rsid w:val="00845C88"/>
    <w:rsid w:val="00846859"/>
    <w:rsid w:val="00851A86"/>
    <w:rsid w:val="0085241F"/>
    <w:rsid w:val="0085363B"/>
    <w:rsid w:val="008538BE"/>
    <w:rsid w:val="008639E9"/>
    <w:rsid w:val="00864281"/>
    <w:rsid w:val="008655A1"/>
    <w:rsid w:val="008678D8"/>
    <w:rsid w:val="008679D9"/>
    <w:rsid w:val="00871051"/>
    <w:rsid w:val="00871A89"/>
    <w:rsid w:val="00875719"/>
    <w:rsid w:val="00875FE5"/>
    <w:rsid w:val="008809FB"/>
    <w:rsid w:val="00883A67"/>
    <w:rsid w:val="00887066"/>
    <w:rsid w:val="0089058F"/>
    <w:rsid w:val="00890A1E"/>
    <w:rsid w:val="00891621"/>
    <w:rsid w:val="00891BAF"/>
    <w:rsid w:val="00891C9B"/>
    <w:rsid w:val="008949DE"/>
    <w:rsid w:val="00895812"/>
    <w:rsid w:val="008979B1"/>
    <w:rsid w:val="00897F5E"/>
    <w:rsid w:val="008A1DB2"/>
    <w:rsid w:val="008A5EE1"/>
    <w:rsid w:val="008A6B25"/>
    <w:rsid w:val="008A6C4F"/>
    <w:rsid w:val="008B2335"/>
    <w:rsid w:val="008B25E5"/>
    <w:rsid w:val="008B2729"/>
    <w:rsid w:val="008B46A2"/>
    <w:rsid w:val="008B49AF"/>
    <w:rsid w:val="008B5DEA"/>
    <w:rsid w:val="008B70B7"/>
    <w:rsid w:val="008B7486"/>
    <w:rsid w:val="008C0F2A"/>
    <w:rsid w:val="008C2DE0"/>
    <w:rsid w:val="008C4EDC"/>
    <w:rsid w:val="008D1459"/>
    <w:rsid w:val="008D6D9F"/>
    <w:rsid w:val="008E0678"/>
    <w:rsid w:val="008E0924"/>
    <w:rsid w:val="008E4C4F"/>
    <w:rsid w:val="008E5583"/>
    <w:rsid w:val="008E7619"/>
    <w:rsid w:val="008E78C6"/>
    <w:rsid w:val="0090237B"/>
    <w:rsid w:val="00903876"/>
    <w:rsid w:val="00905A98"/>
    <w:rsid w:val="00905FDE"/>
    <w:rsid w:val="0090604B"/>
    <w:rsid w:val="00907849"/>
    <w:rsid w:val="00910F40"/>
    <w:rsid w:val="00912C08"/>
    <w:rsid w:val="00913616"/>
    <w:rsid w:val="00913F5E"/>
    <w:rsid w:val="00915B86"/>
    <w:rsid w:val="009169B3"/>
    <w:rsid w:val="00917CC6"/>
    <w:rsid w:val="00921054"/>
    <w:rsid w:val="00921178"/>
    <w:rsid w:val="009223CA"/>
    <w:rsid w:val="00924E16"/>
    <w:rsid w:val="00925327"/>
    <w:rsid w:val="00927642"/>
    <w:rsid w:val="00927EAE"/>
    <w:rsid w:val="0093354E"/>
    <w:rsid w:val="00934A78"/>
    <w:rsid w:val="00940F93"/>
    <w:rsid w:val="00941AB8"/>
    <w:rsid w:val="00941DF5"/>
    <w:rsid w:val="00943A59"/>
    <w:rsid w:val="009466AB"/>
    <w:rsid w:val="00946E8F"/>
    <w:rsid w:val="0095014B"/>
    <w:rsid w:val="00951EAC"/>
    <w:rsid w:val="0095347F"/>
    <w:rsid w:val="0095544B"/>
    <w:rsid w:val="00955DC8"/>
    <w:rsid w:val="009568BE"/>
    <w:rsid w:val="00957EE8"/>
    <w:rsid w:val="00962620"/>
    <w:rsid w:val="00967F59"/>
    <w:rsid w:val="009701C4"/>
    <w:rsid w:val="009735A8"/>
    <w:rsid w:val="00973C96"/>
    <w:rsid w:val="009749D9"/>
    <w:rsid w:val="00974EF5"/>
    <w:rsid w:val="00975E5F"/>
    <w:rsid w:val="009760F3"/>
    <w:rsid w:val="00976389"/>
    <w:rsid w:val="00976622"/>
    <w:rsid w:val="00977744"/>
    <w:rsid w:val="00981069"/>
    <w:rsid w:val="009812E7"/>
    <w:rsid w:val="00982B0E"/>
    <w:rsid w:val="0098462D"/>
    <w:rsid w:val="009902B4"/>
    <w:rsid w:val="009909F5"/>
    <w:rsid w:val="00990E47"/>
    <w:rsid w:val="00991B11"/>
    <w:rsid w:val="009A0E8D"/>
    <w:rsid w:val="009A46D6"/>
    <w:rsid w:val="009B26E7"/>
    <w:rsid w:val="009B5128"/>
    <w:rsid w:val="009B6379"/>
    <w:rsid w:val="009C1EF3"/>
    <w:rsid w:val="009C3A73"/>
    <w:rsid w:val="009C3F06"/>
    <w:rsid w:val="009C4B0C"/>
    <w:rsid w:val="009C718D"/>
    <w:rsid w:val="009C7FF3"/>
    <w:rsid w:val="009D0340"/>
    <w:rsid w:val="009E028C"/>
    <w:rsid w:val="009E081C"/>
    <w:rsid w:val="009E2F54"/>
    <w:rsid w:val="009E30DF"/>
    <w:rsid w:val="009E71CC"/>
    <w:rsid w:val="009E7D26"/>
    <w:rsid w:val="009F2AC1"/>
    <w:rsid w:val="009F5C78"/>
    <w:rsid w:val="009F5D91"/>
    <w:rsid w:val="009F6788"/>
    <w:rsid w:val="009F7285"/>
    <w:rsid w:val="00A00A3F"/>
    <w:rsid w:val="00A01489"/>
    <w:rsid w:val="00A01F9D"/>
    <w:rsid w:val="00A030AB"/>
    <w:rsid w:val="00A031F9"/>
    <w:rsid w:val="00A04690"/>
    <w:rsid w:val="00A04A60"/>
    <w:rsid w:val="00A04CC4"/>
    <w:rsid w:val="00A118BC"/>
    <w:rsid w:val="00A11A5A"/>
    <w:rsid w:val="00A1776E"/>
    <w:rsid w:val="00A230A0"/>
    <w:rsid w:val="00A262B7"/>
    <w:rsid w:val="00A27230"/>
    <w:rsid w:val="00A27C74"/>
    <w:rsid w:val="00A31A46"/>
    <w:rsid w:val="00A31B81"/>
    <w:rsid w:val="00A338F1"/>
    <w:rsid w:val="00A36C31"/>
    <w:rsid w:val="00A371A5"/>
    <w:rsid w:val="00A37DD8"/>
    <w:rsid w:val="00A4211E"/>
    <w:rsid w:val="00A42BB5"/>
    <w:rsid w:val="00A44615"/>
    <w:rsid w:val="00A47396"/>
    <w:rsid w:val="00A531E3"/>
    <w:rsid w:val="00A55F8F"/>
    <w:rsid w:val="00A61A6D"/>
    <w:rsid w:val="00A61AF5"/>
    <w:rsid w:val="00A63164"/>
    <w:rsid w:val="00A65CFD"/>
    <w:rsid w:val="00A66440"/>
    <w:rsid w:val="00A710E2"/>
    <w:rsid w:val="00A72F22"/>
    <w:rsid w:val="00A7360F"/>
    <w:rsid w:val="00A73A5A"/>
    <w:rsid w:val="00A748A6"/>
    <w:rsid w:val="00A75355"/>
    <w:rsid w:val="00A769F4"/>
    <w:rsid w:val="00A776B4"/>
    <w:rsid w:val="00A81F6F"/>
    <w:rsid w:val="00A83EC4"/>
    <w:rsid w:val="00A8771D"/>
    <w:rsid w:val="00A935F7"/>
    <w:rsid w:val="00A94361"/>
    <w:rsid w:val="00A9442B"/>
    <w:rsid w:val="00AA293C"/>
    <w:rsid w:val="00AA2D0D"/>
    <w:rsid w:val="00AB0511"/>
    <w:rsid w:val="00AB0AA1"/>
    <w:rsid w:val="00AB19FA"/>
    <w:rsid w:val="00AB7F4B"/>
    <w:rsid w:val="00AC1844"/>
    <w:rsid w:val="00AC2F52"/>
    <w:rsid w:val="00AC3A79"/>
    <w:rsid w:val="00AC46F2"/>
    <w:rsid w:val="00AC4840"/>
    <w:rsid w:val="00AC6290"/>
    <w:rsid w:val="00AD20E9"/>
    <w:rsid w:val="00AD25F0"/>
    <w:rsid w:val="00AD46B8"/>
    <w:rsid w:val="00AD64B6"/>
    <w:rsid w:val="00AD6967"/>
    <w:rsid w:val="00AD731D"/>
    <w:rsid w:val="00AE62E2"/>
    <w:rsid w:val="00AE65AB"/>
    <w:rsid w:val="00AF1A44"/>
    <w:rsid w:val="00AF25C3"/>
    <w:rsid w:val="00AF400F"/>
    <w:rsid w:val="00AF5CCF"/>
    <w:rsid w:val="00AF622C"/>
    <w:rsid w:val="00AF72A3"/>
    <w:rsid w:val="00AF72D2"/>
    <w:rsid w:val="00B009F7"/>
    <w:rsid w:val="00B0282C"/>
    <w:rsid w:val="00B02912"/>
    <w:rsid w:val="00B04039"/>
    <w:rsid w:val="00B04543"/>
    <w:rsid w:val="00B10BFF"/>
    <w:rsid w:val="00B13E9B"/>
    <w:rsid w:val="00B2160A"/>
    <w:rsid w:val="00B228F7"/>
    <w:rsid w:val="00B26FBC"/>
    <w:rsid w:val="00B30179"/>
    <w:rsid w:val="00B312B7"/>
    <w:rsid w:val="00B32FC9"/>
    <w:rsid w:val="00B33280"/>
    <w:rsid w:val="00B339A7"/>
    <w:rsid w:val="00B40DC6"/>
    <w:rsid w:val="00B41ACB"/>
    <w:rsid w:val="00B43A0B"/>
    <w:rsid w:val="00B5420F"/>
    <w:rsid w:val="00B54B55"/>
    <w:rsid w:val="00B55866"/>
    <w:rsid w:val="00B56E4A"/>
    <w:rsid w:val="00B56E9C"/>
    <w:rsid w:val="00B56EE3"/>
    <w:rsid w:val="00B60748"/>
    <w:rsid w:val="00B62FF7"/>
    <w:rsid w:val="00B64B1F"/>
    <w:rsid w:val="00B6553F"/>
    <w:rsid w:val="00B66B46"/>
    <w:rsid w:val="00B66E5E"/>
    <w:rsid w:val="00B67E5A"/>
    <w:rsid w:val="00B720E2"/>
    <w:rsid w:val="00B72A18"/>
    <w:rsid w:val="00B77D05"/>
    <w:rsid w:val="00B81206"/>
    <w:rsid w:val="00B81E12"/>
    <w:rsid w:val="00B836E5"/>
    <w:rsid w:val="00B83A07"/>
    <w:rsid w:val="00B83AC6"/>
    <w:rsid w:val="00B857DE"/>
    <w:rsid w:val="00B858A3"/>
    <w:rsid w:val="00B9067B"/>
    <w:rsid w:val="00B90E4E"/>
    <w:rsid w:val="00B94491"/>
    <w:rsid w:val="00B97856"/>
    <w:rsid w:val="00B97B69"/>
    <w:rsid w:val="00BA0AF1"/>
    <w:rsid w:val="00BA7C11"/>
    <w:rsid w:val="00BB1B22"/>
    <w:rsid w:val="00BB22D5"/>
    <w:rsid w:val="00BB27FA"/>
    <w:rsid w:val="00BB2907"/>
    <w:rsid w:val="00BB4D4C"/>
    <w:rsid w:val="00BB648B"/>
    <w:rsid w:val="00BB6B53"/>
    <w:rsid w:val="00BB6D32"/>
    <w:rsid w:val="00BC01E3"/>
    <w:rsid w:val="00BC02CC"/>
    <w:rsid w:val="00BC298A"/>
    <w:rsid w:val="00BC2C23"/>
    <w:rsid w:val="00BC48F3"/>
    <w:rsid w:val="00BC6FBE"/>
    <w:rsid w:val="00BC74E9"/>
    <w:rsid w:val="00BD2292"/>
    <w:rsid w:val="00BD2E18"/>
    <w:rsid w:val="00BD39E9"/>
    <w:rsid w:val="00BD5CD5"/>
    <w:rsid w:val="00BD6071"/>
    <w:rsid w:val="00BE0B12"/>
    <w:rsid w:val="00BE1702"/>
    <w:rsid w:val="00BE2C31"/>
    <w:rsid w:val="00BF2072"/>
    <w:rsid w:val="00BF3B1D"/>
    <w:rsid w:val="00BF3D9D"/>
    <w:rsid w:val="00BF5887"/>
    <w:rsid w:val="00BF5C3C"/>
    <w:rsid w:val="00BF68A8"/>
    <w:rsid w:val="00C053A4"/>
    <w:rsid w:val="00C07E4B"/>
    <w:rsid w:val="00C11207"/>
    <w:rsid w:val="00C11A03"/>
    <w:rsid w:val="00C1350D"/>
    <w:rsid w:val="00C13572"/>
    <w:rsid w:val="00C13B55"/>
    <w:rsid w:val="00C15CC6"/>
    <w:rsid w:val="00C16382"/>
    <w:rsid w:val="00C171EE"/>
    <w:rsid w:val="00C2284D"/>
    <w:rsid w:val="00C2435B"/>
    <w:rsid w:val="00C25497"/>
    <w:rsid w:val="00C27C94"/>
    <w:rsid w:val="00C31701"/>
    <w:rsid w:val="00C33062"/>
    <w:rsid w:val="00C34926"/>
    <w:rsid w:val="00C34D85"/>
    <w:rsid w:val="00C37E26"/>
    <w:rsid w:val="00C401D7"/>
    <w:rsid w:val="00C42782"/>
    <w:rsid w:val="00C43E78"/>
    <w:rsid w:val="00C44D68"/>
    <w:rsid w:val="00C463DD"/>
    <w:rsid w:val="00C46474"/>
    <w:rsid w:val="00C4724C"/>
    <w:rsid w:val="00C50356"/>
    <w:rsid w:val="00C51DC4"/>
    <w:rsid w:val="00C52975"/>
    <w:rsid w:val="00C54206"/>
    <w:rsid w:val="00C55779"/>
    <w:rsid w:val="00C5660B"/>
    <w:rsid w:val="00C606D3"/>
    <w:rsid w:val="00C6166D"/>
    <w:rsid w:val="00C629A0"/>
    <w:rsid w:val="00C6324A"/>
    <w:rsid w:val="00C63C27"/>
    <w:rsid w:val="00C660AC"/>
    <w:rsid w:val="00C7133F"/>
    <w:rsid w:val="00C71EA5"/>
    <w:rsid w:val="00C745C3"/>
    <w:rsid w:val="00C75261"/>
    <w:rsid w:val="00C82B2B"/>
    <w:rsid w:val="00C8504E"/>
    <w:rsid w:val="00C867E7"/>
    <w:rsid w:val="00C87908"/>
    <w:rsid w:val="00C932D2"/>
    <w:rsid w:val="00C950B2"/>
    <w:rsid w:val="00C96D26"/>
    <w:rsid w:val="00C970B5"/>
    <w:rsid w:val="00CB27A9"/>
    <w:rsid w:val="00CB6996"/>
    <w:rsid w:val="00CC1CA8"/>
    <w:rsid w:val="00CC1F58"/>
    <w:rsid w:val="00CC51E8"/>
    <w:rsid w:val="00CC664C"/>
    <w:rsid w:val="00CD26C2"/>
    <w:rsid w:val="00CD302C"/>
    <w:rsid w:val="00CE0ECF"/>
    <w:rsid w:val="00CE1672"/>
    <w:rsid w:val="00CE170A"/>
    <w:rsid w:val="00CE188F"/>
    <w:rsid w:val="00CE1DBC"/>
    <w:rsid w:val="00CE2F58"/>
    <w:rsid w:val="00CE3A11"/>
    <w:rsid w:val="00CE4A8F"/>
    <w:rsid w:val="00CF10B7"/>
    <w:rsid w:val="00CF2748"/>
    <w:rsid w:val="00D00ADD"/>
    <w:rsid w:val="00D04987"/>
    <w:rsid w:val="00D04B04"/>
    <w:rsid w:val="00D05AF8"/>
    <w:rsid w:val="00D065E5"/>
    <w:rsid w:val="00D07A30"/>
    <w:rsid w:val="00D1246A"/>
    <w:rsid w:val="00D141CF"/>
    <w:rsid w:val="00D2031B"/>
    <w:rsid w:val="00D21623"/>
    <w:rsid w:val="00D21FFE"/>
    <w:rsid w:val="00D257E7"/>
    <w:rsid w:val="00D25FE2"/>
    <w:rsid w:val="00D26200"/>
    <w:rsid w:val="00D278C6"/>
    <w:rsid w:val="00D374AE"/>
    <w:rsid w:val="00D401EB"/>
    <w:rsid w:val="00D41B04"/>
    <w:rsid w:val="00D41B48"/>
    <w:rsid w:val="00D42703"/>
    <w:rsid w:val="00D43252"/>
    <w:rsid w:val="00D44455"/>
    <w:rsid w:val="00D46401"/>
    <w:rsid w:val="00D4658C"/>
    <w:rsid w:val="00D4665C"/>
    <w:rsid w:val="00D471DC"/>
    <w:rsid w:val="00D47B2C"/>
    <w:rsid w:val="00D47EEA"/>
    <w:rsid w:val="00D50EE6"/>
    <w:rsid w:val="00D57914"/>
    <w:rsid w:val="00D616B8"/>
    <w:rsid w:val="00D646BB"/>
    <w:rsid w:val="00D648E9"/>
    <w:rsid w:val="00D711A9"/>
    <w:rsid w:val="00D756B4"/>
    <w:rsid w:val="00D757AA"/>
    <w:rsid w:val="00D77DCC"/>
    <w:rsid w:val="00D80066"/>
    <w:rsid w:val="00D85DCC"/>
    <w:rsid w:val="00D90C88"/>
    <w:rsid w:val="00D90F93"/>
    <w:rsid w:val="00D95303"/>
    <w:rsid w:val="00D953A3"/>
    <w:rsid w:val="00D95A82"/>
    <w:rsid w:val="00D9698B"/>
    <w:rsid w:val="00D978C6"/>
    <w:rsid w:val="00DA1C2D"/>
    <w:rsid w:val="00DA28B2"/>
    <w:rsid w:val="00DA3111"/>
    <w:rsid w:val="00DA3C1C"/>
    <w:rsid w:val="00DA740B"/>
    <w:rsid w:val="00DB0C79"/>
    <w:rsid w:val="00DB0EBC"/>
    <w:rsid w:val="00DB5B2F"/>
    <w:rsid w:val="00DC1651"/>
    <w:rsid w:val="00DC2DF8"/>
    <w:rsid w:val="00DC63DB"/>
    <w:rsid w:val="00DC70BB"/>
    <w:rsid w:val="00DD0339"/>
    <w:rsid w:val="00DD4083"/>
    <w:rsid w:val="00DD5CED"/>
    <w:rsid w:val="00DE375B"/>
    <w:rsid w:val="00DE6C67"/>
    <w:rsid w:val="00DE79A8"/>
    <w:rsid w:val="00DF0447"/>
    <w:rsid w:val="00DF10BB"/>
    <w:rsid w:val="00DF3B13"/>
    <w:rsid w:val="00DF49E9"/>
    <w:rsid w:val="00DF4FCE"/>
    <w:rsid w:val="00DF50FB"/>
    <w:rsid w:val="00E012C9"/>
    <w:rsid w:val="00E0525C"/>
    <w:rsid w:val="00E06734"/>
    <w:rsid w:val="00E138E5"/>
    <w:rsid w:val="00E13AFB"/>
    <w:rsid w:val="00E15D99"/>
    <w:rsid w:val="00E209FD"/>
    <w:rsid w:val="00E22436"/>
    <w:rsid w:val="00E2301A"/>
    <w:rsid w:val="00E25393"/>
    <w:rsid w:val="00E25E54"/>
    <w:rsid w:val="00E27346"/>
    <w:rsid w:val="00E30B30"/>
    <w:rsid w:val="00E30D72"/>
    <w:rsid w:val="00E30F1A"/>
    <w:rsid w:val="00E339DE"/>
    <w:rsid w:val="00E33EB0"/>
    <w:rsid w:val="00E361CA"/>
    <w:rsid w:val="00E36B1F"/>
    <w:rsid w:val="00E37B8C"/>
    <w:rsid w:val="00E40420"/>
    <w:rsid w:val="00E41B89"/>
    <w:rsid w:val="00E41F3A"/>
    <w:rsid w:val="00E42684"/>
    <w:rsid w:val="00E452D2"/>
    <w:rsid w:val="00E469DC"/>
    <w:rsid w:val="00E52DDB"/>
    <w:rsid w:val="00E546A6"/>
    <w:rsid w:val="00E56B56"/>
    <w:rsid w:val="00E632CC"/>
    <w:rsid w:val="00E65396"/>
    <w:rsid w:val="00E67476"/>
    <w:rsid w:val="00E70726"/>
    <w:rsid w:val="00E71619"/>
    <w:rsid w:val="00E71BC8"/>
    <w:rsid w:val="00E7260F"/>
    <w:rsid w:val="00E7345C"/>
    <w:rsid w:val="00E74608"/>
    <w:rsid w:val="00E77827"/>
    <w:rsid w:val="00E779FC"/>
    <w:rsid w:val="00E80DD1"/>
    <w:rsid w:val="00E8155A"/>
    <w:rsid w:val="00E848D3"/>
    <w:rsid w:val="00E85509"/>
    <w:rsid w:val="00E86349"/>
    <w:rsid w:val="00E92193"/>
    <w:rsid w:val="00E94088"/>
    <w:rsid w:val="00E94237"/>
    <w:rsid w:val="00E95D59"/>
    <w:rsid w:val="00E96630"/>
    <w:rsid w:val="00EA1FFC"/>
    <w:rsid w:val="00EA2D55"/>
    <w:rsid w:val="00EA31F7"/>
    <w:rsid w:val="00EA5005"/>
    <w:rsid w:val="00EB2581"/>
    <w:rsid w:val="00EB339C"/>
    <w:rsid w:val="00EB41B1"/>
    <w:rsid w:val="00EB7710"/>
    <w:rsid w:val="00EC2E99"/>
    <w:rsid w:val="00EC30DE"/>
    <w:rsid w:val="00EC32FD"/>
    <w:rsid w:val="00EC433C"/>
    <w:rsid w:val="00ED06EC"/>
    <w:rsid w:val="00ED71EC"/>
    <w:rsid w:val="00ED7A2A"/>
    <w:rsid w:val="00EE0E01"/>
    <w:rsid w:val="00EE295F"/>
    <w:rsid w:val="00EF0235"/>
    <w:rsid w:val="00EF09C6"/>
    <w:rsid w:val="00EF1D7F"/>
    <w:rsid w:val="00EF2809"/>
    <w:rsid w:val="00EF2A3C"/>
    <w:rsid w:val="00EF4905"/>
    <w:rsid w:val="00EF4E91"/>
    <w:rsid w:val="00F004E2"/>
    <w:rsid w:val="00F02A2A"/>
    <w:rsid w:val="00F02C8E"/>
    <w:rsid w:val="00F03190"/>
    <w:rsid w:val="00F03A99"/>
    <w:rsid w:val="00F04CDE"/>
    <w:rsid w:val="00F054C5"/>
    <w:rsid w:val="00F11505"/>
    <w:rsid w:val="00F12B6D"/>
    <w:rsid w:val="00F1389A"/>
    <w:rsid w:val="00F16968"/>
    <w:rsid w:val="00F171DC"/>
    <w:rsid w:val="00F20C3D"/>
    <w:rsid w:val="00F232FE"/>
    <w:rsid w:val="00F24F04"/>
    <w:rsid w:val="00F26BC3"/>
    <w:rsid w:val="00F31DE3"/>
    <w:rsid w:val="00F3642C"/>
    <w:rsid w:val="00F3726A"/>
    <w:rsid w:val="00F4204E"/>
    <w:rsid w:val="00F43E9E"/>
    <w:rsid w:val="00F445D3"/>
    <w:rsid w:val="00F45731"/>
    <w:rsid w:val="00F47CE5"/>
    <w:rsid w:val="00F47CF9"/>
    <w:rsid w:val="00F504DD"/>
    <w:rsid w:val="00F552CE"/>
    <w:rsid w:val="00F556F2"/>
    <w:rsid w:val="00F563B5"/>
    <w:rsid w:val="00F57081"/>
    <w:rsid w:val="00F63797"/>
    <w:rsid w:val="00F708DE"/>
    <w:rsid w:val="00F711B9"/>
    <w:rsid w:val="00F716CD"/>
    <w:rsid w:val="00F759AD"/>
    <w:rsid w:val="00F76E01"/>
    <w:rsid w:val="00F8384A"/>
    <w:rsid w:val="00F838CE"/>
    <w:rsid w:val="00F84620"/>
    <w:rsid w:val="00F86121"/>
    <w:rsid w:val="00F87DDD"/>
    <w:rsid w:val="00F9057C"/>
    <w:rsid w:val="00F906D7"/>
    <w:rsid w:val="00F90FD3"/>
    <w:rsid w:val="00F91FD2"/>
    <w:rsid w:val="00F93781"/>
    <w:rsid w:val="00F9388C"/>
    <w:rsid w:val="00F94F19"/>
    <w:rsid w:val="00F958B3"/>
    <w:rsid w:val="00F96BA5"/>
    <w:rsid w:val="00F974BF"/>
    <w:rsid w:val="00F97EA0"/>
    <w:rsid w:val="00FA0887"/>
    <w:rsid w:val="00FA1718"/>
    <w:rsid w:val="00FA23F7"/>
    <w:rsid w:val="00FA380F"/>
    <w:rsid w:val="00FA447C"/>
    <w:rsid w:val="00FA65D7"/>
    <w:rsid w:val="00FB22C9"/>
    <w:rsid w:val="00FB5C53"/>
    <w:rsid w:val="00FB5EB5"/>
    <w:rsid w:val="00FB613B"/>
    <w:rsid w:val="00FB7A62"/>
    <w:rsid w:val="00FC00C8"/>
    <w:rsid w:val="00FC68B7"/>
    <w:rsid w:val="00FC7F47"/>
    <w:rsid w:val="00FD0381"/>
    <w:rsid w:val="00FD0670"/>
    <w:rsid w:val="00FD43AF"/>
    <w:rsid w:val="00FD4FB8"/>
    <w:rsid w:val="00FD6C42"/>
    <w:rsid w:val="00FE106A"/>
    <w:rsid w:val="00FE6FCB"/>
    <w:rsid w:val="00FE7EF7"/>
    <w:rsid w:val="00FF0779"/>
    <w:rsid w:val="00FF67E9"/>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5F470-97E6-4A86-9BBA-6E110907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uiPriority w:val="1"/>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F4905"/>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F4905"/>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rPr>
  </w:style>
  <w:style w:type="paragraph" w:styleId="BalloonText">
    <w:name w:val="Balloon Text"/>
    <w:basedOn w:val="Normal"/>
    <w:link w:val="BalloonTextChar"/>
    <w:uiPriority w:val="99"/>
    <w:rsid w:val="006743E9"/>
    <w:pPr>
      <w:spacing w:line="240" w:lineRule="auto"/>
    </w:pPr>
    <w:rPr>
      <w:rFonts w:ascii="Tahoma" w:hAnsi="Tahoma" w:cs="Tahoma"/>
      <w:sz w:val="16"/>
      <w:szCs w:val="16"/>
    </w:rPr>
  </w:style>
  <w:style w:type="character" w:customStyle="1" w:styleId="BalloonTextChar">
    <w:name w:val="Balloon Text Char"/>
    <w:link w:val="BalloonText"/>
    <w:uiPriority w:val="99"/>
    <w:rsid w:val="006743E9"/>
    <w:rPr>
      <w:rFonts w:ascii="Tahoma" w:hAnsi="Tahoma" w:cs="Tahoma"/>
      <w:sz w:val="16"/>
      <w:szCs w:val="16"/>
      <w:lang w:eastAsia="en-US"/>
    </w:rPr>
  </w:style>
  <w:style w:type="character" w:customStyle="1" w:styleId="sb8d990e2">
    <w:name w:val="sb8d990e2"/>
    <w:rsid w:val="001A09DE"/>
  </w:style>
  <w:style w:type="paragraph" w:customStyle="1" w:styleId="Default">
    <w:name w:val="Default"/>
    <w:rsid w:val="00E40420"/>
    <w:pPr>
      <w:autoSpaceDE w:val="0"/>
      <w:autoSpaceDN w:val="0"/>
      <w:adjustRightInd w:val="0"/>
    </w:pPr>
    <w:rPr>
      <w:color w:val="000000"/>
      <w:sz w:val="24"/>
      <w:szCs w:val="24"/>
    </w:rPr>
  </w:style>
  <w:style w:type="paragraph" w:customStyle="1" w:styleId="CM55">
    <w:name w:val="CM55"/>
    <w:basedOn w:val="Default"/>
    <w:next w:val="Default"/>
    <w:uiPriority w:val="99"/>
    <w:rsid w:val="00E40420"/>
    <w:rPr>
      <w:color w:val="auto"/>
    </w:rPr>
  </w:style>
  <w:style w:type="character" w:customStyle="1" w:styleId="SingleTxtGChar">
    <w:name w:val="_ Single Txt_G Char"/>
    <w:link w:val="SingleTxtG"/>
    <w:rsid w:val="00202561"/>
    <w:rPr>
      <w:lang w:eastAsia="en-US"/>
    </w:rPr>
  </w:style>
  <w:style w:type="paragraph" w:styleId="TOC1">
    <w:name w:val="toc 1"/>
    <w:basedOn w:val="Normal"/>
    <w:uiPriority w:val="1"/>
    <w:qFormat/>
    <w:rsid w:val="00E41F3A"/>
    <w:pPr>
      <w:widowControl w:val="0"/>
      <w:suppressAutoHyphens w:val="0"/>
      <w:spacing w:before="135" w:line="240" w:lineRule="auto"/>
      <w:ind w:left="119"/>
    </w:pPr>
    <w:rPr>
      <w:lang w:val="en-US"/>
    </w:rPr>
  </w:style>
  <w:style w:type="paragraph" w:styleId="TOC2">
    <w:name w:val="toc 2"/>
    <w:basedOn w:val="Normal"/>
    <w:uiPriority w:val="1"/>
    <w:qFormat/>
    <w:rsid w:val="00E41F3A"/>
    <w:pPr>
      <w:widowControl w:val="0"/>
      <w:suppressAutoHyphens w:val="0"/>
      <w:spacing w:before="135" w:line="240" w:lineRule="auto"/>
      <w:ind w:left="1321" w:hanging="660"/>
    </w:pPr>
    <w:rPr>
      <w:lang w:val="en-US"/>
    </w:rPr>
  </w:style>
  <w:style w:type="paragraph" w:styleId="TOC3">
    <w:name w:val="toc 3"/>
    <w:basedOn w:val="Normal"/>
    <w:uiPriority w:val="1"/>
    <w:qFormat/>
    <w:rsid w:val="00E41F3A"/>
    <w:pPr>
      <w:widowControl w:val="0"/>
      <w:suppressAutoHyphens w:val="0"/>
      <w:spacing w:before="135" w:line="240" w:lineRule="auto"/>
      <w:ind w:left="1100"/>
    </w:pPr>
    <w:rPr>
      <w:lang w:val="en-US"/>
    </w:rPr>
  </w:style>
  <w:style w:type="paragraph" w:styleId="BodyText">
    <w:name w:val="Body Text"/>
    <w:basedOn w:val="Normal"/>
    <w:link w:val="BodyTextChar"/>
    <w:uiPriority w:val="1"/>
    <w:qFormat/>
    <w:rsid w:val="00E41F3A"/>
    <w:pPr>
      <w:widowControl w:val="0"/>
      <w:suppressAutoHyphens w:val="0"/>
      <w:spacing w:line="240" w:lineRule="auto"/>
      <w:ind w:left="661"/>
    </w:pPr>
    <w:rPr>
      <w:sz w:val="22"/>
      <w:szCs w:val="22"/>
      <w:lang w:val="en-US"/>
    </w:rPr>
  </w:style>
  <w:style w:type="character" w:customStyle="1" w:styleId="BodyTextChar">
    <w:name w:val="Body Text Char"/>
    <w:link w:val="BodyText"/>
    <w:uiPriority w:val="1"/>
    <w:rsid w:val="00E41F3A"/>
    <w:rPr>
      <w:sz w:val="22"/>
      <w:szCs w:val="22"/>
      <w:lang w:val="en-US" w:eastAsia="en-US"/>
    </w:rPr>
  </w:style>
  <w:style w:type="paragraph" w:styleId="ListParagraph">
    <w:name w:val="List Paragraph"/>
    <w:basedOn w:val="Normal"/>
    <w:uiPriority w:val="1"/>
    <w:qFormat/>
    <w:rsid w:val="00E41F3A"/>
    <w:pPr>
      <w:widowControl w:val="0"/>
      <w:suppressAutoHyphens w:val="0"/>
      <w:spacing w:line="240" w:lineRule="auto"/>
    </w:pPr>
    <w:rPr>
      <w:rFonts w:ascii="Calibri" w:eastAsia="Calibri" w:hAnsi="Calibri"/>
      <w:sz w:val="22"/>
      <w:szCs w:val="22"/>
      <w:lang w:val="en-US"/>
    </w:rPr>
  </w:style>
  <w:style w:type="paragraph" w:customStyle="1" w:styleId="TableParagraph">
    <w:name w:val="Table Paragraph"/>
    <w:basedOn w:val="Normal"/>
    <w:uiPriority w:val="1"/>
    <w:qFormat/>
    <w:rsid w:val="00E41F3A"/>
    <w:pPr>
      <w:widowControl w:val="0"/>
      <w:suppressAutoHyphens w:val="0"/>
      <w:spacing w:line="240" w:lineRule="auto"/>
    </w:pPr>
    <w:rPr>
      <w:rFonts w:ascii="Calibri" w:eastAsia="Calibri" w:hAnsi="Calibri"/>
      <w:sz w:val="22"/>
      <w:szCs w:val="22"/>
      <w:lang w:val="en-US"/>
    </w:rPr>
  </w:style>
  <w:style w:type="character" w:styleId="CommentReference">
    <w:name w:val="annotation reference"/>
    <w:rsid w:val="00215A85"/>
    <w:rPr>
      <w:sz w:val="16"/>
      <w:szCs w:val="16"/>
    </w:rPr>
  </w:style>
  <w:style w:type="paragraph" w:styleId="CommentText">
    <w:name w:val="annotation text"/>
    <w:basedOn w:val="Normal"/>
    <w:link w:val="CommentTextChar"/>
    <w:rsid w:val="00215A85"/>
  </w:style>
  <w:style w:type="character" w:customStyle="1" w:styleId="CommentTextChar">
    <w:name w:val="Comment Text Char"/>
    <w:link w:val="CommentText"/>
    <w:rsid w:val="00215A85"/>
    <w:rPr>
      <w:lang w:eastAsia="en-US"/>
    </w:rPr>
  </w:style>
  <w:style w:type="paragraph" w:styleId="CommentSubject">
    <w:name w:val="annotation subject"/>
    <w:basedOn w:val="CommentText"/>
    <w:next w:val="CommentText"/>
    <w:link w:val="CommentSubjectChar"/>
    <w:rsid w:val="00215A85"/>
    <w:rPr>
      <w:b/>
      <w:bCs/>
    </w:rPr>
  </w:style>
  <w:style w:type="character" w:customStyle="1" w:styleId="CommentSubjectChar">
    <w:name w:val="Comment Subject Char"/>
    <w:link w:val="CommentSubject"/>
    <w:rsid w:val="00215A85"/>
    <w:rPr>
      <w:b/>
      <w:bCs/>
      <w:lang w:eastAsia="en-US"/>
    </w:rPr>
  </w:style>
  <w:style w:type="character" w:customStyle="1" w:styleId="CharSectno">
    <w:name w:val="CharSectno"/>
    <w:rsid w:val="005F495B"/>
    <w:rPr>
      <w:noProof w:val="0"/>
    </w:rPr>
  </w:style>
  <w:style w:type="paragraph" w:customStyle="1" w:styleId="Subsection">
    <w:name w:val="Subsection"/>
    <w:rsid w:val="005F495B"/>
    <w:pPr>
      <w:tabs>
        <w:tab w:val="right" w:pos="595"/>
        <w:tab w:val="left" w:pos="879"/>
      </w:tabs>
      <w:spacing w:before="160" w:line="260" w:lineRule="atLeast"/>
      <w:ind w:left="879" w:hanging="879"/>
    </w:pPr>
    <w:rPr>
      <w:sz w:val="24"/>
      <w:lang w:val="en-AU" w:eastAsia="en-AU"/>
    </w:rPr>
  </w:style>
  <w:style w:type="paragraph" w:customStyle="1" w:styleId="Indenta">
    <w:name w:val="Indent(a)"/>
    <w:rsid w:val="005F495B"/>
    <w:pPr>
      <w:tabs>
        <w:tab w:val="right" w:pos="1332"/>
        <w:tab w:val="left" w:pos="1616"/>
      </w:tabs>
      <w:spacing w:before="80" w:line="260" w:lineRule="atLeast"/>
      <w:ind w:left="1616" w:hanging="1616"/>
    </w:pPr>
    <w:rPr>
      <w:sz w:val="24"/>
      <w:lang w:val="en-AU" w:eastAsia="en-AU"/>
    </w:rPr>
  </w:style>
  <w:style w:type="paragraph" w:customStyle="1" w:styleId="hp">
    <w:name w:val="hp"/>
    <w:basedOn w:val="Normal"/>
    <w:rsid w:val="00F97EA0"/>
    <w:pPr>
      <w:suppressAutoHyphens w:val="0"/>
      <w:spacing w:before="100" w:beforeAutospacing="1" w:after="100" w:afterAutospacing="1" w:line="240" w:lineRule="auto"/>
    </w:pPr>
    <w:rPr>
      <w:rFonts w:ascii="Helvetica" w:hAnsi="Helvetica" w:cs="Helvetica"/>
      <w:color w:val="333333"/>
      <w:sz w:val="23"/>
      <w:szCs w:val="23"/>
      <w:lang w:eastAsia="en-GB"/>
    </w:rPr>
  </w:style>
  <w:style w:type="paragraph" w:styleId="Revision">
    <w:name w:val="Revision"/>
    <w:hidden/>
    <w:uiPriority w:val="99"/>
    <w:semiHidden/>
    <w:rsid w:val="009060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1512">
      <w:bodyDiv w:val="1"/>
      <w:marLeft w:val="0"/>
      <w:marRight w:val="0"/>
      <w:marTop w:val="0"/>
      <w:marBottom w:val="0"/>
      <w:divBdr>
        <w:top w:val="none" w:sz="0" w:space="0" w:color="auto"/>
        <w:left w:val="none" w:sz="0" w:space="0" w:color="auto"/>
        <w:bottom w:val="none" w:sz="0" w:space="0" w:color="auto"/>
        <w:right w:val="none" w:sz="0" w:space="0" w:color="auto"/>
      </w:divBdr>
    </w:div>
    <w:div w:id="495460367">
      <w:bodyDiv w:val="1"/>
      <w:marLeft w:val="0"/>
      <w:marRight w:val="0"/>
      <w:marTop w:val="0"/>
      <w:marBottom w:val="0"/>
      <w:divBdr>
        <w:top w:val="none" w:sz="0" w:space="0" w:color="auto"/>
        <w:left w:val="none" w:sz="0" w:space="0" w:color="auto"/>
        <w:bottom w:val="none" w:sz="0" w:space="0" w:color="auto"/>
        <w:right w:val="none" w:sz="0" w:space="0" w:color="auto"/>
      </w:divBdr>
    </w:div>
    <w:div w:id="84471033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sChild>
        <w:div w:id="76292164">
          <w:marLeft w:val="0"/>
          <w:marRight w:val="0"/>
          <w:marTop w:val="0"/>
          <w:marBottom w:val="0"/>
          <w:divBdr>
            <w:top w:val="none" w:sz="0" w:space="0" w:color="auto"/>
            <w:left w:val="none" w:sz="0" w:space="0" w:color="auto"/>
            <w:bottom w:val="none" w:sz="0" w:space="0" w:color="auto"/>
            <w:right w:val="none" w:sz="0" w:space="0" w:color="auto"/>
          </w:divBdr>
          <w:divsChild>
            <w:div w:id="1937592162">
              <w:marLeft w:val="0"/>
              <w:marRight w:val="0"/>
              <w:marTop w:val="0"/>
              <w:marBottom w:val="0"/>
              <w:divBdr>
                <w:top w:val="none" w:sz="0" w:space="0" w:color="auto"/>
                <w:left w:val="none" w:sz="0" w:space="0" w:color="auto"/>
                <w:bottom w:val="none" w:sz="0" w:space="0" w:color="auto"/>
                <w:right w:val="none" w:sz="0" w:space="0" w:color="auto"/>
              </w:divBdr>
              <w:divsChild>
                <w:div w:id="374618629">
                  <w:marLeft w:val="0"/>
                  <w:marRight w:val="0"/>
                  <w:marTop w:val="0"/>
                  <w:marBottom w:val="0"/>
                  <w:divBdr>
                    <w:top w:val="none" w:sz="0" w:space="0" w:color="auto"/>
                    <w:left w:val="none" w:sz="0" w:space="0" w:color="auto"/>
                    <w:bottom w:val="none" w:sz="0" w:space="0" w:color="auto"/>
                    <w:right w:val="none" w:sz="0" w:space="0" w:color="auto"/>
                  </w:divBdr>
                  <w:divsChild>
                    <w:div w:id="393814906">
                      <w:marLeft w:val="0"/>
                      <w:marRight w:val="0"/>
                      <w:marTop w:val="0"/>
                      <w:marBottom w:val="0"/>
                      <w:divBdr>
                        <w:top w:val="none" w:sz="0" w:space="0" w:color="auto"/>
                        <w:left w:val="none" w:sz="0" w:space="0" w:color="auto"/>
                        <w:bottom w:val="none" w:sz="0" w:space="0" w:color="auto"/>
                        <w:right w:val="none" w:sz="0" w:space="0" w:color="auto"/>
                      </w:divBdr>
                      <w:divsChild>
                        <w:div w:id="51345170">
                          <w:marLeft w:val="0"/>
                          <w:marRight w:val="0"/>
                          <w:marTop w:val="0"/>
                          <w:marBottom w:val="0"/>
                          <w:divBdr>
                            <w:top w:val="none" w:sz="0" w:space="0" w:color="auto"/>
                            <w:left w:val="none" w:sz="0" w:space="0" w:color="auto"/>
                            <w:bottom w:val="none" w:sz="0" w:space="0" w:color="auto"/>
                            <w:right w:val="none" w:sz="0" w:space="0" w:color="auto"/>
                          </w:divBdr>
                          <w:divsChild>
                            <w:div w:id="1960334532">
                              <w:marLeft w:val="0"/>
                              <w:marRight w:val="0"/>
                              <w:marTop w:val="0"/>
                              <w:marBottom w:val="0"/>
                              <w:divBdr>
                                <w:top w:val="none" w:sz="0" w:space="0" w:color="auto"/>
                                <w:left w:val="none" w:sz="0" w:space="0" w:color="auto"/>
                                <w:bottom w:val="none" w:sz="0" w:space="0" w:color="auto"/>
                                <w:right w:val="none" w:sz="0" w:space="0" w:color="auto"/>
                              </w:divBdr>
                              <w:divsChild>
                                <w:div w:id="68845497">
                                  <w:marLeft w:val="0"/>
                                  <w:marRight w:val="0"/>
                                  <w:marTop w:val="0"/>
                                  <w:marBottom w:val="0"/>
                                  <w:divBdr>
                                    <w:top w:val="none" w:sz="0" w:space="0" w:color="auto"/>
                                    <w:left w:val="none" w:sz="0" w:space="0" w:color="auto"/>
                                    <w:bottom w:val="none" w:sz="0" w:space="0" w:color="auto"/>
                                    <w:right w:val="none" w:sz="0" w:space="0" w:color="auto"/>
                                  </w:divBdr>
                                  <w:divsChild>
                                    <w:div w:id="1464614092">
                                      <w:marLeft w:val="0"/>
                                      <w:marRight w:val="0"/>
                                      <w:marTop w:val="0"/>
                                      <w:marBottom w:val="0"/>
                                      <w:divBdr>
                                        <w:top w:val="none" w:sz="0" w:space="0" w:color="auto"/>
                                        <w:left w:val="none" w:sz="0" w:space="0" w:color="auto"/>
                                        <w:bottom w:val="none" w:sz="0" w:space="0" w:color="auto"/>
                                        <w:right w:val="none" w:sz="0" w:space="0" w:color="auto"/>
                                      </w:divBdr>
                                      <w:divsChild>
                                        <w:div w:id="57441638">
                                          <w:marLeft w:val="0"/>
                                          <w:marRight w:val="0"/>
                                          <w:marTop w:val="0"/>
                                          <w:marBottom w:val="0"/>
                                          <w:divBdr>
                                            <w:top w:val="none" w:sz="0" w:space="0" w:color="auto"/>
                                            <w:left w:val="none" w:sz="0" w:space="0" w:color="auto"/>
                                            <w:bottom w:val="none" w:sz="0" w:space="0" w:color="auto"/>
                                            <w:right w:val="none" w:sz="0" w:space="0" w:color="auto"/>
                                          </w:divBdr>
                                          <w:divsChild>
                                            <w:div w:id="1287278346">
                                              <w:marLeft w:val="400"/>
                                              <w:marRight w:val="0"/>
                                              <w:marTop w:val="0"/>
                                              <w:marBottom w:val="0"/>
                                              <w:divBdr>
                                                <w:top w:val="none" w:sz="0" w:space="0" w:color="auto"/>
                                                <w:left w:val="none" w:sz="0" w:space="0" w:color="auto"/>
                                                <w:bottom w:val="none" w:sz="0" w:space="0" w:color="auto"/>
                                                <w:right w:val="none" w:sz="0" w:space="0" w:color="auto"/>
                                              </w:divBdr>
                                              <w:divsChild>
                                                <w:div w:id="910844123">
                                                  <w:marLeft w:val="0"/>
                                                  <w:marRight w:val="0"/>
                                                  <w:marTop w:val="0"/>
                                                  <w:marBottom w:val="0"/>
                                                  <w:divBdr>
                                                    <w:top w:val="none" w:sz="0" w:space="0" w:color="auto"/>
                                                    <w:left w:val="none" w:sz="0" w:space="0" w:color="auto"/>
                                                    <w:bottom w:val="none" w:sz="0" w:space="0" w:color="auto"/>
                                                    <w:right w:val="none" w:sz="0" w:space="0" w:color="auto"/>
                                                  </w:divBdr>
                                                  <w:divsChild>
                                                    <w:div w:id="578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1776">
                                              <w:marLeft w:val="400"/>
                                              <w:marRight w:val="0"/>
                                              <w:marTop w:val="0"/>
                                              <w:marBottom w:val="0"/>
                                              <w:divBdr>
                                                <w:top w:val="none" w:sz="0" w:space="0" w:color="auto"/>
                                                <w:left w:val="none" w:sz="0" w:space="0" w:color="auto"/>
                                                <w:bottom w:val="none" w:sz="0" w:space="0" w:color="auto"/>
                                                <w:right w:val="none" w:sz="0" w:space="0" w:color="auto"/>
                                              </w:divBdr>
                                              <w:divsChild>
                                                <w:div w:id="1369143051">
                                                  <w:marLeft w:val="0"/>
                                                  <w:marRight w:val="0"/>
                                                  <w:marTop w:val="0"/>
                                                  <w:marBottom w:val="0"/>
                                                  <w:divBdr>
                                                    <w:top w:val="none" w:sz="0" w:space="0" w:color="auto"/>
                                                    <w:left w:val="none" w:sz="0" w:space="0" w:color="auto"/>
                                                    <w:bottom w:val="none" w:sz="0" w:space="0" w:color="auto"/>
                                                    <w:right w:val="none" w:sz="0" w:space="0" w:color="auto"/>
                                                  </w:divBdr>
                                                  <w:divsChild>
                                                    <w:div w:id="14929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226555">
                                  <w:marLeft w:val="0"/>
                                  <w:marRight w:val="0"/>
                                  <w:marTop w:val="0"/>
                                  <w:marBottom w:val="0"/>
                                  <w:divBdr>
                                    <w:top w:val="none" w:sz="0" w:space="0" w:color="auto"/>
                                    <w:left w:val="none" w:sz="0" w:space="0" w:color="auto"/>
                                    <w:bottom w:val="none" w:sz="0" w:space="0" w:color="auto"/>
                                    <w:right w:val="none" w:sz="0" w:space="0" w:color="auto"/>
                                  </w:divBdr>
                                  <w:divsChild>
                                    <w:div w:id="843938386">
                                      <w:marLeft w:val="0"/>
                                      <w:marRight w:val="0"/>
                                      <w:marTop w:val="0"/>
                                      <w:marBottom w:val="0"/>
                                      <w:divBdr>
                                        <w:top w:val="none" w:sz="0" w:space="0" w:color="auto"/>
                                        <w:left w:val="none" w:sz="0" w:space="0" w:color="auto"/>
                                        <w:bottom w:val="none" w:sz="0" w:space="0" w:color="auto"/>
                                        <w:right w:val="none" w:sz="0" w:space="0" w:color="auto"/>
                                      </w:divBdr>
                                      <w:divsChild>
                                        <w:div w:id="3165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601">
                                  <w:marLeft w:val="0"/>
                                  <w:marRight w:val="0"/>
                                  <w:marTop w:val="0"/>
                                  <w:marBottom w:val="0"/>
                                  <w:divBdr>
                                    <w:top w:val="none" w:sz="0" w:space="0" w:color="auto"/>
                                    <w:left w:val="none" w:sz="0" w:space="0" w:color="auto"/>
                                    <w:bottom w:val="none" w:sz="0" w:space="0" w:color="auto"/>
                                    <w:right w:val="none" w:sz="0" w:space="0" w:color="auto"/>
                                  </w:divBdr>
                                  <w:divsChild>
                                    <w:div w:id="566036976">
                                      <w:marLeft w:val="0"/>
                                      <w:marRight w:val="0"/>
                                      <w:marTop w:val="0"/>
                                      <w:marBottom w:val="0"/>
                                      <w:divBdr>
                                        <w:top w:val="none" w:sz="0" w:space="0" w:color="auto"/>
                                        <w:left w:val="none" w:sz="0" w:space="0" w:color="auto"/>
                                        <w:bottom w:val="none" w:sz="0" w:space="0" w:color="auto"/>
                                        <w:right w:val="none" w:sz="0" w:space="0" w:color="auto"/>
                                      </w:divBdr>
                                      <w:divsChild>
                                        <w:div w:id="12616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006">
                                  <w:marLeft w:val="0"/>
                                  <w:marRight w:val="0"/>
                                  <w:marTop w:val="0"/>
                                  <w:marBottom w:val="0"/>
                                  <w:divBdr>
                                    <w:top w:val="none" w:sz="0" w:space="0" w:color="auto"/>
                                    <w:left w:val="none" w:sz="0" w:space="0" w:color="auto"/>
                                    <w:bottom w:val="none" w:sz="0" w:space="0" w:color="auto"/>
                                    <w:right w:val="none" w:sz="0" w:space="0" w:color="auto"/>
                                  </w:divBdr>
                                  <w:divsChild>
                                    <w:div w:id="1826430603">
                                      <w:marLeft w:val="0"/>
                                      <w:marRight w:val="0"/>
                                      <w:marTop w:val="0"/>
                                      <w:marBottom w:val="0"/>
                                      <w:divBdr>
                                        <w:top w:val="none" w:sz="0" w:space="0" w:color="auto"/>
                                        <w:left w:val="none" w:sz="0" w:space="0" w:color="auto"/>
                                        <w:bottom w:val="none" w:sz="0" w:space="0" w:color="auto"/>
                                        <w:right w:val="none" w:sz="0" w:space="0" w:color="auto"/>
                                      </w:divBdr>
                                      <w:divsChild>
                                        <w:div w:id="482351605">
                                          <w:marLeft w:val="0"/>
                                          <w:marRight w:val="0"/>
                                          <w:marTop w:val="0"/>
                                          <w:marBottom w:val="0"/>
                                          <w:divBdr>
                                            <w:top w:val="none" w:sz="0" w:space="0" w:color="auto"/>
                                            <w:left w:val="none" w:sz="0" w:space="0" w:color="auto"/>
                                            <w:bottom w:val="none" w:sz="0" w:space="0" w:color="auto"/>
                                            <w:right w:val="none" w:sz="0" w:space="0" w:color="auto"/>
                                          </w:divBdr>
                                          <w:divsChild>
                                            <w:div w:id="906498390">
                                              <w:marLeft w:val="400"/>
                                              <w:marRight w:val="0"/>
                                              <w:marTop w:val="0"/>
                                              <w:marBottom w:val="0"/>
                                              <w:divBdr>
                                                <w:top w:val="none" w:sz="0" w:space="0" w:color="auto"/>
                                                <w:left w:val="none" w:sz="0" w:space="0" w:color="auto"/>
                                                <w:bottom w:val="none" w:sz="0" w:space="0" w:color="auto"/>
                                                <w:right w:val="none" w:sz="0" w:space="0" w:color="auto"/>
                                              </w:divBdr>
                                              <w:divsChild>
                                                <w:div w:id="2008633674">
                                                  <w:marLeft w:val="0"/>
                                                  <w:marRight w:val="0"/>
                                                  <w:marTop w:val="0"/>
                                                  <w:marBottom w:val="0"/>
                                                  <w:divBdr>
                                                    <w:top w:val="none" w:sz="0" w:space="0" w:color="auto"/>
                                                    <w:left w:val="none" w:sz="0" w:space="0" w:color="auto"/>
                                                    <w:bottom w:val="none" w:sz="0" w:space="0" w:color="auto"/>
                                                    <w:right w:val="none" w:sz="0" w:space="0" w:color="auto"/>
                                                  </w:divBdr>
                                                  <w:divsChild>
                                                    <w:div w:id="1365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9598">
                                              <w:marLeft w:val="400"/>
                                              <w:marRight w:val="0"/>
                                              <w:marTop w:val="0"/>
                                              <w:marBottom w:val="0"/>
                                              <w:divBdr>
                                                <w:top w:val="none" w:sz="0" w:space="0" w:color="auto"/>
                                                <w:left w:val="none" w:sz="0" w:space="0" w:color="auto"/>
                                                <w:bottom w:val="none" w:sz="0" w:space="0" w:color="auto"/>
                                                <w:right w:val="none" w:sz="0" w:space="0" w:color="auto"/>
                                              </w:divBdr>
                                              <w:divsChild>
                                                <w:div w:id="1613198340">
                                                  <w:marLeft w:val="0"/>
                                                  <w:marRight w:val="0"/>
                                                  <w:marTop w:val="0"/>
                                                  <w:marBottom w:val="0"/>
                                                  <w:divBdr>
                                                    <w:top w:val="none" w:sz="0" w:space="0" w:color="auto"/>
                                                    <w:left w:val="none" w:sz="0" w:space="0" w:color="auto"/>
                                                    <w:bottom w:val="none" w:sz="0" w:space="0" w:color="auto"/>
                                                    <w:right w:val="none" w:sz="0" w:space="0" w:color="auto"/>
                                                  </w:divBdr>
                                                  <w:divsChild>
                                                    <w:div w:id="3699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290978">
                                  <w:marLeft w:val="0"/>
                                  <w:marRight w:val="0"/>
                                  <w:marTop w:val="0"/>
                                  <w:marBottom w:val="0"/>
                                  <w:divBdr>
                                    <w:top w:val="none" w:sz="0" w:space="0" w:color="auto"/>
                                    <w:left w:val="none" w:sz="0" w:space="0" w:color="auto"/>
                                    <w:bottom w:val="none" w:sz="0" w:space="0" w:color="auto"/>
                                    <w:right w:val="none" w:sz="0" w:space="0" w:color="auto"/>
                                  </w:divBdr>
                                  <w:divsChild>
                                    <w:div w:id="653678978">
                                      <w:marLeft w:val="0"/>
                                      <w:marRight w:val="0"/>
                                      <w:marTop w:val="0"/>
                                      <w:marBottom w:val="0"/>
                                      <w:divBdr>
                                        <w:top w:val="none" w:sz="0" w:space="0" w:color="auto"/>
                                        <w:left w:val="none" w:sz="0" w:space="0" w:color="auto"/>
                                        <w:bottom w:val="none" w:sz="0" w:space="0" w:color="auto"/>
                                        <w:right w:val="none" w:sz="0" w:space="0" w:color="auto"/>
                                      </w:divBdr>
                                      <w:divsChild>
                                        <w:div w:id="13553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B9EB5-800A-4F18-BF42-61A845C9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15</Pages>
  <Words>8407</Words>
  <Characters>47924</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2015-05-08T14:19:00Z</cp:lastPrinted>
  <dcterms:created xsi:type="dcterms:W3CDTF">2017-04-05T19:17:00Z</dcterms:created>
  <dcterms:modified xsi:type="dcterms:W3CDTF">2017-04-05T19:17:00Z</dcterms:modified>
</cp:coreProperties>
</file>