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50CDA">
        <w:trPr>
          <w:trHeight w:val="851"/>
        </w:trPr>
        <w:tc>
          <w:tcPr>
            <w:tcW w:w="1259" w:type="dxa"/>
            <w:tcBorders>
              <w:top w:val="nil"/>
              <w:left w:val="nil"/>
              <w:bottom w:val="single" w:sz="4" w:space="0" w:color="auto"/>
              <w:right w:val="nil"/>
            </w:tcBorders>
            <w:vAlign w:val="bottom"/>
          </w:tcPr>
          <w:p w:rsidR="00F50CDA" w:rsidRPr="007369EB" w:rsidRDefault="00F50CDA" w:rsidP="00D11A01">
            <w:pPr>
              <w:pStyle w:val="Heading2"/>
            </w:pPr>
            <w:bookmarkStart w:id="0" w:name="_GoBack"/>
            <w:bookmarkEnd w:id="0"/>
          </w:p>
        </w:tc>
        <w:tc>
          <w:tcPr>
            <w:tcW w:w="2236" w:type="dxa"/>
            <w:tcBorders>
              <w:top w:val="nil"/>
              <w:left w:val="nil"/>
              <w:bottom w:val="single" w:sz="4" w:space="0" w:color="auto"/>
              <w:right w:val="nil"/>
            </w:tcBorders>
            <w:vAlign w:val="bottom"/>
          </w:tcPr>
          <w:p w:rsidR="00F50CDA" w:rsidRPr="007369EB" w:rsidRDefault="00F50CDA" w:rsidP="007376D3">
            <w:r w:rsidRPr="004455A2">
              <w:rPr>
                <w:sz w:val="28"/>
                <w:szCs w:val="28"/>
              </w:rPr>
              <w:t>United Nations</w:t>
            </w:r>
          </w:p>
        </w:tc>
        <w:tc>
          <w:tcPr>
            <w:tcW w:w="6144" w:type="dxa"/>
            <w:gridSpan w:val="2"/>
            <w:tcBorders>
              <w:top w:val="nil"/>
              <w:left w:val="nil"/>
              <w:bottom w:val="single" w:sz="4" w:space="0" w:color="auto"/>
              <w:right w:val="nil"/>
            </w:tcBorders>
            <w:vAlign w:val="bottom"/>
          </w:tcPr>
          <w:p w:rsidR="00F50CDA" w:rsidRPr="00DE3EC0" w:rsidRDefault="00F50CDA" w:rsidP="007808DF">
            <w:pPr>
              <w:jc w:val="right"/>
            </w:pPr>
            <w:r w:rsidRPr="009E31DB">
              <w:rPr>
                <w:sz w:val="40"/>
              </w:rPr>
              <w:t>CCPR</w:t>
            </w:r>
            <w:r w:rsidR="003F0952">
              <w:t>/C/107</w:t>
            </w:r>
            <w:r>
              <w:t>/D/1</w:t>
            </w:r>
            <w:r w:rsidR="00EC0882">
              <w:t>787</w:t>
            </w:r>
            <w:r>
              <w:t>/200</w:t>
            </w:r>
            <w:r w:rsidR="008C18D3">
              <w:t>8</w:t>
            </w:r>
          </w:p>
        </w:tc>
      </w:tr>
      <w:tr w:rsidR="007369EB">
        <w:trPr>
          <w:trHeight w:val="2835"/>
        </w:trPr>
        <w:tc>
          <w:tcPr>
            <w:tcW w:w="1259" w:type="dxa"/>
            <w:tcBorders>
              <w:top w:val="single" w:sz="4" w:space="0" w:color="auto"/>
              <w:left w:val="nil"/>
              <w:bottom w:val="single" w:sz="12" w:space="0" w:color="auto"/>
              <w:right w:val="nil"/>
            </w:tcBorders>
          </w:tcPr>
          <w:p w:rsidR="007369EB" w:rsidRDefault="00204064" w:rsidP="007369E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450" w:type="dxa"/>
            <w:gridSpan w:val="2"/>
            <w:tcBorders>
              <w:top w:val="single" w:sz="4" w:space="0" w:color="auto"/>
              <w:left w:val="nil"/>
              <w:bottom w:val="single" w:sz="12" w:space="0" w:color="auto"/>
              <w:right w:val="nil"/>
            </w:tcBorders>
          </w:tcPr>
          <w:p w:rsidR="007369EB" w:rsidRPr="007369EB" w:rsidRDefault="00F50CDA" w:rsidP="007369EB">
            <w:r w:rsidRPr="004455A2">
              <w:rPr>
                <w:b/>
                <w:sz w:val="34"/>
                <w:szCs w:val="40"/>
              </w:rPr>
              <w:t>International Covenant on</w:t>
            </w:r>
            <w:r w:rsidRPr="004455A2">
              <w:rPr>
                <w:b/>
                <w:sz w:val="34"/>
                <w:szCs w:val="40"/>
              </w:rPr>
              <w:br/>
              <w:t>Civil and Political Rights</w:t>
            </w:r>
          </w:p>
        </w:tc>
        <w:tc>
          <w:tcPr>
            <w:tcW w:w="2930" w:type="dxa"/>
            <w:tcBorders>
              <w:top w:val="single" w:sz="4" w:space="0" w:color="auto"/>
              <w:left w:val="nil"/>
              <w:bottom w:val="single" w:sz="12" w:space="0" w:color="auto"/>
              <w:right w:val="nil"/>
            </w:tcBorders>
          </w:tcPr>
          <w:p w:rsidR="009E31DB" w:rsidRDefault="009E31DB" w:rsidP="009E31DB">
            <w:pPr>
              <w:spacing w:before="240" w:line="240" w:lineRule="exact"/>
            </w:pPr>
            <w:r>
              <w:t xml:space="preserve">Distr.: </w:t>
            </w:r>
            <w:r w:rsidR="007808DF">
              <w:t>General</w:t>
            </w:r>
          </w:p>
          <w:p w:rsidR="009E31DB" w:rsidRDefault="00ED3367" w:rsidP="00F50CDA">
            <w:pPr>
              <w:spacing w:line="240" w:lineRule="exact"/>
            </w:pPr>
            <w:r>
              <w:t>5</w:t>
            </w:r>
            <w:r w:rsidR="00541577">
              <w:t xml:space="preserve"> July</w:t>
            </w:r>
            <w:r w:rsidR="00163E94">
              <w:t xml:space="preserve"> </w:t>
            </w:r>
            <w:r w:rsidR="009E31DB">
              <w:t>201</w:t>
            </w:r>
            <w:r w:rsidR="00163E94">
              <w:t>3</w:t>
            </w:r>
          </w:p>
          <w:p w:rsidR="009E31DB" w:rsidRDefault="009E31DB" w:rsidP="009E31DB">
            <w:pPr>
              <w:spacing w:line="240" w:lineRule="exact"/>
            </w:pPr>
          </w:p>
          <w:p w:rsidR="007369EB" w:rsidRDefault="009E31DB" w:rsidP="009E31DB">
            <w:pPr>
              <w:spacing w:line="240" w:lineRule="exact"/>
            </w:pPr>
            <w:r>
              <w:t>Original: English</w:t>
            </w:r>
          </w:p>
          <w:p w:rsidR="007808DF" w:rsidRDefault="007808DF" w:rsidP="009E31DB">
            <w:pPr>
              <w:spacing w:line="240" w:lineRule="exact"/>
            </w:pPr>
          </w:p>
          <w:p w:rsidR="007808DF" w:rsidRPr="007808DF" w:rsidRDefault="007808DF" w:rsidP="009E31DB">
            <w:pPr>
              <w:spacing w:line="240" w:lineRule="exact"/>
              <w:rPr>
                <w:b/>
              </w:rPr>
            </w:pPr>
          </w:p>
        </w:tc>
      </w:tr>
    </w:tbl>
    <w:p w:rsidR="009E31DB" w:rsidRPr="008649F9" w:rsidRDefault="009E31DB" w:rsidP="008649F9">
      <w:pPr>
        <w:spacing w:before="120"/>
        <w:rPr>
          <w:b/>
          <w:sz w:val="24"/>
          <w:szCs w:val="24"/>
          <w:lang w:val="en-US"/>
        </w:rPr>
      </w:pPr>
      <w:r w:rsidRPr="008649F9">
        <w:rPr>
          <w:b/>
          <w:sz w:val="24"/>
          <w:szCs w:val="24"/>
          <w:lang w:val="en-US"/>
        </w:rPr>
        <w:t>Human Rights Committee</w:t>
      </w:r>
    </w:p>
    <w:p w:rsidR="00106513" w:rsidRDefault="009E31DB" w:rsidP="008C18D3">
      <w:pPr>
        <w:pStyle w:val="HChG"/>
      </w:pPr>
      <w:r w:rsidRPr="009E31DB">
        <w:tab/>
      </w:r>
      <w:r w:rsidRPr="009E31DB">
        <w:tab/>
      </w:r>
      <w:r w:rsidR="00106513" w:rsidRPr="009E31DB">
        <w:t>Communication No. 1</w:t>
      </w:r>
      <w:r w:rsidR="00EC0882">
        <w:t>787</w:t>
      </w:r>
      <w:r w:rsidR="00D8465C">
        <w:t>/2008</w:t>
      </w:r>
    </w:p>
    <w:p w:rsidR="009E31DB" w:rsidRPr="009E31DB" w:rsidRDefault="00106513" w:rsidP="00106513">
      <w:pPr>
        <w:pStyle w:val="H1G"/>
        <w:spacing w:after="600"/>
      </w:pPr>
      <w:r>
        <w:tab/>
      </w:r>
      <w:r>
        <w:tab/>
      </w:r>
      <w:r w:rsidR="007808DF">
        <w:t>Views adopted by the Committee at its 107</w:t>
      </w:r>
      <w:r w:rsidR="00C3208A">
        <w:t>th</w:t>
      </w:r>
      <w:r w:rsidR="007808DF">
        <w:t xml:space="preserve"> session </w:t>
      </w:r>
      <w:r w:rsidR="008C5A80">
        <w:br/>
      </w:r>
      <w:r w:rsidR="007808DF">
        <w:t>(11–28 March 2013)</w:t>
      </w:r>
      <w:r w:rsidR="007808DF" w:rsidRPr="00106513" w:rsidDel="007808DF">
        <w:rPr>
          <w:rFonts w:eastAsia="MS Mincho"/>
        </w:rPr>
        <w:t xml:space="preserve"> </w:t>
      </w:r>
    </w:p>
    <w:p w:rsidR="009E31DB" w:rsidRPr="009E31DB" w:rsidRDefault="009E31DB" w:rsidP="008C18D3">
      <w:pPr>
        <w:pStyle w:val="SingleTxtG"/>
        <w:ind w:left="4536" w:hanging="3402"/>
      </w:pPr>
      <w:r w:rsidRPr="002E4134">
        <w:rPr>
          <w:i/>
        </w:rPr>
        <w:t>Submitted by:</w:t>
      </w:r>
      <w:r w:rsidRPr="009E31DB">
        <w:tab/>
      </w:r>
      <w:r w:rsidR="00EC0882">
        <w:t>Zhanna Kovsh (Abramova</w:t>
      </w:r>
      <w:r w:rsidR="00D8465C">
        <w:t>)</w:t>
      </w:r>
      <w:r w:rsidR="00EC0882">
        <w:t xml:space="preserve"> </w:t>
      </w:r>
      <w:r w:rsidRPr="009E31DB">
        <w:t>(represented by counsel</w:t>
      </w:r>
      <w:r w:rsidR="00EC0882">
        <w:t xml:space="preserve">, </w:t>
      </w:r>
      <w:r w:rsidR="00746A98" w:rsidRPr="0026246C">
        <w:t>Roman Kisl</w:t>
      </w:r>
      <w:r w:rsidR="00746A98" w:rsidRPr="00940396">
        <w:t>i</w:t>
      </w:r>
      <w:r w:rsidR="00746A98" w:rsidRPr="0026246C">
        <w:t>ak</w:t>
      </w:r>
      <w:r w:rsidRPr="009E31DB">
        <w:t>)</w:t>
      </w:r>
    </w:p>
    <w:p w:rsidR="009E31DB" w:rsidRPr="009E31DB" w:rsidRDefault="009E31DB" w:rsidP="008649F9">
      <w:pPr>
        <w:pStyle w:val="SingleTxtG"/>
        <w:ind w:left="4536" w:hanging="3402"/>
      </w:pPr>
      <w:r w:rsidRPr="002E4134">
        <w:rPr>
          <w:i/>
        </w:rPr>
        <w:t>Alleged victim:</w:t>
      </w:r>
      <w:r w:rsidRPr="009E31DB">
        <w:tab/>
        <w:t>The author</w:t>
      </w:r>
    </w:p>
    <w:p w:rsidR="009E31DB" w:rsidRPr="009E31DB" w:rsidRDefault="009E31DB" w:rsidP="008649F9">
      <w:pPr>
        <w:pStyle w:val="SingleTxtG"/>
        <w:ind w:left="4536" w:hanging="3402"/>
      </w:pPr>
      <w:r w:rsidRPr="002E4134">
        <w:rPr>
          <w:i/>
        </w:rPr>
        <w:t>State party:</w:t>
      </w:r>
      <w:r w:rsidRPr="009E31DB">
        <w:tab/>
      </w:r>
      <w:smartTag w:uri="urn:schemas-microsoft-com:office:smarttags" w:element="place">
        <w:smartTag w:uri="urn:schemas-microsoft-com:office:smarttags" w:element="country-region">
          <w:r w:rsidRPr="009E31DB">
            <w:t>Belarus</w:t>
          </w:r>
        </w:smartTag>
      </w:smartTag>
    </w:p>
    <w:p w:rsidR="009E31DB" w:rsidRPr="009E31DB" w:rsidRDefault="009E31DB" w:rsidP="008649F9">
      <w:pPr>
        <w:pStyle w:val="SingleTxtG"/>
        <w:ind w:left="4536" w:hanging="3402"/>
      </w:pPr>
      <w:r w:rsidRPr="002E4134">
        <w:rPr>
          <w:i/>
        </w:rPr>
        <w:t>Date of communication:</w:t>
      </w:r>
      <w:r w:rsidR="001427F5">
        <w:tab/>
      </w:r>
      <w:r w:rsidR="00EC0882">
        <w:t>4 April 2</w:t>
      </w:r>
      <w:r w:rsidR="001427F5">
        <w:t>008</w:t>
      </w:r>
      <w:r w:rsidRPr="009E31DB">
        <w:t xml:space="preserve"> (initial submission)</w:t>
      </w:r>
      <w:r w:rsidRPr="009E31DB">
        <w:tab/>
      </w:r>
    </w:p>
    <w:p w:rsidR="009E31DB" w:rsidRPr="009E31DB" w:rsidRDefault="009E31DB" w:rsidP="001427F5">
      <w:pPr>
        <w:pStyle w:val="SingleTxtG"/>
        <w:ind w:left="4536" w:hanging="3402"/>
      </w:pPr>
      <w:r w:rsidRPr="002E4134">
        <w:rPr>
          <w:i/>
        </w:rPr>
        <w:t>Document references:</w:t>
      </w:r>
      <w:r w:rsidRPr="009E31DB">
        <w:tab/>
        <w:t>Special Rapporteur’s rule 97 decision, tran</w:t>
      </w:r>
      <w:r w:rsidR="001427F5">
        <w:t xml:space="preserve">smitted to the State party on </w:t>
      </w:r>
      <w:r w:rsidR="00EC0882">
        <w:t xml:space="preserve">29 April </w:t>
      </w:r>
      <w:r w:rsidR="001427F5">
        <w:t>2008</w:t>
      </w:r>
      <w:r w:rsidRPr="009E31DB">
        <w:t xml:space="preserve"> (not issued in document form)</w:t>
      </w:r>
    </w:p>
    <w:p w:rsidR="009E31DB" w:rsidRPr="009E31DB" w:rsidRDefault="009E31DB" w:rsidP="005B6A9F">
      <w:pPr>
        <w:pStyle w:val="SingleTxtG"/>
        <w:ind w:left="4536" w:hanging="3402"/>
      </w:pPr>
      <w:r w:rsidRPr="002E4134">
        <w:rPr>
          <w:i/>
        </w:rPr>
        <w:t>Date of adoption of Views:</w:t>
      </w:r>
      <w:r w:rsidRPr="009E31DB">
        <w:tab/>
      </w:r>
      <w:r w:rsidR="007808DF">
        <w:t>27</w:t>
      </w:r>
      <w:r w:rsidRPr="009E31DB">
        <w:t xml:space="preserve"> </w:t>
      </w:r>
      <w:r w:rsidR="00491B48">
        <w:t>March</w:t>
      </w:r>
      <w:r w:rsidR="005B6A9F" w:rsidRPr="009E31DB">
        <w:t xml:space="preserve"> </w:t>
      </w:r>
      <w:r w:rsidRPr="009E31DB">
        <w:t>201</w:t>
      </w:r>
      <w:r w:rsidR="00491B48">
        <w:t>3</w:t>
      </w:r>
    </w:p>
    <w:p w:rsidR="009E31DB" w:rsidRPr="004E1E13" w:rsidRDefault="009E31DB" w:rsidP="00C3208A">
      <w:pPr>
        <w:pStyle w:val="SingleTxtG"/>
        <w:ind w:left="4500" w:hanging="3366"/>
      </w:pPr>
      <w:r w:rsidRPr="004E1E13">
        <w:rPr>
          <w:i/>
          <w:iCs/>
        </w:rPr>
        <w:t>Subject matter:</w:t>
      </w:r>
      <w:r w:rsidRPr="004E1E13">
        <w:tab/>
      </w:r>
      <w:r w:rsidR="00AA4A3A" w:rsidRPr="004E1E13">
        <w:t xml:space="preserve">Failure to promptly bring the author before a judge on two separate occasions </w:t>
      </w:r>
    </w:p>
    <w:p w:rsidR="009E31DB" w:rsidRPr="004E1E13" w:rsidRDefault="005030C0" w:rsidP="00216206">
      <w:pPr>
        <w:pStyle w:val="SingleTxtG"/>
        <w:ind w:left="4536" w:hanging="3402"/>
      </w:pPr>
      <w:r w:rsidRPr="004E1E13">
        <w:rPr>
          <w:i/>
          <w:iCs/>
        </w:rPr>
        <w:t>Substantive issue</w:t>
      </w:r>
      <w:r w:rsidR="00AA4A3A" w:rsidRPr="004E1E13">
        <w:rPr>
          <w:i/>
          <w:iCs/>
        </w:rPr>
        <w:t>s</w:t>
      </w:r>
      <w:r w:rsidR="009E31DB" w:rsidRPr="004E1E13">
        <w:rPr>
          <w:i/>
          <w:iCs/>
        </w:rPr>
        <w:t xml:space="preserve">: </w:t>
      </w:r>
      <w:r w:rsidR="009E31DB" w:rsidRPr="004E1E13">
        <w:rPr>
          <w:i/>
          <w:iCs/>
        </w:rPr>
        <w:tab/>
      </w:r>
      <w:r w:rsidR="007A7EE8" w:rsidRPr="004E1E13">
        <w:t>Right to be brought promptly before a judge</w:t>
      </w:r>
      <w:r w:rsidR="00AA4A3A" w:rsidRPr="004E1E13">
        <w:t xml:space="preserve">; right to a </w:t>
      </w:r>
      <w:r w:rsidR="004E1E13" w:rsidRPr="004E1E13">
        <w:t>public</w:t>
      </w:r>
      <w:r w:rsidR="00AA4A3A" w:rsidRPr="004E1E13">
        <w:t xml:space="preserve"> hearing by an independent and impartial tribunal</w:t>
      </w:r>
    </w:p>
    <w:p w:rsidR="009E31DB" w:rsidRPr="004E1E13" w:rsidRDefault="009E31DB" w:rsidP="008649F9">
      <w:pPr>
        <w:pStyle w:val="SingleTxtG"/>
        <w:ind w:left="4536" w:hanging="3402"/>
      </w:pPr>
      <w:r w:rsidRPr="004E1E13">
        <w:rPr>
          <w:i/>
          <w:iCs/>
        </w:rPr>
        <w:t>Procedural issue</w:t>
      </w:r>
      <w:r w:rsidR="00AA4A3A" w:rsidRPr="004E1E13">
        <w:rPr>
          <w:i/>
          <w:iCs/>
        </w:rPr>
        <w:t>s</w:t>
      </w:r>
      <w:r w:rsidRPr="004E1E13">
        <w:rPr>
          <w:i/>
          <w:iCs/>
        </w:rPr>
        <w:t xml:space="preserve">: </w:t>
      </w:r>
      <w:r w:rsidRPr="004E1E13">
        <w:rPr>
          <w:i/>
          <w:iCs/>
        </w:rPr>
        <w:tab/>
      </w:r>
      <w:r w:rsidR="004E1E13">
        <w:rPr>
          <w:iCs/>
        </w:rPr>
        <w:t>E</w:t>
      </w:r>
      <w:r w:rsidR="005030C0" w:rsidRPr="004E1E13">
        <w:t>xhaustion of domestic remedies</w:t>
      </w:r>
      <w:r w:rsidR="004E1E13">
        <w:t>; l</w:t>
      </w:r>
      <w:r w:rsidR="004E1E13" w:rsidRPr="004E1E13">
        <w:t>ev</w:t>
      </w:r>
      <w:r w:rsidR="004E1E13">
        <w:t>el of substantiation of a claim</w:t>
      </w:r>
    </w:p>
    <w:p w:rsidR="009E31DB" w:rsidRPr="004E1E13" w:rsidRDefault="009E31DB" w:rsidP="00216206">
      <w:pPr>
        <w:pStyle w:val="SingleTxtG"/>
        <w:ind w:left="4536" w:hanging="3402"/>
      </w:pPr>
      <w:r w:rsidRPr="004E1E13">
        <w:rPr>
          <w:i/>
          <w:iCs/>
        </w:rPr>
        <w:t>Article</w:t>
      </w:r>
      <w:r w:rsidR="00AA4A3A" w:rsidRPr="004E1E13">
        <w:rPr>
          <w:i/>
          <w:iCs/>
        </w:rPr>
        <w:t>s</w:t>
      </w:r>
      <w:r w:rsidRPr="004E1E13">
        <w:rPr>
          <w:i/>
          <w:iCs/>
        </w:rPr>
        <w:t xml:space="preserve"> of the Covenant:</w:t>
      </w:r>
      <w:r w:rsidRPr="004E1E13">
        <w:t xml:space="preserve"> </w:t>
      </w:r>
      <w:r w:rsidRPr="004E1E13">
        <w:tab/>
      </w:r>
      <w:r w:rsidR="004E1E13" w:rsidRPr="004E1E13">
        <w:t>9, paragraph 3; and 14, paragraph 1</w:t>
      </w:r>
    </w:p>
    <w:p w:rsidR="009E31DB" w:rsidRPr="00D233F7" w:rsidRDefault="009E31DB" w:rsidP="008649F9">
      <w:pPr>
        <w:pStyle w:val="SingleTxtG"/>
        <w:ind w:left="4536" w:hanging="3402"/>
      </w:pPr>
      <w:r w:rsidRPr="004E1E13">
        <w:rPr>
          <w:i/>
          <w:iCs/>
        </w:rPr>
        <w:t>Article</w:t>
      </w:r>
      <w:r w:rsidR="005030C0" w:rsidRPr="004E1E13">
        <w:rPr>
          <w:i/>
          <w:iCs/>
        </w:rPr>
        <w:t>s</w:t>
      </w:r>
      <w:r w:rsidRPr="004E1E13">
        <w:rPr>
          <w:i/>
          <w:iCs/>
        </w:rPr>
        <w:t xml:space="preserve"> of the Optional Protocol:</w:t>
      </w:r>
      <w:r w:rsidRPr="004E1E13">
        <w:rPr>
          <w:i/>
          <w:iCs/>
        </w:rPr>
        <w:tab/>
      </w:r>
      <w:r w:rsidR="005030C0" w:rsidRPr="004E1E13">
        <w:rPr>
          <w:iCs/>
        </w:rPr>
        <w:t xml:space="preserve">2; </w:t>
      </w:r>
      <w:r w:rsidR="00A45519" w:rsidRPr="004E1E13">
        <w:t xml:space="preserve">5, </w:t>
      </w:r>
      <w:r w:rsidR="00277882" w:rsidRPr="004E1E13">
        <w:t>paragraph 2</w:t>
      </w:r>
      <w:r w:rsidR="005030C0" w:rsidRPr="004E1E13">
        <w:t xml:space="preserve"> </w:t>
      </w:r>
      <w:r w:rsidR="00277882" w:rsidRPr="004E1E13">
        <w:t>(b)</w:t>
      </w:r>
    </w:p>
    <w:p w:rsidR="009E31DB" w:rsidRPr="009E31DB" w:rsidRDefault="009E31DB" w:rsidP="008649F9">
      <w:pPr>
        <w:pStyle w:val="HChG"/>
      </w:pPr>
      <w:r w:rsidRPr="009E31DB">
        <w:br w:type="page"/>
      </w:r>
      <w:r w:rsidRPr="009E31DB">
        <w:lastRenderedPageBreak/>
        <w:t>Annex</w:t>
      </w:r>
    </w:p>
    <w:p w:rsidR="009E31DB" w:rsidRPr="009E31DB" w:rsidRDefault="009E31DB" w:rsidP="00DE5B51">
      <w:pPr>
        <w:pStyle w:val="HChG"/>
        <w:rPr>
          <w:bCs/>
        </w:rPr>
      </w:pPr>
      <w:r w:rsidRPr="009E31DB">
        <w:tab/>
      </w:r>
      <w:r w:rsidRPr="009E31DB">
        <w:tab/>
        <w:t>Views of the Human Rights Committee under article 5, paragraph 4, of the Optional Protocol to the International Covenant on Civil and Political rights (</w:t>
      </w:r>
      <w:r w:rsidR="00DE5B51">
        <w:t>10</w:t>
      </w:r>
      <w:r w:rsidR="002829AD">
        <w:t>7</w:t>
      </w:r>
      <w:r w:rsidR="00DE5B51">
        <w:t xml:space="preserve">th </w:t>
      </w:r>
      <w:r w:rsidRPr="009E31DB">
        <w:rPr>
          <w:bCs/>
        </w:rPr>
        <w:t>session)</w:t>
      </w:r>
    </w:p>
    <w:p w:rsidR="009E31DB" w:rsidRPr="009E31DB" w:rsidRDefault="009E31DB" w:rsidP="008649F9">
      <w:pPr>
        <w:pStyle w:val="SingleTxtG"/>
        <w:rPr>
          <w:b/>
          <w:bCs/>
        </w:rPr>
      </w:pPr>
      <w:r w:rsidRPr="009E31DB">
        <w:t>concerning</w:t>
      </w:r>
    </w:p>
    <w:p w:rsidR="009E31DB" w:rsidRPr="009E31DB" w:rsidRDefault="009E31DB" w:rsidP="001427F5">
      <w:pPr>
        <w:pStyle w:val="H1G"/>
      </w:pPr>
      <w:r w:rsidRPr="009E31DB">
        <w:tab/>
      </w:r>
      <w:r w:rsidRPr="009E31DB">
        <w:tab/>
        <w:t>Communication No. 1</w:t>
      </w:r>
      <w:r w:rsidR="00FF2114">
        <w:t>787</w:t>
      </w:r>
      <w:r w:rsidR="001427F5">
        <w:t>/2008</w:t>
      </w:r>
      <w:r w:rsidR="007808DF">
        <w:rPr>
          <w:rStyle w:val="FootnoteReference"/>
        </w:rPr>
        <w:footnoteReference w:customMarkFollows="1" w:id="2"/>
        <w:t>*</w:t>
      </w:r>
    </w:p>
    <w:p w:rsidR="009E31DB" w:rsidRPr="009E31DB" w:rsidRDefault="009E31DB" w:rsidP="001427F5">
      <w:pPr>
        <w:pStyle w:val="SingleTxtG"/>
        <w:ind w:left="4536" w:hanging="3402"/>
      </w:pPr>
      <w:r w:rsidRPr="002E4134">
        <w:rPr>
          <w:i/>
        </w:rPr>
        <w:t>Submitted by:</w:t>
      </w:r>
      <w:r w:rsidRPr="009E31DB">
        <w:tab/>
      </w:r>
      <w:r w:rsidR="00F6499C">
        <w:t xml:space="preserve">Zhanna Kovsh (Abramova) </w:t>
      </w:r>
      <w:r w:rsidR="00F6499C" w:rsidRPr="009E31DB">
        <w:t>(represented by counsel</w:t>
      </w:r>
      <w:r w:rsidR="00F6499C">
        <w:t xml:space="preserve">, </w:t>
      </w:r>
      <w:r w:rsidR="00746A98" w:rsidRPr="0026246C">
        <w:t>Roman Kisl</w:t>
      </w:r>
      <w:r w:rsidR="00746A98" w:rsidRPr="00940396">
        <w:t>i</w:t>
      </w:r>
      <w:r w:rsidR="00746A98" w:rsidRPr="0026246C">
        <w:t>ak</w:t>
      </w:r>
      <w:r w:rsidR="00F6499C" w:rsidRPr="009E31DB">
        <w:t>)</w:t>
      </w:r>
    </w:p>
    <w:p w:rsidR="009E31DB" w:rsidRPr="009E31DB" w:rsidRDefault="009E31DB" w:rsidP="008649F9">
      <w:pPr>
        <w:pStyle w:val="SingleTxtG"/>
        <w:ind w:left="4536" w:hanging="3402"/>
      </w:pPr>
      <w:r w:rsidRPr="002E4134">
        <w:rPr>
          <w:i/>
        </w:rPr>
        <w:t>Alleged victim:</w:t>
      </w:r>
      <w:r w:rsidRPr="009E31DB">
        <w:tab/>
        <w:t>The author</w:t>
      </w:r>
    </w:p>
    <w:p w:rsidR="009E31DB" w:rsidRPr="009E31DB" w:rsidRDefault="009E31DB" w:rsidP="008649F9">
      <w:pPr>
        <w:pStyle w:val="SingleTxtG"/>
        <w:ind w:left="4536" w:hanging="3402"/>
      </w:pPr>
      <w:r w:rsidRPr="002E4134">
        <w:rPr>
          <w:i/>
        </w:rPr>
        <w:t>State party:</w:t>
      </w:r>
      <w:r w:rsidRPr="009E31DB">
        <w:tab/>
      </w:r>
      <w:smartTag w:uri="urn:schemas-microsoft-com:office:smarttags" w:element="place">
        <w:smartTag w:uri="urn:schemas-microsoft-com:office:smarttags" w:element="country-region">
          <w:r w:rsidRPr="009E31DB">
            <w:t>Belarus</w:t>
          </w:r>
        </w:smartTag>
      </w:smartTag>
    </w:p>
    <w:p w:rsidR="009E31DB" w:rsidRPr="009E31DB" w:rsidRDefault="009E31DB" w:rsidP="001427F5">
      <w:pPr>
        <w:pStyle w:val="SingleTxtG"/>
        <w:ind w:left="4536" w:hanging="3402"/>
      </w:pPr>
      <w:r w:rsidRPr="002E4134">
        <w:rPr>
          <w:i/>
        </w:rPr>
        <w:t>Date of communication:</w:t>
      </w:r>
      <w:r w:rsidRPr="009E31DB">
        <w:tab/>
      </w:r>
      <w:r w:rsidR="00F6499C">
        <w:t>4 April 2008</w:t>
      </w:r>
      <w:r w:rsidR="00F6499C" w:rsidRPr="009E31DB">
        <w:t xml:space="preserve"> (initial submission)</w:t>
      </w:r>
    </w:p>
    <w:p w:rsidR="009E31DB" w:rsidRPr="009E31DB" w:rsidRDefault="009E31DB" w:rsidP="008649F9">
      <w:pPr>
        <w:pStyle w:val="SingleTxtG"/>
      </w:pPr>
      <w:r w:rsidRPr="009E31DB">
        <w:tab/>
      </w:r>
      <w:r w:rsidRPr="002E4134">
        <w:rPr>
          <w:i/>
        </w:rPr>
        <w:t>The Human Rights Committee</w:t>
      </w:r>
      <w:r w:rsidRPr="009E31DB">
        <w:t xml:space="preserve">, established under article 28 of the International Covenant on Civil and Political Rights, </w:t>
      </w:r>
    </w:p>
    <w:p w:rsidR="009E31DB" w:rsidRPr="009E31DB" w:rsidRDefault="009E31DB" w:rsidP="00DE5B51">
      <w:pPr>
        <w:pStyle w:val="SingleTxtG"/>
      </w:pPr>
      <w:r w:rsidRPr="009E31DB">
        <w:tab/>
      </w:r>
      <w:r w:rsidRPr="002E4134">
        <w:rPr>
          <w:i/>
        </w:rPr>
        <w:t>Meeting on</w:t>
      </w:r>
      <w:r w:rsidRPr="009E31DB">
        <w:t xml:space="preserve"> </w:t>
      </w:r>
      <w:r w:rsidR="007808DF">
        <w:t>27</w:t>
      </w:r>
      <w:r w:rsidRPr="009E31DB">
        <w:t xml:space="preserve"> </w:t>
      </w:r>
      <w:r w:rsidR="00455223">
        <w:t>March</w:t>
      </w:r>
      <w:r w:rsidR="00DE5B51" w:rsidRPr="009E31DB">
        <w:t xml:space="preserve"> </w:t>
      </w:r>
      <w:r w:rsidRPr="009E31DB">
        <w:t>201</w:t>
      </w:r>
      <w:r w:rsidR="00455223">
        <w:t>3</w:t>
      </w:r>
      <w:r w:rsidRPr="009E31DB">
        <w:t>,</w:t>
      </w:r>
    </w:p>
    <w:p w:rsidR="009E31DB" w:rsidRPr="009E31DB" w:rsidRDefault="009E31DB" w:rsidP="00D63775">
      <w:pPr>
        <w:pStyle w:val="SingleTxtG"/>
      </w:pPr>
      <w:r w:rsidRPr="009E31DB">
        <w:tab/>
      </w:r>
      <w:r w:rsidRPr="002E4134">
        <w:rPr>
          <w:i/>
        </w:rPr>
        <w:t>Having concluded</w:t>
      </w:r>
      <w:r w:rsidRPr="009E31DB">
        <w:t xml:space="preserve"> its consideration of communication No. 1</w:t>
      </w:r>
      <w:r w:rsidR="00F6499C">
        <w:t>787</w:t>
      </w:r>
      <w:r w:rsidR="003713B1">
        <w:t>/2008</w:t>
      </w:r>
      <w:r w:rsidRPr="009E31DB">
        <w:t xml:space="preserve">, submitted to the Human Rights Committee by </w:t>
      </w:r>
      <w:r w:rsidR="00F6499C">
        <w:t>Zhanna Kovsh (Abramova)</w:t>
      </w:r>
      <w:r w:rsidR="00D8465C" w:rsidRPr="009E31DB">
        <w:t xml:space="preserve"> </w:t>
      </w:r>
      <w:r w:rsidRPr="009E31DB">
        <w:t>under the Optional Protocol to the International Covenant on Civil and Political Rights,</w:t>
      </w:r>
    </w:p>
    <w:p w:rsidR="009E31DB" w:rsidRPr="009E31DB" w:rsidRDefault="009E31DB" w:rsidP="008649F9">
      <w:pPr>
        <w:pStyle w:val="SingleTxtG"/>
      </w:pPr>
      <w:r w:rsidRPr="009E31DB">
        <w:tab/>
      </w:r>
      <w:r w:rsidRPr="002E4134">
        <w:rPr>
          <w:i/>
        </w:rPr>
        <w:t>Having taken into account</w:t>
      </w:r>
      <w:r w:rsidRPr="009E31DB">
        <w:t xml:space="preserve"> all written information made available to it by the author</w:t>
      </w:r>
      <w:r w:rsidR="00D8465C">
        <w:t xml:space="preserve"> </w:t>
      </w:r>
      <w:r w:rsidRPr="009E31DB">
        <w:t>of the communication and the State party,</w:t>
      </w:r>
    </w:p>
    <w:p w:rsidR="009E31DB" w:rsidRPr="002E4134" w:rsidRDefault="009E31DB" w:rsidP="008649F9">
      <w:pPr>
        <w:pStyle w:val="SingleTxtG"/>
        <w:rPr>
          <w:i/>
        </w:rPr>
      </w:pPr>
      <w:r w:rsidRPr="009E31DB">
        <w:tab/>
      </w:r>
      <w:r w:rsidRPr="002E4134">
        <w:rPr>
          <w:i/>
        </w:rPr>
        <w:t>Adopts the following:</w:t>
      </w:r>
    </w:p>
    <w:p w:rsidR="009E31DB" w:rsidRPr="009E31DB" w:rsidRDefault="009E31DB" w:rsidP="008649F9">
      <w:pPr>
        <w:pStyle w:val="H1G"/>
      </w:pPr>
      <w:r w:rsidRPr="009E31DB">
        <w:tab/>
      </w:r>
      <w:r w:rsidRPr="009E31DB">
        <w:tab/>
        <w:t>Views under article 5, paragraph 4, of the Optional Protocol</w:t>
      </w:r>
    </w:p>
    <w:p w:rsidR="00975F26" w:rsidRDefault="009E31DB" w:rsidP="00975F26">
      <w:pPr>
        <w:pStyle w:val="SingleTxtG"/>
      </w:pPr>
      <w:r w:rsidRPr="009E31DB">
        <w:t>1.</w:t>
      </w:r>
      <w:r w:rsidR="00D3502B">
        <w:t>1</w:t>
      </w:r>
      <w:r w:rsidRPr="009E31DB">
        <w:tab/>
        <w:t>The author</w:t>
      </w:r>
      <w:r w:rsidR="00F92377">
        <w:t xml:space="preserve"> of the communication </w:t>
      </w:r>
      <w:r w:rsidR="002D3A02">
        <w:t xml:space="preserve">is Zhanna Abramova, a national of </w:t>
      </w:r>
      <w:smartTag w:uri="urn:schemas-microsoft-com:office:smarttags" w:element="place">
        <w:smartTag w:uri="urn:schemas-microsoft-com:office:smarttags" w:element="country-region">
          <w:r w:rsidR="002D3A02">
            <w:t>Belarus</w:t>
          </w:r>
        </w:smartTag>
      </w:smartTag>
      <w:r w:rsidR="002D3A02">
        <w:t xml:space="preserve"> born in 1983. Subsequent to the submission of the communication, she got married and changed her surname to Kovsh. </w:t>
      </w:r>
      <w:r w:rsidR="007123F4">
        <w:t>The</w:t>
      </w:r>
      <w:r w:rsidR="002D3A02">
        <w:t xml:space="preserve"> author </w:t>
      </w:r>
      <w:r w:rsidR="007123F4">
        <w:t>claim</w:t>
      </w:r>
      <w:r w:rsidR="002D3A02">
        <w:t>s</w:t>
      </w:r>
      <w:r w:rsidRPr="009E31DB">
        <w:t xml:space="preserve"> to be </w:t>
      </w:r>
      <w:r w:rsidR="002D3A02">
        <w:t xml:space="preserve">a </w:t>
      </w:r>
      <w:r w:rsidRPr="009E31DB">
        <w:t xml:space="preserve">victim of </w:t>
      </w:r>
      <w:r w:rsidR="007123F4">
        <w:t>a violation</w:t>
      </w:r>
      <w:r w:rsidRPr="009E31DB">
        <w:t xml:space="preserve"> by </w:t>
      </w:r>
      <w:smartTag w:uri="urn:schemas-microsoft-com:office:smarttags" w:element="place">
        <w:smartTag w:uri="urn:schemas-microsoft-com:office:smarttags" w:element="country-region">
          <w:r w:rsidRPr="009E31DB">
            <w:t>Belarus</w:t>
          </w:r>
        </w:smartTag>
      </w:smartTag>
      <w:r w:rsidRPr="009E31DB">
        <w:t xml:space="preserve"> of </w:t>
      </w:r>
      <w:r w:rsidR="002D3A02">
        <w:t xml:space="preserve">her </w:t>
      </w:r>
      <w:r w:rsidR="007123F4">
        <w:t xml:space="preserve">rights under article </w:t>
      </w:r>
      <w:r w:rsidR="002D3A02">
        <w:t>9, paragraph 3</w:t>
      </w:r>
      <w:r w:rsidR="00975F26">
        <w:t xml:space="preserve">, </w:t>
      </w:r>
      <w:r w:rsidRPr="009E31DB">
        <w:t xml:space="preserve">of the International Covenant on Civil and Political Rights. The Optional Protocol entered into force for the State party on </w:t>
      </w:r>
      <w:smartTag w:uri="urn:schemas-microsoft-com:office:smarttags" w:element="date">
        <w:smartTagPr>
          <w:attr w:name="Month" w:val="12"/>
          <w:attr w:name="Day" w:val="30"/>
          <w:attr w:name="Year" w:val="1992"/>
        </w:smartTagPr>
        <w:r w:rsidRPr="009E31DB">
          <w:t>30 December 1992</w:t>
        </w:r>
      </w:smartTag>
      <w:r w:rsidR="002D3A02">
        <w:t>. S</w:t>
      </w:r>
      <w:r w:rsidRPr="009E31DB">
        <w:t xml:space="preserve">he </w:t>
      </w:r>
      <w:r w:rsidR="002D3A02">
        <w:t xml:space="preserve">is </w:t>
      </w:r>
      <w:r w:rsidRPr="009E31DB">
        <w:t>represented</w:t>
      </w:r>
      <w:r w:rsidR="002D3A02">
        <w:t xml:space="preserve"> by counsel </w:t>
      </w:r>
      <w:r w:rsidR="00746A98" w:rsidRPr="0026246C">
        <w:t>Roman Kisl</w:t>
      </w:r>
      <w:r w:rsidR="00746A98" w:rsidRPr="00940396">
        <w:t>i</w:t>
      </w:r>
      <w:r w:rsidR="00746A98" w:rsidRPr="0026246C">
        <w:t>ak</w:t>
      </w:r>
      <w:r w:rsidRPr="009E31DB">
        <w:t xml:space="preserve">. </w:t>
      </w:r>
    </w:p>
    <w:p w:rsidR="003C0567" w:rsidRDefault="00D3502B" w:rsidP="003C0567">
      <w:pPr>
        <w:pStyle w:val="SingleTxtG"/>
      </w:pPr>
      <w:r>
        <w:t>1.2</w:t>
      </w:r>
      <w:r>
        <w:tab/>
      </w:r>
      <w:r w:rsidRPr="00D3502B">
        <w:t xml:space="preserve">On </w:t>
      </w:r>
      <w:r w:rsidR="002D3A02">
        <w:t>4 August 2008</w:t>
      </w:r>
      <w:r w:rsidRPr="00D3502B">
        <w:t xml:space="preserve">, the State party requested the Committee to examine the admissibility of </w:t>
      </w:r>
      <w:r w:rsidR="00801643">
        <w:t xml:space="preserve">the </w:t>
      </w:r>
      <w:r w:rsidRPr="00D3502B">
        <w:t xml:space="preserve">communication separately from </w:t>
      </w:r>
      <w:r w:rsidR="002D3A02">
        <w:t xml:space="preserve">its </w:t>
      </w:r>
      <w:r w:rsidRPr="00D3502B">
        <w:t>merits, in accordance with Rule 97, paragraph 3, of the Comm</w:t>
      </w:r>
      <w:r>
        <w:t>ittee</w:t>
      </w:r>
      <w:r w:rsidR="00FE0169">
        <w:t>’</w:t>
      </w:r>
      <w:r>
        <w:t xml:space="preserve">s rules of procedure. On </w:t>
      </w:r>
      <w:r w:rsidR="003C0567">
        <w:t>4 September 2008</w:t>
      </w:r>
      <w:r w:rsidRPr="00D3502B">
        <w:t xml:space="preserve">, the Special </w:t>
      </w:r>
      <w:r w:rsidRPr="00D3502B">
        <w:lastRenderedPageBreak/>
        <w:t>Rapporteur for New Communications and Interim Measures decided, on behalf of the Committee, to examine the admissibility of the communication</w:t>
      </w:r>
      <w:r w:rsidR="003C0567">
        <w:t xml:space="preserve"> together with its</w:t>
      </w:r>
      <w:r w:rsidRPr="00D3502B">
        <w:t xml:space="preserve"> merits.</w:t>
      </w:r>
    </w:p>
    <w:p w:rsidR="009E31DB" w:rsidRPr="003C0567" w:rsidRDefault="00CB20B6" w:rsidP="00CB20B6">
      <w:pPr>
        <w:pStyle w:val="H23G"/>
      </w:pPr>
      <w:r>
        <w:tab/>
      </w:r>
      <w:r>
        <w:tab/>
      </w:r>
      <w:r w:rsidR="009E31DB" w:rsidRPr="003C0567">
        <w:t>The facts as presented by the author</w:t>
      </w:r>
    </w:p>
    <w:p w:rsidR="00D73671" w:rsidRDefault="00801643" w:rsidP="00D73671">
      <w:pPr>
        <w:pStyle w:val="SingleTxtG"/>
      </w:pPr>
      <w:r w:rsidRPr="00311265">
        <w:t>2.1</w:t>
      </w:r>
      <w:r>
        <w:tab/>
      </w:r>
      <w:r w:rsidR="00864B0F">
        <w:t>At 9.30 a.m. o</w:t>
      </w:r>
      <w:r w:rsidR="00864B0F" w:rsidRPr="00864B0F">
        <w:t xml:space="preserve">n 29 September 2005, the author was detained by </w:t>
      </w:r>
      <w:r w:rsidR="00657369">
        <w:t xml:space="preserve">two </w:t>
      </w:r>
      <w:r w:rsidR="00864B0F">
        <w:t>police</w:t>
      </w:r>
      <w:r w:rsidR="00864B0F" w:rsidRPr="00864B0F">
        <w:t xml:space="preserve"> officers on the territory of the </w:t>
      </w:r>
      <w:smartTag w:uri="urn:schemas-microsoft-com:office:smarttags" w:element="place">
        <w:smartTag w:uri="urn:schemas-microsoft-com:office:smarttags" w:element="City">
          <w:r w:rsidR="00864B0F" w:rsidRPr="00864B0F">
            <w:t>Brest</w:t>
          </w:r>
        </w:smartTag>
      </w:smartTag>
      <w:r w:rsidR="00864B0F" w:rsidRPr="00864B0F">
        <w:t xml:space="preserve"> central market and </w:t>
      </w:r>
      <w:r w:rsidR="00864B0F">
        <w:t xml:space="preserve">taken to </w:t>
      </w:r>
      <w:r w:rsidR="00864B0F" w:rsidRPr="00864B0F">
        <w:t>the Department of Internal Affairs of the Leninsky District Administration of Brest (</w:t>
      </w:r>
      <w:r w:rsidR="00036591">
        <w:t>Department of Internal Affairs</w:t>
      </w:r>
      <w:r w:rsidR="00864B0F" w:rsidRPr="00864B0F">
        <w:t xml:space="preserve">). </w:t>
      </w:r>
      <w:r w:rsidR="00864B0F">
        <w:t xml:space="preserve">Her </w:t>
      </w:r>
      <w:r w:rsidR="00864B0F" w:rsidRPr="00864B0F">
        <w:t>detention was authori</w:t>
      </w:r>
      <w:r w:rsidR="00FE0169">
        <w:t>z</w:t>
      </w:r>
      <w:r w:rsidR="00864B0F" w:rsidRPr="00864B0F">
        <w:t xml:space="preserve">ed by the Head of the </w:t>
      </w:r>
      <w:r w:rsidR="00036591">
        <w:t>Department of Internal Affairs</w:t>
      </w:r>
      <w:r w:rsidR="00864B0F" w:rsidRPr="00864B0F">
        <w:t xml:space="preserve"> and was carried out in accordance with procedure established by article</w:t>
      </w:r>
      <w:r w:rsidR="00036591">
        <w:t xml:space="preserve"> 108 of the </w:t>
      </w:r>
      <w:r w:rsidR="00864B0F" w:rsidRPr="00864B0F">
        <w:t xml:space="preserve">Criminal Procedure Code. </w:t>
      </w:r>
      <w:r w:rsidR="00036591">
        <w:t>A</w:t>
      </w:r>
      <w:r w:rsidR="00864B0F" w:rsidRPr="00864B0F">
        <w:t xml:space="preserve">t 1 p.m. </w:t>
      </w:r>
      <w:r w:rsidR="00036591">
        <w:t xml:space="preserve">on the same day, </w:t>
      </w:r>
      <w:r w:rsidR="00864B0F" w:rsidRPr="00864B0F">
        <w:t xml:space="preserve">the author was placed </w:t>
      </w:r>
      <w:r w:rsidR="00864B0F" w:rsidRPr="00833D94">
        <w:t xml:space="preserve">in a temporary detention </w:t>
      </w:r>
      <w:r w:rsidR="00036591" w:rsidRPr="00833D94">
        <w:t>ward</w:t>
      </w:r>
      <w:r w:rsidR="00036591">
        <w:t xml:space="preserve"> of the Directorate</w:t>
      </w:r>
      <w:r w:rsidR="00864B0F" w:rsidRPr="00864B0F">
        <w:t xml:space="preserve"> of Internal Affairs of the Brest Regional Executive Committee (</w:t>
      </w:r>
      <w:r w:rsidR="00036591">
        <w:t>Directorate</w:t>
      </w:r>
      <w:r w:rsidR="00036591" w:rsidRPr="00864B0F">
        <w:t xml:space="preserve"> of Internal Affairs</w:t>
      </w:r>
      <w:r w:rsidR="00864B0F" w:rsidRPr="00864B0F">
        <w:t xml:space="preserve">). </w:t>
      </w:r>
      <w:r w:rsidR="00036591">
        <w:t>At 10.30 p.m. o</w:t>
      </w:r>
      <w:r w:rsidR="00864B0F" w:rsidRPr="00864B0F">
        <w:t>n 1 October 2005</w:t>
      </w:r>
      <w:r w:rsidR="00036591">
        <w:t>,</w:t>
      </w:r>
      <w:r w:rsidR="00864B0F" w:rsidRPr="00864B0F">
        <w:t xml:space="preserve"> </w:t>
      </w:r>
      <w:r w:rsidR="00036591">
        <w:t xml:space="preserve">she </w:t>
      </w:r>
      <w:r w:rsidR="00864B0F" w:rsidRPr="00864B0F">
        <w:t xml:space="preserve">was released from detention. During </w:t>
      </w:r>
      <w:r w:rsidR="00521DC0">
        <w:t xml:space="preserve">the </w:t>
      </w:r>
      <w:r w:rsidR="00A56A83">
        <w:t>two</w:t>
      </w:r>
      <w:r w:rsidR="00864B0F" w:rsidRPr="00864B0F">
        <w:t xml:space="preserve"> days and 13 hours (61 hours) from the moment of actual detention until the moment of </w:t>
      </w:r>
      <w:r w:rsidR="00036591">
        <w:t xml:space="preserve">her </w:t>
      </w:r>
      <w:r w:rsidR="00864B0F" w:rsidRPr="00864B0F">
        <w:t xml:space="preserve">release, </w:t>
      </w:r>
      <w:r w:rsidR="00036591">
        <w:t xml:space="preserve">the author </w:t>
      </w:r>
      <w:r w:rsidR="00864B0F" w:rsidRPr="00864B0F">
        <w:t>was not brought before a judge</w:t>
      </w:r>
      <w:r w:rsidR="00D73671">
        <w:t xml:space="preserve">. </w:t>
      </w:r>
    </w:p>
    <w:p w:rsidR="00657369" w:rsidRDefault="00D73671" w:rsidP="00657369">
      <w:pPr>
        <w:pStyle w:val="SingleTxtG"/>
      </w:pPr>
      <w:r>
        <w:t>2.2</w:t>
      </w:r>
      <w:r>
        <w:tab/>
        <w:t>At 9 a.m. o</w:t>
      </w:r>
      <w:r w:rsidR="00864B0F" w:rsidRPr="00864B0F">
        <w:t xml:space="preserve">n 27 January 2006, the author was </w:t>
      </w:r>
      <w:r>
        <w:t xml:space="preserve">again </w:t>
      </w:r>
      <w:r w:rsidR="00864B0F" w:rsidRPr="00864B0F">
        <w:t xml:space="preserve">detained in front of her house by two </w:t>
      </w:r>
      <w:r>
        <w:t>police</w:t>
      </w:r>
      <w:r w:rsidR="00864B0F" w:rsidRPr="00864B0F">
        <w:t xml:space="preserve"> officers in civil</w:t>
      </w:r>
      <w:r>
        <w:t>ian</w:t>
      </w:r>
      <w:r w:rsidR="00864B0F" w:rsidRPr="00864B0F">
        <w:t xml:space="preserve"> clothes and then placed in the </w:t>
      </w:r>
      <w:r w:rsidR="00657369">
        <w:t>temporary detention ward of the Directorate of Internal Affairs</w:t>
      </w:r>
      <w:r w:rsidR="00864B0F" w:rsidRPr="00864B0F">
        <w:t>. Her detention was authori</w:t>
      </w:r>
      <w:r w:rsidR="00A56A83">
        <w:t>z</w:t>
      </w:r>
      <w:r w:rsidR="00864B0F" w:rsidRPr="00864B0F">
        <w:t xml:space="preserve">ed by the Chief Investigator of the </w:t>
      </w:r>
      <w:r w:rsidR="00657369" w:rsidRPr="00864B0F">
        <w:t xml:space="preserve">Preliminary Investigation </w:t>
      </w:r>
      <w:r w:rsidR="00657369">
        <w:t xml:space="preserve">Unit </w:t>
      </w:r>
      <w:r w:rsidR="00163E94">
        <w:t xml:space="preserve">of the </w:t>
      </w:r>
      <w:r w:rsidR="00657369">
        <w:t>Directorate</w:t>
      </w:r>
      <w:r w:rsidR="00657369" w:rsidRPr="00864B0F">
        <w:t xml:space="preserve"> of Internal Affairs</w:t>
      </w:r>
      <w:r w:rsidR="00864B0F" w:rsidRPr="00864B0F">
        <w:t xml:space="preserve"> </w:t>
      </w:r>
      <w:r w:rsidR="00657369">
        <w:t xml:space="preserve">pursuant to </w:t>
      </w:r>
      <w:r w:rsidR="00864B0F" w:rsidRPr="00864B0F">
        <w:t xml:space="preserve">article 111 of the Criminal Procedure Code. </w:t>
      </w:r>
      <w:r w:rsidR="00657369">
        <w:t>At 9 a.m. o</w:t>
      </w:r>
      <w:r w:rsidR="00864B0F" w:rsidRPr="00864B0F">
        <w:t xml:space="preserve">n 30 January 2006, the author was released from detention. During </w:t>
      </w:r>
      <w:r w:rsidR="00521DC0">
        <w:t xml:space="preserve">the </w:t>
      </w:r>
      <w:r w:rsidR="00A56A83">
        <w:t>three</w:t>
      </w:r>
      <w:r w:rsidR="00864B0F" w:rsidRPr="00864B0F">
        <w:t xml:space="preserve"> days (72 hours) from the moment of actual detention until the moment of </w:t>
      </w:r>
      <w:r w:rsidR="00657369">
        <w:t xml:space="preserve">her </w:t>
      </w:r>
      <w:r w:rsidR="00864B0F" w:rsidRPr="00864B0F">
        <w:t xml:space="preserve">release, </w:t>
      </w:r>
      <w:r w:rsidR="00657369">
        <w:t>t</w:t>
      </w:r>
      <w:r w:rsidR="00864B0F" w:rsidRPr="00864B0F">
        <w:t xml:space="preserve">he </w:t>
      </w:r>
      <w:r w:rsidR="00657369">
        <w:t xml:space="preserve">author </w:t>
      </w:r>
      <w:r w:rsidR="00864B0F" w:rsidRPr="00864B0F">
        <w:t xml:space="preserve">was not brought before a judge. </w:t>
      </w:r>
    </w:p>
    <w:p w:rsidR="00585F92" w:rsidRDefault="00657369" w:rsidP="00585F92">
      <w:pPr>
        <w:pStyle w:val="SingleTxtG"/>
      </w:pPr>
      <w:r>
        <w:t>2.3</w:t>
      </w:r>
      <w:r>
        <w:tab/>
      </w:r>
      <w:r w:rsidR="00864B0F" w:rsidRPr="00864B0F">
        <w:t>On 23 October 2007, the author complained to the Leninsky District P</w:t>
      </w:r>
      <w:r>
        <w:t>rosecutor of Brest</w:t>
      </w:r>
      <w:r w:rsidR="00864B0F" w:rsidRPr="00864B0F">
        <w:t xml:space="preserve"> about the failure of the relevant authorities to bring her promptly before a judge </w:t>
      </w:r>
      <w:r>
        <w:t xml:space="preserve">on </w:t>
      </w:r>
      <w:r w:rsidR="00864B0F" w:rsidRPr="00864B0F">
        <w:t xml:space="preserve">both </w:t>
      </w:r>
      <w:r>
        <w:t xml:space="preserve">occasions </w:t>
      </w:r>
      <w:r w:rsidR="00864B0F" w:rsidRPr="00864B0F">
        <w:t xml:space="preserve">(29 September 2005 and 27 January 2006), in accordance with article 9, paragraph 3, of the Covenant. </w:t>
      </w:r>
      <w:r w:rsidR="00521DC0">
        <w:t xml:space="preserve">The purpose of the complaint was for the </w:t>
      </w:r>
      <w:r w:rsidR="00521DC0" w:rsidRPr="00864B0F">
        <w:t>Leninsky District P</w:t>
      </w:r>
      <w:r w:rsidR="00521DC0">
        <w:t>rosecutor of Brest</w:t>
      </w:r>
      <w:r w:rsidR="00521DC0" w:rsidRPr="00864B0F">
        <w:t xml:space="preserve"> </w:t>
      </w:r>
      <w:r w:rsidR="00521DC0">
        <w:t>to recogni</w:t>
      </w:r>
      <w:r w:rsidR="00A56A83">
        <w:t>z</w:t>
      </w:r>
      <w:r w:rsidR="00521DC0">
        <w:t xml:space="preserve">e that the failure to bring the author promptly before a judge was unlawful and violated her right to liberty and security of person. </w:t>
      </w:r>
      <w:r w:rsidR="00864B0F" w:rsidRPr="00864B0F">
        <w:t>On 12 November 2007, she received a reply dated 5 November 2007</w:t>
      </w:r>
      <w:r w:rsidR="00731B22">
        <w:t xml:space="preserve"> from the acting </w:t>
      </w:r>
      <w:r w:rsidR="00731B22" w:rsidRPr="00864B0F">
        <w:t>Leninsky District P</w:t>
      </w:r>
      <w:r w:rsidR="00731B22">
        <w:t>rosecutor of Brest</w:t>
      </w:r>
      <w:r w:rsidR="00864B0F" w:rsidRPr="00864B0F">
        <w:t xml:space="preserve">, stating that there </w:t>
      </w:r>
      <w:r>
        <w:t xml:space="preserve">was </w:t>
      </w:r>
      <w:r w:rsidR="00864B0F" w:rsidRPr="00864B0F">
        <w:t xml:space="preserve">no violation of law and that the decisions concerning her detention were taken in conformity with the </w:t>
      </w:r>
      <w:r w:rsidR="00585F92">
        <w:t xml:space="preserve">State party’s </w:t>
      </w:r>
      <w:r w:rsidR="00864B0F" w:rsidRPr="00864B0F">
        <w:t>law in force. The decision does not make any reference to article 9, paragraph 3, of the Covenant.</w:t>
      </w:r>
    </w:p>
    <w:p w:rsidR="00585F92" w:rsidRDefault="00585F92" w:rsidP="00585F92">
      <w:pPr>
        <w:pStyle w:val="SingleTxtG"/>
      </w:pPr>
      <w:r>
        <w:t>2.4</w:t>
      </w:r>
      <w:r>
        <w:tab/>
      </w:r>
      <w:r w:rsidR="00864B0F" w:rsidRPr="00864B0F">
        <w:t xml:space="preserve">On 18 November 2007, the author </w:t>
      </w:r>
      <w:r>
        <w:t xml:space="preserve">filed </w:t>
      </w:r>
      <w:r w:rsidR="00864B0F" w:rsidRPr="00864B0F">
        <w:t xml:space="preserve">a complaint </w:t>
      </w:r>
      <w:r>
        <w:t xml:space="preserve">with </w:t>
      </w:r>
      <w:r w:rsidR="00864B0F" w:rsidRPr="00864B0F">
        <w:t>the Regional Prosecutor</w:t>
      </w:r>
      <w:r w:rsidR="007074BE">
        <w:t xml:space="preserve"> of Brest</w:t>
      </w:r>
      <w:r>
        <w:t xml:space="preserve">, claiming a violation of </w:t>
      </w:r>
      <w:r w:rsidRPr="00864B0F">
        <w:t>article 9, paragraph 3, of the Covenant</w:t>
      </w:r>
      <w:r w:rsidR="00864B0F" w:rsidRPr="00864B0F">
        <w:t xml:space="preserve">. On 5 January 2008, she received a reply </w:t>
      </w:r>
      <w:r w:rsidR="00731B22">
        <w:t>dated 20 December 2007</w:t>
      </w:r>
      <w:r w:rsidR="00864B0F" w:rsidRPr="00864B0F">
        <w:t xml:space="preserve"> from the </w:t>
      </w:r>
      <w:r>
        <w:t xml:space="preserve">Deputy </w:t>
      </w:r>
      <w:r w:rsidR="00864B0F" w:rsidRPr="00864B0F">
        <w:t>Regional Prosecutor</w:t>
      </w:r>
      <w:r w:rsidR="00A56A83" w:rsidRPr="00A56A83">
        <w:t xml:space="preserve"> </w:t>
      </w:r>
      <w:r w:rsidR="00A56A83">
        <w:t xml:space="preserve">of </w:t>
      </w:r>
      <w:smartTag w:uri="urn:schemas-microsoft-com:office:smarttags" w:element="place">
        <w:smartTag w:uri="urn:schemas-microsoft-com:office:smarttags" w:element="City">
          <w:r w:rsidR="00A56A83" w:rsidRPr="00864B0F">
            <w:t>Brest</w:t>
          </w:r>
        </w:smartTag>
      </w:smartTag>
      <w:r w:rsidR="00731B22">
        <w:t>,</w:t>
      </w:r>
      <w:r w:rsidR="00864B0F" w:rsidRPr="00864B0F">
        <w:t xml:space="preserve"> who did not find a</w:t>
      </w:r>
      <w:r>
        <w:t>ny grounds to establish</w:t>
      </w:r>
      <w:r w:rsidR="00864B0F" w:rsidRPr="00864B0F">
        <w:t xml:space="preserve"> that the actions of the </w:t>
      </w:r>
      <w:r>
        <w:t xml:space="preserve">police </w:t>
      </w:r>
      <w:r w:rsidR="00864B0F" w:rsidRPr="00864B0F">
        <w:t xml:space="preserve">officers, that is, not bringing her promptly before a judge, were </w:t>
      </w:r>
      <w:r w:rsidR="002D4E2A">
        <w:t>unlawful under the State party’s law in force</w:t>
      </w:r>
      <w:r w:rsidR="00864B0F" w:rsidRPr="00864B0F">
        <w:t>. The decision does not make any reference to article 9, paragraph 3,</w:t>
      </w:r>
      <w:r>
        <w:t xml:space="preserve"> of the Covenant.</w:t>
      </w:r>
    </w:p>
    <w:p w:rsidR="00623446" w:rsidRDefault="00585F92" w:rsidP="00623446">
      <w:pPr>
        <w:pStyle w:val="SingleTxtG"/>
      </w:pPr>
      <w:r>
        <w:t>2.5</w:t>
      </w:r>
      <w:r>
        <w:tab/>
      </w:r>
      <w:r w:rsidR="00864B0F" w:rsidRPr="00864B0F">
        <w:t xml:space="preserve">On 15 January 2008, the author </w:t>
      </w:r>
      <w:r>
        <w:t xml:space="preserve">submitted </w:t>
      </w:r>
      <w:r w:rsidR="00864B0F" w:rsidRPr="00864B0F">
        <w:t xml:space="preserve">a complaint </w:t>
      </w:r>
      <w:r>
        <w:t xml:space="preserve">to </w:t>
      </w:r>
      <w:r w:rsidR="00864B0F" w:rsidRPr="00864B0F">
        <w:t>the Prosecutor General, challenging the earlier decisions of the Leninsky District Prosecutor of Brest and of the Regional Prosecutor</w:t>
      </w:r>
      <w:r w:rsidR="007074BE" w:rsidRPr="007074BE">
        <w:t xml:space="preserve"> </w:t>
      </w:r>
      <w:r w:rsidR="007074BE">
        <w:t xml:space="preserve">of </w:t>
      </w:r>
      <w:r w:rsidR="007074BE" w:rsidRPr="00864B0F">
        <w:t>Brest</w:t>
      </w:r>
      <w:r w:rsidR="00864B0F" w:rsidRPr="00864B0F">
        <w:t>, as well as the failure of the relevant authorities to bring her promptly before a judge. On 29 February 2008, the author received a notification</w:t>
      </w:r>
      <w:r>
        <w:t xml:space="preserve"> from the </w:t>
      </w:r>
      <w:r w:rsidR="00864B0F" w:rsidRPr="00864B0F">
        <w:t>Prosecutor General’s Office</w:t>
      </w:r>
      <w:r>
        <w:t xml:space="preserve"> dated 26 February 2008</w:t>
      </w:r>
      <w:r w:rsidR="00864B0F" w:rsidRPr="00864B0F">
        <w:t>, informing her that the complaint was transmitted to the Brest City Prosecutor’s Office. On 3 March 2008, she learn</w:t>
      </w:r>
      <w:r w:rsidR="003C642F">
        <w:t>ed</w:t>
      </w:r>
      <w:r w:rsidR="00864B0F" w:rsidRPr="00864B0F">
        <w:t xml:space="preserve"> that the complaint was further transmitted to the </w:t>
      </w:r>
      <w:r w:rsidR="007074BE">
        <w:t xml:space="preserve">Office of the </w:t>
      </w:r>
      <w:r w:rsidR="00864B0F" w:rsidRPr="00864B0F">
        <w:t>Regional Prosecutor</w:t>
      </w:r>
      <w:r w:rsidR="007074BE">
        <w:t xml:space="preserve"> of Brest</w:t>
      </w:r>
      <w:r w:rsidR="00864B0F" w:rsidRPr="00864B0F">
        <w:t>.</w:t>
      </w:r>
    </w:p>
    <w:p w:rsidR="00623446" w:rsidRDefault="00623446" w:rsidP="00623446">
      <w:pPr>
        <w:pStyle w:val="SingleTxtG"/>
      </w:pPr>
      <w:r>
        <w:t>2.6</w:t>
      </w:r>
      <w:r>
        <w:tab/>
      </w:r>
      <w:r w:rsidR="00864B0F" w:rsidRPr="00864B0F">
        <w:t xml:space="preserve">On 4 April 2008, the author received a reply dated 31 March 2008 from the </w:t>
      </w:r>
      <w:r w:rsidR="00BF2091" w:rsidRPr="00864B0F">
        <w:t xml:space="preserve">Deputy </w:t>
      </w:r>
      <w:r w:rsidR="00864B0F" w:rsidRPr="00864B0F">
        <w:t>Regional Prosecutor</w:t>
      </w:r>
      <w:r w:rsidR="00BF2091">
        <w:t xml:space="preserve"> of</w:t>
      </w:r>
      <w:r w:rsidR="00BF2091" w:rsidRPr="00BF2091">
        <w:t xml:space="preserve"> </w:t>
      </w:r>
      <w:smartTag w:uri="urn:schemas-microsoft-com:office:smarttags" w:element="place">
        <w:smartTag w:uri="urn:schemas-microsoft-com:office:smarttags" w:element="City">
          <w:r w:rsidR="00BF2091" w:rsidRPr="00864B0F">
            <w:t>Brest</w:t>
          </w:r>
        </w:smartTag>
      </w:smartTag>
      <w:r w:rsidR="00864B0F" w:rsidRPr="00864B0F">
        <w:t>, which state</w:t>
      </w:r>
      <w:r w:rsidR="00BF2091">
        <w:t>d</w:t>
      </w:r>
      <w:r w:rsidR="00864B0F" w:rsidRPr="00864B0F">
        <w:t xml:space="preserve"> that article 9 of the Covenant </w:t>
      </w:r>
      <w:r w:rsidR="00BF2091">
        <w:t>did</w:t>
      </w:r>
      <w:r w:rsidR="00BF2091" w:rsidRPr="00864B0F">
        <w:t xml:space="preserve"> </w:t>
      </w:r>
      <w:r w:rsidR="00864B0F" w:rsidRPr="00864B0F">
        <w:t xml:space="preserve">not establish a specific time limit for bringing </w:t>
      </w:r>
      <w:r>
        <w:t xml:space="preserve">a </w:t>
      </w:r>
      <w:r w:rsidR="00864B0F" w:rsidRPr="00864B0F">
        <w:t>detaine</w:t>
      </w:r>
      <w:r>
        <w:t>d person</w:t>
      </w:r>
      <w:r w:rsidR="00864B0F" w:rsidRPr="00864B0F">
        <w:t xml:space="preserve"> before a judge. Consequently, </w:t>
      </w:r>
      <w:r w:rsidR="00521DC0">
        <w:t xml:space="preserve">the State party’s law </w:t>
      </w:r>
      <w:r w:rsidR="00BF2091">
        <w:t>wa</w:t>
      </w:r>
      <w:r w:rsidR="00864B0F" w:rsidRPr="00864B0F">
        <w:t xml:space="preserve">s not incompatible with the Covenant, as </w:t>
      </w:r>
      <w:r w:rsidR="00521DC0" w:rsidRPr="00864B0F">
        <w:t>article 143 of the Criminal Procedure Code</w:t>
      </w:r>
      <w:r w:rsidR="00864B0F" w:rsidRPr="00864B0F">
        <w:t xml:space="preserve"> envisage</w:t>
      </w:r>
      <w:r w:rsidR="00BF2091">
        <w:t>d</w:t>
      </w:r>
      <w:r w:rsidR="00864B0F" w:rsidRPr="00864B0F">
        <w:t xml:space="preserve"> </w:t>
      </w:r>
      <w:r>
        <w:t>that the authority in charge of criminal proceedings</w:t>
      </w:r>
      <w:r w:rsidR="00864B0F" w:rsidRPr="00864B0F">
        <w:t xml:space="preserve"> </w:t>
      </w:r>
      <w:r w:rsidR="00BF2091">
        <w:t>wa</w:t>
      </w:r>
      <w:r w:rsidR="00864B0F" w:rsidRPr="00864B0F">
        <w:t xml:space="preserve">s obliged, within 24 hours from the moment of receiving a complaint about detention, to hand it over to the court. </w:t>
      </w:r>
      <w:r>
        <w:t xml:space="preserve">Since </w:t>
      </w:r>
      <w:r w:rsidR="00511A19">
        <w:t xml:space="preserve">on both occasions </w:t>
      </w:r>
      <w:r w:rsidR="00864B0F" w:rsidRPr="00864B0F">
        <w:t xml:space="preserve">the author did not </w:t>
      </w:r>
      <w:r w:rsidR="00A83BCA">
        <w:t xml:space="preserve">appeal against </w:t>
      </w:r>
      <w:r>
        <w:t xml:space="preserve">her </w:t>
      </w:r>
      <w:r w:rsidRPr="00864B0F">
        <w:t xml:space="preserve">detention </w:t>
      </w:r>
      <w:r>
        <w:t>e</w:t>
      </w:r>
      <w:r w:rsidR="00864B0F" w:rsidRPr="00864B0F">
        <w:t xml:space="preserve">ither </w:t>
      </w:r>
      <w:r w:rsidR="00864B0F" w:rsidRPr="00864B0F">
        <w:lastRenderedPageBreak/>
        <w:t xml:space="preserve">to the </w:t>
      </w:r>
      <w:r>
        <w:t xml:space="preserve">court </w:t>
      </w:r>
      <w:r w:rsidR="00864B0F" w:rsidRPr="00864B0F">
        <w:t xml:space="preserve">or to the prosecutor while being detained, </w:t>
      </w:r>
      <w:r>
        <w:t xml:space="preserve">there was </w:t>
      </w:r>
      <w:r w:rsidR="00864B0F" w:rsidRPr="00864B0F">
        <w:t xml:space="preserve">no violation of </w:t>
      </w:r>
      <w:r w:rsidR="00CA3B75">
        <w:t xml:space="preserve">either </w:t>
      </w:r>
      <w:r w:rsidR="00864B0F" w:rsidRPr="00864B0F">
        <w:t>international</w:t>
      </w:r>
      <w:r w:rsidR="00CA3B75">
        <w:t xml:space="preserve"> or </w:t>
      </w:r>
      <w:r w:rsidR="00864B0F" w:rsidRPr="00864B0F">
        <w:t>national law.</w:t>
      </w:r>
    </w:p>
    <w:p w:rsidR="00731B22" w:rsidRDefault="00731B22" w:rsidP="00623446">
      <w:pPr>
        <w:pStyle w:val="SingleTxtG"/>
      </w:pPr>
      <w:r>
        <w:t>2.7</w:t>
      </w:r>
      <w:r>
        <w:tab/>
        <w:t xml:space="preserve">The author submits that she has exhausted all domestic remedies. She adds, however, that these remedies are not effective for the protection of the rights guaranteed under article 9, paragraph 3, of the Covenant, because the State party’s law generally does not provide for such remedies as far as the right to be </w:t>
      </w:r>
      <w:r w:rsidRPr="00864B0F">
        <w:t>brought before a judge</w:t>
      </w:r>
      <w:r>
        <w:t xml:space="preserve"> is concerned.</w:t>
      </w:r>
    </w:p>
    <w:p w:rsidR="00731B22" w:rsidRPr="00731B22" w:rsidRDefault="00CB20B6" w:rsidP="00CB20B6">
      <w:pPr>
        <w:pStyle w:val="H23G"/>
      </w:pPr>
      <w:r>
        <w:tab/>
      </w:r>
      <w:r>
        <w:tab/>
      </w:r>
      <w:r w:rsidR="00731B22" w:rsidRPr="00731B22">
        <w:t>The complaint</w:t>
      </w:r>
    </w:p>
    <w:p w:rsidR="00731B22" w:rsidRDefault="00731B22" w:rsidP="00623446">
      <w:pPr>
        <w:pStyle w:val="SingleTxtG"/>
      </w:pPr>
      <w:r>
        <w:t>3.1</w:t>
      </w:r>
      <w:r>
        <w:tab/>
      </w:r>
      <w:r w:rsidR="005C1C17" w:rsidRPr="005C1C17">
        <w:t xml:space="preserve">The author claims a violation </w:t>
      </w:r>
      <w:r w:rsidR="005C1C17">
        <w:t xml:space="preserve">by the State party </w:t>
      </w:r>
      <w:r w:rsidR="005C1C17" w:rsidRPr="005C1C17">
        <w:t xml:space="preserve">of her rights under article 9, paragraph 3, of the Covenant, because </w:t>
      </w:r>
      <w:r w:rsidR="005C1C17">
        <w:t xml:space="preserve">she was not </w:t>
      </w:r>
      <w:r w:rsidR="005C1C17" w:rsidRPr="005C1C17">
        <w:t>brought promptly before a judge</w:t>
      </w:r>
      <w:r w:rsidR="001F1F55">
        <w:t xml:space="preserve"> on two </w:t>
      </w:r>
      <w:r w:rsidR="00AA4A3A">
        <w:t xml:space="preserve">separate </w:t>
      </w:r>
      <w:r w:rsidR="001F1F55">
        <w:t>occasions</w:t>
      </w:r>
      <w:r w:rsidR="005F101A">
        <w:t xml:space="preserve">, i.e. during her detention </w:t>
      </w:r>
      <w:r w:rsidR="001F1F55">
        <w:t xml:space="preserve">from </w:t>
      </w:r>
      <w:r w:rsidR="001F1F55" w:rsidRPr="00864B0F">
        <w:t xml:space="preserve">29 September </w:t>
      </w:r>
      <w:r w:rsidR="001F1F55">
        <w:t xml:space="preserve">to 1 October </w:t>
      </w:r>
      <w:r w:rsidR="001F1F55" w:rsidRPr="00864B0F">
        <w:t xml:space="preserve">2005 and </w:t>
      </w:r>
      <w:r w:rsidR="005F101A">
        <w:t xml:space="preserve">from </w:t>
      </w:r>
      <w:r w:rsidR="001F1F55" w:rsidRPr="00864B0F">
        <w:t>27 January</w:t>
      </w:r>
      <w:r w:rsidR="001F1F55">
        <w:t xml:space="preserve"> to 30 January 2006</w:t>
      </w:r>
      <w:r w:rsidR="005C1C17" w:rsidRPr="005C1C17">
        <w:t>. She submits that the requirement of “promptness” would require that a person is brought before a judge within 48 hours</w:t>
      </w:r>
      <w:r w:rsidR="005C1C17">
        <w:t xml:space="preserve"> from the moment of actual detention</w:t>
      </w:r>
      <w:r w:rsidR="005C1C17" w:rsidRPr="005C1C17">
        <w:t>. In any case, each State party to the Covenant should establish in its national law a time</w:t>
      </w:r>
      <w:r w:rsidR="006515A9">
        <w:t xml:space="preserve"> </w:t>
      </w:r>
      <w:r w:rsidR="005C1C17" w:rsidRPr="005C1C17">
        <w:t>limit on bringing every detained person before a judge that would be in compliance with article 9, paragraph 3, of the Covenant.</w:t>
      </w:r>
    </w:p>
    <w:p w:rsidR="00864B0F" w:rsidRPr="00864B0F" w:rsidRDefault="005C1C17" w:rsidP="00623446">
      <w:pPr>
        <w:pStyle w:val="SingleTxtG"/>
      </w:pPr>
      <w:r>
        <w:t>3.2</w:t>
      </w:r>
      <w:r w:rsidR="00623446">
        <w:tab/>
      </w:r>
      <w:r w:rsidR="00864B0F" w:rsidRPr="00864B0F">
        <w:t xml:space="preserve">The author </w:t>
      </w:r>
      <w:r>
        <w:t xml:space="preserve">submits </w:t>
      </w:r>
      <w:r w:rsidR="00864B0F" w:rsidRPr="00864B0F">
        <w:t xml:space="preserve">that the </w:t>
      </w:r>
      <w:r w:rsidR="00C308C4">
        <w:t xml:space="preserve">Code of </w:t>
      </w:r>
      <w:r w:rsidR="00864B0F" w:rsidRPr="00864B0F">
        <w:t>Criminal Procedure does not recogni</w:t>
      </w:r>
      <w:r w:rsidR="00942784">
        <w:t>z</w:t>
      </w:r>
      <w:r w:rsidR="00864B0F" w:rsidRPr="00864B0F">
        <w:t>e any right that is analogous to article 9, paragraph 3</w:t>
      </w:r>
      <w:r w:rsidR="00F94A8A">
        <w:t>,</w:t>
      </w:r>
      <w:r w:rsidR="00864B0F" w:rsidRPr="00864B0F">
        <w:t xml:space="preserve"> of the Covenant. At the same time, under article 1, paragraph 4, of the same Code, “</w:t>
      </w:r>
      <w:r w:rsidR="00942784">
        <w:t>[i]</w:t>
      </w:r>
      <w:r w:rsidR="00864B0F" w:rsidRPr="00864B0F">
        <w:t xml:space="preserve">nternational treaties of the </w:t>
      </w:r>
      <w:smartTag w:uri="urn:schemas-microsoft-com:office:smarttags" w:element="place">
        <w:smartTag w:uri="urn:schemas-microsoft-com:office:smarttags" w:element="PlaceType">
          <w:r w:rsidR="00864B0F" w:rsidRPr="00864B0F">
            <w:t>Republic</w:t>
          </w:r>
        </w:smartTag>
        <w:r w:rsidR="00864B0F" w:rsidRPr="00864B0F">
          <w:t xml:space="preserve"> of </w:t>
        </w:r>
        <w:smartTag w:uri="urn:schemas-microsoft-com:office:smarttags" w:element="PlaceName">
          <w:r w:rsidR="00864B0F" w:rsidRPr="00864B0F">
            <w:t>Belarus</w:t>
          </w:r>
        </w:smartTag>
      </w:smartTag>
      <w:r w:rsidR="00864B0F" w:rsidRPr="00864B0F">
        <w:t xml:space="preserve"> that define rights and freedoms of individuals and citizens shall apply in criminal proceedings along with the present Code”. Therefore, the author claims that </w:t>
      </w:r>
      <w:r w:rsidR="006565EB">
        <w:t xml:space="preserve">on both occasions when </w:t>
      </w:r>
      <w:r w:rsidR="00864B0F" w:rsidRPr="00864B0F">
        <w:t xml:space="preserve">she was detained, the officers of the </w:t>
      </w:r>
      <w:r w:rsidR="006565EB">
        <w:t>Department of Internal Affairs</w:t>
      </w:r>
      <w:r w:rsidR="006565EB" w:rsidRPr="00864B0F">
        <w:t xml:space="preserve"> </w:t>
      </w:r>
      <w:r w:rsidR="00864B0F" w:rsidRPr="00864B0F">
        <w:t xml:space="preserve">should have directly applied the provisions of article 9, paragraph 3, of the Covenant and brought her before a judge within 48 hours from the moment of </w:t>
      </w:r>
      <w:r w:rsidR="006565EB">
        <w:t xml:space="preserve">actual </w:t>
      </w:r>
      <w:r w:rsidR="00864B0F" w:rsidRPr="00864B0F">
        <w:t>detention.</w:t>
      </w:r>
    </w:p>
    <w:p w:rsidR="003E682E" w:rsidRDefault="00B56190" w:rsidP="003E682E">
      <w:pPr>
        <w:pStyle w:val="SingleTxtG"/>
      </w:pPr>
      <w:r>
        <w:t>3.3</w:t>
      </w:r>
      <w:r>
        <w:tab/>
      </w:r>
      <w:r w:rsidR="00864B0F" w:rsidRPr="00864B0F">
        <w:t xml:space="preserve">As to the argument </w:t>
      </w:r>
      <w:r>
        <w:t xml:space="preserve">of </w:t>
      </w:r>
      <w:r w:rsidRPr="00864B0F">
        <w:t xml:space="preserve">the Regional </w:t>
      </w:r>
      <w:r w:rsidR="00CA334D" w:rsidRPr="00864B0F">
        <w:t xml:space="preserve">Deputy </w:t>
      </w:r>
      <w:r w:rsidRPr="00864B0F">
        <w:t>Prosecutor</w:t>
      </w:r>
      <w:r w:rsidR="00942784" w:rsidRPr="00942784">
        <w:t xml:space="preserve"> </w:t>
      </w:r>
      <w:r w:rsidR="00942784">
        <w:t xml:space="preserve">of </w:t>
      </w:r>
      <w:r w:rsidR="00942784" w:rsidRPr="00864B0F">
        <w:t>Brest</w:t>
      </w:r>
      <w:r w:rsidRPr="00864B0F">
        <w:t xml:space="preserve"> </w:t>
      </w:r>
      <w:r>
        <w:t xml:space="preserve">(see paragraph 2.6 above) </w:t>
      </w:r>
      <w:r w:rsidR="00864B0F" w:rsidRPr="00864B0F">
        <w:t>that she had not appeal</w:t>
      </w:r>
      <w:r>
        <w:t>ed</w:t>
      </w:r>
      <w:r w:rsidR="00864B0F" w:rsidRPr="00864B0F">
        <w:t xml:space="preserve"> to a court </w:t>
      </w:r>
      <w:r w:rsidR="00706BC2">
        <w:t xml:space="preserve">regarding </w:t>
      </w:r>
      <w:r w:rsidR="00864B0F" w:rsidRPr="00864B0F">
        <w:t>the decision</w:t>
      </w:r>
      <w:r>
        <w:t>s</w:t>
      </w:r>
      <w:r w:rsidR="00864B0F" w:rsidRPr="00864B0F">
        <w:t xml:space="preserve"> </w:t>
      </w:r>
      <w:r>
        <w:t xml:space="preserve">on her </w:t>
      </w:r>
      <w:r w:rsidR="00864B0F" w:rsidRPr="00864B0F">
        <w:t>det</w:t>
      </w:r>
      <w:r>
        <w:t>ention</w:t>
      </w:r>
      <w:r w:rsidR="00864B0F" w:rsidRPr="00864B0F">
        <w:t xml:space="preserve">, the author submits that a right of appeal </w:t>
      </w:r>
      <w:r>
        <w:t xml:space="preserve">is provided for in </w:t>
      </w:r>
      <w:r w:rsidR="00864B0F" w:rsidRPr="00864B0F">
        <w:t>article 9</w:t>
      </w:r>
      <w:r>
        <w:t>,</w:t>
      </w:r>
      <w:r w:rsidR="00864B0F" w:rsidRPr="00864B0F">
        <w:t xml:space="preserve"> paragraph 4</w:t>
      </w:r>
      <w:r>
        <w:t>,</w:t>
      </w:r>
      <w:r w:rsidR="00864B0F" w:rsidRPr="00864B0F">
        <w:t xml:space="preserve"> </w:t>
      </w:r>
      <w:r>
        <w:t xml:space="preserve">rather than in </w:t>
      </w:r>
      <w:r w:rsidR="00864B0F" w:rsidRPr="00864B0F">
        <w:t>article 9</w:t>
      </w:r>
      <w:r>
        <w:t>,</w:t>
      </w:r>
      <w:r w:rsidR="00864B0F" w:rsidRPr="00864B0F">
        <w:t xml:space="preserve"> paragraph 3</w:t>
      </w:r>
      <w:r>
        <w:t>,</w:t>
      </w:r>
      <w:r w:rsidRPr="00B56190">
        <w:t xml:space="preserve"> </w:t>
      </w:r>
      <w:r>
        <w:t>of the Covenant</w:t>
      </w:r>
      <w:r w:rsidR="00864B0F" w:rsidRPr="00864B0F">
        <w:t>. The two provisions in question are not</w:t>
      </w:r>
      <w:r>
        <w:t xml:space="preserve"> dependent on each other, i.e.</w:t>
      </w:r>
      <w:r w:rsidR="00864B0F" w:rsidRPr="00864B0F">
        <w:t xml:space="preserve"> the fact of not </w:t>
      </w:r>
      <w:r>
        <w:t xml:space="preserve">availing oneself </w:t>
      </w:r>
      <w:r w:rsidR="00864B0F" w:rsidRPr="00864B0F">
        <w:t xml:space="preserve">of the right provided </w:t>
      </w:r>
      <w:r>
        <w:t xml:space="preserve">for </w:t>
      </w:r>
      <w:r w:rsidR="00864B0F" w:rsidRPr="00864B0F">
        <w:t xml:space="preserve">in article 9, paragraph 4, does not preclude </w:t>
      </w:r>
      <w:r w:rsidR="00241062">
        <w:t>a</w:t>
      </w:r>
      <w:r>
        <w:t xml:space="preserve"> person from exercising his or her </w:t>
      </w:r>
      <w:r w:rsidR="00864B0F" w:rsidRPr="00864B0F">
        <w:t xml:space="preserve">right provided </w:t>
      </w:r>
      <w:r>
        <w:t xml:space="preserve">for </w:t>
      </w:r>
      <w:r w:rsidR="00864B0F" w:rsidRPr="00864B0F">
        <w:t>in article 9, paragraph 3</w:t>
      </w:r>
      <w:r>
        <w:t>, of the Covenant</w:t>
      </w:r>
      <w:r w:rsidR="003E682E">
        <w:t xml:space="preserve">. </w:t>
      </w:r>
    </w:p>
    <w:p w:rsidR="00864B0F" w:rsidRPr="003E682E" w:rsidRDefault="003E682E" w:rsidP="003E682E">
      <w:pPr>
        <w:pStyle w:val="SingleTxtG"/>
      </w:pPr>
      <w:r>
        <w:t>3.4</w:t>
      </w:r>
      <w:r>
        <w:tab/>
      </w:r>
      <w:r w:rsidRPr="00864B0F">
        <w:t xml:space="preserve">As to the argument </w:t>
      </w:r>
      <w:r>
        <w:t xml:space="preserve">of </w:t>
      </w:r>
      <w:r w:rsidRPr="00864B0F">
        <w:t xml:space="preserve">the Regional </w:t>
      </w:r>
      <w:r w:rsidR="00CA334D" w:rsidRPr="00864B0F">
        <w:t xml:space="preserve">Deputy </w:t>
      </w:r>
      <w:r w:rsidRPr="00864B0F">
        <w:t xml:space="preserve">Prosecutor </w:t>
      </w:r>
      <w:r w:rsidR="00706BC2">
        <w:t xml:space="preserve">of </w:t>
      </w:r>
      <w:r w:rsidR="00706BC2" w:rsidRPr="00864B0F">
        <w:t xml:space="preserve">Brest </w:t>
      </w:r>
      <w:r w:rsidRPr="00864B0F">
        <w:t xml:space="preserve">that article 9 of the Covenant does not establish a specific time limit for bringing </w:t>
      </w:r>
      <w:r>
        <w:t xml:space="preserve">a </w:t>
      </w:r>
      <w:r w:rsidRPr="00864B0F">
        <w:t>detaine</w:t>
      </w:r>
      <w:r>
        <w:t>d person</w:t>
      </w:r>
      <w:r w:rsidRPr="00864B0F">
        <w:t xml:space="preserve"> before a judge</w:t>
      </w:r>
      <w:r>
        <w:t>, t</w:t>
      </w:r>
      <w:r w:rsidR="00864B0F" w:rsidRPr="00864B0F">
        <w:t>he author refers to the Comm</w:t>
      </w:r>
      <w:r>
        <w:t xml:space="preserve">ittee’s </w:t>
      </w:r>
      <w:r w:rsidR="00706BC2">
        <w:t>G</w:t>
      </w:r>
      <w:r w:rsidR="005F5121" w:rsidRPr="0026246C">
        <w:t xml:space="preserve">eneral </w:t>
      </w:r>
      <w:r w:rsidR="00706BC2">
        <w:t>C</w:t>
      </w:r>
      <w:r w:rsidR="005F5121" w:rsidRPr="0026246C">
        <w:t xml:space="preserve">omment No. 8 </w:t>
      </w:r>
      <w:r w:rsidR="005F5121">
        <w:t>(1982) on the right to liberty and security of persons,</w:t>
      </w:r>
      <w:r w:rsidR="00864B0F" w:rsidRPr="00864B0F">
        <w:t xml:space="preserve"> where it noted that the right to be brought promptly befor</w:t>
      </w:r>
      <w:r>
        <w:t>e a judge means that the delay “</w:t>
      </w:r>
      <w:r w:rsidR="005278B1">
        <w:t xml:space="preserve">must </w:t>
      </w:r>
      <w:r>
        <w:t>not exceed a few days”</w:t>
      </w:r>
      <w:r w:rsidR="005278B1">
        <w:t xml:space="preserve"> (para. 2)</w:t>
      </w:r>
      <w:r w:rsidR="00864B0F" w:rsidRPr="00864B0F">
        <w:t xml:space="preserve">. She also refers to </w:t>
      </w:r>
      <w:r>
        <w:t xml:space="preserve">the Views in </w:t>
      </w:r>
      <w:r w:rsidR="00A61B00">
        <w:t>C</w:t>
      </w:r>
      <w:r w:rsidR="00864B0F" w:rsidRPr="00864B0F">
        <w:t xml:space="preserve">ommunication No. 852/1999, </w:t>
      </w:r>
      <w:r w:rsidR="00864B0F" w:rsidRPr="00706BC2">
        <w:rPr>
          <w:i/>
        </w:rPr>
        <w:t xml:space="preserve">Borisenko </w:t>
      </w:r>
      <w:r w:rsidR="00864B0F" w:rsidRPr="00706BC2">
        <w:t>v.</w:t>
      </w:r>
      <w:r w:rsidR="00864B0F" w:rsidRPr="00706BC2">
        <w:rPr>
          <w:i/>
        </w:rPr>
        <w:t xml:space="preserve"> Hungary</w:t>
      </w:r>
      <w:r w:rsidR="00864B0F" w:rsidRPr="00864B0F">
        <w:t>,</w:t>
      </w:r>
      <w:bookmarkStart w:id="1" w:name="_Ref346732372"/>
      <w:r>
        <w:rPr>
          <w:rStyle w:val="FootnoteReference"/>
        </w:rPr>
        <w:footnoteReference w:id="3"/>
      </w:r>
      <w:bookmarkEnd w:id="1"/>
      <w:r w:rsidR="00864B0F" w:rsidRPr="00864B0F">
        <w:t xml:space="preserve"> where the Committee considered the detention which lasted three days before a detainee </w:t>
      </w:r>
      <w:r w:rsidR="007E5E92">
        <w:t xml:space="preserve">was brought </w:t>
      </w:r>
      <w:r w:rsidR="00864B0F" w:rsidRPr="00864B0F">
        <w:t xml:space="preserve">before a judicial officer, as too long and not fulfilling a condition of “promptness”, provided </w:t>
      </w:r>
      <w:r w:rsidR="004667B4">
        <w:t xml:space="preserve">for </w:t>
      </w:r>
      <w:r w:rsidR="00864B0F" w:rsidRPr="00864B0F">
        <w:t xml:space="preserve">in article 9, paragraph 3, </w:t>
      </w:r>
      <w:r>
        <w:t xml:space="preserve">of the Covenant, </w:t>
      </w:r>
      <w:r w:rsidR="00864B0F" w:rsidRPr="00864B0F">
        <w:t>except when there are solid reasons for the delay.</w:t>
      </w:r>
    </w:p>
    <w:p w:rsidR="00E74090" w:rsidRDefault="00E74090" w:rsidP="00E74090">
      <w:pPr>
        <w:pStyle w:val="H23G"/>
        <w:spacing w:before="0" w:line="240" w:lineRule="atLeast"/>
      </w:pPr>
      <w:r>
        <w:tab/>
      </w:r>
      <w:r>
        <w:tab/>
      </w:r>
      <w:r w:rsidR="007E5E92">
        <w:t xml:space="preserve">The </w:t>
      </w:r>
      <w:r w:rsidRPr="009E31DB">
        <w:t>State party</w:t>
      </w:r>
      <w:r w:rsidR="00A61B00">
        <w:t>’</w:t>
      </w:r>
      <w:r w:rsidRPr="009E31DB">
        <w:t xml:space="preserve">s observations on </w:t>
      </w:r>
      <w:r w:rsidR="00107E54">
        <w:t xml:space="preserve">the </w:t>
      </w:r>
      <w:r>
        <w:t>admissibility</w:t>
      </w:r>
      <w:r w:rsidR="00053D66">
        <w:t xml:space="preserve"> and merits</w:t>
      </w:r>
    </w:p>
    <w:p w:rsidR="00D0263B" w:rsidRDefault="00E74090" w:rsidP="00D0263B">
      <w:pPr>
        <w:pStyle w:val="SingleTxtG"/>
      </w:pPr>
      <w:r w:rsidRPr="00B94530">
        <w:t>4.1</w:t>
      </w:r>
      <w:r w:rsidR="00B57F5A">
        <w:tab/>
        <w:t>On 4 August 2008, the State party submits in relation to the facts on which the communication is based that</w:t>
      </w:r>
      <w:r w:rsidR="00565561">
        <w:t xml:space="preserve"> </w:t>
      </w:r>
      <w:r w:rsidR="00473FB0" w:rsidRPr="00565561">
        <w:t xml:space="preserve">the </w:t>
      </w:r>
      <w:r w:rsidR="00A61B00">
        <w:t xml:space="preserve">Office </w:t>
      </w:r>
      <w:r w:rsidR="00473FB0" w:rsidRPr="00565561">
        <w:t>Regional Prosecutor</w:t>
      </w:r>
      <w:r w:rsidR="00A61B00">
        <w:t xml:space="preserve"> of</w:t>
      </w:r>
      <w:r w:rsidR="00A61B00" w:rsidRPr="00A61B00">
        <w:t xml:space="preserve"> </w:t>
      </w:r>
      <w:r w:rsidR="00A61B00" w:rsidRPr="00565561">
        <w:t>Brest</w:t>
      </w:r>
      <w:r w:rsidR="00565561">
        <w:t xml:space="preserve"> repeatedly examined the author’</w:t>
      </w:r>
      <w:r w:rsidR="00473FB0" w:rsidRPr="00565561">
        <w:t xml:space="preserve">s complaints with respect to the criminal </w:t>
      </w:r>
      <w:r w:rsidR="002073D2">
        <w:t xml:space="preserve">case </w:t>
      </w:r>
      <w:r w:rsidR="00473FB0" w:rsidRPr="00565561">
        <w:t xml:space="preserve">initiated by </w:t>
      </w:r>
      <w:r w:rsidR="00565561">
        <w:t xml:space="preserve">the </w:t>
      </w:r>
      <w:r w:rsidR="00473FB0" w:rsidRPr="00565561">
        <w:t xml:space="preserve">Department of Internal Affairs </w:t>
      </w:r>
      <w:r w:rsidR="00241062">
        <w:t>against her.</w:t>
      </w:r>
      <w:r w:rsidR="00565561">
        <w:t xml:space="preserve"> </w:t>
      </w:r>
      <w:r w:rsidR="00A61B00">
        <w:t>As</w:t>
      </w:r>
      <w:r w:rsidR="00A61B00" w:rsidRPr="00565561">
        <w:t xml:space="preserve"> </w:t>
      </w:r>
      <w:r w:rsidR="00565561">
        <w:t xml:space="preserve">for a long time </w:t>
      </w:r>
      <w:r w:rsidR="00473FB0" w:rsidRPr="00565561">
        <w:t xml:space="preserve">the author </w:t>
      </w:r>
      <w:r w:rsidR="007E5E92">
        <w:t>ha</w:t>
      </w:r>
      <w:r w:rsidR="00565561">
        <w:t xml:space="preserve">d not come to the </w:t>
      </w:r>
      <w:r w:rsidR="00565561" w:rsidRPr="00565561">
        <w:t xml:space="preserve">Department of Internal Affairs </w:t>
      </w:r>
      <w:r w:rsidR="00565561">
        <w:t xml:space="preserve">despite the summons issued in her name, </w:t>
      </w:r>
      <w:r w:rsidR="00D0263B">
        <w:t xml:space="preserve">the authority in charge of </w:t>
      </w:r>
      <w:r w:rsidR="00473FB0" w:rsidRPr="00565561">
        <w:lastRenderedPageBreak/>
        <w:t>criminal pro</w:t>
      </w:r>
      <w:r w:rsidR="00D0263B">
        <w:t xml:space="preserve">ceedings </w:t>
      </w:r>
      <w:r w:rsidR="00473FB0" w:rsidRPr="00565561">
        <w:t xml:space="preserve">decided to declare her </w:t>
      </w:r>
      <w:r w:rsidR="00241062">
        <w:t>wanted by the police</w:t>
      </w:r>
      <w:r w:rsidR="00473FB0" w:rsidRPr="00565561">
        <w:t xml:space="preserve">. Subsequently, the </w:t>
      </w:r>
      <w:r w:rsidR="00D0263B">
        <w:t xml:space="preserve">authority in charge of </w:t>
      </w:r>
      <w:r w:rsidR="00D0263B" w:rsidRPr="00565561">
        <w:t>criminal pro</w:t>
      </w:r>
      <w:r w:rsidR="00D0263B">
        <w:t>ceedings</w:t>
      </w:r>
      <w:r w:rsidR="00473FB0" w:rsidRPr="00565561">
        <w:t xml:space="preserve"> took a decision to </w:t>
      </w:r>
      <w:r w:rsidR="00D0263B">
        <w:t xml:space="preserve">detain </w:t>
      </w:r>
      <w:r w:rsidR="00473FB0" w:rsidRPr="00565561">
        <w:t xml:space="preserve">the author </w:t>
      </w:r>
      <w:r w:rsidR="00241062">
        <w:t xml:space="preserve">on </w:t>
      </w:r>
      <w:r w:rsidR="00473FB0" w:rsidRPr="00565561">
        <w:t xml:space="preserve">the suspicion </w:t>
      </w:r>
      <w:r w:rsidR="00D0263B">
        <w:t>that she had committed a crime.</w:t>
      </w:r>
    </w:p>
    <w:p w:rsidR="00D0263B" w:rsidRDefault="00D0263B" w:rsidP="00565561">
      <w:pPr>
        <w:pStyle w:val="SingleTxtG"/>
      </w:pPr>
      <w:r>
        <w:t>4.2</w:t>
      </w:r>
      <w:r>
        <w:tab/>
      </w:r>
      <w:r w:rsidR="00473FB0" w:rsidRPr="00565561">
        <w:t>The State</w:t>
      </w:r>
      <w:r>
        <w:t xml:space="preserve"> further</w:t>
      </w:r>
      <w:r w:rsidR="00473FB0" w:rsidRPr="00565561">
        <w:t xml:space="preserve"> party submits that the author was interrogated as </w:t>
      </w:r>
      <w:r w:rsidR="00E73EA9">
        <w:t xml:space="preserve">a </w:t>
      </w:r>
      <w:r w:rsidR="00473FB0" w:rsidRPr="00565561">
        <w:t>suspect in the presence of her lawyer and that there was n</w:t>
      </w:r>
      <w:r>
        <w:t>o</w:t>
      </w:r>
      <w:r w:rsidR="00473FB0" w:rsidRPr="00565561">
        <w:t xml:space="preserve"> violation of criminal p</w:t>
      </w:r>
      <w:r>
        <w:t xml:space="preserve">rocedure law by officers of the </w:t>
      </w:r>
      <w:r w:rsidRPr="00565561">
        <w:t xml:space="preserve">Department of Internal Affairs </w:t>
      </w:r>
      <w:r w:rsidR="00473FB0" w:rsidRPr="00565561">
        <w:t xml:space="preserve">in </w:t>
      </w:r>
      <w:r>
        <w:t xml:space="preserve">detaining her </w:t>
      </w:r>
      <w:r w:rsidR="00473FB0" w:rsidRPr="00565561">
        <w:t>on 29 Sept</w:t>
      </w:r>
      <w:r>
        <w:t>ember 2005 and 27 January 2006.</w:t>
      </w:r>
    </w:p>
    <w:p w:rsidR="002073D2" w:rsidRDefault="00D0263B" w:rsidP="002073D2">
      <w:pPr>
        <w:pStyle w:val="SingleTxtG"/>
      </w:pPr>
      <w:r>
        <w:t>4.3</w:t>
      </w:r>
      <w:r>
        <w:tab/>
      </w:r>
      <w:r w:rsidR="00473FB0" w:rsidRPr="00565561">
        <w:t xml:space="preserve">The State party notes that in her communication to the Committee, the author claims that her rights under the </w:t>
      </w:r>
      <w:r>
        <w:t xml:space="preserve">Covenant </w:t>
      </w:r>
      <w:r w:rsidR="00473FB0" w:rsidRPr="00565561">
        <w:t xml:space="preserve">were violated because she </w:t>
      </w:r>
      <w:r w:rsidR="007E5E92">
        <w:t>w</w:t>
      </w:r>
      <w:r>
        <w:t xml:space="preserve">as </w:t>
      </w:r>
      <w:r w:rsidR="00473FB0" w:rsidRPr="00565561">
        <w:t xml:space="preserve">not promptly brought before a judge. In this respect, the State party </w:t>
      </w:r>
      <w:r>
        <w:t xml:space="preserve">argues </w:t>
      </w:r>
      <w:r w:rsidR="00473FB0" w:rsidRPr="00565561">
        <w:t>that article 9 of the Covenant</w:t>
      </w:r>
      <w:r>
        <w:t xml:space="preserve"> </w:t>
      </w:r>
      <w:r w:rsidR="00473FB0" w:rsidRPr="00565561">
        <w:t xml:space="preserve">does not establish a specific time limit for bringing </w:t>
      </w:r>
      <w:r>
        <w:t>a detained person</w:t>
      </w:r>
      <w:r w:rsidR="00473FB0" w:rsidRPr="00565561">
        <w:t xml:space="preserve"> before a judge. Consequently, article 143 of the</w:t>
      </w:r>
      <w:r w:rsidR="00C308C4">
        <w:t xml:space="preserve"> Code of</w:t>
      </w:r>
      <w:r w:rsidR="00473FB0" w:rsidRPr="00565561">
        <w:t xml:space="preserve"> Criminal Procedure is not incompatible with the Covenant, as it envisages that the </w:t>
      </w:r>
      <w:r>
        <w:t xml:space="preserve">authority in charge of </w:t>
      </w:r>
      <w:r w:rsidRPr="00565561">
        <w:t>criminal pro</w:t>
      </w:r>
      <w:r>
        <w:t>ceedings</w:t>
      </w:r>
      <w:r w:rsidR="00473FB0" w:rsidRPr="00565561">
        <w:t xml:space="preserve"> is obliged, within 24 hours from the moment of receiving a complaint about detention, to hand it over to the court together with the materials tha</w:t>
      </w:r>
      <w:r w:rsidR="002073D2">
        <w:t xml:space="preserve">t would </w:t>
      </w:r>
      <w:r w:rsidR="00241062">
        <w:t>show the</w:t>
      </w:r>
      <w:r w:rsidR="002073D2">
        <w:t xml:space="preserve"> legality of one’</w:t>
      </w:r>
      <w:r w:rsidR="00473FB0" w:rsidRPr="00565561">
        <w:t xml:space="preserve">s detention. </w:t>
      </w:r>
      <w:r w:rsidR="002073D2">
        <w:t>The State party adds that the author was explained in the presence of her lawyer the rights and duties of a detained person,</w:t>
      </w:r>
      <w:r w:rsidR="00310226">
        <w:rPr>
          <w:rStyle w:val="FootnoteReference"/>
        </w:rPr>
        <w:footnoteReference w:id="4"/>
      </w:r>
      <w:r w:rsidR="002073D2">
        <w:t xml:space="preserve"> including the right to appeal against the detention to the court. This fact is corroborated by the author’s signature in the relevant report. </w:t>
      </w:r>
    </w:p>
    <w:p w:rsidR="00CA3B75" w:rsidRDefault="002073D2" w:rsidP="00CA3B75">
      <w:pPr>
        <w:pStyle w:val="SingleTxtG"/>
      </w:pPr>
      <w:r>
        <w:t>4.4</w:t>
      </w:r>
      <w:r>
        <w:tab/>
        <w:t>The State party argues that t</w:t>
      </w:r>
      <w:r w:rsidR="00473FB0" w:rsidRPr="00565561">
        <w:t>he author</w:t>
      </w:r>
      <w:r w:rsidR="00E73EA9">
        <w:t xml:space="preserve"> did not complain</w:t>
      </w:r>
      <w:r>
        <w:t xml:space="preserve"> about the fact of her detention either to the court or to the prosecutor. She only </w:t>
      </w:r>
      <w:r w:rsidR="00473FB0" w:rsidRPr="00565561">
        <w:t xml:space="preserve">appealed </w:t>
      </w:r>
      <w:r>
        <w:t xml:space="preserve">against the </w:t>
      </w:r>
      <w:r w:rsidR="00473FB0" w:rsidRPr="00565561">
        <w:t xml:space="preserve">decision to initiate a criminal case against her </w:t>
      </w:r>
      <w:r>
        <w:t xml:space="preserve">pursuant to article </w:t>
      </w:r>
      <w:r w:rsidR="00473FB0" w:rsidRPr="00565561">
        <w:t>211, part 1, of the Criminal Code</w:t>
      </w:r>
      <w:r>
        <w:t>.</w:t>
      </w:r>
      <w:r w:rsidR="00473FB0" w:rsidRPr="00565561">
        <w:t xml:space="preserve"> These complaints were examined by the </w:t>
      </w:r>
      <w:r w:rsidR="00CA3B75">
        <w:t xml:space="preserve">Leninsky District Prosecutor of </w:t>
      </w:r>
      <w:r w:rsidR="00473FB0" w:rsidRPr="00565561">
        <w:t xml:space="preserve">Brest in compliance with the </w:t>
      </w:r>
      <w:r w:rsidR="00CA3B75">
        <w:t xml:space="preserve">State party’s </w:t>
      </w:r>
      <w:r w:rsidR="00473FB0" w:rsidRPr="00565561">
        <w:t xml:space="preserve">criminal procedure law. The State party concludes that </w:t>
      </w:r>
      <w:r w:rsidR="00F9283E">
        <w:t xml:space="preserve">there </w:t>
      </w:r>
      <w:r w:rsidR="00473FB0" w:rsidRPr="00565561">
        <w:t xml:space="preserve">was no violation of either international or </w:t>
      </w:r>
      <w:r w:rsidR="00CA3B75">
        <w:t>national law in the author’</w:t>
      </w:r>
      <w:r w:rsidR="00473FB0" w:rsidRPr="00565561">
        <w:t xml:space="preserve">s case and that her </w:t>
      </w:r>
      <w:r w:rsidR="00CA3B75">
        <w:t>arguments</w:t>
      </w:r>
      <w:r w:rsidR="00473FB0" w:rsidRPr="00565561">
        <w:t xml:space="preserve"> on the unlawfulness of actions </w:t>
      </w:r>
      <w:r w:rsidR="00CA3B75">
        <w:t xml:space="preserve">carried out </w:t>
      </w:r>
      <w:r w:rsidR="00473FB0" w:rsidRPr="00565561">
        <w:t xml:space="preserve">by officers of the </w:t>
      </w:r>
      <w:r w:rsidR="00CA3B75" w:rsidRPr="00565561">
        <w:t xml:space="preserve">Department of Internal Affairs </w:t>
      </w:r>
      <w:r w:rsidR="00473FB0" w:rsidRPr="00565561">
        <w:t xml:space="preserve">in </w:t>
      </w:r>
      <w:r w:rsidR="00CA3B75">
        <w:t>detaining her are unfounded.</w:t>
      </w:r>
    </w:p>
    <w:p w:rsidR="00E74090" w:rsidRPr="008055A4" w:rsidRDefault="00CA3B75" w:rsidP="00CA3B75">
      <w:pPr>
        <w:pStyle w:val="SingleTxtG"/>
      </w:pPr>
      <w:r>
        <w:rPr>
          <w:lang w:val="en-US"/>
        </w:rPr>
        <w:t>4.5</w:t>
      </w:r>
      <w:r w:rsidR="00E74090" w:rsidRPr="00A047B3">
        <w:rPr>
          <w:lang w:val="en-US"/>
        </w:rPr>
        <w:tab/>
      </w:r>
      <w:r w:rsidR="00D57718" w:rsidRPr="00A047B3">
        <w:rPr>
          <w:lang w:val="en-US"/>
        </w:rPr>
        <w:t xml:space="preserve">On </w:t>
      </w:r>
      <w:r w:rsidR="008055A4">
        <w:rPr>
          <w:lang w:val="en-US"/>
        </w:rPr>
        <w:t>1 December 20</w:t>
      </w:r>
      <w:r w:rsidR="00D57718" w:rsidRPr="00A047B3">
        <w:rPr>
          <w:lang w:val="en-US"/>
        </w:rPr>
        <w:t>0</w:t>
      </w:r>
      <w:r w:rsidR="008055A4">
        <w:rPr>
          <w:lang w:val="en-US"/>
        </w:rPr>
        <w:t>9, the State party state</w:t>
      </w:r>
      <w:r w:rsidR="009B7D26">
        <w:rPr>
          <w:lang w:val="en-US"/>
        </w:rPr>
        <w:t>d</w:t>
      </w:r>
      <w:r w:rsidR="008055A4">
        <w:rPr>
          <w:lang w:val="en-US"/>
        </w:rPr>
        <w:t xml:space="preserve"> </w:t>
      </w:r>
      <w:r w:rsidR="00D57718" w:rsidRPr="00A047B3">
        <w:rPr>
          <w:lang w:val="en-US"/>
        </w:rPr>
        <w:t xml:space="preserve">that it reiterates its observations submitted on </w:t>
      </w:r>
      <w:r w:rsidR="008055A4">
        <w:rPr>
          <w:lang w:val="en-US"/>
        </w:rPr>
        <w:t>4 August 2008</w:t>
      </w:r>
      <w:r w:rsidR="00D57718" w:rsidRPr="00A047B3">
        <w:rPr>
          <w:lang w:val="en-US"/>
        </w:rPr>
        <w:t xml:space="preserve">. </w:t>
      </w:r>
    </w:p>
    <w:p w:rsidR="00150A68" w:rsidRPr="00150A68" w:rsidRDefault="00CB20B6" w:rsidP="00CB20B6">
      <w:pPr>
        <w:pStyle w:val="H23G"/>
      </w:pPr>
      <w:r>
        <w:tab/>
      </w:r>
      <w:r>
        <w:tab/>
      </w:r>
      <w:r w:rsidR="00353F8F">
        <w:t>The a</w:t>
      </w:r>
      <w:r w:rsidR="008055A4">
        <w:t>uthor’s</w:t>
      </w:r>
      <w:r w:rsidR="00150A68" w:rsidRPr="00150A68">
        <w:t xml:space="preserve"> comments on the State party’s observations</w:t>
      </w:r>
    </w:p>
    <w:p w:rsidR="008055A4" w:rsidRDefault="008055A4" w:rsidP="009035FE">
      <w:pPr>
        <w:pStyle w:val="SingleTxtG"/>
      </w:pPr>
      <w:r>
        <w:t>5.1</w:t>
      </w:r>
      <w:r>
        <w:tab/>
      </w:r>
      <w:r w:rsidR="00FE619F">
        <w:t xml:space="preserve">On 5 March 2012, </w:t>
      </w:r>
      <w:r w:rsidR="008134EC">
        <w:t>the author submit</w:t>
      </w:r>
      <w:r w:rsidR="00FF0613">
        <w:t>ted</w:t>
      </w:r>
      <w:r w:rsidR="008134EC">
        <w:t xml:space="preserve"> that in its observations of 4 August 2008, the State party did not challenge the fact that she was not </w:t>
      </w:r>
      <w:r w:rsidR="008134EC" w:rsidRPr="005C1C17">
        <w:t>brought before a judge</w:t>
      </w:r>
      <w:r w:rsidR="008134EC">
        <w:t xml:space="preserve"> on two </w:t>
      </w:r>
      <w:r w:rsidR="00AA4A3A">
        <w:t xml:space="preserve">separate </w:t>
      </w:r>
      <w:r w:rsidR="008134EC">
        <w:t>occasions, i.e. during her detention</w:t>
      </w:r>
      <w:r w:rsidR="00353F8F">
        <w:t>s</w:t>
      </w:r>
      <w:r w:rsidR="008134EC">
        <w:t xml:space="preserve"> from </w:t>
      </w:r>
      <w:r w:rsidR="008134EC" w:rsidRPr="00864B0F">
        <w:t xml:space="preserve">29 September </w:t>
      </w:r>
      <w:r w:rsidR="008134EC">
        <w:t xml:space="preserve">to 1 October </w:t>
      </w:r>
      <w:r w:rsidR="008134EC" w:rsidRPr="00864B0F">
        <w:t xml:space="preserve">2005 and </w:t>
      </w:r>
      <w:r w:rsidR="008134EC">
        <w:t xml:space="preserve">from </w:t>
      </w:r>
      <w:r w:rsidR="008134EC" w:rsidRPr="00864B0F">
        <w:t>27 January</w:t>
      </w:r>
      <w:r w:rsidR="008134EC">
        <w:t xml:space="preserve"> to 30 January 2006. The author add</w:t>
      </w:r>
      <w:r w:rsidR="00FF0613">
        <w:t>ed</w:t>
      </w:r>
      <w:r w:rsidR="008134EC">
        <w:t xml:space="preserve"> that she maintains her arguments presented in </w:t>
      </w:r>
      <w:r w:rsidR="00CC6348">
        <w:t xml:space="preserve">the initial submission of 4 April 2008 in </w:t>
      </w:r>
      <w:r w:rsidR="008134EC">
        <w:t>support of the claim that the State party has violated her rights under article 9, paragraph 3, of the Covenant.</w:t>
      </w:r>
    </w:p>
    <w:p w:rsidR="008134EC" w:rsidRDefault="008134EC" w:rsidP="009035FE">
      <w:pPr>
        <w:pStyle w:val="SingleTxtG"/>
      </w:pPr>
      <w:r>
        <w:t>5.2</w:t>
      </w:r>
      <w:r>
        <w:tab/>
      </w:r>
      <w:r w:rsidR="00D3157F">
        <w:t xml:space="preserve">The author challenges the State party’s argument that she </w:t>
      </w:r>
      <w:r w:rsidR="00D3157F" w:rsidRPr="00864B0F">
        <w:t xml:space="preserve">did not </w:t>
      </w:r>
      <w:r w:rsidR="00D3157F">
        <w:t xml:space="preserve">appeal against </w:t>
      </w:r>
      <w:r w:rsidR="00903E9C">
        <w:t xml:space="preserve">the first and the second </w:t>
      </w:r>
      <w:r w:rsidR="00D3157F" w:rsidRPr="00864B0F">
        <w:t>detention</w:t>
      </w:r>
      <w:r w:rsidR="00903E9C">
        <w:t>s</w:t>
      </w:r>
      <w:r w:rsidR="00D3157F" w:rsidRPr="00864B0F">
        <w:t xml:space="preserve"> </w:t>
      </w:r>
      <w:r w:rsidR="00D3157F">
        <w:t>e</w:t>
      </w:r>
      <w:r w:rsidR="00D3157F" w:rsidRPr="00864B0F">
        <w:t xml:space="preserve">ither to the </w:t>
      </w:r>
      <w:r w:rsidR="00D3157F">
        <w:t xml:space="preserve">court </w:t>
      </w:r>
      <w:r w:rsidR="00D3157F" w:rsidRPr="00864B0F">
        <w:t xml:space="preserve">or to </w:t>
      </w:r>
      <w:r w:rsidR="00D3157F" w:rsidRPr="004A0BF3">
        <w:t xml:space="preserve">the prosecutor (see paragraph </w:t>
      </w:r>
      <w:r w:rsidR="004A0BF3" w:rsidRPr="004A0BF3">
        <w:t xml:space="preserve">4.4 </w:t>
      </w:r>
      <w:r w:rsidR="00D3157F" w:rsidRPr="004A0BF3">
        <w:t>above).</w:t>
      </w:r>
      <w:r w:rsidR="00BD6B7E" w:rsidRPr="004A0BF3">
        <w:t xml:space="preserve"> She recalls that she complained to the Pro</w:t>
      </w:r>
      <w:r w:rsidR="00BD6B7E">
        <w:t>secutor’s Office on numerous occasions about the violation of her rights under article 9, paragraph 3, of the Covenant (see paragraphs 2.3</w:t>
      </w:r>
      <w:r w:rsidR="008E0958">
        <w:t>–</w:t>
      </w:r>
      <w:r w:rsidR="00BD6B7E">
        <w:t xml:space="preserve">2.6 above). The author adds that, contrary to what is asserted by the State party, her complaints were in fact submitted </w:t>
      </w:r>
      <w:r w:rsidR="007E3149">
        <w:t>to</w:t>
      </w:r>
      <w:r w:rsidR="00BD6B7E">
        <w:t xml:space="preserve"> the district, regional and </w:t>
      </w:r>
      <w:r w:rsidR="008E0958">
        <w:t xml:space="preserve">national </w:t>
      </w:r>
      <w:r w:rsidR="00BD6B7E">
        <w:t>levels</w:t>
      </w:r>
      <w:r w:rsidR="00907EC7">
        <w:t xml:space="preserve"> of the Prosecutor’s Office</w:t>
      </w:r>
      <w:r w:rsidR="00BD6B7E">
        <w:t>.</w:t>
      </w:r>
    </w:p>
    <w:p w:rsidR="008134EC" w:rsidRDefault="00427A93" w:rsidP="009035FE">
      <w:pPr>
        <w:pStyle w:val="SingleTxtG"/>
      </w:pPr>
      <w:r>
        <w:t>5.3</w:t>
      </w:r>
      <w:r>
        <w:tab/>
      </w:r>
      <w:r w:rsidR="00B55787">
        <w:t xml:space="preserve">As to the possibility of appealing against one’s detention in relation to a criminal case while the person is still being detained, the author argues that it is pointless to appeal against </w:t>
      </w:r>
      <w:r w:rsidR="00410F31">
        <w:t xml:space="preserve">one’s </w:t>
      </w:r>
      <w:r w:rsidR="00B55787">
        <w:t>detention that lasted for less than 72 hours wi</w:t>
      </w:r>
      <w:r w:rsidR="00410F31">
        <w:t xml:space="preserve">th the aim of immediate release, because complaints submitted by detained persons themselves or their lawyers are </w:t>
      </w:r>
      <w:r w:rsidR="007E3149">
        <w:t>only</w:t>
      </w:r>
      <w:r w:rsidR="00410F31">
        <w:t xml:space="preserve"> </w:t>
      </w:r>
      <w:r w:rsidR="00410F31">
        <w:lastRenderedPageBreak/>
        <w:t xml:space="preserve">examined after 72 hours, i.e. when the detained person in question </w:t>
      </w:r>
      <w:r w:rsidR="008E0958">
        <w:t xml:space="preserve">has </w:t>
      </w:r>
      <w:r w:rsidR="00410F31">
        <w:t xml:space="preserve">either already </w:t>
      </w:r>
      <w:r w:rsidR="008E0958">
        <w:t xml:space="preserve">been </w:t>
      </w:r>
      <w:r w:rsidR="00410F31">
        <w:t xml:space="preserve">released or </w:t>
      </w:r>
      <w:r w:rsidR="00A62DED">
        <w:t xml:space="preserve">ordered </w:t>
      </w:r>
      <w:r w:rsidR="00BB0435">
        <w:t>in</w:t>
      </w:r>
      <w:r w:rsidR="008E0958">
        <w:t>to</w:t>
      </w:r>
      <w:r w:rsidR="00BB0435">
        <w:t xml:space="preserve"> </w:t>
      </w:r>
      <w:r w:rsidR="00410F31">
        <w:t>custody upon the prosecutor’s authori</w:t>
      </w:r>
      <w:r w:rsidR="008E0958">
        <w:t>z</w:t>
      </w:r>
      <w:r w:rsidR="00410F31">
        <w:t xml:space="preserve">ation. For this reason, lawyers in </w:t>
      </w:r>
      <w:smartTag w:uri="urn:schemas-microsoft-com:office:smarttags" w:element="place">
        <w:smartTag w:uri="urn:schemas-microsoft-com:office:smarttags" w:element="country-region">
          <w:r w:rsidR="00410F31">
            <w:t>Belarus</w:t>
          </w:r>
        </w:smartTag>
      </w:smartTag>
      <w:r w:rsidR="00410F31">
        <w:t xml:space="preserve"> would usually appeal against their client’s </w:t>
      </w:r>
      <w:r w:rsidR="00A62DED">
        <w:t>placement</w:t>
      </w:r>
      <w:r w:rsidR="00410F31">
        <w:t xml:space="preserve"> in custody rather than against his or her detention. </w:t>
      </w:r>
    </w:p>
    <w:p w:rsidR="00410F31" w:rsidRDefault="00410F31" w:rsidP="009035FE">
      <w:pPr>
        <w:pStyle w:val="SingleTxtG"/>
      </w:pPr>
      <w:r>
        <w:t>5.4</w:t>
      </w:r>
      <w:r>
        <w:tab/>
        <w:t xml:space="preserve">On the facts, the author submits that she was detained for the first time on </w:t>
      </w:r>
      <w:r w:rsidR="00FC37C4">
        <w:t xml:space="preserve">Thursday, </w:t>
      </w:r>
      <w:r>
        <w:t>29 September 2005</w:t>
      </w:r>
      <w:r w:rsidR="00FC37C4">
        <w:t xml:space="preserve">, </w:t>
      </w:r>
      <w:r>
        <w:t xml:space="preserve">and interrogated in the lawyer’s presence </w:t>
      </w:r>
      <w:r w:rsidR="00FC37C4">
        <w:t>only on Friday, 30 September 2005.</w:t>
      </w:r>
      <w:r>
        <w:t xml:space="preserve"> </w:t>
      </w:r>
      <w:r w:rsidR="009B2E2F">
        <w:t xml:space="preserve">She met with the </w:t>
      </w:r>
      <w:r w:rsidR="009B2E2F" w:rsidRPr="009B2E2F">
        <w:rPr>
          <w:i/>
        </w:rPr>
        <w:t>ex</w:t>
      </w:r>
      <w:r w:rsidR="008E0958">
        <w:rPr>
          <w:i/>
        </w:rPr>
        <w:t xml:space="preserve"> </w:t>
      </w:r>
      <w:r w:rsidR="009B2E2F" w:rsidRPr="009B2E2F">
        <w:rPr>
          <w:i/>
        </w:rPr>
        <w:t>officio</w:t>
      </w:r>
      <w:r w:rsidR="009B2E2F">
        <w:t xml:space="preserve"> lawyer made available to her by the investigator shortly before the interrogation and this lawyer was present only for as long as the interrogation lasted. It ended at 5 p.m. The author adds that it was impossible for her to conclude an agreement with a lawyer and to pay for the lawyer’s services in appealing against her detention. In any case, such a complaint could have been submitted only on </w:t>
      </w:r>
      <w:r w:rsidR="008E0958">
        <w:t xml:space="preserve">the </w:t>
      </w:r>
      <w:r w:rsidR="009B2E2F">
        <w:t>evening</w:t>
      </w:r>
      <w:r w:rsidR="008E0958" w:rsidRPr="008E0958">
        <w:t xml:space="preserve"> </w:t>
      </w:r>
      <w:r w:rsidR="008E0958">
        <w:t>of Friday</w:t>
      </w:r>
      <w:r w:rsidR="009B2E2F">
        <w:t>,</w:t>
      </w:r>
      <w:r w:rsidR="008E0958" w:rsidRPr="008E0958">
        <w:t xml:space="preserve"> </w:t>
      </w:r>
      <w:r w:rsidR="009B2E2F">
        <w:t xml:space="preserve">30 September 2005, and would have reached the court only </w:t>
      </w:r>
      <w:r w:rsidR="00411F06">
        <w:t>on Monday, 3 October 2005, i.e. after her release from detention.</w:t>
      </w:r>
    </w:p>
    <w:p w:rsidR="000333FC" w:rsidRDefault="000333FC" w:rsidP="009035FE">
      <w:pPr>
        <w:pStyle w:val="SingleTxtG"/>
      </w:pPr>
      <w:r>
        <w:t>5.5</w:t>
      </w:r>
      <w:r>
        <w:tab/>
        <w:t xml:space="preserve">The author </w:t>
      </w:r>
      <w:r w:rsidR="00BC1002">
        <w:t xml:space="preserve">further submits </w:t>
      </w:r>
      <w:r>
        <w:t>that she was detained for the second time on Friday, 27 January 2006, and was not provided with a lawyer on that occasion. Even if she had submitted an appeal against her detention on that day, the complaint would have been examined by the court only at 9 a.m. on Monday, 30 January 2006, at the earliest. The author recalls that she was released from detention at 9 a.m. on 30 January 2006. She adds that</w:t>
      </w:r>
      <w:r w:rsidR="00E6200E">
        <w:t>, not having a</w:t>
      </w:r>
      <w:r>
        <w:t xml:space="preserve"> legal background, she was unable to write such a complaint on her own. The author notes that investigators and </w:t>
      </w:r>
      <w:r w:rsidR="00605860">
        <w:t xml:space="preserve">other </w:t>
      </w:r>
      <w:r>
        <w:t xml:space="preserve">officers of the Ministry of Internal Affairs in </w:t>
      </w:r>
      <w:smartTag w:uri="urn:schemas-microsoft-com:office:smarttags" w:element="place">
        <w:smartTag w:uri="urn:schemas-microsoft-com:office:smarttags" w:element="country-region">
          <w:r>
            <w:t>Belarus</w:t>
          </w:r>
        </w:smartTag>
      </w:smartTag>
      <w:r>
        <w:t xml:space="preserve"> often detain persons on the weekend’s eve</w:t>
      </w:r>
      <w:r w:rsidR="00605860">
        <w:t xml:space="preserve">, which makes it absolutely impossible for the latter to promptly appeal against their detention due to the fact that lawyers cannot visit their clients in the temporary detention ward over the weekend.  </w:t>
      </w:r>
    </w:p>
    <w:p w:rsidR="00795B10" w:rsidRDefault="00605860" w:rsidP="00795B10">
      <w:pPr>
        <w:pStyle w:val="SingleTxtG"/>
      </w:pPr>
      <w:r>
        <w:t>5.6</w:t>
      </w:r>
      <w:r>
        <w:tab/>
      </w:r>
      <w:r w:rsidR="007A1FBC">
        <w:t>The author submits that, on 27 December 2007, she complained to the Leninsky District Court of Brest</w:t>
      </w:r>
      <w:r w:rsidR="00B026B8">
        <w:t xml:space="preserve"> </w:t>
      </w:r>
      <w:r w:rsidR="0089550C">
        <w:t xml:space="preserve">pursuant to the provisions of articles 335 and 353 of the </w:t>
      </w:r>
      <w:r w:rsidR="006B5CF6">
        <w:t xml:space="preserve">Code of </w:t>
      </w:r>
      <w:r w:rsidR="0089550C">
        <w:t xml:space="preserve">Civil Procedure </w:t>
      </w:r>
      <w:r w:rsidR="007A1FBC">
        <w:t xml:space="preserve">about a violation of her rights under article 9, paragraph 3, of the Covenant. </w:t>
      </w:r>
      <w:r w:rsidR="00BA37FA">
        <w:t>On 27 February 2008, a judge of the Leninsky District Court of Brest examined the author’s complaint in her absence</w:t>
      </w:r>
      <w:r w:rsidR="009D48AC">
        <w:rPr>
          <w:rStyle w:val="FootnoteReference"/>
        </w:rPr>
        <w:footnoteReference w:id="5"/>
      </w:r>
      <w:r w:rsidR="00BA37FA">
        <w:t xml:space="preserve"> and decided to </w:t>
      </w:r>
      <w:r w:rsidR="00B026B8">
        <w:t xml:space="preserve">terminate the proceedings for lack of jurisdiction pursuant to article 164, paragraph 1, of the </w:t>
      </w:r>
      <w:r w:rsidR="006B5CF6">
        <w:t xml:space="preserve">Code of </w:t>
      </w:r>
      <w:r w:rsidR="00B026B8">
        <w:t>Civil Procedure</w:t>
      </w:r>
      <w:r w:rsidR="0055402B">
        <w:t>. He</w:t>
      </w:r>
      <w:r w:rsidR="00B026B8">
        <w:t xml:space="preserve"> determined that the procedure for appealing one’s detention is govern</w:t>
      </w:r>
      <w:r w:rsidR="00B026B8" w:rsidRPr="00E3302F">
        <w:t>ed by article 143 of</w:t>
      </w:r>
      <w:r w:rsidR="00B026B8">
        <w:t xml:space="preserve"> the </w:t>
      </w:r>
      <w:r w:rsidR="006B5CF6">
        <w:t xml:space="preserve">Code of </w:t>
      </w:r>
      <w:r w:rsidR="00B026B8">
        <w:t xml:space="preserve">Criminal Procedure rather than by the </w:t>
      </w:r>
      <w:r w:rsidR="006B5CF6">
        <w:t xml:space="preserve">Code of </w:t>
      </w:r>
      <w:r w:rsidR="00B026B8">
        <w:t xml:space="preserve">Civil Procedure. </w:t>
      </w:r>
      <w:r w:rsidR="0055402B">
        <w:t xml:space="preserve">The judge </w:t>
      </w:r>
      <w:r w:rsidR="00795B10">
        <w:t xml:space="preserve">of the Leninsky District Court of Brest </w:t>
      </w:r>
      <w:r w:rsidR="0055402B">
        <w:t xml:space="preserve">also concluded that the author </w:t>
      </w:r>
      <w:r w:rsidR="00795B10">
        <w:t>ha</w:t>
      </w:r>
      <w:r w:rsidR="006B5CF6">
        <w:t>d</w:t>
      </w:r>
      <w:r w:rsidR="00795B10">
        <w:t xml:space="preserve"> not provided</w:t>
      </w:r>
      <w:r w:rsidR="0055402B">
        <w:t xml:space="preserve"> the court with evidence proving that in the course of her detention </w:t>
      </w:r>
      <w:r w:rsidR="00795B10">
        <w:t>she had requested officers in charge of preliminary investigation to bring her before a judge.</w:t>
      </w:r>
    </w:p>
    <w:p w:rsidR="004D58B2" w:rsidRDefault="00795B10" w:rsidP="00795B10">
      <w:pPr>
        <w:pStyle w:val="SingleTxtG"/>
      </w:pPr>
      <w:r>
        <w:t>5.7</w:t>
      </w:r>
      <w:r>
        <w:tab/>
      </w:r>
      <w:r w:rsidR="00ED0442">
        <w:t xml:space="preserve">The author notes that, although the ruling </w:t>
      </w:r>
      <w:r>
        <w:t xml:space="preserve">of the Leninsky District Court of Brest </w:t>
      </w:r>
      <w:r w:rsidR="00ED0442">
        <w:t>mentions that i</w:t>
      </w:r>
      <w:r w:rsidR="009D48AC">
        <w:t xml:space="preserve">t was rendered in public, no </w:t>
      </w:r>
      <w:r w:rsidR="006B5CF6">
        <w:t xml:space="preserve">one belonging to the </w:t>
      </w:r>
      <w:r w:rsidR="009D48AC">
        <w:t>public</w:t>
      </w:r>
      <w:r w:rsidR="00ED0442">
        <w:t xml:space="preserve">, including two persons who </w:t>
      </w:r>
      <w:r w:rsidR="0055402B">
        <w:t xml:space="preserve">had </w:t>
      </w:r>
      <w:r w:rsidR="00ED0442">
        <w:t>specifically expressed their interest in attend</w:t>
      </w:r>
      <w:r w:rsidR="009D48AC">
        <w:t>ing the hearing in question</w:t>
      </w:r>
      <w:r w:rsidR="006B5CF6">
        <w:t>,</w:t>
      </w:r>
      <w:r w:rsidR="009D48AC">
        <w:t xml:space="preserve"> was</w:t>
      </w:r>
      <w:r w:rsidR="00ED0442">
        <w:t xml:space="preserve"> allowed to enter the court room by a clerk of court. She argues that</w:t>
      </w:r>
      <w:r w:rsidR="009D48AC">
        <w:t xml:space="preserve">, irrespective of whether parties to the proceedings are present in the courtroom, </w:t>
      </w:r>
      <w:r w:rsidR="006B5CF6">
        <w:t xml:space="preserve">the </w:t>
      </w:r>
      <w:r w:rsidR="009D48AC">
        <w:t>public should be allowed to attend public hearings. The author claims, therefore, that her right to a public hearing by an independent and impartial tribunal</w:t>
      </w:r>
      <w:r w:rsidR="0087488D">
        <w:t xml:space="preserve"> provided for in article 14, paragraph 1, of the Covenant </w:t>
      </w:r>
      <w:r w:rsidR="006B5CF6">
        <w:t>w</w:t>
      </w:r>
      <w:r w:rsidR="0087488D">
        <w:t>as violated.</w:t>
      </w:r>
    </w:p>
    <w:p w:rsidR="00605860" w:rsidRDefault="00795B10" w:rsidP="0064019C">
      <w:pPr>
        <w:pStyle w:val="SingleTxtG"/>
      </w:pPr>
      <w:r>
        <w:t>5.8</w:t>
      </w:r>
      <w:r w:rsidR="004D58B2">
        <w:tab/>
        <w:t xml:space="preserve">On 10 March 2008, the author </w:t>
      </w:r>
      <w:r w:rsidR="004D58B2" w:rsidRPr="00AA31F1">
        <w:t xml:space="preserve">filed a private </w:t>
      </w:r>
      <w:r w:rsidR="00AA31F1" w:rsidRPr="00AA31F1">
        <w:t>appeal</w:t>
      </w:r>
      <w:r w:rsidR="004D58B2" w:rsidRPr="00AA31F1">
        <w:t xml:space="preserve"> against the ruling of the Leninsky District Court of Brest of 27 February 2008. On 17 March 2008, a judge of th</w:t>
      </w:r>
      <w:r w:rsidR="0053737E">
        <w:t>at</w:t>
      </w:r>
      <w:r w:rsidR="004D58B2" w:rsidRPr="00AA31F1">
        <w:t xml:space="preserve"> Court decided not to accept the </w:t>
      </w:r>
      <w:r w:rsidR="00BC1002" w:rsidRPr="00AA31F1">
        <w:t xml:space="preserve">private </w:t>
      </w:r>
      <w:r w:rsidR="00AA31F1" w:rsidRPr="00AA31F1">
        <w:t>appeal</w:t>
      </w:r>
      <w:r w:rsidR="00BC1002" w:rsidRPr="00AA31F1">
        <w:t xml:space="preserve"> </w:t>
      </w:r>
      <w:r w:rsidR="004D58B2" w:rsidRPr="00AA31F1">
        <w:t>on the ground that the author ha</w:t>
      </w:r>
      <w:r w:rsidR="0064019C">
        <w:t>d</w:t>
      </w:r>
      <w:r w:rsidR="004D58B2" w:rsidRPr="00AA31F1">
        <w:t xml:space="preserve"> missed the deadline to lodge the appeal. On 27 March 2008, the author filed a </w:t>
      </w:r>
      <w:r w:rsidR="00BC1002" w:rsidRPr="00AA31F1">
        <w:t xml:space="preserve">private </w:t>
      </w:r>
      <w:r w:rsidR="00AA31F1" w:rsidRPr="00AA31F1">
        <w:t>appeal</w:t>
      </w:r>
      <w:r w:rsidR="00BC1002" w:rsidRPr="00AA31F1">
        <w:t xml:space="preserve"> </w:t>
      </w:r>
      <w:r w:rsidR="004D58B2" w:rsidRPr="00AA31F1">
        <w:t xml:space="preserve">against the </w:t>
      </w:r>
      <w:r w:rsidR="00640ACE" w:rsidRPr="00AA31F1">
        <w:t xml:space="preserve">judge’s </w:t>
      </w:r>
      <w:r w:rsidR="004D58B2" w:rsidRPr="00AA31F1">
        <w:t xml:space="preserve">decision </w:t>
      </w:r>
      <w:r w:rsidR="00640ACE" w:rsidRPr="00AA31F1">
        <w:t>of 17 March 2008</w:t>
      </w:r>
      <w:r w:rsidR="0064019C">
        <w:t xml:space="preserve">, challenging the way the deadline in question had </w:t>
      </w:r>
      <w:r w:rsidR="0064019C">
        <w:lastRenderedPageBreak/>
        <w:t>been calculated,</w:t>
      </w:r>
      <w:r w:rsidR="00640ACE" w:rsidRPr="00AA31F1">
        <w:t xml:space="preserve"> and, on 18 April</w:t>
      </w:r>
      <w:r w:rsidR="005A1EC3">
        <w:t xml:space="preserve"> </w:t>
      </w:r>
      <w:r w:rsidR="00640ACE" w:rsidRPr="00AA31F1">
        <w:t xml:space="preserve">2008, she filed a supplementary </w:t>
      </w:r>
      <w:r w:rsidR="00BC1002" w:rsidRPr="00AA31F1">
        <w:t xml:space="preserve">private </w:t>
      </w:r>
      <w:r w:rsidR="00AA31F1" w:rsidRPr="00AA31F1">
        <w:t>appeal</w:t>
      </w:r>
      <w:r w:rsidR="00BC1002" w:rsidRPr="00AA31F1">
        <w:t xml:space="preserve"> </w:t>
      </w:r>
      <w:r w:rsidR="00640ACE" w:rsidRPr="00AA31F1">
        <w:t>against the ruling of the Leninsky District Court of Brest of 27 February 2008 with the Regional Court</w:t>
      </w:r>
      <w:r w:rsidR="0053737E" w:rsidRPr="0053737E">
        <w:t xml:space="preserve"> </w:t>
      </w:r>
      <w:r w:rsidR="0053737E">
        <w:t xml:space="preserve">of </w:t>
      </w:r>
      <w:r w:rsidR="0053737E" w:rsidRPr="00AA31F1">
        <w:t>Brest</w:t>
      </w:r>
      <w:r w:rsidR="00640ACE" w:rsidRPr="00AA31F1">
        <w:t>.</w:t>
      </w:r>
      <w:r w:rsidR="00622FC8" w:rsidRPr="00AA31F1">
        <w:t xml:space="preserve"> </w:t>
      </w:r>
      <w:r w:rsidR="005A1EC3">
        <w:t>In her supplementary private appeal</w:t>
      </w:r>
      <w:r w:rsidR="00BA3EBB">
        <w:t>,</w:t>
      </w:r>
      <w:r w:rsidR="005A1EC3">
        <w:t xml:space="preserve"> the author specifically argued that the obligation of the detaining authority to promptly bring her before a judge did not depend on whether she had requested it, as it should have been done automatically pursuant to article 9, paragraph 3, of the Covenant.</w:t>
      </w:r>
      <w:r w:rsidR="001B3ED9">
        <w:t xml:space="preserve"> </w:t>
      </w:r>
      <w:r w:rsidR="0089550C" w:rsidRPr="00AA31F1">
        <w:t xml:space="preserve">On 21 April 2008, the Judicial College on </w:t>
      </w:r>
      <w:r w:rsidR="002A031B" w:rsidRPr="00AA31F1">
        <w:t xml:space="preserve">Civil Cases </w:t>
      </w:r>
      <w:r w:rsidR="0089550C" w:rsidRPr="00AA31F1">
        <w:t xml:space="preserve">of the Brest Regional Court rejected the author’s </w:t>
      </w:r>
      <w:r w:rsidR="00BC1002" w:rsidRPr="00AA31F1">
        <w:t xml:space="preserve">private </w:t>
      </w:r>
      <w:r w:rsidR="00AA31F1" w:rsidRPr="00AA31F1">
        <w:t>appeals</w:t>
      </w:r>
      <w:r w:rsidR="0064019C">
        <w:t xml:space="preserve"> </w:t>
      </w:r>
      <w:r w:rsidR="0089550C" w:rsidRPr="00AA31F1">
        <w:t>and upheld the ruling of the Leninsky District Court of</w:t>
      </w:r>
      <w:r w:rsidR="0089550C">
        <w:t xml:space="preserve"> Brest of 27 February 2008</w:t>
      </w:r>
      <w:r w:rsidR="0064019C">
        <w:t xml:space="preserve"> on the ground that the procedure for appealing one’s detention </w:t>
      </w:r>
      <w:r w:rsidR="002A031B">
        <w:t>was</w:t>
      </w:r>
      <w:r w:rsidR="0064019C">
        <w:t xml:space="preserve"> govern</w:t>
      </w:r>
      <w:r w:rsidR="0064019C" w:rsidRPr="00E3302F">
        <w:t>ed by article 143 of</w:t>
      </w:r>
      <w:r w:rsidR="0064019C">
        <w:t xml:space="preserve"> the </w:t>
      </w:r>
      <w:r w:rsidR="00BA3EBB">
        <w:t xml:space="preserve">Code of </w:t>
      </w:r>
      <w:r w:rsidR="0064019C">
        <w:t xml:space="preserve">Criminal Procedure rather than by the </w:t>
      </w:r>
      <w:r w:rsidR="00BA3EBB">
        <w:t xml:space="preserve">Code of </w:t>
      </w:r>
      <w:r w:rsidR="0064019C">
        <w:t>Civil Procedure.</w:t>
      </w:r>
      <w:r w:rsidR="002A031B">
        <w:t xml:space="preserve"> </w:t>
      </w:r>
      <w:r w:rsidR="0064019C" w:rsidRPr="00AA31F1">
        <w:t xml:space="preserve"> </w:t>
      </w:r>
    </w:p>
    <w:p w:rsidR="00DE2C93" w:rsidRDefault="00E3302F" w:rsidP="00DE2C93">
      <w:pPr>
        <w:pStyle w:val="SingleTxtG"/>
      </w:pPr>
      <w:r>
        <w:t>5.9</w:t>
      </w:r>
      <w:r w:rsidR="00F04D44">
        <w:tab/>
      </w:r>
      <w:r w:rsidR="00D510B7">
        <w:t xml:space="preserve">The author </w:t>
      </w:r>
      <w:r w:rsidR="004667B4">
        <w:t>argues</w:t>
      </w:r>
      <w:r>
        <w:t xml:space="preserve"> that there are no effective</w:t>
      </w:r>
      <w:r w:rsidR="004667B4">
        <w:t xml:space="preserve"> remedies in </w:t>
      </w:r>
      <w:smartTag w:uri="urn:schemas-microsoft-com:office:smarttags" w:element="place">
        <w:smartTag w:uri="urn:schemas-microsoft-com:office:smarttags" w:element="country-region">
          <w:r w:rsidR="004667B4">
            <w:t>Belarus</w:t>
          </w:r>
        </w:smartTag>
      </w:smartTag>
      <w:r w:rsidR="004667B4">
        <w:t xml:space="preserve"> as far as the</w:t>
      </w:r>
      <w:r>
        <w:t xml:space="preserve"> right to be promptly brought before a judge</w:t>
      </w:r>
      <w:r w:rsidR="004667B4">
        <w:t>,</w:t>
      </w:r>
      <w:r>
        <w:t xml:space="preserve"> </w:t>
      </w:r>
      <w:r w:rsidR="004667B4" w:rsidRPr="00864B0F">
        <w:t xml:space="preserve">provided </w:t>
      </w:r>
      <w:r w:rsidR="004667B4">
        <w:t xml:space="preserve">for </w:t>
      </w:r>
      <w:r w:rsidR="004667B4" w:rsidRPr="00864B0F">
        <w:t xml:space="preserve">in article 9, paragraph 3, </w:t>
      </w:r>
      <w:r w:rsidR="004667B4">
        <w:t>of the Covenant, is concerned. She submits that the State party’s authorities do not generally recogni</w:t>
      </w:r>
      <w:r w:rsidR="00662FA0">
        <w:t>z</w:t>
      </w:r>
      <w:r w:rsidR="004667B4">
        <w:t xml:space="preserve">e the existence of the right to be promptly brought before a judge and simply substitute it with the right to appeal against one’s arrest or detention. </w:t>
      </w:r>
      <w:r w:rsidR="00D8117B">
        <w:t xml:space="preserve">The author adds that the latter right is provided for in article 9, paragraph 4, of the Covenant, and that it complements the other right provided for in article 9, paragraph 3, of the Covenant. She </w:t>
      </w:r>
      <w:r w:rsidR="003D5F56">
        <w:t>concludes</w:t>
      </w:r>
      <w:r w:rsidR="00D8117B">
        <w:t xml:space="preserve"> that, due to the </w:t>
      </w:r>
      <w:r w:rsidR="003D5F56">
        <w:t xml:space="preserve">conceptual </w:t>
      </w:r>
      <w:r w:rsidR="00D8117B">
        <w:t xml:space="preserve">misunderstanding by the State party’s authorities of the right to be promptly brought before a judge and, thus, of her </w:t>
      </w:r>
      <w:r w:rsidR="003D5F56">
        <w:t xml:space="preserve">demands </w:t>
      </w:r>
      <w:r w:rsidR="00D8117B">
        <w:t>to remedy</w:t>
      </w:r>
      <w:r w:rsidR="003D5F56">
        <w:t xml:space="preserve"> a violation of this right, any further attempts to avail herself of the domestic remedies would be futile. </w:t>
      </w:r>
    </w:p>
    <w:p w:rsidR="006754D1" w:rsidRDefault="00DE2C93" w:rsidP="00DE2C93">
      <w:pPr>
        <w:pStyle w:val="SingleTxtG"/>
      </w:pPr>
      <w:r>
        <w:t>5.1</w:t>
      </w:r>
      <w:r w:rsidR="002A031B">
        <w:t>0</w:t>
      </w:r>
      <w:r>
        <w:tab/>
      </w:r>
      <w:r w:rsidR="008A78BD">
        <w:t>With reference to the Committee’s jurisprudence,</w:t>
      </w:r>
      <w:r w:rsidR="008A78BD">
        <w:rPr>
          <w:rStyle w:val="FootnoteReference"/>
        </w:rPr>
        <w:footnoteReference w:id="6"/>
      </w:r>
      <w:r w:rsidR="008A78BD">
        <w:t xml:space="preserve"> the author </w:t>
      </w:r>
      <w:r>
        <w:t xml:space="preserve">recalls </w:t>
      </w:r>
      <w:r w:rsidR="008A78BD">
        <w:t xml:space="preserve">that </w:t>
      </w:r>
      <w:r>
        <w:t xml:space="preserve">domestic remedies need not be exhausted if they are either ineffective or unavailable. She argues, therefore, that the State party should have </w:t>
      </w:r>
      <w:r w:rsidR="008D152D">
        <w:t xml:space="preserve">described in </w:t>
      </w:r>
      <w:r>
        <w:t>detail</w:t>
      </w:r>
      <w:r w:rsidR="008D152D">
        <w:t xml:space="preserve"> which domestic remedies would have been available to her </w:t>
      </w:r>
      <w:r w:rsidRPr="00DE2C93">
        <w:t xml:space="preserve">in the </w:t>
      </w:r>
      <w:r>
        <w:t>present case</w:t>
      </w:r>
      <w:r w:rsidR="008D152D">
        <w:t xml:space="preserve"> and provided evidence </w:t>
      </w:r>
      <w:r>
        <w:t xml:space="preserve">that there </w:t>
      </w:r>
      <w:r w:rsidR="008D152D">
        <w:t xml:space="preserve">would be a </w:t>
      </w:r>
      <w:r>
        <w:t xml:space="preserve">reasonable </w:t>
      </w:r>
      <w:r w:rsidR="008D152D">
        <w:t xml:space="preserve">prospect </w:t>
      </w:r>
      <w:r>
        <w:t xml:space="preserve">that such </w:t>
      </w:r>
      <w:r w:rsidR="008D152D">
        <w:t>remedies would be effective. The author concludes that the State party has failed to provide such evidence in relation to the right to be promptly brought before a judge</w:t>
      </w:r>
      <w:r w:rsidR="006754D1">
        <w:t xml:space="preserve"> pursuant to article 9, paragraph 3, of the Covenant</w:t>
      </w:r>
      <w:r w:rsidR="008D152D">
        <w:t>.</w:t>
      </w:r>
    </w:p>
    <w:p w:rsidR="006754D1" w:rsidRPr="00415757" w:rsidRDefault="00CB20B6" w:rsidP="00CB20B6">
      <w:pPr>
        <w:pStyle w:val="H23G"/>
      </w:pPr>
      <w:r>
        <w:tab/>
      </w:r>
      <w:r>
        <w:tab/>
      </w:r>
      <w:r w:rsidR="006754D1" w:rsidRPr="00415757">
        <w:t>Issues and proceedings before the Committee</w:t>
      </w:r>
    </w:p>
    <w:p w:rsidR="006754D1" w:rsidRPr="00415757" w:rsidRDefault="00CB20B6" w:rsidP="00CB20B6">
      <w:pPr>
        <w:pStyle w:val="H4G"/>
      </w:pPr>
      <w:r>
        <w:tab/>
      </w:r>
      <w:r>
        <w:tab/>
      </w:r>
      <w:r w:rsidR="006754D1" w:rsidRPr="00415757">
        <w:t>Consideration of admissibility</w:t>
      </w:r>
    </w:p>
    <w:p w:rsidR="006754D1" w:rsidRPr="00AF6C3B" w:rsidRDefault="006754D1" w:rsidP="006754D1">
      <w:pPr>
        <w:pStyle w:val="SingleTxtG"/>
        <w:rPr>
          <w:bCs/>
        </w:rPr>
      </w:pPr>
      <w:r>
        <w:rPr>
          <w:bCs/>
        </w:rPr>
        <w:t>6</w:t>
      </w:r>
      <w:r w:rsidRPr="00AF6C3B">
        <w:rPr>
          <w:bCs/>
        </w:rPr>
        <w:t>.1</w:t>
      </w:r>
      <w:r w:rsidRPr="00AF6C3B">
        <w:rPr>
          <w:bCs/>
        </w:rPr>
        <w:tab/>
        <w:t xml:space="preserve">Before considering any claim contained in a communication, the Human Rights Committee must, in accordance with rule 93 of its </w:t>
      </w:r>
      <w:r>
        <w:rPr>
          <w:bCs/>
        </w:rPr>
        <w:t>r</w:t>
      </w:r>
      <w:r w:rsidRPr="00AF6C3B">
        <w:rPr>
          <w:bCs/>
        </w:rPr>
        <w:t>ules of procedure, decide whether or not the case is admissible under the Optional Protocol to the Covenant.</w:t>
      </w:r>
    </w:p>
    <w:p w:rsidR="006754D1" w:rsidRDefault="006754D1" w:rsidP="006754D1">
      <w:pPr>
        <w:pStyle w:val="SingleTxtG"/>
      </w:pPr>
      <w:r>
        <w:t>6</w:t>
      </w:r>
      <w:r w:rsidRPr="00AF6C3B">
        <w:t>.2</w:t>
      </w:r>
      <w:r w:rsidRPr="00AF6C3B">
        <w:tab/>
        <w:t>The Committee has ascertained, as required under article 5, paragraph 2</w:t>
      </w:r>
      <w:r w:rsidR="009F1E4A">
        <w:t xml:space="preserve"> </w:t>
      </w:r>
      <w:r w:rsidRPr="00AF6C3B">
        <w:t xml:space="preserve">(a), of the Optional Protocol, that the same matter is not being examined under another procedure of international investigation or settlement. </w:t>
      </w:r>
    </w:p>
    <w:p w:rsidR="006754D1" w:rsidRDefault="006754D1" w:rsidP="00D11A01">
      <w:pPr>
        <w:pStyle w:val="SingleTxtG"/>
      </w:pPr>
      <w:r>
        <w:t>6</w:t>
      </w:r>
      <w:r w:rsidRPr="00D7468C">
        <w:t>.3</w:t>
      </w:r>
      <w:r w:rsidRPr="00D7468C">
        <w:tab/>
      </w:r>
      <w:r w:rsidRPr="00D7468C">
        <w:rPr>
          <w:lang w:val="en-US"/>
        </w:rPr>
        <w:t xml:space="preserve">With regard to the requirement laid down in article 5, paragraph 2 (b), of the Optional Protocol, the Committee takes note of the State party’s argument that the author </w:t>
      </w:r>
      <w:r w:rsidR="00310226">
        <w:rPr>
          <w:lang w:val="en-US"/>
        </w:rPr>
        <w:t>has not appealed against her first (from 29 September to 1 October 2</w:t>
      </w:r>
      <w:r w:rsidR="00764CD4">
        <w:rPr>
          <w:lang w:val="en-US"/>
        </w:rPr>
        <w:t>00</w:t>
      </w:r>
      <w:r w:rsidR="00310226">
        <w:rPr>
          <w:lang w:val="en-US"/>
        </w:rPr>
        <w:t xml:space="preserve">5) and second (from 27 to 30 January 2006) detentions pursuant to the procedure established by article 143 of the Criminal Procedure Code. </w:t>
      </w:r>
      <w:r w:rsidRPr="00D7468C">
        <w:rPr>
          <w:lang w:val="en-US"/>
        </w:rPr>
        <w:t xml:space="preserve">The Committee further </w:t>
      </w:r>
      <w:r>
        <w:rPr>
          <w:lang w:val="en-US"/>
        </w:rPr>
        <w:t>notes</w:t>
      </w:r>
      <w:r w:rsidR="002A031B">
        <w:rPr>
          <w:lang w:val="en-US"/>
        </w:rPr>
        <w:t xml:space="preserve">, however, that the author’s claim relates </w:t>
      </w:r>
      <w:r w:rsidR="004879EE">
        <w:rPr>
          <w:lang w:val="en-US"/>
        </w:rPr>
        <w:t xml:space="preserve">not to her right under article 9, paragraph 4, of the Covenant to bring proceedings before a court, but </w:t>
      </w:r>
      <w:r w:rsidR="002A031B">
        <w:rPr>
          <w:lang w:val="en-US"/>
        </w:rPr>
        <w:t xml:space="preserve">to her right under article 9, paragraph 3, of the Covenant, to be brought promptly before a judge, </w:t>
      </w:r>
      <w:r w:rsidR="004879EE">
        <w:rPr>
          <w:lang w:val="en-US"/>
        </w:rPr>
        <w:t xml:space="preserve">without having to </w:t>
      </w:r>
      <w:r w:rsidR="007674A5">
        <w:rPr>
          <w:lang w:val="en-US"/>
        </w:rPr>
        <w:t>request it</w:t>
      </w:r>
      <w:r w:rsidR="004879EE">
        <w:rPr>
          <w:lang w:val="en-US"/>
        </w:rPr>
        <w:t xml:space="preserve">, </w:t>
      </w:r>
      <w:r w:rsidR="002A031B">
        <w:rPr>
          <w:lang w:val="en-US"/>
        </w:rPr>
        <w:t xml:space="preserve">and observes that she </w:t>
      </w:r>
      <w:r w:rsidR="00425B4A">
        <w:rPr>
          <w:lang w:val="en-US"/>
        </w:rPr>
        <w:t xml:space="preserve">conveyed her arguments in this respect to the State party’s authorities </w:t>
      </w:r>
      <w:r w:rsidR="00804DAE">
        <w:t xml:space="preserve">by </w:t>
      </w:r>
      <w:r w:rsidR="00F94A8A">
        <w:t xml:space="preserve">lodging </w:t>
      </w:r>
      <w:r w:rsidR="00804DAE">
        <w:rPr>
          <w:lang w:val="en-US"/>
        </w:rPr>
        <w:lastRenderedPageBreak/>
        <w:t>complain</w:t>
      </w:r>
      <w:r w:rsidR="00F94A8A">
        <w:rPr>
          <w:lang w:val="en-US"/>
        </w:rPr>
        <w:t xml:space="preserve">ts with </w:t>
      </w:r>
      <w:r w:rsidR="00804DAE">
        <w:rPr>
          <w:lang w:val="en-US"/>
        </w:rPr>
        <w:t>the Leninsky District Prosecutor of Brest, the Regional Prosecutor</w:t>
      </w:r>
      <w:r w:rsidR="00893F22" w:rsidRPr="00893F22">
        <w:rPr>
          <w:lang w:val="en-US"/>
        </w:rPr>
        <w:t xml:space="preserve"> </w:t>
      </w:r>
      <w:r w:rsidR="00893F22">
        <w:rPr>
          <w:lang w:val="en-US"/>
        </w:rPr>
        <w:t>of Brest</w:t>
      </w:r>
      <w:r w:rsidR="00804DAE">
        <w:rPr>
          <w:lang w:val="en-US"/>
        </w:rPr>
        <w:t xml:space="preserve">, the Prosecutor General, the </w:t>
      </w:r>
      <w:r w:rsidR="00804DAE" w:rsidRPr="00AA31F1">
        <w:t>Leninsky District Court of Brest</w:t>
      </w:r>
      <w:r w:rsidR="00F94A8A">
        <w:t xml:space="preserve"> and the Regional Court</w:t>
      </w:r>
      <w:r w:rsidR="00893F22" w:rsidRPr="00893F22">
        <w:t xml:space="preserve"> </w:t>
      </w:r>
      <w:r w:rsidR="00893F22">
        <w:t>of Brest</w:t>
      </w:r>
      <w:r w:rsidR="00B612B9">
        <w:t>.</w:t>
      </w:r>
      <w:r w:rsidR="00F87133">
        <w:t xml:space="preserve"> </w:t>
      </w:r>
      <w:r w:rsidR="00B612B9" w:rsidRPr="00222255">
        <w:t>Accor</w:t>
      </w:r>
      <w:r w:rsidR="00B612B9">
        <w:t>dingly, the Committee considers</w:t>
      </w:r>
      <w:r w:rsidR="00B612B9" w:rsidRPr="00222255">
        <w:t xml:space="preserve"> that </w:t>
      </w:r>
      <w:r w:rsidRPr="00D7468C">
        <w:t>it is not precluded, by article 5, paragraph 2 (b)</w:t>
      </w:r>
      <w:r w:rsidR="00711CB7">
        <w:t>,</w:t>
      </w:r>
      <w:r w:rsidRPr="00D7468C">
        <w:t xml:space="preserve"> of the Optional Protocol, from examining the communication.</w:t>
      </w:r>
    </w:p>
    <w:p w:rsidR="00643CCD" w:rsidRDefault="00192A19" w:rsidP="00643CCD">
      <w:pPr>
        <w:pStyle w:val="SingleTxtG"/>
      </w:pPr>
      <w:r>
        <w:t>6.</w:t>
      </w:r>
      <w:r w:rsidR="00425B4A">
        <w:t>4</w:t>
      </w:r>
      <w:r>
        <w:tab/>
        <w:t xml:space="preserve">As to the </w:t>
      </w:r>
      <w:r w:rsidR="00D21329">
        <w:t xml:space="preserve">alleged violation of the </w:t>
      </w:r>
      <w:r>
        <w:t xml:space="preserve">author’s right </w:t>
      </w:r>
      <w:r w:rsidR="00D21329">
        <w:t xml:space="preserve">under </w:t>
      </w:r>
      <w:r>
        <w:t xml:space="preserve">article 14, paragraph 1, of the Covenant, </w:t>
      </w:r>
      <w:r w:rsidR="00D21329">
        <w:t xml:space="preserve">because </w:t>
      </w:r>
      <w:r>
        <w:t xml:space="preserve">no </w:t>
      </w:r>
      <w:r w:rsidR="00893F22">
        <w:t xml:space="preserve">one from the </w:t>
      </w:r>
      <w:r>
        <w:t xml:space="preserve">public was allowed to attend the hearing of the Leninsky District Court of Brest on 27 February 2008, </w:t>
      </w:r>
      <w:r w:rsidRPr="00980742">
        <w:t xml:space="preserve">the Committee considers that </w:t>
      </w:r>
      <w:r w:rsidR="00D21329">
        <w:t xml:space="preserve">this claim </w:t>
      </w:r>
      <w:r w:rsidRPr="00980742">
        <w:t xml:space="preserve">has been insufficiently substantiated for purposes of admissibility. </w:t>
      </w:r>
      <w:r w:rsidR="00D21329" w:rsidRPr="00AF7232">
        <w:t>Accordingly, this part of the communication is inadmissible under article 2 of the Optional Protocol.</w:t>
      </w:r>
    </w:p>
    <w:p w:rsidR="00643CCD" w:rsidRDefault="00643CCD" w:rsidP="00643CCD">
      <w:pPr>
        <w:pStyle w:val="SingleTxtG"/>
        <w:rPr>
          <w:lang w:val="en-US"/>
        </w:rPr>
      </w:pPr>
      <w:r>
        <w:t>6.</w:t>
      </w:r>
      <w:r w:rsidR="00425B4A">
        <w:t>5</w:t>
      </w:r>
      <w:r>
        <w:tab/>
      </w:r>
      <w:r w:rsidR="00D21329" w:rsidRPr="00980742">
        <w:rPr>
          <w:lang w:val="en-US"/>
        </w:rPr>
        <w:t>The Comm</w:t>
      </w:r>
      <w:r w:rsidR="00D21329">
        <w:rPr>
          <w:lang w:val="en-US"/>
        </w:rPr>
        <w:t>ittee considers that the author has</w:t>
      </w:r>
      <w:r w:rsidR="00D21329" w:rsidRPr="00980742">
        <w:rPr>
          <w:lang w:val="en-US"/>
        </w:rPr>
        <w:t xml:space="preserve"> sufficiently substantiated, </w:t>
      </w:r>
      <w:r w:rsidR="00D21329">
        <w:rPr>
          <w:lang w:val="en-US"/>
        </w:rPr>
        <w:t>for purposes of admissibility, h</w:t>
      </w:r>
      <w:r w:rsidR="00F9283E">
        <w:rPr>
          <w:lang w:val="en-US"/>
        </w:rPr>
        <w:t>er</w:t>
      </w:r>
      <w:r w:rsidR="00D21329">
        <w:rPr>
          <w:lang w:val="en-US"/>
        </w:rPr>
        <w:t xml:space="preserve"> claim under article </w:t>
      </w:r>
      <w:r w:rsidR="00D21329" w:rsidRPr="00980742">
        <w:rPr>
          <w:lang w:val="en-US"/>
        </w:rPr>
        <w:t>9</w:t>
      </w:r>
      <w:r w:rsidR="00D21329">
        <w:rPr>
          <w:lang w:val="en-US"/>
        </w:rPr>
        <w:t>, paragraph 3,</w:t>
      </w:r>
      <w:r w:rsidR="00D21329" w:rsidRPr="00980742">
        <w:rPr>
          <w:lang w:val="en-US"/>
        </w:rPr>
        <w:t xml:space="preserve"> of the Covenant. </w:t>
      </w:r>
      <w:r w:rsidR="00D21329">
        <w:rPr>
          <w:lang w:val="en-US"/>
        </w:rPr>
        <w:t>Therefore</w:t>
      </w:r>
      <w:r>
        <w:rPr>
          <w:lang w:val="en-US"/>
        </w:rPr>
        <w:t>, it declares this claim</w:t>
      </w:r>
      <w:r w:rsidR="00D21329" w:rsidRPr="00980742">
        <w:rPr>
          <w:lang w:val="en-US"/>
        </w:rPr>
        <w:t xml:space="preserve"> </w:t>
      </w:r>
      <w:r>
        <w:rPr>
          <w:lang w:val="en-US"/>
        </w:rPr>
        <w:t>admissible and proceeds to its</w:t>
      </w:r>
      <w:r w:rsidR="00D21329" w:rsidRPr="00980742">
        <w:rPr>
          <w:lang w:val="en-US"/>
        </w:rPr>
        <w:t xml:space="preserve"> examination on the merits.</w:t>
      </w:r>
    </w:p>
    <w:p w:rsidR="00643CCD" w:rsidRPr="00CB20B6" w:rsidRDefault="00643CCD" w:rsidP="00CB20B6">
      <w:pPr>
        <w:pStyle w:val="H4G"/>
      </w:pPr>
      <w:r w:rsidRPr="00CB20B6">
        <w:tab/>
      </w:r>
      <w:r w:rsidRPr="00CB20B6">
        <w:tab/>
        <w:t>Consideration of the merits</w:t>
      </w:r>
    </w:p>
    <w:p w:rsidR="00643CCD" w:rsidRPr="00643CCD" w:rsidRDefault="00643CCD" w:rsidP="00643CCD">
      <w:pPr>
        <w:pStyle w:val="SingleTxtG"/>
        <w:rPr>
          <w:lang w:val="en-US"/>
        </w:rPr>
      </w:pPr>
      <w:r>
        <w:t>7</w:t>
      </w:r>
      <w:r w:rsidRPr="00643CCD">
        <w:rPr>
          <w:lang w:val="en-US"/>
        </w:rPr>
        <w:t>.1</w:t>
      </w:r>
      <w:r w:rsidRPr="00643CCD">
        <w:rPr>
          <w:lang w:val="en-US"/>
        </w:rPr>
        <w:tab/>
        <w:t>The Human Rights Committee has considered the communication in light of all the information made available to it by the parties, as provided under article 5, paragraph 1, of the Optional Protocol.</w:t>
      </w:r>
    </w:p>
    <w:p w:rsidR="00EF6781" w:rsidRDefault="00643CCD" w:rsidP="00643CCD">
      <w:pPr>
        <w:pStyle w:val="SingleTxtG"/>
      </w:pPr>
      <w:r>
        <w:rPr>
          <w:lang w:val="en-US"/>
        </w:rPr>
        <w:t>7</w:t>
      </w:r>
      <w:r w:rsidRPr="00643CCD">
        <w:rPr>
          <w:lang w:val="en-US"/>
        </w:rPr>
        <w:t>.2</w:t>
      </w:r>
      <w:r w:rsidRPr="00643CCD">
        <w:rPr>
          <w:lang w:val="en-US"/>
        </w:rPr>
        <w:tab/>
      </w:r>
      <w:r w:rsidRPr="00AF6C3B">
        <w:rPr>
          <w:lang w:val="en-US"/>
        </w:rPr>
        <w:t xml:space="preserve">The Committee </w:t>
      </w:r>
      <w:r>
        <w:rPr>
          <w:lang w:val="en-US"/>
        </w:rPr>
        <w:t>notes the author’</w:t>
      </w:r>
      <w:r w:rsidRPr="00AF6C3B">
        <w:rPr>
          <w:lang w:val="en-US"/>
        </w:rPr>
        <w:t xml:space="preserve">s claim that </w:t>
      </w:r>
      <w:r>
        <w:rPr>
          <w:lang w:val="en-US"/>
        </w:rPr>
        <w:t xml:space="preserve">her </w:t>
      </w:r>
      <w:r w:rsidRPr="00AF6C3B">
        <w:rPr>
          <w:lang w:val="en-US"/>
        </w:rPr>
        <w:t>right</w:t>
      </w:r>
      <w:r>
        <w:rPr>
          <w:lang w:val="en-US"/>
        </w:rPr>
        <w:t>s under article 9, paragraph 3, of the Covenant were</w:t>
      </w:r>
      <w:r w:rsidRPr="00AF6C3B">
        <w:rPr>
          <w:lang w:val="en-US"/>
        </w:rPr>
        <w:t xml:space="preserve"> violated, </w:t>
      </w:r>
      <w:r w:rsidR="00764CD4">
        <w:rPr>
          <w:lang w:val="en-US"/>
        </w:rPr>
        <w:t>because</w:t>
      </w:r>
      <w:r w:rsidRPr="00AF6C3B">
        <w:rPr>
          <w:lang w:val="en-US"/>
        </w:rPr>
        <w:t xml:space="preserve"> </w:t>
      </w:r>
      <w:r w:rsidR="00764CD4">
        <w:rPr>
          <w:lang w:val="en-US"/>
        </w:rPr>
        <w:t xml:space="preserve">on two </w:t>
      </w:r>
      <w:r w:rsidR="00AA4A3A">
        <w:rPr>
          <w:lang w:val="en-US"/>
        </w:rPr>
        <w:t xml:space="preserve">separate </w:t>
      </w:r>
      <w:r w:rsidR="00764CD4">
        <w:rPr>
          <w:lang w:val="en-US"/>
        </w:rPr>
        <w:t>occasions, from</w:t>
      </w:r>
      <w:r w:rsidR="00EF6781">
        <w:rPr>
          <w:lang w:val="en-US"/>
        </w:rPr>
        <w:t xml:space="preserve"> 9.30 a.m. on</w:t>
      </w:r>
      <w:r w:rsidR="00764CD4">
        <w:rPr>
          <w:lang w:val="en-US"/>
        </w:rPr>
        <w:t xml:space="preserve"> 29 September to </w:t>
      </w:r>
      <w:r w:rsidR="00EF6781">
        <w:rPr>
          <w:lang w:val="en-US"/>
        </w:rPr>
        <w:t xml:space="preserve">10.30 p.m. on </w:t>
      </w:r>
      <w:r w:rsidR="00764CD4">
        <w:rPr>
          <w:lang w:val="en-US"/>
        </w:rPr>
        <w:t xml:space="preserve">1 October 2005 and from </w:t>
      </w:r>
      <w:r w:rsidR="00EF6781">
        <w:rPr>
          <w:lang w:val="en-US"/>
        </w:rPr>
        <w:t xml:space="preserve">9 a.m. on </w:t>
      </w:r>
      <w:r w:rsidR="00764CD4">
        <w:rPr>
          <w:lang w:val="en-US"/>
        </w:rPr>
        <w:t xml:space="preserve">27 to </w:t>
      </w:r>
      <w:r w:rsidR="00EF6781">
        <w:rPr>
          <w:lang w:val="en-US"/>
        </w:rPr>
        <w:t xml:space="preserve">9 a.m. on </w:t>
      </w:r>
      <w:r w:rsidR="00764CD4">
        <w:rPr>
          <w:lang w:val="en-US"/>
        </w:rPr>
        <w:t>30 January 2006, i.e.</w:t>
      </w:r>
      <w:r w:rsidR="00EF6781">
        <w:rPr>
          <w:lang w:val="en-US"/>
        </w:rPr>
        <w:t xml:space="preserve"> </w:t>
      </w:r>
      <w:r w:rsidR="00AA672D">
        <w:rPr>
          <w:lang w:val="en-US"/>
        </w:rPr>
        <w:t>for</w:t>
      </w:r>
      <w:r w:rsidR="00AA672D" w:rsidRPr="00AA672D">
        <w:rPr>
          <w:lang w:val="en-US"/>
        </w:rPr>
        <w:t xml:space="preserve"> </w:t>
      </w:r>
      <w:r w:rsidR="00AA672D">
        <w:rPr>
          <w:lang w:val="en-US"/>
        </w:rPr>
        <w:t xml:space="preserve">respectively </w:t>
      </w:r>
      <w:r w:rsidR="00764CD4">
        <w:rPr>
          <w:lang w:val="en-US"/>
        </w:rPr>
        <w:t xml:space="preserve">61 and 72 hours from the moment of </w:t>
      </w:r>
      <w:r w:rsidR="00BD3AED">
        <w:rPr>
          <w:lang w:val="en-US"/>
        </w:rPr>
        <w:t xml:space="preserve">the </w:t>
      </w:r>
      <w:r w:rsidR="00764CD4">
        <w:rPr>
          <w:lang w:val="en-US"/>
        </w:rPr>
        <w:t xml:space="preserve">actual detention until the moment of her release, </w:t>
      </w:r>
      <w:r>
        <w:rPr>
          <w:lang w:val="en-US"/>
        </w:rPr>
        <w:t>she was not brought before a judge</w:t>
      </w:r>
      <w:r w:rsidR="00764CD4">
        <w:rPr>
          <w:lang w:val="en-US"/>
        </w:rPr>
        <w:t>.</w:t>
      </w:r>
      <w:r w:rsidR="00EF6781" w:rsidRPr="00EF6781">
        <w:t xml:space="preserve"> </w:t>
      </w:r>
      <w:r w:rsidR="00EF6781" w:rsidRPr="005C1C17">
        <w:t>She submits that the requirement of “promptness” would require that a person is brought before a judge within 48 hours</w:t>
      </w:r>
      <w:r w:rsidR="00EF6781">
        <w:t xml:space="preserve"> from the moment of actual detention</w:t>
      </w:r>
      <w:r w:rsidR="00EF6781" w:rsidRPr="005C1C17">
        <w:t>.</w:t>
      </w:r>
      <w:r w:rsidR="00EF6781">
        <w:t xml:space="preserve"> The Committee further notes the State party’s argument that article 9 of the Covenant does not establish a specific time limit for bringing a detained person before a judge</w:t>
      </w:r>
      <w:r w:rsidR="00605752">
        <w:t xml:space="preserve"> </w:t>
      </w:r>
      <w:r w:rsidR="00605752" w:rsidRPr="00BB4DA2">
        <w:t>and that the author did not complain about the fact of her detention</w:t>
      </w:r>
      <w:r w:rsidR="00EF6781">
        <w:t xml:space="preserve">.  </w:t>
      </w:r>
    </w:p>
    <w:p w:rsidR="003F1221" w:rsidRPr="00E214C9" w:rsidRDefault="00BD3AED" w:rsidP="00177ECC">
      <w:pPr>
        <w:pStyle w:val="SingleTxtG"/>
      </w:pPr>
      <w:r>
        <w:t>7.3</w:t>
      </w:r>
      <w:r w:rsidR="003F1221">
        <w:tab/>
      </w:r>
      <w:r w:rsidR="004D5162">
        <w:t xml:space="preserve">In this regard, the Committee </w:t>
      </w:r>
      <w:r w:rsidR="00605752" w:rsidRPr="00B814D6">
        <w:t>recalls that pretrial detention should be an exception and should be as short as possible.</w:t>
      </w:r>
      <w:r w:rsidR="00605752">
        <w:rPr>
          <w:rStyle w:val="FootnoteReference"/>
        </w:rPr>
        <w:footnoteReference w:id="7"/>
      </w:r>
      <w:r w:rsidR="00605752">
        <w:t xml:space="preserve"> </w:t>
      </w:r>
      <w:r w:rsidR="00605752" w:rsidRPr="00B814D6">
        <w:t xml:space="preserve">To ensure that this limitation is observed, </w:t>
      </w:r>
      <w:r w:rsidR="00605752">
        <w:t>a</w:t>
      </w:r>
      <w:r w:rsidR="00605752" w:rsidRPr="00B814D6">
        <w:t>rticle 9 requires that the detention be brought promptly under judicial control.</w:t>
      </w:r>
      <w:r w:rsidR="00605752">
        <w:rPr>
          <w:rStyle w:val="FootnoteReference"/>
        </w:rPr>
        <w:footnoteReference w:id="8"/>
      </w:r>
      <w:r w:rsidR="00605752" w:rsidRPr="00B814D6">
        <w:t xml:space="preserve"> Prompt initiation of judicial oversight also </w:t>
      </w:r>
      <w:r w:rsidR="00605752">
        <w:rPr>
          <w:rFonts w:hint="eastAsia"/>
        </w:rPr>
        <w:t xml:space="preserve">constitutes an </w:t>
      </w:r>
      <w:r w:rsidR="00605752">
        <w:t>important</w:t>
      </w:r>
      <w:r w:rsidR="00605752">
        <w:rPr>
          <w:rFonts w:hint="eastAsia"/>
        </w:rPr>
        <w:t xml:space="preserve"> safeguard against </w:t>
      </w:r>
      <w:r w:rsidR="00605752" w:rsidRPr="00B814D6">
        <w:t>the risk of ill-treatment of the detaine</w:t>
      </w:r>
      <w:r w:rsidR="00605752">
        <w:t>d person</w:t>
      </w:r>
      <w:r w:rsidR="00605752" w:rsidRPr="00B814D6">
        <w:t>. This judicial control of detention must be automatic and cannot be made to depend on a previous application by the detained person.</w:t>
      </w:r>
      <w:r w:rsidR="00177ECC" w:rsidRPr="00E214C9">
        <w:t xml:space="preserve"> </w:t>
      </w:r>
      <w:r w:rsidR="00BA5110">
        <w:t xml:space="preserve">The period for evaluating promptness begins at the time of </w:t>
      </w:r>
      <w:r w:rsidR="00177ECC" w:rsidRPr="00E214C9">
        <w:t xml:space="preserve">arrest and not </w:t>
      </w:r>
      <w:r w:rsidR="00BA5110">
        <w:t xml:space="preserve">at </w:t>
      </w:r>
      <w:r w:rsidR="00177ECC" w:rsidRPr="00E214C9">
        <w:t xml:space="preserve">the </w:t>
      </w:r>
      <w:r w:rsidR="00BA5110">
        <w:t>time</w:t>
      </w:r>
      <w:r w:rsidR="00177ECC" w:rsidRPr="00E214C9">
        <w:t xml:space="preserve"> </w:t>
      </w:r>
      <w:r w:rsidR="003F1221" w:rsidRPr="00E214C9">
        <w:t xml:space="preserve">when the person arrives in </w:t>
      </w:r>
      <w:r w:rsidR="00BA5110">
        <w:t>a</w:t>
      </w:r>
      <w:r w:rsidR="003F1221" w:rsidRPr="00E214C9">
        <w:t xml:space="preserve"> place of detention.</w:t>
      </w:r>
      <w:r w:rsidR="003F1221" w:rsidRPr="00E214C9">
        <w:rPr>
          <w:rStyle w:val="FootnoteReference"/>
        </w:rPr>
        <w:footnoteReference w:id="9"/>
      </w:r>
    </w:p>
    <w:p w:rsidR="004D5162" w:rsidRPr="00E214C9" w:rsidRDefault="00177ECC" w:rsidP="00643CCD">
      <w:pPr>
        <w:pStyle w:val="SingleTxtG"/>
      </w:pPr>
      <w:r w:rsidRPr="00E214C9">
        <w:t>7.4</w:t>
      </w:r>
      <w:r w:rsidRPr="00E214C9">
        <w:tab/>
      </w:r>
      <w:r w:rsidR="00D41F8C">
        <w:t>Although</w:t>
      </w:r>
      <w:r w:rsidR="00EF6781" w:rsidRPr="00E214C9">
        <w:t xml:space="preserve"> the meaning of the term “promptly” in article 9, paragraph 3,</w:t>
      </w:r>
      <w:r w:rsidR="00BD3AED" w:rsidRPr="00E214C9">
        <w:t xml:space="preserve"> of the Covenant</w:t>
      </w:r>
      <w:r w:rsidR="00EF6781" w:rsidRPr="00E214C9">
        <w:t xml:space="preserve"> must be determined on a case-by-case basis,</w:t>
      </w:r>
      <w:r w:rsidR="00BD3AED" w:rsidRPr="00E214C9">
        <w:rPr>
          <w:rStyle w:val="FootnoteReference"/>
        </w:rPr>
        <w:footnoteReference w:id="10"/>
      </w:r>
      <w:r w:rsidR="00EF6781" w:rsidRPr="00E214C9">
        <w:t xml:space="preserve"> the Committee recalls its </w:t>
      </w:r>
      <w:r w:rsidR="00D649BE">
        <w:t>G</w:t>
      </w:r>
      <w:r w:rsidR="00EF6781" w:rsidRPr="00E214C9">
        <w:t xml:space="preserve">eneral </w:t>
      </w:r>
      <w:r w:rsidR="00D649BE">
        <w:t>C</w:t>
      </w:r>
      <w:r w:rsidR="00EF6781" w:rsidRPr="00E214C9">
        <w:t>omment No. 8 (1982) on the right to liberty and security of persons</w:t>
      </w:r>
      <w:r w:rsidR="00D41F8C">
        <w:t xml:space="preserve"> (para. 2)</w:t>
      </w:r>
      <w:r w:rsidR="00EF6781" w:rsidRPr="00E214C9">
        <w:t xml:space="preserve"> and its jurisprudence,</w:t>
      </w:r>
      <w:r w:rsidR="00EF6781" w:rsidRPr="00E214C9">
        <w:rPr>
          <w:rStyle w:val="FootnoteReference"/>
        </w:rPr>
        <w:footnoteReference w:id="11"/>
      </w:r>
      <w:r w:rsidR="00EF6781" w:rsidRPr="00E214C9">
        <w:t xml:space="preserve"> pursuant to which delays should not exceed a few days. </w:t>
      </w:r>
      <w:r w:rsidR="00E804AF" w:rsidRPr="00E214C9">
        <w:t xml:space="preserve">The Committee </w:t>
      </w:r>
      <w:r w:rsidR="00E804AF" w:rsidRPr="00E214C9">
        <w:lastRenderedPageBreak/>
        <w:t xml:space="preserve">further recalls that it has </w:t>
      </w:r>
      <w:r w:rsidR="007A6FCA">
        <w:t>recommended</w:t>
      </w:r>
      <w:r w:rsidR="00E804AF" w:rsidRPr="00E214C9">
        <w:t xml:space="preserve"> on numerous occasions</w:t>
      </w:r>
      <w:r w:rsidR="00F954EA">
        <w:t>,</w:t>
      </w:r>
      <w:r w:rsidR="00E804AF" w:rsidRPr="00E214C9">
        <w:t xml:space="preserve"> in the context of consideration of the States </w:t>
      </w:r>
      <w:r w:rsidR="00425B4A">
        <w:t>p</w:t>
      </w:r>
      <w:r w:rsidR="00E804AF" w:rsidRPr="00E214C9">
        <w:t>arties’ reports submitted under article 40 of the Covenant</w:t>
      </w:r>
      <w:r w:rsidRPr="00E214C9">
        <w:t>,</w:t>
      </w:r>
      <w:r w:rsidR="00E804AF" w:rsidRPr="00E214C9">
        <w:t xml:space="preserve"> that the period of police custody before a detained person is brought before a judge should not exceed 48 hours.</w:t>
      </w:r>
      <w:r w:rsidR="009C6A9F" w:rsidRPr="00E214C9">
        <w:rPr>
          <w:rStyle w:val="FootnoteReference"/>
        </w:rPr>
        <w:footnoteReference w:id="12"/>
      </w:r>
      <w:r w:rsidR="00E804AF" w:rsidRPr="00E214C9">
        <w:t xml:space="preserve"> </w:t>
      </w:r>
      <w:r w:rsidR="007A6FCA" w:rsidRPr="00E642D0">
        <w:t>Any longer period of delay would require special justification to be compatible with article 9, paragraph 3</w:t>
      </w:r>
      <w:r w:rsidR="007A6FCA">
        <w:t>, of the Covenant</w:t>
      </w:r>
      <w:r w:rsidR="007A6FCA" w:rsidRPr="00E642D0">
        <w:t>.</w:t>
      </w:r>
      <w:r w:rsidR="007A6FCA">
        <w:rPr>
          <w:rStyle w:val="FootnoteReference"/>
        </w:rPr>
        <w:footnoteReference w:id="13"/>
      </w:r>
      <w:r w:rsidRPr="00E214C9">
        <w:t xml:space="preserve"> </w:t>
      </w:r>
    </w:p>
    <w:p w:rsidR="00EF6781" w:rsidRPr="00E214C9" w:rsidRDefault="000B07D6" w:rsidP="00643CCD">
      <w:pPr>
        <w:pStyle w:val="SingleTxtG"/>
        <w:rPr>
          <w:lang w:val="en-US"/>
        </w:rPr>
      </w:pPr>
      <w:r w:rsidRPr="00E214C9">
        <w:t>7.5</w:t>
      </w:r>
      <w:r w:rsidRPr="00E214C9">
        <w:tab/>
        <w:t xml:space="preserve">In the present case, </w:t>
      </w:r>
      <w:r w:rsidR="00BA6009" w:rsidRPr="00E214C9">
        <w:t xml:space="preserve">the Committee notes that </w:t>
      </w:r>
      <w:r w:rsidRPr="00E214C9">
        <w:t xml:space="preserve">the State party </w:t>
      </w:r>
      <w:r w:rsidR="00BA6009" w:rsidRPr="00E214C9">
        <w:t xml:space="preserve">has </w:t>
      </w:r>
      <w:r w:rsidRPr="00E214C9">
        <w:t xml:space="preserve">failed to provide any explanations as to the necessity of detaining the author </w:t>
      </w:r>
      <w:r w:rsidR="00501FE1">
        <w:rPr>
          <w:rFonts w:hint="eastAsia"/>
        </w:rPr>
        <w:t xml:space="preserve">in a temporary detention ward of the Directorate of Internal Affairs </w:t>
      </w:r>
      <w:r w:rsidRPr="00E214C9">
        <w:t>for 61 and 72 hours without bring</w:t>
      </w:r>
      <w:r w:rsidR="00BA6009" w:rsidRPr="00E214C9">
        <w:t>ing her before a judge</w:t>
      </w:r>
      <w:r w:rsidR="00501FE1" w:rsidRPr="008A29B1">
        <w:t>, other than the fact that she did not initiate a complaint. The inactivity of a detaine</w:t>
      </w:r>
      <w:r w:rsidR="00501FE1">
        <w:t>d person</w:t>
      </w:r>
      <w:r w:rsidR="00501FE1" w:rsidRPr="008A29B1">
        <w:t xml:space="preserve"> is not a valid reason to delay bringing her before a judge. </w:t>
      </w:r>
      <w:r w:rsidR="00501FE1">
        <w:rPr>
          <w:rFonts w:hint="eastAsia"/>
        </w:rPr>
        <w:t xml:space="preserve">In the circumstances of the present </w:t>
      </w:r>
      <w:r w:rsidR="00501FE1">
        <w:t>commun</w:t>
      </w:r>
      <w:r w:rsidR="00D162F9">
        <w:t>i</w:t>
      </w:r>
      <w:r w:rsidR="00501FE1">
        <w:t>cation</w:t>
      </w:r>
      <w:r w:rsidR="00501FE1">
        <w:rPr>
          <w:rFonts w:hint="eastAsia"/>
        </w:rPr>
        <w:t>, t</w:t>
      </w:r>
      <w:r w:rsidR="00501FE1" w:rsidRPr="008A29B1">
        <w:t>he Committee</w:t>
      </w:r>
      <w:r w:rsidR="00BA6009" w:rsidRPr="00E214C9">
        <w:t xml:space="preserve"> considers that </w:t>
      </w:r>
      <w:r w:rsidR="00501FE1">
        <w:t>the detentions of the author were</w:t>
      </w:r>
      <w:r w:rsidR="00BA6009" w:rsidRPr="00E214C9">
        <w:t xml:space="preserve"> incompatible with</w:t>
      </w:r>
      <w:r w:rsidR="00EF6781" w:rsidRPr="00E214C9">
        <w:t xml:space="preserve"> article 9, paragraph 3, </w:t>
      </w:r>
      <w:r w:rsidR="00BA6009" w:rsidRPr="00E214C9">
        <w:t>of the Covenant</w:t>
      </w:r>
      <w:r w:rsidR="00EF6781" w:rsidRPr="00E214C9">
        <w:t>.</w:t>
      </w:r>
    </w:p>
    <w:p w:rsidR="006F3B94" w:rsidRDefault="00BA6009" w:rsidP="008649F9">
      <w:pPr>
        <w:pStyle w:val="SingleTxtG"/>
      </w:pPr>
      <w:r w:rsidRPr="00E214C9">
        <w:t>8</w:t>
      </w:r>
      <w:r w:rsidR="009E31DB" w:rsidRPr="00E214C9">
        <w:t>.</w:t>
      </w:r>
      <w:r w:rsidR="009E31DB" w:rsidRPr="00E214C9">
        <w:tab/>
      </w:r>
      <w:r w:rsidR="006F3B94" w:rsidRPr="00E214C9">
        <w:t xml:space="preserve">The Human Rights Committee, acting under article 5, paragraph 4, of the Optional Protocol to the International Covenant on Civil and Political Rights, is of the view that the </w:t>
      </w:r>
      <w:r w:rsidR="00301776" w:rsidRPr="00E214C9">
        <w:t xml:space="preserve">State party has </w:t>
      </w:r>
      <w:r w:rsidR="006F3B94" w:rsidRPr="00E214C9">
        <w:t>violat</w:t>
      </w:r>
      <w:r w:rsidR="00301776" w:rsidRPr="00E214C9">
        <w:t>ed the author</w:t>
      </w:r>
      <w:r w:rsidRPr="00E214C9">
        <w:t>’s</w:t>
      </w:r>
      <w:r w:rsidR="00301776" w:rsidRPr="00E214C9">
        <w:t xml:space="preserve"> rights under article </w:t>
      </w:r>
      <w:r w:rsidRPr="00E214C9">
        <w:t>9, paragraph</w:t>
      </w:r>
      <w:r>
        <w:t xml:space="preserve"> 3</w:t>
      </w:r>
      <w:r w:rsidR="00301776">
        <w:t>,</w:t>
      </w:r>
      <w:r w:rsidR="006F3B94" w:rsidRPr="00AF6C3B">
        <w:t xml:space="preserve"> of the Covenant.</w:t>
      </w:r>
    </w:p>
    <w:p w:rsidR="00BA6009" w:rsidRPr="00BA6009" w:rsidRDefault="00BA6009" w:rsidP="00BA6009">
      <w:pPr>
        <w:pStyle w:val="SingleTxtG"/>
      </w:pPr>
      <w:r>
        <w:t>9</w:t>
      </w:r>
      <w:r w:rsidR="009E31DB" w:rsidRPr="009E31DB">
        <w:t>.</w:t>
      </w:r>
      <w:r w:rsidR="009E31DB" w:rsidRPr="009E31DB">
        <w:tab/>
        <w:t>In accordance with article 2, paragraph 3</w:t>
      </w:r>
      <w:r w:rsidR="003036B0">
        <w:t xml:space="preserve"> </w:t>
      </w:r>
      <w:r w:rsidR="009E31DB" w:rsidRPr="009E31DB">
        <w:t xml:space="preserve">(a), of the Covenant, the State party is under an obligation to provide the author with an effective remedy, including </w:t>
      </w:r>
      <w:r w:rsidR="00D579B1" w:rsidRPr="00AF6C3B">
        <w:rPr>
          <w:lang w:val="en-US"/>
        </w:rPr>
        <w:t xml:space="preserve">reimbursement of </w:t>
      </w:r>
      <w:r w:rsidR="00AA7BD4">
        <w:rPr>
          <w:lang w:val="en-US"/>
        </w:rPr>
        <w:t xml:space="preserve">any </w:t>
      </w:r>
      <w:r w:rsidR="00D579B1" w:rsidRPr="00AF6C3B">
        <w:rPr>
          <w:lang w:val="en-US"/>
        </w:rPr>
        <w:t xml:space="preserve">legal costs incurred by </w:t>
      </w:r>
      <w:r>
        <w:rPr>
          <w:lang w:val="en-US"/>
        </w:rPr>
        <w:t>her</w:t>
      </w:r>
      <w:r w:rsidR="00295C85">
        <w:rPr>
          <w:lang w:val="en-US"/>
        </w:rPr>
        <w:t>, as well as adequate compensation</w:t>
      </w:r>
      <w:r w:rsidR="009E31DB" w:rsidRPr="009E31DB">
        <w:t xml:space="preserve">. </w:t>
      </w:r>
      <w:r w:rsidR="00CB618A" w:rsidRPr="009E31DB">
        <w:t xml:space="preserve">The State party is also under an obligation to </w:t>
      </w:r>
      <w:r w:rsidR="00CB618A">
        <w:t xml:space="preserve">take steps to </w:t>
      </w:r>
      <w:r w:rsidR="00CB618A" w:rsidRPr="009E31DB">
        <w:t>prevent similar violations in the future</w:t>
      </w:r>
      <w:r w:rsidR="00CB618A">
        <w:t>. In this connection, the State party</w:t>
      </w:r>
      <w:r w:rsidR="00CB618A" w:rsidRPr="009E31DB">
        <w:t xml:space="preserve"> should </w:t>
      </w:r>
      <w:r w:rsidR="00CB618A">
        <w:t xml:space="preserve">review its legislation, in particular the </w:t>
      </w:r>
      <w:r w:rsidR="00DC05EC">
        <w:t xml:space="preserve">Code of </w:t>
      </w:r>
      <w:r w:rsidR="00CB618A">
        <w:t xml:space="preserve">Criminal Procedure, to ensure its conformity </w:t>
      </w:r>
      <w:r w:rsidR="00CB618A" w:rsidRPr="009E31DB">
        <w:t xml:space="preserve">with </w:t>
      </w:r>
      <w:r w:rsidR="00CB618A">
        <w:t xml:space="preserve">the requirements of article 9, paragraph 3, </w:t>
      </w:r>
      <w:r w:rsidR="00CB618A" w:rsidRPr="009E31DB">
        <w:t>of the Covenant.</w:t>
      </w:r>
    </w:p>
    <w:p w:rsidR="009E31DB" w:rsidRPr="009E31DB" w:rsidRDefault="009E31DB" w:rsidP="008649F9">
      <w:pPr>
        <w:pStyle w:val="SingleTxtG"/>
      </w:pPr>
      <w:r w:rsidRPr="009E31DB">
        <w:t>1</w:t>
      </w:r>
      <w:r w:rsidR="00BA6009">
        <w:t>0</w:t>
      </w:r>
      <w:r w:rsidRPr="009E31DB">
        <w:t>.</w:t>
      </w:r>
      <w:r w:rsidRPr="009E31DB">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99016B">
        <w:t>’</w:t>
      </w:r>
      <w:r w:rsidRPr="009E31DB">
        <w:t xml:space="preserve">s Views. </w:t>
      </w:r>
      <w:r w:rsidR="007F7407">
        <w:t>T</w:t>
      </w:r>
      <w:r w:rsidR="007F7407" w:rsidRPr="009E31DB">
        <w:t xml:space="preserve">he State party </w:t>
      </w:r>
      <w:r w:rsidR="007F7407">
        <w:t xml:space="preserve">is also requested </w:t>
      </w:r>
      <w:r w:rsidR="007F7407" w:rsidRPr="009E31DB">
        <w:t xml:space="preserve">to publish the </w:t>
      </w:r>
      <w:r w:rsidR="007F7407">
        <w:t>present</w:t>
      </w:r>
      <w:r w:rsidR="007F7407" w:rsidRPr="009E31DB">
        <w:t xml:space="preserve"> Views</w:t>
      </w:r>
      <w:r w:rsidR="007F7407">
        <w:t xml:space="preserve">, and </w:t>
      </w:r>
      <w:r w:rsidR="007F7407" w:rsidRPr="008D7960">
        <w:rPr>
          <w:lang w:val="en-US"/>
        </w:rPr>
        <w:t xml:space="preserve">to have them widely disseminated in </w:t>
      </w:r>
      <w:r w:rsidR="007F7407">
        <w:rPr>
          <w:lang w:val="en-US"/>
        </w:rPr>
        <w:t xml:space="preserve">Belarusian and Russian in </w:t>
      </w:r>
      <w:r w:rsidR="007F7407" w:rsidRPr="008D7960">
        <w:rPr>
          <w:lang w:val="en-US"/>
        </w:rPr>
        <w:t>the State party</w:t>
      </w:r>
      <w:r w:rsidR="007F7407" w:rsidRPr="009E31DB">
        <w:t>.</w:t>
      </w:r>
      <w:r w:rsidRPr="009E31DB">
        <w:t xml:space="preserve"> </w:t>
      </w:r>
    </w:p>
    <w:p w:rsidR="009E31DB" w:rsidRDefault="009E31DB" w:rsidP="008649F9">
      <w:pPr>
        <w:pStyle w:val="SingleTxtG"/>
      </w:pPr>
      <w:r w:rsidRPr="009E31DB">
        <w:t>[Adopted in English, French and Spanish, the English text being the original version. Subsequently to be issued also in Arabic, Chinese and Russian as part of the Committee</w:t>
      </w:r>
      <w:r w:rsidR="00AC3B70">
        <w:t>’</w:t>
      </w:r>
      <w:r w:rsidRPr="009E31DB">
        <w:t>s annual report to the General Assembly.]</w:t>
      </w:r>
    </w:p>
    <w:p w:rsidR="00141153" w:rsidRDefault="00141153" w:rsidP="008649F9">
      <w:pPr>
        <w:pStyle w:val="SingleTxtG"/>
        <w:sectPr w:rsidR="00141153" w:rsidSect="00CD27EE">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127" w:left="1134" w:header="1134" w:footer="1701" w:gutter="0"/>
          <w:cols w:space="720"/>
          <w:titlePg/>
          <w:docGrid w:linePitch="272"/>
        </w:sectPr>
      </w:pPr>
    </w:p>
    <w:p w:rsidR="00141153" w:rsidRDefault="00141153" w:rsidP="00141153">
      <w:pPr>
        <w:pStyle w:val="HChG"/>
      </w:pPr>
      <w:r>
        <w:lastRenderedPageBreak/>
        <w:t>Appendix</w:t>
      </w:r>
    </w:p>
    <w:p w:rsidR="00141153" w:rsidRPr="00141153" w:rsidRDefault="00141153" w:rsidP="00141153">
      <w:pPr>
        <w:pStyle w:val="H1G"/>
      </w:pPr>
      <w:r>
        <w:tab/>
      </w:r>
      <w:r>
        <w:tab/>
      </w:r>
      <w:r w:rsidRPr="00141153">
        <w:t xml:space="preserve">Individual </w:t>
      </w:r>
      <w:r w:rsidRPr="00141153">
        <w:rPr>
          <w:rFonts w:hint="eastAsia"/>
        </w:rPr>
        <w:t>o</w:t>
      </w:r>
      <w:r w:rsidRPr="00141153">
        <w:t>pinion</w:t>
      </w:r>
      <w:r w:rsidRPr="00141153">
        <w:rPr>
          <w:rFonts w:hint="eastAsia"/>
        </w:rPr>
        <w:t xml:space="preserve"> </w:t>
      </w:r>
      <w:r w:rsidRPr="00141153">
        <w:t>of Committee member Mr</w:t>
      </w:r>
      <w:r w:rsidRPr="00141153">
        <w:rPr>
          <w:rFonts w:hint="eastAsia"/>
        </w:rPr>
        <w:t>.</w:t>
      </w:r>
      <w:r w:rsidRPr="00141153">
        <w:t xml:space="preserve"> Yuji Iwasawa</w:t>
      </w:r>
    </w:p>
    <w:p w:rsidR="00141153" w:rsidRPr="00141153" w:rsidRDefault="00141153" w:rsidP="00141153">
      <w:pPr>
        <w:pStyle w:val="SingleTxtG"/>
        <w:ind w:firstLine="567"/>
      </w:pPr>
      <w:r w:rsidRPr="00141153">
        <w:t xml:space="preserve">This opinion </w:t>
      </w:r>
      <w:r w:rsidRPr="00141153">
        <w:rPr>
          <w:rFonts w:hint="eastAsia"/>
        </w:rPr>
        <w:t xml:space="preserve">elaborates </w:t>
      </w:r>
      <w:r w:rsidRPr="00141153">
        <w:t xml:space="preserve">upon the reasoning </w:t>
      </w:r>
      <w:r w:rsidRPr="00141153">
        <w:rPr>
          <w:rFonts w:hint="eastAsia"/>
        </w:rPr>
        <w:t>of the Committee</w:t>
      </w:r>
      <w:r w:rsidRPr="00141153">
        <w:t xml:space="preserve">.  </w:t>
      </w:r>
    </w:p>
    <w:p w:rsidR="00141153" w:rsidRPr="00141153" w:rsidRDefault="00141153" w:rsidP="00141153">
      <w:pPr>
        <w:pStyle w:val="SingleTxtG"/>
        <w:ind w:firstLine="567"/>
      </w:pPr>
      <w:r w:rsidRPr="00141153">
        <w:t>Under article 10</w:t>
      </w:r>
      <w:r w:rsidRPr="00141153">
        <w:rPr>
          <w:rFonts w:hint="eastAsia"/>
        </w:rPr>
        <w:t>8</w:t>
      </w:r>
      <w:r w:rsidRPr="00141153">
        <w:t>, part 3</w:t>
      </w:r>
      <w:r w:rsidR="004E288A">
        <w:t>,</w:t>
      </w:r>
      <w:r w:rsidRPr="00141153">
        <w:t xml:space="preserve"> of</w:t>
      </w:r>
      <w:r w:rsidRPr="00141153">
        <w:rPr>
          <w:lang w:val="en-US"/>
        </w:rPr>
        <w:t xml:space="preserve"> the </w:t>
      </w:r>
      <w:r w:rsidR="002C2F54" w:rsidRPr="00141153">
        <w:rPr>
          <w:lang w:val="en-US"/>
        </w:rPr>
        <w:t>Code</w:t>
      </w:r>
      <w:r w:rsidR="002C2F54" w:rsidRPr="00141153">
        <w:rPr>
          <w:rFonts w:hint="eastAsia"/>
          <w:lang w:val="en-US"/>
        </w:rPr>
        <w:t xml:space="preserve"> </w:t>
      </w:r>
      <w:r w:rsidR="002C2F54">
        <w:rPr>
          <w:lang w:val="en-US"/>
        </w:rPr>
        <w:t xml:space="preserve">of </w:t>
      </w:r>
      <w:r w:rsidRPr="00141153">
        <w:rPr>
          <w:lang w:val="en-US"/>
        </w:rPr>
        <w:t xml:space="preserve">Criminal Procedure </w:t>
      </w:r>
      <w:r w:rsidRPr="00141153">
        <w:rPr>
          <w:rFonts w:hint="eastAsia"/>
          <w:lang w:val="en-US"/>
        </w:rPr>
        <w:t>of Belarus</w:t>
      </w:r>
      <w:r w:rsidRPr="00141153">
        <w:rPr>
          <w:lang w:val="en-US"/>
        </w:rPr>
        <w:t xml:space="preserve">, detention cannot exceed 72 hours from the moment of actual detention, after </w:t>
      </w:r>
      <w:r w:rsidRPr="00141153">
        <w:rPr>
          <w:rFonts w:hint="eastAsia"/>
          <w:lang w:val="en-US"/>
        </w:rPr>
        <w:t xml:space="preserve">the </w:t>
      </w:r>
      <w:r w:rsidRPr="00141153">
        <w:rPr>
          <w:lang w:val="en-US"/>
        </w:rPr>
        <w:t>expiry of which a suspect should be either released or subjected to restraint measure</w:t>
      </w:r>
      <w:r w:rsidRPr="00141153">
        <w:rPr>
          <w:rFonts w:hint="eastAsia"/>
          <w:lang w:val="en-US"/>
        </w:rPr>
        <w:t>s</w:t>
      </w:r>
      <w:r w:rsidRPr="00141153">
        <w:rPr>
          <w:lang w:val="en-US"/>
        </w:rPr>
        <w:t>.</w:t>
      </w:r>
      <w:r w:rsidRPr="00141153">
        <w:rPr>
          <w:rFonts w:hint="eastAsia"/>
        </w:rPr>
        <w:t xml:space="preserve"> The Prosecutor</w:t>
      </w:r>
      <w:r w:rsidRPr="00141153">
        <w:t>’</w:t>
      </w:r>
      <w:r w:rsidRPr="00141153">
        <w:rPr>
          <w:rFonts w:hint="eastAsia"/>
        </w:rPr>
        <w:t xml:space="preserve">s Office can endorse such restraint measures as placement in custody after the expiry of 72 hours.  Under article 108, </w:t>
      </w:r>
      <w:r w:rsidRPr="00141153">
        <w:t>part 4</w:t>
      </w:r>
      <w:r w:rsidR="004E288A">
        <w:t>,</w:t>
      </w:r>
      <w:r w:rsidRPr="00141153">
        <w:rPr>
          <w:rFonts w:hint="eastAsia"/>
        </w:rPr>
        <w:t xml:space="preserve"> of the Code, if a person is suspected of </w:t>
      </w:r>
      <w:r w:rsidRPr="00141153">
        <w:t xml:space="preserve">having committed </w:t>
      </w:r>
      <w:r w:rsidRPr="00141153">
        <w:rPr>
          <w:rFonts w:hint="eastAsia"/>
        </w:rPr>
        <w:t xml:space="preserve">a </w:t>
      </w:r>
      <w:r w:rsidRPr="00141153">
        <w:t xml:space="preserve">most serious crime </w:t>
      </w:r>
      <w:r w:rsidRPr="00141153">
        <w:rPr>
          <w:rFonts w:hint="eastAsia"/>
        </w:rPr>
        <w:t xml:space="preserve">as enumerated such as acts of international terrorism, the person may be detained for up to </w:t>
      </w:r>
      <w:r w:rsidR="002C2F54">
        <w:t>10</w:t>
      </w:r>
      <w:r w:rsidRPr="00141153">
        <w:rPr>
          <w:rFonts w:hint="eastAsia"/>
        </w:rPr>
        <w:t xml:space="preserve"> days,</w:t>
      </w:r>
      <w:r w:rsidRPr="00141153">
        <w:rPr>
          <w:lang w:val="en-US"/>
        </w:rPr>
        <w:t xml:space="preserve"> after </w:t>
      </w:r>
      <w:r w:rsidRPr="00141153">
        <w:rPr>
          <w:rFonts w:hint="eastAsia"/>
          <w:lang w:val="en-US"/>
        </w:rPr>
        <w:t xml:space="preserve">the </w:t>
      </w:r>
      <w:r w:rsidRPr="00141153">
        <w:rPr>
          <w:lang w:val="en-US"/>
        </w:rPr>
        <w:t xml:space="preserve">expiry of which </w:t>
      </w:r>
      <w:r w:rsidRPr="00141153">
        <w:rPr>
          <w:rFonts w:hint="eastAsia"/>
          <w:lang w:val="en-US"/>
        </w:rPr>
        <w:t xml:space="preserve">the person can </w:t>
      </w:r>
      <w:r w:rsidRPr="00141153">
        <w:rPr>
          <w:lang w:val="en-US"/>
        </w:rPr>
        <w:t xml:space="preserve">be subjected to </w:t>
      </w:r>
      <w:r w:rsidRPr="00141153">
        <w:rPr>
          <w:rFonts w:hint="eastAsia"/>
          <w:lang w:val="en-US"/>
        </w:rPr>
        <w:t xml:space="preserve">further </w:t>
      </w:r>
      <w:r w:rsidRPr="00141153">
        <w:rPr>
          <w:lang w:val="en-US"/>
        </w:rPr>
        <w:t>restraint measures</w:t>
      </w:r>
      <w:r w:rsidRPr="00141153">
        <w:rPr>
          <w:rFonts w:hint="eastAsia"/>
        </w:rPr>
        <w:t>.</w:t>
      </w:r>
    </w:p>
    <w:p w:rsidR="00141153" w:rsidRPr="00141153" w:rsidRDefault="00141153" w:rsidP="001F5314">
      <w:pPr>
        <w:pStyle w:val="SingleTxtG"/>
      </w:pPr>
      <w:r>
        <w:tab/>
      </w:r>
      <w:r w:rsidRPr="00141153">
        <w:rPr>
          <w:rFonts w:hint="eastAsia"/>
        </w:rPr>
        <w:t xml:space="preserve">The author claims </w:t>
      </w:r>
      <w:r w:rsidRPr="00141153">
        <w:t>that</w:t>
      </w:r>
      <w:r w:rsidRPr="00141153">
        <w:rPr>
          <w:rFonts w:hint="eastAsia"/>
        </w:rPr>
        <w:t xml:space="preserve"> the </w:t>
      </w:r>
      <w:r w:rsidR="002C2F54" w:rsidRPr="00141153">
        <w:rPr>
          <w:rFonts w:hint="eastAsia"/>
        </w:rPr>
        <w:t xml:space="preserve">Code </w:t>
      </w:r>
      <w:r w:rsidR="002C2F54">
        <w:t xml:space="preserve">of </w:t>
      </w:r>
      <w:r w:rsidRPr="00141153">
        <w:rPr>
          <w:rFonts w:hint="eastAsia"/>
        </w:rPr>
        <w:t>Criminal Procedure does not recogni</w:t>
      </w:r>
      <w:r w:rsidR="002C2F54">
        <w:t>z</w:t>
      </w:r>
      <w:r w:rsidRPr="00141153">
        <w:rPr>
          <w:rFonts w:hint="eastAsia"/>
        </w:rPr>
        <w:t xml:space="preserve">e any right that is analogous to article 9, paragraph 3 of the Covenant, and this claim is not contested by the State party. Since article 1, part 4, of the Code provides </w:t>
      </w:r>
      <w:r w:rsidRPr="00141153">
        <w:t>that</w:t>
      </w:r>
      <w:r w:rsidRPr="00141153">
        <w:rPr>
          <w:rFonts w:hint="eastAsia"/>
        </w:rPr>
        <w:t xml:space="preserve"> i</w:t>
      </w:r>
      <w:r w:rsidRPr="00141153">
        <w:t>nternational treaties shall apply in criminal proceedings</w:t>
      </w:r>
      <w:r w:rsidRPr="00141153">
        <w:rPr>
          <w:rFonts w:hint="eastAsia"/>
        </w:rPr>
        <w:t xml:space="preserve"> along with the Code, article 9, paragraph 3</w:t>
      </w:r>
      <w:r w:rsidR="004E288A">
        <w:t>,</w:t>
      </w:r>
      <w:r w:rsidRPr="00141153">
        <w:rPr>
          <w:rFonts w:hint="eastAsia"/>
        </w:rPr>
        <w:t xml:space="preserve"> of the Covenant presumably has the force of law and applies </w:t>
      </w:r>
      <w:r w:rsidRPr="00141153">
        <w:t>in criminal proceedings</w:t>
      </w:r>
      <w:r w:rsidRPr="00141153">
        <w:rPr>
          <w:rFonts w:hint="eastAsia"/>
        </w:rPr>
        <w:t xml:space="preserve"> in </w:t>
      </w:r>
      <w:smartTag w:uri="urn:schemas-microsoft-com:office:smarttags" w:element="place">
        <w:smartTag w:uri="urn:schemas-microsoft-com:office:smarttags" w:element="country-region">
          <w:r w:rsidRPr="00141153">
            <w:rPr>
              <w:rFonts w:hint="eastAsia"/>
            </w:rPr>
            <w:t>Belarus</w:t>
          </w:r>
        </w:smartTag>
      </w:smartTag>
      <w:r w:rsidRPr="00141153">
        <w:rPr>
          <w:rFonts w:hint="eastAsia"/>
        </w:rPr>
        <w:t>.</w:t>
      </w:r>
    </w:p>
    <w:p w:rsidR="00141153" w:rsidRPr="00141153" w:rsidRDefault="00141153" w:rsidP="00BB5A88">
      <w:pPr>
        <w:pStyle w:val="SingleTxtG"/>
      </w:pPr>
      <w:r>
        <w:tab/>
      </w:r>
      <w:r w:rsidRPr="00141153">
        <w:rPr>
          <w:rFonts w:hint="eastAsia"/>
        </w:rPr>
        <w:t xml:space="preserve">In the present case, the police officers detained the author </w:t>
      </w:r>
      <w:r w:rsidRPr="00141153">
        <w:t xml:space="preserve">in a temporary detention ward of the Directorate of Internal Affairs </w:t>
      </w:r>
      <w:r w:rsidRPr="00141153">
        <w:rPr>
          <w:rFonts w:hint="eastAsia"/>
        </w:rPr>
        <w:t xml:space="preserve">on two separate occasions </w:t>
      </w:r>
      <w:r w:rsidRPr="00141153">
        <w:t>for 61 and 72 hours without bringing her before a judge</w:t>
      </w:r>
      <w:r w:rsidRPr="00141153">
        <w:rPr>
          <w:lang w:val="en-US"/>
        </w:rPr>
        <w:t>.</w:t>
      </w:r>
      <w:r w:rsidRPr="00141153">
        <w:rPr>
          <w:rFonts w:hint="eastAsia"/>
          <w:lang w:val="en-US"/>
        </w:rPr>
        <w:t xml:space="preserve"> T</w:t>
      </w:r>
      <w:r w:rsidRPr="00141153">
        <w:rPr>
          <w:rFonts w:hint="eastAsia"/>
        </w:rPr>
        <w:t xml:space="preserve">he author was not suspected of </w:t>
      </w:r>
      <w:r w:rsidRPr="00141153">
        <w:t xml:space="preserve">having committed </w:t>
      </w:r>
      <w:r w:rsidRPr="00141153">
        <w:rPr>
          <w:rFonts w:hint="eastAsia"/>
        </w:rPr>
        <w:t>a most serious crime as enumerated in article 108, part 4</w:t>
      </w:r>
      <w:r w:rsidR="004E288A">
        <w:t>,</w:t>
      </w:r>
      <w:r w:rsidRPr="00141153">
        <w:rPr>
          <w:rFonts w:hint="eastAsia"/>
        </w:rPr>
        <w:t xml:space="preserve"> of the</w:t>
      </w:r>
      <w:r w:rsidR="004E288A">
        <w:t xml:space="preserve"> Code of</w:t>
      </w:r>
      <w:r w:rsidRPr="00141153">
        <w:rPr>
          <w:rFonts w:hint="eastAsia"/>
        </w:rPr>
        <w:t xml:space="preserve"> Criminal Procedure, </w:t>
      </w:r>
      <w:r w:rsidRPr="00141153">
        <w:rPr>
          <w:rFonts w:hint="eastAsia"/>
          <w:lang w:val="en-US"/>
        </w:rPr>
        <w:t>and thus article 108, part 3</w:t>
      </w:r>
      <w:r w:rsidR="004E288A">
        <w:rPr>
          <w:lang w:val="en-US"/>
        </w:rPr>
        <w:t>,</w:t>
      </w:r>
      <w:r w:rsidRPr="00141153">
        <w:rPr>
          <w:rFonts w:hint="eastAsia"/>
          <w:lang w:val="en-US"/>
        </w:rPr>
        <w:t xml:space="preserve"> applied to the author</w:t>
      </w:r>
      <w:r w:rsidRPr="00141153">
        <w:rPr>
          <w:rFonts w:hint="eastAsia"/>
        </w:rPr>
        <w:t xml:space="preserve">. The State party argues </w:t>
      </w:r>
      <w:r w:rsidRPr="00141153">
        <w:t>that article 9</w:t>
      </w:r>
      <w:r w:rsidRPr="00141153">
        <w:rPr>
          <w:rFonts w:hint="eastAsia"/>
        </w:rPr>
        <w:t>, paragraph 3</w:t>
      </w:r>
      <w:r w:rsidR="004E288A">
        <w:t>,</w:t>
      </w:r>
      <w:r w:rsidRPr="00141153">
        <w:t xml:space="preserve"> of the Covenant does not establish a specific time limit for bringing a detained person before a judge</w:t>
      </w:r>
      <w:r w:rsidRPr="00141153">
        <w:rPr>
          <w:rFonts w:hint="eastAsia"/>
        </w:rPr>
        <w:t xml:space="preserve"> and that </w:t>
      </w:r>
      <w:r w:rsidRPr="00141153">
        <w:t>the author did not complain about the fact of her detention either to the court or to the prosecutor.</w:t>
      </w:r>
      <w:r w:rsidRPr="00141153">
        <w:rPr>
          <w:rFonts w:hint="eastAsia"/>
        </w:rPr>
        <w:t xml:space="preserve"> Such arguments would defeat the purpose of article 9, paragraph 3</w:t>
      </w:r>
      <w:r w:rsidR="004E288A">
        <w:t>,</w:t>
      </w:r>
      <w:r w:rsidRPr="00141153">
        <w:rPr>
          <w:rFonts w:hint="eastAsia"/>
        </w:rPr>
        <w:t xml:space="preserve"> of the Covenant, which is to ensure </w:t>
      </w:r>
      <w:r w:rsidRPr="00141153">
        <w:t>that</w:t>
      </w:r>
      <w:r w:rsidRPr="00141153">
        <w:rPr>
          <w:rFonts w:hint="eastAsia"/>
        </w:rPr>
        <w:t xml:space="preserve"> anyone detained on a criminal charge be brought promptly before a judge. J</w:t>
      </w:r>
      <w:r w:rsidRPr="00141153">
        <w:t xml:space="preserve">udicial control of detention </w:t>
      </w:r>
      <w:r w:rsidRPr="00141153">
        <w:rPr>
          <w:rFonts w:hint="eastAsia"/>
        </w:rPr>
        <w:t xml:space="preserve">must be automatic and </w:t>
      </w:r>
      <w:r w:rsidRPr="00141153">
        <w:t>cannot be made to depend on a previous application by the detained person</w:t>
      </w:r>
      <w:r w:rsidRPr="00141153">
        <w:rPr>
          <w:rFonts w:hint="eastAsia"/>
        </w:rPr>
        <w:t>.</w:t>
      </w:r>
      <w:r w:rsidRPr="00141153">
        <w:rPr>
          <w:vertAlign w:val="superscript"/>
        </w:rPr>
        <w:footnoteReference w:id="14"/>
      </w:r>
      <w:r w:rsidRPr="00141153">
        <w:rPr>
          <w:lang w:val="en-US"/>
        </w:rPr>
        <w:t xml:space="preserve">  </w:t>
      </w:r>
    </w:p>
    <w:p w:rsidR="00141153" w:rsidRDefault="00141153" w:rsidP="00BF69FE">
      <w:pPr>
        <w:pStyle w:val="SingleTxtG"/>
      </w:pPr>
      <w:r>
        <w:tab/>
      </w:r>
      <w:r w:rsidRPr="00141153">
        <w:rPr>
          <w:rFonts w:hint="eastAsia"/>
        </w:rPr>
        <w:t xml:space="preserve">In such </w:t>
      </w:r>
      <w:r w:rsidRPr="00141153">
        <w:t>circumstances</w:t>
      </w:r>
      <w:r w:rsidRPr="00141153">
        <w:rPr>
          <w:rFonts w:hint="eastAsia"/>
        </w:rPr>
        <w:t xml:space="preserve"> of the present case, the Committee found the detentions of </w:t>
      </w:r>
      <w:r w:rsidRPr="00141153">
        <w:t xml:space="preserve">the author </w:t>
      </w:r>
      <w:r w:rsidRPr="00141153">
        <w:rPr>
          <w:rFonts w:hint="eastAsia"/>
        </w:rPr>
        <w:t xml:space="preserve">to be </w:t>
      </w:r>
      <w:r w:rsidRPr="00141153">
        <w:t>incompatible with article 9, paragraph 3</w:t>
      </w:r>
      <w:r w:rsidR="004E288A">
        <w:t>,</w:t>
      </w:r>
      <w:r w:rsidRPr="00141153">
        <w:t xml:space="preserve"> of the Covenant.</w:t>
      </w:r>
    </w:p>
    <w:p w:rsidR="00141153" w:rsidRDefault="00141153" w:rsidP="00141153">
      <w:pPr>
        <w:pStyle w:val="SingleTxtG"/>
      </w:pPr>
      <w:r w:rsidRPr="009E31DB">
        <w:t>[</w:t>
      </w:r>
      <w:r>
        <w:t>Done</w:t>
      </w:r>
      <w:r w:rsidRPr="009E31DB">
        <w:t xml:space="preserve"> in English</w:t>
      </w:r>
      <w:r>
        <w:t xml:space="preserve">. </w:t>
      </w:r>
      <w:r w:rsidRPr="009E31DB">
        <w:t>Subsequently to be</w:t>
      </w:r>
      <w:r>
        <w:t xml:space="preserve"> issued also in Arabic, Chinese, French, R</w:t>
      </w:r>
      <w:r w:rsidRPr="009E31DB">
        <w:t xml:space="preserve">ussian </w:t>
      </w:r>
      <w:r>
        <w:t xml:space="preserve">and Spanish </w:t>
      </w:r>
      <w:r w:rsidRPr="009E31DB">
        <w:t>as part of the Committee</w:t>
      </w:r>
      <w:r w:rsidR="0097187D">
        <w:t>’</w:t>
      </w:r>
      <w:r w:rsidRPr="009E31DB">
        <w:t>s annual report to the General Assembly.]</w:t>
      </w:r>
    </w:p>
    <w:p w:rsidR="009E31DB" w:rsidRPr="009E31DB" w:rsidRDefault="009E31DB" w:rsidP="009E31DB">
      <w:pPr>
        <w:jc w:val="center"/>
        <w:rPr>
          <w:u w:val="single"/>
        </w:rPr>
      </w:pPr>
      <w:r>
        <w:rPr>
          <w:u w:val="single"/>
        </w:rPr>
        <w:tab/>
      </w:r>
      <w:r>
        <w:rPr>
          <w:u w:val="single"/>
        </w:rPr>
        <w:tab/>
      </w:r>
      <w:r>
        <w:rPr>
          <w:u w:val="single"/>
        </w:rPr>
        <w:tab/>
      </w:r>
    </w:p>
    <w:sectPr w:rsidR="009E31DB" w:rsidRPr="009E31DB" w:rsidSect="00141153">
      <w:headerReference w:type="first" r:id="rId14"/>
      <w:footerReference w:type="first" r:id="rId15"/>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064" w:rsidRDefault="00204064"/>
  </w:endnote>
  <w:endnote w:type="continuationSeparator" w:id="0">
    <w:p w:rsidR="00204064" w:rsidRDefault="00204064"/>
  </w:endnote>
  <w:endnote w:type="continuationNotice" w:id="1">
    <w:p w:rsidR="00204064" w:rsidRDefault="00204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EB" w:rsidRPr="009E31DB" w:rsidRDefault="00B215EB" w:rsidP="009E31DB">
    <w:pPr>
      <w:pStyle w:val="Footer"/>
      <w:tabs>
        <w:tab w:val="right" w:pos="9638"/>
      </w:tabs>
    </w:pPr>
    <w:r w:rsidRPr="009E31DB">
      <w:rPr>
        <w:b/>
        <w:sz w:val="18"/>
      </w:rPr>
      <w:fldChar w:fldCharType="begin"/>
    </w:r>
    <w:r w:rsidRPr="009E31DB">
      <w:rPr>
        <w:b/>
        <w:sz w:val="18"/>
      </w:rPr>
      <w:instrText xml:space="preserve"> PAGE  \* MERGEFORMAT </w:instrText>
    </w:r>
    <w:r w:rsidRPr="009E31DB">
      <w:rPr>
        <w:b/>
        <w:sz w:val="18"/>
      </w:rPr>
      <w:fldChar w:fldCharType="separate"/>
    </w:r>
    <w:r w:rsidR="00965CEB">
      <w:rPr>
        <w:b/>
        <w:noProof/>
        <w:sz w:val="18"/>
      </w:rPr>
      <w:t>2</w:t>
    </w:r>
    <w:r w:rsidRPr="009E31D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EB" w:rsidRPr="009E31DB" w:rsidRDefault="00B215EB" w:rsidP="009E31DB">
    <w:pPr>
      <w:pStyle w:val="Footer"/>
      <w:tabs>
        <w:tab w:val="right" w:pos="9638"/>
      </w:tabs>
      <w:rPr>
        <w:sz w:val="18"/>
      </w:rPr>
    </w:pPr>
    <w:r>
      <w:rPr>
        <w:b/>
        <w:sz w:val="18"/>
      </w:rPr>
      <w:tab/>
    </w:r>
    <w:r w:rsidRPr="009E31DB">
      <w:rPr>
        <w:sz w:val="18"/>
      </w:rPr>
      <w:fldChar w:fldCharType="begin"/>
    </w:r>
    <w:r w:rsidRPr="009E31DB">
      <w:rPr>
        <w:sz w:val="18"/>
      </w:rPr>
      <w:instrText xml:space="preserve"> PAGE  \* MERGEFORMAT </w:instrText>
    </w:r>
    <w:r w:rsidRPr="009E31DB">
      <w:rPr>
        <w:sz w:val="18"/>
      </w:rPr>
      <w:fldChar w:fldCharType="separate"/>
    </w:r>
    <w:r w:rsidR="00965CEB">
      <w:rPr>
        <w:noProof/>
        <w:sz w:val="18"/>
      </w:rPr>
      <w:t>3</w:t>
    </w:r>
    <w:r w:rsidRPr="009E31DB">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EB" w:rsidRDefault="0020406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6.25pt;width:73.25pt;height:18.15pt;z-index:1">
          <v:imagedata r:id="rId1" o:title="recycle_English"/>
          <w10:anchorlock/>
        </v:shape>
      </w:pict>
    </w:r>
    <w:r w:rsidR="00B215EB">
      <w:t>GE.13-</w:t>
    </w:r>
    <w:r w:rsidR="00977E36">
      <w:t>45090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EB" w:rsidRPr="00141153" w:rsidRDefault="00204064" w:rsidP="00141153">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2">
          <v:imagedata r:id="rId1" o:title="recycle_English"/>
          <w10:anchorlock/>
        </v:shape>
      </w:pict>
    </w:r>
    <w:r w:rsidR="00B215EB">
      <w:rPr>
        <w:noProof/>
        <w:lang w:val="en-US"/>
      </w:rPr>
      <w:tab/>
    </w:r>
    <w:r w:rsidR="00B215EB" w:rsidRPr="00141153">
      <w:rPr>
        <w:b/>
        <w:noProof/>
        <w:sz w:val="18"/>
        <w:lang w:val="en-US"/>
      </w:rPr>
      <w:fldChar w:fldCharType="begin"/>
    </w:r>
    <w:r w:rsidR="00B215EB" w:rsidRPr="00141153">
      <w:rPr>
        <w:b/>
        <w:noProof/>
        <w:sz w:val="18"/>
        <w:lang w:val="en-US"/>
      </w:rPr>
      <w:instrText xml:space="preserve"> PAGE  \* MERGEFORMAT </w:instrText>
    </w:r>
    <w:r w:rsidR="00B215EB" w:rsidRPr="00141153">
      <w:rPr>
        <w:b/>
        <w:noProof/>
        <w:sz w:val="18"/>
        <w:lang w:val="en-US"/>
      </w:rPr>
      <w:fldChar w:fldCharType="separate"/>
    </w:r>
    <w:r w:rsidR="00B215EB">
      <w:rPr>
        <w:b/>
        <w:noProof/>
        <w:sz w:val="18"/>
        <w:lang w:val="en-US"/>
      </w:rPr>
      <w:t>13</w:t>
    </w:r>
    <w:r w:rsidR="00B215EB" w:rsidRPr="00141153">
      <w:rPr>
        <w:b/>
        <w:noProof/>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064" w:rsidRPr="000B175B" w:rsidRDefault="00204064" w:rsidP="000B175B">
      <w:pPr>
        <w:tabs>
          <w:tab w:val="right" w:pos="2155"/>
        </w:tabs>
        <w:spacing w:after="80"/>
        <w:ind w:left="680"/>
        <w:rPr>
          <w:u w:val="single"/>
        </w:rPr>
      </w:pPr>
      <w:r>
        <w:rPr>
          <w:u w:val="single"/>
        </w:rPr>
        <w:tab/>
      </w:r>
    </w:p>
  </w:footnote>
  <w:footnote w:type="continuationSeparator" w:id="0">
    <w:p w:rsidR="00204064" w:rsidRPr="00FC68B7" w:rsidRDefault="00204064" w:rsidP="00FC68B7">
      <w:pPr>
        <w:tabs>
          <w:tab w:val="left" w:pos="2155"/>
        </w:tabs>
        <w:spacing w:after="80"/>
        <w:ind w:left="680"/>
        <w:rPr>
          <w:u w:val="single"/>
        </w:rPr>
      </w:pPr>
      <w:r>
        <w:rPr>
          <w:u w:val="single"/>
        </w:rPr>
        <w:tab/>
      </w:r>
    </w:p>
  </w:footnote>
  <w:footnote w:type="continuationNotice" w:id="1">
    <w:p w:rsidR="00204064" w:rsidRDefault="00204064"/>
  </w:footnote>
  <w:footnote w:id="2">
    <w:p w:rsidR="00B215EB" w:rsidRPr="00141153" w:rsidRDefault="00B215EB" w:rsidP="001F5314">
      <w:pPr>
        <w:pStyle w:val="FootnoteText"/>
        <w:jc w:val="both"/>
        <w:rPr>
          <w:szCs w:val="18"/>
        </w:rPr>
      </w:pPr>
      <w:r w:rsidRPr="00141153">
        <w:rPr>
          <w:rStyle w:val="FootnoteReference"/>
          <w:szCs w:val="18"/>
        </w:rPr>
        <w:tab/>
        <w:t>*</w:t>
      </w:r>
      <w:r w:rsidRPr="00141153">
        <w:rPr>
          <w:rStyle w:val="FootnoteReference"/>
          <w:szCs w:val="18"/>
        </w:rPr>
        <w:tab/>
      </w:r>
      <w:r w:rsidRPr="00141153">
        <w:rPr>
          <w:szCs w:val="18"/>
        </w:rPr>
        <w:t xml:space="preserve">The following members of the Committee participated in the examination of the present communication: Mr. Yadh Ben Achour, </w:t>
      </w:r>
      <w:r w:rsidRPr="00141153">
        <w:rPr>
          <w:bCs/>
          <w:szCs w:val="18"/>
        </w:rPr>
        <w:t xml:space="preserve">Mr. Lazhari Bouzid, Mr. Cornelis Flinterman, Mr. Yuji Iwasawa, Mr. Kheshoe Parsad Matadeen, </w:t>
      </w:r>
      <w:r w:rsidRPr="00141153">
        <w:rPr>
          <w:szCs w:val="18"/>
        </w:rPr>
        <w:t>Ms. Iulia Antoanella Motoc</w:t>
      </w:r>
      <w:r w:rsidRPr="00141153">
        <w:rPr>
          <w:bCs/>
          <w:szCs w:val="18"/>
          <w:lang w:val="en-US"/>
        </w:rPr>
        <w:t xml:space="preserve">, </w:t>
      </w:r>
      <w:r w:rsidR="00AF5737">
        <w:rPr>
          <w:bCs/>
          <w:szCs w:val="18"/>
        </w:rPr>
        <w:t>Mr. Gerald L. Neuman, Sir </w:t>
      </w:r>
      <w:r w:rsidRPr="00141153">
        <w:rPr>
          <w:bCs/>
          <w:szCs w:val="18"/>
        </w:rPr>
        <w:t xml:space="preserve">Nigel Rodley, Mr. Victor Manuel Rodríguez-Rescia, </w:t>
      </w:r>
      <w:r w:rsidRPr="00141153">
        <w:rPr>
          <w:bCs/>
          <w:szCs w:val="18"/>
          <w:lang w:val="en-US"/>
        </w:rPr>
        <w:t xml:space="preserve">Mr. Fabian Omar Salvioli, Ms. Anja Seibert-Fohr, Mr. Yuval Shany, Mr. Konstantine Vardzelashvili and </w:t>
      </w:r>
      <w:r w:rsidRPr="00141153">
        <w:rPr>
          <w:bCs/>
          <w:szCs w:val="18"/>
        </w:rPr>
        <w:t>Ms. Margo Waterval.</w:t>
      </w:r>
      <w:r w:rsidRPr="00141153">
        <w:rPr>
          <w:szCs w:val="18"/>
        </w:rPr>
        <w:t xml:space="preserve"> </w:t>
      </w:r>
    </w:p>
    <w:p w:rsidR="00B215EB" w:rsidRPr="00141153" w:rsidRDefault="00B215EB" w:rsidP="00BB5A88">
      <w:pPr>
        <w:pStyle w:val="FootnoteText"/>
        <w:jc w:val="both"/>
        <w:rPr>
          <w:szCs w:val="18"/>
        </w:rPr>
      </w:pPr>
      <w:r w:rsidRPr="00141153">
        <w:rPr>
          <w:szCs w:val="18"/>
        </w:rPr>
        <w:tab/>
      </w:r>
      <w:r w:rsidRPr="00141153">
        <w:rPr>
          <w:szCs w:val="18"/>
        </w:rPr>
        <w:tab/>
        <w:t>The text of an individual opinion by Committee member Mr. Yuji Iwasawa is appended to the present Views.</w:t>
      </w:r>
    </w:p>
  </w:footnote>
  <w:footnote w:id="3">
    <w:p w:rsidR="00B215EB" w:rsidRPr="00BB5A88" w:rsidRDefault="00B215EB" w:rsidP="00141153">
      <w:pPr>
        <w:pStyle w:val="FootnoteText"/>
        <w:jc w:val="both"/>
        <w:rPr>
          <w:szCs w:val="18"/>
        </w:rPr>
      </w:pPr>
      <w:r w:rsidRPr="00141153">
        <w:rPr>
          <w:szCs w:val="18"/>
        </w:rPr>
        <w:tab/>
      </w:r>
      <w:r w:rsidRPr="001F5314">
        <w:rPr>
          <w:rStyle w:val="FootnoteReference"/>
          <w:szCs w:val="18"/>
        </w:rPr>
        <w:footnoteRef/>
      </w:r>
      <w:r w:rsidRPr="001F5314">
        <w:rPr>
          <w:szCs w:val="18"/>
        </w:rPr>
        <w:tab/>
        <w:t xml:space="preserve"> </w:t>
      </w:r>
      <w:r>
        <w:rPr>
          <w:szCs w:val="18"/>
        </w:rPr>
        <w:t xml:space="preserve">Human Rights Committee, </w:t>
      </w:r>
      <w:r w:rsidRPr="00141153">
        <w:rPr>
          <w:i/>
          <w:szCs w:val="18"/>
        </w:rPr>
        <w:t xml:space="preserve">Borisenko </w:t>
      </w:r>
      <w:r w:rsidRPr="00A61B00">
        <w:rPr>
          <w:szCs w:val="18"/>
        </w:rPr>
        <w:t>v.</w:t>
      </w:r>
      <w:r w:rsidRPr="00141153">
        <w:rPr>
          <w:i/>
          <w:szCs w:val="18"/>
        </w:rPr>
        <w:t xml:space="preserve"> </w:t>
      </w:r>
      <w:smartTag w:uri="urn:schemas-microsoft-com:office:smarttags" w:element="place">
        <w:smartTag w:uri="urn:schemas-microsoft-com:office:smarttags" w:element="country-region">
          <w:r w:rsidRPr="00141153">
            <w:rPr>
              <w:i/>
              <w:szCs w:val="18"/>
            </w:rPr>
            <w:t>Hungary</w:t>
          </w:r>
        </w:smartTag>
      </w:smartTag>
      <w:r w:rsidRPr="001F5314">
        <w:rPr>
          <w:szCs w:val="18"/>
        </w:rPr>
        <w:t>,</w:t>
      </w:r>
      <w:r w:rsidRPr="00BB5A88">
        <w:rPr>
          <w:szCs w:val="18"/>
        </w:rPr>
        <w:t xml:space="preserve"> </w:t>
      </w:r>
      <w:r w:rsidRPr="001F5314">
        <w:rPr>
          <w:szCs w:val="18"/>
        </w:rPr>
        <w:t xml:space="preserve">Communication No. 852/1999, </w:t>
      </w:r>
      <w:r w:rsidRPr="00BB5A88">
        <w:rPr>
          <w:szCs w:val="18"/>
        </w:rPr>
        <w:t xml:space="preserve">Views </w:t>
      </w:r>
      <w:r>
        <w:rPr>
          <w:szCs w:val="18"/>
        </w:rPr>
        <w:t>of</w:t>
      </w:r>
      <w:r w:rsidRPr="00BB5A88">
        <w:rPr>
          <w:szCs w:val="18"/>
        </w:rPr>
        <w:t xml:space="preserve"> 14 October 2002, para. 7.4.</w:t>
      </w:r>
    </w:p>
  </w:footnote>
  <w:footnote w:id="4">
    <w:p w:rsidR="00B215EB" w:rsidRPr="001F5314" w:rsidRDefault="00B215EB" w:rsidP="00141153">
      <w:pPr>
        <w:pStyle w:val="FootnoteText"/>
        <w:jc w:val="both"/>
        <w:rPr>
          <w:szCs w:val="18"/>
        </w:rPr>
      </w:pPr>
      <w:r w:rsidRPr="00BF69FE">
        <w:rPr>
          <w:szCs w:val="18"/>
        </w:rPr>
        <w:tab/>
      </w:r>
      <w:r w:rsidRPr="001F5314">
        <w:rPr>
          <w:rStyle w:val="FootnoteReference"/>
          <w:szCs w:val="18"/>
        </w:rPr>
        <w:footnoteRef/>
      </w:r>
      <w:r w:rsidRPr="001F5314">
        <w:rPr>
          <w:szCs w:val="18"/>
        </w:rPr>
        <w:tab/>
        <w:t xml:space="preserve"> Reference is made to article 139 of the </w:t>
      </w:r>
      <w:r>
        <w:rPr>
          <w:szCs w:val="18"/>
        </w:rPr>
        <w:t xml:space="preserve">Code of </w:t>
      </w:r>
      <w:r w:rsidRPr="001F5314">
        <w:rPr>
          <w:szCs w:val="18"/>
        </w:rPr>
        <w:t>Criminal Procedure.</w:t>
      </w:r>
    </w:p>
  </w:footnote>
  <w:footnote w:id="5">
    <w:p w:rsidR="00B215EB" w:rsidRPr="00BB5A88" w:rsidRDefault="00B215EB" w:rsidP="00141153">
      <w:pPr>
        <w:pStyle w:val="FootnoteText"/>
        <w:jc w:val="both"/>
        <w:rPr>
          <w:szCs w:val="18"/>
        </w:rPr>
      </w:pPr>
      <w:r w:rsidRPr="001F5314">
        <w:rPr>
          <w:szCs w:val="18"/>
        </w:rPr>
        <w:tab/>
      </w:r>
      <w:r w:rsidRPr="001F5314">
        <w:rPr>
          <w:rStyle w:val="FootnoteReference"/>
          <w:szCs w:val="18"/>
        </w:rPr>
        <w:footnoteRef/>
      </w:r>
      <w:r w:rsidRPr="001F5314">
        <w:rPr>
          <w:szCs w:val="18"/>
        </w:rPr>
        <w:tab/>
        <w:t xml:space="preserve">The author stated that she </w:t>
      </w:r>
      <w:r>
        <w:rPr>
          <w:szCs w:val="18"/>
        </w:rPr>
        <w:t>arrived</w:t>
      </w:r>
      <w:r w:rsidRPr="001F5314">
        <w:rPr>
          <w:szCs w:val="18"/>
        </w:rPr>
        <w:t xml:space="preserve"> a few minutes late and ente</w:t>
      </w:r>
      <w:r w:rsidRPr="00BB5A88">
        <w:rPr>
          <w:szCs w:val="18"/>
        </w:rPr>
        <w:t xml:space="preserve">red the courtroom when the judge was already reading out the ruling. </w:t>
      </w:r>
    </w:p>
  </w:footnote>
  <w:footnote w:id="6">
    <w:p w:rsidR="00B215EB" w:rsidRPr="001F5314" w:rsidRDefault="00B215EB" w:rsidP="00141153">
      <w:pPr>
        <w:pStyle w:val="FootnoteText"/>
        <w:jc w:val="both"/>
        <w:rPr>
          <w:szCs w:val="18"/>
        </w:rPr>
      </w:pPr>
      <w:r w:rsidRPr="00BB5A88">
        <w:rPr>
          <w:szCs w:val="18"/>
        </w:rPr>
        <w:tab/>
      </w:r>
      <w:r w:rsidRPr="001F5314">
        <w:rPr>
          <w:rStyle w:val="FootnoteReference"/>
          <w:szCs w:val="18"/>
        </w:rPr>
        <w:footnoteRef/>
      </w:r>
      <w:r w:rsidRPr="001F5314">
        <w:rPr>
          <w:szCs w:val="18"/>
        </w:rPr>
        <w:tab/>
        <w:t xml:space="preserve">Reference is made to </w:t>
      </w:r>
      <w:r>
        <w:rPr>
          <w:szCs w:val="18"/>
        </w:rPr>
        <w:t xml:space="preserve">Human Rights Committee, </w:t>
      </w:r>
      <w:r w:rsidRPr="00141153">
        <w:rPr>
          <w:i/>
          <w:szCs w:val="18"/>
        </w:rPr>
        <w:t xml:space="preserve">Torres Ramirez </w:t>
      </w:r>
      <w:r w:rsidRPr="00662FA0">
        <w:rPr>
          <w:szCs w:val="18"/>
        </w:rPr>
        <w:t xml:space="preserve">v. </w:t>
      </w:r>
      <w:smartTag w:uri="urn:schemas-microsoft-com:office:smarttags" w:element="place">
        <w:smartTag w:uri="urn:schemas-microsoft-com:office:smarttags" w:element="country-region">
          <w:r w:rsidRPr="00141153">
            <w:rPr>
              <w:i/>
              <w:szCs w:val="18"/>
            </w:rPr>
            <w:t>Uruguay</w:t>
          </w:r>
        </w:smartTag>
      </w:smartTag>
      <w:r w:rsidRPr="001F5314">
        <w:rPr>
          <w:szCs w:val="18"/>
        </w:rPr>
        <w:t xml:space="preserve">, </w:t>
      </w:r>
      <w:r>
        <w:rPr>
          <w:szCs w:val="18"/>
        </w:rPr>
        <w:t>C</w:t>
      </w:r>
      <w:r w:rsidRPr="00BB5A88">
        <w:rPr>
          <w:szCs w:val="18"/>
        </w:rPr>
        <w:t xml:space="preserve">ommunication No. 4/1977, </w:t>
      </w:r>
      <w:r w:rsidRPr="001F5314">
        <w:rPr>
          <w:szCs w:val="18"/>
        </w:rPr>
        <w:t xml:space="preserve">Views </w:t>
      </w:r>
      <w:r>
        <w:rPr>
          <w:szCs w:val="18"/>
        </w:rPr>
        <w:t>of</w:t>
      </w:r>
      <w:r w:rsidRPr="001F5314">
        <w:rPr>
          <w:szCs w:val="18"/>
        </w:rPr>
        <w:t xml:space="preserve"> 23 July 1980, para. 9</w:t>
      </w:r>
      <w:r>
        <w:rPr>
          <w:szCs w:val="18"/>
        </w:rPr>
        <w:t xml:space="preserve"> </w:t>
      </w:r>
      <w:r w:rsidRPr="001F5314">
        <w:rPr>
          <w:szCs w:val="18"/>
        </w:rPr>
        <w:t xml:space="preserve">(b). </w:t>
      </w:r>
    </w:p>
  </w:footnote>
  <w:footnote w:id="7">
    <w:p w:rsidR="00B215EB" w:rsidRPr="00BB5A88" w:rsidRDefault="00B215EB" w:rsidP="00141153">
      <w:pPr>
        <w:pStyle w:val="FootnoteText"/>
        <w:jc w:val="both"/>
        <w:rPr>
          <w:szCs w:val="18"/>
        </w:rPr>
      </w:pPr>
      <w:r w:rsidRPr="001F5314">
        <w:rPr>
          <w:szCs w:val="18"/>
        </w:rPr>
        <w:tab/>
      </w:r>
      <w:r w:rsidRPr="001F5314">
        <w:rPr>
          <w:rStyle w:val="FootnoteReference"/>
          <w:szCs w:val="18"/>
        </w:rPr>
        <w:footnoteRef/>
      </w:r>
      <w:r w:rsidRPr="001F5314">
        <w:rPr>
          <w:szCs w:val="18"/>
        </w:rPr>
        <w:tab/>
      </w:r>
      <w:r w:rsidRPr="00BB5A88">
        <w:rPr>
          <w:szCs w:val="18"/>
        </w:rPr>
        <w:t>G</w:t>
      </w:r>
      <w:r w:rsidRPr="00BF69FE">
        <w:rPr>
          <w:szCs w:val="18"/>
        </w:rPr>
        <w:t xml:space="preserve">eneral </w:t>
      </w:r>
      <w:r>
        <w:rPr>
          <w:szCs w:val="18"/>
        </w:rPr>
        <w:t>C</w:t>
      </w:r>
      <w:r w:rsidRPr="00BF69FE">
        <w:rPr>
          <w:szCs w:val="18"/>
        </w:rPr>
        <w:t xml:space="preserve">omment No. 8 (1982) on the right to liberty and security of persons, </w:t>
      </w:r>
      <w:r w:rsidRPr="001F5314">
        <w:rPr>
          <w:szCs w:val="18"/>
        </w:rPr>
        <w:t>para.</w:t>
      </w:r>
      <w:r>
        <w:rPr>
          <w:szCs w:val="18"/>
        </w:rPr>
        <w:t xml:space="preserve"> </w:t>
      </w:r>
      <w:r w:rsidRPr="001F5314">
        <w:rPr>
          <w:szCs w:val="18"/>
        </w:rPr>
        <w:t>3.</w:t>
      </w:r>
    </w:p>
  </w:footnote>
  <w:footnote w:id="8">
    <w:p w:rsidR="00B215EB" w:rsidRPr="00BF69FE" w:rsidRDefault="00B215EB" w:rsidP="00141153">
      <w:pPr>
        <w:pStyle w:val="FootnoteText"/>
        <w:jc w:val="both"/>
        <w:rPr>
          <w:szCs w:val="18"/>
        </w:rPr>
      </w:pPr>
      <w:r w:rsidRPr="00BF69FE">
        <w:rPr>
          <w:szCs w:val="18"/>
        </w:rPr>
        <w:tab/>
      </w:r>
      <w:r w:rsidRPr="001F5314">
        <w:rPr>
          <w:rStyle w:val="FootnoteReference"/>
          <w:szCs w:val="18"/>
        </w:rPr>
        <w:footnoteRef/>
      </w:r>
      <w:r w:rsidRPr="001F5314">
        <w:rPr>
          <w:szCs w:val="18"/>
        </w:rPr>
        <w:tab/>
      </w:r>
      <w:r w:rsidRPr="00BB5A88">
        <w:rPr>
          <w:szCs w:val="18"/>
        </w:rPr>
        <w:t>See, for exa</w:t>
      </w:r>
      <w:r w:rsidRPr="00BF69FE">
        <w:rPr>
          <w:szCs w:val="18"/>
        </w:rPr>
        <w:t xml:space="preserve">mple, </w:t>
      </w:r>
      <w:r>
        <w:rPr>
          <w:szCs w:val="18"/>
        </w:rPr>
        <w:t xml:space="preserve">Human Rights Committee, </w:t>
      </w:r>
      <w:r w:rsidRPr="0015633B">
        <w:rPr>
          <w:i/>
          <w:szCs w:val="18"/>
        </w:rPr>
        <w:t>Saimijon and</w:t>
      </w:r>
      <w:r>
        <w:rPr>
          <w:szCs w:val="18"/>
        </w:rPr>
        <w:t xml:space="preserve"> </w:t>
      </w:r>
      <w:r w:rsidRPr="00141153">
        <w:rPr>
          <w:i/>
          <w:szCs w:val="18"/>
        </w:rPr>
        <w:t xml:space="preserve">Bazarov </w:t>
      </w:r>
      <w:r w:rsidRPr="0015633B">
        <w:rPr>
          <w:szCs w:val="18"/>
        </w:rPr>
        <w:t xml:space="preserve">v. </w:t>
      </w:r>
      <w:smartTag w:uri="urn:schemas-microsoft-com:office:smarttags" w:element="place">
        <w:smartTag w:uri="urn:schemas-microsoft-com:office:smarttags" w:element="country-region">
          <w:r w:rsidRPr="00141153">
            <w:rPr>
              <w:i/>
              <w:szCs w:val="18"/>
            </w:rPr>
            <w:t>Uzbekistan</w:t>
          </w:r>
        </w:smartTag>
      </w:smartTag>
      <w:r w:rsidRPr="001F5314">
        <w:rPr>
          <w:szCs w:val="18"/>
        </w:rPr>
        <w:t xml:space="preserve">, </w:t>
      </w:r>
      <w:r>
        <w:rPr>
          <w:szCs w:val="18"/>
        </w:rPr>
        <w:t>C</w:t>
      </w:r>
      <w:r w:rsidRPr="00BF69FE">
        <w:rPr>
          <w:szCs w:val="18"/>
        </w:rPr>
        <w:t xml:space="preserve">ommunication No. 959/2000, </w:t>
      </w:r>
      <w:r w:rsidRPr="001F5314">
        <w:rPr>
          <w:szCs w:val="18"/>
        </w:rPr>
        <w:t xml:space="preserve">Views </w:t>
      </w:r>
      <w:r>
        <w:rPr>
          <w:szCs w:val="18"/>
        </w:rPr>
        <w:t>of</w:t>
      </w:r>
      <w:r w:rsidRPr="001F5314">
        <w:rPr>
          <w:szCs w:val="18"/>
        </w:rPr>
        <w:t xml:space="preserve"> 14 July 2006, para. 8.2.</w:t>
      </w:r>
      <w:r w:rsidRPr="00BB5A88">
        <w:rPr>
          <w:szCs w:val="18"/>
        </w:rPr>
        <w:t xml:space="preserve"> </w:t>
      </w:r>
    </w:p>
  </w:footnote>
  <w:footnote w:id="9">
    <w:p w:rsidR="00B215EB" w:rsidRPr="00141153" w:rsidRDefault="00B215EB" w:rsidP="00BB5A88">
      <w:pPr>
        <w:pStyle w:val="FootnoteText"/>
        <w:jc w:val="both"/>
        <w:rPr>
          <w:szCs w:val="18"/>
        </w:rPr>
      </w:pPr>
      <w:r w:rsidRPr="00BF69FE">
        <w:rPr>
          <w:szCs w:val="18"/>
        </w:rPr>
        <w:tab/>
      </w:r>
      <w:r w:rsidRPr="001F5314">
        <w:rPr>
          <w:szCs w:val="18"/>
          <w:vertAlign w:val="superscript"/>
        </w:rPr>
        <w:footnoteRef/>
      </w:r>
      <w:r w:rsidRPr="001F5314">
        <w:rPr>
          <w:szCs w:val="18"/>
        </w:rPr>
        <w:t xml:space="preserve"> </w:t>
      </w:r>
      <w:r w:rsidRPr="001F5314">
        <w:rPr>
          <w:szCs w:val="18"/>
        </w:rPr>
        <w:tab/>
        <w:t xml:space="preserve">See, </w:t>
      </w:r>
      <w:r w:rsidRPr="00BB5A88">
        <w:rPr>
          <w:szCs w:val="18"/>
        </w:rPr>
        <w:t xml:space="preserve">for example, </w:t>
      </w:r>
      <w:r>
        <w:rPr>
          <w:szCs w:val="18"/>
        </w:rPr>
        <w:t xml:space="preserve">Human Rights Committee, </w:t>
      </w:r>
      <w:r w:rsidRPr="00141153">
        <w:rPr>
          <w:i/>
          <w:szCs w:val="18"/>
        </w:rPr>
        <w:t xml:space="preserve">Leehong </w:t>
      </w:r>
      <w:r w:rsidRPr="0015633B">
        <w:rPr>
          <w:szCs w:val="18"/>
        </w:rPr>
        <w:t>v.</w:t>
      </w:r>
      <w:r w:rsidRPr="00141153">
        <w:rPr>
          <w:i/>
          <w:szCs w:val="18"/>
        </w:rPr>
        <w:t xml:space="preserve"> </w:t>
      </w:r>
      <w:smartTag w:uri="urn:schemas-microsoft-com:office:smarttags" w:element="place">
        <w:smartTag w:uri="urn:schemas-microsoft-com:office:smarttags" w:element="country-region">
          <w:r w:rsidRPr="00141153">
            <w:rPr>
              <w:i/>
              <w:szCs w:val="18"/>
            </w:rPr>
            <w:t>Jamaica</w:t>
          </w:r>
        </w:smartTag>
      </w:smartTag>
      <w:r w:rsidRPr="001F5314">
        <w:rPr>
          <w:szCs w:val="18"/>
        </w:rPr>
        <w:t xml:space="preserve">, </w:t>
      </w:r>
      <w:r>
        <w:rPr>
          <w:szCs w:val="18"/>
        </w:rPr>
        <w:t>C</w:t>
      </w:r>
      <w:r w:rsidRPr="00BF69FE">
        <w:rPr>
          <w:szCs w:val="18"/>
        </w:rPr>
        <w:t xml:space="preserve">ommunication No. 613/1995, </w:t>
      </w:r>
      <w:r w:rsidRPr="001F5314">
        <w:rPr>
          <w:szCs w:val="18"/>
        </w:rPr>
        <w:t xml:space="preserve">Views </w:t>
      </w:r>
      <w:r>
        <w:rPr>
          <w:szCs w:val="18"/>
        </w:rPr>
        <w:t>of</w:t>
      </w:r>
      <w:r w:rsidRPr="001F5314">
        <w:rPr>
          <w:szCs w:val="18"/>
        </w:rPr>
        <w:t xml:space="preserve"> 13 July 1999, para. 9.5.</w:t>
      </w:r>
      <w:r w:rsidRPr="00141153">
        <w:rPr>
          <w:szCs w:val="18"/>
        </w:rPr>
        <w:t xml:space="preserve"> </w:t>
      </w:r>
    </w:p>
  </w:footnote>
  <w:footnote w:id="10">
    <w:p w:rsidR="00B215EB" w:rsidRPr="001F5314" w:rsidRDefault="00B215EB" w:rsidP="00BF69FE">
      <w:pPr>
        <w:pStyle w:val="FootnoteText"/>
        <w:jc w:val="both"/>
        <w:rPr>
          <w:szCs w:val="18"/>
        </w:rPr>
      </w:pPr>
      <w:r w:rsidRPr="00141153">
        <w:rPr>
          <w:szCs w:val="18"/>
        </w:rPr>
        <w:tab/>
      </w:r>
      <w:r w:rsidRPr="001F5314">
        <w:rPr>
          <w:rStyle w:val="FootnoteReference"/>
          <w:szCs w:val="18"/>
        </w:rPr>
        <w:footnoteRef/>
      </w:r>
      <w:r w:rsidRPr="001F5314">
        <w:rPr>
          <w:szCs w:val="18"/>
        </w:rPr>
        <w:t xml:space="preserve"> </w:t>
      </w:r>
      <w:r w:rsidRPr="001F5314">
        <w:rPr>
          <w:szCs w:val="18"/>
        </w:rPr>
        <w:tab/>
        <w:t xml:space="preserve">See, for example, </w:t>
      </w:r>
      <w:r>
        <w:rPr>
          <w:szCs w:val="18"/>
        </w:rPr>
        <w:t xml:space="preserve">Human Rights Committee, </w:t>
      </w:r>
      <w:r w:rsidRPr="00141153">
        <w:rPr>
          <w:i/>
          <w:szCs w:val="18"/>
        </w:rPr>
        <w:t xml:space="preserve">McLawrence </w:t>
      </w:r>
      <w:r w:rsidRPr="00946A00">
        <w:rPr>
          <w:szCs w:val="18"/>
        </w:rPr>
        <w:t>v.</w:t>
      </w:r>
      <w:r w:rsidRPr="00141153">
        <w:rPr>
          <w:i/>
          <w:szCs w:val="18"/>
        </w:rPr>
        <w:t xml:space="preserve"> </w:t>
      </w:r>
      <w:smartTag w:uri="urn:schemas-microsoft-com:office:smarttags" w:element="place">
        <w:smartTag w:uri="urn:schemas-microsoft-com:office:smarttags" w:element="country-region">
          <w:r w:rsidRPr="00141153">
            <w:rPr>
              <w:i/>
              <w:szCs w:val="18"/>
            </w:rPr>
            <w:t>Jamaica</w:t>
          </w:r>
        </w:smartTag>
      </w:smartTag>
      <w:r w:rsidRPr="001F5314">
        <w:rPr>
          <w:szCs w:val="18"/>
        </w:rPr>
        <w:t xml:space="preserve">, </w:t>
      </w:r>
      <w:r>
        <w:rPr>
          <w:szCs w:val="18"/>
        </w:rPr>
        <w:t>C</w:t>
      </w:r>
      <w:r w:rsidRPr="001F5314">
        <w:rPr>
          <w:szCs w:val="18"/>
        </w:rPr>
        <w:t xml:space="preserve">ommunication No. 702/1996, Views </w:t>
      </w:r>
      <w:r>
        <w:rPr>
          <w:szCs w:val="18"/>
        </w:rPr>
        <w:t>of</w:t>
      </w:r>
      <w:r w:rsidRPr="001F5314">
        <w:rPr>
          <w:szCs w:val="18"/>
        </w:rPr>
        <w:t xml:space="preserve"> 18 July 1997, para. 5.6</w:t>
      </w:r>
      <w:r>
        <w:rPr>
          <w:szCs w:val="18"/>
        </w:rPr>
        <w:t>.</w:t>
      </w:r>
    </w:p>
  </w:footnote>
  <w:footnote w:id="11">
    <w:p w:rsidR="00B215EB" w:rsidRPr="00141153" w:rsidRDefault="00B215EB" w:rsidP="00141153">
      <w:pPr>
        <w:pStyle w:val="FootnoteText"/>
        <w:jc w:val="both"/>
        <w:rPr>
          <w:szCs w:val="18"/>
        </w:rPr>
      </w:pPr>
      <w:r w:rsidRPr="00141153">
        <w:rPr>
          <w:szCs w:val="18"/>
        </w:rPr>
        <w:tab/>
      </w:r>
      <w:r w:rsidRPr="001F5314">
        <w:rPr>
          <w:rStyle w:val="FootnoteReference"/>
          <w:szCs w:val="18"/>
        </w:rPr>
        <w:footnoteRef/>
      </w:r>
      <w:r w:rsidRPr="001F5314">
        <w:rPr>
          <w:szCs w:val="18"/>
          <w:vertAlign w:val="superscript"/>
        </w:rPr>
        <w:t xml:space="preserve"> </w:t>
      </w:r>
      <w:r w:rsidRPr="00BB5A88">
        <w:rPr>
          <w:szCs w:val="18"/>
        </w:rPr>
        <w:tab/>
      </w:r>
      <w:r w:rsidRPr="00BF69FE">
        <w:rPr>
          <w:szCs w:val="18"/>
        </w:rPr>
        <w:t xml:space="preserve">See, for example, </w:t>
      </w:r>
      <w:r>
        <w:rPr>
          <w:szCs w:val="18"/>
        </w:rPr>
        <w:t xml:space="preserve">Human Rights Committee, </w:t>
      </w:r>
      <w:r w:rsidRPr="00141153">
        <w:rPr>
          <w:i/>
          <w:szCs w:val="18"/>
        </w:rPr>
        <w:t xml:space="preserve">Borisenko </w:t>
      </w:r>
      <w:r w:rsidRPr="00953EA1">
        <w:rPr>
          <w:szCs w:val="18"/>
        </w:rPr>
        <w:t xml:space="preserve">v. </w:t>
      </w:r>
      <w:smartTag w:uri="urn:schemas-microsoft-com:office:smarttags" w:element="place">
        <w:smartTag w:uri="urn:schemas-microsoft-com:office:smarttags" w:element="country-region">
          <w:r w:rsidRPr="00141153">
            <w:rPr>
              <w:i/>
              <w:szCs w:val="18"/>
            </w:rPr>
            <w:t>Hungary</w:t>
          </w:r>
        </w:smartTag>
      </w:smartTag>
      <w:r w:rsidRPr="001F5314">
        <w:rPr>
          <w:szCs w:val="18"/>
        </w:rPr>
        <w:t xml:space="preserve">, </w:t>
      </w:r>
      <w:r>
        <w:rPr>
          <w:szCs w:val="18"/>
        </w:rPr>
        <w:t>foot</w:t>
      </w:r>
      <w:r w:rsidRPr="001F5314">
        <w:rPr>
          <w:szCs w:val="18"/>
        </w:rPr>
        <w:t xml:space="preserve">note </w:t>
      </w:r>
      <w:r>
        <w:rPr>
          <w:szCs w:val="18"/>
        </w:rPr>
        <w:t>1</w:t>
      </w:r>
      <w:r w:rsidRPr="001F5314">
        <w:rPr>
          <w:szCs w:val="18"/>
        </w:rPr>
        <w:t xml:space="preserve"> above, </w:t>
      </w:r>
      <w:r w:rsidRPr="00BB5A88">
        <w:rPr>
          <w:szCs w:val="18"/>
        </w:rPr>
        <w:t xml:space="preserve">para. 7.4; </w:t>
      </w:r>
      <w:r w:rsidRPr="00141153">
        <w:rPr>
          <w:i/>
          <w:szCs w:val="18"/>
        </w:rPr>
        <w:t xml:space="preserve">Freemantle </w:t>
      </w:r>
      <w:r w:rsidRPr="00CB784B">
        <w:rPr>
          <w:szCs w:val="18"/>
        </w:rPr>
        <w:t>v.</w:t>
      </w:r>
      <w:r w:rsidRPr="00141153">
        <w:rPr>
          <w:i/>
          <w:szCs w:val="18"/>
        </w:rPr>
        <w:t xml:space="preserve"> </w:t>
      </w:r>
      <w:smartTag w:uri="urn:schemas-microsoft-com:office:smarttags" w:element="place">
        <w:smartTag w:uri="urn:schemas-microsoft-com:office:smarttags" w:element="country-region">
          <w:r w:rsidRPr="00141153">
            <w:rPr>
              <w:i/>
              <w:szCs w:val="18"/>
            </w:rPr>
            <w:t>Jamaica</w:t>
          </w:r>
        </w:smartTag>
      </w:smartTag>
      <w:r w:rsidRPr="001F5314">
        <w:rPr>
          <w:szCs w:val="18"/>
        </w:rPr>
        <w:t xml:space="preserve">, </w:t>
      </w:r>
      <w:r>
        <w:rPr>
          <w:szCs w:val="18"/>
        </w:rPr>
        <w:t>C</w:t>
      </w:r>
      <w:r w:rsidRPr="00BB5A88">
        <w:rPr>
          <w:szCs w:val="18"/>
        </w:rPr>
        <w:t>ommunication No. 625/</w:t>
      </w:r>
      <w:r w:rsidRPr="00BF69FE">
        <w:rPr>
          <w:szCs w:val="18"/>
        </w:rPr>
        <w:t>1999,</w:t>
      </w:r>
      <w:r>
        <w:rPr>
          <w:szCs w:val="18"/>
        </w:rPr>
        <w:t xml:space="preserve"> </w:t>
      </w:r>
      <w:r w:rsidRPr="001F5314">
        <w:rPr>
          <w:szCs w:val="18"/>
        </w:rPr>
        <w:t xml:space="preserve">Views </w:t>
      </w:r>
      <w:r>
        <w:rPr>
          <w:szCs w:val="18"/>
        </w:rPr>
        <w:t>of</w:t>
      </w:r>
      <w:r w:rsidRPr="001F5314">
        <w:rPr>
          <w:szCs w:val="18"/>
        </w:rPr>
        <w:t xml:space="preserve"> 24 March 2000, para. 7.4</w:t>
      </w:r>
      <w:r w:rsidRPr="00BB5A88">
        <w:rPr>
          <w:szCs w:val="18"/>
        </w:rPr>
        <w:t xml:space="preserve">; </w:t>
      </w:r>
      <w:r w:rsidRPr="00141153">
        <w:rPr>
          <w:i/>
          <w:szCs w:val="18"/>
        </w:rPr>
        <w:t>Ter</w:t>
      </w:r>
      <w:r>
        <w:rPr>
          <w:i/>
          <w:szCs w:val="18"/>
        </w:rPr>
        <w:t>á</w:t>
      </w:r>
      <w:r w:rsidRPr="00141153">
        <w:rPr>
          <w:i/>
          <w:szCs w:val="18"/>
        </w:rPr>
        <w:t>n Jij</w:t>
      </w:r>
      <w:r>
        <w:rPr>
          <w:i/>
          <w:szCs w:val="18"/>
        </w:rPr>
        <w:t>ó</w:t>
      </w:r>
      <w:r w:rsidRPr="00141153">
        <w:rPr>
          <w:i/>
          <w:szCs w:val="18"/>
        </w:rPr>
        <w:t>n</w:t>
      </w:r>
      <w:r w:rsidRPr="00CB784B">
        <w:rPr>
          <w:szCs w:val="18"/>
        </w:rPr>
        <w:t xml:space="preserve"> v.</w:t>
      </w:r>
      <w:r w:rsidRPr="00141153">
        <w:rPr>
          <w:i/>
          <w:szCs w:val="18"/>
        </w:rPr>
        <w:t xml:space="preserve"> </w:t>
      </w:r>
      <w:smartTag w:uri="urn:schemas-microsoft-com:office:smarttags" w:element="place">
        <w:smartTag w:uri="urn:schemas-microsoft-com:office:smarttags" w:element="country-region">
          <w:r w:rsidRPr="00141153">
            <w:rPr>
              <w:i/>
              <w:szCs w:val="18"/>
            </w:rPr>
            <w:t>Ecuador</w:t>
          </w:r>
        </w:smartTag>
      </w:smartTag>
      <w:r w:rsidRPr="001F5314">
        <w:rPr>
          <w:szCs w:val="18"/>
        </w:rPr>
        <w:t xml:space="preserve">, </w:t>
      </w:r>
      <w:r>
        <w:rPr>
          <w:szCs w:val="18"/>
        </w:rPr>
        <w:t>C</w:t>
      </w:r>
      <w:r w:rsidRPr="00BB5A88">
        <w:rPr>
          <w:szCs w:val="18"/>
        </w:rPr>
        <w:t xml:space="preserve">ommunication No. 277/1988, Views </w:t>
      </w:r>
      <w:r>
        <w:rPr>
          <w:szCs w:val="18"/>
        </w:rPr>
        <w:t>of</w:t>
      </w:r>
      <w:r w:rsidRPr="00BB5A88">
        <w:rPr>
          <w:szCs w:val="18"/>
        </w:rPr>
        <w:t xml:space="preserve"> 26 March 1992, para. </w:t>
      </w:r>
      <w:r w:rsidRPr="00BF69FE">
        <w:rPr>
          <w:szCs w:val="18"/>
        </w:rPr>
        <w:t xml:space="preserve">5.3; and </w:t>
      </w:r>
      <w:r w:rsidRPr="00141153">
        <w:rPr>
          <w:i/>
          <w:szCs w:val="18"/>
        </w:rPr>
        <w:t xml:space="preserve">Nazarov </w:t>
      </w:r>
      <w:r w:rsidRPr="00CB784B">
        <w:rPr>
          <w:szCs w:val="18"/>
        </w:rPr>
        <w:t>v.</w:t>
      </w:r>
      <w:r w:rsidRPr="00141153">
        <w:rPr>
          <w:i/>
          <w:szCs w:val="18"/>
        </w:rPr>
        <w:t xml:space="preserve"> </w:t>
      </w:r>
      <w:smartTag w:uri="urn:schemas-microsoft-com:office:smarttags" w:element="place">
        <w:smartTag w:uri="urn:schemas-microsoft-com:office:smarttags" w:element="country-region">
          <w:r w:rsidRPr="00141153">
            <w:rPr>
              <w:i/>
              <w:szCs w:val="18"/>
            </w:rPr>
            <w:t>Uzbekistan</w:t>
          </w:r>
        </w:smartTag>
      </w:smartTag>
      <w:r w:rsidRPr="001F5314">
        <w:rPr>
          <w:szCs w:val="18"/>
        </w:rPr>
        <w:t xml:space="preserve">, </w:t>
      </w:r>
      <w:r>
        <w:rPr>
          <w:szCs w:val="18"/>
        </w:rPr>
        <w:t>C</w:t>
      </w:r>
      <w:r w:rsidRPr="00BF69FE">
        <w:rPr>
          <w:szCs w:val="18"/>
        </w:rPr>
        <w:t>ommunication No. 911/</w:t>
      </w:r>
      <w:r w:rsidRPr="00141153">
        <w:rPr>
          <w:szCs w:val="18"/>
        </w:rPr>
        <w:t xml:space="preserve">2000, </w:t>
      </w:r>
      <w:r w:rsidRPr="001F5314">
        <w:rPr>
          <w:szCs w:val="18"/>
        </w:rPr>
        <w:t>Views</w:t>
      </w:r>
      <w:r>
        <w:rPr>
          <w:szCs w:val="18"/>
        </w:rPr>
        <w:t xml:space="preserve"> of</w:t>
      </w:r>
      <w:r w:rsidRPr="001F5314">
        <w:rPr>
          <w:szCs w:val="18"/>
        </w:rPr>
        <w:t xml:space="preserve"> 6 July 2004, para. </w:t>
      </w:r>
      <w:r w:rsidRPr="00BB5A88">
        <w:rPr>
          <w:szCs w:val="18"/>
        </w:rPr>
        <w:t>6.2.</w:t>
      </w:r>
    </w:p>
  </w:footnote>
  <w:footnote w:id="12">
    <w:p w:rsidR="00B215EB" w:rsidRPr="00141153" w:rsidRDefault="00B215EB" w:rsidP="00141153">
      <w:pPr>
        <w:pStyle w:val="FootnoteText"/>
        <w:jc w:val="both"/>
        <w:rPr>
          <w:szCs w:val="18"/>
        </w:rPr>
      </w:pPr>
      <w:r w:rsidRPr="00BB5A88">
        <w:rPr>
          <w:szCs w:val="18"/>
        </w:rPr>
        <w:tab/>
      </w:r>
      <w:r w:rsidRPr="001F5314">
        <w:rPr>
          <w:rStyle w:val="FootnoteReference"/>
          <w:szCs w:val="18"/>
        </w:rPr>
        <w:footnoteRef/>
      </w:r>
      <w:r w:rsidRPr="001F5314">
        <w:rPr>
          <w:szCs w:val="18"/>
          <w:vertAlign w:val="superscript"/>
        </w:rPr>
        <w:t xml:space="preserve"> </w:t>
      </w:r>
      <w:r w:rsidRPr="001F5314">
        <w:rPr>
          <w:szCs w:val="18"/>
          <w:vertAlign w:val="superscript"/>
        </w:rPr>
        <w:tab/>
      </w:r>
      <w:r w:rsidRPr="00BB5A88">
        <w:rPr>
          <w:szCs w:val="18"/>
        </w:rPr>
        <w:t xml:space="preserve">See, for example, </w:t>
      </w:r>
      <w:r>
        <w:rPr>
          <w:szCs w:val="18"/>
        </w:rPr>
        <w:t>c</w:t>
      </w:r>
      <w:r w:rsidRPr="00BB5A88">
        <w:rPr>
          <w:szCs w:val="18"/>
        </w:rPr>
        <w:t xml:space="preserve">oncluding </w:t>
      </w:r>
      <w:r>
        <w:rPr>
          <w:szCs w:val="18"/>
        </w:rPr>
        <w:t>o</w:t>
      </w:r>
      <w:r w:rsidRPr="00BB5A88">
        <w:rPr>
          <w:szCs w:val="18"/>
        </w:rPr>
        <w:t xml:space="preserve">bservations on </w:t>
      </w:r>
      <w:smartTag w:uri="urn:schemas-microsoft-com:office:smarttags" w:element="place">
        <w:smartTag w:uri="urn:schemas-microsoft-com:office:smarttags" w:element="country-region">
          <w:r w:rsidRPr="00BB5A88">
            <w:rPr>
              <w:szCs w:val="18"/>
            </w:rPr>
            <w:t>Kuwait</w:t>
          </w:r>
        </w:smartTag>
      </w:smartTag>
      <w:r w:rsidRPr="00BB5A88">
        <w:rPr>
          <w:szCs w:val="18"/>
        </w:rPr>
        <w:t>, CCPR/CO/69/KWT, para. 2</w:t>
      </w:r>
      <w:r>
        <w:rPr>
          <w:szCs w:val="18"/>
        </w:rPr>
        <w:t>1</w:t>
      </w:r>
      <w:r w:rsidRPr="00BB5A88">
        <w:rPr>
          <w:szCs w:val="18"/>
        </w:rPr>
        <w:t xml:space="preserve">; </w:t>
      </w:r>
      <w:r>
        <w:rPr>
          <w:szCs w:val="18"/>
        </w:rPr>
        <w:t>c</w:t>
      </w:r>
      <w:r w:rsidRPr="00BB5A88">
        <w:rPr>
          <w:szCs w:val="18"/>
        </w:rPr>
        <w:t xml:space="preserve">oncluding observations on </w:t>
      </w:r>
      <w:smartTag w:uri="urn:schemas-microsoft-com:office:smarttags" w:element="place">
        <w:smartTag w:uri="urn:schemas-microsoft-com:office:smarttags" w:element="country-region">
          <w:r w:rsidRPr="00BB5A88">
            <w:rPr>
              <w:szCs w:val="18"/>
            </w:rPr>
            <w:t>Zimbabwe</w:t>
          </w:r>
        </w:smartTag>
      </w:smartTag>
      <w:r w:rsidRPr="00BB5A88">
        <w:rPr>
          <w:szCs w:val="18"/>
        </w:rPr>
        <w:t xml:space="preserve">, CCPR/C/79/Add.89, para. 17; </w:t>
      </w:r>
      <w:r>
        <w:rPr>
          <w:szCs w:val="18"/>
        </w:rPr>
        <w:t>c</w:t>
      </w:r>
      <w:r w:rsidRPr="00BB5A88">
        <w:rPr>
          <w:szCs w:val="18"/>
        </w:rPr>
        <w:t xml:space="preserve">oncluding observations on </w:t>
      </w:r>
      <w:smartTag w:uri="urn:schemas-microsoft-com:office:smarttags" w:element="place">
        <w:smartTag w:uri="urn:schemas-microsoft-com:office:smarttags" w:element="country-region">
          <w:r w:rsidRPr="00BB5A88">
            <w:rPr>
              <w:szCs w:val="18"/>
            </w:rPr>
            <w:t>El Salvador</w:t>
          </w:r>
        </w:smartTag>
      </w:smartTag>
      <w:r w:rsidRPr="00BB5A88">
        <w:rPr>
          <w:szCs w:val="18"/>
        </w:rPr>
        <w:t xml:space="preserve">, CCPR/C/SLV/CO/6, para. 14; </w:t>
      </w:r>
      <w:r>
        <w:rPr>
          <w:szCs w:val="18"/>
        </w:rPr>
        <w:t>c</w:t>
      </w:r>
      <w:r w:rsidRPr="00BF69FE">
        <w:rPr>
          <w:szCs w:val="18"/>
        </w:rPr>
        <w:t>oncluding observations on</w:t>
      </w:r>
      <w:r w:rsidRPr="00141153">
        <w:rPr>
          <w:szCs w:val="18"/>
        </w:rPr>
        <w:t xml:space="preserve"> </w:t>
      </w:r>
      <w:smartTag w:uri="urn:schemas-microsoft-com:office:smarttags" w:element="place">
        <w:smartTag w:uri="urn:schemas-microsoft-com:office:smarttags" w:element="country-region">
          <w:r w:rsidRPr="00141153">
            <w:rPr>
              <w:szCs w:val="18"/>
            </w:rPr>
            <w:t>Gabon</w:t>
          </w:r>
        </w:smartTag>
      </w:smartTag>
      <w:r>
        <w:rPr>
          <w:szCs w:val="18"/>
        </w:rPr>
        <w:t>, CCPR/CO/70/GAB</w:t>
      </w:r>
      <w:r w:rsidRPr="00141153">
        <w:rPr>
          <w:szCs w:val="18"/>
        </w:rPr>
        <w:t>, para. 13.</w:t>
      </w:r>
    </w:p>
  </w:footnote>
  <w:footnote w:id="13">
    <w:p w:rsidR="00B215EB" w:rsidRPr="00141153" w:rsidRDefault="00B215EB" w:rsidP="00141153">
      <w:pPr>
        <w:pStyle w:val="FootnoteText"/>
        <w:jc w:val="both"/>
        <w:rPr>
          <w:szCs w:val="18"/>
        </w:rPr>
      </w:pPr>
      <w:r w:rsidRPr="00141153">
        <w:rPr>
          <w:szCs w:val="18"/>
        </w:rPr>
        <w:tab/>
      </w:r>
      <w:r w:rsidRPr="001F5314">
        <w:rPr>
          <w:rStyle w:val="FootnoteReference"/>
          <w:szCs w:val="18"/>
        </w:rPr>
        <w:footnoteRef/>
      </w:r>
      <w:r w:rsidRPr="001F5314">
        <w:rPr>
          <w:szCs w:val="18"/>
        </w:rPr>
        <w:tab/>
      </w:r>
      <w:r w:rsidRPr="00BB5A88">
        <w:rPr>
          <w:szCs w:val="18"/>
        </w:rPr>
        <w:t xml:space="preserve">See </w:t>
      </w:r>
      <w:r w:rsidRPr="00141153">
        <w:rPr>
          <w:i/>
          <w:szCs w:val="18"/>
        </w:rPr>
        <w:t xml:space="preserve">Borisenko </w:t>
      </w:r>
      <w:r w:rsidRPr="004C1238">
        <w:rPr>
          <w:szCs w:val="18"/>
        </w:rPr>
        <w:t>v.</w:t>
      </w:r>
      <w:r w:rsidRPr="00141153">
        <w:rPr>
          <w:i/>
          <w:szCs w:val="18"/>
        </w:rPr>
        <w:t xml:space="preserve"> </w:t>
      </w:r>
      <w:smartTag w:uri="urn:schemas-microsoft-com:office:smarttags" w:element="place">
        <w:smartTag w:uri="urn:schemas-microsoft-com:office:smarttags" w:element="country-region">
          <w:r w:rsidRPr="00141153">
            <w:rPr>
              <w:i/>
              <w:szCs w:val="18"/>
            </w:rPr>
            <w:t>Hungary</w:t>
          </w:r>
        </w:smartTag>
      </w:smartTag>
      <w:r w:rsidRPr="001F5314">
        <w:rPr>
          <w:szCs w:val="18"/>
        </w:rPr>
        <w:t xml:space="preserve">, </w:t>
      </w:r>
      <w:r>
        <w:rPr>
          <w:szCs w:val="18"/>
        </w:rPr>
        <w:t>foot</w:t>
      </w:r>
      <w:r w:rsidRPr="001F5314">
        <w:rPr>
          <w:szCs w:val="18"/>
        </w:rPr>
        <w:t xml:space="preserve">note </w:t>
      </w:r>
      <w:r>
        <w:rPr>
          <w:szCs w:val="18"/>
        </w:rPr>
        <w:t>1</w:t>
      </w:r>
      <w:r w:rsidRPr="001F5314">
        <w:rPr>
          <w:szCs w:val="18"/>
        </w:rPr>
        <w:t xml:space="preserve"> above, para. 7.4. </w:t>
      </w:r>
      <w:r w:rsidRPr="00BB5A88">
        <w:rPr>
          <w:szCs w:val="18"/>
        </w:rPr>
        <w:t>Se</w:t>
      </w:r>
      <w:r w:rsidRPr="00BF69FE">
        <w:rPr>
          <w:szCs w:val="18"/>
        </w:rPr>
        <w:t xml:space="preserve">e also, Basic Principles on the Role of Lawyers, </w:t>
      </w:r>
      <w:r>
        <w:rPr>
          <w:i/>
          <w:szCs w:val="18"/>
        </w:rPr>
        <w:t xml:space="preserve">Eighth United Nations Congress on the Prevention of Crime and the Treatment of Offenders, </w:t>
      </w:r>
      <w:smartTag w:uri="urn:schemas-microsoft-com:office:smarttags" w:element="place">
        <w:smartTag w:uri="urn:schemas-microsoft-com:office:smarttags" w:element="City">
          <w:r>
            <w:rPr>
              <w:i/>
              <w:szCs w:val="18"/>
            </w:rPr>
            <w:t>Havana</w:t>
          </w:r>
        </w:smartTag>
      </w:smartTag>
      <w:r>
        <w:rPr>
          <w:i/>
          <w:szCs w:val="18"/>
        </w:rPr>
        <w:t xml:space="preserve"> 27 August–7 September 1990: Report Prepared by the Secretariat</w:t>
      </w:r>
      <w:r>
        <w:rPr>
          <w:szCs w:val="18"/>
        </w:rPr>
        <w:t xml:space="preserve">, </w:t>
      </w:r>
      <w:r w:rsidRPr="00BF69FE">
        <w:rPr>
          <w:szCs w:val="18"/>
        </w:rPr>
        <w:t>A/CONF.144/28/Rev.1 (1990), principle 7.</w:t>
      </w:r>
    </w:p>
  </w:footnote>
  <w:footnote w:id="14">
    <w:p w:rsidR="00B215EB" w:rsidRPr="00141153" w:rsidRDefault="00B215EB" w:rsidP="00141153">
      <w:pPr>
        <w:pStyle w:val="FootnoteText"/>
        <w:jc w:val="both"/>
        <w:rPr>
          <w:szCs w:val="18"/>
          <w:lang w:eastAsia="ja-JP"/>
        </w:rPr>
      </w:pPr>
      <w:r w:rsidRPr="00141153">
        <w:rPr>
          <w:szCs w:val="18"/>
        </w:rPr>
        <w:tab/>
      </w:r>
      <w:r w:rsidRPr="001F5314">
        <w:rPr>
          <w:rStyle w:val="FootnoteReference"/>
          <w:szCs w:val="18"/>
        </w:rPr>
        <w:footnoteRef/>
      </w:r>
      <w:r w:rsidRPr="001F5314">
        <w:rPr>
          <w:szCs w:val="18"/>
        </w:rPr>
        <w:t xml:space="preserve"> </w:t>
      </w:r>
      <w:r w:rsidRPr="00BB5A88">
        <w:rPr>
          <w:szCs w:val="18"/>
        </w:rPr>
        <w:tab/>
      </w:r>
      <w:r w:rsidRPr="00BF69FE">
        <w:rPr>
          <w:szCs w:val="18"/>
          <w:lang w:eastAsia="ja-JP"/>
        </w:rPr>
        <w:t xml:space="preserve">See </w:t>
      </w:r>
      <w:r w:rsidRPr="0035297A">
        <w:rPr>
          <w:i/>
          <w:szCs w:val="18"/>
          <w:lang w:eastAsia="ja-JP"/>
        </w:rPr>
        <w:t xml:space="preserve">McKay </w:t>
      </w:r>
      <w:r w:rsidRPr="0035297A">
        <w:rPr>
          <w:szCs w:val="18"/>
          <w:lang w:eastAsia="ja-JP"/>
        </w:rPr>
        <w:t xml:space="preserve">v. </w:t>
      </w:r>
      <w:r>
        <w:rPr>
          <w:i/>
          <w:szCs w:val="18"/>
          <w:lang w:eastAsia="ja-JP"/>
        </w:rPr>
        <w:t xml:space="preserve">the </w:t>
      </w:r>
      <w:smartTag w:uri="urn:schemas-microsoft-com:office:smarttags" w:element="place">
        <w:smartTag w:uri="urn:schemas-microsoft-com:office:smarttags" w:element="country-region">
          <w:r w:rsidRPr="0035297A">
            <w:rPr>
              <w:i/>
              <w:szCs w:val="18"/>
              <w:lang w:eastAsia="ja-JP"/>
            </w:rPr>
            <w:t>U</w:t>
          </w:r>
          <w:r>
            <w:rPr>
              <w:i/>
              <w:szCs w:val="18"/>
              <w:lang w:eastAsia="ja-JP"/>
            </w:rPr>
            <w:t xml:space="preserve">nited </w:t>
          </w:r>
          <w:r w:rsidRPr="0035297A">
            <w:rPr>
              <w:i/>
              <w:szCs w:val="18"/>
              <w:lang w:eastAsia="ja-JP"/>
            </w:rPr>
            <w:t>K</w:t>
          </w:r>
          <w:r>
            <w:rPr>
              <w:i/>
              <w:szCs w:val="18"/>
              <w:lang w:eastAsia="ja-JP"/>
            </w:rPr>
            <w:t>ingdom</w:t>
          </w:r>
        </w:smartTag>
      </w:smartTag>
      <w:r w:rsidRPr="0035297A">
        <w:rPr>
          <w:i/>
          <w:szCs w:val="18"/>
          <w:lang w:eastAsia="ja-JP"/>
        </w:rPr>
        <w:t>, Application No. 543/03</w:t>
      </w:r>
      <w:r w:rsidRPr="00141153">
        <w:rPr>
          <w:szCs w:val="18"/>
          <w:lang w:eastAsia="ja-JP"/>
        </w:rPr>
        <w:t>,</w:t>
      </w:r>
      <w:r w:rsidRPr="0035297A">
        <w:rPr>
          <w:szCs w:val="18"/>
          <w:lang w:eastAsia="ja-JP"/>
        </w:rPr>
        <w:t xml:space="preserve"> </w:t>
      </w:r>
      <w:r w:rsidRPr="00141153">
        <w:rPr>
          <w:szCs w:val="18"/>
          <w:lang w:eastAsia="ja-JP"/>
        </w:rPr>
        <w:t>European Court of Human Rights (Grand Chamber), 3 October 2006, para</w:t>
      </w:r>
      <w:r>
        <w:rPr>
          <w:szCs w:val="18"/>
          <w:lang w:eastAsia="ja-JP"/>
        </w:rPr>
        <w:t>graph</w:t>
      </w:r>
      <w:r w:rsidRPr="00141153">
        <w:rPr>
          <w:szCs w:val="18"/>
          <w:lang w:eastAsia="ja-JP"/>
        </w:rPr>
        <w:t xml:space="preserve">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EB" w:rsidRPr="009E31DB" w:rsidRDefault="00B215EB" w:rsidP="00394DBC">
    <w:pPr>
      <w:pStyle w:val="Header"/>
      <w:tabs>
        <w:tab w:val="right" w:pos="9639"/>
      </w:tabs>
    </w:pPr>
    <w:r>
      <w:t>CCPR/C/107/D/1787/2008</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EB" w:rsidRPr="009E31DB" w:rsidRDefault="00B215EB" w:rsidP="00394DBC">
    <w:pPr>
      <w:pStyle w:val="Header"/>
      <w:tabs>
        <w:tab w:val="left" w:pos="3570"/>
        <w:tab w:val="right" w:pos="9639"/>
      </w:tabs>
      <w:jc w:val="both"/>
    </w:pPr>
    <w:r>
      <w:rPr>
        <w:b w:val="0"/>
      </w:rPr>
      <w:tab/>
    </w:r>
    <w:r>
      <w:rPr>
        <w:b w:val="0"/>
      </w:rPr>
      <w:tab/>
    </w:r>
    <w:r>
      <w:t>CCPR/C/107/D/1787/2008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E36" w:rsidRDefault="00977E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EB" w:rsidRPr="00141153" w:rsidRDefault="00B215EB" w:rsidP="00141153">
    <w:pPr>
      <w:pStyle w:val="Header"/>
      <w:jc w:val="right"/>
    </w:pPr>
    <w:r>
      <w:t>CCPR/C/107/D/1787/2008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DB"/>
    <w:rsid w:val="000008D2"/>
    <w:rsid w:val="00000CB3"/>
    <w:rsid w:val="00001CDD"/>
    <w:rsid w:val="00005A87"/>
    <w:rsid w:val="00006689"/>
    <w:rsid w:val="00016CFD"/>
    <w:rsid w:val="000224D4"/>
    <w:rsid w:val="000333FC"/>
    <w:rsid w:val="00034B40"/>
    <w:rsid w:val="00034D3E"/>
    <w:rsid w:val="0003534B"/>
    <w:rsid w:val="00035A9F"/>
    <w:rsid w:val="00035AB7"/>
    <w:rsid w:val="00036591"/>
    <w:rsid w:val="0004215B"/>
    <w:rsid w:val="00042CC3"/>
    <w:rsid w:val="00050F6B"/>
    <w:rsid w:val="000532CD"/>
    <w:rsid w:val="00053C73"/>
    <w:rsid w:val="00053D66"/>
    <w:rsid w:val="00057EF4"/>
    <w:rsid w:val="000601F9"/>
    <w:rsid w:val="00065D61"/>
    <w:rsid w:val="000706C6"/>
    <w:rsid w:val="000718F6"/>
    <w:rsid w:val="00072C8C"/>
    <w:rsid w:val="000756EE"/>
    <w:rsid w:val="00076F79"/>
    <w:rsid w:val="000903B3"/>
    <w:rsid w:val="00091B78"/>
    <w:rsid w:val="000931C0"/>
    <w:rsid w:val="00093715"/>
    <w:rsid w:val="000A24AA"/>
    <w:rsid w:val="000A6B30"/>
    <w:rsid w:val="000A717D"/>
    <w:rsid w:val="000B07D6"/>
    <w:rsid w:val="000B1611"/>
    <w:rsid w:val="000B175B"/>
    <w:rsid w:val="000B22B4"/>
    <w:rsid w:val="000B3A0F"/>
    <w:rsid w:val="000C0D4D"/>
    <w:rsid w:val="000C239D"/>
    <w:rsid w:val="000D4AA8"/>
    <w:rsid w:val="000D4FE5"/>
    <w:rsid w:val="000D624A"/>
    <w:rsid w:val="000D7411"/>
    <w:rsid w:val="000E0415"/>
    <w:rsid w:val="000E59DD"/>
    <w:rsid w:val="000F04F0"/>
    <w:rsid w:val="000F3A04"/>
    <w:rsid w:val="000F6AD8"/>
    <w:rsid w:val="00101C74"/>
    <w:rsid w:val="00102F5E"/>
    <w:rsid w:val="001031F1"/>
    <w:rsid w:val="00103825"/>
    <w:rsid w:val="00106513"/>
    <w:rsid w:val="00107E54"/>
    <w:rsid w:val="0011216A"/>
    <w:rsid w:val="00115894"/>
    <w:rsid w:val="00116A37"/>
    <w:rsid w:val="00117568"/>
    <w:rsid w:val="00120150"/>
    <w:rsid w:val="00125F06"/>
    <w:rsid w:val="001264BA"/>
    <w:rsid w:val="00130ADC"/>
    <w:rsid w:val="00131A50"/>
    <w:rsid w:val="00137FB3"/>
    <w:rsid w:val="00141153"/>
    <w:rsid w:val="001427F5"/>
    <w:rsid w:val="00143DA6"/>
    <w:rsid w:val="00150A68"/>
    <w:rsid w:val="001561F1"/>
    <w:rsid w:val="0015633B"/>
    <w:rsid w:val="0015752E"/>
    <w:rsid w:val="0016348A"/>
    <w:rsid w:val="00163E94"/>
    <w:rsid w:val="00173599"/>
    <w:rsid w:val="00173B5C"/>
    <w:rsid w:val="00177ECC"/>
    <w:rsid w:val="00185AA1"/>
    <w:rsid w:val="00190E57"/>
    <w:rsid w:val="00192A19"/>
    <w:rsid w:val="0019490B"/>
    <w:rsid w:val="00197619"/>
    <w:rsid w:val="001B3ED9"/>
    <w:rsid w:val="001B4B04"/>
    <w:rsid w:val="001C1749"/>
    <w:rsid w:val="001C6663"/>
    <w:rsid w:val="001C7895"/>
    <w:rsid w:val="001D26DF"/>
    <w:rsid w:val="001E6C35"/>
    <w:rsid w:val="001E7FEF"/>
    <w:rsid w:val="001F1844"/>
    <w:rsid w:val="001F1F55"/>
    <w:rsid w:val="001F5314"/>
    <w:rsid w:val="001F7760"/>
    <w:rsid w:val="00204064"/>
    <w:rsid w:val="00206FED"/>
    <w:rsid w:val="002073D2"/>
    <w:rsid w:val="00207658"/>
    <w:rsid w:val="00207D6B"/>
    <w:rsid w:val="00211E0B"/>
    <w:rsid w:val="00213054"/>
    <w:rsid w:val="00213525"/>
    <w:rsid w:val="00216206"/>
    <w:rsid w:val="00221C77"/>
    <w:rsid w:val="00241062"/>
    <w:rsid w:val="0025474A"/>
    <w:rsid w:val="00256E67"/>
    <w:rsid w:val="002639CB"/>
    <w:rsid w:val="002726C9"/>
    <w:rsid w:val="002742FF"/>
    <w:rsid w:val="0027550B"/>
    <w:rsid w:val="002764C8"/>
    <w:rsid w:val="00277882"/>
    <w:rsid w:val="00281441"/>
    <w:rsid w:val="002829AD"/>
    <w:rsid w:val="00284D5E"/>
    <w:rsid w:val="0028652E"/>
    <w:rsid w:val="00287A29"/>
    <w:rsid w:val="00295C85"/>
    <w:rsid w:val="002A031B"/>
    <w:rsid w:val="002A736D"/>
    <w:rsid w:val="002B182F"/>
    <w:rsid w:val="002B7D6E"/>
    <w:rsid w:val="002C0D37"/>
    <w:rsid w:val="002C15A9"/>
    <w:rsid w:val="002C2F54"/>
    <w:rsid w:val="002C3B6F"/>
    <w:rsid w:val="002C68B1"/>
    <w:rsid w:val="002D1581"/>
    <w:rsid w:val="002D3A02"/>
    <w:rsid w:val="002D4629"/>
    <w:rsid w:val="002D4E2A"/>
    <w:rsid w:val="002E4134"/>
    <w:rsid w:val="002F1500"/>
    <w:rsid w:val="00301776"/>
    <w:rsid w:val="00301E41"/>
    <w:rsid w:val="003030DC"/>
    <w:rsid w:val="003036B0"/>
    <w:rsid w:val="00303A6D"/>
    <w:rsid w:val="00310226"/>
    <w:rsid w:val="003107FA"/>
    <w:rsid w:val="00315B5C"/>
    <w:rsid w:val="003229D8"/>
    <w:rsid w:val="00330A5E"/>
    <w:rsid w:val="00334356"/>
    <w:rsid w:val="003353E6"/>
    <w:rsid w:val="0033745A"/>
    <w:rsid w:val="003419B5"/>
    <w:rsid w:val="00344E56"/>
    <w:rsid w:val="00346399"/>
    <w:rsid w:val="003478DC"/>
    <w:rsid w:val="003512E9"/>
    <w:rsid w:val="0035297A"/>
    <w:rsid w:val="00353657"/>
    <w:rsid w:val="00353F8F"/>
    <w:rsid w:val="003576F5"/>
    <w:rsid w:val="0036313E"/>
    <w:rsid w:val="0036612D"/>
    <w:rsid w:val="00366762"/>
    <w:rsid w:val="0036709F"/>
    <w:rsid w:val="003713B1"/>
    <w:rsid w:val="00372AFD"/>
    <w:rsid w:val="00373B26"/>
    <w:rsid w:val="003833BD"/>
    <w:rsid w:val="00384912"/>
    <w:rsid w:val="0039277A"/>
    <w:rsid w:val="003932E6"/>
    <w:rsid w:val="00394DBC"/>
    <w:rsid w:val="003972E0"/>
    <w:rsid w:val="003B0C76"/>
    <w:rsid w:val="003B7E36"/>
    <w:rsid w:val="003C0567"/>
    <w:rsid w:val="003C2CC4"/>
    <w:rsid w:val="003C2CFB"/>
    <w:rsid w:val="003C5500"/>
    <w:rsid w:val="003C642F"/>
    <w:rsid w:val="003D1FC1"/>
    <w:rsid w:val="003D38D1"/>
    <w:rsid w:val="003D3A9C"/>
    <w:rsid w:val="003D4B23"/>
    <w:rsid w:val="003D5F56"/>
    <w:rsid w:val="003E1DE1"/>
    <w:rsid w:val="003E682E"/>
    <w:rsid w:val="003F0952"/>
    <w:rsid w:val="003F1221"/>
    <w:rsid w:val="003F243C"/>
    <w:rsid w:val="003F2CEF"/>
    <w:rsid w:val="003F4584"/>
    <w:rsid w:val="003F6174"/>
    <w:rsid w:val="003F739A"/>
    <w:rsid w:val="00401BC2"/>
    <w:rsid w:val="00403852"/>
    <w:rsid w:val="00404B3D"/>
    <w:rsid w:val="00410F31"/>
    <w:rsid w:val="0041106C"/>
    <w:rsid w:val="00411F06"/>
    <w:rsid w:val="00415757"/>
    <w:rsid w:val="00425B4A"/>
    <w:rsid w:val="004260CE"/>
    <w:rsid w:val="00427A93"/>
    <w:rsid w:val="004325CB"/>
    <w:rsid w:val="004334E9"/>
    <w:rsid w:val="004412E0"/>
    <w:rsid w:val="004441E4"/>
    <w:rsid w:val="00445144"/>
    <w:rsid w:val="00446DE4"/>
    <w:rsid w:val="00447D71"/>
    <w:rsid w:val="00453739"/>
    <w:rsid w:val="00455223"/>
    <w:rsid w:val="00461CBB"/>
    <w:rsid w:val="00463107"/>
    <w:rsid w:val="004632FD"/>
    <w:rsid w:val="0046345F"/>
    <w:rsid w:val="00463AD9"/>
    <w:rsid w:val="004667B4"/>
    <w:rsid w:val="00473FB0"/>
    <w:rsid w:val="00481894"/>
    <w:rsid w:val="004879EE"/>
    <w:rsid w:val="00491B48"/>
    <w:rsid w:val="004949E1"/>
    <w:rsid w:val="004A0BF3"/>
    <w:rsid w:val="004A31E8"/>
    <w:rsid w:val="004A41CA"/>
    <w:rsid w:val="004A716F"/>
    <w:rsid w:val="004B0B83"/>
    <w:rsid w:val="004B7CE1"/>
    <w:rsid w:val="004C1238"/>
    <w:rsid w:val="004C32CF"/>
    <w:rsid w:val="004C4E3F"/>
    <w:rsid w:val="004D3AA0"/>
    <w:rsid w:val="004D4B60"/>
    <w:rsid w:val="004D5162"/>
    <w:rsid w:val="004D58B2"/>
    <w:rsid w:val="004E1E13"/>
    <w:rsid w:val="004E288A"/>
    <w:rsid w:val="004F1E85"/>
    <w:rsid w:val="004F25AC"/>
    <w:rsid w:val="004F3F2B"/>
    <w:rsid w:val="00501FE1"/>
    <w:rsid w:val="00502EBF"/>
    <w:rsid w:val="00502F5F"/>
    <w:rsid w:val="005030C0"/>
    <w:rsid w:val="00503228"/>
    <w:rsid w:val="00504539"/>
    <w:rsid w:val="00505384"/>
    <w:rsid w:val="00507172"/>
    <w:rsid w:val="00511A19"/>
    <w:rsid w:val="00512C83"/>
    <w:rsid w:val="005135AE"/>
    <w:rsid w:val="00515589"/>
    <w:rsid w:val="00521981"/>
    <w:rsid w:val="00521DC0"/>
    <w:rsid w:val="00524375"/>
    <w:rsid w:val="005278B1"/>
    <w:rsid w:val="00533150"/>
    <w:rsid w:val="0053737E"/>
    <w:rsid w:val="00541577"/>
    <w:rsid w:val="005420F2"/>
    <w:rsid w:val="00544258"/>
    <w:rsid w:val="0055402B"/>
    <w:rsid w:val="00557CC0"/>
    <w:rsid w:val="00560C9A"/>
    <w:rsid w:val="00565561"/>
    <w:rsid w:val="005749F7"/>
    <w:rsid w:val="00575597"/>
    <w:rsid w:val="005758FB"/>
    <w:rsid w:val="00576C12"/>
    <w:rsid w:val="00582335"/>
    <w:rsid w:val="00584474"/>
    <w:rsid w:val="00585F92"/>
    <w:rsid w:val="00586117"/>
    <w:rsid w:val="00591E97"/>
    <w:rsid w:val="0059466A"/>
    <w:rsid w:val="005A1EC3"/>
    <w:rsid w:val="005A69D1"/>
    <w:rsid w:val="005A7315"/>
    <w:rsid w:val="005B2CAB"/>
    <w:rsid w:val="005B3DB3"/>
    <w:rsid w:val="005B6A9F"/>
    <w:rsid w:val="005B71D3"/>
    <w:rsid w:val="005C1C17"/>
    <w:rsid w:val="005C6731"/>
    <w:rsid w:val="005E293B"/>
    <w:rsid w:val="005E2AC6"/>
    <w:rsid w:val="005E52B4"/>
    <w:rsid w:val="005E5689"/>
    <w:rsid w:val="005F101A"/>
    <w:rsid w:val="005F5121"/>
    <w:rsid w:val="00603BDA"/>
    <w:rsid w:val="00605752"/>
    <w:rsid w:val="00605860"/>
    <w:rsid w:val="00611FC4"/>
    <w:rsid w:val="00613BAD"/>
    <w:rsid w:val="006176FB"/>
    <w:rsid w:val="00620B6B"/>
    <w:rsid w:val="00620F40"/>
    <w:rsid w:val="00621F39"/>
    <w:rsid w:val="00622FC8"/>
    <w:rsid w:val="00623446"/>
    <w:rsid w:val="0062617B"/>
    <w:rsid w:val="00627ED0"/>
    <w:rsid w:val="0064019C"/>
    <w:rsid w:val="00640ACE"/>
    <w:rsid w:val="00640B26"/>
    <w:rsid w:val="00641CF3"/>
    <w:rsid w:val="00643CCD"/>
    <w:rsid w:val="006458BA"/>
    <w:rsid w:val="00645F1F"/>
    <w:rsid w:val="00651578"/>
    <w:rsid w:val="006515A9"/>
    <w:rsid w:val="0065225D"/>
    <w:rsid w:val="00652BF2"/>
    <w:rsid w:val="00653C57"/>
    <w:rsid w:val="00653E5E"/>
    <w:rsid w:val="0065611B"/>
    <w:rsid w:val="006565EB"/>
    <w:rsid w:val="00657369"/>
    <w:rsid w:val="00657F3B"/>
    <w:rsid w:val="00662FA0"/>
    <w:rsid w:val="00665595"/>
    <w:rsid w:val="00673244"/>
    <w:rsid w:val="00673AD0"/>
    <w:rsid w:val="006754D1"/>
    <w:rsid w:val="00677059"/>
    <w:rsid w:val="006A7392"/>
    <w:rsid w:val="006B519E"/>
    <w:rsid w:val="006B5CF6"/>
    <w:rsid w:val="006D59B8"/>
    <w:rsid w:val="006E017B"/>
    <w:rsid w:val="006E564B"/>
    <w:rsid w:val="006F12B9"/>
    <w:rsid w:val="006F1961"/>
    <w:rsid w:val="006F2003"/>
    <w:rsid w:val="006F3B94"/>
    <w:rsid w:val="00706BC2"/>
    <w:rsid w:val="007074BE"/>
    <w:rsid w:val="00711CB7"/>
    <w:rsid w:val="0071208C"/>
    <w:rsid w:val="007123F4"/>
    <w:rsid w:val="00721FDE"/>
    <w:rsid w:val="00724BAA"/>
    <w:rsid w:val="0072632A"/>
    <w:rsid w:val="00730EA2"/>
    <w:rsid w:val="00731B22"/>
    <w:rsid w:val="00733096"/>
    <w:rsid w:val="007369EB"/>
    <w:rsid w:val="00736C92"/>
    <w:rsid w:val="007376D3"/>
    <w:rsid w:val="00743127"/>
    <w:rsid w:val="007447C5"/>
    <w:rsid w:val="00746A98"/>
    <w:rsid w:val="00747C7D"/>
    <w:rsid w:val="00752BD9"/>
    <w:rsid w:val="00755C33"/>
    <w:rsid w:val="007600B6"/>
    <w:rsid w:val="00762718"/>
    <w:rsid w:val="00764CD4"/>
    <w:rsid w:val="00765687"/>
    <w:rsid w:val="007674A5"/>
    <w:rsid w:val="00767747"/>
    <w:rsid w:val="0077187B"/>
    <w:rsid w:val="007723A5"/>
    <w:rsid w:val="0077444E"/>
    <w:rsid w:val="007808DF"/>
    <w:rsid w:val="00786025"/>
    <w:rsid w:val="007860A4"/>
    <w:rsid w:val="007917F9"/>
    <w:rsid w:val="00792E12"/>
    <w:rsid w:val="00795B10"/>
    <w:rsid w:val="00796F4B"/>
    <w:rsid w:val="007A1FBC"/>
    <w:rsid w:val="007A6FCA"/>
    <w:rsid w:val="007A7C6F"/>
    <w:rsid w:val="007A7EE8"/>
    <w:rsid w:val="007B27FF"/>
    <w:rsid w:val="007B4D12"/>
    <w:rsid w:val="007B6BA5"/>
    <w:rsid w:val="007C098E"/>
    <w:rsid w:val="007C3390"/>
    <w:rsid w:val="007C4D8F"/>
    <w:rsid w:val="007C4F4B"/>
    <w:rsid w:val="007D2BE6"/>
    <w:rsid w:val="007E3149"/>
    <w:rsid w:val="007E5E92"/>
    <w:rsid w:val="007F0B83"/>
    <w:rsid w:val="007F36F4"/>
    <w:rsid w:val="007F6611"/>
    <w:rsid w:val="007F7407"/>
    <w:rsid w:val="00801643"/>
    <w:rsid w:val="00804398"/>
    <w:rsid w:val="00804DAE"/>
    <w:rsid w:val="008055A4"/>
    <w:rsid w:val="008124E0"/>
    <w:rsid w:val="008134EC"/>
    <w:rsid w:val="00813B03"/>
    <w:rsid w:val="008175E9"/>
    <w:rsid w:val="008217BD"/>
    <w:rsid w:val="00823D39"/>
    <w:rsid w:val="008242D7"/>
    <w:rsid w:val="00827313"/>
    <w:rsid w:val="00830352"/>
    <w:rsid w:val="00830AED"/>
    <w:rsid w:val="00830FB7"/>
    <w:rsid w:val="008311A3"/>
    <w:rsid w:val="00833D94"/>
    <w:rsid w:val="00841DDB"/>
    <w:rsid w:val="008447C8"/>
    <w:rsid w:val="00847D0B"/>
    <w:rsid w:val="00852A6B"/>
    <w:rsid w:val="008649F9"/>
    <w:rsid w:val="00864B0F"/>
    <w:rsid w:val="0086564B"/>
    <w:rsid w:val="00867083"/>
    <w:rsid w:val="00871FD5"/>
    <w:rsid w:val="00872179"/>
    <w:rsid w:val="0087355F"/>
    <w:rsid w:val="00873D82"/>
    <w:rsid w:val="0087488D"/>
    <w:rsid w:val="0087620C"/>
    <w:rsid w:val="00882199"/>
    <w:rsid w:val="008830E6"/>
    <w:rsid w:val="00887697"/>
    <w:rsid w:val="00893F22"/>
    <w:rsid w:val="0089550C"/>
    <w:rsid w:val="008979B1"/>
    <w:rsid w:val="008A407D"/>
    <w:rsid w:val="008A4611"/>
    <w:rsid w:val="008A6B25"/>
    <w:rsid w:val="008A6C4F"/>
    <w:rsid w:val="008A78BD"/>
    <w:rsid w:val="008C18D3"/>
    <w:rsid w:val="008C5A80"/>
    <w:rsid w:val="008D152D"/>
    <w:rsid w:val="008D7122"/>
    <w:rsid w:val="008E0958"/>
    <w:rsid w:val="008E0E46"/>
    <w:rsid w:val="008E484F"/>
    <w:rsid w:val="008E54AB"/>
    <w:rsid w:val="009035FE"/>
    <w:rsid w:val="00903AFD"/>
    <w:rsid w:val="00903E9C"/>
    <w:rsid w:val="009059DF"/>
    <w:rsid w:val="00907AD2"/>
    <w:rsid w:val="00907EC7"/>
    <w:rsid w:val="00910ABE"/>
    <w:rsid w:val="00911AF4"/>
    <w:rsid w:val="0091287D"/>
    <w:rsid w:val="0091458E"/>
    <w:rsid w:val="009171D2"/>
    <w:rsid w:val="0092120B"/>
    <w:rsid w:val="00922681"/>
    <w:rsid w:val="00925C32"/>
    <w:rsid w:val="009319D0"/>
    <w:rsid w:val="009326A2"/>
    <w:rsid w:val="009331DC"/>
    <w:rsid w:val="009341D6"/>
    <w:rsid w:val="00942668"/>
    <w:rsid w:val="00942784"/>
    <w:rsid w:val="009455D1"/>
    <w:rsid w:val="00946A00"/>
    <w:rsid w:val="00953EA1"/>
    <w:rsid w:val="00960A85"/>
    <w:rsid w:val="00961A2B"/>
    <w:rsid w:val="00963CBA"/>
    <w:rsid w:val="009658BC"/>
    <w:rsid w:val="00965CEB"/>
    <w:rsid w:val="0097187D"/>
    <w:rsid w:val="00974A8D"/>
    <w:rsid w:val="00975F26"/>
    <w:rsid w:val="00977E36"/>
    <w:rsid w:val="009843C5"/>
    <w:rsid w:val="009867D2"/>
    <w:rsid w:val="0099016B"/>
    <w:rsid w:val="00991261"/>
    <w:rsid w:val="00991F2F"/>
    <w:rsid w:val="00993479"/>
    <w:rsid w:val="0099602D"/>
    <w:rsid w:val="009B2E2F"/>
    <w:rsid w:val="009B419A"/>
    <w:rsid w:val="009B6145"/>
    <w:rsid w:val="009B6B26"/>
    <w:rsid w:val="009B6DE0"/>
    <w:rsid w:val="009B7829"/>
    <w:rsid w:val="009B7D26"/>
    <w:rsid w:val="009C6A9F"/>
    <w:rsid w:val="009D1E20"/>
    <w:rsid w:val="009D37FD"/>
    <w:rsid w:val="009D48AC"/>
    <w:rsid w:val="009D635F"/>
    <w:rsid w:val="009E10DA"/>
    <w:rsid w:val="009E31DB"/>
    <w:rsid w:val="009F1E4A"/>
    <w:rsid w:val="009F3A17"/>
    <w:rsid w:val="009F7627"/>
    <w:rsid w:val="00A047B3"/>
    <w:rsid w:val="00A1427D"/>
    <w:rsid w:val="00A37D4B"/>
    <w:rsid w:val="00A45519"/>
    <w:rsid w:val="00A5006A"/>
    <w:rsid w:val="00A513AA"/>
    <w:rsid w:val="00A56A83"/>
    <w:rsid w:val="00A605A2"/>
    <w:rsid w:val="00A605D8"/>
    <w:rsid w:val="00A60A81"/>
    <w:rsid w:val="00A61B00"/>
    <w:rsid w:val="00A61FDE"/>
    <w:rsid w:val="00A62DED"/>
    <w:rsid w:val="00A72F22"/>
    <w:rsid w:val="00A7363B"/>
    <w:rsid w:val="00A746CA"/>
    <w:rsid w:val="00A748A6"/>
    <w:rsid w:val="00A74F73"/>
    <w:rsid w:val="00A81993"/>
    <w:rsid w:val="00A83224"/>
    <w:rsid w:val="00A83BCA"/>
    <w:rsid w:val="00A84911"/>
    <w:rsid w:val="00A879A4"/>
    <w:rsid w:val="00A908D5"/>
    <w:rsid w:val="00A9528F"/>
    <w:rsid w:val="00AA31F1"/>
    <w:rsid w:val="00AA4A3A"/>
    <w:rsid w:val="00AA672D"/>
    <w:rsid w:val="00AA7BD4"/>
    <w:rsid w:val="00AB3939"/>
    <w:rsid w:val="00AB5BFD"/>
    <w:rsid w:val="00AB7B0D"/>
    <w:rsid w:val="00AC0ADD"/>
    <w:rsid w:val="00AC2671"/>
    <w:rsid w:val="00AC357D"/>
    <w:rsid w:val="00AC3B70"/>
    <w:rsid w:val="00AC50AA"/>
    <w:rsid w:val="00AC672C"/>
    <w:rsid w:val="00AD77D5"/>
    <w:rsid w:val="00AE3F2B"/>
    <w:rsid w:val="00AF5737"/>
    <w:rsid w:val="00B026B8"/>
    <w:rsid w:val="00B0493B"/>
    <w:rsid w:val="00B04FC8"/>
    <w:rsid w:val="00B05F2C"/>
    <w:rsid w:val="00B07A7B"/>
    <w:rsid w:val="00B11F2F"/>
    <w:rsid w:val="00B14BE2"/>
    <w:rsid w:val="00B160F6"/>
    <w:rsid w:val="00B16CDB"/>
    <w:rsid w:val="00B17B47"/>
    <w:rsid w:val="00B21187"/>
    <w:rsid w:val="00B215EB"/>
    <w:rsid w:val="00B30179"/>
    <w:rsid w:val="00B33EC0"/>
    <w:rsid w:val="00B33F7C"/>
    <w:rsid w:val="00B3550A"/>
    <w:rsid w:val="00B35DB2"/>
    <w:rsid w:val="00B4129C"/>
    <w:rsid w:val="00B44716"/>
    <w:rsid w:val="00B46517"/>
    <w:rsid w:val="00B50060"/>
    <w:rsid w:val="00B51A47"/>
    <w:rsid w:val="00B55787"/>
    <w:rsid w:val="00B55F59"/>
    <w:rsid w:val="00B56190"/>
    <w:rsid w:val="00B56A48"/>
    <w:rsid w:val="00B57F5A"/>
    <w:rsid w:val="00B612B9"/>
    <w:rsid w:val="00B614B5"/>
    <w:rsid w:val="00B70C45"/>
    <w:rsid w:val="00B81E12"/>
    <w:rsid w:val="00B83ADD"/>
    <w:rsid w:val="00B8455E"/>
    <w:rsid w:val="00B85708"/>
    <w:rsid w:val="00B85B97"/>
    <w:rsid w:val="00B87A9C"/>
    <w:rsid w:val="00B93781"/>
    <w:rsid w:val="00B94530"/>
    <w:rsid w:val="00BA0314"/>
    <w:rsid w:val="00BA37FA"/>
    <w:rsid w:val="00BA3EBB"/>
    <w:rsid w:val="00BA5110"/>
    <w:rsid w:val="00BA6009"/>
    <w:rsid w:val="00BA65B8"/>
    <w:rsid w:val="00BA795F"/>
    <w:rsid w:val="00BB0435"/>
    <w:rsid w:val="00BB0EFF"/>
    <w:rsid w:val="00BB46CB"/>
    <w:rsid w:val="00BB4F96"/>
    <w:rsid w:val="00BB5A88"/>
    <w:rsid w:val="00BC1002"/>
    <w:rsid w:val="00BC11FE"/>
    <w:rsid w:val="00BC3E32"/>
    <w:rsid w:val="00BC74E9"/>
    <w:rsid w:val="00BD1549"/>
    <w:rsid w:val="00BD1719"/>
    <w:rsid w:val="00BD327B"/>
    <w:rsid w:val="00BD3AED"/>
    <w:rsid w:val="00BD3E68"/>
    <w:rsid w:val="00BD5072"/>
    <w:rsid w:val="00BD6B7E"/>
    <w:rsid w:val="00BE00E8"/>
    <w:rsid w:val="00BE06C3"/>
    <w:rsid w:val="00BE4F74"/>
    <w:rsid w:val="00BE618E"/>
    <w:rsid w:val="00BF2091"/>
    <w:rsid w:val="00BF5B2A"/>
    <w:rsid w:val="00BF69FE"/>
    <w:rsid w:val="00BF7F32"/>
    <w:rsid w:val="00C00B0A"/>
    <w:rsid w:val="00C028D1"/>
    <w:rsid w:val="00C02949"/>
    <w:rsid w:val="00C07723"/>
    <w:rsid w:val="00C11828"/>
    <w:rsid w:val="00C11BDD"/>
    <w:rsid w:val="00C13477"/>
    <w:rsid w:val="00C17699"/>
    <w:rsid w:val="00C20AC3"/>
    <w:rsid w:val="00C308C4"/>
    <w:rsid w:val="00C30E14"/>
    <w:rsid w:val="00C31B4F"/>
    <w:rsid w:val="00C3208A"/>
    <w:rsid w:val="00C41EAE"/>
    <w:rsid w:val="00C435A1"/>
    <w:rsid w:val="00C463DD"/>
    <w:rsid w:val="00C634C5"/>
    <w:rsid w:val="00C65BED"/>
    <w:rsid w:val="00C66FF3"/>
    <w:rsid w:val="00C745C3"/>
    <w:rsid w:val="00C76B8B"/>
    <w:rsid w:val="00C93AB1"/>
    <w:rsid w:val="00C9630E"/>
    <w:rsid w:val="00C978CD"/>
    <w:rsid w:val="00CA2B15"/>
    <w:rsid w:val="00CA334D"/>
    <w:rsid w:val="00CA3B75"/>
    <w:rsid w:val="00CA7821"/>
    <w:rsid w:val="00CB20B6"/>
    <w:rsid w:val="00CB618A"/>
    <w:rsid w:val="00CB784B"/>
    <w:rsid w:val="00CC1577"/>
    <w:rsid w:val="00CC6348"/>
    <w:rsid w:val="00CD27EE"/>
    <w:rsid w:val="00CD56DD"/>
    <w:rsid w:val="00CE2D37"/>
    <w:rsid w:val="00CE4A8F"/>
    <w:rsid w:val="00CE5149"/>
    <w:rsid w:val="00CE7309"/>
    <w:rsid w:val="00CF0C8F"/>
    <w:rsid w:val="00CF32AC"/>
    <w:rsid w:val="00D003EB"/>
    <w:rsid w:val="00D0263B"/>
    <w:rsid w:val="00D11A01"/>
    <w:rsid w:val="00D16178"/>
    <w:rsid w:val="00D162F9"/>
    <w:rsid w:val="00D2031B"/>
    <w:rsid w:val="00D21329"/>
    <w:rsid w:val="00D219A7"/>
    <w:rsid w:val="00D22EEA"/>
    <w:rsid w:val="00D233F7"/>
    <w:rsid w:val="00D25FE2"/>
    <w:rsid w:val="00D3157F"/>
    <w:rsid w:val="00D317BB"/>
    <w:rsid w:val="00D31C94"/>
    <w:rsid w:val="00D3502B"/>
    <w:rsid w:val="00D37F56"/>
    <w:rsid w:val="00D41F8C"/>
    <w:rsid w:val="00D43252"/>
    <w:rsid w:val="00D44E39"/>
    <w:rsid w:val="00D45AF2"/>
    <w:rsid w:val="00D47977"/>
    <w:rsid w:val="00D510B7"/>
    <w:rsid w:val="00D565A8"/>
    <w:rsid w:val="00D56EE3"/>
    <w:rsid w:val="00D57718"/>
    <w:rsid w:val="00D579B1"/>
    <w:rsid w:val="00D63775"/>
    <w:rsid w:val="00D649BE"/>
    <w:rsid w:val="00D66FEF"/>
    <w:rsid w:val="00D708DC"/>
    <w:rsid w:val="00D72073"/>
    <w:rsid w:val="00D7242E"/>
    <w:rsid w:val="00D73671"/>
    <w:rsid w:val="00D75BE5"/>
    <w:rsid w:val="00D771FC"/>
    <w:rsid w:val="00D8117B"/>
    <w:rsid w:val="00D83415"/>
    <w:rsid w:val="00D83AE6"/>
    <w:rsid w:val="00D8465C"/>
    <w:rsid w:val="00D90F7E"/>
    <w:rsid w:val="00D914AA"/>
    <w:rsid w:val="00D91AFA"/>
    <w:rsid w:val="00D978C6"/>
    <w:rsid w:val="00DA0D0D"/>
    <w:rsid w:val="00DA2395"/>
    <w:rsid w:val="00DA67AD"/>
    <w:rsid w:val="00DA693E"/>
    <w:rsid w:val="00DA7DB5"/>
    <w:rsid w:val="00DB5D0F"/>
    <w:rsid w:val="00DC05EC"/>
    <w:rsid w:val="00DC66E7"/>
    <w:rsid w:val="00DD2C2A"/>
    <w:rsid w:val="00DE26FA"/>
    <w:rsid w:val="00DE2C93"/>
    <w:rsid w:val="00DE5B51"/>
    <w:rsid w:val="00DF0F82"/>
    <w:rsid w:val="00DF12F7"/>
    <w:rsid w:val="00DF2F27"/>
    <w:rsid w:val="00DF496F"/>
    <w:rsid w:val="00E02C81"/>
    <w:rsid w:val="00E07BE3"/>
    <w:rsid w:val="00E130AB"/>
    <w:rsid w:val="00E214C9"/>
    <w:rsid w:val="00E22B45"/>
    <w:rsid w:val="00E258D0"/>
    <w:rsid w:val="00E3302F"/>
    <w:rsid w:val="00E41241"/>
    <w:rsid w:val="00E51192"/>
    <w:rsid w:val="00E57ED8"/>
    <w:rsid w:val="00E6200E"/>
    <w:rsid w:val="00E6480C"/>
    <w:rsid w:val="00E67A50"/>
    <w:rsid w:val="00E7260F"/>
    <w:rsid w:val="00E73EA9"/>
    <w:rsid w:val="00E74090"/>
    <w:rsid w:val="00E755B4"/>
    <w:rsid w:val="00E804AF"/>
    <w:rsid w:val="00E80943"/>
    <w:rsid w:val="00E87921"/>
    <w:rsid w:val="00E909DC"/>
    <w:rsid w:val="00E92F9B"/>
    <w:rsid w:val="00E940D0"/>
    <w:rsid w:val="00E96630"/>
    <w:rsid w:val="00EB2426"/>
    <w:rsid w:val="00EB5436"/>
    <w:rsid w:val="00EB6FCA"/>
    <w:rsid w:val="00EB7BD8"/>
    <w:rsid w:val="00EC0882"/>
    <w:rsid w:val="00EC1C2C"/>
    <w:rsid w:val="00EC1F86"/>
    <w:rsid w:val="00EC647A"/>
    <w:rsid w:val="00ED0442"/>
    <w:rsid w:val="00ED3367"/>
    <w:rsid w:val="00ED7589"/>
    <w:rsid w:val="00ED7A2A"/>
    <w:rsid w:val="00EE7060"/>
    <w:rsid w:val="00EF16AC"/>
    <w:rsid w:val="00EF1D7F"/>
    <w:rsid w:val="00EF1E4A"/>
    <w:rsid w:val="00EF6781"/>
    <w:rsid w:val="00F04D44"/>
    <w:rsid w:val="00F10BB7"/>
    <w:rsid w:val="00F12809"/>
    <w:rsid w:val="00F16DE0"/>
    <w:rsid w:val="00F1780A"/>
    <w:rsid w:val="00F202A3"/>
    <w:rsid w:val="00F21001"/>
    <w:rsid w:val="00F25FCC"/>
    <w:rsid w:val="00F27A14"/>
    <w:rsid w:val="00F30830"/>
    <w:rsid w:val="00F40D4B"/>
    <w:rsid w:val="00F42163"/>
    <w:rsid w:val="00F42B6F"/>
    <w:rsid w:val="00F50CDA"/>
    <w:rsid w:val="00F52A8F"/>
    <w:rsid w:val="00F53EDA"/>
    <w:rsid w:val="00F56EEE"/>
    <w:rsid w:val="00F62625"/>
    <w:rsid w:val="00F6499C"/>
    <w:rsid w:val="00F64B9F"/>
    <w:rsid w:val="00F64DBE"/>
    <w:rsid w:val="00F65AC2"/>
    <w:rsid w:val="00F73B48"/>
    <w:rsid w:val="00F7753D"/>
    <w:rsid w:val="00F847C9"/>
    <w:rsid w:val="00F85F34"/>
    <w:rsid w:val="00F87133"/>
    <w:rsid w:val="00F92377"/>
    <w:rsid w:val="00F9283E"/>
    <w:rsid w:val="00F94A8A"/>
    <w:rsid w:val="00F95318"/>
    <w:rsid w:val="00F954EA"/>
    <w:rsid w:val="00F973B9"/>
    <w:rsid w:val="00FA029D"/>
    <w:rsid w:val="00FA06F7"/>
    <w:rsid w:val="00FA44F3"/>
    <w:rsid w:val="00FB15F8"/>
    <w:rsid w:val="00FB171A"/>
    <w:rsid w:val="00FB62A0"/>
    <w:rsid w:val="00FB7A9C"/>
    <w:rsid w:val="00FC083E"/>
    <w:rsid w:val="00FC37C4"/>
    <w:rsid w:val="00FC68B7"/>
    <w:rsid w:val="00FD0010"/>
    <w:rsid w:val="00FD7BF6"/>
    <w:rsid w:val="00FE0169"/>
    <w:rsid w:val="00FE25E6"/>
    <w:rsid w:val="00FE39DE"/>
    <w:rsid w:val="00FE417E"/>
    <w:rsid w:val="00FE4EAD"/>
    <w:rsid w:val="00FE619F"/>
    <w:rsid w:val="00FF0613"/>
    <w:rsid w:val="00FF13D1"/>
    <w:rsid w:val="00FF2114"/>
    <w:rsid w:val="00FF4AD5"/>
    <w:rsid w:val="00FF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A32FC2AB-A99E-4D8C-8AA7-69AC04C9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tref"/>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F50CDA"/>
    <w:rPr>
      <w:rFonts w:ascii="Tahoma" w:hAnsi="Tahoma" w:cs="Tahoma"/>
      <w:sz w:val="16"/>
      <w:szCs w:val="16"/>
    </w:rPr>
  </w:style>
  <w:style w:type="character" w:styleId="CommentReference">
    <w:name w:val="annotation reference"/>
    <w:uiPriority w:val="99"/>
    <w:semiHidden/>
    <w:rsid w:val="00B56A48"/>
    <w:rPr>
      <w:sz w:val="16"/>
      <w:szCs w:val="16"/>
    </w:rPr>
  </w:style>
  <w:style w:type="paragraph" w:styleId="CommentText">
    <w:name w:val="annotation text"/>
    <w:basedOn w:val="Normal"/>
    <w:link w:val="CommentTextChar"/>
    <w:uiPriority w:val="99"/>
    <w:semiHidden/>
    <w:rsid w:val="00B56A48"/>
  </w:style>
  <w:style w:type="paragraph" w:styleId="CommentSubject">
    <w:name w:val="annotation subject"/>
    <w:basedOn w:val="CommentText"/>
    <w:next w:val="CommentText"/>
    <w:semiHidden/>
    <w:rsid w:val="00B56A48"/>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925C32"/>
    <w:rPr>
      <w:sz w:val="18"/>
      <w:lang w:val="en-GB" w:eastAsia="en-US" w:bidi="ar-SA"/>
    </w:rPr>
  </w:style>
  <w:style w:type="character" w:customStyle="1" w:styleId="SingleTxtGChar">
    <w:name w:val="_ Single Txt_G Char"/>
    <w:link w:val="SingleTxtG"/>
    <w:rsid w:val="00A605D8"/>
    <w:rPr>
      <w:lang w:val="en-GB" w:eastAsia="en-US" w:bidi="ar-SA"/>
    </w:rPr>
  </w:style>
  <w:style w:type="paragraph" w:styleId="NormalWeb">
    <w:name w:val="Normal (Web)"/>
    <w:basedOn w:val="Normal"/>
    <w:uiPriority w:val="99"/>
    <w:rsid w:val="00E07BE3"/>
    <w:pPr>
      <w:suppressAutoHyphens w:val="0"/>
      <w:spacing w:before="100" w:beforeAutospacing="1" w:after="100" w:afterAutospacing="1" w:line="240" w:lineRule="auto"/>
    </w:pPr>
    <w:rPr>
      <w:rFonts w:eastAsia="SimSun"/>
      <w:sz w:val="24"/>
      <w:szCs w:val="24"/>
      <w:lang w:val="ru-RU" w:eastAsia="zh-CN"/>
    </w:rPr>
  </w:style>
  <w:style w:type="character" w:customStyle="1" w:styleId="CommentTextChar">
    <w:name w:val="Comment Text Char"/>
    <w:link w:val="CommentText"/>
    <w:uiPriority w:val="99"/>
    <w:semiHidden/>
    <w:rsid w:val="00975F26"/>
    <w:rPr>
      <w:lang w:eastAsia="en-US"/>
    </w:rPr>
  </w:style>
  <w:style w:type="character" w:styleId="Strong">
    <w:name w:val="Strong"/>
    <w:uiPriority w:val="22"/>
    <w:qFormat/>
    <w:rsid w:val="00FB62A0"/>
    <w:rPr>
      <w:b/>
      <w:bCs/>
    </w:rPr>
  </w:style>
  <w:style w:type="paragraph" w:styleId="HTMLPreformatted">
    <w:name w:val="HTML Preformatted"/>
    <w:basedOn w:val="Normal"/>
    <w:link w:val="HTMLPreformattedChar"/>
    <w:uiPriority w:val="99"/>
    <w:semiHidden/>
    <w:unhideWhenUsed/>
    <w:rsid w:val="00FE3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rPr>
  </w:style>
  <w:style w:type="character" w:customStyle="1" w:styleId="HTMLPreformattedChar">
    <w:name w:val="HTML Preformatted Char"/>
    <w:link w:val="HTMLPreformatted"/>
    <w:uiPriority w:val="99"/>
    <w:semiHidden/>
    <w:rsid w:val="00FE39D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47283">
      <w:bodyDiv w:val="1"/>
      <w:marLeft w:val="0"/>
      <w:marRight w:val="0"/>
      <w:marTop w:val="0"/>
      <w:marBottom w:val="0"/>
      <w:divBdr>
        <w:top w:val="none" w:sz="0" w:space="0" w:color="auto"/>
        <w:left w:val="none" w:sz="0" w:space="0" w:color="auto"/>
        <w:bottom w:val="none" w:sz="0" w:space="0" w:color="auto"/>
        <w:right w:val="none" w:sz="0" w:space="0" w:color="auto"/>
      </w:divBdr>
      <w:divsChild>
        <w:div w:id="177932846">
          <w:marLeft w:val="0"/>
          <w:marRight w:val="0"/>
          <w:marTop w:val="0"/>
          <w:marBottom w:val="0"/>
          <w:divBdr>
            <w:top w:val="none" w:sz="0" w:space="0" w:color="auto"/>
            <w:left w:val="none" w:sz="0" w:space="0" w:color="auto"/>
            <w:bottom w:val="none" w:sz="0" w:space="0" w:color="auto"/>
            <w:right w:val="none" w:sz="0" w:space="0" w:color="auto"/>
          </w:divBdr>
          <w:divsChild>
            <w:div w:id="764885076">
              <w:marLeft w:val="0"/>
              <w:marRight w:val="0"/>
              <w:marTop w:val="0"/>
              <w:marBottom w:val="0"/>
              <w:divBdr>
                <w:top w:val="none" w:sz="0" w:space="0" w:color="auto"/>
                <w:left w:val="none" w:sz="0" w:space="0" w:color="auto"/>
                <w:bottom w:val="none" w:sz="0" w:space="0" w:color="auto"/>
                <w:right w:val="none" w:sz="0" w:space="0" w:color="auto"/>
              </w:divBdr>
              <w:divsChild>
                <w:div w:id="680203647">
                  <w:marLeft w:val="0"/>
                  <w:marRight w:val="0"/>
                  <w:marTop w:val="0"/>
                  <w:marBottom w:val="0"/>
                  <w:divBdr>
                    <w:top w:val="none" w:sz="0" w:space="0" w:color="auto"/>
                    <w:left w:val="none" w:sz="0" w:space="0" w:color="auto"/>
                    <w:bottom w:val="none" w:sz="0" w:space="0" w:color="auto"/>
                    <w:right w:val="none" w:sz="0" w:space="0" w:color="auto"/>
                  </w:divBdr>
                  <w:divsChild>
                    <w:div w:id="1696148394">
                      <w:marLeft w:val="0"/>
                      <w:marRight w:val="0"/>
                      <w:marTop w:val="0"/>
                      <w:marBottom w:val="0"/>
                      <w:divBdr>
                        <w:top w:val="none" w:sz="0" w:space="0" w:color="auto"/>
                        <w:left w:val="none" w:sz="0" w:space="0" w:color="auto"/>
                        <w:bottom w:val="none" w:sz="0" w:space="0" w:color="auto"/>
                        <w:right w:val="none" w:sz="0" w:space="0" w:color="auto"/>
                      </w:divBdr>
                      <w:divsChild>
                        <w:div w:id="445581312">
                          <w:marLeft w:val="0"/>
                          <w:marRight w:val="0"/>
                          <w:marTop w:val="0"/>
                          <w:marBottom w:val="0"/>
                          <w:divBdr>
                            <w:top w:val="none" w:sz="0" w:space="0" w:color="auto"/>
                            <w:left w:val="none" w:sz="0" w:space="0" w:color="auto"/>
                            <w:bottom w:val="none" w:sz="0" w:space="0" w:color="auto"/>
                            <w:right w:val="none" w:sz="0" w:space="0" w:color="auto"/>
                          </w:divBdr>
                          <w:divsChild>
                            <w:div w:id="952512669">
                              <w:marLeft w:val="0"/>
                              <w:marRight w:val="0"/>
                              <w:marTop w:val="0"/>
                              <w:marBottom w:val="0"/>
                              <w:divBdr>
                                <w:top w:val="none" w:sz="0" w:space="0" w:color="auto"/>
                                <w:left w:val="none" w:sz="0" w:space="0" w:color="auto"/>
                                <w:bottom w:val="none" w:sz="0" w:space="0" w:color="auto"/>
                                <w:right w:val="none" w:sz="0" w:space="0" w:color="auto"/>
                              </w:divBdr>
                              <w:divsChild>
                                <w:div w:id="1283342595">
                                  <w:marLeft w:val="0"/>
                                  <w:marRight w:val="0"/>
                                  <w:marTop w:val="0"/>
                                  <w:marBottom w:val="0"/>
                                  <w:divBdr>
                                    <w:top w:val="none" w:sz="0" w:space="0" w:color="auto"/>
                                    <w:left w:val="none" w:sz="0" w:space="0" w:color="auto"/>
                                    <w:bottom w:val="none" w:sz="0" w:space="0" w:color="auto"/>
                                    <w:right w:val="none" w:sz="0" w:space="0" w:color="auto"/>
                                  </w:divBdr>
                                  <w:divsChild>
                                    <w:div w:id="110327031">
                                      <w:marLeft w:val="0"/>
                                      <w:marRight w:val="0"/>
                                      <w:marTop w:val="0"/>
                                      <w:marBottom w:val="0"/>
                                      <w:divBdr>
                                        <w:top w:val="none" w:sz="0" w:space="0" w:color="auto"/>
                                        <w:left w:val="none" w:sz="0" w:space="0" w:color="auto"/>
                                        <w:bottom w:val="none" w:sz="0" w:space="0" w:color="auto"/>
                                        <w:right w:val="none" w:sz="0" w:space="0" w:color="auto"/>
                                      </w:divBdr>
                                      <w:divsChild>
                                        <w:div w:id="371462048">
                                          <w:marLeft w:val="0"/>
                                          <w:marRight w:val="0"/>
                                          <w:marTop w:val="0"/>
                                          <w:marBottom w:val="0"/>
                                          <w:divBdr>
                                            <w:top w:val="none" w:sz="0" w:space="0" w:color="auto"/>
                                            <w:left w:val="none" w:sz="0" w:space="0" w:color="auto"/>
                                            <w:bottom w:val="none" w:sz="0" w:space="0" w:color="auto"/>
                                            <w:right w:val="none" w:sz="0" w:space="0" w:color="auto"/>
                                          </w:divBdr>
                                          <w:divsChild>
                                            <w:div w:id="1120144832">
                                              <w:marLeft w:val="0"/>
                                              <w:marRight w:val="0"/>
                                              <w:marTop w:val="0"/>
                                              <w:marBottom w:val="0"/>
                                              <w:divBdr>
                                                <w:top w:val="none" w:sz="0" w:space="0" w:color="auto"/>
                                                <w:left w:val="none" w:sz="0" w:space="0" w:color="auto"/>
                                                <w:bottom w:val="none" w:sz="0" w:space="0" w:color="auto"/>
                                                <w:right w:val="none" w:sz="0" w:space="0" w:color="auto"/>
                                              </w:divBdr>
                                              <w:divsChild>
                                                <w:div w:id="1043679205">
                                                  <w:marLeft w:val="0"/>
                                                  <w:marRight w:val="0"/>
                                                  <w:marTop w:val="0"/>
                                                  <w:marBottom w:val="0"/>
                                                  <w:divBdr>
                                                    <w:top w:val="none" w:sz="0" w:space="0" w:color="auto"/>
                                                    <w:left w:val="none" w:sz="0" w:space="0" w:color="auto"/>
                                                    <w:bottom w:val="none" w:sz="0" w:space="0" w:color="auto"/>
                                                    <w:right w:val="none" w:sz="0" w:space="0" w:color="auto"/>
                                                  </w:divBdr>
                                                  <w:divsChild>
                                                    <w:div w:id="506363668">
                                                      <w:marLeft w:val="0"/>
                                                      <w:marRight w:val="0"/>
                                                      <w:marTop w:val="0"/>
                                                      <w:marBottom w:val="0"/>
                                                      <w:divBdr>
                                                        <w:top w:val="none" w:sz="0" w:space="0" w:color="auto"/>
                                                        <w:left w:val="none" w:sz="0" w:space="0" w:color="auto"/>
                                                        <w:bottom w:val="none" w:sz="0" w:space="0" w:color="auto"/>
                                                        <w:right w:val="none" w:sz="0" w:space="0" w:color="auto"/>
                                                      </w:divBdr>
                                                      <w:divsChild>
                                                        <w:div w:id="1256745969">
                                                          <w:marLeft w:val="0"/>
                                                          <w:marRight w:val="0"/>
                                                          <w:marTop w:val="0"/>
                                                          <w:marBottom w:val="0"/>
                                                          <w:divBdr>
                                                            <w:top w:val="none" w:sz="0" w:space="0" w:color="auto"/>
                                                            <w:left w:val="none" w:sz="0" w:space="0" w:color="auto"/>
                                                            <w:bottom w:val="none" w:sz="0" w:space="0" w:color="auto"/>
                                                            <w:right w:val="none" w:sz="0" w:space="0" w:color="auto"/>
                                                          </w:divBdr>
                                                          <w:divsChild>
                                                            <w:div w:id="1035496871">
                                                              <w:marLeft w:val="0"/>
                                                              <w:marRight w:val="0"/>
                                                              <w:marTop w:val="0"/>
                                                              <w:marBottom w:val="0"/>
                                                              <w:divBdr>
                                                                <w:top w:val="none" w:sz="0" w:space="0" w:color="auto"/>
                                                                <w:left w:val="none" w:sz="0" w:space="0" w:color="auto"/>
                                                                <w:bottom w:val="none" w:sz="0" w:space="0" w:color="auto"/>
                                                                <w:right w:val="none" w:sz="0" w:space="0" w:color="auto"/>
                                                              </w:divBdr>
                                                              <w:divsChild>
                                                                <w:div w:id="1402288364">
                                                                  <w:marLeft w:val="0"/>
                                                                  <w:marRight w:val="0"/>
                                                                  <w:marTop w:val="0"/>
                                                                  <w:marBottom w:val="0"/>
                                                                  <w:divBdr>
                                                                    <w:top w:val="none" w:sz="0" w:space="0" w:color="auto"/>
                                                                    <w:left w:val="none" w:sz="0" w:space="0" w:color="auto"/>
                                                                    <w:bottom w:val="none" w:sz="0" w:space="0" w:color="auto"/>
                                                                    <w:right w:val="none" w:sz="0" w:space="0" w:color="auto"/>
                                                                  </w:divBdr>
                                                                  <w:divsChild>
                                                                    <w:div w:id="144684458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sChild>
                                                                            <w:div w:id="283001308">
                                                                              <w:marLeft w:val="0"/>
                                                                              <w:marRight w:val="0"/>
                                                                              <w:marTop w:val="0"/>
                                                                              <w:marBottom w:val="0"/>
                                                                              <w:divBdr>
                                                                                <w:top w:val="none" w:sz="0" w:space="0" w:color="auto"/>
                                                                                <w:left w:val="none" w:sz="0" w:space="0" w:color="auto"/>
                                                                                <w:bottom w:val="none" w:sz="0" w:space="0" w:color="auto"/>
                                                                                <w:right w:val="none" w:sz="0" w:space="0" w:color="auto"/>
                                                                              </w:divBdr>
                                                                              <w:divsChild>
                                                                                <w:div w:id="427122285">
                                                                                  <w:marLeft w:val="0"/>
                                                                                  <w:marRight w:val="0"/>
                                                                                  <w:marTop w:val="0"/>
                                                                                  <w:marBottom w:val="0"/>
                                                                                  <w:divBdr>
                                                                                    <w:top w:val="none" w:sz="0" w:space="0" w:color="auto"/>
                                                                                    <w:left w:val="none" w:sz="0" w:space="0" w:color="auto"/>
                                                                                    <w:bottom w:val="none" w:sz="0" w:space="0" w:color="auto"/>
                                                                                    <w:right w:val="none" w:sz="0" w:space="0" w:color="auto"/>
                                                                                  </w:divBdr>
                                                                                  <w:divsChild>
                                                                                    <w:div w:id="410388998">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0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4602</Words>
  <Characters>26235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CCPR/C/WG/101/DR/1226/2003</vt:lpstr>
    </vt:vector>
  </TitlesOfParts>
  <Company>CSD</Company>
  <LinksUpToDate>false</LinksUpToDate>
  <CharactersWithSpaces>30776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CCPR/C/WG/101/DR/1226/2003</dc:title>
  <dc:subject/>
  <dc:creator>Neogi</dc:creator>
  <cp:keywords/>
  <cp:lastModifiedBy>Sarah Willig</cp:lastModifiedBy>
  <cp:revision>2</cp:revision>
  <cp:lastPrinted>2013-07-04T10:45:00Z</cp:lastPrinted>
  <dcterms:created xsi:type="dcterms:W3CDTF">2017-01-24T17:40:00Z</dcterms:created>
  <dcterms:modified xsi:type="dcterms:W3CDTF">2017-01-24T17:40:00Z</dcterms:modified>
</cp:coreProperties>
</file>