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F50CDA" w:rsidRPr="00356367">
        <w:trPr>
          <w:trHeight w:val="851"/>
        </w:trPr>
        <w:tc>
          <w:tcPr>
            <w:tcW w:w="1259" w:type="dxa"/>
            <w:tcBorders>
              <w:top w:val="nil"/>
              <w:left w:val="nil"/>
              <w:bottom w:val="single" w:sz="4" w:space="0" w:color="auto"/>
              <w:right w:val="nil"/>
            </w:tcBorders>
            <w:vAlign w:val="bottom"/>
          </w:tcPr>
          <w:p w:rsidR="00F50CDA" w:rsidRPr="007369EB" w:rsidRDefault="00F50CDA" w:rsidP="000060E7">
            <w:pPr>
              <w:tabs>
                <w:tab w:val="left" w:pos="645"/>
              </w:tabs>
              <w:jc w:val="right"/>
            </w:pPr>
            <w:bookmarkStart w:id="0" w:name="_GoBack"/>
            <w:bookmarkEnd w:id="0"/>
          </w:p>
        </w:tc>
        <w:tc>
          <w:tcPr>
            <w:tcW w:w="2236" w:type="dxa"/>
            <w:tcBorders>
              <w:top w:val="nil"/>
              <w:left w:val="nil"/>
              <w:bottom w:val="single" w:sz="4" w:space="0" w:color="auto"/>
              <w:right w:val="nil"/>
            </w:tcBorders>
            <w:vAlign w:val="bottom"/>
          </w:tcPr>
          <w:p w:rsidR="00F50CDA" w:rsidRPr="00356367" w:rsidRDefault="00F50CDA" w:rsidP="007376D3">
            <w:r w:rsidRPr="00356367">
              <w:rPr>
                <w:sz w:val="28"/>
                <w:szCs w:val="28"/>
              </w:rPr>
              <w:t>United Nations</w:t>
            </w:r>
          </w:p>
        </w:tc>
        <w:tc>
          <w:tcPr>
            <w:tcW w:w="6144" w:type="dxa"/>
            <w:gridSpan w:val="2"/>
            <w:tcBorders>
              <w:top w:val="nil"/>
              <w:left w:val="nil"/>
              <w:bottom w:val="single" w:sz="4" w:space="0" w:color="auto"/>
              <w:right w:val="nil"/>
            </w:tcBorders>
            <w:vAlign w:val="bottom"/>
          </w:tcPr>
          <w:p w:rsidR="00F50CDA" w:rsidRPr="00356367" w:rsidRDefault="00F50CDA" w:rsidP="00C05124">
            <w:pPr>
              <w:jc w:val="right"/>
            </w:pPr>
            <w:r w:rsidRPr="00356367">
              <w:rPr>
                <w:sz w:val="40"/>
              </w:rPr>
              <w:t>CCPR</w:t>
            </w:r>
            <w:r w:rsidR="00C20EEE" w:rsidRPr="00356367">
              <w:t>/C/106</w:t>
            </w:r>
            <w:r w:rsidRPr="00356367">
              <w:t>/</w:t>
            </w:r>
            <w:r w:rsidR="00C05124" w:rsidRPr="00356367">
              <w:t>D</w:t>
            </w:r>
            <w:r w:rsidRPr="00356367">
              <w:t>/</w:t>
            </w:r>
            <w:r w:rsidR="00C20EEE" w:rsidRPr="00356367">
              <w:t>1830/2008</w:t>
            </w:r>
          </w:p>
        </w:tc>
      </w:tr>
      <w:tr w:rsidR="007369EB" w:rsidRPr="00356367">
        <w:trPr>
          <w:trHeight w:val="2835"/>
        </w:trPr>
        <w:tc>
          <w:tcPr>
            <w:tcW w:w="1259" w:type="dxa"/>
            <w:tcBorders>
              <w:top w:val="single" w:sz="4" w:space="0" w:color="auto"/>
              <w:left w:val="nil"/>
              <w:bottom w:val="single" w:sz="12" w:space="0" w:color="auto"/>
              <w:right w:val="nil"/>
            </w:tcBorders>
          </w:tcPr>
          <w:p w:rsidR="007369EB" w:rsidRPr="00356367" w:rsidRDefault="007005EA" w:rsidP="007369EB">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450" w:type="dxa"/>
            <w:gridSpan w:val="2"/>
            <w:tcBorders>
              <w:top w:val="single" w:sz="4" w:space="0" w:color="auto"/>
              <w:left w:val="nil"/>
              <w:bottom w:val="single" w:sz="12" w:space="0" w:color="auto"/>
              <w:right w:val="nil"/>
            </w:tcBorders>
          </w:tcPr>
          <w:p w:rsidR="007369EB" w:rsidRPr="00356367" w:rsidRDefault="00F50CDA" w:rsidP="007369EB">
            <w:r w:rsidRPr="00356367">
              <w:rPr>
                <w:b/>
                <w:sz w:val="34"/>
                <w:szCs w:val="40"/>
              </w:rPr>
              <w:t>International Covenant on</w:t>
            </w:r>
            <w:r w:rsidRPr="00356367">
              <w:rPr>
                <w:b/>
                <w:sz w:val="34"/>
                <w:szCs w:val="40"/>
              </w:rPr>
              <w:br/>
              <w:t>Civil and Political Rights</w:t>
            </w:r>
          </w:p>
        </w:tc>
        <w:tc>
          <w:tcPr>
            <w:tcW w:w="2930" w:type="dxa"/>
            <w:tcBorders>
              <w:top w:val="single" w:sz="4" w:space="0" w:color="auto"/>
              <w:left w:val="nil"/>
              <w:bottom w:val="single" w:sz="12" w:space="0" w:color="auto"/>
              <w:right w:val="nil"/>
            </w:tcBorders>
          </w:tcPr>
          <w:p w:rsidR="009E31DB" w:rsidRPr="00356367" w:rsidRDefault="009E31DB" w:rsidP="009E31DB">
            <w:pPr>
              <w:spacing w:before="240" w:line="240" w:lineRule="exact"/>
            </w:pPr>
            <w:r w:rsidRPr="00356367">
              <w:t xml:space="preserve">Distr.: </w:t>
            </w:r>
            <w:r w:rsidR="004F6EC3" w:rsidRPr="00356367">
              <w:t>General</w:t>
            </w:r>
          </w:p>
          <w:p w:rsidR="009E31DB" w:rsidRPr="00356367" w:rsidRDefault="000C5A9C" w:rsidP="00F50CDA">
            <w:pPr>
              <w:spacing w:line="240" w:lineRule="exact"/>
            </w:pPr>
            <w:r>
              <w:t>4</w:t>
            </w:r>
            <w:r w:rsidR="007A07A1" w:rsidRPr="00356367">
              <w:t xml:space="preserve"> December</w:t>
            </w:r>
            <w:r w:rsidR="009E31DB" w:rsidRPr="00356367">
              <w:t xml:space="preserve"> 201</w:t>
            </w:r>
            <w:r w:rsidR="00F50CDA" w:rsidRPr="00356367">
              <w:t>2</w:t>
            </w:r>
          </w:p>
          <w:p w:rsidR="009E31DB" w:rsidRPr="00356367" w:rsidRDefault="009E31DB" w:rsidP="009E31DB">
            <w:pPr>
              <w:spacing w:line="240" w:lineRule="exact"/>
            </w:pPr>
          </w:p>
          <w:p w:rsidR="007369EB" w:rsidRPr="00356367" w:rsidRDefault="009E31DB" w:rsidP="009E31DB">
            <w:pPr>
              <w:spacing w:line="240" w:lineRule="exact"/>
            </w:pPr>
            <w:r w:rsidRPr="00356367">
              <w:t>Original: English</w:t>
            </w:r>
          </w:p>
        </w:tc>
      </w:tr>
    </w:tbl>
    <w:p w:rsidR="009E31DB" w:rsidRPr="00356367" w:rsidRDefault="009E31DB" w:rsidP="008649F9">
      <w:pPr>
        <w:spacing w:before="120"/>
        <w:rPr>
          <w:b/>
          <w:sz w:val="24"/>
          <w:szCs w:val="24"/>
          <w:lang w:val="en-US"/>
        </w:rPr>
      </w:pPr>
      <w:r w:rsidRPr="00356367">
        <w:rPr>
          <w:b/>
          <w:sz w:val="24"/>
          <w:szCs w:val="24"/>
          <w:lang w:val="en-US"/>
        </w:rPr>
        <w:t>Human Rights Committee</w:t>
      </w:r>
    </w:p>
    <w:p w:rsidR="00106513" w:rsidRPr="00356367" w:rsidRDefault="009E31DB" w:rsidP="008649F9">
      <w:pPr>
        <w:pStyle w:val="HChG"/>
      </w:pPr>
      <w:r w:rsidRPr="00356367">
        <w:tab/>
      </w:r>
      <w:r w:rsidRPr="00356367">
        <w:tab/>
      </w:r>
      <w:r w:rsidR="00106513" w:rsidRPr="00356367">
        <w:t xml:space="preserve">Communication No. </w:t>
      </w:r>
      <w:r w:rsidR="00C20EEE" w:rsidRPr="00356367">
        <w:t>1830/2008</w:t>
      </w:r>
    </w:p>
    <w:p w:rsidR="009E31DB" w:rsidRPr="00356367" w:rsidRDefault="00106513" w:rsidP="00106513">
      <w:pPr>
        <w:pStyle w:val="H1G"/>
        <w:spacing w:after="600"/>
      </w:pPr>
      <w:r w:rsidRPr="00356367">
        <w:tab/>
      </w:r>
      <w:r w:rsidRPr="00356367">
        <w:tab/>
      </w:r>
      <w:r w:rsidR="004F6EC3" w:rsidRPr="00356367">
        <w:rPr>
          <w:rFonts w:eastAsia="MS Mincho"/>
        </w:rPr>
        <w:t xml:space="preserve">Views adopted by the Committee at its 106th session </w:t>
      </w:r>
      <w:r w:rsidR="00475AA4" w:rsidRPr="00356367">
        <w:rPr>
          <w:rFonts w:eastAsia="MS Mincho"/>
        </w:rPr>
        <w:t>(</w:t>
      </w:r>
      <w:r w:rsidR="004F6EC3" w:rsidRPr="00356367">
        <w:rPr>
          <w:rFonts w:eastAsia="MS Mincho"/>
        </w:rPr>
        <w:t>15 October</w:t>
      </w:r>
      <w:r w:rsidR="00475AA4" w:rsidRPr="00356367">
        <w:rPr>
          <w:rFonts w:eastAsia="MS Mincho"/>
        </w:rPr>
        <w:t>-</w:t>
      </w:r>
      <w:r w:rsidR="00CF7A19">
        <w:rPr>
          <w:rFonts w:eastAsia="MS Mincho"/>
        </w:rPr>
        <w:t xml:space="preserve">           </w:t>
      </w:r>
      <w:r w:rsidR="004F6EC3" w:rsidRPr="00356367">
        <w:rPr>
          <w:rFonts w:eastAsia="MS Mincho"/>
        </w:rPr>
        <w:t>2 November 2012</w:t>
      </w:r>
      <w:r w:rsidR="00720237" w:rsidRPr="00356367">
        <w:rPr>
          <w:rFonts w:eastAsia="MS Mincho"/>
        </w:rPr>
        <w:t>)</w:t>
      </w:r>
    </w:p>
    <w:p w:rsidR="009E31DB" w:rsidRPr="00356367" w:rsidRDefault="009E31DB" w:rsidP="008649F9">
      <w:pPr>
        <w:pStyle w:val="SingleTxtG"/>
        <w:ind w:left="4536" w:hanging="3402"/>
      </w:pPr>
      <w:r w:rsidRPr="00356367">
        <w:rPr>
          <w:i/>
        </w:rPr>
        <w:t>Submitted by:</w:t>
      </w:r>
      <w:r w:rsidRPr="00356367">
        <w:tab/>
      </w:r>
      <w:r w:rsidR="00C20EEE" w:rsidRPr="00356367">
        <w:t>Antonina Pivonos</w:t>
      </w:r>
      <w:r w:rsidRPr="00356367">
        <w:t xml:space="preserve"> (not represented by counsel)</w:t>
      </w:r>
    </w:p>
    <w:p w:rsidR="009E31DB" w:rsidRPr="00356367" w:rsidRDefault="009E31DB" w:rsidP="008649F9">
      <w:pPr>
        <w:pStyle w:val="SingleTxtG"/>
        <w:ind w:left="4536" w:hanging="3402"/>
      </w:pPr>
      <w:r w:rsidRPr="00356367">
        <w:rPr>
          <w:i/>
        </w:rPr>
        <w:t>Alleged victim:</w:t>
      </w:r>
      <w:r w:rsidRPr="00356367">
        <w:tab/>
        <w:t>The author</w:t>
      </w:r>
    </w:p>
    <w:p w:rsidR="009E31DB" w:rsidRPr="00356367" w:rsidRDefault="009E31DB" w:rsidP="008649F9">
      <w:pPr>
        <w:pStyle w:val="SingleTxtG"/>
        <w:ind w:left="4536" w:hanging="3402"/>
      </w:pPr>
      <w:r w:rsidRPr="00356367">
        <w:rPr>
          <w:i/>
        </w:rPr>
        <w:t>State party:</w:t>
      </w:r>
      <w:r w:rsidRPr="00356367">
        <w:tab/>
      </w:r>
      <w:smartTag w:uri="urn:schemas-microsoft-com:office:smarttags" w:element="place">
        <w:smartTag w:uri="urn:schemas-microsoft-com:office:smarttags" w:element="country-region">
          <w:smartTag w:uri="urn:schemas-microsoft-com:office:smarttags" w:element="Street">
            <w:r w:rsidRPr="00356367">
              <w:t>Belarus</w:t>
            </w:r>
          </w:smartTag>
        </w:smartTag>
      </w:smartTag>
    </w:p>
    <w:p w:rsidR="00F01361" w:rsidRPr="00356367" w:rsidRDefault="009E31DB" w:rsidP="008649F9">
      <w:pPr>
        <w:pStyle w:val="SingleTxtG"/>
        <w:ind w:left="4536" w:hanging="3402"/>
      </w:pPr>
      <w:r w:rsidRPr="00356367">
        <w:rPr>
          <w:i/>
        </w:rPr>
        <w:t>Date of communication:</w:t>
      </w:r>
      <w:r w:rsidRPr="00356367">
        <w:tab/>
      </w:r>
      <w:r w:rsidR="00C20EEE" w:rsidRPr="00356367">
        <w:t>2</w:t>
      </w:r>
      <w:r w:rsidRPr="00356367">
        <w:t>5 August 200</w:t>
      </w:r>
      <w:r w:rsidR="00C20EEE" w:rsidRPr="00356367">
        <w:t>8</w:t>
      </w:r>
      <w:r w:rsidRPr="00356367">
        <w:t xml:space="preserve"> (initial submission)</w:t>
      </w:r>
    </w:p>
    <w:p w:rsidR="009E31DB" w:rsidRPr="00356367" w:rsidRDefault="009E31DB" w:rsidP="008649F9">
      <w:pPr>
        <w:pStyle w:val="SingleTxtG"/>
        <w:ind w:left="4536" w:hanging="3402"/>
      </w:pPr>
      <w:r w:rsidRPr="00356367">
        <w:rPr>
          <w:i/>
        </w:rPr>
        <w:t>Document references:</w:t>
      </w:r>
      <w:r w:rsidRPr="00356367">
        <w:tab/>
        <w:t xml:space="preserve">Special Rapporteur’s rule 97 decision, transmitted to the State party on </w:t>
      </w:r>
      <w:r w:rsidR="00C20EEE" w:rsidRPr="00356367">
        <w:t>5 December 2008</w:t>
      </w:r>
      <w:r w:rsidRPr="00356367">
        <w:t xml:space="preserve"> (not issued in document form)</w:t>
      </w:r>
    </w:p>
    <w:p w:rsidR="009E31DB" w:rsidRPr="00356367" w:rsidRDefault="009E31DB" w:rsidP="005B6A9F">
      <w:pPr>
        <w:pStyle w:val="SingleTxtG"/>
        <w:ind w:left="4536" w:hanging="3402"/>
      </w:pPr>
      <w:r w:rsidRPr="00356367">
        <w:rPr>
          <w:i/>
        </w:rPr>
        <w:t>Date of adoption of Views:</w:t>
      </w:r>
      <w:r w:rsidRPr="00356367">
        <w:tab/>
      </w:r>
      <w:r w:rsidR="004F6EC3" w:rsidRPr="00356367">
        <w:t xml:space="preserve">29 </w:t>
      </w:r>
      <w:r w:rsidR="00C20EEE" w:rsidRPr="00356367">
        <w:t>October</w:t>
      </w:r>
      <w:r w:rsidR="005B6A9F" w:rsidRPr="00356367">
        <w:t xml:space="preserve"> </w:t>
      </w:r>
      <w:r w:rsidRPr="00356367">
        <w:t>201</w:t>
      </w:r>
      <w:r w:rsidR="005B6A9F" w:rsidRPr="00356367">
        <w:t>2</w:t>
      </w:r>
    </w:p>
    <w:p w:rsidR="009E31DB" w:rsidRPr="00356367" w:rsidRDefault="009E31DB" w:rsidP="00C05124">
      <w:pPr>
        <w:pStyle w:val="SingleTxtG"/>
      </w:pPr>
      <w:r w:rsidRPr="00356367">
        <w:rPr>
          <w:i/>
          <w:iCs/>
        </w:rPr>
        <w:t>Subject matter:</w:t>
      </w:r>
      <w:r w:rsidRPr="00356367">
        <w:tab/>
      </w:r>
      <w:r w:rsidR="00475AA4" w:rsidRPr="00356367">
        <w:tab/>
      </w:r>
      <w:r w:rsidR="00475AA4" w:rsidRPr="00356367">
        <w:tab/>
      </w:r>
      <w:r w:rsidR="00475AA4" w:rsidRPr="00356367">
        <w:tab/>
      </w:r>
      <w:r w:rsidR="00C20EEE" w:rsidRPr="00356367">
        <w:t>Imposition of a fine for non-compliance with the legal requirements on the organization of a pi</w:t>
      </w:r>
      <w:r w:rsidR="0017673F" w:rsidRPr="00356367">
        <w:t>ck</w:t>
      </w:r>
      <w:r w:rsidR="00C20EEE" w:rsidRPr="00356367">
        <w:t>et</w:t>
      </w:r>
      <w:r w:rsidRPr="00356367">
        <w:t xml:space="preserve">. </w:t>
      </w:r>
    </w:p>
    <w:p w:rsidR="009E31DB" w:rsidRPr="00356367" w:rsidRDefault="00F01361" w:rsidP="00A45519">
      <w:pPr>
        <w:pStyle w:val="SingleTxtG"/>
        <w:ind w:left="4536" w:hanging="3402"/>
      </w:pPr>
      <w:r w:rsidRPr="00356367">
        <w:rPr>
          <w:i/>
          <w:iCs/>
        </w:rPr>
        <w:t>Substantive issues:</w:t>
      </w:r>
      <w:r w:rsidR="009E31DB" w:rsidRPr="00356367">
        <w:rPr>
          <w:i/>
          <w:iCs/>
        </w:rPr>
        <w:tab/>
      </w:r>
      <w:r w:rsidR="000B03C7" w:rsidRPr="00356367">
        <w:t>F</w:t>
      </w:r>
      <w:r w:rsidR="00C20EEE" w:rsidRPr="00356367">
        <w:t>reedom of expression.</w:t>
      </w:r>
    </w:p>
    <w:p w:rsidR="009E31DB" w:rsidRPr="00356367" w:rsidRDefault="00F01361" w:rsidP="008649F9">
      <w:pPr>
        <w:pStyle w:val="SingleTxtG"/>
        <w:ind w:left="4536" w:hanging="3402"/>
      </w:pPr>
      <w:r w:rsidRPr="00356367">
        <w:rPr>
          <w:i/>
          <w:iCs/>
        </w:rPr>
        <w:t>Procedural issue:</w:t>
      </w:r>
      <w:r w:rsidR="009E31DB" w:rsidRPr="00356367">
        <w:rPr>
          <w:i/>
          <w:iCs/>
        </w:rPr>
        <w:tab/>
      </w:r>
      <w:r w:rsidR="00C20EEE" w:rsidRPr="00356367">
        <w:rPr>
          <w:iCs/>
        </w:rPr>
        <w:t>E</w:t>
      </w:r>
      <w:r w:rsidR="00A45519" w:rsidRPr="00356367">
        <w:t>xhaustion of domestic remedies</w:t>
      </w:r>
      <w:r w:rsidR="009E31DB" w:rsidRPr="00356367">
        <w:t>.</w:t>
      </w:r>
    </w:p>
    <w:p w:rsidR="009E31DB" w:rsidRPr="00356367" w:rsidRDefault="009E31DB" w:rsidP="008649F9">
      <w:pPr>
        <w:pStyle w:val="SingleTxtG"/>
        <w:ind w:left="4536" w:hanging="3402"/>
      </w:pPr>
      <w:r w:rsidRPr="00356367">
        <w:rPr>
          <w:i/>
          <w:iCs/>
        </w:rPr>
        <w:t>Articles of the Covenant:</w:t>
      </w:r>
      <w:r w:rsidRPr="00356367">
        <w:tab/>
      </w:r>
      <w:r w:rsidR="00A45519" w:rsidRPr="00356367">
        <w:t xml:space="preserve">19, paragraph </w:t>
      </w:r>
      <w:r w:rsidR="00143DA6" w:rsidRPr="00356367">
        <w:t>2</w:t>
      </w:r>
      <w:r w:rsidR="000B03C7" w:rsidRPr="00356367">
        <w:t>,</w:t>
      </w:r>
      <w:r w:rsidR="00865F80" w:rsidRPr="00356367">
        <w:t xml:space="preserve"> and 21</w:t>
      </w:r>
    </w:p>
    <w:p w:rsidR="009E31DB" w:rsidRPr="00356367" w:rsidRDefault="009E31DB" w:rsidP="008649F9">
      <w:pPr>
        <w:pStyle w:val="SingleTxtG"/>
        <w:ind w:left="4536" w:hanging="3402"/>
      </w:pPr>
      <w:r w:rsidRPr="00356367">
        <w:rPr>
          <w:i/>
          <w:iCs/>
        </w:rPr>
        <w:t>Article of the Optional Protocol:</w:t>
      </w:r>
      <w:r w:rsidRPr="00356367">
        <w:rPr>
          <w:i/>
          <w:iCs/>
        </w:rPr>
        <w:tab/>
      </w:r>
      <w:r w:rsidR="00A45519" w:rsidRPr="00356367">
        <w:t xml:space="preserve">5, </w:t>
      </w:r>
      <w:r w:rsidR="00277882" w:rsidRPr="00356367">
        <w:t>paragraph 2</w:t>
      </w:r>
      <w:r w:rsidR="000B03C7" w:rsidRPr="00356367">
        <w:t xml:space="preserve"> </w:t>
      </w:r>
      <w:r w:rsidR="00277882" w:rsidRPr="00356367">
        <w:t>(b)</w:t>
      </w:r>
      <w:r w:rsidR="00C20EEE" w:rsidRPr="00356367">
        <w:t>.</w:t>
      </w:r>
    </w:p>
    <w:p w:rsidR="009E31DB" w:rsidRPr="00356367" w:rsidRDefault="009E31DB" w:rsidP="008649F9">
      <w:pPr>
        <w:pStyle w:val="HChG"/>
      </w:pPr>
      <w:r w:rsidRPr="00356367">
        <w:br w:type="page"/>
      </w:r>
      <w:r w:rsidRPr="00356367">
        <w:lastRenderedPageBreak/>
        <w:t>Annex</w:t>
      </w:r>
    </w:p>
    <w:p w:rsidR="009E31DB" w:rsidRPr="00356367" w:rsidRDefault="009E31DB" w:rsidP="00DE5B51">
      <w:pPr>
        <w:pStyle w:val="HChG"/>
        <w:rPr>
          <w:bCs/>
        </w:rPr>
      </w:pPr>
      <w:r w:rsidRPr="00356367">
        <w:tab/>
      </w:r>
      <w:r w:rsidRPr="00356367">
        <w:tab/>
        <w:t>Views of the Human Rights Committee under article 5, paragraph 4, of the Optional Protocol to the International Covenant on Civil and Political rights (</w:t>
      </w:r>
      <w:r w:rsidR="007A07A1" w:rsidRPr="00356367">
        <w:t>106th</w:t>
      </w:r>
      <w:r w:rsidR="00F01361" w:rsidRPr="00356367">
        <w:t xml:space="preserve"> session</w:t>
      </w:r>
      <w:r w:rsidRPr="00356367">
        <w:rPr>
          <w:bCs/>
        </w:rPr>
        <w:t>)</w:t>
      </w:r>
    </w:p>
    <w:p w:rsidR="009E31DB" w:rsidRPr="00356367" w:rsidRDefault="009E31DB" w:rsidP="008649F9">
      <w:pPr>
        <w:pStyle w:val="SingleTxtG"/>
        <w:rPr>
          <w:b/>
          <w:bCs/>
        </w:rPr>
      </w:pPr>
      <w:r w:rsidRPr="00356367">
        <w:t>concerning</w:t>
      </w:r>
    </w:p>
    <w:p w:rsidR="009E31DB" w:rsidRPr="00356367" w:rsidRDefault="009E31DB" w:rsidP="008649F9">
      <w:pPr>
        <w:pStyle w:val="H1G"/>
      </w:pPr>
      <w:r w:rsidRPr="00356367">
        <w:tab/>
      </w:r>
      <w:r w:rsidR="00720237" w:rsidRPr="00356367">
        <w:tab/>
      </w:r>
      <w:r w:rsidRPr="00356367">
        <w:t xml:space="preserve">Communication No. </w:t>
      </w:r>
      <w:r w:rsidR="00DD3F15" w:rsidRPr="00356367">
        <w:t>1830/2008</w:t>
      </w:r>
      <w:r w:rsidR="00927B99" w:rsidRPr="00356367">
        <w:rPr>
          <w:rStyle w:val="FootnoteReference"/>
        </w:rPr>
        <w:footnoteReference w:customMarkFollows="1" w:id="2"/>
        <w:t>*</w:t>
      </w:r>
    </w:p>
    <w:p w:rsidR="009E31DB" w:rsidRPr="00356367" w:rsidRDefault="009E31DB" w:rsidP="008649F9">
      <w:pPr>
        <w:pStyle w:val="SingleTxtG"/>
        <w:ind w:left="4536" w:hanging="3402"/>
      </w:pPr>
      <w:r w:rsidRPr="00356367">
        <w:rPr>
          <w:i/>
        </w:rPr>
        <w:t>Submitted by:</w:t>
      </w:r>
      <w:r w:rsidRPr="00356367">
        <w:tab/>
      </w:r>
      <w:r w:rsidR="00DD3F15" w:rsidRPr="00356367">
        <w:t>Antonina Pivonos</w:t>
      </w:r>
      <w:r w:rsidRPr="00356367">
        <w:t xml:space="preserve"> (not represented by counsel)</w:t>
      </w:r>
    </w:p>
    <w:p w:rsidR="009E31DB" w:rsidRPr="00356367" w:rsidRDefault="009E31DB" w:rsidP="008649F9">
      <w:pPr>
        <w:pStyle w:val="SingleTxtG"/>
        <w:ind w:left="4536" w:hanging="3402"/>
      </w:pPr>
      <w:r w:rsidRPr="00356367">
        <w:rPr>
          <w:i/>
        </w:rPr>
        <w:t>Alleged victim:</w:t>
      </w:r>
      <w:r w:rsidRPr="00356367">
        <w:tab/>
        <w:t>The author</w:t>
      </w:r>
    </w:p>
    <w:p w:rsidR="009E31DB" w:rsidRPr="00356367" w:rsidRDefault="009E31DB" w:rsidP="008649F9">
      <w:pPr>
        <w:pStyle w:val="SingleTxtG"/>
        <w:ind w:left="4536" w:hanging="3402"/>
      </w:pPr>
      <w:r w:rsidRPr="00356367">
        <w:rPr>
          <w:i/>
        </w:rPr>
        <w:t>State party:</w:t>
      </w:r>
      <w:r w:rsidRPr="00356367">
        <w:tab/>
      </w:r>
      <w:smartTag w:uri="urn:schemas-microsoft-com:office:smarttags" w:element="place">
        <w:smartTag w:uri="urn:schemas-microsoft-com:office:smarttags" w:element="country-region">
          <w:smartTag w:uri="urn:schemas-microsoft-com:office:smarttags" w:element="Street">
            <w:r w:rsidRPr="00356367">
              <w:t>Belarus</w:t>
            </w:r>
          </w:smartTag>
        </w:smartTag>
      </w:smartTag>
    </w:p>
    <w:p w:rsidR="009E31DB" w:rsidRPr="00356367" w:rsidRDefault="009E31DB" w:rsidP="008649F9">
      <w:pPr>
        <w:pStyle w:val="SingleTxtG"/>
        <w:ind w:left="4536" w:hanging="3402"/>
      </w:pPr>
      <w:r w:rsidRPr="00356367">
        <w:rPr>
          <w:i/>
        </w:rPr>
        <w:t>Date of communication:</w:t>
      </w:r>
      <w:r w:rsidRPr="00356367">
        <w:tab/>
      </w:r>
      <w:r w:rsidR="00DD3F15" w:rsidRPr="00356367">
        <w:t>2</w:t>
      </w:r>
      <w:r w:rsidRPr="00356367">
        <w:t>5 August 200</w:t>
      </w:r>
      <w:r w:rsidR="00DD3F15" w:rsidRPr="00356367">
        <w:t>8</w:t>
      </w:r>
      <w:r w:rsidRPr="00356367">
        <w:t xml:space="preserve"> (initial submission)</w:t>
      </w:r>
    </w:p>
    <w:p w:rsidR="009E31DB" w:rsidRPr="00356367" w:rsidRDefault="009E31DB" w:rsidP="008649F9">
      <w:pPr>
        <w:pStyle w:val="SingleTxtG"/>
      </w:pPr>
      <w:r w:rsidRPr="00356367">
        <w:tab/>
      </w:r>
      <w:r w:rsidRPr="00356367">
        <w:rPr>
          <w:i/>
        </w:rPr>
        <w:t>The Human Rights Committee</w:t>
      </w:r>
      <w:r w:rsidRPr="00356367">
        <w:t xml:space="preserve">, established under article 28 of the International Covenant on Civil and Political Rights, </w:t>
      </w:r>
    </w:p>
    <w:p w:rsidR="009E31DB" w:rsidRPr="00356367" w:rsidRDefault="009E31DB" w:rsidP="00DE5B51">
      <w:pPr>
        <w:pStyle w:val="SingleTxtG"/>
      </w:pPr>
      <w:r w:rsidRPr="00356367">
        <w:tab/>
      </w:r>
      <w:r w:rsidRPr="00356367">
        <w:rPr>
          <w:i/>
        </w:rPr>
        <w:t>Meeting on</w:t>
      </w:r>
      <w:r w:rsidRPr="00356367">
        <w:t xml:space="preserve"> </w:t>
      </w:r>
      <w:r w:rsidR="004F6EC3" w:rsidRPr="00356367">
        <w:t xml:space="preserve">29 </w:t>
      </w:r>
      <w:r w:rsidR="00DD3F15" w:rsidRPr="00356367">
        <w:t>October</w:t>
      </w:r>
      <w:r w:rsidR="00DE5B51" w:rsidRPr="00356367">
        <w:t xml:space="preserve"> </w:t>
      </w:r>
      <w:r w:rsidRPr="00356367">
        <w:t>201</w:t>
      </w:r>
      <w:r w:rsidR="00DE5B51" w:rsidRPr="00356367">
        <w:t>2</w:t>
      </w:r>
      <w:r w:rsidRPr="00356367">
        <w:t>,</w:t>
      </w:r>
    </w:p>
    <w:p w:rsidR="009E31DB" w:rsidRPr="00356367" w:rsidRDefault="009E31DB" w:rsidP="008649F9">
      <w:pPr>
        <w:pStyle w:val="SingleTxtG"/>
      </w:pPr>
      <w:r w:rsidRPr="00356367">
        <w:tab/>
      </w:r>
      <w:r w:rsidRPr="00356367">
        <w:rPr>
          <w:i/>
        </w:rPr>
        <w:t>Having concluded</w:t>
      </w:r>
      <w:r w:rsidRPr="00356367">
        <w:t xml:space="preserve"> its consideration of communication No. </w:t>
      </w:r>
      <w:r w:rsidR="00DD3F15" w:rsidRPr="00356367">
        <w:t>1830/2008</w:t>
      </w:r>
      <w:r w:rsidRPr="00356367">
        <w:t>, submitted to the Human Rights Committee by Mr</w:t>
      </w:r>
      <w:r w:rsidR="00DD3F15" w:rsidRPr="00356367">
        <w:t>s</w:t>
      </w:r>
      <w:r w:rsidRPr="00356367">
        <w:t xml:space="preserve">. </w:t>
      </w:r>
      <w:r w:rsidR="00DD3F15" w:rsidRPr="00356367">
        <w:t>Antonina Pivonos</w:t>
      </w:r>
      <w:r w:rsidRPr="00356367">
        <w:t xml:space="preserve"> under the Optional Protocol to the International Covenant on Civil and Political Rights,</w:t>
      </w:r>
    </w:p>
    <w:p w:rsidR="009E31DB" w:rsidRPr="00356367" w:rsidRDefault="009E31DB" w:rsidP="008649F9">
      <w:pPr>
        <w:pStyle w:val="SingleTxtG"/>
      </w:pPr>
      <w:r w:rsidRPr="00356367">
        <w:tab/>
      </w:r>
      <w:r w:rsidRPr="00356367">
        <w:rPr>
          <w:i/>
        </w:rPr>
        <w:t>Having taken into account</w:t>
      </w:r>
      <w:r w:rsidRPr="00356367">
        <w:t xml:space="preserve"> all written information made available to it by the author of the communication and the State party,</w:t>
      </w:r>
    </w:p>
    <w:p w:rsidR="009E31DB" w:rsidRPr="00356367" w:rsidRDefault="009E31DB" w:rsidP="008649F9">
      <w:pPr>
        <w:pStyle w:val="SingleTxtG"/>
      </w:pPr>
      <w:r w:rsidRPr="00356367">
        <w:tab/>
      </w:r>
      <w:r w:rsidRPr="00356367">
        <w:rPr>
          <w:i/>
        </w:rPr>
        <w:t xml:space="preserve">Adopts </w:t>
      </w:r>
      <w:r w:rsidRPr="00356367">
        <w:t>the following:</w:t>
      </w:r>
    </w:p>
    <w:p w:rsidR="009E31DB" w:rsidRPr="00356367" w:rsidRDefault="009E31DB" w:rsidP="008649F9">
      <w:pPr>
        <w:pStyle w:val="H1G"/>
      </w:pPr>
      <w:r w:rsidRPr="00356367">
        <w:tab/>
      </w:r>
      <w:r w:rsidRPr="00356367">
        <w:tab/>
        <w:t>Views under article 5, paragraph 4, of the Optional Protocol</w:t>
      </w:r>
    </w:p>
    <w:p w:rsidR="009E31DB" w:rsidRPr="00356367" w:rsidRDefault="009E31DB" w:rsidP="008649F9">
      <w:pPr>
        <w:pStyle w:val="SingleTxtG"/>
      </w:pPr>
      <w:r w:rsidRPr="00356367">
        <w:t>1.</w:t>
      </w:r>
      <w:r w:rsidRPr="00356367">
        <w:tab/>
        <w:t xml:space="preserve">The author is </w:t>
      </w:r>
      <w:r w:rsidR="00DE3D53" w:rsidRPr="00356367">
        <w:t xml:space="preserve">Mrs. </w:t>
      </w:r>
      <w:r w:rsidR="00632AF2" w:rsidRPr="00356367">
        <w:t>Antonina Pivonos</w:t>
      </w:r>
      <w:r w:rsidRPr="00356367">
        <w:t>, a Belarusian national born in 19</w:t>
      </w:r>
      <w:r w:rsidR="00632AF2" w:rsidRPr="00356367">
        <w:t>46. Sh</w:t>
      </w:r>
      <w:r w:rsidRPr="00356367">
        <w:t xml:space="preserve">e claims to be a victim of violations by </w:t>
      </w:r>
      <w:smartTag w:uri="urn:schemas-microsoft-com:office:smarttags" w:element="place">
        <w:smartTag w:uri="urn:schemas-microsoft-com:office:smarttags" w:element="country-region">
          <w:r w:rsidRPr="00356367">
            <w:t>Belarus</w:t>
          </w:r>
        </w:smartTag>
      </w:smartTag>
      <w:r w:rsidRPr="00356367">
        <w:t xml:space="preserve"> of </w:t>
      </w:r>
      <w:r w:rsidR="00DE3D53" w:rsidRPr="00356367">
        <w:t xml:space="preserve">her rights under </w:t>
      </w:r>
      <w:r w:rsidRPr="00356367">
        <w:t>article</w:t>
      </w:r>
      <w:r w:rsidR="00DE3D53" w:rsidRPr="00356367">
        <w:t>s</w:t>
      </w:r>
      <w:r w:rsidRPr="00356367">
        <w:t xml:space="preserve"> </w:t>
      </w:r>
      <w:r w:rsidR="00632AF2" w:rsidRPr="00356367">
        <w:t>19, paragraph 2</w:t>
      </w:r>
      <w:r w:rsidR="00E263FF" w:rsidRPr="00356367">
        <w:t>,</w:t>
      </w:r>
      <w:r w:rsidR="00632AF2" w:rsidRPr="00356367">
        <w:t xml:space="preserve"> and 21</w:t>
      </w:r>
      <w:r w:rsidR="000060E7" w:rsidRPr="00356367">
        <w:t>,</w:t>
      </w:r>
      <w:r w:rsidRPr="00356367">
        <w:t xml:space="preserve"> of the International Covenant on Civil and Political Rights. The Optional Protocol entered into force for the State party on 30 December 1992. The author is not represented. </w:t>
      </w:r>
    </w:p>
    <w:p w:rsidR="009E31DB" w:rsidRPr="00356367" w:rsidRDefault="009E31DB" w:rsidP="008649F9">
      <w:pPr>
        <w:pStyle w:val="H23G"/>
      </w:pPr>
      <w:r w:rsidRPr="00356367">
        <w:tab/>
      </w:r>
      <w:r w:rsidRPr="00356367">
        <w:tab/>
        <w:t>The facts as presented by the author</w:t>
      </w:r>
    </w:p>
    <w:p w:rsidR="00632AF2" w:rsidRPr="00356367" w:rsidRDefault="009E31DB" w:rsidP="008649F9">
      <w:pPr>
        <w:pStyle w:val="SingleTxtG"/>
      </w:pPr>
      <w:r w:rsidRPr="00356367">
        <w:t>2.1</w:t>
      </w:r>
      <w:r w:rsidRPr="00356367">
        <w:tab/>
      </w:r>
      <w:r w:rsidR="00632AF2" w:rsidRPr="00356367">
        <w:t>On 25 March 2008, at around 10</w:t>
      </w:r>
      <w:r w:rsidR="00CC30C9" w:rsidRPr="00356367">
        <w:t>.</w:t>
      </w:r>
      <w:r w:rsidR="00632AF2" w:rsidRPr="00356367">
        <w:t>00 a</w:t>
      </w:r>
      <w:r w:rsidR="00CC30C9" w:rsidRPr="00356367">
        <w:t>.</w:t>
      </w:r>
      <w:r w:rsidR="00632AF2" w:rsidRPr="00356367">
        <w:t>m</w:t>
      </w:r>
      <w:r w:rsidR="00CC30C9" w:rsidRPr="00356367">
        <w:t>.</w:t>
      </w:r>
      <w:r w:rsidR="00632AF2" w:rsidRPr="00356367">
        <w:t>, the author</w:t>
      </w:r>
      <w:r w:rsidR="00DE3D53" w:rsidRPr="00356367">
        <w:t>,</w:t>
      </w:r>
      <w:r w:rsidR="00632AF2" w:rsidRPr="00356367">
        <w:t xml:space="preserve"> together with Mrs. </w:t>
      </w:r>
      <w:r w:rsidR="000060E7" w:rsidRPr="00356367">
        <w:t xml:space="preserve">E. </w:t>
      </w:r>
      <w:r w:rsidR="00632AF2" w:rsidRPr="00356367">
        <w:t>Zale</w:t>
      </w:r>
      <w:r w:rsidR="00555E48" w:rsidRPr="00356367">
        <w:t>s</w:t>
      </w:r>
      <w:r w:rsidR="00632AF2" w:rsidRPr="00356367">
        <w:t>sk</w:t>
      </w:r>
      <w:r w:rsidR="000060E7" w:rsidRPr="00356367">
        <w:t>a</w:t>
      </w:r>
      <w:r w:rsidR="00632AF2" w:rsidRPr="00356367">
        <w:t>y</w:t>
      </w:r>
      <w:r w:rsidR="000060E7" w:rsidRPr="00356367">
        <w:t>a</w:t>
      </w:r>
      <w:r w:rsidR="00632AF2" w:rsidRPr="00356367">
        <w:t xml:space="preserve"> </w:t>
      </w:r>
      <w:r w:rsidR="00DE3D53" w:rsidRPr="00356367">
        <w:t xml:space="preserve">and Mr. </w:t>
      </w:r>
      <w:r w:rsidR="00AD6ABF" w:rsidRPr="00356367">
        <w:t xml:space="preserve">B. </w:t>
      </w:r>
      <w:r w:rsidR="00DE3D53" w:rsidRPr="00356367">
        <w:t>K</w:t>
      </w:r>
      <w:r w:rsidR="00AD6ABF" w:rsidRPr="00356367">
        <w:t>hamaida</w:t>
      </w:r>
      <w:r w:rsidR="00DE3D53" w:rsidRPr="00356367">
        <w:t xml:space="preserve">, </w:t>
      </w:r>
      <w:r w:rsidR="00632AF2" w:rsidRPr="00356367">
        <w:t xml:space="preserve">was </w:t>
      </w:r>
      <w:r w:rsidR="000060E7" w:rsidRPr="00356367">
        <w:t xml:space="preserve">standing </w:t>
      </w:r>
      <w:r w:rsidR="00632AF2" w:rsidRPr="00356367">
        <w:t xml:space="preserve">next to </w:t>
      </w:r>
      <w:r w:rsidR="00DE3D53" w:rsidRPr="00356367">
        <w:t>a</w:t>
      </w:r>
      <w:r w:rsidR="00632AF2" w:rsidRPr="00356367">
        <w:t xml:space="preserve"> building </w:t>
      </w:r>
      <w:r w:rsidR="00DE3D53" w:rsidRPr="00356367">
        <w:t xml:space="preserve">located </w:t>
      </w:r>
      <w:r w:rsidR="00CC30C9" w:rsidRPr="00356367">
        <w:t xml:space="preserve">on </w:t>
      </w:r>
      <w:smartTag w:uri="urn:schemas-microsoft-com:office:smarttags" w:element="Street">
        <w:smartTag w:uri="urn:schemas-microsoft-com:office:smarttags" w:element="address">
          <w:r w:rsidR="00632AF2" w:rsidRPr="00356367">
            <w:t>Lenin Street</w:t>
          </w:r>
        </w:smartTag>
      </w:smartTag>
      <w:r w:rsidR="00DE3D53" w:rsidRPr="00356367">
        <w:t xml:space="preserve"> in </w:t>
      </w:r>
      <w:r w:rsidR="000B03C7" w:rsidRPr="00356367">
        <w:t xml:space="preserve">the city of </w:t>
      </w:r>
      <w:smartTag w:uri="urn:schemas-microsoft-com:office:smarttags" w:element="City">
        <w:smartTag w:uri="urn:schemas-microsoft-com:office:smarttags" w:element="place">
          <w:r w:rsidR="000B03C7" w:rsidRPr="00356367">
            <w:t>Vitebsk</w:t>
          </w:r>
        </w:smartTag>
      </w:smartTag>
      <w:r w:rsidR="00DE3D53" w:rsidRPr="00356367">
        <w:t>.</w:t>
      </w:r>
      <w:r w:rsidR="004F6EC3" w:rsidRPr="00356367">
        <w:t xml:space="preserve"> The author </w:t>
      </w:r>
      <w:r w:rsidR="00D42559" w:rsidRPr="00356367">
        <w:t>was holding</w:t>
      </w:r>
      <w:r w:rsidR="004F6EC3" w:rsidRPr="00356367">
        <w:t xml:space="preserve"> </w:t>
      </w:r>
      <w:r w:rsidR="00A1277E" w:rsidRPr="00356367">
        <w:t>a</w:t>
      </w:r>
      <w:r w:rsidR="004F6EC3" w:rsidRPr="00356367">
        <w:t xml:space="preserve"> tapestry in her hands, </w:t>
      </w:r>
      <w:r w:rsidR="00CC30C9" w:rsidRPr="00356367">
        <w:t>while</w:t>
      </w:r>
      <w:r w:rsidR="004F6EC3" w:rsidRPr="00356367">
        <w:t xml:space="preserve"> the other two </w:t>
      </w:r>
      <w:r w:rsidR="00D42559" w:rsidRPr="00356367">
        <w:t>were wearing</w:t>
      </w:r>
      <w:r w:rsidR="004F6EC3" w:rsidRPr="00356367">
        <w:t xml:space="preserve"> white-and-red flags on top of their clothes. </w:t>
      </w:r>
      <w:r w:rsidR="00DE3D53" w:rsidRPr="00356367">
        <w:t xml:space="preserve"> She explains that</w:t>
      </w:r>
      <w:r w:rsidR="00632AF2" w:rsidRPr="00356367">
        <w:t xml:space="preserve"> she wanted to </w:t>
      </w:r>
      <w:r w:rsidR="00632AF2" w:rsidRPr="00356367">
        <w:lastRenderedPageBreak/>
        <w:t xml:space="preserve">present a prayer from the Bible </w:t>
      </w:r>
      <w:r w:rsidR="00CC30C9" w:rsidRPr="00356367">
        <w:t xml:space="preserve">that </w:t>
      </w:r>
      <w:r w:rsidR="00DE3D53" w:rsidRPr="00356367">
        <w:t xml:space="preserve">she </w:t>
      </w:r>
      <w:r w:rsidR="00CC30C9" w:rsidRPr="00356367">
        <w:t xml:space="preserve">had </w:t>
      </w:r>
      <w:r w:rsidR="00632AF2" w:rsidRPr="00356367">
        <w:t xml:space="preserve">embroidered on </w:t>
      </w:r>
      <w:r w:rsidR="00A1277E" w:rsidRPr="00356367">
        <w:t xml:space="preserve">the </w:t>
      </w:r>
      <w:r w:rsidR="00DE3D53" w:rsidRPr="00356367">
        <w:t>tapestry</w:t>
      </w:r>
      <w:r w:rsidR="00632AF2" w:rsidRPr="00356367">
        <w:t xml:space="preserve"> to </w:t>
      </w:r>
      <w:r w:rsidR="00DE3D53" w:rsidRPr="00356367">
        <w:t>Mr.</w:t>
      </w:r>
      <w:r w:rsidR="00632AF2" w:rsidRPr="00356367">
        <w:t xml:space="preserve"> </w:t>
      </w:r>
      <w:r w:rsidR="00AD6ABF" w:rsidRPr="00356367">
        <w:t xml:space="preserve">B. </w:t>
      </w:r>
      <w:r w:rsidR="00632AF2" w:rsidRPr="00356367">
        <w:t>K</w:t>
      </w:r>
      <w:r w:rsidR="00AD6ABF" w:rsidRPr="00356367">
        <w:t>hamaida</w:t>
      </w:r>
      <w:r w:rsidR="00DE3D53" w:rsidRPr="00356367">
        <w:t xml:space="preserve">, </w:t>
      </w:r>
      <w:r w:rsidR="006016AD" w:rsidRPr="00356367">
        <w:t>on the occasion of the 90th anniversary of the establishment of the Belarus People’s Republic</w:t>
      </w:r>
      <w:r w:rsidR="00632AF2" w:rsidRPr="00356367">
        <w:t>.</w:t>
      </w:r>
    </w:p>
    <w:p w:rsidR="009E31DB" w:rsidRPr="00356367" w:rsidRDefault="00632AF2" w:rsidP="008649F9">
      <w:pPr>
        <w:pStyle w:val="SingleTxtG"/>
      </w:pPr>
      <w:r w:rsidRPr="00356367">
        <w:t xml:space="preserve">2.2 </w:t>
      </w:r>
      <w:r w:rsidR="0012411D" w:rsidRPr="00356367">
        <w:tab/>
      </w:r>
      <w:r w:rsidR="00DE3D53" w:rsidRPr="00356367">
        <w:t>W</w:t>
      </w:r>
      <w:r w:rsidRPr="00356367">
        <w:t xml:space="preserve">hen the author unrolled the </w:t>
      </w:r>
      <w:r w:rsidR="00DE3D53" w:rsidRPr="00356367">
        <w:t>tapestry</w:t>
      </w:r>
      <w:r w:rsidRPr="00356367">
        <w:t xml:space="preserve"> with the embroidered prayer, a</w:t>
      </w:r>
      <w:r w:rsidR="00775204" w:rsidRPr="00356367">
        <w:t>t around 10</w:t>
      </w:r>
      <w:r w:rsidR="00CC30C9" w:rsidRPr="00356367">
        <w:t>.</w:t>
      </w:r>
      <w:r w:rsidR="00775204" w:rsidRPr="00356367">
        <w:t>4</w:t>
      </w:r>
      <w:r w:rsidRPr="00356367">
        <w:t>0 a</w:t>
      </w:r>
      <w:r w:rsidR="00CC30C9" w:rsidRPr="00356367">
        <w:t>.</w:t>
      </w:r>
      <w:r w:rsidRPr="00356367">
        <w:t>m</w:t>
      </w:r>
      <w:r w:rsidR="00CC30C9" w:rsidRPr="00356367">
        <w:t>.</w:t>
      </w:r>
      <w:r w:rsidRPr="00356367">
        <w:t>, she</w:t>
      </w:r>
      <w:r w:rsidR="009E31DB" w:rsidRPr="00356367">
        <w:t xml:space="preserve"> </w:t>
      </w:r>
      <w:r w:rsidRPr="00356367">
        <w:t xml:space="preserve">was </w:t>
      </w:r>
      <w:r w:rsidR="00DE3D53" w:rsidRPr="00356367">
        <w:t xml:space="preserve">apprehended </w:t>
      </w:r>
      <w:r w:rsidRPr="00356367">
        <w:t xml:space="preserve">by </w:t>
      </w:r>
      <w:r w:rsidR="00775204" w:rsidRPr="00356367">
        <w:t>police</w:t>
      </w:r>
      <w:r w:rsidRPr="00356367">
        <w:t xml:space="preserve"> officers of the Zhelezn</w:t>
      </w:r>
      <w:r w:rsidR="007A07A1" w:rsidRPr="00356367">
        <w:t>o</w:t>
      </w:r>
      <w:r w:rsidRPr="00356367">
        <w:t>dorozhny District Department of Internal Affairs</w:t>
      </w:r>
      <w:r w:rsidR="000B03C7" w:rsidRPr="00356367">
        <w:t xml:space="preserve"> of </w:t>
      </w:r>
      <w:smartTag w:uri="urn:schemas-microsoft-com:office:smarttags" w:element="City">
        <w:smartTag w:uri="urn:schemas-microsoft-com:office:smarttags" w:element="place">
          <w:r w:rsidR="000B03C7" w:rsidRPr="00356367">
            <w:t>Vitebsk</w:t>
          </w:r>
        </w:smartTag>
      </w:smartTag>
      <w:r w:rsidR="00DE3D53" w:rsidRPr="00356367">
        <w:t>,</w:t>
      </w:r>
      <w:r w:rsidRPr="00356367">
        <w:t xml:space="preserve"> and accused of</w:t>
      </w:r>
      <w:r w:rsidR="000B03C7" w:rsidRPr="00356367">
        <w:t xml:space="preserve"> having</w:t>
      </w:r>
      <w:r w:rsidRPr="00356367">
        <w:t xml:space="preserve"> </w:t>
      </w:r>
      <w:r w:rsidR="000B03C7" w:rsidRPr="00356367">
        <w:t xml:space="preserve">violated </w:t>
      </w:r>
      <w:r w:rsidRPr="00356367">
        <w:t>the procedure on organiz</w:t>
      </w:r>
      <w:r w:rsidR="00DE3D53" w:rsidRPr="00356367">
        <w:t>ing</w:t>
      </w:r>
      <w:r w:rsidRPr="00356367">
        <w:t xml:space="preserve"> or conduct</w:t>
      </w:r>
      <w:r w:rsidR="00DE3D53" w:rsidRPr="00356367">
        <w:t>ing</w:t>
      </w:r>
      <w:r w:rsidRPr="00356367">
        <w:t xml:space="preserve"> </w:t>
      </w:r>
      <w:r w:rsidR="006016AD" w:rsidRPr="00356367">
        <w:t>pi</w:t>
      </w:r>
      <w:r w:rsidR="0017673F" w:rsidRPr="00356367">
        <w:t>ck</w:t>
      </w:r>
      <w:r w:rsidR="006016AD" w:rsidRPr="00356367">
        <w:t>ets</w:t>
      </w:r>
      <w:r w:rsidRPr="00356367">
        <w:t>.</w:t>
      </w:r>
      <w:r w:rsidR="009E31DB" w:rsidRPr="00356367">
        <w:t xml:space="preserve"> </w:t>
      </w:r>
    </w:p>
    <w:p w:rsidR="009E31DB" w:rsidRPr="00356367" w:rsidRDefault="006016AD" w:rsidP="008649F9">
      <w:pPr>
        <w:pStyle w:val="SingleTxtG"/>
      </w:pPr>
      <w:r w:rsidRPr="00356367">
        <w:t>2.3</w:t>
      </w:r>
      <w:r w:rsidR="009E31DB" w:rsidRPr="00356367">
        <w:tab/>
      </w:r>
      <w:r w:rsidR="00DE3D53" w:rsidRPr="00356367">
        <w:t xml:space="preserve">The same day, </w:t>
      </w:r>
      <w:r w:rsidR="00775204" w:rsidRPr="00356367">
        <w:t xml:space="preserve">25 March 2008, the Zheleznodorozhny District Court of Vitebsk </w:t>
      </w:r>
      <w:r w:rsidR="00E35DC4" w:rsidRPr="00356367">
        <w:t xml:space="preserve">established that the author had violated </w:t>
      </w:r>
      <w:r w:rsidR="00DE3D53" w:rsidRPr="00356367">
        <w:t xml:space="preserve">the </w:t>
      </w:r>
      <w:r w:rsidR="00E35DC4" w:rsidRPr="00356367">
        <w:t xml:space="preserve">provisions of the Law on Mass Events </w:t>
      </w:r>
      <w:r w:rsidR="00DE3D53" w:rsidRPr="00356367">
        <w:t>c</w:t>
      </w:r>
      <w:r w:rsidRPr="00356367">
        <w:t>on</w:t>
      </w:r>
      <w:r w:rsidR="00DE3D53" w:rsidRPr="00356367">
        <w:t xml:space="preserve">cerning </w:t>
      </w:r>
      <w:r w:rsidRPr="00356367">
        <w:t>the organization of pi</w:t>
      </w:r>
      <w:r w:rsidR="0017673F" w:rsidRPr="00356367">
        <w:t>ck</w:t>
      </w:r>
      <w:r w:rsidRPr="00356367">
        <w:t>ets</w:t>
      </w:r>
      <w:r w:rsidR="00CC30C9" w:rsidRPr="00356367">
        <w:t>,</w:t>
      </w:r>
      <w:r w:rsidR="00DE3D53" w:rsidRPr="00356367">
        <w:t xml:space="preserve"> </w:t>
      </w:r>
      <w:r w:rsidR="00CC30C9" w:rsidRPr="00356367">
        <w:t xml:space="preserve">thereby </w:t>
      </w:r>
      <w:r w:rsidR="000B03C7" w:rsidRPr="00356367">
        <w:t xml:space="preserve">committing </w:t>
      </w:r>
      <w:r w:rsidR="00775204" w:rsidRPr="00356367">
        <w:t>an administrative o</w:t>
      </w:r>
      <w:r w:rsidR="00960430" w:rsidRPr="00356367">
        <w:t>ffence under article 23.34, paragraph</w:t>
      </w:r>
      <w:r w:rsidR="00775204" w:rsidRPr="00356367">
        <w:t xml:space="preserve"> 1, of the Belarus Code on Administrative Offences</w:t>
      </w:r>
      <w:r w:rsidR="00DE3D53" w:rsidRPr="00356367">
        <w:t>,</w:t>
      </w:r>
      <w:r w:rsidR="00775204" w:rsidRPr="00356367">
        <w:rPr>
          <w:rStyle w:val="FootnoteReference"/>
        </w:rPr>
        <w:footnoteReference w:id="3"/>
      </w:r>
      <w:r w:rsidR="00E35DC4" w:rsidRPr="00356367">
        <w:t xml:space="preserve"> and </w:t>
      </w:r>
      <w:r w:rsidR="00A1277E" w:rsidRPr="00356367">
        <w:t xml:space="preserve">sentenced </w:t>
      </w:r>
      <w:r w:rsidR="00BB0665" w:rsidRPr="00356367">
        <w:t xml:space="preserve">her to pay </w:t>
      </w:r>
      <w:r w:rsidR="00E35DC4" w:rsidRPr="00356367">
        <w:t>a fine of 70</w:t>
      </w:r>
      <w:r w:rsidR="00CC30C9" w:rsidRPr="00356367">
        <w:t>,</w:t>
      </w:r>
      <w:r w:rsidR="00E35DC4" w:rsidRPr="00356367">
        <w:t>000 roubles</w:t>
      </w:r>
      <w:r w:rsidR="00CC30C9" w:rsidRPr="00356367">
        <w:t>.</w:t>
      </w:r>
      <w:r w:rsidR="00FF51F4" w:rsidRPr="00356367">
        <w:rPr>
          <w:rStyle w:val="FootnoteReference"/>
        </w:rPr>
        <w:footnoteReference w:id="4"/>
      </w:r>
    </w:p>
    <w:p w:rsidR="00DE3D53" w:rsidRPr="00356367" w:rsidRDefault="006016AD" w:rsidP="008649F9">
      <w:pPr>
        <w:pStyle w:val="SingleTxtG"/>
      </w:pPr>
      <w:r w:rsidRPr="00356367">
        <w:t>2.4</w:t>
      </w:r>
      <w:r w:rsidR="00EE24F3" w:rsidRPr="00356367">
        <w:tab/>
      </w:r>
      <w:r w:rsidR="00DE3D53" w:rsidRPr="00356367">
        <w:t xml:space="preserve">The author </w:t>
      </w:r>
      <w:r w:rsidR="002A798E" w:rsidRPr="00356367">
        <w:t>submits</w:t>
      </w:r>
      <w:r w:rsidR="00DE3D53" w:rsidRPr="00356367">
        <w:t xml:space="preserve"> that</w:t>
      </w:r>
      <w:r w:rsidR="00CC30C9" w:rsidRPr="00356367">
        <w:t>,</w:t>
      </w:r>
      <w:r w:rsidR="00DE3D53" w:rsidRPr="00356367">
        <w:t xml:space="preserve"> in </w:t>
      </w:r>
      <w:r w:rsidRPr="00356367">
        <w:t xml:space="preserve">court, </w:t>
      </w:r>
      <w:r w:rsidR="00DE3D53" w:rsidRPr="00356367">
        <w:t xml:space="preserve">she explained that her meeting </w:t>
      </w:r>
      <w:r w:rsidRPr="00356367">
        <w:t xml:space="preserve">with </w:t>
      </w:r>
      <w:r w:rsidR="00DE3D53" w:rsidRPr="00356367">
        <w:t xml:space="preserve">her two acquaintances, </w:t>
      </w:r>
      <w:r w:rsidRPr="00356367">
        <w:t xml:space="preserve">Mrs. </w:t>
      </w:r>
      <w:r w:rsidR="006A71E4" w:rsidRPr="00356367">
        <w:t>Zalesskaya</w:t>
      </w:r>
      <w:r w:rsidRPr="00356367">
        <w:t xml:space="preserve"> and </w:t>
      </w:r>
      <w:r w:rsidR="00DE3D53" w:rsidRPr="00356367">
        <w:t>Mr.</w:t>
      </w:r>
      <w:r w:rsidR="00AD6ABF" w:rsidRPr="00356367">
        <w:t xml:space="preserve"> B.</w:t>
      </w:r>
      <w:r w:rsidR="00DE3D53" w:rsidRPr="00356367">
        <w:t xml:space="preserve"> </w:t>
      </w:r>
      <w:r w:rsidRPr="00356367">
        <w:t>K</w:t>
      </w:r>
      <w:r w:rsidR="00AD6ABF" w:rsidRPr="00356367">
        <w:t>hamaida</w:t>
      </w:r>
      <w:r w:rsidR="00DE3D53" w:rsidRPr="00356367">
        <w:t xml:space="preserve">, </w:t>
      </w:r>
      <w:r w:rsidRPr="00356367">
        <w:t xml:space="preserve">was of </w:t>
      </w:r>
      <w:r w:rsidR="00CC30C9" w:rsidRPr="00356367">
        <w:t xml:space="preserve">a </w:t>
      </w:r>
      <w:r w:rsidRPr="00356367">
        <w:t xml:space="preserve">peaceful nature. </w:t>
      </w:r>
      <w:r w:rsidR="00DE3D53" w:rsidRPr="00356367">
        <w:t>She also pointed out that b</w:t>
      </w:r>
      <w:r w:rsidRPr="00356367">
        <w:t>y discussin</w:t>
      </w:r>
      <w:r w:rsidR="00DE3D53" w:rsidRPr="00356367">
        <w:t>g</w:t>
      </w:r>
      <w:r w:rsidRPr="00356367">
        <w:t xml:space="preserve"> the 90th anniversary of the establishment of the Belarus People’s Republic, they </w:t>
      </w:r>
      <w:r w:rsidR="00DE3D53" w:rsidRPr="00356367">
        <w:t xml:space="preserve">did </w:t>
      </w:r>
      <w:r w:rsidRPr="00356367">
        <w:t xml:space="preserve">not obstruct </w:t>
      </w:r>
      <w:r w:rsidR="00CC30C9" w:rsidRPr="00356367">
        <w:t xml:space="preserve">the </w:t>
      </w:r>
      <w:r w:rsidRPr="00356367">
        <w:t xml:space="preserve">movement of pedestrians or </w:t>
      </w:r>
      <w:r w:rsidR="00DE3D53" w:rsidRPr="00356367">
        <w:t>automobiles</w:t>
      </w:r>
      <w:r w:rsidRPr="00356367">
        <w:t xml:space="preserve">, did not interfere </w:t>
      </w:r>
      <w:r w:rsidR="00CC30C9" w:rsidRPr="00356367">
        <w:t xml:space="preserve">with </w:t>
      </w:r>
      <w:r w:rsidRPr="00356367">
        <w:t>the activities of any institutions or organizations</w:t>
      </w:r>
      <w:r w:rsidR="00DE3D53" w:rsidRPr="00356367">
        <w:t>,</w:t>
      </w:r>
      <w:r w:rsidRPr="00356367">
        <w:t xml:space="preserve"> and did not chant any slogans or appeals. She </w:t>
      </w:r>
      <w:r w:rsidR="00DE3D53" w:rsidRPr="00356367">
        <w:t xml:space="preserve">also </w:t>
      </w:r>
      <w:r w:rsidRPr="00356367">
        <w:t>affirmed that her activities in no way disturb</w:t>
      </w:r>
      <w:r w:rsidR="00A1277E" w:rsidRPr="00356367">
        <w:t>ed</w:t>
      </w:r>
      <w:r w:rsidRPr="00356367">
        <w:t xml:space="preserve"> public order and no</w:t>
      </w:r>
      <w:r w:rsidR="00DE3D53" w:rsidRPr="00356367">
        <w:t xml:space="preserve"> </w:t>
      </w:r>
      <w:r w:rsidRPr="00356367">
        <w:t>complain</w:t>
      </w:r>
      <w:r w:rsidR="00EE24F3" w:rsidRPr="00356367">
        <w:t xml:space="preserve">ts were </w:t>
      </w:r>
      <w:r w:rsidR="00CC30C9" w:rsidRPr="00356367">
        <w:t xml:space="preserve">made </w:t>
      </w:r>
      <w:r w:rsidR="00EE24F3" w:rsidRPr="00356367">
        <w:t>whatsoever.</w:t>
      </w:r>
    </w:p>
    <w:p w:rsidR="0000296E" w:rsidRPr="00356367" w:rsidRDefault="00DE3D53" w:rsidP="008649F9">
      <w:pPr>
        <w:pStyle w:val="SingleTxtG"/>
      </w:pPr>
      <w:r w:rsidRPr="00356367">
        <w:t>2.5</w:t>
      </w:r>
      <w:r w:rsidR="00EE24F3" w:rsidRPr="00356367">
        <w:tab/>
      </w:r>
      <w:r w:rsidR="00BB0665" w:rsidRPr="00356367">
        <w:t>T</w:t>
      </w:r>
      <w:r w:rsidRPr="00356367">
        <w:t>he author</w:t>
      </w:r>
      <w:r w:rsidR="00BB0665" w:rsidRPr="00356367">
        <w:t xml:space="preserve"> maintains that</w:t>
      </w:r>
      <w:r w:rsidRPr="00356367">
        <w:t xml:space="preserve"> her actions were wrongly </w:t>
      </w:r>
      <w:r w:rsidR="00E74021" w:rsidRPr="00356367">
        <w:t>defined</w:t>
      </w:r>
      <w:r w:rsidR="00960479" w:rsidRPr="00356367">
        <w:t xml:space="preserve"> </w:t>
      </w:r>
      <w:r w:rsidRPr="00356367">
        <w:t>as a picket</w:t>
      </w:r>
      <w:r w:rsidR="0000296E" w:rsidRPr="00356367">
        <w:t>; i</w:t>
      </w:r>
      <w:r w:rsidR="00816565" w:rsidRPr="00356367">
        <w:t xml:space="preserve">n the absence of any well-founded explanations justifying the court’s conclusion, the penalty imposed on her </w:t>
      </w:r>
      <w:r w:rsidRPr="00356367">
        <w:t>can</w:t>
      </w:r>
      <w:r w:rsidR="00816565" w:rsidRPr="00356367">
        <w:t xml:space="preserve">not </w:t>
      </w:r>
      <w:r w:rsidRPr="00356367">
        <w:t xml:space="preserve">be </w:t>
      </w:r>
      <w:r w:rsidR="00816565" w:rsidRPr="00356367">
        <w:t xml:space="preserve">justified by the </w:t>
      </w:r>
      <w:r w:rsidR="00CC30C9" w:rsidRPr="00356367">
        <w:t xml:space="preserve">need </w:t>
      </w:r>
      <w:r w:rsidR="00816565" w:rsidRPr="00356367">
        <w:t>to protect national security or public order, public health or morals</w:t>
      </w:r>
      <w:r w:rsidRPr="00356367">
        <w:t>,</w:t>
      </w:r>
      <w:r w:rsidR="00816565" w:rsidRPr="00356367">
        <w:t xml:space="preserve"> or for respect of the rights and reputations of others.</w:t>
      </w:r>
    </w:p>
    <w:p w:rsidR="009E31DB" w:rsidRPr="00356367" w:rsidRDefault="00816565" w:rsidP="008649F9">
      <w:pPr>
        <w:pStyle w:val="SingleTxtG"/>
      </w:pPr>
      <w:r w:rsidRPr="00356367">
        <w:t>2.</w:t>
      </w:r>
      <w:r w:rsidR="0000296E" w:rsidRPr="00356367">
        <w:t>6</w:t>
      </w:r>
      <w:r w:rsidR="009E31DB" w:rsidRPr="00356367">
        <w:tab/>
      </w:r>
      <w:r w:rsidRPr="00356367">
        <w:t xml:space="preserve">The author </w:t>
      </w:r>
      <w:r w:rsidR="00BB0665" w:rsidRPr="00356367">
        <w:t>submits that</w:t>
      </w:r>
      <w:r w:rsidR="0000296E" w:rsidRPr="00356367">
        <w:t xml:space="preserve"> </w:t>
      </w:r>
      <w:r w:rsidRPr="00356367">
        <w:t>she ha</w:t>
      </w:r>
      <w:r w:rsidR="0000296E" w:rsidRPr="00356367">
        <w:t>s</w:t>
      </w:r>
      <w:r w:rsidRPr="00356367">
        <w:t xml:space="preserve"> exhausted all domestic remedies</w:t>
      </w:r>
      <w:r w:rsidR="0000296E" w:rsidRPr="00356367">
        <w:t>: o</w:t>
      </w:r>
      <w:r w:rsidR="009E31DB" w:rsidRPr="00356367">
        <w:t xml:space="preserve">n </w:t>
      </w:r>
      <w:r w:rsidR="0078419D" w:rsidRPr="00356367">
        <w:t xml:space="preserve">30 March 2008, </w:t>
      </w:r>
      <w:r w:rsidR="0000296E" w:rsidRPr="00356367">
        <w:t>s</w:t>
      </w:r>
      <w:r w:rsidR="0078419D" w:rsidRPr="00356367">
        <w:t>he appealed the decision of the Zheleznodorozhny District Court of Vitebsk</w:t>
      </w:r>
      <w:r w:rsidRPr="00356367">
        <w:t xml:space="preserve"> to the </w:t>
      </w:r>
      <w:smartTag w:uri="urn:schemas-microsoft-com:office:smarttags" w:element="Street">
        <w:smartTag w:uri="urn:schemas-microsoft-com:office:smarttags" w:element="address">
          <w:r w:rsidRPr="00356367">
            <w:t>Vitebsk Regional Court</w:t>
          </w:r>
        </w:smartTag>
      </w:smartTag>
      <w:r w:rsidRPr="00356367">
        <w:t>, which rejected he</w:t>
      </w:r>
      <w:r w:rsidR="0000296E" w:rsidRPr="00356367">
        <w:t>r</w:t>
      </w:r>
      <w:r w:rsidRPr="00356367">
        <w:t xml:space="preserve"> appeal on 16 April 2008. On 22 April 2008, she</w:t>
      </w:r>
      <w:r w:rsidR="00BB0665" w:rsidRPr="00356367">
        <w:t xml:space="preserve"> filed an</w:t>
      </w:r>
      <w:r w:rsidRPr="00356367">
        <w:t xml:space="preserve"> appeal to the Supreme Court, which was rejected on 11 June 2008.</w:t>
      </w:r>
    </w:p>
    <w:p w:rsidR="009E31DB" w:rsidRPr="00356367" w:rsidRDefault="009E31DB" w:rsidP="008649F9">
      <w:pPr>
        <w:pStyle w:val="H23G"/>
      </w:pPr>
      <w:r w:rsidRPr="00356367">
        <w:tab/>
      </w:r>
      <w:r w:rsidRPr="00356367">
        <w:tab/>
        <w:t>The complaint</w:t>
      </w:r>
    </w:p>
    <w:p w:rsidR="009E31DB" w:rsidRPr="00356367" w:rsidRDefault="009E31DB" w:rsidP="00890748">
      <w:pPr>
        <w:pStyle w:val="SingleTxtG"/>
      </w:pPr>
      <w:r w:rsidRPr="00356367">
        <w:t>3.</w:t>
      </w:r>
      <w:r w:rsidRPr="00356367">
        <w:tab/>
        <w:t xml:space="preserve">The author claims that </w:t>
      </w:r>
      <w:r w:rsidR="0000296E" w:rsidRPr="00356367">
        <w:t>the above</w:t>
      </w:r>
      <w:r w:rsidR="00DC48BD" w:rsidRPr="00356367">
        <w:t>-</w:t>
      </w:r>
      <w:r w:rsidR="0000296E" w:rsidRPr="00356367">
        <w:t xml:space="preserve">mentioned facts demonstrate that she is a victim of violations </w:t>
      </w:r>
      <w:r w:rsidR="00DD2361" w:rsidRPr="00356367">
        <w:t>of her right to freedom of expression, guaranteed</w:t>
      </w:r>
      <w:r w:rsidR="00890748" w:rsidRPr="00356367">
        <w:t xml:space="preserve"> under article 19, paragraph 2</w:t>
      </w:r>
      <w:r w:rsidR="000060E7" w:rsidRPr="00356367">
        <w:t>,</w:t>
      </w:r>
      <w:r w:rsidR="00890748" w:rsidRPr="00356367">
        <w:t xml:space="preserve"> of the Covenant</w:t>
      </w:r>
      <w:r w:rsidR="00DD2361" w:rsidRPr="00356367">
        <w:t xml:space="preserve"> and her right to peaceful assembly, guaranteed under article 21 of the Covenant</w:t>
      </w:r>
      <w:r w:rsidR="00890748" w:rsidRPr="00356367">
        <w:t>.</w:t>
      </w:r>
      <w:r w:rsidRPr="00356367">
        <w:t xml:space="preserve"> </w:t>
      </w:r>
    </w:p>
    <w:p w:rsidR="009E31DB" w:rsidRPr="00356367" w:rsidRDefault="009E31DB" w:rsidP="008649F9">
      <w:pPr>
        <w:pStyle w:val="H23G"/>
      </w:pPr>
      <w:r w:rsidRPr="00356367">
        <w:tab/>
      </w:r>
      <w:r w:rsidRPr="00356367">
        <w:tab/>
        <w:t xml:space="preserve">State party's observations on </w:t>
      </w:r>
      <w:r w:rsidR="00C62DEF" w:rsidRPr="00356367">
        <w:t>admissibility</w:t>
      </w:r>
    </w:p>
    <w:p w:rsidR="00960430" w:rsidRPr="00356367" w:rsidRDefault="00960430" w:rsidP="00960430">
      <w:pPr>
        <w:pStyle w:val="SingleTxtG"/>
      </w:pPr>
      <w:r w:rsidRPr="00356367">
        <w:t>4.1</w:t>
      </w:r>
      <w:r w:rsidRPr="00356367">
        <w:tab/>
        <w:t>On 19 February 2009, the State party challenge</w:t>
      </w:r>
      <w:r w:rsidR="0000296E" w:rsidRPr="00356367">
        <w:t>d</w:t>
      </w:r>
      <w:r w:rsidRPr="00356367">
        <w:t xml:space="preserve"> the admissibility of the communication, arguing that the author </w:t>
      </w:r>
      <w:r w:rsidR="00616BAD" w:rsidRPr="00356367">
        <w:t xml:space="preserve">had </w:t>
      </w:r>
      <w:r w:rsidR="0000296E" w:rsidRPr="00356367">
        <w:t>failed to</w:t>
      </w:r>
      <w:r w:rsidRPr="00356367">
        <w:t xml:space="preserve"> exhaust domestic remedies, since her case </w:t>
      </w:r>
      <w:r w:rsidR="00DC48BD" w:rsidRPr="00356367">
        <w:t xml:space="preserve">had </w:t>
      </w:r>
      <w:r w:rsidRPr="00356367">
        <w:t xml:space="preserve">not </w:t>
      </w:r>
      <w:r w:rsidR="00DC48BD" w:rsidRPr="00356367">
        <w:t xml:space="preserve">been </w:t>
      </w:r>
      <w:r w:rsidRPr="00356367">
        <w:t xml:space="preserve">examined by the Chairman of the Supreme Court of Belarus or by the </w:t>
      </w:r>
      <w:r w:rsidR="0000296E" w:rsidRPr="00356367">
        <w:t>P</w:t>
      </w:r>
      <w:r w:rsidRPr="00356367">
        <w:t>rosecutor</w:t>
      </w:r>
      <w:r w:rsidR="0000296E" w:rsidRPr="00356367">
        <w:t xml:space="preserve">’s Office </w:t>
      </w:r>
      <w:r w:rsidRPr="00356367">
        <w:t xml:space="preserve">under the supervisory review procedure. </w:t>
      </w:r>
      <w:r w:rsidR="00F07DE3" w:rsidRPr="00356367">
        <w:t>U</w:t>
      </w:r>
      <w:r w:rsidRPr="00356367">
        <w:t>nder article 12.11, paragraphs 3 and 4, of the Belarus Code of Administrative Offences</w:t>
      </w:r>
      <w:r w:rsidR="00F07DE3" w:rsidRPr="00356367">
        <w:t xml:space="preserve"> (B.C.A.O.)</w:t>
      </w:r>
      <w:r w:rsidRPr="00356367">
        <w:t xml:space="preserve">, </w:t>
      </w:r>
      <w:r w:rsidR="00F07DE3" w:rsidRPr="00356367">
        <w:t xml:space="preserve">final judicial </w:t>
      </w:r>
      <w:r w:rsidRPr="00356367">
        <w:t>decisions can be reviewed within six months under the supervisory review proce</w:t>
      </w:r>
      <w:r w:rsidR="00F07DE3" w:rsidRPr="00356367">
        <w:t>e</w:t>
      </w:r>
      <w:r w:rsidRPr="00356367">
        <w:t>d</w:t>
      </w:r>
      <w:r w:rsidR="00F07DE3" w:rsidRPr="00356367">
        <w:t>ings</w:t>
      </w:r>
      <w:r w:rsidRPr="00356367">
        <w:t xml:space="preserve"> upon the referral of a case in question to the court by the officials listed in article 12.11, paragraphs 3 and 4, of the </w:t>
      </w:r>
      <w:r w:rsidR="00F07DE3" w:rsidRPr="00356367">
        <w:t xml:space="preserve">said </w:t>
      </w:r>
      <w:r w:rsidRPr="00356367">
        <w:t>Code</w:t>
      </w:r>
      <w:r w:rsidR="00EE24F3" w:rsidRPr="00356367">
        <w:t>.</w:t>
      </w:r>
    </w:p>
    <w:p w:rsidR="00960430" w:rsidRPr="00356367" w:rsidRDefault="00960430" w:rsidP="00960430">
      <w:pPr>
        <w:pStyle w:val="H23G"/>
        <w:ind w:firstLine="0"/>
        <w:jc w:val="both"/>
        <w:rPr>
          <w:b w:val="0"/>
        </w:rPr>
      </w:pPr>
      <w:r w:rsidRPr="00356367">
        <w:rPr>
          <w:b w:val="0"/>
        </w:rPr>
        <w:lastRenderedPageBreak/>
        <w:t>4.2</w:t>
      </w:r>
      <w:r w:rsidRPr="00356367">
        <w:rPr>
          <w:b w:val="0"/>
        </w:rPr>
        <w:tab/>
        <w:t>The State party submits that according to article 12.11, paragraphs 3 and 4, of the B</w:t>
      </w:r>
      <w:r w:rsidR="00F07DE3" w:rsidRPr="00356367">
        <w:rPr>
          <w:b w:val="0"/>
        </w:rPr>
        <w:t>.C.A.O.</w:t>
      </w:r>
      <w:r w:rsidRPr="00356367">
        <w:rPr>
          <w:b w:val="0"/>
        </w:rPr>
        <w:t xml:space="preserve">, </w:t>
      </w:r>
      <w:r w:rsidR="00B21177" w:rsidRPr="00356367">
        <w:rPr>
          <w:b w:val="0"/>
        </w:rPr>
        <w:t xml:space="preserve">upon the author’s request, </w:t>
      </w:r>
      <w:r w:rsidRPr="00356367">
        <w:rPr>
          <w:b w:val="0"/>
        </w:rPr>
        <w:t>the Chairman of the Supreme Court or the Prosecutor General c</w:t>
      </w:r>
      <w:r w:rsidR="00F07DE3" w:rsidRPr="00356367">
        <w:rPr>
          <w:b w:val="0"/>
        </w:rPr>
        <w:t>an</w:t>
      </w:r>
      <w:r w:rsidRPr="00356367">
        <w:rPr>
          <w:b w:val="0"/>
        </w:rPr>
        <w:t xml:space="preserve"> initiate supervisory review of the case and notes that </w:t>
      </w:r>
      <w:r w:rsidR="00AD6ABF" w:rsidRPr="00356367">
        <w:rPr>
          <w:b w:val="0"/>
        </w:rPr>
        <w:t xml:space="preserve">the author </w:t>
      </w:r>
      <w:r w:rsidRPr="00356367">
        <w:rPr>
          <w:b w:val="0"/>
        </w:rPr>
        <w:t>did not avail herself of these avenues for appeal.</w:t>
      </w:r>
      <w:r w:rsidR="009E31DB" w:rsidRPr="00356367">
        <w:rPr>
          <w:b w:val="0"/>
        </w:rPr>
        <w:tab/>
      </w:r>
    </w:p>
    <w:p w:rsidR="009E31DB" w:rsidRPr="000C5A9C" w:rsidRDefault="000C5A9C" w:rsidP="000C5A9C">
      <w:pPr>
        <w:pStyle w:val="H23G"/>
      </w:pPr>
      <w:r>
        <w:tab/>
      </w:r>
      <w:r>
        <w:tab/>
      </w:r>
      <w:r w:rsidR="009E31DB" w:rsidRPr="000C5A9C">
        <w:t>Author’s comments on the State party’s observations</w:t>
      </w:r>
    </w:p>
    <w:p w:rsidR="009E31DB" w:rsidRPr="00356367" w:rsidRDefault="009E31DB" w:rsidP="00E95F2D">
      <w:pPr>
        <w:pStyle w:val="SingleTxtG"/>
      </w:pPr>
      <w:r w:rsidRPr="00356367">
        <w:t>5.</w:t>
      </w:r>
      <w:r w:rsidRPr="00356367">
        <w:tab/>
        <w:t xml:space="preserve">On </w:t>
      </w:r>
      <w:r w:rsidR="00E95F2D" w:rsidRPr="00356367">
        <w:t>12 April 2009</w:t>
      </w:r>
      <w:r w:rsidRPr="00356367">
        <w:t>, the author</w:t>
      </w:r>
      <w:r w:rsidR="00E95F2D" w:rsidRPr="00356367">
        <w:t xml:space="preserve"> </w:t>
      </w:r>
      <w:r w:rsidR="00F07DE3" w:rsidRPr="00356367">
        <w:t xml:space="preserve">notes </w:t>
      </w:r>
      <w:r w:rsidR="007A07A1" w:rsidRPr="00356367">
        <w:t xml:space="preserve">inter alia </w:t>
      </w:r>
      <w:r w:rsidR="00E95F2D" w:rsidRPr="00356367">
        <w:t xml:space="preserve">that the administrative proceedings initiated against her were of </w:t>
      </w:r>
      <w:r w:rsidR="00616BAD" w:rsidRPr="00356367">
        <w:t xml:space="preserve">a </w:t>
      </w:r>
      <w:r w:rsidR="00E95F2D" w:rsidRPr="00356367">
        <w:t xml:space="preserve">political nature and that she has exhausted all available and effective remedies by appealing the decision of the Zheleznodorozhny District Court of Vitebsk to the Vitebsk Regional Court on 30 March 2008 and by submitting a further appeal to the Supreme Court of Belarus on 22 April 2008. </w:t>
      </w:r>
      <w:r w:rsidR="00BB0665" w:rsidRPr="00356367">
        <w:t>A</w:t>
      </w:r>
      <w:r w:rsidR="00E95F2D" w:rsidRPr="00356367">
        <w:t>n appeal submitted by an individual under the supervisory proce</w:t>
      </w:r>
      <w:r w:rsidR="00F07DE3" w:rsidRPr="00356367">
        <w:t>e</w:t>
      </w:r>
      <w:r w:rsidR="00E95F2D" w:rsidRPr="00356367">
        <w:t>d</w:t>
      </w:r>
      <w:r w:rsidR="00F07DE3" w:rsidRPr="00356367">
        <w:t>ings</w:t>
      </w:r>
      <w:r w:rsidR="00463B15" w:rsidRPr="00356367">
        <w:t>, according to her,</w:t>
      </w:r>
      <w:r w:rsidR="00E95F2D" w:rsidRPr="00356367">
        <w:t xml:space="preserve"> would not </w:t>
      </w:r>
      <w:r w:rsidR="00BB0665" w:rsidRPr="00356367">
        <w:t xml:space="preserve">have </w:t>
      </w:r>
      <w:r w:rsidR="00E95F2D" w:rsidRPr="00356367">
        <w:t>result</w:t>
      </w:r>
      <w:r w:rsidR="00BB0665" w:rsidRPr="00356367">
        <w:t>ed</w:t>
      </w:r>
      <w:r w:rsidR="00E95F2D" w:rsidRPr="00356367">
        <w:t xml:space="preserve"> in the review of the court decisions in question</w:t>
      </w:r>
      <w:r w:rsidRPr="00356367">
        <w:t>.</w:t>
      </w:r>
    </w:p>
    <w:p w:rsidR="00057EF4" w:rsidRPr="00356367" w:rsidRDefault="000C5A9C" w:rsidP="000C5A9C">
      <w:pPr>
        <w:pStyle w:val="H23G"/>
      </w:pPr>
      <w:r>
        <w:tab/>
      </w:r>
      <w:r>
        <w:tab/>
      </w:r>
      <w:r w:rsidR="00463B15" w:rsidRPr="00356367">
        <w:t xml:space="preserve">Additional observations by </w:t>
      </w:r>
      <w:r w:rsidR="00057EF4" w:rsidRPr="00356367">
        <w:t>the State party</w:t>
      </w:r>
    </w:p>
    <w:p w:rsidR="00DF1C44" w:rsidRPr="00356367" w:rsidRDefault="00DF1C44" w:rsidP="00DF1C44">
      <w:pPr>
        <w:pStyle w:val="SingleTxtG"/>
        <w:rPr>
          <w:lang w:val="en-US"/>
        </w:rPr>
      </w:pPr>
      <w:r w:rsidRPr="00356367">
        <w:rPr>
          <w:lang w:val="en-US"/>
        </w:rPr>
        <w:t>6.1</w:t>
      </w:r>
      <w:r w:rsidRPr="00356367">
        <w:rPr>
          <w:lang w:val="en-US"/>
        </w:rPr>
        <w:tab/>
        <w:t xml:space="preserve">On 26 May 2009, the State party </w:t>
      </w:r>
      <w:r w:rsidR="006917F3" w:rsidRPr="00356367">
        <w:rPr>
          <w:lang w:val="en-US"/>
        </w:rPr>
        <w:t>noted</w:t>
      </w:r>
      <w:r w:rsidRPr="00356367">
        <w:rPr>
          <w:lang w:val="en-US"/>
        </w:rPr>
        <w:t xml:space="preserve"> that </w:t>
      </w:r>
      <w:r w:rsidRPr="00356367">
        <w:rPr>
          <w:lang w:val="en"/>
        </w:rPr>
        <w:t xml:space="preserve">article 35 of the Constitution guarantees the freedom to hold assemblies, gatherings, street </w:t>
      </w:r>
      <w:r w:rsidR="00463B15" w:rsidRPr="00356367">
        <w:rPr>
          <w:lang w:val="en"/>
        </w:rPr>
        <w:t>processions</w:t>
      </w:r>
      <w:r w:rsidRPr="00356367">
        <w:rPr>
          <w:lang w:val="en"/>
        </w:rPr>
        <w:t xml:space="preserve">, demonstrations and pickets </w:t>
      </w:r>
      <w:r w:rsidR="006917F3" w:rsidRPr="00356367">
        <w:rPr>
          <w:lang w:val="en"/>
        </w:rPr>
        <w:t>which</w:t>
      </w:r>
      <w:r w:rsidRPr="00356367">
        <w:rPr>
          <w:lang w:val="en"/>
        </w:rPr>
        <w:t xml:space="preserve"> do not disrupt public order and do not violate the rights of other citizens. The procedure for holding such events is provided by law. In this respect, the provisions of the Law </w:t>
      </w:r>
      <w:r w:rsidR="00DC48BD" w:rsidRPr="00356367">
        <w:rPr>
          <w:lang w:val="en"/>
        </w:rPr>
        <w:t>o</w:t>
      </w:r>
      <w:r w:rsidRPr="00356367">
        <w:rPr>
          <w:lang w:val="en"/>
        </w:rPr>
        <w:t xml:space="preserve">n Mass Events are aimed at creating </w:t>
      </w:r>
      <w:r w:rsidR="00DC48BD" w:rsidRPr="00356367">
        <w:rPr>
          <w:lang w:val="en"/>
        </w:rPr>
        <w:t xml:space="preserve">the </w:t>
      </w:r>
      <w:r w:rsidRPr="00356367">
        <w:rPr>
          <w:lang w:val="en"/>
        </w:rPr>
        <w:t>conditions for the realization of citizens’ constitutional rights and freedoms and the protection of public safety and public order during the holding of such events on streets</w:t>
      </w:r>
      <w:r w:rsidR="00616BAD" w:rsidRPr="00356367">
        <w:rPr>
          <w:lang w:val="en"/>
        </w:rPr>
        <w:t xml:space="preserve"> and</w:t>
      </w:r>
      <w:r w:rsidRPr="00356367">
        <w:rPr>
          <w:lang w:val="en"/>
        </w:rPr>
        <w:t xml:space="preserve"> squares and </w:t>
      </w:r>
      <w:r w:rsidR="00616BAD" w:rsidRPr="00356367">
        <w:rPr>
          <w:lang w:val="en"/>
        </w:rPr>
        <w:t xml:space="preserve">in </w:t>
      </w:r>
      <w:r w:rsidRPr="00356367">
        <w:rPr>
          <w:lang w:val="en"/>
        </w:rPr>
        <w:t xml:space="preserve">other public locations. The State party further recalls that the author was lawfully found </w:t>
      </w:r>
      <w:r w:rsidRPr="00356367">
        <w:t>guilty of having committed an administrative offence under article 23.34, paragraph 1, of the B</w:t>
      </w:r>
      <w:r w:rsidR="006917F3" w:rsidRPr="00356367">
        <w:t>.</w:t>
      </w:r>
      <w:r w:rsidRPr="00356367">
        <w:t>C</w:t>
      </w:r>
      <w:r w:rsidR="006917F3" w:rsidRPr="00356367">
        <w:t>.</w:t>
      </w:r>
      <w:r w:rsidRPr="00356367">
        <w:t>A</w:t>
      </w:r>
      <w:r w:rsidR="006917F3" w:rsidRPr="00356367">
        <w:t>.</w:t>
      </w:r>
      <w:r w:rsidRPr="00356367">
        <w:t>O</w:t>
      </w:r>
      <w:r w:rsidR="006917F3" w:rsidRPr="00356367">
        <w:t>.</w:t>
      </w:r>
      <w:r w:rsidRPr="00356367">
        <w:t xml:space="preserve"> and a fine of 70</w:t>
      </w:r>
      <w:r w:rsidR="00616BAD" w:rsidRPr="00356367">
        <w:t>,</w:t>
      </w:r>
      <w:r w:rsidRPr="00356367">
        <w:t xml:space="preserve">000 roubles </w:t>
      </w:r>
      <w:r w:rsidR="00616BAD" w:rsidRPr="00356367">
        <w:t xml:space="preserve">was imposed on her </w:t>
      </w:r>
      <w:r w:rsidRPr="00356367">
        <w:t xml:space="preserve">by the Zheleznodorozhny District Court of Vitebsk on 25 March 2008. The said decision was later upheld by the </w:t>
      </w:r>
      <w:smartTag w:uri="urn:schemas-microsoft-com:office:smarttags" w:element="Street">
        <w:smartTag w:uri="urn:schemas-microsoft-com:office:smarttags" w:element="address">
          <w:r w:rsidRPr="00356367">
            <w:t>Vitebsk Regional Court</w:t>
          </w:r>
        </w:smartTag>
      </w:smartTag>
      <w:r w:rsidRPr="00356367">
        <w:t xml:space="preserve"> and by the Supreme Court.</w:t>
      </w:r>
    </w:p>
    <w:p w:rsidR="006917F3" w:rsidRPr="00356367" w:rsidRDefault="00DF1C44" w:rsidP="00463B15">
      <w:pPr>
        <w:pStyle w:val="SingleTxtG"/>
      </w:pPr>
      <w:r w:rsidRPr="00356367">
        <w:rPr>
          <w:lang w:val="en-US"/>
        </w:rPr>
        <w:t>6.2</w:t>
      </w:r>
      <w:r w:rsidRPr="00356367">
        <w:rPr>
          <w:lang w:val="en-US"/>
        </w:rPr>
        <w:tab/>
        <w:t xml:space="preserve">The State party </w:t>
      </w:r>
      <w:r w:rsidR="006917F3" w:rsidRPr="00356367">
        <w:rPr>
          <w:lang w:val="en-US"/>
        </w:rPr>
        <w:t xml:space="preserve">adds </w:t>
      </w:r>
      <w:r w:rsidRPr="00356367">
        <w:rPr>
          <w:lang w:val="en-US"/>
        </w:rPr>
        <w:t>that</w:t>
      </w:r>
      <w:r w:rsidR="00616BAD" w:rsidRPr="00356367">
        <w:rPr>
          <w:lang w:val="en-US"/>
        </w:rPr>
        <w:t>,</w:t>
      </w:r>
      <w:r w:rsidRPr="00356367">
        <w:rPr>
          <w:lang w:val="en-US"/>
        </w:rPr>
        <w:t xml:space="preserve"> according to article 19, paragraph 2, of the Covenant, every individual has the right to freedom of expression; this right includes the freedom to seek, receive, and impart information and ideas of all kinds, regardless of frontiers, either orally, in writing or in print, in the form of art or through any other media of his own choice. However, article 19, paragraph 3, of the Covenant, </w:t>
      </w:r>
      <w:r w:rsidRPr="00356367">
        <w:t xml:space="preserve">imposes </w:t>
      </w:r>
      <w:r w:rsidR="006917F3" w:rsidRPr="00356367">
        <w:t xml:space="preserve">special duties and responsibilities </w:t>
      </w:r>
      <w:r w:rsidRPr="00356367">
        <w:t xml:space="preserve">on the rights holder and thus the right to freedom of expression may be subjected to certain restrictions that shall be provided by law and are necessary: (a) for the respect of the rights or reputation of others; and (b) for the protection of national security or public order, </w:t>
      </w:r>
      <w:r w:rsidR="00616BAD" w:rsidRPr="00356367">
        <w:t xml:space="preserve">or </w:t>
      </w:r>
      <w:r w:rsidRPr="00356367">
        <w:t>of public health or morals. Article 21 of the Covenant recognizes the right to peaceful assembly. No restrictions may be placed on the exercise of this right other than those imposed in conformity with the law and which are necessary in a democratic society in the interests of national security or public safety, public order, the protection of public health or morals or the protection of the rights and freedoms of others.</w:t>
      </w:r>
    </w:p>
    <w:p w:rsidR="00DF1C44" w:rsidRPr="00356367" w:rsidRDefault="006917F3" w:rsidP="00463B15">
      <w:pPr>
        <w:pStyle w:val="SingleTxtG"/>
      </w:pPr>
      <w:r w:rsidRPr="00356367">
        <w:t>6.3</w:t>
      </w:r>
      <w:r w:rsidR="00EE24F3" w:rsidRPr="00356367">
        <w:tab/>
      </w:r>
      <w:r w:rsidR="00DF1C44" w:rsidRPr="00356367">
        <w:rPr>
          <w:lang w:val="en-US"/>
        </w:rPr>
        <w:t xml:space="preserve">The </w:t>
      </w:r>
      <w:r w:rsidRPr="00356367">
        <w:rPr>
          <w:lang w:val="en-US"/>
        </w:rPr>
        <w:t xml:space="preserve">State party explains that </w:t>
      </w:r>
      <w:r w:rsidR="00DF1C44" w:rsidRPr="00356367">
        <w:rPr>
          <w:lang w:val="en-US"/>
        </w:rPr>
        <w:t>as a party to the Covenant,</w:t>
      </w:r>
      <w:r w:rsidR="00DF1C44" w:rsidRPr="00356367">
        <w:t xml:space="preserve"> </w:t>
      </w:r>
      <w:r w:rsidRPr="00356367">
        <w:t xml:space="preserve">it </w:t>
      </w:r>
      <w:r w:rsidR="00DF1C44" w:rsidRPr="00356367">
        <w:t xml:space="preserve">has incorporated the provisions of articles 19 and 21 into the domestic legal system. In conformity with article 23 of the Constitution, restrictions upon the rights and freedoms of individuals are only permitted </w:t>
      </w:r>
      <w:r w:rsidR="00DF1C44" w:rsidRPr="00356367">
        <w:rPr>
          <w:lang w:val="en"/>
        </w:rPr>
        <w:t>in the instances specified by law, in the interest of national security, public order, protection of public health and morals</w:t>
      </w:r>
      <w:r w:rsidR="003A07A4" w:rsidRPr="00356367">
        <w:rPr>
          <w:lang w:val="en"/>
        </w:rPr>
        <w:t>,</w:t>
      </w:r>
      <w:r w:rsidR="00DF1C44" w:rsidRPr="00356367">
        <w:rPr>
          <w:lang w:val="en"/>
        </w:rPr>
        <w:t xml:space="preserve"> </w:t>
      </w:r>
      <w:r w:rsidR="003A07A4" w:rsidRPr="00356367">
        <w:rPr>
          <w:lang w:val="en"/>
        </w:rPr>
        <w:t>and</w:t>
      </w:r>
      <w:r w:rsidR="00DF1C44" w:rsidRPr="00356367">
        <w:rPr>
          <w:lang w:val="en"/>
        </w:rPr>
        <w:t xml:space="preserve"> of </w:t>
      </w:r>
      <w:r w:rsidR="003A07A4" w:rsidRPr="00356367">
        <w:rPr>
          <w:lang w:val="en"/>
        </w:rPr>
        <w:t xml:space="preserve">the </w:t>
      </w:r>
      <w:r w:rsidR="00DF1C44" w:rsidRPr="00356367">
        <w:rPr>
          <w:lang w:val="en"/>
        </w:rPr>
        <w:t xml:space="preserve">rights and freedoms of other persons. The analysis of article 35 of the Constitution, which guarantees the right to </w:t>
      </w:r>
      <w:r w:rsidR="003A07A4" w:rsidRPr="00356367">
        <w:rPr>
          <w:lang w:val="en"/>
        </w:rPr>
        <w:t>“</w:t>
      </w:r>
      <w:r w:rsidR="00DF1C44" w:rsidRPr="00356367">
        <w:rPr>
          <w:lang w:val="en"/>
        </w:rPr>
        <w:t>freedom of public events</w:t>
      </w:r>
      <w:r w:rsidR="003A07A4" w:rsidRPr="00356367">
        <w:rPr>
          <w:lang w:val="en"/>
        </w:rPr>
        <w:t>”</w:t>
      </w:r>
      <w:r w:rsidR="00DF1C44" w:rsidRPr="00356367">
        <w:rPr>
          <w:lang w:val="en"/>
        </w:rPr>
        <w:t xml:space="preserve">, clearly demonstrates that the Constitution establishes the legislative framework for the procedure </w:t>
      </w:r>
      <w:r w:rsidR="00616BAD" w:rsidRPr="00356367">
        <w:rPr>
          <w:lang w:val="en"/>
        </w:rPr>
        <w:t xml:space="preserve">for </w:t>
      </w:r>
      <w:r w:rsidR="00DF1C44" w:rsidRPr="00356367">
        <w:rPr>
          <w:lang w:val="en"/>
        </w:rPr>
        <w:t xml:space="preserve">holding such events. </w:t>
      </w:r>
      <w:r w:rsidRPr="00356367">
        <w:rPr>
          <w:lang w:val="en"/>
        </w:rPr>
        <w:t xml:space="preserve">Organization </w:t>
      </w:r>
      <w:r w:rsidR="00DF1C44" w:rsidRPr="00356367">
        <w:rPr>
          <w:lang w:val="en"/>
        </w:rPr>
        <w:t>and holding</w:t>
      </w:r>
      <w:r w:rsidRPr="00356367">
        <w:rPr>
          <w:lang w:val="en"/>
        </w:rPr>
        <w:t xml:space="preserve"> of</w:t>
      </w:r>
      <w:r w:rsidR="00DF1C44" w:rsidRPr="00356367">
        <w:rPr>
          <w:lang w:val="en"/>
        </w:rPr>
        <w:t xml:space="preserve"> assemblies, gatherings, street marches, demonstrations and pickets is regulated by the Law </w:t>
      </w:r>
      <w:r w:rsidR="006A51FD" w:rsidRPr="00356367">
        <w:rPr>
          <w:lang w:val="en"/>
        </w:rPr>
        <w:t>o</w:t>
      </w:r>
      <w:r w:rsidR="00C43ECA" w:rsidRPr="00356367">
        <w:rPr>
          <w:lang w:val="en"/>
        </w:rPr>
        <w:t>n Mass Events</w:t>
      </w:r>
      <w:r w:rsidR="00DF1C44" w:rsidRPr="00356367">
        <w:rPr>
          <w:lang w:val="en"/>
        </w:rPr>
        <w:t xml:space="preserve"> of 7 August 2003. </w:t>
      </w:r>
      <w:r w:rsidR="00620191" w:rsidRPr="00356367">
        <w:rPr>
          <w:lang w:val="en"/>
        </w:rPr>
        <w:t>F</w:t>
      </w:r>
      <w:r w:rsidR="00DF1C44" w:rsidRPr="00356367">
        <w:rPr>
          <w:lang w:val="en"/>
        </w:rPr>
        <w:t xml:space="preserve">reedom of expression, as guaranteed under the Constitution, may be subject to restrictions only in instances provided by law, in the interest of national security, public </w:t>
      </w:r>
      <w:r w:rsidR="00DF1C44" w:rsidRPr="00356367">
        <w:rPr>
          <w:lang w:val="en"/>
        </w:rPr>
        <w:lastRenderedPageBreak/>
        <w:t xml:space="preserve">order, protection of public health and morals, </w:t>
      </w:r>
      <w:r w:rsidR="003A07A4" w:rsidRPr="00356367">
        <w:rPr>
          <w:lang w:val="en"/>
        </w:rPr>
        <w:t>and</w:t>
      </w:r>
      <w:r w:rsidR="00DF1C44" w:rsidRPr="00356367">
        <w:rPr>
          <w:lang w:val="en"/>
        </w:rPr>
        <w:t xml:space="preserve"> of </w:t>
      </w:r>
      <w:r w:rsidR="00616BAD" w:rsidRPr="00356367">
        <w:rPr>
          <w:lang w:val="en"/>
        </w:rPr>
        <w:t xml:space="preserve">the </w:t>
      </w:r>
      <w:r w:rsidR="00DF1C44" w:rsidRPr="00356367">
        <w:rPr>
          <w:lang w:val="en"/>
        </w:rPr>
        <w:t xml:space="preserve">rights and freedoms of other persons. Therefore, the restrictions provided for under </w:t>
      </w:r>
      <w:r w:rsidR="00620191" w:rsidRPr="00356367">
        <w:rPr>
          <w:lang w:val="en"/>
        </w:rPr>
        <w:t xml:space="preserve">Belarusian </w:t>
      </w:r>
      <w:r w:rsidR="00DF1C44" w:rsidRPr="00356367">
        <w:rPr>
          <w:lang w:val="en"/>
        </w:rPr>
        <w:t xml:space="preserve">law </w:t>
      </w:r>
      <w:r w:rsidR="00620191" w:rsidRPr="00356367">
        <w:rPr>
          <w:lang w:val="en"/>
        </w:rPr>
        <w:t xml:space="preserve">are in conformity with the State party’s </w:t>
      </w:r>
      <w:r w:rsidR="00DF1C44" w:rsidRPr="00356367">
        <w:rPr>
          <w:lang w:val="en"/>
        </w:rPr>
        <w:t>international obligations</w:t>
      </w:r>
      <w:r w:rsidR="00620191" w:rsidRPr="00356367">
        <w:rPr>
          <w:lang w:val="en"/>
        </w:rPr>
        <w:t>,</w:t>
      </w:r>
      <w:r w:rsidR="00DF1C44" w:rsidRPr="00356367">
        <w:rPr>
          <w:lang w:val="en"/>
        </w:rPr>
        <w:t xml:space="preserve"> and are aimed at protecting national security and public order – in particular, this concerns the provisions of article 23.34 </w:t>
      </w:r>
      <w:r w:rsidR="00DF1C44" w:rsidRPr="00356367">
        <w:rPr>
          <w:lang w:val="en-US"/>
        </w:rPr>
        <w:t>of the B</w:t>
      </w:r>
      <w:r w:rsidR="00620191" w:rsidRPr="00356367">
        <w:rPr>
          <w:lang w:val="en-US"/>
        </w:rPr>
        <w:t>.</w:t>
      </w:r>
      <w:r w:rsidR="00DF1C44" w:rsidRPr="00356367">
        <w:rPr>
          <w:lang w:val="en-US"/>
        </w:rPr>
        <w:t>C</w:t>
      </w:r>
      <w:r w:rsidR="00620191" w:rsidRPr="00356367">
        <w:rPr>
          <w:lang w:val="en-US"/>
        </w:rPr>
        <w:t>.</w:t>
      </w:r>
      <w:r w:rsidR="00DF1C44" w:rsidRPr="00356367">
        <w:rPr>
          <w:lang w:val="en-US"/>
        </w:rPr>
        <w:t>A</w:t>
      </w:r>
      <w:r w:rsidR="00620191" w:rsidRPr="00356367">
        <w:rPr>
          <w:lang w:val="en-US"/>
        </w:rPr>
        <w:t>.</w:t>
      </w:r>
      <w:r w:rsidR="00DF1C44" w:rsidRPr="00356367">
        <w:rPr>
          <w:lang w:val="en-US"/>
        </w:rPr>
        <w:t>O</w:t>
      </w:r>
      <w:r w:rsidR="00620191" w:rsidRPr="00356367">
        <w:rPr>
          <w:lang w:val="en-US"/>
        </w:rPr>
        <w:t xml:space="preserve">. </w:t>
      </w:r>
      <w:r w:rsidR="00DF1C44" w:rsidRPr="00356367">
        <w:rPr>
          <w:lang w:val="en-US"/>
        </w:rPr>
        <w:t xml:space="preserve">and article 8 of the </w:t>
      </w:r>
      <w:r w:rsidR="00DF1C44" w:rsidRPr="00356367">
        <w:rPr>
          <w:lang w:val="en"/>
        </w:rPr>
        <w:t xml:space="preserve">Law </w:t>
      </w:r>
      <w:r w:rsidR="006A51FD" w:rsidRPr="00356367">
        <w:rPr>
          <w:lang w:val="en"/>
        </w:rPr>
        <w:t>o</w:t>
      </w:r>
      <w:r w:rsidR="00DF1C44" w:rsidRPr="00356367">
        <w:rPr>
          <w:lang w:val="en"/>
        </w:rPr>
        <w:t>n Mass Events.</w:t>
      </w:r>
    </w:p>
    <w:p w:rsidR="00463B15" w:rsidRPr="00356367" w:rsidRDefault="000C5A9C" w:rsidP="000C5A9C">
      <w:pPr>
        <w:pStyle w:val="H23G"/>
        <w:rPr>
          <w:rFonts w:eastAsia="SimSun"/>
          <w:lang w:val="en" w:eastAsia="zh-CN"/>
        </w:rPr>
      </w:pPr>
      <w:r>
        <w:rPr>
          <w:rFonts w:eastAsia="SimSun"/>
          <w:lang w:val="en" w:eastAsia="zh-CN"/>
        </w:rPr>
        <w:tab/>
      </w:r>
      <w:r>
        <w:rPr>
          <w:rFonts w:eastAsia="SimSun"/>
          <w:lang w:val="en" w:eastAsia="zh-CN"/>
        </w:rPr>
        <w:tab/>
      </w:r>
      <w:r w:rsidR="00463B15" w:rsidRPr="00356367">
        <w:rPr>
          <w:rFonts w:eastAsia="SimSun"/>
          <w:lang w:val="en" w:eastAsia="zh-CN"/>
        </w:rPr>
        <w:t>Author’s further submission</w:t>
      </w:r>
    </w:p>
    <w:p w:rsidR="00C43ECA" w:rsidRPr="00356367" w:rsidRDefault="00463B15" w:rsidP="00DF1C44">
      <w:pPr>
        <w:pStyle w:val="SingleTxtG"/>
        <w:rPr>
          <w:rFonts w:eastAsia="SimSun"/>
          <w:lang w:eastAsia="zh-CN"/>
        </w:rPr>
      </w:pPr>
      <w:r w:rsidRPr="00356367">
        <w:rPr>
          <w:rFonts w:eastAsia="SimSun"/>
          <w:lang w:val="en" w:eastAsia="zh-CN"/>
        </w:rPr>
        <w:t>7</w:t>
      </w:r>
      <w:r w:rsidR="00DE2845" w:rsidRPr="00356367">
        <w:rPr>
          <w:rFonts w:eastAsia="SimSun"/>
          <w:lang w:eastAsia="zh-CN"/>
        </w:rPr>
        <w:t>.</w:t>
      </w:r>
      <w:r w:rsidRPr="00356367">
        <w:rPr>
          <w:rFonts w:eastAsia="SimSun"/>
          <w:lang w:eastAsia="zh-CN"/>
        </w:rPr>
        <w:t>1</w:t>
      </w:r>
      <w:r w:rsidR="00EE24F3" w:rsidRPr="00356367">
        <w:rPr>
          <w:rFonts w:eastAsia="SimSun"/>
          <w:lang w:eastAsia="zh-CN"/>
        </w:rPr>
        <w:tab/>
      </w:r>
      <w:r w:rsidR="00C43ECA" w:rsidRPr="00356367">
        <w:rPr>
          <w:lang w:val="en"/>
        </w:rPr>
        <w:t xml:space="preserve">By letter </w:t>
      </w:r>
      <w:r w:rsidR="00620191" w:rsidRPr="00356367">
        <w:rPr>
          <w:lang w:val="en"/>
        </w:rPr>
        <w:t xml:space="preserve">of </w:t>
      </w:r>
      <w:r w:rsidR="00DE2845" w:rsidRPr="00356367">
        <w:rPr>
          <w:rFonts w:eastAsia="SimSun"/>
          <w:lang w:eastAsia="zh-CN"/>
        </w:rPr>
        <w:t>23 July 2009</w:t>
      </w:r>
      <w:r w:rsidR="00C43ECA" w:rsidRPr="00356367">
        <w:rPr>
          <w:lang w:val="en"/>
        </w:rPr>
        <w:t>, the author re</w:t>
      </w:r>
      <w:r w:rsidRPr="00356367">
        <w:rPr>
          <w:lang w:val="en"/>
        </w:rPr>
        <w:t>ject</w:t>
      </w:r>
      <w:r w:rsidR="003F2F2D" w:rsidRPr="00356367">
        <w:rPr>
          <w:lang w:val="en"/>
        </w:rPr>
        <w:t>ed</w:t>
      </w:r>
      <w:r w:rsidR="00C43ECA" w:rsidRPr="00356367">
        <w:rPr>
          <w:lang w:val="en"/>
        </w:rPr>
        <w:t xml:space="preserve"> the State party’s arguments that the administrative sanction imposed on her for violation of the procedure for organizing and holding a pi</w:t>
      </w:r>
      <w:r w:rsidRPr="00356367">
        <w:rPr>
          <w:lang w:val="en"/>
        </w:rPr>
        <w:t>ck</w:t>
      </w:r>
      <w:r w:rsidR="00C43ECA" w:rsidRPr="00356367">
        <w:rPr>
          <w:lang w:val="en"/>
        </w:rPr>
        <w:t xml:space="preserve">et was </w:t>
      </w:r>
      <w:r w:rsidR="00AD6ABF" w:rsidRPr="00356367">
        <w:rPr>
          <w:lang w:val="en"/>
        </w:rPr>
        <w:t>lawful</w:t>
      </w:r>
      <w:r w:rsidR="00C43ECA" w:rsidRPr="00356367">
        <w:rPr>
          <w:lang w:val="en"/>
        </w:rPr>
        <w:t xml:space="preserve"> and was in conformity with the permissible restrictions set out in article 19 and article 21 of the Covenant, as:</w:t>
      </w:r>
      <w:r w:rsidR="00C43ECA" w:rsidRPr="00356367">
        <w:rPr>
          <w:rFonts w:eastAsia="SimSun"/>
          <w:lang w:eastAsia="zh-CN"/>
        </w:rPr>
        <w:t xml:space="preserve"> the </w:t>
      </w:r>
      <w:r w:rsidR="00AD6ABF" w:rsidRPr="00356367">
        <w:rPr>
          <w:rFonts w:eastAsia="SimSun"/>
          <w:lang w:eastAsia="zh-CN"/>
        </w:rPr>
        <w:t>encounter</w:t>
      </w:r>
      <w:r w:rsidR="00C43ECA" w:rsidRPr="00356367">
        <w:rPr>
          <w:rFonts w:eastAsia="SimSun"/>
          <w:lang w:eastAsia="zh-CN"/>
        </w:rPr>
        <w:t xml:space="preserve"> on 25 March 2008 was of </w:t>
      </w:r>
      <w:r w:rsidR="007463C3" w:rsidRPr="00356367">
        <w:rPr>
          <w:rFonts w:eastAsia="SimSun"/>
          <w:lang w:eastAsia="zh-CN"/>
        </w:rPr>
        <w:t xml:space="preserve">a </w:t>
      </w:r>
      <w:r w:rsidR="00C43ECA" w:rsidRPr="00356367">
        <w:rPr>
          <w:rFonts w:eastAsia="SimSun"/>
          <w:lang w:eastAsia="zh-CN"/>
        </w:rPr>
        <w:t xml:space="preserve">peaceful nature; the attire (white-and-red flag </w:t>
      </w:r>
      <w:r w:rsidR="007463C3" w:rsidRPr="00356367">
        <w:rPr>
          <w:rFonts w:eastAsia="SimSun"/>
          <w:lang w:eastAsia="zh-CN"/>
        </w:rPr>
        <w:t xml:space="preserve">worn </w:t>
      </w:r>
      <w:r w:rsidR="00C43ECA" w:rsidRPr="00356367">
        <w:rPr>
          <w:rFonts w:eastAsia="SimSun"/>
          <w:lang w:eastAsia="zh-CN"/>
        </w:rPr>
        <w:t xml:space="preserve">over clothes and the </w:t>
      </w:r>
      <w:r w:rsidR="00620191" w:rsidRPr="00356367">
        <w:rPr>
          <w:rFonts w:eastAsia="SimSun"/>
          <w:lang w:eastAsia="zh-CN"/>
        </w:rPr>
        <w:t>embroidered tapestry</w:t>
      </w:r>
      <w:r w:rsidR="00C43ECA" w:rsidRPr="00356367">
        <w:rPr>
          <w:rFonts w:eastAsia="SimSun"/>
          <w:lang w:eastAsia="zh-CN"/>
        </w:rPr>
        <w:t xml:space="preserve">) was not prohibited by national law; during the </w:t>
      </w:r>
      <w:r w:rsidR="00AD6ABF" w:rsidRPr="00356367">
        <w:rPr>
          <w:rFonts w:eastAsia="SimSun"/>
          <w:lang w:eastAsia="zh-CN"/>
        </w:rPr>
        <w:t>encounter</w:t>
      </w:r>
      <w:r w:rsidR="00C43ECA" w:rsidRPr="00356367">
        <w:rPr>
          <w:rFonts w:eastAsia="SimSun"/>
          <w:lang w:eastAsia="zh-CN"/>
        </w:rPr>
        <w:t xml:space="preserve">, there were no slogans expressing </w:t>
      </w:r>
      <w:r w:rsidR="003D119A" w:rsidRPr="00356367">
        <w:rPr>
          <w:rFonts w:eastAsia="SimSun"/>
          <w:lang w:eastAsia="zh-CN"/>
        </w:rPr>
        <w:t xml:space="preserve">a </w:t>
      </w:r>
      <w:r w:rsidR="00C43ECA" w:rsidRPr="00356367">
        <w:rPr>
          <w:rFonts w:eastAsia="SimSun"/>
          <w:lang w:eastAsia="zh-CN"/>
        </w:rPr>
        <w:t xml:space="preserve">stance </w:t>
      </w:r>
      <w:r w:rsidR="003D119A" w:rsidRPr="00356367">
        <w:rPr>
          <w:rFonts w:eastAsia="SimSun"/>
          <w:lang w:eastAsia="zh-CN"/>
        </w:rPr>
        <w:t xml:space="preserve">favourable to the </w:t>
      </w:r>
      <w:r w:rsidR="00C43ECA" w:rsidRPr="00356367">
        <w:rPr>
          <w:rFonts w:eastAsia="SimSun"/>
          <w:lang w:eastAsia="zh-CN"/>
        </w:rPr>
        <w:t>overthrow</w:t>
      </w:r>
      <w:r w:rsidR="003D119A" w:rsidRPr="00356367">
        <w:rPr>
          <w:rFonts w:eastAsia="SimSun"/>
          <w:lang w:eastAsia="zh-CN"/>
        </w:rPr>
        <w:t xml:space="preserve"> of</w:t>
      </w:r>
      <w:r w:rsidR="00C43ECA" w:rsidRPr="00356367">
        <w:rPr>
          <w:rFonts w:eastAsia="SimSun"/>
          <w:lang w:eastAsia="zh-CN"/>
        </w:rPr>
        <w:t xml:space="preserve"> the </w:t>
      </w:r>
      <w:r w:rsidRPr="00356367">
        <w:rPr>
          <w:rFonts w:eastAsia="SimSun"/>
          <w:lang w:eastAsia="zh-CN"/>
        </w:rPr>
        <w:t>regime</w:t>
      </w:r>
      <w:r w:rsidR="00C43ECA" w:rsidRPr="00356367">
        <w:rPr>
          <w:rFonts w:eastAsia="SimSun"/>
          <w:lang w:eastAsia="zh-CN"/>
        </w:rPr>
        <w:t xml:space="preserve"> in power, </w:t>
      </w:r>
      <w:r w:rsidR="006A51FD" w:rsidRPr="00356367">
        <w:rPr>
          <w:rFonts w:eastAsia="SimSun"/>
          <w:lang w:eastAsia="zh-CN"/>
        </w:rPr>
        <w:t xml:space="preserve">incitement </w:t>
      </w:r>
      <w:r w:rsidR="00C43ECA" w:rsidRPr="00356367">
        <w:rPr>
          <w:rFonts w:eastAsia="SimSun"/>
          <w:lang w:eastAsia="zh-CN"/>
        </w:rPr>
        <w:t xml:space="preserve">to mass riots or to other unlawful actions; the police officers </w:t>
      </w:r>
      <w:r w:rsidR="003F2F2D" w:rsidRPr="00356367">
        <w:rPr>
          <w:rFonts w:eastAsia="SimSun"/>
          <w:lang w:eastAsia="zh-CN"/>
        </w:rPr>
        <w:t xml:space="preserve">breached </w:t>
      </w:r>
      <w:r w:rsidRPr="00356367">
        <w:rPr>
          <w:rFonts w:eastAsia="SimSun"/>
          <w:lang w:eastAsia="zh-CN"/>
        </w:rPr>
        <w:t xml:space="preserve">the author’s </w:t>
      </w:r>
      <w:r w:rsidR="003F2F2D" w:rsidRPr="00356367">
        <w:rPr>
          <w:rFonts w:eastAsia="SimSun"/>
          <w:lang w:eastAsia="zh-CN"/>
        </w:rPr>
        <w:t xml:space="preserve">rights of </w:t>
      </w:r>
      <w:r w:rsidR="00C43ECA" w:rsidRPr="00356367">
        <w:rPr>
          <w:rFonts w:eastAsia="SimSun"/>
          <w:lang w:eastAsia="zh-CN"/>
        </w:rPr>
        <w:t xml:space="preserve">peaceful assembly and freedom of expression; the State party did not indicate that the </w:t>
      </w:r>
      <w:r w:rsidR="00AD6ABF" w:rsidRPr="00356367">
        <w:rPr>
          <w:rFonts w:eastAsia="SimSun"/>
          <w:lang w:eastAsia="zh-CN"/>
        </w:rPr>
        <w:t xml:space="preserve">encounter </w:t>
      </w:r>
      <w:r w:rsidR="00C43ECA" w:rsidRPr="00356367">
        <w:rPr>
          <w:rFonts w:eastAsia="SimSun"/>
          <w:lang w:eastAsia="zh-CN"/>
        </w:rPr>
        <w:t xml:space="preserve">caused disturbances to </w:t>
      </w:r>
      <w:r w:rsidR="00C43ECA" w:rsidRPr="00356367">
        <w:t xml:space="preserve">public health or morals or </w:t>
      </w:r>
      <w:r w:rsidRPr="00356367">
        <w:t xml:space="preserve">impeded </w:t>
      </w:r>
      <w:r w:rsidR="00C43ECA" w:rsidRPr="00356367">
        <w:t xml:space="preserve">the protection of the rights and freedoms of others; </w:t>
      </w:r>
      <w:r w:rsidR="0092780B" w:rsidRPr="00356367">
        <w:t xml:space="preserve">nor did </w:t>
      </w:r>
      <w:r w:rsidR="00C43ECA" w:rsidRPr="00356367">
        <w:rPr>
          <w:rFonts w:eastAsia="SimSun"/>
          <w:lang w:eastAsia="zh-CN"/>
        </w:rPr>
        <w:t xml:space="preserve">the State party indicate that the </w:t>
      </w:r>
      <w:r w:rsidR="00AD6ABF" w:rsidRPr="00356367">
        <w:rPr>
          <w:rFonts w:eastAsia="SimSun"/>
          <w:lang w:eastAsia="zh-CN"/>
        </w:rPr>
        <w:t xml:space="preserve">encounter </w:t>
      </w:r>
      <w:r w:rsidR="00C43ECA" w:rsidRPr="00356367">
        <w:rPr>
          <w:rFonts w:eastAsia="SimSun"/>
          <w:lang w:eastAsia="zh-CN"/>
        </w:rPr>
        <w:t xml:space="preserve">endangered national security, public order, </w:t>
      </w:r>
      <w:r w:rsidR="00964E48" w:rsidRPr="00356367">
        <w:rPr>
          <w:rFonts w:eastAsia="SimSun"/>
          <w:lang w:eastAsia="zh-CN"/>
        </w:rPr>
        <w:t xml:space="preserve">or the </w:t>
      </w:r>
      <w:r w:rsidR="00C43ECA" w:rsidRPr="00356367">
        <w:rPr>
          <w:rFonts w:eastAsia="SimSun"/>
          <w:lang w:eastAsia="zh-CN"/>
        </w:rPr>
        <w:t>health and wellbeing of the population.</w:t>
      </w:r>
    </w:p>
    <w:p w:rsidR="003F2F2D" w:rsidRPr="00356367" w:rsidRDefault="00463B15" w:rsidP="003726BE">
      <w:pPr>
        <w:pStyle w:val="SingleTxtG"/>
        <w:rPr>
          <w:b/>
        </w:rPr>
      </w:pPr>
      <w:r w:rsidRPr="00356367">
        <w:rPr>
          <w:rFonts w:eastAsia="SimSun"/>
          <w:lang w:eastAsia="zh-CN"/>
        </w:rPr>
        <w:t>7</w:t>
      </w:r>
      <w:r w:rsidR="00EA17FD" w:rsidRPr="00356367">
        <w:rPr>
          <w:rFonts w:eastAsia="SimSun"/>
          <w:lang w:eastAsia="zh-CN"/>
        </w:rPr>
        <w:t>.</w:t>
      </w:r>
      <w:r w:rsidRPr="00356367">
        <w:rPr>
          <w:rFonts w:eastAsia="SimSun"/>
          <w:lang w:eastAsia="zh-CN"/>
        </w:rPr>
        <w:t>2</w:t>
      </w:r>
      <w:r w:rsidR="00B55F59" w:rsidRPr="00356367">
        <w:rPr>
          <w:rFonts w:eastAsia="SimSun"/>
          <w:lang w:eastAsia="zh-CN"/>
        </w:rPr>
        <w:tab/>
        <w:t>The author further submi</w:t>
      </w:r>
      <w:r w:rsidR="003F2F2D" w:rsidRPr="00356367">
        <w:rPr>
          <w:rFonts w:eastAsia="SimSun"/>
          <w:lang w:eastAsia="zh-CN"/>
        </w:rPr>
        <w:t>t</w:t>
      </w:r>
      <w:r w:rsidR="00B55F59" w:rsidRPr="00356367">
        <w:rPr>
          <w:rFonts w:eastAsia="SimSun"/>
          <w:lang w:eastAsia="zh-CN"/>
        </w:rPr>
        <w:t>t</w:t>
      </w:r>
      <w:r w:rsidR="003F2F2D" w:rsidRPr="00356367">
        <w:rPr>
          <w:rFonts w:eastAsia="SimSun"/>
          <w:lang w:eastAsia="zh-CN"/>
        </w:rPr>
        <w:t>ed</w:t>
      </w:r>
      <w:r w:rsidR="00B55F59" w:rsidRPr="00356367">
        <w:rPr>
          <w:rFonts w:eastAsia="SimSun"/>
          <w:lang w:eastAsia="zh-CN"/>
        </w:rPr>
        <w:t xml:space="preserve"> that </w:t>
      </w:r>
      <w:r w:rsidR="00C43ECA" w:rsidRPr="00356367">
        <w:rPr>
          <w:rFonts w:eastAsia="SimSun"/>
          <w:lang w:eastAsia="zh-CN"/>
        </w:rPr>
        <w:t>the</w:t>
      </w:r>
      <w:r w:rsidRPr="00356367">
        <w:rPr>
          <w:rFonts w:eastAsia="SimSun"/>
          <w:lang w:eastAsia="zh-CN"/>
        </w:rPr>
        <w:t xml:space="preserve"> participants </w:t>
      </w:r>
      <w:r w:rsidR="00AD6ABF" w:rsidRPr="00356367">
        <w:rPr>
          <w:rFonts w:eastAsia="SimSun"/>
          <w:lang w:eastAsia="zh-CN"/>
        </w:rPr>
        <w:t>during the encounter</w:t>
      </w:r>
      <w:r w:rsidRPr="00356367">
        <w:rPr>
          <w:rFonts w:eastAsia="SimSun"/>
          <w:lang w:eastAsia="zh-CN"/>
        </w:rPr>
        <w:t xml:space="preserve"> </w:t>
      </w:r>
      <w:r w:rsidR="00C43ECA" w:rsidRPr="00356367">
        <w:rPr>
          <w:rFonts w:eastAsia="SimSun"/>
          <w:lang w:eastAsia="zh-CN"/>
        </w:rPr>
        <w:t>merely discuss</w:t>
      </w:r>
      <w:r w:rsidR="007463C3" w:rsidRPr="00356367">
        <w:rPr>
          <w:rFonts w:eastAsia="SimSun"/>
          <w:lang w:eastAsia="zh-CN"/>
        </w:rPr>
        <w:t>ed</w:t>
      </w:r>
      <w:r w:rsidR="00C43ECA" w:rsidRPr="00356367">
        <w:rPr>
          <w:rFonts w:eastAsia="SimSun"/>
          <w:lang w:eastAsia="zh-CN"/>
        </w:rPr>
        <w:t xml:space="preserve"> the </w:t>
      </w:r>
      <w:r w:rsidR="003D119A" w:rsidRPr="00356367">
        <w:rPr>
          <w:rFonts w:eastAsia="SimSun"/>
          <w:lang w:eastAsia="zh-CN"/>
        </w:rPr>
        <w:t>anniversary</w:t>
      </w:r>
      <w:r w:rsidR="00B55C0C" w:rsidRPr="00356367">
        <w:rPr>
          <w:rFonts w:eastAsia="SimSun"/>
          <w:lang w:eastAsia="zh-CN"/>
        </w:rPr>
        <w:t xml:space="preserve"> and in no way disturbed the movement of </w:t>
      </w:r>
      <w:r w:rsidR="007463C3" w:rsidRPr="00356367">
        <w:rPr>
          <w:rFonts w:eastAsia="SimSun"/>
          <w:lang w:eastAsia="zh-CN"/>
        </w:rPr>
        <w:t xml:space="preserve">means of </w:t>
      </w:r>
      <w:r w:rsidR="00B55C0C" w:rsidRPr="00356367">
        <w:rPr>
          <w:rFonts w:eastAsia="SimSun"/>
          <w:lang w:eastAsia="zh-CN"/>
        </w:rPr>
        <w:t>transport</w:t>
      </w:r>
      <w:r w:rsidR="000B03C7" w:rsidRPr="00356367">
        <w:rPr>
          <w:rFonts w:eastAsia="SimSun"/>
          <w:lang w:eastAsia="zh-CN"/>
        </w:rPr>
        <w:t xml:space="preserve"> </w:t>
      </w:r>
      <w:r w:rsidR="00B55C0C" w:rsidRPr="00356367">
        <w:rPr>
          <w:rFonts w:eastAsia="SimSun"/>
          <w:lang w:eastAsia="zh-CN"/>
        </w:rPr>
        <w:t xml:space="preserve">or pedestrians, </w:t>
      </w:r>
      <w:r w:rsidR="00B55C0C" w:rsidRPr="00356367">
        <w:t xml:space="preserve">did not interfere </w:t>
      </w:r>
      <w:r w:rsidR="007463C3" w:rsidRPr="00356367">
        <w:t xml:space="preserve">with </w:t>
      </w:r>
      <w:r w:rsidR="00B55C0C" w:rsidRPr="00356367">
        <w:t>the activities of any institutions or organizations, did not chant any slogans or appeals and did not impart any information to the population.</w:t>
      </w:r>
    </w:p>
    <w:p w:rsidR="00415757" w:rsidRPr="00356367" w:rsidRDefault="00EE24F3" w:rsidP="00EE24F3">
      <w:pPr>
        <w:pStyle w:val="H23G"/>
      </w:pPr>
      <w:r w:rsidRPr="00356367">
        <w:tab/>
      </w:r>
      <w:r w:rsidRPr="00356367">
        <w:tab/>
      </w:r>
      <w:r w:rsidR="00415757" w:rsidRPr="00356367">
        <w:t>Issues and proceedings before the Committee</w:t>
      </w:r>
    </w:p>
    <w:p w:rsidR="009E31DB" w:rsidRPr="00356367" w:rsidRDefault="00EE24F3" w:rsidP="00EE24F3">
      <w:pPr>
        <w:pStyle w:val="H4G"/>
      </w:pPr>
      <w:r w:rsidRPr="00356367">
        <w:tab/>
      </w:r>
      <w:r w:rsidRPr="00356367">
        <w:tab/>
      </w:r>
      <w:r w:rsidR="009E31DB" w:rsidRPr="00356367">
        <w:t>Consideration of admissibility</w:t>
      </w:r>
    </w:p>
    <w:p w:rsidR="0050037F" w:rsidRPr="00356367" w:rsidRDefault="00463B15" w:rsidP="0050037F">
      <w:pPr>
        <w:pStyle w:val="SingleTxtG"/>
        <w:rPr>
          <w:lang w:val="en-US"/>
        </w:rPr>
      </w:pPr>
      <w:r w:rsidRPr="00356367">
        <w:rPr>
          <w:lang w:val="en-US"/>
        </w:rPr>
        <w:t>8</w:t>
      </w:r>
      <w:r w:rsidR="0050037F" w:rsidRPr="00356367">
        <w:rPr>
          <w:lang w:val="en-US"/>
        </w:rPr>
        <w:t>.1</w:t>
      </w:r>
      <w:r w:rsidR="0050037F" w:rsidRPr="00356367">
        <w:rPr>
          <w:lang w:val="en-US"/>
        </w:rPr>
        <w:tab/>
        <w:t>Before considering any claim contained in a communication, the Human Rights Committee must, in accordance with rule 93 of its rules of procedure, decide whether or not it is admissible under the Optional Protocol to the Covenant.</w:t>
      </w:r>
    </w:p>
    <w:p w:rsidR="0050037F" w:rsidRPr="00356367" w:rsidRDefault="006A71E4" w:rsidP="0050037F">
      <w:pPr>
        <w:pStyle w:val="SingleTxtG"/>
      </w:pPr>
      <w:r w:rsidRPr="00356367">
        <w:rPr>
          <w:lang w:val="en-US"/>
        </w:rPr>
        <w:t>8</w:t>
      </w:r>
      <w:r w:rsidR="0050037F" w:rsidRPr="00356367">
        <w:rPr>
          <w:lang w:val="en-US"/>
        </w:rPr>
        <w:t>.2</w:t>
      </w:r>
      <w:r w:rsidR="0050037F" w:rsidRPr="00356367">
        <w:rPr>
          <w:lang w:val="en-US"/>
        </w:rPr>
        <w:tab/>
      </w:r>
      <w:r w:rsidR="0050037F" w:rsidRPr="00356367">
        <w:t>As required under article 5, paragraph 2</w:t>
      </w:r>
      <w:r w:rsidR="00004115" w:rsidRPr="00356367">
        <w:t xml:space="preserve"> </w:t>
      </w:r>
      <w:r w:rsidR="0050037F" w:rsidRPr="00356367">
        <w:t>(a), of the Optional Protocol, the Committee has ascertained that the same matter is not being examined under another procedure of international investigation or settlement.</w:t>
      </w:r>
    </w:p>
    <w:p w:rsidR="0016642F" w:rsidRPr="00356367" w:rsidRDefault="006A71E4" w:rsidP="0016642F">
      <w:pPr>
        <w:pStyle w:val="SingleTxtG"/>
      </w:pPr>
      <w:r w:rsidRPr="00356367">
        <w:t>8</w:t>
      </w:r>
      <w:r w:rsidR="0050037F" w:rsidRPr="00356367">
        <w:rPr>
          <w:lang w:val="en-US"/>
        </w:rPr>
        <w:t>.3</w:t>
      </w:r>
      <w:r w:rsidR="0050037F" w:rsidRPr="00356367">
        <w:rPr>
          <w:lang w:val="en-US"/>
        </w:rPr>
        <w:tab/>
        <w:t>With regard to the requirement laid down in article 5, paragraph 2</w:t>
      </w:r>
      <w:r w:rsidR="00004115" w:rsidRPr="00356367">
        <w:rPr>
          <w:lang w:val="en-US"/>
        </w:rPr>
        <w:t xml:space="preserve"> </w:t>
      </w:r>
      <w:r w:rsidR="0050037F" w:rsidRPr="00356367">
        <w:rPr>
          <w:lang w:val="en-US"/>
        </w:rPr>
        <w:t>(b), of the Optional Protocol, the Committee takes note of the State party’s argument that the author failed to file an application for supervisory review to the Chairman of the Supreme Court of Belarus and to the Prosecutor</w:t>
      </w:r>
      <w:r w:rsidR="003F2F2D" w:rsidRPr="00356367">
        <w:rPr>
          <w:lang w:val="en-US"/>
        </w:rPr>
        <w:t>’s Office</w:t>
      </w:r>
      <w:r w:rsidR="0050037F" w:rsidRPr="00356367">
        <w:rPr>
          <w:lang w:val="en-US"/>
        </w:rPr>
        <w:t xml:space="preserve">, </w:t>
      </w:r>
      <w:r w:rsidR="003F2F2D" w:rsidRPr="00356367">
        <w:rPr>
          <w:lang w:val="en-US"/>
        </w:rPr>
        <w:t xml:space="preserve">with a </w:t>
      </w:r>
      <w:r w:rsidR="0050037F" w:rsidRPr="00356367">
        <w:t xml:space="preserve">supervisory review </w:t>
      </w:r>
      <w:r w:rsidR="003F2F2D" w:rsidRPr="00356367">
        <w:t>complaint</w:t>
      </w:r>
      <w:r w:rsidR="0050037F" w:rsidRPr="00356367">
        <w:rPr>
          <w:lang w:val="en-US"/>
        </w:rPr>
        <w:t xml:space="preserve">, and </w:t>
      </w:r>
      <w:r w:rsidR="003F2F2D" w:rsidRPr="00356367">
        <w:rPr>
          <w:lang w:val="en-US"/>
        </w:rPr>
        <w:t xml:space="preserve">that, </w:t>
      </w:r>
      <w:r w:rsidR="0050037F" w:rsidRPr="00356367">
        <w:rPr>
          <w:lang w:val="en-US"/>
        </w:rPr>
        <w:t>therefore</w:t>
      </w:r>
      <w:r w:rsidR="003F2F2D" w:rsidRPr="00356367">
        <w:rPr>
          <w:lang w:val="en-US"/>
        </w:rPr>
        <w:t>,</w:t>
      </w:r>
      <w:r w:rsidR="0050037F" w:rsidRPr="00356367">
        <w:rPr>
          <w:lang w:val="en-US"/>
        </w:rPr>
        <w:t xml:space="preserve"> she ha</w:t>
      </w:r>
      <w:r w:rsidR="003F2F2D" w:rsidRPr="00356367">
        <w:rPr>
          <w:lang w:val="en-US"/>
        </w:rPr>
        <w:t>d</w:t>
      </w:r>
      <w:r w:rsidR="0050037F" w:rsidRPr="00356367">
        <w:rPr>
          <w:lang w:val="en-US"/>
        </w:rPr>
        <w:t xml:space="preserve"> not exhausted </w:t>
      </w:r>
      <w:r w:rsidR="00BB0665" w:rsidRPr="00356367">
        <w:rPr>
          <w:lang w:val="en-US"/>
        </w:rPr>
        <w:t xml:space="preserve">the </w:t>
      </w:r>
      <w:r w:rsidR="0050037F" w:rsidRPr="00356367">
        <w:rPr>
          <w:lang w:val="en-US"/>
        </w:rPr>
        <w:t>available domestic remedies.</w:t>
      </w:r>
      <w:r w:rsidR="0016642F" w:rsidRPr="00356367">
        <w:t xml:space="preserve"> </w:t>
      </w:r>
      <w:r w:rsidR="00720237" w:rsidRPr="00356367">
        <w:rPr>
          <w:lang w:val="en-US"/>
        </w:rPr>
        <w:t xml:space="preserve">The Committee notes, </w:t>
      </w:r>
      <w:r w:rsidR="00720237" w:rsidRPr="00356367">
        <w:t>however</w:t>
      </w:r>
      <w:r w:rsidR="0016642F" w:rsidRPr="00356367">
        <w:t xml:space="preserve">, </w:t>
      </w:r>
      <w:r w:rsidR="00720237" w:rsidRPr="00356367">
        <w:t xml:space="preserve">that </w:t>
      </w:r>
      <w:r w:rsidR="0016642F" w:rsidRPr="00356367">
        <w:t xml:space="preserve">the State party has not shown whether </w:t>
      </w:r>
      <w:r w:rsidR="00964E48" w:rsidRPr="00356367">
        <w:t>or</w:t>
      </w:r>
      <w:r w:rsidR="0016642F" w:rsidRPr="00356367">
        <w:t xml:space="preserve"> in how many cases supervisory review procedures were applied successfully in cases concerning freedom of expression. The Committee recalls its previous jurisprudence, according to which </w:t>
      </w:r>
      <w:r w:rsidR="0016642F" w:rsidRPr="00356367">
        <w:rPr>
          <w:bCs/>
        </w:rPr>
        <w:t>supervisory</w:t>
      </w:r>
      <w:r w:rsidR="0016642F" w:rsidRPr="00356367">
        <w:t xml:space="preserve"> review procedures against court decisions which have entered into force do not constitute a remedy which has to be exhausted for </w:t>
      </w:r>
      <w:r w:rsidR="00E63203" w:rsidRPr="00356367">
        <w:t xml:space="preserve">the </w:t>
      </w:r>
      <w:r w:rsidR="0016642F" w:rsidRPr="00356367">
        <w:t>purposes of article 5, paragraph 2 (b), of the Optional Protocol.</w:t>
      </w:r>
      <w:r w:rsidR="0016642F" w:rsidRPr="00356367">
        <w:rPr>
          <w:vertAlign w:val="superscript"/>
        </w:rPr>
        <w:footnoteReference w:id="5"/>
      </w:r>
      <w:r w:rsidR="0016642F" w:rsidRPr="00356367">
        <w:t xml:space="preserve"> In light of this, the Committee considers that it is not precluded by the requirements of article 5, paragraph 2 (b), of the Optional Protocol, </w:t>
      </w:r>
      <w:r w:rsidR="00E63203" w:rsidRPr="00356367">
        <w:t>from</w:t>
      </w:r>
      <w:r w:rsidR="0016642F" w:rsidRPr="00356367">
        <w:t xml:space="preserve"> examin</w:t>
      </w:r>
      <w:r w:rsidR="00E63203" w:rsidRPr="00356367">
        <w:t>ing</w:t>
      </w:r>
      <w:r w:rsidR="0016642F" w:rsidRPr="00356367">
        <w:t xml:space="preserve"> the present communication.</w:t>
      </w:r>
    </w:p>
    <w:p w:rsidR="0050037F" w:rsidRPr="00356367" w:rsidRDefault="006A71E4" w:rsidP="0050037F">
      <w:pPr>
        <w:pStyle w:val="SingleTxtG"/>
      </w:pPr>
      <w:r w:rsidRPr="00356367">
        <w:lastRenderedPageBreak/>
        <w:t>8.4</w:t>
      </w:r>
      <w:r w:rsidR="00EE24F3" w:rsidRPr="00356367">
        <w:tab/>
      </w:r>
      <w:r w:rsidR="003F2F2D" w:rsidRPr="00356367">
        <w:t>T</w:t>
      </w:r>
      <w:r w:rsidR="0050037F" w:rsidRPr="00356367">
        <w:t>he Committee</w:t>
      </w:r>
      <w:r w:rsidR="003F2F2D" w:rsidRPr="00356367">
        <w:t xml:space="preserve"> considers that the </w:t>
      </w:r>
      <w:r w:rsidR="0050037F" w:rsidRPr="00356367">
        <w:t>author has sufficiently substantiated, for purposes of admissibility,</w:t>
      </w:r>
      <w:r w:rsidR="00004115" w:rsidRPr="00356367">
        <w:t xml:space="preserve"> </w:t>
      </w:r>
      <w:r w:rsidR="0050037F" w:rsidRPr="00356367">
        <w:t>he</w:t>
      </w:r>
      <w:r w:rsidR="00004115" w:rsidRPr="00356367">
        <w:t>r</w:t>
      </w:r>
      <w:r w:rsidR="0050037F" w:rsidRPr="00356367">
        <w:t xml:space="preserve"> claims under article 19, paragraph 2, and article 21</w:t>
      </w:r>
      <w:r w:rsidR="00004115" w:rsidRPr="00356367">
        <w:t>,</w:t>
      </w:r>
      <w:r w:rsidR="0050037F" w:rsidRPr="00356367">
        <w:t xml:space="preserve"> of the Covenant. </w:t>
      </w:r>
      <w:r w:rsidR="00004115" w:rsidRPr="00356367">
        <w:t>Accordingly</w:t>
      </w:r>
      <w:r w:rsidR="0050037F" w:rsidRPr="00356367">
        <w:t xml:space="preserve">, </w:t>
      </w:r>
      <w:r w:rsidR="00004115" w:rsidRPr="00356367">
        <w:t>it</w:t>
      </w:r>
      <w:r w:rsidR="0050037F" w:rsidRPr="00356367">
        <w:t xml:space="preserve"> </w:t>
      </w:r>
      <w:r w:rsidR="003F2F2D" w:rsidRPr="00356367">
        <w:t>declares</w:t>
      </w:r>
      <w:r w:rsidR="0050037F" w:rsidRPr="00356367">
        <w:t xml:space="preserve"> the communication admissible and proceeds to its examination on the merits.</w:t>
      </w:r>
    </w:p>
    <w:p w:rsidR="009E31DB" w:rsidRPr="00356367" w:rsidRDefault="009E31DB" w:rsidP="00D42559">
      <w:pPr>
        <w:pStyle w:val="H4G"/>
      </w:pPr>
      <w:r w:rsidRPr="00356367">
        <w:tab/>
      </w:r>
      <w:r w:rsidRPr="00356367">
        <w:tab/>
        <w:t>Consideration of the merits</w:t>
      </w:r>
    </w:p>
    <w:p w:rsidR="00452605" w:rsidRPr="00356367" w:rsidRDefault="003726BE" w:rsidP="00452605">
      <w:pPr>
        <w:pStyle w:val="SingleTxtG"/>
      </w:pPr>
      <w:r w:rsidRPr="00356367">
        <w:t>9</w:t>
      </w:r>
      <w:r w:rsidR="00452605" w:rsidRPr="00356367">
        <w:rPr>
          <w:lang w:val="en-US"/>
        </w:rPr>
        <w:t>.1</w:t>
      </w:r>
      <w:r w:rsidR="00452605" w:rsidRPr="00356367">
        <w:rPr>
          <w:lang w:val="en-US"/>
        </w:rPr>
        <w:tab/>
        <w:t>The Human Rights Committee has considered the present communication in the light of all the information made available to it by the parties, as required under article 5, paragraph 1, of the Optional Protocol.</w:t>
      </w:r>
    </w:p>
    <w:p w:rsidR="007B6A3D" w:rsidRPr="00356367" w:rsidRDefault="00820B9C" w:rsidP="00C03785">
      <w:pPr>
        <w:pStyle w:val="SingleTxtG"/>
      </w:pPr>
      <w:r w:rsidRPr="00356367">
        <w:rPr>
          <w:lang w:val="en-US"/>
        </w:rPr>
        <w:t>9</w:t>
      </w:r>
      <w:r w:rsidR="00121ACD" w:rsidRPr="00356367">
        <w:rPr>
          <w:lang w:val="en-US"/>
        </w:rPr>
        <w:t>.2</w:t>
      </w:r>
      <w:r w:rsidR="00EE24F3" w:rsidRPr="00356367">
        <w:rPr>
          <w:lang w:val="en-US"/>
        </w:rPr>
        <w:tab/>
      </w:r>
      <w:r w:rsidR="00452605" w:rsidRPr="00356367">
        <w:rPr>
          <w:lang w:val="en-US"/>
        </w:rPr>
        <w:t>The Committee</w:t>
      </w:r>
      <w:r w:rsidRPr="00356367">
        <w:rPr>
          <w:lang w:val="en-US"/>
        </w:rPr>
        <w:t xml:space="preserve"> </w:t>
      </w:r>
      <w:r w:rsidR="00452605" w:rsidRPr="00356367">
        <w:rPr>
          <w:lang w:val="en-US"/>
        </w:rPr>
        <w:t xml:space="preserve">notes the author’s claims that the </w:t>
      </w:r>
      <w:r w:rsidR="003F2F2D" w:rsidRPr="00356367">
        <w:rPr>
          <w:lang w:val="en-US"/>
        </w:rPr>
        <w:t>fine</w:t>
      </w:r>
      <w:r w:rsidR="00452605" w:rsidRPr="00356367">
        <w:rPr>
          <w:lang w:val="en-US"/>
        </w:rPr>
        <w:t xml:space="preserve"> imposed on her </w:t>
      </w:r>
      <w:r w:rsidR="0054414F" w:rsidRPr="00356367">
        <w:rPr>
          <w:lang w:val="en-US"/>
        </w:rPr>
        <w:t xml:space="preserve">when trying to present a gift to an acquaintance, on the street, and the confiscation of the gift in question (an embroidered tapestry) </w:t>
      </w:r>
      <w:r w:rsidR="00452605" w:rsidRPr="00356367">
        <w:rPr>
          <w:lang w:val="en-US"/>
        </w:rPr>
        <w:t>constitutes an unjustified restriction on her freedom to impart information, as protected by article 19, paragraph 2,</w:t>
      </w:r>
      <w:r w:rsidR="00936903" w:rsidRPr="00356367">
        <w:rPr>
          <w:lang w:val="en-US"/>
        </w:rPr>
        <w:t xml:space="preserve"> </w:t>
      </w:r>
      <w:r w:rsidR="00452605" w:rsidRPr="00356367">
        <w:rPr>
          <w:lang w:val="en-US"/>
        </w:rPr>
        <w:t xml:space="preserve">of the Covenant. It further notes the State party’s contention that the author was administratively sanctioned in accordance with the requirements of national legislation for having breached the procedure for the organization and holding </w:t>
      </w:r>
      <w:r w:rsidR="00AD6ABF" w:rsidRPr="00356367">
        <w:rPr>
          <w:lang w:val="en-US"/>
        </w:rPr>
        <w:t xml:space="preserve">of </w:t>
      </w:r>
      <w:r w:rsidR="00543D61" w:rsidRPr="00356367">
        <w:rPr>
          <w:lang w:val="en-US"/>
        </w:rPr>
        <w:t>a pi</w:t>
      </w:r>
      <w:r w:rsidR="0017673F" w:rsidRPr="00356367">
        <w:rPr>
          <w:lang w:val="en-US"/>
        </w:rPr>
        <w:t>ck</w:t>
      </w:r>
      <w:r w:rsidR="00543D61" w:rsidRPr="00356367">
        <w:rPr>
          <w:lang w:val="en-US"/>
        </w:rPr>
        <w:t>et</w:t>
      </w:r>
      <w:r w:rsidR="00452605" w:rsidRPr="00356367">
        <w:rPr>
          <w:lang w:val="en-US"/>
        </w:rPr>
        <w:t xml:space="preserve">. </w:t>
      </w:r>
      <w:r w:rsidR="000B03C7" w:rsidRPr="00356367">
        <w:rPr>
          <w:lang w:val="en-US"/>
        </w:rPr>
        <w:t>The Committee considers that</w:t>
      </w:r>
      <w:r w:rsidR="00E74021" w:rsidRPr="00356367">
        <w:rPr>
          <w:lang w:val="en-US"/>
        </w:rPr>
        <w:t>,</w:t>
      </w:r>
      <w:r w:rsidR="000B03C7" w:rsidRPr="00356367">
        <w:rPr>
          <w:lang w:val="en-US"/>
        </w:rPr>
        <w:t xml:space="preserve"> i</w:t>
      </w:r>
      <w:r w:rsidR="007B6A3D" w:rsidRPr="00356367">
        <w:rPr>
          <w:lang w:val="en-US"/>
        </w:rPr>
        <w:t xml:space="preserve">rrespective of the </w:t>
      </w:r>
      <w:r w:rsidR="00E74021" w:rsidRPr="00356367">
        <w:rPr>
          <w:lang w:val="en-US"/>
        </w:rPr>
        <w:t xml:space="preserve">definition </w:t>
      </w:r>
      <w:r w:rsidR="007B6A3D" w:rsidRPr="00356367">
        <w:rPr>
          <w:lang w:val="en-US"/>
        </w:rPr>
        <w:t>of the author’s encounter on 25 March 2008 by the nation</w:t>
      </w:r>
      <w:r w:rsidR="000B03C7" w:rsidRPr="00356367">
        <w:rPr>
          <w:lang w:val="en-US"/>
        </w:rPr>
        <w:t>al</w:t>
      </w:r>
      <w:r w:rsidR="007B6A3D" w:rsidRPr="00356367">
        <w:rPr>
          <w:lang w:val="en-US"/>
        </w:rPr>
        <w:t xml:space="preserve"> court</w:t>
      </w:r>
      <w:r w:rsidR="000B03C7" w:rsidRPr="00356367">
        <w:rPr>
          <w:lang w:val="en-US"/>
        </w:rPr>
        <w:t>s,</w:t>
      </w:r>
      <w:r w:rsidR="007B6A3D" w:rsidRPr="00356367">
        <w:rPr>
          <w:lang w:val="en-US"/>
        </w:rPr>
        <w:t xml:space="preserve"> </w:t>
      </w:r>
      <w:r w:rsidR="00DF3C06" w:rsidRPr="00356367">
        <w:t xml:space="preserve">the above actions </w:t>
      </w:r>
      <w:r w:rsidR="000B03C7" w:rsidRPr="00356367">
        <w:t xml:space="preserve">by </w:t>
      </w:r>
      <w:r w:rsidR="00DF3C06" w:rsidRPr="00356367">
        <w:t xml:space="preserve">the authorities amount to </w:t>
      </w:r>
      <w:r w:rsidR="00DF3C06" w:rsidRPr="00356367">
        <w:rPr>
          <w:iCs/>
        </w:rPr>
        <w:t>de facto</w:t>
      </w:r>
      <w:r w:rsidR="00DF3C06" w:rsidRPr="00356367">
        <w:rPr>
          <w:i/>
          <w:iCs/>
        </w:rPr>
        <w:t xml:space="preserve"> </w:t>
      </w:r>
      <w:r w:rsidR="00DF3C06" w:rsidRPr="00356367">
        <w:t xml:space="preserve">limitations of the author's rights, in particular </w:t>
      </w:r>
      <w:r w:rsidR="000B03C7" w:rsidRPr="00356367">
        <w:t xml:space="preserve">of her </w:t>
      </w:r>
      <w:r w:rsidR="00DF3C06" w:rsidRPr="00356367">
        <w:t xml:space="preserve">right to impart information and ideas of all kind, </w:t>
      </w:r>
      <w:r w:rsidR="000B03C7" w:rsidRPr="00356367">
        <w:t xml:space="preserve">as protected by </w:t>
      </w:r>
      <w:r w:rsidR="00DF3C06" w:rsidRPr="00356367">
        <w:t>article 19, paragraph 2</w:t>
      </w:r>
      <w:r w:rsidR="00080E1A" w:rsidRPr="00356367">
        <w:t>,</w:t>
      </w:r>
      <w:r w:rsidR="00DF3C06" w:rsidRPr="00356367">
        <w:t xml:space="preserve"> of the Covenant. </w:t>
      </w:r>
      <w:r w:rsidR="003F2F2D" w:rsidRPr="00356367">
        <w:rPr>
          <w:lang w:val="en-US"/>
        </w:rPr>
        <w:t>T</w:t>
      </w:r>
      <w:r w:rsidR="00452605" w:rsidRPr="00356367">
        <w:rPr>
          <w:lang w:val="en-US"/>
        </w:rPr>
        <w:t xml:space="preserve">he Committee has </w:t>
      </w:r>
      <w:r w:rsidR="003F2F2D" w:rsidRPr="00356367">
        <w:rPr>
          <w:lang w:val="en-US"/>
        </w:rPr>
        <w:t xml:space="preserve">thus </w:t>
      </w:r>
      <w:r w:rsidR="00452605" w:rsidRPr="00356367">
        <w:rPr>
          <w:lang w:val="en-US"/>
        </w:rPr>
        <w:t>to consider whether the restrictions imposed on the author’s right to freedom of expression are justified under any of the criteria set out in article 19, paragraph 3. The Committee observes that article 19</w:t>
      </w:r>
      <w:r w:rsidR="003F2F2D" w:rsidRPr="00356367">
        <w:rPr>
          <w:lang w:val="en-US"/>
        </w:rPr>
        <w:t>, paragraph 3, of the Covenant</w:t>
      </w:r>
      <w:r w:rsidR="00452605" w:rsidRPr="00356367">
        <w:rPr>
          <w:lang w:val="en-US"/>
        </w:rPr>
        <w:t xml:space="preserve"> provides for certain restrictions only as provided by law and necessary: (a) for respect of the rights and reputation of others; and (b) for the protection of national security or public order (ordre public), or of public health or morals. It recalls</w:t>
      </w:r>
      <w:r w:rsidR="007B6A3D" w:rsidRPr="00356367">
        <w:rPr>
          <w:lang w:val="en-US"/>
        </w:rPr>
        <w:t xml:space="preserve"> that according to its general comment No.</w:t>
      </w:r>
      <w:r w:rsidR="003D119A" w:rsidRPr="00356367">
        <w:rPr>
          <w:lang w:val="en-US"/>
        </w:rPr>
        <w:t xml:space="preserve"> </w:t>
      </w:r>
      <w:r w:rsidR="007B6A3D" w:rsidRPr="00356367">
        <w:rPr>
          <w:lang w:val="en-US"/>
        </w:rPr>
        <w:t>34</w:t>
      </w:r>
      <w:r w:rsidR="00720237" w:rsidRPr="00356367">
        <w:rPr>
          <w:lang w:val="en-US"/>
        </w:rPr>
        <w:t>,</w:t>
      </w:r>
      <w:r w:rsidR="00452605" w:rsidRPr="00356367">
        <w:rPr>
          <w:lang w:val="en-US"/>
        </w:rPr>
        <w:t xml:space="preserve"> freedom of opinion and freedom of expression are indispensable conditions for the full development of the person; such freedoms are essential for any society and constitute the foundation stone for every free and democratic society.</w:t>
      </w:r>
      <w:r w:rsidR="00452605" w:rsidRPr="00356367">
        <w:rPr>
          <w:rStyle w:val="FootnoteReference"/>
          <w:lang w:val="en-US"/>
        </w:rPr>
        <w:footnoteReference w:id="6"/>
      </w:r>
      <w:r w:rsidR="00452605" w:rsidRPr="00356367">
        <w:rPr>
          <w:lang w:val="en-US"/>
        </w:rPr>
        <w:t xml:space="preserve"> Any restrictions </w:t>
      </w:r>
      <w:r w:rsidR="00E74021" w:rsidRPr="00356367">
        <w:rPr>
          <w:lang w:val="en-US"/>
        </w:rPr>
        <w:t xml:space="preserve">on </w:t>
      </w:r>
      <w:r w:rsidR="00452605" w:rsidRPr="00356367">
        <w:rPr>
          <w:lang w:val="en-US"/>
        </w:rPr>
        <w:t>the exercise of such freedoms must conform</w:t>
      </w:r>
      <w:r w:rsidR="00452605" w:rsidRPr="00356367">
        <w:t xml:space="preserve"> to strict tests of necessity and proportionality and </w:t>
      </w:r>
      <w:r w:rsidR="000358AA" w:rsidRPr="00356367">
        <w:t>“</w:t>
      </w:r>
      <w:r w:rsidR="00452605" w:rsidRPr="00356367">
        <w:t>be applied only for those purposes for which they were prescribed and must be directly related to the specific need on whic</w:t>
      </w:r>
      <w:r w:rsidR="00543D61" w:rsidRPr="00356367">
        <w:t>h they are predicated.</w:t>
      </w:r>
      <w:r w:rsidR="000358AA" w:rsidRPr="00356367">
        <w:t>”</w:t>
      </w:r>
      <w:r w:rsidR="00452605" w:rsidRPr="00356367">
        <w:rPr>
          <w:rStyle w:val="FootnoteReference"/>
        </w:rPr>
        <w:footnoteReference w:id="7"/>
      </w:r>
    </w:p>
    <w:p w:rsidR="00452605" w:rsidRPr="00356367" w:rsidRDefault="003726BE" w:rsidP="00C03785">
      <w:pPr>
        <w:pStyle w:val="SingleTxtG"/>
      </w:pPr>
      <w:r w:rsidRPr="00356367">
        <w:t>9</w:t>
      </w:r>
      <w:r w:rsidR="00452605" w:rsidRPr="00356367">
        <w:t>.</w:t>
      </w:r>
      <w:r w:rsidR="007B6A3D" w:rsidRPr="00356367">
        <w:t xml:space="preserve">3 </w:t>
      </w:r>
      <w:r w:rsidR="0012411D" w:rsidRPr="00356367">
        <w:tab/>
      </w:r>
      <w:r w:rsidR="0016642F" w:rsidRPr="00356367">
        <w:t xml:space="preserve">The Committee recalls that it is for the State party to show that the restrictions on the author’s right under article 19 are necessary and that even if a State party may introduce a system aiming to strike a balance between an individual’s freedom to impart information and the general interest in maintaining public order in a certain area, such a system must not operate in a way that is incompatible with article 19 of the Covenant. </w:t>
      </w:r>
      <w:r w:rsidR="004B7C63" w:rsidRPr="00356367">
        <w:t xml:space="preserve">The Committee notes the State party’s explanation that the Law on Mass Events is aimed at creating </w:t>
      </w:r>
      <w:r w:rsidR="00E74021" w:rsidRPr="00356367">
        <w:t xml:space="preserve">the </w:t>
      </w:r>
      <w:r w:rsidR="004B7C63" w:rsidRPr="00356367">
        <w:t xml:space="preserve">conditions for the </w:t>
      </w:r>
      <w:r w:rsidR="000B03C7" w:rsidRPr="00356367">
        <w:t>enjoyment</w:t>
      </w:r>
      <w:r w:rsidR="004B7C63" w:rsidRPr="00356367">
        <w:t xml:space="preserve"> of citizens’ constitutional rights and freedoms and the protection of public safety and public order during the holding of public events on streets, squares and other public locations. </w:t>
      </w:r>
      <w:r w:rsidR="00BF4CF5" w:rsidRPr="00356367">
        <w:t xml:space="preserve">The </w:t>
      </w:r>
      <w:r w:rsidR="00C03785" w:rsidRPr="00356367">
        <w:t>Committee</w:t>
      </w:r>
      <w:r w:rsidR="00BF4CF5" w:rsidRPr="00356367">
        <w:t xml:space="preserve"> </w:t>
      </w:r>
      <w:r w:rsidR="003F2F2D" w:rsidRPr="00356367">
        <w:t>notes, h</w:t>
      </w:r>
      <w:r w:rsidR="00452605" w:rsidRPr="00356367">
        <w:t>owever,</w:t>
      </w:r>
      <w:r w:rsidR="00820B9C" w:rsidRPr="00356367">
        <w:t xml:space="preserve"> that regardless of the kind of </w:t>
      </w:r>
      <w:r w:rsidR="00C21475" w:rsidRPr="00356367">
        <w:t>event</w:t>
      </w:r>
      <w:r w:rsidR="00820B9C" w:rsidRPr="00356367">
        <w:t xml:space="preserve"> at issue,</w:t>
      </w:r>
      <w:r w:rsidR="003F2F2D" w:rsidRPr="00356367">
        <w:t xml:space="preserve"> </w:t>
      </w:r>
      <w:r w:rsidR="00452605" w:rsidRPr="00356367">
        <w:t xml:space="preserve">the State party has not supplied any specific indication </w:t>
      </w:r>
      <w:r w:rsidR="003F2F2D" w:rsidRPr="00356367">
        <w:t xml:space="preserve">as to how the </w:t>
      </w:r>
      <w:r w:rsidR="00936903" w:rsidRPr="00356367">
        <w:t xml:space="preserve">restrictions imposed on the author’s rights under article 19 of the Covenant, in light of her concrete </w:t>
      </w:r>
      <w:r w:rsidR="003F2F2D" w:rsidRPr="00356367">
        <w:t>acts</w:t>
      </w:r>
      <w:r w:rsidR="00936903" w:rsidRPr="00356367">
        <w:t xml:space="preserve"> (as described in paragraphs 2.1 and 2.2 above), </w:t>
      </w:r>
      <w:r w:rsidR="0054414F" w:rsidRPr="00356367">
        <w:t xml:space="preserve">and the confiscation of her tapestry, </w:t>
      </w:r>
      <w:r w:rsidR="00936903" w:rsidRPr="00356367">
        <w:t>were justif</w:t>
      </w:r>
      <w:r w:rsidR="0054414F" w:rsidRPr="00356367">
        <w:t xml:space="preserve">ied </w:t>
      </w:r>
      <w:r w:rsidR="00936903" w:rsidRPr="00356367">
        <w:t xml:space="preserve">under article 19, paragraph 3, of the Covenant. </w:t>
      </w:r>
      <w:r w:rsidR="00452605" w:rsidRPr="00356367">
        <w:t xml:space="preserve">The Committee </w:t>
      </w:r>
      <w:r w:rsidR="000B03C7" w:rsidRPr="00356367">
        <w:t xml:space="preserve">therefore </w:t>
      </w:r>
      <w:r w:rsidR="00452605" w:rsidRPr="00356367">
        <w:t xml:space="preserve">considers that, in the circumstances of the case, the State party has not shown how the fine imposed on the author was justified under any of the criteria set out in article 19, </w:t>
      </w:r>
      <w:r w:rsidR="00452605" w:rsidRPr="00356367">
        <w:lastRenderedPageBreak/>
        <w:t xml:space="preserve">paragraph 3. </w:t>
      </w:r>
      <w:r w:rsidR="0016642F" w:rsidRPr="00356367">
        <w:t xml:space="preserve">It therefore concludes that the author’s rights under article 19, paragraph 2, of the Covenant have been violated. </w:t>
      </w:r>
    </w:p>
    <w:p w:rsidR="00FD52DD" w:rsidRPr="00356367" w:rsidRDefault="00FD52DD" w:rsidP="00C03785">
      <w:pPr>
        <w:pStyle w:val="SingleTxtG"/>
      </w:pPr>
      <w:r w:rsidRPr="00356367">
        <w:t>9.4</w:t>
      </w:r>
      <w:r w:rsidR="0012411D" w:rsidRPr="00356367">
        <w:tab/>
      </w:r>
      <w:r w:rsidRPr="00356367">
        <w:t xml:space="preserve">In view </w:t>
      </w:r>
      <w:r w:rsidR="000B03C7" w:rsidRPr="00356367">
        <w:t>of this conclusion</w:t>
      </w:r>
      <w:r w:rsidRPr="00356367">
        <w:t>, the Committee decides not to examine separately the author</w:t>
      </w:r>
      <w:r w:rsidR="000B03C7" w:rsidRPr="00356367">
        <w:t>’s claim</w:t>
      </w:r>
      <w:r w:rsidRPr="00356367">
        <w:t xml:space="preserve"> under article 21 of the Covenant.</w:t>
      </w:r>
    </w:p>
    <w:p w:rsidR="00452605" w:rsidRPr="00356367" w:rsidRDefault="003726BE" w:rsidP="00452605">
      <w:pPr>
        <w:pStyle w:val="SingleTxtG"/>
      </w:pPr>
      <w:r w:rsidRPr="00356367">
        <w:t>10</w:t>
      </w:r>
      <w:r w:rsidR="00452605" w:rsidRPr="00356367">
        <w:t>.</w:t>
      </w:r>
      <w:r w:rsidR="00452605" w:rsidRPr="00356367">
        <w:tab/>
        <w:t>The Human Rights Committee, acting under article 5, paragraph 4, of the Optional Protocol to the International Covenant on Civil and Political Rights, is of the view that the State party has violated the author’s rights under article</w:t>
      </w:r>
      <w:r w:rsidR="00820B9C" w:rsidRPr="00356367">
        <w:t xml:space="preserve"> </w:t>
      </w:r>
      <w:r w:rsidR="00452605" w:rsidRPr="00356367">
        <w:t>19, paragraph 2,</w:t>
      </w:r>
      <w:r w:rsidR="00543D61" w:rsidRPr="00356367">
        <w:t xml:space="preserve"> </w:t>
      </w:r>
      <w:r w:rsidR="00452605" w:rsidRPr="00356367">
        <w:t>of the International Covenant on Civil and Political Rights.</w:t>
      </w:r>
    </w:p>
    <w:p w:rsidR="00452605" w:rsidRPr="00356367" w:rsidRDefault="00EA17FD" w:rsidP="00452605">
      <w:pPr>
        <w:pStyle w:val="SingleTxtG"/>
        <w:rPr>
          <w:lang w:val="en-US"/>
        </w:rPr>
      </w:pPr>
      <w:r w:rsidRPr="00356367">
        <w:t>1</w:t>
      </w:r>
      <w:r w:rsidR="003726BE" w:rsidRPr="00356367">
        <w:t>1</w:t>
      </w:r>
      <w:r w:rsidR="00452605" w:rsidRPr="00356367">
        <w:t>.</w:t>
      </w:r>
      <w:r w:rsidR="00452605" w:rsidRPr="00356367">
        <w:tab/>
      </w:r>
      <w:r w:rsidR="00153A45" w:rsidRPr="00356367">
        <w:t>In accordance with article 2, paragraph 3 (a), of the Covenant, the State party is under an obligation to provide the author with an effective remedy, including the</w:t>
      </w:r>
      <w:r w:rsidR="0016642F" w:rsidRPr="00356367">
        <w:t xml:space="preserve"> return of the confiscated property or its value, </w:t>
      </w:r>
      <w:r w:rsidR="00153A45" w:rsidRPr="00356367">
        <w:t xml:space="preserve"> reimbursement of the present value of the fine and any legal costs incurred by the author, </w:t>
      </w:r>
      <w:r w:rsidR="000358AA" w:rsidRPr="00356367">
        <w:t>together with</w:t>
      </w:r>
      <w:r w:rsidR="00153A45" w:rsidRPr="00356367">
        <w:t xml:space="preserve"> compensation. </w:t>
      </w:r>
      <w:r w:rsidR="0016642F" w:rsidRPr="00356367">
        <w:t>The State party is also under obligation to take steps to prevent similar violations in the future.</w:t>
      </w:r>
    </w:p>
    <w:p w:rsidR="00452605" w:rsidRPr="00356367" w:rsidRDefault="00EA17FD" w:rsidP="00452605">
      <w:pPr>
        <w:pStyle w:val="SingleTxtG"/>
      </w:pPr>
      <w:r w:rsidRPr="00356367">
        <w:t>1</w:t>
      </w:r>
      <w:r w:rsidR="003726BE" w:rsidRPr="00356367">
        <w:t>2</w:t>
      </w:r>
      <w:r w:rsidR="00452605" w:rsidRPr="00356367">
        <w:t>.</w:t>
      </w:r>
      <w:r w:rsidR="00452605" w:rsidRPr="00356367">
        <w:tab/>
      </w:r>
      <w:r w:rsidR="00153A45" w:rsidRPr="00356367">
        <w:t>Bearing in mind that, by becoming a party to the Optional Protocol, the State party has recognized the competence of the Committee to determine whether there has been a violation of the Covenant or not and that, pursuant to article 2 of the Covenant, the State party has undertaken to ensure to all individuals within its territory or subject to its jurisdiction the rights recognized in the Covenant and to provide an effective and enforceable remedy in case a violation has been established, the Committee wishes to receive from the State party, within 180 days, information about the measures taken to give effect to the Committee’s Views. The State party is also requested to publish the present Views, and to have them widely disseminated in Belarusian and Russian in the State party.</w:t>
      </w:r>
    </w:p>
    <w:p w:rsidR="009E31DB" w:rsidRDefault="00452605" w:rsidP="00452605">
      <w:pPr>
        <w:pStyle w:val="SingleTxtG"/>
      </w:pPr>
      <w:r w:rsidRPr="00356367">
        <w:t>[Adopted in English, French and Spanish, the English text being the original version. Subsequently to be issued also in Arabic, Chinese and Russian as part of the Committee's annual report to the General Assembly.]</w:t>
      </w:r>
    </w:p>
    <w:p w:rsidR="009E31DB" w:rsidRPr="009E31DB" w:rsidRDefault="009E31DB" w:rsidP="009E31DB">
      <w:pPr>
        <w:jc w:val="center"/>
        <w:rPr>
          <w:u w:val="single"/>
        </w:rPr>
      </w:pPr>
      <w:r>
        <w:rPr>
          <w:u w:val="single"/>
        </w:rPr>
        <w:tab/>
      </w:r>
      <w:r>
        <w:rPr>
          <w:u w:val="single"/>
        </w:rPr>
        <w:tab/>
      </w:r>
      <w:r>
        <w:rPr>
          <w:u w:val="single"/>
        </w:rPr>
        <w:tab/>
      </w:r>
    </w:p>
    <w:sectPr w:rsidR="009E31DB" w:rsidRPr="009E31DB" w:rsidSect="009E31DB">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5EA" w:rsidRDefault="007005EA"/>
  </w:endnote>
  <w:endnote w:type="continuationSeparator" w:id="0">
    <w:p w:rsidR="007005EA" w:rsidRDefault="007005EA"/>
  </w:endnote>
  <w:endnote w:type="continuationNotice" w:id="1">
    <w:p w:rsidR="007005EA" w:rsidRDefault="007005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AA4" w:rsidRPr="009E31DB" w:rsidRDefault="00475AA4" w:rsidP="009E31DB">
    <w:pPr>
      <w:pStyle w:val="Footer"/>
      <w:tabs>
        <w:tab w:val="right" w:pos="9638"/>
      </w:tabs>
    </w:pPr>
    <w:r w:rsidRPr="009E31DB">
      <w:rPr>
        <w:b/>
        <w:sz w:val="18"/>
      </w:rPr>
      <w:fldChar w:fldCharType="begin"/>
    </w:r>
    <w:r w:rsidRPr="009E31DB">
      <w:rPr>
        <w:b/>
        <w:sz w:val="18"/>
      </w:rPr>
      <w:instrText xml:space="preserve"> PAGE  \* MERGEFORMAT </w:instrText>
    </w:r>
    <w:r w:rsidRPr="009E31DB">
      <w:rPr>
        <w:b/>
        <w:sz w:val="18"/>
      </w:rPr>
      <w:fldChar w:fldCharType="separate"/>
    </w:r>
    <w:r w:rsidR="001F2FD2">
      <w:rPr>
        <w:b/>
        <w:noProof/>
        <w:sz w:val="18"/>
      </w:rPr>
      <w:t>2</w:t>
    </w:r>
    <w:r w:rsidRPr="009E31DB">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AA4" w:rsidRPr="009E31DB" w:rsidRDefault="00475AA4" w:rsidP="001F4656">
    <w:pPr>
      <w:pStyle w:val="Footer"/>
      <w:tabs>
        <w:tab w:val="right" w:pos="9638"/>
      </w:tabs>
      <w:ind w:left="1134"/>
      <w:rPr>
        <w:sz w:val="18"/>
      </w:rPr>
    </w:pPr>
    <w:r>
      <w:rPr>
        <w:b/>
        <w:sz w:val="18"/>
      </w:rPr>
      <w:tab/>
    </w:r>
    <w:r w:rsidRPr="009E31DB">
      <w:rPr>
        <w:sz w:val="18"/>
      </w:rPr>
      <w:fldChar w:fldCharType="begin"/>
    </w:r>
    <w:r w:rsidRPr="009E31DB">
      <w:rPr>
        <w:sz w:val="18"/>
      </w:rPr>
      <w:instrText xml:space="preserve"> PAGE  \* MERGEFORMAT </w:instrText>
    </w:r>
    <w:r w:rsidRPr="009E31DB">
      <w:rPr>
        <w:sz w:val="18"/>
      </w:rPr>
      <w:fldChar w:fldCharType="separate"/>
    </w:r>
    <w:r w:rsidR="001F2FD2">
      <w:rPr>
        <w:noProof/>
        <w:sz w:val="18"/>
      </w:rPr>
      <w:t>3</w:t>
    </w:r>
    <w:r w:rsidRPr="009E31DB">
      <w:rP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AA4" w:rsidRDefault="007005EA">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05.4pt;margin-top:-6.25pt;width:73.25pt;height:18.15pt;z-index:1">
          <v:imagedata r:id="rId1" o:title="recycle_English"/>
          <w10:anchorlock/>
        </v:shape>
      </w:pict>
    </w:r>
    <w:r w:rsidR="0017010E">
      <w:t>GE.</w:t>
    </w:r>
    <w:r w:rsidR="00475AA4">
      <w:t>12</w:t>
    </w:r>
    <w:r w:rsidR="0017010E">
      <w:t>-48447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5EA" w:rsidRPr="000B175B" w:rsidRDefault="007005EA" w:rsidP="000B175B">
      <w:pPr>
        <w:tabs>
          <w:tab w:val="right" w:pos="2155"/>
        </w:tabs>
        <w:spacing w:after="80"/>
        <w:ind w:left="680"/>
        <w:rPr>
          <w:u w:val="single"/>
        </w:rPr>
      </w:pPr>
      <w:r>
        <w:rPr>
          <w:u w:val="single"/>
        </w:rPr>
        <w:tab/>
      </w:r>
    </w:p>
  </w:footnote>
  <w:footnote w:type="continuationSeparator" w:id="0">
    <w:p w:rsidR="007005EA" w:rsidRPr="00FC68B7" w:rsidRDefault="007005EA" w:rsidP="00FC68B7">
      <w:pPr>
        <w:tabs>
          <w:tab w:val="left" w:pos="2155"/>
        </w:tabs>
        <w:spacing w:after="80"/>
        <w:ind w:left="680"/>
        <w:rPr>
          <w:u w:val="single"/>
        </w:rPr>
      </w:pPr>
      <w:r>
        <w:rPr>
          <w:u w:val="single"/>
        </w:rPr>
        <w:tab/>
      </w:r>
    </w:p>
  </w:footnote>
  <w:footnote w:type="continuationNotice" w:id="1">
    <w:p w:rsidR="007005EA" w:rsidRDefault="007005EA"/>
  </w:footnote>
  <w:footnote w:id="2">
    <w:p w:rsidR="00475AA4" w:rsidRPr="00356367" w:rsidRDefault="00475AA4" w:rsidP="009F4854">
      <w:pPr>
        <w:pStyle w:val="SingleTxtG"/>
        <w:rPr>
          <w:lang w:eastAsia="en-GB"/>
        </w:rPr>
      </w:pPr>
      <w:r w:rsidRPr="00356367">
        <w:rPr>
          <w:rStyle w:val="FootnoteReference"/>
        </w:rPr>
        <w:t>*</w:t>
      </w:r>
      <w:r w:rsidRPr="00356367">
        <w:t xml:space="preserve"> </w:t>
      </w:r>
      <w:bookmarkStart w:id="1" w:name="OLE_LINK1"/>
      <w:bookmarkStart w:id="2" w:name="OLE_LINK2"/>
      <w:r w:rsidRPr="00356367">
        <w:rPr>
          <w:lang w:eastAsia="en-GB"/>
        </w:rPr>
        <w:t>The following members of the Committee participated in the examination of the present communication:  Mr. Yadh Ben Achour, Ms. Christine Chanet, Mr. Cornelis Flinterman, Mr. Yuji Iwasawa, Mr. Walter K</w:t>
      </w:r>
      <w:r w:rsidR="00494992" w:rsidRPr="00356367">
        <w:rPr>
          <w:lang w:eastAsia="en-GB"/>
        </w:rPr>
        <w:t>ä</w:t>
      </w:r>
      <w:r w:rsidRPr="00356367">
        <w:rPr>
          <w:lang w:eastAsia="en-GB"/>
        </w:rPr>
        <w:t>lin, Ms. Zonke Zanele Majodina, Mr. Gerald L. Neuman, Mr. Michael O’Flaherty, Mr. Rafael Rivas Posada, Sir Nigel Rodley, Mr. Fabian Omar Salvioli, Mr. Marat Sarsembayev and Mr. Krister Thelin.</w:t>
      </w:r>
    </w:p>
    <w:bookmarkEnd w:id="1"/>
    <w:bookmarkEnd w:id="2"/>
    <w:p w:rsidR="00475AA4" w:rsidRPr="00356367" w:rsidRDefault="00475AA4" w:rsidP="00DE42B6">
      <w:pPr>
        <w:pStyle w:val="FootnoteText"/>
        <w:ind w:firstLine="0"/>
        <w:jc w:val="both"/>
      </w:pPr>
    </w:p>
  </w:footnote>
  <w:footnote w:id="3">
    <w:p w:rsidR="00475AA4" w:rsidRPr="00356367" w:rsidRDefault="00475AA4" w:rsidP="00DE42B6">
      <w:pPr>
        <w:pStyle w:val="FootnoteText"/>
        <w:ind w:firstLine="0"/>
        <w:jc w:val="both"/>
      </w:pPr>
      <w:r w:rsidRPr="00356367">
        <w:rPr>
          <w:rStyle w:val="FootnoteReference"/>
        </w:rPr>
        <w:footnoteRef/>
      </w:r>
      <w:r w:rsidRPr="00356367">
        <w:t xml:space="preserve"> Article 23.34, paragraph 1, of the Belarus Code on Administrative Offences: Violation of the procedure on organization or conduct of street processions or pickets.</w:t>
      </w:r>
    </w:p>
  </w:footnote>
  <w:footnote w:id="4">
    <w:p w:rsidR="00475AA4" w:rsidRPr="00356367" w:rsidRDefault="00475AA4" w:rsidP="00DE42B6">
      <w:pPr>
        <w:pStyle w:val="FootnoteText"/>
        <w:ind w:firstLine="0"/>
        <w:jc w:val="both"/>
      </w:pPr>
      <w:r w:rsidRPr="00356367">
        <w:rPr>
          <w:rStyle w:val="FootnoteReference"/>
        </w:rPr>
        <w:footnoteRef/>
      </w:r>
      <w:r w:rsidRPr="00356367">
        <w:t xml:space="preserve"> Approx. 21 </w:t>
      </w:r>
      <w:r w:rsidR="00386555" w:rsidRPr="00356367">
        <w:t>e</w:t>
      </w:r>
      <w:r w:rsidRPr="00356367">
        <w:t>uro</w:t>
      </w:r>
      <w:r w:rsidR="00386555" w:rsidRPr="00356367">
        <w:t>s</w:t>
      </w:r>
      <w:r w:rsidRPr="00356367">
        <w:t xml:space="preserve">. The Court also ordered the confiscation of the tapestry </w:t>
      </w:r>
      <w:r w:rsidR="004E7FEA" w:rsidRPr="00356367">
        <w:t xml:space="preserve">displaying </w:t>
      </w:r>
      <w:r w:rsidRPr="00356367">
        <w:t xml:space="preserve">a prayer </w:t>
      </w:r>
      <w:r w:rsidR="00CC30C9" w:rsidRPr="00356367">
        <w:t xml:space="preserve">from </w:t>
      </w:r>
      <w:r w:rsidRPr="00356367">
        <w:t>the Bible.</w:t>
      </w:r>
    </w:p>
  </w:footnote>
  <w:footnote w:id="5">
    <w:p w:rsidR="00475AA4" w:rsidRPr="00356367" w:rsidRDefault="00475AA4" w:rsidP="0016642F">
      <w:pPr>
        <w:pStyle w:val="FootnoteText"/>
        <w:jc w:val="both"/>
      </w:pPr>
      <w:r w:rsidRPr="00356367">
        <w:tab/>
      </w:r>
      <w:r w:rsidRPr="00356367">
        <w:rPr>
          <w:rStyle w:val="FootnoteReference"/>
        </w:rPr>
        <w:footnoteRef/>
      </w:r>
      <w:r w:rsidRPr="00356367">
        <w:t xml:space="preserve"> </w:t>
      </w:r>
      <w:r w:rsidRPr="00356367">
        <w:tab/>
        <w:t xml:space="preserve">See, for example, communication No. 1814/2008  </w:t>
      </w:r>
      <w:r w:rsidRPr="00356367">
        <w:rPr>
          <w:i/>
        </w:rPr>
        <w:t>P.</w:t>
      </w:r>
      <w:r w:rsidR="00964E48" w:rsidRPr="00356367">
        <w:rPr>
          <w:i/>
        </w:rPr>
        <w:t xml:space="preserve"> </w:t>
      </w:r>
      <w:r w:rsidRPr="00356367">
        <w:rPr>
          <w:i/>
        </w:rPr>
        <w:t xml:space="preserve">L. </w:t>
      </w:r>
      <w:r w:rsidRPr="00356367">
        <w:t>v</w:t>
      </w:r>
      <w:r w:rsidRPr="00356367">
        <w:rPr>
          <w:i/>
        </w:rPr>
        <w:t xml:space="preserve">. </w:t>
      </w:r>
      <w:smartTag w:uri="urn:schemas-microsoft-com:office:smarttags" w:element="country-region">
        <w:smartTag w:uri="urn:schemas-microsoft-com:office:smarttags" w:element="place">
          <w:r w:rsidRPr="00356367">
            <w:rPr>
              <w:i/>
            </w:rPr>
            <w:t>Belarus</w:t>
          </w:r>
        </w:smartTag>
      </w:smartTag>
      <w:r w:rsidRPr="00356367">
        <w:t xml:space="preserve">, </w:t>
      </w:r>
      <w:r w:rsidR="00810CD3" w:rsidRPr="00356367">
        <w:t>decision of i</w:t>
      </w:r>
      <w:r w:rsidRPr="00356367">
        <w:t>nadmissibility of 26 July 2011, para</w:t>
      </w:r>
      <w:r w:rsidR="00D42559" w:rsidRPr="00356367">
        <w:t>.</w:t>
      </w:r>
      <w:r w:rsidRPr="00356367">
        <w:t xml:space="preserve"> 6.2.; communication No.</w:t>
      </w:r>
      <w:r w:rsidR="00964E48" w:rsidRPr="00356367">
        <w:t xml:space="preserve"> </w:t>
      </w:r>
      <w:r w:rsidRPr="00356367">
        <w:t xml:space="preserve">1784/2008 </w:t>
      </w:r>
      <w:r w:rsidRPr="00356367">
        <w:rPr>
          <w:i/>
        </w:rPr>
        <w:t xml:space="preserve">Schumilin </w:t>
      </w:r>
      <w:r w:rsidRPr="00356367">
        <w:t>v.</w:t>
      </w:r>
      <w:r w:rsidRPr="00356367">
        <w:rPr>
          <w:i/>
        </w:rPr>
        <w:t xml:space="preserve"> </w:t>
      </w:r>
      <w:smartTag w:uri="urn:schemas-microsoft-com:office:smarttags" w:element="country-region">
        <w:smartTag w:uri="urn:schemas-microsoft-com:office:smarttags" w:element="place">
          <w:r w:rsidRPr="00356367">
            <w:rPr>
              <w:i/>
            </w:rPr>
            <w:t>Belarus</w:t>
          </w:r>
        </w:smartTag>
      </w:smartTag>
      <w:r w:rsidRPr="00356367">
        <w:t>, Views of 23 July 2012, para</w:t>
      </w:r>
      <w:r w:rsidR="00D42559" w:rsidRPr="00356367">
        <w:t>.</w:t>
      </w:r>
      <w:r w:rsidRPr="00356367">
        <w:t xml:space="preserve"> 8.3.</w:t>
      </w:r>
    </w:p>
  </w:footnote>
  <w:footnote w:id="6">
    <w:p w:rsidR="00475AA4" w:rsidRPr="00356367" w:rsidRDefault="00475AA4" w:rsidP="00DE42B6">
      <w:pPr>
        <w:pStyle w:val="FootnoteText"/>
        <w:ind w:firstLine="0"/>
        <w:jc w:val="both"/>
      </w:pPr>
      <w:r w:rsidRPr="00356367">
        <w:rPr>
          <w:rStyle w:val="FootnoteReference"/>
        </w:rPr>
        <w:footnoteRef/>
      </w:r>
      <w:r w:rsidRPr="00356367">
        <w:t xml:space="preserve"> See the Committee’s general comment No. 34 (2011) on freedoms of opinion and expression, para. 2, </w:t>
      </w:r>
      <w:r w:rsidRPr="00356367">
        <w:rPr>
          <w:i/>
        </w:rPr>
        <w:t>Official Records of the General Assembly, Sixty-sixth Session, Supplement No. 40</w:t>
      </w:r>
      <w:r w:rsidRPr="00356367">
        <w:t>, vol. I (A/66/40 (Vol. I)), annex V</w:t>
      </w:r>
      <w:r w:rsidR="000358AA" w:rsidRPr="00356367">
        <w:t>.</w:t>
      </w:r>
    </w:p>
  </w:footnote>
  <w:footnote w:id="7">
    <w:p w:rsidR="00475AA4" w:rsidRDefault="00475AA4" w:rsidP="00DE42B6">
      <w:pPr>
        <w:pStyle w:val="FootnoteText"/>
        <w:ind w:firstLine="0"/>
        <w:jc w:val="both"/>
      </w:pPr>
      <w:r w:rsidRPr="00356367">
        <w:rPr>
          <w:rStyle w:val="FootnoteReference"/>
        </w:rPr>
        <w:footnoteRef/>
      </w:r>
      <w:r w:rsidRPr="00356367">
        <w:t xml:space="preserve"> Ibid., para. 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AA4" w:rsidRPr="009E31DB" w:rsidRDefault="00475AA4" w:rsidP="00831735">
    <w:pPr>
      <w:pStyle w:val="Header"/>
    </w:pPr>
    <w:r>
      <w:t>CCPR/C/106/D/1830/2008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AA4" w:rsidRPr="009E31DB" w:rsidRDefault="00475AA4" w:rsidP="009E31DB">
    <w:pPr>
      <w:pStyle w:val="Header"/>
      <w:jc w:val="right"/>
    </w:pPr>
    <w:r>
      <w:t>CCPR/C/106/D/1830/2008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10E" w:rsidRDefault="001701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31DB"/>
    <w:rsid w:val="0000296E"/>
    <w:rsid w:val="00004115"/>
    <w:rsid w:val="000060E7"/>
    <w:rsid w:val="00025A39"/>
    <w:rsid w:val="000358AA"/>
    <w:rsid w:val="00042CC3"/>
    <w:rsid w:val="00050F6B"/>
    <w:rsid w:val="00057102"/>
    <w:rsid w:val="00057EF4"/>
    <w:rsid w:val="00064FFF"/>
    <w:rsid w:val="00067CD2"/>
    <w:rsid w:val="00072C8C"/>
    <w:rsid w:val="00080E1A"/>
    <w:rsid w:val="00086E6D"/>
    <w:rsid w:val="000931C0"/>
    <w:rsid w:val="000B03C7"/>
    <w:rsid w:val="000B175B"/>
    <w:rsid w:val="000B3A0F"/>
    <w:rsid w:val="000B4A60"/>
    <w:rsid w:val="000C5A9C"/>
    <w:rsid w:val="000E0415"/>
    <w:rsid w:val="000F04F0"/>
    <w:rsid w:val="00106513"/>
    <w:rsid w:val="00116A37"/>
    <w:rsid w:val="00121ACD"/>
    <w:rsid w:val="0012411D"/>
    <w:rsid w:val="00126D12"/>
    <w:rsid w:val="00132353"/>
    <w:rsid w:val="00137FB3"/>
    <w:rsid w:val="00143DA6"/>
    <w:rsid w:val="001520DE"/>
    <w:rsid w:val="00153A45"/>
    <w:rsid w:val="00161CDD"/>
    <w:rsid w:val="00162CB7"/>
    <w:rsid w:val="00165237"/>
    <w:rsid w:val="0016642F"/>
    <w:rsid w:val="0017010E"/>
    <w:rsid w:val="00175C2F"/>
    <w:rsid w:val="0017673F"/>
    <w:rsid w:val="001B4B04"/>
    <w:rsid w:val="001C12BF"/>
    <w:rsid w:val="001C6663"/>
    <w:rsid w:val="001C7895"/>
    <w:rsid w:val="001D26DF"/>
    <w:rsid w:val="001F2FD2"/>
    <w:rsid w:val="001F4656"/>
    <w:rsid w:val="00201C77"/>
    <w:rsid w:val="00205358"/>
    <w:rsid w:val="00211E0B"/>
    <w:rsid w:val="00212D5A"/>
    <w:rsid w:val="00220FBC"/>
    <w:rsid w:val="00221C77"/>
    <w:rsid w:val="00231A19"/>
    <w:rsid w:val="00247693"/>
    <w:rsid w:val="00253970"/>
    <w:rsid w:val="002639CB"/>
    <w:rsid w:val="00277882"/>
    <w:rsid w:val="00287A29"/>
    <w:rsid w:val="002A301D"/>
    <w:rsid w:val="002A3C0E"/>
    <w:rsid w:val="002A40FF"/>
    <w:rsid w:val="002A798E"/>
    <w:rsid w:val="002B57C4"/>
    <w:rsid w:val="002B7CEF"/>
    <w:rsid w:val="002C3E48"/>
    <w:rsid w:val="002D02AF"/>
    <w:rsid w:val="002D4629"/>
    <w:rsid w:val="002E7B02"/>
    <w:rsid w:val="003107FA"/>
    <w:rsid w:val="00315668"/>
    <w:rsid w:val="00315B5C"/>
    <w:rsid w:val="003229D8"/>
    <w:rsid w:val="0033745A"/>
    <w:rsid w:val="003512E9"/>
    <w:rsid w:val="00356367"/>
    <w:rsid w:val="003726BE"/>
    <w:rsid w:val="00386555"/>
    <w:rsid w:val="0039277A"/>
    <w:rsid w:val="003972E0"/>
    <w:rsid w:val="003A00E9"/>
    <w:rsid w:val="003A07A4"/>
    <w:rsid w:val="003B6A44"/>
    <w:rsid w:val="003C2CC4"/>
    <w:rsid w:val="003C2CFB"/>
    <w:rsid w:val="003C5218"/>
    <w:rsid w:val="003D119A"/>
    <w:rsid w:val="003D4B23"/>
    <w:rsid w:val="003F243C"/>
    <w:rsid w:val="003F2F2D"/>
    <w:rsid w:val="00415757"/>
    <w:rsid w:val="0041727C"/>
    <w:rsid w:val="004176D3"/>
    <w:rsid w:val="004308CA"/>
    <w:rsid w:val="004325CB"/>
    <w:rsid w:val="004334E9"/>
    <w:rsid w:val="00434591"/>
    <w:rsid w:val="00446DE4"/>
    <w:rsid w:val="00452605"/>
    <w:rsid w:val="00454B7B"/>
    <w:rsid w:val="00463B15"/>
    <w:rsid w:val="00467012"/>
    <w:rsid w:val="00475AA4"/>
    <w:rsid w:val="00494992"/>
    <w:rsid w:val="004A3F52"/>
    <w:rsid w:val="004A41CA"/>
    <w:rsid w:val="004B7C63"/>
    <w:rsid w:val="004C4E3F"/>
    <w:rsid w:val="004D3AA0"/>
    <w:rsid w:val="004D4B60"/>
    <w:rsid w:val="004E7FEA"/>
    <w:rsid w:val="004F25AC"/>
    <w:rsid w:val="004F6EC3"/>
    <w:rsid w:val="0050037F"/>
    <w:rsid w:val="00503228"/>
    <w:rsid w:val="00504539"/>
    <w:rsid w:val="00505384"/>
    <w:rsid w:val="005145E9"/>
    <w:rsid w:val="00521981"/>
    <w:rsid w:val="005246AC"/>
    <w:rsid w:val="00524940"/>
    <w:rsid w:val="00532116"/>
    <w:rsid w:val="005420F2"/>
    <w:rsid w:val="00543D61"/>
    <w:rsid w:val="0054414F"/>
    <w:rsid w:val="005550EE"/>
    <w:rsid w:val="00555E48"/>
    <w:rsid w:val="00560C9A"/>
    <w:rsid w:val="0056469C"/>
    <w:rsid w:val="00571BA7"/>
    <w:rsid w:val="00575597"/>
    <w:rsid w:val="00584474"/>
    <w:rsid w:val="0059134D"/>
    <w:rsid w:val="0059144E"/>
    <w:rsid w:val="005B3DB3"/>
    <w:rsid w:val="005B6A9F"/>
    <w:rsid w:val="005C5C60"/>
    <w:rsid w:val="005D37BE"/>
    <w:rsid w:val="005F6F50"/>
    <w:rsid w:val="006016AD"/>
    <w:rsid w:val="00611FC4"/>
    <w:rsid w:val="00616BAD"/>
    <w:rsid w:val="006176FB"/>
    <w:rsid w:val="00620191"/>
    <w:rsid w:val="00627ED0"/>
    <w:rsid w:val="00632AF2"/>
    <w:rsid w:val="0063656A"/>
    <w:rsid w:val="00640B26"/>
    <w:rsid w:val="00641CF3"/>
    <w:rsid w:val="00641F7E"/>
    <w:rsid w:val="00645F1F"/>
    <w:rsid w:val="00653E5E"/>
    <w:rsid w:val="00657F3B"/>
    <w:rsid w:val="00665595"/>
    <w:rsid w:val="00673AD0"/>
    <w:rsid w:val="00677059"/>
    <w:rsid w:val="00686D08"/>
    <w:rsid w:val="006917F3"/>
    <w:rsid w:val="006A51FD"/>
    <w:rsid w:val="006A71E4"/>
    <w:rsid w:val="006A7392"/>
    <w:rsid w:val="006E564B"/>
    <w:rsid w:val="006F1961"/>
    <w:rsid w:val="006F3842"/>
    <w:rsid w:val="006F6EB1"/>
    <w:rsid w:val="007005EA"/>
    <w:rsid w:val="00713C63"/>
    <w:rsid w:val="00720237"/>
    <w:rsid w:val="00721FDE"/>
    <w:rsid w:val="0072632A"/>
    <w:rsid w:val="0073111E"/>
    <w:rsid w:val="007369EB"/>
    <w:rsid w:val="007376D3"/>
    <w:rsid w:val="00745369"/>
    <w:rsid w:val="007463C3"/>
    <w:rsid w:val="00752BD9"/>
    <w:rsid w:val="00767747"/>
    <w:rsid w:val="00774EB3"/>
    <w:rsid w:val="00775204"/>
    <w:rsid w:val="0078419D"/>
    <w:rsid w:val="00790C25"/>
    <w:rsid w:val="00797259"/>
    <w:rsid w:val="00797503"/>
    <w:rsid w:val="007A07A1"/>
    <w:rsid w:val="007B1306"/>
    <w:rsid w:val="007B6A3D"/>
    <w:rsid w:val="007B6BA5"/>
    <w:rsid w:val="007C16E5"/>
    <w:rsid w:val="007C3390"/>
    <w:rsid w:val="007C4D8F"/>
    <w:rsid w:val="007C4F4B"/>
    <w:rsid w:val="007F0B83"/>
    <w:rsid w:val="007F6611"/>
    <w:rsid w:val="008029FB"/>
    <w:rsid w:val="00804398"/>
    <w:rsid w:val="00810CD3"/>
    <w:rsid w:val="00811358"/>
    <w:rsid w:val="008124E0"/>
    <w:rsid w:val="00816565"/>
    <w:rsid w:val="008175E9"/>
    <w:rsid w:val="00820ABD"/>
    <w:rsid w:val="00820B9C"/>
    <w:rsid w:val="008242D7"/>
    <w:rsid w:val="008311A3"/>
    <w:rsid w:val="00831735"/>
    <w:rsid w:val="008444F7"/>
    <w:rsid w:val="008447C8"/>
    <w:rsid w:val="00845B38"/>
    <w:rsid w:val="008649F9"/>
    <w:rsid w:val="00865F80"/>
    <w:rsid w:val="00871FD5"/>
    <w:rsid w:val="00890748"/>
    <w:rsid w:val="00894F1A"/>
    <w:rsid w:val="008979B1"/>
    <w:rsid w:val="008A3C6B"/>
    <w:rsid w:val="008A407D"/>
    <w:rsid w:val="008A6B25"/>
    <w:rsid w:val="008A6C4F"/>
    <w:rsid w:val="008C36EE"/>
    <w:rsid w:val="008D204D"/>
    <w:rsid w:val="008E0E46"/>
    <w:rsid w:val="008E4141"/>
    <w:rsid w:val="008E4486"/>
    <w:rsid w:val="008F2249"/>
    <w:rsid w:val="00903AFD"/>
    <w:rsid w:val="00907AD2"/>
    <w:rsid w:val="00911AF4"/>
    <w:rsid w:val="00925C32"/>
    <w:rsid w:val="0092780B"/>
    <w:rsid w:val="00927B99"/>
    <w:rsid w:val="009331DC"/>
    <w:rsid w:val="00936903"/>
    <w:rsid w:val="00951683"/>
    <w:rsid w:val="00960430"/>
    <w:rsid w:val="00960479"/>
    <w:rsid w:val="00961A8F"/>
    <w:rsid w:val="00963CBA"/>
    <w:rsid w:val="00964E48"/>
    <w:rsid w:val="009707F5"/>
    <w:rsid w:val="00974A8D"/>
    <w:rsid w:val="00987FAD"/>
    <w:rsid w:val="00991261"/>
    <w:rsid w:val="009A2450"/>
    <w:rsid w:val="009A5DA9"/>
    <w:rsid w:val="009B6145"/>
    <w:rsid w:val="009D10C2"/>
    <w:rsid w:val="009E10DA"/>
    <w:rsid w:val="009E31DB"/>
    <w:rsid w:val="009E6726"/>
    <w:rsid w:val="009F3A17"/>
    <w:rsid w:val="009F4854"/>
    <w:rsid w:val="00A1277E"/>
    <w:rsid w:val="00A1427D"/>
    <w:rsid w:val="00A37D4B"/>
    <w:rsid w:val="00A45519"/>
    <w:rsid w:val="00A513AA"/>
    <w:rsid w:val="00A605D8"/>
    <w:rsid w:val="00A62B15"/>
    <w:rsid w:val="00A72F22"/>
    <w:rsid w:val="00A746CA"/>
    <w:rsid w:val="00A748A6"/>
    <w:rsid w:val="00A879A4"/>
    <w:rsid w:val="00A908D5"/>
    <w:rsid w:val="00AB7B0D"/>
    <w:rsid w:val="00AD6ABF"/>
    <w:rsid w:val="00AE0F43"/>
    <w:rsid w:val="00AE114B"/>
    <w:rsid w:val="00B11F2F"/>
    <w:rsid w:val="00B17B47"/>
    <w:rsid w:val="00B21177"/>
    <w:rsid w:val="00B2187D"/>
    <w:rsid w:val="00B30179"/>
    <w:rsid w:val="00B33EC0"/>
    <w:rsid w:val="00B47BAD"/>
    <w:rsid w:val="00B55C0C"/>
    <w:rsid w:val="00B55F59"/>
    <w:rsid w:val="00B56A48"/>
    <w:rsid w:val="00B616ED"/>
    <w:rsid w:val="00B7149C"/>
    <w:rsid w:val="00B81E12"/>
    <w:rsid w:val="00BA0314"/>
    <w:rsid w:val="00BA65B8"/>
    <w:rsid w:val="00BA795F"/>
    <w:rsid w:val="00BB017B"/>
    <w:rsid w:val="00BB0665"/>
    <w:rsid w:val="00BC4BBC"/>
    <w:rsid w:val="00BC74E9"/>
    <w:rsid w:val="00BE4F74"/>
    <w:rsid w:val="00BE618E"/>
    <w:rsid w:val="00BF4CF5"/>
    <w:rsid w:val="00C00B0A"/>
    <w:rsid w:val="00C03785"/>
    <w:rsid w:val="00C05124"/>
    <w:rsid w:val="00C17699"/>
    <w:rsid w:val="00C20EEE"/>
    <w:rsid w:val="00C21475"/>
    <w:rsid w:val="00C3081F"/>
    <w:rsid w:val="00C43ECA"/>
    <w:rsid w:val="00C463DD"/>
    <w:rsid w:val="00C50FC3"/>
    <w:rsid w:val="00C62DEF"/>
    <w:rsid w:val="00C745C3"/>
    <w:rsid w:val="00C76B8B"/>
    <w:rsid w:val="00C81389"/>
    <w:rsid w:val="00C93AB1"/>
    <w:rsid w:val="00CB5E2A"/>
    <w:rsid w:val="00CC30C9"/>
    <w:rsid w:val="00CC390D"/>
    <w:rsid w:val="00CD1C77"/>
    <w:rsid w:val="00CE2D37"/>
    <w:rsid w:val="00CE4A8F"/>
    <w:rsid w:val="00CE6706"/>
    <w:rsid w:val="00CE7309"/>
    <w:rsid w:val="00CF0C8F"/>
    <w:rsid w:val="00CF32AC"/>
    <w:rsid w:val="00CF7A19"/>
    <w:rsid w:val="00D2031B"/>
    <w:rsid w:val="00D25FE2"/>
    <w:rsid w:val="00D278BD"/>
    <w:rsid w:val="00D317BB"/>
    <w:rsid w:val="00D34630"/>
    <w:rsid w:val="00D42559"/>
    <w:rsid w:val="00D43252"/>
    <w:rsid w:val="00D56507"/>
    <w:rsid w:val="00D579B1"/>
    <w:rsid w:val="00D57E33"/>
    <w:rsid w:val="00D66FEF"/>
    <w:rsid w:val="00D7005D"/>
    <w:rsid w:val="00D708DC"/>
    <w:rsid w:val="00D80940"/>
    <w:rsid w:val="00D90F7E"/>
    <w:rsid w:val="00D914AA"/>
    <w:rsid w:val="00D978C6"/>
    <w:rsid w:val="00DA67AD"/>
    <w:rsid w:val="00DB5D0F"/>
    <w:rsid w:val="00DC48BD"/>
    <w:rsid w:val="00DD2361"/>
    <w:rsid w:val="00DD3F15"/>
    <w:rsid w:val="00DD6F93"/>
    <w:rsid w:val="00DE2845"/>
    <w:rsid w:val="00DE3D53"/>
    <w:rsid w:val="00DE42B6"/>
    <w:rsid w:val="00DE5B51"/>
    <w:rsid w:val="00DF0F82"/>
    <w:rsid w:val="00DF12F7"/>
    <w:rsid w:val="00DF1C44"/>
    <w:rsid w:val="00DF3C06"/>
    <w:rsid w:val="00E02C81"/>
    <w:rsid w:val="00E130AB"/>
    <w:rsid w:val="00E263FF"/>
    <w:rsid w:val="00E35DC4"/>
    <w:rsid w:val="00E46272"/>
    <w:rsid w:val="00E63203"/>
    <w:rsid w:val="00E67A50"/>
    <w:rsid w:val="00E7260F"/>
    <w:rsid w:val="00E74021"/>
    <w:rsid w:val="00E750B9"/>
    <w:rsid w:val="00E84CA5"/>
    <w:rsid w:val="00E87921"/>
    <w:rsid w:val="00E95F2D"/>
    <w:rsid w:val="00E96630"/>
    <w:rsid w:val="00EA1273"/>
    <w:rsid w:val="00EA17FD"/>
    <w:rsid w:val="00EB1BB1"/>
    <w:rsid w:val="00EC647A"/>
    <w:rsid w:val="00ED7589"/>
    <w:rsid w:val="00ED7A2A"/>
    <w:rsid w:val="00EE24F3"/>
    <w:rsid w:val="00EE500D"/>
    <w:rsid w:val="00EF1D7F"/>
    <w:rsid w:val="00F01361"/>
    <w:rsid w:val="00F07DE3"/>
    <w:rsid w:val="00F10BB7"/>
    <w:rsid w:val="00F12809"/>
    <w:rsid w:val="00F16DE0"/>
    <w:rsid w:val="00F202A3"/>
    <w:rsid w:val="00F32C14"/>
    <w:rsid w:val="00F366FF"/>
    <w:rsid w:val="00F42B6F"/>
    <w:rsid w:val="00F45B0A"/>
    <w:rsid w:val="00F50CDA"/>
    <w:rsid w:val="00F53EDA"/>
    <w:rsid w:val="00F64B9F"/>
    <w:rsid w:val="00F7753D"/>
    <w:rsid w:val="00F825F2"/>
    <w:rsid w:val="00F85F34"/>
    <w:rsid w:val="00F91FB7"/>
    <w:rsid w:val="00F95318"/>
    <w:rsid w:val="00FA06F7"/>
    <w:rsid w:val="00FB171A"/>
    <w:rsid w:val="00FC68B7"/>
    <w:rsid w:val="00FD0010"/>
    <w:rsid w:val="00FD52DD"/>
    <w:rsid w:val="00FD7BF6"/>
    <w:rsid w:val="00FE16CD"/>
    <w:rsid w:val="00FE2EB5"/>
    <w:rsid w:val="00FF4CC8"/>
    <w:rsid w:val="00FF51F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5:docId w15:val="{4B0C787D-7001-4D04-9CA1-CE5077F87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228"/>
    <w:pPr>
      <w:suppressAutoHyphens/>
      <w:spacing w:line="240" w:lineRule="atLeast"/>
    </w:pPr>
    <w:rPr>
      <w:lang w:val="en-GB"/>
    </w:rPr>
  </w:style>
  <w:style w:type="paragraph" w:styleId="Heading1">
    <w:name w:val="heading 1"/>
    <w:aliases w:val="Table_G"/>
    <w:basedOn w:val="SingleTxtG"/>
    <w:next w:val="SingleTxtG"/>
    <w:qFormat/>
    <w:rsid w:val="00503228"/>
    <w:pPr>
      <w:spacing w:after="0" w:line="240" w:lineRule="auto"/>
      <w:ind w:right="0"/>
      <w:jc w:val="left"/>
      <w:outlineLvl w:val="0"/>
    </w:pPr>
  </w:style>
  <w:style w:type="paragraph" w:styleId="Heading2">
    <w:name w:val="heading 2"/>
    <w:basedOn w:val="Normal"/>
    <w:next w:val="Normal"/>
    <w:qFormat/>
    <w:rsid w:val="00503228"/>
    <w:pPr>
      <w:spacing w:line="240" w:lineRule="auto"/>
      <w:outlineLvl w:val="1"/>
    </w:pPr>
  </w:style>
  <w:style w:type="paragraph" w:styleId="Heading3">
    <w:name w:val="heading 3"/>
    <w:basedOn w:val="Normal"/>
    <w:next w:val="Normal"/>
    <w:qFormat/>
    <w:rsid w:val="00503228"/>
    <w:pPr>
      <w:spacing w:line="240" w:lineRule="auto"/>
      <w:outlineLvl w:val="2"/>
    </w:pPr>
  </w:style>
  <w:style w:type="paragraph" w:styleId="Heading4">
    <w:name w:val="heading 4"/>
    <w:basedOn w:val="Normal"/>
    <w:next w:val="Normal"/>
    <w:qFormat/>
    <w:rsid w:val="00503228"/>
    <w:pPr>
      <w:spacing w:line="240" w:lineRule="auto"/>
      <w:outlineLvl w:val="3"/>
    </w:pPr>
  </w:style>
  <w:style w:type="paragraph" w:styleId="Heading5">
    <w:name w:val="heading 5"/>
    <w:basedOn w:val="Normal"/>
    <w:next w:val="Normal"/>
    <w:qFormat/>
    <w:rsid w:val="00503228"/>
    <w:pPr>
      <w:spacing w:line="240" w:lineRule="auto"/>
      <w:outlineLvl w:val="4"/>
    </w:pPr>
  </w:style>
  <w:style w:type="paragraph" w:styleId="Heading6">
    <w:name w:val="heading 6"/>
    <w:basedOn w:val="Normal"/>
    <w:next w:val="Normal"/>
    <w:qFormat/>
    <w:rsid w:val="00503228"/>
    <w:pPr>
      <w:spacing w:line="240" w:lineRule="auto"/>
      <w:outlineLvl w:val="5"/>
    </w:pPr>
  </w:style>
  <w:style w:type="paragraph" w:styleId="Heading7">
    <w:name w:val="heading 7"/>
    <w:basedOn w:val="Normal"/>
    <w:next w:val="Normal"/>
    <w:qFormat/>
    <w:rsid w:val="00503228"/>
    <w:pPr>
      <w:spacing w:line="240" w:lineRule="auto"/>
      <w:outlineLvl w:val="6"/>
    </w:pPr>
  </w:style>
  <w:style w:type="paragraph" w:styleId="Heading8">
    <w:name w:val="heading 8"/>
    <w:basedOn w:val="Normal"/>
    <w:next w:val="Normal"/>
    <w:qFormat/>
    <w:rsid w:val="00503228"/>
    <w:pPr>
      <w:spacing w:line="240" w:lineRule="auto"/>
      <w:outlineLvl w:val="7"/>
    </w:pPr>
  </w:style>
  <w:style w:type="paragraph" w:styleId="Heading9">
    <w:name w:val="heading 9"/>
    <w:basedOn w:val="Normal"/>
    <w:next w:val="Normal"/>
    <w:qFormat/>
    <w:rsid w:val="00503228"/>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503228"/>
    <w:pPr>
      <w:spacing w:after="120"/>
      <w:ind w:left="1134" w:right="1134"/>
      <w:jc w:val="both"/>
    </w:pPr>
  </w:style>
  <w:style w:type="paragraph" w:customStyle="1" w:styleId="HMG">
    <w:name w:val="_ H __M_G"/>
    <w:basedOn w:val="Normal"/>
    <w:next w:val="Normal"/>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503228"/>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number"/>
    <w:rsid w:val="00503228"/>
    <w:rPr>
      <w:rFonts w:ascii="Times New Roman" w:hAnsi="Times New Roman"/>
      <w:sz w:val="18"/>
      <w:vertAlign w:val="superscript"/>
    </w:rPr>
  </w:style>
  <w:style w:type="character" w:styleId="EndnoteReference">
    <w:name w:val="endnote reference"/>
    <w:aliases w:val="1_G"/>
    <w:rsid w:val="00503228"/>
    <w:rPr>
      <w:rFonts w:ascii="Times New Roman" w:hAnsi="Times New Roman"/>
      <w:sz w:val="18"/>
      <w:vertAlign w:val="superscript"/>
    </w:rPr>
  </w:style>
  <w:style w:type="paragraph" w:styleId="Header">
    <w:name w:val="header"/>
    <w:aliases w:val="6_G"/>
    <w:basedOn w:val="Normal"/>
    <w:rsid w:val="00503228"/>
    <w:pPr>
      <w:pBdr>
        <w:bottom w:val="single" w:sz="4" w:space="4" w:color="auto"/>
      </w:pBdr>
      <w:spacing w:line="240" w:lineRule="auto"/>
    </w:pPr>
    <w:rPr>
      <w:b/>
      <w:sz w:val="18"/>
    </w:rPr>
  </w:style>
  <w:style w:type="table" w:styleId="TableGrid">
    <w:name w:val="Table Grid"/>
    <w:basedOn w:val="TableNormal"/>
    <w:semiHidden/>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503228"/>
    <w:rPr>
      <w:color w:val="auto"/>
      <w:u w:val="none"/>
    </w:rPr>
  </w:style>
  <w:style w:type="character" w:styleId="FollowedHyperlink">
    <w:name w:val="FollowedHyperlink"/>
    <w:semiHidden/>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Footnote Text Char Char Char Char Char,Footnote Text Char Char Char Char,Footnote reference,FA Fu,Footnote Text Char Char Char"/>
    <w:basedOn w:val="Normal"/>
    <w:link w:val="FootnoteTextChar"/>
    <w:rsid w:val="00503228"/>
    <w:pPr>
      <w:tabs>
        <w:tab w:val="right" w:pos="1021"/>
      </w:tabs>
      <w:spacing w:line="220" w:lineRule="exact"/>
      <w:ind w:left="1134" w:right="1134" w:hanging="1134"/>
    </w:pPr>
    <w:rPr>
      <w:sz w:val="18"/>
    </w:rPr>
  </w:style>
  <w:style w:type="paragraph" w:styleId="EndnoteText">
    <w:name w:val="endnote text"/>
    <w:aliases w:val="2_G"/>
    <w:basedOn w:val="FootnoteText"/>
    <w:rsid w:val="00503228"/>
  </w:style>
  <w:style w:type="character" w:styleId="PageNumber">
    <w:name w:val="page number"/>
    <w:aliases w:val="7_G"/>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rsid w:val="00503228"/>
    <w:pPr>
      <w:numPr>
        <w:numId w:val="1"/>
      </w:numPr>
      <w:spacing w:after="120"/>
      <w:ind w:right="1134"/>
      <w:jc w:val="both"/>
    </w:pPr>
  </w:style>
  <w:style w:type="paragraph" w:styleId="Footer">
    <w:name w:val="footer"/>
    <w:aliases w:val="3_G"/>
    <w:basedOn w:val="Normal"/>
    <w:rsid w:val="00503228"/>
    <w:pPr>
      <w:spacing w:line="240" w:lineRule="auto"/>
    </w:pPr>
    <w:rPr>
      <w:sz w:val="16"/>
    </w:rPr>
  </w:style>
  <w:style w:type="paragraph" w:customStyle="1" w:styleId="Bullet2G">
    <w:name w:val="_Bullet 2_G"/>
    <w:basedOn w:val="Normal"/>
    <w:rsid w:val="00503228"/>
    <w:pPr>
      <w:numPr>
        <w:numId w:val="2"/>
      </w:numPr>
      <w:spacing w:after="120"/>
      <w:ind w:right="1134"/>
      <w:jc w:val="both"/>
    </w:pPr>
  </w:style>
  <w:style w:type="paragraph" w:customStyle="1" w:styleId="H1G">
    <w:name w:val="_ H_1_G"/>
    <w:basedOn w:val="Normal"/>
    <w:next w:val="Normal"/>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503228"/>
    <w:pPr>
      <w:keepNext/>
      <w:keepLines/>
      <w:tabs>
        <w:tab w:val="right" w:pos="851"/>
      </w:tabs>
      <w:spacing w:before="240" w:after="120" w:line="240" w:lineRule="exact"/>
      <w:ind w:left="1134" w:right="1134" w:hanging="1134"/>
    </w:pPr>
  </w:style>
  <w:style w:type="paragraph" w:styleId="BalloonText">
    <w:name w:val="Balloon Text"/>
    <w:basedOn w:val="Normal"/>
    <w:semiHidden/>
    <w:rsid w:val="00F50CDA"/>
    <w:rPr>
      <w:rFonts w:ascii="Tahoma" w:hAnsi="Tahoma" w:cs="Tahoma"/>
      <w:sz w:val="16"/>
      <w:szCs w:val="16"/>
    </w:rPr>
  </w:style>
  <w:style w:type="character" w:styleId="CommentReference">
    <w:name w:val="annotation reference"/>
    <w:semiHidden/>
    <w:rsid w:val="00B56A48"/>
    <w:rPr>
      <w:sz w:val="16"/>
      <w:szCs w:val="16"/>
    </w:rPr>
  </w:style>
  <w:style w:type="paragraph" w:styleId="CommentText">
    <w:name w:val="annotation text"/>
    <w:basedOn w:val="Normal"/>
    <w:semiHidden/>
    <w:rsid w:val="00B56A48"/>
  </w:style>
  <w:style w:type="paragraph" w:styleId="CommentSubject">
    <w:name w:val="annotation subject"/>
    <w:basedOn w:val="CommentText"/>
    <w:next w:val="CommentText"/>
    <w:semiHidden/>
    <w:rsid w:val="00B56A48"/>
    <w:rPr>
      <w:b/>
      <w:bCs/>
    </w:rPr>
  </w:style>
  <w:style w:type="character" w:customStyle="1" w:styleId="FootnoteTextChar">
    <w:name w:val="Footnote Text Char"/>
    <w:aliases w:val="5_G Char,Footnote Text Char Char Char Char Char Char,Footnote Text Char Char Char Char Char1,Footnote reference Char,FA Fu Char,Footnote Text Char Char Char Char1"/>
    <w:link w:val="FootnoteText"/>
    <w:rsid w:val="00925C32"/>
    <w:rPr>
      <w:sz w:val="18"/>
      <w:lang w:val="en-GB" w:eastAsia="en-US" w:bidi="ar-SA"/>
    </w:rPr>
  </w:style>
  <w:style w:type="character" w:customStyle="1" w:styleId="SingleTxtGChar">
    <w:name w:val="_ Single Txt_G Char"/>
    <w:link w:val="SingleTxtG"/>
    <w:rsid w:val="00A605D8"/>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647283">
      <w:bodyDiv w:val="1"/>
      <w:marLeft w:val="0"/>
      <w:marRight w:val="0"/>
      <w:marTop w:val="0"/>
      <w:marBottom w:val="0"/>
      <w:divBdr>
        <w:top w:val="none" w:sz="0" w:space="0" w:color="auto"/>
        <w:left w:val="none" w:sz="0" w:space="0" w:color="auto"/>
        <w:bottom w:val="none" w:sz="0" w:space="0" w:color="auto"/>
        <w:right w:val="none" w:sz="0" w:space="0" w:color="auto"/>
      </w:divBdr>
      <w:divsChild>
        <w:div w:id="177932846">
          <w:marLeft w:val="0"/>
          <w:marRight w:val="0"/>
          <w:marTop w:val="0"/>
          <w:marBottom w:val="0"/>
          <w:divBdr>
            <w:top w:val="none" w:sz="0" w:space="0" w:color="auto"/>
            <w:left w:val="none" w:sz="0" w:space="0" w:color="auto"/>
            <w:bottom w:val="none" w:sz="0" w:space="0" w:color="auto"/>
            <w:right w:val="none" w:sz="0" w:space="0" w:color="auto"/>
          </w:divBdr>
          <w:divsChild>
            <w:div w:id="764885076">
              <w:marLeft w:val="0"/>
              <w:marRight w:val="0"/>
              <w:marTop w:val="0"/>
              <w:marBottom w:val="0"/>
              <w:divBdr>
                <w:top w:val="none" w:sz="0" w:space="0" w:color="auto"/>
                <w:left w:val="none" w:sz="0" w:space="0" w:color="auto"/>
                <w:bottom w:val="none" w:sz="0" w:space="0" w:color="auto"/>
                <w:right w:val="none" w:sz="0" w:space="0" w:color="auto"/>
              </w:divBdr>
              <w:divsChild>
                <w:div w:id="680203647">
                  <w:marLeft w:val="0"/>
                  <w:marRight w:val="0"/>
                  <w:marTop w:val="0"/>
                  <w:marBottom w:val="0"/>
                  <w:divBdr>
                    <w:top w:val="none" w:sz="0" w:space="0" w:color="auto"/>
                    <w:left w:val="none" w:sz="0" w:space="0" w:color="auto"/>
                    <w:bottom w:val="none" w:sz="0" w:space="0" w:color="auto"/>
                    <w:right w:val="none" w:sz="0" w:space="0" w:color="auto"/>
                  </w:divBdr>
                  <w:divsChild>
                    <w:div w:id="1696148394">
                      <w:marLeft w:val="0"/>
                      <w:marRight w:val="0"/>
                      <w:marTop w:val="0"/>
                      <w:marBottom w:val="0"/>
                      <w:divBdr>
                        <w:top w:val="none" w:sz="0" w:space="0" w:color="auto"/>
                        <w:left w:val="none" w:sz="0" w:space="0" w:color="auto"/>
                        <w:bottom w:val="none" w:sz="0" w:space="0" w:color="auto"/>
                        <w:right w:val="none" w:sz="0" w:space="0" w:color="auto"/>
                      </w:divBdr>
                      <w:divsChild>
                        <w:div w:id="445581312">
                          <w:marLeft w:val="0"/>
                          <w:marRight w:val="0"/>
                          <w:marTop w:val="0"/>
                          <w:marBottom w:val="0"/>
                          <w:divBdr>
                            <w:top w:val="none" w:sz="0" w:space="0" w:color="auto"/>
                            <w:left w:val="none" w:sz="0" w:space="0" w:color="auto"/>
                            <w:bottom w:val="none" w:sz="0" w:space="0" w:color="auto"/>
                            <w:right w:val="none" w:sz="0" w:space="0" w:color="auto"/>
                          </w:divBdr>
                          <w:divsChild>
                            <w:div w:id="952512669">
                              <w:marLeft w:val="0"/>
                              <w:marRight w:val="0"/>
                              <w:marTop w:val="0"/>
                              <w:marBottom w:val="0"/>
                              <w:divBdr>
                                <w:top w:val="none" w:sz="0" w:space="0" w:color="auto"/>
                                <w:left w:val="none" w:sz="0" w:space="0" w:color="auto"/>
                                <w:bottom w:val="none" w:sz="0" w:space="0" w:color="auto"/>
                                <w:right w:val="none" w:sz="0" w:space="0" w:color="auto"/>
                              </w:divBdr>
                              <w:divsChild>
                                <w:div w:id="1283342595">
                                  <w:marLeft w:val="0"/>
                                  <w:marRight w:val="0"/>
                                  <w:marTop w:val="0"/>
                                  <w:marBottom w:val="0"/>
                                  <w:divBdr>
                                    <w:top w:val="none" w:sz="0" w:space="0" w:color="auto"/>
                                    <w:left w:val="none" w:sz="0" w:space="0" w:color="auto"/>
                                    <w:bottom w:val="none" w:sz="0" w:space="0" w:color="auto"/>
                                    <w:right w:val="none" w:sz="0" w:space="0" w:color="auto"/>
                                  </w:divBdr>
                                  <w:divsChild>
                                    <w:div w:id="110327031">
                                      <w:marLeft w:val="0"/>
                                      <w:marRight w:val="0"/>
                                      <w:marTop w:val="0"/>
                                      <w:marBottom w:val="0"/>
                                      <w:divBdr>
                                        <w:top w:val="none" w:sz="0" w:space="0" w:color="auto"/>
                                        <w:left w:val="none" w:sz="0" w:space="0" w:color="auto"/>
                                        <w:bottom w:val="none" w:sz="0" w:space="0" w:color="auto"/>
                                        <w:right w:val="none" w:sz="0" w:space="0" w:color="auto"/>
                                      </w:divBdr>
                                      <w:divsChild>
                                        <w:div w:id="371462048">
                                          <w:marLeft w:val="0"/>
                                          <w:marRight w:val="0"/>
                                          <w:marTop w:val="0"/>
                                          <w:marBottom w:val="0"/>
                                          <w:divBdr>
                                            <w:top w:val="none" w:sz="0" w:space="0" w:color="auto"/>
                                            <w:left w:val="none" w:sz="0" w:space="0" w:color="auto"/>
                                            <w:bottom w:val="none" w:sz="0" w:space="0" w:color="auto"/>
                                            <w:right w:val="none" w:sz="0" w:space="0" w:color="auto"/>
                                          </w:divBdr>
                                          <w:divsChild>
                                            <w:div w:id="1120144832">
                                              <w:marLeft w:val="0"/>
                                              <w:marRight w:val="0"/>
                                              <w:marTop w:val="0"/>
                                              <w:marBottom w:val="0"/>
                                              <w:divBdr>
                                                <w:top w:val="none" w:sz="0" w:space="0" w:color="auto"/>
                                                <w:left w:val="none" w:sz="0" w:space="0" w:color="auto"/>
                                                <w:bottom w:val="none" w:sz="0" w:space="0" w:color="auto"/>
                                                <w:right w:val="none" w:sz="0" w:space="0" w:color="auto"/>
                                              </w:divBdr>
                                              <w:divsChild>
                                                <w:div w:id="1043679205">
                                                  <w:marLeft w:val="0"/>
                                                  <w:marRight w:val="0"/>
                                                  <w:marTop w:val="0"/>
                                                  <w:marBottom w:val="0"/>
                                                  <w:divBdr>
                                                    <w:top w:val="none" w:sz="0" w:space="0" w:color="auto"/>
                                                    <w:left w:val="none" w:sz="0" w:space="0" w:color="auto"/>
                                                    <w:bottom w:val="none" w:sz="0" w:space="0" w:color="auto"/>
                                                    <w:right w:val="none" w:sz="0" w:space="0" w:color="auto"/>
                                                  </w:divBdr>
                                                  <w:divsChild>
                                                    <w:div w:id="506363668">
                                                      <w:marLeft w:val="0"/>
                                                      <w:marRight w:val="0"/>
                                                      <w:marTop w:val="0"/>
                                                      <w:marBottom w:val="0"/>
                                                      <w:divBdr>
                                                        <w:top w:val="none" w:sz="0" w:space="0" w:color="auto"/>
                                                        <w:left w:val="none" w:sz="0" w:space="0" w:color="auto"/>
                                                        <w:bottom w:val="none" w:sz="0" w:space="0" w:color="auto"/>
                                                        <w:right w:val="none" w:sz="0" w:space="0" w:color="auto"/>
                                                      </w:divBdr>
                                                      <w:divsChild>
                                                        <w:div w:id="1256745969">
                                                          <w:marLeft w:val="0"/>
                                                          <w:marRight w:val="0"/>
                                                          <w:marTop w:val="0"/>
                                                          <w:marBottom w:val="0"/>
                                                          <w:divBdr>
                                                            <w:top w:val="none" w:sz="0" w:space="0" w:color="auto"/>
                                                            <w:left w:val="none" w:sz="0" w:space="0" w:color="auto"/>
                                                            <w:bottom w:val="none" w:sz="0" w:space="0" w:color="auto"/>
                                                            <w:right w:val="none" w:sz="0" w:space="0" w:color="auto"/>
                                                          </w:divBdr>
                                                          <w:divsChild>
                                                            <w:div w:id="1035496871">
                                                              <w:marLeft w:val="0"/>
                                                              <w:marRight w:val="0"/>
                                                              <w:marTop w:val="0"/>
                                                              <w:marBottom w:val="0"/>
                                                              <w:divBdr>
                                                                <w:top w:val="none" w:sz="0" w:space="0" w:color="auto"/>
                                                                <w:left w:val="none" w:sz="0" w:space="0" w:color="auto"/>
                                                                <w:bottom w:val="none" w:sz="0" w:space="0" w:color="auto"/>
                                                                <w:right w:val="none" w:sz="0" w:space="0" w:color="auto"/>
                                                              </w:divBdr>
                                                              <w:divsChild>
                                                                <w:div w:id="1402288364">
                                                                  <w:marLeft w:val="0"/>
                                                                  <w:marRight w:val="0"/>
                                                                  <w:marTop w:val="0"/>
                                                                  <w:marBottom w:val="0"/>
                                                                  <w:divBdr>
                                                                    <w:top w:val="none" w:sz="0" w:space="0" w:color="auto"/>
                                                                    <w:left w:val="none" w:sz="0" w:space="0" w:color="auto"/>
                                                                    <w:bottom w:val="none" w:sz="0" w:space="0" w:color="auto"/>
                                                                    <w:right w:val="none" w:sz="0" w:space="0" w:color="auto"/>
                                                                  </w:divBdr>
                                                                  <w:divsChild>
                                                                    <w:div w:id="1446844580">
                                                                      <w:marLeft w:val="0"/>
                                                                      <w:marRight w:val="0"/>
                                                                      <w:marTop w:val="0"/>
                                                                      <w:marBottom w:val="0"/>
                                                                      <w:divBdr>
                                                                        <w:top w:val="none" w:sz="0" w:space="0" w:color="auto"/>
                                                                        <w:left w:val="none" w:sz="0" w:space="0" w:color="auto"/>
                                                                        <w:bottom w:val="none" w:sz="0" w:space="0" w:color="auto"/>
                                                                        <w:right w:val="none" w:sz="0" w:space="0" w:color="auto"/>
                                                                      </w:divBdr>
                                                                      <w:divsChild>
                                                                        <w:div w:id="495196347">
                                                                          <w:marLeft w:val="0"/>
                                                                          <w:marRight w:val="0"/>
                                                                          <w:marTop w:val="0"/>
                                                                          <w:marBottom w:val="0"/>
                                                                          <w:divBdr>
                                                                            <w:top w:val="none" w:sz="0" w:space="0" w:color="auto"/>
                                                                            <w:left w:val="none" w:sz="0" w:space="0" w:color="auto"/>
                                                                            <w:bottom w:val="none" w:sz="0" w:space="0" w:color="auto"/>
                                                                            <w:right w:val="none" w:sz="0" w:space="0" w:color="auto"/>
                                                                          </w:divBdr>
                                                                          <w:divsChild>
                                                                            <w:div w:id="283001308">
                                                                              <w:marLeft w:val="0"/>
                                                                              <w:marRight w:val="0"/>
                                                                              <w:marTop w:val="0"/>
                                                                              <w:marBottom w:val="0"/>
                                                                              <w:divBdr>
                                                                                <w:top w:val="none" w:sz="0" w:space="0" w:color="auto"/>
                                                                                <w:left w:val="none" w:sz="0" w:space="0" w:color="auto"/>
                                                                                <w:bottom w:val="none" w:sz="0" w:space="0" w:color="auto"/>
                                                                                <w:right w:val="none" w:sz="0" w:space="0" w:color="auto"/>
                                                                              </w:divBdr>
                                                                              <w:divsChild>
                                                                                <w:div w:id="427122285">
                                                                                  <w:marLeft w:val="0"/>
                                                                                  <w:marRight w:val="0"/>
                                                                                  <w:marTop w:val="0"/>
                                                                                  <w:marBottom w:val="0"/>
                                                                                  <w:divBdr>
                                                                                    <w:top w:val="none" w:sz="0" w:space="0" w:color="auto"/>
                                                                                    <w:left w:val="none" w:sz="0" w:space="0" w:color="auto"/>
                                                                                    <w:bottom w:val="none" w:sz="0" w:space="0" w:color="auto"/>
                                                                                    <w:right w:val="none" w:sz="0" w:space="0" w:color="auto"/>
                                                                                  </w:divBdr>
                                                                                  <w:divsChild>
                                                                                    <w:div w:id="410388998">
                                                                                      <w:marLeft w:val="0"/>
                                                                                      <w:marRight w:val="0"/>
                                                                                      <w:marTop w:val="0"/>
                                                                                      <w:marBottom w:val="0"/>
                                                                                      <w:divBdr>
                                                                                        <w:top w:val="single" w:sz="4" w:space="0" w:color="A7B3BD"/>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2881</Words>
  <Characters>16423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CCPR/C/WG/101/DR/1226/2003</vt:lpstr>
    </vt:vector>
  </TitlesOfParts>
  <Company>CSD</Company>
  <LinksUpToDate>false</LinksUpToDate>
  <CharactersWithSpaces>19266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CCPR/C/WG/101/DR/1226/2003</dc:title>
  <dc:subject/>
  <dc:creator>Neogi</dc:creator>
  <cp:keywords/>
  <cp:lastModifiedBy>Sarah Willig</cp:lastModifiedBy>
  <cp:revision>2</cp:revision>
  <cp:lastPrinted>2012-12-04T09:01:00Z</cp:lastPrinted>
  <dcterms:created xsi:type="dcterms:W3CDTF">2017-01-24T17:46:00Z</dcterms:created>
  <dcterms:modified xsi:type="dcterms:W3CDTF">2017-01-24T17:46:00Z</dcterms:modified>
</cp:coreProperties>
</file>