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7F3CD2C1" w14:textId="77777777" w:rsidTr="00B6553F">
        <w:trPr>
          <w:cantSplit/>
          <w:trHeight w:hRule="exact" w:val="851"/>
        </w:trPr>
        <w:tc>
          <w:tcPr>
            <w:tcW w:w="1276" w:type="dxa"/>
            <w:tcBorders>
              <w:bottom w:val="single" w:sz="4" w:space="0" w:color="auto"/>
            </w:tcBorders>
            <w:vAlign w:val="bottom"/>
          </w:tcPr>
          <w:p w14:paraId="4109E6DC" w14:textId="77777777" w:rsidR="00B56E9C" w:rsidRPr="00DA44C0" w:rsidRDefault="00DA44C0" w:rsidP="00DA44C0">
            <w:pPr>
              <w:spacing w:line="20" w:lineRule="exact"/>
              <w:rPr>
                <w:sz w:val="2"/>
              </w:rPr>
            </w:pPr>
            <w:r>
              <w:rPr>
                <w:rStyle w:val="CommentReference"/>
                <w:lang w:val="x-none"/>
              </w:rPr>
              <w:commentReference w:id="0"/>
            </w:r>
            <w:bookmarkStart w:id="1" w:name="_GoBack"/>
            <w:bookmarkEnd w:id="1"/>
          </w:p>
          <w:p w14:paraId="33EA4E27" w14:textId="77777777" w:rsidR="00DA44C0" w:rsidRDefault="00DA44C0" w:rsidP="00B6553F">
            <w:pPr>
              <w:spacing w:after="80"/>
            </w:pPr>
          </w:p>
        </w:tc>
        <w:tc>
          <w:tcPr>
            <w:tcW w:w="2268" w:type="dxa"/>
            <w:tcBorders>
              <w:bottom w:val="single" w:sz="4" w:space="0" w:color="auto"/>
            </w:tcBorders>
            <w:vAlign w:val="bottom"/>
          </w:tcPr>
          <w:p w14:paraId="3EC50BE7"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8667FAD" w14:textId="77777777" w:rsidR="00B56E9C" w:rsidRPr="00D47EEA" w:rsidRDefault="008216A5" w:rsidP="007F7A13">
            <w:pPr>
              <w:jc w:val="right"/>
            </w:pPr>
            <w:r w:rsidRPr="008216A5">
              <w:rPr>
                <w:sz w:val="40"/>
              </w:rPr>
              <w:t>CCPR</w:t>
            </w:r>
            <w:r>
              <w:t>/C/1</w:t>
            </w:r>
            <w:r w:rsidR="00711F00">
              <w:t>1</w:t>
            </w:r>
            <w:r w:rsidR="00366CF9">
              <w:t>4</w:t>
            </w:r>
            <w:r>
              <w:t>/D/</w:t>
            </w:r>
            <w:r w:rsidR="00A9008E">
              <w:t>19</w:t>
            </w:r>
            <w:r w:rsidR="00366CF9">
              <w:t>02</w:t>
            </w:r>
            <w:r>
              <w:t>/</w:t>
            </w:r>
            <w:r w:rsidR="00AE50CE">
              <w:t>20</w:t>
            </w:r>
            <w:r w:rsidR="00A9008E">
              <w:t>0</w:t>
            </w:r>
            <w:r w:rsidR="00366CF9">
              <w:t>9</w:t>
            </w:r>
          </w:p>
        </w:tc>
      </w:tr>
      <w:tr w:rsidR="00B56E9C" w14:paraId="1B728624" w14:textId="77777777" w:rsidTr="00A9008E">
        <w:trPr>
          <w:cantSplit/>
          <w:trHeight w:hRule="exact" w:val="2706"/>
        </w:trPr>
        <w:tc>
          <w:tcPr>
            <w:tcW w:w="1276" w:type="dxa"/>
            <w:tcBorders>
              <w:top w:val="single" w:sz="4" w:space="0" w:color="auto"/>
              <w:bottom w:val="single" w:sz="12" w:space="0" w:color="auto"/>
            </w:tcBorders>
          </w:tcPr>
          <w:p w14:paraId="5B6E3E2F" w14:textId="77777777" w:rsidR="00B56E9C" w:rsidRDefault="00841CF1" w:rsidP="00B6553F">
            <w:pPr>
              <w:spacing w:before="120"/>
            </w:pPr>
            <w:r>
              <w:rPr>
                <w:noProof/>
                <w:lang w:val="en-US"/>
              </w:rPr>
              <w:drawing>
                <wp:inline distT="0" distB="0" distL="0" distR="0" wp14:anchorId="691E5C1E" wp14:editId="4CC0C9E8">
                  <wp:extent cx="709295" cy="59817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F546585" w14:textId="77777777"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14:paraId="53C76DFD" w14:textId="77777777" w:rsidR="007F7A13" w:rsidRPr="00267F5F" w:rsidRDefault="007F7A13" w:rsidP="00267F5F">
            <w:pPr>
              <w:spacing w:before="120" w:line="380" w:lineRule="exact"/>
              <w:rPr>
                <w:sz w:val="34"/>
              </w:rPr>
            </w:pPr>
          </w:p>
        </w:tc>
        <w:tc>
          <w:tcPr>
            <w:tcW w:w="2835" w:type="dxa"/>
            <w:tcBorders>
              <w:top w:val="single" w:sz="4" w:space="0" w:color="auto"/>
              <w:bottom w:val="single" w:sz="12" w:space="0" w:color="auto"/>
            </w:tcBorders>
          </w:tcPr>
          <w:p w14:paraId="24D3787A" w14:textId="77777777" w:rsidR="00B56E9C" w:rsidRDefault="008216A5" w:rsidP="008216A5">
            <w:pPr>
              <w:spacing w:before="240" w:line="240" w:lineRule="exact"/>
            </w:pPr>
            <w:r>
              <w:t xml:space="preserve">Distr.: </w:t>
            </w:r>
            <w:r w:rsidR="007F7A13">
              <w:t>General</w:t>
            </w:r>
          </w:p>
          <w:p w14:paraId="5FC19392" w14:textId="77777777" w:rsidR="008216A5" w:rsidRDefault="005906A9" w:rsidP="00774ED7">
            <w:pPr>
              <w:spacing w:line="240" w:lineRule="exact"/>
            </w:pPr>
            <w:r>
              <w:t>7</w:t>
            </w:r>
            <w:r w:rsidR="003D5EF8">
              <w:t xml:space="preserve"> September</w:t>
            </w:r>
            <w:r w:rsidR="00D2481C">
              <w:t xml:space="preserve"> </w:t>
            </w:r>
            <w:r w:rsidR="008D299D">
              <w:t>201</w:t>
            </w:r>
            <w:r w:rsidR="00366CF9">
              <w:t>5</w:t>
            </w:r>
          </w:p>
          <w:p w14:paraId="20472B2C" w14:textId="77777777" w:rsidR="008216A5" w:rsidRDefault="008216A5" w:rsidP="008216A5">
            <w:pPr>
              <w:spacing w:line="240" w:lineRule="exact"/>
            </w:pPr>
          </w:p>
          <w:p w14:paraId="654FF65F" w14:textId="77777777" w:rsidR="008216A5" w:rsidRDefault="008216A5" w:rsidP="008216A5">
            <w:pPr>
              <w:spacing w:line="240" w:lineRule="exact"/>
            </w:pPr>
            <w:r>
              <w:t>Original: English</w:t>
            </w:r>
          </w:p>
          <w:p w14:paraId="47AB8DFA" w14:textId="77777777" w:rsidR="000E7537" w:rsidRDefault="000E7537" w:rsidP="008216A5">
            <w:pPr>
              <w:spacing w:line="240" w:lineRule="exact"/>
            </w:pPr>
          </w:p>
        </w:tc>
      </w:tr>
    </w:tbl>
    <w:p w14:paraId="1390D026" w14:textId="77777777" w:rsidR="008216A5" w:rsidRPr="00232832" w:rsidRDefault="00232832" w:rsidP="00232832">
      <w:pPr>
        <w:spacing w:before="120"/>
        <w:rPr>
          <w:b/>
          <w:sz w:val="24"/>
          <w:szCs w:val="24"/>
          <w:lang w:val="en-US"/>
        </w:rPr>
      </w:pPr>
      <w:r>
        <w:rPr>
          <w:b/>
          <w:sz w:val="24"/>
          <w:szCs w:val="24"/>
          <w:lang w:val="en-US"/>
        </w:rPr>
        <w:t>Human Rights Committee</w:t>
      </w:r>
    </w:p>
    <w:p w14:paraId="358DF6B4" w14:textId="77777777" w:rsidR="003134AC" w:rsidRDefault="003134AC" w:rsidP="003134AC">
      <w:pPr>
        <w:pStyle w:val="HChG"/>
      </w:pPr>
      <w:r w:rsidRPr="009E31DB">
        <w:tab/>
      </w:r>
      <w:r w:rsidRPr="009E31DB">
        <w:tab/>
        <w:t xml:space="preserve">Communication No. </w:t>
      </w:r>
      <w:r w:rsidR="00A9008E">
        <w:t>19</w:t>
      </w:r>
      <w:r w:rsidR="0082420A">
        <w:t>02</w:t>
      </w:r>
      <w:r>
        <w:t>/20</w:t>
      </w:r>
      <w:r w:rsidR="00A9008E">
        <w:t>0</w:t>
      </w:r>
      <w:r w:rsidR="0082420A">
        <w:t>9</w:t>
      </w:r>
    </w:p>
    <w:p w14:paraId="223E3A5F" w14:textId="77777777" w:rsidR="003134AC" w:rsidRPr="009E31DB" w:rsidRDefault="003134AC" w:rsidP="00572DE0">
      <w:pPr>
        <w:pStyle w:val="H1G"/>
      </w:pPr>
      <w:r>
        <w:tab/>
      </w:r>
      <w:r>
        <w:tab/>
      </w:r>
      <w:r w:rsidR="007F7A13" w:rsidRPr="00F91B3A">
        <w:t>Views adopted by the Committee</w:t>
      </w:r>
      <w:r w:rsidR="007F7A13" w:rsidRPr="008A4FF5">
        <w:t xml:space="preserve"> </w:t>
      </w:r>
      <w:r w:rsidR="007F7A13" w:rsidRPr="00F91B3A">
        <w:t>at its 11</w:t>
      </w:r>
      <w:r w:rsidR="007F7A13">
        <w:t>4</w:t>
      </w:r>
      <w:r w:rsidR="007F7A13" w:rsidRPr="00063C87">
        <w:t>th</w:t>
      </w:r>
      <w:r w:rsidR="007F7A13">
        <w:t xml:space="preserve"> session </w:t>
      </w:r>
      <w:r w:rsidR="007F7A13">
        <w:br/>
        <w:t>(</w:t>
      </w:r>
      <w:r w:rsidR="007F7A13">
        <w:rPr>
          <w:bCs/>
          <w:lang w:val="en-US"/>
        </w:rPr>
        <w:t>29 June</w:t>
      </w:r>
      <w:r w:rsidR="00B25D50">
        <w:rPr>
          <w:bCs/>
          <w:lang w:val="en-US"/>
        </w:rPr>
        <w:t>-</w:t>
      </w:r>
      <w:r w:rsidR="007F7A13">
        <w:rPr>
          <w:bCs/>
          <w:lang w:val="en-US"/>
        </w:rPr>
        <w:t xml:space="preserve">24 July </w:t>
      </w:r>
      <w:r w:rsidR="007F7A13" w:rsidRPr="00735F4E">
        <w:rPr>
          <w:bCs/>
          <w:lang w:val="en-US"/>
        </w:rPr>
        <w:t>201</w:t>
      </w:r>
      <w:r w:rsidR="007F7A13">
        <w:rPr>
          <w:bCs/>
          <w:lang w:val="en-US"/>
        </w:rPr>
        <w:t>5)</w:t>
      </w:r>
    </w:p>
    <w:p w14:paraId="48522654" w14:textId="77777777" w:rsidR="003134AC" w:rsidRPr="009E31DB" w:rsidRDefault="003134AC" w:rsidP="00063C87">
      <w:pPr>
        <w:pStyle w:val="SingleTxtG"/>
        <w:ind w:left="4536" w:hanging="3402"/>
        <w:jc w:val="left"/>
      </w:pPr>
      <w:r w:rsidRPr="009707F5">
        <w:rPr>
          <w:i/>
        </w:rPr>
        <w:t>Submitted by:</w:t>
      </w:r>
      <w:r w:rsidRPr="009E31DB">
        <w:tab/>
      </w:r>
      <w:r w:rsidR="0082420A" w:rsidRPr="00F422CA">
        <w:rPr>
          <w:lang w:val="en-GB"/>
        </w:rPr>
        <w:t>Y</w:t>
      </w:r>
      <w:r w:rsidR="0082420A">
        <w:rPr>
          <w:lang w:val="en-GB"/>
        </w:rPr>
        <w:t xml:space="preserve">uriy Bakur </w:t>
      </w:r>
      <w:r w:rsidR="0082420A">
        <w:rPr>
          <w:lang w:val="en-US"/>
        </w:rPr>
        <w:t>(represented by counsel,</w:t>
      </w:r>
      <w:r w:rsidR="00361E8A" w:rsidRPr="00A9008E">
        <w:rPr>
          <w:lang w:val="en-US"/>
        </w:rPr>
        <w:t xml:space="preserve"> Raman K</w:t>
      </w:r>
      <w:r w:rsidR="00361E8A">
        <w:rPr>
          <w:lang w:val="en-US"/>
        </w:rPr>
        <w:t>islyak</w:t>
      </w:r>
      <w:r w:rsidR="0082420A">
        <w:rPr>
          <w:lang w:val="en-US"/>
        </w:rPr>
        <w:t>)</w:t>
      </w:r>
    </w:p>
    <w:p w14:paraId="129539DD" w14:textId="77777777" w:rsidR="003134AC" w:rsidRPr="00A9008E" w:rsidRDefault="003134AC" w:rsidP="00063C87">
      <w:pPr>
        <w:pStyle w:val="SingleTxtG"/>
        <w:ind w:left="4536" w:hanging="3402"/>
        <w:jc w:val="left"/>
        <w:rPr>
          <w:lang w:val="en-GB"/>
        </w:rPr>
      </w:pPr>
      <w:r w:rsidRPr="009707F5">
        <w:rPr>
          <w:i/>
        </w:rPr>
        <w:t>Alleged victim:</w:t>
      </w:r>
      <w:r w:rsidRPr="009E31DB">
        <w:tab/>
        <w:t>The author</w:t>
      </w:r>
    </w:p>
    <w:p w14:paraId="01D9827E" w14:textId="77777777" w:rsidR="003134AC" w:rsidRPr="00A9008E" w:rsidRDefault="003134AC" w:rsidP="00063C87">
      <w:pPr>
        <w:pStyle w:val="SingleTxtG"/>
        <w:ind w:left="4536" w:hanging="3402"/>
        <w:jc w:val="left"/>
        <w:rPr>
          <w:lang w:val="en-GB"/>
        </w:rPr>
      </w:pPr>
      <w:r w:rsidRPr="009707F5">
        <w:rPr>
          <w:i/>
        </w:rPr>
        <w:t>State party:</w:t>
      </w:r>
      <w:r w:rsidRPr="009E31DB">
        <w:tab/>
      </w:r>
      <w:r w:rsidR="00A9008E" w:rsidRPr="00A9008E">
        <w:rPr>
          <w:lang w:val="en-GB"/>
        </w:rPr>
        <w:t>Belarus</w:t>
      </w:r>
    </w:p>
    <w:p w14:paraId="106FDFE3" w14:textId="77777777" w:rsidR="003134AC" w:rsidRPr="00232832" w:rsidRDefault="003134AC" w:rsidP="00063C87">
      <w:pPr>
        <w:pStyle w:val="SingleTxtG"/>
        <w:ind w:left="4536" w:hanging="3402"/>
        <w:jc w:val="left"/>
        <w:rPr>
          <w:lang w:val="en-GB"/>
        </w:rPr>
      </w:pPr>
      <w:r w:rsidRPr="009707F5">
        <w:rPr>
          <w:i/>
        </w:rPr>
        <w:t>Date of communication:</w:t>
      </w:r>
      <w:r w:rsidRPr="009E31DB">
        <w:tab/>
      </w:r>
      <w:r w:rsidR="0082420A" w:rsidRPr="00F422CA">
        <w:rPr>
          <w:lang w:val="en-GB"/>
        </w:rPr>
        <w:t>9 July 2008</w:t>
      </w:r>
      <w:r w:rsidR="0000397C">
        <w:t xml:space="preserve"> (initial submission)</w:t>
      </w:r>
    </w:p>
    <w:p w14:paraId="2EECBF37" w14:textId="77777777" w:rsidR="003134AC" w:rsidRPr="009E31DB" w:rsidRDefault="003134AC" w:rsidP="00063C87">
      <w:pPr>
        <w:pStyle w:val="SingleTxtG"/>
        <w:ind w:left="4536" w:hanging="3402"/>
        <w:jc w:val="left"/>
      </w:pPr>
      <w:r w:rsidRPr="009707F5">
        <w:rPr>
          <w:i/>
        </w:rPr>
        <w:t>Document references:</w:t>
      </w:r>
      <w:r w:rsidRPr="009E31DB">
        <w:tab/>
        <w:t xml:space="preserve">Special Rapporteur’s </w:t>
      </w:r>
      <w:r w:rsidR="00D46C27">
        <w:rPr>
          <w:lang w:val="en-GB"/>
        </w:rPr>
        <w:t>rule</w:t>
      </w:r>
      <w:r w:rsidRPr="009E31DB">
        <w:t xml:space="preserve"> 97 decision, transmitted to the State party on </w:t>
      </w:r>
      <w:r w:rsidR="0082420A" w:rsidRPr="00F422CA">
        <w:rPr>
          <w:lang w:val="en-GB"/>
        </w:rPr>
        <w:t xml:space="preserve">29 </w:t>
      </w:r>
      <w:r w:rsidR="0082420A">
        <w:rPr>
          <w:lang w:val="en-GB"/>
        </w:rPr>
        <w:t>M</w:t>
      </w:r>
      <w:r w:rsidR="0082420A" w:rsidRPr="00F422CA">
        <w:rPr>
          <w:lang w:val="en-GB"/>
        </w:rPr>
        <w:t>arch</w:t>
      </w:r>
      <w:r w:rsidR="007B412F">
        <w:rPr>
          <w:lang w:val="en-GB"/>
        </w:rPr>
        <w:t xml:space="preserve"> 2010</w:t>
      </w:r>
      <w:r>
        <w:t xml:space="preserve"> </w:t>
      </w:r>
      <w:r w:rsidRPr="009E31DB">
        <w:t>(not issued in document form)</w:t>
      </w:r>
    </w:p>
    <w:p w14:paraId="4B7070DB" w14:textId="77777777" w:rsidR="003134AC" w:rsidRDefault="003134AC" w:rsidP="00063C87">
      <w:pPr>
        <w:pStyle w:val="SingleTxtG"/>
        <w:ind w:left="4536" w:hanging="3402"/>
        <w:jc w:val="left"/>
        <w:rPr>
          <w:lang w:val="en-GB"/>
        </w:rPr>
      </w:pPr>
      <w:r w:rsidRPr="009707F5">
        <w:rPr>
          <w:i/>
        </w:rPr>
        <w:t>Date of adoption of Views:</w:t>
      </w:r>
      <w:r w:rsidRPr="009E31DB">
        <w:tab/>
      </w:r>
      <w:r w:rsidR="00D11C79" w:rsidRPr="00063C87">
        <w:rPr>
          <w:lang w:val="en-GB"/>
        </w:rPr>
        <w:t>15</w:t>
      </w:r>
      <w:r w:rsidR="00D11C79" w:rsidRPr="009E31DB">
        <w:t xml:space="preserve"> </w:t>
      </w:r>
      <w:r w:rsidR="0000397C">
        <w:rPr>
          <w:lang w:val="en-GB"/>
        </w:rPr>
        <w:t>July</w:t>
      </w:r>
      <w:r w:rsidRPr="009E31DB">
        <w:t xml:space="preserve"> 201</w:t>
      </w:r>
      <w:r w:rsidR="001844A0" w:rsidRPr="001844A0">
        <w:rPr>
          <w:lang w:val="en-GB"/>
        </w:rPr>
        <w:t>5</w:t>
      </w:r>
    </w:p>
    <w:p w14:paraId="33A64D2A" w14:textId="77777777" w:rsidR="00774ED7" w:rsidRDefault="00472BD6" w:rsidP="00063C87">
      <w:pPr>
        <w:pStyle w:val="SingleTxtG"/>
        <w:ind w:left="4536" w:hanging="3402"/>
        <w:jc w:val="left"/>
        <w:rPr>
          <w:lang w:val="en-GB"/>
        </w:rPr>
      </w:pPr>
      <w:r w:rsidRPr="009E31DB">
        <w:rPr>
          <w:i/>
          <w:iCs/>
        </w:rPr>
        <w:t>Subject matter:</w:t>
      </w:r>
      <w:r w:rsidRPr="009E31DB">
        <w:tab/>
      </w:r>
      <w:r w:rsidRPr="000F3409">
        <w:rPr>
          <w:lang w:val="en-GB"/>
        </w:rPr>
        <w:t xml:space="preserve">Freedom of </w:t>
      </w:r>
      <w:r>
        <w:rPr>
          <w:lang w:val="en-GB"/>
        </w:rPr>
        <w:t>expression</w:t>
      </w:r>
      <w:r w:rsidR="00AD14B8">
        <w:rPr>
          <w:lang w:val="en-GB"/>
        </w:rPr>
        <w:t>;</w:t>
      </w:r>
      <w:r>
        <w:rPr>
          <w:lang w:val="en-GB"/>
        </w:rPr>
        <w:t xml:space="preserve"> freedom of </w:t>
      </w:r>
      <w:r w:rsidRPr="000F3409">
        <w:rPr>
          <w:lang w:val="en-GB"/>
        </w:rPr>
        <w:t>assembly</w:t>
      </w:r>
    </w:p>
    <w:p w14:paraId="0DEB024D" w14:textId="77777777" w:rsidR="003134AC" w:rsidRPr="00F422CA" w:rsidRDefault="00774ED7" w:rsidP="00063C87">
      <w:pPr>
        <w:pStyle w:val="SingleTxtG"/>
        <w:ind w:left="4536" w:hanging="3402"/>
        <w:jc w:val="left"/>
        <w:rPr>
          <w:i/>
          <w:iCs/>
          <w:lang w:val="en-GB"/>
        </w:rPr>
      </w:pPr>
      <w:r w:rsidRPr="005B6047">
        <w:rPr>
          <w:i/>
          <w:iCs/>
        </w:rPr>
        <w:t>Procedural issue</w:t>
      </w:r>
      <w:r>
        <w:rPr>
          <w:i/>
          <w:iCs/>
          <w:lang w:val="en-US"/>
        </w:rPr>
        <w:t>s</w:t>
      </w:r>
      <w:r w:rsidRPr="005B6047">
        <w:rPr>
          <w:i/>
          <w:iCs/>
        </w:rPr>
        <w:t xml:space="preserve">: </w:t>
      </w:r>
      <w:r w:rsidRPr="005B6047">
        <w:rPr>
          <w:i/>
          <w:iCs/>
        </w:rPr>
        <w:tab/>
      </w:r>
      <w:r w:rsidRPr="00F422CA">
        <w:rPr>
          <w:iCs/>
          <w:lang w:val="en-GB"/>
        </w:rPr>
        <w:t>Level of substantiation of claim</w:t>
      </w:r>
      <w:r>
        <w:rPr>
          <w:iCs/>
          <w:lang w:val="en-GB"/>
        </w:rPr>
        <w:t>s</w:t>
      </w:r>
      <w:r w:rsidRPr="00F422CA">
        <w:rPr>
          <w:iCs/>
          <w:lang w:val="en-GB"/>
        </w:rPr>
        <w:t xml:space="preserve"> </w:t>
      </w:r>
      <w:r w:rsidR="00472BD6" w:rsidRPr="000F3409">
        <w:rPr>
          <w:lang w:val="en-GB"/>
        </w:rPr>
        <w:t xml:space="preserve"> </w:t>
      </w:r>
    </w:p>
    <w:p w14:paraId="0BC406BD" w14:textId="77777777" w:rsidR="003134AC" w:rsidRPr="00283A20" w:rsidRDefault="003134AC" w:rsidP="00063C87">
      <w:pPr>
        <w:pStyle w:val="SingleTxtG"/>
        <w:ind w:left="4536" w:hanging="3402"/>
        <w:jc w:val="left"/>
        <w:rPr>
          <w:lang w:val="en-GB"/>
        </w:rPr>
      </w:pPr>
      <w:r w:rsidRPr="005B6047">
        <w:rPr>
          <w:i/>
          <w:iCs/>
        </w:rPr>
        <w:t xml:space="preserve">Substantive issues: </w:t>
      </w:r>
      <w:r w:rsidRPr="005B6047">
        <w:rPr>
          <w:i/>
          <w:iCs/>
        </w:rPr>
        <w:tab/>
      </w:r>
      <w:r w:rsidR="009B58BD">
        <w:rPr>
          <w:lang w:val="en-GB"/>
        </w:rPr>
        <w:t>Arbitrary</w:t>
      </w:r>
      <w:r w:rsidR="00036B13">
        <w:rPr>
          <w:lang w:val="en-GB"/>
        </w:rPr>
        <w:t xml:space="preserve"> arrest</w:t>
      </w:r>
      <w:r w:rsidR="00AD14B8">
        <w:rPr>
          <w:lang w:val="en-GB"/>
        </w:rPr>
        <w:t xml:space="preserve"> and</w:t>
      </w:r>
      <w:r w:rsidR="00036B13">
        <w:rPr>
          <w:lang w:val="en-GB"/>
        </w:rPr>
        <w:t xml:space="preserve"> detention; f</w:t>
      </w:r>
      <w:r w:rsidR="00283A20" w:rsidRPr="00283A20">
        <w:rPr>
          <w:lang w:val="en-GB"/>
        </w:rPr>
        <w:t>air trial</w:t>
      </w:r>
      <w:r w:rsidR="00AD14B8">
        <w:rPr>
          <w:lang w:val="en-GB"/>
        </w:rPr>
        <w:t xml:space="preserve"> and</w:t>
      </w:r>
      <w:r w:rsidR="009B58BD">
        <w:rPr>
          <w:lang w:val="en-GB"/>
        </w:rPr>
        <w:t xml:space="preserve"> witnesses</w:t>
      </w:r>
      <w:r w:rsidR="00283A20" w:rsidRPr="00283A20">
        <w:rPr>
          <w:lang w:val="en-GB"/>
        </w:rPr>
        <w:t>; freedom of expression; freedom of assembly</w:t>
      </w:r>
      <w:r w:rsidR="00283A20">
        <w:rPr>
          <w:lang w:val="en-GB"/>
        </w:rPr>
        <w:t xml:space="preserve"> </w:t>
      </w:r>
    </w:p>
    <w:p w14:paraId="7A432E10" w14:textId="77777777" w:rsidR="005C11C1" w:rsidRPr="005C11C1" w:rsidRDefault="003134AC" w:rsidP="00063C87">
      <w:pPr>
        <w:pStyle w:val="SingleTxtG"/>
        <w:ind w:left="4536" w:hanging="3402"/>
        <w:jc w:val="left"/>
        <w:rPr>
          <w:lang w:val="en-GB"/>
        </w:rPr>
      </w:pPr>
      <w:r w:rsidRPr="005C11C1">
        <w:rPr>
          <w:i/>
          <w:iCs/>
        </w:rPr>
        <w:t>Articles of the Covenant:</w:t>
      </w:r>
      <w:r w:rsidRPr="005C11C1">
        <w:t xml:space="preserve"> </w:t>
      </w:r>
      <w:r w:rsidRPr="005C11C1">
        <w:tab/>
      </w:r>
      <w:r w:rsidR="00CE089B" w:rsidRPr="00F422CA">
        <w:rPr>
          <w:lang w:val="en-GB"/>
        </w:rPr>
        <w:t xml:space="preserve">7, 9, </w:t>
      </w:r>
      <w:r w:rsidR="00492FCD" w:rsidRPr="00492FCD">
        <w:rPr>
          <w:lang w:val="en-US"/>
        </w:rPr>
        <w:t>14</w:t>
      </w:r>
      <w:r w:rsidR="00AD14B8">
        <w:rPr>
          <w:lang w:val="en-US"/>
        </w:rPr>
        <w:t xml:space="preserve"> (</w:t>
      </w:r>
      <w:r w:rsidR="00492FCD" w:rsidRPr="00492FCD">
        <w:rPr>
          <w:lang w:val="en-US"/>
        </w:rPr>
        <w:t>1</w:t>
      </w:r>
      <w:r w:rsidR="00AD14B8">
        <w:rPr>
          <w:lang w:val="en-US"/>
        </w:rPr>
        <w:t>)</w:t>
      </w:r>
      <w:r w:rsidR="00492FCD">
        <w:rPr>
          <w:lang w:val="en-US"/>
        </w:rPr>
        <w:t>,</w:t>
      </w:r>
      <w:r w:rsidR="00492FCD" w:rsidRPr="00492FCD">
        <w:rPr>
          <w:lang w:val="en-US"/>
        </w:rPr>
        <w:t xml:space="preserve"> 19</w:t>
      </w:r>
      <w:r w:rsidR="00AD14B8">
        <w:rPr>
          <w:lang w:val="en-US"/>
        </w:rPr>
        <w:t xml:space="preserve"> (</w:t>
      </w:r>
      <w:r w:rsidR="00CE089B">
        <w:rPr>
          <w:lang w:val="en-US"/>
        </w:rPr>
        <w:t>1</w:t>
      </w:r>
      <w:r w:rsidR="00AB39FA">
        <w:rPr>
          <w:lang w:val="en-US"/>
        </w:rPr>
        <w:t>)</w:t>
      </w:r>
      <w:r w:rsidR="00CE089B">
        <w:rPr>
          <w:lang w:val="en-US"/>
        </w:rPr>
        <w:t xml:space="preserve"> and</w:t>
      </w:r>
      <w:r w:rsidR="00AB39FA">
        <w:rPr>
          <w:lang w:val="en-US"/>
        </w:rPr>
        <w:t xml:space="preserve"> (</w:t>
      </w:r>
      <w:r w:rsidR="00492FCD" w:rsidRPr="00492FCD">
        <w:rPr>
          <w:lang w:val="en-US"/>
        </w:rPr>
        <w:t>2</w:t>
      </w:r>
      <w:r w:rsidR="00AD14B8">
        <w:rPr>
          <w:lang w:val="en-US"/>
        </w:rPr>
        <w:t>)</w:t>
      </w:r>
      <w:r w:rsidR="000B0FCC">
        <w:rPr>
          <w:lang w:val="en-US"/>
        </w:rPr>
        <w:t>,</w:t>
      </w:r>
      <w:r w:rsidR="00AD14B8">
        <w:rPr>
          <w:lang w:val="en-US"/>
        </w:rPr>
        <w:t xml:space="preserve"> and</w:t>
      </w:r>
      <w:r w:rsidR="00492FCD" w:rsidRPr="00492FCD">
        <w:rPr>
          <w:lang w:val="en-US"/>
        </w:rPr>
        <w:t xml:space="preserve"> 21</w:t>
      </w:r>
      <w:r w:rsidR="00C33A42">
        <w:rPr>
          <w:lang w:val="en-US"/>
        </w:rPr>
        <w:t xml:space="preserve"> </w:t>
      </w:r>
    </w:p>
    <w:p w14:paraId="7E4B1EDC" w14:textId="77777777" w:rsidR="00A9008E" w:rsidRPr="008D299D" w:rsidRDefault="003134AC" w:rsidP="00063C87">
      <w:pPr>
        <w:pStyle w:val="SingleTxtG"/>
        <w:ind w:left="4536" w:hanging="3402"/>
        <w:jc w:val="left"/>
        <w:rPr>
          <w:lang w:val="en-GB"/>
        </w:rPr>
      </w:pPr>
      <w:r w:rsidRPr="009E31DB">
        <w:rPr>
          <w:i/>
          <w:iCs/>
        </w:rPr>
        <w:t>Art</w:t>
      </w:r>
      <w:r>
        <w:rPr>
          <w:i/>
          <w:iCs/>
        </w:rPr>
        <w:t>icle of the Optional Protocol:</w:t>
      </w:r>
      <w:r w:rsidR="00735F4E" w:rsidRPr="00735F4E">
        <w:rPr>
          <w:i/>
          <w:iCs/>
          <w:lang w:val="en-GB"/>
        </w:rPr>
        <w:tab/>
      </w:r>
      <w:r w:rsidR="004E01F0">
        <w:rPr>
          <w:iCs/>
        </w:rPr>
        <w:t>2</w:t>
      </w:r>
    </w:p>
    <w:p w14:paraId="22EBD24A" w14:textId="77777777" w:rsidR="003134AC" w:rsidRPr="009E31DB" w:rsidRDefault="003134AC" w:rsidP="003134AC">
      <w:pPr>
        <w:pStyle w:val="HChG"/>
      </w:pPr>
      <w:r w:rsidRPr="009E31DB">
        <w:br w:type="page"/>
      </w:r>
      <w:r w:rsidRPr="009E31DB">
        <w:lastRenderedPageBreak/>
        <w:t>Annex</w:t>
      </w:r>
    </w:p>
    <w:p w14:paraId="4BEF17CE" w14:textId="77777777" w:rsidR="003134AC" w:rsidRPr="009E31DB" w:rsidRDefault="003134AC" w:rsidP="00AB39FA">
      <w:pPr>
        <w:pStyle w:val="HChG"/>
        <w:rPr>
          <w:bCs/>
        </w:rPr>
      </w:pPr>
      <w:r w:rsidRPr="009E31DB">
        <w:tab/>
      </w:r>
      <w:r w:rsidRPr="009E31DB">
        <w:tab/>
        <w:t>Views of the Human Rights Committee under article 5</w:t>
      </w:r>
      <w:r w:rsidR="00AB39FA">
        <w:t xml:space="preserve"> (</w:t>
      </w:r>
      <w:r w:rsidRPr="009E31DB">
        <w:t>4</w:t>
      </w:r>
      <w:r w:rsidR="00AB39FA">
        <w:t>)</w:t>
      </w:r>
      <w:r w:rsidRPr="009E31DB">
        <w:t xml:space="preserve"> of the Optional Protocol to the International Covenant on Civil and Political rights (</w:t>
      </w:r>
      <w:r>
        <w:t>11</w:t>
      </w:r>
      <w:r w:rsidR="005C3893">
        <w:t>4</w:t>
      </w:r>
      <w:r>
        <w:t xml:space="preserve">th </w:t>
      </w:r>
      <w:r w:rsidRPr="009E31DB">
        <w:rPr>
          <w:bCs/>
        </w:rPr>
        <w:t>session)</w:t>
      </w:r>
    </w:p>
    <w:p w14:paraId="2E711925" w14:textId="77777777" w:rsidR="003134AC" w:rsidRPr="009E31DB" w:rsidRDefault="003134AC" w:rsidP="003134AC">
      <w:pPr>
        <w:pStyle w:val="SingleTxtG"/>
        <w:rPr>
          <w:b/>
          <w:bCs/>
        </w:rPr>
      </w:pPr>
      <w:r w:rsidRPr="009E31DB">
        <w:t>concerning</w:t>
      </w:r>
    </w:p>
    <w:p w14:paraId="43DE7C14" w14:textId="77777777" w:rsidR="003134AC" w:rsidRPr="009E31DB" w:rsidRDefault="003134AC" w:rsidP="003134AC">
      <w:pPr>
        <w:pStyle w:val="H1G"/>
      </w:pPr>
      <w:r w:rsidRPr="009E31DB">
        <w:tab/>
      </w:r>
      <w:r w:rsidRPr="009E31DB">
        <w:tab/>
        <w:t xml:space="preserve">Communication No. </w:t>
      </w:r>
      <w:r w:rsidR="00A9008E">
        <w:t>19</w:t>
      </w:r>
      <w:r w:rsidR="00F70D25">
        <w:t>02</w:t>
      </w:r>
      <w:r>
        <w:t>/</w:t>
      </w:r>
      <w:r w:rsidR="00A9008E">
        <w:t>200</w:t>
      </w:r>
      <w:r w:rsidR="00F70D25">
        <w:t>9</w:t>
      </w:r>
      <w:r w:rsidR="007F7A13" w:rsidRPr="00063C87">
        <w:rPr>
          <w:rStyle w:val="FootnoteReference"/>
          <w:b w:val="0"/>
          <w:bCs/>
          <w:sz w:val="20"/>
          <w:vertAlign w:val="baseline"/>
        </w:rPr>
        <w:footnoteReference w:customMarkFollows="1" w:id="2"/>
        <w:t>*</w:t>
      </w:r>
    </w:p>
    <w:p w14:paraId="494AEAB9" w14:textId="77777777" w:rsidR="00361E8A" w:rsidRPr="009E31DB" w:rsidRDefault="00361E8A" w:rsidP="00063C87">
      <w:pPr>
        <w:pStyle w:val="SingleTxtG"/>
        <w:ind w:left="4536" w:hanging="3402"/>
        <w:jc w:val="left"/>
      </w:pPr>
      <w:r w:rsidRPr="009707F5">
        <w:rPr>
          <w:i/>
        </w:rPr>
        <w:t>Submitted by:</w:t>
      </w:r>
      <w:r w:rsidRPr="009E31DB">
        <w:tab/>
      </w:r>
      <w:r w:rsidR="00F70D25" w:rsidRPr="00F422CA">
        <w:rPr>
          <w:lang w:val="en-GB"/>
        </w:rPr>
        <w:t>Yuriy Bakur</w:t>
      </w:r>
      <w:r w:rsidR="00C00739">
        <w:rPr>
          <w:lang w:val="en-GB"/>
        </w:rPr>
        <w:t xml:space="preserve"> </w:t>
      </w:r>
      <w:r w:rsidR="00F9532C">
        <w:rPr>
          <w:lang w:val="en-US"/>
        </w:rPr>
        <w:t>(represented by counsel,</w:t>
      </w:r>
      <w:r w:rsidRPr="00A9008E">
        <w:rPr>
          <w:lang w:val="en-US"/>
        </w:rPr>
        <w:t xml:space="preserve"> Raman K</w:t>
      </w:r>
      <w:r>
        <w:rPr>
          <w:lang w:val="en-US"/>
        </w:rPr>
        <w:t>islyak</w:t>
      </w:r>
      <w:r w:rsidR="00F9532C">
        <w:rPr>
          <w:lang w:val="en-US"/>
        </w:rPr>
        <w:t>)</w:t>
      </w:r>
    </w:p>
    <w:p w14:paraId="5A1BA4C8" w14:textId="77777777" w:rsidR="00361E8A" w:rsidRPr="00A9008E" w:rsidRDefault="00361E8A" w:rsidP="00063C87">
      <w:pPr>
        <w:pStyle w:val="SingleTxtG"/>
        <w:ind w:left="4536" w:hanging="3402"/>
        <w:jc w:val="left"/>
        <w:rPr>
          <w:lang w:val="en-GB"/>
        </w:rPr>
      </w:pPr>
      <w:r w:rsidRPr="009707F5">
        <w:rPr>
          <w:i/>
        </w:rPr>
        <w:t>Alleged victim:</w:t>
      </w:r>
      <w:r w:rsidRPr="009E31DB">
        <w:tab/>
        <w:t>The author</w:t>
      </w:r>
    </w:p>
    <w:p w14:paraId="718D63DF" w14:textId="77777777" w:rsidR="00361E8A" w:rsidRPr="00A9008E" w:rsidRDefault="00361E8A" w:rsidP="00063C87">
      <w:pPr>
        <w:pStyle w:val="SingleTxtG"/>
        <w:ind w:left="4536" w:hanging="3402"/>
        <w:jc w:val="left"/>
        <w:rPr>
          <w:lang w:val="en-GB"/>
        </w:rPr>
      </w:pPr>
      <w:r w:rsidRPr="009707F5">
        <w:rPr>
          <w:i/>
        </w:rPr>
        <w:t>State party:</w:t>
      </w:r>
      <w:r w:rsidRPr="009E31DB">
        <w:tab/>
      </w:r>
      <w:r w:rsidRPr="00A9008E">
        <w:rPr>
          <w:lang w:val="en-GB"/>
        </w:rPr>
        <w:t>Belarus</w:t>
      </w:r>
    </w:p>
    <w:p w14:paraId="583D4C55" w14:textId="77777777" w:rsidR="00361E8A" w:rsidRPr="00063C87" w:rsidRDefault="00361E8A" w:rsidP="00063C87">
      <w:pPr>
        <w:pStyle w:val="SingleTxtG"/>
        <w:ind w:left="4536" w:hanging="3402"/>
        <w:jc w:val="left"/>
        <w:rPr>
          <w:lang w:val="en-US"/>
        </w:rPr>
      </w:pPr>
      <w:r w:rsidRPr="009707F5">
        <w:rPr>
          <w:i/>
        </w:rPr>
        <w:t>Date of communication:</w:t>
      </w:r>
      <w:r w:rsidRPr="009E31DB">
        <w:tab/>
      </w:r>
      <w:r w:rsidR="00F9532C" w:rsidRPr="00F422CA">
        <w:rPr>
          <w:lang w:val="en-GB"/>
        </w:rPr>
        <w:t>9 July 2008</w:t>
      </w:r>
      <w:r w:rsidRPr="009E31DB">
        <w:t xml:space="preserve"> (initial submission)</w:t>
      </w:r>
    </w:p>
    <w:p w14:paraId="42A64F7E" w14:textId="77777777" w:rsidR="003134AC" w:rsidRPr="009E31DB" w:rsidRDefault="003134AC" w:rsidP="003134AC">
      <w:pPr>
        <w:pStyle w:val="SingleTxtG"/>
      </w:pPr>
      <w:r w:rsidRPr="009E31DB">
        <w:tab/>
      </w:r>
      <w:r w:rsidRPr="009707F5">
        <w:rPr>
          <w:i/>
        </w:rPr>
        <w:t>The Human Rights Committee</w:t>
      </w:r>
      <w:r w:rsidRPr="009E31DB">
        <w:t xml:space="preserve">, established under article 28 of the International Covenant on Civil and Political Rights, </w:t>
      </w:r>
    </w:p>
    <w:p w14:paraId="01445CDC" w14:textId="77777777" w:rsidR="003134AC" w:rsidRPr="009E31DB" w:rsidRDefault="003134AC" w:rsidP="003134AC">
      <w:pPr>
        <w:pStyle w:val="SingleTxtG"/>
      </w:pPr>
      <w:r w:rsidRPr="009E31DB">
        <w:tab/>
      </w:r>
      <w:r w:rsidRPr="009707F5">
        <w:rPr>
          <w:i/>
        </w:rPr>
        <w:t>Meeting on</w:t>
      </w:r>
      <w:r w:rsidRPr="009E31DB">
        <w:t xml:space="preserve"> </w:t>
      </w:r>
      <w:r w:rsidR="00D11C79" w:rsidRPr="00063C87">
        <w:rPr>
          <w:lang w:val="en-GB"/>
        </w:rPr>
        <w:t>15</w:t>
      </w:r>
      <w:r w:rsidR="00D11C79" w:rsidRPr="009E31DB">
        <w:t xml:space="preserve"> </w:t>
      </w:r>
      <w:r w:rsidR="00F9532C" w:rsidRPr="00F422CA">
        <w:rPr>
          <w:lang w:val="en-GB"/>
        </w:rPr>
        <w:t>Ju</w:t>
      </w:r>
      <w:r w:rsidR="0000397C">
        <w:rPr>
          <w:lang w:val="en-GB"/>
        </w:rPr>
        <w:t>ly</w:t>
      </w:r>
      <w:r w:rsidRPr="009E31DB">
        <w:t xml:space="preserve"> 201</w:t>
      </w:r>
      <w:r w:rsidR="001844A0" w:rsidRPr="001844A0">
        <w:rPr>
          <w:lang w:val="en-GB"/>
        </w:rPr>
        <w:t>5</w:t>
      </w:r>
      <w:r w:rsidRPr="009E31DB">
        <w:t>,</w:t>
      </w:r>
    </w:p>
    <w:p w14:paraId="36AB0D5C" w14:textId="77777777" w:rsidR="003134AC" w:rsidRPr="009E31DB" w:rsidRDefault="003134AC" w:rsidP="003134AC">
      <w:pPr>
        <w:pStyle w:val="SingleTxtG"/>
      </w:pPr>
      <w:r w:rsidRPr="009E31DB">
        <w:tab/>
      </w:r>
      <w:r w:rsidRPr="009707F5">
        <w:rPr>
          <w:i/>
        </w:rPr>
        <w:t>Having concluded</w:t>
      </w:r>
      <w:r w:rsidRPr="009E31DB">
        <w:t xml:space="preserve"> its consideration of communication No. </w:t>
      </w:r>
      <w:r w:rsidR="00A9008E" w:rsidRPr="00A9008E">
        <w:rPr>
          <w:lang w:val="en-GB"/>
        </w:rPr>
        <w:t>19</w:t>
      </w:r>
      <w:r w:rsidR="00F9532C">
        <w:rPr>
          <w:lang w:val="en-GB"/>
        </w:rPr>
        <w:t>02</w:t>
      </w:r>
      <w:r>
        <w:t>/20</w:t>
      </w:r>
      <w:r w:rsidR="00A9008E">
        <w:rPr>
          <w:lang w:val="en-GB"/>
        </w:rPr>
        <w:t>0</w:t>
      </w:r>
      <w:r w:rsidR="00F9532C">
        <w:rPr>
          <w:lang w:val="en-GB"/>
        </w:rPr>
        <w:t>9</w:t>
      </w:r>
      <w:r w:rsidRPr="009E31DB">
        <w:t xml:space="preserve">, submitted to </w:t>
      </w:r>
      <w:r>
        <w:t xml:space="preserve">the Human Rights Committee </w:t>
      </w:r>
      <w:r w:rsidRPr="009E31DB">
        <w:t>under the Optional Protocol to the International Covenant on Civil and Political Rights,</w:t>
      </w:r>
    </w:p>
    <w:p w14:paraId="5B2C470E" w14:textId="77777777" w:rsidR="003134AC" w:rsidRPr="009E31DB" w:rsidRDefault="003134AC" w:rsidP="003134AC">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14:paraId="4CAED813" w14:textId="77777777" w:rsidR="003134AC" w:rsidRPr="009E31DB" w:rsidRDefault="003134AC" w:rsidP="003134AC">
      <w:pPr>
        <w:pStyle w:val="SingleTxtG"/>
      </w:pPr>
      <w:r w:rsidRPr="009E31DB">
        <w:tab/>
      </w:r>
      <w:r w:rsidRPr="009707F5">
        <w:rPr>
          <w:i/>
        </w:rPr>
        <w:t xml:space="preserve">Adopts </w:t>
      </w:r>
      <w:r w:rsidRPr="00063C87">
        <w:rPr>
          <w:iCs/>
        </w:rPr>
        <w:t>the following:</w:t>
      </w:r>
    </w:p>
    <w:p w14:paraId="6AA431A2" w14:textId="77777777" w:rsidR="003134AC" w:rsidRPr="009E31DB" w:rsidRDefault="003134AC" w:rsidP="00AB39FA">
      <w:pPr>
        <w:pStyle w:val="H1G"/>
      </w:pPr>
      <w:r w:rsidRPr="009E31DB">
        <w:tab/>
      </w:r>
      <w:r w:rsidRPr="009E31DB">
        <w:tab/>
        <w:t>Views under article 5</w:t>
      </w:r>
      <w:r w:rsidR="00AB39FA">
        <w:t xml:space="preserve"> (</w:t>
      </w:r>
      <w:r w:rsidRPr="009E31DB">
        <w:t>4</w:t>
      </w:r>
      <w:r w:rsidR="00AB39FA">
        <w:t>)</w:t>
      </w:r>
      <w:r w:rsidRPr="009E31DB">
        <w:t xml:space="preserve"> of the </w:t>
      </w:r>
      <w:r w:rsidRPr="0000397C">
        <w:t>Optional</w:t>
      </w:r>
      <w:r w:rsidRPr="009E31DB">
        <w:t xml:space="preserve"> Protocol</w:t>
      </w:r>
    </w:p>
    <w:p w14:paraId="381100CC" w14:textId="77777777" w:rsidR="00A9008E" w:rsidRPr="00A9008E" w:rsidRDefault="00A9008E" w:rsidP="00AB39FA">
      <w:pPr>
        <w:pStyle w:val="SingleTxtG"/>
        <w:rPr>
          <w:lang w:val="en-US"/>
        </w:rPr>
      </w:pPr>
      <w:r w:rsidRPr="00A9008E">
        <w:rPr>
          <w:lang w:val="en-US"/>
        </w:rPr>
        <w:t>1.</w:t>
      </w:r>
      <w:r w:rsidRPr="00A9008E">
        <w:rPr>
          <w:lang w:val="en-US"/>
        </w:rPr>
        <w:tab/>
        <w:t xml:space="preserve">The author of the </w:t>
      </w:r>
      <w:r w:rsidRPr="0000397C">
        <w:t>communication</w:t>
      </w:r>
      <w:r w:rsidRPr="00A9008E">
        <w:rPr>
          <w:lang w:val="en-US"/>
        </w:rPr>
        <w:t xml:space="preserve"> </w:t>
      </w:r>
      <w:r w:rsidR="00F9532C">
        <w:rPr>
          <w:lang w:val="en-US"/>
        </w:rPr>
        <w:t>is</w:t>
      </w:r>
      <w:r w:rsidRPr="00A9008E">
        <w:rPr>
          <w:lang w:val="en-US"/>
        </w:rPr>
        <w:t xml:space="preserve"> </w:t>
      </w:r>
      <w:r w:rsidR="00F9532C">
        <w:rPr>
          <w:lang w:val="en-US"/>
        </w:rPr>
        <w:t>Yuriy Bakur</w:t>
      </w:r>
      <w:r w:rsidRPr="00A9008E">
        <w:rPr>
          <w:lang w:val="en-US"/>
        </w:rPr>
        <w:t xml:space="preserve">, </w:t>
      </w:r>
      <w:r w:rsidR="00C00739">
        <w:rPr>
          <w:lang w:val="en-US"/>
        </w:rPr>
        <w:t xml:space="preserve">a Belarusian national </w:t>
      </w:r>
      <w:r w:rsidRPr="00A9008E">
        <w:rPr>
          <w:lang w:val="en-US"/>
        </w:rPr>
        <w:t>born in 19</w:t>
      </w:r>
      <w:r w:rsidR="00F9532C">
        <w:rPr>
          <w:lang w:val="en-US"/>
        </w:rPr>
        <w:t>84</w:t>
      </w:r>
      <w:r w:rsidRPr="00A9008E">
        <w:rPr>
          <w:lang w:val="en-US"/>
        </w:rPr>
        <w:t xml:space="preserve">. </w:t>
      </w:r>
      <w:r w:rsidR="00F9532C">
        <w:rPr>
          <w:lang w:val="en-US"/>
        </w:rPr>
        <w:t>He</w:t>
      </w:r>
      <w:r w:rsidRPr="00A9008E">
        <w:rPr>
          <w:lang w:val="en-US"/>
        </w:rPr>
        <w:t xml:space="preserve"> claim</w:t>
      </w:r>
      <w:r w:rsidR="00F9532C">
        <w:rPr>
          <w:lang w:val="en-US"/>
        </w:rPr>
        <w:t>s</w:t>
      </w:r>
      <w:r w:rsidRPr="00A9008E">
        <w:rPr>
          <w:lang w:val="en-US"/>
        </w:rPr>
        <w:t xml:space="preserve"> to be </w:t>
      </w:r>
      <w:r w:rsidR="00F9532C">
        <w:rPr>
          <w:lang w:val="en-US"/>
        </w:rPr>
        <w:t xml:space="preserve">a </w:t>
      </w:r>
      <w:r w:rsidRPr="00A9008E">
        <w:rPr>
          <w:lang w:val="en-US"/>
        </w:rPr>
        <w:t>victim of violations</w:t>
      </w:r>
      <w:r w:rsidR="00C00739">
        <w:rPr>
          <w:lang w:val="en-US"/>
        </w:rPr>
        <w:t>,</w:t>
      </w:r>
      <w:r w:rsidRPr="00A9008E">
        <w:rPr>
          <w:lang w:val="en-US"/>
        </w:rPr>
        <w:t xml:space="preserve"> by Belarus</w:t>
      </w:r>
      <w:r w:rsidR="00C00739">
        <w:rPr>
          <w:lang w:val="en-US"/>
        </w:rPr>
        <w:t>,</w:t>
      </w:r>
      <w:r w:rsidRPr="00A9008E">
        <w:rPr>
          <w:lang w:val="en-US"/>
        </w:rPr>
        <w:t xml:space="preserve"> of </w:t>
      </w:r>
      <w:r w:rsidR="00F9532C">
        <w:rPr>
          <w:lang w:val="en-US"/>
        </w:rPr>
        <w:t xml:space="preserve">his </w:t>
      </w:r>
      <w:r w:rsidRPr="00A9008E">
        <w:rPr>
          <w:lang w:val="en-US"/>
        </w:rPr>
        <w:t>rights under article</w:t>
      </w:r>
      <w:r w:rsidR="00AB39FA">
        <w:rPr>
          <w:lang w:val="en-US"/>
        </w:rPr>
        <w:t>s</w:t>
      </w:r>
      <w:r w:rsidRPr="00A9008E">
        <w:rPr>
          <w:lang w:val="en-US"/>
        </w:rPr>
        <w:t xml:space="preserve"> </w:t>
      </w:r>
      <w:r w:rsidR="00F9532C">
        <w:rPr>
          <w:lang w:val="en-US"/>
        </w:rPr>
        <w:t>7</w:t>
      </w:r>
      <w:r w:rsidR="00AB39FA">
        <w:rPr>
          <w:lang w:val="en-US"/>
        </w:rPr>
        <w:t>,</w:t>
      </w:r>
      <w:r w:rsidR="00F9532C">
        <w:rPr>
          <w:lang w:val="en-US"/>
        </w:rPr>
        <w:t xml:space="preserve"> 9</w:t>
      </w:r>
      <w:r w:rsidR="00AB39FA">
        <w:rPr>
          <w:lang w:val="en-US"/>
        </w:rPr>
        <w:t xml:space="preserve">, </w:t>
      </w:r>
      <w:r w:rsidR="000B0FCC">
        <w:rPr>
          <w:lang w:val="en-US"/>
        </w:rPr>
        <w:br/>
      </w:r>
      <w:r w:rsidRPr="00A9008E">
        <w:rPr>
          <w:lang w:val="en-US"/>
        </w:rPr>
        <w:t>14</w:t>
      </w:r>
      <w:r w:rsidR="00AB39FA">
        <w:rPr>
          <w:lang w:val="en-US"/>
        </w:rPr>
        <w:t xml:space="preserve"> (</w:t>
      </w:r>
      <w:r w:rsidRPr="00A9008E">
        <w:rPr>
          <w:lang w:val="en-US"/>
        </w:rPr>
        <w:t>1</w:t>
      </w:r>
      <w:r w:rsidR="00AB39FA">
        <w:rPr>
          <w:lang w:val="en-US"/>
        </w:rPr>
        <w:t xml:space="preserve">), </w:t>
      </w:r>
      <w:r w:rsidRPr="00A9008E">
        <w:rPr>
          <w:lang w:val="en-US"/>
        </w:rPr>
        <w:t>19</w:t>
      </w:r>
      <w:r w:rsidR="00AB39FA">
        <w:rPr>
          <w:lang w:val="en-US"/>
        </w:rPr>
        <w:t xml:space="preserve"> (</w:t>
      </w:r>
      <w:r w:rsidR="00F9532C">
        <w:rPr>
          <w:lang w:val="en-US"/>
        </w:rPr>
        <w:t>1</w:t>
      </w:r>
      <w:r w:rsidR="00AB39FA">
        <w:rPr>
          <w:lang w:val="en-US"/>
        </w:rPr>
        <w:t>)</w:t>
      </w:r>
      <w:r w:rsidR="00F9532C">
        <w:rPr>
          <w:lang w:val="en-US"/>
        </w:rPr>
        <w:t xml:space="preserve"> and </w:t>
      </w:r>
      <w:r w:rsidR="00AB39FA">
        <w:rPr>
          <w:lang w:val="en-US"/>
        </w:rPr>
        <w:t>(</w:t>
      </w:r>
      <w:r w:rsidRPr="00A9008E">
        <w:rPr>
          <w:lang w:val="en-US"/>
        </w:rPr>
        <w:t>2</w:t>
      </w:r>
      <w:r w:rsidR="00AB39FA">
        <w:rPr>
          <w:lang w:val="en-US"/>
        </w:rPr>
        <w:t>)</w:t>
      </w:r>
      <w:r w:rsidR="000B0FCC">
        <w:rPr>
          <w:lang w:val="en-US"/>
        </w:rPr>
        <w:t>,</w:t>
      </w:r>
      <w:r w:rsidRPr="00A9008E">
        <w:rPr>
          <w:lang w:val="en-US"/>
        </w:rPr>
        <w:t xml:space="preserve"> </w:t>
      </w:r>
      <w:r w:rsidR="00F9532C">
        <w:rPr>
          <w:lang w:val="en-US"/>
        </w:rPr>
        <w:t xml:space="preserve">and </w:t>
      </w:r>
      <w:r w:rsidRPr="00A9008E">
        <w:rPr>
          <w:lang w:val="en-US"/>
        </w:rPr>
        <w:t xml:space="preserve">21 of the </w:t>
      </w:r>
      <w:r w:rsidR="00706988" w:rsidRPr="00685405">
        <w:rPr>
          <w:lang w:val="en-GB"/>
        </w:rPr>
        <w:t>International Covenant on Civil and Political Rights</w:t>
      </w:r>
      <w:r w:rsidR="00C00739">
        <w:rPr>
          <w:lang w:val="en-GB"/>
        </w:rPr>
        <w:t xml:space="preserve">. </w:t>
      </w:r>
      <w:r w:rsidR="00C00739">
        <w:rPr>
          <w:lang w:val="en-US"/>
        </w:rPr>
        <w:t xml:space="preserve">He </w:t>
      </w:r>
      <w:r w:rsidR="00F9532C">
        <w:rPr>
          <w:lang w:val="en-US"/>
        </w:rPr>
        <w:t xml:space="preserve">is represented by counsel, </w:t>
      </w:r>
      <w:r w:rsidR="00706988">
        <w:rPr>
          <w:lang w:val="en-US"/>
        </w:rPr>
        <w:t xml:space="preserve">Raman </w:t>
      </w:r>
      <w:r w:rsidRPr="00A9008E">
        <w:rPr>
          <w:lang w:val="en-US"/>
        </w:rPr>
        <w:t>Kislyak.</w:t>
      </w:r>
      <w:r w:rsidR="00C00739">
        <w:rPr>
          <w:lang w:val="en-US"/>
        </w:rPr>
        <w:t xml:space="preserve"> </w:t>
      </w:r>
      <w:r w:rsidR="00C00739" w:rsidRPr="00C00739">
        <w:rPr>
          <w:lang w:val="en-US"/>
        </w:rPr>
        <w:t>The Optional Protocol entered into force for Belarus on 30 December 1992.</w:t>
      </w:r>
    </w:p>
    <w:p w14:paraId="7F586FFE" w14:textId="77777777" w:rsidR="00A9008E" w:rsidRPr="00A9008E" w:rsidRDefault="008D299D" w:rsidP="0000397C">
      <w:pPr>
        <w:pStyle w:val="H23G"/>
        <w:rPr>
          <w:lang w:val="en-US"/>
        </w:rPr>
      </w:pPr>
      <w:r>
        <w:rPr>
          <w:lang w:val="en-US"/>
        </w:rPr>
        <w:tab/>
      </w:r>
      <w:r>
        <w:rPr>
          <w:lang w:val="en-US"/>
        </w:rPr>
        <w:tab/>
      </w:r>
      <w:r w:rsidR="00A9008E" w:rsidRPr="00A9008E">
        <w:rPr>
          <w:lang w:val="en-US"/>
        </w:rPr>
        <w:t xml:space="preserve">The facts as </w:t>
      </w:r>
      <w:r w:rsidR="00A9008E" w:rsidRPr="0000397C">
        <w:t>presented</w:t>
      </w:r>
      <w:r w:rsidR="00A9008E" w:rsidRPr="00A9008E">
        <w:rPr>
          <w:lang w:val="en-US"/>
        </w:rPr>
        <w:t xml:space="preserve"> by the author</w:t>
      </w:r>
    </w:p>
    <w:p w14:paraId="7ECD53F6" w14:textId="77777777" w:rsidR="00A9008E" w:rsidRPr="00A9008E" w:rsidRDefault="00A9008E" w:rsidP="005D5835">
      <w:pPr>
        <w:pStyle w:val="SingleTxtG"/>
        <w:rPr>
          <w:lang w:val="en-US"/>
        </w:rPr>
      </w:pPr>
      <w:r w:rsidRPr="00A9008E">
        <w:rPr>
          <w:lang w:val="en-US"/>
        </w:rPr>
        <w:t>2.1</w:t>
      </w:r>
      <w:r w:rsidRPr="00A9008E">
        <w:rPr>
          <w:lang w:val="en-US"/>
        </w:rPr>
        <w:tab/>
      </w:r>
      <w:r w:rsidR="00B16940" w:rsidRPr="00B16940">
        <w:rPr>
          <w:lang w:val="en-US"/>
        </w:rPr>
        <w:t xml:space="preserve">On 19 August 2007 at </w:t>
      </w:r>
      <w:r w:rsidR="00B62DBE">
        <w:rPr>
          <w:lang w:val="en-US"/>
        </w:rPr>
        <w:t>3 p.m.</w:t>
      </w:r>
      <w:r w:rsidR="00B16940" w:rsidRPr="00B16940">
        <w:rPr>
          <w:lang w:val="en-US"/>
        </w:rPr>
        <w:t>, the author participated in a</w:t>
      </w:r>
      <w:r w:rsidR="000B0FCC">
        <w:rPr>
          <w:lang w:val="en-US"/>
        </w:rPr>
        <w:t xml:space="preserve"> public</w:t>
      </w:r>
      <w:r w:rsidR="00004760">
        <w:rPr>
          <w:lang w:val="en-US"/>
        </w:rPr>
        <w:t xml:space="preserve"> </w:t>
      </w:r>
      <w:r w:rsidR="00B16940" w:rsidRPr="00B16940">
        <w:rPr>
          <w:lang w:val="en-US"/>
        </w:rPr>
        <w:t xml:space="preserve">meeting of </w:t>
      </w:r>
      <w:r w:rsidR="001E7073">
        <w:rPr>
          <w:lang w:val="en-US"/>
        </w:rPr>
        <w:t>the B</w:t>
      </w:r>
      <w:r w:rsidR="00B62DBE">
        <w:rPr>
          <w:lang w:val="en-US"/>
        </w:rPr>
        <w:t>elarusian Popular Front (B</w:t>
      </w:r>
      <w:r w:rsidR="001E7073">
        <w:rPr>
          <w:lang w:val="en-US"/>
        </w:rPr>
        <w:t>NF</w:t>
      </w:r>
      <w:r w:rsidR="00B62DBE">
        <w:rPr>
          <w:lang w:val="en-US"/>
        </w:rPr>
        <w:t>)</w:t>
      </w:r>
      <w:r w:rsidR="001E7073">
        <w:rPr>
          <w:lang w:val="en-US"/>
        </w:rPr>
        <w:t xml:space="preserve"> </w:t>
      </w:r>
      <w:r w:rsidR="00B16940" w:rsidRPr="00B16940">
        <w:rPr>
          <w:lang w:val="en-US"/>
        </w:rPr>
        <w:t xml:space="preserve">political party in Brest city. </w:t>
      </w:r>
      <w:r w:rsidR="00004760">
        <w:rPr>
          <w:lang w:val="en-US"/>
        </w:rPr>
        <w:t xml:space="preserve">The meeting was </w:t>
      </w:r>
      <w:r w:rsidR="00E915AE">
        <w:rPr>
          <w:lang w:val="en-US"/>
        </w:rPr>
        <w:t>held</w:t>
      </w:r>
      <w:r w:rsidR="00004760">
        <w:rPr>
          <w:lang w:val="en-US"/>
        </w:rPr>
        <w:t xml:space="preserve"> in the</w:t>
      </w:r>
      <w:r w:rsidR="001E7073">
        <w:rPr>
          <w:lang w:val="en-US"/>
        </w:rPr>
        <w:t xml:space="preserve"> building </w:t>
      </w:r>
      <w:r w:rsidR="00B62DBE">
        <w:rPr>
          <w:lang w:val="en-US"/>
        </w:rPr>
        <w:t>in which</w:t>
      </w:r>
      <w:r w:rsidR="001E7073">
        <w:rPr>
          <w:lang w:val="en-US"/>
        </w:rPr>
        <w:t xml:space="preserve"> </w:t>
      </w:r>
      <w:r w:rsidR="00004760">
        <w:rPr>
          <w:lang w:val="en-US"/>
        </w:rPr>
        <w:t>the</w:t>
      </w:r>
      <w:r w:rsidR="00C00739">
        <w:rPr>
          <w:lang w:val="en-US"/>
        </w:rPr>
        <w:t xml:space="preserve"> </w:t>
      </w:r>
      <w:r w:rsidR="00C11E6B">
        <w:rPr>
          <w:lang w:val="en-US"/>
        </w:rPr>
        <w:t>o</w:t>
      </w:r>
      <w:r w:rsidR="001E7073">
        <w:rPr>
          <w:lang w:val="en-US"/>
        </w:rPr>
        <w:t>ffice</w:t>
      </w:r>
      <w:r w:rsidR="00C11E6B">
        <w:rPr>
          <w:lang w:val="en-US"/>
        </w:rPr>
        <w:t xml:space="preserve"> of BNF</w:t>
      </w:r>
      <w:r w:rsidR="00E915AE">
        <w:rPr>
          <w:lang w:val="en-US"/>
        </w:rPr>
        <w:t xml:space="preserve"> is located</w:t>
      </w:r>
      <w:r w:rsidR="007F7A13">
        <w:rPr>
          <w:lang w:val="en-US"/>
        </w:rPr>
        <w:t>.</w:t>
      </w:r>
      <w:r w:rsidR="00855E6F" w:rsidRPr="00B25D50">
        <w:rPr>
          <w:rStyle w:val="FootnoteReference"/>
        </w:rPr>
        <w:footnoteReference w:id="3"/>
      </w:r>
      <w:r w:rsidR="00004760">
        <w:rPr>
          <w:lang w:val="en-US"/>
        </w:rPr>
        <w:t xml:space="preserve"> </w:t>
      </w:r>
      <w:r w:rsidR="001E7073">
        <w:rPr>
          <w:lang w:val="en-US"/>
        </w:rPr>
        <w:t xml:space="preserve">The purpose </w:t>
      </w:r>
      <w:r w:rsidR="00953725">
        <w:rPr>
          <w:lang w:val="en-US"/>
        </w:rPr>
        <w:t xml:space="preserve">of the meeting was to </w:t>
      </w:r>
      <w:r w:rsidR="00B62DBE">
        <w:rPr>
          <w:lang w:val="en-US"/>
        </w:rPr>
        <w:lastRenderedPageBreak/>
        <w:t>interview</w:t>
      </w:r>
      <w:r w:rsidR="00953725">
        <w:rPr>
          <w:lang w:val="en-US"/>
        </w:rPr>
        <w:t xml:space="preserve"> a well-known journalist, publicist and civil activist</w:t>
      </w:r>
      <w:r w:rsidR="00E915AE">
        <w:rPr>
          <w:lang w:val="en-US"/>
        </w:rPr>
        <w:t>,</w:t>
      </w:r>
      <w:r w:rsidR="00953725">
        <w:rPr>
          <w:lang w:val="en-US"/>
        </w:rPr>
        <w:t xml:space="preserve"> Pavel Severints</w:t>
      </w:r>
      <w:r w:rsidR="00E915AE">
        <w:rPr>
          <w:lang w:val="en-US"/>
        </w:rPr>
        <w:t>,</w:t>
      </w:r>
      <w:r w:rsidR="00953725">
        <w:rPr>
          <w:lang w:val="en-US"/>
        </w:rPr>
        <w:t xml:space="preserve"> and discuss his new book. </w:t>
      </w:r>
      <w:r w:rsidR="00004760">
        <w:rPr>
          <w:lang w:val="en-US"/>
        </w:rPr>
        <w:t xml:space="preserve">At around </w:t>
      </w:r>
      <w:r w:rsidR="00B62DBE">
        <w:rPr>
          <w:lang w:val="en-US"/>
        </w:rPr>
        <w:t>4 p.m</w:t>
      </w:r>
      <w:r w:rsidR="000B0FCC">
        <w:rPr>
          <w:lang w:val="en-US"/>
        </w:rPr>
        <w:t>.</w:t>
      </w:r>
      <w:r w:rsidR="00004760">
        <w:rPr>
          <w:lang w:val="en-US"/>
        </w:rPr>
        <w:t xml:space="preserve">, </w:t>
      </w:r>
      <w:r w:rsidR="00B16940" w:rsidRPr="00B16940">
        <w:rPr>
          <w:lang w:val="en-US"/>
        </w:rPr>
        <w:t>police</w:t>
      </w:r>
      <w:r w:rsidR="00004760">
        <w:rPr>
          <w:lang w:val="en-US"/>
        </w:rPr>
        <w:t xml:space="preserve"> officers</w:t>
      </w:r>
      <w:r w:rsidR="00B62DBE">
        <w:rPr>
          <w:lang w:val="en-US"/>
        </w:rPr>
        <w:t xml:space="preserve"> </w:t>
      </w:r>
      <w:r w:rsidR="00B16940" w:rsidRPr="00B16940">
        <w:rPr>
          <w:lang w:val="en-US"/>
        </w:rPr>
        <w:t xml:space="preserve">entered the </w:t>
      </w:r>
      <w:r w:rsidR="00004760">
        <w:rPr>
          <w:lang w:val="en-US"/>
        </w:rPr>
        <w:t>premises</w:t>
      </w:r>
      <w:r w:rsidR="00B62DBE">
        <w:rPr>
          <w:lang w:val="en-US"/>
        </w:rPr>
        <w:t xml:space="preserve">, interrupted </w:t>
      </w:r>
      <w:r w:rsidR="00426F07">
        <w:rPr>
          <w:lang w:val="en-US"/>
        </w:rPr>
        <w:t xml:space="preserve">and stopped </w:t>
      </w:r>
      <w:r w:rsidR="00B62DBE">
        <w:rPr>
          <w:lang w:val="en-US"/>
        </w:rPr>
        <w:t>the meeting</w:t>
      </w:r>
      <w:r w:rsidR="000B0FCC">
        <w:rPr>
          <w:lang w:val="en-US"/>
        </w:rPr>
        <w:t>,</w:t>
      </w:r>
      <w:r w:rsidR="00B16940" w:rsidRPr="00B16940">
        <w:rPr>
          <w:lang w:val="en-US"/>
        </w:rPr>
        <w:t xml:space="preserve"> and </w:t>
      </w:r>
      <w:r w:rsidR="00C00739">
        <w:rPr>
          <w:lang w:val="en-US"/>
        </w:rPr>
        <w:t xml:space="preserve">apprehended </w:t>
      </w:r>
      <w:r w:rsidR="00B16940" w:rsidRPr="00B16940">
        <w:rPr>
          <w:lang w:val="en-US"/>
        </w:rPr>
        <w:t xml:space="preserve">28 persons, including </w:t>
      </w:r>
      <w:r w:rsidR="00C50D9F">
        <w:rPr>
          <w:lang w:val="en-US"/>
        </w:rPr>
        <w:t xml:space="preserve">Mr. Bakur, </w:t>
      </w:r>
      <w:r w:rsidR="00B16940" w:rsidRPr="00B16940">
        <w:rPr>
          <w:lang w:val="en-US"/>
        </w:rPr>
        <w:t>the author</w:t>
      </w:r>
      <w:r w:rsidR="00B62DBE">
        <w:rPr>
          <w:lang w:val="en-US"/>
        </w:rPr>
        <w:t xml:space="preserve"> of the present communication</w:t>
      </w:r>
      <w:r w:rsidR="00B16940" w:rsidRPr="00B16940">
        <w:rPr>
          <w:lang w:val="en-US"/>
        </w:rPr>
        <w:t xml:space="preserve">. </w:t>
      </w:r>
      <w:r w:rsidR="0038435C">
        <w:rPr>
          <w:lang w:val="en-US"/>
        </w:rPr>
        <w:t>Mr. Bakur</w:t>
      </w:r>
      <w:r w:rsidR="00B62DBE">
        <w:rPr>
          <w:lang w:val="en-US"/>
        </w:rPr>
        <w:t xml:space="preserve"> </w:t>
      </w:r>
      <w:r w:rsidR="00B16940" w:rsidRPr="00B16940">
        <w:rPr>
          <w:lang w:val="en-US"/>
        </w:rPr>
        <w:t xml:space="preserve">was </w:t>
      </w:r>
      <w:r w:rsidR="00516C94">
        <w:rPr>
          <w:lang w:val="en-US"/>
        </w:rPr>
        <w:t>subsequently</w:t>
      </w:r>
      <w:r w:rsidR="00B16940" w:rsidRPr="00B16940">
        <w:rPr>
          <w:lang w:val="en-US"/>
        </w:rPr>
        <w:t xml:space="preserve"> </w:t>
      </w:r>
      <w:r w:rsidR="00A26063">
        <w:rPr>
          <w:lang w:val="en-US"/>
        </w:rPr>
        <w:t>charged with</w:t>
      </w:r>
      <w:r w:rsidR="00B16940" w:rsidRPr="00B16940">
        <w:rPr>
          <w:lang w:val="en-US"/>
        </w:rPr>
        <w:t xml:space="preserve"> </w:t>
      </w:r>
      <w:r w:rsidR="00B62DBE">
        <w:rPr>
          <w:lang w:val="en-US"/>
        </w:rPr>
        <w:t>the</w:t>
      </w:r>
      <w:r w:rsidR="00B16940" w:rsidRPr="00B16940">
        <w:rPr>
          <w:lang w:val="en-US"/>
        </w:rPr>
        <w:t xml:space="preserve"> administrative offence</w:t>
      </w:r>
      <w:r w:rsidR="00C00739">
        <w:rPr>
          <w:lang w:val="en-US"/>
        </w:rPr>
        <w:t xml:space="preserve"> </w:t>
      </w:r>
      <w:r w:rsidR="00B62DBE">
        <w:rPr>
          <w:lang w:val="en-US"/>
        </w:rPr>
        <w:t>of</w:t>
      </w:r>
      <w:r w:rsidR="00C00739">
        <w:rPr>
          <w:lang w:val="en-US"/>
        </w:rPr>
        <w:t xml:space="preserve"> participat</w:t>
      </w:r>
      <w:r w:rsidR="00B62DBE">
        <w:rPr>
          <w:lang w:val="en-US"/>
        </w:rPr>
        <w:t>ing</w:t>
      </w:r>
      <w:r w:rsidR="00C00739">
        <w:rPr>
          <w:lang w:val="en-US"/>
        </w:rPr>
        <w:t xml:space="preserve"> in </w:t>
      </w:r>
      <w:r w:rsidR="00A52D60">
        <w:rPr>
          <w:lang w:val="en-US"/>
        </w:rPr>
        <w:t>an</w:t>
      </w:r>
      <w:r w:rsidR="00C00739">
        <w:rPr>
          <w:lang w:val="en-US"/>
        </w:rPr>
        <w:t xml:space="preserve"> unauthorized </w:t>
      </w:r>
      <w:r w:rsidR="00B16940" w:rsidRPr="00B16940">
        <w:rPr>
          <w:lang w:val="en-US"/>
        </w:rPr>
        <w:t xml:space="preserve">meeting. </w:t>
      </w:r>
    </w:p>
    <w:p w14:paraId="261B0BC4" w14:textId="77777777" w:rsidR="00A9008E" w:rsidRPr="00A9008E" w:rsidRDefault="00A9008E" w:rsidP="005D5835">
      <w:pPr>
        <w:pStyle w:val="SingleTxtG"/>
        <w:rPr>
          <w:lang w:val="en-US"/>
        </w:rPr>
      </w:pPr>
      <w:r w:rsidRPr="00A9008E">
        <w:rPr>
          <w:lang w:val="en-US"/>
        </w:rPr>
        <w:t>2.2</w:t>
      </w:r>
      <w:r w:rsidRPr="00A9008E">
        <w:rPr>
          <w:lang w:val="en-US"/>
        </w:rPr>
        <w:tab/>
      </w:r>
      <w:r w:rsidR="000B0FCC">
        <w:rPr>
          <w:lang w:val="en-US"/>
        </w:rPr>
        <w:t>Mr. Bakur</w:t>
      </w:r>
      <w:r w:rsidR="00B16940" w:rsidRPr="00B16940">
        <w:rPr>
          <w:lang w:val="en-US"/>
        </w:rPr>
        <w:t xml:space="preserve"> was released </w:t>
      </w:r>
      <w:r w:rsidR="0038435C">
        <w:rPr>
          <w:lang w:val="en-US"/>
        </w:rPr>
        <w:t xml:space="preserve">at 11 p.m. </w:t>
      </w:r>
      <w:r w:rsidR="005C3893">
        <w:rPr>
          <w:lang w:val="en-US"/>
        </w:rPr>
        <w:t>t</w:t>
      </w:r>
      <w:r w:rsidR="005C3893" w:rsidRPr="00B16940">
        <w:rPr>
          <w:lang w:val="en-US"/>
        </w:rPr>
        <w:t>he same day</w:t>
      </w:r>
      <w:r w:rsidR="005C3893">
        <w:rPr>
          <w:lang w:val="en-US"/>
        </w:rPr>
        <w:t xml:space="preserve"> </w:t>
      </w:r>
      <w:r w:rsidR="00B16940" w:rsidRPr="00B16940">
        <w:rPr>
          <w:lang w:val="en-US"/>
        </w:rPr>
        <w:t xml:space="preserve">without being provided with any documents confirming </w:t>
      </w:r>
      <w:r w:rsidR="00C00739">
        <w:rPr>
          <w:lang w:val="en-US"/>
        </w:rPr>
        <w:t>his detention</w:t>
      </w:r>
      <w:r w:rsidR="00B16940" w:rsidRPr="00B16940">
        <w:rPr>
          <w:lang w:val="en-US"/>
        </w:rPr>
        <w:t>. He claims that this violated the Executive Procedure Code of Belarus</w:t>
      </w:r>
      <w:r w:rsidR="0038435C">
        <w:rPr>
          <w:lang w:val="en-US"/>
        </w:rPr>
        <w:t>,</w:t>
      </w:r>
      <w:r w:rsidR="00B16940" w:rsidRPr="00B16940">
        <w:rPr>
          <w:lang w:val="en-US"/>
        </w:rPr>
        <w:t xml:space="preserve"> as his de</w:t>
      </w:r>
      <w:r w:rsidR="00495FB9">
        <w:rPr>
          <w:lang w:val="en-US"/>
        </w:rPr>
        <w:t xml:space="preserve">privation of liberty </w:t>
      </w:r>
      <w:r w:rsidR="00B16940" w:rsidRPr="00B16940">
        <w:rPr>
          <w:lang w:val="en-US"/>
        </w:rPr>
        <w:t>for 6 hours and 30 minutes ha</w:t>
      </w:r>
      <w:r w:rsidR="0038435C">
        <w:rPr>
          <w:lang w:val="en-US"/>
        </w:rPr>
        <w:t>d</w:t>
      </w:r>
      <w:r w:rsidR="00B16940" w:rsidRPr="00B16940">
        <w:rPr>
          <w:lang w:val="en-US"/>
        </w:rPr>
        <w:t xml:space="preserve"> not been officially documented. </w:t>
      </w:r>
      <w:r w:rsidR="0038435C">
        <w:rPr>
          <w:lang w:val="en-US"/>
        </w:rPr>
        <w:t xml:space="preserve">He claims that </w:t>
      </w:r>
      <w:r w:rsidR="00B16940" w:rsidRPr="00B16940">
        <w:rPr>
          <w:lang w:val="en-US"/>
        </w:rPr>
        <w:t>other participants</w:t>
      </w:r>
      <w:r w:rsidR="0038435C">
        <w:rPr>
          <w:lang w:val="en-US"/>
        </w:rPr>
        <w:t xml:space="preserve"> in the meeting</w:t>
      </w:r>
      <w:r w:rsidR="00B16940" w:rsidRPr="00B16940">
        <w:rPr>
          <w:lang w:val="en-US"/>
        </w:rPr>
        <w:t xml:space="preserve"> were released immediately</w:t>
      </w:r>
      <w:r w:rsidR="0038435C">
        <w:rPr>
          <w:lang w:val="en-US"/>
        </w:rPr>
        <w:t>,</w:t>
      </w:r>
      <w:r w:rsidR="00B16940" w:rsidRPr="00B16940">
        <w:rPr>
          <w:lang w:val="en-US"/>
        </w:rPr>
        <w:t xml:space="preserve"> without any charges.</w:t>
      </w:r>
      <w:r w:rsidR="00B16940">
        <w:rPr>
          <w:lang w:val="en-US"/>
        </w:rPr>
        <w:t xml:space="preserve"> </w:t>
      </w:r>
    </w:p>
    <w:p w14:paraId="769F1A5E" w14:textId="77777777" w:rsidR="00A9008E" w:rsidRPr="00A9008E" w:rsidRDefault="00A9008E" w:rsidP="00164914">
      <w:pPr>
        <w:pStyle w:val="SingleTxtG"/>
        <w:rPr>
          <w:lang w:val="en-US"/>
        </w:rPr>
      </w:pPr>
      <w:r w:rsidRPr="00A9008E">
        <w:rPr>
          <w:lang w:val="en-US"/>
        </w:rPr>
        <w:t>2.3</w:t>
      </w:r>
      <w:r w:rsidRPr="00A9008E">
        <w:rPr>
          <w:lang w:val="en-US"/>
        </w:rPr>
        <w:tab/>
      </w:r>
      <w:r w:rsidR="00B16940" w:rsidRPr="00B16940">
        <w:rPr>
          <w:lang w:val="en-US"/>
        </w:rPr>
        <w:t xml:space="preserve">On 31 August 2007, </w:t>
      </w:r>
      <w:r w:rsidR="000B0FCC">
        <w:rPr>
          <w:lang w:val="en-US"/>
        </w:rPr>
        <w:t>Mr. Bakur</w:t>
      </w:r>
      <w:r w:rsidR="00B16940" w:rsidRPr="00B16940">
        <w:rPr>
          <w:lang w:val="en-US"/>
        </w:rPr>
        <w:t>’s case was heard by the Moscow District</w:t>
      </w:r>
      <w:r w:rsidR="0038435C">
        <w:rPr>
          <w:lang w:val="en-US"/>
        </w:rPr>
        <w:t xml:space="preserve"> Court</w:t>
      </w:r>
      <w:r w:rsidR="00C00739">
        <w:rPr>
          <w:lang w:val="en-US"/>
        </w:rPr>
        <w:t xml:space="preserve"> in Brest</w:t>
      </w:r>
      <w:r w:rsidR="00B16940" w:rsidRPr="00B16940">
        <w:rPr>
          <w:lang w:val="en-US"/>
        </w:rPr>
        <w:t xml:space="preserve">. On 4 September 2007, the court </w:t>
      </w:r>
      <w:r w:rsidR="00C861CA">
        <w:rPr>
          <w:lang w:val="en-US"/>
        </w:rPr>
        <w:t xml:space="preserve">ordered </w:t>
      </w:r>
      <w:r w:rsidR="000B0FCC">
        <w:rPr>
          <w:lang w:val="en-US"/>
        </w:rPr>
        <w:t>him</w:t>
      </w:r>
      <w:r w:rsidR="00C861CA">
        <w:rPr>
          <w:lang w:val="en-US"/>
        </w:rPr>
        <w:t xml:space="preserve"> to pay a fine </w:t>
      </w:r>
      <w:r w:rsidR="00B16940" w:rsidRPr="00B16940">
        <w:rPr>
          <w:lang w:val="en-US"/>
        </w:rPr>
        <w:t xml:space="preserve">in the amount of </w:t>
      </w:r>
      <w:r w:rsidR="002F00D8">
        <w:rPr>
          <w:lang w:val="en-US"/>
        </w:rPr>
        <w:t>93</w:t>
      </w:r>
      <w:r w:rsidR="00EA1D97">
        <w:rPr>
          <w:lang w:val="en-US"/>
        </w:rPr>
        <w:t>,000 Belarus rubles</w:t>
      </w:r>
      <w:r w:rsidR="0000397C">
        <w:rPr>
          <w:lang w:val="en-US"/>
        </w:rPr>
        <w:t>.</w:t>
      </w:r>
      <w:r w:rsidR="00B16940" w:rsidRPr="00B16940">
        <w:rPr>
          <w:lang w:val="en-US"/>
        </w:rPr>
        <w:t xml:space="preserve"> </w:t>
      </w:r>
    </w:p>
    <w:p w14:paraId="50C382E1" w14:textId="77777777" w:rsidR="00A9008E" w:rsidRPr="00A9008E" w:rsidRDefault="00A9008E" w:rsidP="00063C87">
      <w:pPr>
        <w:pStyle w:val="SingleTxtG"/>
        <w:rPr>
          <w:lang w:val="en-US"/>
        </w:rPr>
      </w:pPr>
      <w:r w:rsidRPr="00A9008E">
        <w:rPr>
          <w:lang w:val="en-US"/>
        </w:rPr>
        <w:t>2.4</w:t>
      </w:r>
      <w:r w:rsidRPr="00A9008E">
        <w:rPr>
          <w:lang w:val="en-US"/>
        </w:rPr>
        <w:tab/>
      </w:r>
      <w:r w:rsidR="00B16940" w:rsidRPr="00B16940">
        <w:rPr>
          <w:lang w:val="en-US"/>
        </w:rPr>
        <w:t xml:space="preserve">On 13 September 2007, </w:t>
      </w:r>
      <w:r w:rsidR="000B0FCC">
        <w:rPr>
          <w:lang w:val="en-US"/>
        </w:rPr>
        <w:t>Mr. Bakur</w:t>
      </w:r>
      <w:r w:rsidR="00B16940" w:rsidRPr="00B16940">
        <w:rPr>
          <w:lang w:val="en-US"/>
        </w:rPr>
        <w:t xml:space="preserve"> appealed the decision </w:t>
      </w:r>
      <w:r w:rsidR="00FC3A20">
        <w:rPr>
          <w:lang w:val="en-US"/>
        </w:rPr>
        <w:t>before</w:t>
      </w:r>
      <w:r w:rsidR="00B16940" w:rsidRPr="00B16940">
        <w:rPr>
          <w:lang w:val="en-US"/>
        </w:rPr>
        <w:t xml:space="preserve"> the Brest Regional Court, which upheld the decision of the first instance court on 4 October 2007.</w:t>
      </w:r>
      <w:r w:rsidR="00B16940">
        <w:rPr>
          <w:lang w:val="en-US"/>
        </w:rPr>
        <w:t xml:space="preserve"> </w:t>
      </w:r>
    </w:p>
    <w:p w14:paraId="7780DFF4" w14:textId="77777777" w:rsidR="00A9008E" w:rsidRPr="00A9008E" w:rsidRDefault="00A9008E" w:rsidP="00063C87">
      <w:pPr>
        <w:pStyle w:val="SingleTxtG"/>
        <w:rPr>
          <w:lang w:val="en-US"/>
        </w:rPr>
      </w:pPr>
      <w:r w:rsidRPr="00A9008E">
        <w:rPr>
          <w:lang w:val="en-US"/>
        </w:rPr>
        <w:t>2.5</w:t>
      </w:r>
      <w:r w:rsidRPr="00A9008E">
        <w:rPr>
          <w:lang w:val="en-US"/>
        </w:rPr>
        <w:tab/>
      </w:r>
      <w:r w:rsidR="00B16940" w:rsidRPr="00B16940">
        <w:rPr>
          <w:lang w:val="en-US"/>
        </w:rPr>
        <w:t xml:space="preserve">On 3 April </w:t>
      </w:r>
      <w:r w:rsidR="00B16940">
        <w:rPr>
          <w:lang w:val="en-US"/>
        </w:rPr>
        <w:t>2</w:t>
      </w:r>
      <w:r w:rsidR="00B16940" w:rsidRPr="00B16940">
        <w:rPr>
          <w:lang w:val="en-US"/>
        </w:rPr>
        <w:t xml:space="preserve">008, </w:t>
      </w:r>
      <w:r w:rsidR="000B0FCC">
        <w:rPr>
          <w:lang w:val="en-US"/>
        </w:rPr>
        <w:t>Mr. Bakur</w:t>
      </w:r>
      <w:r w:rsidR="00B16940" w:rsidRPr="00B16940">
        <w:rPr>
          <w:lang w:val="en-US"/>
        </w:rPr>
        <w:t xml:space="preserve"> appealed to the </w:t>
      </w:r>
      <w:r w:rsidR="00FC3A20">
        <w:rPr>
          <w:lang w:val="en-US"/>
        </w:rPr>
        <w:t>Presid</w:t>
      </w:r>
      <w:r w:rsidR="00DD58BE">
        <w:rPr>
          <w:lang w:val="en-US"/>
        </w:rPr>
        <w:t>ent</w:t>
      </w:r>
      <w:r w:rsidR="00B16940" w:rsidRPr="00B16940">
        <w:rPr>
          <w:lang w:val="en-US"/>
        </w:rPr>
        <w:t xml:space="preserve"> of the Supreme Court, </w:t>
      </w:r>
      <w:r w:rsidR="00C00739">
        <w:rPr>
          <w:lang w:val="en-US"/>
        </w:rPr>
        <w:t>under the supervisory review proced</w:t>
      </w:r>
      <w:r w:rsidR="00DD58BE">
        <w:rPr>
          <w:lang w:val="en-US"/>
        </w:rPr>
        <w:t>ure</w:t>
      </w:r>
      <w:r w:rsidR="00FC3A20">
        <w:rPr>
          <w:lang w:val="en-US"/>
        </w:rPr>
        <w:t xml:space="preserve">; </w:t>
      </w:r>
      <w:r w:rsidR="00B16940" w:rsidRPr="00B16940">
        <w:rPr>
          <w:lang w:val="en-US"/>
        </w:rPr>
        <w:t>his appeal</w:t>
      </w:r>
      <w:r w:rsidR="00FC3A20">
        <w:rPr>
          <w:lang w:val="en-US"/>
        </w:rPr>
        <w:t xml:space="preserve"> was rejected</w:t>
      </w:r>
      <w:r w:rsidR="00B16940" w:rsidRPr="00B16940">
        <w:rPr>
          <w:lang w:val="en-US"/>
        </w:rPr>
        <w:t xml:space="preserve"> on 21 May 2008.</w:t>
      </w:r>
      <w:r w:rsidR="00B16940">
        <w:rPr>
          <w:lang w:val="en-US"/>
        </w:rPr>
        <w:t xml:space="preserve"> </w:t>
      </w:r>
    </w:p>
    <w:p w14:paraId="261C9B43" w14:textId="77777777" w:rsidR="00A9008E" w:rsidRPr="00A9008E" w:rsidRDefault="008D299D" w:rsidP="008D299D">
      <w:pPr>
        <w:pStyle w:val="H23G"/>
        <w:rPr>
          <w:lang w:val="en-US"/>
        </w:rPr>
      </w:pPr>
      <w:r>
        <w:rPr>
          <w:lang w:val="en-US"/>
        </w:rPr>
        <w:tab/>
      </w:r>
      <w:r>
        <w:rPr>
          <w:lang w:val="en-US"/>
        </w:rPr>
        <w:tab/>
      </w:r>
      <w:r w:rsidR="00A9008E" w:rsidRPr="00A9008E">
        <w:rPr>
          <w:lang w:val="en-US"/>
        </w:rPr>
        <w:t xml:space="preserve">The complaint </w:t>
      </w:r>
    </w:p>
    <w:p w14:paraId="327D2A7D" w14:textId="77777777" w:rsidR="00A9008E" w:rsidRPr="00A9008E" w:rsidRDefault="00A9008E" w:rsidP="005D5835">
      <w:pPr>
        <w:pStyle w:val="SingleTxtG"/>
        <w:rPr>
          <w:lang w:val="en-US"/>
        </w:rPr>
      </w:pPr>
      <w:r w:rsidRPr="00A9008E">
        <w:rPr>
          <w:lang w:val="en-US"/>
        </w:rPr>
        <w:t>3.1</w:t>
      </w:r>
      <w:r w:rsidRPr="00A9008E">
        <w:rPr>
          <w:lang w:val="en-US"/>
        </w:rPr>
        <w:tab/>
      </w:r>
      <w:r w:rsidR="00361E8A">
        <w:rPr>
          <w:lang w:val="en-US"/>
        </w:rPr>
        <w:t>The author</w:t>
      </w:r>
      <w:r w:rsidRPr="00A9008E">
        <w:rPr>
          <w:lang w:val="en-US"/>
        </w:rPr>
        <w:t xml:space="preserve"> claim</w:t>
      </w:r>
      <w:r w:rsidR="005C3893">
        <w:rPr>
          <w:lang w:val="en-US"/>
        </w:rPr>
        <w:t>s</w:t>
      </w:r>
      <w:r w:rsidRPr="00A9008E">
        <w:rPr>
          <w:lang w:val="en-US"/>
        </w:rPr>
        <w:t xml:space="preserve"> to be </w:t>
      </w:r>
      <w:r w:rsidR="00B16940">
        <w:rPr>
          <w:lang w:val="en-US"/>
        </w:rPr>
        <w:t xml:space="preserve">a </w:t>
      </w:r>
      <w:r w:rsidRPr="00A9008E">
        <w:rPr>
          <w:lang w:val="en-US"/>
        </w:rPr>
        <w:t xml:space="preserve">victim of violations by Belarus of </w:t>
      </w:r>
      <w:r w:rsidR="00085A16">
        <w:rPr>
          <w:lang w:val="en-US"/>
        </w:rPr>
        <w:t>his</w:t>
      </w:r>
      <w:r w:rsidRPr="00A9008E">
        <w:rPr>
          <w:lang w:val="en-US"/>
        </w:rPr>
        <w:t xml:space="preserve"> rights under article</w:t>
      </w:r>
      <w:r w:rsidR="00FC3A20">
        <w:rPr>
          <w:lang w:val="en-US"/>
        </w:rPr>
        <w:t>s</w:t>
      </w:r>
      <w:r w:rsidRPr="00A9008E">
        <w:rPr>
          <w:lang w:val="en-US"/>
        </w:rPr>
        <w:t xml:space="preserve"> </w:t>
      </w:r>
      <w:r w:rsidR="00085A16">
        <w:rPr>
          <w:lang w:val="en-US"/>
        </w:rPr>
        <w:t>7</w:t>
      </w:r>
      <w:r w:rsidR="00FC3A20">
        <w:rPr>
          <w:lang w:val="en-US"/>
        </w:rPr>
        <w:t>,</w:t>
      </w:r>
      <w:r w:rsidR="00085A16">
        <w:rPr>
          <w:lang w:val="en-US"/>
        </w:rPr>
        <w:t xml:space="preserve"> 9</w:t>
      </w:r>
      <w:r w:rsidR="00FC3A20">
        <w:rPr>
          <w:lang w:val="en-US"/>
        </w:rPr>
        <w:t>,</w:t>
      </w:r>
      <w:r w:rsidR="00085A16">
        <w:rPr>
          <w:lang w:val="en-US"/>
        </w:rPr>
        <w:t xml:space="preserve"> </w:t>
      </w:r>
      <w:r w:rsidRPr="00A9008E">
        <w:rPr>
          <w:lang w:val="en-US"/>
        </w:rPr>
        <w:t>14</w:t>
      </w:r>
      <w:r w:rsidR="00FC3A20">
        <w:rPr>
          <w:lang w:val="en-US"/>
        </w:rPr>
        <w:t xml:space="preserve"> (</w:t>
      </w:r>
      <w:r w:rsidRPr="00A9008E">
        <w:rPr>
          <w:lang w:val="en-US"/>
        </w:rPr>
        <w:t>1</w:t>
      </w:r>
      <w:r w:rsidR="00FC3A20">
        <w:rPr>
          <w:lang w:val="en-US"/>
        </w:rPr>
        <w:t>),</w:t>
      </w:r>
      <w:r w:rsidRPr="00A9008E">
        <w:rPr>
          <w:lang w:val="en-US"/>
        </w:rPr>
        <w:t xml:space="preserve"> 19</w:t>
      </w:r>
      <w:r w:rsidR="00FC3A20">
        <w:rPr>
          <w:lang w:val="en-US"/>
        </w:rPr>
        <w:t xml:space="preserve"> (</w:t>
      </w:r>
      <w:r w:rsidR="00085A16">
        <w:rPr>
          <w:lang w:val="en-US"/>
        </w:rPr>
        <w:t>1</w:t>
      </w:r>
      <w:r w:rsidR="00FC3A20">
        <w:rPr>
          <w:lang w:val="en-US"/>
        </w:rPr>
        <w:t>)</w:t>
      </w:r>
      <w:r w:rsidR="00085A16">
        <w:rPr>
          <w:lang w:val="en-US"/>
        </w:rPr>
        <w:t xml:space="preserve"> and </w:t>
      </w:r>
      <w:r w:rsidR="00FC3A20">
        <w:rPr>
          <w:lang w:val="en-US"/>
        </w:rPr>
        <w:t>(</w:t>
      </w:r>
      <w:r w:rsidRPr="00A9008E">
        <w:rPr>
          <w:lang w:val="en-US"/>
        </w:rPr>
        <w:t>2</w:t>
      </w:r>
      <w:r w:rsidR="00FC3A20">
        <w:rPr>
          <w:lang w:val="en-US"/>
        </w:rPr>
        <w:t>)</w:t>
      </w:r>
      <w:r w:rsidR="000B0FCC">
        <w:rPr>
          <w:lang w:val="en-US"/>
        </w:rPr>
        <w:t>,</w:t>
      </w:r>
      <w:r w:rsidRPr="00A9008E">
        <w:rPr>
          <w:lang w:val="en-US"/>
        </w:rPr>
        <w:t xml:space="preserve"> </w:t>
      </w:r>
      <w:r w:rsidR="00085A16">
        <w:rPr>
          <w:lang w:val="en-US"/>
        </w:rPr>
        <w:t xml:space="preserve">and </w:t>
      </w:r>
      <w:r w:rsidRPr="00A9008E">
        <w:rPr>
          <w:lang w:val="en-US"/>
        </w:rPr>
        <w:t>21 of the Covenant.</w:t>
      </w:r>
    </w:p>
    <w:p w14:paraId="06D3CC63" w14:textId="77777777" w:rsidR="006E3394" w:rsidRDefault="00A9008E" w:rsidP="00C11E6B">
      <w:pPr>
        <w:pStyle w:val="SingleTxtG"/>
        <w:rPr>
          <w:lang w:val="en-US"/>
        </w:rPr>
      </w:pPr>
      <w:r w:rsidRPr="00A9008E">
        <w:rPr>
          <w:lang w:val="en-US"/>
        </w:rPr>
        <w:t>3.</w:t>
      </w:r>
      <w:r w:rsidR="00361E8A">
        <w:rPr>
          <w:lang w:val="en-US"/>
        </w:rPr>
        <w:t>2</w:t>
      </w:r>
      <w:r w:rsidRPr="00A9008E">
        <w:rPr>
          <w:lang w:val="en-US"/>
        </w:rPr>
        <w:tab/>
      </w:r>
      <w:r w:rsidR="00C00739">
        <w:rPr>
          <w:lang w:val="en-US"/>
        </w:rPr>
        <w:t xml:space="preserve">He </w:t>
      </w:r>
      <w:r w:rsidR="008747BF" w:rsidRPr="008747BF">
        <w:rPr>
          <w:lang w:val="en-US"/>
        </w:rPr>
        <w:t xml:space="preserve">claims that </w:t>
      </w:r>
      <w:r w:rsidR="006E3394">
        <w:rPr>
          <w:lang w:val="en-US"/>
        </w:rPr>
        <w:t xml:space="preserve">his arrest </w:t>
      </w:r>
      <w:r w:rsidR="00FC3A20">
        <w:rPr>
          <w:lang w:val="en-US"/>
        </w:rPr>
        <w:t>and detention</w:t>
      </w:r>
      <w:r w:rsidR="006E3394">
        <w:rPr>
          <w:lang w:val="en-US"/>
        </w:rPr>
        <w:t xml:space="preserve"> for 6 hours and </w:t>
      </w:r>
      <w:r w:rsidR="00FC3A20">
        <w:rPr>
          <w:lang w:val="en-US"/>
        </w:rPr>
        <w:t>30</w:t>
      </w:r>
      <w:r w:rsidR="006E3394">
        <w:rPr>
          <w:lang w:val="en-US"/>
        </w:rPr>
        <w:t xml:space="preserve"> minutes </w:t>
      </w:r>
      <w:r w:rsidR="00C11E6B">
        <w:rPr>
          <w:lang w:val="en-US"/>
        </w:rPr>
        <w:t xml:space="preserve">on 19 August 2007 </w:t>
      </w:r>
      <w:r w:rsidR="006E3394">
        <w:rPr>
          <w:lang w:val="en-US"/>
        </w:rPr>
        <w:t>was never officially recorded by the law</w:t>
      </w:r>
      <w:r w:rsidR="00FC3A20">
        <w:rPr>
          <w:lang w:val="en-US"/>
        </w:rPr>
        <w:t xml:space="preserve"> </w:t>
      </w:r>
      <w:r w:rsidR="006E3394">
        <w:rPr>
          <w:lang w:val="en-US"/>
        </w:rPr>
        <w:t>enforcement authorities</w:t>
      </w:r>
      <w:r w:rsidR="007C2A7D" w:rsidRPr="008747BF">
        <w:rPr>
          <w:lang w:val="en-US"/>
        </w:rPr>
        <w:t xml:space="preserve">. He also claims that his detention was arbitrary as it was not </w:t>
      </w:r>
      <w:r w:rsidR="007C2A7D">
        <w:rPr>
          <w:lang w:val="en-US"/>
        </w:rPr>
        <w:t xml:space="preserve">recorded, </w:t>
      </w:r>
      <w:r w:rsidR="007C2A7D" w:rsidRPr="008747BF">
        <w:rPr>
          <w:lang w:val="en-US"/>
        </w:rPr>
        <w:t>in violation of article 9 of the Covenant.</w:t>
      </w:r>
    </w:p>
    <w:p w14:paraId="0654B6AE" w14:textId="77777777" w:rsidR="00C00739" w:rsidRDefault="006E3394" w:rsidP="00C11E6B">
      <w:pPr>
        <w:pStyle w:val="SingleTxtG"/>
        <w:rPr>
          <w:lang w:val="en-US"/>
        </w:rPr>
      </w:pPr>
      <w:r>
        <w:rPr>
          <w:lang w:val="en-US"/>
        </w:rPr>
        <w:t>3.3</w:t>
      </w:r>
      <w:r w:rsidR="00CD4D78">
        <w:rPr>
          <w:lang w:val="en-US"/>
        </w:rPr>
        <w:tab/>
      </w:r>
      <w:r>
        <w:rPr>
          <w:lang w:val="en-US"/>
        </w:rPr>
        <w:t xml:space="preserve">He further claims that </w:t>
      </w:r>
      <w:r w:rsidR="008747BF" w:rsidRPr="008747BF">
        <w:rPr>
          <w:lang w:val="en-US"/>
        </w:rPr>
        <w:t xml:space="preserve">the treatment that he was subjected to by the police during </w:t>
      </w:r>
      <w:r w:rsidR="00C00739">
        <w:rPr>
          <w:lang w:val="en-US"/>
        </w:rPr>
        <w:t xml:space="preserve">his </w:t>
      </w:r>
      <w:r w:rsidR="008747BF" w:rsidRPr="008747BF">
        <w:rPr>
          <w:lang w:val="en-US"/>
        </w:rPr>
        <w:t>detention amounts to degrading treatment</w:t>
      </w:r>
      <w:r w:rsidR="00C00739">
        <w:rPr>
          <w:lang w:val="en-US"/>
        </w:rPr>
        <w:t xml:space="preserve"> in </w:t>
      </w:r>
      <w:r w:rsidR="008747BF" w:rsidRPr="008747BF">
        <w:rPr>
          <w:lang w:val="en-US"/>
        </w:rPr>
        <w:t>violat</w:t>
      </w:r>
      <w:r w:rsidR="00C00739">
        <w:rPr>
          <w:lang w:val="en-US"/>
        </w:rPr>
        <w:t xml:space="preserve">ion of </w:t>
      </w:r>
      <w:r w:rsidR="008747BF" w:rsidRPr="008747BF">
        <w:rPr>
          <w:lang w:val="en-US"/>
        </w:rPr>
        <w:t>article 7 of the Covenant</w:t>
      </w:r>
      <w:r w:rsidR="000B0FCC">
        <w:rPr>
          <w:lang w:val="en-US"/>
        </w:rPr>
        <w:t>.</w:t>
      </w:r>
      <w:r w:rsidR="008747BF" w:rsidRPr="008747BF">
        <w:rPr>
          <w:lang w:val="en-US"/>
        </w:rPr>
        <w:t xml:space="preserve"> He claims that the fact that not all </w:t>
      </w:r>
      <w:r w:rsidR="00FC3A20">
        <w:rPr>
          <w:lang w:val="en-US"/>
        </w:rPr>
        <w:t xml:space="preserve">the </w:t>
      </w:r>
      <w:r w:rsidR="008747BF" w:rsidRPr="008747BF">
        <w:rPr>
          <w:lang w:val="en-US"/>
        </w:rPr>
        <w:t>participants</w:t>
      </w:r>
      <w:r w:rsidR="00FC3A20">
        <w:rPr>
          <w:lang w:val="en-US"/>
        </w:rPr>
        <w:t xml:space="preserve"> in the meeting</w:t>
      </w:r>
      <w:r w:rsidR="008747BF" w:rsidRPr="008747BF">
        <w:rPr>
          <w:lang w:val="en-US"/>
        </w:rPr>
        <w:t xml:space="preserve"> were charged with</w:t>
      </w:r>
      <w:r w:rsidR="00FC3A20">
        <w:rPr>
          <w:lang w:val="en-US"/>
        </w:rPr>
        <w:t xml:space="preserve"> the same</w:t>
      </w:r>
      <w:r w:rsidR="008747BF" w:rsidRPr="008747BF">
        <w:rPr>
          <w:lang w:val="en-US"/>
        </w:rPr>
        <w:t xml:space="preserve"> administrative offence violates his rights under article 19</w:t>
      </w:r>
      <w:r w:rsidR="00FC3A20">
        <w:rPr>
          <w:lang w:val="en-US"/>
        </w:rPr>
        <w:t xml:space="preserve"> (</w:t>
      </w:r>
      <w:r w:rsidR="008747BF" w:rsidRPr="008747BF">
        <w:rPr>
          <w:lang w:val="en-US"/>
        </w:rPr>
        <w:t>1</w:t>
      </w:r>
      <w:r w:rsidR="00FC3A20">
        <w:rPr>
          <w:lang w:val="en-US"/>
        </w:rPr>
        <w:t>)</w:t>
      </w:r>
      <w:r w:rsidR="008747BF" w:rsidRPr="008747BF">
        <w:rPr>
          <w:lang w:val="en-US"/>
        </w:rPr>
        <w:t xml:space="preserve"> and </w:t>
      </w:r>
      <w:r w:rsidR="00FC3A20">
        <w:rPr>
          <w:lang w:val="en-US"/>
        </w:rPr>
        <w:t>(</w:t>
      </w:r>
      <w:r w:rsidR="008747BF" w:rsidRPr="008747BF">
        <w:rPr>
          <w:lang w:val="en-US"/>
        </w:rPr>
        <w:t>2</w:t>
      </w:r>
      <w:r w:rsidR="00FC3A20">
        <w:rPr>
          <w:lang w:val="en-US"/>
        </w:rPr>
        <w:t>)</w:t>
      </w:r>
      <w:r w:rsidR="008747BF" w:rsidRPr="008747BF">
        <w:rPr>
          <w:lang w:val="en-US"/>
        </w:rPr>
        <w:t xml:space="preserve"> of the Covenant. He claims that </w:t>
      </w:r>
      <w:r w:rsidR="00C11E6B">
        <w:rPr>
          <w:lang w:val="en-US"/>
        </w:rPr>
        <w:t xml:space="preserve">the majority of </w:t>
      </w:r>
      <w:r w:rsidR="008747BF" w:rsidRPr="008747BF">
        <w:rPr>
          <w:lang w:val="en-US"/>
        </w:rPr>
        <w:t>those who were targeted were members of opposition parties or opposition activists, including one journalist.</w:t>
      </w:r>
      <w:r w:rsidR="00423634">
        <w:rPr>
          <w:lang w:val="en-US"/>
        </w:rPr>
        <w:t xml:space="preserve"> </w:t>
      </w:r>
    </w:p>
    <w:p w14:paraId="7AF0D3F9" w14:textId="77777777" w:rsidR="00C00739" w:rsidRDefault="00361E8A" w:rsidP="00DD58BE">
      <w:pPr>
        <w:pStyle w:val="SingleTxtG"/>
        <w:rPr>
          <w:lang w:val="en-US"/>
        </w:rPr>
      </w:pPr>
      <w:r>
        <w:rPr>
          <w:lang w:val="en-US"/>
        </w:rPr>
        <w:t>3.</w:t>
      </w:r>
      <w:r w:rsidR="006E3394">
        <w:rPr>
          <w:lang w:val="en-US"/>
        </w:rPr>
        <w:t>4</w:t>
      </w:r>
      <w:r w:rsidR="00A9008E" w:rsidRPr="00A9008E">
        <w:rPr>
          <w:lang w:val="en-US"/>
        </w:rPr>
        <w:tab/>
      </w:r>
      <w:r w:rsidR="00423634" w:rsidRPr="00423634">
        <w:rPr>
          <w:lang w:val="en-US"/>
        </w:rPr>
        <w:t xml:space="preserve">The author </w:t>
      </w:r>
      <w:r w:rsidR="006E3394">
        <w:rPr>
          <w:lang w:val="en-US"/>
        </w:rPr>
        <w:t xml:space="preserve">also </w:t>
      </w:r>
      <w:r w:rsidR="00423634" w:rsidRPr="00423634">
        <w:rPr>
          <w:lang w:val="en-US"/>
        </w:rPr>
        <w:t>claims that</w:t>
      </w:r>
      <w:r w:rsidR="00CC53BC">
        <w:rPr>
          <w:lang w:val="en-US"/>
        </w:rPr>
        <w:t>,</w:t>
      </w:r>
      <w:r w:rsidR="00423634" w:rsidRPr="00423634">
        <w:rPr>
          <w:lang w:val="en-US"/>
        </w:rPr>
        <w:t xml:space="preserve"> during the court hearing</w:t>
      </w:r>
      <w:r w:rsidR="00CC53BC">
        <w:rPr>
          <w:lang w:val="en-US"/>
        </w:rPr>
        <w:t>,</w:t>
      </w:r>
      <w:r w:rsidR="00423634" w:rsidRPr="00423634">
        <w:rPr>
          <w:lang w:val="en-US"/>
        </w:rPr>
        <w:t xml:space="preserve"> he </w:t>
      </w:r>
      <w:r w:rsidR="00E915AE">
        <w:rPr>
          <w:lang w:val="en-US"/>
        </w:rPr>
        <w:t>asked</w:t>
      </w:r>
      <w:r w:rsidR="00423634" w:rsidRPr="00423634">
        <w:rPr>
          <w:lang w:val="en-US"/>
        </w:rPr>
        <w:t xml:space="preserve"> to </w:t>
      </w:r>
      <w:r w:rsidR="00E915AE">
        <w:rPr>
          <w:lang w:val="en-US"/>
        </w:rPr>
        <w:t>call</w:t>
      </w:r>
      <w:r w:rsidR="00423634" w:rsidRPr="00423634">
        <w:rPr>
          <w:lang w:val="en-US"/>
        </w:rPr>
        <w:t xml:space="preserve"> the organizer of the meeting </w:t>
      </w:r>
      <w:r w:rsidR="00C11E6B">
        <w:rPr>
          <w:lang w:val="en-US"/>
        </w:rPr>
        <w:t>as a witness</w:t>
      </w:r>
      <w:r w:rsidR="00F422CA">
        <w:rPr>
          <w:lang w:val="en-US"/>
        </w:rPr>
        <w:t xml:space="preserve"> </w:t>
      </w:r>
      <w:r w:rsidR="00C11E6B">
        <w:rPr>
          <w:lang w:val="en-US"/>
        </w:rPr>
        <w:t>and</w:t>
      </w:r>
      <w:r w:rsidR="00423634" w:rsidRPr="00423634">
        <w:rPr>
          <w:lang w:val="en-US"/>
        </w:rPr>
        <w:t xml:space="preserve"> to </w:t>
      </w:r>
      <w:r w:rsidR="00C00739">
        <w:rPr>
          <w:lang w:val="en-US"/>
        </w:rPr>
        <w:t xml:space="preserve">have </w:t>
      </w:r>
      <w:r w:rsidR="00C11E6B">
        <w:rPr>
          <w:lang w:val="en-US"/>
        </w:rPr>
        <w:t xml:space="preserve">the </w:t>
      </w:r>
      <w:r w:rsidR="00C11E6B" w:rsidRPr="00423634">
        <w:rPr>
          <w:lang w:val="en-US"/>
        </w:rPr>
        <w:t>video record</w:t>
      </w:r>
      <w:r w:rsidR="00C11E6B">
        <w:rPr>
          <w:lang w:val="en-US"/>
        </w:rPr>
        <w:t>ing</w:t>
      </w:r>
      <w:r w:rsidR="00C11E6B" w:rsidRPr="00423634">
        <w:rPr>
          <w:lang w:val="en-US"/>
        </w:rPr>
        <w:t>s made by the police during their intervention</w:t>
      </w:r>
      <w:r w:rsidR="00C11E6B">
        <w:rPr>
          <w:lang w:val="en-US"/>
        </w:rPr>
        <w:t xml:space="preserve"> </w:t>
      </w:r>
      <w:r w:rsidR="00423634" w:rsidRPr="00423634">
        <w:rPr>
          <w:lang w:val="en-US"/>
        </w:rPr>
        <w:t>add</w:t>
      </w:r>
      <w:r w:rsidR="00C00739">
        <w:rPr>
          <w:lang w:val="en-US"/>
        </w:rPr>
        <w:t>ed</w:t>
      </w:r>
      <w:r w:rsidR="00423634" w:rsidRPr="00423634">
        <w:rPr>
          <w:lang w:val="en-US"/>
        </w:rPr>
        <w:t xml:space="preserve"> </w:t>
      </w:r>
      <w:r w:rsidR="00C00739">
        <w:rPr>
          <w:lang w:val="en-US"/>
        </w:rPr>
        <w:t>as evidence</w:t>
      </w:r>
      <w:r w:rsidR="000B0FCC">
        <w:rPr>
          <w:lang w:val="en-US"/>
        </w:rPr>
        <w:t>.</w:t>
      </w:r>
      <w:r w:rsidR="00423634" w:rsidRPr="00423634">
        <w:rPr>
          <w:lang w:val="en-US"/>
        </w:rPr>
        <w:t xml:space="preserve"> </w:t>
      </w:r>
      <w:r w:rsidR="00F422CA">
        <w:rPr>
          <w:lang w:val="en-US"/>
        </w:rPr>
        <w:t>H</w:t>
      </w:r>
      <w:r w:rsidR="00423634" w:rsidRPr="00423634">
        <w:rPr>
          <w:lang w:val="en-US"/>
        </w:rPr>
        <w:t xml:space="preserve">is requests were rejected by the court. He claims that the court </w:t>
      </w:r>
      <w:r w:rsidR="00C11E6B">
        <w:rPr>
          <w:lang w:val="en-US"/>
        </w:rPr>
        <w:t>proceeding</w:t>
      </w:r>
      <w:r w:rsidR="00DD58BE">
        <w:rPr>
          <w:lang w:val="en-US"/>
        </w:rPr>
        <w:t>s</w:t>
      </w:r>
      <w:r w:rsidR="00C11E6B">
        <w:rPr>
          <w:lang w:val="en-US"/>
        </w:rPr>
        <w:t xml:space="preserve"> </w:t>
      </w:r>
      <w:r w:rsidR="00423634" w:rsidRPr="00423634">
        <w:rPr>
          <w:lang w:val="en-US"/>
        </w:rPr>
        <w:t>w</w:t>
      </w:r>
      <w:r w:rsidR="00DD58BE">
        <w:rPr>
          <w:lang w:val="en-US"/>
        </w:rPr>
        <w:t>ere</w:t>
      </w:r>
      <w:r w:rsidR="00423634" w:rsidRPr="00423634">
        <w:rPr>
          <w:lang w:val="en-US"/>
        </w:rPr>
        <w:t xml:space="preserve"> not independent or impartial, </w:t>
      </w:r>
      <w:r w:rsidR="00C11E6B">
        <w:rPr>
          <w:lang w:val="en-US"/>
        </w:rPr>
        <w:t xml:space="preserve">which </w:t>
      </w:r>
      <w:r w:rsidR="00423634" w:rsidRPr="00423634">
        <w:rPr>
          <w:lang w:val="en-US"/>
        </w:rPr>
        <w:t>violat</w:t>
      </w:r>
      <w:r w:rsidR="00C11E6B">
        <w:rPr>
          <w:lang w:val="en-US"/>
        </w:rPr>
        <w:t>ed</w:t>
      </w:r>
      <w:r w:rsidR="00423634" w:rsidRPr="00423634">
        <w:rPr>
          <w:lang w:val="en-US"/>
        </w:rPr>
        <w:t xml:space="preserve"> his rights under article 14</w:t>
      </w:r>
      <w:r w:rsidR="00C11E6B">
        <w:rPr>
          <w:lang w:val="en-US"/>
        </w:rPr>
        <w:t xml:space="preserve"> (</w:t>
      </w:r>
      <w:r w:rsidR="00423634" w:rsidRPr="00423634">
        <w:rPr>
          <w:lang w:val="en-US"/>
        </w:rPr>
        <w:t>1</w:t>
      </w:r>
      <w:r w:rsidR="00C11E6B">
        <w:rPr>
          <w:lang w:val="en-US"/>
        </w:rPr>
        <w:t>)</w:t>
      </w:r>
      <w:r w:rsidR="00423634" w:rsidRPr="00423634">
        <w:rPr>
          <w:lang w:val="en-US"/>
        </w:rPr>
        <w:t xml:space="preserve"> of the Covenant.</w:t>
      </w:r>
      <w:r w:rsidR="00423634">
        <w:rPr>
          <w:lang w:val="en-US"/>
        </w:rPr>
        <w:t xml:space="preserve"> </w:t>
      </w:r>
    </w:p>
    <w:p w14:paraId="04010274" w14:textId="77777777" w:rsidR="00A9008E" w:rsidRPr="00A9008E" w:rsidRDefault="00A9008E" w:rsidP="00426F07">
      <w:pPr>
        <w:pStyle w:val="SingleTxtG"/>
        <w:rPr>
          <w:lang w:val="en-US"/>
        </w:rPr>
      </w:pPr>
      <w:r w:rsidRPr="00A9008E">
        <w:rPr>
          <w:lang w:val="en-US"/>
        </w:rPr>
        <w:t>3.</w:t>
      </w:r>
      <w:r w:rsidR="006E3394">
        <w:rPr>
          <w:lang w:val="en-US"/>
        </w:rPr>
        <w:t>5</w:t>
      </w:r>
      <w:r w:rsidRPr="00A9008E">
        <w:rPr>
          <w:lang w:val="en-US"/>
        </w:rPr>
        <w:tab/>
      </w:r>
      <w:r w:rsidR="00B37097" w:rsidRPr="00B37097">
        <w:rPr>
          <w:lang w:val="en-US"/>
        </w:rPr>
        <w:t xml:space="preserve">The author </w:t>
      </w:r>
      <w:r w:rsidR="00C00739">
        <w:rPr>
          <w:lang w:val="en-US"/>
        </w:rPr>
        <w:t xml:space="preserve">claims that he </w:t>
      </w:r>
      <w:r w:rsidR="00B37097" w:rsidRPr="00B37097">
        <w:rPr>
          <w:lang w:val="en-US"/>
        </w:rPr>
        <w:t xml:space="preserve">was convicted for violating the </w:t>
      </w:r>
      <w:r w:rsidR="00C11E6B">
        <w:rPr>
          <w:lang w:val="en-US"/>
        </w:rPr>
        <w:t>L</w:t>
      </w:r>
      <w:r w:rsidR="00B37097" w:rsidRPr="00B37097">
        <w:rPr>
          <w:lang w:val="en-US"/>
        </w:rPr>
        <w:t>aw</w:t>
      </w:r>
      <w:r w:rsidR="00C11E6B">
        <w:rPr>
          <w:lang w:val="en-US"/>
        </w:rPr>
        <w:t xml:space="preserve"> o</w:t>
      </w:r>
      <w:r w:rsidR="00B37097" w:rsidRPr="00B37097">
        <w:rPr>
          <w:lang w:val="en-US"/>
        </w:rPr>
        <w:t xml:space="preserve">n </w:t>
      </w:r>
      <w:r w:rsidR="00C00739">
        <w:rPr>
          <w:lang w:val="en-US"/>
        </w:rPr>
        <w:t>Mass</w:t>
      </w:r>
      <w:r w:rsidR="00B37097" w:rsidRPr="00B37097">
        <w:rPr>
          <w:lang w:val="en-US"/>
        </w:rPr>
        <w:t xml:space="preserve"> </w:t>
      </w:r>
      <w:r w:rsidR="00C11E6B">
        <w:rPr>
          <w:lang w:val="en-US"/>
        </w:rPr>
        <w:t>E</w:t>
      </w:r>
      <w:r w:rsidR="00B37097" w:rsidRPr="00B37097">
        <w:rPr>
          <w:lang w:val="en-US"/>
        </w:rPr>
        <w:t>vents</w:t>
      </w:r>
      <w:r w:rsidR="00C11E6B">
        <w:rPr>
          <w:lang w:val="en-US"/>
        </w:rPr>
        <w:t>; he</w:t>
      </w:r>
      <w:r w:rsidR="00C00739">
        <w:rPr>
          <w:lang w:val="en-US"/>
        </w:rPr>
        <w:t xml:space="preserve"> notes </w:t>
      </w:r>
      <w:r w:rsidR="00B37097" w:rsidRPr="00B37097">
        <w:rPr>
          <w:lang w:val="en-US"/>
        </w:rPr>
        <w:t>that section 3, paragraph 2</w:t>
      </w:r>
      <w:r w:rsidR="00C00739">
        <w:rPr>
          <w:lang w:val="en-US"/>
        </w:rPr>
        <w:t>,</w:t>
      </w:r>
      <w:r w:rsidR="00B37097" w:rsidRPr="00B37097">
        <w:rPr>
          <w:lang w:val="en-US"/>
        </w:rPr>
        <w:t xml:space="preserve"> of </w:t>
      </w:r>
      <w:r w:rsidR="00C11E6B">
        <w:rPr>
          <w:lang w:val="en-US"/>
        </w:rPr>
        <w:t>said</w:t>
      </w:r>
      <w:r w:rsidR="00B37097" w:rsidRPr="00B37097">
        <w:rPr>
          <w:lang w:val="en-US"/>
        </w:rPr>
        <w:t xml:space="preserve"> law states that it does not apply to public events organized and conducted by trade unions, political parties, unions of employees, religious and other organizations in their respective buildings as established by the law and </w:t>
      </w:r>
      <w:r w:rsidR="00C00739">
        <w:rPr>
          <w:lang w:val="en-US"/>
        </w:rPr>
        <w:t xml:space="preserve">the statutes </w:t>
      </w:r>
      <w:r w:rsidR="00B37097" w:rsidRPr="00B37097">
        <w:rPr>
          <w:lang w:val="en-US"/>
        </w:rPr>
        <w:t xml:space="preserve">of </w:t>
      </w:r>
      <w:r w:rsidR="00C00739">
        <w:rPr>
          <w:lang w:val="en-US"/>
        </w:rPr>
        <w:t xml:space="preserve">the </w:t>
      </w:r>
      <w:r w:rsidR="00B37097" w:rsidRPr="00B37097">
        <w:rPr>
          <w:lang w:val="en-US"/>
        </w:rPr>
        <w:t xml:space="preserve">organizations. He </w:t>
      </w:r>
      <w:r w:rsidR="00C11E6B">
        <w:rPr>
          <w:lang w:val="en-US"/>
        </w:rPr>
        <w:t>states</w:t>
      </w:r>
      <w:r w:rsidR="00B37097" w:rsidRPr="00B37097">
        <w:rPr>
          <w:lang w:val="en-US"/>
        </w:rPr>
        <w:t xml:space="preserve"> that the meeting </w:t>
      </w:r>
      <w:r w:rsidR="00C11E6B">
        <w:rPr>
          <w:lang w:val="en-US"/>
        </w:rPr>
        <w:t xml:space="preserve">in which </w:t>
      </w:r>
      <w:r w:rsidR="00C00739">
        <w:rPr>
          <w:lang w:val="en-US"/>
        </w:rPr>
        <w:t xml:space="preserve">he participated </w:t>
      </w:r>
      <w:r w:rsidR="00B37097" w:rsidRPr="00B37097">
        <w:rPr>
          <w:lang w:val="en-US"/>
        </w:rPr>
        <w:t xml:space="preserve">was held </w:t>
      </w:r>
      <w:r w:rsidR="00C11E6B">
        <w:rPr>
          <w:lang w:val="en-US"/>
        </w:rPr>
        <w:t xml:space="preserve">in the </w:t>
      </w:r>
      <w:r w:rsidR="00B37097" w:rsidRPr="00B37097">
        <w:rPr>
          <w:lang w:val="en-US"/>
        </w:rPr>
        <w:t>office</w:t>
      </w:r>
      <w:r w:rsidR="00C11E6B">
        <w:rPr>
          <w:lang w:val="en-US"/>
        </w:rPr>
        <w:t>s of BNF</w:t>
      </w:r>
      <w:r w:rsidR="00B37097" w:rsidRPr="00B37097">
        <w:rPr>
          <w:lang w:val="en-US"/>
        </w:rPr>
        <w:t>, which c</w:t>
      </w:r>
      <w:r w:rsidR="00C11E6B">
        <w:rPr>
          <w:lang w:val="en-US"/>
        </w:rPr>
        <w:t>an</w:t>
      </w:r>
      <w:r w:rsidR="00B37097" w:rsidRPr="00B37097">
        <w:rPr>
          <w:lang w:val="en-US"/>
        </w:rPr>
        <w:t xml:space="preserve"> be confirmed by the lease contract of the building. The fact that the meeting was organized by </w:t>
      </w:r>
      <w:r w:rsidR="00426F07">
        <w:rPr>
          <w:lang w:val="en-US"/>
        </w:rPr>
        <w:t>BNF</w:t>
      </w:r>
      <w:r w:rsidR="00B37097" w:rsidRPr="00B37097">
        <w:rPr>
          <w:lang w:val="en-US"/>
        </w:rPr>
        <w:t xml:space="preserve"> and was open to </w:t>
      </w:r>
      <w:r w:rsidR="00426F07">
        <w:rPr>
          <w:lang w:val="en-US"/>
        </w:rPr>
        <w:t xml:space="preserve">the </w:t>
      </w:r>
      <w:r w:rsidR="00B37097" w:rsidRPr="00B37097">
        <w:rPr>
          <w:lang w:val="en-US"/>
        </w:rPr>
        <w:t xml:space="preserve">public was confirmed by </w:t>
      </w:r>
      <w:r w:rsidR="00426F07">
        <w:rPr>
          <w:lang w:val="en-US"/>
        </w:rPr>
        <w:t>BNF</w:t>
      </w:r>
      <w:r w:rsidR="00B37097" w:rsidRPr="00B37097">
        <w:rPr>
          <w:lang w:val="en-US"/>
        </w:rPr>
        <w:t>.</w:t>
      </w:r>
      <w:r w:rsidR="00B37097">
        <w:rPr>
          <w:lang w:val="en-US"/>
        </w:rPr>
        <w:t xml:space="preserve"> </w:t>
      </w:r>
    </w:p>
    <w:p w14:paraId="35C7CD85" w14:textId="77777777" w:rsidR="00A9008E" w:rsidRPr="00A9008E" w:rsidRDefault="00A9008E" w:rsidP="005D5835">
      <w:pPr>
        <w:pStyle w:val="SingleTxtG"/>
        <w:rPr>
          <w:lang w:val="en-US"/>
        </w:rPr>
      </w:pPr>
      <w:r w:rsidRPr="00A9008E">
        <w:rPr>
          <w:lang w:val="en-US"/>
        </w:rPr>
        <w:t>3.</w:t>
      </w:r>
      <w:r w:rsidR="006E3394">
        <w:rPr>
          <w:lang w:val="en-US"/>
        </w:rPr>
        <w:t>6</w:t>
      </w:r>
      <w:r w:rsidRPr="00A9008E">
        <w:rPr>
          <w:lang w:val="en-US"/>
        </w:rPr>
        <w:tab/>
      </w:r>
      <w:r w:rsidR="00B37097" w:rsidRPr="00B37097">
        <w:rPr>
          <w:lang w:val="en-US"/>
        </w:rPr>
        <w:t xml:space="preserve">The author claims that </w:t>
      </w:r>
      <w:r w:rsidR="00D62D0F">
        <w:rPr>
          <w:lang w:val="en-US"/>
        </w:rPr>
        <w:t xml:space="preserve">the </w:t>
      </w:r>
      <w:r w:rsidR="00426F07">
        <w:rPr>
          <w:lang w:val="en-US"/>
        </w:rPr>
        <w:t>stopping</w:t>
      </w:r>
      <w:r w:rsidR="00D62D0F">
        <w:rPr>
          <w:lang w:val="en-US"/>
        </w:rPr>
        <w:t xml:space="preserve"> of the meeting by the police, </w:t>
      </w:r>
      <w:r w:rsidR="00B37097" w:rsidRPr="00B37097">
        <w:rPr>
          <w:lang w:val="en-US"/>
        </w:rPr>
        <w:t xml:space="preserve">his detention and </w:t>
      </w:r>
      <w:r w:rsidR="00F422CA">
        <w:rPr>
          <w:lang w:val="en-US"/>
        </w:rPr>
        <w:t xml:space="preserve">subsequent administrative </w:t>
      </w:r>
      <w:r w:rsidR="0015520B">
        <w:rPr>
          <w:lang w:val="en-US"/>
        </w:rPr>
        <w:t>fine</w:t>
      </w:r>
      <w:r w:rsidR="00F422CA">
        <w:rPr>
          <w:lang w:val="en-US"/>
        </w:rPr>
        <w:t xml:space="preserve"> </w:t>
      </w:r>
      <w:r w:rsidR="00B37097" w:rsidRPr="00B37097">
        <w:rPr>
          <w:lang w:val="en-US"/>
        </w:rPr>
        <w:t>violate</w:t>
      </w:r>
      <w:r w:rsidR="0015520B">
        <w:rPr>
          <w:lang w:val="en-US"/>
        </w:rPr>
        <w:t xml:space="preserve">d </w:t>
      </w:r>
      <w:r w:rsidR="00B37097" w:rsidRPr="00B37097">
        <w:rPr>
          <w:lang w:val="en-US"/>
        </w:rPr>
        <w:t xml:space="preserve">his right to freedom of assembly </w:t>
      </w:r>
      <w:r w:rsidR="00426F07">
        <w:rPr>
          <w:lang w:val="en-US"/>
        </w:rPr>
        <w:t>under</w:t>
      </w:r>
      <w:r w:rsidR="00B37097" w:rsidRPr="00B37097">
        <w:rPr>
          <w:lang w:val="en-US"/>
        </w:rPr>
        <w:t xml:space="preserve"> article 21 of the Covenant </w:t>
      </w:r>
      <w:r w:rsidR="00426F07">
        <w:rPr>
          <w:lang w:val="en-US"/>
        </w:rPr>
        <w:t xml:space="preserve">and </w:t>
      </w:r>
      <w:r w:rsidR="00B37097" w:rsidRPr="00B37097">
        <w:rPr>
          <w:lang w:val="en-US"/>
        </w:rPr>
        <w:t xml:space="preserve">his right to receive information </w:t>
      </w:r>
      <w:r w:rsidR="00426F07">
        <w:rPr>
          <w:lang w:val="en-US"/>
        </w:rPr>
        <w:t>under</w:t>
      </w:r>
      <w:r w:rsidR="00B37097" w:rsidRPr="00B37097">
        <w:rPr>
          <w:lang w:val="en-US"/>
        </w:rPr>
        <w:t xml:space="preserve"> </w:t>
      </w:r>
      <w:r w:rsidR="00426F07">
        <w:rPr>
          <w:lang w:val="en-US"/>
        </w:rPr>
        <w:t xml:space="preserve">article </w:t>
      </w:r>
      <w:r w:rsidR="00B37097" w:rsidRPr="00B37097">
        <w:rPr>
          <w:lang w:val="en-US"/>
        </w:rPr>
        <w:t>19</w:t>
      </w:r>
      <w:r w:rsidR="00426F07">
        <w:rPr>
          <w:lang w:val="en-US"/>
        </w:rPr>
        <w:t xml:space="preserve"> (</w:t>
      </w:r>
      <w:r w:rsidR="00B37097" w:rsidRPr="00B37097">
        <w:rPr>
          <w:lang w:val="en-US"/>
        </w:rPr>
        <w:t>2</w:t>
      </w:r>
      <w:r w:rsidR="00426F07">
        <w:rPr>
          <w:lang w:val="en-US"/>
        </w:rPr>
        <w:t>)</w:t>
      </w:r>
      <w:r w:rsidR="00B37097" w:rsidRPr="00B37097">
        <w:rPr>
          <w:lang w:val="en-US"/>
        </w:rPr>
        <w:t xml:space="preserve"> of the Covenant. The author claims that neither </w:t>
      </w:r>
      <w:r w:rsidR="00F422CA">
        <w:rPr>
          <w:lang w:val="en-US"/>
        </w:rPr>
        <w:t xml:space="preserve">the </w:t>
      </w:r>
      <w:r w:rsidR="00B37097" w:rsidRPr="00B37097">
        <w:rPr>
          <w:lang w:val="en-US"/>
        </w:rPr>
        <w:t xml:space="preserve">police nor the </w:t>
      </w:r>
      <w:r w:rsidR="005C3893" w:rsidRPr="00B37097">
        <w:rPr>
          <w:lang w:val="en-US"/>
        </w:rPr>
        <w:t>court</w:t>
      </w:r>
      <w:r w:rsidR="005C3893">
        <w:rPr>
          <w:lang w:val="en-US"/>
        </w:rPr>
        <w:t>s</w:t>
      </w:r>
      <w:r w:rsidR="005C3893" w:rsidRPr="00B37097">
        <w:rPr>
          <w:lang w:val="en-US"/>
        </w:rPr>
        <w:t xml:space="preserve"> </w:t>
      </w:r>
      <w:r w:rsidR="00B37097" w:rsidRPr="00B37097">
        <w:rPr>
          <w:lang w:val="en-US"/>
        </w:rPr>
        <w:t>provided</w:t>
      </w:r>
      <w:r w:rsidR="00426F07">
        <w:rPr>
          <w:lang w:val="en-US"/>
        </w:rPr>
        <w:t xml:space="preserve"> any</w:t>
      </w:r>
      <w:r w:rsidR="00B37097" w:rsidRPr="00B37097">
        <w:rPr>
          <w:lang w:val="en-US"/>
        </w:rPr>
        <w:t xml:space="preserve"> justification that </w:t>
      </w:r>
      <w:r w:rsidR="005C3893">
        <w:rPr>
          <w:lang w:val="en-US"/>
        </w:rPr>
        <w:t>the above</w:t>
      </w:r>
      <w:r w:rsidR="00737DF8">
        <w:rPr>
          <w:lang w:val="en-US"/>
        </w:rPr>
        <w:t>-</w:t>
      </w:r>
      <w:r w:rsidR="005C3893">
        <w:rPr>
          <w:lang w:val="en-US"/>
        </w:rPr>
        <w:t xml:space="preserve">mentioned </w:t>
      </w:r>
      <w:r w:rsidR="00737DF8">
        <w:rPr>
          <w:lang w:val="en-US"/>
        </w:rPr>
        <w:t xml:space="preserve">police </w:t>
      </w:r>
      <w:r w:rsidR="005C3893">
        <w:rPr>
          <w:lang w:val="en-US"/>
        </w:rPr>
        <w:t>inter</w:t>
      </w:r>
      <w:r w:rsidR="005F06C6">
        <w:rPr>
          <w:lang w:val="en-US"/>
        </w:rPr>
        <w:t xml:space="preserve">vention and </w:t>
      </w:r>
      <w:r w:rsidR="00737DF8">
        <w:rPr>
          <w:lang w:val="en-US"/>
        </w:rPr>
        <w:t xml:space="preserve">subsequent </w:t>
      </w:r>
      <w:r w:rsidR="005C3893">
        <w:rPr>
          <w:lang w:val="en-US"/>
        </w:rPr>
        <w:t xml:space="preserve">actions </w:t>
      </w:r>
      <w:r w:rsidR="005F06C6">
        <w:rPr>
          <w:lang w:val="en-US"/>
        </w:rPr>
        <w:t xml:space="preserve">against him </w:t>
      </w:r>
      <w:r w:rsidR="00B37097" w:rsidRPr="00B37097">
        <w:rPr>
          <w:lang w:val="en-US"/>
        </w:rPr>
        <w:t xml:space="preserve">could be considered as necessary in a democratic society. </w:t>
      </w:r>
    </w:p>
    <w:p w14:paraId="4D2435B1" w14:textId="77777777" w:rsidR="001C3120" w:rsidRDefault="007B3302" w:rsidP="001C3120">
      <w:pPr>
        <w:pStyle w:val="H23G"/>
      </w:pPr>
      <w:r>
        <w:lastRenderedPageBreak/>
        <w:tab/>
      </w:r>
      <w:r>
        <w:tab/>
      </w:r>
      <w:r w:rsidR="001C3120">
        <w:t>State party</w:t>
      </w:r>
      <w:r w:rsidR="0003506E">
        <w:t>’</w:t>
      </w:r>
      <w:r w:rsidR="001C3120">
        <w:t>s observations on admissibility</w:t>
      </w:r>
      <w:r w:rsidR="002278E3">
        <w:t xml:space="preserve"> and merits </w:t>
      </w:r>
    </w:p>
    <w:p w14:paraId="012CA0FE" w14:textId="77777777" w:rsidR="0077327C" w:rsidRDefault="001C3120" w:rsidP="005D5835">
      <w:pPr>
        <w:pStyle w:val="SingleTxtG"/>
        <w:rPr>
          <w:lang w:val="en-GB"/>
        </w:rPr>
      </w:pPr>
      <w:r>
        <w:t>4.</w:t>
      </w:r>
      <w:r w:rsidR="0077327C" w:rsidRPr="00F422CA">
        <w:rPr>
          <w:lang w:val="en-GB"/>
        </w:rPr>
        <w:t>1</w:t>
      </w:r>
      <w:r>
        <w:tab/>
      </w:r>
      <w:r w:rsidR="0015520B" w:rsidRPr="000F3409">
        <w:rPr>
          <w:lang w:val="en-GB"/>
        </w:rPr>
        <w:t xml:space="preserve">By </w:t>
      </w:r>
      <w:r w:rsidR="009C3FF1" w:rsidRPr="009C3FF1">
        <w:rPr>
          <w:lang w:val="en-GB"/>
        </w:rPr>
        <w:t xml:space="preserve">note verbale </w:t>
      </w:r>
      <w:r w:rsidR="0015520B">
        <w:rPr>
          <w:lang w:val="en-GB"/>
        </w:rPr>
        <w:t>of</w:t>
      </w:r>
      <w:r w:rsidR="009C3FF1" w:rsidRPr="009C3FF1">
        <w:rPr>
          <w:lang w:val="en-GB"/>
        </w:rPr>
        <w:t xml:space="preserve"> </w:t>
      </w:r>
      <w:r w:rsidR="008A00C8">
        <w:rPr>
          <w:lang w:val="en-GB"/>
        </w:rPr>
        <w:t>1 December</w:t>
      </w:r>
      <w:r w:rsidR="0000397C">
        <w:rPr>
          <w:lang w:val="en-GB"/>
        </w:rPr>
        <w:t xml:space="preserve"> </w:t>
      </w:r>
      <w:r w:rsidR="009C3FF1" w:rsidRPr="009C3FF1">
        <w:rPr>
          <w:lang w:val="en-GB"/>
        </w:rPr>
        <w:t>20</w:t>
      </w:r>
      <w:r w:rsidR="008A00C8">
        <w:rPr>
          <w:lang w:val="en-GB"/>
        </w:rPr>
        <w:t>09</w:t>
      </w:r>
      <w:r w:rsidR="009C3FF1" w:rsidRPr="009C3FF1">
        <w:rPr>
          <w:lang w:val="en-GB"/>
        </w:rPr>
        <w:t xml:space="preserve">, the State party </w:t>
      </w:r>
      <w:r w:rsidR="0015520B">
        <w:rPr>
          <w:lang w:val="en-GB"/>
        </w:rPr>
        <w:t>challenged the</w:t>
      </w:r>
      <w:r w:rsidR="008A00C8">
        <w:rPr>
          <w:lang w:val="en-GB"/>
        </w:rPr>
        <w:t xml:space="preserve"> admissibility</w:t>
      </w:r>
      <w:r w:rsidR="0015520B">
        <w:rPr>
          <w:lang w:val="en-GB"/>
        </w:rPr>
        <w:t xml:space="preserve"> of the communication, arguing that </w:t>
      </w:r>
      <w:r w:rsidR="006D5961">
        <w:rPr>
          <w:lang w:val="en-GB"/>
        </w:rPr>
        <w:t>the author ha</w:t>
      </w:r>
      <w:r w:rsidR="005854DF">
        <w:rPr>
          <w:lang w:val="en-GB"/>
        </w:rPr>
        <w:t>d</w:t>
      </w:r>
      <w:r w:rsidR="006D5961">
        <w:rPr>
          <w:lang w:val="en-GB"/>
        </w:rPr>
        <w:t xml:space="preserve"> not exhausted the </w:t>
      </w:r>
      <w:r w:rsidR="0015520B">
        <w:rPr>
          <w:lang w:val="en-GB"/>
        </w:rPr>
        <w:t xml:space="preserve">available </w:t>
      </w:r>
      <w:r w:rsidR="006D5961">
        <w:rPr>
          <w:lang w:val="en-GB"/>
        </w:rPr>
        <w:t xml:space="preserve">domestic remedies. </w:t>
      </w:r>
      <w:r w:rsidR="0015520B">
        <w:rPr>
          <w:lang w:val="en-GB"/>
        </w:rPr>
        <w:t>U</w:t>
      </w:r>
      <w:r w:rsidR="006D5961">
        <w:rPr>
          <w:lang w:val="en-GB"/>
        </w:rPr>
        <w:t xml:space="preserve">nder the </w:t>
      </w:r>
      <w:r w:rsidR="0015520B">
        <w:rPr>
          <w:lang w:val="en-GB"/>
        </w:rPr>
        <w:t xml:space="preserve">Procedural </w:t>
      </w:r>
      <w:r w:rsidR="006D5961">
        <w:rPr>
          <w:lang w:val="en-GB"/>
        </w:rPr>
        <w:t xml:space="preserve">Code </w:t>
      </w:r>
      <w:r w:rsidR="000B0FCC">
        <w:rPr>
          <w:lang w:val="en-GB"/>
        </w:rPr>
        <w:t>regarding a</w:t>
      </w:r>
      <w:r w:rsidR="006D5961">
        <w:rPr>
          <w:lang w:val="en-GB"/>
        </w:rPr>
        <w:t xml:space="preserve">dministrative </w:t>
      </w:r>
      <w:r w:rsidR="000B0FCC">
        <w:rPr>
          <w:lang w:val="en-GB"/>
        </w:rPr>
        <w:t>o</w:t>
      </w:r>
      <w:r w:rsidR="006D5961">
        <w:rPr>
          <w:lang w:val="en-GB"/>
        </w:rPr>
        <w:t>ffences</w:t>
      </w:r>
      <w:r w:rsidR="0015520B">
        <w:rPr>
          <w:lang w:val="en-GB"/>
        </w:rPr>
        <w:t>,</w:t>
      </w:r>
      <w:r w:rsidR="006D5961">
        <w:rPr>
          <w:lang w:val="en-GB"/>
        </w:rPr>
        <w:t xml:space="preserve"> decisions that have entered into force can be appealed </w:t>
      </w:r>
      <w:r w:rsidR="0015520B">
        <w:rPr>
          <w:lang w:val="en-GB"/>
        </w:rPr>
        <w:t xml:space="preserve">under the supervisory review procedure </w:t>
      </w:r>
      <w:r w:rsidR="006D5961">
        <w:rPr>
          <w:lang w:val="en-GB"/>
        </w:rPr>
        <w:t xml:space="preserve">within six months </w:t>
      </w:r>
      <w:r w:rsidR="005854DF">
        <w:rPr>
          <w:lang w:val="en-GB"/>
        </w:rPr>
        <w:t>of their entry into force, but</w:t>
      </w:r>
      <w:r w:rsidR="006D5961">
        <w:rPr>
          <w:lang w:val="en-GB"/>
        </w:rPr>
        <w:t xml:space="preserve"> the author </w:t>
      </w:r>
      <w:r w:rsidR="005854DF">
        <w:rPr>
          <w:lang w:val="en-GB"/>
        </w:rPr>
        <w:t>did</w:t>
      </w:r>
      <w:r w:rsidR="006D5961">
        <w:rPr>
          <w:lang w:val="en-GB"/>
        </w:rPr>
        <w:t xml:space="preserve"> not </w:t>
      </w:r>
      <w:r w:rsidR="0015520B">
        <w:rPr>
          <w:lang w:val="en-GB"/>
        </w:rPr>
        <w:t xml:space="preserve">availed himself of </w:t>
      </w:r>
      <w:r w:rsidR="006D5961">
        <w:rPr>
          <w:lang w:val="en-GB"/>
        </w:rPr>
        <w:t>th</w:t>
      </w:r>
      <w:r w:rsidR="005854DF">
        <w:rPr>
          <w:lang w:val="en-GB"/>
        </w:rPr>
        <w:t>at</w:t>
      </w:r>
      <w:r w:rsidR="006D5961">
        <w:rPr>
          <w:lang w:val="en-GB"/>
        </w:rPr>
        <w:t xml:space="preserve"> possibility. It maintains that the author </w:t>
      </w:r>
      <w:r w:rsidR="005854DF">
        <w:rPr>
          <w:lang w:val="en-GB"/>
        </w:rPr>
        <w:t>did</w:t>
      </w:r>
      <w:r w:rsidR="006D5961">
        <w:rPr>
          <w:lang w:val="en-GB"/>
        </w:rPr>
        <w:t xml:space="preserve"> not </w:t>
      </w:r>
      <w:r w:rsidR="005854DF">
        <w:rPr>
          <w:lang w:val="en-GB"/>
        </w:rPr>
        <w:t>avail himself of</w:t>
      </w:r>
      <w:r w:rsidR="006D5961">
        <w:rPr>
          <w:lang w:val="en-GB"/>
        </w:rPr>
        <w:t xml:space="preserve"> his right to appeal </w:t>
      </w:r>
      <w:r w:rsidR="0015520B">
        <w:rPr>
          <w:lang w:val="en-GB"/>
        </w:rPr>
        <w:t xml:space="preserve">under the supervisory review procedure before </w:t>
      </w:r>
      <w:r w:rsidR="006D5961">
        <w:rPr>
          <w:lang w:val="en-GB"/>
        </w:rPr>
        <w:t xml:space="preserve">the Prosecutor’s </w:t>
      </w:r>
      <w:r w:rsidR="00C50D9F">
        <w:rPr>
          <w:lang w:val="en-GB"/>
        </w:rPr>
        <w:t>O</w:t>
      </w:r>
      <w:r w:rsidR="006D5961">
        <w:rPr>
          <w:lang w:val="en-GB"/>
        </w:rPr>
        <w:t xml:space="preserve">ffice either. </w:t>
      </w:r>
      <w:r w:rsidR="00B03AC1">
        <w:rPr>
          <w:lang w:val="en-GB"/>
        </w:rPr>
        <w:t>In th</w:t>
      </w:r>
      <w:r w:rsidR="005854DF">
        <w:rPr>
          <w:lang w:val="en-GB"/>
        </w:rPr>
        <w:t>at</w:t>
      </w:r>
      <w:r w:rsidR="00B03AC1">
        <w:rPr>
          <w:lang w:val="en-GB"/>
        </w:rPr>
        <w:t xml:space="preserve"> </w:t>
      </w:r>
      <w:r w:rsidR="005854DF">
        <w:rPr>
          <w:lang w:val="en-GB"/>
        </w:rPr>
        <w:t>respect</w:t>
      </w:r>
      <w:r w:rsidR="00B03AC1">
        <w:rPr>
          <w:lang w:val="en-GB"/>
        </w:rPr>
        <w:t xml:space="preserve">, the </w:t>
      </w:r>
      <w:r w:rsidR="00B73DC3">
        <w:rPr>
          <w:lang w:val="en-GB"/>
        </w:rPr>
        <w:t>State</w:t>
      </w:r>
      <w:r w:rsidR="00B03AC1">
        <w:rPr>
          <w:lang w:val="en-GB"/>
        </w:rPr>
        <w:t xml:space="preserve"> </w:t>
      </w:r>
      <w:r w:rsidR="00B73DC3">
        <w:rPr>
          <w:lang w:val="en-GB"/>
        </w:rPr>
        <w:t>party</w:t>
      </w:r>
      <w:r w:rsidR="00B03AC1">
        <w:rPr>
          <w:lang w:val="en-GB"/>
        </w:rPr>
        <w:t xml:space="preserve"> points out that </w:t>
      </w:r>
      <w:r w:rsidR="005854DF">
        <w:rPr>
          <w:lang w:val="en-GB"/>
        </w:rPr>
        <w:t>over 10</w:t>
      </w:r>
      <w:r w:rsidR="00B03AC1">
        <w:rPr>
          <w:lang w:val="en-GB"/>
        </w:rPr>
        <w:t xml:space="preserve"> </w:t>
      </w:r>
      <w:r w:rsidR="00B73DC3">
        <w:rPr>
          <w:lang w:val="en-GB"/>
        </w:rPr>
        <w:t>months</w:t>
      </w:r>
      <w:r w:rsidR="00B03AC1">
        <w:rPr>
          <w:lang w:val="en-GB"/>
        </w:rPr>
        <w:t xml:space="preserve"> in 2009, the Prosecutor’s Office </w:t>
      </w:r>
      <w:r w:rsidR="00946BF1">
        <w:rPr>
          <w:lang w:val="en-GB"/>
        </w:rPr>
        <w:t xml:space="preserve">had </w:t>
      </w:r>
      <w:r w:rsidR="00B03AC1">
        <w:rPr>
          <w:lang w:val="en-GB"/>
        </w:rPr>
        <w:t xml:space="preserve">introduced more than 120 motions </w:t>
      </w:r>
      <w:r w:rsidR="00946BF1">
        <w:rPr>
          <w:lang w:val="en-GB"/>
        </w:rPr>
        <w:t>against</w:t>
      </w:r>
      <w:r w:rsidR="00B03AC1">
        <w:rPr>
          <w:lang w:val="en-GB"/>
        </w:rPr>
        <w:t xml:space="preserve"> </w:t>
      </w:r>
      <w:r w:rsidR="006E3394">
        <w:rPr>
          <w:lang w:val="en-GB"/>
        </w:rPr>
        <w:t xml:space="preserve">court </w:t>
      </w:r>
      <w:r w:rsidR="00B03AC1">
        <w:rPr>
          <w:lang w:val="en-GB"/>
        </w:rPr>
        <w:t>decisions which ha</w:t>
      </w:r>
      <w:r w:rsidR="00946BF1">
        <w:rPr>
          <w:lang w:val="en-GB"/>
        </w:rPr>
        <w:t>d already</w:t>
      </w:r>
      <w:r w:rsidR="00B03AC1">
        <w:rPr>
          <w:lang w:val="en-GB"/>
        </w:rPr>
        <w:t xml:space="preserve"> entered into force in administrative cases</w:t>
      </w:r>
      <w:r w:rsidR="00F11D19">
        <w:rPr>
          <w:lang w:val="en-GB"/>
        </w:rPr>
        <w:t>,</w:t>
      </w:r>
      <w:r w:rsidR="00B03AC1">
        <w:rPr>
          <w:lang w:val="en-GB"/>
        </w:rPr>
        <w:t xml:space="preserve"> </w:t>
      </w:r>
      <w:r w:rsidR="00F11D19">
        <w:rPr>
          <w:lang w:val="en-GB"/>
        </w:rPr>
        <w:t xml:space="preserve">for </w:t>
      </w:r>
      <w:r w:rsidR="00B03AC1">
        <w:rPr>
          <w:lang w:val="en-GB"/>
        </w:rPr>
        <w:t xml:space="preserve">which </w:t>
      </w:r>
      <w:r w:rsidR="00F11D19">
        <w:rPr>
          <w:lang w:val="en-GB"/>
        </w:rPr>
        <w:t xml:space="preserve">reviews </w:t>
      </w:r>
      <w:r w:rsidR="00B03AC1">
        <w:rPr>
          <w:lang w:val="en-GB"/>
        </w:rPr>
        <w:t xml:space="preserve">were </w:t>
      </w:r>
      <w:r w:rsidR="00946BF1">
        <w:rPr>
          <w:lang w:val="en-GB"/>
        </w:rPr>
        <w:t>granted</w:t>
      </w:r>
      <w:r w:rsidR="00B03AC1">
        <w:rPr>
          <w:lang w:val="en-GB"/>
        </w:rPr>
        <w:t xml:space="preserve"> by the Supreme Court. </w:t>
      </w:r>
      <w:r w:rsidR="00B03AC1" w:rsidRPr="002F00D8">
        <w:rPr>
          <w:lang w:val="en-GB"/>
        </w:rPr>
        <w:t xml:space="preserve">The State </w:t>
      </w:r>
      <w:r w:rsidR="00B73DC3" w:rsidRPr="002F00D8">
        <w:rPr>
          <w:lang w:val="en-GB"/>
        </w:rPr>
        <w:t>party</w:t>
      </w:r>
      <w:r w:rsidR="00B03AC1" w:rsidRPr="002F00D8">
        <w:rPr>
          <w:lang w:val="en-GB"/>
        </w:rPr>
        <w:t xml:space="preserve"> notes that the author </w:t>
      </w:r>
      <w:r w:rsidR="00946BF1">
        <w:rPr>
          <w:lang w:val="en-GB"/>
        </w:rPr>
        <w:t>did</w:t>
      </w:r>
      <w:r w:rsidR="00B03AC1" w:rsidRPr="002F00D8">
        <w:rPr>
          <w:lang w:val="en-GB"/>
        </w:rPr>
        <w:t xml:space="preserve"> not appeal the </w:t>
      </w:r>
      <w:r w:rsidR="00380E01" w:rsidRPr="002F00D8">
        <w:rPr>
          <w:lang w:val="en-GB"/>
        </w:rPr>
        <w:t xml:space="preserve">refusal </w:t>
      </w:r>
      <w:r w:rsidR="00B03AC1" w:rsidRPr="002F00D8">
        <w:rPr>
          <w:lang w:val="en-GB"/>
        </w:rPr>
        <w:t xml:space="preserve">of the Supreme Court </w:t>
      </w:r>
      <w:r w:rsidR="00380E01" w:rsidRPr="002F00D8">
        <w:rPr>
          <w:lang w:val="en-GB"/>
        </w:rPr>
        <w:t xml:space="preserve">to initiate the review of his case </w:t>
      </w:r>
      <w:r w:rsidR="00B03AC1" w:rsidRPr="002F00D8">
        <w:rPr>
          <w:lang w:val="en-GB"/>
        </w:rPr>
        <w:t>under the supervisory review proced</w:t>
      </w:r>
      <w:r w:rsidR="00DD58BE">
        <w:rPr>
          <w:lang w:val="en-GB"/>
        </w:rPr>
        <w:t>ure</w:t>
      </w:r>
      <w:r w:rsidR="00B03AC1" w:rsidRPr="002F00D8">
        <w:rPr>
          <w:lang w:val="en-GB"/>
        </w:rPr>
        <w:t>, however</w:t>
      </w:r>
      <w:r w:rsidR="00946BF1">
        <w:rPr>
          <w:lang w:val="en-GB"/>
        </w:rPr>
        <w:t>, he did not</w:t>
      </w:r>
      <w:r w:rsidR="00B03AC1" w:rsidRPr="002F00D8">
        <w:rPr>
          <w:lang w:val="en-GB"/>
        </w:rPr>
        <w:t xml:space="preserve"> provid</w:t>
      </w:r>
      <w:r w:rsidR="00946BF1">
        <w:rPr>
          <w:lang w:val="en-GB"/>
        </w:rPr>
        <w:t>e</w:t>
      </w:r>
      <w:r w:rsidR="00B03AC1" w:rsidRPr="002F00D8">
        <w:rPr>
          <w:lang w:val="en-GB"/>
        </w:rPr>
        <w:t xml:space="preserve"> further explanations.</w:t>
      </w:r>
      <w:r w:rsidR="00B03AC1">
        <w:rPr>
          <w:lang w:val="en-GB"/>
        </w:rPr>
        <w:t xml:space="preserve"> </w:t>
      </w:r>
      <w:r w:rsidR="002278E3">
        <w:rPr>
          <w:lang w:val="en-GB"/>
        </w:rPr>
        <w:t xml:space="preserve">The State party also submits that </w:t>
      </w:r>
      <w:r w:rsidR="007734E8">
        <w:rPr>
          <w:lang w:val="en-GB"/>
        </w:rPr>
        <w:t xml:space="preserve">the </w:t>
      </w:r>
      <w:r w:rsidR="00946BF1">
        <w:rPr>
          <w:lang w:val="en-GB"/>
        </w:rPr>
        <w:t>L</w:t>
      </w:r>
      <w:r w:rsidR="007734E8">
        <w:rPr>
          <w:lang w:val="en-GB"/>
        </w:rPr>
        <w:t xml:space="preserve">aw on </w:t>
      </w:r>
      <w:r w:rsidR="0015520B">
        <w:rPr>
          <w:lang w:val="en-GB"/>
        </w:rPr>
        <w:t xml:space="preserve">Mass </w:t>
      </w:r>
      <w:r w:rsidR="007734E8">
        <w:rPr>
          <w:lang w:val="en-GB"/>
        </w:rPr>
        <w:t xml:space="preserve">Events </w:t>
      </w:r>
      <w:r w:rsidR="00946BF1">
        <w:rPr>
          <w:lang w:val="en-GB"/>
        </w:rPr>
        <w:t>does</w:t>
      </w:r>
      <w:r w:rsidR="007734E8">
        <w:rPr>
          <w:lang w:val="en-GB"/>
        </w:rPr>
        <w:t xml:space="preserve"> not contradict the</w:t>
      </w:r>
      <w:r w:rsidR="007734E8" w:rsidRPr="007734E8">
        <w:rPr>
          <w:lang w:val="en-GB"/>
        </w:rPr>
        <w:t xml:space="preserve"> </w:t>
      </w:r>
      <w:r w:rsidR="00946BF1">
        <w:rPr>
          <w:lang w:val="en-GB"/>
        </w:rPr>
        <w:t xml:space="preserve">provisions of the </w:t>
      </w:r>
      <w:r w:rsidR="007734E8" w:rsidRPr="007734E8">
        <w:rPr>
          <w:lang w:val="en-GB"/>
        </w:rPr>
        <w:t>Covenant</w:t>
      </w:r>
      <w:r w:rsidR="00946BF1">
        <w:rPr>
          <w:lang w:val="en-GB"/>
        </w:rPr>
        <w:t>; it</w:t>
      </w:r>
      <w:r w:rsidR="0015520B">
        <w:rPr>
          <w:lang w:val="en-GB"/>
        </w:rPr>
        <w:t xml:space="preserve"> notes </w:t>
      </w:r>
      <w:r w:rsidR="007734E8">
        <w:rPr>
          <w:lang w:val="en-GB"/>
        </w:rPr>
        <w:t xml:space="preserve">that </w:t>
      </w:r>
      <w:r w:rsidR="004F392D">
        <w:rPr>
          <w:lang w:val="en-GB"/>
        </w:rPr>
        <w:t xml:space="preserve">the rights protected </w:t>
      </w:r>
      <w:r w:rsidR="00B75052">
        <w:rPr>
          <w:lang w:val="en-GB"/>
        </w:rPr>
        <w:t>under</w:t>
      </w:r>
      <w:r w:rsidR="004F392D">
        <w:rPr>
          <w:lang w:val="en-GB"/>
        </w:rPr>
        <w:t xml:space="preserve"> </w:t>
      </w:r>
      <w:r w:rsidR="007734E8">
        <w:rPr>
          <w:lang w:val="en-GB"/>
        </w:rPr>
        <w:t>article</w:t>
      </w:r>
      <w:r w:rsidR="00946BF1">
        <w:rPr>
          <w:lang w:val="en-GB"/>
        </w:rPr>
        <w:t>s</w:t>
      </w:r>
      <w:r w:rsidR="007734E8">
        <w:rPr>
          <w:lang w:val="en-GB"/>
        </w:rPr>
        <w:t xml:space="preserve"> 19 and </w:t>
      </w:r>
      <w:r w:rsidR="004F392D">
        <w:rPr>
          <w:lang w:val="en-GB"/>
        </w:rPr>
        <w:t>21</w:t>
      </w:r>
      <w:r w:rsidR="00946BF1">
        <w:rPr>
          <w:lang w:val="en-GB"/>
        </w:rPr>
        <w:t xml:space="preserve"> of the Covenant</w:t>
      </w:r>
      <w:r w:rsidR="004F392D">
        <w:rPr>
          <w:lang w:val="en-GB"/>
        </w:rPr>
        <w:t xml:space="preserve"> are not absolute and their enjoyment may be subject to limitations. </w:t>
      </w:r>
    </w:p>
    <w:p w14:paraId="2828F403" w14:textId="77777777" w:rsidR="00F00747" w:rsidRDefault="0077327C" w:rsidP="00B75052">
      <w:pPr>
        <w:pStyle w:val="SingleTxtG"/>
        <w:rPr>
          <w:lang w:val="en-GB"/>
        </w:rPr>
      </w:pPr>
      <w:r>
        <w:rPr>
          <w:lang w:val="en-GB"/>
        </w:rPr>
        <w:t>4.2</w:t>
      </w:r>
      <w:r>
        <w:rPr>
          <w:lang w:val="en-GB"/>
        </w:rPr>
        <w:tab/>
      </w:r>
      <w:r w:rsidR="00DC0C80">
        <w:rPr>
          <w:lang w:val="en-GB"/>
        </w:rPr>
        <w:t xml:space="preserve">By </w:t>
      </w:r>
      <w:r>
        <w:rPr>
          <w:lang w:val="en-GB"/>
        </w:rPr>
        <w:t xml:space="preserve">note verbale </w:t>
      </w:r>
      <w:r w:rsidR="0015520B">
        <w:rPr>
          <w:lang w:val="en-GB"/>
        </w:rPr>
        <w:t xml:space="preserve">of </w:t>
      </w:r>
      <w:r>
        <w:rPr>
          <w:lang w:val="en-GB"/>
        </w:rPr>
        <w:t xml:space="preserve">6 April 2010, the State party submitted its observations on the merits. </w:t>
      </w:r>
      <w:r w:rsidR="003D7AEE">
        <w:rPr>
          <w:lang w:val="en-GB"/>
        </w:rPr>
        <w:t xml:space="preserve">It </w:t>
      </w:r>
      <w:r w:rsidR="00B75052">
        <w:rPr>
          <w:lang w:val="en-GB"/>
        </w:rPr>
        <w:t>states</w:t>
      </w:r>
      <w:r w:rsidR="003D7AEE">
        <w:rPr>
          <w:lang w:val="en-GB"/>
        </w:rPr>
        <w:t xml:space="preserve"> that the meeting </w:t>
      </w:r>
      <w:r w:rsidR="0015520B">
        <w:rPr>
          <w:lang w:val="en-GB"/>
        </w:rPr>
        <w:t xml:space="preserve">in question </w:t>
      </w:r>
      <w:r w:rsidR="003D7AEE">
        <w:rPr>
          <w:lang w:val="en-GB"/>
        </w:rPr>
        <w:t xml:space="preserve">was </w:t>
      </w:r>
      <w:r w:rsidR="00BB3EAA">
        <w:rPr>
          <w:lang w:val="en-GB"/>
        </w:rPr>
        <w:t xml:space="preserve">held </w:t>
      </w:r>
      <w:r w:rsidR="002F00D8">
        <w:rPr>
          <w:lang w:val="en-GB"/>
        </w:rPr>
        <w:t xml:space="preserve">in the </w:t>
      </w:r>
      <w:r w:rsidR="0003506E">
        <w:rPr>
          <w:lang w:val="en-GB"/>
        </w:rPr>
        <w:t>“</w:t>
      </w:r>
      <w:r w:rsidR="002F00D8">
        <w:rPr>
          <w:lang w:val="en-GB"/>
        </w:rPr>
        <w:t>Vektor</w:t>
      </w:r>
      <w:r w:rsidR="0003506E">
        <w:rPr>
          <w:lang w:val="en-GB"/>
        </w:rPr>
        <w:t>”</w:t>
      </w:r>
      <w:r w:rsidR="002F00D8">
        <w:rPr>
          <w:lang w:val="en-GB"/>
        </w:rPr>
        <w:t xml:space="preserve"> </w:t>
      </w:r>
      <w:r w:rsidR="00B75052">
        <w:rPr>
          <w:lang w:val="en-GB"/>
        </w:rPr>
        <w:t xml:space="preserve">bar </w:t>
      </w:r>
      <w:r w:rsidR="002F00D8">
        <w:rPr>
          <w:lang w:val="en-GB"/>
        </w:rPr>
        <w:t>located in the</w:t>
      </w:r>
      <w:r w:rsidR="00B75052">
        <w:rPr>
          <w:lang w:val="en-GB"/>
        </w:rPr>
        <w:t xml:space="preserve"> same</w:t>
      </w:r>
      <w:r w:rsidR="002F00D8">
        <w:rPr>
          <w:lang w:val="en-GB"/>
        </w:rPr>
        <w:t xml:space="preserve"> building</w:t>
      </w:r>
      <w:r w:rsidR="00B75052">
        <w:rPr>
          <w:lang w:val="en-GB"/>
        </w:rPr>
        <w:t xml:space="preserve"> as the offices of BNF</w:t>
      </w:r>
      <w:r w:rsidR="002F00D8">
        <w:rPr>
          <w:lang w:val="en-GB"/>
        </w:rPr>
        <w:t xml:space="preserve"> </w:t>
      </w:r>
      <w:r w:rsidR="00BB3EAA">
        <w:rPr>
          <w:lang w:val="en-GB"/>
        </w:rPr>
        <w:t xml:space="preserve">without prior </w:t>
      </w:r>
      <w:r w:rsidR="0015520B">
        <w:rPr>
          <w:lang w:val="en-GB"/>
        </w:rPr>
        <w:t>authori</w:t>
      </w:r>
      <w:r w:rsidR="00B75052">
        <w:rPr>
          <w:lang w:val="en-GB"/>
        </w:rPr>
        <w:t>z</w:t>
      </w:r>
      <w:r w:rsidR="0015520B">
        <w:rPr>
          <w:lang w:val="en-GB"/>
        </w:rPr>
        <w:t xml:space="preserve">ation </w:t>
      </w:r>
      <w:r w:rsidR="003F7D91">
        <w:rPr>
          <w:lang w:val="en-GB"/>
        </w:rPr>
        <w:t xml:space="preserve">from </w:t>
      </w:r>
      <w:r w:rsidR="00BB3EAA">
        <w:rPr>
          <w:lang w:val="en-GB"/>
        </w:rPr>
        <w:t xml:space="preserve">the </w:t>
      </w:r>
      <w:r w:rsidR="0015520B">
        <w:rPr>
          <w:lang w:val="en-GB"/>
        </w:rPr>
        <w:t xml:space="preserve">local </w:t>
      </w:r>
      <w:r w:rsidR="00BB3EAA">
        <w:rPr>
          <w:lang w:val="en-GB"/>
        </w:rPr>
        <w:t xml:space="preserve">authorities. It also states that </w:t>
      </w:r>
      <w:r w:rsidR="003D7AEE">
        <w:rPr>
          <w:lang w:val="en-GB"/>
        </w:rPr>
        <w:t xml:space="preserve">the police action </w:t>
      </w:r>
      <w:r w:rsidR="00B75052">
        <w:rPr>
          <w:lang w:val="en-GB"/>
        </w:rPr>
        <w:t>in</w:t>
      </w:r>
      <w:r w:rsidR="003D7AEE">
        <w:rPr>
          <w:lang w:val="en-GB"/>
        </w:rPr>
        <w:t xml:space="preserve"> </w:t>
      </w:r>
      <w:r w:rsidR="00B75052">
        <w:rPr>
          <w:lang w:val="en-GB"/>
        </w:rPr>
        <w:t>stopping</w:t>
      </w:r>
      <w:r w:rsidR="003D7AEE">
        <w:rPr>
          <w:lang w:val="en-GB"/>
        </w:rPr>
        <w:t xml:space="preserve"> the meeting</w:t>
      </w:r>
      <w:r w:rsidR="00DC0C80">
        <w:rPr>
          <w:lang w:val="en-GB"/>
        </w:rPr>
        <w:t xml:space="preserve">, </w:t>
      </w:r>
      <w:r w:rsidR="0015520B">
        <w:rPr>
          <w:lang w:val="en-GB"/>
        </w:rPr>
        <w:t>apprehend</w:t>
      </w:r>
      <w:r w:rsidR="00B75052">
        <w:rPr>
          <w:lang w:val="en-GB"/>
        </w:rPr>
        <w:t>ing</w:t>
      </w:r>
      <w:r w:rsidR="0015520B">
        <w:rPr>
          <w:lang w:val="en-GB"/>
        </w:rPr>
        <w:t xml:space="preserve"> </w:t>
      </w:r>
      <w:r w:rsidR="003D7AEE">
        <w:rPr>
          <w:lang w:val="en-GB"/>
        </w:rPr>
        <w:t>the participants and subsequent</w:t>
      </w:r>
      <w:r w:rsidR="00B75052">
        <w:rPr>
          <w:lang w:val="en-GB"/>
        </w:rPr>
        <w:t>ly</w:t>
      </w:r>
      <w:r w:rsidR="003D7AEE">
        <w:rPr>
          <w:lang w:val="en-GB"/>
        </w:rPr>
        <w:t xml:space="preserve"> </w:t>
      </w:r>
      <w:r w:rsidR="0015520B">
        <w:rPr>
          <w:lang w:val="en-GB"/>
        </w:rPr>
        <w:t xml:space="preserve">fining </w:t>
      </w:r>
      <w:r w:rsidR="003D7AEE">
        <w:rPr>
          <w:lang w:val="en-GB"/>
        </w:rPr>
        <w:t xml:space="preserve">the author </w:t>
      </w:r>
      <w:r w:rsidR="00B75052">
        <w:rPr>
          <w:lang w:val="en-GB"/>
        </w:rPr>
        <w:t>were</w:t>
      </w:r>
      <w:r w:rsidR="003D7AEE">
        <w:rPr>
          <w:lang w:val="en-GB"/>
        </w:rPr>
        <w:t xml:space="preserve"> in compliance with the applicable law in Belarus in the interest of public order and </w:t>
      </w:r>
      <w:r w:rsidR="00B75052">
        <w:rPr>
          <w:lang w:val="en-GB"/>
        </w:rPr>
        <w:t>to</w:t>
      </w:r>
      <w:r w:rsidR="003D7AEE">
        <w:rPr>
          <w:lang w:val="en-GB"/>
        </w:rPr>
        <w:t xml:space="preserve"> protect the rights and freedoms of others. </w:t>
      </w:r>
      <w:r w:rsidR="00BB3EAA">
        <w:rPr>
          <w:lang w:val="en-GB"/>
        </w:rPr>
        <w:t>The State party submits that</w:t>
      </w:r>
      <w:r w:rsidR="00B75052">
        <w:rPr>
          <w:lang w:val="en-GB"/>
        </w:rPr>
        <w:t>,</w:t>
      </w:r>
      <w:r w:rsidR="00BB3EAA">
        <w:rPr>
          <w:lang w:val="en-GB"/>
        </w:rPr>
        <w:t xml:space="preserve"> </w:t>
      </w:r>
      <w:r w:rsidR="00B75052">
        <w:rPr>
          <w:lang w:val="en-GB"/>
        </w:rPr>
        <w:t>in</w:t>
      </w:r>
      <w:r w:rsidR="003F7D91">
        <w:rPr>
          <w:lang w:val="en-GB"/>
        </w:rPr>
        <w:t xml:space="preserve"> putting an end to the meeting</w:t>
      </w:r>
      <w:r w:rsidR="00DC0C80">
        <w:rPr>
          <w:lang w:val="en-GB"/>
        </w:rPr>
        <w:t>,</w:t>
      </w:r>
      <w:r w:rsidR="00BB3EAA">
        <w:rPr>
          <w:lang w:val="en-GB"/>
        </w:rPr>
        <w:t xml:space="preserve"> </w:t>
      </w:r>
      <w:r w:rsidR="003F7D91">
        <w:rPr>
          <w:lang w:val="en-GB"/>
        </w:rPr>
        <w:t xml:space="preserve">the </w:t>
      </w:r>
      <w:r w:rsidR="00BB3EAA">
        <w:rPr>
          <w:lang w:val="en-GB"/>
        </w:rPr>
        <w:t xml:space="preserve">police officers </w:t>
      </w:r>
      <w:r w:rsidR="00B75052">
        <w:rPr>
          <w:lang w:val="en-GB"/>
        </w:rPr>
        <w:t xml:space="preserve">did not </w:t>
      </w:r>
      <w:r w:rsidR="00BB3EAA">
        <w:rPr>
          <w:lang w:val="en-GB"/>
        </w:rPr>
        <w:t xml:space="preserve">use physical force </w:t>
      </w:r>
      <w:r w:rsidR="00DC0C80">
        <w:rPr>
          <w:lang w:val="en-GB"/>
        </w:rPr>
        <w:t xml:space="preserve">or </w:t>
      </w:r>
      <w:r w:rsidR="00BB3EAA">
        <w:rPr>
          <w:lang w:val="en-GB"/>
        </w:rPr>
        <w:t>special equipment against the participants and th</w:t>
      </w:r>
      <w:r w:rsidR="00DC0C80">
        <w:rPr>
          <w:lang w:val="en-GB"/>
        </w:rPr>
        <w:t>ose</w:t>
      </w:r>
      <w:r w:rsidR="00BB3EAA">
        <w:rPr>
          <w:lang w:val="en-GB"/>
        </w:rPr>
        <w:t xml:space="preserve"> </w:t>
      </w:r>
      <w:r w:rsidR="00DC0C80">
        <w:rPr>
          <w:lang w:val="en-GB"/>
        </w:rPr>
        <w:t xml:space="preserve">apprehended </w:t>
      </w:r>
      <w:r w:rsidR="00BB3EAA">
        <w:rPr>
          <w:lang w:val="en-GB"/>
        </w:rPr>
        <w:t xml:space="preserve">were not subjected to torture or </w:t>
      </w:r>
      <w:r w:rsidR="00B75052">
        <w:rPr>
          <w:lang w:val="en-GB"/>
        </w:rPr>
        <w:t>other</w:t>
      </w:r>
      <w:r w:rsidR="00BB3EAA">
        <w:rPr>
          <w:lang w:val="en-GB"/>
        </w:rPr>
        <w:t xml:space="preserve"> cruel, inhuman or degrading treatment or punishment</w:t>
      </w:r>
      <w:r w:rsidR="003F7D91">
        <w:rPr>
          <w:lang w:val="en-GB"/>
        </w:rPr>
        <w:t xml:space="preserve"> whatsoever</w:t>
      </w:r>
      <w:r w:rsidR="00BB3EAA">
        <w:rPr>
          <w:lang w:val="en-GB"/>
        </w:rPr>
        <w:t>.</w:t>
      </w:r>
      <w:r w:rsidR="006D5961">
        <w:rPr>
          <w:lang w:val="en-GB"/>
        </w:rPr>
        <w:t xml:space="preserve"> </w:t>
      </w:r>
      <w:r w:rsidR="004217A4">
        <w:rPr>
          <w:lang w:val="en-GB"/>
        </w:rPr>
        <w:t>The</w:t>
      </w:r>
      <w:r w:rsidR="00B75052">
        <w:rPr>
          <w:lang w:val="en-GB"/>
        </w:rPr>
        <w:t xml:space="preserve"> apprehension of the</w:t>
      </w:r>
      <w:r w:rsidR="004217A4">
        <w:rPr>
          <w:lang w:val="en-GB"/>
        </w:rPr>
        <w:t xml:space="preserve"> author</w:t>
      </w:r>
      <w:r w:rsidR="00B75052">
        <w:rPr>
          <w:lang w:val="en-GB"/>
        </w:rPr>
        <w:t xml:space="preserve"> of the present communication</w:t>
      </w:r>
      <w:r w:rsidR="004217A4">
        <w:rPr>
          <w:lang w:val="en-GB"/>
        </w:rPr>
        <w:t xml:space="preserve"> </w:t>
      </w:r>
      <w:r w:rsidR="003F7D91">
        <w:rPr>
          <w:lang w:val="en-GB"/>
        </w:rPr>
        <w:t>and the other participants</w:t>
      </w:r>
      <w:r w:rsidR="00B75052">
        <w:rPr>
          <w:lang w:val="en-GB"/>
        </w:rPr>
        <w:t xml:space="preserve"> was</w:t>
      </w:r>
      <w:r w:rsidR="003F7D91">
        <w:rPr>
          <w:lang w:val="en-GB"/>
        </w:rPr>
        <w:t xml:space="preserve"> </w:t>
      </w:r>
      <w:r w:rsidR="00B75052">
        <w:rPr>
          <w:lang w:val="en-GB"/>
        </w:rPr>
        <w:t xml:space="preserve">intended </w:t>
      </w:r>
      <w:r w:rsidR="005B6F8E">
        <w:rPr>
          <w:lang w:val="en-GB"/>
        </w:rPr>
        <w:t>to stop the</w:t>
      </w:r>
      <w:r w:rsidR="003F7D91">
        <w:rPr>
          <w:lang w:val="en-GB"/>
        </w:rPr>
        <w:t>ir</w:t>
      </w:r>
      <w:r w:rsidR="005B6F8E">
        <w:rPr>
          <w:lang w:val="en-GB"/>
        </w:rPr>
        <w:t xml:space="preserve"> illegal activity, establish </w:t>
      </w:r>
      <w:r w:rsidR="003F7D91">
        <w:rPr>
          <w:lang w:val="en-GB"/>
        </w:rPr>
        <w:t xml:space="preserve">their </w:t>
      </w:r>
      <w:r w:rsidR="005B6F8E">
        <w:rPr>
          <w:lang w:val="en-GB"/>
        </w:rPr>
        <w:t xml:space="preserve">identity and </w:t>
      </w:r>
      <w:r w:rsidR="00DC0C80">
        <w:rPr>
          <w:lang w:val="en-GB"/>
        </w:rPr>
        <w:t>issue record</w:t>
      </w:r>
      <w:r w:rsidR="003F7D91">
        <w:rPr>
          <w:lang w:val="en-GB"/>
        </w:rPr>
        <w:t>s</w:t>
      </w:r>
      <w:r w:rsidR="00DC0C80">
        <w:rPr>
          <w:lang w:val="en-GB"/>
        </w:rPr>
        <w:t xml:space="preserve"> regarding </w:t>
      </w:r>
      <w:r w:rsidR="005B6F8E">
        <w:rPr>
          <w:lang w:val="en-GB"/>
        </w:rPr>
        <w:t>the administrative offence</w:t>
      </w:r>
      <w:r w:rsidR="003F7D91">
        <w:rPr>
          <w:lang w:val="en-GB"/>
        </w:rPr>
        <w:t>s</w:t>
      </w:r>
      <w:r w:rsidR="00DC0C80">
        <w:rPr>
          <w:lang w:val="en-GB"/>
        </w:rPr>
        <w:t xml:space="preserve"> committed</w:t>
      </w:r>
      <w:r w:rsidR="0000397C">
        <w:rPr>
          <w:lang w:val="en-GB"/>
        </w:rPr>
        <w:t>.</w:t>
      </w:r>
    </w:p>
    <w:p w14:paraId="4625D25C" w14:textId="77777777" w:rsidR="00F00747" w:rsidRPr="00F422CA" w:rsidRDefault="0000397C" w:rsidP="0000397C">
      <w:pPr>
        <w:pStyle w:val="H23G"/>
      </w:pPr>
      <w:r>
        <w:tab/>
      </w:r>
      <w:r>
        <w:tab/>
      </w:r>
      <w:r w:rsidR="00F00747" w:rsidRPr="00F422CA">
        <w:t>Author’s comments on the State party’s observations</w:t>
      </w:r>
    </w:p>
    <w:p w14:paraId="3403EC66" w14:textId="77777777" w:rsidR="00375CDD" w:rsidRDefault="00375CDD" w:rsidP="00B75052">
      <w:pPr>
        <w:pStyle w:val="SingleTxtG"/>
        <w:rPr>
          <w:lang w:val="en-GB"/>
        </w:rPr>
      </w:pPr>
      <w:r>
        <w:rPr>
          <w:lang w:val="en-GB"/>
        </w:rPr>
        <w:t>5.1</w:t>
      </w:r>
      <w:r>
        <w:rPr>
          <w:lang w:val="en-GB"/>
        </w:rPr>
        <w:tab/>
      </w:r>
      <w:r w:rsidR="00DC0C80">
        <w:rPr>
          <w:lang w:val="en-GB"/>
        </w:rPr>
        <w:t>The State party’s observations on the merits were sent to the author on 22 July 2010</w:t>
      </w:r>
      <w:r w:rsidR="00B75052">
        <w:rPr>
          <w:lang w:val="en-GB"/>
        </w:rPr>
        <w:t xml:space="preserve"> for his</w:t>
      </w:r>
      <w:r w:rsidR="00DC0C80">
        <w:rPr>
          <w:lang w:val="en-GB"/>
        </w:rPr>
        <w:t xml:space="preserve"> comments. </w:t>
      </w:r>
      <w:r w:rsidR="00B75052">
        <w:rPr>
          <w:lang w:val="en-GB"/>
        </w:rPr>
        <w:t>T</w:t>
      </w:r>
      <w:r w:rsidR="00DC0C80">
        <w:rPr>
          <w:lang w:val="en-GB"/>
        </w:rPr>
        <w:t xml:space="preserve">he author was also reminded to </w:t>
      </w:r>
      <w:r>
        <w:rPr>
          <w:lang w:val="en-GB"/>
        </w:rPr>
        <w:t xml:space="preserve">submit his comments on the State party’s observations </w:t>
      </w:r>
      <w:r w:rsidR="00B75052">
        <w:rPr>
          <w:lang w:val="en-GB"/>
        </w:rPr>
        <w:t>on</w:t>
      </w:r>
      <w:r>
        <w:rPr>
          <w:lang w:val="en-GB"/>
        </w:rPr>
        <w:t xml:space="preserve"> the admissibility of the communication.</w:t>
      </w:r>
      <w:r w:rsidR="00DC0C80">
        <w:rPr>
          <w:lang w:val="en-GB"/>
        </w:rPr>
        <w:t xml:space="preserve"> </w:t>
      </w:r>
      <w:r>
        <w:rPr>
          <w:lang w:val="en-GB"/>
        </w:rPr>
        <w:t xml:space="preserve">On 19 February 2013, a second reminder was sent to the author to submit his comments </w:t>
      </w:r>
      <w:r w:rsidR="0029453D" w:rsidRPr="0029453D">
        <w:rPr>
          <w:lang w:val="en-GB"/>
        </w:rPr>
        <w:t xml:space="preserve">on the State party’s observations </w:t>
      </w:r>
      <w:r w:rsidR="00B75052">
        <w:rPr>
          <w:lang w:val="en-GB"/>
        </w:rPr>
        <w:t xml:space="preserve">on </w:t>
      </w:r>
      <w:r>
        <w:rPr>
          <w:lang w:val="en-GB"/>
        </w:rPr>
        <w:t>the admissibility and merits of the communication.</w:t>
      </w:r>
      <w:r w:rsidR="00DC0C80">
        <w:rPr>
          <w:lang w:val="en-GB"/>
        </w:rPr>
        <w:t xml:space="preserve"> </w:t>
      </w:r>
      <w:r>
        <w:rPr>
          <w:lang w:val="en-GB"/>
        </w:rPr>
        <w:t xml:space="preserve">On 20 January 2014, </w:t>
      </w:r>
      <w:r w:rsidR="00DC0C80">
        <w:rPr>
          <w:lang w:val="en-GB"/>
        </w:rPr>
        <w:t xml:space="preserve">another letter was sent to the author, </w:t>
      </w:r>
      <w:r>
        <w:rPr>
          <w:lang w:val="en-GB"/>
        </w:rPr>
        <w:t>request</w:t>
      </w:r>
      <w:r w:rsidR="00B75052">
        <w:rPr>
          <w:lang w:val="en-GB"/>
        </w:rPr>
        <w:t>ing that he</w:t>
      </w:r>
      <w:r>
        <w:rPr>
          <w:lang w:val="en-GB"/>
        </w:rPr>
        <w:t xml:space="preserve"> submit his comments without further delay.</w:t>
      </w:r>
    </w:p>
    <w:p w14:paraId="1590E677" w14:textId="77777777" w:rsidR="006639CE" w:rsidRDefault="00947422" w:rsidP="005D5835">
      <w:pPr>
        <w:pStyle w:val="SingleTxtG"/>
        <w:rPr>
          <w:lang w:val="en-GB"/>
        </w:rPr>
      </w:pPr>
      <w:r>
        <w:rPr>
          <w:lang w:val="en-GB"/>
        </w:rPr>
        <w:t>5.</w:t>
      </w:r>
      <w:r w:rsidR="00944934">
        <w:rPr>
          <w:lang w:val="en-GB"/>
        </w:rPr>
        <w:t>2</w:t>
      </w:r>
      <w:r>
        <w:rPr>
          <w:lang w:val="en-GB"/>
        </w:rPr>
        <w:tab/>
        <w:t xml:space="preserve">On 27 March 2014, </w:t>
      </w:r>
      <w:r w:rsidR="006639CE">
        <w:rPr>
          <w:lang w:val="en-GB"/>
        </w:rPr>
        <w:t xml:space="preserve">the author reiterated his initial </w:t>
      </w:r>
      <w:r w:rsidR="00944934">
        <w:rPr>
          <w:lang w:val="en-GB"/>
        </w:rPr>
        <w:t xml:space="preserve">claims. </w:t>
      </w:r>
      <w:r w:rsidR="006639CE">
        <w:rPr>
          <w:lang w:val="en-GB"/>
        </w:rPr>
        <w:t>Regarding the State party</w:t>
      </w:r>
      <w:r w:rsidR="005F06C6">
        <w:rPr>
          <w:lang w:val="en-GB"/>
        </w:rPr>
        <w:t>’s</w:t>
      </w:r>
      <w:r w:rsidR="006639CE">
        <w:rPr>
          <w:lang w:val="en-GB"/>
        </w:rPr>
        <w:t xml:space="preserve"> </w:t>
      </w:r>
      <w:r w:rsidR="00A347E0">
        <w:rPr>
          <w:lang w:val="en-GB"/>
        </w:rPr>
        <w:t xml:space="preserve">observations </w:t>
      </w:r>
      <w:r w:rsidR="006639CE">
        <w:rPr>
          <w:lang w:val="en-GB"/>
        </w:rPr>
        <w:t>challeng</w:t>
      </w:r>
      <w:r w:rsidR="00944934">
        <w:rPr>
          <w:lang w:val="en-GB"/>
        </w:rPr>
        <w:t>ing</w:t>
      </w:r>
      <w:r w:rsidR="006639CE">
        <w:rPr>
          <w:lang w:val="en-GB"/>
        </w:rPr>
        <w:t xml:space="preserve"> the admissibility</w:t>
      </w:r>
      <w:r w:rsidR="00A347E0">
        <w:rPr>
          <w:lang w:val="en-GB"/>
        </w:rPr>
        <w:t xml:space="preserve"> of the communication,</w:t>
      </w:r>
      <w:r w:rsidR="006639CE">
        <w:rPr>
          <w:lang w:val="en-GB"/>
        </w:rPr>
        <w:t xml:space="preserve"> he submits that he has exhausted </w:t>
      </w:r>
      <w:r w:rsidR="00F11D19">
        <w:rPr>
          <w:lang w:val="en-GB"/>
        </w:rPr>
        <w:t>all</w:t>
      </w:r>
      <w:r w:rsidR="006639CE">
        <w:rPr>
          <w:lang w:val="en-GB"/>
        </w:rPr>
        <w:t xml:space="preserve"> </w:t>
      </w:r>
      <w:r w:rsidR="00A347E0">
        <w:rPr>
          <w:lang w:val="en-GB"/>
        </w:rPr>
        <w:t xml:space="preserve">available </w:t>
      </w:r>
      <w:r w:rsidR="006639CE">
        <w:rPr>
          <w:lang w:val="en-GB"/>
        </w:rPr>
        <w:t>domestic remedies</w:t>
      </w:r>
      <w:r w:rsidR="00A347E0">
        <w:rPr>
          <w:lang w:val="en-GB"/>
        </w:rPr>
        <w:t>, including that provided by</w:t>
      </w:r>
      <w:r w:rsidR="006639CE">
        <w:rPr>
          <w:lang w:val="en-GB"/>
        </w:rPr>
        <w:t xml:space="preserve"> the Supreme Court</w:t>
      </w:r>
      <w:r w:rsidR="00A347E0">
        <w:rPr>
          <w:lang w:val="en-GB"/>
        </w:rPr>
        <w:t xml:space="preserve"> and he</w:t>
      </w:r>
      <w:r w:rsidR="006639CE">
        <w:rPr>
          <w:lang w:val="en-GB"/>
        </w:rPr>
        <w:t xml:space="preserve"> does not consider the supervisory review </w:t>
      </w:r>
      <w:r w:rsidR="00A347E0">
        <w:rPr>
          <w:lang w:val="en-GB"/>
        </w:rPr>
        <w:t>proced</w:t>
      </w:r>
      <w:r w:rsidR="00DD58BE">
        <w:rPr>
          <w:lang w:val="en-GB"/>
        </w:rPr>
        <w:t>ure</w:t>
      </w:r>
      <w:r w:rsidR="00A347E0">
        <w:rPr>
          <w:lang w:val="en-GB"/>
        </w:rPr>
        <w:t xml:space="preserve"> that may be </w:t>
      </w:r>
      <w:r w:rsidR="006639CE">
        <w:rPr>
          <w:lang w:val="en-GB"/>
        </w:rPr>
        <w:t xml:space="preserve">initiated by the Prosecutor’s </w:t>
      </w:r>
      <w:r w:rsidR="00C50D9F">
        <w:rPr>
          <w:lang w:val="en-GB"/>
        </w:rPr>
        <w:t>O</w:t>
      </w:r>
      <w:r w:rsidR="006639CE">
        <w:rPr>
          <w:lang w:val="en-GB"/>
        </w:rPr>
        <w:t>ffice as an effective domestic remedy</w:t>
      </w:r>
      <w:r w:rsidR="00A347E0">
        <w:rPr>
          <w:lang w:val="en-GB"/>
        </w:rPr>
        <w:t xml:space="preserve">. He </w:t>
      </w:r>
      <w:r w:rsidR="000803DA">
        <w:rPr>
          <w:lang w:val="en-GB"/>
        </w:rPr>
        <w:t>submits that</w:t>
      </w:r>
      <w:r w:rsidR="00A347E0">
        <w:rPr>
          <w:lang w:val="en-GB"/>
        </w:rPr>
        <w:t xml:space="preserve">, further </w:t>
      </w:r>
      <w:r w:rsidR="000803DA">
        <w:rPr>
          <w:lang w:val="en-GB"/>
        </w:rPr>
        <w:t xml:space="preserve">to the Committee’s </w:t>
      </w:r>
      <w:r w:rsidR="00944934">
        <w:rPr>
          <w:lang w:val="en-GB"/>
        </w:rPr>
        <w:t xml:space="preserve">case law, </w:t>
      </w:r>
      <w:r w:rsidR="000803DA">
        <w:rPr>
          <w:lang w:val="en-GB"/>
        </w:rPr>
        <w:t xml:space="preserve">he is not required to </w:t>
      </w:r>
      <w:r w:rsidR="005F06C6">
        <w:rPr>
          <w:lang w:val="en-GB"/>
        </w:rPr>
        <w:t xml:space="preserve">exhaust such </w:t>
      </w:r>
      <w:r w:rsidR="00944934">
        <w:rPr>
          <w:lang w:val="en-GB"/>
        </w:rPr>
        <w:t>a remedy</w:t>
      </w:r>
      <w:r w:rsidR="006639CE">
        <w:rPr>
          <w:lang w:val="en-GB"/>
        </w:rPr>
        <w:t>.</w:t>
      </w:r>
    </w:p>
    <w:p w14:paraId="72E61BCC" w14:textId="77777777" w:rsidR="00F00747" w:rsidRPr="00FD1D08" w:rsidRDefault="006639CE" w:rsidP="00A347E0">
      <w:pPr>
        <w:pStyle w:val="SingleTxtG"/>
        <w:rPr>
          <w:lang w:val="en-GB"/>
        </w:rPr>
      </w:pPr>
      <w:r>
        <w:rPr>
          <w:lang w:val="en-GB"/>
        </w:rPr>
        <w:t>5.</w:t>
      </w:r>
      <w:r w:rsidR="00944934">
        <w:rPr>
          <w:lang w:val="en-GB"/>
        </w:rPr>
        <w:t>3</w:t>
      </w:r>
      <w:r w:rsidR="00A26063">
        <w:rPr>
          <w:lang w:val="en-GB"/>
        </w:rPr>
        <w:tab/>
      </w:r>
      <w:r w:rsidR="00A52D60">
        <w:rPr>
          <w:lang w:val="en-GB"/>
        </w:rPr>
        <w:t>F</w:t>
      </w:r>
      <w:r w:rsidR="00944934">
        <w:rPr>
          <w:lang w:val="en-GB"/>
        </w:rPr>
        <w:t>urther</w:t>
      </w:r>
      <w:r w:rsidR="00A347E0">
        <w:rPr>
          <w:lang w:val="en-GB"/>
        </w:rPr>
        <w:t>more</w:t>
      </w:r>
      <w:r w:rsidR="00944934">
        <w:rPr>
          <w:lang w:val="en-GB"/>
        </w:rPr>
        <w:t xml:space="preserve">, the author </w:t>
      </w:r>
      <w:r w:rsidR="00A347E0">
        <w:rPr>
          <w:lang w:val="en-GB"/>
        </w:rPr>
        <w:t>submits</w:t>
      </w:r>
      <w:r w:rsidR="00944934">
        <w:rPr>
          <w:lang w:val="en-GB"/>
        </w:rPr>
        <w:t xml:space="preserve"> that </w:t>
      </w:r>
      <w:r>
        <w:rPr>
          <w:lang w:val="en-GB"/>
        </w:rPr>
        <w:t>the State party</w:t>
      </w:r>
      <w:r w:rsidR="005F06C6">
        <w:rPr>
          <w:lang w:val="en-GB"/>
        </w:rPr>
        <w:t>’s</w:t>
      </w:r>
      <w:r>
        <w:rPr>
          <w:lang w:val="en-GB"/>
        </w:rPr>
        <w:t xml:space="preserve"> </w:t>
      </w:r>
      <w:r w:rsidR="00944934">
        <w:rPr>
          <w:lang w:val="en-GB"/>
        </w:rPr>
        <w:t xml:space="preserve">observations </w:t>
      </w:r>
      <w:r>
        <w:rPr>
          <w:lang w:val="en-GB"/>
        </w:rPr>
        <w:t>on the merits</w:t>
      </w:r>
      <w:r w:rsidR="00A347E0">
        <w:rPr>
          <w:lang w:val="en-GB"/>
        </w:rPr>
        <w:t xml:space="preserve"> of the communication</w:t>
      </w:r>
      <w:r w:rsidR="00944934">
        <w:rPr>
          <w:lang w:val="en-GB"/>
        </w:rPr>
        <w:t xml:space="preserve"> </w:t>
      </w:r>
      <w:r>
        <w:rPr>
          <w:lang w:val="en-GB"/>
        </w:rPr>
        <w:t>are general</w:t>
      </w:r>
      <w:r w:rsidR="00A347E0">
        <w:rPr>
          <w:lang w:val="en-GB"/>
        </w:rPr>
        <w:t xml:space="preserve"> in</w:t>
      </w:r>
      <w:r>
        <w:rPr>
          <w:lang w:val="en-GB"/>
        </w:rPr>
        <w:t xml:space="preserve"> </w:t>
      </w:r>
      <w:r w:rsidR="005F06C6">
        <w:rPr>
          <w:lang w:val="en-GB"/>
        </w:rPr>
        <w:t xml:space="preserve">nature </w:t>
      </w:r>
      <w:r>
        <w:rPr>
          <w:lang w:val="en-GB"/>
        </w:rPr>
        <w:t xml:space="preserve">and do not provide </w:t>
      </w:r>
      <w:r w:rsidR="00944934">
        <w:rPr>
          <w:lang w:val="en-GB"/>
        </w:rPr>
        <w:t xml:space="preserve">specific </w:t>
      </w:r>
      <w:r>
        <w:rPr>
          <w:lang w:val="en-GB"/>
        </w:rPr>
        <w:t xml:space="preserve">arguments as to the aim of </w:t>
      </w:r>
      <w:r w:rsidR="00A347E0">
        <w:rPr>
          <w:lang w:val="en-GB"/>
        </w:rPr>
        <w:t>stopping</w:t>
      </w:r>
      <w:r>
        <w:rPr>
          <w:lang w:val="en-GB"/>
        </w:rPr>
        <w:t xml:space="preserve"> the meeting</w:t>
      </w:r>
      <w:r w:rsidR="00A347E0">
        <w:rPr>
          <w:lang w:val="en-GB"/>
        </w:rPr>
        <w:t xml:space="preserve"> organized by BNF</w:t>
      </w:r>
      <w:r w:rsidR="002F00D8">
        <w:rPr>
          <w:lang w:val="en-GB"/>
        </w:rPr>
        <w:t>,</w:t>
      </w:r>
      <w:r w:rsidR="00C14620">
        <w:rPr>
          <w:lang w:val="en-GB"/>
        </w:rPr>
        <w:t xml:space="preserve"> </w:t>
      </w:r>
      <w:r w:rsidR="00A26063" w:rsidRPr="0000397C">
        <w:t>charging</w:t>
      </w:r>
      <w:r w:rsidR="00A26063">
        <w:rPr>
          <w:lang w:val="en-GB"/>
        </w:rPr>
        <w:t xml:space="preserve"> him with an administrative offence </w:t>
      </w:r>
      <w:r w:rsidR="00944934">
        <w:rPr>
          <w:lang w:val="en-GB"/>
        </w:rPr>
        <w:t xml:space="preserve">and fining him </w:t>
      </w:r>
      <w:r w:rsidR="00A26063">
        <w:rPr>
          <w:lang w:val="en-GB"/>
        </w:rPr>
        <w:t>for his participation in th</w:t>
      </w:r>
      <w:r w:rsidR="00944934">
        <w:rPr>
          <w:lang w:val="en-GB"/>
        </w:rPr>
        <w:t>e</w:t>
      </w:r>
      <w:r w:rsidR="00A26063">
        <w:rPr>
          <w:lang w:val="en-GB"/>
        </w:rPr>
        <w:t xml:space="preserve"> meeting</w:t>
      </w:r>
      <w:r w:rsidR="00944934">
        <w:rPr>
          <w:lang w:val="en-GB"/>
        </w:rPr>
        <w:t xml:space="preserve"> in question</w:t>
      </w:r>
      <w:r w:rsidR="0000397C">
        <w:rPr>
          <w:lang w:val="en-GB"/>
        </w:rPr>
        <w:t>.</w:t>
      </w:r>
    </w:p>
    <w:p w14:paraId="00C566A3" w14:textId="77777777" w:rsidR="00F35149" w:rsidRPr="006C6C87" w:rsidRDefault="003134AC" w:rsidP="00F35149">
      <w:pPr>
        <w:pStyle w:val="H23G"/>
      </w:pPr>
      <w:r w:rsidRPr="007B3302">
        <w:lastRenderedPageBreak/>
        <w:tab/>
      </w:r>
      <w:r w:rsidRPr="007B3302">
        <w:tab/>
      </w:r>
      <w:r w:rsidR="00F35149" w:rsidRPr="006C6C87">
        <w:t>Issues and proceedings before the Committee</w:t>
      </w:r>
    </w:p>
    <w:p w14:paraId="2FFF22B4" w14:textId="77777777" w:rsidR="00F35149" w:rsidRPr="00C93256" w:rsidRDefault="00F35149" w:rsidP="00FD1D08">
      <w:pPr>
        <w:pStyle w:val="H4G"/>
      </w:pPr>
      <w:r w:rsidRPr="006C6C87">
        <w:tab/>
      </w:r>
      <w:r w:rsidRPr="006C6C87">
        <w:tab/>
      </w:r>
      <w:r w:rsidRPr="00C93256">
        <w:t>Consideration of admissibility</w:t>
      </w:r>
    </w:p>
    <w:p w14:paraId="69E322AA" w14:textId="77777777" w:rsidR="00F35149" w:rsidRPr="006C6C87" w:rsidRDefault="001C3120" w:rsidP="00F80B86">
      <w:pPr>
        <w:pStyle w:val="SingleTxtG"/>
        <w:rPr>
          <w:bCs/>
        </w:rPr>
      </w:pPr>
      <w:r w:rsidRPr="001C3120">
        <w:rPr>
          <w:bCs/>
          <w:lang w:val="en-GB"/>
        </w:rPr>
        <w:t>6</w:t>
      </w:r>
      <w:r w:rsidR="00F35149" w:rsidRPr="006C6C87">
        <w:rPr>
          <w:bCs/>
        </w:rPr>
        <w:t>.1</w:t>
      </w:r>
      <w:r w:rsidR="00F35149" w:rsidRPr="006C6C87">
        <w:rPr>
          <w:bCs/>
        </w:rPr>
        <w:tab/>
        <w:t>Before considering any claim contained in a communication, the Human Rights Committee must, in accordance with rule 93 of its rules of procedure, decide whether or not it is admissible under the Optional Protocol to the Covenant.</w:t>
      </w:r>
    </w:p>
    <w:p w14:paraId="49B5BFD7" w14:textId="77777777" w:rsidR="00F35149" w:rsidRPr="001C3120" w:rsidRDefault="001C3120" w:rsidP="00F80B86">
      <w:pPr>
        <w:pStyle w:val="SingleTxtG"/>
        <w:rPr>
          <w:bCs/>
          <w:lang w:val="en-GB"/>
        </w:rPr>
      </w:pPr>
      <w:r w:rsidRPr="001C3120">
        <w:rPr>
          <w:bCs/>
          <w:lang w:val="en-GB"/>
        </w:rPr>
        <w:t>6</w:t>
      </w:r>
      <w:r w:rsidR="00F35149" w:rsidRPr="006C6C87">
        <w:rPr>
          <w:bCs/>
        </w:rPr>
        <w:t>.2</w:t>
      </w:r>
      <w:r w:rsidR="00F35149" w:rsidRPr="006C6C87">
        <w:rPr>
          <w:bCs/>
        </w:rPr>
        <w:tab/>
        <w:t>The Committee has ascertained, as required under article 5</w:t>
      </w:r>
      <w:r w:rsidR="00F80B86">
        <w:rPr>
          <w:bCs/>
          <w:lang w:val="en-US"/>
        </w:rPr>
        <w:t xml:space="preserve"> (</w:t>
      </w:r>
      <w:r w:rsidR="00F35149" w:rsidRPr="006C6C87">
        <w:rPr>
          <w:bCs/>
        </w:rPr>
        <w:t>2</w:t>
      </w:r>
      <w:r w:rsidR="00F80B86">
        <w:rPr>
          <w:bCs/>
          <w:lang w:val="en-US"/>
        </w:rPr>
        <w:t>)</w:t>
      </w:r>
      <w:r w:rsidR="00F35149" w:rsidRPr="006C6C87">
        <w:rPr>
          <w:bCs/>
        </w:rPr>
        <w:t xml:space="preserve"> (a) of the Optional Protocol, that the same matter is not being examined under another procedure of international investigation or settlement.</w:t>
      </w:r>
    </w:p>
    <w:p w14:paraId="5C8D88CD" w14:textId="77777777" w:rsidR="00F80B86" w:rsidRDefault="001C3120" w:rsidP="005D5835">
      <w:pPr>
        <w:pStyle w:val="SingleTxtG"/>
        <w:rPr>
          <w:lang w:val="en-GB"/>
        </w:rPr>
      </w:pPr>
      <w:r>
        <w:rPr>
          <w:lang w:val="en-GB"/>
        </w:rPr>
        <w:t>6</w:t>
      </w:r>
      <w:r w:rsidR="00F60C3B" w:rsidRPr="00F60C3B">
        <w:rPr>
          <w:lang w:val="en-GB"/>
        </w:rPr>
        <w:t>.</w:t>
      </w:r>
      <w:r w:rsidR="00F60C3B">
        <w:rPr>
          <w:lang w:val="en-GB"/>
        </w:rPr>
        <w:t>3</w:t>
      </w:r>
      <w:r w:rsidR="00F60C3B">
        <w:rPr>
          <w:lang w:val="en-GB"/>
        </w:rPr>
        <w:tab/>
      </w:r>
      <w:r w:rsidR="009B58BD">
        <w:rPr>
          <w:lang w:val="en-GB"/>
        </w:rPr>
        <w:t xml:space="preserve">The Committee notes that the State party has challenged the admissibility of the communication for non-exhaustion of domestic remedies under article </w:t>
      </w:r>
      <w:r w:rsidR="00A52D60">
        <w:rPr>
          <w:lang w:val="en-GB"/>
        </w:rPr>
        <w:t>5</w:t>
      </w:r>
      <w:r w:rsidR="00F80B86">
        <w:rPr>
          <w:lang w:val="en-GB"/>
        </w:rPr>
        <w:t xml:space="preserve"> (</w:t>
      </w:r>
      <w:r w:rsidR="00A52D60">
        <w:rPr>
          <w:lang w:val="en-GB"/>
        </w:rPr>
        <w:t>2</w:t>
      </w:r>
      <w:r w:rsidR="00F80B86">
        <w:rPr>
          <w:lang w:val="en-GB"/>
        </w:rPr>
        <w:t>)</w:t>
      </w:r>
      <w:r w:rsidR="00A52D60">
        <w:rPr>
          <w:lang w:val="en-GB"/>
        </w:rPr>
        <w:t xml:space="preserve"> (b) of the Optional Protocol on the ground</w:t>
      </w:r>
      <w:r w:rsidR="00F80B86">
        <w:rPr>
          <w:lang w:val="en-GB"/>
        </w:rPr>
        <w:t>s</w:t>
      </w:r>
      <w:r w:rsidR="00A52D60">
        <w:rPr>
          <w:lang w:val="en-GB"/>
        </w:rPr>
        <w:t xml:space="preserve"> that the author </w:t>
      </w:r>
      <w:r w:rsidR="00CC53BC">
        <w:rPr>
          <w:lang w:val="en-GB"/>
        </w:rPr>
        <w:t>did not</w:t>
      </w:r>
      <w:r w:rsidR="002345C1" w:rsidRPr="002345C1">
        <w:rPr>
          <w:lang w:val="en-GB"/>
        </w:rPr>
        <w:t xml:space="preserve"> </w:t>
      </w:r>
      <w:r w:rsidR="002345C1">
        <w:rPr>
          <w:lang w:val="en-GB"/>
        </w:rPr>
        <w:t xml:space="preserve">appeal the </w:t>
      </w:r>
      <w:r w:rsidR="00F80B86">
        <w:rPr>
          <w:lang w:val="en-GB"/>
        </w:rPr>
        <w:t xml:space="preserve">decision of the </w:t>
      </w:r>
      <w:r w:rsidR="002345C1">
        <w:rPr>
          <w:lang w:val="en-GB"/>
        </w:rPr>
        <w:t xml:space="preserve">Supreme Court under the supervisory </w:t>
      </w:r>
      <w:r w:rsidR="00F80B86">
        <w:rPr>
          <w:lang w:val="en-GB"/>
        </w:rPr>
        <w:t xml:space="preserve">review </w:t>
      </w:r>
      <w:r w:rsidR="002345C1">
        <w:rPr>
          <w:lang w:val="en-GB"/>
        </w:rPr>
        <w:t>procedure</w:t>
      </w:r>
      <w:r w:rsidR="0000397C">
        <w:rPr>
          <w:lang w:val="en-GB"/>
        </w:rPr>
        <w:t>.</w:t>
      </w:r>
      <w:r w:rsidR="002345C1" w:rsidRPr="00B25D50">
        <w:rPr>
          <w:rStyle w:val="FootnoteReference"/>
        </w:rPr>
        <w:footnoteReference w:id="4"/>
      </w:r>
      <w:r w:rsidR="002345C1">
        <w:rPr>
          <w:lang w:val="en-GB"/>
        </w:rPr>
        <w:t xml:space="preserve"> </w:t>
      </w:r>
      <w:r w:rsidR="00B03AC1">
        <w:rPr>
          <w:lang w:val="en-GB"/>
        </w:rPr>
        <w:t xml:space="preserve">The Committee </w:t>
      </w:r>
      <w:r w:rsidR="00F80B86">
        <w:rPr>
          <w:lang w:val="en-GB"/>
        </w:rPr>
        <w:t xml:space="preserve">also </w:t>
      </w:r>
      <w:r w:rsidR="00B03AC1">
        <w:rPr>
          <w:lang w:val="en-GB"/>
        </w:rPr>
        <w:t>notes that</w:t>
      </w:r>
      <w:r w:rsidR="00F80B86">
        <w:rPr>
          <w:lang w:val="en-GB"/>
        </w:rPr>
        <w:t>,</w:t>
      </w:r>
      <w:r w:rsidR="00B03AC1">
        <w:rPr>
          <w:lang w:val="en-GB"/>
        </w:rPr>
        <w:t xml:space="preserve"> o</w:t>
      </w:r>
      <w:r w:rsidR="002345C1" w:rsidRPr="002345C1">
        <w:rPr>
          <w:lang w:val="en-GB"/>
        </w:rPr>
        <w:t xml:space="preserve">n 3 April 2008, the author appealed to the </w:t>
      </w:r>
      <w:r w:rsidR="00F80B86">
        <w:rPr>
          <w:lang w:val="en-GB"/>
        </w:rPr>
        <w:t>Presid</w:t>
      </w:r>
      <w:r w:rsidR="00DD58BE">
        <w:rPr>
          <w:lang w:val="en-GB"/>
        </w:rPr>
        <w:t>ent</w:t>
      </w:r>
      <w:r w:rsidR="002345C1" w:rsidRPr="002345C1">
        <w:rPr>
          <w:lang w:val="en-GB"/>
        </w:rPr>
        <w:t xml:space="preserve"> of the Supreme Court under the supervisory review proced</w:t>
      </w:r>
      <w:r w:rsidR="00F80B86">
        <w:rPr>
          <w:lang w:val="en-GB"/>
        </w:rPr>
        <w:t xml:space="preserve">ure and </w:t>
      </w:r>
      <w:r w:rsidR="002345C1" w:rsidRPr="002345C1">
        <w:rPr>
          <w:lang w:val="en-GB"/>
        </w:rPr>
        <w:t>his appeal</w:t>
      </w:r>
      <w:r w:rsidR="00F80B86">
        <w:rPr>
          <w:lang w:val="en-GB"/>
        </w:rPr>
        <w:t xml:space="preserve"> was rejected</w:t>
      </w:r>
      <w:r w:rsidR="002345C1" w:rsidRPr="002345C1">
        <w:rPr>
          <w:lang w:val="en-GB"/>
        </w:rPr>
        <w:t xml:space="preserve"> on 21 May 2008.</w:t>
      </w:r>
      <w:r w:rsidR="00B03AC1">
        <w:rPr>
          <w:lang w:val="en-GB"/>
        </w:rPr>
        <w:t xml:space="preserve"> </w:t>
      </w:r>
      <w:r w:rsidR="00F80B86">
        <w:rPr>
          <w:lang w:val="en-GB"/>
        </w:rPr>
        <w:t>The Committee further</w:t>
      </w:r>
      <w:r w:rsidR="00B03AC1" w:rsidRPr="002345C1">
        <w:rPr>
          <w:lang w:val="en-GB"/>
        </w:rPr>
        <w:t xml:space="preserve"> note</w:t>
      </w:r>
      <w:r w:rsidR="00F80B86">
        <w:rPr>
          <w:lang w:val="en-GB"/>
        </w:rPr>
        <w:t>s</w:t>
      </w:r>
      <w:r w:rsidR="00B03AC1" w:rsidRPr="002345C1">
        <w:rPr>
          <w:lang w:val="en-GB"/>
        </w:rPr>
        <w:t xml:space="preserve"> the author’s explanation that supervisory review proce</w:t>
      </w:r>
      <w:r w:rsidR="00F80B86">
        <w:rPr>
          <w:lang w:val="en-GB"/>
        </w:rPr>
        <w:t>dures</w:t>
      </w:r>
      <w:r w:rsidR="00B03AC1" w:rsidRPr="002345C1">
        <w:rPr>
          <w:lang w:val="en-GB"/>
        </w:rPr>
        <w:t xml:space="preserve"> with the Supreme Court </w:t>
      </w:r>
      <w:r w:rsidR="00F80B86">
        <w:rPr>
          <w:lang w:val="en-GB"/>
        </w:rPr>
        <w:t>a</w:t>
      </w:r>
      <w:r w:rsidR="00B03AC1" w:rsidRPr="002345C1">
        <w:rPr>
          <w:lang w:val="en-GB"/>
        </w:rPr>
        <w:t>re ineffective</w:t>
      </w:r>
      <w:r w:rsidR="00713571">
        <w:rPr>
          <w:lang w:val="en-GB"/>
        </w:rPr>
        <w:t xml:space="preserve"> </w:t>
      </w:r>
      <w:r w:rsidR="00A52D60">
        <w:rPr>
          <w:lang w:val="en-GB"/>
        </w:rPr>
        <w:t xml:space="preserve">in </w:t>
      </w:r>
      <w:r w:rsidR="00B03AC1" w:rsidRPr="002345C1">
        <w:rPr>
          <w:lang w:val="en-GB"/>
        </w:rPr>
        <w:t>case</w:t>
      </w:r>
      <w:r w:rsidR="00713571">
        <w:rPr>
          <w:lang w:val="en-GB"/>
        </w:rPr>
        <w:t xml:space="preserve">s </w:t>
      </w:r>
      <w:r w:rsidR="00F80B86">
        <w:rPr>
          <w:lang w:val="en-GB"/>
        </w:rPr>
        <w:t>such as</w:t>
      </w:r>
      <w:r w:rsidR="00713571">
        <w:rPr>
          <w:lang w:val="en-GB"/>
        </w:rPr>
        <w:t xml:space="preserve"> his</w:t>
      </w:r>
      <w:r w:rsidR="00B03AC1" w:rsidRPr="002345C1">
        <w:rPr>
          <w:lang w:val="en-GB"/>
        </w:rPr>
        <w:t xml:space="preserve">. </w:t>
      </w:r>
    </w:p>
    <w:p w14:paraId="3CC5F751" w14:textId="77777777" w:rsidR="002345C1" w:rsidRDefault="00F80B86" w:rsidP="00063C87">
      <w:pPr>
        <w:pStyle w:val="SingleTxtG"/>
        <w:rPr>
          <w:lang w:val="en-GB"/>
        </w:rPr>
      </w:pPr>
      <w:r>
        <w:rPr>
          <w:lang w:val="en-GB"/>
        </w:rPr>
        <w:t>6.4</w:t>
      </w:r>
      <w:r>
        <w:rPr>
          <w:lang w:val="en-GB"/>
        </w:rPr>
        <w:tab/>
      </w:r>
      <w:r w:rsidR="00380E01" w:rsidRPr="00380E01">
        <w:rPr>
          <w:lang w:val="en-GB"/>
        </w:rPr>
        <w:t>The Committee recalls its jurisprudence</w:t>
      </w:r>
      <w:r w:rsidR="00380E01" w:rsidRPr="00B25D50">
        <w:rPr>
          <w:rStyle w:val="FootnoteReference"/>
        </w:rPr>
        <w:footnoteReference w:id="5"/>
      </w:r>
      <w:r w:rsidR="00380E01" w:rsidRPr="00380E01">
        <w:rPr>
          <w:lang w:val="en-GB"/>
        </w:rPr>
        <w:t xml:space="preserve"> </w:t>
      </w:r>
      <w:r>
        <w:rPr>
          <w:lang w:val="en-GB"/>
        </w:rPr>
        <w:t xml:space="preserve">in which it has stated </w:t>
      </w:r>
      <w:r w:rsidR="00380E01" w:rsidRPr="00380E01">
        <w:rPr>
          <w:lang w:val="en-GB"/>
        </w:rPr>
        <w:t xml:space="preserve">that filing requests for supervisory review to the </w:t>
      </w:r>
      <w:r>
        <w:rPr>
          <w:lang w:val="en-GB"/>
        </w:rPr>
        <w:t>P</w:t>
      </w:r>
      <w:r w:rsidR="00380E01" w:rsidRPr="00380E01">
        <w:rPr>
          <w:lang w:val="en-GB"/>
        </w:rPr>
        <w:t>resident of a court against court decisions which have entered into force and depend</w:t>
      </w:r>
      <w:r w:rsidR="00CC53BC">
        <w:rPr>
          <w:lang w:val="en-GB"/>
        </w:rPr>
        <w:t>ing</w:t>
      </w:r>
      <w:r w:rsidR="00380E01" w:rsidRPr="00380E01">
        <w:rPr>
          <w:lang w:val="en-GB"/>
        </w:rPr>
        <w:t xml:space="preserve"> on the discretionary power of a judge constitute</w:t>
      </w:r>
      <w:r>
        <w:rPr>
          <w:lang w:val="en-GB"/>
        </w:rPr>
        <w:t>d</w:t>
      </w:r>
      <w:r w:rsidR="00380E01" w:rsidRPr="00380E01">
        <w:rPr>
          <w:lang w:val="en-GB"/>
        </w:rPr>
        <w:t xml:space="preserve"> an extraordinary remedy</w:t>
      </w:r>
      <w:r>
        <w:rPr>
          <w:lang w:val="en-GB"/>
        </w:rPr>
        <w:t>,</w:t>
      </w:r>
      <w:r w:rsidR="00380E01" w:rsidRPr="00380E01">
        <w:rPr>
          <w:lang w:val="en-GB"/>
        </w:rPr>
        <w:t xml:space="preserve"> and that </w:t>
      </w:r>
      <w:r w:rsidR="00CC53BC">
        <w:rPr>
          <w:lang w:val="en-GB"/>
        </w:rPr>
        <w:t xml:space="preserve">it is up to </w:t>
      </w:r>
      <w:r w:rsidR="00380E01" w:rsidRPr="00380E01">
        <w:rPr>
          <w:lang w:val="en-GB"/>
        </w:rPr>
        <w:t xml:space="preserve">the State party </w:t>
      </w:r>
      <w:r w:rsidR="00CC53BC">
        <w:rPr>
          <w:lang w:val="en-GB"/>
        </w:rPr>
        <w:t>to</w:t>
      </w:r>
      <w:r w:rsidR="00380E01" w:rsidRPr="00380E01">
        <w:rPr>
          <w:lang w:val="en-GB"/>
        </w:rPr>
        <w:t xml:space="preserve"> show that there is a reasonable prospect that such requests would provide an effective remedy in the circumstances of the case</w:t>
      </w:r>
      <w:r w:rsidR="00380E01">
        <w:rPr>
          <w:lang w:val="en-GB"/>
        </w:rPr>
        <w:t xml:space="preserve">. </w:t>
      </w:r>
      <w:r w:rsidR="003E5BA0" w:rsidRPr="003E5BA0">
        <w:rPr>
          <w:lang w:val="en-GB"/>
        </w:rPr>
        <w:t xml:space="preserve">The Committee </w:t>
      </w:r>
      <w:r>
        <w:rPr>
          <w:lang w:val="en-GB"/>
        </w:rPr>
        <w:t xml:space="preserve">also </w:t>
      </w:r>
      <w:r w:rsidR="003E5BA0" w:rsidRPr="003E5BA0">
        <w:rPr>
          <w:lang w:val="en-GB"/>
        </w:rPr>
        <w:t>recalls its jurisprudence</w:t>
      </w:r>
      <w:r w:rsidR="00CC53BC">
        <w:rPr>
          <w:lang w:val="en-GB"/>
        </w:rPr>
        <w:t>,</w:t>
      </w:r>
      <w:r w:rsidR="003E5BA0" w:rsidRPr="003E5BA0">
        <w:rPr>
          <w:lang w:val="en-GB"/>
        </w:rPr>
        <w:t xml:space="preserve"> according to which a petition to a Prosecutor’s Office to initiate </w:t>
      </w:r>
      <w:r w:rsidR="00CC53BC">
        <w:rPr>
          <w:lang w:val="en-GB"/>
        </w:rPr>
        <w:t xml:space="preserve">the </w:t>
      </w:r>
      <w:r>
        <w:rPr>
          <w:lang w:val="en-GB"/>
        </w:rPr>
        <w:t>procedure</w:t>
      </w:r>
      <w:r w:rsidR="003E5BA0" w:rsidRPr="003E5BA0">
        <w:rPr>
          <w:lang w:val="en-GB"/>
        </w:rPr>
        <w:t xml:space="preserve"> to review court decisions that have taken effect does not constitute a remedy which has to be exhausted for the purposes of article 5</w:t>
      </w:r>
      <w:r w:rsidR="00CE418D">
        <w:rPr>
          <w:lang w:val="en-GB"/>
        </w:rPr>
        <w:t xml:space="preserve"> (</w:t>
      </w:r>
      <w:r w:rsidR="003E5BA0" w:rsidRPr="003E5BA0">
        <w:rPr>
          <w:lang w:val="en-GB"/>
        </w:rPr>
        <w:t>2</w:t>
      </w:r>
      <w:r w:rsidR="00CE418D">
        <w:rPr>
          <w:lang w:val="en-GB"/>
        </w:rPr>
        <w:t>)</w:t>
      </w:r>
      <w:r w:rsidR="003E5BA0" w:rsidRPr="003E5BA0">
        <w:rPr>
          <w:lang w:val="en-GB"/>
        </w:rPr>
        <w:t xml:space="preserve"> (b) of the Optional Protocol.</w:t>
      </w:r>
      <w:r w:rsidR="003E5BA0" w:rsidRPr="00B25D50">
        <w:rPr>
          <w:rStyle w:val="FootnoteReference"/>
        </w:rPr>
        <w:footnoteReference w:id="6"/>
      </w:r>
      <w:r w:rsidR="003E5BA0" w:rsidRPr="003E5BA0">
        <w:rPr>
          <w:lang w:val="en-GB"/>
        </w:rPr>
        <w:t xml:space="preserve"> Accordingly, </w:t>
      </w:r>
      <w:r w:rsidR="00CC53BC">
        <w:rPr>
          <w:lang w:val="en-GB"/>
        </w:rPr>
        <w:t>the Committee</w:t>
      </w:r>
      <w:r w:rsidR="003E5BA0" w:rsidRPr="003E5BA0">
        <w:rPr>
          <w:lang w:val="en-GB"/>
        </w:rPr>
        <w:t xml:space="preserve"> considers that it is not precluded by </w:t>
      </w:r>
      <w:r w:rsidR="00CE418D">
        <w:rPr>
          <w:lang w:val="en-GB"/>
        </w:rPr>
        <w:t xml:space="preserve">said </w:t>
      </w:r>
      <w:r w:rsidR="003E5BA0" w:rsidRPr="003E5BA0">
        <w:rPr>
          <w:lang w:val="en-GB"/>
        </w:rPr>
        <w:t>article from examining this part of the communication.</w:t>
      </w:r>
      <w:r w:rsidR="002345C1" w:rsidRPr="002345C1">
        <w:rPr>
          <w:lang w:val="en-GB"/>
        </w:rPr>
        <w:t xml:space="preserve"> </w:t>
      </w:r>
    </w:p>
    <w:p w14:paraId="11ADA5E9" w14:textId="77777777" w:rsidR="00F00747" w:rsidRPr="00CC7A0E" w:rsidRDefault="0000397C" w:rsidP="00063C87">
      <w:pPr>
        <w:pStyle w:val="SingleTxtG"/>
        <w:rPr>
          <w:lang w:val="en-GB"/>
        </w:rPr>
      </w:pPr>
      <w:r>
        <w:rPr>
          <w:lang w:val="en-GB"/>
        </w:rPr>
        <w:t>6.</w:t>
      </w:r>
      <w:r w:rsidR="00F80B86">
        <w:rPr>
          <w:lang w:val="en-GB"/>
        </w:rPr>
        <w:t>5</w:t>
      </w:r>
      <w:r>
        <w:rPr>
          <w:lang w:val="en-GB"/>
        </w:rPr>
        <w:tab/>
      </w:r>
      <w:r w:rsidR="005509CD" w:rsidRPr="00D21FF5">
        <w:t>The Committee note</w:t>
      </w:r>
      <w:r w:rsidR="00CE418D">
        <w:rPr>
          <w:lang w:val="en-US"/>
        </w:rPr>
        <w:t>s</w:t>
      </w:r>
      <w:r w:rsidR="005509CD" w:rsidRPr="00D21FF5">
        <w:t xml:space="preserve"> the author</w:t>
      </w:r>
      <w:r w:rsidR="00B66712" w:rsidRPr="00B66712">
        <w:rPr>
          <w:lang w:val="en-GB"/>
        </w:rPr>
        <w:t>’</w:t>
      </w:r>
      <w:r w:rsidR="00C42EAF">
        <w:rPr>
          <w:lang w:val="en-GB"/>
        </w:rPr>
        <w:t>s</w:t>
      </w:r>
      <w:r w:rsidR="009C50D8">
        <w:rPr>
          <w:lang w:val="en-GB"/>
        </w:rPr>
        <w:t xml:space="preserve"> general</w:t>
      </w:r>
      <w:r w:rsidR="005509CD" w:rsidRPr="00D21FF5">
        <w:t xml:space="preserve"> claim that </w:t>
      </w:r>
      <w:r w:rsidR="00C42EAF" w:rsidRPr="00F422CA">
        <w:rPr>
          <w:lang w:val="en-GB"/>
        </w:rPr>
        <w:t xml:space="preserve">his rights under article 7 </w:t>
      </w:r>
      <w:r w:rsidR="00C42EAF">
        <w:rPr>
          <w:lang w:val="en-GB"/>
        </w:rPr>
        <w:t xml:space="preserve">of the Covenant </w:t>
      </w:r>
      <w:r w:rsidR="00C42EAF" w:rsidRPr="00F422CA">
        <w:rPr>
          <w:lang w:val="en-GB"/>
        </w:rPr>
        <w:t xml:space="preserve">have been violated </w:t>
      </w:r>
      <w:r w:rsidR="00944934">
        <w:rPr>
          <w:lang w:val="en-GB"/>
        </w:rPr>
        <w:t xml:space="preserve">due to the manner </w:t>
      </w:r>
      <w:r w:rsidR="00CE418D">
        <w:rPr>
          <w:lang w:val="en-GB"/>
        </w:rPr>
        <w:t xml:space="preserve">in which </w:t>
      </w:r>
      <w:r w:rsidR="00944934">
        <w:rPr>
          <w:lang w:val="en-GB"/>
        </w:rPr>
        <w:t xml:space="preserve">he was treated by </w:t>
      </w:r>
      <w:r w:rsidR="00C42EAF">
        <w:rPr>
          <w:lang w:val="en-GB"/>
        </w:rPr>
        <w:t xml:space="preserve">the police during his </w:t>
      </w:r>
      <w:r w:rsidR="00944934">
        <w:rPr>
          <w:lang w:val="en-GB"/>
        </w:rPr>
        <w:t>apprehension</w:t>
      </w:r>
      <w:r w:rsidR="009C50D8">
        <w:rPr>
          <w:lang w:val="en-GB"/>
        </w:rPr>
        <w:t xml:space="preserve">. </w:t>
      </w:r>
      <w:r w:rsidR="00CA3EFF">
        <w:rPr>
          <w:lang w:val="en-GB"/>
        </w:rPr>
        <w:t xml:space="preserve">The Committee </w:t>
      </w:r>
      <w:r w:rsidR="00CE418D">
        <w:rPr>
          <w:lang w:val="en-GB"/>
        </w:rPr>
        <w:t xml:space="preserve">also </w:t>
      </w:r>
      <w:r w:rsidR="00CA3EFF">
        <w:rPr>
          <w:lang w:val="en-GB"/>
        </w:rPr>
        <w:t xml:space="preserve">notes that the State party </w:t>
      </w:r>
      <w:r w:rsidR="00E915AE">
        <w:rPr>
          <w:lang w:val="en-GB"/>
        </w:rPr>
        <w:t>maintain</w:t>
      </w:r>
      <w:r w:rsidR="00CE418D">
        <w:rPr>
          <w:lang w:val="en-GB"/>
        </w:rPr>
        <w:t>s</w:t>
      </w:r>
      <w:r w:rsidR="00944934">
        <w:rPr>
          <w:lang w:val="en-GB"/>
        </w:rPr>
        <w:t xml:space="preserve"> that no </w:t>
      </w:r>
      <w:r w:rsidR="00944934" w:rsidRPr="00944934">
        <w:rPr>
          <w:lang w:val="en-GB"/>
        </w:rPr>
        <w:t xml:space="preserve">physical force or special equipment </w:t>
      </w:r>
      <w:r w:rsidR="00CE418D">
        <w:rPr>
          <w:lang w:val="en-GB"/>
        </w:rPr>
        <w:t xml:space="preserve">were used </w:t>
      </w:r>
      <w:r w:rsidR="00944934" w:rsidRPr="00944934">
        <w:rPr>
          <w:lang w:val="en-GB"/>
        </w:rPr>
        <w:t>against the participants</w:t>
      </w:r>
      <w:r w:rsidR="00CE418D">
        <w:rPr>
          <w:lang w:val="en-GB"/>
        </w:rPr>
        <w:t xml:space="preserve"> in the meeting</w:t>
      </w:r>
      <w:r w:rsidR="00944934" w:rsidRPr="00944934">
        <w:rPr>
          <w:lang w:val="en-GB"/>
        </w:rPr>
        <w:t xml:space="preserve"> and</w:t>
      </w:r>
      <w:r w:rsidR="00092609">
        <w:rPr>
          <w:lang w:val="en-GB"/>
        </w:rPr>
        <w:t xml:space="preserve"> that</w:t>
      </w:r>
      <w:r w:rsidR="00944934" w:rsidRPr="00944934">
        <w:rPr>
          <w:lang w:val="en-GB"/>
        </w:rPr>
        <w:t xml:space="preserve"> those apprehended were not subjected to torture or </w:t>
      </w:r>
      <w:r w:rsidR="00CE418D">
        <w:rPr>
          <w:lang w:val="en-GB"/>
        </w:rPr>
        <w:t>other</w:t>
      </w:r>
      <w:r w:rsidR="00944934" w:rsidRPr="00944934">
        <w:rPr>
          <w:lang w:val="en-GB"/>
        </w:rPr>
        <w:t xml:space="preserve"> cruel, inhuman or degrading treatment or punishment</w:t>
      </w:r>
      <w:r w:rsidR="00944934">
        <w:rPr>
          <w:lang w:val="en-GB"/>
        </w:rPr>
        <w:t xml:space="preserve">. </w:t>
      </w:r>
      <w:r w:rsidR="00CE418D">
        <w:rPr>
          <w:lang w:val="en-GB"/>
        </w:rPr>
        <w:t>Therefore, i</w:t>
      </w:r>
      <w:r w:rsidR="004352DD">
        <w:rPr>
          <w:lang w:val="en-GB"/>
        </w:rPr>
        <w:t>n the absence of any pertinent information on file</w:t>
      </w:r>
      <w:r w:rsidR="00E915AE">
        <w:rPr>
          <w:lang w:val="en-GB"/>
        </w:rPr>
        <w:t xml:space="preserve"> to support the author’s claim</w:t>
      </w:r>
      <w:r w:rsidR="004352DD">
        <w:rPr>
          <w:lang w:val="en-GB"/>
        </w:rPr>
        <w:t>, t</w:t>
      </w:r>
      <w:r w:rsidR="00342DBC">
        <w:rPr>
          <w:lang w:val="en-GB"/>
        </w:rPr>
        <w:t>he Committee considers that</w:t>
      </w:r>
      <w:r w:rsidR="004352DD">
        <w:rPr>
          <w:lang w:val="en-GB"/>
        </w:rPr>
        <w:t xml:space="preserve"> the author has fail</w:t>
      </w:r>
      <w:r w:rsidR="009C50D8">
        <w:rPr>
          <w:lang w:val="en-GB"/>
        </w:rPr>
        <w:t>e</w:t>
      </w:r>
      <w:r w:rsidR="004352DD">
        <w:rPr>
          <w:lang w:val="en-GB"/>
        </w:rPr>
        <w:t xml:space="preserve">d to substantiate his claims under article 7 </w:t>
      </w:r>
      <w:r w:rsidR="00CE418D">
        <w:rPr>
          <w:lang w:val="en-GB"/>
        </w:rPr>
        <w:t xml:space="preserve">of the Covenant </w:t>
      </w:r>
      <w:r w:rsidR="004352DD">
        <w:rPr>
          <w:lang w:val="en-GB"/>
        </w:rPr>
        <w:t>for the</w:t>
      </w:r>
      <w:r w:rsidR="009C50D8">
        <w:rPr>
          <w:lang w:val="en-GB"/>
        </w:rPr>
        <w:t xml:space="preserve"> </w:t>
      </w:r>
      <w:r w:rsidR="004352DD">
        <w:rPr>
          <w:lang w:val="en-GB"/>
        </w:rPr>
        <w:t>pu</w:t>
      </w:r>
      <w:r w:rsidR="009C50D8">
        <w:rPr>
          <w:lang w:val="en-GB"/>
        </w:rPr>
        <w:t>r</w:t>
      </w:r>
      <w:r w:rsidR="004352DD">
        <w:rPr>
          <w:lang w:val="en-GB"/>
        </w:rPr>
        <w:t xml:space="preserve">poses of admissibility. </w:t>
      </w:r>
      <w:r w:rsidR="00342DBC" w:rsidRPr="00C42EAF">
        <w:rPr>
          <w:lang w:val="en-GB"/>
        </w:rPr>
        <w:t xml:space="preserve">Accordingly, the Committee concludes that </w:t>
      </w:r>
      <w:r w:rsidR="00E104C9">
        <w:rPr>
          <w:lang w:val="en-GB"/>
        </w:rPr>
        <w:t xml:space="preserve">this part of the </w:t>
      </w:r>
      <w:r w:rsidR="00342DBC" w:rsidRPr="00C42EAF">
        <w:rPr>
          <w:lang w:val="en-GB"/>
        </w:rPr>
        <w:t xml:space="preserve">communication is inadmissible under article 2 of </w:t>
      </w:r>
      <w:r w:rsidR="00342DBC" w:rsidRPr="00CC7A0E">
        <w:rPr>
          <w:lang w:val="en-GB"/>
        </w:rPr>
        <w:t>the Optional Protocol.</w:t>
      </w:r>
    </w:p>
    <w:p w14:paraId="4DC29A0F" w14:textId="77777777" w:rsidR="001F1088" w:rsidRPr="00F422CA" w:rsidRDefault="00F00747" w:rsidP="00063C87">
      <w:pPr>
        <w:pStyle w:val="SingleTxtG"/>
        <w:rPr>
          <w:lang w:val="en-GB"/>
        </w:rPr>
      </w:pPr>
      <w:r w:rsidRPr="00CC7A0E">
        <w:rPr>
          <w:lang w:val="en-GB"/>
        </w:rPr>
        <w:t>6.</w:t>
      </w:r>
      <w:r w:rsidR="00F80B86">
        <w:rPr>
          <w:lang w:val="en-GB"/>
        </w:rPr>
        <w:t>6</w:t>
      </w:r>
      <w:r w:rsidRPr="00CC7A0E">
        <w:rPr>
          <w:lang w:val="en-GB"/>
        </w:rPr>
        <w:tab/>
      </w:r>
      <w:r w:rsidR="00455B1A" w:rsidRPr="00CC7A0E">
        <w:rPr>
          <w:lang w:val="en-GB"/>
        </w:rPr>
        <w:t>The Committee further note</w:t>
      </w:r>
      <w:r w:rsidR="00CE418D">
        <w:rPr>
          <w:lang w:val="en-GB"/>
        </w:rPr>
        <w:t>s</w:t>
      </w:r>
      <w:r w:rsidR="00455B1A" w:rsidRPr="00CC7A0E">
        <w:rPr>
          <w:lang w:val="en-GB"/>
        </w:rPr>
        <w:t xml:space="preserve"> the author’s claim that his rights under article 14 of the Covenant have been violated as the </w:t>
      </w:r>
      <w:r w:rsidR="00455B1A" w:rsidRPr="003E5BA0">
        <w:t xml:space="preserve">courts </w:t>
      </w:r>
      <w:r w:rsidR="00455B1A" w:rsidRPr="003E5BA0">
        <w:rPr>
          <w:lang w:val="en-US"/>
        </w:rPr>
        <w:t>were not independent and impartial</w:t>
      </w:r>
      <w:r w:rsidR="00092609">
        <w:rPr>
          <w:lang w:val="en-US"/>
        </w:rPr>
        <w:t>:</w:t>
      </w:r>
      <w:r w:rsidR="004A2841">
        <w:rPr>
          <w:lang w:val="en-US"/>
        </w:rPr>
        <w:t xml:space="preserve"> his request to hear </w:t>
      </w:r>
      <w:r w:rsidR="00455B1A" w:rsidRPr="003E5BA0">
        <w:rPr>
          <w:lang w:val="en-US"/>
        </w:rPr>
        <w:t xml:space="preserve">a witness </w:t>
      </w:r>
      <w:r w:rsidR="0060299F">
        <w:rPr>
          <w:lang w:val="en-US"/>
        </w:rPr>
        <w:t>—</w:t>
      </w:r>
      <w:r w:rsidR="00455B1A" w:rsidRPr="003E5BA0">
        <w:rPr>
          <w:lang w:val="en-US"/>
        </w:rPr>
        <w:t xml:space="preserve"> the organizer of the meeting (who was also detained at the time) </w:t>
      </w:r>
      <w:r w:rsidR="0060299F">
        <w:rPr>
          <w:lang w:val="en-US"/>
        </w:rPr>
        <w:t>—</w:t>
      </w:r>
      <w:r w:rsidR="00455B1A" w:rsidRPr="003E5BA0">
        <w:rPr>
          <w:lang w:val="en-US"/>
        </w:rPr>
        <w:t xml:space="preserve"> and </w:t>
      </w:r>
      <w:r w:rsidR="00455B1A" w:rsidRPr="003E5BA0">
        <w:rPr>
          <w:lang w:val="en-US"/>
        </w:rPr>
        <w:lastRenderedPageBreak/>
        <w:t xml:space="preserve">to </w:t>
      </w:r>
      <w:r w:rsidR="004A2841">
        <w:rPr>
          <w:lang w:val="en-US"/>
        </w:rPr>
        <w:t>have</w:t>
      </w:r>
      <w:r w:rsidR="00455B1A" w:rsidRPr="003E5BA0">
        <w:rPr>
          <w:lang w:val="en-US"/>
        </w:rPr>
        <w:t xml:space="preserve"> </w:t>
      </w:r>
      <w:r w:rsidR="004A2841">
        <w:rPr>
          <w:lang w:val="en-US"/>
        </w:rPr>
        <w:t>the</w:t>
      </w:r>
      <w:r w:rsidR="00455B1A" w:rsidRPr="003E5BA0">
        <w:rPr>
          <w:lang w:val="en-US"/>
        </w:rPr>
        <w:t xml:space="preserve"> video recordings made by the police during their intervention</w:t>
      </w:r>
      <w:r w:rsidR="004A2841">
        <w:rPr>
          <w:lang w:val="en-US"/>
        </w:rPr>
        <w:t xml:space="preserve"> included as evidence was refused</w:t>
      </w:r>
      <w:r w:rsidR="00455B1A" w:rsidRPr="003E5BA0">
        <w:rPr>
          <w:lang w:val="en-US"/>
        </w:rPr>
        <w:t xml:space="preserve">. </w:t>
      </w:r>
      <w:r w:rsidR="004A2841">
        <w:rPr>
          <w:lang w:val="en-US"/>
        </w:rPr>
        <w:t>However, t</w:t>
      </w:r>
      <w:r w:rsidR="00455B1A" w:rsidRPr="003E5BA0">
        <w:rPr>
          <w:lang w:val="en-US"/>
        </w:rPr>
        <w:t>he Committee considers that</w:t>
      </w:r>
      <w:r w:rsidR="004A2841">
        <w:rPr>
          <w:lang w:val="en-US"/>
        </w:rPr>
        <w:t>,</w:t>
      </w:r>
      <w:r w:rsidR="00455B1A" w:rsidRPr="003E5BA0">
        <w:rPr>
          <w:lang w:val="en-US"/>
        </w:rPr>
        <w:t xml:space="preserve"> </w:t>
      </w:r>
      <w:r w:rsidR="004A2841">
        <w:rPr>
          <w:lang w:val="en-US"/>
        </w:rPr>
        <w:t xml:space="preserve">in the absence of any further information from the author, </w:t>
      </w:r>
      <w:r w:rsidR="00D64EC5">
        <w:rPr>
          <w:lang w:val="en-US" w:bidi="he-IL"/>
        </w:rPr>
        <w:t xml:space="preserve">such </w:t>
      </w:r>
      <w:r w:rsidR="00996051">
        <w:rPr>
          <w:lang w:val="en-US" w:bidi="he-IL"/>
        </w:rPr>
        <w:t xml:space="preserve">alleged </w:t>
      </w:r>
      <w:r w:rsidR="00D64EC5">
        <w:rPr>
          <w:lang w:val="en-US" w:bidi="he-IL"/>
        </w:rPr>
        <w:t>procedural shortcomings do not</w:t>
      </w:r>
      <w:r w:rsidR="00996051">
        <w:rPr>
          <w:lang w:val="en-US"/>
        </w:rPr>
        <w:t xml:space="preserve"> </w:t>
      </w:r>
      <w:r w:rsidR="00455B1A" w:rsidRPr="003E5BA0">
        <w:rPr>
          <w:lang w:val="en-US"/>
        </w:rPr>
        <w:t>establish</w:t>
      </w:r>
      <w:r w:rsidR="00D64EC5">
        <w:rPr>
          <w:lang w:val="en-US" w:bidi="he-IL"/>
        </w:rPr>
        <w:t>, in themselves,</w:t>
      </w:r>
      <w:r w:rsidR="00765ECB">
        <w:rPr>
          <w:lang w:val="en-US"/>
        </w:rPr>
        <w:t xml:space="preserve"> that the courts </w:t>
      </w:r>
      <w:r w:rsidR="00D64EC5">
        <w:rPr>
          <w:lang w:val="en-US" w:bidi="he-IL"/>
        </w:rPr>
        <w:t>were</w:t>
      </w:r>
      <w:r w:rsidR="00765ECB">
        <w:rPr>
          <w:lang w:val="en-US"/>
        </w:rPr>
        <w:t xml:space="preserve"> not independent and impartial</w:t>
      </w:r>
      <w:r w:rsidR="00455B1A" w:rsidRPr="007B67AE">
        <w:rPr>
          <w:lang w:val="en-US"/>
        </w:rPr>
        <w:t>. Accordingly, the Committee considers this part of the communication inadmissible under articl</w:t>
      </w:r>
      <w:r w:rsidR="00455B1A" w:rsidRPr="00696A17">
        <w:rPr>
          <w:lang w:val="en-US"/>
        </w:rPr>
        <w:t>e 2 of the Optional Protocol</w:t>
      </w:r>
      <w:r w:rsidR="004A2841">
        <w:rPr>
          <w:lang w:val="en-US"/>
        </w:rPr>
        <w:t>,</w:t>
      </w:r>
      <w:r w:rsidR="00455B1A" w:rsidRPr="00696A17">
        <w:rPr>
          <w:lang w:val="en-US"/>
        </w:rPr>
        <w:t xml:space="preserve"> as </w:t>
      </w:r>
      <w:r w:rsidR="004A2841">
        <w:rPr>
          <w:lang w:val="en-US"/>
        </w:rPr>
        <w:t xml:space="preserve">it is </w:t>
      </w:r>
      <w:r w:rsidR="00455B1A" w:rsidRPr="00696A17">
        <w:rPr>
          <w:lang w:val="en-US"/>
        </w:rPr>
        <w:t>insufficiently substantiated.</w:t>
      </w:r>
    </w:p>
    <w:p w14:paraId="3D9D170D" w14:textId="77777777" w:rsidR="001F1088" w:rsidRPr="001F1088" w:rsidRDefault="00FD1D08" w:rsidP="004A2841">
      <w:pPr>
        <w:pStyle w:val="SingleTxtG"/>
        <w:rPr>
          <w:lang w:val="en-GB"/>
        </w:rPr>
      </w:pPr>
      <w:r>
        <w:rPr>
          <w:lang w:val="en-GB"/>
        </w:rPr>
        <w:t>6.</w:t>
      </w:r>
      <w:r w:rsidR="00F80B86">
        <w:rPr>
          <w:lang w:val="en-GB"/>
        </w:rPr>
        <w:t>7</w:t>
      </w:r>
      <w:r w:rsidR="001F1088" w:rsidRPr="001F1088">
        <w:rPr>
          <w:lang w:val="en-GB"/>
        </w:rPr>
        <w:tab/>
        <w:t xml:space="preserve">Finally, the Committee considers that the </w:t>
      </w:r>
      <w:r w:rsidR="004352DD">
        <w:rPr>
          <w:lang w:val="en-GB"/>
        </w:rPr>
        <w:t xml:space="preserve">author’s </w:t>
      </w:r>
      <w:r w:rsidR="004A2841">
        <w:rPr>
          <w:lang w:val="en-GB"/>
        </w:rPr>
        <w:t xml:space="preserve">remaining </w:t>
      </w:r>
      <w:r w:rsidR="001F1088" w:rsidRPr="001F1088">
        <w:rPr>
          <w:lang w:val="en-GB"/>
        </w:rPr>
        <w:t>claims</w:t>
      </w:r>
      <w:r w:rsidR="004A2841">
        <w:rPr>
          <w:lang w:val="en-GB"/>
        </w:rPr>
        <w:t>, which</w:t>
      </w:r>
      <w:r w:rsidR="001F1088" w:rsidRPr="001F1088">
        <w:rPr>
          <w:lang w:val="en-GB"/>
        </w:rPr>
        <w:t xml:space="preserve"> rais</w:t>
      </w:r>
      <w:r w:rsidR="004A2841">
        <w:rPr>
          <w:lang w:val="en-GB"/>
        </w:rPr>
        <w:t>e</w:t>
      </w:r>
      <w:r w:rsidR="001F1088" w:rsidRPr="001F1088">
        <w:rPr>
          <w:lang w:val="en-GB"/>
        </w:rPr>
        <w:t xml:space="preserve"> issues </w:t>
      </w:r>
      <w:r w:rsidR="004A2841">
        <w:rPr>
          <w:lang w:val="en-GB"/>
        </w:rPr>
        <w:t xml:space="preserve">relating to </w:t>
      </w:r>
      <w:r w:rsidR="001F1088" w:rsidRPr="001F1088">
        <w:rPr>
          <w:lang w:val="en-GB"/>
        </w:rPr>
        <w:t>article</w:t>
      </w:r>
      <w:r w:rsidR="004A2841">
        <w:rPr>
          <w:lang w:val="en-GB"/>
        </w:rPr>
        <w:t>s</w:t>
      </w:r>
      <w:r w:rsidR="001F1088" w:rsidRPr="001F1088">
        <w:rPr>
          <w:lang w:val="en-GB"/>
        </w:rPr>
        <w:t xml:space="preserve"> </w:t>
      </w:r>
      <w:r w:rsidR="004D1C88">
        <w:rPr>
          <w:lang w:val="en-GB"/>
        </w:rPr>
        <w:t>9</w:t>
      </w:r>
      <w:r w:rsidR="004A2841">
        <w:rPr>
          <w:lang w:val="en-GB"/>
        </w:rPr>
        <w:t xml:space="preserve"> (</w:t>
      </w:r>
      <w:r w:rsidR="004D1C88">
        <w:rPr>
          <w:lang w:val="en-GB"/>
        </w:rPr>
        <w:t>2</w:t>
      </w:r>
      <w:r w:rsidR="004A2841">
        <w:rPr>
          <w:lang w:val="en-GB"/>
        </w:rPr>
        <w:t>)</w:t>
      </w:r>
      <w:r w:rsidR="004D1C88">
        <w:rPr>
          <w:lang w:val="en-GB"/>
        </w:rPr>
        <w:t xml:space="preserve">, </w:t>
      </w:r>
      <w:r w:rsidR="001F1088" w:rsidRPr="001F1088">
        <w:rPr>
          <w:lang w:val="en-GB"/>
        </w:rPr>
        <w:t>19</w:t>
      </w:r>
      <w:r w:rsidR="004A2841">
        <w:rPr>
          <w:lang w:val="en-GB"/>
        </w:rPr>
        <w:t xml:space="preserve"> (</w:t>
      </w:r>
      <w:r w:rsidR="00CC2C70">
        <w:rPr>
          <w:lang w:val="en-GB"/>
        </w:rPr>
        <w:t>1</w:t>
      </w:r>
      <w:r w:rsidR="004A2841">
        <w:rPr>
          <w:lang w:val="en-GB"/>
        </w:rPr>
        <w:t>)</w:t>
      </w:r>
      <w:r w:rsidR="00CC2C70">
        <w:rPr>
          <w:lang w:val="en-GB"/>
        </w:rPr>
        <w:t xml:space="preserve"> and </w:t>
      </w:r>
      <w:r w:rsidR="004A2841">
        <w:rPr>
          <w:lang w:val="en-GB"/>
        </w:rPr>
        <w:t>(</w:t>
      </w:r>
      <w:r w:rsidR="001F1088" w:rsidRPr="001F1088">
        <w:rPr>
          <w:lang w:val="en-GB"/>
        </w:rPr>
        <w:t>2</w:t>
      </w:r>
      <w:r w:rsidR="004A2841">
        <w:rPr>
          <w:lang w:val="en-GB"/>
        </w:rPr>
        <w:t>)</w:t>
      </w:r>
      <w:r w:rsidR="00092609">
        <w:rPr>
          <w:lang w:val="en-GB"/>
        </w:rPr>
        <w:t>,</w:t>
      </w:r>
      <w:r w:rsidR="001F1088" w:rsidRPr="001F1088">
        <w:rPr>
          <w:lang w:val="en-GB"/>
        </w:rPr>
        <w:t xml:space="preserve"> and 21 of the Covenant</w:t>
      </w:r>
      <w:r w:rsidR="004A2841">
        <w:rPr>
          <w:lang w:val="en-GB"/>
        </w:rPr>
        <w:t>,</w:t>
      </w:r>
      <w:r w:rsidR="001F1088" w:rsidRPr="001F1088">
        <w:rPr>
          <w:lang w:val="en-GB"/>
        </w:rPr>
        <w:t xml:space="preserve"> </w:t>
      </w:r>
      <w:r w:rsidR="004352DD">
        <w:rPr>
          <w:lang w:val="en-GB"/>
        </w:rPr>
        <w:t xml:space="preserve">have been sufficiently substantiated </w:t>
      </w:r>
      <w:r w:rsidR="001F1088" w:rsidRPr="001F1088">
        <w:rPr>
          <w:lang w:val="en-GB"/>
        </w:rPr>
        <w:t xml:space="preserve">for purposes of admissibility. It </w:t>
      </w:r>
      <w:r w:rsidR="004A2841">
        <w:rPr>
          <w:lang w:val="en-GB"/>
        </w:rPr>
        <w:t xml:space="preserve">therefore </w:t>
      </w:r>
      <w:r w:rsidR="001F1088" w:rsidRPr="001F1088">
        <w:rPr>
          <w:lang w:val="en-GB"/>
        </w:rPr>
        <w:t xml:space="preserve">declares </w:t>
      </w:r>
      <w:r w:rsidR="004A2841">
        <w:rPr>
          <w:lang w:val="en-GB"/>
        </w:rPr>
        <w:t xml:space="preserve">those claims </w:t>
      </w:r>
      <w:r w:rsidR="004352DD">
        <w:rPr>
          <w:lang w:val="en-GB"/>
        </w:rPr>
        <w:t xml:space="preserve">admissible </w:t>
      </w:r>
      <w:r w:rsidR="001F1088" w:rsidRPr="001F1088">
        <w:rPr>
          <w:lang w:val="en-GB"/>
        </w:rPr>
        <w:t xml:space="preserve">and proceeds </w:t>
      </w:r>
      <w:r w:rsidR="004352DD">
        <w:rPr>
          <w:lang w:val="en-GB"/>
        </w:rPr>
        <w:t xml:space="preserve">with the </w:t>
      </w:r>
      <w:r w:rsidR="001F1088" w:rsidRPr="001F1088">
        <w:rPr>
          <w:lang w:val="en-GB"/>
        </w:rPr>
        <w:t>examination o</w:t>
      </w:r>
      <w:r w:rsidR="004A2841">
        <w:rPr>
          <w:lang w:val="en-GB"/>
        </w:rPr>
        <w:t>f</w:t>
      </w:r>
      <w:r w:rsidR="001F1088" w:rsidRPr="001F1088">
        <w:rPr>
          <w:lang w:val="en-GB"/>
        </w:rPr>
        <w:t xml:space="preserve"> the merits.</w:t>
      </w:r>
    </w:p>
    <w:p w14:paraId="4E8A3340" w14:textId="77777777" w:rsidR="00F35149" w:rsidRPr="006C6C87" w:rsidRDefault="00F35149" w:rsidP="00F35149">
      <w:pPr>
        <w:pStyle w:val="H4G"/>
      </w:pPr>
      <w:r w:rsidRPr="006C6C87">
        <w:tab/>
      </w:r>
      <w:r w:rsidRPr="006C6C87">
        <w:tab/>
        <w:t>Consideration of the merits</w:t>
      </w:r>
    </w:p>
    <w:p w14:paraId="26DCFCD0" w14:textId="77777777" w:rsidR="0018481A" w:rsidRDefault="00446ABC" w:rsidP="004A2841">
      <w:pPr>
        <w:pStyle w:val="SingleTxtG"/>
      </w:pPr>
      <w:r w:rsidRPr="0018481A">
        <w:rPr>
          <w:lang w:val="en-GB"/>
        </w:rPr>
        <w:t>7</w:t>
      </w:r>
      <w:r w:rsidR="00F35149" w:rsidRPr="006C6C87">
        <w:t>.</w:t>
      </w:r>
      <w:r w:rsidR="0018481A" w:rsidRPr="0018481A">
        <w:rPr>
          <w:lang w:val="en-GB"/>
        </w:rPr>
        <w:t>1</w:t>
      </w:r>
      <w:r w:rsidR="00F35149" w:rsidRPr="006C6C87">
        <w:tab/>
      </w:r>
      <w:r w:rsidR="0018481A">
        <w:t>The Human Rights Committee has considered the present communication in the light of all the information made available to it by the parties, as required under article 5</w:t>
      </w:r>
      <w:r w:rsidR="004A2841">
        <w:rPr>
          <w:lang w:val="en-US"/>
        </w:rPr>
        <w:t xml:space="preserve"> (</w:t>
      </w:r>
      <w:r w:rsidR="0018481A">
        <w:t>1</w:t>
      </w:r>
      <w:r w:rsidR="004A2841">
        <w:rPr>
          <w:lang w:val="en-US"/>
        </w:rPr>
        <w:t>)</w:t>
      </w:r>
      <w:r w:rsidR="0018481A">
        <w:t xml:space="preserve"> of the Optional Protocol.</w:t>
      </w:r>
    </w:p>
    <w:p w14:paraId="06DB73E2" w14:textId="77777777" w:rsidR="004D1C88" w:rsidRDefault="00F60246" w:rsidP="00164914">
      <w:pPr>
        <w:pStyle w:val="SingleTxtG"/>
        <w:rPr>
          <w:lang w:val="en-GB"/>
        </w:rPr>
      </w:pPr>
      <w:r w:rsidRPr="00CC7A0E">
        <w:rPr>
          <w:lang w:val="en-GB"/>
        </w:rPr>
        <w:t>7.2</w:t>
      </w:r>
      <w:r w:rsidRPr="00CC7A0E">
        <w:rPr>
          <w:lang w:val="en-GB"/>
        </w:rPr>
        <w:tab/>
        <w:t xml:space="preserve">The </w:t>
      </w:r>
      <w:r w:rsidR="004D1C88" w:rsidRPr="00CC7A0E">
        <w:rPr>
          <w:lang w:val="en-GB"/>
        </w:rPr>
        <w:t>Committee notes</w:t>
      </w:r>
      <w:r w:rsidR="007A3B81">
        <w:rPr>
          <w:lang w:val="en-GB"/>
        </w:rPr>
        <w:t>,</w:t>
      </w:r>
      <w:r w:rsidR="004D1C88" w:rsidRPr="00CC7A0E">
        <w:rPr>
          <w:lang w:val="en-GB"/>
        </w:rPr>
        <w:t xml:space="preserve"> first</w:t>
      </w:r>
      <w:r w:rsidR="007A3B81">
        <w:rPr>
          <w:lang w:val="en-GB"/>
        </w:rPr>
        <w:t xml:space="preserve"> of all,</w:t>
      </w:r>
      <w:r w:rsidR="004D1C88" w:rsidRPr="00CC7A0E">
        <w:rPr>
          <w:lang w:val="en-GB"/>
        </w:rPr>
        <w:t xml:space="preserve"> the author’s claim under article 9 of the Covenant that his administrative apprehension</w:t>
      </w:r>
      <w:r w:rsidR="005D5835">
        <w:rPr>
          <w:lang w:val="en-GB"/>
        </w:rPr>
        <w:t>,</w:t>
      </w:r>
      <w:r w:rsidR="004D1C88" w:rsidRPr="00CC7A0E">
        <w:rPr>
          <w:lang w:val="en-GB"/>
        </w:rPr>
        <w:t xml:space="preserve"> which lasted 6 hours and </w:t>
      </w:r>
      <w:r w:rsidR="007A3B81">
        <w:rPr>
          <w:lang w:val="en-GB"/>
        </w:rPr>
        <w:t>30</w:t>
      </w:r>
      <w:r w:rsidR="004D1C88" w:rsidRPr="00CC7A0E">
        <w:rPr>
          <w:lang w:val="en-GB"/>
        </w:rPr>
        <w:t xml:space="preserve"> minutes</w:t>
      </w:r>
      <w:r w:rsidR="005D5835">
        <w:rPr>
          <w:lang w:val="en-GB"/>
        </w:rPr>
        <w:t>,</w:t>
      </w:r>
      <w:r w:rsidR="004D1C88" w:rsidRPr="00CC7A0E">
        <w:rPr>
          <w:lang w:val="en-GB"/>
        </w:rPr>
        <w:t xml:space="preserve"> was never recorded. </w:t>
      </w:r>
      <w:r w:rsidR="007A3B81">
        <w:rPr>
          <w:lang w:val="en-GB"/>
        </w:rPr>
        <w:t>T</w:t>
      </w:r>
      <w:r w:rsidR="004D1C88" w:rsidRPr="00CC7A0E">
        <w:rPr>
          <w:lang w:val="en-GB"/>
        </w:rPr>
        <w:t>he State party submitted th</w:t>
      </w:r>
      <w:r w:rsidR="004D1C88" w:rsidRPr="003E5BA0">
        <w:rPr>
          <w:lang w:val="en-GB"/>
        </w:rPr>
        <w:t>at the author’s apprehension was lawful</w:t>
      </w:r>
      <w:r w:rsidR="007A3B81">
        <w:rPr>
          <w:lang w:val="en-GB"/>
        </w:rPr>
        <w:t xml:space="preserve"> and that it was</w:t>
      </w:r>
      <w:r w:rsidR="004D1C88" w:rsidRPr="003E5BA0">
        <w:rPr>
          <w:lang w:val="en-GB"/>
        </w:rPr>
        <w:t xml:space="preserve"> aimed at </w:t>
      </w:r>
      <w:r w:rsidR="007A3B81">
        <w:rPr>
          <w:lang w:val="en-GB"/>
        </w:rPr>
        <w:t>stopping</w:t>
      </w:r>
      <w:r w:rsidR="004D1C88" w:rsidRPr="003E5BA0">
        <w:rPr>
          <w:lang w:val="en-GB"/>
        </w:rPr>
        <w:t xml:space="preserve"> the meeting which was </w:t>
      </w:r>
      <w:r w:rsidR="007A3B81">
        <w:rPr>
          <w:lang w:val="en-GB"/>
        </w:rPr>
        <w:t>not</w:t>
      </w:r>
      <w:r w:rsidR="004D1C88" w:rsidRPr="003E5BA0">
        <w:rPr>
          <w:lang w:val="en-GB"/>
        </w:rPr>
        <w:t xml:space="preserve"> authori</w:t>
      </w:r>
      <w:r w:rsidR="007A3B81">
        <w:rPr>
          <w:lang w:val="en-GB"/>
        </w:rPr>
        <w:t>zed by</w:t>
      </w:r>
      <w:r w:rsidR="004D1C88" w:rsidRPr="003E5BA0">
        <w:rPr>
          <w:lang w:val="en-GB"/>
        </w:rPr>
        <w:t xml:space="preserve"> the local authorities, identifying </w:t>
      </w:r>
      <w:r w:rsidR="007A3B81">
        <w:rPr>
          <w:lang w:val="en-GB"/>
        </w:rPr>
        <w:t>the participants</w:t>
      </w:r>
      <w:r w:rsidR="004D1C88" w:rsidRPr="003E5BA0">
        <w:rPr>
          <w:lang w:val="en-GB"/>
        </w:rPr>
        <w:t xml:space="preserve"> and preparing an official record against </w:t>
      </w:r>
      <w:r w:rsidR="007A3B81">
        <w:rPr>
          <w:lang w:val="en-GB"/>
        </w:rPr>
        <w:t>them</w:t>
      </w:r>
      <w:r w:rsidR="004D1C88" w:rsidRPr="003E5BA0">
        <w:rPr>
          <w:lang w:val="en-GB"/>
        </w:rPr>
        <w:t>. The Committee notes</w:t>
      </w:r>
      <w:r w:rsidR="00050CBA">
        <w:rPr>
          <w:lang w:val="en-GB"/>
        </w:rPr>
        <w:t xml:space="preserve"> </w:t>
      </w:r>
      <w:r w:rsidR="004D1C88" w:rsidRPr="003E5BA0">
        <w:rPr>
          <w:lang w:val="en-GB"/>
        </w:rPr>
        <w:t xml:space="preserve">that the State party has not refuted the author’s specific claim that his apprehension </w:t>
      </w:r>
      <w:r w:rsidR="005D5835">
        <w:rPr>
          <w:lang w:val="en-GB"/>
        </w:rPr>
        <w:t>was</w:t>
      </w:r>
      <w:r w:rsidR="007A3B81">
        <w:rPr>
          <w:lang w:val="en-GB"/>
        </w:rPr>
        <w:t xml:space="preserve"> not </w:t>
      </w:r>
      <w:r w:rsidR="004D1C88" w:rsidRPr="003E5BA0">
        <w:rPr>
          <w:lang w:val="en-GB"/>
        </w:rPr>
        <w:t xml:space="preserve">recorded. </w:t>
      </w:r>
      <w:r w:rsidR="007A3B81">
        <w:rPr>
          <w:lang w:val="en-GB"/>
        </w:rPr>
        <w:t>The Committee</w:t>
      </w:r>
      <w:r w:rsidR="00050CBA">
        <w:rPr>
          <w:lang w:val="en-GB"/>
        </w:rPr>
        <w:t xml:space="preserve"> recalls that </w:t>
      </w:r>
      <w:r w:rsidR="00050CBA">
        <w:rPr>
          <w:lang w:val="en-CA"/>
        </w:rPr>
        <w:t xml:space="preserve">an arrest or detention may be authorized by domestic law and nonetheless be arbitrary. The notion of “arbitrariness” is not to be equated with </w:t>
      </w:r>
      <w:r w:rsidR="007A3B81">
        <w:rPr>
          <w:lang w:val="en-CA"/>
        </w:rPr>
        <w:t xml:space="preserve">being </w:t>
      </w:r>
      <w:r w:rsidR="00050CBA">
        <w:rPr>
          <w:lang w:val="en-CA"/>
        </w:rPr>
        <w:t>against the law, but must be interpreted more broadly to include elements of inappropriateness, injustice, lack of predictability and due process of law</w:t>
      </w:r>
      <w:r w:rsidR="00050CBA" w:rsidRPr="00B25D50">
        <w:rPr>
          <w:rStyle w:val="FootnoteReference"/>
        </w:rPr>
        <w:footnoteReference w:id="7"/>
      </w:r>
      <w:r w:rsidR="00050CBA">
        <w:rPr>
          <w:lang w:val="en-CA"/>
        </w:rPr>
        <w:t>, as well as elements of reasonableness, necessity and proportionality.</w:t>
      </w:r>
      <w:r w:rsidR="00050CBA" w:rsidRPr="00B25D50">
        <w:rPr>
          <w:rStyle w:val="FootnoteReference"/>
        </w:rPr>
        <w:footnoteReference w:id="8"/>
      </w:r>
      <w:r w:rsidR="00050CBA">
        <w:rPr>
          <w:lang w:val="en-CA"/>
        </w:rPr>
        <w:t xml:space="preserve"> </w:t>
      </w:r>
      <w:r w:rsidR="00050CBA">
        <w:rPr>
          <w:lang w:val="en-GB"/>
        </w:rPr>
        <w:t xml:space="preserve">The Committee notes that the State party failed to demonstrate that </w:t>
      </w:r>
      <w:r w:rsidR="00996051">
        <w:rPr>
          <w:lang w:val="en-GB"/>
        </w:rPr>
        <w:t xml:space="preserve">the </w:t>
      </w:r>
      <w:r w:rsidR="00050CBA">
        <w:rPr>
          <w:lang w:val="en-GB"/>
        </w:rPr>
        <w:t xml:space="preserve">grounds </w:t>
      </w:r>
      <w:r w:rsidR="007A3B81">
        <w:rPr>
          <w:lang w:val="en-GB"/>
        </w:rPr>
        <w:t xml:space="preserve">for the author’s </w:t>
      </w:r>
      <w:r w:rsidR="005D5835">
        <w:rPr>
          <w:lang w:val="en-GB"/>
        </w:rPr>
        <w:t>apprehension</w:t>
      </w:r>
      <w:r w:rsidR="007A3B81">
        <w:rPr>
          <w:lang w:val="en-GB"/>
        </w:rPr>
        <w:t>, namely,</w:t>
      </w:r>
      <w:r w:rsidR="00050CBA">
        <w:rPr>
          <w:lang w:val="en-GB"/>
        </w:rPr>
        <w:t xml:space="preserve"> participation in </w:t>
      </w:r>
      <w:r w:rsidR="007A3B81">
        <w:rPr>
          <w:lang w:val="en-GB"/>
        </w:rPr>
        <w:t>a</w:t>
      </w:r>
      <w:r w:rsidR="00050CBA">
        <w:rPr>
          <w:lang w:val="en-GB"/>
        </w:rPr>
        <w:t xml:space="preserve"> meeting held by </w:t>
      </w:r>
      <w:r w:rsidR="007A3B81">
        <w:rPr>
          <w:lang w:val="en-GB"/>
        </w:rPr>
        <w:t>a</w:t>
      </w:r>
      <w:r w:rsidR="00050CBA">
        <w:rPr>
          <w:lang w:val="en-GB"/>
        </w:rPr>
        <w:t xml:space="preserve"> political party in private premises</w:t>
      </w:r>
      <w:r w:rsidR="007A3B81">
        <w:rPr>
          <w:lang w:val="en-GB"/>
        </w:rPr>
        <w:t>,</w:t>
      </w:r>
      <w:r w:rsidR="00050CBA">
        <w:rPr>
          <w:lang w:val="en-GB"/>
        </w:rPr>
        <w:t xml:space="preserve"> were lawful</w:t>
      </w:r>
      <w:r w:rsidR="00996051">
        <w:rPr>
          <w:lang w:val="en-GB"/>
        </w:rPr>
        <w:t>, necessary and proportionate</w:t>
      </w:r>
      <w:r w:rsidR="00050CBA">
        <w:rPr>
          <w:lang w:val="en-GB"/>
        </w:rPr>
        <w:t xml:space="preserve"> for the purposes of </w:t>
      </w:r>
      <w:r w:rsidR="007A3B81">
        <w:rPr>
          <w:lang w:val="en-GB"/>
        </w:rPr>
        <w:t>a</w:t>
      </w:r>
      <w:r w:rsidR="00050CBA">
        <w:rPr>
          <w:lang w:val="en-GB"/>
        </w:rPr>
        <w:t>rticle 9</w:t>
      </w:r>
      <w:r w:rsidR="007A3B81">
        <w:rPr>
          <w:lang w:val="en-GB"/>
        </w:rPr>
        <w:t xml:space="preserve"> of the Covenant</w:t>
      </w:r>
      <w:r w:rsidR="00050CBA">
        <w:rPr>
          <w:lang w:val="en-GB"/>
        </w:rPr>
        <w:t xml:space="preserve">. </w:t>
      </w:r>
      <w:r w:rsidR="009F49B1">
        <w:rPr>
          <w:lang w:val="en-GB"/>
        </w:rPr>
        <w:t>In particular, t</w:t>
      </w:r>
      <w:r w:rsidR="00960C7F">
        <w:rPr>
          <w:lang w:val="en-GB"/>
        </w:rPr>
        <w:t xml:space="preserve">he State party has not explained why it was necessary to </w:t>
      </w:r>
      <w:r w:rsidR="00D64EC5">
        <w:rPr>
          <w:lang w:val="en-GB" w:bidi="he-IL"/>
        </w:rPr>
        <w:t>detain</w:t>
      </w:r>
      <w:r w:rsidR="007C2A7D">
        <w:rPr>
          <w:lang w:val="en-GB" w:bidi="he-IL"/>
        </w:rPr>
        <w:t xml:space="preserve"> the author</w:t>
      </w:r>
      <w:r w:rsidR="00960C7F">
        <w:rPr>
          <w:lang w:val="en-GB"/>
        </w:rPr>
        <w:t xml:space="preserve"> after h</w:t>
      </w:r>
      <w:r w:rsidR="007A3B81">
        <w:rPr>
          <w:lang w:val="en-GB"/>
        </w:rPr>
        <w:t xml:space="preserve">e had been </w:t>
      </w:r>
      <w:r w:rsidR="00960C7F">
        <w:rPr>
          <w:lang w:val="en-GB"/>
        </w:rPr>
        <w:t>identif</w:t>
      </w:r>
      <w:r w:rsidR="007A3B81">
        <w:rPr>
          <w:lang w:val="en-GB"/>
        </w:rPr>
        <w:t xml:space="preserve">ied </w:t>
      </w:r>
      <w:r w:rsidR="00960C7F">
        <w:rPr>
          <w:lang w:val="en-GB"/>
        </w:rPr>
        <w:t xml:space="preserve">and </w:t>
      </w:r>
      <w:r w:rsidR="007A3B81">
        <w:rPr>
          <w:lang w:val="en-GB"/>
        </w:rPr>
        <w:t xml:space="preserve">after </w:t>
      </w:r>
      <w:r w:rsidR="00960C7F">
        <w:rPr>
          <w:lang w:val="en-GB"/>
        </w:rPr>
        <w:t>the preparation of an official record. The Committee further notes that a person must not be</w:t>
      </w:r>
      <w:r w:rsidR="00BC2D74">
        <w:rPr>
          <w:lang w:val="en-GB"/>
        </w:rPr>
        <w:t xml:space="preserve"> arbitrarily detained because of the exercise of his freedom of expression</w:t>
      </w:r>
      <w:r w:rsidR="00960C7F">
        <w:rPr>
          <w:lang w:val="en-GB"/>
        </w:rPr>
        <w:t>.</w:t>
      </w:r>
      <w:r w:rsidR="00960C7F" w:rsidRPr="00B25D50">
        <w:rPr>
          <w:rStyle w:val="FootnoteReference"/>
        </w:rPr>
        <w:footnoteReference w:id="9"/>
      </w:r>
      <w:r w:rsidR="00960C7F">
        <w:rPr>
          <w:lang w:val="en-GB"/>
        </w:rPr>
        <w:t xml:space="preserve"> </w:t>
      </w:r>
      <w:r w:rsidR="00F01423">
        <w:rPr>
          <w:lang w:val="en-GB"/>
        </w:rPr>
        <w:t>Accordingly, i</w:t>
      </w:r>
      <w:r w:rsidR="004D1C88" w:rsidRPr="003E5BA0">
        <w:rPr>
          <w:lang w:val="en-GB"/>
        </w:rPr>
        <w:t>n the circumstances</w:t>
      </w:r>
      <w:r w:rsidR="00F01423">
        <w:rPr>
          <w:lang w:val="en-GB"/>
        </w:rPr>
        <w:t xml:space="preserve"> </w:t>
      </w:r>
      <w:r w:rsidR="00E41FC2">
        <w:rPr>
          <w:lang w:val="en-GB"/>
        </w:rPr>
        <w:t>described above</w:t>
      </w:r>
      <w:r w:rsidR="004D1C88" w:rsidRPr="003E5BA0">
        <w:rPr>
          <w:lang w:val="en-GB"/>
        </w:rPr>
        <w:t>, and in the absence of any further pertinent information on file, the Committee considers that the author’s rights under article 9</w:t>
      </w:r>
      <w:r w:rsidR="007A3B81">
        <w:rPr>
          <w:lang w:val="en-GB"/>
        </w:rPr>
        <w:t xml:space="preserve"> </w:t>
      </w:r>
      <w:r w:rsidR="004D1C88" w:rsidRPr="003E5BA0">
        <w:rPr>
          <w:lang w:val="en-GB"/>
        </w:rPr>
        <w:t>of the Covenant have been violated.</w:t>
      </w:r>
    </w:p>
    <w:p w14:paraId="2BF9610C" w14:textId="77777777" w:rsidR="00F60246" w:rsidRPr="00F60246" w:rsidRDefault="004D1C88" w:rsidP="001C3A57">
      <w:pPr>
        <w:pStyle w:val="SingleTxtG"/>
        <w:rPr>
          <w:lang w:val="en-GB"/>
        </w:rPr>
      </w:pPr>
      <w:r>
        <w:rPr>
          <w:lang w:val="en-GB"/>
        </w:rPr>
        <w:t>7.3</w:t>
      </w:r>
      <w:r w:rsidR="00CD4D78">
        <w:rPr>
          <w:lang w:val="en-GB"/>
        </w:rPr>
        <w:tab/>
      </w:r>
      <w:r>
        <w:rPr>
          <w:lang w:val="en-GB"/>
        </w:rPr>
        <w:t xml:space="preserve">The </w:t>
      </w:r>
      <w:r w:rsidR="007A3B81">
        <w:rPr>
          <w:lang w:val="en-GB"/>
        </w:rPr>
        <w:t>second</w:t>
      </w:r>
      <w:r>
        <w:rPr>
          <w:lang w:val="en-GB"/>
        </w:rPr>
        <w:t xml:space="preserve"> </w:t>
      </w:r>
      <w:r w:rsidR="00F60246" w:rsidRPr="00F60246">
        <w:rPr>
          <w:lang w:val="en-GB"/>
        </w:rPr>
        <w:t xml:space="preserve">issue before the Committee is whether preventing the author </w:t>
      </w:r>
      <w:r w:rsidR="00B44371">
        <w:rPr>
          <w:lang w:val="en-GB"/>
        </w:rPr>
        <w:t>from</w:t>
      </w:r>
      <w:r w:rsidR="00F60246" w:rsidRPr="00F60246">
        <w:rPr>
          <w:lang w:val="en-GB"/>
        </w:rPr>
        <w:t xml:space="preserve"> participat</w:t>
      </w:r>
      <w:r w:rsidR="00B44371">
        <w:rPr>
          <w:lang w:val="en-GB"/>
        </w:rPr>
        <w:t>ing</w:t>
      </w:r>
      <w:r w:rsidR="00F60246" w:rsidRPr="00F60246">
        <w:rPr>
          <w:lang w:val="en-GB"/>
        </w:rPr>
        <w:t xml:space="preserve"> in a </w:t>
      </w:r>
      <w:r w:rsidR="007A3B81">
        <w:rPr>
          <w:lang w:val="en-GB"/>
        </w:rPr>
        <w:t xml:space="preserve">meeting organized by a </w:t>
      </w:r>
      <w:r w:rsidR="00F60246">
        <w:rPr>
          <w:lang w:val="en-GB"/>
        </w:rPr>
        <w:t>political party</w:t>
      </w:r>
      <w:r w:rsidR="00F60246" w:rsidRPr="00F60246">
        <w:rPr>
          <w:lang w:val="en-GB"/>
        </w:rPr>
        <w:t xml:space="preserve"> in </w:t>
      </w:r>
      <w:r w:rsidR="00271477">
        <w:rPr>
          <w:lang w:val="en-GB"/>
        </w:rPr>
        <w:t xml:space="preserve">the building where </w:t>
      </w:r>
      <w:r w:rsidR="007A3B81">
        <w:rPr>
          <w:lang w:val="en-GB"/>
        </w:rPr>
        <w:t>said</w:t>
      </w:r>
      <w:r w:rsidR="00271477">
        <w:rPr>
          <w:lang w:val="en-GB"/>
        </w:rPr>
        <w:t xml:space="preserve"> party’s office is </w:t>
      </w:r>
      <w:r w:rsidR="007A3B81">
        <w:rPr>
          <w:lang w:val="en-GB"/>
        </w:rPr>
        <w:t>located</w:t>
      </w:r>
      <w:r w:rsidR="004609C2">
        <w:rPr>
          <w:lang w:val="en-GB"/>
        </w:rPr>
        <w:t>,</w:t>
      </w:r>
      <w:r w:rsidR="00F60246" w:rsidRPr="00F60246">
        <w:rPr>
          <w:lang w:val="en-GB"/>
        </w:rPr>
        <w:t xml:space="preserve"> and apprehen</w:t>
      </w:r>
      <w:r w:rsidR="007A3B81">
        <w:rPr>
          <w:lang w:val="en-GB"/>
        </w:rPr>
        <w:t>ding</w:t>
      </w:r>
      <w:r w:rsidR="00F60246" w:rsidRPr="00F60246">
        <w:rPr>
          <w:lang w:val="en-GB"/>
        </w:rPr>
        <w:t xml:space="preserve"> and sentenc</w:t>
      </w:r>
      <w:r w:rsidR="001C3A57">
        <w:rPr>
          <w:lang w:val="en-GB"/>
        </w:rPr>
        <w:t>ing the author</w:t>
      </w:r>
      <w:r w:rsidR="00F60246" w:rsidRPr="00F60246">
        <w:rPr>
          <w:lang w:val="en-GB"/>
        </w:rPr>
        <w:t xml:space="preserve"> to an administrative fine constitute</w:t>
      </w:r>
      <w:r w:rsidR="001C3A57">
        <w:rPr>
          <w:lang w:val="en-GB"/>
        </w:rPr>
        <w:t>s</w:t>
      </w:r>
      <w:r w:rsidR="00F60246" w:rsidRPr="00F60246">
        <w:rPr>
          <w:lang w:val="en-GB"/>
        </w:rPr>
        <w:t xml:space="preserve"> a violation of the author’s rights under articles 19 and 21 of the Covenant. </w:t>
      </w:r>
    </w:p>
    <w:p w14:paraId="190CC8D4" w14:textId="77777777" w:rsidR="00F60246" w:rsidRPr="00F60246" w:rsidRDefault="00F60246" w:rsidP="001C3A57">
      <w:pPr>
        <w:pStyle w:val="SingleTxtG"/>
        <w:rPr>
          <w:lang w:val="en-GB"/>
        </w:rPr>
      </w:pPr>
      <w:r w:rsidRPr="00F60246">
        <w:rPr>
          <w:lang w:val="en-GB"/>
        </w:rPr>
        <w:t>7.</w:t>
      </w:r>
      <w:r w:rsidR="004D1C88">
        <w:rPr>
          <w:lang w:val="en-GB"/>
        </w:rPr>
        <w:t>4</w:t>
      </w:r>
      <w:r w:rsidRPr="00F60246">
        <w:rPr>
          <w:lang w:val="en-GB"/>
        </w:rPr>
        <w:tab/>
      </w:r>
      <w:r w:rsidR="001C3A57">
        <w:rPr>
          <w:lang w:val="en-GB"/>
        </w:rPr>
        <w:t>In that respect, t</w:t>
      </w:r>
      <w:r w:rsidRPr="00F60246">
        <w:rPr>
          <w:lang w:val="en-GB"/>
        </w:rPr>
        <w:t>he Committee recalls that article 19</w:t>
      </w:r>
      <w:r w:rsidR="001C3A57">
        <w:rPr>
          <w:lang w:val="en-GB"/>
        </w:rPr>
        <w:t xml:space="preserve"> (</w:t>
      </w:r>
      <w:r w:rsidRPr="00F60246">
        <w:rPr>
          <w:lang w:val="en-GB"/>
        </w:rPr>
        <w:t>2</w:t>
      </w:r>
      <w:r w:rsidR="001C3A57">
        <w:rPr>
          <w:lang w:val="en-GB"/>
        </w:rPr>
        <w:t>)</w:t>
      </w:r>
      <w:r w:rsidRPr="00F60246">
        <w:rPr>
          <w:lang w:val="en-GB"/>
        </w:rPr>
        <w:t xml:space="preserve"> of the Covenant requires State</w:t>
      </w:r>
      <w:r w:rsidR="001C3A57">
        <w:rPr>
          <w:lang w:val="en-GB"/>
        </w:rPr>
        <w:t>s</w:t>
      </w:r>
      <w:r w:rsidRPr="00F60246">
        <w:rPr>
          <w:lang w:val="en-GB"/>
        </w:rPr>
        <w:t xml:space="preserve"> parties to guarantee the right to freedom of expression, including the freedom to seek, receive and impart information and ideas of all kinds, regardless of frontiers, either orally, in writing or in print. The Committee refers to its general comment No. 34 (2011) on freedoms of opinion and expression, according to which</w:t>
      </w:r>
      <w:r w:rsidR="001C3A57">
        <w:rPr>
          <w:lang w:val="en-GB"/>
        </w:rPr>
        <w:t>,</w:t>
      </w:r>
      <w:r w:rsidRPr="00F60246">
        <w:rPr>
          <w:lang w:val="en-GB"/>
        </w:rPr>
        <w:t xml:space="preserve"> freedom of opinion and freedom of expression are indispensable conditions for the full development of the person. They are </w:t>
      </w:r>
      <w:r w:rsidRPr="00F60246">
        <w:rPr>
          <w:lang w:val="en-GB"/>
        </w:rPr>
        <w:lastRenderedPageBreak/>
        <w:t>essential for any society and constitute the foundation stone for every free and democratic society.</w:t>
      </w:r>
      <w:r w:rsidR="0000397C">
        <w:rPr>
          <w:lang w:val="en-GB"/>
        </w:rPr>
        <w:t xml:space="preserve"> </w:t>
      </w:r>
    </w:p>
    <w:p w14:paraId="1A811AB9" w14:textId="77777777" w:rsidR="00F60246" w:rsidRPr="00F60246" w:rsidRDefault="00F60246" w:rsidP="00164914">
      <w:pPr>
        <w:pStyle w:val="SingleTxtG"/>
        <w:rPr>
          <w:lang w:val="en-GB"/>
        </w:rPr>
      </w:pPr>
      <w:r w:rsidRPr="00F60246">
        <w:rPr>
          <w:lang w:val="en-GB"/>
        </w:rPr>
        <w:t>7.</w:t>
      </w:r>
      <w:r w:rsidR="004D1C88">
        <w:rPr>
          <w:lang w:val="en-GB"/>
        </w:rPr>
        <w:t>5</w:t>
      </w:r>
      <w:r w:rsidRPr="00F60246">
        <w:rPr>
          <w:lang w:val="en-GB"/>
        </w:rPr>
        <w:tab/>
        <w:t>The Committee also notes that the right of peaceful assembly, guaranteed under article 21 of the Covenant, is a fundamental human right, being essential for public expression of one’s views and opinions and it is indispensable in a democratic society.</w:t>
      </w:r>
      <w:r w:rsidR="0000397C">
        <w:rPr>
          <w:lang w:val="en-GB"/>
        </w:rPr>
        <w:t xml:space="preserve"> </w:t>
      </w:r>
      <w:r w:rsidRPr="00F60246">
        <w:rPr>
          <w:lang w:val="en-GB"/>
        </w:rPr>
        <w:t>This right includes the right to organize and participate in a peaceful assembly with the intent</w:t>
      </w:r>
      <w:r w:rsidR="001C3A57">
        <w:rPr>
          <w:lang w:val="en-GB"/>
        </w:rPr>
        <w:t>ion of</w:t>
      </w:r>
      <w:r w:rsidRPr="00F60246">
        <w:rPr>
          <w:lang w:val="en-GB"/>
        </w:rPr>
        <w:t xml:space="preserve"> support</w:t>
      </w:r>
      <w:r w:rsidR="001C3A57">
        <w:rPr>
          <w:lang w:val="en-GB"/>
        </w:rPr>
        <w:t>ing</w:t>
      </w:r>
      <w:r w:rsidRPr="00F60246">
        <w:rPr>
          <w:lang w:val="en-GB"/>
        </w:rPr>
        <w:t xml:space="preserve"> or </w:t>
      </w:r>
      <w:r w:rsidR="001C3A57">
        <w:rPr>
          <w:lang w:val="en-GB"/>
        </w:rPr>
        <w:t xml:space="preserve">expressing </w:t>
      </w:r>
      <w:r w:rsidRPr="00F60246">
        <w:rPr>
          <w:lang w:val="en-GB"/>
        </w:rPr>
        <w:t>disapprov</w:t>
      </w:r>
      <w:r w:rsidR="001C3A57">
        <w:rPr>
          <w:lang w:val="en-GB"/>
        </w:rPr>
        <w:t>al of</w:t>
      </w:r>
      <w:r w:rsidRPr="00F60246">
        <w:rPr>
          <w:lang w:val="en-GB"/>
        </w:rPr>
        <w:t xml:space="preserve"> a particular cause.</w:t>
      </w:r>
    </w:p>
    <w:p w14:paraId="65EAFD67" w14:textId="77777777" w:rsidR="00F60246" w:rsidRPr="00F60246" w:rsidRDefault="00F60246" w:rsidP="00EF306B">
      <w:pPr>
        <w:pStyle w:val="SingleTxtG"/>
        <w:rPr>
          <w:lang w:val="en-GB"/>
        </w:rPr>
      </w:pPr>
      <w:r w:rsidRPr="00F60246">
        <w:rPr>
          <w:lang w:val="en-GB"/>
        </w:rPr>
        <w:t>7.</w:t>
      </w:r>
      <w:r w:rsidR="004D1C88">
        <w:rPr>
          <w:lang w:val="en-GB"/>
        </w:rPr>
        <w:t>6</w:t>
      </w:r>
      <w:r w:rsidRPr="00F60246">
        <w:rPr>
          <w:lang w:val="en-GB"/>
        </w:rPr>
        <w:tab/>
        <w:t>The Committee note</w:t>
      </w:r>
      <w:r w:rsidR="001C3A57">
        <w:rPr>
          <w:lang w:val="en-GB"/>
        </w:rPr>
        <w:t>s</w:t>
      </w:r>
      <w:r w:rsidRPr="00F60246">
        <w:rPr>
          <w:lang w:val="en-GB"/>
        </w:rPr>
        <w:t xml:space="preserve"> </w:t>
      </w:r>
      <w:r w:rsidR="001C3A57">
        <w:rPr>
          <w:lang w:val="en-GB"/>
        </w:rPr>
        <w:t xml:space="preserve">the </w:t>
      </w:r>
      <w:r w:rsidRPr="00F60246">
        <w:rPr>
          <w:lang w:val="en-GB"/>
        </w:rPr>
        <w:t xml:space="preserve">author’s claims that he was </w:t>
      </w:r>
      <w:r w:rsidR="004609C2">
        <w:rPr>
          <w:lang w:val="en-GB"/>
        </w:rPr>
        <w:t xml:space="preserve">apprehended and </w:t>
      </w:r>
      <w:r w:rsidRPr="00F60246">
        <w:rPr>
          <w:lang w:val="en-GB"/>
        </w:rPr>
        <w:t xml:space="preserve">detained </w:t>
      </w:r>
      <w:r w:rsidR="001C3A57">
        <w:rPr>
          <w:lang w:val="en-GB"/>
        </w:rPr>
        <w:t xml:space="preserve">for </w:t>
      </w:r>
      <w:r w:rsidRPr="00F60246">
        <w:rPr>
          <w:lang w:val="en-GB"/>
        </w:rPr>
        <w:t>participatin</w:t>
      </w:r>
      <w:r w:rsidR="001C3A57">
        <w:rPr>
          <w:lang w:val="en-GB"/>
        </w:rPr>
        <w:t>g</w:t>
      </w:r>
      <w:r w:rsidRPr="00F60246">
        <w:rPr>
          <w:lang w:val="en-GB"/>
        </w:rPr>
        <w:t xml:space="preserve"> in a meeting </w:t>
      </w:r>
      <w:r w:rsidR="001C3A57">
        <w:rPr>
          <w:lang w:val="en-GB"/>
        </w:rPr>
        <w:t>organized by</w:t>
      </w:r>
      <w:r w:rsidRPr="00F60246">
        <w:rPr>
          <w:lang w:val="en-GB"/>
        </w:rPr>
        <w:t xml:space="preserve"> a political party and charged </w:t>
      </w:r>
      <w:r w:rsidR="001C3A57">
        <w:rPr>
          <w:lang w:val="en-GB"/>
        </w:rPr>
        <w:t>with</w:t>
      </w:r>
      <w:r w:rsidRPr="00F60246">
        <w:rPr>
          <w:lang w:val="en-GB"/>
        </w:rPr>
        <w:t xml:space="preserve"> committing an administrative offence. </w:t>
      </w:r>
      <w:r w:rsidR="005C112F">
        <w:rPr>
          <w:lang w:val="en-GB"/>
        </w:rPr>
        <w:t>It further notes the author’s argument that he was charged with an administrative offence for participating in a meeting</w:t>
      </w:r>
      <w:r w:rsidR="001C3A57">
        <w:rPr>
          <w:lang w:val="en-GB"/>
        </w:rPr>
        <w:t xml:space="preserve"> organized by an opposition party</w:t>
      </w:r>
      <w:r w:rsidR="005C112F">
        <w:rPr>
          <w:lang w:val="en-GB"/>
        </w:rPr>
        <w:t xml:space="preserve">, punished for expressing political views </w:t>
      </w:r>
      <w:r w:rsidR="001C3A57">
        <w:rPr>
          <w:lang w:val="en-GB"/>
        </w:rPr>
        <w:t xml:space="preserve">considered </w:t>
      </w:r>
      <w:r w:rsidR="005C112F">
        <w:rPr>
          <w:lang w:val="en-GB"/>
        </w:rPr>
        <w:t xml:space="preserve">problematic </w:t>
      </w:r>
      <w:r w:rsidR="001C3A57">
        <w:rPr>
          <w:lang w:val="en-GB"/>
        </w:rPr>
        <w:t>by</w:t>
      </w:r>
      <w:r w:rsidR="005C112F">
        <w:rPr>
          <w:lang w:val="en-GB"/>
        </w:rPr>
        <w:t xml:space="preserve"> the authorities and forced to renounce his civil position, views and expressions. </w:t>
      </w:r>
      <w:r w:rsidRPr="00F60246">
        <w:rPr>
          <w:lang w:val="en-GB"/>
        </w:rPr>
        <w:t xml:space="preserve">The issue before the Committee is to </w:t>
      </w:r>
      <w:r w:rsidR="00EF306B">
        <w:rPr>
          <w:lang w:val="en-GB"/>
        </w:rPr>
        <w:t>decide</w:t>
      </w:r>
      <w:r w:rsidRPr="00F60246">
        <w:rPr>
          <w:lang w:val="en-GB"/>
        </w:rPr>
        <w:t xml:space="preserve"> whether by preventing the author from participating in a meeting under the auspices of a political party, d</w:t>
      </w:r>
      <w:r w:rsidR="0086457A">
        <w:rPr>
          <w:lang w:val="en-GB"/>
        </w:rPr>
        <w:t>etaining him</w:t>
      </w:r>
      <w:r w:rsidR="005C112F">
        <w:rPr>
          <w:lang w:val="en-GB"/>
        </w:rPr>
        <w:t>,</w:t>
      </w:r>
      <w:r w:rsidRPr="00F60246">
        <w:rPr>
          <w:lang w:val="en-GB"/>
        </w:rPr>
        <w:t xml:space="preserve"> charging him with an administrative offen</w:t>
      </w:r>
      <w:r w:rsidR="00EF306B">
        <w:rPr>
          <w:lang w:val="en-GB"/>
        </w:rPr>
        <w:t>c</w:t>
      </w:r>
      <w:r w:rsidRPr="00F60246">
        <w:rPr>
          <w:lang w:val="en-GB"/>
        </w:rPr>
        <w:t>e and subsequently sentencing him to a fine</w:t>
      </w:r>
      <w:r w:rsidR="00EF306B">
        <w:rPr>
          <w:lang w:val="en-GB"/>
        </w:rPr>
        <w:t xml:space="preserve"> the State party</w:t>
      </w:r>
      <w:r w:rsidRPr="00F60246">
        <w:rPr>
          <w:lang w:val="en-GB"/>
        </w:rPr>
        <w:t xml:space="preserve"> has unjustifiably restricted his rights as guaranteed by articles 19 and 21 of the Covenant.</w:t>
      </w:r>
    </w:p>
    <w:p w14:paraId="03083C3A" w14:textId="77777777" w:rsidR="00A11771" w:rsidRDefault="00F60246" w:rsidP="00164914">
      <w:pPr>
        <w:pStyle w:val="SingleTxtG"/>
        <w:rPr>
          <w:lang w:val="en-GB"/>
        </w:rPr>
      </w:pPr>
      <w:r w:rsidRPr="00F60246">
        <w:rPr>
          <w:lang w:val="en-GB"/>
        </w:rPr>
        <w:t>7.</w:t>
      </w:r>
      <w:r w:rsidR="004D1C88">
        <w:rPr>
          <w:lang w:val="en-GB"/>
        </w:rPr>
        <w:t>7</w:t>
      </w:r>
      <w:r w:rsidRPr="00F60246">
        <w:rPr>
          <w:lang w:val="en-GB"/>
        </w:rPr>
        <w:tab/>
        <w:t>The Committee recalls that article 19</w:t>
      </w:r>
      <w:r w:rsidR="00EF306B">
        <w:rPr>
          <w:lang w:val="en-GB"/>
        </w:rPr>
        <w:t xml:space="preserve"> (</w:t>
      </w:r>
      <w:r w:rsidRPr="00F60246">
        <w:rPr>
          <w:lang w:val="en-GB"/>
        </w:rPr>
        <w:t>3</w:t>
      </w:r>
      <w:r w:rsidR="00EF306B">
        <w:rPr>
          <w:lang w:val="en-GB"/>
        </w:rPr>
        <w:t>)</w:t>
      </w:r>
      <w:r w:rsidRPr="00F60246">
        <w:rPr>
          <w:lang w:val="en-GB"/>
        </w:rPr>
        <w:t xml:space="preserve"> of the Covenant allows certain restrictions, but only as provided by law and necessary: (a) for respect of the rights or reputation of others; or (b) for the protection of national security or of public order (ordre public), or of public health or morals. </w:t>
      </w:r>
      <w:r w:rsidR="00EF306B">
        <w:rPr>
          <w:lang w:val="en-GB"/>
        </w:rPr>
        <w:t>The Committee</w:t>
      </w:r>
      <w:r w:rsidRPr="00F60246">
        <w:rPr>
          <w:lang w:val="en-GB"/>
        </w:rPr>
        <w:t xml:space="preserve"> observes that any restrictions on the exercise of the rights </w:t>
      </w:r>
      <w:r w:rsidR="004609C2">
        <w:rPr>
          <w:lang w:val="en-GB"/>
        </w:rPr>
        <w:t>under</w:t>
      </w:r>
      <w:r w:rsidRPr="00F60246">
        <w:rPr>
          <w:lang w:val="en-GB"/>
        </w:rPr>
        <w:t xml:space="preserve"> article 19</w:t>
      </w:r>
      <w:r w:rsidR="00EF306B">
        <w:rPr>
          <w:lang w:val="en-GB"/>
        </w:rPr>
        <w:t xml:space="preserve"> (</w:t>
      </w:r>
      <w:r w:rsidRPr="00F60246">
        <w:rPr>
          <w:lang w:val="en-GB"/>
        </w:rPr>
        <w:t>2</w:t>
      </w:r>
      <w:r w:rsidR="00EF306B">
        <w:rPr>
          <w:lang w:val="en-GB"/>
        </w:rPr>
        <w:t>)</w:t>
      </w:r>
      <w:r w:rsidRPr="00F60246">
        <w:rPr>
          <w:lang w:val="en-GB"/>
        </w:rPr>
        <w:t xml:space="preserve"> must conform to the strict test of necessity and proportionality and must be directly related to the specific need on which they are predicated.</w:t>
      </w:r>
      <w:r w:rsidR="0000397C">
        <w:rPr>
          <w:lang w:val="en-GB"/>
        </w:rPr>
        <w:t xml:space="preserve"> </w:t>
      </w:r>
    </w:p>
    <w:p w14:paraId="6DFB2E72" w14:textId="77777777" w:rsidR="002E1860" w:rsidRPr="002E1860" w:rsidRDefault="00A11771" w:rsidP="00EF306B">
      <w:pPr>
        <w:pStyle w:val="SingleTxtG"/>
        <w:rPr>
          <w:lang w:val="en-GB"/>
        </w:rPr>
      </w:pPr>
      <w:r>
        <w:rPr>
          <w:lang w:val="en-GB"/>
        </w:rPr>
        <w:t>7.</w:t>
      </w:r>
      <w:r w:rsidR="004D1C88">
        <w:rPr>
          <w:lang w:val="en-GB"/>
        </w:rPr>
        <w:t>8</w:t>
      </w:r>
      <w:r>
        <w:rPr>
          <w:lang w:val="en-GB"/>
        </w:rPr>
        <w:tab/>
      </w:r>
      <w:r w:rsidR="00F60246" w:rsidRPr="00F60246">
        <w:rPr>
          <w:lang w:val="en-GB"/>
        </w:rPr>
        <w:t>The Committee further notes that no restrictions may be placed on the right</w:t>
      </w:r>
      <w:r w:rsidR="00EF306B">
        <w:rPr>
          <w:lang w:val="en-GB"/>
        </w:rPr>
        <w:t xml:space="preserve"> of peaceful assembly</w:t>
      </w:r>
      <w:r w:rsidR="00F60246" w:rsidRPr="00F60246">
        <w:rPr>
          <w:lang w:val="en-GB"/>
        </w:rPr>
        <w:t xml:space="preserve"> </w:t>
      </w:r>
      <w:r w:rsidR="004609C2">
        <w:rPr>
          <w:lang w:val="en-GB"/>
        </w:rPr>
        <w:t xml:space="preserve">that is </w:t>
      </w:r>
      <w:r w:rsidR="00F60246" w:rsidRPr="00F60246">
        <w:rPr>
          <w:lang w:val="en-GB"/>
        </w:rPr>
        <w:t xml:space="preserve">guaranteed under article 21 other than those imposed in conformity with the law and which are necessary in a democratic society in the interests of national security or public safety, public order (ordre public), the protection of public health or morals or the protection of the rights and freedoms of others. </w:t>
      </w:r>
      <w:r w:rsidR="002E1860" w:rsidRPr="002E1860">
        <w:rPr>
          <w:lang w:val="en-GB"/>
        </w:rPr>
        <w:t xml:space="preserve">When a State party imposes restrictions with the aim of reconciling an individual’s right to assembly and the aforementioned interests of general concern, it should be guided by the objective </w:t>
      </w:r>
      <w:r w:rsidR="00EF306B">
        <w:rPr>
          <w:lang w:val="en-GB"/>
        </w:rPr>
        <w:t>of</w:t>
      </w:r>
      <w:r w:rsidR="002E1860" w:rsidRPr="002E1860">
        <w:rPr>
          <w:lang w:val="en-GB"/>
        </w:rPr>
        <w:t xml:space="preserve"> facilitat</w:t>
      </w:r>
      <w:r w:rsidR="00EF306B">
        <w:rPr>
          <w:lang w:val="en-GB"/>
        </w:rPr>
        <w:t>ing</w:t>
      </w:r>
      <w:r w:rsidR="002E1860" w:rsidRPr="002E1860">
        <w:rPr>
          <w:lang w:val="en-GB"/>
        </w:rPr>
        <w:t xml:space="preserve"> the right, rather than seeking unnecessary or disproportionate limitations to it. The State party is thus under the obligation to justify the limitation of the right protected by article 21 of the Covenant.</w:t>
      </w:r>
      <w:r w:rsidR="002E1860" w:rsidRPr="00B25D50">
        <w:rPr>
          <w:rStyle w:val="FootnoteReference"/>
        </w:rPr>
        <w:footnoteReference w:id="10"/>
      </w:r>
    </w:p>
    <w:p w14:paraId="5831C027" w14:textId="77777777" w:rsidR="00F60246" w:rsidRPr="00F60246" w:rsidRDefault="00F60246" w:rsidP="00164914">
      <w:pPr>
        <w:pStyle w:val="SingleTxtG"/>
        <w:rPr>
          <w:lang w:val="en-GB"/>
        </w:rPr>
      </w:pPr>
      <w:r w:rsidRPr="00F60246">
        <w:rPr>
          <w:lang w:val="en-GB"/>
        </w:rPr>
        <w:t>7.</w:t>
      </w:r>
      <w:r w:rsidR="004D1C88">
        <w:rPr>
          <w:lang w:val="en-GB"/>
        </w:rPr>
        <w:t>9</w:t>
      </w:r>
      <w:r w:rsidRPr="00F60246">
        <w:rPr>
          <w:lang w:val="en-GB"/>
        </w:rPr>
        <w:tab/>
        <w:t xml:space="preserve">The Committee notes the State party’s argument that the author was </w:t>
      </w:r>
      <w:r w:rsidR="005C112F">
        <w:rPr>
          <w:lang w:val="en-GB"/>
        </w:rPr>
        <w:t xml:space="preserve">apprehended </w:t>
      </w:r>
      <w:r w:rsidRPr="00F60246">
        <w:rPr>
          <w:lang w:val="en-GB"/>
        </w:rPr>
        <w:t xml:space="preserve">because he was participating in an unauthorized gathering, in violation of the </w:t>
      </w:r>
      <w:r w:rsidR="00A11771">
        <w:rPr>
          <w:lang w:val="en-GB"/>
        </w:rPr>
        <w:t>C</w:t>
      </w:r>
      <w:r w:rsidRPr="00F60246">
        <w:rPr>
          <w:lang w:val="en-GB"/>
        </w:rPr>
        <w:t xml:space="preserve">ode </w:t>
      </w:r>
      <w:r w:rsidR="004609C2">
        <w:rPr>
          <w:lang w:val="en-GB"/>
        </w:rPr>
        <w:t>regarding</w:t>
      </w:r>
      <w:r w:rsidRPr="00F60246">
        <w:rPr>
          <w:lang w:val="en-GB"/>
        </w:rPr>
        <w:t xml:space="preserve"> </w:t>
      </w:r>
      <w:r w:rsidR="004609C2">
        <w:rPr>
          <w:lang w:val="en-GB"/>
        </w:rPr>
        <w:t>a</w:t>
      </w:r>
      <w:r w:rsidRPr="00F60246">
        <w:rPr>
          <w:lang w:val="en-GB"/>
        </w:rPr>
        <w:t xml:space="preserve">dministrative </w:t>
      </w:r>
      <w:r w:rsidR="004609C2">
        <w:rPr>
          <w:lang w:val="en-GB"/>
        </w:rPr>
        <w:t>o</w:t>
      </w:r>
      <w:r w:rsidRPr="00F60246">
        <w:rPr>
          <w:lang w:val="en-GB"/>
        </w:rPr>
        <w:t xml:space="preserve">ffences, and that the actions by the police officers to put an end to the unauthorized event were justified since the organizers had not obtained authorization beforehand. </w:t>
      </w:r>
      <w:r w:rsidR="00EF306B">
        <w:rPr>
          <w:lang w:val="en-GB"/>
        </w:rPr>
        <w:t>However, the Committee</w:t>
      </w:r>
      <w:r w:rsidRPr="00F60246">
        <w:rPr>
          <w:lang w:val="en-GB"/>
        </w:rPr>
        <w:t xml:space="preserve"> also notes that the State party failed to demonstrate that </w:t>
      </w:r>
      <w:r w:rsidR="00A11771">
        <w:rPr>
          <w:lang w:val="en-GB"/>
        </w:rPr>
        <w:t>apprehen</w:t>
      </w:r>
      <w:r w:rsidR="00C15FAA">
        <w:rPr>
          <w:lang w:val="en-GB"/>
        </w:rPr>
        <w:t>ding</w:t>
      </w:r>
      <w:r w:rsidR="00A11771">
        <w:rPr>
          <w:lang w:val="en-GB"/>
        </w:rPr>
        <w:t xml:space="preserve"> </w:t>
      </w:r>
      <w:r w:rsidRPr="00F60246">
        <w:rPr>
          <w:lang w:val="en-GB"/>
        </w:rPr>
        <w:t>and fin</w:t>
      </w:r>
      <w:r w:rsidR="005C112F">
        <w:rPr>
          <w:lang w:val="en-GB"/>
        </w:rPr>
        <w:t>ing</w:t>
      </w:r>
      <w:r w:rsidR="00C15FAA">
        <w:rPr>
          <w:lang w:val="en-GB"/>
        </w:rPr>
        <w:t xml:space="preserve"> the author</w:t>
      </w:r>
      <w:r w:rsidRPr="00F60246">
        <w:rPr>
          <w:lang w:val="en-GB"/>
        </w:rPr>
        <w:t>, even if based on law, were necessary for one of the legitimate purposes of article 19</w:t>
      </w:r>
      <w:r w:rsidR="00C15FAA">
        <w:rPr>
          <w:lang w:val="en-GB"/>
        </w:rPr>
        <w:t xml:space="preserve"> (</w:t>
      </w:r>
      <w:r w:rsidRPr="00F60246">
        <w:rPr>
          <w:lang w:val="en-GB"/>
        </w:rPr>
        <w:t>3</w:t>
      </w:r>
      <w:r w:rsidR="00C15FAA">
        <w:rPr>
          <w:lang w:val="en-GB"/>
        </w:rPr>
        <w:t>)</w:t>
      </w:r>
      <w:r w:rsidRPr="00F60246">
        <w:rPr>
          <w:lang w:val="en-GB"/>
        </w:rPr>
        <w:t xml:space="preserve"> of the Covenant. The State party further failed to justify why </w:t>
      </w:r>
      <w:r w:rsidR="004609C2">
        <w:rPr>
          <w:lang w:val="en-GB"/>
        </w:rPr>
        <w:t xml:space="preserve">an </w:t>
      </w:r>
      <w:r w:rsidRPr="00F60246">
        <w:rPr>
          <w:lang w:val="en-GB"/>
        </w:rPr>
        <w:t xml:space="preserve">authorization was needed </w:t>
      </w:r>
      <w:r w:rsidR="00C15FAA">
        <w:rPr>
          <w:lang w:val="en-GB"/>
        </w:rPr>
        <w:t>to</w:t>
      </w:r>
      <w:r w:rsidRPr="00F60246">
        <w:rPr>
          <w:lang w:val="en-GB"/>
        </w:rPr>
        <w:t xml:space="preserve"> hold a meeting in a private space rented by the political party. In th</w:t>
      </w:r>
      <w:r w:rsidR="00C15FAA">
        <w:rPr>
          <w:lang w:val="en-GB"/>
        </w:rPr>
        <w:t>at</w:t>
      </w:r>
      <w:r w:rsidRPr="00F60246">
        <w:rPr>
          <w:lang w:val="en-GB"/>
        </w:rPr>
        <w:t xml:space="preserve"> connection, the Committee recalls that it is </w:t>
      </w:r>
      <w:r w:rsidR="004609C2">
        <w:rPr>
          <w:lang w:val="en-GB"/>
        </w:rPr>
        <w:t>up to</w:t>
      </w:r>
      <w:r w:rsidRPr="00F60246">
        <w:rPr>
          <w:lang w:val="en-GB"/>
        </w:rPr>
        <w:t xml:space="preserve"> the State party to demonstrate that the restrictions imposed were necessary in the case in question.</w:t>
      </w:r>
      <w:r w:rsidR="0000397C">
        <w:rPr>
          <w:lang w:val="en-GB"/>
        </w:rPr>
        <w:t xml:space="preserve"> </w:t>
      </w:r>
    </w:p>
    <w:p w14:paraId="07A588F0" w14:textId="77777777" w:rsidR="00F60246" w:rsidRDefault="00F60246" w:rsidP="00245A73">
      <w:pPr>
        <w:pStyle w:val="SingleTxtG"/>
        <w:rPr>
          <w:lang w:val="en-GB"/>
        </w:rPr>
      </w:pPr>
      <w:r w:rsidRPr="00F60246">
        <w:rPr>
          <w:lang w:val="en-GB"/>
        </w:rPr>
        <w:t>7.</w:t>
      </w:r>
      <w:r w:rsidR="004D1C88">
        <w:rPr>
          <w:lang w:val="en-GB"/>
        </w:rPr>
        <w:t>10</w:t>
      </w:r>
      <w:r w:rsidRPr="00F60246">
        <w:rPr>
          <w:lang w:val="en-GB"/>
        </w:rPr>
        <w:tab/>
        <w:t>In the circumstances described above and in the absence of any other pertinent information from the State party to justify the restriction for purposes of article 19</w:t>
      </w:r>
      <w:r w:rsidR="00C15FAA">
        <w:rPr>
          <w:lang w:val="en-GB"/>
        </w:rPr>
        <w:t xml:space="preserve"> (</w:t>
      </w:r>
      <w:r w:rsidRPr="00F60246">
        <w:rPr>
          <w:lang w:val="en-GB"/>
        </w:rPr>
        <w:t>3</w:t>
      </w:r>
      <w:r w:rsidR="00C15FAA">
        <w:rPr>
          <w:lang w:val="en-GB"/>
        </w:rPr>
        <w:t>)</w:t>
      </w:r>
      <w:r w:rsidRPr="00F60246">
        <w:rPr>
          <w:lang w:val="en-GB"/>
        </w:rPr>
        <w:t xml:space="preserve"> </w:t>
      </w:r>
      <w:r w:rsidR="00C15FAA">
        <w:rPr>
          <w:lang w:val="en-GB"/>
        </w:rPr>
        <w:t xml:space="preserve">of the Covenant, </w:t>
      </w:r>
      <w:r w:rsidRPr="00F60246">
        <w:rPr>
          <w:lang w:val="en-GB"/>
        </w:rPr>
        <w:t xml:space="preserve">the Committee concludes that the </w:t>
      </w:r>
      <w:r w:rsidR="00C15FAA" w:rsidRPr="00F60246">
        <w:rPr>
          <w:lang w:val="en-GB"/>
        </w:rPr>
        <w:t>autho</w:t>
      </w:r>
      <w:r w:rsidR="00C15FAA">
        <w:rPr>
          <w:lang w:val="en-GB"/>
        </w:rPr>
        <w:t>r’</w:t>
      </w:r>
      <w:r w:rsidR="00C15FAA" w:rsidRPr="00F60246">
        <w:rPr>
          <w:lang w:val="en-GB"/>
        </w:rPr>
        <w:t xml:space="preserve">s </w:t>
      </w:r>
      <w:r w:rsidRPr="00F60246">
        <w:rPr>
          <w:lang w:val="en-GB"/>
        </w:rPr>
        <w:t>rights under article 19</w:t>
      </w:r>
      <w:r w:rsidR="00C15FAA">
        <w:rPr>
          <w:lang w:val="en-GB"/>
        </w:rPr>
        <w:t xml:space="preserve"> (</w:t>
      </w:r>
      <w:r w:rsidRPr="00F60246">
        <w:rPr>
          <w:lang w:val="en-GB"/>
        </w:rPr>
        <w:t>2</w:t>
      </w:r>
      <w:r w:rsidR="00C15FAA">
        <w:rPr>
          <w:lang w:val="en-GB"/>
        </w:rPr>
        <w:t>)</w:t>
      </w:r>
      <w:r w:rsidRPr="00F60246">
        <w:rPr>
          <w:lang w:val="en-GB"/>
        </w:rPr>
        <w:t xml:space="preserve"> of the </w:t>
      </w:r>
      <w:r w:rsidRPr="00F60246">
        <w:rPr>
          <w:lang w:val="en-GB"/>
        </w:rPr>
        <w:lastRenderedPageBreak/>
        <w:t xml:space="preserve">Covenant </w:t>
      </w:r>
      <w:r w:rsidR="00245A73">
        <w:rPr>
          <w:lang w:val="en-GB"/>
        </w:rPr>
        <w:t>have been</w:t>
      </w:r>
      <w:r w:rsidRPr="00F60246">
        <w:rPr>
          <w:lang w:val="en-GB"/>
        </w:rPr>
        <w:t xml:space="preserve"> violated. </w:t>
      </w:r>
      <w:r w:rsidR="00245A73">
        <w:rPr>
          <w:lang w:val="en-GB"/>
        </w:rPr>
        <w:t xml:space="preserve">Likewise, in </w:t>
      </w:r>
      <w:r w:rsidRPr="00F60246">
        <w:rPr>
          <w:lang w:val="en-GB"/>
        </w:rPr>
        <w:t xml:space="preserve">the absence of any pertinent information from the State party to justify </w:t>
      </w:r>
      <w:r w:rsidR="00245A73">
        <w:rPr>
          <w:lang w:val="en-GB"/>
        </w:rPr>
        <w:t xml:space="preserve">the </w:t>
      </w:r>
      <w:r w:rsidRPr="00F60246">
        <w:rPr>
          <w:lang w:val="en-GB"/>
        </w:rPr>
        <w:t xml:space="preserve">restrictions </w:t>
      </w:r>
      <w:r w:rsidR="00245A73">
        <w:rPr>
          <w:lang w:val="en-GB"/>
        </w:rPr>
        <w:t>imposed contrary to the provisions of</w:t>
      </w:r>
      <w:r w:rsidRPr="00F60246">
        <w:rPr>
          <w:lang w:val="en-GB"/>
        </w:rPr>
        <w:t xml:space="preserve"> article 21</w:t>
      </w:r>
      <w:r w:rsidR="00245A73">
        <w:rPr>
          <w:lang w:val="en-GB"/>
        </w:rPr>
        <w:t xml:space="preserve"> of the Covenant</w:t>
      </w:r>
      <w:r w:rsidRPr="00F60246">
        <w:rPr>
          <w:lang w:val="en-GB"/>
        </w:rPr>
        <w:t>, the Committee concludes that the author’s rights under article 21 of the Covenant have been violated.</w:t>
      </w:r>
    </w:p>
    <w:p w14:paraId="748320D2" w14:textId="77777777" w:rsidR="009C3FF1" w:rsidRDefault="00FD1D08" w:rsidP="00245A73">
      <w:pPr>
        <w:pStyle w:val="SingleTxtG"/>
        <w:rPr>
          <w:lang w:val="en-GB"/>
        </w:rPr>
      </w:pPr>
      <w:r>
        <w:rPr>
          <w:lang w:val="en-GB"/>
        </w:rPr>
        <w:t>8.</w:t>
      </w:r>
      <w:r w:rsidR="00C00847" w:rsidRPr="00054DCF">
        <w:rPr>
          <w:lang w:val="en-GB"/>
        </w:rPr>
        <w:tab/>
        <w:t>The Human Rights Committee, acting under article 5</w:t>
      </w:r>
      <w:r w:rsidR="00245A73">
        <w:rPr>
          <w:lang w:val="en-GB"/>
        </w:rPr>
        <w:t xml:space="preserve"> (</w:t>
      </w:r>
      <w:r w:rsidR="00C00847" w:rsidRPr="00054DCF">
        <w:rPr>
          <w:lang w:val="en-GB"/>
        </w:rPr>
        <w:t>4</w:t>
      </w:r>
      <w:r w:rsidR="00245A73">
        <w:rPr>
          <w:lang w:val="en-GB"/>
        </w:rPr>
        <w:t>)</w:t>
      </w:r>
      <w:r w:rsidR="00C00847" w:rsidRPr="00054DCF">
        <w:rPr>
          <w:lang w:val="en-GB"/>
        </w:rPr>
        <w:t xml:space="preserve"> of the Optional Protocol to the International Covenant on Civil and Political Rights, is of the view that the State party has violated the author’</w:t>
      </w:r>
      <w:r w:rsidR="00245A73">
        <w:rPr>
          <w:lang w:val="en-GB"/>
        </w:rPr>
        <w:t>s</w:t>
      </w:r>
      <w:r w:rsidR="00C00847" w:rsidRPr="00054DCF">
        <w:rPr>
          <w:lang w:val="en-GB"/>
        </w:rPr>
        <w:t xml:space="preserve"> rights under article</w:t>
      </w:r>
      <w:r w:rsidR="00245A73">
        <w:rPr>
          <w:lang w:val="en-GB"/>
        </w:rPr>
        <w:t>s</w:t>
      </w:r>
      <w:r w:rsidR="00C00847" w:rsidRPr="00054DCF">
        <w:rPr>
          <w:lang w:val="en-GB"/>
        </w:rPr>
        <w:t xml:space="preserve"> </w:t>
      </w:r>
      <w:r w:rsidR="00D2481C">
        <w:rPr>
          <w:lang w:val="en-GB"/>
        </w:rPr>
        <w:t xml:space="preserve">9, </w:t>
      </w:r>
      <w:r w:rsidR="002E1860">
        <w:rPr>
          <w:lang w:val="en-GB"/>
        </w:rPr>
        <w:t>19</w:t>
      </w:r>
      <w:r w:rsidR="00245A73">
        <w:rPr>
          <w:lang w:val="en-GB"/>
        </w:rPr>
        <w:t xml:space="preserve"> (</w:t>
      </w:r>
      <w:r w:rsidR="002E1860">
        <w:rPr>
          <w:lang w:val="en-GB"/>
        </w:rPr>
        <w:t>2</w:t>
      </w:r>
      <w:r w:rsidR="00245A73">
        <w:rPr>
          <w:lang w:val="en-GB"/>
        </w:rPr>
        <w:t>)</w:t>
      </w:r>
      <w:r w:rsidR="002E1860">
        <w:rPr>
          <w:lang w:val="en-GB"/>
        </w:rPr>
        <w:t xml:space="preserve"> and </w:t>
      </w:r>
      <w:r w:rsidR="00C00847" w:rsidRPr="00054DCF">
        <w:rPr>
          <w:lang w:val="en-GB"/>
        </w:rPr>
        <w:t xml:space="preserve">21 of the International Covenant on Civil and Political Rights. </w:t>
      </w:r>
    </w:p>
    <w:p w14:paraId="658F1CFC" w14:textId="77777777" w:rsidR="00D2481C" w:rsidRPr="00D2481C" w:rsidRDefault="002E1860" w:rsidP="00164914">
      <w:pPr>
        <w:pStyle w:val="SingleTxtG"/>
        <w:rPr>
          <w:lang w:val="en-GB"/>
        </w:rPr>
      </w:pPr>
      <w:r>
        <w:rPr>
          <w:lang w:val="en-GB"/>
        </w:rPr>
        <w:t>9</w:t>
      </w:r>
      <w:r w:rsidR="00C00847" w:rsidRPr="00C00847">
        <w:rPr>
          <w:lang w:val="en-GB"/>
        </w:rPr>
        <w:t>.</w:t>
      </w:r>
      <w:r w:rsidR="00C00847" w:rsidRPr="00C00847">
        <w:rPr>
          <w:lang w:val="en-GB"/>
        </w:rPr>
        <w:tab/>
        <w:t>In accordance with article 2</w:t>
      </w:r>
      <w:r w:rsidR="00245A73">
        <w:rPr>
          <w:lang w:val="en-GB"/>
        </w:rPr>
        <w:t xml:space="preserve"> (</w:t>
      </w:r>
      <w:r w:rsidR="00C00847" w:rsidRPr="00C00847">
        <w:rPr>
          <w:lang w:val="en-GB"/>
        </w:rPr>
        <w:t>3</w:t>
      </w:r>
      <w:r w:rsidR="00245A73">
        <w:rPr>
          <w:lang w:val="en-GB"/>
        </w:rPr>
        <w:t>)</w:t>
      </w:r>
      <w:r w:rsidR="00C00847" w:rsidRPr="00C00847">
        <w:rPr>
          <w:lang w:val="en-GB"/>
        </w:rPr>
        <w:t xml:space="preserve"> (a) of the Covenant, the State party is under an obligation to provide </w:t>
      </w:r>
      <w:r w:rsidR="00C50D9F">
        <w:rPr>
          <w:lang w:val="en-GB"/>
        </w:rPr>
        <w:t xml:space="preserve">Yuriy Bakur, </w:t>
      </w:r>
      <w:r w:rsidR="00C00847" w:rsidRPr="00C00847">
        <w:rPr>
          <w:lang w:val="en-GB"/>
        </w:rPr>
        <w:t>the author</w:t>
      </w:r>
      <w:r w:rsidR="00C50D9F">
        <w:rPr>
          <w:lang w:val="en-GB"/>
        </w:rPr>
        <w:t xml:space="preserve"> of the present communication,</w:t>
      </w:r>
      <w:r w:rsidR="00C00847" w:rsidRPr="00C00847">
        <w:rPr>
          <w:lang w:val="en-GB"/>
        </w:rPr>
        <w:t xml:space="preserve"> with an effective remedy, including </w:t>
      </w:r>
      <w:r w:rsidR="00665EB7">
        <w:rPr>
          <w:lang w:val="en-GB"/>
        </w:rPr>
        <w:t>reimburs</w:t>
      </w:r>
      <w:r w:rsidR="00271477">
        <w:rPr>
          <w:lang w:val="en-GB"/>
        </w:rPr>
        <w:t>ement of</w:t>
      </w:r>
      <w:r w:rsidR="00665EB7">
        <w:rPr>
          <w:lang w:val="en-GB"/>
        </w:rPr>
        <w:t xml:space="preserve"> the </w:t>
      </w:r>
      <w:r w:rsidR="00245A73">
        <w:rPr>
          <w:lang w:val="en-GB"/>
        </w:rPr>
        <w:t>amount</w:t>
      </w:r>
      <w:r w:rsidR="00665EB7">
        <w:rPr>
          <w:lang w:val="en-GB"/>
        </w:rPr>
        <w:t xml:space="preserve"> of the fine </w:t>
      </w:r>
      <w:r w:rsidR="0086457A">
        <w:rPr>
          <w:lang w:val="en-GB"/>
        </w:rPr>
        <w:t xml:space="preserve">and </w:t>
      </w:r>
      <w:r w:rsidR="00C00847" w:rsidRPr="00C00847">
        <w:rPr>
          <w:lang w:val="en-GB"/>
        </w:rPr>
        <w:t xml:space="preserve">of any legal costs incurred by </w:t>
      </w:r>
      <w:r w:rsidR="004609C2">
        <w:rPr>
          <w:lang w:val="en-GB"/>
        </w:rPr>
        <w:t>him</w:t>
      </w:r>
      <w:r w:rsidR="00C00847" w:rsidRPr="00C00847">
        <w:rPr>
          <w:lang w:val="en-GB"/>
        </w:rPr>
        <w:t xml:space="preserve">, </w:t>
      </w:r>
      <w:r w:rsidR="00245A73">
        <w:rPr>
          <w:lang w:val="en-GB"/>
        </w:rPr>
        <w:t>as well as</w:t>
      </w:r>
      <w:r w:rsidR="00B36917">
        <w:rPr>
          <w:lang w:val="en-GB"/>
        </w:rPr>
        <w:t xml:space="preserve"> an</w:t>
      </w:r>
      <w:r w:rsidR="00C00847" w:rsidRPr="00C00847">
        <w:rPr>
          <w:lang w:val="en-GB"/>
        </w:rPr>
        <w:t xml:space="preserve"> </w:t>
      </w:r>
      <w:r w:rsidR="00D2481C">
        <w:rPr>
          <w:lang w:val="en-GB"/>
        </w:rPr>
        <w:t xml:space="preserve">adequate </w:t>
      </w:r>
      <w:r w:rsidR="00C00847" w:rsidRPr="00C00847">
        <w:rPr>
          <w:lang w:val="en-GB"/>
        </w:rPr>
        <w:t>compensation. The State party is also under the obligation to take steps to prevent similar violations in the future.</w:t>
      </w:r>
      <w:r w:rsidR="00D2481C" w:rsidRPr="00D2481C">
        <w:rPr>
          <w:lang w:val="en-GB"/>
        </w:rPr>
        <w:t xml:space="preserve"> In th</w:t>
      </w:r>
      <w:r w:rsidR="00245A73">
        <w:rPr>
          <w:lang w:val="en-GB"/>
        </w:rPr>
        <w:t>at</w:t>
      </w:r>
      <w:r w:rsidR="00D2481C" w:rsidRPr="00D2481C">
        <w:rPr>
          <w:lang w:val="en-GB"/>
        </w:rPr>
        <w:t xml:space="preserve"> connection, the Committee reiterates that the State party should review its legislation, in particular the Law on Mass Events of 30 December 1997.</w:t>
      </w:r>
      <w:r w:rsidR="00D2481C" w:rsidRPr="00B25D50">
        <w:rPr>
          <w:rStyle w:val="FootnoteReference"/>
        </w:rPr>
        <w:footnoteReference w:id="11"/>
      </w:r>
    </w:p>
    <w:p w14:paraId="3E57E3C3" w14:textId="77777777" w:rsidR="00C00847" w:rsidRPr="00C00847" w:rsidRDefault="00C00847" w:rsidP="00063C87">
      <w:pPr>
        <w:pStyle w:val="SingleTxtG"/>
        <w:rPr>
          <w:lang w:val="en-GB"/>
        </w:rPr>
      </w:pPr>
      <w:r w:rsidRPr="00C00847">
        <w:rPr>
          <w:lang w:val="en-GB"/>
        </w:rPr>
        <w:t>1</w:t>
      </w:r>
      <w:r w:rsidR="002E1860">
        <w:rPr>
          <w:lang w:val="en-GB"/>
        </w:rPr>
        <w:t>0</w:t>
      </w:r>
      <w:r w:rsidRPr="00C00847">
        <w:rPr>
          <w:lang w:val="en-GB"/>
        </w:rPr>
        <w:t>.</w:t>
      </w:r>
      <w:r w:rsidRPr="00C00847">
        <w:rPr>
          <w:lang w:val="en-GB"/>
        </w:rPr>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14:paraId="4CC97F1D" w14:textId="77777777" w:rsidR="00F35149" w:rsidRPr="00B40914" w:rsidRDefault="00F35149" w:rsidP="00F35149">
      <w:pPr>
        <w:pStyle w:val="SingleTxtG"/>
        <w:spacing w:before="240" w:after="0"/>
        <w:jc w:val="center"/>
        <w:rPr>
          <w:u w:val="single"/>
        </w:rPr>
      </w:pPr>
      <w:r>
        <w:rPr>
          <w:u w:val="single"/>
        </w:rPr>
        <w:tab/>
      </w:r>
      <w:r>
        <w:rPr>
          <w:u w:val="single"/>
        </w:rPr>
        <w:tab/>
      </w:r>
      <w:r>
        <w:rPr>
          <w:u w:val="single"/>
        </w:rPr>
        <w:tab/>
      </w:r>
    </w:p>
    <w:sectPr w:rsidR="00F35149" w:rsidRPr="00B40914" w:rsidSect="00DA44C0">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09T10:48:00Z" w:initials="Start">
    <w:p w14:paraId="1B0EAF69" w14:textId="77777777" w:rsidR="00DA44C0" w:rsidRDefault="00DA44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NO&gt;&gt;N1520120E&lt;&lt;ODS JOB NO&gt;&gt;</w:t>
      </w:r>
    </w:p>
    <w:p w14:paraId="1D6C18BA" w14:textId="77777777" w:rsidR="00DA44C0" w:rsidRDefault="00DA44C0">
      <w:pPr>
        <w:pStyle w:val="CommentText"/>
      </w:pPr>
      <w:r>
        <w:t>&lt;&lt;ODS DOC SYMBOL1&gt;&gt;CCPR/C/114/D/1902/2009&lt;&lt;ODS DOC SYMBOL1&gt;&gt;</w:t>
      </w:r>
    </w:p>
    <w:p w14:paraId="56FD5948" w14:textId="77777777" w:rsidR="00DA44C0" w:rsidRDefault="00DA44C0">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FD59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51290" w14:textId="77777777" w:rsidR="00E012FD" w:rsidRDefault="00E012FD"/>
  </w:endnote>
  <w:endnote w:type="continuationSeparator" w:id="0">
    <w:p w14:paraId="0EF6A3AC" w14:textId="77777777" w:rsidR="00E012FD" w:rsidRDefault="00E012FD"/>
  </w:endnote>
  <w:endnote w:type="continuationNotice" w:id="1">
    <w:p w14:paraId="1F331528" w14:textId="77777777" w:rsidR="00E012FD" w:rsidRDefault="00E01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5518" w14:textId="77777777" w:rsidR="00C50D9F" w:rsidRPr="00781C83" w:rsidRDefault="00C50D9F"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A7112B">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AF29" w14:textId="77777777" w:rsidR="00C50D9F" w:rsidRPr="00781C83" w:rsidRDefault="00C50D9F"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A7112B">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DA44C0" w14:paraId="2F48D705" w14:textId="77777777" w:rsidTr="00DA44C0">
      <w:tc>
        <w:tcPr>
          <w:tcW w:w="3614" w:type="dxa"/>
          <w:shd w:val="clear" w:color="auto" w:fill="auto"/>
        </w:tcPr>
        <w:p w14:paraId="635EE802" w14:textId="77777777" w:rsidR="00DA44C0" w:rsidRDefault="00DA44C0" w:rsidP="00DA44C0">
          <w:pPr>
            <w:pStyle w:val="Footer"/>
            <w:rPr>
              <w:sz w:val="20"/>
            </w:rPr>
          </w:pPr>
          <w:r>
            <w:rPr>
              <w:noProof/>
              <w:sz w:val="20"/>
              <w:lang w:val="en-US"/>
            </w:rPr>
            <w:drawing>
              <wp:anchor distT="0" distB="0" distL="114300" distR="114300" simplePos="0" relativeHeight="251658240" behindDoc="0" locked="0" layoutInCell="1" allowOverlap="1" wp14:anchorId="37D95B16" wp14:editId="28881D15">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1902/200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1902/200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GE.15-14582(E)</w:t>
          </w:r>
        </w:p>
        <w:p w14:paraId="4AF78917" w14:textId="77777777" w:rsidR="00DA44C0" w:rsidRPr="00DA44C0" w:rsidRDefault="00DA44C0" w:rsidP="00DA44C0">
          <w:pPr>
            <w:pStyle w:val="Footer"/>
            <w:rPr>
              <w:rFonts w:ascii="Barcode 3 of 9 by request" w:hAnsi="Barcode 3 of 9 by request"/>
              <w:sz w:val="24"/>
            </w:rPr>
          </w:pPr>
          <w:r>
            <w:rPr>
              <w:rFonts w:ascii="Barcode 3 of 9 by request" w:hAnsi="Barcode 3 of 9 by request"/>
              <w:sz w:val="24"/>
            </w:rPr>
            <w:t>*1514582*</w:t>
          </w:r>
        </w:p>
      </w:tc>
      <w:tc>
        <w:tcPr>
          <w:tcW w:w="4752" w:type="dxa"/>
          <w:shd w:val="clear" w:color="auto" w:fill="auto"/>
        </w:tcPr>
        <w:p w14:paraId="15531492" w14:textId="77777777" w:rsidR="00DA44C0" w:rsidRDefault="00DA44C0" w:rsidP="00DA44C0">
          <w:pPr>
            <w:pStyle w:val="Footer"/>
            <w:spacing w:line="240" w:lineRule="atLeast"/>
            <w:jc w:val="right"/>
            <w:rPr>
              <w:sz w:val="20"/>
            </w:rPr>
          </w:pPr>
          <w:r>
            <w:rPr>
              <w:noProof/>
              <w:sz w:val="20"/>
              <w:lang w:val="en-US"/>
            </w:rPr>
            <w:drawing>
              <wp:inline distT="0" distB="0" distL="0" distR="0" wp14:anchorId="08D06A0D" wp14:editId="3E8129C6">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86D9437" w14:textId="77777777" w:rsidR="00DA44C0" w:rsidRPr="00DA44C0" w:rsidRDefault="00DA44C0" w:rsidP="00DA44C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0EF12" w14:textId="77777777" w:rsidR="00E012FD" w:rsidRPr="000B175B" w:rsidRDefault="00E012FD" w:rsidP="000B175B">
      <w:pPr>
        <w:tabs>
          <w:tab w:val="right" w:pos="2155"/>
        </w:tabs>
        <w:spacing w:after="80"/>
        <w:ind w:left="680"/>
        <w:rPr>
          <w:u w:val="single"/>
        </w:rPr>
      </w:pPr>
      <w:r>
        <w:rPr>
          <w:u w:val="single"/>
        </w:rPr>
        <w:tab/>
      </w:r>
    </w:p>
  </w:footnote>
  <w:footnote w:type="continuationSeparator" w:id="0">
    <w:p w14:paraId="224150EC" w14:textId="77777777" w:rsidR="00E012FD" w:rsidRPr="00FC68B7" w:rsidRDefault="00E012FD" w:rsidP="00FC68B7">
      <w:pPr>
        <w:tabs>
          <w:tab w:val="left" w:pos="2155"/>
        </w:tabs>
        <w:spacing w:after="80"/>
        <w:ind w:left="680"/>
        <w:rPr>
          <w:u w:val="single"/>
        </w:rPr>
      </w:pPr>
      <w:r>
        <w:rPr>
          <w:u w:val="single"/>
        </w:rPr>
        <w:tab/>
      </w:r>
    </w:p>
  </w:footnote>
  <w:footnote w:type="continuationNotice" w:id="1">
    <w:p w14:paraId="6FE3D2AF" w14:textId="77777777" w:rsidR="00E012FD" w:rsidRDefault="00E012FD"/>
  </w:footnote>
  <w:footnote w:id="2">
    <w:p w14:paraId="7C2C5B7B" w14:textId="77777777" w:rsidR="00C50D9F" w:rsidRPr="00063C87" w:rsidRDefault="00C50D9F" w:rsidP="00D6337A">
      <w:pPr>
        <w:pStyle w:val="FootnoteText"/>
        <w:rPr>
          <w:lang w:val="en-GB"/>
        </w:rPr>
      </w:pPr>
      <w:r>
        <w:rPr>
          <w:rStyle w:val="FootnoteReference"/>
        </w:rPr>
        <w:tab/>
      </w:r>
      <w:r w:rsidRPr="00063C87">
        <w:rPr>
          <w:rStyle w:val="FootnoteReference"/>
          <w:sz w:val="20"/>
          <w:vertAlign w:val="baseline"/>
        </w:rPr>
        <w:t>*</w:t>
      </w:r>
      <w:r>
        <w:rPr>
          <w:rStyle w:val="FootnoteReference"/>
          <w:sz w:val="20"/>
          <w:vertAlign w:val="baseline"/>
        </w:rPr>
        <w:tab/>
      </w:r>
      <w:bookmarkStart w:id="2" w:name="OLE_LINK1"/>
      <w:bookmarkStart w:id="3" w:name="OLE_LINK2"/>
      <w:r w:rsidRPr="007F7A13">
        <w:t xml:space="preserve">The following members of the Committee participated in the examination of the present communication: </w:t>
      </w:r>
      <w:bookmarkEnd w:id="2"/>
      <w:bookmarkEnd w:id="3"/>
      <w:r w:rsidRPr="007F7A13">
        <w:t xml:space="preserve">Yadh </w:t>
      </w:r>
      <w:r w:rsidRPr="00D11C79">
        <w:t xml:space="preserve">Ben Achour, Lazhari Bouzid, Sarah Cleveland, Olivier </w:t>
      </w:r>
      <w:r>
        <w:t>d</w:t>
      </w:r>
      <w:r w:rsidRPr="00D11C79">
        <w:t>e Frouville, Ahmed Amin Fathalla, Yuji Iwasawa, Ivana Jeli</w:t>
      </w:r>
      <w:r>
        <w:t>ć,</w:t>
      </w:r>
      <w:r w:rsidRPr="00D11C79">
        <w:t>, Duncan Muhumuza Laki, Photini Pazartzis, Mauro Politi, Sir Nigel Rodley, V</w:t>
      </w:r>
      <w:r>
        <w:t>í</w:t>
      </w:r>
      <w:r w:rsidRPr="00D11C79">
        <w:t>ctor Manuel Rodríguez-Resci</w:t>
      </w:r>
      <w:r w:rsidRPr="007C2A7D">
        <w:t>a, Fabián Omar Salvioli, Dheerujlall Seetulsingh, Anja Seibert-Fohr, Yuval Shany, Konstantine Vardzelashvili and Margo Waterval.</w:t>
      </w:r>
    </w:p>
  </w:footnote>
  <w:footnote w:id="3">
    <w:p w14:paraId="4CBE739F" w14:textId="77777777" w:rsidR="00C50D9F" w:rsidRPr="00CC7A0E" w:rsidRDefault="00C50D9F" w:rsidP="00063C87">
      <w:pPr>
        <w:pStyle w:val="FootnoteText"/>
        <w:rPr>
          <w:lang w:val="en-GB"/>
        </w:rPr>
      </w:pPr>
      <w:r w:rsidRPr="00063C87">
        <w:rPr>
          <w:lang w:val="en-GB"/>
        </w:rPr>
        <w:tab/>
      </w:r>
      <w:r w:rsidRPr="00B25D50">
        <w:rPr>
          <w:rStyle w:val="FootnoteReference"/>
        </w:rPr>
        <w:footnoteRef/>
      </w:r>
      <w:r w:rsidRPr="00063C87">
        <w:rPr>
          <w:lang w:val="en-GB"/>
        </w:rPr>
        <w:tab/>
      </w:r>
      <w:r w:rsidRPr="00CC7A0E">
        <w:rPr>
          <w:lang w:val="en-GB"/>
        </w:rPr>
        <w:t xml:space="preserve">In this connection, see </w:t>
      </w:r>
      <w:r>
        <w:rPr>
          <w:lang w:val="en-GB"/>
        </w:rPr>
        <w:t xml:space="preserve">also </w:t>
      </w:r>
      <w:r w:rsidRPr="00CC7A0E">
        <w:rPr>
          <w:lang w:val="en-GB"/>
        </w:rPr>
        <w:t>paragraphs 3.5 and 4.</w:t>
      </w:r>
      <w:r>
        <w:rPr>
          <w:lang w:val="en-GB"/>
        </w:rPr>
        <w:t xml:space="preserve">2 below. </w:t>
      </w:r>
    </w:p>
  </w:footnote>
  <w:footnote w:id="4">
    <w:p w14:paraId="41667101" w14:textId="77777777" w:rsidR="00C50D9F" w:rsidRPr="000F3409" w:rsidRDefault="00C50D9F" w:rsidP="0000397C">
      <w:pPr>
        <w:pStyle w:val="FootnoteText"/>
        <w:rPr>
          <w:lang w:val="en-GB"/>
        </w:rPr>
      </w:pPr>
      <w:r>
        <w:rPr>
          <w:lang w:val="en-GB"/>
        </w:rPr>
        <w:tab/>
      </w:r>
      <w:r w:rsidRPr="00B25D50">
        <w:rPr>
          <w:rStyle w:val="FootnoteReference"/>
        </w:rPr>
        <w:footnoteRef/>
      </w:r>
      <w:r>
        <w:rPr>
          <w:lang w:val="en-GB"/>
        </w:rPr>
        <w:tab/>
      </w:r>
      <w:r w:rsidRPr="000F3409">
        <w:rPr>
          <w:lang w:val="en-GB"/>
        </w:rPr>
        <w:t xml:space="preserve">See </w:t>
      </w:r>
      <w:r w:rsidRPr="0000397C">
        <w:t>paragraph</w:t>
      </w:r>
      <w:r w:rsidRPr="000F3409">
        <w:rPr>
          <w:lang w:val="en-GB"/>
        </w:rPr>
        <w:t xml:space="preserve"> 4.1 above. </w:t>
      </w:r>
    </w:p>
  </w:footnote>
  <w:footnote w:id="5">
    <w:p w14:paraId="120A0FD4" w14:textId="77777777" w:rsidR="00C50D9F" w:rsidRPr="0086457A" w:rsidRDefault="00C50D9F" w:rsidP="00C72A57">
      <w:pPr>
        <w:pStyle w:val="FootnoteText"/>
        <w:rPr>
          <w:lang w:val="en-GB"/>
        </w:rPr>
      </w:pPr>
      <w:r w:rsidRPr="00232832">
        <w:rPr>
          <w:lang w:val="en-GB"/>
        </w:rPr>
        <w:tab/>
      </w:r>
      <w:r w:rsidRPr="00B25D50">
        <w:rPr>
          <w:rStyle w:val="FootnoteReference"/>
        </w:rPr>
        <w:footnoteRef/>
      </w:r>
      <w:r w:rsidRPr="00232832">
        <w:rPr>
          <w:lang w:val="en-GB"/>
        </w:rPr>
        <w:tab/>
      </w:r>
      <w:r w:rsidRPr="0000397C">
        <w:t>Communication</w:t>
      </w:r>
      <w:r>
        <w:t>s</w:t>
      </w:r>
      <w:r w:rsidRPr="00380E01">
        <w:t xml:space="preserve"> No. 836/1998, </w:t>
      </w:r>
      <w:r w:rsidRPr="0086457A">
        <w:rPr>
          <w:i/>
        </w:rPr>
        <w:t>Gelazauskas v. Lithuania</w:t>
      </w:r>
      <w:r w:rsidRPr="00380E01">
        <w:t xml:space="preserve">, </w:t>
      </w:r>
      <w:r>
        <w:t xml:space="preserve">Views adopted on 17 March 2003, </w:t>
      </w:r>
      <w:r w:rsidRPr="00380E01">
        <w:t>para</w:t>
      </w:r>
      <w:r>
        <w:t>.</w:t>
      </w:r>
      <w:r w:rsidRPr="00380E01">
        <w:t xml:space="preserve"> 7.4; No</w:t>
      </w:r>
      <w:r>
        <w:t>.</w:t>
      </w:r>
      <w:r w:rsidRPr="00380E01">
        <w:t xml:space="preserve"> 1851/2008, </w:t>
      </w:r>
      <w:r w:rsidRPr="00063C87">
        <w:rPr>
          <w:i/>
          <w:iCs/>
        </w:rPr>
        <w:t>Sekerko v. Belarus</w:t>
      </w:r>
      <w:r>
        <w:t xml:space="preserve">, Views adopted on 28 October 2013, </w:t>
      </w:r>
      <w:r w:rsidRPr="00380E01">
        <w:t>para</w:t>
      </w:r>
      <w:r>
        <w:t>.</w:t>
      </w:r>
      <w:r w:rsidRPr="00380E01">
        <w:t xml:space="preserve"> 8.3.; </w:t>
      </w:r>
      <w:r>
        <w:t xml:space="preserve">No. 1919-1920/2009, </w:t>
      </w:r>
      <w:r w:rsidRPr="0086457A">
        <w:rPr>
          <w:i/>
        </w:rPr>
        <w:t>Protsko and Tolchin v. Belarus</w:t>
      </w:r>
      <w:r w:rsidRPr="00380E01">
        <w:t xml:space="preserve">, </w:t>
      </w:r>
      <w:r>
        <w:t xml:space="preserve">Views adopted on 1 November 2013, </w:t>
      </w:r>
      <w:r w:rsidRPr="00380E01">
        <w:t xml:space="preserve">para. 6.5.; No. 1784/2008, </w:t>
      </w:r>
      <w:r w:rsidRPr="0086457A">
        <w:rPr>
          <w:i/>
        </w:rPr>
        <w:t>Schumilin v. Belarus</w:t>
      </w:r>
      <w:r w:rsidRPr="00380E01">
        <w:t xml:space="preserve">, Views adopted on 23 July 2012, para. 8.3; No. 1814/2008, </w:t>
      </w:r>
      <w:r w:rsidRPr="0086457A">
        <w:rPr>
          <w:i/>
        </w:rPr>
        <w:t>P.L. v. Belarus</w:t>
      </w:r>
      <w:r w:rsidRPr="00380E01">
        <w:t>, decision of inadmissibility</w:t>
      </w:r>
      <w:r>
        <w:t xml:space="preserve"> adopted </w:t>
      </w:r>
      <w:r w:rsidRPr="00380E01">
        <w:t xml:space="preserve">26 July </w:t>
      </w:r>
      <w:r>
        <w:t>2011, para. 6.2</w:t>
      </w:r>
      <w:r w:rsidRPr="0086457A">
        <w:rPr>
          <w:lang w:val="en-GB"/>
        </w:rPr>
        <w:t xml:space="preserve">; No. 2021/2010, </w:t>
      </w:r>
      <w:r w:rsidRPr="0086457A">
        <w:rPr>
          <w:i/>
          <w:lang w:val="en-GB"/>
        </w:rPr>
        <w:t>E.Z. v. Kazakhstan</w:t>
      </w:r>
      <w:r w:rsidRPr="0086457A">
        <w:rPr>
          <w:lang w:val="en-GB"/>
        </w:rPr>
        <w:t xml:space="preserve">, </w:t>
      </w:r>
      <w:r>
        <w:rPr>
          <w:lang w:val="en-GB"/>
        </w:rPr>
        <w:t xml:space="preserve">decision of </w:t>
      </w:r>
      <w:r w:rsidRPr="0086457A">
        <w:rPr>
          <w:lang w:val="en-GB"/>
        </w:rPr>
        <w:t xml:space="preserve">inadmissibility </w:t>
      </w:r>
      <w:r>
        <w:rPr>
          <w:lang w:val="en-GB"/>
        </w:rPr>
        <w:t>adopted on</w:t>
      </w:r>
      <w:r w:rsidRPr="0086457A">
        <w:rPr>
          <w:lang w:val="en-GB"/>
        </w:rPr>
        <w:t xml:space="preserve"> 1 April 2015, para</w:t>
      </w:r>
      <w:r>
        <w:rPr>
          <w:lang w:val="en-GB"/>
        </w:rPr>
        <w:t>.</w:t>
      </w:r>
      <w:r w:rsidRPr="0086457A">
        <w:rPr>
          <w:lang w:val="en-GB"/>
        </w:rPr>
        <w:t xml:space="preserve"> 7.3. </w:t>
      </w:r>
    </w:p>
  </w:footnote>
  <w:footnote w:id="6">
    <w:p w14:paraId="270DF10A" w14:textId="77777777" w:rsidR="00C50D9F" w:rsidRPr="00B6380E" w:rsidRDefault="00C50D9F" w:rsidP="003E5BA0">
      <w:pPr>
        <w:pStyle w:val="FootnoteText"/>
        <w:rPr>
          <w:szCs w:val="18"/>
        </w:rPr>
      </w:pPr>
      <w:r>
        <w:rPr>
          <w:szCs w:val="18"/>
        </w:rPr>
        <w:tab/>
      </w:r>
      <w:r w:rsidRPr="00B25D50">
        <w:rPr>
          <w:rStyle w:val="FootnoteReference"/>
        </w:rPr>
        <w:footnoteRef/>
      </w:r>
      <w:r w:rsidRPr="00B6380E">
        <w:rPr>
          <w:szCs w:val="18"/>
        </w:rPr>
        <w:t xml:space="preserve"> </w:t>
      </w:r>
      <w:r>
        <w:rPr>
          <w:szCs w:val="18"/>
        </w:rPr>
        <w:tab/>
      </w:r>
      <w:r w:rsidRPr="000330D1">
        <w:rPr>
          <w:szCs w:val="18"/>
        </w:rPr>
        <w:t>Communication</w:t>
      </w:r>
      <w:r>
        <w:rPr>
          <w:szCs w:val="18"/>
        </w:rPr>
        <w:t>s</w:t>
      </w:r>
      <w:r w:rsidRPr="000330D1">
        <w:rPr>
          <w:szCs w:val="18"/>
        </w:rPr>
        <w:t xml:space="preserve"> No. 1873/2009, </w:t>
      </w:r>
      <w:r w:rsidRPr="000330D1">
        <w:rPr>
          <w:i/>
          <w:szCs w:val="18"/>
        </w:rPr>
        <w:t>Alekseev v. Russian Federation</w:t>
      </w:r>
      <w:r w:rsidRPr="000330D1">
        <w:rPr>
          <w:szCs w:val="18"/>
        </w:rPr>
        <w:t>, Views adopted on 25 October 2013, para</w:t>
      </w:r>
      <w:r>
        <w:rPr>
          <w:szCs w:val="18"/>
        </w:rPr>
        <w:t>.</w:t>
      </w:r>
      <w:r w:rsidRPr="000330D1">
        <w:rPr>
          <w:szCs w:val="18"/>
        </w:rPr>
        <w:t xml:space="preserve"> 8.4</w:t>
      </w:r>
      <w:r>
        <w:rPr>
          <w:szCs w:val="18"/>
        </w:rPr>
        <w:t xml:space="preserve">; </w:t>
      </w:r>
      <w:r w:rsidRPr="00063C87">
        <w:rPr>
          <w:szCs w:val="18"/>
          <w:lang w:val="en-GB"/>
        </w:rPr>
        <w:t>No. 1</w:t>
      </w:r>
      <w:r>
        <w:rPr>
          <w:szCs w:val="18"/>
          <w:lang w:val="en-GB"/>
        </w:rPr>
        <w:t>985/2010,</w:t>
      </w:r>
      <w:r w:rsidRPr="00063C87">
        <w:rPr>
          <w:szCs w:val="18"/>
          <w:lang w:val="en-GB"/>
        </w:rPr>
        <w:t xml:space="preserve"> </w:t>
      </w:r>
      <w:r w:rsidRPr="002861D9">
        <w:rPr>
          <w:i/>
        </w:rPr>
        <w:t>Koktish v. Belarus</w:t>
      </w:r>
      <w:r>
        <w:t xml:space="preserve">, </w:t>
      </w:r>
      <w:r w:rsidRPr="00EA3BD0">
        <w:t>Views adopted on 24 July 2014, para.</w:t>
      </w:r>
      <w:r>
        <w:t xml:space="preserve"> </w:t>
      </w:r>
      <w:r w:rsidRPr="00EA3BD0">
        <w:t>7.3.</w:t>
      </w:r>
    </w:p>
  </w:footnote>
  <w:footnote w:id="7">
    <w:p w14:paraId="5CE4C8E0" w14:textId="77777777" w:rsidR="00C50D9F" w:rsidRDefault="00C50D9F" w:rsidP="00A27889">
      <w:pPr>
        <w:pStyle w:val="FootnoteText"/>
      </w:pPr>
      <w:r w:rsidRPr="003D5EF8">
        <w:tab/>
      </w:r>
      <w:r w:rsidRPr="00B25D50">
        <w:rPr>
          <w:rStyle w:val="FootnoteReference"/>
        </w:rPr>
        <w:footnoteRef/>
      </w:r>
      <w:r w:rsidRPr="003D5EF8">
        <w:tab/>
        <w:t>Communication</w:t>
      </w:r>
      <w:r>
        <w:t>s</w:t>
      </w:r>
      <w:r w:rsidRPr="003D5EF8">
        <w:t xml:space="preserve"> No. 1134/2002, </w:t>
      </w:r>
      <w:r w:rsidRPr="00063C87">
        <w:rPr>
          <w:i/>
        </w:rPr>
        <w:t>Gorji-Dinka v. Cameroon</w:t>
      </w:r>
      <w:r w:rsidRPr="003D5EF8">
        <w:t xml:space="preserve">, Views adopted on 17 March 2005, para. </w:t>
      </w:r>
      <w:r>
        <w:t xml:space="preserve">5.1; </w:t>
      </w:r>
      <w:r>
        <w:rPr>
          <w:lang w:val="en-GB"/>
        </w:rPr>
        <w:t>N</w:t>
      </w:r>
      <w:r w:rsidRPr="00063C87">
        <w:rPr>
          <w:lang w:val="en-GB"/>
        </w:rPr>
        <w:t>o.</w:t>
      </w:r>
      <w:r>
        <w:t xml:space="preserve"> 305/1988</w:t>
      </w:r>
      <w:r w:rsidRPr="00063C87">
        <w:rPr>
          <w:lang w:val="en-GB"/>
        </w:rPr>
        <w:t>,</w:t>
      </w:r>
      <w:r>
        <w:t xml:space="preserve"> </w:t>
      </w:r>
      <w:r w:rsidRPr="00063C87">
        <w:rPr>
          <w:i/>
        </w:rPr>
        <w:t>Van Alphen v. Netherlands</w:t>
      </w:r>
      <w:r>
        <w:t xml:space="preserve">, </w:t>
      </w:r>
      <w:r w:rsidRPr="00063C87">
        <w:rPr>
          <w:lang w:val="en-GB"/>
        </w:rPr>
        <w:t xml:space="preserve">Views adopted on 23 July 1990, </w:t>
      </w:r>
      <w:r>
        <w:t xml:space="preserve">para. </w:t>
      </w:r>
      <w:r w:rsidRPr="00CB2D8B">
        <w:rPr>
          <w:lang w:val="en-GB"/>
        </w:rPr>
        <w:t>5.8</w:t>
      </w:r>
      <w:r>
        <w:t>.</w:t>
      </w:r>
    </w:p>
  </w:footnote>
  <w:footnote w:id="8">
    <w:p w14:paraId="4FFB14B6" w14:textId="77777777" w:rsidR="00C50D9F" w:rsidRPr="002359AC" w:rsidRDefault="00C50D9F" w:rsidP="00A27889">
      <w:pPr>
        <w:pStyle w:val="FootnoteText"/>
      </w:pPr>
      <w:r w:rsidRPr="00063C87">
        <w:rPr>
          <w:lang w:val="en-GB"/>
        </w:rPr>
        <w:tab/>
      </w:r>
      <w:r w:rsidRPr="00B25D50">
        <w:rPr>
          <w:rStyle w:val="FootnoteReference"/>
        </w:rPr>
        <w:footnoteRef/>
      </w:r>
      <w:r w:rsidRPr="00063C87">
        <w:rPr>
          <w:lang w:val="en-GB"/>
        </w:rPr>
        <w:tab/>
      </w:r>
      <w:r w:rsidRPr="00063C87">
        <w:rPr>
          <w:lang w:val="de-DE"/>
        </w:rPr>
        <w:t xml:space="preserve">General </w:t>
      </w:r>
      <w:r>
        <w:rPr>
          <w:lang w:val="de-DE"/>
        </w:rPr>
        <w:t>c</w:t>
      </w:r>
      <w:r w:rsidRPr="00063C87">
        <w:rPr>
          <w:lang w:val="de-DE"/>
        </w:rPr>
        <w:t>omment No. 35</w:t>
      </w:r>
      <w:r>
        <w:rPr>
          <w:lang w:val="de-DE"/>
        </w:rPr>
        <w:t xml:space="preserve"> (2014) on liberty and security of person</w:t>
      </w:r>
      <w:r w:rsidRPr="00063C87">
        <w:rPr>
          <w:lang w:val="de-DE"/>
        </w:rPr>
        <w:t>, para</w:t>
      </w:r>
      <w:r>
        <w:rPr>
          <w:lang w:val="de-DE"/>
        </w:rPr>
        <w:t>.</w:t>
      </w:r>
      <w:r w:rsidRPr="00063C87">
        <w:rPr>
          <w:lang w:val="de-DE"/>
        </w:rPr>
        <w:t xml:space="preserve"> 12.</w:t>
      </w:r>
    </w:p>
  </w:footnote>
  <w:footnote w:id="9">
    <w:p w14:paraId="6E567410" w14:textId="77777777" w:rsidR="00C50D9F" w:rsidRPr="00D42C6C" w:rsidRDefault="00C50D9F" w:rsidP="00A27889">
      <w:pPr>
        <w:pStyle w:val="FootnoteText"/>
      </w:pPr>
      <w:r w:rsidRPr="00063C87">
        <w:rPr>
          <w:lang w:val="en-GB"/>
        </w:rPr>
        <w:tab/>
      </w:r>
      <w:r w:rsidRPr="00B25D50">
        <w:rPr>
          <w:rStyle w:val="FootnoteReference"/>
        </w:rPr>
        <w:footnoteRef/>
      </w:r>
      <w:r w:rsidRPr="00063C87">
        <w:rPr>
          <w:lang w:val="en-GB"/>
        </w:rPr>
        <w:tab/>
      </w:r>
      <w:r w:rsidRPr="00063C87">
        <w:t xml:space="preserve">General </w:t>
      </w:r>
      <w:r>
        <w:t>c</w:t>
      </w:r>
      <w:r w:rsidRPr="00063C87">
        <w:t>omment No. 34</w:t>
      </w:r>
      <w:r>
        <w:t xml:space="preserve"> (2011) on freedoms of opinion and expression</w:t>
      </w:r>
      <w:r w:rsidRPr="00063C87">
        <w:t>, para</w:t>
      </w:r>
      <w:r>
        <w:t>.</w:t>
      </w:r>
      <w:r w:rsidRPr="00063C87">
        <w:t xml:space="preserve"> 23.</w:t>
      </w:r>
    </w:p>
  </w:footnote>
  <w:footnote w:id="10">
    <w:p w14:paraId="05AF83E0" w14:textId="77777777" w:rsidR="00C50D9F" w:rsidRPr="00054DCF" w:rsidRDefault="00C50D9F" w:rsidP="0000397C">
      <w:pPr>
        <w:pStyle w:val="FootnoteText"/>
        <w:rPr>
          <w:lang w:val="en-GB"/>
        </w:rPr>
      </w:pPr>
      <w:r>
        <w:rPr>
          <w:lang w:val="en-GB"/>
        </w:rPr>
        <w:tab/>
      </w:r>
      <w:r w:rsidRPr="00B25D50">
        <w:rPr>
          <w:rStyle w:val="FootnoteReference"/>
        </w:rPr>
        <w:footnoteRef/>
      </w:r>
      <w:r>
        <w:rPr>
          <w:lang w:val="en-GB"/>
        </w:rPr>
        <w:tab/>
      </w:r>
      <w:r>
        <w:t xml:space="preserve">See, for </w:t>
      </w:r>
      <w:r w:rsidRPr="0000397C">
        <w:t>example</w:t>
      </w:r>
      <w:r>
        <w:t xml:space="preserve">, communication No. 1948/2010, </w:t>
      </w:r>
      <w:r>
        <w:rPr>
          <w:i/>
        </w:rPr>
        <w:t>Turchenyak et al. v. Belarus</w:t>
      </w:r>
      <w:r>
        <w:t>, Views adopted on 24</w:t>
      </w:r>
      <w:r w:rsidRPr="0086457A">
        <w:rPr>
          <w:lang w:val="en-GB"/>
        </w:rPr>
        <w:t xml:space="preserve"> </w:t>
      </w:r>
      <w:r>
        <w:t>July 2013, para. 7.</w:t>
      </w:r>
      <w:r w:rsidRPr="00054DCF">
        <w:rPr>
          <w:lang w:val="en-GB"/>
        </w:rPr>
        <w:t>4.</w:t>
      </w:r>
    </w:p>
  </w:footnote>
  <w:footnote w:id="11">
    <w:p w14:paraId="3962D7CE" w14:textId="77777777" w:rsidR="00C50D9F" w:rsidRDefault="00C50D9F" w:rsidP="00C50D9F">
      <w:pPr>
        <w:pStyle w:val="FootnoteText"/>
      </w:pPr>
      <w:r>
        <w:tab/>
      </w:r>
      <w:r w:rsidRPr="00B25D50">
        <w:rPr>
          <w:rStyle w:val="FootnoteReference"/>
        </w:rPr>
        <w:footnoteRef/>
      </w:r>
      <w:r>
        <w:tab/>
        <w:t>See, for example</w:t>
      </w:r>
      <w:r w:rsidRPr="00624677">
        <w:t xml:space="preserve">, </w:t>
      </w:r>
      <w:r>
        <w:t xml:space="preserve">communications No. 1851/2008, </w:t>
      </w:r>
      <w:r w:rsidRPr="00027A45">
        <w:rPr>
          <w:i/>
        </w:rPr>
        <w:t>Vladimir Sekerko v. Belarus</w:t>
      </w:r>
      <w:r>
        <w:t>, Views adopted on 28</w:t>
      </w:r>
      <w:r w:rsidRPr="008216A5">
        <w:t xml:space="preserve"> October 2013</w:t>
      </w:r>
      <w:r>
        <w:t xml:space="preserve">, para. 11; No. 1948/2010, </w:t>
      </w:r>
      <w:r w:rsidRPr="009D04AC">
        <w:rPr>
          <w:i/>
        </w:rPr>
        <w:t xml:space="preserve">Turchenyak </w:t>
      </w:r>
      <w:r>
        <w:rPr>
          <w:i/>
        </w:rPr>
        <w:t>et al</w:t>
      </w:r>
      <w:r w:rsidRPr="009D04AC">
        <w:rPr>
          <w:i/>
        </w:rPr>
        <w:t xml:space="preserve"> </w:t>
      </w:r>
      <w:r w:rsidRPr="00063C87">
        <w:rPr>
          <w:i/>
          <w:iCs/>
        </w:rPr>
        <w:t>v.</w:t>
      </w:r>
      <w:r w:rsidRPr="009D04AC">
        <w:rPr>
          <w:i/>
        </w:rPr>
        <w:t xml:space="preserve"> Belarus</w:t>
      </w:r>
      <w:r w:rsidRPr="00063C87">
        <w:rPr>
          <w:iCs/>
        </w:rPr>
        <w:t xml:space="preserve">, </w:t>
      </w:r>
      <w:r>
        <w:rPr>
          <w:iCs/>
        </w:rPr>
        <w:t>Views adopted on 24 July 2013,</w:t>
      </w:r>
      <w:r w:rsidRPr="00A74E9D">
        <w:rPr>
          <w:iCs/>
        </w:rPr>
        <w:t xml:space="preserve"> </w:t>
      </w:r>
      <w:r>
        <w:t xml:space="preserve">para. 9; No. 1790/2008, </w:t>
      </w:r>
      <w:r w:rsidRPr="00624677">
        <w:rPr>
          <w:i/>
        </w:rPr>
        <w:t xml:space="preserve">Govsha, Syritsa and </w:t>
      </w:r>
      <w:r w:rsidRPr="00F46AD3">
        <w:rPr>
          <w:i/>
        </w:rPr>
        <w:t>Mezyak v.</w:t>
      </w:r>
      <w:r w:rsidRPr="00C15217">
        <w:t xml:space="preserve"> </w:t>
      </w:r>
      <w:r w:rsidRPr="00624677">
        <w:rPr>
          <w:i/>
        </w:rPr>
        <w:t>Belarus,</w:t>
      </w:r>
      <w:r>
        <w:t xml:space="preserve"> Views adopted on 27 July 2012, para.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B011B" w14:textId="77777777" w:rsidR="00C50D9F" w:rsidRPr="00781C83" w:rsidRDefault="00C50D9F" w:rsidP="00781C83">
    <w:pPr>
      <w:pStyle w:val="Header"/>
    </w:pPr>
    <w:r>
      <w:t>CCPR/C/114/D/1902/2009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CE31C" w14:textId="77777777" w:rsidR="00C50D9F" w:rsidRPr="00781C83" w:rsidRDefault="00C50D9F" w:rsidP="00781C83">
    <w:pPr>
      <w:pStyle w:val="Header"/>
      <w:jc w:val="right"/>
    </w:pPr>
    <w:r>
      <w:t>CCPR/C/114/D/1902/2009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57C6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DE" w:vendorID="64" w:dllVersion="131078" w:nlCheck="1" w:checkStyle="0"/>
  <w:activeWritingStyle w:appName="MSWord" w:lang="en-CA"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397C"/>
    <w:rsid w:val="000044E2"/>
    <w:rsid w:val="00004760"/>
    <w:rsid w:val="00006AE6"/>
    <w:rsid w:val="0001627B"/>
    <w:rsid w:val="000170C3"/>
    <w:rsid w:val="00023024"/>
    <w:rsid w:val="00024522"/>
    <w:rsid w:val="00025D41"/>
    <w:rsid w:val="0002635B"/>
    <w:rsid w:val="000272B3"/>
    <w:rsid w:val="0003387B"/>
    <w:rsid w:val="00033CD0"/>
    <w:rsid w:val="0003506E"/>
    <w:rsid w:val="00036B13"/>
    <w:rsid w:val="00036F3F"/>
    <w:rsid w:val="000377A5"/>
    <w:rsid w:val="000379DC"/>
    <w:rsid w:val="0004092D"/>
    <w:rsid w:val="00041994"/>
    <w:rsid w:val="00043AFA"/>
    <w:rsid w:val="00050CBA"/>
    <w:rsid w:val="00050F6B"/>
    <w:rsid w:val="00054DCF"/>
    <w:rsid w:val="00055FFE"/>
    <w:rsid w:val="0005782B"/>
    <w:rsid w:val="00057E97"/>
    <w:rsid w:val="00060C3A"/>
    <w:rsid w:val="000630DF"/>
    <w:rsid w:val="00063C87"/>
    <w:rsid w:val="00065E6B"/>
    <w:rsid w:val="00066476"/>
    <w:rsid w:val="000672D9"/>
    <w:rsid w:val="000673A3"/>
    <w:rsid w:val="00067CCE"/>
    <w:rsid w:val="000707D1"/>
    <w:rsid w:val="00072C8C"/>
    <w:rsid w:val="000733B5"/>
    <w:rsid w:val="000803DA"/>
    <w:rsid w:val="00081815"/>
    <w:rsid w:val="00081BF7"/>
    <w:rsid w:val="0008245C"/>
    <w:rsid w:val="00085A16"/>
    <w:rsid w:val="00090022"/>
    <w:rsid w:val="00090758"/>
    <w:rsid w:val="00091F15"/>
    <w:rsid w:val="00092609"/>
    <w:rsid w:val="000931C0"/>
    <w:rsid w:val="00093D88"/>
    <w:rsid w:val="0009642A"/>
    <w:rsid w:val="000970C1"/>
    <w:rsid w:val="000A2EE4"/>
    <w:rsid w:val="000A310C"/>
    <w:rsid w:val="000A5559"/>
    <w:rsid w:val="000A69CF"/>
    <w:rsid w:val="000B02C3"/>
    <w:rsid w:val="000B0FCC"/>
    <w:rsid w:val="000B175B"/>
    <w:rsid w:val="000B1788"/>
    <w:rsid w:val="000B3A0F"/>
    <w:rsid w:val="000B4EF7"/>
    <w:rsid w:val="000C2AB9"/>
    <w:rsid w:val="000C2C03"/>
    <w:rsid w:val="000C2D2E"/>
    <w:rsid w:val="000C2E06"/>
    <w:rsid w:val="000C3983"/>
    <w:rsid w:val="000C46B7"/>
    <w:rsid w:val="000C4DA0"/>
    <w:rsid w:val="000C6921"/>
    <w:rsid w:val="000C695D"/>
    <w:rsid w:val="000D0ABB"/>
    <w:rsid w:val="000D2233"/>
    <w:rsid w:val="000D3D17"/>
    <w:rsid w:val="000D6E0C"/>
    <w:rsid w:val="000E0415"/>
    <w:rsid w:val="000E07B1"/>
    <w:rsid w:val="000E0E8E"/>
    <w:rsid w:val="000E20F8"/>
    <w:rsid w:val="000E29B9"/>
    <w:rsid w:val="000E3240"/>
    <w:rsid w:val="000E4550"/>
    <w:rsid w:val="000E7537"/>
    <w:rsid w:val="000F3409"/>
    <w:rsid w:val="000F39F9"/>
    <w:rsid w:val="000F6A6B"/>
    <w:rsid w:val="000F7E69"/>
    <w:rsid w:val="00102617"/>
    <w:rsid w:val="001037D9"/>
    <w:rsid w:val="001103AA"/>
    <w:rsid w:val="00110F83"/>
    <w:rsid w:val="00112792"/>
    <w:rsid w:val="00112984"/>
    <w:rsid w:val="001133DB"/>
    <w:rsid w:val="0011580E"/>
    <w:rsid w:val="00117506"/>
    <w:rsid w:val="0011787A"/>
    <w:rsid w:val="001223A2"/>
    <w:rsid w:val="00123712"/>
    <w:rsid w:val="001306DD"/>
    <w:rsid w:val="00130D48"/>
    <w:rsid w:val="0013113A"/>
    <w:rsid w:val="00131B64"/>
    <w:rsid w:val="0013235B"/>
    <w:rsid w:val="001340B3"/>
    <w:rsid w:val="00134B81"/>
    <w:rsid w:val="00136DE8"/>
    <w:rsid w:val="00137249"/>
    <w:rsid w:val="001375A9"/>
    <w:rsid w:val="00142286"/>
    <w:rsid w:val="00154DA5"/>
    <w:rsid w:val="0015520B"/>
    <w:rsid w:val="00157820"/>
    <w:rsid w:val="00161364"/>
    <w:rsid w:val="00162DB2"/>
    <w:rsid w:val="00163E0C"/>
    <w:rsid w:val="00164914"/>
    <w:rsid w:val="00164C92"/>
    <w:rsid w:val="00165F3A"/>
    <w:rsid w:val="00166183"/>
    <w:rsid w:val="00166705"/>
    <w:rsid w:val="00170DDB"/>
    <w:rsid w:val="00171909"/>
    <w:rsid w:val="001721A9"/>
    <w:rsid w:val="0017277A"/>
    <w:rsid w:val="00172802"/>
    <w:rsid w:val="0017322C"/>
    <w:rsid w:val="0017342F"/>
    <w:rsid w:val="001740AF"/>
    <w:rsid w:val="00174528"/>
    <w:rsid w:val="001756D6"/>
    <w:rsid w:val="001758E2"/>
    <w:rsid w:val="00176D6B"/>
    <w:rsid w:val="00181F7C"/>
    <w:rsid w:val="00183968"/>
    <w:rsid w:val="001844A0"/>
    <w:rsid w:val="0018481A"/>
    <w:rsid w:val="00186A34"/>
    <w:rsid w:val="001905FB"/>
    <w:rsid w:val="001912DB"/>
    <w:rsid w:val="00191845"/>
    <w:rsid w:val="001965C0"/>
    <w:rsid w:val="00196CDF"/>
    <w:rsid w:val="001A09DE"/>
    <w:rsid w:val="001A2C08"/>
    <w:rsid w:val="001A32CB"/>
    <w:rsid w:val="001A4429"/>
    <w:rsid w:val="001A6461"/>
    <w:rsid w:val="001A660B"/>
    <w:rsid w:val="001A6686"/>
    <w:rsid w:val="001A67B5"/>
    <w:rsid w:val="001A723C"/>
    <w:rsid w:val="001A7E43"/>
    <w:rsid w:val="001B4041"/>
    <w:rsid w:val="001B4485"/>
    <w:rsid w:val="001B4B04"/>
    <w:rsid w:val="001B7D22"/>
    <w:rsid w:val="001C0DCE"/>
    <w:rsid w:val="001C3120"/>
    <w:rsid w:val="001C3A57"/>
    <w:rsid w:val="001C4471"/>
    <w:rsid w:val="001C4C03"/>
    <w:rsid w:val="001C5BED"/>
    <w:rsid w:val="001C657F"/>
    <w:rsid w:val="001C6663"/>
    <w:rsid w:val="001C7895"/>
    <w:rsid w:val="001C7D37"/>
    <w:rsid w:val="001D0C8C"/>
    <w:rsid w:val="001D26DF"/>
    <w:rsid w:val="001D3743"/>
    <w:rsid w:val="001D3A03"/>
    <w:rsid w:val="001D3A7D"/>
    <w:rsid w:val="001D6813"/>
    <w:rsid w:val="001E06EB"/>
    <w:rsid w:val="001E10EC"/>
    <w:rsid w:val="001E2B4C"/>
    <w:rsid w:val="001E4617"/>
    <w:rsid w:val="001E48A9"/>
    <w:rsid w:val="001E6148"/>
    <w:rsid w:val="001E7073"/>
    <w:rsid w:val="001E718D"/>
    <w:rsid w:val="001E7AF9"/>
    <w:rsid w:val="001F0720"/>
    <w:rsid w:val="001F08A3"/>
    <w:rsid w:val="001F0F1A"/>
    <w:rsid w:val="001F1088"/>
    <w:rsid w:val="001F11EA"/>
    <w:rsid w:val="00202DA8"/>
    <w:rsid w:val="002069CC"/>
    <w:rsid w:val="00210670"/>
    <w:rsid w:val="00211E0B"/>
    <w:rsid w:val="00213E21"/>
    <w:rsid w:val="002172B8"/>
    <w:rsid w:val="00217D74"/>
    <w:rsid w:val="00220677"/>
    <w:rsid w:val="00222689"/>
    <w:rsid w:val="00224AED"/>
    <w:rsid w:val="0022501D"/>
    <w:rsid w:val="002256A1"/>
    <w:rsid w:val="002278E3"/>
    <w:rsid w:val="00227EDC"/>
    <w:rsid w:val="002314F8"/>
    <w:rsid w:val="0023210C"/>
    <w:rsid w:val="00232334"/>
    <w:rsid w:val="00232832"/>
    <w:rsid w:val="00233707"/>
    <w:rsid w:val="0023438F"/>
    <w:rsid w:val="002345C1"/>
    <w:rsid w:val="002361D0"/>
    <w:rsid w:val="00240564"/>
    <w:rsid w:val="00240F4B"/>
    <w:rsid w:val="00245A73"/>
    <w:rsid w:val="0025162E"/>
    <w:rsid w:val="00253B76"/>
    <w:rsid w:val="0025421C"/>
    <w:rsid w:val="0025487E"/>
    <w:rsid w:val="002633B3"/>
    <w:rsid w:val="00263CA1"/>
    <w:rsid w:val="002650C2"/>
    <w:rsid w:val="002656E9"/>
    <w:rsid w:val="00265CF8"/>
    <w:rsid w:val="00266EB7"/>
    <w:rsid w:val="00267F5F"/>
    <w:rsid w:val="00271477"/>
    <w:rsid w:val="00271484"/>
    <w:rsid w:val="00273B14"/>
    <w:rsid w:val="00274BD3"/>
    <w:rsid w:val="00275077"/>
    <w:rsid w:val="00281144"/>
    <w:rsid w:val="00282899"/>
    <w:rsid w:val="00283A20"/>
    <w:rsid w:val="0028489A"/>
    <w:rsid w:val="002860DB"/>
    <w:rsid w:val="002863A9"/>
    <w:rsid w:val="00286B4D"/>
    <w:rsid w:val="00291295"/>
    <w:rsid w:val="00292F7D"/>
    <w:rsid w:val="0029365C"/>
    <w:rsid w:val="00293B90"/>
    <w:rsid w:val="00293BEB"/>
    <w:rsid w:val="0029453D"/>
    <w:rsid w:val="002955E1"/>
    <w:rsid w:val="002A0E62"/>
    <w:rsid w:val="002A1243"/>
    <w:rsid w:val="002A3CBA"/>
    <w:rsid w:val="002A4B67"/>
    <w:rsid w:val="002A5C82"/>
    <w:rsid w:val="002A728F"/>
    <w:rsid w:val="002B3B76"/>
    <w:rsid w:val="002B3F1E"/>
    <w:rsid w:val="002B6513"/>
    <w:rsid w:val="002C06BA"/>
    <w:rsid w:val="002C1F2F"/>
    <w:rsid w:val="002C2508"/>
    <w:rsid w:val="002C5BCD"/>
    <w:rsid w:val="002D18B7"/>
    <w:rsid w:val="002D3AF5"/>
    <w:rsid w:val="002D4CB1"/>
    <w:rsid w:val="002D76B1"/>
    <w:rsid w:val="002E1084"/>
    <w:rsid w:val="002E1860"/>
    <w:rsid w:val="002E52B1"/>
    <w:rsid w:val="002E538F"/>
    <w:rsid w:val="002E5C99"/>
    <w:rsid w:val="002E69AE"/>
    <w:rsid w:val="002F00D8"/>
    <w:rsid w:val="002F039C"/>
    <w:rsid w:val="002F175C"/>
    <w:rsid w:val="002F1942"/>
    <w:rsid w:val="002F4557"/>
    <w:rsid w:val="002F5159"/>
    <w:rsid w:val="002F582A"/>
    <w:rsid w:val="0030138D"/>
    <w:rsid w:val="00306124"/>
    <w:rsid w:val="00307164"/>
    <w:rsid w:val="003134AC"/>
    <w:rsid w:val="0031721B"/>
    <w:rsid w:val="00317544"/>
    <w:rsid w:val="00320E07"/>
    <w:rsid w:val="00321438"/>
    <w:rsid w:val="00321F98"/>
    <w:rsid w:val="0032230D"/>
    <w:rsid w:val="003229D8"/>
    <w:rsid w:val="00322F8A"/>
    <w:rsid w:val="00323632"/>
    <w:rsid w:val="00327502"/>
    <w:rsid w:val="00330BE1"/>
    <w:rsid w:val="00331F5B"/>
    <w:rsid w:val="003331BD"/>
    <w:rsid w:val="00340A69"/>
    <w:rsid w:val="00341E55"/>
    <w:rsid w:val="00342DBC"/>
    <w:rsid w:val="003433F1"/>
    <w:rsid w:val="00345647"/>
    <w:rsid w:val="00351398"/>
    <w:rsid w:val="00352709"/>
    <w:rsid w:val="00354AA8"/>
    <w:rsid w:val="00361E8A"/>
    <w:rsid w:val="00363A98"/>
    <w:rsid w:val="00364426"/>
    <w:rsid w:val="0036645D"/>
    <w:rsid w:val="003667AD"/>
    <w:rsid w:val="00366CF9"/>
    <w:rsid w:val="003674CE"/>
    <w:rsid w:val="00367567"/>
    <w:rsid w:val="003705C9"/>
    <w:rsid w:val="00371095"/>
    <w:rsid w:val="00371178"/>
    <w:rsid w:val="0037301C"/>
    <w:rsid w:val="003730DD"/>
    <w:rsid w:val="0037429D"/>
    <w:rsid w:val="00375119"/>
    <w:rsid w:val="00375CDD"/>
    <w:rsid w:val="00376720"/>
    <w:rsid w:val="00377828"/>
    <w:rsid w:val="00380E01"/>
    <w:rsid w:val="003823CB"/>
    <w:rsid w:val="0038336C"/>
    <w:rsid w:val="0038435C"/>
    <w:rsid w:val="00384F90"/>
    <w:rsid w:val="00386624"/>
    <w:rsid w:val="00387ECB"/>
    <w:rsid w:val="003903FC"/>
    <w:rsid w:val="0039245F"/>
    <w:rsid w:val="00392947"/>
    <w:rsid w:val="0039347E"/>
    <w:rsid w:val="003954DB"/>
    <w:rsid w:val="003A1602"/>
    <w:rsid w:val="003A325A"/>
    <w:rsid w:val="003A6810"/>
    <w:rsid w:val="003A6EFA"/>
    <w:rsid w:val="003A70FC"/>
    <w:rsid w:val="003A7AF2"/>
    <w:rsid w:val="003B2E07"/>
    <w:rsid w:val="003C02AB"/>
    <w:rsid w:val="003C14F4"/>
    <w:rsid w:val="003C2CC4"/>
    <w:rsid w:val="003C566E"/>
    <w:rsid w:val="003C730E"/>
    <w:rsid w:val="003D1C5A"/>
    <w:rsid w:val="003D2168"/>
    <w:rsid w:val="003D2795"/>
    <w:rsid w:val="003D3E59"/>
    <w:rsid w:val="003D4B23"/>
    <w:rsid w:val="003D52B0"/>
    <w:rsid w:val="003D5EF8"/>
    <w:rsid w:val="003D7AEE"/>
    <w:rsid w:val="003E2BA4"/>
    <w:rsid w:val="003E4173"/>
    <w:rsid w:val="003E5BA0"/>
    <w:rsid w:val="003E5C0D"/>
    <w:rsid w:val="003E6A36"/>
    <w:rsid w:val="003E6F7E"/>
    <w:rsid w:val="003F67BD"/>
    <w:rsid w:val="003F7D91"/>
    <w:rsid w:val="004050C4"/>
    <w:rsid w:val="00405473"/>
    <w:rsid w:val="00410C89"/>
    <w:rsid w:val="00414931"/>
    <w:rsid w:val="00414B35"/>
    <w:rsid w:val="00414F92"/>
    <w:rsid w:val="004217A4"/>
    <w:rsid w:val="004227C0"/>
    <w:rsid w:val="00423634"/>
    <w:rsid w:val="00423A59"/>
    <w:rsid w:val="00426B9B"/>
    <w:rsid w:val="00426F07"/>
    <w:rsid w:val="0043003F"/>
    <w:rsid w:val="00431396"/>
    <w:rsid w:val="004325CB"/>
    <w:rsid w:val="0043320F"/>
    <w:rsid w:val="004352DD"/>
    <w:rsid w:val="00436B33"/>
    <w:rsid w:val="00436E7E"/>
    <w:rsid w:val="00437253"/>
    <w:rsid w:val="00442A83"/>
    <w:rsid w:val="00442C9D"/>
    <w:rsid w:val="00442EB6"/>
    <w:rsid w:val="00445A57"/>
    <w:rsid w:val="00446ABC"/>
    <w:rsid w:val="00450D0E"/>
    <w:rsid w:val="00451963"/>
    <w:rsid w:val="0045285D"/>
    <w:rsid w:val="0045495B"/>
    <w:rsid w:val="00455B1A"/>
    <w:rsid w:val="00455C43"/>
    <w:rsid w:val="004607BF"/>
    <w:rsid w:val="004609C2"/>
    <w:rsid w:val="0046115E"/>
    <w:rsid w:val="00464446"/>
    <w:rsid w:val="004653C7"/>
    <w:rsid w:val="00466B4C"/>
    <w:rsid w:val="00466FA4"/>
    <w:rsid w:val="00467A53"/>
    <w:rsid w:val="0047173A"/>
    <w:rsid w:val="00472BD6"/>
    <w:rsid w:val="00473963"/>
    <w:rsid w:val="00476073"/>
    <w:rsid w:val="00476E09"/>
    <w:rsid w:val="00481CB1"/>
    <w:rsid w:val="00487488"/>
    <w:rsid w:val="00487FB8"/>
    <w:rsid w:val="0049219B"/>
    <w:rsid w:val="00492801"/>
    <w:rsid w:val="00492FCD"/>
    <w:rsid w:val="0049418F"/>
    <w:rsid w:val="00495A34"/>
    <w:rsid w:val="00495FB9"/>
    <w:rsid w:val="00497CBC"/>
    <w:rsid w:val="004A0821"/>
    <w:rsid w:val="004A2789"/>
    <w:rsid w:val="004A2841"/>
    <w:rsid w:val="004A28A7"/>
    <w:rsid w:val="004A4E95"/>
    <w:rsid w:val="004B0981"/>
    <w:rsid w:val="004C55DD"/>
    <w:rsid w:val="004D0446"/>
    <w:rsid w:val="004D1C88"/>
    <w:rsid w:val="004D5BD1"/>
    <w:rsid w:val="004E01F0"/>
    <w:rsid w:val="004E15CC"/>
    <w:rsid w:val="004F1D45"/>
    <w:rsid w:val="004F392D"/>
    <w:rsid w:val="004F5078"/>
    <w:rsid w:val="004F56B6"/>
    <w:rsid w:val="004F7287"/>
    <w:rsid w:val="0050328D"/>
    <w:rsid w:val="00505D08"/>
    <w:rsid w:val="005105B9"/>
    <w:rsid w:val="005125F0"/>
    <w:rsid w:val="005167F1"/>
    <w:rsid w:val="00516C94"/>
    <w:rsid w:val="00520400"/>
    <w:rsid w:val="0052136D"/>
    <w:rsid w:val="005232E6"/>
    <w:rsid w:val="00525395"/>
    <w:rsid w:val="0052775E"/>
    <w:rsid w:val="00533FA3"/>
    <w:rsid w:val="0053582A"/>
    <w:rsid w:val="005409DC"/>
    <w:rsid w:val="00540C11"/>
    <w:rsid w:val="00540F02"/>
    <w:rsid w:val="0054109A"/>
    <w:rsid w:val="0054150C"/>
    <w:rsid w:val="005420F2"/>
    <w:rsid w:val="00546665"/>
    <w:rsid w:val="005509CD"/>
    <w:rsid w:val="00550D3B"/>
    <w:rsid w:val="00555470"/>
    <w:rsid w:val="00560BA5"/>
    <w:rsid w:val="00561B68"/>
    <w:rsid w:val="005628B6"/>
    <w:rsid w:val="005640D1"/>
    <w:rsid w:val="00564714"/>
    <w:rsid w:val="00565BE7"/>
    <w:rsid w:val="0056624F"/>
    <w:rsid w:val="005722B3"/>
    <w:rsid w:val="00572DE0"/>
    <w:rsid w:val="00573277"/>
    <w:rsid w:val="0057585A"/>
    <w:rsid w:val="00575BA3"/>
    <w:rsid w:val="00577E84"/>
    <w:rsid w:val="005848B3"/>
    <w:rsid w:val="005854DF"/>
    <w:rsid w:val="00587573"/>
    <w:rsid w:val="005906A9"/>
    <w:rsid w:val="00590F87"/>
    <w:rsid w:val="00592C4A"/>
    <w:rsid w:val="005A0415"/>
    <w:rsid w:val="005A2ACD"/>
    <w:rsid w:val="005B09AE"/>
    <w:rsid w:val="005B15AD"/>
    <w:rsid w:val="005B38A5"/>
    <w:rsid w:val="005B3DB3"/>
    <w:rsid w:val="005B410E"/>
    <w:rsid w:val="005B4F61"/>
    <w:rsid w:val="005B6047"/>
    <w:rsid w:val="005B6F8E"/>
    <w:rsid w:val="005C112F"/>
    <w:rsid w:val="005C11C1"/>
    <w:rsid w:val="005C176E"/>
    <w:rsid w:val="005C1C11"/>
    <w:rsid w:val="005C2131"/>
    <w:rsid w:val="005C223E"/>
    <w:rsid w:val="005C3893"/>
    <w:rsid w:val="005C413D"/>
    <w:rsid w:val="005C4A9E"/>
    <w:rsid w:val="005C5103"/>
    <w:rsid w:val="005C658D"/>
    <w:rsid w:val="005D0679"/>
    <w:rsid w:val="005D5721"/>
    <w:rsid w:val="005D5835"/>
    <w:rsid w:val="005D5AF5"/>
    <w:rsid w:val="005D7CB5"/>
    <w:rsid w:val="005E021C"/>
    <w:rsid w:val="005E2F71"/>
    <w:rsid w:val="005E40CF"/>
    <w:rsid w:val="005E5805"/>
    <w:rsid w:val="005E77C5"/>
    <w:rsid w:val="005E783D"/>
    <w:rsid w:val="005F06C6"/>
    <w:rsid w:val="005F5699"/>
    <w:rsid w:val="005F7717"/>
    <w:rsid w:val="005F7B75"/>
    <w:rsid w:val="005F7F93"/>
    <w:rsid w:val="006001B0"/>
    <w:rsid w:val="006001EE"/>
    <w:rsid w:val="0060299F"/>
    <w:rsid w:val="00605042"/>
    <w:rsid w:val="00606E44"/>
    <w:rsid w:val="00607BC1"/>
    <w:rsid w:val="006108E0"/>
    <w:rsid w:val="00611FC4"/>
    <w:rsid w:val="00613FE0"/>
    <w:rsid w:val="006148AF"/>
    <w:rsid w:val="006160CB"/>
    <w:rsid w:val="006176FB"/>
    <w:rsid w:val="006239C9"/>
    <w:rsid w:val="00623FD3"/>
    <w:rsid w:val="0062462D"/>
    <w:rsid w:val="0062630E"/>
    <w:rsid w:val="006274AD"/>
    <w:rsid w:val="00627FB0"/>
    <w:rsid w:val="00631C31"/>
    <w:rsid w:val="00632E25"/>
    <w:rsid w:val="0063379B"/>
    <w:rsid w:val="00640B26"/>
    <w:rsid w:val="00640C76"/>
    <w:rsid w:val="00645379"/>
    <w:rsid w:val="00645949"/>
    <w:rsid w:val="00646860"/>
    <w:rsid w:val="006507CD"/>
    <w:rsid w:val="0065298C"/>
    <w:rsid w:val="00652D0A"/>
    <w:rsid w:val="00653DBF"/>
    <w:rsid w:val="00654447"/>
    <w:rsid w:val="00660559"/>
    <w:rsid w:val="00662BB6"/>
    <w:rsid w:val="006637A4"/>
    <w:rsid w:val="006639CE"/>
    <w:rsid w:val="00665EB7"/>
    <w:rsid w:val="00671510"/>
    <w:rsid w:val="00671948"/>
    <w:rsid w:val="00672110"/>
    <w:rsid w:val="006743E9"/>
    <w:rsid w:val="0067475A"/>
    <w:rsid w:val="00674B0A"/>
    <w:rsid w:val="00674D65"/>
    <w:rsid w:val="00681702"/>
    <w:rsid w:val="00682284"/>
    <w:rsid w:val="006838C8"/>
    <w:rsid w:val="00684B7A"/>
    <w:rsid w:val="00684C21"/>
    <w:rsid w:val="00685FA6"/>
    <w:rsid w:val="0068743C"/>
    <w:rsid w:val="00692BBE"/>
    <w:rsid w:val="00694AE6"/>
    <w:rsid w:val="006954C6"/>
    <w:rsid w:val="00695991"/>
    <w:rsid w:val="00696A17"/>
    <w:rsid w:val="0069763E"/>
    <w:rsid w:val="00697F3E"/>
    <w:rsid w:val="006A146C"/>
    <w:rsid w:val="006B346D"/>
    <w:rsid w:val="006B4FA2"/>
    <w:rsid w:val="006B58E5"/>
    <w:rsid w:val="006C0435"/>
    <w:rsid w:val="006C05C1"/>
    <w:rsid w:val="006C3AD1"/>
    <w:rsid w:val="006C65A6"/>
    <w:rsid w:val="006D37AF"/>
    <w:rsid w:val="006D51D0"/>
    <w:rsid w:val="006D53C0"/>
    <w:rsid w:val="006D5457"/>
    <w:rsid w:val="006D5961"/>
    <w:rsid w:val="006E212F"/>
    <w:rsid w:val="006E3394"/>
    <w:rsid w:val="006E5067"/>
    <w:rsid w:val="006E564B"/>
    <w:rsid w:val="006E5A29"/>
    <w:rsid w:val="006E7191"/>
    <w:rsid w:val="006E7196"/>
    <w:rsid w:val="006F30DF"/>
    <w:rsid w:val="006F464F"/>
    <w:rsid w:val="006F52C5"/>
    <w:rsid w:val="006F6515"/>
    <w:rsid w:val="00703577"/>
    <w:rsid w:val="00705625"/>
    <w:rsid w:val="00706988"/>
    <w:rsid w:val="0071171F"/>
    <w:rsid w:val="00711F00"/>
    <w:rsid w:val="00713571"/>
    <w:rsid w:val="00713C74"/>
    <w:rsid w:val="00715DDD"/>
    <w:rsid w:val="00716EC7"/>
    <w:rsid w:val="00717ADC"/>
    <w:rsid w:val="0072082B"/>
    <w:rsid w:val="0072328C"/>
    <w:rsid w:val="0072632A"/>
    <w:rsid w:val="00726A48"/>
    <w:rsid w:val="00727C31"/>
    <w:rsid w:val="007327D5"/>
    <w:rsid w:val="00732876"/>
    <w:rsid w:val="00734ABE"/>
    <w:rsid w:val="00735CA1"/>
    <w:rsid w:val="00735F4E"/>
    <w:rsid w:val="00736EAD"/>
    <w:rsid w:val="00736F64"/>
    <w:rsid w:val="00737DF8"/>
    <w:rsid w:val="0074315D"/>
    <w:rsid w:val="007435F7"/>
    <w:rsid w:val="007449A6"/>
    <w:rsid w:val="00746750"/>
    <w:rsid w:val="00746D61"/>
    <w:rsid w:val="007509EB"/>
    <w:rsid w:val="00750FC5"/>
    <w:rsid w:val="0075395D"/>
    <w:rsid w:val="00760B80"/>
    <w:rsid w:val="00762878"/>
    <w:rsid w:val="00762922"/>
    <w:rsid w:val="007629C8"/>
    <w:rsid w:val="00762E39"/>
    <w:rsid w:val="007635DF"/>
    <w:rsid w:val="00764972"/>
    <w:rsid w:val="00765ECB"/>
    <w:rsid w:val="007661CD"/>
    <w:rsid w:val="00770F3B"/>
    <w:rsid w:val="0077327C"/>
    <w:rsid w:val="007734E8"/>
    <w:rsid w:val="007734FC"/>
    <w:rsid w:val="007740F1"/>
    <w:rsid w:val="00774ED7"/>
    <w:rsid w:val="00776E5E"/>
    <w:rsid w:val="00777322"/>
    <w:rsid w:val="00781C83"/>
    <w:rsid w:val="0078300D"/>
    <w:rsid w:val="00785DB2"/>
    <w:rsid w:val="0078601B"/>
    <w:rsid w:val="0078676D"/>
    <w:rsid w:val="00787E5D"/>
    <w:rsid w:val="0079034E"/>
    <w:rsid w:val="00792116"/>
    <w:rsid w:val="0079681E"/>
    <w:rsid w:val="007A0EB2"/>
    <w:rsid w:val="007A212F"/>
    <w:rsid w:val="007A36C9"/>
    <w:rsid w:val="007A3B81"/>
    <w:rsid w:val="007B2EBF"/>
    <w:rsid w:val="007B3302"/>
    <w:rsid w:val="007B412F"/>
    <w:rsid w:val="007B41DA"/>
    <w:rsid w:val="007B67AE"/>
    <w:rsid w:val="007B6BA5"/>
    <w:rsid w:val="007C1241"/>
    <w:rsid w:val="007C2A7D"/>
    <w:rsid w:val="007C3390"/>
    <w:rsid w:val="007C3FFB"/>
    <w:rsid w:val="007C4F4B"/>
    <w:rsid w:val="007C55BE"/>
    <w:rsid w:val="007C784F"/>
    <w:rsid w:val="007D00CF"/>
    <w:rsid w:val="007D2684"/>
    <w:rsid w:val="007D564F"/>
    <w:rsid w:val="007E0B2D"/>
    <w:rsid w:val="007E0DFA"/>
    <w:rsid w:val="007E0ED5"/>
    <w:rsid w:val="007E41CA"/>
    <w:rsid w:val="007E4594"/>
    <w:rsid w:val="007E4BBE"/>
    <w:rsid w:val="007E533F"/>
    <w:rsid w:val="007E5EA4"/>
    <w:rsid w:val="007F098E"/>
    <w:rsid w:val="007F12FC"/>
    <w:rsid w:val="007F167F"/>
    <w:rsid w:val="007F2D0D"/>
    <w:rsid w:val="007F3A2C"/>
    <w:rsid w:val="007F4853"/>
    <w:rsid w:val="007F6611"/>
    <w:rsid w:val="007F7A13"/>
    <w:rsid w:val="0081043C"/>
    <w:rsid w:val="008105B8"/>
    <w:rsid w:val="00811D06"/>
    <w:rsid w:val="008123D2"/>
    <w:rsid w:val="00812971"/>
    <w:rsid w:val="00813327"/>
    <w:rsid w:val="008146B2"/>
    <w:rsid w:val="00816972"/>
    <w:rsid w:val="00816E23"/>
    <w:rsid w:val="00816EE0"/>
    <w:rsid w:val="00817A02"/>
    <w:rsid w:val="008216A5"/>
    <w:rsid w:val="00821A8D"/>
    <w:rsid w:val="00821E25"/>
    <w:rsid w:val="0082420A"/>
    <w:rsid w:val="008242D7"/>
    <w:rsid w:val="00824565"/>
    <w:rsid w:val="00824C73"/>
    <w:rsid w:val="00824FE2"/>
    <w:rsid w:val="00825659"/>
    <w:rsid w:val="008257B1"/>
    <w:rsid w:val="00825B68"/>
    <w:rsid w:val="00827758"/>
    <w:rsid w:val="008309E6"/>
    <w:rsid w:val="00830FF4"/>
    <w:rsid w:val="0083185A"/>
    <w:rsid w:val="0083223B"/>
    <w:rsid w:val="00833370"/>
    <w:rsid w:val="008379A8"/>
    <w:rsid w:val="0084033C"/>
    <w:rsid w:val="008406D2"/>
    <w:rsid w:val="0084126F"/>
    <w:rsid w:val="00841CF1"/>
    <w:rsid w:val="00843767"/>
    <w:rsid w:val="00843CC9"/>
    <w:rsid w:val="00846666"/>
    <w:rsid w:val="00847B18"/>
    <w:rsid w:val="00851F2A"/>
    <w:rsid w:val="00854DFD"/>
    <w:rsid w:val="00855E6F"/>
    <w:rsid w:val="00856F01"/>
    <w:rsid w:val="00861599"/>
    <w:rsid w:val="0086457A"/>
    <w:rsid w:val="00864797"/>
    <w:rsid w:val="008655A1"/>
    <w:rsid w:val="008679D9"/>
    <w:rsid w:val="00871051"/>
    <w:rsid w:val="00871750"/>
    <w:rsid w:val="00872A6B"/>
    <w:rsid w:val="00872F86"/>
    <w:rsid w:val="008730D5"/>
    <w:rsid w:val="008747BF"/>
    <w:rsid w:val="00875F71"/>
    <w:rsid w:val="00875FE5"/>
    <w:rsid w:val="00880AF2"/>
    <w:rsid w:val="00883BBF"/>
    <w:rsid w:val="0088481C"/>
    <w:rsid w:val="00884FCB"/>
    <w:rsid w:val="0088719B"/>
    <w:rsid w:val="00891792"/>
    <w:rsid w:val="00891C2B"/>
    <w:rsid w:val="00894F53"/>
    <w:rsid w:val="00896597"/>
    <w:rsid w:val="008979B1"/>
    <w:rsid w:val="00897F0A"/>
    <w:rsid w:val="008A00C8"/>
    <w:rsid w:val="008A09B5"/>
    <w:rsid w:val="008A1C2F"/>
    <w:rsid w:val="008A1DB2"/>
    <w:rsid w:val="008A6B25"/>
    <w:rsid w:val="008A6C4F"/>
    <w:rsid w:val="008B012F"/>
    <w:rsid w:val="008B2335"/>
    <w:rsid w:val="008B629E"/>
    <w:rsid w:val="008C0D17"/>
    <w:rsid w:val="008C22CC"/>
    <w:rsid w:val="008C3223"/>
    <w:rsid w:val="008C3294"/>
    <w:rsid w:val="008C4B5A"/>
    <w:rsid w:val="008C4EDC"/>
    <w:rsid w:val="008C6E58"/>
    <w:rsid w:val="008C77CB"/>
    <w:rsid w:val="008D0C03"/>
    <w:rsid w:val="008D1459"/>
    <w:rsid w:val="008D1908"/>
    <w:rsid w:val="008D299D"/>
    <w:rsid w:val="008D2A46"/>
    <w:rsid w:val="008E0678"/>
    <w:rsid w:val="008E0CFD"/>
    <w:rsid w:val="008E4C4F"/>
    <w:rsid w:val="008E5A83"/>
    <w:rsid w:val="008E5FF6"/>
    <w:rsid w:val="008E6067"/>
    <w:rsid w:val="008F0336"/>
    <w:rsid w:val="008F0E3C"/>
    <w:rsid w:val="008F16E4"/>
    <w:rsid w:val="008F1FA8"/>
    <w:rsid w:val="008F6145"/>
    <w:rsid w:val="00900036"/>
    <w:rsid w:val="009002FE"/>
    <w:rsid w:val="00903876"/>
    <w:rsid w:val="009062A7"/>
    <w:rsid w:val="0090637F"/>
    <w:rsid w:val="00910F40"/>
    <w:rsid w:val="00912C08"/>
    <w:rsid w:val="00913616"/>
    <w:rsid w:val="0091377B"/>
    <w:rsid w:val="009223CA"/>
    <w:rsid w:val="00930548"/>
    <w:rsid w:val="009377CE"/>
    <w:rsid w:val="00937F60"/>
    <w:rsid w:val="0094095A"/>
    <w:rsid w:val="00940F93"/>
    <w:rsid w:val="00944934"/>
    <w:rsid w:val="00946696"/>
    <w:rsid w:val="00946BF1"/>
    <w:rsid w:val="00947422"/>
    <w:rsid w:val="00951EAC"/>
    <w:rsid w:val="0095347F"/>
    <w:rsid w:val="00953725"/>
    <w:rsid w:val="009568BE"/>
    <w:rsid w:val="0096073F"/>
    <w:rsid w:val="00960911"/>
    <w:rsid w:val="00960C7F"/>
    <w:rsid w:val="009633D7"/>
    <w:rsid w:val="00965C09"/>
    <w:rsid w:val="00967F59"/>
    <w:rsid w:val="009701C4"/>
    <w:rsid w:val="00970EA1"/>
    <w:rsid w:val="00970EED"/>
    <w:rsid w:val="00972C38"/>
    <w:rsid w:val="009735A8"/>
    <w:rsid w:val="00973F26"/>
    <w:rsid w:val="00974EF5"/>
    <w:rsid w:val="009760F3"/>
    <w:rsid w:val="009800FA"/>
    <w:rsid w:val="00980EA8"/>
    <w:rsid w:val="009817F4"/>
    <w:rsid w:val="009873ED"/>
    <w:rsid w:val="009909F5"/>
    <w:rsid w:val="00990FCA"/>
    <w:rsid w:val="0099515D"/>
    <w:rsid w:val="00996051"/>
    <w:rsid w:val="009960E6"/>
    <w:rsid w:val="009A078E"/>
    <w:rsid w:val="009A0E8D"/>
    <w:rsid w:val="009A19F8"/>
    <w:rsid w:val="009B0FC5"/>
    <w:rsid w:val="009B16A7"/>
    <w:rsid w:val="009B26E7"/>
    <w:rsid w:val="009B58BD"/>
    <w:rsid w:val="009C162C"/>
    <w:rsid w:val="009C377C"/>
    <w:rsid w:val="009C3FF1"/>
    <w:rsid w:val="009C4FB2"/>
    <w:rsid w:val="009C50D8"/>
    <w:rsid w:val="009C60EB"/>
    <w:rsid w:val="009C6DFE"/>
    <w:rsid w:val="009D1E8D"/>
    <w:rsid w:val="009D4B55"/>
    <w:rsid w:val="009E2F54"/>
    <w:rsid w:val="009E7D26"/>
    <w:rsid w:val="009F03D3"/>
    <w:rsid w:val="009F2AC1"/>
    <w:rsid w:val="009F49B1"/>
    <w:rsid w:val="009F5182"/>
    <w:rsid w:val="009F54E1"/>
    <w:rsid w:val="009F7636"/>
    <w:rsid w:val="00A00A3F"/>
    <w:rsid w:val="00A01489"/>
    <w:rsid w:val="00A017A9"/>
    <w:rsid w:val="00A018AB"/>
    <w:rsid w:val="00A03ED0"/>
    <w:rsid w:val="00A06DB2"/>
    <w:rsid w:val="00A11771"/>
    <w:rsid w:val="00A17418"/>
    <w:rsid w:val="00A206FC"/>
    <w:rsid w:val="00A230A0"/>
    <w:rsid w:val="00A232DB"/>
    <w:rsid w:val="00A26063"/>
    <w:rsid w:val="00A27889"/>
    <w:rsid w:val="00A31B81"/>
    <w:rsid w:val="00A338F1"/>
    <w:rsid w:val="00A33C96"/>
    <w:rsid w:val="00A343D0"/>
    <w:rsid w:val="00A347E0"/>
    <w:rsid w:val="00A35E72"/>
    <w:rsid w:val="00A377A8"/>
    <w:rsid w:val="00A41A5C"/>
    <w:rsid w:val="00A42B98"/>
    <w:rsid w:val="00A44487"/>
    <w:rsid w:val="00A44615"/>
    <w:rsid w:val="00A447CC"/>
    <w:rsid w:val="00A45353"/>
    <w:rsid w:val="00A4728C"/>
    <w:rsid w:val="00A47874"/>
    <w:rsid w:val="00A52D60"/>
    <w:rsid w:val="00A52FFA"/>
    <w:rsid w:val="00A647C7"/>
    <w:rsid w:val="00A65032"/>
    <w:rsid w:val="00A70EA1"/>
    <w:rsid w:val="00A7112B"/>
    <w:rsid w:val="00A72C70"/>
    <w:rsid w:val="00A72F22"/>
    <w:rsid w:val="00A7360F"/>
    <w:rsid w:val="00A748A6"/>
    <w:rsid w:val="00A74E9D"/>
    <w:rsid w:val="00A75355"/>
    <w:rsid w:val="00A76648"/>
    <w:rsid w:val="00A769F4"/>
    <w:rsid w:val="00A776B4"/>
    <w:rsid w:val="00A777C5"/>
    <w:rsid w:val="00A777CF"/>
    <w:rsid w:val="00A81D4E"/>
    <w:rsid w:val="00A85EA0"/>
    <w:rsid w:val="00A9008E"/>
    <w:rsid w:val="00A91A32"/>
    <w:rsid w:val="00A94361"/>
    <w:rsid w:val="00A95FBA"/>
    <w:rsid w:val="00A96BCF"/>
    <w:rsid w:val="00A97E2A"/>
    <w:rsid w:val="00A97F19"/>
    <w:rsid w:val="00AA293C"/>
    <w:rsid w:val="00AA2D0D"/>
    <w:rsid w:val="00AA56FB"/>
    <w:rsid w:val="00AA672A"/>
    <w:rsid w:val="00AA6FA4"/>
    <w:rsid w:val="00AB0648"/>
    <w:rsid w:val="00AB19FA"/>
    <w:rsid w:val="00AB2855"/>
    <w:rsid w:val="00AB39FA"/>
    <w:rsid w:val="00AB45A3"/>
    <w:rsid w:val="00AB4CA5"/>
    <w:rsid w:val="00AB5386"/>
    <w:rsid w:val="00AB5490"/>
    <w:rsid w:val="00AC3B70"/>
    <w:rsid w:val="00AC4B52"/>
    <w:rsid w:val="00AC505B"/>
    <w:rsid w:val="00AC6A0A"/>
    <w:rsid w:val="00AD14B8"/>
    <w:rsid w:val="00AD18CA"/>
    <w:rsid w:val="00AD3CBC"/>
    <w:rsid w:val="00AD46B8"/>
    <w:rsid w:val="00AE1CFF"/>
    <w:rsid w:val="00AE3A93"/>
    <w:rsid w:val="00AE4730"/>
    <w:rsid w:val="00AE50CE"/>
    <w:rsid w:val="00AE55CB"/>
    <w:rsid w:val="00AE673B"/>
    <w:rsid w:val="00AF0BB7"/>
    <w:rsid w:val="00AF1A44"/>
    <w:rsid w:val="00AF3148"/>
    <w:rsid w:val="00AF34D9"/>
    <w:rsid w:val="00AF3797"/>
    <w:rsid w:val="00AF5CCF"/>
    <w:rsid w:val="00AF7286"/>
    <w:rsid w:val="00B02439"/>
    <w:rsid w:val="00B03884"/>
    <w:rsid w:val="00B03AC1"/>
    <w:rsid w:val="00B04543"/>
    <w:rsid w:val="00B10640"/>
    <w:rsid w:val="00B1156E"/>
    <w:rsid w:val="00B11BC2"/>
    <w:rsid w:val="00B13E9B"/>
    <w:rsid w:val="00B16852"/>
    <w:rsid w:val="00B16940"/>
    <w:rsid w:val="00B174D5"/>
    <w:rsid w:val="00B2280C"/>
    <w:rsid w:val="00B23D94"/>
    <w:rsid w:val="00B23E07"/>
    <w:rsid w:val="00B25A5F"/>
    <w:rsid w:val="00B25D3D"/>
    <w:rsid w:val="00B25D50"/>
    <w:rsid w:val="00B2683D"/>
    <w:rsid w:val="00B30179"/>
    <w:rsid w:val="00B32647"/>
    <w:rsid w:val="00B339A7"/>
    <w:rsid w:val="00B33ABD"/>
    <w:rsid w:val="00B36917"/>
    <w:rsid w:val="00B37097"/>
    <w:rsid w:val="00B41A37"/>
    <w:rsid w:val="00B41ACB"/>
    <w:rsid w:val="00B42976"/>
    <w:rsid w:val="00B44371"/>
    <w:rsid w:val="00B46514"/>
    <w:rsid w:val="00B467BE"/>
    <w:rsid w:val="00B46DF7"/>
    <w:rsid w:val="00B47DB8"/>
    <w:rsid w:val="00B503FD"/>
    <w:rsid w:val="00B55522"/>
    <w:rsid w:val="00B56E4A"/>
    <w:rsid w:val="00B56E9C"/>
    <w:rsid w:val="00B60748"/>
    <w:rsid w:val="00B62DBE"/>
    <w:rsid w:val="00B64B1F"/>
    <w:rsid w:val="00B6524C"/>
    <w:rsid w:val="00B6553F"/>
    <w:rsid w:val="00B66712"/>
    <w:rsid w:val="00B66E5E"/>
    <w:rsid w:val="00B739B5"/>
    <w:rsid w:val="00B73DC3"/>
    <w:rsid w:val="00B75052"/>
    <w:rsid w:val="00B76950"/>
    <w:rsid w:val="00B77D05"/>
    <w:rsid w:val="00B81206"/>
    <w:rsid w:val="00B8190A"/>
    <w:rsid w:val="00B81E12"/>
    <w:rsid w:val="00B85756"/>
    <w:rsid w:val="00B85AF8"/>
    <w:rsid w:val="00B8650D"/>
    <w:rsid w:val="00B86C63"/>
    <w:rsid w:val="00B9067B"/>
    <w:rsid w:val="00B915E0"/>
    <w:rsid w:val="00B94491"/>
    <w:rsid w:val="00B94665"/>
    <w:rsid w:val="00B95A99"/>
    <w:rsid w:val="00B96623"/>
    <w:rsid w:val="00B968B5"/>
    <w:rsid w:val="00B97074"/>
    <w:rsid w:val="00B970D1"/>
    <w:rsid w:val="00B97AFE"/>
    <w:rsid w:val="00BA0869"/>
    <w:rsid w:val="00BA389C"/>
    <w:rsid w:val="00BA434C"/>
    <w:rsid w:val="00BA5934"/>
    <w:rsid w:val="00BB22D5"/>
    <w:rsid w:val="00BB3EAA"/>
    <w:rsid w:val="00BB6283"/>
    <w:rsid w:val="00BC01E3"/>
    <w:rsid w:val="00BC2C23"/>
    <w:rsid w:val="00BC2D74"/>
    <w:rsid w:val="00BC48F3"/>
    <w:rsid w:val="00BC5363"/>
    <w:rsid w:val="00BC6E5E"/>
    <w:rsid w:val="00BC74E9"/>
    <w:rsid w:val="00BD6CE9"/>
    <w:rsid w:val="00BD78AC"/>
    <w:rsid w:val="00BE26B2"/>
    <w:rsid w:val="00BE4F3F"/>
    <w:rsid w:val="00BE62B5"/>
    <w:rsid w:val="00BF0285"/>
    <w:rsid w:val="00BF0311"/>
    <w:rsid w:val="00BF4613"/>
    <w:rsid w:val="00BF61C5"/>
    <w:rsid w:val="00BF68A8"/>
    <w:rsid w:val="00BF72FD"/>
    <w:rsid w:val="00C00739"/>
    <w:rsid w:val="00C00847"/>
    <w:rsid w:val="00C02E7A"/>
    <w:rsid w:val="00C04639"/>
    <w:rsid w:val="00C06276"/>
    <w:rsid w:val="00C065DB"/>
    <w:rsid w:val="00C11092"/>
    <w:rsid w:val="00C11207"/>
    <w:rsid w:val="00C11870"/>
    <w:rsid w:val="00C11A03"/>
    <w:rsid w:val="00C11E6B"/>
    <w:rsid w:val="00C144EC"/>
    <w:rsid w:val="00C14620"/>
    <w:rsid w:val="00C159F7"/>
    <w:rsid w:val="00C15FAA"/>
    <w:rsid w:val="00C16376"/>
    <w:rsid w:val="00C20A72"/>
    <w:rsid w:val="00C2284D"/>
    <w:rsid w:val="00C2473F"/>
    <w:rsid w:val="00C33A42"/>
    <w:rsid w:val="00C34926"/>
    <w:rsid w:val="00C418BB"/>
    <w:rsid w:val="00C42190"/>
    <w:rsid w:val="00C42EAF"/>
    <w:rsid w:val="00C440AC"/>
    <w:rsid w:val="00C44D49"/>
    <w:rsid w:val="00C463DD"/>
    <w:rsid w:val="00C46474"/>
    <w:rsid w:val="00C4724C"/>
    <w:rsid w:val="00C47927"/>
    <w:rsid w:val="00C50356"/>
    <w:rsid w:val="00C50D9F"/>
    <w:rsid w:val="00C50ECF"/>
    <w:rsid w:val="00C53963"/>
    <w:rsid w:val="00C55706"/>
    <w:rsid w:val="00C55779"/>
    <w:rsid w:val="00C56114"/>
    <w:rsid w:val="00C57A10"/>
    <w:rsid w:val="00C606D3"/>
    <w:rsid w:val="00C61C48"/>
    <w:rsid w:val="00C629A0"/>
    <w:rsid w:val="00C651DA"/>
    <w:rsid w:val="00C72A57"/>
    <w:rsid w:val="00C73736"/>
    <w:rsid w:val="00C745C3"/>
    <w:rsid w:val="00C76890"/>
    <w:rsid w:val="00C7728B"/>
    <w:rsid w:val="00C80234"/>
    <w:rsid w:val="00C803EC"/>
    <w:rsid w:val="00C819E8"/>
    <w:rsid w:val="00C8504E"/>
    <w:rsid w:val="00C85113"/>
    <w:rsid w:val="00C861CA"/>
    <w:rsid w:val="00C918F3"/>
    <w:rsid w:val="00C93256"/>
    <w:rsid w:val="00C94DC9"/>
    <w:rsid w:val="00CA3EFF"/>
    <w:rsid w:val="00CB1D44"/>
    <w:rsid w:val="00CB351A"/>
    <w:rsid w:val="00CB6E28"/>
    <w:rsid w:val="00CC03E1"/>
    <w:rsid w:val="00CC0BB4"/>
    <w:rsid w:val="00CC2C70"/>
    <w:rsid w:val="00CC53BC"/>
    <w:rsid w:val="00CC6081"/>
    <w:rsid w:val="00CC7A0E"/>
    <w:rsid w:val="00CD4D78"/>
    <w:rsid w:val="00CE089B"/>
    <w:rsid w:val="00CE418D"/>
    <w:rsid w:val="00CE4A8F"/>
    <w:rsid w:val="00CE736B"/>
    <w:rsid w:val="00CF1984"/>
    <w:rsid w:val="00CF2621"/>
    <w:rsid w:val="00CF76D6"/>
    <w:rsid w:val="00D02C2A"/>
    <w:rsid w:val="00D06AB9"/>
    <w:rsid w:val="00D06B7E"/>
    <w:rsid w:val="00D11C79"/>
    <w:rsid w:val="00D12158"/>
    <w:rsid w:val="00D1315B"/>
    <w:rsid w:val="00D13268"/>
    <w:rsid w:val="00D141CF"/>
    <w:rsid w:val="00D2031B"/>
    <w:rsid w:val="00D2481C"/>
    <w:rsid w:val="00D248A0"/>
    <w:rsid w:val="00D257E7"/>
    <w:rsid w:val="00D25FE2"/>
    <w:rsid w:val="00D2637A"/>
    <w:rsid w:val="00D3001F"/>
    <w:rsid w:val="00D30034"/>
    <w:rsid w:val="00D3430C"/>
    <w:rsid w:val="00D35B7F"/>
    <w:rsid w:val="00D35FCA"/>
    <w:rsid w:val="00D42C6C"/>
    <w:rsid w:val="00D43252"/>
    <w:rsid w:val="00D43E06"/>
    <w:rsid w:val="00D46C27"/>
    <w:rsid w:val="00D47EEA"/>
    <w:rsid w:val="00D47F7B"/>
    <w:rsid w:val="00D501D0"/>
    <w:rsid w:val="00D509AE"/>
    <w:rsid w:val="00D51D6E"/>
    <w:rsid w:val="00D5361D"/>
    <w:rsid w:val="00D53BAD"/>
    <w:rsid w:val="00D543C9"/>
    <w:rsid w:val="00D56F46"/>
    <w:rsid w:val="00D6148A"/>
    <w:rsid w:val="00D62D0F"/>
    <w:rsid w:val="00D6337A"/>
    <w:rsid w:val="00D64EC5"/>
    <w:rsid w:val="00D70BF9"/>
    <w:rsid w:val="00D729E4"/>
    <w:rsid w:val="00D73CB8"/>
    <w:rsid w:val="00D80EDF"/>
    <w:rsid w:val="00D864CC"/>
    <w:rsid w:val="00D872C2"/>
    <w:rsid w:val="00D90F93"/>
    <w:rsid w:val="00D91275"/>
    <w:rsid w:val="00D913B0"/>
    <w:rsid w:val="00D94BB8"/>
    <w:rsid w:val="00D94CDD"/>
    <w:rsid w:val="00D95303"/>
    <w:rsid w:val="00D96E57"/>
    <w:rsid w:val="00D97597"/>
    <w:rsid w:val="00D975A7"/>
    <w:rsid w:val="00D978C6"/>
    <w:rsid w:val="00DA3111"/>
    <w:rsid w:val="00DA3C1C"/>
    <w:rsid w:val="00DA44C0"/>
    <w:rsid w:val="00DA4BBB"/>
    <w:rsid w:val="00DB0C79"/>
    <w:rsid w:val="00DB2CE7"/>
    <w:rsid w:val="00DB5724"/>
    <w:rsid w:val="00DB5B2F"/>
    <w:rsid w:val="00DC0714"/>
    <w:rsid w:val="00DC088A"/>
    <w:rsid w:val="00DC0C80"/>
    <w:rsid w:val="00DC465A"/>
    <w:rsid w:val="00DD2848"/>
    <w:rsid w:val="00DD471E"/>
    <w:rsid w:val="00DD58BE"/>
    <w:rsid w:val="00DD593B"/>
    <w:rsid w:val="00DE1DF6"/>
    <w:rsid w:val="00DE79A8"/>
    <w:rsid w:val="00DE7F59"/>
    <w:rsid w:val="00DF0799"/>
    <w:rsid w:val="00DF528D"/>
    <w:rsid w:val="00E012FD"/>
    <w:rsid w:val="00E104C9"/>
    <w:rsid w:val="00E142AF"/>
    <w:rsid w:val="00E14989"/>
    <w:rsid w:val="00E15CC1"/>
    <w:rsid w:val="00E17C73"/>
    <w:rsid w:val="00E209FD"/>
    <w:rsid w:val="00E21400"/>
    <w:rsid w:val="00E25E54"/>
    <w:rsid w:val="00E27346"/>
    <w:rsid w:val="00E31E79"/>
    <w:rsid w:val="00E34156"/>
    <w:rsid w:val="00E35AD2"/>
    <w:rsid w:val="00E40A07"/>
    <w:rsid w:val="00E41BFE"/>
    <w:rsid w:val="00E41FC2"/>
    <w:rsid w:val="00E4363C"/>
    <w:rsid w:val="00E53D02"/>
    <w:rsid w:val="00E6074E"/>
    <w:rsid w:val="00E61088"/>
    <w:rsid w:val="00E632CC"/>
    <w:rsid w:val="00E64123"/>
    <w:rsid w:val="00E65396"/>
    <w:rsid w:val="00E67325"/>
    <w:rsid w:val="00E67DDB"/>
    <w:rsid w:val="00E71BC8"/>
    <w:rsid w:val="00E7260F"/>
    <w:rsid w:val="00E74206"/>
    <w:rsid w:val="00E77185"/>
    <w:rsid w:val="00E779FC"/>
    <w:rsid w:val="00E848D3"/>
    <w:rsid w:val="00E849B2"/>
    <w:rsid w:val="00E85728"/>
    <w:rsid w:val="00E86349"/>
    <w:rsid w:val="00E915AE"/>
    <w:rsid w:val="00E9205D"/>
    <w:rsid w:val="00E921CF"/>
    <w:rsid w:val="00E94466"/>
    <w:rsid w:val="00E96630"/>
    <w:rsid w:val="00EA0822"/>
    <w:rsid w:val="00EA1D97"/>
    <w:rsid w:val="00EA31F7"/>
    <w:rsid w:val="00EB11F3"/>
    <w:rsid w:val="00EB2581"/>
    <w:rsid w:val="00EB5373"/>
    <w:rsid w:val="00EB72C9"/>
    <w:rsid w:val="00EC14EF"/>
    <w:rsid w:val="00EC45AD"/>
    <w:rsid w:val="00EC4B91"/>
    <w:rsid w:val="00ED00FD"/>
    <w:rsid w:val="00ED16A2"/>
    <w:rsid w:val="00ED6970"/>
    <w:rsid w:val="00ED7A2A"/>
    <w:rsid w:val="00ED7E6E"/>
    <w:rsid w:val="00EE37B7"/>
    <w:rsid w:val="00EE5C7E"/>
    <w:rsid w:val="00EE6929"/>
    <w:rsid w:val="00EE6B37"/>
    <w:rsid w:val="00EF0235"/>
    <w:rsid w:val="00EF0C54"/>
    <w:rsid w:val="00EF162E"/>
    <w:rsid w:val="00EF1D7A"/>
    <w:rsid w:val="00EF1D7F"/>
    <w:rsid w:val="00EF306B"/>
    <w:rsid w:val="00EF3514"/>
    <w:rsid w:val="00EF560D"/>
    <w:rsid w:val="00F00747"/>
    <w:rsid w:val="00F01423"/>
    <w:rsid w:val="00F01F3B"/>
    <w:rsid w:val="00F03190"/>
    <w:rsid w:val="00F03A99"/>
    <w:rsid w:val="00F0403F"/>
    <w:rsid w:val="00F04475"/>
    <w:rsid w:val="00F04CDE"/>
    <w:rsid w:val="00F075CC"/>
    <w:rsid w:val="00F11D19"/>
    <w:rsid w:val="00F17BD5"/>
    <w:rsid w:val="00F20C3D"/>
    <w:rsid w:val="00F21FE3"/>
    <w:rsid w:val="00F22E3E"/>
    <w:rsid w:val="00F24F92"/>
    <w:rsid w:val="00F2653D"/>
    <w:rsid w:val="00F3026E"/>
    <w:rsid w:val="00F31056"/>
    <w:rsid w:val="00F31242"/>
    <w:rsid w:val="00F34D48"/>
    <w:rsid w:val="00F35149"/>
    <w:rsid w:val="00F373CD"/>
    <w:rsid w:val="00F41576"/>
    <w:rsid w:val="00F41B9F"/>
    <w:rsid w:val="00F41F7D"/>
    <w:rsid w:val="00F4204E"/>
    <w:rsid w:val="00F422CA"/>
    <w:rsid w:val="00F4374D"/>
    <w:rsid w:val="00F43E9E"/>
    <w:rsid w:val="00F44820"/>
    <w:rsid w:val="00F46AD3"/>
    <w:rsid w:val="00F52BE2"/>
    <w:rsid w:val="00F53964"/>
    <w:rsid w:val="00F53F5C"/>
    <w:rsid w:val="00F546EA"/>
    <w:rsid w:val="00F60246"/>
    <w:rsid w:val="00F60C3B"/>
    <w:rsid w:val="00F70D25"/>
    <w:rsid w:val="00F70D30"/>
    <w:rsid w:val="00F72A4B"/>
    <w:rsid w:val="00F730A1"/>
    <w:rsid w:val="00F748B6"/>
    <w:rsid w:val="00F80B86"/>
    <w:rsid w:val="00F82653"/>
    <w:rsid w:val="00F82F23"/>
    <w:rsid w:val="00F8467B"/>
    <w:rsid w:val="00F85733"/>
    <w:rsid w:val="00F86121"/>
    <w:rsid w:val="00F8772A"/>
    <w:rsid w:val="00F9057C"/>
    <w:rsid w:val="00F906D7"/>
    <w:rsid w:val="00F9089B"/>
    <w:rsid w:val="00F908D7"/>
    <w:rsid w:val="00F90FD3"/>
    <w:rsid w:val="00F93781"/>
    <w:rsid w:val="00F9532C"/>
    <w:rsid w:val="00F9653B"/>
    <w:rsid w:val="00F9682C"/>
    <w:rsid w:val="00F96BA5"/>
    <w:rsid w:val="00FA1718"/>
    <w:rsid w:val="00FB148B"/>
    <w:rsid w:val="00FB2745"/>
    <w:rsid w:val="00FB45D9"/>
    <w:rsid w:val="00FB5EB5"/>
    <w:rsid w:val="00FB613B"/>
    <w:rsid w:val="00FB78D7"/>
    <w:rsid w:val="00FC0622"/>
    <w:rsid w:val="00FC3A20"/>
    <w:rsid w:val="00FC6401"/>
    <w:rsid w:val="00FC68B7"/>
    <w:rsid w:val="00FD0381"/>
    <w:rsid w:val="00FD1D08"/>
    <w:rsid w:val="00FD28AF"/>
    <w:rsid w:val="00FD4F04"/>
    <w:rsid w:val="00FD4FB8"/>
    <w:rsid w:val="00FD61DA"/>
    <w:rsid w:val="00FD71F6"/>
    <w:rsid w:val="00FD7CD0"/>
    <w:rsid w:val="00FE0D83"/>
    <w:rsid w:val="00FE106A"/>
    <w:rsid w:val="00FE2B82"/>
    <w:rsid w:val="00FE5BA0"/>
    <w:rsid w:val="00FF0000"/>
    <w:rsid w:val="00FF30F6"/>
    <w:rsid w:val="00FF4BF4"/>
    <w:rsid w:val="00FF66E4"/>
    <w:rsid w:val="00FF7226"/>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2EBE8"/>
  <w15:docId w15:val="{39C021AD-F6CE-4577-95FB-F92FC588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03506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03506E"/>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Revision">
    <w:name w:val="Revision"/>
    <w:hidden/>
    <w:uiPriority w:val="99"/>
    <w:semiHidden/>
    <w:rsid w:val="00C72A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48927851">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63871972">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96769995">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7851091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85779120">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92235954">
      <w:bodyDiv w:val="1"/>
      <w:marLeft w:val="0"/>
      <w:marRight w:val="0"/>
      <w:marTop w:val="0"/>
      <w:marBottom w:val="0"/>
      <w:divBdr>
        <w:top w:val="none" w:sz="0" w:space="0" w:color="auto"/>
        <w:left w:val="none" w:sz="0" w:space="0" w:color="auto"/>
        <w:bottom w:val="none" w:sz="0" w:space="0" w:color="auto"/>
        <w:right w:val="none" w:sz="0" w:space="0" w:color="auto"/>
      </w:divBdr>
    </w:div>
    <w:div w:id="1183082865">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7852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2363-62F3-4F22-BF69-6EBD67C5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8</Pages>
  <Words>3421</Words>
  <Characters>19502</Characters>
  <Application>Microsoft Office Word</Application>
  <DocSecurity>0</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22878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2015-09-09T08:49:00Z</cp:lastPrinted>
  <dcterms:created xsi:type="dcterms:W3CDTF">2017-01-24T17:55:00Z</dcterms:created>
  <dcterms:modified xsi:type="dcterms:W3CDTF">2017-01-24T17:55:00Z</dcterms:modified>
</cp:coreProperties>
</file>