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2012C3">
            <w:pPr>
              <w:jc w:val="right"/>
            </w:pPr>
            <w:r w:rsidRPr="008216A5">
              <w:rPr>
                <w:sz w:val="40"/>
              </w:rPr>
              <w:t>CCPR</w:t>
            </w:r>
            <w:r>
              <w:t>/C/1</w:t>
            </w:r>
            <w:r w:rsidR="00711F00">
              <w:t>1</w:t>
            </w:r>
            <w:r w:rsidR="00B43A0B">
              <w:t>1</w:t>
            </w:r>
            <w:r>
              <w:t>/D/</w:t>
            </w:r>
            <w:r w:rsidR="0068555B">
              <w:t>193</w:t>
            </w:r>
            <w:r w:rsidR="002632E7">
              <w:t>4</w:t>
            </w:r>
            <w:r w:rsidR="0068555B">
              <w:t>/2010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D1FBE"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4147D4">
              <w:t>General</w:t>
            </w:r>
          </w:p>
          <w:p w:rsidR="008216A5" w:rsidRDefault="00673D97" w:rsidP="008216A5">
            <w:pPr>
              <w:spacing w:line="240" w:lineRule="exact"/>
            </w:pPr>
            <w:r>
              <w:t>2</w:t>
            </w:r>
            <w:r w:rsidR="00137F3E">
              <w:t>9</w:t>
            </w:r>
            <w:r w:rsidR="00A555DD">
              <w:t xml:space="preserve"> August</w:t>
            </w:r>
            <w:r w:rsidR="00B43A0B">
              <w:t xml:space="preserve"> 2014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8D1FBE">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8216A5" w:rsidRPr="008216A5" w:rsidRDefault="0049219B" w:rsidP="008216A5">
      <w:pPr>
        <w:pStyle w:val="HChG"/>
      </w:pPr>
      <w:r>
        <w:tab/>
      </w:r>
      <w:r>
        <w:tab/>
        <w:t>Communication</w:t>
      </w:r>
      <w:r w:rsidR="008216A5" w:rsidRPr="008216A5">
        <w:t xml:space="preserve"> No. </w:t>
      </w:r>
      <w:r w:rsidR="0068555B">
        <w:t>193</w:t>
      </w:r>
      <w:r w:rsidR="002632E7">
        <w:t>4</w:t>
      </w:r>
      <w:r w:rsidR="0068555B">
        <w:t>/2010</w:t>
      </w:r>
    </w:p>
    <w:p w:rsidR="008216A5" w:rsidRPr="008216A5" w:rsidRDefault="008216A5" w:rsidP="003309A4">
      <w:pPr>
        <w:pStyle w:val="H1G"/>
      </w:pPr>
      <w:r w:rsidRPr="008216A5">
        <w:tab/>
      </w:r>
      <w:r w:rsidRPr="008216A5">
        <w:tab/>
      </w:r>
      <w:r w:rsidR="002012C3">
        <w:t>Views adopted by the Committee at its 111th session</w:t>
      </w:r>
      <w:r w:rsidR="004147D4">
        <w:br/>
      </w:r>
      <w:r w:rsidR="002012C3">
        <w:t>(7</w:t>
      </w:r>
      <w:r w:rsidR="003309A4">
        <w:t>–</w:t>
      </w:r>
      <w:r w:rsidR="002012C3">
        <w:t xml:space="preserve">25 July 2014) </w:t>
      </w:r>
    </w:p>
    <w:p w:rsidR="008216A5" w:rsidRPr="008216A5" w:rsidRDefault="008216A5" w:rsidP="005579EC">
      <w:pPr>
        <w:pStyle w:val="SingleTxtG"/>
        <w:ind w:left="4536" w:hanging="3402"/>
        <w:jc w:val="left"/>
      </w:pPr>
      <w:r w:rsidRPr="008216A5">
        <w:rPr>
          <w:i/>
        </w:rPr>
        <w:t>Submitted by</w:t>
      </w:r>
      <w:r w:rsidRPr="00506AAE">
        <w:rPr>
          <w:iCs/>
        </w:rPr>
        <w:t>:</w:t>
      </w:r>
      <w:r w:rsidRPr="008216A5">
        <w:tab/>
      </w:r>
      <w:r w:rsidR="002632E7">
        <w:t>Igor Bazarov</w:t>
      </w:r>
      <w:r w:rsidR="00231C9F">
        <w:t xml:space="preserve"> (</w:t>
      </w:r>
      <w:r w:rsidR="0068555B">
        <w:t>un</w:t>
      </w:r>
      <w:r w:rsidRPr="008216A5">
        <w:t>represented)</w:t>
      </w:r>
    </w:p>
    <w:p w:rsidR="008216A5" w:rsidRPr="008216A5" w:rsidRDefault="008216A5" w:rsidP="005579EC">
      <w:pPr>
        <w:pStyle w:val="SingleTxtG"/>
        <w:ind w:left="4536" w:hanging="3402"/>
        <w:jc w:val="left"/>
      </w:pPr>
      <w:r w:rsidRPr="008216A5">
        <w:rPr>
          <w:i/>
        </w:rPr>
        <w:t>Alleged victim</w:t>
      </w:r>
      <w:r w:rsidRPr="00506AAE">
        <w:rPr>
          <w:iCs/>
        </w:rPr>
        <w:t>:</w:t>
      </w:r>
      <w:r w:rsidRPr="008216A5">
        <w:tab/>
        <w:t>The author</w:t>
      </w:r>
    </w:p>
    <w:p w:rsidR="008216A5" w:rsidRPr="008216A5" w:rsidRDefault="008216A5" w:rsidP="005579EC">
      <w:pPr>
        <w:pStyle w:val="SingleTxtG"/>
        <w:ind w:left="4536" w:hanging="3402"/>
        <w:jc w:val="left"/>
      </w:pPr>
      <w:r w:rsidRPr="008216A5">
        <w:rPr>
          <w:i/>
        </w:rPr>
        <w:t>State party</w:t>
      </w:r>
      <w:r w:rsidRPr="00506AAE">
        <w:rPr>
          <w:iCs/>
        </w:rPr>
        <w:t>:</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5579EC">
      <w:pPr>
        <w:pStyle w:val="SingleTxtG"/>
        <w:ind w:left="4536" w:hanging="3402"/>
        <w:jc w:val="left"/>
      </w:pPr>
      <w:r w:rsidRPr="008216A5">
        <w:rPr>
          <w:i/>
        </w:rPr>
        <w:t>Date of communication</w:t>
      </w:r>
      <w:r w:rsidR="009F362A" w:rsidRPr="00506AAE">
        <w:rPr>
          <w:iCs/>
        </w:rPr>
        <w:t>:</w:t>
      </w:r>
      <w:r w:rsidRPr="008216A5">
        <w:tab/>
      </w:r>
      <w:r w:rsidR="002632E7">
        <w:t>12</w:t>
      </w:r>
      <w:r w:rsidR="0068555B">
        <w:t xml:space="preserve"> October 2009</w:t>
      </w:r>
      <w:r w:rsidR="0037204F">
        <w:t xml:space="preserve"> (initial submission</w:t>
      </w:r>
      <w:r w:rsidRPr="008216A5">
        <w:t>)</w:t>
      </w:r>
    </w:p>
    <w:p w:rsidR="008216A5" w:rsidRPr="008216A5" w:rsidRDefault="008216A5" w:rsidP="005579EC">
      <w:pPr>
        <w:pStyle w:val="SingleTxtG"/>
        <w:ind w:left="4536" w:hanging="3402"/>
        <w:jc w:val="left"/>
      </w:pPr>
      <w:r w:rsidRPr="008216A5">
        <w:rPr>
          <w:i/>
        </w:rPr>
        <w:t>Document references</w:t>
      </w:r>
      <w:r w:rsidRPr="00506AAE">
        <w:rPr>
          <w:iCs/>
        </w:rPr>
        <w:t>:</w:t>
      </w:r>
      <w:r w:rsidRPr="008216A5">
        <w:tab/>
        <w:t xml:space="preserve">Special Rapporteur’s </w:t>
      </w:r>
      <w:r w:rsidR="008E3283">
        <w:t xml:space="preserve">decision under </w:t>
      </w:r>
      <w:r w:rsidRPr="008216A5">
        <w:t xml:space="preserve">rule 97, transmitted to the State party on </w:t>
      </w:r>
      <w:r w:rsidR="002632E7">
        <w:t>30</w:t>
      </w:r>
      <w:r w:rsidR="0068555B">
        <w:t xml:space="preserve"> March 2010</w:t>
      </w:r>
      <w:r w:rsidRPr="008216A5">
        <w:t xml:space="preserve"> (not issued in document form)</w:t>
      </w:r>
    </w:p>
    <w:p w:rsidR="008216A5" w:rsidRDefault="008216A5" w:rsidP="005579EC">
      <w:pPr>
        <w:pStyle w:val="SingleTxtG"/>
        <w:ind w:left="4536" w:hanging="3402"/>
        <w:jc w:val="left"/>
      </w:pPr>
      <w:r w:rsidRPr="008216A5">
        <w:rPr>
          <w:i/>
        </w:rPr>
        <w:t>Date of adoption of Views</w:t>
      </w:r>
      <w:r w:rsidRPr="00506AAE">
        <w:rPr>
          <w:iCs/>
        </w:rPr>
        <w:t>:</w:t>
      </w:r>
      <w:r w:rsidRPr="008216A5">
        <w:tab/>
      </w:r>
      <w:r w:rsidR="002012C3">
        <w:t>24</w:t>
      </w:r>
      <w:r w:rsidR="002012C3" w:rsidRPr="008216A5">
        <w:t xml:space="preserve"> </w:t>
      </w:r>
      <w:r w:rsidR="00231C9F">
        <w:t>July</w:t>
      </w:r>
      <w:r w:rsidRPr="008216A5">
        <w:t xml:space="preserve"> 201</w:t>
      </w:r>
      <w:r w:rsidR="00711F00">
        <w:t>4</w:t>
      </w:r>
    </w:p>
    <w:p w:rsidR="008216A5" w:rsidRPr="008216A5" w:rsidRDefault="00B44C19" w:rsidP="00B44C19">
      <w:pPr>
        <w:pStyle w:val="SingleTxtG"/>
        <w:ind w:left="4536" w:hanging="3402"/>
        <w:jc w:val="left"/>
      </w:pPr>
      <w:r w:rsidRPr="00506AAE">
        <w:rPr>
          <w:i/>
        </w:rPr>
        <w:t>Subject matter:</w:t>
      </w:r>
      <w:r w:rsidRPr="002E0331">
        <w:rPr>
          <w:i/>
        </w:rPr>
        <w:tab/>
      </w:r>
      <w:r w:rsidRPr="00506AAE">
        <w:t>Imposition of a fine for holding a peaceful assembly without prior authorization</w:t>
      </w:r>
      <w:r w:rsidR="008216A5" w:rsidRPr="00506AAE">
        <w:rPr>
          <w:i/>
        </w:rPr>
        <w:tab/>
      </w:r>
    </w:p>
    <w:p w:rsidR="00C42AEC" w:rsidRDefault="008216A5" w:rsidP="005579EC">
      <w:pPr>
        <w:pStyle w:val="SingleTxtG"/>
        <w:ind w:left="4536" w:hanging="3402"/>
        <w:jc w:val="left"/>
      </w:pPr>
      <w:r w:rsidRPr="008216A5">
        <w:rPr>
          <w:i/>
          <w:iCs/>
        </w:rPr>
        <w:t>Substantive issues</w:t>
      </w:r>
      <w:r w:rsidRPr="00506AAE">
        <w:t>:</w:t>
      </w:r>
      <w:r w:rsidRPr="008216A5">
        <w:rPr>
          <w:i/>
          <w:iCs/>
        </w:rPr>
        <w:t xml:space="preserve"> </w:t>
      </w:r>
      <w:r w:rsidRPr="008216A5">
        <w:rPr>
          <w:i/>
          <w:iCs/>
        </w:rPr>
        <w:tab/>
      </w:r>
      <w:r w:rsidR="00C42AEC" w:rsidRPr="00C42AEC">
        <w:t>Right to freedom of expression; right of peaceful assembly</w:t>
      </w:r>
    </w:p>
    <w:p w:rsidR="008216A5" w:rsidRPr="008216A5" w:rsidRDefault="008216A5" w:rsidP="008E3283">
      <w:pPr>
        <w:pStyle w:val="SingleTxtG"/>
        <w:ind w:left="4536" w:hanging="3402"/>
        <w:jc w:val="left"/>
      </w:pPr>
      <w:r w:rsidRPr="008216A5">
        <w:rPr>
          <w:i/>
          <w:iCs/>
        </w:rPr>
        <w:t>Procedural issue</w:t>
      </w:r>
      <w:r w:rsidR="008E3283">
        <w:rPr>
          <w:i/>
          <w:iCs/>
        </w:rPr>
        <w:t>s</w:t>
      </w:r>
      <w:r w:rsidRPr="00506AAE">
        <w:t>:</w:t>
      </w:r>
      <w:r w:rsidRPr="008216A5">
        <w:rPr>
          <w:i/>
          <w:iCs/>
        </w:rPr>
        <w:t xml:space="preserve"> </w:t>
      </w:r>
      <w:r w:rsidRPr="008216A5">
        <w:rPr>
          <w:i/>
          <w:iCs/>
        </w:rPr>
        <w:tab/>
      </w:r>
      <w:r w:rsidRPr="008216A5">
        <w:rPr>
          <w:iCs/>
        </w:rPr>
        <w:t>E</w:t>
      </w:r>
      <w:r w:rsidRPr="008216A5">
        <w:t>xhaustion of domestic remedies</w:t>
      </w:r>
    </w:p>
    <w:p w:rsidR="008216A5" w:rsidRPr="008216A5" w:rsidRDefault="008216A5" w:rsidP="005579EC">
      <w:pPr>
        <w:pStyle w:val="SingleTxtG"/>
        <w:ind w:left="4536" w:hanging="3402"/>
        <w:jc w:val="left"/>
      </w:pPr>
      <w:r w:rsidRPr="008216A5">
        <w:rPr>
          <w:i/>
          <w:iCs/>
        </w:rPr>
        <w:t>Article</w:t>
      </w:r>
      <w:r w:rsidR="0068599A">
        <w:rPr>
          <w:i/>
          <w:iCs/>
        </w:rPr>
        <w:t>s</w:t>
      </w:r>
      <w:r w:rsidRPr="008216A5">
        <w:rPr>
          <w:i/>
          <w:iCs/>
        </w:rPr>
        <w:t xml:space="preserve"> of the Covenant</w:t>
      </w:r>
      <w:r w:rsidRPr="00506AAE">
        <w:t>:</w:t>
      </w:r>
      <w:r w:rsidRPr="00865CE5">
        <w:t xml:space="preserve"> </w:t>
      </w:r>
      <w:r w:rsidRPr="008216A5">
        <w:tab/>
      </w:r>
      <w:r w:rsidR="00231C9F">
        <w:t>19</w:t>
      </w:r>
      <w:r w:rsidR="00C42AEC">
        <w:t xml:space="preserve"> and</w:t>
      </w:r>
      <w:r w:rsidR="0088636B">
        <w:t xml:space="preserve"> </w:t>
      </w:r>
      <w:r w:rsidR="0068555B">
        <w:t>2</w:t>
      </w:r>
      <w:r w:rsidR="00C42AEC">
        <w:t>1</w:t>
      </w:r>
    </w:p>
    <w:p w:rsidR="008216A5" w:rsidRPr="008216A5" w:rsidRDefault="008216A5" w:rsidP="00642D4C">
      <w:pPr>
        <w:pStyle w:val="SingleTxtG"/>
        <w:ind w:left="4536" w:hanging="3402"/>
        <w:jc w:val="left"/>
      </w:pPr>
      <w:r w:rsidRPr="008216A5">
        <w:rPr>
          <w:i/>
          <w:iCs/>
        </w:rPr>
        <w:t>Article</w:t>
      </w:r>
      <w:r w:rsidR="008E3283">
        <w:rPr>
          <w:i/>
          <w:iCs/>
        </w:rPr>
        <w:t>s</w:t>
      </w:r>
      <w:r w:rsidRPr="008216A5">
        <w:rPr>
          <w:i/>
          <w:iCs/>
        </w:rPr>
        <w:t xml:space="preserve"> of the Optional Protocol</w:t>
      </w:r>
      <w:r w:rsidRPr="00506AAE">
        <w:t>:</w:t>
      </w:r>
      <w:r w:rsidRPr="008216A5">
        <w:rPr>
          <w:i/>
          <w:iCs/>
        </w:rPr>
        <w:tab/>
      </w:r>
      <w:r w:rsidRPr="00803EEC">
        <w:t>5</w:t>
      </w:r>
      <w:r w:rsidR="00642D4C">
        <w:t xml:space="preserve"> (</w:t>
      </w:r>
      <w:r w:rsidRPr="00803EEC">
        <w:t>para</w:t>
      </w:r>
      <w:r w:rsidR="00F03A99" w:rsidRPr="00803EEC">
        <w:t>.</w:t>
      </w:r>
      <w:r w:rsidRPr="00803EEC">
        <w:t xml:space="preserve"> 2 (b)</w:t>
      </w:r>
      <w:r w:rsidR="00642D4C">
        <w:t>)</w:t>
      </w:r>
    </w:p>
    <w:p w:rsidR="00F32E1F" w:rsidRPr="00F32E1F" w:rsidRDefault="00F32E1F" w:rsidP="00BD7612">
      <w:pPr>
        <w:pStyle w:val="HChG"/>
      </w:pPr>
      <w:r>
        <w:br w:type="page"/>
      </w:r>
      <w:r w:rsidR="004147D4">
        <w:lastRenderedPageBreak/>
        <w:t>Annex</w:t>
      </w:r>
    </w:p>
    <w:p w:rsidR="008216A5" w:rsidRPr="008216A5" w:rsidRDefault="008216A5" w:rsidP="00781C83">
      <w:pPr>
        <w:pStyle w:val="HChG"/>
        <w:rPr>
          <w:bCs/>
        </w:rPr>
      </w:pPr>
      <w:r w:rsidRPr="008216A5">
        <w:tab/>
      </w:r>
      <w:r w:rsidRPr="008216A5">
        <w:tab/>
        <w:t xml:space="preserve">Views of the Human Rights Committee under article 5, paragraph 4, of the Optional Protocol to the International Covenant on Civil and Political </w:t>
      </w:r>
      <w:r w:rsidR="002012C3">
        <w:t>R</w:t>
      </w:r>
      <w:r w:rsidR="002012C3" w:rsidRPr="008216A5">
        <w:t xml:space="preserve">ights </w:t>
      </w:r>
      <w:r w:rsidRPr="008216A5">
        <w:t>(1</w:t>
      </w:r>
      <w:r w:rsidR="009E2F54">
        <w:t>1</w:t>
      </w:r>
      <w:r w:rsidR="00231C9F">
        <w:t>1</w:t>
      </w:r>
      <w:r w:rsidRPr="008216A5">
        <w:t xml:space="preserve">th </w:t>
      </w:r>
      <w:r w:rsidRPr="008216A5">
        <w:rPr>
          <w:bCs/>
        </w:rPr>
        <w:t>session)</w:t>
      </w:r>
    </w:p>
    <w:p w:rsidR="008216A5" w:rsidRPr="008216A5" w:rsidRDefault="008216A5" w:rsidP="00781C83">
      <w:pPr>
        <w:pStyle w:val="SingleTxtG"/>
        <w:rPr>
          <w:b/>
          <w:bCs/>
        </w:rPr>
      </w:pPr>
      <w:r w:rsidRPr="008216A5">
        <w:t>concerning</w:t>
      </w:r>
    </w:p>
    <w:p w:rsidR="008216A5" w:rsidRPr="008216A5" w:rsidRDefault="008216A5" w:rsidP="00781C83">
      <w:pPr>
        <w:pStyle w:val="H1G"/>
      </w:pPr>
      <w:r w:rsidRPr="008216A5">
        <w:tab/>
      </w:r>
      <w:r w:rsidRPr="008216A5">
        <w:tab/>
        <w:t xml:space="preserve">Communication No. </w:t>
      </w:r>
      <w:r w:rsidR="0068555B">
        <w:t>193</w:t>
      </w:r>
      <w:r w:rsidR="002632E7">
        <w:t>4</w:t>
      </w:r>
      <w:r w:rsidR="0068555B">
        <w:t>/2010</w:t>
      </w:r>
      <w:r w:rsidR="004147D4" w:rsidRPr="00BD7612">
        <w:rPr>
          <w:rStyle w:val="FootnoteReference"/>
          <w:b w:val="0"/>
          <w:bCs/>
          <w:sz w:val="20"/>
          <w:vertAlign w:val="baseline"/>
        </w:rPr>
        <w:footnoteReference w:customMarkFollows="1" w:id="2"/>
        <w:t>*</w:t>
      </w:r>
    </w:p>
    <w:p w:rsidR="008216A5" w:rsidRPr="008216A5" w:rsidRDefault="008216A5" w:rsidP="00BD7612">
      <w:pPr>
        <w:pStyle w:val="SingleTxtG"/>
        <w:ind w:left="4536" w:hanging="3402"/>
        <w:jc w:val="left"/>
      </w:pPr>
      <w:r w:rsidRPr="008216A5">
        <w:rPr>
          <w:i/>
        </w:rPr>
        <w:t>Submitted by</w:t>
      </w:r>
      <w:r w:rsidRPr="00506AAE">
        <w:rPr>
          <w:iCs/>
        </w:rPr>
        <w:t>:</w:t>
      </w:r>
      <w:r w:rsidRPr="008216A5">
        <w:tab/>
      </w:r>
      <w:r w:rsidR="002632E7">
        <w:t>Igor Bazarov</w:t>
      </w:r>
      <w:r w:rsidR="0037204F">
        <w:t xml:space="preserve"> (</w:t>
      </w:r>
      <w:r w:rsidR="00EE5BD5">
        <w:t>un</w:t>
      </w:r>
      <w:r w:rsidR="0037204F" w:rsidRPr="008216A5">
        <w:t>represented)</w:t>
      </w:r>
    </w:p>
    <w:p w:rsidR="008216A5" w:rsidRPr="008216A5" w:rsidRDefault="008216A5" w:rsidP="00BD7612">
      <w:pPr>
        <w:pStyle w:val="SingleTxtG"/>
        <w:ind w:left="4536" w:hanging="3402"/>
        <w:jc w:val="left"/>
      </w:pPr>
      <w:r w:rsidRPr="008216A5">
        <w:rPr>
          <w:i/>
        </w:rPr>
        <w:t>Alleged victim</w:t>
      </w:r>
      <w:r w:rsidRPr="00506AAE">
        <w:rPr>
          <w:iCs/>
        </w:rPr>
        <w:t>:</w:t>
      </w:r>
      <w:r w:rsidRPr="008216A5">
        <w:tab/>
        <w:t>The author</w:t>
      </w:r>
    </w:p>
    <w:p w:rsidR="008216A5" w:rsidRPr="008216A5" w:rsidRDefault="008216A5" w:rsidP="00BD7612">
      <w:pPr>
        <w:pStyle w:val="SingleTxtG"/>
        <w:ind w:left="4536" w:hanging="3402"/>
        <w:jc w:val="left"/>
      </w:pPr>
      <w:r w:rsidRPr="008216A5">
        <w:rPr>
          <w:i/>
        </w:rPr>
        <w:t>State party</w:t>
      </w:r>
      <w:r w:rsidRPr="00506AAE">
        <w:rPr>
          <w:iCs/>
        </w:rPr>
        <w:t>:</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8E3283">
      <w:pPr>
        <w:pStyle w:val="SingleTxtG"/>
        <w:ind w:left="4536" w:hanging="3402"/>
        <w:jc w:val="left"/>
      </w:pPr>
      <w:r w:rsidRPr="008216A5">
        <w:rPr>
          <w:i/>
        </w:rPr>
        <w:t>Date of communicatio</w:t>
      </w:r>
      <w:r w:rsidR="008E3283">
        <w:rPr>
          <w:i/>
        </w:rPr>
        <w:t>n</w:t>
      </w:r>
      <w:r w:rsidR="008E3283" w:rsidRPr="00506AAE">
        <w:rPr>
          <w:iCs/>
        </w:rPr>
        <w:t>:</w:t>
      </w:r>
      <w:r w:rsidR="008E3283">
        <w:rPr>
          <w:i/>
        </w:rPr>
        <w:t xml:space="preserve"> </w:t>
      </w:r>
      <w:r w:rsidRPr="008216A5">
        <w:tab/>
      </w:r>
      <w:r w:rsidR="002632E7">
        <w:t>12</w:t>
      </w:r>
      <w:r w:rsidR="00EE5BD5">
        <w:t xml:space="preserve"> October 2009</w:t>
      </w:r>
      <w:r w:rsidR="0037204F">
        <w:t xml:space="preserve"> </w:t>
      </w:r>
      <w:r w:rsidRPr="008216A5">
        <w:t>(initial submission)</w:t>
      </w:r>
    </w:p>
    <w:p w:rsidR="008216A5" w:rsidRPr="008216A5" w:rsidRDefault="008216A5" w:rsidP="00BD7612">
      <w:pPr>
        <w:pStyle w:val="SingleTxtG"/>
        <w:spacing w:before="240"/>
      </w:pPr>
      <w:r w:rsidRPr="008216A5">
        <w:tab/>
      </w:r>
      <w:r w:rsidRPr="008216A5">
        <w:rPr>
          <w:i/>
        </w:rPr>
        <w:t>The Human Rights Committee</w:t>
      </w:r>
      <w:r w:rsidRPr="008216A5">
        <w:t xml:space="preserve">, established under article 28 of the International Covenant on Civil and Political Rights, </w:t>
      </w:r>
    </w:p>
    <w:p w:rsidR="008216A5" w:rsidRPr="008216A5" w:rsidRDefault="008216A5" w:rsidP="00781C83">
      <w:pPr>
        <w:pStyle w:val="SingleTxtG"/>
      </w:pPr>
      <w:r w:rsidRPr="008216A5">
        <w:tab/>
      </w:r>
      <w:r w:rsidRPr="008216A5">
        <w:rPr>
          <w:i/>
        </w:rPr>
        <w:t xml:space="preserve">Meeting </w:t>
      </w:r>
      <w:r w:rsidRPr="00506AAE">
        <w:rPr>
          <w:iCs/>
        </w:rPr>
        <w:t>on</w:t>
      </w:r>
      <w:r w:rsidRPr="00F55C72">
        <w:rPr>
          <w:iCs/>
        </w:rPr>
        <w:t xml:space="preserve"> </w:t>
      </w:r>
      <w:r w:rsidR="002012C3">
        <w:t>24</w:t>
      </w:r>
      <w:r w:rsidR="002012C3" w:rsidRPr="008216A5">
        <w:t xml:space="preserve"> </w:t>
      </w:r>
      <w:r w:rsidR="0037204F">
        <w:t>July</w:t>
      </w:r>
      <w:r w:rsidR="009E2F54">
        <w:t xml:space="preserve"> </w:t>
      </w:r>
      <w:r w:rsidRPr="008216A5">
        <w:t>201</w:t>
      </w:r>
      <w:r w:rsidR="009E2F54">
        <w:t>4</w:t>
      </w:r>
      <w:r w:rsidRPr="008216A5">
        <w:t>,</w:t>
      </w:r>
    </w:p>
    <w:p w:rsidR="008216A5" w:rsidRPr="008216A5" w:rsidRDefault="008216A5" w:rsidP="00781C83">
      <w:pPr>
        <w:pStyle w:val="SingleTxtG"/>
      </w:pPr>
      <w:r w:rsidRPr="008216A5">
        <w:tab/>
      </w:r>
      <w:r w:rsidRPr="008216A5">
        <w:rPr>
          <w:i/>
        </w:rPr>
        <w:t>Having concluded</w:t>
      </w:r>
      <w:r w:rsidRPr="008216A5">
        <w:t xml:space="preserve"> its consideration of communication No. </w:t>
      </w:r>
      <w:r w:rsidR="00EE5BD5">
        <w:t>193</w:t>
      </w:r>
      <w:r w:rsidR="002632E7">
        <w:t>4</w:t>
      </w:r>
      <w:r w:rsidR="00EE5BD5">
        <w:t>/2010</w:t>
      </w:r>
      <w:r w:rsidRPr="008216A5">
        <w:t xml:space="preserve">, submitted to the Human Rights Committee by </w:t>
      </w:r>
      <w:r w:rsidR="002632E7">
        <w:t xml:space="preserve">Igor Bazarov </w:t>
      </w:r>
      <w:r w:rsidRPr="008216A5">
        <w:t>under the Optional Protocol to the International Covenant on Civil and Political Rights,</w:t>
      </w:r>
    </w:p>
    <w:p w:rsidR="008216A5" w:rsidRPr="008216A5" w:rsidRDefault="008216A5" w:rsidP="00781C83">
      <w:pPr>
        <w:pStyle w:val="SingleTxtG"/>
      </w:pPr>
      <w:r w:rsidRPr="008216A5">
        <w:tab/>
      </w:r>
      <w:r w:rsidRPr="008216A5">
        <w:rPr>
          <w:i/>
        </w:rPr>
        <w:t>Having taken into account</w:t>
      </w:r>
      <w:r w:rsidRPr="008216A5">
        <w:t xml:space="preserve"> all written information made available to it by the author</w:t>
      </w:r>
      <w:r w:rsidR="00F86121">
        <w:t xml:space="preserve"> </w:t>
      </w:r>
      <w:r w:rsidRPr="008216A5">
        <w:t>of the communication and the State party,</w:t>
      </w:r>
    </w:p>
    <w:p w:rsidR="008216A5" w:rsidRPr="008216A5" w:rsidRDefault="008216A5" w:rsidP="00781C83">
      <w:pPr>
        <w:pStyle w:val="SingleTxtG"/>
        <w:rPr>
          <w:i/>
        </w:rPr>
      </w:pPr>
      <w:r w:rsidRPr="008216A5">
        <w:tab/>
      </w:r>
      <w:r w:rsidRPr="008216A5">
        <w:rPr>
          <w:i/>
        </w:rPr>
        <w:t xml:space="preserve">Adopts </w:t>
      </w:r>
      <w:r w:rsidRPr="00506AAE">
        <w:rPr>
          <w:iCs/>
        </w:rPr>
        <w:t>the following:</w:t>
      </w:r>
    </w:p>
    <w:p w:rsidR="008216A5" w:rsidRPr="008216A5" w:rsidRDefault="008216A5" w:rsidP="00781C83">
      <w:pPr>
        <w:pStyle w:val="H1G"/>
      </w:pPr>
      <w:r w:rsidRPr="008216A5">
        <w:tab/>
      </w:r>
      <w:r w:rsidRPr="008216A5">
        <w:tab/>
        <w:t>Views under article 5, paragraph 4, of the Optional Protocol</w:t>
      </w:r>
    </w:p>
    <w:p w:rsidR="008216A5" w:rsidRPr="008216A5" w:rsidRDefault="00F03A99" w:rsidP="001F4691">
      <w:pPr>
        <w:pStyle w:val="SingleTxtG"/>
      </w:pPr>
      <w:r>
        <w:t>1.</w:t>
      </w:r>
      <w:r w:rsidR="008216A5" w:rsidRPr="008216A5">
        <w:tab/>
        <w:t xml:space="preserve">The author of the communication is </w:t>
      </w:r>
      <w:r w:rsidR="002632E7">
        <w:t>Igor Bazarov</w:t>
      </w:r>
      <w:r w:rsidR="008216A5" w:rsidRPr="008216A5">
        <w:t>, a Belarusian national born in 19</w:t>
      </w:r>
      <w:r w:rsidR="00EE5BD5">
        <w:t>6</w:t>
      </w:r>
      <w:r w:rsidR="002632E7">
        <w:t>4</w:t>
      </w:r>
      <w:r w:rsidR="008216A5" w:rsidRPr="008216A5">
        <w:t xml:space="preserve">. He claims to be a victim of a violation by </w:t>
      </w:r>
      <w:smartTag w:uri="urn:schemas-microsoft-com:office:smarttags" w:element="place">
        <w:smartTag w:uri="urn:schemas-microsoft-com:office:smarttags" w:element="country-region">
          <w:r w:rsidR="008216A5" w:rsidRPr="008216A5">
            <w:t>Belarus</w:t>
          </w:r>
        </w:smartTag>
      </w:smartTag>
      <w:r w:rsidR="008216A5" w:rsidRPr="008216A5">
        <w:t xml:space="preserve"> of his rights under article</w:t>
      </w:r>
      <w:r w:rsidR="002632E7">
        <w:t>s</w:t>
      </w:r>
      <w:r w:rsidR="008216A5" w:rsidRPr="008216A5">
        <w:t xml:space="preserve"> </w:t>
      </w:r>
      <w:r w:rsidR="00AA0F58">
        <w:t xml:space="preserve">2, paragraph 1; </w:t>
      </w:r>
      <w:r w:rsidR="0037204F">
        <w:t>19, paragraph</w:t>
      </w:r>
      <w:r w:rsidR="00EE5BD5">
        <w:t xml:space="preserve"> </w:t>
      </w:r>
      <w:r w:rsidR="002632E7">
        <w:t>2</w:t>
      </w:r>
      <w:r w:rsidR="00172B2B">
        <w:t>;</w:t>
      </w:r>
      <w:r w:rsidR="002632E7">
        <w:t xml:space="preserve"> and 21 </w:t>
      </w:r>
      <w:r w:rsidR="008216A5" w:rsidRPr="008216A5">
        <w:t>of the International Covenant on Civil and Political Rights</w:t>
      </w:r>
      <w:r w:rsidR="001F4691">
        <w:t>.</w:t>
      </w:r>
      <w:r w:rsidR="008216A5" w:rsidRPr="008216A5">
        <w:t xml:space="preserve"> The Optional Protocol entered into force for the State party on 30 December 1992. The author is </w:t>
      </w:r>
      <w:r w:rsidR="00EE5BD5">
        <w:t>un</w:t>
      </w:r>
      <w:r w:rsidR="008216A5" w:rsidRPr="008216A5">
        <w:t xml:space="preserve">represented. </w:t>
      </w:r>
    </w:p>
    <w:p w:rsidR="008216A5" w:rsidRPr="008216A5" w:rsidRDefault="008216A5" w:rsidP="00781C83">
      <w:pPr>
        <w:pStyle w:val="H23G"/>
      </w:pPr>
      <w:r w:rsidRPr="008216A5">
        <w:tab/>
      </w:r>
      <w:r w:rsidRPr="008216A5">
        <w:tab/>
        <w:t xml:space="preserve">The facts as </w:t>
      </w:r>
      <w:r w:rsidR="00101383">
        <w:t>submitted</w:t>
      </w:r>
      <w:r w:rsidRPr="008216A5">
        <w:t xml:space="preserve"> by the author</w:t>
      </w:r>
    </w:p>
    <w:p w:rsidR="00C16605" w:rsidRDefault="008216A5" w:rsidP="002C6305">
      <w:pPr>
        <w:pStyle w:val="SingleTxtG"/>
      </w:pPr>
      <w:r w:rsidRPr="008216A5">
        <w:t>2.1</w:t>
      </w:r>
      <w:r w:rsidRPr="008216A5">
        <w:tab/>
      </w:r>
      <w:r w:rsidR="00C16605">
        <w:t xml:space="preserve">On </w:t>
      </w:r>
      <w:r w:rsidR="0017676A">
        <w:t xml:space="preserve">25 March 2009, the author was arrested and brought to a district police station in </w:t>
      </w:r>
      <w:smartTag w:uri="urn:schemas-microsoft-com:office:smarttags" w:element="place">
        <w:smartTag w:uri="urn:schemas-microsoft-com:office:smarttags" w:element="City">
          <w:r w:rsidR="0017676A">
            <w:t>Vitebsk</w:t>
          </w:r>
        </w:smartTag>
      </w:smartTag>
      <w:r w:rsidR="0017676A">
        <w:t xml:space="preserve">, where an official record was drawn up, stating that he had committed an </w:t>
      </w:r>
      <w:r w:rsidR="0017676A" w:rsidRPr="001F4691">
        <w:t>administrative offence under article 23.34, part 1, of the Code of Administrative Offences.</w:t>
      </w:r>
      <w:r w:rsidR="0017676A" w:rsidRPr="001F4691">
        <w:rPr>
          <w:rStyle w:val="FootnoteReference"/>
        </w:rPr>
        <w:footnoteReference w:id="3"/>
      </w:r>
      <w:r w:rsidR="0017676A">
        <w:t xml:space="preserve"> </w:t>
      </w:r>
      <w:r w:rsidR="0017676A">
        <w:lastRenderedPageBreak/>
        <w:t xml:space="preserve">On </w:t>
      </w:r>
      <w:r w:rsidR="00C16605">
        <w:t xml:space="preserve">27 March 2009, </w:t>
      </w:r>
      <w:r w:rsidR="00012D30">
        <w:t xml:space="preserve">Vitebsk </w:t>
      </w:r>
      <w:r w:rsidR="00C16605">
        <w:t xml:space="preserve">Oktyabrsky District Court found the author guilty of </w:t>
      </w:r>
      <w:r w:rsidR="0017676A">
        <w:t xml:space="preserve">a violation of the established procedure </w:t>
      </w:r>
      <w:r w:rsidR="00012D30">
        <w:t xml:space="preserve">for </w:t>
      </w:r>
      <w:r w:rsidR="0017676A">
        <w:t>organi</w:t>
      </w:r>
      <w:r w:rsidR="003309A4">
        <w:t>z</w:t>
      </w:r>
      <w:r w:rsidR="0017676A">
        <w:t>ing and holding mass events, under article 23.34, part 1, of the C</w:t>
      </w:r>
      <w:r w:rsidR="001F4691">
        <w:t xml:space="preserve">ode of Administrative Offences, </w:t>
      </w:r>
      <w:r w:rsidR="0017676A">
        <w:t xml:space="preserve">and fined him </w:t>
      </w:r>
      <w:r w:rsidR="00C16605" w:rsidRPr="00012D30">
        <w:t xml:space="preserve">70,000 Belarusian </w:t>
      </w:r>
      <w:r w:rsidR="008256ED" w:rsidRPr="00506AAE">
        <w:t>r</w:t>
      </w:r>
      <w:r w:rsidR="00C16605" w:rsidRPr="00012D30">
        <w:t>oubles</w:t>
      </w:r>
      <w:r w:rsidR="009E11CB" w:rsidRPr="00012D30">
        <w:t>.</w:t>
      </w:r>
      <w:r w:rsidR="009E11CB">
        <w:t xml:space="preserve"> </w:t>
      </w:r>
      <w:r w:rsidR="00C16605">
        <w:t>T</w:t>
      </w:r>
      <w:r w:rsidR="005C5760">
        <w:t>he court found that the author</w:t>
      </w:r>
      <w:r w:rsidR="00FD23D3">
        <w:t xml:space="preserve">, together with two other persons, </w:t>
      </w:r>
      <w:r w:rsidR="00C16605">
        <w:t>took part in an unauthori</w:t>
      </w:r>
      <w:r w:rsidR="00012D30">
        <w:t>z</w:t>
      </w:r>
      <w:r w:rsidR="00C16605">
        <w:t xml:space="preserve">ed mass </w:t>
      </w:r>
      <w:r w:rsidR="009E11CB">
        <w:t>event</w:t>
      </w:r>
      <w:r w:rsidR="00AE5108">
        <w:t xml:space="preserve"> on 25 March 2009</w:t>
      </w:r>
      <w:r w:rsidR="006D2401">
        <w:t>. More specifically,</w:t>
      </w:r>
      <w:r w:rsidR="00012D30">
        <w:t xml:space="preserve"> </w:t>
      </w:r>
      <w:r w:rsidR="006D2401">
        <w:t xml:space="preserve">he </w:t>
      </w:r>
      <w:r w:rsidR="00A069BB">
        <w:t>participated</w:t>
      </w:r>
      <w:r w:rsidR="006D2401">
        <w:t xml:space="preserve"> in</w:t>
      </w:r>
      <w:r w:rsidR="00C16605">
        <w:t xml:space="preserve"> a street </w:t>
      </w:r>
      <w:r w:rsidR="002C6305">
        <w:t xml:space="preserve">march </w:t>
      </w:r>
      <w:r w:rsidR="00C16605">
        <w:t xml:space="preserve">that was moving </w:t>
      </w:r>
      <w:r w:rsidR="00732B51">
        <w:t>along</w:t>
      </w:r>
      <w:r w:rsidR="009E11CB">
        <w:t xml:space="preserve"> the </w:t>
      </w:r>
      <w:r w:rsidR="00C16605">
        <w:t xml:space="preserve">pavement </w:t>
      </w:r>
      <w:r w:rsidR="00732B51">
        <w:t>down</w:t>
      </w:r>
      <w:r w:rsidR="00C16605">
        <w:t xml:space="preserve"> Lenin street</w:t>
      </w:r>
      <w:r w:rsidR="009E11CB">
        <w:t>,</w:t>
      </w:r>
      <w:r w:rsidR="00C16605">
        <w:t xml:space="preserve"> from “Bistro” towards Independence </w:t>
      </w:r>
      <w:r w:rsidR="00057F1A">
        <w:t>S</w:t>
      </w:r>
      <w:r w:rsidR="00C16605">
        <w:t>quare</w:t>
      </w:r>
      <w:r w:rsidR="005C5760">
        <w:t>,</w:t>
      </w:r>
      <w:r w:rsidR="00C16605">
        <w:t xml:space="preserve"> in Vitebsk, </w:t>
      </w:r>
      <w:r w:rsidR="005C5760">
        <w:t>and sought to express his political opinion</w:t>
      </w:r>
      <w:r w:rsidR="0017676A">
        <w:t>,</w:t>
      </w:r>
      <w:r w:rsidR="00FD23D3">
        <w:t xml:space="preserve"> by </w:t>
      </w:r>
      <w:r w:rsidR="006D2401">
        <w:t>carrying</w:t>
      </w:r>
      <w:r w:rsidR="00C16605">
        <w:t xml:space="preserve"> </w:t>
      </w:r>
      <w:r w:rsidR="00A4753A">
        <w:t xml:space="preserve">a </w:t>
      </w:r>
      <w:r w:rsidR="00C16605" w:rsidRPr="00F81E6D">
        <w:t>white</w:t>
      </w:r>
      <w:r w:rsidR="00E9091A" w:rsidRPr="00506AAE">
        <w:t xml:space="preserve">, </w:t>
      </w:r>
      <w:r w:rsidR="00C16605" w:rsidRPr="00F81E6D">
        <w:t>red</w:t>
      </w:r>
      <w:r w:rsidR="00E9091A" w:rsidRPr="00506AAE">
        <w:t xml:space="preserve"> and </w:t>
      </w:r>
      <w:r w:rsidR="00C16605" w:rsidRPr="00F81E6D">
        <w:t>white flag</w:t>
      </w:r>
      <w:r w:rsidR="006D2401">
        <w:t>.</w:t>
      </w:r>
    </w:p>
    <w:p w:rsidR="00FD7631" w:rsidRDefault="00FD7631" w:rsidP="00E9091A">
      <w:pPr>
        <w:pStyle w:val="SingleTxtG"/>
      </w:pPr>
      <w:r>
        <w:t>2.2</w:t>
      </w:r>
      <w:r>
        <w:tab/>
        <w:t xml:space="preserve">On 22 April 2009, </w:t>
      </w:r>
      <w:smartTag w:uri="urn:schemas-microsoft-com:office:smarttags" w:element="Street">
        <w:smartTag w:uri="urn:schemas-microsoft-com:office:smarttags" w:element="address">
          <w:r w:rsidR="001E357C">
            <w:t>Vitebsk Regional Court</w:t>
          </w:r>
        </w:smartTag>
      </w:smartTag>
      <w:r w:rsidR="001E357C">
        <w:t xml:space="preserve"> rejected the author’s appeal and upheld the District Court’s decision.</w:t>
      </w:r>
    </w:p>
    <w:p w:rsidR="001E357C" w:rsidRDefault="001E357C" w:rsidP="009E11CB">
      <w:pPr>
        <w:pStyle w:val="SingleTxtG"/>
      </w:pPr>
      <w:r>
        <w:t>2.3</w:t>
      </w:r>
      <w:r>
        <w:tab/>
        <w:t xml:space="preserve">On </w:t>
      </w:r>
      <w:r w:rsidR="002632E7">
        <w:t>25 September</w:t>
      </w:r>
      <w:r>
        <w:t xml:space="preserve"> 2009, the Supreme Court dismissed the author’s application for </w:t>
      </w:r>
      <w:r w:rsidR="00AE5108">
        <w:t xml:space="preserve">a </w:t>
      </w:r>
      <w:r>
        <w:t xml:space="preserve">supervisory review of the court decisions of 27 March and 22 April 2009. </w:t>
      </w:r>
    </w:p>
    <w:p w:rsidR="00101383" w:rsidRDefault="00C16605" w:rsidP="0032508D">
      <w:pPr>
        <w:pStyle w:val="SingleTxtG"/>
      </w:pPr>
      <w:r>
        <w:t>2.4</w:t>
      </w:r>
      <w:r>
        <w:tab/>
        <w:t xml:space="preserve">The author submits that </w:t>
      </w:r>
      <w:r w:rsidR="00AA0F58">
        <w:t>the domestic courts failed to establish that he had participated in a street procession on 25 March 2009</w:t>
      </w:r>
      <w:r w:rsidR="00101383">
        <w:t xml:space="preserve">. He submits that the event in question could not be considered as a mass one because only three persons, who </w:t>
      </w:r>
      <w:r w:rsidR="00FD1954">
        <w:t xml:space="preserve">had </w:t>
      </w:r>
      <w:r w:rsidR="00101383">
        <w:t xml:space="preserve">walked along the pavement carrying a flag, had participated. The </w:t>
      </w:r>
      <w:r w:rsidR="00101383" w:rsidRPr="00F81E6D">
        <w:t>white</w:t>
      </w:r>
      <w:r w:rsidR="00E9091A" w:rsidRPr="00F81E6D">
        <w:t xml:space="preserve">, </w:t>
      </w:r>
      <w:r w:rsidR="00101383" w:rsidRPr="00F81E6D">
        <w:t>red</w:t>
      </w:r>
      <w:r w:rsidR="00E9091A" w:rsidRPr="00F81E6D">
        <w:t xml:space="preserve"> and </w:t>
      </w:r>
      <w:r w:rsidR="00101383" w:rsidRPr="00F81E6D">
        <w:t>white</w:t>
      </w:r>
      <w:r w:rsidR="00101383">
        <w:t xml:space="preserve"> flag </w:t>
      </w:r>
      <w:r w:rsidR="00AA58B6">
        <w:t xml:space="preserve">was </w:t>
      </w:r>
      <w:r w:rsidR="00101383">
        <w:t>the officia</w:t>
      </w:r>
      <w:r w:rsidR="0068599A">
        <w:t xml:space="preserve">l flag of </w:t>
      </w:r>
      <w:smartTag w:uri="urn:schemas-microsoft-com:office:smarttags" w:element="place">
        <w:smartTag w:uri="urn:schemas-microsoft-com:office:smarttags" w:element="country-region">
          <w:r w:rsidR="0068599A">
            <w:t>Belarus</w:t>
          </w:r>
        </w:smartTag>
      </w:smartTag>
      <w:r w:rsidR="0068599A">
        <w:t xml:space="preserve"> </w:t>
      </w:r>
      <w:r w:rsidR="00C77059">
        <w:t xml:space="preserve">from </w:t>
      </w:r>
      <w:r w:rsidR="0068599A">
        <w:t>1991</w:t>
      </w:r>
      <w:r w:rsidR="00C77059">
        <w:t xml:space="preserve"> to </w:t>
      </w:r>
      <w:r w:rsidR="0068599A">
        <w:t>1995.</w:t>
      </w:r>
    </w:p>
    <w:p w:rsidR="00AA0F58" w:rsidRDefault="00101383" w:rsidP="00C77059">
      <w:pPr>
        <w:pStyle w:val="SingleTxtG"/>
      </w:pPr>
      <w:r>
        <w:t>2.5</w:t>
      </w:r>
      <w:r>
        <w:tab/>
        <w:t xml:space="preserve">The author claims that he sought to remind </w:t>
      </w:r>
      <w:r w:rsidR="00FF6762">
        <w:t xml:space="preserve">the </w:t>
      </w:r>
      <w:r w:rsidR="00C77059">
        <w:t xml:space="preserve">people </w:t>
      </w:r>
      <w:r>
        <w:t xml:space="preserve">of </w:t>
      </w:r>
      <w:smartTag w:uri="urn:schemas-microsoft-com:office:smarttags" w:element="City">
        <w:smartTag w:uri="urn:schemas-microsoft-com:office:smarttags" w:element="place">
          <w:r>
            <w:t>Vitebsk</w:t>
          </w:r>
        </w:smartTag>
      </w:smartTag>
      <w:r>
        <w:t xml:space="preserve"> of the foundation of the Belarus People’s Republic on 25 March </w:t>
      </w:r>
      <w:r w:rsidRPr="00506AAE">
        <w:t>1918</w:t>
      </w:r>
      <w:r w:rsidR="00FD1954" w:rsidRPr="00506AAE">
        <w:t>. The</w:t>
      </w:r>
      <w:r w:rsidR="00FD1954">
        <w:t xml:space="preserve"> right to</w:t>
      </w:r>
      <w:r w:rsidR="00FD1954" w:rsidRPr="00FD1954">
        <w:t xml:space="preserve"> </w:t>
      </w:r>
      <w:r w:rsidR="00FD1954">
        <w:t>freedom of expression is guaranteed</w:t>
      </w:r>
      <w:r w:rsidR="00C154D2" w:rsidRPr="00C154D2">
        <w:t xml:space="preserve"> </w:t>
      </w:r>
      <w:r w:rsidR="00C154D2">
        <w:t>under article 33 of the Constitution.</w:t>
      </w:r>
    </w:p>
    <w:p w:rsidR="004C4A2B" w:rsidRDefault="00C154D2" w:rsidP="001F4691">
      <w:pPr>
        <w:pStyle w:val="SingleTxtG"/>
      </w:pPr>
      <w:r>
        <w:t>2.6</w:t>
      </w:r>
      <w:r>
        <w:tab/>
        <w:t xml:space="preserve">He explains that, due to the </w:t>
      </w:r>
      <w:r w:rsidR="00C77059">
        <w:t xml:space="preserve">spontaneous </w:t>
      </w:r>
      <w:r>
        <w:t xml:space="preserve">nature of the event, there was no need to </w:t>
      </w:r>
      <w:r w:rsidR="00C77059">
        <w:t xml:space="preserve">notify </w:t>
      </w:r>
      <w:r>
        <w:t xml:space="preserve">the domestic authorities. Furthermore, he </w:t>
      </w:r>
      <w:r w:rsidR="00C77059">
        <w:t xml:space="preserve">had been </w:t>
      </w:r>
      <w:r w:rsidR="0068599A">
        <w:t xml:space="preserve">at </w:t>
      </w:r>
      <w:smartTag w:uri="urn:schemas-microsoft-com:office:smarttags" w:element="Street">
        <w:smartTag w:uri="urn:schemas-microsoft-com:office:smarttags" w:element="address">
          <w:r w:rsidR="00172B2B">
            <w:t>Independence Square</w:t>
          </w:r>
        </w:smartTag>
      </w:smartTag>
      <w:r w:rsidR="00172B2B">
        <w:t xml:space="preserve"> </w:t>
      </w:r>
      <w:r>
        <w:t xml:space="preserve">for </w:t>
      </w:r>
      <w:r w:rsidR="00C77059">
        <w:t xml:space="preserve">no more than </w:t>
      </w:r>
      <w:r>
        <w:t xml:space="preserve">10 minutes </w:t>
      </w:r>
      <w:r w:rsidR="00C77059">
        <w:t xml:space="preserve">when he was </w:t>
      </w:r>
      <w:r>
        <w:t xml:space="preserve">arrested by </w:t>
      </w:r>
      <w:r w:rsidR="00C77059">
        <w:t xml:space="preserve">the </w:t>
      </w:r>
      <w:r>
        <w:t xml:space="preserve">police. </w:t>
      </w:r>
      <w:r w:rsidR="00C77059">
        <w:t xml:space="preserve">Owing </w:t>
      </w:r>
      <w:r>
        <w:t xml:space="preserve">to </w:t>
      </w:r>
      <w:r w:rsidR="009528BD">
        <w:t xml:space="preserve">this </w:t>
      </w:r>
      <w:r>
        <w:t xml:space="preserve">limited </w:t>
      </w:r>
      <w:r w:rsidR="004C4A2B">
        <w:t>duration</w:t>
      </w:r>
      <w:r>
        <w:t>,</w:t>
      </w:r>
      <w:r w:rsidR="004C4A2B">
        <w:t xml:space="preserve"> his actions did not affect the rights of others or </w:t>
      </w:r>
      <w:r w:rsidR="004C4A2B" w:rsidRPr="00F81E6D">
        <w:t xml:space="preserve">cause </w:t>
      </w:r>
      <w:r w:rsidR="001F4691" w:rsidRPr="00506AAE">
        <w:t xml:space="preserve">injury </w:t>
      </w:r>
      <w:r w:rsidR="004C4A2B" w:rsidRPr="00F81E6D">
        <w:t>to citizens or</w:t>
      </w:r>
      <w:r w:rsidR="004C4A2B">
        <w:t xml:space="preserve"> </w:t>
      </w:r>
      <w:r w:rsidR="001F4691">
        <w:t xml:space="preserve">damage to </w:t>
      </w:r>
      <w:r w:rsidR="004C4A2B">
        <w:t>the city administration</w:t>
      </w:r>
      <w:r w:rsidR="001F4691">
        <w:t>,</w:t>
      </w:r>
      <w:r w:rsidR="0068599A">
        <w:t xml:space="preserve"> and </w:t>
      </w:r>
      <w:r w:rsidR="004C4A2B">
        <w:t xml:space="preserve">nobody sued him for damages as a consequence. </w:t>
      </w:r>
    </w:p>
    <w:p w:rsidR="004C4A2B" w:rsidRDefault="004C4A2B" w:rsidP="00101383">
      <w:pPr>
        <w:pStyle w:val="SingleTxtG"/>
      </w:pPr>
      <w:r>
        <w:t>2.7</w:t>
      </w:r>
      <w:r>
        <w:tab/>
        <w:t xml:space="preserve">In addition, he submits that the unlawful interruption of the peaceful assembly violated his rights to publicly express </w:t>
      </w:r>
      <w:r w:rsidR="005519D0">
        <w:t xml:space="preserve">his opinion, whereas article 35 of the Constitution provides for the right of peaceful assembly. </w:t>
      </w:r>
    </w:p>
    <w:p w:rsidR="00AB5043" w:rsidRDefault="00AB5043" w:rsidP="00C77059">
      <w:pPr>
        <w:pStyle w:val="SingleTxtG"/>
      </w:pPr>
      <w:r>
        <w:t>2.8</w:t>
      </w:r>
      <w:r>
        <w:tab/>
        <w:t>The author explains</w:t>
      </w:r>
      <w:r w:rsidR="007B5F65">
        <w:t xml:space="preserve"> that he cherishes the </w:t>
      </w:r>
      <w:r w:rsidR="007B5F65" w:rsidRPr="00F81E6D">
        <w:t>white</w:t>
      </w:r>
      <w:r w:rsidR="00C77059" w:rsidRPr="00F81E6D">
        <w:t xml:space="preserve">, red and </w:t>
      </w:r>
      <w:r w:rsidR="0019468C" w:rsidRPr="00F81E6D">
        <w:t>white</w:t>
      </w:r>
      <w:r w:rsidR="0019468C">
        <w:t xml:space="preserve"> flag as a symbol of the national reviva</w:t>
      </w:r>
      <w:r w:rsidR="006A1764">
        <w:t xml:space="preserve">l </w:t>
      </w:r>
      <w:r w:rsidR="0019468C">
        <w:t xml:space="preserve">of </w:t>
      </w:r>
      <w:smartTag w:uri="urn:schemas-microsoft-com:office:smarttags" w:element="place">
        <w:smartTag w:uri="urn:schemas-microsoft-com:office:smarttags" w:element="country-region">
          <w:r w:rsidR="0019468C">
            <w:t>Belarus</w:t>
          </w:r>
        </w:smartTag>
      </w:smartTag>
      <w:r w:rsidR="0019468C">
        <w:t>.</w:t>
      </w:r>
      <w:r>
        <w:t xml:space="preserve"> However, his views run counter to the ideology of the current political leaders. He therefore considers that he was targeted by the national authorities, who arrested and fined him</w:t>
      </w:r>
      <w:r w:rsidR="00C54F73">
        <w:t xml:space="preserve">, which he equates with persecution and </w:t>
      </w:r>
      <w:r>
        <w:t>discriminat</w:t>
      </w:r>
      <w:r w:rsidR="00C54F73">
        <w:t>ion o</w:t>
      </w:r>
      <w:r w:rsidR="00DC290C">
        <w:t>n political grounds.</w:t>
      </w:r>
    </w:p>
    <w:p w:rsidR="00C16605" w:rsidRDefault="00533CAC" w:rsidP="00335D6C">
      <w:pPr>
        <w:pStyle w:val="SingleTxtG"/>
      </w:pPr>
      <w:r>
        <w:t>2.9</w:t>
      </w:r>
      <w:r>
        <w:tab/>
        <w:t>He submits that he has exhausted all available domestic remedies.</w:t>
      </w:r>
    </w:p>
    <w:p w:rsidR="00FF67E9" w:rsidRPr="00D2276A" w:rsidRDefault="00D2276A" w:rsidP="00506AAE">
      <w:pPr>
        <w:pStyle w:val="H23G"/>
      </w:pPr>
      <w:r>
        <w:tab/>
      </w:r>
      <w:r>
        <w:tab/>
      </w:r>
      <w:r w:rsidR="00FF67E9" w:rsidRPr="00D2276A">
        <w:t>The complaint</w:t>
      </w:r>
    </w:p>
    <w:p w:rsidR="00935941" w:rsidRDefault="00FF67E9" w:rsidP="009528BD">
      <w:pPr>
        <w:pStyle w:val="SingleTxtG"/>
      </w:pPr>
      <w:r>
        <w:t>3.</w:t>
      </w:r>
      <w:r w:rsidR="001D5C81">
        <w:tab/>
      </w:r>
      <w:r w:rsidR="007F1247">
        <w:t>T</w:t>
      </w:r>
      <w:r w:rsidR="000F570E">
        <w:t xml:space="preserve">he author claims that </w:t>
      </w:r>
      <w:r w:rsidR="00935941">
        <w:t xml:space="preserve">the facts </w:t>
      </w:r>
      <w:r w:rsidR="007F75D2">
        <w:t xml:space="preserve">as </w:t>
      </w:r>
      <w:r w:rsidR="006A1764">
        <w:t>submitted</w:t>
      </w:r>
      <w:r w:rsidR="00935941">
        <w:t xml:space="preserve"> amount to a violation of his rights under </w:t>
      </w:r>
      <w:r w:rsidR="006A1764" w:rsidRPr="008216A5">
        <w:t>article</w:t>
      </w:r>
      <w:r w:rsidR="006A1764">
        <w:t>s</w:t>
      </w:r>
      <w:r w:rsidR="006A1764" w:rsidRPr="008216A5">
        <w:t xml:space="preserve"> </w:t>
      </w:r>
      <w:r w:rsidR="006A1764">
        <w:t>2, paragraph 1; 19, paragraph 2</w:t>
      </w:r>
      <w:r w:rsidR="00172B2B">
        <w:t>;</w:t>
      </w:r>
      <w:r w:rsidR="006A1764">
        <w:t xml:space="preserve"> and 21</w:t>
      </w:r>
      <w:r w:rsidR="00935941">
        <w:t xml:space="preserve"> of the Covenant. He</w:t>
      </w:r>
      <w:r w:rsidR="0050121C">
        <w:t xml:space="preserve"> requests that his rights be restored and</w:t>
      </w:r>
      <w:r w:rsidR="00935941">
        <w:t xml:space="preserve"> claims compensation for non-pecuniary damages.</w:t>
      </w:r>
    </w:p>
    <w:p w:rsidR="00F26BC3" w:rsidRPr="008216A5" w:rsidRDefault="008216A5" w:rsidP="00F26BC3">
      <w:pPr>
        <w:pStyle w:val="H23G"/>
      </w:pPr>
      <w:r w:rsidRPr="008216A5">
        <w:tab/>
      </w:r>
      <w:r w:rsidRPr="008216A5">
        <w:tab/>
      </w:r>
      <w:r w:rsidR="009C1C66">
        <w:t xml:space="preserve">The </w:t>
      </w:r>
      <w:r w:rsidR="00F26BC3" w:rsidRPr="008216A5">
        <w:t>State party</w:t>
      </w:r>
      <w:r w:rsidR="00F26BC3">
        <w:t>’s</w:t>
      </w:r>
      <w:r w:rsidR="00F26BC3" w:rsidRPr="008216A5">
        <w:t xml:space="preserve"> observations on </w:t>
      </w:r>
      <w:r w:rsidR="00F26BC3">
        <w:t>admissibility</w:t>
      </w:r>
      <w:r w:rsidR="00F25E5E">
        <w:t xml:space="preserve"> and merits</w:t>
      </w:r>
    </w:p>
    <w:p w:rsidR="00124014" w:rsidRDefault="00F26BC3" w:rsidP="0032508D">
      <w:pPr>
        <w:pStyle w:val="SingleTxtG"/>
      </w:pPr>
      <w:r>
        <w:rPr>
          <w:lang w:val="en-US"/>
        </w:rPr>
        <w:t>4</w:t>
      </w:r>
      <w:r w:rsidRPr="008216A5">
        <w:rPr>
          <w:lang w:val="en-US"/>
        </w:rPr>
        <w:t>.1</w:t>
      </w:r>
      <w:r w:rsidRPr="008216A5">
        <w:rPr>
          <w:lang w:val="en-US"/>
        </w:rPr>
        <w:tab/>
        <w:t xml:space="preserve">On </w:t>
      </w:r>
      <w:r w:rsidR="007F75D2">
        <w:rPr>
          <w:lang w:val="en-US"/>
        </w:rPr>
        <w:t>23 June 2010</w:t>
      </w:r>
      <w:r>
        <w:rPr>
          <w:lang w:val="en-US"/>
        </w:rPr>
        <w:t xml:space="preserve">, </w:t>
      </w:r>
      <w:r w:rsidRPr="008216A5">
        <w:rPr>
          <w:lang w:val="en-US"/>
        </w:rPr>
        <w:t>the State party</w:t>
      </w:r>
      <w:r w:rsidR="00B2177C">
        <w:rPr>
          <w:lang w:val="en-US"/>
        </w:rPr>
        <w:t xml:space="preserve"> recalled the facts of the case and </w:t>
      </w:r>
      <w:r w:rsidRPr="008216A5">
        <w:t xml:space="preserve">challenged the admissibility of the communication, arguing that the author had failed to exhaust </w:t>
      </w:r>
      <w:r>
        <w:t>a</w:t>
      </w:r>
      <w:r w:rsidR="00F25E5E">
        <w:t xml:space="preserve">ll available domestic remedies as he </w:t>
      </w:r>
      <w:r w:rsidR="00985506">
        <w:t>had</w:t>
      </w:r>
      <w:r w:rsidR="00F25E5E">
        <w:t xml:space="preserve"> not applied for supervisory review of the </w:t>
      </w:r>
      <w:r w:rsidR="00885F41">
        <w:t xml:space="preserve">domestic </w:t>
      </w:r>
      <w:r w:rsidR="00885F41">
        <w:lastRenderedPageBreak/>
        <w:t xml:space="preserve">courts’ </w:t>
      </w:r>
      <w:r w:rsidR="00F25E5E">
        <w:t xml:space="preserve">decisions. The right to apply for supervisory review of </w:t>
      </w:r>
      <w:r w:rsidR="00124014">
        <w:t xml:space="preserve">a </w:t>
      </w:r>
      <w:r w:rsidR="00973B67" w:rsidRPr="00973B67">
        <w:rPr>
          <w:i/>
        </w:rPr>
        <w:t>res judicata</w:t>
      </w:r>
      <w:r w:rsidR="00973B67">
        <w:t xml:space="preserve"> </w:t>
      </w:r>
      <w:r w:rsidR="00124014">
        <w:t xml:space="preserve">court ruling in </w:t>
      </w:r>
      <w:r w:rsidR="00124014" w:rsidRPr="00CD2360">
        <w:t>an administrative case</w:t>
      </w:r>
      <w:r w:rsidR="00973B67" w:rsidRPr="00CD2360">
        <w:t xml:space="preserve"> </w:t>
      </w:r>
      <w:r w:rsidR="00F25E5E" w:rsidRPr="00CD2360">
        <w:t>is guaranteed under article 12.11 of the Code of Administrative Procedure.</w:t>
      </w:r>
      <w:r w:rsidR="00F25E5E">
        <w:t xml:space="preserve"> Such an application shall be made within six months after the ruling </w:t>
      </w:r>
      <w:r w:rsidR="00124014">
        <w:t>becomes final</w:t>
      </w:r>
      <w:r w:rsidR="00F25E5E">
        <w:t>.</w:t>
      </w:r>
      <w:r w:rsidR="00124014">
        <w:t xml:space="preserve"> An application for supervisory review </w:t>
      </w:r>
      <w:r w:rsidR="00885F41">
        <w:t xml:space="preserve">is </w:t>
      </w:r>
      <w:r w:rsidR="00124014">
        <w:t xml:space="preserve">an effective remedy </w:t>
      </w:r>
      <w:r w:rsidR="00885F41">
        <w:t>aimed</w:t>
      </w:r>
      <w:r w:rsidR="00124014">
        <w:t xml:space="preserve"> </w:t>
      </w:r>
      <w:r w:rsidR="00C77059">
        <w:t xml:space="preserve">at </w:t>
      </w:r>
      <w:r w:rsidR="00885F41">
        <w:t>avoid</w:t>
      </w:r>
      <w:r w:rsidR="00C77059">
        <w:t xml:space="preserve">ing to the greatest extent </w:t>
      </w:r>
      <w:r w:rsidR="00885F41">
        <w:t xml:space="preserve">possible </w:t>
      </w:r>
      <w:r w:rsidR="00124014">
        <w:t>institu</w:t>
      </w:r>
      <w:r w:rsidR="00885F41">
        <w:t xml:space="preserve">ting </w:t>
      </w:r>
      <w:r w:rsidR="00124014">
        <w:t>proceedings against citizens</w:t>
      </w:r>
      <w:r w:rsidR="00885F41">
        <w:t xml:space="preserve"> without justification</w:t>
      </w:r>
      <w:r w:rsidR="00124014">
        <w:t>.</w:t>
      </w:r>
      <w:r w:rsidR="00885F41">
        <w:t xml:space="preserve"> The author has not applied to the Office</w:t>
      </w:r>
      <w:r w:rsidR="00AA58B6">
        <w:t xml:space="preserve"> of the Procurator-General</w:t>
      </w:r>
      <w:r w:rsidR="00885F41">
        <w:t xml:space="preserve"> under the supervisory review procedure and hence</w:t>
      </w:r>
      <w:r w:rsidR="00642D4C">
        <w:t xml:space="preserve"> </w:t>
      </w:r>
      <w:r w:rsidR="00885F41">
        <w:t>has failed to avail himself of such a remedy.</w:t>
      </w:r>
    </w:p>
    <w:p w:rsidR="00CE3E66" w:rsidRDefault="00885F41" w:rsidP="007C7813">
      <w:pPr>
        <w:pStyle w:val="SingleTxtG"/>
      </w:pPr>
      <w:r>
        <w:t>4.2</w:t>
      </w:r>
      <w:r>
        <w:tab/>
      </w:r>
      <w:r w:rsidR="00CE3E66" w:rsidRPr="00CE3E66">
        <w:t xml:space="preserve">Article 35 of the Constitution guarantees the right to hold assemblies, meetings, street </w:t>
      </w:r>
      <w:r w:rsidR="00E61578">
        <w:t>marches</w:t>
      </w:r>
      <w:r w:rsidR="00CE3E66" w:rsidRPr="00CE3E66">
        <w:t xml:space="preserve">, demonstrations and pickets, provided that they do not violate law and order </w:t>
      </w:r>
      <w:r w:rsidR="00CE3E66" w:rsidRPr="007C7813">
        <w:t>or breach the rights of other</w:t>
      </w:r>
      <w:r w:rsidR="00B2177C" w:rsidRPr="007C7813">
        <w:t>s</w:t>
      </w:r>
      <w:r w:rsidR="00CE3E66" w:rsidRPr="007C7813">
        <w:t xml:space="preserve">. The procedure for organizing mass events is </w:t>
      </w:r>
      <w:r w:rsidR="00B2177C" w:rsidRPr="007C7813">
        <w:t xml:space="preserve">regulated under </w:t>
      </w:r>
      <w:r w:rsidR="00CE3E66" w:rsidRPr="007C7813">
        <w:t xml:space="preserve">the </w:t>
      </w:r>
      <w:r w:rsidR="007C7813" w:rsidRPr="007C7813">
        <w:t>L</w:t>
      </w:r>
      <w:r w:rsidR="00CE3E66" w:rsidRPr="007C7813">
        <w:t xml:space="preserve">aw </w:t>
      </w:r>
      <w:r w:rsidR="007C7813" w:rsidRPr="007C7813">
        <w:t>o</w:t>
      </w:r>
      <w:r w:rsidR="00CE3E66" w:rsidRPr="007C7813">
        <w:t xml:space="preserve">n Mass Events of 30 December 1997. The </w:t>
      </w:r>
      <w:r w:rsidR="007C7813" w:rsidRPr="007C7813">
        <w:t>L</w:t>
      </w:r>
      <w:r w:rsidR="00CE3E66" w:rsidRPr="007C7813">
        <w:t xml:space="preserve">aw aims to create conditions for the </w:t>
      </w:r>
      <w:r w:rsidR="007C7813" w:rsidRPr="00506AAE">
        <w:t xml:space="preserve">enjoyment </w:t>
      </w:r>
      <w:r w:rsidR="00CE3E66" w:rsidRPr="007C7813">
        <w:t>of constitutional</w:t>
      </w:r>
      <w:r w:rsidR="00CE3E66" w:rsidRPr="00CE3E66">
        <w:t xml:space="preserve"> rights and freedoms of citizens, and the protection of public order and public safety when such events are carried out in public spaces</w:t>
      </w:r>
      <w:r w:rsidR="00CE3E66">
        <w:t xml:space="preserve">. </w:t>
      </w:r>
    </w:p>
    <w:p w:rsidR="00436142" w:rsidRDefault="00CE3E66" w:rsidP="00F81E6D">
      <w:pPr>
        <w:pStyle w:val="SingleTxtG"/>
      </w:pPr>
      <w:r>
        <w:t>4.3</w:t>
      </w:r>
      <w:r>
        <w:tab/>
        <w:t xml:space="preserve">The State party points out that the author himself </w:t>
      </w:r>
      <w:r w:rsidR="00C9183C">
        <w:t xml:space="preserve">has </w:t>
      </w:r>
      <w:r>
        <w:t>admit</w:t>
      </w:r>
      <w:r w:rsidR="00C9183C">
        <w:t>ted</w:t>
      </w:r>
      <w:r>
        <w:t xml:space="preserve"> that he participated </w:t>
      </w:r>
      <w:r w:rsidR="00DF374D">
        <w:t>in a non-authori</w:t>
      </w:r>
      <w:r w:rsidR="00C77059">
        <w:t>z</w:t>
      </w:r>
      <w:r w:rsidR="00DF374D">
        <w:t xml:space="preserve">ed street </w:t>
      </w:r>
      <w:r w:rsidR="00E61578">
        <w:t>march</w:t>
      </w:r>
      <w:r w:rsidR="00DF374D">
        <w:t xml:space="preserve"> in Vitebsk and carried a </w:t>
      </w:r>
      <w:r w:rsidR="00DF374D" w:rsidRPr="00F81E6D">
        <w:t>white</w:t>
      </w:r>
      <w:r w:rsidR="00E61578" w:rsidRPr="00F81E6D">
        <w:t xml:space="preserve">, </w:t>
      </w:r>
      <w:r w:rsidR="00DF374D" w:rsidRPr="00F81E6D">
        <w:t>red</w:t>
      </w:r>
      <w:r w:rsidR="00E61578" w:rsidRPr="00F81E6D">
        <w:t xml:space="preserve"> and </w:t>
      </w:r>
      <w:r w:rsidR="00DF374D" w:rsidRPr="00F81E6D">
        <w:t>white flag</w:t>
      </w:r>
      <w:r w:rsidR="00DF374D">
        <w:t xml:space="preserve">. </w:t>
      </w:r>
      <w:r w:rsidR="0089139E">
        <w:t xml:space="preserve">The domestic courts correctly established that he had participated in a street </w:t>
      </w:r>
      <w:r w:rsidR="00E61578">
        <w:t>march</w:t>
      </w:r>
      <w:r w:rsidR="0089139E">
        <w:t xml:space="preserve"> as defined in article 2 of the </w:t>
      </w:r>
      <w:r w:rsidR="001A0C87" w:rsidRPr="00506AAE">
        <w:t>L</w:t>
      </w:r>
      <w:r w:rsidR="0089139E" w:rsidRPr="001A0C87">
        <w:t xml:space="preserve">aw </w:t>
      </w:r>
      <w:r w:rsidR="001A0C87" w:rsidRPr="00506AAE">
        <w:t>o</w:t>
      </w:r>
      <w:r w:rsidR="0089139E" w:rsidRPr="001A0C87">
        <w:t>n Mass Events</w:t>
      </w:r>
      <w:r w:rsidR="0089139E" w:rsidRPr="001A0C87">
        <w:rPr>
          <w:rStyle w:val="FootnoteReference"/>
        </w:rPr>
        <w:footnoteReference w:id="4"/>
      </w:r>
      <w:r w:rsidR="001A0C87">
        <w:t xml:space="preserve"> — </w:t>
      </w:r>
      <w:r w:rsidR="001C6016">
        <w:t>which</w:t>
      </w:r>
      <w:r w:rsidR="0089139E">
        <w:t xml:space="preserve"> is confirmed by the number of participants in the event, their use of non-State symbols</w:t>
      </w:r>
      <w:r w:rsidR="001C6016">
        <w:t xml:space="preserve"> and </w:t>
      </w:r>
      <w:r w:rsidR="0089139E">
        <w:t xml:space="preserve">their </w:t>
      </w:r>
      <w:r w:rsidR="001C6016">
        <w:t xml:space="preserve">intention to express political views and attract public attention, as well as by the author’s statements </w:t>
      </w:r>
      <w:r w:rsidR="00436142">
        <w:t xml:space="preserve">to this effect </w:t>
      </w:r>
      <w:r w:rsidR="001C6016">
        <w:t xml:space="preserve">before the courts. </w:t>
      </w:r>
      <w:r w:rsidR="007639B0">
        <w:t xml:space="preserve">Breaching </w:t>
      </w:r>
      <w:r w:rsidR="00436142">
        <w:t>th</w:t>
      </w:r>
      <w:r w:rsidR="0054523C">
        <w:t>at L</w:t>
      </w:r>
      <w:r w:rsidR="00436142">
        <w:t>aw</w:t>
      </w:r>
      <w:r w:rsidR="0054523C">
        <w:t xml:space="preserve">, </w:t>
      </w:r>
      <w:r w:rsidR="00436142">
        <w:t>the event of 25 March 2009 was conducted without</w:t>
      </w:r>
      <w:r w:rsidR="003E64CC">
        <w:t xml:space="preserve"> prior</w:t>
      </w:r>
      <w:r w:rsidR="00436142">
        <w:t xml:space="preserve"> authori</w:t>
      </w:r>
      <w:r w:rsidR="0054523C">
        <w:t>z</w:t>
      </w:r>
      <w:r w:rsidR="00436142">
        <w:t xml:space="preserve">ation and the author </w:t>
      </w:r>
      <w:r w:rsidR="00985506">
        <w:t>had</w:t>
      </w:r>
      <w:r w:rsidR="00436142">
        <w:t xml:space="preserve"> not personally appl</w:t>
      </w:r>
      <w:r w:rsidR="00985506">
        <w:t>ied</w:t>
      </w:r>
      <w:r w:rsidR="00436142">
        <w:t xml:space="preserve"> for such authori</w:t>
      </w:r>
      <w:r w:rsidR="0054523C">
        <w:t>z</w:t>
      </w:r>
      <w:r w:rsidR="00436142">
        <w:t xml:space="preserve">ation. </w:t>
      </w:r>
      <w:r w:rsidR="007639B0">
        <w:t xml:space="preserve">The author </w:t>
      </w:r>
      <w:r w:rsidR="00436142">
        <w:t xml:space="preserve"> </w:t>
      </w:r>
      <w:r w:rsidR="00D90984">
        <w:t>therefore committed an administrative offence under article 23.34, part 1, of the C</w:t>
      </w:r>
      <w:r w:rsidR="00F81E6D">
        <w:t xml:space="preserve">ode of Administrative Offences. </w:t>
      </w:r>
      <w:r w:rsidR="0054523C">
        <w:t>No</w:t>
      </w:r>
      <w:r w:rsidR="00D90984">
        <w:t xml:space="preserve"> violation of international law </w:t>
      </w:r>
      <w:r w:rsidR="0054523C">
        <w:t xml:space="preserve">appears to be </w:t>
      </w:r>
      <w:r w:rsidR="00D90984">
        <w:t xml:space="preserve">present </w:t>
      </w:r>
      <w:r w:rsidR="0054523C">
        <w:t xml:space="preserve">in this </w:t>
      </w:r>
      <w:r w:rsidR="00D90984">
        <w:t xml:space="preserve">case. </w:t>
      </w:r>
    </w:p>
    <w:p w:rsidR="00CF2919" w:rsidRDefault="00456152" w:rsidP="007639B0">
      <w:pPr>
        <w:pStyle w:val="SingleTxtG"/>
      </w:pPr>
      <w:r>
        <w:t>4.4</w:t>
      </w:r>
      <w:r>
        <w:tab/>
      </w:r>
      <w:r w:rsidR="00CF2919">
        <w:t>With reference to article 22 of the Constitution, t</w:t>
      </w:r>
      <w:r w:rsidR="00A4192B">
        <w:t xml:space="preserve">he State party maintains </w:t>
      </w:r>
      <w:r w:rsidR="00CF2919">
        <w:t xml:space="preserve">that all citizens are equal before the law </w:t>
      </w:r>
      <w:r w:rsidR="00CF2919" w:rsidRPr="00CF2919">
        <w:t>and entitled</w:t>
      </w:r>
      <w:r w:rsidR="00D90984">
        <w:t xml:space="preserve"> </w:t>
      </w:r>
      <w:r w:rsidR="00CF2919" w:rsidRPr="00CF2919">
        <w:t xml:space="preserve">to </w:t>
      </w:r>
      <w:r w:rsidR="00D90984">
        <w:t>protection by the State</w:t>
      </w:r>
      <w:r w:rsidR="00CF2919">
        <w:t>. The</w:t>
      </w:r>
      <w:r w:rsidR="00EC28F3">
        <w:t xml:space="preserve"> wish</w:t>
      </w:r>
      <w:r w:rsidR="00CF2919">
        <w:t xml:space="preserve"> of a group of people to hold </w:t>
      </w:r>
      <w:r w:rsidR="0054523C">
        <w:t xml:space="preserve">and participate in </w:t>
      </w:r>
      <w:r w:rsidR="00CF2919">
        <w:t xml:space="preserve">mass events </w:t>
      </w:r>
      <w:r w:rsidR="0054523C">
        <w:t xml:space="preserve">should </w:t>
      </w:r>
      <w:r w:rsidR="00CF2919">
        <w:t>not violate the rights and freedoms of other citizens.</w:t>
      </w:r>
      <w:r w:rsidR="00D90984">
        <w:t xml:space="preserve"> This is the </w:t>
      </w:r>
      <w:r w:rsidR="007639B0">
        <w:t xml:space="preserve">purpose </w:t>
      </w:r>
      <w:r w:rsidR="00D90984">
        <w:t xml:space="preserve">of the </w:t>
      </w:r>
      <w:r w:rsidR="0054523C">
        <w:t>L</w:t>
      </w:r>
      <w:r w:rsidR="00D90984">
        <w:t xml:space="preserve">aw </w:t>
      </w:r>
      <w:r w:rsidR="0054523C">
        <w:t>on</w:t>
      </w:r>
      <w:r w:rsidR="00D90984">
        <w:t xml:space="preserve"> Mass Events.</w:t>
      </w:r>
    </w:p>
    <w:p w:rsidR="00BA29D1" w:rsidRDefault="00A4192B" w:rsidP="007639B0">
      <w:pPr>
        <w:pStyle w:val="SingleTxtG"/>
      </w:pPr>
      <w:r>
        <w:t>4.</w:t>
      </w:r>
      <w:r w:rsidR="00C37106">
        <w:t>5</w:t>
      </w:r>
      <w:r>
        <w:tab/>
        <w:t>In conclusion, the State party submits that</w:t>
      </w:r>
      <w:r w:rsidR="007639B0">
        <w:t>, as</w:t>
      </w:r>
      <w:r>
        <w:t xml:space="preserve"> the author has not exhausted all available domestic remedies and there are no reasons to believe that such remedies would be unavailable or ineffective</w:t>
      </w:r>
      <w:r w:rsidR="007639B0">
        <w:t xml:space="preserve">, </w:t>
      </w:r>
      <w:r>
        <w:t>the communication should be declared inadmissible</w:t>
      </w:r>
      <w:r w:rsidR="00457E0B">
        <w:t xml:space="preserve">. </w:t>
      </w:r>
    </w:p>
    <w:p w:rsidR="00A4192B" w:rsidRDefault="00BA29D1" w:rsidP="007639B0">
      <w:pPr>
        <w:pStyle w:val="SingleTxtG"/>
      </w:pPr>
      <w:r>
        <w:t>4.</w:t>
      </w:r>
      <w:r w:rsidR="00C37106">
        <w:t>6</w:t>
      </w:r>
      <w:r>
        <w:tab/>
      </w:r>
      <w:r w:rsidR="0072226B">
        <w:t>As a general rule, t</w:t>
      </w:r>
      <w:r w:rsidR="00457E0B">
        <w:t xml:space="preserve">he State party asks the Committee to consider </w:t>
      </w:r>
      <w:r w:rsidR="000A442E">
        <w:t>individual</w:t>
      </w:r>
      <w:r w:rsidR="00457E0B">
        <w:t xml:space="preserve"> communications more carefully before registering them, in particular in the event of abuse of the right of submission </w:t>
      </w:r>
      <w:r w:rsidR="007A1319">
        <w:t xml:space="preserve">or </w:t>
      </w:r>
      <w:r w:rsidR="007639B0">
        <w:t xml:space="preserve">of </w:t>
      </w:r>
      <w:r w:rsidR="007A1319">
        <w:t>authors’ failure to exhaust all available domestic remedies.</w:t>
      </w:r>
    </w:p>
    <w:p w:rsidR="007C3A7C" w:rsidRDefault="00B427FA" w:rsidP="00642D4C">
      <w:pPr>
        <w:pStyle w:val="SingleTxtG"/>
      </w:pPr>
      <w:r>
        <w:t>4.</w:t>
      </w:r>
      <w:r w:rsidR="00C37106">
        <w:t>7</w:t>
      </w:r>
      <w:r w:rsidR="00C44D68">
        <w:tab/>
      </w:r>
      <w:r w:rsidR="00DF374D">
        <w:t>In</w:t>
      </w:r>
      <w:r>
        <w:t xml:space="preserve"> </w:t>
      </w:r>
      <w:r w:rsidR="00C37106">
        <w:t xml:space="preserve">a </w:t>
      </w:r>
      <w:r w:rsidR="002D54EE">
        <w:t>n</w:t>
      </w:r>
      <w:r>
        <w:t>ote verbale of</w:t>
      </w:r>
      <w:r w:rsidR="00D95A82">
        <w:t xml:space="preserve"> </w:t>
      </w:r>
      <w:r w:rsidR="005C1CC7">
        <w:t>25</w:t>
      </w:r>
      <w:r w:rsidR="00D95A82">
        <w:t xml:space="preserve"> January 201</w:t>
      </w:r>
      <w:r w:rsidR="005C1CC7">
        <w:t>2</w:t>
      </w:r>
      <w:r w:rsidR="00D95A82">
        <w:t xml:space="preserve">, the State party reiterated its position of </w:t>
      </w:r>
      <w:r w:rsidR="005C1CC7">
        <w:rPr>
          <w:lang w:val="en-US"/>
        </w:rPr>
        <w:t xml:space="preserve">23 June </w:t>
      </w:r>
      <w:r w:rsidR="00D95A82" w:rsidRPr="00CD2360">
        <w:rPr>
          <w:lang w:val="en-US"/>
        </w:rPr>
        <w:t>201</w:t>
      </w:r>
      <w:r w:rsidR="005C1CC7" w:rsidRPr="00CD2360">
        <w:rPr>
          <w:lang w:val="en-US"/>
        </w:rPr>
        <w:t>0</w:t>
      </w:r>
      <w:r w:rsidR="00D95A82" w:rsidRPr="00CD2360">
        <w:rPr>
          <w:lang w:val="en-US"/>
        </w:rPr>
        <w:t xml:space="preserve"> regarding the</w:t>
      </w:r>
      <w:r w:rsidRPr="00CD2360">
        <w:rPr>
          <w:lang w:val="en-US"/>
        </w:rPr>
        <w:t xml:space="preserve"> admissibility of the </w:t>
      </w:r>
      <w:r w:rsidR="00D95A82" w:rsidRPr="00CD2360">
        <w:rPr>
          <w:lang w:val="en-US"/>
        </w:rPr>
        <w:t>communication.</w:t>
      </w:r>
      <w:r w:rsidR="005C1CC7" w:rsidRPr="00CD2360">
        <w:rPr>
          <w:lang w:val="en-US"/>
        </w:rPr>
        <w:t xml:space="preserve"> It </w:t>
      </w:r>
      <w:r w:rsidRPr="00CD2360">
        <w:rPr>
          <w:lang w:val="en-US"/>
        </w:rPr>
        <w:t xml:space="preserve">adds that it </w:t>
      </w:r>
      <w:r w:rsidR="005C1CC7" w:rsidRPr="00CD2360">
        <w:t>considers the communication</w:t>
      </w:r>
      <w:r w:rsidR="00642D4C">
        <w:t xml:space="preserve"> </w:t>
      </w:r>
      <w:r w:rsidR="005C1CC7" w:rsidRPr="00CD2360">
        <w:t xml:space="preserve">as </w:t>
      </w:r>
      <w:r w:rsidR="00642D4C">
        <w:t xml:space="preserve">having been </w:t>
      </w:r>
      <w:r w:rsidR="005C1CC7" w:rsidRPr="00CD2360">
        <w:t>registered</w:t>
      </w:r>
      <w:r w:rsidR="00642D4C">
        <w:t xml:space="preserve"> </w:t>
      </w:r>
      <w:r w:rsidR="005C1CC7" w:rsidRPr="00CD2360">
        <w:t>in violation of the Optional Protocol.</w:t>
      </w:r>
      <w:r w:rsidR="005C1CC7">
        <w:t xml:space="preserve"> </w:t>
      </w:r>
    </w:p>
    <w:p w:rsidR="007C3A7C" w:rsidRDefault="00B427FA" w:rsidP="0032508D">
      <w:pPr>
        <w:pStyle w:val="SingleTxtG"/>
      </w:pPr>
      <w:r>
        <w:lastRenderedPageBreak/>
        <w:t>4.</w:t>
      </w:r>
      <w:r w:rsidR="00C37106">
        <w:t>8</w:t>
      </w:r>
      <w:r w:rsidR="007C3A7C">
        <w:tab/>
        <w:t>In particular, i</w:t>
      </w:r>
      <w:r w:rsidR="005C1CC7">
        <w:t xml:space="preserve">t submits that </w:t>
      </w:r>
      <w:r w:rsidR="007C3A7C" w:rsidRPr="007C3A7C">
        <w:t xml:space="preserve">upon becoming a State party to the Optional Protocol, it </w:t>
      </w:r>
      <w:r w:rsidR="00223772">
        <w:t xml:space="preserve">had </w:t>
      </w:r>
      <w:r w:rsidR="007C3A7C" w:rsidRPr="007C3A7C">
        <w:t xml:space="preserve">recognized the competence of the Committee under article 1, but that recognition of competence </w:t>
      </w:r>
      <w:r w:rsidR="00223772">
        <w:t xml:space="preserve">was undertaken </w:t>
      </w:r>
      <w:r w:rsidR="007C3A7C" w:rsidRPr="007C3A7C">
        <w:t xml:space="preserve">in conjunction with other provisions of the Optional Protocol, including those that </w:t>
      </w:r>
      <w:r w:rsidR="00223772">
        <w:t xml:space="preserve">established </w:t>
      </w:r>
      <w:r w:rsidR="007C3A7C" w:rsidRPr="007C3A7C">
        <w:t xml:space="preserve">criteria regarding petitioners and the admissibility of their communications, in particular articles 2 and 5. </w:t>
      </w:r>
      <w:r w:rsidR="00223772">
        <w:t>The State party</w:t>
      </w:r>
      <w:r w:rsidR="007C3A7C" w:rsidRPr="007C3A7C">
        <w:t xml:space="preserve"> maintains that</w:t>
      </w:r>
      <w:r w:rsidR="00223772">
        <w:t>,</w:t>
      </w:r>
      <w:r w:rsidR="007C3A7C" w:rsidRPr="007C3A7C">
        <w:t xml:space="preserve"> under the Optional Protocol, State parties have no obligation to recognize the rules of procedure </w:t>
      </w:r>
      <w:r w:rsidR="00F84C83">
        <w:t xml:space="preserve">of the Committee </w:t>
      </w:r>
      <w:r w:rsidR="007C3A7C" w:rsidRPr="007C3A7C">
        <w:t>and its</w:t>
      </w:r>
      <w:r w:rsidR="007C3A7C">
        <w:t xml:space="preserve"> interpretation of the </w:t>
      </w:r>
      <w:r w:rsidR="007C3A7C" w:rsidRPr="007C3A7C">
        <w:t>provisions</w:t>
      </w:r>
      <w:r w:rsidR="00ED5BC7">
        <w:t xml:space="preserve"> of the Optional Protocol</w:t>
      </w:r>
      <w:r w:rsidR="007C3A7C" w:rsidRPr="007C3A7C">
        <w:t xml:space="preserve">, which </w:t>
      </w:r>
      <w:r w:rsidR="00ED5BC7">
        <w:t>"</w:t>
      </w:r>
      <w:r w:rsidR="007C3A7C" w:rsidRPr="007C3A7C">
        <w:t>could only be efficient when done in accordance with the Vienna Convention on the Law of Treaties</w:t>
      </w:r>
      <w:r w:rsidR="00127A73">
        <w:t>”</w:t>
      </w:r>
      <w:r w:rsidR="007C3A7C">
        <w:t>.</w:t>
      </w:r>
      <w:r w:rsidR="007C3A7C" w:rsidRPr="007C3A7C">
        <w:t xml:space="preserve"> It submits that, </w:t>
      </w:r>
      <w:r w:rsidR="00ED5BC7">
        <w:t>"</w:t>
      </w:r>
      <w:r w:rsidR="007C3A7C" w:rsidRPr="007C3A7C">
        <w:t>in relation to the complaint</w:t>
      </w:r>
      <w:r w:rsidR="00C37106">
        <w:t>s</w:t>
      </w:r>
      <w:r w:rsidR="007C3A7C" w:rsidRPr="007C3A7C">
        <w:t xml:space="preserve"> procedure, States parties should be guided first and foremost by the provisions of the Optional Protocol</w:t>
      </w:r>
      <w:r>
        <w:t>,</w:t>
      </w:r>
      <w:r w:rsidR="00ED5BC7">
        <w:t>"</w:t>
      </w:r>
      <w:r w:rsidR="007C3A7C" w:rsidRPr="007C3A7C">
        <w:t xml:space="preserve"> and that </w:t>
      </w:r>
      <w:r w:rsidR="00ED5BC7">
        <w:t>"</w:t>
      </w:r>
      <w:r w:rsidR="00B4718F">
        <w:t>references to the Committee’</w:t>
      </w:r>
      <w:r w:rsidR="007C3A7C" w:rsidRPr="007C3A7C">
        <w:t xml:space="preserve">s long-standing practice, methods </w:t>
      </w:r>
      <w:r w:rsidR="007C3A7C" w:rsidRPr="00F81E6D">
        <w:t>of work</w:t>
      </w:r>
      <w:r w:rsidR="00ED5BC7">
        <w:t>,</w:t>
      </w:r>
      <w:r w:rsidR="00F81E6D" w:rsidRPr="00506AAE">
        <w:t xml:space="preserve"> </w:t>
      </w:r>
      <w:r w:rsidR="007C3A7C" w:rsidRPr="00F81E6D">
        <w:t>case law are</w:t>
      </w:r>
      <w:r w:rsidR="007C3A7C" w:rsidRPr="007C3A7C">
        <w:t xml:space="preserve"> not subject </w:t>
      </w:r>
      <w:r w:rsidR="00ED5BC7">
        <w:t>of</w:t>
      </w:r>
      <w:r w:rsidR="007C3A7C" w:rsidRPr="007C3A7C">
        <w:t xml:space="preserve"> the Optional Protocol</w:t>
      </w:r>
      <w:r w:rsidR="00ED5BC7">
        <w:t>".</w:t>
      </w:r>
      <w:r>
        <w:t xml:space="preserve"> It </w:t>
      </w:r>
      <w:r w:rsidR="00ED5BC7">
        <w:t xml:space="preserve">also </w:t>
      </w:r>
      <w:r>
        <w:t xml:space="preserve">submits that </w:t>
      </w:r>
      <w:r w:rsidR="00ED5BC7">
        <w:t>"</w:t>
      </w:r>
      <w:r w:rsidR="007C3A7C" w:rsidRPr="007C3A7C">
        <w:t>any communication registered in violation of the provisions of the Optional Protocol will be viewed by the State Party as incompatible with the Protocol and will be rejected without comment</w:t>
      </w:r>
      <w:r w:rsidR="000C7D65">
        <w:t>s</w:t>
      </w:r>
      <w:r w:rsidR="007C3A7C" w:rsidRPr="007C3A7C">
        <w:t xml:space="preserve"> on the admissibility or </w:t>
      </w:r>
      <w:r w:rsidR="000C7D65">
        <w:t xml:space="preserve">on the </w:t>
      </w:r>
      <w:r w:rsidR="007C3A7C" w:rsidRPr="007C3A7C">
        <w:t>merits</w:t>
      </w:r>
      <w:r w:rsidR="000C7D65">
        <w:t>"</w:t>
      </w:r>
      <w:r w:rsidR="007C3A7C">
        <w:t>.</w:t>
      </w:r>
      <w:r w:rsidR="007C3A7C" w:rsidRPr="007C3A7C">
        <w:t xml:space="preserve"> The State party further maintains that decisions taken by the Committee on such </w:t>
      </w:r>
      <w:r w:rsidR="00127A73">
        <w:t xml:space="preserve">rejected </w:t>
      </w:r>
      <w:r w:rsidR="007C3A7C" w:rsidRPr="007C3A7C">
        <w:t xml:space="preserve">communications will be considered by its authorities as </w:t>
      </w:r>
      <w:r w:rsidR="00386EF5">
        <w:t>“</w:t>
      </w:r>
      <w:r w:rsidR="007C3A7C" w:rsidRPr="007C3A7C">
        <w:t>invalid</w:t>
      </w:r>
      <w:r w:rsidR="00386EF5">
        <w:t>”</w:t>
      </w:r>
      <w:r w:rsidR="007C3A7C" w:rsidRPr="007C3A7C">
        <w:t>.</w:t>
      </w:r>
    </w:p>
    <w:p w:rsidR="008216A5" w:rsidRPr="00BD7612" w:rsidRDefault="008216A5" w:rsidP="00BD7612">
      <w:pPr>
        <w:pStyle w:val="H23G"/>
      </w:pPr>
      <w:r w:rsidRPr="00BD7612">
        <w:tab/>
      </w:r>
      <w:r w:rsidRPr="00BD7612">
        <w:tab/>
        <w:t>Issues and proceedings before the Committee</w:t>
      </w:r>
    </w:p>
    <w:p w:rsidR="00ED06EC" w:rsidRPr="00ED06EC" w:rsidRDefault="00ED06EC" w:rsidP="00127A73">
      <w:pPr>
        <w:pStyle w:val="H4G"/>
      </w:pPr>
      <w:r>
        <w:tab/>
      </w:r>
      <w:r>
        <w:tab/>
      </w:r>
      <w:r w:rsidRPr="00ED06EC">
        <w:t xml:space="preserve">The </w:t>
      </w:r>
      <w:r w:rsidR="00127A73">
        <w:t xml:space="preserve">State party’s </w:t>
      </w:r>
      <w:r w:rsidR="002012C3">
        <w:t>lack of cooperation</w:t>
      </w:r>
    </w:p>
    <w:p w:rsidR="00386EF5" w:rsidRDefault="002A5E37" w:rsidP="0032508D">
      <w:pPr>
        <w:pStyle w:val="SingleTxtG"/>
      </w:pPr>
      <w:r>
        <w:t>5</w:t>
      </w:r>
      <w:r w:rsidR="00BD7612">
        <w:t>.1</w:t>
      </w:r>
      <w:r w:rsidR="00BD7612">
        <w:tab/>
      </w:r>
      <w:r w:rsidR="00ED06EC">
        <w:t>The Committee notes the State party</w:t>
      </w:r>
      <w:r w:rsidR="009F362A">
        <w:t>’</w:t>
      </w:r>
      <w:r w:rsidR="00ED06EC">
        <w:t>s submission</w:t>
      </w:r>
      <w:r w:rsidR="00E94088">
        <w:t>s</w:t>
      </w:r>
      <w:r w:rsidR="00ED06EC">
        <w:t xml:space="preserve"> that there are no legal grounds for the consideration of the author</w:t>
      </w:r>
      <w:r w:rsidR="009F362A">
        <w:t>’</w:t>
      </w:r>
      <w:r w:rsidR="00ED06EC">
        <w:t>s communication</w:t>
      </w:r>
      <w:r w:rsidR="000C7D65">
        <w:t>,</w:t>
      </w:r>
      <w:r w:rsidR="00ED06EC">
        <w:t xml:space="preserve"> insofar as </w:t>
      </w:r>
      <w:r w:rsidR="00DF50FB">
        <w:t xml:space="preserve">it </w:t>
      </w:r>
      <w:r w:rsidR="000C7D65">
        <w:t>is</w:t>
      </w:r>
      <w:r w:rsidR="00ED06EC">
        <w:t xml:space="preserve"> registered</w:t>
      </w:r>
      <w:r w:rsidR="00386EF5" w:rsidRPr="00386EF5">
        <w:t xml:space="preserve"> in violation of article 1 of the Optional Protocol</w:t>
      </w:r>
      <w:r w:rsidR="000C7D65">
        <w:t xml:space="preserve">; </w:t>
      </w:r>
      <w:r w:rsidR="00386EF5" w:rsidRPr="00386EF5">
        <w:t>because th</w:t>
      </w:r>
      <w:r w:rsidR="001D2754">
        <w:t>e author failed to exhaust available</w:t>
      </w:r>
      <w:r w:rsidR="00386EF5" w:rsidRPr="00386EF5">
        <w:t xml:space="preserve"> domestic remedies; that it has no obligation to recognize the Committee</w:t>
      </w:r>
      <w:r w:rsidR="00386EF5">
        <w:t>’</w:t>
      </w:r>
      <w:r w:rsidR="00386EF5" w:rsidRPr="00386EF5">
        <w:t>s rules of procedure and interpretation of the Protocol</w:t>
      </w:r>
      <w:r w:rsidR="00386EF5">
        <w:t>’</w:t>
      </w:r>
      <w:r w:rsidR="00386EF5" w:rsidRPr="00386EF5">
        <w:t xml:space="preserve">s provisions; and that </w:t>
      </w:r>
      <w:r w:rsidR="00386EF5">
        <w:t xml:space="preserve">the </w:t>
      </w:r>
      <w:r w:rsidR="00386EF5" w:rsidRPr="00386EF5">
        <w:t xml:space="preserve">decision taken by the Committee on the communication will be considered </w:t>
      </w:r>
      <w:r w:rsidR="000C7D65">
        <w:t xml:space="preserve">"invalid" </w:t>
      </w:r>
      <w:r w:rsidR="00386EF5" w:rsidRPr="00386EF5">
        <w:t xml:space="preserve">by </w:t>
      </w:r>
      <w:r w:rsidR="00CD2360">
        <w:t xml:space="preserve">the </w:t>
      </w:r>
      <w:r w:rsidR="000C7D65">
        <w:t xml:space="preserve">authorities of the </w:t>
      </w:r>
      <w:r w:rsidR="00CD2360">
        <w:t xml:space="preserve">State </w:t>
      </w:r>
      <w:r w:rsidR="000C7D65">
        <w:t>p</w:t>
      </w:r>
      <w:r w:rsidR="00CD2360">
        <w:t>arty</w:t>
      </w:r>
      <w:r w:rsidR="00386EF5" w:rsidRPr="00386EF5">
        <w:t>.</w:t>
      </w:r>
    </w:p>
    <w:p w:rsidR="00ED06EC" w:rsidRPr="00ED06EC" w:rsidRDefault="002A5E37" w:rsidP="0032508D">
      <w:pPr>
        <w:ind w:left="1134" w:right="1134"/>
        <w:jc w:val="both"/>
      </w:pPr>
      <w:r>
        <w:t>5</w:t>
      </w:r>
      <w:r w:rsidR="00ED06EC">
        <w:t>.2</w:t>
      </w:r>
      <w:r w:rsidR="00BD7612">
        <w:tab/>
      </w:r>
      <w:r w:rsidR="00ED06EC">
        <w:t xml:space="preserve">The Committee recalls that </w:t>
      </w:r>
      <w:r w:rsidR="000C7D65">
        <w:t xml:space="preserve">under </w:t>
      </w:r>
      <w:r w:rsidR="00ED06EC">
        <w:t xml:space="preserve">article 39, paragraph 2, of the Covenant </w:t>
      </w:r>
      <w:r w:rsidR="000C7D65">
        <w:t xml:space="preserve">it is empowered </w:t>
      </w:r>
      <w:r w:rsidR="00ED06EC">
        <w:t xml:space="preserve">to establish its own rules of procedure, which States parties have agreed to recognize. </w:t>
      </w:r>
      <w:r w:rsidR="000C7D65">
        <w:t>It further observes that, b</w:t>
      </w:r>
      <w:r w:rsidR="00ED06EC">
        <w:t xml:space="preserve">y adhering to the Optional Protocol, a State party to the Covenant recognizes the competence of the Committee to receive and consider communications from individuals claiming to be victims of violations of any of the rights set forth in </w:t>
      </w:r>
      <w:r w:rsidR="00BD7612">
        <w:t>the Covenant (</w:t>
      </w:r>
      <w:r w:rsidR="000C7D65">
        <w:t>p</w:t>
      </w:r>
      <w:r w:rsidR="00BD7612">
        <w:t>reamble and art. </w:t>
      </w:r>
      <w:r w:rsidR="00ED06EC">
        <w:t>1). Implicit in a State</w:t>
      </w:r>
      <w:r w:rsidR="00BB37C3">
        <w:t>’</w:t>
      </w:r>
      <w:r w:rsidR="00ED06EC">
        <w:t xml:space="preserve">s adherence to the </w:t>
      </w:r>
      <w:r w:rsidR="00DF50FB">
        <w:t xml:space="preserve">Optional </w:t>
      </w:r>
      <w:r w:rsidR="00ED06EC">
        <w:t>Protocol is an undertaking to cooperate with the Committee in good faith so as to permit and enable it to consider such communications, and after examination to forward its views to the State party and to the individual (art</w:t>
      </w:r>
      <w:r w:rsidR="000C7D65">
        <w:t xml:space="preserve">. </w:t>
      </w:r>
      <w:r w:rsidR="00ED06EC">
        <w:t>5, para</w:t>
      </w:r>
      <w:r w:rsidR="004031DA">
        <w:t xml:space="preserve">s. </w:t>
      </w:r>
      <w:r w:rsidR="00ED06EC">
        <w:t xml:space="preserve">1 and 4). It is incompatible with these obligations for a State party to take any action that would prevent or frustrate the Committee in its consideration and examination of </w:t>
      </w:r>
      <w:r w:rsidR="000C7D65">
        <w:t>the</w:t>
      </w:r>
      <w:r w:rsidR="00ED06EC">
        <w:t xml:space="preserve"> communication</w:t>
      </w:r>
      <w:r w:rsidR="000C7D65">
        <w:t>,</w:t>
      </w:r>
      <w:r w:rsidR="00ED06EC">
        <w:t xml:space="preserve"> and in the expression of its Views.</w:t>
      </w:r>
      <w:r w:rsidR="00E94088">
        <w:rPr>
          <w:rStyle w:val="FootnoteReference"/>
        </w:rPr>
        <w:footnoteReference w:id="5"/>
      </w:r>
      <w:r w:rsidR="00ED06EC">
        <w:t xml:space="preserve"> It is </w:t>
      </w:r>
      <w:r w:rsidR="004031DA">
        <w:t>for</w:t>
      </w:r>
      <w:r w:rsidR="00ED06EC">
        <w:t xml:space="preserve"> the Committee to determine whether a c</w:t>
      </w:r>
      <w:r w:rsidR="000C7D65">
        <w:t>ommunication</w:t>
      </w:r>
      <w:r w:rsidR="00ED06EC">
        <w:t xml:space="preserve"> should be registered. </w:t>
      </w:r>
      <w:r w:rsidR="00DF50FB">
        <w:t>B</w:t>
      </w:r>
      <w:r w:rsidR="00ED06EC">
        <w:t xml:space="preserve">y failing to accept the competence of the Committee to determine whether a communication shall be registered and by declaring </w:t>
      </w:r>
      <w:r w:rsidR="00810807">
        <w:t>bef</w:t>
      </w:r>
      <w:r w:rsidR="004031DA">
        <w:t>orehand</w:t>
      </w:r>
      <w:r w:rsidR="00ED06EC">
        <w:t xml:space="preserve"> that i</w:t>
      </w:r>
      <w:r w:rsidR="00BB37C3">
        <w:t xml:space="preserve">t will not accept the </w:t>
      </w:r>
      <w:r w:rsidR="00ED06EC">
        <w:t xml:space="preserve">determination </w:t>
      </w:r>
      <w:r w:rsidR="00DE3F4F">
        <w:t xml:space="preserve">of the Committee </w:t>
      </w:r>
      <w:r w:rsidR="00ED06EC">
        <w:t>o</w:t>
      </w:r>
      <w:r w:rsidR="004031DA">
        <w:t>n</w:t>
      </w:r>
      <w:r w:rsidR="00ED06EC">
        <w:t xml:space="preserve"> </w:t>
      </w:r>
      <w:r w:rsidR="00E94088">
        <w:t xml:space="preserve">the </w:t>
      </w:r>
      <w:r w:rsidR="00ED06EC">
        <w:t xml:space="preserve">admissibility </w:t>
      </w:r>
      <w:r w:rsidR="004031DA">
        <w:t>or</w:t>
      </w:r>
      <w:r w:rsidR="00ED06EC">
        <w:t xml:space="preserve"> the merits of th</w:t>
      </w:r>
      <w:r w:rsidR="004031DA">
        <w:t>at</w:t>
      </w:r>
      <w:r w:rsidR="00ED06EC">
        <w:t xml:space="preserve"> communication, the State party violate</w:t>
      </w:r>
      <w:r w:rsidR="004031DA">
        <w:t>s</w:t>
      </w:r>
      <w:r w:rsidR="00ED06EC">
        <w:t xml:space="preserve"> its obligations under article 1 of the Optional </w:t>
      </w:r>
      <w:r w:rsidR="00035F0E">
        <w:t>Protocol</w:t>
      </w:r>
      <w:r w:rsidR="00DE3F4F">
        <w:t xml:space="preserve"> to the Covenant. </w:t>
      </w:r>
    </w:p>
    <w:p w:rsidR="008216A5" w:rsidRPr="008216A5" w:rsidRDefault="008216A5" w:rsidP="00781C83">
      <w:pPr>
        <w:pStyle w:val="H4G"/>
      </w:pPr>
      <w:r w:rsidRPr="008216A5">
        <w:lastRenderedPageBreak/>
        <w:tab/>
      </w:r>
      <w:r w:rsidRPr="008216A5">
        <w:tab/>
        <w:t>Consideration of admissibility</w:t>
      </w:r>
    </w:p>
    <w:p w:rsidR="008216A5" w:rsidRPr="008216A5" w:rsidRDefault="002A5E37" w:rsidP="00781C83">
      <w:pPr>
        <w:pStyle w:val="SingleTxtG"/>
        <w:rPr>
          <w:bCs/>
        </w:rPr>
      </w:pPr>
      <w:r>
        <w:rPr>
          <w:bCs/>
        </w:rPr>
        <w:t>6</w:t>
      </w:r>
      <w:r w:rsidR="008216A5" w:rsidRPr="008216A5">
        <w:rPr>
          <w:bCs/>
        </w:rPr>
        <w:t>.</w:t>
      </w:r>
      <w:r w:rsidR="008216A5" w:rsidRPr="007C7813">
        <w:rPr>
          <w:bCs/>
        </w:rPr>
        <w:t>1</w:t>
      </w:r>
      <w:r w:rsidR="008216A5" w:rsidRPr="007C7813">
        <w:rPr>
          <w:bCs/>
        </w:rPr>
        <w:tab/>
        <w:t>Before considering any claim contained in a communication, the Human Rights Committee</w:t>
      </w:r>
      <w:r w:rsidR="008216A5" w:rsidRPr="008216A5">
        <w:rPr>
          <w:bCs/>
        </w:rPr>
        <w:t xml:space="preserve"> must, in accordance with rule 93 of its rules of procedure, decide whether or not the communication is admissible under the Optional Protocol to the Covenant.</w:t>
      </w:r>
    </w:p>
    <w:p w:rsidR="008216A5" w:rsidRDefault="002A5E37" w:rsidP="00781C83">
      <w:pPr>
        <w:pStyle w:val="SingleTxtG"/>
      </w:pPr>
      <w:r>
        <w:t>6</w:t>
      </w:r>
      <w:r w:rsidR="008216A5" w:rsidRPr="008216A5">
        <w:t>.2</w:t>
      </w:r>
      <w:r w:rsidR="008216A5" w:rsidRPr="008216A5">
        <w:tab/>
        <w:t xml:space="preserve">The Committee has ascertained, as required under article 5, paragraph 2 (a), of </w:t>
      </w:r>
      <w:r w:rsidR="006E1A90">
        <w:t xml:space="preserve">the Optional Protocol, that the </w:t>
      </w:r>
      <w:r w:rsidR="008216A5" w:rsidRPr="008216A5">
        <w:t xml:space="preserve">same matter is not being examined under another procedure of international investigation or settlement. </w:t>
      </w:r>
    </w:p>
    <w:p w:rsidR="006E1A90" w:rsidRDefault="000E2BE1" w:rsidP="002C6305">
      <w:pPr>
        <w:pStyle w:val="SingleTxtG"/>
      </w:pPr>
      <w:r>
        <w:t>6.3</w:t>
      </w:r>
      <w:r>
        <w:tab/>
        <w:t>The Committee notes that the author claims a violat</w:t>
      </w:r>
      <w:r w:rsidR="00BD7612">
        <w:t>ion of his rights under article </w:t>
      </w:r>
      <w:r>
        <w:t xml:space="preserve">2, paragraph 1, </w:t>
      </w:r>
      <w:r w:rsidRPr="000E2BE1">
        <w:t>of the Covenant</w:t>
      </w:r>
      <w:r w:rsidR="006E1A90">
        <w:t xml:space="preserve">. It </w:t>
      </w:r>
      <w:r w:rsidR="006E1A90" w:rsidRPr="006E1A90">
        <w:t>recalls its jurisprudence, which indicates that the provisions of article 2 of the Covenant, which lay down general obligations for States parties, cannot, in and of themselves,</w:t>
      </w:r>
      <w:r w:rsidR="002C6305">
        <w:t xml:space="preserve"> </w:t>
      </w:r>
      <w:r w:rsidR="006E1A90" w:rsidRPr="006E1A90">
        <w:t>give rise to a claim in a communication under the Optional Protocol.</w:t>
      </w:r>
      <w:r w:rsidR="00586ABA">
        <w:rPr>
          <w:rStyle w:val="FootnoteReference"/>
        </w:rPr>
        <w:footnoteReference w:id="6"/>
      </w:r>
      <w:r w:rsidR="006E1A90" w:rsidRPr="006E1A90">
        <w:t xml:space="preserve"> The Committee therefore considers that </w:t>
      </w:r>
      <w:r w:rsidR="006E1A90" w:rsidRPr="000E2BE1">
        <w:t>this part of the communication</w:t>
      </w:r>
      <w:r w:rsidR="006E1A90" w:rsidRPr="006E1A90">
        <w:t xml:space="preserve"> </w:t>
      </w:r>
      <w:r w:rsidR="006E1A90">
        <w:t>is</w:t>
      </w:r>
      <w:r w:rsidR="006E1A90" w:rsidRPr="006E1A90">
        <w:t xml:space="preserve"> inadmissible under article</w:t>
      </w:r>
      <w:r w:rsidR="006E1A90">
        <w:t xml:space="preserve"> 2 </w:t>
      </w:r>
      <w:r w:rsidR="006E1A90" w:rsidRPr="006E1A90">
        <w:t>of the Optional Protocol.</w:t>
      </w:r>
    </w:p>
    <w:p w:rsidR="008216A5" w:rsidRDefault="002A5E37" w:rsidP="004031DA">
      <w:pPr>
        <w:pStyle w:val="SingleTxtG"/>
      </w:pPr>
      <w:r>
        <w:t>6</w:t>
      </w:r>
      <w:r w:rsidR="008216A5" w:rsidRPr="008216A5">
        <w:t>.</w:t>
      </w:r>
      <w:r w:rsidR="006E1A90">
        <w:t>4</w:t>
      </w:r>
      <w:r w:rsidR="008216A5" w:rsidRPr="008216A5">
        <w:tab/>
        <w:t>T</w:t>
      </w:r>
      <w:r w:rsidR="008216A5" w:rsidRPr="008216A5">
        <w:rPr>
          <w:lang w:val="en-US"/>
        </w:rPr>
        <w:t xml:space="preserve">he Committee takes note of the State party’s </w:t>
      </w:r>
      <w:r w:rsidR="0032348D">
        <w:rPr>
          <w:lang w:val="en-US"/>
        </w:rPr>
        <w:t xml:space="preserve">objection to the effect </w:t>
      </w:r>
      <w:r w:rsidR="008216A5" w:rsidRPr="008216A5">
        <w:rPr>
          <w:lang w:val="en-US"/>
        </w:rPr>
        <w:t xml:space="preserve">that the author </w:t>
      </w:r>
      <w:r w:rsidR="000E42FA">
        <w:rPr>
          <w:lang w:val="en-US"/>
        </w:rPr>
        <w:t>sh</w:t>
      </w:r>
      <w:r w:rsidR="008216A5" w:rsidRPr="008216A5">
        <w:rPr>
          <w:lang w:val="en-US"/>
        </w:rPr>
        <w:t>ou</w:t>
      </w:r>
      <w:r w:rsidR="00945A23">
        <w:rPr>
          <w:lang w:val="en-US"/>
        </w:rPr>
        <w:t>ld have requested the Prosecutor</w:t>
      </w:r>
      <w:r w:rsidR="004031DA">
        <w:rPr>
          <w:lang w:val="en-US"/>
        </w:rPr>
        <w:t xml:space="preserve"> General</w:t>
      </w:r>
      <w:r w:rsidR="008216A5" w:rsidRPr="008216A5">
        <w:rPr>
          <w:lang w:val="en-US"/>
        </w:rPr>
        <w:t>’s Office</w:t>
      </w:r>
      <w:r w:rsidR="00945A23">
        <w:rPr>
          <w:lang w:val="en-US"/>
        </w:rPr>
        <w:t xml:space="preserve"> </w:t>
      </w:r>
      <w:r w:rsidR="008216A5" w:rsidRPr="008216A5">
        <w:t xml:space="preserve">to initiate a supervisory review of the </w:t>
      </w:r>
      <w:r w:rsidR="00945A23">
        <w:t xml:space="preserve">domestic courts’ </w:t>
      </w:r>
      <w:r w:rsidR="008216A5" w:rsidRPr="008216A5">
        <w:rPr>
          <w:lang w:val="en-US"/>
        </w:rPr>
        <w:t>decisions</w:t>
      </w:r>
      <w:r w:rsidR="00913616">
        <w:t xml:space="preserve">. </w:t>
      </w:r>
      <w:r w:rsidR="00041994">
        <w:t>It</w:t>
      </w:r>
      <w:r w:rsidR="00913616">
        <w:t xml:space="preserve"> also takes note of the author’s </w:t>
      </w:r>
      <w:r w:rsidR="002B3F1E">
        <w:t xml:space="preserve">explanation </w:t>
      </w:r>
      <w:r w:rsidR="00913616">
        <w:t>that</w:t>
      </w:r>
      <w:r w:rsidR="000E42FA">
        <w:t xml:space="preserve"> </w:t>
      </w:r>
      <w:r w:rsidR="002B3F1E">
        <w:t xml:space="preserve">his </w:t>
      </w:r>
      <w:r w:rsidR="00025D41">
        <w:t xml:space="preserve">request to initiate supervisory review proceedings </w:t>
      </w:r>
      <w:r w:rsidR="00E51BCB">
        <w:t>with the Supreme Court remained</w:t>
      </w:r>
      <w:r w:rsidR="00025D41">
        <w:t xml:space="preserve"> unsuccessful</w:t>
      </w:r>
      <w:r w:rsidR="00945A23">
        <w:t>.</w:t>
      </w:r>
      <w:r w:rsidR="002B3F1E">
        <w:t xml:space="preserve"> </w:t>
      </w:r>
      <w:r w:rsidR="002012C3" w:rsidRPr="002012C3">
        <w:t xml:space="preserve">The Committee recalls its jurisprudence, according to which the State party’s supervisory review proceedings before the Prosecutor General’s Office, allowing </w:t>
      </w:r>
      <w:r w:rsidR="004031DA">
        <w:t xml:space="preserve">a </w:t>
      </w:r>
      <w:r w:rsidR="002012C3" w:rsidRPr="002012C3">
        <w:t xml:space="preserve">review </w:t>
      </w:r>
      <w:r w:rsidR="004031DA">
        <w:t xml:space="preserve">of </w:t>
      </w:r>
      <w:r w:rsidR="002012C3" w:rsidRPr="002012C3">
        <w:t xml:space="preserve">court decisions that have taken effect does not constitute a remedy </w:t>
      </w:r>
      <w:r w:rsidR="004031DA">
        <w:t xml:space="preserve">that </w:t>
      </w:r>
      <w:r w:rsidR="002012C3" w:rsidRPr="002012C3">
        <w:t>has to be exhausted for the purposes of article 5, paragraph 2 (b), of the Optional Protocol.</w:t>
      </w:r>
      <w:r w:rsidR="002012C3">
        <w:rPr>
          <w:rStyle w:val="FootnoteReference"/>
        </w:rPr>
        <w:footnoteReference w:id="7"/>
      </w:r>
      <w:r w:rsidR="009F362A">
        <w:t xml:space="preserve"> </w:t>
      </w:r>
      <w:r w:rsidR="008216A5" w:rsidRPr="008216A5">
        <w:t xml:space="preserve">In the circumstances, the Committee considers that it is not precluded by article 5, paragraph 2 (b), of the Optional Protocol, from examining the </w:t>
      </w:r>
      <w:r w:rsidR="000E42FA">
        <w:t xml:space="preserve">present </w:t>
      </w:r>
      <w:r w:rsidR="008216A5" w:rsidRPr="008216A5">
        <w:t>communication.</w:t>
      </w:r>
    </w:p>
    <w:p w:rsidR="008216A5" w:rsidRPr="008216A5" w:rsidRDefault="002A5E37" w:rsidP="004031DA">
      <w:pPr>
        <w:pStyle w:val="SingleTxtG"/>
        <w:rPr>
          <w:lang w:val="en-US"/>
        </w:rPr>
      </w:pPr>
      <w:r>
        <w:t>6.</w:t>
      </w:r>
      <w:r w:rsidR="006E1A90">
        <w:t>5</w:t>
      </w:r>
      <w:r w:rsidR="00AC1844">
        <w:tab/>
      </w:r>
      <w:r w:rsidR="008216A5" w:rsidRPr="008216A5">
        <w:rPr>
          <w:lang w:val="en-US"/>
        </w:rPr>
        <w:t>The Committee considers that the author has sufficiently substantiated his claim</w:t>
      </w:r>
      <w:r w:rsidR="006E1A90">
        <w:rPr>
          <w:lang w:val="en-US"/>
        </w:rPr>
        <w:t>s</w:t>
      </w:r>
      <w:r w:rsidR="008216A5" w:rsidRPr="008216A5">
        <w:rPr>
          <w:lang w:val="en-US"/>
        </w:rPr>
        <w:t xml:space="preserve"> under article</w:t>
      </w:r>
      <w:r w:rsidR="006E1A90">
        <w:rPr>
          <w:lang w:val="en-US"/>
        </w:rPr>
        <w:t>s</w:t>
      </w:r>
      <w:r w:rsidR="008216A5" w:rsidRPr="008216A5">
        <w:rPr>
          <w:lang w:val="en-US"/>
        </w:rPr>
        <w:t xml:space="preserve"> </w:t>
      </w:r>
      <w:r w:rsidR="00806AAA">
        <w:rPr>
          <w:lang w:val="en-US"/>
        </w:rPr>
        <w:t>19</w:t>
      </w:r>
      <w:r w:rsidR="008216A5" w:rsidRPr="008216A5">
        <w:rPr>
          <w:lang w:val="en-US"/>
        </w:rPr>
        <w:t xml:space="preserve">, </w:t>
      </w:r>
      <w:r w:rsidR="00AC1844">
        <w:rPr>
          <w:lang w:val="en-US"/>
        </w:rPr>
        <w:t xml:space="preserve">paragraph 2, </w:t>
      </w:r>
      <w:r w:rsidR="006E1A90">
        <w:t xml:space="preserve">and 21, </w:t>
      </w:r>
      <w:r w:rsidR="00806AAA" w:rsidRPr="008216A5">
        <w:rPr>
          <w:lang w:val="en-US"/>
        </w:rPr>
        <w:t>of the Covenant</w:t>
      </w:r>
      <w:r w:rsidR="00806AAA">
        <w:rPr>
          <w:lang w:val="en-US"/>
        </w:rPr>
        <w:t>,</w:t>
      </w:r>
      <w:r w:rsidR="00806AAA" w:rsidRPr="008216A5">
        <w:rPr>
          <w:lang w:val="en-US"/>
        </w:rPr>
        <w:t xml:space="preserve"> </w:t>
      </w:r>
      <w:r w:rsidR="008216A5" w:rsidRPr="008216A5">
        <w:rPr>
          <w:lang w:val="en-US"/>
        </w:rPr>
        <w:t xml:space="preserve">for purposes of admissibility. Accordingly, it declares </w:t>
      </w:r>
      <w:r w:rsidR="006E1A90">
        <w:rPr>
          <w:lang w:val="en-US"/>
        </w:rPr>
        <w:t>them</w:t>
      </w:r>
      <w:r w:rsidR="008216A5" w:rsidRPr="008216A5">
        <w:rPr>
          <w:lang w:val="en-US"/>
        </w:rPr>
        <w:t xml:space="preserve"> admissible and proceeds to </w:t>
      </w:r>
      <w:r w:rsidR="006E1A90">
        <w:rPr>
          <w:lang w:val="en-US"/>
        </w:rPr>
        <w:t>their</w:t>
      </w:r>
      <w:r w:rsidR="008216A5" w:rsidRPr="008216A5">
        <w:rPr>
          <w:lang w:val="en-US"/>
        </w:rPr>
        <w:t xml:space="preserve"> examination on the merits. </w:t>
      </w:r>
    </w:p>
    <w:p w:rsidR="008216A5" w:rsidRPr="008216A5" w:rsidRDefault="008216A5" w:rsidP="00781C83">
      <w:pPr>
        <w:pStyle w:val="H4G"/>
      </w:pPr>
      <w:r w:rsidRPr="008216A5">
        <w:tab/>
      </w:r>
      <w:r w:rsidRPr="008216A5">
        <w:tab/>
        <w:t>Consideration of the merits</w:t>
      </w:r>
    </w:p>
    <w:p w:rsidR="008216A5" w:rsidRPr="008216A5" w:rsidRDefault="002A5E37" w:rsidP="00781C83">
      <w:pPr>
        <w:pStyle w:val="SingleTxtG"/>
      </w:pPr>
      <w:r>
        <w:t>7</w:t>
      </w:r>
      <w:r w:rsidR="008216A5" w:rsidRPr="008216A5">
        <w:t>.1</w:t>
      </w:r>
      <w:r w:rsidR="008216A5" w:rsidRPr="008216A5">
        <w:tab/>
        <w:t xml:space="preserve">The Human Rights Committee has considered the communication in </w:t>
      </w:r>
      <w:r w:rsidR="004031DA">
        <w:t xml:space="preserve">the </w:t>
      </w:r>
      <w:r w:rsidR="008216A5" w:rsidRPr="008216A5">
        <w:t xml:space="preserve">light of all the information made available to it by the parties, as provided </w:t>
      </w:r>
      <w:r w:rsidR="004031DA">
        <w:t xml:space="preserve">for </w:t>
      </w:r>
      <w:r w:rsidR="008216A5" w:rsidRPr="008216A5">
        <w:t>under article 5, paragraph 1, of the Optional Protocol.</w:t>
      </w:r>
    </w:p>
    <w:p w:rsidR="00EC28F3" w:rsidRDefault="002A5E37" w:rsidP="00571636">
      <w:pPr>
        <w:pStyle w:val="SingleTxtG"/>
      </w:pPr>
      <w:r>
        <w:t>7</w:t>
      </w:r>
      <w:r w:rsidR="008216A5" w:rsidRPr="008216A5">
        <w:t>.2.</w:t>
      </w:r>
      <w:r w:rsidR="008216A5" w:rsidRPr="008216A5">
        <w:tab/>
      </w:r>
      <w:r w:rsidR="00AC1844">
        <w:t>The Committee notes the author</w:t>
      </w:r>
      <w:r w:rsidR="00BB37C3">
        <w:t>’</w:t>
      </w:r>
      <w:r w:rsidR="00AC1844">
        <w:t xml:space="preserve">s claim that </w:t>
      </w:r>
      <w:r w:rsidR="00FF7920">
        <w:t xml:space="preserve">the interruption of a peaceful assembly by the authorities and </w:t>
      </w:r>
      <w:r w:rsidR="00571CA9">
        <w:t xml:space="preserve">finding him guilty of having conducted </w:t>
      </w:r>
      <w:r w:rsidR="00FF7920">
        <w:t>it</w:t>
      </w:r>
      <w:r w:rsidR="00571CA9">
        <w:t xml:space="preserve"> without prior authori</w:t>
      </w:r>
      <w:r w:rsidR="00571636">
        <w:t>z</w:t>
      </w:r>
      <w:r w:rsidR="00571CA9">
        <w:t>ation</w:t>
      </w:r>
      <w:r w:rsidR="00FF7920">
        <w:t xml:space="preserve"> </w:t>
      </w:r>
      <w:r w:rsidR="00571CA9">
        <w:t xml:space="preserve">constitutes </w:t>
      </w:r>
      <w:r w:rsidR="00EC28F3">
        <w:t>an unjustified restriction on his right to freedom of expression</w:t>
      </w:r>
      <w:r w:rsidR="00FF7920">
        <w:t xml:space="preserve"> and his right of peaceful assembly, as protected under articles 19, paragraph 2, and 21, of the Covenant. </w:t>
      </w:r>
      <w:r w:rsidR="000D0A22">
        <w:t>It also notes th</w:t>
      </w:r>
      <w:r w:rsidR="00EC28F3">
        <w:t xml:space="preserve">e </w:t>
      </w:r>
      <w:r w:rsidR="000D0A22">
        <w:t>State party</w:t>
      </w:r>
      <w:r w:rsidR="00EC28F3">
        <w:t xml:space="preserve">’s </w:t>
      </w:r>
      <w:r w:rsidR="00BF09D4">
        <w:t>explanation</w:t>
      </w:r>
      <w:r w:rsidR="00EC28F3">
        <w:t xml:space="preserve"> that the restriction </w:t>
      </w:r>
      <w:r w:rsidR="00E51BCB">
        <w:t xml:space="preserve">in question </w:t>
      </w:r>
      <w:r w:rsidR="00EC28F3">
        <w:t xml:space="preserve">was imposed in accordance with the </w:t>
      </w:r>
      <w:r w:rsidR="00571636">
        <w:t>L</w:t>
      </w:r>
      <w:r w:rsidR="00EC28F3">
        <w:t xml:space="preserve">aw </w:t>
      </w:r>
      <w:r w:rsidR="00571636">
        <w:t>o</w:t>
      </w:r>
      <w:r w:rsidR="00EC28F3">
        <w:t xml:space="preserve">n Mass Events, in particular because the author </w:t>
      </w:r>
      <w:r w:rsidR="00E51BCB">
        <w:t>had no</w:t>
      </w:r>
      <w:r w:rsidR="00EC28F3">
        <w:t xml:space="preserve"> valid authori</w:t>
      </w:r>
      <w:r w:rsidR="00571636">
        <w:t>z</w:t>
      </w:r>
      <w:r w:rsidR="00EC28F3">
        <w:t>ation to hold the event</w:t>
      </w:r>
      <w:r w:rsidR="00E542F7">
        <w:t xml:space="preserve">, and that </w:t>
      </w:r>
      <w:r w:rsidR="00BF09D4">
        <w:t>“</w:t>
      </w:r>
      <w:r w:rsidR="005618F9">
        <w:t xml:space="preserve">the wish of a group of people to hold mass events should not </w:t>
      </w:r>
      <w:r w:rsidR="00EC28F3">
        <w:t>violate the rights and freedoms of other citizens</w:t>
      </w:r>
      <w:r w:rsidR="00BF09D4">
        <w:t>”</w:t>
      </w:r>
      <w:r w:rsidR="005618F9">
        <w:t>.</w:t>
      </w:r>
    </w:p>
    <w:p w:rsidR="00FF7920" w:rsidRDefault="002A5E37" w:rsidP="00810807">
      <w:pPr>
        <w:pStyle w:val="SingleTxtG"/>
        <w:rPr>
          <w:lang w:val="en-US"/>
        </w:rPr>
      </w:pPr>
      <w:r>
        <w:lastRenderedPageBreak/>
        <w:t>7</w:t>
      </w:r>
      <w:r w:rsidR="000D0A22">
        <w:t>.3</w:t>
      </w:r>
      <w:r w:rsidR="000D0A22">
        <w:tab/>
      </w:r>
      <w:r w:rsidR="00FF7920">
        <w:t>The Committee has to consider whether the restriction imposed on the author</w:t>
      </w:r>
      <w:r w:rsidR="009F362A">
        <w:t>’</w:t>
      </w:r>
      <w:r w:rsidR="00FF7920">
        <w:t xml:space="preserve">s right to freedom of expression and on his right </w:t>
      </w:r>
      <w:r w:rsidR="00810807">
        <w:t xml:space="preserve">to </w:t>
      </w:r>
      <w:r w:rsidR="00FF7920">
        <w:t xml:space="preserve">peaceful assembly was justified under any of the criteria set out in article 19, paragraph 3, and the </w:t>
      </w:r>
      <w:r w:rsidR="00FF7920" w:rsidRPr="00401F51">
        <w:rPr>
          <w:lang w:val="en-US"/>
        </w:rPr>
        <w:t>second sentence of article 21</w:t>
      </w:r>
      <w:r w:rsidR="00FF7920">
        <w:rPr>
          <w:lang w:val="en-US"/>
        </w:rPr>
        <w:t>,</w:t>
      </w:r>
      <w:r w:rsidR="00FF7920" w:rsidRPr="00401F51">
        <w:rPr>
          <w:lang w:val="en-US"/>
        </w:rPr>
        <w:t xml:space="preserve"> of the Covenant</w:t>
      </w:r>
      <w:r w:rsidR="00FF7920">
        <w:rPr>
          <w:lang w:val="en-US"/>
        </w:rPr>
        <w:t xml:space="preserve">. </w:t>
      </w:r>
    </w:p>
    <w:p w:rsidR="00FF7920" w:rsidRPr="00401F51" w:rsidRDefault="00FF7920" w:rsidP="0032508D">
      <w:pPr>
        <w:pStyle w:val="SingleTxtG"/>
        <w:rPr>
          <w:lang w:val="en-US"/>
        </w:rPr>
      </w:pPr>
      <w:r>
        <w:rPr>
          <w:lang w:val="en-US"/>
        </w:rPr>
        <w:t>7.4</w:t>
      </w:r>
      <w:r>
        <w:rPr>
          <w:lang w:val="en-US"/>
        </w:rPr>
        <w:tab/>
      </w:r>
      <w:r w:rsidRPr="00401F51">
        <w:rPr>
          <w:lang w:val="en-US"/>
        </w:rPr>
        <w:t>The Committee recalls that article 19, paragraph 3, of the Covenant allows certain restrictions, but only as provided by law and necessary</w:t>
      </w:r>
      <w:r w:rsidR="00DE3F4F">
        <w:rPr>
          <w:lang w:val="en-US"/>
        </w:rPr>
        <w:t>:</w:t>
      </w:r>
      <w:r w:rsidRPr="00401F51">
        <w:rPr>
          <w:lang w:val="en-US"/>
        </w:rPr>
        <w:t xml:space="preserve"> (a) for respect of the rights or reputation</w:t>
      </w:r>
      <w:r>
        <w:rPr>
          <w:lang w:val="en-US"/>
        </w:rPr>
        <w:t>s</w:t>
      </w:r>
      <w:r w:rsidRPr="00401F51">
        <w:rPr>
          <w:lang w:val="en-US"/>
        </w:rPr>
        <w:t xml:space="preserve"> of others; or (b) for the protection of national security or of public order </w:t>
      </w:r>
      <w:r w:rsidRPr="00FF7920">
        <w:rPr>
          <w:i/>
          <w:lang w:val="en-US"/>
        </w:rPr>
        <w:t>(ordre public)</w:t>
      </w:r>
      <w:r w:rsidRPr="00401F51">
        <w:rPr>
          <w:lang w:val="en-US"/>
        </w:rPr>
        <w:t>, or of public health or morals. It also recalls that the second sentence of article 21 of the Covenant requires that no restrictions be placed on the exercise of the right to peaceful assembly other than those imposed</w:t>
      </w:r>
      <w:r w:rsidR="00DE3F4F">
        <w:rPr>
          <w:lang w:val="en-US"/>
        </w:rPr>
        <w:t xml:space="preserve"> </w:t>
      </w:r>
      <w:r w:rsidRPr="00401F51">
        <w:rPr>
          <w:lang w:val="en-US"/>
        </w:rPr>
        <w:t xml:space="preserve">in conformity with the law and </w:t>
      </w:r>
      <w:r w:rsidR="0032508D">
        <w:rPr>
          <w:lang w:val="en-US"/>
        </w:rPr>
        <w:t xml:space="preserve">that </w:t>
      </w:r>
      <w:r w:rsidRPr="00401F51">
        <w:rPr>
          <w:lang w:val="en-US"/>
        </w:rPr>
        <w:t xml:space="preserve">are necessary in a democratic society in the interests of national security or public safety, public order </w:t>
      </w:r>
      <w:r w:rsidRPr="00FF7920">
        <w:rPr>
          <w:i/>
          <w:lang w:val="en-US"/>
        </w:rPr>
        <w:t>(ordre public)</w:t>
      </w:r>
      <w:r w:rsidRPr="00401F51">
        <w:rPr>
          <w:lang w:val="en-US"/>
        </w:rPr>
        <w:t xml:space="preserve">, the protection of public health or morals or the protection of the rights and freedoms of others. The Committee </w:t>
      </w:r>
      <w:r w:rsidR="00865CE5">
        <w:rPr>
          <w:lang w:val="en-US"/>
        </w:rPr>
        <w:t xml:space="preserve">points out </w:t>
      </w:r>
      <w:r w:rsidRPr="00401F51">
        <w:rPr>
          <w:lang w:val="en-US"/>
        </w:rPr>
        <w:t xml:space="preserve">that if </w:t>
      </w:r>
      <w:r w:rsidR="00A11A0C">
        <w:rPr>
          <w:lang w:val="en-US"/>
        </w:rPr>
        <w:t xml:space="preserve">a </w:t>
      </w:r>
      <w:r w:rsidRPr="00401F51">
        <w:rPr>
          <w:lang w:val="en-US"/>
        </w:rPr>
        <w:t>State</w:t>
      </w:r>
      <w:r w:rsidR="00A11A0C">
        <w:rPr>
          <w:lang w:val="en-US"/>
        </w:rPr>
        <w:t xml:space="preserve"> party</w:t>
      </w:r>
      <w:r w:rsidRPr="00401F51">
        <w:rPr>
          <w:lang w:val="en-US"/>
        </w:rPr>
        <w:t xml:space="preserve"> imposes a </w:t>
      </w:r>
      <w:r w:rsidR="00035F0E">
        <w:rPr>
          <w:lang w:val="en-US"/>
        </w:rPr>
        <w:t xml:space="preserve">restriction </w:t>
      </w:r>
      <w:r w:rsidR="00035F0E" w:rsidRPr="00401F51">
        <w:rPr>
          <w:lang w:val="en-US"/>
        </w:rPr>
        <w:t>on the rights under articles 19</w:t>
      </w:r>
      <w:r w:rsidR="00035F0E">
        <w:rPr>
          <w:lang w:val="en-US"/>
        </w:rPr>
        <w:t xml:space="preserve">, </w:t>
      </w:r>
      <w:r w:rsidR="00035F0E" w:rsidRPr="00401F51">
        <w:rPr>
          <w:lang w:val="en-US"/>
        </w:rPr>
        <w:t>para</w:t>
      </w:r>
      <w:r w:rsidR="00035F0E">
        <w:rPr>
          <w:lang w:val="en-US"/>
        </w:rPr>
        <w:t xml:space="preserve">graph </w:t>
      </w:r>
      <w:r w:rsidR="00035F0E" w:rsidRPr="00401F51">
        <w:rPr>
          <w:lang w:val="en-US"/>
        </w:rPr>
        <w:t>2</w:t>
      </w:r>
      <w:r w:rsidR="00035F0E">
        <w:rPr>
          <w:lang w:val="en-US"/>
        </w:rPr>
        <w:t>,</w:t>
      </w:r>
      <w:r w:rsidR="00035F0E" w:rsidRPr="00401F51">
        <w:rPr>
          <w:lang w:val="en-US"/>
        </w:rPr>
        <w:t xml:space="preserve"> and 21</w:t>
      </w:r>
      <w:r w:rsidR="00035F0E">
        <w:rPr>
          <w:lang w:val="en-US"/>
        </w:rPr>
        <w:t>,</w:t>
      </w:r>
      <w:r w:rsidR="00035F0E" w:rsidRPr="00401F51">
        <w:rPr>
          <w:lang w:val="en-US"/>
        </w:rPr>
        <w:t xml:space="preserve"> of the Covenant</w:t>
      </w:r>
      <w:r w:rsidR="00035F0E">
        <w:rPr>
          <w:lang w:val="en-US"/>
        </w:rPr>
        <w:t>,</w:t>
      </w:r>
      <w:r w:rsidRPr="00401F51">
        <w:rPr>
          <w:lang w:val="en-US"/>
        </w:rPr>
        <w:t xml:space="preserve"> it </w:t>
      </w:r>
      <w:r w:rsidR="00035F0E">
        <w:rPr>
          <w:lang w:val="en-US"/>
        </w:rPr>
        <w:t>should</w:t>
      </w:r>
      <w:r w:rsidRPr="00401F51">
        <w:rPr>
          <w:lang w:val="en-US"/>
        </w:rPr>
        <w:t xml:space="preserve"> demonstrate that the restriction was necessary in the case in question, and that even if, in principle, </w:t>
      </w:r>
      <w:r w:rsidR="007C7813">
        <w:rPr>
          <w:lang w:val="en-US"/>
        </w:rPr>
        <w:t xml:space="preserve">a </w:t>
      </w:r>
      <w:r w:rsidRPr="00401F51">
        <w:rPr>
          <w:lang w:val="en-US"/>
        </w:rPr>
        <w:t>State part</w:t>
      </w:r>
      <w:r w:rsidR="007C7813">
        <w:rPr>
          <w:lang w:val="en-US"/>
        </w:rPr>
        <w:t>y</w:t>
      </w:r>
      <w:r w:rsidRPr="00401F51">
        <w:rPr>
          <w:lang w:val="en-US"/>
        </w:rPr>
        <w:t xml:space="preserve"> may introduce a system aimed at reconciling an individual</w:t>
      </w:r>
      <w:r>
        <w:rPr>
          <w:lang w:val="en-US"/>
        </w:rPr>
        <w:t>’</w:t>
      </w:r>
      <w:r w:rsidRPr="00401F51">
        <w:rPr>
          <w:lang w:val="en-US"/>
        </w:rPr>
        <w:t xml:space="preserve">s freedom to impart information and to participate in a peaceful assembly </w:t>
      </w:r>
      <w:r>
        <w:rPr>
          <w:lang w:val="en-US"/>
        </w:rPr>
        <w:t>with</w:t>
      </w:r>
      <w:r w:rsidRPr="00401F51">
        <w:rPr>
          <w:lang w:val="en-US"/>
        </w:rPr>
        <w:t xml:space="preserve"> the general interest of maintaining public order in a certain area, th</w:t>
      </w:r>
      <w:r w:rsidR="007C7813">
        <w:rPr>
          <w:lang w:val="en-US"/>
        </w:rPr>
        <w:t>at</w:t>
      </w:r>
      <w:r w:rsidRPr="00401F51">
        <w:rPr>
          <w:lang w:val="en-US"/>
        </w:rPr>
        <w:t xml:space="preserve"> system must not operate in a way that is incompatible with the object and purpose of articles 19 and 21 of the Covenant.</w:t>
      </w:r>
      <w:r w:rsidRPr="00401F51">
        <w:rPr>
          <w:rStyle w:val="FootnoteReference"/>
          <w:sz w:val="20"/>
          <w:lang w:val="en-US"/>
        </w:rPr>
        <w:footnoteReference w:id="8"/>
      </w:r>
    </w:p>
    <w:p w:rsidR="009735EF" w:rsidRDefault="00FF7920" w:rsidP="0032508D">
      <w:pPr>
        <w:pStyle w:val="SingleTxtG"/>
      </w:pPr>
      <w:r>
        <w:t>7.5</w:t>
      </w:r>
      <w:r>
        <w:tab/>
      </w:r>
      <w:r w:rsidR="00CC664C">
        <w:t>In this regard, the Committee notes the State party</w:t>
      </w:r>
      <w:r w:rsidR="00753BA9">
        <w:t xml:space="preserve">’s explanation that the restriction imposed in the author’s case was in accordance with the law. It </w:t>
      </w:r>
      <w:r w:rsidR="007C7813">
        <w:t xml:space="preserve">points out, </w:t>
      </w:r>
      <w:r w:rsidR="00753BA9">
        <w:t xml:space="preserve">however, that the State party </w:t>
      </w:r>
      <w:r w:rsidR="00CC664C">
        <w:t xml:space="preserve">has not attempted </w:t>
      </w:r>
      <w:r w:rsidR="00753BA9">
        <w:t xml:space="preserve">to explain </w:t>
      </w:r>
      <w:r w:rsidR="00CC664C">
        <w:t>why it was necessary</w:t>
      </w:r>
      <w:r w:rsidR="007C7813">
        <w:t xml:space="preserve"> —</w:t>
      </w:r>
      <w:r w:rsidR="00CC664C">
        <w:t xml:space="preserve"> under domestic law and </w:t>
      </w:r>
      <w:r w:rsidR="00CC664C" w:rsidRPr="00CC664C">
        <w:t>for one of the legitimate purposes set out in article 19, paragraph 3,</w:t>
      </w:r>
      <w:r>
        <w:t xml:space="preserve"> and the </w:t>
      </w:r>
      <w:r w:rsidRPr="00401F51">
        <w:rPr>
          <w:lang w:val="en-US"/>
        </w:rPr>
        <w:t>second sentence of article 21</w:t>
      </w:r>
      <w:r w:rsidR="007C7813">
        <w:rPr>
          <w:lang w:val="en-US"/>
        </w:rPr>
        <w:t xml:space="preserve"> </w:t>
      </w:r>
      <w:r w:rsidR="00CC664C">
        <w:t>of the Covenant</w:t>
      </w:r>
      <w:r w:rsidR="007C7813">
        <w:t xml:space="preserve"> —</w:t>
      </w:r>
      <w:r w:rsidR="00CC664C">
        <w:t xml:space="preserve"> to obtain authori</w:t>
      </w:r>
      <w:r w:rsidR="007C7813">
        <w:t>z</w:t>
      </w:r>
      <w:r w:rsidR="00CC664C">
        <w:t xml:space="preserve">ation prior to </w:t>
      </w:r>
      <w:r w:rsidR="00753BA9">
        <w:t>hold</w:t>
      </w:r>
      <w:r w:rsidR="00E376E4">
        <w:t>ing a peaceful</w:t>
      </w:r>
      <w:r>
        <w:t xml:space="preserve"> </w:t>
      </w:r>
      <w:r w:rsidR="00E376E4">
        <w:t xml:space="preserve">street </w:t>
      </w:r>
      <w:r w:rsidR="007C7813">
        <w:t>march</w:t>
      </w:r>
      <w:r w:rsidR="00E376E4">
        <w:t xml:space="preserve"> in which only three persons intended to participate. Neither has it explained how</w:t>
      </w:r>
      <w:r w:rsidR="00F46CDD">
        <w:t xml:space="preserve"> in practice</w:t>
      </w:r>
      <w:r w:rsidR="00E376E4">
        <w:t xml:space="preserve">, in </w:t>
      </w:r>
      <w:r w:rsidR="00BB37C3">
        <w:t>the</w:t>
      </w:r>
      <w:r w:rsidR="00E376E4">
        <w:t xml:space="preserve"> case</w:t>
      </w:r>
      <w:r w:rsidR="00BB37C3">
        <w:t xml:space="preserve"> at issue</w:t>
      </w:r>
      <w:r w:rsidR="00E376E4">
        <w:t xml:space="preserve">, </w:t>
      </w:r>
      <w:r w:rsidR="007053C1">
        <w:t xml:space="preserve">the </w:t>
      </w:r>
      <w:r w:rsidR="0032508D">
        <w:t xml:space="preserve">movement of the </w:t>
      </w:r>
      <w:r w:rsidR="007053C1">
        <w:t xml:space="preserve">author and his two </w:t>
      </w:r>
      <w:r w:rsidR="00F46CDD">
        <w:t>acquaintances</w:t>
      </w:r>
      <w:r w:rsidR="007053C1">
        <w:t xml:space="preserve"> </w:t>
      </w:r>
      <w:r w:rsidR="00BB37C3">
        <w:t>mov</w:t>
      </w:r>
      <w:r w:rsidR="00F46CDD">
        <w:t>ement</w:t>
      </w:r>
      <w:r w:rsidR="00D354E1">
        <w:t xml:space="preserve"> with a flag</w:t>
      </w:r>
      <w:r w:rsidR="007C7813">
        <w:t xml:space="preserve"> </w:t>
      </w:r>
      <w:r w:rsidR="007053C1">
        <w:t xml:space="preserve">along the pavement down a pedestrian street </w:t>
      </w:r>
      <w:r w:rsidR="00BB37C3">
        <w:t xml:space="preserve">during </w:t>
      </w:r>
      <w:r>
        <w:t>daytime</w:t>
      </w:r>
      <w:r w:rsidR="00BB37C3">
        <w:t xml:space="preserve"> </w:t>
      </w:r>
      <w:r w:rsidR="00E376E4">
        <w:t>would have violated the rights and freedoms of other</w:t>
      </w:r>
      <w:r w:rsidR="007053C1">
        <w:t>s</w:t>
      </w:r>
      <w:r w:rsidR="00E376E4">
        <w:t xml:space="preserve"> </w:t>
      </w:r>
      <w:r w:rsidR="007053C1">
        <w:t>or would have posed a threat to public safety or public order (</w:t>
      </w:r>
      <w:r w:rsidR="007053C1">
        <w:rPr>
          <w:i/>
          <w:iCs/>
        </w:rPr>
        <w:t>ordre public</w:t>
      </w:r>
      <w:r w:rsidR="007053C1">
        <w:t xml:space="preserve">). </w:t>
      </w:r>
      <w:r w:rsidR="00746F1E">
        <w:t>I</w:t>
      </w:r>
      <w:r w:rsidR="00CC664C" w:rsidRPr="00CC664C">
        <w:t xml:space="preserve">n the absence of any </w:t>
      </w:r>
      <w:r w:rsidR="00BE2C31">
        <w:t xml:space="preserve">other </w:t>
      </w:r>
      <w:r w:rsidR="00BE2C31" w:rsidRPr="00685FA6">
        <w:t>pertinent explanations from the State party</w:t>
      </w:r>
      <w:r w:rsidR="00BE2C31">
        <w:t>,</w:t>
      </w:r>
      <w:r w:rsidR="009735EF">
        <w:t xml:space="preserve"> the Committee c</w:t>
      </w:r>
      <w:r w:rsidR="00F46CDD">
        <w:t>onsiders</w:t>
      </w:r>
      <w:r w:rsidR="009735EF">
        <w:t xml:space="preserve"> that </w:t>
      </w:r>
      <w:r w:rsidR="00F46CDD">
        <w:t xml:space="preserve">due weight must be given to the author’s allegations. Accordingly, it concludes that </w:t>
      </w:r>
      <w:r w:rsidR="009735EF">
        <w:t>the facts as submitted reveal a violation, by the State party, of the author’s rights under article</w:t>
      </w:r>
      <w:r w:rsidR="00314A97">
        <w:t>s</w:t>
      </w:r>
      <w:r w:rsidR="009735EF">
        <w:t xml:space="preserve"> 19, paragraph 2,</w:t>
      </w:r>
      <w:r w:rsidR="00342D6C">
        <w:t xml:space="preserve"> and 21</w:t>
      </w:r>
      <w:r w:rsidR="009735EF">
        <w:t xml:space="preserve"> of the Covenant.</w:t>
      </w:r>
    </w:p>
    <w:p w:rsidR="008216A5" w:rsidRPr="008216A5" w:rsidRDefault="00990941" w:rsidP="00781C83">
      <w:pPr>
        <w:pStyle w:val="SingleTxtG"/>
      </w:pPr>
      <w:r>
        <w:t>8</w:t>
      </w:r>
      <w:r w:rsidR="008216A5" w:rsidRPr="008216A5">
        <w:t>.</w:t>
      </w:r>
      <w:r w:rsidR="008216A5" w:rsidRPr="008216A5">
        <w:tab/>
        <w:t>The Human Rights Committee, acting under article 5, paragraph 4, of the Optional Protocol to the International Covenant on Civil and Political Rights, is of the view that the State party has violated the author’s right</w:t>
      </w:r>
      <w:r w:rsidR="007812BA">
        <w:t>s</w:t>
      </w:r>
      <w:r w:rsidR="008216A5" w:rsidRPr="008216A5">
        <w:t xml:space="preserve"> under </w:t>
      </w:r>
      <w:r w:rsidR="007812BA">
        <w:t>a</w:t>
      </w:r>
      <w:r w:rsidR="007812BA" w:rsidRPr="008216A5">
        <w:t>rticle</w:t>
      </w:r>
      <w:r w:rsidR="00314A97">
        <w:t>s</w:t>
      </w:r>
      <w:r w:rsidR="007812BA" w:rsidRPr="008216A5">
        <w:t xml:space="preserve"> </w:t>
      </w:r>
      <w:r w:rsidR="007812BA">
        <w:t>19, paragraph 2,</w:t>
      </w:r>
      <w:r w:rsidR="007812BA" w:rsidRPr="008216A5">
        <w:t xml:space="preserve"> </w:t>
      </w:r>
      <w:r w:rsidR="00342D6C">
        <w:t xml:space="preserve">and 21 </w:t>
      </w:r>
      <w:r w:rsidR="008216A5" w:rsidRPr="008216A5">
        <w:t>of the Covenant.</w:t>
      </w:r>
    </w:p>
    <w:p w:rsidR="008216A5" w:rsidRPr="008216A5" w:rsidRDefault="00990941" w:rsidP="00266358">
      <w:pPr>
        <w:pStyle w:val="SingleTxtG"/>
      </w:pPr>
      <w:r>
        <w:t>9</w:t>
      </w:r>
      <w:r w:rsidR="008216A5" w:rsidRPr="008216A5">
        <w:t>.</w:t>
      </w:r>
      <w:r w:rsidR="008216A5" w:rsidRPr="008216A5">
        <w:tab/>
        <w:t>In accordance with article 2, paragraph 3</w:t>
      </w:r>
      <w:r w:rsidR="00266358">
        <w:t xml:space="preserve"> </w:t>
      </w:r>
      <w:r w:rsidR="008216A5" w:rsidRPr="008216A5">
        <w:t xml:space="preserve">(a), of the Covenant, the State party is under an obligation to provide the author with an effective remedy, </w:t>
      </w:r>
      <w:r w:rsidR="00123048">
        <w:t xml:space="preserve">as well as adequate </w:t>
      </w:r>
      <w:r w:rsidR="00123048" w:rsidRPr="008216A5">
        <w:t>compensation</w:t>
      </w:r>
      <w:r w:rsidR="008216A5" w:rsidRPr="008216A5">
        <w:t>. The State party is also under an obligation to take steps to prevent si</w:t>
      </w:r>
      <w:r w:rsidR="0013235B">
        <w:t>milar violations in the future.</w:t>
      </w:r>
      <w:r w:rsidR="0045741F">
        <w:t xml:space="preserve"> </w:t>
      </w:r>
      <w:r w:rsidR="0045741F" w:rsidRPr="008216A5">
        <w:t xml:space="preserve">In this connection, the Committee reiterates that </w:t>
      </w:r>
      <w:r w:rsidR="00550BDA">
        <w:t xml:space="preserve">the </w:t>
      </w:r>
      <w:r w:rsidR="0045741F" w:rsidRPr="008216A5">
        <w:t xml:space="preserve">State party should review its legislation, in particular, the </w:t>
      </w:r>
      <w:r w:rsidR="0045741F">
        <w:t>L</w:t>
      </w:r>
      <w:r w:rsidR="0045741F" w:rsidRPr="008216A5">
        <w:t xml:space="preserve">aw </w:t>
      </w:r>
      <w:r w:rsidR="0045741F">
        <w:t>o</w:t>
      </w:r>
      <w:r w:rsidR="0045741F" w:rsidRPr="008216A5">
        <w:t>n Mass Events</w:t>
      </w:r>
      <w:r w:rsidR="0045741F">
        <w:t xml:space="preserve"> of 30 December 1997</w:t>
      </w:r>
      <w:r w:rsidR="0045741F" w:rsidRPr="008216A5">
        <w:t xml:space="preserve">, as it </w:t>
      </w:r>
      <w:r w:rsidR="00266358">
        <w:t xml:space="preserve">was </w:t>
      </w:r>
      <w:r w:rsidR="0045741F" w:rsidRPr="008216A5">
        <w:t>applied in the present case, with a view to ensuring that the right</w:t>
      </w:r>
      <w:r w:rsidR="0045741F">
        <w:t>s</w:t>
      </w:r>
      <w:r w:rsidR="0045741F" w:rsidRPr="008216A5">
        <w:t xml:space="preserve"> under article</w:t>
      </w:r>
      <w:r w:rsidR="00342D6C">
        <w:t>s</w:t>
      </w:r>
      <w:r w:rsidR="00F46CDD">
        <w:t xml:space="preserve"> </w:t>
      </w:r>
      <w:r w:rsidR="0045741F">
        <w:t>19</w:t>
      </w:r>
      <w:r w:rsidR="00342D6C">
        <w:t xml:space="preserve"> and 21</w:t>
      </w:r>
      <w:r w:rsidR="0045741F">
        <w:t xml:space="preserve"> </w:t>
      </w:r>
      <w:r w:rsidR="0045741F" w:rsidRPr="008216A5">
        <w:t>of the Covenant may be fully enjoyed in the State party.</w:t>
      </w:r>
      <w:r w:rsidR="0045741F" w:rsidRPr="008216A5">
        <w:rPr>
          <w:vertAlign w:val="superscript"/>
        </w:rPr>
        <w:footnoteReference w:id="9"/>
      </w:r>
    </w:p>
    <w:p w:rsidR="008216A5" w:rsidRPr="008216A5" w:rsidRDefault="00990941" w:rsidP="00781C83">
      <w:pPr>
        <w:pStyle w:val="SingleTxtG"/>
      </w:pPr>
      <w:r>
        <w:lastRenderedPageBreak/>
        <w:t>10</w:t>
      </w:r>
      <w:r w:rsidR="008216A5" w:rsidRPr="008216A5">
        <w:t>.</w:t>
      </w:r>
      <w:r w:rsidR="008216A5" w:rsidRPr="008216A5">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w:t>
      </w:r>
      <w:r w:rsidR="00DF5813">
        <w:t>z</w:t>
      </w:r>
      <w:r w:rsidR="008216A5"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rsidR="00B81202">
        <w:t>effect to the Committee’</w:t>
      </w:r>
      <w:r w:rsidR="008216A5" w:rsidRPr="008216A5">
        <w:t xml:space="preserve">s Views. The State party is also requested to publish the present Views, and </w:t>
      </w:r>
      <w:r w:rsidR="008216A5" w:rsidRPr="008216A5">
        <w:rPr>
          <w:lang w:val="en-US"/>
        </w:rPr>
        <w:t>to have them widely disseminated in Belarusian and Russian in the State party</w:t>
      </w:r>
      <w:r w:rsidR="008216A5" w:rsidRPr="008216A5">
        <w:t xml:space="preserve">. </w:t>
      </w:r>
    </w:p>
    <w:p w:rsidR="00781C83" w:rsidRPr="00781C83" w:rsidRDefault="00781C83" w:rsidP="00781C83">
      <w:pPr>
        <w:pStyle w:val="SingleTxtG"/>
        <w:spacing w:before="240" w:after="0"/>
        <w:jc w:val="center"/>
        <w:rPr>
          <w:u w:val="single"/>
        </w:rPr>
      </w:pPr>
      <w:r>
        <w:rPr>
          <w:u w:val="single"/>
        </w:rPr>
        <w:tab/>
      </w:r>
      <w:r>
        <w:rPr>
          <w:u w:val="single"/>
        </w:rPr>
        <w:tab/>
      </w:r>
      <w:r>
        <w:rPr>
          <w:u w:val="single"/>
        </w:rPr>
        <w:tab/>
      </w:r>
    </w:p>
    <w:sectPr w:rsidR="00781C83" w:rsidRPr="00781C83" w:rsidSect="00781C8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BE" w:rsidRDefault="008D1FBE"/>
  </w:endnote>
  <w:endnote w:type="continuationSeparator" w:id="0">
    <w:p w:rsidR="008D1FBE" w:rsidRDefault="008D1FBE"/>
  </w:endnote>
  <w:endnote w:type="continuationNotice" w:id="1">
    <w:p w:rsidR="008D1FBE" w:rsidRDefault="008D1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E" w:rsidRPr="00781C83" w:rsidRDefault="00C8377E"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6D2409">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E" w:rsidRPr="009F362A" w:rsidRDefault="00C8377E" w:rsidP="00781C83">
    <w:pPr>
      <w:pStyle w:val="Footer"/>
      <w:tabs>
        <w:tab w:val="right" w:pos="9638"/>
      </w:tabs>
      <w:rPr>
        <w:b/>
        <w:bCs/>
        <w:sz w:val="18"/>
      </w:rPr>
    </w:pPr>
    <w:r>
      <w:rPr>
        <w:b/>
        <w:sz w:val="18"/>
      </w:rPr>
      <w:tab/>
    </w:r>
    <w:r w:rsidRPr="009F362A">
      <w:rPr>
        <w:b/>
        <w:bCs/>
        <w:sz w:val="18"/>
      </w:rPr>
      <w:fldChar w:fldCharType="begin"/>
    </w:r>
    <w:r w:rsidRPr="009F362A">
      <w:rPr>
        <w:b/>
        <w:bCs/>
        <w:sz w:val="18"/>
      </w:rPr>
      <w:instrText xml:space="preserve"> PAGE  \* MERGEFORMAT </w:instrText>
    </w:r>
    <w:r w:rsidRPr="009F362A">
      <w:rPr>
        <w:b/>
        <w:bCs/>
        <w:sz w:val="18"/>
      </w:rPr>
      <w:fldChar w:fldCharType="separate"/>
    </w:r>
    <w:r w:rsidR="006D2409">
      <w:rPr>
        <w:b/>
        <w:bCs/>
        <w:noProof/>
        <w:sz w:val="18"/>
      </w:rPr>
      <w:t>3</w:t>
    </w:r>
    <w:r w:rsidRPr="009F362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E" w:rsidRDefault="008D1FB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C8377E">
      <w:t>GE.14-15183  (E)</w:t>
    </w:r>
    <w:r w:rsidR="00C8377E">
      <w:br/>
    </w:r>
    <w:r w:rsidR="00C8377E" w:rsidRPr="00000F5E">
      <w:rPr>
        <w:rFonts w:ascii="C39T30Lfz" w:hAnsi="C39T30Lfz"/>
        <w:sz w:val="56"/>
      </w:rPr>
      <w:t></w:t>
    </w:r>
    <w:r w:rsidR="00C8377E">
      <w:rPr>
        <w:rFonts w:ascii="C39T30Lfz" w:hAnsi="C39T30Lfz"/>
        <w:sz w:val="56"/>
      </w:rPr>
      <w:t></w:t>
    </w:r>
    <w:r w:rsidR="00C8377E">
      <w:rPr>
        <w:rFonts w:ascii="C39T30Lfz" w:hAnsi="C39T30Lfz"/>
        <w:sz w:val="56"/>
      </w:rPr>
      <w:t></w:t>
    </w:r>
    <w:r w:rsidR="00C8377E">
      <w:rPr>
        <w:rFonts w:ascii="C39T30Lfz" w:hAnsi="C39T30Lfz"/>
        <w:sz w:val="56"/>
      </w:rPr>
      <w:t></w:t>
    </w:r>
    <w:r w:rsidR="00C8377E">
      <w:rPr>
        <w:rFonts w:ascii="C39T30Lfz" w:hAnsi="C39T30Lfz"/>
        <w:sz w:val="56"/>
      </w:rPr>
      <w:t></w:t>
    </w:r>
    <w:r w:rsidR="00C8377E">
      <w:rPr>
        <w:rFonts w:ascii="C39T30Lfz" w:hAnsi="C39T30Lfz"/>
        <w:sz w:val="56"/>
      </w:rPr>
      <w:t></w:t>
    </w:r>
    <w:r w:rsidR="00C8377E">
      <w:rPr>
        <w:rFonts w:ascii="C39T30Lfz" w:hAnsi="C39T30Lfz"/>
        <w:sz w:val="56"/>
      </w:rPr>
      <w:t></w:t>
    </w:r>
    <w:r w:rsidR="00C8377E">
      <w:rPr>
        <w:rFonts w:ascii="C39T30Lfz" w:hAnsi="C39T30Lfz"/>
        <w:sz w:val="56"/>
      </w:rPr>
      <w:t></w:t>
    </w:r>
    <w:r w:rsidR="00C8377E" w:rsidRPr="00000F5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BE" w:rsidRPr="000B175B" w:rsidRDefault="008D1FBE" w:rsidP="000B175B">
      <w:pPr>
        <w:tabs>
          <w:tab w:val="right" w:pos="2155"/>
        </w:tabs>
        <w:spacing w:after="80"/>
        <w:ind w:left="680"/>
        <w:rPr>
          <w:u w:val="single"/>
        </w:rPr>
      </w:pPr>
      <w:r>
        <w:rPr>
          <w:u w:val="single"/>
        </w:rPr>
        <w:tab/>
      </w:r>
    </w:p>
  </w:footnote>
  <w:footnote w:type="continuationSeparator" w:id="0">
    <w:p w:rsidR="008D1FBE" w:rsidRPr="00FC68B7" w:rsidRDefault="008D1FBE" w:rsidP="00FC68B7">
      <w:pPr>
        <w:tabs>
          <w:tab w:val="left" w:pos="2155"/>
        </w:tabs>
        <w:spacing w:after="80"/>
        <w:ind w:left="680"/>
        <w:rPr>
          <w:u w:val="single"/>
        </w:rPr>
      </w:pPr>
      <w:r>
        <w:rPr>
          <w:u w:val="single"/>
        </w:rPr>
        <w:tab/>
      </w:r>
    </w:p>
  </w:footnote>
  <w:footnote w:type="continuationNotice" w:id="1">
    <w:p w:rsidR="008D1FBE" w:rsidRDefault="008D1FBE"/>
  </w:footnote>
  <w:footnote w:id="2">
    <w:p w:rsidR="00C8377E" w:rsidRDefault="00C8377E" w:rsidP="00954B19">
      <w:pPr>
        <w:pStyle w:val="FootnoteText"/>
      </w:pPr>
      <w:r w:rsidRPr="00BD7612">
        <w:rPr>
          <w:rStyle w:val="FootnoteReference"/>
          <w:sz w:val="20"/>
          <w:vertAlign w:val="baseline"/>
        </w:rPr>
        <w:tab/>
        <w:t>*</w:t>
      </w:r>
      <w:r w:rsidRPr="00BD7612">
        <w:rPr>
          <w:rStyle w:val="FootnoteReference"/>
          <w:sz w:val="20"/>
          <w:vertAlign w:val="baseline"/>
        </w:rPr>
        <w:tab/>
      </w:r>
      <w:r>
        <w:t xml:space="preserve">The following members of the Committee participated in the consideration of the present communication: Yadh Ben Achour, Lazhari Bouzid, </w:t>
      </w:r>
      <w:r>
        <w:rPr>
          <w:lang w:val="en-US"/>
        </w:rPr>
        <w:t xml:space="preserve">Ahmad Amin Fathalla, Cornelis Flinterman, </w:t>
      </w:r>
      <w:r>
        <w:t xml:space="preserve">Yuji Iwasawa, Walter Kälin, Zonke Zanele Majodina, Gerald L. Neuman, Sir Nigel Rodley, Víctor Manuel Rodríguez Rescia, </w:t>
      </w:r>
      <w:r>
        <w:rPr>
          <w:lang w:val="en-US"/>
        </w:rPr>
        <w:t xml:space="preserve">Fabián Omar Salvioli, </w:t>
      </w:r>
      <w:r>
        <w:rPr>
          <w:color w:val="000000"/>
          <w:lang w:eastAsia="en-GB"/>
        </w:rPr>
        <w:t xml:space="preserve">Dheerujlall Seetulsingh, </w:t>
      </w:r>
      <w:r>
        <w:rPr>
          <w:lang w:val="en-US"/>
        </w:rPr>
        <w:t xml:space="preserve">Anja Seibert-Fohr, </w:t>
      </w:r>
      <w:r>
        <w:rPr>
          <w:color w:val="000000"/>
        </w:rPr>
        <w:t xml:space="preserve">Konstantine Vardzelashvili, </w:t>
      </w:r>
      <w:r>
        <w:t xml:space="preserve">Margo Waterval and </w:t>
      </w:r>
      <w:r>
        <w:rPr>
          <w:lang w:val="en-US"/>
        </w:rPr>
        <w:t>Andrei Paul Zlătescu.</w:t>
      </w:r>
    </w:p>
  </w:footnote>
  <w:footnote w:id="3">
    <w:p w:rsidR="00C8377E" w:rsidRPr="00210CE0" w:rsidRDefault="00C8377E" w:rsidP="002C6305">
      <w:pPr>
        <w:pStyle w:val="FootnoteText"/>
      </w:pPr>
      <w:r>
        <w:tab/>
      </w:r>
      <w:r>
        <w:rPr>
          <w:rStyle w:val="FootnoteReference"/>
        </w:rPr>
        <w:footnoteRef/>
      </w:r>
      <w:r>
        <w:tab/>
        <w:t xml:space="preserve">Article </w:t>
      </w:r>
      <w:r w:rsidRPr="00E40420">
        <w:t>23.34</w:t>
      </w:r>
      <w:r>
        <w:t xml:space="preserve">, part 1, of the </w:t>
      </w:r>
      <w:r w:rsidRPr="00E40420">
        <w:t>Code of Administrative Offences</w:t>
      </w:r>
      <w:r>
        <w:t xml:space="preserve"> reads: “Violation of the established procedure of organizing or holding mass events or pickets. Violation of the established procedure of organizing or holding assemblies, meetings, rallies, demonstrations or other mass events or pickets, is punishable by a warning, or a fine of up to 10 minimal wages, or by administrative arrest.” </w:t>
      </w:r>
    </w:p>
  </w:footnote>
  <w:footnote w:id="4">
    <w:p w:rsidR="00C8377E" w:rsidRDefault="00C8377E" w:rsidP="007639B0">
      <w:pPr>
        <w:pStyle w:val="FootnoteText"/>
      </w:pPr>
      <w:r>
        <w:tab/>
      </w:r>
      <w:r>
        <w:rPr>
          <w:rStyle w:val="FootnoteReference"/>
        </w:rPr>
        <w:footnoteRef/>
      </w:r>
      <w:r>
        <w:tab/>
        <w:t xml:space="preserve">Article 2 “Basic notions used in the present Law and their definitions” contains the description of different mass events and includes the following:  </w:t>
      </w:r>
    </w:p>
    <w:p w:rsidR="00C8377E" w:rsidRDefault="00C8377E" w:rsidP="00506AAE">
      <w:pPr>
        <w:pStyle w:val="FootnoteText"/>
        <w:ind w:firstLine="0"/>
      </w:pPr>
      <w:r>
        <w:t>Mass event — assembly, rally, street march, demonstration, picket or other mass event;</w:t>
      </w:r>
    </w:p>
    <w:p w:rsidR="00C8377E" w:rsidRDefault="00C8377E" w:rsidP="00506AAE">
      <w:pPr>
        <w:pStyle w:val="FootnoteText"/>
        <w:ind w:firstLine="0"/>
      </w:pPr>
      <w:r>
        <w:t>Street march — organized mass movement of a group of citizens along a pedestrian or carriageway section of a street/road, boulevard, avenue or square for the purpose of drawing attention to certain problems or publicly expressing their public/political sentiment or a protest;</w:t>
      </w:r>
    </w:p>
    <w:p w:rsidR="00C8377E" w:rsidRPr="00CD2360" w:rsidRDefault="00C8377E" w:rsidP="00506AAE">
      <w:pPr>
        <w:pStyle w:val="FootnoteText"/>
        <w:ind w:firstLine="0"/>
      </w:pPr>
      <w:r>
        <w:t xml:space="preserve">Substantial damage caused to the rights and lawful interests of citizens, organizations or State or public interests — disruption of a mass event, temporary halting of the activity of organizations or a stoppage of transport movement, death of people, </w:t>
      </w:r>
      <w:r w:rsidRPr="00CD2360">
        <w:t>grievous bodily harm to one or more victims;</w:t>
      </w:r>
    </w:p>
    <w:p w:rsidR="00C8377E" w:rsidRDefault="00C8377E" w:rsidP="00506AAE">
      <w:pPr>
        <w:pStyle w:val="FootnoteText"/>
        <w:ind w:firstLine="0"/>
      </w:pPr>
      <w:r w:rsidRPr="00CD2360">
        <w:t>Large-scale damage — damage amounting to over 10,000 times the</w:t>
      </w:r>
      <w:r>
        <w:t xml:space="preserve"> basic unit established on the day when the offence was committed.</w:t>
      </w:r>
    </w:p>
  </w:footnote>
  <w:footnote w:id="5">
    <w:p w:rsidR="00C8377E" w:rsidRDefault="00C8377E" w:rsidP="0032508D">
      <w:pPr>
        <w:pStyle w:val="FootnoteText"/>
      </w:pPr>
      <w:r>
        <w:tab/>
      </w:r>
      <w:r>
        <w:rPr>
          <w:rStyle w:val="FootnoteReference"/>
        </w:rPr>
        <w:footnoteRef/>
      </w:r>
      <w:r>
        <w:tab/>
      </w:r>
      <w:r w:rsidRPr="00E94088">
        <w:t xml:space="preserve">See, </w:t>
      </w:r>
      <w:r>
        <w:t xml:space="preserve">for example, </w:t>
      </w:r>
      <w:r w:rsidRPr="00E94088">
        <w:t>communications Nos. 1867/2009, 1936/2010, 1975/2010, 1977/2010, 1978/2010, 1979/2010, 1980/2010, 1981/2010 and 2010/2010</w:t>
      </w:r>
      <w:r>
        <w:t xml:space="preserve">, </w:t>
      </w:r>
      <w:r w:rsidRPr="00E94088">
        <w:rPr>
          <w:i/>
        </w:rPr>
        <w:t xml:space="preserve">Levinov </w:t>
      </w:r>
      <w:r w:rsidRPr="00506AAE">
        <w:rPr>
          <w:iCs/>
        </w:rPr>
        <w:t>v.</w:t>
      </w:r>
      <w:r w:rsidRPr="00E94088">
        <w:rPr>
          <w:i/>
        </w:rPr>
        <w:t xml:space="preserve"> </w:t>
      </w:r>
      <w:smartTag w:uri="urn:schemas-microsoft-com:office:smarttags" w:element="place">
        <w:smartTag w:uri="urn:schemas-microsoft-com:office:smarttags" w:element="country-region">
          <w:r w:rsidRPr="00E94088">
            <w:rPr>
              <w:i/>
            </w:rPr>
            <w:t>Belarus</w:t>
          </w:r>
        </w:smartTag>
      </w:smartTag>
      <w:r w:rsidRPr="00E94088">
        <w:rPr>
          <w:i/>
        </w:rPr>
        <w:t>,</w:t>
      </w:r>
      <w:r>
        <w:t xml:space="preserve"> Views adopted on</w:t>
      </w:r>
      <w:r>
        <w:rPr>
          <w:b/>
        </w:rPr>
        <w:t xml:space="preserve"> </w:t>
      </w:r>
      <w:r w:rsidRPr="00E94088">
        <w:t>19 July 2012</w:t>
      </w:r>
      <w:r>
        <w:t xml:space="preserve">, </w:t>
      </w:r>
      <w:r w:rsidRPr="00E94088">
        <w:t xml:space="preserve">para. </w:t>
      </w:r>
      <w:r>
        <w:t xml:space="preserve">8.2; and </w:t>
      </w:r>
      <w:r w:rsidRPr="00E94088">
        <w:t xml:space="preserve">No. 869/1999, </w:t>
      </w:r>
      <w:r w:rsidRPr="00E94088">
        <w:rPr>
          <w:i/>
        </w:rPr>
        <w:t xml:space="preserve">Piandiong et al. </w:t>
      </w:r>
      <w:r w:rsidRPr="00506AAE">
        <w:rPr>
          <w:iCs/>
        </w:rPr>
        <w:t>v.</w:t>
      </w:r>
      <w:r w:rsidRPr="007639B0">
        <w:rPr>
          <w:i/>
        </w:rPr>
        <w:t xml:space="preserve"> </w:t>
      </w:r>
      <w:smartTag w:uri="urn:schemas-microsoft-com:office:smarttags" w:element="country-region">
        <w:smartTag w:uri="urn:schemas-microsoft-com:office:smarttags" w:element="place">
          <w:r w:rsidRPr="007639B0">
            <w:rPr>
              <w:i/>
            </w:rPr>
            <w:t>Philippines</w:t>
          </w:r>
        </w:smartTag>
      </w:smartTag>
      <w:r w:rsidRPr="00E94088">
        <w:t xml:space="preserve">, </w:t>
      </w:r>
      <w:r>
        <w:t xml:space="preserve">Views adopted on </w:t>
      </w:r>
      <w:r w:rsidRPr="006E3134">
        <w:t>19 October 2000</w:t>
      </w:r>
      <w:r>
        <w:t>,</w:t>
      </w:r>
      <w:r w:rsidRPr="006E3134">
        <w:t xml:space="preserve"> </w:t>
      </w:r>
      <w:r>
        <w:t>para. </w:t>
      </w:r>
      <w:r w:rsidRPr="00E94088">
        <w:t>5.1.</w:t>
      </w:r>
    </w:p>
  </w:footnote>
  <w:footnote w:id="6">
    <w:p w:rsidR="00C8377E" w:rsidRPr="00BD7612" w:rsidRDefault="00C8377E" w:rsidP="00CD2360">
      <w:pPr>
        <w:pStyle w:val="FootnoteText"/>
      </w:pPr>
      <w:r>
        <w:tab/>
      </w:r>
      <w:r w:rsidRPr="00BD7612">
        <w:rPr>
          <w:rStyle w:val="FootnoteReference"/>
        </w:rPr>
        <w:footnoteRef/>
      </w:r>
      <w:r>
        <w:tab/>
      </w:r>
      <w:r w:rsidRPr="00BD7612">
        <w:t xml:space="preserve">See, for example, communication </w:t>
      </w:r>
      <w:r>
        <w:t>N</w:t>
      </w:r>
      <w:r w:rsidRPr="00BD7612">
        <w:t xml:space="preserve">o. 268/1987, </w:t>
      </w:r>
      <w:r w:rsidRPr="00506AAE">
        <w:rPr>
          <w:i/>
          <w:iCs/>
        </w:rPr>
        <w:t>M.</w:t>
      </w:r>
      <w:r>
        <w:rPr>
          <w:i/>
          <w:iCs/>
        </w:rPr>
        <w:t>G.</w:t>
      </w:r>
      <w:r w:rsidRPr="00506AAE">
        <w:rPr>
          <w:i/>
          <w:iCs/>
        </w:rPr>
        <w:t xml:space="preserve"> B</w:t>
      </w:r>
      <w:r w:rsidRPr="00BD7612">
        <w:t xml:space="preserve">. </w:t>
      </w:r>
      <w:r w:rsidRPr="00506AAE">
        <w:rPr>
          <w:i/>
          <w:iCs/>
        </w:rPr>
        <w:t>and S</w:t>
      </w:r>
      <w:r>
        <w:rPr>
          <w:i/>
          <w:iCs/>
        </w:rPr>
        <w:t>.</w:t>
      </w:r>
      <w:r w:rsidRPr="00506AAE">
        <w:rPr>
          <w:i/>
          <w:iCs/>
        </w:rPr>
        <w:t xml:space="preserve"> P.</w:t>
      </w:r>
      <w:r w:rsidRPr="00BD7612">
        <w:t xml:space="preserve"> v. </w:t>
      </w:r>
      <w:smartTag w:uri="urn:schemas-microsoft-com:office:smarttags" w:element="place">
        <w:smartTag w:uri="urn:schemas-microsoft-com:office:smarttags" w:element="country-region">
          <w:r w:rsidRPr="00506AAE">
            <w:rPr>
              <w:i/>
              <w:iCs/>
            </w:rPr>
            <w:t>Trinidad and Tobago</w:t>
          </w:r>
        </w:smartTag>
      </w:smartTag>
      <w:r w:rsidRPr="00BD7612">
        <w:t xml:space="preserve">, </w:t>
      </w:r>
      <w:r>
        <w:t xml:space="preserve">decision of </w:t>
      </w:r>
      <w:r w:rsidRPr="00CD2360">
        <w:t>inadmissibility</w:t>
      </w:r>
      <w:r w:rsidRPr="00BD7612">
        <w:t xml:space="preserve"> adopted on 3 November 1989, para. 6.2.</w:t>
      </w:r>
    </w:p>
  </w:footnote>
  <w:footnote w:id="7">
    <w:p w:rsidR="00C8377E" w:rsidRPr="00FC0BDA" w:rsidRDefault="00C8377E" w:rsidP="00DF5813">
      <w:pPr>
        <w:pStyle w:val="FootnoteText"/>
      </w:pPr>
      <w:r>
        <w:tab/>
      </w:r>
      <w:r w:rsidRPr="00FC0BDA">
        <w:rPr>
          <w:rStyle w:val="FootnoteReference"/>
        </w:rPr>
        <w:footnoteRef/>
      </w:r>
      <w:r>
        <w:tab/>
      </w:r>
      <w:r w:rsidRPr="00FC0BDA">
        <w:t xml:space="preserve">See, for example, communications No. 1785/2008, </w:t>
      </w:r>
      <w:r w:rsidRPr="00506AAE">
        <w:rPr>
          <w:i/>
          <w:iCs/>
        </w:rPr>
        <w:t>Oleshkevich</w:t>
      </w:r>
      <w:r w:rsidRPr="00FC0BDA">
        <w:t xml:space="preserve"> v. </w:t>
      </w:r>
      <w:smartTag w:uri="urn:schemas-microsoft-com:office:smarttags" w:element="place">
        <w:smartTag w:uri="urn:schemas-microsoft-com:office:smarttags" w:element="country-region">
          <w:r w:rsidRPr="00506AAE">
            <w:rPr>
              <w:i/>
              <w:iCs/>
            </w:rPr>
            <w:t>Belarus</w:t>
          </w:r>
        </w:smartTag>
      </w:smartTag>
      <w:r w:rsidRPr="00FC0BDA">
        <w:t xml:space="preserve">, Views adopted on 18 March 2013, para. 7.3; No. 1784/2008, </w:t>
      </w:r>
      <w:r w:rsidRPr="00506AAE">
        <w:rPr>
          <w:i/>
          <w:iCs/>
        </w:rPr>
        <w:t>Schumilin</w:t>
      </w:r>
      <w:r w:rsidRPr="00FC0BDA">
        <w:t xml:space="preserve"> v. </w:t>
      </w:r>
      <w:smartTag w:uri="urn:schemas-microsoft-com:office:smarttags" w:element="place">
        <w:smartTag w:uri="urn:schemas-microsoft-com:office:smarttags" w:element="country-region">
          <w:r w:rsidRPr="00506AAE">
            <w:rPr>
              <w:i/>
              <w:iCs/>
            </w:rPr>
            <w:t>Belarus</w:t>
          </w:r>
        </w:smartTag>
      </w:smartTag>
      <w:r w:rsidRPr="00FC0BDA">
        <w:t xml:space="preserve">, Views adopted on 23 July 2012, para. 8.3; No. 1814/2008, </w:t>
      </w:r>
      <w:r w:rsidRPr="00506AAE">
        <w:rPr>
          <w:i/>
          <w:iCs/>
        </w:rPr>
        <w:t>P.L.</w:t>
      </w:r>
      <w:r w:rsidRPr="00FC0BDA">
        <w:t xml:space="preserve"> v. </w:t>
      </w:r>
      <w:smartTag w:uri="urn:schemas-microsoft-com:office:smarttags" w:element="place">
        <w:smartTag w:uri="urn:schemas-microsoft-com:office:smarttags" w:element="country-region">
          <w:r w:rsidRPr="00506AAE">
            <w:rPr>
              <w:i/>
              <w:iCs/>
            </w:rPr>
            <w:t>Belarus</w:t>
          </w:r>
        </w:smartTag>
      </w:smartTag>
      <w:r w:rsidRPr="00FC0BDA">
        <w:t xml:space="preserve">, </w:t>
      </w:r>
      <w:r w:rsidRPr="00DF5813">
        <w:t>decision of inadmissibility</w:t>
      </w:r>
      <w:r>
        <w:t xml:space="preserve"> adopted on </w:t>
      </w:r>
      <w:r w:rsidRPr="00FC0BDA">
        <w:t xml:space="preserve">26 July 2011, para. 6.2.; No. 1839/2008, </w:t>
      </w:r>
      <w:r w:rsidRPr="00506AAE">
        <w:rPr>
          <w:i/>
          <w:iCs/>
        </w:rPr>
        <w:t>Komarovsky</w:t>
      </w:r>
      <w:r w:rsidRPr="00FC0BDA">
        <w:t xml:space="preserve"> v. </w:t>
      </w:r>
      <w:smartTag w:uri="urn:schemas-microsoft-com:office:smarttags" w:element="place">
        <w:smartTag w:uri="urn:schemas-microsoft-com:office:smarttags" w:element="country-region">
          <w:r w:rsidRPr="00506AAE">
            <w:rPr>
              <w:i/>
              <w:iCs/>
            </w:rPr>
            <w:t>Belarus</w:t>
          </w:r>
        </w:smartTag>
      </w:smartTag>
      <w:r w:rsidRPr="00FC0BDA">
        <w:t xml:space="preserve">, Views adopted on 25 October 2013, para. 8.3; </w:t>
      </w:r>
      <w:r>
        <w:t xml:space="preserve">and </w:t>
      </w:r>
      <w:r w:rsidRPr="00FC0BDA">
        <w:t xml:space="preserve">No.1903/2009, </w:t>
      </w:r>
      <w:r w:rsidRPr="00506AAE">
        <w:rPr>
          <w:i/>
          <w:iCs/>
        </w:rPr>
        <w:t>Youbko</w:t>
      </w:r>
      <w:r w:rsidRPr="00FC0BDA">
        <w:t xml:space="preserve"> v. </w:t>
      </w:r>
      <w:smartTag w:uri="urn:schemas-microsoft-com:office:smarttags" w:element="place">
        <w:smartTag w:uri="urn:schemas-microsoft-com:office:smarttags" w:element="country-region">
          <w:r w:rsidRPr="00506AAE">
            <w:rPr>
              <w:i/>
              <w:iCs/>
            </w:rPr>
            <w:t>Belarus</w:t>
          </w:r>
        </w:smartTag>
      </w:smartTag>
      <w:r w:rsidRPr="00FC0BDA">
        <w:t>, Views adopted on 17 March 2014, para.</w:t>
      </w:r>
      <w:r>
        <w:t> </w:t>
      </w:r>
      <w:r w:rsidRPr="00FC0BDA">
        <w:t>8.3.</w:t>
      </w:r>
    </w:p>
  </w:footnote>
  <w:footnote w:id="8">
    <w:p w:rsidR="00C8377E" w:rsidRPr="007B3302" w:rsidRDefault="00C8377E" w:rsidP="00FC0BDA">
      <w:pPr>
        <w:pStyle w:val="FootnoteText"/>
      </w:pPr>
      <w:r w:rsidRPr="007B3302">
        <w:tab/>
      </w:r>
      <w:r w:rsidRPr="00964867">
        <w:rPr>
          <w:rStyle w:val="FootnoteReference"/>
        </w:rPr>
        <w:footnoteRef/>
      </w:r>
      <w:r>
        <w:rPr>
          <w:vertAlign w:val="superscript"/>
        </w:rPr>
        <w:tab/>
      </w:r>
      <w:r w:rsidRPr="007B3302">
        <w:t xml:space="preserve">See, for example, communication No. 1948/2010, </w:t>
      </w:r>
      <w:r w:rsidRPr="00964867">
        <w:rPr>
          <w:i/>
        </w:rPr>
        <w:t xml:space="preserve">Turchenyak et al. </w:t>
      </w:r>
      <w:r w:rsidRPr="00FF3543">
        <w:t>v.</w:t>
      </w:r>
      <w:r w:rsidRPr="00964867">
        <w:rPr>
          <w:i/>
        </w:rPr>
        <w:t xml:space="preserve"> </w:t>
      </w:r>
      <w:smartTag w:uri="urn:schemas-microsoft-com:office:smarttags" w:element="place">
        <w:smartTag w:uri="urn:schemas-microsoft-com:office:smarttags" w:element="country-region">
          <w:r w:rsidRPr="00964867">
            <w:rPr>
              <w:i/>
            </w:rPr>
            <w:t>Belarus</w:t>
          </w:r>
        </w:smartTag>
      </w:smartTag>
      <w:r w:rsidRPr="007B3302">
        <w:t>, Views adopted on 24</w:t>
      </w:r>
      <w:r>
        <w:t xml:space="preserve"> July 2013, para. </w:t>
      </w:r>
      <w:r w:rsidRPr="007B3302">
        <w:t>7.8.</w:t>
      </w:r>
    </w:p>
  </w:footnote>
  <w:footnote w:id="9">
    <w:p w:rsidR="00C8377E" w:rsidRDefault="00C8377E" w:rsidP="00506AAE">
      <w:pPr>
        <w:pStyle w:val="FootnoteText"/>
      </w:pPr>
      <w:r>
        <w:tab/>
      </w:r>
      <w:r>
        <w:rPr>
          <w:rStyle w:val="FootnoteReference"/>
        </w:rPr>
        <w:footnoteRef/>
      </w:r>
      <w:r>
        <w:tab/>
        <w:t xml:space="preserve">See, for example, communications No. 1851/20008, </w:t>
      </w:r>
      <w:smartTag w:uri="urn:schemas-microsoft-com:office:smarttags" w:element="City">
        <w:r w:rsidRPr="00027A45">
          <w:rPr>
            <w:i/>
          </w:rPr>
          <w:t>Vladimir</w:t>
        </w:r>
      </w:smartTag>
      <w:r w:rsidRPr="00027A45">
        <w:rPr>
          <w:i/>
        </w:rPr>
        <w:t xml:space="preserve"> Sekerko </w:t>
      </w:r>
      <w:r w:rsidRPr="00506AAE">
        <w:rPr>
          <w:iCs/>
        </w:rPr>
        <w:t>v.</w:t>
      </w:r>
      <w:r w:rsidRPr="00027A45">
        <w:rPr>
          <w:i/>
        </w:rPr>
        <w:t xml:space="preserve"> </w:t>
      </w:r>
      <w:smartTag w:uri="urn:schemas-microsoft-com:office:smarttags" w:element="place">
        <w:smartTag w:uri="urn:schemas-microsoft-com:office:smarttags" w:element="country-region">
          <w:r w:rsidRPr="00027A45">
            <w:rPr>
              <w:i/>
            </w:rPr>
            <w:t>Belarus</w:t>
          </w:r>
        </w:smartTag>
      </w:smartTag>
      <w:r>
        <w:t>, Views adopted on 28</w:t>
      </w:r>
      <w:r w:rsidRPr="008216A5">
        <w:t xml:space="preserve"> October 2013</w:t>
      </w:r>
      <w:r>
        <w:t xml:space="preserve">, para. 11; </w:t>
      </w:r>
      <w:r w:rsidRPr="009D04AC">
        <w:rPr>
          <w:i/>
        </w:rPr>
        <w:t xml:space="preserve">Turchenyak </w:t>
      </w:r>
      <w:r>
        <w:rPr>
          <w:i/>
        </w:rPr>
        <w:t>et al.</w:t>
      </w:r>
      <w:r w:rsidRPr="009D04AC">
        <w:rPr>
          <w:i/>
        </w:rPr>
        <w:t xml:space="preserve"> </w:t>
      </w:r>
      <w:r w:rsidRPr="00C15217">
        <w:t>v.</w:t>
      </w:r>
      <w:r w:rsidRPr="009D04AC">
        <w:rPr>
          <w:i/>
        </w:rPr>
        <w:t xml:space="preserve"> </w:t>
      </w:r>
      <w:smartTag w:uri="urn:schemas-microsoft-com:office:smarttags" w:element="country-region">
        <w:smartTag w:uri="urn:schemas-microsoft-com:office:smarttags" w:element="place">
          <w:r w:rsidRPr="00506AAE">
            <w:rPr>
              <w:i/>
            </w:rPr>
            <w:t>Belarus</w:t>
          </w:r>
        </w:smartTag>
      </w:smartTag>
      <w:r w:rsidRPr="00506AAE">
        <w:rPr>
          <w:i/>
        </w:rPr>
        <w:t xml:space="preserve"> </w:t>
      </w:r>
      <w:r w:rsidRPr="00506AAE">
        <w:rPr>
          <w:iCs/>
        </w:rPr>
        <w:t>(note 6 above</w:t>
      </w:r>
      <w:r w:rsidRPr="00506AAE">
        <w:rPr>
          <w:i/>
        </w:rPr>
        <w:t>)</w:t>
      </w:r>
      <w:r>
        <w:rPr>
          <w:i/>
        </w:rPr>
        <w:t xml:space="preserve"> </w:t>
      </w:r>
      <w:r>
        <w:t xml:space="preserve">para. 9; and No. 1790/2008, </w:t>
      </w:r>
      <w:r w:rsidRPr="00624677">
        <w:rPr>
          <w:i/>
        </w:rPr>
        <w:t xml:space="preserve">Govsha, Syritsa and Mezyak </w:t>
      </w:r>
      <w:r w:rsidRPr="00C15217">
        <w:t xml:space="preserve">v. </w:t>
      </w:r>
      <w:smartTag w:uri="urn:schemas-microsoft-com:office:smarttags" w:element="place">
        <w:smartTag w:uri="urn:schemas-microsoft-com:office:smarttags" w:element="country-region">
          <w:r w:rsidRPr="00624677">
            <w:rPr>
              <w:i/>
            </w:rPr>
            <w:t>Belarus</w:t>
          </w:r>
        </w:smartTag>
      </w:smartTag>
      <w:r w:rsidRPr="00624677">
        <w:rPr>
          <w:i/>
        </w:rPr>
        <w:t>,</w:t>
      </w:r>
      <w:r>
        <w:t xml:space="preserve"> Views adopted on 27 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E" w:rsidRPr="00781C83" w:rsidRDefault="00C8377E" w:rsidP="0017676A">
    <w:pPr>
      <w:pStyle w:val="Header"/>
      <w:pBdr>
        <w:bottom w:val="single" w:sz="4" w:space="0" w:color="auto"/>
      </w:pBdr>
    </w:pPr>
    <w:r>
      <w:t>CCPR/C/111/D/1934/2010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7E" w:rsidRPr="00781C83" w:rsidRDefault="00C8377E" w:rsidP="00781C83">
    <w:pPr>
      <w:pStyle w:val="Header"/>
      <w:jc w:val="right"/>
    </w:pPr>
    <w:r>
      <w:t>CCPR/C/111/D/1934/2010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36DD0"/>
    <w:multiLevelType w:val="hybridMultilevel"/>
    <w:tmpl w:val="411EA1E6"/>
    <w:lvl w:ilvl="0" w:tplc="4B4ACD98">
      <w:start w:val="1"/>
      <w:numFmt w:val="bullet"/>
      <w:lvlText w:val="•"/>
      <w:lvlJc w:val="left"/>
      <w:pPr>
        <w:tabs>
          <w:tab w:val="num" w:pos="1419"/>
        </w:tabs>
        <w:ind w:left="1419"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353EFB8C">
      <w:start w:val="1"/>
      <w:numFmt w:val="bullet"/>
      <w:lvlText w:val="•"/>
      <w:lvlJc w:val="left"/>
      <w:pPr>
        <w:tabs>
          <w:tab w:val="num" w:pos="1304"/>
        </w:tabs>
        <w:ind w:left="1304" w:hanging="17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F2763"/>
    <w:multiLevelType w:val="multilevel"/>
    <w:tmpl w:val="4AF4DEF8"/>
    <w:lvl w:ilvl="0">
      <w:start w:val="1"/>
      <w:numFmt w:val="bullet"/>
      <w:lvlText w:val="•"/>
      <w:lvlJc w:val="left"/>
      <w:pPr>
        <w:tabs>
          <w:tab w:val="num" w:pos="1419"/>
        </w:tabs>
        <w:ind w:left="1419" w:hanging="17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47"/>
        </w:tabs>
        <w:ind w:left="1134" w:firstLine="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A675B"/>
    <w:multiLevelType w:val="hybridMultilevel"/>
    <w:tmpl w:val="BFCEE7BC"/>
    <w:lvl w:ilvl="0" w:tplc="4B4ACD98">
      <w:start w:val="1"/>
      <w:numFmt w:val="bullet"/>
      <w:lvlText w:val="•"/>
      <w:lvlJc w:val="left"/>
      <w:pPr>
        <w:tabs>
          <w:tab w:val="num" w:pos="1419"/>
        </w:tabs>
        <w:ind w:left="1419"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853A6A6C">
      <w:start w:val="1"/>
      <w:numFmt w:val="bullet"/>
      <w:lvlText w:val="•"/>
      <w:lvlJc w:val="left"/>
      <w:pPr>
        <w:tabs>
          <w:tab w:val="num" w:pos="1304"/>
        </w:tabs>
        <w:ind w:left="1134" w:firstLine="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5133C"/>
    <w:multiLevelType w:val="multilevel"/>
    <w:tmpl w:val="BFCEE7BC"/>
    <w:lvl w:ilvl="0">
      <w:start w:val="1"/>
      <w:numFmt w:val="bullet"/>
      <w:lvlText w:val="•"/>
      <w:lvlJc w:val="left"/>
      <w:pPr>
        <w:tabs>
          <w:tab w:val="num" w:pos="1419"/>
        </w:tabs>
        <w:ind w:left="1419" w:hanging="17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304"/>
        </w:tabs>
        <w:ind w:left="1134" w:firstLine="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A534FA"/>
    <w:multiLevelType w:val="hybridMultilevel"/>
    <w:tmpl w:val="4AF4DEF8"/>
    <w:lvl w:ilvl="0" w:tplc="4B4ACD98">
      <w:start w:val="1"/>
      <w:numFmt w:val="bullet"/>
      <w:lvlText w:val="•"/>
      <w:lvlJc w:val="left"/>
      <w:pPr>
        <w:tabs>
          <w:tab w:val="num" w:pos="1419"/>
        </w:tabs>
        <w:ind w:left="1419"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4F8A97E">
      <w:start w:val="1"/>
      <w:numFmt w:val="bullet"/>
      <w:lvlText w:val="•"/>
      <w:lvlJc w:val="left"/>
      <w:pPr>
        <w:tabs>
          <w:tab w:val="num" w:pos="1247"/>
        </w:tabs>
        <w:ind w:left="1134" w:firstLine="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E36D1E"/>
    <w:multiLevelType w:val="multilevel"/>
    <w:tmpl w:val="A6E8AE22"/>
    <w:lvl w:ilvl="0">
      <w:start w:val="1"/>
      <w:numFmt w:val="bullet"/>
      <w:lvlText w:val="•"/>
      <w:lvlJc w:val="left"/>
      <w:pPr>
        <w:tabs>
          <w:tab w:val="num" w:pos="1419"/>
        </w:tabs>
        <w:ind w:left="1419" w:hanging="17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F0C37"/>
    <w:multiLevelType w:val="hybridMultilevel"/>
    <w:tmpl w:val="A6E8AE22"/>
    <w:lvl w:ilvl="0" w:tplc="4B4ACD98">
      <w:start w:val="1"/>
      <w:numFmt w:val="bullet"/>
      <w:lvlText w:val="•"/>
      <w:lvlJc w:val="left"/>
      <w:pPr>
        <w:tabs>
          <w:tab w:val="num" w:pos="1419"/>
        </w:tabs>
        <w:ind w:left="1419"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3"/>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0F5E"/>
    <w:rsid w:val="00002773"/>
    <w:rsid w:val="000044E2"/>
    <w:rsid w:val="00012D30"/>
    <w:rsid w:val="00025269"/>
    <w:rsid w:val="00025370"/>
    <w:rsid w:val="00025418"/>
    <w:rsid w:val="00025D41"/>
    <w:rsid w:val="000272B3"/>
    <w:rsid w:val="00027A45"/>
    <w:rsid w:val="00031D46"/>
    <w:rsid w:val="0003387B"/>
    <w:rsid w:val="00035F0E"/>
    <w:rsid w:val="00037807"/>
    <w:rsid w:val="0004092D"/>
    <w:rsid w:val="00041994"/>
    <w:rsid w:val="00050F6B"/>
    <w:rsid w:val="0005782B"/>
    <w:rsid w:val="00057E97"/>
    <w:rsid w:val="00057F1A"/>
    <w:rsid w:val="00060C3A"/>
    <w:rsid w:val="00066476"/>
    <w:rsid w:val="00072C8C"/>
    <w:rsid w:val="000733B5"/>
    <w:rsid w:val="00081815"/>
    <w:rsid w:val="000902F9"/>
    <w:rsid w:val="000931C0"/>
    <w:rsid w:val="000970C1"/>
    <w:rsid w:val="000A2283"/>
    <w:rsid w:val="000A34F4"/>
    <w:rsid w:val="000A442E"/>
    <w:rsid w:val="000B175B"/>
    <w:rsid w:val="000B1788"/>
    <w:rsid w:val="000B3A0F"/>
    <w:rsid w:val="000B4EF7"/>
    <w:rsid w:val="000C2C03"/>
    <w:rsid w:val="000C2D2E"/>
    <w:rsid w:val="000C2E06"/>
    <w:rsid w:val="000C6F58"/>
    <w:rsid w:val="000C71A2"/>
    <w:rsid w:val="000C7D65"/>
    <w:rsid w:val="000D0A22"/>
    <w:rsid w:val="000E0415"/>
    <w:rsid w:val="000E2BE1"/>
    <w:rsid w:val="000E42FA"/>
    <w:rsid w:val="000E567F"/>
    <w:rsid w:val="000F4E65"/>
    <w:rsid w:val="000F570E"/>
    <w:rsid w:val="000F76E4"/>
    <w:rsid w:val="000F7E69"/>
    <w:rsid w:val="00101383"/>
    <w:rsid w:val="001037D9"/>
    <w:rsid w:val="001103AA"/>
    <w:rsid w:val="0011184E"/>
    <w:rsid w:val="00123048"/>
    <w:rsid w:val="00124014"/>
    <w:rsid w:val="00127A73"/>
    <w:rsid w:val="001306DD"/>
    <w:rsid w:val="00130FEC"/>
    <w:rsid w:val="0013235B"/>
    <w:rsid w:val="00137F3E"/>
    <w:rsid w:val="00142286"/>
    <w:rsid w:val="00146CDB"/>
    <w:rsid w:val="00151CCD"/>
    <w:rsid w:val="00161364"/>
    <w:rsid w:val="00165F3A"/>
    <w:rsid w:val="0017277A"/>
    <w:rsid w:val="00172B2B"/>
    <w:rsid w:val="0017676A"/>
    <w:rsid w:val="00182A46"/>
    <w:rsid w:val="00183968"/>
    <w:rsid w:val="0019468C"/>
    <w:rsid w:val="00196CDF"/>
    <w:rsid w:val="001975D8"/>
    <w:rsid w:val="001A079F"/>
    <w:rsid w:val="001A09DE"/>
    <w:rsid w:val="001A0C87"/>
    <w:rsid w:val="001A660B"/>
    <w:rsid w:val="001A6686"/>
    <w:rsid w:val="001A723C"/>
    <w:rsid w:val="001B4041"/>
    <w:rsid w:val="001B4B04"/>
    <w:rsid w:val="001C6016"/>
    <w:rsid w:val="001C657F"/>
    <w:rsid w:val="001C6663"/>
    <w:rsid w:val="001C7895"/>
    <w:rsid w:val="001D0C8C"/>
    <w:rsid w:val="001D26DF"/>
    <w:rsid w:val="001D2754"/>
    <w:rsid w:val="001D384D"/>
    <w:rsid w:val="001D3A03"/>
    <w:rsid w:val="001D5C81"/>
    <w:rsid w:val="001D7E38"/>
    <w:rsid w:val="001E10EC"/>
    <w:rsid w:val="001E357C"/>
    <w:rsid w:val="001E48A9"/>
    <w:rsid w:val="001F4691"/>
    <w:rsid w:val="002012C3"/>
    <w:rsid w:val="00202DA8"/>
    <w:rsid w:val="00210CE0"/>
    <w:rsid w:val="002117EE"/>
    <w:rsid w:val="00211E0B"/>
    <w:rsid w:val="00223598"/>
    <w:rsid w:val="00223772"/>
    <w:rsid w:val="0022501D"/>
    <w:rsid w:val="002313C7"/>
    <w:rsid w:val="00231C9F"/>
    <w:rsid w:val="0023210C"/>
    <w:rsid w:val="00244EDE"/>
    <w:rsid w:val="002450F8"/>
    <w:rsid w:val="002569AF"/>
    <w:rsid w:val="002632E7"/>
    <w:rsid w:val="00266358"/>
    <w:rsid w:val="00267F5F"/>
    <w:rsid w:val="0027131E"/>
    <w:rsid w:val="002743EE"/>
    <w:rsid w:val="00286B4D"/>
    <w:rsid w:val="002974A6"/>
    <w:rsid w:val="002A5E37"/>
    <w:rsid w:val="002A7F00"/>
    <w:rsid w:val="002B3F1E"/>
    <w:rsid w:val="002B4AC8"/>
    <w:rsid w:val="002C032D"/>
    <w:rsid w:val="002C3C84"/>
    <w:rsid w:val="002C5BCD"/>
    <w:rsid w:val="002C6305"/>
    <w:rsid w:val="002D3AF5"/>
    <w:rsid w:val="002D46DB"/>
    <w:rsid w:val="002D54EE"/>
    <w:rsid w:val="002D5ECE"/>
    <w:rsid w:val="002E0331"/>
    <w:rsid w:val="002F039C"/>
    <w:rsid w:val="002F14CA"/>
    <w:rsid w:val="002F175C"/>
    <w:rsid w:val="002F781E"/>
    <w:rsid w:val="0030138D"/>
    <w:rsid w:val="00301BD4"/>
    <w:rsid w:val="00306124"/>
    <w:rsid w:val="00310F2C"/>
    <w:rsid w:val="00314A97"/>
    <w:rsid w:val="00320E07"/>
    <w:rsid w:val="003229D8"/>
    <w:rsid w:val="0032348D"/>
    <w:rsid w:val="0032508D"/>
    <w:rsid w:val="00327502"/>
    <w:rsid w:val="003309A4"/>
    <w:rsid w:val="00334BB8"/>
    <w:rsid w:val="00335D6C"/>
    <w:rsid w:val="00342D6C"/>
    <w:rsid w:val="003464C6"/>
    <w:rsid w:val="00352709"/>
    <w:rsid w:val="00354AA8"/>
    <w:rsid w:val="0036645D"/>
    <w:rsid w:val="00366C79"/>
    <w:rsid w:val="00367567"/>
    <w:rsid w:val="003701F0"/>
    <w:rsid w:val="003705C9"/>
    <w:rsid w:val="00371178"/>
    <w:rsid w:val="003719B4"/>
    <w:rsid w:val="0037204F"/>
    <w:rsid w:val="003730DD"/>
    <w:rsid w:val="0038336C"/>
    <w:rsid w:val="00386EF5"/>
    <w:rsid w:val="003871ED"/>
    <w:rsid w:val="003A1602"/>
    <w:rsid w:val="003A6810"/>
    <w:rsid w:val="003C02AB"/>
    <w:rsid w:val="003C2CC4"/>
    <w:rsid w:val="003D0290"/>
    <w:rsid w:val="003D12E3"/>
    <w:rsid w:val="003D3CF9"/>
    <w:rsid w:val="003D4B23"/>
    <w:rsid w:val="003E1596"/>
    <w:rsid w:val="003E64CC"/>
    <w:rsid w:val="003E6D09"/>
    <w:rsid w:val="003E6F7E"/>
    <w:rsid w:val="00400ACF"/>
    <w:rsid w:val="004031DA"/>
    <w:rsid w:val="00403387"/>
    <w:rsid w:val="00405473"/>
    <w:rsid w:val="00410C89"/>
    <w:rsid w:val="004147D4"/>
    <w:rsid w:val="00414931"/>
    <w:rsid w:val="00414B35"/>
    <w:rsid w:val="00426B9B"/>
    <w:rsid w:val="004325CB"/>
    <w:rsid w:val="00435D83"/>
    <w:rsid w:val="00436142"/>
    <w:rsid w:val="00436B33"/>
    <w:rsid w:val="00442A83"/>
    <w:rsid w:val="0045495B"/>
    <w:rsid w:val="00456152"/>
    <w:rsid w:val="0045741F"/>
    <w:rsid w:val="00457E0B"/>
    <w:rsid w:val="00463A87"/>
    <w:rsid w:val="00466844"/>
    <w:rsid w:val="00466B4C"/>
    <w:rsid w:val="00473963"/>
    <w:rsid w:val="00484B45"/>
    <w:rsid w:val="00487488"/>
    <w:rsid w:val="0049219B"/>
    <w:rsid w:val="004976F2"/>
    <w:rsid w:val="004A28A7"/>
    <w:rsid w:val="004C4A2B"/>
    <w:rsid w:val="004D4AAD"/>
    <w:rsid w:val="004D5BEC"/>
    <w:rsid w:val="004E64A6"/>
    <w:rsid w:val="004F5078"/>
    <w:rsid w:val="0050121C"/>
    <w:rsid w:val="00506AAE"/>
    <w:rsid w:val="00516701"/>
    <w:rsid w:val="0052136D"/>
    <w:rsid w:val="00525395"/>
    <w:rsid w:val="00526FAF"/>
    <w:rsid w:val="0052775E"/>
    <w:rsid w:val="00527B53"/>
    <w:rsid w:val="00533CAC"/>
    <w:rsid w:val="005409DC"/>
    <w:rsid w:val="005420F2"/>
    <w:rsid w:val="0054523C"/>
    <w:rsid w:val="00550BDA"/>
    <w:rsid w:val="00550D3B"/>
    <w:rsid w:val="005519D0"/>
    <w:rsid w:val="00552689"/>
    <w:rsid w:val="005579EC"/>
    <w:rsid w:val="005618F9"/>
    <w:rsid w:val="005628B6"/>
    <w:rsid w:val="00562F4D"/>
    <w:rsid w:val="00564714"/>
    <w:rsid w:val="0056624F"/>
    <w:rsid w:val="00571636"/>
    <w:rsid w:val="00571BB4"/>
    <w:rsid w:val="00571CA9"/>
    <w:rsid w:val="005722B3"/>
    <w:rsid w:val="005848B3"/>
    <w:rsid w:val="00586ABA"/>
    <w:rsid w:val="00590F87"/>
    <w:rsid w:val="00592C4A"/>
    <w:rsid w:val="005A0415"/>
    <w:rsid w:val="005A1B1D"/>
    <w:rsid w:val="005A3B8B"/>
    <w:rsid w:val="005A533E"/>
    <w:rsid w:val="005B180A"/>
    <w:rsid w:val="005B3DB3"/>
    <w:rsid w:val="005C0D3B"/>
    <w:rsid w:val="005C1CC7"/>
    <w:rsid w:val="005C5760"/>
    <w:rsid w:val="005D542D"/>
    <w:rsid w:val="005D5721"/>
    <w:rsid w:val="005D5AF5"/>
    <w:rsid w:val="005E06C2"/>
    <w:rsid w:val="005E783D"/>
    <w:rsid w:val="005F5699"/>
    <w:rsid w:val="005F7717"/>
    <w:rsid w:val="005F7B75"/>
    <w:rsid w:val="005F7F93"/>
    <w:rsid w:val="006001EE"/>
    <w:rsid w:val="00601CA8"/>
    <w:rsid w:val="00605042"/>
    <w:rsid w:val="00611FC4"/>
    <w:rsid w:val="00614C50"/>
    <w:rsid w:val="006176FB"/>
    <w:rsid w:val="00625FB0"/>
    <w:rsid w:val="006274AD"/>
    <w:rsid w:val="00627FB0"/>
    <w:rsid w:val="00630676"/>
    <w:rsid w:val="006405BC"/>
    <w:rsid w:val="00640B26"/>
    <w:rsid w:val="00642D4C"/>
    <w:rsid w:val="00652D0A"/>
    <w:rsid w:val="00661597"/>
    <w:rsid w:val="006617E2"/>
    <w:rsid w:val="00662BB6"/>
    <w:rsid w:val="00673D97"/>
    <w:rsid w:val="00674026"/>
    <w:rsid w:val="006743E9"/>
    <w:rsid w:val="00680461"/>
    <w:rsid w:val="006808BF"/>
    <w:rsid w:val="00682284"/>
    <w:rsid w:val="006838C8"/>
    <w:rsid w:val="00684C21"/>
    <w:rsid w:val="0068555B"/>
    <w:rsid w:val="0068599A"/>
    <w:rsid w:val="00685FA6"/>
    <w:rsid w:val="0068743C"/>
    <w:rsid w:val="006907ED"/>
    <w:rsid w:val="00692BBE"/>
    <w:rsid w:val="00694AE6"/>
    <w:rsid w:val="0069763E"/>
    <w:rsid w:val="006A1764"/>
    <w:rsid w:val="006C3AD1"/>
    <w:rsid w:val="006D2401"/>
    <w:rsid w:val="006D2409"/>
    <w:rsid w:val="006D2B97"/>
    <w:rsid w:val="006D37AF"/>
    <w:rsid w:val="006D51D0"/>
    <w:rsid w:val="006D75C7"/>
    <w:rsid w:val="006E1A90"/>
    <w:rsid w:val="006E3134"/>
    <w:rsid w:val="006E37EC"/>
    <w:rsid w:val="006E564B"/>
    <w:rsid w:val="006E7191"/>
    <w:rsid w:val="006E7377"/>
    <w:rsid w:val="00703577"/>
    <w:rsid w:val="007053C1"/>
    <w:rsid w:val="00705625"/>
    <w:rsid w:val="00711F00"/>
    <w:rsid w:val="0072226B"/>
    <w:rsid w:val="0072632A"/>
    <w:rsid w:val="007327D5"/>
    <w:rsid w:val="00732B51"/>
    <w:rsid w:val="00735CA1"/>
    <w:rsid w:val="00740255"/>
    <w:rsid w:val="00746F1E"/>
    <w:rsid w:val="00751147"/>
    <w:rsid w:val="00753BA9"/>
    <w:rsid w:val="007629C8"/>
    <w:rsid w:val="007639B0"/>
    <w:rsid w:val="00767016"/>
    <w:rsid w:val="007812BA"/>
    <w:rsid w:val="00781C83"/>
    <w:rsid w:val="0078300D"/>
    <w:rsid w:val="00784BCF"/>
    <w:rsid w:val="00785623"/>
    <w:rsid w:val="00787E5D"/>
    <w:rsid w:val="007925AE"/>
    <w:rsid w:val="00795F7A"/>
    <w:rsid w:val="007965DB"/>
    <w:rsid w:val="007A1319"/>
    <w:rsid w:val="007B5F65"/>
    <w:rsid w:val="007B6BA5"/>
    <w:rsid w:val="007C203A"/>
    <w:rsid w:val="007C279D"/>
    <w:rsid w:val="007C3390"/>
    <w:rsid w:val="007C3A7C"/>
    <w:rsid w:val="007C3FFB"/>
    <w:rsid w:val="007C4F4B"/>
    <w:rsid w:val="007C5032"/>
    <w:rsid w:val="007C7813"/>
    <w:rsid w:val="007C784F"/>
    <w:rsid w:val="007C7C57"/>
    <w:rsid w:val="007D3316"/>
    <w:rsid w:val="007E0B2D"/>
    <w:rsid w:val="007E3DF7"/>
    <w:rsid w:val="007F1247"/>
    <w:rsid w:val="007F3A2C"/>
    <w:rsid w:val="007F4BB0"/>
    <w:rsid w:val="007F6611"/>
    <w:rsid w:val="007F7246"/>
    <w:rsid w:val="007F75D2"/>
    <w:rsid w:val="00803EEC"/>
    <w:rsid w:val="00806AAA"/>
    <w:rsid w:val="008076A7"/>
    <w:rsid w:val="008105B8"/>
    <w:rsid w:val="00810807"/>
    <w:rsid w:val="008111BA"/>
    <w:rsid w:val="00812971"/>
    <w:rsid w:val="00815C52"/>
    <w:rsid w:val="00816972"/>
    <w:rsid w:val="0081770E"/>
    <w:rsid w:val="008216A5"/>
    <w:rsid w:val="00821A8D"/>
    <w:rsid w:val="008242D7"/>
    <w:rsid w:val="00824F1B"/>
    <w:rsid w:val="00825659"/>
    <w:rsid w:val="008256ED"/>
    <w:rsid w:val="008257B1"/>
    <w:rsid w:val="0082678E"/>
    <w:rsid w:val="00827317"/>
    <w:rsid w:val="008300EF"/>
    <w:rsid w:val="00834953"/>
    <w:rsid w:val="00835C9E"/>
    <w:rsid w:val="0084126F"/>
    <w:rsid w:val="00842296"/>
    <w:rsid w:val="00843767"/>
    <w:rsid w:val="00852B57"/>
    <w:rsid w:val="008538BE"/>
    <w:rsid w:val="008655A1"/>
    <w:rsid w:val="00865CE5"/>
    <w:rsid w:val="008678D8"/>
    <w:rsid w:val="008679D9"/>
    <w:rsid w:val="00871051"/>
    <w:rsid w:val="00875FE5"/>
    <w:rsid w:val="008809FB"/>
    <w:rsid w:val="00885F41"/>
    <w:rsid w:val="0088636B"/>
    <w:rsid w:val="0089139E"/>
    <w:rsid w:val="008979B1"/>
    <w:rsid w:val="008A1DB2"/>
    <w:rsid w:val="008A6B25"/>
    <w:rsid w:val="008A6C4F"/>
    <w:rsid w:val="008B2335"/>
    <w:rsid w:val="008C4EDC"/>
    <w:rsid w:val="008D1459"/>
    <w:rsid w:val="008D1FBE"/>
    <w:rsid w:val="008E0678"/>
    <w:rsid w:val="008E27EC"/>
    <w:rsid w:val="008E3283"/>
    <w:rsid w:val="008E4C4F"/>
    <w:rsid w:val="0090237B"/>
    <w:rsid w:val="00903876"/>
    <w:rsid w:val="00910F40"/>
    <w:rsid w:val="00912C08"/>
    <w:rsid w:val="00913616"/>
    <w:rsid w:val="00913F5E"/>
    <w:rsid w:val="0091452E"/>
    <w:rsid w:val="009223CA"/>
    <w:rsid w:val="00935941"/>
    <w:rsid w:val="00940F93"/>
    <w:rsid w:val="00941AB8"/>
    <w:rsid w:val="00945A23"/>
    <w:rsid w:val="00951EAC"/>
    <w:rsid w:val="009528BD"/>
    <w:rsid w:val="0095347F"/>
    <w:rsid w:val="00954B19"/>
    <w:rsid w:val="009568BE"/>
    <w:rsid w:val="00967F59"/>
    <w:rsid w:val="009701C4"/>
    <w:rsid w:val="009735A8"/>
    <w:rsid w:val="009735EF"/>
    <w:rsid w:val="00973B67"/>
    <w:rsid w:val="00974EF5"/>
    <w:rsid w:val="00975230"/>
    <w:rsid w:val="00975E5F"/>
    <w:rsid w:val="009760F3"/>
    <w:rsid w:val="009812E7"/>
    <w:rsid w:val="00985506"/>
    <w:rsid w:val="00990941"/>
    <w:rsid w:val="009909F5"/>
    <w:rsid w:val="009A0E8D"/>
    <w:rsid w:val="009A46D6"/>
    <w:rsid w:val="009B0C0A"/>
    <w:rsid w:val="009B26E7"/>
    <w:rsid w:val="009B2EF2"/>
    <w:rsid w:val="009C1C66"/>
    <w:rsid w:val="009D22A2"/>
    <w:rsid w:val="009D7E85"/>
    <w:rsid w:val="009E11CB"/>
    <w:rsid w:val="009E2F54"/>
    <w:rsid w:val="009E66E7"/>
    <w:rsid w:val="009E7D26"/>
    <w:rsid w:val="009F2AC1"/>
    <w:rsid w:val="009F2F73"/>
    <w:rsid w:val="009F362A"/>
    <w:rsid w:val="009F5D91"/>
    <w:rsid w:val="00A00A3F"/>
    <w:rsid w:val="00A01489"/>
    <w:rsid w:val="00A030AB"/>
    <w:rsid w:val="00A069BB"/>
    <w:rsid w:val="00A11A0C"/>
    <w:rsid w:val="00A1776E"/>
    <w:rsid w:val="00A230A0"/>
    <w:rsid w:val="00A262B7"/>
    <w:rsid w:val="00A31B81"/>
    <w:rsid w:val="00A338F1"/>
    <w:rsid w:val="00A37DD8"/>
    <w:rsid w:val="00A4192B"/>
    <w:rsid w:val="00A44615"/>
    <w:rsid w:val="00A47396"/>
    <w:rsid w:val="00A4753A"/>
    <w:rsid w:val="00A555DD"/>
    <w:rsid w:val="00A710E2"/>
    <w:rsid w:val="00A72F22"/>
    <w:rsid w:val="00A7360F"/>
    <w:rsid w:val="00A748A6"/>
    <w:rsid w:val="00A75355"/>
    <w:rsid w:val="00A769F4"/>
    <w:rsid w:val="00A776B4"/>
    <w:rsid w:val="00A91499"/>
    <w:rsid w:val="00A94361"/>
    <w:rsid w:val="00AA0619"/>
    <w:rsid w:val="00AA0F58"/>
    <w:rsid w:val="00AA293C"/>
    <w:rsid w:val="00AA2D0D"/>
    <w:rsid w:val="00AA58B6"/>
    <w:rsid w:val="00AB19FA"/>
    <w:rsid w:val="00AB5043"/>
    <w:rsid w:val="00AB7C6D"/>
    <w:rsid w:val="00AC03E4"/>
    <w:rsid w:val="00AC0A14"/>
    <w:rsid w:val="00AC1844"/>
    <w:rsid w:val="00AC4840"/>
    <w:rsid w:val="00AD46B8"/>
    <w:rsid w:val="00AE2A2A"/>
    <w:rsid w:val="00AE5108"/>
    <w:rsid w:val="00AF1A44"/>
    <w:rsid w:val="00AF5CCF"/>
    <w:rsid w:val="00B018CF"/>
    <w:rsid w:val="00B0282C"/>
    <w:rsid w:val="00B04543"/>
    <w:rsid w:val="00B13E9B"/>
    <w:rsid w:val="00B2177C"/>
    <w:rsid w:val="00B30179"/>
    <w:rsid w:val="00B339A7"/>
    <w:rsid w:val="00B369CE"/>
    <w:rsid w:val="00B41ACB"/>
    <w:rsid w:val="00B427FA"/>
    <w:rsid w:val="00B43A0B"/>
    <w:rsid w:val="00B44C19"/>
    <w:rsid w:val="00B4718F"/>
    <w:rsid w:val="00B512C7"/>
    <w:rsid w:val="00B56E4A"/>
    <w:rsid w:val="00B56E9C"/>
    <w:rsid w:val="00B60748"/>
    <w:rsid w:val="00B64B1F"/>
    <w:rsid w:val="00B6553F"/>
    <w:rsid w:val="00B65D1D"/>
    <w:rsid w:val="00B66E5E"/>
    <w:rsid w:val="00B77D05"/>
    <w:rsid w:val="00B81202"/>
    <w:rsid w:val="00B81206"/>
    <w:rsid w:val="00B81E12"/>
    <w:rsid w:val="00B83A07"/>
    <w:rsid w:val="00B84C4B"/>
    <w:rsid w:val="00B857DE"/>
    <w:rsid w:val="00B878B3"/>
    <w:rsid w:val="00B9067B"/>
    <w:rsid w:val="00B94491"/>
    <w:rsid w:val="00BA04DE"/>
    <w:rsid w:val="00BA29D1"/>
    <w:rsid w:val="00BA4341"/>
    <w:rsid w:val="00BB22D5"/>
    <w:rsid w:val="00BB37C3"/>
    <w:rsid w:val="00BC01E3"/>
    <w:rsid w:val="00BC298A"/>
    <w:rsid w:val="00BC2C23"/>
    <w:rsid w:val="00BC48F3"/>
    <w:rsid w:val="00BC74E9"/>
    <w:rsid w:val="00BD7612"/>
    <w:rsid w:val="00BE0B12"/>
    <w:rsid w:val="00BE2C31"/>
    <w:rsid w:val="00BF09D4"/>
    <w:rsid w:val="00BF3D9D"/>
    <w:rsid w:val="00BF68A8"/>
    <w:rsid w:val="00C11207"/>
    <w:rsid w:val="00C115CD"/>
    <w:rsid w:val="00C11A03"/>
    <w:rsid w:val="00C13B55"/>
    <w:rsid w:val="00C154D2"/>
    <w:rsid w:val="00C16605"/>
    <w:rsid w:val="00C2284D"/>
    <w:rsid w:val="00C34926"/>
    <w:rsid w:val="00C37106"/>
    <w:rsid w:val="00C42AEC"/>
    <w:rsid w:val="00C44D68"/>
    <w:rsid w:val="00C463DD"/>
    <w:rsid w:val="00C46474"/>
    <w:rsid w:val="00C4724C"/>
    <w:rsid w:val="00C50356"/>
    <w:rsid w:val="00C54F73"/>
    <w:rsid w:val="00C55779"/>
    <w:rsid w:val="00C606D3"/>
    <w:rsid w:val="00C629A0"/>
    <w:rsid w:val="00C745C3"/>
    <w:rsid w:val="00C77059"/>
    <w:rsid w:val="00C8377E"/>
    <w:rsid w:val="00C8504E"/>
    <w:rsid w:val="00C866DB"/>
    <w:rsid w:val="00C9183C"/>
    <w:rsid w:val="00C934B4"/>
    <w:rsid w:val="00C96D26"/>
    <w:rsid w:val="00CB64C8"/>
    <w:rsid w:val="00CC1F58"/>
    <w:rsid w:val="00CC664C"/>
    <w:rsid w:val="00CD2360"/>
    <w:rsid w:val="00CD7EE5"/>
    <w:rsid w:val="00CE1672"/>
    <w:rsid w:val="00CE170A"/>
    <w:rsid w:val="00CE3E66"/>
    <w:rsid w:val="00CE4904"/>
    <w:rsid w:val="00CE4A8F"/>
    <w:rsid w:val="00CF21B3"/>
    <w:rsid w:val="00CF2919"/>
    <w:rsid w:val="00D04B04"/>
    <w:rsid w:val="00D141CF"/>
    <w:rsid w:val="00D2031B"/>
    <w:rsid w:val="00D2276A"/>
    <w:rsid w:val="00D2305C"/>
    <w:rsid w:val="00D257E7"/>
    <w:rsid w:val="00D25FE2"/>
    <w:rsid w:val="00D31728"/>
    <w:rsid w:val="00D34E31"/>
    <w:rsid w:val="00D354E1"/>
    <w:rsid w:val="00D43252"/>
    <w:rsid w:val="00D47B2C"/>
    <w:rsid w:val="00D47EEA"/>
    <w:rsid w:val="00D50EE6"/>
    <w:rsid w:val="00D735D7"/>
    <w:rsid w:val="00D90984"/>
    <w:rsid w:val="00D90F93"/>
    <w:rsid w:val="00D95303"/>
    <w:rsid w:val="00D95A82"/>
    <w:rsid w:val="00D978C6"/>
    <w:rsid w:val="00DA1CA6"/>
    <w:rsid w:val="00DA3111"/>
    <w:rsid w:val="00DA3C1C"/>
    <w:rsid w:val="00DA3DC3"/>
    <w:rsid w:val="00DA4A9E"/>
    <w:rsid w:val="00DA71B5"/>
    <w:rsid w:val="00DB0C79"/>
    <w:rsid w:val="00DB5B2F"/>
    <w:rsid w:val="00DC03B3"/>
    <w:rsid w:val="00DC290C"/>
    <w:rsid w:val="00DD0339"/>
    <w:rsid w:val="00DE3F4F"/>
    <w:rsid w:val="00DE79A8"/>
    <w:rsid w:val="00DF0447"/>
    <w:rsid w:val="00DF374D"/>
    <w:rsid w:val="00DF50FB"/>
    <w:rsid w:val="00DF5813"/>
    <w:rsid w:val="00DF5EFA"/>
    <w:rsid w:val="00E012C9"/>
    <w:rsid w:val="00E0462F"/>
    <w:rsid w:val="00E138E5"/>
    <w:rsid w:val="00E13CA7"/>
    <w:rsid w:val="00E209FD"/>
    <w:rsid w:val="00E24886"/>
    <w:rsid w:val="00E25E54"/>
    <w:rsid w:val="00E27346"/>
    <w:rsid w:val="00E3477A"/>
    <w:rsid w:val="00E37032"/>
    <w:rsid w:val="00E376E4"/>
    <w:rsid w:val="00E40420"/>
    <w:rsid w:val="00E43EC4"/>
    <w:rsid w:val="00E51BCB"/>
    <w:rsid w:val="00E53701"/>
    <w:rsid w:val="00E542F7"/>
    <w:rsid w:val="00E61578"/>
    <w:rsid w:val="00E62E52"/>
    <w:rsid w:val="00E632CC"/>
    <w:rsid w:val="00E65396"/>
    <w:rsid w:val="00E67476"/>
    <w:rsid w:val="00E71BC8"/>
    <w:rsid w:val="00E7260F"/>
    <w:rsid w:val="00E779FC"/>
    <w:rsid w:val="00E848D3"/>
    <w:rsid w:val="00E86349"/>
    <w:rsid w:val="00E9091A"/>
    <w:rsid w:val="00E94088"/>
    <w:rsid w:val="00E96630"/>
    <w:rsid w:val="00EA31F7"/>
    <w:rsid w:val="00EA5005"/>
    <w:rsid w:val="00EB1ECC"/>
    <w:rsid w:val="00EB2581"/>
    <w:rsid w:val="00EB7049"/>
    <w:rsid w:val="00EC28F3"/>
    <w:rsid w:val="00ED06EC"/>
    <w:rsid w:val="00ED5BC7"/>
    <w:rsid w:val="00ED7A2A"/>
    <w:rsid w:val="00EE5BD5"/>
    <w:rsid w:val="00EF0235"/>
    <w:rsid w:val="00EF1D7F"/>
    <w:rsid w:val="00F004E2"/>
    <w:rsid w:val="00F02C8E"/>
    <w:rsid w:val="00F03190"/>
    <w:rsid w:val="00F03A99"/>
    <w:rsid w:val="00F04CDE"/>
    <w:rsid w:val="00F1389A"/>
    <w:rsid w:val="00F20C3D"/>
    <w:rsid w:val="00F25E5E"/>
    <w:rsid w:val="00F26BC3"/>
    <w:rsid w:val="00F32E1F"/>
    <w:rsid w:val="00F36C66"/>
    <w:rsid w:val="00F4204E"/>
    <w:rsid w:val="00F43E9E"/>
    <w:rsid w:val="00F45731"/>
    <w:rsid w:val="00F46CDD"/>
    <w:rsid w:val="00F55C72"/>
    <w:rsid w:val="00F63797"/>
    <w:rsid w:val="00F75F5B"/>
    <w:rsid w:val="00F76E01"/>
    <w:rsid w:val="00F81E6D"/>
    <w:rsid w:val="00F84C83"/>
    <w:rsid w:val="00F86121"/>
    <w:rsid w:val="00F9057C"/>
    <w:rsid w:val="00F906D7"/>
    <w:rsid w:val="00F90FD3"/>
    <w:rsid w:val="00F91FD2"/>
    <w:rsid w:val="00F93781"/>
    <w:rsid w:val="00F96BA5"/>
    <w:rsid w:val="00FA1718"/>
    <w:rsid w:val="00FA380F"/>
    <w:rsid w:val="00FA447C"/>
    <w:rsid w:val="00FA5D93"/>
    <w:rsid w:val="00FB4022"/>
    <w:rsid w:val="00FB5EB5"/>
    <w:rsid w:val="00FB613B"/>
    <w:rsid w:val="00FB77F9"/>
    <w:rsid w:val="00FC0BDA"/>
    <w:rsid w:val="00FC68B7"/>
    <w:rsid w:val="00FD0381"/>
    <w:rsid w:val="00FD1954"/>
    <w:rsid w:val="00FD23D3"/>
    <w:rsid w:val="00FD4FB8"/>
    <w:rsid w:val="00FD7631"/>
    <w:rsid w:val="00FE106A"/>
    <w:rsid w:val="00FE7EF7"/>
    <w:rsid w:val="00FF6762"/>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8D5DC4BD-79CD-42B4-BC3B-D20120A3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rsid w:val="00FF7920"/>
    <w:rPr>
      <w:lang w:eastAsia="en-US"/>
    </w:rPr>
  </w:style>
  <w:style w:type="character" w:styleId="CommentReference">
    <w:name w:val="annotation reference"/>
    <w:semiHidden/>
    <w:rsid w:val="004031DA"/>
    <w:rPr>
      <w:sz w:val="16"/>
      <w:szCs w:val="16"/>
    </w:rPr>
  </w:style>
  <w:style w:type="paragraph" w:styleId="CommentText">
    <w:name w:val="annotation text"/>
    <w:basedOn w:val="Normal"/>
    <w:semiHidden/>
    <w:rsid w:val="004031DA"/>
  </w:style>
  <w:style w:type="paragraph" w:styleId="CommentSubject">
    <w:name w:val="annotation subject"/>
    <w:basedOn w:val="CommentText"/>
    <w:next w:val="CommentText"/>
    <w:semiHidden/>
    <w:rsid w:val="004031DA"/>
    <w:rPr>
      <w:b/>
      <w:bCs/>
    </w:rPr>
  </w:style>
  <w:style w:type="paragraph" w:styleId="Revision">
    <w:name w:val="Revision"/>
    <w:hidden/>
    <w:uiPriority w:val="99"/>
    <w:semiHidden/>
    <w:rsid w:val="003250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4372">
      <w:bodyDiv w:val="1"/>
      <w:marLeft w:val="0"/>
      <w:marRight w:val="0"/>
      <w:marTop w:val="0"/>
      <w:marBottom w:val="0"/>
      <w:divBdr>
        <w:top w:val="none" w:sz="0" w:space="0" w:color="auto"/>
        <w:left w:val="none" w:sz="0" w:space="0" w:color="auto"/>
        <w:bottom w:val="none" w:sz="0" w:space="0" w:color="auto"/>
        <w:right w:val="none" w:sz="0" w:space="0" w:color="auto"/>
      </w:divBdr>
      <w:divsChild>
        <w:div w:id="1681619634">
          <w:marLeft w:val="0"/>
          <w:marRight w:val="0"/>
          <w:marTop w:val="0"/>
          <w:marBottom w:val="0"/>
          <w:divBdr>
            <w:top w:val="none" w:sz="0" w:space="0" w:color="auto"/>
            <w:left w:val="single" w:sz="6" w:space="0" w:color="414141"/>
            <w:bottom w:val="none" w:sz="0" w:space="0" w:color="auto"/>
            <w:right w:val="single" w:sz="6" w:space="0" w:color="414141"/>
          </w:divBdr>
          <w:divsChild>
            <w:div w:id="1095394897">
              <w:marLeft w:val="0"/>
              <w:marRight w:val="0"/>
              <w:marTop w:val="0"/>
              <w:marBottom w:val="0"/>
              <w:divBdr>
                <w:top w:val="none" w:sz="0" w:space="0" w:color="auto"/>
                <w:left w:val="none" w:sz="0" w:space="0" w:color="auto"/>
                <w:bottom w:val="none" w:sz="0" w:space="0" w:color="auto"/>
                <w:right w:val="none" w:sz="0" w:space="0" w:color="auto"/>
              </w:divBdr>
              <w:divsChild>
                <w:div w:id="1903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7655">
      <w:bodyDiv w:val="1"/>
      <w:marLeft w:val="0"/>
      <w:marRight w:val="0"/>
      <w:marTop w:val="0"/>
      <w:marBottom w:val="0"/>
      <w:divBdr>
        <w:top w:val="none" w:sz="0" w:space="0" w:color="auto"/>
        <w:left w:val="none" w:sz="0" w:space="0" w:color="auto"/>
        <w:bottom w:val="none" w:sz="0" w:space="0" w:color="auto"/>
        <w:right w:val="none" w:sz="0" w:space="0" w:color="auto"/>
      </w:divBdr>
    </w:div>
    <w:div w:id="1311788741">
      <w:bodyDiv w:val="1"/>
      <w:marLeft w:val="0"/>
      <w:marRight w:val="0"/>
      <w:marTop w:val="0"/>
      <w:marBottom w:val="0"/>
      <w:divBdr>
        <w:top w:val="none" w:sz="0" w:space="0" w:color="auto"/>
        <w:left w:val="none" w:sz="0" w:space="0" w:color="auto"/>
        <w:bottom w:val="none" w:sz="0" w:space="0" w:color="auto"/>
        <w:right w:val="none" w:sz="0" w:space="0" w:color="auto"/>
      </w:divBdr>
    </w:div>
    <w:div w:id="1499927440">
      <w:bodyDiv w:val="1"/>
      <w:marLeft w:val="0"/>
      <w:marRight w:val="0"/>
      <w:marTop w:val="0"/>
      <w:marBottom w:val="0"/>
      <w:divBdr>
        <w:top w:val="none" w:sz="0" w:space="0" w:color="auto"/>
        <w:left w:val="none" w:sz="0" w:space="0" w:color="auto"/>
        <w:bottom w:val="none" w:sz="0" w:space="0" w:color="auto"/>
        <w:right w:val="none" w:sz="0" w:space="0" w:color="auto"/>
      </w:divBdr>
    </w:div>
    <w:div w:id="1720397986">
      <w:bodyDiv w:val="1"/>
      <w:marLeft w:val="0"/>
      <w:marRight w:val="0"/>
      <w:marTop w:val="0"/>
      <w:marBottom w:val="0"/>
      <w:divBdr>
        <w:top w:val="none" w:sz="0" w:space="0" w:color="auto"/>
        <w:left w:val="none" w:sz="0" w:space="0" w:color="auto"/>
        <w:bottom w:val="none" w:sz="0" w:space="0" w:color="auto"/>
        <w:right w:val="none" w:sz="0" w:space="0" w:color="auto"/>
      </w:divBdr>
    </w:div>
    <w:div w:id="2135055496">
      <w:bodyDiv w:val="1"/>
      <w:marLeft w:val="0"/>
      <w:marRight w:val="0"/>
      <w:marTop w:val="0"/>
      <w:marBottom w:val="0"/>
      <w:divBdr>
        <w:top w:val="none" w:sz="0" w:space="0" w:color="auto"/>
        <w:left w:val="none" w:sz="0" w:space="0" w:color="auto"/>
        <w:bottom w:val="none" w:sz="0" w:space="0" w:color="auto"/>
        <w:right w:val="none" w:sz="0" w:space="0" w:color="auto"/>
      </w:divBdr>
    </w:div>
    <w:div w:id="21473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2014-08-27T09:01:00Z</cp:lastPrinted>
  <dcterms:created xsi:type="dcterms:W3CDTF">2017-01-24T18:06:00Z</dcterms:created>
  <dcterms:modified xsi:type="dcterms:W3CDTF">2017-01-24T18:06:00Z</dcterms:modified>
</cp:coreProperties>
</file>