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50CDA" w:rsidRPr="00CF0F27">
        <w:trPr>
          <w:trHeight w:val="851"/>
        </w:trPr>
        <w:tc>
          <w:tcPr>
            <w:tcW w:w="1259" w:type="dxa"/>
            <w:tcBorders>
              <w:top w:val="nil"/>
              <w:left w:val="nil"/>
              <w:bottom w:val="single" w:sz="4" w:space="0" w:color="auto"/>
              <w:right w:val="nil"/>
            </w:tcBorders>
            <w:vAlign w:val="bottom"/>
          </w:tcPr>
          <w:p w:rsidR="00F50CDA" w:rsidRPr="00CF0F27" w:rsidRDefault="00F50CDA" w:rsidP="003A6411">
            <w:pPr>
              <w:tabs>
                <w:tab w:val="left" w:pos="645"/>
              </w:tabs>
              <w:spacing w:line="240" w:lineRule="auto"/>
              <w:jc w:val="right"/>
            </w:pPr>
            <w:bookmarkStart w:id="0" w:name="_GoBack"/>
            <w:bookmarkEnd w:id="0"/>
          </w:p>
        </w:tc>
        <w:tc>
          <w:tcPr>
            <w:tcW w:w="2236" w:type="dxa"/>
            <w:tcBorders>
              <w:top w:val="nil"/>
              <w:left w:val="nil"/>
              <w:bottom w:val="single" w:sz="4" w:space="0" w:color="auto"/>
              <w:right w:val="nil"/>
            </w:tcBorders>
            <w:vAlign w:val="bottom"/>
          </w:tcPr>
          <w:p w:rsidR="00F50CDA" w:rsidRPr="00CF0F27" w:rsidRDefault="00F50CDA" w:rsidP="003A6411">
            <w:pPr>
              <w:spacing w:line="240" w:lineRule="auto"/>
            </w:pPr>
            <w:r w:rsidRPr="00CF0F27">
              <w:rPr>
                <w:sz w:val="28"/>
                <w:szCs w:val="28"/>
              </w:rPr>
              <w:t>United Nations</w:t>
            </w:r>
          </w:p>
        </w:tc>
        <w:tc>
          <w:tcPr>
            <w:tcW w:w="6144" w:type="dxa"/>
            <w:gridSpan w:val="2"/>
            <w:tcBorders>
              <w:top w:val="nil"/>
              <w:left w:val="nil"/>
              <w:bottom w:val="single" w:sz="4" w:space="0" w:color="auto"/>
              <w:right w:val="nil"/>
            </w:tcBorders>
            <w:vAlign w:val="bottom"/>
          </w:tcPr>
          <w:p w:rsidR="00F50CDA" w:rsidRPr="00CF0F27" w:rsidRDefault="00F50CDA" w:rsidP="005D6057">
            <w:pPr>
              <w:spacing w:line="240" w:lineRule="auto"/>
              <w:jc w:val="right"/>
            </w:pPr>
            <w:r w:rsidRPr="00CF0F27">
              <w:rPr>
                <w:sz w:val="40"/>
              </w:rPr>
              <w:t>CCPR</w:t>
            </w:r>
            <w:r w:rsidR="00C20EEE" w:rsidRPr="00CF0F27">
              <w:t>/C/10</w:t>
            </w:r>
            <w:r w:rsidR="008406FD" w:rsidRPr="00CF0F27">
              <w:t>8</w:t>
            </w:r>
            <w:r w:rsidRPr="00CF0F27">
              <w:t>/D/</w:t>
            </w:r>
            <w:r w:rsidR="00EB6A90" w:rsidRPr="00CF0F27">
              <w:t>1948/2010</w:t>
            </w:r>
          </w:p>
        </w:tc>
      </w:tr>
      <w:tr w:rsidR="007369EB" w:rsidRPr="00437E28">
        <w:trPr>
          <w:trHeight w:val="2835"/>
        </w:trPr>
        <w:tc>
          <w:tcPr>
            <w:tcW w:w="1259" w:type="dxa"/>
            <w:tcBorders>
              <w:top w:val="single" w:sz="4" w:space="0" w:color="auto"/>
              <w:left w:val="nil"/>
              <w:bottom w:val="single" w:sz="12" w:space="0" w:color="auto"/>
              <w:right w:val="nil"/>
            </w:tcBorders>
          </w:tcPr>
          <w:p w:rsidR="007369EB" w:rsidRPr="00CF0F27" w:rsidRDefault="00A03315" w:rsidP="003A6411">
            <w:pPr>
              <w:spacing w:line="240" w:lineRule="auto"/>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450" w:type="dxa"/>
            <w:gridSpan w:val="2"/>
            <w:tcBorders>
              <w:top w:val="single" w:sz="4" w:space="0" w:color="auto"/>
              <w:left w:val="nil"/>
              <w:bottom w:val="single" w:sz="12" w:space="0" w:color="auto"/>
              <w:right w:val="nil"/>
            </w:tcBorders>
          </w:tcPr>
          <w:p w:rsidR="007369EB" w:rsidRPr="00CF0F27" w:rsidRDefault="00F50CDA" w:rsidP="003A6411">
            <w:pPr>
              <w:spacing w:line="240" w:lineRule="auto"/>
            </w:pPr>
            <w:r w:rsidRPr="00CF0F27">
              <w:rPr>
                <w:b/>
                <w:sz w:val="34"/>
                <w:szCs w:val="40"/>
              </w:rPr>
              <w:t>International Covenant on</w:t>
            </w:r>
            <w:r w:rsidRPr="00CF0F27">
              <w:rPr>
                <w:b/>
                <w:sz w:val="34"/>
                <w:szCs w:val="40"/>
              </w:rPr>
              <w:br/>
              <w:t>Civil and Political Rights</w:t>
            </w:r>
          </w:p>
        </w:tc>
        <w:tc>
          <w:tcPr>
            <w:tcW w:w="2930" w:type="dxa"/>
            <w:tcBorders>
              <w:top w:val="single" w:sz="4" w:space="0" w:color="auto"/>
              <w:left w:val="nil"/>
              <w:bottom w:val="single" w:sz="12" w:space="0" w:color="auto"/>
              <w:right w:val="nil"/>
            </w:tcBorders>
          </w:tcPr>
          <w:p w:rsidR="009E31DB" w:rsidRPr="00CF0F27" w:rsidRDefault="009E31DB" w:rsidP="003A6411">
            <w:pPr>
              <w:spacing w:before="240" w:line="240" w:lineRule="auto"/>
            </w:pPr>
            <w:r w:rsidRPr="00CF0F27">
              <w:t xml:space="preserve">Distr.: </w:t>
            </w:r>
            <w:r w:rsidR="005D6057">
              <w:t>General</w:t>
            </w:r>
          </w:p>
          <w:p w:rsidR="009E31DB" w:rsidRPr="00B44CD7" w:rsidRDefault="008A4D35" w:rsidP="003A6411">
            <w:pPr>
              <w:spacing w:line="240" w:lineRule="auto"/>
            </w:pPr>
            <w:r>
              <w:t>10</w:t>
            </w:r>
            <w:r w:rsidR="00065DEF">
              <w:t xml:space="preserve"> September</w:t>
            </w:r>
            <w:r w:rsidR="008406FD" w:rsidRPr="00CF0F27">
              <w:t xml:space="preserve"> </w:t>
            </w:r>
            <w:r w:rsidR="008406FD" w:rsidRPr="00B44CD7">
              <w:t>2013</w:t>
            </w:r>
          </w:p>
          <w:p w:rsidR="009E31DB" w:rsidRPr="00437E28" w:rsidRDefault="009E31DB" w:rsidP="003A6411">
            <w:pPr>
              <w:spacing w:line="240" w:lineRule="auto"/>
            </w:pPr>
          </w:p>
          <w:p w:rsidR="002A33C4" w:rsidRPr="00437E28" w:rsidRDefault="009E31DB" w:rsidP="003A6411">
            <w:pPr>
              <w:spacing w:line="240" w:lineRule="auto"/>
            </w:pPr>
            <w:r w:rsidRPr="00437E28">
              <w:t>Original: English</w:t>
            </w:r>
          </w:p>
          <w:p w:rsidR="007369EB" w:rsidRDefault="007369EB" w:rsidP="003A6411">
            <w:pPr>
              <w:spacing w:line="240" w:lineRule="auto"/>
            </w:pPr>
          </w:p>
          <w:p w:rsidR="005D6057" w:rsidRPr="005D6057" w:rsidRDefault="005D6057" w:rsidP="003A6411">
            <w:pPr>
              <w:spacing w:line="240" w:lineRule="auto"/>
              <w:rPr>
                <w:b/>
              </w:rPr>
            </w:pPr>
          </w:p>
        </w:tc>
      </w:tr>
    </w:tbl>
    <w:p w:rsidR="009E31DB" w:rsidRPr="00437E28" w:rsidRDefault="009E31DB" w:rsidP="003A6411">
      <w:pPr>
        <w:spacing w:before="120" w:line="240" w:lineRule="auto"/>
        <w:rPr>
          <w:b/>
          <w:sz w:val="24"/>
          <w:szCs w:val="24"/>
        </w:rPr>
      </w:pPr>
      <w:r w:rsidRPr="00437E28">
        <w:rPr>
          <w:b/>
          <w:sz w:val="24"/>
          <w:szCs w:val="24"/>
        </w:rPr>
        <w:t>Human Rights Committee</w:t>
      </w:r>
    </w:p>
    <w:p w:rsidR="00106513" w:rsidRPr="00437E28" w:rsidRDefault="009E31DB" w:rsidP="003A6411">
      <w:pPr>
        <w:pStyle w:val="HChG"/>
        <w:spacing w:line="240" w:lineRule="auto"/>
      </w:pPr>
      <w:r w:rsidRPr="00CF0F27">
        <w:tab/>
      </w:r>
      <w:r w:rsidRPr="00CF0F27">
        <w:tab/>
      </w:r>
      <w:r w:rsidR="00106513" w:rsidRPr="00B44CD7">
        <w:t xml:space="preserve">Communication No. </w:t>
      </w:r>
      <w:r w:rsidR="00EB6A90" w:rsidRPr="00B44CD7">
        <w:t>1948/2010</w:t>
      </w:r>
    </w:p>
    <w:p w:rsidR="009E31DB" w:rsidRPr="00437E28" w:rsidRDefault="00106513" w:rsidP="003A6411">
      <w:pPr>
        <w:pStyle w:val="H1G"/>
        <w:spacing w:after="600" w:line="240" w:lineRule="auto"/>
      </w:pPr>
      <w:r w:rsidRPr="00437E28">
        <w:tab/>
      </w:r>
      <w:r w:rsidRPr="00437E28">
        <w:tab/>
      </w:r>
      <w:r w:rsidR="005D6057">
        <w:t xml:space="preserve">Views adopted by the Committee at its 108th session </w:t>
      </w:r>
      <w:r w:rsidR="005D6057">
        <w:br/>
        <w:t>(8 – 26 July 2013)</w:t>
      </w:r>
    </w:p>
    <w:p w:rsidR="009E31DB" w:rsidRPr="00437E28" w:rsidRDefault="009E31DB" w:rsidP="00E9490D">
      <w:pPr>
        <w:pStyle w:val="SingleTxtG"/>
        <w:spacing w:line="240" w:lineRule="auto"/>
        <w:ind w:left="4536" w:hanging="2836"/>
      </w:pPr>
      <w:r w:rsidRPr="00437E28">
        <w:rPr>
          <w:i/>
        </w:rPr>
        <w:t>Submitted by:</w:t>
      </w:r>
      <w:r w:rsidRPr="00437E28">
        <w:tab/>
      </w:r>
      <w:r w:rsidR="00EB6A90" w:rsidRPr="00437E28">
        <w:t>Denis Turchenyak et al.</w:t>
      </w:r>
      <w:r w:rsidR="003A4DDE" w:rsidRPr="00437E28">
        <w:t xml:space="preserve"> </w:t>
      </w:r>
      <w:r w:rsidRPr="00437E28">
        <w:t>(represented by counsel</w:t>
      </w:r>
      <w:r w:rsidR="008406FD" w:rsidRPr="00437E28">
        <w:t>, Roman Kisliak</w:t>
      </w:r>
      <w:r w:rsidRPr="00437E28">
        <w:t>)</w:t>
      </w:r>
    </w:p>
    <w:p w:rsidR="009E31DB" w:rsidRPr="00437E28" w:rsidRDefault="009E31DB" w:rsidP="00E9490D">
      <w:pPr>
        <w:pStyle w:val="SingleTxtG"/>
        <w:spacing w:line="240" w:lineRule="auto"/>
        <w:ind w:left="4536" w:hanging="2836"/>
      </w:pPr>
      <w:r w:rsidRPr="00437E28">
        <w:rPr>
          <w:i/>
        </w:rPr>
        <w:t>Alleged victim</w:t>
      </w:r>
      <w:r w:rsidR="00EB6A90" w:rsidRPr="00437E28">
        <w:rPr>
          <w:i/>
        </w:rPr>
        <w:t>s</w:t>
      </w:r>
      <w:r w:rsidRPr="00437E28">
        <w:rPr>
          <w:i/>
        </w:rPr>
        <w:t>:</w:t>
      </w:r>
      <w:r w:rsidRPr="00437E28">
        <w:tab/>
        <w:t>The author</w:t>
      </w:r>
      <w:r w:rsidR="00EB6A90" w:rsidRPr="00437E28">
        <w:t>s</w:t>
      </w:r>
    </w:p>
    <w:p w:rsidR="009E31DB" w:rsidRPr="00437E28" w:rsidRDefault="009E31DB" w:rsidP="00E9490D">
      <w:pPr>
        <w:pStyle w:val="SingleTxtG"/>
        <w:spacing w:line="240" w:lineRule="auto"/>
        <w:ind w:left="4536" w:hanging="2836"/>
      </w:pPr>
      <w:r w:rsidRPr="00437E28">
        <w:rPr>
          <w:i/>
        </w:rPr>
        <w:t>State party:</w:t>
      </w:r>
      <w:r w:rsidRPr="00437E28">
        <w:tab/>
      </w:r>
      <w:smartTag w:uri="urn:schemas-microsoft-com:office:smarttags" w:element="place">
        <w:smartTag w:uri="urn:schemas-microsoft-com:office:smarttags" w:element="country-region">
          <w:r w:rsidRPr="00437E28">
            <w:t>Belarus</w:t>
          </w:r>
        </w:smartTag>
      </w:smartTag>
    </w:p>
    <w:p w:rsidR="009E31DB" w:rsidRPr="00437E28" w:rsidRDefault="009E31DB" w:rsidP="00E9490D">
      <w:pPr>
        <w:pStyle w:val="SingleTxtG"/>
        <w:spacing w:line="240" w:lineRule="auto"/>
        <w:ind w:left="4536" w:hanging="2836"/>
      </w:pPr>
      <w:r w:rsidRPr="00437E28">
        <w:rPr>
          <w:i/>
        </w:rPr>
        <w:t>Date of communication:</w:t>
      </w:r>
      <w:r w:rsidRPr="00437E28">
        <w:tab/>
      </w:r>
      <w:r w:rsidR="00EB6A90" w:rsidRPr="00437E28">
        <w:t>21 November 2009</w:t>
      </w:r>
      <w:r w:rsidRPr="00437E28">
        <w:t xml:space="preserve"> (initial submission)</w:t>
      </w:r>
      <w:r w:rsidRPr="00437E28">
        <w:tab/>
      </w:r>
    </w:p>
    <w:p w:rsidR="009E31DB" w:rsidRPr="00437E28" w:rsidRDefault="009E31DB" w:rsidP="00E9490D">
      <w:pPr>
        <w:pStyle w:val="SingleTxtG"/>
        <w:spacing w:line="240" w:lineRule="auto"/>
        <w:ind w:left="4536" w:hanging="2836"/>
      </w:pPr>
      <w:r w:rsidRPr="00437E28">
        <w:rPr>
          <w:i/>
        </w:rPr>
        <w:t>Document references:</w:t>
      </w:r>
      <w:r w:rsidRPr="00437E28">
        <w:tab/>
        <w:t xml:space="preserve">Special Rapporteur’s rule 97 decision, transmitted to the State party on </w:t>
      </w:r>
      <w:r w:rsidR="00EB6A90" w:rsidRPr="00437E28">
        <w:t>18 May 2010</w:t>
      </w:r>
      <w:r w:rsidRPr="00437E28">
        <w:t xml:space="preserve"> (not issued in </w:t>
      </w:r>
      <w:r w:rsidR="00DE3D53" w:rsidRPr="00437E28">
        <w:t xml:space="preserve">a </w:t>
      </w:r>
      <w:r w:rsidRPr="00437E28">
        <w:t>document form)</w:t>
      </w:r>
    </w:p>
    <w:p w:rsidR="009E31DB" w:rsidRDefault="009E31DB" w:rsidP="00E9490D">
      <w:pPr>
        <w:pStyle w:val="SingleTxtG"/>
        <w:spacing w:line="240" w:lineRule="auto"/>
        <w:ind w:left="4536" w:hanging="2836"/>
      </w:pPr>
      <w:r w:rsidRPr="00437E28">
        <w:rPr>
          <w:i/>
        </w:rPr>
        <w:t>Date of adoption of Views:</w:t>
      </w:r>
      <w:r w:rsidRPr="00437E28">
        <w:tab/>
      </w:r>
      <w:r w:rsidR="005D6057">
        <w:t>24</w:t>
      </w:r>
      <w:r w:rsidR="005D6057" w:rsidRPr="00437E28">
        <w:t xml:space="preserve"> </w:t>
      </w:r>
      <w:r w:rsidR="008406FD" w:rsidRPr="00437E28">
        <w:t>July</w:t>
      </w:r>
      <w:r w:rsidR="005B6A9F" w:rsidRPr="00437E28">
        <w:t xml:space="preserve"> </w:t>
      </w:r>
      <w:r w:rsidRPr="00437E28">
        <w:t>201</w:t>
      </w:r>
      <w:r w:rsidR="008406FD" w:rsidRPr="00437E28">
        <w:t>3</w:t>
      </w:r>
    </w:p>
    <w:p w:rsidR="009E31DB" w:rsidRPr="00437E28" w:rsidRDefault="009E31DB" w:rsidP="00E9490D">
      <w:pPr>
        <w:pStyle w:val="SingleTxtG"/>
        <w:spacing w:line="240" w:lineRule="auto"/>
        <w:ind w:left="4536" w:hanging="2836"/>
      </w:pPr>
      <w:r w:rsidRPr="00437E28">
        <w:rPr>
          <w:i/>
          <w:iCs/>
        </w:rPr>
        <w:t>Subject matter:</w:t>
      </w:r>
      <w:r w:rsidRPr="00437E28">
        <w:tab/>
      </w:r>
      <w:r w:rsidR="00E9490D">
        <w:tab/>
      </w:r>
      <w:r w:rsidR="00EB6A90" w:rsidRPr="00437E28">
        <w:t xml:space="preserve">Unfair </w:t>
      </w:r>
      <w:r w:rsidR="00C474ED" w:rsidRPr="00437E28">
        <w:t>trial</w:t>
      </w:r>
      <w:r w:rsidR="00EB6A90" w:rsidRPr="00437E28">
        <w:t>; freedom of expression; peaceful assembly; dis</w:t>
      </w:r>
      <w:r w:rsidR="000F4396" w:rsidRPr="00437E28">
        <w:t>crimination</w:t>
      </w:r>
      <w:r w:rsidR="00EB6A90" w:rsidRPr="00437E28">
        <w:t xml:space="preserve"> </w:t>
      </w:r>
      <w:r w:rsidRPr="00437E28">
        <w:t xml:space="preserve"> </w:t>
      </w:r>
    </w:p>
    <w:p w:rsidR="009E31DB" w:rsidRPr="00437E28" w:rsidRDefault="009E31DB" w:rsidP="00E9490D">
      <w:pPr>
        <w:pStyle w:val="SingleTxtG"/>
        <w:spacing w:line="240" w:lineRule="auto"/>
        <w:ind w:left="4536" w:hanging="2836"/>
      </w:pPr>
      <w:r w:rsidRPr="00437E28">
        <w:rPr>
          <w:i/>
          <w:iCs/>
        </w:rPr>
        <w:t xml:space="preserve">Substantive issues: </w:t>
      </w:r>
      <w:r w:rsidRPr="00437E28">
        <w:rPr>
          <w:i/>
          <w:iCs/>
        </w:rPr>
        <w:tab/>
      </w:r>
      <w:r w:rsidR="000F4396" w:rsidRPr="00437E28">
        <w:t xml:space="preserve">Unfair </w:t>
      </w:r>
      <w:r w:rsidR="00C474ED" w:rsidRPr="00437E28">
        <w:t>trial</w:t>
      </w:r>
      <w:r w:rsidR="000F4396" w:rsidRPr="00437E28">
        <w:t xml:space="preserve">; freedom of expression; </w:t>
      </w:r>
      <w:r w:rsidR="00C474ED" w:rsidRPr="00437E28">
        <w:t xml:space="preserve">right to </w:t>
      </w:r>
      <w:r w:rsidR="000F4396" w:rsidRPr="00437E28">
        <w:t xml:space="preserve">peaceful assembly; discrimination </w:t>
      </w:r>
    </w:p>
    <w:p w:rsidR="009E31DB" w:rsidRPr="00437E28" w:rsidRDefault="009E31DB" w:rsidP="00E9490D">
      <w:pPr>
        <w:pStyle w:val="SingleTxtG"/>
        <w:spacing w:line="240" w:lineRule="auto"/>
        <w:ind w:left="4536" w:hanging="2836"/>
      </w:pPr>
      <w:r w:rsidRPr="00437E28">
        <w:rPr>
          <w:i/>
          <w:iCs/>
        </w:rPr>
        <w:t>Procedural issue</w:t>
      </w:r>
      <w:r w:rsidR="003A4DDE" w:rsidRPr="00437E28">
        <w:rPr>
          <w:i/>
          <w:iCs/>
        </w:rPr>
        <w:t>s</w:t>
      </w:r>
      <w:r w:rsidRPr="00437E28">
        <w:rPr>
          <w:i/>
          <w:iCs/>
        </w:rPr>
        <w:t xml:space="preserve">: </w:t>
      </w:r>
      <w:r w:rsidRPr="00437E28">
        <w:rPr>
          <w:i/>
          <w:iCs/>
        </w:rPr>
        <w:tab/>
      </w:r>
      <w:r w:rsidR="00EE07B9" w:rsidRPr="00437E28">
        <w:rPr>
          <w:iCs/>
        </w:rPr>
        <w:t>Exhaustion of domestic remedies; level of substantiation of claim</w:t>
      </w:r>
    </w:p>
    <w:p w:rsidR="009E31DB" w:rsidRPr="00437E28" w:rsidRDefault="009E31DB" w:rsidP="00E9490D">
      <w:pPr>
        <w:pStyle w:val="SingleTxtG"/>
        <w:spacing w:line="240" w:lineRule="auto"/>
        <w:ind w:left="4536" w:hanging="2836"/>
      </w:pPr>
      <w:r w:rsidRPr="00437E28">
        <w:rPr>
          <w:i/>
          <w:iCs/>
        </w:rPr>
        <w:t>Articles of the Covenant:</w:t>
      </w:r>
      <w:r w:rsidRPr="00437E28">
        <w:t xml:space="preserve"> </w:t>
      </w:r>
      <w:r w:rsidRPr="00437E28">
        <w:tab/>
      </w:r>
      <w:r w:rsidR="00EE07B9" w:rsidRPr="00437E28">
        <w:t>14, paragraph 1</w:t>
      </w:r>
      <w:r w:rsidR="00EB6A90" w:rsidRPr="00437E28">
        <w:t>; 19, paragraph 2</w:t>
      </w:r>
      <w:r w:rsidR="00260508" w:rsidRPr="00437E28">
        <w:t>;</w:t>
      </w:r>
      <w:r w:rsidR="00EB6A90" w:rsidRPr="00437E28">
        <w:t xml:space="preserve"> 21</w:t>
      </w:r>
      <w:r w:rsidR="00E9490D">
        <w:t xml:space="preserve"> </w:t>
      </w:r>
      <w:r w:rsidR="00EB6A90" w:rsidRPr="00437E28">
        <w:t>and 26</w:t>
      </w:r>
    </w:p>
    <w:p w:rsidR="00EE07B9" w:rsidRPr="00437E28" w:rsidRDefault="009E31DB" w:rsidP="00E9490D">
      <w:pPr>
        <w:pStyle w:val="SingleTxtG"/>
        <w:spacing w:line="240" w:lineRule="auto"/>
        <w:ind w:left="4536" w:hanging="2836"/>
      </w:pPr>
      <w:r w:rsidRPr="00437E28">
        <w:rPr>
          <w:i/>
          <w:iCs/>
        </w:rPr>
        <w:t>Art</w:t>
      </w:r>
      <w:r w:rsidR="00E965B5" w:rsidRPr="00437E28">
        <w:rPr>
          <w:i/>
          <w:iCs/>
        </w:rPr>
        <w:t>icle</w:t>
      </w:r>
      <w:r w:rsidR="00F51878" w:rsidRPr="00437E28">
        <w:rPr>
          <w:i/>
          <w:iCs/>
        </w:rPr>
        <w:t>s</w:t>
      </w:r>
      <w:r w:rsidR="00E965B5" w:rsidRPr="00437E28">
        <w:rPr>
          <w:i/>
          <w:iCs/>
        </w:rPr>
        <w:t xml:space="preserve"> of the Optional Protocol:  </w:t>
      </w:r>
      <w:r w:rsidR="00416E2F">
        <w:rPr>
          <w:i/>
          <w:iCs/>
        </w:rPr>
        <w:tab/>
      </w:r>
      <w:r w:rsidR="00EE07B9" w:rsidRPr="00437E28">
        <w:rPr>
          <w:iCs/>
        </w:rPr>
        <w:t xml:space="preserve">2; </w:t>
      </w:r>
      <w:r w:rsidR="00EE07B9" w:rsidRPr="00437E28">
        <w:t xml:space="preserve">5, paragraph 2 </w:t>
      </w:r>
      <w:r w:rsidR="00CB0526" w:rsidRPr="00437E28">
        <w:t xml:space="preserve">(a) and </w:t>
      </w:r>
      <w:r w:rsidR="00EE07B9" w:rsidRPr="00437E28">
        <w:t>(b)</w:t>
      </w:r>
    </w:p>
    <w:p w:rsidR="009E31DB" w:rsidRPr="00437E28" w:rsidRDefault="009E31DB" w:rsidP="005D6057">
      <w:pPr>
        <w:pStyle w:val="SingleTxtG"/>
        <w:spacing w:line="240" w:lineRule="auto"/>
        <w:jc w:val="center"/>
        <w:rPr>
          <w:bCs/>
          <w:iCs/>
        </w:rPr>
      </w:pPr>
      <w:r w:rsidRPr="00437E28">
        <w:tab/>
      </w:r>
    </w:p>
    <w:p w:rsidR="009E31DB" w:rsidRPr="00437E28" w:rsidRDefault="009E31DB" w:rsidP="003A6411">
      <w:pPr>
        <w:pStyle w:val="HChG"/>
        <w:spacing w:line="240" w:lineRule="auto"/>
      </w:pPr>
      <w:r w:rsidRPr="00437E28">
        <w:br w:type="page"/>
      </w:r>
      <w:r w:rsidRPr="00437E28">
        <w:lastRenderedPageBreak/>
        <w:t>Annex</w:t>
      </w:r>
    </w:p>
    <w:p w:rsidR="009E31DB" w:rsidRPr="00437E28" w:rsidRDefault="009E31DB" w:rsidP="003A6411">
      <w:pPr>
        <w:pStyle w:val="HChG"/>
        <w:spacing w:line="240" w:lineRule="auto"/>
        <w:rPr>
          <w:bCs/>
        </w:rPr>
      </w:pPr>
      <w:r w:rsidRPr="00437E28">
        <w:tab/>
      </w:r>
      <w:r w:rsidRPr="00437E28">
        <w:tab/>
        <w:t>Views of the Human Rights Committee under article 5, paragraph 4, of the Optional Protocol to the International Covenant on Civil and Political rights (</w:t>
      </w:r>
      <w:r w:rsidR="00E965B5" w:rsidRPr="00437E28">
        <w:t>108</w:t>
      </w:r>
      <w:r w:rsidR="00DE5B51" w:rsidRPr="00437E28">
        <w:t xml:space="preserve">th </w:t>
      </w:r>
      <w:r w:rsidRPr="00437E28">
        <w:rPr>
          <w:bCs/>
        </w:rPr>
        <w:t>session)</w:t>
      </w:r>
    </w:p>
    <w:p w:rsidR="009E31DB" w:rsidRPr="0007350B" w:rsidRDefault="009E31DB" w:rsidP="003A6411">
      <w:pPr>
        <w:pStyle w:val="SingleTxtG"/>
        <w:spacing w:line="240" w:lineRule="auto"/>
        <w:rPr>
          <w:b/>
          <w:bCs/>
          <w:sz w:val="24"/>
          <w:szCs w:val="24"/>
        </w:rPr>
      </w:pPr>
      <w:r w:rsidRPr="0007350B">
        <w:rPr>
          <w:sz w:val="24"/>
          <w:szCs w:val="24"/>
        </w:rPr>
        <w:t>concerning</w:t>
      </w:r>
    </w:p>
    <w:p w:rsidR="009E31DB" w:rsidRPr="0007350B" w:rsidRDefault="009E31DB" w:rsidP="003A6411">
      <w:pPr>
        <w:pStyle w:val="H1G"/>
        <w:spacing w:line="240" w:lineRule="auto"/>
        <w:rPr>
          <w:szCs w:val="24"/>
        </w:rPr>
      </w:pPr>
      <w:r w:rsidRPr="0007350B">
        <w:rPr>
          <w:szCs w:val="24"/>
        </w:rPr>
        <w:tab/>
      </w:r>
      <w:r w:rsidRPr="0007350B">
        <w:rPr>
          <w:szCs w:val="24"/>
        </w:rPr>
        <w:tab/>
        <w:t xml:space="preserve">Communication No. </w:t>
      </w:r>
      <w:r w:rsidR="00EB6A90" w:rsidRPr="0007350B">
        <w:rPr>
          <w:szCs w:val="24"/>
        </w:rPr>
        <w:t>1948/2010</w:t>
      </w:r>
      <w:r w:rsidR="00AD7A02">
        <w:rPr>
          <w:szCs w:val="24"/>
        </w:rPr>
        <w:t>*</w:t>
      </w:r>
    </w:p>
    <w:p w:rsidR="00EB6A90" w:rsidRPr="001461F7" w:rsidRDefault="009E31DB" w:rsidP="00E9490D">
      <w:pPr>
        <w:pStyle w:val="SingleTxtG"/>
        <w:spacing w:line="240" w:lineRule="auto"/>
        <w:ind w:left="4536" w:hanging="2836"/>
      </w:pPr>
      <w:r w:rsidRPr="001461F7">
        <w:rPr>
          <w:i/>
        </w:rPr>
        <w:t>Submitted by:</w:t>
      </w:r>
      <w:r w:rsidRPr="0007350B">
        <w:rPr>
          <w:sz w:val="24"/>
          <w:szCs w:val="24"/>
        </w:rPr>
        <w:tab/>
      </w:r>
      <w:r w:rsidR="00EB6A90" w:rsidRPr="001461F7">
        <w:t>Denis Turchenyak et al. (represented by counsel, Roman Kisliak)</w:t>
      </w:r>
    </w:p>
    <w:p w:rsidR="009E31DB" w:rsidRPr="001461F7" w:rsidRDefault="009E31DB" w:rsidP="00E9490D">
      <w:pPr>
        <w:pStyle w:val="SingleTxtG"/>
        <w:spacing w:line="240" w:lineRule="auto"/>
        <w:ind w:left="4536" w:hanging="2836"/>
      </w:pPr>
      <w:r w:rsidRPr="001461F7">
        <w:rPr>
          <w:i/>
        </w:rPr>
        <w:t>Alleged victim</w:t>
      </w:r>
      <w:r w:rsidR="00EB6A90" w:rsidRPr="001461F7">
        <w:rPr>
          <w:i/>
        </w:rPr>
        <w:t>s</w:t>
      </w:r>
      <w:r w:rsidRPr="001461F7">
        <w:rPr>
          <w:i/>
        </w:rPr>
        <w:t>:</w:t>
      </w:r>
      <w:r w:rsidRPr="001461F7">
        <w:tab/>
        <w:t>The author</w:t>
      </w:r>
      <w:r w:rsidR="00EB6A90" w:rsidRPr="001461F7">
        <w:t>s</w:t>
      </w:r>
    </w:p>
    <w:p w:rsidR="009E31DB" w:rsidRPr="001461F7" w:rsidRDefault="009E31DB" w:rsidP="00E9490D">
      <w:pPr>
        <w:pStyle w:val="SingleTxtG"/>
        <w:spacing w:line="240" w:lineRule="auto"/>
        <w:ind w:left="4536" w:hanging="2836"/>
      </w:pPr>
      <w:r w:rsidRPr="001461F7">
        <w:rPr>
          <w:i/>
        </w:rPr>
        <w:t>State party:</w:t>
      </w:r>
      <w:r w:rsidRPr="001461F7">
        <w:tab/>
      </w:r>
      <w:smartTag w:uri="urn:schemas-microsoft-com:office:smarttags" w:element="place">
        <w:smartTag w:uri="urn:schemas-microsoft-com:office:smarttags" w:element="country-region">
          <w:r w:rsidRPr="001461F7">
            <w:t>Belarus</w:t>
          </w:r>
        </w:smartTag>
      </w:smartTag>
    </w:p>
    <w:p w:rsidR="009E31DB" w:rsidRDefault="009E31DB" w:rsidP="00E9490D">
      <w:pPr>
        <w:pStyle w:val="SingleTxtG"/>
        <w:spacing w:line="240" w:lineRule="auto"/>
        <w:ind w:left="4536" w:hanging="2836"/>
      </w:pPr>
      <w:r w:rsidRPr="001461F7">
        <w:rPr>
          <w:i/>
        </w:rPr>
        <w:t>Date of communication:</w:t>
      </w:r>
      <w:r w:rsidRPr="001461F7">
        <w:tab/>
      </w:r>
      <w:r w:rsidR="00EB6A90" w:rsidRPr="001461F7">
        <w:t>21 November 2009 (initial submission)</w:t>
      </w:r>
    </w:p>
    <w:p w:rsidR="009E31DB" w:rsidRPr="0007350B" w:rsidRDefault="009E31DB" w:rsidP="003A6411">
      <w:pPr>
        <w:pStyle w:val="SingleTxtG"/>
        <w:spacing w:line="240" w:lineRule="auto"/>
        <w:rPr>
          <w:sz w:val="24"/>
          <w:szCs w:val="24"/>
        </w:rPr>
      </w:pPr>
      <w:r w:rsidRPr="001461F7">
        <w:tab/>
      </w:r>
      <w:r w:rsidRPr="00E9490D">
        <w:rPr>
          <w:i/>
        </w:rPr>
        <w:t>The Human Rights Committee</w:t>
      </w:r>
      <w:r w:rsidRPr="001461F7">
        <w:t>, established under article 28 of the International Covenant on Civil and Political Rights</w:t>
      </w:r>
      <w:r w:rsidRPr="0007350B">
        <w:rPr>
          <w:sz w:val="24"/>
          <w:szCs w:val="24"/>
        </w:rPr>
        <w:t xml:space="preserve">, </w:t>
      </w:r>
    </w:p>
    <w:p w:rsidR="009E31DB" w:rsidRPr="001461F7" w:rsidRDefault="009E31DB" w:rsidP="003A6411">
      <w:pPr>
        <w:pStyle w:val="SingleTxtG"/>
        <w:spacing w:line="240" w:lineRule="auto"/>
      </w:pPr>
      <w:r w:rsidRPr="001461F7">
        <w:tab/>
      </w:r>
      <w:r w:rsidRPr="001461F7">
        <w:rPr>
          <w:i/>
        </w:rPr>
        <w:t>Meeting on</w:t>
      </w:r>
      <w:r w:rsidRPr="001461F7">
        <w:t xml:space="preserve"> </w:t>
      </w:r>
      <w:r w:rsidR="005D6057">
        <w:t>24</w:t>
      </w:r>
      <w:r w:rsidR="005D6057" w:rsidRPr="001461F7">
        <w:t xml:space="preserve"> </w:t>
      </w:r>
      <w:r w:rsidR="00E965B5" w:rsidRPr="001461F7">
        <w:t>July</w:t>
      </w:r>
      <w:r w:rsidR="00DE5B51" w:rsidRPr="001461F7">
        <w:t xml:space="preserve"> </w:t>
      </w:r>
      <w:r w:rsidRPr="001461F7">
        <w:t>201</w:t>
      </w:r>
      <w:r w:rsidR="00E965B5" w:rsidRPr="001461F7">
        <w:t>3</w:t>
      </w:r>
      <w:r w:rsidRPr="001461F7">
        <w:t>,</w:t>
      </w:r>
    </w:p>
    <w:p w:rsidR="009E31DB" w:rsidRPr="001461F7" w:rsidRDefault="009E31DB" w:rsidP="001461F7">
      <w:pPr>
        <w:pStyle w:val="SingleTxtG"/>
      </w:pPr>
      <w:r w:rsidRPr="001461F7">
        <w:tab/>
      </w:r>
      <w:r w:rsidRPr="00E9490D">
        <w:rPr>
          <w:i/>
        </w:rPr>
        <w:t>Having concluded</w:t>
      </w:r>
      <w:r w:rsidRPr="001461F7">
        <w:t xml:space="preserve"> its consideration of communication No. </w:t>
      </w:r>
      <w:r w:rsidR="00EB6A90" w:rsidRPr="001461F7">
        <w:t>1948/2010</w:t>
      </w:r>
      <w:r w:rsidRPr="001461F7">
        <w:t>, submitted to the Human Rights Committee by</w:t>
      </w:r>
      <w:r w:rsidR="008A4D35">
        <w:t xml:space="preserve"> Mr.</w:t>
      </w:r>
      <w:r w:rsidRPr="001461F7">
        <w:t xml:space="preserve"> </w:t>
      </w:r>
      <w:r w:rsidR="00EB6A90" w:rsidRPr="001461F7">
        <w:t>Denis Turchenyak et al</w:t>
      </w:r>
      <w:r w:rsidR="00BF101C" w:rsidRPr="001461F7">
        <w:t>.</w:t>
      </w:r>
      <w:r w:rsidR="00E9490D">
        <w:t>,</w:t>
      </w:r>
      <w:r w:rsidR="00EB6A90" w:rsidRPr="001461F7">
        <w:t xml:space="preserve"> </w:t>
      </w:r>
      <w:r w:rsidRPr="001461F7">
        <w:t>under the Optional Protocol to the International Covenant on Civil and Political Rights,</w:t>
      </w:r>
    </w:p>
    <w:p w:rsidR="009E31DB" w:rsidRPr="001461F7" w:rsidRDefault="009E31DB" w:rsidP="003A6411">
      <w:pPr>
        <w:pStyle w:val="SingleTxtG"/>
        <w:spacing w:line="240" w:lineRule="auto"/>
      </w:pPr>
      <w:r w:rsidRPr="001461F7">
        <w:tab/>
      </w:r>
      <w:r w:rsidRPr="001461F7">
        <w:rPr>
          <w:i/>
        </w:rPr>
        <w:t>Having taken into account</w:t>
      </w:r>
      <w:r w:rsidRPr="001461F7">
        <w:t xml:space="preserve"> all written information made available to it by the author</w:t>
      </w:r>
      <w:r w:rsidR="00E9490D">
        <w:t>s</w:t>
      </w:r>
      <w:r w:rsidRPr="001461F7">
        <w:t xml:space="preserve"> of the communication and the State party,</w:t>
      </w:r>
    </w:p>
    <w:p w:rsidR="009E31DB" w:rsidRPr="001461F7" w:rsidRDefault="009E31DB" w:rsidP="003A6411">
      <w:pPr>
        <w:pStyle w:val="SingleTxtG"/>
        <w:spacing w:line="240" w:lineRule="auto"/>
      </w:pPr>
      <w:r w:rsidRPr="001461F7">
        <w:tab/>
      </w:r>
      <w:r w:rsidRPr="001461F7">
        <w:rPr>
          <w:i/>
        </w:rPr>
        <w:t xml:space="preserve">Adopts </w:t>
      </w:r>
      <w:r w:rsidRPr="00E9490D">
        <w:t>the following</w:t>
      </w:r>
      <w:r w:rsidRPr="001461F7">
        <w:t>:</w:t>
      </w:r>
    </w:p>
    <w:p w:rsidR="009E31DB" w:rsidRPr="001461F7" w:rsidRDefault="009E31DB" w:rsidP="001461F7">
      <w:pPr>
        <w:pStyle w:val="H1G"/>
      </w:pPr>
      <w:r w:rsidRPr="001461F7">
        <w:tab/>
      </w:r>
      <w:r w:rsidRPr="001461F7">
        <w:tab/>
        <w:t>Views under article 5, paragraph 4, of the Optional Protocol</w:t>
      </w:r>
    </w:p>
    <w:p w:rsidR="009E31DB" w:rsidRPr="001461F7" w:rsidRDefault="009E31DB" w:rsidP="001461F7">
      <w:pPr>
        <w:pStyle w:val="SingleTxtG"/>
      </w:pPr>
      <w:r w:rsidRPr="001461F7">
        <w:t>1.</w:t>
      </w:r>
      <w:r w:rsidR="008A4D35">
        <w:tab/>
      </w:r>
      <w:r w:rsidRPr="001461F7">
        <w:t>The author</w:t>
      </w:r>
      <w:r w:rsidR="00EB6A90" w:rsidRPr="001461F7">
        <w:t>s</w:t>
      </w:r>
      <w:r w:rsidRPr="001461F7">
        <w:t xml:space="preserve"> </w:t>
      </w:r>
      <w:r w:rsidR="00327309">
        <w:t xml:space="preserve">of the communication </w:t>
      </w:r>
      <w:r w:rsidR="00EB6A90" w:rsidRPr="001461F7">
        <w:t>are</w:t>
      </w:r>
      <w:r w:rsidRPr="001461F7">
        <w:t xml:space="preserve"> </w:t>
      </w:r>
      <w:r w:rsidR="00EB6A90" w:rsidRPr="001461F7">
        <w:t xml:space="preserve">Denis Turchenyak, </w:t>
      </w:r>
      <w:r w:rsidR="00BF101C" w:rsidRPr="001461F7">
        <w:t xml:space="preserve">born in 1963, </w:t>
      </w:r>
      <w:r w:rsidR="008A4D35">
        <w:t xml:space="preserve">Mrs. </w:t>
      </w:r>
      <w:r w:rsidR="00BF101C" w:rsidRPr="001461F7">
        <w:t xml:space="preserve">Irina Lavrovskaya, born in 1951, </w:t>
      </w:r>
      <w:r w:rsidR="008A4D35">
        <w:t xml:space="preserve">Mr. </w:t>
      </w:r>
      <w:r w:rsidR="00BF101C" w:rsidRPr="001461F7">
        <w:t xml:space="preserve">Valery Fominsky, born in 1974 and </w:t>
      </w:r>
      <w:r w:rsidR="008A4D35">
        <w:t xml:space="preserve">Mr. </w:t>
      </w:r>
      <w:r w:rsidR="00BF101C" w:rsidRPr="001461F7">
        <w:t>Roman Kis</w:t>
      </w:r>
      <w:r w:rsidR="005B6C49">
        <w:t>l</w:t>
      </w:r>
      <w:r w:rsidR="00BE7FEE">
        <w:t>i</w:t>
      </w:r>
      <w:r w:rsidR="00BF101C" w:rsidRPr="001461F7">
        <w:t>ak</w:t>
      </w:r>
      <w:r w:rsidR="00C474ED" w:rsidRPr="007939B7">
        <w:rPr>
          <w:rStyle w:val="FootnoteReference"/>
          <w:sz w:val="20"/>
        </w:rPr>
        <w:footnoteReference w:id="2"/>
      </w:r>
      <w:r w:rsidR="00BF101C" w:rsidRPr="001461F7">
        <w:t>, born in 1975, all Belarus</w:t>
      </w:r>
      <w:r w:rsidR="0027608E" w:rsidRPr="001461F7">
        <w:t>ian</w:t>
      </w:r>
      <w:r w:rsidR="00BF101C" w:rsidRPr="001461F7">
        <w:t xml:space="preserve"> nationals</w:t>
      </w:r>
      <w:r w:rsidR="00632AF2" w:rsidRPr="001461F7">
        <w:t xml:space="preserve">. </w:t>
      </w:r>
      <w:r w:rsidR="00BF101C" w:rsidRPr="001461F7">
        <w:t>They claim to be victims of violations by Belarus of their rights under article 14, parag</w:t>
      </w:r>
      <w:r w:rsidR="00C474ED" w:rsidRPr="001461F7">
        <w:t>raph 1; article 19, paragraph 2;</w:t>
      </w:r>
      <w:r w:rsidR="00BF101C" w:rsidRPr="001461F7">
        <w:t xml:space="preserve"> article 21 and article 26 of the International Covenant on Civil and Political Rights. </w:t>
      </w:r>
      <w:r w:rsidRPr="001461F7">
        <w:t xml:space="preserve">The Optional Protocol entered into force for the State party on 30 December 1992. </w:t>
      </w:r>
    </w:p>
    <w:p w:rsidR="009E31DB" w:rsidRPr="001461F7" w:rsidRDefault="009E31DB" w:rsidP="001461F7">
      <w:pPr>
        <w:pStyle w:val="H23G"/>
      </w:pPr>
      <w:r w:rsidRPr="001461F7">
        <w:lastRenderedPageBreak/>
        <w:tab/>
      </w:r>
      <w:r w:rsidRPr="001461F7">
        <w:tab/>
        <w:t xml:space="preserve">The facts as </w:t>
      </w:r>
      <w:r w:rsidR="00B7224B">
        <w:t>submit</w:t>
      </w:r>
      <w:r w:rsidR="00B7224B" w:rsidRPr="001461F7">
        <w:t xml:space="preserve">ted </w:t>
      </w:r>
      <w:r w:rsidRPr="001461F7">
        <w:t>by the author</w:t>
      </w:r>
      <w:r w:rsidR="00BF101C" w:rsidRPr="001461F7">
        <w:t>s</w:t>
      </w:r>
    </w:p>
    <w:p w:rsidR="006278A9" w:rsidRPr="0007350B" w:rsidRDefault="007F5AD2" w:rsidP="001461F7">
      <w:pPr>
        <w:pStyle w:val="SingleTxtG"/>
      </w:pPr>
      <w:r w:rsidRPr="0007350B">
        <w:t>2.1</w:t>
      </w:r>
      <w:r w:rsidR="006278A9" w:rsidRPr="0007350B">
        <w:t xml:space="preserve"> </w:t>
      </w:r>
      <w:r w:rsidR="006278A9" w:rsidRPr="0007350B">
        <w:tab/>
        <w:t xml:space="preserve">On 30 December 2008, the authors filed an application with </w:t>
      </w:r>
      <w:r w:rsidR="00D05BF5" w:rsidRPr="0007350B">
        <w:t>Brest City Executive Committee</w:t>
      </w:r>
      <w:r w:rsidR="006278A9" w:rsidRPr="0007350B">
        <w:t xml:space="preserve"> </w:t>
      </w:r>
      <w:r w:rsidR="00D05BF5" w:rsidRPr="0007350B">
        <w:t>requesting</w:t>
      </w:r>
      <w:r w:rsidR="006278A9" w:rsidRPr="0007350B">
        <w:t xml:space="preserve"> to hold, on three consecutive days</w:t>
      </w:r>
      <w:r w:rsidR="00AA4F1E" w:rsidRPr="0007350B">
        <w:t xml:space="preserve"> (15, 16 and 17 January 2009), </w:t>
      </w:r>
      <w:r w:rsidR="00EE2381" w:rsidRPr="0007350B">
        <w:t>pick</w:t>
      </w:r>
      <w:r w:rsidR="00AA4F1E" w:rsidRPr="0007350B">
        <w:t xml:space="preserve">ets </w:t>
      </w:r>
      <w:r w:rsidR="006278A9" w:rsidRPr="0007350B">
        <w:t xml:space="preserve">with the purpose of drawing citizens’ attention to the problems that occurred in the course of </w:t>
      </w:r>
      <w:r w:rsidR="00B7224B">
        <w:t xml:space="preserve">the </w:t>
      </w:r>
      <w:r w:rsidR="006278A9" w:rsidRPr="0007350B">
        <w:t>preparation of a monument devoted to the 1</w:t>
      </w:r>
      <w:r w:rsidR="004F523A">
        <w:t>,</w:t>
      </w:r>
      <w:r w:rsidR="006278A9" w:rsidRPr="0007350B">
        <w:t>000</w:t>
      </w:r>
      <w:r w:rsidR="006278A9" w:rsidRPr="00B7224B">
        <w:t xml:space="preserve">th </w:t>
      </w:r>
      <w:r w:rsidR="006278A9" w:rsidRPr="0007350B">
        <w:t>anniversary of Brest. In the applic</w:t>
      </w:r>
      <w:r w:rsidR="00AA4F1E" w:rsidRPr="0007350B">
        <w:t>ation, they specified that the pi</w:t>
      </w:r>
      <w:r w:rsidR="00EE2381" w:rsidRPr="0007350B">
        <w:t>cke</w:t>
      </w:r>
      <w:r w:rsidR="00AA4F1E" w:rsidRPr="0007350B">
        <w:t>ts</w:t>
      </w:r>
      <w:r w:rsidR="006278A9" w:rsidRPr="0007350B">
        <w:t xml:space="preserve"> would be conducted by 10 pe</w:t>
      </w:r>
      <w:r w:rsidR="00B7224B">
        <w:t>ople</w:t>
      </w:r>
      <w:r w:rsidR="006278A9" w:rsidRPr="0007350B">
        <w:t xml:space="preserve">, including themselves, </w:t>
      </w:r>
      <w:r w:rsidR="00EE2381" w:rsidRPr="0007350B">
        <w:t>from 1</w:t>
      </w:r>
      <w:r w:rsidR="003D0E94">
        <w:t xml:space="preserve"> p.m.</w:t>
      </w:r>
      <w:r w:rsidR="00EE2381" w:rsidRPr="0007350B">
        <w:t xml:space="preserve"> to </w:t>
      </w:r>
      <w:r w:rsidR="003D0E94">
        <w:t>3 p.m.</w:t>
      </w:r>
      <w:r w:rsidR="00EE2381" w:rsidRPr="0007350B">
        <w:t xml:space="preserve">, </w:t>
      </w:r>
      <w:r w:rsidR="006278A9" w:rsidRPr="0007350B">
        <w:t xml:space="preserve">and that the intended location was </w:t>
      </w:r>
      <w:r w:rsidR="00C474ED" w:rsidRPr="0007350B">
        <w:t>a</w:t>
      </w:r>
      <w:r w:rsidR="006278A9" w:rsidRPr="0007350B">
        <w:t xml:space="preserve"> pedestrian zone on </w:t>
      </w:r>
      <w:smartTag w:uri="urn:schemas-microsoft-com:office:smarttags" w:element="Street">
        <w:smartTag w:uri="urn:schemas-microsoft-com:office:smarttags" w:element="address">
          <w:r w:rsidR="006278A9" w:rsidRPr="0007350B">
            <w:t>Gogol Street</w:t>
          </w:r>
        </w:smartTag>
      </w:smartTag>
      <w:r w:rsidR="006278A9" w:rsidRPr="0007350B">
        <w:t xml:space="preserve"> in </w:t>
      </w:r>
      <w:smartTag w:uri="urn:schemas-microsoft-com:office:smarttags" w:element="place">
        <w:smartTag w:uri="urn:schemas-microsoft-com:office:smarttags" w:element="City">
          <w:r w:rsidR="006278A9" w:rsidRPr="0007350B">
            <w:t>Brest</w:t>
          </w:r>
        </w:smartTag>
      </w:smartTag>
      <w:r w:rsidR="006278A9" w:rsidRPr="0007350B">
        <w:t xml:space="preserve">. </w:t>
      </w:r>
    </w:p>
    <w:p w:rsidR="006278A9" w:rsidRPr="0007350B" w:rsidRDefault="006278A9" w:rsidP="001461F7">
      <w:pPr>
        <w:pStyle w:val="SingleTxtG"/>
      </w:pPr>
      <w:r w:rsidRPr="0007350B">
        <w:t xml:space="preserve">2.2 </w:t>
      </w:r>
      <w:r w:rsidRPr="0007350B">
        <w:tab/>
        <w:t xml:space="preserve">The application was reviewed by the Deputy </w:t>
      </w:r>
      <w:r w:rsidR="00EE2381" w:rsidRPr="0007350B">
        <w:t>Chair</w:t>
      </w:r>
      <w:r w:rsidRPr="0007350B">
        <w:t xml:space="preserve"> of </w:t>
      </w:r>
      <w:r w:rsidR="00C474ED" w:rsidRPr="0007350B">
        <w:t xml:space="preserve">Brest City </w:t>
      </w:r>
      <w:r w:rsidRPr="0007350B">
        <w:t xml:space="preserve">Executive Committee, who, on 9 January 2009, issued a decision </w:t>
      </w:r>
      <w:r w:rsidR="00EE2381" w:rsidRPr="0007350B">
        <w:t>refusing to allow</w:t>
      </w:r>
      <w:r w:rsidRPr="0007350B">
        <w:t xml:space="preserve"> the conduct of </w:t>
      </w:r>
      <w:r w:rsidR="00EE2381" w:rsidRPr="0007350B">
        <w:t>pickets</w:t>
      </w:r>
      <w:r w:rsidRPr="0007350B">
        <w:t xml:space="preserve"> at the </w:t>
      </w:r>
      <w:r w:rsidR="004F523A">
        <w:t>stated</w:t>
      </w:r>
      <w:r w:rsidRPr="0007350B">
        <w:t xml:space="preserve"> location</w:t>
      </w:r>
      <w:r w:rsidR="00EE2381" w:rsidRPr="0007350B">
        <w:t>. The refusal was based on</w:t>
      </w:r>
      <w:r w:rsidRPr="0007350B">
        <w:t xml:space="preserve"> </w:t>
      </w:r>
      <w:r w:rsidR="00D05BF5" w:rsidRPr="0007350B">
        <w:t>Brest City Executive Committee’s</w:t>
      </w:r>
      <w:r w:rsidR="005B6C49">
        <w:t xml:space="preserve"> by-</w:t>
      </w:r>
      <w:r w:rsidR="00BE7FEE">
        <w:t>law</w:t>
      </w:r>
      <w:r w:rsidRPr="0007350B">
        <w:t xml:space="preserve"> </w:t>
      </w:r>
      <w:r w:rsidR="00260508" w:rsidRPr="0007350B">
        <w:t xml:space="preserve">decision </w:t>
      </w:r>
      <w:r w:rsidRPr="0007350B">
        <w:t>No</w:t>
      </w:r>
      <w:r w:rsidR="00EE2381" w:rsidRPr="0007350B">
        <w:t>.</w:t>
      </w:r>
      <w:r w:rsidRPr="0007350B">
        <w:t xml:space="preserve"> 1715 of 25 October 2006 (“</w:t>
      </w:r>
      <w:r w:rsidR="00C474ED" w:rsidRPr="0007350B">
        <w:t>As regards</w:t>
      </w:r>
      <w:r w:rsidRPr="0007350B">
        <w:t xml:space="preserve"> the determination of a permanent location for the conduct of public gatherings in Brest”), which determines that public gatherings can only be organized in </w:t>
      </w:r>
      <w:r w:rsidR="00111364" w:rsidRPr="0007350B">
        <w:t xml:space="preserve">the </w:t>
      </w:r>
      <w:r w:rsidR="00260508" w:rsidRPr="0007350B">
        <w:t>“</w:t>
      </w:r>
      <w:r w:rsidR="00111364" w:rsidRPr="0007350B">
        <w:t>Lokomotiv</w:t>
      </w:r>
      <w:r w:rsidR="00260508" w:rsidRPr="0007350B">
        <w:t>”</w:t>
      </w:r>
      <w:r w:rsidR="004F523A">
        <w:t xml:space="preserve"> stadium</w:t>
      </w:r>
      <w:r w:rsidR="00C474ED" w:rsidRPr="0007350B">
        <w:t>, in compliance with</w:t>
      </w:r>
      <w:r w:rsidR="00EE2381" w:rsidRPr="0007350B">
        <w:t xml:space="preserve"> the provisions of the 1997 Law</w:t>
      </w:r>
      <w:r w:rsidRPr="0007350B">
        <w:t xml:space="preserve"> “</w:t>
      </w:r>
      <w:r w:rsidR="00C474ED" w:rsidRPr="0007350B">
        <w:t>On</w:t>
      </w:r>
      <w:r w:rsidRPr="0007350B">
        <w:t xml:space="preserve"> public events in the Republic of Belarus”.</w:t>
      </w:r>
    </w:p>
    <w:p w:rsidR="006278A9" w:rsidRPr="0007350B" w:rsidRDefault="007F5AD2" w:rsidP="001461F7">
      <w:pPr>
        <w:pStyle w:val="SingleTxtG"/>
      </w:pPr>
      <w:r w:rsidRPr="0007350B">
        <w:t>2.3</w:t>
      </w:r>
      <w:r w:rsidR="006278A9" w:rsidRPr="0007350B">
        <w:tab/>
        <w:t>On 10 Februar</w:t>
      </w:r>
      <w:r w:rsidR="00C474ED" w:rsidRPr="0007350B">
        <w:t>y 2009, the authors appealed th</w:t>
      </w:r>
      <w:r w:rsidR="004F523A">
        <w:t>e</w:t>
      </w:r>
      <w:r w:rsidR="006278A9" w:rsidRPr="0007350B">
        <w:t xml:space="preserve"> refusal to </w:t>
      </w:r>
      <w:r w:rsidR="00260508" w:rsidRPr="0007350B">
        <w:t>Bre</w:t>
      </w:r>
      <w:r w:rsidR="0027608E" w:rsidRPr="0007350B">
        <w:t>s</w:t>
      </w:r>
      <w:r w:rsidR="00260508" w:rsidRPr="0007350B">
        <w:t xml:space="preserve">t </w:t>
      </w:r>
      <w:r w:rsidR="0041741D" w:rsidRPr="0007350B">
        <w:t>Region</w:t>
      </w:r>
      <w:r w:rsidR="00260508" w:rsidRPr="0007350B">
        <w:t xml:space="preserve"> </w:t>
      </w:r>
      <w:r w:rsidR="006278A9" w:rsidRPr="0007350B">
        <w:t xml:space="preserve">Executive Committee. On 20 February 2009, </w:t>
      </w:r>
      <w:r w:rsidR="00C474ED" w:rsidRPr="0007350B">
        <w:t>they</w:t>
      </w:r>
      <w:r w:rsidR="006278A9" w:rsidRPr="0007350B">
        <w:t xml:space="preserve"> received a reply from the Deputy </w:t>
      </w:r>
      <w:r w:rsidR="00111364" w:rsidRPr="0007350B">
        <w:t>Chair</w:t>
      </w:r>
      <w:r w:rsidR="006278A9" w:rsidRPr="0007350B">
        <w:t xml:space="preserve"> of </w:t>
      </w:r>
      <w:r w:rsidR="00602FA6" w:rsidRPr="0007350B">
        <w:t xml:space="preserve">Brest Region </w:t>
      </w:r>
      <w:r w:rsidR="006278A9" w:rsidRPr="0007350B">
        <w:t xml:space="preserve">Executive Committee, </w:t>
      </w:r>
      <w:r w:rsidR="00602FA6" w:rsidRPr="0007350B">
        <w:t>reject</w:t>
      </w:r>
      <w:r w:rsidR="004F523A">
        <w:t>ing</w:t>
      </w:r>
      <w:r w:rsidR="00602FA6" w:rsidRPr="0007350B">
        <w:t xml:space="preserve"> </w:t>
      </w:r>
      <w:r w:rsidR="006278A9" w:rsidRPr="0007350B">
        <w:t>their appeal</w:t>
      </w:r>
      <w:r w:rsidR="00602FA6" w:rsidRPr="0007350B">
        <w:t xml:space="preserve"> as</w:t>
      </w:r>
      <w:r w:rsidR="006278A9" w:rsidRPr="0007350B">
        <w:t xml:space="preserve"> </w:t>
      </w:r>
      <w:r w:rsidR="004F523A">
        <w:t xml:space="preserve">being </w:t>
      </w:r>
      <w:r w:rsidR="006278A9" w:rsidRPr="0007350B">
        <w:t>unfounded.</w:t>
      </w:r>
    </w:p>
    <w:p w:rsidR="003C4D6B" w:rsidRPr="0007350B" w:rsidRDefault="007F5AD2" w:rsidP="001461F7">
      <w:pPr>
        <w:pStyle w:val="SingleTxtG"/>
      </w:pPr>
      <w:r w:rsidRPr="0007350B">
        <w:t>2.4</w:t>
      </w:r>
      <w:r w:rsidR="006278A9" w:rsidRPr="0007350B">
        <w:tab/>
        <w:t xml:space="preserve"> Also on 10 February</w:t>
      </w:r>
      <w:r w:rsidR="004F523A">
        <w:t xml:space="preserve"> 2009</w:t>
      </w:r>
      <w:r w:rsidR="006278A9" w:rsidRPr="0007350B">
        <w:t>, the authors appeal</w:t>
      </w:r>
      <w:r w:rsidR="00602FA6" w:rsidRPr="0007350B">
        <w:t>ed</w:t>
      </w:r>
      <w:r w:rsidR="006278A9" w:rsidRPr="0007350B">
        <w:t xml:space="preserve"> against the </w:t>
      </w:r>
      <w:r w:rsidR="00602FA6" w:rsidRPr="0007350B">
        <w:t xml:space="preserve">refusal </w:t>
      </w:r>
      <w:r w:rsidR="006278A9" w:rsidRPr="0007350B">
        <w:t xml:space="preserve">of </w:t>
      </w:r>
      <w:r w:rsidR="00C474ED" w:rsidRPr="0007350B">
        <w:t xml:space="preserve">Brest City Executive Committee </w:t>
      </w:r>
      <w:r w:rsidR="009C1B41" w:rsidRPr="0007350B">
        <w:t xml:space="preserve">to </w:t>
      </w:r>
      <w:r w:rsidR="006278A9" w:rsidRPr="0007350B">
        <w:t xml:space="preserve">the </w:t>
      </w:r>
      <w:r w:rsidR="009C1B41" w:rsidRPr="0007350B">
        <w:t xml:space="preserve">Court of </w:t>
      </w:r>
      <w:r w:rsidR="00111364" w:rsidRPr="0007350B">
        <w:t>Lenin District</w:t>
      </w:r>
      <w:r w:rsidR="006278A9" w:rsidRPr="0007350B">
        <w:t xml:space="preserve"> </w:t>
      </w:r>
      <w:r w:rsidR="00111364" w:rsidRPr="0007350B">
        <w:t>of Brest</w:t>
      </w:r>
      <w:r w:rsidR="006278A9" w:rsidRPr="0007350B">
        <w:t xml:space="preserve">, claiming </w:t>
      </w:r>
      <w:r w:rsidR="00C474ED" w:rsidRPr="0007350B">
        <w:t>a</w:t>
      </w:r>
      <w:r w:rsidR="006278A9" w:rsidRPr="0007350B">
        <w:t xml:space="preserve"> violat</w:t>
      </w:r>
      <w:r w:rsidR="00C474ED" w:rsidRPr="0007350B">
        <w:t xml:space="preserve">ion of </w:t>
      </w:r>
      <w:r w:rsidR="006278A9" w:rsidRPr="0007350B">
        <w:t xml:space="preserve">their freedom of expression. </w:t>
      </w:r>
      <w:r w:rsidR="00C474ED" w:rsidRPr="0007350B">
        <w:t>O</w:t>
      </w:r>
      <w:r w:rsidR="00111364" w:rsidRPr="0007350B">
        <w:t>n 3 March 2009,</w:t>
      </w:r>
      <w:r w:rsidR="006278A9" w:rsidRPr="0007350B">
        <w:t xml:space="preserve"> they supplemented the</w:t>
      </w:r>
      <w:r w:rsidR="00C474ED" w:rsidRPr="0007350B">
        <w:t>ir</w:t>
      </w:r>
      <w:r w:rsidR="006278A9" w:rsidRPr="0007350B">
        <w:t xml:space="preserve"> appeal, claiming that the refusal </w:t>
      </w:r>
      <w:r w:rsidR="004F523A">
        <w:t>constituted</w:t>
      </w:r>
      <w:r w:rsidR="006278A9" w:rsidRPr="0007350B">
        <w:t xml:space="preserve"> discrimination against them based on their beliefs. </w:t>
      </w:r>
      <w:r w:rsidR="00C474ED" w:rsidRPr="0007350B">
        <w:t xml:space="preserve">On 4 March 2009, the </w:t>
      </w:r>
      <w:r w:rsidR="009C1B41" w:rsidRPr="0007350B">
        <w:t>c</w:t>
      </w:r>
      <w:r w:rsidR="00C474ED" w:rsidRPr="0007350B">
        <w:t xml:space="preserve">ourt rejected their </w:t>
      </w:r>
      <w:r w:rsidR="006278A9" w:rsidRPr="0007350B">
        <w:t>appeal</w:t>
      </w:r>
      <w:r w:rsidR="009C1B41" w:rsidRPr="0007350B">
        <w:t>, s</w:t>
      </w:r>
      <w:r w:rsidR="00640F67" w:rsidRPr="0007350B">
        <w:t>tat</w:t>
      </w:r>
      <w:r w:rsidR="009C1B41" w:rsidRPr="0007350B">
        <w:t>ing</w:t>
      </w:r>
      <w:r w:rsidR="00640F67" w:rsidRPr="0007350B">
        <w:t xml:space="preserve"> that according to </w:t>
      </w:r>
      <w:r w:rsidR="00C474ED" w:rsidRPr="0007350B">
        <w:t xml:space="preserve">Brest City Executive Committee’s </w:t>
      </w:r>
      <w:r w:rsidR="006D2F5C">
        <w:t>D</w:t>
      </w:r>
      <w:r w:rsidR="00C474ED" w:rsidRPr="0007350B">
        <w:t xml:space="preserve">ecision </w:t>
      </w:r>
      <w:r w:rsidR="00640F67" w:rsidRPr="0007350B">
        <w:t xml:space="preserve">No. 1715 of 25 October 2006, with the exception of demonstrations and street processes organized by State authorities, the </w:t>
      </w:r>
      <w:r w:rsidR="009C1B41" w:rsidRPr="0007350B">
        <w:t xml:space="preserve">area </w:t>
      </w:r>
      <w:r w:rsidR="00640F67" w:rsidRPr="0007350B">
        <w:t xml:space="preserve">designated for holding mass events was the </w:t>
      </w:r>
      <w:r w:rsidR="002F3D3B">
        <w:t>“</w:t>
      </w:r>
      <w:r w:rsidR="00640F67" w:rsidRPr="0007350B">
        <w:t>Lokomotiv</w:t>
      </w:r>
      <w:r w:rsidR="00260508" w:rsidRPr="0007350B">
        <w:t>”</w:t>
      </w:r>
      <w:r w:rsidR="002F3D3B">
        <w:t xml:space="preserve"> stadium</w:t>
      </w:r>
      <w:r w:rsidR="00640F67" w:rsidRPr="0007350B">
        <w:t xml:space="preserve">. </w:t>
      </w:r>
      <w:r w:rsidR="002F3D3B">
        <w:t>It considered</w:t>
      </w:r>
      <w:r w:rsidR="00640F67" w:rsidRPr="0007350B">
        <w:t xml:space="preserve"> the decision of </w:t>
      </w:r>
      <w:r w:rsidR="00C474ED" w:rsidRPr="0007350B">
        <w:t xml:space="preserve">Brest City Executive Committee </w:t>
      </w:r>
      <w:r w:rsidR="00640F67" w:rsidRPr="0007350B">
        <w:t xml:space="preserve">of 9 January 2009 lawful and </w:t>
      </w:r>
      <w:r w:rsidR="002F3D3B">
        <w:t xml:space="preserve">that it </w:t>
      </w:r>
      <w:r w:rsidR="00640F67" w:rsidRPr="0007350B">
        <w:t xml:space="preserve">did not violate the authors’ rights. </w:t>
      </w:r>
      <w:r w:rsidR="009C1B41" w:rsidRPr="0007350B">
        <w:t xml:space="preserve">The court found the author’s claim </w:t>
      </w:r>
      <w:r w:rsidR="002F3D3B">
        <w:t>of</w:t>
      </w:r>
      <w:r w:rsidR="009C1B41" w:rsidRPr="0007350B">
        <w:t xml:space="preserve"> </w:t>
      </w:r>
      <w:r w:rsidR="00640F67" w:rsidRPr="0007350B">
        <w:t>discrimination</w:t>
      </w:r>
      <w:r w:rsidR="00D50DEE" w:rsidRPr="0007350B">
        <w:t xml:space="preserve"> on the grounds of</w:t>
      </w:r>
      <w:r w:rsidR="00C474ED" w:rsidRPr="0007350B">
        <w:t xml:space="preserve"> beliefs</w:t>
      </w:r>
      <w:r w:rsidR="009C1B41" w:rsidRPr="0007350B">
        <w:t xml:space="preserve"> </w:t>
      </w:r>
      <w:r w:rsidR="00BA77E1" w:rsidRPr="0007350B">
        <w:t xml:space="preserve">unjustified, as </w:t>
      </w:r>
      <w:r w:rsidR="00C474ED" w:rsidRPr="0007350B">
        <w:t>decisions regarding the</w:t>
      </w:r>
      <w:r w:rsidR="00BA77E1" w:rsidRPr="0007350B">
        <w:t xml:space="preserve"> location </w:t>
      </w:r>
      <w:r w:rsidR="002F3D3B">
        <w:t>for</w:t>
      </w:r>
      <w:r w:rsidR="00C474ED" w:rsidRPr="0007350B">
        <w:t xml:space="preserve"> hold</w:t>
      </w:r>
      <w:r w:rsidR="002F3D3B">
        <w:t>ing</w:t>
      </w:r>
      <w:r w:rsidR="00C474ED" w:rsidRPr="0007350B">
        <w:t xml:space="preserve"> </w:t>
      </w:r>
      <w:r w:rsidR="00BA77E1" w:rsidRPr="0007350B">
        <w:t>mass events</w:t>
      </w:r>
      <w:r w:rsidR="00C474ED" w:rsidRPr="0007350B">
        <w:t xml:space="preserve"> organized by State authorities</w:t>
      </w:r>
      <w:r w:rsidR="00BA77E1" w:rsidRPr="0007350B">
        <w:t xml:space="preserve"> </w:t>
      </w:r>
      <w:r w:rsidR="002F3D3B">
        <w:t>a</w:t>
      </w:r>
      <w:r w:rsidR="00C474ED" w:rsidRPr="0007350B">
        <w:t>re</w:t>
      </w:r>
      <w:r w:rsidR="00BA77E1" w:rsidRPr="0007350B">
        <w:t xml:space="preserve"> approved by </w:t>
      </w:r>
      <w:r w:rsidR="00C474ED" w:rsidRPr="0007350B">
        <w:t xml:space="preserve">Brest City Executive Committee </w:t>
      </w:r>
      <w:r w:rsidR="00BA77E1" w:rsidRPr="0007350B">
        <w:t>on a case</w:t>
      </w:r>
      <w:r w:rsidR="002F3D3B">
        <w:t>-</w:t>
      </w:r>
      <w:r w:rsidR="00BA77E1" w:rsidRPr="0007350B">
        <w:t>by</w:t>
      </w:r>
      <w:r w:rsidR="002F3D3B">
        <w:t>-</w:t>
      </w:r>
      <w:r w:rsidR="00BA77E1" w:rsidRPr="0007350B">
        <w:t xml:space="preserve">case basis. </w:t>
      </w:r>
      <w:r w:rsidR="009C1B41" w:rsidRPr="0007350B">
        <w:t>D</w:t>
      </w:r>
      <w:r w:rsidR="00640F67" w:rsidRPr="0007350B">
        <w:t xml:space="preserve">uring the </w:t>
      </w:r>
      <w:r w:rsidR="009C1B41" w:rsidRPr="0007350B">
        <w:t xml:space="preserve">trial, one of the authors requested the court to </w:t>
      </w:r>
      <w:r w:rsidR="002F3D3B">
        <w:t>call in</w:t>
      </w:r>
      <w:r w:rsidR="009C1B41" w:rsidRPr="0007350B">
        <w:t xml:space="preserve"> </w:t>
      </w:r>
      <w:r w:rsidR="00640F67" w:rsidRPr="0007350B">
        <w:t>the Chair</w:t>
      </w:r>
      <w:r w:rsidR="009C1B41" w:rsidRPr="0007350B">
        <w:t xml:space="preserve">, the </w:t>
      </w:r>
      <w:r w:rsidR="00640F67" w:rsidRPr="0007350B">
        <w:t xml:space="preserve">Deputy Chair </w:t>
      </w:r>
      <w:r w:rsidR="009C1B41" w:rsidRPr="0007350B">
        <w:t xml:space="preserve">and another employee </w:t>
      </w:r>
      <w:r w:rsidR="00640F67" w:rsidRPr="0007350B">
        <w:t xml:space="preserve">of </w:t>
      </w:r>
      <w:r w:rsidR="00C474ED" w:rsidRPr="0007350B">
        <w:t>Brest City Executive Committee</w:t>
      </w:r>
      <w:r w:rsidR="009C1B41" w:rsidRPr="0007350B">
        <w:t xml:space="preserve"> </w:t>
      </w:r>
      <w:r w:rsidR="002F3D3B">
        <w:t>for</w:t>
      </w:r>
      <w:r w:rsidR="009C1B41" w:rsidRPr="0007350B">
        <w:t xml:space="preserve"> questionin</w:t>
      </w:r>
      <w:r w:rsidR="002F3D3B">
        <w:t>g in</w:t>
      </w:r>
      <w:r w:rsidR="009C1B41" w:rsidRPr="0007350B">
        <w:t xml:space="preserve"> court</w:t>
      </w:r>
      <w:r w:rsidR="002F3D3B">
        <w:t>. T</w:t>
      </w:r>
      <w:r w:rsidR="009C1B41" w:rsidRPr="0007350B">
        <w:t xml:space="preserve">he request was dismissed as the court considered that Brest </w:t>
      </w:r>
      <w:r w:rsidR="00260508" w:rsidRPr="0007350B">
        <w:t xml:space="preserve">City </w:t>
      </w:r>
      <w:r w:rsidR="003C4D6B" w:rsidRPr="0007350B">
        <w:t>Executive Committee was already sufficiently and adequately represented before the court.</w:t>
      </w:r>
    </w:p>
    <w:p w:rsidR="003A6411" w:rsidRPr="0007350B" w:rsidRDefault="003A6411" w:rsidP="001461F7">
      <w:pPr>
        <w:pStyle w:val="SingleTxtG"/>
      </w:pPr>
      <w:r w:rsidRPr="0007350B">
        <w:t>2.5</w:t>
      </w:r>
      <w:r w:rsidRPr="0007350B">
        <w:tab/>
        <w:t xml:space="preserve">On 16 March 2009, the authors filed a cassation appeal </w:t>
      </w:r>
      <w:r w:rsidR="002F3D3B">
        <w:t>with</w:t>
      </w:r>
      <w:r w:rsidR="002F3D3B" w:rsidRPr="0007350B">
        <w:t xml:space="preserve"> the </w:t>
      </w:r>
      <w:smartTag w:uri="urn:schemas-microsoft-com:office:smarttags" w:element="Street">
        <w:smartTag w:uri="urn:schemas-microsoft-com:office:smarttags" w:element="address">
          <w:r w:rsidR="002F3D3B" w:rsidRPr="0007350B">
            <w:t>Brest Regional Court</w:t>
          </w:r>
        </w:smartTag>
      </w:smartTag>
      <w:r w:rsidR="002F3D3B" w:rsidRPr="0007350B">
        <w:t xml:space="preserve"> </w:t>
      </w:r>
      <w:r w:rsidRPr="0007350B">
        <w:t>against Lenin District Court of Brest. In the appeal, they maintained that their right to a fair trial was violated by the lower court, as it refused to summon the witnesses</w:t>
      </w:r>
      <w:r w:rsidR="002F3D3B">
        <w:t xml:space="preserve"> requested</w:t>
      </w:r>
      <w:r w:rsidR="009C1B41" w:rsidRPr="0007350B">
        <w:t xml:space="preserve"> </w:t>
      </w:r>
      <w:r w:rsidR="002F3D3B">
        <w:t>for</w:t>
      </w:r>
      <w:r w:rsidR="009C1B41" w:rsidRPr="0007350B">
        <w:t xml:space="preserve"> question</w:t>
      </w:r>
      <w:r w:rsidR="002F3D3B">
        <w:t>ing</w:t>
      </w:r>
      <w:r w:rsidRPr="0007350B">
        <w:t xml:space="preserve">. On 9 April 2009, </w:t>
      </w:r>
      <w:smartTag w:uri="urn:schemas-microsoft-com:office:smarttags" w:element="Street">
        <w:smartTag w:uri="urn:schemas-microsoft-com:office:smarttags" w:element="address">
          <w:r w:rsidRPr="0007350B">
            <w:t>Brest Regional Court</w:t>
          </w:r>
        </w:smartTag>
      </w:smartTag>
      <w:r w:rsidRPr="0007350B">
        <w:t xml:space="preserve"> rejected the appeal, upholding the lower court’s decision. </w:t>
      </w:r>
    </w:p>
    <w:p w:rsidR="003A6411" w:rsidRPr="0007350B" w:rsidRDefault="001461F7" w:rsidP="001461F7">
      <w:pPr>
        <w:pStyle w:val="H23G"/>
      </w:pPr>
      <w:r>
        <w:tab/>
      </w:r>
      <w:r>
        <w:tab/>
      </w:r>
      <w:r w:rsidR="003A6411" w:rsidRPr="0007350B">
        <w:t>The complaint</w:t>
      </w:r>
    </w:p>
    <w:p w:rsidR="003A6411" w:rsidRPr="0007350B" w:rsidRDefault="003A6411" w:rsidP="001461F7">
      <w:pPr>
        <w:pStyle w:val="SingleTxtG"/>
      </w:pPr>
      <w:r w:rsidRPr="0007350B">
        <w:t>3.1</w:t>
      </w:r>
      <w:r w:rsidRPr="0007350B">
        <w:tab/>
        <w:t xml:space="preserve">The authors claim that their </w:t>
      </w:r>
      <w:r w:rsidR="007B4A52" w:rsidRPr="007B4A52">
        <w:rPr>
          <w:lang w:val="en-US"/>
        </w:rPr>
        <w:t xml:space="preserve">right to </w:t>
      </w:r>
      <w:r w:rsidRPr="0007350B">
        <w:t xml:space="preserve">freedom of expression </w:t>
      </w:r>
      <w:r w:rsidR="007B4A52" w:rsidRPr="007B4A52">
        <w:rPr>
          <w:lang w:val="en-US"/>
        </w:rPr>
        <w:t xml:space="preserve">and the right to peaceful assembly as </w:t>
      </w:r>
      <w:r w:rsidR="007B4A52" w:rsidRPr="0007350B">
        <w:t xml:space="preserve">guaranteed </w:t>
      </w:r>
      <w:r w:rsidR="003523DA">
        <w:t>under</w:t>
      </w:r>
      <w:r w:rsidR="007B4A52" w:rsidRPr="0007350B">
        <w:t xml:space="preserve"> article</w:t>
      </w:r>
      <w:r w:rsidR="007B4A52">
        <w:t xml:space="preserve"> 1</w:t>
      </w:r>
      <w:r w:rsidR="007B4A52" w:rsidRPr="007B4A52">
        <w:rPr>
          <w:lang w:val="en-US"/>
        </w:rPr>
        <w:t>9</w:t>
      </w:r>
      <w:r w:rsidR="003523DA">
        <w:rPr>
          <w:lang w:val="en-US"/>
        </w:rPr>
        <w:t xml:space="preserve">, paragraph </w:t>
      </w:r>
      <w:r w:rsidR="007B4A52" w:rsidRPr="007B4A52">
        <w:rPr>
          <w:lang w:val="en-US"/>
        </w:rPr>
        <w:t>2</w:t>
      </w:r>
      <w:r w:rsidR="002F3D3B">
        <w:rPr>
          <w:lang w:val="en-US"/>
        </w:rPr>
        <w:t>,</w:t>
      </w:r>
      <w:r w:rsidR="007B4A52" w:rsidRPr="007B4A52">
        <w:rPr>
          <w:lang w:val="en-US"/>
        </w:rPr>
        <w:t xml:space="preserve"> and </w:t>
      </w:r>
      <w:r w:rsidR="002F3D3B">
        <w:rPr>
          <w:lang w:val="en-US"/>
        </w:rPr>
        <w:t xml:space="preserve">article </w:t>
      </w:r>
      <w:r w:rsidR="007B4A52" w:rsidRPr="007B4A52">
        <w:rPr>
          <w:lang w:val="en-US"/>
        </w:rPr>
        <w:t>21</w:t>
      </w:r>
      <w:r w:rsidR="003523DA">
        <w:rPr>
          <w:lang w:val="en-US"/>
        </w:rPr>
        <w:t xml:space="preserve"> of the Covenant</w:t>
      </w:r>
      <w:r w:rsidR="007B4A52" w:rsidRPr="0007350B">
        <w:t xml:space="preserve"> </w:t>
      </w:r>
      <w:r w:rsidRPr="0007350B">
        <w:t>ha</w:t>
      </w:r>
      <w:r w:rsidR="003523DA">
        <w:t>ve</w:t>
      </w:r>
      <w:r w:rsidRPr="0007350B">
        <w:t xml:space="preserve"> been restricted arbitrarily, since neither the decision of the Deputy Chair of Brest City Executive Committee, nor the </w:t>
      </w:r>
      <w:r w:rsidR="002F3D3B">
        <w:t xml:space="preserve">decisions of the </w:t>
      </w:r>
      <w:r w:rsidRPr="0007350B">
        <w:t xml:space="preserve">domestic courts provided any justification as to the reasons for the restriction to hold </w:t>
      </w:r>
      <w:r w:rsidR="00296BBB">
        <w:t xml:space="preserve">the </w:t>
      </w:r>
      <w:r w:rsidRPr="0007350B">
        <w:t>pickets, other than the formal application of Decision No</w:t>
      </w:r>
      <w:r w:rsidR="00296BBB">
        <w:t>.</w:t>
      </w:r>
      <w:r w:rsidRPr="0007350B">
        <w:t xml:space="preserve"> 1715 of 25 October 2006. </w:t>
      </w:r>
      <w:r w:rsidR="003523DA">
        <w:t>In particular, t</w:t>
      </w:r>
      <w:r w:rsidRPr="0007350B">
        <w:t xml:space="preserve">he authors claim that the restriction in question was neither justified by reasons of national security nor public safety, public order, the protection of public health or morals, </w:t>
      </w:r>
      <w:r w:rsidR="009C1B41" w:rsidRPr="0007350B">
        <w:t xml:space="preserve">nor </w:t>
      </w:r>
      <w:r w:rsidRPr="0007350B">
        <w:t xml:space="preserve">was </w:t>
      </w:r>
      <w:r w:rsidR="009C1B41" w:rsidRPr="0007350B">
        <w:t>i</w:t>
      </w:r>
      <w:r w:rsidRPr="0007350B">
        <w:t>t necessary for the protection of the rights and freedoms of others</w:t>
      </w:r>
      <w:r w:rsidR="009C1B41" w:rsidRPr="0007350B">
        <w:t>,</w:t>
      </w:r>
      <w:r w:rsidRPr="0007350B">
        <w:t xml:space="preserve"> and </w:t>
      </w:r>
      <w:r w:rsidR="009C1B41" w:rsidRPr="0007350B">
        <w:t xml:space="preserve">it </w:t>
      </w:r>
      <w:r w:rsidRPr="0007350B">
        <w:t xml:space="preserve">therefore </w:t>
      </w:r>
      <w:r w:rsidR="008A4D35" w:rsidRPr="0007350B">
        <w:t>breach</w:t>
      </w:r>
      <w:r w:rsidR="008A4D35">
        <w:t>es</w:t>
      </w:r>
      <w:r w:rsidRPr="0007350B">
        <w:t xml:space="preserve"> article 19, paragraph 2, of the </w:t>
      </w:r>
      <w:r w:rsidRPr="0007350B">
        <w:lastRenderedPageBreak/>
        <w:t>Covenant. They allege that restricting all 300</w:t>
      </w:r>
      <w:r w:rsidR="00296BBB">
        <w:t>,</w:t>
      </w:r>
      <w:r w:rsidRPr="0007350B">
        <w:t xml:space="preserve">000 citizens of </w:t>
      </w:r>
      <w:smartTag w:uri="urn:schemas-microsoft-com:office:smarttags" w:element="place">
        <w:smartTag w:uri="urn:schemas-microsoft-com:office:smarttags" w:element="City">
          <w:r w:rsidRPr="0007350B">
            <w:t>Brest</w:t>
          </w:r>
        </w:smartTag>
      </w:smartTag>
      <w:r w:rsidRPr="0007350B">
        <w:t xml:space="preserve"> to conduct mass events to </w:t>
      </w:r>
      <w:r w:rsidR="009C1B41" w:rsidRPr="0007350B">
        <w:t>a</w:t>
      </w:r>
      <w:r w:rsidRPr="0007350B">
        <w:t xml:space="preserve"> single location, which</w:t>
      </w:r>
      <w:r w:rsidR="00296BBB">
        <w:t>, furthermore,</w:t>
      </w:r>
      <w:r w:rsidRPr="0007350B">
        <w:t xml:space="preserve"> is a stadium outside of the </w:t>
      </w:r>
      <w:r w:rsidR="00296BBB">
        <w:t xml:space="preserve">city </w:t>
      </w:r>
      <w:r w:rsidR="00CF0F27" w:rsidRPr="0007350B">
        <w:t xml:space="preserve">centre and </w:t>
      </w:r>
      <w:r w:rsidRPr="0007350B">
        <w:t xml:space="preserve">surrounded by a concrete wall, moves all mass events outside the public space, </w:t>
      </w:r>
      <w:r w:rsidR="00296BBB">
        <w:t>and</w:t>
      </w:r>
      <w:r w:rsidRPr="0007350B">
        <w:t xml:space="preserve"> thus infring</w:t>
      </w:r>
      <w:r w:rsidR="00296BBB">
        <w:t>es on</w:t>
      </w:r>
      <w:r w:rsidRPr="0007350B">
        <w:t xml:space="preserve"> freedom of expression.</w:t>
      </w:r>
    </w:p>
    <w:p w:rsidR="003A6411" w:rsidRPr="0007350B" w:rsidRDefault="003A6411" w:rsidP="001461F7">
      <w:pPr>
        <w:pStyle w:val="SingleTxtG"/>
      </w:pPr>
      <w:r w:rsidRPr="0007350B">
        <w:t>3.2</w:t>
      </w:r>
      <w:r w:rsidRPr="0007350B">
        <w:tab/>
        <w:t xml:space="preserve"> The authors also claim that the refusal to allow them to conduct </w:t>
      </w:r>
      <w:r w:rsidR="00260508" w:rsidRPr="0007350B">
        <w:t xml:space="preserve">pickets </w:t>
      </w:r>
      <w:r w:rsidRPr="0007350B">
        <w:t xml:space="preserve">outside of the </w:t>
      </w:r>
      <w:r w:rsidR="00CF0F27" w:rsidRPr="0007350B">
        <w:t xml:space="preserve">sole </w:t>
      </w:r>
      <w:r w:rsidRPr="0007350B">
        <w:t xml:space="preserve">location specified in Decision No 1715, amounted to discrimination based on their beliefs, in violation of article 26 of the Covenant, since </w:t>
      </w:r>
      <w:r w:rsidR="00260508" w:rsidRPr="0007350B">
        <w:t xml:space="preserve">Brest City </w:t>
      </w:r>
      <w:r w:rsidRPr="0007350B">
        <w:t>Executive Committee had</w:t>
      </w:r>
      <w:r w:rsidR="006D2F5C">
        <w:t>,</w:t>
      </w:r>
      <w:r w:rsidRPr="0007350B">
        <w:t xml:space="preserve"> on numerous occasions</w:t>
      </w:r>
      <w:r w:rsidR="006D2F5C">
        <w:t>,</w:t>
      </w:r>
      <w:r w:rsidRPr="0007350B">
        <w:t xml:space="preserve"> allowed other persons to conduct </w:t>
      </w:r>
      <w:r w:rsidR="00260508" w:rsidRPr="0007350B">
        <w:t xml:space="preserve">mass events </w:t>
      </w:r>
      <w:r w:rsidRPr="0007350B">
        <w:t xml:space="preserve">outside the officially assigned location. In substantiation, they refer to six different instances when the Executive Committee </w:t>
      </w:r>
      <w:r w:rsidR="006D2F5C">
        <w:t xml:space="preserve">have </w:t>
      </w:r>
      <w:r w:rsidRPr="0007350B">
        <w:t xml:space="preserve">allowed </w:t>
      </w:r>
      <w:r w:rsidR="006D2F5C">
        <w:t xml:space="preserve">the holding of </w:t>
      </w:r>
      <w:r w:rsidRPr="0007350B">
        <w:t xml:space="preserve">such </w:t>
      </w:r>
      <w:r w:rsidR="00260508" w:rsidRPr="0007350B">
        <w:t>mass event</w:t>
      </w:r>
      <w:r w:rsidR="0057327B">
        <w:t>s</w:t>
      </w:r>
      <w:r w:rsidRPr="0007350B">
        <w:rPr>
          <w:rStyle w:val="FootnoteReference"/>
          <w:sz w:val="24"/>
          <w:szCs w:val="24"/>
        </w:rPr>
        <w:footnoteReference w:id="3"/>
      </w:r>
      <w:r w:rsidR="00260508" w:rsidRPr="0007350B">
        <w:t>.</w:t>
      </w:r>
    </w:p>
    <w:p w:rsidR="003A6411" w:rsidRPr="0007350B" w:rsidRDefault="003A6411" w:rsidP="001461F7">
      <w:pPr>
        <w:pStyle w:val="SingleTxtG"/>
      </w:pPr>
      <w:r w:rsidRPr="0007350B">
        <w:t>3.3</w:t>
      </w:r>
      <w:r w:rsidRPr="0007350B">
        <w:tab/>
        <w:t xml:space="preserve">The authors further claim that their right to a fair trial, </w:t>
      </w:r>
      <w:r w:rsidR="006D2F5C">
        <w:t xml:space="preserve">as </w:t>
      </w:r>
      <w:r w:rsidRPr="0007350B">
        <w:t xml:space="preserve">guaranteed by article 14, paragraph 1, of the Covenant, was violated, as Lenin District Court of Brest refused to summon three key witnesses </w:t>
      </w:r>
      <w:r w:rsidR="006D2F5C">
        <w:t>who</w:t>
      </w:r>
      <w:r w:rsidRPr="0007350B">
        <w:t xml:space="preserve"> the authors wanted to question. They also maintain that the </w:t>
      </w:r>
      <w:r w:rsidR="006D2F5C">
        <w:t xml:space="preserve">court’s </w:t>
      </w:r>
      <w:r w:rsidRPr="0007350B">
        <w:t xml:space="preserve">refusal to summon those witnesses indicates that the judge had already sided with the position of the </w:t>
      </w:r>
      <w:r w:rsidR="00CF0F27" w:rsidRPr="0007350B">
        <w:t xml:space="preserve">city </w:t>
      </w:r>
      <w:r w:rsidR="006D2F5C" w:rsidRPr="0007350B">
        <w:t>authorities</w:t>
      </w:r>
      <w:r w:rsidR="006D2F5C">
        <w:t xml:space="preserve">, </w:t>
      </w:r>
      <w:r w:rsidRPr="0007350B">
        <w:t xml:space="preserve">and </w:t>
      </w:r>
      <w:r w:rsidR="006D2F5C">
        <w:t xml:space="preserve">was </w:t>
      </w:r>
      <w:r w:rsidRPr="0007350B">
        <w:t>therefore not impartial in deciding the case</w:t>
      </w:r>
      <w:r w:rsidR="00260508" w:rsidRPr="0007350B">
        <w:t>.</w:t>
      </w:r>
      <w:r w:rsidRPr="0007350B">
        <w:t xml:space="preserve"> </w:t>
      </w:r>
    </w:p>
    <w:p w:rsidR="003A6411" w:rsidRPr="001461F7" w:rsidRDefault="001461F7" w:rsidP="001461F7">
      <w:pPr>
        <w:pStyle w:val="H23G"/>
      </w:pPr>
      <w:r>
        <w:tab/>
      </w:r>
      <w:r>
        <w:tab/>
      </w:r>
      <w:r w:rsidR="003A6411" w:rsidRPr="001461F7">
        <w:t>State party's preliminary observations</w:t>
      </w:r>
    </w:p>
    <w:p w:rsidR="003A6411" w:rsidRPr="00416E2F" w:rsidRDefault="003A6411">
      <w:pPr>
        <w:pStyle w:val="SingleTxtG"/>
      </w:pPr>
      <w:r w:rsidRPr="001461F7">
        <w:t>4.1</w:t>
      </w:r>
      <w:r w:rsidRPr="001461F7">
        <w:tab/>
        <w:t>On 8 July 2010, the State party submitted</w:t>
      </w:r>
      <w:r w:rsidR="006D2F5C">
        <w:t>,</w:t>
      </w:r>
      <w:r w:rsidRPr="001461F7">
        <w:t xml:space="preserve"> inter alia</w:t>
      </w:r>
      <w:r w:rsidR="006D2F5C">
        <w:t>,</w:t>
      </w:r>
      <w:r w:rsidRPr="001461F7">
        <w:t xml:space="preserve"> that it </w:t>
      </w:r>
      <w:r w:rsidR="006D2F5C" w:rsidRPr="001461F7">
        <w:t>“</w:t>
      </w:r>
      <w:r w:rsidR="006D2F5C">
        <w:t>[…]</w:t>
      </w:r>
      <w:r w:rsidR="006D2F5C" w:rsidRPr="001461F7">
        <w:t xml:space="preserve"> </w:t>
      </w:r>
      <w:r w:rsidRPr="001461F7">
        <w:t xml:space="preserve">does not find legal </w:t>
      </w:r>
      <w:r w:rsidRPr="00416E2F">
        <w:t>grounds for further consideration of these communications”. It added that it d</w:t>
      </w:r>
      <w:r w:rsidR="006D2F5C">
        <w:t>id</w:t>
      </w:r>
      <w:r w:rsidRPr="00416E2F">
        <w:t xml:space="preserve"> not appear from the documentation on file that the Committee </w:t>
      </w:r>
      <w:r w:rsidR="00CF0F27" w:rsidRPr="00416E2F">
        <w:t xml:space="preserve">had </w:t>
      </w:r>
      <w:r w:rsidRPr="00416E2F">
        <w:t>received these communications from individuals, as “it seems obvious</w:t>
      </w:r>
      <w:r w:rsidR="00A118E5" w:rsidRPr="00416E2F">
        <w:t>”</w:t>
      </w:r>
      <w:r w:rsidRPr="00416E2F">
        <w:t xml:space="preserve"> that the communications were prepared by a third party (not individuals)</w:t>
      </w:r>
      <w:r w:rsidR="00CB0F64">
        <w:t>,</w:t>
      </w:r>
      <w:r w:rsidRPr="00416E2F">
        <w:t xml:space="preserve"> contra</w:t>
      </w:r>
      <w:r w:rsidR="00CF0F27" w:rsidRPr="00416E2F">
        <w:t xml:space="preserve">ry to </w:t>
      </w:r>
      <w:r w:rsidRPr="00416E2F">
        <w:t xml:space="preserve">article 1 of the Optional Protocol to the Covenant. It further requested the Committee to clarify the relationship between the authors of the present communication and </w:t>
      </w:r>
      <w:r w:rsidR="00CF0F27" w:rsidRPr="00416E2F">
        <w:t xml:space="preserve">the </w:t>
      </w:r>
      <w:r w:rsidRPr="00416E2F">
        <w:t>persons indicated by them as contact persons eligible to obtain the confidential information from the Committee on the complaints, as well as to specify which articles of the Optional Protocol to the Covenant regulate the issue of submission by the Committee of the confidential information directly to the individuals and to the third party.</w:t>
      </w:r>
    </w:p>
    <w:p w:rsidR="003A6411" w:rsidRPr="00416E2F" w:rsidRDefault="003A6411">
      <w:pPr>
        <w:pStyle w:val="SingleTxtG"/>
      </w:pPr>
      <w:r w:rsidRPr="00416E2F">
        <w:t xml:space="preserve">4.2 </w:t>
      </w:r>
      <w:r w:rsidR="00416E2F" w:rsidRPr="00416E2F">
        <w:tab/>
      </w:r>
      <w:r w:rsidRPr="00416E2F">
        <w:t xml:space="preserve">By </w:t>
      </w:r>
      <w:r w:rsidR="00CB0F64">
        <w:t>n</w:t>
      </w:r>
      <w:r w:rsidRPr="00416E2F">
        <w:t xml:space="preserve">ote </w:t>
      </w:r>
      <w:r w:rsidR="00CB0F64">
        <w:t>v</w:t>
      </w:r>
      <w:r w:rsidRPr="00416E2F">
        <w:t xml:space="preserve">erbale of 10 August 2010, </w:t>
      </w:r>
      <w:r w:rsidR="00A118E5" w:rsidRPr="00416E2F">
        <w:t xml:space="preserve">the </w:t>
      </w:r>
      <w:r w:rsidR="00CB0F64">
        <w:t xml:space="preserve">Committee informed the </w:t>
      </w:r>
      <w:r w:rsidR="00A118E5" w:rsidRPr="00416E2F">
        <w:t>State party that</w:t>
      </w:r>
      <w:r w:rsidR="00CB0F64">
        <w:t>, inter alia, it</w:t>
      </w:r>
      <w:r w:rsidR="00A118E5" w:rsidRPr="00416E2F">
        <w:t xml:space="preserve">s </w:t>
      </w:r>
      <w:r w:rsidRPr="00416E2F">
        <w:t>Special Rapporteur on New Communications and Interim Measures</w:t>
      </w:r>
      <w:r w:rsidR="00A118E5" w:rsidRPr="00416E2F">
        <w:t xml:space="preserve"> sees </w:t>
      </w:r>
      <w:r w:rsidRPr="00416E2F">
        <w:t xml:space="preserve">no obstacles to the admissibility of </w:t>
      </w:r>
      <w:r w:rsidR="00A118E5" w:rsidRPr="00416E2F">
        <w:t xml:space="preserve">the present </w:t>
      </w:r>
      <w:r w:rsidRPr="00416E2F">
        <w:t>communication under article 1 of the Optional Protocol</w:t>
      </w:r>
      <w:r w:rsidR="00CB0F64">
        <w:t>,</w:t>
      </w:r>
      <w:r w:rsidR="00CF0F27" w:rsidRPr="00416E2F">
        <w:t xml:space="preserve"> as</w:t>
      </w:r>
      <w:r w:rsidRPr="00416E2F">
        <w:t xml:space="preserve"> </w:t>
      </w:r>
      <w:r w:rsidR="0024130F" w:rsidRPr="00416E2F">
        <w:t xml:space="preserve">it </w:t>
      </w:r>
      <w:r w:rsidRPr="00416E2F">
        <w:t xml:space="preserve">was duly signed by the respective authors and </w:t>
      </w:r>
      <w:r w:rsidR="0024130F" w:rsidRPr="00416E2F">
        <w:t xml:space="preserve">there is </w:t>
      </w:r>
      <w:r w:rsidRPr="00416E2F">
        <w:t xml:space="preserve">nothing in the Optional Protocol to the Covenant, the Committee’s </w:t>
      </w:r>
      <w:r w:rsidR="00CB0F64">
        <w:t>r</w:t>
      </w:r>
      <w:r w:rsidRPr="00416E2F">
        <w:t xml:space="preserve">ules of </w:t>
      </w:r>
      <w:r w:rsidR="00CB0F64">
        <w:t>p</w:t>
      </w:r>
      <w:r w:rsidRPr="00416E2F">
        <w:t xml:space="preserve">rocedure </w:t>
      </w:r>
      <w:r w:rsidR="00CB0F64">
        <w:t>or</w:t>
      </w:r>
      <w:r w:rsidRPr="00416E2F">
        <w:t xml:space="preserve"> </w:t>
      </w:r>
      <w:r w:rsidR="00CB0F64">
        <w:t>w</w:t>
      </w:r>
      <w:r w:rsidRPr="00416E2F">
        <w:t xml:space="preserve">orking </w:t>
      </w:r>
      <w:r w:rsidR="00CB0F64">
        <w:t>m</w:t>
      </w:r>
      <w:r w:rsidRPr="00416E2F">
        <w:t xml:space="preserve">ethods </w:t>
      </w:r>
      <w:r w:rsidR="0024130F" w:rsidRPr="00416E2F">
        <w:t xml:space="preserve">to </w:t>
      </w:r>
      <w:r w:rsidRPr="00416E2F">
        <w:t>prevent the authors from indicating an address other than their own</w:t>
      </w:r>
      <w:r w:rsidR="00CB0F64" w:rsidRPr="00CB0F64">
        <w:t xml:space="preserve"> </w:t>
      </w:r>
      <w:r w:rsidR="00CB0F64" w:rsidRPr="00416E2F">
        <w:t>for correspondence</w:t>
      </w:r>
      <w:r w:rsidRPr="00416E2F">
        <w:t xml:space="preserve">, if they </w:t>
      </w:r>
      <w:r w:rsidR="00CB0F64">
        <w:t>wished</w:t>
      </w:r>
      <w:r w:rsidR="00CB0F64" w:rsidRPr="00416E2F">
        <w:t xml:space="preserve"> </w:t>
      </w:r>
      <w:r w:rsidRPr="00416E2F">
        <w:t>to do so. It further invited the State party to submit its observations on the admissibility and merits of the communication within the established time</w:t>
      </w:r>
      <w:r w:rsidR="00CB0F64">
        <w:t xml:space="preserve"> </w:t>
      </w:r>
      <w:r w:rsidRPr="00416E2F">
        <w:t xml:space="preserve">limits. </w:t>
      </w:r>
    </w:p>
    <w:p w:rsidR="003A6411" w:rsidRPr="00416E2F" w:rsidRDefault="003A6411">
      <w:pPr>
        <w:pStyle w:val="SingleTxtG"/>
      </w:pPr>
      <w:r w:rsidRPr="00416E2F">
        <w:t xml:space="preserve">4.3 </w:t>
      </w:r>
      <w:r w:rsidR="00416E2F" w:rsidRPr="00416E2F">
        <w:tab/>
      </w:r>
      <w:r w:rsidRPr="00416E2F">
        <w:t xml:space="preserve">By </w:t>
      </w:r>
      <w:r w:rsidR="00CB0F64">
        <w:t>n</w:t>
      </w:r>
      <w:r w:rsidRPr="00416E2F">
        <w:t xml:space="preserve">ote </w:t>
      </w:r>
      <w:r w:rsidR="00CB0F64">
        <w:t>v</w:t>
      </w:r>
      <w:r w:rsidRPr="00416E2F">
        <w:t>erbale of 3 September 2010, the State party note</w:t>
      </w:r>
      <w:r w:rsidR="00CB0F64">
        <w:t>s</w:t>
      </w:r>
      <w:r w:rsidRPr="00416E2F">
        <w:t xml:space="preserve">, inter alia, that </w:t>
      </w:r>
      <w:r w:rsidR="00BE7FEE" w:rsidRPr="00416E2F">
        <w:t>“</w:t>
      </w:r>
      <w:r w:rsidRPr="00416E2F">
        <w:t>the Belarusian side suspends further consideration of the aforementioned communication(s) till the Committee provides comprehensive response on all issues raised by the State party</w:t>
      </w:r>
      <w:r w:rsidR="0024130F" w:rsidRPr="00416E2F">
        <w:t xml:space="preserve"> in its previous submissions</w:t>
      </w:r>
      <w:r w:rsidRPr="00416E2F">
        <w:t>. It further notes that it ha</w:t>
      </w:r>
      <w:r w:rsidR="00CB0F64">
        <w:t>s</w:t>
      </w:r>
      <w:r w:rsidRPr="00416E2F">
        <w:t xml:space="preserve"> assumed its obligations under </w:t>
      </w:r>
      <w:r w:rsidR="00CF0F27" w:rsidRPr="00416E2F">
        <w:t xml:space="preserve">article 1 of </w:t>
      </w:r>
      <w:r w:rsidRPr="00416E2F">
        <w:t>the Optional Protocol.</w:t>
      </w:r>
      <w:r w:rsidR="00BE7FEE" w:rsidRPr="00416E2F">
        <w:t>”</w:t>
      </w:r>
      <w:r w:rsidRPr="00416E2F">
        <w:t xml:space="preserve"> </w:t>
      </w:r>
      <w:r w:rsidR="00CB0F64">
        <w:t>The State party</w:t>
      </w:r>
      <w:r w:rsidRPr="00416E2F">
        <w:t xml:space="preserve"> took note of the </w:t>
      </w:r>
      <w:r w:rsidR="00CF0F27" w:rsidRPr="00416E2F">
        <w:t xml:space="preserve">reply </w:t>
      </w:r>
      <w:r w:rsidRPr="00416E2F">
        <w:t xml:space="preserve">of the Special Rapporteur on New Communications and Interim Measures </w:t>
      </w:r>
      <w:r w:rsidR="00782B8C" w:rsidRPr="00416E2F">
        <w:t xml:space="preserve">on the absence of any </w:t>
      </w:r>
      <w:r w:rsidRPr="00416E2F">
        <w:t xml:space="preserve">obstacles to the admissibility </w:t>
      </w:r>
      <w:r w:rsidR="00CB0F64">
        <w:t xml:space="preserve">of the communication </w:t>
      </w:r>
      <w:r w:rsidRPr="00416E2F">
        <w:t>under the Optional Protocol</w:t>
      </w:r>
      <w:r w:rsidR="00260508" w:rsidRPr="00416E2F">
        <w:t>,</w:t>
      </w:r>
      <w:r w:rsidRPr="00416E2F">
        <w:t xml:space="preserve"> but </w:t>
      </w:r>
      <w:r w:rsidR="0024130F" w:rsidRPr="00416E2F">
        <w:t xml:space="preserve">it </w:t>
      </w:r>
      <w:r w:rsidRPr="00416E2F">
        <w:t xml:space="preserve">considers </w:t>
      </w:r>
      <w:r w:rsidR="00CB0F64">
        <w:t>the reply to be</w:t>
      </w:r>
      <w:r w:rsidRPr="00416E2F">
        <w:t xml:space="preserve"> the Special Rapporteur’s personal view, which does not and cannot create any legal obligations for the State parties to the Covenant. The State party further notes that it did not raise any issues </w:t>
      </w:r>
      <w:r w:rsidRPr="00E87EAB">
        <w:t>concerning the address</w:t>
      </w:r>
      <w:r w:rsidRPr="00416E2F">
        <w:t xml:space="preserve">es for correspondence </w:t>
      </w:r>
      <w:r w:rsidR="00BD0275">
        <w:t>relating to</w:t>
      </w:r>
      <w:r w:rsidRPr="00416E2F">
        <w:t xml:space="preserve">, inter alia, the </w:t>
      </w:r>
      <w:r w:rsidRPr="00416E2F">
        <w:lastRenderedPageBreak/>
        <w:t>present communication; however, “there were requests to the Committee to clarify the relation</w:t>
      </w:r>
      <w:r w:rsidR="000F2EF2">
        <w:t>ship</w:t>
      </w:r>
      <w:r w:rsidRPr="00416E2F">
        <w:t xml:space="preserve"> of third parties to the complaint(s) of Mr. Turchenyak (…) and the grounds for the third parties, the persons who are not subject to Belarusian jurisdiction, being listed in the communications as contact persons eligible to obtain confidential information from the Committee”. Finally, the State party “draws the Committee’s attention to the fact that in accordance with article 1 of the Optional Protocol, the State party had recognized the competence of the Committee to receive and consider communications from individuals subject to its jurisdiction who claim to be victims of a violation by the State party of any of the rights set forth in the Covenant, but not from other persons (third parties). The State party did not accept any other </w:t>
      </w:r>
      <w:r w:rsidR="0024130F" w:rsidRPr="00416E2F">
        <w:t>obligation under article 1 of the Optional Protocol and therefore it suspends</w:t>
      </w:r>
      <w:r w:rsidRPr="00416E2F">
        <w:t xml:space="preserve"> further consideration of, inter alia, the present communication.</w:t>
      </w:r>
    </w:p>
    <w:p w:rsidR="003A6411" w:rsidRPr="00416E2F" w:rsidRDefault="003A6411">
      <w:pPr>
        <w:pStyle w:val="SingleTxtG"/>
      </w:pPr>
      <w:r w:rsidRPr="00416E2F">
        <w:t xml:space="preserve">4.4 </w:t>
      </w:r>
      <w:r w:rsidR="00416E2F" w:rsidRPr="00416E2F">
        <w:tab/>
      </w:r>
      <w:r w:rsidRPr="00416E2F">
        <w:t xml:space="preserve">By </w:t>
      </w:r>
      <w:r w:rsidR="00942D56" w:rsidRPr="00416E2F">
        <w:t xml:space="preserve">letter </w:t>
      </w:r>
      <w:r w:rsidRPr="00416E2F">
        <w:t>of 28 October 2010, the Chairperson</w:t>
      </w:r>
      <w:r w:rsidR="0091697E">
        <w:t xml:space="preserve"> of the Committee</w:t>
      </w:r>
      <w:r w:rsidRPr="00416E2F">
        <w:t xml:space="preserve"> informed the State party that inter alia, the present communication was duly signed by the respective authors, who are the</w:t>
      </w:r>
      <w:r w:rsidR="00942D56" w:rsidRPr="00416E2F">
        <w:t>mselves the</w:t>
      </w:r>
      <w:r w:rsidRPr="00416E2F">
        <w:t xml:space="preserve"> alleged victims. </w:t>
      </w:r>
      <w:r w:rsidR="0091697E">
        <w:t>Regarding</w:t>
      </w:r>
      <w:r w:rsidR="00942D56" w:rsidRPr="00416E2F">
        <w:t xml:space="preserve"> the </w:t>
      </w:r>
      <w:r w:rsidRPr="00416E2F">
        <w:t>authors</w:t>
      </w:r>
      <w:r w:rsidR="00942D56" w:rsidRPr="00416E2F">
        <w:t>’ decision to</w:t>
      </w:r>
      <w:r w:rsidRPr="00416E2F">
        <w:t xml:space="preserve"> designate third parties</w:t>
      </w:r>
      <w:r w:rsidR="00942D56" w:rsidRPr="00416E2F">
        <w:t xml:space="preserve"> residing </w:t>
      </w:r>
      <w:r w:rsidRPr="00416E2F">
        <w:t xml:space="preserve">outside </w:t>
      </w:r>
      <w:r w:rsidR="00942D56" w:rsidRPr="00416E2F">
        <w:t xml:space="preserve">of </w:t>
      </w:r>
      <w:r w:rsidRPr="00416E2F">
        <w:t xml:space="preserve">the State party to receive correspondence from the Committee on their behalf, </w:t>
      </w:r>
      <w:r w:rsidR="00942D56" w:rsidRPr="00416E2F">
        <w:t xml:space="preserve">the Chairperson noted that </w:t>
      </w:r>
      <w:r w:rsidRPr="00416E2F">
        <w:t xml:space="preserve">nothing in the Optional Protocol prevents authors from indicating an address other than their own </w:t>
      </w:r>
      <w:r w:rsidR="0091697E" w:rsidRPr="00416E2F">
        <w:t xml:space="preserve">for correspondence </w:t>
      </w:r>
      <w:r w:rsidRPr="00416E2F">
        <w:t xml:space="preserve">or </w:t>
      </w:r>
      <w:r w:rsidR="00782B8C" w:rsidRPr="00416E2F">
        <w:t xml:space="preserve">from </w:t>
      </w:r>
      <w:r w:rsidRPr="00416E2F">
        <w:t xml:space="preserve">designating third parties as recipients of the Committee’s correspondence on their behalf. In this regard, </w:t>
      </w:r>
      <w:r w:rsidR="0091697E">
        <w:t>the Chairperson</w:t>
      </w:r>
      <w:r w:rsidRPr="00416E2F">
        <w:t xml:space="preserve"> highlighted that it has been the Committee’s longstanding practice that authors may designate representatives of their choice who may not </w:t>
      </w:r>
      <w:r w:rsidR="00782B8C" w:rsidRPr="00416E2F">
        <w:t xml:space="preserve">necessary </w:t>
      </w:r>
      <w:r w:rsidRPr="00416E2F">
        <w:t xml:space="preserve">live in the territory of the State party, not only to receive correspondence, but even to represent them before the Committee. Finally, the State party was again invited to submit its observations on admissibility and merits. On 20 December 2010, a first reminder </w:t>
      </w:r>
      <w:r w:rsidR="00782B8C" w:rsidRPr="00416E2F">
        <w:t xml:space="preserve">for observations </w:t>
      </w:r>
      <w:r w:rsidRPr="00416E2F">
        <w:t>was sent to the State party</w:t>
      </w:r>
      <w:r w:rsidR="00782B8C" w:rsidRPr="00416E2F">
        <w:t>.</w:t>
      </w:r>
    </w:p>
    <w:p w:rsidR="003A6411" w:rsidRPr="00416E2F" w:rsidRDefault="003A6411">
      <w:pPr>
        <w:pStyle w:val="SingleTxtG"/>
      </w:pPr>
      <w:r w:rsidRPr="00416E2F">
        <w:t xml:space="preserve">4.5 </w:t>
      </w:r>
      <w:r w:rsidR="00416E2F" w:rsidRPr="00416E2F">
        <w:tab/>
      </w:r>
      <w:r w:rsidRPr="00416E2F">
        <w:t xml:space="preserve">By </w:t>
      </w:r>
      <w:r w:rsidR="0091697E">
        <w:t>n</w:t>
      </w:r>
      <w:r w:rsidRPr="00416E2F">
        <w:t xml:space="preserve">ote </w:t>
      </w:r>
      <w:r w:rsidR="0091697E">
        <w:t>v</w:t>
      </w:r>
      <w:r w:rsidRPr="00416E2F">
        <w:t>erbale of 6 January 2011, the State party recalled that it has repeatedly expressed its legitimate concern</w:t>
      </w:r>
      <w:r w:rsidR="00782B8C" w:rsidRPr="00416E2F">
        <w:t>s</w:t>
      </w:r>
      <w:r w:rsidRPr="00416E2F">
        <w:t xml:space="preserve"> to the Committee regarding unjustified registration of individual communications. The majority of the</w:t>
      </w:r>
      <w:r w:rsidR="0091697E">
        <w:t>ir concerns</w:t>
      </w:r>
      <w:r w:rsidRPr="00416E2F">
        <w:t xml:space="preserve"> relate to the communications which were submitted by individuals who </w:t>
      </w:r>
      <w:r w:rsidR="0091697E">
        <w:t xml:space="preserve">had </w:t>
      </w:r>
      <w:r w:rsidRPr="00416E2F">
        <w:t>deliberately not exhausted all available remedies in the State party, including</w:t>
      </w:r>
      <w:r w:rsidR="0091697E">
        <w:t xml:space="preserve"> filing an </w:t>
      </w:r>
      <w:r w:rsidRPr="00416E2F">
        <w:t>, inter alia, by appeal</w:t>
      </w:r>
      <w:r w:rsidR="0091697E">
        <w:t xml:space="preserve"> with</w:t>
      </w:r>
      <w:r w:rsidRPr="00416E2F">
        <w:t xml:space="preserve"> the Prosecutor’s Office </w:t>
      </w:r>
      <w:r w:rsidR="00782B8C" w:rsidRPr="00416E2F">
        <w:t>under the supervisory review proce</w:t>
      </w:r>
      <w:r w:rsidR="0091697E">
        <w:t>dure</w:t>
      </w:r>
      <w:r w:rsidR="00782B8C" w:rsidRPr="00416E2F">
        <w:t xml:space="preserve"> </w:t>
      </w:r>
      <w:r w:rsidRPr="00416E2F">
        <w:t>against judg</w:t>
      </w:r>
      <w:r w:rsidR="0091697E">
        <w:t>e</w:t>
      </w:r>
      <w:r w:rsidRPr="00416E2F">
        <w:t>ment</w:t>
      </w:r>
      <w:r w:rsidR="00782B8C" w:rsidRPr="00416E2F">
        <w:t>s</w:t>
      </w:r>
      <w:r w:rsidRPr="00416E2F">
        <w:t xml:space="preserve"> having </w:t>
      </w:r>
      <w:r w:rsidR="00782B8C" w:rsidRPr="00416E2F">
        <w:t xml:space="preserve">acquired the </w:t>
      </w:r>
      <w:r w:rsidRPr="00416E2F">
        <w:t>force of res judicata</w:t>
      </w:r>
      <w:r w:rsidR="00B44CD7" w:rsidRPr="0091697E">
        <w:rPr>
          <w:rStyle w:val="FootnoteReference"/>
        </w:rPr>
        <w:footnoteReference w:id="4"/>
      </w:r>
      <w:r w:rsidRPr="00416E2F">
        <w:t xml:space="preserve">. </w:t>
      </w:r>
    </w:p>
    <w:p w:rsidR="003A6411" w:rsidRPr="00416E2F" w:rsidRDefault="003A6411">
      <w:pPr>
        <w:pStyle w:val="SingleTxtG"/>
      </w:pPr>
      <w:r w:rsidRPr="00416E2F">
        <w:t xml:space="preserve">4.6 </w:t>
      </w:r>
      <w:r w:rsidR="00416E2F" w:rsidRPr="00416E2F">
        <w:tab/>
      </w:r>
      <w:r w:rsidRPr="00416E2F">
        <w:t xml:space="preserve">The State party further notes that the registration </w:t>
      </w:r>
      <w:r w:rsidR="00A87D8B">
        <w:t xml:space="preserve">before the Committee </w:t>
      </w:r>
      <w:r w:rsidRPr="00416E2F">
        <w:t xml:space="preserve">of communications </w:t>
      </w:r>
      <w:r w:rsidR="00A87D8B" w:rsidRPr="00416E2F">
        <w:t>submitted by a third party (lawyers, other persons)</w:t>
      </w:r>
      <w:r w:rsidRPr="00416E2F">
        <w:t xml:space="preserve"> on behalf of individuals alleging violations of their rights is undoubtedly abuse of the Committee’s mandate, as well as of the right to submit of communications; registration of such communications is in violation of article 3 of the Optional Protocol. In addition, while being a State party to the Optional Protocol to the Covenant and having recogni</w:t>
      </w:r>
      <w:r w:rsidR="00A87D8B">
        <w:t>z</w:t>
      </w:r>
      <w:r w:rsidRPr="00416E2F">
        <w:t>ed the Committee’s competence under article 1 thereo</w:t>
      </w:r>
      <w:r w:rsidR="00A87D8B">
        <w:t>f</w:t>
      </w:r>
      <w:r w:rsidRPr="00416E2F">
        <w:t>n, the State party has not consented to the extension of the Committee’s mandate. In this regard, the Stat</w:t>
      </w:r>
      <w:r w:rsidR="00B44CD7" w:rsidRPr="00416E2F">
        <w:t>e</w:t>
      </w:r>
      <w:r w:rsidRPr="00416E2F">
        <w:t xml:space="preserve"> party notes the Committee’s “one-sided and broad interpretation </w:t>
      </w:r>
      <w:r w:rsidR="00A87D8B">
        <w:t>[</w:t>
      </w:r>
      <w:r w:rsidRPr="00416E2F">
        <w:t>…</w:t>
      </w:r>
      <w:r w:rsidR="00A87D8B">
        <w:t>]</w:t>
      </w:r>
      <w:r w:rsidRPr="00416E2F">
        <w:t xml:space="preserve"> of </w:t>
      </w:r>
      <w:r w:rsidR="00A87D8B">
        <w:t xml:space="preserve">the </w:t>
      </w:r>
      <w:r w:rsidRPr="00416E2F">
        <w:t xml:space="preserve">legal norms of the respective international treaties” and explains that the interpretation of the </w:t>
      </w:r>
      <w:r w:rsidR="00A87D8B">
        <w:t xml:space="preserve">provisions of the </w:t>
      </w:r>
      <w:r w:rsidRPr="00416E2F">
        <w:t xml:space="preserve">Covenant and the Optional Protocol shall be done strictly in accordance with articles 31, 32 and 33 of the Vienna Convention on the Law of the Treaties. It adds that according to the correct interpretation of article 1 and </w:t>
      </w:r>
      <w:r w:rsidR="00A87D8B">
        <w:t>the p</w:t>
      </w:r>
      <w:r w:rsidRPr="00416E2F">
        <w:t xml:space="preserve">reamble of the Optional Protocol to the Covenant, only communications submitted by individuals (and not by their representatives) may be registered by the Committee. </w:t>
      </w:r>
      <w:r w:rsidR="00A87D8B">
        <w:t>Consequently, t</w:t>
      </w:r>
      <w:r w:rsidRPr="00416E2F">
        <w:t xml:space="preserve">he State party concludes that it will decline every communication registered before the Committee in violation of the provisions of the aforementioned treaties and that </w:t>
      </w:r>
      <w:r w:rsidRPr="00416E2F">
        <w:lastRenderedPageBreak/>
        <w:t xml:space="preserve">any decision adopted by the Committee in relation to such communications will be considered by the State party as legally </w:t>
      </w:r>
      <w:r w:rsidR="00A87D8B">
        <w:t>in</w:t>
      </w:r>
      <w:r w:rsidRPr="00416E2F">
        <w:t>valid.</w:t>
      </w:r>
    </w:p>
    <w:p w:rsidR="003A6411" w:rsidRPr="00416E2F" w:rsidRDefault="003A6411">
      <w:pPr>
        <w:pStyle w:val="SingleTxtG"/>
      </w:pPr>
      <w:r w:rsidRPr="00416E2F">
        <w:t xml:space="preserve">4.7 </w:t>
      </w:r>
      <w:r w:rsidR="00416E2F" w:rsidRPr="00416E2F">
        <w:tab/>
      </w:r>
      <w:r w:rsidRPr="00416E2F">
        <w:t>On 20 September 2011, a second reminder was sent to the State party with a request to submit its observations on the admissibility and merits of the present case.</w:t>
      </w:r>
    </w:p>
    <w:p w:rsidR="003A6411" w:rsidRPr="00416E2F" w:rsidRDefault="003A6411">
      <w:pPr>
        <w:pStyle w:val="SingleTxtG"/>
      </w:pPr>
      <w:r w:rsidRPr="00416E2F">
        <w:t xml:space="preserve">4.8 </w:t>
      </w:r>
      <w:r w:rsidR="00416E2F" w:rsidRPr="00416E2F">
        <w:tab/>
      </w:r>
      <w:r w:rsidRPr="00416E2F">
        <w:t xml:space="preserve">By </w:t>
      </w:r>
      <w:r w:rsidR="00A87D8B">
        <w:t>n</w:t>
      </w:r>
      <w:r w:rsidRPr="00416E2F">
        <w:t xml:space="preserve">ote </w:t>
      </w:r>
      <w:r w:rsidR="00A87D8B">
        <w:t>v</w:t>
      </w:r>
      <w:r w:rsidRPr="00416E2F">
        <w:t xml:space="preserve">erbale of 5 October 2011, the State party submitted that there were no legal grounds for the consideration of the present communication, </w:t>
      </w:r>
      <w:r w:rsidR="00A87D8B">
        <w:t xml:space="preserve">either </w:t>
      </w:r>
      <w:r w:rsidRPr="00416E2F">
        <w:t xml:space="preserve">on admissibility or merits, as it was registered in violation of article 1 of the Optional Protocol to the Covenant, regardless </w:t>
      </w:r>
      <w:r w:rsidR="00A87D8B">
        <w:t xml:space="preserve">of </w:t>
      </w:r>
      <w:r w:rsidRPr="00416E2F">
        <w:t xml:space="preserve">the fact that third parties, not subject to the State party’s jurisdiction, were involved in the present communication. It reiterates that </w:t>
      </w:r>
      <w:r w:rsidR="00A87D8B">
        <w:t xml:space="preserve">the </w:t>
      </w:r>
      <w:r w:rsidRPr="00416E2F">
        <w:t xml:space="preserve">registration of communications submitted </w:t>
      </w:r>
      <w:r w:rsidR="00B36951" w:rsidRPr="00416E2F">
        <w:t xml:space="preserve">by </w:t>
      </w:r>
      <w:r w:rsidR="00B36951">
        <w:t xml:space="preserve">a </w:t>
      </w:r>
      <w:r w:rsidR="00B36951" w:rsidRPr="00416E2F">
        <w:t>third party (lawyers, other persons)</w:t>
      </w:r>
      <w:r w:rsidR="00B36951">
        <w:t xml:space="preserve"> </w:t>
      </w:r>
      <w:r w:rsidRPr="00416E2F">
        <w:t xml:space="preserve">on behalf of individuals claiming </w:t>
      </w:r>
      <w:r w:rsidR="00B44CD7" w:rsidRPr="00416E2F">
        <w:t xml:space="preserve">a </w:t>
      </w:r>
      <w:r w:rsidRPr="00416E2F">
        <w:t>violation of their rights constitutes an abuse of the Committee</w:t>
      </w:r>
      <w:r w:rsidR="00B36951">
        <w:t>’s mandate</w:t>
      </w:r>
      <w:r w:rsidRPr="00416E2F">
        <w:t xml:space="preserve"> and </w:t>
      </w:r>
      <w:r w:rsidR="00B36951">
        <w:t xml:space="preserve">of </w:t>
      </w:r>
      <w:r w:rsidRPr="00416E2F">
        <w:t xml:space="preserve">the right </w:t>
      </w:r>
      <w:r w:rsidR="00B44CD7" w:rsidRPr="00416E2F">
        <w:t xml:space="preserve">to </w:t>
      </w:r>
      <w:r w:rsidRPr="00416E2F">
        <w:t>submi</w:t>
      </w:r>
      <w:r w:rsidR="00B44CD7" w:rsidRPr="00416E2F">
        <w:t xml:space="preserve">t a </w:t>
      </w:r>
      <w:r w:rsidRPr="00416E2F">
        <w:t>communication, in violation of article 3 of the Optional Protocol to the Covenant.</w:t>
      </w:r>
    </w:p>
    <w:p w:rsidR="003A6411" w:rsidRPr="00416E2F" w:rsidRDefault="003A6411">
      <w:pPr>
        <w:pStyle w:val="SingleTxtG"/>
      </w:pPr>
      <w:r w:rsidRPr="00416E2F">
        <w:t xml:space="preserve">4.9 </w:t>
      </w:r>
      <w:r w:rsidR="00416E2F" w:rsidRPr="00416E2F">
        <w:tab/>
      </w:r>
      <w:r w:rsidRPr="00416E2F">
        <w:t xml:space="preserve">On 25 October 2011, a </w:t>
      </w:r>
      <w:r w:rsidR="00B36951">
        <w:t xml:space="preserve">third and </w:t>
      </w:r>
      <w:r w:rsidRPr="00416E2F">
        <w:t>final reminder was sent to the State party with a request to submit its observations on the admissibility and merits of the present case.</w:t>
      </w:r>
    </w:p>
    <w:p w:rsidR="003A6411" w:rsidRPr="001461F7" w:rsidRDefault="003A6411">
      <w:pPr>
        <w:pStyle w:val="SingleTxtG"/>
        <w:rPr>
          <w:rFonts w:eastAsia="SimSun"/>
        </w:rPr>
      </w:pPr>
      <w:r w:rsidRPr="00416E2F">
        <w:t xml:space="preserve">4.10 </w:t>
      </w:r>
      <w:r w:rsidR="00416E2F" w:rsidRPr="00416E2F">
        <w:tab/>
      </w:r>
      <w:r w:rsidRPr="00416E2F">
        <w:t xml:space="preserve">By </w:t>
      </w:r>
      <w:r w:rsidR="00B36951">
        <w:t>n</w:t>
      </w:r>
      <w:r w:rsidRPr="00416E2F">
        <w:t xml:space="preserve">ote </w:t>
      </w:r>
      <w:r w:rsidR="00B36951">
        <w:t>v</w:t>
      </w:r>
      <w:r w:rsidRPr="00416E2F">
        <w:t>erbale of 25 January 2012, the State party reiterate</w:t>
      </w:r>
      <w:r w:rsidR="00B44CD7" w:rsidRPr="00416E2F">
        <w:t>d</w:t>
      </w:r>
      <w:r w:rsidRPr="00416E2F">
        <w:t xml:space="preserve"> its </w:t>
      </w:r>
      <w:r w:rsidR="00B44CD7" w:rsidRPr="00416E2F">
        <w:t xml:space="preserve">previous </w:t>
      </w:r>
      <w:r w:rsidRPr="00416E2F">
        <w:t>observations</w:t>
      </w:r>
      <w:r w:rsidR="00B44CD7" w:rsidRPr="00416E2F">
        <w:t xml:space="preserve"> and those </w:t>
      </w:r>
      <w:r w:rsidRPr="00416E2F">
        <w:t>of 6 January 2011</w:t>
      </w:r>
      <w:r w:rsidR="00B44CD7" w:rsidRPr="00416E2F">
        <w:t xml:space="preserve"> in particular. It </w:t>
      </w:r>
      <w:r w:rsidRPr="00416E2F">
        <w:t>recall</w:t>
      </w:r>
      <w:r w:rsidR="00B44CD7" w:rsidRPr="00416E2F">
        <w:t>ed</w:t>
      </w:r>
      <w:r w:rsidRPr="00416E2F">
        <w:t xml:space="preserve"> that</w:t>
      </w:r>
      <w:r w:rsidR="00B44CD7" w:rsidRPr="00416E2F">
        <w:t xml:space="preserve"> by adhering to the Optional Protocol it recogni</w:t>
      </w:r>
      <w:r w:rsidR="00B36951">
        <w:t>z</w:t>
      </w:r>
      <w:r w:rsidR="00B44CD7" w:rsidRPr="00416E2F">
        <w:t>e</w:t>
      </w:r>
      <w:r w:rsidR="00B36951">
        <w:t>s</w:t>
      </w:r>
      <w:r w:rsidR="00B44CD7" w:rsidRPr="00416E2F">
        <w:t xml:space="preserve"> the Committee’s competence under article 1 thereo</w:t>
      </w:r>
      <w:r w:rsidR="0057327B" w:rsidRPr="00416E2F">
        <w:t>f</w:t>
      </w:r>
      <w:r w:rsidR="00B44CD7" w:rsidRPr="00416E2F">
        <w:t xml:space="preserve"> to receive and consider communications </w:t>
      </w:r>
      <w:r w:rsidRPr="00416E2F">
        <w:t xml:space="preserve">from individuals </w:t>
      </w:r>
      <w:r w:rsidR="00B44CD7" w:rsidRPr="00416E2F">
        <w:t xml:space="preserve">subject to its jurisdiction who claim to be victims of violation by the State party of any of the rights set forth in the Covenant. </w:t>
      </w:r>
      <w:r w:rsidR="00B36951">
        <w:t>Such</w:t>
      </w:r>
      <w:r w:rsidR="00B62857" w:rsidRPr="00416E2F">
        <w:t xml:space="preserve"> </w:t>
      </w:r>
      <w:r w:rsidRPr="00416E2F">
        <w:t xml:space="preserve">recognition of competence </w:t>
      </w:r>
      <w:r w:rsidR="00B36951">
        <w:t>also extends to</w:t>
      </w:r>
      <w:r w:rsidRPr="00416E2F">
        <w:t xml:space="preserve"> other provisions of the Optional Protocol to the Covenant, </w:t>
      </w:r>
      <w:r w:rsidR="00B62857" w:rsidRPr="00416E2F">
        <w:t xml:space="preserve">including those setting up criteria </w:t>
      </w:r>
      <w:r w:rsidR="0057327B" w:rsidRPr="00416E2F">
        <w:t xml:space="preserve">regarding </w:t>
      </w:r>
      <w:r w:rsidR="00B62857" w:rsidRPr="00416E2F">
        <w:t>petitioners and admissibility</w:t>
      </w:r>
      <w:r w:rsidR="0057327B" w:rsidRPr="00416E2F">
        <w:t>,</w:t>
      </w:r>
      <w:r w:rsidR="00B62857" w:rsidRPr="00416E2F">
        <w:t xml:space="preserve"> </w:t>
      </w:r>
      <w:r w:rsidR="0057327B" w:rsidRPr="00416E2F">
        <w:t>i</w:t>
      </w:r>
      <w:r w:rsidR="00B62857" w:rsidRPr="00416E2F">
        <w:t xml:space="preserve">n particular </w:t>
      </w:r>
      <w:r w:rsidRPr="00416E2F">
        <w:t xml:space="preserve">article 2 and </w:t>
      </w:r>
      <w:r w:rsidR="00B36951">
        <w:t xml:space="preserve">article </w:t>
      </w:r>
      <w:r w:rsidRPr="00416E2F">
        <w:t>5, paragraph 2, of the Optional Protocol</w:t>
      </w:r>
      <w:r w:rsidR="00B62857" w:rsidRPr="00416E2F">
        <w:t xml:space="preserve">. </w:t>
      </w:r>
      <w:r w:rsidRPr="00416E2F">
        <w:t>State</w:t>
      </w:r>
      <w:r w:rsidR="00B62857" w:rsidRPr="00416E2F">
        <w:t>s</w:t>
      </w:r>
      <w:r w:rsidRPr="00416E2F">
        <w:t xml:space="preserve"> parties </w:t>
      </w:r>
      <w:r w:rsidR="00B62857" w:rsidRPr="00416E2F">
        <w:t xml:space="preserve">have no obligation under the Optional Protocol </w:t>
      </w:r>
      <w:r w:rsidR="003F65A1">
        <w:t>to</w:t>
      </w:r>
      <w:r w:rsidR="00B62857" w:rsidRPr="00416E2F">
        <w:t xml:space="preserve"> recogni</w:t>
      </w:r>
      <w:r w:rsidR="003F65A1">
        <w:t>ze</w:t>
      </w:r>
      <w:r w:rsidR="00B62857" w:rsidRPr="00416E2F">
        <w:t xml:space="preserve"> </w:t>
      </w:r>
      <w:r w:rsidRPr="00416E2F">
        <w:t xml:space="preserve">the Committee’s </w:t>
      </w:r>
      <w:r w:rsidR="003F65A1">
        <w:t>r</w:t>
      </w:r>
      <w:r w:rsidRPr="00416E2F">
        <w:t xml:space="preserve">ules of </w:t>
      </w:r>
      <w:r w:rsidR="003F65A1">
        <w:t>p</w:t>
      </w:r>
      <w:r w:rsidRPr="00416E2F">
        <w:t xml:space="preserve">rocedure </w:t>
      </w:r>
      <w:r w:rsidR="003F65A1">
        <w:t>nor</w:t>
      </w:r>
      <w:r w:rsidRPr="00416E2F">
        <w:t xml:space="preserve"> its interpretation of the </w:t>
      </w:r>
      <w:r w:rsidR="003F65A1">
        <w:t xml:space="preserve">provisions of the </w:t>
      </w:r>
      <w:r w:rsidR="00B62857" w:rsidRPr="00416E2F">
        <w:t xml:space="preserve">Optional </w:t>
      </w:r>
      <w:r w:rsidRPr="00416E2F">
        <w:t>Protocol</w:t>
      </w:r>
      <w:r w:rsidR="00B62857" w:rsidRPr="00416E2F">
        <w:t xml:space="preserve">. According to the State party, this means that in </w:t>
      </w:r>
      <w:r w:rsidRPr="00416E2F">
        <w:t>the context of the complaint procedure, State</w:t>
      </w:r>
      <w:r w:rsidR="00B62857" w:rsidRPr="00416E2F">
        <w:t>s</w:t>
      </w:r>
      <w:r w:rsidRPr="00416E2F">
        <w:t xml:space="preserve"> parties should be guided first and foremost by the provisions of the Optional Protocol and that reference to the Committee’s long-standing practice, methods of work and jurisprudence </w:t>
      </w:r>
      <w:r w:rsidR="00B62857" w:rsidRPr="00416E2F">
        <w:t>“</w:t>
      </w:r>
      <w:r w:rsidRPr="00416E2F">
        <w:t>are not subject</w:t>
      </w:r>
      <w:r w:rsidR="00354F1B">
        <w:t>s</w:t>
      </w:r>
      <w:r w:rsidRPr="00416E2F">
        <w:t xml:space="preserve"> of the Optional Protocol</w:t>
      </w:r>
      <w:r w:rsidR="00B62857" w:rsidRPr="00416E2F">
        <w:t>”</w:t>
      </w:r>
      <w:r w:rsidRPr="00416E2F">
        <w:t xml:space="preserve">. It further submits that any communication registered in violation of the provisions of the Optional Protocol to the Covenant will be viewed by the State party as incompatible with the </w:t>
      </w:r>
      <w:r w:rsidR="00B62857" w:rsidRPr="00416E2F">
        <w:t xml:space="preserve">Optional </w:t>
      </w:r>
      <w:r w:rsidRPr="00416E2F">
        <w:t>Protocol and will be rejected without comments on admissibility</w:t>
      </w:r>
      <w:r w:rsidRPr="001461F7">
        <w:t xml:space="preserve"> or merits. The State party further maintains that decisions taken by the Committee on such “declined communications” will be considered by its authorities as “invalid”.</w:t>
      </w:r>
    </w:p>
    <w:p w:rsidR="003A6411" w:rsidRPr="001461F7" w:rsidRDefault="001461F7" w:rsidP="001461F7">
      <w:pPr>
        <w:pStyle w:val="H23G"/>
      </w:pPr>
      <w:r>
        <w:tab/>
      </w:r>
      <w:r>
        <w:tab/>
      </w:r>
      <w:r w:rsidR="003A6411" w:rsidRPr="001461F7">
        <w:t>Issues and proceedings before the Committee</w:t>
      </w:r>
    </w:p>
    <w:p w:rsidR="003A6411" w:rsidRPr="0007350B" w:rsidRDefault="001461F7" w:rsidP="001461F7">
      <w:pPr>
        <w:pStyle w:val="H4G"/>
      </w:pPr>
      <w:r>
        <w:tab/>
      </w:r>
      <w:r>
        <w:tab/>
      </w:r>
      <w:r w:rsidR="003A6411" w:rsidRPr="0007350B">
        <w:t>The State party’s failure to cooperate</w:t>
      </w:r>
    </w:p>
    <w:p w:rsidR="003A6411" w:rsidRPr="001461F7" w:rsidRDefault="003A6411" w:rsidP="001461F7">
      <w:pPr>
        <w:pStyle w:val="SingleTxtG"/>
      </w:pPr>
      <w:r w:rsidRPr="001461F7">
        <w:t>5.1</w:t>
      </w:r>
      <w:r w:rsidRPr="001461F7">
        <w:tab/>
        <w:t xml:space="preserve">The Committee notes the State party’s assertion that </w:t>
      </w:r>
      <w:r w:rsidRPr="001461F7">
        <w:rPr>
          <w:rFonts w:eastAsia="SimSun"/>
        </w:rPr>
        <w:t xml:space="preserve">there are no legal grounds for the consideration of the authors’ communication, insofar as it is registered in violation of the provisions of the Optional Protocol; that it has no obligations </w:t>
      </w:r>
      <w:r w:rsidR="0057327B">
        <w:rPr>
          <w:rFonts w:eastAsia="SimSun"/>
        </w:rPr>
        <w:t>regarding</w:t>
      </w:r>
      <w:r w:rsidR="0057327B" w:rsidRPr="001461F7">
        <w:rPr>
          <w:rFonts w:eastAsia="SimSun"/>
        </w:rPr>
        <w:t xml:space="preserve"> </w:t>
      </w:r>
      <w:r w:rsidRPr="001461F7">
        <w:rPr>
          <w:rFonts w:eastAsia="SimSun"/>
        </w:rPr>
        <w:t xml:space="preserve">recognition of the Committee’s rules of procedure </w:t>
      </w:r>
      <w:r w:rsidR="00354F1B">
        <w:rPr>
          <w:rFonts w:eastAsia="SimSun"/>
        </w:rPr>
        <w:t>nor</w:t>
      </w:r>
      <w:r w:rsidRPr="001461F7">
        <w:rPr>
          <w:rFonts w:eastAsia="SimSun"/>
        </w:rPr>
        <w:t xml:space="preserve"> the Committee’s interpretation of the </w:t>
      </w:r>
      <w:r w:rsidR="00354F1B">
        <w:rPr>
          <w:rFonts w:eastAsia="SimSun"/>
        </w:rPr>
        <w:t xml:space="preserve">provisions of the </w:t>
      </w:r>
      <w:r w:rsidRPr="001461F7">
        <w:rPr>
          <w:rFonts w:eastAsia="SimSun"/>
        </w:rPr>
        <w:t>Optional Protocol; and that decisions taken by the Committee on the present communication will be considered by its authorities as “invalid”</w:t>
      </w:r>
      <w:r w:rsidRPr="001461F7">
        <w:t xml:space="preserve">. </w:t>
      </w:r>
      <w:r w:rsidR="003523DA" w:rsidRPr="001461F7">
        <w:t xml:space="preserve">The </w:t>
      </w:r>
      <w:r w:rsidR="00830FA2" w:rsidRPr="001461F7">
        <w:t xml:space="preserve">Committee also notes </w:t>
      </w:r>
      <w:r w:rsidR="00C21B47" w:rsidRPr="001461F7">
        <w:t xml:space="preserve">the </w:t>
      </w:r>
      <w:r w:rsidR="00830FA2" w:rsidRPr="001461F7">
        <w:t>State party</w:t>
      </w:r>
      <w:r w:rsidR="003523DA" w:rsidRPr="001461F7">
        <w:t>’s</w:t>
      </w:r>
      <w:r w:rsidR="00830FA2" w:rsidRPr="001461F7">
        <w:t xml:space="preserve"> observation that registration of communications submitted </w:t>
      </w:r>
      <w:r w:rsidR="00354F1B" w:rsidRPr="001461F7">
        <w:t>by a third party (lawyers, other persons)</w:t>
      </w:r>
      <w:r w:rsidR="00354F1B">
        <w:t xml:space="preserve"> </w:t>
      </w:r>
      <w:r w:rsidR="00830FA2" w:rsidRPr="001461F7">
        <w:t xml:space="preserve">on behalf of individuals claiming a violation of their rights constitutes an abuse of the mandate of the Committee and </w:t>
      </w:r>
      <w:r w:rsidR="00354F1B">
        <w:t xml:space="preserve">of </w:t>
      </w:r>
      <w:r w:rsidR="00830FA2" w:rsidRPr="001461F7">
        <w:t>the right to submit a communication.</w:t>
      </w:r>
    </w:p>
    <w:p w:rsidR="003A6411" w:rsidRPr="001461F7" w:rsidRDefault="003A6411" w:rsidP="001461F7">
      <w:pPr>
        <w:pStyle w:val="SingleTxtG"/>
        <w:rPr>
          <w:rFonts w:eastAsia="SimSun"/>
        </w:rPr>
      </w:pPr>
      <w:r w:rsidRPr="001461F7">
        <w:rPr>
          <w:rFonts w:eastAsia="SimSun"/>
        </w:rPr>
        <w:t>5.2</w:t>
      </w:r>
      <w:r w:rsidRPr="001461F7">
        <w:rPr>
          <w:rFonts w:eastAsia="SimSun"/>
        </w:rPr>
        <w:tab/>
        <w:t xml:space="preserve">The Committee recalls that article 39, paragraph 2, of the Covenant </w:t>
      </w:r>
      <w:r w:rsidR="00B62857" w:rsidRPr="001461F7">
        <w:rPr>
          <w:rFonts w:eastAsia="SimSun"/>
        </w:rPr>
        <w:t>empowers</w:t>
      </w:r>
      <w:r w:rsidRPr="001461F7">
        <w:rPr>
          <w:rFonts w:eastAsia="SimSun"/>
        </w:rPr>
        <w:t xml:space="preserve"> it to establish its own rules of procedure, which the States parties have agreed to recognize. The Committee further observes that, by adhering to the Optional Protocol, a State party to the </w:t>
      </w:r>
      <w:r w:rsidRPr="001461F7">
        <w:rPr>
          <w:rFonts w:eastAsia="SimSun"/>
        </w:rPr>
        <w:lastRenderedPageBreak/>
        <w:t>Covenant recognizes the competence of the Human Rights Committee to receive and consider communications from individuals claiming to be victims of violations of any of the rights set forth in the Covenant (preamble and art. 1).</w:t>
      </w:r>
      <w:r w:rsidR="00830FA2" w:rsidRPr="001461F7">
        <w:rPr>
          <w:rFonts w:eastAsia="SimSun"/>
        </w:rPr>
        <w:t xml:space="preserve"> </w:t>
      </w:r>
      <w:r w:rsidR="00830FA2" w:rsidRPr="001461F7">
        <w:t xml:space="preserve">The Committee further </w:t>
      </w:r>
      <w:r w:rsidR="003523DA" w:rsidRPr="001461F7">
        <w:t>notes</w:t>
      </w:r>
      <w:r w:rsidR="00830FA2" w:rsidRPr="001461F7">
        <w:t xml:space="preserve"> that by denying the right of an individual to be represented by </w:t>
      </w:r>
      <w:r w:rsidR="003523DA" w:rsidRPr="001461F7">
        <w:t>a</w:t>
      </w:r>
      <w:r w:rsidR="00830FA2" w:rsidRPr="001461F7">
        <w:t xml:space="preserve"> lawyer (or </w:t>
      </w:r>
      <w:r w:rsidR="003523DA" w:rsidRPr="001461F7">
        <w:t xml:space="preserve">a </w:t>
      </w:r>
      <w:r w:rsidR="00830FA2" w:rsidRPr="001461F7">
        <w:t>designated person) of his/her choice</w:t>
      </w:r>
      <w:r w:rsidR="003523DA" w:rsidRPr="001461F7">
        <w:t xml:space="preserve"> before the Committee</w:t>
      </w:r>
      <w:r w:rsidR="00830FA2" w:rsidRPr="001461F7">
        <w:t xml:space="preserve">, </w:t>
      </w:r>
      <w:r w:rsidR="003523DA" w:rsidRPr="001461F7">
        <w:t xml:space="preserve">the </w:t>
      </w:r>
      <w:r w:rsidR="00830FA2" w:rsidRPr="001461F7">
        <w:t>State</w:t>
      </w:r>
      <w:r w:rsidR="003523DA" w:rsidRPr="001461F7">
        <w:t xml:space="preserve"> party</w:t>
      </w:r>
      <w:r w:rsidR="00830FA2" w:rsidRPr="001461F7">
        <w:t xml:space="preserve"> fails to meet its obligation</w:t>
      </w:r>
      <w:r w:rsidR="00C21B47" w:rsidRPr="001461F7">
        <w:t>s</w:t>
      </w:r>
      <w:r w:rsidR="00830FA2" w:rsidRPr="001461F7">
        <w:t xml:space="preserve"> under the Optional Protocol</w:t>
      </w:r>
      <w:r w:rsidR="003523DA" w:rsidRPr="001461F7">
        <w:t xml:space="preserve"> to the Covenant</w:t>
      </w:r>
      <w:r w:rsidR="00830FA2" w:rsidRPr="001461F7">
        <w:t>.</w:t>
      </w:r>
      <w:r w:rsidR="00C21B47" w:rsidRPr="001461F7">
        <w:t xml:space="preserve"> </w:t>
      </w:r>
      <w:r w:rsidR="00C21B47" w:rsidRPr="001461F7">
        <w:rPr>
          <w:rFonts w:eastAsia="SimSun"/>
        </w:rPr>
        <w:t>I</w:t>
      </w:r>
      <w:r w:rsidRPr="001461F7">
        <w:rPr>
          <w:rFonts w:eastAsia="SimSun"/>
        </w:rPr>
        <w:t>mplicit in a State’s adherence to the Protocol is an undertaking to cooperate with the Committee in good faith so as to permit and enable it to consider such communications, and after examination</w:t>
      </w:r>
      <w:r w:rsidR="00354F1B">
        <w:rPr>
          <w:rFonts w:eastAsia="SimSun"/>
        </w:rPr>
        <w:t>,</w:t>
      </w:r>
      <w:r w:rsidRPr="001461F7">
        <w:rPr>
          <w:rFonts w:eastAsia="SimSun"/>
        </w:rPr>
        <w:t xml:space="preserve"> to forward its views to the State party and to the individual (art. 5, paras. 1 and 4). It is incompatible with these obligations for a State party to take any action that would prevent or frustrate the Committee in its consideration and examination of </w:t>
      </w:r>
      <w:r w:rsidR="00354F1B">
        <w:rPr>
          <w:rFonts w:eastAsia="SimSun"/>
        </w:rPr>
        <w:t xml:space="preserve">a </w:t>
      </w:r>
      <w:r w:rsidRPr="001461F7">
        <w:rPr>
          <w:rFonts w:eastAsia="SimSun"/>
        </w:rPr>
        <w:t>communication and in the expression of its Views.</w:t>
      </w:r>
      <w:r w:rsidRPr="007939B7">
        <w:rPr>
          <w:rStyle w:val="FootnoteReference"/>
          <w:rFonts w:eastAsia="SimSun"/>
          <w:sz w:val="20"/>
        </w:rPr>
        <w:footnoteReference w:id="5"/>
      </w:r>
      <w:r w:rsidRPr="001461F7">
        <w:rPr>
          <w:rFonts w:eastAsia="SimSun"/>
        </w:rPr>
        <w:t> It is for the Committee to determine whether a communication should be registered. The Committee observes that, by failing to accept the competence of the Committee to determine whether a communication shall be registered and by declaring beforehand that it will not accept the determination of the Committee on the admissibility and on the merits of the communications, the State party violates its obligations under article 1 of the Optional Protocol to the Covenant.</w:t>
      </w:r>
      <w:r w:rsidRPr="007939B7">
        <w:rPr>
          <w:rStyle w:val="FootnoteReference"/>
          <w:rFonts w:eastAsia="SimSun"/>
          <w:sz w:val="20"/>
        </w:rPr>
        <w:footnoteReference w:id="6"/>
      </w:r>
      <w:r w:rsidRPr="005A29E8">
        <w:rPr>
          <w:rFonts w:eastAsia="SimSun"/>
          <w:vertAlign w:val="superscript"/>
        </w:rPr>
        <w:t xml:space="preserve"> </w:t>
      </w:r>
    </w:p>
    <w:p w:rsidR="003A6411" w:rsidRPr="001461F7" w:rsidRDefault="003A6411" w:rsidP="001461F7">
      <w:pPr>
        <w:pStyle w:val="H4G"/>
      </w:pPr>
      <w:r w:rsidRPr="001461F7">
        <w:tab/>
      </w:r>
      <w:r w:rsidRPr="001461F7">
        <w:tab/>
        <w:t>Consideration of admissibility</w:t>
      </w:r>
    </w:p>
    <w:p w:rsidR="003A6411" w:rsidRPr="001461F7" w:rsidRDefault="003A6411" w:rsidP="001461F7">
      <w:pPr>
        <w:pStyle w:val="SingleTxtG"/>
      </w:pPr>
      <w:r w:rsidRPr="001461F7">
        <w:t>6.1</w:t>
      </w:r>
      <w:r w:rsidRPr="001461F7">
        <w:tab/>
      </w:r>
      <w:r w:rsidRPr="001F618C">
        <w:t>Before considering</w:t>
      </w:r>
      <w:r w:rsidRPr="001461F7">
        <w:t xml:space="preserve"> any claim contained in a communication, the Human Rights Committee must, in accordance with rule 93 of its rules of procedure, decide whether or not the </w:t>
      </w:r>
      <w:r w:rsidR="001F618C">
        <w:t>communication</w:t>
      </w:r>
      <w:r w:rsidR="001F618C" w:rsidRPr="001461F7">
        <w:t xml:space="preserve"> </w:t>
      </w:r>
      <w:r w:rsidRPr="001461F7">
        <w:t>is admissible under the Optional Protocol to the Covenant.</w:t>
      </w:r>
    </w:p>
    <w:p w:rsidR="003A6411" w:rsidRPr="001461F7" w:rsidRDefault="003A6411" w:rsidP="001461F7">
      <w:pPr>
        <w:pStyle w:val="SingleTxtG"/>
      </w:pPr>
      <w:r w:rsidRPr="001461F7">
        <w:t>6.2</w:t>
      </w:r>
      <w:r w:rsidRPr="001461F7">
        <w:tab/>
      </w:r>
      <w:r w:rsidR="00582696">
        <w:t>A</w:t>
      </w:r>
      <w:r w:rsidRPr="001461F7">
        <w:t xml:space="preserve">s required under article 5, paragraph 2 (a), of the Optional Protocol, </w:t>
      </w:r>
      <w:r w:rsidR="00582696">
        <w:t>t</w:t>
      </w:r>
      <w:r w:rsidR="001F618C" w:rsidRPr="001461F7">
        <w:t>he Committee has ascertained</w:t>
      </w:r>
      <w:r w:rsidR="00582696">
        <w:t xml:space="preserve"> </w:t>
      </w:r>
      <w:r w:rsidRPr="001461F7">
        <w:t xml:space="preserve">that the same matter is not being examined under another procedure of international investigation or settlement. </w:t>
      </w:r>
    </w:p>
    <w:p w:rsidR="003A6411" w:rsidRPr="001461F7" w:rsidRDefault="003A6411" w:rsidP="001461F7">
      <w:pPr>
        <w:pStyle w:val="SingleTxtG"/>
      </w:pPr>
      <w:r w:rsidRPr="001461F7">
        <w:t>6.3</w:t>
      </w:r>
      <w:r w:rsidRPr="001461F7">
        <w:tab/>
      </w:r>
      <w:r w:rsidRPr="00D93727">
        <w:t>With regard to the requirement</w:t>
      </w:r>
      <w:r w:rsidRPr="001461F7">
        <w:t xml:space="preserve"> </w:t>
      </w:r>
      <w:r w:rsidR="00582696">
        <w:t>set out</w:t>
      </w:r>
      <w:r w:rsidRPr="001461F7">
        <w:t xml:space="preserve"> in article 5, paragraph 2 (b), of the Optional Protocol, in the context of the authors’ claim</w:t>
      </w:r>
      <w:r w:rsidR="003523DA" w:rsidRPr="001461F7">
        <w:t>s</w:t>
      </w:r>
      <w:r w:rsidRPr="001461F7">
        <w:t xml:space="preserve"> under article</w:t>
      </w:r>
      <w:r w:rsidR="003523DA" w:rsidRPr="001461F7">
        <w:t>s</w:t>
      </w:r>
      <w:r w:rsidRPr="001461F7">
        <w:t xml:space="preserve"> 19, paragraph 2</w:t>
      </w:r>
      <w:r w:rsidR="003523DA" w:rsidRPr="001461F7">
        <w:t xml:space="preserve"> and 21</w:t>
      </w:r>
      <w:r w:rsidRPr="001461F7">
        <w:t xml:space="preserve"> of the Covenant, the Committee note</w:t>
      </w:r>
      <w:r w:rsidR="003A2077">
        <w:t>s</w:t>
      </w:r>
      <w:r w:rsidRPr="001461F7">
        <w:t xml:space="preserve"> that in its submission of 6 January 2011 (see para. 4.</w:t>
      </w:r>
      <w:r w:rsidR="00CB4A94" w:rsidRPr="001461F7">
        <w:t>5</w:t>
      </w:r>
      <w:r w:rsidRPr="001461F7">
        <w:t xml:space="preserve"> above), the State party challenged the admissibility</w:t>
      </w:r>
      <w:r w:rsidR="00B62857" w:rsidRPr="001461F7">
        <w:t xml:space="preserve"> </w:t>
      </w:r>
      <w:r w:rsidRPr="001461F7">
        <w:t xml:space="preserve">of the present communication on the ground of non-exhaustion of domestic remedies, as </w:t>
      </w:r>
      <w:r w:rsidR="003A2077">
        <w:t>the authors had not filed a</w:t>
      </w:r>
      <w:r w:rsidRPr="001461F7">
        <w:t xml:space="preserve"> </w:t>
      </w:r>
      <w:r w:rsidR="00B62857" w:rsidRPr="001461F7">
        <w:t xml:space="preserve">request </w:t>
      </w:r>
      <w:r w:rsidRPr="001461F7">
        <w:t xml:space="preserve">for supervisory review with the Prosecutor’s Office. However, the Committee notes that the State party </w:t>
      </w:r>
      <w:r w:rsidR="003A2077">
        <w:t>did</w:t>
      </w:r>
      <w:r w:rsidRPr="001461F7">
        <w:t xml:space="preserve"> not indicated whether the procedure has been successfully applied in cases concerning freedom of expression</w:t>
      </w:r>
      <w:r w:rsidR="003523DA" w:rsidRPr="001461F7">
        <w:t xml:space="preserve"> and </w:t>
      </w:r>
      <w:r w:rsidR="003A2077">
        <w:t xml:space="preserve">the </w:t>
      </w:r>
      <w:r w:rsidR="003523DA" w:rsidRPr="001461F7">
        <w:t>right to peaceful assembly</w:t>
      </w:r>
      <w:r w:rsidR="003A2077">
        <w:t>, nor did it</w:t>
      </w:r>
      <w:r w:rsidRPr="001461F7">
        <w:t xml:space="preserve"> specif</w:t>
      </w:r>
      <w:r w:rsidR="003A2077">
        <w:t>y</w:t>
      </w:r>
      <w:r w:rsidRPr="001461F7">
        <w:t xml:space="preserve"> the number of such cases, if any. The Committee recalls its jurisprudence according to which this kind of procedure for review</w:t>
      </w:r>
      <w:r w:rsidR="003A2077">
        <w:t>ing</w:t>
      </w:r>
      <w:r w:rsidRPr="001461F7">
        <w:t xml:space="preserve"> court decisions that have taken effect does not constitute a remedy </w:t>
      </w:r>
      <w:r w:rsidR="003A2077">
        <w:t xml:space="preserve">that </w:t>
      </w:r>
      <w:r w:rsidRPr="001461F7">
        <w:t>has to be exhausted for the purposes of article 5, paragraph 2 (b), of the Optional Protocol</w:t>
      </w:r>
      <w:r w:rsidRPr="007939B7">
        <w:rPr>
          <w:rStyle w:val="FootnoteReference"/>
          <w:sz w:val="20"/>
        </w:rPr>
        <w:footnoteReference w:id="7"/>
      </w:r>
      <w:r w:rsidRPr="001461F7">
        <w:t>. In the circumstances, the Committee considers that it is not precluded by article 5, paragraph 2 (b), of the Optional Protocol from examining th</w:t>
      </w:r>
      <w:r w:rsidR="00B62857" w:rsidRPr="001461F7">
        <w:t xml:space="preserve">is part of the </w:t>
      </w:r>
      <w:r w:rsidRPr="001461F7">
        <w:t>communication.</w:t>
      </w:r>
    </w:p>
    <w:p w:rsidR="003A6411" w:rsidRPr="001461F7" w:rsidRDefault="003A6411" w:rsidP="001461F7">
      <w:pPr>
        <w:pStyle w:val="SingleTxtG"/>
      </w:pPr>
      <w:r w:rsidRPr="001461F7">
        <w:t xml:space="preserve">6.4. </w:t>
      </w:r>
      <w:r w:rsidR="005A29E8">
        <w:tab/>
      </w:r>
      <w:r w:rsidRPr="001461F7">
        <w:t xml:space="preserve">With regard to the authors’ claim that their rights under article 14, paragraph 1, of the Covenant have been violated as one of the authors’ request to </w:t>
      </w:r>
      <w:r w:rsidR="009B690D">
        <w:t xml:space="preserve">have </w:t>
      </w:r>
      <w:r w:rsidRPr="001461F7">
        <w:t>witnesses</w:t>
      </w:r>
      <w:r w:rsidR="009B690D">
        <w:t xml:space="preserve"> summoned for questioning</w:t>
      </w:r>
      <w:r w:rsidRPr="001461F7">
        <w:t xml:space="preserve"> in court was dismissed, the Committee notes that, in essence, </w:t>
      </w:r>
      <w:r w:rsidRPr="001461F7">
        <w:lastRenderedPageBreak/>
        <w:t>the authors’ complaint relates to the manner</w:t>
      </w:r>
      <w:r w:rsidR="0057327B">
        <w:t xml:space="preserve"> in which</w:t>
      </w:r>
      <w:r w:rsidRPr="001461F7">
        <w:t xml:space="preserve"> national courts have evaluated evidence and what </w:t>
      </w:r>
      <w:r w:rsidR="009B690D">
        <w:t xml:space="preserve">specific </w:t>
      </w:r>
      <w:r w:rsidRPr="001461F7">
        <w:t>evidence</w:t>
      </w:r>
      <w:r w:rsidR="00B62857" w:rsidRPr="001461F7">
        <w:t xml:space="preserve"> </w:t>
      </w:r>
      <w:r w:rsidRPr="001461F7">
        <w:t xml:space="preserve">was of relevance in the framework of </w:t>
      </w:r>
      <w:r w:rsidR="009B690D">
        <w:t>the</w:t>
      </w:r>
      <w:r w:rsidR="00B62857" w:rsidRPr="001461F7">
        <w:t xml:space="preserve"> </w:t>
      </w:r>
      <w:r w:rsidRPr="001461F7">
        <w:t xml:space="preserve">court trial. The Committee observes that these allegations relate primarily to the evaluation of elements of facts and evidence by the court. It recalls that it is generally </w:t>
      </w:r>
      <w:r w:rsidR="009B690D">
        <w:t xml:space="preserve">up to </w:t>
      </w:r>
      <w:r w:rsidRPr="001461F7">
        <w:t>the courts of</w:t>
      </w:r>
      <w:r w:rsidR="009B690D">
        <w:t xml:space="preserve"> a</w:t>
      </w:r>
      <w:r w:rsidRPr="001461F7">
        <w:t xml:space="preserve"> State part</w:t>
      </w:r>
      <w:r w:rsidR="009B690D">
        <w:t>y</w:t>
      </w:r>
      <w:r w:rsidRPr="001461F7">
        <w:t xml:space="preserve"> to evaluate </w:t>
      </w:r>
      <w:r w:rsidR="009B690D">
        <w:t xml:space="preserve">the </w:t>
      </w:r>
      <w:r w:rsidRPr="001461F7">
        <w:t xml:space="preserve">facts and evidence in a particular case, unless it can be ascertained that </w:t>
      </w:r>
      <w:r w:rsidR="009B690D">
        <w:t>such</w:t>
      </w:r>
      <w:r w:rsidRPr="001461F7">
        <w:t xml:space="preserve"> evaluation was clearly arbitrary or amounted to a denial of justice, or that the court otherwise violated its obligation of independence and impartiality.</w:t>
      </w:r>
      <w:r w:rsidRPr="0057327B">
        <w:rPr>
          <w:vertAlign w:val="superscript"/>
        </w:rPr>
        <w:footnoteReference w:id="8"/>
      </w:r>
      <w:r w:rsidRPr="001461F7">
        <w:t xml:space="preserve"> </w:t>
      </w:r>
      <w:r w:rsidR="00B62857" w:rsidRPr="001461F7">
        <w:t>The Committee considers that</w:t>
      </w:r>
      <w:r w:rsidR="009B690D">
        <w:t>,</w:t>
      </w:r>
      <w:r w:rsidR="00B62857" w:rsidRPr="001461F7">
        <w:t xml:space="preserve"> i</w:t>
      </w:r>
      <w:r w:rsidRPr="001461F7">
        <w:t xml:space="preserve">n the present communication, </w:t>
      </w:r>
      <w:r w:rsidR="0057327B" w:rsidRPr="001461F7">
        <w:t>the authors have failed to demonstrate that</w:t>
      </w:r>
      <w:r w:rsidR="0057327B">
        <w:t xml:space="preserve"> </w:t>
      </w:r>
      <w:r w:rsidRPr="001461F7">
        <w:t xml:space="preserve">the court’s conclusions in </w:t>
      </w:r>
      <w:r w:rsidR="00BE7FEE">
        <w:t>their case</w:t>
      </w:r>
      <w:r w:rsidRPr="001461F7">
        <w:t xml:space="preserve"> had reached the threshold of arbitrariness in the evaluation of the evidence or amounted to a denial of justice. Accordingly, the Committee considers that the authors</w:t>
      </w:r>
      <w:r w:rsidR="00000AF6" w:rsidRPr="001461F7">
        <w:t xml:space="preserve"> have </w:t>
      </w:r>
      <w:r w:rsidR="009B690D">
        <w:t>not</w:t>
      </w:r>
      <w:r w:rsidR="00000AF6" w:rsidRPr="001461F7">
        <w:t xml:space="preserve"> sufficiently substantiate</w:t>
      </w:r>
      <w:r w:rsidR="009B690D">
        <w:t>d</w:t>
      </w:r>
      <w:r w:rsidR="00000AF6" w:rsidRPr="001461F7">
        <w:t xml:space="preserve"> their </w:t>
      </w:r>
      <w:r w:rsidRPr="001461F7">
        <w:t>allegations under article 14, paragraph 1, of the Covenant</w:t>
      </w:r>
      <w:r w:rsidR="00FE50FC">
        <w:t xml:space="preserve">, therefore it considers </w:t>
      </w:r>
      <w:r w:rsidR="00000AF6" w:rsidRPr="001461F7">
        <w:t xml:space="preserve">this part of the communication </w:t>
      </w:r>
      <w:r w:rsidRPr="001461F7">
        <w:t xml:space="preserve">inadmissible under article 2 of the Optional Protocol. </w:t>
      </w:r>
    </w:p>
    <w:p w:rsidR="003A6411" w:rsidRPr="001461F7" w:rsidRDefault="003A6411" w:rsidP="001461F7">
      <w:pPr>
        <w:pStyle w:val="SingleTxtG"/>
      </w:pPr>
      <w:r w:rsidRPr="001461F7">
        <w:t xml:space="preserve">6.5 </w:t>
      </w:r>
      <w:r w:rsidR="005A29E8">
        <w:tab/>
      </w:r>
      <w:r w:rsidR="00FE50FC">
        <w:t>A</w:t>
      </w:r>
      <w:r w:rsidRPr="001461F7">
        <w:t xml:space="preserve">s to the alleged violations of the authors’ rights under article 26 of the Covenant, </w:t>
      </w:r>
      <w:r w:rsidR="00000AF6" w:rsidRPr="001461F7">
        <w:t xml:space="preserve">in the absence of any further pertinent information on file, </w:t>
      </w:r>
      <w:r w:rsidRPr="001461F7">
        <w:t xml:space="preserve">the Committee considers </w:t>
      </w:r>
      <w:r w:rsidR="00FE50FC">
        <w:t xml:space="preserve">that </w:t>
      </w:r>
      <w:r w:rsidR="003523DA" w:rsidRPr="001461F7">
        <w:t xml:space="preserve">this </w:t>
      </w:r>
      <w:r w:rsidRPr="001461F7">
        <w:t xml:space="preserve">claim </w:t>
      </w:r>
      <w:r w:rsidR="00FE50FC">
        <w:t xml:space="preserve">is not </w:t>
      </w:r>
      <w:r w:rsidRPr="001461F7">
        <w:t>sufficiently substantiated for purposes of admissibility</w:t>
      </w:r>
      <w:r w:rsidR="00FE50FC">
        <w:t>, and</w:t>
      </w:r>
      <w:r w:rsidRPr="001461F7">
        <w:t xml:space="preserve"> concludes that this part of the communication is also inadmissible under article 2 of the Optional Protocol.</w:t>
      </w:r>
    </w:p>
    <w:p w:rsidR="003A6411" w:rsidRPr="001461F7" w:rsidRDefault="003A6411" w:rsidP="001461F7">
      <w:pPr>
        <w:pStyle w:val="SingleTxtG"/>
      </w:pPr>
      <w:r w:rsidRPr="001461F7">
        <w:t xml:space="preserve">6.6 </w:t>
      </w:r>
      <w:r w:rsidR="005A29E8">
        <w:tab/>
      </w:r>
      <w:r w:rsidR="00FE50FC">
        <w:t>Finally, t</w:t>
      </w:r>
      <w:r w:rsidRPr="001461F7">
        <w:t>he Committee considers that the authors have sufficiently substantiated</w:t>
      </w:r>
      <w:r w:rsidR="00000AF6" w:rsidRPr="001461F7">
        <w:t xml:space="preserve"> </w:t>
      </w:r>
      <w:r w:rsidRPr="001461F7">
        <w:t>their remaining claim</w:t>
      </w:r>
      <w:r w:rsidR="003523DA" w:rsidRPr="001461F7">
        <w:t>s</w:t>
      </w:r>
      <w:r w:rsidRPr="001461F7">
        <w:t xml:space="preserve"> </w:t>
      </w:r>
      <w:r w:rsidR="00FE50FC">
        <w:t xml:space="preserve">that </w:t>
      </w:r>
      <w:r w:rsidRPr="001461F7">
        <w:t>rais</w:t>
      </w:r>
      <w:r w:rsidR="00FE50FC">
        <w:t>e</w:t>
      </w:r>
      <w:r w:rsidRPr="001461F7">
        <w:t xml:space="preserve"> issues </w:t>
      </w:r>
      <w:r w:rsidR="00FE50FC">
        <w:t xml:space="preserve">covered by </w:t>
      </w:r>
      <w:r w:rsidRPr="001461F7">
        <w:t>under article 19, paragraph 2</w:t>
      </w:r>
      <w:r w:rsidR="00FE50FC">
        <w:t>,</w:t>
      </w:r>
      <w:r w:rsidR="00AE4DA2" w:rsidRPr="001461F7">
        <w:t xml:space="preserve"> </w:t>
      </w:r>
      <w:r w:rsidR="005B61F2" w:rsidRPr="001461F7">
        <w:t>and</w:t>
      </w:r>
      <w:r w:rsidR="00AE4DA2" w:rsidRPr="001461F7">
        <w:t xml:space="preserve"> </w:t>
      </w:r>
      <w:r w:rsidR="005B61F2" w:rsidRPr="001461F7">
        <w:t>article</w:t>
      </w:r>
      <w:r w:rsidR="00AE4DA2" w:rsidRPr="001461F7">
        <w:t xml:space="preserve"> 21 </w:t>
      </w:r>
      <w:r w:rsidRPr="001461F7">
        <w:t>of the Covenant</w:t>
      </w:r>
      <w:r w:rsidR="00000AF6" w:rsidRPr="001461F7">
        <w:t xml:space="preserve"> for purposes of admissibility</w:t>
      </w:r>
      <w:r w:rsidRPr="001461F7">
        <w:t xml:space="preserve">. It declares </w:t>
      </w:r>
      <w:r w:rsidR="00C21B47" w:rsidRPr="001461F7">
        <w:t xml:space="preserve">this part of the communication </w:t>
      </w:r>
      <w:r w:rsidRPr="001461F7">
        <w:t xml:space="preserve">admissible </w:t>
      </w:r>
      <w:r w:rsidR="00FE50FC">
        <w:t xml:space="preserve">with </w:t>
      </w:r>
      <w:r w:rsidRPr="001461F7">
        <w:t>regard</w:t>
      </w:r>
      <w:r w:rsidR="00FE50FC">
        <w:t xml:space="preserve"> to</w:t>
      </w:r>
      <w:r w:rsidRPr="001461F7">
        <w:t xml:space="preserve"> th</w:t>
      </w:r>
      <w:r w:rsidR="00FE50FC">
        <w:t>ese</w:t>
      </w:r>
      <w:r w:rsidRPr="001461F7">
        <w:t xml:space="preserve"> provision</w:t>
      </w:r>
      <w:r w:rsidR="00FE50FC">
        <w:t>s</w:t>
      </w:r>
      <w:r w:rsidRPr="001461F7">
        <w:t xml:space="preserve"> of the Covenant and proceeds to its examination on the merits.</w:t>
      </w:r>
    </w:p>
    <w:p w:rsidR="003A6411" w:rsidRPr="001461F7" w:rsidRDefault="003A6411" w:rsidP="001461F7">
      <w:pPr>
        <w:pStyle w:val="H4G"/>
      </w:pPr>
      <w:r w:rsidRPr="001461F7">
        <w:tab/>
      </w:r>
      <w:r w:rsidRPr="001461F7">
        <w:tab/>
        <w:t>Consideration of the merits</w:t>
      </w:r>
    </w:p>
    <w:p w:rsidR="003A6411" w:rsidRPr="0007350B" w:rsidRDefault="003A6411" w:rsidP="001461F7">
      <w:pPr>
        <w:pStyle w:val="SingleTxtG"/>
      </w:pPr>
      <w:r w:rsidRPr="0007350B">
        <w:t xml:space="preserve">7.1 </w:t>
      </w:r>
      <w:r w:rsidR="005A29E8">
        <w:tab/>
      </w:r>
      <w:r w:rsidRPr="0007350B">
        <w:t xml:space="preserve">The Human Rights Committee has considered the present communication in </w:t>
      </w:r>
      <w:r w:rsidR="00FE50FC">
        <w:t xml:space="preserve">the </w:t>
      </w:r>
      <w:r w:rsidRPr="0007350B">
        <w:t>light of all the information made available to it by the parties, as required under article 5, paragraph 1, of the Optional Protocol.</w:t>
      </w:r>
    </w:p>
    <w:p w:rsidR="00FF13E1" w:rsidRDefault="003A6411" w:rsidP="00FF13E1">
      <w:pPr>
        <w:pStyle w:val="SingleTxtG"/>
      </w:pPr>
      <w:r w:rsidRPr="0007350B">
        <w:t xml:space="preserve">7.2 </w:t>
      </w:r>
      <w:r w:rsidR="005A29E8">
        <w:tab/>
      </w:r>
      <w:r w:rsidRPr="0007350B">
        <w:t xml:space="preserve">The Committee notes the authors’ claim that their freedom of expression </w:t>
      </w:r>
      <w:r w:rsidR="00DF5ADA">
        <w:t xml:space="preserve">and assembly </w:t>
      </w:r>
      <w:r w:rsidRPr="0007350B">
        <w:t>has been restricted arbitrarily</w:t>
      </w:r>
      <w:r w:rsidRPr="00107C20">
        <w:t>, since neither the decisio</w:t>
      </w:r>
      <w:r w:rsidRPr="0007350B">
        <w:t>n of the Deputy</w:t>
      </w:r>
      <w:r w:rsidR="00107C20">
        <w:t xml:space="preserve"> </w:t>
      </w:r>
      <w:r w:rsidRPr="0007350B">
        <w:t>Chair of Brest City Executive Committee, nor the</w:t>
      </w:r>
      <w:r w:rsidR="00107C20">
        <w:t xml:space="preserve"> decisions of the</w:t>
      </w:r>
      <w:r w:rsidRPr="0007350B">
        <w:t xml:space="preserve"> domestic courts provided any justification as to the reasons for the restriction to hold pickets</w:t>
      </w:r>
      <w:r w:rsidR="00107C20">
        <w:t>,</w:t>
      </w:r>
      <w:r w:rsidRPr="0007350B">
        <w:t xml:space="preserve"> other than the formal application of </w:t>
      </w:r>
      <w:r w:rsidR="00107C20">
        <w:t xml:space="preserve">the Executive Committee’s </w:t>
      </w:r>
      <w:r w:rsidRPr="0007350B">
        <w:t>Decision No</w:t>
      </w:r>
      <w:r w:rsidR="00107C20">
        <w:t>.</w:t>
      </w:r>
      <w:r w:rsidRPr="0007350B">
        <w:t xml:space="preserve"> 1715 of 25 October 2006 </w:t>
      </w:r>
      <w:r w:rsidR="00107C20">
        <w:t xml:space="preserve">which </w:t>
      </w:r>
      <w:r w:rsidRPr="0007350B">
        <w:t>designat</w:t>
      </w:r>
      <w:r w:rsidR="00107C20">
        <w:t>es</w:t>
      </w:r>
      <w:r w:rsidRPr="0007350B">
        <w:t xml:space="preserve"> a sport complex outside the city centre as the ordinary location for public gatherings in Brest. The authors </w:t>
      </w:r>
      <w:r w:rsidR="00074946">
        <w:t xml:space="preserve">further </w:t>
      </w:r>
      <w:r w:rsidRPr="0007350B">
        <w:t xml:space="preserve">claim that </w:t>
      </w:r>
      <w:r w:rsidR="00FF13E1">
        <w:t>consigning</w:t>
      </w:r>
      <w:r w:rsidR="00FF13E1" w:rsidRPr="0007350B">
        <w:t xml:space="preserve"> mass events to a single location </w:t>
      </w:r>
      <w:r w:rsidR="00816193" w:rsidRPr="00806172">
        <w:t>restrict</w:t>
      </w:r>
      <w:r w:rsidR="00816193" w:rsidRPr="008A1325">
        <w:t>s the right</w:t>
      </w:r>
      <w:r w:rsidR="00107C20">
        <w:t>s</w:t>
      </w:r>
      <w:r w:rsidR="00816193" w:rsidRPr="008A1325">
        <w:t xml:space="preserve"> of </w:t>
      </w:r>
      <w:r w:rsidR="00816193" w:rsidRPr="00806172">
        <w:t>all 300</w:t>
      </w:r>
      <w:r w:rsidR="00107C20">
        <w:t>,</w:t>
      </w:r>
      <w:r w:rsidR="00816193" w:rsidRPr="00806172">
        <w:t>000 citizens of Brest to conduct</w:t>
      </w:r>
      <w:r w:rsidR="00816193" w:rsidRPr="008A1325">
        <w:t xml:space="preserve"> peaceful assemblies</w:t>
      </w:r>
      <w:r w:rsidR="00561C32">
        <w:t xml:space="preserve"> as it </w:t>
      </w:r>
      <w:r w:rsidR="00FF13E1" w:rsidRPr="0007350B">
        <w:t xml:space="preserve">moves </w:t>
      </w:r>
      <w:r w:rsidR="00FF13E1">
        <w:t xml:space="preserve">most </w:t>
      </w:r>
      <w:r w:rsidR="00FF13E1" w:rsidRPr="0007350B">
        <w:t xml:space="preserve">mass events </w:t>
      </w:r>
      <w:r w:rsidR="00816193">
        <w:t xml:space="preserve">to </w:t>
      </w:r>
      <w:r w:rsidR="008D5804">
        <w:t xml:space="preserve">an </w:t>
      </w:r>
      <w:r w:rsidR="00816193">
        <w:t>isolated location</w:t>
      </w:r>
      <w:r w:rsidR="008D5804">
        <w:t xml:space="preserve"> in a</w:t>
      </w:r>
      <w:r w:rsidR="00816193">
        <w:t xml:space="preserve"> stadium</w:t>
      </w:r>
      <w:r w:rsidR="008D5804">
        <w:t xml:space="preserve"> that is</w:t>
      </w:r>
      <w:r w:rsidR="00816193">
        <w:t xml:space="preserve"> </w:t>
      </w:r>
      <w:r w:rsidR="00816193" w:rsidRPr="0007350B">
        <w:t>surrounded by a concrete wall</w:t>
      </w:r>
      <w:r w:rsidR="00CA489A">
        <w:t>,</w:t>
      </w:r>
      <w:r w:rsidR="00816193">
        <w:t xml:space="preserve"> and </w:t>
      </w:r>
      <w:r w:rsidR="00074946">
        <w:t>thus</w:t>
      </w:r>
      <w:r w:rsidR="00FE75FA">
        <w:t xml:space="preserve"> </w:t>
      </w:r>
      <w:r w:rsidR="00FF13E1">
        <w:t xml:space="preserve">arbitrarily </w:t>
      </w:r>
      <w:r w:rsidR="00FE75FA">
        <w:t>limits</w:t>
      </w:r>
      <w:r w:rsidR="00FF13E1" w:rsidRPr="0007350B">
        <w:t xml:space="preserve"> </w:t>
      </w:r>
      <w:r w:rsidR="00FF13E1">
        <w:t>the right</w:t>
      </w:r>
      <w:r w:rsidR="00074946">
        <w:t>s</w:t>
      </w:r>
      <w:r w:rsidR="00FE75FA">
        <w:t xml:space="preserve"> guaranteed</w:t>
      </w:r>
      <w:r w:rsidR="00FF13E1">
        <w:t xml:space="preserve"> under article 21</w:t>
      </w:r>
      <w:r w:rsidR="00CA489A">
        <w:t xml:space="preserve"> of the Covenant</w:t>
      </w:r>
      <w:r w:rsidR="00FF13E1">
        <w:t>.</w:t>
      </w:r>
      <w:r w:rsidR="00FF13E1" w:rsidRPr="0007350B">
        <w:t xml:space="preserve"> </w:t>
      </w:r>
    </w:p>
    <w:p w:rsidR="00EC0A2B" w:rsidRDefault="003A6411">
      <w:pPr>
        <w:pStyle w:val="SingleTxtG"/>
      </w:pPr>
      <w:r w:rsidRPr="0007350B">
        <w:t xml:space="preserve">7.3 </w:t>
      </w:r>
      <w:r w:rsidR="005A29E8">
        <w:tab/>
      </w:r>
      <w:r w:rsidR="00CA489A">
        <w:t xml:space="preserve">The </w:t>
      </w:r>
      <w:r w:rsidR="008B2AD4">
        <w:t>Committee further notes that Decision</w:t>
      </w:r>
      <w:r w:rsidR="00BE7FEE">
        <w:t xml:space="preserve"> No</w:t>
      </w:r>
      <w:r w:rsidR="008D5804">
        <w:t>.</w:t>
      </w:r>
      <w:r w:rsidR="00BE7FEE">
        <w:t xml:space="preserve"> </w:t>
      </w:r>
      <w:r w:rsidR="008B2AD4">
        <w:t xml:space="preserve">1715 of </w:t>
      </w:r>
      <w:r w:rsidR="00BE7FEE">
        <w:t xml:space="preserve">Brest City </w:t>
      </w:r>
      <w:r w:rsidR="00DF5ADA">
        <w:t xml:space="preserve">Executive Committee </w:t>
      </w:r>
      <w:r w:rsidR="008D5804">
        <w:t xml:space="preserve">which </w:t>
      </w:r>
      <w:r w:rsidR="004C428C">
        <w:t>determin</w:t>
      </w:r>
      <w:r w:rsidR="008D5804">
        <w:t>es the</w:t>
      </w:r>
      <w:r w:rsidR="008B2AD4">
        <w:t xml:space="preserve"> sport s</w:t>
      </w:r>
      <w:r w:rsidR="00E4787E">
        <w:t xml:space="preserve">tadium as the sole </w:t>
      </w:r>
      <w:r w:rsidR="004C428C">
        <w:t>loca</w:t>
      </w:r>
      <w:r w:rsidR="00E4787E">
        <w:t xml:space="preserve">tion for </w:t>
      </w:r>
      <w:r w:rsidR="008D5804">
        <w:t xml:space="preserve">holding </w:t>
      </w:r>
      <w:r w:rsidR="00E4787E">
        <w:t>mass public events</w:t>
      </w:r>
      <w:r w:rsidR="004C428C">
        <w:t xml:space="preserve"> </w:t>
      </w:r>
      <w:r w:rsidR="00FF13E1">
        <w:t>(</w:t>
      </w:r>
      <w:r w:rsidR="002B15D0">
        <w:t xml:space="preserve">with </w:t>
      </w:r>
      <w:r w:rsidR="008D5804">
        <w:t>the</w:t>
      </w:r>
      <w:r w:rsidR="002B15D0">
        <w:t xml:space="preserve"> </w:t>
      </w:r>
      <w:r w:rsidR="00FF13E1">
        <w:t>except</w:t>
      </w:r>
      <w:r w:rsidR="002B15D0">
        <w:t>ion of</w:t>
      </w:r>
      <w:r w:rsidR="00FF13E1">
        <w:t xml:space="preserve"> street demonstrations and </w:t>
      </w:r>
      <w:r w:rsidR="00611E54">
        <w:t>street processions</w:t>
      </w:r>
      <w:r w:rsidR="00FF13E1">
        <w:t>)</w:t>
      </w:r>
      <w:r w:rsidR="00CA489A">
        <w:t>, and the related</w:t>
      </w:r>
      <w:r w:rsidR="00FF13E1">
        <w:t xml:space="preserve"> </w:t>
      </w:r>
      <w:r w:rsidR="00183C56">
        <w:t>decisions</w:t>
      </w:r>
      <w:r w:rsidR="004C428C">
        <w:t xml:space="preserve"> of </w:t>
      </w:r>
      <w:r w:rsidR="008D5804">
        <w:t xml:space="preserve">the </w:t>
      </w:r>
      <w:r w:rsidR="004C428C">
        <w:t>domestic courts</w:t>
      </w:r>
      <w:r w:rsidR="008D5804">
        <w:t xml:space="preserve"> which </w:t>
      </w:r>
      <w:r w:rsidR="00CA489A">
        <w:t>find</w:t>
      </w:r>
      <w:r w:rsidR="008D5804">
        <w:t xml:space="preserve"> the</w:t>
      </w:r>
      <w:r w:rsidR="00E4787E">
        <w:t xml:space="preserve"> restrictions imposed on </w:t>
      </w:r>
      <w:r w:rsidR="008D5804">
        <w:t xml:space="preserve">the </w:t>
      </w:r>
      <w:r w:rsidR="00E4787E">
        <w:t xml:space="preserve">authors </w:t>
      </w:r>
      <w:r w:rsidR="008D5804">
        <w:t xml:space="preserve">to be </w:t>
      </w:r>
      <w:r w:rsidR="00E4787E">
        <w:t xml:space="preserve">in conformity with the Law on Mass Events and </w:t>
      </w:r>
      <w:r w:rsidR="00DF5ADA">
        <w:t xml:space="preserve">the </w:t>
      </w:r>
      <w:r w:rsidR="00E4787E">
        <w:t>Constitution of Belarus,</w:t>
      </w:r>
      <w:r w:rsidR="00CA489A">
        <w:t xml:space="preserve"> do not provide any justificatio</w:t>
      </w:r>
      <w:r w:rsidR="00611E54">
        <w:t>n as to the restriction imposed. In particular, the Committee notes the decision of 9 April 2009 of the Brest Regional Cour</w:t>
      </w:r>
      <w:r w:rsidR="00343502">
        <w:t>t within cassation proceedings,</w:t>
      </w:r>
      <w:r w:rsidR="00611E54">
        <w:t xml:space="preserve"> whereby it concluded that the authors </w:t>
      </w:r>
      <w:r w:rsidR="008D5804">
        <w:t xml:space="preserve">application </w:t>
      </w:r>
      <w:r w:rsidR="00611E54">
        <w:t xml:space="preserve">to hold pickets at the desired location </w:t>
      </w:r>
      <w:r w:rsidR="008D5804">
        <w:t>was</w:t>
      </w:r>
      <w:r w:rsidR="00343502">
        <w:t xml:space="preserve"> refus</w:t>
      </w:r>
      <w:r w:rsidR="008D5804">
        <w:t>ed</w:t>
      </w:r>
      <w:r w:rsidR="00F85ADE">
        <w:t xml:space="preserve"> </w:t>
      </w:r>
      <w:r w:rsidR="00F85ADE">
        <w:lastRenderedPageBreak/>
        <w:t>lawfully</w:t>
      </w:r>
      <w:r w:rsidR="00611E54">
        <w:t xml:space="preserve"> </w:t>
      </w:r>
      <w:r w:rsidR="008D5804">
        <w:t>on the basis of</w:t>
      </w:r>
      <w:r w:rsidR="00611E54">
        <w:t xml:space="preserve"> Decision No</w:t>
      </w:r>
      <w:r w:rsidR="008D5804">
        <w:t>.</w:t>
      </w:r>
      <w:r w:rsidR="00611E54">
        <w:t xml:space="preserve"> 1715 which prescribes that mass events, including pickets</w:t>
      </w:r>
      <w:r w:rsidR="00E93461" w:rsidRPr="008A1325">
        <w:t xml:space="preserve">, i.e. a possibility to </w:t>
      </w:r>
      <w:r w:rsidR="00E93461" w:rsidRPr="00806172">
        <w:t>congregat</w:t>
      </w:r>
      <w:r w:rsidR="008D5804">
        <w:t>ing</w:t>
      </w:r>
      <w:r w:rsidR="00E93461" w:rsidRPr="00806172">
        <w:t xml:space="preserve"> </w:t>
      </w:r>
      <w:r w:rsidR="00E93461" w:rsidRPr="008A1325">
        <w:t>at</w:t>
      </w:r>
      <w:r w:rsidR="00E93461" w:rsidRPr="00806172">
        <w:t xml:space="preserve"> a </w:t>
      </w:r>
      <w:r w:rsidR="00E93461" w:rsidRPr="008A1325">
        <w:t xml:space="preserve">specific </w:t>
      </w:r>
      <w:r w:rsidR="00E93461" w:rsidRPr="00806172">
        <w:t xml:space="preserve">location </w:t>
      </w:r>
      <w:r w:rsidR="00E93461" w:rsidRPr="008A1325">
        <w:t>with</w:t>
      </w:r>
      <w:r w:rsidR="00E93461" w:rsidRPr="00806172">
        <w:t xml:space="preserve"> </w:t>
      </w:r>
      <w:r w:rsidR="00E93461">
        <w:t xml:space="preserve">the </w:t>
      </w:r>
      <w:r w:rsidR="00E93461" w:rsidRPr="00806172">
        <w:t>intent</w:t>
      </w:r>
      <w:r w:rsidR="00E93461" w:rsidRPr="008A1325">
        <w:t xml:space="preserve"> </w:t>
      </w:r>
      <w:r w:rsidR="008D5804">
        <w:t>of</w:t>
      </w:r>
      <w:r w:rsidR="00E93461" w:rsidRPr="00806172">
        <w:t xml:space="preserve"> </w:t>
      </w:r>
      <w:r w:rsidR="00E93461" w:rsidRPr="008A1325">
        <w:t>support</w:t>
      </w:r>
      <w:r w:rsidR="008D5804">
        <w:t>ing</w:t>
      </w:r>
      <w:r w:rsidR="00E93461" w:rsidRPr="008A1325">
        <w:t xml:space="preserve"> or </w:t>
      </w:r>
      <w:r w:rsidR="00E93461" w:rsidRPr="00806172">
        <w:t>disapprov</w:t>
      </w:r>
      <w:r w:rsidR="008D5804">
        <w:t>ing</w:t>
      </w:r>
      <w:r w:rsidR="00E93461" w:rsidRPr="008A1325">
        <w:t xml:space="preserve"> </w:t>
      </w:r>
      <w:r w:rsidR="0040644E">
        <w:t>a</w:t>
      </w:r>
      <w:r w:rsidR="00E93461" w:rsidRPr="008A1325">
        <w:t xml:space="preserve"> particular </w:t>
      </w:r>
      <w:r w:rsidR="00E93461" w:rsidRPr="00806172">
        <w:t>cause</w:t>
      </w:r>
      <w:r w:rsidR="00E93461">
        <w:t>,</w:t>
      </w:r>
      <w:r w:rsidR="00343502">
        <w:t xml:space="preserve"> with or without informative materials, </w:t>
      </w:r>
      <w:r w:rsidR="00611E54">
        <w:t>are to be held in the</w:t>
      </w:r>
      <w:r w:rsidR="00343502">
        <w:t xml:space="preserve"> </w:t>
      </w:r>
      <w:r w:rsidR="0040644E">
        <w:t xml:space="preserve">Lokomotiv </w:t>
      </w:r>
      <w:r w:rsidR="00343502">
        <w:t>sports</w:t>
      </w:r>
      <w:r w:rsidR="00611E54">
        <w:t xml:space="preserve"> stadium</w:t>
      </w:r>
      <w:r w:rsidR="00343502">
        <w:t xml:space="preserve">. </w:t>
      </w:r>
      <w:r w:rsidR="00611E54">
        <w:t xml:space="preserve"> </w:t>
      </w:r>
    </w:p>
    <w:p w:rsidR="00EC0A2B" w:rsidRDefault="00EC0A2B">
      <w:pPr>
        <w:pStyle w:val="SingleTxtG"/>
      </w:pPr>
      <w:r w:rsidRPr="008A1325">
        <w:t xml:space="preserve">7. </w:t>
      </w:r>
      <w:r w:rsidR="00183C56">
        <w:t>4</w:t>
      </w:r>
      <w:r w:rsidRPr="008A1325">
        <w:t xml:space="preserve"> </w:t>
      </w:r>
      <w:r w:rsidRPr="008A1325">
        <w:tab/>
      </w:r>
      <w:r w:rsidR="00114F6B" w:rsidRPr="00343A3E">
        <w:t>The Committee r</w:t>
      </w:r>
      <w:r w:rsidR="00114F6B">
        <w:t>ecalls that t</w:t>
      </w:r>
      <w:r w:rsidRPr="00806172">
        <w:t>he right of peaceful assembly</w:t>
      </w:r>
      <w:r w:rsidRPr="008A1325">
        <w:t xml:space="preserve">, as </w:t>
      </w:r>
      <w:r w:rsidRPr="00806172">
        <w:t>guaranteed</w:t>
      </w:r>
      <w:r w:rsidRPr="008A1325">
        <w:t xml:space="preserve"> under a</w:t>
      </w:r>
      <w:r w:rsidRPr="00806172">
        <w:t xml:space="preserve">rticle </w:t>
      </w:r>
      <w:r w:rsidRPr="008A1325">
        <w:t xml:space="preserve">21 of the Covenant, </w:t>
      </w:r>
      <w:r w:rsidRPr="00806172">
        <w:t xml:space="preserve">is </w:t>
      </w:r>
      <w:r w:rsidR="00CA489A">
        <w:t>a</w:t>
      </w:r>
      <w:r w:rsidRPr="008A1325">
        <w:t xml:space="preserve"> </w:t>
      </w:r>
      <w:r w:rsidRPr="00806172">
        <w:t xml:space="preserve">fundamental </w:t>
      </w:r>
      <w:r w:rsidRPr="008A1325">
        <w:t xml:space="preserve">human </w:t>
      </w:r>
      <w:r w:rsidRPr="00806172">
        <w:t>right</w:t>
      </w:r>
      <w:r w:rsidRPr="008A1325">
        <w:t xml:space="preserve"> </w:t>
      </w:r>
      <w:r w:rsidR="00343A3E">
        <w:t>that</w:t>
      </w:r>
      <w:r w:rsidR="00E93461">
        <w:t xml:space="preserve"> is</w:t>
      </w:r>
      <w:r w:rsidRPr="008A1325">
        <w:t xml:space="preserve"> essential for public </w:t>
      </w:r>
      <w:r w:rsidRPr="00806172">
        <w:t>expression</w:t>
      </w:r>
      <w:r w:rsidRPr="008A1325">
        <w:t xml:space="preserve"> of </w:t>
      </w:r>
      <w:r w:rsidRPr="00806172">
        <w:t>one’s</w:t>
      </w:r>
      <w:r w:rsidRPr="008A1325">
        <w:t xml:space="preserve"> views and opinions and </w:t>
      </w:r>
      <w:r w:rsidRPr="00806172">
        <w:t>indispensable</w:t>
      </w:r>
      <w:r w:rsidRPr="008A1325">
        <w:t xml:space="preserve"> in a democratic society. This </w:t>
      </w:r>
      <w:r w:rsidRPr="00806172">
        <w:t>right</w:t>
      </w:r>
      <w:r w:rsidRPr="008A1325">
        <w:t xml:space="preserve"> entails </w:t>
      </w:r>
      <w:r w:rsidR="00E93461">
        <w:t>the</w:t>
      </w:r>
      <w:r w:rsidRPr="008A1325">
        <w:t xml:space="preserve"> possibility </w:t>
      </w:r>
      <w:r w:rsidR="00343A3E">
        <w:t>of</w:t>
      </w:r>
      <w:r w:rsidR="00E93461">
        <w:t xml:space="preserve"> organiz</w:t>
      </w:r>
      <w:r w:rsidR="00343A3E">
        <w:t>ing</w:t>
      </w:r>
      <w:r w:rsidRPr="008A1325">
        <w:t xml:space="preserve"> and participat</w:t>
      </w:r>
      <w:r w:rsidR="00343A3E">
        <w:t>ing</w:t>
      </w:r>
      <w:r w:rsidRPr="008A1325">
        <w:t xml:space="preserve"> in a peaceful assembly, </w:t>
      </w:r>
      <w:r w:rsidRPr="00806172">
        <w:t>includ</w:t>
      </w:r>
      <w:r w:rsidRPr="008A1325">
        <w:t xml:space="preserve">ing </w:t>
      </w:r>
      <w:r w:rsidR="006D707D">
        <w:t xml:space="preserve">the right </w:t>
      </w:r>
      <w:r w:rsidRPr="008A1325">
        <w:t xml:space="preserve">to </w:t>
      </w:r>
      <w:r w:rsidR="008F4ED4">
        <w:t xml:space="preserve">a stationary assembly </w:t>
      </w:r>
      <w:r w:rsidR="00343A3E">
        <w:t xml:space="preserve">(such as a picket) </w:t>
      </w:r>
      <w:r w:rsidR="008F4ED4">
        <w:t>in a public location. The organi</w:t>
      </w:r>
      <w:r w:rsidR="00343A3E">
        <w:t>z</w:t>
      </w:r>
      <w:r w:rsidR="008F4ED4">
        <w:t xml:space="preserve">ers of an assembly generally have the right to choose a location within sight and sound of their target audience and no restriction to this right </w:t>
      </w:r>
      <w:r w:rsidR="00343A3E">
        <w:t>is</w:t>
      </w:r>
      <w:r w:rsidR="008F4ED4">
        <w:t xml:space="preserve"> permissible</w:t>
      </w:r>
      <w:r w:rsidR="00343A3E">
        <w:t>,</w:t>
      </w:r>
      <w:r w:rsidR="008F4ED4">
        <w:t xml:space="preserve"> unless </w:t>
      </w:r>
      <w:r w:rsidR="00343A3E">
        <w:t>(</w:t>
      </w:r>
      <w:r w:rsidR="00AB3396">
        <w:t>a)</w:t>
      </w:r>
      <w:r w:rsidR="00343A3E">
        <w:t xml:space="preserve"> </w:t>
      </w:r>
      <w:r w:rsidR="008F4ED4">
        <w:t>imposed in conformity with the law</w:t>
      </w:r>
      <w:r w:rsidR="00343A3E">
        <w:t>,</w:t>
      </w:r>
      <w:r w:rsidR="008F4ED4">
        <w:t xml:space="preserve"> and (</w:t>
      </w:r>
      <w:r w:rsidR="00AB3396">
        <w:t>b</w:t>
      </w:r>
      <w:r w:rsidR="008F4ED4">
        <w:t>) necessary in a democratic society</w:t>
      </w:r>
      <w:r w:rsidR="00343A3E">
        <w:t>,</w:t>
      </w:r>
      <w:r w:rsidR="008F4ED4">
        <w:t xml:space="preserve"> in the interests of national</w:t>
      </w:r>
      <w:r w:rsidR="008F4ED4" w:rsidRPr="00806172">
        <w:t xml:space="preserve"> security or public safety, public order</w:t>
      </w:r>
      <w:r w:rsidR="008F4ED4" w:rsidRPr="008A1325">
        <w:t>, protection of public health or morals or protection of the rights and freedoms of others</w:t>
      </w:r>
      <w:r w:rsidR="008F4ED4">
        <w:t xml:space="preserve">. When a State party imposes restrictions with the aim </w:t>
      </w:r>
      <w:r w:rsidR="00343A3E">
        <w:t>of</w:t>
      </w:r>
      <w:r w:rsidR="008F4ED4">
        <w:t xml:space="preserve"> </w:t>
      </w:r>
      <w:r w:rsidR="00AC7C12">
        <w:t>reconcil</w:t>
      </w:r>
      <w:r w:rsidR="00343A3E">
        <w:t>ing</w:t>
      </w:r>
      <w:r w:rsidR="008F4ED4">
        <w:t xml:space="preserve"> an individual’s right to assembly and the aforementioned interests of general concern, it should be guided by the objective to facilitate the right, rather than seeking unnecessary or disproportionate limitations to it. The State party is thus under the obligation to justify the limitation of the right protected by article 21 of the Covenant.  </w:t>
      </w:r>
    </w:p>
    <w:p w:rsidR="006D707D" w:rsidRDefault="00EC0A2B">
      <w:pPr>
        <w:pStyle w:val="SingleTxtG"/>
      </w:pPr>
      <w:r w:rsidRPr="007C54B4">
        <w:t>7.</w:t>
      </w:r>
      <w:r w:rsidR="00183C56" w:rsidRPr="007C54B4">
        <w:t>5</w:t>
      </w:r>
      <w:r w:rsidRPr="007C54B4">
        <w:tab/>
      </w:r>
      <w:r w:rsidR="007C54B4" w:rsidRPr="007C54B4">
        <w:t xml:space="preserve">In the present case, a pedestrian zone in the city of Brest was chosen by the authors as </w:t>
      </w:r>
      <w:r w:rsidR="008E1B58">
        <w:t>the</w:t>
      </w:r>
      <w:r w:rsidR="007C54B4" w:rsidRPr="007C54B4">
        <w:t xml:space="preserve"> intended location </w:t>
      </w:r>
      <w:r w:rsidR="008E1B58">
        <w:t xml:space="preserve">to hold a picket, </w:t>
      </w:r>
      <w:r w:rsidR="008E1B58" w:rsidRPr="007C54B4">
        <w:t>from 1</w:t>
      </w:r>
      <w:r w:rsidR="008E1B58">
        <w:t xml:space="preserve"> p.m.</w:t>
      </w:r>
      <w:r w:rsidR="008E1B58" w:rsidRPr="007C54B4">
        <w:t xml:space="preserve"> to </w:t>
      </w:r>
      <w:r w:rsidR="008E1B58">
        <w:t>3 p.m. on</w:t>
      </w:r>
      <w:r w:rsidR="008E1B58" w:rsidRPr="007C54B4">
        <w:t xml:space="preserve"> three consecutive days</w:t>
      </w:r>
      <w:r w:rsidR="007C54B4" w:rsidRPr="007C54B4">
        <w:t xml:space="preserve">, with the aim </w:t>
      </w:r>
      <w:r w:rsidR="008E1B58">
        <w:t>of</w:t>
      </w:r>
      <w:r w:rsidR="007C54B4" w:rsidRPr="007C54B4">
        <w:t xml:space="preserve"> draw</w:t>
      </w:r>
      <w:r w:rsidR="008E1B58">
        <w:t>ing</w:t>
      </w:r>
      <w:r w:rsidR="007C54B4" w:rsidRPr="007C54B4">
        <w:t xml:space="preserve"> </w:t>
      </w:r>
      <w:r w:rsidR="008E1B58">
        <w:t>citizens</w:t>
      </w:r>
      <w:r w:rsidR="007C54B4" w:rsidRPr="007C54B4">
        <w:t>’ attention to the issues regarding the erection of a monument devoted to the 1</w:t>
      </w:r>
      <w:r w:rsidR="008E1B58">
        <w:t>,</w:t>
      </w:r>
      <w:r w:rsidR="007C54B4" w:rsidRPr="007C54B4">
        <w:t>000</w:t>
      </w:r>
      <w:r w:rsidR="007C54B4" w:rsidRPr="008E1B58">
        <w:t>th</w:t>
      </w:r>
      <w:r w:rsidR="007C54B4" w:rsidRPr="007C54B4">
        <w:t xml:space="preserve"> anniversary of Brest</w:t>
      </w:r>
      <w:r w:rsidR="006D707D">
        <w:t>,</w:t>
      </w:r>
      <w:r w:rsidR="008F4ED4">
        <w:t xml:space="preserve"> but their request was rejected</w:t>
      </w:r>
      <w:r w:rsidR="005D6057">
        <w:t xml:space="preserve">. </w:t>
      </w:r>
      <w:r w:rsidR="00593248" w:rsidRPr="001F4506">
        <w:t xml:space="preserve">In these circumstances and in absence of any explanations from the State party, the Committee finds the decision of the </w:t>
      </w:r>
      <w:r w:rsidR="00593248">
        <w:t xml:space="preserve">State party’s </w:t>
      </w:r>
      <w:r w:rsidR="00593248" w:rsidRPr="001F4506">
        <w:t>authorities deny</w:t>
      </w:r>
      <w:r w:rsidR="008E1B58">
        <w:t>ing</w:t>
      </w:r>
      <w:r w:rsidR="00593248" w:rsidRPr="001F4506">
        <w:t xml:space="preserve"> the </w:t>
      </w:r>
      <w:r w:rsidR="008E1B58">
        <w:t xml:space="preserve">authors’ </w:t>
      </w:r>
      <w:r w:rsidR="00593248" w:rsidRPr="001F4506">
        <w:t xml:space="preserve">right to assemble peacefully at the public location of their choice to be unjustified. The </w:t>
      </w:r>
      <w:r w:rsidR="00593248">
        <w:t>Committee also notes</w:t>
      </w:r>
      <w:r w:rsidR="008E1B58">
        <w:t>, based on</w:t>
      </w:r>
      <w:r w:rsidR="00593248">
        <w:t xml:space="preserve"> the material on file</w:t>
      </w:r>
      <w:r w:rsidR="008E1B58">
        <w:t>,</w:t>
      </w:r>
      <w:r w:rsidR="00593248">
        <w:t xml:space="preserve"> that in their replies to the authors, the national authorities</w:t>
      </w:r>
      <w:r w:rsidR="00593248" w:rsidRPr="001F4506">
        <w:t xml:space="preserve"> failed to demonstrate how a picket held in the </w:t>
      </w:r>
      <w:r w:rsidR="008E1B58">
        <w:t xml:space="preserve">said </w:t>
      </w:r>
      <w:r w:rsidR="00593248" w:rsidRPr="001F4506">
        <w:t>location would necessarily jeopardize national security, public safety</w:t>
      </w:r>
      <w:r w:rsidR="008E1B58">
        <w:t>, public</w:t>
      </w:r>
      <w:r w:rsidR="00593248" w:rsidRPr="001F4506">
        <w:t xml:space="preserve"> order, </w:t>
      </w:r>
      <w:r w:rsidR="008E1B58">
        <w:t xml:space="preserve">the </w:t>
      </w:r>
      <w:r w:rsidR="00593248" w:rsidRPr="001F4506">
        <w:t>protection of public health or morals or</w:t>
      </w:r>
      <w:r w:rsidR="008E1B58">
        <w:t xml:space="preserve"> </w:t>
      </w:r>
      <w:r w:rsidR="00593248" w:rsidRPr="001F4506">
        <w:t xml:space="preserve"> the protection of the rights and freedoms of others.</w:t>
      </w:r>
      <w:r w:rsidR="00593248" w:rsidRPr="001F4506">
        <w:rPr>
          <w:b/>
          <w:bCs/>
        </w:rPr>
        <w:t xml:space="preserve"> </w:t>
      </w:r>
      <w:r w:rsidR="00593248" w:rsidRPr="001F4506">
        <w:rPr>
          <w:bCs/>
        </w:rPr>
        <w:t xml:space="preserve">The Committee notes </w:t>
      </w:r>
      <w:r w:rsidR="00593248" w:rsidRPr="001F0EE8">
        <w:rPr>
          <w:bCs/>
        </w:rPr>
        <w:t xml:space="preserve">that </w:t>
      </w:r>
      <w:r w:rsidR="00593248" w:rsidRPr="001F0EE8">
        <w:t>the thus de facto prohibition</w:t>
      </w:r>
      <w:r w:rsidR="00593248" w:rsidRPr="001F0EE8">
        <w:rPr>
          <w:bCs/>
        </w:rPr>
        <w:t xml:space="preserve"> of </w:t>
      </w:r>
      <w:r w:rsidR="008E1B58">
        <w:rPr>
          <w:bCs/>
        </w:rPr>
        <w:t>an</w:t>
      </w:r>
      <w:r w:rsidR="00593248" w:rsidRPr="001F0EE8">
        <w:rPr>
          <w:bCs/>
        </w:rPr>
        <w:t xml:space="preserve"> assembly </w:t>
      </w:r>
      <w:r w:rsidR="008E1B58">
        <w:rPr>
          <w:bCs/>
        </w:rPr>
        <w:t>in</w:t>
      </w:r>
      <w:r w:rsidR="00593248" w:rsidRPr="001F0EE8">
        <w:rPr>
          <w:bCs/>
        </w:rPr>
        <w:t xml:space="preserve"> any public location in the entire city of </w:t>
      </w:r>
      <w:smartTag w:uri="urn:schemas-microsoft-com:office:smarttags" w:element="place">
        <w:smartTag w:uri="urn:schemas-microsoft-com:office:smarttags" w:element="City">
          <w:r w:rsidR="00593248" w:rsidRPr="001F0EE8">
            <w:rPr>
              <w:bCs/>
            </w:rPr>
            <w:t>Brest</w:t>
          </w:r>
        </w:smartTag>
      </w:smartTag>
      <w:r w:rsidR="00593248" w:rsidRPr="001F0EE8">
        <w:rPr>
          <w:bCs/>
        </w:rPr>
        <w:t>, with the exception</w:t>
      </w:r>
      <w:r w:rsidR="00593248" w:rsidRPr="001F4506">
        <w:rPr>
          <w:bCs/>
        </w:rPr>
        <w:t xml:space="preserve"> of the Lokomotiv</w:t>
      </w:r>
      <w:r w:rsidR="008E1B58">
        <w:rPr>
          <w:bCs/>
        </w:rPr>
        <w:t xml:space="preserve"> stadium</w:t>
      </w:r>
      <w:r w:rsidR="00593248" w:rsidRPr="001F4506">
        <w:rPr>
          <w:bCs/>
        </w:rPr>
        <w:t>, unduly limits the right to freedom of assembly. In these circumstances</w:t>
      </w:r>
      <w:r w:rsidR="008E1B58">
        <w:rPr>
          <w:bCs/>
        </w:rPr>
        <w:t>,</w:t>
      </w:r>
      <w:r w:rsidR="00593248" w:rsidRPr="001F4506">
        <w:rPr>
          <w:bCs/>
        </w:rPr>
        <w:t xml:space="preserve"> the Committee concludes that the authors’ right under article 21 of the Covenant has been violated.</w:t>
      </w:r>
      <w:r w:rsidR="00593248">
        <w:rPr>
          <w:bCs/>
        </w:rPr>
        <w:t xml:space="preserve"> </w:t>
      </w:r>
      <w:r w:rsidR="007C54B4" w:rsidRPr="007C54B4">
        <w:t xml:space="preserve"> </w:t>
      </w:r>
    </w:p>
    <w:p w:rsidR="00183C56" w:rsidRPr="0007350B" w:rsidRDefault="00183C56">
      <w:pPr>
        <w:pStyle w:val="SingleTxtG"/>
      </w:pPr>
      <w:r>
        <w:t>7.</w:t>
      </w:r>
      <w:r w:rsidR="003E5DBC">
        <w:t>6</w:t>
      </w:r>
      <w:r>
        <w:t xml:space="preserve"> </w:t>
      </w:r>
      <w:r w:rsidR="005A29E8">
        <w:tab/>
      </w:r>
      <w:r w:rsidRPr="0007350B">
        <w:t>The Committee</w:t>
      </w:r>
      <w:r w:rsidR="00BE7FEE">
        <w:t xml:space="preserve"> </w:t>
      </w:r>
      <w:r w:rsidRPr="0007350B">
        <w:t xml:space="preserve">notes the </w:t>
      </w:r>
      <w:r w:rsidRPr="003D0E94">
        <w:t>authors’ clai</w:t>
      </w:r>
      <w:r w:rsidRPr="0007350B">
        <w:t xml:space="preserve">m that their </w:t>
      </w:r>
      <w:r>
        <w:t xml:space="preserve">right to impart information regarding </w:t>
      </w:r>
      <w:r w:rsidR="00D0178F">
        <w:t xml:space="preserve">the </w:t>
      </w:r>
      <w:r w:rsidR="00D0178F" w:rsidRPr="0007350B">
        <w:t xml:space="preserve">problems that occurred in the course of </w:t>
      </w:r>
      <w:r w:rsidR="00F17FE9">
        <w:t xml:space="preserve">the </w:t>
      </w:r>
      <w:r w:rsidR="00D0178F" w:rsidRPr="0007350B">
        <w:t>preparation of a monument de</w:t>
      </w:r>
      <w:r w:rsidR="003D0E94">
        <w:t>dica</w:t>
      </w:r>
      <w:r w:rsidR="00D0178F" w:rsidRPr="0007350B">
        <w:t>ted to the 1</w:t>
      </w:r>
      <w:r w:rsidR="003D0E94">
        <w:t>,</w:t>
      </w:r>
      <w:r w:rsidR="00D0178F" w:rsidRPr="0007350B">
        <w:t>000</w:t>
      </w:r>
      <w:r w:rsidR="00D0178F" w:rsidRPr="003D0E94">
        <w:t>th</w:t>
      </w:r>
      <w:r w:rsidR="00D0178F" w:rsidRPr="0007350B">
        <w:t xml:space="preserve"> anniversary of </w:t>
      </w:r>
      <w:smartTag w:uri="urn:schemas-microsoft-com:office:smarttags" w:element="place">
        <w:smartTag w:uri="urn:schemas-microsoft-com:office:smarttags" w:element="City">
          <w:r w:rsidR="00D0178F" w:rsidRPr="0007350B">
            <w:t>Brest</w:t>
          </w:r>
        </w:smartTag>
      </w:smartTag>
      <w:r>
        <w:t xml:space="preserve"> </w:t>
      </w:r>
      <w:r w:rsidR="00D0178F">
        <w:t>is</w:t>
      </w:r>
      <w:r>
        <w:t xml:space="preserve"> protected under article 19, paragraph 2, of the Covenant. </w:t>
      </w:r>
      <w:r w:rsidR="00BE7FEE">
        <w:t>The a</w:t>
      </w:r>
      <w:r w:rsidR="00074946">
        <w:t>uthors</w:t>
      </w:r>
      <w:r>
        <w:t xml:space="preserve"> assert that</w:t>
      </w:r>
      <w:r w:rsidRPr="0007350B">
        <w:t xml:space="preserve"> the restriction in question was neither justified by reasons of national security</w:t>
      </w:r>
      <w:r w:rsidR="00F17FE9">
        <w:t>,</w:t>
      </w:r>
      <w:r w:rsidRPr="0007350B">
        <w:t xml:space="preserve"> nor public safety, public order, the protection of public health or morals, and was not necessary for the protection of th</w:t>
      </w:r>
      <w:r w:rsidR="008B2AD4">
        <w:t>e rights and freedoms of others</w:t>
      </w:r>
      <w:r w:rsidR="00AB3396">
        <w:t xml:space="preserve">, and </w:t>
      </w:r>
      <w:r w:rsidR="00F17FE9">
        <w:t>was</w:t>
      </w:r>
      <w:r w:rsidR="008B2AD4">
        <w:t xml:space="preserve"> th</w:t>
      </w:r>
      <w:r w:rsidR="00AB3396">
        <w:t>erefore a</w:t>
      </w:r>
      <w:r w:rsidRPr="0007350B">
        <w:t xml:space="preserve"> breach of their rights under article 19, paragraph 2, of the Covenant. </w:t>
      </w:r>
    </w:p>
    <w:p w:rsidR="003A6411" w:rsidRPr="0007350B" w:rsidRDefault="0059644D">
      <w:pPr>
        <w:pStyle w:val="SingleTxtG"/>
      </w:pPr>
      <w:r>
        <w:t>7.</w:t>
      </w:r>
      <w:r w:rsidR="003E5DBC">
        <w:t>7</w:t>
      </w:r>
      <w:r>
        <w:t xml:space="preserve"> </w:t>
      </w:r>
      <w:r w:rsidR="005A29E8">
        <w:tab/>
      </w:r>
      <w:r w:rsidR="003A6411" w:rsidRPr="0007350B">
        <w:t xml:space="preserve">The Committee </w:t>
      </w:r>
      <w:r w:rsidR="00000AF6" w:rsidRPr="0007350B">
        <w:t xml:space="preserve">recalls </w:t>
      </w:r>
      <w:r w:rsidR="003A6411" w:rsidRPr="0007350B">
        <w:t xml:space="preserve">that article 19, paragraph 3, of the Covenant </w:t>
      </w:r>
      <w:r w:rsidR="00183C56">
        <w:t>allows</w:t>
      </w:r>
      <w:r w:rsidR="00183C56" w:rsidRPr="0007350B">
        <w:t xml:space="preserve"> </w:t>
      </w:r>
      <w:r w:rsidR="003A6411" w:rsidRPr="0007350B">
        <w:t xml:space="preserve">certain restrictions only as provided by law and necessary (a) for </w:t>
      </w:r>
      <w:r w:rsidR="00F17FE9">
        <w:t xml:space="preserve">the </w:t>
      </w:r>
      <w:r w:rsidR="003A6411" w:rsidRPr="0007350B">
        <w:t>respect of the rights and reputation of others</w:t>
      </w:r>
      <w:r w:rsidR="00AB3396">
        <w:t>,</w:t>
      </w:r>
      <w:r w:rsidR="003A6411" w:rsidRPr="0007350B">
        <w:t xml:space="preserve"> and (b) for the protection of national security or public order (ordre public) or public health or morals. </w:t>
      </w:r>
      <w:r w:rsidR="00000AF6" w:rsidRPr="0007350B">
        <w:t>The Committee refers to i</w:t>
      </w:r>
      <w:r w:rsidR="003A6411" w:rsidRPr="0007350B">
        <w:t xml:space="preserve">ts general comment No. 34, </w:t>
      </w:r>
      <w:r w:rsidR="00001AEA" w:rsidRPr="00847982">
        <w:t xml:space="preserve">which </w:t>
      </w:r>
      <w:r w:rsidR="00AB3396" w:rsidRPr="00847982">
        <w:t>states th</w:t>
      </w:r>
      <w:r w:rsidR="00AB3396">
        <w:t xml:space="preserve">at </w:t>
      </w:r>
      <w:r w:rsidR="003A6411" w:rsidRPr="0007350B">
        <w:t>freedom of opinion and freedom of expression are indispensable conditions for the full development of the person</w:t>
      </w:r>
      <w:r w:rsidR="007E6711">
        <w:t>, and</w:t>
      </w:r>
      <w:r w:rsidR="00F85ADE">
        <w:t xml:space="preserve"> </w:t>
      </w:r>
      <w:r w:rsidR="003A6411" w:rsidRPr="0007350B">
        <w:t xml:space="preserve">such freedoms are essential for any </w:t>
      </w:r>
      <w:r w:rsidR="003A6411" w:rsidRPr="0007350B">
        <w:lastRenderedPageBreak/>
        <w:t>society</w:t>
      </w:r>
      <w:r w:rsidR="00847982">
        <w:t>. They</w:t>
      </w:r>
      <w:r w:rsidR="003A6411" w:rsidRPr="0007350B">
        <w:t xml:space="preserve"> constitute the foundation stone for every free and democratic society.</w:t>
      </w:r>
      <w:r w:rsidR="003A6411" w:rsidRPr="0007350B">
        <w:rPr>
          <w:rStyle w:val="FootnoteReference"/>
          <w:sz w:val="24"/>
          <w:szCs w:val="24"/>
        </w:rPr>
        <w:footnoteReference w:id="9"/>
      </w:r>
      <w:r w:rsidR="003A6411" w:rsidRPr="0007350B">
        <w:t xml:space="preserve"> Any restriction on the exercise of such freedoms must conform to </w:t>
      </w:r>
      <w:r w:rsidR="00847982">
        <w:t xml:space="preserve">the </w:t>
      </w:r>
      <w:r w:rsidR="003A6411" w:rsidRPr="0007350B">
        <w:t>strict tests of necessity and proportionality</w:t>
      </w:r>
      <w:r w:rsidR="00847982">
        <w:t>. Restrictions must</w:t>
      </w:r>
      <w:r w:rsidR="003A6411" w:rsidRPr="0007350B">
        <w:t xml:space="preserve"> be applied only for those purposes for which they were prescribed and must be directly related to the specific need on which they are predicated.</w:t>
      </w:r>
      <w:r w:rsidR="003A6411" w:rsidRPr="0007350B">
        <w:rPr>
          <w:rStyle w:val="FootnoteReference"/>
          <w:sz w:val="24"/>
          <w:szCs w:val="24"/>
        </w:rPr>
        <w:footnoteReference w:id="10"/>
      </w:r>
    </w:p>
    <w:p w:rsidR="003A6411" w:rsidRPr="0007350B" w:rsidRDefault="003A6411" w:rsidP="001461F7">
      <w:pPr>
        <w:pStyle w:val="SingleTxtG"/>
      </w:pPr>
      <w:r w:rsidRPr="0007350B">
        <w:t>7.</w:t>
      </w:r>
      <w:r w:rsidR="007C54B4">
        <w:t>8</w:t>
      </w:r>
      <w:r w:rsidRPr="0007350B">
        <w:t xml:space="preserve"> </w:t>
      </w:r>
      <w:r w:rsidRPr="0007350B">
        <w:tab/>
        <w:t>The Committee recalls</w:t>
      </w:r>
      <w:r w:rsidR="006010A7" w:rsidRPr="0007350B">
        <w:rPr>
          <w:rStyle w:val="FootnoteReference"/>
          <w:sz w:val="24"/>
          <w:szCs w:val="24"/>
        </w:rPr>
        <w:footnoteReference w:id="11"/>
      </w:r>
      <w:r w:rsidRPr="0007350B">
        <w:t xml:space="preserve"> that it is for the State party to demonstrate that the restrictions on the authors’ right</w:t>
      </w:r>
      <w:r w:rsidR="00C669B0">
        <w:t>s</w:t>
      </w:r>
      <w:r w:rsidRPr="0007350B">
        <w:t xml:space="preserve"> under article 19 were necessary and justified, and that even if</w:t>
      </w:r>
      <w:r w:rsidR="005B487E">
        <w:t>,</w:t>
      </w:r>
      <w:r w:rsidRPr="0007350B">
        <w:t xml:space="preserve"> in principle</w:t>
      </w:r>
      <w:r w:rsidR="005B487E">
        <w:t>,</w:t>
      </w:r>
      <w:r w:rsidRPr="0007350B">
        <w:t xml:space="preserve"> States parties may introduce a system aim</w:t>
      </w:r>
      <w:r w:rsidR="005B487E">
        <w:t>ed at</w:t>
      </w:r>
      <w:r w:rsidRPr="0007350B">
        <w:t xml:space="preserve"> </w:t>
      </w:r>
      <w:r w:rsidR="00AC7C12">
        <w:t>reconcil</w:t>
      </w:r>
      <w:r w:rsidR="005B487E">
        <w:t>ing</w:t>
      </w:r>
      <w:r w:rsidRPr="0007350B">
        <w:t xml:space="preserve"> an individual’s freedom to impart information and the general interest </w:t>
      </w:r>
      <w:r w:rsidR="005B487E">
        <w:t>of</w:t>
      </w:r>
      <w:r w:rsidRPr="0007350B">
        <w:t xml:space="preserve"> maintaining public order in a certain area, such system must not operate in a way that is incompatible with article 19 of the Covenant. The Committee notes that the State party has not submitted any observations on the merits of the present com</w:t>
      </w:r>
      <w:r w:rsidR="00001AEA" w:rsidRPr="0007350B">
        <w:t>munication</w:t>
      </w:r>
      <w:r w:rsidRPr="0007350B">
        <w:t xml:space="preserve">. However, the Committee points out that the national authorities </w:t>
      </w:r>
      <w:r w:rsidR="005B487E">
        <w:t xml:space="preserve">refused to allow the authors </w:t>
      </w:r>
      <w:r w:rsidRPr="0007350B">
        <w:t>to hold pickets</w:t>
      </w:r>
      <w:r w:rsidR="00001AEA" w:rsidRPr="0007350B">
        <w:t xml:space="preserve"> at </w:t>
      </w:r>
      <w:r w:rsidRPr="0007350B">
        <w:t xml:space="preserve">the location </w:t>
      </w:r>
      <w:r w:rsidR="00001AEA" w:rsidRPr="0007350B">
        <w:t xml:space="preserve">of their choice </w:t>
      </w:r>
      <w:r w:rsidRPr="0007350B">
        <w:t xml:space="preserve">and thus restricted </w:t>
      </w:r>
      <w:r w:rsidR="005B487E">
        <w:t xml:space="preserve">their right </w:t>
      </w:r>
      <w:r w:rsidRPr="0007350B">
        <w:t xml:space="preserve">to impart their concerns </w:t>
      </w:r>
      <w:r w:rsidR="00001AEA" w:rsidRPr="0007350B">
        <w:t xml:space="preserve">regarding </w:t>
      </w:r>
      <w:r w:rsidRPr="0007350B">
        <w:t>the erection of a monument de</w:t>
      </w:r>
      <w:r w:rsidR="005B487E">
        <w:t>dicated</w:t>
      </w:r>
      <w:r w:rsidRPr="0007350B">
        <w:t xml:space="preserve"> to the 1</w:t>
      </w:r>
      <w:r w:rsidR="005B487E">
        <w:t>,</w:t>
      </w:r>
      <w:r w:rsidRPr="0007350B">
        <w:t>000</w:t>
      </w:r>
      <w:r w:rsidRPr="005B487E">
        <w:t>th</w:t>
      </w:r>
      <w:r w:rsidRPr="0007350B">
        <w:t xml:space="preserve"> anniversary of Brest, </w:t>
      </w:r>
      <w:r w:rsidR="005B487E">
        <w:t>sole</w:t>
      </w:r>
      <w:r w:rsidRPr="0007350B">
        <w:t xml:space="preserve">ly on the grounds that according to </w:t>
      </w:r>
      <w:r w:rsidR="005B487E" w:rsidRPr="0007350B">
        <w:t>Brest City Executive Committee</w:t>
      </w:r>
      <w:r w:rsidR="005B487E" w:rsidRPr="0007350B" w:rsidDel="005B487E">
        <w:t xml:space="preserve"> </w:t>
      </w:r>
      <w:r w:rsidRPr="0007350B">
        <w:t>Decision No</w:t>
      </w:r>
      <w:r w:rsidR="005B487E">
        <w:t>.</w:t>
      </w:r>
      <w:r w:rsidRPr="0007350B">
        <w:t xml:space="preserve"> 1715 of 25 October 2006, a particular place </w:t>
      </w:r>
      <w:r w:rsidR="008F5CC1">
        <w:t>h</w:t>
      </w:r>
      <w:r w:rsidR="00001AEA" w:rsidRPr="0007350B">
        <w:t xml:space="preserve">as </w:t>
      </w:r>
      <w:r w:rsidR="008F5CC1">
        <w:t>been designated</w:t>
      </w:r>
      <w:r w:rsidRPr="0007350B">
        <w:t xml:space="preserve"> </w:t>
      </w:r>
      <w:r w:rsidR="00001AEA" w:rsidRPr="0007350B">
        <w:t>f</w:t>
      </w:r>
      <w:r w:rsidRPr="0007350B">
        <w:t>o</w:t>
      </w:r>
      <w:r w:rsidR="00001AEA" w:rsidRPr="0007350B">
        <w:t>r</w:t>
      </w:r>
      <w:r w:rsidRPr="0007350B">
        <w:t xml:space="preserve"> such mass events. In this regard, the Committee notes that the national authorities have not </w:t>
      </w:r>
      <w:r w:rsidR="0057327B">
        <w:t>explained</w:t>
      </w:r>
      <w:r w:rsidR="0057327B" w:rsidRPr="0007350B">
        <w:t xml:space="preserve"> </w:t>
      </w:r>
      <w:r w:rsidRPr="0007350B">
        <w:t>how the restrictions imposed on the authors’ rights under article 19 of the Covenant were justified under article 19, paragraph 3, of the Covenant. In the circumstances</w:t>
      </w:r>
      <w:r w:rsidR="008F5CC1">
        <w:t>,</w:t>
      </w:r>
      <w:r w:rsidRPr="0007350B">
        <w:t xml:space="preserve"> and in</w:t>
      </w:r>
      <w:r w:rsidR="00F17FE9">
        <w:t xml:space="preserve"> the</w:t>
      </w:r>
      <w:r w:rsidRPr="0007350B">
        <w:t xml:space="preserve"> absence of any information in this regard from the State party to justify the restriction </w:t>
      </w:r>
      <w:r w:rsidR="006010A7" w:rsidRPr="0007350B">
        <w:t>for</w:t>
      </w:r>
      <w:r w:rsidRPr="0007350B">
        <w:t xml:space="preserve"> purposes of article 19, paragraph 3, </w:t>
      </w:r>
      <w:r w:rsidR="008F5CC1">
        <w:t xml:space="preserve">of the Covenant, </w:t>
      </w:r>
      <w:r w:rsidRPr="0007350B">
        <w:t xml:space="preserve">the Committee concludes that the authors’ rights under article 19, paragraph 2, of the Covenant have been violated. </w:t>
      </w:r>
    </w:p>
    <w:p w:rsidR="003A6411" w:rsidRPr="008A1325" w:rsidRDefault="003A6411" w:rsidP="001461F7">
      <w:pPr>
        <w:pStyle w:val="SingleTxtG"/>
      </w:pPr>
      <w:r w:rsidRPr="008A1325">
        <w:t xml:space="preserve">8. </w:t>
      </w:r>
      <w:r w:rsidR="005A29E8">
        <w:tab/>
      </w:r>
      <w:r w:rsidRPr="008A1325">
        <w:t xml:space="preserve">The Human Rights Committee, acting under article 5, paragraph 4, of the Optional Protocol to the International Covenant on Civil and Political Rights, is of the view that the State party has violated the authors’ rights under article 19, paragraph 2, </w:t>
      </w:r>
      <w:r w:rsidR="00E76953" w:rsidRPr="008A1325">
        <w:t xml:space="preserve">and article 21 </w:t>
      </w:r>
      <w:r w:rsidRPr="008A1325">
        <w:t xml:space="preserve">of the International Covenant on Civil and Political Rights. The Committee reiterates its conclusion that the State party </w:t>
      </w:r>
      <w:r w:rsidR="008F5CC1">
        <w:t xml:space="preserve">has </w:t>
      </w:r>
      <w:r w:rsidRPr="008A1325">
        <w:t>also breached its obligations under article 1 of the Optional Protocol.</w:t>
      </w:r>
    </w:p>
    <w:p w:rsidR="003A6411" w:rsidRPr="0007350B" w:rsidRDefault="003A6411" w:rsidP="001461F7">
      <w:pPr>
        <w:pStyle w:val="SingleTxtG"/>
      </w:pPr>
      <w:r w:rsidRPr="0007350B">
        <w:t>9.</w:t>
      </w:r>
      <w:r w:rsidRPr="0007350B">
        <w:tab/>
        <w:t xml:space="preserve">In accordance with article 2, paragraph 3 (a), of the Covenant, the State party is under an obligation to provide the authors with an effective remedy, including reimbursement of any legal costs incurred by the authors, together with compensation. </w:t>
      </w:r>
      <w:r w:rsidR="005C6110">
        <w:t>With a view to ensur</w:t>
      </w:r>
      <w:r w:rsidR="008F5CC1">
        <w:t>ing</w:t>
      </w:r>
      <w:r w:rsidR="005C6110">
        <w:t xml:space="preserve"> that the right</w:t>
      </w:r>
      <w:r w:rsidR="008F5CC1">
        <w:t>s</w:t>
      </w:r>
      <w:r w:rsidR="005C6110">
        <w:t xml:space="preserve"> under article 21 of the Covenant may be fully enjoyed in the State party, </w:t>
      </w:r>
      <w:r w:rsidR="009165FD">
        <w:t>the State party</w:t>
      </w:r>
      <w:r w:rsidR="005C6110">
        <w:t xml:space="preserve"> should also review the </w:t>
      </w:r>
      <w:r w:rsidR="00D328AF">
        <w:t>national legislation as it has been applied in the present case</w:t>
      </w:r>
      <w:r w:rsidR="005C6110">
        <w:t xml:space="preserve">. </w:t>
      </w:r>
      <w:r w:rsidRPr="0007350B">
        <w:t xml:space="preserve">The State party is also under </w:t>
      </w:r>
      <w:r w:rsidR="008D0840">
        <w:t xml:space="preserve">the </w:t>
      </w:r>
      <w:r w:rsidRPr="0007350B">
        <w:t>obligation to take steps to prevent similar violations in the future.</w:t>
      </w:r>
    </w:p>
    <w:p w:rsidR="003A6411" w:rsidRPr="0007350B" w:rsidRDefault="003A6411" w:rsidP="001461F7">
      <w:pPr>
        <w:pStyle w:val="SingleTxtG"/>
      </w:pPr>
      <w:r w:rsidRPr="0007350B">
        <w:t>10.</w:t>
      </w:r>
      <w:r w:rsidRPr="0007350B">
        <w:tab/>
        <w:t xml:space="preserve">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w:t>
      </w:r>
      <w:r w:rsidR="009165FD">
        <w:t>and</w:t>
      </w:r>
      <w:r w:rsidRPr="0007350B">
        <w:t xml:space="preserve"> subject to its jurisdiction the rights recognized in the Covenant and to provide an effective and enforceable remedy in case a violation has been established</w:t>
      </w:r>
      <w:r w:rsidR="009165FD">
        <w:t>,</w:t>
      </w:r>
      <w:r w:rsidR="00AC7C12">
        <w:t xml:space="preserve"> </w:t>
      </w:r>
      <w:r w:rsidRPr="0007350B">
        <w:t xml:space="preserve">the Committee wishes to receive from the State party, within 180 days, information about the measures taken to give </w:t>
      </w:r>
      <w:r w:rsidRPr="0007350B">
        <w:lastRenderedPageBreak/>
        <w:t>effect to the Committee’s Views. The State party is also requested to publish the present Views, and to have them widely disseminated in Belarusian and Russian in the State party.</w:t>
      </w:r>
    </w:p>
    <w:p w:rsidR="003A6411" w:rsidRPr="0007350B" w:rsidRDefault="003A6411" w:rsidP="001461F7">
      <w:pPr>
        <w:pStyle w:val="SingleTxtG"/>
      </w:pPr>
      <w:r w:rsidRPr="0007350B">
        <w:t xml:space="preserve">[Adopted in English, French and Spanish, the English text being the original version. Subsequently to be issued also in Arabic, Chinese and Russian as part of the Committee's annual report to the General Assembly.] </w:t>
      </w:r>
    </w:p>
    <w:p w:rsidR="003A6411" w:rsidRPr="0007350B" w:rsidRDefault="003A6411" w:rsidP="003A6411">
      <w:pPr>
        <w:pStyle w:val="SingleTxtG"/>
        <w:spacing w:line="240" w:lineRule="auto"/>
        <w:jc w:val="center"/>
        <w:rPr>
          <w:sz w:val="24"/>
          <w:szCs w:val="24"/>
        </w:rPr>
      </w:pPr>
      <w:r w:rsidRPr="0007350B">
        <w:rPr>
          <w:sz w:val="24"/>
          <w:szCs w:val="24"/>
        </w:rPr>
        <w:t>_________</w:t>
      </w:r>
    </w:p>
    <w:p w:rsidR="003A6411" w:rsidRPr="0007350B" w:rsidRDefault="003A6411" w:rsidP="003A6411">
      <w:pPr>
        <w:spacing w:line="240" w:lineRule="auto"/>
        <w:ind w:left="1134" w:right="1134"/>
        <w:jc w:val="both"/>
        <w:rPr>
          <w:sz w:val="24"/>
          <w:szCs w:val="24"/>
        </w:rPr>
      </w:pPr>
    </w:p>
    <w:sectPr w:rsidR="003A6411" w:rsidRPr="0007350B" w:rsidSect="009E31DB">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315" w:rsidRDefault="00A03315"/>
  </w:endnote>
  <w:endnote w:type="continuationSeparator" w:id="0">
    <w:p w:rsidR="00A03315" w:rsidRDefault="00A03315"/>
  </w:endnote>
  <w:endnote w:type="continuationNotice" w:id="1">
    <w:p w:rsidR="00A03315" w:rsidRDefault="00A03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DE" w:rsidRPr="009E31DB" w:rsidRDefault="00F85ADE" w:rsidP="009E31DB">
    <w:pPr>
      <w:pStyle w:val="Footer"/>
      <w:tabs>
        <w:tab w:val="right" w:pos="9638"/>
      </w:tabs>
    </w:pPr>
    <w:r w:rsidRPr="009E31DB">
      <w:rPr>
        <w:b/>
        <w:sz w:val="18"/>
      </w:rPr>
      <w:fldChar w:fldCharType="begin"/>
    </w:r>
    <w:r w:rsidRPr="009E31DB">
      <w:rPr>
        <w:b/>
        <w:sz w:val="18"/>
      </w:rPr>
      <w:instrText xml:space="preserve"> PAGE  \* MERGEFORMAT </w:instrText>
    </w:r>
    <w:r w:rsidRPr="009E31DB">
      <w:rPr>
        <w:b/>
        <w:sz w:val="18"/>
      </w:rPr>
      <w:fldChar w:fldCharType="separate"/>
    </w:r>
    <w:r w:rsidR="00BD2757">
      <w:rPr>
        <w:b/>
        <w:noProof/>
        <w:sz w:val="18"/>
      </w:rPr>
      <w:t>2</w:t>
    </w:r>
    <w:r w:rsidRPr="009E31D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DE" w:rsidRPr="009E31DB" w:rsidRDefault="00F85ADE" w:rsidP="009E31DB">
    <w:pPr>
      <w:pStyle w:val="Footer"/>
      <w:tabs>
        <w:tab w:val="right" w:pos="9638"/>
      </w:tabs>
      <w:rPr>
        <w:sz w:val="18"/>
      </w:rPr>
    </w:pPr>
    <w:r>
      <w:rPr>
        <w:b/>
        <w:sz w:val="18"/>
      </w:rPr>
      <w:tab/>
    </w:r>
    <w:r w:rsidRPr="009E31DB">
      <w:rPr>
        <w:sz w:val="18"/>
      </w:rPr>
      <w:fldChar w:fldCharType="begin"/>
    </w:r>
    <w:r w:rsidRPr="009E31DB">
      <w:rPr>
        <w:sz w:val="18"/>
      </w:rPr>
      <w:instrText xml:space="preserve"> PAGE  \* MERGEFORMAT </w:instrText>
    </w:r>
    <w:r w:rsidRPr="009E31DB">
      <w:rPr>
        <w:sz w:val="18"/>
      </w:rPr>
      <w:fldChar w:fldCharType="separate"/>
    </w:r>
    <w:r w:rsidR="00BD2757">
      <w:rPr>
        <w:noProof/>
        <w:sz w:val="18"/>
      </w:rPr>
      <w:t>3</w:t>
    </w:r>
    <w:r w:rsidRPr="009E31DB">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DE" w:rsidRDefault="00A0331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recycle_English" style="position:absolute;margin-left:405.4pt;margin-top:-6.25pt;width:73.25pt;height:18.15pt;z-index:1;visibility:visible">
          <v:imagedata r:id="rId1" o:title="recycle_English"/>
          <w10:anchorlock/>
        </v:shape>
      </w:pict>
    </w:r>
    <w:r w:rsidR="00F85ADE">
      <w:t>GE.13-</w:t>
    </w:r>
    <w:r w:rsidR="008A55A4">
      <w:t>46733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315" w:rsidRPr="000B175B" w:rsidRDefault="00A03315" w:rsidP="000B175B">
      <w:pPr>
        <w:tabs>
          <w:tab w:val="right" w:pos="2155"/>
        </w:tabs>
        <w:spacing w:after="80"/>
        <w:ind w:left="680"/>
        <w:rPr>
          <w:u w:val="single"/>
        </w:rPr>
      </w:pPr>
      <w:r>
        <w:rPr>
          <w:u w:val="single"/>
        </w:rPr>
        <w:tab/>
      </w:r>
    </w:p>
  </w:footnote>
  <w:footnote w:type="continuationSeparator" w:id="0">
    <w:p w:rsidR="00A03315" w:rsidRPr="00FC68B7" w:rsidRDefault="00A03315" w:rsidP="00FC68B7">
      <w:pPr>
        <w:tabs>
          <w:tab w:val="left" w:pos="2155"/>
        </w:tabs>
        <w:spacing w:after="80"/>
        <w:ind w:left="680"/>
        <w:rPr>
          <w:u w:val="single"/>
        </w:rPr>
      </w:pPr>
      <w:r>
        <w:rPr>
          <w:u w:val="single"/>
        </w:rPr>
        <w:tab/>
      </w:r>
    </w:p>
  </w:footnote>
  <w:footnote w:type="continuationNotice" w:id="1">
    <w:p w:rsidR="00A03315" w:rsidRDefault="00A03315"/>
  </w:footnote>
  <w:footnote w:id="2">
    <w:p w:rsidR="00F85ADE" w:rsidRPr="008A4D35" w:rsidRDefault="00F85ADE" w:rsidP="008A4D35">
      <w:pPr>
        <w:tabs>
          <w:tab w:val="right" w:pos="1021"/>
        </w:tabs>
        <w:spacing w:line="220" w:lineRule="exact"/>
        <w:ind w:left="1134" w:right="1134" w:hanging="1134"/>
        <w:rPr>
          <w:sz w:val="18"/>
          <w:szCs w:val="18"/>
        </w:rPr>
      </w:pPr>
      <w:r w:rsidRPr="008A4D35">
        <w:rPr>
          <w:sz w:val="18"/>
          <w:szCs w:val="18"/>
        </w:rPr>
        <w:tab/>
      </w:r>
      <w:r w:rsidRPr="008A4D35">
        <w:rPr>
          <w:rStyle w:val="FootnoteReference"/>
          <w:szCs w:val="18"/>
        </w:rPr>
        <w:t>*</w:t>
      </w:r>
      <w:r w:rsidRPr="008A4D35">
        <w:rPr>
          <w:sz w:val="18"/>
          <w:szCs w:val="18"/>
        </w:rPr>
        <w:t xml:space="preserve"> </w:t>
      </w:r>
      <w:bookmarkStart w:id="1" w:name="OLE_LINK1"/>
      <w:bookmarkStart w:id="2" w:name="OLE_LINK2"/>
      <w:r w:rsidRPr="008A4D35">
        <w:rPr>
          <w:sz w:val="18"/>
          <w:szCs w:val="18"/>
        </w:rPr>
        <w:tab/>
      </w:r>
      <w:bookmarkEnd w:id="1"/>
      <w:bookmarkEnd w:id="2"/>
      <w:r w:rsidRPr="008A4D35">
        <w:rPr>
          <w:bCs/>
          <w:sz w:val="18"/>
          <w:szCs w:val="18"/>
        </w:rPr>
        <w:t xml:space="preserve"> </w:t>
      </w:r>
      <w:r w:rsidRPr="008A4D35">
        <w:rPr>
          <w:sz w:val="18"/>
          <w:szCs w:val="18"/>
        </w:rPr>
        <w:t xml:space="preserve">The following members of the Committee participated in the examination of the present communication: Mr. Yadh Ben Achour, </w:t>
      </w:r>
      <w:r w:rsidRPr="008A4D35">
        <w:rPr>
          <w:bCs/>
          <w:sz w:val="18"/>
          <w:szCs w:val="18"/>
        </w:rPr>
        <w:t>Mr. Lazhari Bouzid, Ms. Christine Chanet, Mr. Ahmad Amin Fathalla, Mr. Cornelis Flinterman, Mr. Yuji Iwasawa, Mr. Walter Kälin, Ms. Zonke Zanele Majodina, Mr. Kheshoe Parsad Matadeen</w:t>
      </w:r>
      <w:r w:rsidRPr="008A4D35">
        <w:rPr>
          <w:bCs/>
          <w:sz w:val="18"/>
          <w:szCs w:val="18"/>
          <w:lang w:val="en-US"/>
        </w:rPr>
        <w:t xml:space="preserve">, Ms. Iulia Antoanela Motoc, </w:t>
      </w:r>
      <w:r w:rsidRPr="008A4D35">
        <w:rPr>
          <w:bCs/>
          <w:sz w:val="18"/>
          <w:szCs w:val="18"/>
        </w:rPr>
        <w:t xml:space="preserve">Mr. Gerald L. Neuman, Sir Nigel Rodley, Mr. Victor Manuel Rodríguez-Rescia, </w:t>
      </w:r>
      <w:r w:rsidRPr="008A4D35">
        <w:rPr>
          <w:bCs/>
          <w:sz w:val="18"/>
          <w:szCs w:val="18"/>
          <w:lang w:val="en-US"/>
        </w:rPr>
        <w:t xml:space="preserve">Mr. Fabián Omar Salvioli, Ms. Anja Seibert-Fohr, Mr. Yuval Shany, Mr. Konstantine Vardzelashvili and </w:t>
      </w:r>
      <w:r w:rsidRPr="008A4D35">
        <w:rPr>
          <w:bCs/>
          <w:sz w:val="18"/>
          <w:szCs w:val="18"/>
        </w:rPr>
        <w:t>Ms. Margo Waterval.</w:t>
      </w:r>
    </w:p>
    <w:p w:rsidR="00F85ADE" w:rsidRPr="008A4D35" w:rsidRDefault="00F85ADE" w:rsidP="008A4D35">
      <w:pPr>
        <w:tabs>
          <w:tab w:val="right" w:pos="1021"/>
        </w:tabs>
        <w:spacing w:line="220" w:lineRule="exact"/>
        <w:ind w:left="1134" w:right="1134" w:hanging="1134"/>
        <w:rPr>
          <w:sz w:val="18"/>
          <w:szCs w:val="18"/>
        </w:rPr>
      </w:pPr>
      <w:r w:rsidRPr="008A4D35">
        <w:rPr>
          <w:sz w:val="18"/>
          <w:szCs w:val="18"/>
        </w:rPr>
        <w:tab/>
      </w:r>
      <w:r w:rsidRPr="008A4D35">
        <w:rPr>
          <w:rStyle w:val="FootnoteReference"/>
          <w:szCs w:val="18"/>
        </w:rPr>
        <w:footnoteRef/>
      </w:r>
      <w:r w:rsidRPr="008A4D35">
        <w:rPr>
          <w:sz w:val="18"/>
          <w:szCs w:val="18"/>
        </w:rPr>
        <w:t xml:space="preserve"> </w:t>
      </w:r>
      <w:r w:rsidRPr="008A4D35">
        <w:rPr>
          <w:sz w:val="18"/>
          <w:szCs w:val="18"/>
        </w:rPr>
        <w:tab/>
        <w:t>Mr. Kisliak is submitting the communication on his own behalf, and is also acting as counsel for the other three authors.</w:t>
      </w:r>
    </w:p>
  </w:footnote>
  <w:footnote w:id="3">
    <w:p w:rsidR="00F85ADE" w:rsidRPr="008A4D35" w:rsidRDefault="00F85ADE" w:rsidP="008A4D35">
      <w:pPr>
        <w:pStyle w:val="FootnoteText"/>
        <w:rPr>
          <w:szCs w:val="18"/>
        </w:rPr>
      </w:pPr>
      <w:r w:rsidRPr="008A4D35">
        <w:rPr>
          <w:szCs w:val="18"/>
        </w:rPr>
        <w:tab/>
      </w:r>
      <w:r w:rsidRPr="008A4D35">
        <w:rPr>
          <w:rStyle w:val="FootnoteReference"/>
          <w:szCs w:val="18"/>
        </w:rPr>
        <w:footnoteRef/>
      </w:r>
      <w:r w:rsidRPr="008A4D35">
        <w:rPr>
          <w:szCs w:val="18"/>
        </w:rPr>
        <w:tab/>
        <w:t xml:space="preserve"> The six events in question were all organized by the State authorities.</w:t>
      </w:r>
    </w:p>
  </w:footnote>
  <w:footnote w:id="4">
    <w:p w:rsidR="00F85ADE" w:rsidRPr="008A4D35" w:rsidRDefault="00F85ADE" w:rsidP="008A4D35">
      <w:pPr>
        <w:pStyle w:val="FootnoteText"/>
        <w:rPr>
          <w:szCs w:val="18"/>
        </w:rPr>
      </w:pPr>
      <w:r w:rsidRPr="008A4D35">
        <w:rPr>
          <w:szCs w:val="18"/>
        </w:rPr>
        <w:tab/>
      </w:r>
      <w:r w:rsidRPr="008A4D35">
        <w:rPr>
          <w:rStyle w:val="FootnoteReference"/>
          <w:szCs w:val="18"/>
        </w:rPr>
        <w:footnoteRef/>
      </w:r>
      <w:r w:rsidRPr="008A4D35">
        <w:rPr>
          <w:szCs w:val="18"/>
        </w:rPr>
        <w:tab/>
        <w:t xml:space="preserve"> The State party explains that the basis for this requirement is article 2 of the Optional Protocol to the Covenant.</w:t>
      </w:r>
    </w:p>
  </w:footnote>
  <w:footnote w:id="5">
    <w:p w:rsidR="00F85ADE" w:rsidRPr="008A4D35" w:rsidRDefault="00F85ADE" w:rsidP="008A4D35">
      <w:pPr>
        <w:pStyle w:val="FootnoteText"/>
        <w:rPr>
          <w:szCs w:val="18"/>
        </w:rPr>
      </w:pPr>
      <w:r w:rsidRPr="008A4D35">
        <w:rPr>
          <w:szCs w:val="18"/>
        </w:rPr>
        <w:tab/>
      </w:r>
      <w:r w:rsidRPr="008A4D35">
        <w:rPr>
          <w:rStyle w:val="FootnoteReference"/>
          <w:szCs w:val="18"/>
        </w:rPr>
        <w:footnoteRef/>
      </w:r>
      <w:r w:rsidRPr="008A4D35">
        <w:rPr>
          <w:szCs w:val="18"/>
        </w:rPr>
        <w:tab/>
        <w:t xml:space="preserve"> </w:t>
      </w:r>
      <w:r w:rsidRPr="008A4D35">
        <w:rPr>
          <w:rFonts w:eastAsia="SimSun"/>
          <w:szCs w:val="18"/>
          <w:lang w:eastAsia="zh-CN"/>
        </w:rPr>
        <w:t xml:space="preserve">See, inter alia, communication No. 869/1999, </w:t>
      </w:r>
      <w:r w:rsidRPr="008A4D35">
        <w:rPr>
          <w:rFonts w:eastAsia="SimSun"/>
          <w:i/>
          <w:iCs/>
          <w:szCs w:val="18"/>
          <w:lang w:eastAsia="zh-CN"/>
        </w:rPr>
        <w:t>Piandiong et al.</w:t>
      </w:r>
      <w:r w:rsidRPr="008A4D35">
        <w:rPr>
          <w:rFonts w:eastAsia="SimSun"/>
          <w:iCs/>
          <w:szCs w:val="18"/>
          <w:lang w:eastAsia="zh-CN"/>
        </w:rPr>
        <w:t xml:space="preserve"> v.</w:t>
      </w:r>
      <w:r w:rsidRPr="008A4D35">
        <w:rPr>
          <w:rFonts w:eastAsia="SimSun"/>
          <w:i/>
          <w:iCs/>
          <w:szCs w:val="18"/>
          <w:lang w:eastAsia="zh-CN"/>
        </w:rPr>
        <w:t xml:space="preserve"> the </w:t>
      </w:r>
      <w:smartTag w:uri="urn:schemas-microsoft-com:office:smarttags" w:element="country-region">
        <w:smartTag w:uri="urn:schemas-microsoft-com:office:smarttags" w:element="place">
          <w:r w:rsidRPr="008A4D35">
            <w:rPr>
              <w:rFonts w:eastAsia="SimSun"/>
              <w:i/>
              <w:iCs/>
              <w:szCs w:val="18"/>
              <w:lang w:eastAsia="zh-CN"/>
            </w:rPr>
            <w:t>Philippines</w:t>
          </w:r>
        </w:smartTag>
      </w:smartTag>
      <w:r w:rsidRPr="008A4D35">
        <w:rPr>
          <w:rFonts w:eastAsia="SimSun"/>
          <w:szCs w:val="18"/>
          <w:lang w:eastAsia="zh-CN"/>
        </w:rPr>
        <w:t>, Views adopted on 19 October 2000, para. 5.1.</w:t>
      </w:r>
      <w:r w:rsidRPr="008A4D35">
        <w:rPr>
          <w:szCs w:val="18"/>
        </w:rPr>
        <w:t xml:space="preserve"> </w:t>
      </w:r>
    </w:p>
  </w:footnote>
  <w:footnote w:id="6">
    <w:p w:rsidR="00F85ADE" w:rsidRPr="008A4D35" w:rsidRDefault="00F85ADE" w:rsidP="008A4D35">
      <w:pPr>
        <w:pStyle w:val="FootnoteText"/>
        <w:rPr>
          <w:szCs w:val="18"/>
        </w:rPr>
      </w:pPr>
      <w:r w:rsidRPr="008A4D35">
        <w:rPr>
          <w:szCs w:val="18"/>
        </w:rPr>
        <w:tab/>
      </w:r>
      <w:r w:rsidRPr="008A4D35">
        <w:rPr>
          <w:rStyle w:val="FootnoteReference"/>
          <w:szCs w:val="18"/>
        </w:rPr>
        <w:footnoteRef/>
      </w:r>
      <w:r w:rsidRPr="008A4D35">
        <w:rPr>
          <w:szCs w:val="18"/>
        </w:rPr>
        <w:tab/>
        <w:t xml:space="preserve"> </w:t>
      </w:r>
      <w:r w:rsidRPr="008A4D35">
        <w:rPr>
          <w:rFonts w:eastAsia="SimSun"/>
          <w:szCs w:val="18"/>
          <w:lang w:eastAsia="zh-CN"/>
        </w:rPr>
        <w:t xml:space="preserve">See, for example, communication No. 1226/2003, </w:t>
      </w:r>
      <w:r w:rsidRPr="008A4D35">
        <w:rPr>
          <w:rFonts w:eastAsia="SimSun"/>
          <w:i/>
          <w:iCs/>
          <w:szCs w:val="18"/>
          <w:lang w:eastAsia="zh-CN"/>
        </w:rPr>
        <w:t xml:space="preserve">Korneenko </w:t>
      </w:r>
      <w:r w:rsidRPr="008A4D35">
        <w:rPr>
          <w:rFonts w:eastAsia="SimSun"/>
          <w:iCs/>
          <w:szCs w:val="18"/>
          <w:lang w:eastAsia="zh-CN"/>
        </w:rPr>
        <w:t>v.</w:t>
      </w:r>
      <w:r w:rsidRPr="008A4D35">
        <w:rPr>
          <w:rFonts w:eastAsia="SimSun"/>
          <w:i/>
          <w:iCs/>
          <w:szCs w:val="18"/>
          <w:lang w:eastAsia="zh-CN"/>
        </w:rPr>
        <w:t xml:space="preserve"> </w:t>
      </w:r>
      <w:smartTag w:uri="urn:schemas-microsoft-com:office:smarttags" w:element="country-region">
        <w:smartTag w:uri="urn:schemas-microsoft-com:office:smarttags" w:element="place">
          <w:r w:rsidRPr="008A4D35">
            <w:rPr>
              <w:rFonts w:eastAsia="SimSun"/>
              <w:i/>
              <w:iCs/>
              <w:szCs w:val="18"/>
              <w:lang w:eastAsia="zh-CN"/>
            </w:rPr>
            <w:t>Belarus</w:t>
          </w:r>
        </w:smartTag>
      </w:smartTag>
      <w:r w:rsidRPr="008A4D35">
        <w:rPr>
          <w:rFonts w:eastAsia="SimSun"/>
          <w:szCs w:val="18"/>
          <w:lang w:eastAsia="zh-CN"/>
        </w:rPr>
        <w:t>, Views adopted on 20 July 2012, paras. 8.1 and 8.2.</w:t>
      </w:r>
      <w:r w:rsidRPr="008A4D35">
        <w:rPr>
          <w:szCs w:val="18"/>
        </w:rPr>
        <w:t xml:space="preserve"> </w:t>
      </w:r>
    </w:p>
  </w:footnote>
  <w:footnote w:id="7">
    <w:p w:rsidR="00F85ADE" w:rsidRPr="008A4D35" w:rsidRDefault="00F85ADE" w:rsidP="008A4D35">
      <w:pPr>
        <w:pStyle w:val="FootnoteText"/>
        <w:rPr>
          <w:szCs w:val="18"/>
        </w:rPr>
      </w:pPr>
      <w:r w:rsidRPr="008A4D35">
        <w:rPr>
          <w:szCs w:val="18"/>
        </w:rPr>
        <w:tab/>
      </w:r>
      <w:r w:rsidRPr="008A4D35">
        <w:rPr>
          <w:rStyle w:val="FootnoteReference"/>
          <w:szCs w:val="18"/>
        </w:rPr>
        <w:footnoteRef/>
      </w:r>
      <w:r w:rsidRPr="008A4D35">
        <w:rPr>
          <w:szCs w:val="18"/>
        </w:rPr>
        <w:tab/>
        <w:t xml:space="preserve"> See, for example, communications No. 1785/2008, </w:t>
      </w:r>
      <w:r w:rsidRPr="008A4D35">
        <w:rPr>
          <w:i/>
          <w:szCs w:val="18"/>
        </w:rPr>
        <w:t xml:space="preserve">Olechkevitch </w:t>
      </w:r>
      <w:r w:rsidRPr="008A4D35">
        <w:rPr>
          <w:szCs w:val="18"/>
        </w:rPr>
        <w:t>v.</w:t>
      </w:r>
      <w:r w:rsidRPr="008A4D35">
        <w:rPr>
          <w:i/>
          <w:szCs w:val="18"/>
        </w:rPr>
        <w:t xml:space="preserve"> </w:t>
      </w:r>
      <w:smartTag w:uri="urn:schemas-microsoft-com:office:smarttags" w:element="country-region">
        <w:smartTag w:uri="urn:schemas-microsoft-com:office:smarttags" w:element="place">
          <w:r w:rsidRPr="008A4D35">
            <w:rPr>
              <w:i/>
              <w:szCs w:val="18"/>
            </w:rPr>
            <w:t>Belarus</w:t>
          </w:r>
        </w:smartTag>
      </w:smartTag>
      <w:r w:rsidRPr="008A4D35">
        <w:rPr>
          <w:i/>
          <w:szCs w:val="18"/>
        </w:rPr>
        <w:t xml:space="preserve">, </w:t>
      </w:r>
      <w:r w:rsidRPr="008A4D35">
        <w:rPr>
          <w:szCs w:val="18"/>
        </w:rPr>
        <w:t xml:space="preserve">Views adopted on 18 March 2013, para 7.3; No . 1784/2008, </w:t>
      </w:r>
      <w:r w:rsidRPr="008A4D35">
        <w:rPr>
          <w:i/>
          <w:szCs w:val="18"/>
        </w:rPr>
        <w:t xml:space="preserve">Schumilin </w:t>
      </w:r>
      <w:r w:rsidRPr="008A4D35">
        <w:rPr>
          <w:szCs w:val="18"/>
        </w:rPr>
        <w:t>v.</w:t>
      </w:r>
      <w:r w:rsidRPr="008A4D35">
        <w:rPr>
          <w:i/>
          <w:szCs w:val="18"/>
        </w:rPr>
        <w:t xml:space="preserve"> </w:t>
      </w:r>
      <w:smartTag w:uri="urn:schemas-microsoft-com:office:smarttags" w:element="country-region">
        <w:smartTag w:uri="urn:schemas-microsoft-com:office:smarttags" w:element="place">
          <w:r w:rsidRPr="008A4D35">
            <w:rPr>
              <w:i/>
              <w:szCs w:val="18"/>
            </w:rPr>
            <w:t>Belarus</w:t>
          </w:r>
        </w:smartTag>
      </w:smartTag>
      <w:r w:rsidRPr="008A4D35">
        <w:rPr>
          <w:szCs w:val="18"/>
        </w:rPr>
        <w:t xml:space="preserve">, Views adopted on 23 July 2012, para. 8.3; No. 1841/2008, </w:t>
      </w:r>
      <w:r w:rsidRPr="008A4D35">
        <w:rPr>
          <w:i/>
          <w:szCs w:val="18"/>
        </w:rPr>
        <w:t xml:space="preserve">P.L. </w:t>
      </w:r>
      <w:r w:rsidRPr="008A4D35">
        <w:rPr>
          <w:szCs w:val="18"/>
        </w:rPr>
        <w:t>v.</w:t>
      </w:r>
      <w:r w:rsidRPr="008A4D35">
        <w:rPr>
          <w:i/>
          <w:szCs w:val="18"/>
        </w:rPr>
        <w:t xml:space="preserve"> </w:t>
      </w:r>
      <w:smartTag w:uri="urn:schemas-microsoft-com:office:smarttags" w:element="country-region">
        <w:smartTag w:uri="urn:schemas-microsoft-com:office:smarttags" w:element="place">
          <w:r w:rsidRPr="008A4D35">
            <w:rPr>
              <w:i/>
              <w:szCs w:val="18"/>
            </w:rPr>
            <w:t>Belarus</w:t>
          </w:r>
        </w:smartTag>
      </w:smartTag>
      <w:r w:rsidRPr="008A4D35">
        <w:rPr>
          <w:szCs w:val="18"/>
        </w:rPr>
        <w:t>, decision of inadmissibility adopted on 26 July 2011, para. 6.2.</w:t>
      </w:r>
    </w:p>
  </w:footnote>
  <w:footnote w:id="8">
    <w:p w:rsidR="00F85ADE" w:rsidRPr="008A4D35" w:rsidRDefault="00F85ADE" w:rsidP="008A4D35">
      <w:pPr>
        <w:pStyle w:val="FootnoteText"/>
        <w:rPr>
          <w:szCs w:val="18"/>
        </w:rPr>
      </w:pPr>
      <w:r w:rsidRPr="008A4D35">
        <w:rPr>
          <w:szCs w:val="18"/>
        </w:rPr>
        <w:tab/>
      </w:r>
      <w:r w:rsidRPr="008A4D35">
        <w:rPr>
          <w:rStyle w:val="FootnoteReference"/>
          <w:szCs w:val="18"/>
        </w:rPr>
        <w:footnoteRef/>
      </w:r>
      <w:r w:rsidRPr="008A4D35">
        <w:rPr>
          <w:szCs w:val="18"/>
        </w:rPr>
        <w:t xml:space="preserve"> </w:t>
      </w:r>
      <w:r w:rsidRPr="008A4D35">
        <w:rPr>
          <w:szCs w:val="18"/>
        </w:rPr>
        <w:tab/>
        <w:t xml:space="preserve">See, </w:t>
      </w:r>
      <w:r w:rsidRPr="008A4D35">
        <w:rPr>
          <w:iCs/>
          <w:szCs w:val="18"/>
        </w:rPr>
        <w:t>inter alia</w:t>
      </w:r>
      <w:r w:rsidRPr="008A4D35">
        <w:rPr>
          <w:szCs w:val="18"/>
        </w:rPr>
        <w:t xml:space="preserve">, communications No. 1188/2003, </w:t>
      </w:r>
      <w:r w:rsidRPr="008A4D35">
        <w:rPr>
          <w:i/>
          <w:iCs/>
          <w:szCs w:val="18"/>
        </w:rPr>
        <w:t>Riedl-Riedenstein et al.</w:t>
      </w:r>
      <w:r w:rsidRPr="008A4D35">
        <w:rPr>
          <w:szCs w:val="18"/>
        </w:rPr>
        <w:t xml:space="preserve"> v. </w:t>
      </w:r>
      <w:smartTag w:uri="urn:schemas-microsoft-com:office:smarttags" w:element="country-region">
        <w:smartTag w:uri="urn:schemas-microsoft-com:office:smarttags" w:element="place">
          <w:r w:rsidRPr="008A4D35">
            <w:rPr>
              <w:i/>
              <w:iCs/>
              <w:szCs w:val="18"/>
            </w:rPr>
            <w:t>Germany</w:t>
          </w:r>
        </w:smartTag>
      </w:smartTag>
      <w:r w:rsidRPr="008A4D35">
        <w:rPr>
          <w:szCs w:val="18"/>
        </w:rPr>
        <w:t xml:space="preserve">, decision of inadmissibility adopted on 2 November 2004, para. 7.3; No. 1138/2002, </w:t>
      </w:r>
      <w:r w:rsidRPr="008A4D35">
        <w:rPr>
          <w:i/>
          <w:iCs/>
          <w:szCs w:val="18"/>
        </w:rPr>
        <w:t>Arenz et al.</w:t>
      </w:r>
      <w:r w:rsidRPr="008A4D35">
        <w:rPr>
          <w:szCs w:val="18"/>
        </w:rPr>
        <w:t xml:space="preserve"> v. </w:t>
      </w:r>
      <w:smartTag w:uri="urn:schemas-microsoft-com:office:smarttags" w:element="country-region">
        <w:smartTag w:uri="urn:schemas-microsoft-com:office:smarttags" w:element="place">
          <w:r w:rsidRPr="008A4D35">
            <w:rPr>
              <w:i/>
              <w:iCs/>
              <w:szCs w:val="18"/>
            </w:rPr>
            <w:t>Germany</w:t>
          </w:r>
        </w:smartTag>
      </w:smartTag>
      <w:r w:rsidRPr="008A4D35">
        <w:rPr>
          <w:szCs w:val="18"/>
        </w:rPr>
        <w:t>, decision of inadmissibility adopted on 24 March 2004, para. 8.6.</w:t>
      </w:r>
    </w:p>
  </w:footnote>
  <w:footnote w:id="9">
    <w:p w:rsidR="00F85ADE" w:rsidRPr="008A4D35" w:rsidRDefault="00F85ADE" w:rsidP="008A4D35">
      <w:pPr>
        <w:pStyle w:val="FootnoteText"/>
        <w:rPr>
          <w:szCs w:val="18"/>
        </w:rPr>
      </w:pPr>
      <w:r w:rsidRPr="008A4D35">
        <w:rPr>
          <w:szCs w:val="18"/>
        </w:rPr>
        <w:tab/>
      </w:r>
      <w:r w:rsidRPr="008A4D35">
        <w:rPr>
          <w:rStyle w:val="FootnoteReference"/>
          <w:szCs w:val="18"/>
        </w:rPr>
        <w:footnoteRef/>
      </w:r>
      <w:r w:rsidRPr="008A4D35">
        <w:rPr>
          <w:szCs w:val="18"/>
        </w:rPr>
        <w:tab/>
        <w:t xml:space="preserve"> See the Committee’s general comment No. 34 (2011) on freedoms of opinion and expression, para. 2, </w:t>
      </w:r>
      <w:r w:rsidRPr="008A4D35">
        <w:rPr>
          <w:i/>
          <w:szCs w:val="18"/>
        </w:rPr>
        <w:t>Official Records of the General Assembly, Sixty-sixth Session, Supplement No. 40</w:t>
      </w:r>
      <w:r w:rsidRPr="008A4D35">
        <w:rPr>
          <w:szCs w:val="18"/>
        </w:rPr>
        <w:t>, vol. I (A/66/40 (Vol. I)), annex V.</w:t>
      </w:r>
    </w:p>
  </w:footnote>
  <w:footnote w:id="10">
    <w:p w:rsidR="00F85ADE" w:rsidRPr="008A4D35" w:rsidRDefault="00F85ADE" w:rsidP="008A4D35">
      <w:pPr>
        <w:pStyle w:val="FootnoteText"/>
        <w:rPr>
          <w:szCs w:val="18"/>
        </w:rPr>
      </w:pPr>
      <w:r w:rsidRPr="008A4D35">
        <w:rPr>
          <w:szCs w:val="18"/>
        </w:rPr>
        <w:tab/>
      </w:r>
      <w:r w:rsidRPr="008A4D35">
        <w:rPr>
          <w:rStyle w:val="FootnoteReference"/>
          <w:szCs w:val="18"/>
        </w:rPr>
        <w:footnoteRef/>
      </w:r>
      <w:r w:rsidRPr="008A4D35">
        <w:rPr>
          <w:szCs w:val="18"/>
        </w:rPr>
        <w:tab/>
        <w:t xml:space="preserve"> Ibid., para. 22.</w:t>
      </w:r>
    </w:p>
  </w:footnote>
  <w:footnote w:id="11">
    <w:p w:rsidR="00F85ADE" w:rsidRPr="008A4D35" w:rsidRDefault="00F85ADE" w:rsidP="008A4D35">
      <w:pPr>
        <w:pStyle w:val="FootnoteText"/>
        <w:rPr>
          <w:szCs w:val="18"/>
        </w:rPr>
      </w:pPr>
      <w:r w:rsidRPr="008A4D35">
        <w:rPr>
          <w:szCs w:val="18"/>
        </w:rPr>
        <w:tab/>
      </w:r>
      <w:r w:rsidRPr="008A4D35">
        <w:rPr>
          <w:rStyle w:val="FootnoteReference"/>
          <w:szCs w:val="18"/>
        </w:rPr>
        <w:footnoteRef/>
      </w:r>
      <w:r w:rsidRPr="008A4D35">
        <w:rPr>
          <w:szCs w:val="18"/>
        </w:rPr>
        <w:tab/>
        <w:t xml:space="preserve"> See, for example, communications No. 1830/2008, </w:t>
      </w:r>
      <w:r w:rsidRPr="008A4D35">
        <w:rPr>
          <w:i/>
          <w:szCs w:val="18"/>
        </w:rPr>
        <w:t>Pivonos</w:t>
      </w:r>
      <w:r w:rsidRPr="008A4D35">
        <w:rPr>
          <w:szCs w:val="18"/>
        </w:rPr>
        <w:t xml:space="preserve"> v</w:t>
      </w:r>
      <w:r w:rsidRPr="008A4D35">
        <w:rPr>
          <w:i/>
          <w:szCs w:val="18"/>
        </w:rPr>
        <w:t xml:space="preserve">. </w:t>
      </w:r>
      <w:smartTag w:uri="urn:schemas-microsoft-com:office:smarttags" w:element="country-region">
        <w:r w:rsidRPr="008A4D35">
          <w:rPr>
            <w:i/>
            <w:szCs w:val="18"/>
          </w:rPr>
          <w:t>Belarus</w:t>
        </w:r>
      </w:smartTag>
      <w:r w:rsidRPr="008A4D35">
        <w:rPr>
          <w:i/>
          <w:szCs w:val="18"/>
        </w:rPr>
        <w:t xml:space="preserve">, </w:t>
      </w:r>
      <w:r w:rsidRPr="008A4D35">
        <w:rPr>
          <w:szCs w:val="18"/>
        </w:rPr>
        <w:t xml:space="preserve">Views adopted on 20 October 2012, para 9.3; No. 1785/2008, </w:t>
      </w:r>
      <w:r w:rsidRPr="008A4D35">
        <w:rPr>
          <w:i/>
          <w:szCs w:val="18"/>
        </w:rPr>
        <w:t>Olechkevitch</w:t>
      </w:r>
      <w:r w:rsidRPr="008A4D35">
        <w:rPr>
          <w:szCs w:val="18"/>
        </w:rPr>
        <w:t xml:space="preserve"> v</w:t>
      </w:r>
      <w:r w:rsidRPr="008A4D35">
        <w:rPr>
          <w:i/>
          <w:szCs w:val="18"/>
        </w:rPr>
        <w:t xml:space="preserve">. </w:t>
      </w:r>
      <w:smartTag w:uri="urn:schemas-microsoft-com:office:smarttags" w:element="country-region">
        <w:smartTag w:uri="urn:schemas-microsoft-com:office:smarttags" w:element="place">
          <w:r w:rsidRPr="008A4D35">
            <w:rPr>
              <w:i/>
              <w:szCs w:val="18"/>
            </w:rPr>
            <w:t>Belarus</w:t>
          </w:r>
        </w:smartTag>
      </w:smartTag>
      <w:r w:rsidRPr="008A4D35">
        <w:rPr>
          <w:i/>
          <w:szCs w:val="18"/>
        </w:rPr>
        <w:t xml:space="preserve">, </w:t>
      </w:r>
      <w:r w:rsidRPr="008A4D35">
        <w:rPr>
          <w:szCs w:val="18"/>
        </w:rPr>
        <w:t>Views adopted on 18 March 2013, para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DE" w:rsidRPr="009F5899" w:rsidRDefault="00F85ADE">
    <w:pPr>
      <w:pStyle w:val="Header"/>
      <w:tabs>
        <w:tab w:val="right" w:pos="9639"/>
      </w:tabs>
      <w:rPr>
        <w:b w:val="0"/>
      </w:rPr>
    </w:pPr>
    <w:r>
      <w:t>CCPR/</w:t>
    </w:r>
    <w:r w:rsidRPr="008406FD">
      <w:t>C/108/D/</w:t>
    </w:r>
    <w:r w:rsidRPr="00EB6A90">
      <w:t>1948/2010</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ADE" w:rsidRPr="009E31DB" w:rsidRDefault="00F85ADE">
    <w:pPr>
      <w:pStyle w:val="Header"/>
      <w:tabs>
        <w:tab w:val="right" w:pos="9639"/>
      </w:tabs>
    </w:pPr>
    <w:r>
      <w:tab/>
      <w:t>CCPR/</w:t>
    </w:r>
    <w:r w:rsidRPr="008406FD">
      <w:t>C/108/D/</w:t>
    </w:r>
    <w:r w:rsidRPr="00EB6A90">
      <w:t>1948/2010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5A4" w:rsidRDefault="008A5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1DB"/>
    <w:rsid w:val="00000AF6"/>
    <w:rsid w:val="00001AEA"/>
    <w:rsid w:val="0000296E"/>
    <w:rsid w:val="00004115"/>
    <w:rsid w:val="000060E7"/>
    <w:rsid w:val="00006EEE"/>
    <w:rsid w:val="000070A9"/>
    <w:rsid w:val="00007F4B"/>
    <w:rsid w:val="000107A8"/>
    <w:rsid w:val="00020AE7"/>
    <w:rsid w:val="00033772"/>
    <w:rsid w:val="0003384F"/>
    <w:rsid w:val="00040FFC"/>
    <w:rsid w:val="00042CC3"/>
    <w:rsid w:val="000434A7"/>
    <w:rsid w:val="00050F6B"/>
    <w:rsid w:val="0005169A"/>
    <w:rsid w:val="00054F2F"/>
    <w:rsid w:val="00057EF4"/>
    <w:rsid w:val="00065DEF"/>
    <w:rsid w:val="00070F4A"/>
    <w:rsid w:val="00072B45"/>
    <w:rsid w:val="00072C8C"/>
    <w:rsid w:val="0007350B"/>
    <w:rsid w:val="00073724"/>
    <w:rsid w:val="00074946"/>
    <w:rsid w:val="00081815"/>
    <w:rsid w:val="00083B8A"/>
    <w:rsid w:val="000931C0"/>
    <w:rsid w:val="000B175B"/>
    <w:rsid w:val="000B3674"/>
    <w:rsid w:val="000B3A0F"/>
    <w:rsid w:val="000B4A60"/>
    <w:rsid w:val="000D079D"/>
    <w:rsid w:val="000E0415"/>
    <w:rsid w:val="000E0F10"/>
    <w:rsid w:val="000E5C61"/>
    <w:rsid w:val="000F04F0"/>
    <w:rsid w:val="000F1FB2"/>
    <w:rsid w:val="000F2EF2"/>
    <w:rsid w:val="000F4396"/>
    <w:rsid w:val="001047E5"/>
    <w:rsid w:val="00105665"/>
    <w:rsid w:val="00106513"/>
    <w:rsid w:val="00107C20"/>
    <w:rsid w:val="00111364"/>
    <w:rsid w:val="001114EC"/>
    <w:rsid w:val="00114F6B"/>
    <w:rsid w:val="00116A37"/>
    <w:rsid w:val="00126D12"/>
    <w:rsid w:val="00137FB3"/>
    <w:rsid w:val="00141BD8"/>
    <w:rsid w:val="00141FE0"/>
    <w:rsid w:val="00143DA6"/>
    <w:rsid w:val="001461F7"/>
    <w:rsid w:val="001520DE"/>
    <w:rsid w:val="00153A45"/>
    <w:rsid w:val="0016008B"/>
    <w:rsid w:val="00165237"/>
    <w:rsid w:val="0017673F"/>
    <w:rsid w:val="001768C2"/>
    <w:rsid w:val="00183B4A"/>
    <w:rsid w:val="00183C56"/>
    <w:rsid w:val="0018518B"/>
    <w:rsid w:val="00193754"/>
    <w:rsid w:val="001A6A7E"/>
    <w:rsid w:val="001B4B04"/>
    <w:rsid w:val="001C6663"/>
    <w:rsid w:val="001C7895"/>
    <w:rsid w:val="001D26DF"/>
    <w:rsid w:val="001E2FF4"/>
    <w:rsid w:val="001F618C"/>
    <w:rsid w:val="00201C77"/>
    <w:rsid w:val="00205978"/>
    <w:rsid w:val="00205CD0"/>
    <w:rsid w:val="00211E0B"/>
    <w:rsid w:val="00212D5A"/>
    <w:rsid w:val="00213F98"/>
    <w:rsid w:val="00215EDF"/>
    <w:rsid w:val="00221826"/>
    <w:rsid w:val="00221C77"/>
    <w:rsid w:val="0024130F"/>
    <w:rsid w:val="00242420"/>
    <w:rsid w:val="00253970"/>
    <w:rsid w:val="002541E0"/>
    <w:rsid w:val="0025718D"/>
    <w:rsid w:val="00257DE7"/>
    <w:rsid w:val="00260508"/>
    <w:rsid w:val="00262440"/>
    <w:rsid w:val="002639CB"/>
    <w:rsid w:val="00264109"/>
    <w:rsid w:val="0027608E"/>
    <w:rsid w:val="002777D1"/>
    <w:rsid w:val="00277882"/>
    <w:rsid w:val="002839FC"/>
    <w:rsid w:val="002840EB"/>
    <w:rsid w:val="002855B2"/>
    <w:rsid w:val="00287A29"/>
    <w:rsid w:val="00296BBB"/>
    <w:rsid w:val="002976F3"/>
    <w:rsid w:val="002A33C4"/>
    <w:rsid w:val="002B15D0"/>
    <w:rsid w:val="002B54F6"/>
    <w:rsid w:val="002B7CEF"/>
    <w:rsid w:val="002D02AF"/>
    <w:rsid w:val="002D4629"/>
    <w:rsid w:val="002F3D3B"/>
    <w:rsid w:val="00300E2A"/>
    <w:rsid w:val="003107FA"/>
    <w:rsid w:val="003138BF"/>
    <w:rsid w:val="00315668"/>
    <w:rsid w:val="00315B5C"/>
    <w:rsid w:val="00320C13"/>
    <w:rsid w:val="003229D8"/>
    <w:rsid w:val="00327309"/>
    <w:rsid w:val="00332C30"/>
    <w:rsid w:val="003340FB"/>
    <w:rsid w:val="0033745A"/>
    <w:rsid w:val="0034117B"/>
    <w:rsid w:val="00343502"/>
    <w:rsid w:val="00343A3E"/>
    <w:rsid w:val="003512E9"/>
    <w:rsid w:val="003523DA"/>
    <w:rsid w:val="00354F1B"/>
    <w:rsid w:val="003618AE"/>
    <w:rsid w:val="003726BE"/>
    <w:rsid w:val="00390F82"/>
    <w:rsid w:val="0039277A"/>
    <w:rsid w:val="003972E0"/>
    <w:rsid w:val="003A00E9"/>
    <w:rsid w:val="003A2077"/>
    <w:rsid w:val="003A4DDE"/>
    <w:rsid w:val="003A6411"/>
    <w:rsid w:val="003B6A44"/>
    <w:rsid w:val="003C2281"/>
    <w:rsid w:val="003C2CC4"/>
    <w:rsid w:val="003C2CFB"/>
    <w:rsid w:val="003C4D6B"/>
    <w:rsid w:val="003C5218"/>
    <w:rsid w:val="003D0E94"/>
    <w:rsid w:val="003D4B23"/>
    <w:rsid w:val="003E5DBC"/>
    <w:rsid w:val="003F243C"/>
    <w:rsid w:val="003F2F2D"/>
    <w:rsid w:val="003F65A1"/>
    <w:rsid w:val="003F7DA1"/>
    <w:rsid w:val="00404680"/>
    <w:rsid w:val="0040644E"/>
    <w:rsid w:val="00411819"/>
    <w:rsid w:val="00415757"/>
    <w:rsid w:val="00416E2F"/>
    <w:rsid w:val="0041727C"/>
    <w:rsid w:val="0041741D"/>
    <w:rsid w:val="004308CA"/>
    <w:rsid w:val="00431B90"/>
    <w:rsid w:val="004325CB"/>
    <w:rsid w:val="004334E9"/>
    <w:rsid w:val="00434591"/>
    <w:rsid w:val="00436887"/>
    <w:rsid w:val="00436B7F"/>
    <w:rsid w:val="00437E28"/>
    <w:rsid w:val="00440365"/>
    <w:rsid w:val="00443175"/>
    <w:rsid w:val="00446DE4"/>
    <w:rsid w:val="00452605"/>
    <w:rsid w:val="0045706D"/>
    <w:rsid w:val="00461BDC"/>
    <w:rsid w:val="00463B15"/>
    <w:rsid w:val="00474D5A"/>
    <w:rsid w:val="00480B74"/>
    <w:rsid w:val="00480B95"/>
    <w:rsid w:val="00490DA3"/>
    <w:rsid w:val="004A3F52"/>
    <w:rsid w:val="004A41CA"/>
    <w:rsid w:val="004B0D0B"/>
    <w:rsid w:val="004B7033"/>
    <w:rsid w:val="004C1A6A"/>
    <w:rsid w:val="004C428C"/>
    <w:rsid w:val="004C4E3F"/>
    <w:rsid w:val="004D0392"/>
    <w:rsid w:val="004D3AA0"/>
    <w:rsid w:val="004D4B60"/>
    <w:rsid w:val="004F25AC"/>
    <w:rsid w:val="004F4015"/>
    <w:rsid w:val="004F4919"/>
    <w:rsid w:val="004F4A76"/>
    <w:rsid w:val="004F523A"/>
    <w:rsid w:val="0050037F"/>
    <w:rsid w:val="00503228"/>
    <w:rsid w:val="00504539"/>
    <w:rsid w:val="00505384"/>
    <w:rsid w:val="00505E25"/>
    <w:rsid w:val="005160F2"/>
    <w:rsid w:val="00516C40"/>
    <w:rsid w:val="00521981"/>
    <w:rsid w:val="00537D93"/>
    <w:rsid w:val="005420F2"/>
    <w:rsid w:val="00543D61"/>
    <w:rsid w:val="0054414F"/>
    <w:rsid w:val="00544B7E"/>
    <w:rsid w:val="005549DE"/>
    <w:rsid w:val="005559A3"/>
    <w:rsid w:val="00556AA7"/>
    <w:rsid w:val="00560C9A"/>
    <w:rsid w:val="00561C32"/>
    <w:rsid w:val="0056469C"/>
    <w:rsid w:val="0057013C"/>
    <w:rsid w:val="005708E0"/>
    <w:rsid w:val="0057327B"/>
    <w:rsid w:val="00575597"/>
    <w:rsid w:val="00582696"/>
    <w:rsid w:val="00584474"/>
    <w:rsid w:val="0059144E"/>
    <w:rsid w:val="00593248"/>
    <w:rsid w:val="0059644D"/>
    <w:rsid w:val="00596D41"/>
    <w:rsid w:val="005A1290"/>
    <w:rsid w:val="005A29E8"/>
    <w:rsid w:val="005A2DDB"/>
    <w:rsid w:val="005B20ED"/>
    <w:rsid w:val="005B3DB3"/>
    <w:rsid w:val="005B487E"/>
    <w:rsid w:val="005B61F2"/>
    <w:rsid w:val="005B6A9F"/>
    <w:rsid w:val="005B6C49"/>
    <w:rsid w:val="005C3306"/>
    <w:rsid w:val="005C6110"/>
    <w:rsid w:val="005D5652"/>
    <w:rsid w:val="005D6057"/>
    <w:rsid w:val="005D740E"/>
    <w:rsid w:val="005E2BFA"/>
    <w:rsid w:val="005F4429"/>
    <w:rsid w:val="005F6F50"/>
    <w:rsid w:val="006010A7"/>
    <w:rsid w:val="006016AD"/>
    <w:rsid w:val="00602FA6"/>
    <w:rsid w:val="0060322B"/>
    <w:rsid w:val="00611E54"/>
    <w:rsid w:val="00611FC4"/>
    <w:rsid w:val="00613B02"/>
    <w:rsid w:val="006176FB"/>
    <w:rsid w:val="00620191"/>
    <w:rsid w:val="006278A9"/>
    <w:rsid w:val="00627ED0"/>
    <w:rsid w:val="00632AF2"/>
    <w:rsid w:val="0063656A"/>
    <w:rsid w:val="00640B26"/>
    <w:rsid w:val="00640F67"/>
    <w:rsid w:val="00641CF3"/>
    <w:rsid w:val="00645F1F"/>
    <w:rsid w:val="00653E5E"/>
    <w:rsid w:val="00657F3B"/>
    <w:rsid w:val="00663F48"/>
    <w:rsid w:val="00665595"/>
    <w:rsid w:val="00673AD0"/>
    <w:rsid w:val="00676642"/>
    <w:rsid w:val="00677059"/>
    <w:rsid w:val="00681C52"/>
    <w:rsid w:val="00686D08"/>
    <w:rsid w:val="006917F3"/>
    <w:rsid w:val="00693280"/>
    <w:rsid w:val="00694E59"/>
    <w:rsid w:val="006A71E4"/>
    <w:rsid w:val="006A7392"/>
    <w:rsid w:val="006B2983"/>
    <w:rsid w:val="006B45C1"/>
    <w:rsid w:val="006C2369"/>
    <w:rsid w:val="006C2B6E"/>
    <w:rsid w:val="006D2F5C"/>
    <w:rsid w:val="006D4062"/>
    <w:rsid w:val="006D707D"/>
    <w:rsid w:val="006E2196"/>
    <w:rsid w:val="006E564B"/>
    <w:rsid w:val="006F1961"/>
    <w:rsid w:val="006F2E7A"/>
    <w:rsid w:val="006F3842"/>
    <w:rsid w:val="006F48A5"/>
    <w:rsid w:val="006F6EB1"/>
    <w:rsid w:val="00701054"/>
    <w:rsid w:val="00705A78"/>
    <w:rsid w:val="007108DB"/>
    <w:rsid w:val="00711B29"/>
    <w:rsid w:val="00721FDE"/>
    <w:rsid w:val="007247CC"/>
    <w:rsid w:val="0072632A"/>
    <w:rsid w:val="00726BAE"/>
    <w:rsid w:val="0073111E"/>
    <w:rsid w:val="007369EB"/>
    <w:rsid w:val="007376D3"/>
    <w:rsid w:val="007407A9"/>
    <w:rsid w:val="00743CBD"/>
    <w:rsid w:val="00745369"/>
    <w:rsid w:val="007500E1"/>
    <w:rsid w:val="007527A5"/>
    <w:rsid w:val="00752BD9"/>
    <w:rsid w:val="00767747"/>
    <w:rsid w:val="007703F1"/>
    <w:rsid w:val="00775204"/>
    <w:rsid w:val="007808D6"/>
    <w:rsid w:val="00782B8C"/>
    <w:rsid w:val="0078419D"/>
    <w:rsid w:val="007939B7"/>
    <w:rsid w:val="00797503"/>
    <w:rsid w:val="00797CF4"/>
    <w:rsid w:val="007A226A"/>
    <w:rsid w:val="007B1306"/>
    <w:rsid w:val="007B1518"/>
    <w:rsid w:val="007B4545"/>
    <w:rsid w:val="007B4A52"/>
    <w:rsid w:val="007B6BA5"/>
    <w:rsid w:val="007C16E5"/>
    <w:rsid w:val="007C3390"/>
    <w:rsid w:val="007C4D8F"/>
    <w:rsid w:val="007C4F4B"/>
    <w:rsid w:val="007C54B4"/>
    <w:rsid w:val="007E6711"/>
    <w:rsid w:val="007F0B83"/>
    <w:rsid w:val="007F3284"/>
    <w:rsid w:val="007F5AD2"/>
    <w:rsid w:val="007F6611"/>
    <w:rsid w:val="00804398"/>
    <w:rsid w:val="00806172"/>
    <w:rsid w:val="008124E0"/>
    <w:rsid w:val="00816193"/>
    <w:rsid w:val="00816565"/>
    <w:rsid w:val="008175E9"/>
    <w:rsid w:val="00820ABD"/>
    <w:rsid w:val="008242D7"/>
    <w:rsid w:val="00830FA2"/>
    <w:rsid w:val="008311A3"/>
    <w:rsid w:val="00831735"/>
    <w:rsid w:val="008406FD"/>
    <w:rsid w:val="008447C8"/>
    <w:rsid w:val="00846C74"/>
    <w:rsid w:val="00847982"/>
    <w:rsid w:val="00854881"/>
    <w:rsid w:val="008649F9"/>
    <w:rsid w:val="00871FD5"/>
    <w:rsid w:val="00874CE7"/>
    <w:rsid w:val="00876C93"/>
    <w:rsid w:val="008808DF"/>
    <w:rsid w:val="00885841"/>
    <w:rsid w:val="0088695D"/>
    <w:rsid w:val="008901C2"/>
    <w:rsid w:val="00890748"/>
    <w:rsid w:val="00894F1A"/>
    <w:rsid w:val="008979B1"/>
    <w:rsid w:val="008A1325"/>
    <w:rsid w:val="008A37FE"/>
    <w:rsid w:val="008A407D"/>
    <w:rsid w:val="008A4D35"/>
    <w:rsid w:val="008A55A4"/>
    <w:rsid w:val="008A6B25"/>
    <w:rsid w:val="008A6C4F"/>
    <w:rsid w:val="008A6CCF"/>
    <w:rsid w:val="008B2AD4"/>
    <w:rsid w:val="008B40DB"/>
    <w:rsid w:val="008C736E"/>
    <w:rsid w:val="008D0840"/>
    <w:rsid w:val="008D25A0"/>
    <w:rsid w:val="008D5804"/>
    <w:rsid w:val="008E0E46"/>
    <w:rsid w:val="008E11F8"/>
    <w:rsid w:val="008E1B58"/>
    <w:rsid w:val="008E4141"/>
    <w:rsid w:val="008E4486"/>
    <w:rsid w:val="008E6128"/>
    <w:rsid w:val="008E7BCB"/>
    <w:rsid w:val="008F2249"/>
    <w:rsid w:val="008F4ED4"/>
    <w:rsid w:val="008F5CC1"/>
    <w:rsid w:val="009021C9"/>
    <w:rsid w:val="00903AFD"/>
    <w:rsid w:val="00906983"/>
    <w:rsid w:val="00907AD2"/>
    <w:rsid w:val="009106BB"/>
    <w:rsid w:val="00911AF4"/>
    <w:rsid w:val="009165FD"/>
    <w:rsid w:val="0091697E"/>
    <w:rsid w:val="00921C78"/>
    <w:rsid w:val="00925C32"/>
    <w:rsid w:val="009331DC"/>
    <w:rsid w:val="00936903"/>
    <w:rsid w:val="00942D56"/>
    <w:rsid w:val="009443F0"/>
    <w:rsid w:val="00951683"/>
    <w:rsid w:val="00960430"/>
    <w:rsid w:val="00960A13"/>
    <w:rsid w:val="00963CBA"/>
    <w:rsid w:val="009707F5"/>
    <w:rsid w:val="00974A8D"/>
    <w:rsid w:val="0098068A"/>
    <w:rsid w:val="00982D35"/>
    <w:rsid w:val="00987FAD"/>
    <w:rsid w:val="00991261"/>
    <w:rsid w:val="009928CD"/>
    <w:rsid w:val="009967D7"/>
    <w:rsid w:val="009A5DA9"/>
    <w:rsid w:val="009B1EE9"/>
    <w:rsid w:val="009B6145"/>
    <w:rsid w:val="009B690D"/>
    <w:rsid w:val="009C1B41"/>
    <w:rsid w:val="009D2301"/>
    <w:rsid w:val="009E10DA"/>
    <w:rsid w:val="009E31DB"/>
    <w:rsid w:val="009E55B3"/>
    <w:rsid w:val="009F2E3E"/>
    <w:rsid w:val="009F3A17"/>
    <w:rsid w:val="009F5899"/>
    <w:rsid w:val="00A03315"/>
    <w:rsid w:val="00A043D7"/>
    <w:rsid w:val="00A118E5"/>
    <w:rsid w:val="00A1427D"/>
    <w:rsid w:val="00A15854"/>
    <w:rsid w:val="00A2003E"/>
    <w:rsid w:val="00A2110C"/>
    <w:rsid w:val="00A37D4B"/>
    <w:rsid w:val="00A401DB"/>
    <w:rsid w:val="00A45519"/>
    <w:rsid w:val="00A46B9A"/>
    <w:rsid w:val="00A513AA"/>
    <w:rsid w:val="00A53766"/>
    <w:rsid w:val="00A605D8"/>
    <w:rsid w:val="00A72F22"/>
    <w:rsid w:val="00A746CA"/>
    <w:rsid w:val="00A748A6"/>
    <w:rsid w:val="00A866F5"/>
    <w:rsid w:val="00A879A4"/>
    <w:rsid w:val="00A87D8B"/>
    <w:rsid w:val="00A908D5"/>
    <w:rsid w:val="00A96889"/>
    <w:rsid w:val="00AA2CE1"/>
    <w:rsid w:val="00AA4F1E"/>
    <w:rsid w:val="00AA71D9"/>
    <w:rsid w:val="00AB3396"/>
    <w:rsid w:val="00AB7B0D"/>
    <w:rsid w:val="00AC3C9D"/>
    <w:rsid w:val="00AC6F15"/>
    <w:rsid w:val="00AC7C12"/>
    <w:rsid w:val="00AD052F"/>
    <w:rsid w:val="00AD14ED"/>
    <w:rsid w:val="00AD7A02"/>
    <w:rsid w:val="00AE0D92"/>
    <w:rsid w:val="00AE114B"/>
    <w:rsid w:val="00AE1E6F"/>
    <w:rsid w:val="00AE4DA2"/>
    <w:rsid w:val="00AE4EA4"/>
    <w:rsid w:val="00AE5EFE"/>
    <w:rsid w:val="00AF129B"/>
    <w:rsid w:val="00AF2F19"/>
    <w:rsid w:val="00B11F2F"/>
    <w:rsid w:val="00B17B47"/>
    <w:rsid w:val="00B21177"/>
    <w:rsid w:val="00B2187D"/>
    <w:rsid w:val="00B24218"/>
    <w:rsid w:val="00B30179"/>
    <w:rsid w:val="00B317E3"/>
    <w:rsid w:val="00B33EC0"/>
    <w:rsid w:val="00B359F1"/>
    <w:rsid w:val="00B36951"/>
    <w:rsid w:val="00B43B6F"/>
    <w:rsid w:val="00B44B27"/>
    <w:rsid w:val="00B44CD7"/>
    <w:rsid w:val="00B47BAD"/>
    <w:rsid w:val="00B53DBF"/>
    <w:rsid w:val="00B55C0C"/>
    <w:rsid w:val="00B55F59"/>
    <w:rsid w:val="00B56A48"/>
    <w:rsid w:val="00B616ED"/>
    <w:rsid w:val="00B62857"/>
    <w:rsid w:val="00B7224B"/>
    <w:rsid w:val="00B81E12"/>
    <w:rsid w:val="00B82C19"/>
    <w:rsid w:val="00B8706B"/>
    <w:rsid w:val="00BA0314"/>
    <w:rsid w:val="00BA65B8"/>
    <w:rsid w:val="00BA77E1"/>
    <w:rsid w:val="00BA795F"/>
    <w:rsid w:val="00BC3DB9"/>
    <w:rsid w:val="00BC48B2"/>
    <w:rsid w:val="00BC74E9"/>
    <w:rsid w:val="00BC7ED8"/>
    <w:rsid w:val="00BD0275"/>
    <w:rsid w:val="00BD2757"/>
    <w:rsid w:val="00BE2D31"/>
    <w:rsid w:val="00BE4F74"/>
    <w:rsid w:val="00BE618E"/>
    <w:rsid w:val="00BE7FEE"/>
    <w:rsid w:val="00BF101C"/>
    <w:rsid w:val="00BF2F39"/>
    <w:rsid w:val="00BF6C73"/>
    <w:rsid w:val="00C00B0A"/>
    <w:rsid w:val="00C0381C"/>
    <w:rsid w:val="00C0752E"/>
    <w:rsid w:val="00C136E7"/>
    <w:rsid w:val="00C17699"/>
    <w:rsid w:val="00C20829"/>
    <w:rsid w:val="00C20EEE"/>
    <w:rsid w:val="00C21B47"/>
    <w:rsid w:val="00C3081F"/>
    <w:rsid w:val="00C40AF8"/>
    <w:rsid w:val="00C43ECA"/>
    <w:rsid w:val="00C45687"/>
    <w:rsid w:val="00C463DD"/>
    <w:rsid w:val="00C474ED"/>
    <w:rsid w:val="00C50DD5"/>
    <w:rsid w:val="00C5346F"/>
    <w:rsid w:val="00C62DEF"/>
    <w:rsid w:val="00C669B0"/>
    <w:rsid w:val="00C745C3"/>
    <w:rsid w:val="00C76B8B"/>
    <w:rsid w:val="00C806CC"/>
    <w:rsid w:val="00C859E1"/>
    <w:rsid w:val="00C866DB"/>
    <w:rsid w:val="00C93AB1"/>
    <w:rsid w:val="00CA489A"/>
    <w:rsid w:val="00CB0526"/>
    <w:rsid w:val="00CB0DAE"/>
    <w:rsid w:val="00CB0F64"/>
    <w:rsid w:val="00CB4A94"/>
    <w:rsid w:val="00CB5E2A"/>
    <w:rsid w:val="00CC390D"/>
    <w:rsid w:val="00CC6CCE"/>
    <w:rsid w:val="00CC7459"/>
    <w:rsid w:val="00CD039E"/>
    <w:rsid w:val="00CD1860"/>
    <w:rsid w:val="00CE2D37"/>
    <w:rsid w:val="00CE4A8F"/>
    <w:rsid w:val="00CE7309"/>
    <w:rsid w:val="00CF0C8F"/>
    <w:rsid w:val="00CF0F27"/>
    <w:rsid w:val="00CF2182"/>
    <w:rsid w:val="00CF3243"/>
    <w:rsid w:val="00CF32AC"/>
    <w:rsid w:val="00CF553F"/>
    <w:rsid w:val="00CF6641"/>
    <w:rsid w:val="00D0178F"/>
    <w:rsid w:val="00D05BF5"/>
    <w:rsid w:val="00D13BBB"/>
    <w:rsid w:val="00D2031B"/>
    <w:rsid w:val="00D25FE2"/>
    <w:rsid w:val="00D278BD"/>
    <w:rsid w:val="00D310F5"/>
    <w:rsid w:val="00D317BB"/>
    <w:rsid w:val="00D328AF"/>
    <w:rsid w:val="00D33D22"/>
    <w:rsid w:val="00D369A2"/>
    <w:rsid w:val="00D43252"/>
    <w:rsid w:val="00D50DEE"/>
    <w:rsid w:val="00D51C9C"/>
    <w:rsid w:val="00D53954"/>
    <w:rsid w:val="00D56507"/>
    <w:rsid w:val="00D579B1"/>
    <w:rsid w:val="00D57E33"/>
    <w:rsid w:val="00D66FEF"/>
    <w:rsid w:val="00D708DC"/>
    <w:rsid w:val="00D77400"/>
    <w:rsid w:val="00D7772A"/>
    <w:rsid w:val="00D90F7E"/>
    <w:rsid w:val="00D90FF9"/>
    <w:rsid w:val="00D914AA"/>
    <w:rsid w:val="00D919F6"/>
    <w:rsid w:val="00D93727"/>
    <w:rsid w:val="00D97754"/>
    <w:rsid w:val="00D978C6"/>
    <w:rsid w:val="00DA30CA"/>
    <w:rsid w:val="00DA530D"/>
    <w:rsid w:val="00DA6309"/>
    <w:rsid w:val="00DA67AD"/>
    <w:rsid w:val="00DB5D0F"/>
    <w:rsid w:val="00DB6712"/>
    <w:rsid w:val="00DC5690"/>
    <w:rsid w:val="00DD2361"/>
    <w:rsid w:val="00DD3F15"/>
    <w:rsid w:val="00DD6F93"/>
    <w:rsid w:val="00DE2845"/>
    <w:rsid w:val="00DE3D53"/>
    <w:rsid w:val="00DE3D61"/>
    <w:rsid w:val="00DE5B51"/>
    <w:rsid w:val="00DE7CD9"/>
    <w:rsid w:val="00DF0F82"/>
    <w:rsid w:val="00DF12F7"/>
    <w:rsid w:val="00DF1C44"/>
    <w:rsid w:val="00DF5ADA"/>
    <w:rsid w:val="00DF6EEC"/>
    <w:rsid w:val="00E02C81"/>
    <w:rsid w:val="00E130AB"/>
    <w:rsid w:val="00E16EA5"/>
    <w:rsid w:val="00E2099B"/>
    <w:rsid w:val="00E26D9C"/>
    <w:rsid w:val="00E27582"/>
    <w:rsid w:val="00E35AED"/>
    <w:rsid w:val="00E35DC4"/>
    <w:rsid w:val="00E37A8F"/>
    <w:rsid w:val="00E40A95"/>
    <w:rsid w:val="00E4116B"/>
    <w:rsid w:val="00E46272"/>
    <w:rsid w:val="00E4787E"/>
    <w:rsid w:val="00E47CB8"/>
    <w:rsid w:val="00E51144"/>
    <w:rsid w:val="00E653CF"/>
    <w:rsid w:val="00E67A50"/>
    <w:rsid w:val="00E7260F"/>
    <w:rsid w:val="00E750B9"/>
    <w:rsid w:val="00E76953"/>
    <w:rsid w:val="00E84CA5"/>
    <w:rsid w:val="00E84E8D"/>
    <w:rsid w:val="00E87921"/>
    <w:rsid w:val="00E87EAB"/>
    <w:rsid w:val="00E92DFC"/>
    <w:rsid w:val="00E93461"/>
    <w:rsid w:val="00E9490D"/>
    <w:rsid w:val="00E95F2D"/>
    <w:rsid w:val="00E9602B"/>
    <w:rsid w:val="00E965B5"/>
    <w:rsid w:val="00E96630"/>
    <w:rsid w:val="00E9672A"/>
    <w:rsid w:val="00EA1273"/>
    <w:rsid w:val="00EA17FD"/>
    <w:rsid w:val="00EB1700"/>
    <w:rsid w:val="00EB6A90"/>
    <w:rsid w:val="00EC0A2B"/>
    <w:rsid w:val="00EC647A"/>
    <w:rsid w:val="00EC7C09"/>
    <w:rsid w:val="00ED3F92"/>
    <w:rsid w:val="00ED7589"/>
    <w:rsid w:val="00ED7A2A"/>
    <w:rsid w:val="00EE07B9"/>
    <w:rsid w:val="00EE2381"/>
    <w:rsid w:val="00EE3310"/>
    <w:rsid w:val="00EE6672"/>
    <w:rsid w:val="00EF032E"/>
    <w:rsid w:val="00EF1797"/>
    <w:rsid w:val="00EF1D7F"/>
    <w:rsid w:val="00F05CA0"/>
    <w:rsid w:val="00F07DE3"/>
    <w:rsid w:val="00F07F2E"/>
    <w:rsid w:val="00F102E5"/>
    <w:rsid w:val="00F10BB7"/>
    <w:rsid w:val="00F12809"/>
    <w:rsid w:val="00F1518C"/>
    <w:rsid w:val="00F16DE0"/>
    <w:rsid w:val="00F17FE9"/>
    <w:rsid w:val="00F202A3"/>
    <w:rsid w:val="00F20F66"/>
    <w:rsid w:val="00F22C22"/>
    <w:rsid w:val="00F249AD"/>
    <w:rsid w:val="00F30852"/>
    <w:rsid w:val="00F32C14"/>
    <w:rsid w:val="00F33E92"/>
    <w:rsid w:val="00F42B6F"/>
    <w:rsid w:val="00F4428F"/>
    <w:rsid w:val="00F475FE"/>
    <w:rsid w:val="00F50CDA"/>
    <w:rsid w:val="00F51878"/>
    <w:rsid w:val="00F53D59"/>
    <w:rsid w:val="00F53EDA"/>
    <w:rsid w:val="00F5756B"/>
    <w:rsid w:val="00F62580"/>
    <w:rsid w:val="00F64B9F"/>
    <w:rsid w:val="00F70A44"/>
    <w:rsid w:val="00F76BAB"/>
    <w:rsid w:val="00F7753D"/>
    <w:rsid w:val="00F84424"/>
    <w:rsid w:val="00F85ADE"/>
    <w:rsid w:val="00F85F34"/>
    <w:rsid w:val="00F91FB7"/>
    <w:rsid w:val="00F95318"/>
    <w:rsid w:val="00FA06F7"/>
    <w:rsid w:val="00FA6277"/>
    <w:rsid w:val="00FA64EE"/>
    <w:rsid w:val="00FA710E"/>
    <w:rsid w:val="00FB0297"/>
    <w:rsid w:val="00FB171A"/>
    <w:rsid w:val="00FC1237"/>
    <w:rsid w:val="00FC68B7"/>
    <w:rsid w:val="00FD0010"/>
    <w:rsid w:val="00FD5F98"/>
    <w:rsid w:val="00FD7BF6"/>
    <w:rsid w:val="00FE195F"/>
    <w:rsid w:val="00FE2EB5"/>
    <w:rsid w:val="00FE50FC"/>
    <w:rsid w:val="00FE75FA"/>
    <w:rsid w:val="00FF13E1"/>
    <w:rsid w:val="00FF235B"/>
    <w:rsid w:val="00FF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5F0767A1-9972-42D7-8F49-096CB8FF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val="en-GB"/>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ftref"/>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alloonText">
    <w:name w:val="Balloon Text"/>
    <w:basedOn w:val="Normal"/>
    <w:semiHidden/>
    <w:rsid w:val="00F50CDA"/>
    <w:rPr>
      <w:rFonts w:ascii="Tahoma" w:hAnsi="Tahoma" w:cs="Tahoma"/>
      <w:sz w:val="16"/>
      <w:szCs w:val="16"/>
    </w:rPr>
  </w:style>
  <w:style w:type="character" w:styleId="CommentReference">
    <w:name w:val="annotation reference"/>
    <w:semiHidden/>
    <w:rsid w:val="00B56A48"/>
    <w:rPr>
      <w:sz w:val="16"/>
      <w:szCs w:val="16"/>
    </w:rPr>
  </w:style>
  <w:style w:type="paragraph" w:styleId="CommentText">
    <w:name w:val="annotation text"/>
    <w:basedOn w:val="Normal"/>
    <w:link w:val="CommentTextChar"/>
    <w:semiHidden/>
    <w:rsid w:val="00B56A48"/>
  </w:style>
  <w:style w:type="paragraph" w:styleId="CommentSubject">
    <w:name w:val="annotation subject"/>
    <w:basedOn w:val="CommentText"/>
    <w:next w:val="CommentText"/>
    <w:semiHidden/>
    <w:rsid w:val="00B56A48"/>
    <w:rPr>
      <w:b/>
      <w:bCs/>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925C32"/>
    <w:rPr>
      <w:sz w:val="18"/>
      <w:lang w:val="en-GB" w:eastAsia="en-US" w:bidi="ar-SA"/>
    </w:rPr>
  </w:style>
  <w:style w:type="character" w:customStyle="1" w:styleId="SingleTxtGChar">
    <w:name w:val="_ Single Txt_G Char"/>
    <w:link w:val="SingleTxtG"/>
    <w:rsid w:val="00A605D8"/>
    <w:rPr>
      <w:lang w:val="en-GB" w:eastAsia="en-US" w:bidi="ar-SA"/>
    </w:rPr>
  </w:style>
  <w:style w:type="character" w:customStyle="1" w:styleId="CommentTextChar">
    <w:name w:val="Comment Text Char"/>
    <w:link w:val="CommentText"/>
    <w:semiHidden/>
    <w:rsid w:val="003A6411"/>
    <w:rPr>
      <w:lang w:eastAsia="en-US"/>
    </w:rPr>
  </w:style>
  <w:style w:type="paragraph" w:styleId="NormalWeb">
    <w:name w:val="Normal (Web)"/>
    <w:basedOn w:val="Normal"/>
    <w:uiPriority w:val="99"/>
    <w:semiHidden/>
    <w:unhideWhenUsed/>
    <w:rsid w:val="007C54B4"/>
    <w:pPr>
      <w:suppressAutoHyphens w:val="0"/>
      <w:spacing w:before="100" w:beforeAutospacing="1" w:after="100" w:afterAutospacing="1" w:line="240" w:lineRule="auto"/>
    </w:pPr>
    <w:rPr>
      <w:sz w:val="24"/>
      <w:szCs w:val="24"/>
      <w:lang w:eastAsia="en-GB"/>
    </w:rPr>
  </w:style>
  <w:style w:type="paragraph" w:styleId="Revision">
    <w:name w:val="Revision"/>
    <w:hidden/>
    <w:uiPriority w:val="99"/>
    <w:semiHidden/>
    <w:rsid w:val="00F17FE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5126">
      <w:bodyDiv w:val="1"/>
      <w:marLeft w:val="0"/>
      <w:marRight w:val="0"/>
      <w:marTop w:val="0"/>
      <w:marBottom w:val="0"/>
      <w:divBdr>
        <w:top w:val="none" w:sz="0" w:space="0" w:color="auto"/>
        <w:left w:val="none" w:sz="0" w:space="0" w:color="auto"/>
        <w:bottom w:val="none" w:sz="0" w:space="0" w:color="auto"/>
        <w:right w:val="none" w:sz="0" w:space="0" w:color="auto"/>
      </w:divBdr>
    </w:div>
    <w:div w:id="261647283">
      <w:bodyDiv w:val="1"/>
      <w:marLeft w:val="0"/>
      <w:marRight w:val="0"/>
      <w:marTop w:val="0"/>
      <w:marBottom w:val="0"/>
      <w:divBdr>
        <w:top w:val="none" w:sz="0" w:space="0" w:color="auto"/>
        <w:left w:val="none" w:sz="0" w:space="0" w:color="auto"/>
        <w:bottom w:val="none" w:sz="0" w:space="0" w:color="auto"/>
        <w:right w:val="none" w:sz="0" w:space="0" w:color="auto"/>
      </w:divBdr>
      <w:divsChild>
        <w:div w:id="177932846">
          <w:marLeft w:val="0"/>
          <w:marRight w:val="0"/>
          <w:marTop w:val="0"/>
          <w:marBottom w:val="0"/>
          <w:divBdr>
            <w:top w:val="none" w:sz="0" w:space="0" w:color="auto"/>
            <w:left w:val="none" w:sz="0" w:space="0" w:color="auto"/>
            <w:bottom w:val="none" w:sz="0" w:space="0" w:color="auto"/>
            <w:right w:val="none" w:sz="0" w:space="0" w:color="auto"/>
          </w:divBdr>
          <w:divsChild>
            <w:div w:id="764885076">
              <w:marLeft w:val="0"/>
              <w:marRight w:val="0"/>
              <w:marTop w:val="0"/>
              <w:marBottom w:val="0"/>
              <w:divBdr>
                <w:top w:val="none" w:sz="0" w:space="0" w:color="auto"/>
                <w:left w:val="none" w:sz="0" w:space="0" w:color="auto"/>
                <w:bottom w:val="none" w:sz="0" w:space="0" w:color="auto"/>
                <w:right w:val="none" w:sz="0" w:space="0" w:color="auto"/>
              </w:divBdr>
              <w:divsChild>
                <w:div w:id="680203647">
                  <w:marLeft w:val="0"/>
                  <w:marRight w:val="0"/>
                  <w:marTop w:val="0"/>
                  <w:marBottom w:val="0"/>
                  <w:divBdr>
                    <w:top w:val="none" w:sz="0" w:space="0" w:color="auto"/>
                    <w:left w:val="none" w:sz="0" w:space="0" w:color="auto"/>
                    <w:bottom w:val="none" w:sz="0" w:space="0" w:color="auto"/>
                    <w:right w:val="none" w:sz="0" w:space="0" w:color="auto"/>
                  </w:divBdr>
                  <w:divsChild>
                    <w:div w:id="1696148394">
                      <w:marLeft w:val="0"/>
                      <w:marRight w:val="0"/>
                      <w:marTop w:val="0"/>
                      <w:marBottom w:val="0"/>
                      <w:divBdr>
                        <w:top w:val="none" w:sz="0" w:space="0" w:color="auto"/>
                        <w:left w:val="none" w:sz="0" w:space="0" w:color="auto"/>
                        <w:bottom w:val="none" w:sz="0" w:space="0" w:color="auto"/>
                        <w:right w:val="none" w:sz="0" w:space="0" w:color="auto"/>
                      </w:divBdr>
                      <w:divsChild>
                        <w:div w:id="445581312">
                          <w:marLeft w:val="0"/>
                          <w:marRight w:val="0"/>
                          <w:marTop w:val="0"/>
                          <w:marBottom w:val="0"/>
                          <w:divBdr>
                            <w:top w:val="none" w:sz="0" w:space="0" w:color="auto"/>
                            <w:left w:val="none" w:sz="0" w:space="0" w:color="auto"/>
                            <w:bottom w:val="none" w:sz="0" w:space="0" w:color="auto"/>
                            <w:right w:val="none" w:sz="0" w:space="0" w:color="auto"/>
                          </w:divBdr>
                          <w:divsChild>
                            <w:div w:id="952512669">
                              <w:marLeft w:val="0"/>
                              <w:marRight w:val="0"/>
                              <w:marTop w:val="0"/>
                              <w:marBottom w:val="0"/>
                              <w:divBdr>
                                <w:top w:val="none" w:sz="0" w:space="0" w:color="auto"/>
                                <w:left w:val="none" w:sz="0" w:space="0" w:color="auto"/>
                                <w:bottom w:val="none" w:sz="0" w:space="0" w:color="auto"/>
                                <w:right w:val="none" w:sz="0" w:space="0" w:color="auto"/>
                              </w:divBdr>
                              <w:divsChild>
                                <w:div w:id="1283342595">
                                  <w:marLeft w:val="0"/>
                                  <w:marRight w:val="0"/>
                                  <w:marTop w:val="0"/>
                                  <w:marBottom w:val="0"/>
                                  <w:divBdr>
                                    <w:top w:val="none" w:sz="0" w:space="0" w:color="auto"/>
                                    <w:left w:val="none" w:sz="0" w:space="0" w:color="auto"/>
                                    <w:bottom w:val="none" w:sz="0" w:space="0" w:color="auto"/>
                                    <w:right w:val="none" w:sz="0" w:space="0" w:color="auto"/>
                                  </w:divBdr>
                                  <w:divsChild>
                                    <w:div w:id="110327031">
                                      <w:marLeft w:val="0"/>
                                      <w:marRight w:val="0"/>
                                      <w:marTop w:val="0"/>
                                      <w:marBottom w:val="0"/>
                                      <w:divBdr>
                                        <w:top w:val="none" w:sz="0" w:space="0" w:color="auto"/>
                                        <w:left w:val="none" w:sz="0" w:space="0" w:color="auto"/>
                                        <w:bottom w:val="none" w:sz="0" w:space="0" w:color="auto"/>
                                        <w:right w:val="none" w:sz="0" w:space="0" w:color="auto"/>
                                      </w:divBdr>
                                      <w:divsChild>
                                        <w:div w:id="371462048">
                                          <w:marLeft w:val="0"/>
                                          <w:marRight w:val="0"/>
                                          <w:marTop w:val="0"/>
                                          <w:marBottom w:val="0"/>
                                          <w:divBdr>
                                            <w:top w:val="none" w:sz="0" w:space="0" w:color="auto"/>
                                            <w:left w:val="none" w:sz="0" w:space="0" w:color="auto"/>
                                            <w:bottom w:val="none" w:sz="0" w:space="0" w:color="auto"/>
                                            <w:right w:val="none" w:sz="0" w:space="0" w:color="auto"/>
                                          </w:divBdr>
                                          <w:divsChild>
                                            <w:div w:id="1120144832">
                                              <w:marLeft w:val="0"/>
                                              <w:marRight w:val="0"/>
                                              <w:marTop w:val="0"/>
                                              <w:marBottom w:val="0"/>
                                              <w:divBdr>
                                                <w:top w:val="none" w:sz="0" w:space="0" w:color="auto"/>
                                                <w:left w:val="none" w:sz="0" w:space="0" w:color="auto"/>
                                                <w:bottom w:val="none" w:sz="0" w:space="0" w:color="auto"/>
                                                <w:right w:val="none" w:sz="0" w:space="0" w:color="auto"/>
                                              </w:divBdr>
                                              <w:divsChild>
                                                <w:div w:id="1043679205">
                                                  <w:marLeft w:val="0"/>
                                                  <w:marRight w:val="0"/>
                                                  <w:marTop w:val="0"/>
                                                  <w:marBottom w:val="0"/>
                                                  <w:divBdr>
                                                    <w:top w:val="none" w:sz="0" w:space="0" w:color="auto"/>
                                                    <w:left w:val="none" w:sz="0" w:space="0" w:color="auto"/>
                                                    <w:bottom w:val="none" w:sz="0" w:space="0" w:color="auto"/>
                                                    <w:right w:val="none" w:sz="0" w:space="0" w:color="auto"/>
                                                  </w:divBdr>
                                                  <w:divsChild>
                                                    <w:div w:id="506363668">
                                                      <w:marLeft w:val="0"/>
                                                      <w:marRight w:val="0"/>
                                                      <w:marTop w:val="0"/>
                                                      <w:marBottom w:val="0"/>
                                                      <w:divBdr>
                                                        <w:top w:val="none" w:sz="0" w:space="0" w:color="auto"/>
                                                        <w:left w:val="none" w:sz="0" w:space="0" w:color="auto"/>
                                                        <w:bottom w:val="none" w:sz="0" w:space="0" w:color="auto"/>
                                                        <w:right w:val="none" w:sz="0" w:space="0" w:color="auto"/>
                                                      </w:divBdr>
                                                      <w:divsChild>
                                                        <w:div w:id="1256745969">
                                                          <w:marLeft w:val="0"/>
                                                          <w:marRight w:val="0"/>
                                                          <w:marTop w:val="0"/>
                                                          <w:marBottom w:val="0"/>
                                                          <w:divBdr>
                                                            <w:top w:val="none" w:sz="0" w:space="0" w:color="auto"/>
                                                            <w:left w:val="none" w:sz="0" w:space="0" w:color="auto"/>
                                                            <w:bottom w:val="none" w:sz="0" w:space="0" w:color="auto"/>
                                                            <w:right w:val="none" w:sz="0" w:space="0" w:color="auto"/>
                                                          </w:divBdr>
                                                          <w:divsChild>
                                                            <w:div w:id="1035496871">
                                                              <w:marLeft w:val="0"/>
                                                              <w:marRight w:val="0"/>
                                                              <w:marTop w:val="0"/>
                                                              <w:marBottom w:val="0"/>
                                                              <w:divBdr>
                                                                <w:top w:val="none" w:sz="0" w:space="0" w:color="auto"/>
                                                                <w:left w:val="none" w:sz="0" w:space="0" w:color="auto"/>
                                                                <w:bottom w:val="none" w:sz="0" w:space="0" w:color="auto"/>
                                                                <w:right w:val="none" w:sz="0" w:space="0" w:color="auto"/>
                                                              </w:divBdr>
                                                              <w:divsChild>
                                                                <w:div w:id="1402288364">
                                                                  <w:marLeft w:val="0"/>
                                                                  <w:marRight w:val="0"/>
                                                                  <w:marTop w:val="0"/>
                                                                  <w:marBottom w:val="0"/>
                                                                  <w:divBdr>
                                                                    <w:top w:val="none" w:sz="0" w:space="0" w:color="auto"/>
                                                                    <w:left w:val="none" w:sz="0" w:space="0" w:color="auto"/>
                                                                    <w:bottom w:val="none" w:sz="0" w:space="0" w:color="auto"/>
                                                                    <w:right w:val="none" w:sz="0" w:space="0" w:color="auto"/>
                                                                  </w:divBdr>
                                                                  <w:divsChild>
                                                                    <w:div w:id="1446844580">
                                                                      <w:marLeft w:val="0"/>
                                                                      <w:marRight w:val="0"/>
                                                                      <w:marTop w:val="0"/>
                                                                      <w:marBottom w:val="0"/>
                                                                      <w:divBdr>
                                                                        <w:top w:val="none" w:sz="0" w:space="0" w:color="auto"/>
                                                                        <w:left w:val="none" w:sz="0" w:space="0" w:color="auto"/>
                                                                        <w:bottom w:val="none" w:sz="0" w:space="0" w:color="auto"/>
                                                                        <w:right w:val="none" w:sz="0" w:space="0" w:color="auto"/>
                                                                      </w:divBdr>
                                                                      <w:divsChild>
                                                                        <w:div w:id="495196347">
                                                                          <w:marLeft w:val="0"/>
                                                                          <w:marRight w:val="0"/>
                                                                          <w:marTop w:val="0"/>
                                                                          <w:marBottom w:val="0"/>
                                                                          <w:divBdr>
                                                                            <w:top w:val="none" w:sz="0" w:space="0" w:color="auto"/>
                                                                            <w:left w:val="none" w:sz="0" w:space="0" w:color="auto"/>
                                                                            <w:bottom w:val="none" w:sz="0" w:space="0" w:color="auto"/>
                                                                            <w:right w:val="none" w:sz="0" w:space="0" w:color="auto"/>
                                                                          </w:divBdr>
                                                                          <w:divsChild>
                                                                            <w:div w:id="283001308">
                                                                              <w:marLeft w:val="0"/>
                                                                              <w:marRight w:val="0"/>
                                                                              <w:marTop w:val="0"/>
                                                                              <w:marBottom w:val="0"/>
                                                                              <w:divBdr>
                                                                                <w:top w:val="none" w:sz="0" w:space="0" w:color="auto"/>
                                                                                <w:left w:val="none" w:sz="0" w:space="0" w:color="auto"/>
                                                                                <w:bottom w:val="none" w:sz="0" w:space="0" w:color="auto"/>
                                                                                <w:right w:val="none" w:sz="0" w:space="0" w:color="auto"/>
                                                                              </w:divBdr>
                                                                              <w:divsChild>
                                                                                <w:div w:id="427122285">
                                                                                  <w:marLeft w:val="0"/>
                                                                                  <w:marRight w:val="0"/>
                                                                                  <w:marTop w:val="0"/>
                                                                                  <w:marBottom w:val="0"/>
                                                                                  <w:divBdr>
                                                                                    <w:top w:val="none" w:sz="0" w:space="0" w:color="auto"/>
                                                                                    <w:left w:val="none" w:sz="0" w:space="0" w:color="auto"/>
                                                                                    <w:bottom w:val="none" w:sz="0" w:space="0" w:color="auto"/>
                                                                                    <w:right w:val="none" w:sz="0" w:space="0" w:color="auto"/>
                                                                                  </w:divBdr>
                                                                                  <w:divsChild>
                                                                                    <w:div w:id="410388998">
                                                                                      <w:marLeft w:val="0"/>
                                                                                      <w:marRight w:val="0"/>
                                                                                      <w:marTop w:val="0"/>
                                                                                      <w:marBottom w:val="0"/>
                                                                                      <w:divBdr>
                                                                                        <w:top w:val="single" w:sz="4"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470177">
      <w:bodyDiv w:val="1"/>
      <w:marLeft w:val="0"/>
      <w:marRight w:val="0"/>
      <w:marTop w:val="0"/>
      <w:marBottom w:val="0"/>
      <w:divBdr>
        <w:top w:val="none" w:sz="0" w:space="0" w:color="auto"/>
        <w:left w:val="none" w:sz="0" w:space="0" w:color="auto"/>
        <w:bottom w:val="none" w:sz="0" w:space="0" w:color="auto"/>
        <w:right w:val="none" w:sz="0" w:space="0" w:color="auto"/>
      </w:divBdr>
    </w:div>
    <w:div w:id="528184957">
      <w:bodyDiv w:val="1"/>
      <w:marLeft w:val="0"/>
      <w:marRight w:val="0"/>
      <w:marTop w:val="0"/>
      <w:marBottom w:val="0"/>
      <w:divBdr>
        <w:top w:val="none" w:sz="0" w:space="0" w:color="auto"/>
        <w:left w:val="none" w:sz="0" w:space="0" w:color="auto"/>
        <w:bottom w:val="none" w:sz="0" w:space="0" w:color="auto"/>
        <w:right w:val="none" w:sz="0" w:space="0" w:color="auto"/>
      </w:divBdr>
    </w:div>
    <w:div w:id="553781944">
      <w:bodyDiv w:val="1"/>
      <w:marLeft w:val="0"/>
      <w:marRight w:val="0"/>
      <w:marTop w:val="0"/>
      <w:marBottom w:val="0"/>
      <w:divBdr>
        <w:top w:val="none" w:sz="0" w:space="0" w:color="auto"/>
        <w:left w:val="none" w:sz="0" w:space="0" w:color="auto"/>
        <w:bottom w:val="none" w:sz="0" w:space="0" w:color="auto"/>
        <w:right w:val="none" w:sz="0" w:space="0" w:color="auto"/>
      </w:divBdr>
    </w:div>
    <w:div w:id="1036662972">
      <w:bodyDiv w:val="1"/>
      <w:marLeft w:val="0"/>
      <w:marRight w:val="0"/>
      <w:marTop w:val="0"/>
      <w:marBottom w:val="0"/>
      <w:divBdr>
        <w:top w:val="none" w:sz="0" w:space="0" w:color="auto"/>
        <w:left w:val="none" w:sz="0" w:space="0" w:color="auto"/>
        <w:bottom w:val="none" w:sz="0" w:space="0" w:color="auto"/>
        <w:right w:val="none" w:sz="0" w:space="0" w:color="auto"/>
      </w:divBdr>
    </w:div>
    <w:div w:id="1693148102">
      <w:bodyDiv w:val="1"/>
      <w:marLeft w:val="0"/>
      <w:marRight w:val="0"/>
      <w:marTop w:val="0"/>
      <w:marBottom w:val="0"/>
      <w:divBdr>
        <w:top w:val="none" w:sz="0" w:space="0" w:color="auto"/>
        <w:left w:val="none" w:sz="0" w:space="0" w:color="auto"/>
        <w:bottom w:val="none" w:sz="0" w:space="0" w:color="auto"/>
        <w:right w:val="none" w:sz="0" w:space="0" w:color="auto"/>
      </w:divBdr>
    </w:div>
    <w:div w:id="191689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5032</Words>
  <Characters>28685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CCPR/C/WG/101/DR/1226/2003</vt:lpstr>
    </vt:vector>
  </TitlesOfParts>
  <Company>CSD</Company>
  <LinksUpToDate>false</LinksUpToDate>
  <CharactersWithSpaces>33650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CCPR/C/WG/101/DR/1226/2003</dc:title>
  <dc:subject/>
  <dc:creator>Neogi</dc:creator>
  <cp:keywords/>
  <cp:lastModifiedBy>Sarah Willig</cp:lastModifiedBy>
  <cp:revision>2</cp:revision>
  <cp:lastPrinted>2013-09-10T10:06:00Z</cp:lastPrinted>
  <dcterms:created xsi:type="dcterms:W3CDTF">2017-01-24T18:07:00Z</dcterms:created>
  <dcterms:modified xsi:type="dcterms:W3CDTF">2017-01-24T18:07:00Z</dcterms:modified>
</cp:coreProperties>
</file>