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60187E">
            <w:pPr>
              <w:jc w:val="right"/>
            </w:pPr>
            <w:r w:rsidRPr="008216A5">
              <w:rPr>
                <w:sz w:val="40"/>
              </w:rPr>
              <w:t>CCPR</w:t>
            </w:r>
            <w:r>
              <w:t>/C/1</w:t>
            </w:r>
            <w:r w:rsidR="00711F00">
              <w:t>1</w:t>
            </w:r>
            <w:r w:rsidR="00540F02">
              <w:t>3</w:t>
            </w:r>
            <w:r>
              <w:t>/D/</w:t>
            </w:r>
            <w:r w:rsidR="00A9008E">
              <w:t>1949</w:t>
            </w:r>
            <w:r>
              <w:t>/</w:t>
            </w:r>
            <w:r w:rsidR="00AE50CE">
              <w:t>20</w:t>
            </w:r>
            <w:r w:rsidR="00540F02">
              <w:t>1</w:t>
            </w:r>
            <w:r w:rsidR="00A9008E">
              <w:t>0</w:t>
            </w:r>
          </w:p>
        </w:tc>
      </w:tr>
      <w:tr w:rsidR="00B56E9C" w:rsidTr="00A9008E">
        <w:trPr>
          <w:cantSplit/>
          <w:trHeight w:hRule="exact" w:val="2706"/>
        </w:trPr>
        <w:tc>
          <w:tcPr>
            <w:tcW w:w="1276" w:type="dxa"/>
            <w:tcBorders>
              <w:top w:val="single" w:sz="4" w:space="0" w:color="auto"/>
              <w:bottom w:val="single" w:sz="12" w:space="0" w:color="auto"/>
            </w:tcBorders>
          </w:tcPr>
          <w:p w:rsidR="00B56E9C" w:rsidRDefault="000D555A" w:rsidP="00B6553F">
            <w:pPr>
              <w:spacing w:before="120"/>
            </w:pPr>
            <w:r>
              <w:rPr>
                <w:noProof/>
                <w:lang w:val="en-US"/>
              </w:rPr>
              <w:drawing>
                <wp:inline distT="0" distB="0" distL="0" distR="0">
                  <wp:extent cx="713740" cy="59309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59309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F855C0" w:rsidRPr="00267F5F" w:rsidRDefault="00F855C0" w:rsidP="00267F5F">
            <w:pPr>
              <w:spacing w:before="120" w:line="380" w:lineRule="exact"/>
              <w:rPr>
                <w:sz w:val="34"/>
              </w:rPr>
            </w:pP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2E31D4">
              <w:t>General</w:t>
            </w:r>
          </w:p>
          <w:p w:rsidR="008216A5" w:rsidRDefault="00E6440F" w:rsidP="00E6440F">
            <w:pPr>
              <w:spacing w:line="240" w:lineRule="exact"/>
            </w:pPr>
            <w:r>
              <w:t>7</w:t>
            </w:r>
            <w:r w:rsidR="00913C0F">
              <w:t xml:space="preserve"> May</w:t>
            </w:r>
            <w:r w:rsidR="008D299D">
              <w:t xml:space="preserve"> 201</w:t>
            </w:r>
            <w:r w:rsidR="003E5304">
              <w:t>5</w:t>
            </w:r>
          </w:p>
          <w:p w:rsidR="008216A5" w:rsidRDefault="008216A5" w:rsidP="008216A5">
            <w:pPr>
              <w:spacing w:line="240" w:lineRule="exact"/>
            </w:pPr>
          </w:p>
          <w:p w:rsidR="008216A5" w:rsidRDefault="008216A5" w:rsidP="008216A5">
            <w:pPr>
              <w:spacing w:line="240" w:lineRule="exact"/>
            </w:pPr>
            <w:r>
              <w:t>Original: English</w:t>
            </w:r>
          </w:p>
          <w:p w:rsidR="0091613A" w:rsidRDefault="0091613A" w:rsidP="008216A5">
            <w:pPr>
              <w:spacing w:line="240" w:lineRule="exact"/>
            </w:pPr>
          </w:p>
        </w:tc>
      </w:tr>
    </w:tbl>
    <w:p w:rsidR="008216A5" w:rsidRPr="008216A5" w:rsidRDefault="008216A5" w:rsidP="008216A5">
      <w:pPr>
        <w:spacing w:before="120"/>
        <w:rPr>
          <w:b/>
          <w:sz w:val="24"/>
          <w:szCs w:val="24"/>
          <w:lang w:val="en-US"/>
        </w:rPr>
      </w:pPr>
      <w:r w:rsidRPr="008216A5">
        <w:rPr>
          <w:b/>
          <w:sz w:val="24"/>
          <w:szCs w:val="24"/>
          <w:lang w:val="en-US"/>
        </w:rPr>
        <w:t>Human Rights Committee</w:t>
      </w:r>
    </w:p>
    <w:p w:rsidR="003134AC" w:rsidRDefault="003134AC" w:rsidP="00913C0F">
      <w:pPr>
        <w:pStyle w:val="HChG"/>
      </w:pPr>
      <w:r w:rsidRPr="009E31DB">
        <w:tab/>
      </w:r>
      <w:r w:rsidRPr="009E31DB">
        <w:tab/>
        <w:t xml:space="preserve">Communication No. </w:t>
      </w:r>
      <w:r w:rsidR="00A9008E">
        <w:t>1949</w:t>
      </w:r>
      <w:r>
        <w:t>/20</w:t>
      </w:r>
      <w:r w:rsidR="00540F02">
        <w:t>1</w:t>
      </w:r>
      <w:r w:rsidR="00A9008E">
        <w:t>0</w:t>
      </w:r>
    </w:p>
    <w:p w:rsidR="0060187E" w:rsidRPr="009E31DB" w:rsidRDefault="004A4706" w:rsidP="00913C0F">
      <w:pPr>
        <w:pStyle w:val="H1G"/>
      </w:pPr>
      <w:r>
        <w:tab/>
      </w:r>
      <w:r>
        <w:tab/>
      </w:r>
      <w:r w:rsidR="0060187E" w:rsidRPr="00F91B3A">
        <w:t>Views adopted by the Committee at its 11</w:t>
      </w:r>
      <w:r w:rsidR="0060187E">
        <w:t>3</w:t>
      </w:r>
      <w:r w:rsidR="0060187E" w:rsidRPr="003F0C15">
        <w:t>th</w:t>
      </w:r>
      <w:r>
        <w:t xml:space="preserve"> session</w:t>
      </w:r>
      <w:r w:rsidR="004F1941">
        <w:br/>
      </w:r>
      <w:r w:rsidR="0060187E">
        <w:t>(</w:t>
      </w:r>
      <w:r w:rsidR="0060187E">
        <w:rPr>
          <w:bCs/>
          <w:lang w:val="en-US"/>
        </w:rPr>
        <w:t xml:space="preserve">16 March–2 April </w:t>
      </w:r>
      <w:r w:rsidR="0060187E" w:rsidRPr="00735F4E">
        <w:rPr>
          <w:bCs/>
          <w:lang w:val="en-US"/>
        </w:rPr>
        <w:t>201</w:t>
      </w:r>
      <w:r w:rsidR="0060187E">
        <w:rPr>
          <w:bCs/>
          <w:lang w:val="en-US"/>
        </w:rPr>
        <w:t>5)</w:t>
      </w:r>
    </w:p>
    <w:p w:rsidR="003134AC" w:rsidRPr="00913C0F" w:rsidRDefault="003134AC" w:rsidP="003F0C15">
      <w:pPr>
        <w:pStyle w:val="SingleTxtG"/>
        <w:ind w:left="4536" w:hanging="3402"/>
        <w:jc w:val="left"/>
      </w:pPr>
      <w:r w:rsidRPr="009707F5">
        <w:rPr>
          <w:i/>
        </w:rPr>
        <w:t>Submitted by:</w:t>
      </w:r>
      <w:r w:rsidRPr="003F0C15">
        <w:rPr>
          <w:i/>
        </w:rPr>
        <w:tab/>
      </w:r>
      <w:r w:rsidR="00361E8A" w:rsidRPr="00913C0F">
        <w:rPr>
          <w:lang w:val="en-US"/>
        </w:rPr>
        <w:t>Pavel Kozlov</w:t>
      </w:r>
      <w:r w:rsidR="004F643D">
        <w:rPr>
          <w:lang w:val="en-US"/>
        </w:rPr>
        <w:t xml:space="preserve"> et al.</w:t>
      </w:r>
      <w:r w:rsidR="00913C0F">
        <w:rPr>
          <w:lang w:val="en-US"/>
        </w:rPr>
        <w:t xml:space="preserve"> </w:t>
      </w:r>
      <w:r w:rsidR="00E54C56">
        <w:rPr>
          <w:lang w:val="en-US"/>
        </w:rPr>
        <w:t xml:space="preserve">(represented by counsel, </w:t>
      </w:r>
      <w:r w:rsidR="00E54C56" w:rsidRPr="00E6440F">
        <w:rPr>
          <w:lang w:val="en-US"/>
        </w:rPr>
        <w:t>Raman Kislyak</w:t>
      </w:r>
      <w:r w:rsidR="00E54C56">
        <w:rPr>
          <w:lang w:val="en-US"/>
        </w:rPr>
        <w:t>)</w:t>
      </w:r>
    </w:p>
    <w:p w:rsidR="003134AC" w:rsidRPr="00A9008E" w:rsidRDefault="003134AC" w:rsidP="003F0C15">
      <w:pPr>
        <w:pStyle w:val="SingleTxtG"/>
        <w:ind w:left="4536" w:hanging="3402"/>
        <w:jc w:val="left"/>
      </w:pPr>
      <w:r w:rsidRPr="009707F5">
        <w:rPr>
          <w:i/>
        </w:rPr>
        <w:t>Alleged victim:</w:t>
      </w:r>
      <w:r w:rsidRPr="009E31DB">
        <w:tab/>
        <w:t>The author</w:t>
      </w:r>
      <w:r w:rsidR="00A9008E" w:rsidRPr="00A9008E">
        <w:t>s</w:t>
      </w:r>
    </w:p>
    <w:p w:rsidR="003134AC" w:rsidRPr="00A9008E" w:rsidRDefault="003134AC" w:rsidP="003F0C15">
      <w:pPr>
        <w:pStyle w:val="SingleTxtG"/>
        <w:ind w:left="4536" w:hanging="3402"/>
        <w:jc w:val="left"/>
      </w:pPr>
      <w:r w:rsidRPr="009707F5">
        <w:rPr>
          <w:i/>
        </w:rPr>
        <w:t>State party:</w:t>
      </w:r>
      <w:r w:rsidRPr="009E31DB">
        <w:tab/>
      </w:r>
      <w:r w:rsidR="00A9008E" w:rsidRPr="00A9008E">
        <w:t>Belarus</w:t>
      </w:r>
    </w:p>
    <w:p w:rsidR="003134AC" w:rsidRPr="009E31DB" w:rsidRDefault="003134AC" w:rsidP="003F0C15">
      <w:pPr>
        <w:pStyle w:val="SingleTxtG"/>
        <w:ind w:left="4536" w:hanging="3402"/>
        <w:jc w:val="left"/>
      </w:pPr>
      <w:r w:rsidRPr="009707F5">
        <w:rPr>
          <w:i/>
        </w:rPr>
        <w:t>Date of communication:</w:t>
      </w:r>
      <w:r w:rsidRPr="009E31DB">
        <w:tab/>
      </w:r>
      <w:r w:rsidR="00EF3514">
        <w:t xml:space="preserve">15 </w:t>
      </w:r>
      <w:r w:rsidR="00361E8A">
        <w:t>March</w:t>
      </w:r>
      <w:r w:rsidR="001844A0">
        <w:t xml:space="preserve"> 201</w:t>
      </w:r>
      <w:r w:rsidR="00361E8A">
        <w:t>0</w:t>
      </w:r>
      <w:r w:rsidRPr="009E31DB">
        <w:t xml:space="preserve"> (initial submission)</w:t>
      </w:r>
      <w:r w:rsidRPr="009E31DB">
        <w:tab/>
      </w:r>
    </w:p>
    <w:p w:rsidR="003134AC" w:rsidRPr="009E31DB" w:rsidRDefault="003134AC" w:rsidP="003F0C15">
      <w:pPr>
        <w:pStyle w:val="SingleTxtG"/>
        <w:ind w:left="4536" w:hanging="3402"/>
        <w:jc w:val="left"/>
      </w:pPr>
      <w:r w:rsidRPr="009707F5">
        <w:rPr>
          <w:i/>
        </w:rPr>
        <w:t>Document references:</w:t>
      </w:r>
      <w:r w:rsidRPr="009E31DB">
        <w:tab/>
        <w:t>Special Rapporteur’s rule</w:t>
      </w:r>
      <w:r w:rsidR="00D46C27">
        <w:t xml:space="preserve"> 92 and rule</w:t>
      </w:r>
      <w:r w:rsidRPr="009E31DB">
        <w:t xml:space="preserve"> 97 decision, transmitted to the State party on </w:t>
      </w:r>
      <w:r w:rsidR="00EF3514">
        <w:t>1</w:t>
      </w:r>
      <w:r w:rsidR="007B412F">
        <w:t>8</w:t>
      </w:r>
      <w:r w:rsidR="004F1941">
        <w:t> </w:t>
      </w:r>
      <w:r w:rsidR="007B412F">
        <w:t>May 2010</w:t>
      </w:r>
      <w:r>
        <w:t xml:space="preserve"> </w:t>
      </w:r>
      <w:r w:rsidRPr="009E31DB">
        <w:t xml:space="preserve">(not issued in </w:t>
      </w:r>
      <w:r>
        <w:t xml:space="preserve">a </w:t>
      </w:r>
      <w:r w:rsidRPr="009E31DB">
        <w:t>document form)</w:t>
      </w:r>
    </w:p>
    <w:p w:rsidR="003134AC" w:rsidRDefault="003134AC" w:rsidP="003F0C15">
      <w:pPr>
        <w:pStyle w:val="SingleTxtG"/>
        <w:ind w:left="4536" w:hanging="3402"/>
        <w:jc w:val="left"/>
      </w:pPr>
      <w:r w:rsidRPr="009707F5">
        <w:rPr>
          <w:i/>
        </w:rPr>
        <w:t>Date of adoption of Views:</w:t>
      </w:r>
      <w:r w:rsidRPr="009E31DB">
        <w:tab/>
      </w:r>
      <w:r w:rsidR="004A4706">
        <w:t>25</w:t>
      </w:r>
      <w:r w:rsidRPr="009E31DB">
        <w:t xml:space="preserve"> </w:t>
      </w:r>
      <w:r w:rsidR="001844A0">
        <w:t>March</w:t>
      </w:r>
      <w:r w:rsidRPr="009E31DB">
        <w:t xml:space="preserve"> 201</w:t>
      </w:r>
      <w:r w:rsidR="001844A0" w:rsidRPr="001844A0">
        <w:t>5</w:t>
      </w:r>
    </w:p>
    <w:p w:rsidR="004F1941" w:rsidRPr="001844A0" w:rsidRDefault="004F1941" w:rsidP="003F0C15">
      <w:pPr>
        <w:pStyle w:val="SingleTxtG"/>
        <w:ind w:left="4536" w:hanging="3402"/>
        <w:jc w:val="left"/>
      </w:pPr>
      <w:r w:rsidRPr="009E31DB">
        <w:rPr>
          <w:i/>
          <w:iCs/>
        </w:rPr>
        <w:t>Subject matter:</w:t>
      </w:r>
      <w:r>
        <w:rPr>
          <w:i/>
          <w:iCs/>
        </w:rPr>
        <w:tab/>
      </w:r>
      <w:r w:rsidR="00D81843">
        <w:t xml:space="preserve">Denial of permission </w:t>
      </w:r>
      <w:r w:rsidRPr="00A06DB2">
        <w:t>to hold a demonstration</w:t>
      </w:r>
    </w:p>
    <w:p w:rsidR="0091613A" w:rsidRPr="00283A20" w:rsidRDefault="0091613A" w:rsidP="003F0C15">
      <w:pPr>
        <w:pStyle w:val="SingleTxtG"/>
        <w:ind w:left="4536" w:hanging="3402"/>
        <w:jc w:val="left"/>
      </w:pPr>
      <w:r w:rsidRPr="005B6047">
        <w:rPr>
          <w:i/>
          <w:iCs/>
        </w:rPr>
        <w:t xml:space="preserve">Procedural issues: </w:t>
      </w:r>
      <w:r w:rsidRPr="005B6047">
        <w:rPr>
          <w:i/>
          <w:iCs/>
        </w:rPr>
        <w:tab/>
      </w:r>
      <w:r w:rsidRPr="00283A20">
        <w:rPr>
          <w:iCs/>
        </w:rPr>
        <w:t xml:space="preserve">Admissibility </w:t>
      </w:r>
      <w:r w:rsidR="00E6440F">
        <w:rPr>
          <w:iCs/>
        </w:rPr>
        <w:t>(</w:t>
      </w:r>
      <w:r w:rsidRPr="00283A20">
        <w:rPr>
          <w:iCs/>
        </w:rPr>
        <w:t>manifestly ill-founded</w:t>
      </w:r>
      <w:r w:rsidR="00E6440F">
        <w:rPr>
          <w:iCs/>
        </w:rPr>
        <w:t>)</w:t>
      </w:r>
      <w:r>
        <w:rPr>
          <w:iCs/>
        </w:rPr>
        <w:t xml:space="preserve">; </w:t>
      </w:r>
      <w:r w:rsidRPr="00283A20">
        <w:rPr>
          <w:iCs/>
        </w:rPr>
        <w:t>facts and evidence</w:t>
      </w:r>
    </w:p>
    <w:p w:rsidR="003134AC" w:rsidRPr="00283A20" w:rsidRDefault="003134AC" w:rsidP="003F0C15">
      <w:pPr>
        <w:pStyle w:val="SingleTxtG"/>
        <w:ind w:left="4536" w:hanging="3402"/>
        <w:jc w:val="left"/>
      </w:pPr>
      <w:r w:rsidRPr="005B6047">
        <w:rPr>
          <w:i/>
          <w:iCs/>
        </w:rPr>
        <w:t xml:space="preserve">Substantive issues: </w:t>
      </w:r>
      <w:r w:rsidRPr="005B6047">
        <w:rPr>
          <w:i/>
          <w:iCs/>
        </w:rPr>
        <w:tab/>
      </w:r>
      <w:r w:rsidR="00283A20" w:rsidRPr="00283A20">
        <w:t>Fair trial; freedom of expression; freedom of assembly;</w:t>
      </w:r>
      <w:r w:rsidR="00283A20">
        <w:t xml:space="preserve"> </w:t>
      </w:r>
      <w:r w:rsidR="00283A20" w:rsidRPr="00283A20">
        <w:t>discrimination on the ground</w:t>
      </w:r>
      <w:r w:rsidR="00D81843">
        <w:t>s</w:t>
      </w:r>
      <w:r w:rsidR="00283A20" w:rsidRPr="00283A20">
        <w:t xml:space="preserve"> of political or other opinion</w:t>
      </w:r>
    </w:p>
    <w:p w:rsidR="005C11C1" w:rsidRPr="005C11C1" w:rsidRDefault="003134AC" w:rsidP="003F0C15">
      <w:pPr>
        <w:pStyle w:val="SingleTxtG"/>
        <w:ind w:left="4536" w:hanging="3402"/>
        <w:jc w:val="left"/>
      </w:pPr>
      <w:r w:rsidRPr="005C11C1">
        <w:rPr>
          <w:i/>
          <w:iCs/>
        </w:rPr>
        <w:t>Articles of the Covenant:</w:t>
      </w:r>
      <w:r w:rsidRPr="005C11C1">
        <w:t xml:space="preserve"> </w:t>
      </w:r>
      <w:r w:rsidRPr="005C11C1">
        <w:tab/>
      </w:r>
      <w:r w:rsidR="00492FCD" w:rsidRPr="00492FCD">
        <w:rPr>
          <w:lang w:val="en-US"/>
        </w:rPr>
        <w:t xml:space="preserve">14, </w:t>
      </w:r>
      <w:r w:rsidR="00B32B36">
        <w:rPr>
          <w:lang w:val="en-US"/>
        </w:rPr>
        <w:t>para</w:t>
      </w:r>
      <w:r w:rsidR="00E6440F">
        <w:rPr>
          <w:lang w:val="en-US"/>
        </w:rPr>
        <w:t>.</w:t>
      </w:r>
      <w:r w:rsidR="00B32B36">
        <w:rPr>
          <w:lang w:val="en-US"/>
        </w:rPr>
        <w:t> </w:t>
      </w:r>
      <w:r w:rsidR="00492FCD" w:rsidRPr="00492FCD">
        <w:rPr>
          <w:lang w:val="en-US"/>
        </w:rPr>
        <w:t>1</w:t>
      </w:r>
      <w:r w:rsidR="00D81843">
        <w:rPr>
          <w:lang w:val="en-US"/>
        </w:rPr>
        <w:t>;</w:t>
      </w:r>
      <w:r w:rsidR="00492FCD" w:rsidRPr="00492FCD">
        <w:rPr>
          <w:lang w:val="en-US"/>
        </w:rPr>
        <w:t xml:space="preserve"> 19, </w:t>
      </w:r>
      <w:r w:rsidR="00B32B36">
        <w:rPr>
          <w:lang w:val="en-US"/>
        </w:rPr>
        <w:t>para</w:t>
      </w:r>
      <w:r w:rsidR="00D81843">
        <w:rPr>
          <w:lang w:val="en-US"/>
        </w:rPr>
        <w:t>.</w:t>
      </w:r>
      <w:r w:rsidR="00B32B36">
        <w:rPr>
          <w:lang w:val="en-US"/>
        </w:rPr>
        <w:t> </w:t>
      </w:r>
      <w:r w:rsidR="00492FCD" w:rsidRPr="00492FCD">
        <w:rPr>
          <w:lang w:val="en-US"/>
        </w:rPr>
        <w:t>2</w:t>
      </w:r>
      <w:r w:rsidR="00D81843">
        <w:rPr>
          <w:lang w:val="en-US"/>
        </w:rPr>
        <w:t>;</w:t>
      </w:r>
      <w:r w:rsidR="00492FCD" w:rsidRPr="00492FCD">
        <w:rPr>
          <w:lang w:val="en-US"/>
        </w:rPr>
        <w:t xml:space="preserve"> 21</w:t>
      </w:r>
      <w:r w:rsidR="00D81843">
        <w:rPr>
          <w:lang w:val="en-US"/>
        </w:rPr>
        <w:t xml:space="preserve"> and</w:t>
      </w:r>
      <w:r w:rsidR="00492FCD" w:rsidRPr="00492FCD">
        <w:rPr>
          <w:lang w:val="en-US"/>
        </w:rPr>
        <w:t xml:space="preserve"> 26</w:t>
      </w:r>
      <w:r w:rsidR="00C33A42">
        <w:rPr>
          <w:lang w:val="en-US"/>
        </w:rPr>
        <w:t xml:space="preserve"> </w:t>
      </w:r>
    </w:p>
    <w:p w:rsidR="00A9008E" w:rsidRPr="008D299D" w:rsidRDefault="003134AC" w:rsidP="003F0C15">
      <w:pPr>
        <w:pStyle w:val="SingleTxtG"/>
        <w:ind w:left="4536" w:hanging="3402"/>
        <w:jc w:val="left"/>
      </w:pPr>
      <w:r w:rsidRPr="009E31DB">
        <w:rPr>
          <w:i/>
          <w:iCs/>
        </w:rPr>
        <w:t>Art</w:t>
      </w:r>
      <w:r>
        <w:rPr>
          <w:i/>
          <w:iCs/>
        </w:rPr>
        <w:t>icles of the Optional Protocol:</w:t>
      </w:r>
      <w:r w:rsidR="00735F4E" w:rsidRPr="00735F4E">
        <w:rPr>
          <w:i/>
          <w:iCs/>
        </w:rPr>
        <w:tab/>
      </w:r>
      <w:r w:rsidR="004E01F0">
        <w:rPr>
          <w:iCs/>
        </w:rPr>
        <w:t>2</w:t>
      </w:r>
    </w:p>
    <w:p w:rsidR="003134AC" w:rsidRPr="009E31DB" w:rsidRDefault="003134AC" w:rsidP="003F0C15">
      <w:pPr>
        <w:pStyle w:val="SingleTxtG"/>
        <w:rPr>
          <w:bCs/>
          <w:iCs/>
        </w:rPr>
      </w:pPr>
    </w:p>
    <w:p w:rsidR="003134AC" w:rsidRPr="009E31DB" w:rsidRDefault="00316753" w:rsidP="003134AC">
      <w:pPr>
        <w:pStyle w:val="HChG"/>
      </w:pPr>
      <w:r>
        <w:rPr>
          <w:noProof/>
          <w:lang w:val="en-US"/>
        </w:rPr>
        <w:drawing>
          <wp:anchor distT="0" distB="0" distL="114300" distR="114300" simplePos="0" relativeHeight="251658240" behindDoc="0" locked="0" layoutInCell="1" allowOverlap="1" wp14:anchorId="56D6CD6F" wp14:editId="09940CFE">
            <wp:simplePos x="0" y="0"/>
            <wp:positionH relativeFrom="column">
              <wp:posOffset>5483748</wp:posOffset>
            </wp:positionH>
            <wp:positionV relativeFrom="paragraph">
              <wp:posOffset>1433830</wp:posOffset>
            </wp:positionV>
            <wp:extent cx="638175" cy="638175"/>
            <wp:effectExtent l="0" t="0" r="9525" b="9525"/>
            <wp:wrapNone/>
            <wp:docPr id="2" name="Picture 2" descr="http://undocs.org/m2/QRCode.ashx?DS=CCPR/C/113/D/1949/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1949/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AC" w:rsidRPr="009E31DB">
        <w:br w:type="page"/>
      </w:r>
      <w:r w:rsidR="003134AC" w:rsidRPr="009E31DB">
        <w:lastRenderedPageBreak/>
        <w:t>Annex</w:t>
      </w:r>
    </w:p>
    <w:p w:rsidR="003134AC" w:rsidRPr="009E31DB" w:rsidRDefault="003134AC" w:rsidP="003134AC">
      <w:pPr>
        <w:pStyle w:val="HChG"/>
        <w:rPr>
          <w:bCs/>
        </w:rPr>
      </w:pPr>
      <w:r w:rsidRPr="009E31DB">
        <w:tab/>
      </w:r>
      <w:r w:rsidRPr="009E31DB">
        <w:tab/>
        <w:t>Views of the Human Rights Committee under article 5, paragraph 4, of the Optional Protocol to the International Covenant on Civil and Political rights (</w:t>
      </w:r>
      <w:r>
        <w:t>11</w:t>
      </w:r>
      <w:r w:rsidR="001844A0">
        <w:t>3</w:t>
      </w:r>
      <w:r>
        <w:t xml:space="preserve">th </w:t>
      </w:r>
      <w:r w:rsidRPr="009E31DB">
        <w:rPr>
          <w:bCs/>
        </w:rPr>
        <w:t>session)</w:t>
      </w:r>
    </w:p>
    <w:p w:rsidR="003134AC" w:rsidRPr="009E31DB" w:rsidRDefault="003134AC" w:rsidP="003134AC">
      <w:pPr>
        <w:pStyle w:val="SingleTxtG"/>
        <w:rPr>
          <w:b/>
          <w:bCs/>
        </w:rPr>
      </w:pPr>
      <w:r w:rsidRPr="009E31DB">
        <w:t>concerning</w:t>
      </w:r>
    </w:p>
    <w:p w:rsidR="003134AC" w:rsidRPr="009E31DB" w:rsidRDefault="003134AC" w:rsidP="003134AC">
      <w:pPr>
        <w:pStyle w:val="H1G"/>
      </w:pPr>
      <w:r w:rsidRPr="009E31DB">
        <w:tab/>
      </w:r>
      <w:r w:rsidRPr="009E31DB">
        <w:tab/>
        <w:t xml:space="preserve">Communication No. </w:t>
      </w:r>
      <w:r w:rsidR="00A9008E">
        <w:t>1949</w:t>
      </w:r>
      <w:r>
        <w:t>/</w:t>
      </w:r>
      <w:r w:rsidR="00A9008E">
        <w:t>2010</w:t>
      </w:r>
      <w:r w:rsidR="00F855C0" w:rsidRPr="003F0C15">
        <w:rPr>
          <w:rStyle w:val="FootnoteReference"/>
          <w:b w:val="0"/>
          <w:bCs/>
          <w:sz w:val="20"/>
          <w:vertAlign w:val="baseline"/>
        </w:rPr>
        <w:footnoteReference w:customMarkFollows="1" w:id="2"/>
        <w:t>*</w:t>
      </w:r>
    </w:p>
    <w:p w:rsidR="00361E8A" w:rsidRPr="009E31DB" w:rsidRDefault="00361E8A" w:rsidP="003F0C15">
      <w:pPr>
        <w:pStyle w:val="SingleTxtG"/>
        <w:ind w:left="4536" w:hanging="3402"/>
        <w:jc w:val="left"/>
      </w:pPr>
      <w:r w:rsidRPr="009707F5">
        <w:rPr>
          <w:i/>
        </w:rPr>
        <w:t>Submitted by:</w:t>
      </w:r>
      <w:r w:rsidRPr="009E31DB">
        <w:tab/>
      </w:r>
      <w:r w:rsidRPr="00A9008E">
        <w:rPr>
          <w:lang w:val="en-US"/>
        </w:rPr>
        <w:t>Pavel K</w:t>
      </w:r>
      <w:r>
        <w:rPr>
          <w:lang w:val="en-US"/>
        </w:rPr>
        <w:t>ozlov</w:t>
      </w:r>
      <w:r w:rsidR="00316E89">
        <w:rPr>
          <w:lang w:val="en-US"/>
        </w:rPr>
        <w:t xml:space="preserve"> et al. </w:t>
      </w:r>
      <w:r w:rsidR="00D81843">
        <w:rPr>
          <w:lang w:val="en-US"/>
        </w:rPr>
        <w:t xml:space="preserve">(represented by counsel, </w:t>
      </w:r>
      <w:r w:rsidR="00D81843" w:rsidRPr="00E6440F">
        <w:rPr>
          <w:lang w:val="en-US"/>
        </w:rPr>
        <w:t>Raman Kisl</w:t>
      </w:r>
      <w:r w:rsidR="00E6440F" w:rsidRPr="003F0C15">
        <w:rPr>
          <w:lang w:val="en-US"/>
        </w:rPr>
        <w:t>i</w:t>
      </w:r>
      <w:r w:rsidR="00D81843" w:rsidRPr="00E6440F">
        <w:rPr>
          <w:lang w:val="en-US"/>
        </w:rPr>
        <w:t>ak</w:t>
      </w:r>
      <w:r w:rsidR="00D81843">
        <w:rPr>
          <w:lang w:val="en-US"/>
        </w:rPr>
        <w:t>)</w:t>
      </w:r>
    </w:p>
    <w:p w:rsidR="00361E8A" w:rsidRPr="00A9008E" w:rsidRDefault="00361E8A" w:rsidP="003F0C15">
      <w:pPr>
        <w:pStyle w:val="SingleTxtG"/>
        <w:ind w:left="4536" w:hanging="3402"/>
        <w:jc w:val="left"/>
      </w:pPr>
      <w:r w:rsidRPr="009707F5">
        <w:rPr>
          <w:i/>
        </w:rPr>
        <w:t>Alleged victim:</w:t>
      </w:r>
      <w:r w:rsidRPr="009E31DB">
        <w:tab/>
        <w:t>The author</w:t>
      </w:r>
      <w:r w:rsidRPr="00A9008E">
        <w:t>s</w:t>
      </w:r>
    </w:p>
    <w:p w:rsidR="00361E8A" w:rsidRPr="00A9008E" w:rsidRDefault="00361E8A" w:rsidP="003F0C15">
      <w:pPr>
        <w:pStyle w:val="SingleTxtG"/>
        <w:ind w:left="4536" w:hanging="3402"/>
        <w:jc w:val="left"/>
      </w:pPr>
      <w:r w:rsidRPr="009707F5">
        <w:rPr>
          <w:i/>
        </w:rPr>
        <w:t>State party:</w:t>
      </w:r>
      <w:r w:rsidRPr="009E31DB">
        <w:tab/>
      </w:r>
      <w:r w:rsidRPr="00A9008E">
        <w:t>Belarus</w:t>
      </w:r>
    </w:p>
    <w:p w:rsidR="00361E8A" w:rsidRPr="009E31DB" w:rsidRDefault="00361E8A" w:rsidP="003F0C15">
      <w:pPr>
        <w:pStyle w:val="SingleTxtG"/>
        <w:ind w:left="4536" w:hanging="3402"/>
        <w:jc w:val="left"/>
      </w:pPr>
      <w:r w:rsidRPr="009707F5">
        <w:rPr>
          <w:i/>
        </w:rPr>
        <w:t>Date of communication:</w:t>
      </w:r>
      <w:r w:rsidRPr="009E31DB">
        <w:tab/>
      </w:r>
      <w:r>
        <w:t>15 March 2010</w:t>
      </w:r>
      <w:r w:rsidRPr="009E31DB">
        <w:t xml:space="preserve"> (initial submission)</w:t>
      </w:r>
      <w:r w:rsidRPr="009E31DB">
        <w:tab/>
      </w:r>
    </w:p>
    <w:p w:rsidR="003134AC" w:rsidRPr="009E31DB" w:rsidRDefault="003134AC" w:rsidP="003F0C15">
      <w:pPr>
        <w:pStyle w:val="SingleTxtG"/>
        <w:spacing w:before="240"/>
      </w:pPr>
      <w:r w:rsidRPr="009E31DB">
        <w:tab/>
      </w:r>
      <w:r w:rsidRPr="009707F5">
        <w:rPr>
          <w:i/>
        </w:rPr>
        <w:t>The Human Rights Committee</w:t>
      </w:r>
      <w:r w:rsidRPr="009E31DB">
        <w:t xml:space="preserve">, established under </w:t>
      </w:r>
      <w:r w:rsidR="00B32B36">
        <w:t>article </w:t>
      </w:r>
      <w:r w:rsidRPr="009E31DB">
        <w:t xml:space="preserve">28 of the International Covenant on Civil and Political Rights, </w:t>
      </w:r>
    </w:p>
    <w:p w:rsidR="003134AC" w:rsidRPr="009E31DB" w:rsidRDefault="003134AC" w:rsidP="003134AC">
      <w:pPr>
        <w:pStyle w:val="SingleTxtG"/>
      </w:pPr>
      <w:r w:rsidRPr="009E31DB">
        <w:tab/>
      </w:r>
      <w:r w:rsidRPr="009707F5">
        <w:rPr>
          <w:i/>
        </w:rPr>
        <w:t xml:space="preserve">Meeting </w:t>
      </w:r>
      <w:r w:rsidRPr="003F0C15">
        <w:rPr>
          <w:iCs/>
        </w:rPr>
        <w:t xml:space="preserve">on </w:t>
      </w:r>
      <w:r w:rsidR="004A4706">
        <w:t>25</w:t>
      </w:r>
      <w:r w:rsidRPr="009E31DB">
        <w:t xml:space="preserve"> </w:t>
      </w:r>
      <w:r w:rsidR="001844A0" w:rsidRPr="001844A0">
        <w:t>March</w:t>
      </w:r>
      <w:r w:rsidRPr="009E31DB">
        <w:t xml:space="preserve"> 201</w:t>
      </w:r>
      <w:r w:rsidR="001844A0" w:rsidRPr="001844A0">
        <w:t>5</w:t>
      </w:r>
      <w:r w:rsidRPr="009E31DB">
        <w:t>,</w:t>
      </w:r>
    </w:p>
    <w:p w:rsidR="003134AC" w:rsidRPr="009E31DB" w:rsidRDefault="003134AC" w:rsidP="004F643D">
      <w:pPr>
        <w:pStyle w:val="SingleTxtG"/>
      </w:pPr>
      <w:r w:rsidRPr="009E31DB">
        <w:tab/>
      </w:r>
      <w:r w:rsidRPr="009707F5">
        <w:rPr>
          <w:i/>
        </w:rPr>
        <w:t>Having concluded</w:t>
      </w:r>
      <w:r w:rsidRPr="009E31DB">
        <w:t xml:space="preserve"> its consideration of communication No.</w:t>
      </w:r>
      <w:r w:rsidR="00B32B36">
        <w:t> </w:t>
      </w:r>
      <w:r w:rsidR="00A9008E" w:rsidRPr="00A9008E">
        <w:t>1949</w:t>
      </w:r>
      <w:r>
        <w:t>/20</w:t>
      </w:r>
      <w:r w:rsidR="001844A0" w:rsidRPr="001844A0">
        <w:t>1</w:t>
      </w:r>
      <w:r w:rsidR="00A9008E">
        <w:t>0</w:t>
      </w:r>
      <w:r w:rsidRPr="009E31DB">
        <w:t xml:space="preserve">, submitted to </w:t>
      </w:r>
      <w:r>
        <w:t xml:space="preserve">the Human Rights Committee </w:t>
      </w:r>
      <w:r w:rsidR="00D81843">
        <w:t xml:space="preserve">by </w:t>
      </w:r>
      <w:r w:rsidR="00D81843" w:rsidRPr="00A9008E">
        <w:rPr>
          <w:lang w:val="en-US"/>
        </w:rPr>
        <w:t>Pavel K</w:t>
      </w:r>
      <w:r w:rsidR="00D81843">
        <w:rPr>
          <w:lang w:val="en-US"/>
        </w:rPr>
        <w:t>ozlov</w:t>
      </w:r>
      <w:r w:rsidR="00D81843" w:rsidRPr="00A9008E">
        <w:rPr>
          <w:lang w:val="en-US"/>
        </w:rPr>
        <w:t>, Valery I</w:t>
      </w:r>
      <w:r w:rsidR="00D81843">
        <w:rPr>
          <w:lang w:val="en-US"/>
        </w:rPr>
        <w:t>lyash</w:t>
      </w:r>
      <w:r w:rsidR="00D81843" w:rsidRPr="00A9008E">
        <w:rPr>
          <w:lang w:val="en-US"/>
        </w:rPr>
        <w:t>, Sergei P</w:t>
      </w:r>
      <w:r w:rsidR="00D81843">
        <w:rPr>
          <w:lang w:val="en-US"/>
        </w:rPr>
        <w:t xml:space="preserve">styga, </w:t>
      </w:r>
      <w:r w:rsidR="00D81843" w:rsidRPr="00A9008E">
        <w:rPr>
          <w:lang w:val="en-US"/>
        </w:rPr>
        <w:t>Marat B</w:t>
      </w:r>
      <w:r w:rsidR="00D81843">
        <w:rPr>
          <w:lang w:val="en-US"/>
        </w:rPr>
        <w:t>rashko and</w:t>
      </w:r>
      <w:r w:rsidR="00D81843" w:rsidRPr="00A9008E">
        <w:rPr>
          <w:lang w:val="en-US"/>
        </w:rPr>
        <w:t xml:space="preserve"> Raman K</w:t>
      </w:r>
      <w:r w:rsidR="00D81843">
        <w:rPr>
          <w:lang w:val="en-US"/>
        </w:rPr>
        <w:t xml:space="preserve">islyak, </w:t>
      </w:r>
      <w:r w:rsidRPr="009E31DB">
        <w:t>under the Optional Protocol to the International Covenant on Civil and Political Rights,</w:t>
      </w:r>
    </w:p>
    <w:p w:rsidR="003134AC" w:rsidRPr="009E31DB" w:rsidRDefault="003134AC" w:rsidP="003134AC">
      <w:pPr>
        <w:pStyle w:val="SingleTxtG"/>
      </w:pPr>
      <w:r w:rsidRPr="009E31DB">
        <w:tab/>
      </w:r>
      <w:r w:rsidRPr="009707F5">
        <w:rPr>
          <w:i/>
        </w:rPr>
        <w:t>Having taken into account</w:t>
      </w:r>
      <w:r w:rsidRPr="009E31DB">
        <w:t xml:space="preserve"> all written information made available to it by the author</w:t>
      </w:r>
      <w:r w:rsidR="00D81843">
        <w:t>s</w:t>
      </w:r>
      <w:r w:rsidRPr="009E31DB">
        <w:t xml:space="preserve"> of the communication and the State party,</w:t>
      </w:r>
    </w:p>
    <w:p w:rsidR="003134AC" w:rsidRPr="009E31DB" w:rsidRDefault="003134AC" w:rsidP="003134AC">
      <w:pPr>
        <w:pStyle w:val="SingleTxtG"/>
      </w:pPr>
      <w:r w:rsidRPr="009E31DB">
        <w:tab/>
      </w:r>
      <w:r w:rsidRPr="009707F5">
        <w:rPr>
          <w:i/>
        </w:rPr>
        <w:t xml:space="preserve">Adopts </w:t>
      </w:r>
      <w:r w:rsidRPr="003F0C15">
        <w:rPr>
          <w:iCs/>
        </w:rPr>
        <w:t>the following:</w:t>
      </w:r>
    </w:p>
    <w:p w:rsidR="003134AC" w:rsidRPr="009E31DB" w:rsidRDefault="003134AC" w:rsidP="003134AC">
      <w:pPr>
        <w:pStyle w:val="H1G"/>
      </w:pPr>
      <w:r w:rsidRPr="009E31DB">
        <w:tab/>
      </w:r>
      <w:r w:rsidRPr="009E31DB">
        <w:tab/>
        <w:t xml:space="preserve">Views under </w:t>
      </w:r>
      <w:r w:rsidR="00B32B36">
        <w:t>article </w:t>
      </w:r>
      <w:r w:rsidRPr="009E31DB">
        <w:t>5, paragraph 4, of the Optional Protocol</w:t>
      </w:r>
    </w:p>
    <w:p w:rsidR="00A9008E" w:rsidRPr="00A9008E" w:rsidRDefault="00A9008E" w:rsidP="00E6440F">
      <w:pPr>
        <w:pStyle w:val="SingleTxtG"/>
        <w:rPr>
          <w:lang w:val="en-US"/>
        </w:rPr>
      </w:pPr>
      <w:r w:rsidRPr="00A9008E">
        <w:rPr>
          <w:lang w:val="en-US"/>
        </w:rPr>
        <w:t>1.</w:t>
      </w:r>
      <w:r w:rsidRPr="00A9008E">
        <w:rPr>
          <w:lang w:val="en-US"/>
        </w:rPr>
        <w:tab/>
        <w:t>The authors of the communications are Pavel K</w:t>
      </w:r>
      <w:r w:rsidR="00361E8A">
        <w:rPr>
          <w:lang w:val="en-US"/>
        </w:rPr>
        <w:t>ozlov</w:t>
      </w:r>
      <w:r w:rsidRPr="00A9008E">
        <w:rPr>
          <w:lang w:val="en-US"/>
        </w:rPr>
        <w:t>, born in 1936, Valery I</w:t>
      </w:r>
      <w:r w:rsidR="00361E8A">
        <w:rPr>
          <w:lang w:val="en-US"/>
        </w:rPr>
        <w:t>lyash</w:t>
      </w:r>
      <w:r w:rsidRPr="00A9008E">
        <w:rPr>
          <w:lang w:val="en-US"/>
        </w:rPr>
        <w:t>, born in 1951, Sergei P</w:t>
      </w:r>
      <w:r w:rsidR="00361E8A">
        <w:rPr>
          <w:lang w:val="en-US"/>
        </w:rPr>
        <w:t>styga</w:t>
      </w:r>
      <w:r w:rsidRPr="00A9008E">
        <w:rPr>
          <w:lang w:val="en-US"/>
        </w:rPr>
        <w:t>, born in 1976, Marat B</w:t>
      </w:r>
      <w:r w:rsidR="00361E8A">
        <w:rPr>
          <w:lang w:val="en-US"/>
        </w:rPr>
        <w:t>rashko</w:t>
      </w:r>
      <w:r w:rsidRPr="00A9008E">
        <w:rPr>
          <w:lang w:val="en-US"/>
        </w:rPr>
        <w:t>, born in 1970</w:t>
      </w:r>
      <w:r w:rsidR="00D81843">
        <w:rPr>
          <w:lang w:val="en-US"/>
        </w:rPr>
        <w:t>,</w:t>
      </w:r>
      <w:r w:rsidRPr="00A9008E">
        <w:rPr>
          <w:lang w:val="en-US"/>
        </w:rPr>
        <w:t xml:space="preserve"> and </w:t>
      </w:r>
      <w:r w:rsidRPr="00E6440F">
        <w:rPr>
          <w:lang w:val="en-US"/>
        </w:rPr>
        <w:t>Raman K</w:t>
      </w:r>
      <w:r w:rsidR="00361E8A" w:rsidRPr="00E6440F">
        <w:rPr>
          <w:lang w:val="en-US"/>
        </w:rPr>
        <w:t>isl</w:t>
      </w:r>
      <w:r w:rsidR="00E6440F" w:rsidRPr="003F0C15">
        <w:rPr>
          <w:lang w:val="en-US"/>
        </w:rPr>
        <w:t>i</w:t>
      </w:r>
      <w:r w:rsidR="00361E8A" w:rsidRPr="00E6440F">
        <w:rPr>
          <w:lang w:val="en-US"/>
        </w:rPr>
        <w:t>ak</w:t>
      </w:r>
      <w:r w:rsidRPr="00A9008E">
        <w:rPr>
          <w:lang w:val="en-US"/>
        </w:rPr>
        <w:t xml:space="preserve">, born in 1975, all Belarus nationals. They claim to be victims of violations by Belarus of their rights under </w:t>
      </w:r>
      <w:r w:rsidR="00B32B36">
        <w:rPr>
          <w:lang w:val="en-US"/>
        </w:rPr>
        <w:t>article</w:t>
      </w:r>
      <w:r w:rsidR="00D81843">
        <w:rPr>
          <w:lang w:val="en-US"/>
        </w:rPr>
        <w:t>s</w:t>
      </w:r>
      <w:r w:rsidR="00B32B36">
        <w:rPr>
          <w:lang w:val="en-US"/>
        </w:rPr>
        <w:t> </w:t>
      </w:r>
      <w:r w:rsidRPr="00A9008E">
        <w:rPr>
          <w:lang w:val="en-US"/>
        </w:rPr>
        <w:t xml:space="preserve">14, </w:t>
      </w:r>
      <w:r w:rsidR="00B32B36">
        <w:rPr>
          <w:lang w:val="en-US"/>
        </w:rPr>
        <w:t>paragraph </w:t>
      </w:r>
      <w:r w:rsidRPr="00A9008E">
        <w:rPr>
          <w:lang w:val="en-US"/>
        </w:rPr>
        <w:t xml:space="preserve">1; 19, </w:t>
      </w:r>
      <w:r w:rsidR="00B32B36">
        <w:t>paragraph </w:t>
      </w:r>
      <w:r w:rsidRPr="00A9008E">
        <w:rPr>
          <w:lang w:val="en-US"/>
        </w:rPr>
        <w:t>2</w:t>
      </w:r>
      <w:r w:rsidR="00D81843">
        <w:rPr>
          <w:lang w:val="en-US"/>
        </w:rPr>
        <w:t>;</w:t>
      </w:r>
      <w:r w:rsidRPr="00A9008E">
        <w:rPr>
          <w:lang w:val="en-US"/>
        </w:rPr>
        <w:t xml:space="preserve"> 21 and 26 of the </w:t>
      </w:r>
      <w:r w:rsidR="00706988" w:rsidRPr="00685405">
        <w:t>International Covenant on Civil and Political Rights</w:t>
      </w:r>
      <w:r w:rsidRPr="00A9008E">
        <w:rPr>
          <w:lang w:val="en-US"/>
        </w:rPr>
        <w:t>.</w:t>
      </w:r>
      <w:r w:rsidR="00706988">
        <w:rPr>
          <w:rStyle w:val="FootnoteReference"/>
          <w:lang w:val="en-US"/>
        </w:rPr>
        <w:footnoteReference w:id="3"/>
      </w:r>
      <w:r w:rsidRPr="00A9008E">
        <w:rPr>
          <w:lang w:val="en-US"/>
        </w:rPr>
        <w:t xml:space="preserve"> </w:t>
      </w:r>
      <w:r w:rsidR="00706988" w:rsidRPr="00E6440F">
        <w:rPr>
          <w:lang w:val="en-US"/>
        </w:rPr>
        <w:t xml:space="preserve">Raman </w:t>
      </w:r>
      <w:r w:rsidRPr="00E6440F">
        <w:rPr>
          <w:lang w:val="en-US"/>
        </w:rPr>
        <w:t>Kisl</w:t>
      </w:r>
      <w:r w:rsidR="00E6440F" w:rsidRPr="003F0C15">
        <w:rPr>
          <w:lang w:val="en-US"/>
        </w:rPr>
        <w:t>i</w:t>
      </w:r>
      <w:r w:rsidRPr="00E6440F">
        <w:rPr>
          <w:lang w:val="en-US"/>
        </w:rPr>
        <w:t>ak</w:t>
      </w:r>
      <w:r w:rsidRPr="00A9008E">
        <w:rPr>
          <w:lang w:val="en-US"/>
        </w:rPr>
        <w:t xml:space="preserve"> is submitting the communication on his own behalf and he is also acting as counsel for the other four authors. </w:t>
      </w:r>
    </w:p>
    <w:p w:rsidR="00A9008E" w:rsidRPr="00A9008E" w:rsidRDefault="008D299D" w:rsidP="004F643D">
      <w:pPr>
        <w:pStyle w:val="H23G"/>
        <w:rPr>
          <w:lang w:val="en-US"/>
        </w:rPr>
      </w:pPr>
      <w:r>
        <w:rPr>
          <w:lang w:val="en-US"/>
        </w:rPr>
        <w:lastRenderedPageBreak/>
        <w:tab/>
      </w:r>
      <w:r>
        <w:rPr>
          <w:lang w:val="en-US"/>
        </w:rPr>
        <w:tab/>
      </w:r>
      <w:r w:rsidR="00A9008E" w:rsidRPr="00A9008E">
        <w:rPr>
          <w:lang w:val="en-US"/>
        </w:rPr>
        <w:t xml:space="preserve">The facts as </w:t>
      </w:r>
      <w:r w:rsidR="000354F2">
        <w:rPr>
          <w:lang w:val="en-US"/>
        </w:rPr>
        <w:t>submitted</w:t>
      </w:r>
      <w:r w:rsidR="000354F2" w:rsidRPr="00A9008E">
        <w:rPr>
          <w:lang w:val="en-US"/>
        </w:rPr>
        <w:t xml:space="preserve"> </w:t>
      </w:r>
      <w:r w:rsidR="00A9008E" w:rsidRPr="00A9008E">
        <w:rPr>
          <w:lang w:val="en-US"/>
        </w:rPr>
        <w:t>by the authors</w:t>
      </w:r>
    </w:p>
    <w:p w:rsidR="00A9008E" w:rsidRPr="00A9008E" w:rsidRDefault="00A9008E" w:rsidP="004F643D">
      <w:pPr>
        <w:pStyle w:val="SingleTxtG"/>
        <w:rPr>
          <w:lang w:val="en-US"/>
        </w:rPr>
      </w:pPr>
      <w:r w:rsidRPr="00A9008E">
        <w:rPr>
          <w:lang w:val="en-US"/>
        </w:rPr>
        <w:t>2.1</w:t>
      </w:r>
      <w:r w:rsidRPr="00A9008E">
        <w:rPr>
          <w:lang w:val="en-US"/>
        </w:rPr>
        <w:tab/>
        <w:t xml:space="preserve">On 28 August 2009, </w:t>
      </w:r>
      <w:r w:rsidR="000354F2">
        <w:rPr>
          <w:lang w:val="en-US"/>
        </w:rPr>
        <w:t xml:space="preserve">Pavel Kozlov, </w:t>
      </w:r>
      <w:r w:rsidR="00706988">
        <w:rPr>
          <w:lang w:val="en-US"/>
        </w:rPr>
        <w:t>the first author</w:t>
      </w:r>
      <w:r w:rsidR="000354F2">
        <w:rPr>
          <w:lang w:val="en-US"/>
        </w:rPr>
        <w:t>,</w:t>
      </w:r>
      <w:r w:rsidRPr="00A9008E">
        <w:rPr>
          <w:lang w:val="en-US"/>
        </w:rPr>
        <w:t xml:space="preserve"> filed an application with the Brest City Executive Committee request</w:t>
      </w:r>
      <w:r w:rsidR="000354F2">
        <w:rPr>
          <w:lang w:val="en-US"/>
        </w:rPr>
        <w:t>ing</w:t>
      </w:r>
      <w:r w:rsidRPr="00A9008E">
        <w:rPr>
          <w:lang w:val="en-US"/>
        </w:rPr>
        <w:t xml:space="preserve"> to hold a pi</w:t>
      </w:r>
      <w:r w:rsidR="000630DF">
        <w:rPr>
          <w:lang w:val="en-US"/>
        </w:rPr>
        <w:t>cke</w:t>
      </w:r>
      <w:r w:rsidRPr="00A9008E">
        <w:rPr>
          <w:lang w:val="en-US"/>
        </w:rPr>
        <w:t xml:space="preserve">t “against the indifference of </w:t>
      </w:r>
      <w:r w:rsidR="000354F2">
        <w:rPr>
          <w:lang w:val="en-US"/>
        </w:rPr>
        <w:t>S</w:t>
      </w:r>
      <w:r w:rsidRPr="00A9008E">
        <w:rPr>
          <w:lang w:val="en-US"/>
        </w:rPr>
        <w:t xml:space="preserve">tate officials” on 27 September 2009, with the purpose of drawing citizens’ attention to the indifferent attitude of </w:t>
      </w:r>
      <w:r w:rsidR="000354F2">
        <w:rPr>
          <w:lang w:val="en-US"/>
        </w:rPr>
        <w:t>S</w:t>
      </w:r>
      <w:r w:rsidRPr="00A9008E">
        <w:rPr>
          <w:lang w:val="en-US"/>
        </w:rPr>
        <w:t xml:space="preserve">tate officials towards citizens’ petitions and to the systematic violation of the </w:t>
      </w:r>
      <w:r w:rsidR="000354F2">
        <w:rPr>
          <w:lang w:val="en-US"/>
        </w:rPr>
        <w:t>L</w:t>
      </w:r>
      <w:r w:rsidRPr="00A9008E">
        <w:rPr>
          <w:lang w:val="en-US"/>
        </w:rPr>
        <w:t xml:space="preserve">aw on </w:t>
      </w:r>
      <w:r w:rsidR="000354F2">
        <w:rPr>
          <w:lang w:val="en-US"/>
        </w:rPr>
        <w:t>P</w:t>
      </w:r>
      <w:r w:rsidRPr="00A9008E">
        <w:rPr>
          <w:lang w:val="en-US"/>
        </w:rPr>
        <w:t xml:space="preserve">etitions by </w:t>
      </w:r>
      <w:r w:rsidR="000354F2">
        <w:rPr>
          <w:lang w:val="en-US"/>
        </w:rPr>
        <w:t>S</w:t>
      </w:r>
      <w:r w:rsidRPr="00A9008E">
        <w:rPr>
          <w:lang w:val="en-US"/>
        </w:rPr>
        <w:t xml:space="preserve">tate officials. </w:t>
      </w:r>
      <w:r w:rsidRPr="00A9008E">
        <w:t xml:space="preserve">In his application, </w:t>
      </w:r>
      <w:r w:rsidR="000354F2">
        <w:t>Mr. Kozlov</w:t>
      </w:r>
      <w:r w:rsidR="00706988" w:rsidRPr="00A9008E">
        <w:rPr>
          <w:lang w:val="en-US"/>
        </w:rPr>
        <w:t xml:space="preserve"> </w:t>
      </w:r>
      <w:r w:rsidRPr="00A9008E">
        <w:t xml:space="preserve">specified that the </w:t>
      </w:r>
      <w:r w:rsidRPr="00A9008E">
        <w:rPr>
          <w:lang w:val="en-US"/>
        </w:rPr>
        <w:t>pi</w:t>
      </w:r>
      <w:r w:rsidR="000630DF">
        <w:rPr>
          <w:lang w:val="en-US"/>
        </w:rPr>
        <w:t>ck</w:t>
      </w:r>
      <w:r w:rsidRPr="00A9008E">
        <w:rPr>
          <w:lang w:val="en-US"/>
        </w:rPr>
        <w:t>et</w:t>
      </w:r>
      <w:r w:rsidRPr="00A9008E">
        <w:t xml:space="preserve"> would be conducted by </w:t>
      </w:r>
      <w:r w:rsidR="000354F2">
        <w:t>five</w:t>
      </w:r>
      <w:r w:rsidRPr="00A9008E">
        <w:t xml:space="preserve"> pe</w:t>
      </w:r>
      <w:r w:rsidR="000354F2">
        <w:t>ople</w:t>
      </w:r>
      <w:r w:rsidRPr="00A9008E">
        <w:t xml:space="preserve"> (the authors</w:t>
      </w:r>
      <w:r w:rsidR="000354F2">
        <w:t xml:space="preserve"> of this communication</w:t>
      </w:r>
      <w:r w:rsidRPr="00A9008E">
        <w:t xml:space="preserve">) and that the intended location was the pedestrian zone on Gogol Street in Brest. </w:t>
      </w:r>
    </w:p>
    <w:p w:rsidR="00A9008E" w:rsidRPr="00A9008E" w:rsidRDefault="00A9008E" w:rsidP="006C6DC2">
      <w:pPr>
        <w:pStyle w:val="SingleTxtG"/>
        <w:rPr>
          <w:lang w:val="en-US"/>
        </w:rPr>
      </w:pPr>
      <w:r w:rsidRPr="00A9008E">
        <w:rPr>
          <w:lang w:val="en-US"/>
        </w:rPr>
        <w:t>2.2</w:t>
      </w:r>
      <w:r w:rsidRPr="00A9008E">
        <w:rPr>
          <w:lang w:val="en-US"/>
        </w:rPr>
        <w:tab/>
        <w:t xml:space="preserve">On 16 September 2009, </w:t>
      </w:r>
      <w:r w:rsidR="000354F2">
        <w:rPr>
          <w:lang w:val="en-US"/>
        </w:rPr>
        <w:t>Mr. Kozlov</w:t>
      </w:r>
      <w:r w:rsidR="00706988" w:rsidRPr="00A9008E">
        <w:rPr>
          <w:lang w:val="en-US"/>
        </w:rPr>
        <w:t xml:space="preserve"> </w:t>
      </w:r>
      <w:r w:rsidRPr="00A9008E">
        <w:rPr>
          <w:lang w:val="en-US"/>
        </w:rPr>
        <w:t>received a letter from the Brest City Executive Committee</w:t>
      </w:r>
      <w:r w:rsidR="000354F2">
        <w:rPr>
          <w:lang w:val="en-US"/>
        </w:rPr>
        <w:t>,</w:t>
      </w:r>
      <w:r w:rsidRPr="00A9008E">
        <w:rPr>
          <w:lang w:val="en-US"/>
        </w:rPr>
        <w:t xml:space="preserve"> dated 14 September 2009 and signed by the Deputy Chair of the Brest City Executive Committee</w:t>
      </w:r>
      <w:r w:rsidR="000630DF">
        <w:rPr>
          <w:lang w:val="en-US"/>
        </w:rPr>
        <w:t xml:space="preserve">, informing him that </w:t>
      </w:r>
      <w:r w:rsidR="000630DF" w:rsidRPr="00A9008E">
        <w:rPr>
          <w:lang w:val="en-US"/>
        </w:rPr>
        <w:t>permission to carry out the pi</w:t>
      </w:r>
      <w:r w:rsidR="000630DF">
        <w:rPr>
          <w:lang w:val="en-US"/>
        </w:rPr>
        <w:t>ck</w:t>
      </w:r>
      <w:r w:rsidR="000630DF" w:rsidRPr="00A9008E">
        <w:rPr>
          <w:lang w:val="en-US"/>
        </w:rPr>
        <w:t>et at the desired location</w:t>
      </w:r>
      <w:r w:rsidR="000630DF">
        <w:rPr>
          <w:lang w:val="en-US"/>
        </w:rPr>
        <w:t xml:space="preserve"> </w:t>
      </w:r>
      <w:r w:rsidR="003B2E07">
        <w:rPr>
          <w:lang w:val="en-US"/>
        </w:rPr>
        <w:t>wa</w:t>
      </w:r>
      <w:r w:rsidR="000630DF">
        <w:rPr>
          <w:lang w:val="en-US"/>
        </w:rPr>
        <w:t>s denied</w:t>
      </w:r>
      <w:r w:rsidRPr="00A9008E">
        <w:rPr>
          <w:lang w:val="en-US"/>
        </w:rPr>
        <w:t>. The letter referred to Brest City Executive Committee decision No.</w:t>
      </w:r>
      <w:r w:rsidR="00B32B36">
        <w:rPr>
          <w:lang w:val="en-US"/>
        </w:rPr>
        <w:t> </w:t>
      </w:r>
      <w:r w:rsidRPr="00A9008E">
        <w:rPr>
          <w:lang w:val="en-US"/>
        </w:rPr>
        <w:t>1715 of 25 October 2006 (Regarding the determination of a permanent location for the conduct of public gatherings in Brest), which determines that public gatherings c</w:t>
      </w:r>
      <w:r w:rsidR="009875A9">
        <w:rPr>
          <w:lang w:val="en-US"/>
        </w:rPr>
        <w:t>ould</w:t>
      </w:r>
      <w:r w:rsidRPr="00A9008E">
        <w:rPr>
          <w:lang w:val="en-US"/>
        </w:rPr>
        <w:t xml:space="preserve"> only be organized in one specified location in Brest, </w:t>
      </w:r>
      <w:r w:rsidR="009875A9">
        <w:rPr>
          <w:lang w:val="en-US"/>
        </w:rPr>
        <w:t>namely, the</w:t>
      </w:r>
      <w:r w:rsidRPr="00A9008E">
        <w:rPr>
          <w:lang w:val="en-US"/>
        </w:rPr>
        <w:t xml:space="preserve"> Lo</w:t>
      </w:r>
      <w:r w:rsidR="00525C8F">
        <w:rPr>
          <w:lang w:val="en-US"/>
        </w:rPr>
        <w:t>k</w:t>
      </w:r>
      <w:r w:rsidRPr="00A9008E">
        <w:rPr>
          <w:lang w:val="en-US"/>
        </w:rPr>
        <w:t>omotiv</w:t>
      </w:r>
      <w:r w:rsidR="00316E89">
        <w:rPr>
          <w:lang w:val="en-US"/>
        </w:rPr>
        <w:t xml:space="preserve"> stadium</w:t>
      </w:r>
      <w:r w:rsidRPr="00A9008E">
        <w:rPr>
          <w:lang w:val="en-US"/>
        </w:rPr>
        <w:t>.</w:t>
      </w:r>
      <w:r w:rsidR="0060187E">
        <w:rPr>
          <w:rStyle w:val="FootnoteReference"/>
          <w:lang w:val="en-US"/>
        </w:rPr>
        <w:footnoteReference w:id="4"/>
      </w:r>
      <w:r w:rsidRPr="00A9008E">
        <w:rPr>
          <w:lang w:val="en-US"/>
        </w:rPr>
        <w:t xml:space="preserve"> The letter further stated that </w:t>
      </w:r>
      <w:r w:rsidR="00706988">
        <w:rPr>
          <w:lang w:val="en-US"/>
        </w:rPr>
        <w:t xml:space="preserve">the </w:t>
      </w:r>
      <w:r w:rsidRPr="00A9008E">
        <w:rPr>
          <w:lang w:val="en-US"/>
        </w:rPr>
        <w:t xml:space="preserve">application was denied on the basis of </w:t>
      </w:r>
      <w:r w:rsidR="00B32B36">
        <w:rPr>
          <w:lang w:val="en-US"/>
        </w:rPr>
        <w:t>article </w:t>
      </w:r>
      <w:r w:rsidRPr="00A9008E">
        <w:rPr>
          <w:lang w:val="en-US"/>
        </w:rPr>
        <w:t xml:space="preserve">6 of the Law </w:t>
      </w:r>
      <w:r w:rsidR="00316E89">
        <w:rPr>
          <w:lang w:val="en-US"/>
        </w:rPr>
        <w:t>o</w:t>
      </w:r>
      <w:r w:rsidRPr="00A9008E">
        <w:rPr>
          <w:lang w:val="en-US"/>
        </w:rPr>
        <w:t xml:space="preserve">n </w:t>
      </w:r>
      <w:r w:rsidR="00316E89">
        <w:rPr>
          <w:lang w:val="en-US"/>
        </w:rPr>
        <w:t>Public</w:t>
      </w:r>
      <w:r w:rsidRPr="00A9008E">
        <w:rPr>
          <w:lang w:val="en-US"/>
        </w:rPr>
        <w:t xml:space="preserve"> </w:t>
      </w:r>
      <w:r w:rsidR="00AB5490">
        <w:rPr>
          <w:lang w:val="en-US"/>
        </w:rPr>
        <w:t>Events</w:t>
      </w:r>
      <w:r w:rsidRPr="00A9008E">
        <w:rPr>
          <w:lang w:val="en-US"/>
        </w:rPr>
        <w:t xml:space="preserve"> in the Republic of Belarus.</w:t>
      </w:r>
    </w:p>
    <w:p w:rsidR="00A9008E" w:rsidRPr="00A9008E" w:rsidRDefault="00A9008E" w:rsidP="00316E89">
      <w:pPr>
        <w:pStyle w:val="SingleTxtG"/>
        <w:rPr>
          <w:lang w:val="en-US"/>
        </w:rPr>
      </w:pPr>
      <w:r w:rsidRPr="00A9008E">
        <w:rPr>
          <w:lang w:val="en-US"/>
        </w:rPr>
        <w:t>2.3</w:t>
      </w:r>
      <w:r w:rsidRPr="00A9008E">
        <w:rPr>
          <w:lang w:val="en-US"/>
        </w:rPr>
        <w:tab/>
        <w:t xml:space="preserve">On 15 October 2009, </w:t>
      </w:r>
      <w:r w:rsidR="00706988">
        <w:rPr>
          <w:lang w:val="en-US"/>
        </w:rPr>
        <w:t xml:space="preserve">the </w:t>
      </w:r>
      <w:r w:rsidRPr="00A9008E">
        <w:rPr>
          <w:lang w:val="en-US"/>
        </w:rPr>
        <w:t>authors appeal</w:t>
      </w:r>
      <w:r w:rsidR="00316E89">
        <w:rPr>
          <w:lang w:val="en-US"/>
        </w:rPr>
        <w:t>ed</w:t>
      </w:r>
      <w:r w:rsidRPr="00A9008E">
        <w:rPr>
          <w:lang w:val="en-US"/>
        </w:rPr>
        <w:t xml:space="preserve"> the decision of the Deputy Chair of the Brest City Executive Committee of 14 September 2009 before the Leninsky District Court</w:t>
      </w:r>
      <w:r w:rsidR="00316E89">
        <w:rPr>
          <w:lang w:val="en-US"/>
        </w:rPr>
        <w:t>,</w:t>
      </w:r>
      <w:r w:rsidRPr="00A9008E">
        <w:rPr>
          <w:lang w:val="en-US"/>
        </w:rPr>
        <w:t xml:space="preserve"> Brest, claiming that th</w:t>
      </w:r>
      <w:r w:rsidR="00316E89">
        <w:rPr>
          <w:lang w:val="en-US"/>
        </w:rPr>
        <w:t>e</w:t>
      </w:r>
      <w:r w:rsidRPr="00A9008E">
        <w:rPr>
          <w:lang w:val="en-US"/>
        </w:rPr>
        <w:t xml:space="preserve"> decision violated their freedom of expression and </w:t>
      </w:r>
      <w:r w:rsidR="00316E89">
        <w:rPr>
          <w:lang w:val="en-US"/>
        </w:rPr>
        <w:t>constituted</w:t>
      </w:r>
      <w:r w:rsidRPr="00A9008E">
        <w:rPr>
          <w:lang w:val="en-US"/>
        </w:rPr>
        <w:t xml:space="preserve"> discrimination on the ground o</w:t>
      </w:r>
      <w:r w:rsidR="003B2E07">
        <w:rPr>
          <w:lang w:val="en-US"/>
        </w:rPr>
        <w:t>f</w:t>
      </w:r>
      <w:r w:rsidRPr="00A9008E">
        <w:rPr>
          <w:lang w:val="en-US"/>
        </w:rPr>
        <w:t xml:space="preserve"> their opinion. The Leninsky District Court held public hearings on 6 and 9 November 2009. During the hearings, the authors requested </w:t>
      </w:r>
      <w:r w:rsidR="00316E89">
        <w:rPr>
          <w:lang w:val="en-US"/>
        </w:rPr>
        <w:t xml:space="preserve">that </w:t>
      </w:r>
      <w:r w:rsidRPr="00A9008E">
        <w:rPr>
          <w:lang w:val="en-US"/>
        </w:rPr>
        <w:t>the officials of the Brest City Executive Committee be summoned as witnesses. The Court declined</w:t>
      </w:r>
      <w:r w:rsidR="00316E89">
        <w:rPr>
          <w:lang w:val="en-US"/>
        </w:rPr>
        <w:t xml:space="preserve"> their request</w:t>
      </w:r>
      <w:r w:rsidRPr="00A9008E">
        <w:rPr>
          <w:lang w:val="en-US"/>
        </w:rPr>
        <w:t>, stating that the Brest City Executive Committee was adequately represented. The authors’ appeal was rejected on 9 November 2009.</w:t>
      </w:r>
      <w:r w:rsidR="00C33A42">
        <w:rPr>
          <w:lang w:val="en-US"/>
        </w:rPr>
        <w:t xml:space="preserve"> </w:t>
      </w:r>
    </w:p>
    <w:p w:rsidR="00A9008E" w:rsidRPr="00A9008E" w:rsidRDefault="00A9008E" w:rsidP="006C6DC2">
      <w:pPr>
        <w:pStyle w:val="SingleTxtG"/>
        <w:rPr>
          <w:lang w:val="en-US"/>
        </w:rPr>
      </w:pPr>
      <w:r w:rsidRPr="00A9008E">
        <w:rPr>
          <w:lang w:val="en-US"/>
        </w:rPr>
        <w:t>2.4</w:t>
      </w:r>
      <w:r w:rsidRPr="00A9008E">
        <w:rPr>
          <w:lang w:val="en-US"/>
        </w:rPr>
        <w:tab/>
        <w:t xml:space="preserve">On 19 November 2009, </w:t>
      </w:r>
      <w:r w:rsidR="00706988">
        <w:rPr>
          <w:lang w:val="en-US"/>
        </w:rPr>
        <w:t xml:space="preserve">the </w:t>
      </w:r>
      <w:r w:rsidRPr="00A9008E">
        <w:rPr>
          <w:lang w:val="en-US"/>
        </w:rPr>
        <w:t xml:space="preserve">authors filed a cassation appeal against the decision of the Leninsky District Court </w:t>
      </w:r>
      <w:r w:rsidR="00316E89">
        <w:rPr>
          <w:lang w:val="en-US"/>
        </w:rPr>
        <w:t>before</w:t>
      </w:r>
      <w:r w:rsidRPr="00A9008E">
        <w:rPr>
          <w:lang w:val="en-US"/>
        </w:rPr>
        <w:t xml:space="preserve"> the Judicial Chamber for Civil Cases of the Brest Regional Court. On 24 December 2009, the Judicial Chamber for Civil Cases of the Brest Regional Court quashed the decision of the Leninsky District Court</w:t>
      </w:r>
      <w:r w:rsidR="002A5C82">
        <w:rPr>
          <w:lang w:val="en-US"/>
        </w:rPr>
        <w:t xml:space="preserve"> </w:t>
      </w:r>
      <w:r w:rsidRPr="00A9008E">
        <w:rPr>
          <w:lang w:val="en-US"/>
        </w:rPr>
        <w:t>of 9 November 2009</w:t>
      </w:r>
      <w:r w:rsidR="00316E89">
        <w:rPr>
          <w:lang w:val="en-US"/>
        </w:rPr>
        <w:t xml:space="preserve">, leaving </w:t>
      </w:r>
      <w:r w:rsidRPr="00A9008E">
        <w:rPr>
          <w:lang w:val="en-US"/>
        </w:rPr>
        <w:t xml:space="preserve">“without consideration” the authors’ appeal against the </w:t>
      </w:r>
      <w:r w:rsidR="00316E89">
        <w:rPr>
          <w:lang w:val="en-US"/>
        </w:rPr>
        <w:t xml:space="preserve">decision </w:t>
      </w:r>
      <w:r w:rsidRPr="00A9008E">
        <w:rPr>
          <w:lang w:val="en-US"/>
        </w:rPr>
        <w:t xml:space="preserve">of the Deputy Chair of the Brest City Executive Committee of 14 September 2009, </w:t>
      </w:r>
      <w:r w:rsidR="006C6DC2">
        <w:rPr>
          <w:lang w:val="en-US"/>
        </w:rPr>
        <w:t>stating that the authors had</w:t>
      </w:r>
      <w:r w:rsidRPr="00A9008E">
        <w:rPr>
          <w:lang w:val="en-US"/>
        </w:rPr>
        <w:t xml:space="preserve"> “failed to follow a prerequisite extrajudicial procedure for this category of cases”. </w:t>
      </w:r>
    </w:p>
    <w:p w:rsidR="00A9008E" w:rsidRPr="00A9008E" w:rsidRDefault="00A9008E" w:rsidP="006C6DC2">
      <w:pPr>
        <w:pStyle w:val="SingleTxtG"/>
        <w:rPr>
          <w:lang w:val="en-US"/>
        </w:rPr>
      </w:pPr>
      <w:r w:rsidRPr="00A9008E">
        <w:rPr>
          <w:lang w:val="en-US"/>
        </w:rPr>
        <w:t>2.5</w:t>
      </w:r>
      <w:r w:rsidRPr="00A9008E">
        <w:rPr>
          <w:lang w:val="en-US"/>
        </w:rPr>
        <w:tab/>
        <w:t xml:space="preserve">On 20 January 2010, the Chairperson of the Brest Regional Court entered a protest with the Presidium of the Brest Regional Court against the </w:t>
      </w:r>
      <w:r w:rsidR="006C6DC2" w:rsidRPr="00A9008E">
        <w:rPr>
          <w:lang w:val="en-US"/>
        </w:rPr>
        <w:t>24 December 2009</w:t>
      </w:r>
      <w:r w:rsidR="006C6DC2">
        <w:rPr>
          <w:lang w:val="en-US"/>
        </w:rPr>
        <w:t xml:space="preserve"> </w:t>
      </w:r>
      <w:r w:rsidRPr="00A9008E">
        <w:rPr>
          <w:lang w:val="en-US"/>
        </w:rPr>
        <w:t xml:space="preserve">decision of the Judicial Chamber for Civil Cases of the Brest </w:t>
      </w:r>
      <w:r w:rsidRPr="008D299D">
        <w:t>Regional</w:t>
      </w:r>
      <w:r w:rsidRPr="00A9008E">
        <w:rPr>
          <w:lang w:val="en-US"/>
        </w:rPr>
        <w:t xml:space="preserve"> Court. On 27 January 2010, the Presidium of the Brest Regional Court quashed the </w:t>
      </w:r>
      <w:r w:rsidR="006C6DC2" w:rsidRPr="00A9008E">
        <w:rPr>
          <w:lang w:val="en-US"/>
        </w:rPr>
        <w:t xml:space="preserve">24 December 2009 </w:t>
      </w:r>
      <w:r w:rsidRPr="00A9008E">
        <w:rPr>
          <w:lang w:val="en-US"/>
        </w:rPr>
        <w:t>decision of the Judicial Chamber for Civil Cases of the Brest Regional Court</w:t>
      </w:r>
      <w:r w:rsidR="006C6DC2">
        <w:rPr>
          <w:lang w:val="en-US"/>
        </w:rPr>
        <w:t xml:space="preserve"> </w:t>
      </w:r>
      <w:r w:rsidRPr="00A9008E">
        <w:rPr>
          <w:lang w:val="en-US"/>
        </w:rPr>
        <w:t xml:space="preserve">and </w:t>
      </w:r>
      <w:r w:rsidR="002A5C82">
        <w:rPr>
          <w:lang w:val="en-US"/>
        </w:rPr>
        <w:t>ordered</w:t>
      </w:r>
      <w:r w:rsidRPr="00A9008E">
        <w:rPr>
          <w:lang w:val="en-US"/>
        </w:rPr>
        <w:t xml:space="preserve"> a new examination of the authors’ cassation appeal of 19 November 2009. </w:t>
      </w:r>
    </w:p>
    <w:p w:rsidR="00A9008E" w:rsidRPr="00A9008E" w:rsidRDefault="00A9008E" w:rsidP="003F0C15">
      <w:pPr>
        <w:pStyle w:val="SingleTxtG"/>
        <w:rPr>
          <w:lang w:val="en-US"/>
        </w:rPr>
      </w:pPr>
      <w:r w:rsidRPr="00A9008E">
        <w:rPr>
          <w:lang w:val="en-US"/>
        </w:rPr>
        <w:t>2.6</w:t>
      </w:r>
      <w:r w:rsidRPr="00A9008E">
        <w:rPr>
          <w:lang w:val="en-US"/>
        </w:rPr>
        <w:tab/>
        <w:t xml:space="preserve">On 18 February 2010, the Judicial Chamber for Civil Cases of the Brest Regional Court </w:t>
      </w:r>
      <w:r w:rsidR="006C6DC2">
        <w:rPr>
          <w:lang w:val="en-US"/>
        </w:rPr>
        <w:t>re-</w:t>
      </w:r>
      <w:r w:rsidRPr="00A9008E">
        <w:rPr>
          <w:lang w:val="en-US"/>
        </w:rPr>
        <w:t xml:space="preserve">examined and </w:t>
      </w:r>
      <w:r w:rsidR="006C6DC2">
        <w:rPr>
          <w:lang w:val="en-US"/>
        </w:rPr>
        <w:t xml:space="preserve">again </w:t>
      </w:r>
      <w:r w:rsidRPr="00A9008E">
        <w:rPr>
          <w:lang w:val="en-US"/>
        </w:rPr>
        <w:t xml:space="preserve">rejected the authors’ cassation appeal of 19 November 2009, </w:t>
      </w:r>
      <w:r w:rsidR="000630DF">
        <w:rPr>
          <w:lang w:val="en-US"/>
        </w:rPr>
        <w:t xml:space="preserve">stating that the </w:t>
      </w:r>
      <w:r w:rsidR="006C6DC2">
        <w:rPr>
          <w:lang w:val="en-US"/>
        </w:rPr>
        <w:t>denial</w:t>
      </w:r>
      <w:r w:rsidR="000630DF">
        <w:rPr>
          <w:lang w:val="en-US"/>
        </w:rPr>
        <w:t xml:space="preserve"> their request to hold a picket was lawful, based on</w:t>
      </w:r>
      <w:r w:rsidRPr="00A9008E">
        <w:rPr>
          <w:lang w:val="en-US"/>
        </w:rPr>
        <w:t xml:space="preserve"> Brest City </w:t>
      </w:r>
      <w:r w:rsidRPr="00A9008E">
        <w:rPr>
          <w:lang w:val="en-US"/>
        </w:rPr>
        <w:lastRenderedPageBreak/>
        <w:t>Executive Committee decision No.</w:t>
      </w:r>
      <w:r w:rsidR="00B32B36">
        <w:rPr>
          <w:lang w:val="en-US"/>
        </w:rPr>
        <w:t> </w:t>
      </w:r>
      <w:r w:rsidRPr="00A9008E">
        <w:rPr>
          <w:lang w:val="en-US"/>
        </w:rPr>
        <w:t>1715 of 25 October 2006 (see para</w:t>
      </w:r>
      <w:r w:rsidR="00B32B36">
        <w:rPr>
          <w:lang w:val="en-US"/>
        </w:rPr>
        <w:t>. </w:t>
      </w:r>
      <w:r w:rsidRPr="00A9008E">
        <w:rPr>
          <w:lang w:val="en-US"/>
        </w:rPr>
        <w:t xml:space="preserve">2.2 above) and the Law </w:t>
      </w:r>
      <w:r w:rsidR="00F34AB1">
        <w:rPr>
          <w:lang w:val="en-US"/>
        </w:rPr>
        <w:t>o</w:t>
      </w:r>
      <w:r w:rsidRPr="00A9008E">
        <w:rPr>
          <w:lang w:val="en-US"/>
        </w:rPr>
        <w:t xml:space="preserve">n </w:t>
      </w:r>
      <w:r w:rsidR="00F34AB1">
        <w:rPr>
          <w:lang w:val="en-US"/>
        </w:rPr>
        <w:t>Public</w:t>
      </w:r>
      <w:r w:rsidRPr="00A9008E">
        <w:rPr>
          <w:lang w:val="en-US"/>
        </w:rPr>
        <w:t xml:space="preserve"> </w:t>
      </w:r>
      <w:r w:rsidR="00AB5490">
        <w:rPr>
          <w:lang w:val="en-US"/>
        </w:rPr>
        <w:t>Event</w:t>
      </w:r>
      <w:r w:rsidRPr="00A9008E">
        <w:rPr>
          <w:lang w:val="en-US"/>
        </w:rPr>
        <w:t xml:space="preserve">s in the Republic of Belarus. </w:t>
      </w:r>
      <w:r w:rsidR="00361E8A" w:rsidRPr="00A9008E">
        <w:rPr>
          <w:lang w:val="en-US"/>
        </w:rPr>
        <w:t>The authors contend that they have exhausted all available and effective domestic remedies.</w:t>
      </w:r>
    </w:p>
    <w:p w:rsidR="00A9008E" w:rsidRPr="00A9008E" w:rsidRDefault="008D299D" w:rsidP="008D299D">
      <w:pPr>
        <w:pStyle w:val="H23G"/>
        <w:rPr>
          <w:lang w:val="en-US"/>
        </w:rPr>
      </w:pPr>
      <w:r>
        <w:rPr>
          <w:lang w:val="en-US"/>
        </w:rPr>
        <w:tab/>
      </w:r>
      <w:r>
        <w:rPr>
          <w:lang w:val="en-US"/>
        </w:rPr>
        <w:tab/>
      </w:r>
      <w:r w:rsidR="00A9008E" w:rsidRPr="00A9008E">
        <w:rPr>
          <w:lang w:val="en-US"/>
        </w:rPr>
        <w:t xml:space="preserve">The complaint </w:t>
      </w:r>
    </w:p>
    <w:p w:rsidR="00A9008E" w:rsidRPr="00A9008E" w:rsidRDefault="00A9008E" w:rsidP="00F34AB1">
      <w:pPr>
        <w:pStyle w:val="SingleTxtG"/>
        <w:rPr>
          <w:lang w:val="en-US"/>
        </w:rPr>
      </w:pPr>
      <w:r w:rsidRPr="00A9008E">
        <w:rPr>
          <w:lang w:val="en-US"/>
        </w:rPr>
        <w:t>3.1</w:t>
      </w:r>
      <w:r w:rsidRPr="00A9008E">
        <w:rPr>
          <w:lang w:val="en-US"/>
        </w:rPr>
        <w:tab/>
      </w:r>
      <w:r w:rsidR="00361E8A">
        <w:rPr>
          <w:lang w:val="en-US"/>
        </w:rPr>
        <w:t>The authors</w:t>
      </w:r>
      <w:r w:rsidRPr="00A9008E">
        <w:rPr>
          <w:lang w:val="en-US"/>
        </w:rPr>
        <w:t xml:space="preserve"> claim to be victims of violations by Belarus of their rights under </w:t>
      </w:r>
      <w:r w:rsidR="00B32B36">
        <w:rPr>
          <w:lang w:val="en-US"/>
        </w:rPr>
        <w:t>article</w:t>
      </w:r>
      <w:r w:rsidR="00F34AB1">
        <w:rPr>
          <w:lang w:val="en-US"/>
        </w:rPr>
        <w:t>s</w:t>
      </w:r>
      <w:r w:rsidR="00B32B36">
        <w:rPr>
          <w:lang w:val="en-US"/>
        </w:rPr>
        <w:t> </w:t>
      </w:r>
      <w:r w:rsidRPr="00A9008E">
        <w:rPr>
          <w:lang w:val="en-US"/>
        </w:rPr>
        <w:t xml:space="preserve">14, </w:t>
      </w:r>
      <w:r w:rsidR="00B32B36">
        <w:rPr>
          <w:lang w:val="en-US"/>
        </w:rPr>
        <w:t>paragraph </w:t>
      </w:r>
      <w:r w:rsidRPr="00A9008E">
        <w:rPr>
          <w:lang w:val="en-US"/>
        </w:rPr>
        <w:t xml:space="preserve">1; 19, </w:t>
      </w:r>
      <w:r w:rsidR="00B32B36">
        <w:rPr>
          <w:lang w:val="en-US"/>
        </w:rPr>
        <w:t>paragraph </w:t>
      </w:r>
      <w:r w:rsidRPr="00A9008E">
        <w:rPr>
          <w:lang w:val="en-US"/>
        </w:rPr>
        <w:t>2</w:t>
      </w:r>
      <w:r w:rsidR="00F34AB1">
        <w:rPr>
          <w:lang w:val="en-US"/>
        </w:rPr>
        <w:t>;</w:t>
      </w:r>
      <w:r w:rsidR="00B32B36">
        <w:rPr>
          <w:lang w:val="en-US"/>
        </w:rPr>
        <w:t> </w:t>
      </w:r>
      <w:r w:rsidRPr="00A9008E">
        <w:rPr>
          <w:lang w:val="en-US"/>
        </w:rPr>
        <w:t xml:space="preserve">21 and </w:t>
      </w:r>
      <w:r w:rsidR="00B32B36">
        <w:rPr>
          <w:lang w:val="en-US"/>
        </w:rPr>
        <w:t> </w:t>
      </w:r>
      <w:r w:rsidRPr="00A9008E">
        <w:rPr>
          <w:lang w:val="en-US"/>
        </w:rPr>
        <w:t xml:space="preserve">26 of the </w:t>
      </w:r>
      <w:r w:rsidR="00F34AB1">
        <w:rPr>
          <w:lang w:val="en-US"/>
        </w:rPr>
        <w:t xml:space="preserve">International </w:t>
      </w:r>
      <w:r w:rsidRPr="00A9008E">
        <w:rPr>
          <w:lang w:val="en-US"/>
        </w:rPr>
        <w:t>Covenant</w:t>
      </w:r>
      <w:r w:rsidR="00F34AB1">
        <w:rPr>
          <w:lang w:val="en-US"/>
        </w:rPr>
        <w:t xml:space="preserve"> on Civil and Political Rights</w:t>
      </w:r>
      <w:r w:rsidRPr="00A9008E">
        <w:rPr>
          <w:lang w:val="en-US"/>
        </w:rPr>
        <w:t>.</w:t>
      </w:r>
    </w:p>
    <w:p w:rsidR="00A9008E" w:rsidRPr="00A9008E" w:rsidRDefault="00A9008E" w:rsidP="003E6FAB">
      <w:pPr>
        <w:pStyle w:val="SingleTxtG"/>
        <w:rPr>
          <w:lang w:val="en-US"/>
        </w:rPr>
      </w:pPr>
      <w:r w:rsidRPr="00A9008E">
        <w:rPr>
          <w:lang w:val="en-US"/>
        </w:rPr>
        <w:t>3.</w:t>
      </w:r>
      <w:r w:rsidR="00361E8A">
        <w:rPr>
          <w:lang w:val="en-US"/>
        </w:rPr>
        <w:t>2</w:t>
      </w:r>
      <w:r w:rsidRPr="00A9008E">
        <w:rPr>
          <w:lang w:val="en-US"/>
        </w:rPr>
        <w:tab/>
        <w:t xml:space="preserve">The authors claim that their freedom of expression has been restricted arbitrarily, since neither the decision of </w:t>
      </w:r>
      <w:r w:rsidR="009029CE">
        <w:rPr>
          <w:lang w:val="en-US"/>
        </w:rPr>
        <w:t xml:space="preserve">the </w:t>
      </w:r>
      <w:r w:rsidRPr="00A9008E">
        <w:rPr>
          <w:lang w:val="en-US"/>
        </w:rPr>
        <w:t xml:space="preserve">Deputy Chair of the Brest City Executive Committee, nor the court decisions provided any justification as to the reasons for the </w:t>
      </w:r>
      <w:r w:rsidR="003E6FAB">
        <w:rPr>
          <w:lang w:val="en-US"/>
        </w:rPr>
        <w:t>denial of their request</w:t>
      </w:r>
      <w:r w:rsidRPr="00A9008E">
        <w:rPr>
          <w:lang w:val="en-US"/>
        </w:rPr>
        <w:t xml:space="preserve"> other than the formal application of </w:t>
      </w:r>
      <w:r w:rsidR="003E6FAB" w:rsidRPr="00A9008E">
        <w:rPr>
          <w:lang w:val="en-US"/>
        </w:rPr>
        <w:t>Brest City Executive Committee</w:t>
      </w:r>
      <w:r w:rsidR="003E6FAB">
        <w:rPr>
          <w:lang w:val="en-US"/>
        </w:rPr>
        <w:t xml:space="preserve"> </w:t>
      </w:r>
      <w:r w:rsidRPr="00A9008E">
        <w:rPr>
          <w:lang w:val="en-US"/>
        </w:rPr>
        <w:t>decision No.</w:t>
      </w:r>
      <w:r w:rsidR="00B32B36">
        <w:rPr>
          <w:lang w:val="en-US"/>
        </w:rPr>
        <w:t> </w:t>
      </w:r>
      <w:r w:rsidRPr="00A9008E">
        <w:rPr>
          <w:lang w:val="en-US"/>
        </w:rPr>
        <w:t>1715. The authors claim that the restriction in question was neither justified by reasons of national security</w:t>
      </w:r>
      <w:r w:rsidR="003E6FAB">
        <w:rPr>
          <w:lang w:val="en-US"/>
        </w:rPr>
        <w:t>,</w:t>
      </w:r>
      <w:r w:rsidRPr="00A9008E">
        <w:rPr>
          <w:lang w:val="en-US"/>
        </w:rPr>
        <w:t xml:space="preserve"> public safety, public order</w:t>
      </w:r>
      <w:r w:rsidR="003E6FAB">
        <w:rPr>
          <w:lang w:val="en-US"/>
        </w:rPr>
        <w:t xml:space="preserve"> or</w:t>
      </w:r>
      <w:r w:rsidRPr="00A9008E">
        <w:rPr>
          <w:lang w:val="en-US"/>
        </w:rPr>
        <w:t xml:space="preserve"> protection of public health or morals, </w:t>
      </w:r>
      <w:r w:rsidR="003E6FAB">
        <w:rPr>
          <w:lang w:val="en-US"/>
        </w:rPr>
        <w:t xml:space="preserve">nor </w:t>
      </w:r>
      <w:r w:rsidRPr="00A9008E">
        <w:rPr>
          <w:lang w:val="en-US"/>
        </w:rPr>
        <w:t>was</w:t>
      </w:r>
      <w:r w:rsidR="003E6FAB">
        <w:rPr>
          <w:lang w:val="en-US"/>
        </w:rPr>
        <w:t xml:space="preserve"> it</w:t>
      </w:r>
      <w:r w:rsidRPr="00A9008E">
        <w:rPr>
          <w:lang w:val="en-US"/>
        </w:rPr>
        <w:t xml:space="preserve"> necessary for the </w:t>
      </w:r>
      <w:r w:rsidRPr="009D05F4">
        <w:t>protection</w:t>
      </w:r>
      <w:r w:rsidRPr="00A9008E">
        <w:rPr>
          <w:lang w:val="en-US"/>
        </w:rPr>
        <w:t xml:space="preserve"> of the rights and freedoms of others</w:t>
      </w:r>
      <w:r w:rsidR="003E6FAB">
        <w:rPr>
          <w:lang w:val="en-US"/>
        </w:rPr>
        <w:t>,</w:t>
      </w:r>
      <w:r w:rsidRPr="00A9008E">
        <w:rPr>
          <w:lang w:val="en-US"/>
        </w:rPr>
        <w:t xml:space="preserve"> and therefore</w:t>
      </w:r>
      <w:r w:rsidR="002A5C82">
        <w:rPr>
          <w:lang w:val="en-US"/>
        </w:rPr>
        <w:t xml:space="preserve"> </w:t>
      </w:r>
      <w:r w:rsidR="003E6FAB">
        <w:rPr>
          <w:lang w:val="en-US"/>
        </w:rPr>
        <w:t>the</w:t>
      </w:r>
      <w:r w:rsidR="002A5C82">
        <w:rPr>
          <w:lang w:val="en-US"/>
        </w:rPr>
        <w:t xml:space="preserve"> imposition</w:t>
      </w:r>
      <w:r w:rsidR="003E6FAB">
        <w:rPr>
          <w:lang w:val="en-US"/>
        </w:rPr>
        <w:t xml:space="preserve"> of the restriction</w:t>
      </w:r>
      <w:r w:rsidR="002A5C82">
        <w:rPr>
          <w:lang w:val="en-US"/>
        </w:rPr>
        <w:t xml:space="preserve"> </w:t>
      </w:r>
      <w:r w:rsidRPr="00A9008E">
        <w:rPr>
          <w:lang w:val="en-US"/>
        </w:rPr>
        <w:t>breache</w:t>
      </w:r>
      <w:r w:rsidR="003E6FAB">
        <w:rPr>
          <w:lang w:val="en-US"/>
        </w:rPr>
        <w:t>s</w:t>
      </w:r>
      <w:r w:rsidRPr="00A9008E">
        <w:rPr>
          <w:lang w:val="en-US"/>
        </w:rPr>
        <w:t xml:space="preserve"> </w:t>
      </w:r>
      <w:r w:rsidR="00B32B36">
        <w:rPr>
          <w:lang w:val="en-US"/>
        </w:rPr>
        <w:t>article </w:t>
      </w:r>
      <w:r w:rsidRPr="00A9008E">
        <w:rPr>
          <w:lang w:val="en-US"/>
        </w:rPr>
        <w:t>19 of the Covenant. They allege that restricting all 300</w:t>
      </w:r>
      <w:r w:rsidR="00662F6E">
        <w:rPr>
          <w:lang w:val="en-US"/>
        </w:rPr>
        <w:t> </w:t>
      </w:r>
      <w:r w:rsidRPr="00A9008E">
        <w:rPr>
          <w:lang w:val="en-US"/>
        </w:rPr>
        <w:t>000 citizens of Brest to conducting public gatherings in one single location, which</w:t>
      </w:r>
      <w:r w:rsidR="003E6FAB">
        <w:rPr>
          <w:lang w:val="en-US"/>
        </w:rPr>
        <w:t>,</w:t>
      </w:r>
      <w:r w:rsidRPr="00A9008E">
        <w:rPr>
          <w:lang w:val="en-US"/>
        </w:rPr>
        <w:t xml:space="preserve"> in addition</w:t>
      </w:r>
      <w:r w:rsidR="003E6FAB">
        <w:rPr>
          <w:lang w:val="en-US"/>
        </w:rPr>
        <w:t>,</w:t>
      </w:r>
      <w:r w:rsidRPr="00A9008E">
        <w:rPr>
          <w:lang w:val="en-US"/>
        </w:rPr>
        <w:t xml:space="preserve"> is a stadium outside of the </w:t>
      </w:r>
      <w:r w:rsidR="003E6FAB">
        <w:rPr>
          <w:lang w:val="en-US"/>
        </w:rPr>
        <w:t>city</w:t>
      </w:r>
      <w:r w:rsidRPr="00A9008E">
        <w:rPr>
          <w:lang w:val="en-US"/>
        </w:rPr>
        <w:t xml:space="preserve"> and </w:t>
      </w:r>
      <w:r w:rsidR="003E6FAB">
        <w:rPr>
          <w:lang w:val="en-US"/>
        </w:rPr>
        <w:t xml:space="preserve">which is </w:t>
      </w:r>
      <w:r w:rsidRPr="00A9008E">
        <w:rPr>
          <w:lang w:val="en-US"/>
        </w:rPr>
        <w:t xml:space="preserve">surrounded by a concrete wall, moves all campaigns outside </w:t>
      </w:r>
      <w:r w:rsidR="003E6FAB">
        <w:rPr>
          <w:lang w:val="en-US"/>
        </w:rPr>
        <w:t xml:space="preserve">of </w:t>
      </w:r>
      <w:r w:rsidRPr="00A9008E">
        <w:rPr>
          <w:lang w:val="en-US"/>
        </w:rPr>
        <w:t xml:space="preserve">the </w:t>
      </w:r>
      <w:r w:rsidR="003E6FAB">
        <w:rPr>
          <w:lang w:val="en-US"/>
        </w:rPr>
        <w:t xml:space="preserve">general </w:t>
      </w:r>
      <w:r w:rsidRPr="00A9008E">
        <w:rPr>
          <w:lang w:val="en-US"/>
        </w:rPr>
        <w:t>public space and</w:t>
      </w:r>
      <w:r w:rsidR="003E6FAB">
        <w:rPr>
          <w:lang w:val="en-US"/>
        </w:rPr>
        <w:t>,</w:t>
      </w:r>
      <w:r w:rsidRPr="00A9008E">
        <w:rPr>
          <w:lang w:val="en-US"/>
        </w:rPr>
        <w:t xml:space="preserve"> in practice</w:t>
      </w:r>
      <w:r w:rsidR="003E6FAB">
        <w:rPr>
          <w:lang w:val="en-US"/>
        </w:rPr>
        <w:t>,</w:t>
      </w:r>
      <w:r w:rsidRPr="00A9008E">
        <w:rPr>
          <w:lang w:val="en-US"/>
        </w:rPr>
        <w:t xml:space="preserve"> precludes the realization </w:t>
      </w:r>
      <w:r w:rsidR="003B2E07">
        <w:rPr>
          <w:lang w:val="en-US"/>
        </w:rPr>
        <w:t xml:space="preserve">of </w:t>
      </w:r>
      <w:r w:rsidRPr="00A9008E">
        <w:rPr>
          <w:lang w:val="en-US"/>
        </w:rPr>
        <w:t xml:space="preserve">all </w:t>
      </w:r>
      <w:r w:rsidR="003E6FAB">
        <w:rPr>
          <w:lang w:val="en-US"/>
        </w:rPr>
        <w:t xml:space="preserve">public </w:t>
      </w:r>
      <w:r w:rsidRPr="00A9008E">
        <w:rPr>
          <w:lang w:val="en-US"/>
        </w:rPr>
        <w:t>campaigns, thus infringing</w:t>
      </w:r>
      <w:r w:rsidR="00C33A42">
        <w:rPr>
          <w:lang w:val="en-US"/>
        </w:rPr>
        <w:t xml:space="preserve"> </w:t>
      </w:r>
      <w:r w:rsidR="003E6FAB">
        <w:rPr>
          <w:lang w:val="en-US"/>
        </w:rPr>
        <w:t xml:space="preserve">on the </w:t>
      </w:r>
      <w:r w:rsidRPr="00A9008E">
        <w:rPr>
          <w:lang w:val="en-US"/>
        </w:rPr>
        <w:t>freedom of expression.</w:t>
      </w:r>
    </w:p>
    <w:p w:rsidR="00A9008E" w:rsidRPr="00A9008E" w:rsidRDefault="00361E8A" w:rsidP="008D137B">
      <w:pPr>
        <w:pStyle w:val="SingleTxtG"/>
        <w:rPr>
          <w:lang w:val="en-US"/>
        </w:rPr>
      </w:pPr>
      <w:r>
        <w:rPr>
          <w:lang w:val="en-US"/>
        </w:rPr>
        <w:t>3.3</w:t>
      </w:r>
      <w:r w:rsidR="00A9008E" w:rsidRPr="00A9008E">
        <w:rPr>
          <w:lang w:val="en-US"/>
        </w:rPr>
        <w:tab/>
        <w:t>The authors also claim that the refusal to allow them to conduct their pi</w:t>
      </w:r>
      <w:r w:rsidR="000630DF">
        <w:rPr>
          <w:lang w:val="en-US"/>
        </w:rPr>
        <w:t>ck</w:t>
      </w:r>
      <w:r w:rsidR="00A9008E" w:rsidRPr="00A9008E">
        <w:rPr>
          <w:lang w:val="en-US"/>
        </w:rPr>
        <w:t xml:space="preserve">et </w:t>
      </w:r>
      <w:r w:rsidR="000442BC">
        <w:rPr>
          <w:lang w:val="en-US"/>
        </w:rPr>
        <w:t xml:space="preserve">in a location other that </w:t>
      </w:r>
      <w:r w:rsidR="00A9008E" w:rsidRPr="00A9008E">
        <w:rPr>
          <w:lang w:val="en-US"/>
        </w:rPr>
        <w:t xml:space="preserve">the one specified in </w:t>
      </w:r>
      <w:r w:rsidR="000442BC" w:rsidRPr="000442BC">
        <w:rPr>
          <w:lang w:val="en-US"/>
        </w:rPr>
        <w:t xml:space="preserve">Brest City Executive Committee </w:t>
      </w:r>
      <w:r w:rsidR="00A9008E" w:rsidRPr="00A9008E">
        <w:rPr>
          <w:lang w:val="en-US"/>
        </w:rPr>
        <w:t>decision No.</w:t>
      </w:r>
      <w:r w:rsidR="00B32B36">
        <w:rPr>
          <w:lang w:val="en-US"/>
        </w:rPr>
        <w:t> </w:t>
      </w:r>
      <w:r w:rsidR="00A9008E" w:rsidRPr="00A9008E">
        <w:rPr>
          <w:lang w:val="en-US"/>
        </w:rPr>
        <w:t xml:space="preserve">1715 amounted to discrimination </w:t>
      </w:r>
      <w:r w:rsidR="005509CD">
        <w:rPr>
          <w:lang w:val="en-US"/>
        </w:rPr>
        <w:t xml:space="preserve">under </w:t>
      </w:r>
      <w:r w:rsidR="00B32B36">
        <w:rPr>
          <w:lang w:val="en-US"/>
        </w:rPr>
        <w:t>article </w:t>
      </w:r>
      <w:r w:rsidR="005509CD" w:rsidRPr="00A9008E">
        <w:rPr>
          <w:lang w:val="en-US"/>
        </w:rPr>
        <w:t xml:space="preserve">26 of the Covenant </w:t>
      </w:r>
      <w:r w:rsidR="00A9008E" w:rsidRPr="00A9008E">
        <w:rPr>
          <w:lang w:val="en-US"/>
        </w:rPr>
        <w:t>on the ground of their opinion, since the Brest City Executive Committee had</w:t>
      </w:r>
      <w:r w:rsidR="008D137B">
        <w:rPr>
          <w:lang w:val="en-US"/>
        </w:rPr>
        <w:t>,</w:t>
      </w:r>
      <w:r w:rsidR="00A9008E" w:rsidRPr="00A9008E">
        <w:rPr>
          <w:lang w:val="en-US"/>
        </w:rPr>
        <w:t xml:space="preserve"> on numerous occasions</w:t>
      </w:r>
      <w:r w:rsidR="008D137B">
        <w:rPr>
          <w:lang w:val="en-US"/>
        </w:rPr>
        <w:t>,</w:t>
      </w:r>
      <w:r w:rsidR="00A9008E" w:rsidRPr="00A9008E">
        <w:rPr>
          <w:lang w:val="en-US"/>
        </w:rPr>
        <w:t xml:space="preserve"> allowed other pe</w:t>
      </w:r>
      <w:r w:rsidR="008D137B">
        <w:rPr>
          <w:lang w:val="en-US"/>
        </w:rPr>
        <w:t>ople</w:t>
      </w:r>
      <w:r w:rsidR="00A9008E" w:rsidRPr="00A9008E">
        <w:rPr>
          <w:lang w:val="en-US"/>
        </w:rPr>
        <w:t xml:space="preserve"> to conduct campaigns outside the </w:t>
      </w:r>
      <w:r w:rsidR="005509CD">
        <w:rPr>
          <w:lang w:val="en-US"/>
        </w:rPr>
        <w:t>officially designated location</w:t>
      </w:r>
      <w:r w:rsidR="00A9008E" w:rsidRPr="00A9008E">
        <w:rPr>
          <w:lang w:val="en-US"/>
        </w:rPr>
        <w:t xml:space="preserve">. They provide information </w:t>
      </w:r>
      <w:r w:rsidR="008D137B">
        <w:rPr>
          <w:lang w:val="en-US"/>
        </w:rPr>
        <w:t>on</w:t>
      </w:r>
      <w:r w:rsidR="00A9008E" w:rsidRPr="00A9008E">
        <w:rPr>
          <w:lang w:val="en-US"/>
        </w:rPr>
        <w:t xml:space="preserve"> six different </w:t>
      </w:r>
      <w:r w:rsidR="008D137B">
        <w:rPr>
          <w:lang w:val="en-US"/>
        </w:rPr>
        <w:t xml:space="preserve">public </w:t>
      </w:r>
      <w:r w:rsidR="00A9008E" w:rsidRPr="00A9008E">
        <w:rPr>
          <w:lang w:val="en-US"/>
        </w:rPr>
        <w:t xml:space="preserve">events that were </w:t>
      </w:r>
      <w:r w:rsidR="008D137B">
        <w:rPr>
          <w:lang w:val="en-US"/>
        </w:rPr>
        <w:t>held</w:t>
      </w:r>
      <w:r w:rsidR="00A9008E" w:rsidRPr="00A9008E">
        <w:rPr>
          <w:lang w:val="en-US"/>
        </w:rPr>
        <w:t xml:space="preserve"> </w:t>
      </w:r>
      <w:r w:rsidR="008D137B">
        <w:rPr>
          <w:lang w:val="en-US"/>
        </w:rPr>
        <w:t>in locations other than</w:t>
      </w:r>
      <w:r w:rsidR="00A9008E" w:rsidRPr="00A9008E">
        <w:rPr>
          <w:lang w:val="en-US"/>
        </w:rPr>
        <w:t xml:space="preserve"> the designated location</w:t>
      </w:r>
      <w:r w:rsidR="008D137B">
        <w:rPr>
          <w:lang w:val="en-US"/>
        </w:rPr>
        <w:t>,</w:t>
      </w:r>
      <w:r w:rsidR="00A9008E" w:rsidRPr="00A9008E">
        <w:rPr>
          <w:lang w:val="en-US"/>
        </w:rPr>
        <w:t xml:space="preserve"> with the authorization of the Brest City Executive Committee. </w:t>
      </w:r>
    </w:p>
    <w:p w:rsidR="00A9008E" w:rsidRPr="00A9008E" w:rsidRDefault="00A9008E" w:rsidP="00D37FC3">
      <w:pPr>
        <w:pStyle w:val="SingleTxtG"/>
        <w:rPr>
          <w:lang w:val="en-US"/>
        </w:rPr>
      </w:pPr>
      <w:r w:rsidRPr="00A9008E">
        <w:rPr>
          <w:lang w:val="en-US"/>
        </w:rPr>
        <w:t>3.</w:t>
      </w:r>
      <w:r w:rsidR="00361E8A">
        <w:rPr>
          <w:lang w:val="en-US"/>
        </w:rPr>
        <w:t>4</w:t>
      </w:r>
      <w:r w:rsidRPr="00A9008E">
        <w:rPr>
          <w:lang w:val="en-US"/>
        </w:rPr>
        <w:tab/>
        <w:t xml:space="preserve">The authors </w:t>
      </w:r>
      <w:r w:rsidR="008D137B">
        <w:rPr>
          <w:lang w:val="en-US"/>
        </w:rPr>
        <w:t xml:space="preserve">also </w:t>
      </w:r>
      <w:r w:rsidRPr="00A9008E">
        <w:rPr>
          <w:lang w:val="en-US"/>
        </w:rPr>
        <w:t xml:space="preserve">claim that their right to </w:t>
      </w:r>
      <w:r w:rsidR="008D137B">
        <w:rPr>
          <w:lang w:val="en-US"/>
        </w:rPr>
        <w:t xml:space="preserve">a </w:t>
      </w:r>
      <w:r w:rsidRPr="00A9008E">
        <w:rPr>
          <w:lang w:val="en-US"/>
        </w:rPr>
        <w:t>fair tri</w:t>
      </w:r>
      <w:r w:rsidR="00492FCD">
        <w:rPr>
          <w:lang w:val="en-US"/>
        </w:rPr>
        <w:t>a</w:t>
      </w:r>
      <w:r w:rsidRPr="00A9008E">
        <w:rPr>
          <w:lang w:val="en-US"/>
        </w:rPr>
        <w:t>l was violated</w:t>
      </w:r>
      <w:r w:rsidR="00D37FC3">
        <w:rPr>
          <w:lang w:val="en-US"/>
        </w:rPr>
        <w:t xml:space="preserve"> because</w:t>
      </w:r>
      <w:r w:rsidRPr="00A9008E">
        <w:rPr>
          <w:lang w:val="en-US"/>
        </w:rPr>
        <w:t xml:space="preserve"> the courts refused to summon key witnesses</w:t>
      </w:r>
      <w:r w:rsidR="00D37FC3">
        <w:rPr>
          <w:lang w:val="en-US"/>
        </w:rPr>
        <w:t>,</w:t>
      </w:r>
      <w:r w:rsidRPr="00A9008E">
        <w:rPr>
          <w:lang w:val="en-US"/>
        </w:rPr>
        <w:t xml:space="preserve"> that the authors wanted to question</w:t>
      </w:r>
      <w:r w:rsidR="00D37FC3">
        <w:rPr>
          <w:lang w:val="en-US"/>
        </w:rPr>
        <w:t>;</w:t>
      </w:r>
      <w:r w:rsidRPr="00A9008E">
        <w:rPr>
          <w:lang w:val="en-US"/>
        </w:rPr>
        <w:t xml:space="preserve"> </w:t>
      </w:r>
      <w:r w:rsidR="00D37FC3">
        <w:rPr>
          <w:lang w:val="en-US"/>
        </w:rPr>
        <w:t xml:space="preserve">refused </w:t>
      </w:r>
      <w:r w:rsidRPr="00A9008E">
        <w:rPr>
          <w:lang w:val="en-US"/>
        </w:rPr>
        <w:t>to request additional materials from the Brest City Executive Committee</w:t>
      </w:r>
      <w:r w:rsidR="00D37FC3">
        <w:rPr>
          <w:lang w:val="en-US"/>
        </w:rPr>
        <w:t>;</w:t>
      </w:r>
      <w:r w:rsidRPr="00A9008E">
        <w:rPr>
          <w:lang w:val="en-US"/>
        </w:rPr>
        <w:t xml:space="preserve"> and </w:t>
      </w:r>
      <w:r w:rsidR="00D37FC3">
        <w:rPr>
          <w:lang w:val="en-US"/>
        </w:rPr>
        <w:t xml:space="preserve">refused </w:t>
      </w:r>
      <w:r w:rsidR="00322F8A">
        <w:rPr>
          <w:lang w:val="en-US"/>
        </w:rPr>
        <w:t xml:space="preserve">to </w:t>
      </w:r>
      <w:r w:rsidRPr="00A9008E">
        <w:rPr>
          <w:lang w:val="en-US"/>
        </w:rPr>
        <w:t>make an in-situ examination of the Lo</w:t>
      </w:r>
      <w:r w:rsidR="00525C8F">
        <w:rPr>
          <w:lang w:val="en-US"/>
        </w:rPr>
        <w:t>k</w:t>
      </w:r>
      <w:r w:rsidRPr="00A9008E">
        <w:rPr>
          <w:lang w:val="en-US"/>
        </w:rPr>
        <w:t>omotiv</w:t>
      </w:r>
      <w:r w:rsidR="00D37FC3">
        <w:rPr>
          <w:lang w:val="en-US"/>
        </w:rPr>
        <w:t xml:space="preserve"> sports complex</w:t>
      </w:r>
      <w:r w:rsidRPr="00A9008E">
        <w:rPr>
          <w:lang w:val="en-US"/>
        </w:rPr>
        <w:t>. The</w:t>
      </w:r>
      <w:r w:rsidR="00D37FC3">
        <w:rPr>
          <w:lang w:val="en-US"/>
        </w:rPr>
        <w:t xml:space="preserve"> authors</w:t>
      </w:r>
      <w:r w:rsidRPr="00A9008E">
        <w:rPr>
          <w:lang w:val="en-US"/>
        </w:rPr>
        <w:t xml:space="preserve"> also maintain that the courts were not impartial in examining their case</w:t>
      </w:r>
      <w:r w:rsidR="00D37FC3">
        <w:rPr>
          <w:lang w:val="en-US"/>
        </w:rPr>
        <w:t>,</w:t>
      </w:r>
      <w:r w:rsidRPr="00A9008E">
        <w:rPr>
          <w:lang w:val="en-US"/>
        </w:rPr>
        <w:t xml:space="preserve"> </w:t>
      </w:r>
      <w:r w:rsidR="00D37FC3">
        <w:rPr>
          <w:lang w:val="en-US"/>
        </w:rPr>
        <w:t xml:space="preserve">which </w:t>
      </w:r>
      <w:r w:rsidRPr="00A9008E">
        <w:rPr>
          <w:lang w:val="en-US"/>
        </w:rPr>
        <w:t>violat</w:t>
      </w:r>
      <w:r w:rsidR="00D37FC3">
        <w:rPr>
          <w:lang w:val="en-US"/>
        </w:rPr>
        <w:t>es</w:t>
      </w:r>
      <w:r w:rsidRPr="00A9008E">
        <w:rPr>
          <w:lang w:val="en-US"/>
        </w:rPr>
        <w:t xml:space="preserve"> </w:t>
      </w:r>
      <w:r w:rsidR="00B32B36">
        <w:rPr>
          <w:lang w:val="en-US"/>
        </w:rPr>
        <w:t>article </w:t>
      </w:r>
      <w:r w:rsidRPr="00A9008E">
        <w:rPr>
          <w:lang w:val="en-US"/>
        </w:rPr>
        <w:t xml:space="preserve">14, </w:t>
      </w:r>
      <w:r w:rsidR="00B32B36">
        <w:rPr>
          <w:lang w:val="en-US"/>
        </w:rPr>
        <w:t>paragraph </w:t>
      </w:r>
      <w:r w:rsidRPr="00A9008E">
        <w:rPr>
          <w:lang w:val="en-US"/>
        </w:rPr>
        <w:t>1</w:t>
      </w:r>
      <w:r w:rsidR="00D37FC3">
        <w:rPr>
          <w:lang w:val="en-US"/>
        </w:rPr>
        <w:t>,</w:t>
      </w:r>
      <w:r w:rsidRPr="00A9008E">
        <w:rPr>
          <w:lang w:val="en-US"/>
        </w:rPr>
        <w:t xml:space="preserve"> of the Covenant. </w:t>
      </w:r>
    </w:p>
    <w:p w:rsidR="00A9008E" w:rsidRPr="00A9008E" w:rsidRDefault="00A9008E" w:rsidP="00D37FC3">
      <w:pPr>
        <w:pStyle w:val="SingleTxtG"/>
        <w:rPr>
          <w:lang w:val="en-US"/>
        </w:rPr>
      </w:pPr>
      <w:r w:rsidRPr="00A9008E">
        <w:rPr>
          <w:lang w:val="en-US"/>
        </w:rPr>
        <w:t>3.</w:t>
      </w:r>
      <w:r w:rsidR="00361E8A">
        <w:rPr>
          <w:lang w:val="en-US"/>
        </w:rPr>
        <w:t>5</w:t>
      </w:r>
      <w:r w:rsidRPr="00A9008E">
        <w:rPr>
          <w:lang w:val="en-US"/>
        </w:rPr>
        <w:tab/>
        <w:t xml:space="preserve">The authors claim that their right to peaceful assembly was restricted in violation of </w:t>
      </w:r>
      <w:r w:rsidR="00B32B36">
        <w:rPr>
          <w:lang w:val="en-US"/>
        </w:rPr>
        <w:t>article </w:t>
      </w:r>
      <w:r w:rsidRPr="00A9008E">
        <w:rPr>
          <w:lang w:val="en-US"/>
        </w:rPr>
        <w:t>21 of the Covenant, as the imposed restriction contradicted the Constitution</w:t>
      </w:r>
      <w:r w:rsidR="00D37FC3">
        <w:rPr>
          <w:lang w:val="en-US"/>
        </w:rPr>
        <w:t xml:space="preserve"> of Belarus</w:t>
      </w:r>
      <w:r w:rsidRPr="00A9008E">
        <w:rPr>
          <w:lang w:val="en-US"/>
        </w:rPr>
        <w:t xml:space="preserve"> and was not necessary in a democratic society. </w:t>
      </w:r>
    </w:p>
    <w:p w:rsidR="001C3120" w:rsidRDefault="007B3302" w:rsidP="00E6440F">
      <w:pPr>
        <w:pStyle w:val="H23G"/>
      </w:pPr>
      <w:r>
        <w:tab/>
      </w:r>
      <w:r>
        <w:tab/>
      </w:r>
      <w:r w:rsidR="001C3120">
        <w:t xml:space="preserve">State </w:t>
      </w:r>
      <w:r w:rsidR="00B32B36">
        <w:t xml:space="preserve">party’s </w:t>
      </w:r>
      <w:r w:rsidR="00E6440F">
        <w:t>failure to cooperate</w:t>
      </w:r>
    </w:p>
    <w:p w:rsidR="00DC465A" w:rsidRPr="00FD1D08" w:rsidRDefault="001C3120" w:rsidP="001C3120">
      <w:pPr>
        <w:pStyle w:val="SingleTxtG"/>
      </w:pPr>
      <w:r>
        <w:t>4.</w:t>
      </w:r>
      <w:r>
        <w:tab/>
      </w:r>
      <w:r w:rsidR="009C3FF1" w:rsidRPr="009C3FF1">
        <w:t xml:space="preserve">In a note verbale dated 25 January 2012, the State party submitted that upon becoming a party to the Optional Protocol, it had agreed, under </w:t>
      </w:r>
      <w:r w:rsidR="00B32B36">
        <w:t>article </w:t>
      </w:r>
      <w:r w:rsidR="009C3FF1" w:rsidRPr="009C3FF1">
        <w:t>1 thereof</w:t>
      </w:r>
      <w:r w:rsidR="00D37FC3">
        <w:t>,</w:t>
      </w:r>
      <w:r w:rsidR="009C3FF1" w:rsidRPr="009C3FF1">
        <w:t xml:space="preserve"> to recognize the competence of the Committee to receive and consider communications from individuals subject to its jurisdiction who claim to be victims of a violation by the State party of any rights protected by the Covenant. It notes, however, that that recognition was undertaken in conjunction with other provisions of the Optional Protocol, including those establishing criteria regarding petitioners and the admissibility of their communications, in particular </w:t>
      </w:r>
      <w:r w:rsidR="00B32B36">
        <w:t>articles </w:t>
      </w:r>
      <w:r w:rsidR="009C3FF1" w:rsidRPr="009C3FF1">
        <w:t xml:space="preserve">2 and 5. The State party maintains that, under the Optional Protocol, States parties have no obligation to recognize the Committee’s rules of procedure nor its interpretation of the provisions of the Optional Protocol, which could only be effective when done in accordance with the Vienna Convention on the Law of Treaties. It submits that, in relation to the complaint procedure, States parties should be guided first and </w:t>
      </w:r>
      <w:r w:rsidR="009C3FF1" w:rsidRPr="009C3FF1">
        <w:lastRenderedPageBreak/>
        <w:t>foremost by the provisions of the Optional Protocol, and that references to the Committee’s long-standing practice, methods of work and case law are not subjects of the Optional Protocol. It also submits that any communication registered in violation of the provisions of the Optional Protocol will be viewed by the State party as incompatible with the Optional Protocol and will be rejected without comments on the admissibility or merits, and any decision taken by the Committee on such rejected communications will be considered by its authorities as “invalid”. The State party considers that the present communication</w:t>
      </w:r>
      <w:r w:rsidR="00875F71">
        <w:t>,</w:t>
      </w:r>
      <w:r w:rsidR="009C3FF1" w:rsidRPr="009C3FF1">
        <w:t xml:space="preserve"> as well as several other communications before the Committee</w:t>
      </w:r>
      <w:r w:rsidR="00875F71">
        <w:t>,</w:t>
      </w:r>
      <w:r w:rsidR="009C3FF1" w:rsidRPr="009C3FF1">
        <w:t xml:space="preserve"> were registered in viol</w:t>
      </w:r>
      <w:r w:rsidR="00FD1D08">
        <w:t>ation of the Optional Protocol.</w:t>
      </w:r>
    </w:p>
    <w:p w:rsidR="00F35149" w:rsidRPr="006C6C87" w:rsidRDefault="003134AC" w:rsidP="00F35149">
      <w:pPr>
        <w:pStyle w:val="H23G"/>
      </w:pPr>
      <w:r w:rsidRPr="007B3302">
        <w:tab/>
      </w:r>
      <w:r w:rsidRPr="007B3302">
        <w:tab/>
      </w:r>
      <w:r w:rsidR="00F35149" w:rsidRPr="006C6C87">
        <w:t>Issues and proceedings before the Committee</w:t>
      </w:r>
    </w:p>
    <w:p w:rsidR="00C93256" w:rsidRPr="00C93256" w:rsidRDefault="00F35149" w:rsidP="00913C0F">
      <w:pPr>
        <w:pStyle w:val="H4G"/>
      </w:pPr>
      <w:r w:rsidRPr="006C6C87">
        <w:tab/>
      </w:r>
      <w:r w:rsidRPr="006C6C87">
        <w:tab/>
      </w:r>
      <w:r w:rsidR="00C93256" w:rsidRPr="00C93256">
        <w:t xml:space="preserve">The State </w:t>
      </w:r>
      <w:r w:rsidR="00B32B36" w:rsidRPr="00C93256">
        <w:t>party</w:t>
      </w:r>
      <w:r w:rsidR="00B32B36">
        <w:t>’</w:t>
      </w:r>
      <w:r w:rsidR="00B32B36" w:rsidRPr="00C93256">
        <w:t xml:space="preserve">s </w:t>
      </w:r>
      <w:r w:rsidR="00C93256" w:rsidRPr="00C93256">
        <w:t>lack of cooperation</w:t>
      </w:r>
    </w:p>
    <w:p w:rsidR="00C93256" w:rsidRPr="00C93256" w:rsidRDefault="0084033C" w:rsidP="00C93256">
      <w:pPr>
        <w:pStyle w:val="SingleTxtG"/>
      </w:pPr>
      <w:r w:rsidRPr="00AE65AB">
        <w:t>5.1</w:t>
      </w:r>
      <w:r w:rsidRPr="00AE65AB">
        <w:tab/>
      </w:r>
      <w:r w:rsidR="00C93256" w:rsidRPr="00C93256">
        <w:t>The Committee notes the State party’s assertion that there are no legal grounds for consideration of the author’s communication, insofar as it was registered in violation of the provisions of the Optional Protocol; that it has no obligation to recognize the Committee’s rules of procedure nor the Committee’s interpretation of the provisions of the Optional Protocol; and that any decision taken by the Committee on the present communication will be considered “invalid” by its authorities.</w:t>
      </w:r>
    </w:p>
    <w:p w:rsidR="00C93256" w:rsidRPr="00C93256" w:rsidRDefault="0084033C" w:rsidP="00C93256">
      <w:pPr>
        <w:pStyle w:val="SingleTxtG"/>
      </w:pPr>
      <w:r>
        <w:rPr>
          <w:rFonts w:eastAsia="SimSun"/>
        </w:rPr>
        <w:t>5.2</w:t>
      </w:r>
      <w:r>
        <w:rPr>
          <w:rFonts w:eastAsia="SimSun"/>
        </w:rPr>
        <w:tab/>
      </w:r>
      <w:r w:rsidR="00C93256" w:rsidRPr="00C93256">
        <w:t xml:space="preserve">The Committee recalls that under </w:t>
      </w:r>
      <w:r w:rsidR="00B32B36">
        <w:t>article </w:t>
      </w:r>
      <w:r w:rsidR="00C93256" w:rsidRPr="00C93256">
        <w:t xml:space="preserve">39, </w:t>
      </w:r>
      <w:r w:rsidR="00B32B36">
        <w:t>paragraph </w:t>
      </w:r>
      <w:r w:rsidR="00C93256" w:rsidRPr="00C93256">
        <w:t xml:space="preserve">2, of the Covenant, it is empowered to establish its own rules of procedure, which States parties have agreed to recognize. It further observes that, by adhering to the Optional Protocol, a State party to the Covenant recognizes the competence of the Committee to receive and consider communications from individuals claiming to be victims of violations of any of the rights set forth in the Covenant (preamble and </w:t>
      </w:r>
      <w:r w:rsidR="00B32B36">
        <w:t>art. </w:t>
      </w:r>
      <w:r w:rsidR="00C93256" w:rsidRPr="00C93256">
        <w:t>1 of the Optional Protocol). Implicit in a State’s adherence to the Optional Protocol is the undertaking to cooperate with the Committee in good faith so as to permit and enable it to consider such communications, and after examination thereof, to forward its Views to the State party and the individual (</w:t>
      </w:r>
      <w:r w:rsidR="00B32B36">
        <w:t>art. </w:t>
      </w:r>
      <w:r w:rsidR="00C93256" w:rsidRPr="00C93256">
        <w:t xml:space="preserve">5, </w:t>
      </w:r>
      <w:r w:rsidR="00B32B36">
        <w:t>paras. </w:t>
      </w:r>
      <w:r w:rsidR="00C93256" w:rsidRPr="00C93256">
        <w:t xml:space="preserve">1 and 4). It is incompatible with those obligations for a State party to take any action that would prevent or frustrate the Committee in its consideration and examination of the communication, and </w:t>
      </w:r>
      <w:r w:rsidR="00FD1D08">
        <w:t>in the expression of its Views.</w:t>
      </w:r>
      <w:r w:rsidR="00C93256" w:rsidRPr="003F0C15">
        <w:rPr>
          <w:rStyle w:val="FootnoteReference"/>
        </w:rPr>
        <w:footnoteReference w:id="5"/>
      </w:r>
      <w:r w:rsidR="00C93256" w:rsidRPr="00C93256">
        <w:t xml:space="preserve"> It is up to the Committee to determine whether a communication should be registered. The Committee observes that, by failing to accept the competence of the Committee to determine whether a communication should be registered and by declaring beforehand that it will not accept the Committee’s determination on the admissibility or the merits of the communication, the State party is violating its obligations under </w:t>
      </w:r>
      <w:r w:rsidR="00B32B36">
        <w:t>article </w:t>
      </w:r>
      <w:r w:rsidR="00C93256" w:rsidRPr="00C93256">
        <w:t>1 of the Optional Protocol to the International Covenant</w:t>
      </w:r>
      <w:r w:rsidR="00FD1D08">
        <w:t xml:space="preserve"> on Civil and Political Rights.</w:t>
      </w:r>
      <w:r w:rsidR="00C93256" w:rsidRPr="00C93256">
        <w:rPr>
          <w:vertAlign w:val="superscript"/>
        </w:rPr>
        <w:footnoteReference w:id="6"/>
      </w:r>
    </w:p>
    <w:p w:rsidR="00F35149" w:rsidRPr="00C93256" w:rsidRDefault="00FD1D08" w:rsidP="00FD1D08">
      <w:pPr>
        <w:pStyle w:val="H4G"/>
      </w:pPr>
      <w:r>
        <w:tab/>
      </w:r>
      <w:r>
        <w:tab/>
      </w:r>
      <w:r w:rsidR="00F35149" w:rsidRPr="00C93256">
        <w:t>Consideration of admissibility</w:t>
      </w:r>
    </w:p>
    <w:p w:rsidR="00F35149" w:rsidRPr="006C6C87" w:rsidRDefault="001C3120" w:rsidP="0028734C">
      <w:pPr>
        <w:pStyle w:val="SingleTxtG"/>
        <w:rPr>
          <w:bCs/>
        </w:rPr>
      </w:pPr>
      <w:r w:rsidRPr="001C3120">
        <w:rPr>
          <w:bCs/>
        </w:rPr>
        <w:t>6</w:t>
      </w:r>
      <w:r w:rsidR="00F35149" w:rsidRPr="006C6C87">
        <w:rPr>
          <w:bCs/>
        </w:rPr>
        <w:t>.1</w:t>
      </w:r>
      <w:r w:rsidR="00F35149" w:rsidRPr="006C6C87">
        <w:rPr>
          <w:bCs/>
        </w:rPr>
        <w:tab/>
        <w:t>Before considering any claim contained in a communication, the Human Rights Committee must, in accordance with rule 93 of its rules of procedure, decide whether or not it is admissible under the Optional Protocol to the Covenant.</w:t>
      </w:r>
    </w:p>
    <w:p w:rsidR="00F35149" w:rsidRPr="001C3120" w:rsidRDefault="001C3120" w:rsidP="00F35149">
      <w:pPr>
        <w:pStyle w:val="SingleTxtG"/>
        <w:rPr>
          <w:bCs/>
        </w:rPr>
      </w:pPr>
      <w:r w:rsidRPr="001C3120">
        <w:rPr>
          <w:bCs/>
        </w:rPr>
        <w:lastRenderedPageBreak/>
        <w:t>6</w:t>
      </w:r>
      <w:r w:rsidR="00F35149" w:rsidRPr="006C6C87">
        <w:rPr>
          <w:bCs/>
        </w:rPr>
        <w:t>.2</w:t>
      </w:r>
      <w:r w:rsidR="00F35149" w:rsidRPr="006C6C87">
        <w:rPr>
          <w:bCs/>
        </w:rPr>
        <w:tab/>
        <w:t xml:space="preserve">The Committee has ascertained, as required under </w:t>
      </w:r>
      <w:r w:rsidR="00B32B36">
        <w:rPr>
          <w:bCs/>
        </w:rPr>
        <w:t>article </w:t>
      </w:r>
      <w:r w:rsidR="00F35149" w:rsidRPr="006C6C87">
        <w:rPr>
          <w:bCs/>
        </w:rPr>
        <w:t xml:space="preserve">5, </w:t>
      </w:r>
      <w:r w:rsidR="00B32B36">
        <w:rPr>
          <w:bCs/>
        </w:rPr>
        <w:t>paragraph </w:t>
      </w:r>
      <w:r w:rsidR="00F35149" w:rsidRPr="006C6C87">
        <w:rPr>
          <w:bCs/>
        </w:rPr>
        <w:t>2</w:t>
      </w:r>
      <w:r w:rsidR="00662F6E">
        <w:rPr>
          <w:bCs/>
        </w:rPr>
        <w:t> </w:t>
      </w:r>
      <w:r w:rsidR="00F35149" w:rsidRPr="006C6C87">
        <w:rPr>
          <w:bCs/>
        </w:rPr>
        <w:t>(a), of the Optional Protocol, that the same matter is not being examined under another procedure of international investigation or settlement.</w:t>
      </w:r>
    </w:p>
    <w:p w:rsidR="001F1088" w:rsidRDefault="001C3120" w:rsidP="00A74F3F">
      <w:pPr>
        <w:pStyle w:val="SingleTxtG"/>
      </w:pPr>
      <w:r>
        <w:t>6</w:t>
      </w:r>
      <w:r w:rsidR="00F60C3B" w:rsidRPr="00F60C3B">
        <w:t>.</w:t>
      </w:r>
      <w:r w:rsidR="00F60C3B">
        <w:t>3</w:t>
      </w:r>
      <w:r w:rsidR="00F60C3B">
        <w:tab/>
      </w:r>
      <w:r w:rsidR="005509CD" w:rsidRPr="00D21FF5">
        <w:t>The Committee note</w:t>
      </w:r>
      <w:r w:rsidR="0028734C">
        <w:t>s</w:t>
      </w:r>
      <w:r w:rsidR="005509CD" w:rsidRPr="00D21FF5">
        <w:t xml:space="preserve"> the authors</w:t>
      </w:r>
      <w:r w:rsidR="00B66712" w:rsidRPr="00B66712">
        <w:t>’</w:t>
      </w:r>
      <w:r w:rsidR="005509CD" w:rsidRPr="00D21FF5">
        <w:t xml:space="preserve"> claim that </w:t>
      </w:r>
      <w:r w:rsidR="00B66712" w:rsidRPr="00B66712">
        <w:t>their</w:t>
      </w:r>
      <w:r w:rsidR="005509CD" w:rsidRPr="00D21FF5">
        <w:t xml:space="preserve"> rights under </w:t>
      </w:r>
      <w:r w:rsidR="00B32B36">
        <w:t>article </w:t>
      </w:r>
      <w:r w:rsidR="005509CD" w:rsidRPr="00D21FF5">
        <w:t xml:space="preserve">14 of the </w:t>
      </w:r>
      <w:r w:rsidR="0028734C">
        <w:t xml:space="preserve">International </w:t>
      </w:r>
      <w:r w:rsidR="005509CD" w:rsidRPr="00D21FF5">
        <w:t>Covenant</w:t>
      </w:r>
      <w:r w:rsidR="0028734C">
        <w:t xml:space="preserve"> on Civil and Political Rights</w:t>
      </w:r>
      <w:r w:rsidR="005509CD" w:rsidRPr="00D21FF5">
        <w:t xml:space="preserve"> ha</w:t>
      </w:r>
      <w:r w:rsidR="001F1088" w:rsidRPr="001F1088">
        <w:t xml:space="preserve">ve </w:t>
      </w:r>
      <w:r w:rsidR="005509CD" w:rsidRPr="00D21FF5">
        <w:t xml:space="preserve">been violated as the </w:t>
      </w:r>
      <w:r w:rsidR="0028734C">
        <w:t xml:space="preserve">courts of the </w:t>
      </w:r>
      <w:r w:rsidR="005509CD" w:rsidRPr="00D21FF5">
        <w:t>State party</w:t>
      </w:r>
      <w:r w:rsidR="00A74F3F">
        <w:t xml:space="preserve"> </w:t>
      </w:r>
      <w:r w:rsidR="00B66712" w:rsidRPr="00A9008E">
        <w:rPr>
          <w:lang w:val="en-US"/>
        </w:rPr>
        <w:t>were not impartial</w:t>
      </w:r>
      <w:r w:rsidR="00B66712">
        <w:rPr>
          <w:lang w:val="en-US"/>
        </w:rPr>
        <w:t xml:space="preserve"> and they</w:t>
      </w:r>
      <w:r w:rsidR="00B66712" w:rsidRPr="00A9008E">
        <w:rPr>
          <w:lang w:val="en-US"/>
        </w:rPr>
        <w:t xml:space="preserve"> </w:t>
      </w:r>
      <w:r w:rsidR="00B66712" w:rsidRPr="00B66712">
        <w:t xml:space="preserve">had </w:t>
      </w:r>
      <w:r w:rsidR="00B66712" w:rsidRPr="00A9008E">
        <w:rPr>
          <w:lang w:val="en-US"/>
        </w:rPr>
        <w:t xml:space="preserve">refused to summon key witnesses that the authors wanted to question, to request additional materials from the Brest City Executive Committee and </w:t>
      </w:r>
      <w:r w:rsidR="00B66712">
        <w:rPr>
          <w:lang w:val="en-US"/>
        </w:rPr>
        <w:t xml:space="preserve">to </w:t>
      </w:r>
      <w:r w:rsidR="00B66712" w:rsidRPr="00A9008E">
        <w:rPr>
          <w:lang w:val="en-US"/>
        </w:rPr>
        <w:t xml:space="preserve">make an in-situ examination of the </w:t>
      </w:r>
      <w:r w:rsidR="0028734C">
        <w:rPr>
          <w:lang w:val="en-US"/>
        </w:rPr>
        <w:t xml:space="preserve">Lokomotiv </w:t>
      </w:r>
      <w:r w:rsidR="00B66712" w:rsidRPr="00A9008E">
        <w:rPr>
          <w:lang w:val="en-US"/>
        </w:rPr>
        <w:t xml:space="preserve">sports complex. </w:t>
      </w:r>
      <w:r w:rsidR="001F1088">
        <w:rPr>
          <w:lang w:val="en-US"/>
        </w:rPr>
        <w:t>T</w:t>
      </w:r>
      <w:r w:rsidR="001F1088">
        <w:t>he Committee notes that</w:t>
      </w:r>
      <w:r w:rsidR="00E2408F">
        <w:t xml:space="preserve"> the authors have not demonstrated in specific terms how th</w:t>
      </w:r>
      <w:r w:rsidR="0028734C">
        <w:t>o</w:t>
      </w:r>
      <w:r w:rsidR="00E2408F">
        <w:t>se omissions</w:t>
      </w:r>
      <w:r w:rsidR="001F1088">
        <w:t xml:space="preserve"> </w:t>
      </w:r>
      <w:r w:rsidR="00E2408F">
        <w:t>adversely affected the fairness of the proceeding</w:t>
      </w:r>
      <w:r w:rsidR="0028734C">
        <w:t>s</w:t>
      </w:r>
      <w:r w:rsidR="00E2408F">
        <w:t xml:space="preserve"> and, a</w:t>
      </w:r>
      <w:r w:rsidR="001F1088">
        <w:t>ccordingly, considers that the authors have not sufficiently substantiated</w:t>
      </w:r>
      <w:r w:rsidR="00E2408F">
        <w:t>,</w:t>
      </w:r>
      <w:r w:rsidR="001F1088">
        <w:t xml:space="preserve"> </w:t>
      </w:r>
      <w:r w:rsidR="00E2408F">
        <w:t xml:space="preserve">for the purposes of admissibility, </w:t>
      </w:r>
      <w:r w:rsidR="001F1088">
        <w:t xml:space="preserve">their allegations under </w:t>
      </w:r>
      <w:r w:rsidR="00B32B36">
        <w:t>article </w:t>
      </w:r>
      <w:r w:rsidR="001F1088">
        <w:t xml:space="preserve">14, </w:t>
      </w:r>
      <w:r w:rsidR="00B32B36">
        <w:t>paragraph </w:t>
      </w:r>
      <w:r w:rsidR="001F1088">
        <w:t>1, of the Covenant</w:t>
      </w:r>
      <w:r w:rsidR="00E2408F">
        <w:t>. The Committee</w:t>
      </w:r>
      <w:r w:rsidR="001F1088">
        <w:t xml:space="preserve">, therefore considers this part of the communication inadmissible under </w:t>
      </w:r>
      <w:r w:rsidR="00B32B36">
        <w:t>article </w:t>
      </w:r>
      <w:r w:rsidR="001F1088">
        <w:t xml:space="preserve">2 of the Optional Protocol. </w:t>
      </w:r>
    </w:p>
    <w:p w:rsidR="001F1088" w:rsidRPr="001F1088" w:rsidRDefault="00FD1D08" w:rsidP="00A74F3F">
      <w:pPr>
        <w:pStyle w:val="SingleTxtG"/>
      </w:pPr>
      <w:r>
        <w:t>6.4</w:t>
      </w:r>
      <w:r w:rsidR="001F1088" w:rsidRPr="001F1088">
        <w:tab/>
      </w:r>
      <w:r w:rsidR="00043AFA" w:rsidRPr="00043AFA">
        <w:rPr>
          <w:lang w:val="en-US"/>
        </w:rPr>
        <w:t xml:space="preserve">As to the alleged violations of the authors’ rights under </w:t>
      </w:r>
      <w:r w:rsidR="00B32B36">
        <w:rPr>
          <w:lang w:val="en-US"/>
        </w:rPr>
        <w:t>article </w:t>
      </w:r>
      <w:r w:rsidR="00043AFA" w:rsidRPr="00043AFA">
        <w:rPr>
          <w:lang w:val="en-US"/>
        </w:rPr>
        <w:t xml:space="preserve">26 of the Covenant, in the absence of any further pertinent information on file, the Committee considers that this claim is not sufficiently substantiated for purposes of admissibility, as </w:t>
      </w:r>
      <w:r w:rsidR="00043AFA">
        <w:rPr>
          <w:lang w:val="en-US"/>
        </w:rPr>
        <w:t xml:space="preserve">the </w:t>
      </w:r>
      <w:r w:rsidR="00043AFA" w:rsidRPr="00043AFA">
        <w:rPr>
          <w:lang w:val="en-US"/>
        </w:rPr>
        <w:t>author</w:t>
      </w:r>
      <w:r w:rsidR="00A74F3F">
        <w:rPr>
          <w:lang w:val="en-US"/>
        </w:rPr>
        <w:t>s</w:t>
      </w:r>
      <w:r w:rsidR="00043AFA" w:rsidRPr="00043AFA">
        <w:rPr>
          <w:lang w:val="en-US"/>
        </w:rPr>
        <w:t xml:space="preserve"> </w:t>
      </w:r>
      <w:r w:rsidR="00043AFA">
        <w:rPr>
          <w:lang w:val="en-US"/>
        </w:rPr>
        <w:t>ha</w:t>
      </w:r>
      <w:r w:rsidR="00A74F3F">
        <w:rPr>
          <w:lang w:val="en-US"/>
        </w:rPr>
        <w:t>ve</w:t>
      </w:r>
      <w:r w:rsidR="00043AFA">
        <w:rPr>
          <w:lang w:val="en-US"/>
        </w:rPr>
        <w:t xml:space="preserve"> </w:t>
      </w:r>
      <w:r w:rsidR="00043AFA" w:rsidRPr="00043AFA">
        <w:rPr>
          <w:lang w:val="en-US"/>
        </w:rPr>
        <w:t xml:space="preserve">failed to demonstrate that the decision to deny </w:t>
      </w:r>
      <w:r w:rsidR="00A74F3F">
        <w:rPr>
          <w:lang w:val="en-US"/>
        </w:rPr>
        <w:t>them</w:t>
      </w:r>
      <w:r w:rsidR="00043AFA">
        <w:rPr>
          <w:lang w:val="en-US"/>
        </w:rPr>
        <w:t xml:space="preserve"> </w:t>
      </w:r>
      <w:r w:rsidR="00A74F3F">
        <w:rPr>
          <w:lang w:val="en-US"/>
        </w:rPr>
        <w:t>the</w:t>
      </w:r>
      <w:r w:rsidR="00043AFA" w:rsidRPr="00043AFA">
        <w:rPr>
          <w:lang w:val="en-US"/>
        </w:rPr>
        <w:t xml:space="preserve"> right to hold </w:t>
      </w:r>
      <w:r w:rsidR="00A74F3F">
        <w:rPr>
          <w:lang w:val="en-US"/>
        </w:rPr>
        <w:t xml:space="preserve">an </w:t>
      </w:r>
      <w:r w:rsidR="00043AFA" w:rsidRPr="00043AFA">
        <w:rPr>
          <w:lang w:val="en-US"/>
        </w:rPr>
        <w:t xml:space="preserve">assembly was discriminatory in nature. It is not clear from the submissions if </w:t>
      </w:r>
      <w:r w:rsidR="00043AFA">
        <w:rPr>
          <w:lang w:val="en-US"/>
        </w:rPr>
        <w:t xml:space="preserve">the </w:t>
      </w:r>
      <w:r w:rsidR="00043AFA" w:rsidRPr="00043AFA">
        <w:rPr>
          <w:lang w:val="en-US"/>
        </w:rPr>
        <w:t>author</w:t>
      </w:r>
      <w:r w:rsidR="00A74F3F">
        <w:rPr>
          <w:lang w:val="en-US"/>
        </w:rPr>
        <w:t>s</w:t>
      </w:r>
      <w:r w:rsidR="00043AFA" w:rsidRPr="00043AFA">
        <w:rPr>
          <w:lang w:val="en-US"/>
        </w:rPr>
        <w:t xml:space="preserve">’ political views, as </w:t>
      </w:r>
      <w:r w:rsidR="00A74F3F">
        <w:rPr>
          <w:lang w:val="en-US"/>
        </w:rPr>
        <w:t>t</w:t>
      </w:r>
      <w:r w:rsidR="00043AFA" w:rsidRPr="00043AFA">
        <w:rPr>
          <w:lang w:val="en-US"/>
        </w:rPr>
        <w:t>he</w:t>
      </w:r>
      <w:r w:rsidR="00A74F3F">
        <w:rPr>
          <w:lang w:val="en-US"/>
        </w:rPr>
        <w:t>y</w:t>
      </w:r>
      <w:r w:rsidR="00043AFA" w:rsidRPr="00043AFA">
        <w:rPr>
          <w:lang w:val="en-US"/>
        </w:rPr>
        <w:t xml:space="preserve"> claim, </w:t>
      </w:r>
      <w:r w:rsidR="0050363E">
        <w:rPr>
          <w:lang w:val="en-US"/>
        </w:rPr>
        <w:t xml:space="preserve">were the basis of </w:t>
      </w:r>
      <w:r w:rsidR="00043AFA" w:rsidRPr="00043AFA">
        <w:rPr>
          <w:lang w:val="en-US"/>
        </w:rPr>
        <w:t xml:space="preserve">the decision of the authorities </w:t>
      </w:r>
      <w:r w:rsidR="00CB489F">
        <w:rPr>
          <w:lang w:val="en-US"/>
        </w:rPr>
        <w:t xml:space="preserve">not </w:t>
      </w:r>
      <w:r w:rsidR="00043AFA" w:rsidRPr="00043AFA">
        <w:rPr>
          <w:lang w:val="en-US"/>
        </w:rPr>
        <w:t xml:space="preserve">to allow </w:t>
      </w:r>
      <w:r w:rsidR="00A74F3F">
        <w:rPr>
          <w:lang w:val="en-US"/>
        </w:rPr>
        <w:t xml:space="preserve">the </w:t>
      </w:r>
      <w:r w:rsidR="00043AFA" w:rsidRPr="00043AFA">
        <w:rPr>
          <w:lang w:val="en-US"/>
        </w:rPr>
        <w:t xml:space="preserve">assembly at the </w:t>
      </w:r>
      <w:r w:rsidR="00A74F3F">
        <w:rPr>
          <w:lang w:val="en-US"/>
        </w:rPr>
        <w:t>requested</w:t>
      </w:r>
      <w:r w:rsidR="00043AFA" w:rsidRPr="00043AFA">
        <w:rPr>
          <w:lang w:val="en-US"/>
        </w:rPr>
        <w:t xml:space="preserve"> location. Therefore, the Committee con</w:t>
      </w:r>
      <w:r w:rsidR="00A74F3F">
        <w:rPr>
          <w:lang w:val="en-US"/>
        </w:rPr>
        <w:t>siders</w:t>
      </w:r>
      <w:r w:rsidR="00043AFA" w:rsidRPr="00043AFA">
        <w:rPr>
          <w:lang w:val="en-US"/>
        </w:rPr>
        <w:t xml:space="preserve"> that this part of the communication is also inadmissible under </w:t>
      </w:r>
      <w:r w:rsidR="00B32B36">
        <w:rPr>
          <w:lang w:val="en-US"/>
        </w:rPr>
        <w:t>article </w:t>
      </w:r>
      <w:r w:rsidR="00043AFA" w:rsidRPr="00043AFA">
        <w:rPr>
          <w:lang w:val="en-US"/>
        </w:rPr>
        <w:t>2 of the Optional Protocol.</w:t>
      </w:r>
    </w:p>
    <w:p w:rsidR="001F1088" w:rsidRPr="001F1088" w:rsidRDefault="00FD1D08" w:rsidP="00A74F3F">
      <w:pPr>
        <w:pStyle w:val="SingleTxtG"/>
      </w:pPr>
      <w:r>
        <w:t>6.5</w:t>
      </w:r>
      <w:r w:rsidR="001F1088" w:rsidRPr="001F1088">
        <w:tab/>
        <w:t xml:space="preserve">Finally, the Committee considers that the authors have sufficiently substantiated their remaining claims </w:t>
      </w:r>
      <w:r w:rsidR="00A74F3F">
        <w:t>which</w:t>
      </w:r>
      <w:r w:rsidR="001F1088" w:rsidRPr="001F1088">
        <w:t xml:space="preserve"> raise issues covered </w:t>
      </w:r>
      <w:r w:rsidR="00A74F3F">
        <w:t>by</w:t>
      </w:r>
      <w:r w:rsidR="00A74F3F" w:rsidRPr="001F1088">
        <w:t xml:space="preserve"> </w:t>
      </w:r>
      <w:r w:rsidR="00B32B36">
        <w:t>article </w:t>
      </w:r>
      <w:r w:rsidR="001F1088" w:rsidRPr="001F1088">
        <w:t xml:space="preserve">19, </w:t>
      </w:r>
      <w:r w:rsidR="00B32B36">
        <w:t>paragraph </w:t>
      </w:r>
      <w:r w:rsidR="001F1088" w:rsidRPr="001F1088">
        <w:t xml:space="preserve">2, and </w:t>
      </w:r>
      <w:r w:rsidR="00B32B36">
        <w:t>article </w:t>
      </w:r>
      <w:r w:rsidR="001F1088" w:rsidRPr="001F1088">
        <w:t>21 of the Covenant</w:t>
      </w:r>
      <w:r w:rsidR="00A74F3F">
        <w:t>,</w:t>
      </w:r>
      <w:r w:rsidR="001F1088" w:rsidRPr="001F1088">
        <w:t xml:space="preserve"> for purposes of admissibility. </w:t>
      </w:r>
      <w:r w:rsidR="00A74F3F">
        <w:t>Accordingly, i</w:t>
      </w:r>
      <w:r w:rsidR="001F1088" w:rsidRPr="001F1088">
        <w:t>t declares the communication admissible with regard to th</w:t>
      </w:r>
      <w:r w:rsidR="00A74F3F">
        <w:t>o</w:t>
      </w:r>
      <w:r w:rsidR="001F1088" w:rsidRPr="001F1088">
        <w:t>se provisions of the Covenant and proceeds to its examination on the merits.</w:t>
      </w:r>
    </w:p>
    <w:p w:rsidR="00F35149" w:rsidRPr="006C6C87" w:rsidRDefault="00F35149" w:rsidP="00F35149">
      <w:pPr>
        <w:pStyle w:val="H4G"/>
      </w:pPr>
      <w:r w:rsidRPr="006C6C87">
        <w:tab/>
      </w:r>
      <w:r w:rsidRPr="006C6C87">
        <w:tab/>
        <w:t>Consideration of the merits</w:t>
      </w:r>
    </w:p>
    <w:p w:rsidR="0018481A" w:rsidRDefault="00446ABC" w:rsidP="0018481A">
      <w:pPr>
        <w:pStyle w:val="SingleTxtG"/>
      </w:pPr>
      <w:r w:rsidRPr="0018481A">
        <w:t>7</w:t>
      </w:r>
      <w:r w:rsidR="00F35149" w:rsidRPr="006C6C87">
        <w:t>.</w:t>
      </w:r>
      <w:r w:rsidR="0018481A" w:rsidRPr="0018481A">
        <w:t>1</w:t>
      </w:r>
      <w:r w:rsidR="00F35149" w:rsidRPr="006C6C87">
        <w:tab/>
      </w:r>
      <w:r w:rsidR="0018481A">
        <w:t xml:space="preserve">The Human Rights Committee has considered the present communication in the light of all the information made available to it by the parties, as required under </w:t>
      </w:r>
      <w:r w:rsidR="00B32B36">
        <w:t>article </w:t>
      </w:r>
      <w:r w:rsidR="0018481A">
        <w:t xml:space="preserve">5, </w:t>
      </w:r>
      <w:r w:rsidR="00B32B36">
        <w:t>paragraph </w:t>
      </w:r>
      <w:r w:rsidR="0018481A">
        <w:t>1, of the Optional Protocol.</w:t>
      </w:r>
    </w:p>
    <w:p w:rsidR="00AB5490" w:rsidRPr="00A9008E" w:rsidRDefault="0018481A" w:rsidP="000C345E">
      <w:pPr>
        <w:pStyle w:val="SingleTxtG"/>
        <w:rPr>
          <w:lang w:val="en-US"/>
        </w:rPr>
      </w:pPr>
      <w:r w:rsidRPr="00AB5490">
        <w:t>7.2</w:t>
      </w:r>
      <w:r w:rsidRPr="00AB5490">
        <w:tab/>
      </w:r>
      <w:r w:rsidR="00C00847" w:rsidRPr="00AB5490">
        <w:t>The Committee notes the authors’ claim</w:t>
      </w:r>
      <w:r w:rsidR="002A5C82">
        <w:t>s</w:t>
      </w:r>
      <w:r w:rsidR="00C00847" w:rsidRPr="00AB5490">
        <w:t xml:space="preserve"> that their freedom</w:t>
      </w:r>
      <w:r w:rsidR="00423A59">
        <w:t>s</w:t>
      </w:r>
      <w:r w:rsidR="00C00847" w:rsidRPr="00AB5490">
        <w:t xml:space="preserve"> of expression and assembly </w:t>
      </w:r>
      <w:r w:rsidR="00A74F3F">
        <w:t>were</w:t>
      </w:r>
      <w:r w:rsidR="00C00847" w:rsidRPr="00AB5490">
        <w:t xml:space="preserve"> restricted arbitrarily, since neither the decision of the Deputy Chair of </w:t>
      </w:r>
      <w:r w:rsidR="00A74F3F">
        <w:t xml:space="preserve">the </w:t>
      </w:r>
      <w:r w:rsidR="00C00847" w:rsidRPr="00AB5490">
        <w:t xml:space="preserve">Brest City Executive Committee nor the decisions of the domestic courts provided any justification for the </w:t>
      </w:r>
      <w:r w:rsidR="004E25FB">
        <w:t>denial of their request</w:t>
      </w:r>
      <w:r w:rsidR="00C00847" w:rsidRPr="00AB5490">
        <w:t xml:space="preserve"> to hold </w:t>
      </w:r>
      <w:r w:rsidR="004E25FB">
        <w:t xml:space="preserve">a </w:t>
      </w:r>
      <w:r w:rsidR="00C00847" w:rsidRPr="00AB5490">
        <w:t xml:space="preserve">picket, other than the formal application of the Executive Committee’s </w:t>
      </w:r>
      <w:r w:rsidR="004E25FB">
        <w:t>d</w:t>
      </w:r>
      <w:r w:rsidR="00C00847" w:rsidRPr="00AB5490">
        <w:t>ecision No.</w:t>
      </w:r>
      <w:r w:rsidR="00B32B36">
        <w:t> </w:t>
      </w:r>
      <w:r w:rsidR="00C00847" w:rsidRPr="00AB5490">
        <w:t>1715 of 25 October 2006</w:t>
      </w:r>
      <w:r w:rsidR="004E25FB">
        <w:t>,</w:t>
      </w:r>
      <w:r w:rsidR="00C00847" w:rsidRPr="00AB5490">
        <w:t xml:space="preserve"> which designates a sport complex outside the city centre as the ordinary location for public gatherings in Brest</w:t>
      </w:r>
      <w:r w:rsidR="004E25FB">
        <w:t>. In support of their claim, they</w:t>
      </w:r>
      <w:r w:rsidR="000C345E">
        <w:t xml:space="preserve"> argue</w:t>
      </w:r>
      <w:r w:rsidR="00C00847" w:rsidRPr="00AB5490">
        <w:t xml:space="preserve"> </w:t>
      </w:r>
      <w:r w:rsidR="002A5C82" w:rsidRPr="00A9008E">
        <w:rPr>
          <w:lang w:val="en-US"/>
        </w:rPr>
        <w:t xml:space="preserve">that </w:t>
      </w:r>
      <w:r w:rsidR="000C345E">
        <w:rPr>
          <w:lang w:val="en-US"/>
        </w:rPr>
        <w:t xml:space="preserve">imposing the </w:t>
      </w:r>
      <w:r w:rsidR="002A5C82" w:rsidRPr="00A9008E">
        <w:rPr>
          <w:lang w:val="en-US"/>
        </w:rPr>
        <w:t>restricti</w:t>
      </w:r>
      <w:r w:rsidR="000C345E">
        <w:rPr>
          <w:lang w:val="en-US"/>
        </w:rPr>
        <w:t>o</w:t>
      </w:r>
      <w:r w:rsidR="002A5C82" w:rsidRPr="00A9008E">
        <w:rPr>
          <w:lang w:val="en-US"/>
        </w:rPr>
        <w:t xml:space="preserve">n </w:t>
      </w:r>
      <w:r w:rsidR="000C345E">
        <w:rPr>
          <w:lang w:val="en-US"/>
        </w:rPr>
        <w:t xml:space="preserve">on </w:t>
      </w:r>
      <w:r w:rsidR="002A5C82" w:rsidRPr="00A9008E">
        <w:rPr>
          <w:lang w:val="en-US"/>
        </w:rPr>
        <w:t>all 300</w:t>
      </w:r>
      <w:r w:rsidR="00662F6E">
        <w:rPr>
          <w:lang w:val="en-US"/>
        </w:rPr>
        <w:t> </w:t>
      </w:r>
      <w:r w:rsidR="002A5C82" w:rsidRPr="00A9008E">
        <w:rPr>
          <w:lang w:val="en-US"/>
        </w:rPr>
        <w:t>000 citizens of Brest to conduct public gatherings in one single location, which</w:t>
      </w:r>
      <w:r w:rsidR="000C345E">
        <w:rPr>
          <w:lang w:val="en-US"/>
        </w:rPr>
        <w:t>,</w:t>
      </w:r>
      <w:r w:rsidR="002A5C82" w:rsidRPr="00A9008E">
        <w:rPr>
          <w:lang w:val="en-US"/>
        </w:rPr>
        <w:t xml:space="preserve"> in addition</w:t>
      </w:r>
      <w:r w:rsidR="000C345E">
        <w:rPr>
          <w:lang w:val="en-US"/>
        </w:rPr>
        <w:t>,</w:t>
      </w:r>
      <w:r w:rsidR="002A5C82" w:rsidRPr="00A9008E">
        <w:rPr>
          <w:lang w:val="en-US"/>
        </w:rPr>
        <w:t xml:space="preserve"> is a stadium outside of the </w:t>
      </w:r>
      <w:r w:rsidR="000C345E">
        <w:rPr>
          <w:lang w:val="en-US"/>
        </w:rPr>
        <w:t>city</w:t>
      </w:r>
      <w:r w:rsidR="002A5C82" w:rsidRPr="00A9008E">
        <w:rPr>
          <w:lang w:val="en-US"/>
        </w:rPr>
        <w:t xml:space="preserve"> and </w:t>
      </w:r>
      <w:r w:rsidR="000C345E">
        <w:rPr>
          <w:lang w:val="en-US"/>
        </w:rPr>
        <w:t xml:space="preserve">which is </w:t>
      </w:r>
      <w:r w:rsidR="002A5C82" w:rsidRPr="00A9008E">
        <w:rPr>
          <w:lang w:val="en-US"/>
        </w:rPr>
        <w:t>surrounded by a concrete wall, moves all campaigns outside</w:t>
      </w:r>
      <w:r w:rsidR="000C345E">
        <w:rPr>
          <w:lang w:val="en-US"/>
        </w:rPr>
        <w:t xml:space="preserve"> of</w:t>
      </w:r>
      <w:r w:rsidR="002A5C82" w:rsidRPr="00A9008E">
        <w:rPr>
          <w:lang w:val="en-US"/>
        </w:rPr>
        <w:t xml:space="preserve"> the </w:t>
      </w:r>
      <w:r w:rsidR="000C345E">
        <w:rPr>
          <w:lang w:val="en-US"/>
        </w:rPr>
        <w:t xml:space="preserve">general </w:t>
      </w:r>
      <w:r w:rsidR="002A5C82" w:rsidRPr="00A9008E">
        <w:rPr>
          <w:lang w:val="en-US"/>
        </w:rPr>
        <w:t>public space and</w:t>
      </w:r>
      <w:r w:rsidR="000C345E">
        <w:rPr>
          <w:lang w:val="en-US"/>
        </w:rPr>
        <w:t>,</w:t>
      </w:r>
      <w:r w:rsidR="002A5C82" w:rsidRPr="00A9008E">
        <w:rPr>
          <w:lang w:val="en-US"/>
        </w:rPr>
        <w:t xml:space="preserve"> in practice</w:t>
      </w:r>
      <w:r w:rsidR="000C345E">
        <w:rPr>
          <w:lang w:val="en-US"/>
        </w:rPr>
        <w:t>,</w:t>
      </w:r>
      <w:r w:rsidR="002A5C82" w:rsidRPr="00A9008E">
        <w:rPr>
          <w:lang w:val="en-US"/>
        </w:rPr>
        <w:t xml:space="preserve"> precludes the realization </w:t>
      </w:r>
      <w:r w:rsidR="0050363E">
        <w:rPr>
          <w:lang w:val="en-US"/>
        </w:rPr>
        <w:t xml:space="preserve">of </w:t>
      </w:r>
      <w:r w:rsidR="002A5C82" w:rsidRPr="00A9008E">
        <w:rPr>
          <w:lang w:val="en-US"/>
        </w:rPr>
        <w:t xml:space="preserve">all </w:t>
      </w:r>
      <w:r w:rsidR="000C345E">
        <w:rPr>
          <w:lang w:val="en-US"/>
        </w:rPr>
        <w:t xml:space="preserve">public </w:t>
      </w:r>
      <w:r w:rsidR="002A5C82" w:rsidRPr="00A9008E">
        <w:rPr>
          <w:lang w:val="en-US"/>
        </w:rPr>
        <w:t xml:space="preserve">campaigns, thus infringing </w:t>
      </w:r>
      <w:r w:rsidR="000C345E">
        <w:rPr>
          <w:lang w:val="en-US"/>
        </w:rPr>
        <w:t xml:space="preserve">on the </w:t>
      </w:r>
      <w:r w:rsidR="002A5C82" w:rsidRPr="00A9008E">
        <w:rPr>
          <w:lang w:val="en-US"/>
        </w:rPr>
        <w:t>freedom</w:t>
      </w:r>
      <w:r w:rsidR="002A5C82">
        <w:rPr>
          <w:lang w:val="en-US"/>
        </w:rPr>
        <w:t>s</w:t>
      </w:r>
      <w:r w:rsidR="002A5C82" w:rsidRPr="00A9008E">
        <w:rPr>
          <w:lang w:val="en-US"/>
        </w:rPr>
        <w:t xml:space="preserve"> of expression</w:t>
      </w:r>
      <w:r w:rsidR="002A5C82">
        <w:rPr>
          <w:lang w:val="en-US"/>
        </w:rPr>
        <w:t xml:space="preserve">; </w:t>
      </w:r>
      <w:r w:rsidR="00AB5490" w:rsidRPr="00AB5490">
        <w:rPr>
          <w:lang w:val="en-US"/>
        </w:rPr>
        <w:t xml:space="preserve">that the restriction in question </w:t>
      </w:r>
      <w:r w:rsidR="00423A59">
        <w:rPr>
          <w:lang w:val="en-US"/>
        </w:rPr>
        <w:t>wa</w:t>
      </w:r>
      <w:r w:rsidR="00AB5490" w:rsidRPr="00AB5490">
        <w:rPr>
          <w:lang w:val="en-US"/>
        </w:rPr>
        <w:t>s not necessary</w:t>
      </w:r>
      <w:r w:rsidR="00423A59">
        <w:rPr>
          <w:lang w:val="en-US"/>
        </w:rPr>
        <w:t xml:space="preserve"> under any of the reasons </w:t>
      </w:r>
      <w:r w:rsidR="000C345E">
        <w:rPr>
          <w:lang w:val="en-US"/>
        </w:rPr>
        <w:t>provided for</w:t>
      </w:r>
      <w:r w:rsidR="002A5C82">
        <w:rPr>
          <w:lang w:val="en-US"/>
        </w:rPr>
        <w:t xml:space="preserve"> in </w:t>
      </w:r>
      <w:r w:rsidR="00B32B36">
        <w:rPr>
          <w:lang w:val="en-US"/>
        </w:rPr>
        <w:t>article </w:t>
      </w:r>
      <w:r w:rsidR="002A5C82">
        <w:rPr>
          <w:lang w:val="en-US"/>
        </w:rPr>
        <w:t xml:space="preserve">19, </w:t>
      </w:r>
      <w:r w:rsidR="00B32B36">
        <w:rPr>
          <w:lang w:val="en-US"/>
        </w:rPr>
        <w:t>paragraph </w:t>
      </w:r>
      <w:r w:rsidR="002A5C82">
        <w:rPr>
          <w:lang w:val="en-US"/>
        </w:rPr>
        <w:t>2</w:t>
      </w:r>
      <w:r w:rsidR="000C345E">
        <w:rPr>
          <w:lang w:val="en-US"/>
        </w:rPr>
        <w:t>,</w:t>
      </w:r>
      <w:r w:rsidR="002A5C82">
        <w:rPr>
          <w:lang w:val="en-US"/>
        </w:rPr>
        <w:t xml:space="preserve"> of the Covenant; and that</w:t>
      </w:r>
      <w:r w:rsidR="00423A59" w:rsidRPr="00A9008E">
        <w:rPr>
          <w:lang w:val="en-US"/>
        </w:rPr>
        <w:t xml:space="preserve"> their right to peaceful assembly was restricted in violation of </w:t>
      </w:r>
      <w:r w:rsidR="00B32B36">
        <w:rPr>
          <w:lang w:val="en-US"/>
        </w:rPr>
        <w:t>article </w:t>
      </w:r>
      <w:r w:rsidR="00423A59" w:rsidRPr="00A9008E">
        <w:rPr>
          <w:lang w:val="en-US"/>
        </w:rPr>
        <w:t>21 of the Covenant, as the imposed restriction was not necessary in a democratic society.</w:t>
      </w:r>
    </w:p>
    <w:p w:rsidR="00C00847" w:rsidRPr="00054DCF" w:rsidRDefault="00FD1D08" w:rsidP="000C345E">
      <w:pPr>
        <w:pStyle w:val="SingleTxtG"/>
      </w:pPr>
      <w:r>
        <w:t>7.3</w:t>
      </w:r>
      <w:r w:rsidR="00C00847" w:rsidRPr="00093D88">
        <w:tab/>
        <w:t>The Committee notes that Decision No.</w:t>
      </w:r>
      <w:r w:rsidR="00B32B36">
        <w:t> </w:t>
      </w:r>
      <w:r w:rsidR="00C00847" w:rsidRPr="00093D88">
        <w:t xml:space="preserve">1715 of </w:t>
      </w:r>
      <w:r w:rsidR="000C345E">
        <w:t xml:space="preserve">the </w:t>
      </w:r>
      <w:r w:rsidR="00C00847" w:rsidRPr="00093D88">
        <w:t>Brest City Executive Committee</w:t>
      </w:r>
      <w:r w:rsidR="000C345E">
        <w:t>,</w:t>
      </w:r>
      <w:r w:rsidR="00C00847" w:rsidRPr="00093D88">
        <w:t xml:space="preserve"> which determines the sport</w:t>
      </w:r>
      <w:r w:rsidR="000C345E">
        <w:t>s</w:t>
      </w:r>
      <w:r w:rsidR="00C00847" w:rsidRPr="00093D88">
        <w:t xml:space="preserve"> stadium as the sole location for holding mass public events </w:t>
      </w:r>
      <w:r w:rsidR="00C00847" w:rsidRPr="00054DCF">
        <w:t>(with the exception of street demonstrations and street processions), and the related decisions of the domestic courts</w:t>
      </w:r>
      <w:r w:rsidR="002A5C82">
        <w:t>,</w:t>
      </w:r>
      <w:r w:rsidR="00C00847" w:rsidRPr="00054DCF">
        <w:t xml:space="preserve"> which find the restrictions imposed on the authors </w:t>
      </w:r>
      <w:r w:rsidR="00C00847" w:rsidRPr="00054DCF">
        <w:lastRenderedPageBreak/>
        <w:t xml:space="preserve">to be in conformity with the Law on </w:t>
      </w:r>
      <w:r w:rsidR="000C345E">
        <w:t>Public</w:t>
      </w:r>
      <w:r w:rsidR="00C00847" w:rsidRPr="00054DCF">
        <w:t xml:space="preserve"> Events</w:t>
      </w:r>
      <w:r w:rsidR="000C345E">
        <w:t xml:space="preserve"> in the Republic of Belarus</w:t>
      </w:r>
      <w:r w:rsidR="00C00847" w:rsidRPr="00054DCF">
        <w:t xml:space="preserve"> and </w:t>
      </w:r>
      <w:r w:rsidR="000C345E">
        <w:t xml:space="preserve">with </w:t>
      </w:r>
      <w:r w:rsidR="00C00847" w:rsidRPr="00054DCF">
        <w:t xml:space="preserve">the Constitution of Belarus, do not provide any justification as to the restriction imposed. In particular, the Committee notes the decision of </w:t>
      </w:r>
      <w:r w:rsidR="00AB5490" w:rsidRPr="00054DCF">
        <w:rPr>
          <w:lang w:val="en-US"/>
        </w:rPr>
        <w:t xml:space="preserve">18 February 2010 </w:t>
      </w:r>
      <w:r w:rsidR="00C00847" w:rsidRPr="00054DCF">
        <w:t xml:space="preserve">of the </w:t>
      </w:r>
      <w:r w:rsidR="00093D88" w:rsidRPr="00054DCF">
        <w:rPr>
          <w:lang w:val="en-US"/>
        </w:rPr>
        <w:t>Judicial Chamber for Civil Cases of the Brest Regional Court</w:t>
      </w:r>
      <w:r w:rsidR="00C00847" w:rsidRPr="00054DCF">
        <w:t>, whereby it concluded that the authors</w:t>
      </w:r>
      <w:r w:rsidR="00CA4119" w:rsidRPr="009D05F4">
        <w:t>’</w:t>
      </w:r>
      <w:r w:rsidR="00C00847" w:rsidRPr="00054DCF">
        <w:t xml:space="preserve"> application to hold </w:t>
      </w:r>
      <w:r w:rsidR="000C345E">
        <w:t xml:space="preserve">a </w:t>
      </w:r>
      <w:r w:rsidR="00C00847" w:rsidRPr="00054DCF">
        <w:t>picket at the desired location was refused lawfully on the basis of Decision No.</w:t>
      </w:r>
      <w:r w:rsidR="00B32B36">
        <w:t> </w:t>
      </w:r>
      <w:r w:rsidR="00C00847" w:rsidRPr="00054DCF">
        <w:t>1715</w:t>
      </w:r>
      <w:r w:rsidR="002A5C82">
        <w:t>,</w:t>
      </w:r>
      <w:r w:rsidR="00C00847" w:rsidRPr="00054DCF">
        <w:t xml:space="preserve"> which prescribes that mass events, including pickets </w:t>
      </w:r>
      <w:r w:rsidR="0050363E">
        <w:t>(</w:t>
      </w:r>
      <w:r w:rsidR="00C00847" w:rsidRPr="00054DCF">
        <w:t>i.e. congregating at a specific location with the intent of supporting or disapproving a particular cause, with or without informative materials</w:t>
      </w:r>
      <w:r w:rsidR="0050363E">
        <w:t>)</w:t>
      </w:r>
      <w:r w:rsidR="00C00847" w:rsidRPr="00054DCF">
        <w:t>, are to be held in the Lokomotiv sports stadium.</w:t>
      </w:r>
      <w:r w:rsidR="00C33A42">
        <w:t xml:space="preserve"> </w:t>
      </w:r>
    </w:p>
    <w:p w:rsidR="00C00847" w:rsidRPr="00054DCF" w:rsidRDefault="00FD1D08" w:rsidP="00093D88">
      <w:pPr>
        <w:pStyle w:val="SingleTxtG"/>
      </w:pPr>
      <w:r>
        <w:t>7.4</w:t>
      </w:r>
      <w:r w:rsidR="00C00847" w:rsidRPr="00054DCF">
        <w:tab/>
        <w:t>The Committee recalls that the right of peaceful assembly, as guaranteed under article</w:t>
      </w:r>
      <w:r w:rsidR="00662F6E">
        <w:t> </w:t>
      </w:r>
      <w:r w:rsidR="00C00847" w:rsidRPr="00054DCF">
        <w:t>21 of the Covenant, is a fundamental human right that is essential for public expression of one’s views and opinions and indispensable in a democratic society. This right entails the possibility of organizing and participating in a peaceful assembly, including the right to a stationary assembly (such as a picket) in a public location. The organizers of an assembly generally have the right to choose a location within sight and sound of their target audience and no restriction to this right is permissible, unless (a)</w:t>
      </w:r>
      <w:r w:rsidR="00662F6E">
        <w:t> </w:t>
      </w:r>
      <w:r w:rsidR="00C00847" w:rsidRPr="00054DCF">
        <w:t>imposed in conformity with the law, and (b)</w:t>
      </w:r>
      <w:r w:rsidR="00662F6E">
        <w:t> </w:t>
      </w:r>
      <w:r w:rsidR="00C00847" w:rsidRPr="00054DCF">
        <w:t>necessary in a democratic society, in the interests of national security or public safety, public order, protection of public health or morals or protection of the rights and freedoms of others. When a State party imposes restrictions with the aim of reconciling an individual’s right to assembly and the aforementioned interests of general concern, it should be guided by the objective to facilitate the right, rather than seeking unnecessary or disproportionate limitations to it. The State party is thus under the obligation to justify the limitation of the right protected</w:t>
      </w:r>
      <w:r w:rsidR="00054DCF" w:rsidRPr="00054DCF">
        <w:t xml:space="preserve"> by article</w:t>
      </w:r>
      <w:r w:rsidR="00662F6E">
        <w:t> </w:t>
      </w:r>
      <w:r w:rsidR="00054DCF" w:rsidRPr="00054DCF">
        <w:t>21 of the Covenant.</w:t>
      </w:r>
      <w:r w:rsidR="005105B9" w:rsidRPr="00054DCF">
        <w:rPr>
          <w:rStyle w:val="FootnoteReference"/>
        </w:rPr>
        <w:footnoteReference w:id="7"/>
      </w:r>
    </w:p>
    <w:p w:rsidR="00C00847" w:rsidRDefault="00054DCF" w:rsidP="00B33120">
      <w:pPr>
        <w:pStyle w:val="SingleTxtG"/>
        <w:rPr>
          <w:bCs/>
        </w:rPr>
      </w:pPr>
      <w:r w:rsidRPr="00054DCF">
        <w:t>7.</w:t>
      </w:r>
      <w:r w:rsidR="009D05F4">
        <w:t>5</w:t>
      </w:r>
      <w:r w:rsidR="00C00847" w:rsidRPr="00054DCF">
        <w:tab/>
      </w:r>
      <w:r w:rsidR="00C00847" w:rsidRPr="00B33120">
        <w:t>In the present case</w:t>
      </w:r>
      <w:r w:rsidR="00C00847" w:rsidRPr="00054DCF">
        <w:t xml:space="preserve">, </w:t>
      </w:r>
      <w:r w:rsidR="00B33120">
        <w:t xml:space="preserve">the authors requested to hold a picket in </w:t>
      </w:r>
      <w:r w:rsidR="00C00847" w:rsidRPr="00054DCF">
        <w:t xml:space="preserve">a pedestrian zone in the city of Brest </w:t>
      </w:r>
      <w:r w:rsidRPr="00054DCF">
        <w:rPr>
          <w:lang w:val="en-US"/>
        </w:rPr>
        <w:t xml:space="preserve">on 27 September 2009, with the purpose of drawing citizens’ attention to the </w:t>
      </w:r>
      <w:r w:rsidR="003B2E07">
        <w:rPr>
          <w:lang w:val="en-US"/>
        </w:rPr>
        <w:t xml:space="preserve">alleged </w:t>
      </w:r>
      <w:r w:rsidRPr="00054DCF">
        <w:rPr>
          <w:lang w:val="en-US"/>
        </w:rPr>
        <w:t xml:space="preserve">systematic violation of the </w:t>
      </w:r>
      <w:r w:rsidR="00B33120">
        <w:rPr>
          <w:lang w:val="en-US"/>
        </w:rPr>
        <w:t>L</w:t>
      </w:r>
      <w:r w:rsidRPr="00054DCF">
        <w:rPr>
          <w:lang w:val="en-US"/>
        </w:rPr>
        <w:t xml:space="preserve">aw on </w:t>
      </w:r>
      <w:r w:rsidR="00B33120">
        <w:rPr>
          <w:lang w:val="en-US"/>
        </w:rPr>
        <w:t>P</w:t>
      </w:r>
      <w:r w:rsidRPr="00054DCF">
        <w:rPr>
          <w:lang w:val="en-US"/>
        </w:rPr>
        <w:t xml:space="preserve">etitions by </w:t>
      </w:r>
      <w:r w:rsidR="00B33120">
        <w:rPr>
          <w:lang w:val="en-US"/>
        </w:rPr>
        <w:t>S</w:t>
      </w:r>
      <w:r w:rsidRPr="00054DCF">
        <w:rPr>
          <w:lang w:val="en-US"/>
        </w:rPr>
        <w:t xml:space="preserve">tate officials, </w:t>
      </w:r>
      <w:r w:rsidR="00C00847" w:rsidRPr="00054DCF">
        <w:t>but their request was rejected. In th</w:t>
      </w:r>
      <w:r w:rsidR="00B33120">
        <w:t>o</w:t>
      </w:r>
      <w:r w:rsidR="00C00847" w:rsidRPr="00054DCF">
        <w:t xml:space="preserve">se circumstances and in </w:t>
      </w:r>
      <w:r w:rsidR="00B33120">
        <w:t xml:space="preserve">the </w:t>
      </w:r>
      <w:r w:rsidR="00C00847" w:rsidRPr="00054DCF">
        <w:t>absence of any explanations from the State party, the Committee finds the decision of the State party’s authorities denying the authors’ right to assemble peacefully at the public location of their choice to be unjustified. The Committee also notes, based on the material on file, that</w:t>
      </w:r>
      <w:r w:rsidR="00B33120">
        <w:t>,</w:t>
      </w:r>
      <w:r w:rsidR="00C00847" w:rsidRPr="00054DCF">
        <w:t xml:space="preserve"> in their replies to the authors, the national authorities failed to demonstrate how a picket held in the said location would jeopardize national security, public safety, public order, the protection of public health or morals or the protection of the rights and freedoms of others.</w:t>
      </w:r>
      <w:r w:rsidR="00C00847" w:rsidRPr="00054DCF">
        <w:rPr>
          <w:b/>
          <w:bCs/>
        </w:rPr>
        <w:t xml:space="preserve"> </w:t>
      </w:r>
      <w:r w:rsidR="00C00847" w:rsidRPr="00054DCF">
        <w:rPr>
          <w:bCs/>
        </w:rPr>
        <w:t xml:space="preserve">The Committee notes that </w:t>
      </w:r>
      <w:r w:rsidR="00C00847" w:rsidRPr="00054DCF">
        <w:t>the thus de facto prohibition</w:t>
      </w:r>
      <w:r w:rsidR="00C00847" w:rsidRPr="00054DCF">
        <w:rPr>
          <w:bCs/>
        </w:rPr>
        <w:t xml:space="preserve"> of an assembly in any public location in the entire city of Brest, with the exception of the Lokomotiv stadium, unduly limits the right to freedom of assembly. </w:t>
      </w:r>
      <w:r w:rsidR="00B33120">
        <w:rPr>
          <w:bCs/>
        </w:rPr>
        <w:t>Therefore</w:t>
      </w:r>
      <w:r w:rsidR="00C00847" w:rsidRPr="00054DCF">
        <w:rPr>
          <w:bCs/>
        </w:rPr>
        <w:t>, the Committee concludes that the authors’ right under article</w:t>
      </w:r>
      <w:r w:rsidR="00662F6E">
        <w:rPr>
          <w:bCs/>
        </w:rPr>
        <w:t> </w:t>
      </w:r>
      <w:r w:rsidR="00C00847" w:rsidRPr="00054DCF">
        <w:rPr>
          <w:bCs/>
        </w:rPr>
        <w:t>21 of the Covenant has been violated.</w:t>
      </w:r>
      <w:r w:rsidR="00C33A42">
        <w:rPr>
          <w:bCs/>
        </w:rPr>
        <w:t xml:space="preserve"> </w:t>
      </w:r>
    </w:p>
    <w:p w:rsidR="0059563B" w:rsidRPr="00913C0F" w:rsidRDefault="0059563B" w:rsidP="00AB6E51">
      <w:pPr>
        <w:pStyle w:val="SingleTxtG"/>
      </w:pPr>
      <w:r w:rsidRPr="004F643D">
        <w:rPr>
          <w:lang w:val="en-US"/>
        </w:rPr>
        <w:t>7</w:t>
      </w:r>
      <w:r w:rsidR="009D05F4" w:rsidRPr="004F643D">
        <w:rPr>
          <w:lang w:val="en-US"/>
        </w:rPr>
        <w:t>.6</w:t>
      </w:r>
      <w:r w:rsidR="009D05F4" w:rsidRPr="004F643D">
        <w:rPr>
          <w:lang w:val="en-US"/>
        </w:rPr>
        <w:tab/>
      </w:r>
      <w:r w:rsidRPr="004F643D">
        <w:t>The Committee note</w:t>
      </w:r>
      <w:r w:rsidR="00AB6E51">
        <w:t>s</w:t>
      </w:r>
      <w:r w:rsidRPr="004F643D">
        <w:t xml:space="preserve"> the authors’ claim that</w:t>
      </w:r>
      <w:r w:rsidR="00AB6E51">
        <w:t>,</w:t>
      </w:r>
      <w:r w:rsidRPr="004F643D">
        <w:t xml:space="preserve"> as a result of the </w:t>
      </w:r>
      <w:r w:rsidR="00AB6E51">
        <w:t xml:space="preserve">restriction to </w:t>
      </w:r>
      <w:r w:rsidRPr="004F643D">
        <w:t>hold a picket, they were also denied the right to impart information</w:t>
      </w:r>
      <w:r w:rsidR="00AB6E51">
        <w:t>,</w:t>
      </w:r>
      <w:r w:rsidRPr="004F643D">
        <w:t xml:space="preserve"> </w:t>
      </w:r>
      <w:r w:rsidR="00F557E0" w:rsidRPr="00913C0F">
        <w:rPr>
          <w:lang w:val="en-US"/>
        </w:rPr>
        <w:t>in violation of article</w:t>
      </w:r>
      <w:r w:rsidR="00662F6E">
        <w:rPr>
          <w:lang w:val="en-US"/>
        </w:rPr>
        <w:t> </w:t>
      </w:r>
      <w:r w:rsidR="00F557E0" w:rsidRPr="00913C0F">
        <w:rPr>
          <w:lang w:val="en-US"/>
        </w:rPr>
        <w:t>19 of the Covenant</w:t>
      </w:r>
      <w:r w:rsidRPr="00913C0F">
        <w:t xml:space="preserve">. </w:t>
      </w:r>
      <w:r w:rsidR="00F557E0" w:rsidRPr="003F0C15">
        <w:rPr>
          <w:lang w:val="en-US"/>
        </w:rPr>
        <w:t xml:space="preserve">The Committee recalls that freedom of opinion and freedom of expression constitute the foundation </w:t>
      </w:r>
      <w:r w:rsidR="00AB6E51">
        <w:rPr>
          <w:lang w:val="en-US"/>
        </w:rPr>
        <w:t>of</w:t>
      </w:r>
      <w:r w:rsidR="00F557E0" w:rsidRPr="003F0C15">
        <w:rPr>
          <w:lang w:val="en-US"/>
        </w:rPr>
        <w:t xml:space="preserve"> every free and democratic society.</w:t>
      </w:r>
      <w:r w:rsidR="00D466BF" w:rsidRPr="003F0C15">
        <w:rPr>
          <w:rStyle w:val="FootnoteReference"/>
          <w:sz w:val="20"/>
          <w:lang w:val="en-US"/>
        </w:rPr>
        <w:footnoteReference w:id="8"/>
      </w:r>
      <w:r w:rsidR="00F557E0" w:rsidRPr="003F0C15">
        <w:rPr>
          <w:lang w:val="en-US"/>
        </w:rPr>
        <w:t xml:space="preserve"> Any restrictions on the exercise</w:t>
      </w:r>
      <w:r w:rsidR="00AB6E51">
        <w:rPr>
          <w:lang w:val="en-US"/>
        </w:rPr>
        <w:t xml:space="preserve"> of those freedoms</w:t>
      </w:r>
      <w:r w:rsidR="00F557E0" w:rsidRPr="003F0C15">
        <w:rPr>
          <w:lang w:val="en-US"/>
        </w:rPr>
        <w:t xml:space="preserve"> must conform to the strict tests of necessity and proportionality and “must be applied only for those purposes for which they were prescribed and must be directly related to the specific need on which they are predicated”.</w:t>
      </w:r>
      <w:r w:rsidR="00D466BF" w:rsidRPr="003F0C15">
        <w:rPr>
          <w:rStyle w:val="FootnoteReference"/>
          <w:sz w:val="20"/>
          <w:lang w:val="en-US"/>
        </w:rPr>
        <w:footnoteReference w:id="9"/>
      </w:r>
      <w:r w:rsidRPr="00913C0F">
        <w:t xml:space="preserve"> In </w:t>
      </w:r>
      <w:r w:rsidR="00AB6E51">
        <w:t xml:space="preserve">the </w:t>
      </w:r>
      <w:r w:rsidRPr="00913C0F">
        <w:t xml:space="preserve">absence of any </w:t>
      </w:r>
      <w:r w:rsidRPr="00913C0F">
        <w:lastRenderedPageBreak/>
        <w:t xml:space="preserve">explanations on </w:t>
      </w:r>
      <w:r w:rsidR="00AB6E51">
        <w:t>the part</w:t>
      </w:r>
      <w:r w:rsidRPr="00913C0F">
        <w:t xml:space="preserve"> of the State party</w:t>
      </w:r>
      <w:r w:rsidR="00AB6E51">
        <w:t>,</w:t>
      </w:r>
      <w:r w:rsidRPr="00913C0F">
        <w:t xml:space="preserve"> and for the reasons</w:t>
      </w:r>
      <w:r w:rsidR="00F557E0" w:rsidRPr="003F0C15">
        <w:rPr>
          <w:lang w:val="en-US"/>
        </w:rPr>
        <w:t>,</w:t>
      </w:r>
      <w:r w:rsidR="00F557E0" w:rsidRPr="003F0C15">
        <w:rPr>
          <w:i/>
          <w:iCs/>
          <w:lang w:val="en-US"/>
        </w:rPr>
        <w:t xml:space="preserve"> mutatis mutandis,</w:t>
      </w:r>
      <w:r w:rsidR="004A4706" w:rsidRPr="003F0C15">
        <w:rPr>
          <w:i/>
          <w:iCs/>
          <w:lang w:val="en-US"/>
        </w:rPr>
        <w:t xml:space="preserve"> </w:t>
      </w:r>
      <w:r w:rsidRPr="00913C0F">
        <w:t xml:space="preserve">stated in </w:t>
      </w:r>
      <w:r w:rsidR="00B32B36" w:rsidRPr="00913C0F">
        <w:t>paragraph </w:t>
      </w:r>
      <w:r w:rsidRPr="00913C0F">
        <w:t>7.</w:t>
      </w:r>
      <w:r w:rsidR="00F557E0" w:rsidRPr="004F643D">
        <w:t>5</w:t>
      </w:r>
      <w:r w:rsidRPr="004F643D">
        <w:t xml:space="preserve"> above, the Committee concludes that </w:t>
      </w:r>
      <w:r w:rsidR="00AB6E51">
        <w:t xml:space="preserve">the provisions </w:t>
      </w:r>
      <w:r w:rsidRPr="004F643D">
        <w:t xml:space="preserve">of </w:t>
      </w:r>
      <w:r w:rsidR="00F557E0" w:rsidRPr="004F643D">
        <w:t>a</w:t>
      </w:r>
      <w:r w:rsidRPr="004F643D">
        <w:t>rticle</w:t>
      </w:r>
      <w:r w:rsidR="00662F6E">
        <w:t> </w:t>
      </w:r>
      <w:r w:rsidRPr="00913C0F">
        <w:t>19</w:t>
      </w:r>
      <w:r w:rsidR="00F557E0" w:rsidRPr="00913C0F">
        <w:t xml:space="preserve">, </w:t>
      </w:r>
      <w:r w:rsidR="00B32B36" w:rsidRPr="00913C0F">
        <w:t>paragraph </w:t>
      </w:r>
      <w:r w:rsidR="00F557E0" w:rsidRPr="004F643D">
        <w:t>2</w:t>
      </w:r>
      <w:r w:rsidR="00AB6E51">
        <w:t>,</w:t>
      </w:r>
      <w:r w:rsidR="00F557E0" w:rsidRPr="004F643D">
        <w:t xml:space="preserve"> of the Covenant</w:t>
      </w:r>
      <w:r w:rsidR="00AB6E51">
        <w:t xml:space="preserve"> have been violated</w:t>
      </w:r>
      <w:r w:rsidRPr="004F643D">
        <w:t>.</w:t>
      </w:r>
      <w:r w:rsidR="00F557E0" w:rsidRPr="003F0C15">
        <w:rPr>
          <w:rFonts w:ascii="Calibri" w:hAnsi="Calibri"/>
          <w:lang w:val="en-US"/>
        </w:rPr>
        <w:t xml:space="preserve"> </w:t>
      </w:r>
    </w:p>
    <w:p w:rsidR="009C3FF1" w:rsidRDefault="00FD1D08" w:rsidP="00C00847">
      <w:pPr>
        <w:pStyle w:val="SingleTxtG"/>
      </w:pPr>
      <w:r>
        <w:t>8.</w:t>
      </w:r>
      <w:r w:rsidR="00C00847" w:rsidRPr="00054DCF">
        <w:tab/>
        <w:t>The Human Rights Committee, acting under article</w:t>
      </w:r>
      <w:r w:rsidR="00D87E04">
        <w:t> </w:t>
      </w:r>
      <w:r w:rsidR="00C00847" w:rsidRPr="00054DCF">
        <w:t xml:space="preserve">5, </w:t>
      </w:r>
      <w:r w:rsidR="00B32B36">
        <w:t>paragraph </w:t>
      </w:r>
      <w:r w:rsidR="00C00847" w:rsidRPr="00054DCF">
        <w:t>4, of the Optional Protocol to the International Covenant on Civil and Political Rights, is of the view that the State party has violated the authors’ rights under article</w:t>
      </w:r>
      <w:r w:rsidR="00D87E04">
        <w:t> </w:t>
      </w:r>
      <w:r w:rsidR="00C00847" w:rsidRPr="00054DCF">
        <w:t xml:space="preserve">19, </w:t>
      </w:r>
      <w:r w:rsidR="00B32B36">
        <w:t>paragraph </w:t>
      </w:r>
      <w:r w:rsidR="00C00847" w:rsidRPr="00054DCF">
        <w:t>2, and article</w:t>
      </w:r>
      <w:r w:rsidR="00D87E04">
        <w:t> </w:t>
      </w:r>
      <w:r w:rsidR="00C00847" w:rsidRPr="00054DCF">
        <w:t xml:space="preserve">21 of the International Covenant on Civil and Political Rights. </w:t>
      </w:r>
    </w:p>
    <w:p w:rsidR="00C00847" w:rsidRPr="00C00847" w:rsidRDefault="00C00847" w:rsidP="00AB6E51">
      <w:pPr>
        <w:pStyle w:val="SingleTxtG"/>
      </w:pPr>
      <w:r w:rsidRPr="00C00847">
        <w:t>9.</w:t>
      </w:r>
      <w:r w:rsidRPr="00C00847">
        <w:tab/>
        <w:t>In accordance with article</w:t>
      </w:r>
      <w:r w:rsidR="00D87E04">
        <w:t> </w:t>
      </w:r>
      <w:r w:rsidRPr="00C00847">
        <w:t xml:space="preserve">2, </w:t>
      </w:r>
      <w:r w:rsidR="00B32B36">
        <w:t>paragraph </w:t>
      </w:r>
      <w:r w:rsidRPr="00C00847">
        <w:t>3</w:t>
      </w:r>
      <w:r w:rsidR="00D87E04">
        <w:t> </w:t>
      </w:r>
      <w:r w:rsidRPr="00C00847">
        <w:t>(a), of the Covenant, the State party is under an obligation to provide the authors with an effective remedy, including reimbursement of any legal costs incurred by the</w:t>
      </w:r>
      <w:r w:rsidR="00AB6E51">
        <w:t>m</w:t>
      </w:r>
      <w:r w:rsidRPr="00C00847">
        <w:t xml:space="preserve">, together with compensation. With a view to ensuring that the rights under </w:t>
      </w:r>
      <w:r w:rsidR="00B32B36">
        <w:t>articles </w:t>
      </w:r>
      <w:r w:rsidR="004A4706">
        <w:t>19 and</w:t>
      </w:r>
      <w:r w:rsidRPr="00C00847">
        <w:t xml:space="preserve"> 21 of the Covenant may be fully enjoyed in the State party, the State party should also review the national legislation as it has been applied in the present case. The State party is also under the obligation to take steps to prevent similar violations in the future.</w:t>
      </w:r>
    </w:p>
    <w:p w:rsidR="00C00847" w:rsidRPr="00C00847" w:rsidRDefault="00C00847" w:rsidP="00C00847">
      <w:pPr>
        <w:pStyle w:val="SingleTxtG"/>
      </w:pPr>
      <w:r w:rsidRPr="00C00847">
        <w:t>10.</w:t>
      </w:r>
      <w:r w:rsidRPr="00C00847">
        <w:tab/>
        <w:t>Bearing in mind that, by becoming a party to the Optional Protocol, the State party has recognized the competence of the Committee to determine whether there has been a violation of the Covenant or not and that, pursuant to article</w:t>
      </w:r>
      <w:r w:rsidR="00D87E04">
        <w:t> </w:t>
      </w:r>
      <w:r w:rsidRPr="00C00847">
        <w:t>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w:t>
      </w:r>
      <w:r w:rsidR="00D87E04">
        <w:t> </w:t>
      </w:r>
      <w:r w:rsidRPr="00C00847">
        <w:t>days, information about the measures taken to give effect to the Committee’s Views. The State party is also requested to publish the present Views, and to have them widely disseminated in Belarusian and Russian in the State party.</w:t>
      </w:r>
    </w:p>
    <w:p w:rsidR="00F35149" w:rsidRPr="00B40914" w:rsidRDefault="00F35149" w:rsidP="00F35149">
      <w:pPr>
        <w:pStyle w:val="SingleTxtG"/>
        <w:spacing w:before="240" w:after="0"/>
        <w:jc w:val="center"/>
        <w:rPr>
          <w:u w:val="single"/>
        </w:rPr>
      </w:pPr>
      <w:r>
        <w:rPr>
          <w:u w:val="single"/>
        </w:rPr>
        <w:tab/>
      </w:r>
      <w:r>
        <w:rPr>
          <w:u w:val="single"/>
        </w:rPr>
        <w:tab/>
      </w:r>
      <w:r>
        <w:rPr>
          <w:u w:val="single"/>
        </w:rPr>
        <w:tab/>
      </w:r>
    </w:p>
    <w:sectPr w:rsidR="00F35149" w:rsidRPr="00B40914" w:rsidSect="00B32B3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98" w:rsidRDefault="00420098"/>
  </w:endnote>
  <w:endnote w:type="continuationSeparator" w:id="0">
    <w:p w:rsidR="00420098" w:rsidRDefault="00420098"/>
  </w:endnote>
  <w:endnote w:type="continuationNotice" w:id="1">
    <w:p w:rsidR="00420098" w:rsidRDefault="00420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C3" w:rsidRPr="00781C83" w:rsidRDefault="00D37FC3"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3A3000">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C3" w:rsidRPr="00D12D7D" w:rsidRDefault="00D37FC3" w:rsidP="00781C83">
    <w:pPr>
      <w:pStyle w:val="Footer"/>
      <w:tabs>
        <w:tab w:val="right" w:pos="9638"/>
      </w:tabs>
      <w:rPr>
        <w:b/>
        <w:sz w:val="18"/>
      </w:rPr>
    </w:pPr>
    <w:r>
      <w:rPr>
        <w:b/>
        <w:sz w:val="18"/>
      </w:rPr>
      <w:tab/>
    </w:r>
    <w:r w:rsidRPr="00D12D7D">
      <w:rPr>
        <w:b/>
        <w:sz w:val="18"/>
      </w:rPr>
      <w:fldChar w:fldCharType="begin"/>
    </w:r>
    <w:r w:rsidRPr="00D12D7D">
      <w:rPr>
        <w:b/>
        <w:sz w:val="18"/>
      </w:rPr>
      <w:instrText xml:space="preserve"> PAGE  \* MERGEFORMAT </w:instrText>
    </w:r>
    <w:r w:rsidRPr="00D12D7D">
      <w:rPr>
        <w:b/>
        <w:sz w:val="18"/>
      </w:rPr>
      <w:fldChar w:fldCharType="separate"/>
    </w:r>
    <w:r w:rsidR="003A3000">
      <w:rPr>
        <w:b/>
        <w:noProof/>
        <w:sz w:val="18"/>
      </w:rPr>
      <w:t>3</w:t>
    </w:r>
    <w:r w:rsidRPr="00D12D7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C3" w:rsidRDefault="00316753" w:rsidP="00913C0F">
    <w:r>
      <w:rPr>
        <w:noProof/>
        <w:lang w:val="en-US"/>
      </w:rPr>
      <w:drawing>
        <wp:anchor distT="0" distB="0" distL="114300" distR="114300" simplePos="0" relativeHeight="251659264" behindDoc="0" locked="0" layoutInCell="1" allowOverlap="1" wp14:anchorId="12C24341" wp14:editId="419AD5BA">
          <wp:simplePos x="0" y="0"/>
          <wp:positionH relativeFrom="margin">
            <wp:posOffset>4283710</wp:posOffset>
          </wp:positionH>
          <wp:positionV relativeFrom="margin">
            <wp:posOffset>8207375</wp:posOffset>
          </wp:positionV>
          <wp:extent cx="934496" cy="231112"/>
          <wp:effectExtent l="0" t="0" r="0"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496" cy="231112"/>
                  </a:xfrm>
                  <a:prstGeom prst="rect">
                    <a:avLst/>
                  </a:prstGeom>
                  <a:noFill/>
                </pic:spPr>
              </pic:pic>
            </a:graphicData>
          </a:graphic>
          <wp14:sizeRelH relativeFrom="page">
            <wp14:pctWidth>0</wp14:pctWidth>
          </wp14:sizeRelH>
          <wp14:sizeRelV relativeFrom="page">
            <wp14:pctHeight>0</wp14:pctHeight>
          </wp14:sizeRelV>
        </wp:anchor>
      </w:drawing>
    </w:r>
    <w:r w:rsidR="00D37FC3">
      <w:t>GE.15-</w:t>
    </w:r>
    <w:r w:rsidR="003F410E">
      <w:t>09125</w:t>
    </w:r>
    <w:r>
      <w:t xml:space="preserve">  (E)</w:t>
    </w:r>
    <w:r w:rsidR="00A73CA6">
      <w:br/>
    </w:r>
    <w:r w:rsidR="00A73CA6" w:rsidRPr="00A73CA6">
      <w:rPr>
        <w:rFonts w:ascii="C39T30Lfz" w:hAnsi="C39T30Lfz"/>
        <w:sz w:val="56"/>
      </w:rPr>
      <w:t></w:t>
    </w:r>
    <w:r w:rsidR="00A73CA6" w:rsidRPr="00A73CA6">
      <w:rPr>
        <w:rFonts w:ascii="C39T30Lfz" w:hAnsi="C39T30Lfz"/>
        <w:sz w:val="56"/>
      </w:rPr>
      <w:t></w:t>
    </w:r>
    <w:r w:rsidR="00A73CA6" w:rsidRPr="00A73CA6">
      <w:rPr>
        <w:rFonts w:ascii="C39T30Lfz" w:hAnsi="C39T30Lfz"/>
        <w:sz w:val="56"/>
      </w:rPr>
      <w:t></w:t>
    </w:r>
    <w:r w:rsidR="00A73CA6" w:rsidRPr="00A73CA6">
      <w:rPr>
        <w:rFonts w:ascii="C39T30Lfz" w:hAnsi="C39T30Lfz"/>
        <w:sz w:val="56"/>
      </w:rPr>
      <w:t></w:t>
    </w:r>
    <w:r w:rsidR="00A73CA6" w:rsidRPr="00A73CA6">
      <w:rPr>
        <w:rFonts w:ascii="C39T30Lfz" w:hAnsi="C39T30Lfz"/>
        <w:sz w:val="56"/>
      </w:rPr>
      <w:t></w:t>
    </w:r>
    <w:r w:rsidR="00A73CA6" w:rsidRPr="00A73CA6">
      <w:rPr>
        <w:rFonts w:ascii="C39T30Lfz" w:hAnsi="C39T30Lfz"/>
        <w:sz w:val="56"/>
      </w:rPr>
      <w:t></w:t>
    </w:r>
    <w:r w:rsidR="00A73CA6" w:rsidRPr="00A73CA6">
      <w:rPr>
        <w:rFonts w:ascii="C39T30Lfz" w:hAnsi="C39T30Lfz"/>
        <w:sz w:val="56"/>
      </w:rPr>
      <w:t></w:t>
    </w:r>
    <w:r w:rsidR="00A73CA6" w:rsidRPr="00A73CA6">
      <w:rPr>
        <w:rFonts w:ascii="C39T30Lfz" w:hAnsi="C39T30Lfz"/>
        <w:sz w:val="56"/>
      </w:rPr>
      <w:t></w:t>
    </w:r>
    <w:r w:rsidR="00A73CA6" w:rsidRPr="00A73CA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98" w:rsidRPr="000B175B" w:rsidRDefault="00420098" w:rsidP="000B175B">
      <w:pPr>
        <w:tabs>
          <w:tab w:val="right" w:pos="2155"/>
        </w:tabs>
        <w:spacing w:after="80"/>
        <w:ind w:left="680"/>
        <w:rPr>
          <w:u w:val="single"/>
        </w:rPr>
      </w:pPr>
      <w:r>
        <w:rPr>
          <w:u w:val="single"/>
        </w:rPr>
        <w:tab/>
      </w:r>
    </w:p>
  </w:footnote>
  <w:footnote w:type="continuationSeparator" w:id="0">
    <w:p w:rsidR="00420098" w:rsidRPr="00FC68B7" w:rsidRDefault="00420098" w:rsidP="00FC68B7">
      <w:pPr>
        <w:tabs>
          <w:tab w:val="left" w:pos="2155"/>
        </w:tabs>
        <w:spacing w:after="80"/>
        <w:ind w:left="680"/>
        <w:rPr>
          <w:u w:val="single"/>
        </w:rPr>
      </w:pPr>
      <w:r>
        <w:rPr>
          <w:u w:val="single"/>
        </w:rPr>
        <w:tab/>
      </w:r>
    </w:p>
  </w:footnote>
  <w:footnote w:type="continuationNotice" w:id="1">
    <w:p w:rsidR="00420098" w:rsidRDefault="00420098"/>
  </w:footnote>
  <w:footnote w:id="2">
    <w:p w:rsidR="00D37FC3" w:rsidRPr="003F0C15" w:rsidRDefault="00D37FC3" w:rsidP="00E6440F">
      <w:pPr>
        <w:pStyle w:val="FootnoteText"/>
        <w:rPr>
          <w:lang w:val="en-US"/>
        </w:rPr>
      </w:pPr>
      <w:r w:rsidRPr="0076004A">
        <w:rPr>
          <w:rStyle w:val="FootnoteReference"/>
          <w:szCs w:val="18"/>
        </w:rPr>
        <w:tab/>
      </w:r>
      <w:r w:rsidRPr="0076004A">
        <w:rPr>
          <w:rStyle w:val="FootnoteReference"/>
          <w:szCs w:val="18"/>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Pr>
          <w:szCs w:val="18"/>
        </w:rPr>
        <w:t>Yadh Ben Achour,</w:t>
      </w:r>
      <w:r>
        <w:rPr>
          <w:bCs/>
          <w:szCs w:val="18"/>
        </w:rPr>
        <w:t xml:space="preserve"> </w:t>
      </w:r>
      <w:r w:rsidRPr="009131F3">
        <w:rPr>
          <w:bCs/>
          <w:szCs w:val="18"/>
        </w:rPr>
        <w:t xml:space="preserve">Lazhari Bouzid, </w:t>
      </w:r>
      <w:r>
        <w:rPr>
          <w:bCs/>
          <w:szCs w:val="18"/>
        </w:rPr>
        <w:t xml:space="preserve">Sarah Cleveland, Olivier de Frouville, </w:t>
      </w:r>
      <w:r w:rsidRPr="009131F3">
        <w:rPr>
          <w:bCs/>
          <w:szCs w:val="18"/>
        </w:rPr>
        <w:t>Yuji</w:t>
      </w:r>
      <w:r>
        <w:rPr>
          <w:bCs/>
          <w:szCs w:val="18"/>
        </w:rPr>
        <w:t> </w:t>
      </w:r>
      <w:r w:rsidRPr="009131F3">
        <w:rPr>
          <w:bCs/>
          <w:szCs w:val="18"/>
        </w:rPr>
        <w:t xml:space="preserve">Iwasawa, </w:t>
      </w:r>
      <w:r>
        <w:rPr>
          <w:bCs/>
          <w:szCs w:val="18"/>
        </w:rPr>
        <w:t>Ivana Jeli</w:t>
      </w:r>
      <w:r w:rsidR="00E6440F" w:rsidRPr="003F0C15">
        <w:rPr>
          <w:bCs/>
          <w:szCs w:val="18"/>
        </w:rPr>
        <w:t>ć</w:t>
      </w:r>
      <w:r>
        <w:rPr>
          <w:bCs/>
          <w:szCs w:val="18"/>
        </w:rPr>
        <w:t>, Duncan Muhumuya Laki, Photini Pazartzis, Mauro Politi, Sir Nigel Rodley, Víctor Manuel Rodríguez-Rescia,</w:t>
      </w:r>
      <w:r>
        <w:rPr>
          <w:bCs/>
          <w:szCs w:val="18"/>
          <w:lang w:val="en-US"/>
        </w:rPr>
        <w:t xml:space="preserve"> </w:t>
      </w:r>
      <w:r w:rsidRPr="009131F3">
        <w:rPr>
          <w:bCs/>
          <w:szCs w:val="18"/>
          <w:lang w:val="en-US"/>
        </w:rPr>
        <w:t>Fabi</w:t>
      </w:r>
      <w:r>
        <w:rPr>
          <w:bCs/>
          <w:szCs w:val="18"/>
          <w:lang w:val="en-US"/>
        </w:rPr>
        <w:t>á</w:t>
      </w:r>
      <w:r w:rsidRPr="009131F3">
        <w:rPr>
          <w:bCs/>
          <w:szCs w:val="18"/>
          <w:lang w:val="en-US"/>
        </w:rPr>
        <w:t xml:space="preserve">n Omar Salvioli, </w:t>
      </w:r>
      <w:r>
        <w:rPr>
          <w:bCs/>
          <w:szCs w:val="18"/>
          <w:lang w:val="en-US"/>
        </w:rPr>
        <w:t>Dheerujlall B. Seetulsingh, Anja Seibert-Fohr, Yuval Shany, Konstantine Vardzelashvili</w:t>
      </w:r>
      <w:r>
        <w:rPr>
          <w:bCs/>
          <w:szCs w:val="18"/>
        </w:rPr>
        <w:t xml:space="preserve"> and Margo Waterval.</w:t>
      </w:r>
    </w:p>
  </w:footnote>
  <w:footnote w:id="3">
    <w:p w:rsidR="00D37FC3" w:rsidRPr="00706988" w:rsidRDefault="00D37FC3" w:rsidP="00FD1D08">
      <w:pPr>
        <w:pStyle w:val="FootnoteText"/>
      </w:pPr>
      <w:r w:rsidRPr="009D05F4">
        <w:tab/>
      </w:r>
      <w:r>
        <w:rPr>
          <w:rStyle w:val="FootnoteReference"/>
        </w:rPr>
        <w:footnoteRef/>
      </w:r>
      <w:r w:rsidRPr="00BB243F">
        <w:rPr>
          <w:lang w:val="en-US"/>
        </w:rPr>
        <w:tab/>
      </w:r>
      <w:r w:rsidRPr="00706988">
        <w:rPr>
          <w:lang w:val="en-US"/>
        </w:rPr>
        <w:t xml:space="preserve">The Optional </w:t>
      </w:r>
      <w:r w:rsidRPr="00FD1D08">
        <w:t>Protocol</w:t>
      </w:r>
      <w:r w:rsidRPr="00706988">
        <w:rPr>
          <w:lang w:val="en-US"/>
        </w:rPr>
        <w:t xml:space="preserve"> entered into force for Belarus on 30 December 1992.</w:t>
      </w:r>
    </w:p>
  </w:footnote>
  <w:footnote w:id="4">
    <w:p w:rsidR="00D37FC3" w:rsidRDefault="00F55583" w:rsidP="003F0C15">
      <w:pPr>
        <w:pStyle w:val="FootnoteText"/>
      </w:pPr>
      <w:r>
        <w:tab/>
      </w:r>
      <w:r w:rsidR="00D37FC3" w:rsidRPr="00913C0F">
        <w:rPr>
          <w:rStyle w:val="FootnoteReference"/>
          <w:sz w:val="17"/>
          <w:szCs w:val="17"/>
        </w:rPr>
        <w:footnoteRef/>
      </w:r>
      <w:r w:rsidR="00D37FC3" w:rsidRPr="00913C0F">
        <w:t xml:space="preserve"> </w:t>
      </w:r>
      <w:r>
        <w:tab/>
      </w:r>
      <w:r w:rsidR="00D37FC3" w:rsidRPr="003F0C15">
        <w:t xml:space="preserve">The </w:t>
      </w:r>
      <w:r>
        <w:t xml:space="preserve">relevant part of the </w:t>
      </w:r>
      <w:r w:rsidR="00D37FC3" w:rsidRPr="003F0C15">
        <w:t xml:space="preserve">decision reads </w:t>
      </w:r>
      <w:r>
        <w:t>as follows</w:t>
      </w:r>
      <w:r w:rsidR="00D37FC3" w:rsidRPr="003F0C15">
        <w:t xml:space="preserve">: “…the Brest City Executive Committee </w:t>
      </w:r>
      <w:r>
        <w:t>decides</w:t>
      </w:r>
      <w:r w:rsidR="00D37FC3" w:rsidRPr="003F0C15">
        <w:t xml:space="preserve">: </w:t>
      </w:r>
      <w:r>
        <w:t>(</w:t>
      </w:r>
      <w:r w:rsidR="00D37FC3" w:rsidRPr="003F0C15">
        <w:t>1</w:t>
      </w:r>
      <w:r>
        <w:t>)</w:t>
      </w:r>
      <w:r w:rsidR="00D37FC3" w:rsidRPr="003F0C15">
        <w:t xml:space="preserve"> To determine as a </w:t>
      </w:r>
      <w:r w:rsidR="00D37FC3" w:rsidRPr="003F0C15">
        <w:rPr>
          <w:rStyle w:val="hps"/>
        </w:rPr>
        <w:t>permanent</w:t>
      </w:r>
      <w:r w:rsidR="00D37FC3" w:rsidRPr="003F0C15">
        <w:t xml:space="preserve"> </w:t>
      </w:r>
      <w:r w:rsidR="00D37FC3" w:rsidRPr="003F0C15">
        <w:rPr>
          <w:rStyle w:val="hps"/>
        </w:rPr>
        <w:t>venue for</w:t>
      </w:r>
      <w:r w:rsidR="00D37FC3" w:rsidRPr="003F0C15">
        <w:t xml:space="preserve"> all </w:t>
      </w:r>
      <w:r w:rsidR="00D37FC3" w:rsidRPr="003F0C15">
        <w:rPr>
          <w:rStyle w:val="hps"/>
        </w:rPr>
        <w:t>public events</w:t>
      </w:r>
      <w:r w:rsidR="00D37FC3" w:rsidRPr="003F0C15">
        <w:t xml:space="preserve"> </w:t>
      </w:r>
      <w:r w:rsidR="00D37FC3" w:rsidRPr="003F0C15">
        <w:rPr>
          <w:rStyle w:val="hps"/>
        </w:rPr>
        <w:t>in the city of</w:t>
      </w:r>
      <w:r w:rsidR="00D37FC3" w:rsidRPr="003F0C15">
        <w:t xml:space="preserve"> </w:t>
      </w:r>
      <w:r w:rsidR="00D37FC3" w:rsidRPr="003F0C15">
        <w:rPr>
          <w:rStyle w:val="hps"/>
        </w:rPr>
        <w:t>Brest,</w:t>
      </w:r>
      <w:r w:rsidR="00D37FC3" w:rsidRPr="003F0C15">
        <w:t xml:space="preserve"> with the </w:t>
      </w:r>
      <w:r w:rsidR="00D37FC3" w:rsidRPr="003F0C15">
        <w:rPr>
          <w:rStyle w:val="hps"/>
        </w:rPr>
        <w:t>exception of</w:t>
      </w:r>
      <w:r w:rsidR="00D37FC3" w:rsidRPr="003F0C15">
        <w:t xml:space="preserve"> street demonstrations and street processions</w:t>
      </w:r>
      <w:r w:rsidR="00D37FC3" w:rsidRPr="003F0C15">
        <w:rPr>
          <w:rStyle w:val="hps"/>
        </w:rPr>
        <w:t>,</w:t>
      </w:r>
      <w:r w:rsidR="00D37FC3" w:rsidRPr="003F0C15">
        <w:t xml:space="preserve"> the </w:t>
      </w:r>
      <w:r w:rsidR="00D37FC3" w:rsidRPr="003F0C15">
        <w:rPr>
          <w:rStyle w:val="hps"/>
        </w:rPr>
        <w:t>sports</w:t>
      </w:r>
      <w:r w:rsidR="00D37FC3" w:rsidRPr="003F0C15">
        <w:t xml:space="preserve"> </w:t>
      </w:r>
      <w:r w:rsidR="00D37FC3" w:rsidRPr="003F0C15">
        <w:rPr>
          <w:rStyle w:val="hps"/>
        </w:rPr>
        <w:t>complex</w:t>
      </w:r>
      <w:r w:rsidR="00D37FC3" w:rsidRPr="003F0C15">
        <w:t xml:space="preserve"> </w:t>
      </w:r>
      <w:r w:rsidR="00D37FC3" w:rsidRPr="003F0C15">
        <w:rPr>
          <w:rStyle w:val="hps"/>
        </w:rPr>
        <w:t>ʻLocomotiv’</w:t>
      </w:r>
      <w:r>
        <w:rPr>
          <w:rStyle w:val="hps"/>
        </w:rPr>
        <w:t xml:space="preserve"> …</w:t>
      </w:r>
      <w:r w:rsidR="00D37FC3" w:rsidRPr="003F0C15">
        <w:t>” [Unofficial translation].</w:t>
      </w:r>
    </w:p>
    <w:p w:rsidR="00D37FC3" w:rsidRPr="00913C0F" w:rsidRDefault="00F55583" w:rsidP="00F55583">
      <w:pPr>
        <w:pStyle w:val="FootnoteText"/>
      </w:pPr>
      <w:r>
        <w:tab/>
      </w:r>
      <w:r>
        <w:tab/>
      </w:r>
      <w:r w:rsidR="00D37FC3" w:rsidRPr="003F0C15">
        <w:t xml:space="preserve">Article 3 of the Law </w:t>
      </w:r>
      <w:r>
        <w:t>on</w:t>
      </w:r>
      <w:r w:rsidR="00D37FC3" w:rsidRPr="003F0C15">
        <w:t xml:space="preserve"> </w:t>
      </w:r>
      <w:r>
        <w:t>Public</w:t>
      </w:r>
      <w:r w:rsidR="00D37FC3" w:rsidRPr="003F0C15">
        <w:t xml:space="preserve"> Events in the Republic of Belarus </w:t>
      </w:r>
      <w:r>
        <w:t xml:space="preserve">states: </w:t>
      </w:r>
      <w:r w:rsidR="00D37FC3" w:rsidRPr="003F0C15">
        <w:t xml:space="preserve">“The rules for organization and conduct of </w:t>
      </w:r>
      <w:r>
        <w:t>public</w:t>
      </w:r>
      <w:r w:rsidR="00D37FC3" w:rsidRPr="003F0C15">
        <w:t xml:space="preserve"> events, established by this law […] do not apply to </w:t>
      </w:r>
      <w:r>
        <w:t>such</w:t>
      </w:r>
      <w:r w:rsidR="00D37FC3" w:rsidRPr="003F0C15">
        <w:t xml:space="preserve"> events carried out following a decision of </w:t>
      </w:r>
      <w:r>
        <w:t>S</w:t>
      </w:r>
      <w:r w:rsidR="00D37FC3" w:rsidRPr="003F0C15">
        <w:t>tate bodies.” [Unofficial translation].</w:t>
      </w:r>
    </w:p>
  </w:footnote>
  <w:footnote w:id="5">
    <w:p w:rsidR="00D37FC3" w:rsidRPr="002D7094" w:rsidRDefault="00D37FC3" w:rsidP="00C93256">
      <w:pPr>
        <w:pStyle w:val="FootnoteText"/>
        <w:rPr>
          <w:highlight w:val="yellow"/>
        </w:rPr>
      </w:pPr>
      <w:r>
        <w:tab/>
      </w:r>
      <w:r>
        <w:rPr>
          <w:rStyle w:val="FootnoteReference"/>
        </w:rPr>
        <w:footnoteRef/>
      </w:r>
      <w:r>
        <w:tab/>
      </w:r>
      <w:r w:rsidRPr="003E00B8">
        <w:t>S</w:t>
      </w:r>
      <w:r w:rsidRPr="00F824F7">
        <w:t xml:space="preserve">ee, </w:t>
      </w:r>
      <w:r w:rsidRPr="00ED0E83">
        <w:t>inter alia</w:t>
      </w:r>
      <w:r w:rsidRPr="00F824F7">
        <w:t xml:space="preserve">, communication </w:t>
      </w:r>
      <w:r>
        <w:t>No. </w:t>
      </w:r>
      <w:r w:rsidRPr="00F824F7">
        <w:t xml:space="preserve">869/1999, </w:t>
      </w:r>
      <w:r w:rsidRPr="002D7094">
        <w:rPr>
          <w:i/>
        </w:rPr>
        <w:t xml:space="preserve">Piandiong et al. </w:t>
      </w:r>
      <w:r w:rsidRPr="00ED0E83">
        <w:rPr>
          <w:iCs/>
        </w:rPr>
        <w:t>v.</w:t>
      </w:r>
      <w:r w:rsidRPr="002D7094">
        <w:rPr>
          <w:i/>
        </w:rPr>
        <w:t xml:space="preserve"> Philippines</w:t>
      </w:r>
      <w:r w:rsidRPr="003E00B8">
        <w:t>, Views adopted on 19</w:t>
      </w:r>
      <w:r>
        <w:t> </w:t>
      </w:r>
      <w:r w:rsidRPr="003E00B8">
        <w:t xml:space="preserve">October 2000, </w:t>
      </w:r>
      <w:r>
        <w:t>para. </w:t>
      </w:r>
      <w:r w:rsidRPr="003E00B8">
        <w:t>5.1.</w:t>
      </w:r>
    </w:p>
  </w:footnote>
  <w:footnote w:id="6">
    <w:p w:rsidR="00D37FC3" w:rsidRPr="002D7094" w:rsidRDefault="00D37FC3" w:rsidP="00ED0E83">
      <w:pPr>
        <w:pStyle w:val="FootnoteText"/>
        <w:rPr>
          <w:highlight w:val="yellow"/>
          <w:lang w:val="en-US"/>
        </w:rPr>
      </w:pPr>
      <w:r w:rsidRPr="003E00B8">
        <w:tab/>
      </w:r>
      <w:r w:rsidRPr="003E00B8">
        <w:rPr>
          <w:rStyle w:val="FootnoteReference"/>
        </w:rPr>
        <w:footnoteRef/>
      </w:r>
      <w:r w:rsidRPr="003E00B8">
        <w:tab/>
      </w:r>
      <w:r w:rsidRPr="00F824F7">
        <w:t>See also communication</w:t>
      </w:r>
      <w:r>
        <w:t>s</w:t>
      </w:r>
      <w:r w:rsidRPr="003E00B8">
        <w:t xml:space="preserve"> </w:t>
      </w:r>
      <w:r>
        <w:t>No. </w:t>
      </w:r>
      <w:r w:rsidRPr="003E00B8">
        <w:t xml:space="preserve">1226/2003, </w:t>
      </w:r>
      <w:r w:rsidRPr="002D7094">
        <w:rPr>
          <w:i/>
        </w:rPr>
        <w:t>Korneenko</w:t>
      </w:r>
      <w:r w:rsidRPr="00913C0F">
        <w:rPr>
          <w:i/>
        </w:rPr>
        <w:t xml:space="preserve"> </w:t>
      </w:r>
      <w:r w:rsidRPr="00ED0E83">
        <w:rPr>
          <w:iCs/>
        </w:rPr>
        <w:t>v.</w:t>
      </w:r>
      <w:r w:rsidRPr="002D7094">
        <w:rPr>
          <w:i/>
        </w:rPr>
        <w:t xml:space="preserve"> Belarus</w:t>
      </w:r>
      <w:r w:rsidRPr="003E00B8">
        <w:t xml:space="preserve">, Views adopted on 20 July 2012, </w:t>
      </w:r>
      <w:r>
        <w:t>paras. </w:t>
      </w:r>
      <w:r w:rsidRPr="003E00B8">
        <w:t xml:space="preserve">8.1 and 8.2; </w:t>
      </w:r>
      <w:r>
        <w:t>and</w:t>
      </w:r>
      <w:r w:rsidRPr="00F824F7">
        <w:t xml:space="preserve"> </w:t>
      </w:r>
      <w:r>
        <w:t>No. </w:t>
      </w:r>
      <w:r w:rsidRPr="00822486">
        <w:t xml:space="preserve">1948/2010, </w:t>
      </w:r>
      <w:r w:rsidRPr="002D7094">
        <w:rPr>
          <w:i/>
        </w:rPr>
        <w:t>Turchenyak et al</w:t>
      </w:r>
      <w:r w:rsidRPr="00913C0F">
        <w:rPr>
          <w:i/>
        </w:rPr>
        <w:t xml:space="preserve">. </w:t>
      </w:r>
      <w:r w:rsidRPr="00ED0E83">
        <w:rPr>
          <w:iCs/>
        </w:rPr>
        <w:t>v.</w:t>
      </w:r>
      <w:r w:rsidRPr="002D7094">
        <w:rPr>
          <w:i/>
        </w:rPr>
        <w:t xml:space="preserve"> Belarus</w:t>
      </w:r>
      <w:r w:rsidRPr="003E00B8">
        <w:t xml:space="preserve">, Views adopted on 24 July 2013, </w:t>
      </w:r>
      <w:r>
        <w:t>paras. </w:t>
      </w:r>
      <w:r w:rsidRPr="003E00B8">
        <w:t>5.1. and 5.2.</w:t>
      </w:r>
    </w:p>
  </w:footnote>
  <w:footnote w:id="7">
    <w:p w:rsidR="00D37FC3" w:rsidRPr="00054DCF" w:rsidRDefault="00D37FC3" w:rsidP="003F0C15">
      <w:pPr>
        <w:pStyle w:val="FootnoteText"/>
      </w:pPr>
      <w:r w:rsidRPr="00BB243F">
        <w:rPr>
          <w:lang w:val="en-US"/>
        </w:rPr>
        <w:tab/>
      </w:r>
      <w:r>
        <w:rPr>
          <w:rStyle w:val="FootnoteReference"/>
        </w:rPr>
        <w:footnoteRef/>
      </w:r>
      <w:r w:rsidRPr="00BB243F">
        <w:rPr>
          <w:lang w:val="en-US"/>
        </w:rPr>
        <w:tab/>
      </w:r>
      <w:r>
        <w:t xml:space="preserve">See, for example, communication No. 1948/2010, </w:t>
      </w:r>
      <w:r>
        <w:rPr>
          <w:i/>
        </w:rPr>
        <w:t xml:space="preserve">Turchenyak et al. </w:t>
      </w:r>
      <w:r w:rsidRPr="003F0C15">
        <w:rPr>
          <w:iCs/>
        </w:rPr>
        <w:t>v.</w:t>
      </w:r>
      <w:r>
        <w:rPr>
          <w:i/>
        </w:rPr>
        <w:t xml:space="preserve"> Belarus</w:t>
      </w:r>
      <w:r>
        <w:t>, para. 7.</w:t>
      </w:r>
      <w:r w:rsidRPr="00054DCF">
        <w:t>4.</w:t>
      </w:r>
    </w:p>
  </w:footnote>
  <w:footnote w:id="8">
    <w:p w:rsidR="00D37FC3" w:rsidRPr="00AF6493" w:rsidRDefault="00D37FC3" w:rsidP="003F0C15">
      <w:pPr>
        <w:pStyle w:val="FootnoteText"/>
      </w:pPr>
      <w:r>
        <w:tab/>
      </w:r>
      <w:r>
        <w:rPr>
          <w:rStyle w:val="FootnoteReference"/>
        </w:rPr>
        <w:footnoteRef/>
      </w:r>
      <w:r>
        <w:tab/>
      </w:r>
      <w:r w:rsidRPr="003F0C15">
        <w:t xml:space="preserve">See </w:t>
      </w:r>
      <w:r w:rsidR="00ED0E83">
        <w:t>Human Rights Committee, g</w:t>
      </w:r>
      <w:r w:rsidRPr="00D466BF">
        <w:t xml:space="preserve">eneral comment </w:t>
      </w:r>
      <w:r>
        <w:t>No. </w:t>
      </w:r>
      <w:r w:rsidRPr="00D466BF">
        <w:t>34</w:t>
      </w:r>
      <w:r w:rsidR="00ED0E83">
        <w:t xml:space="preserve"> (2011) on f</w:t>
      </w:r>
      <w:r w:rsidRPr="003F0C15">
        <w:t>reedoms of opinion and expression</w:t>
      </w:r>
      <w:r>
        <w:t>, para. 2.</w:t>
      </w:r>
      <w:r w:rsidR="00ED0E83">
        <w:t>.</w:t>
      </w:r>
    </w:p>
  </w:footnote>
  <w:footnote w:id="9">
    <w:p w:rsidR="00D37FC3" w:rsidRPr="00AF6493" w:rsidRDefault="00D37FC3" w:rsidP="003F0C15">
      <w:pPr>
        <w:pStyle w:val="FootnoteText"/>
      </w:pPr>
      <w:r>
        <w:tab/>
      </w:r>
      <w:r>
        <w:rPr>
          <w:rStyle w:val="FootnoteReference"/>
        </w:rPr>
        <w:footnoteRef/>
      </w:r>
      <w:r>
        <w:tab/>
        <w:t>Ibid., para. 22</w:t>
      </w:r>
      <w:r w:rsidR="00ED0E83">
        <w:t>; s</w:t>
      </w:r>
      <w:r>
        <w:t>ee also communications No. </w:t>
      </w:r>
      <w:r w:rsidRPr="00957BFD">
        <w:rPr>
          <w:lang w:val="en-US"/>
        </w:rPr>
        <w:t xml:space="preserve">1929/2010, </w:t>
      </w:r>
      <w:r w:rsidRPr="003F0C15">
        <w:rPr>
          <w:i/>
          <w:lang w:val="en-US"/>
        </w:rPr>
        <w:t xml:space="preserve">Lozenko </w:t>
      </w:r>
      <w:r w:rsidRPr="003F0C15">
        <w:rPr>
          <w:iCs/>
          <w:lang w:val="en-US"/>
        </w:rPr>
        <w:t>v.</w:t>
      </w:r>
      <w:r w:rsidRPr="003F0C15">
        <w:rPr>
          <w:i/>
          <w:lang w:val="en-US"/>
        </w:rPr>
        <w:t xml:space="preserve"> Belarus</w:t>
      </w:r>
      <w:r>
        <w:rPr>
          <w:i/>
          <w:lang w:val="en-US"/>
        </w:rPr>
        <w:t xml:space="preserve">, </w:t>
      </w:r>
      <w:r>
        <w:rPr>
          <w:lang w:val="en-US"/>
        </w:rPr>
        <w:t xml:space="preserve">Views adopted on </w:t>
      </w:r>
      <w:r w:rsidRPr="00957BFD">
        <w:rPr>
          <w:lang w:val="en-US"/>
        </w:rPr>
        <w:t>24</w:t>
      </w:r>
      <w:r w:rsidRPr="00957BFD">
        <w:t xml:space="preserve"> October 2014</w:t>
      </w:r>
      <w:r>
        <w:t>, para. 7.8</w:t>
      </w:r>
      <w:r w:rsidR="00ED0E83">
        <w:t>;</w:t>
      </w:r>
      <w:r>
        <w:rPr>
          <w:i/>
          <w:lang w:val="en-US"/>
        </w:rPr>
        <w:t xml:space="preserve"> </w:t>
      </w:r>
      <w:r w:rsidRPr="003F0C15">
        <w:rPr>
          <w:lang w:val="en-US"/>
        </w:rPr>
        <w:t xml:space="preserve">No </w:t>
      </w:r>
      <w:r w:rsidRPr="003F0C15">
        <w:t>1999/2010,</w:t>
      </w:r>
      <w:r w:rsidRPr="00957BFD">
        <w:rPr>
          <w:i/>
          <w:lang w:val="en-US"/>
        </w:rPr>
        <w:t xml:space="preserve"> </w:t>
      </w:r>
      <w:r>
        <w:rPr>
          <w:i/>
          <w:lang w:val="en-US"/>
        </w:rPr>
        <w:t xml:space="preserve">Evrezov et al. </w:t>
      </w:r>
      <w:r w:rsidRPr="003F0C15">
        <w:rPr>
          <w:iCs/>
          <w:lang w:val="en-US"/>
        </w:rPr>
        <w:t>v.</w:t>
      </w:r>
      <w:r>
        <w:rPr>
          <w:i/>
          <w:lang w:val="en-US"/>
        </w:rPr>
        <w:t xml:space="preserve"> Belarus</w:t>
      </w:r>
      <w:r w:rsidRPr="00957BFD">
        <w:rPr>
          <w:i/>
          <w:lang w:val="en-US"/>
        </w:rPr>
        <w:t xml:space="preserve">, </w:t>
      </w:r>
      <w:r>
        <w:rPr>
          <w:lang w:val="en-US"/>
        </w:rPr>
        <w:t xml:space="preserve">Views adopted on </w:t>
      </w:r>
      <w:r>
        <w:t>10 October 2014</w:t>
      </w:r>
      <w:r>
        <w:rPr>
          <w:lang w:val="en-US"/>
        </w:rPr>
        <w:t>, paras. 8.6–8.8</w:t>
      </w:r>
      <w:r w:rsidR="00ED0E83">
        <w:rPr>
          <w:lang w:val="en-US"/>
        </w:rPr>
        <w:t>;</w:t>
      </w:r>
      <w:r>
        <w:rPr>
          <w:lang w:val="en-US"/>
        </w:rPr>
        <w:t xml:space="preserve"> No. </w:t>
      </w:r>
      <w:r w:rsidRPr="00957BFD">
        <w:t>1976/2010</w:t>
      </w:r>
      <w:r>
        <w:rPr>
          <w:i/>
          <w:lang w:val="en-US"/>
        </w:rPr>
        <w:t xml:space="preserve">, </w:t>
      </w:r>
      <w:r w:rsidRPr="00957BFD">
        <w:rPr>
          <w:i/>
          <w:lang w:val="en-US"/>
        </w:rPr>
        <w:t>Kuznetsov</w:t>
      </w:r>
      <w:r>
        <w:rPr>
          <w:i/>
          <w:lang w:val="en-US"/>
        </w:rPr>
        <w:t xml:space="preserve"> et al.</w:t>
      </w:r>
      <w:r w:rsidRPr="00957BFD">
        <w:rPr>
          <w:i/>
          <w:lang w:val="en-US"/>
        </w:rPr>
        <w:t xml:space="preserve"> </w:t>
      </w:r>
      <w:r w:rsidRPr="003F0C15">
        <w:rPr>
          <w:iCs/>
          <w:lang w:val="en-US"/>
        </w:rPr>
        <w:t>v.</w:t>
      </w:r>
      <w:r w:rsidRPr="00957BFD">
        <w:rPr>
          <w:i/>
          <w:lang w:val="en-US"/>
        </w:rPr>
        <w:t xml:space="preserve"> Belarus</w:t>
      </w:r>
      <w:r>
        <w:rPr>
          <w:i/>
          <w:lang w:val="en-US"/>
        </w:rPr>
        <w:t xml:space="preserve">, </w:t>
      </w:r>
      <w:r>
        <w:rPr>
          <w:lang w:val="en-US"/>
        </w:rPr>
        <w:t>Views adopted on</w:t>
      </w:r>
      <w:r w:rsidRPr="00957BFD">
        <w:rPr>
          <w:sz w:val="20"/>
        </w:rPr>
        <w:t xml:space="preserve"> </w:t>
      </w:r>
      <w:r w:rsidRPr="00957BFD">
        <w:t>24 July 2014</w:t>
      </w:r>
      <w:r>
        <w:t>, paras. 9.6‒9.8.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C3" w:rsidRPr="00781C83" w:rsidRDefault="00D37FC3" w:rsidP="00781C83">
    <w:pPr>
      <w:pStyle w:val="Header"/>
    </w:pPr>
    <w:r>
      <w:t>CCPR/C/113/D/1949/2010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C3" w:rsidRPr="00781C83" w:rsidRDefault="00D37FC3" w:rsidP="00781C83">
    <w:pPr>
      <w:pStyle w:val="Header"/>
      <w:jc w:val="right"/>
    </w:pPr>
    <w:r>
      <w:t>CCPR/C/113/D/1949/2010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44E2"/>
    <w:rsid w:val="00007C9A"/>
    <w:rsid w:val="0001627B"/>
    <w:rsid w:val="000170C3"/>
    <w:rsid w:val="00023024"/>
    <w:rsid w:val="00024522"/>
    <w:rsid w:val="00025D41"/>
    <w:rsid w:val="0002635B"/>
    <w:rsid w:val="000272B3"/>
    <w:rsid w:val="0003387B"/>
    <w:rsid w:val="00033CD0"/>
    <w:rsid w:val="000354F2"/>
    <w:rsid w:val="00036F3F"/>
    <w:rsid w:val="000377A5"/>
    <w:rsid w:val="0004092D"/>
    <w:rsid w:val="00041994"/>
    <w:rsid w:val="00043AFA"/>
    <w:rsid w:val="000442BC"/>
    <w:rsid w:val="00050F6B"/>
    <w:rsid w:val="00054DCF"/>
    <w:rsid w:val="00055FFE"/>
    <w:rsid w:val="0005782B"/>
    <w:rsid w:val="00057E97"/>
    <w:rsid w:val="00060C3A"/>
    <w:rsid w:val="000630DF"/>
    <w:rsid w:val="00066476"/>
    <w:rsid w:val="000673A3"/>
    <w:rsid w:val="00067CCE"/>
    <w:rsid w:val="000707D1"/>
    <w:rsid w:val="00072C8C"/>
    <w:rsid w:val="000733B5"/>
    <w:rsid w:val="00074A1E"/>
    <w:rsid w:val="000809EB"/>
    <w:rsid w:val="00081815"/>
    <w:rsid w:val="00081BF7"/>
    <w:rsid w:val="0008245C"/>
    <w:rsid w:val="00090022"/>
    <w:rsid w:val="00090758"/>
    <w:rsid w:val="00091F15"/>
    <w:rsid w:val="000931C0"/>
    <w:rsid w:val="00093D88"/>
    <w:rsid w:val="0009642A"/>
    <w:rsid w:val="000970C1"/>
    <w:rsid w:val="000A2EE4"/>
    <w:rsid w:val="000A310C"/>
    <w:rsid w:val="000A5559"/>
    <w:rsid w:val="000A69CF"/>
    <w:rsid w:val="000B02C3"/>
    <w:rsid w:val="000B175B"/>
    <w:rsid w:val="000B1788"/>
    <w:rsid w:val="000B3A0F"/>
    <w:rsid w:val="000B4EF7"/>
    <w:rsid w:val="000C2AB9"/>
    <w:rsid w:val="000C2C03"/>
    <w:rsid w:val="000C2D2E"/>
    <w:rsid w:val="000C2E06"/>
    <w:rsid w:val="000C345E"/>
    <w:rsid w:val="000C46B7"/>
    <w:rsid w:val="000C4DA0"/>
    <w:rsid w:val="000C695D"/>
    <w:rsid w:val="000D0ABB"/>
    <w:rsid w:val="000D0C3C"/>
    <w:rsid w:val="000D3D17"/>
    <w:rsid w:val="000D555A"/>
    <w:rsid w:val="000D6E0C"/>
    <w:rsid w:val="000E0415"/>
    <w:rsid w:val="000E07B1"/>
    <w:rsid w:val="000E0E8E"/>
    <w:rsid w:val="000E20F8"/>
    <w:rsid w:val="000E29B9"/>
    <w:rsid w:val="000E3240"/>
    <w:rsid w:val="000E4550"/>
    <w:rsid w:val="000F39F9"/>
    <w:rsid w:val="000F6A6B"/>
    <w:rsid w:val="000F7E69"/>
    <w:rsid w:val="001024C6"/>
    <w:rsid w:val="00102617"/>
    <w:rsid w:val="001037D9"/>
    <w:rsid w:val="001103AA"/>
    <w:rsid w:val="00110F83"/>
    <w:rsid w:val="00112792"/>
    <w:rsid w:val="00112984"/>
    <w:rsid w:val="001133DB"/>
    <w:rsid w:val="0011580E"/>
    <w:rsid w:val="00117506"/>
    <w:rsid w:val="0011787A"/>
    <w:rsid w:val="001223A2"/>
    <w:rsid w:val="00123712"/>
    <w:rsid w:val="001306DD"/>
    <w:rsid w:val="00130D48"/>
    <w:rsid w:val="0013113A"/>
    <w:rsid w:val="00131B64"/>
    <w:rsid w:val="0013235B"/>
    <w:rsid w:val="001340B3"/>
    <w:rsid w:val="00136DE8"/>
    <w:rsid w:val="00137249"/>
    <w:rsid w:val="001375A9"/>
    <w:rsid w:val="00142286"/>
    <w:rsid w:val="00154DA5"/>
    <w:rsid w:val="00157820"/>
    <w:rsid w:val="001611C5"/>
    <w:rsid w:val="00161364"/>
    <w:rsid w:val="00162DB2"/>
    <w:rsid w:val="00164C92"/>
    <w:rsid w:val="00165F3A"/>
    <w:rsid w:val="00166183"/>
    <w:rsid w:val="00170DDB"/>
    <w:rsid w:val="00171909"/>
    <w:rsid w:val="001721A9"/>
    <w:rsid w:val="0017277A"/>
    <w:rsid w:val="00172802"/>
    <w:rsid w:val="00173851"/>
    <w:rsid w:val="00174528"/>
    <w:rsid w:val="001756D6"/>
    <w:rsid w:val="001758E2"/>
    <w:rsid w:val="00176D6B"/>
    <w:rsid w:val="00181F7C"/>
    <w:rsid w:val="00183968"/>
    <w:rsid w:val="001844A0"/>
    <w:rsid w:val="0018481A"/>
    <w:rsid w:val="001905FB"/>
    <w:rsid w:val="001912DB"/>
    <w:rsid w:val="00191845"/>
    <w:rsid w:val="001965C0"/>
    <w:rsid w:val="00196CDF"/>
    <w:rsid w:val="001A09DE"/>
    <w:rsid w:val="001A2C08"/>
    <w:rsid w:val="001A32CB"/>
    <w:rsid w:val="001A4429"/>
    <w:rsid w:val="001A6461"/>
    <w:rsid w:val="001A660B"/>
    <w:rsid w:val="001A6686"/>
    <w:rsid w:val="001A67B5"/>
    <w:rsid w:val="001A723C"/>
    <w:rsid w:val="001A7E43"/>
    <w:rsid w:val="001B2C00"/>
    <w:rsid w:val="001B4041"/>
    <w:rsid w:val="001B4485"/>
    <w:rsid w:val="001B4B04"/>
    <w:rsid w:val="001B7D22"/>
    <w:rsid w:val="001C3120"/>
    <w:rsid w:val="001C4471"/>
    <w:rsid w:val="001C5BED"/>
    <w:rsid w:val="001C657F"/>
    <w:rsid w:val="001C6663"/>
    <w:rsid w:val="001C7895"/>
    <w:rsid w:val="001C7D37"/>
    <w:rsid w:val="001D0C8C"/>
    <w:rsid w:val="001D26DF"/>
    <w:rsid w:val="001D2744"/>
    <w:rsid w:val="001D3743"/>
    <w:rsid w:val="001D3A03"/>
    <w:rsid w:val="001D6813"/>
    <w:rsid w:val="001D690D"/>
    <w:rsid w:val="001E10EC"/>
    <w:rsid w:val="001E2B4C"/>
    <w:rsid w:val="001E4617"/>
    <w:rsid w:val="001E48A9"/>
    <w:rsid w:val="001E6148"/>
    <w:rsid w:val="001E718D"/>
    <w:rsid w:val="001E7AF9"/>
    <w:rsid w:val="001F0720"/>
    <w:rsid w:val="001F08A3"/>
    <w:rsid w:val="001F0AC4"/>
    <w:rsid w:val="001F0F1A"/>
    <w:rsid w:val="001F1088"/>
    <w:rsid w:val="001F11EA"/>
    <w:rsid w:val="00202DA8"/>
    <w:rsid w:val="002069CC"/>
    <w:rsid w:val="00211E0B"/>
    <w:rsid w:val="00213E21"/>
    <w:rsid w:val="00217D74"/>
    <w:rsid w:val="00220677"/>
    <w:rsid w:val="00222689"/>
    <w:rsid w:val="00224AED"/>
    <w:rsid w:val="0022501D"/>
    <w:rsid w:val="002256A1"/>
    <w:rsid w:val="00227EDC"/>
    <w:rsid w:val="002314F8"/>
    <w:rsid w:val="0023210C"/>
    <w:rsid w:val="00232334"/>
    <w:rsid w:val="00233707"/>
    <w:rsid w:val="002361D0"/>
    <w:rsid w:val="00240564"/>
    <w:rsid w:val="00240F4B"/>
    <w:rsid w:val="0025162E"/>
    <w:rsid w:val="0025487E"/>
    <w:rsid w:val="00261BD3"/>
    <w:rsid w:val="002633B3"/>
    <w:rsid w:val="002650C2"/>
    <w:rsid w:val="002656E9"/>
    <w:rsid w:val="00265CF8"/>
    <w:rsid w:val="00266EB7"/>
    <w:rsid w:val="00267F5F"/>
    <w:rsid w:val="00271484"/>
    <w:rsid w:val="00273B14"/>
    <w:rsid w:val="00281144"/>
    <w:rsid w:val="0028175F"/>
    <w:rsid w:val="00282899"/>
    <w:rsid w:val="00283A20"/>
    <w:rsid w:val="0028489A"/>
    <w:rsid w:val="002863A9"/>
    <w:rsid w:val="00286B4D"/>
    <w:rsid w:val="0028734C"/>
    <w:rsid w:val="00291295"/>
    <w:rsid w:val="00292F7D"/>
    <w:rsid w:val="0029365C"/>
    <w:rsid w:val="00293B90"/>
    <w:rsid w:val="002A0E62"/>
    <w:rsid w:val="002A1243"/>
    <w:rsid w:val="002A3CBA"/>
    <w:rsid w:val="002A4B67"/>
    <w:rsid w:val="002A5C82"/>
    <w:rsid w:val="002A728F"/>
    <w:rsid w:val="002B3B76"/>
    <w:rsid w:val="002B3F1E"/>
    <w:rsid w:val="002C06BA"/>
    <w:rsid w:val="002C2508"/>
    <w:rsid w:val="002C5BCD"/>
    <w:rsid w:val="002D18B7"/>
    <w:rsid w:val="002D3AF5"/>
    <w:rsid w:val="002D4837"/>
    <w:rsid w:val="002D4CB1"/>
    <w:rsid w:val="002D76B1"/>
    <w:rsid w:val="002E1084"/>
    <w:rsid w:val="002E31D4"/>
    <w:rsid w:val="002E52B1"/>
    <w:rsid w:val="002E5C99"/>
    <w:rsid w:val="002E69AE"/>
    <w:rsid w:val="002F039C"/>
    <w:rsid w:val="002F175C"/>
    <w:rsid w:val="002F1942"/>
    <w:rsid w:val="002F4557"/>
    <w:rsid w:val="002F5159"/>
    <w:rsid w:val="002F582A"/>
    <w:rsid w:val="003012EA"/>
    <w:rsid w:val="0030138D"/>
    <w:rsid w:val="00306124"/>
    <w:rsid w:val="00307164"/>
    <w:rsid w:val="00307289"/>
    <w:rsid w:val="003134AC"/>
    <w:rsid w:val="00316753"/>
    <w:rsid w:val="00316E89"/>
    <w:rsid w:val="0031721B"/>
    <w:rsid w:val="00317544"/>
    <w:rsid w:val="00320E07"/>
    <w:rsid w:val="0032230D"/>
    <w:rsid w:val="003229D8"/>
    <w:rsid w:val="00322F8A"/>
    <w:rsid w:val="00323632"/>
    <w:rsid w:val="00327502"/>
    <w:rsid w:val="00331F5B"/>
    <w:rsid w:val="00340A69"/>
    <w:rsid w:val="00341E55"/>
    <w:rsid w:val="00345647"/>
    <w:rsid w:val="00351398"/>
    <w:rsid w:val="00352709"/>
    <w:rsid w:val="00354AA8"/>
    <w:rsid w:val="00361E8A"/>
    <w:rsid w:val="00363A98"/>
    <w:rsid w:val="0036645D"/>
    <w:rsid w:val="003667AD"/>
    <w:rsid w:val="00367567"/>
    <w:rsid w:val="003705C9"/>
    <w:rsid w:val="00371095"/>
    <w:rsid w:val="00371178"/>
    <w:rsid w:val="0037301C"/>
    <w:rsid w:val="003730DD"/>
    <w:rsid w:val="0037429D"/>
    <w:rsid w:val="00375119"/>
    <w:rsid w:val="00376720"/>
    <w:rsid w:val="00377828"/>
    <w:rsid w:val="003823CB"/>
    <w:rsid w:val="0038336C"/>
    <w:rsid w:val="00384F90"/>
    <w:rsid w:val="00386624"/>
    <w:rsid w:val="00387ECB"/>
    <w:rsid w:val="003903FC"/>
    <w:rsid w:val="00392947"/>
    <w:rsid w:val="0039347E"/>
    <w:rsid w:val="003954DB"/>
    <w:rsid w:val="003A1602"/>
    <w:rsid w:val="003A3000"/>
    <w:rsid w:val="003A325A"/>
    <w:rsid w:val="003A6810"/>
    <w:rsid w:val="003A6EFA"/>
    <w:rsid w:val="003A70FC"/>
    <w:rsid w:val="003A7AF2"/>
    <w:rsid w:val="003B2E07"/>
    <w:rsid w:val="003C02AB"/>
    <w:rsid w:val="003C2CC4"/>
    <w:rsid w:val="003C730E"/>
    <w:rsid w:val="003D1C5A"/>
    <w:rsid w:val="003D2795"/>
    <w:rsid w:val="003D3E59"/>
    <w:rsid w:val="003D4B23"/>
    <w:rsid w:val="003D52B0"/>
    <w:rsid w:val="003E2BA4"/>
    <w:rsid w:val="003E4173"/>
    <w:rsid w:val="003E5304"/>
    <w:rsid w:val="003E6A36"/>
    <w:rsid w:val="003E6F7E"/>
    <w:rsid w:val="003E6FAB"/>
    <w:rsid w:val="003F0C15"/>
    <w:rsid w:val="003F410E"/>
    <w:rsid w:val="00405473"/>
    <w:rsid w:val="00410C89"/>
    <w:rsid w:val="00414931"/>
    <w:rsid w:val="00414B35"/>
    <w:rsid w:val="00414F92"/>
    <w:rsid w:val="00416550"/>
    <w:rsid w:val="00420098"/>
    <w:rsid w:val="004227C0"/>
    <w:rsid w:val="00423A59"/>
    <w:rsid w:val="00426B9B"/>
    <w:rsid w:val="0043003F"/>
    <w:rsid w:val="00431396"/>
    <w:rsid w:val="004325CB"/>
    <w:rsid w:val="00436B33"/>
    <w:rsid w:val="00436E7E"/>
    <w:rsid w:val="00437253"/>
    <w:rsid w:val="00442A83"/>
    <w:rsid w:val="00442C9D"/>
    <w:rsid w:val="00442EB6"/>
    <w:rsid w:val="00445A57"/>
    <w:rsid w:val="00446ABC"/>
    <w:rsid w:val="00450D0E"/>
    <w:rsid w:val="0045285D"/>
    <w:rsid w:val="0045495B"/>
    <w:rsid w:val="00455C43"/>
    <w:rsid w:val="004607BF"/>
    <w:rsid w:val="0046115E"/>
    <w:rsid w:val="00464446"/>
    <w:rsid w:val="004653C7"/>
    <w:rsid w:val="00466B4C"/>
    <w:rsid w:val="00466FA4"/>
    <w:rsid w:val="004674C7"/>
    <w:rsid w:val="00467A53"/>
    <w:rsid w:val="0047173A"/>
    <w:rsid w:val="00473963"/>
    <w:rsid w:val="00476073"/>
    <w:rsid w:val="00481CB1"/>
    <w:rsid w:val="00487488"/>
    <w:rsid w:val="00487FB8"/>
    <w:rsid w:val="0049219B"/>
    <w:rsid w:val="00492FCD"/>
    <w:rsid w:val="0049418F"/>
    <w:rsid w:val="00495A34"/>
    <w:rsid w:val="00497CBC"/>
    <w:rsid w:val="004A2789"/>
    <w:rsid w:val="004A28A7"/>
    <w:rsid w:val="004A4706"/>
    <w:rsid w:val="004A4E95"/>
    <w:rsid w:val="004C55DD"/>
    <w:rsid w:val="004C6658"/>
    <w:rsid w:val="004D0446"/>
    <w:rsid w:val="004D5BD1"/>
    <w:rsid w:val="004E01F0"/>
    <w:rsid w:val="004E15CC"/>
    <w:rsid w:val="004E25FB"/>
    <w:rsid w:val="004F1941"/>
    <w:rsid w:val="004F1D45"/>
    <w:rsid w:val="004F5078"/>
    <w:rsid w:val="004F56B6"/>
    <w:rsid w:val="004F643D"/>
    <w:rsid w:val="005014CD"/>
    <w:rsid w:val="0050328D"/>
    <w:rsid w:val="0050363E"/>
    <w:rsid w:val="00505D08"/>
    <w:rsid w:val="005105B9"/>
    <w:rsid w:val="005125F0"/>
    <w:rsid w:val="00515828"/>
    <w:rsid w:val="005167F1"/>
    <w:rsid w:val="00520400"/>
    <w:rsid w:val="0052136D"/>
    <w:rsid w:val="005232E6"/>
    <w:rsid w:val="00525395"/>
    <w:rsid w:val="00525C8F"/>
    <w:rsid w:val="0052775E"/>
    <w:rsid w:val="00533FA3"/>
    <w:rsid w:val="0053582A"/>
    <w:rsid w:val="005409DC"/>
    <w:rsid w:val="00540F02"/>
    <w:rsid w:val="0054109A"/>
    <w:rsid w:val="0054150C"/>
    <w:rsid w:val="005420F2"/>
    <w:rsid w:val="00546665"/>
    <w:rsid w:val="005509CD"/>
    <w:rsid w:val="00550D3B"/>
    <w:rsid w:val="0055488E"/>
    <w:rsid w:val="00555470"/>
    <w:rsid w:val="00560BA5"/>
    <w:rsid w:val="00561B68"/>
    <w:rsid w:val="005628B6"/>
    <w:rsid w:val="005640D1"/>
    <w:rsid w:val="00564714"/>
    <w:rsid w:val="00565BE7"/>
    <w:rsid w:val="0056624F"/>
    <w:rsid w:val="005722B3"/>
    <w:rsid w:val="00572DE0"/>
    <w:rsid w:val="0057585A"/>
    <w:rsid w:val="00575BA3"/>
    <w:rsid w:val="00577E84"/>
    <w:rsid w:val="005848B3"/>
    <w:rsid w:val="00590F87"/>
    <w:rsid w:val="00592C4A"/>
    <w:rsid w:val="0059563B"/>
    <w:rsid w:val="005A0415"/>
    <w:rsid w:val="005A2ACD"/>
    <w:rsid w:val="005B09AE"/>
    <w:rsid w:val="005B15AD"/>
    <w:rsid w:val="005B38A5"/>
    <w:rsid w:val="005B3DB3"/>
    <w:rsid w:val="005B4F61"/>
    <w:rsid w:val="005B6047"/>
    <w:rsid w:val="005C11C1"/>
    <w:rsid w:val="005C176E"/>
    <w:rsid w:val="005C1C11"/>
    <w:rsid w:val="005C1F78"/>
    <w:rsid w:val="005C2131"/>
    <w:rsid w:val="005C223E"/>
    <w:rsid w:val="005C2BAF"/>
    <w:rsid w:val="005C413D"/>
    <w:rsid w:val="005C4A9E"/>
    <w:rsid w:val="005C5103"/>
    <w:rsid w:val="005D0679"/>
    <w:rsid w:val="005D5721"/>
    <w:rsid w:val="005D5AF5"/>
    <w:rsid w:val="005D7CB5"/>
    <w:rsid w:val="005E021C"/>
    <w:rsid w:val="005E2F71"/>
    <w:rsid w:val="005E5805"/>
    <w:rsid w:val="005E77C5"/>
    <w:rsid w:val="005E783D"/>
    <w:rsid w:val="005F5699"/>
    <w:rsid w:val="005F7717"/>
    <w:rsid w:val="005F7B75"/>
    <w:rsid w:val="005F7F93"/>
    <w:rsid w:val="006001B0"/>
    <w:rsid w:val="006001EE"/>
    <w:rsid w:val="0060187E"/>
    <w:rsid w:val="00605042"/>
    <w:rsid w:val="00607BC1"/>
    <w:rsid w:val="006108E0"/>
    <w:rsid w:val="00611FC4"/>
    <w:rsid w:val="00613FE0"/>
    <w:rsid w:val="006148AF"/>
    <w:rsid w:val="006160CB"/>
    <w:rsid w:val="006176FB"/>
    <w:rsid w:val="0062041D"/>
    <w:rsid w:val="006239C9"/>
    <w:rsid w:val="00623FD3"/>
    <w:rsid w:val="0062462D"/>
    <w:rsid w:val="0062630E"/>
    <w:rsid w:val="006274AD"/>
    <w:rsid w:val="00627FB0"/>
    <w:rsid w:val="00631C31"/>
    <w:rsid w:val="00632E25"/>
    <w:rsid w:val="0063379B"/>
    <w:rsid w:val="00640B26"/>
    <w:rsid w:val="00640C76"/>
    <w:rsid w:val="00645379"/>
    <w:rsid w:val="00645949"/>
    <w:rsid w:val="006507CD"/>
    <w:rsid w:val="00650CFA"/>
    <w:rsid w:val="0065298C"/>
    <w:rsid w:val="00652D0A"/>
    <w:rsid w:val="00653DBF"/>
    <w:rsid w:val="00654447"/>
    <w:rsid w:val="00660559"/>
    <w:rsid w:val="00662BB6"/>
    <w:rsid w:val="00662F6E"/>
    <w:rsid w:val="006637A4"/>
    <w:rsid w:val="00663FFF"/>
    <w:rsid w:val="00670463"/>
    <w:rsid w:val="00670EA2"/>
    <w:rsid w:val="00671948"/>
    <w:rsid w:val="00672110"/>
    <w:rsid w:val="006743E9"/>
    <w:rsid w:val="00674B0A"/>
    <w:rsid w:val="00674D65"/>
    <w:rsid w:val="006758FD"/>
    <w:rsid w:val="0067739F"/>
    <w:rsid w:val="00681702"/>
    <w:rsid w:val="00682284"/>
    <w:rsid w:val="006838C8"/>
    <w:rsid w:val="00684B7A"/>
    <w:rsid w:val="00684C21"/>
    <w:rsid w:val="00685FA6"/>
    <w:rsid w:val="0068743C"/>
    <w:rsid w:val="00692BBE"/>
    <w:rsid w:val="00694AE6"/>
    <w:rsid w:val="006954C6"/>
    <w:rsid w:val="00695991"/>
    <w:rsid w:val="0069763E"/>
    <w:rsid w:val="00697F3E"/>
    <w:rsid w:val="006B346D"/>
    <w:rsid w:val="006B4FA2"/>
    <w:rsid w:val="006B58E5"/>
    <w:rsid w:val="006C0435"/>
    <w:rsid w:val="006C05C1"/>
    <w:rsid w:val="006C3AD1"/>
    <w:rsid w:val="006C65A6"/>
    <w:rsid w:val="006C6DC2"/>
    <w:rsid w:val="006D37AF"/>
    <w:rsid w:val="006D51D0"/>
    <w:rsid w:val="006D53C0"/>
    <w:rsid w:val="006D5457"/>
    <w:rsid w:val="006E212F"/>
    <w:rsid w:val="006E564B"/>
    <w:rsid w:val="006E5A29"/>
    <w:rsid w:val="006E7191"/>
    <w:rsid w:val="006E7196"/>
    <w:rsid w:val="006F30DF"/>
    <w:rsid w:val="006F464F"/>
    <w:rsid w:val="006F52C5"/>
    <w:rsid w:val="006F6515"/>
    <w:rsid w:val="00703577"/>
    <w:rsid w:val="00705625"/>
    <w:rsid w:val="00706988"/>
    <w:rsid w:val="0071171F"/>
    <w:rsid w:val="00711F00"/>
    <w:rsid w:val="00713C74"/>
    <w:rsid w:val="00715DDD"/>
    <w:rsid w:val="00716EC7"/>
    <w:rsid w:val="00717ADC"/>
    <w:rsid w:val="0072328C"/>
    <w:rsid w:val="0072632A"/>
    <w:rsid w:val="00726A48"/>
    <w:rsid w:val="00727C31"/>
    <w:rsid w:val="007327D5"/>
    <w:rsid w:val="00734ABE"/>
    <w:rsid w:val="00735CA1"/>
    <w:rsid w:val="00735F4E"/>
    <w:rsid w:val="00736EAD"/>
    <w:rsid w:val="007435F7"/>
    <w:rsid w:val="007449A6"/>
    <w:rsid w:val="00746750"/>
    <w:rsid w:val="00746D61"/>
    <w:rsid w:val="007509EB"/>
    <w:rsid w:val="00750FC5"/>
    <w:rsid w:val="0075395D"/>
    <w:rsid w:val="0076004A"/>
    <w:rsid w:val="00760B80"/>
    <w:rsid w:val="00762878"/>
    <w:rsid w:val="00762922"/>
    <w:rsid w:val="007629C8"/>
    <w:rsid w:val="00762E39"/>
    <w:rsid w:val="007635DF"/>
    <w:rsid w:val="00764972"/>
    <w:rsid w:val="007661CD"/>
    <w:rsid w:val="00770F3B"/>
    <w:rsid w:val="007734FC"/>
    <w:rsid w:val="007740F1"/>
    <w:rsid w:val="00776E5E"/>
    <w:rsid w:val="00777322"/>
    <w:rsid w:val="00781C83"/>
    <w:rsid w:val="0078300D"/>
    <w:rsid w:val="00785DB2"/>
    <w:rsid w:val="0078601B"/>
    <w:rsid w:val="0078676D"/>
    <w:rsid w:val="00787E5D"/>
    <w:rsid w:val="0079034E"/>
    <w:rsid w:val="00792116"/>
    <w:rsid w:val="0079681E"/>
    <w:rsid w:val="007A212F"/>
    <w:rsid w:val="007A36C9"/>
    <w:rsid w:val="007B3302"/>
    <w:rsid w:val="007B412F"/>
    <w:rsid w:val="007B41DA"/>
    <w:rsid w:val="007B6BA5"/>
    <w:rsid w:val="007C1241"/>
    <w:rsid w:val="007C3390"/>
    <w:rsid w:val="007C3FFB"/>
    <w:rsid w:val="007C4F4B"/>
    <w:rsid w:val="007C55BE"/>
    <w:rsid w:val="007C784F"/>
    <w:rsid w:val="007D00CF"/>
    <w:rsid w:val="007D2684"/>
    <w:rsid w:val="007D564F"/>
    <w:rsid w:val="007E0B2D"/>
    <w:rsid w:val="007E0ED5"/>
    <w:rsid w:val="007E4594"/>
    <w:rsid w:val="007E4BBE"/>
    <w:rsid w:val="007E533F"/>
    <w:rsid w:val="007E5EA4"/>
    <w:rsid w:val="007F098E"/>
    <w:rsid w:val="007F12FC"/>
    <w:rsid w:val="007F167F"/>
    <w:rsid w:val="007F2D0D"/>
    <w:rsid w:val="007F3A2C"/>
    <w:rsid w:val="007F4853"/>
    <w:rsid w:val="007F6611"/>
    <w:rsid w:val="007F6CEB"/>
    <w:rsid w:val="00807C48"/>
    <w:rsid w:val="0081043C"/>
    <w:rsid w:val="008105B8"/>
    <w:rsid w:val="00811D06"/>
    <w:rsid w:val="008123D2"/>
    <w:rsid w:val="00812971"/>
    <w:rsid w:val="00813327"/>
    <w:rsid w:val="008146B2"/>
    <w:rsid w:val="00816972"/>
    <w:rsid w:val="00816E23"/>
    <w:rsid w:val="00816EE0"/>
    <w:rsid w:val="00817A02"/>
    <w:rsid w:val="008216A5"/>
    <w:rsid w:val="00821A8D"/>
    <w:rsid w:val="008242D7"/>
    <w:rsid w:val="00824C73"/>
    <w:rsid w:val="00824FE2"/>
    <w:rsid w:val="00825659"/>
    <w:rsid w:val="008257B1"/>
    <w:rsid w:val="00825B68"/>
    <w:rsid w:val="00830FF4"/>
    <w:rsid w:val="0083185A"/>
    <w:rsid w:val="00833370"/>
    <w:rsid w:val="00835003"/>
    <w:rsid w:val="008379A8"/>
    <w:rsid w:val="0084033C"/>
    <w:rsid w:val="008406D2"/>
    <w:rsid w:val="0084126F"/>
    <w:rsid w:val="00843767"/>
    <w:rsid w:val="00846666"/>
    <w:rsid w:val="00847B18"/>
    <w:rsid w:val="00851F2A"/>
    <w:rsid w:val="00856F01"/>
    <w:rsid w:val="00860D61"/>
    <w:rsid w:val="00861599"/>
    <w:rsid w:val="00864797"/>
    <w:rsid w:val="008655A1"/>
    <w:rsid w:val="008679D9"/>
    <w:rsid w:val="00871051"/>
    <w:rsid w:val="00871750"/>
    <w:rsid w:val="00872F86"/>
    <w:rsid w:val="008730D5"/>
    <w:rsid w:val="00875F71"/>
    <w:rsid w:val="00875FE5"/>
    <w:rsid w:val="00880AF2"/>
    <w:rsid w:val="00883BBF"/>
    <w:rsid w:val="00884FCB"/>
    <w:rsid w:val="0088719B"/>
    <w:rsid w:val="00891792"/>
    <w:rsid w:val="00891C2B"/>
    <w:rsid w:val="00894085"/>
    <w:rsid w:val="00894F53"/>
    <w:rsid w:val="00896597"/>
    <w:rsid w:val="008979B1"/>
    <w:rsid w:val="00897F0A"/>
    <w:rsid w:val="008A09B5"/>
    <w:rsid w:val="008A1DB2"/>
    <w:rsid w:val="008A6B25"/>
    <w:rsid w:val="008A6C4F"/>
    <w:rsid w:val="008B012F"/>
    <w:rsid w:val="008B2335"/>
    <w:rsid w:val="008B629E"/>
    <w:rsid w:val="008C0D17"/>
    <w:rsid w:val="008C22CC"/>
    <w:rsid w:val="008C3223"/>
    <w:rsid w:val="008C3294"/>
    <w:rsid w:val="008C4B5A"/>
    <w:rsid w:val="008C4EDC"/>
    <w:rsid w:val="008C6E58"/>
    <w:rsid w:val="008C77CB"/>
    <w:rsid w:val="008D0C03"/>
    <w:rsid w:val="008D137B"/>
    <w:rsid w:val="008D1459"/>
    <w:rsid w:val="008D1863"/>
    <w:rsid w:val="008D1908"/>
    <w:rsid w:val="008D299D"/>
    <w:rsid w:val="008D2A46"/>
    <w:rsid w:val="008D60D6"/>
    <w:rsid w:val="008E0678"/>
    <w:rsid w:val="008E0CFD"/>
    <w:rsid w:val="008E458E"/>
    <w:rsid w:val="008E4C4F"/>
    <w:rsid w:val="008E5A83"/>
    <w:rsid w:val="008E5FF6"/>
    <w:rsid w:val="008E6067"/>
    <w:rsid w:val="008F0336"/>
    <w:rsid w:val="008F0E3C"/>
    <w:rsid w:val="008F16E4"/>
    <w:rsid w:val="008F1FA8"/>
    <w:rsid w:val="008F6145"/>
    <w:rsid w:val="00900036"/>
    <w:rsid w:val="009002FE"/>
    <w:rsid w:val="009029CE"/>
    <w:rsid w:val="00903876"/>
    <w:rsid w:val="009062A7"/>
    <w:rsid w:val="0090637F"/>
    <w:rsid w:val="00910F40"/>
    <w:rsid w:val="00912C08"/>
    <w:rsid w:val="00913616"/>
    <w:rsid w:val="0091377B"/>
    <w:rsid w:val="00913C0F"/>
    <w:rsid w:val="0091613A"/>
    <w:rsid w:val="009223CA"/>
    <w:rsid w:val="00930548"/>
    <w:rsid w:val="009377CE"/>
    <w:rsid w:val="00937F60"/>
    <w:rsid w:val="0094095A"/>
    <w:rsid w:val="00940F93"/>
    <w:rsid w:val="00944501"/>
    <w:rsid w:val="00946696"/>
    <w:rsid w:val="00951EAC"/>
    <w:rsid w:val="0095347F"/>
    <w:rsid w:val="009568BE"/>
    <w:rsid w:val="00957BFD"/>
    <w:rsid w:val="0096073F"/>
    <w:rsid w:val="00960911"/>
    <w:rsid w:val="009633D7"/>
    <w:rsid w:val="00967F59"/>
    <w:rsid w:val="009701C4"/>
    <w:rsid w:val="00972C38"/>
    <w:rsid w:val="009735A8"/>
    <w:rsid w:val="00973F26"/>
    <w:rsid w:val="00974EF5"/>
    <w:rsid w:val="009760F3"/>
    <w:rsid w:val="009800FA"/>
    <w:rsid w:val="00980EA8"/>
    <w:rsid w:val="009817F4"/>
    <w:rsid w:val="009873ED"/>
    <w:rsid w:val="009875A9"/>
    <w:rsid w:val="009909F5"/>
    <w:rsid w:val="00990FCA"/>
    <w:rsid w:val="0099515D"/>
    <w:rsid w:val="009A0E8D"/>
    <w:rsid w:val="009A19F8"/>
    <w:rsid w:val="009B0FC5"/>
    <w:rsid w:val="009B26E7"/>
    <w:rsid w:val="009C162C"/>
    <w:rsid w:val="009C3FF1"/>
    <w:rsid w:val="009C4FB2"/>
    <w:rsid w:val="009C60EB"/>
    <w:rsid w:val="009C6DFE"/>
    <w:rsid w:val="009D05F4"/>
    <w:rsid w:val="009D1E8D"/>
    <w:rsid w:val="009E2F54"/>
    <w:rsid w:val="009E4211"/>
    <w:rsid w:val="009E7D26"/>
    <w:rsid w:val="009F03D3"/>
    <w:rsid w:val="009F2AC1"/>
    <w:rsid w:val="009F5182"/>
    <w:rsid w:val="009F7636"/>
    <w:rsid w:val="00A00A3F"/>
    <w:rsid w:val="00A01489"/>
    <w:rsid w:val="00A018AB"/>
    <w:rsid w:val="00A03ED0"/>
    <w:rsid w:val="00A06DB2"/>
    <w:rsid w:val="00A206FC"/>
    <w:rsid w:val="00A230A0"/>
    <w:rsid w:val="00A232DB"/>
    <w:rsid w:val="00A31B81"/>
    <w:rsid w:val="00A338F1"/>
    <w:rsid w:val="00A33C96"/>
    <w:rsid w:val="00A343D0"/>
    <w:rsid w:val="00A377A8"/>
    <w:rsid w:val="00A41A5C"/>
    <w:rsid w:val="00A42B98"/>
    <w:rsid w:val="00A44487"/>
    <w:rsid w:val="00A44615"/>
    <w:rsid w:val="00A447CC"/>
    <w:rsid w:val="00A4728C"/>
    <w:rsid w:val="00A47874"/>
    <w:rsid w:val="00A52FFA"/>
    <w:rsid w:val="00A5334D"/>
    <w:rsid w:val="00A647C7"/>
    <w:rsid w:val="00A65032"/>
    <w:rsid w:val="00A70EA1"/>
    <w:rsid w:val="00A72C70"/>
    <w:rsid w:val="00A72F22"/>
    <w:rsid w:val="00A7360F"/>
    <w:rsid w:val="00A73CA6"/>
    <w:rsid w:val="00A748A6"/>
    <w:rsid w:val="00A74F3F"/>
    <w:rsid w:val="00A75355"/>
    <w:rsid w:val="00A76648"/>
    <w:rsid w:val="00A769F4"/>
    <w:rsid w:val="00A776B4"/>
    <w:rsid w:val="00A777C5"/>
    <w:rsid w:val="00A777CF"/>
    <w:rsid w:val="00A81D4E"/>
    <w:rsid w:val="00A85EA0"/>
    <w:rsid w:val="00A9008E"/>
    <w:rsid w:val="00A91A32"/>
    <w:rsid w:val="00A94361"/>
    <w:rsid w:val="00A95FBA"/>
    <w:rsid w:val="00A96BCF"/>
    <w:rsid w:val="00AA293C"/>
    <w:rsid w:val="00AA2D0D"/>
    <w:rsid w:val="00AA56FB"/>
    <w:rsid w:val="00AA672A"/>
    <w:rsid w:val="00AA6FA4"/>
    <w:rsid w:val="00AB0648"/>
    <w:rsid w:val="00AB19FA"/>
    <w:rsid w:val="00AB2855"/>
    <w:rsid w:val="00AB45A3"/>
    <w:rsid w:val="00AB4CA5"/>
    <w:rsid w:val="00AB5490"/>
    <w:rsid w:val="00AB6E51"/>
    <w:rsid w:val="00AC4B52"/>
    <w:rsid w:val="00AC505B"/>
    <w:rsid w:val="00AC5B73"/>
    <w:rsid w:val="00AC6A0A"/>
    <w:rsid w:val="00AD46B8"/>
    <w:rsid w:val="00AE1CFF"/>
    <w:rsid w:val="00AE3A93"/>
    <w:rsid w:val="00AE4730"/>
    <w:rsid w:val="00AE50CE"/>
    <w:rsid w:val="00AE55CB"/>
    <w:rsid w:val="00AE673B"/>
    <w:rsid w:val="00AF0BB7"/>
    <w:rsid w:val="00AF1A44"/>
    <w:rsid w:val="00AF3148"/>
    <w:rsid w:val="00AF34D9"/>
    <w:rsid w:val="00AF5CCF"/>
    <w:rsid w:val="00AF6493"/>
    <w:rsid w:val="00AF65DD"/>
    <w:rsid w:val="00AF7286"/>
    <w:rsid w:val="00B03884"/>
    <w:rsid w:val="00B04543"/>
    <w:rsid w:val="00B10640"/>
    <w:rsid w:val="00B1156E"/>
    <w:rsid w:val="00B11BC2"/>
    <w:rsid w:val="00B13E9B"/>
    <w:rsid w:val="00B14938"/>
    <w:rsid w:val="00B16852"/>
    <w:rsid w:val="00B174D5"/>
    <w:rsid w:val="00B2280C"/>
    <w:rsid w:val="00B23D94"/>
    <w:rsid w:val="00B25D3D"/>
    <w:rsid w:val="00B2683D"/>
    <w:rsid w:val="00B30179"/>
    <w:rsid w:val="00B308F9"/>
    <w:rsid w:val="00B32B36"/>
    <w:rsid w:val="00B33120"/>
    <w:rsid w:val="00B339A7"/>
    <w:rsid w:val="00B33ABD"/>
    <w:rsid w:val="00B41A37"/>
    <w:rsid w:val="00B41ACB"/>
    <w:rsid w:val="00B42976"/>
    <w:rsid w:val="00B46514"/>
    <w:rsid w:val="00B467BE"/>
    <w:rsid w:val="00B46DF7"/>
    <w:rsid w:val="00B47DB8"/>
    <w:rsid w:val="00B503FD"/>
    <w:rsid w:val="00B55522"/>
    <w:rsid w:val="00B56E4A"/>
    <w:rsid w:val="00B56E9C"/>
    <w:rsid w:val="00B60748"/>
    <w:rsid w:val="00B64B1F"/>
    <w:rsid w:val="00B6524C"/>
    <w:rsid w:val="00B6553F"/>
    <w:rsid w:val="00B66712"/>
    <w:rsid w:val="00B66E5E"/>
    <w:rsid w:val="00B76950"/>
    <w:rsid w:val="00B77D05"/>
    <w:rsid w:val="00B81206"/>
    <w:rsid w:val="00B8190A"/>
    <w:rsid w:val="00B81E12"/>
    <w:rsid w:val="00B85756"/>
    <w:rsid w:val="00B85AF8"/>
    <w:rsid w:val="00B86C63"/>
    <w:rsid w:val="00B9067B"/>
    <w:rsid w:val="00B915E0"/>
    <w:rsid w:val="00B927F7"/>
    <w:rsid w:val="00B94491"/>
    <w:rsid w:val="00B95A99"/>
    <w:rsid w:val="00B96623"/>
    <w:rsid w:val="00B968B5"/>
    <w:rsid w:val="00B97074"/>
    <w:rsid w:val="00B97AFE"/>
    <w:rsid w:val="00BA0869"/>
    <w:rsid w:val="00BA434C"/>
    <w:rsid w:val="00BA5934"/>
    <w:rsid w:val="00BB22D5"/>
    <w:rsid w:val="00BB243F"/>
    <w:rsid w:val="00BB6283"/>
    <w:rsid w:val="00BC01E3"/>
    <w:rsid w:val="00BC2C23"/>
    <w:rsid w:val="00BC48F3"/>
    <w:rsid w:val="00BC5363"/>
    <w:rsid w:val="00BC6E5E"/>
    <w:rsid w:val="00BC74E9"/>
    <w:rsid w:val="00BD6CE9"/>
    <w:rsid w:val="00BE26B2"/>
    <w:rsid w:val="00BE4F3F"/>
    <w:rsid w:val="00BE62B5"/>
    <w:rsid w:val="00BE65B2"/>
    <w:rsid w:val="00BF0311"/>
    <w:rsid w:val="00BF4613"/>
    <w:rsid w:val="00BF61C5"/>
    <w:rsid w:val="00BF68A8"/>
    <w:rsid w:val="00BF72FD"/>
    <w:rsid w:val="00C00847"/>
    <w:rsid w:val="00C02E7A"/>
    <w:rsid w:val="00C04639"/>
    <w:rsid w:val="00C065DB"/>
    <w:rsid w:val="00C11092"/>
    <w:rsid w:val="00C11207"/>
    <w:rsid w:val="00C11870"/>
    <w:rsid w:val="00C11A03"/>
    <w:rsid w:val="00C144EC"/>
    <w:rsid w:val="00C173CB"/>
    <w:rsid w:val="00C20A72"/>
    <w:rsid w:val="00C2284D"/>
    <w:rsid w:val="00C33A42"/>
    <w:rsid w:val="00C34926"/>
    <w:rsid w:val="00C418BB"/>
    <w:rsid w:val="00C42190"/>
    <w:rsid w:val="00C44D49"/>
    <w:rsid w:val="00C463DD"/>
    <w:rsid w:val="00C46474"/>
    <w:rsid w:val="00C4724C"/>
    <w:rsid w:val="00C47927"/>
    <w:rsid w:val="00C50356"/>
    <w:rsid w:val="00C50ECF"/>
    <w:rsid w:val="00C521BE"/>
    <w:rsid w:val="00C53963"/>
    <w:rsid w:val="00C55706"/>
    <w:rsid w:val="00C55779"/>
    <w:rsid w:val="00C56114"/>
    <w:rsid w:val="00C57A10"/>
    <w:rsid w:val="00C606D3"/>
    <w:rsid w:val="00C61C48"/>
    <w:rsid w:val="00C629A0"/>
    <w:rsid w:val="00C73736"/>
    <w:rsid w:val="00C745C3"/>
    <w:rsid w:val="00C76890"/>
    <w:rsid w:val="00C7728B"/>
    <w:rsid w:val="00C80234"/>
    <w:rsid w:val="00C803EC"/>
    <w:rsid w:val="00C819E8"/>
    <w:rsid w:val="00C8504E"/>
    <w:rsid w:val="00C85113"/>
    <w:rsid w:val="00C93256"/>
    <w:rsid w:val="00CA4119"/>
    <w:rsid w:val="00CB351A"/>
    <w:rsid w:val="00CB489F"/>
    <w:rsid w:val="00CB6E28"/>
    <w:rsid w:val="00CC0BB4"/>
    <w:rsid w:val="00CE4A8F"/>
    <w:rsid w:val="00CE68AC"/>
    <w:rsid w:val="00CE736B"/>
    <w:rsid w:val="00CF1984"/>
    <w:rsid w:val="00CF2621"/>
    <w:rsid w:val="00CF76D6"/>
    <w:rsid w:val="00D02C2A"/>
    <w:rsid w:val="00D06AB9"/>
    <w:rsid w:val="00D06B7E"/>
    <w:rsid w:val="00D12158"/>
    <w:rsid w:val="00D12D7D"/>
    <w:rsid w:val="00D1315B"/>
    <w:rsid w:val="00D13268"/>
    <w:rsid w:val="00D14015"/>
    <w:rsid w:val="00D141CF"/>
    <w:rsid w:val="00D2031B"/>
    <w:rsid w:val="00D257E7"/>
    <w:rsid w:val="00D25FE2"/>
    <w:rsid w:val="00D2637A"/>
    <w:rsid w:val="00D3001F"/>
    <w:rsid w:val="00D30034"/>
    <w:rsid w:val="00D3430C"/>
    <w:rsid w:val="00D35B7F"/>
    <w:rsid w:val="00D35FCA"/>
    <w:rsid w:val="00D3617F"/>
    <w:rsid w:val="00D37FC3"/>
    <w:rsid w:val="00D43252"/>
    <w:rsid w:val="00D43E06"/>
    <w:rsid w:val="00D466BF"/>
    <w:rsid w:val="00D46C27"/>
    <w:rsid w:val="00D47EEA"/>
    <w:rsid w:val="00D501D0"/>
    <w:rsid w:val="00D509AE"/>
    <w:rsid w:val="00D51D6E"/>
    <w:rsid w:val="00D53BAD"/>
    <w:rsid w:val="00D543C9"/>
    <w:rsid w:val="00D6148A"/>
    <w:rsid w:val="00D65958"/>
    <w:rsid w:val="00D67C78"/>
    <w:rsid w:val="00D729E4"/>
    <w:rsid w:val="00D73CB8"/>
    <w:rsid w:val="00D80EDF"/>
    <w:rsid w:val="00D81843"/>
    <w:rsid w:val="00D864CC"/>
    <w:rsid w:val="00D872C2"/>
    <w:rsid w:val="00D87E04"/>
    <w:rsid w:val="00D90F93"/>
    <w:rsid w:val="00D913B0"/>
    <w:rsid w:val="00D94BB8"/>
    <w:rsid w:val="00D94CDD"/>
    <w:rsid w:val="00D95303"/>
    <w:rsid w:val="00D96E57"/>
    <w:rsid w:val="00D97597"/>
    <w:rsid w:val="00D975A7"/>
    <w:rsid w:val="00D978C6"/>
    <w:rsid w:val="00DA3111"/>
    <w:rsid w:val="00DA3C1C"/>
    <w:rsid w:val="00DA4BBB"/>
    <w:rsid w:val="00DB0C79"/>
    <w:rsid w:val="00DB2CE7"/>
    <w:rsid w:val="00DB5724"/>
    <w:rsid w:val="00DB5B2F"/>
    <w:rsid w:val="00DC0714"/>
    <w:rsid w:val="00DC465A"/>
    <w:rsid w:val="00DD062D"/>
    <w:rsid w:val="00DD2848"/>
    <w:rsid w:val="00DD471E"/>
    <w:rsid w:val="00DD593B"/>
    <w:rsid w:val="00DE1DF6"/>
    <w:rsid w:val="00DE79A8"/>
    <w:rsid w:val="00DE7F59"/>
    <w:rsid w:val="00DF0799"/>
    <w:rsid w:val="00DF528D"/>
    <w:rsid w:val="00E01B85"/>
    <w:rsid w:val="00E06FE7"/>
    <w:rsid w:val="00E142AF"/>
    <w:rsid w:val="00E15CC1"/>
    <w:rsid w:val="00E17C73"/>
    <w:rsid w:val="00E209FD"/>
    <w:rsid w:val="00E21400"/>
    <w:rsid w:val="00E2408F"/>
    <w:rsid w:val="00E25E54"/>
    <w:rsid w:val="00E27346"/>
    <w:rsid w:val="00E31E79"/>
    <w:rsid w:val="00E34156"/>
    <w:rsid w:val="00E35AD2"/>
    <w:rsid w:val="00E40A07"/>
    <w:rsid w:val="00E41BFE"/>
    <w:rsid w:val="00E4363C"/>
    <w:rsid w:val="00E449AC"/>
    <w:rsid w:val="00E452EC"/>
    <w:rsid w:val="00E53D02"/>
    <w:rsid w:val="00E54C56"/>
    <w:rsid w:val="00E6074E"/>
    <w:rsid w:val="00E61088"/>
    <w:rsid w:val="00E62E44"/>
    <w:rsid w:val="00E632CC"/>
    <w:rsid w:val="00E64123"/>
    <w:rsid w:val="00E6440F"/>
    <w:rsid w:val="00E65396"/>
    <w:rsid w:val="00E65AAE"/>
    <w:rsid w:val="00E67325"/>
    <w:rsid w:val="00E6735D"/>
    <w:rsid w:val="00E71BC8"/>
    <w:rsid w:val="00E7260F"/>
    <w:rsid w:val="00E74206"/>
    <w:rsid w:val="00E77185"/>
    <w:rsid w:val="00E779FC"/>
    <w:rsid w:val="00E848D3"/>
    <w:rsid w:val="00E849B2"/>
    <w:rsid w:val="00E85728"/>
    <w:rsid w:val="00E86349"/>
    <w:rsid w:val="00E921CF"/>
    <w:rsid w:val="00E94466"/>
    <w:rsid w:val="00E96630"/>
    <w:rsid w:val="00EA0822"/>
    <w:rsid w:val="00EA31F7"/>
    <w:rsid w:val="00EB11F3"/>
    <w:rsid w:val="00EB1D35"/>
    <w:rsid w:val="00EB2581"/>
    <w:rsid w:val="00EB5373"/>
    <w:rsid w:val="00EB53A4"/>
    <w:rsid w:val="00EC14EF"/>
    <w:rsid w:val="00EC4B91"/>
    <w:rsid w:val="00EC68D1"/>
    <w:rsid w:val="00ED00FD"/>
    <w:rsid w:val="00ED0E83"/>
    <w:rsid w:val="00ED6970"/>
    <w:rsid w:val="00ED7A2A"/>
    <w:rsid w:val="00ED7E6E"/>
    <w:rsid w:val="00EE37B7"/>
    <w:rsid w:val="00EE5C7E"/>
    <w:rsid w:val="00EE6929"/>
    <w:rsid w:val="00EF0235"/>
    <w:rsid w:val="00EF0C54"/>
    <w:rsid w:val="00EF1D7A"/>
    <w:rsid w:val="00EF1D7F"/>
    <w:rsid w:val="00EF3514"/>
    <w:rsid w:val="00EF560D"/>
    <w:rsid w:val="00F01F3B"/>
    <w:rsid w:val="00F03190"/>
    <w:rsid w:val="00F03A99"/>
    <w:rsid w:val="00F0403F"/>
    <w:rsid w:val="00F04CDE"/>
    <w:rsid w:val="00F075CC"/>
    <w:rsid w:val="00F17BD5"/>
    <w:rsid w:val="00F20C3D"/>
    <w:rsid w:val="00F21FE3"/>
    <w:rsid w:val="00F22E3E"/>
    <w:rsid w:val="00F24F92"/>
    <w:rsid w:val="00F2653D"/>
    <w:rsid w:val="00F3026E"/>
    <w:rsid w:val="00F31056"/>
    <w:rsid w:val="00F31242"/>
    <w:rsid w:val="00F34AB1"/>
    <w:rsid w:val="00F34D48"/>
    <w:rsid w:val="00F35149"/>
    <w:rsid w:val="00F373CD"/>
    <w:rsid w:val="00F41576"/>
    <w:rsid w:val="00F41B9F"/>
    <w:rsid w:val="00F41F7D"/>
    <w:rsid w:val="00F4204E"/>
    <w:rsid w:val="00F4374D"/>
    <w:rsid w:val="00F43E9E"/>
    <w:rsid w:val="00F44820"/>
    <w:rsid w:val="00F52BE2"/>
    <w:rsid w:val="00F53964"/>
    <w:rsid w:val="00F53F5C"/>
    <w:rsid w:val="00F546EA"/>
    <w:rsid w:val="00F55583"/>
    <w:rsid w:val="00F557E0"/>
    <w:rsid w:val="00F60C3B"/>
    <w:rsid w:val="00F70D30"/>
    <w:rsid w:val="00F72A4B"/>
    <w:rsid w:val="00F748B6"/>
    <w:rsid w:val="00F82653"/>
    <w:rsid w:val="00F82F23"/>
    <w:rsid w:val="00F8467B"/>
    <w:rsid w:val="00F855C0"/>
    <w:rsid w:val="00F85733"/>
    <w:rsid w:val="00F86121"/>
    <w:rsid w:val="00F8772A"/>
    <w:rsid w:val="00F9057C"/>
    <w:rsid w:val="00F906D7"/>
    <w:rsid w:val="00F908D7"/>
    <w:rsid w:val="00F90FD3"/>
    <w:rsid w:val="00F93781"/>
    <w:rsid w:val="00F9653B"/>
    <w:rsid w:val="00F9682C"/>
    <w:rsid w:val="00F96BA5"/>
    <w:rsid w:val="00FA1718"/>
    <w:rsid w:val="00FA5ED9"/>
    <w:rsid w:val="00FB148B"/>
    <w:rsid w:val="00FB2745"/>
    <w:rsid w:val="00FB45D9"/>
    <w:rsid w:val="00FB5EB5"/>
    <w:rsid w:val="00FB613B"/>
    <w:rsid w:val="00FB78D7"/>
    <w:rsid w:val="00FC0622"/>
    <w:rsid w:val="00FC68B7"/>
    <w:rsid w:val="00FD0381"/>
    <w:rsid w:val="00FD1D08"/>
    <w:rsid w:val="00FD28AF"/>
    <w:rsid w:val="00FD4F04"/>
    <w:rsid w:val="00FD4FB8"/>
    <w:rsid w:val="00FD61DA"/>
    <w:rsid w:val="00FD7CD0"/>
    <w:rsid w:val="00FE106A"/>
    <w:rsid w:val="00FE2B82"/>
    <w:rsid w:val="00FE5BA0"/>
    <w:rsid w:val="00FF0000"/>
    <w:rsid w:val="00FF4BF4"/>
    <w:rsid w:val="00FF66E4"/>
    <w:rsid w:val="00FF7226"/>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523F6-EC87-4FA3-A81A-30987260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PlainText">
    <w:name w:val="Plain Text"/>
    <w:basedOn w:val="Normal"/>
    <w:link w:val="PlainTextChar"/>
    <w:uiPriority w:val="99"/>
    <w:unhideWhenUsed/>
    <w:rsid w:val="0059563B"/>
    <w:pPr>
      <w:suppressAutoHyphens w:val="0"/>
      <w:spacing w:line="240" w:lineRule="auto"/>
    </w:pPr>
    <w:rPr>
      <w:rFonts w:ascii="Consolas" w:eastAsia="Calibri" w:hAnsi="Consolas"/>
      <w:sz w:val="21"/>
      <w:szCs w:val="21"/>
      <w:lang w:val="en-US"/>
    </w:rPr>
  </w:style>
  <w:style w:type="character" w:customStyle="1" w:styleId="PlainTextChar">
    <w:name w:val="Plain Text Char"/>
    <w:link w:val="PlainText"/>
    <w:uiPriority w:val="99"/>
    <w:rsid w:val="0059563B"/>
    <w:rPr>
      <w:rFonts w:ascii="Consolas" w:eastAsia="Calibri" w:hAnsi="Consolas" w:cs="Times New Roman"/>
      <w:sz w:val="21"/>
      <w:szCs w:val="21"/>
    </w:rPr>
  </w:style>
  <w:style w:type="character" w:customStyle="1" w:styleId="hps">
    <w:name w:val="hps"/>
    <w:rsid w:val="00416550"/>
  </w:style>
  <w:style w:type="paragraph" w:styleId="Revision">
    <w:name w:val="Revision"/>
    <w:hidden/>
    <w:uiPriority w:val="99"/>
    <w:semiHidden/>
    <w:rsid w:val="004F64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24995741">
      <w:bodyDiv w:val="1"/>
      <w:marLeft w:val="0"/>
      <w:marRight w:val="0"/>
      <w:marTop w:val="0"/>
      <w:marBottom w:val="0"/>
      <w:divBdr>
        <w:top w:val="none" w:sz="0" w:space="0" w:color="auto"/>
        <w:left w:val="none" w:sz="0" w:space="0" w:color="auto"/>
        <w:bottom w:val="none" w:sz="0" w:space="0" w:color="auto"/>
        <w:right w:val="none" w:sz="0" w:space="0" w:color="auto"/>
      </w:divBdr>
    </w:div>
    <w:div w:id="248927851">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63871972">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96769995">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7851091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85779120">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183082865">
      <w:bodyDiv w:val="1"/>
      <w:marLeft w:val="0"/>
      <w:marRight w:val="0"/>
      <w:marTop w:val="0"/>
      <w:marBottom w:val="0"/>
      <w:divBdr>
        <w:top w:val="none" w:sz="0" w:space="0" w:color="auto"/>
        <w:left w:val="none" w:sz="0" w:space="0" w:color="auto"/>
        <w:bottom w:val="none" w:sz="0" w:space="0" w:color="auto"/>
        <w:right w:val="none" w:sz="0" w:space="0" w:color="auto"/>
      </w:divBdr>
    </w:div>
    <w:div w:id="136925917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7852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DDA4-2AE1-46F5-869D-BD77AC80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3417</Words>
  <Characters>19480</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2015-03-27T09:47:00Z</cp:lastPrinted>
  <dcterms:created xsi:type="dcterms:W3CDTF">2017-01-24T18:19:00Z</dcterms:created>
  <dcterms:modified xsi:type="dcterms:W3CDTF">2017-01-24T18:19:00Z</dcterms:modified>
</cp:coreProperties>
</file>