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30732237" w14:textId="77777777" w:rsidTr="00B6553F">
        <w:trPr>
          <w:cantSplit/>
          <w:trHeight w:hRule="exact" w:val="851"/>
        </w:trPr>
        <w:tc>
          <w:tcPr>
            <w:tcW w:w="1276" w:type="dxa"/>
            <w:tcBorders>
              <w:bottom w:val="single" w:sz="4" w:space="0" w:color="auto"/>
            </w:tcBorders>
            <w:vAlign w:val="bottom"/>
          </w:tcPr>
          <w:p w14:paraId="2781B10D" w14:textId="77777777" w:rsidR="00B56E9C" w:rsidRPr="003A4A0D" w:rsidRDefault="003A4A0D" w:rsidP="003A4A0D">
            <w:pPr>
              <w:spacing w:line="20" w:lineRule="exact"/>
              <w:rPr>
                <w:sz w:val="2"/>
              </w:rPr>
            </w:pPr>
            <w:r>
              <w:rPr>
                <w:rStyle w:val="CommentReference"/>
              </w:rPr>
              <w:commentReference w:id="0"/>
            </w:r>
            <w:bookmarkStart w:id="1" w:name="_GoBack"/>
            <w:bookmarkEnd w:id="1"/>
          </w:p>
          <w:p w14:paraId="3571FE83" w14:textId="77777777" w:rsidR="003A4A0D" w:rsidRDefault="003A4A0D" w:rsidP="00B6553F">
            <w:pPr>
              <w:spacing w:after="80"/>
            </w:pPr>
          </w:p>
        </w:tc>
        <w:tc>
          <w:tcPr>
            <w:tcW w:w="2268" w:type="dxa"/>
            <w:tcBorders>
              <w:bottom w:val="single" w:sz="4" w:space="0" w:color="auto"/>
            </w:tcBorders>
            <w:vAlign w:val="bottom"/>
          </w:tcPr>
          <w:p w14:paraId="713DC9AB"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A6E9C68" w14:textId="77777777" w:rsidR="00B56E9C" w:rsidRPr="00D47EEA" w:rsidRDefault="00512547" w:rsidP="00DC054E">
            <w:pPr>
              <w:jc w:val="right"/>
            </w:pPr>
            <w:r w:rsidRPr="00512547">
              <w:rPr>
                <w:sz w:val="40"/>
              </w:rPr>
              <w:t>CCPR</w:t>
            </w:r>
            <w:r>
              <w:t>/C/114/D/19</w:t>
            </w:r>
            <w:r w:rsidR="00E25EC9">
              <w:t>84</w:t>
            </w:r>
            <w:r>
              <w:t>/2010</w:t>
            </w:r>
          </w:p>
        </w:tc>
      </w:tr>
      <w:tr w:rsidR="00B56E9C" w14:paraId="56F523A1" w14:textId="77777777" w:rsidTr="00B6553F">
        <w:trPr>
          <w:cantSplit/>
          <w:trHeight w:hRule="exact" w:val="2835"/>
        </w:trPr>
        <w:tc>
          <w:tcPr>
            <w:tcW w:w="1276" w:type="dxa"/>
            <w:tcBorders>
              <w:top w:val="single" w:sz="4" w:space="0" w:color="auto"/>
              <w:bottom w:val="single" w:sz="12" w:space="0" w:color="auto"/>
            </w:tcBorders>
          </w:tcPr>
          <w:p w14:paraId="4BF4690D" w14:textId="77777777" w:rsidR="00B56E9C" w:rsidRDefault="00466C58" w:rsidP="00B6553F">
            <w:pPr>
              <w:spacing w:before="120"/>
            </w:pPr>
            <w:r>
              <w:rPr>
                <w:noProof/>
                <w:lang w:val="en-US"/>
              </w:rPr>
              <w:drawing>
                <wp:inline distT="0" distB="0" distL="0" distR="0" wp14:anchorId="00C2C5FA" wp14:editId="4B31AEB5">
                  <wp:extent cx="713105" cy="598805"/>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105" cy="59880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A6F0617" w14:textId="77777777"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14:paraId="10498F8D" w14:textId="77777777" w:rsidR="00DC054E" w:rsidRPr="00267F5F" w:rsidRDefault="00DC054E" w:rsidP="002F7ED9">
            <w:pPr>
              <w:spacing w:before="120" w:line="380" w:lineRule="exact"/>
              <w:rPr>
                <w:sz w:val="34"/>
              </w:rPr>
            </w:pPr>
          </w:p>
        </w:tc>
        <w:tc>
          <w:tcPr>
            <w:tcW w:w="2835" w:type="dxa"/>
            <w:tcBorders>
              <w:top w:val="single" w:sz="4" w:space="0" w:color="auto"/>
              <w:bottom w:val="single" w:sz="12" w:space="0" w:color="auto"/>
            </w:tcBorders>
          </w:tcPr>
          <w:p w14:paraId="7114DCFA" w14:textId="77777777" w:rsidR="00B56E9C" w:rsidRDefault="00512547" w:rsidP="00512547">
            <w:pPr>
              <w:spacing w:before="240" w:line="240" w:lineRule="exact"/>
            </w:pPr>
            <w:r>
              <w:t xml:space="preserve">Distr.: </w:t>
            </w:r>
            <w:r w:rsidR="00DC054E">
              <w:t>General</w:t>
            </w:r>
          </w:p>
          <w:p w14:paraId="486E4AF8" w14:textId="77777777" w:rsidR="00512547" w:rsidRDefault="008B4200" w:rsidP="008B4200">
            <w:pPr>
              <w:spacing w:line="240" w:lineRule="exact"/>
            </w:pPr>
            <w:r>
              <w:t>11</w:t>
            </w:r>
            <w:r w:rsidR="00971A6D">
              <w:t xml:space="preserve"> August</w:t>
            </w:r>
            <w:r w:rsidR="00512547">
              <w:t xml:space="preserve"> 2015</w:t>
            </w:r>
          </w:p>
          <w:p w14:paraId="4A3EF884" w14:textId="77777777" w:rsidR="00512547" w:rsidRDefault="00512547" w:rsidP="00512547">
            <w:pPr>
              <w:spacing w:line="240" w:lineRule="exact"/>
            </w:pPr>
          </w:p>
          <w:p w14:paraId="6CD0B36C" w14:textId="77777777" w:rsidR="00512547" w:rsidRDefault="00512547" w:rsidP="00512547">
            <w:pPr>
              <w:spacing w:line="240" w:lineRule="exact"/>
            </w:pPr>
            <w:r>
              <w:t>Original: English</w:t>
            </w:r>
          </w:p>
          <w:p w14:paraId="1D801D6A" w14:textId="77777777" w:rsidR="00D721CC" w:rsidRDefault="00D721CC" w:rsidP="00512547">
            <w:pPr>
              <w:spacing w:line="240" w:lineRule="exact"/>
            </w:pPr>
          </w:p>
        </w:tc>
      </w:tr>
    </w:tbl>
    <w:p w14:paraId="1564B334" w14:textId="77777777" w:rsidR="00512547" w:rsidRPr="007F19B0" w:rsidRDefault="00512547" w:rsidP="007F19B0">
      <w:pPr>
        <w:spacing w:before="120"/>
        <w:rPr>
          <w:b/>
          <w:sz w:val="24"/>
          <w:szCs w:val="24"/>
          <w:lang w:val="en-US"/>
        </w:rPr>
      </w:pPr>
      <w:r w:rsidRPr="008216A5">
        <w:rPr>
          <w:b/>
          <w:sz w:val="24"/>
          <w:szCs w:val="24"/>
          <w:lang w:val="en-US"/>
        </w:rPr>
        <w:t>Human Rights Committee</w:t>
      </w:r>
    </w:p>
    <w:p w14:paraId="533B91F4" w14:textId="77777777" w:rsidR="00E25EC9" w:rsidRDefault="00512547" w:rsidP="000211EE">
      <w:pPr>
        <w:pStyle w:val="HChG"/>
      </w:pPr>
      <w:r>
        <w:tab/>
      </w:r>
      <w:r>
        <w:tab/>
      </w:r>
      <w:r w:rsidR="00E25EC9" w:rsidRPr="000211EE">
        <w:t>Communication</w:t>
      </w:r>
      <w:r w:rsidR="00E25EC9" w:rsidRPr="009E31DB">
        <w:t xml:space="preserve"> No. </w:t>
      </w:r>
      <w:r w:rsidR="00E25EC9">
        <w:t>1984/2010</w:t>
      </w:r>
    </w:p>
    <w:p w14:paraId="2F5B2318" w14:textId="77777777" w:rsidR="00E25EC9" w:rsidRPr="009E31DB" w:rsidRDefault="00E25EC9" w:rsidP="000211EE">
      <w:pPr>
        <w:pStyle w:val="H1G"/>
      </w:pPr>
      <w:r>
        <w:tab/>
      </w:r>
      <w:r>
        <w:tab/>
      </w:r>
      <w:r w:rsidR="00DC054E" w:rsidRPr="00F91B3A">
        <w:t>Views adopted by the Committee</w:t>
      </w:r>
      <w:r w:rsidR="00DC054E" w:rsidRPr="008A4FF5">
        <w:t xml:space="preserve"> </w:t>
      </w:r>
      <w:r w:rsidR="00DC054E" w:rsidRPr="00F91B3A">
        <w:t>at its 11</w:t>
      </w:r>
      <w:r w:rsidR="00DC054E">
        <w:t>4</w:t>
      </w:r>
      <w:r w:rsidR="00DC054E" w:rsidRPr="00A04011">
        <w:t>th</w:t>
      </w:r>
      <w:r w:rsidR="00DC054E">
        <w:t xml:space="preserve"> session </w:t>
      </w:r>
      <w:r w:rsidR="00DC054E">
        <w:br/>
        <w:t>(</w:t>
      </w:r>
      <w:r w:rsidR="00DC054E">
        <w:rPr>
          <w:bCs/>
          <w:lang w:val="en-US"/>
        </w:rPr>
        <w:t xml:space="preserve">29 June–24 July </w:t>
      </w:r>
      <w:r w:rsidR="00DC054E" w:rsidRPr="00735F4E">
        <w:rPr>
          <w:bCs/>
          <w:lang w:val="en-US"/>
        </w:rPr>
        <w:t>201</w:t>
      </w:r>
      <w:r w:rsidR="00DC054E">
        <w:rPr>
          <w:bCs/>
          <w:lang w:val="en-US"/>
        </w:rPr>
        <w:t>5)</w:t>
      </w:r>
    </w:p>
    <w:p w14:paraId="565E274F" w14:textId="77777777" w:rsidR="00E25EC9" w:rsidRPr="009E31DB" w:rsidRDefault="00E25EC9" w:rsidP="00416C28">
      <w:pPr>
        <w:pStyle w:val="SingleTxtG"/>
        <w:ind w:left="4536" w:hanging="3402"/>
        <w:jc w:val="left"/>
      </w:pPr>
      <w:r w:rsidRPr="009707F5">
        <w:rPr>
          <w:i/>
        </w:rPr>
        <w:t>Submitted by:</w:t>
      </w:r>
      <w:r w:rsidRPr="009E31DB">
        <w:tab/>
      </w:r>
      <w:r>
        <w:t xml:space="preserve">Evgeny Pugach </w:t>
      </w:r>
      <w:r w:rsidRPr="009E31DB">
        <w:t>(</w:t>
      </w:r>
      <w:r>
        <w:t xml:space="preserve">not </w:t>
      </w:r>
      <w:r w:rsidRPr="009E31DB">
        <w:t>represented by counsel)</w:t>
      </w:r>
    </w:p>
    <w:p w14:paraId="7516E87F" w14:textId="77777777" w:rsidR="00E25EC9" w:rsidRPr="009E31DB" w:rsidRDefault="00E25EC9" w:rsidP="00416C28">
      <w:pPr>
        <w:pStyle w:val="SingleTxtG"/>
        <w:ind w:left="4536" w:hanging="3402"/>
        <w:jc w:val="left"/>
      </w:pPr>
      <w:r w:rsidRPr="009707F5">
        <w:rPr>
          <w:i/>
        </w:rPr>
        <w:t>Alleged victim:</w:t>
      </w:r>
      <w:r w:rsidR="00730DB9">
        <w:tab/>
        <w:t>T</w:t>
      </w:r>
      <w:r w:rsidRPr="009E31DB">
        <w:t>he author</w:t>
      </w:r>
    </w:p>
    <w:p w14:paraId="0AE2586F" w14:textId="77777777" w:rsidR="00E25EC9" w:rsidRPr="009E31DB" w:rsidRDefault="00E25EC9" w:rsidP="00416C28">
      <w:pPr>
        <w:pStyle w:val="SingleTxtG"/>
        <w:ind w:left="4536" w:hanging="3402"/>
        <w:jc w:val="left"/>
      </w:pPr>
      <w:r w:rsidRPr="009707F5">
        <w:rPr>
          <w:i/>
        </w:rPr>
        <w:t>State party:</w:t>
      </w:r>
      <w:r w:rsidRPr="009E31DB">
        <w:tab/>
      </w:r>
      <w:r>
        <w:t>Belarus</w:t>
      </w:r>
    </w:p>
    <w:p w14:paraId="28675D63" w14:textId="77777777" w:rsidR="00E25EC9" w:rsidRPr="009E31DB" w:rsidRDefault="00E25EC9" w:rsidP="00416C28">
      <w:pPr>
        <w:pStyle w:val="SingleTxtG"/>
        <w:ind w:left="4536" w:hanging="3402"/>
        <w:jc w:val="left"/>
      </w:pPr>
      <w:r w:rsidRPr="009707F5">
        <w:rPr>
          <w:i/>
        </w:rPr>
        <w:t>Date of communication:</w:t>
      </w:r>
      <w:r w:rsidRPr="009E31DB">
        <w:tab/>
      </w:r>
      <w:r>
        <w:t>13 March 2010</w:t>
      </w:r>
      <w:r w:rsidRPr="009E31DB">
        <w:t xml:space="preserve"> (initial submission)</w:t>
      </w:r>
      <w:r w:rsidRPr="009E31DB">
        <w:tab/>
      </w:r>
    </w:p>
    <w:p w14:paraId="2076683F" w14:textId="77777777" w:rsidR="00E25EC9" w:rsidRPr="009E31DB" w:rsidRDefault="00E25EC9" w:rsidP="00416C28">
      <w:pPr>
        <w:pStyle w:val="SingleTxtG"/>
        <w:ind w:left="4536" w:hanging="3402"/>
        <w:jc w:val="left"/>
      </w:pPr>
      <w:r w:rsidRPr="009707F5">
        <w:rPr>
          <w:i/>
        </w:rPr>
        <w:t>Document references:</w:t>
      </w:r>
      <w:r w:rsidRPr="009E31DB">
        <w:tab/>
        <w:t xml:space="preserve">Special Rapporteur’s rule 97 decision, transmitted to the State party on </w:t>
      </w:r>
      <w:r>
        <w:t xml:space="preserve">27 September 2010 </w:t>
      </w:r>
      <w:r w:rsidRPr="009E31DB">
        <w:t xml:space="preserve">(not issued in </w:t>
      </w:r>
      <w:r>
        <w:t xml:space="preserve">a </w:t>
      </w:r>
      <w:r w:rsidRPr="009E31DB">
        <w:t>document form)</w:t>
      </w:r>
    </w:p>
    <w:p w14:paraId="798A0516" w14:textId="77777777" w:rsidR="00E25EC9" w:rsidRDefault="00E25EC9" w:rsidP="00416C28">
      <w:pPr>
        <w:pStyle w:val="SingleTxtG"/>
        <w:ind w:left="4536" w:hanging="3402"/>
        <w:jc w:val="left"/>
      </w:pPr>
      <w:r w:rsidRPr="009707F5">
        <w:rPr>
          <w:i/>
        </w:rPr>
        <w:t>Date of adoption of Views:</w:t>
      </w:r>
      <w:r w:rsidRPr="009E31DB">
        <w:tab/>
      </w:r>
      <w:r w:rsidR="00DC054E">
        <w:t>15</w:t>
      </w:r>
      <w:r w:rsidR="00DC054E" w:rsidRPr="009E31DB">
        <w:t xml:space="preserve"> </w:t>
      </w:r>
      <w:r>
        <w:t>Ju</w:t>
      </w:r>
      <w:r w:rsidR="00596154">
        <w:t>ly</w:t>
      </w:r>
      <w:r w:rsidRPr="009E31DB">
        <w:t xml:space="preserve"> 201</w:t>
      </w:r>
      <w:r>
        <w:t>5</w:t>
      </w:r>
    </w:p>
    <w:p w14:paraId="3EF212C8" w14:textId="77777777" w:rsidR="00E25EC9" w:rsidRPr="005A7A32" w:rsidRDefault="00193D38" w:rsidP="00E856C4">
      <w:pPr>
        <w:pStyle w:val="SingleTxtG"/>
        <w:ind w:left="4536" w:hanging="3402"/>
        <w:jc w:val="left"/>
      </w:pPr>
      <w:r w:rsidRPr="009E31DB">
        <w:rPr>
          <w:i/>
          <w:iCs/>
        </w:rPr>
        <w:t xml:space="preserve">Subject </w:t>
      </w:r>
      <w:r w:rsidRPr="00E25EC9">
        <w:rPr>
          <w:i/>
        </w:rPr>
        <w:t>matter</w:t>
      </w:r>
      <w:r w:rsidRPr="009E31DB">
        <w:rPr>
          <w:i/>
          <w:iCs/>
        </w:rPr>
        <w:t>:</w:t>
      </w:r>
      <w:r>
        <w:rPr>
          <w:i/>
          <w:iCs/>
        </w:rPr>
        <w:tab/>
      </w:r>
      <w:r>
        <w:t>R</w:t>
      </w:r>
      <w:r w:rsidRPr="002D60F9">
        <w:t xml:space="preserve">ight to </w:t>
      </w:r>
      <w:r>
        <w:t>freedom of expression</w:t>
      </w:r>
      <w:r w:rsidRPr="002D60F9">
        <w:t>; right of peaceful assembly</w:t>
      </w:r>
    </w:p>
    <w:p w14:paraId="67C74ACF" w14:textId="77777777" w:rsidR="00E25EC9" w:rsidRPr="005A7A32" w:rsidRDefault="00E25EC9" w:rsidP="00E856C4">
      <w:pPr>
        <w:pStyle w:val="SingleTxtG"/>
        <w:ind w:left="4536" w:hanging="3402"/>
        <w:jc w:val="left"/>
      </w:pPr>
      <w:r w:rsidRPr="005336E5">
        <w:rPr>
          <w:i/>
          <w:iCs/>
        </w:rPr>
        <w:t>Procedural issues:</w:t>
      </w:r>
      <w:r w:rsidR="00193D38">
        <w:rPr>
          <w:i/>
          <w:iCs/>
        </w:rPr>
        <w:tab/>
      </w:r>
      <w:r w:rsidRPr="005336E5">
        <w:rPr>
          <w:iCs/>
        </w:rPr>
        <w:t>State party’s lack of cooperation</w:t>
      </w:r>
      <w:r w:rsidR="00E856C4">
        <w:rPr>
          <w:iCs/>
        </w:rPr>
        <w:t>;</w:t>
      </w:r>
      <w:r w:rsidRPr="005336E5">
        <w:rPr>
          <w:iCs/>
        </w:rPr>
        <w:t xml:space="preserve"> exhaustion of domestic remedies</w:t>
      </w:r>
    </w:p>
    <w:p w14:paraId="638DE454" w14:textId="77777777" w:rsidR="00E25EC9" w:rsidRDefault="00E25EC9" w:rsidP="00971A6D">
      <w:pPr>
        <w:pStyle w:val="SingleTxtG"/>
        <w:ind w:left="4536" w:hanging="3402"/>
        <w:jc w:val="left"/>
        <w:rPr>
          <w:i/>
          <w:iCs/>
        </w:rPr>
      </w:pPr>
      <w:r w:rsidRPr="005A7A32">
        <w:rPr>
          <w:i/>
          <w:iCs/>
        </w:rPr>
        <w:t>Substantive issues:</w:t>
      </w:r>
      <w:r w:rsidR="00193D38">
        <w:rPr>
          <w:i/>
          <w:iCs/>
        </w:rPr>
        <w:tab/>
      </w:r>
      <w:r>
        <w:t>F</w:t>
      </w:r>
      <w:r w:rsidRPr="002D60F9">
        <w:t>reedom of expression; peaceful assembly</w:t>
      </w:r>
    </w:p>
    <w:p w14:paraId="557D5164" w14:textId="77777777" w:rsidR="00E25EC9" w:rsidRPr="005A7A32" w:rsidRDefault="00E25EC9" w:rsidP="00971A6D">
      <w:pPr>
        <w:pStyle w:val="SingleTxtG"/>
        <w:ind w:left="4536" w:hanging="3402"/>
        <w:jc w:val="left"/>
      </w:pPr>
      <w:r w:rsidRPr="005A7A32">
        <w:rPr>
          <w:i/>
          <w:iCs/>
        </w:rPr>
        <w:t>Articles of the Covenant:</w:t>
      </w:r>
      <w:r w:rsidR="00193D38">
        <w:tab/>
      </w:r>
      <w:r w:rsidRPr="002D60F9">
        <w:t>19</w:t>
      </w:r>
      <w:r w:rsidR="00971A6D">
        <w:t xml:space="preserve"> (</w:t>
      </w:r>
      <w:r>
        <w:t>2</w:t>
      </w:r>
      <w:r w:rsidR="00971A6D">
        <w:t>)</w:t>
      </w:r>
      <w:r w:rsidRPr="002D60F9">
        <w:t xml:space="preserve"> and 21</w:t>
      </w:r>
    </w:p>
    <w:p w14:paraId="43A8523A" w14:textId="77777777" w:rsidR="00E25EC9" w:rsidRPr="00EE07B9" w:rsidRDefault="00E25EC9" w:rsidP="00971A6D">
      <w:pPr>
        <w:pStyle w:val="SingleTxtG"/>
        <w:ind w:left="4536" w:hanging="3402"/>
        <w:jc w:val="left"/>
      </w:pPr>
      <w:r w:rsidRPr="00E25EC9">
        <w:rPr>
          <w:i/>
          <w:iCs/>
        </w:rPr>
        <w:t>Articles of the Optional Protocol</w:t>
      </w:r>
      <w:r w:rsidRPr="00E25EC9">
        <w:rPr>
          <w:i/>
        </w:rPr>
        <w:t>:</w:t>
      </w:r>
      <w:r>
        <w:tab/>
        <w:t>2 and 5</w:t>
      </w:r>
      <w:r w:rsidR="00971A6D">
        <w:t xml:space="preserve"> (</w:t>
      </w:r>
      <w:r>
        <w:t>2</w:t>
      </w:r>
      <w:r w:rsidR="00971A6D">
        <w:t>)</w:t>
      </w:r>
      <w:r>
        <w:t xml:space="preserve"> (b)</w:t>
      </w:r>
    </w:p>
    <w:p w14:paraId="2B67604D" w14:textId="77777777" w:rsidR="00E25EC9" w:rsidRPr="009E31DB" w:rsidRDefault="00E25EC9" w:rsidP="00E25EC9">
      <w:pPr>
        <w:pStyle w:val="SingleTxtG"/>
      </w:pPr>
    </w:p>
    <w:p w14:paraId="37E62CA9" w14:textId="77777777" w:rsidR="00E25EC9" w:rsidRPr="009E31DB" w:rsidRDefault="00E25EC9" w:rsidP="00E25EC9">
      <w:pPr>
        <w:pStyle w:val="HChG"/>
      </w:pPr>
      <w:r w:rsidRPr="009E31DB">
        <w:br w:type="page"/>
      </w:r>
      <w:r w:rsidRPr="009E31DB">
        <w:lastRenderedPageBreak/>
        <w:t>Ann</w:t>
      </w:r>
      <w:r w:rsidRPr="00E25EC9">
        <w:t>e</w:t>
      </w:r>
      <w:r w:rsidRPr="009E31DB">
        <w:t>x</w:t>
      </w:r>
    </w:p>
    <w:p w14:paraId="144C1C33" w14:textId="77777777" w:rsidR="00E25EC9" w:rsidRPr="009E31DB" w:rsidRDefault="00E25EC9" w:rsidP="00E856C4">
      <w:pPr>
        <w:pStyle w:val="HChG"/>
        <w:rPr>
          <w:bCs/>
        </w:rPr>
      </w:pPr>
      <w:r>
        <w:tab/>
      </w:r>
      <w:r>
        <w:tab/>
      </w:r>
      <w:r w:rsidRPr="009E31DB">
        <w:t xml:space="preserve">Views </w:t>
      </w:r>
      <w:r w:rsidRPr="00E25EC9">
        <w:t>of</w:t>
      </w:r>
      <w:r w:rsidRPr="009E31DB">
        <w:t xml:space="preserve"> the Human Rights Committee under article 5</w:t>
      </w:r>
      <w:r w:rsidR="00E856C4">
        <w:t xml:space="preserve"> (</w:t>
      </w:r>
      <w:r w:rsidRPr="009E31DB">
        <w:t>4</w:t>
      </w:r>
      <w:r w:rsidR="00E856C4">
        <w:t>)</w:t>
      </w:r>
      <w:r w:rsidRPr="009E31DB">
        <w:t xml:space="preserve"> of the Optional Protocol to the International C</w:t>
      </w:r>
      <w:r>
        <w:t>ovenant on Civil and Political R</w:t>
      </w:r>
      <w:r w:rsidRPr="009E31DB">
        <w:t>ights (</w:t>
      </w:r>
      <w:r>
        <w:t xml:space="preserve">114th </w:t>
      </w:r>
      <w:r w:rsidRPr="009E31DB">
        <w:rPr>
          <w:bCs/>
        </w:rPr>
        <w:t>session)</w:t>
      </w:r>
    </w:p>
    <w:p w14:paraId="46E28AF9" w14:textId="77777777" w:rsidR="00E25EC9" w:rsidRPr="009E31DB" w:rsidRDefault="00B44C9A" w:rsidP="00E25EC9">
      <w:pPr>
        <w:pStyle w:val="SingleTxtG"/>
        <w:ind w:left="0"/>
        <w:rPr>
          <w:b/>
          <w:bCs/>
        </w:rPr>
      </w:pPr>
      <w:r>
        <w:tab/>
      </w:r>
      <w:r>
        <w:tab/>
      </w:r>
      <w:r w:rsidR="00E25EC9" w:rsidRPr="009E31DB">
        <w:t>concerning</w:t>
      </w:r>
    </w:p>
    <w:p w14:paraId="7BFA4001" w14:textId="77777777" w:rsidR="00E25EC9" w:rsidRPr="009E31DB" w:rsidRDefault="00E25EC9" w:rsidP="00E25EC9">
      <w:pPr>
        <w:pStyle w:val="H1G"/>
      </w:pPr>
      <w:r>
        <w:tab/>
      </w:r>
      <w:r>
        <w:tab/>
      </w:r>
      <w:r w:rsidRPr="00E25EC9">
        <w:t>Communication</w:t>
      </w:r>
      <w:r w:rsidRPr="009E31DB">
        <w:t xml:space="preserve"> No. </w:t>
      </w:r>
      <w:r>
        <w:t>1984/2010</w:t>
      </w:r>
      <w:r w:rsidR="00E477E2" w:rsidRPr="00416C28">
        <w:rPr>
          <w:rStyle w:val="FootnoteReference"/>
          <w:b w:val="0"/>
          <w:sz w:val="20"/>
          <w:vertAlign w:val="baseline"/>
        </w:rPr>
        <w:footnoteReference w:customMarkFollows="1" w:id="2"/>
        <w:t>*</w:t>
      </w:r>
    </w:p>
    <w:p w14:paraId="4A76667E" w14:textId="77777777" w:rsidR="00E25EC9" w:rsidRDefault="00E25EC9" w:rsidP="00416C28">
      <w:pPr>
        <w:pStyle w:val="SingleTxtG"/>
        <w:ind w:left="4536" w:hanging="3402"/>
        <w:jc w:val="left"/>
      </w:pPr>
      <w:r w:rsidRPr="00E25EC9">
        <w:rPr>
          <w:i/>
          <w:iCs/>
        </w:rPr>
        <w:t>Submitted</w:t>
      </w:r>
      <w:r w:rsidRPr="009707F5">
        <w:rPr>
          <w:i/>
        </w:rPr>
        <w:t xml:space="preserve"> by:</w:t>
      </w:r>
      <w:r w:rsidRPr="009E31DB">
        <w:tab/>
      </w:r>
      <w:r>
        <w:tab/>
        <w:t xml:space="preserve">Evgeny Pugach </w:t>
      </w:r>
      <w:r w:rsidRPr="00E76216">
        <w:t>(</w:t>
      </w:r>
      <w:r w:rsidR="00371B24">
        <w:t xml:space="preserve">not </w:t>
      </w:r>
      <w:r w:rsidRPr="00E76216">
        <w:t>represented by counsel)</w:t>
      </w:r>
    </w:p>
    <w:p w14:paraId="3B46BAA1" w14:textId="77777777" w:rsidR="00E25EC9" w:rsidRPr="009E31DB" w:rsidRDefault="00E25EC9" w:rsidP="00416C28">
      <w:pPr>
        <w:pStyle w:val="SingleTxtG"/>
        <w:ind w:left="4536" w:hanging="3402"/>
        <w:jc w:val="left"/>
      </w:pPr>
      <w:r w:rsidRPr="009707F5">
        <w:rPr>
          <w:i/>
        </w:rPr>
        <w:t xml:space="preserve">Alleged </w:t>
      </w:r>
      <w:r w:rsidRPr="00E25EC9">
        <w:rPr>
          <w:i/>
          <w:iCs/>
        </w:rPr>
        <w:t>victim</w:t>
      </w:r>
      <w:r w:rsidRPr="009707F5">
        <w:rPr>
          <w:i/>
        </w:rPr>
        <w:t>:</w:t>
      </w:r>
      <w:r w:rsidRPr="009E31DB">
        <w:tab/>
      </w:r>
      <w:r w:rsidR="00730DB9">
        <w:t>T</w:t>
      </w:r>
      <w:r w:rsidRPr="009E31DB">
        <w:t>he author</w:t>
      </w:r>
    </w:p>
    <w:p w14:paraId="23727793" w14:textId="77777777" w:rsidR="00E25EC9" w:rsidRPr="009E31DB" w:rsidRDefault="00E25EC9" w:rsidP="00416C28">
      <w:pPr>
        <w:pStyle w:val="SingleTxtG"/>
        <w:ind w:left="4536" w:hanging="3402"/>
        <w:jc w:val="left"/>
      </w:pPr>
      <w:r w:rsidRPr="009707F5">
        <w:rPr>
          <w:i/>
        </w:rPr>
        <w:t xml:space="preserve">State </w:t>
      </w:r>
      <w:r w:rsidRPr="00E25EC9">
        <w:rPr>
          <w:i/>
          <w:iCs/>
        </w:rPr>
        <w:t>party</w:t>
      </w:r>
      <w:r w:rsidRPr="009707F5">
        <w:rPr>
          <w:i/>
        </w:rPr>
        <w:t>:</w:t>
      </w:r>
      <w:r w:rsidRPr="009E31DB">
        <w:tab/>
      </w:r>
      <w:r>
        <w:tab/>
        <w:t>Belarus</w:t>
      </w:r>
    </w:p>
    <w:p w14:paraId="79620802" w14:textId="77777777" w:rsidR="00E25EC9" w:rsidRPr="009E31DB" w:rsidRDefault="00E25EC9" w:rsidP="00416C28">
      <w:pPr>
        <w:pStyle w:val="SingleTxtG"/>
        <w:ind w:left="4536" w:hanging="3402"/>
        <w:jc w:val="left"/>
      </w:pPr>
      <w:r w:rsidRPr="009707F5">
        <w:rPr>
          <w:i/>
        </w:rPr>
        <w:t xml:space="preserve">Date </w:t>
      </w:r>
      <w:r w:rsidRPr="00E25EC9">
        <w:rPr>
          <w:i/>
          <w:iCs/>
        </w:rPr>
        <w:t>of</w:t>
      </w:r>
      <w:r w:rsidRPr="009707F5">
        <w:rPr>
          <w:i/>
        </w:rPr>
        <w:t xml:space="preserve"> communication:</w:t>
      </w:r>
      <w:r w:rsidRPr="009E31DB">
        <w:tab/>
      </w:r>
      <w:r>
        <w:t>13 March 2010</w:t>
      </w:r>
      <w:r w:rsidRPr="009E31DB">
        <w:t xml:space="preserve"> </w:t>
      </w:r>
      <w:r w:rsidRPr="00E76216">
        <w:t>(initial submission)</w:t>
      </w:r>
    </w:p>
    <w:p w14:paraId="40DA2B1D" w14:textId="77777777" w:rsidR="00E25EC9" w:rsidRPr="009E31DB" w:rsidRDefault="00E25EC9" w:rsidP="00416C28">
      <w:pPr>
        <w:pStyle w:val="SingleTxtG"/>
        <w:spacing w:before="240"/>
      </w:pPr>
      <w:r w:rsidRPr="009E31DB">
        <w:tab/>
      </w:r>
      <w:r w:rsidRPr="009707F5">
        <w:rPr>
          <w:i/>
        </w:rPr>
        <w:t>The Human Rights Committee</w:t>
      </w:r>
      <w:r w:rsidRPr="009E31DB">
        <w:t xml:space="preserve">, </w:t>
      </w:r>
      <w:r w:rsidRPr="00E25EC9">
        <w:t>established</w:t>
      </w:r>
      <w:r w:rsidRPr="009E31DB">
        <w:t xml:space="preserve"> under article 28 of the International Covenant on Civil and Political Rights, </w:t>
      </w:r>
    </w:p>
    <w:p w14:paraId="0CB4D114" w14:textId="77777777" w:rsidR="00E25EC9" w:rsidRPr="009E31DB" w:rsidRDefault="00E25EC9" w:rsidP="00E25EC9">
      <w:pPr>
        <w:pStyle w:val="SingleTxtG"/>
      </w:pPr>
      <w:r w:rsidRPr="009E31DB">
        <w:tab/>
      </w:r>
      <w:r w:rsidRPr="009707F5">
        <w:rPr>
          <w:i/>
        </w:rPr>
        <w:t>Meeting on</w:t>
      </w:r>
      <w:r w:rsidRPr="009E31DB">
        <w:t xml:space="preserve"> </w:t>
      </w:r>
      <w:r w:rsidR="00DC054E">
        <w:t>15</w:t>
      </w:r>
      <w:r w:rsidR="00DC054E" w:rsidRPr="009E31DB">
        <w:t xml:space="preserve"> </w:t>
      </w:r>
      <w:r>
        <w:t>July</w:t>
      </w:r>
      <w:r w:rsidRPr="009E31DB">
        <w:t xml:space="preserve"> 201</w:t>
      </w:r>
      <w:r>
        <w:t>5</w:t>
      </w:r>
      <w:r w:rsidRPr="009E31DB">
        <w:t>,</w:t>
      </w:r>
    </w:p>
    <w:p w14:paraId="0FC5A211" w14:textId="77777777" w:rsidR="00E25EC9" w:rsidRPr="009E31DB" w:rsidRDefault="00E25EC9" w:rsidP="00971A6D">
      <w:pPr>
        <w:pStyle w:val="SingleTxtG"/>
      </w:pPr>
      <w:r w:rsidRPr="009E31DB">
        <w:tab/>
      </w:r>
      <w:r w:rsidRPr="009707F5">
        <w:rPr>
          <w:i/>
        </w:rPr>
        <w:t>Having concluded</w:t>
      </w:r>
      <w:r w:rsidRPr="009E31DB">
        <w:t xml:space="preserve"> its consideration of communication No. </w:t>
      </w:r>
      <w:r>
        <w:t>1984/2010</w:t>
      </w:r>
      <w:r w:rsidRPr="009E31DB">
        <w:t xml:space="preserve">, submitted to </w:t>
      </w:r>
      <w:r>
        <w:t>the Human Rights Committee by Evgeny Pugach</w:t>
      </w:r>
      <w:r w:rsidR="00E856C4">
        <w:t>,</w:t>
      </w:r>
      <w:r>
        <w:t xml:space="preserve"> </w:t>
      </w:r>
      <w:r w:rsidRPr="009E31DB">
        <w:t>under the Optional Protocol to the International Covenant on Civil and Political Rights,</w:t>
      </w:r>
    </w:p>
    <w:p w14:paraId="2BE729B0" w14:textId="77777777" w:rsidR="00E25EC9" w:rsidRPr="009E31DB" w:rsidRDefault="00E25EC9" w:rsidP="00E25EC9">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14:paraId="5E3711AA" w14:textId="77777777" w:rsidR="00E25EC9" w:rsidRPr="009E31DB" w:rsidRDefault="00E25EC9" w:rsidP="00E25EC9">
      <w:pPr>
        <w:pStyle w:val="SingleTxtG"/>
      </w:pPr>
      <w:r w:rsidRPr="009E31DB">
        <w:tab/>
      </w:r>
      <w:r w:rsidRPr="009707F5">
        <w:rPr>
          <w:i/>
        </w:rPr>
        <w:t xml:space="preserve">Adopts </w:t>
      </w:r>
      <w:r w:rsidRPr="00A04011">
        <w:rPr>
          <w:iCs/>
        </w:rPr>
        <w:t>the following:</w:t>
      </w:r>
    </w:p>
    <w:p w14:paraId="01AD809A" w14:textId="77777777" w:rsidR="00E25EC9" w:rsidRPr="009E31DB" w:rsidRDefault="00E25EC9" w:rsidP="00E856C4">
      <w:pPr>
        <w:pStyle w:val="H1G"/>
      </w:pPr>
      <w:r>
        <w:tab/>
      </w:r>
      <w:r>
        <w:tab/>
      </w:r>
      <w:r w:rsidRPr="009E31DB">
        <w:t xml:space="preserve">Views under </w:t>
      </w:r>
      <w:r w:rsidRPr="00E25EC9">
        <w:t>article</w:t>
      </w:r>
      <w:r w:rsidRPr="009E31DB">
        <w:t xml:space="preserve"> 5</w:t>
      </w:r>
      <w:r w:rsidR="00E856C4">
        <w:t xml:space="preserve"> (</w:t>
      </w:r>
      <w:r w:rsidRPr="009E31DB">
        <w:t>4</w:t>
      </w:r>
      <w:r w:rsidR="00E856C4">
        <w:t>)</w:t>
      </w:r>
      <w:r w:rsidRPr="009E31DB">
        <w:t xml:space="preserve"> of the Optional Protocol</w:t>
      </w:r>
    </w:p>
    <w:p w14:paraId="782B3F40" w14:textId="77777777" w:rsidR="00E25EC9" w:rsidRDefault="00E25EC9" w:rsidP="00E856C4">
      <w:pPr>
        <w:pStyle w:val="SingleTxtG"/>
      </w:pPr>
      <w:r>
        <w:t>1.</w:t>
      </w:r>
      <w:r>
        <w:tab/>
      </w:r>
      <w:r w:rsidRPr="00822BA7">
        <w:t xml:space="preserve">The author is </w:t>
      </w:r>
      <w:r w:rsidRPr="00E25EC9">
        <w:t>Evgeny</w:t>
      </w:r>
      <w:r>
        <w:t xml:space="preserve"> Pugach</w:t>
      </w:r>
      <w:r w:rsidRPr="00822BA7">
        <w:t>, a national</w:t>
      </w:r>
      <w:r w:rsidR="00E856C4">
        <w:t xml:space="preserve"> of Belarus</w:t>
      </w:r>
      <w:r w:rsidRPr="00822BA7">
        <w:t xml:space="preserve">, born in </w:t>
      </w:r>
      <w:r>
        <w:t>1984</w:t>
      </w:r>
      <w:r w:rsidRPr="00822BA7">
        <w:t xml:space="preserve">. </w:t>
      </w:r>
      <w:r>
        <w:t>He</w:t>
      </w:r>
      <w:r w:rsidRPr="00822BA7">
        <w:t xml:space="preserve"> claims to be a victim of </w:t>
      </w:r>
      <w:r>
        <w:t xml:space="preserve">a </w:t>
      </w:r>
      <w:r w:rsidRPr="00822BA7">
        <w:t xml:space="preserve">violation by </w:t>
      </w:r>
      <w:r>
        <w:t>Belarus</w:t>
      </w:r>
      <w:r w:rsidRPr="00822BA7">
        <w:t xml:space="preserve"> of </w:t>
      </w:r>
      <w:r>
        <w:t>his</w:t>
      </w:r>
      <w:r w:rsidRPr="00822BA7">
        <w:t xml:space="preserve"> rights under article</w:t>
      </w:r>
      <w:r w:rsidR="00E856C4">
        <w:t>s</w:t>
      </w:r>
      <w:r>
        <w:t xml:space="preserve"> 19</w:t>
      </w:r>
      <w:r w:rsidR="00E856C4">
        <w:t xml:space="preserve"> (</w:t>
      </w:r>
      <w:r>
        <w:t>2</w:t>
      </w:r>
      <w:r w:rsidR="00E856C4">
        <w:t>)</w:t>
      </w:r>
      <w:r>
        <w:t xml:space="preserve"> and 21</w:t>
      </w:r>
      <w:r w:rsidRPr="00822BA7">
        <w:t xml:space="preserve"> of the International Covenant on Civil and Political Rights.</w:t>
      </w:r>
      <w:r w:rsidR="00E9372B">
        <w:rPr>
          <w:rStyle w:val="FootnoteReference"/>
        </w:rPr>
        <w:footnoteReference w:id="3"/>
      </w:r>
    </w:p>
    <w:p w14:paraId="2E267A02" w14:textId="77777777" w:rsidR="00E25EC9" w:rsidRPr="009E31DB" w:rsidRDefault="00E25EC9" w:rsidP="00E25EC9">
      <w:pPr>
        <w:pStyle w:val="H23G"/>
        <w:ind w:left="0" w:firstLine="0"/>
      </w:pPr>
      <w:r>
        <w:tab/>
      </w:r>
      <w:r>
        <w:tab/>
      </w:r>
      <w:r w:rsidRPr="009E31DB">
        <w:t>The facts as presented by th</w:t>
      </w:r>
      <w:r w:rsidRPr="00E25EC9">
        <w:t>e</w:t>
      </w:r>
      <w:r w:rsidRPr="009E31DB">
        <w:t xml:space="preserve"> author</w:t>
      </w:r>
    </w:p>
    <w:p w14:paraId="15235D98" w14:textId="77777777" w:rsidR="00E25EC9" w:rsidRPr="005F4996" w:rsidRDefault="00E25EC9" w:rsidP="00F5672B">
      <w:pPr>
        <w:pStyle w:val="SingleTxtG"/>
      </w:pPr>
      <w:r>
        <w:t>2.1.</w:t>
      </w:r>
      <w:r w:rsidRPr="005F4996">
        <w:tab/>
      </w:r>
      <w:r w:rsidRPr="00227407">
        <w:t>On 30 July 2009</w:t>
      </w:r>
      <w:r w:rsidRPr="005F4996">
        <w:t xml:space="preserve">, the author </w:t>
      </w:r>
      <w:r>
        <w:t>sought the permission of</w:t>
      </w:r>
      <w:r w:rsidRPr="005F4996">
        <w:t xml:space="preserve"> the </w:t>
      </w:r>
      <w:r>
        <w:t xml:space="preserve">Minsk City </w:t>
      </w:r>
      <w:r w:rsidRPr="008160AB">
        <w:t xml:space="preserve">Executive </w:t>
      </w:r>
      <w:r>
        <w:t>Committee</w:t>
      </w:r>
      <w:r w:rsidRPr="005F4996">
        <w:t xml:space="preserve"> to hold</w:t>
      </w:r>
      <w:r>
        <w:t xml:space="preserve"> a peaceful picket </w:t>
      </w:r>
      <w:r w:rsidRPr="005F4996">
        <w:t xml:space="preserve">on 22 August 2009 </w:t>
      </w:r>
      <w:r>
        <w:t>aim</w:t>
      </w:r>
      <w:r w:rsidR="00E46CD8">
        <w:t>ed</w:t>
      </w:r>
      <w:r>
        <w:t xml:space="preserve"> at </w:t>
      </w:r>
      <w:r w:rsidRPr="005F4996">
        <w:t xml:space="preserve">drawing citizens’ attention to the </w:t>
      </w:r>
      <w:r w:rsidR="00E46CD8">
        <w:t>issue</w:t>
      </w:r>
      <w:r w:rsidRPr="005F4996">
        <w:t xml:space="preserve"> of homeless animals, protest against the cruel treatment of animals and express disagreement with the methods of work of the new director of the </w:t>
      </w:r>
      <w:r>
        <w:t>S</w:t>
      </w:r>
      <w:r w:rsidRPr="005F4996">
        <w:t>tate enterprise</w:t>
      </w:r>
      <w:r w:rsidR="00E46CD8">
        <w:t>,</w:t>
      </w:r>
      <w:r w:rsidRPr="005F4996">
        <w:t xml:space="preserve"> </w:t>
      </w:r>
      <w:r>
        <w:t>City Fauna</w:t>
      </w:r>
      <w:r w:rsidR="00E46CD8">
        <w:t>,</w:t>
      </w:r>
      <w:r w:rsidRPr="005F4996">
        <w:t xml:space="preserve"> </w:t>
      </w:r>
      <w:r w:rsidR="007A13D0">
        <w:t xml:space="preserve">which is </w:t>
      </w:r>
      <w:r w:rsidRPr="005F4996">
        <w:t>in charg</w:t>
      </w:r>
      <w:r>
        <w:t>e of collecting homeless animals.</w:t>
      </w:r>
      <w:r w:rsidRPr="005F4996">
        <w:t xml:space="preserve"> In the application</w:t>
      </w:r>
      <w:r w:rsidR="00E46CD8">
        <w:t>,</w:t>
      </w:r>
      <w:r w:rsidRPr="005F4996">
        <w:t xml:space="preserve"> he specified that </w:t>
      </w:r>
      <w:r>
        <w:t xml:space="preserve">approximately 50 persons would participate in the picket from </w:t>
      </w:r>
      <w:r w:rsidR="00E46CD8">
        <w:t xml:space="preserve">3 p.m. </w:t>
      </w:r>
      <w:r>
        <w:t xml:space="preserve">to </w:t>
      </w:r>
      <w:r w:rsidR="00E46CD8">
        <w:t xml:space="preserve">6 </w:t>
      </w:r>
      <w:r w:rsidR="00E46CD8">
        <w:lastRenderedPageBreak/>
        <w:t>p.m.</w:t>
      </w:r>
      <w:r w:rsidRPr="005F4996">
        <w:rPr>
          <w:lang w:val="bg-BG"/>
        </w:rPr>
        <w:t xml:space="preserve"> </w:t>
      </w:r>
      <w:r w:rsidRPr="005F4996">
        <w:t xml:space="preserve">and that </w:t>
      </w:r>
      <w:r>
        <w:t xml:space="preserve">he wished </w:t>
      </w:r>
      <w:r w:rsidR="00E46CD8">
        <w:t xml:space="preserve">to </w:t>
      </w:r>
      <w:r w:rsidR="00BF2BC2">
        <w:t xml:space="preserve">hold </w:t>
      </w:r>
      <w:r>
        <w:t xml:space="preserve">the picket at </w:t>
      </w:r>
      <w:r w:rsidRPr="005F4996">
        <w:t xml:space="preserve">a </w:t>
      </w:r>
      <w:r>
        <w:t xml:space="preserve">pedestrian </w:t>
      </w:r>
      <w:r w:rsidRPr="005F4996">
        <w:t xml:space="preserve">square in front of the building </w:t>
      </w:r>
      <w:r w:rsidR="00E46CD8">
        <w:t xml:space="preserve">housing </w:t>
      </w:r>
      <w:r>
        <w:t>City</w:t>
      </w:r>
      <w:r w:rsidRPr="005F4996">
        <w:t xml:space="preserve"> Fauna</w:t>
      </w:r>
      <w:r w:rsidR="00E46CD8">
        <w:t xml:space="preserve"> </w:t>
      </w:r>
      <w:r>
        <w:t xml:space="preserve">on </w:t>
      </w:r>
      <w:r w:rsidRPr="005F4996">
        <w:t>42 Gurskovo Str</w:t>
      </w:r>
      <w:r w:rsidR="00F5672B">
        <w:t>eet</w:t>
      </w:r>
      <w:r w:rsidRPr="005F4996">
        <w:t xml:space="preserve"> in Minsk.</w:t>
      </w:r>
    </w:p>
    <w:p w14:paraId="08CA52E9" w14:textId="77777777" w:rsidR="00E25EC9" w:rsidRPr="005F4996" w:rsidRDefault="00E25EC9" w:rsidP="007A13D0">
      <w:pPr>
        <w:pStyle w:val="SingleTxtG"/>
      </w:pPr>
      <w:r>
        <w:t>2.2.</w:t>
      </w:r>
      <w:r w:rsidRPr="005F4996">
        <w:tab/>
        <w:t xml:space="preserve">On 14 August 2009, the </w:t>
      </w:r>
      <w:r>
        <w:t xml:space="preserve">Minsk </w:t>
      </w:r>
      <w:r w:rsidRPr="005F4996">
        <w:t xml:space="preserve">Executive Committee </w:t>
      </w:r>
      <w:r>
        <w:t>refused to authori</w:t>
      </w:r>
      <w:r w:rsidR="00E46CD8">
        <w:t>z</w:t>
      </w:r>
      <w:r>
        <w:t xml:space="preserve">e </w:t>
      </w:r>
      <w:r w:rsidRPr="005F4996">
        <w:t xml:space="preserve">the </w:t>
      </w:r>
      <w:r>
        <w:t>picket, noting</w:t>
      </w:r>
      <w:r w:rsidRPr="005F4996">
        <w:t xml:space="preserve"> that the gathering at the </w:t>
      </w:r>
      <w:r>
        <w:t>indicated</w:t>
      </w:r>
      <w:r w:rsidRPr="005F4996">
        <w:t xml:space="preserve"> locatio</w:t>
      </w:r>
      <w:r>
        <w:t>n would hinder the work of City</w:t>
      </w:r>
      <w:r w:rsidRPr="005F4996">
        <w:t xml:space="preserve"> Fauna and  two other </w:t>
      </w:r>
      <w:r w:rsidR="00E46CD8">
        <w:t>businesses</w:t>
      </w:r>
      <w:r>
        <w:t xml:space="preserve"> located in the same area</w:t>
      </w:r>
      <w:r w:rsidRPr="005F4996">
        <w:t xml:space="preserve">. </w:t>
      </w:r>
    </w:p>
    <w:p w14:paraId="54DB5B15" w14:textId="77777777" w:rsidR="00572C66" w:rsidRDefault="00E25EC9" w:rsidP="00E46CD8">
      <w:pPr>
        <w:pStyle w:val="SingleTxtG"/>
      </w:pPr>
      <w:r w:rsidRPr="005F4996">
        <w:t>2.3.</w:t>
      </w:r>
      <w:r w:rsidRPr="005F4996">
        <w:tab/>
        <w:t xml:space="preserve">On 7 September 2009, the author filed an appeal against the decision of the </w:t>
      </w:r>
      <w:r>
        <w:t xml:space="preserve">Minsk City </w:t>
      </w:r>
      <w:r w:rsidRPr="008160AB">
        <w:t xml:space="preserve">Executive </w:t>
      </w:r>
      <w:r>
        <w:t>Committee</w:t>
      </w:r>
      <w:r w:rsidRPr="008160AB">
        <w:t xml:space="preserve"> </w:t>
      </w:r>
      <w:r w:rsidRPr="005F4996">
        <w:t xml:space="preserve">before the </w:t>
      </w:r>
      <w:r>
        <w:t xml:space="preserve">Moscow District Court of Minsk </w:t>
      </w:r>
      <w:r w:rsidRPr="008160AB">
        <w:t xml:space="preserve">claiming </w:t>
      </w:r>
      <w:r>
        <w:t xml:space="preserve">a </w:t>
      </w:r>
      <w:r w:rsidRPr="008160AB">
        <w:t xml:space="preserve">violation of his </w:t>
      </w:r>
      <w:r>
        <w:t>right</w:t>
      </w:r>
      <w:r w:rsidR="00E46CD8">
        <w:t>s</w:t>
      </w:r>
      <w:r>
        <w:t xml:space="preserve"> to </w:t>
      </w:r>
      <w:r w:rsidRPr="008160AB">
        <w:t>freedom of expression</w:t>
      </w:r>
      <w:r>
        <w:t xml:space="preserve"> and peaceful assembly as guaranteed by the Constitution of Belarus and articles 19 and 21 of the </w:t>
      </w:r>
      <w:r w:rsidR="00E46CD8">
        <w:t xml:space="preserve">International </w:t>
      </w:r>
      <w:r>
        <w:t>Covenant</w:t>
      </w:r>
      <w:r w:rsidR="00E46CD8">
        <w:t xml:space="preserve"> on Civil and Political Rights</w:t>
      </w:r>
      <w:r w:rsidRPr="008160AB">
        <w:t xml:space="preserve">. On </w:t>
      </w:r>
      <w:r>
        <w:t>1 October</w:t>
      </w:r>
      <w:r w:rsidRPr="008160AB">
        <w:t xml:space="preserve"> 2009, the </w:t>
      </w:r>
      <w:r>
        <w:t>c</w:t>
      </w:r>
      <w:r w:rsidRPr="008160AB">
        <w:t xml:space="preserve">ourt considered the </w:t>
      </w:r>
      <w:r>
        <w:t xml:space="preserve">decision of the Minsk City </w:t>
      </w:r>
      <w:r w:rsidRPr="008160AB">
        <w:t xml:space="preserve">Executive </w:t>
      </w:r>
      <w:r>
        <w:t>Committee</w:t>
      </w:r>
      <w:r w:rsidRPr="008160AB">
        <w:t xml:space="preserve"> to be in compliance with the provisions of </w:t>
      </w:r>
      <w:r w:rsidRPr="0093219E">
        <w:t xml:space="preserve">the Law </w:t>
      </w:r>
      <w:r>
        <w:t>on Mass Events</w:t>
      </w:r>
      <w:r w:rsidRPr="008160AB">
        <w:t xml:space="preserve"> </w:t>
      </w:r>
      <w:r>
        <w:t xml:space="preserve">(1997) </w:t>
      </w:r>
      <w:r w:rsidRPr="008160AB">
        <w:t>and rejected the author’s appeal</w:t>
      </w:r>
      <w:r w:rsidRPr="005F4996">
        <w:t>.</w:t>
      </w:r>
      <w:r w:rsidR="00193D38">
        <w:t xml:space="preserve"> </w:t>
      </w:r>
    </w:p>
    <w:p w14:paraId="7E42156F" w14:textId="77777777" w:rsidR="00E25EC9" w:rsidRDefault="00572C66" w:rsidP="00572C66">
      <w:pPr>
        <w:pStyle w:val="SingleTxtG"/>
      </w:pPr>
      <w:r>
        <w:t>2.4</w:t>
      </w:r>
      <w:r>
        <w:tab/>
      </w:r>
      <w:r w:rsidR="00E25EC9" w:rsidRPr="005F4996">
        <w:t>On 23 October</w:t>
      </w:r>
      <w:r w:rsidR="00E25EC9">
        <w:t xml:space="preserve"> 2009</w:t>
      </w:r>
      <w:r w:rsidR="00E25EC9" w:rsidRPr="005F4996">
        <w:t xml:space="preserve">, the author filed a cassation </w:t>
      </w:r>
      <w:r>
        <w:t>appeal before</w:t>
      </w:r>
      <w:r w:rsidR="00E25EC9" w:rsidRPr="008160AB">
        <w:t xml:space="preserve"> the </w:t>
      </w:r>
      <w:r w:rsidR="00E25EC9">
        <w:t>Minsk City Court</w:t>
      </w:r>
      <w:r w:rsidR="00E25EC9" w:rsidRPr="008160AB">
        <w:t xml:space="preserve">, </w:t>
      </w:r>
      <w:r>
        <w:t>stating</w:t>
      </w:r>
      <w:r w:rsidR="00E25EC9" w:rsidRPr="008160AB">
        <w:t xml:space="preserve"> that the decision of the </w:t>
      </w:r>
      <w:r w:rsidR="00E25EC9">
        <w:t>d</w:t>
      </w:r>
      <w:r w:rsidR="00E25EC9" w:rsidRPr="008160AB">
        <w:t xml:space="preserve">istrict </w:t>
      </w:r>
      <w:r w:rsidR="00E25EC9">
        <w:t>c</w:t>
      </w:r>
      <w:r w:rsidR="00E25EC9" w:rsidRPr="008160AB">
        <w:t xml:space="preserve">ourt was unlawful and violated his </w:t>
      </w:r>
      <w:r w:rsidR="00E25EC9">
        <w:t xml:space="preserve">rights to peaceful assembly and </w:t>
      </w:r>
      <w:r w:rsidR="00E25EC9" w:rsidRPr="008160AB">
        <w:t xml:space="preserve">freedom of expression. </w:t>
      </w:r>
      <w:r w:rsidR="00E25EC9">
        <w:t>He</w:t>
      </w:r>
      <w:r w:rsidR="00E25EC9" w:rsidRPr="008160AB">
        <w:t xml:space="preserve"> argued that the </w:t>
      </w:r>
      <w:r w:rsidR="00E25EC9">
        <w:t>Executive Committee’s decision to prohibit the picket on 22 August 2009 was unjustified and not necessary in a democratic society</w:t>
      </w:r>
      <w:r w:rsidR="00E25EC9" w:rsidRPr="008160AB">
        <w:t>.</w:t>
      </w:r>
      <w:r w:rsidR="00E25EC9">
        <w:t xml:space="preserve"> He further noted that the district court </w:t>
      </w:r>
      <w:r>
        <w:t xml:space="preserve">had </w:t>
      </w:r>
      <w:r w:rsidR="00E25EC9">
        <w:t xml:space="preserve">disregarded the photographic evidence demonstrating that holding a picket on the square at issue would not hinder the work of the enterprises </w:t>
      </w:r>
      <w:r>
        <w:t>n</w:t>
      </w:r>
      <w:r w:rsidR="00E25EC9">
        <w:t xml:space="preserve">or the movement of pedestrians or transport as it was neither located next to roads nor crossed by footpaths. </w:t>
      </w:r>
      <w:r w:rsidR="00E25EC9" w:rsidRPr="008160AB">
        <w:t xml:space="preserve">On </w:t>
      </w:r>
      <w:r w:rsidR="00E25EC9">
        <w:t>19 November</w:t>
      </w:r>
      <w:r w:rsidR="00E25EC9" w:rsidRPr="008160AB">
        <w:t xml:space="preserve"> 2009, the </w:t>
      </w:r>
      <w:r w:rsidR="00E25EC9">
        <w:t>Minsk City Court</w:t>
      </w:r>
      <w:r w:rsidR="00E25EC9" w:rsidRPr="008160AB">
        <w:t xml:space="preserve"> </w:t>
      </w:r>
      <w:r w:rsidR="00E25EC9">
        <w:t>upheld the district court’s decision of 1 October 2009 and dismissed the author’s complaint</w:t>
      </w:r>
      <w:r w:rsidR="00E25EC9" w:rsidRPr="008160AB">
        <w:t>.</w:t>
      </w:r>
    </w:p>
    <w:p w14:paraId="483D373D" w14:textId="77777777" w:rsidR="00E25EC9" w:rsidRPr="005F4996" w:rsidRDefault="00E25EC9">
      <w:pPr>
        <w:pStyle w:val="SingleTxtG"/>
      </w:pPr>
      <w:r>
        <w:t>2.</w:t>
      </w:r>
      <w:r w:rsidR="00572C66">
        <w:t>5</w:t>
      </w:r>
      <w:r>
        <w:tab/>
        <w:t xml:space="preserve">The author did not </w:t>
      </w:r>
      <w:r w:rsidR="00572C66">
        <w:t xml:space="preserve">pursue the matter </w:t>
      </w:r>
      <w:r>
        <w:t>further</w:t>
      </w:r>
      <w:r w:rsidR="00572C66">
        <w:t xml:space="preserve"> by </w:t>
      </w:r>
      <w:r w:rsidR="007A13D0">
        <w:t xml:space="preserve">filing a </w:t>
      </w:r>
      <w:r>
        <w:t>complain</w:t>
      </w:r>
      <w:r w:rsidR="007A13D0">
        <w:t>t with</w:t>
      </w:r>
      <w:r>
        <w:t xml:space="preserve"> the Supreme Court of Belarus </w:t>
      </w:r>
      <w:r w:rsidR="00572C66">
        <w:t>under</w:t>
      </w:r>
      <w:r>
        <w:t xml:space="preserve"> the supervisory review procedure</w:t>
      </w:r>
      <w:r w:rsidR="00F5672B">
        <w:t>,</w:t>
      </w:r>
      <w:r>
        <w:t xml:space="preserve"> as he consider</w:t>
      </w:r>
      <w:r w:rsidR="00572C66">
        <w:t>ed</w:t>
      </w:r>
      <w:r>
        <w:t xml:space="preserve"> th</w:t>
      </w:r>
      <w:r w:rsidR="00572C66">
        <w:t>at</w:t>
      </w:r>
      <w:r>
        <w:t xml:space="preserve"> remedy to be ineffective</w:t>
      </w:r>
      <w:r w:rsidR="007A13D0">
        <w:t>. I</w:t>
      </w:r>
      <w:r>
        <w:t xml:space="preserve">n his view, only a complaint </w:t>
      </w:r>
      <w:r w:rsidR="007A13D0">
        <w:t>under</w:t>
      </w:r>
      <w:r>
        <w:t xml:space="preserve"> cassation proceedings entail</w:t>
      </w:r>
      <w:r w:rsidR="00F5672B">
        <w:t>ed</w:t>
      </w:r>
      <w:r>
        <w:t xml:space="preserve"> a re-examination of a case.</w:t>
      </w:r>
    </w:p>
    <w:p w14:paraId="6F7CF8FF" w14:textId="77777777" w:rsidR="00E25EC9" w:rsidRPr="005F4996" w:rsidRDefault="00E25EC9" w:rsidP="00E25EC9">
      <w:pPr>
        <w:pStyle w:val="H23G"/>
      </w:pPr>
      <w:r>
        <w:tab/>
      </w:r>
      <w:r>
        <w:tab/>
      </w:r>
      <w:r w:rsidRPr="005F4996">
        <w:t>The complaint</w:t>
      </w:r>
    </w:p>
    <w:p w14:paraId="286946AC" w14:textId="77777777" w:rsidR="00E25EC9" w:rsidRDefault="00E25EC9" w:rsidP="007A13D0">
      <w:pPr>
        <w:pStyle w:val="SingleTxtG"/>
      </w:pPr>
      <w:r w:rsidRPr="005F4996">
        <w:t>3.1.</w:t>
      </w:r>
      <w:r w:rsidRPr="005F4996">
        <w:tab/>
        <w:t xml:space="preserve">The author claims that the refusal to allow him to organize a </w:t>
      </w:r>
      <w:r>
        <w:t>picket</w:t>
      </w:r>
      <w:r w:rsidRPr="005F4996">
        <w:t xml:space="preserve"> arbitrarily</w:t>
      </w:r>
      <w:r w:rsidR="007A13D0">
        <w:t xml:space="preserve"> restricted</w:t>
      </w:r>
      <w:r w:rsidRPr="005F4996">
        <w:t xml:space="preserve"> his freedom of expression</w:t>
      </w:r>
      <w:r>
        <w:t xml:space="preserve"> in violation of article 19</w:t>
      </w:r>
      <w:r w:rsidR="007A13D0">
        <w:t xml:space="preserve"> (</w:t>
      </w:r>
      <w:r>
        <w:t>2</w:t>
      </w:r>
      <w:r w:rsidR="007A13D0">
        <w:t>)</w:t>
      </w:r>
      <w:r>
        <w:t xml:space="preserve"> of the Covenant</w:t>
      </w:r>
      <w:r w:rsidRPr="005F4996">
        <w:t xml:space="preserve"> because it deprived him of the opportunity to attract citizens’ attention to the </w:t>
      </w:r>
      <w:r w:rsidR="007A13D0">
        <w:t>issue</w:t>
      </w:r>
      <w:r w:rsidRPr="005F4996">
        <w:t xml:space="preserve"> of homeless animals and prevented him from expressing his disagreement with the methods of work of the </w:t>
      </w:r>
      <w:r w:rsidR="007A13D0">
        <w:t xml:space="preserve">State </w:t>
      </w:r>
      <w:r>
        <w:t>enterprise</w:t>
      </w:r>
      <w:r w:rsidR="007A13D0">
        <w:t>,</w:t>
      </w:r>
      <w:r>
        <w:t xml:space="preserve"> City</w:t>
      </w:r>
      <w:r w:rsidRPr="005F4996">
        <w:t xml:space="preserve"> Fauna.</w:t>
      </w:r>
    </w:p>
    <w:p w14:paraId="69C90E05" w14:textId="77777777" w:rsidR="00E25EC9" w:rsidRPr="005F4996" w:rsidRDefault="00E25EC9" w:rsidP="007A13D0">
      <w:pPr>
        <w:pStyle w:val="SingleTxtG"/>
      </w:pPr>
      <w:r>
        <w:t>3.2</w:t>
      </w:r>
      <w:r>
        <w:tab/>
      </w:r>
      <w:r w:rsidR="007A13D0">
        <w:t>The author</w:t>
      </w:r>
      <w:r>
        <w:t xml:space="preserve"> also </w:t>
      </w:r>
      <w:r w:rsidRPr="005F4996">
        <w:t>claims that his right to peaceful assembly was restricted in violation of article 21 of the Covenant, as the imposed restrict</w:t>
      </w:r>
      <w:r>
        <w:t>ion was based on unfounded assumption</w:t>
      </w:r>
      <w:r w:rsidRPr="005F4996">
        <w:t xml:space="preserve"> that the </w:t>
      </w:r>
      <w:r>
        <w:t>picket</w:t>
      </w:r>
      <w:r w:rsidRPr="005F4996">
        <w:t xml:space="preserve"> he intended to organize would disturb the work of nearby </w:t>
      </w:r>
      <w:r w:rsidR="007A13D0">
        <w:t>businesses</w:t>
      </w:r>
      <w:r w:rsidRPr="005F4996">
        <w:t xml:space="preserve">. He maintains that the authorities did not </w:t>
      </w:r>
      <w:r w:rsidR="007A13D0">
        <w:t xml:space="preserve">give any </w:t>
      </w:r>
      <w:r w:rsidRPr="005F4996">
        <w:t>justif</w:t>
      </w:r>
      <w:r w:rsidR="007A13D0">
        <w:t>ication as to</w:t>
      </w:r>
      <w:r w:rsidRPr="005F4996">
        <w:t xml:space="preserve"> why</w:t>
      </w:r>
      <w:r w:rsidRPr="005F4996">
        <w:rPr>
          <w:lang w:val="bg-BG"/>
        </w:rPr>
        <w:t xml:space="preserve"> </w:t>
      </w:r>
      <w:r w:rsidRPr="005F4996">
        <w:t xml:space="preserve">the restriction was </w:t>
      </w:r>
      <w:r>
        <w:t>necessary in a democratic society</w:t>
      </w:r>
      <w:r w:rsidRPr="005F4996">
        <w:t xml:space="preserve"> in the interest of national security</w:t>
      </w:r>
      <w:r>
        <w:t xml:space="preserve"> or</w:t>
      </w:r>
      <w:r w:rsidRPr="005F4996">
        <w:t xml:space="preserve"> publ</w:t>
      </w:r>
      <w:r>
        <w:t xml:space="preserve">ic order, for the protection of </w:t>
      </w:r>
      <w:r w:rsidRPr="005F4996">
        <w:t xml:space="preserve">public health </w:t>
      </w:r>
      <w:r>
        <w:t xml:space="preserve">and morals </w:t>
      </w:r>
      <w:r w:rsidRPr="005F4996">
        <w:t xml:space="preserve">or </w:t>
      </w:r>
      <w:r>
        <w:t xml:space="preserve">the protection of </w:t>
      </w:r>
      <w:r w:rsidRPr="005F4996">
        <w:t xml:space="preserve">the rights </w:t>
      </w:r>
      <w:r>
        <w:t xml:space="preserve">and freedoms </w:t>
      </w:r>
      <w:r w:rsidRPr="005F4996">
        <w:t>of other</w:t>
      </w:r>
      <w:r>
        <w:t>s</w:t>
      </w:r>
      <w:r w:rsidRPr="005F4996">
        <w:t>.</w:t>
      </w:r>
    </w:p>
    <w:p w14:paraId="612BD857" w14:textId="77777777" w:rsidR="00E25EC9" w:rsidRPr="002D60F9" w:rsidRDefault="00E25EC9" w:rsidP="00E25EC9">
      <w:pPr>
        <w:pStyle w:val="H23G"/>
      </w:pPr>
      <w:r>
        <w:tab/>
      </w:r>
      <w:r>
        <w:tab/>
      </w:r>
      <w:r w:rsidRPr="002D60F9">
        <w:t xml:space="preserve">State </w:t>
      </w:r>
      <w:r w:rsidR="00193D38" w:rsidRPr="002D60F9">
        <w:t>party</w:t>
      </w:r>
      <w:r w:rsidR="00193D38">
        <w:t>’</w:t>
      </w:r>
      <w:r w:rsidR="00193D38" w:rsidRPr="002D60F9">
        <w:t xml:space="preserve">s </w:t>
      </w:r>
      <w:r w:rsidRPr="002D60F9">
        <w:t>observations on admissibility</w:t>
      </w:r>
    </w:p>
    <w:p w14:paraId="6A176B7A" w14:textId="77777777" w:rsidR="00E25EC9" w:rsidRPr="002D60F9" w:rsidRDefault="00E25EC9" w:rsidP="001077CC">
      <w:pPr>
        <w:pStyle w:val="SingleTxtG"/>
      </w:pPr>
      <w:r>
        <w:t>4.1</w:t>
      </w:r>
      <w:r>
        <w:tab/>
        <w:t xml:space="preserve">By </w:t>
      </w:r>
      <w:r w:rsidRPr="004D30FF">
        <w:t xml:space="preserve">note verbale </w:t>
      </w:r>
      <w:r>
        <w:t xml:space="preserve">of </w:t>
      </w:r>
      <w:r w:rsidRPr="004D30FF">
        <w:t xml:space="preserve">6 January 2011, the State party </w:t>
      </w:r>
      <w:r>
        <w:t>expressed</w:t>
      </w:r>
      <w:r w:rsidR="007A13D0">
        <w:t>,</w:t>
      </w:r>
      <w:r>
        <w:t xml:space="preserve"> </w:t>
      </w:r>
      <w:r w:rsidR="007A13D0" w:rsidRPr="004D30FF">
        <w:t>with regard to the present communication and several other communications before the Committee</w:t>
      </w:r>
      <w:r w:rsidR="007A13D0">
        <w:t xml:space="preserve">, </w:t>
      </w:r>
      <w:r w:rsidRPr="004D30FF">
        <w:t>its concern about</w:t>
      </w:r>
      <w:r w:rsidR="007A13D0">
        <w:t>, inter alia,</w:t>
      </w:r>
      <w:r w:rsidRPr="004D30FF">
        <w:t xml:space="preserve"> unjustified registration of communications submitted by individuals </w:t>
      </w:r>
      <w:r w:rsidRPr="00E25EC9">
        <w:t>under</w:t>
      </w:r>
      <w:r w:rsidRPr="004D30FF">
        <w:t xml:space="preserve"> its jurisdiction who, it considers, have not exhausted all available domestic remedies, including appealing to the Prosecutor’s Office for supervisory review of a judgement having the force of res judicata, in violation of article 2 of the Optional Protocol. </w:t>
      </w:r>
      <w:r w:rsidR="001077CC">
        <w:t>The State party</w:t>
      </w:r>
      <w:r w:rsidRPr="004D30FF">
        <w:t xml:space="preserve"> submits that the present communication and several other communications were registered in violation of the provisions of the Optional Protocol; that </w:t>
      </w:r>
      <w:r w:rsidRPr="004D30FF">
        <w:lastRenderedPageBreak/>
        <w:t>there are no legal grounds for the State party to consider those communications; and that any decision taken by the Committee on such communications will be considered invalid. It further states that any references in that connection to the Committee’s long-standing practice are not legally binding on it.</w:t>
      </w:r>
    </w:p>
    <w:p w14:paraId="1F831A6A" w14:textId="77777777" w:rsidR="00E25EC9" w:rsidRPr="002D60F9" w:rsidRDefault="00E25EC9" w:rsidP="001077CC">
      <w:pPr>
        <w:pStyle w:val="SingleTxtG"/>
      </w:pPr>
      <w:r>
        <w:t>4.2</w:t>
      </w:r>
      <w:r>
        <w:tab/>
      </w:r>
      <w:r w:rsidRPr="002D60F9">
        <w:t>By letter of 19 April 201</w:t>
      </w:r>
      <w:r>
        <w:t>1</w:t>
      </w:r>
      <w:r w:rsidRPr="002D60F9">
        <w:t xml:space="preserve">, the Chair of the Committee informed the State party that, in particular, it </w:t>
      </w:r>
      <w:r w:rsidR="001077CC">
        <w:t>was</w:t>
      </w:r>
      <w:r w:rsidRPr="002D60F9">
        <w:t xml:space="preserve"> implicit in article 4</w:t>
      </w:r>
      <w:r w:rsidR="001077CC">
        <w:t xml:space="preserve"> (</w:t>
      </w:r>
      <w:r w:rsidRPr="002D60F9">
        <w:t>2</w:t>
      </w:r>
      <w:r w:rsidR="001077CC">
        <w:t>)</w:t>
      </w:r>
      <w:r w:rsidRPr="002D60F9">
        <w:t xml:space="preserve">, of the Optional Protocol to the Covenant that a State party </w:t>
      </w:r>
      <w:r w:rsidRPr="00417C1F">
        <w:t>must</w:t>
      </w:r>
      <w:r w:rsidRPr="002D60F9">
        <w:t xml:space="preserve"> provide the Committee with all the </w:t>
      </w:r>
      <w:r w:rsidRPr="00E25EC9">
        <w:t>information</w:t>
      </w:r>
      <w:r w:rsidRPr="002D60F9">
        <w:t xml:space="preserve"> at its disposal</w:t>
      </w:r>
      <w:r w:rsidR="001077CC">
        <w:t xml:space="preserve"> concerning any communication submitted to it</w:t>
      </w:r>
      <w:r w:rsidRPr="002D60F9">
        <w:t xml:space="preserve">. </w:t>
      </w:r>
      <w:r>
        <w:t>T</w:t>
      </w:r>
      <w:r w:rsidRPr="002D60F9">
        <w:t xml:space="preserve">he </w:t>
      </w:r>
      <w:r w:rsidR="001077CC">
        <w:t xml:space="preserve">Chair requested the </w:t>
      </w:r>
      <w:r w:rsidRPr="002D60F9">
        <w:t xml:space="preserve">State party to submit further observations as to the admissibility and the merits of the case. </w:t>
      </w:r>
      <w:r w:rsidR="001077CC">
        <w:t>He also informed t</w:t>
      </w:r>
      <w:r w:rsidRPr="002D60F9">
        <w:t>he State party that</w:t>
      </w:r>
      <w:r w:rsidR="001077CC">
        <w:t>,</w:t>
      </w:r>
      <w:r w:rsidRPr="002D60F9">
        <w:t xml:space="preserve"> in the absence of </w:t>
      </w:r>
      <w:r w:rsidR="001077CC">
        <w:t xml:space="preserve">its </w:t>
      </w:r>
      <w:r w:rsidRPr="002D60F9">
        <w:t>observations</w:t>
      </w:r>
      <w:r w:rsidR="001077CC">
        <w:t xml:space="preserve"> on the communication at hand</w:t>
      </w:r>
      <w:r w:rsidRPr="002D60F9">
        <w:t>, the Committee w</w:t>
      </w:r>
      <w:r w:rsidR="001077CC">
        <w:t>ould</w:t>
      </w:r>
      <w:r w:rsidRPr="002D60F9">
        <w:t xml:space="preserve"> proceed with the examination of the communication based on the information available to it.</w:t>
      </w:r>
      <w:r>
        <w:t xml:space="preserve"> </w:t>
      </w:r>
      <w:r w:rsidRPr="002D60F9">
        <w:t xml:space="preserve">On </w:t>
      </w:r>
      <w:r>
        <w:t>30</w:t>
      </w:r>
      <w:r w:rsidRPr="002D60F9">
        <w:t xml:space="preserve"> September 2011, the </w:t>
      </w:r>
      <w:r w:rsidRPr="00417C1F">
        <w:t>State</w:t>
      </w:r>
      <w:r w:rsidRPr="002D60F9">
        <w:t xml:space="preserve"> party was again invited to submit its observations on </w:t>
      </w:r>
      <w:r w:rsidR="001077CC">
        <w:t xml:space="preserve">the </w:t>
      </w:r>
      <w:r w:rsidRPr="002D60F9">
        <w:t>admissibility and merits</w:t>
      </w:r>
      <w:r w:rsidR="001077CC">
        <w:t xml:space="preserve"> of the communication</w:t>
      </w:r>
      <w:r w:rsidRPr="002D60F9">
        <w:t>.</w:t>
      </w:r>
    </w:p>
    <w:p w14:paraId="039907FD" w14:textId="77777777" w:rsidR="00E25EC9" w:rsidRPr="002D60F9" w:rsidRDefault="00E25EC9" w:rsidP="001077CC">
      <w:pPr>
        <w:pStyle w:val="SingleTxtG"/>
      </w:pPr>
      <w:r>
        <w:t>4.3</w:t>
      </w:r>
      <w:r>
        <w:tab/>
        <w:t xml:space="preserve">By note verbale of </w:t>
      </w:r>
      <w:r w:rsidRPr="002D60F9">
        <w:t>5 October 2011, the State party submits, with regard to the present communication, that it believes that</w:t>
      </w:r>
      <w:r w:rsidR="001077CC">
        <w:t>, inter alia,</w:t>
      </w:r>
      <w:r w:rsidRPr="002D60F9">
        <w:t xml:space="preserve"> there are no legal grounds for its consideration, insofar as </w:t>
      </w:r>
      <w:r w:rsidR="001077CC">
        <w:t>the communication</w:t>
      </w:r>
      <w:r w:rsidRPr="002D60F9">
        <w:t xml:space="preserve"> </w:t>
      </w:r>
      <w:r w:rsidR="001077CC">
        <w:t>was</w:t>
      </w:r>
      <w:r w:rsidRPr="002D60F9">
        <w:t xml:space="preserve"> registered in violation of article 1 of the Optional </w:t>
      </w:r>
      <w:r w:rsidRPr="00E25EC9">
        <w:t>Protocol</w:t>
      </w:r>
      <w:r w:rsidRPr="002D60F9">
        <w:t>. It maintains that all available domestic remedies have not been exhausted as required by article 2 of the Optional Protocol</w:t>
      </w:r>
      <w:r w:rsidR="001077CC">
        <w:t>,</w:t>
      </w:r>
      <w:r w:rsidRPr="002D60F9">
        <w:t xml:space="preserve"> since no appeal was filed </w:t>
      </w:r>
      <w:r w:rsidR="001077CC">
        <w:t xml:space="preserve">with </w:t>
      </w:r>
      <w:r w:rsidRPr="002D60F9">
        <w:t>the Prosecutor’s office for a supervisory review.</w:t>
      </w:r>
    </w:p>
    <w:p w14:paraId="20D42039" w14:textId="77777777" w:rsidR="00E25EC9" w:rsidRPr="002D60F9" w:rsidRDefault="00E25EC9" w:rsidP="007663B2">
      <w:pPr>
        <w:pStyle w:val="SingleTxtG"/>
      </w:pPr>
      <w:r>
        <w:t>4.4</w:t>
      </w:r>
      <w:r>
        <w:tab/>
      </w:r>
      <w:r w:rsidRPr="002D60F9">
        <w:t xml:space="preserve">On 25 October 2011, the State party was again invited to submit its observations on </w:t>
      </w:r>
      <w:r w:rsidR="007663B2">
        <w:t xml:space="preserve">the </w:t>
      </w:r>
      <w:r w:rsidRPr="002D60F9">
        <w:t>admissibility and merits</w:t>
      </w:r>
      <w:r w:rsidR="007663B2">
        <w:t xml:space="preserve"> of the communication. It</w:t>
      </w:r>
      <w:r w:rsidRPr="002D60F9">
        <w:t xml:space="preserve"> was </w:t>
      </w:r>
      <w:r w:rsidRPr="00417C1F">
        <w:t>informed</w:t>
      </w:r>
      <w:r w:rsidRPr="002D60F9">
        <w:t xml:space="preserve"> that</w:t>
      </w:r>
      <w:r w:rsidR="007663B2">
        <w:t>,</w:t>
      </w:r>
      <w:r w:rsidRPr="002D60F9">
        <w:t xml:space="preserve"> in the </w:t>
      </w:r>
      <w:r w:rsidRPr="00E25EC9">
        <w:t>absence</w:t>
      </w:r>
      <w:r w:rsidRPr="002D60F9">
        <w:t xml:space="preserve"> of further information, the Committee w</w:t>
      </w:r>
      <w:r w:rsidR="007663B2">
        <w:t>ou</w:t>
      </w:r>
      <w:r w:rsidRPr="002D60F9">
        <w:t>l</w:t>
      </w:r>
      <w:r w:rsidR="007663B2">
        <w:t>d</w:t>
      </w:r>
      <w:r w:rsidRPr="002D60F9">
        <w:t xml:space="preserve"> examine the communication based on the information available on file. </w:t>
      </w:r>
    </w:p>
    <w:p w14:paraId="04E4DDBD" w14:textId="77777777" w:rsidR="00E25EC9" w:rsidRPr="002D60F9" w:rsidRDefault="00E25EC9" w:rsidP="00D935F8">
      <w:pPr>
        <w:pStyle w:val="SingleTxtG"/>
      </w:pPr>
      <w:r>
        <w:t>4</w:t>
      </w:r>
      <w:r w:rsidRPr="002D60F9">
        <w:t>.</w:t>
      </w:r>
      <w:r>
        <w:t>5</w:t>
      </w:r>
      <w:r>
        <w:tab/>
      </w:r>
      <w:r w:rsidRPr="00D935F8">
        <w:t>In a note verbale</w:t>
      </w:r>
      <w:r w:rsidRPr="004D30FF">
        <w:t xml:space="preserve"> dated 2</w:t>
      </w:r>
      <w:r>
        <w:t>5</w:t>
      </w:r>
      <w:r w:rsidRPr="004D30FF">
        <w:t xml:space="preserve"> January 2012, the State party submit</w:t>
      </w:r>
      <w:r w:rsidR="00D935F8">
        <w:t>s</w:t>
      </w:r>
      <w:r w:rsidRPr="004D30FF">
        <w:t xml:space="preserve"> that upon becoming a party to the Optional Protocol, it had agreed, under article 1 thereof</w:t>
      </w:r>
      <w:r w:rsidR="00D935F8">
        <w:t>,</w:t>
      </w:r>
      <w:r w:rsidRPr="004D30FF">
        <w:t xml:space="preserve"> to recognize the competence of the Committee to receive and consider communications from individuals subject to its jurisdiction who claim to be victims of a violation by the State party of any rights </w:t>
      </w:r>
      <w:r w:rsidRPr="00E25EC9">
        <w:t>protected</w:t>
      </w:r>
      <w:r w:rsidRPr="004D30FF">
        <w:t xml:space="preserve"> by the Covenant. It notes, however, that that recognition was undertaken in conjunction with other provisions of the Optional Protocol, including those establishing criteria regarding petitioners and the admissibility of their communications, in particular articles 2 and 5. The State party maintains that, under the Optional Protocol, States parties have no obligation to recognize the Committee’s rules of procedure nor its interpretation of the provisions of the Optional Protocol, which could only be effective when done in accordance with the Vienna Convention on the Law of Treaties. It submits that, in relation to the complaint procedure, States parties should be guided first and foremost by the provisions of the Optional Protocol, and </w:t>
      </w:r>
      <w:r w:rsidRPr="00417C1F">
        <w:t>that</w:t>
      </w:r>
      <w:r w:rsidRPr="004D30FF">
        <w:t xml:space="preserve"> references to the Committee’s long-standing practice, methods of work and case law are not subjects of the Optional Protocol. It also submits that any communication registered in violation of the provisions of the Optional Protocol will be viewed by the State party as incompatible with the Optional Protocol and will be rejected without comments on the admissibility or merits, and any decision taken by the Committee on such rejected communications will be considered by its authorities as “invalid”. The State party considers that the present communication as well as several other communications before the Committee were registered in violation of the Optional Protocol.</w:t>
      </w:r>
    </w:p>
    <w:p w14:paraId="5B1B4385" w14:textId="77777777" w:rsidR="00E25EC9" w:rsidRPr="00AE65AB" w:rsidRDefault="00E25EC9" w:rsidP="00E25EC9">
      <w:pPr>
        <w:pStyle w:val="H23G"/>
      </w:pPr>
      <w:r>
        <w:tab/>
      </w:r>
      <w:r>
        <w:tab/>
      </w:r>
      <w:r w:rsidRPr="00AE65AB">
        <w:t xml:space="preserve">Issues and proceedings </w:t>
      </w:r>
      <w:r w:rsidRPr="00E25EC9">
        <w:t>before</w:t>
      </w:r>
      <w:r w:rsidRPr="00AE65AB">
        <w:t xml:space="preserve"> the Committee</w:t>
      </w:r>
    </w:p>
    <w:p w14:paraId="3FFA376F" w14:textId="77777777" w:rsidR="00E25EC9" w:rsidRPr="002D60F9" w:rsidRDefault="00E25EC9" w:rsidP="00E25EC9">
      <w:pPr>
        <w:pStyle w:val="H4G"/>
      </w:pPr>
      <w:r>
        <w:tab/>
      </w:r>
      <w:r>
        <w:tab/>
        <w:t xml:space="preserve">The </w:t>
      </w:r>
      <w:r w:rsidRPr="00907849">
        <w:t>State party</w:t>
      </w:r>
      <w:r>
        <w:t>’s lack of cooperation</w:t>
      </w:r>
    </w:p>
    <w:p w14:paraId="7D2D694C" w14:textId="77777777" w:rsidR="00E25EC9" w:rsidRPr="00C93256" w:rsidRDefault="00E25EC9" w:rsidP="00E25EC9">
      <w:pPr>
        <w:pStyle w:val="SingleTxtG"/>
      </w:pPr>
      <w:r w:rsidRPr="00AE65AB">
        <w:t>5.1</w:t>
      </w:r>
      <w:r w:rsidRPr="00AE65AB">
        <w:tab/>
      </w:r>
      <w:r w:rsidRPr="00C93256">
        <w:t xml:space="preserve">The Committee notes the State party’s assertion that there are no legal grounds for consideration of the author’s communication, insofar as it was registered in violation of the provisions of the Optional Protocol; that it has no </w:t>
      </w:r>
      <w:r w:rsidRPr="00E25EC9">
        <w:t>obligation</w:t>
      </w:r>
      <w:r w:rsidRPr="00C93256">
        <w:t xml:space="preserve"> to recognize the Committee’s </w:t>
      </w:r>
      <w:r w:rsidRPr="00C93256">
        <w:lastRenderedPageBreak/>
        <w:t>rules of procedure nor the Committee’s interpretation of the provisions of the Optional Protocol; and that any decision taken by the Committee on the present communication will be considered “invalid” by its authorities.</w:t>
      </w:r>
    </w:p>
    <w:p w14:paraId="522D8FDB" w14:textId="77777777" w:rsidR="00E25EC9" w:rsidRPr="00C93256" w:rsidRDefault="00E25EC9" w:rsidP="00D935F8">
      <w:pPr>
        <w:pStyle w:val="SingleTxtG"/>
      </w:pPr>
      <w:r>
        <w:rPr>
          <w:rFonts w:eastAsia="SimSun"/>
        </w:rPr>
        <w:t>5.2</w:t>
      </w:r>
      <w:r>
        <w:rPr>
          <w:rFonts w:eastAsia="SimSun"/>
        </w:rPr>
        <w:tab/>
      </w:r>
      <w:r w:rsidRPr="00C93256">
        <w:t>The Committee recalls that under article 39</w:t>
      </w:r>
      <w:r w:rsidR="00D935F8">
        <w:t xml:space="preserve"> (</w:t>
      </w:r>
      <w:r w:rsidRPr="00C93256">
        <w:t>2</w:t>
      </w:r>
      <w:r w:rsidR="00D935F8">
        <w:t>)</w:t>
      </w:r>
      <w:r w:rsidRPr="00C93256">
        <w:t xml:space="preserve"> of the Covenant, it is empowered to establish its own rules of procedure, which States </w:t>
      </w:r>
      <w:r w:rsidRPr="00E25EC9">
        <w:t>parties</w:t>
      </w:r>
      <w:r w:rsidRPr="00C93256">
        <w:t xml:space="preserve"> have agreed to recognize. It further observes that, by adhering to the Optional Protocol, a State party to the Covenant recognizes the competence of the Committee to receive and consider communications from individuals claiming to be victims of violations of any of the rights set forth in the Covenant (preamble and art. 1 of the Optional Protocol). Implicit in a State’s adherence to the Optional Protocol is the undertaking to cooperate with the Committee in good faith so as to permit and enable it to consider such communications, and after examination thereof, to forward its Views to the State party and the individual (art. 5</w:t>
      </w:r>
      <w:r w:rsidR="00D935F8">
        <w:t xml:space="preserve"> (</w:t>
      </w:r>
      <w:r w:rsidRPr="00C93256">
        <w:t>1</w:t>
      </w:r>
      <w:r w:rsidR="00D935F8">
        <w:t>)</w:t>
      </w:r>
      <w:r w:rsidRPr="00C93256">
        <w:t xml:space="preserve"> and </w:t>
      </w:r>
      <w:r w:rsidR="00D935F8">
        <w:t>(</w:t>
      </w:r>
      <w:r w:rsidRPr="00C93256">
        <w:t>4</w:t>
      </w:r>
      <w:r w:rsidR="00D935F8">
        <w:t>)</w:t>
      </w:r>
      <w:r w:rsidRPr="00C93256">
        <w:t xml:space="preserve">). It is incompatible with those obligations for a State party to take any action that would prevent or frustrate the Committee in its consideration and examination of the communication, and </w:t>
      </w:r>
      <w:r>
        <w:t>in the expression of its Views.</w:t>
      </w:r>
      <w:r w:rsidRPr="00C93256">
        <w:rPr>
          <w:vertAlign w:val="superscript"/>
        </w:rPr>
        <w:footnoteReference w:id="4"/>
      </w:r>
      <w:r w:rsidRPr="00C93256">
        <w:t xml:space="preserve"> It is up to the Committee to determine whether a communication should be registered. The Committee observes that, by failing to accept the competence of the Committee to determine whether a communication should be registered and by declaring beforehand that it will not accept the Committee’s determination on the admissibility or the merits of the communication, the State party is violating its obligations under article 1 of the Optional Protocol to the International Covenant</w:t>
      </w:r>
      <w:r>
        <w:t xml:space="preserve"> on Civil and Political Rights.</w:t>
      </w:r>
      <w:r w:rsidRPr="00C93256">
        <w:rPr>
          <w:vertAlign w:val="superscript"/>
        </w:rPr>
        <w:footnoteReference w:id="5"/>
      </w:r>
    </w:p>
    <w:p w14:paraId="38F49927" w14:textId="77777777" w:rsidR="00E25EC9" w:rsidRPr="00AE65AB" w:rsidRDefault="00E25EC9" w:rsidP="00E25EC9">
      <w:pPr>
        <w:pStyle w:val="H4G"/>
      </w:pPr>
      <w:r>
        <w:tab/>
      </w:r>
      <w:r>
        <w:tab/>
      </w:r>
      <w:r w:rsidRPr="00AE65AB">
        <w:t>Consideration of admissibility</w:t>
      </w:r>
    </w:p>
    <w:p w14:paraId="1AA449C8" w14:textId="77777777" w:rsidR="00E25EC9" w:rsidRPr="00AE65AB" w:rsidRDefault="00E25EC9" w:rsidP="00E25EC9">
      <w:pPr>
        <w:pStyle w:val="SingleTxtG"/>
      </w:pPr>
      <w:r w:rsidRPr="00AE65AB">
        <w:t>6.1</w:t>
      </w:r>
      <w:r w:rsidRPr="00AE65AB">
        <w:tab/>
        <w:t xml:space="preserve">Before considering any claim contained in a communication, the Human Rights Committee must, in accordance with rule 93 of its rules of </w:t>
      </w:r>
      <w:r w:rsidRPr="00E25EC9">
        <w:t>procedure</w:t>
      </w:r>
      <w:r w:rsidRPr="00AE65AB">
        <w:t>, decide whether or not the case is admissible under the Optional Protocol to the Covenant.</w:t>
      </w:r>
    </w:p>
    <w:p w14:paraId="2BAF449D" w14:textId="77777777" w:rsidR="00E25EC9" w:rsidRPr="00AE65AB" w:rsidRDefault="00E25EC9" w:rsidP="00B42860">
      <w:pPr>
        <w:pStyle w:val="SingleTxtG"/>
      </w:pPr>
      <w:r w:rsidRPr="00AE65AB">
        <w:t>6.2</w:t>
      </w:r>
      <w:r w:rsidRPr="00AE65AB">
        <w:tab/>
        <w:t>The Committee has ascertained, as required under article 5</w:t>
      </w:r>
      <w:r w:rsidR="00D935F8">
        <w:t xml:space="preserve"> (</w:t>
      </w:r>
      <w:r w:rsidRPr="00AE65AB">
        <w:t>2</w:t>
      </w:r>
      <w:r w:rsidR="00D935F8">
        <w:t>)</w:t>
      </w:r>
      <w:r w:rsidRPr="00AE65AB">
        <w:t xml:space="preserve"> (a) of the Optional Protocol, that the same matter is not being examined under another procedure of international investigation or settlement. </w:t>
      </w:r>
    </w:p>
    <w:p w14:paraId="7DE81565" w14:textId="77777777" w:rsidR="00E25EC9" w:rsidRDefault="00E25EC9" w:rsidP="002C439F">
      <w:pPr>
        <w:pStyle w:val="SingleTxtG"/>
      </w:pPr>
      <w:r>
        <w:t>6.3</w:t>
      </w:r>
      <w:r w:rsidRPr="00AE65AB">
        <w:tab/>
        <w:t>With regard to the requirement set out in article 5</w:t>
      </w:r>
      <w:r w:rsidR="00B42860">
        <w:t xml:space="preserve"> (</w:t>
      </w:r>
      <w:r w:rsidRPr="00AE65AB">
        <w:t>2</w:t>
      </w:r>
      <w:r w:rsidR="00B42860">
        <w:t>)</w:t>
      </w:r>
      <w:r w:rsidRPr="00AE65AB">
        <w:t xml:space="preserve"> (b) of the Optional Protocol, the Committee notes that</w:t>
      </w:r>
      <w:r w:rsidR="00E9372B">
        <w:t xml:space="preserve"> the author did not </w:t>
      </w:r>
      <w:r w:rsidR="00B42860">
        <w:t xml:space="preserve">file a </w:t>
      </w:r>
      <w:r w:rsidR="00E9372B">
        <w:t>complain</w:t>
      </w:r>
      <w:r w:rsidR="00B42860">
        <w:t>t with</w:t>
      </w:r>
      <w:r w:rsidR="00E9372B">
        <w:t xml:space="preserve"> the Supreme Court of Belarus </w:t>
      </w:r>
      <w:r w:rsidR="00B42860">
        <w:t>under</w:t>
      </w:r>
      <w:r w:rsidR="00E9372B">
        <w:t xml:space="preserve"> the supervisory review procedure as he considered th</w:t>
      </w:r>
      <w:r w:rsidR="00B42860">
        <w:t>at</w:t>
      </w:r>
      <w:r w:rsidR="00E9372B">
        <w:t xml:space="preserve"> remedy to be ineffective. </w:t>
      </w:r>
      <w:r w:rsidR="00860198">
        <w:t>In th</w:t>
      </w:r>
      <w:r w:rsidR="00B42860">
        <w:t>at</w:t>
      </w:r>
      <w:r w:rsidR="00860198">
        <w:t xml:space="preserve"> connection, t</w:t>
      </w:r>
      <w:r w:rsidR="00860198" w:rsidRPr="00860198">
        <w:t>he Committee recalls its jurisprudence</w:t>
      </w:r>
      <w:r w:rsidR="00860198" w:rsidRPr="00860198">
        <w:rPr>
          <w:vertAlign w:val="superscript"/>
        </w:rPr>
        <w:footnoteReference w:id="6"/>
      </w:r>
      <w:r w:rsidR="00860198" w:rsidRPr="00860198">
        <w:t xml:space="preserve"> </w:t>
      </w:r>
      <w:r w:rsidR="00B42860">
        <w:t xml:space="preserve">in which it has stated </w:t>
      </w:r>
      <w:r w:rsidR="00860198" w:rsidRPr="00860198">
        <w:t>that filing requests for supervisory review</w:t>
      </w:r>
      <w:r w:rsidR="009D63BC">
        <w:t xml:space="preserve"> </w:t>
      </w:r>
      <w:r w:rsidR="00860198" w:rsidRPr="00860198">
        <w:t xml:space="preserve"> to the president of a court directed against court decisions which have entered into force and depend on the discretionary power of a judge constitute</w:t>
      </w:r>
      <w:r w:rsidR="009D63BC">
        <w:t>d</w:t>
      </w:r>
      <w:r w:rsidR="00860198" w:rsidRPr="00860198">
        <w:t xml:space="preserve"> an extraordinary remedy</w:t>
      </w:r>
      <w:r w:rsidR="009D63BC">
        <w:t>,</w:t>
      </w:r>
      <w:r w:rsidR="00860198" w:rsidRPr="00860198">
        <w:t xml:space="preserve"> and that the State party must show that there is a reasonable prospect that such requests would provide an effective remedy in the circumstances of the case. </w:t>
      </w:r>
      <w:r w:rsidR="00860198">
        <w:t>In the present case, t</w:t>
      </w:r>
      <w:r w:rsidR="00860198" w:rsidRPr="00DC128E">
        <w:t xml:space="preserve">he State party has not shown, however, </w:t>
      </w:r>
      <w:r w:rsidR="00860198" w:rsidRPr="00DC128E">
        <w:lastRenderedPageBreak/>
        <w:t>whether and in how many cases petition</w:t>
      </w:r>
      <w:r w:rsidR="00860198">
        <w:t>s</w:t>
      </w:r>
      <w:r w:rsidR="00860198" w:rsidRPr="00DC128E">
        <w:t xml:space="preserve"> to the president of the Supreme Court for supervisory review procedures were applied successfully in cases concerning the right</w:t>
      </w:r>
      <w:r w:rsidR="00460256">
        <w:t>s</w:t>
      </w:r>
      <w:r w:rsidR="00860198" w:rsidRPr="00DC128E">
        <w:t xml:space="preserve"> to </w:t>
      </w:r>
      <w:r w:rsidR="00F60D91">
        <w:t xml:space="preserve">freedom of expression and </w:t>
      </w:r>
      <w:r w:rsidR="00460256">
        <w:t>peaceful</w:t>
      </w:r>
      <w:r w:rsidR="00F60D91">
        <w:t xml:space="preserve"> </w:t>
      </w:r>
      <w:r w:rsidR="00860198">
        <w:t>assembly</w:t>
      </w:r>
      <w:r w:rsidR="00860198" w:rsidRPr="00DC128E">
        <w:t xml:space="preserve">. </w:t>
      </w:r>
      <w:r w:rsidR="00860198">
        <w:t>The Committee further notes that</w:t>
      </w:r>
      <w:r w:rsidR="00860198" w:rsidRPr="00AE65AB">
        <w:t xml:space="preserve"> the State party has challenged the </w:t>
      </w:r>
      <w:r w:rsidR="00860198" w:rsidRPr="00417C1F">
        <w:t>admissibility</w:t>
      </w:r>
      <w:r w:rsidR="00860198" w:rsidRPr="00AE65AB">
        <w:t xml:space="preserve"> of the communication on </w:t>
      </w:r>
      <w:r w:rsidR="009D63BC">
        <w:t xml:space="preserve">the </w:t>
      </w:r>
      <w:r w:rsidR="00860198" w:rsidRPr="00AE65AB">
        <w:t xml:space="preserve">grounds of non-exhaustion of domestic remedies as the </w:t>
      </w:r>
      <w:r w:rsidR="00860198" w:rsidRPr="00E25EC9">
        <w:t>author</w:t>
      </w:r>
      <w:r w:rsidR="00860198" w:rsidRPr="00AE65AB">
        <w:t xml:space="preserve"> has not appealed to the </w:t>
      </w:r>
      <w:r w:rsidR="00860198">
        <w:t>P</w:t>
      </w:r>
      <w:r w:rsidR="00860198" w:rsidRPr="00AE65AB">
        <w:t>rosecutor</w:t>
      </w:r>
      <w:r w:rsidR="00860198">
        <w:t>’s</w:t>
      </w:r>
      <w:r w:rsidR="00860198" w:rsidRPr="00AE65AB">
        <w:t xml:space="preserve"> Office under the supervisory review procedure</w:t>
      </w:r>
      <w:r w:rsidR="00860198">
        <w:t xml:space="preserve">. </w:t>
      </w:r>
      <w:r w:rsidRPr="00DC128E">
        <w:t>The Committee recalls its jurisprudence, according to which a petition for supervisory review to a Prosecutor’s Office, allowing to review court decisions that have taken effect does not constitute a remedy which has to be exhausted for the purposes of article 5</w:t>
      </w:r>
      <w:r w:rsidR="009D63BC">
        <w:t xml:space="preserve"> (</w:t>
      </w:r>
      <w:r w:rsidRPr="00DC128E">
        <w:t>2</w:t>
      </w:r>
      <w:r w:rsidR="009D63BC">
        <w:t>)</w:t>
      </w:r>
      <w:r w:rsidRPr="00DC128E">
        <w:t xml:space="preserve"> (b) of the Optional Protocol.</w:t>
      </w:r>
      <w:r w:rsidRPr="00B6380E">
        <w:rPr>
          <w:vertAlign w:val="superscript"/>
        </w:rPr>
        <w:footnoteReference w:id="7"/>
      </w:r>
      <w:r>
        <w:rPr>
          <w:vertAlign w:val="superscript"/>
        </w:rPr>
        <w:t xml:space="preserve"> </w:t>
      </w:r>
      <w:r w:rsidRPr="00AE65AB">
        <w:t>Accordingly, the Committee considers that it is not precluded by article 5</w:t>
      </w:r>
      <w:r w:rsidR="002C439F">
        <w:t xml:space="preserve"> (</w:t>
      </w:r>
      <w:r w:rsidRPr="00AE65AB">
        <w:t>2</w:t>
      </w:r>
      <w:r w:rsidR="002C439F">
        <w:t>)</w:t>
      </w:r>
      <w:r w:rsidRPr="00AE65AB">
        <w:t xml:space="preserve"> (b) of the Optional Protocol from examining the present communication</w:t>
      </w:r>
      <w:r w:rsidR="002C439F">
        <w:t xml:space="preserve">. </w:t>
      </w:r>
    </w:p>
    <w:p w14:paraId="4B89C624" w14:textId="77777777" w:rsidR="00860198" w:rsidRPr="001F1088" w:rsidRDefault="007F19B0" w:rsidP="002C439F">
      <w:pPr>
        <w:pStyle w:val="SingleTxtG"/>
      </w:pPr>
      <w:r>
        <w:t>6.4</w:t>
      </w:r>
      <w:r>
        <w:tab/>
      </w:r>
      <w:r w:rsidR="00860198">
        <w:t>T</w:t>
      </w:r>
      <w:r w:rsidR="00860198" w:rsidRPr="001F1088">
        <w:t>he Committee considers that the author ha</w:t>
      </w:r>
      <w:r w:rsidR="00860198">
        <w:t>s sufficiently substantiated his</w:t>
      </w:r>
      <w:r w:rsidR="00860198" w:rsidRPr="001F1088">
        <w:t xml:space="preserve"> claims under article</w:t>
      </w:r>
      <w:r w:rsidR="002C439F">
        <w:t>s</w:t>
      </w:r>
      <w:r w:rsidR="00860198" w:rsidRPr="001F1088">
        <w:t xml:space="preserve"> 19</w:t>
      </w:r>
      <w:r w:rsidR="002C439F">
        <w:t xml:space="preserve"> (</w:t>
      </w:r>
      <w:r w:rsidR="00860198" w:rsidRPr="001F1088">
        <w:t>2</w:t>
      </w:r>
      <w:r w:rsidR="002C439F">
        <w:t>)</w:t>
      </w:r>
      <w:r w:rsidR="00860198" w:rsidRPr="001F1088">
        <w:t xml:space="preserve"> and 21 of the Covenant for </w:t>
      </w:r>
      <w:r w:rsidR="002C439F">
        <w:t xml:space="preserve">the </w:t>
      </w:r>
      <w:r w:rsidR="00860198" w:rsidRPr="001F1088">
        <w:t>purposes of admissibility. It declares the communication admissible with regard to th</w:t>
      </w:r>
      <w:r w:rsidR="002C439F">
        <w:t>o</w:t>
      </w:r>
      <w:r w:rsidR="00860198" w:rsidRPr="001F1088">
        <w:t>se provisions of the Covenant and proceeds to its examination on the merits.</w:t>
      </w:r>
    </w:p>
    <w:p w14:paraId="7F83360E" w14:textId="77777777" w:rsidR="00E25EC9" w:rsidRPr="002D60F9" w:rsidRDefault="00E25EC9" w:rsidP="00E25EC9">
      <w:pPr>
        <w:pStyle w:val="H4G"/>
      </w:pPr>
      <w:r>
        <w:tab/>
      </w:r>
      <w:r>
        <w:tab/>
      </w:r>
      <w:r w:rsidRPr="002D60F9">
        <w:t xml:space="preserve">Consideration of </w:t>
      </w:r>
      <w:r w:rsidRPr="00E25EC9">
        <w:t>merits</w:t>
      </w:r>
    </w:p>
    <w:p w14:paraId="67BDB543" w14:textId="77777777" w:rsidR="00E25EC9" w:rsidRPr="00AE65AB" w:rsidRDefault="00E25EC9" w:rsidP="002C439F">
      <w:pPr>
        <w:pStyle w:val="SingleTxtG"/>
      </w:pPr>
      <w:r w:rsidRPr="00AE65AB">
        <w:t>7.1</w:t>
      </w:r>
      <w:r w:rsidRPr="00AE65AB">
        <w:tab/>
        <w:t xml:space="preserve">The Human Rights </w:t>
      </w:r>
      <w:r w:rsidRPr="00E25EC9">
        <w:t>Committee</w:t>
      </w:r>
      <w:r w:rsidRPr="00AE65AB">
        <w:t xml:space="preserve"> has considered the </w:t>
      </w:r>
      <w:r w:rsidR="002C439F">
        <w:t xml:space="preserve">present </w:t>
      </w:r>
      <w:r w:rsidRPr="00AE65AB">
        <w:t xml:space="preserve">communication in </w:t>
      </w:r>
      <w:r w:rsidR="002C439F">
        <w:t xml:space="preserve">the </w:t>
      </w:r>
      <w:r w:rsidRPr="00AE65AB">
        <w:t xml:space="preserve">light of all the information made available to it by the parties, as </w:t>
      </w:r>
      <w:r w:rsidR="002C439F">
        <w:t>required</w:t>
      </w:r>
      <w:r w:rsidRPr="00AE65AB">
        <w:t xml:space="preserve"> under article 5</w:t>
      </w:r>
      <w:r w:rsidR="002C439F">
        <w:t xml:space="preserve"> (</w:t>
      </w:r>
      <w:r w:rsidRPr="00AE65AB">
        <w:t>1</w:t>
      </w:r>
      <w:r w:rsidR="002C439F">
        <w:t>)</w:t>
      </w:r>
      <w:r w:rsidRPr="00AE65AB">
        <w:t xml:space="preserve"> of the Optional Protocol.</w:t>
      </w:r>
    </w:p>
    <w:p w14:paraId="73DFC70B" w14:textId="77777777" w:rsidR="00E25EC9" w:rsidRDefault="00E25EC9" w:rsidP="00BF2BC2">
      <w:pPr>
        <w:pStyle w:val="SingleTxtG"/>
      </w:pPr>
      <w:r w:rsidRPr="00AE65AB">
        <w:t>7.2</w:t>
      </w:r>
      <w:r w:rsidRPr="00AE65AB">
        <w:tab/>
      </w:r>
      <w:r w:rsidRPr="007B3302">
        <w:t>The issue before the Committee is whether</w:t>
      </w:r>
      <w:r>
        <w:t xml:space="preserve"> </w:t>
      </w:r>
      <w:r w:rsidRPr="00AE65AB">
        <w:t xml:space="preserve">the prohibition </w:t>
      </w:r>
      <w:r w:rsidR="002C439F">
        <w:t xml:space="preserve">to </w:t>
      </w:r>
      <w:r w:rsidRPr="00AE65AB">
        <w:t xml:space="preserve">hold a picket </w:t>
      </w:r>
      <w:r>
        <w:t>on 22 August</w:t>
      </w:r>
      <w:r w:rsidRPr="00AE65AB">
        <w:t xml:space="preserve"> 2009 with </w:t>
      </w:r>
      <w:r w:rsidR="00BF2BC2">
        <w:t xml:space="preserve">the </w:t>
      </w:r>
      <w:r w:rsidR="002C439F">
        <w:t>aim of</w:t>
      </w:r>
      <w:r w:rsidRPr="00AE65AB">
        <w:t xml:space="preserve"> draw</w:t>
      </w:r>
      <w:r w:rsidR="002C439F">
        <w:t>ing the</w:t>
      </w:r>
      <w:r w:rsidRPr="00AE65AB">
        <w:t xml:space="preserve"> public</w:t>
      </w:r>
      <w:r w:rsidR="002C439F">
        <w:t>’s</w:t>
      </w:r>
      <w:r w:rsidRPr="00AE65AB">
        <w:t xml:space="preserve"> attention </w:t>
      </w:r>
      <w:r w:rsidRPr="005F4996">
        <w:t xml:space="preserve">to the </w:t>
      </w:r>
      <w:r w:rsidR="002C439F">
        <w:t>issue</w:t>
      </w:r>
      <w:r w:rsidRPr="005F4996">
        <w:t xml:space="preserve"> of </w:t>
      </w:r>
      <w:r w:rsidRPr="00E25EC9">
        <w:t>homeless</w:t>
      </w:r>
      <w:r w:rsidRPr="005F4996">
        <w:t xml:space="preserve"> animals, protest</w:t>
      </w:r>
      <w:r w:rsidR="008B61B0">
        <w:t>ing</w:t>
      </w:r>
      <w:r w:rsidRPr="005F4996">
        <w:t xml:space="preserve"> against the cruel treatment of animals and express</w:t>
      </w:r>
      <w:r w:rsidR="008B61B0">
        <w:t>ing</w:t>
      </w:r>
      <w:r w:rsidRPr="005F4996">
        <w:t xml:space="preserve"> disagreement with the methods of work of the </w:t>
      </w:r>
      <w:r>
        <w:t>S</w:t>
      </w:r>
      <w:r w:rsidRPr="005F4996">
        <w:t>tate enterprise</w:t>
      </w:r>
      <w:r w:rsidR="008B61B0">
        <w:t>,</w:t>
      </w:r>
      <w:r w:rsidRPr="005F4996">
        <w:t xml:space="preserve"> </w:t>
      </w:r>
      <w:r>
        <w:t>City Fauna</w:t>
      </w:r>
      <w:r w:rsidR="008B61B0">
        <w:t>,</w:t>
      </w:r>
      <w:r w:rsidRPr="005F4996">
        <w:t xml:space="preserve"> </w:t>
      </w:r>
      <w:r w:rsidRPr="007B3302">
        <w:t>constitute</w:t>
      </w:r>
      <w:r>
        <w:t>d</w:t>
      </w:r>
      <w:r w:rsidRPr="007B3302">
        <w:t xml:space="preserve"> a violation of the author</w:t>
      </w:r>
      <w:r>
        <w:t>’s</w:t>
      </w:r>
      <w:r w:rsidRPr="007B3302">
        <w:t xml:space="preserve"> rights under article</w:t>
      </w:r>
      <w:r>
        <w:t>s</w:t>
      </w:r>
      <w:r w:rsidRPr="007B3302">
        <w:t xml:space="preserve"> 19 </w:t>
      </w:r>
      <w:r>
        <w:t xml:space="preserve">and 21 </w:t>
      </w:r>
      <w:r w:rsidRPr="007B3302">
        <w:t>of the Covenant.</w:t>
      </w:r>
    </w:p>
    <w:p w14:paraId="6AE3ECED" w14:textId="77777777" w:rsidR="00E25EC9" w:rsidRDefault="00E25EC9" w:rsidP="00BF2BC2">
      <w:pPr>
        <w:pStyle w:val="SingleTxtG"/>
        <w:rPr>
          <w:vertAlign w:val="superscript"/>
        </w:rPr>
      </w:pPr>
      <w:r>
        <w:t>7.3</w:t>
      </w:r>
      <w:r>
        <w:tab/>
      </w:r>
      <w:r w:rsidRPr="007B3302">
        <w:t>The Committee</w:t>
      </w:r>
      <w:r>
        <w:t xml:space="preserve"> </w:t>
      </w:r>
      <w:r w:rsidRPr="007B3302">
        <w:t>recalls that article 19</w:t>
      </w:r>
      <w:r w:rsidR="008B61B0">
        <w:t xml:space="preserve"> (</w:t>
      </w:r>
      <w:r w:rsidRPr="007B3302">
        <w:t>2</w:t>
      </w:r>
      <w:r w:rsidR="008B61B0">
        <w:t>)</w:t>
      </w:r>
      <w:r w:rsidRPr="007B3302">
        <w:t xml:space="preserve"> of the Covenant requires State</w:t>
      </w:r>
      <w:r>
        <w:t>s</w:t>
      </w:r>
      <w:r w:rsidRPr="007B3302">
        <w:t xml:space="preserve"> parties to guarantee the right to freedom of expression, including the freedom to</w:t>
      </w:r>
      <w:r>
        <w:t xml:space="preserve"> seek, receive and</w:t>
      </w:r>
      <w:r w:rsidRPr="007B3302">
        <w:t xml:space="preserve"> impart information</w:t>
      </w:r>
      <w:r>
        <w:t xml:space="preserve"> and ideas of all kinds, regardless of frontiers, either orally, in writing or in print</w:t>
      </w:r>
      <w:r w:rsidRPr="007B3302">
        <w:t xml:space="preserve">. The Committee refers to its general comment No. 34 (2011) on freedoms of opinion and expression, </w:t>
      </w:r>
      <w:r w:rsidR="00BF2BC2">
        <w:t>in which it states that</w:t>
      </w:r>
      <w:r w:rsidRPr="007B3302">
        <w:t xml:space="preserve"> freedom of opinion and freedom of expression are indispensable conditions for the full development of the person. They are essential for any society and constitute the foundation stone for every free and democratic society.</w:t>
      </w:r>
      <w:r w:rsidRPr="00A50676">
        <w:rPr>
          <w:rStyle w:val="FootnoteReference"/>
        </w:rPr>
        <w:footnoteReference w:id="8"/>
      </w:r>
      <w:r w:rsidRPr="00A50676">
        <w:rPr>
          <w:vertAlign w:val="superscript"/>
        </w:rPr>
        <w:t xml:space="preserve"> </w:t>
      </w:r>
    </w:p>
    <w:p w14:paraId="45052AB8" w14:textId="77777777" w:rsidR="00E25EC9" w:rsidRDefault="00E25EC9" w:rsidP="00E25EC9">
      <w:pPr>
        <w:pStyle w:val="SingleTxtG"/>
      </w:pPr>
      <w:r>
        <w:t>7.4</w:t>
      </w:r>
      <w:r>
        <w:tab/>
        <w:t xml:space="preserve">The Committee also notes that the </w:t>
      </w:r>
      <w:r w:rsidRPr="007B0F4F">
        <w:t>right of peaceful assembly, as guaranteed under article 21 of the Covenant, is a fundamenta</w:t>
      </w:r>
      <w:r w:rsidRPr="00E25EC9">
        <w:t xml:space="preserve">l </w:t>
      </w:r>
      <w:r w:rsidRPr="007B0F4F">
        <w:t xml:space="preserve">human right, being essential for </w:t>
      </w:r>
      <w:r w:rsidR="00BF2BC2">
        <w:t xml:space="preserve">the </w:t>
      </w:r>
      <w:r w:rsidRPr="007B0F4F">
        <w:t>public expression of one’s views and opinions and it is indispensable in a democratic society.</w:t>
      </w:r>
      <w:r>
        <w:rPr>
          <w:rStyle w:val="FootnoteReference"/>
        </w:rPr>
        <w:footnoteReference w:id="9"/>
      </w:r>
      <w:r w:rsidRPr="007B0F4F">
        <w:t xml:space="preserve"> This right </w:t>
      </w:r>
      <w:r w:rsidRPr="00EF6C23">
        <w:t>includes the right to organize and participate</w:t>
      </w:r>
      <w:r w:rsidRPr="007B0F4F">
        <w:t xml:space="preserve"> in a </w:t>
      </w:r>
      <w:r>
        <w:t xml:space="preserve">peaceful assembly and </w:t>
      </w:r>
      <w:r w:rsidRPr="00E25EC9">
        <w:t>manifestation</w:t>
      </w:r>
      <w:r>
        <w:t xml:space="preserve"> </w:t>
      </w:r>
      <w:r w:rsidRPr="007B0F4F">
        <w:t>with the intent to support or disapprove one or another particular cause.</w:t>
      </w:r>
    </w:p>
    <w:p w14:paraId="7244C0F6" w14:textId="77777777" w:rsidR="00E25EC9" w:rsidRDefault="00E25EC9" w:rsidP="00875DEC">
      <w:pPr>
        <w:pStyle w:val="SingleTxtG"/>
      </w:pPr>
      <w:r>
        <w:t>7.5</w:t>
      </w:r>
      <w:r w:rsidRPr="00AE65AB">
        <w:tab/>
        <w:t xml:space="preserve">The Committee notes that the refusal to permit the holding of a picket aimed at drawing public attention </w:t>
      </w:r>
      <w:r w:rsidRPr="005F4996">
        <w:t xml:space="preserve">to the </w:t>
      </w:r>
      <w:r w:rsidR="00875DEC">
        <w:t xml:space="preserve">issue </w:t>
      </w:r>
      <w:r w:rsidRPr="005F4996">
        <w:t>of homeless animals, protest</w:t>
      </w:r>
      <w:r w:rsidR="00875DEC">
        <w:t>ing</w:t>
      </w:r>
      <w:r w:rsidRPr="005F4996">
        <w:t xml:space="preserve"> against the cruel treatment of animals and express</w:t>
      </w:r>
      <w:r w:rsidR="00875DEC">
        <w:t>ing</w:t>
      </w:r>
      <w:r w:rsidRPr="005F4996">
        <w:t xml:space="preserve"> disagreement with the methods of work of the </w:t>
      </w:r>
      <w:r w:rsidR="00875DEC">
        <w:t>S</w:t>
      </w:r>
      <w:r w:rsidRPr="005F4996">
        <w:t>tate enterprise</w:t>
      </w:r>
      <w:r w:rsidR="00875DEC">
        <w:t>,</w:t>
      </w:r>
      <w:r w:rsidRPr="005F4996">
        <w:t xml:space="preserve"> </w:t>
      </w:r>
      <w:r>
        <w:t>City Fauna</w:t>
      </w:r>
      <w:r w:rsidRPr="00AE65AB">
        <w:t>, amounted to a restriction on the author’s right to impart information</w:t>
      </w:r>
      <w:r>
        <w:t xml:space="preserve"> and his freedom of assembly</w:t>
      </w:r>
      <w:r w:rsidRPr="00AE65AB">
        <w:t xml:space="preserve">. </w:t>
      </w:r>
      <w:r w:rsidR="00875DEC">
        <w:t>T</w:t>
      </w:r>
      <w:r w:rsidRPr="00AE65AB">
        <w:t xml:space="preserve">he </w:t>
      </w:r>
      <w:r>
        <w:t xml:space="preserve">Committee must </w:t>
      </w:r>
      <w:r w:rsidRPr="00AE65AB">
        <w:t xml:space="preserve">verify whether the </w:t>
      </w:r>
      <w:r w:rsidRPr="00E25EC9">
        <w:t>restrictions</w:t>
      </w:r>
      <w:r w:rsidRPr="00AE65AB">
        <w:t xml:space="preserve"> imposed </w:t>
      </w:r>
      <w:r w:rsidRPr="00AE65AB">
        <w:lastRenderedPageBreak/>
        <w:t xml:space="preserve">on the author’s rights in the present communication </w:t>
      </w:r>
      <w:r w:rsidR="00875DEC">
        <w:t>are</w:t>
      </w:r>
      <w:r>
        <w:t xml:space="preserve"> justified under article 19</w:t>
      </w:r>
      <w:r w:rsidR="00875DEC">
        <w:t xml:space="preserve"> (</w:t>
      </w:r>
      <w:r>
        <w:t>3</w:t>
      </w:r>
      <w:r w:rsidR="00875DEC">
        <w:t>)</w:t>
      </w:r>
      <w:r>
        <w:t xml:space="preserve"> and the second sentence of article 21, of the Covenant.</w:t>
      </w:r>
      <w:r w:rsidRPr="00AE65AB">
        <w:t xml:space="preserve"> </w:t>
      </w:r>
    </w:p>
    <w:p w14:paraId="52ABA1B1" w14:textId="77777777" w:rsidR="00DC054E" w:rsidRDefault="00E25EC9" w:rsidP="00DE69A3">
      <w:pPr>
        <w:pStyle w:val="SingleTxtG"/>
      </w:pPr>
      <w:r w:rsidRPr="009761C1">
        <w:t>7.6</w:t>
      </w:r>
      <w:r w:rsidRPr="009761C1">
        <w:tab/>
        <w:t xml:space="preserve">The Committee recalls that </w:t>
      </w:r>
      <w:r>
        <w:t xml:space="preserve">the rights set </w:t>
      </w:r>
      <w:r w:rsidR="00875DEC">
        <w:t xml:space="preserve">out </w:t>
      </w:r>
      <w:r>
        <w:t xml:space="preserve">in </w:t>
      </w:r>
      <w:r w:rsidRPr="009761C1">
        <w:t>article 19</w:t>
      </w:r>
      <w:r w:rsidR="00875DEC">
        <w:t xml:space="preserve"> (</w:t>
      </w:r>
      <w:r>
        <w:t>1</w:t>
      </w:r>
      <w:r w:rsidR="00875DEC">
        <w:t>)</w:t>
      </w:r>
      <w:r w:rsidRPr="009761C1">
        <w:t xml:space="preserve"> of the Covenant </w:t>
      </w:r>
      <w:r w:rsidR="00875DEC">
        <w:t>are</w:t>
      </w:r>
      <w:r>
        <w:t xml:space="preserve"> not absolute, and that article 19</w:t>
      </w:r>
      <w:r w:rsidR="00DE69A3">
        <w:t xml:space="preserve"> (</w:t>
      </w:r>
      <w:r>
        <w:t>3</w:t>
      </w:r>
      <w:r w:rsidR="00DE69A3">
        <w:t>)</w:t>
      </w:r>
      <w:r>
        <w:t xml:space="preserve"> </w:t>
      </w:r>
      <w:r w:rsidR="00DE69A3">
        <w:t>provides for</w:t>
      </w:r>
      <w:r w:rsidRPr="009761C1">
        <w:t xml:space="preserve"> certain restrictions, but only as </w:t>
      </w:r>
      <w:r w:rsidR="00DE69A3">
        <w:t xml:space="preserve">are </w:t>
      </w:r>
      <w:r w:rsidRPr="009761C1">
        <w:t>provided by law and necessary: (a) for respect of the rights or reputation of others; or (b) for the protection of national security or of public order (ordre public), or of public health or morals. It observes that any restrictions on the exercise of the right</w:t>
      </w:r>
      <w:r>
        <w:t>s provided for in</w:t>
      </w:r>
      <w:r w:rsidRPr="009761C1">
        <w:t xml:space="preserve"> article 19</w:t>
      </w:r>
      <w:r w:rsidR="00DE69A3">
        <w:t xml:space="preserve"> (</w:t>
      </w:r>
      <w:r>
        <w:t>2</w:t>
      </w:r>
      <w:r w:rsidR="00DE69A3">
        <w:t>)</w:t>
      </w:r>
      <w:r w:rsidRPr="009761C1">
        <w:t xml:space="preserve"> must conform to the strict test of necessity</w:t>
      </w:r>
      <w:r>
        <w:t xml:space="preserve"> and proportionality</w:t>
      </w:r>
      <w:r w:rsidRPr="009761C1">
        <w:t xml:space="preserve"> and must be directly related to the specific need on which they are predicated.</w:t>
      </w:r>
      <w:r w:rsidRPr="009761C1">
        <w:rPr>
          <w:rStyle w:val="FootnoteReference"/>
        </w:rPr>
        <w:footnoteReference w:id="10"/>
      </w:r>
      <w:r w:rsidRPr="009761C1">
        <w:t xml:space="preserve"> </w:t>
      </w:r>
    </w:p>
    <w:p w14:paraId="1D66D4C0" w14:textId="77777777" w:rsidR="00E25EC9" w:rsidRPr="00AE65AB" w:rsidRDefault="00DC054E" w:rsidP="00DE69A3">
      <w:pPr>
        <w:pStyle w:val="SingleTxtG"/>
      </w:pPr>
      <w:r>
        <w:t>7.7</w:t>
      </w:r>
      <w:r w:rsidR="00193D38">
        <w:tab/>
      </w:r>
      <w:r w:rsidR="00E25EC9" w:rsidRPr="009761C1">
        <w:t>The Committee further notes that no restrictions may be placed on the right guaranteed under article 21</w:t>
      </w:r>
      <w:r w:rsidR="00DE69A3">
        <w:t>,</w:t>
      </w:r>
      <w:r w:rsidR="00E25EC9" w:rsidRPr="009761C1">
        <w:t xml:space="preserve"> other than those imposed in conformity with the law and which are necessary in a democratic society in the interests of national security or public safety, public order (ordre public), the protection of public health or morals or the protection of the rights and freedoms of others.</w:t>
      </w:r>
      <w:r w:rsidR="00E25EC9">
        <w:rPr>
          <w:rStyle w:val="FootnoteReference"/>
        </w:rPr>
        <w:footnoteReference w:id="11"/>
      </w:r>
      <w:r w:rsidR="00C1634F">
        <w:t xml:space="preserve"> </w:t>
      </w:r>
      <w:r w:rsidR="00C1634F" w:rsidRPr="002E1860">
        <w:t>When a State party imposes restrictions with the aim of reconciling an individual’s right to assembly and the aforementioned interests of general concern, it should be guided by the objective to facilitate the right, rather than seek</w:t>
      </w:r>
      <w:r w:rsidR="00DE69A3">
        <w:t xml:space="preserve"> to impose</w:t>
      </w:r>
      <w:r w:rsidR="00C1634F" w:rsidRPr="002E1860">
        <w:t xml:space="preserve"> unnecessary or disproportionate </w:t>
      </w:r>
      <w:r w:rsidR="00DE69A3">
        <w:t>restrictions</w:t>
      </w:r>
      <w:r w:rsidR="00C1634F" w:rsidRPr="002E1860">
        <w:t xml:space="preserve"> </w:t>
      </w:r>
      <w:r w:rsidR="00DE69A3">
        <w:t>on</w:t>
      </w:r>
      <w:r w:rsidR="00C1634F" w:rsidRPr="002E1860">
        <w:t xml:space="preserve"> it. The State party is thus under the obligation to justify the </w:t>
      </w:r>
      <w:r w:rsidR="00DE69A3">
        <w:t>restriction</w:t>
      </w:r>
      <w:r w:rsidR="00C1634F" w:rsidRPr="002E1860">
        <w:t xml:space="preserve"> </w:t>
      </w:r>
      <w:r w:rsidR="00DE69A3">
        <w:t xml:space="preserve">imposed </w:t>
      </w:r>
      <w:r w:rsidR="00C1634F" w:rsidRPr="002E1860">
        <w:t>o</w:t>
      </w:r>
      <w:r w:rsidR="00DE69A3">
        <w:t>n</w:t>
      </w:r>
      <w:r w:rsidR="00C1634F" w:rsidRPr="002E1860">
        <w:t xml:space="preserve"> the right protected </w:t>
      </w:r>
      <w:r w:rsidR="00DE69A3">
        <w:t xml:space="preserve">under </w:t>
      </w:r>
      <w:r w:rsidR="00C1634F" w:rsidRPr="002E1860">
        <w:t>article 21 of the Covenant.</w:t>
      </w:r>
      <w:r w:rsidR="00C1634F" w:rsidRPr="002E1860">
        <w:rPr>
          <w:sz w:val="18"/>
          <w:vertAlign w:val="superscript"/>
        </w:rPr>
        <w:footnoteReference w:id="12"/>
      </w:r>
    </w:p>
    <w:p w14:paraId="0CFC8E3D" w14:textId="77777777" w:rsidR="00E25EC9" w:rsidRPr="009761C1" w:rsidRDefault="00E25EC9" w:rsidP="00507D8A">
      <w:pPr>
        <w:pStyle w:val="SingleTxtG"/>
        <w:rPr>
          <w:snapToGrid w:val="0"/>
        </w:rPr>
      </w:pPr>
      <w:r>
        <w:t>7.</w:t>
      </w:r>
      <w:r w:rsidR="00DC054E">
        <w:t>8</w:t>
      </w:r>
      <w:r w:rsidRPr="00AE65AB">
        <w:tab/>
      </w:r>
      <w:r w:rsidRPr="00756C11">
        <w:t>In th</w:t>
      </w:r>
      <w:r w:rsidR="00DE69A3" w:rsidRPr="00756C11">
        <w:t>at</w:t>
      </w:r>
      <w:r w:rsidRPr="00756C11">
        <w:t xml:space="preserve"> connection</w:t>
      </w:r>
      <w:r>
        <w:t>, t</w:t>
      </w:r>
      <w:r w:rsidRPr="00AE65AB">
        <w:t xml:space="preserve">he Committee notes that the State party has </w:t>
      </w:r>
      <w:r w:rsidR="0068700D">
        <w:t xml:space="preserve">not </w:t>
      </w:r>
      <w:r w:rsidRPr="00AE65AB">
        <w:t>submitted  observations on the merits of the present communication</w:t>
      </w:r>
      <w:r>
        <w:t xml:space="preserve"> and that, in th</w:t>
      </w:r>
      <w:r w:rsidR="0068700D">
        <w:t>o</w:t>
      </w:r>
      <w:r>
        <w:t>se circumstances, due weight must be given to the author’s allegations</w:t>
      </w:r>
      <w:r w:rsidRPr="00AE65AB">
        <w:t xml:space="preserve">. </w:t>
      </w:r>
      <w:r>
        <w:t>T</w:t>
      </w:r>
      <w:r w:rsidRPr="00AE65AB">
        <w:t xml:space="preserve">he Committee </w:t>
      </w:r>
      <w:r>
        <w:t>notes</w:t>
      </w:r>
      <w:r w:rsidRPr="00AE65AB">
        <w:t xml:space="preserve"> that the author was refused permission by the </w:t>
      </w:r>
      <w:r w:rsidR="0068700D">
        <w:t xml:space="preserve">authorities of Minsk City </w:t>
      </w:r>
      <w:r w:rsidRPr="00AE65AB">
        <w:t xml:space="preserve">to hold a picket </w:t>
      </w:r>
      <w:r w:rsidR="0068700D">
        <w:t xml:space="preserve">at the location of his choice </w:t>
      </w:r>
      <w:r w:rsidRPr="00AE65AB">
        <w:t xml:space="preserve">on </w:t>
      </w:r>
      <w:r>
        <w:t>22 August 2009</w:t>
      </w:r>
      <w:r w:rsidRPr="00AE65AB">
        <w:t xml:space="preserve">, </w:t>
      </w:r>
      <w:r w:rsidR="0068700D">
        <w:t>which</w:t>
      </w:r>
      <w:r w:rsidRPr="00AE65AB">
        <w:t xml:space="preserve"> restrict</w:t>
      </w:r>
      <w:r w:rsidR="0068700D">
        <w:t>ed</w:t>
      </w:r>
      <w:r w:rsidRPr="00AE65AB">
        <w:t xml:space="preserve"> his right</w:t>
      </w:r>
      <w:r w:rsidR="0068700D">
        <w:t>s</w:t>
      </w:r>
      <w:r>
        <w:t xml:space="preserve"> to freedom of assembly and</w:t>
      </w:r>
      <w:r w:rsidRPr="00AE65AB">
        <w:t xml:space="preserve"> to impart his opinions</w:t>
      </w:r>
      <w:r w:rsidR="0068700D">
        <w:t>, together with others, about</w:t>
      </w:r>
      <w:r w:rsidRPr="00AE65AB">
        <w:t xml:space="preserve"> </w:t>
      </w:r>
      <w:r>
        <w:t xml:space="preserve">homeless animals and the </w:t>
      </w:r>
      <w:r w:rsidR="0068700D">
        <w:t xml:space="preserve">methods of </w:t>
      </w:r>
      <w:r>
        <w:t>work of the State enterprise</w:t>
      </w:r>
      <w:r w:rsidR="0068700D">
        <w:t>,</w:t>
      </w:r>
      <w:r>
        <w:t xml:space="preserve"> City Fauna</w:t>
      </w:r>
      <w:r w:rsidRPr="00AE65AB">
        <w:t xml:space="preserve">. </w:t>
      </w:r>
      <w:r>
        <w:t>In this connection, it notes</w:t>
      </w:r>
      <w:r w:rsidRPr="00AE65AB">
        <w:t xml:space="preserve"> that the national authorities refused to allow the author to hold the picket at the location of his choice and, thus, restricted his right to </w:t>
      </w:r>
      <w:r>
        <w:t xml:space="preserve">express </w:t>
      </w:r>
      <w:r w:rsidRPr="00AE65AB">
        <w:t>his concerns</w:t>
      </w:r>
      <w:r>
        <w:t xml:space="preserve"> together with others</w:t>
      </w:r>
      <w:r w:rsidRPr="00AE65AB">
        <w:t xml:space="preserve">, solely on grounds that the </w:t>
      </w:r>
      <w:r>
        <w:t>picket</w:t>
      </w:r>
      <w:r w:rsidRPr="00AE65AB">
        <w:t xml:space="preserve"> would hinder the </w:t>
      </w:r>
      <w:r>
        <w:t>work of the State enterprise</w:t>
      </w:r>
      <w:r w:rsidR="002611EC">
        <w:t>,</w:t>
      </w:r>
      <w:r>
        <w:t xml:space="preserve"> City Fauna, </w:t>
      </w:r>
      <w:r w:rsidR="002611EC">
        <w:t xml:space="preserve">other businesses in the area </w:t>
      </w:r>
      <w:r>
        <w:t>as well as automobile traffic</w:t>
      </w:r>
      <w:r w:rsidRPr="00AE65AB">
        <w:t xml:space="preserve">. </w:t>
      </w:r>
      <w:r w:rsidR="002611EC">
        <w:t>However, i</w:t>
      </w:r>
      <w:r w:rsidR="00DC054E">
        <w:t xml:space="preserve">n </w:t>
      </w:r>
      <w:r w:rsidR="002611EC">
        <w:t xml:space="preserve">the </w:t>
      </w:r>
      <w:r w:rsidR="00DC054E">
        <w:t>light of the information provided by the author</w:t>
      </w:r>
      <w:r w:rsidR="002611EC">
        <w:t>,</w:t>
      </w:r>
      <w:r w:rsidR="00DC054E">
        <w:t xml:space="preserve"> t</w:t>
      </w:r>
      <w:r w:rsidRPr="00AE65AB">
        <w:t>he Committee notes that the authorities have not explained how</w:t>
      </w:r>
      <w:r>
        <w:t>,</w:t>
      </w:r>
      <w:r w:rsidRPr="00AE65AB">
        <w:t xml:space="preserve"> in practice</w:t>
      </w:r>
      <w:r>
        <w:t>,</w:t>
      </w:r>
      <w:r w:rsidRPr="00AE65AB">
        <w:t xml:space="preserve"> </w:t>
      </w:r>
      <w:r>
        <w:t>a picket</w:t>
      </w:r>
      <w:r w:rsidRPr="00AE65AB">
        <w:t xml:space="preserve"> </w:t>
      </w:r>
      <w:r>
        <w:t>held</w:t>
      </w:r>
      <w:r w:rsidRPr="00AE65AB">
        <w:t xml:space="preserve"> in a pedestrian zone</w:t>
      </w:r>
      <w:r>
        <w:t xml:space="preserve"> outside the premises of the respective State enterprise</w:t>
      </w:r>
      <w:r w:rsidRPr="00AE65AB">
        <w:t xml:space="preserve"> would hinder</w:t>
      </w:r>
      <w:r>
        <w:t xml:space="preserve"> </w:t>
      </w:r>
      <w:r w:rsidRPr="00AE65AB">
        <w:t xml:space="preserve">the </w:t>
      </w:r>
      <w:r>
        <w:t>work of</w:t>
      </w:r>
      <w:r w:rsidR="002611EC">
        <w:t xml:space="preserve"> said</w:t>
      </w:r>
      <w:r>
        <w:t xml:space="preserve"> enterprise as well as the movement of traffic</w:t>
      </w:r>
      <w:r w:rsidR="002611EC">
        <w:t>; nor has it explained</w:t>
      </w:r>
      <w:r w:rsidRPr="00AE65AB">
        <w:t xml:space="preserve"> how the restrictions imposed on the author’s rights </w:t>
      </w:r>
      <w:r>
        <w:t>to freedom of expression and of peaceful assembly</w:t>
      </w:r>
      <w:r w:rsidRPr="00AE65AB">
        <w:t xml:space="preserve"> were justified under article 19</w:t>
      </w:r>
      <w:r w:rsidR="002611EC">
        <w:t xml:space="preserve"> (</w:t>
      </w:r>
      <w:r w:rsidRPr="00AE65AB">
        <w:t>3</w:t>
      </w:r>
      <w:r w:rsidR="002611EC">
        <w:t xml:space="preserve">) </w:t>
      </w:r>
      <w:r w:rsidRPr="00AE65AB">
        <w:t xml:space="preserve"> </w:t>
      </w:r>
      <w:r>
        <w:t xml:space="preserve">and the second sentence of article 21 </w:t>
      </w:r>
      <w:r w:rsidRPr="00AE65AB">
        <w:t>of the Covenant.</w:t>
      </w:r>
      <w:r w:rsidRPr="00907849">
        <w:rPr>
          <w:rStyle w:val="FootnoteReference"/>
        </w:rPr>
        <w:footnoteReference w:id="13"/>
      </w:r>
      <w:r w:rsidR="00193D38">
        <w:t xml:space="preserve"> </w:t>
      </w:r>
      <w:r w:rsidR="002611EC">
        <w:rPr>
          <w:snapToGrid w:val="0"/>
        </w:rPr>
        <w:t>T</w:t>
      </w:r>
      <w:r w:rsidRPr="007C6D81">
        <w:rPr>
          <w:snapToGrid w:val="0"/>
        </w:rPr>
        <w:t xml:space="preserve">he Committee recalls that </w:t>
      </w:r>
      <w:r w:rsidRPr="009761C1">
        <w:t>it is for the State party to demonstrate that the restrictions imposed were necessary in the case in question.</w:t>
      </w:r>
      <w:r w:rsidRPr="009761C1">
        <w:rPr>
          <w:rStyle w:val="FootnoteReference"/>
        </w:rPr>
        <w:footnoteReference w:id="14"/>
      </w:r>
    </w:p>
    <w:p w14:paraId="4FE96E62" w14:textId="77777777" w:rsidR="00E25EC9" w:rsidRPr="009761C1" w:rsidRDefault="00E25EC9" w:rsidP="002611EC">
      <w:pPr>
        <w:pStyle w:val="SingleTxtG"/>
      </w:pPr>
      <w:r w:rsidRPr="009761C1">
        <w:t>7.</w:t>
      </w:r>
      <w:r w:rsidR="00DC054E">
        <w:t>9</w:t>
      </w:r>
      <w:r>
        <w:tab/>
      </w:r>
      <w:r w:rsidRPr="009761C1">
        <w:t xml:space="preserve">In the circumstances </w:t>
      </w:r>
      <w:r>
        <w:t xml:space="preserve">of the </w:t>
      </w:r>
      <w:r w:rsidRPr="00E25EC9">
        <w:t>present</w:t>
      </w:r>
      <w:r>
        <w:t xml:space="preserve"> case, </w:t>
      </w:r>
      <w:r w:rsidRPr="009761C1">
        <w:t>and in the absence of any other pertinent information from the State party to justify the restriction for purposes of article 19</w:t>
      </w:r>
      <w:r w:rsidR="002611EC">
        <w:t xml:space="preserve"> (</w:t>
      </w:r>
      <w:r w:rsidRPr="009761C1">
        <w:t>3</w:t>
      </w:r>
      <w:r w:rsidR="002611EC">
        <w:t>)</w:t>
      </w:r>
      <w:r w:rsidRPr="009761C1">
        <w:t xml:space="preserve"> </w:t>
      </w:r>
      <w:r>
        <w:t xml:space="preserve">and the second sentence of article 21 of </w:t>
      </w:r>
      <w:r w:rsidRPr="009761C1">
        <w:t>the</w:t>
      </w:r>
      <w:r w:rsidR="00DC054E">
        <w:t xml:space="preserve"> Covenant, the</w:t>
      </w:r>
      <w:r w:rsidRPr="009761C1">
        <w:t xml:space="preserve"> Committee concludes that the author</w:t>
      </w:r>
      <w:r>
        <w:t>’</w:t>
      </w:r>
      <w:r w:rsidRPr="009761C1">
        <w:t>s rights under article 19</w:t>
      </w:r>
      <w:r w:rsidR="002611EC">
        <w:t xml:space="preserve"> (</w:t>
      </w:r>
      <w:r w:rsidRPr="009761C1">
        <w:t>2</w:t>
      </w:r>
      <w:r w:rsidR="002611EC">
        <w:t>)</w:t>
      </w:r>
      <w:r>
        <w:t xml:space="preserve"> and article 21 of the Covenant were violated.</w:t>
      </w:r>
      <w:r w:rsidRPr="009761C1">
        <w:t xml:space="preserve"> </w:t>
      </w:r>
    </w:p>
    <w:p w14:paraId="493C9698" w14:textId="77777777" w:rsidR="00E25EC9" w:rsidRPr="009B6358" w:rsidRDefault="00E25EC9" w:rsidP="00076B99">
      <w:pPr>
        <w:pStyle w:val="SingleTxtG"/>
      </w:pPr>
      <w:r>
        <w:lastRenderedPageBreak/>
        <w:t>8.</w:t>
      </w:r>
      <w:r>
        <w:tab/>
      </w:r>
      <w:r w:rsidRPr="009B6358">
        <w:t>The Human Rights Committee, acting under article 5</w:t>
      </w:r>
      <w:r w:rsidR="002611EC">
        <w:t xml:space="preserve"> (</w:t>
      </w:r>
      <w:r w:rsidRPr="009B6358">
        <w:t>4</w:t>
      </w:r>
      <w:r w:rsidR="002611EC">
        <w:t>)</w:t>
      </w:r>
      <w:r w:rsidRPr="009B6358">
        <w:t xml:space="preserve"> of the Optional Protocol to the International Covenant on Civil and Political Rights, is of the </w:t>
      </w:r>
      <w:r w:rsidRPr="00E25EC9">
        <w:t>view</w:t>
      </w:r>
      <w:r w:rsidRPr="009B6358">
        <w:t xml:space="preserve"> that the facts before it disclose a violation by Belarus of </w:t>
      </w:r>
      <w:r w:rsidR="00076B99">
        <w:t xml:space="preserve">Mr. Pugach’s rights under </w:t>
      </w:r>
      <w:r w:rsidRPr="009B6358">
        <w:t>article</w:t>
      </w:r>
      <w:r w:rsidR="00076B99">
        <w:t>s</w:t>
      </w:r>
      <w:r w:rsidRPr="009B6358">
        <w:t xml:space="preserve"> 19</w:t>
      </w:r>
      <w:r w:rsidR="00076B99">
        <w:t xml:space="preserve"> (</w:t>
      </w:r>
      <w:r w:rsidRPr="009B6358">
        <w:t>2</w:t>
      </w:r>
      <w:r w:rsidR="00076B99">
        <w:t>)</w:t>
      </w:r>
      <w:r>
        <w:t xml:space="preserve"> and 21 </w:t>
      </w:r>
      <w:r w:rsidRPr="009B6358">
        <w:t>of the Covenant</w:t>
      </w:r>
      <w:r>
        <w:t>.</w:t>
      </w:r>
    </w:p>
    <w:p w14:paraId="346A1BC3" w14:textId="77777777" w:rsidR="00E25EC9" w:rsidRPr="007B3302" w:rsidRDefault="00E25EC9" w:rsidP="00076B99">
      <w:pPr>
        <w:pStyle w:val="SingleTxtG"/>
      </w:pPr>
      <w:r>
        <w:t>9</w:t>
      </w:r>
      <w:r w:rsidRPr="007B3302">
        <w:t>.</w:t>
      </w:r>
      <w:r w:rsidRPr="007B3302">
        <w:tab/>
      </w:r>
      <w:r w:rsidRPr="00C00847">
        <w:t>In accordance with article 2</w:t>
      </w:r>
      <w:r w:rsidR="00076B99">
        <w:t xml:space="preserve"> (</w:t>
      </w:r>
      <w:r w:rsidRPr="00C00847">
        <w:t>3</w:t>
      </w:r>
      <w:r w:rsidR="00076B99">
        <w:t>)</w:t>
      </w:r>
      <w:r w:rsidRPr="00C00847">
        <w:t xml:space="preserve"> (a) of the Covenant, the State party is under </w:t>
      </w:r>
      <w:r w:rsidR="00076B99">
        <w:t>the</w:t>
      </w:r>
      <w:r w:rsidRPr="00C00847">
        <w:t xml:space="preserve"> obligation to provide the author with an effective remedy, including reimbursement of any legal costs incurr</w:t>
      </w:r>
      <w:r>
        <w:t>ed by the author</w:t>
      </w:r>
      <w:r w:rsidR="00076B99">
        <w:t xml:space="preserve"> </w:t>
      </w:r>
      <w:r w:rsidRPr="00C00847">
        <w:t xml:space="preserve">, together with </w:t>
      </w:r>
      <w:r w:rsidR="00C1634F">
        <w:t xml:space="preserve">adequate </w:t>
      </w:r>
      <w:r w:rsidRPr="00C00847">
        <w:t xml:space="preserve">compensation. </w:t>
      </w:r>
      <w:r w:rsidR="00F266A0" w:rsidRPr="008216A5">
        <w:t xml:space="preserve">The State party is also under </w:t>
      </w:r>
      <w:r w:rsidR="00076B99">
        <w:t>the</w:t>
      </w:r>
      <w:r w:rsidR="00F266A0" w:rsidRPr="008216A5">
        <w:t xml:space="preserve"> obligation to take steps to prevent si</w:t>
      </w:r>
      <w:r w:rsidR="00F266A0">
        <w:t xml:space="preserve">milar violations in the future. </w:t>
      </w:r>
      <w:r w:rsidR="00F266A0" w:rsidRPr="008216A5">
        <w:t>In th</w:t>
      </w:r>
      <w:r w:rsidR="00076B99">
        <w:t>at regard</w:t>
      </w:r>
      <w:r w:rsidR="00F266A0" w:rsidRPr="008216A5">
        <w:t xml:space="preserve">, the Committee reiterates that </w:t>
      </w:r>
      <w:r w:rsidR="00F266A0">
        <w:t xml:space="preserve">the </w:t>
      </w:r>
      <w:r w:rsidR="00F266A0" w:rsidRPr="008216A5">
        <w:t xml:space="preserve">State party should review its legislation, in particular, the </w:t>
      </w:r>
      <w:r w:rsidR="00F266A0">
        <w:t>L</w:t>
      </w:r>
      <w:r w:rsidR="00F266A0" w:rsidRPr="008216A5">
        <w:t xml:space="preserve">aw </w:t>
      </w:r>
      <w:r w:rsidR="00F266A0">
        <w:t>o</w:t>
      </w:r>
      <w:r w:rsidR="00F266A0" w:rsidRPr="008216A5">
        <w:t>n Mass Events</w:t>
      </w:r>
      <w:r w:rsidR="00F266A0">
        <w:t xml:space="preserve"> of 30 December 1997</w:t>
      </w:r>
      <w:r w:rsidR="00F266A0" w:rsidRPr="008216A5">
        <w:t>, as it has been applied in the present case, with a view to ensuring that the right</w:t>
      </w:r>
      <w:r w:rsidR="00F266A0">
        <w:t>s</w:t>
      </w:r>
      <w:r w:rsidR="00F266A0" w:rsidRPr="008216A5">
        <w:t xml:space="preserve"> under article</w:t>
      </w:r>
      <w:r w:rsidR="00F266A0">
        <w:t xml:space="preserve">s 19 and 21 </w:t>
      </w:r>
      <w:r w:rsidR="00F266A0" w:rsidRPr="008216A5">
        <w:t>of the Covenant may be fully enjoyed in the State party.</w:t>
      </w:r>
      <w:r w:rsidR="00F266A0" w:rsidRPr="00416C28">
        <w:rPr>
          <w:rStyle w:val="FootnoteReference"/>
        </w:rPr>
        <w:footnoteReference w:id="15"/>
      </w:r>
    </w:p>
    <w:p w14:paraId="65B7D9CF" w14:textId="77777777" w:rsidR="000211EE" w:rsidRDefault="00E25EC9" w:rsidP="000211EE">
      <w:pPr>
        <w:pStyle w:val="SingleTxtG"/>
        <w:rPr>
          <w:u w:val="single"/>
        </w:rPr>
      </w:pPr>
      <w:r>
        <w:t>10</w:t>
      </w:r>
      <w:r w:rsidRPr="007B3302">
        <w:t>.</w:t>
      </w:r>
      <w:r w:rsidRPr="007B3302">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14:paraId="592BCF76" w14:textId="77777777" w:rsidR="000211EE" w:rsidRPr="000211EE" w:rsidRDefault="000211EE" w:rsidP="000211EE">
      <w:pPr>
        <w:pStyle w:val="SingleTxtG"/>
        <w:spacing w:before="240" w:after="0"/>
        <w:jc w:val="center"/>
        <w:rPr>
          <w:u w:val="single"/>
        </w:rPr>
      </w:pPr>
      <w:r>
        <w:rPr>
          <w:u w:val="single"/>
        </w:rPr>
        <w:tab/>
      </w:r>
      <w:r>
        <w:rPr>
          <w:u w:val="single"/>
        </w:rPr>
        <w:tab/>
      </w:r>
      <w:r>
        <w:rPr>
          <w:u w:val="single"/>
        </w:rPr>
        <w:tab/>
      </w:r>
    </w:p>
    <w:sectPr w:rsidR="000211EE" w:rsidRPr="000211EE" w:rsidSect="003A4A0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8-13T08:21:00Z" w:initials="Start">
    <w:p w14:paraId="4C083A02" w14:textId="77777777" w:rsidR="003A4A0D" w:rsidRDefault="003A4A0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NO&gt;&gt;N1517795E&lt;&lt;ODS JOB NO&gt;&gt;</w:t>
      </w:r>
    </w:p>
    <w:p w14:paraId="72A64560" w14:textId="77777777" w:rsidR="003A4A0D" w:rsidRDefault="003A4A0D">
      <w:pPr>
        <w:pStyle w:val="CommentText"/>
      </w:pPr>
      <w:r>
        <w:t>&lt;&lt;ODS DOC SYMBOL1&gt;&gt;CCPR/C/114/D/1984/2010&lt;&lt;ODS DOC SYMBOL1&gt;&gt;</w:t>
      </w:r>
    </w:p>
    <w:p w14:paraId="6FC06E3B" w14:textId="77777777" w:rsidR="003A4A0D" w:rsidRDefault="003A4A0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C06E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5E3A7" w14:textId="77777777" w:rsidR="006F7850" w:rsidRDefault="006F7850"/>
  </w:endnote>
  <w:endnote w:type="continuationSeparator" w:id="0">
    <w:p w14:paraId="1B8CA152" w14:textId="77777777" w:rsidR="006F7850" w:rsidRDefault="006F7850"/>
  </w:endnote>
  <w:endnote w:type="continuationNotice" w:id="1">
    <w:p w14:paraId="3FEE671C" w14:textId="77777777" w:rsidR="006F7850" w:rsidRDefault="006F7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5798" w14:textId="77777777" w:rsidR="00512547" w:rsidRPr="00512547" w:rsidRDefault="00512547" w:rsidP="00512547">
    <w:pPr>
      <w:pStyle w:val="Footer"/>
      <w:tabs>
        <w:tab w:val="right" w:pos="9638"/>
      </w:tabs>
    </w:pPr>
    <w:r w:rsidRPr="00512547">
      <w:rPr>
        <w:b/>
        <w:sz w:val="18"/>
      </w:rPr>
      <w:fldChar w:fldCharType="begin"/>
    </w:r>
    <w:r w:rsidRPr="00512547">
      <w:rPr>
        <w:b/>
        <w:sz w:val="18"/>
      </w:rPr>
      <w:instrText xml:space="preserve"> PAGE  \* MERGEFORMAT </w:instrText>
    </w:r>
    <w:r w:rsidRPr="00512547">
      <w:rPr>
        <w:b/>
        <w:sz w:val="18"/>
      </w:rPr>
      <w:fldChar w:fldCharType="separate"/>
    </w:r>
    <w:r w:rsidR="005054C7">
      <w:rPr>
        <w:b/>
        <w:noProof/>
        <w:sz w:val="18"/>
      </w:rPr>
      <w:t>2</w:t>
    </w:r>
    <w:r w:rsidRPr="0051254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29CB" w14:textId="77777777" w:rsidR="00512547" w:rsidRPr="00512547" w:rsidRDefault="00512547" w:rsidP="00512547">
    <w:pPr>
      <w:pStyle w:val="Footer"/>
      <w:tabs>
        <w:tab w:val="right" w:pos="9638"/>
      </w:tabs>
      <w:rPr>
        <w:b/>
        <w:sz w:val="18"/>
      </w:rPr>
    </w:pPr>
    <w:r>
      <w:tab/>
    </w:r>
    <w:r w:rsidRPr="00512547">
      <w:rPr>
        <w:b/>
        <w:sz w:val="18"/>
      </w:rPr>
      <w:fldChar w:fldCharType="begin"/>
    </w:r>
    <w:r w:rsidRPr="00512547">
      <w:rPr>
        <w:b/>
        <w:sz w:val="18"/>
      </w:rPr>
      <w:instrText xml:space="preserve"> PAGE  \* MERGEFORMAT </w:instrText>
    </w:r>
    <w:r w:rsidRPr="00512547">
      <w:rPr>
        <w:b/>
        <w:sz w:val="18"/>
      </w:rPr>
      <w:fldChar w:fldCharType="separate"/>
    </w:r>
    <w:r w:rsidR="005054C7">
      <w:rPr>
        <w:b/>
        <w:noProof/>
        <w:sz w:val="18"/>
      </w:rPr>
      <w:t>3</w:t>
    </w:r>
    <w:r w:rsidRPr="0051254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A4A0D" w14:paraId="3480D6C7" w14:textId="77777777" w:rsidTr="003A4A0D">
      <w:tc>
        <w:tcPr>
          <w:tcW w:w="3614" w:type="dxa"/>
          <w:shd w:val="clear" w:color="auto" w:fill="auto"/>
        </w:tcPr>
        <w:p w14:paraId="21FE6C19" w14:textId="77777777" w:rsidR="003A4A0D" w:rsidRDefault="003A4A0D" w:rsidP="003A4A0D">
          <w:pPr>
            <w:pStyle w:val="Footer"/>
            <w:rPr>
              <w:sz w:val="20"/>
            </w:rPr>
          </w:pPr>
          <w:r>
            <w:rPr>
              <w:noProof/>
              <w:sz w:val="20"/>
              <w:lang w:val="en-US"/>
            </w:rPr>
            <w:drawing>
              <wp:anchor distT="0" distB="0" distL="114300" distR="114300" simplePos="0" relativeHeight="251658240" behindDoc="0" locked="0" layoutInCell="1" allowOverlap="1" wp14:anchorId="2E732F52" wp14:editId="13EB1A29">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1984/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1984/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GE.15-13573(E)</w:t>
          </w:r>
        </w:p>
        <w:p w14:paraId="3885CDA7" w14:textId="77777777" w:rsidR="003A4A0D" w:rsidRPr="003A4A0D" w:rsidRDefault="003A4A0D" w:rsidP="003A4A0D">
          <w:pPr>
            <w:pStyle w:val="Footer"/>
            <w:rPr>
              <w:rFonts w:ascii="Barcode 3 of 9 by request" w:hAnsi="Barcode 3 of 9 by request"/>
              <w:sz w:val="24"/>
            </w:rPr>
          </w:pPr>
          <w:r>
            <w:rPr>
              <w:rFonts w:ascii="Barcode 3 of 9 by request" w:hAnsi="Barcode 3 of 9 by request"/>
              <w:sz w:val="24"/>
            </w:rPr>
            <w:t>*1513573*</w:t>
          </w:r>
        </w:p>
      </w:tc>
      <w:tc>
        <w:tcPr>
          <w:tcW w:w="4752" w:type="dxa"/>
          <w:shd w:val="clear" w:color="auto" w:fill="auto"/>
        </w:tcPr>
        <w:p w14:paraId="002F5FF4" w14:textId="77777777" w:rsidR="003A4A0D" w:rsidRDefault="003A4A0D" w:rsidP="003A4A0D">
          <w:pPr>
            <w:pStyle w:val="Footer"/>
            <w:spacing w:line="240" w:lineRule="atLeast"/>
            <w:jc w:val="right"/>
            <w:rPr>
              <w:sz w:val="20"/>
            </w:rPr>
          </w:pPr>
          <w:r>
            <w:rPr>
              <w:noProof/>
              <w:sz w:val="20"/>
              <w:lang w:val="en-US"/>
            </w:rPr>
            <w:drawing>
              <wp:inline distT="0" distB="0" distL="0" distR="0" wp14:anchorId="3D57414E" wp14:editId="57711FD5">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DBC608B" w14:textId="77777777" w:rsidR="003A4A0D" w:rsidRPr="003A4A0D" w:rsidRDefault="003A4A0D" w:rsidP="003A4A0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8D0F4" w14:textId="77777777" w:rsidR="006F7850" w:rsidRPr="000B175B" w:rsidRDefault="006F7850" w:rsidP="000B175B">
      <w:pPr>
        <w:tabs>
          <w:tab w:val="right" w:pos="2155"/>
        </w:tabs>
        <w:spacing w:after="80"/>
        <w:ind w:left="680"/>
        <w:rPr>
          <w:u w:val="single"/>
        </w:rPr>
      </w:pPr>
      <w:r>
        <w:rPr>
          <w:u w:val="single"/>
        </w:rPr>
        <w:tab/>
      </w:r>
    </w:p>
  </w:footnote>
  <w:footnote w:type="continuationSeparator" w:id="0">
    <w:p w14:paraId="4443FBAB" w14:textId="77777777" w:rsidR="006F7850" w:rsidRPr="00FC68B7" w:rsidRDefault="006F7850" w:rsidP="00FC68B7">
      <w:pPr>
        <w:tabs>
          <w:tab w:val="left" w:pos="2155"/>
        </w:tabs>
        <w:spacing w:after="80"/>
        <w:ind w:left="680"/>
        <w:rPr>
          <w:u w:val="single"/>
        </w:rPr>
      </w:pPr>
      <w:r>
        <w:rPr>
          <w:u w:val="single"/>
        </w:rPr>
        <w:tab/>
      </w:r>
    </w:p>
  </w:footnote>
  <w:footnote w:type="continuationNotice" w:id="1">
    <w:p w14:paraId="3E54C595" w14:textId="77777777" w:rsidR="006F7850" w:rsidRDefault="006F7850"/>
  </w:footnote>
  <w:footnote w:id="2">
    <w:p w14:paraId="29DF07B2" w14:textId="77777777" w:rsidR="00E477E2" w:rsidRPr="00E477E2" w:rsidRDefault="00E477E2" w:rsidP="00E46CD8">
      <w:pPr>
        <w:pStyle w:val="FootnoteText"/>
      </w:pPr>
      <w:r>
        <w:rPr>
          <w:rStyle w:val="FootnoteReference"/>
        </w:rPr>
        <w:tab/>
      </w:r>
      <w:r w:rsidRPr="00A04011">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Pr>
          <w:szCs w:val="18"/>
        </w:rPr>
        <w:t>Yadh Ben Achour,</w:t>
      </w:r>
      <w:r w:rsidR="00193D38">
        <w:rPr>
          <w:bCs/>
          <w:szCs w:val="18"/>
        </w:rPr>
        <w:t xml:space="preserve"> </w:t>
      </w:r>
      <w:r w:rsidRPr="009131F3">
        <w:rPr>
          <w:bCs/>
          <w:szCs w:val="18"/>
        </w:rPr>
        <w:t xml:space="preserve">Lazhari Bouzid, </w:t>
      </w:r>
      <w:r>
        <w:rPr>
          <w:bCs/>
          <w:szCs w:val="18"/>
        </w:rPr>
        <w:t xml:space="preserve">Sarah Cleveland, Olivier de Frouville, </w:t>
      </w:r>
      <w:r w:rsidRPr="0004778D">
        <w:rPr>
          <w:bCs/>
          <w:szCs w:val="18"/>
        </w:rPr>
        <w:t>Ahmed Amin Fathalla,</w:t>
      </w:r>
      <w:r w:rsidRPr="009131F3">
        <w:rPr>
          <w:bCs/>
          <w:szCs w:val="18"/>
        </w:rPr>
        <w:t xml:space="preserve">Yuji Iwasawa, </w:t>
      </w:r>
      <w:r>
        <w:rPr>
          <w:bCs/>
          <w:szCs w:val="18"/>
        </w:rPr>
        <w:t>Ivana Jeli</w:t>
      </w:r>
      <w:r w:rsidR="00E46CD8">
        <w:rPr>
          <w:bCs/>
          <w:szCs w:val="18"/>
        </w:rPr>
        <w:t>ć</w:t>
      </w:r>
      <w:r>
        <w:rPr>
          <w:bCs/>
          <w:szCs w:val="18"/>
        </w:rPr>
        <w:t>, Duncan Muhumuza Laki, Photini Pazartzis, Mauro Politi, Sir Nigel Rodley, Victor Manuel Rodríguez-Rescia,</w:t>
      </w:r>
      <w:r w:rsidR="00193D38">
        <w:rPr>
          <w:bCs/>
          <w:szCs w:val="18"/>
          <w:lang w:val="en-US"/>
        </w:rPr>
        <w:t xml:space="preserve"> </w:t>
      </w:r>
      <w:r w:rsidRPr="009131F3">
        <w:rPr>
          <w:bCs/>
          <w:szCs w:val="18"/>
          <w:lang w:val="en-US"/>
        </w:rPr>
        <w:t>Fabi</w:t>
      </w:r>
      <w:r w:rsidR="00E46CD8">
        <w:rPr>
          <w:bCs/>
          <w:szCs w:val="18"/>
          <w:lang w:val="en-US"/>
        </w:rPr>
        <w:t>á</w:t>
      </w:r>
      <w:r w:rsidRPr="009131F3">
        <w:rPr>
          <w:bCs/>
          <w:szCs w:val="18"/>
          <w:lang w:val="en-US"/>
        </w:rPr>
        <w:t xml:space="preserve">n Omar Salvioli, </w:t>
      </w:r>
      <w:r>
        <w:rPr>
          <w:bCs/>
          <w:szCs w:val="18"/>
          <w:lang w:val="en-US"/>
        </w:rPr>
        <w:t>Dheerujlall Seetulsingh, Anja Seibert-Fohr, Yuval Shany, Konstantine Vardzelashvili</w:t>
      </w:r>
      <w:r w:rsidR="00193D38">
        <w:rPr>
          <w:bCs/>
          <w:szCs w:val="18"/>
        </w:rPr>
        <w:t xml:space="preserve"> </w:t>
      </w:r>
      <w:r>
        <w:rPr>
          <w:bCs/>
          <w:szCs w:val="18"/>
        </w:rPr>
        <w:t>and Margo Waterval</w:t>
      </w:r>
      <w:r w:rsidRPr="009131F3">
        <w:rPr>
          <w:bCs/>
          <w:szCs w:val="18"/>
        </w:rPr>
        <w:t>.</w:t>
      </w:r>
    </w:p>
  </w:footnote>
  <w:footnote w:id="3">
    <w:p w14:paraId="6C36FEEB" w14:textId="77777777" w:rsidR="00E9372B" w:rsidRPr="00E9372B" w:rsidRDefault="007F19B0" w:rsidP="00416C28">
      <w:pPr>
        <w:pStyle w:val="FootnoteText"/>
      </w:pPr>
      <w:r>
        <w:tab/>
      </w:r>
      <w:r w:rsidR="00E9372B">
        <w:rPr>
          <w:rStyle w:val="FootnoteReference"/>
        </w:rPr>
        <w:footnoteRef/>
      </w:r>
      <w:r>
        <w:tab/>
      </w:r>
      <w:r w:rsidR="00E9372B" w:rsidRPr="00AE65AB">
        <w:t>The Optional Protocol entered into force for the State party on 30 December 1992.</w:t>
      </w:r>
      <w:r w:rsidR="00E9372B" w:rsidRPr="00822BA7">
        <w:t xml:space="preserve"> </w:t>
      </w:r>
    </w:p>
  </w:footnote>
  <w:footnote w:id="4">
    <w:p w14:paraId="14DE739C" w14:textId="77777777" w:rsidR="00E25EC9" w:rsidRPr="002D7094" w:rsidRDefault="00E25EC9" w:rsidP="00E25EC9">
      <w:pPr>
        <w:pStyle w:val="FootnoteText"/>
        <w:rPr>
          <w:highlight w:val="yellow"/>
        </w:rPr>
      </w:pPr>
      <w:r>
        <w:tab/>
      </w:r>
      <w:r>
        <w:rPr>
          <w:rStyle w:val="FootnoteReference"/>
        </w:rPr>
        <w:footnoteRef/>
      </w:r>
      <w:r>
        <w:tab/>
      </w:r>
      <w:r w:rsidRPr="003E00B8">
        <w:t>S</w:t>
      </w:r>
      <w:r w:rsidRPr="00F824F7">
        <w:t xml:space="preserve">ee, inter alia, </w:t>
      </w:r>
      <w:r w:rsidRPr="00E25EC9">
        <w:t>communication</w:t>
      </w:r>
      <w:r w:rsidRPr="00F824F7">
        <w:t xml:space="preserve"> No. 869/1999, </w:t>
      </w:r>
      <w:r w:rsidRPr="002D7094">
        <w:rPr>
          <w:i/>
        </w:rPr>
        <w:t xml:space="preserve">Piandiong et al. </w:t>
      </w:r>
      <w:r w:rsidRPr="00A04011">
        <w:rPr>
          <w:i/>
        </w:rPr>
        <w:t>v.</w:t>
      </w:r>
      <w:r w:rsidRPr="002D7094">
        <w:rPr>
          <w:i/>
        </w:rPr>
        <w:t xml:space="preserve"> </w:t>
      </w:r>
      <w:r w:rsidR="005E5AA4">
        <w:rPr>
          <w:i/>
        </w:rPr>
        <w:t xml:space="preserve">the </w:t>
      </w:r>
      <w:r w:rsidRPr="002D7094">
        <w:rPr>
          <w:i/>
        </w:rPr>
        <w:t>Philippines</w:t>
      </w:r>
      <w:r w:rsidRPr="003E00B8">
        <w:t>, Views adopted on 19 October 2000, para. 5.1.</w:t>
      </w:r>
    </w:p>
  </w:footnote>
  <w:footnote w:id="5">
    <w:p w14:paraId="3505F36D" w14:textId="77777777" w:rsidR="00E25EC9" w:rsidRPr="002D7094" w:rsidRDefault="00E25EC9" w:rsidP="005E5AA4">
      <w:pPr>
        <w:pStyle w:val="FootnoteText"/>
        <w:rPr>
          <w:highlight w:val="yellow"/>
          <w:lang w:val="en-US"/>
        </w:rPr>
      </w:pPr>
      <w:r>
        <w:tab/>
      </w:r>
      <w:r w:rsidRPr="003E00B8">
        <w:rPr>
          <w:rStyle w:val="FootnoteReference"/>
        </w:rPr>
        <w:footnoteRef/>
      </w:r>
      <w:r>
        <w:tab/>
      </w:r>
      <w:r w:rsidRPr="00F824F7">
        <w:t xml:space="preserve">See also </w:t>
      </w:r>
      <w:r w:rsidRPr="00E25EC9">
        <w:t>communications</w:t>
      </w:r>
      <w:r>
        <w:t xml:space="preserve"> No. 1949/2010, </w:t>
      </w:r>
      <w:r w:rsidRPr="00A618AE">
        <w:rPr>
          <w:i/>
        </w:rPr>
        <w:t>Kozlov et al v. Belarus</w:t>
      </w:r>
      <w:r>
        <w:t>, Views adopted on 25 March 2015, paras 5.1 and 52</w:t>
      </w:r>
      <w:r w:rsidR="005E5AA4">
        <w:t>;</w:t>
      </w:r>
      <w:r>
        <w:t xml:space="preserve"> </w:t>
      </w:r>
      <w:r w:rsidRPr="003E00B8">
        <w:t xml:space="preserve">No. 1226/2003, </w:t>
      </w:r>
      <w:r w:rsidRPr="002D7094">
        <w:rPr>
          <w:i/>
        </w:rPr>
        <w:t xml:space="preserve">Korneenko </w:t>
      </w:r>
      <w:r w:rsidRPr="002D7094">
        <w:rPr>
          <w:iCs/>
        </w:rPr>
        <w:t>v.</w:t>
      </w:r>
      <w:r w:rsidRPr="002D7094">
        <w:rPr>
          <w:i/>
        </w:rPr>
        <w:t xml:space="preserve"> Belarus</w:t>
      </w:r>
      <w:r w:rsidRPr="003E00B8">
        <w:t xml:space="preserve">, Views adopted on 20 July 2012, paras. 8.1 and 8.2; </w:t>
      </w:r>
      <w:r>
        <w:t>and</w:t>
      </w:r>
      <w:r w:rsidRPr="00F824F7">
        <w:t xml:space="preserve"> </w:t>
      </w:r>
      <w:r w:rsidRPr="00822486">
        <w:t xml:space="preserve">No. 1948/2010, </w:t>
      </w:r>
      <w:r w:rsidRPr="002D7094">
        <w:rPr>
          <w:i/>
        </w:rPr>
        <w:t>Turchenyak et al</w:t>
      </w:r>
      <w:r>
        <w:rPr>
          <w:i/>
        </w:rPr>
        <w:t>.</w:t>
      </w:r>
      <w:r w:rsidRPr="002D7094">
        <w:rPr>
          <w:i/>
        </w:rPr>
        <w:t xml:space="preserve"> </w:t>
      </w:r>
      <w:r w:rsidRPr="002D7094">
        <w:rPr>
          <w:iCs/>
        </w:rPr>
        <w:t>v.</w:t>
      </w:r>
      <w:r w:rsidRPr="002D7094">
        <w:rPr>
          <w:i/>
        </w:rPr>
        <w:t xml:space="preserve"> Belarus</w:t>
      </w:r>
      <w:r w:rsidRPr="003E00B8">
        <w:t>, Views adopted on 24 July 2013, paras. 5.1. and 5.2.</w:t>
      </w:r>
    </w:p>
  </w:footnote>
  <w:footnote w:id="6">
    <w:p w14:paraId="40586893" w14:textId="77777777" w:rsidR="00860198" w:rsidRPr="0086457A" w:rsidRDefault="00860198" w:rsidP="0049495B">
      <w:pPr>
        <w:pStyle w:val="FootnoteText"/>
        <w:jc w:val="both"/>
      </w:pPr>
      <w:r w:rsidRPr="00A04011">
        <w:tab/>
      </w:r>
      <w:r>
        <w:rPr>
          <w:rStyle w:val="FootnoteReference"/>
        </w:rPr>
        <w:footnoteRef/>
      </w:r>
      <w:r w:rsidRPr="00A04011">
        <w:tab/>
        <w:t>Communication</w:t>
      </w:r>
      <w:r w:rsidR="005E5AA4">
        <w:t>s</w:t>
      </w:r>
      <w:r w:rsidRPr="00A04011">
        <w:t xml:space="preserve"> No. 836/1998, </w:t>
      </w:r>
      <w:r w:rsidRPr="00A04011">
        <w:rPr>
          <w:i/>
        </w:rPr>
        <w:t>Gelazauskas v. Lithuania</w:t>
      </w:r>
      <w:r w:rsidRPr="00A04011">
        <w:t xml:space="preserve">, </w:t>
      </w:r>
      <w:r w:rsidR="005E5AA4">
        <w:t xml:space="preserve">Views adopted on 17 March 2003, </w:t>
      </w:r>
      <w:r w:rsidRPr="00A04011">
        <w:t>para 7.4; No</w:t>
      </w:r>
      <w:r w:rsidR="005E5AA4">
        <w:t>.</w:t>
      </w:r>
      <w:r w:rsidRPr="00A04011">
        <w:t xml:space="preserve"> </w:t>
      </w:r>
      <w:r w:rsidRPr="00A04011">
        <w:rPr>
          <w:lang w:val="en-US"/>
        </w:rPr>
        <w:t xml:space="preserve">1851/2008, </w:t>
      </w:r>
      <w:r w:rsidR="000242BE" w:rsidRPr="00A04011">
        <w:rPr>
          <w:i/>
          <w:iCs/>
          <w:lang w:val="en-US"/>
        </w:rPr>
        <w:t>Sekerko v. Belaru</w:t>
      </w:r>
      <w:r w:rsidR="000242BE">
        <w:rPr>
          <w:i/>
          <w:iCs/>
          <w:lang w:val="en-US"/>
        </w:rPr>
        <w:t>s</w:t>
      </w:r>
      <w:r w:rsidR="000242BE" w:rsidRPr="00A04011">
        <w:rPr>
          <w:lang w:val="en-US"/>
        </w:rPr>
        <w:t>, Views adopted on</w:t>
      </w:r>
      <w:r w:rsidR="000242BE">
        <w:rPr>
          <w:lang w:val="en-US"/>
        </w:rPr>
        <w:t xml:space="preserve"> 28 October 2013, </w:t>
      </w:r>
      <w:r w:rsidRPr="00A04011">
        <w:rPr>
          <w:lang w:val="en-US"/>
        </w:rPr>
        <w:t xml:space="preserve">para 8.3; </w:t>
      </w:r>
      <w:r w:rsidR="000242BE">
        <w:rPr>
          <w:lang w:val="en-US"/>
        </w:rPr>
        <w:t xml:space="preserve">Nos. 119-1920/2009, </w:t>
      </w:r>
      <w:r w:rsidRPr="00A04011">
        <w:rPr>
          <w:i/>
          <w:lang w:val="en-US"/>
        </w:rPr>
        <w:t>Protsko and Tolchin v. Belarus</w:t>
      </w:r>
      <w:r w:rsidRPr="00A04011">
        <w:rPr>
          <w:lang w:val="en-US"/>
        </w:rPr>
        <w:t xml:space="preserve">, </w:t>
      </w:r>
      <w:r w:rsidR="000242BE">
        <w:rPr>
          <w:lang w:val="en-US"/>
        </w:rPr>
        <w:t xml:space="preserve">Views adopted on 1 November 2013, </w:t>
      </w:r>
      <w:r w:rsidRPr="00A04011">
        <w:rPr>
          <w:lang w:val="en-US"/>
        </w:rPr>
        <w:t xml:space="preserve">para. </w:t>
      </w:r>
      <w:r w:rsidRPr="00A04011">
        <w:t xml:space="preserve">6.5; No. 1784/2008, </w:t>
      </w:r>
      <w:r w:rsidRPr="00A04011">
        <w:rPr>
          <w:i/>
        </w:rPr>
        <w:t>Schumilin v. Belarus</w:t>
      </w:r>
      <w:r w:rsidRPr="00A04011">
        <w:t xml:space="preserve">, Views adopted on 23 July 2012, para. </w:t>
      </w:r>
      <w:r w:rsidRPr="00380E01">
        <w:t xml:space="preserve">8.3; No. 1814/2008, </w:t>
      </w:r>
      <w:r w:rsidRPr="0086457A">
        <w:rPr>
          <w:i/>
        </w:rPr>
        <w:t>P.L. v. Belarus</w:t>
      </w:r>
      <w:r w:rsidRPr="00380E01">
        <w:t>, decision of inadmissibility</w:t>
      </w:r>
      <w:r w:rsidR="000242BE">
        <w:t xml:space="preserve"> adopted on</w:t>
      </w:r>
      <w:r w:rsidRPr="00380E01">
        <w:t xml:space="preserve"> 26 July </w:t>
      </w:r>
      <w:r>
        <w:t>2011, para. 6.2</w:t>
      </w:r>
      <w:r w:rsidR="00193D38">
        <w:t>;</w:t>
      </w:r>
      <w:r w:rsidRPr="0086457A">
        <w:t xml:space="preserve"> No. 2021/2010, </w:t>
      </w:r>
      <w:r w:rsidRPr="0086457A">
        <w:rPr>
          <w:i/>
        </w:rPr>
        <w:t>E.Z. v. Kazakhstan</w:t>
      </w:r>
      <w:r w:rsidRPr="0086457A">
        <w:t xml:space="preserve">, </w:t>
      </w:r>
      <w:r w:rsidR="000242BE">
        <w:t xml:space="preserve">decision of </w:t>
      </w:r>
      <w:r w:rsidRPr="0086457A">
        <w:t>inadmissibility</w:t>
      </w:r>
      <w:r w:rsidR="000242BE">
        <w:t xml:space="preserve"> adopted on</w:t>
      </w:r>
      <w:r w:rsidRPr="0086457A">
        <w:t xml:space="preserve"> 1 April 2015, para</w:t>
      </w:r>
      <w:r w:rsidR="00193D38">
        <w:t>.</w:t>
      </w:r>
      <w:r w:rsidRPr="0086457A">
        <w:t xml:space="preserve"> 7.3. </w:t>
      </w:r>
    </w:p>
  </w:footnote>
  <w:footnote w:id="7">
    <w:p w14:paraId="1AB0B04A" w14:textId="77777777" w:rsidR="00E25EC9" w:rsidRPr="0008278D" w:rsidRDefault="00E25EC9" w:rsidP="00E25EC9">
      <w:pPr>
        <w:pStyle w:val="FootnoteText"/>
      </w:pPr>
      <w:r>
        <w:tab/>
      </w:r>
      <w:r w:rsidRPr="00574EB0">
        <w:rPr>
          <w:rStyle w:val="FootnoteReference"/>
        </w:rPr>
        <w:footnoteRef/>
      </w:r>
      <w:r>
        <w:tab/>
        <w:t>See, inter alia, c</w:t>
      </w:r>
      <w:r w:rsidRPr="00332D5C">
        <w:t>ommunication</w:t>
      </w:r>
      <w:r>
        <w:t xml:space="preserve"> No. 1992/2010, </w:t>
      </w:r>
      <w:r w:rsidRPr="00416C28">
        <w:rPr>
          <w:i/>
        </w:rPr>
        <w:t>Sudalenko</w:t>
      </w:r>
      <w:r w:rsidRPr="00193D38">
        <w:rPr>
          <w:i/>
        </w:rPr>
        <w:t xml:space="preserve"> </w:t>
      </w:r>
      <w:r w:rsidRPr="006B2CD3">
        <w:rPr>
          <w:i/>
        </w:rPr>
        <w:t>v. Belarus</w:t>
      </w:r>
      <w:r>
        <w:t>, Views adopted on 27 March 2015, para</w:t>
      </w:r>
      <w:r w:rsidR="00193D38">
        <w:t>.</w:t>
      </w:r>
      <w:r>
        <w:t xml:space="preserve"> 7.3</w:t>
      </w:r>
      <w:r w:rsidRPr="0008278D">
        <w:t xml:space="preserve">. </w:t>
      </w:r>
    </w:p>
  </w:footnote>
  <w:footnote w:id="8">
    <w:p w14:paraId="0767B50B" w14:textId="77777777" w:rsidR="00E25EC9" w:rsidRPr="002E0420" w:rsidRDefault="00E25EC9" w:rsidP="00FE48FC">
      <w:pPr>
        <w:pStyle w:val="FootnoteText"/>
      </w:pPr>
      <w:r>
        <w:tab/>
      </w:r>
      <w:r w:rsidRPr="00853700">
        <w:rPr>
          <w:rStyle w:val="FootnoteReference"/>
        </w:rPr>
        <w:footnoteRef/>
      </w:r>
      <w:r>
        <w:tab/>
      </w:r>
      <w:r w:rsidRPr="002E0420">
        <w:t>See the Committee’s general comment No. 34 (</w:t>
      </w:r>
      <w:r w:rsidRPr="00E25EC9">
        <w:t>2011</w:t>
      </w:r>
      <w:r w:rsidRPr="002E0420">
        <w:t>) on freedoms of opinion and expression, para. 2</w:t>
      </w:r>
      <w:r w:rsidR="00FE48FC">
        <w:t>.</w:t>
      </w:r>
      <w:r w:rsidRPr="002E0420">
        <w:t xml:space="preserve"> </w:t>
      </w:r>
    </w:p>
  </w:footnote>
  <w:footnote w:id="9">
    <w:p w14:paraId="30991647" w14:textId="77777777" w:rsidR="00E25EC9" w:rsidRPr="002E0420" w:rsidRDefault="00E25EC9" w:rsidP="00507D8A">
      <w:pPr>
        <w:pStyle w:val="FootnoteText"/>
      </w:pPr>
      <w:r>
        <w:tab/>
      </w:r>
      <w:r w:rsidRPr="00853700">
        <w:rPr>
          <w:rStyle w:val="FootnoteReference"/>
        </w:rPr>
        <w:footnoteRef/>
      </w:r>
      <w:r>
        <w:tab/>
      </w:r>
      <w:r w:rsidRPr="002E0420">
        <w:t xml:space="preserve">See </w:t>
      </w:r>
      <w:r w:rsidRPr="00E25EC9">
        <w:t>communication</w:t>
      </w:r>
      <w:r w:rsidRPr="002E0420">
        <w:t xml:space="preserve"> No. 1948/2010, </w:t>
      </w:r>
      <w:r w:rsidRPr="00E93352">
        <w:rPr>
          <w:i/>
        </w:rPr>
        <w:t>Turchenyak et al. v. Belarus</w:t>
      </w:r>
      <w:r w:rsidRPr="002E0420">
        <w:t xml:space="preserve"> </w:t>
      </w:r>
      <w:r w:rsidR="0043680D">
        <w:t>(see footnote 3)</w:t>
      </w:r>
      <w:r w:rsidRPr="002E0420">
        <w:t>, para. 7.4.</w:t>
      </w:r>
    </w:p>
  </w:footnote>
  <w:footnote w:id="10">
    <w:p w14:paraId="7BF86CDE" w14:textId="77777777" w:rsidR="00E25EC9" w:rsidRPr="002E0420" w:rsidRDefault="00E25EC9" w:rsidP="0049495B">
      <w:pPr>
        <w:pStyle w:val="FootnoteText"/>
      </w:pPr>
      <w:r>
        <w:tab/>
      </w:r>
      <w:r w:rsidRPr="00853700">
        <w:rPr>
          <w:rStyle w:val="FootnoteReference"/>
        </w:rPr>
        <w:footnoteRef/>
      </w:r>
      <w:r>
        <w:tab/>
      </w:r>
      <w:r w:rsidRPr="002E0420">
        <w:t>Committee’s general comment No. 34 (</w:t>
      </w:r>
      <w:r w:rsidR="0043680D">
        <w:t>see foot</w:t>
      </w:r>
      <w:r w:rsidR="00FE48FC">
        <w:t>note 6 above)</w:t>
      </w:r>
      <w:r w:rsidRPr="002E0420">
        <w:t>, para. 22</w:t>
      </w:r>
      <w:r w:rsidR="00FE48FC">
        <w:t>; s</w:t>
      </w:r>
      <w:r w:rsidRPr="002E0420">
        <w:t xml:space="preserve">ee also, for </w:t>
      </w:r>
      <w:r w:rsidRPr="00E25EC9">
        <w:t>example</w:t>
      </w:r>
      <w:r w:rsidRPr="002E0420">
        <w:t xml:space="preserve">, </w:t>
      </w:r>
      <w:r w:rsidRPr="00FA65E3">
        <w:rPr>
          <w:i/>
        </w:rPr>
        <w:t>Turchenyak et al. v. Belarus</w:t>
      </w:r>
      <w:r w:rsidR="00FE48FC">
        <w:t xml:space="preserve"> (</w:t>
      </w:r>
      <w:r w:rsidR="0043680D">
        <w:t>see foot</w:t>
      </w:r>
      <w:r w:rsidR="00FE48FC">
        <w:t xml:space="preserve">note </w:t>
      </w:r>
      <w:r w:rsidR="0049495B">
        <w:t>3</w:t>
      </w:r>
      <w:r w:rsidR="00FE48FC">
        <w:t xml:space="preserve"> above), </w:t>
      </w:r>
      <w:r w:rsidRPr="002E0420">
        <w:t>para. 7.7.</w:t>
      </w:r>
    </w:p>
  </w:footnote>
  <w:footnote w:id="11">
    <w:p w14:paraId="04758101" w14:textId="77777777" w:rsidR="00E25EC9" w:rsidRPr="00FA65E3" w:rsidRDefault="00E25EC9" w:rsidP="00E25EC9">
      <w:pPr>
        <w:pStyle w:val="FootnoteText"/>
      </w:pPr>
      <w:r>
        <w:tab/>
      </w:r>
      <w:r>
        <w:rPr>
          <w:rStyle w:val="FootnoteReference"/>
        </w:rPr>
        <w:footnoteRef/>
      </w:r>
      <w:r>
        <w:tab/>
        <w:t xml:space="preserve">See, for example, </w:t>
      </w:r>
      <w:r w:rsidRPr="00E25EC9">
        <w:t>communication</w:t>
      </w:r>
      <w:r>
        <w:t xml:space="preserve"> No. 1929/2010, </w:t>
      </w:r>
      <w:r w:rsidRPr="00FA65E3">
        <w:rPr>
          <w:i/>
        </w:rPr>
        <w:t>Lozenko v. Belarus</w:t>
      </w:r>
      <w:r>
        <w:t>, Views adopted on 24 October 2014, para</w:t>
      </w:r>
      <w:r w:rsidR="00193D38">
        <w:t>.</w:t>
      </w:r>
      <w:r>
        <w:t xml:space="preserve"> 7.6.</w:t>
      </w:r>
    </w:p>
  </w:footnote>
  <w:footnote w:id="12">
    <w:p w14:paraId="2AE2BCAF" w14:textId="77777777" w:rsidR="00C1634F" w:rsidRPr="00054DCF" w:rsidRDefault="00C1634F" w:rsidP="00507D8A">
      <w:pPr>
        <w:pStyle w:val="FootnoteText"/>
      </w:pPr>
      <w:r>
        <w:tab/>
      </w:r>
      <w:r>
        <w:rPr>
          <w:rStyle w:val="FootnoteReference"/>
        </w:rPr>
        <w:footnoteRef/>
      </w:r>
      <w:r>
        <w:tab/>
        <w:t xml:space="preserve">See, for </w:t>
      </w:r>
      <w:r w:rsidRPr="0000397C">
        <w:t>example</w:t>
      </w:r>
      <w:r>
        <w:t xml:space="preserve">, </w:t>
      </w:r>
      <w:r>
        <w:rPr>
          <w:i/>
        </w:rPr>
        <w:t>Turchenyak et al. v. Belarus</w:t>
      </w:r>
      <w:r w:rsidR="00FE48FC">
        <w:t xml:space="preserve"> (</w:t>
      </w:r>
      <w:r w:rsidR="0043680D">
        <w:t xml:space="preserve">see footnote </w:t>
      </w:r>
      <w:r w:rsidR="0049495B">
        <w:t>3</w:t>
      </w:r>
      <w:r w:rsidR="00FE48FC">
        <w:t xml:space="preserve"> above)</w:t>
      </w:r>
      <w:r>
        <w:t>, para. 7.</w:t>
      </w:r>
      <w:r w:rsidRPr="00054DCF">
        <w:t>4.</w:t>
      </w:r>
    </w:p>
  </w:footnote>
  <w:footnote w:id="13">
    <w:p w14:paraId="576D5DB0" w14:textId="77777777" w:rsidR="00E25EC9" w:rsidRPr="00E9372B" w:rsidRDefault="000211EE" w:rsidP="00FE48FC">
      <w:pPr>
        <w:pStyle w:val="FootnoteText"/>
      </w:pPr>
      <w:r>
        <w:tab/>
      </w:r>
      <w:r w:rsidR="00E25EC9" w:rsidRPr="00417C1F">
        <w:rPr>
          <w:rStyle w:val="FootnoteReference"/>
        </w:rPr>
        <w:footnoteRef/>
      </w:r>
      <w:r>
        <w:tab/>
      </w:r>
      <w:r w:rsidR="00FE48FC">
        <w:t>Ibid.</w:t>
      </w:r>
      <w:r w:rsidR="00E25EC9" w:rsidRPr="00AE65AB">
        <w:t xml:space="preserve">, para. </w:t>
      </w:r>
      <w:r w:rsidR="00E25EC9" w:rsidRPr="00E9372B">
        <w:t>7.8.</w:t>
      </w:r>
    </w:p>
  </w:footnote>
  <w:footnote w:id="14">
    <w:p w14:paraId="19B01A28" w14:textId="77777777" w:rsidR="00E25EC9" w:rsidRPr="00E9372B" w:rsidRDefault="000211EE" w:rsidP="00E25EC9">
      <w:pPr>
        <w:pStyle w:val="FootnoteText"/>
      </w:pPr>
      <w:r w:rsidRPr="00E9372B">
        <w:tab/>
      </w:r>
      <w:r w:rsidR="00E25EC9" w:rsidRPr="00B27E31">
        <w:rPr>
          <w:rStyle w:val="FootnoteReference"/>
        </w:rPr>
        <w:footnoteRef/>
      </w:r>
      <w:r w:rsidRPr="00E9372B">
        <w:tab/>
      </w:r>
      <w:r w:rsidR="00E25EC9" w:rsidRPr="00E9372B">
        <w:t>Ibid.</w:t>
      </w:r>
    </w:p>
  </w:footnote>
  <w:footnote w:id="15">
    <w:p w14:paraId="13E8359E" w14:textId="77777777" w:rsidR="00F266A0" w:rsidRDefault="00F266A0">
      <w:pPr>
        <w:pStyle w:val="FootnoteText"/>
      </w:pPr>
      <w:r>
        <w:tab/>
      </w:r>
      <w:r>
        <w:rPr>
          <w:rStyle w:val="FootnoteReference"/>
        </w:rPr>
        <w:footnoteRef/>
      </w:r>
      <w:r>
        <w:tab/>
        <w:t>See, for example</w:t>
      </w:r>
      <w:r w:rsidRPr="00624677">
        <w:t xml:space="preserve">, </w:t>
      </w:r>
      <w:r w:rsidRPr="00027A45">
        <w:rPr>
          <w:i/>
        </w:rPr>
        <w:t>Sekerko v. Belarus</w:t>
      </w:r>
      <w:r w:rsidR="00FE48FC">
        <w:t xml:space="preserve"> (</w:t>
      </w:r>
      <w:r w:rsidR="0043680D">
        <w:t>see foot</w:t>
      </w:r>
      <w:r w:rsidR="00FE48FC">
        <w:t>note 4 above)</w:t>
      </w:r>
      <w:r>
        <w:t xml:space="preserve">, para. 11; </w:t>
      </w:r>
      <w:r w:rsidRPr="009D04AC">
        <w:rPr>
          <w:i/>
        </w:rPr>
        <w:t xml:space="preserve">Turchenyak </w:t>
      </w:r>
      <w:r w:rsidR="0049495B">
        <w:rPr>
          <w:i/>
        </w:rPr>
        <w:t>et al</w:t>
      </w:r>
      <w:r w:rsidR="0049495B" w:rsidRPr="0049495B">
        <w:rPr>
          <w:i/>
        </w:rPr>
        <w:t>.</w:t>
      </w:r>
      <w:r w:rsidRPr="0049495B">
        <w:rPr>
          <w:i/>
        </w:rPr>
        <w:t xml:space="preserve"> </w:t>
      </w:r>
      <w:r w:rsidRPr="00A04011">
        <w:rPr>
          <w:i/>
        </w:rPr>
        <w:t>v.</w:t>
      </w:r>
      <w:r w:rsidRPr="009D04AC">
        <w:rPr>
          <w:i/>
        </w:rPr>
        <w:t xml:space="preserve"> Belarus</w:t>
      </w:r>
      <w:r w:rsidR="0049495B">
        <w:t xml:space="preserve"> (</w:t>
      </w:r>
      <w:r w:rsidR="0043680D">
        <w:t>see foot</w:t>
      </w:r>
      <w:r w:rsidR="0049495B">
        <w:t>note 3 above),</w:t>
      </w:r>
      <w:r>
        <w:t xml:space="preserve"> para.</w:t>
      </w:r>
      <w:r w:rsidR="0043680D">
        <w:t xml:space="preserve"> </w:t>
      </w:r>
      <w:r>
        <w:t xml:space="preserve">9; </w:t>
      </w:r>
      <w:r w:rsidR="0049495B">
        <w:t xml:space="preserve">communication </w:t>
      </w:r>
      <w:r>
        <w:t>No.</w:t>
      </w:r>
      <w:r w:rsidR="00193D38">
        <w:t xml:space="preserve"> </w:t>
      </w:r>
      <w:r>
        <w:t xml:space="preserve">1790/2008, </w:t>
      </w:r>
      <w:r w:rsidRPr="00624677">
        <w:rPr>
          <w:i/>
        </w:rPr>
        <w:t xml:space="preserve">Govsha, Syritsa and Mezyak </w:t>
      </w:r>
      <w:r w:rsidRPr="00A04011">
        <w:rPr>
          <w:i/>
          <w:iCs/>
        </w:rPr>
        <w:t>v.</w:t>
      </w:r>
      <w:r w:rsidRPr="00C15217">
        <w:t xml:space="preserve"> </w:t>
      </w:r>
      <w:r w:rsidRPr="00624677">
        <w:rPr>
          <w:i/>
        </w:rPr>
        <w:t>Belarus,</w:t>
      </w:r>
      <w:r>
        <w:t xml:space="preserve"> Views adopted on 27</w:t>
      </w:r>
      <w:r w:rsidR="00193D38">
        <w:t xml:space="preserve"> </w:t>
      </w:r>
      <w:r>
        <w:t>July 2012, para.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1E34" w14:textId="77777777" w:rsidR="00512547" w:rsidRPr="00512547" w:rsidRDefault="00512547">
    <w:pPr>
      <w:pStyle w:val="Header"/>
    </w:pPr>
    <w:r>
      <w:t>CCPR/C/114/D/19</w:t>
    </w:r>
    <w:r w:rsidR="00B44C9A">
      <w:t>84</w:t>
    </w:r>
    <w:r>
      <w:t>/2010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F04C" w14:textId="77777777" w:rsidR="00512547" w:rsidRPr="00512547" w:rsidRDefault="00512547" w:rsidP="00512547">
    <w:pPr>
      <w:pStyle w:val="Header"/>
      <w:jc w:val="right"/>
    </w:pPr>
    <w:r>
      <w:t>CCPR/C/114/D/19</w:t>
    </w:r>
    <w:r w:rsidR="00B44C9A">
      <w:t>84</w:t>
    </w:r>
    <w:r>
      <w:t>/2010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47"/>
    <w:rsid w:val="000211EE"/>
    <w:rsid w:val="000242BE"/>
    <w:rsid w:val="000272B3"/>
    <w:rsid w:val="00030BE2"/>
    <w:rsid w:val="00050F6B"/>
    <w:rsid w:val="00057E97"/>
    <w:rsid w:val="00060C3A"/>
    <w:rsid w:val="00066D30"/>
    <w:rsid w:val="00072C8C"/>
    <w:rsid w:val="000733B5"/>
    <w:rsid w:val="00076B99"/>
    <w:rsid w:val="00081815"/>
    <w:rsid w:val="000931C0"/>
    <w:rsid w:val="000B175B"/>
    <w:rsid w:val="000B3A0F"/>
    <w:rsid w:val="000B4EF7"/>
    <w:rsid w:val="000C2C03"/>
    <w:rsid w:val="000C2D2E"/>
    <w:rsid w:val="000E0415"/>
    <w:rsid w:val="000F0105"/>
    <w:rsid w:val="001077CC"/>
    <w:rsid w:val="001103AA"/>
    <w:rsid w:val="00165F3A"/>
    <w:rsid w:val="00183968"/>
    <w:rsid w:val="00193D38"/>
    <w:rsid w:val="001A5AB4"/>
    <w:rsid w:val="001A6686"/>
    <w:rsid w:val="001B4B04"/>
    <w:rsid w:val="001C6663"/>
    <w:rsid w:val="001C7895"/>
    <w:rsid w:val="001D0C8C"/>
    <w:rsid w:val="001D26DF"/>
    <w:rsid w:val="001D3A03"/>
    <w:rsid w:val="00202DA8"/>
    <w:rsid w:val="00205BA4"/>
    <w:rsid w:val="00211E0B"/>
    <w:rsid w:val="00227407"/>
    <w:rsid w:val="0023210C"/>
    <w:rsid w:val="002560CC"/>
    <w:rsid w:val="002611EC"/>
    <w:rsid w:val="00267F5F"/>
    <w:rsid w:val="00273708"/>
    <w:rsid w:val="00286B4D"/>
    <w:rsid w:val="002A245D"/>
    <w:rsid w:val="002C439F"/>
    <w:rsid w:val="002F175C"/>
    <w:rsid w:val="002F7ED9"/>
    <w:rsid w:val="003229D8"/>
    <w:rsid w:val="00352709"/>
    <w:rsid w:val="00367567"/>
    <w:rsid w:val="00371178"/>
    <w:rsid w:val="00371B24"/>
    <w:rsid w:val="0038336C"/>
    <w:rsid w:val="003934A0"/>
    <w:rsid w:val="003A4A0D"/>
    <w:rsid w:val="003A6810"/>
    <w:rsid w:val="003C2CC4"/>
    <w:rsid w:val="003D4B23"/>
    <w:rsid w:val="00410C89"/>
    <w:rsid w:val="00416C28"/>
    <w:rsid w:val="00426B9B"/>
    <w:rsid w:val="004325CB"/>
    <w:rsid w:val="0043680D"/>
    <w:rsid w:val="00436B33"/>
    <w:rsid w:val="00437DD6"/>
    <w:rsid w:val="00442A83"/>
    <w:rsid w:val="0045495B"/>
    <w:rsid w:val="00460256"/>
    <w:rsid w:val="004651CC"/>
    <w:rsid w:val="00466C58"/>
    <w:rsid w:val="00487488"/>
    <w:rsid w:val="0049495B"/>
    <w:rsid w:val="004C76A4"/>
    <w:rsid w:val="005054C7"/>
    <w:rsid w:val="00507D8A"/>
    <w:rsid w:val="00512547"/>
    <w:rsid w:val="0052136D"/>
    <w:rsid w:val="0052775E"/>
    <w:rsid w:val="005420F2"/>
    <w:rsid w:val="00552A68"/>
    <w:rsid w:val="005628B6"/>
    <w:rsid w:val="00572C66"/>
    <w:rsid w:val="005848B3"/>
    <w:rsid w:val="00590F87"/>
    <w:rsid w:val="00592C4A"/>
    <w:rsid w:val="00596154"/>
    <w:rsid w:val="005B3DB3"/>
    <w:rsid w:val="005D51B5"/>
    <w:rsid w:val="005E5AA4"/>
    <w:rsid w:val="005F7717"/>
    <w:rsid w:val="005F7B75"/>
    <w:rsid w:val="006001EE"/>
    <w:rsid w:val="00605042"/>
    <w:rsid w:val="00611FC4"/>
    <w:rsid w:val="006176FB"/>
    <w:rsid w:val="00640B26"/>
    <w:rsid w:val="00652D0A"/>
    <w:rsid w:val="00662BB6"/>
    <w:rsid w:val="00684C21"/>
    <w:rsid w:val="0068700D"/>
    <w:rsid w:val="006B3FB4"/>
    <w:rsid w:val="006D37AF"/>
    <w:rsid w:val="006D51D0"/>
    <w:rsid w:val="006E564B"/>
    <w:rsid w:val="006E7191"/>
    <w:rsid w:val="006F7850"/>
    <w:rsid w:val="00703577"/>
    <w:rsid w:val="0072632A"/>
    <w:rsid w:val="00730DB9"/>
    <w:rsid w:val="007327D5"/>
    <w:rsid w:val="00756C11"/>
    <w:rsid w:val="007629C8"/>
    <w:rsid w:val="007663B2"/>
    <w:rsid w:val="0077128E"/>
    <w:rsid w:val="007A13D0"/>
    <w:rsid w:val="007A2FE7"/>
    <w:rsid w:val="007B6BA5"/>
    <w:rsid w:val="007C3390"/>
    <w:rsid w:val="007C4F4B"/>
    <w:rsid w:val="007C784F"/>
    <w:rsid w:val="007E0B2D"/>
    <w:rsid w:val="007F19B0"/>
    <w:rsid w:val="007F6611"/>
    <w:rsid w:val="007F7E5A"/>
    <w:rsid w:val="008105B8"/>
    <w:rsid w:val="008242D7"/>
    <w:rsid w:val="0082501E"/>
    <w:rsid w:val="008257B1"/>
    <w:rsid w:val="00841326"/>
    <w:rsid w:val="00843767"/>
    <w:rsid w:val="0084717B"/>
    <w:rsid w:val="00860198"/>
    <w:rsid w:val="008679D9"/>
    <w:rsid w:val="00875DEC"/>
    <w:rsid w:val="008974AC"/>
    <w:rsid w:val="008979B1"/>
    <w:rsid w:val="008A1DB2"/>
    <w:rsid w:val="008A6B25"/>
    <w:rsid w:val="008A6C4F"/>
    <w:rsid w:val="008B2335"/>
    <w:rsid w:val="008B4200"/>
    <w:rsid w:val="008B61B0"/>
    <w:rsid w:val="008E0678"/>
    <w:rsid w:val="00910F40"/>
    <w:rsid w:val="00912C08"/>
    <w:rsid w:val="009223CA"/>
    <w:rsid w:val="00925276"/>
    <w:rsid w:val="00940F93"/>
    <w:rsid w:val="0095347F"/>
    <w:rsid w:val="0097136A"/>
    <w:rsid w:val="00971A6D"/>
    <w:rsid w:val="009760F3"/>
    <w:rsid w:val="009909F5"/>
    <w:rsid w:val="009A0E8D"/>
    <w:rsid w:val="009B26E7"/>
    <w:rsid w:val="009D5017"/>
    <w:rsid w:val="009D63BC"/>
    <w:rsid w:val="009F5E8C"/>
    <w:rsid w:val="00A00A3F"/>
    <w:rsid w:val="00A01489"/>
    <w:rsid w:val="00A04011"/>
    <w:rsid w:val="00A2642B"/>
    <w:rsid w:val="00A338F1"/>
    <w:rsid w:val="00A44615"/>
    <w:rsid w:val="00A72F22"/>
    <w:rsid w:val="00A7360F"/>
    <w:rsid w:val="00A748A6"/>
    <w:rsid w:val="00A769F4"/>
    <w:rsid w:val="00A776B4"/>
    <w:rsid w:val="00A94361"/>
    <w:rsid w:val="00AA293C"/>
    <w:rsid w:val="00AB11DA"/>
    <w:rsid w:val="00B018F4"/>
    <w:rsid w:val="00B13E9B"/>
    <w:rsid w:val="00B30179"/>
    <w:rsid w:val="00B339A7"/>
    <w:rsid w:val="00B42860"/>
    <w:rsid w:val="00B44C9A"/>
    <w:rsid w:val="00B54F79"/>
    <w:rsid w:val="00B56E4A"/>
    <w:rsid w:val="00B56E9C"/>
    <w:rsid w:val="00B64B1F"/>
    <w:rsid w:val="00B6553F"/>
    <w:rsid w:val="00B66E5E"/>
    <w:rsid w:val="00B77D05"/>
    <w:rsid w:val="00B81206"/>
    <w:rsid w:val="00B815FC"/>
    <w:rsid w:val="00B81E12"/>
    <w:rsid w:val="00B9067B"/>
    <w:rsid w:val="00BC2C23"/>
    <w:rsid w:val="00BC74E9"/>
    <w:rsid w:val="00BD4248"/>
    <w:rsid w:val="00BF2BC2"/>
    <w:rsid w:val="00BF68A8"/>
    <w:rsid w:val="00C0161B"/>
    <w:rsid w:val="00C11A03"/>
    <w:rsid w:val="00C1634F"/>
    <w:rsid w:val="00C463DD"/>
    <w:rsid w:val="00C4724C"/>
    <w:rsid w:val="00C629A0"/>
    <w:rsid w:val="00C745C3"/>
    <w:rsid w:val="00C91C0D"/>
    <w:rsid w:val="00CA1593"/>
    <w:rsid w:val="00CE4A8F"/>
    <w:rsid w:val="00D2031B"/>
    <w:rsid w:val="00D233F7"/>
    <w:rsid w:val="00D25FE2"/>
    <w:rsid w:val="00D43252"/>
    <w:rsid w:val="00D43C59"/>
    <w:rsid w:val="00D47EEA"/>
    <w:rsid w:val="00D721CC"/>
    <w:rsid w:val="00D87AE8"/>
    <w:rsid w:val="00D935F8"/>
    <w:rsid w:val="00D95303"/>
    <w:rsid w:val="00D978C6"/>
    <w:rsid w:val="00DA3111"/>
    <w:rsid w:val="00DA3C1C"/>
    <w:rsid w:val="00DB0C79"/>
    <w:rsid w:val="00DC054E"/>
    <w:rsid w:val="00DE69A3"/>
    <w:rsid w:val="00DE6CF7"/>
    <w:rsid w:val="00E22B3F"/>
    <w:rsid w:val="00E25EC9"/>
    <w:rsid w:val="00E27346"/>
    <w:rsid w:val="00E32133"/>
    <w:rsid w:val="00E46CD8"/>
    <w:rsid w:val="00E477E2"/>
    <w:rsid w:val="00E71BC8"/>
    <w:rsid w:val="00E7260F"/>
    <w:rsid w:val="00E779FC"/>
    <w:rsid w:val="00E856C4"/>
    <w:rsid w:val="00E9372B"/>
    <w:rsid w:val="00E96630"/>
    <w:rsid w:val="00EB2581"/>
    <w:rsid w:val="00ED7A2A"/>
    <w:rsid w:val="00EF1D7F"/>
    <w:rsid w:val="00EF77CF"/>
    <w:rsid w:val="00F020D7"/>
    <w:rsid w:val="00F20C3D"/>
    <w:rsid w:val="00F266A0"/>
    <w:rsid w:val="00F43E9E"/>
    <w:rsid w:val="00F44EDF"/>
    <w:rsid w:val="00F51EB7"/>
    <w:rsid w:val="00F5672B"/>
    <w:rsid w:val="00F60D91"/>
    <w:rsid w:val="00F665A8"/>
    <w:rsid w:val="00F86B75"/>
    <w:rsid w:val="00F9057C"/>
    <w:rsid w:val="00F906D7"/>
    <w:rsid w:val="00F93781"/>
    <w:rsid w:val="00F94A79"/>
    <w:rsid w:val="00FB613B"/>
    <w:rsid w:val="00FC68B7"/>
    <w:rsid w:val="00FE106A"/>
    <w:rsid w:val="00FE48FC"/>
    <w:rsid w:val="00FF0FAF"/>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B1F4A"/>
  <w15:docId w15:val="{87AE9CA1-C5BB-40A0-8B8D-969FD8BD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193D38"/>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193D38"/>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512547"/>
    <w:rPr>
      <w:rFonts w:eastAsiaTheme="minorHAnsi"/>
      <w:sz w:val="18"/>
      <w:lang w:eastAsia="en-US"/>
    </w:rPr>
  </w:style>
  <w:style w:type="character" w:customStyle="1" w:styleId="SingleTxtGChar">
    <w:name w:val="_ Single Txt_G Char"/>
    <w:link w:val="SingleTxtG"/>
    <w:rsid w:val="00512547"/>
    <w:rPr>
      <w:lang w:eastAsia="en-US"/>
    </w:rPr>
  </w:style>
  <w:style w:type="paragraph" w:styleId="BalloonText">
    <w:name w:val="Balloon Text"/>
    <w:basedOn w:val="Normal"/>
    <w:link w:val="BalloonTextChar"/>
    <w:rsid w:val="004651CC"/>
    <w:pPr>
      <w:spacing w:line="240" w:lineRule="auto"/>
    </w:pPr>
    <w:rPr>
      <w:rFonts w:ascii="Tahoma" w:hAnsi="Tahoma" w:cs="Tahoma"/>
      <w:sz w:val="16"/>
      <w:szCs w:val="16"/>
    </w:rPr>
  </w:style>
  <w:style w:type="character" w:customStyle="1" w:styleId="BalloonTextChar">
    <w:name w:val="Balloon Text Char"/>
    <w:link w:val="BalloonText"/>
    <w:rsid w:val="004651CC"/>
    <w:rPr>
      <w:rFonts w:ascii="Tahoma" w:hAnsi="Tahoma" w:cs="Tahoma"/>
      <w:sz w:val="16"/>
      <w:szCs w:val="16"/>
      <w:lang w:eastAsia="en-US"/>
    </w:rPr>
  </w:style>
  <w:style w:type="character" w:styleId="CommentReference">
    <w:name w:val="annotation reference"/>
    <w:basedOn w:val="DefaultParagraphFont"/>
    <w:rsid w:val="00D935F8"/>
    <w:rPr>
      <w:sz w:val="16"/>
      <w:szCs w:val="16"/>
    </w:rPr>
  </w:style>
  <w:style w:type="paragraph" w:styleId="CommentText">
    <w:name w:val="annotation text"/>
    <w:basedOn w:val="Normal"/>
    <w:link w:val="CommentTextChar"/>
    <w:rsid w:val="00D935F8"/>
    <w:pPr>
      <w:spacing w:line="240" w:lineRule="auto"/>
    </w:pPr>
  </w:style>
  <w:style w:type="character" w:customStyle="1" w:styleId="CommentTextChar">
    <w:name w:val="Comment Text Char"/>
    <w:basedOn w:val="DefaultParagraphFont"/>
    <w:link w:val="CommentText"/>
    <w:rsid w:val="00D935F8"/>
    <w:rPr>
      <w:lang w:eastAsia="en-US"/>
    </w:rPr>
  </w:style>
  <w:style w:type="paragraph" w:styleId="CommentSubject">
    <w:name w:val="annotation subject"/>
    <w:basedOn w:val="CommentText"/>
    <w:next w:val="CommentText"/>
    <w:link w:val="CommentSubjectChar"/>
    <w:rsid w:val="00D935F8"/>
    <w:rPr>
      <w:b/>
      <w:bCs/>
    </w:rPr>
  </w:style>
  <w:style w:type="character" w:customStyle="1" w:styleId="CommentSubjectChar">
    <w:name w:val="Comment Subject Char"/>
    <w:basedOn w:val="CommentTextChar"/>
    <w:link w:val="CommentSubject"/>
    <w:rsid w:val="00D935F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CD809-EEDB-48A9-90A9-4BDEF788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8</Pages>
  <Words>3303</Words>
  <Characters>18829</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2015-08-13T06:21:00Z</cp:lastPrinted>
  <dcterms:created xsi:type="dcterms:W3CDTF">2017-01-24T18:47:00Z</dcterms:created>
  <dcterms:modified xsi:type="dcterms:W3CDTF">2017-01-24T18:47:00Z</dcterms:modified>
</cp:coreProperties>
</file>