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3973D0" w:rsidP="00524542">
            <w:pPr>
              <w:jc w:val="right"/>
            </w:pPr>
            <w:r w:rsidRPr="003973D0">
              <w:rPr>
                <w:sz w:val="40"/>
              </w:rPr>
              <w:t>CCPR</w:t>
            </w:r>
            <w:r>
              <w:t>/C/111/D/1991/2010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80437F"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3973D0" w:rsidP="003973D0">
            <w:pPr>
              <w:spacing w:before="240" w:line="240" w:lineRule="exact"/>
            </w:pPr>
            <w:r>
              <w:t xml:space="preserve">Distr.: </w:t>
            </w:r>
            <w:r w:rsidR="00563FE5">
              <w:t>General</w:t>
            </w:r>
          </w:p>
          <w:p w:rsidR="003973D0" w:rsidRDefault="00E8317F" w:rsidP="004C4F4F">
            <w:pPr>
              <w:spacing w:line="240" w:lineRule="exact"/>
            </w:pPr>
            <w:r>
              <w:t>2</w:t>
            </w:r>
            <w:r w:rsidR="00555C1D">
              <w:t>9</w:t>
            </w:r>
            <w:r w:rsidR="00721591">
              <w:t xml:space="preserve"> August</w:t>
            </w:r>
            <w:r w:rsidR="003973D0">
              <w:t xml:space="preserve"> 2014</w:t>
            </w:r>
          </w:p>
          <w:p w:rsidR="003973D0" w:rsidRDefault="003973D0" w:rsidP="003973D0">
            <w:pPr>
              <w:spacing w:line="240" w:lineRule="exact"/>
            </w:pPr>
          </w:p>
          <w:p w:rsidR="003973D0" w:rsidRDefault="003973D0" w:rsidP="003973D0">
            <w:pPr>
              <w:spacing w:line="240" w:lineRule="exact"/>
            </w:pPr>
            <w:r>
              <w:t>Original: English</w:t>
            </w:r>
          </w:p>
        </w:tc>
      </w:tr>
    </w:tbl>
    <w:p w:rsidR="003973D0" w:rsidRPr="00977176" w:rsidRDefault="003973D0" w:rsidP="003973D0">
      <w:pPr>
        <w:spacing w:before="120"/>
        <w:rPr>
          <w:b/>
          <w:sz w:val="24"/>
          <w:szCs w:val="24"/>
          <w:lang w:val="en-US"/>
        </w:rPr>
      </w:pPr>
      <w:r w:rsidRPr="00977176">
        <w:rPr>
          <w:b/>
          <w:sz w:val="24"/>
          <w:szCs w:val="24"/>
          <w:lang w:val="en-US"/>
        </w:rPr>
        <w:t>Human Rights Committee</w:t>
      </w:r>
      <w:r w:rsidR="0080437F">
        <w:rPr>
          <w:noProof/>
        </w:rPr>
        <w:pict>
          <v:shape id="Picture 3" o:spid="_x0000_s1028" type="#_x0000_t75" alt="http://undocs.org/m2/QRCode.ashx?DS=CCPR/C/111/D/1991/2010?&amp;Size=2 &amp;Lang=E" style="position:absolute;margin-left:432.25pt;margin-top:632.1pt;width:50.25pt;height:50.25pt;z-index:1;visibility:visible;mso-position-horizontal-relative:margin;mso-position-vertical-relative:margin" o:allowoverlap="f">
            <v:imagedata r:id="rId8" o:title="2010?&amp;Size=2 &amp;Lang=E"/>
            <w10:wrap anchorx="margin" anchory="margin"/>
          </v:shape>
        </w:pict>
      </w:r>
    </w:p>
    <w:p w:rsidR="003973D0" w:rsidRPr="003973D0" w:rsidRDefault="003973D0" w:rsidP="003973D0">
      <w:pPr>
        <w:pStyle w:val="HChG"/>
      </w:pPr>
      <w:r w:rsidRPr="003973D0">
        <w:tab/>
      </w:r>
      <w:r w:rsidRPr="003973D0">
        <w:tab/>
        <w:t>Communication No. 1991/2010</w:t>
      </w:r>
    </w:p>
    <w:p w:rsidR="003973D0" w:rsidRPr="003973D0" w:rsidRDefault="003973D0" w:rsidP="003973D0">
      <w:pPr>
        <w:pStyle w:val="H1G"/>
      </w:pPr>
      <w:r w:rsidRPr="003973D0">
        <w:tab/>
      </w:r>
      <w:r w:rsidRPr="003973D0">
        <w:tab/>
      </w:r>
      <w:r w:rsidR="00563FE5" w:rsidRPr="00563FE5">
        <w:t>Views adopted by the Committee at its 111</w:t>
      </w:r>
      <w:r w:rsidR="00563FE5" w:rsidRPr="0062426E">
        <w:t>th</w:t>
      </w:r>
      <w:r w:rsidR="00563FE5" w:rsidRPr="00563FE5">
        <w:t xml:space="preserve"> session</w:t>
      </w:r>
      <w:r w:rsidR="00E8317F">
        <w:t xml:space="preserve"> </w:t>
      </w:r>
      <w:r w:rsidR="00563FE5" w:rsidRPr="00563FE5">
        <w:br/>
        <w:t>(7-25 July 2014)</w:t>
      </w:r>
    </w:p>
    <w:p w:rsidR="003973D0" w:rsidRPr="003973D0" w:rsidRDefault="003973D0" w:rsidP="003973D0">
      <w:pPr>
        <w:pStyle w:val="SingleTxtG"/>
        <w:ind w:left="4536" w:hanging="3402"/>
      </w:pPr>
      <w:r w:rsidRPr="003973D0">
        <w:rPr>
          <w:i/>
        </w:rPr>
        <w:t>Submitted by:</w:t>
      </w:r>
      <w:r w:rsidRPr="003973D0">
        <w:tab/>
        <w:t>Oleg Volchek (not represented by counsel)</w:t>
      </w:r>
    </w:p>
    <w:p w:rsidR="003973D0" w:rsidRPr="003973D0" w:rsidRDefault="003973D0" w:rsidP="003973D0">
      <w:pPr>
        <w:pStyle w:val="SingleTxtG"/>
        <w:ind w:left="4536" w:hanging="3402"/>
      </w:pPr>
      <w:r w:rsidRPr="003973D0">
        <w:rPr>
          <w:i/>
        </w:rPr>
        <w:t>Alleged victim:</w:t>
      </w:r>
      <w:r w:rsidRPr="003973D0">
        <w:tab/>
        <w:t>The author</w:t>
      </w:r>
    </w:p>
    <w:p w:rsidR="003973D0" w:rsidRPr="003973D0" w:rsidRDefault="003973D0" w:rsidP="003973D0">
      <w:pPr>
        <w:pStyle w:val="SingleTxtG"/>
        <w:ind w:left="4536" w:hanging="3402"/>
      </w:pPr>
      <w:r w:rsidRPr="003973D0">
        <w:rPr>
          <w:i/>
        </w:rPr>
        <w:t>State party:</w:t>
      </w:r>
      <w:r w:rsidRPr="003973D0">
        <w:tab/>
      </w:r>
      <w:smartTag w:uri="urn:schemas-microsoft-com:office:smarttags" w:element="country-region">
        <w:smartTag w:uri="urn:schemas-microsoft-com:office:smarttags" w:element="place">
          <w:r w:rsidRPr="003973D0">
            <w:t>Belarus</w:t>
          </w:r>
        </w:smartTag>
      </w:smartTag>
    </w:p>
    <w:p w:rsidR="003973D0" w:rsidRPr="003973D0" w:rsidRDefault="003973D0" w:rsidP="003973D0">
      <w:pPr>
        <w:pStyle w:val="SingleTxtG"/>
        <w:ind w:left="4536" w:hanging="3402"/>
      </w:pPr>
      <w:r w:rsidRPr="003973D0">
        <w:rPr>
          <w:i/>
        </w:rPr>
        <w:t>Date of communication:</w:t>
      </w:r>
      <w:r w:rsidRPr="003973D0">
        <w:tab/>
        <w:t>24 April 2007 (initial submission)</w:t>
      </w:r>
      <w:r w:rsidRPr="003973D0">
        <w:tab/>
      </w:r>
    </w:p>
    <w:p w:rsidR="003973D0" w:rsidRPr="003973D0" w:rsidRDefault="003973D0" w:rsidP="003973D0">
      <w:pPr>
        <w:pStyle w:val="SingleTxtG"/>
        <w:ind w:left="4536" w:hanging="3402"/>
      </w:pPr>
      <w:r w:rsidRPr="003973D0">
        <w:rPr>
          <w:i/>
        </w:rPr>
        <w:t>Document references:</w:t>
      </w:r>
      <w:r w:rsidRPr="003973D0">
        <w:tab/>
        <w:t>Special Rapporteur’s rule 97 decision, transmitted to the State party on 18 October 2010 (not issued in a document form)</w:t>
      </w:r>
    </w:p>
    <w:p w:rsidR="00B34FB2" w:rsidRDefault="003973D0" w:rsidP="004C4F4F">
      <w:pPr>
        <w:pStyle w:val="SingleTxtG"/>
        <w:ind w:left="4536" w:hanging="3402"/>
      </w:pPr>
      <w:r w:rsidRPr="003973D0">
        <w:rPr>
          <w:i/>
        </w:rPr>
        <w:t>Date of adoption of Views:</w:t>
      </w:r>
      <w:r w:rsidRPr="003973D0">
        <w:tab/>
      </w:r>
      <w:r w:rsidR="00563FE5">
        <w:t>24</w:t>
      </w:r>
      <w:r w:rsidR="00563FE5" w:rsidRPr="003973D0">
        <w:t xml:space="preserve"> </w:t>
      </w:r>
      <w:r w:rsidRPr="003973D0">
        <w:t>July 2014</w:t>
      </w:r>
    </w:p>
    <w:p w:rsidR="003973D0" w:rsidRPr="003973D0" w:rsidRDefault="003973D0" w:rsidP="0062426E">
      <w:pPr>
        <w:pStyle w:val="SingleTxtG"/>
        <w:jc w:val="left"/>
      </w:pPr>
      <w:r w:rsidRPr="003973D0">
        <w:rPr>
          <w:i/>
          <w:iCs/>
        </w:rPr>
        <w:t>Subject matter:</w:t>
      </w:r>
      <w:r w:rsidR="00B34FB2">
        <w:rPr>
          <w:i/>
          <w:iCs/>
        </w:rPr>
        <w:tab/>
      </w:r>
      <w:r w:rsidR="00B34FB2">
        <w:rPr>
          <w:i/>
          <w:iCs/>
        </w:rPr>
        <w:tab/>
      </w:r>
      <w:r w:rsidR="00B34FB2">
        <w:rPr>
          <w:i/>
          <w:iCs/>
        </w:rPr>
        <w:tab/>
      </w:r>
      <w:r w:rsidR="00B34FB2">
        <w:rPr>
          <w:i/>
          <w:iCs/>
        </w:rPr>
        <w:tab/>
      </w:r>
      <w:r w:rsidRPr="003973D0">
        <w:t>Right to freedom of expression</w:t>
      </w:r>
    </w:p>
    <w:p w:rsidR="003973D0" w:rsidRPr="003973D0" w:rsidRDefault="003973D0" w:rsidP="003973D0">
      <w:pPr>
        <w:pStyle w:val="SingleTxtG"/>
        <w:ind w:left="4536" w:hanging="3402"/>
      </w:pPr>
      <w:r w:rsidRPr="003973D0">
        <w:rPr>
          <w:i/>
          <w:iCs/>
        </w:rPr>
        <w:t xml:space="preserve">Substantive issues: </w:t>
      </w:r>
      <w:r w:rsidRPr="003973D0">
        <w:rPr>
          <w:i/>
          <w:iCs/>
        </w:rPr>
        <w:tab/>
      </w:r>
      <w:r w:rsidRPr="003973D0">
        <w:t>Right to freedom to seek, receive and impart information</w:t>
      </w:r>
    </w:p>
    <w:p w:rsidR="003973D0" w:rsidRPr="003973D0" w:rsidRDefault="003973D0" w:rsidP="003973D0">
      <w:pPr>
        <w:pStyle w:val="SingleTxtG"/>
        <w:ind w:left="4536" w:hanging="3402"/>
      </w:pPr>
      <w:r w:rsidRPr="003973D0">
        <w:rPr>
          <w:i/>
          <w:iCs/>
        </w:rPr>
        <w:t xml:space="preserve">Procedural issue: </w:t>
      </w:r>
      <w:r w:rsidRPr="003973D0">
        <w:rPr>
          <w:i/>
          <w:iCs/>
        </w:rPr>
        <w:tab/>
      </w:r>
      <w:r w:rsidRPr="003973D0">
        <w:rPr>
          <w:iCs/>
        </w:rPr>
        <w:t>Exhaustion of domestic remedies</w:t>
      </w:r>
    </w:p>
    <w:p w:rsidR="003973D0" w:rsidRPr="003973D0" w:rsidRDefault="003973D0" w:rsidP="003973D0">
      <w:pPr>
        <w:pStyle w:val="SingleTxtG"/>
        <w:ind w:left="4536" w:hanging="3402"/>
      </w:pPr>
      <w:r w:rsidRPr="003973D0">
        <w:rPr>
          <w:i/>
          <w:iCs/>
        </w:rPr>
        <w:t>Articles of the Covenant:</w:t>
      </w:r>
      <w:r w:rsidRPr="003973D0">
        <w:t xml:space="preserve"> </w:t>
      </w:r>
      <w:r w:rsidRPr="003973D0">
        <w:tab/>
        <w:t>14</w:t>
      </w:r>
      <w:r w:rsidR="00E8317F">
        <w:t xml:space="preserve"> and</w:t>
      </w:r>
      <w:r w:rsidRPr="003973D0">
        <w:t xml:space="preserve"> 19</w:t>
      </w:r>
    </w:p>
    <w:p w:rsidR="003973D0" w:rsidRPr="003973D0" w:rsidRDefault="003973D0" w:rsidP="003973D0">
      <w:pPr>
        <w:pStyle w:val="SingleTxtG"/>
        <w:ind w:left="4536" w:hanging="3402"/>
      </w:pPr>
      <w:r w:rsidRPr="003973D0">
        <w:rPr>
          <w:i/>
          <w:iCs/>
        </w:rPr>
        <w:t>Articles of the Optional Protocol:</w:t>
      </w:r>
      <w:r w:rsidR="00504CD0">
        <w:rPr>
          <w:i/>
          <w:iCs/>
        </w:rPr>
        <w:t xml:space="preserve"> </w:t>
      </w:r>
      <w:r>
        <w:rPr>
          <w:i/>
          <w:iCs/>
        </w:rPr>
        <w:tab/>
      </w:r>
      <w:r w:rsidRPr="003973D0">
        <w:rPr>
          <w:iCs/>
        </w:rPr>
        <w:t>2</w:t>
      </w:r>
      <w:r w:rsidR="00E8317F">
        <w:rPr>
          <w:iCs/>
        </w:rPr>
        <w:t xml:space="preserve"> and</w:t>
      </w:r>
      <w:r w:rsidRPr="003973D0">
        <w:rPr>
          <w:iCs/>
        </w:rPr>
        <w:t xml:space="preserve"> </w:t>
      </w:r>
      <w:r w:rsidRPr="003973D0">
        <w:t>5, paragraph 2 (b)</w:t>
      </w:r>
    </w:p>
    <w:p w:rsidR="003973D0" w:rsidRPr="003973D0" w:rsidRDefault="00026CC4" w:rsidP="003973D0">
      <w:pPr>
        <w:pStyle w:val="HChG"/>
      </w:pPr>
      <w:r w:rsidRPr="003973D0" w:rsidDel="00026CC4">
        <w:t xml:space="preserve">  </w:t>
      </w:r>
      <w:r w:rsidR="003973D0" w:rsidRPr="003973D0">
        <w:br w:type="page"/>
      </w:r>
      <w:r w:rsidR="003973D0" w:rsidRPr="003973D0">
        <w:lastRenderedPageBreak/>
        <w:t>Annex</w:t>
      </w:r>
    </w:p>
    <w:p w:rsidR="003973D0" w:rsidRPr="003973D0" w:rsidRDefault="003973D0" w:rsidP="003973D0">
      <w:pPr>
        <w:pStyle w:val="HChG"/>
        <w:rPr>
          <w:bCs/>
        </w:rPr>
      </w:pPr>
      <w:r w:rsidRPr="003973D0">
        <w:tab/>
      </w:r>
      <w:r w:rsidRPr="003973D0">
        <w:tab/>
        <w:t xml:space="preserve">Views of the Human Rights Committee under article 5, paragraph 4, of the Optional Protocol to the International Covenant on Civil and Political rights (111th </w:t>
      </w:r>
      <w:r w:rsidRPr="003973D0">
        <w:rPr>
          <w:bCs/>
        </w:rPr>
        <w:t>session)</w:t>
      </w:r>
    </w:p>
    <w:p w:rsidR="003973D0" w:rsidRPr="003973D0" w:rsidRDefault="003973D0" w:rsidP="003973D0">
      <w:pPr>
        <w:pStyle w:val="SingleTxtG"/>
        <w:rPr>
          <w:b/>
          <w:bCs/>
        </w:rPr>
      </w:pPr>
      <w:r w:rsidRPr="003973D0">
        <w:t>concerning</w:t>
      </w:r>
    </w:p>
    <w:p w:rsidR="003973D0" w:rsidRPr="003973D0" w:rsidRDefault="003973D0" w:rsidP="003973D0">
      <w:pPr>
        <w:pStyle w:val="H1G"/>
      </w:pPr>
      <w:r w:rsidRPr="003973D0">
        <w:tab/>
      </w:r>
      <w:r w:rsidRPr="003973D0">
        <w:tab/>
        <w:t>Communication No. 1991/2010</w:t>
      </w:r>
      <w:r w:rsidR="00563FE5" w:rsidRPr="0062426E">
        <w:rPr>
          <w:b w:val="0"/>
          <w:sz w:val="20"/>
        </w:rPr>
        <w:footnoteReference w:customMarkFollows="1" w:id="2"/>
        <w:t>*</w:t>
      </w:r>
    </w:p>
    <w:p w:rsidR="003973D0" w:rsidRPr="003973D0" w:rsidRDefault="003973D0" w:rsidP="003973D0">
      <w:pPr>
        <w:pStyle w:val="SingleTxtG"/>
        <w:ind w:left="4536" w:hanging="3402"/>
      </w:pPr>
      <w:r w:rsidRPr="003973D0">
        <w:rPr>
          <w:i/>
        </w:rPr>
        <w:t>Submitted by:</w:t>
      </w:r>
      <w:r w:rsidRPr="003973D0">
        <w:tab/>
        <w:t>Oleg Volchek (not represented by counsel)</w:t>
      </w:r>
    </w:p>
    <w:p w:rsidR="003973D0" w:rsidRPr="003973D0" w:rsidRDefault="003973D0" w:rsidP="003973D0">
      <w:pPr>
        <w:pStyle w:val="SingleTxtG"/>
        <w:ind w:left="4536" w:hanging="3402"/>
      </w:pPr>
      <w:r w:rsidRPr="003973D0">
        <w:rPr>
          <w:i/>
        </w:rPr>
        <w:t>Alleged victim:</w:t>
      </w:r>
      <w:r w:rsidRPr="003973D0">
        <w:tab/>
        <w:t>The author</w:t>
      </w:r>
    </w:p>
    <w:p w:rsidR="003973D0" w:rsidRPr="003973D0" w:rsidRDefault="003973D0" w:rsidP="003973D0">
      <w:pPr>
        <w:pStyle w:val="SingleTxtG"/>
        <w:ind w:left="4536" w:hanging="3402"/>
      </w:pPr>
      <w:r w:rsidRPr="003973D0">
        <w:rPr>
          <w:i/>
        </w:rPr>
        <w:t>State party:</w:t>
      </w:r>
      <w:r w:rsidRPr="003973D0">
        <w:tab/>
      </w:r>
      <w:smartTag w:uri="urn:schemas-microsoft-com:office:smarttags" w:element="country-region">
        <w:smartTag w:uri="urn:schemas-microsoft-com:office:smarttags" w:element="place">
          <w:r w:rsidRPr="003973D0">
            <w:t>Belarus</w:t>
          </w:r>
        </w:smartTag>
      </w:smartTag>
    </w:p>
    <w:p w:rsidR="003973D0" w:rsidRPr="003973D0" w:rsidRDefault="003973D0" w:rsidP="003973D0">
      <w:pPr>
        <w:pStyle w:val="SingleTxtG"/>
        <w:ind w:left="4536" w:hanging="3402"/>
      </w:pPr>
      <w:r w:rsidRPr="003973D0">
        <w:rPr>
          <w:i/>
        </w:rPr>
        <w:t>Date of communication:</w:t>
      </w:r>
      <w:r w:rsidRPr="003973D0">
        <w:tab/>
        <w:t>24 April 2007 (initial submission)</w:t>
      </w:r>
    </w:p>
    <w:p w:rsidR="003973D0" w:rsidRPr="003973D0" w:rsidRDefault="003973D0" w:rsidP="003973D0">
      <w:pPr>
        <w:pStyle w:val="SingleTxtG"/>
      </w:pPr>
      <w:r w:rsidRPr="003973D0">
        <w:tab/>
      </w:r>
      <w:r w:rsidRPr="003973D0">
        <w:rPr>
          <w:i/>
        </w:rPr>
        <w:t>The Human Rights Committee</w:t>
      </w:r>
      <w:r w:rsidRPr="003973D0">
        <w:t xml:space="preserve">, established under article 28 of the International Covenant on Civil and Political Rights, </w:t>
      </w:r>
    </w:p>
    <w:p w:rsidR="003973D0" w:rsidRPr="003973D0" w:rsidRDefault="003973D0" w:rsidP="003973D0">
      <w:pPr>
        <w:pStyle w:val="SingleTxtG"/>
      </w:pPr>
      <w:r w:rsidRPr="003973D0">
        <w:tab/>
      </w:r>
      <w:r w:rsidRPr="003973D0">
        <w:rPr>
          <w:i/>
        </w:rPr>
        <w:t>Meeting on</w:t>
      </w:r>
      <w:r w:rsidRPr="003973D0">
        <w:t xml:space="preserve"> </w:t>
      </w:r>
      <w:r w:rsidR="00563FE5">
        <w:t>24</w:t>
      </w:r>
      <w:r w:rsidR="00563FE5" w:rsidRPr="003973D0">
        <w:t xml:space="preserve"> </w:t>
      </w:r>
      <w:r w:rsidRPr="003973D0">
        <w:t>July 2014,</w:t>
      </w:r>
    </w:p>
    <w:p w:rsidR="003973D0" w:rsidRPr="003973D0" w:rsidRDefault="003973D0" w:rsidP="003973D0">
      <w:pPr>
        <w:pStyle w:val="SingleTxtG"/>
      </w:pPr>
      <w:r w:rsidRPr="003973D0">
        <w:tab/>
      </w:r>
      <w:r w:rsidRPr="003973D0">
        <w:rPr>
          <w:i/>
        </w:rPr>
        <w:t>Having concluded</w:t>
      </w:r>
      <w:r w:rsidRPr="003973D0">
        <w:t xml:space="preserve"> its consideration of communication No. 1991/2010, submitted to the Human Rights Committee by Oleg Volchek under the Optional Protocol to the International Covenant on Civil and Political Rights,</w:t>
      </w:r>
    </w:p>
    <w:p w:rsidR="003973D0" w:rsidRPr="003973D0" w:rsidRDefault="003973D0" w:rsidP="003973D0">
      <w:pPr>
        <w:pStyle w:val="SingleTxtG"/>
      </w:pPr>
      <w:r w:rsidRPr="003973D0">
        <w:tab/>
      </w:r>
      <w:r w:rsidRPr="003973D0">
        <w:rPr>
          <w:i/>
        </w:rPr>
        <w:t>Having taken into account</w:t>
      </w:r>
      <w:r w:rsidRPr="003973D0">
        <w:t xml:space="preserve"> all written information made available to it by the author of the communication and the State party,</w:t>
      </w:r>
    </w:p>
    <w:p w:rsidR="003973D0" w:rsidRPr="003973D0" w:rsidRDefault="003973D0" w:rsidP="003973D0">
      <w:pPr>
        <w:pStyle w:val="SingleTxtG"/>
      </w:pPr>
      <w:r w:rsidRPr="003973D0">
        <w:tab/>
      </w:r>
      <w:r w:rsidRPr="003973D0">
        <w:rPr>
          <w:i/>
        </w:rPr>
        <w:t xml:space="preserve">Adopts </w:t>
      </w:r>
      <w:r w:rsidRPr="0062426E">
        <w:t>the following</w:t>
      </w:r>
      <w:r w:rsidRPr="003973D0">
        <w:t>:</w:t>
      </w:r>
    </w:p>
    <w:p w:rsidR="003973D0" w:rsidRPr="003973D0" w:rsidRDefault="003973D0" w:rsidP="003973D0">
      <w:pPr>
        <w:pStyle w:val="H1G"/>
      </w:pPr>
      <w:r w:rsidRPr="003973D0">
        <w:tab/>
      </w:r>
      <w:r w:rsidRPr="003973D0">
        <w:tab/>
        <w:t>Views under article 5, paragraph 4, of the Optional Protocol</w:t>
      </w:r>
    </w:p>
    <w:p w:rsidR="003973D0" w:rsidRPr="003973D0" w:rsidRDefault="003973D0" w:rsidP="003973D0">
      <w:pPr>
        <w:pStyle w:val="SingleTxtG"/>
      </w:pPr>
      <w:r w:rsidRPr="003973D0">
        <w:t>1.</w:t>
      </w:r>
      <w:r w:rsidRPr="003973D0">
        <w:tab/>
        <w:t>The author of the communication is Oleg Volchek, a Belarusian national</w:t>
      </w:r>
      <w:r w:rsidR="00E8317F">
        <w:t>,</w:t>
      </w:r>
      <w:r w:rsidRPr="003973D0">
        <w:t xml:space="preserve"> born in 1967. He claims to be a victim of violations by </w:t>
      </w:r>
      <w:smartTag w:uri="urn:schemas-microsoft-com:office:smarttags" w:element="country-region">
        <w:smartTag w:uri="urn:schemas-microsoft-com:office:smarttags" w:element="place">
          <w:r w:rsidRPr="003973D0">
            <w:t>Belarus</w:t>
          </w:r>
        </w:smartTag>
      </w:smartTag>
      <w:r w:rsidRPr="003973D0">
        <w:t xml:space="preserve"> of his rights under article 14 and article 19 of the International Covenant on Civil and Political Rights. The Optional Protocol entered into force for </w:t>
      </w:r>
      <w:smartTag w:uri="urn:schemas-microsoft-com:office:smarttags" w:element="country-region">
        <w:smartTag w:uri="urn:schemas-microsoft-com:office:smarttags" w:element="place">
          <w:r w:rsidRPr="003973D0">
            <w:t>Belarus</w:t>
          </w:r>
        </w:smartTag>
      </w:smartTag>
      <w:r w:rsidRPr="003973D0">
        <w:t xml:space="preserve"> on 30 December 1992. The author is unrepresented. </w:t>
      </w:r>
    </w:p>
    <w:p w:rsidR="003973D0" w:rsidRPr="003973D0" w:rsidRDefault="003973D0" w:rsidP="003973D0">
      <w:pPr>
        <w:pStyle w:val="H23G"/>
      </w:pPr>
      <w:r w:rsidRPr="003973D0">
        <w:tab/>
      </w:r>
      <w:r w:rsidRPr="003973D0">
        <w:tab/>
        <w:t xml:space="preserve">The facts as </w:t>
      </w:r>
      <w:r w:rsidR="00E8317F">
        <w:t>submitted</w:t>
      </w:r>
      <w:r w:rsidRPr="003973D0">
        <w:t xml:space="preserve"> by the author</w:t>
      </w:r>
    </w:p>
    <w:p w:rsidR="003973D0" w:rsidRPr="003973D0" w:rsidRDefault="003973D0" w:rsidP="003973D0">
      <w:pPr>
        <w:pStyle w:val="SingleTxtG"/>
      </w:pPr>
      <w:r w:rsidRPr="003973D0">
        <w:t xml:space="preserve">2.1 </w:t>
      </w:r>
      <w:r w:rsidRPr="003973D0">
        <w:tab/>
        <w:t>The author submits that</w:t>
      </w:r>
      <w:r w:rsidR="00E8317F">
        <w:t>,</w:t>
      </w:r>
      <w:r w:rsidRPr="003973D0">
        <w:t xml:space="preserve"> on 20 August 2006, </w:t>
      </w:r>
      <w:r w:rsidR="00E8317F">
        <w:t xml:space="preserve">while </w:t>
      </w:r>
      <w:r w:rsidRPr="003973D0">
        <w:t>on his way to Poland in his private car, by customs officers</w:t>
      </w:r>
      <w:r w:rsidR="00E8317F">
        <w:t>;</w:t>
      </w:r>
      <w:r w:rsidRPr="003973D0">
        <w:t xml:space="preserve"> his car was searched and he was charged with violating article 193-9, paragraph 1, of the Code of Administrative Offences of Belarus</w:t>
      </w:r>
      <w:r w:rsidR="000026FA">
        <w:t xml:space="preserve"> </w:t>
      </w:r>
      <w:r w:rsidR="00B13CDB">
        <w:t>because he</w:t>
      </w:r>
      <w:r w:rsidRPr="003973D0">
        <w:t xml:space="preserve"> was </w:t>
      </w:r>
      <w:r w:rsidR="00B13CDB">
        <w:t xml:space="preserve">allegedly </w:t>
      </w:r>
      <w:r w:rsidRPr="003973D0">
        <w:t>transport</w:t>
      </w:r>
      <w:r w:rsidR="00E8317F">
        <w:t>ing</w:t>
      </w:r>
      <w:r w:rsidRPr="003973D0">
        <w:t xml:space="preserve"> forbidden books across the </w:t>
      </w:r>
      <w:r w:rsidR="00E8317F">
        <w:t>S</w:t>
      </w:r>
      <w:r w:rsidRPr="003973D0">
        <w:t>tate border.</w:t>
      </w:r>
    </w:p>
    <w:p w:rsidR="003973D0" w:rsidRPr="003973D0" w:rsidRDefault="003973D0" w:rsidP="004C4F4F">
      <w:pPr>
        <w:pStyle w:val="SingleTxtG"/>
      </w:pPr>
      <w:r w:rsidRPr="003973D0">
        <w:t>2.2</w:t>
      </w:r>
      <w:r w:rsidRPr="003973D0">
        <w:tab/>
        <w:t>The author submits that on 17 October 2006, the Oktyabrsky District Court convicted him for violatin</w:t>
      </w:r>
      <w:r w:rsidR="000026FA">
        <w:t>g</w:t>
      </w:r>
      <w:r w:rsidRPr="003973D0">
        <w:t xml:space="preserve"> the Code of Administrative Offences and sentenced him to pay </w:t>
      </w:r>
      <w:r w:rsidRPr="003973D0">
        <w:lastRenderedPageBreak/>
        <w:t xml:space="preserve">a fine </w:t>
      </w:r>
      <w:r w:rsidR="000026FA">
        <w:t>of</w:t>
      </w:r>
      <w:r w:rsidRPr="003973D0">
        <w:t xml:space="preserve"> 1,550,000.00 Belarusian roubles</w:t>
      </w:r>
      <w:r w:rsidR="00B34FB2">
        <w:t>.</w:t>
      </w:r>
      <w:r w:rsidRPr="003973D0">
        <w:rPr>
          <w:vertAlign w:val="superscript"/>
        </w:rPr>
        <w:footnoteReference w:id="3"/>
      </w:r>
      <w:r w:rsidRPr="003973D0">
        <w:t xml:space="preserve"> The court found that the author </w:t>
      </w:r>
      <w:r w:rsidR="000026FA">
        <w:t xml:space="preserve">had </w:t>
      </w:r>
      <w:r w:rsidRPr="003973D0">
        <w:t xml:space="preserve">violated provisions </w:t>
      </w:r>
      <w:r w:rsidR="000026FA">
        <w:t xml:space="preserve">of </w:t>
      </w:r>
      <w:r w:rsidRPr="003973D0">
        <w:t xml:space="preserve">the Belarus Customs Committee Regulation No. 7, dated 20 February 2002, and the Order of Council of Minister of the </w:t>
      </w:r>
      <w:smartTag w:uri="urn:schemas-microsoft-com:office:smarttags" w:element="PlaceType">
        <w:r w:rsidRPr="003973D0">
          <w:t>Republic</w:t>
        </w:r>
      </w:smartTag>
      <w:r w:rsidRPr="003973D0">
        <w:t xml:space="preserve"> of Belarus No. 218, dated 18 March 1997. In its decision, the court relied</w:t>
      </w:r>
      <w:r w:rsidR="00B13CDB">
        <w:t>, inter alia,</w:t>
      </w:r>
      <w:r w:rsidRPr="003973D0">
        <w:t xml:space="preserve"> on </w:t>
      </w:r>
      <w:r w:rsidR="000026FA">
        <w:t>a</w:t>
      </w:r>
      <w:r w:rsidRPr="003973D0">
        <w:t xml:space="preserve"> letter dated 21 September 2006, which the State Security Committee </w:t>
      </w:r>
      <w:r w:rsidR="000026FA">
        <w:t xml:space="preserve">had </w:t>
      </w:r>
      <w:r w:rsidRPr="003973D0">
        <w:t>sent to the State Customs Committee. In th</w:t>
      </w:r>
      <w:r w:rsidR="000026FA">
        <w:t>at</w:t>
      </w:r>
      <w:r w:rsidRPr="003973D0">
        <w:t xml:space="preserve"> letter, the State Security Committee provided its analysis of the two books seized from the author at the border, and confirmed that they were indeed “prohibited fr</w:t>
      </w:r>
      <w:r w:rsidR="000026FA">
        <w:t>om</w:t>
      </w:r>
      <w:r w:rsidRPr="003973D0">
        <w:t xml:space="preserve"> moving them across the </w:t>
      </w:r>
      <w:r w:rsidR="000026FA">
        <w:t>S</w:t>
      </w:r>
      <w:r w:rsidRPr="003973D0">
        <w:t>tate border”, and that they were subject to seizure and had to be destroyed.</w:t>
      </w:r>
    </w:p>
    <w:p w:rsidR="003973D0" w:rsidRPr="003973D0" w:rsidRDefault="003973D0" w:rsidP="00C8731A">
      <w:pPr>
        <w:pStyle w:val="SingleTxtG"/>
      </w:pPr>
      <w:r w:rsidRPr="003973D0">
        <w:t>2.3</w:t>
      </w:r>
      <w:r w:rsidRPr="003973D0">
        <w:tab/>
        <w:t xml:space="preserve">The author submits that the books in </w:t>
      </w:r>
      <w:r w:rsidR="00B13CDB">
        <w:t>his possession</w:t>
      </w:r>
      <w:r w:rsidRPr="003973D0">
        <w:t xml:space="preserve"> were</w:t>
      </w:r>
      <w:r w:rsidR="00B13CDB">
        <w:t>:</w:t>
      </w:r>
      <w:r w:rsidRPr="003973D0">
        <w:t xml:space="preserve"> one book </w:t>
      </w:r>
      <w:r w:rsidR="00B13CDB">
        <w:t>en</w:t>
      </w:r>
      <w:r w:rsidRPr="003973D0">
        <w:t>titled</w:t>
      </w:r>
      <w:r w:rsidR="00B13CDB">
        <w:t>,</w:t>
      </w:r>
      <w:r w:rsidRPr="003973D0">
        <w:t xml:space="preserve"> “The Chronicles of the Government’s Turpitude</w:t>
      </w:r>
      <w:r w:rsidR="00B13CDB">
        <w:t>:</w:t>
      </w:r>
      <w:r w:rsidRPr="003973D0">
        <w:t xml:space="preserve"> What really happened to General Yury Zakharenko, How and Why?”</w:t>
      </w:r>
      <w:r w:rsidR="00B34FB2">
        <w:t>;</w:t>
      </w:r>
      <w:r w:rsidRPr="003973D0">
        <w:t xml:space="preserve"> and three copies of a book </w:t>
      </w:r>
      <w:r w:rsidR="00B13CDB">
        <w:t>entitled,</w:t>
      </w:r>
      <w:r w:rsidRPr="003973D0">
        <w:t xml:space="preserve"> “The 2006 Presidential Election in Belarus</w:t>
      </w:r>
      <w:r w:rsidR="00B13CDB">
        <w:t>:</w:t>
      </w:r>
      <w:r w:rsidRPr="003973D0">
        <w:t xml:space="preserve"> Facts and Comments”. He claims that he is the author of one of the books and that the</w:t>
      </w:r>
      <w:r w:rsidR="008E65EC">
        <w:t>y</w:t>
      </w:r>
      <w:r w:rsidRPr="003973D0">
        <w:t xml:space="preserve"> were not prohibited </w:t>
      </w:r>
      <w:r w:rsidR="00B13CDB">
        <w:t>from</w:t>
      </w:r>
      <w:r w:rsidRPr="003973D0">
        <w:t xml:space="preserve"> be</w:t>
      </w:r>
      <w:r w:rsidR="00B13CDB">
        <w:t>ing</w:t>
      </w:r>
      <w:r w:rsidRPr="003973D0">
        <w:t xml:space="preserve"> moved across the border, </w:t>
      </w:r>
      <w:r w:rsidR="008E65EC">
        <w:t>nor</w:t>
      </w:r>
      <w:r w:rsidRPr="003973D0">
        <w:t xml:space="preserve"> did </w:t>
      </w:r>
      <w:r w:rsidR="008E65EC">
        <w:t>he</w:t>
      </w:r>
      <w:r w:rsidRPr="003973D0">
        <w:t xml:space="preserve">  have to declare them in </w:t>
      </w:r>
      <w:r w:rsidR="008E65EC">
        <w:t>the</w:t>
      </w:r>
      <w:r w:rsidRPr="003973D0">
        <w:t xml:space="preserve"> customs declaration</w:t>
      </w:r>
      <w:r w:rsidR="008E65EC">
        <w:t xml:space="preserve"> form</w:t>
      </w:r>
      <w:r w:rsidRPr="003973D0">
        <w:t xml:space="preserve">. </w:t>
      </w:r>
    </w:p>
    <w:p w:rsidR="003973D0" w:rsidRPr="003973D0" w:rsidRDefault="003973D0" w:rsidP="003973D0">
      <w:pPr>
        <w:pStyle w:val="SingleTxtG"/>
      </w:pPr>
      <w:r w:rsidRPr="003973D0">
        <w:t>2.4</w:t>
      </w:r>
      <w:r w:rsidRPr="003973D0">
        <w:tab/>
        <w:t xml:space="preserve">The author admits that he was in possession of the </w:t>
      </w:r>
      <w:r w:rsidR="008E65EC">
        <w:t>above-</w:t>
      </w:r>
      <w:r w:rsidRPr="003973D0">
        <w:t xml:space="preserve">mentioned </w:t>
      </w:r>
      <w:r w:rsidR="008E65EC">
        <w:t>books</w:t>
      </w:r>
      <w:r w:rsidRPr="003973D0">
        <w:t xml:space="preserve"> while he was leaving </w:t>
      </w:r>
      <w:smartTag w:uri="urn:schemas-microsoft-com:office:smarttags" w:element="country-region">
        <w:r w:rsidRPr="003973D0">
          <w:t>Belarus</w:t>
        </w:r>
      </w:smartTag>
      <w:r w:rsidRPr="003973D0">
        <w:t xml:space="preserve"> through a border checkpoint with </w:t>
      </w:r>
      <w:smartTag w:uri="urn:schemas-microsoft-com:office:smarttags" w:element="country-region">
        <w:smartTag w:uri="urn:schemas-microsoft-com:office:smarttags" w:element="place">
          <w:r w:rsidRPr="003973D0">
            <w:t>Poland</w:t>
          </w:r>
        </w:smartTag>
      </w:smartTag>
      <w:r w:rsidRPr="003973D0">
        <w:t>. He submits that</w:t>
      </w:r>
      <w:r w:rsidR="008E65EC">
        <w:t>,</w:t>
      </w:r>
      <w:r w:rsidRPr="003973D0">
        <w:t xml:space="preserve"> when he was filing </w:t>
      </w:r>
      <w:r w:rsidR="008E65EC">
        <w:t>the</w:t>
      </w:r>
      <w:r w:rsidRPr="003973D0">
        <w:t xml:space="preserve"> customs declaration, he explicitly asked the customs officer conducting the inspection whether he </w:t>
      </w:r>
      <w:r w:rsidR="008E65EC">
        <w:t>wa</w:t>
      </w:r>
      <w:r w:rsidRPr="003973D0">
        <w:t xml:space="preserve">s supposed to declare the books that he was carrying and </w:t>
      </w:r>
      <w:r w:rsidR="008E65EC">
        <w:t xml:space="preserve">he </w:t>
      </w:r>
      <w:r w:rsidRPr="003973D0">
        <w:t xml:space="preserve">received a negative answer. He reiterates that he </w:t>
      </w:r>
      <w:r w:rsidR="008E65EC">
        <w:t>i</w:t>
      </w:r>
      <w:r w:rsidRPr="003973D0">
        <w:t>s one of the authors of one of the books</w:t>
      </w:r>
      <w:r w:rsidR="008E65EC">
        <w:t xml:space="preserve"> and states that</w:t>
      </w:r>
      <w:r w:rsidRPr="003973D0">
        <w:t xml:space="preserve"> the books contain no information </w:t>
      </w:r>
      <w:r w:rsidR="008E65EC">
        <w:t xml:space="preserve">that is </w:t>
      </w:r>
      <w:r w:rsidRPr="003973D0">
        <w:t>harmful to the reputation of third persons or concerning State security</w:t>
      </w:r>
      <w:r w:rsidR="008E65EC">
        <w:t>,</w:t>
      </w:r>
      <w:r w:rsidRPr="003973D0">
        <w:t xml:space="preserve"> and that he did not intend to sell them. He claims that he was not informed of the time and date of the hearing, therefore the hearing was held in his absence. </w:t>
      </w:r>
    </w:p>
    <w:p w:rsidR="003973D0" w:rsidRPr="003973D0" w:rsidRDefault="003973D0" w:rsidP="003973D0">
      <w:pPr>
        <w:pStyle w:val="SingleTxtG"/>
      </w:pPr>
      <w:r w:rsidRPr="003973D0">
        <w:t>2.5</w:t>
      </w:r>
      <w:r w:rsidRPr="003973D0">
        <w:tab/>
        <w:t>The author submits that on 26 October 2006, he appealed the judg</w:t>
      </w:r>
      <w:r w:rsidR="004B2C94">
        <w:t>e</w:t>
      </w:r>
      <w:r w:rsidRPr="003973D0">
        <w:t>ment of the Oktyabrsky District Court to the President of the Grodno Regional Court</w:t>
      </w:r>
      <w:r w:rsidR="004B2C94">
        <w:t>; the</w:t>
      </w:r>
      <w:r w:rsidRPr="003973D0">
        <w:t xml:space="preserve"> appeal was rejected on 16 November 2006. Th</w:t>
      </w:r>
      <w:r w:rsidR="004B2C94">
        <w:t>e latter</w:t>
      </w:r>
      <w:r w:rsidRPr="003973D0">
        <w:t xml:space="preserve"> court also confirmed that the books that the author </w:t>
      </w:r>
      <w:r w:rsidR="004B2C94">
        <w:t>had</w:t>
      </w:r>
      <w:r w:rsidRPr="003973D0">
        <w:t xml:space="preserve"> attempted to move across the border, “could indeed harm the political interests and national security of the </w:t>
      </w:r>
      <w:smartTag w:uri="urn:schemas-microsoft-com:office:smarttags" w:element="place">
        <w:smartTag w:uri="urn:schemas-microsoft-com:office:smarttags" w:element="PlaceType">
          <w:r w:rsidRPr="003973D0">
            <w:t>Republic</w:t>
          </w:r>
        </w:smartTag>
        <w:r w:rsidRPr="003973D0">
          <w:t xml:space="preserve"> of </w:t>
        </w:r>
        <w:smartTag w:uri="urn:schemas-microsoft-com:office:smarttags" w:element="PlaceName">
          <w:r w:rsidRPr="003973D0">
            <w:t>Belarus</w:t>
          </w:r>
        </w:smartTag>
      </w:smartTag>
      <w:r w:rsidRPr="003973D0">
        <w:t xml:space="preserve">”. The </w:t>
      </w:r>
      <w:smartTag w:uri="urn:schemas-microsoft-com:office:smarttags" w:element="Street">
        <w:smartTag w:uri="urn:schemas-microsoft-com:office:smarttags" w:element="address">
          <w:r w:rsidRPr="003973D0">
            <w:t>Grodno Regional Court</w:t>
          </w:r>
        </w:smartTag>
      </w:smartTag>
      <w:r w:rsidRPr="003973D0">
        <w:t xml:space="preserve"> denied the author’s claims that he was not informed about the date and time of the hearing. </w:t>
      </w:r>
    </w:p>
    <w:p w:rsidR="003973D0" w:rsidRPr="003973D0" w:rsidRDefault="003973D0" w:rsidP="003973D0">
      <w:pPr>
        <w:pStyle w:val="SingleTxtG"/>
      </w:pPr>
      <w:r w:rsidRPr="003973D0">
        <w:t>2.6</w:t>
      </w:r>
      <w:r w:rsidRPr="003973D0">
        <w:tab/>
        <w:t xml:space="preserve">The author submits that on 26 February 2007, the Supreme Court of Belarus rejected his appeal as well. </w:t>
      </w:r>
      <w:r w:rsidR="004B2C94">
        <w:t>In its decision, t</w:t>
      </w:r>
      <w:r w:rsidRPr="003973D0">
        <w:t>he Supreme Court stated that</w:t>
      </w:r>
      <w:r w:rsidR="004B2C94">
        <w:t>,</w:t>
      </w:r>
      <w:r w:rsidRPr="003973D0">
        <w:t xml:space="preserve"> according to the Tax Code of Belarus, “goods and means of transportation that cross the border of the </w:t>
      </w:r>
      <w:smartTag w:uri="urn:schemas-microsoft-com:office:smarttags" w:element="place">
        <w:smartTag w:uri="urn:schemas-microsoft-com:office:smarttags" w:element="PlaceType">
          <w:r w:rsidRPr="003973D0">
            <w:t>Republic</w:t>
          </w:r>
        </w:smartTag>
        <w:r w:rsidRPr="003973D0">
          <w:t xml:space="preserve"> of </w:t>
        </w:r>
        <w:smartTag w:uri="urn:schemas-microsoft-com:office:smarttags" w:element="PlaceName">
          <w:r w:rsidRPr="003973D0">
            <w:t>Belarus</w:t>
          </w:r>
        </w:smartTag>
      </w:smartTag>
      <w:r w:rsidRPr="003973D0">
        <w:t>” are subject to customs declaration. Failure to submit such customs declaration of goods and means of transportation constitutes a violation of article 193-9, paragraph 1, of the Code of Administrative Offences. The Supreme Court further stated that the author was duly informed of the date, time and place of the hearing, but failed to appear to court.</w:t>
      </w:r>
    </w:p>
    <w:p w:rsidR="003973D0" w:rsidRPr="003973D0" w:rsidRDefault="003973D0" w:rsidP="003973D0">
      <w:pPr>
        <w:pStyle w:val="SingleTxtG"/>
      </w:pPr>
      <w:r w:rsidRPr="003973D0">
        <w:t>2.7</w:t>
      </w:r>
      <w:r w:rsidRPr="003973D0">
        <w:tab/>
        <w:t xml:space="preserve">The author therefore contends that he has exhausted all available and effective domestic remedies. </w:t>
      </w:r>
    </w:p>
    <w:p w:rsidR="003973D0" w:rsidRPr="003973D0" w:rsidRDefault="003973D0" w:rsidP="003973D0">
      <w:pPr>
        <w:pStyle w:val="H23G"/>
      </w:pPr>
      <w:r w:rsidRPr="003973D0">
        <w:tab/>
      </w:r>
      <w:r w:rsidRPr="003973D0">
        <w:tab/>
        <w:t>The complaint</w:t>
      </w:r>
    </w:p>
    <w:p w:rsidR="003973D0" w:rsidRPr="003973D0" w:rsidRDefault="003973D0" w:rsidP="00504CD0">
      <w:pPr>
        <w:pStyle w:val="SingleTxtG"/>
      </w:pPr>
      <w:r w:rsidRPr="003973D0">
        <w:t>3.1</w:t>
      </w:r>
      <w:r w:rsidRPr="003973D0">
        <w:tab/>
        <w:t>The author claims that</w:t>
      </w:r>
      <w:r w:rsidR="004B2C94">
        <w:t>,</w:t>
      </w:r>
      <w:r w:rsidRPr="003973D0">
        <w:t xml:space="preserve"> by stopping him at the border, seizing the </w:t>
      </w:r>
      <w:r w:rsidR="004B2C94">
        <w:t>above-</w:t>
      </w:r>
      <w:r w:rsidRPr="003973D0">
        <w:t xml:space="preserve">mentioned </w:t>
      </w:r>
      <w:r w:rsidR="004B2C94">
        <w:t>books</w:t>
      </w:r>
      <w:r w:rsidRPr="003973D0">
        <w:t xml:space="preserve"> and imposing an administrative fine, the State party violated his rights under article</w:t>
      </w:r>
      <w:r w:rsidR="00504CD0">
        <w:t> </w:t>
      </w:r>
      <w:r w:rsidRPr="003973D0">
        <w:t>19 of the Covenant. He submits that the books, which he was forbidden to move across the border and which were confiscated by the customs</w:t>
      </w:r>
      <w:r w:rsidR="002F428E">
        <w:t xml:space="preserve"> officer</w:t>
      </w:r>
      <w:r w:rsidRPr="003973D0">
        <w:t xml:space="preserve">, contain opinions about the situation in </w:t>
      </w:r>
      <w:smartTag w:uri="urn:schemas-microsoft-com:office:smarttags" w:element="country-region">
        <w:smartTag w:uri="urn:schemas-microsoft-com:office:smarttags" w:element="place">
          <w:r w:rsidRPr="003973D0">
            <w:t>Belarus</w:t>
          </w:r>
        </w:smartTag>
      </w:smartTag>
      <w:r w:rsidRPr="003973D0">
        <w:t xml:space="preserve">. </w:t>
      </w:r>
    </w:p>
    <w:p w:rsidR="003973D0" w:rsidRPr="003973D0" w:rsidRDefault="003973D0" w:rsidP="003973D0">
      <w:pPr>
        <w:pStyle w:val="SingleTxtG"/>
      </w:pPr>
      <w:r w:rsidRPr="003973D0">
        <w:lastRenderedPageBreak/>
        <w:t>3.2</w:t>
      </w:r>
      <w:r w:rsidRPr="003973D0">
        <w:tab/>
        <w:t xml:space="preserve">The author further submits that the administrative hearing </w:t>
      </w:r>
      <w:r w:rsidR="002F428E" w:rsidRPr="003973D0">
        <w:t xml:space="preserve">in the Oktyabrsky District Court </w:t>
      </w:r>
      <w:r w:rsidRPr="003973D0">
        <w:t xml:space="preserve">violated his </w:t>
      </w:r>
      <w:r w:rsidR="002F428E">
        <w:t xml:space="preserve">rights to a </w:t>
      </w:r>
      <w:r w:rsidRPr="003973D0">
        <w:t>fair and public hearing</w:t>
      </w:r>
      <w:r w:rsidR="002F428E">
        <w:t>,</w:t>
      </w:r>
      <w:r w:rsidRPr="003973D0">
        <w:t xml:space="preserve"> under article 14 of the Covenant</w:t>
      </w:r>
      <w:r w:rsidR="002F428E">
        <w:t>,</w:t>
      </w:r>
      <w:r w:rsidRPr="003973D0">
        <w:t xml:space="preserve"> because </w:t>
      </w:r>
      <w:r w:rsidR="002F428E">
        <w:t>it</w:t>
      </w:r>
      <w:r w:rsidRPr="003973D0">
        <w:t xml:space="preserve"> took place in his absence. He </w:t>
      </w:r>
      <w:r w:rsidR="002F428E">
        <w:t xml:space="preserve">claims that he </w:t>
      </w:r>
      <w:r w:rsidRPr="003973D0">
        <w:t xml:space="preserve">was not informed </w:t>
      </w:r>
      <w:r w:rsidR="002F428E">
        <w:t>about when and where</w:t>
      </w:r>
      <w:r w:rsidRPr="003973D0">
        <w:t xml:space="preserve"> the hearing </w:t>
      </w:r>
      <w:r w:rsidR="002F428E">
        <w:t>would be</w:t>
      </w:r>
      <w:r w:rsidRPr="003973D0">
        <w:t xml:space="preserve"> taking place and </w:t>
      </w:r>
      <w:r w:rsidR="002F428E">
        <w:t>he</w:t>
      </w:r>
      <w:r w:rsidRPr="003973D0">
        <w:t xml:space="preserve"> did not waive his right to be present. He submits that the transcript of the hearing contains no evidence that he was summoned, nor that the judge attempted to verify the reason for his absence. The initial judgement by the Oktyabrsky District Court states that the author had been duly summoned</w:t>
      </w:r>
      <w:r w:rsidR="003A7BC2">
        <w:t xml:space="preserve"> to appear in court</w:t>
      </w:r>
      <w:r w:rsidRPr="003973D0">
        <w:t xml:space="preserve">; however the author </w:t>
      </w:r>
      <w:r w:rsidR="003A7BC2">
        <w:t>states that he had e</w:t>
      </w:r>
      <w:r w:rsidRPr="003973D0">
        <w:t>nquired with the post office and obtained evidence that the letter informing him that the court hearing w</w:t>
      </w:r>
      <w:r w:rsidR="003A7BC2">
        <w:t>ould</w:t>
      </w:r>
      <w:r w:rsidRPr="003973D0">
        <w:t xml:space="preserve"> take place on 17 October 2006 was not delivered to him until 27 October 2006. He further claims that the </w:t>
      </w:r>
      <w:smartTag w:uri="urn:schemas-microsoft-com:office:smarttags" w:element="Street">
        <w:smartTag w:uri="urn:schemas-microsoft-com:office:smarttags" w:element="address">
          <w:r w:rsidRPr="003973D0">
            <w:t>Grodno Regional Court</w:t>
          </w:r>
        </w:smartTag>
      </w:smartTag>
      <w:r w:rsidRPr="003973D0">
        <w:t xml:space="preserve"> ignored this </w:t>
      </w:r>
      <w:r w:rsidR="003A7BC2">
        <w:t xml:space="preserve">piece of </w:t>
      </w:r>
      <w:r w:rsidRPr="003973D0">
        <w:t>evidence</w:t>
      </w:r>
      <w:r w:rsidR="003A7BC2" w:rsidRPr="003973D0">
        <w:t xml:space="preserve"> </w:t>
      </w:r>
      <w:r w:rsidRPr="003973D0">
        <w:t>during the hearing of his appeal.</w:t>
      </w:r>
    </w:p>
    <w:p w:rsidR="003973D0" w:rsidRPr="003973D0" w:rsidRDefault="003973D0" w:rsidP="003973D0">
      <w:pPr>
        <w:pStyle w:val="SingleTxtG"/>
      </w:pPr>
      <w:r w:rsidRPr="003973D0">
        <w:t xml:space="preserve">3.3 </w:t>
      </w:r>
      <w:r w:rsidRPr="003973D0">
        <w:tab/>
        <w:t>The author further claims that</w:t>
      </w:r>
      <w:r w:rsidR="003A7BC2">
        <w:t>, in general,</w:t>
      </w:r>
      <w:r w:rsidRPr="003973D0">
        <w:t xml:space="preserve"> the courts in </w:t>
      </w:r>
      <w:smartTag w:uri="urn:schemas-microsoft-com:office:smarttags" w:element="country-region">
        <w:smartTag w:uri="urn:schemas-microsoft-com:office:smarttags" w:element="place">
          <w:r w:rsidRPr="003973D0">
            <w:t>Belarus</w:t>
          </w:r>
        </w:smartTag>
      </w:smartTag>
      <w:r w:rsidRPr="003973D0">
        <w:t xml:space="preserve"> are not independent</w:t>
      </w:r>
      <w:r w:rsidR="003A7BC2">
        <w:t>; he</w:t>
      </w:r>
      <w:r w:rsidRPr="003973D0">
        <w:t xml:space="preserve"> refers to the report of the Special Rapporteur on the </w:t>
      </w:r>
      <w:r w:rsidR="003A7BC2">
        <w:t>i</w:t>
      </w:r>
      <w:r w:rsidRPr="003973D0">
        <w:t xml:space="preserve">ndependence of </w:t>
      </w:r>
      <w:r w:rsidR="003A7BC2">
        <w:t>j</w:t>
      </w:r>
      <w:r w:rsidRPr="003973D0">
        <w:t xml:space="preserve">udges and </w:t>
      </w:r>
      <w:r w:rsidR="003A7BC2">
        <w:t>l</w:t>
      </w:r>
      <w:r w:rsidRPr="003973D0">
        <w:t>awyers of 8 February 2001</w:t>
      </w:r>
      <w:r w:rsidR="00393D7F">
        <w:t xml:space="preserve"> on his mission to Belarus (E/CN.4/2001/65/Add.1)</w:t>
      </w:r>
      <w:r w:rsidRPr="003973D0">
        <w:t>. He also points out that the courts relied on a letter from the State Security Committee, and submits that the State Security Committee’s conclusion is formal and arbitrary</w:t>
      </w:r>
      <w:r w:rsidR="00E636A3">
        <w:t>;</w:t>
      </w:r>
      <w:r w:rsidRPr="003973D0">
        <w:t xml:space="preserve"> does not contain any </w:t>
      </w:r>
      <w:r w:rsidR="00E636A3">
        <w:t>grounds;</w:t>
      </w:r>
      <w:r w:rsidRPr="003973D0">
        <w:t xml:space="preserve"> </w:t>
      </w:r>
      <w:r w:rsidR="00393D7F">
        <w:t>nor</w:t>
      </w:r>
      <w:r w:rsidRPr="003973D0">
        <w:t xml:space="preserve"> does </w:t>
      </w:r>
      <w:r w:rsidR="00E636A3">
        <w:t>it</w:t>
      </w:r>
      <w:r w:rsidRPr="003973D0">
        <w:t xml:space="preserve"> specify on what expertise or information the books were banned. </w:t>
      </w:r>
      <w:r w:rsidR="00E636A3">
        <w:t>Nonetheless, t</w:t>
      </w:r>
      <w:r w:rsidRPr="003973D0">
        <w:t>h</w:t>
      </w:r>
      <w:r w:rsidR="00E636A3">
        <w:t>e</w:t>
      </w:r>
      <w:r w:rsidRPr="003973D0">
        <w:t xml:space="preserve"> analysis and conclusion </w:t>
      </w:r>
      <w:r w:rsidR="00E636A3">
        <w:t>of the State Security Committee</w:t>
      </w:r>
      <w:r w:rsidRPr="003973D0">
        <w:t xml:space="preserve"> w</w:t>
      </w:r>
      <w:r w:rsidR="00E636A3">
        <w:t>ere</w:t>
      </w:r>
      <w:r w:rsidRPr="003973D0">
        <w:t xml:space="preserve"> accepted by the courts without </w:t>
      </w:r>
      <w:r w:rsidR="00E636A3">
        <w:t xml:space="preserve">any </w:t>
      </w:r>
      <w:r w:rsidRPr="003973D0">
        <w:t xml:space="preserve">questioning </w:t>
      </w:r>
      <w:r w:rsidR="00E636A3">
        <w:t xml:space="preserve">of </w:t>
      </w:r>
      <w:r w:rsidRPr="003973D0">
        <w:t>its validity and legality under domestic or  international law. The author maintains that the above confirms that his rights under articles 1</w:t>
      </w:r>
      <w:r w:rsidR="00E636A3">
        <w:t>4</w:t>
      </w:r>
      <w:r w:rsidRPr="003973D0">
        <w:t xml:space="preserve"> and 1</w:t>
      </w:r>
      <w:r w:rsidR="00E636A3">
        <w:t>9</w:t>
      </w:r>
      <w:r w:rsidRPr="003973D0">
        <w:t xml:space="preserve"> of the Covenant were violated.</w:t>
      </w:r>
    </w:p>
    <w:p w:rsidR="003973D0" w:rsidRPr="003973D0" w:rsidRDefault="00733BBE" w:rsidP="003973D0">
      <w:pPr>
        <w:pStyle w:val="H23G"/>
      </w:pPr>
      <w:r>
        <w:tab/>
      </w:r>
      <w:r>
        <w:tab/>
      </w:r>
      <w:r w:rsidR="00E636A3">
        <w:t xml:space="preserve">The </w:t>
      </w:r>
      <w:r>
        <w:t>State party’</w:t>
      </w:r>
      <w:r w:rsidR="003973D0" w:rsidRPr="003973D0">
        <w:t>s observations on admissibility</w:t>
      </w:r>
    </w:p>
    <w:p w:rsidR="003973D0" w:rsidRPr="003973D0" w:rsidRDefault="003973D0" w:rsidP="004C4F4F">
      <w:pPr>
        <w:pStyle w:val="SingleTxtG"/>
      </w:pPr>
      <w:r w:rsidRPr="003973D0">
        <w:t>4.1</w:t>
      </w:r>
      <w:r w:rsidRPr="003973D0">
        <w:tab/>
        <w:t>On 6 January 2011, the State party submit</w:t>
      </w:r>
      <w:r w:rsidR="00E636A3">
        <w:t>ted</w:t>
      </w:r>
      <w:r w:rsidRPr="003973D0">
        <w:t>, with regard to the present communication and several other communications before the Committee, that the author ha</w:t>
      </w:r>
      <w:r w:rsidR="00AA695B">
        <w:t>d</w:t>
      </w:r>
      <w:r w:rsidRPr="003973D0">
        <w:t xml:space="preserve"> not exhausted all available domestic remedies in Belarus, includi</w:t>
      </w:r>
      <w:r w:rsidR="00733BBE">
        <w:t xml:space="preserve">ng </w:t>
      </w:r>
      <w:r w:rsidR="00AA695B">
        <w:t>filing a petition for supervisory review with</w:t>
      </w:r>
      <w:r w:rsidR="00733BBE">
        <w:t xml:space="preserve"> the Prosecutor’</w:t>
      </w:r>
      <w:r w:rsidRPr="003973D0">
        <w:t xml:space="preserve">s </w:t>
      </w:r>
      <w:r w:rsidR="00AA695B">
        <w:t>O</w:t>
      </w:r>
      <w:r w:rsidRPr="003973D0">
        <w:t xml:space="preserve">ffice </w:t>
      </w:r>
      <w:r w:rsidR="002300E1">
        <w:t>of</w:t>
      </w:r>
      <w:r w:rsidRPr="003973D0">
        <w:t xml:space="preserve"> a judgment having the force of </w:t>
      </w:r>
      <w:r w:rsidRPr="0062426E">
        <w:t>res judicata</w:t>
      </w:r>
      <w:r w:rsidRPr="003973D0">
        <w:t xml:space="preserve">. It </w:t>
      </w:r>
      <w:r w:rsidR="002300E1">
        <w:t>also</w:t>
      </w:r>
      <w:r w:rsidRPr="003973D0">
        <w:t xml:space="preserve"> submits that, </w:t>
      </w:r>
      <w:r w:rsidR="00AA695B">
        <w:t>upon becoming</w:t>
      </w:r>
      <w:r w:rsidRPr="003973D0">
        <w:t xml:space="preserve"> a party to the Optional Protocol, it did not give its consent </w:t>
      </w:r>
      <w:r w:rsidR="002300E1">
        <w:t>to recognize</w:t>
      </w:r>
      <w:r w:rsidR="00504CD0">
        <w:t xml:space="preserve"> the extension of the Committee’</w:t>
      </w:r>
      <w:r w:rsidRPr="003973D0">
        <w:t>s mandate</w:t>
      </w:r>
      <w:r w:rsidR="002300E1">
        <w:t xml:space="preserve"> to consider communications from individuals who have not exhausted domestic remedies</w:t>
      </w:r>
      <w:r w:rsidRPr="003973D0">
        <w:t xml:space="preserve">; that the </w:t>
      </w:r>
      <w:r w:rsidR="00AA695B">
        <w:t>present</w:t>
      </w:r>
      <w:r w:rsidRPr="003973D0">
        <w:t xml:space="preserve"> communication</w:t>
      </w:r>
      <w:r w:rsidR="00AA695B">
        <w:t xml:space="preserve"> w</w:t>
      </w:r>
      <w:r w:rsidRPr="003973D0">
        <w:t xml:space="preserve">as registered in violation of the provisions of the Optional Protocol; that there are no legal grounds for </w:t>
      </w:r>
      <w:r w:rsidR="00504CD0">
        <w:t>the State party</w:t>
      </w:r>
      <w:r w:rsidR="00AA695B">
        <w:t xml:space="preserve"> to consider its admissibility</w:t>
      </w:r>
      <w:r w:rsidR="00504CD0">
        <w:t xml:space="preserve">; and that </w:t>
      </w:r>
      <w:r w:rsidRPr="003973D0">
        <w:t>any reference</w:t>
      </w:r>
      <w:r w:rsidR="002300E1">
        <w:t>s</w:t>
      </w:r>
      <w:r w:rsidRPr="003973D0">
        <w:t xml:space="preserve"> in t</w:t>
      </w:r>
      <w:r w:rsidR="002300E1">
        <w:t>hat</w:t>
      </w:r>
      <w:r w:rsidRPr="003973D0">
        <w:t xml:space="preserve"> connection to the Committee</w:t>
      </w:r>
      <w:r w:rsidR="00733BBE">
        <w:t>’</w:t>
      </w:r>
      <w:r w:rsidRPr="003973D0">
        <w:t>s long-standing practice</w:t>
      </w:r>
      <w:r w:rsidR="00AA695B">
        <w:t>, methods of work, case law</w:t>
      </w:r>
      <w:r w:rsidRPr="003973D0">
        <w:t xml:space="preserve"> are </w:t>
      </w:r>
      <w:r w:rsidR="00AA695B">
        <w:t>not legally binding</w:t>
      </w:r>
      <w:r w:rsidR="003A2BE5">
        <w:t xml:space="preserve"> on it</w:t>
      </w:r>
      <w:r w:rsidRPr="003973D0">
        <w:t xml:space="preserve">. </w:t>
      </w:r>
    </w:p>
    <w:p w:rsidR="003973D0" w:rsidRPr="003973D0" w:rsidRDefault="003973D0" w:rsidP="003973D0">
      <w:pPr>
        <w:pStyle w:val="SingleTxtG"/>
      </w:pPr>
      <w:r w:rsidRPr="003973D0">
        <w:t>4.2</w:t>
      </w:r>
      <w:r w:rsidRPr="003973D0">
        <w:tab/>
        <w:t>On 5 October 2011, the State party again challenged the admissibility of the communication</w:t>
      </w:r>
      <w:r w:rsidR="003A2BE5">
        <w:t>,</w:t>
      </w:r>
      <w:r w:rsidRPr="003973D0">
        <w:t xml:space="preserve"> arguing that the author had failed to exhaust all available domestic remedies, as he </w:t>
      </w:r>
      <w:r w:rsidR="003A2BE5">
        <w:t>had not</w:t>
      </w:r>
      <w:r w:rsidR="002300E1">
        <w:t xml:space="preserve"> filed a </w:t>
      </w:r>
      <w:r w:rsidRPr="003973D0">
        <w:t xml:space="preserve">request </w:t>
      </w:r>
      <w:r w:rsidR="002300E1">
        <w:t>with</w:t>
      </w:r>
      <w:r w:rsidRPr="003973D0">
        <w:t xml:space="preserve"> a prosecutor to initiate supervisory review proceedings of his case.</w:t>
      </w:r>
    </w:p>
    <w:p w:rsidR="003973D0" w:rsidRPr="003973D0" w:rsidRDefault="003973D0" w:rsidP="003B40AF">
      <w:pPr>
        <w:pStyle w:val="SingleTxtG"/>
        <w:rPr>
          <w:b/>
        </w:rPr>
      </w:pPr>
      <w:r w:rsidRPr="003973D0">
        <w:t>4.3</w:t>
      </w:r>
      <w:r w:rsidRPr="003973D0">
        <w:tab/>
        <w:t xml:space="preserve">By </w:t>
      </w:r>
      <w:r w:rsidR="0078058F">
        <w:t>a</w:t>
      </w:r>
      <w:r w:rsidRPr="003973D0">
        <w:t xml:space="preserve"> </w:t>
      </w:r>
      <w:r w:rsidR="003A2BE5">
        <w:t>n</w:t>
      </w:r>
      <w:r w:rsidRPr="003973D0">
        <w:t xml:space="preserve">ote </w:t>
      </w:r>
      <w:r w:rsidR="003A2BE5">
        <w:t>v</w:t>
      </w:r>
      <w:r w:rsidRPr="003973D0">
        <w:t xml:space="preserve">erbale of 25 January 2012, the State party further noted that </w:t>
      </w:r>
      <w:r w:rsidR="002300E1">
        <w:t>upon</w:t>
      </w:r>
      <w:r w:rsidRPr="003973D0">
        <w:t xml:space="preserve"> </w:t>
      </w:r>
      <w:r w:rsidR="003B40AF">
        <w:t>becoming a party</w:t>
      </w:r>
      <w:r w:rsidR="003B40AF" w:rsidRPr="003973D0">
        <w:t xml:space="preserve"> </w:t>
      </w:r>
      <w:r w:rsidRPr="003973D0">
        <w:t>to the Optional Protocol, it had recogni</w:t>
      </w:r>
      <w:r w:rsidR="002300E1">
        <w:t>z</w:t>
      </w:r>
      <w:r w:rsidRPr="003973D0">
        <w:t>ed the Committee’s competence</w:t>
      </w:r>
      <w:r w:rsidR="00D20775">
        <w:t>,</w:t>
      </w:r>
      <w:r w:rsidRPr="003973D0">
        <w:t xml:space="preserve"> under article 1 thereof</w:t>
      </w:r>
      <w:r w:rsidR="00D20775">
        <w:t>,</w:t>
      </w:r>
      <w:r w:rsidRPr="003973D0">
        <w:t xml:space="preserve"> to receive and consider communications from individuals subject to its jurisdiction</w:t>
      </w:r>
      <w:r w:rsidR="002300E1">
        <w:t>,</w:t>
      </w:r>
      <w:r w:rsidRPr="003973D0">
        <w:t xml:space="preserve"> claim</w:t>
      </w:r>
      <w:r w:rsidR="002300E1">
        <w:t>ing</w:t>
      </w:r>
      <w:r w:rsidRPr="003973D0">
        <w:t xml:space="preserve"> to be victims of </w:t>
      </w:r>
      <w:r w:rsidR="002300E1">
        <w:t xml:space="preserve">a </w:t>
      </w:r>
      <w:r w:rsidRPr="003973D0">
        <w:t xml:space="preserve">violation by the State party of any of the rights set forth in the Covenant. </w:t>
      </w:r>
      <w:r w:rsidR="002300E1">
        <w:t>However, that</w:t>
      </w:r>
      <w:r w:rsidRPr="003973D0">
        <w:t xml:space="preserve"> recognition of competence </w:t>
      </w:r>
      <w:r w:rsidR="00D20775">
        <w:t>was undertaken</w:t>
      </w:r>
      <w:r w:rsidRPr="003973D0">
        <w:t xml:space="preserve"> in conjunction with other provisions of the Optional Protocol, including those </w:t>
      </w:r>
      <w:r w:rsidR="00D20775">
        <w:t>that established</w:t>
      </w:r>
      <w:r w:rsidRPr="003973D0">
        <w:t xml:space="preserve"> criteria regarding petitioners and </w:t>
      </w:r>
      <w:r w:rsidR="00D20775">
        <w:t xml:space="preserve">the </w:t>
      </w:r>
      <w:r w:rsidRPr="003973D0">
        <w:t>admissibility</w:t>
      </w:r>
      <w:r w:rsidR="00D20775">
        <w:t xml:space="preserve"> of their communications</w:t>
      </w:r>
      <w:r w:rsidRPr="003973D0">
        <w:t xml:space="preserve">, in particular articles 2 and 5, paragraph 2, of the Optional Protocol. </w:t>
      </w:r>
      <w:r w:rsidR="00D20775">
        <w:t xml:space="preserve">It maintains that, under the Optional Protocol, </w:t>
      </w:r>
      <w:r w:rsidRPr="003973D0">
        <w:t xml:space="preserve">States parties have no obligation </w:t>
      </w:r>
      <w:r w:rsidR="00D20775">
        <w:t>regarding</w:t>
      </w:r>
      <w:r w:rsidRPr="003973D0">
        <w:t xml:space="preserve"> recognition of the Committee’s </w:t>
      </w:r>
      <w:r w:rsidR="00D20775">
        <w:t>r</w:t>
      </w:r>
      <w:r w:rsidRPr="003973D0">
        <w:t xml:space="preserve">ules of </w:t>
      </w:r>
      <w:r w:rsidR="00D20775">
        <w:t>p</w:t>
      </w:r>
      <w:r w:rsidRPr="003973D0">
        <w:t xml:space="preserve">rocedure </w:t>
      </w:r>
      <w:r w:rsidR="00D20775">
        <w:t>nor</w:t>
      </w:r>
      <w:r w:rsidRPr="003973D0">
        <w:t xml:space="preserve"> its interpretation of the provisions</w:t>
      </w:r>
      <w:r w:rsidR="00D20775">
        <w:t xml:space="preserve"> of</w:t>
      </w:r>
      <w:r w:rsidRPr="003973D0">
        <w:t xml:space="preserve"> the Optional Protocol. </w:t>
      </w:r>
      <w:r w:rsidR="00F1625A">
        <w:t>It submits</w:t>
      </w:r>
      <w:r w:rsidRPr="003973D0">
        <w:t xml:space="preserve"> that</w:t>
      </w:r>
      <w:r w:rsidR="00F1625A">
        <w:t>,</w:t>
      </w:r>
      <w:r w:rsidRPr="003973D0">
        <w:t xml:space="preserve"> in the context of the </w:t>
      </w:r>
      <w:r w:rsidR="00C8731A">
        <w:t>complaint</w:t>
      </w:r>
      <w:r w:rsidRPr="003973D0">
        <w:t xml:space="preserve"> procedure, States parties should be guided first and foremost by the provisions of the Optional Protocol and that reference</w:t>
      </w:r>
      <w:r w:rsidR="00C8731A">
        <w:t>s</w:t>
      </w:r>
      <w:r w:rsidRPr="003973D0">
        <w:t xml:space="preserve"> to the Committee’s long-standing practice, methods of work and case</w:t>
      </w:r>
      <w:r w:rsidR="0076551F">
        <w:t xml:space="preserve"> </w:t>
      </w:r>
      <w:r w:rsidRPr="003973D0">
        <w:t xml:space="preserve">law </w:t>
      </w:r>
      <w:r w:rsidR="0076551F">
        <w:t>were</w:t>
      </w:r>
      <w:r w:rsidRPr="003973D0">
        <w:t xml:space="preserve"> not subject</w:t>
      </w:r>
      <w:r w:rsidR="0076551F">
        <w:t>s</w:t>
      </w:r>
      <w:r w:rsidRPr="003973D0">
        <w:t xml:space="preserve"> of the Optional </w:t>
      </w:r>
      <w:r w:rsidRPr="003973D0">
        <w:lastRenderedPageBreak/>
        <w:t xml:space="preserve">Protocol. It </w:t>
      </w:r>
      <w:r w:rsidR="0076551F">
        <w:t>also</w:t>
      </w:r>
      <w:r w:rsidRPr="003973D0">
        <w:t xml:space="preserve"> submits that any communication registered in violation of the provisions of the Optional Protocol will be viewed by the State party as </w:t>
      </w:r>
      <w:r w:rsidR="00C8731A">
        <w:t xml:space="preserve">being </w:t>
      </w:r>
      <w:r w:rsidRPr="003973D0">
        <w:t xml:space="preserve">incompatible with the Optional Protocol and rejected without </w:t>
      </w:r>
      <w:r w:rsidR="00AB4A2D">
        <w:t>comments</w:t>
      </w:r>
      <w:r w:rsidR="00AB4A2D" w:rsidRPr="003973D0">
        <w:t xml:space="preserve"> </w:t>
      </w:r>
      <w:r w:rsidRPr="003973D0">
        <w:t xml:space="preserve">on admissibility or merits. The State party further maintains that decisions taken by the Committee on such </w:t>
      </w:r>
      <w:r w:rsidR="00AB4A2D">
        <w:t>rejected</w:t>
      </w:r>
      <w:r w:rsidRPr="003973D0">
        <w:t xml:space="preserve"> communications will be considered by its authorities as “invalid”.</w:t>
      </w:r>
    </w:p>
    <w:p w:rsidR="003973D0" w:rsidRPr="003973D0" w:rsidRDefault="003973D0" w:rsidP="003973D0">
      <w:pPr>
        <w:pStyle w:val="H23G"/>
      </w:pPr>
      <w:r w:rsidRPr="003973D0">
        <w:tab/>
      </w:r>
      <w:r w:rsidRPr="003973D0">
        <w:tab/>
        <w:t>Issues and proceedings before the Committee</w:t>
      </w:r>
    </w:p>
    <w:p w:rsidR="003973D0" w:rsidRPr="003973D0" w:rsidRDefault="003973D0" w:rsidP="00AB4A2D">
      <w:pPr>
        <w:pStyle w:val="H4G"/>
      </w:pPr>
      <w:r w:rsidRPr="003973D0">
        <w:tab/>
      </w:r>
      <w:r w:rsidRPr="003973D0">
        <w:tab/>
        <w:t xml:space="preserve">The State party’s </w:t>
      </w:r>
      <w:r w:rsidR="00763399">
        <w:t>lack of cooperation</w:t>
      </w:r>
    </w:p>
    <w:p w:rsidR="003973D0" w:rsidRPr="003973D0" w:rsidRDefault="003973D0" w:rsidP="003973D0">
      <w:pPr>
        <w:pStyle w:val="SingleTxtG"/>
      </w:pPr>
      <w:r w:rsidRPr="003973D0">
        <w:t>5.1</w:t>
      </w:r>
      <w:r w:rsidRPr="003973D0">
        <w:tab/>
        <w:t>The Committee notes the State party’s assertion that there are no legal grounds for the consideration of the author’</w:t>
      </w:r>
      <w:r w:rsidR="00AB4A2D">
        <w:t>s</w:t>
      </w:r>
      <w:r w:rsidRPr="003973D0">
        <w:t xml:space="preserve"> communication, insofar as it </w:t>
      </w:r>
      <w:r w:rsidR="007D1D65">
        <w:t>was</w:t>
      </w:r>
      <w:r w:rsidRPr="003973D0">
        <w:t xml:space="preserve"> registered in violation of the provisions of the Optional Protocol; that it has no obligation regarding recognition of the Committee’s rules of procedure </w:t>
      </w:r>
      <w:r w:rsidR="007D1D65">
        <w:t>nor</w:t>
      </w:r>
      <w:r w:rsidRPr="003973D0">
        <w:t xml:space="preserve"> regarding the Committee’s interpretation of the provisions</w:t>
      </w:r>
      <w:r w:rsidR="007D1D65">
        <w:t xml:space="preserve"> of the </w:t>
      </w:r>
      <w:r w:rsidRPr="003973D0">
        <w:t xml:space="preserve">Optional Protocol; and that </w:t>
      </w:r>
      <w:r w:rsidR="007D1D65">
        <w:t>any</w:t>
      </w:r>
      <w:r w:rsidRPr="003973D0">
        <w:t xml:space="preserve"> decision taken by the Committee on the present communication will be considered “invalid” by its authorities. </w:t>
      </w:r>
    </w:p>
    <w:p w:rsidR="003973D0" w:rsidRPr="003973D0" w:rsidRDefault="003973D0" w:rsidP="004D0D44">
      <w:pPr>
        <w:pStyle w:val="SingleTxtG"/>
      </w:pPr>
      <w:r w:rsidRPr="003973D0">
        <w:t>5.2</w:t>
      </w:r>
      <w:r w:rsidRPr="003973D0">
        <w:tab/>
        <w:t>The Committee recalls that under article 39, paragraph 2, of the Covenant</w:t>
      </w:r>
      <w:r w:rsidR="007D1D65">
        <w:t>,</w:t>
      </w:r>
      <w:r w:rsidRPr="003973D0">
        <w:t xml:space="preserve"> it is empowered to establish its own rules of procedure, which the States parties have agreed to recognize. It further observes that, by adhering to the Optional Protocol, a State party to the Covenant recognizes the competence of the Committee to receive and consider communications from individuals claiming to be victims of violations of any of the rights set forth in the Covenant (preamble and art. 1). Implicit in a State’s adherence to the Protocol is </w:t>
      </w:r>
      <w:r w:rsidR="007D1D65">
        <w:t>the</w:t>
      </w:r>
      <w:r w:rsidRPr="003973D0">
        <w:t xml:space="preserve"> undertaking to cooperate with the Committee in good faith so as to permit and enable it to consider such communications, and after examination </w:t>
      </w:r>
      <w:r w:rsidR="007D1D65">
        <w:t>thereof,</w:t>
      </w:r>
      <w:r w:rsidRPr="003973D0">
        <w:t xml:space="preserve"> to forward its </w:t>
      </w:r>
      <w:r w:rsidR="007D1D65">
        <w:t>V</w:t>
      </w:r>
      <w:r w:rsidRPr="003973D0">
        <w:t>iews to the State party and the individual (art. 5, paras. 1 and 4). It is incompatible with th</w:t>
      </w:r>
      <w:r w:rsidR="0098799A">
        <w:t>o</w:t>
      </w:r>
      <w:r w:rsidRPr="003973D0">
        <w:t>se obligations for a State party to take any action that would prevent or frustrate the Committee in its consideration and examination of the communication and in the expression of its Views.</w:t>
      </w:r>
      <w:r w:rsidRPr="003973D0">
        <w:rPr>
          <w:vertAlign w:val="superscript"/>
        </w:rPr>
        <w:footnoteReference w:id="4"/>
      </w:r>
      <w:r w:rsidRPr="003973D0">
        <w:t xml:space="preserve"> It is </w:t>
      </w:r>
      <w:r w:rsidR="007D1D65">
        <w:t>up to</w:t>
      </w:r>
      <w:r w:rsidRPr="003973D0">
        <w:t xml:space="preserve"> the Committee to determine whether a communication should be registered. The Committee observes that, by failing to accept the competence of the Committee to determine whether a communication sh</w:t>
      </w:r>
      <w:r w:rsidR="007D1D65">
        <w:t>ould</w:t>
      </w:r>
      <w:r w:rsidRPr="003973D0">
        <w:t xml:space="preserve"> be registered and by declaring beforehand that it will not accept the </w:t>
      </w:r>
      <w:r w:rsidR="007D1D65">
        <w:t xml:space="preserve">Committee's </w:t>
      </w:r>
      <w:r w:rsidRPr="003973D0">
        <w:t xml:space="preserve">determination on the admissibility or the merits of </w:t>
      </w:r>
      <w:r w:rsidR="0098799A">
        <w:t>the</w:t>
      </w:r>
      <w:r w:rsidR="0098799A" w:rsidRPr="003973D0">
        <w:t xml:space="preserve"> </w:t>
      </w:r>
      <w:r w:rsidRPr="003973D0">
        <w:t xml:space="preserve">communication, the State party </w:t>
      </w:r>
      <w:r w:rsidR="007D1D65">
        <w:t xml:space="preserve">is </w:t>
      </w:r>
      <w:r w:rsidRPr="003973D0">
        <w:t>violat</w:t>
      </w:r>
      <w:r w:rsidR="007D1D65">
        <w:t>ing</w:t>
      </w:r>
      <w:r w:rsidRPr="003973D0">
        <w:t xml:space="preserve"> its obligations under article 1 of the Optional Protocol to the </w:t>
      </w:r>
      <w:r w:rsidR="007D1D65">
        <w:t xml:space="preserve">International </w:t>
      </w:r>
      <w:r w:rsidRPr="003973D0">
        <w:t>Covenant</w:t>
      </w:r>
      <w:r w:rsidR="007D1D65">
        <w:t xml:space="preserve"> on Civil and Political Rights</w:t>
      </w:r>
      <w:r w:rsidRPr="003973D0">
        <w:t>.</w:t>
      </w:r>
      <w:r w:rsidRPr="003973D0">
        <w:rPr>
          <w:vertAlign w:val="superscript"/>
        </w:rPr>
        <w:footnoteReference w:id="5"/>
      </w:r>
    </w:p>
    <w:p w:rsidR="003973D0" w:rsidRPr="003973D0" w:rsidRDefault="003973D0" w:rsidP="003973D0">
      <w:pPr>
        <w:pStyle w:val="H4G"/>
      </w:pPr>
      <w:r w:rsidRPr="003973D0">
        <w:tab/>
      </w:r>
      <w:r w:rsidRPr="003973D0">
        <w:tab/>
        <w:t>Consideration of admissibility</w:t>
      </w:r>
    </w:p>
    <w:p w:rsidR="003973D0" w:rsidRPr="003973D0" w:rsidRDefault="003973D0" w:rsidP="003973D0">
      <w:pPr>
        <w:pStyle w:val="SingleTxtG"/>
      </w:pPr>
      <w:r w:rsidRPr="003973D0">
        <w:t>6.1</w:t>
      </w:r>
      <w:r w:rsidRPr="003973D0">
        <w:tab/>
        <w:t>Before considering any claim contained in a communication, the Human Rights Committee must, in accordance with rule 93 of its rules of procedure, decide whether or not the case is admissible under the Optional Protocol to the Covenant.</w:t>
      </w:r>
    </w:p>
    <w:p w:rsidR="003973D0" w:rsidRPr="003973D0" w:rsidRDefault="003973D0" w:rsidP="003973D0">
      <w:pPr>
        <w:pStyle w:val="SingleTxtG"/>
      </w:pPr>
      <w:r w:rsidRPr="003973D0">
        <w:t>6.2</w:t>
      </w:r>
      <w:r w:rsidRPr="003973D0">
        <w:tab/>
        <w:t xml:space="preserve">The Committee has ascertained, as required under article 5, paragraph 2 (a), of the Optional Protocol, that the same matter is not being examined under another procedure of international investigation or settlement. </w:t>
      </w:r>
    </w:p>
    <w:p w:rsidR="003973D0" w:rsidRPr="003973D0" w:rsidRDefault="003973D0" w:rsidP="00662D8E">
      <w:pPr>
        <w:pStyle w:val="SingleTxtG"/>
      </w:pPr>
      <w:r w:rsidRPr="003973D0">
        <w:t xml:space="preserve">6.3 </w:t>
      </w:r>
      <w:r w:rsidRPr="003973D0">
        <w:tab/>
        <w:t>The Committee notes that the State party has</w:t>
      </w:r>
      <w:r w:rsidR="00504CD0">
        <w:t xml:space="preserve"> </w:t>
      </w:r>
      <w:r w:rsidRPr="003973D0">
        <w:t xml:space="preserve">challenged the admissibility of the communication </w:t>
      </w:r>
      <w:r w:rsidR="00493DDB">
        <w:t>on the ground</w:t>
      </w:r>
      <w:r w:rsidR="00AB4A2D">
        <w:t>s</w:t>
      </w:r>
      <w:r w:rsidR="00493DDB">
        <w:t xml:space="preserve"> of</w:t>
      </w:r>
      <w:r w:rsidRPr="003973D0">
        <w:t xml:space="preserve"> non-exhaustion of domestic remedies under article 5, paragraph 2 (b), of the Optional Protocol</w:t>
      </w:r>
      <w:r w:rsidR="00493DDB">
        <w:t>,</w:t>
      </w:r>
      <w:r w:rsidRPr="003973D0">
        <w:t xml:space="preserve"> observing that the author </w:t>
      </w:r>
      <w:r w:rsidR="0098799A">
        <w:t>did</w:t>
      </w:r>
      <w:r w:rsidRPr="003973D0">
        <w:t xml:space="preserve"> not request the </w:t>
      </w:r>
      <w:r w:rsidRPr="003973D0">
        <w:lastRenderedPageBreak/>
        <w:t xml:space="preserve">Prosecutor’s Office to </w:t>
      </w:r>
      <w:r w:rsidR="00AB4A2D">
        <w:t>consider</w:t>
      </w:r>
      <w:r w:rsidRPr="003973D0">
        <w:t xml:space="preserve"> his case under supervisory review proceedings.</w:t>
      </w:r>
      <w:r w:rsidR="00763399">
        <w:t xml:space="preserve"> </w:t>
      </w:r>
      <w:r w:rsidR="00763399" w:rsidRPr="00DC128E">
        <w:t>The Committee recalls its jurisprudence, according to which a petition to a Prosecutor’s Office</w:t>
      </w:r>
      <w:r w:rsidR="00493DDB">
        <w:t xml:space="preserve"> </w:t>
      </w:r>
      <w:r w:rsidR="00662D8E" w:rsidRPr="00662D8E">
        <w:t xml:space="preserve">for supervisory review </w:t>
      </w:r>
      <w:r w:rsidR="00662D8E">
        <w:t>of</w:t>
      </w:r>
      <w:r w:rsidR="00AB4A2D">
        <w:t xml:space="preserve"> </w:t>
      </w:r>
      <w:r w:rsidR="00763399" w:rsidRPr="00DC128E">
        <w:t>court decisions that have taken effect does not constitute a remedy which has to be exhausted for the purposes of article 5, paragraph 2 (b), of the Optional Protocol.</w:t>
      </w:r>
      <w:r w:rsidR="00763399" w:rsidRPr="00B6380E">
        <w:rPr>
          <w:vertAlign w:val="superscript"/>
        </w:rPr>
        <w:footnoteReference w:id="6"/>
      </w:r>
      <w:r w:rsidR="00AB4A2D">
        <w:t xml:space="preserve"> </w:t>
      </w:r>
      <w:r w:rsidRPr="003973D0">
        <w:t>Accordingly, the Committee considers that it is not precluded by the requirements of article 5, paragraph 2 (b), of the Optional Protocol from examining the present communication.</w:t>
      </w:r>
    </w:p>
    <w:p w:rsidR="003973D0" w:rsidRPr="003973D0" w:rsidRDefault="003973D0" w:rsidP="001C5124">
      <w:pPr>
        <w:pStyle w:val="SingleTxtG"/>
      </w:pPr>
      <w:r w:rsidRPr="003973D0">
        <w:t>6.4</w:t>
      </w:r>
      <w:r w:rsidRPr="003973D0">
        <w:tab/>
        <w:t xml:space="preserve">In </w:t>
      </w:r>
      <w:r w:rsidR="0069500D">
        <w:t>the</w:t>
      </w:r>
      <w:r w:rsidRPr="003973D0">
        <w:t xml:space="preserve"> light of the information before it, the Committee considers that the author has sufficiently substantiated his claims under articles 14 and 19 of the Covenant for purposes of admissibility</w:t>
      </w:r>
      <w:r w:rsidR="0069500D">
        <w:t>. Accordingly, it</w:t>
      </w:r>
      <w:r w:rsidRPr="003973D0">
        <w:t xml:space="preserve"> declares </w:t>
      </w:r>
      <w:r w:rsidR="0069500D">
        <w:t>the communication</w:t>
      </w:r>
      <w:r w:rsidRPr="003973D0">
        <w:t xml:space="preserve"> admissible and proceeds to </w:t>
      </w:r>
      <w:r w:rsidR="0069500D">
        <w:t>its</w:t>
      </w:r>
      <w:r w:rsidRPr="003973D0">
        <w:t xml:space="preserve"> examination on the merits.</w:t>
      </w:r>
    </w:p>
    <w:p w:rsidR="003973D0" w:rsidRPr="003973D0" w:rsidRDefault="003973D0" w:rsidP="003973D0">
      <w:pPr>
        <w:pStyle w:val="H4G"/>
      </w:pPr>
      <w:r w:rsidRPr="003973D0">
        <w:tab/>
      </w:r>
      <w:r w:rsidRPr="003973D0">
        <w:tab/>
        <w:t>Consideration of merits</w:t>
      </w:r>
    </w:p>
    <w:p w:rsidR="003973D0" w:rsidRPr="003973D0" w:rsidRDefault="003973D0" w:rsidP="003973D0">
      <w:pPr>
        <w:pStyle w:val="SingleTxtG"/>
      </w:pPr>
      <w:r w:rsidRPr="003973D0">
        <w:t xml:space="preserve">7.1 </w:t>
      </w:r>
      <w:r w:rsidRPr="003973D0">
        <w:tab/>
        <w:t xml:space="preserve">The Human Rights Committee has considered the present communication in </w:t>
      </w:r>
      <w:r w:rsidR="0069500D">
        <w:t xml:space="preserve">the </w:t>
      </w:r>
      <w:r w:rsidRPr="003973D0">
        <w:t>light of all the information made available to it by the parties, as required under article 5, paragraph 1, of the Optional Protocol.</w:t>
      </w:r>
    </w:p>
    <w:p w:rsidR="003973D0" w:rsidRPr="003973D0" w:rsidRDefault="003973D0" w:rsidP="003973D0">
      <w:pPr>
        <w:pStyle w:val="SingleTxtG"/>
      </w:pPr>
      <w:r w:rsidRPr="003973D0">
        <w:t xml:space="preserve">7.2 </w:t>
      </w:r>
      <w:r w:rsidRPr="003973D0">
        <w:tab/>
        <w:t xml:space="preserve">The first issue before the Committee is whether the seizure of books that were in the author’s possession </w:t>
      </w:r>
      <w:r w:rsidR="0069500D">
        <w:t xml:space="preserve">when he was crossing the border with Poland </w:t>
      </w:r>
      <w:r w:rsidRPr="003973D0">
        <w:t xml:space="preserve">and his subsequent sentence to an administrative fine constitute a violation of the author’s rights under article 19 of the Covenant. </w:t>
      </w:r>
    </w:p>
    <w:p w:rsidR="003973D0" w:rsidRPr="003973D0" w:rsidRDefault="003973D0" w:rsidP="001C5124">
      <w:pPr>
        <w:pStyle w:val="SingleTxtG"/>
      </w:pPr>
      <w:r w:rsidRPr="003973D0">
        <w:t>7.3</w:t>
      </w:r>
      <w:r w:rsidRPr="003973D0">
        <w:tab/>
        <w:t>The Committee recalls that article 19, paragraph 2, of the Covenant requires States parties to guarantee the right to freedom of expression, including the freedom to seek, receive and impart information and ideas of all kinds, regardless of frontiers, either orally, in writing or in print. The Committee refers to its general comment No. 34 (2011) on</w:t>
      </w:r>
      <w:r w:rsidR="0069500D">
        <w:t xml:space="preserve"> article 19:</w:t>
      </w:r>
      <w:r w:rsidRPr="003973D0">
        <w:t xml:space="preserve"> freedoms of opinion and expression, according to which freedom of opinion and freedom of expression are indispensable conditions for the full development of the person. They are essential for any society and constitute the foundation stone for every free and democratic society</w:t>
      </w:r>
      <w:r w:rsidR="00DD486D">
        <w:t xml:space="preserve"> (para. 2)</w:t>
      </w:r>
      <w:r w:rsidRPr="003973D0">
        <w:t>.</w:t>
      </w:r>
      <w:r w:rsidRPr="003973D0">
        <w:rPr>
          <w:vertAlign w:val="superscript"/>
        </w:rPr>
        <w:t xml:space="preserve"> </w:t>
      </w:r>
      <w:r w:rsidRPr="003973D0">
        <w:t xml:space="preserve">Any restrictions on the exercise of these freedoms must conform to </w:t>
      </w:r>
      <w:r w:rsidR="00DD486D">
        <w:t xml:space="preserve">the </w:t>
      </w:r>
      <w:r w:rsidRPr="003973D0">
        <w:t>strict tests of necessity and proportionality. Restrictions must be applied only for those purposes for which they were prescribed and must be directly related to the specific need on which they are predicated</w:t>
      </w:r>
      <w:r w:rsidR="00DD486D">
        <w:t xml:space="preserve"> (para. 22)</w:t>
      </w:r>
      <w:r w:rsidRPr="003973D0">
        <w:t>.</w:t>
      </w:r>
      <w:r w:rsidRPr="003973D0">
        <w:rPr>
          <w:vertAlign w:val="superscript"/>
        </w:rPr>
        <w:footnoteReference w:id="7"/>
      </w:r>
      <w:r w:rsidRPr="003973D0">
        <w:rPr>
          <w:vertAlign w:val="superscript"/>
        </w:rPr>
        <w:t xml:space="preserve"> </w:t>
      </w:r>
    </w:p>
    <w:p w:rsidR="003973D0" w:rsidRPr="003973D0" w:rsidRDefault="003973D0" w:rsidP="001C5124">
      <w:pPr>
        <w:pStyle w:val="SingleTxtG"/>
      </w:pPr>
      <w:r w:rsidRPr="003973D0">
        <w:t>7.4</w:t>
      </w:r>
      <w:r w:rsidRPr="003973D0">
        <w:tab/>
        <w:t xml:space="preserve">The Committee recalls that article 19, paragraph 3, of the Covenant allows certain restrictions, but only as provided by law and necessary: (a) for respect of the rights or reputation of others; (b) for the protection of national security or of public order (ordre public), or of public health or morals. The Committee notes that if the State imposes a restriction, it is </w:t>
      </w:r>
      <w:r w:rsidR="001C5124">
        <w:t>up to</w:t>
      </w:r>
      <w:r w:rsidRPr="003973D0">
        <w:t xml:space="preserve"> the State party to demonstrate that the restriction on the rights under article 19, paragraph 2, of the Covenant was necessary in the case in question, and that even if, in principle, States parties may introduce a system aimed at reconciling an individual’s freedom to impart information and the general interest of maintaining public order in a certain area, the system must not operate in a way that is incompatible with the object and purpose of article 19 of the Covenant.</w:t>
      </w:r>
      <w:r w:rsidRPr="003973D0">
        <w:rPr>
          <w:vertAlign w:val="superscript"/>
        </w:rPr>
        <w:footnoteReference w:id="8"/>
      </w:r>
    </w:p>
    <w:p w:rsidR="003973D0" w:rsidRPr="003973D0" w:rsidRDefault="003973D0" w:rsidP="003973D0">
      <w:pPr>
        <w:pStyle w:val="SingleTxtG"/>
      </w:pPr>
      <w:r w:rsidRPr="003973D0">
        <w:lastRenderedPageBreak/>
        <w:t>7.5</w:t>
      </w:r>
      <w:r w:rsidRPr="003973D0">
        <w:tab/>
        <w:t xml:space="preserve">The Committee further notes that the State party has </w:t>
      </w:r>
      <w:r w:rsidR="00D03CD1">
        <w:t xml:space="preserve">not </w:t>
      </w:r>
      <w:r w:rsidRPr="003973D0">
        <w:t xml:space="preserve">submitted </w:t>
      </w:r>
      <w:r w:rsidR="00D03CD1">
        <w:t>its</w:t>
      </w:r>
      <w:r w:rsidRPr="003973D0">
        <w:t xml:space="preserve"> observations on the merits of the present communication </w:t>
      </w:r>
      <w:r w:rsidR="00D03CD1">
        <w:t>nor any</w:t>
      </w:r>
      <w:r w:rsidRPr="003973D0">
        <w:t xml:space="preserve"> justification or reasons as to how, in practice, the mere possession of copies of the books in question would fall under one of the legitimate restrictions set out in article 19, paragraph 3</w:t>
      </w:r>
      <w:r w:rsidR="00D03CD1">
        <w:t>,</w:t>
      </w:r>
      <w:r w:rsidRPr="003973D0">
        <w:t xml:space="preserve"> of the Covenant. The Committee observes that the national authorities have failed to explain why it was necessary to restrict the author’s right to freedom to seek, receive and impart information</w:t>
      </w:r>
      <w:r w:rsidR="00D03CD1">
        <w:t xml:space="preserve"> in relation to</w:t>
      </w:r>
      <w:r w:rsidRPr="003973D0">
        <w:t xml:space="preserve"> respect of the rights or reputations of others </w:t>
      </w:r>
      <w:r w:rsidR="00D03CD1">
        <w:t>or</w:t>
      </w:r>
      <w:r w:rsidRPr="003973D0">
        <w:t xml:space="preserve"> the protection of national security or of public order (ordre public), or of public health or morals.</w:t>
      </w:r>
    </w:p>
    <w:p w:rsidR="003973D0" w:rsidRPr="003973D0" w:rsidRDefault="003973D0" w:rsidP="00AB4A2D">
      <w:pPr>
        <w:pStyle w:val="SingleTxtG"/>
      </w:pPr>
      <w:r w:rsidRPr="003973D0">
        <w:t>7.6</w:t>
      </w:r>
      <w:r w:rsidRPr="003973D0">
        <w:tab/>
        <w:t>In the circumstances</w:t>
      </w:r>
      <w:r w:rsidR="00D03CD1">
        <w:t>,</w:t>
      </w:r>
      <w:r w:rsidRPr="003973D0">
        <w:t xml:space="preserve"> and in the absence of any information in th</w:t>
      </w:r>
      <w:r w:rsidR="00AB4A2D">
        <w:t>at</w:t>
      </w:r>
      <w:r w:rsidRPr="003973D0">
        <w:t xml:space="preserve"> regard from the State party justify</w:t>
      </w:r>
      <w:r w:rsidR="00D03CD1">
        <w:t>ing</w:t>
      </w:r>
      <w:r w:rsidRPr="003973D0">
        <w:t xml:space="preserve"> the restriction for </w:t>
      </w:r>
      <w:r w:rsidR="00D03CD1">
        <w:t>the</w:t>
      </w:r>
      <w:r w:rsidRPr="003973D0">
        <w:t xml:space="preserve"> purposes of article 19, paragraph 3, the Committee concludes that the author’s rights under article 19, paragraph 2</w:t>
      </w:r>
      <w:r w:rsidR="00D03CD1">
        <w:t>,</w:t>
      </w:r>
      <w:r w:rsidRPr="003973D0">
        <w:t xml:space="preserve"> of the </w:t>
      </w:r>
      <w:r w:rsidR="00D03CD1">
        <w:t xml:space="preserve">International </w:t>
      </w:r>
      <w:r w:rsidRPr="003973D0">
        <w:t xml:space="preserve">Covenant </w:t>
      </w:r>
      <w:r w:rsidR="00D03CD1">
        <w:t>on Civil and Political Rights</w:t>
      </w:r>
      <w:r w:rsidRPr="003973D0">
        <w:t xml:space="preserve"> have been violated. </w:t>
      </w:r>
    </w:p>
    <w:p w:rsidR="003973D0" w:rsidRPr="003973D0" w:rsidRDefault="003973D0" w:rsidP="003973D0">
      <w:pPr>
        <w:pStyle w:val="SingleTxtG"/>
      </w:pPr>
      <w:r w:rsidRPr="003973D0">
        <w:t>7.7</w:t>
      </w:r>
      <w:r w:rsidRPr="003973D0">
        <w:tab/>
        <w:t xml:space="preserve">The Committee further notes the author’s claim that he was not informed about the time and date of the administrative hearing, in violation of his rights under article 14, paragraph 1, of the Covenant. The Committee recalls that the Covenant </w:t>
      </w:r>
      <w:r w:rsidR="00D03CD1">
        <w:t>provides for</w:t>
      </w:r>
      <w:r w:rsidRPr="003973D0">
        <w:t xml:space="preserve"> everyone </w:t>
      </w:r>
      <w:r w:rsidR="00D03CD1">
        <w:t>to have</w:t>
      </w:r>
      <w:r w:rsidRPr="003973D0">
        <w:t xml:space="preserve"> the right to a fair and public hearing by a competent, independent and impartial tribunal established by law, and that the equality of arms is </w:t>
      </w:r>
      <w:r w:rsidR="00D03CD1">
        <w:t>an</w:t>
      </w:r>
      <w:r w:rsidRPr="003973D0">
        <w:t xml:space="preserve"> indispensable aspect of the fair trial principle</w:t>
      </w:r>
      <w:r w:rsidR="00D03CD1">
        <w:t>.</w:t>
      </w:r>
      <w:r w:rsidRPr="003973D0">
        <w:rPr>
          <w:vertAlign w:val="superscript"/>
        </w:rPr>
        <w:footnoteReference w:id="9"/>
      </w:r>
      <w:r w:rsidRPr="003973D0">
        <w:t xml:space="preserve"> The Committee refers to its general comment No. 32 (2007)</w:t>
      </w:r>
      <w:r w:rsidR="00D03CD1">
        <w:t xml:space="preserve"> on article 14: right</w:t>
      </w:r>
      <w:r w:rsidRPr="003973D0">
        <w:t xml:space="preserve"> to </w:t>
      </w:r>
      <w:r w:rsidR="00D03CD1">
        <w:t>equality before the courts and tribunals and to a fair trial</w:t>
      </w:r>
      <w:r w:rsidRPr="003973D0">
        <w:t>, which</w:t>
      </w:r>
      <w:r w:rsidR="007E4A10">
        <w:t xml:space="preserve"> states that</w:t>
      </w:r>
      <w:r w:rsidRPr="003973D0">
        <w:t xml:space="preserve"> courts must make information regarding the time and venue of oral hearings available</w:t>
      </w:r>
      <w:r w:rsidR="007E4A10">
        <w:t xml:space="preserve"> (para. 28)</w:t>
      </w:r>
      <w:r w:rsidRPr="003973D0">
        <w:t>. The author claims that the letter informing hi</w:t>
      </w:r>
      <w:r w:rsidR="00504CD0">
        <w:t xml:space="preserve">m about </w:t>
      </w:r>
      <w:r w:rsidR="007E4A10">
        <w:t xml:space="preserve">the </w:t>
      </w:r>
      <w:r w:rsidR="00504CD0">
        <w:t xml:space="preserve">time and date of the </w:t>
      </w:r>
      <w:r w:rsidRPr="003973D0">
        <w:t>hearing</w:t>
      </w:r>
      <w:r w:rsidR="007E4A10">
        <w:t xml:space="preserve"> to take place on </w:t>
      </w:r>
      <w:r w:rsidR="00504CD0">
        <w:t>17</w:t>
      </w:r>
      <w:r w:rsidR="007E4A10">
        <w:t xml:space="preserve"> </w:t>
      </w:r>
      <w:r w:rsidRPr="003973D0">
        <w:t>October 2006 was delivered to him only on 27 October 2006. He also claim</w:t>
      </w:r>
      <w:r w:rsidR="007E4A10">
        <w:t>s</w:t>
      </w:r>
      <w:r w:rsidRPr="003973D0">
        <w:t xml:space="preserve"> that the evidence </w:t>
      </w:r>
      <w:r w:rsidR="007E4A10">
        <w:t xml:space="preserve">that </w:t>
      </w:r>
      <w:r w:rsidRPr="003973D0">
        <w:t xml:space="preserve">he obtained </w:t>
      </w:r>
      <w:r w:rsidR="007E4A10">
        <w:t>from</w:t>
      </w:r>
      <w:r w:rsidRPr="003973D0">
        <w:t xml:space="preserve"> the post office in th</w:t>
      </w:r>
      <w:r w:rsidR="007E4A10">
        <w:t>at</w:t>
      </w:r>
      <w:r w:rsidRPr="003973D0">
        <w:t xml:space="preserve"> regard was ignored by the court when </w:t>
      </w:r>
      <w:r w:rsidR="007E4A10">
        <w:t xml:space="preserve">it </w:t>
      </w:r>
      <w:r w:rsidRPr="003973D0">
        <w:t>examin</w:t>
      </w:r>
      <w:r w:rsidR="007E4A10">
        <w:t>ed</w:t>
      </w:r>
      <w:r w:rsidRPr="003973D0">
        <w:t xml:space="preserve"> his appeal. In th</w:t>
      </w:r>
      <w:r w:rsidR="007E4A10">
        <w:t>o</w:t>
      </w:r>
      <w:r w:rsidRPr="003973D0">
        <w:t>se circumstances, and in the absence of any observations from the State party on th</w:t>
      </w:r>
      <w:r w:rsidR="007E4A10">
        <w:t>at</w:t>
      </w:r>
      <w:r w:rsidRPr="003973D0">
        <w:t xml:space="preserve"> specific claim, the Committee decides that due weight must be given to the author’s allegation. Accordingly, the Committee concludes that the author’s rights under article 14, paragraph 1, of the Covenant have been violated. </w:t>
      </w:r>
    </w:p>
    <w:p w:rsidR="003973D0" w:rsidRPr="003973D0" w:rsidRDefault="003973D0" w:rsidP="003973D0">
      <w:pPr>
        <w:pStyle w:val="SingleTxtG"/>
      </w:pPr>
      <w:r w:rsidRPr="003973D0">
        <w:t xml:space="preserve">8. </w:t>
      </w:r>
      <w:r w:rsidRPr="003973D0">
        <w:tab/>
        <w:t>The Human Rights Committee, acting under article 5, paragraph 4, of the Optional Protocol to the International Covenant on Civil and Political Rights, is of the view that the information before it discloses violation</w:t>
      </w:r>
      <w:r w:rsidR="00903B08">
        <w:t>s</w:t>
      </w:r>
      <w:r w:rsidRPr="003973D0">
        <w:t xml:space="preserve"> by the State party of the author’s rights under article 14, paragraph 1, and article 19, paragraph 2, of the Covenant.</w:t>
      </w:r>
    </w:p>
    <w:p w:rsidR="003973D0" w:rsidRPr="003973D0" w:rsidRDefault="003973D0" w:rsidP="003973D0">
      <w:pPr>
        <w:pStyle w:val="SingleTxtG"/>
      </w:pPr>
      <w:r w:rsidRPr="003973D0">
        <w:t>9.</w:t>
      </w:r>
      <w:r w:rsidRPr="003973D0">
        <w:tab/>
        <w:t>In accordance with article 2, paragraph 3 (a), of the Covenant, the State party is under an obligation to provide the author with an effective remedy, including reimbursement of any legal costs</w:t>
      </w:r>
      <w:r w:rsidR="00702EBB">
        <w:t xml:space="preserve"> </w:t>
      </w:r>
      <w:r w:rsidR="00903B08">
        <w:t xml:space="preserve">incurred by the author </w:t>
      </w:r>
      <w:r w:rsidR="00702EBB">
        <w:t xml:space="preserve">and </w:t>
      </w:r>
      <w:r w:rsidR="00903B08">
        <w:t xml:space="preserve">the </w:t>
      </w:r>
      <w:r w:rsidR="00702EBB">
        <w:t>present value of the fine</w:t>
      </w:r>
      <w:r w:rsidRPr="003973D0">
        <w:t xml:space="preserve"> </w:t>
      </w:r>
      <w:r w:rsidR="00903B08">
        <w:t>that he was required to pay</w:t>
      </w:r>
      <w:r w:rsidRPr="003973D0">
        <w:t>, together with compensation</w:t>
      </w:r>
      <w:r w:rsidRPr="003973D0">
        <w:rPr>
          <w:vertAlign w:val="superscript"/>
        </w:rPr>
        <w:footnoteReference w:id="10"/>
      </w:r>
      <w:r w:rsidRPr="003973D0">
        <w:t xml:space="preserve">. The State party is also under the obligation to take steps to </w:t>
      </w:r>
      <w:r w:rsidR="00903B08">
        <w:t>ensure that no</w:t>
      </w:r>
      <w:r w:rsidRPr="003973D0">
        <w:t xml:space="preserve"> similar violations </w:t>
      </w:r>
      <w:r w:rsidR="00903B08">
        <w:t>occur</w:t>
      </w:r>
      <w:r w:rsidRPr="003973D0">
        <w:t xml:space="preserve"> in the future.</w:t>
      </w:r>
    </w:p>
    <w:p w:rsidR="003973D0" w:rsidRPr="003973D0" w:rsidRDefault="003973D0" w:rsidP="003973D0">
      <w:pPr>
        <w:pStyle w:val="SingleTxtG"/>
      </w:pPr>
      <w:r w:rsidRPr="003973D0">
        <w:t>10.</w:t>
      </w:r>
      <w:r w:rsidRPr="003973D0">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w:t>
      </w:r>
      <w:r w:rsidR="00903B08">
        <w:t>,</w:t>
      </w:r>
      <w:r w:rsidRPr="003973D0">
        <w:t xml:space="preserve"> and to provide an effective and enforceable remedy </w:t>
      </w:r>
      <w:r w:rsidR="00903B08">
        <w:t>when</w:t>
      </w:r>
      <w:r w:rsidRPr="003973D0">
        <w:t xml:space="preserve"> a violation has been established, the Committee wishes to receive from the State party, within 180 days, information about the measures taken to give effect </w:t>
      </w:r>
      <w:r w:rsidRPr="003973D0">
        <w:lastRenderedPageBreak/>
        <w:t xml:space="preserve">to the Committee’s </w:t>
      </w:r>
      <w:r w:rsidR="00903B08">
        <w:t xml:space="preserve">present </w:t>
      </w:r>
      <w:r w:rsidRPr="003973D0">
        <w:t>Views. The State party is also requested to publish the present Views, and to have them widely disseminated in Belarusian and Russian in the State party.</w:t>
      </w:r>
    </w:p>
    <w:p w:rsidR="003973D0" w:rsidRPr="003973D0" w:rsidRDefault="003973D0" w:rsidP="003973D0">
      <w:pPr>
        <w:spacing w:before="240"/>
        <w:ind w:left="1134" w:right="1134"/>
        <w:jc w:val="center"/>
        <w:rPr>
          <w:u w:val="single"/>
        </w:rPr>
      </w:pPr>
      <w:r>
        <w:rPr>
          <w:u w:val="single"/>
        </w:rPr>
        <w:tab/>
      </w:r>
      <w:r>
        <w:rPr>
          <w:u w:val="single"/>
        </w:rPr>
        <w:tab/>
      </w:r>
      <w:r>
        <w:rPr>
          <w:u w:val="single"/>
        </w:rPr>
        <w:tab/>
      </w:r>
    </w:p>
    <w:sectPr w:rsidR="003973D0" w:rsidRPr="003973D0" w:rsidSect="003973D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37F" w:rsidRDefault="0080437F"/>
  </w:endnote>
  <w:endnote w:type="continuationSeparator" w:id="0">
    <w:p w:rsidR="0080437F" w:rsidRDefault="0080437F"/>
  </w:endnote>
  <w:endnote w:type="continuationNotice" w:id="1">
    <w:p w:rsidR="0080437F" w:rsidRDefault="00804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4C" w:rsidRPr="003973D0" w:rsidRDefault="00095C4C" w:rsidP="003973D0">
    <w:pPr>
      <w:pStyle w:val="Footer"/>
      <w:tabs>
        <w:tab w:val="right" w:pos="9638"/>
      </w:tabs>
    </w:pPr>
    <w:r w:rsidRPr="003973D0">
      <w:rPr>
        <w:b/>
        <w:sz w:val="18"/>
      </w:rPr>
      <w:fldChar w:fldCharType="begin"/>
    </w:r>
    <w:r w:rsidRPr="003973D0">
      <w:rPr>
        <w:b/>
        <w:sz w:val="18"/>
      </w:rPr>
      <w:instrText xml:space="preserve"> PAGE  \* MERGEFORMAT </w:instrText>
    </w:r>
    <w:r w:rsidRPr="003973D0">
      <w:rPr>
        <w:b/>
        <w:sz w:val="18"/>
      </w:rPr>
      <w:fldChar w:fldCharType="separate"/>
    </w:r>
    <w:r w:rsidR="00A36AB4">
      <w:rPr>
        <w:b/>
        <w:noProof/>
        <w:sz w:val="18"/>
      </w:rPr>
      <w:t>2</w:t>
    </w:r>
    <w:r w:rsidRPr="003973D0">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4C" w:rsidRPr="003973D0" w:rsidRDefault="00095C4C" w:rsidP="003973D0">
    <w:pPr>
      <w:pStyle w:val="Footer"/>
      <w:tabs>
        <w:tab w:val="right" w:pos="9638"/>
      </w:tabs>
      <w:rPr>
        <w:b/>
        <w:sz w:val="18"/>
      </w:rPr>
    </w:pPr>
    <w:r>
      <w:rPr>
        <w:sz w:val="20"/>
      </w:rPr>
      <w:tab/>
    </w:r>
    <w:r w:rsidRPr="003973D0">
      <w:rPr>
        <w:b/>
        <w:sz w:val="18"/>
      </w:rPr>
      <w:fldChar w:fldCharType="begin"/>
    </w:r>
    <w:r w:rsidRPr="003973D0">
      <w:rPr>
        <w:b/>
        <w:sz w:val="18"/>
      </w:rPr>
      <w:instrText xml:space="preserve"> PAGE  \* MERGEFORMAT </w:instrText>
    </w:r>
    <w:r w:rsidRPr="003973D0">
      <w:rPr>
        <w:b/>
        <w:sz w:val="18"/>
      </w:rPr>
      <w:fldChar w:fldCharType="separate"/>
    </w:r>
    <w:r w:rsidR="00A36AB4">
      <w:rPr>
        <w:b/>
        <w:noProof/>
        <w:sz w:val="18"/>
      </w:rPr>
      <w:t>3</w:t>
    </w:r>
    <w:r w:rsidRPr="003973D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4C" w:rsidRDefault="0080437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3" type="#_x0000_t75" alt="recycle_English" style="position:absolute;margin-left:351.75pt;margin-top:651.55pt;width:73.25pt;height:18.15pt;z-index:1;visibility:visible;mso-position-horizontal-relative:margin;mso-position-vertical-relative:margin">
          <v:imagedata r:id="rId1" o:title="recycle_English"/>
          <w10:wrap anchorx="margin" anchory="margin"/>
        </v:shape>
      </w:pict>
    </w:r>
    <w:r w:rsidR="00095C4C">
      <w:t>GE.14-</w:t>
    </w:r>
    <w:r w:rsidR="00C312CA">
      <w:t>15163</w:t>
    </w:r>
    <w:r w:rsidR="005D5E56">
      <w:t xml:space="preserve">  (E)</w:t>
    </w:r>
    <w:r w:rsidR="005D5E56">
      <w:br/>
    </w:r>
    <w:r w:rsidR="005D5E56">
      <w:rPr>
        <w:rFonts w:ascii="C39T30Lfz" w:hAnsi="C39T30Lfz"/>
        <w:sz w:val="56"/>
      </w:rPr>
      <w:t></w:t>
    </w:r>
    <w:r w:rsidR="005D5E56">
      <w:rPr>
        <w:rFonts w:ascii="C39T30Lfz" w:hAnsi="C39T30Lfz"/>
        <w:sz w:val="56"/>
      </w:rPr>
      <w:t></w:t>
    </w:r>
    <w:r w:rsidR="005D5E56">
      <w:rPr>
        <w:rFonts w:ascii="C39T30Lfz" w:hAnsi="C39T30Lfz"/>
        <w:sz w:val="56"/>
      </w:rPr>
      <w:t></w:t>
    </w:r>
    <w:r w:rsidR="005D5E56">
      <w:rPr>
        <w:rFonts w:ascii="C39T30Lfz" w:hAnsi="C39T30Lfz"/>
        <w:sz w:val="56"/>
      </w:rPr>
      <w:t></w:t>
    </w:r>
    <w:r w:rsidR="005D5E56">
      <w:rPr>
        <w:rFonts w:ascii="C39T30Lfz" w:hAnsi="C39T30Lfz"/>
        <w:sz w:val="56"/>
      </w:rPr>
      <w:t></w:t>
    </w:r>
    <w:r w:rsidR="005D5E56">
      <w:rPr>
        <w:rFonts w:ascii="C39T30Lfz" w:hAnsi="C39T30Lfz"/>
        <w:sz w:val="56"/>
      </w:rPr>
      <w:t></w:t>
    </w:r>
    <w:r w:rsidR="005D5E56">
      <w:rPr>
        <w:rFonts w:ascii="C39T30Lfz" w:hAnsi="C39T30Lfz"/>
        <w:sz w:val="56"/>
      </w:rPr>
      <w:t></w:t>
    </w:r>
    <w:r w:rsidR="005D5E56">
      <w:rPr>
        <w:rFonts w:ascii="C39T30Lfz" w:hAnsi="C39T30Lfz"/>
        <w:sz w:val="56"/>
      </w:rPr>
      <w:t></w:t>
    </w:r>
    <w:r w:rsidR="005D5E56" w:rsidRPr="005D5E56">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37F" w:rsidRPr="000B175B" w:rsidRDefault="0080437F" w:rsidP="000B175B">
      <w:pPr>
        <w:tabs>
          <w:tab w:val="right" w:pos="2155"/>
        </w:tabs>
        <w:spacing w:after="80"/>
        <w:ind w:left="680"/>
        <w:rPr>
          <w:u w:val="single"/>
        </w:rPr>
      </w:pPr>
      <w:r>
        <w:rPr>
          <w:u w:val="single"/>
        </w:rPr>
        <w:tab/>
      </w:r>
    </w:p>
  </w:footnote>
  <w:footnote w:type="continuationSeparator" w:id="0">
    <w:p w:rsidR="0080437F" w:rsidRPr="00FC68B7" w:rsidRDefault="0080437F" w:rsidP="00FC68B7">
      <w:pPr>
        <w:tabs>
          <w:tab w:val="left" w:pos="2155"/>
        </w:tabs>
        <w:spacing w:after="80"/>
        <w:ind w:left="680"/>
        <w:rPr>
          <w:u w:val="single"/>
        </w:rPr>
      </w:pPr>
      <w:r>
        <w:rPr>
          <w:u w:val="single"/>
        </w:rPr>
        <w:tab/>
      </w:r>
    </w:p>
  </w:footnote>
  <w:footnote w:type="continuationNotice" w:id="1">
    <w:p w:rsidR="0080437F" w:rsidRDefault="0080437F"/>
  </w:footnote>
  <w:footnote w:id="2">
    <w:p w:rsidR="00095C4C" w:rsidRPr="002D00D6" w:rsidRDefault="00095C4C" w:rsidP="003B40AF">
      <w:pPr>
        <w:pStyle w:val="FootnoteText"/>
      </w:pPr>
      <w:r>
        <w:tab/>
      </w:r>
      <w:r w:rsidRPr="00504CD0">
        <w:rPr>
          <w:rStyle w:val="FootnoteReference"/>
          <w:sz w:val="20"/>
          <w:vertAlign w:val="baseline"/>
        </w:rPr>
        <w:t>*</w:t>
      </w:r>
      <w:r>
        <w:rPr>
          <w:rStyle w:val="FootnoteReference"/>
        </w:rPr>
        <w:tab/>
      </w:r>
      <w:r w:rsidRPr="002D00D6">
        <w:t xml:space="preserve">The following members of the Committee participated in the </w:t>
      </w:r>
      <w:r w:rsidR="00DD486D">
        <w:t>consideration</w:t>
      </w:r>
      <w:r w:rsidRPr="002D00D6">
        <w:t xml:space="preserve"> of the present communication: Yadh Ben Achour, Lazhari Bouzid, Cornelis Flinterman, Yuji Iwasawa, Walter</w:t>
      </w:r>
      <w:r>
        <w:t> </w:t>
      </w:r>
      <w:r w:rsidRPr="002D00D6">
        <w:t>Kälin, Zonke Zanele Majodina, Gerald L. Neuman, Sir Nigel Rodley, Víctor Manuel Rodríguez Rescia, Fabián Omar Salvioli, Dheerujlall Seetulsingh, Anja Seibert-Fohr, Yuval Shany, Konstantine Vardzelashvili, Margo Waterval and Andrei Paul Zlătescu.</w:t>
      </w:r>
    </w:p>
  </w:footnote>
  <w:footnote w:id="3">
    <w:p w:rsidR="00095C4C" w:rsidRDefault="00095C4C" w:rsidP="003B40AF">
      <w:pPr>
        <w:pStyle w:val="FootnoteText"/>
      </w:pPr>
      <w:r>
        <w:tab/>
      </w:r>
      <w:r>
        <w:rPr>
          <w:rStyle w:val="FootnoteReference"/>
        </w:rPr>
        <w:footnoteRef/>
      </w:r>
      <w:r>
        <w:tab/>
      </w:r>
      <w:r w:rsidR="00DD486D">
        <w:t xml:space="preserve">Equivalent to US$ 775, </w:t>
      </w:r>
      <w:r w:rsidR="003B40AF">
        <w:t>based on</w:t>
      </w:r>
      <w:r>
        <w:t xml:space="preserve"> the exchange rate on the date of the court decision. </w:t>
      </w:r>
    </w:p>
  </w:footnote>
  <w:footnote w:id="4">
    <w:p w:rsidR="00095C4C" w:rsidRPr="007B3302" w:rsidRDefault="00095C4C" w:rsidP="003973D0">
      <w:pPr>
        <w:pStyle w:val="FootnoteText"/>
      </w:pPr>
      <w:r w:rsidRPr="007B3302">
        <w:tab/>
      </w:r>
      <w:r w:rsidRPr="00B33ABD">
        <w:rPr>
          <w:rStyle w:val="FootnoteReference"/>
        </w:rPr>
        <w:footnoteRef/>
      </w:r>
      <w:r>
        <w:tab/>
      </w:r>
      <w:r w:rsidRPr="007B3302">
        <w:rPr>
          <w:rFonts w:eastAsia="SimSun"/>
        </w:rPr>
        <w:t xml:space="preserve">See, inter alia, communication No. 869/1999, </w:t>
      </w:r>
      <w:r w:rsidRPr="00E51E81">
        <w:rPr>
          <w:rFonts w:eastAsia="SimSun"/>
          <w:i/>
        </w:rPr>
        <w:t xml:space="preserve">Piandiong et al. </w:t>
      </w:r>
      <w:r w:rsidRPr="0062426E">
        <w:rPr>
          <w:rFonts w:eastAsia="SimSun"/>
        </w:rPr>
        <w:t>v.</w:t>
      </w:r>
      <w:r w:rsidRPr="00E51E81">
        <w:rPr>
          <w:rFonts w:eastAsia="SimSun"/>
          <w:i/>
        </w:rPr>
        <w:t xml:space="preserve"> the </w:t>
      </w:r>
      <w:smartTag w:uri="urn:schemas-microsoft-com:office:smarttags" w:element="place">
        <w:smartTag w:uri="urn:schemas-microsoft-com:office:smarttags" w:element="country-region">
          <w:r w:rsidRPr="00E51E81">
            <w:rPr>
              <w:rFonts w:eastAsia="SimSun"/>
              <w:i/>
            </w:rPr>
            <w:t>Philippines</w:t>
          </w:r>
        </w:smartTag>
      </w:smartTag>
      <w:r w:rsidRPr="007B3302">
        <w:rPr>
          <w:rFonts w:eastAsia="SimSun"/>
        </w:rPr>
        <w:t>, Views adopted on 19 October 2000, para. 5.1.</w:t>
      </w:r>
      <w:r w:rsidRPr="007B3302">
        <w:t xml:space="preserve"> </w:t>
      </w:r>
    </w:p>
  </w:footnote>
  <w:footnote w:id="5">
    <w:p w:rsidR="00095C4C" w:rsidRPr="007B3302" w:rsidRDefault="00095C4C" w:rsidP="003973D0">
      <w:pPr>
        <w:pStyle w:val="FootnoteText"/>
      </w:pPr>
      <w:r w:rsidRPr="007B3302">
        <w:tab/>
      </w:r>
      <w:r w:rsidRPr="00B33ABD">
        <w:rPr>
          <w:rStyle w:val="FootnoteReference"/>
        </w:rPr>
        <w:footnoteRef/>
      </w:r>
      <w:r>
        <w:tab/>
      </w:r>
      <w:r w:rsidRPr="007B3302">
        <w:rPr>
          <w:rFonts w:eastAsia="SimSun"/>
        </w:rPr>
        <w:t>See</w:t>
      </w:r>
      <w:r>
        <w:rPr>
          <w:rFonts w:eastAsia="SimSun"/>
        </w:rPr>
        <w:t xml:space="preserve">, inter alia, </w:t>
      </w:r>
      <w:r w:rsidR="00DD486D" w:rsidRPr="007B3302">
        <w:rPr>
          <w:rFonts w:eastAsia="SimSun"/>
        </w:rPr>
        <w:t>communication</w:t>
      </w:r>
      <w:r w:rsidR="00DD486D">
        <w:rPr>
          <w:rFonts w:eastAsia="SimSun"/>
        </w:rPr>
        <w:t>s</w:t>
      </w:r>
      <w:r w:rsidRPr="007B3302">
        <w:rPr>
          <w:rFonts w:eastAsia="SimSun"/>
        </w:rPr>
        <w:t xml:space="preserve"> No. 1226/2003, </w:t>
      </w:r>
      <w:r w:rsidRPr="00E51E81">
        <w:rPr>
          <w:rFonts w:eastAsia="SimSun"/>
          <w:i/>
        </w:rPr>
        <w:t xml:space="preserve">Korneenko </w:t>
      </w:r>
      <w:r w:rsidRPr="0062426E">
        <w:rPr>
          <w:rFonts w:eastAsia="SimSun"/>
        </w:rPr>
        <w:t>v.</w:t>
      </w:r>
      <w:r w:rsidRPr="00E51E81">
        <w:rPr>
          <w:rFonts w:eastAsia="SimSun"/>
          <w:i/>
        </w:rPr>
        <w:t xml:space="preserve"> </w:t>
      </w:r>
      <w:smartTag w:uri="urn:schemas-microsoft-com:office:smarttags" w:element="place">
        <w:smartTag w:uri="urn:schemas-microsoft-com:office:smarttags" w:element="country-region">
          <w:r w:rsidRPr="00E51E81">
            <w:rPr>
              <w:rFonts w:eastAsia="SimSun"/>
              <w:i/>
            </w:rPr>
            <w:t>Belarus</w:t>
          </w:r>
        </w:smartTag>
      </w:smartTag>
      <w:r w:rsidRPr="007B3302">
        <w:rPr>
          <w:rFonts w:eastAsia="SimSun"/>
        </w:rPr>
        <w:t xml:space="preserve">, Views adopted on 20 July 2012, paras. 8.1 and 8.2; No. 1948/2010, </w:t>
      </w:r>
      <w:r w:rsidRPr="00E51E81">
        <w:rPr>
          <w:rFonts w:eastAsia="SimSun"/>
          <w:i/>
        </w:rPr>
        <w:t xml:space="preserve">Turchenyak et al </w:t>
      </w:r>
      <w:r w:rsidRPr="0062426E">
        <w:rPr>
          <w:rFonts w:eastAsia="SimSun"/>
        </w:rPr>
        <w:t>v.</w:t>
      </w:r>
      <w:r w:rsidRPr="00E51E81">
        <w:rPr>
          <w:rFonts w:eastAsia="SimSun"/>
          <w:i/>
        </w:rPr>
        <w:t xml:space="preserve"> </w:t>
      </w:r>
      <w:smartTag w:uri="urn:schemas-microsoft-com:office:smarttags" w:element="place">
        <w:smartTag w:uri="urn:schemas-microsoft-com:office:smarttags" w:element="country-region">
          <w:r w:rsidRPr="00E51E81">
            <w:rPr>
              <w:rFonts w:eastAsia="SimSun"/>
              <w:i/>
            </w:rPr>
            <w:t>Belarus</w:t>
          </w:r>
        </w:smartTag>
      </w:smartTag>
      <w:r w:rsidRPr="007B3302">
        <w:rPr>
          <w:rFonts w:eastAsia="SimSun"/>
        </w:rPr>
        <w:t>, Views adopted on 24 July 2013, paras. 5.1 and 5.2.</w:t>
      </w:r>
    </w:p>
  </w:footnote>
  <w:footnote w:id="6">
    <w:p w:rsidR="00095C4C" w:rsidRPr="00B6380E" w:rsidRDefault="00095C4C" w:rsidP="00763399">
      <w:pPr>
        <w:pStyle w:val="FootnoteText"/>
        <w:rPr>
          <w:szCs w:val="18"/>
        </w:rPr>
      </w:pPr>
      <w:r>
        <w:rPr>
          <w:szCs w:val="18"/>
        </w:rPr>
        <w:tab/>
      </w:r>
      <w:r w:rsidRPr="00B6380E">
        <w:rPr>
          <w:rStyle w:val="FootnoteReference"/>
          <w:szCs w:val="18"/>
        </w:rPr>
        <w:footnoteRef/>
      </w:r>
      <w:r>
        <w:rPr>
          <w:szCs w:val="18"/>
        </w:rPr>
        <w:tab/>
      </w:r>
      <w:r w:rsidRPr="000330D1">
        <w:rPr>
          <w:szCs w:val="18"/>
        </w:rPr>
        <w:t xml:space="preserve">Communication No. 1873/2009, </w:t>
      </w:r>
      <w:r w:rsidRPr="000330D1">
        <w:rPr>
          <w:i/>
          <w:szCs w:val="18"/>
        </w:rPr>
        <w:t xml:space="preserve">Alekseev </w:t>
      </w:r>
      <w:r w:rsidRPr="0062426E">
        <w:rPr>
          <w:iCs/>
          <w:szCs w:val="18"/>
        </w:rPr>
        <w:t>v.</w:t>
      </w:r>
      <w:r w:rsidRPr="000330D1">
        <w:rPr>
          <w:i/>
          <w:szCs w:val="18"/>
        </w:rPr>
        <w:t xml:space="preserve"> the Russian Federation</w:t>
      </w:r>
      <w:r w:rsidRPr="000330D1">
        <w:rPr>
          <w:szCs w:val="18"/>
        </w:rPr>
        <w:t>, Views adopted on 25 October 2013, para</w:t>
      </w:r>
      <w:r>
        <w:rPr>
          <w:szCs w:val="18"/>
        </w:rPr>
        <w:t>.</w:t>
      </w:r>
      <w:r w:rsidRPr="000330D1">
        <w:rPr>
          <w:szCs w:val="18"/>
        </w:rPr>
        <w:t xml:space="preserve"> 8.4</w:t>
      </w:r>
      <w:r>
        <w:rPr>
          <w:szCs w:val="18"/>
        </w:rPr>
        <w:t>.</w:t>
      </w:r>
      <w:r w:rsidRPr="00B6380E">
        <w:rPr>
          <w:szCs w:val="18"/>
        </w:rPr>
        <w:t xml:space="preserve"> </w:t>
      </w:r>
    </w:p>
  </w:footnote>
  <w:footnote w:id="7">
    <w:p w:rsidR="00095C4C" w:rsidRPr="007B3302" w:rsidRDefault="00095C4C" w:rsidP="003973D0">
      <w:pPr>
        <w:pStyle w:val="FootnoteText"/>
      </w:pPr>
      <w:r w:rsidRPr="007B3302">
        <w:tab/>
      </w:r>
      <w:r w:rsidRPr="00B01D34">
        <w:rPr>
          <w:rStyle w:val="FootnoteReference"/>
        </w:rPr>
        <w:footnoteRef/>
      </w:r>
      <w:r w:rsidRPr="007B3302">
        <w:tab/>
        <w:t xml:space="preserve">See also communication No. 1948/2010, </w:t>
      </w:r>
      <w:r w:rsidRPr="00B918B0">
        <w:rPr>
          <w:i/>
        </w:rPr>
        <w:t xml:space="preserve">Turchenyak et al. </w:t>
      </w:r>
      <w:r w:rsidRPr="0062426E">
        <w:t>v.</w:t>
      </w:r>
      <w:r w:rsidRPr="00B918B0">
        <w:rPr>
          <w:i/>
        </w:rPr>
        <w:t xml:space="preserve"> </w:t>
      </w:r>
      <w:smartTag w:uri="urn:schemas-microsoft-com:office:smarttags" w:element="place">
        <w:smartTag w:uri="urn:schemas-microsoft-com:office:smarttags" w:element="country-region">
          <w:r w:rsidRPr="00B918B0">
            <w:rPr>
              <w:i/>
            </w:rPr>
            <w:t>Belarus</w:t>
          </w:r>
        </w:smartTag>
      </w:smartTag>
      <w:r w:rsidRPr="007B3302">
        <w:t>, Views adopted on 24 July 2013, para. 7.7.</w:t>
      </w:r>
    </w:p>
  </w:footnote>
  <w:footnote w:id="8">
    <w:p w:rsidR="00095C4C" w:rsidRPr="007B3302" w:rsidRDefault="00095C4C" w:rsidP="003973D0">
      <w:pPr>
        <w:pStyle w:val="FootnoteText"/>
      </w:pPr>
      <w:r w:rsidRPr="007B3302">
        <w:tab/>
      </w:r>
      <w:r w:rsidRPr="00A50676">
        <w:rPr>
          <w:rStyle w:val="FootnoteReference"/>
        </w:rPr>
        <w:footnoteRef/>
      </w:r>
      <w:r w:rsidRPr="00A50676">
        <w:rPr>
          <w:vertAlign w:val="superscript"/>
        </w:rPr>
        <w:t xml:space="preserve"> </w:t>
      </w:r>
      <w:r w:rsidRPr="007B3302">
        <w:tab/>
        <w:t xml:space="preserve">See, for example, communication No. 1948/2010, </w:t>
      </w:r>
      <w:r w:rsidRPr="00B918B0">
        <w:rPr>
          <w:i/>
        </w:rPr>
        <w:t xml:space="preserve">Turchenyak et al. </w:t>
      </w:r>
      <w:r w:rsidRPr="0062426E">
        <w:t>v.</w:t>
      </w:r>
      <w:r w:rsidRPr="00B918B0">
        <w:rPr>
          <w:i/>
        </w:rPr>
        <w:t xml:space="preserve"> Belarus</w:t>
      </w:r>
      <w:r>
        <w:t>, Views adopted on 24 </w:t>
      </w:r>
      <w:r w:rsidRPr="007B3302">
        <w:t>July 2013, para. 7.8.</w:t>
      </w:r>
    </w:p>
  </w:footnote>
  <w:footnote w:id="9">
    <w:p w:rsidR="00095C4C" w:rsidRDefault="00095C4C" w:rsidP="00504CD0">
      <w:pPr>
        <w:pStyle w:val="FootnoteText"/>
      </w:pPr>
      <w:r>
        <w:tab/>
      </w:r>
      <w:r>
        <w:rPr>
          <w:rStyle w:val="FootnoteReference"/>
        </w:rPr>
        <w:footnoteRef/>
      </w:r>
      <w:r>
        <w:tab/>
        <w:t>See, for example, communication No. 307/1988</w:t>
      </w:r>
      <w:r w:rsidRPr="00B918B0">
        <w:rPr>
          <w:i/>
        </w:rPr>
        <w:t xml:space="preserve">, John Campbell </w:t>
      </w:r>
      <w:r w:rsidRPr="0062426E">
        <w:t>v</w:t>
      </w:r>
      <w:r w:rsidR="00D03CD1">
        <w:rPr>
          <w:iCs/>
        </w:rPr>
        <w:t>.</w:t>
      </w:r>
      <w:r w:rsidRPr="0062426E">
        <w:t xml:space="preserve"> </w:t>
      </w:r>
      <w:r w:rsidRPr="00B918B0">
        <w:rPr>
          <w:i/>
        </w:rPr>
        <w:t>Jamaica</w:t>
      </w:r>
      <w:r>
        <w:t xml:space="preserve">, Views adopted on 24 March 1993, para. 6.4. </w:t>
      </w:r>
    </w:p>
  </w:footnote>
  <w:footnote w:id="10">
    <w:p w:rsidR="00095C4C" w:rsidRPr="007B3302" w:rsidRDefault="00095C4C" w:rsidP="003973D0">
      <w:pPr>
        <w:pStyle w:val="FootnoteText"/>
      </w:pPr>
      <w:r>
        <w:tab/>
      </w:r>
      <w:r w:rsidRPr="0051219C">
        <w:rPr>
          <w:rStyle w:val="FootnoteReference"/>
        </w:rPr>
        <w:footnoteRef/>
      </w:r>
      <w:r w:rsidRPr="007B3302">
        <w:tab/>
        <w:t xml:space="preserve">See, for example, communication </w:t>
      </w:r>
      <w:r w:rsidR="00B9221C">
        <w:t xml:space="preserve">No. </w:t>
      </w:r>
      <w:r w:rsidRPr="007B3302">
        <w:t xml:space="preserve">1830/2008, </w:t>
      </w:r>
      <w:r w:rsidRPr="00B918B0">
        <w:rPr>
          <w:i/>
        </w:rPr>
        <w:t xml:space="preserve">Pivonos </w:t>
      </w:r>
      <w:r w:rsidRPr="0062426E">
        <w:t>v</w:t>
      </w:r>
      <w:r w:rsidR="00B9221C">
        <w:rPr>
          <w:i/>
        </w:rPr>
        <w:t>.</w:t>
      </w:r>
      <w:r w:rsidRPr="00B918B0">
        <w:rPr>
          <w:i/>
        </w:rPr>
        <w:t xml:space="preserve"> Belarus</w:t>
      </w:r>
      <w:r w:rsidRPr="007B3302">
        <w:t>, Views adopted on 20 October 2012, para</w:t>
      </w:r>
      <w:r>
        <w:t>.</w:t>
      </w:r>
      <w:r w:rsidRPr="007B3302">
        <w:t xml:space="preserve"> 11; </w:t>
      </w:r>
      <w:r w:rsidR="00B9221C">
        <w:t xml:space="preserve">and No. </w:t>
      </w:r>
      <w:r w:rsidRPr="007B3302">
        <w:t xml:space="preserve">1785/2008, </w:t>
      </w:r>
      <w:r w:rsidRPr="00B918B0">
        <w:rPr>
          <w:i/>
        </w:rPr>
        <w:t xml:space="preserve">Olechkevitch </w:t>
      </w:r>
      <w:r w:rsidRPr="0062426E">
        <w:t>v</w:t>
      </w:r>
      <w:r w:rsidR="00B9221C">
        <w:rPr>
          <w:iCs/>
        </w:rPr>
        <w:t>.</w:t>
      </w:r>
      <w:r w:rsidRPr="00B918B0">
        <w:rPr>
          <w:i/>
        </w:rPr>
        <w:t xml:space="preserve"> Belarus</w:t>
      </w:r>
      <w:r w:rsidRPr="007B3302">
        <w:t>, Views ado</w:t>
      </w:r>
      <w:r>
        <w:t>pted on 18 March 2013, para.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4C" w:rsidRPr="003973D0" w:rsidRDefault="00095C4C" w:rsidP="003973D0">
    <w:pPr>
      <w:pStyle w:val="Header"/>
    </w:pPr>
    <w:r>
      <w:t>CCPR/C/111/</w:t>
    </w:r>
    <w:r w:rsidR="00DD486D">
      <w:t>D</w:t>
    </w:r>
    <w:r>
      <w:t>/1991/2010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4C" w:rsidRPr="003973D0" w:rsidRDefault="00095C4C" w:rsidP="003973D0">
    <w:pPr>
      <w:pStyle w:val="Header"/>
      <w:jc w:val="right"/>
    </w:pPr>
    <w:r>
      <w:t>CCPR/C/111/</w:t>
    </w:r>
    <w:r w:rsidR="00DD486D">
      <w:t>D</w:t>
    </w:r>
    <w:r>
      <w:t>/1991/2010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E56" w:rsidRDefault="005D5E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3D0"/>
    <w:rsid w:val="000026FA"/>
    <w:rsid w:val="00026CC4"/>
    <w:rsid w:val="000272B3"/>
    <w:rsid w:val="00050F6B"/>
    <w:rsid w:val="00057E97"/>
    <w:rsid w:val="00060C3A"/>
    <w:rsid w:val="00072C8C"/>
    <w:rsid w:val="000733B5"/>
    <w:rsid w:val="0007559D"/>
    <w:rsid w:val="00081815"/>
    <w:rsid w:val="000931C0"/>
    <w:rsid w:val="00095C4C"/>
    <w:rsid w:val="000B175B"/>
    <w:rsid w:val="000B3A0F"/>
    <w:rsid w:val="000B4EF7"/>
    <w:rsid w:val="000C2C03"/>
    <w:rsid w:val="000C2D2E"/>
    <w:rsid w:val="000C71CD"/>
    <w:rsid w:val="000E0415"/>
    <w:rsid w:val="00106EE1"/>
    <w:rsid w:val="001103AA"/>
    <w:rsid w:val="00130F93"/>
    <w:rsid w:val="00131B48"/>
    <w:rsid w:val="00165F3A"/>
    <w:rsid w:val="00183968"/>
    <w:rsid w:val="001A6686"/>
    <w:rsid w:val="001B4B04"/>
    <w:rsid w:val="001B737A"/>
    <w:rsid w:val="001C5124"/>
    <w:rsid w:val="001C6663"/>
    <w:rsid w:val="001C7895"/>
    <w:rsid w:val="001D0C8C"/>
    <w:rsid w:val="001D26DF"/>
    <w:rsid w:val="001D3A03"/>
    <w:rsid w:val="001E7195"/>
    <w:rsid w:val="00202DA8"/>
    <w:rsid w:val="002056FF"/>
    <w:rsid w:val="00211E0B"/>
    <w:rsid w:val="002300E1"/>
    <w:rsid w:val="0023210C"/>
    <w:rsid w:val="00263256"/>
    <w:rsid w:val="00267F5F"/>
    <w:rsid w:val="0027707F"/>
    <w:rsid w:val="00286B4D"/>
    <w:rsid w:val="002A3339"/>
    <w:rsid w:val="002E4CBA"/>
    <w:rsid w:val="002F175C"/>
    <w:rsid w:val="002F428E"/>
    <w:rsid w:val="002F7D0C"/>
    <w:rsid w:val="00317496"/>
    <w:rsid w:val="003229D8"/>
    <w:rsid w:val="00352709"/>
    <w:rsid w:val="00367567"/>
    <w:rsid w:val="00371178"/>
    <w:rsid w:val="0038336C"/>
    <w:rsid w:val="00393D7F"/>
    <w:rsid w:val="003973D0"/>
    <w:rsid w:val="003A2BE5"/>
    <w:rsid w:val="003A6810"/>
    <w:rsid w:val="003A7BC2"/>
    <w:rsid w:val="003B40AF"/>
    <w:rsid w:val="003C2CC4"/>
    <w:rsid w:val="003D4B23"/>
    <w:rsid w:val="003E2819"/>
    <w:rsid w:val="00400FD8"/>
    <w:rsid w:val="00410C89"/>
    <w:rsid w:val="00426B9B"/>
    <w:rsid w:val="004325CB"/>
    <w:rsid w:val="00436B33"/>
    <w:rsid w:val="00442A83"/>
    <w:rsid w:val="0045495B"/>
    <w:rsid w:val="00487488"/>
    <w:rsid w:val="0049063B"/>
    <w:rsid w:val="00493DDB"/>
    <w:rsid w:val="004A1C11"/>
    <w:rsid w:val="004B2C94"/>
    <w:rsid w:val="004C4F4F"/>
    <w:rsid w:val="004D0D44"/>
    <w:rsid w:val="004E5987"/>
    <w:rsid w:val="004F7FE1"/>
    <w:rsid w:val="005021F8"/>
    <w:rsid w:val="00504CD0"/>
    <w:rsid w:val="0052136D"/>
    <w:rsid w:val="00524542"/>
    <w:rsid w:val="005252C6"/>
    <w:rsid w:val="0052775E"/>
    <w:rsid w:val="005420F2"/>
    <w:rsid w:val="00555C1D"/>
    <w:rsid w:val="005628B6"/>
    <w:rsid w:val="00563FE5"/>
    <w:rsid w:val="005848B3"/>
    <w:rsid w:val="00590F87"/>
    <w:rsid w:val="00592C4A"/>
    <w:rsid w:val="005B3DB3"/>
    <w:rsid w:val="005C1071"/>
    <w:rsid w:val="005C1084"/>
    <w:rsid w:val="005D5E56"/>
    <w:rsid w:val="005F7717"/>
    <w:rsid w:val="005F7B75"/>
    <w:rsid w:val="006001EE"/>
    <w:rsid w:val="00605042"/>
    <w:rsid w:val="00611FC4"/>
    <w:rsid w:val="006176FB"/>
    <w:rsid w:val="0062053A"/>
    <w:rsid w:val="0062426E"/>
    <w:rsid w:val="00640B26"/>
    <w:rsid w:val="00644992"/>
    <w:rsid w:val="00652D0A"/>
    <w:rsid w:val="00662BB6"/>
    <w:rsid w:val="00662D8E"/>
    <w:rsid w:val="00684C21"/>
    <w:rsid w:val="0069500D"/>
    <w:rsid w:val="006D37AF"/>
    <w:rsid w:val="006D51D0"/>
    <w:rsid w:val="006D7FCB"/>
    <w:rsid w:val="006E564B"/>
    <w:rsid w:val="006E7191"/>
    <w:rsid w:val="006F796E"/>
    <w:rsid w:val="00702EBB"/>
    <w:rsid w:val="00703577"/>
    <w:rsid w:val="007162B8"/>
    <w:rsid w:val="00721591"/>
    <w:rsid w:val="0072632A"/>
    <w:rsid w:val="007327D5"/>
    <w:rsid w:val="00733BBE"/>
    <w:rsid w:val="007629C8"/>
    <w:rsid w:val="00763399"/>
    <w:rsid w:val="0076551F"/>
    <w:rsid w:val="0078058F"/>
    <w:rsid w:val="00786927"/>
    <w:rsid w:val="00790E13"/>
    <w:rsid w:val="007B2714"/>
    <w:rsid w:val="007B6BA5"/>
    <w:rsid w:val="007C3390"/>
    <w:rsid w:val="007C3C5E"/>
    <w:rsid w:val="007C4F4B"/>
    <w:rsid w:val="007C784F"/>
    <w:rsid w:val="007D1D65"/>
    <w:rsid w:val="007D2EC4"/>
    <w:rsid w:val="007E0B2D"/>
    <w:rsid w:val="007E4A10"/>
    <w:rsid w:val="007F6611"/>
    <w:rsid w:val="0080437F"/>
    <w:rsid w:val="008105B8"/>
    <w:rsid w:val="008242D7"/>
    <w:rsid w:val="008257B1"/>
    <w:rsid w:val="00843767"/>
    <w:rsid w:val="00845449"/>
    <w:rsid w:val="00861B2E"/>
    <w:rsid w:val="008679D9"/>
    <w:rsid w:val="008979B1"/>
    <w:rsid w:val="008A1DB2"/>
    <w:rsid w:val="008A6B25"/>
    <w:rsid w:val="008A6C4F"/>
    <w:rsid w:val="008B2335"/>
    <w:rsid w:val="008B5E64"/>
    <w:rsid w:val="008D587D"/>
    <w:rsid w:val="008E0678"/>
    <w:rsid w:val="008E256F"/>
    <w:rsid w:val="008E65EC"/>
    <w:rsid w:val="00903B08"/>
    <w:rsid w:val="00910F40"/>
    <w:rsid w:val="00912C08"/>
    <w:rsid w:val="009223CA"/>
    <w:rsid w:val="009348B3"/>
    <w:rsid w:val="00940F93"/>
    <w:rsid w:val="0095347F"/>
    <w:rsid w:val="00975233"/>
    <w:rsid w:val="009760F3"/>
    <w:rsid w:val="0098799A"/>
    <w:rsid w:val="009909F5"/>
    <w:rsid w:val="009A0E8D"/>
    <w:rsid w:val="009B26E7"/>
    <w:rsid w:val="009B3751"/>
    <w:rsid w:val="009C04BD"/>
    <w:rsid w:val="009F3DAD"/>
    <w:rsid w:val="00A00A3F"/>
    <w:rsid w:val="00A01489"/>
    <w:rsid w:val="00A33057"/>
    <w:rsid w:val="00A338F1"/>
    <w:rsid w:val="00A36AB4"/>
    <w:rsid w:val="00A42FBB"/>
    <w:rsid w:val="00A44615"/>
    <w:rsid w:val="00A47367"/>
    <w:rsid w:val="00A72F22"/>
    <w:rsid w:val="00A7360F"/>
    <w:rsid w:val="00A748A6"/>
    <w:rsid w:val="00A769F4"/>
    <w:rsid w:val="00A776B4"/>
    <w:rsid w:val="00A9399A"/>
    <w:rsid w:val="00A94361"/>
    <w:rsid w:val="00AA293C"/>
    <w:rsid w:val="00AA695B"/>
    <w:rsid w:val="00AB4A2D"/>
    <w:rsid w:val="00AE21C9"/>
    <w:rsid w:val="00B1258A"/>
    <w:rsid w:val="00B13CDB"/>
    <w:rsid w:val="00B13E9B"/>
    <w:rsid w:val="00B26649"/>
    <w:rsid w:val="00B30179"/>
    <w:rsid w:val="00B339A7"/>
    <w:rsid w:val="00B34FB2"/>
    <w:rsid w:val="00B56E4A"/>
    <w:rsid w:val="00B56E9C"/>
    <w:rsid w:val="00B64B1F"/>
    <w:rsid w:val="00B6553F"/>
    <w:rsid w:val="00B66E5E"/>
    <w:rsid w:val="00B77D05"/>
    <w:rsid w:val="00B81206"/>
    <w:rsid w:val="00B81E12"/>
    <w:rsid w:val="00B9067B"/>
    <w:rsid w:val="00B9221C"/>
    <w:rsid w:val="00BA4FD0"/>
    <w:rsid w:val="00BC2C23"/>
    <w:rsid w:val="00BC74E9"/>
    <w:rsid w:val="00BF68A8"/>
    <w:rsid w:val="00C03489"/>
    <w:rsid w:val="00C10984"/>
    <w:rsid w:val="00C11A03"/>
    <w:rsid w:val="00C312CA"/>
    <w:rsid w:val="00C463DD"/>
    <w:rsid w:val="00C4724C"/>
    <w:rsid w:val="00C629A0"/>
    <w:rsid w:val="00C745C3"/>
    <w:rsid w:val="00C8731A"/>
    <w:rsid w:val="00CA087E"/>
    <w:rsid w:val="00CC6C48"/>
    <w:rsid w:val="00CE4A8F"/>
    <w:rsid w:val="00D03CD1"/>
    <w:rsid w:val="00D2031B"/>
    <w:rsid w:val="00D20775"/>
    <w:rsid w:val="00D25FE2"/>
    <w:rsid w:val="00D37C9A"/>
    <w:rsid w:val="00D40193"/>
    <w:rsid w:val="00D43252"/>
    <w:rsid w:val="00D47EEA"/>
    <w:rsid w:val="00D95303"/>
    <w:rsid w:val="00D978C6"/>
    <w:rsid w:val="00DA3111"/>
    <w:rsid w:val="00DA33D1"/>
    <w:rsid w:val="00DA3C1C"/>
    <w:rsid w:val="00DB0C79"/>
    <w:rsid w:val="00DB79AA"/>
    <w:rsid w:val="00DD486D"/>
    <w:rsid w:val="00DF1E6F"/>
    <w:rsid w:val="00E0002C"/>
    <w:rsid w:val="00E255D6"/>
    <w:rsid w:val="00E27346"/>
    <w:rsid w:val="00E31043"/>
    <w:rsid w:val="00E636A3"/>
    <w:rsid w:val="00E71BC8"/>
    <w:rsid w:val="00E7260F"/>
    <w:rsid w:val="00E779FC"/>
    <w:rsid w:val="00E8317F"/>
    <w:rsid w:val="00E96630"/>
    <w:rsid w:val="00EB2581"/>
    <w:rsid w:val="00EB290C"/>
    <w:rsid w:val="00ED7A2A"/>
    <w:rsid w:val="00EF1D7F"/>
    <w:rsid w:val="00F145B6"/>
    <w:rsid w:val="00F1625A"/>
    <w:rsid w:val="00F20C3D"/>
    <w:rsid w:val="00F43E9E"/>
    <w:rsid w:val="00F56F9B"/>
    <w:rsid w:val="00F9057C"/>
    <w:rsid w:val="00F906D7"/>
    <w:rsid w:val="00F93781"/>
    <w:rsid w:val="00FB613B"/>
    <w:rsid w:val="00FC68B7"/>
    <w:rsid w:val="00FD2281"/>
    <w:rsid w:val="00FE106A"/>
    <w:rsid w:val="00FE13EF"/>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4"/>
    <o:shapelayout v:ext="edit">
      <o:idmap v:ext="edit" data="1"/>
    </o:shapelayout>
  </w:shapeDefaults>
  <w:decimalSymbol w:val="."/>
  <w:listSeparator w:val=","/>
  <w15:docId w15:val="{829841E7-0C6E-4805-BA89-4DC67AF6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uiPriority w:val="99"/>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rsid w:val="003973D0"/>
    <w:rPr>
      <w:sz w:val="18"/>
      <w:lang w:eastAsia="en-US"/>
    </w:rPr>
  </w:style>
  <w:style w:type="paragraph" w:styleId="BalloonText">
    <w:name w:val="Balloon Text"/>
    <w:basedOn w:val="Normal"/>
    <w:link w:val="BalloonTextChar"/>
    <w:rsid w:val="0062053A"/>
    <w:pPr>
      <w:spacing w:line="240" w:lineRule="auto"/>
    </w:pPr>
    <w:rPr>
      <w:rFonts w:ascii="Tahoma" w:hAnsi="Tahoma"/>
      <w:sz w:val="16"/>
      <w:szCs w:val="16"/>
    </w:rPr>
  </w:style>
  <w:style w:type="character" w:customStyle="1" w:styleId="BalloonTextChar">
    <w:name w:val="Balloon Text Char"/>
    <w:link w:val="BalloonText"/>
    <w:rsid w:val="0062053A"/>
    <w:rPr>
      <w:rFonts w:ascii="Tahoma" w:hAnsi="Tahoma" w:cs="Tahoma"/>
      <w:sz w:val="16"/>
      <w:szCs w:val="16"/>
      <w:lang w:eastAsia="en-US"/>
    </w:rPr>
  </w:style>
  <w:style w:type="character" w:styleId="CommentReference">
    <w:name w:val="annotation reference"/>
    <w:semiHidden/>
    <w:rsid w:val="00786927"/>
    <w:rPr>
      <w:sz w:val="16"/>
      <w:szCs w:val="16"/>
    </w:rPr>
  </w:style>
  <w:style w:type="paragraph" w:styleId="CommentText">
    <w:name w:val="annotation text"/>
    <w:basedOn w:val="Normal"/>
    <w:link w:val="CommentTextChar"/>
    <w:semiHidden/>
    <w:rsid w:val="00786927"/>
  </w:style>
  <w:style w:type="character" w:customStyle="1" w:styleId="CommentTextChar">
    <w:name w:val="Comment Text Char"/>
    <w:link w:val="CommentText"/>
    <w:semiHidden/>
    <w:rsid w:val="00FE13EF"/>
    <w:rPr>
      <w:lang w:val="en-GB" w:eastAsia="en-US"/>
    </w:rPr>
  </w:style>
  <w:style w:type="paragraph" w:styleId="CommentSubject">
    <w:name w:val="annotation subject"/>
    <w:basedOn w:val="CommentText"/>
    <w:next w:val="CommentText"/>
    <w:link w:val="CommentSubjectChar"/>
    <w:semiHidden/>
    <w:rsid w:val="00786927"/>
    <w:rPr>
      <w:b/>
      <w:bCs/>
    </w:rPr>
  </w:style>
  <w:style w:type="character" w:customStyle="1" w:styleId="CommentSubjectChar">
    <w:name w:val="Comment Subject Char"/>
    <w:link w:val="CommentSubject"/>
    <w:semiHidden/>
    <w:rsid w:val="00FE13EF"/>
    <w:rPr>
      <w:b/>
      <w:bCs/>
      <w:lang w:val="en-GB" w:eastAsia="en-US"/>
    </w:rPr>
  </w:style>
  <w:style w:type="paragraph" w:styleId="Revision">
    <w:name w:val="Revision"/>
    <w:hidden/>
    <w:uiPriority w:val="99"/>
    <w:semiHidden/>
    <w:rsid w:val="00FE13E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8</Pages>
  <Words>3130</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2014-07-08T13:34:00Z</cp:lastPrinted>
  <dcterms:created xsi:type="dcterms:W3CDTF">2017-01-24T18:55:00Z</dcterms:created>
  <dcterms:modified xsi:type="dcterms:W3CDTF">2017-01-24T18:55:00Z</dcterms:modified>
</cp:coreProperties>
</file>