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8216A5" w:rsidP="008953A0">
            <w:pPr>
              <w:jc w:val="right"/>
            </w:pPr>
            <w:r w:rsidRPr="008216A5">
              <w:rPr>
                <w:sz w:val="40"/>
              </w:rPr>
              <w:t>CCPR</w:t>
            </w:r>
            <w:r>
              <w:t>/C/</w:t>
            </w:r>
            <w:r w:rsidR="00332D5C">
              <w:t>113</w:t>
            </w:r>
            <w:r w:rsidR="001013E3">
              <w:t>/</w:t>
            </w:r>
            <w:r>
              <w:t>D/</w:t>
            </w:r>
            <w:r w:rsidR="003134AC">
              <w:t>19</w:t>
            </w:r>
            <w:r w:rsidR="00F761B7">
              <w:t>92</w:t>
            </w:r>
            <w:r>
              <w:t>/</w:t>
            </w:r>
            <w:r w:rsidR="000308D4">
              <w:t>2010</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8B26D2" w:rsidP="00B6553F">
            <w:pPr>
              <w:spacing w:before="120"/>
            </w:pPr>
            <w:r>
              <w:rPr>
                <w:noProof/>
                <w:lang w:val="en-US"/>
              </w:rPr>
              <w:drawing>
                <wp:inline distT="0" distB="0" distL="0" distR="0">
                  <wp:extent cx="711200" cy="589280"/>
                  <wp:effectExtent l="0" t="0" r="0" b="127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200" cy="58928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B56E9C" w:rsidRDefault="00B56E9C" w:rsidP="00267F5F">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p w:rsidR="008953A0" w:rsidRPr="00267F5F" w:rsidRDefault="008953A0" w:rsidP="00267F5F">
            <w:pPr>
              <w:spacing w:before="120" w:line="380" w:lineRule="exact"/>
              <w:rPr>
                <w:sz w:val="34"/>
              </w:rPr>
            </w:pPr>
          </w:p>
        </w:tc>
        <w:tc>
          <w:tcPr>
            <w:tcW w:w="2835" w:type="dxa"/>
            <w:tcBorders>
              <w:top w:val="single" w:sz="4" w:space="0" w:color="auto"/>
              <w:bottom w:val="single" w:sz="12" w:space="0" w:color="auto"/>
            </w:tcBorders>
          </w:tcPr>
          <w:p w:rsidR="00B56E9C" w:rsidRDefault="008216A5" w:rsidP="008216A5">
            <w:pPr>
              <w:spacing w:before="240" w:line="240" w:lineRule="exact"/>
            </w:pPr>
            <w:r>
              <w:t xml:space="preserve">Distr.: </w:t>
            </w:r>
            <w:r w:rsidR="008953A0">
              <w:t>General</w:t>
            </w:r>
          </w:p>
          <w:p w:rsidR="008216A5" w:rsidRDefault="001D5CD5" w:rsidP="00790390">
            <w:pPr>
              <w:spacing w:line="240" w:lineRule="exact"/>
            </w:pPr>
            <w:r>
              <w:t>1</w:t>
            </w:r>
            <w:r w:rsidR="00790390">
              <w:t>3</w:t>
            </w:r>
            <w:r>
              <w:t xml:space="preserve"> May</w:t>
            </w:r>
            <w:r w:rsidR="003D2A4D">
              <w:t xml:space="preserve"> 2015</w:t>
            </w:r>
          </w:p>
          <w:p w:rsidR="008216A5" w:rsidRDefault="008216A5" w:rsidP="008216A5">
            <w:pPr>
              <w:spacing w:line="240" w:lineRule="exact"/>
            </w:pPr>
          </w:p>
          <w:p w:rsidR="008216A5" w:rsidRDefault="008216A5" w:rsidP="008216A5">
            <w:pPr>
              <w:spacing w:line="240" w:lineRule="exact"/>
            </w:pPr>
            <w:r>
              <w:t>Original: English</w:t>
            </w:r>
          </w:p>
          <w:p w:rsidR="003D2A4D" w:rsidRDefault="003D2A4D" w:rsidP="008216A5">
            <w:pPr>
              <w:spacing w:line="240" w:lineRule="exact"/>
            </w:pPr>
          </w:p>
        </w:tc>
      </w:tr>
    </w:tbl>
    <w:p w:rsidR="006A3F3A" w:rsidRPr="00DD0399" w:rsidRDefault="00DD0399" w:rsidP="00DD0399">
      <w:pPr>
        <w:spacing w:before="120"/>
        <w:rPr>
          <w:b/>
          <w:sz w:val="24"/>
          <w:szCs w:val="24"/>
        </w:rPr>
      </w:pPr>
      <w:r>
        <w:rPr>
          <w:b/>
          <w:sz w:val="24"/>
          <w:szCs w:val="24"/>
        </w:rPr>
        <w:t>Human Rights Committee</w:t>
      </w:r>
    </w:p>
    <w:p w:rsidR="003134AC" w:rsidRDefault="003134AC" w:rsidP="003134AC">
      <w:pPr>
        <w:pStyle w:val="HChG"/>
      </w:pPr>
      <w:r w:rsidRPr="009E31DB">
        <w:tab/>
      </w:r>
      <w:r w:rsidRPr="009E31DB">
        <w:tab/>
        <w:t>Communication</w:t>
      </w:r>
      <w:r w:rsidR="001C0674">
        <w:t xml:space="preserve"> No. </w:t>
      </w:r>
      <w:r>
        <w:t>19</w:t>
      </w:r>
      <w:r w:rsidR="00F761B7">
        <w:t>92</w:t>
      </w:r>
      <w:r>
        <w:t>/20</w:t>
      </w:r>
      <w:r w:rsidR="000308D4">
        <w:t>10</w:t>
      </w:r>
    </w:p>
    <w:p w:rsidR="00332D5C" w:rsidRPr="0041431D" w:rsidRDefault="00332D5C" w:rsidP="00332D5C">
      <w:pPr>
        <w:pStyle w:val="H1G"/>
      </w:pPr>
      <w:r w:rsidRPr="0041431D">
        <w:tab/>
      </w:r>
      <w:r w:rsidRPr="0041431D">
        <w:tab/>
      </w:r>
      <w:r w:rsidR="008953A0">
        <w:t>Views adopted by the Committee at its 113</w:t>
      </w:r>
      <w:r w:rsidR="008953A0" w:rsidRPr="00AA2137">
        <w:t>th</w:t>
      </w:r>
      <w:r w:rsidR="008953A0" w:rsidRPr="00A90599">
        <w:t xml:space="preserve"> </w:t>
      </w:r>
      <w:r w:rsidR="008953A0">
        <w:t xml:space="preserve">session </w:t>
      </w:r>
      <w:r w:rsidR="008953A0">
        <w:br/>
        <w:t>(16 March–2 April 2015)</w:t>
      </w:r>
    </w:p>
    <w:p w:rsidR="003134AC" w:rsidRPr="00F761B7" w:rsidRDefault="003134AC" w:rsidP="00AA2137">
      <w:pPr>
        <w:pStyle w:val="SingleTxtG"/>
        <w:ind w:left="4536" w:hanging="3402"/>
        <w:jc w:val="left"/>
      </w:pPr>
      <w:r w:rsidRPr="009707F5">
        <w:rPr>
          <w:i/>
        </w:rPr>
        <w:t>Submitted by:</w:t>
      </w:r>
      <w:r w:rsidRPr="009E31DB">
        <w:tab/>
      </w:r>
      <w:r w:rsidR="00F761B7">
        <w:t>Leonid Sudalenko (not represented by counsel)</w:t>
      </w:r>
    </w:p>
    <w:p w:rsidR="003134AC" w:rsidRPr="009E31DB" w:rsidRDefault="003134AC" w:rsidP="00AA2137">
      <w:pPr>
        <w:pStyle w:val="SingleTxtG"/>
        <w:ind w:left="4536" w:hanging="3402"/>
        <w:jc w:val="left"/>
      </w:pPr>
      <w:r w:rsidRPr="009707F5">
        <w:rPr>
          <w:i/>
        </w:rPr>
        <w:t>Alleged victim:</w:t>
      </w:r>
      <w:r w:rsidRPr="009E31DB">
        <w:tab/>
        <w:t>The author</w:t>
      </w:r>
    </w:p>
    <w:p w:rsidR="003134AC" w:rsidRPr="009E31DB" w:rsidRDefault="003134AC" w:rsidP="00AA2137">
      <w:pPr>
        <w:pStyle w:val="SingleTxtG"/>
        <w:ind w:left="4536" w:hanging="3402"/>
        <w:jc w:val="left"/>
      </w:pPr>
      <w:r w:rsidRPr="009707F5">
        <w:rPr>
          <w:i/>
        </w:rPr>
        <w:t>State party:</w:t>
      </w:r>
      <w:r w:rsidRPr="009E31DB">
        <w:tab/>
      </w:r>
      <w:r>
        <w:t>Belarus</w:t>
      </w:r>
    </w:p>
    <w:p w:rsidR="003134AC" w:rsidRPr="009E31DB" w:rsidRDefault="003134AC" w:rsidP="00AA2137">
      <w:pPr>
        <w:pStyle w:val="SingleTxtG"/>
        <w:ind w:left="4536" w:hanging="3402"/>
        <w:jc w:val="left"/>
      </w:pPr>
      <w:r w:rsidRPr="009707F5">
        <w:rPr>
          <w:i/>
        </w:rPr>
        <w:t>Date of communication:</w:t>
      </w:r>
      <w:r w:rsidRPr="009E31DB">
        <w:tab/>
      </w:r>
      <w:r w:rsidR="00F761B7">
        <w:t>17 April 2007</w:t>
      </w:r>
      <w:r w:rsidRPr="009E31DB">
        <w:t xml:space="preserve"> (initial submission)</w:t>
      </w:r>
      <w:r w:rsidRPr="009E31DB">
        <w:tab/>
      </w:r>
    </w:p>
    <w:p w:rsidR="003134AC" w:rsidRPr="009E31DB" w:rsidRDefault="003134AC" w:rsidP="00AA2137">
      <w:pPr>
        <w:pStyle w:val="SingleTxtG"/>
        <w:ind w:left="4536" w:hanging="3402"/>
        <w:jc w:val="left"/>
      </w:pPr>
      <w:r w:rsidRPr="009707F5">
        <w:rPr>
          <w:i/>
        </w:rPr>
        <w:t>Document references:</w:t>
      </w:r>
      <w:r w:rsidRPr="009E31DB">
        <w:tab/>
        <w:t xml:space="preserve">Special Rapporteur’s </w:t>
      </w:r>
      <w:r w:rsidR="00D46C27">
        <w:t>rule</w:t>
      </w:r>
      <w:r w:rsidRPr="009E31DB">
        <w:t xml:space="preserve"> 97 decision, transmitted to the State party on </w:t>
      </w:r>
      <w:r w:rsidR="00F761B7">
        <w:t xml:space="preserve">18 October </w:t>
      </w:r>
      <w:r w:rsidR="000308D4">
        <w:t>2010</w:t>
      </w:r>
      <w:r>
        <w:t xml:space="preserve"> </w:t>
      </w:r>
      <w:r w:rsidRPr="009E31DB">
        <w:t xml:space="preserve">(not issued in </w:t>
      </w:r>
      <w:r>
        <w:t xml:space="preserve">a </w:t>
      </w:r>
      <w:r w:rsidRPr="009E31DB">
        <w:t>document form)</w:t>
      </w:r>
    </w:p>
    <w:p w:rsidR="003134AC" w:rsidRDefault="003134AC" w:rsidP="00AA2137">
      <w:pPr>
        <w:pStyle w:val="SingleTxtG"/>
        <w:ind w:left="4536" w:hanging="3402"/>
        <w:jc w:val="left"/>
      </w:pPr>
      <w:r w:rsidRPr="009707F5">
        <w:rPr>
          <w:i/>
        </w:rPr>
        <w:t>Date of adoption of Views:</w:t>
      </w:r>
      <w:r w:rsidRPr="009E31DB">
        <w:tab/>
      </w:r>
      <w:r w:rsidR="008953A0">
        <w:t>27</w:t>
      </w:r>
      <w:r w:rsidR="008953A0" w:rsidRPr="009E31DB">
        <w:t xml:space="preserve"> </w:t>
      </w:r>
      <w:r w:rsidR="00332D5C">
        <w:t>March 2015</w:t>
      </w:r>
    </w:p>
    <w:p w:rsidR="003134AC" w:rsidRPr="00A47DF0" w:rsidRDefault="001D0DD1" w:rsidP="00AA2137">
      <w:pPr>
        <w:pStyle w:val="SingleTxtG"/>
        <w:ind w:left="4536" w:hanging="3402"/>
        <w:jc w:val="left"/>
      </w:pPr>
      <w:r w:rsidRPr="009E31DB">
        <w:rPr>
          <w:i/>
          <w:iCs/>
        </w:rPr>
        <w:t>Subject matter:</w:t>
      </w:r>
      <w:r w:rsidRPr="009E31DB">
        <w:tab/>
      </w:r>
      <w:r w:rsidR="00C739CF">
        <w:t>Right t</w:t>
      </w:r>
      <w:r w:rsidR="001013E3">
        <w:t>o be elected to public office; fair trial</w:t>
      </w:r>
    </w:p>
    <w:p w:rsidR="003134AC" w:rsidRPr="00C739CF" w:rsidRDefault="003134AC" w:rsidP="00AA2137">
      <w:pPr>
        <w:pStyle w:val="SingleTxtG"/>
        <w:ind w:left="4536" w:hanging="3402"/>
        <w:jc w:val="left"/>
      </w:pPr>
      <w:r w:rsidRPr="00A47DF0">
        <w:rPr>
          <w:i/>
          <w:iCs/>
        </w:rPr>
        <w:t xml:space="preserve">Substantive issues: </w:t>
      </w:r>
      <w:r w:rsidRPr="00A47DF0">
        <w:rPr>
          <w:i/>
          <w:iCs/>
        </w:rPr>
        <w:tab/>
      </w:r>
      <w:r w:rsidR="001D5CD5">
        <w:rPr>
          <w:iCs/>
        </w:rPr>
        <w:t>F</w:t>
      </w:r>
      <w:r w:rsidR="00C739CF">
        <w:rPr>
          <w:iCs/>
        </w:rPr>
        <w:t>air hearing by a competent, independent and impartial tribunal</w:t>
      </w:r>
      <w:r w:rsidR="001D5CD5">
        <w:rPr>
          <w:iCs/>
        </w:rPr>
        <w:t>;</w:t>
      </w:r>
      <w:r w:rsidR="00C739CF">
        <w:rPr>
          <w:iCs/>
        </w:rPr>
        <w:t xml:space="preserve"> freedom of expression</w:t>
      </w:r>
      <w:r w:rsidR="001D5CD5">
        <w:rPr>
          <w:iCs/>
        </w:rPr>
        <w:t>;</w:t>
      </w:r>
      <w:r w:rsidR="00C739CF">
        <w:rPr>
          <w:iCs/>
        </w:rPr>
        <w:t xml:space="preserve"> peaceful assembly </w:t>
      </w:r>
    </w:p>
    <w:p w:rsidR="003134AC" w:rsidRPr="00A46B9A" w:rsidRDefault="003134AC" w:rsidP="00AA2137">
      <w:pPr>
        <w:pStyle w:val="SingleTxtG"/>
        <w:ind w:left="4536" w:hanging="3402"/>
        <w:jc w:val="left"/>
      </w:pPr>
      <w:r w:rsidRPr="009E31DB">
        <w:rPr>
          <w:i/>
          <w:iCs/>
        </w:rPr>
        <w:t>Procedural issue</w:t>
      </w:r>
      <w:r>
        <w:rPr>
          <w:i/>
          <w:iCs/>
        </w:rPr>
        <w:t>s</w:t>
      </w:r>
      <w:r w:rsidRPr="009E31DB">
        <w:rPr>
          <w:i/>
          <w:iCs/>
        </w:rPr>
        <w:t xml:space="preserve">: </w:t>
      </w:r>
      <w:r w:rsidRPr="009E31DB">
        <w:rPr>
          <w:i/>
          <w:iCs/>
        </w:rPr>
        <w:tab/>
      </w:r>
      <w:r w:rsidR="00726A48">
        <w:rPr>
          <w:iCs/>
        </w:rPr>
        <w:t>State party’s failure to cooperate</w:t>
      </w:r>
      <w:r w:rsidR="001D5CD5">
        <w:rPr>
          <w:iCs/>
        </w:rPr>
        <w:t>;</w:t>
      </w:r>
      <w:r w:rsidR="00726A48">
        <w:rPr>
          <w:iCs/>
        </w:rPr>
        <w:t xml:space="preserve"> insufficient substantiation of claims</w:t>
      </w:r>
      <w:r w:rsidR="001D5CD5">
        <w:rPr>
          <w:iCs/>
        </w:rPr>
        <w:t>;</w:t>
      </w:r>
      <w:r w:rsidR="00726A48">
        <w:rPr>
          <w:iCs/>
        </w:rPr>
        <w:t xml:space="preserve"> non-exhaustion of domestic remedies</w:t>
      </w:r>
    </w:p>
    <w:p w:rsidR="003134AC" w:rsidRPr="00C739CF" w:rsidRDefault="003134AC" w:rsidP="00AA2137">
      <w:pPr>
        <w:pStyle w:val="SingleTxtG"/>
        <w:ind w:left="4536" w:hanging="3402"/>
        <w:jc w:val="left"/>
      </w:pPr>
      <w:r w:rsidRPr="00A46B9A">
        <w:rPr>
          <w:i/>
          <w:iCs/>
        </w:rPr>
        <w:t>Articles of the Covenant:</w:t>
      </w:r>
      <w:r w:rsidRPr="00A46B9A">
        <w:t xml:space="preserve"> </w:t>
      </w:r>
      <w:r w:rsidRPr="00A46B9A">
        <w:tab/>
      </w:r>
      <w:r w:rsidR="000172E7">
        <w:t>2,</w:t>
      </w:r>
      <w:r w:rsidR="001D5CD5">
        <w:t xml:space="preserve"> para. 3;</w:t>
      </w:r>
      <w:r w:rsidR="000172E7">
        <w:t xml:space="preserve"> </w:t>
      </w:r>
      <w:r w:rsidR="00CA2F7E">
        <w:t xml:space="preserve">14, </w:t>
      </w:r>
      <w:r w:rsidR="001D5CD5">
        <w:t xml:space="preserve">para. 1; </w:t>
      </w:r>
      <w:r w:rsidR="00CA2F7E">
        <w:t>19</w:t>
      </w:r>
      <w:r w:rsidR="001D5CD5">
        <w:t>;</w:t>
      </w:r>
      <w:r w:rsidR="00CA2F7E">
        <w:t xml:space="preserve"> 21</w:t>
      </w:r>
      <w:r w:rsidR="001D5CD5">
        <w:t xml:space="preserve"> and</w:t>
      </w:r>
      <w:r w:rsidR="00CA2F7E">
        <w:t xml:space="preserve"> 25</w:t>
      </w:r>
    </w:p>
    <w:p w:rsidR="003134AC" w:rsidRPr="00A777CF" w:rsidRDefault="003134AC" w:rsidP="00AA2137">
      <w:pPr>
        <w:pStyle w:val="SingleTxtG"/>
        <w:ind w:left="4536" w:hanging="3402"/>
        <w:jc w:val="left"/>
      </w:pPr>
      <w:r w:rsidRPr="009E31DB">
        <w:rPr>
          <w:i/>
          <w:iCs/>
        </w:rPr>
        <w:t>Art</w:t>
      </w:r>
      <w:r>
        <w:rPr>
          <w:i/>
          <w:iCs/>
        </w:rPr>
        <w:t>icles of the Optional Protocol:</w:t>
      </w:r>
      <w:r w:rsidR="00A66E0C" w:rsidRPr="00A66E0C">
        <w:rPr>
          <w:i/>
          <w:iCs/>
        </w:rPr>
        <w:tab/>
      </w:r>
      <w:r w:rsidRPr="002575B5">
        <w:rPr>
          <w:iCs/>
        </w:rPr>
        <w:t xml:space="preserve">2; </w:t>
      </w:r>
      <w:r w:rsidR="00A777CF">
        <w:t>5, para</w:t>
      </w:r>
      <w:r w:rsidR="001D5CD5">
        <w:t>.</w:t>
      </w:r>
      <w:r w:rsidR="00A777CF">
        <w:t xml:space="preserve"> 2 (b)</w:t>
      </w:r>
    </w:p>
    <w:p w:rsidR="003134AC" w:rsidRPr="009E31DB" w:rsidRDefault="00E052A2" w:rsidP="003134AC">
      <w:pPr>
        <w:pStyle w:val="HChG"/>
      </w:pPr>
      <w:r>
        <w:rPr>
          <w:noProof/>
          <w:lang w:val="en-US"/>
        </w:rPr>
        <w:drawing>
          <wp:anchor distT="0" distB="0" distL="114300" distR="114300" simplePos="0" relativeHeight="251658752" behindDoc="0" locked="0" layoutInCell="1" allowOverlap="1" wp14:anchorId="2F78BE1D" wp14:editId="46221AB4">
            <wp:simplePos x="0" y="0"/>
            <wp:positionH relativeFrom="column">
              <wp:posOffset>5476875</wp:posOffset>
            </wp:positionH>
            <wp:positionV relativeFrom="paragraph">
              <wp:posOffset>1559560</wp:posOffset>
            </wp:positionV>
            <wp:extent cx="638175" cy="638175"/>
            <wp:effectExtent l="0" t="0" r="9525" b="9525"/>
            <wp:wrapNone/>
            <wp:docPr id="4" name="Picture 4" descr="http://undocs.org/m2/QRCode.ashx?DS=CCPR/C/113/D/1992/2010&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ndocs.org/m2/QRCode.ashx?DS=CCPR/C/113/D/1992/2010&amp;Size=2 &amp;L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53A0" w:rsidRPr="009E31DB" w:rsidDel="008953A0">
        <w:t xml:space="preserve"> </w:t>
      </w:r>
      <w:r w:rsidR="003134AC" w:rsidRPr="009E31DB">
        <w:br w:type="page"/>
      </w:r>
      <w:r w:rsidR="003134AC" w:rsidRPr="009E31DB">
        <w:lastRenderedPageBreak/>
        <w:t>Annex</w:t>
      </w:r>
    </w:p>
    <w:p w:rsidR="003134AC" w:rsidRPr="009E31DB" w:rsidRDefault="003134AC" w:rsidP="003134AC">
      <w:pPr>
        <w:pStyle w:val="HChG"/>
        <w:rPr>
          <w:bCs/>
        </w:rPr>
      </w:pPr>
      <w:r w:rsidRPr="009E31DB">
        <w:tab/>
      </w:r>
      <w:r w:rsidRPr="009E31DB">
        <w:tab/>
        <w:t xml:space="preserve">Views of the Human Rights Committee under </w:t>
      </w:r>
      <w:r w:rsidR="001C0674">
        <w:t>article </w:t>
      </w:r>
      <w:r w:rsidRPr="009E31DB">
        <w:t>5, paragraph 4, of the Optional Protocol to the International Covenant on Civil and Political rights (</w:t>
      </w:r>
      <w:r>
        <w:t>11</w:t>
      </w:r>
      <w:r w:rsidR="00332D5C">
        <w:t>3</w:t>
      </w:r>
      <w:r>
        <w:t xml:space="preserve">th </w:t>
      </w:r>
      <w:r w:rsidRPr="009E31DB">
        <w:rPr>
          <w:bCs/>
        </w:rPr>
        <w:t>session)</w:t>
      </w:r>
    </w:p>
    <w:p w:rsidR="003134AC" w:rsidRPr="009E31DB" w:rsidRDefault="003134AC" w:rsidP="003134AC">
      <w:pPr>
        <w:pStyle w:val="SingleTxtG"/>
        <w:rPr>
          <w:b/>
          <w:bCs/>
        </w:rPr>
      </w:pPr>
      <w:r w:rsidRPr="009E31DB">
        <w:t>concerning</w:t>
      </w:r>
    </w:p>
    <w:p w:rsidR="003134AC" w:rsidRPr="009E31DB" w:rsidRDefault="003134AC" w:rsidP="003134AC">
      <w:pPr>
        <w:pStyle w:val="H1G"/>
      </w:pPr>
      <w:r w:rsidRPr="009E31DB">
        <w:tab/>
      </w:r>
      <w:r w:rsidRPr="009E31DB">
        <w:tab/>
        <w:t>Communication</w:t>
      </w:r>
      <w:r w:rsidR="001C0674">
        <w:t xml:space="preserve"> No. </w:t>
      </w:r>
      <w:r>
        <w:t>19</w:t>
      </w:r>
      <w:r w:rsidR="00F761B7">
        <w:t>92</w:t>
      </w:r>
      <w:r>
        <w:t>/20</w:t>
      </w:r>
      <w:r w:rsidR="000308D4">
        <w:t>10</w:t>
      </w:r>
      <w:r w:rsidR="008953A0" w:rsidRPr="00AA2137">
        <w:rPr>
          <w:rStyle w:val="FootnoteReference"/>
          <w:b w:val="0"/>
          <w:bCs/>
          <w:sz w:val="20"/>
          <w:vertAlign w:val="baseline"/>
        </w:rPr>
        <w:footnoteReference w:customMarkFollows="1" w:id="2"/>
        <w:t>*</w:t>
      </w:r>
    </w:p>
    <w:p w:rsidR="003134AC" w:rsidRPr="00F761B7" w:rsidRDefault="003134AC" w:rsidP="00AA2137">
      <w:pPr>
        <w:pStyle w:val="SingleTxtG"/>
        <w:ind w:left="4536" w:hanging="3402"/>
        <w:jc w:val="left"/>
      </w:pPr>
      <w:r w:rsidRPr="009707F5">
        <w:rPr>
          <w:i/>
        </w:rPr>
        <w:t>Submitted by:</w:t>
      </w:r>
      <w:r w:rsidRPr="009E31DB">
        <w:tab/>
      </w:r>
      <w:r w:rsidR="00F761B7">
        <w:t>Leonid Sudalenko (not represented by counsel)</w:t>
      </w:r>
    </w:p>
    <w:p w:rsidR="003134AC" w:rsidRPr="009E31DB" w:rsidRDefault="003134AC" w:rsidP="00AA2137">
      <w:pPr>
        <w:pStyle w:val="SingleTxtG"/>
        <w:ind w:left="4536" w:hanging="3402"/>
        <w:jc w:val="left"/>
      </w:pPr>
      <w:r w:rsidRPr="009707F5">
        <w:rPr>
          <w:i/>
        </w:rPr>
        <w:t>Alleged victim:</w:t>
      </w:r>
      <w:r w:rsidRPr="009E31DB">
        <w:tab/>
        <w:t>The author</w:t>
      </w:r>
    </w:p>
    <w:p w:rsidR="003134AC" w:rsidRPr="009E31DB" w:rsidRDefault="003134AC" w:rsidP="00AA2137">
      <w:pPr>
        <w:pStyle w:val="SingleTxtG"/>
        <w:ind w:left="4536" w:hanging="3402"/>
        <w:jc w:val="left"/>
      </w:pPr>
      <w:r w:rsidRPr="009707F5">
        <w:rPr>
          <w:i/>
        </w:rPr>
        <w:t>State party:</w:t>
      </w:r>
      <w:r w:rsidRPr="009E31DB">
        <w:tab/>
      </w:r>
      <w:r>
        <w:t>Belarus</w:t>
      </w:r>
    </w:p>
    <w:p w:rsidR="003134AC" w:rsidRPr="009E31DB" w:rsidRDefault="003134AC" w:rsidP="00AA2137">
      <w:pPr>
        <w:pStyle w:val="SingleTxtG"/>
        <w:ind w:left="4536" w:hanging="3402"/>
        <w:jc w:val="left"/>
      </w:pPr>
      <w:r w:rsidRPr="009707F5">
        <w:rPr>
          <w:i/>
        </w:rPr>
        <w:t>Date of communication:</w:t>
      </w:r>
      <w:r w:rsidRPr="009E31DB">
        <w:tab/>
      </w:r>
      <w:r w:rsidR="00F761B7">
        <w:t>17 April 2007</w:t>
      </w:r>
      <w:r w:rsidRPr="00E76216">
        <w:t xml:space="preserve"> (initial submission)</w:t>
      </w:r>
    </w:p>
    <w:p w:rsidR="003134AC" w:rsidRPr="009E31DB" w:rsidRDefault="003134AC" w:rsidP="003134AC">
      <w:pPr>
        <w:pStyle w:val="SingleTxtG"/>
      </w:pPr>
      <w:r w:rsidRPr="009E31DB">
        <w:tab/>
      </w:r>
      <w:r w:rsidRPr="009707F5">
        <w:rPr>
          <w:i/>
        </w:rPr>
        <w:t>The Human Rights Committee</w:t>
      </w:r>
      <w:r w:rsidRPr="009E31DB">
        <w:t xml:space="preserve">, established under </w:t>
      </w:r>
      <w:r w:rsidR="001C0674">
        <w:t>article </w:t>
      </w:r>
      <w:r w:rsidRPr="009E31DB">
        <w:t xml:space="preserve">28 of the International Covenant on Civil and Political Rights, </w:t>
      </w:r>
    </w:p>
    <w:p w:rsidR="003134AC" w:rsidRPr="009E31DB" w:rsidRDefault="003134AC" w:rsidP="003134AC">
      <w:pPr>
        <w:pStyle w:val="SingleTxtG"/>
      </w:pPr>
      <w:r w:rsidRPr="009E31DB">
        <w:tab/>
      </w:r>
      <w:r w:rsidRPr="009707F5">
        <w:rPr>
          <w:i/>
        </w:rPr>
        <w:t>Meeting on</w:t>
      </w:r>
      <w:r w:rsidRPr="009E31DB">
        <w:t xml:space="preserve"> </w:t>
      </w:r>
      <w:r w:rsidR="008953A0">
        <w:t>27</w:t>
      </w:r>
      <w:r w:rsidR="008953A0" w:rsidRPr="009E31DB">
        <w:t xml:space="preserve"> </w:t>
      </w:r>
      <w:r w:rsidR="00332D5C">
        <w:t>March 2015</w:t>
      </w:r>
      <w:r w:rsidRPr="009E31DB">
        <w:t>,</w:t>
      </w:r>
    </w:p>
    <w:p w:rsidR="003134AC" w:rsidRPr="009E31DB" w:rsidRDefault="003134AC" w:rsidP="001D5CD5">
      <w:pPr>
        <w:pStyle w:val="SingleTxtG"/>
      </w:pPr>
      <w:r w:rsidRPr="009E31DB">
        <w:tab/>
      </w:r>
      <w:r w:rsidRPr="009707F5">
        <w:rPr>
          <w:i/>
        </w:rPr>
        <w:t>Having concluded</w:t>
      </w:r>
      <w:r w:rsidRPr="009E31DB">
        <w:t xml:space="preserve"> its consideration of communication</w:t>
      </w:r>
      <w:r w:rsidR="001C0674">
        <w:t xml:space="preserve"> No. </w:t>
      </w:r>
      <w:r>
        <w:t>19</w:t>
      </w:r>
      <w:r w:rsidR="00F761B7">
        <w:t>92</w:t>
      </w:r>
      <w:r>
        <w:t>/20</w:t>
      </w:r>
      <w:r w:rsidR="000308D4">
        <w:t>10</w:t>
      </w:r>
      <w:r w:rsidRPr="009E31DB">
        <w:t xml:space="preserve">, submitted to </w:t>
      </w:r>
      <w:r>
        <w:t xml:space="preserve">the Human Rights Committee by </w:t>
      </w:r>
      <w:r w:rsidR="00F761B7">
        <w:t>Leonid Sudalenko</w:t>
      </w:r>
      <w:r w:rsidR="001D5CD5">
        <w:t>,</w:t>
      </w:r>
      <w:r w:rsidRPr="009E31DB">
        <w:t xml:space="preserve"> under the Optional Protocol to the International Covenant on Civil and Political Rights,</w:t>
      </w:r>
    </w:p>
    <w:p w:rsidR="003134AC" w:rsidRPr="009E31DB" w:rsidRDefault="003134AC" w:rsidP="003134AC">
      <w:pPr>
        <w:pStyle w:val="SingleTxtG"/>
      </w:pPr>
      <w:r w:rsidRPr="009E31DB">
        <w:tab/>
      </w:r>
      <w:r w:rsidRPr="009707F5">
        <w:rPr>
          <w:i/>
        </w:rPr>
        <w:t>Having taken into account</w:t>
      </w:r>
      <w:r w:rsidRPr="009E31DB">
        <w:t xml:space="preserve"> all written information made available to it by the author of the communication and the State party,</w:t>
      </w:r>
    </w:p>
    <w:p w:rsidR="003134AC" w:rsidRPr="009E31DB" w:rsidRDefault="003134AC" w:rsidP="003134AC">
      <w:pPr>
        <w:pStyle w:val="SingleTxtG"/>
      </w:pPr>
      <w:r w:rsidRPr="009E31DB">
        <w:tab/>
      </w:r>
      <w:r w:rsidRPr="009707F5">
        <w:rPr>
          <w:i/>
        </w:rPr>
        <w:t xml:space="preserve">Adopts </w:t>
      </w:r>
      <w:r w:rsidRPr="00AA2137">
        <w:rPr>
          <w:iCs/>
        </w:rPr>
        <w:t>the following:</w:t>
      </w:r>
    </w:p>
    <w:p w:rsidR="003134AC" w:rsidRPr="007B3302" w:rsidRDefault="003134AC" w:rsidP="00AA2137">
      <w:pPr>
        <w:pStyle w:val="H1G"/>
        <w:rPr>
          <w:i/>
          <w:iCs/>
        </w:rPr>
      </w:pPr>
      <w:r w:rsidRPr="009E31DB">
        <w:tab/>
      </w:r>
      <w:r w:rsidRPr="009E31DB">
        <w:tab/>
        <w:t xml:space="preserve">Views under </w:t>
      </w:r>
      <w:r w:rsidR="001C0674">
        <w:t>article </w:t>
      </w:r>
      <w:r w:rsidRPr="009E31DB">
        <w:t>5, paragraph 4, of the Optional Protocol</w:t>
      </w:r>
    </w:p>
    <w:p w:rsidR="003134AC" w:rsidRPr="006A4949" w:rsidRDefault="003134AC" w:rsidP="001D5CD5">
      <w:pPr>
        <w:pStyle w:val="SingleTxtG"/>
      </w:pPr>
      <w:r w:rsidRPr="006A4949">
        <w:t>1.</w:t>
      </w:r>
      <w:r w:rsidRPr="006A4949">
        <w:tab/>
      </w:r>
      <w:r w:rsidR="00F761B7" w:rsidRPr="006A4949">
        <w:t>The author of the communication is Leonid Sudalenko, a Belarus</w:t>
      </w:r>
      <w:r w:rsidR="001013E3">
        <w:t>ian</w:t>
      </w:r>
      <w:r w:rsidR="00F761B7" w:rsidRPr="006A4949">
        <w:t xml:space="preserve"> national, born in 1966. He claims to be a victim of violations by Belarus of his rights under </w:t>
      </w:r>
      <w:r w:rsidR="001C0674">
        <w:t>article</w:t>
      </w:r>
      <w:r w:rsidR="001D5CD5">
        <w:t>s</w:t>
      </w:r>
      <w:r w:rsidR="001C0674">
        <w:t> </w:t>
      </w:r>
      <w:r w:rsidR="00F761B7" w:rsidRPr="006A4949">
        <w:t>2,</w:t>
      </w:r>
      <w:r w:rsidR="000172E7">
        <w:t xml:space="preserve"> paragraph 3</w:t>
      </w:r>
      <w:r w:rsidR="001D5CD5">
        <w:t>;</w:t>
      </w:r>
      <w:r w:rsidR="00F761B7" w:rsidRPr="006A4949">
        <w:t xml:space="preserve"> 14, paragraph</w:t>
      </w:r>
      <w:r w:rsidR="003D6C1B">
        <w:t> </w:t>
      </w:r>
      <w:r w:rsidR="00F761B7" w:rsidRPr="006A4949">
        <w:t>1</w:t>
      </w:r>
      <w:r w:rsidR="001D5CD5">
        <w:t>;</w:t>
      </w:r>
      <w:r w:rsidR="00F761B7" w:rsidRPr="006A4949">
        <w:t xml:space="preserve"> 19</w:t>
      </w:r>
      <w:r w:rsidR="001D5CD5">
        <w:t>;</w:t>
      </w:r>
      <w:r w:rsidR="00F761B7" w:rsidRPr="006A4949">
        <w:t xml:space="preserve"> 21 and 25 of the International Covenant on Civil and Political Rights. The Optional Protocol entered into force for Belarus on 30 December 1992. The author is </w:t>
      </w:r>
      <w:r w:rsidR="006A4949" w:rsidRPr="006A4949">
        <w:t xml:space="preserve">not </w:t>
      </w:r>
      <w:r w:rsidR="00F761B7" w:rsidRPr="006A4949">
        <w:t>represented.</w:t>
      </w:r>
      <w:r w:rsidR="00332D5C">
        <w:t xml:space="preserve"> </w:t>
      </w:r>
    </w:p>
    <w:p w:rsidR="003134AC" w:rsidRPr="006A4949" w:rsidRDefault="003134AC" w:rsidP="001D5CD5">
      <w:pPr>
        <w:pStyle w:val="H23G"/>
      </w:pPr>
      <w:r w:rsidRPr="006A4949">
        <w:tab/>
      </w:r>
      <w:r w:rsidRPr="006A4949">
        <w:tab/>
      </w:r>
      <w:r w:rsidR="00E17C73" w:rsidRPr="006A4949">
        <w:t xml:space="preserve">Facts as </w:t>
      </w:r>
      <w:r w:rsidR="001D5CD5">
        <w:t>submitted</w:t>
      </w:r>
      <w:r w:rsidR="001D5CD5" w:rsidRPr="006A4949">
        <w:t xml:space="preserve"> </w:t>
      </w:r>
      <w:r w:rsidR="00E17C73" w:rsidRPr="006A4949">
        <w:t>by the author</w:t>
      </w:r>
    </w:p>
    <w:p w:rsidR="009C0CEC" w:rsidRDefault="00574EB0" w:rsidP="00A52B22">
      <w:pPr>
        <w:pStyle w:val="SingleTxtG"/>
      </w:pPr>
      <w:r>
        <w:t>2.1</w:t>
      </w:r>
      <w:r w:rsidR="00F761B7" w:rsidRPr="006A4949">
        <w:tab/>
        <w:t>The author</w:t>
      </w:r>
      <w:r w:rsidR="009C0CEC">
        <w:t xml:space="preserve"> submits that</w:t>
      </w:r>
      <w:r w:rsidR="00A52B22">
        <w:t>,</w:t>
      </w:r>
      <w:r w:rsidR="009C0CEC">
        <w:t xml:space="preserve"> </w:t>
      </w:r>
      <w:r w:rsidR="00A52B22" w:rsidRPr="006A4949">
        <w:t>as a member of the United Civic Party of Belarus (opposition party)</w:t>
      </w:r>
      <w:r w:rsidR="00A52B22">
        <w:t xml:space="preserve">, </w:t>
      </w:r>
      <w:r w:rsidR="009C0CEC">
        <w:t>he</w:t>
      </w:r>
      <w:r w:rsidR="00F761B7" w:rsidRPr="006A4949">
        <w:t xml:space="preserve"> was </w:t>
      </w:r>
      <w:r w:rsidR="00A52B22">
        <w:t xml:space="preserve">running as </w:t>
      </w:r>
      <w:r w:rsidR="00F761B7" w:rsidRPr="006A4949">
        <w:t xml:space="preserve">a candidate for </w:t>
      </w:r>
      <w:r w:rsidR="00A52B22">
        <w:t>the position of councillor (deputy)</w:t>
      </w:r>
      <w:r w:rsidR="00F761B7" w:rsidRPr="006A4949">
        <w:t xml:space="preserve"> </w:t>
      </w:r>
      <w:r w:rsidR="00A52B22">
        <w:t>on</w:t>
      </w:r>
      <w:r w:rsidR="00F761B7" w:rsidRPr="006A4949">
        <w:t xml:space="preserve"> the</w:t>
      </w:r>
      <w:r w:rsidR="009C0CEC">
        <w:t xml:space="preserve"> Gomel </w:t>
      </w:r>
      <w:r w:rsidR="00A52B22">
        <w:t>R</w:t>
      </w:r>
      <w:r w:rsidR="009C0CEC">
        <w:t xml:space="preserve">egion </w:t>
      </w:r>
      <w:r w:rsidR="00A52B22">
        <w:t>C</w:t>
      </w:r>
      <w:r w:rsidR="009C0CEC" w:rsidRPr="006A4949">
        <w:t>ouncil</w:t>
      </w:r>
      <w:r w:rsidR="009C0CEC">
        <w:t xml:space="preserve"> in the elections held on 14 January 2007</w:t>
      </w:r>
      <w:r w:rsidR="00F761B7" w:rsidRPr="006A4949">
        <w:t xml:space="preserve">. He and his supporters documented serious violations of the electoral legislation </w:t>
      </w:r>
      <w:r w:rsidR="00A52B22">
        <w:t xml:space="preserve">prior </w:t>
      </w:r>
      <w:r w:rsidR="00F761B7" w:rsidRPr="006A4949">
        <w:t>to the election</w:t>
      </w:r>
      <w:r w:rsidR="009C0CEC">
        <w:t>s</w:t>
      </w:r>
      <w:r w:rsidR="00F761B7" w:rsidRPr="006A4949">
        <w:t xml:space="preserve"> a</w:t>
      </w:r>
      <w:r w:rsidR="00A52B22">
        <w:t>s well as</w:t>
      </w:r>
      <w:r w:rsidR="00F761B7" w:rsidRPr="006A4949">
        <w:t xml:space="preserve"> during the election</w:t>
      </w:r>
      <w:r w:rsidR="00A52B22">
        <w:t>s</w:t>
      </w:r>
      <w:r w:rsidR="00F761B7" w:rsidRPr="006A4949">
        <w:t>.</w:t>
      </w:r>
      <w:r w:rsidR="009C0CEC">
        <w:t xml:space="preserve"> </w:t>
      </w:r>
    </w:p>
    <w:p w:rsidR="009C0CEC" w:rsidRDefault="009C0CEC" w:rsidP="00F872F3">
      <w:pPr>
        <w:pStyle w:val="SingleTxtG"/>
      </w:pPr>
      <w:r>
        <w:lastRenderedPageBreak/>
        <w:t>2.2</w:t>
      </w:r>
      <w:r>
        <w:tab/>
      </w:r>
      <w:r w:rsidR="00A52B22">
        <w:t>Mr. Sudalenko</w:t>
      </w:r>
      <w:r>
        <w:t xml:space="preserve"> submits that</w:t>
      </w:r>
      <w:r w:rsidR="00E7671D">
        <w:t xml:space="preserve"> he requested that</w:t>
      </w:r>
      <w:r>
        <w:t xml:space="preserve"> his representative, </w:t>
      </w:r>
      <w:r w:rsidR="00A52B22">
        <w:t>C</w:t>
      </w:r>
      <w:r>
        <w:t xml:space="preserve">hair of the Gomel </w:t>
      </w:r>
      <w:r w:rsidR="00A52B22">
        <w:t>R</w:t>
      </w:r>
      <w:r>
        <w:t>egion division of the United Civic Party,</w:t>
      </w:r>
      <w:r w:rsidR="00332D5C">
        <w:t xml:space="preserve"> </w:t>
      </w:r>
      <w:r w:rsidR="00E7671D">
        <w:t>be</w:t>
      </w:r>
      <w:r>
        <w:t xml:space="preserve"> included </w:t>
      </w:r>
      <w:r w:rsidR="00582FD7">
        <w:t xml:space="preserve">as a member of </w:t>
      </w:r>
      <w:r>
        <w:t xml:space="preserve">the </w:t>
      </w:r>
      <w:r w:rsidR="00582FD7">
        <w:t>E</w:t>
      </w:r>
      <w:r>
        <w:t xml:space="preserve">lections </w:t>
      </w:r>
      <w:r w:rsidR="00582FD7">
        <w:t>C</w:t>
      </w:r>
      <w:r>
        <w:t xml:space="preserve">ommission for </w:t>
      </w:r>
      <w:r w:rsidR="00F872F3">
        <w:t xml:space="preserve">electoral </w:t>
      </w:r>
      <w:r>
        <w:t>district</w:t>
      </w:r>
      <w:r w:rsidR="001C0674">
        <w:t xml:space="preserve"> No. </w:t>
      </w:r>
      <w:r>
        <w:t>14.</w:t>
      </w:r>
      <w:r w:rsidR="00E7671D">
        <w:t xml:space="preserve"> </w:t>
      </w:r>
      <w:r w:rsidR="00582FD7">
        <w:t>He</w:t>
      </w:r>
      <w:r w:rsidR="00E7671D">
        <w:t xml:space="preserve"> claims that the </w:t>
      </w:r>
      <w:r w:rsidR="00582FD7">
        <w:t>E</w:t>
      </w:r>
      <w:r w:rsidR="00E7671D">
        <w:t>lection</w:t>
      </w:r>
      <w:r w:rsidR="00582FD7">
        <w:t>s</w:t>
      </w:r>
      <w:r w:rsidR="00E7671D">
        <w:t xml:space="preserve"> </w:t>
      </w:r>
      <w:r w:rsidR="00582FD7">
        <w:t>C</w:t>
      </w:r>
      <w:r w:rsidR="00E7671D">
        <w:t>ommission refused to include his representative</w:t>
      </w:r>
      <w:r w:rsidR="00332D5C">
        <w:t>.</w:t>
      </w:r>
      <w:r>
        <w:t xml:space="preserve"> Moreover, according to the calculations carried out by </w:t>
      </w:r>
      <w:r w:rsidR="00582FD7">
        <w:t>Mr. Sudalenko</w:t>
      </w:r>
      <w:r>
        <w:t xml:space="preserve">’s representatives at various </w:t>
      </w:r>
      <w:r w:rsidR="00582FD7">
        <w:t>polling</w:t>
      </w:r>
      <w:r>
        <w:t xml:space="preserve"> </w:t>
      </w:r>
      <w:r w:rsidR="00E7671D">
        <w:t xml:space="preserve">stations for </w:t>
      </w:r>
      <w:r w:rsidR="00F872F3">
        <w:t xml:space="preserve">electoral </w:t>
      </w:r>
      <w:r w:rsidR="00E7671D">
        <w:t>district</w:t>
      </w:r>
      <w:r w:rsidR="001C0674">
        <w:t xml:space="preserve"> No. </w:t>
      </w:r>
      <w:r w:rsidR="00E7671D">
        <w:t>14</w:t>
      </w:r>
      <w:r>
        <w:t xml:space="preserve">, </w:t>
      </w:r>
      <w:r w:rsidR="00282B2E">
        <w:t>the official tallies of vote</w:t>
      </w:r>
      <w:r w:rsidR="00582FD7">
        <w:t>rs</w:t>
      </w:r>
      <w:r w:rsidR="00282B2E">
        <w:t xml:space="preserve"> were exaggerated. The author and his representatives counted 3</w:t>
      </w:r>
      <w:r w:rsidR="00582FD7">
        <w:t>,</w:t>
      </w:r>
      <w:r w:rsidR="00282B2E">
        <w:t xml:space="preserve">912 voters, </w:t>
      </w:r>
      <w:r w:rsidR="00582FD7">
        <w:t>while</w:t>
      </w:r>
      <w:r w:rsidR="00282B2E">
        <w:t xml:space="preserve"> the </w:t>
      </w:r>
      <w:r w:rsidR="00582FD7">
        <w:t>E</w:t>
      </w:r>
      <w:r w:rsidR="00282B2E">
        <w:t xml:space="preserve">lections </w:t>
      </w:r>
      <w:r w:rsidR="00582FD7">
        <w:t>C</w:t>
      </w:r>
      <w:r w:rsidR="00282B2E">
        <w:t>ommission reported 6</w:t>
      </w:r>
      <w:r w:rsidR="003D6C1B">
        <w:t>,</w:t>
      </w:r>
      <w:r w:rsidR="00282B2E">
        <w:t xml:space="preserve">568 voters. </w:t>
      </w:r>
    </w:p>
    <w:p w:rsidR="004D7024" w:rsidRDefault="00282B2E" w:rsidP="00E47CC6">
      <w:pPr>
        <w:pStyle w:val="SingleTxtG"/>
      </w:pPr>
      <w:r>
        <w:t>2.3</w:t>
      </w:r>
      <w:r w:rsidR="00F85AD7">
        <w:tab/>
      </w:r>
      <w:r>
        <w:t>The author further submits that</w:t>
      </w:r>
      <w:r w:rsidR="00582FD7">
        <w:t>,</w:t>
      </w:r>
      <w:r w:rsidR="005C2D4E">
        <w:t xml:space="preserve"> on 28 December 2006,</w:t>
      </w:r>
      <w:r>
        <w:t xml:space="preserve"> he asked the</w:t>
      </w:r>
      <w:r w:rsidR="00F761B7" w:rsidRPr="006A4949">
        <w:t xml:space="preserve"> </w:t>
      </w:r>
      <w:r w:rsidR="00582FD7">
        <w:t>S</w:t>
      </w:r>
      <w:r w:rsidR="00F761B7" w:rsidRPr="006A4949">
        <w:t xml:space="preserve">tate-owned newspapers </w:t>
      </w:r>
      <w:r w:rsidR="008D44E3" w:rsidRPr="00AA2137">
        <w:rPr>
          <w:i/>
          <w:iCs/>
        </w:rPr>
        <w:t>Gomelskaya pravda</w:t>
      </w:r>
      <w:r w:rsidR="008D44E3">
        <w:t xml:space="preserve"> and </w:t>
      </w:r>
      <w:r w:rsidR="008D44E3" w:rsidRPr="00AA2137">
        <w:rPr>
          <w:i/>
          <w:iCs/>
        </w:rPr>
        <w:t>Gomelski</w:t>
      </w:r>
      <w:r w:rsidR="00F761B7" w:rsidRPr="00AA2137">
        <w:rPr>
          <w:i/>
          <w:iCs/>
        </w:rPr>
        <w:t>e vedomosti</w:t>
      </w:r>
      <w:r>
        <w:t xml:space="preserve"> to publish his election-related articles and speeches</w:t>
      </w:r>
      <w:r w:rsidR="00582FD7">
        <w:t xml:space="preserve">, with the aim of </w:t>
      </w:r>
      <w:r>
        <w:t>inform</w:t>
      </w:r>
      <w:r w:rsidR="00582FD7">
        <w:t>ing</w:t>
      </w:r>
      <w:r>
        <w:t xml:space="preserve"> voters of his position on various issues, </w:t>
      </w:r>
      <w:r w:rsidR="00582FD7">
        <w:t>however,</w:t>
      </w:r>
      <w:r>
        <w:t xml:space="preserve"> both newspapers refused to </w:t>
      </w:r>
      <w:r w:rsidR="00582FD7">
        <w:t>publish</w:t>
      </w:r>
      <w:r>
        <w:t xml:space="preserve"> his articles. </w:t>
      </w:r>
      <w:r w:rsidR="004D7024">
        <w:t xml:space="preserve">The </w:t>
      </w:r>
      <w:r w:rsidR="00582FD7">
        <w:t xml:space="preserve">editors of the </w:t>
      </w:r>
      <w:r w:rsidR="004D7024">
        <w:t>newspaper</w:t>
      </w:r>
      <w:r w:rsidR="00582FD7">
        <w:t>s</w:t>
      </w:r>
      <w:r w:rsidR="004D7024">
        <w:t>, referring to article 46 of the Election Code of Belarus, stated that</w:t>
      </w:r>
      <w:r w:rsidR="00AE7CCF">
        <w:t>,</w:t>
      </w:r>
      <w:r w:rsidR="004D7024">
        <w:t xml:space="preserve"> according to the legislation, all candidates ha</w:t>
      </w:r>
      <w:r w:rsidR="00AE7CCF">
        <w:t xml:space="preserve">d the </w:t>
      </w:r>
      <w:r w:rsidR="004D7024">
        <w:t>right to</w:t>
      </w:r>
      <w:r w:rsidR="008D44E3">
        <w:t xml:space="preserve"> a </w:t>
      </w:r>
      <w:r w:rsidR="004D7024">
        <w:t xml:space="preserve">five-minute time slot </w:t>
      </w:r>
      <w:r w:rsidR="008D44E3">
        <w:t xml:space="preserve">on the </w:t>
      </w:r>
      <w:r w:rsidR="00AE7CCF">
        <w:t>S</w:t>
      </w:r>
      <w:r w:rsidR="008D44E3">
        <w:t>tate-owned local radio</w:t>
      </w:r>
      <w:r w:rsidR="00AE7CCF">
        <w:t>, free of charge</w:t>
      </w:r>
      <w:r w:rsidR="008D44E3">
        <w:t xml:space="preserve">. </w:t>
      </w:r>
      <w:r w:rsidR="00AE7CCF">
        <w:t xml:space="preserve">The editor of </w:t>
      </w:r>
      <w:r w:rsidR="008D44E3" w:rsidRPr="00AA2137">
        <w:rPr>
          <w:i/>
          <w:iCs/>
        </w:rPr>
        <w:t>Gomelskie vedomosti</w:t>
      </w:r>
      <w:r w:rsidR="008D44E3">
        <w:t xml:space="preserve"> </w:t>
      </w:r>
      <w:r w:rsidR="00AE7CCF">
        <w:t xml:space="preserve">specifically </w:t>
      </w:r>
      <w:r w:rsidR="008D44E3">
        <w:t xml:space="preserve">stated that </w:t>
      </w:r>
      <w:r w:rsidR="00AE7CCF">
        <w:t>the newspaper</w:t>
      </w:r>
      <w:r w:rsidR="008D44E3">
        <w:t xml:space="preserve"> d</w:t>
      </w:r>
      <w:r w:rsidR="00AE7CCF">
        <w:t>id not</w:t>
      </w:r>
      <w:r w:rsidR="008D44E3">
        <w:t xml:space="preserve"> publish election-related materials. </w:t>
      </w:r>
    </w:p>
    <w:p w:rsidR="00F761B7" w:rsidRPr="006A4949" w:rsidRDefault="004D7024" w:rsidP="00D72115">
      <w:pPr>
        <w:pStyle w:val="SingleTxtG"/>
      </w:pPr>
      <w:r>
        <w:t>2.4</w:t>
      </w:r>
      <w:r>
        <w:tab/>
      </w:r>
      <w:r w:rsidR="00AE7CCF">
        <w:t>Mr. Sudalenko</w:t>
      </w:r>
      <w:r w:rsidR="00282B2E">
        <w:t xml:space="preserve"> claims that during his election campaign, he </w:t>
      </w:r>
      <w:r w:rsidR="00E47CC6">
        <w:t>requested</w:t>
      </w:r>
      <w:r w:rsidR="00282B2E">
        <w:t xml:space="preserve"> permission to meet with potential voters </w:t>
      </w:r>
      <w:r w:rsidR="00AE7CCF">
        <w:t>in a specific</w:t>
      </w:r>
      <w:r w:rsidR="00282B2E">
        <w:t xml:space="preserve"> location in his district</w:t>
      </w:r>
      <w:r w:rsidR="00AE7CCF">
        <w:t xml:space="preserve"> —</w:t>
      </w:r>
      <w:r w:rsidR="0092484B">
        <w:t xml:space="preserve"> an open square at a </w:t>
      </w:r>
      <w:r w:rsidR="009A26D1">
        <w:t>popular</w:t>
      </w:r>
      <w:r w:rsidR="0092484B">
        <w:t xml:space="preserve"> venue in the centre of the city</w:t>
      </w:r>
      <w:r w:rsidR="00574EB0">
        <w:t>.</w:t>
      </w:r>
      <w:r w:rsidR="009A26D1">
        <w:rPr>
          <w:rStyle w:val="FootnoteReference"/>
        </w:rPr>
        <w:footnoteReference w:id="3"/>
      </w:r>
      <w:r w:rsidR="00282B2E">
        <w:t xml:space="preserve"> The city authorities, </w:t>
      </w:r>
      <w:r w:rsidR="001013E3">
        <w:t xml:space="preserve">in </w:t>
      </w:r>
      <w:r w:rsidR="00E47CC6">
        <w:t xml:space="preserve">a </w:t>
      </w:r>
      <w:r w:rsidR="001013E3">
        <w:t>reply</w:t>
      </w:r>
      <w:r w:rsidR="00EE1603">
        <w:t xml:space="preserve"> dated 3</w:t>
      </w:r>
      <w:r w:rsidR="005C2D4E">
        <w:t>0</w:t>
      </w:r>
      <w:r w:rsidR="00EE1603">
        <w:t xml:space="preserve"> December 2006</w:t>
      </w:r>
      <w:r w:rsidR="001013E3">
        <w:t>, rejected his</w:t>
      </w:r>
      <w:r w:rsidR="00F85AD7">
        <w:t xml:space="preserve"> request and informed him </w:t>
      </w:r>
      <w:r w:rsidR="00282B2E">
        <w:t xml:space="preserve">that there </w:t>
      </w:r>
      <w:r w:rsidR="002F0EE3">
        <w:t>was</w:t>
      </w:r>
      <w:r w:rsidR="00282B2E">
        <w:t xml:space="preserve"> only one </w:t>
      </w:r>
      <w:r w:rsidR="00E47CC6">
        <w:t xml:space="preserve">designated </w:t>
      </w:r>
      <w:r w:rsidR="00282B2E">
        <w:t xml:space="preserve">location for </w:t>
      </w:r>
      <w:r w:rsidR="00F85AD7">
        <w:t>conducting public meetings</w:t>
      </w:r>
      <w:r w:rsidR="00AC5F15">
        <w:t xml:space="preserve">, which is located </w:t>
      </w:r>
      <w:r w:rsidR="00D72115">
        <w:t xml:space="preserve">outside </w:t>
      </w:r>
      <w:r w:rsidR="00AC5F15">
        <w:t>of the city</w:t>
      </w:r>
      <w:r w:rsidR="00D72115">
        <w:t xml:space="preserve"> centre</w:t>
      </w:r>
      <w:r w:rsidR="00F85AD7">
        <w:t xml:space="preserve">. The author submits that </w:t>
      </w:r>
      <w:r w:rsidR="00F761B7" w:rsidRPr="006A4949">
        <w:t xml:space="preserve">he was </w:t>
      </w:r>
      <w:r w:rsidR="00F85AD7">
        <w:t xml:space="preserve">not allowed to hold a meeting with his </w:t>
      </w:r>
      <w:r w:rsidR="00E47CC6">
        <w:t xml:space="preserve">potential </w:t>
      </w:r>
      <w:r>
        <w:t xml:space="preserve">voters </w:t>
      </w:r>
      <w:r w:rsidRPr="006A4949">
        <w:t>because</w:t>
      </w:r>
      <w:r w:rsidR="00F85AD7">
        <w:t xml:space="preserve"> the authorities knew</w:t>
      </w:r>
      <w:r w:rsidR="00F761B7" w:rsidRPr="006A4949">
        <w:t xml:space="preserve"> </w:t>
      </w:r>
      <w:r w:rsidR="00E47CC6">
        <w:t>about</w:t>
      </w:r>
      <w:r w:rsidR="00F761B7" w:rsidRPr="006A4949">
        <w:t xml:space="preserve"> the planned</w:t>
      </w:r>
      <w:r w:rsidR="00E47CC6">
        <w:t xml:space="preserve"> </w:t>
      </w:r>
      <w:r w:rsidR="00F761B7" w:rsidRPr="006A4949">
        <w:t>participation in the event of former presidential candidate Aleksand</w:t>
      </w:r>
      <w:r w:rsidR="00F85AD7">
        <w:t>r</w:t>
      </w:r>
      <w:r w:rsidR="00F761B7" w:rsidRPr="006A4949">
        <w:t xml:space="preserve"> Milinkevich.</w:t>
      </w:r>
    </w:p>
    <w:p w:rsidR="00F761B7" w:rsidRPr="006A4949" w:rsidRDefault="00F761B7" w:rsidP="00F872F3">
      <w:pPr>
        <w:pStyle w:val="SingleTxtG"/>
      </w:pPr>
      <w:r w:rsidRPr="006A4949">
        <w:t>2.</w:t>
      </w:r>
      <w:r w:rsidR="004D7024">
        <w:t>5</w:t>
      </w:r>
      <w:r w:rsidRPr="006A4949">
        <w:tab/>
      </w:r>
      <w:r w:rsidR="00F85AD7">
        <w:t>The author submits that</w:t>
      </w:r>
      <w:r w:rsidR="00867C2C">
        <w:t>,</w:t>
      </w:r>
      <w:r w:rsidR="00024291">
        <w:t xml:space="preserve"> on 15 January 2007,</w:t>
      </w:r>
      <w:r w:rsidR="00F85AD7">
        <w:t xml:space="preserve"> he and his representatives filed complaints </w:t>
      </w:r>
      <w:r w:rsidR="00F872F3">
        <w:t>with</w:t>
      </w:r>
      <w:r w:rsidR="00F85AD7">
        <w:t xml:space="preserve"> the Gomel </w:t>
      </w:r>
      <w:r w:rsidR="001013E3">
        <w:t>R</w:t>
      </w:r>
      <w:r w:rsidR="00F85AD7">
        <w:t xml:space="preserve">egion </w:t>
      </w:r>
      <w:r w:rsidR="001013E3">
        <w:t>E</w:t>
      </w:r>
      <w:r w:rsidR="00F85AD7">
        <w:t xml:space="preserve">lections </w:t>
      </w:r>
      <w:r w:rsidR="001013E3">
        <w:t>C</w:t>
      </w:r>
      <w:r w:rsidR="00F85AD7">
        <w:t xml:space="preserve">ommission, describing </w:t>
      </w:r>
      <w:r w:rsidR="00E47CC6">
        <w:t>the</w:t>
      </w:r>
      <w:r w:rsidR="001013E3">
        <w:t xml:space="preserve"> </w:t>
      </w:r>
      <w:r w:rsidR="00F85AD7">
        <w:t>violations</w:t>
      </w:r>
      <w:r w:rsidR="00E47CC6">
        <w:t xml:space="preserve"> to the election law</w:t>
      </w:r>
      <w:r w:rsidR="00F85AD7">
        <w:t xml:space="preserve">. </w:t>
      </w:r>
      <w:r w:rsidR="00E47CC6">
        <w:t>They</w:t>
      </w:r>
      <w:r w:rsidR="00024291">
        <w:t xml:space="preserve"> </w:t>
      </w:r>
      <w:r w:rsidR="00E47CC6">
        <w:t>called for</w:t>
      </w:r>
      <w:r w:rsidR="00024291">
        <w:t xml:space="preserve"> the results of the 14 January 2007 </w:t>
      </w:r>
      <w:r w:rsidR="00E47CC6">
        <w:t>elections</w:t>
      </w:r>
      <w:r w:rsidR="00024291">
        <w:t xml:space="preserve"> </w:t>
      </w:r>
      <w:r w:rsidR="00E47CC6">
        <w:t xml:space="preserve">to </w:t>
      </w:r>
      <w:r w:rsidR="00024291">
        <w:t>be declared invalid. On 17 January 2007, the</w:t>
      </w:r>
      <w:r w:rsidR="00F85AD7">
        <w:t xml:space="preserve"> </w:t>
      </w:r>
      <w:r w:rsidR="00E47CC6">
        <w:t>E</w:t>
      </w:r>
      <w:r w:rsidR="00F85AD7">
        <w:t>lection</w:t>
      </w:r>
      <w:r w:rsidR="00E47CC6">
        <w:t>s</w:t>
      </w:r>
      <w:r w:rsidR="00F85AD7">
        <w:t xml:space="preserve"> </w:t>
      </w:r>
      <w:r w:rsidR="00E47CC6">
        <w:t>C</w:t>
      </w:r>
      <w:r w:rsidR="00F85AD7">
        <w:t>ommission informed the author that his complaint</w:t>
      </w:r>
      <w:r w:rsidR="00F872F3">
        <w:t>s</w:t>
      </w:r>
      <w:r w:rsidR="00F85AD7">
        <w:t xml:space="preserve"> w</w:t>
      </w:r>
      <w:r w:rsidR="00E47CC6">
        <w:t>ould</w:t>
      </w:r>
      <w:r w:rsidR="00F85AD7">
        <w:t xml:space="preserve"> be examined</w:t>
      </w:r>
      <w:r w:rsidR="00024291">
        <w:t xml:space="preserve"> </w:t>
      </w:r>
      <w:r w:rsidR="001013E3">
        <w:t>promptly</w:t>
      </w:r>
      <w:r w:rsidR="00F85AD7">
        <w:t>. Despite th</w:t>
      </w:r>
      <w:r w:rsidR="00E47CC6">
        <w:t>at</w:t>
      </w:r>
      <w:r w:rsidR="00F85AD7">
        <w:t xml:space="preserve"> assurance, the </w:t>
      </w:r>
      <w:r w:rsidR="00E47CC6">
        <w:t>E</w:t>
      </w:r>
      <w:r w:rsidR="00F85AD7">
        <w:t>lections</w:t>
      </w:r>
      <w:r w:rsidR="00E47CC6">
        <w:t xml:space="preserve"> C</w:t>
      </w:r>
      <w:r w:rsidR="00F85AD7">
        <w:t>ommission</w:t>
      </w:r>
      <w:r w:rsidRPr="006A4949">
        <w:t xml:space="preserve"> </w:t>
      </w:r>
      <w:r w:rsidR="00F85AD7">
        <w:t>published the official results of the election</w:t>
      </w:r>
      <w:r w:rsidR="00E47CC6">
        <w:t>s</w:t>
      </w:r>
      <w:r w:rsidR="00F85AD7">
        <w:t xml:space="preserve"> in the local newspaper on 18 January 2007</w:t>
      </w:r>
      <w:r w:rsidRPr="006A4949">
        <w:t>.</w:t>
      </w:r>
    </w:p>
    <w:p w:rsidR="004D7024" w:rsidRPr="002C5FA9" w:rsidRDefault="00F761B7" w:rsidP="00F872F3">
      <w:pPr>
        <w:pStyle w:val="SingleTxtG"/>
      </w:pPr>
      <w:r w:rsidRPr="006A4949">
        <w:t>2.</w:t>
      </w:r>
      <w:r w:rsidR="004D7024">
        <w:t>6</w:t>
      </w:r>
      <w:r w:rsidR="004D7024">
        <w:tab/>
        <w:t>The author submits that</w:t>
      </w:r>
      <w:r w:rsidR="00E47CC6">
        <w:t>,</w:t>
      </w:r>
      <w:r w:rsidR="004D7024">
        <w:t xml:space="preserve"> o</w:t>
      </w:r>
      <w:r w:rsidRPr="006A4949">
        <w:t xml:space="preserve">n 22 January 2007, the </w:t>
      </w:r>
      <w:r w:rsidR="00E47CC6">
        <w:t>E</w:t>
      </w:r>
      <w:r w:rsidR="004D7024">
        <w:t xml:space="preserve">lections </w:t>
      </w:r>
      <w:r w:rsidR="00E47CC6">
        <w:t>C</w:t>
      </w:r>
      <w:r w:rsidR="004D7024">
        <w:t>ommission</w:t>
      </w:r>
      <w:r w:rsidRPr="006A4949">
        <w:t xml:space="preserve"> </w:t>
      </w:r>
      <w:r w:rsidR="001013E3">
        <w:t>rejected</w:t>
      </w:r>
      <w:r w:rsidR="004D7024">
        <w:t xml:space="preserve"> his complaint</w:t>
      </w:r>
      <w:r w:rsidR="00F872F3">
        <w:t>s</w:t>
      </w:r>
      <w:r w:rsidRPr="006A4949">
        <w:t>.</w:t>
      </w:r>
      <w:r w:rsidR="004D7024">
        <w:t xml:space="preserve"> The </w:t>
      </w:r>
      <w:r w:rsidR="00E47CC6">
        <w:t>C</w:t>
      </w:r>
      <w:r w:rsidR="004D7024">
        <w:t xml:space="preserve">ommission stated that his grievances were not based on </w:t>
      </w:r>
      <w:r w:rsidR="00E47CC6">
        <w:t xml:space="preserve">the </w:t>
      </w:r>
      <w:r w:rsidR="004D7024">
        <w:t xml:space="preserve">election laws of Belarus. </w:t>
      </w:r>
      <w:r w:rsidR="00E47CC6">
        <w:t>It</w:t>
      </w:r>
      <w:r w:rsidR="004D7024">
        <w:t xml:space="preserve"> argued that</w:t>
      </w:r>
      <w:r w:rsidR="00E47CC6">
        <w:t>,</w:t>
      </w:r>
      <w:r w:rsidR="002C5FA9">
        <w:t xml:space="preserve"> according to </w:t>
      </w:r>
      <w:r w:rsidR="00723B7D">
        <w:t xml:space="preserve">articles 11 and 34 of </w:t>
      </w:r>
      <w:r w:rsidR="002C5FA9">
        <w:t xml:space="preserve">the Election Code of Belarus, </w:t>
      </w:r>
      <w:r w:rsidR="004D7024">
        <w:t xml:space="preserve">there </w:t>
      </w:r>
      <w:r w:rsidR="002C5FA9">
        <w:t>are</w:t>
      </w:r>
      <w:r w:rsidR="004D7024">
        <w:t xml:space="preserve"> no requirement</w:t>
      </w:r>
      <w:r w:rsidR="002C5FA9">
        <w:t>s</w:t>
      </w:r>
      <w:r w:rsidR="004D7024">
        <w:t xml:space="preserve"> in the law to include </w:t>
      </w:r>
      <w:r w:rsidR="00723B7D">
        <w:t xml:space="preserve">the </w:t>
      </w:r>
      <w:r w:rsidR="004D7024">
        <w:t>representatives of all candidates in</w:t>
      </w:r>
      <w:r w:rsidR="001013E3">
        <w:t xml:space="preserve"> all</w:t>
      </w:r>
      <w:r w:rsidR="004D7024">
        <w:t xml:space="preserve"> the election commissions.</w:t>
      </w:r>
      <w:r w:rsidR="00723B7D">
        <w:t xml:space="preserve"> </w:t>
      </w:r>
      <w:r w:rsidR="004D7024">
        <w:t>Such commissions are formed by representative</w:t>
      </w:r>
      <w:r w:rsidR="002C5FA9">
        <w:t>s</w:t>
      </w:r>
      <w:r w:rsidR="004D7024">
        <w:t xml:space="preserve"> of political parties</w:t>
      </w:r>
      <w:r w:rsidR="00024291">
        <w:t xml:space="preserve"> and</w:t>
      </w:r>
      <w:r w:rsidR="004D7024">
        <w:t xml:space="preserve"> ordinary citizens</w:t>
      </w:r>
      <w:r w:rsidR="00024291">
        <w:t>,</w:t>
      </w:r>
      <w:r w:rsidR="002C5FA9">
        <w:t xml:space="preserve"> based on the decision of the </w:t>
      </w:r>
      <w:r w:rsidR="00723B7D">
        <w:t>C</w:t>
      </w:r>
      <w:r w:rsidR="002C5FA9">
        <w:t>ommission itself</w:t>
      </w:r>
      <w:r w:rsidR="00723B7D">
        <w:t xml:space="preserve">, and </w:t>
      </w:r>
      <w:r w:rsidR="00024291">
        <w:t>refusal</w:t>
      </w:r>
      <w:r w:rsidR="002C5FA9">
        <w:t xml:space="preserve"> or approval</w:t>
      </w:r>
      <w:r w:rsidR="001013E3">
        <w:t xml:space="preserve"> to</w:t>
      </w:r>
      <w:r w:rsidR="00024291">
        <w:t xml:space="preserve"> include someone in the </w:t>
      </w:r>
      <w:r w:rsidR="00723B7D">
        <w:t>E</w:t>
      </w:r>
      <w:r w:rsidR="00024291">
        <w:t>lection</w:t>
      </w:r>
      <w:r w:rsidR="00723B7D">
        <w:t>s</w:t>
      </w:r>
      <w:r w:rsidR="00024291">
        <w:t xml:space="preserve"> </w:t>
      </w:r>
      <w:r w:rsidR="00723B7D">
        <w:t>C</w:t>
      </w:r>
      <w:r w:rsidR="00024291">
        <w:t>ommission does not have to be justified.</w:t>
      </w:r>
      <w:r w:rsidR="00332D5C">
        <w:t xml:space="preserve"> </w:t>
      </w:r>
      <w:r w:rsidR="00024291">
        <w:t xml:space="preserve">The </w:t>
      </w:r>
      <w:r w:rsidR="00723B7D">
        <w:t>C</w:t>
      </w:r>
      <w:r w:rsidR="00024291">
        <w:t xml:space="preserve">ommission also stated that it </w:t>
      </w:r>
      <w:r w:rsidR="00723B7D">
        <w:t xml:space="preserve">had </w:t>
      </w:r>
      <w:r w:rsidR="00024291">
        <w:t>reviewed the voters’ list for elect</w:t>
      </w:r>
      <w:r w:rsidR="00F872F3">
        <w:t>oral</w:t>
      </w:r>
      <w:r w:rsidR="00024291">
        <w:t xml:space="preserve"> district</w:t>
      </w:r>
      <w:r w:rsidR="001C0674">
        <w:t xml:space="preserve"> No. </w:t>
      </w:r>
      <w:r w:rsidR="00024291">
        <w:t xml:space="preserve">14, </w:t>
      </w:r>
      <w:r w:rsidR="002C5FA9">
        <w:t>spoke</w:t>
      </w:r>
      <w:r w:rsidR="00723B7D">
        <w:t>n</w:t>
      </w:r>
      <w:r w:rsidR="002C5FA9">
        <w:t xml:space="preserve"> to the </w:t>
      </w:r>
      <w:r w:rsidR="00723B7D">
        <w:t>C</w:t>
      </w:r>
      <w:r w:rsidR="002C5FA9">
        <w:t xml:space="preserve">hair of the </w:t>
      </w:r>
      <w:r w:rsidR="00723B7D">
        <w:t>R</w:t>
      </w:r>
      <w:r w:rsidR="002C5FA9">
        <w:t xml:space="preserve">egional </w:t>
      </w:r>
      <w:r w:rsidR="00723B7D">
        <w:t>E</w:t>
      </w:r>
      <w:r w:rsidR="002C5FA9">
        <w:t xml:space="preserve">lection </w:t>
      </w:r>
      <w:r w:rsidR="00723B7D">
        <w:t>C</w:t>
      </w:r>
      <w:r w:rsidR="002C5FA9">
        <w:t>ommission and interviewed observers at the polling stations</w:t>
      </w:r>
      <w:r w:rsidR="00723B7D">
        <w:t>. I</w:t>
      </w:r>
      <w:r w:rsidR="00024291">
        <w:t>t</w:t>
      </w:r>
      <w:r w:rsidR="002C5FA9">
        <w:t xml:space="preserve"> conclu</w:t>
      </w:r>
      <w:r w:rsidR="00723B7D">
        <w:t>ded</w:t>
      </w:r>
      <w:r w:rsidR="002C5FA9">
        <w:t xml:space="preserve"> that </w:t>
      </w:r>
      <w:r w:rsidR="00024291">
        <w:t>the election laws</w:t>
      </w:r>
      <w:r w:rsidR="00723B7D">
        <w:t xml:space="preserve"> had not been violated</w:t>
      </w:r>
      <w:r w:rsidR="00024291">
        <w:t xml:space="preserve">. </w:t>
      </w:r>
      <w:r w:rsidR="002C5FA9">
        <w:t xml:space="preserve">The </w:t>
      </w:r>
      <w:r w:rsidR="00723B7D">
        <w:t>C</w:t>
      </w:r>
      <w:r w:rsidR="002C5FA9">
        <w:t xml:space="preserve">ommission therefore refused to invalidate the results of the elections. </w:t>
      </w:r>
    </w:p>
    <w:p w:rsidR="00F761B7" w:rsidRPr="006A4949" w:rsidRDefault="00024291" w:rsidP="00867C2C">
      <w:pPr>
        <w:pStyle w:val="SingleTxtG"/>
      </w:pPr>
      <w:r>
        <w:t>2.7</w:t>
      </w:r>
      <w:r>
        <w:tab/>
        <w:t>On 25 January 2007, the</w:t>
      </w:r>
      <w:r w:rsidR="00F761B7" w:rsidRPr="006A4949">
        <w:t xml:space="preserve"> author </w:t>
      </w:r>
      <w:r>
        <w:t xml:space="preserve">filed an </w:t>
      </w:r>
      <w:r w:rsidR="00F761B7" w:rsidRPr="006A4949">
        <w:t>appeal</w:t>
      </w:r>
      <w:r w:rsidR="003C458F">
        <w:t xml:space="preserve"> </w:t>
      </w:r>
      <w:r w:rsidR="00F872F3">
        <w:t xml:space="preserve">against </w:t>
      </w:r>
      <w:r w:rsidR="00F761B7" w:rsidRPr="006A4949">
        <w:t xml:space="preserve">the decision of the </w:t>
      </w:r>
      <w:r w:rsidR="00F872F3">
        <w:t>E</w:t>
      </w:r>
      <w:r>
        <w:t>lection</w:t>
      </w:r>
      <w:r w:rsidR="00F872F3">
        <w:t>s</w:t>
      </w:r>
      <w:r>
        <w:t xml:space="preserve"> </w:t>
      </w:r>
      <w:r w:rsidR="00F872F3">
        <w:t>C</w:t>
      </w:r>
      <w:r>
        <w:t xml:space="preserve">ommission </w:t>
      </w:r>
      <w:r w:rsidR="00F761B7" w:rsidRPr="006A4949">
        <w:t xml:space="preserve">before the Gomel </w:t>
      </w:r>
      <w:r w:rsidR="00F872F3">
        <w:t>R</w:t>
      </w:r>
      <w:r>
        <w:t xml:space="preserve">egional </w:t>
      </w:r>
      <w:r w:rsidR="00F872F3">
        <w:t>C</w:t>
      </w:r>
      <w:r>
        <w:t>ourt</w:t>
      </w:r>
      <w:r w:rsidR="00F761B7" w:rsidRPr="006A4949">
        <w:t xml:space="preserve">, </w:t>
      </w:r>
      <w:r w:rsidR="003C458F">
        <w:t xml:space="preserve">listing all </w:t>
      </w:r>
      <w:r w:rsidR="00F872F3">
        <w:t xml:space="preserve">the </w:t>
      </w:r>
      <w:r w:rsidR="003C458F">
        <w:t>alleged violations</w:t>
      </w:r>
      <w:r w:rsidR="002C5FA9">
        <w:t xml:space="preserve"> mentioned above</w:t>
      </w:r>
      <w:r w:rsidR="003C458F">
        <w:t xml:space="preserve"> and </w:t>
      </w:r>
      <w:r w:rsidR="00F761B7" w:rsidRPr="006A4949">
        <w:t>requesting</w:t>
      </w:r>
      <w:r w:rsidR="00F872F3">
        <w:t xml:space="preserve"> that</w:t>
      </w:r>
      <w:r w:rsidR="00F761B7" w:rsidRPr="006A4949">
        <w:t xml:space="preserve"> the election</w:t>
      </w:r>
      <w:r w:rsidR="00F872F3">
        <w:t>s</w:t>
      </w:r>
      <w:r w:rsidR="00F761B7" w:rsidRPr="006A4949">
        <w:t xml:space="preserve"> in his electoral district</w:t>
      </w:r>
      <w:r w:rsidR="003C458F">
        <w:t xml:space="preserve"> </w:t>
      </w:r>
      <w:r w:rsidR="00F761B7" w:rsidRPr="006A4949">
        <w:t>be declared invalid.</w:t>
      </w:r>
      <w:r w:rsidR="00CA2F7E">
        <w:t xml:space="preserve"> </w:t>
      </w:r>
      <w:r w:rsidR="001013E3">
        <w:t>He</w:t>
      </w:r>
      <w:r w:rsidR="00CA2F7E">
        <w:t xml:space="preserve"> </w:t>
      </w:r>
      <w:r w:rsidR="00F872F3">
        <w:t xml:space="preserve">also </w:t>
      </w:r>
      <w:r w:rsidR="00CA2F7E">
        <w:t xml:space="preserve">argued that the city authorities </w:t>
      </w:r>
      <w:r w:rsidR="00F872F3">
        <w:t xml:space="preserve">had </w:t>
      </w:r>
      <w:r w:rsidR="00B6506B">
        <w:t>unreasonably restricted his right to meet with potential voters</w:t>
      </w:r>
      <w:r w:rsidR="00564D45">
        <w:t xml:space="preserve"> on 30 December 2006</w:t>
      </w:r>
      <w:r w:rsidR="00F872F3">
        <w:t xml:space="preserve"> as he had requested</w:t>
      </w:r>
      <w:r w:rsidR="00574EB0" w:rsidRPr="00AE2EFF">
        <w:rPr>
          <w:lang w:val="en-US"/>
        </w:rPr>
        <w:t>.</w:t>
      </w:r>
      <w:r w:rsidR="00B6506B">
        <w:rPr>
          <w:rStyle w:val="FootnoteReference"/>
        </w:rPr>
        <w:footnoteReference w:id="4"/>
      </w:r>
      <w:r w:rsidR="00B6506B">
        <w:t xml:space="preserve"> </w:t>
      </w:r>
      <w:r w:rsidR="00F761B7" w:rsidRPr="006A4949">
        <w:t xml:space="preserve">On 29 January 2007, the </w:t>
      </w:r>
      <w:r w:rsidR="003C458F">
        <w:t xml:space="preserve">Gomel </w:t>
      </w:r>
      <w:r w:rsidR="00F872F3">
        <w:lastRenderedPageBreak/>
        <w:t>R</w:t>
      </w:r>
      <w:r w:rsidR="003C458F">
        <w:t xml:space="preserve">egional </w:t>
      </w:r>
      <w:r w:rsidR="00F872F3">
        <w:t>C</w:t>
      </w:r>
      <w:r w:rsidR="003C458F">
        <w:t>ourt</w:t>
      </w:r>
      <w:r w:rsidR="00F761B7" w:rsidRPr="006A4949">
        <w:t xml:space="preserve"> refused to hear the case, stating that it did not have jurisdiction over such complaints.</w:t>
      </w:r>
      <w:r w:rsidR="003C458F">
        <w:t xml:space="preserve"> Regarding the violations in the process </w:t>
      </w:r>
      <w:r w:rsidR="00F872F3">
        <w:t>prior to</w:t>
      </w:r>
      <w:r w:rsidR="003C458F">
        <w:t xml:space="preserve"> the elections, </w:t>
      </w:r>
      <w:r w:rsidR="00F872F3">
        <w:t xml:space="preserve">it stated that </w:t>
      </w:r>
      <w:r w:rsidR="003C458F">
        <w:t xml:space="preserve">such complaints should be filed </w:t>
      </w:r>
      <w:r w:rsidR="001013E3">
        <w:t>in</w:t>
      </w:r>
      <w:r w:rsidR="003C458F">
        <w:t xml:space="preserve"> court “no later than seven days before the election date”</w:t>
      </w:r>
      <w:r w:rsidR="00F872F3">
        <w:t>; r</w:t>
      </w:r>
      <w:r w:rsidR="003C458F">
        <w:t xml:space="preserve">egarding the alleged violations during the election itself, </w:t>
      </w:r>
      <w:r w:rsidR="00F872F3">
        <w:t xml:space="preserve">it stated that </w:t>
      </w:r>
      <w:r w:rsidR="003C458F">
        <w:t>the complaints should be filed with the relevant election commission</w:t>
      </w:r>
      <w:r w:rsidR="00867C2C">
        <w:t xml:space="preserve"> as o</w:t>
      </w:r>
      <w:r w:rsidR="003C458F" w:rsidRPr="00867C2C">
        <w:t>nly th</w:t>
      </w:r>
      <w:r w:rsidR="00867C2C">
        <w:t>o</w:t>
      </w:r>
      <w:r w:rsidR="003C458F" w:rsidRPr="00867C2C">
        <w:t>se election</w:t>
      </w:r>
      <w:r w:rsidR="003C458F">
        <w:t xml:space="preserve"> commissions have </w:t>
      </w:r>
      <w:r w:rsidR="00867C2C">
        <w:t>the</w:t>
      </w:r>
      <w:r w:rsidR="003C458F">
        <w:t xml:space="preserve"> right to </w:t>
      </w:r>
      <w:r w:rsidR="00BB5DBA">
        <w:t xml:space="preserve">declare elections invalid. </w:t>
      </w:r>
    </w:p>
    <w:p w:rsidR="00F761B7" w:rsidRPr="006A4949" w:rsidRDefault="00F761B7" w:rsidP="00867C2C">
      <w:pPr>
        <w:pStyle w:val="SingleTxtG"/>
      </w:pPr>
      <w:r w:rsidRPr="006A4949">
        <w:t>2.</w:t>
      </w:r>
      <w:r w:rsidR="00E73229" w:rsidRPr="00E73229">
        <w:t>8</w:t>
      </w:r>
      <w:r w:rsidRPr="006A4949">
        <w:tab/>
      </w:r>
      <w:r w:rsidR="00BB5DBA">
        <w:t>On 2 February 2007, t</w:t>
      </w:r>
      <w:r w:rsidRPr="006A4949">
        <w:t>he author appealed the refusal before the Supreme Court</w:t>
      </w:r>
      <w:r w:rsidR="00BB5DBA">
        <w:t xml:space="preserve"> of Belarus</w:t>
      </w:r>
      <w:r w:rsidRPr="006A4949">
        <w:t>, which</w:t>
      </w:r>
      <w:r w:rsidR="00867C2C">
        <w:t>,</w:t>
      </w:r>
      <w:r w:rsidRPr="006A4949">
        <w:t xml:space="preserve"> on 5 March 2007</w:t>
      </w:r>
      <w:r w:rsidR="00867C2C">
        <w:t>,</w:t>
      </w:r>
      <w:r w:rsidR="00190C81">
        <w:t xml:space="preserve"> </w:t>
      </w:r>
      <w:r w:rsidRPr="006A4949">
        <w:t xml:space="preserve">rejected his complaint and </w:t>
      </w:r>
      <w:r w:rsidR="00867C2C">
        <w:t>upheld</w:t>
      </w:r>
      <w:r w:rsidRPr="006A4949">
        <w:t xml:space="preserve"> the decision of the </w:t>
      </w:r>
      <w:r w:rsidR="00BB5DBA">
        <w:t xml:space="preserve">Gomel </w:t>
      </w:r>
      <w:r w:rsidR="00867C2C">
        <w:t>R</w:t>
      </w:r>
      <w:r w:rsidR="00BB5DBA">
        <w:t xml:space="preserve">egional </w:t>
      </w:r>
      <w:r w:rsidR="00867C2C">
        <w:t>C</w:t>
      </w:r>
      <w:r w:rsidR="00BB5DBA">
        <w:t xml:space="preserve">ourt, </w:t>
      </w:r>
      <w:r w:rsidR="00867C2C">
        <w:t xml:space="preserve">re-affirming </w:t>
      </w:r>
      <w:r w:rsidR="00BB5DBA">
        <w:t>that the courts do not have jurisdiction over such cases, and that the author has no standing in the court.</w:t>
      </w:r>
      <w:r w:rsidR="00332D5C">
        <w:t xml:space="preserve"> </w:t>
      </w:r>
      <w:r w:rsidRPr="006A4949">
        <w:t>The a</w:t>
      </w:r>
      <w:r w:rsidR="00190C81">
        <w:t>uthor also attempted to file a</w:t>
      </w:r>
      <w:r w:rsidR="00867C2C">
        <w:t xml:space="preserve"> request for </w:t>
      </w:r>
      <w:r w:rsidR="00190C81">
        <w:t xml:space="preserve">supervisory </w:t>
      </w:r>
      <w:r w:rsidR="00867C2C">
        <w:t>review</w:t>
      </w:r>
      <w:r w:rsidRPr="006A4949">
        <w:t xml:space="preserve"> </w:t>
      </w:r>
      <w:r w:rsidR="00190C81">
        <w:t xml:space="preserve">with the </w:t>
      </w:r>
      <w:r w:rsidR="00867C2C">
        <w:t xml:space="preserve">Presidium of the </w:t>
      </w:r>
      <w:r w:rsidR="00190C81">
        <w:t>Supreme Court</w:t>
      </w:r>
      <w:r w:rsidRPr="006A4949">
        <w:t xml:space="preserve">, which </w:t>
      </w:r>
      <w:r w:rsidR="00867C2C">
        <w:t>was</w:t>
      </w:r>
      <w:r w:rsidRPr="006A4949">
        <w:t xml:space="preserve"> </w:t>
      </w:r>
      <w:r w:rsidR="001013E3">
        <w:t>rejected</w:t>
      </w:r>
      <w:r w:rsidRPr="006A4949">
        <w:t xml:space="preserve"> </w:t>
      </w:r>
      <w:r w:rsidR="001013E3">
        <w:t xml:space="preserve">by letter </w:t>
      </w:r>
      <w:r w:rsidRPr="006A4949">
        <w:t>o</w:t>
      </w:r>
      <w:r w:rsidR="001013E3">
        <w:t>f</w:t>
      </w:r>
      <w:r w:rsidRPr="006A4949">
        <w:t xml:space="preserve"> 26 March 2007.</w:t>
      </w:r>
      <w:r w:rsidR="001013E3">
        <w:t xml:space="preserve"> The author explains that he has exhausted all available and effective domestic remedies. </w:t>
      </w:r>
    </w:p>
    <w:p w:rsidR="003134AC" w:rsidRPr="006A4949" w:rsidRDefault="007B3302" w:rsidP="007B3302">
      <w:pPr>
        <w:pStyle w:val="H23G"/>
      </w:pPr>
      <w:r w:rsidRPr="006A4949">
        <w:tab/>
      </w:r>
      <w:r w:rsidRPr="006A4949">
        <w:tab/>
      </w:r>
      <w:r w:rsidR="003134AC" w:rsidRPr="006A4949">
        <w:t>The complaint</w:t>
      </w:r>
    </w:p>
    <w:p w:rsidR="00F761B7" w:rsidRPr="006A4949" w:rsidRDefault="00F761B7" w:rsidP="00C453B8">
      <w:pPr>
        <w:pStyle w:val="SingleTxtG"/>
      </w:pPr>
      <w:r w:rsidRPr="006A4949">
        <w:t>3.</w:t>
      </w:r>
      <w:r w:rsidR="00EE5A2A">
        <w:t>1</w:t>
      </w:r>
      <w:r w:rsidRPr="006A4949">
        <w:tab/>
        <w:t xml:space="preserve">The author submits that by refusing to hear his complaint regarding irregularities in the electoral process in his electoral </w:t>
      </w:r>
      <w:r w:rsidR="00EE5A2A">
        <w:t>district</w:t>
      </w:r>
      <w:r w:rsidRPr="006A4949">
        <w:t xml:space="preserve">, the </w:t>
      </w:r>
      <w:r w:rsidR="00EE5A2A">
        <w:t>State party</w:t>
      </w:r>
      <w:r w:rsidRPr="006A4949">
        <w:t xml:space="preserve"> did not provide him with effective means of protection of his Covenant rig</w:t>
      </w:r>
      <w:r w:rsidR="00EE5A2A">
        <w:t>hts and therefore violated its</w:t>
      </w:r>
      <w:r w:rsidRPr="006A4949">
        <w:t xml:space="preserve"> obligations under </w:t>
      </w:r>
      <w:r w:rsidR="001C0674">
        <w:t>article </w:t>
      </w:r>
      <w:r w:rsidRPr="006A4949">
        <w:t>2, paragraph</w:t>
      </w:r>
      <w:r w:rsidR="00386AE3">
        <w:t> </w:t>
      </w:r>
      <w:r w:rsidRPr="006A4949">
        <w:t>3</w:t>
      </w:r>
      <w:r w:rsidR="00C453B8">
        <w:t>,</w:t>
      </w:r>
      <w:r w:rsidRPr="006A4949">
        <w:t xml:space="preserve"> of the </w:t>
      </w:r>
      <w:r w:rsidR="00C453B8">
        <w:t xml:space="preserve">International </w:t>
      </w:r>
      <w:r w:rsidRPr="006A4949">
        <w:t>Covenant</w:t>
      </w:r>
      <w:r w:rsidR="00C453B8">
        <w:t xml:space="preserve"> on Civil and Political Rights</w:t>
      </w:r>
      <w:r w:rsidRPr="006A4949">
        <w:t>.</w:t>
      </w:r>
    </w:p>
    <w:p w:rsidR="00F761B7" w:rsidRPr="006A4949" w:rsidRDefault="00F761B7" w:rsidP="00C453B8">
      <w:pPr>
        <w:pStyle w:val="SingleTxtG"/>
      </w:pPr>
      <w:r w:rsidRPr="006A4949">
        <w:t>3.</w:t>
      </w:r>
      <w:r w:rsidR="00EE5A2A">
        <w:t>2</w:t>
      </w:r>
      <w:r w:rsidRPr="006A4949">
        <w:tab/>
        <w:t>The author submits that the refusal of the courts to hear his complain</w:t>
      </w:r>
      <w:r w:rsidR="00EE5A2A">
        <w:t>t</w:t>
      </w:r>
      <w:r w:rsidRPr="006A4949">
        <w:t xml:space="preserve"> against the decision of the </w:t>
      </w:r>
      <w:r w:rsidR="00C453B8">
        <w:t>E</w:t>
      </w:r>
      <w:r w:rsidR="00EE5A2A">
        <w:t>lection</w:t>
      </w:r>
      <w:r w:rsidR="00C453B8">
        <w:t>s</w:t>
      </w:r>
      <w:r w:rsidR="00EE5A2A">
        <w:t xml:space="preserve"> </w:t>
      </w:r>
      <w:r w:rsidR="00C453B8">
        <w:t>C</w:t>
      </w:r>
      <w:r w:rsidR="00EE5A2A">
        <w:t>ommission</w:t>
      </w:r>
      <w:r w:rsidRPr="006A4949">
        <w:t xml:space="preserve"> violated his right to a fair hearing by a competent, independent and impartial tribunal established by law</w:t>
      </w:r>
      <w:r w:rsidR="00C453B8">
        <w:t xml:space="preserve"> </w:t>
      </w:r>
      <w:r w:rsidR="00C453B8" w:rsidRPr="006A4949">
        <w:t xml:space="preserve">in </w:t>
      </w:r>
      <w:r w:rsidR="00C453B8">
        <w:t xml:space="preserve">order to </w:t>
      </w:r>
      <w:r w:rsidR="00C453B8" w:rsidRPr="006A4949">
        <w:t>determin</w:t>
      </w:r>
      <w:r w:rsidR="00C453B8">
        <w:t>e</w:t>
      </w:r>
      <w:r w:rsidR="00C453B8" w:rsidRPr="006A4949">
        <w:t xml:space="preserve"> his rights in a suit at law</w:t>
      </w:r>
      <w:r w:rsidRPr="006A4949">
        <w:t xml:space="preserve">. </w:t>
      </w:r>
      <w:r w:rsidR="00AC5F15">
        <w:t>The author contends that the courts in Belarus are not independent or impartial</w:t>
      </w:r>
      <w:r w:rsidR="00332D5C">
        <w:t>.</w:t>
      </w:r>
      <w:r w:rsidR="00D90829">
        <w:rPr>
          <w:rStyle w:val="FootnoteReference"/>
        </w:rPr>
        <w:footnoteReference w:id="5"/>
      </w:r>
      <w:r w:rsidR="00B46711">
        <w:t xml:space="preserve"> </w:t>
      </w:r>
      <w:r w:rsidRPr="006A4949">
        <w:t>The refusal to review his important and well</w:t>
      </w:r>
      <w:r w:rsidR="00EE5A2A">
        <w:t>-</w:t>
      </w:r>
      <w:r w:rsidRPr="006A4949">
        <w:t>documented arguments regarding violations of the elect</w:t>
      </w:r>
      <w:r w:rsidR="00C453B8">
        <w:t>i</w:t>
      </w:r>
      <w:r w:rsidRPr="006A4949">
        <w:t>o</w:t>
      </w:r>
      <w:r w:rsidR="00C453B8">
        <w:t>n</w:t>
      </w:r>
      <w:r w:rsidRPr="006A4949">
        <w:t xml:space="preserve"> legislation of Belarus </w:t>
      </w:r>
      <w:r w:rsidR="001013E3">
        <w:t>breached</w:t>
      </w:r>
      <w:r w:rsidRPr="006A4949">
        <w:t xml:space="preserve"> his rights under </w:t>
      </w:r>
      <w:r w:rsidR="001C0674">
        <w:t>article </w:t>
      </w:r>
      <w:r w:rsidRPr="006A4949">
        <w:t>14, paragraph</w:t>
      </w:r>
      <w:r w:rsidR="00386AE3">
        <w:t> </w:t>
      </w:r>
      <w:r w:rsidRPr="006A4949">
        <w:t>1</w:t>
      </w:r>
      <w:r w:rsidR="002F0EE3">
        <w:t>,</w:t>
      </w:r>
      <w:r w:rsidRPr="006A4949">
        <w:t xml:space="preserve"> of the Covenant. </w:t>
      </w:r>
    </w:p>
    <w:p w:rsidR="00F761B7" w:rsidRPr="006A4949" w:rsidRDefault="00F761B7" w:rsidP="00C4292F">
      <w:pPr>
        <w:pStyle w:val="SingleTxtG"/>
      </w:pPr>
      <w:r w:rsidRPr="006A4949">
        <w:t>3.</w:t>
      </w:r>
      <w:r w:rsidR="001013E3">
        <w:t>3</w:t>
      </w:r>
      <w:r w:rsidRPr="006A4949">
        <w:tab/>
      </w:r>
      <w:r w:rsidR="00564D45">
        <w:t>Regarding the publication of his articles</w:t>
      </w:r>
      <w:r w:rsidR="00C453B8">
        <w:t xml:space="preserve"> relating to his election campaign</w:t>
      </w:r>
      <w:r w:rsidR="00564D45">
        <w:t>, t</w:t>
      </w:r>
      <w:r w:rsidRPr="006A4949">
        <w:t xml:space="preserve">he author </w:t>
      </w:r>
      <w:r w:rsidR="001013E3">
        <w:t>claims</w:t>
      </w:r>
      <w:r w:rsidRPr="006A4949">
        <w:t xml:space="preserve"> that the refusal of the </w:t>
      </w:r>
      <w:r w:rsidR="001013E3">
        <w:t>S</w:t>
      </w:r>
      <w:r w:rsidRPr="006A4949">
        <w:t>tate-owned media to publish</w:t>
      </w:r>
      <w:r w:rsidR="00564D45">
        <w:t xml:space="preserve"> them</w:t>
      </w:r>
      <w:r w:rsidRPr="006A4949">
        <w:t xml:space="preserve"> was due to the fact that he </w:t>
      </w:r>
      <w:r w:rsidR="00C453B8">
        <w:t xml:space="preserve">had </w:t>
      </w:r>
      <w:r w:rsidRPr="006A4949">
        <w:t xml:space="preserve">criticized the </w:t>
      </w:r>
      <w:r w:rsidR="001013E3">
        <w:t>regime</w:t>
      </w:r>
      <w:r w:rsidRPr="006A4949">
        <w:t xml:space="preserve"> and because of his association with former presidential candidate Aleksander Milinkevich. The author maintains that the refusal constitute</w:t>
      </w:r>
      <w:r w:rsidR="00C4292F">
        <w:t>s</w:t>
      </w:r>
      <w:r w:rsidRPr="006A4949">
        <w:t xml:space="preserve"> a violation of his</w:t>
      </w:r>
      <w:r w:rsidR="00FD5E93">
        <w:t xml:space="preserve"> right to</w:t>
      </w:r>
      <w:r w:rsidRPr="006A4949">
        <w:t xml:space="preserve"> freedom of expression under </w:t>
      </w:r>
      <w:r w:rsidR="001C0674">
        <w:t>article </w:t>
      </w:r>
      <w:r w:rsidRPr="006A4949">
        <w:t>19 of the Covenant.</w:t>
      </w:r>
    </w:p>
    <w:p w:rsidR="00F761B7" w:rsidRPr="006A4949" w:rsidRDefault="00F761B7" w:rsidP="00C453B8">
      <w:pPr>
        <w:pStyle w:val="SingleTxtG"/>
      </w:pPr>
      <w:r w:rsidRPr="006A4949">
        <w:t>3.</w:t>
      </w:r>
      <w:r w:rsidR="00E73229" w:rsidRPr="00E73229">
        <w:t>4</w:t>
      </w:r>
      <w:r w:rsidRPr="006A4949">
        <w:tab/>
      </w:r>
      <w:r w:rsidR="00564D45">
        <w:t xml:space="preserve">Regarding the refusal by the city authorities for </w:t>
      </w:r>
      <w:r w:rsidR="00C453B8">
        <w:t>him</w:t>
      </w:r>
      <w:r w:rsidR="00FD5E93">
        <w:t xml:space="preserve"> </w:t>
      </w:r>
      <w:r w:rsidRPr="006A4949">
        <w:t xml:space="preserve">to meet with voters on </w:t>
      </w:r>
      <w:r w:rsidR="00564D45">
        <w:t>30</w:t>
      </w:r>
      <w:r w:rsidR="00B46711">
        <w:t> </w:t>
      </w:r>
      <w:r w:rsidR="00564D45">
        <w:t>December 2006</w:t>
      </w:r>
      <w:r w:rsidRPr="006A4949">
        <w:t xml:space="preserve"> </w:t>
      </w:r>
      <w:r w:rsidR="00C453B8">
        <w:t>as part of</w:t>
      </w:r>
      <w:r w:rsidRPr="006A4949">
        <w:t xml:space="preserve"> his </w:t>
      </w:r>
      <w:r w:rsidR="00C453B8">
        <w:t xml:space="preserve">election </w:t>
      </w:r>
      <w:r w:rsidRPr="006A4949">
        <w:t>campaign</w:t>
      </w:r>
      <w:r w:rsidR="00564D45">
        <w:t xml:space="preserve">, </w:t>
      </w:r>
      <w:r w:rsidR="00C453B8">
        <w:t>t</w:t>
      </w:r>
      <w:r w:rsidR="00564D45">
        <w:t xml:space="preserve">he </w:t>
      </w:r>
      <w:r w:rsidR="00C453B8">
        <w:t xml:space="preserve">author </w:t>
      </w:r>
      <w:r w:rsidR="00564D45">
        <w:t>submits that it</w:t>
      </w:r>
      <w:r w:rsidRPr="006A4949">
        <w:t xml:space="preserve"> constituted a violation of his</w:t>
      </w:r>
      <w:r w:rsidR="00FD5E93">
        <w:t xml:space="preserve"> right to</w:t>
      </w:r>
      <w:r w:rsidRPr="006A4949">
        <w:t xml:space="preserve"> freedom of</w:t>
      </w:r>
      <w:r w:rsidR="0010599B">
        <w:t xml:space="preserve"> peaceful assembly</w:t>
      </w:r>
      <w:r w:rsidRPr="006A4949">
        <w:t xml:space="preserve"> under </w:t>
      </w:r>
      <w:r w:rsidR="001C0674">
        <w:t>article </w:t>
      </w:r>
      <w:r w:rsidRPr="006A4949">
        <w:t>21 of the Covenant.</w:t>
      </w:r>
    </w:p>
    <w:p w:rsidR="00190C81" w:rsidRDefault="00F761B7" w:rsidP="00432532">
      <w:pPr>
        <w:pStyle w:val="SingleTxtG"/>
      </w:pPr>
      <w:r w:rsidRPr="006A4949">
        <w:t>3.</w:t>
      </w:r>
      <w:r w:rsidR="00E73229" w:rsidRPr="00E73229">
        <w:t>5</w:t>
      </w:r>
      <w:r w:rsidRPr="006A4949">
        <w:tab/>
        <w:t xml:space="preserve">The author </w:t>
      </w:r>
      <w:r w:rsidR="00FD5E93">
        <w:t>claims</w:t>
      </w:r>
      <w:r w:rsidRPr="006A4949">
        <w:t xml:space="preserve"> that the </w:t>
      </w:r>
      <w:r w:rsidR="00E7671D">
        <w:t>election-related</w:t>
      </w:r>
      <w:r w:rsidRPr="006A4949">
        <w:t xml:space="preserve"> violations discovered by him during the elect</w:t>
      </w:r>
      <w:r w:rsidR="00C453B8">
        <w:t>ion</w:t>
      </w:r>
      <w:r w:rsidRPr="006A4949">
        <w:t xml:space="preserve"> campaign and the refusal of the courts to look into th</w:t>
      </w:r>
      <w:r w:rsidR="00C453B8">
        <w:t>o</w:t>
      </w:r>
      <w:r w:rsidRPr="006A4949">
        <w:t xml:space="preserve">se violations resulted in </w:t>
      </w:r>
      <w:r w:rsidR="00432532">
        <w:t xml:space="preserve">him, </w:t>
      </w:r>
      <w:r w:rsidRPr="006A4949">
        <w:t xml:space="preserve">an opposition candidate, </w:t>
      </w:r>
      <w:r w:rsidR="00432532">
        <w:t xml:space="preserve">not having </w:t>
      </w:r>
      <w:r w:rsidRPr="006A4949">
        <w:t>access to the</w:t>
      </w:r>
      <w:r w:rsidR="003E6984">
        <w:t xml:space="preserve"> opportunity to take part in the conduct of </w:t>
      </w:r>
      <w:r w:rsidRPr="006A4949">
        <w:t xml:space="preserve"> public affairs. Additionally, the violations</w:t>
      </w:r>
      <w:r w:rsidR="00FD5E93">
        <w:t xml:space="preserve"> of the</w:t>
      </w:r>
      <w:r w:rsidR="00A273B2">
        <w:t xml:space="preserve"> election laws</w:t>
      </w:r>
      <w:r w:rsidRPr="006A4949">
        <w:t xml:space="preserve"> resulted in violation of the rights of voters to freely express their will</w:t>
      </w:r>
      <w:r w:rsidR="00332D5C">
        <w:t>.</w:t>
      </w:r>
      <w:r w:rsidRPr="006A4949">
        <w:t xml:space="preserve"> The author maintains that</w:t>
      </w:r>
      <w:r w:rsidR="00432532">
        <w:t>,</w:t>
      </w:r>
      <w:r w:rsidRPr="006A4949">
        <w:t xml:space="preserve"> in that manner</w:t>
      </w:r>
      <w:r w:rsidR="00FD5E93">
        <w:t>,</w:t>
      </w:r>
      <w:r w:rsidRPr="006A4949">
        <w:t xml:space="preserve"> the </w:t>
      </w:r>
      <w:r w:rsidR="00A273B2">
        <w:t>State party</w:t>
      </w:r>
      <w:r w:rsidRPr="006A4949">
        <w:t xml:space="preserve"> violated </w:t>
      </w:r>
      <w:r w:rsidR="00FD5E93">
        <w:t>his</w:t>
      </w:r>
      <w:r w:rsidRPr="006A4949">
        <w:t xml:space="preserve"> rights </w:t>
      </w:r>
      <w:r w:rsidR="00FD5E93">
        <w:t xml:space="preserve">as </w:t>
      </w:r>
      <w:r w:rsidRPr="006A4949">
        <w:t xml:space="preserve">guaranteed under </w:t>
      </w:r>
      <w:r w:rsidR="001C0674">
        <w:t>article </w:t>
      </w:r>
      <w:r w:rsidRPr="006A4949">
        <w:t>25</w:t>
      </w:r>
      <w:r w:rsidR="00432532">
        <w:t xml:space="preserve"> of the Covenant</w:t>
      </w:r>
      <w:r w:rsidR="00AA4D58">
        <w:t>.</w:t>
      </w:r>
    </w:p>
    <w:p w:rsidR="008F02E2" w:rsidRDefault="007B3302" w:rsidP="007B3302">
      <w:pPr>
        <w:pStyle w:val="H23G"/>
      </w:pPr>
      <w:r>
        <w:tab/>
      </w:r>
      <w:r>
        <w:tab/>
      </w:r>
      <w:r w:rsidR="003134AC" w:rsidRPr="00574BC4">
        <w:t>State party</w:t>
      </w:r>
      <w:r w:rsidR="001D0DD1">
        <w:t>’</w:t>
      </w:r>
      <w:r w:rsidR="003134AC" w:rsidRPr="00574BC4">
        <w:t xml:space="preserve">s observations on </w:t>
      </w:r>
      <w:r w:rsidR="008F02E2">
        <w:t>admissibility and merits</w:t>
      </w:r>
    </w:p>
    <w:p w:rsidR="008F02E2" w:rsidRDefault="00307164" w:rsidP="005A2D71">
      <w:pPr>
        <w:pStyle w:val="SingleTxtG"/>
        <w:rPr>
          <w:lang w:eastAsia="en-GB"/>
        </w:rPr>
      </w:pPr>
      <w:r w:rsidRPr="006C6C87">
        <w:t>4.1</w:t>
      </w:r>
      <w:r w:rsidRPr="006C6C87">
        <w:tab/>
      </w:r>
      <w:r w:rsidR="00315543">
        <w:rPr>
          <w:lang w:eastAsia="en-GB"/>
        </w:rPr>
        <w:t>By note verbale of 6 January 2011, the State party</w:t>
      </w:r>
      <w:r w:rsidR="00432532">
        <w:rPr>
          <w:lang w:eastAsia="en-GB"/>
        </w:rPr>
        <w:t xml:space="preserve"> conveyed</w:t>
      </w:r>
      <w:r w:rsidR="00315543">
        <w:rPr>
          <w:lang w:eastAsia="en-GB"/>
        </w:rPr>
        <w:t xml:space="preserve">, </w:t>
      </w:r>
      <w:r w:rsidR="00432532">
        <w:rPr>
          <w:lang w:eastAsia="en-GB"/>
        </w:rPr>
        <w:t>with regard to the present communication and several other communications</w:t>
      </w:r>
      <w:r w:rsidR="005A2D71">
        <w:rPr>
          <w:lang w:eastAsia="en-GB"/>
        </w:rPr>
        <w:t xml:space="preserve"> before the Committee,</w:t>
      </w:r>
      <w:r w:rsidR="00315543">
        <w:rPr>
          <w:lang w:eastAsia="en-GB"/>
        </w:rPr>
        <w:t xml:space="preserve"> its concern</w:t>
      </w:r>
      <w:r w:rsidR="005A2D71">
        <w:rPr>
          <w:lang w:eastAsia="en-GB"/>
        </w:rPr>
        <w:t xml:space="preserve"> about</w:t>
      </w:r>
      <w:r w:rsidR="00315543">
        <w:rPr>
          <w:lang w:eastAsia="en-GB"/>
        </w:rPr>
        <w:t xml:space="preserve"> unjustified registration of communications</w:t>
      </w:r>
      <w:r w:rsidR="000C7E6F">
        <w:rPr>
          <w:lang w:eastAsia="en-GB"/>
        </w:rPr>
        <w:t xml:space="preserve">, </w:t>
      </w:r>
      <w:r w:rsidR="00432532">
        <w:rPr>
          <w:lang w:eastAsia="en-GB"/>
        </w:rPr>
        <w:t xml:space="preserve">such </w:t>
      </w:r>
      <w:r w:rsidR="000C7E6F">
        <w:rPr>
          <w:lang w:eastAsia="en-GB"/>
        </w:rPr>
        <w:t xml:space="preserve">as the present </w:t>
      </w:r>
      <w:r w:rsidR="00432532">
        <w:rPr>
          <w:lang w:eastAsia="en-GB"/>
        </w:rPr>
        <w:t>one</w:t>
      </w:r>
      <w:r w:rsidR="005A2D71">
        <w:rPr>
          <w:lang w:eastAsia="en-GB"/>
        </w:rPr>
        <w:t xml:space="preserve">, by </w:t>
      </w:r>
      <w:r w:rsidR="005A2D71">
        <w:rPr>
          <w:lang w:eastAsia="en-GB"/>
        </w:rPr>
        <w:lastRenderedPageBreak/>
        <w:t xml:space="preserve">individuals under its jurisdiction who, it considers, have </w:t>
      </w:r>
      <w:r w:rsidR="00315543">
        <w:rPr>
          <w:lang w:eastAsia="en-GB"/>
        </w:rPr>
        <w:t xml:space="preserve">not exhausted all available remedies in the </w:t>
      </w:r>
      <w:r w:rsidR="00315543" w:rsidRPr="00332D5C">
        <w:t xml:space="preserve">State party, including filing </w:t>
      </w:r>
      <w:r w:rsidR="005F54AD" w:rsidRPr="00332D5C">
        <w:t>an</w:t>
      </w:r>
      <w:r w:rsidR="00315543" w:rsidRPr="00332D5C">
        <w:t xml:space="preserve"> appeal with the Prosecutor’s Office </w:t>
      </w:r>
      <w:r w:rsidR="005A2D71">
        <w:t xml:space="preserve">for </w:t>
      </w:r>
      <w:r w:rsidR="00315543" w:rsidRPr="00332D5C">
        <w:t xml:space="preserve">supervisory review </w:t>
      </w:r>
      <w:r w:rsidR="005A2D71">
        <w:t>of a</w:t>
      </w:r>
      <w:r w:rsidR="00315543" w:rsidRPr="00332D5C">
        <w:t xml:space="preserve"> judgement having the force of res judicata</w:t>
      </w:r>
      <w:r w:rsidR="005A2D71">
        <w:t>, in  violation of</w:t>
      </w:r>
      <w:r w:rsidR="00315543" w:rsidRPr="00332D5C">
        <w:t xml:space="preserve"> </w:t>
      </w:r>
      <w:r w:rsidR="001C0674">
        <w:t>article </w:t>
      </w:r>
      <w:r w:rsidR="00315543" w:rsidRPr="00332D5C">
        <w:t xml:space="preserve">2 of the Optional Protocol to the </w:t>
      </w:r>
      <w:r w:rsidR="005A2D71">
        <w:t xml:space="preserve">International </w:t>
      </w:r>
      <w:r w:rsidR="00315543" w:rsidRPr="00332D5C">
        <w:t>Covenant</w:t>
      </w:r>
      <w:r w:rsidR="005A2D71">
        <w:t xml:space="preserve"> on Civil and Political Rights</w:t>
      </w:r>
      <w:r w:rsidR="00315543" w:rsidRPr="00332D5C">
        <w:t xml:space="preserve">. </w:t>
      </w:r>
      <w:r w:rsidR="005A2D71">
        <w:t xml:space="preserve">It submits </w:t>
      </w:r>
      <w:r w:rsidR="00315543" w:rsidRPr="00332D5C">
        <w:t xml:space="preserve">that the present communication </w:t>
      </w:r>
      <w:r w:rsidR="005A2D71">
        <w:t>was</w:t>
      </w:r>
      <w:r w:rsidR="00315543" w:rsidRPr="00332D5C">
        <w:t xml:space="preserve"> registered in violation of the provisions of the Optional Protocol</w:t>
      </w:r>
      <w:r w:rsidR="005A2D71">
        <w:t>,</w:t>
      </w:r>
      <w:r w:rsidR="00315543" w:rsidRPr="00332D5C">
        <w:t xml:space="preserve"> therefore, there are no legal grounds</w:t>
      </w:r>
      <w:r w:rsidR="00315543">
        <w:rPr>
          <w:lang w:eastAsia="en-GB"/>
        </w:rPr>
        <w:t xml:space="preserve"> for </w:t>
      </w:r>
      <w:r w:rsidR="005A2D71">
        <w:rPr>
          <w:lang w:eastAsia="en-GB"/>
        </w:rPr>
        <w:t>the State party to</w:t>
      </w:r>
      <w:r w:rsidR="00315543">
        <w:rPr>
          <w:lang w:eastAsia="en-GB"/>
        </w:rPr>
        <w:t xml:space="preserve"> consider</w:t>
      </w:r>
      <w:r w:rsidR="005A2D71">
        <w:rPr>
          <w:lang w:eastAsia="en-GB"/>
        </w:rPr>
        <w:t xml:space="preserve"> it</w:t>
      </w:r>
      <w:r w:rsidR="00315543">
        <w:rPr>
          <w:lang w:eastAsia="en-GB"/>
        </w:rPr>
        <w:t>.</w:t>
      </w:r>
    </w:p>
    <w:p w:rsidR="00315543" w:rsidRPr="003973D0" w:rsidRDefault="00E73229" w:rsidP="005A2D71">
      <w:pPr>
        <w:pStyle w:val="SingleTxtG"/>
      </w:pPr>
      <w:r>
        <w:rPr>
          <w:snapToGrid w:val="0"/>
        </w:rPr>
        <w:t>4.2</w:t>
      </w:r>
      <w:r w:rsidR="00315543">
        <w:rPr>
          <w:snapToGrid w:val="0"/>
        </w:rPr>
        <w:tab/>
      </w:r>
      <w:r w:rsidR="00315543" w:rsidRPr="003973D0">
        <w:t>On 5 October 2011, the State party again challenged the admissibility of the communication</w:t>
      </w:r>
      <w:r w:rsidR="005A2D71">
        <w:t>,</w:t>
      </w:r>
      <w:r w:rsidR="00315543" w:rsidRPr="003973D0">
        <w:t xml:space="preserve"> arguing that the author had failed to exhaust all available domestic remedies as he </w:t>
      </w:r>
      <w:r w:rsidR="005A2D71">
        <w:t>had not</w:t>
      </w:r>
      <w:r w:rsidR="00315543" w:rsidRPr="003973D0">
        <w:t xml:space="preserve"> </w:t>
      </w:r>
      <w:r w:rsidR="005A2D71">
        <w:t xml:space="preserve">filed a </w:t>
      </w:r>
      <w:r w:rsidR="00315543" w:rsidRPr="003973D0">
        <w:t xml:space="preserve">request </w:t>
      </w:r>
      <w:r w:rsidR="005A2D71">
        <w:t xml:space="preserve">with </w:t>
      </w:r>
      <w:r w:rsidR="00315543" w:rsidRPr="003973D0">
        <w:t>a prosecutor to initiate supervisory review proceedings of his case</w:t>
      </w:r>
      <w:r w:rsidR="00574EB0" w:rsidRPr="00AE2EFF">
        <w:rPr>
          <w:lang w:val="en-US"/>
        </w:rPr>
        <w:t>.</w:t>
      </w:r>
    </w:p>
    <w:p w:rsidR="00AC7462" w:rsidRPr="001023BB" w:rsidRDefault="00E73229" w:rsidP="00C4292F">
      <w:pPr>
        <w:pStyle w:val="SingleTxtG"/>
        <w:rPr>
          <w:b/>
        </w:rPr>
      </w:pPr>
      <w:r>
        <w:t>4.3</w:t>
      </w:r>
      <w:r w:rsidR="00AC7462">
        <w:tab/>
      </w:r>
      <w:r w:rsidR="005A2D71">
        <w:t xml:space="preserve">In a note verbale </w:t>
      </w:r>
      <w:r w:rsidR="00C4292F">
        <w:t>of</w:t>
      </w:r>
      <w:r w:rsidR="00AC7462">
        <w:t xml:space="preserve"> 25 January 2012, the State party</w:t>
      </w:r>
      <w:r w:rsidR="00AC7462">
        <w:rPr>
          <w:bCs/>
        </w:rPr>
        <w:t xml:space="preserve"> submit</w:t>
      </w:r>
      <w:r w:rsidR="005A2D71">
        <w:rPr>
          <w:bCs/>
        </w:rPr>
        <w:t>ted</w:t>
      </w:r>
      <w:r w:rsidR="00AC7462">
        <w:rPr>
          <w:bCs/>
        </w:rPr>
        <w:t xml:space="preserve">, with regard to the present communication </w:t>
      </w:r>
      <w:r w:rsidR="005A2D71">
        <w:rPr>
          <w:bCs/>
        </w:rPr>
        <w:t xml:space="preserve">and </w:t>
      </w:r>
      <w:r w:rsidR="005F54AD">
        <w:rPr>
          <w:bCs/>
        </w:rPr>
        <w:t>several</w:t>
      </w:r>
      <w:r w:rsidR="00AC7462">
        <w:rPr>
          <w:bCs/>
        </w:rPr>
        <w:t xml:space="preserve"> other communications</w:t>
      </w:r>
      <w:r w:rsidR="005A2D71">
        <w:rPr>
          <w:bCs/>
        </w:rPr>
        <w:t xml:space="preserve"> before the Committee</w:t>
      </w:r>
      <w:r w:rsidR="00AC7462">
        <w:rPr>
          <w:bCs/>
        </w:rPr>
        <w:t xml:space="preserve"> that, </w:t>
      </w:r>
      <w:r w:rsidR="00AC7462">
        <w:rPr>
          <w:lang w:val="en-US"/>
        </w:rPr>
        <w:t xml:space="preserve">when </w:t>
      </w:r>
      <w:r w:rsidR="005F54AD">
        <w:rPr>
          <w:lang w:val="en-US"/>
        </w:rPr>
        <w:t>it acceded</w:t>
      </w:r>
      <w:r w:rsidR="00AC7462">
        <w:rPr>
          <w:lang w:val="en-US"/>
        </w:rPr>
        <w:t xml:space="preserve"> to the Optional Protocol, it </w:t>
      </w:r>
      <w:r w:rsidR="00C96200">
        <w:rPr>
          <w:lang w:val="en-US"/>
        </w:rPr>
        <w:t xml:space="preserve">had agreed, under article 1 thereof, to </w:t>
      </w:r>
      <w:r w:rsidR="00AC7462">
        <w:rPr>
          <w:lang w:val="en-US"/>
        </w:rPr>
        <w:t>recognize the competence of the Committee</w:t>
      </w:r>
      <w:r w:rsidR="00C96200">
        <w:rPr>
          <w:lang w:val="en-US"/>
        </w:rPr>
        <w:t xml:space="preserve"> to</w:t>
      </w:r>
      <w:r w:rsidR="001C0674">
        <w:rPr>
          <w:lang w:val="en-US"/>
        </w:rPr>
        <w:t> </w:t>
      </w:r>
      <w:r w:rsidR="00C96200" w:rsidRPr="00C96200">
        <w:rPr>
          <w:lang w:val="en-US"/>
        </w:rPr>
        <w:t>receive and consider communications from individuals subject to its jurisdiction who claim to be victims of a violation by the State party of any rights protected by the Covenant</w:t>
      </w:r>
      <w:r w:rsidR="00C96200">
        <w:rPr>
          <w:lang w:val="en-US"/>
        </w:rPr>
        <w:t xml:space="preserve">. It notes, however, that </w:t>
      </w:r>
      <w:r w:rsidR="00AC7462">
        <w:rPr>
          <w:lang w:val="en-US"/>
        </w:rPr>
        <w:t xml:space="preserve">that recognition </w:t>
      </w:r>
      <w:r w:rsidR="00C96200">
        <w:rPr>
          <w:lang w:val="en-US"/>
        </w:rPr>
        <w:t>was undertaken</w:t>
      </w:r>
      <w:r w:rsidR="00AC7462">
        <w:rPr>
          <w:lang w:val="en-US"/>
        </w:rPr>
        <w:t xml:space="preserve"> in conjunction with other provisions of the Optional Protocol, including those that set criteria regarding petitioners and </w:t>
      </w:r>
      <w:r w:rsidR="00C96200">
        <w:rPr>
          <w:lang w:val="en-US"/>
        </w:rPr>
        <w:t xml:space="preserve">the </w:t>
      </w:r>
      <w:r w:rsidR="00AC7462">
        <w:rPr>
          <w:lang w:val="en-US"/>
        </w:rPr>
        <w:t>admissibility of their communications, in particular articles</w:t>
      </w:r>
      <w:r w:rsidR="00B46711">
        <w:rPr>
          <w:lang w:val="en-US"/>
        </w:rPr>
        <w:t> </w:t>
      </w:r>
      <w:r w:rsidR="00AC7462">
        <w:rPr>
          <w:lang w:val="en-US"/>
        </w:rPr>
        <w:t xml:space="preserve">2 and 5 of the Optional Protocol. </w:t>
      </w:r>
      <w:r w:rsidR="00C96200">
        <w:rPr>
          <w:lang w:val="en-US"/>
        </w:rPr>
        <w:t xml:space="preserve">The State party </w:t>
      </w:r>
      <w:r w:rsidR="00AC7462">
        <w:rPr>
          <w:lang w:val="en-US"/>
        </w:rPr>
        <w:t>maintains that</w:t>
      </w:r>
      <w:r w:rsidR="00C96200">
        <w:rPr>
          <w:lang w:val="en-US"/>
        </w:rPr>
        <w:t>,</w:t>
      </w:r>
      <w:r w:rsidR="00AC7462">
        <w:rPr>
          <w:lang w:val="en-US"/>
        </w:rPr>
        <w:t xml:space="preserve"> under the Optional Protocol</w:t>
      </w:r>
      <w:r w:rsidR="005F54AD">
        <w:rPr>
          <w:lang w:val="en-US"/>
        </w:rPr>
        <w:t>,</w:t>
      </w:r>
      <w:r w:rsidR="00AC7462">
        <w:rPr>
          <w:lang w:val="en-US"/>
        </w:rPr>
        <w:t xml:space="preserve"> State</w:t>
      </w:r>
      <w:r w:rsidR="005F54AD">
        <w:rPr>
          <w:lang w:val="en-US"/>
        </w:rPr>
        <w:t>s</w:t>
      </w:r>
      <w:r w:rsidR="00AC7462">
        <w:rPr>
          <w:lang w:val="en-US"/>
        </w:rPr>
        <w:t xml:space="preserve"> parties have no obligations </w:t>
      </w:r>
      <w:r w:rsidR="00C96200">
        <w:rPr>
          <w:lang w:val="en-US"/>
        </w:rPr>
        <w:t xml:space="preserve">to </w:t>
      </w:r>
      <w:r w:rsidR="00AC7462">
        <w:rPr>
          <w:lang w:val="en-US"/>
        </w:rPr>
        <w:t>recogni</w:t>
      </w:r>
      <w:r w:rsidR="00C96200">
        <w:rPr>
          <w:lang w:val="en-US"/>
        </w:rPr>
        <w:t>ze</w:t>
      </w:r>
      <w:r w:rsidR="00AC7462">
        <w:rPr>
          <w:lang w:val="en-US"/>
        </w:rPr>
        <w:t xml:space="preserve"> the Committee’s rules of procedure </w:t>
      </w:r>
      <w:r w:rsidR="00C96200">
        <w:rPr>
          <w:lang w:val="en-US"/>
        </w:rPr>
        <w:t>nor</w:t>
      </w:r>
      <w:r w:rsidR="00AC7462">
        <w:rPr>
          <w:lang w:val="en-US"/>
        </w:rPr>
        <w:t xml:space="preserve"> its interpretation of the provisions</w:t>
      </w:r>
      <w:r w:rsidR="00C96200">
        <w:rPr>
          <w:lang w:val="en-US"/>
        </w:rPr>
        <w:t xml:space="preserve"> of the Protocol</w:t>
      </w:r>
      <w:r w:rsidR="00AC7462">
        <w:rPr>
          <w:lang w:val="en-US"/>
        </w:rPr>
        <w:t>, which could only be eff</w:t>
      </w:r>
      <w:r w:rsidR="00C96200">
        <w:rPr>
          <w:lang w:val="en-US"/>
        </w:rPr>
        <w:t>ective</w:t>
      </w:r>
      <w:r w:rsidR="00AC7462">
        <w:rPr>
          <w:lang w:val="en-US"/>
        </w:rPr>
        <w:t xml:space="preserve"> when done in accordance with the Vienna Convention of the Law on Treaties. It submits that</w:t>
      </w:r>
      <w:r w:rsidR="00C96200">
        <w:rPr>
          <w:lang w:val="en-US"/>
        </w:rPr>
        <w:t>,</w:t>
      </w:r>
      <w:r w:rsidR="00AC7462">
        <w:rPr>
          <w:lang w:val="en-US"/>
        </w:rPr>
        <w:t xml:space="preserve"> in relation to the complaint procedure</w:t>
      </w:r>
      <w:r w:rsidR="00C96200">
        <w:rPr>
          <w:lang w:val="en-US"/>
        </w:rPr>
        <w:t>,</w:t>
      </w:r>
      <w:r w:rsidR="00AC7462">
        <w:rPr>
          <w:lang w:val="en-US"/>
        </w:rPr>
        <w:t xml:space="preserve"> State</w:t>
      </w:r>
      <w:r w:rsidR="002F0EE3">
        <w:rPr>
          <w:lang w:val="en-US"/>
        </w:rPr>
        <w:t>s</w:t>
      </w:r>
      <w:r w:rsidR="00AC7462">
        <w:rPr>
          <w:lang w:val="en-US"/>
        </w:rPr>
        <w:t xml:space="preserve"> </w:t>
      </w:r>
      <w:r w:rsidR="00C96200">
        <w:rPr>
          <w:lang w:val="en-US"/>
        </w:rPr>
        <w:t>p</w:t>
      </w:r>
      <w:r w:rsidR="00AC7462">
        <w:rPr>
          <w:lang w:val="en-US"/>
        </w:rPr>
        <w:t>arties should be guided first and foremost by the provisions of the Optional Protocol and that references to the Committee’s longstanding practice, methods of work</w:t>
      </w:r>
      <w:r w:rsidR="00C96200">
        <w:rPr>
          <w:lang w:val="en-US"/>
        </w:rPr>
        <w:t xml:space="preserve"> and</w:t>
      </w:r>
      <w:r w:rsidR="00AC7462">
        <w:rPr>
          <w:lang w:val="en-US"/>
        </w:rPr>
        <w:t xml:space="preserve"> case law are not subject</w:t>
      </w:r>
      <w:r w:rsidR="00C96200">
        <w:rPr>
          <w:lang w:val="en-US"/>
        </w:rPr>
        <w:t>s</w:t>
      </w:r>
      <w:r w:rsidR="00AC7462">
        <w:rPr>
          <w:lang w:val="en-US"/>
        </w:rPr>
        <w:t xml:space="preserve"> of the Optional Protocol. It </w:t>
      </w:r>
      <w:r w:rsidR="008F134E">
        <w:rPr>
          <w:lang w:val="en-US"/>
        </w:rPr>
        <w:t xml:space="preserve">also </w:t>
      </w:r>
      <w:r w:rsidR="00AC7462">
        <w:rPr>
          <w:lang w:val="en-US"/>
        </w:rPr>
        <w:t>submits that any communication registered in violation of the provisions of the Optional Protocol will be viewed by the State party as incompatible with the Protocol and will be rejected without comments on the admissibility or merits</w:t>
      </w:r>
      <w:r w:rsidR="008F134E">
        <w:rPr>
          <w:lang w:val="en-US"/>
        </w:rPr>
        <w:t>, and any</w:t>
      </w:r>
      <w:r w:rsidR="00AC7462">
        <w:rPr>
          <w:lang w:val="en-US"/>
        </w:rPr>
        <w:t xml:space="preserve"> decision taken by the Committee on such </w:t>
      </w:r>
      <w:r w:rsidR="008F134E">
        <w:rPr>
          <w:lang w:val="en-US"/>
        </w:rPr>
        <w:t xml:space="preserve">rejected </w:t>
      </w:r>
      <w:r w:rsidR="00AC7462">
        <w:rPr>
          <w:lang w:val="en-US"/>
        </w:rPr>
        <w:t>communications will be considered by its authorities as “invalid”</w:t>
      </w:r>
      <w:r w:rsidR="00AC7462" w:rsidRPr="001461F7">
        <w:t>.</w:t>
      </w:r>
    </w:p>
    <w:p w:rsidR="007740F1" w:rsidRDefault="00E73229" w:rsidP="00E73229">
      <w:pPr>
        <w:pStyle w:val="H23G"/>
      </w:pPr>
      <w:r>
        <w:tab/>
      </w:r>
      <w:r>
        <w:tab/>
      </w:r>
      <w:r w:rsidR="009A19F8">
        <w:t>Author’s comments on the State party</w:t>
      </w:r>
      <w:r w:rsidR="001D0DD1">
        <w:t>’</w:t>
      </w:r>
      <w:r w:rsidR="009A19F8">
        <w:t>s observations</w:t>
      </w:r>
    </w:p>
    <w:p w:rsidR="009A19F8" w:rsidRDefault="00231302" w:rsidP="008F134E">
      <w:pPr>
        <w:pStyle w:val="SingleTxtG"/>
        <w:rPr>
          <w:bCs/>
        </w:rPr>
      </w:pPr>
      <w:r>
        <w:rPr>
          <w:bCs/>
        </w:rPr>
        <w:t>5.1</w:t>
      </w:r>
      <w:r>
        <w:rPr>
          <w:bCs/>
        </w:rPr>
        <w:tab/>
      </w:r>
      <w:r w:rsidR="00315543">
        <w:rPr>
          <w:bCs/>
        </w:rPr>
        <w:t xml:space="preserve">In letters </w:t>
      </w:r>
      <w:r w:rsidR="008F134E">
        <w:rPr>
          <w:bCs/>
        </w:rPr>
        <w:t xml:space="preserve">dated </w:t>
      </w:r>
      <w:r w:rsidR="00315543">
        <w:rPr>
          <w:bCs/>
        </w:rPr>
        <w:t xml:space="preserve">30 November 2011 and 21 March 2012, the author submits that </w:t>
      </w:r>
      <w:r>
        <w:rPr>
          <w:bCs/>
        </w:rPr>
        <w:t>he does</w:t>
      </w:r>
      <w:r w:rsidR="008F134E">
        <w:rPr>
          <w:bCs/>
        </w:rPr>
        <w:t xml:space="preserve"> </w:t>
      </w:r>
      <w:r>
        <w:rPr>
          <w:bCs/>
        </w:rPr>
        <w:t>n</w:t>
      </w:r>
      <w:r w:rsidR="008F134E">
        <w:rPr>
          <w:bCs/>
        </w:rPr>
        <w:t>o</w:t>
      </w:r>
      <w:r>
        <w:rPr>
          <w:bCs/>
        </w:rPr>
        <w:t xml:space="preserve">t consider the supervisory review initiated by the </w:t>
      </w:r>
      <w:r w:rsidR="008F134E">
        <w:rPr>
          <w:bCs/>
        </w:rPr>
        <w:t xml:space="preserve">Office of the </w:t>
      </w:r>
      <w:r>
        <w:rPr>
          <w:bCs/>
        </w:rPr>
        <w:t>Prosecutor</w:t>
      </w:r>
      <w:r w:rsidR="008F134E">
        <w:rPr>
          <w:bCs/>
        </w:rPr>
        <w:t xml:space="preserve"> to be </w:t>
      </w:r>
      <w:r>
        <w:rPr>
          <w:bCs/>
        </w:rPr>
        <w:t xml:space="preserve">an effective domestic remedy. </w:t>
      </w:r>
    </w:p>
    <w:p w:rsidR="00B47380" w:rsidRDefault="00231302" w:rsidP="008E05BE">
      <w:pPr>
        <w:pStyle w:val="SingleTxtG"/>
        <w:rPr>
          <w:bCs/>
        </w:rPr>
      </w:pPr>
      <w:r w:rsidRPr="003B483A">
        <w:rPr>
          <w:bCs/>
        </w:rPr>
        <w:t>5.2</w:t>
      </w:r>
      <w:r w:rsidRPr="003B483A">
        <w:rPr>
          <w:bCs/>
        </w:rPr>
        <w:tab/>
        <w:t xml:space="preserve">Regarding the State party’s challenge </w:t>
      </w:r>
      <w:r w:rsidR="008E05BE">
        <w:rPr>
          <w:bCs/>
        </w:rPr>
        <w:t>to</w:t>
      </w:r>
      <w:r w:rsidRPr="003B483A">
        <w:rPr>
          <w:bCs/>
        </w:rPr>
        <w:t xml:space="preserve"> the Committee’s </w:t>
      </w:r>
      <w:r w:rsidR="008E05BE">
        <w:rPr>
          <w:bCs/>
        </w:rPr>
        <w:t>r</w:t>
      </w:r>
      <w:r w:rsidRPr="003B483A">
        <w:rPr>
          <w:bCs/>
        </w:rPr>
        <w:t xml:space="preserve">ules of </w:t>
      </w:r>
      <w:r w:rsidR="008E05BE">
        <w:rPr>
          <w:bCs/>
        </w:rPr>
        <w:t>p</w:t>
      </w:r>
      <w:r w:rsidRPr="003B483A">
        <w:rPr>
          <w:bCs/>
        </w:rPr>
        <w:t>rocedure, the au</w:t>
      </w:r>
      <w:r w:rsidR="003B483A" w:rsidRPr="003B483A">
        <w:rPr>
          <w:bCs/>
        </w:rPr>
        <w:t>thor submits that the Committee</w:t>
      </w:r>
      <w:r w:rsidR="008E05BE">
        <w:rPr>
          <w:bCs/>
        </w:rPr>
        <w:t xml:space="preserve"> is mandated to </w:t>
      </w:r>
      <w:r w:rsidR="003B483A" w:rsidRPr="003B483A">
        <w:rPr>
          <w:bCs/>
        </w:rPr>
        <w:t>interpret</w:t>
      </w:r>
      <w:r w:rsidR="008E05BE">
        <w:rPr>
          <w:bCs/>
        </w:rPr>
        <w:t xml:space="preserve"> </w:t>
      </w:r>
      <w:r w:rsidR="003B483A" w:rsidRPr="003B483A">
        <w:rPr>
          <w:bCs/>
        </w:rPr>
        <w:t xml:space="preserve">the provisions of the Covenant and </w:t>
      </w:r>
      <w:r w:rsidR="008E05BE">
        <w:rPr>
          <w:bCs/>
        </w:rPr>
        <w:t>its</w:t>
      </w:r>
      <w:r w:rsidR="003B483A" w:rsidRPr="003B483A">
        <w:rPr>
          <w:bCs/>
        </w:rPr>
        <w:t xml:space="preserve"> </w:t>
      </w:r>
      <w:r w:rsidR="003B483A" w:rsidRPr="003B483A">
        <w:t>views under the Optional Protocol represent an authoritative determination by the organ established under the Covenant itself charged with the interpretation of that instrument</w:t>
      </w:r>
      <w:r w:rsidR="00574EB0">
        <w:t>.</w:t>
      </w:r>
      <w:r w:rsidR="00B47380">
        <w:rPr>
          <w:rStyle w:val="FootnoteReference"/>
        </w:rPr>
        <w:footnoteReference w:id="6"/>
      </w:r>
      <w:r w:rsidR="003B483A" w:rsidRPr="003B483A">
        <w:rPr>
          <w:b/>
          <w:bCs/>
        </w:rPr>
        <w:t xml:space="preserve"> </w:t>
      </w:r>
      <w:r w:rsidR="008E05BE" w:rsidRPr="00AA2137">
        <w:t>As such</w:t>
      </w:r>
      <w:r w:rsidR="003B483A">
        <w:rPr>
          <w:bCs/>
        </w:rPr>
        <w:t xml:space="preserve">, the State party </w:t>
      </w:r>
      <w:r w:rsidR="008E05BE">
        <w:rPr>
          <w:bCs/>
        </w:rPr>
        <w:t>has an obligation to</w:t>
      </w:r>
      <w:r w:rsidR="003B483A">
        <w:rPr>
          <w:bCs/>
        </w:rPr>
        <w:t xml:space="preserve"> respect the </w:t>
      </w:r>
      <w:r w:rsidR="003B483A" w:rsidRPr="00B47380">
        <w:rPr>
          <w:bCs/>
        </w:rPr>
        <w:t>Committee’s decisions, as well as its “standards, practice, and methods of work”</w:t>
      </w:r>
      <w:r w:rsidR="00E73229">
        <w:rPr>
          <w:bCs/>
        </w:rPr>
        <w:t>.</w:t>
      </w:r>
    </w:p>
    <w:p w:rsidR="00F35149" w:rsidRDefault="003134AC" w:rsidP="00F35149">
      <w:pPr>
        <w:pStyle w:val="H23G"/>
      </w:pPr>
      <w:r w:rsidRPr="007B3302">
        <w:lastRenderedPageBreak/>
        <w:tab/>
      </w:r>
      <w:r w:rsidRPr="007B3302">
        <w:tab/>
      </w:r>
      <w:r w:rsidR="00F35149" w:rsidRPr="006C6C87">
        <w:t>Issues and proceedings before the Committee</w:t>
      </w:r>
    </w:p>
    <w:p w:rsidR="00FF6FAA" w:rsidRPr="00ED06EC" w:rsidRDefault="00E73229" w:rsidP="00E73229">
      <w:pPr>
        <w:pStyle w:val="H4G"/>
      </w:pPr>
      <w:r>
        <w:tab/>
      </w:r>
      <w:r>
        <w:tab/>
      </w:r>
      <w:r w:rsidR="00FF6FAA">
        <w:t>The State party’</w:t>
      </w:r>
      <w:r w:rsidR="00FF6FAA" w:rsidRPr="00ED06EC">
        <w:t xml:space="preserve">s </w:t>
      </w:r>
      <w:r w:rsidR="00EB7E12">
        <w:t>lack of cooperation</w:t>
      </w:r>
      <w:r w:rsidR="00FF6FAA" w:rsidRPr="00ED06EC">
        <w:t xml:space="preserve"> </w:t>
      </w:r>
    </w:p>
    <w:p w:rsidR="00BC7567" w:rsidRPr="003973D0" w:rsidRDefault="00E73229" w:rsidP="00FD4DF1">
      <w:pPr>
        <w:pStyle w:val="SingleTxtG"/>
      </w:pPr>
      <w:r w:rsidRPr="00E73229">
        <w:t>6</w:t>
      </w:r>
      <w:r w:rsidR="00BC7567" w:rsidRPr="003973D0">
        <w:t>.1</w:t>
      </w:r>
      <w:r w:rsidR="00BC7567" w:rsidRPr="003973D0">
        <w:tab/>
        <w:t>The Committee notes the State party’s assertion that there are no legal grounds for consideration of the author</w:t>
      </w:r>
      <w:r w:rsidR="002F0EE3">
        <w:t>’s</w:t>
      </w:r>
      <w:r w:rsidR="00BC7567" w:rsidRPr="003973D0">
        <w:t xml:space="preserve"> communication, insofar as it </w:t>
      </w:r>
      <w:r w:rsidR="00FD4DF1">
        <w:t>wa</w:t>
      </w:r>
      <w:r w:rsidR="00BC7567" w:rsidRPr="003973D0">
        <w:t>s registered in violation of the provisions of the Optional Protocol; that it has no obligation</w:t>
      </w:r>
      <w:r w:rsidR="00FD4DF1">
        <w:t xml:space="preserve"> to </w:t>
      </w:r>
      <w:r w:rsidR="00BC7567" w:rsidRPr="003973D0">
        <w:t>recogni</w:t>
      </w:r>
      <w:r w:rsidR="00FD4DF1">
        <w:t>ze</w:t>
      </w:r>
      <w:r w:rsidR="00BC7567" w:rsidRPr="003973D0">
        <w:t xml:space="preserve"> the Committee’s rules of procedure </w:t>
      </w:r>
      <w:r w:rsidR="00FD4DF1">
        <w:t>nor</w:t>
      </w:r>
      <w:r w:rsidR="00BC7567" w:rsidRPr="003973D0">
        <w:t xml:space="preserve"> the Committee’s interpretation of the </w:t>
      </w:r>
      <w:r w:rsidR="00FD4DF1">
        <w:t xml:space="preserve">provisions of the </w:t>
      </w:r>
      <w:r w:rsidR="00BC7567" w:rsidRPr="003973D0">
        <w:t xml:space="preserve">Optional Protocol; and that </w:t>
      </w:r>
      <w:r w:rsidR="00FD4DF1">
        <w:t>any</w:t>
      </w:r>
      <w:r w:rsidR="00BC7567" w:rsidRPr="003973D0">
        <w:t xml:space="preserve"> decision taken by the Committee on the present communication will be considered “invalid” by its authorities. </w:t>
      </w:r>
    </w:p>
    <w:p w:rsidR="00FF6FAA" w:rsidRDefault="00E73229" w:rsidP="00FD4DF1">
      <w:pPr>
        <w:pStyle w:val="SingleTxtG"/>
      </w:pPr>
      <w:r w:rsidRPr="00E73229">
        <w:t>6</w:t>
      </w:r>
      <w:r w:rsidR="00FF6FAA">
        <w:t>.2</w:t>
      </w:r>
      <w:r w:rsidR="00FF6FAA">
        <w:tab/>
        <w:t xml:space="preserve">The Committee recalls that </w:t>
      </w:r>
      <w:r w:rsidR="001C0674">
        <w:t>article </w:t>
      </w:r>
      <w:r w:rsidR="00FF6FAA">
        <w:t>39, paragraph</w:t>
      </w:r>
      <w:r w:rsidR="00B46711">
        <w:t> </w:t>
      </w:r>
      <w:r w:rsidR="00FF6FAA">
        <w:t xml:space="preserve">2, of the Covenant empowers it to establish its own rules of procedure, which the States parties have agreed to recognize. </w:t>
      </w:r>
      <w:r w:rsidR="00FD4DF1">
        <w:t>It</w:t>
      </w:r>
      <w:r w:rsidR="00FF6FAA">
        <w:t xml:space="preserve"> further observes that, by adhering to the Optional Protocol, a State party to the Covenant recognizes the competence of the Committee to receive and consider communications from individuals claiming to be victims of violations of any of the rights set forth in the Covenant (</w:t>
      </w:r>
      <w:r w:rsidR="00FD4DF1">
        <w:t xml:space="preserve">see </w:t>
      </w:r>
      <w:r w:rsidR="00FF6FAA">
        <w:t xml:space="preserve">preamble and </w:t>
      </w:r>
      <w:r w:rsidR="001C0674">
        <w:t>art</w:t>
      </w:r>
      <w:r w:rsidR="00FD4DF1">
        <w:t>.</w:t>
      </w:r>
      <w:r w:rsidR="001C0674">
        <w:t> </w:t>
      </w:r>
      <w:r w:rsidR="00FF6FAA">
        <w:t>1</w:t>
      </w:r>
      <w:r w:rsidR="00FD4DF1">
        <w:t xml:space="preserve"> of the Optional Protocol</w:t>
      </w:r>
      <w:r w:rsidR="00FF6FAA">
        <w:t xml:space="preserve">). Implicit in a State’s adherence to the </w:t>
      </w:r>
      <w:r w:rsidR="00FD4DF1">
        <w:t xml:space="preserve">Optional </w:t>
      </w:r>
      <w:r w:rsidR="00FF6FAA">
        <w:t xml:space="preserve">Protocol is </w:t>
      </w:r>
      <w:r w:rsidR="00FD4DF1">
        <w:t>the</w:t>
      </w:r>
      <w:r w:rsidR="00FF6FAA">
        <w:t xml:space="preserve"> undertaking to cooperate with the Committee in good faith so as to permit and enable it to consider such communications, and after examination</w:t>
      </w:r>
      <w:r w:rsidR="00FD4DF1">
        <w:t xml:space="preserve"> thereof</w:t>
      </w:r>
      <w:r w:rsidR="00FF6FAA">
        <w:t xml:space="preserve">, to forward its </w:t>
      </w:r>
      <w:r w:rsidR="00FD4DF1">
        <w:t>V</w:t>
      </w:r>
      <w:r w:rsidR="00FF6FAA">
        <w:t>iews to the State party and the individual (</w:t>
      </w:r>
      <w:r w:rsidR="00FD4DF1">
        <w:t xml:space="preserve">see </w:t>
      </w:r>
      <w:r w:rsidR="001C0674">
        <w:t>art</w:t>
      </w:r>
      <w:r w:rsidR="00FD4DF1">
        <w:t>.</w:t>
      </w:r>
      <w:r w:rsidR="001C0674">
        <w:t> </w:t>
      </w:r>
      <w:r w:rsidR="00FF6FAA">
        <w:t>5, paras</w:t>
      </w:r>
      <w:r w:rsidR="00FD4DF1">
        <w:t>.</w:t>
      </w:r>
      <w:r w:rsidR="00B46711">
        <w:t> </w:t>
      </w:r>
      <w:r w:rsidR="00FF6FAA">
        <w:t>1 and 4). It is incompatible with th</w:t>
      </w:r>
      <w:r w:rsidR="00FD4DF1">
        <w:t>o</w:t>
      </w:r>
      <w:r w:rsidR="00FF6FAA">
        <w:t>se obligations for a State party to take any action that would prevent or frustrate the Committee in its consideration and examination of a communication and in the expression of its Views.</w:t>
      </w:r>
      <w:r w:rsidR="00FF6FAA">
        <w:rPr>
          <w:rStyle w:val="FootnoteReference"/>
        </w:rPr>
        <w:footnoteReference w:id="7"/>
      </w:r>
      <w:r w:rsidR="00FF6FAA">
        <w:t xml:space="preserve"> </w:t>
      </w:r>
      <w:r w:rsidR="00FD4DF1">
        <w:t>Furthermore, i</w:t>
      </w:r>
      <w:r w:rsidR="00FF6FAA">
        <w:t xml:space="preserve">t is </w:t>
      </w:r>
      <w:r w:rsidR="00FD4DF1">
        <w:t xml:space="preserve">up to </w:t>
      </w:r>
      <w:r w:rsidR="00FF6FAA">
        <w:t xml:space="preserve">the Committee to determine whether a communication should be registered. The Committee observes that, by failing to accept the competence of the Committee to determine whether a communication shall be registered and by declaring beforehand that it will not accept the </w:t>
      </w:r>
      <w:r w:rsidR="00FD4DF1">
        <w:t xml:space="preserve">Committee’s </w:t>
      </w:r>
      <w:r w:rsidR="00FF6FAA">
        <w:t xml:space="preserve">determination on the admissibility </w:t>
      </w:r>
      <w:r w:rsidR="00FD4DF1">
        <w:t>or</w:t>
      </w:r>
      <w:r w:rsidR="00FF6FAA">
        <w:t xml:space="preserve"> merits of the communication, the State party </w:t>
      </w:r>
      <w:r w:rsidR="00FD4DF1">
        <w:t>is</w:t>
      </w:r>
      <w:r w:rsidR="00FF6FAA">
        <w:t xml:space="preserve"> violat</w:t>
      </w:r>
      <w:r w:rsidR="00FD4DF1">
        <w:t>ing</w:t>
      </w:r>
      <w:r w:rsidR="00FF6FAA">
        <w:t xml:space="preserve"> its obligations under </w:t>
      </w:r>
      <w:r w:rsidR="001C0674">
        <w:t>article </w:t>
      </w:r>
      <w:r w:rsidR="00FF6FAA">
        <w:t>1 of the Optional Protocol</w:t>
      </w:r>
      <w:r w:rsidR="00FD4DF1">
        <w:t xml:space="preserve"> to the International Covenant on Civil and Political Rights</w:t>
      </w:r>
      <w:r w:rsidR="00FF6FAA">
        <w:t>.</w:t>
      </w:r>
    </w:p>
    <w:p w:rsidR="00F75DD2" w:rsidRPr="007B3302" w:rsidRDefault="00F35149" w:rsidP="00F75DD2">
      <w:pPr>
        <w:pStyle w:val="H4G"/>
      </w:pPr>
      <w:r>
        <w:tab/>
      </w:r>
      <w:r w:rsidR="002A686B">
        <w:tab/>
      </w:r>
      <w:r w:rsidR="00F75DD2" w:rsidRPr="007B3302">
        <w:t>Consideration of admissibility</w:t>
      </w:r>
    </w:p>
    <w:p w:rsidR="00F75DD2" w:rsidRPr="001461F7" w:rsidRDefault="00E73229" w:rsidP="00FD4DF1">
      <w:pPr>
        <w:pStyle w:val="SingleTxtG"/>
      </w:pPr>
      <w:r w:rsidRPr="00E73229">
        <w:t>7</w:t>
      </w:r>
      <w:r w:rsidR="00F75DD2" w:rsidRPr="001461F7">
        <w:t>.1</w:t>
      </w:r>
      <w:r w:rsidR="00F75DD2" w:rsidRPr="001461F7">
        <w:tab/>
        <w:t xml:space="preserve">Before considering any claim contained in a communication, the Human Rights Committee must, in accordance with rule 93 of its rules of procedure, decide whether or not </w:t>
      </w:r>
      <w:r w:rsidR="00FD4DF1">
        <w:t>it</w:t>
      </w:r>
      <w:r w:rsidR="00F75DD2" w:rsidRPr="001461F7">
        <w:t xml:space="preserve"> is admissible under the Optional Protocol to the Covenant.</w:t>
      </w:r>
    </w:p>
    <w:p w:rsidR="002456D2" w:rsidRDefault="00E73229" w:rsidP="002456D2">
      <w:pPr>
        <w:pStyle w:val="SingleTxtG"/>
      </w:pPr>
      <w:r w:rsidRPr="00E73229">
        <w:t>7</w:t>
      </w:r>
      <w:r w:rsidR="00F75DD2" w:rsidRPr="001461F7">
        <w:t>.2</w:t>
      </w:r>
      <w:r w:rsidR="00F75DD2" w:rsidRPr="001461F7">
        <w:tab/>
        <w:t xml:space="preserve">The Committee has ascertained, as required under </w:t>
      </w:r>
      <w:r w:rsidR="001C0674">
        <w:t>article </w:t>
      </w:r>
      <w:r w:rsidR="00F75DD2" w:rsidRPr="001461F7">
        <w:t>5, paragraph</w:t>
      </w:r>
      <w:r w:rsidR="00B46711">
        <w:t> </w:t>
      </w:r>
      <w:r w:rsidR="00F75DD2" w:rsidRPr="001461F7">
        <w:t xml:space="preserve">2 (a), of the Optional Protocol, that the same matter is not being examined under another procedure of international investigation or settlement. </w:t>
      </w:r>
    </w:p>
    <w:p w:rsidR="002456D2" w:rsidRDefault="00E73229" w:rsidP="00C924DC">
      <w:pPr>
        <w:pStyle w:val="SingleTxtG"/>
      </w:pPr>
      <w:r w:rsidRPr="00E73229">
        <w:t>7</w:t>
      </w:r>
      <w:r w:rsidR="00574EB0">
        <w:t>.3</w:t>
      </w:r>
      <w:r w:rsidR="00F75DD2">
        <w:tab/>
      </w:r>
      <w:r w:rsidR="002456D2">
        <w:t>T</w:t>
      </w:r>
      <w:r w:rsidR="002456D2">
        <w:rPr>
          <w:lang w:val="en-US"/>
        </w:rPr>
        <w:t>he Committee note</w:t>
      </w:r>
      <w:r w:rsidR="00924597">
        <w:rPr>
          <w:lang w:val="en-US"/>
        </w:rPr>
        <w:t>s</w:t>
      </w:r>
      <w:r w:rsidR="002456D2">
        <w:rPr>
          <w:lang w:val="en-US"/>
        </w:rPr>
        <w:t xml:space="preserve"> the State party’s </w:t>
      </w:r>
      <w:r w:rsidR="00924597">
        <w:rPr>
          <w:lang w:val="en-US"/>
        </w:rPr>
        <w:t xml:space="preserve">argument </w:t>
      </w:r>
      <w:r w:rsidR="002456D2">
        <w:rPr>
          <w:lang w:val="en-US"/>
        </w:rPr>
        <w:t xml:space="preserve">that the author should have requested the Prosecutor’s Office </w:t>
      </w:r>
      <w:r w:rsidR="002456D2">
        <w:t xml:space="preserve">to initiate a supervisory review of the </w:t>
      </w:r>
      <w:r w:rsidR="00924597">
        <w:t xml:space="preserve">decisions handed down by the </w:t>
      </w:r>
      <w:r w:rsidR="002456D2">
        <w:t xml:space="preserve">domestic courts. </w:t>
      </w:r>
      <w:r w:rsidR="00924597">
        <w:t>However, t</w:t>
      </w:r>
      <w:r w:rsidR="00EB7E12" w:rsidRPr="00DC128E">
        <w:t xml:space="preserve">he Committee recalls its jurisprudence, according to which supervisory review </w:t>
      </w:r>
      <w:r w:rsidR="00B53EE4">
        <w:t xml:space="preserve">of </w:t>
      </w:r>
      <w:r w:rsidR="00EB7E12" w:rsidRPr="00DC128E">
        <w:t xml:space="preserve">court decisions that have </w:t>
      </w:r>
      <w:r w:rsidR="00B53EE4">
        <w:t>already entered into force</w:t>
      </w:r>
      <w:r w:rsidR="00C924DC">
        <w:t xml:space="preserve"> </w:t>
      </w:r>
      <w:r w:rsidR="00EB7E12" w:rsidRPr="00DC128E">
        <w:t>constitute</w:t>
      </w:r>
      <w:r w:rsidR="00C924DC">
        <w:t>s</w:t>
      </w:r>
      <w:r w:rsidR="00EB7E12" w:rsidRPr="00DC128E">
        <w:t xml:space="preserve"> a</w:t>
      </w:r>
      <w:r w:rsidR="00C924DC">
        <w:t>n extraordinary</w:t>
      </w:r>
      <w:r w:rsidR="00EB7E12" w:rsidRPr="00DC128E">
        <w:t xml:space="preserve"> remedy which </w:t>
      </w:r>
      <w:r w:rsidR="00C924DC">
        <w:t xml:space="preserve">does not have </w:t>
      </w:r>
      <w:r w:rsidR="00EB7E12" w:rsidRPr="00DC128E">
        <w:t xml:space="preserve">to be exhausted for the purposes </w:t>
      </w:r>
      <w:r w:rsidR="00C924DC">
        <w:t>admissibility</w:t>
      </w:r>
      <w:r w:rsidR="00EB7E12" w:rsidRPr="00DC128E">
        <w:t>.</w:t>
      </w:r>
      <w:r w:rsidR="00EB7E12" w:rsidRPr="00B6380E">
        <w:rPr>
          <w:vertAlign w:val="superscript"/>
        </w:rPr>
        <w:footnoteReference w:id="8"/>
      </w:r>
      <w:r w:rsidR="00EB7E12" w:rsidRPr="00DC128E">
        <w:t xml:space="preserve"> Accordingly, </w:t>
      </w:r>
      <w:r w:rsidR="00C924DC">
        <w:t>the Committee</w:t>
      </w:r>
      <w:r w:rsidR="00EB7E12" w:rsidRPr="00DC128E">
        <w:t xml:space="preserve"> considers that it is not precluded by </w:t>
      </w:r>
      <w:r w:rsidR="001C0674">
        <w:t>article </w:t>
      </w:r>
      <w:r w:rsidR="00EB7E12" w:rsidRPr="00DC128E">
        <w:t>5, paragraph</w:t>
      </w:r>
      <w:r w:rsidR="00B46711">
        <w:t> </w:t>
      </w:r>
      <w:r w:rsidR="00EB7E12" w:rsidRPr="00DC128E">
        <w:t>2 (b), of the Optional Protocol from examining th</w:t>
      </w:r>
      <w:r w:rsidR="00C924DC">
        <w:t>e present</w:t>
      </w:r>
      <w:r w:rsidR="00EB7E12" w:rsidRPr="00DC128E">
        <w:t xml:space="preserve"> communication.</w:t>
      </w:r>
      <w:r w:rsidR="00EB7E12">
        <w:t xml:space="preserve"> </w:t>
      </w:r>
    </w:p>
    <w:p w:rsidR="00756181" w:rsidRPr="00AA2137" w:rsidRDefault="00756181" w:rsidP="00C924DC">
      <w:pPr>
        <w:pStyle w:val="SingleTxtG"/>
        <w:rPr>
          <w:lang w:val="ka-GE"/>
        </w:rPr>
      </w:pPr>
      <w:r w:rsidRPr="00977D6E">
        <w:lastRenderedPageBreak/>
        <w:t>7.4</w:t>
      </w:r>
      <w:r w:rsidRPr="00977D6E">
        <w:tab/>
        <w:t>The Committee note</w:t>
      </w:r>
      <w:r w:rsidR="00C924DC">
        <w:t>s</w:t>
      </w:r>
      <w:r w:rsidRPr="00977D6E">
        <w:t xml:space="preserve"> the author’s claim that his rights under </w:t>
      </w:r>
      <w:r w:rsidR="001C0674">
        <w:t>article </w:t>
      </w:r>
      <w:r w:rsidRPr="00977D6E">
        <w:t>2, paragraph</w:t>
      </w:r>
      <w:r w:rsidR="00020B71">
        <w:t> </w:t>
      </w:r>
      <w:r w:rsidRPr="00977D6E">
        <w:t>3,</w:t>
      </w:r>
      <w:r w:rsidR="00C924DC">
        <w:t xml:space="preserve"> of the Covenant</w:t>
      </w:r>
      <w:r w:rsidRPr="00977D6E">
        <w:t xml:space="preserve"> ha</w:t>
      </w:r>
      <w:r w:rsidR="00887719">
        <w:t>ve</w:t>
      </w:r>
      <w:r w:rsidRPr="00977D6E">
        <w:t xml:space="preserve"> been violated</w:t>
      </w:r>
      <w:r w:rsidR="00C924DC">
        <w:t>,</w:t>
      </w:r>
      <w:r w:rsidRPr="00977D6E">
        <w:t xml:space="preserve"> as the State party did not provide him with effective means of protection of his Covenan</w:t>
      </w:r>
      <w:r>
        <w:t>t rights. The Committee recalls</w:t>
      </w:r>
      <w:r w:rsidRPr="00977D6E">
        <w:t xml:space="preserve">, however, that </w:t>
      </w:r>
      <w:r w:rsidR="001C0674">
        <w:t>article </w:t>
      </w:r>
      <w:r w:rsidRPr="00977D6E">
        <w:t>2, paragraph</w:t>
      </w:r>
      <w:r w:rsidR="00020B71">
        <w:t> </w:t>
      </w:r>
      <w:r w:rsidRPr="00977D6E">
        <w:t>3, of the Covenant can be invoked by individuals only in conjunction with other articles of the Covenant, and cannot, in and of itself, give rise to a claim under the Optional Protocol.</w:t>
      </w:r>
      <w:r>
        <w:rPr>
          <w:rStyle w:val="FootnoteReference"/>
        </w:rPr>
        <w:footnoteReference w:id="9"/>
      </w:r>
      <w:r>
        <w:rPr>
          <w:rFonts w:ascii="Sylfaen" w:hAnsi="Sylfaen"/>
          <w:lang w:val="ka-GE"/>
        </w:rPr>
        <w:t xml:space="preserve"> </w:t>
      </w:r>
      <w:r w:rsidRPr="00AA2137">
        <w:rPr>
          <w:lang w:val="ka-GE"/>
        </w:rPr>
        <w:t>The Committee therefore considers that the author’s contentions in th</w:t>
      </w:r>
      <w:r w:rsidR="00C924DC" w:rsidRPr="00005B29">
        <w:rPr>
          <w:lang w:val="en-US"/>
        </w:rPr>
        <w:t>at</w:t>
      </w:r>
      <w:r w:rsidRPr="00AA2137">
        <w:rPr>
          <w:lang w:val="ka-GE"/>
        </w:rPr>
        <w:t xml:space="preserve"> regard are inadmissible under </w:t>
      </w:r>
      <w:r w:rsidR="001C0674" w:rsidRPr="00AA2137">
        <w:rPr>
          <w:lang w:val="ka-GE"/>
        </w:rPr>
        <w:t>article </w:t>
      </w:r>
      <w:r w:rsidRPr="00AA2137">
        <w:rPr>
          <w:lang w:val="ka-GE"/>
        </w:rPr>
        <w:t>2 of the Optional Protocol.</w:t>
      </w:r>
    </w:p>
    <w:p w:rsidR="001C2C4D" w:rsidRPr="004406A0" w:rsidRDefault="00E73229" w:rsidP="000A0AD2">
      <w:pPr>
        <w:pStyle w:val="SingleTxtG"/>
      </w:pPr>
      <w:r>
        <w:t>7</w:t>
      </w:r>
      <w:r w:rsidR="001C2C4D">
        <w:t>.</w:t>
      </w:r>
      <w:r w:rsidR="00756181">
        <w:t>5</w:t>
      </w:r>
      <w:r w:rsidR="001C2C4D">
        <w:tab/>
      </w:r>
      <w:r w:rsidR="001C2C4D" w:rsidRPr="00A36331">
        <w:t>The Committee note</w:t>
      </w:r>
      <w:r w:rsidR="00C924DC">
        <w:t>s</w:t>
      </w:r>
      <w:r w:rsidR="001C2C4D" w:rsidRPr="00A36331">
        <w:t xml:space="preserve"> the author’s claim that his rights under </w:t>
      </w:r>
      <w:r w:rsidR="001C0674">
        <w:t>article </w:t>
      </w:r>
      <w:r w:rsidR="000F7F55">
        <w:t>14, paragraph</w:t>
      </w:r>
      <w:r w:rsidR="00020B71">
        <w:t> </w:t>
      </w:r>
      <w:r w:rsidR="000F7F55">
        <w:t>1</w:t>
      </w:r>
      <w:r w:rsidR="00E20A45">
        <w:t xml:space="preserve">, </w:t>
      </w:r>
      <w:r w:rsidR="001C2C4D" w:rsidRPr="00A36331">
        <w:t>of the Covenant have been violated</w:t>
      </w:r>
      <w:r w:rsidR="00C924DC">
        <w:t>,</w:t>
      </w:r>
      <w:r w:rsidR="001C2C4D">
        <w:t xml:space="preserve"> </w:t>
      </w:r>
      <w:r w:rsidR="001D41C4">
        <w:t>since</w:t>
      </w:r>
      <w:r w:rsidR="002902C8">
        <w:t xml:space="preserve"> the election commissions and </w:t>
      </w:r>
      <w:r w:rsidR="001D41C4">
        <w:t xml:space="preserve">the </w:t>
      </w:r>
      <w:r w:rsidR="00C924DC">
        <w:t xml:space="preserve">domestic </w:t>
      </w:r>
      <w:r w:rsidR="001D41C4">
        <w:t xml:space="preserve">courts </w:t>
      </w:r>
      <w:r w:rsidR="00C924DC">
        <w:t xml:space="preserve">have </w:t>
      </w:r>
      <w:r w:rsidR="001D41C4">
        <w:t>refused to consider his complaints</w:t>
      </w:r>
      <w:r w:rsidR="00E20A45">
        <w:t xml:space="preserve"> or </w:t>
      </w:r>
      <w:r w:rsidR="00C924DC">
        <w:t xml:space="preserve">have </w:t>
      </w:r>
      <w:r w:rsidR="00E20A45">
        <w:t>rejected his claims</w:t>
      </w:r>
      <w:r w:rsidR="001C2C4D">
        <w:t>.</w:t>
      </w:r>
      <w:r w:rsidR="001D41C4">
        <w:t xml:space="preserve"> The author also claims that the B</w:t>
      </w:r>
      <w:r w:rsidR="00CF1B51">
        <w:t>elarus</w:t>
      </w:r>
      <w:r w:rsidR="00EB7E12">
        <w:t>ian</w:t>
      </w:r>
      <w:r w:rsidR="00CF1B51">
        <w:t xml:space="preserve"> courts are</w:t>
      </w:r>
      <w:r w:rsidR="00C924DC">
        <w:t>,</w:t>
      </w:r>
      <w:r w:rsidR="00CF1B51">
        <w:t xml:space="preserve"> in general</w:t>
      </w:r>
      <w:r w:rsidR="00C924DC">
        <w:t>,</w:t>
      </w:r>
      <w:r w:rsidR="00CF1B51">
        <w:t xml:space="preserve"> neither</w:t>
      </w:r>
      <w:r w:rsidR="001D41C4">
        <w:t xml:space="preserve"> independent </w:t>
      </w:r>
      <w:r w:rsidR="00CF1B51">
        <w:t>n</w:t>
      </w:r>
      <w:r w:rsidR="001D41C4">
        <w:t>or impartial.</w:t>
      </w:r>
      <w:r w:rsidR="001C2C4D">
        <w:t xml:space="preserve"> </w:t>
      </w:r>
      <w:r w:rsidR="00E7671D">
        <w:t>The Committee also note</w:t>
      </w:r>
      <w:r w:rsidR="00C924DC">
        <w:t>s</w:t>
      </w:r>
      <w:r w:rsidR="00E7671D">
        <w:t xml:space="preserve"> the author’s claim that his rights under </w:t>
      </w:r>
      <w:r w:rsidR="001C0674">
        <w:t>article </w:t>
      </w:r>
      <w:r w:rsidR="00E7671D">
        <w:t>19</w:t>
      </w:r>
      <w:r w:rsidR="00C924DC">
        <w:t xml:space="preserve"> of the Covenant</w:t>
      </w:r>
      <w:r w:rsidR="00E7671D">
        <w:t xml:space="preserve"> have been violated, </w:t>
      </w:r>
      <w:r w:rsidR="00C924DC">
        <w:t>as</w:t>
      </w:r>
      <w:r w:rsidR="00E7671D">
        <w:t xml:space="preserve"> the State-owned newspapers refused to publish his articles</w:t>
      </w:r>
      <w:r w:rsidR="00C924DC">
        <w:t xml:space="preserve"> relating to the elections</w:t>
      </w:r>
      <w:r w:rsidR="00E7671D">
        <w:t>.</w:t>
      </w:r>
      <w:r w:rsidR="00D82857">
        <w:t xml:space="preserve"> </w:t>
      </w:r>
      <w:r w:rsidR="001C2C4D" w:rsidRPr="00A36331">
        <w:t>However, in the absence of</w:t>
      </w:r>
      <w:r w:rsidR="001C2C4D">
        <w:t xml:space="preserve"> further </w:t>
      </w:r>
      <w:r w:rsidR="00C924DC">
        <w:t xml:space="preserve">information </w:t>
      </w:r>
      <w:r w:rsidR="001C2C4D" w:rsidRPr="00A36331">
        <w:t>or evidence in support of th</w:t>
      </w:r>
      <w:r w:rsidR="00C924DC">
        <w:t>o</w:t>
      </w:r>
      <w:r w:rsidR="00E20A45">
        <w:t>se</w:t>
      </w:r>
      <w:r w:rsidR="001C2C4D" w:rsidRPr="00A36331">
        <w:t xml:space="preserve"> claim</w:t>
      </w:r>
      <w:r w:rsidR="00E20A45">
        <w:t>s</w:t>
      </w:r>
      <w:r w:rsidR="001C2C4D" w:rsidRPr="00A36331">
        <w:t xml:space="preserve">, the Committee finds </w:t>
      </w:r>
      <w:r w:rsidR="00E20A45">
        <w:t>them</w:t>
      </w:r>
      <w:r w:rsidR="001C2C4D" w:rsidRPr="00A36331">
        <w:t xml:space="preserve"> insufficiently substantiated for purposes of admissibility, and declares </w:t>
      </w:r>
      <w:r w:rsidR="000A0AD2">
        <w:t xml:space="preserve">this part of the communication </w:t>
      </w:r>
      <w:r w:rsidR="001C2C4D" w:rsidRPr="00A36331">
        <w:t>inadmissible</w:t>
      </w:r>
      <w:r w:rsidR="000A0AD2">
        <w:t>,</w:t>
      </w:r>
      <w:r w:rsidR="001C2C4D" w:rsidRPr="00A36331">
        <w:t xml:space="preserve"> under </w:t>
      </w:r>
      <w:r w:rsidR="001C0674">
        <w:t>article </w:t>
      </w:r>
      <w:r w:rsidR="001C2C4D" w:rsidRPr="00A36331">
        <w:t>2 of the Optional Protocol</w:t>
      </w:r>
      <w:r w:rsidR="005F6988">
        <w:t>.</w:t>
      </w:r>
    </w:p>
    <w:p w:rsidR="00F75DD2" w:rsidRPr="007B3302" w:rsidRDefault="00E73229" w:rsidP="000A0AD2">
      <w:pPr>
        <w:pStyle w:val="SingleTxtG"/>
      </w:pPr>
      <w:r w:rsidRPr="00E73229">
        <w:t>7</w:t>
      </w:r>
      <w:r w:rsidR="00366007">
        <w:t>.</w:t>
      </w:r>
      <w:r w:rsidR="00756181">
        <w:t>6</w:t>
      </w:r>
      <w:r w:rsidR="00F75DD2" w:rsidRPr="007B3302">
        <w:tab/>
        <w:t>The Committee considers that the author</w:t>
      </w:r>
      <w:r w:rsidR="00366007">
        <w:t xml:space="preserve"> has</w:t>
      </w:r>
      <w:r w:rsidR="00F75DD2">
        <w:t xml:space="preserve"> sufficiently substantiated </w:t>
      </w:r>
      <w:r w:rsidR="00366007">
        <w:t>his</w:t>
      </w:r>
      <w:r w:rsidR="00EB7E12">
        <w:t xml:space="preserve"> remaining</w:t>
      </w:r>
      <w:r w:rsidR="00F75DD2" w:rsidRPr="007B3302">
        <w:t xml:space="preserve"> claim</w:t>
      </w:r>
      <w:r w:rsidR="00F75DD2">
        <w:t>s</w:t>
      </w:r>
      <w:r w:rsidR="00F75DD2" w:rsidRPr="007B3302">
        <w:t xml:space="preserve"> under article</w:t>
      </w:r>
      <w:r w:rsidR="00184FCE">
        <w:t>s</w:t>
      </w:r>
      <w:r w:rsidR="00F37D04">
        <w:t> </w:t>
      </w:r>
      <w:r w:rsidR="00F75DD2">
        <w:t>21</w:t>
      </w:r>
      <w:r w:rsidR="00184FCE">
        <w:t xml:space="preserve"> and 25</w:t>
      </w:r>
      <w:r w:rsidR="00D82857">
        <w:t xml:space="preserve"> </w:t>
      </w:r>
      <w:r w:rsidR="00F75DD2">
        <w:t>o</w:t>
      </w:r>
      <w:r w:rsidR="00F75DD2" w:rsidRPr="007B3302">
        <w:t>f the Covenant</w:t>
      </w:r>
      <w:r w:rsidR="00F75DD2">
        <w:t xml:space="preserve"> </w:t>
      </w:r>
      <w:r w:rsidR="00F75DD2" w:rsidRPr="007B3302">
        <w:t>for purposes of admissibility</w:t>
      </w:r>
      <w:r w:rsidR="000A0AD2">
        <w:t xml:space="preserve">. It </w:t>
      </w:r>
      <w:r w:rsidR="00F75DD2" w:rsidRPr="007B3302">
        <w:t>declares</w:t>
      </w:r>
      <w:r w:rsidR="00F75DD2">
        <w:t xml:space="preserve"> them</w:t>
      </w:r>
      <w:r w:rsidR="00F75DD2" w:rsidRPr="007B3302">
        <w:t xml:space="preserve"> admissible and proceeds to </w:t>
      </w:r>
      <w:r w:rsidR="000A0AD2">
        <w:t xml:space="preserve">its </w:t>
      </w:r>
      <w:r w:rsidR="00F75DD2" w:rsidRPr="007B3302">
        <w:t>examination on the merits.</w:t>
      </w:r>
    </w:p>
    <w:p w:rsidR="00F75DD2" w:rsidRPr="007E3A21" w:rsidRDefault="00F75DD2" w:rsidP="00F75DD2">
      <w:pPr>
        <w:pStyle w:val="H4G"/>
      </w:pPr>
      <w:r>
        <w:tab/>
      </w:r>
      <w:r>
        <w:tab/>
      </w:r>
      <w:r w:rsidRPr="00C4292F">
        <w:t xml:space="preserve">Consideration of </w:t>
      </w:r>
      <w:r w:rsidR="00AC051D" w:rsidRPr="00AA2137">
        <w:t xml:space="preserve">the </w:t>
      </w:r>
      <w:r w:rsidRPr="00C4292F">
        <w:t>merits</w:t>
      </w:r>
    </w:p>
    <w:p w:rsidR="00F75DD2" w:rsidRPr="007B3302" w:rsidRDefault="00E73229" w:rsidP="0017253A">
      <w:pPr>
        <w:pStyle w:val="SingleTxtG"/>
      </w:pPr>
      <w:r w:rsidRPr="00E73229">
        <w:t>8</w:t>
      </w:r>
      <w:r w:rsidR="00574EB0">
        <w:t>.1</w:t>
      </w:r>
      <w:r w:rsidR="00F75DD2" w:rsidRPr="007B3302">
        <w:tab/>
        <w:t xml:space="preserve">The Human Rights Committee has considered the present communication in </w:t>
      </w:r>
      <w:r w:rsidR="00AC051D">
        <w:t xml:space="preserve">the </w:t>
      </w:r>
      <w:r w:rsidR="00F75DD2" w:rsidRPr="007B3302">
        <w:t xml:space="preserve">light of all the information made available to it by the parties, as required under </w:t>
      </w:r>
      <w:r w:rsidR="001C0674">
        <w:t>article </w:t>
      </w:r>
      <w:r w:rsidR="00F75DD2" w:rsidRPr="007B3302">
        <w:t>5, paragraph</w:t>
      </w:r>
      <w:r w:rsidR="00F37D04">
        <w:t> </w:t>
      </w:r>
      <w:r w:rsidR="00F75DD2" w:rsidRPr="007B3302">
        <w:t>1, of the Optional Protocol.</w:t>
      </w:r>
    </w:p>
    <w:p w:rsidR="00F75DD2" w:rsidRDefault="00E73229" w:rsidP="00AC051D">
      <w:pPr>
        <w:pStyle w:val="SingleTxtG"/>
      </w:pPr>
      <w:r w:rsidRPr="00E73229">
        <w:t>8</w:t>
      </w:r>
      <w:r w:rsidR="00574EB0">
        <w:t>.2</w:t>
      </w:r>
      <w:r w:rsidR="00F75DD2" w:rsidRPr="007B3302">
        <w:tab/>
        <w:t xml:space="preserve">The </w:t>
      </w:r>
      <w:r w:rsidR="00F75DD2">
        <w:t xml:space="preserve">first </w:t>
      </w:r>
      <w:r w:rsidR="00F75DD2" w:rsidRPr="007B3302">
        <w:t>issue before the Committee is whether</w:t>
      </w:r>
      <w:r w:rsidR="00F75DD2">
        <w:t xml:space="preserve"> preventing the author </w:t>
      </w:r>
      <w:r w:rsidR="00AC051D">
        <w:t>from</w:t>
      </w:r>
      <w:r w:rsidR="00995408">
        <w:t xml:space="preserve"> </w:t>
      </w:r>
      <w:r w:rsidR="00AC051D">
        <w:t>holding</w:t>
      </w:r>
      <w:r w:rsidR="00995408">
        <w:t xml:space="preserve"> </w:t>
      </w:r>
      <w:r w:rsidR="00CF1B51">
        <w:t xml:space="preserve">a </w:t>
      </w:r>
      <w:r w:rsidR="00AC051D">
        <w:t xml:space="preserve">public </w:t>
      </w:r>
      <w:r w:rsidR="00CF1B51">
        <w:t xml:space="preserve">meeting with potential voters </w:t>
      </w:r>
      <w:r w:rsidR="00AC051D">
        <w:t xml:space="preserve">in an open square </w:t>
      </w:r>
      <w:r w:rsidR="00CF1B51">
        <w:t xml:space="preserve">at a popular </w:t>
      </w:r>
      <w:r w:rsidR="00AC051D">
        <w:t xml:space="preserve">venue </w:t>
      </w:r>
      <w:r w:rsidR="00CF1B51">
        <w:t xml:space="preserve">in </w:t>
      </w:r>
      <w:r w:rsidR="00AC051D">
        <w:t xml:space="preserve">the centre of the </w:t>
      </w:r>
      <w:r w:rsidR="00CF1B51">
        <w:t xml:space="preserve">town </w:t>
      </w:r>
      <w:r w:rsidR="00F75DD2" w:rsidRPr="007B3302">
        <w:t>constitute</w:t>
      </w:r>
      <w:r w:rsidR="00F75DD2">
        <w:t>d</w:t>
      </w:r>
      <w:r w:rsidR="00F75DD2" w:rsidRPr="007B3302">
        <w:t xml:space="preserve"> a violation of the author</w:t>
      </w:r>
      <w:r w:rsidR="00995408">
        <w:t>’s</w:t>
      </w:r>
      <w:r w:rsidR="00F75DD2" w:rsidRPr="007B3302">
        <w:t xml:space="preserve"> rights under </w:t>
      </w:r>
      <w:r w:rsidR="001C0674">
        <w:t>article </w:t>
      </w:r>
      <w:r w:rsidR="00F75DD2">
        <w:t xml:space="preserve">21 </w:t>
      </w:r>
      <w:r w:rsidR="00F75DD2" w:rsidRPr="007B3302">
        <w:t xml:space="preserve">of the Covenant. </w:t>
      </w:r>
    </w:p>
    <w:p w:rsidR="007C49F2" w:rsidRDefault="00E73229" w:rsidP="00AC051D">
      <w:pPr>
        <w:pStyle w:val="SingleTxtG"/>
        <w:rPr>
          <w:lang w:val="en-US"/>
        </w:rPr>
      </w:pPr>
      <w:r w:rsidRPr="00E73229">
        <w:t>8</w:t>
      </w:r>
      <w:r w:rsidR="00F75DD2">
        <w:t>.3</w:t>
      </w:r>
      <w:r w:rsidR="00F75DD2">
        <w:tab/>
      </w:r>
      <w:r w:rsidR="007C49F2">
        <w:t xml:space="preserve">The Committee </w:t>
      </w:r>
      <w:r w:rsidR="00AC051D">
        <w:t>must</w:t>
      </w:r>
      <w:r w:rsidR="007C49F2">
        <w:t xml:space="preserve"> consider whether the restriction imposed on the author</w:t>
      </w:r>
      <w:r w:rsidR="001D0DD1">
        <w:t>’</w:t>
      </w:r>
      <w:r w:rsidR="007C49F2">
        <w:t>s right</w:t>
      </w:r>
      <w:r w:rsidR="00AC051D">
        <w:t xml:space="preserve"> </w:t>
      </w:r>
      <w:r w:rsidR="007C49F2">
        <w:t xml:space="preserve">of peaceful assembly was justified under any of the criteria set out in </w:t>
      </w:r>
      <w:r w:rsidR="001C0674">
        <w:rPr>
          <w:lang w:val="en-US"/>
        </w:rPr>
        <w:t>article </w:t>
      </w:r>
      <w:r w:rsidR="007C49F2">
        <w:rPr>
          <w:lang w:val="en-US"/>
        </w:rPr>
        <w:t xml:space="preserve">21 of the Covenant. </w:t>
      </w:r>
    </w:p>
    <w:p w:rsidR="007C49F2" w:rsidRDefault="00E73229" w:rsidP="00D72115">
      <w:pPr>
        <w:pStyle w:val="SingleTxtG"/>
        <w:rPr>
          <w:lang w:val="en-US"/>
        </w:rPr>
      </w:pPr>
      <w:r>
        <w:rPr>
          <w:lang w:val="en-US"/>
        </w:rPr>
        <w:t>8</w:t>
      </w:r>
      <w:r w:rsidR="007C49F2">
        <w:rPr>
          <w:lang w:val="en-US"/>
        </w:rPr>
        <w:t>.4</w:t>
      </w:r>
      <w:r w:rsidR="007C49F2">
        <w:rPr>
          <w:lang w:val="en-US"/>
        </w:rPr>
        <w:tab/>
        <w:t xml:space="preserve">The Committee recalls that </w:t>
      </w:r>
      <w:r w:rsidR="001C0674">
        <w:rPr>
          <w:lang w:val="en-US"/>
        </w:rPr>
        <w:t>article </w:t>
      </w:r>
      <w:r w:rsidR="007C49F2">
        <w:rPr>
          <w:lang w:val="en-US"/>
        </w:rPr>
        <w:t xml:space="preserve">21 of the </w:t>
      </w:r>
      <w:r w:rsidR="00AC051D">
        <w:rPr>
          <w:lang w:val="en-US"/>
        </w:rPr>
        <w:t xml:space="preserve">International </w:t>
      </w:r>
      <w:r w:rsidR="007C49F2">
        <w:rPr>
          <w:lang w:val="en-US"/>
        </w:rPr>
        <w:t>Covenant</w:t>
      </w:r>
      <w:r w:rsidR="00AC051D">
        <w:rPr>
          <w:lang w:val="en-US"/>
        </w:rPr>
        <w:t xml:space="preserve"> on Civil and Political Rights</w:t>
      </w:r>
      <w:r w:rsidR="007C49F2">
        <w:rPr>
          <w:lang w:val="en-US"/>
        </w:rPr>
        <w:t xml:space="preserve"> </w:t>
      </w:r>
      <w:r w:rsidR="00AC051D">
        <w:rPr>
          <w:lang w:val="en-US"/>
        </w:rPr>
        <w:t>states</w:t>
      </w:r>
      <w:r w:rsidR="007C49F2">
        <w:rPr>
          <w:lang w:val="en-US"/>
        </w:rPr>
        <w:t xml:space="preserve"> that no restrictions </w:t>
      </w:r>
      <w:r w:rsidR="003A62E0">
        <w:rPr>
          <w:lang w:val="en-US"/>
        </w:rPr>
        <w:t xml:space="preserve">may </w:t>
      </w:r>
      <w:r w:rsidR="007C49F2">
        <w:rPr>
          <w:lang w:val="en-US"/>
        </w:rPr>
        <w:t xml:space="preserve">be placed on the exercise of the right </w:t>
      </w:r>
      <w:r w:rsidR="003A62E0">
        <w:rPr>
          <w:lang w:val="en-US"/>
        </w:rPr>
        <w:t>of</w:t>
      </w:r>
      <w:r w:rsidR="007C49F2">
        <w:rPr>
          <w:lang w:val="en-US"/>
        </w:rPr>
        <w:t xml:space="preserve"> peaceful assembly other than those imposed</w:t>
      </w:r>
      <w:r w:rsidR="003A62E0">
        <w:rPr>
          <w:lang w:val="en-US"/>
        </w:rPr>
        <w:t>:</w:t>
      </w:r>
      <w:r w:rsidR="007C49F2">
        <w:rPr>
          <w:lang w:val="en-US"/>
        </w:rPr>
        <w:t xml:space="preserve"> (a) in conformity with the law</w:t>
      </w:r>
      <w:r w:rsidR="003A62E0">
        <w:rPr>
          <w:lang w:val="en-US"/>
        </w:rPr>
        <w:t>;</w:t>
      </w:r>
      <w:r w:rsidR="007C49F2">
        <w:rPr>
          <w:lang w:val="en-US"/>
        </w:rPr>
        <w:t xml:space="preserve"> and (b) which are necessary in a democratic society in the interests of national security or public safety, public order </w:t>
      </w:r>
      <w:r w:rsidR="007C49F2" w:rsidRPr="003A62E0">
        <w:rPr>
          <w:iCs/>
          <w:lang w:val="en-US"/>
        </w:rPr>
        <w:t>(ordre public)</w:t>
      </w:r>
      <w:r w:rsidR="007C49F2">
        <w:rPr>
          <w:lang w:val="en-US"/>
        </w:rPr>
        <w:t xml:space="preserve">, the protection of public health or morals or the protection of the rights and freedoms of others. The Committee notes that if a State party imposes a restriction on the right </w:t>
      </w:r>
      <w:r w:rsidR="003A62E0">
        <w:rPr>
          <w:lang w:val="en-US"/>
        </w:rPr>
        <w:t xml:space="preserve">protected </w:t>
      </w:r>
      <w:r w:rsidR="007C49F2">
        <w:rPr>
          <w:lang w:val="en-US"/>
        </w:rPr>
        <w:t xml:space="preserve">under </w:t>
      </w:r>
      <w:r w:rsidR="001C0674">
        <w:rPr>
          <w:lang w:val="en-US"/>
        </w:rPr>
        <w:t>article </w:t>
      </w:r>
      <w:r w:rsidR="007C49F2">
        <w:rPr>
          <w:lang w:val="en-US"/>
        </w:rPr>
        <w:t xml:space="preserve">21 of the Covenant, </w:t>
      </w:r>
      <w:r w:rsidR="003A62E0">
        <w:rPr>
          <w:lang w:val="en-US"/>
        </w:rPr>
        <w:t>it is up to said State party</w:t>
      </w:r>
      <w:r w:rsidR="007C49F2">
        <w:rPr>
          <w:lang w:val="en-US"/>
        </w:rPr>
        <w:t xml:space="preserve"> </w:t>
      </w:r>
      <w:r w:rsidR="003A62E0">
        <w:rPr>
          <w:lang w:val="en-US"/>
        </w:rPr>
        <w:t xml:space="preserve">to </w:t>
      </w:r>
      <w:r w:rsidR="007C49F2">
        <w:rPr>
          <w:lang w:val="en-US"/>
        </w:rPr>
        <w:t xml:space="preserve">demonstrate that the restriction was necessary </w:t>
      </w:r>
      <w:r w:rsidR="00D72115">
        <w:rPr>
          <w:lang w:val="en-US"/>
        </w:rPr>
        <w:t xml:space="preserve">and justified, </w:t>
      </w:r>
      <w:r w:rsidR="007C49F2">
        <w:rPr>
          <w:lang w:val="en-US"/>
        </w:rPr>
        <w:t>and that</w:t>
      </w:r>
      <w:r w:rsidR="00D72115">
        <w:rPr>
          <w:lang w:val="en-US"/>
        </w:rPr>
        <w:t>,</w:t>
      </w:r>
      <w:r w:rsidR="007C49F2">
        <w:rPr>
          <w:lang w:val="en-US"/>
        </w:rPr>
        <w:t xml:space="preserve"> even</w:t>
      </w:r>
      <w:r w:rsidR="003A62E0">
        <w:rPr>
          <w:lang w:val="en-US"/>
        </w:rPr>
        <w:t>,</w:t>
      </w:r>
      <w:r w:rsidR="007C49F2">
        <w:rPr>
          <w:lang w:val="en-US"/>
        </w:rPr>
        <w:t xml:space="preserve"> if, in principle, </w:t>
      </w:r>
      <w:r w:rsidR="003A62E0">
        <w:rPr>
          <w:lang w:val="en-US"/>
        </w:rPr>
        <w:t xml:space="preserve">a </w:t>
      </w:r>
      <w:r w:rsidR="007C49F2">
        <w:rPr>
          <w:lang w:val="en-US"/>
        </w:rPr>
        <w:t>State part</w:t>
      </w:r>
      <w:r w:rsidR="003A62E0">
        <w:rPr>
          <w:lang w:val="en-US"/>
        </w:rPr>
        <w:t>y</w:t>
      </w:r>
      <w:r w:rsidR="007C49F2">
        <w:rPr>
          <w:lang w:val="en-US"/>
        </w:rPr>
        <w:t xml:space="preserve"> introduce</w:t>
      </w:r>
      <w:r w:rsidR="003A62E0">
        <w:rPr>
          <w:lang w:val="en-US"/>
        </w:rPr>
        <w:t>s</w:t>
      </w:r>
      <w:r w:rsidR="007C49F2">
        <w:rPr>
          <w:lang w:val="en-US"/>
        </w:rPr>
        <w:t xml:space="preserve"> a system aimed at reconciling individuals</w:t>
      </w:r>
      <w:r w:rsidR="003A62E0">
        <w:rPr>
          <w:lang w:val="en-US"/>
        </w:rPr>
        <w:t>’</w:t>
      </w:r>
      <w:r w:rsidR="007C49F2">
        <w:rPr>
          <w:lang w:val="en-US"/>
        </w:rPr>
        <w:t xml:space="preserve"> freedom to impart information and to participate in a peaceful assembly with the general interest of maintaining public order in a certain area, the system must not operate in a way that is incompatible with the object and purpose of </w:t>
      </w:r>
      <w:r w:rsidR="001C0674">
        <w:rPr>
          <w:lang w:val="en-US"/>
        </w:rPr>
        <w:t>article </w:t>
      </w:r>
      <w:r w:rsidR="007C49F2">
        <w:rPr>
          <w:lang w:val="en-US"/>
        </w:rPr>
        <w:t>21 of the Covenant.</w:t>
      </w:r>
      <w:r w:rsidR="007C49F2">
        <w:rPr>
          <w:vertAlign w:val="superscript"/>
          <w:lang w:val="en-US"/>
        </w:rPr>
        <w:footnoteReference w:id="10"/>
      </w:r>
    </w:p>
    <w:p w:rsidR="007C49F2" w:rsidRDefault="00E73229" w:rsidP="00625A04">
      <w:pPr>
        <w:pStyle w:val="SingleTxtG"/>
      </w:pPr>
      <w:r w:rsidRPr="00E73229">
        <w:lastRenderedPageBreak/>
        <w:t>8</w:t>
      </w:r>
      <w:r w:rsidR="007C49F2">
        <w:t>.5</w:t>
      </w:r>
      <w:r w:rsidR="007C49F2">
        <w:tab/>
        <w:t>In th</w:t>
      </w:r>
      <w:r w:rsidR="00D72115">
        <w:t>at</w:t>
      </w:r>
      <w:r w:rsidR="00CF1B51">
        <w:t xml:space="preserve"> regard, the Committee notes that the Gomel </w:t>
      </w:r>
      <w:r w:rsidR="00EB7E12">
        <w:t>C</w:t>
      </w:r>
      <w:r w:rsidR="00CF1B51">
        <w:t xml:space="preserve">ity authorities </w:t>
      </w:r>
      <w:r w:rsidR="00D72115">
        <w:t xml:space="preserve">have </w:t>
      </w:r>
      <w:r w:rsidR="00CF1B51">
        <w:t xml:space="preserve">restricted </w:t>
      </w:r>
      <w:r w:rsidR="00D72115">
        <w:t xml:space="preserve">the holding of </w:t>
      </w:r>
      <w:r w:rsidR="00CF1B51">
        <w:t>public meeting</w:t>
      </w:r>
      <w:r w:rsidR="00EB7E12">
        <w:t>s</w:t>
      </w:r>
      <w:r w:rsidR="00CF1B51">
        <w:t xml:space="preserve"> to </w:t>
      </w:r>
      <w:r w:rsidR="00D72115">
        <w:t xml:space="preserve">only </w:t>
      </w:r>
      <w:r w:rsidR="00CF1B51">
        <w:t xml:space="preserve">one location </w:t>
      </w:r>
      <w:r w:rsidR="00D72115">
        <w:t>outside of the city centre</w:t>
      </w:r>
      <w:r w:rsidR="007C49F2">
        <w:t>. It notes, however, that the State party has not explain</w:t>
      </w:r>
      <w:r w:rsidR="00625A04">
        <w:t>ed</w:t>
      </w:r>
      <w:r w:rsidR="007C49F2">
        <w:t xml:space="preserve"> why it was necessary, under domestic law and for </w:t>
      </w:r>
      <w:r w:rsidR="00625A04">
        <w:t>any</w:t>
      </w:r>
      <w:r w:rsidR="007C49F2">
        <w:t xml:space="preserve"> of the legitimate </w:t>
      </w:r>
      <w:r w:rsidR="00625A04">
        <w:t>reasons</w:t>
      </w:r>
      <w:r w:rsidR="007C49F2">
        <w:t xml:space="preserve"> set </w:t>
      </w:r>
      <w:r w:rsidR="007C49F2" w:rsidRPr="00CF502D">
        <w:t>out</w:t>
      </w:r>
      <w:r w:rsidR="007C49F2">
        <w:t xml:space="preserve"> in </w:t>
      </w:r>
      <w:r w:rsidR="001C0674">
        <w:t>article </w:t>
      </w:r>
      <w:r w:rsidR="007C49F2">
        <w:rPr>
          <w:lang w:val="en-US"/>
        </w:rPr>
        <w:t xml:space="preserve">21 </w:t>
      </w:r>
      <w:r w:rsidR="007C49F2">
        <w:t xml:space="preserve">of the Covenant, to </w:t>
      </w:r>
      <w:r w:rsidR="00625A04">
        <w:t xml:space="preserve">restrict the </w:t>
      </w:r>
      <w:r w:rsidR="00CF1B51">
        <w:t>hold</w:t>
      </w:r>
      <w:r w:rsidR="00625A04">
        <w:t>ing of</w:t>
      </w:r>
      <w:r w:rsidR="00CF1B51">
        <w:t xml:space="preserve"> </w:t>
      </w:r>
      <w:r w:rsidR="00625A04">
        <w:t>a public</w:t>
      </w:r>
      <w:r w:rsidR="00CF1B51">
        <w:t xml:space="preserve"> meeting with potential voters </w:t>
      </w:r>
      <w:r w:rsidR="00625A04">
        <w:t>to a location outside  of the city centre</w:t>
      </w:r>
      <w:r w:rsidR="007C49F2">
        <w:t xml:space="preserve">. </w:t>
      </w:r>
      <w:r w:rsidR="00625A04">
        <w:t>In addition, the State party</w:t>
      </w:r>
      <w:r w:rsidR="007C49F2">
        <w:t xml:space="preserve"> has </w:t>
      </w:r>
      <w:r w:rsidR="00625A04">
        <w:t>not</w:t>
      </w:r>
      <w:r w:rsidR="007C49F2">
        <w:t xml:space="preserve"> explained how</w:t>
      </w:r>
      <w:r w:rsidR="00625A04">
        <w:t>,</w:t>
      </w:r>
      <w:r w:rsidR="007C49F2">
        <w:t xml:space="preserve"> in practice, the </w:t>
      </w:r>
      <w:r w:rsidR="00CF1B51">
        <w:t>author’s meeting at an open square at a popular</w:t>
      </w:r>
      <w:r w:rsidR="00EB7E12">
        <w:t xml:space="preserve"> venue</w:t>
      </w:r>
      <w:r w:rsidR="00CF1B51">
        <w:t xml:space="preserve"> in the centr</w:t>
      </w:r>
      <w:r w:rsidR="00AC051D">
        <w:t>e</w:t>
      </w:r>
      <w:r w:rsidR="00CF1B51">
        <w:t xml:space="preserve"> of the city </w:t>
      </w:r>
      <w:r w:rsidR="007C49F2">
        <w:t>would have violated the rights and freedoms of others or posed a threat to public safety or public order (</w:t>
      </w:r>
      <w:r w:rsidR="007C49F2" w:rsidRPr="00AA2137">
        <w:t>ordre public</w:t>
      </w:r>
      <w:r w:rsidR="007C49F2">
        <w:t xml:space="preserve">). In the absence of any pertinent </w:t>
      </w:r>
      <w:r w:rsidR="00625A04">
        <w:t>information</w:t>
      </w:r>
      <w:r w:rsidR="007C49F2">
        <w:t xml:space="preserve"> from the State party, the Committee considers that due weight must be given to the author’s allegations. Accordingly, it concludes that the facts as submitted </w:t>
      </w:r>
      <w:r w:rsidR="00625A04">
        <w:t xml:space="preserve">by the author </w:t>
      </w:r>
      <w:r w:rsidR="007C49F2">
        <w:t xml:space="preserve">reveal a violation, by the State party, of </w:t>
      </w:r>
      <w:r w:rsidR="00625A04">
        <w:t>his</w:t>
      </w:r>
      <w:r w:rsidR="007C49F2">
        <w:t xml:space="preserve"> rights under </w:t>
      </w:r>
      <w:r w:rsidR="001C0674">
        <w:t>article </w:t>
      </w:r>
      <w:r w:rsidR="00EC276F">
        <w:t>21</w:t>
      </w:r>
      <w:r w:rsidR="007C49F2">
        <w:t xml:space="preserve"> of the </w:t>
      </w:r>
      <w:r w:rsidR="00625A04">
        <w:t xml:space="preserve">International </w:t>
      </w:r>
      <w:r w:rsidR="007C49F2">
        <w:t>Covenant</w:t>
      </w:r>
      <w:r w:rsidR="00625A04">
        <w:t xml:space="preserve"> on Civil and Political Rights</w:t>
      </w:r>
      <w:r w:rsidR="007C49F2">
        <w:t>.</w:t>
      </w:r>
    </w:p>
    <w:p w:rsidR="00EC276F" w:rsidRPr="00EC276F" w:rsidRDefault="005F6988" w:rsidP="00CF5B87">
      <w:pPr>
        <w:pStyle w:val="SingleTxtG"/>
        <w:rPr>
          <w:lang w:val="en-US" w:eastAsia="en-GB"/>
        </w:rPr>
      </w:pPr>
      <w:r w:rsidRPr="00EC276F">
        <w:rPr>
          <w:lang w:val="en-US" w:eastAsia="en-GB"/>
        </w:rPr>
        <w:t>8.6</w:t>
      </w:r>
      <w:r w:rsidR="00EC276F">
        <w:rPr>
          <w:lang w:val="en-US" w:eastAsia="en-GB"/>
        </w:rPr>
        <w:tab/>
      </w:r>
      <w:r w:rsidRPr="00EC276F">
        <w:rPr>
          <w:lang w:val="en-US" w:eastAsia="en-GB"/>
        </w:rPr>
        <w:t xml:space="preserve">The Committee </w:t>
      </w:r>
      <w:r w:rsidR="00625A04">
        <w:rPr>
          <w:lang w:val="en-US" w:eastAsia="en-GB"/>
        </w:rPr>
        <w:t>must also</w:t>
      </w:r>
      <w:r w:rsidRPr="00EC276F">
        <w:rPr>
          <w:lang w:val="en-US" w:eastAsia="en-GB"/>
        </w:rPr>
        <w:t xml:space="preserve"> consider whether the author’s rights under </w:t>
      </w:r>
      <w:r w:rsidR="001C0674">
        <w:rPr>
          <w:lang w:val="en-US" w:eastAsia="en-GB"/>
        </w:rPr>
        <w:t>article </w:t>
      </w:r>
      <w:r w:rsidRPr="00EC276F">
        <w:rPr>
          <w:lang w:val="en-US" w:eastAsia="en-GB"/>
        </w:rPr>
        <w:t>25 of the Covenant, including the right to be elected to public office</w:t>
      </w:r>
      <w:r w:rsidR="003D2A4D">
        <w:rPr>
          <w:lang w:val="en-US" w:eastAsia="en-GB"/>
        </w:rPr>
        <w:t>,</w:t>
      </w:r>
      <w:r w:rsidR="00B471B0">
        <w:rPr>
          <w:rStyle w:val="FootnoteReference"/>
          <w:lang w:val="en-US" w:eastAsia="en-GB"/>
        </w:rPr>
        <w:footnoteReference w:id="11"/>
      </w:r>
      <w:r w:rsidRPr="00EC276F">
        <w:rPr>
          <w:lang w:val="en-US" w:eastAsia="en-GB"/>
        </w:rPr>
        <w:t xml:space="preserve"> were violated by the State party’s refusal to allow </w:t>
      </w:r>
      <w:r w:rsidR="003E6984">
        <w:rPr>
          <w:lang w:val="en-US" w:eastAsia="en-GB"/>
        </w:rPr>
        <w:t>him</w:t>
      </w:r>
      <w:r w:rsidRPr="00EC276F">
        <w:rPr>
          <w:lang w:val="en-US" w:eastAsia="en-GB"/>
        </w:rPr>
        <w:t xml:space="preserve"> to hold a </w:t>
      </w:r>
      <w:r w:rsidR="003E6984">
        <w:rPr>
          <w:lang w:val="en-US" w:eastAsia="en-GB"/>
        </w:rPr>
        <w:t xml:space="preserve">public </w:t>
      </w:r>
      <w:r w:rsidRPr="00EC276F">
        <w:rPr>
          <w:lang w:val="en-US" w:eastAsia="en-GB"/>
        </w:rPr>
        <w:t xml:space="preserve">meeting with </w:t>
      </w:r>
      <w:r w:rsidR="003E6984">
        <w:rPr>
          <w:lang w:val="en-US" w:eastAsia="en-GB"/>
        </w:rPr>
        <w:t xml:space="preserve">potential </w:t>
      </w:r>
      <w:r w:rsidRPr="00EC276F">
        <w:rPr>
          <w:lang w:val="en-US" w:eastAsia="en-GB"/>
        </w:rPr>
        <w:t>voters. The Committee note</w:t>
      </w:r>
      <w:r w:rsidR="003E6984">
        <w:rPr>
          <w:lang w:val="en-US" w:eastAsia="en-GB"/>
        </w:rPr>
        <w:t>s</w:t>
      </w:r>
      <w:r w:rsidRPr="00EC276F">
        <w:rPr>
          <w:lang w:val="en-US" w:eastAsia="en-GB"/>
        </w:rPr>
        <w:t xml:space="preserve"> the author’s unchallenged allegations that he was denied the possibility </w:t>
      </w:r>
      <w:r w:rsidR="003E6984">
        <w:rPr>
          <w:lang w:val="en-US" w:eastAsia="en-GB"/>
        </w:rPr>
        <w:t xml:space="preserve">of </w:t>
      </w:r>
      <w:r w:rsidR="00EC276F">
        <w:rPr>
          <w:lang w:val="en-US" w:eastAsia="en-GB"/>
        </w:rPr>
        <w:t>meet</w:t>
      </w:r>
      <w:r w:rsidR="003E6984">
        <w:rPr>
          <w:lang w:val="en-US" w:eastAsia="en-GB"/>
        </w:rPr>
        <w:t>ing</w:t>
      </w:r>
      <w:r w:rsidR="00EC276F">
        <w:rPr>
          <w:lang w:val="en-US" w:eastAsia="en-GB"/>
        </w:rPr>
        <w:t xml:space="preserve"> with </w:t>
      </w:r>
      <w:r w:rsidR="00BB496C">
        <w:rPr>
          <w:lang w:val="en-US" w:eastAsia="en-GB"/>
        </w:rPr>
        <w:t>his</w:t>
      </w:r>
      <w:r w:rsidR="00EC276F">
        <w:rPr>
          <w:lang w:val="en-US" w:eastAsia="en-GB"/>
        </w:rPr>
        <w:t xml:space="preserve"> constituen</w:t>
      </w:r>
      <w:r w:rsidR="00DD0399">
        <w:rPr>
          <w:lang w:val="en-US" w:eastAsia="en-GB"/>
        </w:rPr>
        <w:t>ts</w:t>
      </w:r>
      <w:r w:rsidR="00BB496C">
        <w:rPr>
          <w:lang w:val="en-US" w:eastAsia="en-GB"/>
        </w:rPr>
        <w:t xml:space="preserve"> </w:t>
      </w:r>
      <w:r w:rsidR="00932DEE">
        <w:rPr>
          <w:lang w:val="en-US" w:eastAsia="en-GB"/>
        </w:rPr>
        <w:t>in</w:t>
      </w:r>
      <w:r w:rsidR="00BB496C">
        <w:rPr>
          <w:lang w:val="en-US" w:eastAsia="en-GB"/>
        </w:rPr>
        <w:t xml:space="preserve"> the square near</w:t>
      </w:r>
      <w:r w:rsidR="00BB496C">
        <w:t xml:space="preserve"> the </w:t>
      </w:r>
      <w:r w:rsidR="003E6984">
        <w:t>c</w:t>
      </w:r>
      <w:r w:rsidR="00BB496C">
        <w:t>ultur</w:t>
      </w:r>
      <w:r w:rsidR="009F6003">
        <w:t>al centre,</w:t>
      </w:r>
      <w:r w:rsidR="00BB496C">
        <w:t xml:space="preserve"> “Festivalnaya”</w:t>
      </w:r>
      <w:r w:rsidR="009F6003">
        <w:t>,</w:t>
      </w:r>
      <w:r w:rsidRPr="00EC276F">
        <w:rPr>
          <w:lang w:val="en-US" w:eastAsia="en-GB"/>
        </w:rPr>
        <w:t xml:space="preserve"> and</w:t>
      </w:r>
      <w:r w:rsidR="00BB496C">
        <w:rPr>
          <w:lang w:val="en-US" w:eastAsia="en-GB"/>
        </w:rPr>
        <w:t xml:space="preserve"> </w:t>
      </w:r>
      <w:r w:rsidR="00932DEE">
        <w:rPr>
          <w:lang w:val="en-US" w:eastAsia="en-GB"/>
        </w:rPr>
        <w:t xml:space="preserve">that </w:t>
      </w:r>
      <w:r w:rsidRPr="00EC276F">
        <w:rPr>
          <w:lang w:val="en-US" w:eastAsia="en-GB"/>
        </w:rPr>
        <w:t>a distan</w:t>
      </w:r>
      <w:r w:rsidR="00EC276F">
        <w:rPr>
          <w:lang w:val="en-US" w:eastAsia="en-GB"/>
        </w:rPr>
        <w:t>t location</w:t>
      </w:r>
      <w:r w:rsidR="00932DEE">
        <w:rPr>
          <w:lang w:val="en-US" w:eastAsia="en-GB"/>
        </w:rPr>
        <w:t xml:space="preserve"> outside of the city</w:t>
      </w:r>
      <w:r w:rsidRPr="00EC276F">
        <w:rPr>
          <w:lang w:val="en-US" w:eastAsia="en-GB"/>
        </w:rPr>
        <w:t xml:space="preserve"> </w:t>
      </w:r>
      <w:r w:rsidR="00932DEE">
        <w:rPr>
          <w:lang w:val="en-US" w:eastAsia="en-GB"/>
        </w:rPr>
        <w:t>w</w:t>
      </w:r>
      <w:r w:rsidRPr="00EC276F">
        <w:rPr>
          <w:lang w:val="en-US" w:eastAsia="en-GB"/>
        </w:rPr>
        <w:t xml:space="preserve">as </w:t>
      </w:r>
      <w:r w:rsidR="00932DEE">
        <w:rPr>
          <w:lang w:val="en-US" w:eastAsia="en-GB"/>
        </w:rPr>
        <w:t>proposed</w:t>
      </w:r>
      <w:r w:rsidRPr="00EC276F">
        <w:rPr>
          <w:lang w:val="en-US" w:eastAsia="en-GB"/>
        </w:rPr>
        <w:t xml:space="preserve"> as </w:t>
      </w:r>
      <w:r w:rsidR="00932DEE">
        <w:rPr>
          <w:lang w:val="en-US" w:eastAsia="en-GB"/>
        </w:rPr>
        <w:t xml:space="preserve">being </w:t>
      </w:r>
      <w:r w:rsidRPr="00EC276F">
        <w:rPr>
          <w:lang w:val="en-US" w:eastAsia="en-GB"/>
        </w:rPr>
        <w:t xml:space="preserve">the only location for </w:t>
      </w:r>
      <w:r w:rsidR="00932DEE">
        <w:rPr>
          <w:lang w:val="en-US" w:eastAsia="en-GB"/>
        </w:rPr>
        <w:t xml:space="preserve">holding </w:t>
      </w:r>
      <w:r w:rsidRPr="00EC276F">
        <w:rPr>
          <w:lang w:val="en-US" w:eastAsia="en-GB"/>
        </w:rPr>
        <w:t xml:space="preserve">such meetings. The Committee recalls its </w:t>
      </w:r>
      <w:r w:rsidR="00932DEE">
        <w:rPr>
          <w:lang w:val="en-US" w:eastAsia="en-GB"/>
        </w:rPr>
        <w:t>g</w:t>
      </w:r>
      <w:r w:rsidRPr="00EC276F">
        <w:rPr>
          <w:lang w:val="en-US" w:eastAsia="en-GB"/>
        </w:rPr>
        <w:t xml:space="preserve">eneral </w:t>
      </w:r>
      <w:r w:rsidR="00932DEE">
        <w:rPr>
          <w:lang w:val="en-US" w:eastAsia="en-GB"/>
        </w:rPr>
        <w:t>c</w:t>
      </w:r>
      <w:r w:rsidRPr="00EC276F">
        <w:rPr>
          <w:lang w:val="en-US" w:eastAsia="en-GB"/>
        </w:rPr>
        <w:t xml:space="preserve">omment </w:t>
      </w:r>
      <w:r w:rsidR="00932DEE">
        <w:rPr>
          <w:lang w:val="en-US" w:eastAsia="en-GB"/>
        </w:rPr>
        <w:t xml:space="preserve">No. </w:t>
      </w:r>
      <w:r w:rsidRPr="00EC276F">
        <w:rPr>
          <w:lang w:val="en-US" w:eastAsia="en-GB"/>
        </w:rPr>
        <w:t xml:space="preserve">25 (1996) </w:t>
      </w:r>
      <w:r w:rsidR="00CF5B87">
        <w:rPr>
          <w:lang w:val="en-US" w:eastAsia="en-GB"/>
        </w:rPr>
        <w:t xml:space="preserve">on the right to participate in public affairs, voting rights and the right of equal access to public service, </w:t>
      </w:r>
      <w:r w:rsidRPr="00EC276F">
        <w:rPr>
          <w:lang w:val="en-US" w:eastAsia="en-GB"/>
        </w:rPr>
        <w:t>which</w:t>
      </w:r>
      <w:r w:rsidR="00932DEE">
        <w:rPr>
          <w:lang w:val="en-US" w:eastAsia="en-GB"/>
        </w:rPr>
        <w:t xml:space="preserve"> states </w:t>
      </w:r>
      <w:r w:rsidR="00CF5B87">
        <w:rPr>
          <w:lang w:val="en-US" w:eastAsia="en-GB"/>
        </w:rPr>
        <w:t>that</w:t>
      </w:r>
      <w:r w:rsidRPr="00EC276F">
        <w:rPr>
          <w:lang w:val="en-US" w:eastAsia="en-GB"/>
        </w:rPr>
        <w:t xml:space="preserve"> citizens</w:t>
      </w:r>
      <w:r w:rsidR="00CF5B87">
        <w:rPr>
          <w:lang w:val="en-US" w:eastAsia="en-GB"/>
        </w:rPr>
        <w:t xml:space="preserve"> also</w:t>
      </w:r>
      <w:r w:rsidRPr="00EC276F">
        <w:rPr>
          <w:lang w:val="en-US" w:eastAsia="en-GB"/>
        </w:rPr>
        <w:t xml:space="preserve"> take part in </w:t>
      </w:r>
      <w:r w:rsidR="00CF5B87">
        <w:rPr>
          <w:lang w:val="en-US" w:eastAsia="en-GB"/>
        </w:rPr>
        <w:t xml:space="preserve">the conduct of </w:t>
      </w:r>
      <w:r w:rsidRPr="00EC276F">
        <w:rPr>
          <w:lang w:val="en-US" w:eastAsia="en-GB"/>
        </w:rPr>
        <w:t xml:space="preserve">public affairs by exerting influence through public debate and dialogue with their representatives or through their capacity to organize themselves. </w:t>
      </w:r>
      <w:r w:rsidR="00CF5B87">
        <w:rPr>
          <w:lang w:val="en-US" w:eastAsia="en-GB"/>
        </w:rPr>
        <w:t xml:space="preserve">States parties support such </w:t>
      </w:r>
      <w:r w:rsidRPr="00EC276F">
        <w:rPr>
          <w:lang w:val="en-US" w:eastAsia="en-GB"/>
        </w:rPr>
        <w:t>participation by ensuring freedom of expression, assembly and association</w:t>
      </w:r>
      <w:r w:rsidR="00CF5B87">
        <w:rPr>
          <w:lang w:val="en-US" w:eastAsia="en-GB"/>
        </w:rPr>
        <w:t xml:space="preserve"> (para. 8).</w:t>
      </w:r>
      <w:r w:rsidR="00901A79">
        <w:rPr>
          <w:lang w:val="en-US" w:eastAsia="en-GB"/>
        </w:rPr>
        <w:t xml:space="preserve"> </w:t>
      </w:r>
      <w:r w:rsidR="00CF5B87">
        <w:rPr>
          <w:lang w:val="en-US" w:eastAsia="en-GB"/>
        </w:rPr>
        <w:t xml:space="preserve">Those </w:t>
      </w:r>
      <w:r w:rsidR="001B2FCC">
        <w:rPr>
          <w:lang w:val="en-US" w:eastAsia="en-GB"/>
        </w:rPr>
        <w:t xml:space="preserve">freedoms </w:t>
      </w:r>
      <w:r w:rsidRPr="00EC276F">
        <w:rPr>
          <w:lang w:val="en-US" w:eastAsia="en-GB"/>
        </w:rPr>
        <w:t>are essential conditions for the effective exercise of the right to vote and must be fully protected</w:t>
      </w:r>
      <w:r w:rsidR="00CF5B87">
        <w:rPr>
          <w:lang w:val="en-US" w:eastAsia="en-GB"/>
        </w:rPr>
        <w:t xml:space="preserve"> (para. 12)</w:t>
      </w:r>
      <w:r w:rsidR="003D2A4D">
        <w:rPr>
          <w:lang w:val="en-US" w:eastAsia="en-GB"/>
        </w:rPr>
        <w:t>.</w:t>
      </w:r>
      <w:r w:rsidRPr="00EC276F">
        <w:rPr>
          <w:lang w:val="en-US" w:eastAsia="en-GB"/>
        </w:rPr>
        <w:t xml:space="preserve"> The Committee considers the possibility of meeting with potential voters </w:t>
      </w:r>
      <w:r w:rsidR="00CF5B87">
        <w:rPr>
          <w:lang w:val="en-US" w:eastAsia="en-GB"/>
        </w:rPr>
        <w:t>as</w:t>
      </w:r>
      <w:r w:rsidR="00CF5B87" w:rsidRPr="00EC276F">
        <w:rPr>
          <w:lang w:val="en-US" w:eastAsia="en-GB"/>
        </w:rPr>
        <w:t xml:space="preserve"> </w:t>
      </w:r>
      <w:r w:rsidRPr="00EC276F">
        <w:rPr>
          <w:lang w:val="en-US" w:eastAsia="en-GB"/>
        </w:rPr>
        <w:t xml:space="preserve">integral to the rights guaranteed under </w:t>
      </w:r>
      <w:r w:rsidR="001C0674">
        <w:rPr>
          <w:lang w:val="en-US" w:eastAsia="en-GB"/>
        </w:rPr>
        <w:t>article </w:t>
      </w:r>
      <w:r w:rsidRPr="00EC276F">
        <w:rPr>
          <w:lang w:val="en-US" w:eastAsia="en-GB"/>
        </w:rPr>
        <w:t>25</w:t>
      </w:r>
      <w:r w:rsidR="00CF5B87">
        <w:rPr>
          <w:lang w:val="en-US" w:eastAsia="en-GB"/>
        </w:rPr>
        <w:t xml:space="preserve"> of the Covenant</w:t>
      </w:r>
      <w:r w:rsidRPr="00EC276F">
        <w:rPr>
          <w:lang w:val="en-US" w:eastAsia="en-GB"/>
        </w:rPr>
        <w:t xml:space="preserve">, which includes the right to be elected to public office. Although the State party </w:t>
      </w:r>
      <w:r w:rsidR="00CF5B87">
        <w:rPr>
          <w:lang w:val="en-US" w:eastAsia="en-GB"/>
        </w:rPr>
        <w:t>may</w:t>
      </w:r>
      <w:r w:rsidRPr="00EC276F">
        <w:rPr>
          <w:lang w:val="en-US" w:eastAsia="en-GB"/>
        </w:rPr>
        <w:t xml:space="preserve"> establish rules and regulations governing political campaigns, th</w:t>
      </w:r>
      <w:r w:rsidR="00CF5B87">
        <w:rPr>
          <w:lang w:val="en-US" w:eastAsia="en-GB"/>
        </w:rPr>
        <w:t>o</w:t>
      </w:r>
      <w:r w:rsidRPr="00EC276F">
        <w:rPr>
          <w:lang w:val="en-US" w:eastAsia="en-GB"/>
        </w:rPr>
        <w:t>se</w:t>
      </w:r>
      <w:r w:rsidR="00CF5B87">
        <w:rPr>
          <w:lang w:val="en-US" w:eastAsia="en-GB"/>
        </w:rPr>
        <w:t xml:space="preserve"> rules and regulations must </w:t>
      </w:r>
      <w:r w:rsidRPr="00EC276F">
        <w:rPr>
          <w:lang w:val="en-US" w:eastAsia="en-GB"/>
        </w:rPr>
        <w:t xml:space="preserve">not disproportionally restrict the rights </w:t>
      </w:r>
      <w:r w:rsidR="00CF5B87">
        <w:rPr>
          <w:lang w:val="en-US" w:eastAsia="en-GB"/>
        </w:rPr>
        <w:t xml:space="preserve">guaranteed </w:t>
      </w:r>
      <w:r w:rsidRPr="00EC276F">
        <w:rPr>
          <w:lang w:val="en-US" w:eastAsia="en-GB"/>
        </w:rPr>
        <w:t>under the Covenant. In</w:t>
      </w:r>
      <w:r w:rsidR="00104E91">
        <w:rPr>
          <w:lang w:val="en-US" w:eastAsia="en-GB"/>
        </w:rPr>
        <w:t xml:space="preserve"> the</w:t>
      </w:r>
      <w:r w:rsidRPr="00EC276F">
        <w:rPr>
          <w:lang w:val="en-US" w:eastAsia="en-GB"/>
        </w:rPr>
        <w:t xml:space="preserve"> absence of any pertinent information from the State party</w:t>
      </w:r>
      <w:r w:rsidR="00CF5B87">
        <w:rPr>
          <w:lang w:val="en-US" w:eastAsia="en-GB"/>
        </w:rPr>
        <w:t xml:space="preserve"> in that regard</w:t>
      </w:r>
      <w:r w:rsidRPr="00EC276F">
        <w:rPr>
          <w:lang w:val="en-US" w:eastAsia="en-GB"/>
        </w:rPr>
        <w:t xml:space="preserve">, the Committee concludes that the author’s rights under </w:t>
      </w:r>
      <w:r w:rsidR="001C0674">
        <w:rPr>
          <w:lang w:val="en-US" w:eastAsia="en-GB"/>
        </w:rPr>
        <w:t>article </w:t>
      </w:r>
      <w:r w:rsidRPr="00EC276F">
        <w:rPr>
          <w:lang w:val="en-US" w:eastAsia="en-GB"/>
        </w:rPr>
        <w:t>25</w:t>
      </w:r>
      <w:r w:rsidR="00EC276F">
        <w:rPr>
          <w:lang w:val="en-US" w:eastAsia="en-GB"/>
        </w:rPr>
        <w:t>,</w:t>
      </w:r>
      <w:r w:rsidRPr="00EC276F">
        <w:rPr>
          <w:lang w:val="en-US" w:eastAsia="en-GB"/>
        </w:rPr>
        <w:t xml:space="preserve"> paragraph (b)</w:t>
      </w:r>
      <w:r w:rsidR="00BB496C">
        <w:rPr>
          <w:lang w:val="en-US" w:eastAsia="en-GB"/>
        </w:rPr>
        <w:t xml:space="preserve">, read in conjunction with </w:t>
      </w:r>
      <w:r w:rsidR="001C0674">
        <w:rPr>
          <w:lang w:val="en-US" w:eastAsia="en-GB"/>
        </w:rPr>
        <w:t>article </w:t>
      </w:r>
      <w:r w:rsidR="00BB496C">
        <w:rPr>
          <w:lang w:val="en-US" w:eastAsia="en-GB"/>
        </w:rPr>
        <w:t>21 of the Covenant,</w:t>
      </w:r>
      <w:r w:rsidRPr="00EC276F">
        <w:rPr>
          <w:lang w:val="en-US" w:eastAsia="en-GB"/>
        </w:rPr>
        <w:t xml:space="preserve"> have been violated.</w:t>
      </w:r>
    </w:p>
    <w:p w:rsidR="007C49F2" w:rsidRPr="001B4EE5" w:rsidRDefault="00E73229" w:rsidP="00790390">
      <w:pPr>
        <w:pStyle w:val="SingleTxtG"/>
      </w:pPr>
      <w:r w:rsidRPr="00E73229">
        <w:t>9</w:t>
      </w:r>
      <w:r w:rsidR="007C49F2">
        <w:t>.</w:t>
      </w:r>
      <w:r w:rsidR="007C49F2">
        <w:tab/>
        <w:t xml:space="preserve">The Human Rights Committee, acting under </w:t>
      </w:r>
      <w:r w:rsidR="001C0674">
        <w:t>article </w:t>
      </w:r>
      <w:r w:rsidR="007C49F2">
        <w:t>5, paragraph</w:t>
      </w:r>
      <w:r w:rsidR="008A66B3">
        <w:t> </w:t>
      </w:r>
      <w:r w:rsidR="007C49F2">
        <w:t xml:space="preserve">4, of the Optional Protocol to the International </w:t>
      </w:r>
      <w:r w:rsidR="007C49F2" w:rsidRPr="00CF502D">
        <w:t>Covenant</w:t>
      </w:r>
      <w:r w:rsidR="007C49F2">
        <w:t xml:space="preserve"> on Civil and Political Rights, is of the view that the State party has violated </w:t>
      </w:r>
      <w:r w:rsidR="00790390">
        <w:t>Mr. Sudalenko</w:t>
      </w:r>
      <w:r w:rsidR="007C49F2">
        <w:t>’s rights und</w:t>
      </w:r>
      <w:r w:rsidR="00E40300">
        <w:t xml:space="preserve">er </w:t>
      </w:r>
      <w:r w:rsidR="00E20A45">
        <w:t>article</w:t>
      </w:r>
      <w:r w:rsidR="00EC276F">
        <w:t>s</w:t>
      </w:r>
      <w:r w:rsidR="008A66B3">
        <w:t> </w:t>
      </w:r>
      <w:r w:rsidR="007C49F2">
        <w:t>21</w:t>
      </w:r>
      <w:r w:rsidR="00EC276F">
        <w:t xml:space="preserve"> and 25, paragraph</w:t>
      </w:r>
      <w:r w:rsidR="008A66B3">
        <w:t> </w:t>
      </w:r>
      <w:r w:rsidR="00EC276F">
        <w:t>(b)</w:t>
      </w:r>
      <w:r w:rsidR="00BB496C">
        <w:t xml:space="preserve">, read in conjunction with </w:t>
      </w:r>
      <w:r w:rsidR="001C0674">
        <w:t>article </w:t>
      </w:r>
      <w:r w:rsidR="00BB496C">
        <w:t>21</w:t>
      </w:r>
      <w:r w:rsidR="00E40300">
        <w:t xml:space="preserve"> </w:t>
      </w:r>
      <w:r w:rsidR="007C49F2">
        <w:t>of the Covenant.</w:t>
      </w:r>
      <w:r w:rsidR="001B4EE5" w:rsidRPr="00AE2EFF">
        <w:rPr>
          <w:lang w:val="en-US"/>
        </w:rPr>
        <w:t xml:space="preserve"> </w:t>
      </w:r>
    </w:p>
    <w:p w:rsidR="00F75DD2" w:rsidRPr="00E20A45" w:rsidRDefault="007D1192" w:rsidP="00C4292F">
      <w:pPr>
        <w:pStyle w:val="SingleTxtG"/>
      </w:pPr>
      <w:r w:rsidRPr="007D1192">
        <w:t>10</w:t>
      </w:r>
      <w:r w:rsidR="00F75DD2" w:rsidRPr="007B3302">
        <w:t>.</w:t>
      </w:r>
      <w:r w:rsidR="00F75DD2" w:rsidRPr="007B3302">
        <w:tab/>
      </w:r>
      <w:r w:rsidR="00F75DD2">
        <w:rPr>
          <w:lang w:val="en-US"/>
        </w:rPr>
        <w:t xml:space="preserve">In accordance with </w:t>
      </w:r>
      <w:r w:rsidR="001C0674">
        <w:rPr>
          <w:lang w:val="en-US"/>
        </w:rPr>
        <w:t>article </w:t>
      </w:r>
      <w:r w:rsidR="00F75DD2">
        <w:rPr>
          <w:lang w:val="en-US"/>
        </w:rPr>
        <w:t xml:space="preserve">2, paragraph 3 (a), of the Covenant, the State party is under </w:t>
      </w:r>
      <w:r w:rsidR="00790390">
        <w:rPr>
          <w:lang w:val="en-US"/>
        </w:rPr>
        <w:t>the</w:t>
      </w:r>
      <w:r w:rsidR="00F75DD2">
        <w:rPr>
          <w:lang w:val="en-US"/>
        </w:rPr>
        <w:t xml:space="preserve"> o</w:t>
      </w:r>
      <w:r w:rsidR="00995408">
        <w:rPr>
          <w:lang w:val="en-US"/>
        </w:rPr>
        <w:t xml:space="preserve">bligation to provide </w:t>
      </w:r>
      <w:r w:rsidR="00C4292F">
        <w:t xml:space="preserve">Leonid Sudalenko </w:t>
      </w:r>
      <w:r w:rsidR="00F75DD2">
        <w:rPr>
          <w:lang w:val="en-US"/>
        </w:rPr>
        <w:t>with an effective remedy, including compensation</w:t>
      </w:r>
      <w:r w:rsidR="00574EB0">
        <w:rPr>
          <w:lang w:val="en-US"/>
        </w:rPr>
        <w:t>.</w:t>
      </w:r>
      <w:r w:rsidR="00F75DD2" w:rsidRPr="007B3302">
        <w:t xml:space="preserve"> The State party is also under the obligation to take steps to prevent similar violations in the future.</w:t>
      </w:r>
      <w:r w:rsidR="00E20A45">
        <w:t xml:space="preserve"> </w:t>
      </w:r>
      <w:r w:rsidR="00E20A45" w:rsidRPr="00E74151">
        <w:t>In th</w:t>
      </w:r>
      <w:r w:rsidR="00790390">
        <w:t>at</w:t>
      </w:r>
      <w:r w:rsidR="00E20A45" w:rsidRPr="00E74151">
        <w:t xml:space="preserve"> connection, </w:t>
      </w:r>
      <w:r w:rsidR="00E20A45">
        <w:t>the</w:t>
      </w:r>
      <w:r w:rsidR="00E20A45" w:rsidRPr="00E74151">
        <w:t xml:space="preserve"> State party should review its legislation, in particular </w:t>
      </w:r>
      <w:r w:rsidR="00E20A45">
        <w:t xml:space="preserve">Gomel </w:t>
      </w:r>
      <w:r w:rsidR="00790390">
        <w:t>C</w:t>
      </w:r>
      <w:r w:rsidR="00E20A45">
        <w:t xml:space="preserve">ity Executive Committee </w:t>
      </w:r>
      <w:r w:rsidR="00790390">
        <w:t xml:space="preserve">Decision No. 318 of </w:t>
      </w:r>
      <w:r w:rsidR="00E20A45">
        <w:t>dated 11 April 2006</w:t>
      </w:r>
      <w:r w:rsidR="00E20A45" w:rsidRPr="00E74151">
        <w:t>, as it has been applied in the present case, with a view to ensuring that the right</w:t>
      </w:r>
      <w:r w:rsidR="00790390">
        <w:t>s</w:t>
      </w:r>
      <w:r w:rsidR="00E20A45" w:rsidRPr="00E74151">
        <w:t xml:space="preserve"> under </w:t>
      </w:r>
      <w:r w:rsidR="001C0674">
        <w:t>article </w:t>
      </w:r>
      <w:r w:rsidR="00E20A45" w:rsidRPr="00E74151">
        <w:t>21 of the Covenant may be fully enjoyed in the State party</w:t>
      </w:r>
      <w:r w:rsidR="00574EB0" w:rsidRPr="00AE2EFF">
        <w:rPr>
          <w:lang w:val="en-US"/>
        </w:rPr>
        <w:t>.</w:t>
      </w:r>
    </w:p>
    <w:p w:rsidR="00F75DD2" w:rsidRPr="00AE2EFF" w:rsidRDefault="00F75DD2" w:rsidP="00790390">
      <w:pPr>
        <w:pStyle w:val="SingleTxtG"/>
        <w:keepNext/>
        <w:keepLines/>
        <w:rPr>
          <w:lang w:val="en-US"/>
        </w:rPr>
      </w:pPr>
      <w:r>
        <w:lastRenderedPageBreak/>
        <w:t>1</w:t>
      </w:r>
      <w:r w:rsidR="007D1192" w:rsidRPr="0008278D">
        <w:t>1</w:t>
      </w:r>
      <w:r w:rsidRPr="007B3302">
        <w:t>.</w:t>
      </w:r>
      <w:r w:rsidRPr="007B3302">
        <w:tab/>
        <w:t xml:space="preserve">Bearing in mind that, by becoming a party to the Optional Protocol, the State party has recognized the competence of the Committee to determine whether there has been a violation of the Covenant or not and that, pursuant to </w:t>
      </w:r>
      <w:r w:rsidR="001C0674">
        <w:t>article </w:t>
      </w:r>
      <w:r w:rsidRPr="007B3302">
        <w:t xml:space="preserve">2 of the Covenant, the State party has undertaken to ensure to all individuals within its territory or subject to its jurisdiction the rights recognized in the Covenant and to provide an effective and enforceable remedy in case a violation has been </w:t>
      </w:r>
      <w:r w:rsidRPr="00CF502D">
        <w:t>established</w:t>
      </w:r>
      <w:r w:rsidRPr="007B3302">
        <w:t xml:space="preserve">, the Committee wishes to receive from the State party, within 180 days, information about the measures taken to give effect to the Committee’s </w:t>
      </w:r>
      <w:r w:rsidR="00790390">
        <w:t xml:space="preserve">present </w:t>
      </w:r>
      <w:r w:rsidRPr="007B3302">
        <w:t>Views. The State party is also requested to publish the present Views and to have them widely disseminated in Belarusian and Russian in the State party.</w:t>
      </w:r>
    </w:p>
    <w:p w:rsidR="00E73229" w:rsidRPr="00AE2EFF" w:rsidRDefault="00E73229" w:rsidP="00AA2137">
      <w:pPr>
        <w:pStyle w:val="SingleTxtG"/>
        <w:spacing w:before="240" w:after="0"/>
        <w:jc w:val="center"/>
        <w:rPr>
          <w:u w:val="single"/>
          <w:lang w:val="en-US"/>
        </w:rPr>
      </w:pPr>
      <w:r w:rsidRPr="00AE2EFF">
        <w:rPr>
          <w:u w:val="single"/>
          <w:lang w:val="en-US"/>
        </w:rPr>
        <w:tab/>
      </w:r>
      <w:r w:rsidRPr="00AE2EFF">
        <w:rPr>
          <w:u w:val="single"/>
          <w:lang w:val="en-US"/>
        </w:rPr>
        <w:tab/>
      </w:r>
      <w:r w:rsidRPr="00AE2EFF">
        <w:rPr>
          <w:u w:val="single"/>
          <w:lang w:val="en-US"/>
        </w:rPr>
        <w:tab/>
      </w:r>
    </w:p>
    <w:sectPr w:rsidR="00E73229" w:rsidRPr="00AE2EFF" w:rsidSect="00E702C2">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2B5" w:rsidRDefault="005812B5"/>
  </w:endnote>
  <w:endnote w:type="continuationSeparator" w:id="0">
    <w:p w:rsidR="005812B5" w:rsidRDefault="005812B5"/>
  </w:endnote>
  <w:endnote w:type="continuationNotice" w:id="1">
    <w:p w:rsidR="005812B5" w:rsidRDefault="00581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0BE" w:rsidRPr="00781C83" w:rsidRDefault="004A70BE"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852F06">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0BE" w:rsidRPr="00AA2137" w:rsidRDefault="004A70BE" w:rsidP="00781C83">
    <w:pPr>
      <w:pStyle w:val="Footer"/>
      <w:tabs>
        <w:tab w:val="right" w:pos="9638"/>
      </w:tabs>
      <w:rPr>
        <w:b/>
        <w:bCs/>
        <w:sz w:val="18"/>
      </w:rPr>
    </w:pPr>
    <w:r>
      <w:rPr>
        <w:b/>
        <w:sz w:val="18"/>
      </w:rPr>
      <w:tab/>
    </w:r>
    <w:r w:rsidRPr="00AA2137">
      <w:rPr>
        <w:b/>
        <w:bCs/>
        <w:sz w:val="18"/>
      </w:rPr>
      <w:fldChar w:fldCharType="begin"/>
    </w:r>
    <w:r w:rsidRPr="00AA2137">
      <w:rPr>
        <w:b/>
        <w:bCs/>
        <w:sz w:val="18"/>
      </w:rPr>
      <w:instrText xml:space="preserve"> PAGE  \* MERGEFORMAT </w:instrText>
    </w:r>
    <w:r w:rsidRPr="00AA2137">
      <w:rPr>
        <w:b/>
        <w:bCs/>
        <w:sz w:val="18"/>
      </w:rPr>
      <w:fldChar w:fldCharType="separate"/>
    </w:r>
    <w:r w:rsidR="00852F06">
      <w:rPr>
        <w:b/>
        <w:bCs/>
        <w:noProof/>
        <w:sz w:val="18"/>
      </w:rPr>
      <w:t>3</w:t>
    </w:r>
    <w:r w:rsidRPr="00AA2137">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0BE" w:rsidRDefault="00E052A2" w:rsidP="00AD0242">
    <w:r>
      <w:rPr>
        <w:noProof/>
        <w:lang w:val="en-US"/>
      </w:rPr>
      <w:drawing>
        <wp:anchor distT="0" distB="0" distL="114300" distR="114300" simplePos="0" relativeHeight="251659264" behindDoc="0" locked="0" layoutInCell="1" allowOverlap="1" wp14:anchorId="3C81EB53" wp14:editId="5F2DA731">
          <wp:simplePos x="0" y="0"/>
          <wp:positionH relativeFrom="margin">
            <wp:posOffset>4283710</wp:posOffset>
          </wp:positionH>
          <wp:positionV relativeFrom="margin">
            <wp:posOffset>8207375</wp:posOffset>
          </wp:positionV>
          <wp:extent cx="930275" cy="230505"/>
          <wp:effectExtent l="0" t="0" r="3175"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4A70BE">
      <w:t>GE.</w:t>
    </w:r>
    <w:r w:rsidR="004A0623">
      <w:t>15</w:t>
    </w:r>
    <w:r w:rsidR="004A70BE">
      <w:t>-</w:t>
    </w:r>
    <w:r w:rsidR="00DC6ED3">
      <w:t>09691</w:t>
    </w:r>
    <w:r>
      <w:t xml:space="preserve">  (E)</w:t>
    </w:r>
    <w:r>
      <w:br/>
    </w:r>
    <w:r w:rsidRPr="00E052A2">
      <w:rPr>
        <w:rFonts w:ascii="C39T30Lfz" w:hAnsi="C39T30Lfz"/>
        <w:sz w:val="56"/>
      </w:rPr>
      <w:t></w:t>
    </w:r>
    <w:r w:rsidRPr="00E052A2">
      <w:rPr>
        <w:rFonts w:ascii="C39T30Lfz" w:hAnsi="C39T30Lfz"/>
        <w:sz w:val="56"/>
      </w:rPr>
      <w:t></w:t>
    </w:r>
    <w:r w:rsidRPr="00E052A2">
      <w:rPr>
        <w:rFonts w:ascii="C39T30Lfz" w:hAnsi="C39T30Lfz"/>
        <w:sz w:val="56"/>
      </w:rPr>
      <w:t></w:t>
    </w:r>
    <w:r w:rsidRPr="00E052A2">
      <w:rPr>
        <w:rFonts w:ascii="C39T30Lfz" w:hAnsi="C39T30Lfz"/>
        <w:sz w:val="56"/>
      </w:rPr>
      <w:t></w:t>
    </w:r>
    <w:r w:rsidRPr="00E052A2">
      <w:rPr>
        <w:rFonts w:ascii="C39T30Lfz" w:hAnsi="C39T30Lfz"/>
        <w:sz w:val="56"/>
      </w:rPr>
      <w:t></w:t>
    </w:r>
    <w:r w:rsidRPr="00E052A2">
      <w:rPr>
        <w:rFonts w:ascii="C39T30Lfz" w:hAnsi="C39T30Lfz"/>
        <w:sz w:val="56"/>
      </w:rPr>
      <w:t></w:t>
    </w:r>
    <w:r w:rsidRPr="00E052A2">
      <w:rPr>
        <w:rFonts w:ascii="C39T30Lfz" w:hAnsi="C39T30Lfz"/>
        <w:sz w:val="56"/>
      </w:rPr>
      <w:t></w:t>
    </w:r>
    <w:r w:rsidRPr="00E052A2">
      <w:rPr>
        <w:rFonts w:ascii="C39T30Lfz" w:hAnsi="C39T30Lfz"/>
        <w:sz w:val="56"/>
      </w:rPr>
      <w:t></w:t>
    </w:r>
    <w:r w:rsidRPr="00E052A2">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2B5" w:rsidRPr="000B175B" w:rsidRDefault="005812B5" w:rsidP="000B175B">
      <w:pPr>
        <w:tabs>
          <w:tab w:val="right" w:pos="2155"/>
        </w:tabs>
        <w:spacing w:after="80"/>
        <w:ind w:left="680"/>
        <w:rPr>
          <w:u w:val="single"/>
        </w:rPr>
      </w:pPr>
      <w:r>
        <w:rPr>
          <w:u w:val="single"/>
        </w:rPr>
        <w:tab/>
      </w:r>
    </w:p>
  </w:footnote>
  <w:footnote w:type="continuationSeparator" w:id="0">
    <w:p w:rsidR="005812B5" w:rsidRPr="00FC68B7" w:rsidRDefault="005812B5" w:rsidP="00FC68B7">
      <w:pPr>
        <w:tabs>
          <w:tab w:val="left" w:pos="2155"/>
        </w:tabs>
        <w:spacing w:after="80"/>
        <w:ind w:left="680"/>
        <w:rPr>
          <w:u w:val="single"/>
        </w:rPr>
      </w:pPr>
      <w:r>
        <w:rPr>
          <w:u w:val="single"/>
        </w:rPr>
        <w:tab/>
      </w:r>
    </w:p>
  </w:footnote>
  <w:footnote w:type="continuationNotice" w:id="1">
    <w:p w:rsidR="005812B5" w:rsidRDefault="005812B5"/>
  </w:footnote>
  <w:footnote w:id="2">
    <w:p w:rsidR="008953A0" w:rsidRPr="00887719" w:rsidRDefault="008953A0" w:rsidP="00A52B22">
      <w:pPr>
        <w:pStyle w:val="FootnoteText"/>
      </w:pPr>
      <w:r>
        <w:rPr>
          <w:rStyle w:val="FootnoteReference"/>
        </w:rPr>
        <w:tab/>
      </w:r>
      <w:r w:rsidRPr="00AA2137">
        <w:rPr>
          <w:rStyle w:val="FootnoteReference"/>
          <w:sz w:val="20"/>
          <w:vertAlign w:val="baseline"/>
        </w:rPr>
        <w:t>*</w:t>
      </w:r>
      <w:r>
        <w:rPr>
          <w:rStyle w:val="FootnoteReference"/>
          <w:sz w:val="20"/>
          <w:vertAlign w:val="baseline"/>
        </w:rPr>
        <w:tab/>
      </w:r>
      <w:r w:rsidRPr="009131F3">
        <w:rPr>
          <w:szCs w:val="18"/>
        </w:rPr>
        <w:t xml:space="preserve">The following members of the Committee participated in the examination of the present communication: </w:t>
      </w:r>
      <w:r w:rsidRPr="00C455EA">
        <w:rPr>
          <w:szCs w:val="18"/>
        </w:rPr>
        <w:t xml:space="preserve">Yadh </w:t>
      </w:r>
      <w:r>
        <w:rPr>
          <w:szCs w:val="18"/>
        </w:rPr>
        <w:t xml:space="preserve">Ben Achour, </w:t>
      </w:r>
      <w:r w:rsidRPr="00C455EA">
        <w:rPr>
          <w:szCs w:val="18"/>
        </w:rPr>
        <w:t>Lazhari Bouzid</w:t>
      </w:r>
      <w:r>
        <w:rPr>
          <w:szCs w:val="18"/>
        </w:rPr>
        <w:t xml:space="preserve">, </w:t>
      </w:r>
      <w:r w:rsidRPr="00C455EA">
        <w:rPr>
          <w:szCs w:val="18"/>
        </w:rPr>
        <w:t>Sarah Cleveland</w:t>
      </w:r>
      <w:r>
        <w:rPr>
          <w:szCs w:val="18"/>
        </w:rPr>
        <w:t xml:space="preserve">, </w:t>
      </w:r>
      <w:r w:rsidRPr="00C455EA">
        <w:rPr>
          <w:szCs w:val="18"/>
        </w:rPr>
        <w:t>Yuji Iwasawa</w:t>
      </w:r>
      <w:r>
        <w:rPr>
          <w:szCs w:val="18"/>
        </w:rPr>
        <w:t>, Ivana Jeli</w:t>
      </w:r>
      <w:r w:rsidR="00A52B22">
        <w:rPr>
          <w:szCs w:val="18"/>
        </w:rPr>
        <w:t>ć</w:t>
      </w:r>
      <w:r>
        <w:rPr>
          <w:szCs w:val="18"/>
        </w:rPr>
        <w:t xml:space="preserve">, </w:t>
      </w:r>
      <w:r w:rsidRPr="00C455EA">
        <w:rPr>
          <w:szCs w:val="18"/>
        </w:rPr>
        <w:t xml:space="preserve">Duncan </w:t>
      </w:r>
      <w:r w:rsidR="00A52B22">
        <w:rPr>
          <w:szCs w:val="18"/>
        </w:rPr>
        <w:t xml:space="preserve">Laki </w:t>
      </w:r>
      <w:r w:rsidRPr="00C455EA">
        <w:rPr>
          <w:szCs w:val="18"/>
        </w:rPr>
        <w:t>Muhumuza</w:t>
      </w:r>
      <w:r>
        <w:rPr>
          <w:szCs w:val="18"/>
        </w:rPr>
        <w:t xml:space="preserve">, </w:t>
      </w:r>
      <w:r w:rsidRPr="00C455EA">
        <w:rPr>
          <w:szCs w:val="18"/>
        </w:rPr>
        <w:t>Photini Pazartzis</w:t>
      </w:r>
      <w:r>
        <w:rPr>
          <w:szCs w:val="18"/>
        </w:rPr>
        <w:t xml:space="preserve">, </w:t>
      </w:r>
      <w:r w:rsidRPr="00C455EA">
        <w:rPr>
          <w:szCs w:val="18"/>
        </w:rPr>
        <w:t>Mauro Politi</w:t>
      </w:r>
      <w:r>
        <w:rPr>
          <w:szCs w:val="18"/>
        </w:rPr>
        <w:t xml:space="preserve">, </w:t>
      </w:r>
      <w:r>
        <w:rPr>
          <w:bCs/>
          <w:szCs w:val="18"/>
        </w:rPr>
        <w:t>Sir</w:t>
      </w:r>
      <w:r>
        <w:rPr>
          <w:szCs w:val="18"/>
        </w:rPr>
        <w:t xml:space="preserve"> Nigel Rodley, </w:t>
      </w:r>
      <w:r w:rsidRPr="00C455EA">
        <w:rPr>
          <w:szCs w:val="18"/>
        </w:rPr>
        <w:t>V</w:t>
      </w:r>
      <w:r w:rsidR="00A52B22">
        <w:rPr>
          <w:szCs w:val="18"/>
        </w:rPr>
        <w:t>í</w:t>
      </w:r>
      <w:r w:rsidRPr="00C455EA">
        <w:rPr>
          <w:szCs w:val="18"/>
        </w:rPr>
        <w:t>ctor Manuel Rodríguez-Rescia</w:t>
      </w:r>
      <w:r>
        <w:rPr>
          <w:szCs w:val="18"/>
        </w:rPr>
        <w:t xml:space="preserve">, </w:t>
      </w:r>
      <w:r w:rsidRPr="00C455EA">
        <w:rPr>
          <w:szCs w:val="18"/>
        </w:rPr>
        <w:t>Fabián Omar Salvioli</w:t>
      </w:r>
      <w:r>
        <w:rPr>
          <w:szCs w:val="18"/>
        </w:rPr>
        <w:t xml:space="preserve">, </w:t>
      </w:r>
      <w:r w:rsidRPr="00C455EA">
        <w:rPr>
          <w:szCs w:val="18"/>
        </w:rPr>
        <w:t>Dheerujlall Seetulsingh</w:t>
      </w:r>
      <w:r>
        <w:rPr>
          <w:szCs w:val="18"/>
        </w:rPr>
        <w:t xml:space="preserve">, </w:t>
      </w:r>
      <w:r w:rsidRPr="00C455EA">
        <w:rPr>
          <w:szCs w:val="18"/>
        </w:rPr>
        <w:t>Anja Seibert-Fohr</w:t>
      </w:r>
      <w:r>
        <w:rPr>
          <w:szCs w:val="18"/>
        </w:rPr>
        <w:t xml:space="preserve">, </w:t>
      </w:r>
      <w:r w:rsidRPr="00C455EA">
        <w:rPr>
          <w:szCs w:val="18"/>
        </w:rPr>
        <w:t>Yuval Shany</w:t>
      </w:r>
      <w:r>
        <w:rPr>
          <w:szCs w:val="18"/>
        </w:rPr>
        <w:t xml:space="preserve">, </w:t>
      </w:r>
      <w:r w:rsidRPr="00C455EA">
        <w:rPr>
          <w:szCs w:val="18"/>
        </w:rPr>
        <w:t>Konstantine Vardzelashvili</w:t>
      </w:r>
      <w:r>
        <w:rPr>
          <w:szCs w:val="18"/>
        </w:rPr>
        <w:t xml:space="preserve"> and </w:t>
      </w:r>
      <w:r w:rsidRPr="00C455EA">
        <w:rPr>
          <w:szCs w:val="18"/>
        </w:rPr>
        <w:t>Margo Waterval</w:t>
      </w:r>
      <w:r>
        <w:rPr>
          <w:bCs/>
          <w:szCs w:val="18"/>
        </w:rPr>
        <w:t>.</w:t>
      </w:r>
    </w:p>
  </w:footnote>
  <w:footnote w:id="3">
    <w:p w:rsidR="009A26D1" w:rsidRPr="00D90829" w:rsidRDefault="00574EB0" w:rsidP="009F6003">
      <w:pPr>
        <w:pStyle w:val="FootnoteText"/>
      </w:pPr>
      <w:r w:rsidRPr="00AE2EFF">
        <w:tab/>
      </w:r>
      <w:r w:rsidR="009A26D1">
        <w:rPr>
          <w:rStyle w:val="FootnoteReference"/>
        </w:rPr>
        <w:footnoteRef/>
      </w:r>
      <w:r w:rsidRPr="00AE2EFF">
        <w:tab/>
      </w:r>
      <w:r w:rsidR="009A26D1">
        <w:t xml:space="preserve">The open square </w:t>
      </w:r>
      <w:r w:rsidR="003E6984">
        <w:t>near</w:t>
      </w:r>
      <w:r w:rsidR="009A26D1">
        <w:t xml:space="preserve"> the </w:t>
      </w:r>
      <w:r w:rsidR="009F6003">
        <w:t>c</w:t>
      </w:r>
      <w:r w:rsidR="009A26D1">
        <w:t>ultur</w:t>
      </w:r>
      <w:r w:rsidR="009F6003">
        <w:t>al</w:t>
      </w:r>
      <w:r w:rsidR="009A26D1">
        <w:t xml:space="preserve"> </w:t>
      </w:r>
      <w:r w:rsidR="009F6003" w:rsidRPr="00AA2137">
        <w:rPr>
          <w:lang w:val="en-GB"/>
        </w:rPr>
        <w:t>centre</w:t>
      </w:r>
      <w:r w:rsidR="009F6003">
        <w:t>,</w:t>
      </w:r>
      <w:r w:rsidR="009A26D1">
        <w:t xml:space="preserve"> </w:t>
      </w:r>
      <w:r w:rsidR="009A26D1" w:rsidRPr="009F6003">
        <w:t>“Festivalnaya</w:t>
      </w:r>
      <w:r w:rsidR="009A26D1">
        <w:t>”, at</w:t>
      </w:r>
      <w:r w:rsidR="003D6C1B">
        <w:t> </w:t>
      </w:r>
      <w:r w:rsidR="009A26D1">
        <w:t>Rechitskoe Shosse,</w:t>
      </w:r>
      <w:r w:rsidR="001C0674">
        <w:t xml:space="preserve"> No. </w:t>
      </w:r>
      <w:r w:rsidR="009A26D1">
        <w:t>27</w:t>
      </w:r>
      <w:r w:rsidR="003D6C1B">
        <w:t>.</w:t>
      </w:r>
    </w:p>
  </w:footnote>
  <w:footnote w:id="4">
    <w:p w:rsidR="004A70BE" w:rsidRPr="0008278D" w:rsidRDefault="0008278D" w:rsidP="00C4292F">
      <w:pPr>
        <w:pStyle w:val="FootnoteText"/>
      </w:pPr>
      <w:r w:rsidRPr="00AE2EFF">
        <w:tab/>
      </w:r>
      <w:r w:rsidR="004A70BE" w:rsidRPr="00574EB0">
        <w:rPr>
          <w:rStyle w:val="FootnoteReference"/>
        </w:rPr>
        <w:footnoteRef/>
      </w:r>
      <w:r w:rsidRPr="0008278D">
        <w:tab/>
      </w:r>
      <w:r w:rsidR="004A70BE" w:rsidRPr="0008278D">
        <w:t xml:space="preserve">The author </w:t>
      </w:r>
      <w:r w:rsidR="004A70BE" w:rsidRPr="00332D5C">
        <w:t>refers</w:t>
      </w:r>
      <w:r w:rsidR="004A70BE" w:rsidRPr="0008278D">
        <w:t xml:space="preserve"> to Gomel </w:t>
      </w:r>
      <w:r w:rsidR="00F872F3">
        <w:t>C</w:t>
      </w:r>
      <w:r w:rsidR="004A70BE" w:rsidRPr="0008278D">
        <w:t>ity Executive Committee</w:t>
      </w:r>
      <w:r w:rsidR="00790390">
        <w:t xml:space="preserve"> </w:t>
      </w:r>
      <w:r w:rsidR="00790390" w:rsidRPr="0008278D">
        <w:t>decision</w:t>
      </w:r>
      <w:r w:rsidR="00790390">
        <w:t xml:space="preserve"> No. </w:t>
      </w:r>
      <w:r w:rsidR="00790390" w:rsidRPr="0008278D">
        <w:t xml:space="preserve">318 of </w:t>
      </w:r>
      <w:r w:rsidR="004A70BE" w:rsidRPr="0008278D">
        <w:t xml:space="preserve">11 April 2006, which requires </w:t>
      </w:r>
      <w:r w:rsidR="00790390">
        <w:t xml:space="preserve">that </w:t>
      </w:r>
      <w:r w:rsidR="004A70BE" w:rsidRPr="0008278D">
        <w:t xml:space="preserve">all public meetings be held </w:t>
      </w:r>
      <w:r w:rsidR="00790390">
        <w:t xml:space="preserve">in </w:t>
      </w:r>
      <w:r w:rsidR="004A70BE" w:rsidRPr="0008278D">
        <w:t>only one location</w:t>
      </w:r>
      <w:r w:rsidR="00790390">
        <w:t>, that is</w:t>
      </w:r>
      <w:r w:rsidR="00C4292F">
        <w:t>,</w:t>
      </w:r>
      <w:r w:rsidR="00790390">
        <w:t xml:space="preserve"> </w:t>
      </w:r>
      <w:r w:rsidR="004A70BE" w:rsidRPr="0008278D">
        <w:t>the square</w:t>
      </w:r>
      <w:r w:rsidR="00AC5F15">
        <w:t xml:space="preserve"> near the Culture Palace</w:t>
      </w:r>
      <w:r w:rsidR="004A70BE" w:rsidRPr="0008278D">
        <w:t xml:space="preserve"> on Yubileinaya street,</w:t>
      </w:r>
      <w:r w:rsidR="001C0674">
        <w:t xml:space="preserve"> No. </w:t>
      </w:r>
      <w:r w:rsidR="004A70BE" w:rsidRPr="0008278D">
        <w:t xml:space="preserve">48. </w:t>
      </w:r>
    </w:p>
  </w:footnote>
  <w:footnote w:id="5">
    <w:p w:rsidR="00D90829" w:rsidRPr="0008278D" w:rsidRDefault="00D90829" w:rsidP="003A62E0">
      <w:pPr>
        <w:pStyle w:val="FootnoteText"/>
      </w:pPr>
      <w:r w:rsidRPr="0008278D">
        <w:tab/>
      </w:r>
      <w:r w:rsidRPr="00574EB0">
        <w:rPr>
          <w:rStyle w:val="FootnoteReference"/>
        </w:rPr>
        <w:footnoteRef/>
      </w:r>
      <w:r w:rsidRPr="0008278D">
        <w:tab/>
        <w:t xml:space="preserve">In support of the argument that the courts in Belarus are not independent and impartial, the author refers to the report of the Special Rapporteur on the </w:t>
      </w:r>
      <w:r w:rsidR="00C453B8">
        <w:t>i</w:t>
      </w:r>
      <w:r w:rsidRPr="0008278D">
        <w:t xml:space="preserve">ndependence of </w:t>
      </w:r>
      <w:r w:rsidR="00C453B8">
        <w:t>j</w:t>
      </w:r>
      <w:r w:rsidRPr="0008278D">
        <w:t xml:space="preserve">udges and </w:t>
      </w:r>
      <w:r w:rsidR="00C453B8">
        <w:t>l</w:t>
      </w:r>
      <w:r w:rsidRPr="0008278D">
        <w:t>awyers o</w:t>
      </w:r>
      <w:r w:rsidR="00C453B8">
        <w:t>n his mission to Belarus (E/CN.4/2001/65/Add.1)</w:t>
      </w:r>
      <w:r w:rsidRPr="0008278D">
        <w:t>.</w:t>
      </w:r>
    </w:p>
  </w:footnote>
  <w:footnote w:id="6">
    <w:p w:rsidR="004A70BE" w:rsidRPr="0008278D" w:rsidRDefault="0008278D" w:rsidP="00790390">
      <w:pPr>
        <w:pStyle w:val="FootnoteText"/>
      </w:pPr>
      <w:r w:rsidRPr="00AA2137">
        <w:tab/>
      </w:r>
      <w:r w:rsidR="004A70BE" w:rsidRPr="00574EB0">
        <w:rPr>
          <w:rStyle w:val="FootnoteReference"/>
        </w:rPr>
        <w:footnoteRef/>
      </w:r>
      <w:r w:rsidRPr="0008278D">
        <w:tab/>
      </w:r>
      <w:r w:rsidR="00790390">
        <w:t xml:space="preserve">See </w:t>
      </w:r>
      <w:r w:rsidR="004A70BE" w:rsidRPr="0008278D">
        <w:t xml:space="preserve">the </w:t>
      </w:r>
      <w:r w:rsidR="004A70BE" w:rsidRPr="00332D5C">
        <w:t>Committee’s</w:t>
      </w:r>
      <w:r w:rsidR="004A70BE" w:rsidRPr="0008278D">
        <w:t xml:space="preserve"> </w:t>
      </w:r>
      <w:r w:rsidR="00790390">
        <w:t>g</w:t>
      </w:r>
      <w:r w:rsidR="004A70BE" w:rsidRPr="0008278D">
        <w:t xml:space="preserve">eneral </w:t>
      </w:r>
      <w:r w:rsidR="00790390">
        <w:t>c</w:t>
      </w:r>
      <w:r w:rsidR="004A70BE" w:rsidRPr="0008278D">
        <w:t>omment</w:t>
      </w:r>
      <w:r w:rsidR="001C0674">
        <w:t xml:space="preserve"> No. </w:t>
      </w:r>
      <w:r w:rsidR="004A70BE" w:rsidRPr="0008278D">
        <w:t>33</w:t>
      </w:r>
      <w:r w:rsidR="00B46711">
        <w:t xml:space="preserve"> </w:t>
      </w:r>
      <w:r w:rsidR="004A70BE" w:rsidRPr="0008278D">
        <w:t>(2008)</w:t>
      </w:r>
      <w:r w:rsidR="008E05BE">
        <w:t xml:space="preserve"> on the obligations of States parties under the Optional Protocol to the International Covenant on Civil and Political Rights, para. 13</w:t>
      </w:r>
      <w:r w:rsidR="004A70BE" w:rsidRPr="0008278D">
        <w:t xml:space="preserve">. </w:t>
      </w:r>
    </w:p>
  </w:footnote>
  <w:footnote w:id="7">
    <w:p w:rsidR="004A70BE" w:rsidRPr="0008278D" w:rsidRDefault="004A70BE" w:rsidP="003A62E0">
      <w:pPr>
        <w:pStyle w:val="FootnoteText"/>
      </w:pPr>
      <w:r w:rsidRPr="0008278D">
        <w:tab/>
      </w:r>
      <w:r w:rsidRPr="00574EB0">
        <w:rPr>
          <w:rStyle w:val="FootnoteReference"/>
        </w:rPr>
        <w:footnoteRef/>
      </w:r>
      <w:r w:rsidR="0008278D" w:rsidRPr="0008278D">
        <w:tab/>
      </w:r>
      <w:r w:rsidRPr="0008278D">
        <w:t>See, inter alia, communications</w:t>
      </w:r>
      <w:r w:rsidR="001C0674">
        <w:t xml:space="preserve"> No. </w:t>
      </w:r>
      <w:r w:rsidRPr="0008278D">
        <w:t xml:space="preserve">869/1999, </w:t>
      </w:r>
      <w:r w:rsidRPr="00AA2137">
        <w:rPr>
          <w:i/>
          <w:iCs/>
        </w:rPr>
        <w:t xml:space="preserve">Piandiong et al. </w:t>
      </w:r>
      <w:r w:rsidRPr="00FD4DF1">
        <w:t>v.</w:t>
      </w:r>
      <w:r w:rsidRPr="00AA2137">
        <w:rPr>
          <w:i/>
          <w:iCs/>
        </w:rPr>
        <w:t xml:space="preserve"> the Philippines</w:t>
      </w:r>
      <w:r w:rsidRPr="0008278D">
        <w:t>, Views adopted on 19 October 2000, para.</w:t>
      </w:r>
      <w:r w:rsidR="0054108D">
        <w:t> </w:t>
      </w:r>
      <w:r w:rsidRPr="0008278D">
        <w:t>5.1; and</w:t>
      </w:r>
      <w:r w:rsidR="001C0674">
        <w:t xml:space="preserve"> No. </w:t>
      </w:r>
      <w:r w:rsidRPr="0008278D">
        <w:t xml:space="preserve">1948/2010, </w:t>
      </w:r>
      <w:r w:rsidRPr="00AA2137">
        <w:rPr>
          <w:i/>
          <w:iCs/>
        </w:rPr>
        <w:t>Turchenyak et al.</w:t>
      </w:r>
      <w:r w:rsidR="00FD4DF1">
        <w:rPr>
          <w:i/>
          <w:iCs/>
        </w:rPr>
        <w:t xml:space="preserve"> </w:t>
      </w:r>
      <w:r w:rsidRPr="00FD4DF1">
        <w:t>v.</w:t>
      </w:r>
      <w:r w:rsidRPr="00AA2137">
        <w:rPr>
          <w:i/>
          <w:iCs/>
        </w:rPr>
        <w:t xml:space="preserve"> Belarus</w:t>
      </w:r>
      <w:r w:rsidRPr="0008278D">
        <w:t>, Views adopted on 24 July 2013, para.</w:t>
      </w:r>
      <w:r w:rsidR="0054108D">
        <w:t> </w:t>
      </w:r>
      <w:r w:rsidRPr="0008278D">
        <w:t>5.2.</w:t>
      </w:r>
    </w:p>
  </w:footnote>
  <w:footnote w:id="8">
    <w:p w:rsidR="004A70BE" w:rsidRPr="0008278D" w:rsidRDefault="004A70BE" w:rsidP="00790390">
      <w:pPr>
        <w:pStyle w:val="FootnoteText"/>
      </w:pPr>
      <w:r w:rsidRPr="0008278D">
        <w:tab/>
      </w:r>
      <w:r w:rsidRPr="00574EB0">
        <w:rPr>
          <w:rStyle w:val="FootnoteReference"/>
        </w:rPr>
        <w:footnoteRef/>
      </w:r>
      <w:r w:rsidRPr="0008278D">
        <w:tab/>
      </w:r>
      <w:r w:rsidR="00790390">
        <w:t>See c</w:t>
      </w:r>
      <w:r w:rsidRPr="00332D5C">
        <w:t>ommunication</w:t>
      </w:r>
      <w:r w:rsidR="001C0674">
        <w:t xml:space="preserve"> No. </w:t>
      </w:r>
      <w:r w:rsidRPr="0008278D">
        <w:t xml:space="preserve">1873/2009, </w:t>
      </w:r>
      <w:r w:rsidRPr="00AA2137">
        <w:rPr>
          <w:i/>
          <w:iCs/>
        </w:rPr>
        <w:t xml:space="preserve">Alekseev </w:t>
      </w:r>
      <w:r w:rsidRPr="00790390">
        <w:t>v.</w:t>
      </w:r>
      <w:r w:rsidRPr="00AA2137">
        <w:rPr>
          <w:i/>
          <w:iCs/>
        </w:rPr>
        <w:t xml:space="preserve"> Russian Federation</w:t>
      </w:r>
      <w:r w:rsidRPr="0008278D">
        <w:t>, Views adopted on 25 October 2013, para</w:t>
      </w:r>
      <w:r w:rsidR="0054108D">
        <w:t>. </w:t>
      </w:r>
      <w:r w:rsidRPr="0008278D">
        <w:t xml:space="preserve">8.4. </w:t>
      </w:r>
    </w:p>
  </w:footnote>
  <w:footnote w:id="9">
    <w:p w:rsidR="00756181" w:rsidRPr="00131A58" w:rsidRDefault="00756181" w:rsidP="00C84941">
      <w:pPr>
        <w:pStyle w:val="FootnoteText"/>
        <w:tabs>
          <w:tab w:val="clear" w:pos="1021"/>
        </w:tabs>
        <w:ind w:hanging="283"/>
      </w:pPr>
      <w:r>
        <w:rPr>
          <w:rStyle w:val="FootnoteReference"/>
        </w:rPr>
        <w:footnoteRef/>
      </w:r>
      <w:r>
        <w:t xml:space="preserve"> </w:t>
      </w:r>
      <w:r w:rsidR="00496B48">
        <w:tab/>
      </w:r>
      <w:r w:rsidR="00790390">
        <w:t>See c</w:t>
      </w:r>
      <w:r w:rsidR="00496B48">
        <w:t xml:space="preserve">ommunication </w:t>
      </w:r>
      <w:r w:rsidR="00790390">
        <w:t xml:space="preserve">No. </w:t>
      </w:r>
      <w:r w:rsidR="00496B48">
        <w:t xml:space="preserve">1998/2010, </w:t>
      </w:r>
      <w:r w:rsidR="00496B48" w:rsidRPr="00AC1841">
        <w:rPr>
          <w:i/>
        </w:rPr>
        <w:t xml:space="preserve">A.W.K </w:t>
      </w:r>
      <w:r w:rsidR="00496B48" w:rsidRPr="00AA2137">
        <w:rPr>
          <w:iCs/>
        </w:rPr>
        <w:t>v.</w:t>
      </w:r>
      <w:r w:rsidR="00496B48" w:rsidRPr="00AC1841">
        <w:rPr>
          <w:i/>
        </w:rPr>
        <w:t xml:space="preserve"> New Zealand</w:t>
      </w:r>
      <w:r w:rsidR="00496B48">
        <w:t xml:space="preserve">, </w:t>
      </w:r>
      <w:r w:rsidR="00790390">
        <w:t xml:space="preserve">decision of </w:t>
      </w:r>
      <w:r w:rsidR="00496B48">
        <w:t>inadmissibility</w:t>
      </w:r>
      <w:r w:rsidR="00C84941">
        <w:t xml:space="preserve"> adopted </w:t>
      </w:r>
      <w:r w:rsidR="00496B48">
        <w:t>on 28 October 2014, para</w:t>
      </w:r>
      <w:r w:rsidR="00F37D04">
        <w:t>. </w:t>
      </w:r>
      <w:r w:rsidR="00496B48">
        <w:t xml:space="preserve">9.4. </w:t>
      </w:r>
    </w:p>
  </w:footnote>
  <w:footnote w:id="10">
    <w:p w:rsidR="004A70BE" w:rsidRPr="0008278D" w:rsidRDefault="004A70BE" w:rsidP="0008278D">
      <w:pPr>
        <w:pStyle w:val="FootnoteText"/>
      </w:pPr>
      <w:r w:rsidRPr="0008278D">
        <w:tab/>
      </w:r>
      <w:r w:rsidRPr="00574EB0">
        <w:rPr>
          <w:rStyle w:val="FootnoteReference"/>
        </w:rPr>
        <w:footnoteRef/>
      </w:r>
      <w:r w:rsidRPr="0008278D">
        <w:tab/>
        <w:t>See, for example, communication</w:t>
      </w:r>
      <w:r w:rsidR="001C0674">
        <w:t xml:space="preserve"> No. </w:t>
      </w:r>
      <w:r w:rsidRPr="0008278D">
        <w:t xml:space="preserve">1948/2010, </w:t>
      </w:r>
      <w:r w:rsidRPr="00AA2137">
        <w:rPr>
          <w:i/>
          <w:iCs/>
        </w:rPr>
        <w:t xml:space="preserve">Turchenyak et al. </w:t>
      </w:r>
      <w:r w:rsidRPr="00C84941">
        <w:t>v.</w:t>
      </w:r>
      <w:r w:rsidRPr="00AA2137">
        <w:rPr>
          <w:i/>
          <w:iCs/>
        </w:rPr>
        <w:t xml:space="preserve"> Belarus</w:t>
      </w:r>
      <w:r w:rsidRPr="0008278D">
        <w:t>, Views adopted on 24 July 2013, para.</w:t>
      </w:r>
      <w:r w:rsidR="00F37D04">
        <w:t> </w:t>
      </w:r>
      <w:r w:rsidRPr="0008278D">
        <w:t>7.8.</w:t>
      </w:r>
    </w:p>
  </w:footnote>
  <w:footnote w:id="11">
    <w:p w:rsidR="00B471B0" w:rsidRDefault="00DD0399" w:rsidP="00C84941">
      <w:pPr>
        <w:pStyle w:val="FootnoteText"/>
      </w:pPr>
      <w:r>
        <w:tab/>
      </w:r>
      <w:r w:rsidR="00B471B0">
        <w:rPr>
          <w:rStyle w:val="FootnoteReference"/>
        </w:rPr>
        <w:footnoteRef/>
      </w:r>
      <w:r>
        <w:tab/>
      </w:r>
      <w:r w:rsidR="00B471B0">
        <w:t>The author also submit</w:t>
      </w:r>
      <w:r w:rsidR="00C84941">
        <w:t>ted</w:t>
      </w:r>
      <w:r w:rsidR="00B471B0">
        <w:t xml:space="preserve"> that his representatives were not included in the regional election commission</w:t>
      </w:r>
      <w:r w:rsidR="00C84941">
        <w:t>;</w:t>
      </w:r>
      <w:r w:rsidR="00B471B0">
        <w:t xml:space="preserve"> the official tallies of voters were exaggerated</w:t>
      </w:r>
      <w:r w:rsidR="00C84941">
        <w:t>;</w:t>
      </w:r>
      <w:r w:rsidR="00B471B0">
        <w:t xml:space="preserve"> and that two </w:t>
      </w:r>
      <w:r w:rsidR="00C84941">
        <w:t>S</w:t>
      </w:r>
      <w:r w:rsidR="00B471B0">
        <w:t>tate-owned newspapers refused to publish his election-related articles</w:t>
      </w:r>
      <w:r w:rsidR="00C84941">
        <w:t xml:space="preserve"> —</w:t>
      </w:r>
      <w:r w:rsidR="00B471B0">
        <w:t xml:space="preserve"> all in violation of </w:t>
      </w:r>
      <w:r w:rsidR="001C0674">
        <w:t>article </w:t>
      </w:r>
      <w:r w:rsidR="00B471B0">
        <w:t>25</w:t>
      </w:r>
      <w:r w:rsidR="00C84941">
        <w:t xml:space="preserve"> of the Covenant</w:t>
      </w:r>
      <w:r w:rsidR="00B471B0">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0BE" w:rsidRPr="00781C83" w:rsidRDefault="004A70BE" w:rsidP="00781C83">
    <w:pPr>
      <w:pStyle w:val="Header"/>
    </w:pPr>
    <w:r>
      <w:t>CCPR/C/11</w:t>
    </w:r>
    <w:r w:rsidR="00332D5C">
      <w:t>3</w:t>
    </w:r>
    <w:r>
      <w:t>/D/1992/2010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0BE" w:rsidRPr="00781C83" w:rsidRDefault="004A70BE" w:rsidP="00781C83">
    <w:pPr>
      <w:pStyle w:val="Header"/>
      <w:jc w:val="right"/>
    </w:pPr>
    <w:r>
      <w:t>CCPR/C/11</w:t>
    </w:r>
    <w:r w:rsidR="00CF502D">
      <w:t>3</w:t>
    </w:r>
    <w:r>
      <w:t>/D/1992/2010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39CCA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723E4B"/>
    <w:multiLevelType w:val="multilevel"/>
    <w:tmpl w:val="E1F0726A"/>
    <w:lvl w:ilvl="0">
      <w:start w:val="2"/>
      <w:numFmt w:val="decimal"/>
      <w:lvlText w:val="%1"/>
      <w:lvlJc w:val="left"/>
      <w:pPr>
        <w:tabs>
          <w:tab w:val="num" w:pos="720"/>
        </w:tabs>
        <w:ind w:left="720" w:hanging="720"/>
      </w:pPr>
    </w:lvl>
    <w:lvl w:ilvl="1">
      <w:start w:val="1"/>
      <w:numFmt w:val="decimal"/>
      <w:lvlText w:val="%1.%2"/>
      <w:lvlJc w:val="left"/>
      <w:pPr>
        <w:tabs>
          <w:tab w:val="num" w:pos="1080"/>
        </w:tabs>
        <w:ind w:left="108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156EAE"/>
    <w:multiLevelType w:val="multilevel"/>
    <w:tmpl w:val="99A83FA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480"/>
        </w:tabs>
        <w:ind w:left="480" w:hanging="720"/>
      </w:pPr>
    </w:lvl>
    <w:lvl w:ilvl="3">
      <w:start w:val="1"/>
      <w:numFmt w:val="decimal"/>
      <w:lvlText w:val="%1.%2.%3.%4"/>
      <w:lvlJc w:val="left"/>
      <w:pPr>
        <w:tabs>
          <w:tab w:val="num" w:pos="360"/>
        </w:tabs>
        <w:ind w:left="360" w:hanging="720"/>
      </w:pPr>
    </w:lvl>
    <w:lvl w:ilvl="4">
      <w:start w:val="1"/>
      <w:numFmt w:val="decimal"/>
      <w:lvlText w:val="%1.%2.%3.%4.%5"/>
      <w:lvlJc w:val="left"/>
      <w:pPr>
        <w:tabs>
          <w:tab w:val="num" w:pos="600"/>
        </w:tabs>
        <w:ind w:left="600" w:hanging="1080"/>
      </w:pPr>
    </w:lvl>
    <w:lvl w:ilvl="5">
      <w:start w:val="1"/>
      <w:numFmt w:val="decimal"/>
      <w:lvlText w:val="%1.%2.%3.%4.%5.%6"/>
      <w:lvlJc w:val="left"/>
      <w:pPr>
        <w:tabs>
          <w:tab w:val="num" w:pos="480"/>
        </w:tabs>
        <w:ind w:left="480" w:hanging="1080"/>
      </w:pPr>
    </w:lvl>
    <w:lvl w:ilvl="6">
      <w:start w:val="1"/>
      <w:numFmt w:val="decimal"/>
      <w:lvlText w:val="%1.%2.%3.%4.%5.%6.%7"/>
      <w:lvlJc w:val="left"/>
      <w:pPr>
        <w:tabs>
          <w:tab w:val="num" w:pos="720"/>
        </w:tabs>
        <w:ind w:left="720" w:hanging="1440"/>
      </w:pPr>
    </w:lvl>
    <w:lvl w:ilvl="7">
      <w:start w:val="1"/>
      <w:numFmt w:val="decimal"/>
      <w:lvlText w:val="%1.%2.%3.%4.%5.%6.%7.%8"/>
      <w:lvlJc w:val="left"/>
      <w:pPr>
        <w:tabs>
          <w:tab w:val="num" w:pos="600"/>
        </w:tabs>
        <w:ind w:left="600" w:hanging="1440"/>
      </w:pPr>
    </w:lvl>
    <w:lvl w:ilvl="8">
      <w:start w:val="1"/>
      <w:numFmt w:val="decimal"/>
      <w:lvlText w:val="%1.%2.%3.%4.%5.%6.%7.%8.%9"/>
      <w:lvlJc w:val="left"/>
      <w:pPr>
        <w:tabs>
          <w:tab w:val="num" w:pos="840"/>
        </w:tabs>
        <w:ind w:left="840" w:hanging="1800"/>
      </w:pPr>
    </w:lvl>
  </w:abstractNum>
  <w:num w:numId="1">
    <w:abstractNumId w:val="1"/>
  </w:num>
  <w:num w:numId="2">
    <w:abstractNumId w:val="3"/>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1C66"/>
    <w:rsid w:val="000044E2"/>
    <w:rsid w:val="00005B29"/>
    <w:rsid w:val="00007455"/>
    <w:rsid w:val="000170C3"/>
    <w:rsid w:val="000172E7"/>
    <w:rsid w:val="00020B71"/>
    <w:rsid w:val="00023024"/>
    <w:rsid w:val="00024291"/>
    <w:rsid w:val="00025D41"/>
    <w:rsid w:val="0002635B"/>
    <w:rsid w:val="000272B3"/>
    <w:rsid w:val="000308D4"/>
    <w:rsid w:val="0003387B"/>
    <w:rsid w:val="00036F3F"/>
    <w:rsid w:val="000377A5"/>
    <w:rsid w:val="0004092D"/>
    <w:rsid w:val="00041994"/>
    <w:rsid w:val="00050F6B"/>
    <w:rsid w:val="00055FFE"/>
    <w:rsid w:val="0005663F"/>
    <w:rsid w:val="00057037"/>
    <w:rsid w:val="00057613"/>
    <w:rsid w:val="0005782B"/>
    <w:rsid w:val="00057E97"/>
    <w:rsid w:val="00060C3A"/>
    <w:rsid w:val="00066476"/>
    <w:rsid w:val="00072C8C"/>
    <w:rsid w:val="000733B5"/>
    <w:rsid w:val="00080B22"/>
    <w:rsid w:val="00081815"/>
    <w:rsid w:val="00081BF7"/>
    <w:rsid w:val="0008245C"/>
    <w:rsid w:val="0008278D"/>
    <w:rsid w:val="00091F15"/>
    <w:rsid w:val="000931C0"/>
    <w:rsid w:val="000970C1"/>
    <w:rsid w:val="000A0AD2"/>
    <w:rsid w:val="000A310C"/>
    <w:rsid w:val="000A5559"/>
    <w:rsid w:val="000A7986"/>
    <w:rsid w:val="000B02C3"/>
    <w:rsid w:val="000B175B"/>
    <w:rsid w:val="000B1788"/>
    <w:rsid w:val="000B3A0F"/>
    <w:rsid w:val="000B4EF7"/>
    <w:rsid w:val="000C267E"/>
    <w:rsid w:val="000C2AB9"/>
    <w:rsid w:val="000C2C03"/>
    <w:rsid w:val="000C2D2E"/>
    <w:rsid w:val="000C2E06"/>
    <w:rsid w:val="000C46B7"/>
    <w:rsid w:val="000C4DA0"/>
    <w:rsid w:val="000C7E6F"/>
    <w:rsid w:val="000D0ABB"/>
    <w:rsid w:val="000D2B5B"/>
    <w:rsid w:val="000E0415"/>
    <w:rsid w:val="000E04E2"/>
    <w:rsid w:val="000E20F8"/>
    <w:rsid w:val="000E25E5"/>
    <w:rsid w:val="000E28C0"/>
    <w:rsid w:val="000F39F9"/>
    <w:rsid w:val="000F6A6B"/>
    <w:rsid w:val="000F7E69"/>
    <w:rsid w:val="000F7F55"/>
    <w:rsid w:val="00100087"/>
    <w:rsid w:val="001013E3"/>
    <w:rsid w:val="001037D9"/>
    <w:rsid w:val="00104E91"/>
    <w:rsid w:val="0010599B"/>
    <w:rsid w:val="001103AA"/>
    <w:rsid w:val="001133DB"/>
    <w:rsid w:val="001139F5"/>
    <w:rsid w:val="00117506"/>
    <w:rsid w:val="0011787A"/>
    <w:rsid w:val="00123712"/>
    <w:rsid w:val="00126EA7"/>
    <w:rsid w:val="001306DD"/>
    <w:rsid w:val="00130D48"/>
    <w:rsid w:val="00131B64"/>
    <w:rsid w:val="0013235B"/>
    <w:rsid w:val="001340B3"/>
    <w:rsid w:val="001348DA"/>
    <w:rsid w:val="00135DEA"/>
    <w:rsid w:val="00137249"/>
    <w:rsid w:val="00142286"/>
    <w:rsid w:val="00146E19"/>
    <w:rsid w:val="00154DA5"/>
    <w:rsid w:val="00157820"/>
    <w:rsid w:val="00161364"/>
    <w:rsid w:val="00162DB2"/>
    <w:rsid w:val="00164C92"/>
    <w:rsid w:val="00165F3A"/>
    <w:rsid w:val="00170DDB"/>
    <w:rsid w:val="001721A9"/>
    <w:rsid w:val="0017253A"/>
    <w:rsid w:val="0017277A"/>
    <w:rsid w:val="001756D6"/>
    <w:rsid w:val="001758E2"/>
    <w:rsid w:val="00176CEE"/>
    <w:rsid w:val="00183968"/>
    <w:rsid w:val="00184FCE"/>
    <w:rsid w:val="00190C81"/>
    <w:rsid w:val="00193A12"/>
    <w:rsid w:val="0019456B"/>
    <w:rsid w:val="00196501"/>
    <w:rsid w:val="001965C0"/>
    <w:rsid w:val="00196CDF"/>
    <w:rsid w:val="001970D3"/>
    <w:rsid w:val="00197D89"/>
    <w:rsid w:val="001A09DE"/>
    <w:rsid w:val="001A2C08"/>
    <w:rsid w:val="001A32CB"/>
    <w:rsid w:val="001A4429"/>
    <w:rsid w:val="001A660B"/>
    <w:rsid w:val="001A6686"/>
    <w:rsid w:val="001A723C"/>
    <w:rsid w:val="001A7E43"/>
    <w:rsid w:val="001B2FCC"/>
    <w:rsid w:val="001B4041"/>
    <w:rsid w:val="001B4B04"/>
    <w:rsid w:val="001B4EE5"/>
    <w:rsid w:val="001C0674"/>
    <w:rsid w:val="001C2C4D"/>
    <w:rsid w:val="001C5BED"/>
    <w:rsid w:val="001C657F"/>
    <w:rsid w:val="001C6663"/>
    <w:rsid w:val="001C7895"/>
    <w:rsid w:val="001D0C8C"/>
    <w:rsid w:val="001D0DD1"/>
    <w:rsid w:val="001D26DF"/>
    <w:rsid w:val="001D3743"/>
    <w:rsid w:val="001D3A03"/>
    <w:rsid w:val="001D41C4"/>
    <w:rsid w:val="001D5CD5"/>
    <w:rsid w:val="001E06D9"/>
    <w:rsid w:val="001E10EC"/>
    <w:rsid w:val="001E48A9"/>
    <w:rsid w:val="001E718D"/>
    <w:rsid w:val="00202DA8"/>
    <w:rsid w:val="002069CC"/>
    <w:rsid w:val="00211E0B"/>
    <w:rsid w:val="00217D74"/>
    <w:rsid w:val="00220677"/>
    <w:rsid w:val="002213DF"/>
    <w:rsid w:val="00222689"/>
    <w:rsid w:val="0022501D"/>
    <w:rsid w:val="002256A1"/>
    <w:rsid w:val="00231302"/>
    <w:rsid w:val="002314F8"/>
    <w:rsid w:val="0023210C"/>
    <w:rsid w:val="00232FF8"/>
    <w:rsid w:val="002361D0"/>
    <w:rsid w:val="00236C20"/>
    <w:rsid w:val="00240564"/>
    <w:rsid w:val="00242BA5"/>
    <w:rsid w:val="002456D2"/>
    <w:rsid w:val="0024791F"/>
    <w:rsid w:val="0025162E"/>
    <w:rsid w:val="0025487E"/>
    <w:rsid w:val="002633B3"/>
    <w:rsid w:val="002650C2"/>
    <w:rsid w:val="00266EB7"/>
    <w:rsid w:val="00267F5F"/>
    <w:rsid w:val="00271484"/>
    <w:rsid w:val="00273B14"/>
    <w:rsid w:val="00281144"/>
    <w:rsid w:val="002826DD"/>
    <w:rsid w:val="00282899"/>
    <w:rsid w:val="00282B2E"/>
    <w:rsid w:val="002863A9"/>
    <w:rsid w:val="00286B4D"/>
    <w:rsid w:val="002902C8"/>
    <w:rsid w:val="00290D92"/>
    <w:rsid w:val="00291AB9"/>
    <w:rsid w:val="0029365C"/>
    <w:rsid w:val="00293B90"/>
    <w:rsid w:val="00293EB7"/>
    <w:rsid w:val="002A2951"/>
    <w:rsid w:val="002A4B67"/>
    <w:rsid w:val="002A686B"/>
    <w:rsid w:val="002A728F"/>
    <w:rsid w:val="002B3B76"/>
    <w:rsid w:val="002B3F1E"/>
    <w:rsid w:val="002C353E"/>
    <w:rsid w:val="002C5BCD"/>
    <w:rsid w:val="002C5FA9"/>
    <w:rsid w:val="002C76AF"/>
    <w:rsid w:val="002D18B7"/>
    <w:rsid w:val="002D3481"/>
    <w:rsid w:val="002D3AF5"/>
    <w:rsid w:val="002D4CB1"/>
    <w:rsid w:val="002E1084"/>
    <w:rsid w:val="002E52B1"/>
    <w:rsid w:val="002E5C99"/>
    <w:rsid w:val="002E69AE"/>
    <w:rsid w:val="002F039C"/>
    <w:rsid w:val="002F0EE3"/>
    <w:rsid w:val="002F1486"/>
    <w:rsid w:val="002F175C"/>
    <w:rsid w:val="002F1942"/>
    <w:rsid w:val="002F4557"/>
    <w:rsid w:val="002F5159"/>
    <w:rsid w:val="002F582A"/>
    <w:rsid w:val="0030138D"/>
    <w:rsid w:val="00302B85"/>
    <w:rsid w:val="00306124"/>
    <w:rsid w:val="00307164"/>
    <w:rsid w:val="003134AC"/>
    <w:rsid w:val="00315543"/>
    <w:rsid w:val="00320E07"/>
    <w:rsid w:val="003229D8"/>
    <w:rsid w:val="00323632"/>
    <w:rsid w:val="00327502"/>
    <w:rsid w:val="00331F5B"/>
    <w:rsid w:val="00332516"/>
    <w:rsid w:val="00332D5C"/>
    <w:rsid w:val="00352709"/>
    <w:rsid w:val="00354AA8"/>
    <w:rsid w:val="00363A98"/>
    <w:rsid w:val="00366007"/>
    <w:rsid w:val="0036645D"/>
    <w:rsid w:val="00367567"/>
    <w:rsid w:val="003705C9"/>
    <w:rsid w:val="00371095"/>
    <w:rsid w:val="00371178"/>
    <w:rsid w:val="0037301C"/>
    <w:rsid w:val="003730DD"/>
    <w:rsid w:val="00373DB0"/>
    <w:rsid w:val="0037487C"/>
    <w:rsid w:val="00375119"/>
    <w:rsid w:val="00377828"/>
    <w:rsid w:val="0038336C"/>
    <w:rsid w:val="00386624"/>
    <w:rsid w:val="00386AE3"/>
    <w:rsid w:val="0039347E"/>
    <w:rsid w:val="003A1602"/>
    <w:rsid w:val="003A62E0"/>
    <w:rsid w:val="003A67F5"/>
    <w:rsid w:val="003A6810"/>
    <w:rsid w:val="003A70FC"/>
    <w:rsid w:val="003A7AF2"/>
    <w:rsid w:val="003B3210"/>
    <w:rsid w:val="003B483A"/>
    <w:rsid w:val="003C02AB"/>
    <w:rsid w:val="003C2264"/>
    <w:rsid w:val="003C2CC4"/>
    <w:rsid w:val="003C458F"/>
    <w:rsid w:val="003C730E"/>
    <w:rsid w:val="003D1C5A"/>
    <w:rsid w:val="003D2795"/>
    <w:rsid w:val="003D2A4D"/>
    <w:rsid w:val="003D3E59"/>
    <w:rsid w:val="003D4B23"/>
    <w:rsid w:val="003D52B0"/>
    <w:rsid w:val="003D6C1B"/>
    <w:rsid w:val="003E2BA4"/>
    <w:rsid w:val="003E46C7"/>
    <w:rsid w:val="003E6984"/>
    <w:rsid w:val="003E6A36"/>
    <w:rsid w:val="003E6F7E"/>
    <w:rsid w:val="00401B52"/>
    <w:rsid w:val="00405473"/>
    <w:rsid w:val="00410C89"/>
    <w:rsid w:val="00414931"/>
    <w:rsid w:val="00414B35"/>
    <w:rsid w:val="0041672D"/>
    <w:rsid w:val="004227C0"/>
    <w:rsid w:val="0042511E"/>
    <w:rsid w:val="00426B9B"/>
    <w:rsid w:val="0043003F"/>
    <w:rsid w:val="00432532"/>
    <w:rsid w:val="004325CB"/>
    <w:rsid w:val="00436B33"/>
    <w:rsid w:val="00442A83"/>
    <w:rsid w:val="00442C9D"/>
    <w:rsid w:val="00445A57"/>
    <w:rsid w:val="00450D0E"/>
    <w:rsid w:val="00453580"/>
    <w:rsid w:val="0045495B"/>
    <w:rsid w:val="00455C43"/>
    <w:rsid w:val="004607BF"/>
    <w:rsid w:val="00464446"/>
    <w:rsid w:val="00466B4C"/>
    <w:rsid w:val="00466FA4"/>
    <w:rsid w:val="0047173A"/>
    <w:rsid w:val="00473963"/>
    <w:rsid w:val="00476073"/>
    <w:rsid w:val="00481CB1"/>
    <w:rsid w:val="00487488"/>
    <w:rsid w:val="00487FB8"/>
    <w:rsid w:val="0049219B"/>
    <w:rsid w:val="0049418F"/>
    <w:rsid w:val="00496B48"/>
    <w:rsid w:val="00497CBC"/>
    <w:rsid w:val="004A0623"/>
    <w:rsid w:val="004A1A8C"/>
    <w:rsid w:val="004A28A7"/>
    <w:rsid w:val="004A4E95"/>
    <w:rsid w:val="004A70BE"/>
    <w:rsid w:val="004C55DD"/>
    <w:rsid w:val="004C6D24"/>
    <w:rsid w:val="004D150D"/>
    <w:rsid w:val="004D5BD1"/>
    <w:rsid w:val="004D62C7"/>
    <w:rsid w:val="004D7024"/>
    <w:rsid w:val="004E15CC"/>
    <w:rsid w:val="004E2DDC"/>
    <w:rsid w:val="004F1D45"/>
    <w:rsid w:val="004F5078"/>
    <w:rsid w:val="0050328D"/>
    <w:rsid w:val="00507612"/>
    <w:rsid w:val="005167F1"/>
    <w:rsid w:val="00516EDC"/>
    <w:rsid w:val="0052136D"/>
    <w:rsid w:val="005232E6"/>
    <w:rsid w:val="00525395"/>
    <w:rsid w:val="0052775E"/>
    <w:rsid w:val="005406E2"/>
    <w:rsid w:val="005409DC"/>
    <w:rsid w:val="0054108D"/>
    <w:rsid w:val="0054109A"/>
    <w:rsid w:val="0054150C"/>
    <w:rsid w:val="005420F2"/>
    <w:rsid w:val="00550D3B"/>
    <w:rsid w:val="00560BA5"/>
    <w:rsid w:val="00561B68"/>
    <w:rsid w:val="005628B6"/>
    <w:rsid w:val="00564714"/>
    <w:rsid w:val="00564D45"/>
    <w:rsid w:val="0056624F"/>
    <w:rsid w:val="005670C0"/>
    <w:rsid w:val="005722B3"/>
    <w:rsid w:val="00574EB0"/>
    <w:rsid w:val="005812B5"/>
    <w:rsid w:val="00582FD7"/>
    <w:rsid w:val="00583D45"/>
    <w:rsid w:val="005848B3"/>
    <w:rsid w:val="00590F87"/>
    <w:rsid w:val="00592C4A"/>
    <w:rsid w:val="005A0415"/>
    <w:rsid w:val="005A2ACD"/>
    <w:rsid w:val="005A2D71"/>
    <w:rsid w:val="005B09AE"/>
    <w:rsid w:val="005B15AD"/>
    <w:rsid w:val="005B38A5"/>
    <w:rsid w:val="005B3DB3"/>
    <w:rsid w:val="005B4F61"/>
    <w:rsid w:val="005C2131"/>
    <w:rsid w:val="005C223E"/>
    <w:rsid w:val="005C2D4E"/>
    <w:rsid w:val="005C413D"/>
    <w:rsid w:val="005C4A9E"/>
    <w:rsid w:val="005D5721"/>
    <w:rsid w:val="005D5AF5"/>
    <w:rsid w:val="005D7CB5"/>
    <w:rsid w:val="005E2F71"/>
    <w:rsid w:val="005E5805"/>
    <w:rsid w:val="005E7358"/>
    <w:rsid w:val="005E783D"/>
    <w:rsid w:val="005E7A8E"/>
    <w:rsid w:val="005F54AD"/>
    <w:rsid w:val="005F5699"/>
    <w:rsid w:val="005F6988"/>
    <w:rsid w:val="005F7717"/>
    <w:rsid w:val="005F7B75"/>
    <w:rsid w:val="005F7F93"/>
    <w:rsid w:val="006001EE"/>
    <w:rsid w:val="00605042"/>
    <w:rsid w:val="00607BC1"/>
    <w:rsid w:val="006108E0"/>
    <w:rsid w:val="00611FC4"/>
    <w:rsid w:val="006148AF"/>
    <w:rsid w:val="006176FB"/>
    <w:rsid w:val="00623FD3"/>
    <w:rsid w:val="0062462D"/>
    <w:rsid w:val="00625A04"/>
    <w:rsid w:val="006274AD"/>
    <w:rsid w:val="00627FB0"/>
    <w:rsid w:val="00630C1F"/>
    <w:rsid w:val="00631C31"/>
    <w:rsid w:val="0063379B"/>
    <w:rsid w:val="00640B26"/>
    <w:rsid w:val="00640C76"/>
    <w:rsid w:val="00645379"/>
    <w:rsid w:val="00652A4E"/>
    <w:rsid w:val="00652D0A"/>
    <w:rsid w:val="00653DBF"/>
    <w:rsid w:val="00654447"/>
    <w:rsid w:val="00656798"/>
    <w:rsid w:val="00662BB6"/>
    <w:rsid w:val="006635F8"/>
    <w:rsid w:val="006637A4"/>
    <w:rsid w:val="00666404"/>
    <w:rsid w:val="00671948"/>
    <w:rsid w:val="00672110"/>
    <w:rsid w:val="006743E9"/>
    <w:rsid w:val="00681702"/>
    <w:rsid w:val="00682284"/>
    <w:rsid w:val="006838C8"/>
    <w:rsid w:val="00684C21"/>
    <w:rsid w:val="00685FA6"/>
    <w:rsid w:val="0068743C"/>
    <w:rsid w:val="00692BBE"/>
    <w:rsid w:val="00694AE6"/>
    <w:rsid w:val="006954C6"/>
    <w:rsid w:val="0069763E"/>
    <w:rsid w:val="00697F3E"/>
    <w:rsid w:val="006A1C1C"/>
    <w:rsid w:val="006A3F3A"/>
    <w:rsid w:val="006A4949"/>
    <w:rsid w:val="006B58E5"/>
    <w:rsid w:val="006C0435"/>
    <w:rsid w:val="006C3AD1"/>
    <w:rsid w:val="006D37AF"/>
    <w:rsid w:val="006D51D0"/>
    <w:rsid w:val="006E564B"/>
    <w:rsid w:val="006E7191"/>
    <w:rsid w:val="006E7196"/>
    <w:rsid w:val="006F1F96"/>
    <w:rsid w:val="006F6515"/>
    <w:rsid w:val="00703577"/>
    <w:rsid w:val="00705625"/>
    <w:rsid w:val="0071171F"/>
    <w:rsid w:val="00711F00"/>
    <w:rsid w:val="00713C74"/>
    <w:rsid w:val="00715DDD"/>
    <w:rsid w:val="00716201"/>
    <w:rsid w:val="007167DF"/>
    <w:rsid w:val="00716EC7"/>
    <w:rsid w:val="0072328C"/>
    <w:rsid w:val="00723B7D"/>
    <w:rsid w:val="0072632A"/>
    <w:rsid w:val="00726A48"/>
    <w:rsid w:val="007327D5"/>
    <w:rsid w:val="00734ABE"/>
    <w:rsid w:val="00735CA1"/>
    <w:rsid w:val="00736EAD"/>
    <w:rsid w:val="00744959"/>
    <w:rsid w:val="007509EB"/>
    <w:rsid w:val="00750FC5"/>
    <w:rsid w:val="0075395D"/>
    <w:rsid w:val="00756181"/>
    <w:rsid w:val="007609D3"/>
    <w:rsid w:val="00760B80"/>
    <w:rsid w:val="00762878"/>
    <w:rsid w:val="007629C8"/>
    <w:rsid w:val="00762E39"/>
    <w:rsid w:val="007635DF"/>
    <w:rsid w:val="00764972"/>
    <w:rsid w:val="00765A2F"/>
    <w:rsid w:val="007713D1"/>
    <w:rsid w:val="007740F1"/>
    <w:rsid w:val="00777322"/>
    <w:rsid w:val="00781C83"/>
    <w:rsid w:val="00782F26"/>
    <w:rsid w:val="0078300D"/>
    <w:rsid w:val="00785DB2"/>
    <w:rsid w:val="00787E5D"/>
    <w:rsid w:val="0079034E"/>
    <w:rsid w:val="00790390"/>
    <w:rsid w:val="0079681E"/>
    <w:rsid w:val="007A212F"/>
    <w:rsid w:val="007A36C9"/>
    <w:rsid w:val="007B3302"/>
    <w:rsid w:val="007B6BA5"/>
    <w:rsid w:val="007B6F1C"/>
    <w:rsid w:val="007C0717"/>
    <w:rsid w:val="007C1241"/>
    <w:rsid w:val="007C3390"/>
    <w:rsid w:val="007C3FFB"/>
    <w:rsid w:val="007C49F2"/>
    <w:rsid w:val="007C4F4B"/>
    <w:rsid w:val="007C784F"/>
    <w:rsid w:val="007D00CF"/>
    <w:rsid w:val="007D1192"/>
    <w:rsid w:val="007D564F"/>
    <w:rsid w:val="007D5904"/>
    <w:rsid w:val="007E0B2D"/>
    <w:rsid w:val="007E4594"/>
    <w:rsid w:val="007E4BBE"/>
    <w:rsid w:val="007E533F"/>
    <w:rsid w:val="007E5EA4"/>
    <w:rsid w:val="007F12FC"/>
    <w:rsid w:val="007F2D0D"/>
    <w:rsid w:val="007F3A2C"/>
    <w:rsid w:val="007F4853"/>
    <w:rsid w:val="007F6611"/>
    <w:rsid w:val="0080727E"/>
    <w:rsid w:val="008105B8"/>
    <w:rsid w:val="00811D06"/>
    <w:rsid w:val="008123D2"/>
    <w:rsid w:val="00812971"/>
    <w:rsid w:val="00813327"/>
    <w:rsid w:val="00816972"/>
    <w:rsid w:val="00816E23"/>
    <w:rsid w:val="00820461"/>
    <w:rsid w:val="008216A5"/>
    <w:rsid w:val="00821A8D"/>
    <w:rsid w:val="008242D7"/>
    <w:rsid w:val="00824C73"/>
    <w:rsid w:val="00824FE2"/>
    <w:rsid w:val="00825659"/>
    <w:rsid w:val="008257B1"/>
    <w:rsid w:val="0083185A"/>
    <w:rsid w:val="008406D2"/>
    <w:rsid w:val="0084126F"/>
    <w:rsid w:val="00843359"/>
    <w:rsid w:val="00843767"/>
    <w:rsid w:val="00846666"/>
    <w:rsid w:val="008508B3"/>
    <w:rsid w:val="00851F2A"/>
    <w:rsid w:val="00852F06"/>
    <w:rsid w:val="008655A1"/>
    <w:rsid w:val="008679D9"/>
    <w:rsid w:val="00867C2C"/>
    <w:rsid w:val="00871051"/>
    <w:rsid w:val="00872F86"/>
    <w:rsid w:val="008730D5"/>
    <w:rsid w:val="00875FE5"/>
    <w:rsid w:val="00880AF2"/>
    <w:rsid w:val="00882E43"/>
    <w:rsid w:val="00886FF1"/>
    <w:rsid w:val="0088719B"/>
    <w:rsid w:val="00887719"/>
    <w:rsid w:val="00891C2B"/>
    <w:rsid w:val="008953A0"/>
    <w:rsid w:val="008979B1"/>
    <w:rsid w:val="00897F0A"/>
    <w:rsid w:val="008A09B5"/>
    <w:rsid w:val="008A1DB2"/>
    <w:rsid w:val="008A66B3"/>
    <w:rsid w:val="008A6B25"/>
    <w:rsid w:val="008A6C4F"/>
    <w:rsid w:val="008B012F"/>
    <w:rsid w:val="008B2335"/>
    <w:rsid w:val="008B26D2"/>
    <w:rsid w:val="008C0D17"/>
    <w:rsid w:val="008C22CC"/>
    <w:rsid w:val="008C3101"/>
    <w:rsid w:val="008C3223"/>
    <w:rsid w:val="008C4B5A"/>
    <w:rsid w:val="008C4EDC"/>
    <w:rsid w:val="008C6E58"/>
    <w:rsid w:val="008C77CB"/>
    <w:rsid w:val="008D1459"/>
    <w:rsid w:val="008D44E3"/>
    <w:rsid w:val="008E05BE"/>
    <w:rsid w:val="008E0678"/>
    <w:rsid w:val="008E2F7B"/>
    <w:rsid w:val="008E4C4F"/>
    <w:rsid w:val="008E4EFD"/>
    <w:rsid w:val="008E5FF6"/>
    <w:rsid w:val="008E6067"/>
    <w:rsid w:val="008F02E2"/>
    <w:rsid w:val="008F0336"/>
    <w:rsid w:val="008F134E"/>
    <w:rsid w:val="008F1E53"/>
    <w:rsid w:val="008F1FA8"/>
    <w:rsid w:val="008F24A9"/>
    <w:rsid w:val="008F588F"/>
    <w:rsid w:val="00900036"/>
    <w:rsid w:val="00901A79"/>
    <w:rsid w:val="00903876"/>
    <w:rsid w:val="00903965"/>
    <w:rsid w:val="0090637F"/>
    <w:rsid w:val="00910F40"/>
    <w:rsid w:val="00911E7A"/>
    <w:rsid w:val="00912C08"/>
    <w:rsid w:val="00913616"/>
    <w:rsid w:val="0091377B"/>
    <w:rsid w:val="009223CA"/>
    <w:rsid w:val="00924597"/>
    <w:rsid w:val="0092484B"/>
    <w:rsid w:val="00925724"/>
    <w:rsid w:val="00932DEE"/>
    <w:rsid w:val="00940F93"/>
    <w:rsid w:val="00951EAC"/>
    <w:rsid w:val="0095347F"/>
    <w:rsid w:val="009568BE"/>
    <w:rsid w:val="00956FE4"/>
    <w:rsid w:val="0096073F"/>
    <w:rsid w:val="00960911"/>
    <w:rsid w:val="009633D7"/>
    <w:rsid w:val="009654ED"/>
    <w:rsid w:val="00967F59"/>
    <w:rsid w:val="009701C4"/>
    <w:rsid w:val="00972C38"/>
    <w:rsid w:val="009735A8"/>
    <w:rsid w:val="00974EF5"/>
    <w:rsid w:val="009760F3"/>
    <w:rsid w:val="009800FA"/>
    <w:rsid w:val="00980EA8"/>
    <w:rsid w:val="009817F4"/>
    <w:rsid w:val="009909F5"/>
    <w:rsid w:val="0099515D"/>
    <w:rsid w:val="00995408"/>
    <w:rsid w:val="009A0E8D"/>
    <w:rsid w:val="009A19F8"/>
    <w:rsid w:val="009A26D1"/>
    <w:rsid w:val="009B0FC5"/>
    <w:rsid w:val="009B26E7"/>
    <w:rsid w:val="009C0CEC"/>
    <w:rsid w:val="009C162C"/>
    <w:rsid w:val="009C2A39"/>
    <w:rsid w:val="009C6DFE"/>
    <w:rsid w:val="009D4323"/>
    <w:rsid w:val="009E2F54"/>
    <w:rsid w:val="009E7D26"/>
    <w:rsid w:val="009F2AC1"/>
    <w:rsid w:val="009F2B34"/>
    <w:rsid w:val="009F6003"/>
    <w:rsid w:val="009F7636"/>
    <w:rsid w:val="00A00A3F"/>
    <w:rsid w:val="00A01489"/>
    <w:rsid w:val="00A018AB"/>
    <w:rsid w:val="00A03ED0"/>
    <w:rsid w:val="00A230A0"/>
    <w:rsid w:val="00A25616"/>
    <w:rsid w:val="00A273B2"/>
    <w:rsid w:val="00A31B81"/>
    <w:rsid w:val="00A338F1"/>
    <w:rsid w:val="00A343D0"/>
    <w:rsid w:val="00A377A8"/>
    <w:rsid w:val="00A4079C"/>
    <w:rsid w:val="00A41A5C"/>
    <w:rsid w:val="00A44487"/>
    <w:rsid w:val="00A44615"/>
    <w:rsid w:val="00A4728C"/>
    <w:rsid w:val="00A47874"/>
    <w:rsid w:val="00A478F9"/>
    <w:rsid w:val="00A5010A"/>
    <w:rsid w:val="00A52B22"/>
    <w:rsid w:val="00A54F81"/>
    <w:rsid w:val="00A66E0C"/>
    <w:rsid w:val="00A70EA1"/>
    <w:rsid w:val="00A72C70"/>
    <w:rsid w:val="00A72F22"/>
    <w:rsid w:val="00A7360F"/>
    <w:rsid w:val="00A748A6"/>
    <w:rsid w:val="00A75355"/>
    <w:rsid w:val="00A76648"/>
    <w:rsid w:val="00A769F4"/>
    <w:rsid w:val="00A776B4"/>
    <w:rsid w:val="00A777CF"/>
    <w:rsid w:val="00A81D4E"/>
    <w:rsid w:val="00A85593"/>
    <w:rsid w:val="00A90599"/>
    <w:rsid w:val="00A94361"/>
    <w:rsid w:val="00A96BCF"/>
    <w:rsid w:val="00AA2137"/>
    <w:rsid w:val="00AA293C"/>
    <w:rsid w:val="00AA2D0D"/>
    <w:rsid w:val="00AA33CB"/>
    <w:rsid w:val="00AA4D58"/>
    <w:rsid w:val="00AA4EEF"/>
    <w:rsid w:val="00AA6FA4"/>
    <w:rsid w:val="00AB0648"/>
    <w:rsid w:val="00AB19FA"/>
    <w:rsid w:val="00AB2855"/>
    <w:rsid w:val="00AB45A3"/>
    <w:rsid w:val="00AB4CA5"/>
    <w:rsid w:val="00AC051D"/>
    <w:rsid w:val="00AC1841"/>
    <w:rsid w:val="00AC505B"/>
    <w:rsid w:val="00AC5F15"/>
    <w:rsid w:val="00AC6A0A"/>
    <w:rsid w:val="00AC7462"/>
    <w:rsid w:val="00AD0242"/>
    <w:rsid w:val="00AD46B8"/>
    <w:rsid w:val="00AE1CFF"/>
    <w:rsid w:val="00AE2EFF"/>
    <w:rsid w:val="00AE4730"/>
    <w:rsid w:val="00AE50CE"/>
    <w:rsid w:val="00AE7CCF"/>
    <w:rsid w:val="00AF0BB7"/>
    <w:rsid w:val="00AF1A44"/>
    <w:rsid w:val="00AF3148"/>
    <w:rsid w:val="00AF34D9"/>
    <w:rsid w:val="00AF5CCF"/>
    <w:rsid w:val="00AF7286"/>
    <w:rsid w:val="00B03884"/>
    <w:rsid w:val="00B04543"/>
    <w:rsid w:val="00B10640"/>
    <w:rsid w:val="00B13E9B"/>
    <w:rsid w:val="00B147D2"/>
    <w:rsid w:val="00B16973"/>
    <w:rsid w:val="00B174D5"/>
    <w:rsid w:val="00B2280C"/>
    <w:rsid w:val="00B23D94"/>
    <w:rsid w:val="00B25D3D"/>
    <w:rsid w:val="00B2683D"/>
    <w:rsid w:val="00B30179"/>
    <w:rsid w:val="00B339A7"/>
    <w:rsid w:val="00B33ABD"/>
    <w:rsid w:val="00B41A37"/>
    <w:rsid w:val="00B41ACB"/>
    <w:rsid w:val="00B46514"/>
    <w:rsid w:val="00B46711"/>
    <w:rsid w:val="00B471B0"/>
    <w:rsid w:val="00B47380"/>
    <w:rsid w:val="00B53EE4"/>
    <w:rsid w:val="00B55522"/>
    <w:rsid w:val="00B56E4A"/>
    <w:rsid w:val="00B56E9C"/>
    <w:rsid w:val="00B60748"/>
    <w:rsid w:val="00B61E52"/>
    <w:rsid w:val="00B64B1F"/>
    <w:rsid w:val="00B6506B"/>
    <w:rsid w:val="00B6524C"/>
    <w:rsid w:val="00B6553F"/>
    <w:rsid w:val="00B66E5E"/>
    <w:rsid w:val="00B778A9"/>
    <w:rsid w:val="00B77D05"/>
    <w:rsid w:val="00B81206"/>
    <w:rsid w:val="00B81E12"/>
    <w:rsid w:val="00B82BE1"/>
    <w:rsid w:val="00B85756"/>
    <w:rsid w:val="00B85AF8"/>
    <w:rsid w:val="00B86C63"/>
    <w:rsid w:val="00B9067B"/>
    <w:rsid w:val="00B915E0"/>
    <w:rsid w:val="00B94491"/>
    <w:rsid w:val="00B95A99"/>
    <w:rsid w:val="00B97AFE"/>
    <w:rsid w:val="00BA0869"/>
    <w:rsid w:val="00BA434C"/>
    <w:rsid w:val="00BB0EBC"/>
    <w:rsid w:val="00BB22D5"/>
    <w:rsid w:val="00BB496C"/>
    <w:rsid w:val="00BB5DBA"/>
    <w:rsid w:val="00BC01E3"/>
    <w:rsid w:val="00BC2C23"/>
    <w:rsid w:val="00BC4264"/>
    <w:rsid w:val="00BC48F3"/>
    <w:rsid w:val="00BC5363"/>
    <w:rsid w:val="00BC6E5E"/>
    <w:rsid w:val="00BC74E9"/>
    <w:rsid w:val="00BC7567"/>
    <w:rsid w:val="00BE2E23"/>
    <w:rsid w:val="00BF4613"/>
    <w:rsid w:val="00BF61C5"/>
    <w:rsid w:val="00BF68A8"/>
    <w:rsid w:val="00BF72FD"/>
    <w:rsid w:val="00C02E7A"/>
    <w:rsid w:val="00C11207"/>
    <w:rsid w:val="00C11870"/>
    <w:rsid w:val="00C11A03"/>
    <w:rsid w:val="00C144EC"/>
    <w:rsid w:val="00C20A72"/>
    <w:rsid w:val="00C214D8"/>
    <w:rsid w:val="00C2284D"/>
    <w:rsid w:val="00C32B5B"/>
    <w:rsid w:val="00C34926"/>
    <w:rsid w:val="00C42190"/>
    <w:rsid w:val="00C4292F"/>
    <w:rsid w:val="00C44D49"/>
    <w:rsid w:val="00C453B8"/>
    <w:rsid w:val="00C45B58"/>
    <w:rsid w:val="00C463DD"/>
    <w:rsid w:val="00C46474"/>
    <w:rsid w:val="00C4724C"/>
    <w:rsid w:val="00C50356"/>
    <w:rsid w:val="00C50E05"/>
    <w:rsid w:val="00C50F30"/>
    <w:rsid w:val="00C55779"/>
    <w:rsid w:val="00C56114"/>
    <w:rsid w:val="00C57B52"/>
    <w:rsid w:val="00C606D3"/>
    <w:rsid w:val="00C61C48"/>
    <w:rsid w:val="00C629A0"/>
    <w:rsid w:val="00C70998"/>
    <w:rsid w:val="00C739CF"/>
    <w:rsid w:val="00C745C3"/>
    <w:rsid w:val="00C76890"/>
    <w:rsid w:val="00C803EC"/>
    <w:rsid w:val="00C84941"/>
    <w:rsid w:val="00C8504E"/>
    <w:rsid w:val="00C85B6E"/>
    <w:rsid w:val="00C924DC"/>
    <w:rsid w:val="00C96200"/>
    <w:rsid w:val="00CA2F7E"/>
    <w:rsid w:val="00CD1CFD"/>
    <w:rsid w:val="00CD6DA3"/>
    <w:rsid w:val="00CE025F"/>
    <w:rsid w:val="00CE4A8F"/>
    <w:rsid w:val="00CE7200"/>
    <w:rsid w:val="00CF1984"/>
    <w:rsid w:val="00CF1B51"/>
    <w:rsid w:val="00CF22E9"/>
    <w:rsid w:val="00CF2621"/>
    <w:rsid w:val="00CF3A29"/>
    <w:rsid w:val="00CF502D"/>
    <w:rsid w:val="00CF5B87"/>
    <w:rsid w:val="00D02C2A"/>
    <w:rsid w:val="00D06AB9"/>
    <w:rsid w:val="00D06B7E"/>
    <w:rsid w:val="00D1315B"/>
    <w:rsid w:val="00D13E3E"/>
    <w:rsid w:val="00D141CF"/>
    <w:rsid w:val="00D17A17"/>
    <w:rsid w:val="00D2031B"/>
    <w:rsid w:val="00D257E7"/>
    <w:rsid w:val="00D25FE2"/>
    <w:rsid w:val="00D2637A"/>
    <w:rsid w:val="00D30034"/>
    <w:rsid w:val="00D37174"/>
    <w:rsid w:val="00D41A8C"/>
    <w:rsid w:val="00D43252"/>
    <w:rsid w:val="00D46C27"/>
    <w:rsid w:val="00D47EEA"/>
    <w:rsid w:val="00D501D0"/>
    <w:rsid w:val="00D509AE"/>
    <w:rsid w:val="00D51D6E"/>
    <w:rsid w:val="00D53BAD"/>
    <w:rsid w:val="00D543C9"/>
    <w:rsid w:val="00D60147"/>
    <w:rsid w:val="00D62788"/>
    <w:rsid w:val="00D72115"/>
    <w:rsid w:val="00D729E4"/>
    <w:rsid w:val="00D73CB8"/>
    <w:rsid w:val="00D80EDF"/>
    <w:rsid w:val="00D82857"/>
    <w:rsid w:val="00D864CC"/>
    <w:rsid w:val="00D90829"/>
    <w:rsid w:val="00D90F93"/>
    <w:rsid w:val="00D913B0"/>
    <w:rsid w:val="00D95303"/>
    <w:rsid w:val="00D96E57"/>
    <w:rsid w:val="00D97597"/>
    <w:rsid w:val="00D975A7"/>
    <w:rsid w:val="00D978C6"/>
    <w:rsid w:val="00DA1689"/>
    <w:rsid w:val="00DA1FA5"/>
    <w:rsid w:val="00DA3111"/>
    <w:rsid w:val="00DA3C1C"/>
    <w:rsid w:val="00DA4BBB"/>
    <w:rsid w:val="00DA4D65"/>
    <w:rsid w:val="00DB0C79"/>
    <w:rsid w:val="00DB2CE7"/>
    <w:rsid w:val="00DB3EC3"/>
    <w:rsid w:val="00DB5B2F"/>
    <w:rsid w:val="00DC0714"/>
    <w:rsid w:val="00DC3074"/>
    <w:rsid w:val="00DC6ED3"/>
    <w:rsid w:val="00DC7425"/>
    <w:rsid w:val="00DD0399"/>
    <w:rsid w:val="00DD593B"/>
    <w:rsid w:val="00DE1DF6"/>
    <w:rsid w:val="00DE3079"/>
    <w:rsid w:val="00DE79A8"/>
    <w:rsid w:val="00DF528D"/>
    <w:rsid w:val="00E0074E"/>
    <w:rsid w:val="00E052A2"/>
    <w:rsid w:val="00E142AF"/>
    <w:rsid w:val="00E15CC1"/>
    <w:rsid w:val="00E17C73"/>
    <w:rsid w:val="00E209FD"/>
    <w:rsid w:val="00E20A45"/>
    <w:rsid w:val="00E21400"/>
    <w:rsid w:val="00E25E54"/>
    <w:rsid w:val="00E27346"/>
    <w:rsid w:val="00E274E2"/>
    <w:rsid w:val="00E306B1"/>
    <w:rsid w:val="00E3127F"/>
    <w:rsid w:val="00E31E79"/>
    <w:rsid w:val="00E40300"/>
    <w:rsid w:val="00E40A07"/>
    <w:rsid w:val="00E41BFE"/>
    <w:rsid w:val="00E4363C"/>
    <w:rsid w:val="00E45893"/>
    <w:rsid w:val="00E47CC6"/>
    <w:rsid w:val="00E47F40"/>
    <w:rsid w:val="00E52560"/>
    <w:rsid w:val="00E53D02"/>
    <w:rsid w:val="00E6074E"/>
    <w:rsid w:val="00E61088"/>
    <w:rsid w:val="00E632CC"/>
    <w:rsid w:val="00E65396"/>
    <w:rsid w:val="00E702C2"/>
    <w:rsid w:val="00E71BC8"/>
    <w:rsid w:val="00E7260F"/>
    <w:rsid w:val="00E73229"/>
    <w:rsid w:val="00E74206"/>
    <w:rsid w:val="00E7671D"/>
    <w:rsid w:val="00E77185"/>
    <w:rsid w:val="00E779FC"/>
    <w:rsid w:val="00E848D3"/>
    <w:rsid w:val="00E85728"/>
    <w:rsid w:val="00E86349"/>
    <w:rsid w:val="00E87492"/>
    <w:rsid w:val="00E921CF"/>
    <w:rsid w:val="00E96630"/>
    <w:rsid w:val="00EA0BF9"/>
    <w:rsid w:val="00EA31F7"/>
    <w:rsid w:val="00EB11F3"/>
    <w:rsid w:val="00EB2581"/>
    <w:rsid w:val="00EB7E12"/>
    <w:rsid w:val="00EC14EF"/>
    <w:rsid w:val="00EC276F"/>
    <w:rsid w:val="00ED00FD"/>
    <w:rsid w:val="00ED0174"/>
    <w:rsid w:val="00ED01FC"/>
    <w:rsid w:val="00ED7A2A"/>
    <w:rsid w:val="00ED7E6E"/>
    <w:rsid w:val="00EE1603"/>
    <w:rsid w:val="00EE5A2A"/>
    <w:rsid w:val="00EE6929"/>
    <w:rsid w:val="00EF0235"/>
    <w:rsid w:val="00EF1D7F"/>
    <w:rsid w:val="00EF58DB"/>
    <w:rsid w:val="00F03190"/>
    <w:rsid w:val="00F03A99"/>
    <w:rsid w:val="00F0403F"/>
    <w:rsid w:val="00F04CDE"/>
    <w:rsid w:val="00F075CC"/>
    <w:rsid w:val="00F20C3D"/>
    <w:rsid w:val="00F2653D"/>
    <w:rsid w:val="00F34D48"/>
    <w:rsid w:val="00F35149"/>
    <w:rsid w:val="00F373CD"/>
    <w:rsid w:val="00F37D04"/>
    <w:rsid w:val="00F41576"/>
    <w:rsid w:val="00F4204E"/>
    <w:rsid w:val="00F43E9E"/>
    <w:rsid w:val="00F44820"/>
    <w:rsid w:val="00F52BE2"/>
    <w:rsid w:val="00F546EA"/>
    <w:rsid w:val="00F61CE0"/>
    <w:rsid w:val="00F6303A"/>
    <w:rsid w:val="00F70D30"/>
    <w:rsid w:val="00F748B6"/>
    <w:rsid w:val="00F75DD2"/>
    <w:rsid w:val="00F761B7"/>
    <w:rsid w:val="00F823D6"/>
    <w:rsid w:val="00F82F23"/>
    <w:rsid w:val="00F8467B"/>
    <w:rsid w:val="00F85AD7"/>
    <w:rsid w:val="00F86121"/>
    <w:rsid w:val="00F872F3"/>
    <w:rsid w:val="00F8772A"/>
    <w:rsid w:val="00F9057C"/>
    <w:rsid w:val="00F906D7"/>
    <w:rsid w:val="00F90FD3"/>
    <w:rsid w:val="00F93781"/>
    <w:rsid w:val="00F9653B"/>
    <w:rsid w:val="00F9682C"/>
    <w:rsid w:val="00F96BA5"/>
    <w:rsid w:val="00F97D2F"/>
    <w:rsid w:val="00FA1718"/>
    <w:rsid w:val="00FA4EF7"/>
    <w:rsid w:val="00FB0BB9"/>
    <w:rsid w:val="00FB2745"/>
    <w:rsid w:val="00FB45D9"/>
    <w:rsid w:val="00FB5EB5"/>
    <w:rsid w:val="00FB613B"/>
    <w:rsid w:val="00FC0622"/>
    <w:rsid w:val="00FC0FE6"/>
    <w:rsid w:val="00FC62B8"/>
    <w:rsid w:val="00FC68B7"/>
    <w:rsid w:val="00FC7E29"/>
    <w:rsid w:val="00FD0381"/>
    <w:rsid w:val="00FD28AF"/>
    <w:rsid w:val="00FD297A"/>
    <w:rsid w:val="00FD4DF1"/>
    <w:rsid w:val="00FD4F04"/>
    <w:rsid w:val="00FD4FB8"/>
    <w:rsid w:val="00FD5E93"/>
    <w:rsid w:val="00FD61DA"/>
    <w:rsid w:val="00FE106A"/>
    <w:rsid w:val="00FF0000"/>
    <w:rsid w:val="00FF4BF4"/>
    <w:rsid w:val="00FF6FAA"/>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B4AE1A-2918-4D43-9CDA-E71DAA1A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1C0674"/>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1C0674"/>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rPr>
  </w:style>
  <w:style w:type="paragraph" w:styleId="BalloonText">
    <w:name w:val="Balloon Text"/>
    <w:basedOn w:val="Normal"/>
    <w:link w:val="BalloonTextChar"/>
    <w:rsid w:val="006743E9"/>
    <w:pPr>
      <w:spacing w:line="240" w:lineRule="auto"/>
    </w:pPr>
    <w:rPr>
      <w:rFonts w:ascii="Tahoma" w:hAnsi="Tahoma"/>
      <w:sz w:val="16"/>
      <w:szCs w:val="16"/>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paragraph" w:customStyle="1" w:styleId="Default">
    <w:name w:val="Default"/>
    <w:rsid w:val="003B483A"/>
    <w:pPr>
      <w:autoSpaceDE w:val="0"/>
      <w:autoSpaceDN w:val="0"/>
      <w:adjustRightInd w:val="0"/>
    </w:pPr>
    <w:rPr>
      <w:color w:val="000000"/>
      <w:sz w:val="24"/>
      <w:szCs w:val="24"/>
      <w:lang w:eastAsia="en-GB"/>
    </w:rPr>
  </w:style>
  <w:style w:type="paragraph" w:styleId="Revision">
    <w:name w:val="Revision"/>
    <w:hidden/>
    <w:uiPriority w:val="99"/>
    <w:semiHidden/>
    <w:rsid w:val="003A62E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08978">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517963685">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29505981">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1139230174">
      <w:bodyDiv w:val="1"/>
      <w:marLeft w:val="0"/>
      <w:marRight w:val="0"/>
      <w:marTop w:val="0"/>
      <w:marBottom w:val="0"/>
      <w:divBdr>
        <w:top w:val="none" w:sz="0" w:space="0" w:color="auto"/>
        <w:left w:val="none" w:sz="0" w:space="0" w:color="auto"/>
        <w:bottom w:val="none" w:sz="0" w:space="0" w:color="auto"/>
        <w:right w:val="none" w:sz="0" w:space="0" w:color="auto"/>
      </w:divBdr>
    </w:div>
    <w:div w:id="1205019658">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594435521">
      <w:bodyDiv w:val="1"/>
      <w:marLeft w:val="0"/>
      <w:marRight w:val="0"/>
      <w:marTop w:val="0"/>
      <w:marBottom w:val="0"/>
      <w:divBdr>
        <w:top w:val="none" w:sz="0" w:space="0" w:color="auto"/>
        <w:left w:val="none" w:sz="0" w:space="0" w:color="auto"/>
        <w:bottom w:val="none" w:sz="0" w:space="0" w:color="auto"/>
        <w:right w:val="none" w:sz="0" w:space="0" w:color="auto"/>
      </w:divBdr>
    </w:div>
    <w:div w:id="1771243618">
      <w:bodyDiv w:val="1"/>
      <w:marLeft w:val="0"/>
      <w:marRight w:val="0"/>
      <w:marTop w:val="0"/>
      <w:marBottom w:val="0"/>
      <w:divBdr>
        <w:top w:val="none" w:sz="0" w:space="0" w:color="auto"/>
        <w:left w:val="none" w:sz="0" w:space="0" w:color="auto"/>
        <w:bottom w:val="none" w:sz="0" w:space="0" w:color="auto"/>
        <w:right w:val="none" w:sz="0" w:space="0" w:color="auto"/>
      </w:divBdr>
    </w:div>
    <w:div w:id="178411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D69DC-88C4-4C1C-8C97-12BCDA35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9</Pages>
  <Words>3704</Words>
  <Characters>21114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2014-12-23T08:10:00Z</cp:lastPrinted>
  <dcterms:created xsi:type="dcterms:W3CDTF">2017-01-24T18:56:00Z</dcterms:created>
  <dcterms:modified xsi:type="dcterms:W3CDTF">2017-01-24T18:56:00Z</dcterms:modified>
</cp:coreProperties>
</file>