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7B8B769A" w14:textId="77777777" w:rsidTr="00B6553F">
        <w:trPr>
          <w:cantSplit/>
          <w:trHeight w:hRule="exact" w:val="851"/>
        </w:trPr>
        <w:tc>
          <w:tcPr>
            <w:tcW w:w="1276" w:type="dxa"/>
            <w:tcBorders>
              <w:bottom w:val="single" w:sz="4" w:space="0" w:color="auto"/>
            </w:tcBorders>
            <w:vAlign w:val="bottom"/>
          </w:tcPr>
          <w:p w14:paraId="5725D911" w14:textId="77777777" w:rsidR="00B56E9C" w:rsidRPr="003E23C9" w:rsidRDefault="003E23C9" w:rsidP="003E23C9">
            <w:pPr>
              <w:spacing w:line="20" w:lineRule="exact"/>
              <w:rPr>
                <w:sz w:val="2"/>
              </w:rPr>
            </w:pPr>
            <w:r>
              <w:rPr>
                <w:rStyle w:val="CommentReference"/>
              </w:rPr>
              <w:commentReference w:id="0"/>
            </w:r>
            <w:bookmarkStart w:id="1" w:name="_GoBack"/>
            <w:bookmarkEnd w:id="1"/>
          </w:p>
          <w:p w14:paraId="6205541D" w14:textId="77777777" w:rsidR="003E23C9" w:rsidRDefault="003E23C9" w:rsidP="00B6553F">
            <w:pPr>
              <w:spacing w:after="80"/>
            </w:pPr>
          </w:p>
        </w:tc>
        <w:tc>
          <w:tcPr>
            <w:tcW w:w="2268" w:type="dxa"/>
            <w:tcBorders>
              <w:bottom w:val="single" w:sz="4" w:space="0" w:color="auto"/>
            </w:tcBorders>
            <w:vAlign w:val="bottom"/>
          </w:tcPr>
          <w:p w14:paraId="0178CECE"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A26864" w14:textId="77777777" w:rsidR="00B56E9C" w:rsidRPr="00D47EEA" w:rsidRDefault="002D1387" w:rsidP="00671544">
            <w:pPr>
              <w:jc w:val="right"/>
            </w:pPr>
            <w:r w:rsidRPr="002D1387">
              <w:rPr>
                <w:sz w:val="40"/>
              </w:rPr>
              <w:t>CCPR</w:t>
            </w:r>
            <w:r w:rsidR="001A7748">
              <w:t>/C/115/D/1996/2010</w:t>
            </w:r>
          </w:p>
        </w:tc>
      </w:tr>
      <w:tr w:rsidR="00B56E9C" w14:paraId="7232FD15" w14:textId="77777777" w:rsidTr="00B6553F">
        <w:trPr>
          <w:cantSplit/>
          <w:trHeight w:hRule="exact" w:val="2835"/>
        </w:trPr>
        <w:tc>
          <w:tcPr>
            <w:tcW w:w="1276" w:type="dxa"/>
            <w:tcBorders>
              <w:top w:val="single" w:sz="4" w:space="0" w:color="auto"/>
              <w:bottom w:val="single" w:sz="12" w:space="0" w:color="auto"/>
            </w:tcBorders>
          </w:tcPr>
          <w:p w14:paraId="3051F914" w14:textId="77777777" w:rsidR="00B56E9C" w:rsidRDefault="002D1387" w:rsidP="00B6553F">
            <w:pPr>
              <w:spacing w:before="120"/>
            </w:pPr>
            <w:r>
              <w:rPr>
                <w:noProof/>
                <w:lang w:val="en-US"/>
              </w:rPr>
              <w:drawing>
                <wp:inline distT="0" distB="0" distL="0" distR="0" wp14:anchorId="1BDB68EC" wp14:editId="4B54F77B">
                  <wp:extent cx="717550" cy="590550"/>
                  <wp:effectExtent l="0" t="0" r="6350" b="0"/>
                  <wp:docPr id="17" name="Picture 1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3CD518D" w14:textId="77777777" w:rsidR="00B56E9C" w:rsidRDefault="00B56E9C" w:rsidP="00267F5F">
            <w:pPr>
              <w:spacing w:before="120" w:line="380" w:lineRule="exact"/>
              <w:rPr>
                <w:b/>
                <w:sz w:val="34"/>
                <w:szCs w:val="40"/>
              </w:rPr>
            </w:pPr>
            <w:r w:rsidRPr="000E5E83">
              <w:rPr>
                <w:b/>
                <w:sz w:val="34"/>
                <w:szCs w:val="40"/>
              </w:rPr>
              <w:t xml:space="preserve">International </w:t>
            </w:r>
            <w:r w:rsidR="00060C3A" w:rsidRPr="000E5E83">
              <w:rPr>
                <w:b/>
                <w:sz w:val="34"/>
                <w:szCs w:val="40"/>
              </w:rPr>
              <w:t>Covenant on</w:t>
            </w:r>
            <w:r w:rsidR="00060C3A" w:rsidRPr="000E5E83">
              <w:rPr>
                <w:b/>
                <w:sz w:val="34"/>
                <w:szCs w:val="40"/>
              </w:rPr>
              <w:br/>
              <w:t>Civil and Political R</w:t>
            </w:r>
            <w:r w:rsidR="00703577" w:rsidRPr="000E5E83">
              <w:rPr>
                <w:b/>
                <w:sz w:val="34"/>
                <w:szCs w:val="40"/>
              </w:rPr>
              <w:t>ights</w:t>
            </w:r>
          </w:p>
          <w:p w14:paraId="06BE6D89" w14:textId="77777777" w:rsidR="00671544" w:rsidRPr="000E5E83" w:rsidRDefault="00671544" w:rsidP="00267F5F">
            <w:pPr>
              <w:spacing w:before="120" w:line="380" w:lineRule="exact"/>
              <w:rPr>
                <w:sz w:val="34"/>
              </w:rPr>
            </w:pPr>
          </w:p>
        </w:tc>
        <w:tc>
          <w:tcPr>
            <w:tcW w:w="2835" w:type="dxa"/>
            <w:tcBorders>
              <w:top w:val="single" w:sz="4" w:space="0" w:color="auto"/>
              <w:bottom w:val="single" w:sz="12" w:space="0" w:color="auto"/>
            </w:tcBorders>
          </w:tcPr>
          <w:p w14:paraId="527CD60B" w14:textId="77777777" w:rsidR="00B56E9C" w:rsidRPr="000E5E83" w:rsidRDefault="002D1387" w:rsidP="002D1387">
            <w:pPr>
              <w:spacing w:before="240" w:line="240" w:lineRule="exact"/>
            </w:pPr>
            <w:r w:rsidRPr="000E5E83">
              <w:t xml:space="preserve">Distr.: </w:t>
            </w:r>
            <w:r w:rsidR="00671544">
              <w:t>General</w:t>
            </w:r>
          </w:p>
          <w:p w14:paraId="1A2C4375" w14:textId="77777777" w:rsidR="002D1387" w:rsidRPr="000E5E83" w:rsidRDefault="001143B3" w:rsidP="001143B3">
            <w:pPr>
              <w:spacing w:line="240" w:lineRule="exact"/>
            </w:pPr>
            <w:r>
              <w:t>9</w:t>
            </w:r>
            <w:r w:rsidR="007662A6">
              <w:t xml:space="preserve"> December</w:t>
            </w:r>
            <w:r w:rsidR="002D1387" w:rsidRPr="000E5E83">
              <w:t xml:space="preserve"> 2015</w:t>
            </w:r>
          </w:p>
          <w:p w14:paraId="2F24A2B7" w14:textId="77777777" w:rsidR="002D1387" w:rsidRPr="000E5E83" w:rsidRDefault="002D1387" w:rsidP="002D1387">
            <w:pPr>
              <w:spacing w:line="240" w:lineRule="exact"/>
            </w:pPr>
          </w:p>
          <w:p w14:paraId="2B831DB3" w14:textId="77777777" w:rsidR="002D1387" w:rsidRPr="000E5E83" w:rsidRDefault="002D1387" w:rsidP="002D1387">
            <w:pPr>
              <w:spacing w:line="240" w:lineRule="exact"/>
            </w:pPr>
            <w:r w:rsidRPr="000E5E83">
              <w:t>Original: English</w:t>
            </w:r>
          </w:p>
          <w:p w14:paraId="60171FFC" w14:textId="77777777" w:rsidR="002D1387" w:rsidRPr="000E5E83" w:rsidRDefault="002D1387" w:rsidP="002D1387">
            <w:pPr>
              <w:spacing w:line="240" w:lineRule="exact"/>
            </w:pPr>
          </w:p>
        </w:tc>
      </w:tr>
    </w:tbl>
    <w:p w14:paraId="2923F61B" w14:textId="77777777" w:rsidR="002D1387" w:rsidRPr="008216A5" w:rsidRDefault="002D1387" w:rsidP="002D1387">
      <w:pPr>
        <w:spacing w:before="120"/>
        <w:rPr>
          <w:b/>
          <w:sz w:val="24"/>
          <w:szCs w:val="24"/>
          <w:lang w:val="en-US"/>
        </w:rPr>
      </w:pPr>
      <w:r w:rsidRPr="008216A5">
        <w:rPr>
          <w:b/>
          <w:sz w:val="24"/>
          <w:szCs w:val="24"/>
          <w:lang w:val="en-US"/>
        </w:rPr>
        <w:t>Human Rights Committee</w:t>
      </w:r>
    </w:p>
    <w:p w14:paraId="63A53DCD" w14:textId="77777777" w:rsidR="002D1387" w:rsidRDefault="002D1387" w:rsidP="002D1387">
      <w:pPr>
        <w:pStyle w:val="HChG"/>
      </w:pPr>
      <w:r w:rsidRPr="009E31DB">
        <w:tab/>
      </w:r>
      <w:r w:rsidRPr="009E31DB">
        <w:tab/>
        <w:t xml:space="preserve">Communication No. </w:t>
      </w:r>
      <w:r w:rsidR="003E76A6">
        <w:t>1996/2010</w:t>
      </w:r>
    </w:p>
    <w:p w14:paraId="5540D310" w14:textId="77777777" w:rsidR="002D1387" w:rsidRPr="009E31DB" w:rsidRDefault="002D1387" w:rsidP="002D1387">
      <w:pPr>
        <w:pStyle w:val="H1G"/>
      </w:pPr>
      <w:r>
        <w:tab/>
      </w:r>
      <w:r>
        <w:tab/>
      </w:r>
      <w:r w:rsidR="00671544" w:rsidRPr="00671F7D">
        <w:t xml:space="preserve">Views adopted by the Committee at its 115th session </w:t>
      </w:r>
      <w:r w:rsidR="00671544" w:rsidRPr="00671F7D">
        <w:br/>
        <w:t>(</w:t>
      </w:r>
      <w:r w:rsidR="00671544" w:rsidRPr="00671F7D">
        <w:rPr>
          <w:bCs/>
          <w:lang w:val="en-US"/>
        </w:rPr>
        <w:t>19 October-6 November 2015)</w:t>
      </w:r>
    </w:p>
    <w:p w14:paraId="32EDF4BD" w14:textId="77777777" w:rsidR="002D1387" w:rsidRPr="009E31DB" w:rsidRDefault="002D1387" w:rsidP="00045217">
      <w:pPr>
        <w:pStyle w:val="SingleTxtG"/>
        <w:ind w:left="4536" w:hanging="3402"/>
        <w:jc w:val="left"/>
      </w:pPr>
      <w:r w:rsidRPr="009707F5">
        <w:rPr>
          <w:i/>
        </w:rPr>
        <w:t>Submitted by:</w:t>
      </w:r>
      <w:r w:rsidRPr="009E31DB">
        <w:tab/>
      </w:r>
      <w:r w:rsidR="003E76A6">
        <w:t>Ivan Kruk</w:t>
      </w:r>
      <w:r>
        <w:t xml:space="preserve"> </w:t>
      </w:r>
      <w:r w:rsidRPr="009E31DB">
        <w:t>(</w:t>
      </w:r>
      <w:r>
        <w:t xml:space="preserve">not </w:t>
      </w:r>
      <w:r w:rsidRPr="009E31DB">
        <w:t>represented by counsel)</w:t>
      </w:r>
    </w:p>
    <w:p w14:paraId="6DD2CE06" w14:textId="77777777" w:rsidR="002D1387" w:rsidRPr="009E31DB" w:rsidRDefault="002D1387" w:rsidP="00045217">
      <w:pPr>
        <w:pStyle w:val="SingleTxtG"/>
        <w:ind w:left="4536" w:hanging="3402"/>
        <w:jc w:val="left"/>
      </w:pPr>
      <w:r w:rsidRPr="009707F5">
        <w:rPr>
          <w:i/>
        </w:rPr>
        <w:t>Alleged victim</w:t>
      </w:r>
      <w:r>
        <w:rPr>
          <w:i/>
        </w:rPr>
        <w:t>s</w:t>
      </w:r>
      <w:r w:rsidRPr="009707F5">
        <w:rPr>
          <w:i/>
        </w:rPr>
        <w:t>:</w:t>
      </w:r>
      <w:r>
        <w:tab/>
        <w:t>T</w:t>
      </w:r>
      <w:r w:rsidRPr="009E31DB">
        <w:t>he author</w:t>
      </w:r>
    </w:p>
    <w:p w14:paraId="4B36B470" w14:textId="77777777" w:rsidR="002D1387" w:rsidRPr="009E31DB" w:rsidRDefault="002D1387" w:rsidP="00045217">
      <w:pPr>
        <w:pStyle w:val="SingleTxtG"/>
        <w:ind w:left="4536" w:hanging="3402"/>
        <w:jc w:val="left"/>
      </w:pPr>
      <w:r w:rsidRPr="009707F5">
        <w:rPr>
          <w:i/>
        </w:rPr>
        <w:t>State party:</w:t>
      </w:r>
      <w:r w:rsidRPr="009E31DB">
        <w:tab/>
      </w:r>
      <w:r>
        <w:t>Belarus</w:t>
      </w:r>
    </w:p>
    <w:p w14:paraId="0CB51B0F" w14:textId="77777777" w:rsidR="002D1387" w:rsidRPr="009E31DB" w:rsidRDefault="002D1387" w:rsidP="00045217">
      <w:pPr>
        <w:pStyle w:val="SingleTxtG"/>
        <w:ind w:left="4536" w:hanging="3402"/>
        <w:jc w:val="left"/>
      </w:pPr>
      <w:r w:rsidRPr="009707F5">
        <w:rPr>
          <w:i/>
        </w:rPr>
        <w:t>Date of communication:</w:t>
      </w:r>
      <w:r w:rsidRPr="009E31DB">
        <w:tab/>
      </w:r>
      <w:r w:rsidR="00CD0992">
        <w:t>23 December 2009</w:t>
      </w:r>
      <w:r>
        <w:t xml:space="preserve"> (initial submission)</w:t>
      </w:r>
    </w:p>
    <w:p w14:paraId="1ADBD748" w14:textId="77777777" w:rsidR="002D1387" w:rsidRPr="009E31DB" w:rsidRDefault="002D1387" w:rsidP="00045217">
      <w:pPr>
        <w:pStyle w:val="SingleTxtG"/>
        <w:ind w:left="4536" w:hanging="3402"/>
        <w:jc w:val="left"/>
      </w:pPr>
      <w:r w:rsidRPr="009707F5">
        <w:rPr>
          <w:i/>
        </w:rPr>
        <w:t>Document references:</w:t>
      </w:r>
      <w:r w:rsidRPr="009E31DB">
        <w:tab/>
        <w:t xml:space="preserve">Special Rapporteur’s rule 97 decision, transmitted to the State party on </w:t>
      </w:r>
      <w:r w:rsidR="00CD0992">
        <w:t>1 November 2010</w:t>
      </w:r>
      <w:r>
        <w:t xml:space="preserve"> </w:t>
      </w:r>
      <w:r w:rsidRPr="009E31DB">
        <w:t>(not issued in document form)</w:t>
      </w:r>
    </w:p>
    <w:p w14:paraId="7EDEADE8" w14:textId="77777777" w:rsidR="002D1387" w:rsidRDefault="002D1387" w:rsidP="00045217">
      <w:pPr>
        <w:pStyle w:val="SingleTxtG"/>
        <w:ind w:left="4536" w:hanging="3402"/>
        <w:jc w:val="left"/>
      </w:pPr>
      <w:r w:rsidRPr="009707F5">
        <w:rPr>
          <w:i/>
        </w:rPr>
        <w:t>Date of adoption of Views:</w:t>
      </w:r>
      <w:r w:rsidRPr="009E31DB">
        <w:tab/>
      </w:r>
      <w:r w:rsidR="00671544">
        <w:t>29</w:t>
      </w:r>
      <w:r w:rsidR="00671544" w:rsidRPr="009E31DB">
        <w:t xml:space="preserve"> </w:t>
      </w:r>
      <w:r>
        <w:t>October</w:t>
      </w:r>
      <w:r w:rsidRPr="009E31DB">
        <w:t xml:space="preserve"> 201</w:t>
      </w:r>
      <w:r>
        <w:t>5</w:t>
      </w:r>
    </w:p>
    <w:p w14:paraId="3FC2ABCC" w14:textId="77777777" w:rsidR="002D1387" w:rsidRPr="00BF5096" w:rsidRDefault="000A4F64" w:rsidP="00045217">
      <w:pPr>
        <w:pStyle w:val="SingleTxtG"/>
        <w:ind w:left="4536" w:hanging="3402"/>
        <w:jc w:val="left"/>
      </w:pPr>
      <w:r w:rsidRPr="00BF5096">
        <w:rPr>
          <w:i/>
          <w:iCs/>
        </w:rPr>
        <w:t xml:space="preserve">Subject </w:t>
      </w:r>
      <w:r w:rsidRPr="002D1387">
        <w:rPr>
          <w:i/>
          <w:iCs/>
          <w:lang w:val="x-none"/>
        </w:rPr>
        <w:t>matter</w:t>
      </w:r>
      <w:r w:rsidRPr="00BF5096">
        <w:rPr>
          <w:i/>
          <w:iCs/>
        </w:rPr>
        <w:t>:</w:t>
      </w:r>
      <w:r w:rsidRPr="00BF5096">
        <w:tab/>
      </w:r>
      <w:r w:rsidRPr="00EE2FA5">
        <w:t xml:space="preserve">Right to </w:t>
      </w:r>
      <w:r>
        <w:t>freedom of expression</w:t>
      </w:r>
    </w:p>
    <w:p w14:paraId="2A45772B" w14:textId="77777777" w:rsidR="002D1387" w:rsidRPr="00BF5096" w:rsidRDefault="002D1387" w:rsidP="00045217">
      <w:pPr>
        <w:pStyle w:val="SingleTxtG"/>
        <w:ind w:left="4536" w:hanging="3402"/>
        <w:jc w:val="left"/>
      </w:pPr>
      <w:r w:rsidRPr="002D1387">
        <w:rPr>
          <w:i/>
          <w:iCs/>
          <w:lang w:val="x-none"/>
        </w:rPr>
        <w:t>Procedural</w:t>
      </w:r>
      <w:r w:rsidRPr="00BF5096">
        <w:rPr>
          <w:i/>
          <w:iCs/>
        </w:rPr>
        <w:t xml:space="preserve"> issues: </w:t>
      </w:r>
      <w:r w:rsidRPr="00BF5096">
        <w:rPr>
          <w:i/>
          <w:iCs/>
        </w:rPr>
        <w:tab/>
      </w:r>
      <w:r w:rsidR="00C25609" w:rsidRPr="00C25609">
        <w:rPr>
          <w:iCs/>
        </w:rPr>
        <w:t>State party’s failure to cooperate; insufficient substantiation of claims; non-exhaustion of domestic remedies</w:t>
      </w:r>
    </w:p>
    <w:p w14:paraId="45F98017" w14:textId="77777777" w:rsidR="002D1387" w:rsidRPr="0059194B" w:rsidRDefault="002D1387" w:rsidP="00045217">
      <w:pPr>
        <w:pStyle w:val="SingleTxtG"/>
        <w:ind w:left="4536" w:hanging="3402"/>
        <w:jc w:val="left"/>
      </w:pPr>
      <w:r w:rsidRPr="002D1387">
        <w:rPr>
          <w:i/>
          <w:iCs/>
          <w:lang w:val="x-none"/>
        </w:rPr>
        <w:t>Substantive</w:t>
      </w:r>
      <w:r w:rsidRPr="00BF5096">
        <w:rPr>
          <w:i/>
          <w:iCs/>
        </w:rPr>
        <w:t xml:space="preserve"> issues: </w:t>
      </w:r>
      <w:r w:rsidRPr="00BF5096">
        <w:rPr>
          <w:i/>
          <w:iCs/>
        </w:rPr>
        <w:tab/>
      </w:r>
      <w:r w:rsidR="00852542" w:rsidRPr="00852542">
        <w:rPr>
          <w:iCs/>
        </w:rPr>
        <w:t xml:space="preserve">Freedom </w:t>
      </w:r>
      <w:r w:rsidR="00421E7D">
        <w:rPr>
          <w:iCs/>
        </w:rPr>
        <w:t>t</w:t>
      </w:r>
      <w:r w:rsidR="00852542" w:rsidRPr="00852542">
        <w:rPr>
          <w:iCs/>
        </w:rPr>
        <w:t>o seek, receive and impart information</w:t>
      </w:r>
      <w:r w:rsidR="0059194B" w:rsidRPr="00852542">
        <w:t>;</w:t>
      </w:r>
      <w:r w:rsidR="0059194B">
        <w:t xml:space="preserve"> protection against </w:t>
      </w:r>
      <w:r w:rsidR="00B66E40" w:rsidRPr="00E7346A">
        <w:t xml:space="preserve">unlawful or arbitrary </w:t>
      </w:r>
      <w:r w:rsidR="0059194B" w:rsidRPr="00E7346A">
        <w:t>interference</w:t>
      </w:r>
      <w:r w:rsidR="00421E7D">
        <w:t xml:space="preserve"> with one’s privacy</w:t>
      </w:r>
    </w:p>
    <w:p w14:paraId="0FB3D989" w14:textId="77777777" w:rsidR="002D1387" w:rsidRPr="00BF5096" w:rsidRDefault="002D1387" w:rsidP="00045217">
      <w:pPr>
        <w:pStyle w:val="SingleTxtG"/>
        <w:ind w:left="4536" w:hanging="3402"/>
        <w:jc w:val="left"/>
      </w:pPr>
      <w:r w:rsidRPr="00BF5096">
        <w:rPr>
          <w:i/>
          <w:iCs/>
        </w:rPr>
        <w:t xml:space="preserve">Articles of </w:t>
      </w:r>
      <w:r w:rsidRPr="002D1387">
        <w:rPr>
          <w:i/>
          <w:iCs/>
          <w:lang w:val="x-none"/>
        </w:rPr>
        <w:t>the</w:t>
      </w:r>
      <w:r w:rsidRPr="00BF5096">
        <w:rPr>
          <w:i/>
          <w:iCs/>
        </w:rPr>
        <w:t xml:space="preserve"> Covenant:</w:t>
      </w:r>
      <w:r w:rsidRPr="00BF5096">
        <w:t xml:space="preserve"> </w:t>
      </w:r>
      <w:r w:rsidRPr="00BF5096">
        <w:tab/>
      </w:r>
      <w:r w:rsidR="00243492">
        <w:t>17</w:t>
      </w:r>
      <w:r w:rsidR="007662A6">
        <w:t xml:space="preserve"> and</w:t>
      </w:r>
      <w:r w:rsidR="00243492">
        <w:t xml:space="preserve"> </w:t>
      </w:r>
      <w:r w:rsidR="00243492" w:rsidRPr="00243492">
        <w:t>19</w:t>
      </w:r>
      <w:r w:rsidR="007662A6">
        <w:t xml:space="preserve"> (</w:t>
      </w:r>
      <w:r w:rsidR="00243492" w:rsidRPr="00243492">
        <w:t>2</w:t>
      </w:r>
      <w:r w:rsidR="007662A6">
        <w:t>)</w:t>
      </w:r>
    </w:p>
    <w:p w14:paraId="01AD14D2" w14:textId="77777777" w:rsidR="002D1387" w:rsidRPr="00EE07B9" w:rsidRDefault="002D1387" w:rsidP="00045217">
      <w:pPr>
        <w:pStyle w:val="SingleTxtG"/>
        <w:ind w:left="4536" w:hanging="3402"/>
        <w:jc w:val="left"/>
      </w:pPr>
      <w:r w:rsidRPr="00BF5096">
        <w:rPr>
          <w:i/>
          <w:iCs/>
        </w:rPr>
        <w:t>Articles</w:t>
      </w:r>
      <w:r>
        <w:rPr>
          <w:i/>
          <w:iCs/>
        </w:rPr>
        <w:t xml:space="preserve"> of the Optional Protocol:</w:t>
      </w:r>
      <w:r>
        <w:rPr>
          <w:i/>
          <w:iCs/>
        </w:rPr>
        <w:tab/>
      </w:r>
      <w:r w:rsidRPr="00500F8C">
        <w:rPr>
          <w:iCs/>
        </w:rPr>
        <w:t xml:space="preserve">2 and </w:t>
      </w:r>
      <w:r w:rsidRPr="00500F8C">
        <w:t>5</w:t>
      </w:r>
      <w:r w:rsidR="007662A6">
        <w:t xml:space="preserve"> (</w:t>
      </w:r>
      <w:r w:rsidRPr="00500F8C">
        <w:t>2</w:t>
      </w:r>
      <w:r w:rsidR="007662A6">
        <w:t>)</w:t>
      </w:r>
      <w:r w:rsidRPr="00500F8C">
        <w:t xml:space="preserve"> (b)</w:t>
      </w:r>
    </w:p>
    <w:p w14:paraId="68046AAB" w14:textId="77777777" w:rsidR="002D1387" w:rsidRPr="009E31DB" w:rsidRDefault="002D1387" w:rsidP="002D1387">
      <w:pPr>
        <w:pStyle w:val="HChG"/>
      </w:pPr>
      <w:r w:rsidRPr="009E31DB">
        <w:br w:type="page"/>
      </w:r>
      <w:r w:rsidRPr="009E31DB">
        <w:lastRenderedPageBreak/>
        <w:t>Annex</w:t>
      </w:r>
    </w:p>
    <w:p w14:paraId="0C7D0CAD" w14:textId="77777777" w:rsidR="002D1387" w:rsidRPr="009E31DB" w:rsidRDefault="002D1387" w:rsidP="007662A6">
      <w:pPr>
        <w:pStyle w:val="HChG"/>
        <w:rPr>
          <w:bCs/>
        </w:rPr>
      </w:pPr>
      <w:r>
        <w:tab/>
      </w:r>
      <w:r>
        <w:tab/>
      </w:r>
      <w:r w:rsidRPr="009E31DB">
        <w:t xml:space="preserve">Views of the Human </w:t>
      </w:r>
      <w:r w:rsidRPr="002D1387">
        <w:t>Rights</w:t>
      </w:r>
      <w:r w:rsidRPr="009E31DB">
        <w:t xml:space="preserve"> Committee under article 5</w:t>
      </w:r>
      <w:r w:rsidR="007662A6">
        <w:t xml:space="preserve"> (</w:t>
      </w:r>
      <w:r w:rsidRPr="009E31DB">
        <w:t>4</w:t>
      </w:r>
      <w:r w:rsidR="007662A6">
        <w:t>)</w:t>
      </w:r>
      <w:r w:rsidRPr="009E31DB">
        <w:t xml:space="preserve"> of the Optional Protocol to the International C</w:t>
      </w:r>
      <w:r>
        <w:t>ovenant on Civil and Political R</w:t>
      </w:r>
      <w:r w:rsidRPr="009E31DB">
        <w:t>ights (</w:t>
      </w:r>
      <w:r>
        <w:t xml:space="preserve">115th </w:t>
      </w:r>
      <w:r w:rsidRPr="009E31DB">
        <w:rPr>
          <w:bCs/>
        </w:rPr>
        <w:t>session)</w:t>
      </w:r>
    </w:p>
    <w:p w14:paraId="345BF834" w14:textId="77777777" w:rsidR="002D1387" w:rsidRPr="009E31DB" w:rsidRDefault="002D1387" w:rsidP="002D1387">
      <w:pPr>
        <w:pStyle w:val="SingleTxtG"/>
        <w:rPr>
          <w:b/>
          <w:bCs/>
        </w:rPr>
      </w:pPr>
      <w:r w:rsidRPr="002D1387">
        <w:t>concerning</w:t>
      </w:r>
    </w:p>
    <w:p w14:paraId="474DB4F0" w14:textId="77777777" w:rsidR="002D1387" w:rsidRPr="009E31DB" w:rsidRDefault="002D1387" w:rsidP="002D1387">
      <w:pPr>
        <w:pStyle w:val="H1G"/>
      </w:pPr>
      <w:r>
        <w:tab/>
      </w:r>
      <w:r>
        <w:tab/>
      </w:r>
      <w:r w:rsidRPr="002D1387">
        <w:t>Communication</w:t>
      </w:r>
      <w:r w:rsidRPr="009E31DB">
        <w:t xml:space="preserve"> No. </w:t>
      </w:r>
      <w:r w:rsidR="004B2B00">
        <w:t>1996/2010</w:t>
      </w:r>
      <w:r w:rsidR="00671544" w:rsidRPr="00045217">
        <w:rPr>
          <w:rStyle w:val="FootnoteReference"/>
          <w:b w:val="0"/>
          <w:bCs/>
          <w:sz w:val="20"/>
          <w:vertAlign w:val="baseline"/>
        </w:rPr>
        <w:footnoteReference w:customMarkFollows="1" w:id="2"/>
        <w:t>*</w:t>
      </w:r>
    </w:p>
    <w:p w14:paraId="0B23310F" w14:textId="77777777" w:rsidR="002D1387" w:rsidRDefault="002D1387" w:rsidP="002D1387">
      <w:pPr>
        <w:pStyle w:val="SingleTxtG"/>
        <w:ind w:left="4536" w:hanging="3402"/>
      </w:pPr>
      <w:r w:rsidRPr="002D1387">
        <w:rPr>
          <w:i/>
          <w:iCs/>
        </w:rPr>
        <w:t>Submitted</w:t>
      </w:r>
      <w:r w:rsidRPr="009707F5">
        <w:rPr>
          <w:i/>
        </w:rPr>
        <w:t xml:space="preserve"> by:</w:t>
      </w:r>
      <w:r w:rsidRPr="009E31DB">
        <w:tab/>
      </w:r>
      <w:r>
        <w:tab/>
      </w:r>
      <w:r w:rsidR="004B2B00">
        <w:t>Ivan Kruk</w:t>
      </w:r>
      <w:r w:rsidRPr="00E76216">
        <w:t xml:space="preserve"> (</w:t>
      </w:r>
      <w:r>
        <w:t xml:space="preserve">not </w:t>
      </w:r>
      <w:r w:rsidRPr="00E76216">
        <w:t>represented by counsel)</w:t>
      </w:r>
    </w:p>
    <w:p w14:paraId="601DC611" w14:textId="77777777" w:rsidR="002D1387" w:rsidRPr="009E31DB" w:rsidRDefault="002D1387" w:rsidP="002D1387">
      <w:pPr>
        <w:pStyle w:val="SingleTxtG"/>
        <w:ind w:left="4536" w:hanging="3402"/>
      </w:pPr>
      <w:r w:rsidRPr="002D1387">
        <w:rPr>
          <w:i/>
          <w:iCs/>
        </w:rPr>
        <w:t>Alleged</w:t>
      </w:r>
      <w:r w:rsidRPr="009707F5">
        <w:rPr>
          <w:i/>
        </w:rPr>
        <w:t xml:space="preserve"> victim</w:t>
      </w:r>
      <w:r>
        <w:rPr>
          <w:i/>
        </w:rPr>
        <w:t>s</w:t>
      </w:r>
      <w:r w:rsidRPr="009707F5">
        <w:rPr>
          <w:i/>
        </w:rPr>
        <w:t>:</w:t>
      </w:r>
      <w:r w:rsidRPr="009E31DB">
        <w:tab/>
      </w:r>
      <w:r w:rsidR="00D808F2">
        <w:t>T</w:t>
      </w:r>
      <w:r w:rsidRPr="009E31DB">
        <w:t>he author</w:t>
      </w:r>
    </w:p>
    <w:p w14:paraId="71446E29" w14:textId="77777777" w:rsidR="002D1387" w:rsidRPr="009E31DB" w:rsidRDefault="002D1387" w:rsidP="002D1387">
      <w:pPr>
        <w:pStyle w:val="SingleTxtG"/>
        <w:ind w:left="4536" w:hanging="3402"/>
      </w:pPr>
      <w:r w:rsidRPr="002D1387">
        <w:rPr>
          <w:i/>
          <w:iCs/>
        </w:rPr>
        <w:t>State</w:t>
      </w:r>
      <w:r w:rsidRPr="009707F5">
        <w:rPr>
          <w:i/>
        </w:rPr>
        <w:t xml:space="preserve"> party:</w:t>
      </w:r>
      <w:r w:rsidRPr="009E31DB">
        <w:tab/>
      </w:r>
      <w:r>
        <w:tab/>
        <w:t>Belarus</w:t>
      </w:r>
    </w:p>
    <w:p w14:paraId="694321FD" w14:textId="77777777" w:rsidR="002D1387" w:rsidRPr="009E31DB" w:rsidRDefault="002D1387" w:rsidP="002D1387">
      <w:pPr>
        <w:pStyle w:val="SingleTxtG"/>
        <w:ind w:left="4536" w:hanging="3402"/>
      </w:pPr>
      <w:r w:rsidRPr="009707F5">
        <w:rPr>
          <w:i/>
        </w:rPr>
        <w:t>Date of communication:</w:t>
      </w:r>
      <w:r w:rsidRPr="009E31DB">
        <w:tab/>
      </w:r>
      <w:r w:rsidR="004B2B00">
        <w:t>23 December 2009</w:t>
      </w:r>
      <w:r w:rsidRPr="009E31DB">
        <w:t xml:space="preserve"> </w:t>
      </w:r>
      <w:r w:rsidRPr="00E76216">
        <w:t>(initial submission)</w:t>
      </w:r>
    </w:p>
    <w:p w14:paraId="4F7BD3EE" w14:textId="77777777" w:rsidR="002D1387" w:rsidRPr="009E31DB" w:rsidRDefault="002D1387" w:rsidP="002D1387">
      <w:pPr>
        <w:pStyle w:val="SingleTxtG"/>
      </w:pPr>
      <w:r w:rsidRPr="009E31DB">
        <w:tab/>
      </w:r>
      <w:r w:rsidRPr="009707F5">
        <w:rPr>
          <w:i/>
        </w:rPr>
        <w:t>The Human Rights Committee</w:t>
      </w:r>
      <w:r w:rsidRPr="009E31DB">
        <w:t xml:space="preserve">, established under article 28 of the International Covenant on Civil and Political Rights, </w:t>
      </w:r>
    </w:p>
    <w:p w14:paraId="5C7E3650" w14:textId="77777777" w:rsidR="002D1387" w:rsidRPr="009E31DB" w:rsidRDefault="002D1387" w:rsidP="002D1387">
      <w:pPr>
        <w:pStyle w:val="SingleTxtG"/>
      </w:pPr>
      <w:r w:rsidRPr="009E31DB">
        <w:tab/>
      </w:r>
      <w:r w:rsidRPr="009707F5">
        <w:rPr>
          <w:i/>
        </w:rPr>
        <w:t>Meeting on</w:t>
      </w:r>
      <w:r w:rsidRPr="009E31DB">
        <w:t xml:space="preserve"> </w:t>
      </w:r>
      <w:r w:rsidR="00671544">
        <w:t>29</w:t>
      </w:r>
      <w:r w:rsidR="00671544" w:rsidRPr="009E31DB">
        <w:t xml:space="preserve"> </w:t>
      </w:r>
      <w:r>
        <w:t>October</w:t>
      </w:r>
      <w:r w:rsidRPr="009E31DB">
        <w:t xml:space="preserve"> 201</w:t>
      </w:r>
      <w:r>
        <w:t>5</w:t>
      </w:r>
      <w:r w:rsidRPr="009E31DB">
        <w:t>,</w:t>
      </w:r>
    </w:p>
    <w:p w14:paraId="70F687A2" w14:textId="77777777" w:rsidR="002D1387" w:rsidRPr="009E31DB" w:rsidRDefault="002D1387" w:rsidP="002A4347">
      <w:pPr>
        <w:pStyle w:val="SingleTxtG"/>
      </w:pPr>
      <w:r w:rsidRPr="009E31DB">
        <w:tab/>
      </w:r>
      <w:r w:rsidRPr="009707F5">
        <w:rPr>
          <w:i/>
        </w:rPr>
        <w:t>Having concluded</w:t>
      </w:r>
      <w:r w:rsidRPr="009E31DB">
        <w:t xml:space="preserve"> its consideration of communication No. </w:t>
      </w:r>
      <w:r w:rsidR="00DB0F3F">
        <w:t>1996/2010</w:t>
      </w:r>
      <w:r w:rsidRPr="009E31DB">
        <w:t xml:space="preserve">, submitted to </w:t>
      </w:r>
      <w:r w:rsidR="002A4347">
        <w:t>it</w:t>
      </w:r>
      <w:r w:rsidR="00DB0F3F">
        <w:t xml:space="preserve"> by Ivan Kruk</w:t>
      </w:r>
      <w:r w:rsidRPr="007C6CD3">
        <w:t xml:space="preserve"> </w:t>
      </w:r>
      <w:r w:rsidRPr="009E31DB">
        <w:t>under the Optional Protocol to the International Covenant on Civil and Political Rights,</w:t>
      </w:r>
    </w:p>
    <w:p w14:paraId="3CBE3342" w14:textId="77777777" w:rsidR="002D1387" w:rsidRPr="009E31DB" w:rsidRDefault="002D1387" w:rsidP="002D1387">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14:paraId="67C149E9" w14:textId="77777777" w:rsidR="002D1387" w:rsidRPr="009E31DB" w:rsidRDefault="002D1387" w:rsidP="002D1387">
      <w:pPr>
        <w:pStyle w:val="SingleTxtG"/>
      </w:pPr>
      <w:r w:rsidRPr="009E31DB">
        <w:tab/>
      </w:r>
      <w:r w:rsidRPr="002D1387">
        <w:rPr>
          <w:i/>
        </w:rPr>
        <w:t xml:space="preserve">Adopts </w:t>
      </w:r>
      <w:r w:rsidRPr="00045217">
        <w:rPr>
          <w:iCs/>
        </w:rPr>
        <w:t>the following</w:t>
      </w:r>
      <w:r w:rsidRPr="009E31DB">
        <w:t>:</w:t>
      </w:r>
    </w:p>
    <w:p w14:paraId="7D3D4ECD" w14:textId="77777777" w:rsidR="002D1387" w:rsidRPr="009E31DB" w:rsidRDefault="002D1387" w:rsidP="007662A6">
      <w:pPr>
        <w:pStyle w:val="H1G"/>
      </w:pPr>
      <w:r>
        <w:tab/>
      </w:r>
      <w:r>
        <w:tab/>
      </w:r>
      <w:r w:rsidRPr="009E31DB">
        <w:t>Views under article 5</w:t>
      </w:r>
      <w:r w:rsidR="007662A6">
        <w:t xml:space="preserve"> (</w:t>
      </w:r>
      <w:r w:rsidRPr="009E31DB">
        <w:t>4</w:t>
      </w:r>
      <w:r w:rsidR="007662A6">
        <w:t>)</w:t>
      </w:r>
      <w:r w:rsidRPr="009E31DB">
        <w:t xml:space="preserve"> of the Optional Protocol</w:t>
      </w:r>
    </w:p>
    <w:p w14:paraId="3405028A" w14:textId="77777777" w:rsidR="002D1387" w:rsidRPr="008F761B" w:rsidRDefault="00730F4D" w:rsidP="002A4347">
      <w:pPr>
        <w:pStyle w:val="SingleTxtG"/>
      </w:pPr>
      <w:r>
        <w:t>1.</w:t>
      </w:r>
      <w:r w:rsidR="002D1387">
        <w:tab/>
      </w:r>
      <w:r w:rsidR="002D1387" w:rsidRPr="00822BA7">
        <w:t>The author</w:t>
      </w:r>
      <w:r w:rsidR="00716D7B">
        <w:t xml:space="preserve"> is Ivan Kruk, </w:t>
      </w:r>
      <w:r w:rsidR="00971116">
        <w:t xml:space="preserve">a </w:t>
      </w:r>
      <w:r w:rsidR="00A81BF7">
        <w:t>Belarusian national</w:t>
      </w:r>
      <w:r w:rsidR="00716D7B" w:rsidRPr="00716D7B">
        <w:t xml:space="preserve"> born in </w:t>
      </w:r>
      <w:r w:rsidR="00A81BF7">
        <w:t>1944</w:t>
      </w:r>
      <w:r w:rsidR="002D1387" w:rsidRPr="00822BA7">
        <w:t xml:space="preserve">. </w:t>
      </w:r>
      <w:r w:rsidR="00A81BF7" w:rsidRPr="00A81BF7">
        <w:t xml:space="preserve">He claims to be a victim of violations by Belarus of his rights under articles </w:t>
      </w:r>
      <w:r w:rsidR="00FA0F0A">
        <w:t>17 and 19</w:t>
      </w:r>
      <w:r w:rsidR="007662A6">
        <w:t xml:space="preserve"> (</w:t>
      </w:r>
      <w:r w:rsidR="00FA0F0A">
        <w:t>2</w:t>
      </w:r>
      <w:r w:rsidR="007662A6">
        <w:t>)</w:t>
      </w:r>
      <w:r w:rsidR="00FA0F0A">
        <w:t xml:space="preserve"> </w:t>
      </w:r>
      <w:r w:rsidR="00A81BF7" w:rsidRPr="00A81BF7">
        <w:t xml:space="preserve">of the Covenant. The Optional Protocol entered into force for </w:t>
      </w:r>
      <w:r w:rsidR="00A81BF7">
        <w:t>the State party</w:t>
      </w:r>
      <w:r w:rsidR="00A81BF7" w:rsidRPr="00A81BF7">
        <w:t xml:space="preserve"> on 30 December 1992. The a</w:t>
      </w:r>
      <w:r w:rsidR="00A81BF7">
        <w:t>uthor is not represented</w:t>
      </w:r>
      <w:r w:rsidR="002D1387" w:rsidRPr="00AE65AB">
        <w:t>.</w:t>
      </w:r>
      <w:r w:rsidR="002D1387" w:rsidRPr="00822BA7">
        <w:t xml:space="preserve"> </w:t>
      </w:r>
    </w:p>
    <w:p w14:paraId="3F3F298C" w14:textId="77777777" w:rsidR="002D1387" w:rsidRPr="009E31DB" w:rsidRDefault="002D1387" w:rsidP="002D1387">
      <w:pPr>
        <w:pStyle w:val="H23G"/>
      </w:pPr>
      <w:r>
        <w:tab/>
      </w:r>
      <w:r>
        <w:tab/>
      </w:r>
      <w:r w:rsidRPr="009E31DB">
        <w:t xml:space="preserve">The facts </w:t>
      </w:r>
      <w:r w:rsidRPr="00E91B12">
        <w:t xml:space="preserve">as </w:t>
      </w:r>
      <w:r w:rsidR="00E91B12" w:rsidRPr="00E91B12">
        <w:t>submitted</w:t>
      </w:r>
      <w:r w:rsidRPr="00E91B12">
        <w:t xml:space="preserve"> by the </w:t>
      </w:r>
      <w:r w:rsidR="00D67C61" w:rsidRPr="00E91B12">
        <w:t>author</w:t>
      </w:r>
    </w:p>
    <w:p w14:paraId="7529A949" w14:textId="77777777" w:rsidR="00573E8D" w:rsidRPr="00573E8D" w:rsidRDefault="00730F4D" w:rsidP="00E810E4">
      <w:pPr>
        <w:pStyle w:val="SingleTxtG"/>
      </w:pPr>
      <w:r>
        <w:t>2.1</w:t>
      </w:r>
      <w:r w:rsidR="006F4A6C">
        <w:tab/>
      </w:r>
      <w:r w:rsidR="00573E8D" w:rsidRPr="00573E8D">
        <w:t xml:space="preserve">On 26 April 2009, </w:t>
      </w:r>
      <w:r w:rsidR="00573E8D" w:rsidRPr="00685EFD">
        <w:t xml:space="preserve">the author </w:t>
      </w:r>
      <w:r w:rsidR="001858A9">
        <w:t xml:space="preserve">lent </w:t>
      </w:r>
      <w:r w:rsidR="006A0BEC" w:rsidRPr="00685EFD">
        <w:t>his</w:t>
      </w:r>
      <w:r w:rsidR="00573E8D" w:rsidRPr="00573E8D">
        <w:t xml:space="preserve"> </w:t>
      </w:r>
      <w:r w:rsidR="007501CA" w:rsidRPr="00573E8D">
        <w:t>neighbour</w:t>
      </w:r>
      <w:r w:rsidR="005A1BAB">
        <w:t xml:space="preserve"> the </w:t>
      </w:r>
      <w:r w:rsidR="007171F8">
        <w:t xml:space="preserve">newspapers </w:t>
      </w:r>
      <w:r w:rsidR="007171F8" w:rsidRPr="00045217">
        <w:rPr>
          <w:i/>
          <w:iCs/>
        </w:rPr>
        <w:t>Astravetsky</w:t>
      </w:r>
      <w:r w:rsidR="007B02AB" w:rsidRPr="00045217">
        <w:rPr>
          <w:i/>
          <w:iCs/>
        </w:rPr>
        <w:t xml:space="preserve"> vesnik</w:t>
      </w:r>
      <w:r w:rsidR="007B02AB">
        <w:t xml:space="preserve"> </w:t>
      </w:r>
      <w:r w:rsidR="00573E8D" w:rsidRPr="00573E8D">
        <w:t>(Bulletin of Astravetsk)</w:t>
      </w:r>
      <w:r w:rsidR="00E90163">
        <w:t xml:space="preserve"> Nos. 1 and 2</w:t>
      </w:r>
      <w:r w:rsidR="007B02AB">
        <w:t xml:space="preserve">, </w:t>
      </w:r>
      <w:r w:rsidR="007B02AB" w:rsidRPr="00045217">
        <w:rPr>
          <w:i/>
          <w:iCs/>
        </w:rPr>
        <w:t>Mirny atam</w:t>
      </w:r>
      <w:r w:rsidR="007B02AB">
        <w:t xml:space="preserve"> (Peaceful Atom), </w:t>
      </w:r>
      <w:r w:rsidR="00573E8D" w:rsidRPr="00045217">
        <w:rPr>
          <w:i/>
          <w:iCs/>
        </w:rPr>
        <w:t>Glotok vozd</w:t>
      </w:r>
      <w:r w:rsidR="007171F8" w:rsidRPr="00045217">
        <w:rPr>
          <w:i/>
          <w:iCs/>
        </w:rPr>
        <w:t>ukha</w:t>
      </w:r>
      <w:r w:rsidR="007171F8">
        <w:t xml:space="preserve"> (Breath of Air) and </w:t>
      </w:r>
      <w:r w:rsidR="007171F8" w:rsidRPr="00045217">
        <w:rPr>
          <w:i/>
          <w:iCs/>
        </w:rPr>
        <w:t>Novy</w:t>
      </w:r>
      <w:r w:rsidR="00573E8D" w:rsidRPr="00045217">
        <w:rPr>
          <w:i/>
          <w:iCs/>
        </w:rPr>
        <w:t xml:space="preserve"> chas</w:t>
      </w:r>
      <w:r w:rsidR="00573E8D" w:rsidRPr="00573E8D">
        <w:t xml:space="preserve"> (New Hour). </w:t>
      </w:r>
      <w:r w:rsidR="001F4B44">
        <w:t>Later on, t</w:t>
      </w:r>
      <w:r w:rsidR="00DE247C">
        <w:t xml:space="preserve">he author’s neighbour </w:t>
      </w:r>
      <w:r w:rsidR="00573E8D" w:rsidRPr="00573E8D">
        <w:t>was apprehended by the police</w:t>
      </w:r>
      <w:r w:rsidR="007662A6">
        <w:t>,</w:t>
      </w:r>
      <w:r w:rsidR="00573E8D" w:rsidRPr="00573E8D">
        <w:t xml:space="preserve"> </w:t>
      </w:r>
      <w:r w:rsidR="008841D3">
        <w:t xml:space="preserve">who confiscated </w:t>
      </w:r>
      <w:r w:rsidR="00A814E3">
        <w:t>the newspapers</w:t>
      </w:r>
      <w:r w:rsidR="008841D3">
        <w:t xml:space="preserve">. The neighbour </w:t>
      </w:r>
      <w:r w:rsidR="00573E8D" w:rsidRPr="00573E8D">
        <w:t xml:space="preserve">explained that </w:t>
      </w:r>
      <w:r w:rsidR="00844D2A">
        <w:t xml:space="preserve">he had received the </w:t>
      </w:r>
      <w:r w:rsidR="00573E8D" w:rsidRPr="00573E8D">
        <w:t xml:space="preserve">newspapers </w:t>
      </w:r>
      <w:r w:rsidR="00AC37C5">
        <w:t>in question</w:t>
      </w:r>
      <w:r w:rsidR="00844D2A">
        <w:t xml:space="preserve"> from the author</w:t>
      </w:r>
      <w:r w:rsidR="00573E8D" w:rsidRPr="00573E8D">
        <w:t xml:space="preserve">. </w:t>
      </w:r>
    </w:p>
    <w:p w14:paraId="5A505605" w14:textId="77777777" w:rsidR="001D0DDC" w:rsidRDefault="00730F4D" w:rsidP="002A4347">
      <w:pPr>
        <w:pStyle w:val="SingleTxtG"/>
        <w:rPr>
          <w:lang w:val="en-US"/>
        </w:rPr>
      </w:pPr>
      <w:r>
        <w:lastRenderedPageBreak/>
        <w:t>2.2</w:t>
      </w:r>
      <w:r w:rsidR="006F4A6C">
        <w:tab/>
      </w:r>
      <w:r w:rsidR="00573E8D" w:rsidRPr="00F3056A">
        <w:t xml:space="preserve">On 12 June 2009, the author was summoned to the </w:t>
      </w:r>
      <w:r w:rsidR="00565AF1" w:rsidRPr="00F3056A">
        <w:t xml:space="preserve">Ministry of </w:t>
      </w:r>
      <w:r w:rsidR="00573E8D" w:rsidRPr="00F3056A">
        <w:t>Information</w:t>
      </w:r>
      <w:r w:rsidR="004E22C5" w:rsidRPr="00F3056A">
        <w:t>, and an official of the Ministry issued a report charging him</w:t>
      </w:r>
      <w:r w:rsidR="0073531A" w:rsidRPr="00F3056A">
        <w:t xml:space="preserve"> with an administrative offence</w:t>
      </w:r>
      <w:r w:rsidR="00573E8D" w:rsidRPr="00F3056A">
        <w:rPr>
          <w:lang w:val="en-US"/>
        </w:rPr>
        <w:t xml:space="preserve"> under </w:t>
      </w:r>
      <w:r w:rsidR="00573E8D" w:rsidRPr="008928B6">
        <w:rPr>
          <w:lang w:val="en-US"/>
        </w:rPr>
        <w:t>article 22.9</w:t>
      </w:r>
      <w:r w:rsidR="008928B6">
        <w:rPr>
          <w:lang w:val="en-US"/>
        </w:rPr>
        <w:t>, paragraph 2</w:t>
      </w:r>
      <w:r w:rsidR="00B564F1" w:rsidRPr="008928B6">
        <w:rPr>
          <w:lang w:val="en-US"/>
        </w:rPr>
        <w:t xml:space="preserve"> (</w:t>
      </w:r>
      <w:r w:rsidR="00DD5CBE" w:rsidRPr="008928B6">
        <w:rPr>
          <w:lang w:val="en-US"/>
        </w:rPr>
        <w:t xml:space="preserve">Violation of </w:t>
      </w:r>
      <w:r w:rsidR="002A4347">
        <w:rPr>
          <w:lang w:val="en-US"/>
        </w:rPr>
        <w:t>the L</w:t>
      </w:r>
      <w:r w:rsidR="008928B6">
        <w:rPr>
          <w:lang w:val="en-US"/>
        </w:rPr>
        <w:t>aw</w:t>
      </w:r>
      <w:r w:rsidR="00DD5CBE" w:rsidRPr="008928B6">
        <w:rPr>
          <w:lang w:val="en-US"/>
        </w:rPr>
        <w:t xml:space="preserve"> on </w:t>
      </w:r>
      <w:r w:rsidR="002A4347">
        <w:rPr>
          <w:lang w:val="en-US"/>
        </w:rPr>
        <w:t>M</w:t>
      </w:r>
      <w:r w:rsidR="00DD5CBE" w:rsidRPr="008928B6">
        <w:rPr>
          <w:lang w:val="en-US"/>
        </w:rPr>
        <w:t xml:space="preserve">ass </w:t>
      </w:r>
      <w:r w:rsidR="002A4347">
        <w:rPr>
          <w:lang w:val="en-US"/>
        </w:rPr>
        <w:t>M</w:t>
      </w:r>
      <w:r w:rsidR="00DD5CBE" w:rsidRPr="008928B6">
        <w:rPr>
          <w:lang w:val="en-US"/>
        </w:rPr>
        <w:t>edia</w:t>
      </w:r>
      <w:r w:rsidR="00B564F1" w:rsidRPr="008928B6">
        <w:rPr>
          <w:lang w:val="en-US"/>
        </w:rPr>
        <w:t>)</w:t>
      </w:r>
      <w:r w:rsidR="008928B6">
        <w:rPr>
          <w:lang w:val="en-US"/>
        </w:rPr>
        <w:t>,</w:t>
      </w:r>
      <w:r w:rsidR="00F3056A" w:rsidRPr="008928B6">
        <w:rPr>
          <w:lang w:val="en-US"/>
        </w:rPr>
        <w:t xml:space="preserve"> </w:t>
      </w:r>
      <w:r w:rsidR="00573E8D" w:rsidRPr="008928B6">
        <w:rPr>
          <w:lang w:val="en-US"/>
        </w:rPr>
        <w:t>of the Code of Administrative Offences</w:t>
      </w:r>
      <w:r w:rsidR="00217AC5">
        <w:rPr>
          <w:lang w:val="en-US"/>
        </w:rPr>
        <w:t>.</w:t>
      </w:r>
      <w:r w:rsidR="00217AC5" w:rsidRPr="00573E8D">
        <w:rPr>
          <w:lang w:val="en-US"/>
        </w:rPr>
        <w:t xml:space="preserve"> </w:t>
      </w:r>
      <w:r w:rsidR="00047710">
        <w:rPr>
          <w:lang w:val="en-US"/>
        </w:rPr>
        <w:t xml:space="preserve">The author challenged the legality of the report and </w:t>
      </w:r>
      <w:r w:rsidR="00DB4D20">
        <w:rPr>
          <w:lang w:val="en-US"/>
        </w:rPr>
        <w:t>claimed</w:t>
      </w:r>
      <w:r w:rsidR="00573E8D" w:rsidRPr="00573E8D">
        <w:rPr>
          <w:lang w:val="en-US"/>
        </w:rPr>
        <w:t xml:space="preserve"> that he </w:t>
      </w:r>
      <w:r w:rsidR="00B84C01">
        <w:rPr>
          <w:lang w:val="en-US"/>
        </w:rPr>
        <w:t>had given</w:t>
      </w:r>
      <w:r w:rsidR="00573E8D" w:rsidRPr="00573E8D">
        <w:rPr>
          <w:lang w:val="en-US"/>
        </w:rPr>
        <w:t xml:space="preserve"> the newspapers to his </w:t>
      </w:r>
      <w:r w:rsidR="00E43570" w:rsidRPr="00573E8D">
        <w:rPr>
          <w:lang w:val="en-US"/>
        </w:rPr>
        <w:t>neighbo</w:t>
      </w:r>
      <w:r w:rsidR="001924C4">
        <w:rPr>
          <w:lang w:val="en-US"/>
        </w:rPr>
        <w:t>u</w:t>
      </w:r>
      <w:r w:rsidR="00E43570">
        <w:rPr>
          <w:lang w:val="en-US"/>
        </w:rPr>
        <w:t>r</w:t>
      </w:r>
      <w:r w:rsidR="00573E8D" w:rsidRPr="00573E8D">
        <w:rPr>
          <w:lang w:val="en-US"/>
        </w:rPr>
        <w:t xml:space="preserve"> </w:t>
      </w:r>
      <w:r w:rsidR="00DD686B">
        <w:rPr>
          <w:lang w:val="en-US"/>
        </w:rPr>
        <w:t xml:space="preserve">to check </w:t>
      </w:r>
      <w:r w:rsidR="00573E8D" w:rsidRPr="00573E8D">
        <w:rPr>
          <w:lang w:val="en-US"/>
        </w:rPr>
        <w:t xml:space="preserve">whether </w:t>
      </w:r>
      <w:r w:rsidR="00920123" w:rsidRPr="00920123">
        <w:rPr>
          <w:lang w:val="en-US"/>
        </w:rPr>
        <w:t xml:space="preserve">intelligence agencies or law enforcement bodies </w:t>
      </w:r>
      <w:r w:rsidR="00904E7A">
        <w:rPr>
          <w:lang w:val="en-US"/>
        </w:rPr>
        <w:t>were</w:t>
      </w:r>
      <w:r w:rsidR="00920123">
        <w:rPr>
          <w:lang w:val="en-US"/>
        </w:rPr>
        <w:t xml:space="preserve"> carrying out any </w:t>
      </w:r>
      <w:r w:rsidR="00573E8D" w:rsidRPr="00573E8D">
        <w:rPr>
          <w:lang w:val="en-US"/>
        </w:rPr>
        <w:t xml:space="preserve">operative </w:t>
      </w:r>
      <w:r w:rsidR="0032675A">
        <w:rPr>
          <w:lang w:val="en-US"/>
        </w:rPr>
        <w:t xml:space="preserve">investigation </w:t>
      </w:r>
      <w:r w:rsidR="00BF5F30">
        <w:rPr>
          <w:lang w:val="en-US"/>
        </w:rPr>
        <w:t>measures</w:t>
      </w:r>
      <w:r w:rsidR="0032675A">
        <w:rPr>
          <w:lang w:val="en-US"/>
        </w:rPr>
        <w:t xml:space="preserve"> </w:t>
      </w:r>
      <w:r w:rsidR="007662A6">
        <w:rPr>
          <w:lang w:val="en-US"/>
        </w:rPr>
        <w:t>on</w:t>
      </w:r>
      <w:r w:rsidR="0032675A">
        <w:rPr>
          <w:lang w:val="en-US"/>
        </w:rPr>
        <w:t xml:space="preserve"> him</w:t>
      </w:r>
      <w:r w:rsidR="00DB4D20">
        <w:rPr>
          <w:lang w:val="en-US"/>
        </w:rPr>
        <w:t xml:space="preserve"> since</w:t>
      </w:r>
      <w:r w:rsidR="00437428">
        <w:rPr>
          <w:lang w:val="en-US"/>
        </w:rPr>
        <w:t xml:space="preserve">, on 30 March 2009, </w:t>
      </w:r>
      <w:r w:rsidR="00437428" w:rsidRPr="00437428">
        <w:rPr>
          <w:lang w:val="en-US"/>
        </w:rPr>
        <w:t>in reply to his w</w:t>
      </w:r>
      <w:r w:rsidR="00437428">
        <w:rPr>
          <w:lang w:val="en-US"/>
        </w:rPr>
        <w:t>ritten request for information</w:t>
      </w:r>
      <w:r w:rsidR="004B2CFA">
        <w:rPr>
          <w:lang w:val="en-US"/>
        </w:rPr>
        <w:t xml:space="preserve">, </w:t>
      </w:r>
      <w:r w:rsidR="004B2CFA" w:rsidRPr="004B2CFA">
        <w:rPr>
          <w:lang w:val="en-US"/>
        </w:rPr>
        <w:t>the State Security Committee</w:t>
      </w:r>
      <w:r w:rsidR="00437428">
        <w:rPr>
          <w:lang w:val="en-US"/>
        </w:rPr>
        <w:t xml:space="preserve"> </w:t>
      </w:r>
      <w:r w:rsidR="003A03A5" w:rsidRPr="003A03A5">
        <w:rPr>
          <w:lang w:val="en-US"/>
        </w:rPr>
        <w:t>h</w:t>
      </w:r>
      <w:r w:rsidR="00A31E91">
        <w:rPr>
          <w:lang w:val="en-US"/>
        </w:rPr>
        <w:t>ad informed</w:t>
      </w:r>
      <w:r w:rsidR="003A03A5" w:rsidRPr="003A03A5">
        <w:rPr>
          <w:lang w:val="en-US"/>
        </w:rPr>
        <w:t xml:space="preserve"> </w:t>
      </w:r>
      <w:r w:rsidR="007662A6">
        <w:rPr>
          <w:lang w:val="en-US"/>
        </w:rPr>
        <w:t xml:space="preserve">him </w:t>
      </w:r>
      <w:r w:rsidR="004376B3">
        <w:rPr>
          <w:lang w:val="en-US"/>
        </w:rPr>
        <w:t>that he had never been subject to</w:t>
      </w:r>
      <w:r w:rsidR="003A03A5" w:rsidRPr="003A03A5">
        <w:rPr>
          <w:lang w:val="en-US"/>
        </w:rPr>
        <w:t xml:space="preserve"> any operative investigation measures, including </w:t>
      </w:r>
      <w:r w:rsidR="004376B3">
        <w:rPr>
          <w:lang w:val="en-US"/>
        </w:rPr>
        <w:t>telephone</w:t>
      </w:r>
      <w:r w:rsidR="007662A6">
        <w:rPr>
          <w:lang w:val="en-US"/>
        </w:rPr>
        <w:t xml:space="preserve"> </w:t>
      </w:r>
      <w:r w:rsidR="003A03A5" w:rsidRPr="003A03A5">
        <w:rPr>
          <w:lang w:val="en-US"/>
        </w:rPr>
        <w:t xml:space="preserve">tapping, on the part of State security agencies. The author </w:t>
      </w:r>
      <w:r w:rsidR="00897233">
        <w:rPr>
          <w:lang w:val="en-US"/>
        </w:rPr>
        <w:t>claimed</w:t>
      </w:r>
      <w:r w:rsidR="003A03A5" w:rsidRPr="003A03A5">
        <w:rPr>
          <w:lang w:val="en-US"/>
        </w:rPr>
        <w:t xml:space="preserve"> that the </w:t>
      </w:r>
      <w:r w:rsidR="00D80F06" w:rsidRPr="00D80F06">
        <w:rPr>
          <w:lang w:val="en-US"/>
        </w:rPr>
        <w:t>drawing up of the administrative report confirm</w:t>
      </w:r>
      <w:r w:rsidR="007662A6">
        <w:rPr>
          <w:lang w:val="en-US"/>
        </w:rPr>
        <w:t>ed</w:t>
      </w:r>
      <w:r w:rsidR="00D80F06" w:rsidRPr="00D80F06">
        <w:rPr>
          <w:lang w:val="en-US"/>
        </w:rPr>
        <w:t xml:space="preserve"> </w:t>
      </w:r>
      <w:r w:rsidR="003A03A5" w:rsidRPr="003A03A5">
        <w:rPr>
          <w:lang w:val="en-US"/>
        </w:rPr>
        <w:t>that</w:t>
      </w:r>
      <w:r w:rsidR="007B3F81">
        <w:rPr>
          <w:lang w:val="en-US"/>
        </w:rPr>
        <w:t xml:space="preserve"> </w:t>
      </w:r>
      <w:r w:rsidR="003A03A5" w:rsidRPr="003A03A5">
        <w:rPr>
          <w:lang w:val="en-US"/>
        </w:rPr>
        <w:t>politically</w:t>
      </w:r>
      <w:r w:rsidR="00020713">
        <w:rPr>
          <w:lang w:val="en-US"/>
        </w:rPr>
        <w:t xml:space="preserve"> </w:t>
      </w:r>
      <w:r w:rsidR="003A03A5" w:rsidRPr="003A03A5">
        <w:rPr>
          <w:lang w:val="en-US"/>
        </w:rPr>
        <w:t xml:space="preserve">motivated surveillance </w:t>
      </w:r>
      <w:r w:rsidR="004B2CFA">
        <w:rPr>
          <w:lang w:val="en-US"/>
        </w:rPr>
        <w:t>was being</w:t>
      </w:r>
      <w:r w:rsidR="003A03A5" w:rsidRPr="003A03A5">
        <w:rPr>
          <w:lang w:val="en-US"/>
        </w:rPr>
        <w:t xml:space="preserve"> carried out </w:t>
      </w:r>
      <w:r w:rsidR="007662A6">
        <w:rPr>
          <w:lang w:val="en-US"/>
        </w:rPr>
        <w:t>on</w:t>
      </w:r>
      <w:r w:rsidR="007B3F81">
        <w:rPr>
          <w:lang w:val="en-US"/>
        </w:rPr>
        <w:t xml:space="preserve"> him </w:t>
      </w:r>
      <w:r w:rsidR="003A03A5" w:rsidRPr="003A03A5">
        <w:rPr>
          <w:lang w:val="en-US"/>
        </w:rPr>
        <w:t xml:space="preserve">by intelligence agencies and law enforcement bodies of Ostrovetsk </w:t>
      </w:r>
      <w:r w:rsidR="002530FD">
        <w:rPr>
          <w:lang w:val="en-US"/>
        </w:rPr>
        <w:t>D</w:t>
      </w:r>
      <w:r w:rsidR="003A03A5" w:rsidRPr="003A03A5">
        <w:rPr>
          <w:lang w:val="en-US"/>
        </w:rPr>
        <w:t xml:space="preserve">istrict because of his </w:t>
      </w:r>
      <w:r w:rsidR="006F79C8">
        <w:rPr>
          <w:lang w:val="en-US"/>
        </w:rPr>
        <w:t>public stand</w:t>
      </w:r>
      <w:r w:rsidR="003A03A5" w:rsidRPr="003A03A5">
        <w:rPr>
          <w:lang w:val="en-US"/>
        </w:rPr>
        <w:t xml:space="preserve"> against corruption and other abuses on the part of officials of Ostrovetsk </w:t>
      </w:r>
      <w:r w:rsidR="002530FD">
        <w:rPr>
          <w:lang w:val="en-US"/>
        </w:rPr>
        <w:t>D</w:t>
      </w:r>
      <w:r w:rsidR="003A03A5" w:rsidRPr="003A03A5">
        <w:rPr>
          <w:lang w:val="en-US"/>
        </w:rPr>
        <w:t>istrict</w:t>
      </w:r>
      <w:r w:rsidR="00F160DE">
        <w:rPr>
          <w:lang w:val="en-US"/>
        </w:rPr>
        <w:t>.</w:t>
      </w:r>
    </w:p>
    <w:p w14:paraId="5700EB6F" w14:textId="77777777" w:rsidR="005653F2" w:rsidRPr="006A0939" w:rsidRDefault="00730F4D" w:rsidP="00603914">
      <w:pPr>
        <w:pStyle w:val="SingleTxtG"/>
        <w:rPr>
          <w:lang w:val="en-US"/>
        </w:rPr>
      </w:pPr>
      <w:r>
        <w:rPr>
          <w:lang w:val="en-US"/>
        </w:rPr>
        <w:t>2.3</w:t>
      </w:r>
      <w:r w:rsidR="006F4A6C" w:rsidRPr="006A0939">
        <w:rPr>
          <w:lang w:val="en-US"/>
        </w:rPr>
        <w:tab/>
      </w:r>
      <w:r w:rsidR="002530FD">
        <w:rPr>
          <w:lang w:val="en-US"/>
        </w:rPr>
        <w:t>T</w:t>
      </w:r>
      <w:r w:rsidR="00BA1D54" w:rsidRPr="006A0939">
        <w:rPr>
          <w:lang w:val="en-US"/>
        </w:rPr>
        <w:t xml:space="preserve">he case was </w:t>
      </w:r>
      <w:r w:rsidR="002530FD">
        <w:rPr>
          <w:lang w:val="en-US"/>
        </w:rPr>
        <w:t xml:space="preserve">subsequently </w:t>
      </w:r>
      <w:r w:rsidR="00051109">
        <w:rPr>
          <w:lang w:val="en-US"/>
        </w:rPr>
        <w:t>referred to</w:t>
      </w:r>
      <w:r w:rsidR="00BA1D54" w:rsidRPr="006A0939">
        <w:rPr>
          <w:lang w:val="en-US"/>
        </w:rPr>
        <w:t xml:space="preserve"> the Ostrovetsk District Court, which, on 26 June 2009, convicted the author </w:t>
      </w:r>
      <w:r w:rsidR="002530FD">
        <w:rPr>
          <w:lang w:val="en-US"/>
        </w:rPr>
        <w:t>of</w:t>
      </w:r>
      <w:r w:rsidR="00BA1D54" w:rsidRPr="006A0939">
        <w:rPr>
          <w:lang w:val="en-US"/>
        </w:rPr>
        <w:t xml:space="preserve"> </w:t>
      </w:r>
      <w:r w:rsidR="000A35F9" w:rsidRPr="008928B6">
        <w:rPr>
          <w:lang w:val="en-US"/>
        </w:rPr>
        <w:t>“</w:t>
      </w:r>
      <w:r w:rsidR="0074474D" w:rsidRPr="008928B6">
        <w:rPr>
          <w:lang w:val="en-US"/>
        </w:rPr>
        <w:t>distribution</w:t>
      </w:r>
      <w:r w:rsidR="00E9643E" w:rsidRPr="008928B6">
        <w:rPr>
          <w:lang w:val="en-US"/>
        </w:rPr>
        <w:t xml:space="preserve"> of printed periodical publication</w:t>
      </w:r>
      <w:r w:rsidR="000A35F9" w:rsidRPr="008928B6">
        <w:rPr>
          <w:lang w:val="en-US"/>
        </w:rPr>
        <w:t>s without a publisher</w:t>
      </w:r>
      <w:r w:rsidR="00383CFA" w:rsidRPr="008928B6">
        <w:rPr>
          <w:lang w:val="en-US"/>
        </w:rPr>
        <w:t>’</w:t>
      </w:r>
      <w:r w:rsidR="000A35F9" w:rsidRPr="008928B6">
        <w:rPr>
          <w:lang w:val="en-US"/>
        </w:rPr>
        <w:t>s imprint”</w:t>
      </w:r>
      <w:r w:rsidR="00897233">
        <w:rPr>
          <w:lang w:val="en-US"/>
        </w:rPr>
        <w:t xml:space="preserve"> in </w:t>
      </w:r>
      <w:r w:rsidR="00897233" w:rsidRPr="006A0939">
        <w:rPr>
          <w:lang w:val="en-US"/>
        </w:rPr>
        <w:t xml:space="preserve">violation of </w:t>
      </w:r>
      <w:r w:rsidR="00897233" w:rsidRPr="00045217">
        <w:rPr>
          <w:lang w:val="en-US"/>
        </w:rPr>
        <w:t>article 22.9</w:t>
      </w:r>
      <w:r w:rsidR="008928B6">
        <w:rPr>
          <w:lang w:val="en-US"/>
        </w:rPr>
        <w:t>, paragraph 2,</w:t>
      </w:r>
      <w:r w:rsidR="00897233">
        <w:rPr>
          <w:lang w:val="en-US"/>
        </w:rPr>
        <w:t xml:space="preserve"> of the Code of Administrative Offences</w:t>
      </w:r>
      <w:r w:rsidR="006A0939" w:rsidRPr="00AE300B">
        <w:rPr>
          <w:lang w:val="en-US"/>
        </w:rPr>
        <w:t>.</w:t>
      </w:r>
      <w:r w:rsidR="006A0939">
        <w:rPr>
          <w:lang w:val="en-US"/>
        </w:rPr>
        <w:t xml:space="preserve"> </w:t>
      </w:r>
      <w:r w:rsidR="002B5D0A" w:rsidRPr="006A0939">
        <w:rPr>
          <w:lang w:val="en-US"/>
        </w:rPr>
        <w:t xml:space="preserve">The court considered that the </w:t>
      </w:r>
      <w:r w:rsidR="00897233">
        <w:rPr>
          <w:lang w:val="en-US"/>
        </w:rPr>
        <w:t xml:space="preserve">author’s </w:t>
      </w:r>
      <w:r w:rsidR="002B5D0A" w:rsidRPr="006A0939">
        <w:rPr>
          <w:lang w:val="en-US"/>
        </w:rPr>
        <w:t>distribution of newspapers</w:t>
      </w:r>
      <w:r w:rsidR="00156734" w:rsidRPr="006A0939">
        <w:rPr>
          <w:lang w:val="en-US"/>
        </w:rPr>
        <w:t xml:space="preserve"> </w:t>
      </w:r>
      <w:r w:rsidR="00DF4517">
        <w:rPr>
          <w:lang w:val="en-US"/>
        </w:rPr>
        <w:t>not bearing</w:t>
      </w:r>
      <w:r w:rsidR="00156734" w:rsidRPr="006A0939">
        <w:rPr>
          <w:lang w:val="en-US"/>
        </w:rPr>
        <w:t xml:space="preserve"> the </w:t>
      </w:r>
      <w:r w:rsidR="00E43570" w:rsidRPr="00E43570">
        <w:rPr>
          <w:lang w:val="en-US"/>
        </w:rPr>
        <w:t>publisher</w:t>
      </w:r>
      <w:r w:rsidR="00383CFA">
        <w:rPr>
          <w:lang w:val="en-US"/>
        </w:rPr>
        <w:t>’</w:t>
      </w:r>
      <w:r w:rsidR="00E43570" w:rsidRPr="00E43570">
        <w:rPr>
          <w:lang w:val="en-US"/>
        </w:rPr>
        <w:t>s imprint</w:t>
      </w:r>
      <w:r w:rsidR="00D14ACB">
        <w:rPr>
          <w:lang w:val="en-US"/>
        </w:rPr>
        <w:t xml:space="preserve"> </w:t>
      </w:r>
      <w:r w:rsidR="00156734" w:rsidRPr="006A0939">
        <w:rPr>
          <w:lang w:val="en-US"/>
        </w:rPr>
        <w:t xml:space="preserve">required under </w:t>
      </w:r>
      <w:r w:rsidR="00156734" w:rsidRPr="008928B6">
        <w:rPr>
          <w:lang w:val="en-US"/>
        </w:rPr>
        <w:t>article 22</w:t>
      </w:r>
      <w:r w:rsidR="00A61A6B" w:rsidRPr="008928B6">
        <w:rPr>
          <w:lang w:val="en-US"/>
        </w:rPr>
        <w:t xml:space="preserve"> of the Law on Mass Media </w:t>
      </w:r>
      <w:r w:rsidR="00DF4EB1" w:rsidRPr="008928B6">
        <w:rPr>
          <w:lang w:val="en-US"/>
        </w:rPr>
        <w:t>(</w:t>
      </w:r>
      <w:r w:rsidR="00391480" w:rsidRPr="008928B6">
        <w:rPr>
          <w:lang w:val="en-US"/>
        </w:rPr>
        <w:t>Imprint</w:t>
      </w:r>
      <w:r w:rsidR="00325AD6" w:rsidRPr="008928B6">
        <w:rPr>
          <w:lang w:val="en-US"/>
        </w:rPr>
        <w:t xml:space="preserve"> data</w:t>
      </w:r>
      <w:r w:rsidR="001942EE" w:rsidRPr="008928B6">
        <w:rPr>
          <w:lang w:val="en-US"/>
        </w:rPr>
        <w:t xml:space="preserve"> o</w:t>
      </w:r>
      <w:r w:rsidR="00603914">
        <w:rPr>
          <w:lang w:val="en-US"/>
        </w:rPr>
        <w:t>n</w:t>
      </w:r>
      <w:r w:rsidR="001942EE" w:rsidRPr="008928B6">
        <w:rPr>
          <w:lang w:val="en-US"/>
        </w:rPr>
        <w:t xml:space="preserve"> </w:t>
      </w:r>
      <w:r w:rsidR="00E65EEA" w:rsidRPr="008928B6">
        <w:rPr>
          <w:lang w:val="en-US"/>
        </w:rPr>
        <w:t>p</w:t>
      </w:r>
      <w:r w:rsidR="001942EE" w:rsidRPr="008928B6">
        <w:rPr>
          <w:lang w:val="en-US"/>
        </w:rPr>
        <w:t xml:space="preserve">rint </w:t>
      </w:r>
      <w:r w:rsidR="00E65EEA" w:rsidRPr="008928B6">
        <w:rPr>
          <w:lang w:val="en-US"/>
        </w:rPr>
        <w:t>m</w:t>
      </w:r>
      <w:r w:rsidR="001942EE" w:rsidRPr="008928B6">
        <w:rPr>
          <w:lang w:val="en-US"/>
        </w:rPr>
        <w:t>edia</w:t>
      </w:r>
      <w:r w:rsidR="00F32083" w:rsidRPr="008928B6">
        <w:rPr>
          <w:lang w:val="en-US"/>
        </w:rPr>
        <w:t>)</w:t>
      </w:r>
      <w:r w:rsidR="005B14E7" w:rsidRPr="005B14E7">
        <w:rPr>
          <w:rStyle w:val="FootnoteReference"/>
          <w:sz w:val="20"/>
          <w:lang w:val="en-US"/>
        </w:rPr>
        <w:t xml:space="preserve"> </w:t>
      </w:r>
      <w:r w:rsidR="003F7A45">
        <w:rPr>
          <w:lang w:val="en-US"/>
        </w:rPr>
        <w:t>constituted</w:t>
      </w:r>
      <w:r w:rsidR="00A61A6B" w:rsidRPr="006A0939">
        <w:rPr>
          <w:lang w:val="en-US"/>
        </w:rPr>
        <w:t xml:space="preserve"> an administrative offence</w:t>
      </w:r>
      <w:r w:rsidR="002530FD">
        <w:rPr>
          <w:lang w:val="en-US"/>
        </w:rPr>
        <w:t>,</w:t>
      </w:r>
      <w:r w:rsidR="00A61A6B" w:rsidRPr="006A0939">
        <w:rPr>
          <w:lang w:val="en-US"/>
        </w:rPr>
        <w:t xml:space="preserve"> and </w:t>
      </w:r>
      <w:r w:rsidR="00547FD1">
        <w:rPr>
          <w:lang w:val="en-US"/>
        </w:rPr>
        <w:t xml:space="preserve">sanctioned </w:t>
      </w:r>
      <w:r w:rsidR="00897233">
        <w:rPr>
          <w:lang w:val="en-US"/>
        </w:rPr>
        <w:t>him</w:t>
      </w:r>
      <w:r w:rsidR="00E87C6A">
        <w:rPr>
          <w:lang w:val="en-US"/>
        </w:rPr>
        <w:t xml:space="preserve"> </w:t>
      </w:r>
      <w:r w:rsidR="00547FD1">
        <w:rPr>
          <w:lang w:val="en-US"/>
        </w:rPr>
        <w:t xml:space="preserve">with a </w:t>
      </w:r>
      <w:r w:rsidR="00E87C6A">
        <w:rPr>
          <w:lang w:val="en-US"/>
        </w:rPr>
        <w:t>fine</w:t>
      </w:r>
      <w:r w:rsidR="00AE0AB2">
        <w:rPr>
          <w:lang w:val="en-US"/>
        </w:rPr>
        <w:t xml:space="preserve"> </w:t>
      </w:r>
      <w:r w:rsidR="005653F2" w:rsidRPr="006A0939">
        <w:rPr>
          <w:lang w:val="en-US"/>
        </w:rPr>
        <w:t xml:space="preserve">of 700,000 </w:t>
      </w:r>
      <w:r w:rsidR="00206EF5">
        <w:rPr>
          <w:lang w:val="en-US"/>
        </w:rPr>
        <w:t>Belarus</w:t>
      </w:r>
      <w:r w:rsidR="005653F2" w:rsidRPr="006A0939">
        <w:rPr>
          <w:lang w:val="en-US"/>
        </w:rPr>
        <w:t xml:space="preserve"> roubles.</w:t>
      </w:r>
      <w:r w:rsidR="005B14E7">
        <w:rPr>
          <w:lang w:val="en-US"/>
        </w:rPr>
        <w:t xml:space="preserve"> </w:t>
      </w:r>
      <w:r w:rsidR="00B209AF">
        <w:rPr>
          <w:lang w:val="en-US"/>
        </w:rPr>
        <w:t xml:space="preserve">The author </w:t>
      </w:r>
      <w:r w:rsidR="00B209AF" w:rsidRPr="005475E5">
        <w:rPr>
          <w:lang w:val="en-US"/>
        </w:rPr>
        <w:t>submits</w:t>
      </w:r>
      <w:r w:rsidR="00B209AF">
        <w:rPr>
          <w:lang w:val="en-US"/>
        </w:rPr>
        <w:t xml:space="preserve"> that the court did not address his </w:t>
      </w:r>
      <w:r w:rsidR="00A66904">
        <w:rPr>
          <w:lang w:val="en-US"/>
        </w:rPr>
        <w:t xml:space="preserve">claim </w:t>
      </w:r>
      <w:r w:rsidR="00A66904" w:rsidRPr="00A66904">
        <w:rPr>
          <w:lang w:val="en-US"/>
        </w:rPr>
        <w:t xml:space="preserve">regarding surveillance </w:t>
      </w:r>
      <w:r w:rsidR="00000526">
        <w:rPr>
          <w:lang w:val="en-US"/>
        </w:rPr>
        <w:t xml:space="preserve">by </w:t>
      </w:r>
      <w:r w:rsidR="00A66904" w:rsidRPr="00A66904">
        <w:rPr>
          <w:lang w:val="en-US"/>
        </w:rPr>
        <w:t>intelligence agencies and law enforcement bodies.</w:t>
      </w:r>
      <w:r w:rsidR="00383CFA">
        <w:rPr>
          <w:lang w:val="en-US"/>
        </w:rPr>
        <w:t xml:space="preserve"> </w:t>
      </w:r>
    </w:p>
    <w:p w14:paraId="5954F78F" w14:textId="77777777" w:rsidR="00886F37" w:rsidRDefault="00730F4D" w:rsidP="002530FD">
      <w:pPr>
        <w:pStyle w:val="SingleTxtG"/>
        <w:rPr>
          <w:lang w:val="en-US"/>
        </w:rPr>
      </w:pPr>
      <w:r>
        <w:rPr>
          <w:lang w:val="en-US"/>
        </w:rPr>
        <w:t>2.4</w:t>
      </w:r>
      <w:r w:rsidR="006F4A6C">
        <w:rPr>
          <w:lang w:val="en-US"/>
        </w:rPr>
        <w:tab/>
      </w:r>
      <w:r w:rsidR="00573E8D" w:rsidRPr="00573E8D">
        <w:rPr>
          <w:lang w:val="en-US"/>
        </w:rPr>
        <w:t xml:space="preserve">On 2 July 2009, </w:t>
      </w:r>
      <w:r w:rsidR="00B0601F">
        <w:rPr>
          <w:lang w:val="en-US"/>
        </w:rPr>
        <w:t>the author</w:t>
      </w:r>
      <w:r w:rsidR="00573E8D" w:rsidRPr="00573E8D">
        <w:rPr>
          <w:lang w:val="en-US"/>
        </w:rPr>
        <w:t xml:space="preserve"> </w:t>
      </w:r>
      <w:r w:rsidR="00A3703B" w:rsidRPr="00A3703B">
        <w:rPr>
          <w:lang w:val="en-US"/>
        </w:rPr>
        <w:t xml:space="preserve">filed a cassation complaint </w:t>
      </w:r>
      <w:r w:rsidR="00573E8D" w:rsidRPr="00573E8D">
        <w:rPr>
          <w:lang w:val="en-US"/>
        </w:rPr>
        <w:t>to the Grodnensk Regional Court</w:t>
      </w:r>
      <w:r w:rsidR="002530FD">
        <w:rPr>
          <w:lang w:val="en-US"/>
        </w:rPr>
        <w:t>, in which</w:t>
      </w:r>
      <w:r w:rsidR="00573E8D" w:rsidRPr="00573E8D">
        <w:rPr>
          <w:lang w:val="en-US"/>
        </w:rPr>
        <w:t xml:space="preserve"> </w:t>
      </w:r>
      <w:r w:rsidR="00B0601F">
        <w:rPr>
          <w:lang w:val="en-US"/>
        </w:rPr>
        <w:t>he</w:t>
      </w:r>
      <w:r w:rsidR="00573E8D" w:rsidRPr="00573E8D">
        <w:rPr>
          <w:lang w:val="en-US"/>
        </w:rPr>
        <w:t xml:space="preserve"> </w:t>
      </w:r>
      <w:r w:rsidR="00886F37">
        <w:rPr>
          <w:lang w:val="en-US"/>
        </w:rPr>
        <w:t xml:space="preserve">reiterated his previous explanations </w:t>
      </w:r>
      <w:r w:rsidR="007F4500">
        <w:rPr>
          <w:lang w:val="en-US"/>
        </w:rPr>
        <w:t>and arguments</w:t>
      </w:r>
      <w:r w:rsidR="002530FD">
        <w:rPr>
          <w:lang w:val="en-US"/>
        </w:rPr>
        <w:t>,</w:t>
      </w:r>
      <w:r w:rsidR="007F4500">
        <w:rPr>
          <w:lang w:val="en-US"/>
        </w:rPr>
        <w:t xml:space="preserve"> </w:t>
      </w:r>
      <w:r w:rsidR="00886F37">
        <w:rPr>
          <w:lang w:val="en-US"/>
        </w:rPr>
        <w:t xml:space="preserve">and </w:t>
      </w:r>
      <w:r w:rsidR="00886F37" w:rsidRPr="00886F37">
        <w:rPr>
          <w:lang w:val="en-US"/>
        </w:rPr>
        <w:t xml:space="preserve">maintained that </w:t>
      </w:r>
      <w:r w:rsidR="008A58EA">
        <w:rPr>
          <w:lang w:val="en-US"/>
        </w:rPr>
        <w:t>the facts i</w:t>
      </w:r>
      <w:r w:rsidR="00886F37" w:rsidRPr="00886F37">
        <w:rPr>
          <w:lang w:val="en-US"/>
        </w:rPr>
        <w:t xml:space="preserve">ndicated that he was under constant close supervision by intelligence agencies because of his </w:t>
      </w:r>
      <w:r w:rsidR="002530FD">
        <w:rPr>
          <w:lang w:val="en-US"/>
        </w:rPr>
        <w:t>opposition to</w:t>
      </w:r>
      <w:r w:rsidR="00886F37" w:rsidRPr="00886F37">
        <w:rPr>
          <w:lang w:val="en-US"/>
        </w:rPr>
        <w:t xml:space="preserve"> the construction of a nuclear power plant in Ostrovetsk </w:t>
      </w:r>
      <w:r w:rsidR="002530FD">
        <w:rPr>
          <w:lang w:val="en-US"/>
        </w:rPr>
        <w:t>D</w:t>
      </w:r>
      <w:r w:rsidR="00886F37" w:rsidRPr="00886F37">
        <w:rPr>
          <w:lang w:val="en-US"/>
        </w:rPr>
        <w:t>istrict and his democratic views regarding t</w:t>
      </w:r>
      <w:r w:rsidR="008A58EA">
        <w:rPr>
          <w:lang w:val="en-US"/>
        </w:rPr>
        <w:t>he development of civil society</w:t>
      </w:r>
      <w:r w:rsidR="00FD2F32">
        <w:rPr>
          <w:lang w:val="en-US"/>
        </w:rPr>
        <w:t xml:space="preserve">. </w:t>
      </w:r>
    </w:p>
    <w:p w14:paraId="2BAA1AEB" w14:textId="77777777" w:rsidR="0005619E" w:rsidRDefault="00730F4D" w:rsidP="00E969FF">
      <w:pPr>
        <w:pStyle w:val="SingleTxtG"/>
      </w:pPr>
      <w:r>
        <w:t>2.5</w:t>
      </w:r>
      <w:r w:rsidR="006F4A6C">
        <w:tab/>
      </w:r>
      <w:r w:rsidR="00155F9A">
        <w:t xml:space="preserve">On 5 August 2009, the author submitted </w:t>
      </w:r>
      <w:r w:rsidR="003765E9" w:rsidRPr="003765E9">
        <w:t xml:space="preserve">additional </w:t>
      </w:r>
      <w:r w:rsidR="00155F9A">
        <w:t>material for</w:t>
      </w:r>
      <w:r w:rsidR="003765E9" w:rsidRPr="003765E9">
        <w:t xml:space="preserve"> his </w:t>
      </w:r>
      <w:r w:rsidR="003765E9">
        <w:t xml:space="preserve">cassation </w:t>
      </w:r>
      <w:r w:rsidR="00155F9A">
        <w:t>file</w:t>
      </w:r>
      <w:r w:rsidR="003765E9" w:rsidRPr="003765E9">
        <w:t xml:space="preserve">, </w:t>
      </w:r>
      <w:r w:rsidR="00155F9A">
        <w:t xml:space="preserve">in which he </w:t>
      </w:r>
      <w:r w:rsidR="007E1D4A" w:rsidRPr="008128BB">
        <w:t>claimed</w:t>
      </w:r>
      <w:r w:rsidR="00155F9A">
        <w:t>, inter alia,</w:t>
      </w:r>
      <w:r w:rsidR="007E1D4A" w:rsidRPr="008128BB">
        <w:t xml:space="preserve"> that the newspapers in question </w:t>
      </w:r>
      <w:r w:rsidR="00E9261D" w:rsidRPr="008128BB">
        <w:t>were not printed periodical publications</w:t>
      </w:r>
      <w:r w:rsidR="005A3A5F">
        <w:t>,</w:t>
      </w:r>
      <w:r w:rsidR="00E9261D" w:rsidRPr="008128BB">
        <w:t xml:space="preserve"> </w:t>
      </w:r>
      <w:r w:rsidR="007E1D4A" w:rsidRPr="008128BB">
        <w:t xml:space="preserve">and therefore the provisions of the Law on Mass Media </w:t>
      </w:r>
      <w:r w:rsidR="008128BB" w:rsidRPr="008128BB">
        <w:t xml:space="preserve">were </w:t>
      </w:r>
      <w:r w:rsidR="0079664C">
        <w:t>not applicable</w:t>
      </w:r>
      <w:r w:rsidR="00155F9A">
        <w:t xml:space="preserve">. He </w:t>
      </w:r>
      <w:r w:rsidR="00904E7A">
        <w:t>also claimed</w:t>
      </w:r>
      <w:r w:rsidR="0079664C">
        <w:t xml:space="preserve"> that </w:t>
      </w:r>
      <w:r w:rsidR="0079664C" w:rsidRPr="005A3A5F">
        <w:t xml:space="preserve">he </w:t>
      </w:r>
      <w:r w:rsidR="007E219A">
        <w:t>was not the publisher</w:t>
      </w:r>
      <w:r w:rsidR="00155F9A">
        <w:t>,</w:t>
      </w:r>
      <w:r w:rsidR="007E219A">
        <w:t xml:space="preserve"> nor could</w:t>
      </w:r>
      <w:r w:rsidR="00155F9A">
        <w:t xml:space="preserve"> he</w:t>
      </w:r>
      <w:r w:rsidR="007E219A">
        <w:t xml:space="preserve"> </w:t>
      </w:r>
      <w:r w:rsidR="00A80208" w:rsidRPr="005A3A5F">
        <w:t>be regarded as a distributor</w:t>
      </w:r>
      <w:r w:rsidR="00904E7A">
        <w:t>,</w:t>
      </w:r>
      <w:r w:rsidR="00A80208" w:rsidRPr="005A3A5F">
        <w:t xml:space="preserve"> within the meaning of the law</w:t>
      </w:r>
      <w:r w:rsidR="00D06BDA">
        <w:t>;</w:t>
      </w:r>
      <w:r w:rsidR="0079664C" w:rsidRPr="005A3A5F">
        <w:t xml:space="preserve"> </w:t>
      </w:r>
      <w:r w:rsidR="00841197" w:rsidRPr="005A3A5F">
        <w:t xml:space="preserve">that he could not be held responsible for the </w:t>
      </w:r>
      <w:r w:rsidR="006971F2">
        <w:t xml:space="preserve">occasional </w:t>
      </w:r>
      <w:r w:rsidR="00AE2500">
        <w:t>lending</w:t>
      </w:r>
      <w:r w:rsidR="00AE2500" w:rsidRPr="005A3A5F">
        <w:t xml:space="preserve"> </w:t>
      </w:r>
      <w:r w:rsidR="00841197" w:rsidRPr="005A3A5F">
        <w:t>of print materials in his possession</w:t>
      </w:r>
      <w:r w:rsidR="00904E7A">
        <w:t xml:space="preserve"> to people he knew</w:t>
      </w:r>
      <w:r w:rsidR="00841197" w:rsidRPr="005A3A5F">
        <w:t xml:space="preserve">; and that </w:t>
      </w:r>
      <w:r w:rsidR="006971F2">
        <w:t>he could not</w:t>
      </w:r>
      <w:r w:rsidR="00841197" w:rsidRPr="005A3A5F">
        <w:t xml:space="preserve"> have known whether </w:t>
      </w:r>
      <w:r w:rsidR="00FC03F0">
        <w:t xml:space="preserve">or not </w:t>
      </w:r>
      <w:r w:rsidR="00841197" w:rsidRPr="005A3A5F">
        <w:t xml:space="preserve">the said newspapers complied with the requirements set forth in article 22 of the Law on </w:t>
      </w:r>
      <w:r w:rsidR="005A3A5F" w:rsidRPr="005A3A5F">
        <w:t xml:space="preserve">Mass </w:t>
      </w:r>
      <w:r w:rsidR="00841197" w:rsidRPr="005A3A5F">
        <w:t>Media.</w:t>
      </w:r>
      <w:r w:rsidR="00841197" w:rsidRPr="00841197">
        <w:t xml:space="preserve"> </w:t>
      </w:r>
      <w:r w:rsidR="00232548">
        <w:t xml:space="preserve">The author </w:t>
      </w:r>
      <w:r w:rsidR="00232548" w:rsidRPr="00232548">
        <w:t>further claimed that</w:t>
      </w:r>
      <w:r w:rsidR="00232548">
        <w:t xml:space="preserve"> </w:t>
      </w:r>
      <w:r w:rsidR="009E2236">
        <w:t xml:space="preserve">he </w:t>
      </w:r>
      <w:r w:rsidR="00904E7A">
        <w:t>was</w:t>
      </w:r>
      <w:r w:rsidR="00897233">
        <w:t xml:space="preserve"> </w:t>
      </w:r>
      <w:r w:rsidR="009E2236">
        <w:t>penali</w:t>
      </w:r>
      <w:r w:rsidR="00904E7A">
        <w:t>z</w:t>
      </w:r>
      <w:r w:rsidR="009E2236">
        <w:t>ed</w:t>
      </w:r>
      <w:r w:rsidR="00232548" w:rsidRPr="00232548">
        <w:t xml:space="preserve"> </w:t>
      </w:r>
      <w:r w:rsidR="009E2236" w:rsidRPr="009E2236">
        <w:t xml:space="preserve">for </w:t>
      </w:r>
      <w:r w:rsidR="003C6FB8">
        <w:t>his opinions and the free</w:t>
      </w:r>
      <w:r w:rsidR="00E969FF">
        <w:t xml:space="preserve">dom to </w:t>
      </w:r>
      <w:r w:rsidR="003C6FB8">
        <w:t>express</w:t>
      </w:r>
      <w:r w:rsidR="00904E7A">
        <w:t xml:space="preserve"> </w:t>
      </w:r>
      <w:r w:rsidR="008928B6">
        <w:t>them</w:t>
      </w:r>
      <w:r w:rsidR="003C6FB8">
        <w:t xml:space="preserve">, </w:t>
      </w:r>
      <w:r w:rsidR="00904E7A">
        <w:t xml:space="preserve">more specifically, </w:t>
      </w:r>
      <w:r w:rsidR="003C6FB8">
        <w:t xml:space="preserve">for </w:t>
      </w:r>
      <w:r w:rsidR="001858A9">
        <w:t>lending</w:t>
      </w:r>
      <w:r w:rsidR="00904E7A">
        <w:t xml:space="preserve"> </w:t>
      </w:r>
      <w:r w:rsidR="00076A25">
        <w:t xml:space="preserve">his </w:t>
      </w:r>
      <w:r w:rsidR="009E2236" w:rsidRPr="009E2236">
        <w:t>neighbour</w:t>
      </w:r>
      <w:r w:rsidR="00904E7A">
        <w:t xml:space="preserve"> </w:t>
      </w:r>
      <w:r w:rsidR="001858A9">
        <w:t xml:space="preserve">newspapers to read </w:t>
      </w:r>
      <w:r w:rsidR="00904E7A">
        <w:t>at</w:t>
      </w:r>
      <w:r w:rsidR="00076A25">
        <w:t xml:space="preserve"> </w:t>
      </w:r>
      <w:r w:rsidR="00904E7A">
        <w:t xml:space="preserve">his </w:t>
      </w:r>
      <w:r w:rsidR="00076A25">
        <w:t>request.</w:t>
      </w:r>
      <w:r w:rsidR="00BA0CF6">
        <w:t xml:space="preserve"> </w:t>
      </w:r>
    </w:p>
    <w:p w14:paraId="37D7676A" w14:textId="77777777" w:rsidR="00573E8D" w:rsidRDefault="00730F4D" w:rsidP="00045217">
      <w:pPr>
        <w:pStyle w:val="SingleTxtG"/>
        <w:rPr>
          <w:lang w:val="en-US"/>
        </w:rPr>
      </w:pPr>
      <w:r>
        <w:t>2.6</w:t>
      </w:r>
      <w:r w:rsidR="006F4A6C">
        <w:tab/>
      </w:r>
      <w:r w:rsidR="00573E8D" w:rsidRPr="00573E8D">
        <w:t xml:space="preserve">On 13 August 2009, the </w:t>
      </w:r>
      <w:r w:rsidR="00573E8D" w:rsidRPr="00573E8D">
        <w:rPr>
          <w:lang w:val="en-US"/>
        </w:rPr>
        <w:t xml:space="preserve">Grodnensk Regional Court </w:t>
      </w:r>
      <w:r w:rsidR="007C49C0">
        <w:rPr>
          <w:lang w:val="en-US"/>
        </w:rPr>
        <w:t xml:space="preserve">rejected the author’s </w:t>
      </w:r>
      <w:r w:rsidR="00732973">
        <w:rPr>
          <w:lang w:val="en-US"/>
        </w:rPr>
        <w:t xml:space="preserve">cassation request and </w:t>
      </w:r>
      <w:r w:rsidR="007C49C0">
        <w:rPr>
          <w:lang w:val="en-US"/>
        </w:rPr>
        <w:t>uph</w:t>
      </w:r>
      <w:r w:rsidR="00732973">
        <w:rPr>
          <w:lang w:val="en-US"/>
        </w:rPr>
        <w:t>e</w:t>
      </w:r>
      <w:r w:rsidR="007C49C0">
        <w:rPr>
          <w:lang w:val="en-US"/>
        </w:rPr>
        <w:t>ld</w:t>
      </w:r>
      <w:r w:rsidR="00573E8D" w:rsidRPr="00573E8D">
        <w:rPr>
          <w:lang w:val="en-US"/>
        </w:rPr>
        <w:t xml:space="preserve"> the decision of the Ostrovetsk District Court</w:t>
      </w:r>
      <w:r w:rsidR="007C49C0">
        <w:rPr>
          <w:lang w:val="en-US"/>
        </w:rPr>
        <w:t xml:space="preserve"> of 26 June 2009</w:t>
      </w:r>
      <w:r w:rsidR="00573E8D" w:rsidRPr="00573E8D">
        <w:rPr>
          <w:lang w:val="en-US"/>
        </w:rPr>
        <w:t>.</w:t>
      </w:r>
      <w:r w:rsidR="00684B99">
        <w:rPr>
          <w:lang w:val="en-US"/>
        </w:rPr>
        <w:t xml:space="preserve"> </w:t>
      </w:r>
      <w:r w:rsidR="001A4B4D">
        <w:rPr>
          <w:lang w:val="en-US"/>
        </w:rPr>
        <w:t xml:space="preserve">The author </w:t>
      </w:r>
      <w:r w:rsidR="00732973">
        <w:rPr>
          <w:lang w:val="en-US"/>
        </w:rPr>
        <w:t>states</w:t>
      </w:r>
      <w:r w:rsidR="001A4B4D">
        <w:rPr>
          <w:lang w:val="en-US"/>
        </w:rPr>
        <w:t xml:space="preserve"> that it is beyond his </w:t>
      </w:r>
      <w:r w:rsidR="00842475" w:rsidRPr="00842475">
        <w:rPr>
          <w:lang w:val="en-US"/>
        </w:rPr>
        <w:t xml:space="preserve">understanding how the </w:t>
      </w:r>
      <w:r w:rsidR="00897233">
        <w:rPr>
          <w:lang w:val="en-US"/>
        </w:rPr>
        <w:t>loan</w:t>
      </w:r>
      <w:r w:rsidR="00842475" w:rsidRPr="00842475">
        <w:rPr>
          <w:lang w:val="en-US"/>
        </w:rPr>
        <w:t xml:space="preserve"> of newspapers </w:t>
      </w:r>
      <w:r w:rsidR="0010289F">
        <w:rPr>
          <w:lang w:val="en-US"/>
        </w:rPr>
        <w:t>that</w:t>
      </w:r>
      <w:r w:rsidR="00842475" w:rsidRPr="00842475">
        <w:rPr>
          <w:lang w:val="en-US"/>
        </w:rPr>
        <w:t xml:space="preserve"> d</w:t>
      </w:r>
      <w:r w:rsidR="00CC1939">
        <w:rPr>
          <w:lang w:val="en-US"/>
        </w:rPr>
        <w:t>id</w:t>
      </w:r>
      <w:r w:rsidR="00842475" w:rsidRPr="00842475">
        <w:rPr>
          <w:lang w:val="en-US"/>
        </w:rPr>
        <w:t xml:space="preserve"> not comply with the </w:t>
      </w:r>
      <w:r w:rsidR="00F4798B" w:rsidRPr="00F4798B">
        <w:rPr>
          <w:lang w:val="en-US"/>
        </w:rPr>
        <w:t xml:space="preserve">requirements set </w:t>
      </w:r>
      <w:r w:rsidR="00CC1939">
        <w:rPr>
          <w:lang w:val="en-US"/>
        </w:rPr>
        <w:t>out</w:t>
      </w:r>
      <w:r w:rsidR="00F4798B" w:rsidRPr="00F4798B">
        <w:rPr>
          <w:lang w:val="en-US"/>
        </w:rPr>
        <w:t xml:space="preserve"> in article 22 of the Law on Mass Media </w:t>
      </w:r>
      <w:r w:rsidR="00842475" w:rsidRPr="00842475">
        <w:rPr>
          <w:lang w:val="en-US"/>
        </w:rPr>
        <w:t xml:space="preserve">would violate the rights or reputation of other citizens, </w:t>
      </w:r>
      <w:r w:rsidR="00AE2500">
        <w:rPr>
          <w:lang w:val="en-US"/>
        </w:rPr>
        <w:t>nor</w:t>
      </w:r>
      <w:r w:rsidR="00842475" w:rsidRPr="00842475">
        <w:rPr>
          <w:lang w:val="en-US"/>
        </w:rPr>
        <w:t xml:space="preserve"> how it would affect national security or public order, public health or morals.</w:t>
      </w:r>
      <w:r w:rsidR="009F0EBD">
        <w:rPr>
          <w:lang w:val="en-US"/>
        </w:rPr>
        <w:t xml:space="preserve"> He submits that the </w:t>
      </w:r>
      <w:r w:rsidR="00F4798B" w:rsidRPr="00F4798B">
        <w:rPr>
          <w:lang w:val="en-US"/>
        </w:rPr>
        <w:t>Grodnensk Regional Court</w:t>
      </w:r>
      <w:r w:rsidR="009F0EBD" w:rsidRPr="00F23E7F">
        <w:rPr>
          <w:lang w:val="en-US"/>
        </w:rPr>
        <w:t xml:space="preserve"> </w:t>
      </w:r>
      <w:r w:rsidR="00AE2500">
        <w:rPr>
          <w:lang w:val="en-US"/>
        </w:rPr>
        <w:t xml:space="preserve">also </w:t>
      </w:r>
      <w:r w:rsidR="00F23E7F">
        <w:rPr>
          <w:lang w:val="en-US"/>
        </w:rPr>
        <w:t xml:space="preserve">failed to address </w:t>
      </w:r>
      <w:r w:rsidR="009F0EBD" w:rsidRPr="00F23E7F">
        <w:rPr>
          <w:lang w:val="en-US"/>
        </w:rPr>
        <w:t>his</w:t>
      </w:r>
      <w:r w:rsidR="00573E8D" w:rsidRPr="00F23E7F">
        <w:rPr>
          <w:lang w:val="en-US"/>
        </w:rPr>
        <w:t xml:space="preserve"> claim </w:t>
      </w:r>
      <w:r w:rsidR="009F0EBD" w:rsidRPr="00F23E7F">
        <w:rPr>
          <w:lang w:val="en-US"/>
        </w:rPr>
        <w:t xml:space="preserve">regarding </w:t>
      </w:r>
      <w:r w:rsidR="00573E8D" w:rsidRPr="00F23E7F">
        <w:rPr>
          <w:lang w:val="en-US"/>
        </w:rPr>
        <w:t>arbitrary interference with his p</w:t>
      </w:r>
      <w:r w:rsidR="00CE479A" w:rsidRPr="00F23E7F">
        <w:rPr>
          <w:lang w:val="en-US"/>
        </w:rPr>
        <w:t>rivacy by intelligence agencies and law enforcement bodies</w:t>
      </w:r>
      <w:r w:rsidR="00573E8D" w:rsidRPr="00F23E7F">
        <w:rPr>
          <w:lang w:val="en-US"/>
        </w:rPr>
        <w:t>.</w:t>
      </w:r>
      <w:r w:rsidR="00573E8D" w:rsidRPr="00573E8D">
        <w:rPr>
          <w:lang w:val="en-US"/>
        </w:rPr>
        <w:t xml:space="preserve"> </w:t>
      </w:r>
    </w:p>
    <w:p w14:paraId="5DA71044" w14:textId="77777777" w:rsidR="008B564C" w:rsidRPr="008B564C" w:rsidRDefault="008B564C" w:rsidP="00C14D31">
      <w:pPr>
        <w:pStyle w:val="SingleTxtG"/>
      </w:pPr>
      <w:r>
        <w:rPr>
          <w:lang w:val="en-US"/>
        </w:rPr>
        <w:t>2.7</w:t>
      </w:r>
      <w:r>
        <w:rPr>
          <w:lang w:val="en-US"/>
        </w:rPr>
        <w:tab/>
      </w:r>
      <w:r w:rsidRPr="008B564C">
        <w:rPr>
          <w:lang w:val="en-US"/>
        </w:rPr>
        <w:t xml:space="preserve">The author </w:t>
      </w:r>
      <w:r w:rsidR="00C14D31">
        <w:rPr>
          <w:lang w:val="en-US"/>
        </w:rPr>
        <w:t>states</w:t>
      </w:r>
      <w:r w:rsidRPr="008B564C">
        <w:rPr>
          <w:lang w:val="en-US"/>
        </w:rPr>
        <w:t xml:space="preserve"> that, while the Procedural-Executive Code of Administrative Offences provides for an appeal to the Supreme Court against court </w:t>
      </w:r>
      <w:r w:rsidR="000F03AB">
        <w:rPr>
          <w:lang w:val="en-US"/>
        </w:rPr>
        <w:t>decisions</w:t>
      </w:r>
      <w:r w:rsidRPr="008B564C">
        <w:rPr>
          <w:lang w:val="en-US"/>
        </w:rPr>
        <w:t xml:space="preserve"> in cases concerning administrative offence</w:t>
      </w:r>
      <w:r w:rsidR="005475E5">
        <w:rPr>
          <w:lang w:val="en-US"/>
        </w:rPr>
        <w:t>s</w:t>
      </w:r>
      <w:r w:rsidRPr="008B564C">
        <w:rPr>
          <w:lang w:val="en-US"/>
        </w:rPr>
        <w:t xml:space="preserve"> that have entered into force</w:t>
      </w:r>
      <w:r w:rsidR="005475E5">
        <w:rPr>
          <w:lang w:val="en-US"/>
        </w:rPr>
        <w:t xml:space="preserve">, that is, the </w:t>
      </w:r>
      <w:r w:rsidRPr="008B564C">
        <w:rPr>
          <w:lang w:val="en-US"/>
        </w:rPr>
        <w:t>supervisory review procedure, he did not avail himself of th</w:t>
      </w:r>
      <w:r w:rsidR="005475E5">
        <w:rPr>
          <w:lang w:val="en-US"/>
        </w:rPr>
        <w:t>at</w:t>
      </w:r>
      <w:r w:rsidRPr="008B564C">
        <w:rPr>
          <w:lang w:val="en-US"/>
        </w:rPr>
        <w:t xml:space="preserve"> remedy. </w:t>
      </w:r>
      <w:r w:rsidR="000C0BCD">
        <w:rPr>
          <w:lang w:val="en-US"/>
        </w:rPr>
        <w:t xml:space="preserve">He argues that </w:t>
      </w:r>
      <w:r w:rsidR="00CF37AB">
        <w:rPr>
          <w:lang w:val="en-US"/>
        </w:rPr>
        <w:t xml:space="preserve">the supervisory </w:t>
      </w:r>
      <w:r w:rsidRPr="008B564C">
        <w:rPr>
          <w:lang w:val="en-US"/>
        </w:rPr>
        <w:t>review is dependent on the discretionary power of an official and</w:t>
      </w:r>
      <w:r w:rsidR="005475E5">
        <w:rPr>
          <w:lang w:val="en-US"/>
        </w:rPr>
        <w:t xml:space="preserve"> therefore</w:t>
      </w:r>
      <w:r w:rsidRPr="008B564C">
        <w:rPr>
          <w:lang w:val="en-US"/>
        </w:rPr>
        <w:t xml:space="preserve"> does not constitute an effective remedy because</w:t>
      </w:r>
      <w:r w:rsidR="006C7B38">
        <w:rPr>
          <w:lang w:val="en-US"/>
        </w:rPr>
        <w:t>:</w:t>
      </w:r>
      <w:r w:rsidRPr="008B564C">
        <w:rPr>
          <w:lang w:val="en-US"/>
        </w:rPr>
        <w:t xml:space="preserve"> (a) it does not result in the re-examination of a case; (b) the application is considered by </w:t>
      </w:r>
      <w:r w:rsidR="00F42D32">
        <w:rPr>
          <w:lang w:val="en-US"/>
        </w:rPr>
        <w:t xml:space="preserve">only </w:t>
      </w:r>
      <w:r w:rsidRPr="008B564C">
        <w:rPr>
          <w:lang w:val="en-US"/>
        </w:rPr>
        <w:t>one official; (c) request</w:t>
      </w:r>
      <w:r w:rsidR="009D67D0">
        <w:rPr>
          <w:lang w:val="en-US"/>
        </w:rPr>
        <w:t>ing</w:t>
      </w:r>
      <w:r w:rsidRPr="008B564C">
        <w:rPr>
          <w:lang w:val="en-US"/>
        </w:rPr>
        <w:t xml:space="preserve"> case file materials is at </w:t>
      </w:r>
      <w:r w:rsidRPr="008B564C">
        <w:rPr>
          <w:lang w:val="en-US"/>
        </w:rPr>
        <w:lastRenderedPageBreak/>
        <w:t>the discretion of the official; and (d) the review procedure takes place in the absence of</w:t>
      </w:r>
      <w:r w:rsidR="005475E5">
        <w:rPr>
          <w:lang w:val="en-US"/>
        </w:rPr>
        <w:t xml:space="preserve"> the</w:t>
      </w:r>
      <w:r w:rsidRPr="008B564C">
        <w:rPr>
          <w:lang w:val="en-US"/>
        </w:rPr>
        <w:t xml:space="preserve"> interested parties. The author </w:t>
      </w:r>
      <w:r w:rsidR="005475E5">
        <w:rPr>
          <w:lang w:val="en-US"/>
        </w:rPr>
        <w:t xml:space="preserve">also </w:t>
      </w:r>
      <w:r w:rsidRPr="008B564C">
        <w:rPr>
          <w:lang w:val="en-US"/>
        </w:rPr>
        <w:t xml:space="preserve">notes that, </w:t>
      </w:r>
      <w:r w:rsidRPr="008B564C">
        <w:t xml:space="preserve">according to the Committee’s </w:t>
      </w:r>
      <w:r w:rsidR="00CF37AB">
        <w:t>jurisprudence</w:t>
      </w:r>
      <w:r w:rsidRPr="008B564C">
        <w:t>, domestic remedies should not only be available, but also effective</w:t>
      </w:r>
      <w:r w:rsidR="00FF6690">
        <w:t xml:space="preserve">. </w:t>
      </w:r>
      <w:r w:rsidR="00F42D32">
        <w:t>H</w:t>
      </w:r>
      <w:r w:rsidR="00FF6690">
        <w:t>e states that the</w:t>
      </w:r>
      <w:r w:rsidRPr="008B564C">
        <w:t xml:space="preserve"> review </w:t>
      </w:r>
      <w:r w:rsidR="00FF6690">
        <w:t xml:space="preserve">of </w:t>
      </w:r>
      <w:r w:rsidRPr="008B564C">
        <w:t>court decisions under the supervisory procedure is at the discretion of a limited category of officials</w:t>
      </w:r>
      <w:r w:rsidR="00FF6690">
        <w:t xml:space="preserve">, such as </w:t>
      </w:r>
      <w:r w:rsidRPr="008B564C">
        <w:t>the Prosecutor</w:t>
      </w:r>
      <w:r w:rsidR="00F42D32">
        <w:t xml:space="preserve"> General or</w:t>
      </w:r>
      <w:r w:rsidRPr="008B564C">
        <w:t xml:space="preserve"> the </w:t>
      </w:r>
      <w:r w:rsidR="00F42D32">
        <w:t>President</w:t>
      </w:r>
      <w:r w:rsidRPr="008B564C">
        <w:t xml:space="preserve"> of the Supreme Court</w:t>
      </w:r>
      <w:r w:rsidR="00FF6690">
        <w:t xml:space="preserve">, </w:t>
      </w:r>
      <w:r w:rsidR="00C14D31">
        <w:t xml:space="preserve">and </w:t>
      </w:r>
      <w:r w:rsidR="00FF6690">
        <w:t>that</w:t>
      </w:r>
      <w:r w:rsidRPr="008B564C">
        <w:t xml:space="preserve"> it is sufficient to avail</w:t>
      </w:r>
      <w:r w:rsidR="00FF6690">
        <w:t xml:space="preserve"> oneself of</w:t>
      </w:r>
      <w:r w:rsidRPr="008B564C">
        <w:t xml:space="preserve"> the remedy </w:t>
      </w:r>
      <w:r w:rsidR="00FF6690">
        <w:t>provided by the</w:t>
      </w:r>
      <w:r w:rsidRPr="008B564C">
        <w:t xml:space="preserve"> cassation court to demonstrate the exhaustion of domestic remedies. </w:t>
      </w:r>
      <w:r w:rsidR="006C7B38">
        <w:t>He submits that t</w:t>
      </w:r>
      <w:r w:rsidRPr="008B564C">
        <w:t>h</w:t>
      </w:r>
      <w:r w:rsidR="00C14D31">
        <w:t>at action</w:t>
      </w:r>
      <w:r w:rsidRPr="008B564C">
        <w:t xml:space="preserve"> is confirmed by European Court of Human Rights</w:t>
      </w:r>
      <w:r w:rsidR="00C14D31">
        <w:t xml:space="preserve"> case law</w:t>
      </w:r>
      <w:r w:rsidRPr="008B564C">
        <w:t>.</w:t>
      </w:r>
      <w:r w:rsidRPr="00383CFA">
        <w:rPr>
          <w:rStyle w:val="FootnoteReference"/>
        </w:rPr>
        <w:footnoteReference w:id="3"/>
      </w:r>
      <w:r w:rsidRPr="008B564C">
        <w:t xml:space="preserve"> The author therefore contends that he has exhausted all available and effective domestic remedies.</w:t>
      </w:r>
    </w:p>
    <w:p w14:paraId="6D27FAD5" w14:textId="77777777" w:rsidR="0006215B" w:rsidRPr="00573E8D" w:rsidRDefault="0006215B" w:rsidP="00D7181D">
      <w:pPr>
        <w:pStyle w:val="H23G"/>
        <w:ind w:left="0" w:firstLine="0"/>
      </w:pPr>
      <w:r>
        <w:tab/>
      </w:r>
      <w:r>
        <w:tab/>
      </w:r>
      <w:r w:rsidRPr="005F4996">
        <w:t>The complaint</w:t>
      </w:r>
    </w:p>
    <w:p w14:paraId="31CEC06E" w14:textId="77777777" w:rsidR="00070A9C" w:rsidRDefault="0006215B" w:rsidP="00C14D31">
      <w:pPr>
        <w:pStyle w:val="SingleTxtG"/>
        <w:rPr>
          <w:lang w:val="en-US"/>
        </w:rPr>
      </w:pPr>
      <w:r>
        <w:rPr>
          <w:lang w:val="en-US"/>
        </w:rPr>
        <w:t>3.1</w:t>
      </w:r>
      <w:r>
        <w:rPr>
          <w:lang w:val="en-US"/>
        </w:rPr>
        <w:tab/>
      </w:r>
      <w:r w:rsidR="00B42BB8">
        <w:rPr>
          <w:lang w:val="en-US"/>
        </w:rPr>
        <w:t>The author submits</w:t>
      </w:r>
      <w:r w:rsidRPr="000F52B5">
        <w:rPr>
          <w:lang w:val="en-US"/>
        </w:rPr>
        <w:t xml:space="preserve"> </w:t>
      </w:r>
      <w:r w:rsidR="00D615F8">
        <w:rPr>
          <w:lang w:val="en-US"/>
        </w:rPr>
        <w:t>that</w:t>
      </w:r>
      <w:r w:rsidR="00B42BB8">
        <w:rPr>
          <w:lang w:val="en-US"/>
        </w:rPr>
        <w:t xml:space="preserve"> the </w:t>
      </w:r>
      <w:r w:rsidR="00C00F05">
        <w:rPr>
          <w:lang w:val="en-US"/>
        </w:rPr>
        <w:t xml:space="preserve">unwillingness of </w:t>
      </w:r>
      <w:r w:rsidR="00AE2500">
        <w:rPr>
          <w:lang w:val="en-US"/>
        </w:rPr>
        <w:t xml:space="preserve">the </w:t>
      </w:r>
      <w:r w:rsidR="00B42BB8">
        <w:rPr>
          <w:lang w:val="en-US"/>
        </w:rPr>
        <w:t xml:space="preserve">courts </w:t>
      </w:r>
      <w:r w:rsidR="00C00F05">
        <w:rPr>
          <w:lang w:val="en-US"/>
        </w:rPr>
        <w:t>to consider</w:t>
      </w:r>
      <w:r w:rsidR="00B42BB8">
        <w:rPr>
          <w:lang w:val="en-US"/>
        </w:rPr>
        <w:t xml:space="preserve"> his claims </w:t>
      </w:r>
      <w:r w:rsidR="004633A1">
        <w:rPr>
          <w:lang w:val="en-US"/>
        </w:rPr>
        <w:t>regarding</w:t>
      </w:r>
      <w:r w:rsidR="00B42BB8">
        <w:rPr>
          <w:lang w:val="en-US"/>
        </w:rPr>
        <w:t xml:space="preserve"> interference</w:t>
      </w:r>
      <w:r w:rsidR="004633A1">
        <w:rPr>
          <w:lang w:val="en-US"/>
        </w:rPr>
        <w:t xml:space="preserve"> </w:t>
      </w:r>
      <w:r w:rsidR="00EC0696">
        <w:rPr>
          <w:lang w:val="en-US"/>
        </w:rPr>
        <w:t>with</w:t>
      </w:r>
      <w:r w:rsidR="004633A1">
        <w:rPr>
          <w:lang w:val="en-US"/>
        </w:rPr>
        <w:t xml:space="preserve"> his private and family life by </w:t>
      </w:r>
      <w:r w:rsidR="004633A1" w:rsidRPr="004633A1">
        <w:rPr>
          <w:lang w:val="en-US"/>
        </w:rPr>
        <w:t>intelligence agencies and law enforcement bodies</w:t>
      </w:r>
      <w:r w:rsidR="00C00F05">
        <w:rPr>
          <w:lang w:val="en-US"/>
        </w:rPr>
        <w:t xml:space="preserve"> constitutes a</w:t>
      </w:r>
      <w:r w:rsidR="004633A1">
        <w:rPr>
          <w:lang w:val="en-US"/>
        </w:rPr>
        <w:t xml:space="preserve"> violation of his rights under article 17 of the Covenant.</w:t>
      </w:r>
    </w:p>
    <w:p w14:paraId="63B909F6" w14:textId="77777777" w:rsidR="00C87A1F" w:rsidRPr="004E1F96" w:rsidRDefault="00070A9C" w:rsidP="00AE2500">
      <w:pPr>
        <w:pStyle w:val="SingleTxtG"/>
      </w:pPr>
      <w:r>
        <w:rPr>
          <w:lang w:val="en-US"/>
        </w:rPr>
        <w:t>3.2</w:t>
      </w:r>
      <w:r>
        <w:rPr>
          <w:lang w:val="en-US"/>
        </w:rPr>
        <w:tab/>
        <w:t xml:space="preserve">He also </w:t>
      </w:r>
      <w:r w:rsidR="005A0515">
        <w:rPr>
          <w:lang w:val="en-US"/>
        </w:rPr>
        <w:t xml:space="preserve">claims </w:t>
      </w:r>
      <w:r w:rsidR="007E246D">
        <w:rPr>
          <w:lang w:val="en-US"/>
        </w:rPr>
        <w:t xml:space="preserve">a violation of </w:t>
      </w:r>
      <w:r w:rsidR="00E810E4">
        <w:rPr>
          <w:lang w:val="en-US"/>
        </w:rPr>
        <w:t>his right to freedom of opinion</w:t>
      </w:r>
      <w:r w:rsidR="00AE2500">
        <w:rPr>
          <w:lang w:val="en-US"/>
        </w:rPr>
        <w:t xml:space="preserve"> under</w:t>
      </w:r>
      <w:r w:rsidR="00E810E4">
        <w:rPr>
          <w:lang w:val="en-US"/>
        </w:rPr>
        <w:t xml:space="preserve"> </w:t>
      </w:r>
      <w:r w:rsidR="007E246D">
        <w:rPr>
          <w:lang w:val="en-US"/>
        </w:rPr>
        <w:t>article 19</w:t>
      </w:r>
      <w:r w:rsidR="00C14D31">
        <w:rPr>
          <w:lang w:val="en-US"/>
        </w:rPr>
        <w:t xml:space="preserve"> (</w:t>
      </w:r>
      <w:r w:rsidR="007E246D">
        <w:rPr>
          <w:lang w:val="en-US"/>
        </w:rPr>
        <w:t>2</w:t>
      </w:r>
      <w:r w:rsidR="00C14D31">
        <w:rPr>
          <w:lang w:val="en-US"/>
        </w:rPr>
        <w:t>)</w:t>
      </w:r>
      <w:r w:rsidR="007E246D">
        <w:rPr>
          <w:lang w:val="en-US"/>
        </w:rPr>
        <w:t xml:space="preserve"> of the Covenant</w:t>
      </w:r>
      <w:r w:rsidR="00C14D31">
        <w:rPr>
          <w:lang w:val="en-US"/>
        </w:rPr>
        <w:t>,</w:t>
      </w:r>
      <w:r w:rsidR="007E246D">
        <w:rPr>
          <w:lang w:val="en-US"/>
        </w:rPr>
        <w:t xml:space="preserve"> </w:t>
      </w:r>
      <w:r w:rsidR="00117A65">
        <w:rPr>
          <w:lang w:val="en-US"/>
        </w:rPr>
        <w:t>arguing that</w:t>
      </w:r>
      <w:r w:rsidR="005A0515">
        <w:rPr>
          <w:lang w:val="en-US"/>
        </w:rPr>
        <w:t xml:space="preserve"> he was fined for </w:t>
      </w:r>
      <w:r w:rsidR="00E810E4">
        <w:rPr>
          <w:lang w:val="en-US"/>
        </w:rPr>
        <w:t>lending</w:t>
      </w:r>
      <w:r w:rsidR="005A0515" w:rsidRPr="005A0515">
        <w:rPr>
          <w:lang w:val="en-US"/>
        </w:rPr>
        <w:t xml:space="preserve"> his neighbo</w:t>
      </w:r>
      <w:r w:rsidR="00C14D31">
        <w:rPr>
          <w:lang w:val="en-US"/>
        </w:rPr>
        <w:t>u</w:t>
      </w:r>
      <w:r w:rsidR="005A0515" w:rsidRPr="005A0515">
        <w:rPr>
          <w:lang w:val="en-US"/>
        </w:rPr>
        <w:t xml:space="preserve">r </w:t>
      </w:r>
      <w:r w:rsidR="00725706">
        <w:rPr>
          <w:lang w:val="en-US"/>
        </w:rPr>
        <w:t xml:space="preserve">newspapers </w:t>
      </w:r>
      <w:r w:rsidR="00F0213B">
        <w:rPr>
          <w:lang w:val="en-US"/>
        </w:rPr>
        <w:t>that did not bear</w:t>
      </w:r>
      <w:r w:rsidR="00725706" w:rsidRPr="00725706">
        <w:rPr>
          <w:lang w:val="en-US"/>
        </w:rPr>
        <w:t xml:space="preserve"> the </w:t>
      </w:r>
      <w:r w:rsidR="00D72754">
        <w:rPr>
          <w:lang w:val="en-US"/>
        </w:rPr>
        <w:t>publisher’s imprint</w:t>
      </w:r>
      <w:r w:rsidR="00725706">
        <w:rPr>
          <w:lang w:val="en-US"/>
        </w:rPr>
        <w:t xml:space="preserve"> </w:t>
      </w:r>
      <w:r w:rsidR="00572A82">
        <w:rPr>
          <w:lang w:val="en-US"/>
        </w:rPr>
        <w:t xml:space="preserve">required </w:t>
      </w:r>
      <w:r w:rsidR="00572A82" w:rsidRPr="00572A82">
        <w:rPr>
          <w:lang w:val="en-US"/>
        </w:rPr>
        <w:t>under article 22 of the Law on Mass Media</w:t>
      </w:r>
      <w:r w:rsidR="007C7883">
        <w:rPr>
          <w:lang w:val="en-US"/>
        </w:rPr>
        <w:t xml:space="preserve">. </w:t>
      </w:r>
      <w:r w:rsidR="0006215B">
        <w:t xml:space="preserve">The author requests as a remedy </w:t>
      </w:r>
      <w:r w:rsidR="0006215B" w:rsidRPr="000F52B5">
        <w:t>compensation for material damage</w:t>
      </w:r>
      <w:r w:rsidR="00AE2500">
        <w:t>s</w:t>
      </w:r>
      <w:r w:rsidR="0006215B" w:rsidRPr="000F52B5">
        <w:t xml:space="preserve"> in the amount of 770</w:t>
      </w:r>
      <w:r w:rsidR="0006215B">
        <w:t>,</w:t>
      </w:r>
      <w:r w:rsidR="0006215B" w:rsidRPr="000F52B5">
        <w:t>000 Belarus r</w:t>
      </w:r>
      <w:r w:rsidR="00053FE3">
        <w:t>o</w:t>
      </w:r>
      <w:r w:rsidR="0006215B" w:rsidRPr="000F52B5">
        <w:t>ubles</w:t>
      </w:r>
      <w:r w:rsidR="00AE2500">
        <w:t xml:space="preserve">, that is, </w:t>
      </w:r>
      <w:r w:rsidR="0006215B" w:rsidRPr="000F52B5">
        <w:t xml:space="preserve">the value of the imposed fine plus </w:t>
      </w:r>
      <w:r w:rsidR="003D1109">
        <w:t>court fees</w:t>
      </w:r>
      <w:r w:rsidR="0006215B" w:rsidRPr="000F52B5">
        <w:t xml:space="preserve">. </w:t>
      </w:r>
    </w:p>
    <w:p w14:paraId="4CBFFF94" w14:textId="77777777" w:rsidR="002D1387" w:rsidRDefault="007A7378" w:rsidP="007A7378">
      <w:pPr>
        <w:pStyle w:val="H23G"/>
      </w:pPr>
      <w:r>
        <w:tab/>
      </w:r>
      <w:r>
        <w:tab/>
      </w:r>
      <w:r w:rsidR="002D1387" w:rsidRPr="002D60F9">
        <w:t>State party</w:t>
      </w:r>
      <w:r w:rsidR="00383CFA">
        <w:t>’</w:t>
      </w:r>
      <w:r w:rsidR="002D1387" w:rsidRPr="002D60F9">
        <w:t xml:space="preserve">s </w:t>
      </w:r>
      <w:r w:rsidR="002D1387" w:rsidRPr="007A7378">
        <w:t>observations</w:t>
      </w:r>
      <w:r w:rsidR="002D1387" w:rsidRPr="002D60F9">
        <w:t xml:space="preserve"> on admissibility</w:t>
      </w:r>
    </w:p>
    <w:p w14:paraId="7CBCA91A" w14:textId="77777777" w:rsidR="008F0E77" w:rsidRPr="00DA7402" w:rsidRDefault="008F0E77" w:rsidP="002A4347">
      <w:pPr>
        <w:pStyle w:val="SingleTxtG"/>
      </w:pPr>
      <w:r w:rsidRPr="00DA7402">
        <w:t>4.1</w:t>
      </w:r>
      <w:r w:rsidRPr="00DA7402">
        <w:tab/>
      </w:r>
      <w:r w:rsidR="00AE2500">
        <w:t>In a</w:t>
      </w:r>
      <w:r w:rsidRPr="00DA7402">
        <w:t xml:space="preserve"> note verbale </w:t>
      </w:r>
      <w:r w:rsidR="00D20495">
        <w:t>dated</w:t>
      </w:r>
      <w:r w:rsidRPr="00DA7402">
        <w:t xml:space="preserve"> 6 January 2011, the State party conveyed, with regard to the present communication and several other communications before the Committee, its concern about</w:t>
      </w:r>
      <w:r w:rsidR="00AE2500">
        <w:t>, inter alia,</w:t>
      </w:r>
      <w:r w:rsidRPr="00DA7402">
        <w:t xml:space="preserve"> </w:t>
      </w:r>
      <w:r w:rsidR="008928B6">
        <w:t xml:space="preserve">the </w:t>
      </w:r>
      <w:r w:rsidRPr="00DA7402">
        <w:t>unjustified registration of communications submitted by individuals under its jurisdiction who, it consider</w:t>
      </w:r>
      <w:r w:rsidR="00802A21">
        <w:t>ed</w:t>
      </w:r>
      <w:r w:rsidRPr="00DA7402">
        <w:t>, ha</w:t>
      </w:r>
      <w:r w:rsidR="00802A21">
        <w:t>d</w:t>
      </w:r>
      <w:r w:rsidRPr="00DA7402">
        <w:t xml:space="preserve"> not exhausted all available domestic remedies in the State party, including filing an appeal with the Prosecutor’s Office for supervisory review of a judgement having the force of res judicata, in</w:t>
      </w:r>
      <w:r w:rsidR="00383CFA">
        <w:t xml:space="preserve"> </w:t>
      </w:r>
      <w:r w:rsidRPr="00DA7402">
        <w:t>violation of article 2 of the Optional Protocol. It submit</w:t>
      </w:r>
      <w:r w:rsidR="00E918C1">
        <w:t>ted</w:t>
      </w:r>
      <w:r w:rsidRPr="00DA7402">
        <w:t xml:space="preserve"> that, </w:t>
      </w:r>
      <w:r w:rsidR="00802A21">
        <w:t xml:space="preserve">although it was </w:t>
      </w:r>
      <w:r w:rsidRPr="00DA7402">
        <w:t xml:space="preserve">a party to the Optional Protocol and recognized the Committee’s competence under article 1 thereof, </w:t>
      </w:r>
      <w:r w:rsidR="00802A21">
        <w:t>it</w:t>
      </w:r>
      <w:r w:rsidRPr="00DA7402">
        <w:t xml:space="preserve"> </w:t>
      </w:r>
      <w:r w:rsidR="00802A21">
        <w:t>did</w:t>
      </w:r>
      <w:r w:rsidRPr="00DA7402">
        <w:t xml:space="preserve"> not consent to the extension of the Committee’s mandate; that the present communication was registered </w:t>
      </w:r>
      <w:r w:rsidR="00E918C1">
        <w:t xml:space="preserve">by the Committee </w:t>
      </w:r>
      <w:r w:rsidRPr="00DA7402">
        <w:t xml:space="preserve">in violation of the provisions of the Optional Protocol; that there </w:t>
      </w:r>
      <w:r w:rsidR="00E918C1">
        <w:t>we</w:t>
      </w:r>
      <w:r w:rsidRPr="00DA7402">
        <w:t xml:space="preserve">re no legal grounds for the State party to consider it; and that any decision taken by the Committee on </w:t>
      </w:r>
      <w:r w:rsidR="00D20495">
        <w:t>this</w:t>
      </w:r>
      <w:r w:rsidRPr="00DA7402">
        <w:t xml:space="preserve"> communication</w:t>
      </w:r>
      <w:r w:rsidR="00D20495">
        <w:t xml:space="preserve"> would</w:t>
      </w:r>
      <w:r w:rsidRPr="00DA7402">
        <w:t xml:space="preserve"> be considered legally invalid. It </w:t>
      </w:r>
      <w:r w:rsidR="00E918C1">
        <w:t xml:space="preserve">also </w:t>
      </w:r>
      <w:r w:rsidRPr="00DA7402">
        <w:t>state</w:t>
      </w:r>
      <w:r w:rsidR="00D20495">
        <w:t>d</w:t>
      </w:r>
      <w:r w:rsidRPr="00DA7402">
        <w:t xml:space="preserve"> that any references to the Committee’s long-standing practice </w:t>
      </w:r>
      <w:r w:rsidR="00E918C1">
        <w:t xml:space="preserve">regarding the registration of communications </w:t>
      </w:r>
      <w:r w:rsidR="00D20495">
        <w:t>we</w:t>
      </w:r>
      <w:r w:rsidRPr="00DA7402">
        <w:t>re not legally binding on it.</w:t>
      </w:r>
    </w:p>
    <w:p w14:paraId="6CB05091" w14:textId="77777777" w:rsidR="005B6B1A" w:rsidRPr="00DA7402" w:rsidRDefault="00451EEC" w:rsidP="00E918C1">
      <w:pPr>
        <w:pStyle w:val="SingleTxtG"/>
      </w:pPr>
      <w:r w:rsidRPr="00DA7402">
        <w:t>4.2</w:t>
      </w:r>
      <w:r w:rsidRPr="00DA7402">
        <w:tab/>
      </w:r>
      <w:r w:rsidR="00D20495">
        <w:t xml:space="preserve">In a </w:t>
      </w:r>
      <w:r w:rsidR="005B6B1A" w:rsidRPr="00DA7402">
        <w:t xml:space="preserve">letter </w:t>
      </w:r>
      <w:r w:rsidR="00D20495">
        <w:t>dated</w:t>
      </w:r>
      <w:r w:rsidR="005B6B1A" w:rsidRPr="00DA7402">
        <w:t xml:space="preserve"> 19 April 201</w:t>
      </w:r>
      <w:r w:rsidR="00532EFD" w:rsidRPr="00DA7402">
        <w:t>1</w:t>
      </w:r>
      <w:r w:rsidR="005B6B1A" w:rsidRPr="00DA7402">
        <w:t xml:space="preserve">, the Chair of the Committee informed the State party that, </w:t>
      </w:r>
      <w:r w:rsidR="00D20495">
        <w:t>further to</w:t>
      </w:r>
      <w:r w:rsidR="005B6B1A" w:rsidRPr="00DA7402">
        <w:t xml:space="preserve"> article 4</w:t>
      </w:r>
      <w:r w:rsidR="00D20495">
        <w:t xml:space="preserve"> (</w:t>
      </w:r>
      <w:r w:rsidR="005B6B1A" w:rsidRPr="00DA7402">
        <w:t>2</w:t>
      </w:r>
      <w:r w:rsidR="00D20495">
        <w:t>)</w:t>
      </w:r>
      <w:r w:rsidR="005B6B1A" w:rsidRPr="00DA7402">
        <w:t xml:space="preserve"> of the Optional Protocol to the Covenant</w:t>
      </w:r>
      <w:r w:rsidR="00D20495">
        <w:t>, it was implicit</w:t>
      </w:r>
      <w:r w:rsidR="005B6B1A" w:rsidRPr="00DA7402">
        <w:t xml:space="preserve"> that </w:t>
      </w:r>
      <w:r w:rsidR="00D20495">
        <w:t>the</w:t>
      </w:r>
      <w:r w:rsidR="005B6B1A" w:rsidRPr="00DA7402">
        <w:t xml:space="preserve"> State party must provide the Committee with all the information at its disposal. The State party was requested to submit </w:t>
      </w:r>
      <w:r w:rsidR="00D20495">
        <w:t>additional</w:t>
      </w:r>
      <w:r w:rsidR="00D20495" w:rsidRPr="00DA7402">
        <w:t xml:space="preserve"> </w:t>
      </w:r>
      <w:r w:rsidR="005B6B1A" w:rsidRPr="00DA7402">
        <w:t xml:space="preserve">observations </w:t>
      </w:r>
      <w:r w:rsidR="00D20495">
        <w:t>regarding</w:t>
      </w:r>
      <w:r w:rsidR="005B6B1A" w:rsidRPr="00DA7402">
        <w:t xml:space="preserve"> the admissibility and the merits of the c</w:t>
      </w:r>
      <w:r w:rsidR="00D20495">
        <w:t>ommunication</w:t>
      </w:r>
      <w:r w:rsidR="005B6B1A" w:rsidRPr="00DA7402">
        <w:t>. The State party was also informed that, in the absence of observations, the Committee would proceed with the examination of the communication based on the information available to it.</w:t>
      </w:r>
    </w:p>
    <w:p w14:paraId="430FA9E9" w14:textId="77777777" w:rsidR="0031201E" w:rsidRPr="00DA7402" w:rsidRDefault="00451EEC" w:rsidP="0031201E">
      <w:pPr>
        <w:pStyle w:val="SingleTxtG"/>
      </w:pPr>
      <w:r w:rsidRPr="00DA7402">
        <w:t>4.3</w:t>
      </w:r>
      <w:r w:rsidRPr="00DA7402">
        <w:tab/>
      </w:r>
      <w:r w:rsidR="0031201E" w:rsidRPr="00DA7402">
        <w:t>On 1 November 2011, the State party was again invited to submit its observations on</w:t>
      </w:r>
      <w:r w:rsidR="00E918C1">
        <w:t xml:space="preserve"> the</w:t>
      </w:r>
      <w:r w:rsidR="0031201E" w:rsidRPr="00DA7402">
        <w:t xml:space="preserve"> admissibility and </w:t>
      </w:r>
      <w:r w:rsidR="0010289F">
        <w:t xml:space="preserve">the </w:t>
      </w:r>
      <w:r w:rsidR="0031201E" w:rsidRPr="00DA7402">
        <w:t>merits</w:t>
      </w:r>
      <w:r w:rsidR="00D20495">
        <w:t xml:space="preserve"> of the communication</w:t>
      </w:r>
      <w:r w:rsidR="0031201E" w:rsidRPr="00DA7402">
        <w:t>.</w:t>
      </w:r>
    </w:p>
    <w:p w14:paraId="4AF62463" w14:textId="77777777" w:rsidR="00451EEC" w:rsidRPr="00DA7402" w:rsidRDefault="00451EEC" w:rsidP="001E5389">
      <w:pPr>
        <w:pStyle w:val="SingleTxtG"/>
      </w:pPr>
      <w:r w:rsidRPr="00DA7402">
        <w:t>4.4</w:t>
      </w:r>
      <w:r w:rsidRPr="00DA7402">
        <w:tab/>
      </w:r>
      <w:r w:rsidR="00D20495">
        <w:t xml:space="preserve">In a </w:t>
      </w:r>
      <w:r w:rsidRPr="00DA7402">
        <w:t xml:space="preserve">note verbale </w:t>
      </w:r>
      <w:r w:rsidR="00D20495">
        <w:t>dated</w:t>
      </w:r>
      <w:r w:rsidRPr="00DA7402">
        <w:t xml:space="preserve"> 25 January 2012, the State party reiterated its position on the admissibility of individual communications registered </w:t>
      </w:r>
      <w:r w:rsidR="00E918C1">
        <w:t>by</w:t>
      </w:r>
      <w:r w:rsidRPr="00DA7402">
        <w:t xml:space="preserve"> the Committee</w:t>
      </w:r>
      <w:r w:rsidR="005F35D2">
        <w:t xml:space="preserve"> and</w:t>
      </w:r>
      <w:r w:rsidRPr="00DA7402">
        <w:t xml:space="preserve"> its </w:t>
      </w:r>
      <w:r w:rsidRPr="00DA7402">
        <w:lastRenderedPageBreak/>
        <w:t xml:space="preserve">observations </w:t>
      </w:r>
      <w:r w:rsidR="00E918C1">
        <w:t>of</w:t>
      </w:r>
      <w:r w:rsidRPr="00DA7402">
        <w:t xml:space="preserve"> 6 January 2011. It submit</w:t>
      </w:r>
      <w:r w:rsidR="005F35D2">
        <w:t>ted</w:t>
      </w:r>
      <w:r w:rsidRPr="00DA7402">
        <w:t xml:space="preserve"> that, upon becoming a party to the Optional Protocol, it ha</w:t>
      </w:r>
      <w:r w:rsidR="005F35D2">
        <w:t>d agreed to</w:t>
      </w:r>
      <w:r w:rsidRPr="00DA7402">
        <w:t xml:space="preserve"> recognize the Committee’s competence, under article 1 thereof, to receive and consider communications from individuals subject to its jurisdiction who claim to be victims of a violation by the State party of any rights set forth in the Covenant. It note</w:t>
      </w:r>
      <w:r w:rsidR="005F35D2">
        <w:t>d</w:t>
      </w:r>
      <w:r w:rsidRPr="00DA7402">
        <w:t>, however, that that recognition was undertaken in conjunction with other provisions of the Optional Protocol, including those establishing criteria regarding petitioners and the admissibility of their communications, in particular articles 2 and 5 of the Optional Protocol. The State party maintain</w:t>
      </w:r>
      <w:r w:rsidR="005F35D2">
        <w:t>ed</w:t>
      </w:r>
      <w:r w:rsidRPr="00DA7402">
        <w:t xml:space="preserve"> that, under the Optional Protocol, States parties ha</w:t>
      </w:r>
      <w:r w:rsidR="002A4347">
        <w:t>d</w:t>
      </w:r>
      <w:r w:rsidRPr="00DA7402">
        <w:t xml:space="preserve"> no obligation to recognize the Committee’s rules of procedure nor its interpretation of the provisions of the Optional Protocol, which could only be effective when done in accordance with the Vienna Convention on the Law of Treaties. It submit</w:t>
      </w:r>
      <w:r w:rsidR="005F35D2">
        <w:t>ted</w:t>
      </w:r>
      <w:r w:rsidRPr="00DA7402">
        <w:t xml:space="preserve"> that, in relation to the </w:t>
      </w:r>
      <w:r w:rsidR="0092226D">
        <w:t>com</w:t>
      </w:r>
      <w:r w:rsidR="002A4347">
        <w:t>plaint</w:t>
      </w:r>
      <w:r w:rsidRPr="00DA7402">
        <w:t xml:space="preserve"> procedure, States parties should be guided first and foremost by the provisions of the Optional Protocol and that reference</w:t>
      </w:r>
      <w:r w:rsidR="002A4347">
        <w:t>s</w:t>
      </w:r>
      <w:r w:rsidRPr="00DA7402">
        <w:t xml:space="preserve"> to the Committee’s long-standing practice, methods of work and case law </w:t>
      </w:r>
      <w:r w:rsidR="005F35D2">
        <w:t xml:space="preserve">were </w:t>
      </w:r>
      <w:r w:rsidRPr="00DA7402">
        <w:t>not sub</w:t>
      </w:r>
      <w:r w:rsidR="00F6288D">
        <w:t>ject</w:t>
      </w:r>
      <w:r w:rsidR="005F35D2">
        <w:t>s</w:t>
      </w:r>
      <w:r w:rsidR="00F6288D">
        <w:t xml:space="preserve"> of the Optional Protocol. </w:t>
      </w:r>
      <w:r w:rsidRPr="00DA7402">
        <w:t xml:space="preserve">It </w:t>
      </w:r>
      <w:r w:rsidR="005F35D2">
        <w:t>also</w:t>
      </w:r>
      <w:r w:rsidRPr="00DA7402">
        <w:t xml:space="preserve"> submit</w:t>
      </w:r>
      <w:r w:rsidR="005F35D2">
        <w:t>ted</w:t>
      </w:r>
      <w:r w:rsidRPr="00DA7402">
        <w:t xml:space="preserve"> that any communication registered in violation of the provisions of the Optional Protocol w</w:t>
      </w:r>
      <w:r w:rsidR="005F35D2">
        <w:t>ould</w:t>
      </w:r>
      <w:r w:rsidRPr="00DA7402">
        <w:t xml:space="preserve"> be viewed by </w:t>
      </w:r>
      <w:r w:rsidR="002A4347">
        <w:t>it</w:t>
      </w:r>
      <w:r w:rsidRPr="00DA7402">
        <w:t xml:space="preserve"> as </w:t>
      </w:r>
      <w:r w:rsidR="002A4347">
        <w:t xml:space="preserve">being </w:t>
      </w:r>
      <w:r w:rsidRPr="00DA7402">
        <w:t>incompatible with the Optional Protocol and w</w:t>
      </w:r>
      <w:r w:rsidR="002A4347">
        <w:t>ould</w:t>
      </w:r>
      <w:r w:rsidRPr="00DA7402">
        <w:t xml:space="preserve"> be rejected without comments on the admissibility or </w:t>
      </w:r>
      <w:r w:rsidR="002A4347">
        <w:t xml:space="preserve">the </w:t>
      </w:r>
      <w:r w:rsidRPr="00DA7402">
        <w:t xml:space="preserve">merits, and that any decision taken by the Committee on such </w:t>
      </w:r>
      <w:r w:rsidR="002A4347">
        <w:t>rejected</w:t>
      </w:r>
      <w:r w:rsidRPr="00DA7402">
        <w:t xml:space="preserve"> communications w</w:t>
      </w:r>
      <w:r w:rsidR="005F35D2">
        <w:t>ould</w:t>
      </w:r>
      <w:r w:rsidRPr="00DA7402">
        <w:t xml:space="preserve"> be considered by its authorities as “invalid”</w:t>
      </w:r>
      <w:r w:rsidR="002A4347">
        <w:t>.</w:t>
      </w:r>
      <w:r w:rsidRPr="00DA7402">
        <w:t xml:space="preserve"> The State party also reiterate</w:t>
      </w:r>
      <w:r w:rsidR="005F35D2">
        <w:t>d</w:t>
      </w:r>
      <w:r w:rsidRPr="00DA7402">
        <w:t xml:space="preserve"> its view that the present communication as well as several other communications before the Committee </w:t>
      </w:r>
      <w:r w:rsidR="001E5389">
        <w:t>have been</w:t>
      </w:r>
      <w:r w:rsidRPr="00DA7402">
        <w:t xml:space="preserve"> registered in violation of the Optional Protocol.</w:t>
      </w:r>
    </w:p>
    <w:p w14:paraId="5FDED483" w14:textId="77777777" w:rsidR="00BC10C0" w:rsidRPr="00665BD9" w:rsidRDefault="00665BD9" w:rsidP="005F35D2">
      <w:pPr>
        <w:pStyle w:val="SingleTxtG"/>
      </w:pPr>
      <w:r w:rsidRPr="00665BD9">
        <w:t>4.5</w:t>
      </w:r>
      <w:r w:rsidRPr="00665BD9">
        <w:tab/>
      </w:r>
      <w:r w:rsidR="00BC10C0" w:rsidRPr="00665BD9">
        <w:t>On 7 February</w:t>
      </w:r>
      <w:r w:rsidR="0094142B" w:rsidRPr="00665BD9">
        <w:t xml:space="preserve"> 2012</w:t>
      </w:r>
      <w:r w:rsidR="00BC10C0" w:rsidRPr="00665BD9">
        <w:t>, the State party was again invited to submit its observations on</w:t>
      </w:r>
      <w:r w:rsidR="005F35D2">
        <w:t xml:space="preserve"> the</w:t>
      </w:r>
      <w:r w:rsidR="00BC10C0" w:rsidRPr="00665BD9">
        <w:t xml:space="preserve"> admissibility and </w:t>
      </w:r>
      <w:r w:rsidR="001E5389">
        <w:t xml:space="preserve">the </w:t>
      </w:r>
      <w:r w:rsidR="00BC10C0" w:rsidRPr="00665BD9">
        <w:t>merits</w:t>
      </w:r>
      <w:r w:rsidR="005F35D2">
        <w:t xml:space="preserve"> of the communication</w:t>
      </w:r>
      <w:r w:rsidR="00BC10C0" w:rsidRPr="00665BD9">
        <w:t xml:space="preserve">, and was informed that, in the absence of </w:t>
      </w:r>
      <w:r w:rsidR="005F35D2">
        <w:t>additional</w:t>
      </w:r>
      <w:r w:rsidR="005F35D2" w:rsidRPr="00665BD9">
        <w:t xml:space="preserve"> </w:t>
      </w:r>
      <w:r w:rsidR="00BC10C0" w:rsidRPr="00665BD9">
        <w:t xml:space="preserve">information, the Committee would examine the communication based on the information available on file. </w:t>
      </w:r>
    </w:p>
    <w:p w14:paraId="028B8AAC" w14:textId="77777777" w:rsidR="0031201E" w:rsidRPr="00665BD9" w:rsidRDefault="00665BD9" w:rsidP="005F35D2">
      <w:pPr>
        <w:pStyle w:val="SingleTxtG"/>
      </w:pPr>
      <w:r w:rsidRPr="00665BD9">
        <w:t>4.6</w:t>
      </w:r>
      <w:r w:rsidRPr="00665BD9">
        <w:tab/>
      </w:r>
      <w:r w:rsidR="005F35D2">
        <w:t xml:space="preserve">In a </w:t>
      </w:r>
      <w:r w:rsidR="003735DC" w:rsidRPr="00665BD9">
        <w:t>note verbal</w:t>
      </w:r>
      <w:r w:rsidRPr="00665BD9">
        <w:t>e</w:t>
      </w:r>
      <w:r w:rsidR="005F35D2">
        <w:t xml:space="preserve"> dated</w:t>
      </w:r>
      <w:r w:rsidRPr="00665BD9">
        <w:t xml:space="preserve"> 14 February 2012, t</w:t>
      </w:r>
      <w:r w:rsidR="003735DC" w:rsidRPr="00665BD9">
        <w:t xml:space="preserve">he State party reiterated its position </w:t>
      </w:r>
      <w:r w:rsidR="00722A94">
        <w:t xml:space="preserve">and observations </w:t>
      </w:r>
      <w:r w:rsidR="003735DC" w:rsidRPr="00665BD9">
        <w:t xml:space="preserve">in the note verbale of 25 January 2012. </w:t>
      </w:r>
    </w:p>
    <w:p w14:paraId="3E539D3C" w14:textId="77777777" w:rsidR="00FA1946" w:rsidRPr="00FA1946" w:rsidRDefault="00730F4D" w:rsidP="00730F4D">
      <w:pPr>
        <w:pStyle w:val="H23G"/>
      </w:pPr>
      <w:r>
        <w:tab/>
      </w:r>
      <w:r>
        <w:tab/>
      </w:r>
      <w:r w:rsidR="00FA1946" w:rsidRPr="00FA1946">
        <w:t xml:space="preserve">Author’s comments on the State party’s observations </w:t>
      </w:r>
    </w:p>
    <w:p w14:paraId="28C3DBD8" w14:textId="77777777" w:rsidR="00FA1946" w:rsidRPr="00FA1946" w:rsidRDefault="00FA1946" w:rsidP="004D5D21">
      <w:pPr>
        <w:pStyle w:val="SingleTxtG"/>
      </w:pPr>
      <w:r>
        <w:t>5.1</w:t>
      </w:r>
      <w:r>
        <w:tab/>
      </w:r>
      <w:r w:rsidRPr="00722A94">
        <w:t>On 21 March 2012</w:t>
      </w:r>
      <w:r w:rsidRPr="00FA1946">
        <w:t xml:space="preserve">, the author submitted that the State party was challenging the Committee’s right to develop its rules of procedure, as well as the usual practice of international bodies to develop internal regulations for their functioning. He maintains that the rules of procedure do not contradict the Covenant and are accepted by States </w:t>
      </w:r>
      <w:r w:rsidR="00722A94">
        <w:t xml:space="preserve">parties </w:t>
      </w:r>
      <w:r w:rsidRPr="00FA1946">
        <w:t>as stemming from the competency of the Committee. Furthermore, without internal regulations</w:t>
      </w:r>
      <w:r w:rsidR="00722A94">
        <w:t>,</w:t>
      </w:r>
      <w:r w:rsidRPr="00FA1946">
        <w:t xml:space="preserve"> international bodies would not be able to function. </w:t>
      </w:r>
    </w:p>
    <w:p w14:paraId="7CD5BE2A" w14:textId="77777777" w:rsidR="00FA1946" w:rsidRPr="00FA1946" w:rsidRDefault="00FA1946" w:rsidP="00E46842">
      <w:pPr>
        <w:pStyle w:val="SingleTxtG"/>
      </w:pPr>
      <w:r>
        <w:t>5.2</w:t>
      </w:r>
      <w:r>
        <w:tab/>
      </w:r>
      <w:r w:rsidRPr="00FA1946">
        <w:t xml:space="preserve">The author </w:t>
      </w:r>
      <w:r w:rsidR="00722A94">
        <w:t>also</w:t>
      </w:r>
      <w:r w:rsidRPr="00FA1946">
        <w:t xml:space="preserve"> submits that, by becoming a party to the Optional Protocol, Belarus recognized not only the Committee’s competence to issue decisions regarding the existence or absence of violations of the Covenant, but also recognized, in accordance with article 40</w:t>
      </w:r>
      <w:r w:rsidR="004D5D21">
        <w:t xml:space="preserve"> (</w:t>
      </w:r>
      <w:r w:rsidRPr="00FA1946">
        <w:t>4</w:t>
      </w:r>
      <w:r w:rsidR="004D5D21">
        <w:t>)</w:t>
      </w:r>
      <w:r w:rsidRPr="00FA1946">
        <w:t xml:space="preserve"> of the Covenant, the Committee’s competence to transmit to States parties reports and general comments that it considers appropriate. Under article 2 of the Covenant, the State party is also obliged to ensure that any person within its territory and subject to its jurisdiction has an effective remedy if his or her rights under the Covenant are violated. By accepting the competence of the Committee to determine, in concrete cases, the effectiveness of a particular domestic remedy, the State party has also undertaken to take into consideration the Committee’s general comments. The role of the Committee ultimately includes interpret</w:t>
      </w:r>
      <w:r w:rsidR="00E46842">
        <w:t>ing</w:t>
      </w:r>
      <w:r w:rsidRPr="00FA1946">
        <w:t xml:space="preserve"> the provisions of the Covenant and develop</w:t>
      </w:r>
      <w:r w:rsidR="00E46842">
        <w:t>ing</w:t>
      </w:r>
      <w:r w:rsidRPr="00FA1946">
        <w:t xml:space="preserve"> jurisprudence. Accordingly, by refusing to recognize the standards, practices, methods of work and precedents of the Committee, Belarus </w:t>
      </w:r>
      <w:r w:rsidR="00E46842">
        <w:t xml:space="preserve">is </w:t>
      </w:r>
      <w:r w:rsidRPr="00FA1946">
        <w:t>in effect refus</w:t>
      </w:r>
      <w:r w:rsidR="00E46842">
        <w:t>ing</w:t>
      </w:r>
      <w:r w:rsidRPr="00FA1946">
        <w:t xml:space="preserve"> to recognize </w:t>
      </w:r>
      <w:r w:rsidR="00E46842">
        <w:t>the Committee’s</w:t>
      </w:r>
      <w:r w:rsidRPr="00FA1946">
        <w:t xml:space="preserve"> competence to interpret the Covenant, which contradicts the object and purpose of the Covenant.</w:t>
      </w:r>
    </w:p>
    <w:p w14:paraId="2EED4326" w14:textId="77777777" w:rsidR="00FA1946" w:rsidRPr="00FA1946" w:rsidRDefault="00FA1946" w:rsidP="00E46842">
      <w:pPr>
        <w:pStyle w:val="SingleTxtG"/>
      </w:pPr>
      <w:r>
        <w:t>5.3</w:t>
      </w:r>
      <w:r>
        <w:tab/>
      </w:r>
      <w:r w:rsidRPr="00FA1946">
        <w:t>The author submits that, having voluntarily accepted the jurisdiction of the Committee</w:t>
      </w:r>
      <w:r w:rsidR="00E46842">
        <w:t xml:space="preserve"> when it became a party to the Covenant and its Optional Protocol</w:t>
      </w:r>
      <w:r w:rsidRPr="00FA1946">
        <w:t xml:space="preserve">, the State party has no right to infringe on </w:t>
      </w:r>
      <w:r w:rsidR="00E46842">
        <w:t xml:space="preserve">the Committee’s </w:t>
      </w:r>
      <w:r w:rsidRPr="00FA1946">
        <w:t>competence and ignore its authoritative opinion</w:t>
      </w:r>
      <w:r w:rsidR="00E46842">
        <w:t>s</w:t>
      </w:r>
      <w:r w:rsidRPr="00FA1946">
        <w:t>.</w:t>
      </w:r>
      <w:r w:rsidRPr="00383CFA">
        <w:rPr>
          <w:rStyle w:val="FootnoteReference"/>
        </w:rPr>
        <w:footnoteReference w:id="4"/>
      </w:r>
      <w:r w:rsidRPr="00FA1946">
        <w:t xml:space="preserve"> The State party is not only obliged to implement the decisions of the Committee, but it is also obliged to recognize its standards, practices, methods of work and precedents. The above argument is based on the most important principle of international law — </w:t>
      </w:r>
      <w:r w:rsidRPr="00FA1946">
        <w:rPr>
          <w:i/>
          <w:iCs/>
        </w:rPr>
        <w:t>pacta sunt servanda</w:t>
      </w:r>
      <w:r w:rsidRPr="00FA1946">
        <w:t xml:space="preserve"> —, according to which every </w:t>
      </w:r>
      <w:hyperlink r:id="rId11" w:history="1">
        <w:r w:rsidRPr="00FA1946">
          <w:rPr>
            <w:rStyle w:val="Hyperlink"/>
            <w:lang w:val="en-US"/>
          </w:rPr>
          <w:t>treaty</w:t>
        </w:r>
      </w:hyperlink>
      <w:r w:rsidRPr="00FA1946">
        <w:t xml:space="preserve"> in force is binding upon the parties to it and must be performed by them in </w:t>
      </w:r>
      <w:hyperlink r:id="rId12" w:history="1">
        <w:r w:rsidRPr="00FA1946">
          <w:rPr>
            <w:rStyle w:val="Hyperlink"/>
            <w:lang w:val="en-US"/>
          </w:rPr>
          <w:t>good faith</w:t>
        </w:r>
      </w:hyperlink>
      <w:r w:rsidRPr="00FA1946">
        <w:t>.</w:t>
      </w:r>
    </w:p>
    <w:p w14:paraId="5F35E63D" w14:textId="77777777" w:rsidR="00FA1946" w:rsidRDefault="00FA1946" w:rsidP="008E2AA1">
      <w:pPr>
        <w:pStyle w:val="SingleTxtG"/>
      </w:pPr>
      <w:r>
        <w:t>5.4</w:t>
      </w:r>
      <w:r>
        <w:tab/>
      </w:r>
      <w:r w:rsidRPr="00FA1946">
        <w:t>Regarding the argument that he has not exhausted all domestic remedies, the author submits that such remedies should be available and effective and that, according to the Committee’s practice, an effective remedy is one that provides compensation and offers a reasonable prospect of redress. The author refers to the Committee’s consistent jurisprudence that supervisory review is a discretionary review process in former Soviet republics, which does not constitute an effective remedy for the purposes of exhaustion of domestic remedies.</w:t>
      </w:r>
      <w:r w:rsidRPr="00383CFA">
        <w:rPr>
          <w:rStyle w:val="FootnoteReference"/>
        </w:rPr>
        <w:footnoteReference w:id="5"/>
      </w:r>
      <w:r w:rsidRPr="00FA1946">
        <w:t xml:space="preserve"> The author </w:t>
      </w:r>
      <w:r w:rsidR="008E2AA1">
        <w:t>submits</w:t>
      </w:r>
      <w:r w:rsidRPr="00FA1946">
        <w:t xml:space="preserve"> that the European Court of Human Rights employs a similar standard</w:t>
      </w:r>
      <w:r w:rsidRPr="00383CFA">
        <w:rPr>
          <w:rStyle w:val="FootnoteReference"/>
        </w:rPr>
        <w:footnoteReference w:id="6"/>
      </w:r>
      <w:r w:rsidRPr="00FA1946">
        <w:t xml:space="preserve"> </w:t>
      </w:r>
      <w:r w:rsidR="008E2AA1">
        <w:t xml:space="preserve">and states </w:t>
      </w:r>
      <w:r w:rsidRPr="00FA1946">
        <w:t xml:space="preserve">that the ineffectiveness of the above-mentioned remedy was confirmed in the recent case of Vladislav Kovalev, who was executed while </w:t>
      </w:r>
      <w:r w:rsidR="008E2AA1">
        <w:t xml:space="preserve">his application for supervisory review was pending before </w:t>
      </w:r>
      <w:r w:rsidRPr="00FA1946">
        <w:t>the Supreme Court</w:t>
      </w:r>
      <w:r w:rsidR="00F238C0">
        <w:t>.</w:t>
      </w:r>
      <w:r w:rsidR="008E2AA1">
        <w:rPr>
          <w:rStyle w:val="FootnoteReference"/>
        </w:rPr>
        <w:footnoteReference w:id="7"/>
      </w:r>
    </w:p>
    <w:p w14:paraId="31CE9F68" w14:textId="77777777" w:rsidR="005B6B1A" w:rsidRDefault="00F238C0" w:rsidP="00E73CD3">
      <w:pPr>
        <w:pStyle w:val="SingleTxtG"/>
      </w:pPr>
      <w:r>
        <w:t>5.5</w:t>
      </w:r>
      <w:r>
        <w:tab/>
      </w:r>
      <w:r w:rsidR="0039111E">
        <w:t xml:space="preserve">The author informs </w:t>
      </w:r>
      <w:r w:rsidR="00D60ECE">
        <w:t xml:space="preserve">the Committee </w:t>
      </w:r>
      <w:r w:rsidR="0039111E">
        <w:t xml:space="preserve">that, after </w:t>
      </w:r>
      <w:r w:rsidR="00D60ECE">
        <w:t>s</w:t>
      </w:r>
      <w:r w:rsidR="0039111E">
        <w:t>ubmitt</w:t>
      </w:r>
      <w:r w:rsidR="00D60ECE">
        <w:t>ing</w:t>
      </w:r>
      <w:r w:rsidR="0039111E">
        <w:t xml:space="preserve"> his complaint to the Committee, he </w:t>
      </w:r>
      <w:r w:rsidR="00D60ECE">
        <w:t xml:space="preserve">applied to </w:t>
      </w:r>
      <w:r w:rsidR="000E138E">
        <w:t xml:space="preserve">the Supreme Court </w:t>
      </w:r>
      <w:r w:rsidR="00D60ECE">
        <w:t xml:space="preserve">for a supervisory </w:t>
      </w:r>
      <w:r w:rsidR="00280D65">
        <w:t>review</w:t>
      </w:r>
      <w:r w:rsidR="00D60ECE">
        <w:t xml:space="preserve"> of his case</w:t>
      </w:r>
      <w:r w:rsidR="008E05C0">
        <w:t xml:space="preserve"> and </w:t>
      </w:r>
      <w:r w:rsidR="00D60ECE">
        <w:t xml:space="preserve">that </w:t>
      </w:r>
      <w:r w:rsidR="008E05C0">
        <w:t xml:space="preserve">his appeal was rejected by </w:t>
      </w:r>
      <w:r w:rsidR="008E05C0" w:rsidRPr="008E05C0">
        <w:t xml:space="preserve">the Deputy </w:t>
      </w:r>
      <w:r w:rsidR="00D60ECE">
        <w:t>President</w:t>
      </w:r>
      <w:r w:rsidR="008E05C0" w:rsidRPr="008E05C0">
        <w:t xml:space="preserve"> of the Supreme Court</w:t>
      </w:r>
      <w:r w:rsidR="008E05C0">
        <w:t xml:space="preserve"> on </w:t>
      </w:r>
      <w:r w:rsidR="005F059A">
        <w:t>24 February 2010</w:t>
      </w:r>
      <w:r w:rsidR="008E05C0">
        <w:t>.</w:t>
      </w:r>
      <w:r w:rsidR="00D905E1">
        <w:t xml:space="preserve"> </w:t>
      </w:r>
      <w:r w:rsidR="002C51DB">
        <w:t xml:space="preserve">He </w:t>
      </w:r>
      <w:r w:rsidR="00D760D7">
        <w:t>submits</w:t>
      </w:r>
      <w:r w:rsidR="00D905E1">
        <w:t xml:space="preserve"> that</w:t>
      </w:r>
      <w:r w:rsidR="00D60ECE">
        <w:t>,</w:t>
      </w:r>
      <w:r w:rsidR="00D905E1">
        <w:t xml:space="preserve"> one day earlier, on 23 February 2010, </w:t>
      </w:r>
      <w:r w:rsidR="00035529">
        <w:t>Law No. 98-Z</w:t>
      </w:r>
      <w:r w:rsidR="00757CC9">
        <w:t xml:space="preserve"> of 28 December 2009 </w:t>
      </w:r>
      <w:r w:rsidR="00D60ECE">
        <w:t>o</w:t>
      </w:r>
      <w:r w:rsidR="00035529">
        <w:t xml:space="preserve">n Amendments and </w:t>
      </w:r>
      <w:r w:rsidR="008A6F9F">
        <w:t>Additions</w:t>
      </w:r>
      <w:r w:rsidR="00035529">
        <w:t xml:space="preserve"> to </w:t>
      </w:r>
      <w:r w:rsidR="008A6F9F">
        <w:t>some</w:t>
      </w:r>
      <w:r w:rsidR="00AC4233">
        <w:t xml:space="preserve"> C</w:t>
      </w:r>
      <w:r w:rsidR="00757CC9">
        <w:t xml:space="preserve">odes of the Republic of Belarus </w:t>
      </w:r>
      <w:r w:rsidR="00D60ECE">
        <w:t>C</w:t>
      </w:r>
      <w:r w:rsidR="008A6F9F">
        <w:t xml:space="preserve">oncerning </w:t>
      </w:r>
      <w:r w:rsidR="00D60ECE">
        <w:t>C</w:t>
      </w:r>
      <w:r w:rsidR="008A6F9F">
        <w:t xml:space="preserve">riminal and </w:t>
      </w:r>
      <w:r w:rsidR="00D60ECE">
        <w:t>A</w:t>
      </w:r>
      <w:r w:rsidR="00757CC9">
        <w:t>dministrative</w:t>
      </w:r>
      <w:r w:rsidR="008533B4">
        <w:t xml:space="preserve"> </w:t>
      </w:r>
      <w:r w:rsidR="00D60ECE">
        <w:t>R</w:t>
      </w:r>
      <w:r w:rsidR="008533B4">
        <w:t>esponsibility</w:t>
      </w:r>
      <w:r w:rsidR="00FA6B37">
        <w:t xml:space="preserve"> </w:t>
      </w:r>
      <w:r w:rsidR="00757CC9">
        <w:t xml:space="preserve">entered into force, </w:t>
      </w:r>
      <w:r w:rsidR="00D60ECE">
        <w:t>and</w:t>
      </w:r>
      <w:r w:rsidR="00757CC9">
        <w:t xml:space="preserve"> </w:t>
      </w:r>
      <w:r w:rsidR="006A1958">
        <w:t>the word</w:t>
      </w:r>
      <w:r w:rsidR="0077036F">
        <w:t>s</w:t>
      </w:r>
      <w:r w:rsidR="006A1958">
        <w:t xml:space="preserve"> </w:t>
      </w:r>
      <w:r w:rsidR="00083F0B" w:rsidRPr="00083F0B">
        <w:t>“distribution of printed periodical publications w</w:t>
      </w:r>
      <w:r w:rsidR="00083F0B">
        <w:t>ithout a publisher</w:t>
      </w:r>
      <w:r w:rsidR="00383CFA">
        <w:t>’</w:t>
      </w:r>
      <w:r w:rsidR="00083F0B">
        <w:t>s imprint”</w:t>
      </w:r>
      <w:r w:rsidR="00BA4FD5" w:rsidRPr="00BA4FD5">
        <w:t xml:space="preserve"> </w:t>
      </w:r>
      <w:r w:rsidR="00574694">
        <w:t xml:space="preserve">in </w:t>
      </w:r>
      <w:r w:rsidR="00F94DF5" w:rsidRPr="00F94DF5">
        <w:t>article 22.9</w:t>
      </w:r>
      <w:r w:rsidR="00E73CD3">
        <w:t>, paragraph 2,</w:t>
      </w:r>
      <w:r w:rsidR="00F94DF5" w:rsidRPr="00F94DF5">
        <w:t xml:space="preserve"> of the Code of Administrative Offences</w:t>
      </w:r>
      <w:r w:rsidR="00574694">
        <w:t xml:space="preserve"> had been </w:t>
      </w:r>
      <w:r w:rsidR="00E73CD3">
        <w:t xml:space="preserve">amended to read </w:t>
      </w:r>
      <w:r w:rsidR="00583B64" w:rsidRPr="00083F0B">
        <w:t>“illegal production and</w:t>
      </w:r>
      <w:r w:rsidR="00B4198D" w:rsidRPr="00083F0B">
        <w:t>/or</w:t>
      </w:r>
      <w:r w:rsidR="00583B64" w:rsidRPr="00083F0B">
        <w:t xml:space="preserve"> distribution of media products</w:t>
      </w:r>
      <w:r w:rsidR="00383CFA">
        <w:t>”</w:t>
      </w:r>
      <w:r w:rsidR="00583B64" w:rsidRPr="00083F0B">
        <w:t>.</w:t>
      </w:r>
      <w:r w:rsidR="00705865">
        <w:t xml:space="preserve"> </w:t>
      </w:r>
      <w:r w:rsidR="00E73CD3">
        <w:t>O</w:t>
      </w:r>
      <w:r w:rsidR="001A53BE">
        <w:t>n th</w:t>
      </w:r>
      <w:r w:rsidR="00E73CD3">
        <w:t>at</w:t>
      </w:r>
      <w:r w:rsidR="001A53BE">
        <w:t xml:space="preserve"> ground, </w:t>
      </w:r>
      <w:r w:rsidR="0077036F" w:rsidRPr="0077036F">
        <w:t>on 23 July 2010</w:t>
      </w:r>
      <w:r w:rsidR="0077036F">
        <w:t xml:space="preserve"> </w:t>
      </w:r>
      <w:r w:rsidR="002C51DB">
        <w:t>the author</w:t>
      </w:r>
      <w:r w:rsidR="00705865">
        <w:t xml:space="preserve"> </w:t>
      </w:r>
      <w:r w:rsidR="007F3821">
        <w:t xml:space="preserve">filed another appeal </w:t>
      </w:r>
      <w:r w:rsidR="00E73CD3">
        <w:t>with</w:t>
      </w:r>
      <w:r w:rsidR="007F3821">
        <w:t xml:space="preserve"> the Supreme Court</w:t>
      </w:r>
      <w:r w:rsidR="001A53BE" w:rsidRPr="001A53BE">
        <w:t>,</w:t>
      </w:r>
      <w:r w:rsidR="007F3821">
        <w:t xml:space="preserve"> requesting </w:t>
      </w:r>
      <w:r w:rsidR="00922C7D">
        <w:t xml:space="preserve">it to quash </w:t>
      </w:r>
      <w:r w:rsidR="007A051C">
        <w:t xml:space="preserve">the </w:t>
      </w:r>
      <w:r w:rsidR="001A53BE">
        <w:t xml:space="preserve">decision of the </w:t>
      </w:r>
      <w:r w:rsidR="00BB1E1E" w:rsidRPr="00BB1E1E">
        <w:t>Ostrovetsk District C</w:t>
      </w:r>
      <w:r w:rsidR="00BB1E1E">
        <w:t xml:space="preserve">ourt of </w:t>
      </w:r>
      <w:r w:rsidR="00BB1E1E" w:rsidRPr="00BB1E1E">
        <w:t>26 June 2009</w:t>
      </w:r>
      <w:r w:rsidR="00BB1E1E">
        <w:t xml:space="preserve"> </w:t>
      </w:r>
      <w:r w:rsidR="008D3095">
        <w:t xml:space="preserve">and to terminate </w:t>
      </w:r>
      <w:r w:rsidR="00774569">
        <w:t>the administrative proceedings against him</w:t>
      </w:r>
      <w:r w:rsidR="00FE0407">
        <w:t xml:space="preserve"> for</w:t>
      </w:r>
      <w:r w:rsidR="00774569">
        <w:t xml:space="preserve"> </w:t>
      </w:r>
      <w:r w:rsidR="00E05646">
        <w:t xml:space="preserve">lack of </w:t>
      </w:r>
      <w:r w:rsidR="00E05646" w:rsidRPr="00045217">
        <w:rPr>
          <w:iCs/>
        </w:rPr>
        <w:t>corpus delicti</w:t>
      </w:r>
      <w:r w:rsidR="00E05646">
        <w:t xml:space="preserve"> in his actions.</w:t>
      </w:r>
      <w:r w:rsidR="008D3095">
        <w:t xml:space="preserve"> </w:t>
      </w:r>
      <w:r w:rsidR="00911618">
        <w:t xml:space="preserve">The Supreme Court rejected </w:t>
      </w:r>
      <w:r w:rsidR="00E73CD3">
        <w:t>that</w:t>
      </w:r>
      <w:r w:rsidR="00911618">
        <w:t xml:space="preserve"> appeal on 30 August 2010.</w:t>
      </w:r>
    </w:p>
    <w:p w14:paraId="5EC62C2D" w14:textId="77777777" w:rsidR="002D1387" w:rsidRPr="00AE65AB" w:rsidRDefault="007A7378" w:rsidP="002D1387">
      <w:pPr>
        <w:pStyle w:val="H23G"/>
      </w:pPr>
      <w:r>
        <w:tab/>
      </w:r>
      <w:r>
        <w:tab/>
      </w:r>
      <w:r w:rsidR="002D1387" w:rsidRPr="005A70D0">
        <w:t>Issues and proceedings before the Committee</w:t>
      </w:r>
    </w:p>
    <w:p w14:paraId="73999A8E" w14:textId="77777777" w:rsidR="002D1387" w:rsidRPr="002D60F9" w:rsidRDefault="007A7378" w:rsidP="007A7378">
      <w:pPr>
        <w:pStyle w:val="H4G"/>
      </w:pPr>
      <w:r>
        <w:tab/>
      </w:r>
      <w:r>
        <w:tab/>
      </w:r>
      <w:r w:rsidR="002D1387" w:rsidRPr="007B02AB">
        <w:t>The State party’s lack of cooperation</w:t>
      </w:r>
    </w:p>
    <w:p w14:paraId="66CB1C1D" w14:textId="77777777" w:rsidR="00E34D24" w:rsidRPr="00E34D24" w:rsidRDefault="00E34D24" w:rsidP="005A70D0">
      <w:pPr>
        <w:pStyle w:val="SingleTxtG"/>
      </w:pPr>
      <w:r>
        <w:t>6.1</w:t>
      </w:r>
      <w:r>
        <w:tab/>
      </w:r>
      <w:r w:rsidRPr="00E34D24">
        <w:t>The Committee notes the State party’s assertion that there are no legal grounds for the consideration of the author’s communication, insofar as it was registered in violation of the provisions of the Optional Protocol; that it has no obligation</w:t>
      </w:r>
      <w:r w:rsidR="005A70D0">
        <w:t xml:space="preserve"> to</w:t>
      </w:r>
      <w:r w:rsidRPr="00E34D24">
        <w:t xml:space="preserve"> recogni</w:t>
      </w:r>
      <w:r w:rsidR="005A70D0">
        <w:t>ze</w:t>
      </w:r>
      <w:r w:rsidRPr="00E34D24">
        <w:t xml:space="preserve"> the Committee’s rules of procedure </w:t>
      </w:r>
      <w:r w:rsidR="005A70D0">
        <w:t>n</w:t>
      </w:r>
      <w:r w:rsidRPr="00E34D24">
        <w:t>or the Committee’s interpretation of the provisions of the Optio</w:t>
      </w:r>
      <w:r w:rsidR="00D26904">
        <w:t>nal Protocol; and that the decision</w:t>
      </w:r>
      <w:r w:rsidRPr="00E34D24">
        <w:t xml:space="preserve"> taken by the Committee on the present communication will be considered by its authorities as “invalid.” </w:t>
      </w:r>
    </w:p>
    <w:p w14:paraId="19027F58" w14:textId="77777777" w:rsidR="00E34D24" w:rsidRPr="00E34D24" w:rsidRDefault="00E6281A" w:rsidP="005A70D0">
      <w:pPr>
        <w:pStyle w:val="SingleTxtG"/>
      </w:pPr>
      <w:r>
        <w:t>6.2</w:t>
      </w:r>
      <w:r>
        <w:tab/>
      </w:r>
      <w:r w:rsidR="00E34D24" w:rsidRPr="00E34D24">
        <w:t>The Committee recalls that, under article 39</w:t>
      </w:r>
      <w:r w:rsidR="005A70D0">
        <w:t xml:space="preserve"> (</w:t>
      </w:r>
      <w:r w:rsidR="00E34D24" w:rsidRPr="00E34D24">
        <w:t>2</w:t>
      </w:r>
      <w:r w:rsidR="005A70D0">
        <w:t>)</w:t>
      </w:r>
      <w:r w:rsidR="00E34D24" w:rsidRPr="00E34D24">
        <w:t xml:space="preserve"> of the Covenant, it is empowered to establish its own rules of procedure, which States parties have agreed to recognize. </w:t>
      </w:r>
      <w:r>
        <w:t>It</w:t>
      </w:r>
      <w:r w:rsidR="00E34D24" w:rsidRPr="00E34D24">
        <w:t xml:space="preserve"> observes that, by adhering to the Optional Protocol, a State party to the Covenant recognizes the competence of the Committee to receive and consider communications from individuals claiming to be victims of violations of any of the rights</w:t>
      </w:r>
      <w:r>
        <w:t xml:space="preserve"> set forth in the Covenant (preamble and art</w:t>
      </w:r>
      <w:r w:rsidR="005A70D0">
        <w:t>.</w:t>
      </w:r>
      <w:r>
        <w:t xml:space="preserve"> 1</w:t>
      </w:r>
      <w:r w:rsidR="005A70D0">
        <w:t xml:space="preserve"> of the Optional Protocol</w:t>
      </w:r>
      <w:r>
        <w:t>)</w:t>
      </w:r>
      <w:r w:rsidR="00E34D24" w:rsidRPr="00E34D24">
        <w:t xml:space="preserve">. Implicit in a State’s adherence to the </w:t>
      </w:r>
      <w:r w:rsidR="005A70D0">
        <w:t xml:space="preserve">Optional </w:t>
      </w:r>
      <w:r w:rsidR="00E34D24" w:rsidRPr="00E34D24">
        <w:t xml:space="preserve">Protocol is </w:t>
      </w:r>
      <w:r w:rsidR="005A70D0">
        <w:t>the</w:t>
      </w:r>
      <w:r w:rsidR="00E34D24" w:rsidRPr="00E34D24">
        <w:t xml:space="preserve"> undertaking to cooperate with the Committee in good faith so as to permit and enable it to consider such communications, and after examination</w:t>
      </w:r>
      <w:r w:rsidR="005A70D0">
        <w:t xml:space="preserve"> thereof</w:t>
      </w:r>
      <w:r w:rsidR="00E34D24" w:rsidRPr="00E34D24">
        <w:t xml:space="preserve">, to forward its </w:t>
      </w:r>
      <w:r w:rsidR="005A70D0">
        <w:t>V</w:t>
      </w:r>
      <w:r w:rsidR="00E34D24" w:rsidRPr="00E34D24">
        <w:t>iews to the State p</w:t>
      </w:r>
      <w:r w:rsidR="00550F85">
        <w:t>arty and to the individual (</w:t>
      </w:r>
      <w:r w:rsidR="00E34D24" w:rsidRPr="00E34D24">
        <w:t>art</w:t>
      </w:r>
      <w:r w:rsidR="00D11403">
        <w:t>.</w:t>
      </w:r>
      <w:r w:rsidR="00E34D24" w:rsidRPr="00E34D24">
        <w:t xml:space="preserve"> 5</w:t>
      </w:r>
      <w:r w:rsidR="005A70D0">
        <w:t xml:space="preserve"> (</w:t>
      </w:r>
      <w:r w:rsidR="00E34D24" w:rsidRPr="00E34D24">
        <w:t>1</w:t>
      </w:r>
      <w:r w:rsidR="005A70D0">
        <w:t>)</w:t>
      </w:r>
      <w:r w:rsidR="00E34D24" w:rsidRPr="00E34D24">
        <w:t xml:space="preserve"> and </w:t>
      </w:r>
      <w:r w:rsidR="005A70D0">
        <w:t>(</w:t>
      </w:r>
      <w:r w:rsidR="00E34D24" w:rsidRPr="00E34D24">
        <w:t>4</w:t>
      </w:r>
      <w:r w:rsidR="005A70D0">
        <w:t>)</w:t>
      </w:r>
      <w:r w:rsidR="00E34D24" w:rsidRPr="00E34D24">
        <w:t>). It is incompatible with those obligations for a State party to take any action that would prevent or frustrate the Committee in its consideration and examination of a communication</w:t>
      </w:r>
      <w:r w:rsidR="005A70D0">
        <w:t>,</w:t>
      </w:r>
      <w:r w:rsidR="00E34D24" w:rsidRPr="00E34D24">
        <w:t xml:space="preserve"> and in the expression of its Views.</w:t>
      </w:r>
      <w:r w:rsidR="00E34D24" w:rsidRPr="00383CFA">
        <w:rPr>
          <w:rStyle w:val="FootnoteReference"/>
        </w:rPr>
        <w:footnoteReference w:id="8"/>
      </w:r>
      <w:r w:rsidR="00E34D24" w:rsidRPr="00E34D24">
        <w:t xml:space="preserve"> It is </w:t>
      </w:r>
      <w:r w:rsidR="005A70D0">
        <w:t xml:space="preserve">up to </w:t>
      </w:r>
      <w:r w:rsidR="00E34D24" w:rsidRPr="00E34D24">
        <w:t>the Committee to determine whether a communication should be registered. The Committee observes that, by failing to accept the competence of the Committee to determine whether a communication sh</w:t>
      </w:r>
      <w:r w:rsidR="005A70D0">
        <w:t>ould</w:t>
      </w:r>
      <w:r w:rsidR="00E34D24" w:rsidRPr="00E34D24">
        <w:t xml:space="preserve"> be registered and by declaring </w:t>
      </w:r>
      <w:r w:rsidR="00E34D24" w:rsidRPr="00B17D1E">
        <w:t>beforehand that it will not accept</w:t>
      </w:r>
      <w:r w:rsidR="00E34D24" w:rsidRPr="00E34D24">
        <w:t xml:space="preserve"> the </w:t>
      </w:r>
      <w:r w:rsidR="005A70D0">
        <w:t xml:space="preserve">Committee’s </w:t>
      </w:r>
      <w:r w:rsidR="00E34D24" w:rsidRPr="00E34D24">
        <w:t xml:space="preserve">determination on the admissibility </w:t>
      </w:r>
      <w:r w:rsidR="005A70D0">
        <w:t>or</w:t>
      </w:r>
      <w:r w:rsidR="00E34D24" w:rsidRPr="00E34D24">
        <w:t xml:space="preserve"> the merits of the communication, the State party </w:t>
      </w:r>
      <w:r w:rsidR="00550F85">
        <w:t>is violating</w:t>
      </w:r>
      <w:r w:rsidR="00E34D24" w:rsidRPr="00E34D24">
        <w:t xml:space="preserve"> its obligations under article 1 of the Optional Protocol.</w:t>
      </w:r>
      <w:r w:rsidR="00357C44" w:rsidRPr="00383CFA">
        <w:rPr>
          <w:rStyle w:val="FootnoteReference"/>
        </w:rPr>
        <w:footnoteReference w:id="9"/>
      </w:r>
    </w:p>
    <w:p w14:paraId="0FDC21A6" w14:textId="77777777" w:rsidR="002D1387" w:rsidRPr="00AE65AB" w:rsidRDefault="007A7378" w:rsidP="007A7378">
      <w:pPr>
        <w:pStyle w:val="H4G"/>
      </w:pPr>
      <w:r>
        <w:tab/>
      </w:r>
      <w:r>
        <w:tab/>
      </w:r>
      <w:r w:rsidR="002D1387" w:rsidRPr="007A7378">
        <w:t>Consideration</w:t>
      </w:r>
      <w:r w:rsidR="002D1387" w:rsidRPr="00AE65AB">
        <w:t xml:space="preserve"> of admissibility</w:t>
      </w:r>
    </w:p>
    <w:p w14:paraId="0B038625" w14:textId="77777777" w:rsidR="002D1387" w:rsidRPr="00AE65AB" w:rsidRDefault="00156EB1" w:rsidP="005A70D0">
      <w:pPr>
        <w:pStyle w:val="SingleTxtG"/>
      </w:pPr>
      <w:r>
        <w:t>7</w:t>
      </w:r>
      <w:r w:rsidR="002D1387" w:rsidRPr="00AE65AB">
        <w:t>.1</w:t>
      </w:r>
      <w:r w:rsidR="002D1387" w:rsidRPr="00AE65AB">
        <w:tab/>
        <w:t xml:space="preserve">Before considering any claim contained in a </w:t>
      </w:r>
      <w:r w:rsidR="002D1387" w:rsidRPr="002D1387">
        <w:t>communication</w:t>
      </w:r>
      <w:r w:rsidR="002D1387" w:rsidRPr="00AE65AB">
        <w:t>, the Committee must, in accordance with rule 93 of its rules of procedure</w:t>
      </w:r>
      <w:r>
        <w:t>, decide whether or not the communication</w:t>
      </w:r>
      <w:r w:rsidR="002D1387" w:rsidRPr="00AE65AB">
        <w:t xml:space="preserve"> is admissible under the Optional Protocol.</w:t>
      </w:r>
    </w:p>
    <w:p w14:paraId="213DECB2" w14:textId="77777777" w:rsidR="002D1387" w:rsidRPr="00AE65AB" w:rsidRDefault="00156EB1" w:rsidP="005A70D0">
      <w:pPr>
        <w:pStyle w:val="SingleTxtG"/>
      </w:pPr>
      <w:r>
        <w:t>7</w:t>
      </w:r>
      <w:r w:rsidR="002D1387" w:rsidRPr="00AE65AB">
        <w:t>.2</w:t>
      </w:r>
      <w:r w:rsidR="002D1387" w:rsidRPr="00AE65AB">
        <w:tab/>
        <w:t>The Committee has ascertained, as required under article 5</w:t>
      </w:r>
      <w:r w:rsidR="005A70D0">
        <w:t xml:space="preserve"> (</w:t>
      </w:r>
      <w:r w:rsidR="002D1387" w:rsidRPr="00AE65AB">
        <w:t>2</w:t>
      </w:r>
      <w:r w:rsidR="005A70D0">
        <w:t>)</w:t>
      </w:r>
      <w:r w:rsidR="002D1387" w:rsidRPr="00AE65AB">
        <w:t xml:space="preserve"> (a) of the Optional Protocol, that the same matter is not being examined under another procedure of international investigation or settlement. </w:t>
      </w:r>
    </w:p>
    <w:p w14:paraId="5FAE256E" w14:textId="77777777" w:rsidR="00B35DDD" w:rsidRDefault="00AE6C3F" w:rsidP="001143B3">
      <w:pPr>
        <w:pStyle w:val="SingleTxtG"/>
      </w:pPr>
      <w:r>
        <w:t>7.3</w:t>
      </w:r>
      <w:r>
        <w:tab/>
      </w:r>
      <w:r w:rsidRPr="00AE6C3F">
        <w:t>With regard to the requirement set out in article 5</w:t>
      </w:r>
      <w:r w:rsidR="005A70D0">
        <w:t xml:space="preserve"> (</w:t>
      </w:r>
      <w:r w:rsidRPr="00AE6C3F">
        <w:t>2</w:t>
      </w:r>
      <w:r w:rsidR="005A70D0">
        <w:t>)</w:t>
      </w:r>
      <w:r w:rsidRPr="00AE6C3F">
        <w:t> (b) of the Optional Protocol, the Committee notes that, in its submission of 6 January 2011, the State party challenged the admissibility of the present communication on the ground</w:t>
      </w:r>
      <w:r w:rsidR="00185423">
        <w:t>s</w:t>
      </w:r>
      <w:r w:rsidRPr="00AE6C3F">
        <w:t xml:space="preserve"> of non-exhaustion of domestic remedies, </w:t>
      </w:r>
      <w:r w:rsidR="00185423">
        <w:t>stating that</w:t>
      </w:r>
      <w:r w:rsidRPr="00AE6C3F">
        <w:t xml:space="preserve"> the author had not filed a request for supervisory review with the </w:t>
      </w:r>
      <w:r w:rsidR="00185423">
        <w:t>p</w:t>
      </w:r>
      <w:r w:rsidRPr="00AE6C3F">
        <w:t xml:space="preserve">rosecutor’s </w:t>
      </w:r>
      <w:r w:rsidR="00185423">
        <w:t>o</w:t>
      </w:r>
      <w:r w:rsidRPr="00AE6C3F">
        <w:t xml:space="preserve">ffice. </w:t>
      </w:r>
      <w:r w:rsidR="00251B61">
        <w:t>In th</w:t>
      </w:r>
      <w:r w:rsidR="004F0700">
        <w:t>at</w:t>
      </w:r>
      <w:r w:rsidR="00251B61">
        <w:t xml:space="preserve"> regard, </w:t>
      </w:r>
      <w:r w:rsidR="00E220BE">
        <w:t>t</w:t>
      </w:r>
      <w:r w:rsidR="00E220BE" w:rsidRPr="00DC128E">
        <w:t>he Committee recalls its jurisprudence</w:t>
      </w:r>
      <w:r w:rsidR="004F0700">
        <w:t>,</w:t>
      </w:r>
      <w:r w:rsidR="00E220BE" w:rsidRPr="00DC128E">
        <w:t xml:space="preserve"> according to which petition to a </w:t>
      </w:r>
      <w:r w:rsidR="004F0700">
        <w:t>p</w:t>
      </w:r>
      <w:r w:rsidR="00E220BE" w:rsidRPr="00DC128E">
        <w:t>rosecutor</w:t>
      </w:r>
      <w:r w:rsidR="00383CFA">
        <w:t>’</w:t>
      </w:r>
      <w:r w:rsidR="00E220BE" w:rsidRPr="00DC128E">
        <w:t xml:space="preserve">s </w:t>
      </w:r>
      <w:r w:rsidR="004F0700">
        <w:t>o</w:t>
      </w:r>
      <w:r w:rsidR="00E220BE" w:rsidRPr="00DC128E">
        <w:t xml:space="preserve">ffice </w:t>
      </w:r>
      <w:r w:rsidR="00E220BE">
        <w:t xml:space="preserve">to initiate </w:t>
      </w:r>
      <w:r w:rsidR="004F0700">
        <w:t xml:space="preserve">the </w:t>
      </w:r>
      <w:r w:rsidR="00E220BE">
        <w:t xml:space="preserve">supervisory review </w:t>
      </w:r>
      <w:r w:rsidR="004F0700">
        <w:t>of</w:t>
      </w:r>
      <w:r w:rsidR="00E220BE" w:rsidRPr="00DC128E">
        <w:t xml:space="preserve"> a judg</w:t>
      </w:r>
      <w:r w:rsidR="001E5389">
        <w:t>e</w:t>
      </w:r>
      <w:r w:rsidR="00E220BE" w:rsidRPr="00DC128E">
        <w:t xml:space="preserve">ment having the force of res judicata does not constitute an effective remedy </w:t>
      </w:r>
      <w:r w:rsidR="004F0700">
        <w:t>that</w:t>
      </w:r>
      <w:r w:rsidR="00E220BE" w:rsidRPr="00DC128E">
        <w:t xml:space="preserve"> has to be exhausted for the purposes of article 5</w:t>
      </w:r>
      <w:r w:rsidR="004F0700">
        <w:t xml:space="preserve"> (</w:t>
      </w:r>
      <w:r w:rsidR="00E220BE" w:rsidRPr="00DC128E">
        <w:t>2</w:t>
      </w:r>
      <w:r w:rsidR="004F0700">
        <w:t>)</w:t>
      </w:r>
      <w:r w:rsidR="00E220BE" w:rsidRPr="00DC128E">
        <w:t xml:space="preserve"> (b) of the Optional Protocol.</w:t>
      </w:r>
      <w:r w:rsidR="00E220BE">
        <w:t xml:space="preserve"> The Committee notes that</w:t>
      </w:r>
      <w:r w:rsidR="004F0700">
        <w:t xml:space="preserve"> the author states that, </w:t>
      </w:r>
      <w:r w:rsidR="00E220BE">
        <w:t>before submitting his complaint to the Committee</w:t>
      </w:r>
      <w:r w:rsidR="004F0700">
        <w:t>,</w:t>
      </w:r>
      <w:r w:rsidR="00E220BE">
        <w:t xml:space="preserve"> he did not avail himself of </w:t>
      </w:r>
      <w:r w:rsidR="004F0700">
        <w:t xml:space="preserve">the possibility to </w:t>
      </w:r>
      <w:r w:rsidR="00E220BE">
        <w:t>appeal to the Supreme Court</w:t>
      </w:r>
      <w:r w:rsidR="004F0700">
        <w:t xml:space="preserve"> for a review of</w:t>
      </w:r>
      <w:r w:rsidR="00E220BE">
        <w:t xml:space="preserve"> the decision of the Grodnensk Regional Court</w:t>
      </w:r>
      <w:r w:rsidR="004F0700">
        <w:t xml:space="preserve"> because he considered</w:t>
      </w:r>
      <w:r w:rsidR="00E220BE">
        <w:t xml:space="preserve"> that such review </w:t>
      </w:r>
      <w:r w:rsidR="004F0700">
        <w:t>of</w:t>
      </w:r>
      <w:r w:rsidR="00E220BE">
        <w:t xml:space="preserve"> a decision </w:t>
      </w:r>
      <w:r w:rsidR="004F0700">
        <w:t>that</w:t>
      </w:r>
      <w:r w:rsidR="00E220BE">
        <w:t xml:space="preserve"> had entered into force d</w:t>
      </w:r>
      <w:r w:rsidR="004F0700">
        <w:t>id</w:t>
      </w:r>
      <w:r w:rsidR="00E220BE">
        <w:t xml:space="preserve"> not constitute an effective remedy. The Committee </w:t>
      </w:r>
      <w:r w:rsidR="004F0700">
        <w:t xml:space="preserve">also </w:t>
      </w:r>
      <w:r w:rsidR="00E220BE">
        <w:t xml:space="preserve">notes that the State party has not demonstrated that there was a </w:t>
      </w:r>
      <w:r w:rsidR="00E220BE" w:rsidRPr="00DC128E">
        <w:t xml:space="preserve">reasonable prospect that such </w:t>
      </w:r>
      <w:r w:rsidR="00E220BE">
        <w:t xml:space="preserve">an appeal </w:t>
      </w:r>
      <w:r w:rsidR="00E220BE" w:rsidRPr="00DC128E">
        <w:t xml:space="preserve">would </w:t>
      </w:r>
      <w:r w:rsidR="004F0700">
        <w:t xml:space="preserve">have </w:t>
      </w:r>
      <w:r w:rsidR="00E220BE" w:rsidRPr="00DC128E">
        <w:t>provide</w:t>
      </w:r>
      <w:r w:rsidR="004F0700">
        <w:t>d</w:t>
      </w:r>
      <w:r w:rsidR="00E220BE" w:rsidRPr="00DC128E">
        <w:t xml:space="preserve"> an effective remedy in the circumstances of the </w:t>
      </w:r>
      <w:r w:rsidR="00E220BE">
        <w:t xml:space="preserve">author’s </w:t>
      </w:r>
      <w:r w:rsidR="00E220BE" w:rsidRPr="00DC128E">
        <w:t>case.</w:t>
      </w:r>
      <w:r w:rsidR="00E220BE">
        <w:t xml:space="preserve"> It </w:t>
      </w:r>
      <w:r w:rsidR="004F0700">
        <w:t>further</w:t>
      </w:r>
      <w:r w:rsidR="00E220BE">
        <w:t xml:space="preserve"> notes that the appeal </w:t>
      </w:r>
      <w:r w:rsidR="00477A7A">
        <w:t xml:space="preserve">that the author </w:t>
      </w:r>
      <w:r w:rsidR="00E220BE">
        <w:t xml:space="preserve">subsequently submitted to the Supreme Court </w:t>
      </w:r>
      <w:r w:rsidR="00477A7A">
        <w:t xml:space="preserve">for a review of his case </w:t>
      </w:r>
      <w:r w:rsidR="00E220BE">
        <w:t xml:space="preserve">was rejected by the Deputy </w:t>
      </w:r>
      <w:r w:rsidR="00477A7A">
        <w:t>President</w:t>
      </w:r>
      <w:r w:rsidR="00E220BE">
        <w:t xml:space="preserve"> of the Supreme Court on 24 February 2010. In </w:t>
      </w:r>
      <w:r w:rsidR="00477A7A">
        <w:t>those</w:t>
      </w:r>
      <w:r w:rsidR="00E220BE">
        <w:t xml:space="preserve"> circumstances</w:t>
      </w:r>
      <w:r w:rsidR="00477A7A">
        <w:t>,</w:t>
      </w:r>
      <w:r w:rsidR="00E220BE">
        <w:t xml:space="preserve"> the Committee considers that it is not precluded</w:t>
      </w:r>
      <w:r w:rsidR="00E220BE" w:rsidRPr="00DC128E">
        <w:t xml:space="preserve"> </w:t>
      </w:r>
      <w:r w:rsidR="00E220BE">
        <w:t xml:space="preserve">by </w:t>
      </w:r>
      <w:r w:rsidR="00E220BE" w:rsidRPr="00DC128E">
        <w:t>article 5</w:t>
      </w:r>
      <w:r w:rsidR="00477A7A">
        <w:t xml:space="preserve"> (</w:t>
      </w:r>
      <w:r w:rsidR="00E220BE" w:rsidRPr="00DC128E">
        <w:t>2</w:t>
      </w:r>
      <w:r w:rsidR="00477A7A">
        <w:t>)</w:t>
      </w:r>
      <w:r w:rsidR="00E220BE" w:rsidRPr="00DC128E">
        <w:t xml:space="preserve"> (b) of the Optional Protocol from considering the </w:t>
      </w:r>
      <w:r w:rsidR="00477A7A">
        <w:t xml:space="preserve">present </w:t>
      </w:r>
      <w:r w:rsidR="00E220BE" w:rsidRPr="00DC128E">
        <w:t>communication.</w:t>
      </w:r>
    </w:p>
    <w:p w14:paraId="36DED2B7" w14:textId="77777777" w:rsidR="006710C4" w:rsidRDefault="00B35DDD" w:rsidP="00F01567">
      <w:pPr>
        <w:pStyle w:val="SingleTxtG"/>
      </w:pPr>
      <w:r w:rsidRPr="006710C4">
        <w:t>7.4</w:t>
      </w:r>
      <w:r w:rsidRPr="006710C4">
        <w:tab/>
      </w:r>
      <w:r w:rsidR="00F62B1B" w:rsidRPr="006710C4">
        <w:t>The Committee notes the author’s claim that</w:t>
      </w:r>
      <w:r w:rsidR="00D73A13" w:rsidRPr="006710C4">
        <w:t xml:space="preserve"> he was under constant close supervision by intelligence agencies </w:t>
      </w:r>
      <w:r w:rsidR="00A73FA1" w:rsidRPr="006710C4">
        <w:t xml:space="preserve">and law enforcement bodies </w:t>
      </w:r>
      <w:r w:rsidR="0059179B" w:rsidRPr="006710C4">
        <w:t xml:space="preserve">because of his civic </w:t>
      </w:r>
      <w:r w:rsidR="0059179B" w:rsidRPr="00872F95">
        <w:t xml:space="preserve">activism </w:t>
      </w:r>
      <w:r w:rsidR="00025CBC" w:rsidRPr="00872F95">
        <w:t xml:space="preserve">and that such </w:t>
      </w:r>
      <w:r w:rsidR="00D73A13" w:rsidRPr="00872F95">
        <w:t>interference with his private and family life constitutes a violation of his rights under article 17 of the Covenant.</w:t>
      </w:r>
      <w:r w:rsidR="00A71307" w:rsidRPr="00872F95">
        <w:t xml:space="preserve"> </w:t>
      </w:r>
      <w:r w:rsidR="008F3372" w:rsidRPr="00872F95">
        <w:t>It</w:t>
      </w:r>
      <w:r w:rsidR="00356091" w:rsidRPr="00872F95">
        <w:t xml:space="preserve"> </w:t>
      </w:r>
      <w:r w:rsidR="001A167E">
        <w:t xml:space="preserve">also </w:t>
      </w:r>
      <w:r w:rsidR="00A71307" w:rsidRPr="00872F95">
        <w:t>notes t</w:t>
      </w:r>
      <w:r w:rsidR="008041FC" w:rsidRPr="00872F95">
        <w:t>hat, according to the author</w:t>
      </w:r>
      <w:r w:rsidR="0087648C" w:rsidRPr="00872F95">
        <w:t xml:space="preserve">, </w:t>
      </w:r>
      <w:r w:rsidR="008041FC" w:rsidRPr="00872F95">
        <w:t xml:space="preserve">the </w:t>
      </w:r>
      <w:r w:rsidR="00FC4D25" w:rsidRPr="00872F95">
        <w:t xml:space="preserve">State Security Committee </w:t>
      </w:r>
      <w:r w:rsidR="0087648C" w:rsidRPr="00872F95">
        <w:t>informed him</w:t>
      </w:r>
      <w:r w:rsidR="008F3372" w:rsidRPr="00872F95">
        <w:t xml:space="preserve"> on 30 March 2009</w:t>
      </w:r>
      <w:r w:rsidR="008041FC" w:rsidRPr="00872F95">
        <w:t xml:space="preserve"> </w:t>
      </w:r>
      <w:r w:rsidR="00115DA3" w:rsidRPr="00872F95">
        <w:t>that</w:t>
      </w:r>
      <w:r w:rsidR="0004369E" w:rsidRPr="00872F95">
        <w:t xml:space="preserve"> he had never been subject </w:t>
      </w:r>
      <w:r w:rsidR="00872F95" w:rsidRPr="00872F95">
        <w:t>to</w:t>
      </w:r>
      <w:r w:rsidR="0004369E" w:rsidRPr="00872F95">
        <w:t xml:space="preserve"> any operative investigation measures, including </w:t>
      </w:r>
      <w:r w:rsidR="00872F95" w:rsidRPr="00872F95">
        <w:t>tele</w:t>
      </w:r>
      <w:r w:rsidR="0004369E" w:rsidRPr="00872F95">
        <w:t>phone</w:t>
      </w:r>
      <w:r w:rsidR="00477A7A">
        <w:t xml:space="preserve"> </w:t>
      </w:r>
      <w:r w:rsidR="0004369E" w:rsidRPr="00872F95">
        <w:t>tapping, on the part of State security agencies.</w:t>
      </w:r>
      <w:r w:rsidR="00356091" w:rsidRPr="00872F95">
        <w:t xml:space="preserve"> T</w:t>
      </w:r>
      <w:r w:rsidR="00A65094" w:rsidRPr="00872F95">
        <w:t>he</w:t>
      </w:r>
      <w:r w:rsidR="00A65094" w:rsidRPr="006710C4">
        <w:t xml:space="preserve"> Committee </w:t>
      </w:r>
      <w:r w:rsidR="001A167E">
        <w:t>further</w:t>
      </w:r>
      <w:r w:rsidR="00E3591A" w:rsidRPr="006710C4">
        <w:t xml:space="preserve"> notes that</w:t>
      </w:r>
      <w:r w:rsidR="006C6F78" w:rsidRPr="006710C4">
        <w:t xml:space="preserve">, apart from the author’s </w:t>
      </w:r>
      <w:r w:rsidR="00F01567">
        <w:t>claim</w:t>
      </w:r>
      <w:r w:rsidR="006C6F78" w:rsidRPr="006710C4">
        <w:t xml:space="preserve">, </w:t>
      </w:r>
      <w:r w:rsidR="00E3591A" w:rsidRPr="006710C4">
        <w:t>there is</w:t>
      </w:r>
      <w:r w:rsidR="00AD1CA2" w:rsidRPr="006710C4">
        <w:t xml:space="preserve"> no</w:t>
      </w:r>
      <w:r w:rsidR="005131FD" w:rsidRPr="006710C4">
        <w:t xml:space="preserve"> </w:t>
      </w:r>
      <w:r w:rsidR="00A65094" w:rsidRPr="006710C4">
        <w:t xml:space="preserve">detailed and documented information </w:t>
      </w:r>
      <w:r w:rsidR="00FB7679">
        <w:t xml:space="preserve">on file </w:t>
      </w:r>
      <w:r w:rsidR="00F01567">
        <w:t>to</w:t>
      </w:r>
      <w:r w:rsidR="00FB7679">
        <w:t xml:space="preserve"> support th</w:t>
      </w:r>
      <w:r w:rsidR="00F01567">
        <w:t>o</w:t>
      </w:r>
      <w:r w:rsidR="00FB7679">
        <w:t>se</w:t>
      </w:r>
      <w:r w:rsidR="00DB0381" w:rsidRPr="006710C4">
        <w:t xml:space="preserve"> allegations</w:t>
      </w:r>
      <w:r w:rsidR="000978DE" w:rsidRPr="006710C4">
        <w:t xml:space="preserve">. Accordingly, and in the absence of any other pertinent information in that respect, the Committee considers that the author has failed to sufficiently substantiate </w:t>
      </w:r>
      <w:r w:rsidR="00814AC4" w:rsidRPr="006710C4">
        <w:t>t</w:t>
      </w:r>
      <w:r w:rsidR="000978DE" w:rsidRPr="006710C4">
        <w:t xml:space="preserve">his </w:t>
      </w:r>
      <w:r w:rsidR="00814AC4" w:rsidRPr="006710C4">
        <w:t xml:space="preserve">particular </w:t>
      </w:r>
      <w:r w:rsidR="000978DE" w:rsidRPr="006710C4">
        <w:t>claim fo</w:t>
      </w:r>
      <w:r w:rsidR="006710C4" w:rsidRPr="006710C4">
        <w:t xml:space="preserve">r the purposes of admissibility and declares this part of the communication inadmissible under article 2 of the Optional Protocol. </w:t>
      </w:r>
    </w:p>
    <w:p w14:paraId="1D468396" w14:textId="77777777" w:rsidR="006C6F78" w:rsidRDefault="006710C4" w:rsidP="00F01567">
      <w:pPr>
        <w:pStyle w:val="SingleTxtG"/>
      </w:pPr>
      <w:r>
        <w:t>7.5</w:t>
      </w:r>
      <w:r>
        <w:tab/>
      </w:r>
      <w:r w:rsidR="00C90FEC" w:rsidRPr="00C90FEC">
        <w:t>The Committee considers that the author has sufficiently substantiated his claim under article 19</w:t>
      </w:r>
      <w:r w:rsidR="00F01567">
        <w:t xml:space="preserve"> (</w:t>
      </w:r>
      <w:r w:rsidR="00C90FEC">
        <w:t>2</w:t>
      </w:r>
      <w:r w:rsidR="00F01567">
        <w:t>)</w:t>
      </w:r>
      <w:r w:rsidR="00C90FEC" w:rsidRPr="00C90FEC">
        <w:t xml:space="preserve"> of the Covenant for purposes of admissibility</w:t>
      </w:r>
      <w:r w:rsidR="005848D6">
        <w:t>. It</w:t>
      </w:r>
      <w:r w:rsidR="00C90FEC" w:rsidRPr="00C90FEC">
        <w:t xml:space="preserve"> </w:t>
      </w:r>
      <w:r w:rsidR="00C90FEC">
        <w:t xml:space="preserve">therefore </w:t>
      </w:r>
      <w:r w:rsidR="00C90FEC" w:rsidRPr="00C90FEC">
        <w:t xml:space="preserve">declares </w:t>
      </w:r>
      <w:r w:rsidR="005848D6">
        <w:t xml:space="preserve">the respective claim </w:t>
      </w:r>
      <w:r w:rsidR="00C90FEC" w:rsidRPr="00C90FEC">
        <w:t xml:space="preserve">admissible and proceeds to its </w:t>
      </w:r>
      <w:r w:rsidR="00F01567">
        <w:t>consideration</w:t>
      </w:r>
      <w:r w:rsidR="00C90FEC" w:rsidRPr="00C90FEC">
        <w:t xml:space="preserve"> o</w:t>
      </w:r>
      <w:r w:rsidR="00F01567">
        <w:t>f</w:t>
      </w:r>
      <w:r w:rsidR="00C90FEC" w:rsidRPr="00C90FEC">
        <w:t xml:space="preserve"> the merits.</w:t>
      </w:r>
    </w:p>
    <w:p w14:paraId="3532C173" w14:textId="77777777" w:rsidR="002D1387" w:rsidRPr="00C61DDE" w:rsidRDefault="007A7378" w:rsidP="009828BD">
      <w:pPr>
        <w:pStyle w:val="H4G"/>
        <w:ind w:left="0" w:firstLine="0"/>
      </w:pPr>
      <w:r>
        <w:tab/>
      </w:r>
      <w:r>
        <w:tab/>
      </w:r>
      <w:r w:rsidR="002D1387" w:rsidRPr="00C61DDE">
        <w:t>Consideration of the merits</w:t>
      </w:r>
    </w:p>
    <w:p w14:paraId="773415D7" w14:textId="77777777" w:rsidR="002D1387" w:rsidRDefault="00B7523D" w:rsidP="001E5389">
      <w:pPr>
        <w:pStyle w:val="SingleTxtG"/>
      </w:pPr>
      <w:r>
        <w:t>8</w:t>
      </w:r>
      <w:r w:rsidR="002D1387" w:rsidRPr="00C61DDE">
        <w:t>.1</w:t>
      </w:r>
      <w:r w:rsidR="002D1387" w:rsidRPr="00C61DDE">
        <w:tab/>
        <w:t xml:space="preserve">The Committee has considered the </w:t>
      </w:r>
      <w:r w:rsidR="00F01567">
        <w:t xml:space="preserve">present </w:t>
      </w:r>
      <w:r w:rsidR="002D1387" w:rsidRPr="00C61DDE">
        <w:t xml:space="preserve">communication in </w:t>
      </w:r>
      <w:r w:rsidR="00F01567">
        <w:t xml:space="preserve">the </w:t>
      </w:r>
      <w:r w:rsidR="002D1387" w:rsidRPr="00C61DDE">
        <w:t>light of all the information made available to it by the parties, as provided under article 5</w:t>
      </w:r>
      <w:r w:rsidR="00F01567">
        <w:t xml:space="preserve"> (</w:t>
      </w:r>
      <w:r w:rsidR="002D1387" w:rsidRPr="00C61DDE">
        <w:t>1</w:t>
      </w:r>
      <w:r w:rsidR="00F01567">
        <w:t>)</w:t>
      </w:r>
      <w:r w:rsidR="002D1387" w:rsidRPr="00C61DDE">
        <w:t xml:space="preserve"> of the Optional Protocol.</w:t>
      </w:r>
    </w:p>
    <w:p w14:paraId="2436DABC" w14:textId="77777777" w:rsidR="008E4EC2" w:rsidRPr="008E4EC2" w:rsidRDefault="00730F4D" w:rsidP="00F01567">
      <w:pPr>
        <w:pStyle w:val="SingleTxtG"/>
        <w:rPr>
          <w:lang w:val="en-US"/>
        </w:rPr>
      </w:pPr>
      <w:r>
        <w:rPr>
          <w:lang w:val="en-US"/>
        </w:rPr>
        <w:t>8.2</w:t>
      </w:r>
      <w:r>
        <w:rPr>
          <w:lang w:val="en-US"/>
        </w:rPr>
        <w:tab/>
      </w:r>
      <w:r w:rsidR="008E4EC2" w:rsidRPr="008E4EC2">
        <w:rPr>
          <w:lang w:val="en-US"/>
        </w:rPr>
        <w:t>The Committee notes the author’s claim that, by penalizing him under article 22.9</w:t>
      </w:r>
      <w:r w:rsidR="00F01567">
        <w:rPr>
          <w:lang w:val="en-US"/>
        </w:rPr>
        <w:t>, paragraph 2,</w:t>
      </w:r>
      <w:r w:rsidR="008E4EC2" w:rsidRPr="008E4EC2">
        <w:rPr>
          <w:lang w:val="en-US"/>
        </w:rPr>
        <w:t xml:space="preserve"> of the Code o</w:t>
      </w:r>
      <w:r w:rsidR="00F01567">
        <w:rPr>
          <w:lang w:val="en-US"/>
        </w:rPr>
        <w:t>f</w:t>
      </w:r>
      <w:r w:rsidR="008E4EC2" w:rsidRPr="008E4EC2">
        <w:rPr>
          <w:lang w:val="en-US"/>
        </w:rPr>
        <w:t xml:space="preserve"> Administrative Offences, the State party’s authorities violated his freedom of expression, as protected under article 19</w:t>
      </w:r>
      <w:r w:rsidR="00F01567">
        <w:rPr>
          <w:lang w:val="en-US"/>
        </w:rPr>
        <w:t xml:space="preserve"> (</w:t>
      </w:r>
      <w:r w:rsidR="008E4EC2" w:rsidRPr="008E4EC2">
        <w:rPr>
          <w:lang w:val="en-US"/>
        </w:rPr>
        <w:t>2</w:t>
      </w:r>
      <w:r w:rsidR="00F01567">
        <w:rPr>
          <w:lang w:val="en-US"/>
        </w:rPr>
        <w:t>)</w:t>
      </w:r>
      <w:r w:rsidR="008E4EC2" w:rsidRPr="008E4EC2">
        <w:rPr>
          <w:lang w:val="en-US"/>
        </w:rPr>
        <w:t xml:space="preserve"> of the Covenant.</w:t>
      </w:r>
    </w:p>
    <w:p w14:paraId="67721B10" w14:textId="77777777" w:rsidR="008E4EC2" w:rsidRPr="008E4EC2" w:rsidRDefault="008E4EC2" w:rsidP="00F90507">
      <w:pPr>
        <w:pStyle w:val="SingleTxtG"/>
        <w:rPr>
          <w:lang w:val="en-US"/>
        </w:rPr>
      </w:pPr>
      <w:r w:rsidRPr="008E4EC2">
        <w:rPr>
          <w:lang w:val="en-US"/>
        </w:rPr>
        <w:t>8.3</w:t>
      </w:r>
      <w:r w:rsidRPr="008E4EC2">
        <w:rPr>
          <w:lang w:val="en-US"/>
        </w:rPr>
        <w:tab/>
      </w:r>
      <w:r w:rsidRPr="00E969FF">
        <w:rPr>
          <w:lang w:val="en-US"/>
        </w:rPr>
        <w:t>The first issue</w:t>
      </w:r>
      <w:r w:rsidRPr="008E4EC2">
        <w:rPr>
          <w:lang w:val="en-US"/>
        </w:rPr>
        <w:t xml:space="preserve"> before the Committee is whether the administrative fine imposed on the author on 26 June 2009 for </w:t>
      </w:r>
      <w:r w:rsidR="00E810E4">
        <w:rPr>
          <w:lang w:val="en-US"/>
        </w:rPr>
        <w:t>lending</w:t>
      </w:r>
      <w:r w:rsidRPr="008E4EC2">
        <w:rPr>
          <w:lang w:val="en-US"/>
        </w:rPr>
        <w:t xml:space="preserve"> his neighbo</w:t>
      </w:r>
      <w:r w:rsidR="00F90507">
        <w:rPr>
          <w:lang w:val="en-US"/>
        </w:rPr>
        <w:t>u</w:t>
      </w:r>
      <w:r w:rsidRPr="008E4EC2">
        <w:rPr>
          <w:lang w:val="en-US"/>
        </w:rPr>
        <w:t>r newspapers that did not bear the publisher</w:t>
      </w:r>
      <w:r w:rsidR="00383CFA">
        <w:rPr>
          <w:lang w:val="en-US"/>
        </w:rPr>
        <w:t>’</w:t>
      </w:r>
      <w:r w:rsidRPr="008E4EC2">
        <w:rPr>
          <w:lang w:val="en-US"/>
        </w:rPr>
        <w:t>s imprint, as required under article 22 of the Law on Mass Media, constituted a restriction by the authorities on the author’s freedom of expression, in particular</w:t>
      </w:r>
      <w:r w:rsidR="00F90507">
        <w:rPr>
          <w:lang w:val="en-US"/>
        </w:rPr>
        <w:t>,</w:t>
      </w:r>
      <w:r w:rsidRPr="008E4EC2">
        <w:rPr>
          <w:lang w:val="en-US"/>
        </w:rPr>
        <w:t xml:space="preserve"> his right to impart information, within the meaning of article 19</w:t>
      </w:r>
      <w:r w:rsidR="00F90507">
        <w:rPr>
          <w:lang w:val="en-US"/>
        </w:rPr>
        <w:t xml:space="preserve"> (</w:t>
      </w:r>
      <w:r w:rsidRPr="008E4EC2">
        <w:rPr>
          <w:lang w:val="en-US"/>
        </w:rPr>
        <w:t>3</w:t>
      </w:r>
      <w:r w:rsidR="00F90507">
        <w:rPr>
          <w:lang w:val="en-US"/>
        </w:rPr>
        <w:t>)</w:t>
      </w:r>
      <w:r w:rsidRPr="008E4EC2">
        <w:rPr>
          <w:lang w:val="en-US"/>
        </w:rPr>
        <w:t xml:space="preserve"> of the Covenant.</w:t>
      </w:r>
    </w:p>
    <w:p w14:paraId="1F851A91" w14:textId="77777777" w:rsidR="008E4EC2" w:rsidRPr="008E4EC2" w:rsidRDefault="008E4EC2" w:rsidP="009E1F08">
      <w:pPr>
        <w:pStyle w:val="SingleTxtG"/>
      </w:pPr>
      <w:r w:rsidRPr="008E4EC2">
        <w:rPr>
          <w:lang w:val="en-US"/>
        </w:rPr>
        <w:t>8.4</w:t>
      </w:r>
      <w:r w:rsidRPr="008E4EC2">
        <w:rPr>
          <w:lang w:val="en-US"/>
        </w:rPr>
        <w:tab/>
      </w:r>
      <w:r w:rsidRPr="008E4EC2">
        <w:t>The Committee recalls that article 19</w:t>
      </w:r>
      <w:r w:rsidR="00F90507">
        <w:t xml:space="preserve"> (</w:t>
      </w:r>
      <w:r w:rsidRPr="008E4EC2">
        <w:t>2</w:t>
      </w:r>
      <w:r w:rsidR="00F90507">
        <w:t>)</w:t>
      </w:r>
      <w:r w:rsidRPr="008E4EC2">
        <w:t xml:space="preserve"> of the Covenant requires States parties to guarantee the right to freedom of expression, including the freedom to seek, receive and impart information and ideas of all kinds, regardless of frontiers, either orally, in writing or in print. The Committee </w:t>
      </w:r>
      <w:r w:rsidR="00F90507">
        <w:t xml:space="preserve">also </w:t>
      </w:r>
      <w:r w:rsidRPr="008E4EC2">
        <w:t xml:space="preserve">refers to its general comment No. 34 (2011) on freedoms of opinion and expression, according to which freedom of opinion and freedom of expression are indispensable conditions for the full development of the person. </w:t>
      </w:r>
      <w:r w:rsidRPr="008E2E84">
        <w:t xml:space="preserve">They are essential for any society and constitute the foundation stone for every free and democratic society </w:t>
      </w:r>
      <w:r w:rsidR="008E2E84">
        <w:br/>
      </w:r>
      <w:r w:rsidRPr="008E2E84">
        <w:t>(para. 2).</w:t>
      </w:r>
      <w:r w:rsidRPr="008E2E84">
        <w:rPr>
          <w:vertAlign w:val="superscript"/>
        </w:rPr>
        <w:t xml:space="preserve"> </w:t>
      </w:r>
    </w:p>
    <w:p w14:paraId="5058F9C7" w14:textId="77777777" w:rsidR="008E4EC2" w:rsidRPr="00045217" w:rsidRDefault="008E4EC2" w:rsidP="001143B3">
      <w:pPr>
        <w:pStyle w:val="SingleTxtG"/>
      </w:pPr>
      <w:r w:rsidRPr="008E4EC2">
        <w:t>8.5</w:t>
      </w:r>
      <w:r w:rsidRPr="008E4EC2">
        <w:tab/>
        <w:t xml:space="preserve">The Committee notes that article 22 of the Law on Mass Media prescribes the type of information to be reflected in a publisher’s imprint. It also notes the author’s claim that </w:t>
      </w:r>
      <w:r w:rsidR="0092226D">
        <w:t>the</w:t>
      </w:r>
      <w:r w:rsidRPr="008E4EC2">
        <w:t xml:space="preserve"> newspapers </w:t>
      </w:r>
      <w:r w:rsidRPr="00045217">
        <w:rPr>
          <w:i/>
          <w:iCs/>
        </w:rPr>
        <w:t>Astravetsky vesnik</w:t>
      </w:r>
      <w:r w:rsidRPr="008E4EC2">
        <w:t xml:space="preserve"> (Bulletin of Astravetsk)</w:t>
      </w:r>
      <w:r w:rsidR="00F90507">
        <w:t>,</w:t>
      </w:r>
      <w:r w:rsidRPr="008E4EC2">
        <w:t xml:space="preserve"> Nos. 1 and 2, </w:t>
      </w:r>
      <w:r w:rsidRPr="00045217">
        <w:rPr>
          <w:i/>
          <w:iCs/>
        </w:rPr>
        <w:t>Mirny atam</w:t>
      </w:r>
      <w:r w:rsidRPr="008E4EC2">
        <w:t xml:space="preserve"> (Peaceful Atom) and </w:t>
      </w:r>
      <w:r w:rsidRPr="00045217">
        <w:rPr>
          <w:i/>
          <w:iCs/>
        </w:rPr>
        <w:t>Glotok vozdukha</w:t>
      </w:r>
      <w:r w:rsidRPr="008E4EC2">
        <w:t xml:space="preserve"> (Breath of Air) that </w:t>
      </w:r>
      <w:r w:rsidR="00EC0436">
        <w:t xml:space="preserve">he </w:t>
      </w:r>
      <w:r w:rsidR="00E810E4">
        <w:t>lent</w:t>
      </w:r>
      <w:r w:rsidR="00EC0436">
        <w:t xml:space="preserve"> his neighbour</w:t>
      </w:r>
      <w:r w:rsidRPr="008E4EC2">
        <w:t xml:space="preserve"> were not periodical publications that fall within the scope of the Law on Mass Media. </w:t>
      </w:r>
      <w:r w:rsidR="00F90507">
        <w:t>W</w:t>
      </w:r>
      <w:r w:rsidRPr="008E4EC2">
        <w:t xml:space="preserve">ithout </w:t>
      </w:r>
      <w:r w:rsidR="0042061F">
        <w:t xml:space="preserve">assessing </w:t>
      </w:r>
      <w:r w:rsidR="0042061F" w:rsidRPr="0042061F">
        <w:t xml:space="preserve">the manner in which </w:t>
      </w:r>
      <w:r w:rsidR="00F90507">
        <w:t xml:space="preserve">the </w:t>
      </w:r>
      <w:r w:rsidR="0042061F">
        <w:t xml:space="preserve">domestic courts have </w:t>
      </w:r>
      <w:r w:rsidR="0042061F" w:rsidRPr="0042061F">
        <w:t xml:space="preserve">interpreted </w:t>
      </w:r>
      <w:r w:rsidR="008116A7">
        <w:t xml:space="preserve">and applied </w:t>
      </w:r>
      <w:r w:rsidR="0042061F" w:rsidRPr="0042061F">
        <w:t xml:space="preserve">the </w:t>
      </w:r>
      <w:r w:rsidR="000F61D2">
        <w:t>said</w:t>
      </w:r>
      <w:r w:rsidR="0042061F" w:rsidRPr="0042061F">
        <w:t xml:space="preserve"> legislation and evaluated the facts and evidence </w:t>
      </w:r>
      <w:r w:rsidR="008116A7">
        <w:t>in the author’s case,</w:t>
      </w:r>
      <w:r w:rsidRPr="008E4EC2">
        <w:t xml:space="preserve"> </w:t>
      </w:r>
      <w:r w:rsidR="000F61D2">
        <w:t xml:space="preserve">the Committee </w:t>
      </w:r>
      <w:r w:rsidRPr="008E4EC2">
        <w:t xml:space="preserve">is of the view that, by imposing on </w:t>
      </w:r>
      <w:r w:rsidR="000F61D2">
        <w:t xml:space="preserve">a </w:t>
      </w:r>
      <w:r w:rsidR="00E220BE">
        <w:t xml:space="preserve">person who </w:t>
      </w:r>
      <w:r w:rsidR="000F61D2">
        <w:t>is</w:t>
      </w:r>
      <w:r w:rsidR="00E220BE">
        <w:t xml:space="preserve"> not</w:t>
      </w:r>
      <w:r w:rsidR="008116A7">
        <w:t xml:space="preserve"> </w:t>
      </w:r>
      <w:r w:rsidR="000F61D2">
        <w:t xml:space="preserve">a </w:t>
      </w:r>
      <w:r w:rsidR="008116A7">
        <w:t xml:space="preserve">publisher </w:t>
      </w:r>
      <w:r w:rsidR="000F61D2">
        <w:t>or</w:t>
      </w:r>
      <w:r w:rsidR="008116A7">
        <w:t xml:space="preserve"> </w:t>
      </w:r>
      <w:r w:rsidRPr="008E4EC2">
        <w:t xml:space="preserve">distributor, the obligation to ensure that newspapers and any other printed periodical publications they possess, read or </w:t>
      </w:r>
      <w:r w:rsidR="00E810E4">
        <w:t>lend to</w:t>
      </w:r>
      <w:r w:rsidRPr="008E4EC2">
        <w:t xml:space="preserve"> other persons comply with the requirements set out in article 22 of the </w:t>
      </w:r>
      <w:r w:rsidR="005B3A01">
        <w:t>La</w:t>
      </w:r>
      <w:r w:rsidR="00E5102B">
        <w:t>w</w:t>
      </w:r>
      <w:r w:rsidR="005B3A01">
        <w:t xml:space="preserve"> on Mass Media</w:t>
      </w:r>
      <w:r w:rsidRPr="008E4EC2">
        <w:t xml:space="preserve">, the State party restricts their freedom of expression, including </w:t>
      </w:r>
      <w:r w:rsidR="005B3A01">
        <w:t xml:space="preserve">their </w:t>
      </w:r>
      <w:r w:rsidRPr="008E4EC2">
        <w:t>freedom to impart information, as protected under article 19</w:t>
      </w:r>
      <w:r w:rsidR="000F61D2">
        <w:t xml:space="preserve"> (</w:t>
      </w:r>
      <w:r w:rsidRPr="008E4EC2">
        <w:t>2</w:t>
      </w:r>
      <w:r w:rsidR="000F61D2">
        <w:t>)</w:t>
      </w:r>
      <w:r w:rsidRPr="008E4EC2">
        <w:t xml:space="preserve"> of the Covenant. </w:t>
      </w:r>
    </w:p>
    <w:p w14:paraId="00731D9D" w14:textId="77777777" w:rsidR="008E4EC2" w:rsidRPr="008E4EC2" w:rsidRDefault="008E4EC2" w:rsidP="009E1F08">
      <w:pPr>
        <w:pStyle w:val="SingleTxtG"/>
      </w:pPr>
      <w:r w:rsidRPr="008E4EC2">
        <w:t>8.6</w:t>
      </w:r>
      <w:r w:rsidRPr="008E4EC2">
        <w:tab/>
        <w:t xml:space="preserve">The </w:t>
      </w:r>
      <w:r w:rsidR="00B767B3">
        <w:t xml:space="preserve">second issue before the </w:t>
      </w:r>
      <w:r w:rsidRPr="008E4EC2">
        <w:t xml:space="preserve">Committee </w:t>
      </w:r>
      <w:r w:rsidR="00B767B3">
        <w:t xml:space="preserve">is </w:t>
      </w:r>
      <w:r w:rsidRPr="008E4EC2">
        <w:t>whether the restrictions imposed on the author’s freedom of expression were justified under any of the criteria set out in article 19</w:t>
      </w:r>
      <w:r w:rsidR="000F61D2">
        <w:t xml:space="preserve"> (</w:t>
      </w:r>
      <w:r w:rsidRPr="008E4EC2">
        <w:t>3</w:t>
      </w:r>
      <w:r w:rsidR="000F61D2">
        <w:t>)</w:t>
      </w:r>
      <w:r w:rsidRPr="008E4EC2">
        <w:t xml:space="preserve"> of the Covenant. </w:t>
      </w:r>
      <w:r w:rsidRPr="00681D2D">
        <w:t>The Committee observes that article 19 provides for certain restrictions</w:t>
      </w:r>
      <w:r w:rsidR="00347333" w:rsidRPr="00681D2D">
        <w:t>,</w:t>
      </w:r>
      <w:r w:rsidRPr="00681D2D">
        <w:t xml:space="preserve"> but only as provided by law and necessary</w:t>
      </w:r>
      <w:r w:rsidR="00347333" w:rsidRPr="00681D2D">
        <w:t>:</w:t>
      </w:r>
      <w:r w:rsidRPr="00681D2D">
        <w:t xml:space="preserve"> (a) for respect of the rights and reputation</w:t>
      </w:r>
      <w:r w:rsidR="005F4F78" w:rsidRPr="00681D2D">
        <w:t>s</w:t>
      </w:r>
      <w:r w:rsidRPr="00681D2D">
        <w:t xml:space="preserve"> of others; and (b) for the protection of national security or </w:t>
      </w:r>
      <w:r w:rsidR="005F4F78" w:rsidRPr="00681D2D">
        <w:t xml:space="preserve">of </w:t>
      </w:r>
      <w:r w:rsidRPr="00681D2D">
        <w:t xml:space="preserve">public order </w:t>
      </w:r>
      <w:r w:rsidRPr="00681D2D">
        <w:rPr>
          <w:iCs/>
        </w:rPr>
        <w:t>(</w:t>
      </w:r>
      <w:r w:rsidRPr="009E1F08">
        <w:rPr>
          <w:i/>
        </w:rPr>
        <w:t>ordre public</w:t>
      </w:r>
      <w:r w:rsidRPr="00681D2D">
        <w:rPr>
          <w:iCs/>
        </w:rPr>
        <w:t>),</w:t>
      </w:r>
      <w:r w:rsidRPr="00681D2D">
        <w:t xml:space="preserve"> or of public health or morals. It recalls that any restrictions on the exercise of such freedoms must conform to </w:t>
      </w:r>
      <w:r w:rsidR="00681D2D">
        <w:t xml:space="preserve">the </w:t>
      </w:r>
      <w:r w:rsidRPr="00681D2D">
        <w:t>strict tests of necessity and proportionality and be applied only for those purposes for which they were prescribed and must be directly related to the specific need on which they are predicated.</w:t>
      </w:r>
      <w:r w:rsidRPr="00681D2D">
        <w:rPr>
          <w:rStyle w:val="FootnoteReference"/>
        </w:rPr>
        <w:footnoteReference w:id="10"/>
      </w:r>
      <w:r w:rsidRPr="008E4EC2">
        <w:t xml:space="preserve"> The Committee recalls that, if the State </w:t>
      </w:r>
      <w:r w:rsidR="00681D2D">
        <w:t xml:space="preserve">party </w:t>
      </w:r>
      <w:r w:rsidRPr="008E4EC2">
        <w:t xml:space="preserve">imposes a restriction, it is up to the State party to show that it is necessary for the </w:t>
      </w:r>
      <w:r w:rsidR="00681D2D">
        <w:t>purposes</w:t>
      </w:r>
      <w:r w:rsidRPr="008E4EC2">
        <w:t xml:space="preserve"> set out in article 19</w:t>
      </w:r>
      <w:r w:rsidR="00681D2D">
        <w:t xml:space="preserve"> (</w:t>
      </w:r>
      <w:r w:rsidRPr="008E4EC2">
        <w:t>2</w:t>
      </w:r>
      <w:r w:rsidR="00681D2D">
        <w:t>)</w:t>
      </w:r>
      <w:r w:rsidRPr="008E4EC2">
        <w:t xml:space="preserve"> of the Covenant.</w:t>
      </w:r>
    </w:p>
    <w:p w14:paraId="5B43CD1A" w14:textId="77777777" w:rsidR="008E4EC2" w:rsidRPr="008E4EC2" w:rsidRDefault="00045138" w:rsidP="00B767B3">
      <w:pPr>
        <w:pStyle w:val="SingleTxtG"/>
      </w:pPr>
      <w:r>
        <w:t>8.7</w:t>
      </w:r>
      <w:r w:rsidR="008E4EC2" w:rsidRPr="008E4EC2">
        <w:tab/>
        <w:t xml:space="preserve">The Committee notes that the State party has not submitted any observations on the merits of the present communication nor any justification or reasons as to why it was necessary, under domestic law and for </w:t>
      </w:r>
      <w:r w:rsidR="00B767B3">
        <w:t>any</w:t>
      </w:r>
      <w:r w:rsidR="008E4EC2" w:rsidRPr="008E4EC2">
        <w:t xml:space="preserve"> of the legitimate purposes set out in article 19</w:t>
      </w:r>
      <w:r w:rsidR="00B767B3">
        <w:t xml:space="preserve"> (</w:t>
      </w:r>
      <w:r w:rsidR="008E4EC2" w:rsidRPr="008E4EC2">
        <w:t>3</w:t>
      </w:r>
      <w:r w:rsidR="00B767B3">
        <w:t>)</w:t>
      </w:r>
      <w:r w:rsidR="008E4EC2" w:rsidRPr="008E4EC2">
        <w:t xml:space="preserve"> of the Covenant, to require that the author ensure that </w:t>
      </w:r>
      <w:r w:rsidR="00A57B85">
        <w:t xml:space="preserve">the </w:t>
      </w:r>
      <w:r w:rsidR="008E4EC2" w:rsidRPr="008E4EC2">
        <w:t xml:space="preserve">newspapers </w:t>
      </w:r>
      <w:r w:rsidR="00A57B85">
        <w:t xml:space="preserve">he </w:t>
      </w:r>
      <w:r w:rsidR="008E4EC2" w:rsidRPr="008E4EC2">
        <w:t xml:space="preserve">transmitted to his neighbour comply with the requirements for </w:t>
      </w:r>
      <w:r w:rsidR="00B767B3">
        <w:t xml:space="preserve">a </w:t>
      </w:r>
      <w:r w:rsidR="008E4EC2" w:rsidRPr="008E4EC2">
        <w:t>publisher’</w:t>
      </w:r>
      <w:r w:rsidR="00B767B3">
        <w:t>s</w:t>
      </w:r>
      <w:r w:rsidR="008E4EC2" w:rsidRPr="008E4EC2">
        <w:t xml:space="preserve"> imprint as set out in article 22 of the Law on Mass Media. </w:t>
      </w:r>
    </w:p>
    <w:p w14:paraId="532039B5" w14:textId="77777777" w:rsidR="008E4EC2" w:rsidRPr="00C61DDE" w:rsidRDefault="00045138" w:rsidP="00B767B3">
      <w:pPr>
        <w:pStyle w:val="SingleTxtG"/>
      </w:pPr>
      <w:r>
        <w:t>8.8</w:t>
      </w:r>
      <w:r w:rsidR="008E4EC2" w:rsidRPr="008E4EC2">
        <w:tab/>
        <w:t>In the circumstances, and in the absence of any information in that regard from the State party justifying the restriction for the purposes of article 19</w:t>
      </w:r>
      <w:r w:rsidR="00B767B3">
        <w:t xml:space="preserve"> (</w:t>
      </w:r>
      <w:r w:rsidR="008E4EC2" w:rsidRPr="008E4EC2">
        <w:t>3</w:t>
      </w:r>
      <w:r w:rsidR="00B767B3">
        <w:t>) of the Covenant</w:t>
      </w:r>
      <w:r w:rsidR="008E4EC2" w:rsidRPr="008E4EC2">
        <w:t>, the Committee concludes that the author’s rights under article 19</w:t>
      </w:r>
      <w:r w:rsidR="00B767B3">
        <w:t xml:space="preserve"> (</w:t>
      </w:r>
      <w:r w:rsidR="008E4EC2" w:rsidRPr="008E4EC2">
        <w:t>2</w:t>
      </w:r>
      <w:r w:rsidR="00B767B3">
        <w:t>)</w:t>
      </w:r>
      <w:r w:rsidR="008E4EC2" w:rsidRPr="008E4EC2">
        <w:t xml:space="preserve"> of the Covenant, have been violated. </w:t>
      </w:r>
    </w:p>
    <w:p w14:paraId="1652C333" w14:textId="77777777" w:rsidR="002D1387" w:rsidRPr="002C2A44" w:rsidRDefault="00035E6E" w:rsidP="00B767B3">
      <w:pPr>
        <w:pStyle w:val="SingleTxtG"/>
      </w:pPr>
      <w:r>
        <w:t>9.</w:t>
      </w:r>
      <w:r>
        <w:tab/>
      </w:r>
      <w:r w:rsidR="002D1387" w:rsidRPr="002C2A44">
        <w:t>The Committee, acting under article 5</w:t>
      </w:r>
      <w:r w:rsidR="00B767B3">
        <w:t xml:space="preserve"> (</w:t>
      </w:r>
      <w:r w:rsidR="002D1387" w:rsidRPr="002C2A44">
        <w:t>4</w:t>
      </w:r>
      <w:r w:rsidR="00B767B3">
        <w:t>)</w:t>
      </w:r>
      <w:r w:rsidR="002D1387" w:rsidRPr="002C2A44">
        <w:t xml:space="preserve"> of the Optional Protocol, is of the view that the </w:t>
      </w:r>
      <w:r w:rsidR="00AD018A" w:rsidRPr="002C2A44">
        <w:t>facts before it disclose a violation by Belarus of the author</w:t>
      </w:r>
      <w:r w:rsidR="002D1387" w:rsidRPr="002C2A44">
        <w:t>’</w:t>
      </w:r>
      <w:r w:rsidR="00AD018A" w:rsidRPr="002C2A44">
        <w:t>s</w:t>
      </w:r>
      <w:r w:rsidR="002D1387" w:rsidRPr="002C2A44">
        <w:t xml:space="preserve"> rights under article 19</w:t>
      </w:r>
      <w:r w:rsidR="00B767B3">
        <w:t xml:space="preserve"> (</w:t>
      </w:r>
      <w:r w:rsidR="002D1387" w:rsidRPr="002C2A44">
        <w:t>2</w:t>
      </w:r>
      <w:r w:rsidR="00B767B3">
        <w:t>)</w:t>
      </w:r>
      <w:r w:rsidR="002D1387" w:rsidRPr="002C2A44">
        <w:t xml:space="preserve"> of the Covenant.</w:t>
      </w:r>
      <w:r w:rsidR="002C2A44" w:rsidRPr="002C2A44">
        <w:t xml:space="preserve"> </w:t>
      </w:r>
    </w:p>
    <w:p w14:paraId="00174B55" w14:textId="77777777" w:rsidR="00025DA1" w:rsidRPr="001427AC" w:rsidRDefault="00035E6E" w:rsidP="001143B3">
      <w:pPr>
        <w:pStyle w:val="SingleTxtG"/>
      </w:pPr>
      <w:r>
        <w:t>10.</w:t>
      </w:r>
      <w:r>
        <w:tab/>
      </w:r>
      <w:r w:rsidR="002D1387" w:rsidRPr="001427AC">
        <w:t>In accordance with article 2</w:t>
      </w:r>
      <w:r w:rsidR="00B767B3">
        <w:t xml:space="preserve"> (</w:t>
      </w:r>
      <w:r w:rsidR="002D1387" w:rsidRPr="001427AC">
        <w:t>3</w:t>
      </w:r>
      <w:r w:rsidR="00B767B3">
        <w:t>)</w:t>
      </w:r>
      <w:r w:rsidR="002D1387" w:rsidRPr="001427AC">
        <w:t xml:space="preserve"> (a) of the Covenant, the State party is under an o</w:t>
      </w:r>
      <w:r w:rsidR="000127F1">
        <w:t>bligation to provide the author</w:t>
      </w:r>
      <w:r w:rsidR="002D1387" w:rsidRPr="001427AC">
        <w:t xml:space="preserve"> with an effective remedy</w:t>
      </w:r>
      <w:r w:rsidR="0075330E">
        <w:t xml:space="preserve">. </w:t>
      </w:r>
      <w:r w:rsidR="0075330E" w:rsidRPr="0075330E">
        <w:rPr>
          <w:color w:val="000000"/>
          <w:lang w:eastAsia="en-GB"/>
        </w:rPr>
        <w:t xml:space="preserve">This requires it to make full reparation to individuals whose Covenant rights have been violated. Accordingly, the State party is obligated, </w:t>
      </w:r>
      <w:r w:rsidR="0075330E" w:rsidRPr="00045217">
        <w:rPr>
          <w:iCs/>
          <w:color w:val="000000"/>
          <w:lang w:eastAsia="en-GB"/>
        </w:rPr>
        <w:t>inter alia</w:t>
      </w:r>
      <w:r w:rsidR="0075330E" w:rsidRPr="0075330E">
        <w:rPr>
          <w:color w:val="000000"/>
          <w:lang w:eastAsia="en-GB"/>
        </w:rPr>
        <w:t>,</w:t>
      </w:r>
      <w:r w:rsidR="003304FB">
        <w:rPr>
          <w:color w:val="000000"/>
          <w:lang w:eastAsia="en-GB"/>
        </w:rPr>
        <w:t xml:space="preserve"> to </w:t>
      </w:r>
      <w:r w:rsidR="00BB71E0" w:rsidRPr="003973D0">
        <w:t>reimburse any legal costs</w:t>
      </w:r>
      <w:r w:rsidR="00BB71E0">
        <w:t xml:space="preserve"> incurred by the author and the present value of the fine</w:t>
      </w:r>
      <w:r w:rsidR="00BB71E0" w:rsidRPr="003973D0">
        <w:t xml:space="preserve"> </w:t>
      </w:r>
      <w:r w:rsidR="00BB71E0">
        <w:t>that he was required to pay</w:t>
      </w:r>
      <w:r w:rsidR="00BB71E0" w:rsidRPr="003973D0">
        <w:t xml:space="preserve">, together with </w:t>
      </w:r>
      <w:r w:rsidR="00A814E3">
        <w:t xml:space="preserve">adequate </w:t>
      </w:r>
      <w:r w:rsidR="00BB71E0" w:rsidRPr="003973D0">
        <w:t>compensation</w:t>
      </w:r>
      <w:r w:rsidR="00BB71E0">
        <w:t>.</w:t>
      </w:r>
      <w:r w:rsidR="00BB71E0" w:rsidRPr="00383CFA">
        <w:rPr>
          <w:rStyle w:val="FootnoteReference"/>
        </w:rPr>
        <w:footnoteReference w:id="11"/>
      </w:r>
      <w:r w:rsidR="000038DF" w:rsidRPr="000038DF">
        <w:t xml:space="preserve"> The State party </w:t>
      </w:r>
      <w:r w:rsidR="0097732E" w:rsidRPr="0097732E">
        <w:t xml:space="preserve">is also under </w:t>
      </w:r>
      <w:r w:rsidR="00CE5E52">
        <w:t>an</w:t>
      </w:r>
      <w:r w:rsidR="00CE5E52" w:rsidRPr="0097732E">
        <w:t xml:space="preserve"> </w:t>
      </w:r>
      <w:r w:rsidR="0097732E" w:rsidRPr="0097732E">
        <w:t>obligation to take steps to prevent similar violations in the future.</w:t>
      </w:r>
    </w:p>
    <w:p w14:paraId="18B19A27" w14:textId="77777777" w:rsidR="002D1387" w:rsidRPr="00554A01" w:rsidRDefault="001D4C8D" w:rsidP="009E1F08">
      <w:pPr>
        <w:pStyle w:val="SingleTxtG"/>
      </w:pPr>
      <w:r>
        <w:t>11</w:t>
      </w:r>
      <w:r w:rsidR="00035E6E">
        <w:t>.</w:t>
      </w:r>
      <w:r w:rsidR="00035E6E">
        <w:tab/>
      </w:r>
      <w:r w:rsidR="002D1387" w:rsidRPr="00554A01">
        <w:t xml:space="preserve">Bearing in mind that, by becoming a party to the Optional Protocol, the State party has recognized the competence of the Committee to determine whether there has been a violation of the Covenant and that, pursuant to article 2 of the Covenant, the State </w:t>
      </w:r>
      <w:r w:rsidR="002D1387" w:rsidRPr="003E62D9">
        <w:t xml:space="preserve">party has undertaken to ensure to all individuals within its territory and subject to its jurisdiction the rights recognized in the Covenant and to provide an effective and enforceable remedy </w:t>
      </w:r>
      <w:r w:rsidR="00330071" w:rsidRPr="003E62D9">
        <w:t xml:space="preserve">where it </w:t>
      </w:r>
      <w:r w:rsidR="002D1387" w:rsidRPr="003E62D9">
        <w:t xml:space="preserve">has been </w:t>
      </w:r>
      <w:r w:rsidR="00330071" w:rsidRPr="003E62D9">
        <w:t xml:space="preserve">determined that a violation has </w:t>
      </w:r>
      <w:r w:rsidR="003E62D9" w:rsidRPr="003E62D9">
        <w:t>occurred</w:t>
      </w:r>
      <w:r w:rsidR="002D1387" w:rsidRPr="003E62D9">
        <w:t>, the</w:t>
      </w:r>
      <w:r w:rsidR="002D1387" w:rsidRPr="00554A01">
        <w:t xml:space="preserve"> Committee </w:t>
      </w:r>
      <w:r w:rsidR="009E1F08">
        <w:t>requests</w:t>
      </w:r>
      <w:r w:rsidR="002D1387" w:rsidRPr="00554A01">
        <w:t xml:space="preserve"> the State party</w:t>
      </w:r>
      <w:r w:rsidR="005001CA">
        <w:t xml:space="preserve"> to provide</w:t>
      </w:r>
      <w:r w:rsidR="002D1387" w:rsidRPr="00554A01">
        <w:t xml:space="preserve">, within 180 days, information about the measures taken to give effect to the </w:t>
      </w:r>
      <w:r w:rsidR="005001CA">
        <w:t>present</w:t>
      </w:r>
      <w:r w:rsidR="002D1387" w:rsidRPr="00554A01">
        <w:t xml:space="preserve"> Views. The State party is also requested to publish the present Views and to have them widely disseminated in Belarusian and Russian in the State party.</w:t>
      </w:r>
    </w:p>
    <w:p w14:paraId="70738C54" w14:textId="77777777" w:rsidR="00442A83" w:rsidRPr="002D1387" w:rsidRDefault="002D1387" w:rsidP="002D1387">
      <w:pPr>
        <w:pStyle w:val="SingleTxtG"/>
        <w:spacing w:before="240" w:after="0"/>
        <w:jc w:val="center"/>
        <w:rPr>
          <w:u w:val="single"/>
        </w:rPr>
      </w:pPr>
      <w:r>
        <w:rPr>
          <w:u w:val="single"/>
        </w:rPr>
        <w:tab/>
      </w:r>
      <w:r>
        <w:rPr>
          <w:u w:val="single"/>
        </w:rPr>
        <w:tab/>
      </w:r>
      <w:r>
        <w:rPr>
          <w:u w:val="single"/>
        </w:rPr>
        <w:tab/>
      </w:r>
    </w:p>
    <w:sectPr w:rsidR="00442A83" w:rsidRPr="002D1387" w:rsidSect="003E23C9">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0T08:53:00Z" w:initials="Start">
    <w:p w14:paraId="15A70A0B" w14:textId="77777777" w:rsidR="003E23C9" w:rsidRDefault="003E23C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NO&gt;&gt;N1528095E&lt;&lt;ODS JOB NO&gt;&gt;</w:t>
      </w:r>
    </w:p>
    <w:p w14:paraId="4439121A" w14:textId="77777777" w:rsidR="003E23C9" w:rsidRDefault="003E23C9">
      <w:pPr>
        <w:pStyle w:val="CommentText"/>
      </w:pPr>
      <w:r>
        <w:t>&lt;&lt;ODS DOC SYMBOL1&gt;&gt;CCPR/C/115/D/1996/2010&lt;&lt;ODS DOC SYMBOL1&gt;&gt;</w:t>
      </w:r>
    </w:p>
    <w:p w14:paraId="5C783B92" w14:textId="77777777" w:rsidR="003E23C9" w:rsidRDefault="003E23C9">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83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4579D" w14:textId="77777777" w:rsidR="009D45B1" w:rsidRDefault="009D45B1"/>
  </w:endnote>
  <w:endnote w:type="continuationSeparator" w:id="0">
    <w:p w14:paraId="14E6AAF0" w14:textId="77777777" w:rsidR="009D45B1" w:rsidRDefault="009D45B1"/>
  </w:endnote>
  <w:endnote w:type="continuationNotice" w:id="1">
    <w:p w14:paraId="40236221" w14:textId="77777777" w:rsidR="009D45B1" w:rsidRDefault="009D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C011F" w14:textId="77777777" w:rsidR="003E62D9" w:rsidRPr="002D1387" w:rsidRDefault="003E62D9" w:rsidP="002D1387">
    <w:pPr>
      <w:pStyle w:val="Footer"/>
      <w:tabs>
        <w:tab w:val="right" w:pos="9638"/>
      </w:tabs>
    </w:pPr>
    <w:r w:rsidRPr="002D1387">
      <w:rPr>
        <w:b/>
        <w:sz w:val="18"/>
      </w:rPr>
      <w:fldChar w:fldCharType="begin"/>
    </w:r>
    <w:r w:rsidRPr="002D1387">
      <w:rPr>
        <w:b/>
        <w:sz w:val="18"/>
      </w:rPr>
      <w:instrText xml:space="preserve"> PAGE  \* MERGEFORMAT </w:instrText>
    </w:r>
    <w:r w:rsidRPr="002D1387">
      <w:rPr>
        <w:b/>
        <w:sz w:val="18"/>
      </w:rPr>
      <w:fldChar w:fldCharType="separate"/>
    </w:r>
    <w:r w:rsidR="000634F8">
      <w:rPr>
        <w:b/>
        <w:noProof/>
        <w:sz w:val="18"/>
      </w:rPr>
      <w:t>2</w:t>
    </w:r>
    <w:r w:rsidRPr="002D138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907F" w14:textId="77777777" w:rsidR="003E62D9" w:rsidRPr="002D1387" w:rsidRDefault="003E62D9" w:rsidP="002D1387">
    <w:pPr>
      <w:pStyle w:val="Footer"/>
      <w:tabs>
        <w:tab w:val="right" w:pos="9638"/>
      </w:tabs>
      <w:rPr>
        <w:b/>
        <w:sz w:val="18"/>
      </w:rPr>
    </w:pPr>
    <w:r>
      <w:tab/>
    </w:r>
    <w:r w:rsidRPr="002D1387">
      <w:rPr>
        <w:b/>
        <w:sz w:val="18"/>
      </w:rPr>
      <w:fldChar w:fldCharType="begin"/>
    </w:r>
    <w:r w:rsidRPr="002D1387">
      <w:rPr>
        <w:b/>
        <w:sz w:val="18"/>
      </w:rPr>
      <w:instrText xml:space="preserve"> PAGE  \* MERGEFORMAT </w:instrText>
    </w:r>
    <w:r w:rsidRPr="002D1387">
      <w:rPr>
        <w:b/>
        <w:sz w:val="18"/>
      </w:rPr>
      <w:fldChar w:fldCharType="separate"/>
    </w:r>
    <w:r w:rsidR="000634F8">
      <w:rPr>
        <w:b/>
        <w:noProof/>
        <w:sz w:val="18"/>
      </w:rPr>
      <w:t>3</w:t>
    </w:r>
    <w:r w:rsidRPr="002D138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E23C9" w14:paraId="2376BD07" w14:textId="77777777" w:rsidTr="003E23C9">
      <w:tc>
        <w:tcPr>
          <w:tcW w:w="3614" w:type="dxa"/>
          <w:shd w:val="clear" w:color="auto" w:fill="auto"/>
        </w:tcPr>
        <w:p w14:paraId="24CFF54F" w14:textId="77777777" w:rsidR="003E23C9" w:rsidRDefault="003E23C9" w:rsidP="003E23C9">
          <w:pPr>
            <w:pStyle w:val="Footer"/>
            <w:rPr>
              <w:sz w:val="20"/>
            </w:rPr>
          </w:pPr>
          <w:r>
            <w:rPr>
              <w:noProof/>
              <w:sz w:val="20"/>
              <w:lang w:val="en-US"/>
            </w:rPr>
            <w:drawing>
              <wp:anchor distT="0" distB="0" distL="114300" distR="114300" simplePos="0" relativeHeight="251658240" behindDoc="0" locked="0" layoutInCell="1" allowOverlap="1" wp14:anchorId="05B75064" wp14:editId="6493C5CC">
                <wp:simplePos x="0" y="0"/>
                <wp:positionH relativeFrom="column">
                  <wp:posOffset>5339715</wp:posOffset>
                </wp:positionH>
                <wp:positionV relativeFrom="paragraph">
                  <wp:posOffset>-365760</wp:posOffset>
                </wp:positionV>
                <wp:extent cx="694690" cy="694690"/>
                <wp:effectExtent l="0" t="0" r="0" b="0"/>
                <wp:wrapNone/>
                <wp:docPr id="2" name="Picture 2" descr="http://undocs.org/m2/QRCode2.ashx?DS=CCPR/C/115/D/1996/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1996/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GE.15-21519(E)</w:t>
          </w:r>
        </w:p>
        <w:p w14:paraId="59029B0F" w14:textId="77777777" w:rsidR="003E23C9" w:rsidRPr="003E23C9" w:rsidRDefault="003E23C9" w:rsidP="003E23C9">
          <w:pPr>
            <w:pStyle w:val="Footer"/>
            <w:rPr>
              <w:rFonts w:ascii="Barcode 3 of 9 by request" w:hAnsi="Barcode 3 of 9 by request"/>
              <w:sz w:val="24"/>
            </w:rPr>
          </w:pPr>
          <w:r>
            <w:rPr>
              <w:rFonts w:ascii="Barcode 3 of 9 by request" w:hAnsi="Barcode 3 of 9 by request"/>
              <w:sz w:val="24"/>
            </w:rPr>
            <w:t>*1521519*</w:t>
          </w:r>
        </w:p>
      </w:tc>
      <w:tc>
        <w:tcPr>
          <w:tcW w:w="4752" w:type="dxa"/>
          <w:shd w:val="clear" w:color="auto" w:fill="auto"/>
        </w:tcPr>
        <w:p w14:paraId="5403739A" w14:textId="77777777" w:rsidR="003E23C9" w:rsidRDefault="003E23C9" w:rsidP="003E23C9">
          <w:pPr>
            <w:pStyle w:val="Footer"/>
            <w:spacing w:line="240" w:lineRule="atLeast"/>
            <w:jc w:val="right"/>
            <w:rPr>
              <w:sz w:val="20"/>
            </w:rPr>
          </w:pPr>
          <w:r>
            <w:rPr>
              <w:noProof/>
              <w:sz w:val="20"/>
              <w:lang w:val="en-US"/>
            </w:rPr>
            <w:drawing>
              <wp:inline distT="0" distB="0" distL="0" distR="0" wp14:anchorId="1418092A" wp14:editId="792452DE">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D3E8678" w14:textId="77777777" w:rsidR="003E23C9" w:rsidRPr="003E23C9" w:rsidRDefault="003E23C9" w:rsidP="003E23C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A878B" w14:textId="77777777" w:rsidR="009D45B1" w:rsidRPr="000B175B" w:rsidRDefault="009D45B1" w:rsidP="000B175B">
      <w:pPr>
        <w:tabs>
          <w:tab w:val="right" w:pos="2155"/>
        </w:tabs>
        <w:spacing w:after="80"/>
        <w:ind w:left="680"/>
        <w:rPr>
          <w:u w:val="single"/>
        </w:rPr>
      </w:pPr>
      <w:r>
        <w:rPr>
          <w:u w:val="single"/>
        </w:rPr>
        <w:tab/>
      </w:r>
    </w:p>
  </w:footnote>
  <w:footnote w:type="continuationSeparator" w:id="0">
    <w:p w14:paraId="4ADF0B14" w14:textId="77777777" w:rsidR="009D45B1" w:rsidRPr="00FC68B7" w:rsidRDefault="009D45B1" w:rsidP="00FC68B7">
      <w:pPr>
        <w:tabs>
          <w:tab w:val="left" w:pos="2155"/>
        </w:tabs>
        <w:spacing w:after="80"/>
        <w:ind w:left="680"/>
        <w:rPr>
          <w:u w:val="single"/>
        </w:rPr>
      </w:pPr>
      <w:r>
        <w:rPr>
          <w:u w:val="single"/>
        </w:rPr>
        <w:tab/>
      </w:r>
    </w:p>
  </w:footnote>
  <w:footnote w:type="continuationNotice" w:id="1">
    <w:p w14:paraId="73053874" w14:textId="77777777" w:rsidR="009D45B1" w:rsidRDefault="009D45B1"/>
  </w:footnote>
  <w:footnote w:id="2">
    <w:p w14:paraId="018BFAD9" w14:textId="77777777" w:rsidR="00671544" w:rsidRPr="00045217" w:rsidRDefault="00671544" w:rsidP="002A4347">
      <w:pPr>
        <w:pStyle w:val="FootnoteText"/>
        <w:rPr>
          <w:szCs w:val="18"/>
        </w:rPr>
      </w:pPr>
      <w:r>
        <w:rPr>
          <w:rStyle w:val="FootnoteReference"/>
        </w:rPr>
        <w:tab/>
      </w:r>
      <w:r w:rsidRPr="00045217">
        <w:rPr>
          <w:rStyle w:val="FootnoteReference"/>
          <w:sz w:val="20"/>
          <w:vertAlign w:val="baseline"/>
        </w:rPr>
        <w:t>*</w:t>
      </w:r>
      <w:r>
        <w:rPr>
          <w:rStyle w:val="FootnoteReference"/>
          <w:sz w:val="20"/>
          <w:vertAlign w:val="baseline"/>
        </w:rPr>
        <w:tab/>
      </w:r>
      <w:r w:rsidRPr="00045217">
        <w:rPr>
          <w:szCs w:val="18"/>
        </w:rPr>
        <w:t>The following members of the Committee participated in the examination of the present communication: Yadh Ben Achour, Lazhari Bouzid, Sarah Cleveland, Olivier de Frouville, Ahmed</w:t>
      </w:r>
      <w:r w:rsidR="003E7D26">
        <w:rPr>
          <w:szCs w:val="18"/>
        </w:rPr>
        <w:t> </w:t>
      </w:r>
      <w:r w:rsidRPr="00045217">
        <w:rPr>
          <w:szCs w:val="18"/>
        </w:rPr>
        <w:t>Amin Fathalla, Yuji Iwasawa, Ivana Jeli</w:t>
      </w:r>
      <w:r w:rsidR="007662A6">
        <w:rPr>
          <w:szCs w:val="18"/>
        </w:rPr>
        <w:t>ć</w:t>
      </w:r>
      <w:r w:rsidRPr="00045217">
        <w:rPr>
          <w:szCs w:val="18"/>
        </w:rPr>
        <w:t xml:space="preserve">, Duncan </w:t>
      </w:r>
      <w:r w:rsidR="002A4347">
        <w:rPr>
          <w:szCs w:val="18"/>
        </w:rPr>
        <w:t xml:space="preserve">Laki </w:t>
      </w:r>
      <w:r w:rsidRPr="00045217">
        <w:rPr>
          <w:szCs w:val="18"/>
        </w:rPr>
        <w:t>Muhumuza, Photini Pazartzis, Mauro</w:t>
      </w:r>
      <w:r w:rsidR="003E7D26">
        <w:rPr>
          <w:szCs w:val="18"/>
        </w:rPr>
        <w:t> </w:t>
      </w:r>
      <w:r w:rsidRPr="00045217">
        <w:rPr>
          <w:szCs w:val="18"/>
        </w:rPr>
        <w:t>Politi, Sir Nigel Rodley, V</w:t>
      </w:r>
      <w:r w:rsidR="007662A6">
        <w:rPr>
          <w:szCs w:val="18"/>
        </w:rPr>
        <w:t>í</w:t>
      </w:r>
      <w:r w:rsidRPr="00045217">
        <w:rPr>
          <w:szCs w:val="18"/>
        </w:rPr>
        <w:t>ctor Manuel Rodríguez-Rescia, Fabián Omar Salvioli, Dheerujlall Seetulsingh, Anja Seibert-Fohr, Yuval Shany, Konstantine Vardzelashvili and Margo Waterval.</w:t>
      </w:r>
    </w:p>
  </w:footnote>
  <w:footnote w:id="3">
    <w:p w14:paraId="72231565" w14:textId="77777777" w:rsidR="008B564C" w:rsidRDefault="008B564C">
      <w:pPr>
        <w:pStyle w:val="FootnoteText"/>
        <w:tabs>
          <w:tab w:val="right" w:pos="9639"/>
        </w:tabs>
      </w:pPr>
      <w:r>
        <w:tab/>
      </w:r>
      <w:r w:rsidRPr="00383CFA">
        <w:rPr>
          <w:rStyle w:val="FootnoteReference"/>
        </w:rPr>
        <w:footnoteRef/>
      </w:r>
      <w:r>
        <w:tab/>
        <w:t>The author refer</w:t>
      </w:r>
      <w:r w:rsidR="00D20495">
        <w:t>s,</w:t>
      </w:r>
      <w:r>
        <w:t xml:space="preserve"> in this respect</w:t>
      </w:r>
      <w:r w:rsidR="00D20495">
        <w:t>,</w:t>
      </w:r>
      <w:r>
        <w:t xml:space="preserve"> to the decision of the European Court of Human Rights in </w:t>
      </w:r>
      <w:r>
        <w:rPr>
          <w:i/>
          <w:iCs/>
        </w:rPr>
        <w:t>Tumilovich</w:t>
      </w:r>
      <w:r w:rsidRPr="00045217">
        <w:rPr>
          <w:i/>
        </w:rPr>
        <w:t xml:space="preserve"> v.</w:t>
      </w:r>
      <w:r>
        <w:rPr>
          <w:i/>
          <w:iCs/>
        </w:rPr>
        <w:t xml:space="preserve"> Russia</w:t>
      </w:r>
      <w:r>
        <w:t xml:space="preserve"> </w:t>
      </w:r>
      <w:r w:rsidR="00D20495">
        <w:t>(a</w:t>
      </w:r>
      <w:r>
        <w:t xml:space="preserve">pplication No. </w:t>
      </w:r>
      <w:hyperlink r:id="rId1" w:anchor="%7B%5C" w:history="1">
        <w:r>
          <w:rPr>
            <w:rStyle w:val="Hyperlink1"/>
          </w:rPr>
          <w:t>47033/99</w:t>
        </w:r>
      </w:hyperlink>
      <w:r w:rsidR="00D20495">
        <w:rPr>
          <w:rStyle w:val="Hyperlink1"/>
        </w:rPr>
        <w:t>)</w:t>
      </w:r>
      <w:r>
        <w:t>, decision of 22 June 1999.</w:t>
      </w:r>
    </w:p>
  </w:footnote>
  <w:footnote w:id="4">
    <w:p w14:paraId="46F8B73B" w14:textId="77777777" w:rsidR="003E62D9" w:rsidRDefault="003E62D9">
      <w:pPr>
        <w:pStyle w:val="FootnoteText"/>
        <w:tabs>
          <w:tab w:val="right" w:pos="9639"/>
        </w:tabs>
      </w:pPr>
      <w:r>
        <w:tab/>
      </w:r>
      <w:r w:rsidRPr="00383CFA">
        <w:rPr>
          <w:rStyle w:val="FootnoteReference"/>
        </w:rPr>
        <w:footnoteRef/>
      </w:r>
      <w:r>
        <w:tab/>
        <w:t>The author refers to the Committee’s general comment No. 33 (2008) on t</w:t>
      </w:r>
      <w:r w:rsidRPr="00A502AF">
        <w:rPr>
          <w:iCs/>
        </w:rPr>
        <w:t xml:space="preserve">he </w:t>
      </w:r>
      <w:r>
        <w:rPr>
          <w:iCs/>
        </w:rPr>
        <w:t>o</w:t>
      </w:r>
      <w:r w:rsidRPr="00A502AF">
        <w:rPr>
          <w:iCs/>
        </w:rPr>
        <w:t xml:space="preserve">bligations of States </w:t>
      </w:r>
      <w:r>
        <w:rPr>
          <w:iCs/>
        </w:rPr>
        <w:t>p</w:t>
      </w:r>
      <w:r w:rsidRPr="00A502AF">
        <w:rPr>
          <w:iCs/>
        </w:rPr>
        <w:t>arties under the Optional Protocol to the International Covenant on Civil and Political Rights</w:t>
      </w:r>
      <w:r w:rsidRPr="00A502AF">
        <w:t>,</w:t>
      </w:r>
      <w:r w:rsidRPr="000361AF">
        <w:t xml:space="preserve"> </w:t>
      </w:r>
      <w:r>
        <w:t>paras. 11</w:t>
      </w:r>
      <w:r w:rsidR="00383CFA">
        <w:t>-</w:t>
      </w:r>
      <w:r>
        <w:t>13.</w:t>
      </w:r>
    </w:p>
  </w:footnote>
  <w:footnote w:id="5">
    <w:p w14:paraId="4E9A3B42" w14:textId="77777777" w:rsidR="003E62D9" w:rsidRDefault="003E62D9">
      <w:pPr>
        <w:pStyle w:val="FootnoteText"/>
      </w:pPr>
      <w:r>
        <w:tab/>
      </w:r>
      <w:r w:rsidRPr="00383CFA">
        <w:rPr>
          <w:rStyle w:val="FootnoteReference"/>
        </w:rPr>
        <w:footnoteRef/>
      </w:r>
      <w:r>
        <w:t xml:space="preserve"> </w:t>
      </w:r>
      <w:r>
        <w:tab/>
        <w:t>The author refers</w:t>
      </w:r>
      <w:r w:rsidR="00C41AB7">
        <w:t>,</w:t>
      </w:r>
      <w:r>
        <w:t xml:space="preserve"> in this re</w:t>
      </w:r>
      <w:r w:rsidR="00C41AB7">
        <w:t>spect,</w:t>
      </w:r>
      <w:r>
        <w:t xml:space="preserve"> to communication No. 1418/2005, </w:t>
      </w:r>
      <w:r w:rsidRPr="004D1F31">
        <w:rPr>
          <w:i/>
        </w:rPr>
        <w:t>Iskiyaev v. Uzbekistan</w:t>
      </w:r>
      <w:r>
        <w:t xml:space="preserve">, Views adopted on 20 March 2009. </w:t>
      </w:r>
    </w:p>
  </w:footnote>
  <w:footnote w:id="6">
    <w:p w14:paraId="0DE0313D" w14:textId="77777777" w:rsidR="003E62D9" w:rsidRDefault="003E62D9">
      <w:pPr>
        <w:pStyle w:val="FootnoteText"/>
        <w:tabs>
          <w:tab w:val="right" w:pos="9639"/>
        </w:tabs>
      </w:pPr>
      <w:r>
        <w:tab/>
      </w:r>
      <w:r w:rsidRPr="00383CFA">
        <w:rPr>
          <w:rStyle w:val="FootnoteReference"/>
        </w:rPr>
        <w:footnoteRef/>
      </w:r>
      <w:r>
        <w:tab/>
      </w:r>
      <w:r w:rsidRPr="00CB4CF0">
        <w:t xml:space="preserve">The author </w:t>
      </w:r>
      <w:r>
        <w:t>refers</w:t>
      </w:r>
      <w:r w:rsidR="00C41AB7">
        <w:t>,</w:t>
      </w:r>
      <w:r>
        <w:t xml:space="preserve"> in </w:t>
      </w:r>
      <w:r w:rsidRPr="00CB4CF0">
        <w:t>this respect</w:t>
      </w:r>
      <w:r w:rsidR="00C41AB7">
        <w:t>,</w:t>
      </w:r>
      <w:r w:rsidRPr="00CB4CF0">
        <w:t xml:space="preserve"> to </w:t>
      </w:r>
      <w:r>
        <w:rPr>
          <w:i/>
          <w:iCs/>
        </w:rPr>
        <w:t>Tumilovich</w:t>
      </w:r>
      <w:r w:rsidRPr="00045217">
        <w:rPr>
          <w:i/>
        </w:rPr>
        <w:t xml:space="preserve"> v.</w:t>
      </w:r>
      <w:r>
        <w:rPr>
          <w:i/>
          <w:iCs/>
        </w:rPr>
        <w:t xml:space="preserve"> Russia</w:t>
      </w:r>
      <w:r>
        <w:t>.</w:t>
      </w:r>
    </w:p>
  </w:footnote>
  <w:footnote w:id="7">
    <w:p w14:paraId="6CCDB7F7" w14:textId="77777777" w:rsidR="008E2AA1" w:rsidRPr="00D60ECE" w:rsidRDefault="008E2AA1">
      <w:pPr>
        <w:pStyle w:val="FootnoteText"/>
      </w:pPr>
      <w:r>
        <w:tab/>
      </w:r>
      <w:r>
        <w:rPr>
          <w:rStyle w:val="FootnoteReference"/>
        </w:rPr>
        <w:footnoteRef/>
      </w:r>
      <w:r>
        <w:t xml:space="preserve"> </w:t>
      </w:r>
      <w:r>
        <w:tab/>
        <w:t>See also in this re</w:t>
      </w:r>
      <w:r w:rsidR="00C41AB7">
        <w:t>spect</w:t>
      </w:r>
      <w:r>
        <w:t xml:space="preserve">, communication No. </w:t>
      </w:r>
      <w:r w:rsidRPr="00D60ECE">
        <w:t xml:space="preserve">CCPR/C/106/D/2120/2011, </w:t>
      </w:r>
      <w:r w:rsidRPr="00045217">
        <w:rPr>
          <w:i/>
          <w:iCs/>
        </w:rPr>
        <w:t>Kovaleva et al. v. Belarus</w:t>
      </w:r>
      <w:r w:rsidRPr="00045217">
        <w:t>, Views adopted</w:t>
      </w:r>
      <w:r w:rsidR="00D60ECE" w:rsidRPr="00045217">
        <w:t xml:space="preserve"> on 29 October 2012.</w:t>
      </w:r>
    </w:p>
  </w:footnote>
  <w:footnote w:id="8">
    <w:p w14:paraId="2B177186" w14:textId="77777777" w:rsidR="003E62D9" w:rsidRPr="00166AA1" w:rsidRDefault="003E62D9">
      <w:pPr>
        <w:pStyle w:val="FootnoteText"/>
      </w:pPr>
      <w:r w:rsidRPr="00D60ECE">
        <w:tab/>
      </w:r>
      <w:r w:rsidRPr="00383CFA">
        <w:rPr>
          <w:rStyle w:val="FootnoteReference"/>
        </w:rPr>
        <w:footnoteRef/>
      </w:r>
      <w:r w:rsidRPr="00166AA1">
        <w:tab/>
        <w:t xml:space="preserve">See, inter alia, communications No. 869/1999, </w:t>
      </w:r>
      <w:r w:rsidRPr="00166AA1">
        <w:rPr>
          <w:i/>
        </w:rPr>
        <w:t>Piandiong et al.</w:t>
      </w:r>
      <w:r w:rsidRPr="00383CFA">
        <w:rPr>
          <w:i/>
        </w:rPr>
        <w:t xml:space="preserve"> v.</w:t>
      </w:r>
      <w:r w:rsidRPr="00166AA1">
        <w:rPr>
          <w:i/>
        </w:rPr>
        <w:t xml:space="preserve"> the Philippines</w:t>
      </w:r>
      <w:r w:rsidRPr="00166AA1">
        <w:t xml:space="preserve">, Views adopted on 19 October 2000, para. 5.1; </w:t>
      </w:r>
      <w:r w:rsidR="00C41AB7">
        <w:t xml:space="preserve">and </w:t>
      </w:r>
      <w:r w:rsidRPr="00166AA1">
        <w:t xml:space="preserve">No. 1948/2010, </w:t>
      </w:r>
      <w:r w:rsidRPr="00166AA1">
        <w:rPr>
          <w:i/>
        </w:rPr>
        <w:t>Turchenyak et al.</w:t>
      </w:r>
      <w:r w:rsidR="00383CFA">
        <w:rPr>
          <w:i/>
        </w:rPr>
        <w:t xml:space="preserve"> </w:t>
      </w:r>
      <w:r w:rsidRPr="00045217">
        <w:rPr>
          <w:i/>
        </w:rPr>
        <w:t>v.</w:t>
      </w:r>
      <w:r w:rsidRPr="00166AA1">
        <w:rPr>
          <w:i/>
        </w:rPr>
        <w:t xml:space="preserve"> Belarus</w:t>
      </w:r>
      <w:r w:rsidRPr="00166AA1">
        <w:t>, Views adopted on 24 July 2013, para. 5.2.</w:t>
      </w:r>
    </w:p>
  </w:footnote>
  <w:footnote w:id="9">
    <w:p w14:paraId="3D6ADFA5" w14:textId="77777777" w:rsidR="003E62D9" w:rsidRPr="00E50C27" w:rsidRDefault="003E62D9" w:rsidP="00C41AB7">
      <w:pPr>
        <w:pStyle w:val="FootnoteText"/>
      </w:pPr>
      <w:r>
        <w:tab/>
      </w:r>
      <w:r w:rsidRPr="00383CFA">
        <w:rPr>
          <w:rStyle w:val="FootnoteReference"/>
        </w:rPr>
        <w:footnoteRef/>
      </w:r>
      <w:r>
        <w:tab/>
      </w:r>
      <w:r w:rsidRPr="00357C44">
        <w:t xml:space="preserve">See also communications No. 1949/2010, </w:t>
      </w:r>
      <w:r w:rsidRPr="00357C44">
        <w:rPr>
          <w:i/>
        </w:rPr>
        <w:t>Kozlov et al v. Belarus</w:t>
      </w:r>
      <w:r w:rsidRPr="00357C44">
        <w:t>, Views adopted on 25 March 2015, paras</w:t>
      </w:r>
      <w:r w:rsidR="00383CFA">
        <w:t>.</w:t>
      </w:r>
      <w:r w:rsidRPr="00357C44">
        <w:t xml:space="preserve"> 5.1</w:t>
      </w:r>
      <w:r w:rsidR="00C41AB7">
        <w:t>-</w:t>
      </w:r>
      <w:r w:rsidRPr="00357C44">
        <w:t>5</w:t>
      </w:r>
      <w:r>
        <w:t>.2;</w:t>
      </w:r>
      <w:r w:rsidRPr="00357C44">
        <w:t xml:space="preserve"> No. 1226/2003, </w:t>
      </w:r>
      <w:r w:rsidRPr="00357C44">
        <w:rPr>
          <w:i/>
        </w:rPr>
        <w:t xml:space="preserve">Korneenko </w:t>
      </w:r>
      <w:r w:rsidRPr="00045217">
        <w:rPr>
          <w:i/>
        </w:rPr>
        <w:t>v.</w:t>
      </w:r>
      <w:r w:rsidRPr="00357C44">
        <w:rPr>
          <w:i/>
        </w:rPr>
        <w:t xml:space="preserve"> Belarus</w:t>
      </w:r>
      <w:r w:rsidRPr="00357C44">
        <w:t>, Views adopted on 20 July 2012, paras. 8.1</w:t>
      </w:r>
      <w:r w:rsidR="00C41AB7">
        <w:t>-</w:t>
      </w:r>
      <w:r w:rsidRPr="00357C44">
        <w:t xml:space="preserve">8.2; and </w:t>
      </w:r>
      <w:r w:rsidRPr="00357C44">
        <w:rPr>
          <w:i/>
        </w:rPr>
        <w:t>Turchenyak et al.</w:t>
      </w:r>
      <w:r w:rsidRPr="00383CFA">
        <w:rPr>
          <w:i/>
        </w:rPr>
        <w:t xml:space="preserve"> v.</w:t>
      </w:r>
      <w:r w:rsidRPr="00357C44">
        <w:rPr>
          <w:i/>
        </w:rPr>
        <w:t xml:space="preserve"> Belarus</w:t>
      </w:r>
      <w:r w:rsidRPr="00357C44">
        <w:t>, paras. 5.1</w:t>
      </w:r>
      <w:r w:rsidR="00C41AB7">
        <w:t>-</w:t>
      </w:r>
      <w:r w:rsidRPr="00357C44">
        <w:t>5.2.</w:t>
      </w:r>
    </w:p>
  </w:footnote>
  <w:footnote w:id="10">
    <w:p w14:paraId="48129F19" w14:textId="77777777" w:rsidR="008E4EC2" w:rsidRPr="00166AA1" w:rsidRDefault="008E4EC2">
      <w:pPr>
        <w:pStyle w:val="FootnoteText"/>
      </w:pPr>
      <w:r w:rsidRPr="00166AA1">
        <w:tab/>
      </w:r>
      <w:r w:rsidRPr="00383CFA">
        <w:rPr>
          <w:rStyle w:val="FootnoteReference"/>
        </w:rPr>
        <w:footnoteRef/>
      </w:r>
      <w:r w:rsidRPr="00166AA1">
        <w:tab/>
      </w:r>
      <w:r w:rsidRPr="00FE6FB4">
        <w:t>See the Committee’s general comment No. 34 (2011) on freedoms of opinion and expression</w:t>
      </w:r>
      <w:r>
        <w:t xml:space="preserve">, </w:t>
      </w:r>
      <w:r w:rsidRPr="00166AA1">
        <w:t>para. 22.</w:t>
      </w:r>
    </w:p>
  </w:footnote>
  <w:footnote w:id="11">
    <w:p w14:paraId="0D6E59FA" w14:textId="77777777" w:rsidR="00BB71E0" w:rsidRPr="007B3302" w:rsidRDefault="00BB71E0" w:rsidP="00C41AB7">
      <w:pPr>
        <w:pStyle w:val="FootnoteText"/>
      </w:pPr>
      <w:r>
        <w:tab/>
      </w:r>
      <w:r w:rsidRPr="00383CFA">
        <w:rPr>
          <w:rStyle w:val="FootnoteReference"/>
        </w:rPr>
        <w:footnoteRef/>
      </w:r>
      <w:r w:rsidRPr="007B3302">
        <w:tab/>
        <w:t>See, for example, communication</w:t>
      </w:r>
      <w:r>
        <w:t>s</w:t>
      </w:r>
      <w:r w:rsidRPr="007B3302">
        <w:t xml:space="preserve"> </w:t>
      </w:r>
      <w:r>
        <w:t xml:space="preserve">No. </w:t>
      </w:r>
      <w:r w:rsidRPr="007B3302">
        <w:t xml:space="preserve">1830/2008, </w:t>
      </w:r>
      <w:r w:rsidRPr="00B918B0">
        <w:rPr>
          <w:i/>
        </w:rPr>
        <w:t>Pivonos</w:t>
      </w:r>
      <w:r w:rsidRPr="00383CFA">
        <w:rPr>
          <w:i/>
        </w:rPr>
        <w:t xml:space="preserve"> v.</w:t>
      </w:r>
      <w:r w:rsidRPr="00B918B0">
        <w:rPr>
          <w:i/>
        </w:rPr>
        <w:t xml:space="preserve"> Belarus</w:t>
      </w:r>
      <w:r w:rsidRPr="007B3302">
        <w:t>, Views adopted on 2</w:t>
      </w:r>
      <w:r w:rsidR="00C41AB7">
        <w:t>9</w:t>
      </w:r>
      <w:r w:rsidRPr="007B3302">
        <w:t xml:space="preserve"> October 2012, para</w:t>
      </w:r>
      <w:r>
        <w:t>.</w:t>
      </w:r>
      <w:r w:rsidRPr="007B3302">
        <w:t xml:space="preserve"> 11; </w:t>
      </w:r>
      <w:r>
        <w:t xml:space="preserve">and No. </w:t>
      </w:r>
      <w:r w:rsidRPr="007B3302">
        <w:t xml:space="preserve">1785/2008, </w:t>
      </w:r>
      <w:r w:rsidRPr="00B918B0">
        <w:rPr>
          <w:i/>
        </w:rPr>
        <w:t>Olechkevitch</w:t>
      </w:r>
      <w:r w:rsidRPr="00045217">
        <w:rPr>
          <w:i/>
          <w:iCs/>
        </w:rPr>
        <w:t xml:space="preserve"> v.</w:t>
      </w:r>
      <w:r w:rsidRPr="00B918B0">
        <w:rPr>
          <w:i/>
        </w:rPr>
        <w:t xml:space="preserve"> Belarus</w:t>
      </w:r>
      <w:r w:rsidRPr="007B3302">
        <w:t>, Views ado</w:t>
      </w:r>
      <w:r>
        <w:t xml:space="preserve">pted on 18 March 2013, para. 10; No. </w:t>
      </w:r>
      <w:r w:rsidR="00602F48">
        <w:t xml:space="preserve">2103/2011, </w:t>
      </w:r>
      <w:r w:rsidR="00602F48" w:rsidRPr="00881D54">
        <w:rPr>
          <w:i/>
        </w:rPr>
        <w:t>Poliakov v. Belarus</w:t>
      </w:r>
      <w:r w:rsidR="00602F48">
        <w:t xml:space="preserve">, Views adopted on </w:t>
      </w:r>
      <w:r w:rsidR="00602F48" w:rsidRPr="00602F48">
        <w:t>17 July 2014</w:t>
      </w:r>
      <w:r w:rsidR="00602F48">
        <w:t xml:space="preserve">, para. </w:t>
      </w:r>
      <w:r w:rsidR="00881D54">
        <w:t xml:space="preserve">12; </w:t>
      </w:r>
      <w:r w:rsidR="00CE5E52">
        <w:t xml:space="preserve">and </w:t>
      </w:r>
      <w:r w:rsidR="00881D54">
        <w:t xml:space="preserve">No. 1991/2010, </w:t>
      </w:r>
      <w:r w:rsidR="00881D54" w:rsidRPr="00881D54">
        <w:rPr>
          <w:i/>
        </w:rPr>
        <w:t>Volchek v</w:t>
      </w:r>
      <w:r w:rsidR="00383CFA">
        <w:rPr>
          <w:i/>
        </w:rPr>
        <w:t>.</w:t>
      </w:r>
      <w:r w:rsidR="00881D54" w:rsidRPr="00881D54">
        <w:rPr>
          <w:i/>
        </w:rPr>
        <w:t xml:space="preserve"> Belarus</w:t>
      </w:r>
      <w:r w:rsidR="00881D54">
        <w:t xml:space="preserve">, Views adopted on </w:t>
      </w:r>
      <w:r w:rsidR="00881D54" w:rsidRPr="00881D54">
        <w:t>24 July 2014</w:t>
      </w:r>
      <w:r w:rsidR="00881D54">
        <w:t>, para.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7F458" w14:textId="77777777" w:rsidR="003E62D9" w:rsidRPr="002D1387" w:rsidRDefault="003E62D9">
    <w:pPr>
      <w:pStyle w:val="Header"/>
    </w:pPr>
    <w:r>
      <w:t>CCPR/C/115/D/1996/2010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C3EE0" w14:textId="77777777" w:rsidR="003E62D9" w:rsidRPr="002D1387" w:rsidRDefault="003E62D9" w:rsidP="002D1387">
    <w:pPr>
      <w:pStyle w:val="Header"/>
      <w:jc w:val="right"/>
    </w:pPr>
    <w:r>
      <w:t>CCPR/C/115/D/1996/2010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87"/>
    <w:rsid w:val="00000526"/>
    <w:rsid w:val="000038DF"/>
    <w:rsid w:val="00005148"/>
    <w:rsid w:val="000127F1"/>
    <w:rsid w:val="00020713"/>
    <w:rsid w:val="000228A9"/>
    <w:rsid w:val="00022987"/>
    <w:rsid w:val="00024174"/>
    <w:rsid w:val="00024A29"/>
    <w:rsid w:val="00025CBC"/>
    <w:rsid w:val="00025DA1"/>
    <w:rsid w:val="000272B3"/>
    <w:rsid w:val="00034607"/>
    <w:rsid w:val="0003524C"/>
    <w:rsid w:val="00035529"/>
    <w:rsid w:val="00035E6E"/>
    <w:rsid w:val="000372B0"/>
    <w:rsid w:val="000406A8"/>
    <w:rsid w:val="00042F9A"/>
    <w:rsid w:val="0004369E"/>
    <w:rsid w:val="00045138"/>
    <w:rsid w:val="00045217"/>
    <w:rsid w:val="00047710"/>
    <w:rsid w:val="00050F6B"/>
    <w:rsid w:val="00051109"/>
    <w:rsid w:val="00053FE3"/>
    <w:rsid w:val="0005619E"/>
    <w:rsid w:val="000567BF"/>
    <w:rsid w:val="00057511"/>
    <w:rsid w:val="00057E97"/>
    <w:rsid w:val="0006014D"/>
    <w:rsid w:val="00060C3A"/>
    <w:rsid w:val="0006215B"/>
    <w:rsid w:val="000634F8"/>
    <w:rsid w:val="000638E8"/>
    <w:rsid w:val="00063A13"/>
    <w:rsid w:val="00064D9D"/>
    <w:rsid w:val="00067EA4"/>
    <w:rsid w:val="0007095D"/>
    <w:rsid w:val="00070A9C"/>
    <w:rsid w:val="00072C8C"/>
    <w:rsid w:val="000733B5"/>
    <w:rsid w:val="00074E0E"/>
    <w:rsid w:val="0007657A"/>
    <w:rsid w:val="00076920"/>
    <w:rsid w:val="00076A25"/>
    <w:rsid w:val="000779A7"/>
    <w:rsid w:val="00077A93"/>
    <w:rsid w:val="00081815"/>
    <w:rsid w:val="00082386"/>
    <w:rsid w:val="00083F0B"/>
    <w:rsid w:val="00085E41"/>
    <w:rsid w:val="000931C0"/>
    <w:rsid w:val="000978DE"/>
    <w:rsid w:val="000A048C"/>
    <w:rsid w:val="000A35F9"/>
    <w:rsid w:val="000A4F64"/>
    <w:rsid w:val="000A71CD"/>
    <w:rsid w:val="000A775A"/>
    <w:rsid w:val="000B0F4A"/>
    <w:rsid w:val="000B175B"/>
    <w:rsid w:val="000B3A0F"/>
    <w:rsid w:val="000B4EF7"/>
    <w:rsid w:val="000C06E1"/>
    <w:rsid w:val="000C0BCD"/>
    <w:rsid w:val="000C2C03"/>
    <w:rsid w:val="000C2D2E"/>
    <w:rsid w:val="000C580B"/>
    <w:rsid w:val="000C665D"/>
    <w:rsid w:val="000D4446"/>
    <w:rsid w:val="000E0415"/>
    <w:rsid w:val="000E138E"/>
    <w:rsid w:val="000E5E83"/>
    <w:rsid w:val="000E6296"/>
    <w:rsid w:val="000E74AE"/>
    <w:rsid w:val="000F03AB"/>
    <w:rsid w:val="000F04D5"/>
    <w:rsid w:val="000F378C"/>
    <w:rsid w:val="000F52B5"/>
    <w:rsid w:val="000F5927"/>
    <w:rsid w:val="000F61D2"/>
    <w:rsid w:val="00100A14"/>
    <w:rsid w:val="0010289F"/>
    <w:rsid w:val="00105306"/>
    <w:rsid w:val="001103AA"/>
    <w:rsid w:val="00113BB2"/>
    <w:rsid w:val="001143B3"/>
    <w:rsid w:val="00115DA3"/>
    <w:rsid w:val="00117A65"/>
    <w:rsid w:val="001225B1"/>
    <w:rsid w:val="00124615"/>
    <w:rsid w:val="00134DCC"/>
    <w:rsid w:val="00135558"/>
    <w:rsid w:val="00135C5E"/>
    <w:rsid w:val="0014054C"/>
    <w:rsid w:val="001427AC"/>
    <w:rsid w:val="0014497F"/>
    <w:rsid w:val="00145255"/>
    <w:rsid w:val="00155F9A"/>
    <w:rsid w:val="00156734"/>
    <w:rsid w:val="00156EB1"/>
    <w:rsid w:val="00165F3A"/>
    <w:rsid w:val="00167FD0"/>
    <w:rsid w:val="001758D3"/>
    <w:rsid w:val="00182EDB"/>
    <w:rsid w:val="00183968"/>
    <w:rsid w:val="00185423"/>
    <w:rsid w:val="001858A9"/>
    <w:rsid w:val="001909DA"/>
    <w:rsid w:val="001924C4"/>
    <w:rsid w:val="00193851"/>
    <w:rsid w:val="001942EE"/>
    <w:rsid w:val="00194AFD"/>
    <w:rsid w:val="001A167E"/>
    <w:rsid w:val="001A2CD9"/>
    <w:rsid w:val="001A40A3"/>
    <w:rsid w:val="001A4B4D"/>
    <w:rsid w:val="001A51E2"/>
    <w:rsid w:val="001A53BE"/>
    <w:rsid w:val="001A6686"/>
    <w:rsid w:val="001A7748"/>
    <w:rsid w:val="001B2F55"/>
    <w:rsid w:val="001B3037"/>
    <w:rsid w:val="001B3E95"/>
    <w:rsid w:val="001B42AA"/>
    <w:rsid w:val="001B4B04"/>
    <w:rsid w:val="001B6532"/>
    <w:rsid w:val="001C55F7"/>
    <w:rsid w:val="001C5830"/>
    <w:rsid w:val="001C6663"/>
    <w:rsid w:val="001C7895"/>
    <w:rsid w:val="001D07FA"/>
    <w:rsid w:val="001D0C8C"/>
    <w:rsid w:val="001D0DDC"/>
    <w:rsid w:val="001D12E3"/>
    <w:rsid w:val="001D26DF"/>
    <w:rsid w:val="001D3A03"/>
    <w:rsid w:val="001D4C8D"/>
    <w:rsid w:val="001E2CDE"/>
    <w:rsid w:val="001E2F32"/>
    <w:rsid w:val="001E3A4A"/>
    <w:rsid w:val="001E4F8D"/>
    <w:rsid w:val="001E5389"/>
    <w:rsid w:val="001E6271"/>
    <w:rsid w:val="001E65E3"/>
    <w:rsid w:val="001F1519"/>
    <w:rsid w:val="001F4B44"/>
    <w:rsid w:val="00201955"/>
    <w:rsid w:val="00202DA8"/>
    <w:rsid w:val="002050DD"/>
    <w:rsid w:val="00206EF5"/>
    <w:rsid w:val="00207CE1"/>
    <w:rsid w:val="00211B7B"/>
    <w:rsid w:val="00211E0B"/>
    <w:rsid w:val="00216BD3"/>
    <w:rsid w:val="00217AC5"/>
    <w:rsid w:val="00222AF2"/>
    <w:rsid w:val="0023210C"/>
    <w:rsid w:val="00232548"/>
    <w:rsid w:val="0023583F"/>
    <w:rsid w:val="00235BB6"/>
    <w:rsid w:val="00235C2C"/>
    <w:rsid w:val="002426F8"/>
    <w:rsid w:val="00243492"/>
    <w:rsid w:val="00245FD8"/>
    <w:rsid w:val="00246B70"/>
    <w:rsid w:val="002513AC"/>
    <w:rsid w:val="00251B61"/>
    <w:rsid w:val="002530FD"/>
    <w:rsid w:val="002550E9"/>
    <w:rsid w:val="00257244"/>
    <w:rsid w:val="002603FB"/>
    <w:rsid w:val="00266606"/>
    <w:rsid w:val="00266AE4"/>
    <w:rsid w:val="00267F5F"/>
    <w:rsid w:val="00275031"/>
    <w:rsid w:val="00280A84"/>
    <w:rsid w:val="00280D65"/>
    <w:rsid w:val="00286B4D"/>
    <w:rsid w:val="00287415"/>
    <w:rsid w:val="002901C0"/>
    <w:rsid w:val="002970FA"/>
    <w:rsid w:val="002A3581"/>
    <w:rsid w:val="002A4347"/>
    <w:rsid w:val="002B5D0A"/>
    <w:rsid w:val="002C0EB1"/>
    <w:rsid w:val="002C2203"/>
    <w:rsid w:val="002C2A44"/>
    <w:rsid w:val="002C51DB"/>
    <w:rsid w:val="002C7E6C"/>
    <w:rsid w:val="002D1387"/>
    <w:rsid w:val="002D76AA"/>
    <w:rsid w:val="002E37B5"/>
    <w:rsid w:val="002F175C"/>
    <w:rsid w:val="0030045C"/>
    <w:rsid w:val="003007E9"/>
    <w:rsid w:val="003012AB"/>
    <w:rsid w:val="003038F4"/>
    <w:rsid w:val="00305408"/>
    <w:rsid w:val="003112C7"/>
    <w:rsid w:val="003116B9"/>
    <w:rsid w:val="0031201E"/>
    <w:rsid w:val="00312B3B"/>
    <w:rsid w:val="003158E5"/>
    <w:rsid w:val="003162FE"/>
    <w:rsid w:val="003229D8"/>
    <w:rsid w:val="00325AD6"/>
    <w:rsid w:val="0032675A"/>
    <w:rsid w:val="00330071"/>
    <w:rsid w:val="003304FB"/>
    <w:rsid w:val="0034085C"/>
    <w:rsid w:val="003410E3"/>
    <w:rsid w:val="00344C68"/>
    <w:rsid w:val="00345667"/>
    <w:rsid w:val="00346588"/>
    <w:rsid w:val="00347333"/>
    <w:rsid w:val="0035113F"/>
    <w:rsid w:val="00352709"/>
    <w:rsid w:val="00356091"/>
    <w:rsid w:val="00356104"/>
    <w:rsid w:val="00357C44"/>
    <w:rsid w:val="00361F3F"/>
    <w:rsid w:val="00362DB9"/>
    <w:rsid w:val="00363264"/>
    <w:rsid w:val="00367567"/>
    <w:rsid w:val="00371178"/>
    <w:rsid w:val="00372960"/>
    <w:rsid w:val="003735DC"/>
    <w:rsid w:val="00373D85"/>
    <w:rsid w:val="00375A49"/>
    <w:rsid w:val="003765E9"/>
    <w:rsid w:val="00376676"/>
    <w:rsid w:val="0037694D"/>
    <w:rsid w:val="00376FBB"/>
    <w:rsid w:val="0038336C"/>
    <w:rsid w:val="00383CFA"/>
    <w:rsid w:val="0039111E"/>
    <w:rsid w:val="00391480"/>
    <w:rsid w:val="00391AF4"/>
    <w:rsid w:val="00392356"/>
    <w:rsid w:val="00394E15"/>
    <w:rsid w:val="00396B22"/>
    <w:rsid w:val="003A03A5"/>
    <w:rsid w:val="003A6810"/>
    <w:rsid w:val="003A6A52"/>
    <w:rsid w:val="003B4CF5"/>
    <w:rsid w:val="003C16DE"/>
    <w:rsid w:val="003C2CC4"/>
    <w:rsid w:val="003C6FB8"/>
    <w:rsid w:val="003D0B61"/>
    <w:rsid w:val="003D1109"/>
    <w:rsid w:val="003D39DB"/>
    <w:rsid w:val="003D4B23"/>
    <w:rsid w:val="003D5527"/>
    <w:rsid w:val="003E23C9"/>
    <w:rsid w:val="003E3864"/>
    <w:rsid w:val="003E62D9"/>
    <w:rsid w:val="003E76A6"/>
    <w:rsid w:val="003E7D26"/>
    <w:rsid w:val="003F0222"/>
    <w:rsid w:val="003F2957"/>
    <w:rsid w:val="003F5865"/>
    <w:rsid w:val="003F7A45"/>
    <w:rsid w:val="00405CEF"/>
    <w:rsid w:val="0040798B"/>
    <w:rsid w:val="00410C89"/>
    <w:rsid w:val="004134F6"/>
    <w:rsid w:val="0041552D"/>
    <w:rsid w:val="00417E73"/>
    <w:rsid w:val="0042061F"/>
    <w:rsid w:val="00420C53"/>
    <w:rsid w:val="00421270"/>
    <w:rsid w:val="00421E7D"/>
    <w:rsid w:val="00426B9B"/>
    <w:rsid w:val="004314A3"/>
    <w:rsid w:val="004325CB"/>
    <w:rsid w:val="00436B33"/>
    <w:rsid w:val="00437428"/>
    <w:rsid w:val="004376B3"/>
    <w:rsid w:val="00437715"/>
    <w:rsid w:val="004405BB"/>
    <w:rsid w:val="00442A83"/>
    <w:rsid w:val="004435FA"/>
    <w:rsid w:val="00445DC6"/>
    <w:rsid w:val="00451B9F"/>
    <w:rsid w:val="00451EEC"/>
    <w:rsid w:val="0045495B"/>
    <w:rsid w:val="004633A1"/>
    <w:rsid w:val="00464B7F"/>
    <w:rsid w:val="004739F8"/>
    <w:rsid w:val="004744B1"/>
    <w:rsid w:val="00477A7A"/>
    <w:rsid w:val="00480162"/>
    <w:rsid w:val="0048105E"/>
    <w:rsid w:val="00484782"/>
    <w:rsid w:val="00485A2E"/>
    <w:rsid w:val="00487043"/>
    <w:rsid w:val="00487488"/>
    <w:rsid w:val="00491733"/>
    <w:rsid w:val="00493439"/>
    <w:rsid w:val="00495023"/>
    <w:rsid w:val="004976E2"/>
    <w:rsid w:val="004B2B00"/>
    <w:rsid w:val="004B2CFA"/>
    <w:rsid w:val="004D007A"/>
    <w:rsid w:val="004D5D21"/>
    <w:rsid w:val="004E07E9"/>
    <w:rsid w:val="004E1F96"/>
    <w:rsid w:val="004E22C5"/>
    <w:rsid w:val="004E4014"/>
    <w:rsid w:val="004E7C14"/>
    <w:rsid w:val="004F0700"/>
    <w:rsid w:val="004F2875"/>
    <w:rsid w:val="005001CA"/>
    <w:rsid w:val="00500F8C"/>
    <w:rsid w:val="0050579B"/>
    <w:rsid w:val="00512C63"/>
    <w:rsid w:val="005131FD"/>
    <w:rsid w:val="0052136D"/>
    <w:rsid w:val="00523213"/>
    <w:rsid w:val="00524A40"/>
    <w:rsid w:val="0052775E"/>
    <w:rsid w:val="00532EFD"/>
    <w:rsid w:val="005356CF"/>
    <w:rsid w:val="00541DC9"/>
    <w:rsid w:val="005420F2"/>
    <w:rsid w:val="0054364B"/>
    <w:rsid w:val="005443B7"/>
    <w:rsid w:val="00545BF9"/>
    <w:rsid w:val="005475E5"/>
    <w:rsid w:val="00547F19"/>
    <w:rsid w:val="00547FD1"/>
    <w:rsid w:val="00550F85"/>
    <w:rsid w:val="005541E9"/>
    <w:rsid w:val="00554A01"/>
    <w:rsid w:val="0055790A"/>
    <w:rsid w:val="005600B2"/>
    <w:rsid w:val="005618F9"/>
    <w:rsid w:val="005628B6"/>
    <w:rsid w:val="00563FD3"/>
    <w:rsid w:val="00564345"/>
    <w:rsid w:val="005653F2"/>
    <w:rsid w:val="00565AF1"/>
    <w:rsid w:val="00566668"/>
    <w:rsid w:val="005709E5"/>
    <w:rsid w:val="00572A82"/>
    <w:rsid w:val="00573E8D"/>
    <w:rsid w:val="00574694"/>
    <w:rsid w:val="00575CAC"/>
    <w:rsid w:val="0058295E"/>
    <w:rsid w:val="00583B64"/>
    <w:rsid w:val="005848B3"/>
    <w:rsid w:val="005848D6"/>
    <w:rsid w:val="00590F87"/>
    <w:rsid w:val="0059179B"/>
    <w:rsid w:val="0059194B"/>
    <w:rsid w:val="00592089"/>
    <w:rsid w:val="00592C4A"/>
    <w:rsid w:val="00592CED"/>
    <w:rsid w:val="00597A63"/>
    <w:rsid w:val="005A0515"/>
    <w:rsid w:val="005A063B"/>
    <w:rsid w:val="005A1BAB"/>
    <w:rsid w:val="005A1F79"/>
    <w:rsid w:val="005A3A5F"/>
    <w:rsid w:val="005A70D0"/>
    <w:rsid w:val="005B14E7"/>
    <w:rsid w:val="005B3A01"/>
    <w:rsid w:val="005B3DB3"/>
    <w:rsid w:val="005B6541"/>
    <w:rsid w:val="005B6B1A"/>
    <w:rsid w:val="005C1973"/>
    <w:rsid w:val="005C39E1"/>
    <w:rsid w:val="005C39E4"/>
    <w:rsid w:val="005D03F7"/>
    <w:rsid w:val="005D044A"/>
    <w:rsid w:val="005D52AD"/>
    <w:rsid w:val="005E0740"/>
    <w:rsid w:val="005E4596"/>
    <w:rsid w:val="005E6289"/>
    <w:rsid w:val="005F059A"/>
    <w:rsid w:val="005F35D2"/>
    <w:rsid w:val="005F4F78"/>
    <w:rsid w:val="005F72BD"/>
    <w:rsid w:val="005F7717"/>
    <w:rsid w:val="005F7B75"/>
    <w:rsid w:val="006001EE"/>
    <w:rsid w:val="00602F48"/>
    <w:rsid w:val="00603914"/>
    <w:rsid w:val="00605042"/>
    <w:rsid w:val="00606C8C"/>
    <w:rsid w:val="00611FC4"/>
    <w:rsid w:val="00613C6A"/>
    <w:rsid w:val="00615244"/>
    <w:rsid w:val="006176FB"/>
    <w:rsid w:val="00633BD3"/>
    <w:rsid w:val="00633FEA"/>
    <w:rsid w:val="00637B94"/>
    <w:rsid w:val="00640B26"/>
    <w:rsid w:val="00640B51"/>
    <w:rsid w:val="00651E29"/>
    <w:rsid w:val="006520D8"/>
    <w:rsid w:val="00652D0A"/>
    <w:rsid w:val="00653576"/>
    <w:rsid w:val="00656577"/>
    <w:rsid w:val="00660101"/>
    <w:rsid w:val="00661E4C"/>
    <w:rsid w:val="00662BB6"/>
    <w:rsid w:val="00665BD9"/>
    <w:rsid w:val="00667B5F"/>
    <w:rsid w:val="006710C4"/>
    <w:rsid w:val="00671544"/>
    <w:rsid w:val="00676187"/>
    <w:rsid w:val="00676266"/>
    <w:rsid w:val="00677710"/>
    <w:rsid w:val="00681D2D"/>
    <w:rsid w:val="006820AB"/>
    <w:rsid w:val="00684B99"/>
    <w:rsid w:val="00684C21"/>
    <w:rsid w:val="00685EFD"/>
    <w:rsid w:val="006863EF"/>
    <w:rsid w:val="00687524"/>
    <w:rsid w:val="006917A7"/>
    <w:rsid w:val="0069225F"/>
    <w:rsid w:val="00693D20"/>
    <w:rsid w:val="006971F2"/>
    <w:rsid w:val="006A0939"/>
    <w:rsid w:val="006A0965"/>
    <w:rsid w:val="006A0BEC"/>
    <w:rsid w:val="006A1958"/>
    <w:rsid w:val="006A2ED5"/>
    <w:rsid w:val="006A5657"/>
    <w:rsid w:val="006B10D8"/>
    <w:rsid w:val="006B4956"/>
    <w:rsid w:val="006B5B2B"/>
    <w:rsid w:val="006C450B"/>
    <w:rsid w:val="006C6F78"/>
    <w:rsid w:val="006C7946"/>
    <w:rsid w:val="006C7B38"/>
    <w:rsid w:val="006D0346"/>
    <w:rsid w:val="006D0A30"/>
    <w:rsid w:val="006D1A5B"/>
    <w:rsid w:val="006D3160"/>
    <w:rsid w:val="006D37AF"/>
    <w:rsid w:val="006D4056"/>
    <w:rsid w:val="006D49C8"/>
    <w:rsid w:val="006D51D0"/>
    <w:rsid w:val="006D54B2"/>
    <w:rsid w:val="006D5700"/>
    <w:rsid w:val="006D5D89"/>
    <w:rsid w:val="006E32A0"/>
    <w:rsid w:val="006E564B"/>
    <w:rsid w:val="006E712E"/>
    <w:rsid w:val="006E7191"/>
    <w:rsid w:val="006F22AA"/>
    <w:rsid w:val="006F4A6C"/>
    <w:rsid w:val="006F5EB3"/>
    <w:rsid w:val="006F79C8"/>
    <w:rsid w:val="00703536"/>
    <w:rsid w:val="00703577"/>
    <w:rsid w:val="00705865"/>
    <w:rsid w:val="00705EDB"/>
    <w:rsid w:val="00706B81"/>
    <w:rsid w:val="00713E28"/>
    <w:rsid w:val="00713F8C"/>
    <w:rsid w:val="00716D7B"/>
    <w:rsid w:val="007171F8"/>
    <w:rsid w:val="00722A94"/>
    <w:rsid w:val="00722B65"/>
    <w:rsid w:val="00725706"/>
    <w:rsid w:val="0072578F"/>
    <w:rsid w:val="0072632A"/>
    <w:rsid w:val="00727BCC"/>
    <w:rsid w:val="00730A63"/>
    <w:rsid w:val="00730F4D"/>
    <w:rsid w:val="007327D5"/>
    <w:rsid w:val="00732973"/>
    <w:rsid w:val="0073531A"/>
    <w:rsid w:val="0074474D"/>
    <w:rsid w:val="0074651D"/>
    <w:rsid w:val="007501CA"/>
    <w:rsid w:val="007502AC"/>
    <w:rsid w:val="0075230D"/>
    <w:rsid w:val="0075330E"/>
    <w:rsid w:val="00755549"/>
    <w:rsid w:val="00757CC9"/>
    <w:rsid w:val="007629C8"/>
    <w:rsid w:val="007657AC"/>
    <w:rsid w:val="007662A6"/>
    <w:rsid w:val="00767C73"/>
    <w:rsid w:val="0077036F"/>
    <w:rsid w:val="00771587"/>
    <w:rsid w:val="0077262B"/>
    <w:rsid w:val="0077340F"/>
    <w:rsid w:val="00774081"/>
    <w:rsid w:val="00774569"/>
    <w:rsid w:val="00776588"/>
    <w:rsid w:val="00777192"/>
    <w:rsid w:val="00777F62"/>
    <w:rsid w:val="00782F08"/>
    <w:rsid w:val="007851C9"/>
    <w:rsid w:val="0079664C"/>
    <w:rsid w:val="007A051C"/>
    <w:rsid w:val="007A155A"/>
    <w:rsid w:val="007A7378"/>
    <w:rsid w:val="007B02AB"/>
    <w:rsid w:val="007B0943"/>
    <w:rsid w:val="007B3F81"/>
    <w:rsid w:val="007B6BA5"/>
    <w:rsid w:val="007B7283"/>
    <w:rsid w:val="007C3390"/>
    <w:rsid w:val="007C37E4"/>
    <w:rsid w:val="007C49C0"/>
    <w:rsid w:val="007C4F4B"/>
    <w:rsid w:val="007C6400"/>
    <w:rsid w:val="007C784F"/>
    <w:rsid w:val="007C7883"/>
    <w:rsid w:val="007D31FD"/>
    <w:rsid w:val="007D3410"/>
    <w:rsid w:val="007D7569"/>
    <w:rsid w:val="007D7B2E"/>
    <w:rsid w:val="007E0B2D"/>
    <w:rsid w:val="007E10EB"/>
    <w:rsid w:val="007E1D4A"/>
    <w:rsid w:val="007E219A"/>
    <w:rsid w:val="007E246D"/>
    <w:rsid w:val="007E425F"/>
    <w:rsid w:val="007F0A49"/>
    <w:rsid w:val="007F150D"/>
    <w:rsid w:val="007F3821"/>
    <w:rsid w:val="007F4500"/>
    <w:rsid w:val="007F4609"/>
    <w:rsid w:val="007F6611"/>
    <w:rsid w:val="008021B1"/>
    <w:rsid w:val="008028BD"/>
    <w:rsid w:val="00802A21"/>
    <w:rsid w:val="008041FC"/>
    <w:rsid w:val="008105B8"/>
    <w:rsid w:val="008116A7"/>
    <w:rsid w:val="008128BB"/>
    <w:rsid w:val="00812B45"/>
    <w:rsid w:val="0081485C"/>
    <w:rsid w:val="00814AC4"/>
    <w:rsid w:val="008156E6"/>
    <w:rsid w:val="00816AB0"/>
    <w:rsid w:val="00823F52"/>
    <w:rsid w:val="008242D7"/>
    <w:rsid w:val="008257B1"/>
    <w:rsid w:val="00833626"/>
    <w:rsid w:val="0083426E"/>
    <w:rsid w:val="00841197"/>
    <w:rsid w:val="00842475"/>
    <w:rsid w:val="00843197"/>
    <w:rsid w:val="00843767"/>
    <w:rsid w:val="00844D2A"/>
    <w:rsid w:val="00852542"/>
    <w:rsid w:val="008533B4"/>
    <w:rsid w:val="00855463"/>
    <w:rsid w:val="008646CA"/>
    <w:rsid w:val="00864703"/>
    <w:rsid w:val="00866CB7"/>
    <w:rsid w:val="008679D9"/>
    <w:rsid w:val="00872F95"/>
    <w:rsid w:val="0087648C"/>
    <w:rsid w:val="00881D54"/>
    <w:rsid w:val="008841D3"/>
    <w:rsid w:val="00886F37"/>
    <w:rsid w:val="008928B6"/>
    <w:rsid w:val="00897233"/>
    <w:rsid w:val="008979B1"/>
    <w:rsid w:val="008A17C4"/>
    <w:rsid w:val="008A1DB2"/>
    <w:rsid w:val="008A27A9"/>
    <w:rsid w:val="008A33CA"/>
    <w:rsid w:val="008A58EA"/>
    <w:rsid w:val="008A6B25"/>
    <w:rsid w:val="008A6C4F"/>
    <w:rsid w:val="008A6EE0"/>
    <w:rsid w:val="008A6F9F"/>
    <w:rsid w:val="008B2335"/>
    <w:rsid w:val="008B2E0B"/>
    <w:rsid w:val="008B44C1"/>
    <w:rsid w:val="008B46A1"/>
    <w:rsid w:val="008B52A5"/>
    <w:rsid w:val="008B564C"/>
    <w:rsid w:val="008B7BC0"/>
    <w:rsid w:val="008C01F2"/>
    <w:rsid w:val="008C63DC"/>
    <w:rsid w:val="008D1501"/>
    <w:rsid w:val="008D1688"/>
    <w:rsid w:val="008D3095"/>
    <w:rsid w:val="008E05C0"/>
    <w:rsid w:val="008E0678"/>
    <w:rsid w:val="008E1090"/>
    <w:rsid w:val="008E1AC4"/>
    <w:rsid w:val="008E2AA1"/>
    <w:rsid w:val="008E2E84"/>
    <w:rsid w:val="008E4EC2"/>
    <w:rsid w:val="008F01C2"/>
    <w:rsid w:val="008F0E77"/>
    <w:rsid w:val="008F3372"/>
    <w:rsid w:val="009016BE"/>
    <w:rsid w:val="00902D92"/>
    <w:rsid w:val="00904DEE"/>
    <w:rsid w:val="00904E26"/>
    <w:rsid w:val="00904E7A"/>
    <w:rsid w:val="00910F40"/>
    <w:rsid w:val="00911246"/>
    <w:rsid w:val="00911618"/>
    <w:rsid w:val="00912C08"/>
    <w:rsid w:val="00920123"/>
    <w:rsid w:val="0092226D"/>
    <w:rsid w:val="009223CA"/>
    <w:rsid w:val="0092262B"/>
    <w:rsid w:val="00922C7D"/>
    <w:rsid w:val="0092631D"/>
    <w:rsid w:val="00927A75"/>
    <w:rsid w:val="0093677C"/>
    <w:rsid w:val="00940F93"/>
    <w:rsid w:val="0094142B"/>
    <w:rsid w:val="00944798"/>
    <w:rsid w:val="0095073A"/>
    <w:rsid w:val="00951EB8"/>
    <w:rsid w:val="0095347F"/>
    <w:rsid w:val="00955711"/>
    <w:rsid w:val="00960C00"/>
    <w:rsid w:val="00961454"/>
    <w:rsid w:val="00963862"/>
    <w:rsid w:val="00966BC0"/>
    <w:rsid w:val="00971116"/>
    <w:rsid w:val="00971AFE"/>
    <w:rsid w:val="009760F3"/>
    <w:rsid w:val="0097732E"/>
    <w:rsid w:val="00981F0E"/>
    <w:rsid w:val="009828BD"/>
    <w:rsid w:val="00984960"/>
    <w:rsid w:val="009909F5"/>
    <w:rsid w:val="00990CED"/>
    <w:rsid w:val="009918D6"/>
    <w:rsid w:val="00994B9E"/>
    <w:rsid w:val="009A0399"/>
    <w:rsid w:val="009A0E8D"/>
    <w:rsid w:val="009A2514"/>
    <w:rsid w:val="009A26E1"/>
    <w:rsid w:val="009A5644"/>
    <w:rsid w:val="009A65EE"/>
    <w:rsid w:val="009B26E7"/>
    <w:rsid w:val="009B69A1"/>
    <w:rsid w:val="009C028A"/>
    <w:rsid w:val="009C1307"/>
    <w:rsid w:val="009C247C"/>
    <w:rsid w:val="009C56A0"/>
    <w:rsid w:val="009D0E29"/>
    <w:rsid w:val="009D45B1"/>
    <w:rsid w:val="009D4DD5"/>
    <w:rsid w:val="009D5800"/>
    <w:rsid w:val="009D6156"/>
    <w:rsid w:val="009D67D0"/>
    <w:rsid w:val="009E1A21"/>
    <w:rsid w:val="009E1F08"/>
    <w:rsid w:val="009E2236"/>
    <w:rsid w:val="009E58A3"/>
    <w:rsid w:val="009F0561"/>
    <w:rsid w:val="009F0EBD"/>
    <w:rsid w:val="009F7379"/>
    <w:rsid w:val="00A00415"/>
    <w:rsid w:val="00A00A3F"/>
    <w:rsid w:val="00A01489"/>
    <w:rsid w:val="00A0753E"/>
    <w:rsid w:val="00A11AA5"/>
    <w:rsid w:val="00A13964"/>
    <w:rsid w:val="00A227E8"/>
    <w:rsid w:val="00A26355"/>
    <w:rsid w:val="00A31E91"/>
    <w:rsid w:val="00A338F1"/>
    <w:rsid w:val="00A364A1"/>
    <w:rsid w:val="00A3703B"/>
    <w:rsid w:val="00A4395B"/>
    <w:rsid w:val="00A44615"/>
    <w:rsid w:val="00A52A5F"/>
    <w:rsid w:val="00A57B85"/>
    <w:rsid w:val="00A61A6B"/>
    <w:rsid w:val="00A65094"/>
    <w:rsid w:val="00A66904"/>
    <w:rsid w:val="00A70375"/>
    <w:rsid w:val="00A70BB0"/>
    <w:rsid w:val="00A71307"/>
    <w:rsid w:val="00A72F22"/>
    <w:rsid w:val="00A7360F"/>
    <w:rsid w:val="00A73FA1"/>
    <w:rsid w:val="00A748A6"/>
    <w:rsid w:val="00A769F4"/>
    <w:rsid w:val="00A776B4"/>
    <w:rsid w:val="00A80208"/>
    <w:rsid w:val="00A80BBB"/>
    <w:rsid w:val="00A814E3"/>
    <w:rsid w:val="00A81BF7"/>
    <w:rsid w:val="00A838AB"/>
    <w:rsid w:val="00A90737"/>
    <w:rsid w:val="00A9406A"/>
    <w:rsid w:val="00A94361"/>
    <w:rsid w:val="00A9710D"/>
    <w:rsid w:val="00AA17B8"/>
    <w:rsid w:val="00AA1D80"/>
    <w:rsid w:val="00AA293C"/>
    <w:rsid w:val="00AC143A"/>
    <w:rsid w:val="00AC19E0"/>
    <w:rsid w:val="00AC37C5"/>
    <w:rsid w:val="00AC4233"/>
    <w:rsid w:val="00AC6AEB"/>
    <w:rsid w:val="00AD018A"/>
    <w:rsid w:val="00AD1CA2"/>
    <w:rsid w:val="00AD265D"/>
    <w:rsid w:val="00AD6895"/>
    <w:rsid w:val="00AE0AB2"/>
    <w:rsid w:val="00AE2500"/>
    <w:rsid w:val="00AE300B"/>
    <w:rsid w:val="00AE3A3B"/>
    <w:rsid w:val="00AE6C3F"/>
    <w:rsid w:val="00AE78C5"/>
    <w:rsid w:val="00AF25D3"/>
    <w:rsid w:val="00AF269F"/>
    <w:rsid w:val="00AF4591"/>
    <w:rsid w:val="00AF6F7C"/>
    <w:rsid w:val="00AF73D8"/>
    <w:rsid w:val="00B0601F"/>
    <w:rsid w:val="00B113A4"/>
    <w:rsid w:val="00B134CE"/>
    <w:rsid w:val="00B13E9B"/>
    <w:rsid w:val="00B14A39"/>
    <w:rsid w:val="00B1502A"/>
    <w:rsid w:val="00B17D1E"/>
    <w:rsid w:val="00B209AF"/>
    <w:rsid w:val="00B2688A"/>
    <w:rsid w:val="00B30179"/>
    <w:rsid w:val="00B339A7"/>
    <w:rsid w:val="00B34466"/>
    <w:rsid w:val="00B34770"/>
    <w:rsid w:val="00B35DDD"/>
    <w:rsid w:val="00B37202"/>
    <w:rsid w:val="00B376A7"/>
    <w:rsid w:val="00B4198D"/>
    <w:rsid w:val="00B421C7"/>
    <w:rsid w:val="00B42BAA"/>
    <w:rsid w:val="00B42BB8"/>
    <w:rsid w:val="00B46120"/>
    <w:rsid w:val="00B475BF"/>
    <w:rsid w:val="00B564F1"/>
    <w:rsid w:val="00B56A74"/>
    <w:rsid w:val="00B56C2A"/>
    <w:rsid w:val="00B56E4A"/>
    <w:rsid w:val="00B56E9C"/>
    <w:rsid w:val="00B619B4"/>
    <w:rsid w:val="00B64B1F"/>
    <w:rsid w:val="00B64C08"/>
    <w:rsid w:val="00B6553F"/>
    <w:rsid w:val="00B66E40"/>
    <w:rsid w:val="00B66E5E"/>
    <w:rsid w:val="00B72B43"/>
    <w:rsid w:val="00B7523D"/>
    <w:rsid w:val="00B767B3"/>
    <w:rsid w:val="00B77D05"/>
    <w:rsid w:val="00B81206"/>
    <w:rsid w:val="00B81E12"/>
    <w:rsid w:val="00B84C01"/>
    <w:rsid w:val="00B84DCF"/>
    <w:rsid w:val="00B9067B"/>
    <w:rsid w:val="00B96DDE"/>
    <w:rsid w:val="00BA0CF6"/>
    <w:rsid w:val="00BA1D54"/>
    <w:rsid w:val="00BA20F3"/>
    <w:rsid w:val="00BA4FD5"/>
    <w:rsid w:val="00BA656B"/>
    <w:rsid w:val="00BB16BC"/>
    <w:rsid w:val="00BB1AA5"/>
    <w:rsid w:val="00BB1E1E"/>
    <w:rsid w:val="00BB3BD5"/>
    <w:rsid w:val="00BB48E8"/>
    <w:rsid w:val="00BB71E0"/>
    <w:rsid w:val="00BB7C4B"/>
    <w:rsid w:val="00BC0585"/>
    <w:rsid w:val="00BC10C0"/>
    <w:rsid w:val="00BC2C23"/>
    <w:rsid w:val="00BC74E9"/>
    <w:rsid w:val="00BD1664"/>
    <w:rsid w:val="00BD3634"/>
    <w:rsid w:val="00BF5F30"/>
    <w:rsid w:val="00BF68A8"/>
    <w:rsid w:val="00C00F05"/>
    <w:rsid w:val="00C03CB4"/>
    <w:rsid w:val="00C06043"/>
    <w:rsid w:val="00C06B49"/>
    <w:rsid w:val="00C06FCA"/>
    <w:rsid w:val="00C11A03"/>
    <w:rsid w:val="00C14D31"/>
    <w:rsid w:val="00C15191"/>
    <w:rsid w:val="00C25609"/>
    <w:rsid w:val="00C319BD"/>
    <w:rsid w:val="00C36F1F"/>
    <w:rsid w:val="00C41AB7"/>
    <w:rsid w:val="00C463DD"/>
    <w:rsid w:val="00C4724C"/>
    <w:rsid w:val="00C512B8"/>
    <w:rsid w:val="00C53D21"/>
    <w:rsid w:val="00C629A0"/>
    <w:rsid w:val="00C6537A"/>
    <w:rsid w:val="00C721E5"/>
    <w:rsid w:val="00C745C3"/>
    <w:rsid w:val="00C77553"/>
    <w:rsid w:val="00C82190"/>
    <w:rsid w:val="00C85B62"/>
    <w:rsid w:val="00C87A1F"/>
    <w:rsid w:val="00C90D8B"/>
    <w:rsid w:val="00C90FEC"/>
    <w:rsid w:val="00C948FD"/>
    <w:rsid w:val="00C9792C"/>
    <w:rsid w:val="00CA3C98"/>
    <w:rsid w:val="00CA5B03"/>
    <w:rsid w:val="00CA5B0A"/>
    <w:rsid w:val="00CA73D9"/>
    <w:rsid w:val="00CB0DAD"/>
    <w:rsid w:val="00CB3FC4"/>
    <w:rsid w:val="00CB4CF0"/>
    <w:rsid w:val="00CC1939"/>
    <w:rsid w:val="00CC1EC4"/>
    <w:rsid w:val="00CC2744"/>
    <w:rsid w:val="00CC72C6"/>
    <w:rsid w:val="00CD0992"/>
    <w:rsid w:val="00CD6A29"/>
    <w:rsid w:val="00CE2EB0"/>
    <w:rsid w:val="00CE2F69"/>
    <w:rsid w:val="00CE3FF6"/>
    <w:rsid w:val="00CE479A"/>
    <w:rsid w:val="00CE4A8F"/>
    <w:rsid w:val="00CE516F"/>
    <w:rsid w:val="00CE5E52"/>
    <w:rsid w:val="00CE6B5F"/>
    <w:rsid w:val="00CF28CB"/>
    <w:rsid w:val="00CF37AB"/>
    <w:rsid w:val="00CF515D"/>
    <w:rsid w:val="00D00791"/>
    <w:rsid w:val="00D03B9F"/>
    <w:rsid w:val="00D050B7"/>
    <w:rsid w:val="00D06BDA"/>
    <w:rsid w:val="00D11403"/>
    <w:rsid w:val="00D14ACB"/>
    <w:rsid w:val="00D14DE0"/>
    <w:rsid w:val="00D15C33"/>
    <w:rsid w:val="00D2031B"/>
    <w:rsid w:val="00D20495"/>
    <w:rsid w:val="00D25FE2"/>
    <w:rsid w:val="00D26904"/>
    <w:rsid w:val="00D324F0"/>
    <w:rsid w:val="00D43252"/>
    <w:rsid w:val="00D47EEA"/>
    <w:rsid w:val="00D60ECE"/>
    <w:rsid w:val="00D615F8"/>
    <w:rsid w:val="00D62C7E"/>
    <w:rsid w:val="00D67C61"/>
    <w:rsid w:val="00D70664"/>
    <w:rsid w:val="00D7181D"/>
    <w:rsid w:val="00D72754"/>
    <w:rsid w:val="00D73A13"/>
    <w:rsid w:val="00D749B2"/>
    <w:rsid w:val="00D75828"/>
    <w:rsid w:val="00D760D7"/>
    <w:rsid w:val="00D808F2"/>
    <w:rsid w:val="00D80F06"/>
    <w:rsid w:val="00D85A3B"/>
    <w:rsid w:val="00D90094"/>
    <w:rsid w:val="00D905E1"/>
    <w:rsid w:val="00D90BD1"/>
    <w:rsid w:val="00D95303"/>
    <w:rsid w:val="00D978C6"/>
    <w:rsid w:val="00DA3111"/>
    <w:rsid w:val="00DA3C1C"/>
    <w:rsid w:val="00DA45A4"/>
    <w:rsid w:val="00DA7402"/>
    <w:rsid w:val="00DB0381"/>
    <w:rsid w:val="00DB0A37"/>
    <w:rsid w:val="00DB0C79"/>
    <w:rsid w:val="00DB0D13"/>
    <w:rsid w:val="00DB0F3F"/>
    <w:rsid w:val="00DB3BBB"/>
    <w:rsid w:val="00DB4D20"/>
    <w:rsid w:val="00DD25D3"/>
    <w:rsid w:val="00DD5CBE"/>
    <w:rsid w:val="00DD686B"/>
    <w:rsid w:val="00DD6CB8"/>
    <w:rsid w:val="00DE247C"/>
    <w:rsid w:val="00DE4EA2"/>
    <w:rsid w:val="00DF06BB"/>
    <w:rsid w:val="00DF4517"/>
    <w:rsid w:val="00DF4EB1"/>
    <w:rsid w:val="00DF5251"/>
    <w:rsid w:val="00E00B38"/>
    <w:rsid w:val="00E03612"/>
    <w:rsid w:val="00E0383E"/>
    <w:rsid w:val="00E03B29"/>
    <w:rsid w:val="00E05646"/>
    <w:rsid w:val="00E106F8"/>
    <w:rsid w:val="00E107C5"/>
    <w:rsid w:val="00E220BE"/>
    <w:rsid w:val="00E235D6"/>
    <w:rsid w:val="00E27346"/>
    <w:rsid w:val="00E27D8A"/>
    <w:rsid w:val="00E34D24"/>
    <w:rsid w:val="00E3591A"/>
    <w:rsid w:val="00E409B0"/>
    <w:rsid w:val="00E41279"/>
    <w:rsid w:val="00E43570"/>
    <w:rsid w:val="00E4425C"/>
    <w:rsid w:val="00E46842"/>
    <w:rsid w:val="00E50AE6"/>
    <w:rsid w:val="00E50C27"/>
    <w:rsid w:val="00E5102B"/>
    <w:rsid w:val="00E53E02"/>
    <w:rsid w:val="00E61927"/>
    <w:rsid w:val="00E6281A"/>
    <w:rsid w:val="00E65EEA"/>
    <w:rsid w:val="00E71BC8"/>
    <w:rsid w:val="00E7260F"/>
    <w:rsid w:val="00E731E9"/>
    <w:rsid w:val="00E7346A"/>
    <w:rsid w:val="00E73CD3"/>
    <w:rsid w:val="00E756AA"/>
    <w:rsid w:val="00E779FC"/>
    <w:rsid w:val="00E810E4"/>
    <w:rsid w:val="00E821C8"/>
    <w:rsid w:val="00E833FD"/>
    <w:rsid w:val="00E839F9"/>
    <w:rsid w:val="00E87C6A"/>
    <w:rsid w:val="00E90163"/>
    <w:rsid w:val="00E918C1"/>
    <w:rsid w:val="00E91B12"/>
    <w:rsid w:val="00E92181"/>
    <w:rsid w:val="00E9261D"/>
    <w:rsid w:val="00E9643E"/>
    <w:rsid w:val="00E96630"/>
    <w:rsid w:val="00E969FF"/>
    <w:rsid w:val="00EA0CF7"/>
    <w:rsid w:val="00EA2E8D"/>
    <w:rsid w:val="00EA306D"/>
    <w:rsid w:val="00EB070E"/>
    <w:rsid w:val="00EB2581"/>
    <w:rsid w:val="00EB376F"/>
    <w:rsid w:val="00EC0436"/>
    <w:rsid w:val="00EC0696"/>
    <w:rsid w:val="00EC6E99"/>
    <w:rsid w:val="00ED7A2A"/>
    <w:rsid w:val="00EE2FA5"/>
    <w:rsid w:val="00EE481B"/>
    <w:rsid w:val="00EE749F"/>
    <w:rsid w:val="00EF039E"/>
    <w:rsid w:val="00EF17F2"/>
    <w:rsid w:val="00EF1D7F"/>
    <w:rsid w:val="00EF22FB"/>
    <w:rsid w:val="00F01567"/>
    <w:rsid w:val="00F0213B"/>
    <w:rsid w:val="00F02A13"/>
    <w:rsid w:val="00F053F9"/>
    <w:rsid w:val="00F068A3"/>
    <w:rsid w:val="00F118DA"/>
    <w:rsid w:val="00F160DE"/>
    <w:rsid w:val="00F16986"/>
    <w:rsid w:val="00F20C3D"/>
    <w:rsid w:val="00F238C0"/>
    <w:rsid w:val="00F23E7F"/>
    <w:rsid w:val="00F3056A"/>
    <w:rsid w:val="00F3206A"/>
    <w:rsid w:val="00F32083"/>
    <w:rsid w:val="00F32240"/>
    <w:rsid w:val="00F42D32"/>
    <w:rsid w:val="00F43E9E"/>
    <w:rsid w:val="00F4652C"/>
    <w:rsid w:val="00F4798B"/>
    <w:rsid w:val="00F54063"/>
    <w:rsid w:val="00F61E41"/>
    <w:rsid w:val="00F6288D"/>
    <w:rsid w:val="00F62B1B"/>
    <w:rsid w:val="00F65F3D"/>
    <w:rsid w:val="00F6795A"/>
    <w:rsid w:val="00F7755C"/>
    <w:rsid w:val="00F81914"/>
    <w:rsid w:val="00F85C3B"/>
    <w:rsid w:val="00F90507"/>
    <w:rsid w:val="00F9057C"/>
    <w:rsid w:val="00F906D7"/>
    <w:rsid w:val="00F93781"/>
    <w:rsid w:val="00F9479A"/>
    <w:rsid w:val="00F94DF5"/>
    <w:rsid w:val="00F95068"/>
    <w:rsid w:val="00F959C6"/>
    <w:rsid w:val="00F96BEF"/>
    <w:rsid w:val="00FA0F0A"/>
    <w:rsid w:val="00FA1946"/>
    <w:rsid w:val="00FA1FC8"/>
    <w:rsid w:val="00FA50C5"/>
    <w:rsid w:val="00FA5BB7"/>
    <w:rsid w:val="00FA6B37"/>
    <w:rsid w:val="00FB355A"/>
    <w:rsid w:val="00FB3B0F"/>
    <w:rsid w:val="00FB4DD6"/>
    <w:rsid w:val="00FB613B"/>
    <w:rsid w:val="00FB6A47"/>
    <w:rsid w:val="00FB7679"/>
    <w:rsid w:val="00FC03F0"/>
    <w:rsid w:val="00FC4D25"/>
    <w:rsid w:val="00FC5BF3"/>
    <w:rsid w:val="00FC68B7"/>
    <w:rsid w:val="00FD2F32"/>
    <w:rsid w:val="00FE0407"/>
    <w:rsid w:val="00FE106A"/>
    <w:rsid w:val="00FE1DB3"/>
    <w:rsid w:val="00FF0F3A"/>
    <w:rsid w:val="00FF6690"/>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41F0"/>
  <w15:docId w15:val="{9DA3F6C7-1810-4587-9A33-7A4FDC83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362DB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
    <w:qFormat/>
    <w:rsid w:val="00362DB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2D1387"/>
    <w:rPr>
      <w:rFonts w:eastAsia="SimSun"/>
      <w:sz w:val="18"/>
      <w:lang w:val="en-US" w:eastAsia="zh-CN"/>
    </w:rPr>
  </w:style>
  <w:style w:type="paragraph" w:styleId="CommentText">
    <w:name w:val="annotation text"/>
    <w:basedOn w:val="Normal"/>
    <w:link w:val="CommentTextChar"/>
    <w:rsid w:val="002D1387"/>
  </w:style>
  <w:style w:type="character" w:customStyle="1" w:styleId="CommentTextChar">
    <w:name w:val="Comment Text Char"/>
    <w:basedOn w:val="DefaultParagraphFont"/>
    <w:link w:val="CommentText"/>
    <w:rsid w:val="002D1387"/>
    <w:rPr>
      <w:lang w:eastAsia="en-US"/>
    </w:rPr>
  </w:style>
  <w:style w:type="character" w:customStyle="1" w:styleId="SingleTxtGChar">
    <w:name w:val="_ Single Txt_G Char"/>
    <w:link w:val="SingleTxtG"/>
    <w:rsid w:val="002D1387"/>
    <w:rPr>
      <w:lang w:eastAsia="en-US"/>
    </w:rPr>
  </w:style>
  <w:style w:type="paragraph" w:styleId="BalloonText">
    <w:name w:val="Balloon Text"/>
    <w:basedOn w:val="Normal"/>
    <w:link w:val="BalloonTextChar"/>
    <w:rsid w:val="002D138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D1387"/>
    <w:rPr>
      <w:rFonts w:ascii="Tahoma" w:hAnsi="Tahoma" w:cs="Tahoma"/>
      <w:sz w:val="16"/>
      <w:szCs w:val="16"/>
      <w:lang w:eastAsia="en-US"/>
    </w:rPr>
  </w:style>
  <w:style w:type="character" w:styleId="CommentReference">
    <w:name w:val="annotation reference"/>
    <w:basedOn w:val="DefaultParagraphFont"/>
    <w:rsid w:val="008D1688"/>
    <w:rPr>
      <w:sz w:val="16"/>
      <w:szCs w:val="16"/>
    </w:rPr>
  </w:style>
  <w:style w:type="paragraph" w:styleId="CommentSubject">
    <w:name w:val="annotation subject"/>
    <w:basedOn w:val="CommentText"/>
    <w:next w:val="CommentText"/>
    <w:link w:val="CommentSubjectChar"/>
    <w:rsid w:val="008D1688"/>
    <w:pPr>
      <w:spacing w:line="240" w:lineRule="auto"/>
    </w:pPr>
    <w:rPr>
      <w:b/>
      <w:bCs/>
    </w:rPr>
  </w:style>
  <w:style w:type="character" w:customStyle="1" w:styleId="CommentSubjectChar">
    <w:name w:val="Comment Subject Char"/>
    <w:basedOn w:val="CommentTextChar"/>
    <w:link w:val="CommentSubject"/>
    <w:rsid w:val="008D1688"/>
    <w:rPr>
      <w:b/>
      <w:bCs/>
      <w:lang w:eastAsia="en-US"/>
    </w:rPr>
  </w:style>
  <w:style w:type="character" w:customStyle="1" w:styleId="Hyperlink1">
    <w:name w:val="Hyperlink.1"/>
    <w:rsid w:val="00541DC9"/>
    <w:rPr>
      <w:color w:val="000000"/>
      <w:u w:val="none" w:color="000000"/>
    </w:rPr>
  </w:style>
  <w:style w:type="paragraph" w:styleId="Revision">
    <w:name w:val="Revision"/>
    <w:hidden/>
    <w:uiPriority w:val="99"/>
    <w:semiHidden/>
    <w:rsid w:val="0089723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good_fait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rea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BD6F-9B3D-4116-AB64-6DCEF892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5</Pages>
  <Words>4294</Words>
  <Characters>24482</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Viktoria Saprykina-Houdemer</dc:creator>
  <cp:lastModifiedBy>Sarah Willig</cp:lastModifiedBy>
  <cp:revision>2</cp:revision>
  <cp:lastPrinted>2015-10-29T11:19:00Z</cp:lastPrinted>
  <dcterms:created xsi:type="dcterms:W3CDTF">2017-01-24T18:59:00Z</dcterms:created>
  <dcterms:modified xsi:type="dcterms:W3CDTF">2017-01-24T18:59:00Z</dcterms:modified>
</cp:coreProperties>
</file>