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44484B" w:rsidP="006A4EE4">
            <w:pPr>
              <w:jc w:val="right"/>
            </w:pPr>
            <w:r w:rsidRPr="0044484B">
              <w:rPr>
                <w:sz w:val="40"/>
              </w:rPr>
              <w:t>CCPR</w:t>
            </w:r>
            <w:r>
              <w:t>/C/</w:t>
            </w:r>
            <w:r w:rsidR="006A4EE4">
              <w:t>112</w:t>
            </w:r>
            <w:r>
              <w:t>/D/1999/2010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315E5"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6A4EE4" w:rsidRPr="00267F5F" w:rsidRDefault="006A4EE4" w:rsidP="00267F5F">
            <w:pPr>
              <w:spacing w:before="120" w:line="380" w:lineRule="exact"/>
              <w:rPr>
                <w:sz w:val="34"/>
              </w:rPr>
            </w:pPr>
          </w:p>
        </w:tc>
        <w:tc>
          <w:tcPr>
            <w:tcW w:w="2835" w:type="dxa"/>
            <w:tcBorders>
              <w:top w:val="single" w:sz="4" w:space="0" w:color="auto"/>
              <w:bottom w:val="single" w:sz="12" w:space="0" w:color="auto"/>
            </w:tcBorders>
          </w:tcPr>
          <w:p w:rsidR="00B56E9C" w:rsidRDefault="0044484B" w:rsidP="0044484B">
            <w:pPr>
              <w:spacing w:before="240" w:line="240" w:lineRule="exact"/>
            </w:pPr>
            <w:r>
              <w:t xml:space="preserve">Distr.: </w:t>
            </w:r>
            <w:r w:rsidR="006A4EE4">
              <w:t>General</w:t>
            </w:r>
          </w:p>
          <w:p w:rsidR="0044484B" w:rsidRDefault="001B5734" w:rsidP="0044484B">
            <w:pPr>
              <w:spacing w:line="240" w:lineRule="exact"/>
            </w:pPr>
            <w:r w:rsidRPr="00322FF5">
              <w:t xml:space="preserve">25 </w:t>
            </w:r>
            <w:r w:rsidR="00C71C4F" w:rsidRPr="00322FF5">
              <w:t>November</w:t>
            </w:r>
            <w:r w:rsidR="0044484B" w:rsidRPr="00322FF5">
              <w:t xml:space="preserve"> 2014</w:t>
            </w:r>
          </w:p>
          <w:p w:rsidR="0044484B" w:rsidRDefault="0044484B" w:rsidP="0044484B">
            <w:pPr>
              <w:spacing w:line="240" w:lineRule="exact"/>
            </w:pPr>
          </w:p>
          <w:p w:rsidR="0044484B" w:rsidRDefault="0044484B" w:rsidP="0044484B">
            <w:pPr>
              <w:spacing w:line="240" w:lineRule="exact"/>
            </w:pPr>
            <w:r>
              <w:t>Original: English</w:t>
            </w:r>
          </w:p>
        </w:tc>
      </w:tr>
    </w:tbl>
    <w:p w:rsidR="0044484B" w:rsidRPr="00977176" w:rsidRDefault="0044484B" w:rsidP="0044484B">
      <w:pPr>
        <w:spacing w:before="120"/>
        <w:rPr>
          <w:b/>
          <w:sz w:val="24"/>
          <w:szCs w:val="24"/>
          <w:lang w:val="en-US"/>
        </w:rPr>
      </w:pPr>
      <w:r w:rsidRPr="00977176">
        <w:rPr>
          <w:b/>
          <w:sz w:val="24"/>
          <w:szCs w:val="24"/>
          <w:lang w:val="en-US"/>
        </w:rPr>
        <w:t>Human Rights Committee</w:t>
      </w:r>
      <w:r w:rsidR="008315E5">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44484B" w:rsidRPr="0044484B" w:rsidRDefault="0044484B" w:rsidP="0044484B">
      <w:pPr>
        <w:pStyle w:val="HChG"/>
      </w:pPr>
      <w:r w:rsidRPr="0044484B">
        <w:tab/>
      </w:r>
      <w:r w:rsidRPr="0044484B">
        <w:tab/>
        <w:t>Communication</w:t>
      </w:r>
      <w:r w:rsidR="001C3C88">
        <w:t xml:space="preserve"> No. </w:t>
      </w:r>
      <w:r w:rsidRPr="0044484B">
        <w:t>1999/2010</w:t>
      </w:r>
    </w:p>
    <w:p w:rsidR="0044484B" w:rsidRPr="0044484B" w:rsidRDefault="0044484B" w:rsidP="001B5734">
      <w:pPr>
        <w:pStyle w:val="H1G"/>
      </w:pPr>
      <w:r w:rsidRPr="0044484B">
        <w:tab/>
      </w:r>
      <w:r w:rsidRPr="0044484B">
        <w:tab/>
      </w:r>
      <w:r w:rsidR="006A4EE4">
        <w:t>Views adopted by the Committee at its 112</w:t>
      </w:r>
      <w:r w:rsidR="001B5734">
        <w:t>th</w:t>
      </w:r>
      <w:r w:rsidR="006A4EE4">
        <w:t xml:space="preserve"> session</w:t>
      </w:r>
      <w:r w:rsidR="006A4EE4">
        <w:br/>
      </w:r>
      <w:r w:rsidR="006A4EE4" w:rsidRPr="00131C93">
        <w:rPr>
          <w:sz w:val="22"/>
          <w:szCs w:val="22"/>
        </w:rPr>
        <w:t>(7-31 October 2014)</w:t>
      </w:r>
    </w:p>
    <w:p w:rsidR="0044484B" w:rsidRPr="0044484B" w:rsidRDefault="0044484B" w:rsidP="00671821">
      <w:pPr>
        <w:pStyle w:val="SingleTxtG"/>
        <w:ind w:left="4536" w:hanging="3402"/>
        <w:jc w:val="left"/>
      </w:pPr>
      <w:r w:rsidRPr="0044484B">
        <w:rPr>
          <w:i/>
        </w:rPr>
        <w:t>Submitted by:</w:t>
      </w:r>
      <w:r w:rsidRPr="0044484B">
        <w:tab/>
        <w:t xml:space="preserve">Valentin Evrezov, Vladimir Nepomnyaschikh, Vasiliy </w:t>
      </w:r>
      <w:r w:rsidR="00CB0994">
        <w:t>Polyakov, Valery Rybchenko (not </w:t>
      </w:r>
      <w:r w:rsidRPr="0044484B">
        <w:t>represented by counsel)</w:t>
      </w:r>
    </w:p>
    <w:p w:rsidR="0044484B" w:rsidRPr="0044484B" w:rsidRDefault="0044484B" w:rsidP="00671821">
      <w:pPr>
        <w:pStyle w:val="SingleTxtG"/>
        <w:ind w:left="4536" w:hanging="3402"/>
        <w:jc w:val="left"/>
      </w:pPr>
      <w:r w:rsidRPr="0044484B">
        <w:rPr>
          <w:i/>
        </w:rPr>
        <w:t>Alleged victims:</w:t>
      </w:r>
      <w:r w:rsidRPr="0044484B">
        <w:tab/>
        <w:t>The authors</w:t>
      </w:r>
    </w:p>
    <w:p w:rsidR="0044484B" w:rsidRPr="0044484B" w:rsidRDefault="0044484B" w:rsidP="00671821">
      <w:pPr>
        <w:pStyle w:val="SingleTxtG"/>
        <w:ind w:left="4536" w:hanging="3402"/>
        <w:jc w:val="left"/>
      </w:pPr>
      <w:r w:rsidRPr="0044484B">
        <w:rPr>
          <w:i/>
        </w:rPr>
        <w:t>State party:</w:t>
      </w:r>
      <w:r w:rsidRPr="0044484B">
        <w:tab/>
        <w:t>Belarus</w:t>
      </w:r>
    </w:p>
    <w:p w:rsidR="0044484B" w:rsidRPr="0044484B" w:rsidRDefault="0044484B" w:rsidP="00671821">
      <w:pPr>
        <w:pStyle w:val="SingleTxtG"/>
        <w:ind w:left="4536" w:hanging="3402"/>
        <w:jc w:val="left"/>
      </w:pPr>
      <w:r w:rsidRPr="0044484B">
        <w:rPr>
          <w:i/>
        </w:rPr>
        <w:t>Date of communication:</w:t>
      </w:r>
      <w:r w:rsidRPr="0044484B">
        <w:tab/>
        <w:t xml:space="preserve">15 May </w:t>
      </w:r>
      <w:r w:rsidR="00901025">
        <w:t>2010 (initial submission)</w:t>
      </w:r>
    </w:p>
    <w:p w:rsidR="0044484B" w:rsidRPr="0044484B" w:rsidRDefault="0044484B" w:rsidP="00926A3E">
      <w:pPr>
        <w:pStyle w:val="SingleTxtG"/>
        <w:ind w:left="4536" w:hanging="3402"/>
        <w:jc w:val="left"/>
      </w:pPr>
      <w:r w:rsidRPr="0044484B">
        <w:rPr>
          <w:i/>
        </w:rPr>
        <w:t>Document references:</w:t>
      </w:r>
      <w:r w:rsidRPr="0044484B">
        <w:tab/>
        <w:t>Special Rapporteur’s rule 97 decision, transmitted to the State party on 8 November 2010 (not issued in document form)</w:t>
      </w:r>
    </w:p>
    <w:p w:rsidR="0044484B" w:rsidRDefault="0044484B" w:rsidP="00926A3E">
      <w:pPr>
        <w:pStyle w:val="SingleTxtG"/>
        <w:ind w:left="4536" w:hanging="3402"/>
        <w:jc w:val="left"/>
      </w:pPr>
      <w:r w:rsidRPr="0044484B">
        <w:rPr>
          <w:i/>
        </w:rPr>
        <w:t xml:space="preserve">Date of adoption of </w:t>
      </w:r>
      <w:r w:rsidR="00926A3E">
        <w:rPr>
          <w:i/>
        </w:rPr>
        <w:t>v</w:t>
      </w:r>
      <w:r w:rsidRPr="0044484B">
        <w:rPr>
          <w:i/>
        </w:rPr>
        <w:t>iews:</w:t>
      </w:r>
      <w:r w:rsidRPr="0044484B">
        <w:tab/>
      </w:r>
      <w:r w:rsidR="006A4EE4">
        <w:t>10 October</w:t>
      </w:r>
      <w:r w:rsidRPr="0044484B">
        <w:t xml:space="preserve"> 2014</w:t>
      </w:r>
    </w:p>
    <w:p w:rsidR="0044484B" w:rsidRPr="0044484B" w:rsidRDefault="00671821" w:rsidP="00671821">
      <w:pPr>
        <w:pStyle w:val="SingleTxtG"/>
        <w:ind w:left="4536" w:hanging="3402"/>
        <w:jc w:val="left"/>
      </w:pPr>
      <w:r w:rsidRPr="0044484B">
        <w:rPr>
          <w:i/>
          <w:iCs/>
        </w:rPr>
        <w:t>Subject matter:</w:t>
      </w:r>
      <w:r>
        <w:rPr>
          <w:i/>
          <w:iCs/>
        </w:rPr>
        <w:tab/>
      </w:r>
      <w:r w:rsidRPr="0044484B">
        <w:t>Freedom of expression</w:t>
      </w:r>
    </w:p>
    <w:p w:rsidR="0044484B" w:rsidRPr="0044484B" w:rsidRDefault="0044484B" w:rsidP="00926A3E">
      <w:pPr>
        <w:pStyle w:val="SingleTxtG"/>
        <w:ind w:left="4536" w:hanging="3402"/>
        <w:jc w:val="left"/>
      </w:pPr>
      <w:r w:rsidRPr="0044484B">
        <w:rPr>
          <w:i/>
          <w:iCs/>
        </w:rPr>
        <w:t xml:space="preserve">Substantive issue: </w:t>
      </w:r>
      <w:r w:rsidRPr="0044484B">
        <w:rPr>
          <w:i/>
          <w:iCs/>
        </w:rPr>
        <w:tab/>
      </w:r>
      <w:r w:rsidRPr="0044484B">
        <w:t>Freedom to impart information, right to peaceful assembly, right to a fair and public hearing</w:t>
      </w:r>
    </w:p>
    <w:p w:rsidR="0044484B" w:rsidRPr="0044484B" w:rsidRDefault="0044484B" w:rsidP="00671821">
      <w:pPr>
        <w:pStyle w:val="SingleTxtG"/>
        <w:ind w:left="4536" w:hanging="3402"/>
        <w:jc w:val="left"/>
      </w:pPr>
      <w:r w:rsidRPr="0044484B">
        <w:rPr>
          <w:i/>
          <w:iCs/>
        </w:rPr>
        <w:t xml:space="preserve">Procedural issue: </w:t>
      </w:r>
      <w:r w:rsidRPr="0044484B">
        <w:rPr>
          <w:i/>
          <w:iCs/>
        </w:rPr>
        <w:tab/>
      </w:r>
      <w:r w:rsidRPr="0044484B">
        <w:rPr>
          <w:iCs/>
        </w:rPr>
        <w:t>Exhaustion of domestic remedies</w:t>
      </w:r>
    </w:p>
    <w:p w:rsidR="0044484B" w:rsidRPr="0044484B" w:rsidRDefault="0044484B" w:rsidP="000703C9">
      <w:pPr>
        <w:pStyle w:val="SingleTxtG"/>
        <w:ind w:left="4536" w:hanging="3402"/>
        <w:jc w:val="left"/>
      </w:pPr>
      <w:r w:rsidRPr="0044484B">
        <w:rPr>
          <w:i/>
          <w:iCs/>
        </w:rPr>
        <w:t>Articles of the Covenant:</w:t>
      </w:r>
      <w:r w:rsidRPr="0044484B">
        <w:t xml:space="preserve"> </w:t>
      </w:r>
      <w:r w:rsidRPr="0044484B">
        <w:tab/>
      </w:r>
      <w:r w:rsidR="00873F12">
        <w:t>2</w:t>
      </w:r>
      <w:r w:rsidR="000703C9">
        <w:t>;</w:t>
      </w:r>
      <w:r w:rsidR="00873F12">
        <w:t xml:space="preserve"> </w:t>
      </w:r>
      <w:r w:rsidRPr="0044484B">
        <w:t>14</w:t>
      </w:r>
      <w:r w:rsidR="000703C9">
        <w:t>;</w:t>
      </w:r>
      <w:r w:rsidRPr="0044484B">
        <w:t xml:space="preserve"> 19</w:t>
      </w:r>
      <w:r w:rsidR="00FA5D63">
        <w:t>;</w:t>
      </w:r>
      <w:r w:rsidRPr="0044484B">
        <w:t xml:space="preserve"> and 21</w:t>
      </w:r>
    </w:p>
    <w:p w:rsidR="0044484B" w:rsidRPr="0044484B" w:rsidRDefault="0044484B" w:rsidP="00FA5D63">
      <w:pPr>
        <w:pStyle w:val="SingleTxtG"/>
        <w:ind w:left="4536" w:hanging="3402"/>
        <w:jc w:val="left"/>
      </w:pPr>
      <w:r w:rsidRPr="0044484B">
        <w:rPr>
          <w:i/>
          <w:iCs/>
        </w:rPr>
        <w:t xml:space="preserve">Articles of the Optional Protocol: </w:t>
      </w:r>
      <w:r>
        <w:rPr>
          <w:i/>
          <w:iCs/>
        </w:rPr>
        <w:tab/>
      </w:r>
      <w:r w:rsidRPr="0044484B">
        <w:rPr>
          <w:iCs/>
        </w:rPr>
        <w:t xml:space="preserve">2; </w:t>
      </w:r>
      <w:r w:rsidR="000703C9">
        <w:rPr>
          <w:iCs/>
        </w:rPr>
        <w:t xml:space="preserve">and </w:t>
      </w:r>
      <w:r w:rsidRPr="0044484B">
        <w:t xml:space="preserve">5, </w:t>
      </w:r>
      <w:r w:rsidR="00671821">
        <w:t>para</w:t>
      </w:r>
      <w:r w:rsidR="00FA5D63">
        <w:t>.</w:t>
      </w:r>
      <w:r w:rsidR="00671821">
        <w:t> 2 (b)</w:t>
      </w:r>
    </w:p>
    <w:p w:rsidR="0044484B" w:rsidRPr="0044484B" w:rsidRDefault="0044484B" w:rsidP="00B56132">
      <w:pPr>
        <w:pStyle w:val="SingleTxtG"/>
        <w:rPr>
          <w:bCs/>
          <w:iCs/>
        </w:rPr>
      </w:pPr>
    </w:p>
    <w:p w:rsidR="0044484B" w:rsidRPr="0044484B" w:rsidRDefault="0044484B" w:rsidP="0044484B">
      <w:pPr>
        <w:pStyle w:val="HChG"/>
      </w:pPr>
      <w:r w:rsidRPr="0044484B">
        <w:br w:type="page"/>
      </w:r>
      <w:r w:rsidRPr="0044484B">
        <w:lastRenderedPageBreak/>
        <w:t>Annex</w:t>
      </w:r>
    </w:p>
    <w:p w:rsidR="0044484B" w:rsidRPr="0044484B" w:rsidRDefault="0044484B" w:rsidP="0044484B">
      <w:pPr>
        <w:pStyle w:val="HChG"/>
        <w:rPr>
          <w:bCs/>
        </w:rPr>
      </w:pPr>
      <w:r w:rsidRPr="0044484B">
        <w:tab/>
      </w:r>
      <w:r w:rsidRPr="0044484B">
        <w:tab/>
        <w:t xml:space="preserve">Views of the Human Rights Committee under </w:t>
      </w:r>
      <w:r w:rsidR="00671821">
        <w:t>article </w:t>
      </w:r>
      <w:r w:rsidRPr="0044484B">
        <w:t xml:space="preserve">5, </w:t>
      </w:r>
      <w:r w:rsidR="00671821">
        <w:t>paragraph </w:t>
      </w:r>
      <w:r w:rsidRPr="0044484B">
        <w:t>4, of the Optional Protocol to the International Covenant on Civil and Political rights (</w:t>
      </w:r>
      <w:r w:rsidR="006A4EE4" w:rsidRPr="0044484B">
        <w:t>11</w:t>
      </w:r>
      <w:r w:rsidR="006A4EE4">
        <w:t>2</w:t>
      </w:r>
      <w:r w:rsidR="006A4EE4" w:rsidRPr="0044484B">
        <w:t xml:space="preserve">th </w:t>
      </w:r>
      <w:r w:rsidRPr="0044484B">
        <w:rPr>
          <w:bCs/>
        </w:rPr>
        <w:t>session)</w:t>
      </w:r>
    </w:p>
    <w:p w:rsidR="0044484B" w:rsidRPr="0044484B" w:rsidRDefault="0044484B" w:rsidP="0044484B">
      <w:pPr>
        <w:pStyle w:val="SingleTxtG"/>
        <w:rPr>
          <w:b/>
          <w:bCs/>
        </w:rPr>
      </w:pPr>
      <w:r w:rsidRPr="0044484B">
        <w:t>concerning</w:t>
      </w:r>
    </w:p>
    <w:p w:rsidR="0044484B" w:rsidRPr="0044484B" w:rsidRDefault="00671821" w:rsidP="0044484B">
      <w:pPr>
        <w:pStyle w:val="H1G"/>
      </w:pPr>
      <w:r>
        <w:tab/>
      </w:r>
      <w:r>
        <w:tab/>
        <w:t>Communication</w:t>
      </w:r>
      <w:r w:rsidR="001C3C88">
        <w:t xml:space="preserve"> No. </w:t>
      </w:r>
      <w:r w:rsidR="0044484B" w:rsidRPr="0044484B">
        <w:t>1999/2010</w:t>
      </w:r>
      <w:r w:rsidR="00BC2433" w:rsidRPr="00B56132">
        <w:rPr>
          <w:rStyle w:val="FootnoteReference"/>
          <w:b w:val="0"/>
          <w:bCs/>
          <w:sz w:val="20"/>
          <w:vertAlign w:val="baseline"/>
        </w:rPr>
        <w:footnoteReference w:customMarkFollows="1" w:id="2"/>
        <w:t>*</w:t>
      </w:r>
    </w:p>
    <w:p w:rsidR="0044484B" w:rsidRPr="0044484B" w:rsidRDefault="0044484B" w:rsidP="00671821">
      <w:pPr>
        <w:pStyle w:val="SingleTxtG"/>
        <w:ind w:left="4536" w:hanging="3402"/>
        <w:jc w:val="left"/>
      </w:pPr>
      <w:r w:rsidRPr="0044484B">
        <w:rPr>
          <w:i/>
        </w:rPr>
        <w:t>Submitted by:</w:t>
      </w:r>
      <w:r w:rsidRPr="0044484B">
        <w:tab/>
        <w:t xml:space="preserve">Valentin Evrezov, Vladimir Nepomnyaschikh, Vasily </w:t>
      </w:r>
      <w:r w:rsidR="00671821">
        <w:t>Polyakov, Valery Rybchenko (not </w:t>
      </w:r>
      <w:r w:rsidRPr="0044484B">
        <w:t>represented by counsel)</w:t>
      </w:r>
    </w:p>
    <w:p w:rsidR="0044484B" w:rsidRPr="0044484B" w:rsidRDefault="0044484B" w:rsidP="00671821">
      <w:pPr>
        <w:pStyle w:val="SingleTxtG"/>
        <w:ind w:left="4536" w:hanging="3402"/>
        <w:jc w:val="left"/>
      </w:pPr>
      <w:r w:rsidRPr="0044484B">
        <w:rPr>
          <w:i/>
        </w:rPr>
        <w:t>Alleged victims:</w:t>
      </w:r>
      <w:r w:rsidRPr="0044484B">
        <w:tab/>
        <w:t>The authors</w:t>
      </w:r>
    </w:p>
    <w:p w:rsidR="0044484B" w:rsidRPr="0044484B" w:rsidRDefault="0044484B" w:rsidP="00671821">
      <w:pPr>
        <w:pStyle w:val="SingleTxtG"/>
        <w:ind w:left="4536" w:hanging="3402"/>
        <w:jc w:val="left"/>
      </w:pPr>
      <w:r w:rsidRPr="0044484B">
        <w:rPr>
          <w:i/>
        </w:rPr>
        <w:t>State party:</w:t>
      </w:r>
      <w:r w:rsidRPr="0044484B">
        <w:tab/>
        <w:t>Belarus</w:t>
      </w:r>
    </w:p>
    <w:p w:rsidR="0044484B" w:rsidRPr="0044484B" w:rsidRDefault="0044484B" w:rsidP="00671821">
      <w:pPr>
        <w:pStyle w:val="SingleTxtG"/>
        <w:ind w:left="4536" w:hanging="3402"/>
        <w:jc w:val="left"/>
      </w:pPr>
      <w:r w:rsidRPr="0044484B">
        <w:rPr>
          <w:i/>
        </w:rPr>
        <w:t>Date of communication:</w:t>
      </w:r>
      <w:r w:rsidRPr="0044484B">
        <w:tab/>
        <w:t>15 May 2010 (initial submission)</w:t>
      </w:r>
    </w:p>
    <w:p w:rsidR="0044484B" w:rsidRPr="0044484B" w:rsidRDefault="0044484B" w:rsidP="0044484B">
      <w:pPr>
        <w:pStyle w:val="SingleTxtG"/>
      </w:pPr>
      <w:r w:rsidRPr="0044484B">
        <w:tab/>
      </w:r>
      <w:r w:rsidRPr="0044484B">
        <w:rPr>
          <w:i/>
        </w:rPr>
        <w:t>The Human Rights Committee</w:t>
      </w:r>
      <w:r w:rsidRPr="0044484B">
        <w:t xml:space="preserve">, established under </w:t>
      </w:r>
      <w:r w:rsidR="00671821">
        <w:t>article </w:t>
      </w:r>
      <w:r w:rsidRPr="0044484B">
        <w:t xml:space="preserve">28 of the International Covenant on Civil and Political Rights, </w:t>
      </w:r>
    </w:p>
    <w:p w:rsidR="0044484B" w:rsidRPr="0044484B" w:rsidRDefault="0044484B" w:rsidP="0044484B">
      <w:pPr>
        <w:pStyle w:val="SingleTxtG"/>
      </w:pPr>
      <w:r w:rsidRPr="0044484B">
        <w:tab/>
      </w:r>
      <w:r w:rsidRPr="0044484B">
        <w:rPr>
          <w:i/>
        </w:rPr>
        <w:t>Meeting on</w:t>
      </w:r>
      <w:r w:rsidRPr="0044484B">
        <w:t xml:space="preserve"> </w:t>
      </w:r>
      <w:r w:rsidR="006A4EE4">
        <w:t>10 October</w:t>
      </w:r>
      <w:r w:rsidRPr="0044484B">
        <w:t xml:space="preserve"> 2014,</w:t>
      </w:r>
    </w:p>
    <w:p w:rsidR="0044484B" w:rsidRPr="0044484B" w:rsidRDefault="0044484B" w:rsidP="000703C9">
      <w:pPr>
        <w:pStyle w:val="SingleTxtG"/>
      </w:pPr>
      <w:r w:rsidRPr="0044484B">
        <w:tab/>
      </w:r>
      <w:r w:rsidRPr="0044484B">
        <w:rPr>
          <w:i/>
        </w:rPr>
        <w:t>Having concluded</w:t>
      </w:r>
      <w:r w:rsidRPr="0044484B">
        <w:t xml:space="preserve"> its con</w:t>
      </w:r>
      <w:r w:rsidR="00671821">
        <w:t>sideration of communication</w:t>
      </w:r>
      <w:r w:rsidR="001C3C88">
        <w:t xml:space="preserve"> No. </w:t>
      </w:r>
      <w:r w:rsidRPr="0044484B">
        <w:t>1999/2010, submitted to the Human Rights Committee by Valentin Evrezov, Vladimir Nepomnyaschikh, Vasily Polyakov and Valery Rybchenko under the Optional Protocol to the International Covenant on Civil and Political Rights,</w:t>
      </w:r>
    </w:p>
    <w:p w:rsidR="0044484B" w:rsidRPr="0044484B" w:rsidRDefault="0044484B" w:rsidP="0044484B">
      <w:pPr>
        <w:pStyle w:val="SingleTxtG"/>
      </w:pPr>
      <w:r w:rsidRPr="0044484B">
        <w:tab/>
      </w:r>
      <w:r w:rsidRPr="0044484B">
        <w:rPr>
          <w:i/>
        </w:rPr>
        <w:t>Having taken into account</w:t>
      </w:r>
      <w:r w:rsidRPr="0044484B">
        <w:t xml:space="preserve"> all written information made available to it by the authors of the communication and the State party,</w:t>
      </w:r>
    </w:p>
    <w:p w:rsidR="0044484B" w:rsidRPr="0044484B" w:rsidRDefault="0044484B" w:rsidP="0044484B">
      <w:pPr>
        <w:pStyle w:val="SingleTxtG"/>
      </w:pPr>
      <w:r w:rsidRPr="0044484B">
        <w:tab/>
      </w:r>
      <w:r w:rsidRPr="0044484B">
        <w:rPr>
          <w:i/>
        </w:rPr>
        <w:t xml:space="preserve">Adopts </w:t>
      </w:r>
      <w:r w:rsidRPr="000703C9">
        <w:rPr>
          <w:iCs/>
        </w:rPr>
        <w:t>the following:</w:t>
      </w:r>
    </w:p>
    <w:p w:rsidR="0044484B" w:rsidRPr="0044484B" w:rsidRDefault="0044484B" w:rsidP="0044484B">
      <w:pPr>
        <w:pStyle w:val="H1G"/>
      </w:pPr>
      <w:r w:rsidRPr="0044484B">
        <w:tab/>
      </w:r>
      <w:r w:rsidRPr="0044484B">
        <w:tab/>
        <w:t xml:space="preserve">Views under </w:t>
      </w:r>
      <w:r w:rsidR="00671821">
        <w:t>article </w:t>
      </w:r>
      <w:r w:rsidRPr="0044484B">
        <w:t xml:space="preserve">5, </w:t>
      </w:r>
      <w:r w:rsidR="00671821">
        <w:t>paragraph </w:t>
      </w:r>
      <w:r w:rsidRPr="0044484B">
        <w:t>4, of the Optional Protocol</w:t>
      </w:r>
    </w:p>
    <w:p w:rsidR="0044484B" w:rsidRPr="0044484B" w:rsidRDefault="0044484B" w:rsidP="00FA5D63">
      <w:pPr>
        <w:pStyle w:val="SingleTxtG"/>
      </w:pPr>
      <w:r w:rsidRPr="0044484B">
        <w:t>1.</w:t>
      </w:r>
      <w:r w:rsidRPr="0044484B">
        <w:tab/>
        <w:t>The authors of the communication are Valentin Evrezov, born in 1954;</w:t>
      </w:r>
      <w:r>
        <w:t xml:space="preserve"> </w:t>
      </w:r>
      <w:r w:rsidRPr="0044484B">
        <w:t xml:space="preserve">Vladimir Nepomnyaschikh, born in 1952; Vasily Polyakov, born in 1969; and Valery Rybchenko, born in 1963; all Belarus nationals. They claim to be victims of violations by Belarus of their rights under </w:t>
      </w:r>
      <w:r w:rsidR="00671821">
        <w:t>article</w:t>
      </w:r>
      <w:r w:rsidR="000703C9">
        <w:t>s</w:t>
      </w:r>
      <w:r w:rsidR="00671821">
        <w:t> </w:t>
      </w:r>
      <w:r w:rsidRPr="0044484B">
        <w:t xml:space="preserve">19 and 21, in conjunction with </w:t>
      </w:r>
      <w:r w:rsidR="00671821">
        <w:t>article </w:t>
      </w:r>
      <w:r w:rsidRPr="0044484B">
        <w:t>2</w:t>
      </w:r>
      <w:r w:rsidR="00873F12">
        <w:t xml:space="preserve">, </w:t>
      </w:r>
      <w:r w:rsidR="00671821">
        <w:t>paragraph </w:t>
      </w:r>
      <w:r w:rsidR="00873F12">
        <w:t>2</w:t>
      </w:r>
      <w:r w:rsidR="000703C9">
        <w:t>,</w:t>
      </w:r>
      <w:r w:rsidRPr="0044484B">
        <w:t xml:space="preserve"> of the International Covenant on Civil and Polit</w:t>
      </w:r>
      <w:r>
        <w:t xml:space="preserve">ical Rights. </w:t>
      </w:r>
      <w:r w:rsidR="00671821">
        <w:t>M</w:t>
      </w:r>
      <w:r w:rsidR="00FA5D63">
        <w:t>ess</w:t>
      </w:r>
      <w:r w:rsidR="00671821">
        <w:t>r</w:t>
      </w:r>
      <w:r w:rsidR="00FA5D63">
        <w:t>s</w:t>
      </w:r>
      <w:r w:rsidR="00671821">
        <w:t>. </w:t>
      </w:r>
      <w:r>
        <w:t xml:space="preserve">Polyakov and </w:t>
      </w:r>
      <w:r w:rsidRPr="0044484B">
        <w:t xml:space="preserve">Evrezov also claim to be victims of violations of their rights under </w:t>
      </w:r>
      <w:r w:rsidR="00671821">
        <w:t>article </w:t>
      </w:r>
      <w:r w:rsidR="008A408D">
        <w:t>14, paragraphs </w:t>
      </w:r>
      <w:r w:rsidRPr="0044484B">
        <w:t>3 (a), (b), (d) and (e), of the Covenant. The authors are not represented by counsel. The Optional Protocol entered into force for Belarus on 30</w:t>
      </w:r>
      <w:r w:rsidR="008A408D">
        <w:t> </w:t>
      </w:r>
      <w:r w:rsidRPr="0044484B">
        <w:t xml:space="preserve">December 1992. </w:t>
      </w:r>
    </w:p>
    <w:p w:rsidR="0044484B" w:rsidRPr="0044484B" w:rsidRDefault="0044484B" w:rsidP="0044484B">
      <w:pPr>
        <w:pStyle w:val="H23G"/>
      </w:pPr>
      <w:r w:rsidRPr="0044484B">
        <w:lastRenderedPageBreak/>
        <w:tab/>
      </w:r>
      <w:r w:rsidRPr="0044484B">
        <w:tab/>
        <w:t>The facts as presented by the authors</w:t>
      </w:r>
    </w:p>
    <w:p w:rsidR="0044484B" w:rsidRPr="0044484B" w:rsidRDefault="0044484B" w:rsidP="000703C9">
      <w:pPr>
        <w:pStyle w:val="SingleTxtG"/>
      </w:pPr>
      <w:r w:rsidRPr="0044484B">
        <w:t>2.1</w:t>
      </w:r>
      <w:r w:rsidRPr="0044484B">
        <w:tab/>
        <w:t>The authors submit that</w:t>
      </w:r>
      <w:r w:rsidR="000703C9">
        <w:t>,</w:t>
      </w:r>
      <w:r w:rsidRPr="0044484B">
        <w:t xml:space="preserve"> on 16 September 2009 at </w:t>
      </w:r>
      <w:r w:rsidR="000703C9">
        <w:t>4.</w:t>
      </w:r>
      <w:r w:rsidRPr="0044484B">
        <w:t>45</w:t>
      </w:r>
      <w:r w:rsidR="000703C9">
        <w:t> p.m.</w:t>
      </w:r>
      <w:r w:rsidRPr="0044484B">
        <w:t xml:space="preserve">, </w:t>
      </w:r>
      <w:r w:rsidR="00901025">
        <w:t>as part of a group of about 16 </w:t>
      </w:r>
      <w:r w:rsidRPr="0044484B">
        <w:t xml:space="preserve">persons, </w:t>
      </w:r>
      <w:r w:rsidR="000703C9" w:rsidRPr="0044484B">
        <w:t>they</w:t>
      </w:r>
      <w:r w:rsidR="000703C9">
        <w:t xml:space="preserve"> </w:t>
      </w:r>
      <w:r w:rsidRPr="0044484B">
        <w:t>were walking in the centre of Gomel</w:t>
      </w:r>
      <w:r w:rsidR="000703C9">
        <w:t>,</w:t>
      </w:r>
      <w:r w:rsidRPr="0044484B">
        <w:t xml:space="preserve"> </w:t>
      </w:r>
      <w:r w:rsidR="000703C9">
        <w:t>Belarus</w:t>
      </w:r>
      <w:r w:rsidRPr="0044484B">
        <w:t xml:space="preserve">, heading towards Revolutsiya </w:t>
      </w:r>
      <w:r w:rsidR="000703C9">
        <w:t>S</w:t>
      </w:r>
      <w:r w:rsidRPr="0044484B">
        <w:t>quare, where they intended to hold a demonstration on the occasion of the anniversary of the disappearance of the opposition leaders Viktor Goncharov and Anatoly Krasovsky. The members of the group were carrying photographs of the disappeared politicians and other posters.</w:t>
      </w:r>
    </w:p>
    <w:p w:rsidR="0044484B" w:rsidRPr="0044484B" w:rsidRDefault="0044484B" w:rsidP="00FA5D63">
      <w:pPr>
        <w:pStyle w:val="SingleTxtG"/>
      </w:pPr>
      <w:r w:rsidRPr="0044484B">
        <w:t>2.2</w:t>
      </w:r>
      <w:r w:rsidRPr="0044484B">
        <w:tab/>
        <w:t xml:space="preserve">On their way to the square, the participants were stopped by a group of men in civilian clothes and were forced to board a bus. They were brought to the Zheleznodorozhny District </w:t>
      </w:r>
      <w:r w:rsidR="000703C9">
        <w:t>p</w:t>
      </w:r>
      <w:r w:rsidRPr="0044484B">
        <w:t xml:space="preserve">olice </w:t>
      </w:r>
      <w:r w:rsidR="000703C9">
        <w:t>d</w:t>
      </w:r>
      <w:r w:rsidRPr="0044484B">
        <w:t xml:space="preserve">epartment, where the police wrote up an official record of an administrative offense for each participant </w:t>
      </w:r>
      <w:r w:rsidR="000703C9">
        <w:t xml:space="preserve">in </w:t>
      </w:r>
      <w:r w:rsidRPr="0044484B">
        <w:t xml:space="preserve">the demonstration, in accordance with </w:t>
      </w:r>
      <w:r w:rsidR="00671821">
        <w:t>article </w:t>
      </w:r>
      <w:r w:rsidR="008A408D">
        <w:t xml:space="preserve">23.34, </w:t>
      </w:r>
      <w:r w:rsidR="000703C9">
        <w:t>paragraph </w:t>
      </w:r>
      <w:r w:rsidRPr="0044484B">
        <w:t>1</w:t>
      </w:r>
      <w:r w:rsidR="000703C9">
        <w:t>,</w:t>
      </w:r>
      <w:r w:rsidRPr="0044484B">
        <w:t xml:space="preserve"> of the Code of Administrative Offenses, for violating the established order for </w:t>
      </w:r>
      <w:r w:rsidR="00BB347A" w:rsidRPr="0044484B">
        <w:t xml:space="preserve">conducting </w:t>
      </w:r>
      <w:r w:rsidR="00BB347A">
        <w:t xml:space="preserve">a </w:t>
      </w:r>
      <w:r w:rsidRPr="0044484B">
        <w:t xml:space="preserve">mass event. The authors submit that they were detained before the demonstration had </w:t>
      </w:r>
      <w:r w:rsidR="00BB347A" w:rsidRPr="0044484B">
        <w:t xml:space="preserve">even </w:t>
      </w:r>
      <w:r w:rsidR="00BB347A">
        <w:t>begun</w:t>
      </w:r>
      <w:r w:rsidRPr="0044484B">
        <w:t xml:space="preserve">, and well before they had approached the place where it was to </w:t>
      </w:r>
      <w:r w:rsidR="00BB347A">
        <w:t>take place</w:t>
      </w:r>
      <w:r w:rsidRPr="0044484B">
        <w:t>.</w:t>
      </w:r>
    </w:p>
    <w:p w:rsidR="0044484B" w:rsidRPr="0044484B" w:rsidRDefault="0044484B" w:rsidP="00FA5D63">
      <w:pPr>
        <w:pStyle w:val="SingleTxtG"/>
      </w:pPr>
      <w:r w:rsidRPr="0044484B">
        <w:t>2.3</w:t>
      </w:r>
      <w:r w:rsidRPr="0044484B">
        <w:tab/>
        <w:t xml:space="preserve">The Zheleznodorozhny District Court issued individual decisions (on 15 October 2009 for </w:t>
      </w:r>
      <w:r w:rsidR="00671821">
        <w:t>Mr. </w:t>
      </w:r>
      <w:r w:rsidRPr="0044484B">
        <w:t xml:space="preserve">Evrezov, on 13 October 2009 for </w:t>
      </w:r>
      <w:r w:rsidR="00BB347A">
        <w:t>Messrs</w:t>
      </w:r>
      <w:r w:rsidR="00671821">
        <w:t>. </w:t>
      </w:r>
      <w:r w:rsidRPr="0044484B">
        <w:t xml:space="preserve">Polyakov and Nepomnyaschikh </w:t>
      </w:r>
      <w:r w:rsidR="00BB347A">
        <w:t xml:space="preserve">and </w:t>
      </w:r>
      <w:r w:rsidRPr="0044484B">
        <w:t xml:space="preserve">on 19 October 2009 for </w:t>
      </w:r>
      <w:r w:rsidR="00671821">
        <w:t>Mr. </w:t>
      </w:r>
      <w:r w:rsidRPr="0044484B">
        <w:t>Rybchenko), ruling that the authors were guilty of breaching the established order for conducting a mass event</w:t>
      </w:r>
      <w:r w:rsidR="00BB347A">
        <w:t>,</w:t>
      </w:r>
      <w:r w:rsidRPr="0044484B">
        <w:t xml:space="preserve"> and sentenced them t</w:t>
      </w:r>
      <w:r w:rsidR="00901025">
        <w:t>o administrative fines (875,000 </w:t>
      </w:r>
      <w:r w:rsidRPr="0044484B">
        <w:t>Belarus</w:t>
      </w:r>
      <w:r w:rsidR="00BB347A">
        <w:t>ian</w:t>
      </w:r>
      <w:r w:rsidRPr="0044484B">
        <w:t xml:space="preserve"> roubles for </w:t>
      </w:r>
      <w:r w:rsidR="00671821">
        <w:t>M</w:t>
      </w:r>
      <w:r w:rsidR="00BB347A">
        <w:t>essrs</w:t>
      </w:r>
      <w:r w:rsidR="00671821">
        <w:t>. </w:t>
      </w:r>
      <w:r w:rsidRPr="0044484B">
        <w:t xml:space="preserve">Evrezov and </w:t>
      </w:r>
      <w:r w:rsidR="00901025">
        <w:t>Nepomnyaschikh, 1,400,000 </w:t>
      </w:r>
      <w:r w:rsidRPr="0044484B">
        <w:t xml:space="preserve">roubles for </w:t>
      </w:r>
      <w:r w:rsidR="00671821">
        <w:t>Mr. Polyakov</w:t>
      </w:r>
      <w:r w:rsidRPr="0044484B">
        <w:t xml:space="preserve"> and 700,000 roubles for </w:t>
      </w:r>
      <w:r w:rsidR="00671821">
        <w:t>Mr. </w:t>
      </w:r>
      <w:r w:rsidRPr="0044484B">
        <w:t>Rybchenko). One witness testified during the administrative hearing that none of the participants in the march carr</w:t>
      </w:r>
      <w:r w:rsidR="00BB347A">
        <w:t>ied</w:t>
      </w:r>
      <w:r w:rsidRPr="0044484B">
        <w:t xml:space="preserve"> or display</w:t>
      </w:r>
      <w:r w:rsidR="00BB347A">
        <w:t>ed</w:t>
      </w:r>
      <w:r w:rsidRPr="0044484B">
        <w:t xml:space="preserve"> any posters or photo</w:t>
      </w:r>
      <w:r w:rsidR="00BB347A">
        <w:t>graph</w:t>
      </w:r>
      <w:r w:rsidRPr="0044484B">
        <w:t>s</w:t>
      </w:r>
      <w:r w:rsidR="00BB347A">
        <w:t>,</w:t>
      </w:r>
      <w:r w:rsidRPr="0044484B">
        <w:t xml:space="preserve"> </w:t>
      </w:r>
      <w:r w:rsidR="00BB347A">
        <w:t>b</w:t>
      </w:r>
      <w:r w:rsidRPr="0044484B">
        <w:t xml:space="preserve">ut </w:t>
      </w:r>
      <w:r w:rsidR="00BB347A">
        <w:t xml:space="preserve">that </w:t>
      </w:r>
      <w:r w:rsidRPr="0044484B">
        <w:t xml:space="preserve">the court decided to believe the police officers who claimed that the authors were carrying posters. </w:t>
      </w:r>
    </w:p>
    <w:p w:rsidR="0044484B" w:rsidRPr="0044484B" w:rsidRDefault="0044484B" w:rsidP="00FA5D63">
      <w:pPr>
        <w:pStyle w:val="SingleTxtG"/>
      </w:pPr>
      <w:r w:rsidRPr="0044484B">
        <w:t>2.4</w:t>
      </w:r>
      <w:r w:rsidRPr="0044484B">
        <w:tab/>
        <w:t xml:space="preserve">The authors appealed </w:t>
      </w:r>
      <w:r w:rsidR="00BB347A">
        <w:t xml:space="preserve">against </w:t>
      </w:r>
      <w:r w:rsidRPr="0044484B">
        <w:t xml:space="preserve">the decisions </w:t>
      </w:r>
      <w:r w:rsidR="00BB347A">
        <w:t xml:space="preserve">of the </w:t>
      </w:r>
      <w:r w:rsidR="00BB347A" w:rsidRPr="0044484B">
        <w:t>first</w:t>
      </w:r>
      <w:r w:rsidR="00BB347A">
        <w:t xml:space="preserve"> </w:t>
      </w:r>
      <w:r w:rsidR="00BB347A" w:rsidRPr="0044484B">
        <w:t>instance court</w:t>
      </w:r>
      <w:r w:rsidR="00BB347A">
        <w:t xml:space="preserve"> </w:t>
      </w:r>
      <w:r w:rsidRPr="0044484B">
        <w:t xml:space="preserve">before the Gomel Regional Court, which rejected the appeals and confirmed the </w:t>
      </w:r>
      <w:r w:rsidR="00BB347A">
        <w:t xml:space="preserve">decisions </w:t>
      </w:r>
      <w:r w:rsidR="001C3C88">
        <w:t>(on 20 November 2009 for Mr. </w:t>
      </w:r>
      <w:r w:rsidRPr="0044484B">
        <w:t xml:space="preserve">Evrezov, on 11 November 2009 for </w:t>
      </w:r>
      <w:r w:rsidR="00BB347A">
        <w:t>Messrs</w:t>
      </w:r>
      <w:r w:rsidR="00671821">
        <w:t>. </w:t>
      </w:r>
      <w:r w:rsidRPr="0044484B">
        <w:t>Nepomnyaschikh and Polyakov and on 18</w:t>
      </w:r>
      <w:r w:rsidR="00671821">
        <w:t> </w:t>
      </w:r>
      <w:r w:rsidRPr="0044484B">
        <w:t xml:space="preserve">November 2009 for </w:t>
      </w:r>
      <w:r w:rsidR="00671821">
        <w:t>Mr. </w:t>
      </w:r>
      <w:r w:rsidRPr="0044484B">
        <w:t xml:space="preserve">Rybchenko). The Gomel Regional Court agreed with the district court in its finding that the authors </w:t>
      </w:r>
      <w:r w:rsidR="008B30DB">
        <w:t xml:space="preserve">had </w:t>
      </w:r>
      <w:r w:rsidRPr="0044484B">
        <w:t>indeed violate</w:t>
      </w:r>
      <w:r w:rsidR="008B30DB">
        <w:t>d</w:t>
      </w:r>
      <w:r w:rsidRPr="0044484B">
        <w:t xml:space="preserve"> the </w:t>
      </w:r>
      <w:r w:rsidR="00FA5D63">
        <w:t>L</w:t>
      </w:r>
      <w:r w:rsidRPr="0044484B">
        <w:t xml:space="preserve">aw </w:t>
      </w:r>
      <w:r w:rsidR="008B30DB">
        <w:t>o</w:t>
      </w:r>
      <w:r w:rsidRPr="0044484B">
        <w:t xml:space="preserve">n Mass Events. </w:t>
      </w:r>
      <w:r w:rsidR="008B30DB" w:rsidRPr="0044484B">
        <w:t>Th</w:t>
      </w:r>
      <w:r w:rsidR="008B30DB">
        <w:t>at</w:t>
      </w:r>
      <w:r w:rsidR="008B30DB" w:rsidRPr="0044484B">
        <w:t xml:space="preserve"> </w:t>
      </w:r>
      <w:r w:rsidR="00FA5D63">
        <w:t>L</w:t>
      </w:r>
      <w:r w:rsidRPr="0044484B">
        <w:t xml:space="preserve">aw includes the prohibition of unauthorized gatherings, including </w:t>
      </w:r>
      <w:r w:rsidR="008B30DB">
        <w:t xml:space="preserve">any </w:t>
      </w:r>
      <w:r w:rsidRPr="0044484B">
        <w:t>group of citizens marching in the same direction and holding posters and photographs.</w:t>
      </w:r>
    </w:p>
    <w:p w:rsidR="0044484B" w:rsidRPr="0044484B" w:rsidRDefault="0044484B" w:rsidP="008B30DB">
      <w:pPr>
        <w:pStyle w:val="SingleTxtG"/>
      </w:pPr>
      <w:r w:rsidRPr="0044484B">
        <w:t>2.5</w:t>
      </w:r>
      <w:r w:rsidRPr="0044484B">
        <w:tab/>
        <w:t xml:space="preserve">The authors submit that they appealed </w:t>
      </w:r>
      <w:r w:rsidR="008B30DB">
        <w:t xml:space="preserve">against </w:t>
      </w:r>
      <w:r w:rsidRPr="0044484B">
        <w:t xml:space="preserve">the </w:t>
      </w:r>
      <w:r w:rsidR="008B30DB">
        <w:t xml:space="preserve">above </w:t>
      </w:r>
      <w:r w:rsidRPr="0044484B">
        <w:t xml:space="preserve">decisions </w:t>
      </w:r>
      <w:r w:rsidR="008B30DB">
        <w:t xml:space="preserve">before </w:t>
      </w:r>
      <w:r w:rsidRPr="0044484B">
        <w:t xml:space="preserve">the Supreme Court. Their appeals were rejected by the President of the Supreme Court under the supervisory review proceedings (on 18 March 2010 for </w:t>
      </w:r>
      <w:r w:rsidR="00671821">
        <w:t>Mr. </w:t>
      </w:r>
      <w:r w:rsidRPr="0044484B">
        <w:t xml:space="preserve">Evrezov, on 29 January 2010 for </w:t>
      </w:r>
      <w:r w:rsidR="008B30DB">
        <w:t>Messrs</w:t>
      </w:r>
      <w:r w:rsidR="00671821">
        <w:t>. </w:t>
      </w:r>
      <w:r w:rsidRPr="0044484B">
        <w:t xml:space="preserve">Nepomnyaschikh and Polyakov and on 16 April 2010 for </w:t>
      </w:r>
      <w:r w:rsidR="00671821">
        <w:t>Mr. </w:t>
      </w:r>
      <w:r w:rsidRPr="0044484B">
        <w:t>Rybchenko). The Supreme Court upheld the lower courts</w:t>
      </w:r>
      <w:r w:rsidR="008B30DB" w:rsidRPr="0044484B">
        <w:t>’</w:t>
      </w:r>
      <w:r w:rsidRPr="0044484B">
        <w:t xml:space="preserve"> decisions and stated that the authors </w:t>
      </w:r>
      <w:r w:rsidR="008B30DB">
        <w:t xml:space="preserve">had </w:t>
      </w:r>
      <w:r w:rsidRPr="0044484B">
        <w:t>indeed participated in a “mass event” by walking in a group and holding photo</w:t>
      </w:r>
      <w:r w:rsidR="008B30DB">
        <w:t>graph</w:t>
      </w:r>
      <w:r w:rsidRPr="0044484B">
        <w:t xml:space="preserve">s and posters. The </w:t>
      </w:r>
      <w:r w:rsidR="008B30DB" w:rsidRPr="0044484B">
        <w:t xml:space="preserve">Supreme Court </w:t>
      </w:r>
      <w:r w:rsidRPr="0044484B">
        <w:t xml:space="preserve">also concluded that the authors </w:t>
      </w:r>
      <w:r w:rsidR="008B30DB">
        <w:t xml:space="preserve">had not sought </w:t>
      </w:r>
      <w:r w:rsidRPr="0044484B">
        <w:t xml:space="preserve">the prior permission from the authorities to hold a public event, as required by </w:t>
      </w:r>
      <w:r w:rsidR="008B30DB">
        <w:t xml:space="preserve">the </w:t>
      </w:r>
      <w:r w:rsidRPr="0044484B">
        <w:t xml:space="preserve">Law </w:t>
      </w:r>
      <w:r w:rsidR="008B30DB">
        <w:t>o</w:t>
      </w:r>
      <w:r w:rsidRPr="0044484B">
        <w:t xml:space="preserve">n Mass Events. </w:t>
      </w:r>
    </w:p>
    <w:p w:rsidR="0044484B" w:rsidRPr="0044484B" w:rsidRDefault="0044484B" w:rsidP="007A6A50">
      <w:pPr>
        <w:pStyle w:val="SingleTxtG"/>
      </w:pPr>
      <w:r w:rsidRPr="0044484B">
        <w:t xml:space="preserve">2.6 </w:t>
      </w:r>
      <w:r w:rsidRPr="0044484B">
        <w:tab/>
        <w:t xml:space="preserve">The authors submit that they did not request the Prosecutor General to review the relevant court decisions under the supervisory review proceedings, since they consider that such an application does not constitute an effective remedy. The authors note that </w:t>
      </w:r>
      <w:r w:rsidR="007A6A50">
        <w:t xml:space="preserve">the </w:t>
      </w:r>
      <w:r w:rsidRPr="0044484B">
        <w:t xml:space="preserve">national law </w:t>
      </w:r>
      <w:r w:rsidR="007A6A50">
        <w:t xml:space="preserve">of the State party </w:t>
      </w:r>
      <w:r w:rsidRPr="0044484B">
        <w:t>does not provide for complaints to the Constitutional Court from individuals alleging violations of their constitutional rights. The authors therefore contend that they have exhausted all available and effective domestic remedies.</w:t>
      </w:r>
    </w:p>
    <w:p w:rsidR="0044484B" w:rsidRPr="0044484B" w:rsidRDefault="0044484B" w:rsidP="0044484B">
      <w:pPr>
        <w:pStyle w:val="H23G"/>
      </w:pPr>
      <w:r w:rsidRPr="0044484B">
        <w:tab/>
      </w:r>
      <w:r w:rsidRPr="0044484B">
        <w:tab/>
        <w:t>The complaint</w:t>
      </w:r>
    </w:p>
    <w:p w:rsidR="0044484B" w:rsidRPr="0044484B" w:rsidRDefault="0044484B" w:rsidP="00816E29">
      <w:pPr>
        <w:pStyle w:val="SingleTxtG"/>
      </w:pPr>
      <w:r w:rsidRPr="0044484B">
        <w:t>3.1</w:t>
      </w:r>
      <w:r w:rsidRPr="0044484B">
        <w:tab/>
        <w:t xml:space="preserve">The authors submit that </w:t>
      </w:r>
      <w:r w:rsidR="00816E29">
        <w:t xml:space="preserve">the restrictions on </w:t>
      </w:r>
      <w:r w:rsidRPr="0044484B">
        <w:t>their rights to participate in a peaceful demonstration and the</w:t>
      </w:r>
      <w:r w:rsidR="00816E29">
        <w:t>ir</w:t>
      </w:r>
      <w:r w:rsidRPr="0044484B">
        <w:t xml:space="preserve"> freedom to express their opinions violated their rights under </w:t>
      </w:r>
      <w:r w:rsidRPr="0044484B">
        <w:lastRenderedPageBreak/>
        <w:t>articles</w:t>
      </w:r>
      <w:r w:rsidR="001C3C88">
        <w:t> </w:t>
      </w:r>
      <w:r w:rsidRPr="0044484B">
        <w:t>19 and 21 of the Covenant. In the absence of any justification by the authorities</w:t>
      </w:r>
      <w:r w:rsidR="00816E29">
        <w:t>,</w:t>
      </w:r>
      <w:r w:rsidRPr="0044484B">
        <w:t xml:space="preserve"> the authors believe that the </w:t>
      </w:r>
      <w:r w:rsidR="00816E29">
        <w:t xml:space="preserve">restrictions </w:t>
      </w:r>
      <w:r w:rsidRPr="0044484B">
        <w:t xml:space="preserve">of their rights </w:t>
      </w:r>
      <w:r w:rsidR="00816E29">
        <w:t xml:space="preserve">were </w:t>
      </w:r>
      <w:r w:rsidRPr="0044484B">
        <w:t xml:space="preserve">not necessary for the protection of national security </w:t>
      </w:r>
      <w:r w:rsidR="00816E29">
        <w:t xml:space="preserve">or of </w:t>
      </w:r>
      <w:r w:rsidRPr="0044484B">
        <w:t>public order</w:t>
      </w:r>
      <w:r w:rsidR="00816E29">
        <w:t>,</w:t>
      </w:r>
      <w:r w:rsidRPr="0044484B">
        <w:t xml:space="preserve"> or of public health or morals, or for respect of the rights or reputations of others. They submit that the requirement imposed </w:t>
      </w:r>
      <w:r w:rsidR="00816E29">
        <w:t xml:space="preserve">under </w:t>
      </w:r>
      <w:r w:rsidRPr="0044484B">
        <w:t>domestic legislation (to request permission from the municipal authorities for the conduct of any public gathering 15 days in advance), is arbitrary</w:t>
      </w:r>
      <w:r w:rsidR="001C3C88">
        <w:t xml:space="preserve"> and unjustified under articles </w:t>
      </w:r>
      <w:r w:rsidRPr="0044484B">
        <w:t>19 and 21 of the Covenant.</w:t>
      </w:r>
    </w:p>
    <w:p w:rsidR="0044484B" w:rsidRPr="0044484B" w:rsidRDefault="0044484B" w:rsidP="007A2875">
      <w:pPr>
        <w:pStyle w:val="SingleTxtG"/>
      </w:pPr>
      <w:r w:rsidRPr="0044484B">
        <w:t>3.2</w:t>
      </w:r>
      <w:r w:rsidRPr="0044484B">
        <w:tab/>
        <w:t xml:space="preserve">The authors submit that the higher courts refused to consider the violations of the provisions of the Covenant, on which they relied in their appeals. They point out that </w:t>
      </w:r>
      <w:r w:rsidR="00671821">
        <w:t>article </w:t>
      </w:r>
      <w:r w:rsidRPr="0044484B">
        <w:t xml:space="preserve">33 of the Law </w:t>
      </w:r>
      <w:r w:rsidR="00816E29">
        <w:t>o</w:t>
      </w:r>
      <w:r w:rsidRPr="0044484B">
        <w:t>n International Treaties stipulates that the international treaties to which Belarus is a party and which have entered into force are integral part of the domestic legislation. They claim that Belarus failed to undertake the necessary measures to give effect to the rights recognized in art</w:t>
      </w:r>
      <w:r w:rsidR="001C3C88">
        <w:t>icles </w:t>
      </w:r>
      <w:r w:rsidRPr="0044484B">
        <w:t>19 and 21 of the Covenant. The authors refer to the Committ</w:t>
      </w:r>
      <w:r w:rsidR="001C3C88">
        <w:t>ee’s Views</w:t>
      </w:r>
      <w:r w:rsidR="00EB038D">
        <w:t>,</w:t>
      </w:r>
      <w:r w:rsidR="00EB038D" w:rsidRPr="00680B8C">
        <w:rPr>
          <w:rStyle w:val="FootnoteReference"/>
        </w:rPr>
        <w:footnoteReference w:id="3"/>
      </w:r>
      <w:r w:rsidR="001C3C88">
        <w:t xml:space="preserve"> </w:t>
      </w:r>
      <w:r w:rsidR="00EB038D">
        <w:t xml:space="preserve">in which </w:t>
      </w:r>
      <w:r w:rsidRPr="0044484B">
        <w:t xml:space="preserve">the State party </w:t>
      </w:r>
      <w:r w:rsidR="00EB038D">
        <w:t>submitted</w:t>
      </w:r>
      <w:r w:rsidR="001C3C88">
        <w:t xml:space="preserve"> that</w:t>
      </w:r>
      <w:r w:rsidR="00EB038D">
        <w:t xml:space="preserve"> </w:t>
      </w:r>
      <w:r w:rsidR="001C3C88">
        <w:t xml:space="preserve">the </w:t>
      </w:r>
      <w:r w:rsidRPr="0044484B">
        <w:t xml:space="preserve">author </w:t>
      </w:r>
      <w:r w:rsidR="00EB038D">
        <w:t xml:space="preserve">had been </w:t>
      </w:r>
      <w:r w:rsidRPr="0044484B">
        <w:t>convicted not because the</w:t>
      </w:r>
      <w:r w:rsidR="00EB038D">
        <w:t xml:space="preserve"> domestic</w:t>
      </w:r>
      <w:r w:rsidRPr="0044484B">
        <w:t xml:space="preserve"> </w:t>
      </w:r>
      <w:r w:rsidR="00EB038D">
        <w:t>c</w:t>
      </w:r>
      <w:r w:rsidRPr="0044484B">
        <w:t xml:space="preserve">ourt </w:t>
      </w:r>
      <w:r w:rsidR="00EB038D">
        <w:t xml:space="preserve">had </w:t>
      </w:r>
      <w:r w:rsidRPr="0044484B">
        <w:t>intentionally precluded the application of the Covenant</w:t>
      </w:r>
      <w:r w:rsidR="00EB038D">
        <w:t>,</w:t>
      </w:r>
      <w:r w:rsidRPr="0044484B">
        <w:t xml:space="preserve"> but because</w:t>
      </w:r>
      <w:r w:rsidR="00EB038D">
        <w:t>,</w:t>
      </w:r>
      <w:r w:rsidRPr="0044484B">
        <w:t xml:space="preserve"> </w:t>
      </w:r>
      <w:r w:rsidR="00EB038D">
        <w:t xml:space="preserve">in the light of the security situation of the State party, </w:t>
      </w:r>
      <w:r w:rsidRPr="0044484B">
        <w:t xml:space="preserve">it </w:t>
      </w:r>
      <w:r w:rsidR="00EB038D">
        <w:t xml:space="preserve">had been </w:t>
      </w:r>
      <w:r w:rsidRPr="0044484B">
        <w:t>a matt</w:t>
      </w:r>
      <w:r w:rsidR="001C3C88">
        <w:t xml:space="preserve">er of necessity to give </w:t>
      </w:r>
      <w:r w:rsidR="00EB038D">
        <w:t xml:space="preserve">priority to the </w:t>
      </w:r>
      <w:r w:rsidRPr="0044484B">
        <w:t xml:space="preserve">provisions </w:t>
      </w:r>
      <w:r w:rsidR="00EB038D">
        <w:t xml:space="preserve">of its </w:t>
      </w:r>
      <w:r w:rsidR="00EB038D" w:rsidRPr="00EB038D">
        <w:t>National Security Law</w:t>
      </w:r>
      <w:r w:rsidR="00EB038D">
        <w:t xml:space="preserve"> </w:t>
      </w:r>
      <w:r w:rsidRPr="0044484B">
        <w:t>over certain rights of individuals as embodied in the Covenant</w:t>
      </w:r>
      <w:r w:rsidR="00EB038D">
        <w:t>.</w:t>
      </w:r>
      <w:r w:rsidRPr="0044484B">
        <w:t xml:space="preserve"> </w:t>
      </w:r>
      <w:r w:rsidR="00EB038D">
        <w:t>In that case, t</w:t>
      </w:r>
      <w:r w:rsidRPr="0044484B">
        <w:t xml:space="preserve">he Committee found it incompatible with the Covenant that the State party </w:t>
      </w:r>
      <w:r w:rsidR="00EB038D" w:rsidRPr="0044484B">
        <w:t>ha</w:t>
      </w:r>
      <w:r w:rsidR="00EB038D">
        <w:t>d</w:t>
      </w:r>
      <w:r w:rsidR="00EB038D" w:rsidRPr="0044484B">
        <w:t xml:space="preserve"> </w:t>
      </w:r>
      <w:r w:rsidRPr="0044484B">
        <w:t>given priority to the application of its national law over its obligations under the Covenant. The authors maintain that</w:t>
      </w:r>
      <w:r w:rsidR="002C132F">
        <w:t>,</w:t>
      </w:r>
      <w:r w:rsidRPr="0044484B">
        <w:t xml:space="preserve"> </w:t>
      </w:r>
      <w:r w:rsidR="002C132F">
        <w:t xml:space="preserve">in the present case, under article 9 of its Law on </w:t>
      </w:r>
      <w:r w:rsidR="007A2875">
        <w:t>Mass</w:t>
      </w:r>
      <w:r w:rsidR="002C132F">
        <w:t xml:space="preserve"> Events, </w:t>
      </w:r>
      <w:r w:rsidRPr="0044484B">
        <w:t xml:space="preserve">Belarus </w:t>
      </w:r>
      <w:r w:rsidR="002C132F">
        <w:t xml:space="preserve">gives </w:t>
      </w:r>
      <w:r w:rsidRPr="0044484B">
        <w:t xml:space="preserve">precedence to its internal legislation over the Covenant, by </w:t>
      </w:r>
      <w:r w:rsidR="002C132F">
        <w:t xml:space="preserve">leaving to </w:t>
      </w:r>
      <w:r w:rsidRPr="0044484B">
        <w:t xml:space="preserve">the discretion </w:t>
      </w:r>
      <w:r w:rsidR="002C132F">
        <w:t xml:space="preserve">of </w:t>
      </w:r>
      <w:r w:rsidRPr="0044484B">
        <w:t xml:space="preserve">municipal officials </w:t>
      </w:r>
      <w:r w:rsidR="002C132F">
        <w:t xml:space="preserve">the determination of </w:t>
      </w:r>
      <w:r w:rsidRPr="0044484B">
        <w:t>mandatory places for the conduct of public gatherings,</w:t>
      </w:r>
      <w:r w:rsidR="002C132F" w:rsidRPr="008A408D">
        <w:rPr>
          <w:rStyle w:val="FootnoteReference"/>
        </w:rPr>
        <w:footnoteReference w:id="4"/>
      </w:r>
      <w:r w:rsidRPr="0044484B">
        <w:t xml:space="preserve"> and by requiring organizers to obtain prior permissions without justifying why </w:t>
      </w:r>
      <w:r w:rsidR="002C132F">
        <w:t xml:space="preserve">such a requirement </w:t>
      </w:r>
      <w:r w:rsidRPr="0044484B">
        <w:t>is nec</w:t>
      </w:r>
      <w:r w:rsidR="001C3C88">
        <w:t xml:space="preserve">essary for </w:t>
      </w:r>
      <w:r w:rsidR="002C132F">
        <w:t xml:space="preserve">the </w:t>
      </w:r>
      <w:r w:rsidR="001C3C88">
        <w:t>purposes of articles </w:t>
      </w:r>
      <w:r w:rsidRPr="0044484B">
        <w:t>19 and 21</w:t>
      </w:r>
      <w:r w:rsidR="002C132F">
        <w:t xml:space="preserve"> of the Covenant</w:t>
      </w:r>
      <w:r w:rsidRPr="0044484B">
        <w:t xml:space="preserve">, and has thus violated </w:t>
      </w:r>
      <w:r w:rsidR="002C132F" w:rsidRPr="0044484B">
        <w:t>th</w:t>
      </w:r>
      <w:r w:rsidR="002C132F">
        <w:t>o</w:t>
      </w:r>
      <w:r w:rsidR="002C132F" w:rsidRPr="0044484B">
        <w:t xml:space="preserve">se </w:t>
      </w:r>
      <w:r w:rsidRPr="0044484B">
        <w:t>articles</w:t>
      </w:r>
      <w:r w:rsidR="00D64B11">
        <w:t>,</w:t>
      </w:r>
      <w:r w:rsidRPr="0044484B">
        <w:t xml:space="preserve"> </w:t>
      </w:r>
      <w:r w:rsidR="00D64B11">
        <w:t xml:space="preserve">as well as </w:t>
      </w:r>
      <w:r w:rsidR="00671821">
        <w:t>article </w:t>
      </w:r>
      <w:r w:rsidRPr="0044484B">
        <w:t>2</w:t>
      </w:r>
      <w:r w:rsidR="00873F12">
        <w:t xml:space="preserve">, </w:t>
      </w:r>
      <w:r w:rsidR="00671821">
        <w:t>paragraph </w:t>
      </w:r>
      <w:r w:rsidR="00F22BF3">
        <w:t>2</w:t>
      </w:r>
      <w:r w:rsidR="00D64B11">
        <w:t>,</w:t>
      </w:r>
      <w:r w:rsidRPr="0044484B">
        <w:t xml:space="preserve"> of the Covenant.</w:t>
      </w:r>
    </w:p>
    <w:p w:rsidR="0044484B" w:rsidRPr="0044484B" w:rsidRDefault="0044484B" w:rsidP="00D64B11">
      <w:pPr>
        <w:pStyle w:val="SingleTxtG"/>
      </w:pPr>
      <w:r w:rsidRPr="0044484B">
        <w:t>3.3</w:t>
      </w:r>
      <w:r w:rsidRPr="0044484B">
        <w:tab/>
      </w:r>
      <w:r w:rsidR="00D64B11">
        <w:t>Furthermore</w:t>
      </w:r>
      <w:r w:rsidRPr="0044484B">
        <w:t xml:space="preserve">, two of the authors, </w:t>
      </w:r>
      <w:r w:rsidR="00D64B11">
        <w:t xml:space="preserve">namely, </w:t>
      </w:r>
      <w:r w:rsidR="00671821">
        <w:t>M</w:t>
      </w:r>
      <w:r w:rsidR="00D64B11">
        <w:t>ess</w:t>
      </w:r>
      <w:r w:rsidR="00671821">
        <w:t>r</w:t>
      </w:r>
      <w:r w:rsidR="00D64B11">
        <w:t>s</w:t>
      </w:r>
      <w:r w:rsidR="00671821">
        <w:t>. </w:t>
      </w:r>
      <w:r w:rsidRPr="0044484B">
        <w:t xml:space="preserve">Evrezov and Polyakov, submit that the first instance court violated their procedural rights in that it failed to inform them promptly and in detail of the nature and cause of the charges against them; failed to provide them with adequate time and facilities for the preparation of their defence and the opportunity to communicate with their counsels; did not summon them to court </w:t>
      </w:r>
      <w:r w:rsidR="00D64B11">
        <w:t xml:space="preserve">and instead </w:t>
      </w:r>
      <w:r w:rsidRPr="0044484B">
        <w:t>reviewed the administrative offence charges in their absence</w:t>
      </w:r>
      <w:r w:rsidR="00D64B11">
        <w:t>,</w:t>
      </w:r>
      <w:r w:rsidRPr="0044484B">
        <w:t xml:space="preserve"> </w:t>
      </w:r>
      <w:r w:rsidR="00D64B11">
        <w:t xml:space="preserve">thereby denying </w:t>
      </w:r>
      <w:r w:rsidRPr="0044484B">
        <w:t xml:space="preserve">them the right to defend themselves in person or through legal assistance of their own choosing; </w:t>
      </w:r>
      <w:r w:rsidR="00D64B11">
        <w:t xml:space="preserve">and </w:t>
      </w:r>
      <w:r w:rsidRPr="0044484B">
        <w:t xml:space="preserve">denied them the right to present evidence of their innocence, to question police witnesses against them </w:t>
      </w:r>
      <w:r w:rsidR="00D64B11">
        <w:t xml:space="preserve">and </w:t>
      </w:r>
      <w:r w:rsidRPr="0044484B">
        <w:t xml:space="preserve">to call their own witnesses, in violation of </w:t>
      </w:r>
      <w:r w:rsidR="00671821">
        <w:t>article </w:t>
      </w:r>
      <w:r w:rsidR="00B05C78">
        <w:t>14, paragraphs </w:t>
      </w:r>
      <w:r w:rsidRPr="0044484B">
        <w:t xml:space="preserve">3 (a) (b) (d) </w:t>
      </w:r>
      <w:r w:rsidR="00D64B11">
        <w:t xml:space="preserve">and </w:t>
      </w:r>
      <w:r w:rsidRPr="0044484B">
        <w:t>(e)</w:t>
      </w:r>
      <w:r w:rsidR="00D64B11">
        <w:t>,</w:t>
      </w:r>
      <w:r w:rsidRPr="0044484B">
        <w:t xml:space="preserve"> of the Covenant. </w:t>
      </w:r>
    </w:p>
    <w:p w:rsidR="0044484B" w:rsidRPr="0044484B" w:rsidRDefault="0044484B" w:rsidP="0044484B">
      <w:pPr>
        <w:pStyle w:val="H23G"/>
      </w:pPr>
      <w:r w:rsidRPr="0044484B">
        <w:tab/>
      </w:r>
      <w:r>
        <w:tab/>
      </w:r>
      <w:r w:rsidR="00B05C78">
        <w:t>State party’</w:t>
      </w:r>
      <w:r w:rsidRPr="0044484B">
        <w:t>s observations on admissibility</w:t>
      </w:r>
    </w:p>
    <w:p w:rsidR="0044484B" w:rsidRPr="0044484B" w:rsidRDefault="0044484B" w:rsidP="007A2875">
      <w:pPr>
        <w:pStyle w:val="SingleTxtG"/>
      </w:pPr>
      <w:r w:rsidRPr="0044484B">
        <w:t>4.1</w:t>
      </w:r>
      <w:r w:rsidRPr="0044484B">
        <w:tab/>
      </w:r>
      <w:r w:rsidR="003E2130" w:rsidRPr="003E2130">
        <w:t xml:space="preserve">In a note verbale dated 6 January 2011, the State party conveyed, with regard to the present communication and several other communications before the Committee, its concern about </w:t>
      </w:r>
      <w:r w:rsidR="00827E9C">
        <w:t xml:space="preserve">the </w:t>
      </w:r>
      <w:r w:rsidR="003E2130" w:rsidRPr="003E2130">
        <w:t>unjustified registration of communications submitted by individuals under its jurisdiction who</w:t>
      </w:r>
      <w:r w:rsidR="00827E9C">
        <w:t>m</w:t>
      </w:r>
      <w:r w:rsidR="003E2130" w:rsidRPr="003E2130">
        <w:t xml:space="preserve"> it considers have not exhausted all available domestic remedies in the State party, including appealing to the Prosecutor’s Office </w:t>
      </w:r>
      <w:r w:rsidR="00827E9C">
        <w:t xml:space="preserve">to initiate a </w:t>
      </w:r>
      <w:r w:rsidR="003E2130" w:rsidRPr="003E2130">
        <w:t xml:space="preserve">supervisory review of a judgement having the force of res judicata, in violation of </w:t>
      </w:r>
      <w:r w:rsidR="00671821">
        <w:t>article </w:t>
      </w:r>
      <w:r w:rsidR="003E2130" w:rsidRPr="003E2130">
        <w:t xml:space="preserve">2 of the Optional Protocol. The State party claims that </w:t>
      </w:r>
      <w:r w:rsidR="00827E9C">
        <w:t xml:space="preserve">the </w:t>
      </w:r>
      <w:r w:rsidR="003E2130" w:rsidRPr="003E2130">
        <w:t xml:space="preserve">registration of communications submitted </w:t>
      </w:r>
      <w:r w:rsidR="003E2130" w:rsidRPr="003E2130">
        <w:lastRenderedPageBreak/>
        <w:t>by a third party, such as advocates, lawyers or other persons on behalf of an individual claiming violation of his or her rights</w:t>
      </w:r>
      <w:r w:rsidR="007A2875">
        <w:t>,</w:t>
      </w:r>
      <w:r w:rsidR="003E2130" w:rsidRPr="003E2130">
        <w:t xml:space="preserve"> is an abuse of the Committee’s mandate and of the right to submit communications, and is in violation of </w:t>
      </w:r>
      <w:r w:rsidR="00671821">
        <w:t>article </w:t>
      </w:r>
      <w:r w:rsidR="003E2130" w:rsidRPr="003E2130">
        <w:t xml:space="preserve">3 of the Optional Protocol. It submits that, as a party to the Optional Protocol, it recognizes the competence of the Committee under </w:t>
      </w:r>
      <w:r w:rsidR="00671821">
        <w:t>article </w:t>
      </w:r>
      <w:r w:rsidR="003E2130" w:rsidRPr="003E2130">
        <w:t>1, but it did not consent to the extension of the Committee’s mandate, in particular regarding the Committee’s interpretation of the provisions of the Convention and of the Optional Protocol (preamble and art.</w:t>
      </w:r>
      <w:r w:rsidR="00B05C78">
        <w:t> </w:t>
      </w:r>
      <w:r w:rsidR="003E2130" w:rsidRPr="003E2130">
        <w:t xml:space="preserve">1), and notes that such </w:t>
      </w:r>
      <w:r w:rsidR="007A2875">
        <w:t xml:space="preserve">an </w:t>
      </w:r>
      <w:r w:rsidR="003E2130" w:rsidRPr="003E2130">
        <w:t>interpretation should be undertaken strictly in accordance with articles</w:t>
      </w:r>
      <w:r w:rsidR="00901025">
        <w:t> </w:t>
      </w:r>
      <w:r w:rsidR="003E2130" w:rsidRPr="003E2130">
        <w:t xml:space="preserve">31, 32 and 33 of the Vienna Convention on the Law of Treaties. It submits that the present communication and several other communications </w:t>
      </w:r>
      <w:r w:rsidR="00827E9C">
        <w:t xml:space="preserve">have been </w:t>
      </w:r>
      <w:r w:rsidR="003E2130" w:rsidRPr="003E2130">
        <w:t>registered in violation of the provisions of the Optional Protocol</w:t>
      </w:r>
      <w:r w:rsidR="00827E9C">
        <w:t>,</w:t>
      </w:r>
      <w:r w:rsidR="003E2130" w:rsidRPr="003E2130">
        <w:t xml:space="preserve"> that there are no legal grounds for the State party to consider those communications and that any decision taken by the Committee on such communications will be considered legally invalid. It further states that any references in that connection to the Committee’s long-standing practice are not legally binding </w:t>
      </w:r>
      <w:r w:rsidR="007A2875">
        <w:t xml:space="preserve">for </w:t>
      </w:r>
      <w:r w:rsidR="003E2130" w:rsidRPr="003E2130">
        <w:t>it.</w:t>
      </w:r>
    </w:p>
    <w:p w:rsidR="0044484B" w:rsidRPr="0044484B" w:rsidRDefault="0044484B" w:rsidP="00827E9C">
      <w:pPr>
        <w:pStyle w:val="SingleTxtG"/>
      </w:pPr>
      <w:r w:rsidRPr="0044484B">
        <w:t>4.2</w:t>
      </w:r>
      <w:r w:rsidRPr="0044484B">
        <w:tab/>
        <w:t>On 5 October 2011, the State party challenged the admissibility of the communication</w:t>
      </w:r>
      <w:r w:rsidR="00827E9C">
        <w:t>,</w:t>
      </w:r>
      <w:r w:rsidRPr="0044484B">
        <w:t xml:space="preserve"> reiterating that the authors </w:t>
      </w:r>
      <w:r w:rsidR="00827E9C">
        <w:t xml:space="preserve">had </w:t>
      </w:r>
      <w:r w:rsidRPr="0044484B">
        <w:t xml:space="preserve">failed to exhaust all available domestic remedies, as they </w:t>
      </w:r>
      <w:r w:rsidR="00827E9C">
        <w:t xml:space="preserve">had </w:t>
      </w:r>
      <w:r w:rsidRPr="0044484B">
        <w:t xml:space="preserve">not requested the Prosecutor’s Office to initiate supervisory review proceedings concerning decisions </w:t>
      </w:r>
      <w:r w:rsidR="00827E9C">
        <w:t xml:space="preserve">that </w:t>
      </w:r>
      <w:r w:rsidRPr="0044484B">
        <w:t>has entered into force.</w:t>
      </w:r>
      <w:r w:rsidRPr="0044484B">
        <w:tab/>
        <w:t xml:space="preserve"> </w:t>
      </w:r>
    </w:p>
    <w:p w:rsidR="003E2130" w:rsidRDefault="0044484B" w:rsidP="00827E9C">
      <w:pPr>
        <w:pStyle w:val="SingleTxtG"/>
        <w:rPr>
          <w:sz w:val="24"/>
          <w:szCs w:val="24"/>
        </w:rPr>
      </w:pPr>
      <w:r w:rsidRPr="0044484B">
        <w:t>4</w:t>
      </w:r>
      <w:r w:rsidRPr="003E2130">
        <w:t>.3</w:t>
      </w:r>
      <w:r w:rsidRPr="003E2130">
        <w:tab/>
      </w:r>
      <w:r w:rsidR="003E2130" w:rsidRPr="003E2130">
        <w:t>In a note verbale dated 25 January 2012, the State party submitted that</w:t>
      </w:r>
      <w:r w:rsidR="00827E9C">
        <w:t>,</w:t>
      </w:r>
      <w:r w:rsidR="003E2130" w:rsidRPr="003E2130">
        <w:t xml:space="preserve"> upon becoming a party to the Optional Protocol, it had agreed, under </w:t>
      </w:r>
      <w:r w:rsidR="00671821">
        <w:t>article </w:t>
      </w:r>
      <w:r w:rsidR="003E2130" w:rsidRPr="003E2130">
        <w:t>1 thereof</w:t>
      </w:r>
      <w:r w:rsidR="00827E9C">
        <w:t>,</w:t>
      </w:r>
      <w:r w:rsidR="003E2130" w:rsidRPr="003E2130">
        <w:t xml:space="preserve"> to recognize the competence of the Committee to receive and consider communications from individuals subject to its jurisdiction who claim</w:t>
      </w:r>
      <w:r w:rsidR="00827E9C">
        <w:t>ed</w:t>
      </w:r>
      <w:r w:rsidR="003E2130" w:rsidRPr="003E2130">
        <w:t xml:space="preserve"> to be victims of a violation by the State party of any rights protected by the Covenant. It note</w:t>
      </w:r>
      <w:r w:rsidR="00827E9C">
        <w:t>d</w:t>
      </w:r>
      <w:r w:rsidR="003E2130" w:rsidRPr="003E2130">
        <w:t xml:space="preserve">, however, that that recognition </w:t>
      </w:r>
      <w:r w:rsidR="00827E9C">
        <w:t xml:space="preserve">had been </w:t>
      </w:r>
      <w:r w:rsidR="003E2130" w:rsidRPr="003E2130">
        <w:t xml:space="preserve">undertaken in conjunction with other provisions of the Optional Protocol, including those </w:t>
      </w:r>
      <w:r w:rsidR="00827E9C">
        <w:t xml:space="preserve">that established </w:t>
      </w:r>
      <w:r w:rsidR="003E2130" w:rsidRPr="003E2130">
        <w:t>criteria regarding petitioners and the admissibility of their communications, in particular articles</w:t>
      </w:r>
      <w:r w:rsidR="00901025">
        <w:t> </w:t>
      </w:r>
      <w:r w:rsidR="003E2130" w:rsidRPr="003E2130">
        <w:t>2 and 5. The State party maintain</w:t>
      </w:r>
      <w:r w:rsidR="00827E9C">
        <w:t>ed</w:t>
      </w:r>
      <w:r w:rsidR="003E2130" w:rsidRPr="003E2130">
        <w:t xml:space="preserve"> that, under the Optional Protocol, States parties </w:t>
      </w:r>
      <w:r w:rsidR="00827E9C">
        <w:t xml:space="preserve">had </w:t>
      </w:r>
      <w:r w:rsidR="003E2130" w:rsidRPr="003E2130">
        <w:t>no obligation to recognize the Committee’s rules of procedure nor its interpretation of the provisions of the Optional Protocol, which could only be effective when in accordance with the Vienna Convention on the Law of Treaties. It submit</w:t>
      </w:r>
      <w:r w:rsidR="00827E9C">
        <w:t>ted</w:t>
      </w:r>
      <w:r w:rsidR="003E2130" w:rsidRPr="003E2130">
        <w:t xml:space="preserve"> that, in relation to the complaint procedure, States parties should be guided first and foremost by the provisions of the Optional Protocol, and that references to the Committee’s long-standing practice, methods of work and case law </w:t>
      </w:r>
      <w:r w:rsidR="00827E9C">
        <w:t xml:space="preserve">were </w:t>
      </w:r>
      <w:r w:rsidR="003E2130" w:rsidRPr="003E2130">
        <w:t xml:space="preserve">not subject </w:t>
      </w:r>
      <w:r w:rsidR="00827E9C">
        <w:t xml:space="preserve">to </w:t>
      </w:r>
      <w:r w:rsidR="003E2130" w:rsidRPr="003E2130">
        <w:t>the Optional Protocol. It also submit</w:t>
      </w:r>
      <w:r w:rsidR="00827E9C">
        <w:t>ted</w:t>
      </w:r>
      <w:r w:rsidR="003E2130" w:rsidRPr="003E2130">
        <w:t xml:space="preserve"> that any communication registered in violation of the provisions of the Optional Protocol </w:t>
      </w:r>
      <w:r w:rsidR="00827E9C">
        <w:t xml:space="preserve">would </w:t>
      </w:r>
      <w:r w:rsidR="003E2130" w:rsidRPr="003E2130">
        <w:t xml:space="preserve">be viewed by the State party as incompatible with the Optional Protocol and </w:t>
      </w:r>
      <w:r w:rsidR="00827E9C">
        <w:t xml:space="preserve">would </w:t>
      </w:r>
      <w:r w:rsidR="003E2130" w:rsidRPr="003E2130">
        <w:t xml:space="preserve">be rejected without comment on the admissibility or </w:t>
      </w:r>
      <w:r w:rsidR="00827E9C">
        <w:t xml:space="preserve">the </w:t>
      </w:r>
      <w:r w:rsidR="003E2130" w:rsidRPr="003E2130">
        <w:t xml:space="preserve">merits, and any decision taken by the Committee on such rejected communications </w:t>
      </w:r>
      <w:r w:rsidR="00827E9C">
        <w:t xml:space="preserve">would </w:t>
      </w:r>
      <w:r w:rsidR="003E2130" w:rsidRPr="003E2130">
        <w:t>be considered by its authorities as invalid. The State party consider</w:t>
      </w:r>
      <w:r w:rsidR="00827E9C">
        <w:t>ed</w:t>
      </w:r>
      <w:r w:rsidR="003E2130" w:rsidRPr="003E2130">
        <w:t xml:space="preserve"> that the present communication</w:t>
      </w:r>
      <w:r w:rsidR="00827E9C">
        <w:t>,</w:t>
      </w:r>
      <w:r w:rsidR="003E2130" w:rsidRPr="003E2130">
        <w:t xml:space="preserve"> as well as several other communications before the Committee</w:t>
      </w:r>
      <w:r w:rsidR="00827E9C">
        <w:t>,</w:t>
      </w:r>
      <w:r w:rsidR="003E2130" w:rsidRPr="003E2130">
        <w:t xml:space="preserve"> were registered in violation of the Optional Protocol.</w:t>
      </w:r>
    </w:p>
    <w:p w:rsidR="0044484B" w:rsidRPr="0044484B" w:rsidRDefault="0044484B" w:rsidP="00827E9C">
      <w:pPr>
        <w:pStyle w:val="SingleTxtG"/>
      </w:pPr>
      <w:r w:rsidRPr="0044484B">
        <w:t>4.4</w:t>
      </w:r>
      <w:r w:rsidRPr="0044484B">
        <w:tab/>
        <w:t xml:space="preserve">On 19 July 2012, the State party </w:t>
      </w:r>
      <w:r w:rsidR="00827E9C" w:rsidRPr="0044484B">
        <w:t>submit</w:t>
      </w:r>
      <w:r w:rsidR="00827E9C">
        <w:t>ted</w:t>
      </w:r>
      <w:r w:rsidR="00827E9C" w:rsidRPr="0044484B">
        <w:t xml:space="preserve"> </w:t>
      </w:r>
      <w:r w:rsidRPr="0044484B">
        <w:t xml:space="preserve">that it </w:t>
      </w:r>
      <w:r w:rsidR="00827E9C">
        <w:t xml:space="preserve">had </w:t>
      </w:r>
      <w:r w:rsidRPr="0044484B">
        <w:t xml:space="preserve">discontinued proceedings </w:t>
      </w:r>
      <w:r w:rsidR="00827E9C">
        <w:t xml:space="preserve">with respect to </w:t>
      </w:r>
      <w:r w:rsidRPr="0044484B">
        <w:t xml:space="preserve">the present communication and </w:t>
      </w:r>
      <w:r w:rsidR="00827E9C">
        <w:t xml:space="preserve">would </w:t>
      </w:r>
      <w:r w:rsidRPr="0044484B">
        <w:t xml:space="preserve">disassociate itself from any views that might be adopted by the Committee. </w:t>
      </w:r>
    </w:p>
    <w:p w:rsidR="0044484B" w:rsidRPr="0044484B" w:rsidRDefault="00A42FCF" w:rsidP="0039424F">
      <w:pPr>
        <w:pStyle w:val="H23G"/>
      </w:pPr>
      <w:r>
        <w:tab/>
      </w:r>
      <w:r>
        <w:tab/>
      </w:r>
      <w:r w:rsidR="0044484B" w:rsidRPr="0044484B">
        <w:t>Authors</w:t>
      </w:r>
      <w:r w:rsidR="0039424F" w:rsidRPr="0044484B">
        <w:t>’</w:t>
      </w:r>
      <w:r w:rsidR="0044484B" w:rsidRPr="0044484B">
        <w:t xml:space="preserve"> observations on admissibility</w:t>
      </w:r>
    </w:p>
    <w:p w:rsidR="0044484B" w:rsidRPr="0044484B" w:rsidRDefault="0044484B" w:rsidP="00E13622">
      <w:pPr>
        <w:pStyle w:val="SingleTxtG"/>
      </w:pPr>
      <w:r w:rsidRPr="0044484B">
        <w:t>5.1</w:t>
      </w:r>
      <w:r w:rsidRPr="0044484B">
        <w:tab/>
        <w:t xml:space="preserve">On 30 November 2011 and 21 March 2012, </w:t>
      </w:r>
      <w:r w:rsidR="00671821">
        <w:t>Mr. </w:t>
      </w:r>
      <w:r w:rsidRPr="0044484B">
        <w:t>Evrezov</w:t>
      </w:r>
      <w:r w:rsidRPr="008A408D">
        <w:rPr>
          <w:rStyle w:val="FootnoteReference"/>
        </w:rPr>
        <w:footnoteReference w:id="5"/>
      </w:r>
      <w:r w:rsidRPr="0044484B">
        <w:t xml:space="preserve"> </w:t>
      </w:r>
      <w:r w:rsidR="004D766C" w:rsidRPr="0044484B">
        <w:t>submit</w:t>
      </w:r>
      <w:r w:rsidR="004D766C">
        <w:t>ted</w:t>
      </w:r>
      <w:r w:rsidR="004D766C" w:rsidRPr="0044484B">
        <w:t xml:space="preserve"> </w:t>
      </w:r>
      <w:r w:rsidRPr="0044484B">
        <w:t xml:space="preserve">his comments on admissibility. He </w:t>
      </w:r>
      <w:r w:rsidR="004D766C" w:rsidRPr="0044484B">
        <w:t>reiterate</w:t>
      </w:r>
      <w:r w:rsidR="004D766C">
        <w:t>d</w:t>
      </w:r>
      <w:r w:rsidR="004D766C" w:rsidRPr="0044484B">
        <w:t xml:space="preserve"> </w:t>
      </w:r>
      <w:r w:rsidR="004D766C">
        <w:t xml:space="preserve">the </w:t>
      </w:r>
      <w:r w:rsidRPr="0044484B">
        <w:t xml:space="preserve">position </w:t>
      </w:r>
      <w:r w:rsidR="004D766C">
        <w:t xml:space="preserve">he had taken </w:t>
      </w:r>
      <w:r w:rsidRPr="0044484B">
        <w:t xml:space="preserve">in his initial submission that the supervisory review </w:t>
      </w:r>
      <w:r w:rsidR="004D766C">
        <w:t xml:space="preserve">proceedings were </w:t>
      </w:r>
      <w:r w:rsidRPr="0044484B">
        <w:t>discretionary</w:t>
      </w:r>
      <w:r w:rsidR="004D766C">
        <w:t>,</w:t>
      </w:r>
      <w:r w:rsidRPr="0044484B">
        <w:t xml:space="preserve"> </w:t>
      </w:r>
      <w:r w:rsidR="004D766C">
        <w:t>that t</w:t>
      </w:r>
      <w:r w:rsidRPr="0044484B">
        <w:t xml:space="preserve">he decision to initiate such proceedings </w:t>
      </w:r>
      <w:r w:rsidR="004D766C">
        <w:t xml:space="preserve">was </w:t>
      </w:r>
      <w:r w:rsidRPr="0044484B">
        <w:t>limited to State officials</w:t>
      </w:r>
      <w:r w:rsidR="004D766C">
        <w:t>,</w:t>
      </w:r>
      <w:r w:rsidRPr="0044484B">
        <w:t xml:space="preserve"> such as the Prosecutor General or the Chairman </w:t>
      </w:r>
      <w:r w:rsidRPr="0044484B">
        <w:lastRenderedPageBreak/>
        <w:t>of the Supreme Court</w:t>
      </w:r>
      <w:r w:rsidR="004D766C">
        <w:t>,</w:t>
      </w:r>
      <w:r w:rsidRPr="0044484B">
        <w:t xml:space="preserve"> </w:t>
      </w:r>
      <w:r w:rsidR="004D766C">
        <w:t xml:space="preserve">and that such proceedings could not </w:t>
      </w:r>
      <w:r w:rsidRPr="0044484B">
        <w:t>be considered an effective domestic remedy</w:t>
      </w:r>
      <w:r w:rsidR="00A42FCF">
        <w:t>.</w:t>
      </w:r>
      <w:r w:rsidRPr="008A408D">
        <w:rPr>
          <w:rStyle w:val="FootnoteReference"/>
        </w:rPr>
        <w:footnoteReference w:id="6"/>
      </w:r>
    </w:p>
    <w:p w:rsidR="0044484B" w:rsidRPr="0044484B" w:rsidRDefault="0044484B" w:rsidP="00E13622">
      <w:pPr>
        <w:pStyle w:val="SingleTxtG"/>
      </w:pPr>
      <w:r w:rsidRPr="0044484B">
        <w:t>5.2</w:t>
      </w:r>
      <w:r w:rsidRPr="0044484B">
        <w:tab/>
      </w:r>
      <w:r w:rsidR="00E13622">
        <w:t>Mr. </w:t>
      </w:r>
      <w:r w:rsidR="00E13622" w:rsidRPr="0044484B">
        <w:t>Evrezov</w:t>
      </w:r>
      <w:r w:rsidR="00E13622">
        <w:t xml:space="preserve"> </w:t>
      </w:r>
      <w:r w:rsidRPr="0044484B">
        <w:t>also submits that</w:t>
      </w:r>
      <w:r w:rsidR="00D32993">
        <w:t>,</w:t>
      </w:r>
      <w:r w:rsidRPr="0044484B">
        <w:t xml:space="preserve"> by accepting the Committee’s competence in dealing with individual communications, the State party also undertook obligations to provide an effective remedy in </w:t>
      </w:r>
      <w:r w:rsidR="00D32993">
        <w:t xml:space="preserve">the </w:t>
      </w:r>
      <w:r w:rsidRPr="0044484B">
        <w:t xml:space="preserve">case of </w:t>
      </w:r>
      <w:r w:rsidR="00D32993">
        <w:t xml:space="preserve">a </w:t>
      </w:r>
      <w:r w:rsidRPr="0044484B">
        <w:t xml:space="preserve">violation of </w:t>
      </w:r>
      <w:r w:rsidR="00D32993">
        <w:t xml:space="preserve">the </w:t>
      </w:r>
      <w:r w:rsidRPr="0044484B">
        <w:t xml:space="preserve">rights </w:t>
      </w:r>
      <w:r w:rsidR="00C6085C" w:rsidRPr="0044484B">
        <w:t xml:space="preserve">set forth </w:t>
      </w:r>
      <w:r w:rsidRPr="0044484B">
        <w:t>in the Covenant</w:t>
      </w:r>
      <w:r w:rsidR="00D32993">
        <w:t xml:space="preserve">, and to </w:t>
      </w:r>
      <w:r w:rsidRPr="0044484B">
        <w:t xml:space="preserve">comply </w:t>
      </w:r>
      <w:r w:rsidR="00D32993">
        <w:t xml:space="preserve">with </w:t>
      </w:r>
      <w:r w:rsidRPr="0044484B">
        <w:t xml:space="preserve">not only the provisions of the Covenant, but also those of the Optional Protocol and the Committee’s </w:t>
      </w:r>
      <w:r w:rsidR="00D32993">
        <w:t>g</w:t>
      </w:r>
      <w:r w:rsidRPr="0044484B">
        <w:t xml:space="preserve">eneral </w:t>
      </w:r>
      <w:r w:rsidR="00D32993">
        <w:t>c</w:t>
      </w:r>
      <w:r w:rsidRPr="0044484B">
        <w:t>omments</w:t>
      </w:r>
      <w:r w:rsidR="00A42FCF">
        <w:t>.</w:t>
      </w:r>
      <w:r w:rsidRPr="008A408D">
        <w:rPr>
          <w:rStyle w:val="FootnoteReference"/>
        </w:rPr>
        <w:footnoteReference w:id="7"/>
      </w:r>
    </w:p>
    <w:p w:rsidR="0044484B" w:rsidRPr="0044484B" w:rsidRDefault="0044484B" w:rsidP="001C001E">
      <w:pPr>
        <w:pStyle w:val="H23G"/>
      </w:pPr>
      <w:r w:rsidRPr="0044484B">
        <w:tab/>
      </w:r>
      <w:r w:rsidRPr="0044484B">
        <w:tab/>
        <w:t>Issues and proceedings before the Committee</w:t>
      </w:r>
    </w:p>
    <w:p w:rsidR="0044484B" w:rsidRPr="0044484B" w:rsidRDefault="0044484B" w:rsidP="001C001E">
      <w:pPr>
        <w:pStyle w:val="H4G"/>
      </w:pPr>
      <w:r w:rsidRPr="0044484B">
        <w:tab/>
      </w:r>
      <w:r w:rsidRPr="0044484B">
        <w:tab/>
        <w:t xml:space="preserve">The State party’s </w:t>
      </w:r>
      <w:r w:rsidR="003E2130">
        <w:t>lack of cooperation</w:t>
      </w:r>
    </w:p>
    <w:p w:rsidR="0044484B" w:rsidRPr="0044484B" w:rsidRDefault="0001396A" w:rsidP="00C6085C">
      <w:pPr>
        <w:pStyle w:val="SingleTxtG"/>
      </w:pPr>
      <w:r>
        <w:t>6</w:t>
      </w:r>
      <w:r w:rsidR="0044484B" w:rsidRPr="0044484B">
        <w:t>.1</w:t>
      </w:r>
      <w:r w:rsidR="0044484B" w:rsidRPr="0044484B">
        <w:tab/>
        <w:t>The Committee notes the State party’s assertion that there are no legal grounds for the consideration of the authors’ communication, insofar as it is registered in violation of the provisions of the Optional Protocol; that it has no obligations regarding the recognition of the Committee’s rules of procedure and regarding the Committee’s interpretation of the Optional Protocol’s provisions; and that</w:t>
      </w:r>
      <w:r w:rsidR="00E13622">
        <w:t>,</w:t>
      </w:r>
      <w:r w:rsidR="0044484B" w:rsidRPr="0044484B">
        <w:t xml:space="preserve"> if a decision is adopted by the Committee in this case, it will be ignored as invalid by its authorities. </w:t>
      </w:r>
    </w:p>
    <w:p w:rsidR="0044484B" w:rsidRPr="0044484B" w:rsidRDefault="0001396A" w:rsidP="008830BD">
      <w:pPr>
        <w:pStyle w:val="SingleTxtG"/>
      </w:pPr>
      <w:r>
        <w:t>6</w:t>
      </w:r>
      <w:r w:rsidR="0044484B" w:rsidRPr="0044484B">
        <w:t>.2</w:t>
      </w:r>
      <w:r w:rsidR="0044484B" w:rsidRPr="0044484B">
        <w:tab/>
        <w:t>The Committee recalls that</w:t>
      </w:r>
      <w:r w:rsidR="00C6085C">
        <w:t>,</w:t>
      </w:r>
      <w:r w:rsidR="0044484B" w:rsidRPr="0044484B">
        <w:t xml:space="preserve"> under </w:t>
      </w:r>
      <w:r w:rsidR="00671821">
        <w:t>article </w:t>
      </w:r>
      <w:r w:rsidR="0044484B" w:rsidRPr="0044484B">
        <w:t xml:space="preserve">39, </w:t>
      </w:r>
      <w:r w:rsidR="00671821">
        <w:t>paragraph </w:t>
      </w:r>
      <w:r w:rsidR="0044484B" w:rsidRPr="0044484B">
        <w:t xml:space="preserve">2, of the </w:t>
      </w:r>
      <w:r w:rsidR="00C6085C">
        <w:t xml:space="preserve">International </w:t>
      </w:r>
      <w:r w:rsidR="00C6085C" w:rsidRPr="00E56B00">
        <w:t xml:space="preserve">Covenant </w:t>
      </w:r>
      <w:r w:rsidR="00C6085C">
        <w:t xml:space="preserve">on Civil and Political Rights, </w:t>
      </w:r>
      <w:r w:rsidR="0044484B" w:rsidRPr="0044484B">
        <w:t xml:space="preserve">it is empowered to establish its own rules of procedure, which the States parties have agreed to recognize. </w:t>
      </w:r>
      <w:r w:rsidR="00C6085C">
        <w:t>B</w:t>
      </w:r>
      <w:r w:rsidR="0044484B" w:rsidRPr="0044484B">
        <w:t xml:space="preserve">y adhering to the Optional Protocol, a State party to the Covenant recognizes the competence </w:t>
      </w:r>
      <w:r w:rsidR="00C6085C" w:rsidRPr="00E56B00">
        <w:t xml:space="preserve">of the </w:t>
      </w:r>
      <w:r w:rsidR="00C6085C">
        <w:t xml:space="preserve">Human Rights </w:t>
      </w:r>
      <w:r w:rsidR="00C6085C" w:rsidRPr="00E56B00">
        <w:t xml:space="preserve">Committee </w:t>
      </w:r>
      <w:r w:rsidR="0044484B" w:rsidRPr="0044484B">
        <w:t xml:space="preserve">to receive and consider communications from individuals claiming to be victims of violations of </w:t>
      </w:r>
      <w:r w:rsidR="00C6085C">
        <w:t xml:space="preserve">any of </w:t>
      </w:r>
      <w:r w:rsidR="0044484B" w:rsidRPr="0044484B">
        <w:t xml:space="preserve">their rights set forth in </w:t>
      </w:r>
      <w:r w:rsidR="00A42FCF">
        <w:t>the Covenant (</w:t>
      </w:r>
      <w:r w:rsidR="00C6085C">
        <w:t>p</w:t>
      </w:r>
      <w:r w:rsidR="00A42FCF">
        <w:t>reamble and art. </w:t>
      </w:r>
      <w:r w:rsidR="0044484B" w:rsidRPr="0044484B">
        <w:t>1). Implicit in a State’s adherence to the Protocol is an undertaking to cooperate with the Committee in good faith so as to permit and enable it to consider such communications, and after examination to forward its views to the State party and to the</w:t>
      </w:r>
      <w:r w:rsidR="00A42FCF">
        <w:t xml:space="preserve"> individual (art. 5, paras. </w:t>
      </w:r>
      <w:r w:rsidR="0044484B" w:rsidRPr="0044484B">
        <w:t xml:space="preserve">1 and 4). It is incompatible with these obligations for a State party to take any action that would prevent or frustrate the Committee in its consideration and examination of </w:t>
      </w:r>
      <w:r w:rsidR="008830BD">
        <w:t>a</w:t>
      </w:r>
      <w:r w:rsidR="008830BD" w:rsidRPr="0044484B">
        <w:t xml:space="preserve"> </w:t>
      </w:r>
      <w:r w:rsidR="0044484B" w:rsidRPr="0044484B">
        <w:t>communication and in the expression of its Views.</w:t>
      </w:r>
      <w:r w:rsidR="0044484B" w:rsidRPr="008A408D">
        <w:rPr>
          <w:rStyle w:val="FootnoteReference"/>
        </w:rPr>
        <w:footnoteReference w:id="8"/>
      </w:r>
      <w:r w:rsidR="00A42FCF">
        <w:t xml:space="preserve"> </w:t>
      </w:r>
      <w:r w:rsidR="0044484B" w:rsidRPr="0044484B">
        <w:t xml:space="preserve">It is </w:t>
      </w:r>
      <w:r w:rsidR="008830BD">
        <w:t xml:space="preserve">up to </w:t>
      </w:r>
      <w:r w:rsidR="0044484B" w:rsidRPr="0044484B">
        <w:t xml:space="preserve">the Committee to determine whether a communication should be registered. The Committee observes that, by failing to accept the competence of the Committee to determine whether a communication shall be registered and by declaring </w:t>
      </w:r>
      <w:r w:rsidR="008830BD">
        <w:t xml:space="preserve">outright </w:t>
      </w:r>
      <w:r w:rsidR="0044484B" w:rsidRPr="0044484B">
        <w:t xml:space="preserve">that it will not accept the </w:t>
      </w:r>
      <w:r w:rsidR="008830BD" w:rsidRPr="0044484B">
        <w:t>Committee</w:t>
      </w:r>
      <w:r w:rsidR="008830BD">
        <w:t>'s</w:t>
      </w:r>
      <w:r w:rsidR="008830BD" w:rsidRPr="0044484B">
        <w:t xml:space="preserve"> </w:t>
      </w:r>
      <w:r w:rsidR="0044484B" w:rsidRPr="0044484B">
        <w:t xml:space="preserve">determination of the admissibility </w:t>
      </w:r>
      <w:r w:rsidR="008830BD">
        <w:t xml:space="preserve">and of </w:t>
      </w:r>
      <w:r w:rsidR="0044484B" w:rsidRPr="0044484B">
        <w:t xml:space="preserve">the merits of </w:t>
      </w:r>
      <w:r w:rsidR="008830BD">
        <w:t xml:space="preserve">the </w:t>
      </w:r>
      <w:r w:rsidR="0044484B" w:rsidRPr="0044484B">
        <w:t>communication</w:t>
      </w:r>
      <w:r w:rsidR="008830BD">
        <w:t>s</w:t>
      </w:r>
      <w:r w:rsidR="0044484B" w:rsidRPr="0044484B">
        <w:t xml:space="preserve">, the State party violates its obligations under </w:t>
      </w:r>
      <w:r w:rsidR="00671821">
        <w:t>article </w:t>
      </w:r>
      <w:r w:rsidR="0044484B" w:rsidRPr="0044484B">
        <w:t>1 of the Optional Protocol to the Covenant.</w:t>
      </w:r>
      <w:r w:rsidR="0044484B" w:rsidRPr="008A408D">
        <w:rPr>
          <w:rStyle w:val="FootnoteReference"/>
        </w:rPr>
        <w:footnoteReference w:id="9"/>
      </w:r>
      <w:r w:rsidR="0044484B" w:rsidRPr="0044484B">
        <w:rPr>
          <w:vertAlign w:val="superscript"/>
        </w:rPr>
        <w:t xml:space="preserve"> </w:t>
      </w:r>
    </w:p>
    <w:p w:rsidR="0044484B" w:rsidRPr="0044484B" w:rsidRDefault="0044484B" w:rsidP="001C001E">
      <w:pPr>
        <w:pStyle w:val="H4G"/>
      </w:pPr>
      <w:r w:rsidRPr="0044484B">
        <w:tab/>
      </w:r>
      <w:r w:rsidRPr="0044484B">
        <w:tab/>
        <w:t>Consideration of admissibility</w:t>
      </w:r>
    </w:p>
    <w:p w:rsidR="0044484B" w:rsidRPr="0044484B" w:rsidRDefault="0001396A" w:rsidP="0044484B">
      <w:pPr>
        <w:pStyle w:val="SingleTxtG"/>
      </w:pPr>
      <w:r>
        <w:t>7</w:t>
      </w:r>
      <w:r w:rsidR="0044484B" w:rsidRPr="0044484B">
        <w:t>.1</w:t>
      </w:r>
      <w:r w:rsidR="0044484B" w:rsidRPr="0044484B">
        <w:tab/>
        <w:t>Before considering any claim contained in a communication, the Human Rights Committee must, in accordance with rule 93 of its rules of procedure, decide whether or not the case is admissible under the Optional Protocol to the Covenant.</w:t>
      </w:r>
    </w:p>
    <w:p w:rsidR="0044484B" w:rsidRPr="0044484B" w:rsidRDefault="0001396A" w:rsidP="0044484B">
      <w:pPr>
        <w:pStyle w:val="SingleTxtG"/>
      </w:pPr>
      <w:r>
        <w:lastRenderedPageBreak/>
        <w:t>7</w:t>
      </w:r>
      <w:r w:rsidR="0044484B" w:rsidRPr="0044484B">
        <w:t>.2</w:t>
      </w:r>
      <w:r w:rsidR="0044484B" w:rsidRPr="0044484B">
        <w:tab/>
        <w:t xml:space="preserve">The Committee has ascertained, as required under </w:t>
      </w:r>
      <w:r w:rsidR="00671821">
        <w:t>article </w:t>
      </w:r>
      <w:r w:rsidR="0044484B" w:rsidRPr="0044484B">
        <w:t xml:space="preserve">5, </w:t>
      </w:r>
      <w:r w:rsidR="00671821">
        <w:t>paragraph </w:t>
      </w:r>
      <w:r w:rsidR="0044484B" w:rsidRPr="0044484B">
        <w:t xml:space="preserve">2 (a), of the Optional Protocol, that the same matter is not being examined under another procedure of international investigation or settlement. </w:t>
      </w:r>
    </w:p>
    <w:p w:rsidR="003E2130" w:rsidRPr="00CB0994" w:rsidRDefault="0001396A" w:rsidP="00B20D4E">
      <w:pPr>
        <w:pStyle w:val="SingleTxtG"/>
        <w:rPr>
          <w:bCs/>
        </w:rPr>
      </w:pPr>
      <w:r>
        <w:t>7</w:t>
      </w:r>
      <w:r w:rsidR="0044484B" w:rsidRPr="0044484B">
        <w:t>.3</w:t>
      </w:r>
      <w:r w:rsidR="0044484B" w:rsidRPr="0044484B">
        <w:tab/>
      </w:r>
      <w:r w:rsidR="00721261">
        <w:t xml:space="preserve">The Committee notes that the State party has challenged the admissibility of the communication for non-exhaustion of domestic remedies under </w:t>
      </w:r>
      <w:r w:rsidR="00671821">
        <w:t>article </w:t>
      </w:r>
      <w:r w:rsidR="00721261">
        <w:t xml:space="preserve">5, </w:t>
      </w:r>
      <w:r w:rsidR="00671821">
        <w:t>paragraph </w:t>
      </w:r>
      <w:r w:rsidR="00721261">
        <w:t>2 (b), of the Optional Protocol</w:t>
      </w:r>
      <w:r w:rsidR="00B20D4E">
        <w:t>,</w:t>
      </w:r>
      <w:r w:rsidR="00721261">
        <w:t xml:space="preserve"> on the ground</w:t>
      </w:r>
      <w:r w:rsidR="00B20D4E">
        <w:t>s</w:t>
      </w:r>
      <w:r w:rsidR="00721261">
        <w:t xml:space="preserve"> that the authors have not requested the Prosecutor’s Office to have their cases considered under the supervisory review proceedings. </w:t>
      </w:r>
      <w:r w:rsidR="003E2130">
        <w:t xml:space="preserve">The Committee recalls its jurisprudence, according to which </w:t>
      </w:r>
      <w:r w:rsidR="00B20D4E" w:rsidRPr="00611CAB">
        <w:rPr>
          <w:bCs/>
          <w:color w:val="000000"/>
          <w:lang w:eastAsia="en-GB"/>
        </w:rPr>
        <w:t xml:space="preserve">the State party’s supervisory review proceedings before the Prosecutor General’s Office, allowing </w:t>
      </w:r>
      <w:r w:rsidR="00B20D4E">
        <w:rPr>
          <w:bCs/>
          <w:color w:val="000000"/>
          <w:lang w:eastAsia="en-GB"/>
        </w:rPr>
        <w:t xml:space="preserve">the </w:t>
      </w:r>
      <w:r w:rsidR="00B20D4E" w:rsidRPr="00611CAB">
        <w:rPr>
          <w:bCs/>
          <w:color w:val="000000"/>
          <w:lang w:eastAsia="en-GB"/>
        </w:rPr>
        <w:t xml:space="preserve">review </w:t>
      </w:r>
      <w:r w:rsidR="00B20D4E">
        <w:rPr>
          <w:bCs/>
          <w:color w:val="000000"/>
          <w:lang w:eastAsia="en-GB"/>
        </w:rPr>
        <w:t xml:space="preserve">of </w:t>
      </w:r>
      <w:r w:rsidR="00B20D4E" w:rsidRPr="00611CAB">
        <w:rPr>
          <w:bCs/>
          <w:color w:val="000000"/>
          <w:lang w:eastAsia="en-GB"/>
        </w:rPr>
        <w:t>court decisions that have taken effect</w:t>
      </w:r>
      <w:r w:rsidR="00B20D4E">
        <w:rPr>
          <w:bCs/>
          <w:color w:val="000000"/>
          <w:lang w:eastAsia="en-GB"/>
        </w:rPr>
        <w:t>,</w:t>
      </w:r>
      <w:r w:rsidR="00B20D4E" w:rsidRPr="00611CAB">
        <w:rPr>
          <w:bCs/>
          <w:color w:val="000000"/>
          <w:lang w:eastAsia="en-GB"/>
        </w:rPr>
        <w:t xml:space="preserve"> </w:t>
      </w:r>
      <w:r w:rsidR="003E2130">
        <w:t xml:space="preserve">do not constitute a remedy </w:t>
      </w:r>
      <w:r w:rsidR="00B20D4E">
        <w:t xml:space="preserve">that </w:t>
      </w:r>
      <w:r w:rsidR="003E2130">
        <w:t xml:space="preserve">has to be exhausted for the purposes of </w:t>
      </w:r>
      <w:r w:rsidR="00671821">
        <w:t>article </w:t>
      </w:r>
      <w:r w:rsidR="003E2130">
        <w:t xml:space="preserve">5, </w:t>
      </w:r>
      <w:r w:rsidR="00671821">
        <w:t>paragraph </w:t>
      </w:r>
      <w:r w:rsidR="003E2130">
        <w:t>2 (b), of the Optional Protocol.</w:t>
      </w:r>
      <w:r w:rsidR="003E2130" w:rsidRPr="008A408D">
        <w:rPr>
          <w:rStyle w:val="FootnoteReference"/>
        </w:rPr>
        <w:footnoteReference w:id="10"/>
      </w:r>
      <w:r w:rsidR="003E2130">
        <w:t xml:space="preserve"> Accordingly, it considers that it is not precluded by </w:t>
      </w:r>
      <w:r w:rsidR="00671821">
        <w:t>article </w:t>
      </w:r>
      <w:r w:rsidR="003E2130">
        <w:t xml:space="preserve">5, </w:t>
      </w:r>
      <w:r w:rsidR="00671821">
        <w:t>paragraph </w:t>
      </w:r>
      <w:r w:rsidR="003E2130">
        <w:t xml:space="preserve">2 (b), of the Optional Protocol from examining </w:t>
      </w:r>
      <w:r w:rsidR="00721261">
        <w:t>this part of the communication.</w:t>
      </w:r>
    </w:p>
    <w:p w:rsidR="003E2130" w:rsidRPr="00A42FCF" w:rsidRDefault="003E2130" w:rsidP="0039424F">
      <w:pPr>
        <w:pStyle w:val="SingleTxtG"/>
      </w:pPr>
      <w:r w:rsidRPr="003E2130">
        <w:rPr>
          <w:lang w:val="en-US" w:eastAsia="en-GB"/>
        </w:rPr>
        <w:t>7.4</w:t>
      </w:r>
      <w:r w:rsidR="00721261">
        <w:rPr>
          <w:lang w:val="en-US" w:eastAsia="en-GB"/>
        </w:rPr>
        <w:tab/>
      </w:r>
      <w:r w:rsidRPr="003E2130">
        <w:rPr>
          <w:lang w:val="en-US" w:eastAsia="en-GB"/>
        </w:rPr>
        <w:t>The Committee note</w:t>
      </w:r>
      <w:r w:rsidR="0039424F">
        <w:rPr>
          <w:lang w:val="en-US" w:eastAsia="en-GB"/>
        </w:rPr>
        <w:t>s</w:t>
      </w:r>
      <w:r w:rsidRPr="003E2130">
        <w:rPr>
          <w:lang w:val="en-US" w:eastAsia="en-GB"/>
        </w:rPr>
        <w:t xml:space="preserve"> of the authors</w:t>
      </w:r>
      <w:r w:rsidR="0039424F" w:rsidRPr="003E2130">
        <w:rPr>
          <w:lang w:val="en-US" w:eastAsia="en-GB"/>
        </w:rPr>
        <w:t>’</w:t>
      </w:r>
      <w:r w:rsidRPr="003E2130">
        <w:rPr>
          <w:lang w:val="en-US" w:eastAsia="en-GB"/>
        </w:rPr>
        <w:t xml:space="preserve"> submission that the State party violated its obligations under </w:t>
      </w:r>
      <w:r w:rsidR="00671821">
        <w:rPr>
          <w:lang w:val="en-US" w:eastAsia="en-GB"/>
        </w:rPr>
        <w:t>article </w:t>
      </w:r>
      <w:r w:rsidRPr="003E2130">
        <w:rPr>
          <w:lang w:val="en-US" w:eastAsia="en-GB"/>
        </w:rPr>
        <w:t xml:space="preserve">2, </w:t>
      </w:r>
      <w:r w:rsidR="00671821">
        <w:rPr>
          <w:lang w:val="en-US" w:eastAsia="en-GB"/>
        </w:rPr>
        <w:t>paragraph </w:t>
      </w:r>
      <w:r w:rsidRPr="003E2130">
        <w:rPr>
          <w:lang w:val="en-US" w:eastAsia="en-GB"/>
        </w:rPr>
        <w:t>2</w:t>
      </w:r>
      <w:r w:rsidR="0039424F">
        <w:rPr>
          <w:lang w:val="en-US" w:eastAsia="en-GB"/>
        </w:rPr>
        <w:t>,</w:t>
      </w:r>
      <w:r w:rsidRPr="003E2130">
        <w:rPr>
          <w:lang w:val="en-US" w:eastAsia="en-GB"/>
        </w:rPr>
        <w:t xml:space="preserve"> of the Covenant</w:t>
      </w:r>
      <w:r w:rsidR="0039424F">
        <w:rPr>
          <w:lang w:val="en-US" w:eastAsia="en-GB"/>
        </w:rPr>
        <w:t>,</w:t>
      </w:r>
      <w:r w:rsidRPr="003E2130">
        <w:rPr>
          <w:lang w:val="en-US" w:eastAsia="en-GB"/>
        </w:rPr>
        <w:t xml:space="preserve"> in conjunction with articles</w:t>
      </w:r>
      <w:r w:rsidR="00A42FCF">
        <w:rPr>
          <w:lang w:val="en-US" w:eastAsia="en-GB"/>
        </w:rPr>
        <w:t> </w:t>
      </w:r>
      <w:r w:rsidRPr="003E2130">
        <w:rPr>
          <w:lang w:val="en-US" w:eastAsia="en-GB"/>
        </w:rPr>
        <w:t xml:space="preserve">19 and 21, </w:t>
      </w:r>
      <w:r w:rsidR="0039424F">
        <w:rPr>
          <w:lang w:val="en-US" w:eastAsia="en-GB"/>
        </w:rPr>
        <w:t xml:space="preserve">on the grounds that </w:t>
      </w:r>
      <w:r w:rsidRPr="003E2130">
        <w:rPr>
          <w:lang w:val="en-US" w:eastAsia="en-GB"/>
        </w:rPr>
        <w:t>it failed to give precedence to the Covenant over the internal legislation</w:t>
      </w:r>
      <w:r w:rsidR="0039424F">
        <w:rPr>
          <w:lang w:val="en-US" w:eastAsia="en-GB"/>
        </w:rPr>
        <w:t>,</w:t>
      </w:r>
      <w:r w:rsidRPr="003E2130">
        <w:rPr>
          <w:lang w:val="en-US" w:eastAsia="en-GB"/>
        </w:rPr>
        <w:t xml:space="preserve"> </w:t>
      </w:r>
      <w:r w:rsidR="0039424F">
        <w:rPr>
          <w:lang w:val="en-US" w:eastAsia="en-GB"/>
        </w:rPr>
        <w:t xml:space="preserve">which </w:t>
      </w:r>
      <w:r w:rsidRPr="003E2130">
        <w:rPr>
          <w:lang w:val="en-US" w:eastAsia="en-GB"/>
        </w:rPr>
        <w:t>imposes unjustified restrictions to the rights under the articles</w:t>
      </w:r>
      <w:r w:rsidR="00A42FCF">
        <w:rPr>
          <w:lang w:val="en-US" w:eastAsia="en-GB"/>
        </w:rPr>
        <w:t> </w:t>
      </w:r>
      <w:r w:rsidRPr="003E2130">
        <w:rPr>
          <w:lang w:val="en-US" w:eastAsia="en-GB"/>
        </w:rPr>
        <w:t>19 and 21. The Committee recalls</w:t>
      </w:r>
      <w:r w:rsidR="0039424F">
        <w:rPr>
          <w:lang w:val="en-US" w:eastAsia="en-GB"/>
        </w:rPr>
        <w:t xml:space="preserve"> </w:t>
      </w:r>
      <w:r w:rsidR="0039424F" w:rsidRPr="003E2130">
        <w:rPr>
          <w:lang w:val="en-US" w:eastAsia="en-GB"/>
        </w:rPr>
        <w:t>in this connection</w:t>
      </w:r>
      <w:r w:rsidRPr="003E2130">
        <w:rPr>
          <w:lang w:val="en-US" w:eastAsia="en-GB"/>
        </w:rPr>
        <w:t>, however, its general comment</w:t>
      </w:r>
      <w:r w:rsidR="00A42FCF">
        <w:rPr>
          <w:lang w:val="en-US" w:eastAsia="en-GB"/>
        </w:rPr>
        <w:t> </w:t>
      </w:r>
      <w:r w:rsidRPr="003E2130">
        <w:rPr>
          <w:lang w:val="en-US" w:eastAsia="en-GB"/>
        </w:rPr>
        <w:t xml:space="preserve">31, according to which </w:t>
      </w:r>
      <w:r w:rsidR="0039424F">
        <w:rPr>
          <w:lang w:val="en-US" w:eastAsia="en-GB"/>
        </w:rPr>
        <w:t>a</w:t>
      </w:r>
      <w:r w:rsidR="00671821">
        <w:rPr>
          <w:lang w:val="en-US" w:eastAsia="en-GB"/>
        </w:rPr>
        <w:t>rticle </w:t>
      </w:r>
      <w:r w:rsidRPr="003E2130">
        <w:rPr>
          <w:lang w:val="en-US" w:eastAsia="en-GB"/>
        </w:rPr>
        <w:t xml:space="preserve">2 allows a State </w:t>
      </w:r>
      <w:r w:rsidR="0039424F">
        <w:rPr>
          <w:lang w:val="en-US" w:eastAsia="en-GB"/>
        </w:rPr>
        <w:t>p</w:t>
      </w:r>
      <w:r w:rsidRPr="003E2130">
        <w:rPr>
          <w:lang w:val="en-US" w:eastAsia="en-GB"/>
        </w:rPr>
        <w:t>arty to give effect to the Covenant rights in accordance with its own domestic constitutional structure</w:t>
      </w:r>
      <w:r w:rsidR="0039424F">
        <w:rPr>
          <w:lang w:val="en-US" w:eastAsia="en-GB"/>
        </w:rPr>
        <w:t>,</w:t>
      </w:r>
      <w:r w:rsidRPr="003E2130">
        <w:rPr>
          <w:lang w:val="en-US" w:eastAsia="en-GB"/>
        </w:rPr>
        <w:t xml:space="preserve"> and that it does not require that the Covenant be directly applicable in the courts, by incorporation of the Covenant into national law. The Committee therefore considers the authors</w:t>
      </w:r>
      <w:r w:rsidR="0039424F" w:rsidRPr="003E2130">
        <w:rPr>
          <w:lang w:val="en-US" w:eastAsia="en-GB"/>
        </w:rPr>
        <w:t>’</w:t>
      </w:r>
      <w:r w:rsidRPr="003E2130">
        <w:rPr>
          <w:lang w:val="en-US" w:eastAsia="en-GB"/>
        </w:rPr>
        <w:t xml:space="preserve"> claims that the State party must afford the Covenant precedence over domestic law to be incompatible with </w:t>
      </w:r>
      <w:r w:rsidR="00671821">
        <w:rPr>
          <w:lang w:val="en-US" w:eastAsia="en-GB"/>
        </w:rPr>
        <w:t>article </w:t>
      </w:r>
      <w:r w:rsidRPr="003E2130">
        <w:rPr>
          <w:lang w:val="en-US" w:eastAsia="en-GB"/>
        </w:rPr>
        <w:t xml:space="preserve">2 of the Covenant and inadmissible under </w:t>
      </w:r>
      <w:r w:rsidR="00671821">
        <w:rPr>
          <w:lang w:val="en-US" w:eastAsia="en-GB"/>
        </w:rPr>
        <w:t>article </w:t>
      </w:r>
      <w:r w:rsidRPr="003E2130">
        <w:rPr>
          <w:lang w:val="en-US" w:eastAsia="en-GB"/>
        </w:rPr>
        <w:t xml:space="preserve">3 of the Optional Protocol. </w:t>
      </w:r>
    </w:p>
    <w:p w:rsidR="00721261" w:rsidRPr="00721261" w:rsidRDefault="00721261" w:rsidP="004325D6">
      <w:pPr>
        <w:pStyle w:val="SingleTxtG"/>
        <w:rPr>
          <w:lang w:val="en-US" w:eastAsia="en-GB"/>
        </w:rPr>
      </w:pPr>
      <w:r w:rsidRPr="00721261">
        <w:rPr>
          <w:lang w:val="en-US" w:eastAsia="en-GB"/>
        </w:rPr>
        <w:t>7.5</w:t>
      </w:r>
      <w:r>
        <w:rPr>
          <w:lang w:val="en-US" w:eastAsia="en-GB"/>
        </w:rPr>
        <w:tab/>
      </w:r>
      <w:r w:rsidRPr="00721261">
        <w:rPr>
          <w:lang w:val="en-US" w:eastAsia="en-GB"/>
        </w:rPr>
        <w:t>The Committee considers that the authors have sufficiently substantiated their claims under articles</w:t>
      </w:r>
      <w:r w:rsidR="00A42FCF">
        <w:rPr>
          <w:lang w:val="en-US" w:eastAsia="en-GB"/>
        </w:rPr>
        <w:t> </w:t>
      </w:r>
      <w:r w:rsidRPr="00721261">
        <w:rPr>
          <w:lang w:val="en-US" w:eastAsia="en-GB"/>
        </w:rPr>
        <w:t>19 and 21</w:t>
      </w:r>
      <w:r w:rsidR="004325D6">
        <w:rPr>
          <w:lang w:val="en-US" w:eastAsia="en-GB"/>
        </w:rPr>
        <w:t>,</w:t>
      </w:r>
      <w:r w:rsidRPr="00721261">
        <w:rPr>
          <w:lang w:val="en-US" w:eastAsia="en-GB"/>
        </w:rPr>
        <w:t xml:space="preserve"> </w:t>
      </w:r>
      <w:r w:rsidR="004325D6">
        <w:rPr>
          <w:lang w:val="en-US" w:eastAsia="en-GB"/>
        </w:rPr>
        <w:t xml:space="preserve">and </w:t>
      </w:r>
      <w:r w:rsidRPr="00721261">
        <w:rPr>
          <w:lang w:val="en-US" w:eastAsia="en-GB"/>
        </w:rPr>
        <w:t xml:space="preserve">under </w:t>
      </w:r>
      <w:r w:rsidR="00671821">
        <w:rPr>
          <w:lang w:val="en-US" w:eastAsia="en-GB"/>
        </w:rPr>
        <w:t>article </w:t>
      </w:r>
      <w:r w:rsidRPr="00721261">
        <w:rPr>
          <w:lang w:val="en-US" w:eastAsia="en-GB"/>
        </w:rPr>
        <w:t>14, para</w:t>
      </w:r>
      <w:r w:rsidR="004325D6">
        <w:rPr>
          <w:lang w:val="en-US" w:eastAsia="en-GB"/>
        </w:rPr>
        <w:t>s</w:t>
      </w:r>
      <w:r w:rsidR="00A42FCF">
        <w:rPr>
          <w:lang w:val="en-US" w:eastAsia="en-GB"/>
        </w:rPr>
        <w:t>. </w:t>
      </w:r>
      <w:r w:rsidRPr="00721261">
        <w:rPr>
          <w:lang w:val="en-US" w:eastAsia="en-GB"/>
        </w:rPr>
        <w:t>3 (a), (b), (d) and (e)</w:t>
      </w:r>
      <w:r w:rsidR="004325D6">
        <w:rPr>
          <w:lang w:val="en-US" w:eastAsia="en-GB"/>
        </w:rPr>
        <w:t>,</w:t>
      </w:r>
      <w:r w:rsidRPr="00721261">
        <w:rPr>
          <w:lang w:val="en-US" w:eastAsia="en-GB"/>
        </w:rPr>
        <w:t xml:space="preserve"> </w:t>
      </w:r>
      <w:r w:rsidR="004325D6">
        <w:rPr>
          <w:lang w:val="en-US" w:eastAsia="en-GB"/>
        </w:rPr>
        <w:t xml:space="preserve">of the Covenant, </w:t>
      </w:r>
      <w:r w:rsidRPr="00721261">
        <w:rPr>
          <w:lang w:val="en-US" w:eastAsia="en-GB"/>
        </w:rPr>
        <w:t>regarding M</w:t>
      </w:r>
      <w:r w:rsidR="004325D6">
        <w:rPr>
          <w:lang w:val="en-US" w:eastAsia="en-GB"/>
        </w:rPr>
        <w:t>ess</w:t>
      </w:r>
      <w:r w:rsidRPr="00721261">
        <w:rPr>
          <w:lang w:val="en-US" w:eastAsia="en-GB"/>
        </w:rPr>
        <w:t>r</w:t>
      </w:r>
      <w:r w:rsidR="004325D6">
        <w:rPr>
          <w:lang w:val="en-US" w:eastAsia="en-GB"/>
        </w:rPr>
        <w:t>s</w:t>
      </w:r>
      <w:r w:rsidR="00A42FCF">
        <w:rPr>
          <w:lang w:val="en-US" w:eastAsia="en-GB"/>
        </w:rPr>
        <w:t>. </w:t>
      </w:r>
      <w:r w:rsidRPr="00721261">
        <w:rPr>
          <w:lang w:val="en-US" w:eastAsia="en-GB"/>
        </w:rPr>
        <w:t>Evrezov and Polyakov</w:t>
      </w:r>
      <w:r w:rsidR="004325D6">
        <w:rPr>
          <w:lang w:val="en-US" w:eastAsia="en-GB"/>
        </w:rPr>
        <w:t>,</w:t>
      </w:r>
      <w:r>
        <w:rPr>
          <w:lang w:val="en-US" w:eastAsia="en-GB"/>
        </w:rPr>
        <w:t xml:space="preserve"> for </w:t>
      </w:r>
      <w:r w:rsidR="004325D6">
        <w:rPr>
          <w:lang w:val="en-US" w:eastAsia="en-GB"/>
        </w:rPr>
        <w:t xml:space="preserve">the </w:t>
      </w:r>
      <w:r>
        <w:rPr>
          <w:lang w:val="en-US" w:eastAsia="en-GB"/>
        </w:rPr>
        <w:t>purposes of admissibility</w:t>
      </w:r>
      <w:r w:rsidR="004325D6">
        <w:rPr>
          <w:lang w:val="en-US" w:eastAsia="en-GB"/>
        </w:rPr>
        <w:t>.</w:t>
      </w:r>
      <w:r>
        <w:rPr>
          <w:lang w:val="en-US" w:eastAsia="en-GB"/>
        </w:rPr>
        <w:t xml:space="preserve"> </w:t>
      </w:r>
      <w:r w:rsidR="004325D6">
        <w:rPr>
          <w:lang w:val="en-US" w:eastAsia="en-GB"/>
        </w:rPr>
        <w:t xml:space="preserve">Accordingly, it </w:t>
      </w:r>
      <w:r>
        <w:rPr>
          <w:lang w:val="en-US" w:eastAsia="en-GB"/>
        </w:rPr>
        <w:t xml:space="preserve">declares them admissible and proceeds to their examination on the merits. </w:t>
      </w:r>
    </w:p>
    <w:p w:rsidR="0044484B" w:rsidRPr="0044484B" w:rsidRDefault="0044484B" w:rsidP="00E13622">
      <w:pPr>
        <w:pStyle w:val="H4G"/>
      </w:pPr>
      <w:r w:rsidRPr="0044484B">
        <w:tab/>
      </w:r>
      <w:r w:rsidRPr="0044484B">
        <w:tab/>
        <w:t xml:space="preserve">Consideration of </w:t>
      </w:r>
      <w:r w:rsidR="004325D6">
        <w:t xml:space="preserve">the </w:t>
      </w:r>
      <w:r w:rsidRPr="0044484B">
        <w:t>merits</w:t>
      </w:r>
    </w:p>
    <w:p w:rsidR="0044484B" w:rsidRPr="0044484B" w:rsidRDefault="0001396A" w:rsidP="0044484B">
      <w:pPr>
        <w:pStyle w:val="SingleTxtG"/>
      </w:pPr>
      <w:r>
        <w:t>8</w:t>
      </w:r>
      <w:r w:rsidR="0044484B" w:rsidRPr="0044484B">
        <w:t>.1</w:t>
      </w:r>
      <w:r w:rsidR="0044484B" w:rsidRPr="0044484B">
        <w:tab/>
        <w:t xml:space="preserve">The Human Rights Committee has considered the present communication in </w:t>
      </w:r>
      <w:r w:rsidR="004325D6">
        <w:t xml:space="preserve">the </w:t>
      </w:r>
      <w:r w:rsidR="0044484B" w:rsidRPr="0044484B">
        <w:t xml:space="preserve">light of all the information made available to it by the parties, as required under </w:t>
      </w:r>
      <w:r w:rsidR="00671821">
        <w:t>article </w:t>
      </w:r>
      <w:r w:rsidR="0044484B" w:rsidRPr="0044484B">
        <w:t xml:space="preserve">5, </w:t>
      </w:r>
      <w:r w:rsidR="00671821">
        <w:t>paragraph </w:t>
      </w:r>
      <w:r w:rsidR="0044484B" w:rsidRPr="0044484B">
        <w:t>1, of the Optional Protocol.</w:t>
      </w:r>
    </w:p>
    <w:p w:rsidR="0044484B" w:rsidRPr="0044484B" w:rsidRDefault="0001396A" w:rsidP="00E13622">
      <w:pPr>
        <w:pStyle w:val="SingleTxtG"/>
      </w:pPr>
      <w:r>
        <w:t>8</w:t>
      </w:r>
      <w:r w:rsidR="0044484B" w:rsidRPr="0044484B">
        <w:t>.2</w:t>
      </w:r>
      <w:r w:rsidR="0044484B" w:rsidRPr="0044484B">
        <w:tab/>
        <w:t xml:space="preserve">The first issue before the Committee is </w:t>
      </w:r>
      <w:r w:rsidR="0023168E">
        <w:t xml:space="preserve">to establish </w:t>
      </w:r>
      <w:r w:rsidR="0044484B" w:rsidRPr="0044484B">
        <w:t xml:space="preserve">whether the </w:t>
      </w:r>
      <w:r w:rsidR="0023168E">
        <w:t xml:space="preserve">prevention of the </w:t>
      </w:r>
      <w:r w:rsidR="0044484B" w:rsidRPr="0044484B">
        <w:t>authors to hold a demonstration to commemorate Belarus</w:t>
      </w:r>
      <w:r w:rsidR="004325D6">
        <w:t>ian</w:t>
      </w:r>
      <w:r w:rsidR="0044484B" w:rsidRPr="0044484B">
        <w:t xml:space="preserve"> opposition figures </w:t>
      </w:r>
      <w:r w:rsidR="0023168E">
        <w:t xml:space="preserve">and their </w:t>
      </w:r>
      <w:r w:rsidR="0044484B" w:rsidRPr="0044484B">
        <w:t xml:space="preserve">subsequent apprehension and </w:t>
      </w:r>
      <w:r w:rsidR="004325D6" w:rsidRPr="0044484B">
        <w:t>sentenc</w:t>
      </w:r>
      <w:r w:rsidR="004325D6">
        <w:t>ing</w:t>
      </w:r>
      <w:r w:rsidR="004325D6" w:rsidRPr="0044484B">
        <w:t xml:space="preserve"> </w:t>
      </w:r>
      <w:r w:rsidR="0044484B" w:rsidRPr="0044484B">
        <w:t xml:space="preserve">to an administrative fine constituted a violation of the authors’ rights </w:t>
      </w:r>
      <w:r w:rsidR="007D08E7">
        <w:t xml:space="preserve">guaranteed </w:t>
      </w:r>
      <w:r w:rsidR="0044484B" w:rsidRPr="0044484B">
        <w:t xml:space="preserve">under </w:t>
      </w:r>
      <w:r w:rsidR="00671821">
        <w:t>article</w:t>
      </w:r>
      <w:r w:rsidR="0023168E">
        <w:t>s</w:t>
      </w:r>
      <w:r w:rsidR="00671821">
        <w:t> </w:t>
      </w:r>
      <w:r w:rsidR="0044484B" w:rsidRPr="0044484B">
        <w:t xml:space="preserve">19 and 21 of the Covenant. </w:t>
      </w:r>
    </w:p>
    <w:p w:rsidR="0044484B" w:rsidRPr="0044484B" w:rsidRDefault="0001396A" w:rsidP="0023168E">
      <w:pPr>
        <w:pStyle w:val="SingleTxtG"/>
        <w:rPr>
          <w:vertAlign w:val="superscript"/>
        </w:rPr>
      </w:pPr>
      <w:r>
        <w:t>8</w:t>
      </w:r>
      <w:r w:rsidR="0044484B" w:rsidRPr="0044484B">
        <w:t>.3</w:t>
      </w:r>
      <w:r w:rsidR="0044484B" w:rsidRPr="0044484B">
        <w:tab/>
        <w:t xml:space="preserve">The Committee recalls that </w:t>
      </w:r>
      <w:r w:rsidR="00671821">
        <w:t>article </w:t>
      </w:r>
      <w:r w:rsidR="0044484B" w:rsidRPr="0044484B">
        <w:t xml:space="preserve">19, </w:t>
      </w:r>
      <w:r w:rsidR="00671821">
        <w:t>paragraph </w:t>
      </w:r>
      <w:r w:rsidR="0044484B" w:rsidRPr="0044484B">
        <w:t xml:space="preserve">2, of the Covenant requires State parties to guarantee the right to freedom of expression, including the freedom to seek, receive and impart information and ideas of all kinds, regardless of frontiers, either orally, in writing or in print. The Committee </w:t>
      </w:r>
      <w:r w:rsidR="0023168E">
        <w:t xml:space="preserve">recalls that </w:t>
      </w:r>
      <w:r w:rsidR="0044484B" w:rsidRPr="0044484B">
        <w:t>freedom of opinion and freedom of expression are indispensable conditions for the full development of the person</w:t>
      </w:r>
      <w:r w:rsidR="0023168E">
        <w:t>;</w:t>
      </w:r>
      <w:r w:rsidR="0044484B" w:rsidRPr="0044484B">
        <w:t xml:space="preserve"> </w:t>
      </w:r>
      <w:r w:rsidR="0023168E">
        <w:t xml:space="preserve">such freedoms </w:t>
      </w:r>
      <w:r w:rsidR="0044484B" w:rsidRPr="0044484B">
        <w:t>are essential for any society and constitute the foundation stone for every free and democratic society.</w:t>
      </w:r>
      <w:r w:rsidR="0044484B" w:rsidRPr="008A408D">
        <w:rPr>
          <w:rStyle w:val="FootnoteReference"/>
        </w:rPr>
        <w:footnoteReference w:id="11"/>
      </w:r>
      <w:r w:rsidR="0044484B" w:rsidRPr="0044484B">
        <w:rPr>
          <w:vertAlign w:val="superscript"/>
        </w:rPr>
        <w:t xml:space="preserve"> </w:t>
      </w:r>
    </w:p>
    <w:p w:rsidR="0044484B" w:rsidRPr="0044484B" w:rsidRDefault="0001396A" w:rsidP="0023168E">
      <w:pPr>
        <w:pStyle w:val="SingleTxtG"/>
      </w:pPr>
      <w:r>
        <w:lastRenderedPageBreak/>
        <w:t>8</w:t>
      </w:r>
      <w:r w:rsidR="0044484B" w:rsidRPr="0044484B">
        <w:t>.4</w:t>
      </w:r>
      <w:r w:rsidR="001C001E">
        <w:tab/>
      </w:r>
      <w:r w:rsidR="0044484B" w:rsidRPr="0044484B">
        <w:t xml:space="preserve">The Committee notes that the right of peaceful assembly, as guaranteed under </w:t>
      </w:r>
      <w:r w:rsidR="00671821">
        <w:t>article </w:t>
      </w:r>
      <w:r w:rsidR="0044484B" w:rsidRPr="0044484B">
        <w:t xml:space="preserve">21 of the Covenant, is a fundamental human right </w:t>
      </w:r>
      <w:r w:rsidR="0023168E">
        <w:t xml:space="preserve">that is </w:t>
      </w:r>
      <w:r w:rsidR="0044484B" w:rsidRPr="0044484B">
        <w:t>essential for public expression of one’s views and opinions and indispensable in a democratic society.</w:t>
      </w:r>
      <w:r w:rsidR="0044484B" w:rsidRPr="008A408D">
        <w:rPr>
          <w:rStyle w:val="FootnoteReference"/>
        </w:rPr>
        <w:footnoteReference w:id="12"/>
      </w:r>
      <w:r w:rsidR="0044484B" w:rsidRPr="0044484B">
        <w:t xml:space="preserve"> </w:t>
      </w:r>
      <w:r w:rsidR="0023168E" w:rsidRPr="0044484B">
        <w:t>Th</w:t>
      </w:r>
      <w:r w:rsidR="0023168E">
        <w:t>at</w:t>
      </w:r>
      <w:r w:rsidR="0023168E" w:rsidRPr="0044484B">
        <w:t xml:space="preserve"> </w:t>
      </w:r>
      <w:r w:rsidR="0044484B" w:rsidRPr="0044484B">
        <w:t>right entails a possibility of organizing and participating in a peaceful assembly and manifestation with the intent to support or disapprove one or another particular cause.</w:t>
      </w:r>
    </w:p>
    <w:p w:rsidR="0044484B" w:rsidRPr="0044484B" w:rsidRDefault="0001396A" w:rsidP="0023168E">
      <w:pPr>
        <w:pStyle w:val="SingleTxtG"/>
      </w:pPr>
      <w:r>
        <w:t>8</w:t>
      </w:r>
      <w:r w:rsidR="0044484B" w:rsidRPr="0044484B">
        <w:t>.5</w:t>
      </w:r>
      <w:r w:rsidR="001C001E">
        <w:tab/>
      </w:r>
      <w:r w:rsidR="0044484B" w:rsidRPr="0044484B">
        <w:t xml:space="preserve">The Committee </w:t>
      </w:r>
      <w:r w:rsidR="0023168E">
        <w:t xml:space="preserve">notes the </w:t>
      </w:r>
      <w:r w:rsidR="0044484B" w:rsidRPr="0044484B">
        <w:t xml:space="preserve">authors’ allegations that they were detained on the way to the place where </w:t>
      </w:r>
      <w:r w:rsidR="0023168E">
        <w:t xml:space="preserve">the </w:t>
      </w:r>
      <w:r w:rsidR="0044484B" w:rsidRPr="0044484B">
        <w:t xml:space="preserve">demonstration was to </w:t>
      </w:r>
      <w:r w:rsidR="0023168E">
        <w:t xml:space="preserve">take place </w:t>
      </w:r>
      <w:r w:rsidR="0044484B" w:rsidRPr="0044484B">
        <w:t xml:space="preserve">and charged </w:t>
      </w:r>
      <w:r w:rsidR="0023168E">
        <w:t xml:space="preserve">with </w:t>
      </w:r>
      <w:r w:rsidR="0044484B" w:rsidRPr="0044484B">
        <w:t xml:space="preserve">committing </w:t>
      </w:r>
      <w:r w:rsidR="0023168E">
        <w:t xml:space="preserve">an </w:t>
      </w:r>
      <w:r w:rsidR="0044484B" w:rsidRPr="0044484B">
        <w:t xml:space="preserve">administrative offence. The Committee also notes that </w:t>
      </w:r>
      <w:r w:rsidR="0023168E">
        <w:t xml:space="preserve">the </w:t>
      </w:r>
      <w:r w:rsidR="0044484B" w:rsidRPr="0044484B">
        <w:t xml:space="preserve">Supreme Court </w:t>
      </w:r>
      <w:r w:rsidR="0023168E" w:rsidRPr="0044484B">
        <w:t>uph</w:t>
      </w:r>
      <w:r w:rsidR="0023168E">
        <w:t xml:space="preserve">eld </w:t>
      </w:r>
      <w:r w:rsidR="0044484B" w:rsidRPr="0044484B">
        <w:t xml:space="preserve">the decisions </w:t>
      </w:r>
      <w:r w:rsidR="0023168E">
        <w:t xml:space="preserve">of the </w:t>
      </w:r>
      <w:r w:rsidR="0023168E" w:rsidRPr="0044484B">
        <w:t xml:space="preserve">lower court </w:t>
      </w:r>
      <w:r w:rsidR="0023168E">
        <w:t xml:space="preserve">that the </w:t>
      </w:r>
      <w:r w:rsidR="0044484B" w:rsidRPr="0044484B">
        <w:t xml:space="preserve">authors </w:t>
      </w:r>
      <w:r w:rsidR="0023168E">
        <w:t xml:space="preserve">were </w:t>
      </w:r>
      <w:r w:rsidR="0044484B" w:rsidRPr="0044484B">
        <w:t>in violation of the Law on Mass Events for walking in a group and holding photo</w:t>
      </w:r>
      <w:r w:rsidR="0023168E">
        <w:t>graph</w:t>
      </w:r>
      <w:r w:rsidR="0044484B" w:rsidRPr="0044484B">
        <w:t>s and posters without obtaining prior permission from the authorities to hold a public event.</w:t>
      </w:r>
    </w:p>
    <w:p w:rsidR="0044484B" w:rsidRPr="0044484B" w:rsidRDefault="0001396A" w:rsidP="00D252AE">
      <w:pPr>
        <w:pStyle w:val="SingleTxtG"/>
      </w:pPr>
      <w:r>
        <w:t>8</w:t>
      </w:r>
      <w:r w:rsidR="0044484B" w:rsidRPr="0044484B">
        <w:t>.6</w:t>
      </w:r>
      <w:r w:rsidR="001C001E">
        <w:tab/>
      </w:r>
      <w:r w:rsidR="0044484B" w:rsidRPr="0044484B">
        <w:t>The Committee observes that any restrictions on the exercise of the r</w:t>
      </w:r>
      <w:r w:rsidR="00A42FCF">
        <w:t>ights guaranteed under articles </w:t>
      </w:r>
      <w:r w:rsidR="0044484B" w:rsidRPr="0044484B">
        <w:t xml:space="preserve">19 and 21 must conform to strict tests of necessity and proportionality </w:t>
      </w:r>
      <w:r w:rsidR="00D42949">
        <w:t xml:space="preserve">and </w:t>
      </w:r>
      <w:r w:rsidR="0044484B" w:rsidRPr="0044484B">
        <w:t>be applied only for those purposes for which they were prescribed and must be directly related to the specific need on which they are predicated.</w:t>
      </w:r>
      <w:r w:rsidR="0044484B" w:rsidRPr="008A408D">
        <w:rPr>
          <w:rStyle w:val="FootnoteReference"/>
        </w:rPr>
        <w:footnoteReference w:id="13"/>
      </w:r>
      <w:r w:rsidR="0044484B" w:rsidRPr="0044484B">
        <w:rPr>
          <w:vertAlign w:val="superscript"/>
        </w:rPr>
        <w:t xml:space="preserve"> </w:t>
      </w:r>
      <w:r w:rsidR="00D42949">
        <w:t>The</w:t>
      </w:r>
      <w:r w:rsidR="00D42949" w:rsidRPr="0044484B">
        <w:t xml:space="preserve"> </w:t>
      </w:r>
      <w:r w:rsidR="00D42949">
        <w:t xml:space="preserve">prevention of the </w:t>
      </w:r>
      <w:r w:rsidR="00D42949" w:rsidRPr="0044484B">
        <w:t>authors to hold a demonstration</w:t>
      </w:r>
      <w:r w:rsidR="00D42949">
        <w:t xml:space="preserve">, their </w:t>
      </w:r>
      <w:r w:rsidR="00D42949" w:rsidRPr="0044484B">
        <w:t>subsequent apprehension and sentenc</w:t>
      </w:r>
      <w:r w:rsidR="00D42949">
        <w:t>ing</w:t>
      </w:r>
      <w:r w:rsidR="00D42949" w:rsidRPr="0044484B">
        <w:t xml:space="preserve"> to an administrative fine </w:t>
      </w:r>
      <w:r w:rsidR="0044484B" w:rsidRPr="0044484B">
        <w:t>merely for walking in a group of individuals holding photo</w:t>
      </w:r>
      <w:r w:rsidR="00D42949">
        <w:t>graph</w:t>
      </w:r>
      <w:r w:rsidR="0044484B" w:rsidRPr="0044484B">
        <w:t>s and posters clearly constitute</w:t>
      </w:r>
      <w:r w:rsidR="00D42949">
        <w:t>s</w:t>
      </w:r>
      <w:r w:rsidR="0044484B" w:rsidRPr="0044484B">
        <w:t xml:space="preserve"> </w:t>
      </w:r>
      <w:r w:rsidR="00D42949">
        <w:t xml:space="preserve">a violation of </w:t>
      </w:r>
      <w:r w:rsidR="0044484B" w:rsidRPr="0044484B">
        <w:t xml:space="preserve">their rights guaranteed </w:t>
      </w:r>
      <w:r w:rsidR="00D42949">
        <w:t xml:space="preserve">under </w:t>
      </w:r>
      <w:r w:rsidR="00671821">
        <w:t>article</w:t>
      </w:r>
      <w:r w:rsidR="00A42FCF">
        <w:t>s</w:t>
      </w:r>
      <w:r w:rsidR="00671821">
        <w:t> </w:t>
      </w:r>
      <w:r w:rsidR="0044484B" w:rsidRPr="0044484B">
        <w:t xml:space="preserve">19 and 21 of the Covenant. </w:t>
      </w:r>
      <w:r w:rsidR="00D252AE">
        <w:t xml:space="preserve">It </w:t>
      </w:r>
      <w:r w:rsidR="0044484B" w:rsidRPr="0044484B">
        <w:t xml:space="preserve">is </w:t>
      </w:r>
      <w:r w:rsidR="00D252AE">
        <w:t xml:space="preserve">therefore </w:t>
      </w:r>
      <w:r w:rsidR="0044484B" w:rsidRPr="0044484B">
        <w:t xml:space="preserve">for the State party to demonstrate that the restrictions imposed were necessary in the case in question. </w:t>
      </w:r>
    </w:p>
    <w:p w:rsidR="0044484B" w:rsidRPr="0044484B" w:rsidRDefault="0001396A" w:rsidP="00DF781A">
      <w:pPr>
        <w:pStyle w:val="SingleTxtG"/>
      </w:pPr>
      <w:r>
        <w:t>8</w:t>
      </w:r>
      <w:r w:rsidR="0044484B" w:rsidRPr="0044484B">
        <w:t>.7</w:t>
      </w:r>
      <w:r w:rsidR="0044484B" w:rsidRPr="0044484B">
        <w:tab/>
        <w:t xml:space="preserve">The Committee recalls that </w:t>
      </w:r>
      <w:r w:rsidR="00671821">
        <w:t>article </w:t>
      </w:r>
      <w:r w:rsidR="0044484B" w:rsidRPr="0044484B">
        <w:t xml:space="preserve">19, </w:t>
      </w:r>
      <w:r w:rsidR="00671821">
        <w:t>paragraph </w:t>
      </w:r>
      <w:r w:rsidR="0044484B" w:rsidRPr="0044484B">
        <w:t>3</w:t>
      </w:r>
      <w:r w:rsidR="00D252AE">
        <w:t>,</w:t>
      </w:r>
      <w:r w:rsidR="0044484B" w:rsidRPr="0044484B">
        <w:t xml:space="preserve"> of the Covenant allows certain restrictions, but only as provided by law and necessary: (a) for respect of the rights or reputation of others; or (b) for the protection of national security or of public order (</w:t>
      </w:r>
      <w:r w:rsidR="0044484B" w:rsidRPr="00DF781A">
        <w:rPr>
          <w:i/>
          <w:iCs/>
        </w:rPr>
        <w:t>ordre public</w:t>
      </w:r>
      <w:r w:rsidR="0044484B" w:rsidRPr="0044484B">
        <w:t xml:space="preserve">), or of public health or morals. The Committee notes that no restrictions may be placed on the right guaranteed under </w:t>
      </w:r>
      <w:r w:rsidR="00671821">
        <w:t>article </w:t>
      </w:r>
      <w:r w:rsidR="0044484B" w:rsidRPr="0044484B">
        <w:t>21 other than those imposed in conformity with the law and which are necessary in a democratic society in the interests of national security or public safety, public order (</w:t>
      </w:r>
      <w:r w:rsidR="0044484B" w:rsidRPr="00DF781A">
        <w:rPr>
          <w:i/>
          <w:iCs/>
        </w:rPr>
        <w:t>ordre public</w:t>
      </w:r>
      <w:r w:rsidR="0044484B" w:rsidRPr="0044484B">
        <w:t xml:space="preserve">), the protection of public health or morals or the protection of the rights and freedoms of others. </w:t>
      </w:r>
    </w:p>
    <w:p w:rsidR="0044484B" w:rsidRPr="0044484B" w:rsidRDefault="0001396A" w:rsidP="00DF781A">
      <w:pPr>
        <w:pStyle w:val="SingleTxtG"/>
      </w:pPr>
      <w:r>
        <w:t>8</w:t>
      </w:r>
      <w:r w:rsidR="0044484B" w:rsidRPr="0044484B">
        <w:t>.8</w:t>
      </w:r>
      <w:r w:rsidR="0044484B" w:rsidRPr="0044484B">
        <w:tab/>
        <w:t>In the circumstances described above</w:t>
      </w:r>
      <w:r w:rsidR="00DF781A">
        <w:t>,</w:t>
      </w:r>
      <w:r w:rsidR="0044484B" w:rsidRPr="0044484B">
        <w:t xml:space="preserve"> and in the absence of any information in </w:t>
      </w:r>
      <w:r w:rsidR="00DF781A">
        <w:t xml:space="preserve">that </w:t>
      </w:r>
      <w:r w:rsidR="0044484B" w:rsidRPr="0044484B">
        <w:t xml:space="preserve">regard from the State party to justify the restriction for </w:t>
      </w:r>
      <w:r w:rsidR="00DF781A">
        <w:t xml:space="preserve">the </w:t>
      </w:r>
      <w:r w:rsidR="0044484B" w:rsidRPr="0044484B">
        <w:t xml:space="preserve">purposes </w:t>
      </w:r>
      <w:r w:rsidR="00DF781A">
        <w:t xml:space="preserve">described in </w:t>
      </w:r>
      <w:r w:rsidR="00671821">
        <w:t>article </w:t>
      </w:r>
      <w:r w:rsidR="0044484B" w:rsidRPr="0044484B">
        <w:t xml:space="preserve">19, </w:t>
      </w:r>
      <w:r w:rsidR="00671821">
        <w:t>paragraph </w:t>
      </w:r>
      <w:r w:rsidR="0044484B" w:rsidRPr="0044484B">
        <w:t xml:space="preserve">3, </w:t>
      </w:r>
      <w:r w:rsidR="00721261">
        <w:t xml:space="preserve">and </w:t>
      </w:r>
      <w:r w:rsidR="00671821">
        <w:t>article </w:t>
      </w:r>
      <w:r w:rsidR="00721261">
        <w:t xml:space="preserve">21, </w:t>
      </w:r>
      <w:r w:rsidR="0044484B" w:rsidRPr="0044484B">
        <w:t xml:space="preserve">the Committee concludes that the authors’ rights under </w:t>
      </w:r>
      <w:r w:rsidR="00671821">
        <w:t>article </w:t>
      </w:r>
      <w:r w:rsidR="0044484B" w:rsidRPr="0044484B">
        <w:t xml:space="preserve">19, </w:t>
      </w:r>
      <w:r w:rsidR="00671821">
        <w:t>paragraph </w:t>
      </w:r>
      <w:r w:rsidR="0044484B" w:rsidRPr="0044484B">
        <w:t>2</w:t>
      </w:r>
      <w:r w:rsidR="00DF781A">
        <w:t>,</w:t>
      </w:r>
      <w:r w:rsidR="0044484B" w:rsidRPr="0044484B">
        <w:t xml:space="preserve"> and </w:t>
      </w:r>
      <w:r w:rsidR="00671821">
        <w:t>article </w:t>
      </w:r>
      <w:r w:rsidR="0044484B" w:rsidRPr="0044484B">
        <w:t xml:space="preserve">21 of the Covenant have been violated. </w:t>
      </w:r>
    </w:p>
    <w:p w:rsidR="0044484B" w:rsidRPr="0044484B" w:rsidRDefault="0001396A" w:rsidP="00A911A5">
      <w:pPr>
        <w:pStyle w:val="SingleTxtG"/>
      </w:pPr>
      <w:r>
        <w:t>8</w:t>
      </w:r>
      <w:r w:rsidR="0044484B" w:rsidRPr="0044484B">
        <w:t>.9</w:t>
      </w:r>
      <w:r w:rsidR="0044484B" w:rsidRPr="0044484B">
        <w:tab/>
        <w:t xml:space="preserve">Regarding the claims made by two of the authors, </w:t>
      </w:r>
      <w:r w:rsidR="00DF781A">
        <w:t xml:space="preserve">namely, </w:t>
      </w:r>
      <w:r w:rsidR="00671821">
        <w:t>M</w:t>
      </w:r>
      <w:r w:rsidR="00DF781A">
        <w:t>ess</w:t>
      </w:r>
      <w:r w:rsidR="00671821">
        <w:t>r</w:t>
      </w:r>
      <w:r w:rsidR="00DF781A">
        <w:t>s</w:t>
      </w:r>
      <w:r w:rsidR="00671821">
        <w:t>. </w:t>
      </w:r>
      <w:r w:rsidR="0044484B" w:rsidRPr="0044484B">
        <w:t xml:space="preserve">Evrezov and Polyakov, under </w:t>
      </w:r>
      <w:r w:rsidR="00671821">
        <w:t>article </w:t>
      </w:r>
      <w:r w:rsidR="00A42FCF">
        <w:t>14, paragraphs </w:t>
      </w:r>
      <w:r w:rsidR="0044484B" w:rsidRPr="0044484B">
        <w:t xml:space="preserve">3 (a), (b), (d) and (e), of the Covenant, the Committee recalls its previous jurisprudence that </w:t>
      </w:r>
      <w:r w:rsidR="00DF781A">
        <w:t xml:space="preserve">those </w:t>
      </w:r>
      <w:r w:rsidR="0044484B" w:rsidRPr="0044484B">
        <w:t>provisions set out guarantees in relation to criminal trials and criminal appeals</w:t>
      </w:r>
      <w:r w:rsidR="00901025">
        <w:t>.</w:t>
      </w:r>
      <w:r w:rsidR="0044484B" w:rsidRPr="008A408D">
        <w:rPr>
          <w:rStyle w:val="FootnoteReference"/>
        </w:rPr>
        <w:footnoteReference w:id="14"/>
      </w:r>
      <w:r w:rsidR="0044484B" w:rsidRPr="0044484B">
        <w:t xml:space="preserve"> The provisions of </w:t>
      </w:r>
      <w:r w:rsidR="00671821">
        <w:t>article </w:t>
      </w:r>
      <w:r w:rsidR="0044484B" w:rsidRPr="0044484B">
        <w:t xml:space="preserve">14, </w:t>
      </w:r>
      <w:r w:rsidR="00671821">
        <w:t>paragraph </w:t>
      </w:r>
      <w:r w:rsidR="0044484B" w:rsidRPr="0044484B">
        <w:t xml:space="preserve">1, however, outline a series of rights which are required in both civil and criminal proceedings. The Committee notes </w:t>
      </w:r>
      <w:r w:rsidR="00DF781A">
        <w:t xml:space="preserve">the claims of </w:t>
      </w:r>
      <w:r w:rsidR="00671821">
        <w:t>M</w:t>
      </w:r>
      <w:r w:rsidR="00DF781A">
        <w:t>ess</w:t>
      </w:r>
      <w:r w:rsidR="00671821">
        <w:t>r</w:t>
      </w:r>
      <w:r w:rsidR="00DF781A">
        <w:t>s</w:t>
      </w:r>
      <w:r w:rsidR="00671821">
        <w:t>. </w:t>
      </w:r>
      <w:r w:rsidR="0044484B" w:rsidRPr="0044484B">
        <w:t xml:space="preserve">Polyakov and Evrezov that they were not informed about the time and date of their respective administrative hearings and were </w:t>
      </w:r>
      <w:r w:rsidR="00DF781A" w:rsidRPr="0044484B">
        <w:t>therefore</w:t>
      </w:r>
      <w:r w:rsidR="0044484B" w:rsidRPr="0044484B">
        <w:t xml:space="preserve"> </w:t>
      </w:r>
      <w:r w:rsidR="00DF781A">
        <w:t>un</w:t>
      </w:r>
      <w:r w:rsidR="0044484B" w:rsidRPr="0044484B">
        <w:t xml:space="preserve">able to defend themselves personally or through a lawyer. The authors also claim that they were not informed of the nature of </w:t>
      </w:r>
      <w:r w:rsidR="00DF781A">
        <w:t xml:space="preserve">the </w:t>
      </w:r>
      <w:r w:rsidR="0044484B" w:rsidRPr="0044484B">
        <w:t xml:space="preserve">charges against them, nor did they have sufficient time to prepare their defence. The Committee also notes </w:t>
      </w:r>
      <w:r w:rsidR="00DF781A">
        <w:t xml:space="preserve">the claims of </w:t>
      </w:r>
      <w:r w:rsidR="00671821">
        <w:t>M</w:t>
      </w:r>
      <w:r w:rsidR="00DF781A">
        <w:t>ess</w:t>
      </w:r>
      <w:r w:rsidR="00671821">
        <w:t>r</w:t>
      </w:r>
      <w:r w:rsidR="00DF781A">
        <w:t>s</w:t>
      </w:r>
      <w:r w:rsidR="00671821">
        <w:t>. </w:t>
      </w:r>
      <w:r w:rsidR="0044484B" w:rsidRPr="0044484B">
        <w:t xml:space="preserve">Evrezov and Polyakov that they were </w:t>
      </w:r>
      <w:r w:rsidR="00DF781A">
        <w:t>un</w:t>
      </w:r>
      <w:r w:rsidR="0044484B" w:rsidRPr="0044484B">
        <w:t xml:space="preserve">able to call any of the 16 witnesses in their </w:t>
      </w:r>
      <w:r w:rsidR="0044484B" w:rsidRPr="0044484B">
        <w:lastRenderedPageBreak/>
        <w:t xml:space="preserve">defence. The Committee recalls that the Covenant gives everyone the right to a fair and public hearing by a competent, independent and impartial tribunal established by law, and that the equality of arms is </w:t>
      </w:r>
      <w:r w:rsidR="00E73A51">
        <w:t xml:space="preserve">an </w:t>
      </w:r>
      <w:r w:rsidR="0044484B" w:rsidRPr="0044484B">
        <w:t>indispensable aspect of the fair trial principle</w:t>
      </w:r>
      <w:r w:rsidR="00A911A5">
        <w:t>.</w:t>
      </w:r>
      <w:r w:rsidR="0044484B" w:rsidRPr="008A408D">
        <w:rPr>
          <w:rStyle w:val="FootnoteReference"/>
        </w:rPr>
        <w:footnoteReference w:id="15"/>
      </w:r>
      <w:r w:rsidR="0044484B" w:rsidRPr="0044484B">
        <w:t xml:space="preserve"> </w:t>
      </w:r>
      <w:r w:rsidR="00E73A51" w:rsidRPr="0044484B">
        <w:t>Th</w:t>
      </w:r>
      <w:r w:rsidR="00E73A51">
        <w:t>at</w:t>
      </w:r>
      <w:r w:rsidR="00E73A51" w:rsidRPr="0044484B">
        <w:t xml:space="preserve"> </w:t>
      </w:r>
      <w:r w:rsidR="0044484B" w:rsidRPr="0044484B">
        <w:t>principle of equality of arms also demands that each side be given the opportunity to contest all the arguments and evidence adduced by the other party</w:t>
      </w:r>
      <w:r w:rsidR="00E73A51">
        <w:t>.</w:t>
      </w:r>
      <w:r w:rsidR="0044484B" w:rsidRPr="008A408D">
        <w:rPr>
          <w:rStyle w:val="FootnoteReference"/>
        </w:rPr>
        <w:footnoteReference w:id="16"/>
      </w:r>
      <w:r w:rsidR="0044484B" w:rsidRPr="0044484B">
        <w:t xml:space="preserve"> The Committee refers to its general comment</w:t>
      </w:r>
      <w:r w:rsidR="001C3C88">
        <w:t xml:space="preserve"> No. </w:t>
      </w:r>
      <w:r w:rsidR="0044484B" w:rsidRPr="0044484B">
        <w:t xml:space="preserve">32, according to which courts must make information regarding the time and venue of the oral hearings available. </w:t>
      </w:r>
      <w:r w:rsidR="00A911A5">
        <w:t xml:space="preserve">Under </w:t>
      </w:r>
      <w:r w:rsidR="00E73A51" w:rsidRPr="0044484B">
        <w:t>th</w:t>
      </w:r>
      <w:r w:rsidR="00E73A51">
        <w:t>o</w:t>
      </w:r>
      <w:r w:rsidR="00E73A51" w:rsidRPr="0044484B">
        <w:t xml:space="preserve">se </w:t>
      </w:r>
      <w:r w:rsidR="0044484B" w:rsidRPr="0044484B">
        <w:t xml:space="preserve">circumstances, and in the absence of any observations from the State party on the </w:t>
      </w:r>
      <w:r w:rsidR="00E73A51">
        <w:t xml:space="preserve">present </w:t>
      </w:r>
      <w:r w:rsidR="0044484B" w:rsidRPr="0044484B">
        <w:t>specific claims, the Committee decides that due weight must be given to the authors</w:t>
      </w:r>
      <w:r w:rsidR="00E73A51" w:rsidRPr="0044484B">
        <w:t>’</w:t>
      </w:r>
      <w:r w:rsidR="0044484B" w:rsidRPr="0044484B">
        <w:t xml:space="preserve"> allegations. Accordingly, the Committee concludes that </w:t>
      </w:r>
      <w:r w:rsidR="00E73A51">
        <w:t xml:space="preserve">the </w:t>
      </w:r>
      <w:r w:rsidR="00E73A51" w:rsidRPr="0044484B">
        <w:t xml:space="preserve">rights </w:t>
      </w:r>
      <w:r w:rsidR="00E73A51">
        <w:t xml:space="preserve">of </w:t>
      </w:r>
      <w:r w:rsidR="00671821">
        <w:t>M</w:t>
      </w:r>
      <w:r w:rsidR="00E73A51">
        <w:t>ess</w:t>
      </w:r>
      <w:r w:rsidR="00671821">
        <w:t>r</w:t>
      </w:r>
      <w:r w:rsidR="00E73A51">
        <w:t>s</w:t>
      </w:r>
      <w:r w:rsidR="00671821">
        <w:t>. </w:t>
      </w:r>
      <w:r w:rsidR="0044484B" w:rsidRPr="0044484B">
        <w:t xml:space="preserve">Evrezov and Polyakov under </w:t>
      </w:r>
      <w:r w:rsidR="00671821">
        <w:t>article </w:t>
      </w:r>
      <w:r w:rsidR="0044484B" w:rsidRPr="0044484B">
        <w:t xml:space="preserve">14, </w:t>
      </w:r>
      <w:r w:rsidR="00671821">
        <w:t>paragraph </w:t>
      </w:r>
      <w:r w:rsidR="0044484B" w:rsidRPr="0044484B">
        <w:t xml:space="preserve">1, of the Covenant have been violated. </w:t>
      </w:r>
    </w:p>
    <w:p w:rsidR="0044484B" w:rsidRPr="0044484B" w:rsidRDefault="0001396A" w:rsidP="00822F34">
      <w:pPr>
        <w:pStyle w:val="SingleTxtG"/>
      </w:pPr>
      <w:r>
        <w:t>9</w:t>
      </w:r>
      <w:r w:rsidR="0044484B" w:rsidRPr="0044484B">
        <w:t>.</w:t>
      </w:r>
      <w:r w:rsidR="0044484B" w:rsidRPr="0044484B">
        <w:tab/>
        <w:t xml:space="preserve">The Human Rights Committee, acting under </w:t>
      </w:r>
      <w:r w:rsidR="00671821">
        <w:t>article </w:t>
      </w:r>
      <w:r w:rsidR="0044484B" w:rsidRPr="0044484B">
        <w:t xml:space="preserve">5, </w:t>
      </w:r>
      <w:r w:rsidR="00671821">
        <w:t>paragraph </w:t>
      </w:r>
      <w:r w:rsidR="0044484B" w:rsidRPr="0044484B">
        <w:t xml:space="preserve">4, of the Optional Protocol to the International Covenant on Civil and Political Rights, is of the view that the </w:t>
      </w:r>
      <w:r w:rsidR="00822F34">
        <w:t xml:space="preserve">State party has violated </w:t>
      </w:r>
      <w:r w:rsidR="00822F34" w:rsidRPr="0044484B">
        <w:t xml:space="preserve">the authors’ </w:t>
      </w:r>
      <w:r w:rsidR="00822F34">
        <w:t xml:space="preserve">rights under </w:t>
      </w:r>
      <w:r w:rsidR="00671821">
        <w:t>article </w:t>
      </w:r>
      <w:r w:rsidR="0044484B" w:rsidRPr="0044484B">
        <w:t xml:space="preserve">19, </w:t>
      </w:r>
      <w:r w:rsidR="00671821">
        <w:t>paragraph </w:t>
      </w:r>
      <w:r w:rsidR="0044484B" w:rsidRPr="0044484B">
        <w:t xml:space="preserve">2, </w:t>
      </w:r>
      <w:r w:rsidR="00671821">
        <w:t>article </w:t>
      </w:r>
      <w:r w:rsidR="0044484B" w:rsidRPr="0044484B">
        <w:t xml:space="preserve">21 and </w:t>
      </w:r>
      <w:r w:rsidR="00671821">
        <w:t>article </w:t>
      </w:r>
      <w:r w:rsidR="0044484B" w:rsidRPr="0044484B">
        <w:t xml:space="preserve">14, </w:t>
      </w:r>
      <w:r w:rsidR="00671821">
        <w:t>paragraph </w:t>
      </w:r>
      <w:r w:rsidR="0044484B" w:rsidRPr="0044484B">
        <w:t>1, of the Covenant.</w:t>
      </w:r>
    </w:p>
    <w:p w:rsidR="0044484B" w:rsidRPr="0044484B" w:rsidRDefault="0001396A" w:rsidP="0044484B">
      <w:pPr>
        <w:pStyle w:val="SingleTxtG"/>
      </w:pPr>
      <w:r>
        <w:t>10</w:t>
      </w:r>
      <w:r w:rsidR="0044484B" w:rsidRPr="0044484B">
        <w:t>.</w:t>
      </w:r>
      <w:r w:rsidR="0044484B" w:rsidRPr="0044484B">
        <w:tab/>
      </w:r>
      <w:r w:rsidR="0044484B" w:rsidRPr="0044484B">
        <w:rPr>
          <w:lang w:val="en-US"/>
        </w:rPr>
        <w:t xml:space="preserve">In accordance with </w:t>
      </w:r>
      <w:r w:rsidR="00671821">
        <w:rPr>
          <w:lang w:val="en-US"/>
        </w:rPr>
        <w:t>article </w:t>
      </w:r>
      <w:r w:rsidR="0044484B" w:rsidRPr="0044484B">
        <w:rPr>
          <w:lang w:val="en-US"/>
        </w:rPr>
        <w:t xml:space="preserve">2, </w:t>
      </w:r>
      <w:r w:rsidR="00671821">
        <w:rPr>
          <w:lang w:val="en-US"/>
        </w:rPr>
        <w:t>paragraph </w:t>
      </w:r>
      <w:r w:rsidR="0044484B" w:rsidRPr="0044484B">
        <w:rPr>
          <w:lang w:val="en-US"/>
        </w:rPr>
        <w:t>3 (a), of the Covenant, the State party is under an obligation to provide the authors with an effective remedy, including reimbursement of any legal costs incurred by them, together with compensation</w:t>
      </w:r>
      <w:r w:rsidR="00721261">
        <w:rPr>
          <w:lang w:val="en-US"/>
        </w:rPr>
        <w:t>, with a view that the rights under articles</w:t>
      </w:r>
      <w:r w:rsidR="00A42FCF">
        <w:rPr>
          <w:lang w:val="en-US"/>
        </w:rPr>
        <w:t> </w:t>
      </w:r>
      <w:r w:rsidR="00721261">
        <w:rPr>
          <w:lang w:val="en-US"/>
        </w:rPr>
        <w:t>19 and 21 can be fully enjoyed by the authors</w:t>
      </w:r>
      <w:r w:rsidR="0044484B" w:rsidRPr="0044484B">
        <w:rPr>
          <w:lang w:val="en-US"/>
        </w:rPr>
        <w:t>.</w:t>
      </w:r>
      <w:r w:rsidR="0044484B" w:rsidRPr="0044484B">
        <w:t xml:space="preserve"> The State party is also under the obligation to take steps to prevent similar violations in the future.</w:t>
      </w:r>
    </w:p>
    <w:p w:rsidR="0044484B" w:rsidRPr="0044484B" w:rsidRDefault="0044484B" w:rsidP="00A93B43">
      <w:pPr>
        <w:pStyle w:val="SingleTxtG"/>
      </w:pPr>
      <w:r w:rsidRPr="0044484B">
        <w:t>1</w:t>
      </w:r>
      <w:r w:rsidR="0001396A">
        <w:t>1</w:t>
      </w:r>
      <w:r w:rsidRPr="0044484B">
        <w:t>.</w:t>
      </w:r>
      <w:r w:rsidRPr="0044484B">
        <w:tab/>
      </w:r>
      <w:r w:rsidR="00A93B43">
        <w:t xml:space="preserve">By </w:t>
      </w:r>
      <w:r w:rsidRPr="0044484B">
        <w:t xml:space="preserve">becoming a party to the Optional Protocol, the State party has recognized the competence of the Committee to determine whether </w:t>
      </w:r>
      <w:r w:rsidR="00A93B43" w:rsidRPr="0044484B">
        <w:t xml:space="preserve">or not </w:t>
      </w:r>
      <w:r w:rsidRPr="0044484B">
        <w:t>there has been a violation of the Covenant</w:t>
      </w:r>
      <w:r w:rsidR="00A93B43">
        <w:t>.</w:t>
      </w:r>
      <w:r w:rsidRPr="0044484B">
        <w:t xml:space="preserve"> </w:t>
      </w:r>
      <w:r w:rsidR="00A93B43">
        <w:t>P</w:t>
      </w:r>
      <w:r w:rsidRPr="0044484B">
        <w:t xml:space="preserve">ursuant to </w:t>
      </w:r>
      <w:r w:rsidR="00671821">
        <w:t>article </w:t>
      </w:r>
      <w:r w:rsidRPr="0044484B">
        <w:t xml:space="preserve">2 of the Covenant, the State party has undertaken to </w:t>
      </w:r>
      <w:r w:rsidR="00A93B43">
        <w:t xml:space="preserve">guarantee </w:t>
      </w:r>
      <w:r w:rsidRPr="0044484B">
        <w:t xml:space="preserve">to all individuals within its territory </w:t>
      </w:r>
      <w:r w:rsidR="00A93B43">
        <w:t xml:space="preserve">and </w:t>
      </w:r>
      <w:r w:rsidRPr="0044484B">
        <w:t>subject to its jurisdiction the rights recognized in the Covenant</w:t>
      </w:r>
      <w:r w:rsidR="00A93B43">
        <w:t>,</w:t>
      </w:r>
      <w:r w:rsidRPr="0044484B">
        <w:t xml:space="preserve"> and to provide an effective and enforceable remedy </w:t>
      </w:r>
      <w:r w:rsidR="00A93B43">
        <w:t>where</w:t>
      </w:r>
      <w:r w:rsidR="00A93B43" w:rsidRPr="008216A5">
        <w:t xml:space="preserve"> it has been determined that a violation has occurred</w:t>
      </w:r>
      <w:r w:rsidR="00A93B43">
        <w:t>. T</w:t>
      </w:r>
      <w:r w:rsidRPr="0044484B">
        <w:t xml:space="preserve">he Committee </w:t>
      </w:r>
      <w:r w:rsidR="00A93B43">
        <w:t xml:space="preserve">therefore requests </w:t>
      </w:r>
      <w:r w:rsidRPr="0044484B">
        <w:t>the State party</w:t>
      </w:r>
      <w:r w:rsidR="00A93B43">
        <w:t xml:space="preserve"> to provide</w:t>
      </w:r>
      <w:r w:rsidRPr="0044484B">
        <w:t xml:space="preserve">, within 180 days, information about the measures taken to give effect to the </w:t>
      </w:r>
      <w:r w:rsidR="00A93B43">
        <w:t>present Views</w:t>
      </w:r>
      <w:r w:rsidRPr="0044484B">
        <w:t>. The State party is also requested to publish the present Views, and to have them widely disseminated in Belarusian and Russian in the State party.</w:t>
      </w:r>
    </w:p>
    <w:p w:rsidR="001C001E" w:rsidRPr="001C001E" w:rsidRDefault="001C001E" w:rsidP="001C001E">
      <w:pPr>
        <w:pStyle w:val="SingleTxtG"/>
        <w:spacing w:before="240" w:after="0"/>
        <w:jc w:val="center"/>
        <w:rPr>
          <w:u w:val="single"/>
        </w:rPr>
      </w:pPr>
      <w:r>
        <w:rPr>
          <w:u w:val="single"/>
        </w:rPr>
        <w:tab/>
      </w:r>
      <w:r>
        <w:rPr>
          <w:u w:val="single"/>
        </w:rPr>
        <w:tab/>
      </w:r>
      <w:r>
        <w:rPr>
          <w:u w:val="single"/>
        </w:rPr>
        <w:tab/>
      </w:r>
    </w:p>
    <w:sectPr w:rsidR="001C001E" w:rsidRPr="001C001E" w:rsidSect="0067182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E5" w:rsidRDefault="008315E5"/>
  </w:endnote>
  <w:endnote w:type="continuationSeparator" w:id="0">
    <w:p w:rsidR="008315E5" w:rsidRDefault="008315E5"/>
  </w:endnote>
  <w:endnote w:type="continuationNotice" w:id="1">
    <w:p w:rsidR="008315E5" w:rsidRDefault="0083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D6" w:rsidRPr="0044484B" w:rsidRDefault="004325D6" w:rsidP="0044484B">
    <w:pPr>
      <w:pStyle w:val="Footer"/>
      <w:tabs>
        <w:tab w:val="right" w:pos="9638"/>
      </w:tabs>
    </w:pPr>
    <w:r w:rsidRPr="0044484B">
      <w:rPr>
        <w:b/>
        <w:sz w:val="18"/>
      </w:rPr>
      <w:fldChar w:fldCharType="begin"/>
    </w:r>
    <w:r w:rsidRPr="0044484B">
      <w:rPr>
        <w:b/>
        <w:sz w:val="18"/>
      </w:rPr>
      <w:instrText xml:space="preserve"> PAGE  \* MERGEFORMAT </w:instrText>
    </w:r>
    <w:r w:rsidRPr="0044484B">
      <w:rPr>
        <w:b/>
        <w:sz w:val="18"/>
      </w:rPr>
      <w:fldChar w:fldCharType="separate"/>
    </w:r>
    <w:r w:rsidR="00B24A7F">
      <w:rPr>
        <w:b/>
        <w:noProof/>
        <w:sz w:val="18"/>
      </w:rPr>
      <w:t>2</w:t>
    </w:r>
    <w:r w:rsidRPr="004448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D6" w:rsidRPr="00EC5DAC" w:rsidRDefault="004325D6" w:rsidP="0044484B">
    <w:pPr>
      <w:pStyle w:val="Footer"/>
      <w:tabs>
        <w:tab w:val="right" w:pos="9638"/>
      </w:tabs>
      <w:rPr>
        <w:b/>
        <w:bCs/>
        <w:sz w:val="18"/>
      </w:rPr>
    </w:pPr>
    <w:r>
      <w:rPr>
        <w:b/>
        <w:sz w:val="18"/>
      </w:rPr>
      <w:tab/>
    </w:r>
    <w:r w:rsidRPr="00EC5DAC">
      <w:rPr>
        <w:b/>
        <w:bCs/>
        <w:sz w:val="18"/>
      </w:rPr>
      <w:fldChar w:fldCharType="begin"/>
    </w:r>
    <w:r w:rsidRPr="00EC5DAC">
      <w:rPr>
        <w:b/>
        <w:bCs/>
        <w:sz w:val="18"/>
      </w:rPr>
      <w:instrText xml:space="preserve"> PAGE  \* MERGEFORMAT </w:instrText>
    </w:r>
    <w:r w:rsidRPr="00EC5DAC">
      <w:rPr>
        <w:b/>
        <w:bCs/>
        <w:sz w:val="18"/>
      </w:rPr>
      <w:fldChar w:fldCharType="separate"/>
    </w:r>
    <w:r w:rsidR="00B24A7F">
      <w:rPr>
        <w:b/>
        <w:bCs/>
        <w:noProof/>
        <w:sz w:val="18"/>
      </w:rPr>
      <w:t>3</w:t>
    </w:r>
    <w:r w:rsidRPr="00EC5DAC">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D6" w:rsidRDefault="008315E5" w:rsidP="0096187B">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4325D6">
      <w:t>GE.14-</w:t>
    </w:r>
    <w:r w:rsidR="00F12C23">
      <w:t>22849</w:t>
    </w:r>
    <w:r w:rsidR="000E6A49">
      <w:t xml:space="preserve">  (E)</w:t>
    </w:r>
    <w:r w:rsidR="0096187B">
      <w:br/>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Pr>
        <w:rFonts w:ascii="C39T30Lfz" w:hAnsi="C39T30Lfz"/>
        <w:sz w:val="56"/>
      </w:rPr>
      <w:t></w:t>
    </w:r>
    <w:r w:rsidR="0096187B" w:rsidRPr="0096187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E5" w:rsidRPr="000B175B" w:rsidRDefault="008315E5" w:rsidP="000B175B">
      <w:pPr>
        <w:tabs>
          <w:tab w:val="right" w:pos="2155"/>
        </w:tabs>
        <w:spacing w:after="80"/>
        <w:ind w:left="680"/>
        <w:rPr>
          <w:u w:val="single"/>
        </w:rPr>
      </w:pPr>
      <w:r>
        <w:rPr>
          <w:u w:val="single"/>
        </w:rPr>
        <w:tab/>
      </w:r>
    </w:p>
  </w:footnote>
  <w:footnote w:type="continuationSeparator" w:id="0">
    <w:p w:rsidR="008315E5" w:rsidRPr="00FC68B7" w:rsidRDefault="008315E5" w:rsidP="00FC68B7">
      <w:pPr>
        <w:tabs>
          <w:tab w:val="left" w:pos="2155"/>
        </w:tabs>
        <w:spacing w:after="80"/>
        <w:ind w:left="680"/>
        <w:rPr>
          <w:u w:val="single"/>
        </w:rPr>
      </w:pPr>
      <w:r>
        <w:rPr>
          <w:u w:val="single"/>
        </w:rPr>
        <w:tab/>
      </w:r>
    </w:p>
  </w:footnote>
  <w:footnote w:type="continuationNotice" w:id="1">
    <w:p w:rsidR="008315E5" w:rsidRDefault="008315E5"/>
  </w:footnote>
  <w:footnote w:id="2">
    <w:p w:rsidR="004325D6" w:rsidRPr="00B56132" w:rsidRDefault="004325D6">
      <w:pPr>
        <w:pStyle w:val="FootnoteText"/>
        <w:rPr>
          <w:lang w:val="fr-CH"/>
        </w:rPr>
      </w:pPr>
      <w:r>
        <w:rPr>
          <w:rStyle w:val="FootnoteReference"/>
        </w:rPr>
        <w:tab/>
      </w:r>
      <w:r w:rsidRPr="00B56132">
        <w:rPr>
          <w:rStyle w:val="FootnoteReference"/>
          <w:sz w:val="20"/>
          <w:vertAlign w:val="baseline"/>
        </w:rPr>
        <w:t>*</w:t>
      </w:r>
      <w:r>
        <w:rPr>
          <w:rStyle w:val="FootnoteReference"/>
          <w:sz w:val="20"/>
          <w:vertAlign w:val="baseline"/>
        </w:rPr>
        <w:tab/>
      </w:r>
      <w:r w:rsidRPr="00B56132">
        <w:t>The following members of the Committee participated in the examination of the present communication: Yadh Ben Achour, Lazhari Bouzid, Christine Chanet, Cornelis Flinterman, Yuji</w:t>
      </w:r>
      <w:r>
        <w:t> </w:t>
      </w:r>
      <w:r w:rsidRPr="00B56132">
        <w:t xml:space="preserve">Iwasawa, Walter Kaelin, Zonke Zanele Majodina, Gerald L. Neuman, </w:t>
      </w:r>
      <w:r>
        <w:t xml:space="preserve">Sir </w:t>
      </w:r>
      <w:r w:rsidRPr="00B56132">
        <w:t>Nigel Rodley, Victor</w:t>
      </w:r>
      <w:r>
        <w:t> </w:t>
      </w:r>
      <w:r w:rsidRPr="00B56132">
        <w:t>Manuel Rodríguez-Rescia, Fabian Omar Salvioli, Dheerujlall B. Seetulsingh, Yuval Shany, Konstantine Vardzelashvili, Margo Waterval and Andrei Paul Zlatescu.</w:t>
      </w:r>
    </w:p>
  </w:footnote>
  <w:footnote w:id="3">
    <w:p w:rsidR="004325D6" w:rsidRPr="00160860" w:rsidRDefault="004325D6" w:rsidP="00EB038D">
      <w:pPr>
        <w:pStyle w:val="FootnoteText"/>
      </w:pPr>
      <w:r w:rsidRPr="00160860">
        <w:tab/>
      </w:r>
      <w:r w:rsidRPr="00680B8C">
        <w:rPr>
          <w:rStyle w:val="FootnoteReference"/>
        </w:rPr>
        <w:footnoteRef/>
      </w:r>
      <w:r w:rsidRPr="00160860">
        <w:tab/>
        <w:t xml:space="preserve">Communication </w:t>
      </w:r>
      <w:r>
        <w:t>No. </w:t>
      </w:r>
      <w:r w:rsidRPr="00160860">
        <w:t xml:space="preserve">628/1995, </w:t>
      </w:r>
      <w:r w:rsidRPr="00033EA1">
        <w:rPr>
          <w:i/>
          <w:iCs/>
        </w:rPr>
        <w:t>Tae Hoon Park</w:t>
      </w:r>
      <w:r w:rsidRPr="00160860">
        <w:t xml:space="preserve"> v. </w:t>
      </w:r>
      <w:r w:rsidRPr="00033EA1">
        <w:rPr>
          <w:i/>
          <w:iCs/>
        </w:rPr>
        <w:t>Republic of Korea</w:t>
      </w:r>
      <w:r w:rsidRPr="00160860">
        <w:t xml:space="preserve">, Views adopted on 20 October 1998, </w:t>
      </w:r>
      <w:r>
        <w:t>para. </w:t>
      </w:r>
      <w:r w:rsidRPr="00160860">
        <w:t>10.4.</w:t>
      </w:r>
    </w:p>
  </w:footnote>
  <w:footnote w:id="4">
    <w:p w:rsidR="004325D6" w:rsidRDefault="004325D6" w:rsidP="002C132F">
      <w:pPr>
        <w:pStyle w:val="FootnoteText"/>
      </w:pPr>
      <w:r>
        <w:tab/>
      </w:r>
      <w:r w:rsidRPr="008A408D">
        <w:rPr>
          <w:rStyle w:val="FootnoteReference"/>
        </w:rPr>
        <w:footnoteRef/>
      </w:r>
      <w:r>
        <w:tab/>
        <w:t>Decision No. 299 dated 2 April 2008 of the Gomel Executive Committee, on public gatherings in Gomel, Belarus, which determines that public gatherings can only be conducted in one location on the outskirts of the town.</w:t>
      </w:r>
    </w:p>
  </w:footnote>
  <w:footnote w:id="5">
    <w:p w:rsidR="004325D6" w:rsidRDefault="004325D6" w:rsidP="00E13622">
      <w:pPr>
        <w:pStyle w:val="FootnoteText"/>
      </w:pPr>
      <w:r>
        <w:tab/>
      </w:r>
      <w:r w:rsidRPr="008A408D">
        <w:rPr>
          <w:rStyle w:val="FootnoteReference"/>
        </w:rPr>
        <w:footnoteRef/>
      </w:r>
      <w:r>
        <w:tab/>
      </w:r>
      <w:r w:rsidR="00E13622">
        <w:t>The o</w:t>
      </w:r>
      <w:r>
        <w:t xml:space="preserve">ther authors have not commented on the State party’s position. </w:t>
      </w:r>
    </w:p>
  </w:footnote>
  <w:footnote w:id="6">
    <w:p w:rsidR="004325D6" w:rsidRDefault="004325D6" w:rsidP="004D766C">
      <w:pPr>
        <w:pStyle w:val="FootnoteText"/>
      </w:pPr>
      <w:r>
        <w:tab/>
      </w:r>
      <w:r w:rsidRPr="008A408D">
        <w:rPr>
          <w:rStyle w:val="FootnoteReference"/>
        </w:rPr>
        <w:footnoteRef/>
      </w:r>
      <w:r>
        <w:tab/>
        <w:t xml:space="preserve">See communication No. 1812/2008, </w:t>
      </w:r>
      <w:r>
        <w:rPr>
          <w:i/>
        </w:rPr>
        <w:t>Levinov</w:t>
      </w:r>
      <w:r>
        <w:t xml:space="preserve"> </w:t>
      </w:r>
      <w:r w:rsidRPr="00B56132">
        <w:t>v.</w:t>
      </w:r>
      <w:r>
        <w:rPr>
          <w:i/>
        </w:rPr>
        <w:t xml:space="preserve"> Belarus</w:t>
      </w:r>
      <w:r>
        <w:t xml:space="preserve">, Views adopted on 26 July 2011. </w:t>
      </w:r>
    </w:p>
  </w:footnote>
  <w:footnote w:id="7">
    <w:p w:rsidR="004325D6" w:rsidRDefault="004325D6" w:rsidP="00D32993">
      <w:pPr>
        <w:pStyle w:val="FootnoteText"/>
      </w:pPr>
      <w:r>
        <w:tab/>
      </w:r>
      <w:r w:rsidRPr="008A408D">
        <w:rPr>
          <w:rStyle w:val="FootnoteReference"/>
        </w:rPr>
        <w:footnoteRef/>
      </w:r>
      <w:r>
        <w:tab/>
        <w:t xml:space="preserve">Despite two reminders, dated 30 September 2011 and 25 October 2011, the State party failed to submit its observations on merits of the communication. </w:t>
      </w:r>
    </w:p>
  </w:footnote>
  <w:footnote w:id="8">
    <w:p w:rsidR="004325D6" w:rsidRPr="007B3302" w:rsidRDefault="004325D6" w:rsidP="00C77B40">
      <w:pPr>
        <w:pStyle w:val="FootnoteText"/>
      </w:pPr>
      <w:r w:rsidRPr="007B3302">
        <w:tab/>
      </w:r>
      <w:r w:rsidRPr="008A408D">
        <w:rPr>
          <w:rStyle w:val="FootnoteReference"/>
        </w:rPr>
        <w:footnoteRef/>
      </w:r>
      <w:r w:rsidRPr="007B3302">
        <w:tab/>
        <w:t xml:space="preserve">See, </w:t>
      </w:r>
      <w:r>
        <w:t>for example</w:t>
      </w:r>
      <w:r w:rsidRPr="007B3302">
        <w:t>, communication</w:t>
      </w:r>
      <w:r>
        <w:t xml:space="preserve"> No. </w:t>
      </w:r>
      <w:r w:rsidRPr="007B3302">
        <w:t xml:space="preserve">869/1999, </w:t>
      </w:r>
      <w:r w:rsidRPr="003A04F8">
        <w:rPr>
          <w:i/>
        </w:rPr>
        <w:t xml:space="preserve">Piandiong et al. </w:t>
      </w:r>
      <w:r w:rsidRPr="008830BD">
        <w:rPr>
          <w:iCs/>
        </w:rPr>
        <w:t>v.</w:t>
      </w:r>
      <w:r w:rsidRPr="003A04F8">
        <w:rPr>
          <w:i/>
        </w:rPr>
        <w:t xml:space="preserve"> the Philippines</w:t>
      </w:r>
      <w:r w:rsidRPr="007B3302">
        <w:t xml:space="preserve">, Views adopted on 19 October 2000, </w:t>
      </w:r>
      <w:r>
        <w:t>para. </w:t>
      </w:r>
      <w:r w:rsidRPr="007B3302">
        <w:t xml:space="preserve">5.1. </w:t>
      </w:r>
    </w:p>
  </w:footnote>
  <w:footnote w:id="9">
    <w:p w:rsidR="004325D6" w:rsidRPr="007B3302" w:rsidRDefault="004325D6" w:rsidP="008830BD">
      <w:pPr>
        <w:pStyle w:val="FootnoteText"/>
      </w:pPr>
      <w:r w:rsidRPr="007B3302">
        <w:tab/>
      </w:r>
      <w:r w:rsidRPr="008A408D">
        <w:rPr>
          <w:rStyle w:val="FootnoteReference"/>
        </w:rPr>
        <w:footnoteRef/>
      </w:r>
      <w:r w:rsidRPr="007B3302">
        <w:tab/>
        <w:t>See</w:t>
      </w:r>
      <w:r>
        <w:t>, for example,</w:t>
      </w:r>
      <w:r w:rsidRPr="007B3302">
        <w:t xml:space="preserve"> communication</w:t>
      </w:r>
      <w:r>
        <w:t>s No. </w:t>
      </w:r>
      <w:r w:rsidRPr="007B3302">
        <w:t xml:space="preserve">1226/2003, </w:t>
      </w:r>
      <w:r w:rsidRPr="003A04F8">
        <w:rPr>
          <w:i/>
        </w:rPr>
        <w:t xml:space="preserve">Korneenko </w:t>
      </w:r>
      <w:r w:rsidRPr="008830BD">
        <w:rPr>
          <w:iCs/>
        </w:rPr>
        <w:t>v.</w:t>
      </w:r>
      <w:r w:rsidRPr="003A04F8">
        <w:rPr>
          <w:i/>
        </w:rPr>
        <w:t xml:space="preserve"> Belarus</w:t>
      </w:r>
      <w:r w:rsidRPr="007B3302">
        <w:t xml:space="preserve">, Views adopted on 20 July 2012, </w:t>
      </w:r>
      <w:r>
        <w:t>para. </w:t>
      </w:r>
      <w:r w:rsidRPr="007B3302">
        <w:t xml:space="preserve">8.2.; </w:t>
      </w:r>
      <w:r>
        <w:t>and No. </w:t>
      </w:r>
      <w:r w:rsidRPr="007B3302">
        <w:t xml:space="preserve">1948/2010, </w:t>
      </w:r>
      <w:r w:rsidRPr="00442B39">
        <w:rPr>
          <w:i/>
        </w:rPr>
        <w:t xml:space="preserve">Turchenyak et al </w:t>
      </w:r>
      <w:r w:rsidRPr="008830BD">
        <w:rPr>
          <w:iCs/>
        </w:rPr>
        <w:t>v.</w:t>
      </w:r>
      <w:r w:rsidRPr="00442B39">
        <w:rPr>
          <w:i/>
        </w:rPr>
        <w:t xml:space="preserve"> Belarus</w:t>
      </w:r>
      <w:r w:rsidRPr="007B3302">
        <w:t>, Views adopted on 24</w:t>
      </w:r>
      <w:r>
        <w:t> </w:t>
      </w:r>
      <w:r w:rsidRPr="007B3302">
        <w:t xml:space="preserve">July 2013, </w:t>
      </w:r>
      <w:r>
        <w:t>para. </w:t>
      </w:r>
      <w:r w:rsidRPr="007B3302">
        <w:t>5.2.</w:t>
      </w:r>
    </w:p>
  </w:footnote>
  <w:footnote w:id="10">
    <w:p w:rsidR="004325D6" w:rsidRDefault="004325D6" w:rsidP="00B20D4E">
      <w:pPr>
        <w:pStyle w:val="FootnoteText"/>
        <w:rPr>
          <w:szCs w:val="18"/>
        </w:rPr>
      </w:pPr>
      <w:r>
        <w:rPr>
          <w:szCs w:val="18"/>
        </w:rPr>
        <w:tab/>
      </w:r>
      <w:r w:rsidRPr="008A408D">
        <w:rPr>
          <w:rStyle w:val="FootnoteReference"/>
        </w:rPr>
        <w:footnoteRef/>
      </w:r>
      <w:r>
        <w:rPr>
          <w:szCs w:val="18"/>
        </w:rPr>
        <w:tab/>
        <w:t xml:space="preserve">See communication No. 1873/2009, </w:t>
      </w:r>
      <w:r>
        <w:rPr>
          <w:i/>
          <w:szCs w:val="18"/>
        </w:rPr>
        <w:t xml:space="preserve">Alekseev </w:t>
      </w:r>
      <w:r w:rsidRPr="00B20D4E">
        <w:rPr>
          <w:iCs/>
          <w:szCs w:val="18"/>
        </w:rPr>
        <w:t>v.</w:t>
      </w:r>
      <w:r>
        <w:rPr>
          <w:i/>
          <w:szCs w:val="18"/>
        </w:rPr>
        <w:t xml:space="preserve"> the Russian Federation</w:t>
      </w:r>
      <w:r>
        <w:rPr>
          <w:szCs w:val="18"/>
        </w:rPr>
        <w:t xml:space="preserve">, Views adopted on 25 October 2013, para. 8.4. </w:t>
      </w:r>
    </w:p>
  </w:footnote>
  <w:footnote w:id="11">
    <w:p w:rsidR="004325D6" w:rsidRPr="007B3302" w:rsidRDefault="004325D6" w:rsidP="0023168E">
      <w:pPr>
        <w:pStyle w:val="FootnoteText"/>
      </w:pPr>
      <w:r w:rsidRPr="007B3302">
        <w:tab/>
      </w:r>
      <w:r w:rsidRPr="008A408D">
        <w:rPr>
          <w:rStyle w:val="FootnoteReference"/>
        </w:rPr>
        <w:footnoteRef/>
      </w:r>
      <w:r w:rsidRPr="007B3302">
        <w:tab/>
        <w:t>See the Committee’s general comment</w:t>
      </w:r>
      <w:r>
        <w:t xml:space="preserve"> No. </w:t>
      </w:r>
      <w:r w:rsidRPr="007B3302">
        <w:t xml:space="preserve">34 (2011) on freedoms of opinion and expression, </w:t>
      </w:r>
      <w:r>
        <w:t>para. </w:t>
      </w:r>
      <w:r w:rsidRPr="007B3302">
        <w:t>2</w:t>
      </w:r>
      <w:r w:rsidR="0023168E">
        <w:t xml:space="preserve">. </w:t>
      </w:r>
    </w:p>
  </w:footnote>
  <w:footnote w:id="12">
    <w:p w:rsidR="004325D6" w:rsidRPr="000C5E74" w:rsidRDefault="004325D6" w:rsidP="0023168E">
      <w:pPr>
        <w:pStyle w:val="FootnoteText"/>
        <w:rPr>
          <w:lang w:val="en-US"/>
        </w:rPr>
      </w:pPr>
      <w:r>
        <w:tab/>
      </w:r>
      <w:r w:rsidRPr="008A408D">
        <w:rPr>
          <w:rStyle w:val="FootnoteReference"/>
        </w:rPr>
        <w:footnoteRef/>
      </w:r>
      <w:r>
        <w:tab/>
      </w:r>
      <w:r w:rsidR="0023168E">
        <w:t xml:space="preserve">See communication No. 1948/2010, </w:t>
      </w:r>
      <w:r w:rsidR="0023168E" w:rsidRPr="000D055A">
        <w:rPr>
          <w:i/>
          <w:iCs/>
        </w:rPr>
        <w:t xml:space="preserve">Turchenyak et al. </w:t>
      </w:r>
      <w:r w:rsidR="0023168E" w:rsidRPr="00B8446D">
        <w:t>v</w:t>
      </w:r>
      <w:r w:rsidR="0023168E">
        <w:t>.</w:t>
      </w:r>
      <w:r w:rsidR="0023168E" w:rsidRPr="00B8446D">
        <w:t xml:space="preserve"> </w:t>
      </w:r>
      <w:r w:rsidR="0023168E" w:rsidRPr="000D055A">
        <w:rPr>
          <w:i/>
          <w:iCs/>
        </w:rPr>
        <w:t>Belarus</w:t>
      </w:r>
      <w:r w:rsidR="0023168E">
        <w:t>, Views adopted on 24 July 2013</w:t>
      </w:r>
      <w:r>
        <w:t>.</w:t>
      </w:r>
    </w:p>
  </w:footnote>
  <w:footnote w:id="13">
    <w:p w:rsidR="004325D6" w:rsidRPr="007B3302" w:rsidRDefault="004325D6" w:rsidP="00C77B40">
      <w:pPr>
        <w:pStyle w:val="FootnoteText"/>
      </w:pPr>
      <w:r w:rsidRPr="007B3302">
        <w:tab/>
      </w:r>
      <w:r w:rsidRPr="008A408D">
        <w:rPr>
          <w:rStyle w:val="FootnoteReference"/>
        </w:rPr>
        <w:footnoteRef/>
      </w:r>
      <w:r w:rsidRPr="007B3302">
        <w:tab/>
      </w:r>
      <w:r w:rsidR="00D42949" w:rsidRPr="007B3302">
        <w:t xml:space="preserve">See the </w:t>
      </w:r>
      <w:r w:rsidRPr="007B3302">
        <w:t>Committee’s general comment</w:t>
      </w:r>
      <w:r>
        <w:t xml:space="preserve"> No. </w:t>
      </w:r>
      <w:r w:rsidRPr="007B3302">
        <w:t xml:space="preserve">34 (2011) on freedoms of opinion and expression, </w:t>
      </w:r>
      <w:r>
        <w:t>para. 22. See </w:t>
      </w:r>
      <w:r w:rsidRPr="007B3302">
        <w:t>also, for example, communication</w:t>
      </w:r>
      <w:r>
        <w:t xml:space="preserve"> No. </w:t>
      </w:r>
      <w:r w:rsidRPr="007B3302">
        <w:t xml:space="preserve">1948/2010, </w:t>
      </w:r>
      <w:r w:rsidRPr="00B918B0">
        <w:rPr>
          <w:i/>
        </w:rPr>
        <w:t xml:space="preserve">Turchenyak et al. </w:t>
      </w:r>
      <w:r w:rsidRPr="00D42949">
        <w:rPr>
          <w:iCs/>
        </w:rPr>
        <w:t xml:space="preserve">v. </w:t>
      </w:r>
      <w:r w:rsidRPr="00B918B0">
        <w:rPr>
          <w:i/>
        </w:rPr>
        <w:t>Belarus</w:t>
      </w:r>
      <w:r>
        <w:t>, Views adopted on 24 </w:t>
      </w:r>
      <w:r w:rsidRPr="007B3302">
        <w:t xml:space="preserve">July 2013, </w:t>
      </w:r>
      <w:r>
        <w:t>para. </w:t>
      </w:r>
      <w:r w:rsidRPr="007B3302">
        <w:t>7.7.</w:t>
      </w:r>
    </w:p>
  </w:footnote>
  <w:footnote w:id="14">
    <w:p w:rsidR="004325D6" w:rsidRDefault="004325D6" w:rsidP="00DF781A">
      <w:pPr>
        <w:pStyle w:val="FootnoteText"/>
      </w:pPr>
      <w:r>
        <w:tab/>
      </w:r>
      <w:r w:rsidRPr="008A408D">
        <w:rPr>
          <w:rStyle w:val="FootnoteReference"/>
        </w:rPr>
        <w:footnoteRef/>
      </w:r>
      <w:r>
        <w:tab/>
        <w:t xml:space="preserve">See, for example, communication No. 1001/2001, </w:t>
      </w:r>
      <w:r w:rsidRPr="00B8410B">
        <w:rPr>
          <w:i/>
        </w:rPr>
        <w:t xml:space="preserve">Gerardus </w:t>
      </w:r>
      <w:r w:rsidRPr="00DF781A">
        <w:rPr>
          <w:iCs/>
        </w:rPr>
        <w:t>v.</w:t>
      </w:r>
      <w:r w:rsidRPr="00B8410B">
        <w:rPr>
          <w:i/>
        </w:rPr>
        <w:t xml:space="preserve"> Sri Lanka</w:t>
      </w:r>
      <w:r>
        <w:t xml:space="preserve">, decision adopted on </w:t>
      </w:r>
      <w:r w:rsidRPr="00351807">
        <w:rPr>
          <w:szCs w:val="18"/>
        </w:rPr>
        <w:t>1 November 2002</w:t>
      </w:r>
      <w:r>
        <w:t xml:space="preserve">, para. 7.3. </w:t>
      </w:r>
    </w:p>
  </w:footnote>
  <w:footnote w:id="15">
    <w:p w:rsidR="004325D6" w:rsidRDefault="004325D6" w:rsidP="00E73A51">
      <w:pPr>
        <w:pStyle w:val="FootnoteText"/>
      </w:pPr>
      <w:r>
        <w:tab/>
      </w:r>
      <w:r w:rsidRPr="008A408D">
        <w:rPr>
          <w:rStyle w:val="FootnoteReference"/>
        </w:rPr>
        <w:footnoteRef/>
      </w:r>
      <w:r>
        <w:tab/>
        <w:t>See, for example, communication No. 307/1988</w:t>
      </w:r>
      <w:r w:rsidRPr="00B918B0">
        <w:rPr>
          <w:i/>
        </w:rPr>
        <w:t>, Campbell</w:t>
      </w:r>
      <w:r>
        <w:rPr>
          <w:i/>
        </w:rPr>
        <w:t xml:space="preserve"> </w:t>
      </w:r>
      <w:r w:rsidRPr="00E73A51">
        <w:rPr>
          <w:iCs/>
        </w:rPr>
        <w:t>v.</w:t>
      </w:r>
      <w:r>
        <w:rPr>
          <w:i/>
        </w:rPr>
        <w:t xml:space="preserve"> </w:t>
      </w:r>
      <w:r w:rsidRPr="00B918B0">
        <w:rPr>
          <w:i/>
        </w:rPr>
        <w:t>Jamaica</w:t>
      </w:r>
      <w:r>
        <w:t xml:space="preserve">, Views adopted on 24 March 1993, para. 6.4. </w:t>
      </w:r>
    </w:p>
  </w:footnote>
  <w:footnote w:id="16">
    <w:p w:rsidR="004325D6" w:rsidRPr="00B8410B" w:rsidRDefault="004325D6" w:rsidP="00E13622">
      <w:pPr>
        <w:pStyle w:val="FootnoteText"/>
        <w:rPr>
          <w:szCs w:val="18"/>
        </w:rPr>
      </w:pPr>
      <w:r>
        <w:tab/>
      </w:r>
      <w:r w:rsidRPr="008A408D">
        <w:rPr>
          <w:rStyle w:val="FootnoteReference"/>
        </w:rPr>
        <w:footnoteRef/>
      </w:r>
      <w:r>
        <w:tab/>
      </w:r>
      <w:r>
        <w:rPr>
          <w:szCs w:val="18"/>
        </w:rPr>
        <w:t xml:space="preserve">See </w:t>
      </w:r>
      <w:r w:rsidR="00E73A51">
        <w:rPr>
          <w:szCs w:val="18"/>
        </w:rPr>
        <w:t>g</w:t>
      </w:r>
      <w:r>
        <w:rPr>
          <w:szCs w:val="18"/>
        </w:rPr>
        <w:t xml:space="preserve">eneral </w:t>
      </w:r>
      <w:r w:rsidR="00E73A51">
        <w:rPr>
          <w:szCs w:val="18"/>
        </w:rPr>
        <w:t>c</w:t>
      </w:r>
      <w:r>
        <w:rPr>
          <w:szCs w:val="18"/>
        </w:rPr>
        <w:t>omment No. </w:t>
      </w:r>
      <w:r w:rsidRPr="00B8410B">
        <w:rPr>
          <w:szCs w:val="18"/>
        </w:rPr>
        <w:t>32</w:t>
      </w:r>
      <w:r w:rsidR="00E73A51">
        <w:rPr>
          <w:szCs w:val="18"/>
        </w:rPr>
        <w:t xml:space="preserve"> </w:t>
      </w:r>
      <w:r w:rsidR="00E351B3">
        <w:rPr>
          <w:snapToGrid w:val="0"/>
          <w:szCs w:val="24"/>
        </w:rPr>
        <w:t>(2007) on the r</w:t>
      </w:r>
      <w:r w:rsidR="00E351B3" w:rsidRPr="0055162C">
        <w:rPr>
          <w:snapToGrid w:val="0"/>
          <w:szCs w:val="24"/>
        </w:rPr>
        <w:t>ight to equality before courts and tribunals and to a fair trial</w:t>
      </w:r>
      <w:r w:rsidRPr="00B8410B">
        <w:rPr>
          <w:szCs w:val="18"/>
        </w:rPr>
        <w:t xml:space="preserve">, </w:t>
      </w:r>
      <w:r>
        <w:rPr>
          <w:szCs w:val="18"/>
        </w:rPr>
        <w:t>para. </w:t>
      </w:r>
      <w:r w:rsidRPr="00B8410B">
        <w:rPr>
          <w:szCs w:val="18"/>
        </w:rPr>
        <w:t>13</w:t>
      </w:r>
      <w:r w:rsidR="00E73A51">
        <w:rPr>
          <w:szCs w:val="18"/>
        </w:rPr>
        <w:t>.</w:t>
      </w:r>
      <w:r w:rsidRPr="00B8410B">
        <w:rPr>
          <w:szCs w:val="18"/>
        </w:rPr>
        <w:t xml:space="preserve"> </w:t>
      </w:r>
      <w:r w:rsidR="00E73A51">
        <w:rPr>
          <w:szCs w:val="18"/>
        </w:rPr>
        <w:t xml:space="preserve">See also </w:t>
      </w:r>
      <w:r>
        <w:rPr>
          <w:szCs w:val="18"/>
        </w:rPr>
        <w:t>c</w:t>
      </w:r>
      <w:r w:rsidRPr="00B8410B">
        <w:rPr>
          <w:szCs w:val="18"/>
        </w:rPr>
        <w:t>ommunication</w:t>
      </w:r>
      <w:r>
        <w:rPr>
          <w:szCs w:val="18"/>
        </w:rPr>
        <w:t xml:space="preserve"> No. </w:t>
      </w:r>
      <w:r w:rsidRPr="00B8410B">
        <w:rPr>
          <w:szCs w:val="18"/>
        </w:rPr>
        <w:t xml:space="preserve">846/1999, </w:t>
      </w:r>
      <w:r w:rsidR="00E73A51">
        <w:rPr>
          <w:i/>
          <w:iCs/>
          <w:szCs w:val="18"/>
        </w:rPr>
        <w:t>Jansen-</w:t>
      </w:r>
      <w:r w:rsidRPr="00B8410B">
        <w:rPr>
          <w:i/>
          <w:iCs/>
          <w:szCs w:val="18"/>
        </w:rPr>
        <w:t xml:space="preserve">Gielen v. </w:t>
      </w:r>
      <w:r w:rsidR="00E13622">
        <w:rPr>
          <w:i/>
          <w:iCs/>
          <w:szCs w:val="18"/>
        </w:rPr>
        <w:t>t</w:t>
      </w:r>
      <w:r w:rsidRPr="00B8410B">
        <w:rPr>
          <w:i/>
          <w:iCs/>
          <w:szCs w:val="18"/>
        </w:rPr>
        <w:t>he Netherlands</w:t>
      </w:r>
      <w:r w:rsidRPr="00B8410B">
        <w:rPr>
          <w:szCs w:val="18"/>
        </w:rPr>
        <w:t xml:space="preserve">, Views adopted on 3 April 2001, </w:t>
      </w:r>
      <w:r>
        <w:rPr>
          <w:szCs w:val="18"/>
        </w:rPr>
        <w:t>para.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D6" w:rsidRPr="0044484B" w:rsidRDefault="004325D6" w:rsidP="0044484B">
    <w:pPr>
      <w:pStyle w:val="Header"/>
    </w:pPr>
    <w:r>
      <w:t>CCPR/C/112/D/1999/2010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D6" w:rsidRPr="0044484B" w:rsidRDefault="004325D6" w:rsidP="0044484B">
    <w:pPr>
      <w:pStyle w:val="Header"/>
      <w:jc w:val="right"/>
    </w:pPr>
    <w:r>
      <w:t>CCPR/C/112/D/1999/2010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84B"/>
    <w:rsid w:val="0001396A"/>
    <w:rsid w:val="00020A56"/>
    <w:rsid w:val="000272B3"/>
    <w:rsid w:val="00050F6B"/>
    <w:rsid w:val="00057E97"/>
    <w:rsid w:val="00060C3A"/>
    <w:rsid w:val="000703C9"/>
    <w:rsid w:val="00072C8C"/>
    <w:rsid w:val="000733B5"/>
    <w:rsid w:val="00081815"/>
    <w:rsid w:val="000931C0"/>
    <w:rsid w:val="000B175B"/>
    <w:rsid w:val="000B3A0F"/>
    <w:rsid w:val="000B4EF7"/>
    <w:rsid w:val="000C2C03"/>
    <w:rsid w:val="000C2D2E"/>
    <w:rsid w:val="000E0415"/>
    <w:rsid w:val="000E6A49"/>
    <w:rsid w:val="000F39DB"/>
    <w:rsid w:val="001103AA"/>
    <w:rsid w:val="00165F3A"/>
    <w:rsid w:val="00183968"/>
    <w:rsid w:val="001A6686"/>
    <w:rsid w:val="001B4B04"/>
    <w:rsid w:val="001B5734"/>
    <w:rsid w:val="001C001E"/>
    <w:rsid w:val="001C3C88"/>
    <w:rsid w:val="001C6663"/>
    <w:rsid w:val="001C7895"/>
    <w:rsid w:val="001D0C8C"/>
    <w:rsid w:val="001D26DF"/>
    <w:rsid w:val="001D3A03"/>
    <w:rsid w:val="00202DA8"/>
    <w:rsid w:val="00211E0B"/>
    <w:rsid w:val="0023168E"/>
    <w:rsid w:val="0023210C"/>
    <w:rsid w:val="00260C1A"/>
    <w:rsid w:val="002672AB"/>
    <w:rsid w:val="00267F5F"/>
    <w:rsid w:val="00286B4D"/>
    <w:rsid w:val="002C132F"/>
    <w:rsid w:val="002F175C"/>
    <w:rsid w:val="003229D8"/>
    <w:rsid w:val="00322FF5"/>
    <w:rsid w:val="00352709"/>
    <w:rsid w:val="00367567"/>
    <w:rsid w:val="00371178"/>
    <w:rsid w:val="0038336C"/>
    <w:rsid w:val="003849D3"/>
    <w:rsid w:val="0039424F"/>
    <w:rsid w:val="003A594C"/>
    <w:rsid w:val="003A6810"/>
    <w:rsid w:val="003C2CC4"/>
    <w:rsid w:val="003D4B23"/>
    <w:rsid w:val="003E2130"/>
    <w:rsid w:val="003E68A5"/>
    <w:rsid w:val="00410C89"/>
    <w:rsid w:val="00426B9B"/>
    <w:rsid w:val="004325CB"/>
    <w:rsid w:val="004325D6"/>
    <w:rsid w:val="00436B33"/>
    <w:rsid w:val="00442A83"/>
    <w:rsid w:val="0044484B"/>
    <w:rsid w:val="0045495B"/>
    <w:rsid w:val="00487488"/>
    <w:rsid w:val="004D766C"/>
    <w:rsid w:val="004E2D3A"/>
    <w:rsid w:val="0052136D"/>
    <w:rsid w:val="0052775E"/>
    <w:rsid w:val="005420F2"/>
    <w:rsid w:val="005628B6"/>
    <w:rsid w:val="005848B3"/>
    <w:rsid w:val="00590F87"/>
    <w:rsid w:val="00592C4A"/>
    <w:rsid w:val="005B3DB3"/>
    <w:rsid w:val="005B69E7"/>
    <w:rsid w:val="005F7717"/>
    <w:rsid w:val="005F7B75"/>
    <w:rsid w:val="006001EE"/>
    <w:rsid w:val="00603F4F"/>
    <w:rsid w:val="00605042"/>
    <w:rsid w:val="00611FC4"/>
    <w:rsid w:val="00616B01"/>
    <w:rsid w:val="006176FB"/>
    <w:rsid w:val="00640B26"/>
    <w:rsid w:val="00652D0A"/>
    <w:rsid w:val="00662BB6"/>
    <w:rsid w:val="00671821"/>
    <w:rsid w:val="00684C21"/>
    <w:rsid w:val="006A4EE4"/>
    <w:rsid w:val="006B4FC1"/>
    <w:rsid w:val="006D37AF"/>
    <w:rsid w:val="006D51D0"/>
    <w:rsid w:val="006E564B"/>
    <w:rsid w:val="006E7191"/>
    <w:rsid w:val="00703577"/>
    <w:rsid w:val="00721261"/>
    <w:rsid w:val="0072632A"/>
    <w:rsid w:val="007273E2"/>
    <w:rsid w:val="007327D5"/>
    <w:rsid w:val="007616A1"/>
    <w:rsid w:val="007629C8"/>
    <w:rsid w:val="00784865"/>
    <w:rsid w:val="007A2875"/>
    <w:rsid w:val="007A6A50"/>
    <w:rsid w:val="007B6BA5"/>
    <w:rsid w:val="007C3390"/>
    <w:rsid w:val="007C4F4B"/>
    <w:rsid w:val="007C784F"/>
    <w:rsid w:val="007D08E7"/>
    <w:rsid w:val="007E0B2D"/>
    <w:rsid w:val="007F6611"/>
    <w:rsid w:val="008105B8"/>
    <w:rsid w:val="00814CA6"/>
    <w:rsid w:val="00816E29"/>
    <w:rsid w:val="00822F34"/>
    <w:rsid w:val="008238C2"/>
    <w:rsid w:val="008242D7"/>
    <w:rsid w:val="008257B1"/>
    <w:rsid w:val="00827E9C"/>
    <w:rsid w:val="008315E5"/>
    <w:rsid w:val="00843767"/>
    <w:rsid w:val="0086594C"/>
    <w:rsid w:val="00867178"/>
    <w:rsid w:val="008679D9"/>
    <w:rsid w:val="00873F12"/>
    <w:rsid w:val="008830BD"/>
    <w:rsid w:val="008979B1"/>
    <w:rsid w:val="008A1DB2"/>
    <w:rsid w:val="008A408D"/>
    <w:rsid w:val="008A6B25"/>
    <w:rsid w:val="008A6C4F"/>
    <w:rsid w:val="008B2335"/>
    <w:rsid w:val="008B30DB"/>
    <w:rsid w:val="008E0678"/>
    <w:rsid w:val="00901025"/>
    <w:rsid w:val="00910F40"/>
    <w:rsid w:val="00912C08"/>
    <w:rsid w:val="009223CA"/>
    <w:rsid w:val="00926A3E"/>
    <w:rsid w:val="00940F93"/>
    <w:rsid w:val="0095347F"/>
    <w:rsid w:val="00960F5A"/>
    <w:rsid w:val="0096187B"/>
    <w:rsid w:val="0097438F"/>
    <w:rsid w:val="009760F3"/>
    <w:rsid w:val="009909F5"/>
    <w:rsid w:val="009A0E8D"/>
    <w:rsid w:val="009B26E7"/>
    <w:rsid w:val="009C613F"/>
    <w:rsid w:val="009F78C9"/>
    <w:rsid w:val="00A00A3F"/>
    <w:rsid w:val="00A01489"/>
    <w:rsid w:val="00A05FFE"/>
    <w:rsid w:val="00A338F1"/>
    <w:rsid w:val="00A42FCF"/>
    <w:rsid w:val="00A44615"/>
    <w:rsid w:val="00A72F22"/>
    <w:rsid w:val="00A7360F"/>
    <w:rsid w:val="00A748A6"/>
    <w:rsid w:val="00A7543D"/>
    <w:rsid w:val="00A769F4"/>
    <w:rsid w:val="00A776B4"/>
    <w:rsid w:val="00A911A5"/>
    <w:rsid w:val="00A93B43"/>
    <w:rsid w:val="00A94361"/>
    <w:rsid w:val="00AA293C"/>
    <w:rsid w:val="00B05C78"/>
    <w:rsid w:val="00B06CA1"/>
    <w:rsid w:val="00B13E9B"/>
    <w:rsid w:val="00B20D4E"/>
    <w:rsid w:val="00B24A7F"/>
    <w:rsid w:val="00B30179"/>
    <w:rsid w:val="00B339A7"/>
    <w:rsid w:val="00B56132"/>
    <w:rsid w:val="00B56E4A"/>
    <w:rsid w:val="00B56E9C"/>
    <w:rsid w:val="00B64B1F"/>
    <w:rsid w:val="00B6553F"/>
    <w:rsid w:val="00B66E5E"/>
    <w:rsid w:val="00B71B16"/>
    <w:rsid w:val="00B77D05"/>
    <w:rsid w:val="00B81206"/>
    <w:rsid w:val="00B81E12"/>
    <w:rsid w:val="00B9067B"/>
    <w:rsid w:val="00BA6AE8"/>
    <w:rsid w:val="00BB347A"/>
    <w:rsid w:val="00BC2433"/>
    <w:rsid w:val="00BC2C23"/>
    <w:rsid w:val="00BC74E9"/>
    <w:rsid w:val="00BD26A8"/>
    <w:rsid w:val="00BF68A8"/>
    <w:rsid w:val="00C11A03"/>
    <w:rsid w:val="00C463DD"/>
    <w:rsid w:val="00C4724C"/>
    <w:rsid w:val="00C6085C"/>
    <w:rsid w:val="00C629A0"/>
    <w:rsid w:val="00C67866"/>
    <w:rsid w:val="00C71C4F"/>
    <w:rsid w:val="00C745C3"/>
    <w:rsid w:val="00C77B40"/>
    <w:rsid w:val="00CB0994"/>
    <w:rsid w:val="00CE4A8F"/>
    <w:rsid w:val="00D2031B"/>
    <w:rsid w:val="00D21E74"/>
    <w:rsid w:val="00D252AE"/>
    <w:rsid w:val="00D25FE2"/>
    <w:rsid w:val="00D30CA0"/>
    <w:rsid w:val="00D32993"/>
    <w:rsid w:val="00D42949"/>
    <w:rsid w:val="00D43252"/>
    <w:rsid w:val="00D47EEA"/>
    <w:rsid w:val="00D64B11"/>
    <w:rsid w:val="00D95303"/>
    <w:rsid w:val="00D978C6"/>
    <w:rsid w:val="00DA3111"/>
    <w:rsid w:val="00DA3C1C"/>
    <w:rsid w:val="00DA542A"/>
    <w:rsid w:val="00DB0C79"/>
    <w:rsid w:val="00DD5B08"/>
    <w:rsid w:val="00DF781A"/>
    <w:rsid w:val="00E13622"/>
    <w:rsid w:val="00E27346"/>
    <w:rsid w:val="00E351B3"/>
    <w:rsid w:val="00E71BC8"/>
    <w:rsid w:val="00E7260F"/>
    <w:rsid w:val="00E73A51"/>
    <w:rsid w:val="00E779FC"/>
    <w:rsid w:val="00E96630"/>
    <w:rsid w:val="00EB038D"/>
    <w:rsid w:val="00EB2581"/>
    <w:rsid w:val="00EC5DAC"/>
    <w:rsid w:val="00ED7A2A"/>
    <w:rsid w:val="00EF1D7F"/>
    <w:rsid w:val="00F1077F"/>
    <w:rsid w:val="00F12C23"/>
    <w:rsid w:val="00F20C3D"/>
    <w:rsid w:val="00F228D0"/>
    <w:rsid w:val="00F22BF3"/>
    <w:rsid w:val="00F33E3F"/>
    <w:rsid w:val="00F43E9E"/>
    <w:rsid w:val="00F83FD1"/>
    <w:rsid w:val="00F9057C"/>
    <w:rsid w:val="00F906D7"/>
    <w:rsid w:val="00F93781"/>
    <w:rsid w:val="00FA5D63"/>
    <w:rsid w:val="00FB4EC4"/>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07A53D6-F3FB-4AD2-804D-78CB104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671821"/>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671821"/>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44484B"/>
    <w:rPr>
      <w:rFonts w:eastAsia="SimSun"/>
      <w:sz w:val="18"/>
      <w:lang w:val="en-GB"/>
    </w:rPr>
  </w:style>
  <w:style w:type="paragraph" w:styleId="BalloonText">
    <w:name w:val="Balloon Text"/>
    <w:basedOn w:val="Normal"/>
    <w:link w:val="BalloonTextChar"/>
    <w:rsid w:val="003E2130"/>
    <w:pPr>
      <w:spacing w:line="240" w:lineRule="auto"/>
    </w:pPr>
    <w:rPr>
      <w:rFonts w:ascii="Tahoma" w:hAnsi="Tahoma"/>
      <w:sz w:val="16"/>
      <w:szCs w:val="16"/>
    </w:rPr>
  </w:style>
  <w:style w:type="character" w:customStyle="1" w:styleId="BalloonTextChar">
    <w:name w:val="Balloon Text Char"/>
    <w:link w:val="BalloonText"/>
    <w:rsid w:val="003E21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7051">
      <w:bodyDiv w:val="1"/>
      <w:marLeft w:val="0"/>
      <w:marRight w:val="0"/>
      <w:marTop w:val="0"/>
      <w:marBottom w:val="0"/>
      <w:divBdr>
        <w:top w:val="none" w:sz="0" w:space="0" w:color="auto"/>
        <w:left w:val="none" w:sz="0" w:space="0" w:color="auto"/>
        <w:bottom w:val="none" w:sz="0" w:space="0" w:color="auto"/>
        <w:right w:val="none" w:sz="0" w:space="0" w:color="auto"/>
      </w:divBdr>
    </w:div>
    <w:div w:id="281808003">
      <w:bodyDiv w:val="1"/>
      <w:marLeft w:val="0"/>
      <w:marRight w:val="0"/>
      <w:marTop w:val="0"/>
      <w:marBottom w:val="0"/>
      <w:divBdr>
        <w:top w:val="none" w:sz="0" w:space="0" w:color="auto"/>
        <w:left w:val="none" w:sz="0" w:space="0" w:color="auto"/>
        <w:bottom w:val="none" w:sz="0" w:space="0" w:color="auto"/>
        <w:right w:val="none" w:sz="0" w:space="0" w:color="auto"/>
      </w:divBdr>
    </w:div>
    <w:div w:id="484736940">
      <w:bodyDiv w:val="1"/>
      <w:marLeft w:val="0"/>
      <w:marRight w:val="0"/>
      <w:marTop w:val="0"/>
      <w:marBottom w:val="0"/>
      <w:divBdr>
        <w:top w:val="none" w:sz="0" w:space="0" w:color="auto"/>
        <w:left w:val="none" w:sz="0" w:space="0" w:color="auto"/>
        <w:bottom w:val="none" w:sz="0" w:space="0" w:color="auto"/>
        <w:right w:val="none" w:sz="0" w:space="0" w:color="auto"/>
      </w:divBdr>
    </w:div>
    <w:div w:id="539704101">
      <w:bodyDiv w:val="1"/>
      <w:marLeft w:val="0"/>
      <w:marRight w:val="0"/>
      <w:marTop w:val="0"/>
      <w:marBottom w:val="0"/>
      <w:divBdr>
        <w:top w:val="none" w:sz="0" w:space="0" w:color="auto"/>
        <w:left w:val="none" w:sz="0" w:space="0" w:color="auto"/>
        <w:bottom w:val="none" w:sz="0" w:space="0" w:color="auto"/>
        <w:right w:val="none" w:sz="0" w:space="0" w:color="auto"/>
      </w:divBdr>
    </w:div>
    <w:div w:id="662198255">
      <w:bodyDiv w:val="1"/>
      <w:marLeft w:val="0"/>
      <w:marRight w:val="0"/>
      <w:marTop w:val="0"/>
      <w:marBottom w:val="0"/>
      <w:divBdr>
        <w:top w:val="none" w:sz="0" w:space="0" w:color="auto"/>
        <w:left w:val="none" w:sz="0" w:space="0" w:color="auto"/>
        <w:bottom w:val="none" w:sz="0" w:space="0" w:color="auto"/>
        <w:right w:val="none" w:sz="0" w:space="0" w:color="auto"/>
      </w:divBdr>
    </w:div>
    <w:div w:id="941644453">
      <w:bodyDiv w:val="1"/>
      <w:marLeft w:val="0"/>
      <w:marRight w:val="0"/>
      <w:marTop w:val="0"/>
      <w:marBottom w:val="0"/>
      <w:divBdr>
        <w:top w:val="none" w:sz="0" w:space="0" w:color="auto"/>
        <w:left w:val="none" w:sz="0" w:space="0" w:color="auto"/>
        <w:bottom w:val="none" w:sz="0" w:space="0" w:color="auto"/>
        <w:right w:val="none" w:sz="0" w:space="0" w:color="auto"/>
      </w:divBdr>
    </w:div>
    <w:div w:id="19134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4018</Words>
  <Characters>22906</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2014-10-10T16:10:00Z</cp:lastPrinted>
  <dcterms:created xsi:type="dcterms:W3CDTF">2017-01-24T19:00:00Z</dcterms:created>
  <dcterms:modified xsi:type="dcterms:W3CDTF">2017-01-24T19:00:00Z</dcterms:modified>
</cp:coreProperties>
</file>