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366B0B6A" w14:textId="77777777" w:rsidTr="00B6553F">
        <w:trPr>
          <w:cantSplit/>
          <w:trHeight w:hRule="exact" w:val="851"/>
        </w:trPr>
        <w:tc>
          <w:tcPr>
            <w:tcW w:w="1276" w:type="dxa"/>
            <w:tcBorders>
              <w:bottom w:val="single" w:sz="4" w:space="0" w:color="auto"/>
            </w:tcBorders>
            <w:vAlign w:val="bottom"/>
          </w:tcPr>
          <w:p w14:paraId="5222EDF0" w14:textId="77777777" w:rsidR="00B56E9C" w:rsidRPr="00F41F35" w:rsidRDefault="00F41F35" w:rsidP="00F41F35">
            <w:pPr>
              <w:spacing w:line="20" w:lineRule="exact"/>
              <w:rPr>
                <w:sz w:val="2"/>
              </w:rPr>
            </w:pPr>
            <w:r>
              <w:rPr>
                <w:rStyle w:val="CommentReference"/>
              </w:rPr>
              <w:commentReference w:id="0"/>
            </w:r>
            <w:bookmarkStart w:id="1" w:name="_GoBack"/>
            <w:bookmarkEnd w:id="1"/>
          </w:p>
          <w:p w14:paraId="210EEC20" w14:textId="77777777" w:rsidR="00F41F35" w:rsidRDefault="00F41F35" w:rsidP="00B6553F">
            <w:pPr>
              <w:spacing w:after="80"/>
            </w:pPr>
          </w:p>
        </w:tc>
        <w:tc>
          <w:tcPr>
            <w:tcW w:w="2268" w:type="dxa"/>
            <w:tcBorders>
              <w:bottom w:val="single" w:sz="4" w:space="0" w:color="auto"/>
            </w:tcBorders>
            <w:vAlign w:val="bottom"/>
          </w:tcPr>
          <w:p w14:paraId="54855C98"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B3E0C50" w14:textId="77777777" w:rsidR="00B56E9C" w:rsidRPr="00D47EEA" w:rsidRDefault="002941AD" w:rsidP="00604373">
            <w:pPr>
              <w:jc w:val="right"/>
            </w:pPr>
            <w:r w:rsidRPr="002941AD">
              <w:rPr>
                <w:sz w:val="40"/>
              </w:rPr>
              <w:t>CCPR</w:t>
            </w:r>
            <w:r>
              <w:t>/C/115/D/2011/2010</w:t>
            </w:r>
          </w:p>
        </w:tc>
      </w:tr>
      <w:tr w:rsidR="00B56E9C" w14:paraId="52ABBFE2" w14:textId="77777777" w:rsidTr="00B6553F">
        <w:trPr>
          <w:cantSplit/>
          <w:trHeight w:hRule="exact" w:val="2835"/>
        </w:trPr>
        <w:tc>
          <w:tcPr>
            <w:tcW w:w="1276" w:type="dxa"/>
            <w:tcBorders>
              <w:top w:val="single" w:sz="4" w:space="0" w:color="auto"/>
              <w:bottom w:val="single" w:sz="12" w:space="0" w:color="auto"/>
            </w:tcBorders>
          </w:tcPr>
          <w:p w14:paraId="43A1BDBF" w14:textId="77777777" w:rsidR="00B56E9C" w:rsidRDefault="002941AD" w:rsidP="00B6553F">
            <w:pPr>
              <w:spacing w:before="120"/>
            </w:pPr>
            <w:r>
              <w:rPr>
                <w:noProof/>
                <w:lang w:val="en-US"/>
              </w:rPr>
              <w:drawing>
                <wp:inline distT="0" distB="0" distL="0" distR="0" wp14:anchorId="18942B87" wp14:editId="075689ED">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F912DE" w14:textId="77777777" w:rsidR="009B04DD" w:rsidRPr="00ED6C3B"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24559742" w14:textId="77777777" w:rsidR="00B56E9C" w:rsidRDefault="002941AD" w:rsidP="002941AD">
            <w:pPr>
              <w:spacing w:before="240" w:line="240" w:lineRule="exact"/>
            </w:pPr>
            <w:r>
              <w:t xml:space="preserve">Distr.: </w:t>
            </w:r>
            <w:r w:rsidR="00604373">
              <w:t>General</w:t>
            </w:r>
          </w:p>
          <w:p w14:paraId="029872D5" w14:textId="77777777" w:rsidR="002941AD" w:rsidRDefault="000C551E" w:rsidP="000C551E">
            <w:pPr>
              <w:spacing w:line="240" w:lineRule="exact"/>
            </w:pPr>
            <w:r>
              <w:t>7</w:t>
            </w:r>
            <w:r w:rsidR="00BF4599">
              <w:t xml:space="preserve"> </w:t>
            </w:r>
            <w:r w:rsidR="0023613D">
              <w:t>December</w:t>
            </w:r>
            <w:r w:rsidR="002941AD">
              <w:t xml:space="preserve"> 2015</w:t>
            </w:r>
          </w:p>
          <w:p w14:paraId="2D79FD2B" w14:textId="77777777" w:rsidR="002941AD" w:rsidRDefault="002941AD" w:rsidP="002941AD">
            <w:pPr>
              <w:spacing w:line="240" w:lineRule="exact"/>
            </w:pPr>
          </w:p>
          <w:p w14:paraId="3BF21F68" w14:textId="77777777" w:rsidR="002941AD" w:rsidRDefault="002941AD" w:rsidP="00F41F35">
            <w:pPr>
              <w:spacing w:line="240" w:lineRule="exact"/>
            </w:pPr>
            <w:r>
              <w:t>Original: English</w:t>
            </w:r>
          </w:p>
        </w:tc>
      </w:tr>
    </w:tbl>
    <w:p w14:paraId="21ED188C" w14:textId="77777777" w:rsidR="002941AD" w:rsidRPr="00A36331" w:rsidRDefault="002941AD" w:rsidP="002941AD">
      <w:pPr>
        <w:spacing w:before="120"/>
        <w:rPr>
          <w:b/>
          <w:sz w:val="24"/>
          <w:szCs w:val="24"/>
        </w:rPr>
      </w:pPr>
      <w:r w:rsidRPr="00A36331">
        <w:rPr>
          <w:b/>
          <w:sz w:val="24"/>
          <w:szCs w:val="24"/>
        </w:rPr>
        <w:t>Human Rights Committee</w:t>
      </w:r>
    </w:p>
    <w:p w14:paraId="1FD3655D" w14:textId="77777777" w:rsidR="002941AD" w:rsidRDefault="002941AD" w:rsidP="002941AD">
      <w:pPr>
        <w:pStyle w:val="HChG"/>
      </w:pPr>
      <w:r w:rsidRPr="009E31DB">
        <w:tab/>
      </w:r>
      <w:r w:rsidRPr="009E31DB">
        <w:tab/>
        <w:t xml:space="preserve">Communication No. </w:t>
      </w:r>
      <w:r>
        <w:t>2011/2010</w:t>
      </w:r>
    </w:p>
    <w:p w14:paraId="0BE46499" w14:textId="77777777" w:rsidR="002941AD" w:rsidRPr="009E31DB" w:rsidRDefault="002941AD" w:rsidP="002941AD">
      <w:pPr>
        <w:pStyle w:val="H1G"/>
      </w:pPr>
      <w:r>
        <w:tab/>
      </w:r>
      <w:r>
        <w:tab/>
      </w:r>
      <w:r w:rsidR="00604373" w:rsidRPr="00F91B3A">
        <w:t>Views adopted by the Committee</w:t>
      </w:r>
      <w:r w:rsidR="00604373" w:rsidRPr="008A4FF5">
        <w:t xml:space="preserve"> </w:t>
      </w:r>
      <w:r w:rsidR="00604373" w:rsidRPr="00F91B3A">
        <w:t xml:space="preserve">at its </w:t>
      </w:r>
      <w:r w:rsidR="00604373" w:rsidRPr="008216A5">
        <w:t>1</w:t>
      </w:r>
      <w:r w:rsidR="00604373">
        <w:t>15</w:t>
      </w:r>
      <w:r w:rsidR="00604373" w:rsidRPr="008216A5">
        <w:t>th session</w:t>
      </w:r>
      <w:r w:rsidR="00604373">
        <w:t xml:space="preserve"> </w:t>
      </w:r>
      <w:r w:rsidR="00604373">
        <w:br/>
        <w:t>(</w:t>
      </w:r>
      <w:r w:rsidR="00604373">
        <w:rPr>
          <w:bCs/>
          <w:lang w:val="en-US"/>
        </w:rPr>
        <w:t>19 October-6 November</w:t>
      </w:r>
      <w:r w:rsidR="00604373" w:rsidRPr="0082420A">
        <w:rPr>
          <w:bCs/>
          <w:lang w:val="en-US"/>
        </w:rPr>
        <w:t xml:space="preserve"> 2015</w:t>
      </w:r>
      <w:r w:rsidR="00604373">
        <w:rPr>
          <w:bCs/>
          <w:lang w:val="en-US"/>
        </w:rPr>
        <w:t>)</w:t>
      </w:r>
    </w:p>
    <w:p w14:paraId="53F403D1" w14:textId="77777777" w:rsidR="002941AD" w:rsidRPr="009E31DB" w:rsidRDefault="002941AD" w:rsidP="000346C1">
      <w:pPr>
        <w:pStyle w:val="SingleTxtG"/>
        <w:ind w:left="4536" w:hanging="3402"/>
        <w:jc w:val="left"/>
      </w:pPr>
      <w:r w:rsidRPr="009707F5">
        <w:rPr>
          <w:i/>
        </w:rPr>
        <w:t>Submitted by:</w:t>
      </w:r>
      <w:r w:rsidRPr="009E31DB">
        <w:tab/>
      </w:r>
      <w:r>
        <w:t xml:space="preserve">Vladimir Romanovsky </w:t>
      </w:r>
      <w:r w:rsidRPr="009E31DB">
        <w:t>(</w:t>
      </w:r>
      <w:r>
        <w:t xml:space="preserve">not </w:t>
      </w:r>
      <w:r w:rsidRPr="009E31DB">
        <w:t>represented by counsel)</w:t>
      </w:r>
    </w:p>
    <w:p w14:paraId="534358A5" w14:textId="77777777" w:rsidR="002941AD" w:rsidRPr="009E31DB" w:rsidRDefault="002941AD" w:rsidP="000346C1">
      <w:pPr>
        <w:pStyle w:val="SingleTxtG"/>
        <w:ind w:left="4536" w:hanging="3402"/>
        <w:jc w:val="left"/>
      </w:pPr>
      <w:r w:rsidRPr="009707F5">
        <w:rPr>
          <w:i/>
        </w:rPr>
        <w:t>Alleged victim:</w:t>
      </w:r>
      <w:r>
        <w:tab/>
      </w:r>
      <w:r w:rsidR="00075BCD">
        <w:t>T</w:t>
      </w:r>
      <w:r w:rsidRPr="009E31DB">
        <w:t>he author</w:t>
      </w:r>
    </w:p>
    <w:p w14:paraId="59AC851C" w14:textId="77777777" w:rsidR="002941AD" w:rsidRPr="009E31DB" w:rsidRDefault="002941AD" w:rsidP="000346C1">
      <w:pPr>
        <w:pStyle w:val="SingleTxtG"/>
        <w:ind w:left="4536" w:hanging="3402"/>
        <w:jc w:val="left"/>
      </w:pPr>
      <w:r w:rsidRPr="009707F5">
        <w:rPr>
          <w:i/>
        </w:rPr>
        <w:t>State party:</w:t>
      </w:r>
      <w:r w:rsidRPr="009E31DB">
        <w:tab/>
      </w:r>
      <w:r>
        <w:t>Belarus</w:t>
      </w:r>
    </w:p>
    <w:p w14:paraId="4A7B74D6" w14:textId="77777777" w:rsidR="002941AD" w:rsidRPr="009E31DB" w:rsidRDefault="002941AD" w:rsidP="000346C1">
      <w:pPr>
        <w:pStyle w:val="SingleTxtG"/>
        <w:ind w:left="4536" w:hanging="3402"/>
        <w:jc w:val="left"/>
      </w:pPr>
      <w:r w:rsidRPr="009707F5">
        <w:rPr>
          <w:i/>
        </w:rPr>
        <w:t>Date of communication:</w:t>
      </w:r>
      <w:r w:rsidRPr="009E31DB">
        <w:tab/>
      </w:r>
      <w:r>
        <w:t>20 March 2009</w:t>
      </w:r>
      <w:r w:rsidRPr="009E31DB">
        <w:t xml:space="preserve"> (initial submission)</w:t>
      </w:r>
      <w:r w:rsidRPr="009E31DB">
        <w:tab/>
      </w:r>
    </w:p>
    <w:p w14:paraId="7D3E24A2" w14:textId="77777777" w:rsidR="002941AD" w:rsidRPr="009E31DB" w:rsidRDefault="002941AD" w:rsidP="000346C1">
      <w:pPr>
        <w:pStyle w:val="SingleTxtG"/>
        <w:ind w:left="4536" w:hanging="3402"/>
      </w:pPr>
      <w:r w:rsidRPr="009707F5">
        <w:rPr>
          <w:i/>
        </w:rPr>
        <w:t>Document references:</w:t>
      </w:r>
      <w:r w:rsidRPr="009E31DB">
        <w:tab/>
        <w:t xml:space="preserve">Special Rapporteur’s rule 97 decision, transmitted to the State party on </w:t>
      </w:r>
      <w:r>
        <w:t xml:space="preserve">3 December 2010 </w:t>
      </w:r>
      <w:r w:rsidRPr="009E31DB">
        <w:t xml:space="preserve">(not issued in </w:t>
      </w:r>
      <w:r>
        <w:t xml:space="preserve">a </w:t>
      </w:r>
      <w:r w:rsidRPr="009E31DB">
        <w:t>document form)</w:t>
      </w:r>
    </w:p>
    <w:p w14:paraId="54105476" w14:textId="77777777" w:rsidR="002941AD" w:rsidRPr="009E31DB" w:rsidRDefault="002941AD" w:rsidP="000346C1">
      <w:pPr>
        <w:pStyle w:val="SingleTxtG"/>
        <w:ind w:left="4536" w:hanging="3402"/>
        <w:jc w:val="left"/>
      </w:pPr>
      <w:r w:rsidRPr="009707F5">
        <w:rPr>
          <w:i/>
        </w:rPr>
        <w:t>Date of adoption of Views:</w:t>
      </w:r>
      <w:r w:rsidRPr="009E31DB">
        <w:tab/>
      </w:r>
      <w:r w:rsidR="00604373">
        <w:t>2</w:t>
      </w:r>
      <w:r w:rsidR="00BD1A5A">
        <w:t>9</w:t>
      </w:r>
      <w:r w:rsidR="00604373" w:rsidRPr="009E31DB">
        <w:t xml:space="preserve"> </w:t>
      </w:r>
      <w:r>
        <w:t>October</w:t>
      </w:r>
      <w:r w:rsidRPr="009E31DB">
        <w:t xml:space="preserve"> 201</w:t>
      </w:r>
      <w:r>
        <w:t>5</w:t>
      </w:r>
    </w:p>
    <w:p w14:paraId="11850537" w14:textId="77777777" w:rsidR="002941AD" w:rsidRPr="000346C1" w:rsidRDefault="00EE1CDD" w:rsidP="000346C1">
      <w:pPr>
        <w:pStyle w:val="SingleTxtG"/>
        <w:ind w:left="4536" w:hanging="3402"/>
        <w:jc w:val="left"/>
      </w:pPr>
      <w:r w:rsidRPr="000346C1">
        <w:rPr>
          <w:i/>
        </w:rPr>
        <w:t xml:space="preserve">Subject </w:t>
      </w:r>
      <w:r w:rsidRPr="002941AD">
        <w:rPr>
          <w:i/>
        </w:rPr>
        <w:t>matter</w:t>
      </w:r>
      <w:r w:rsidRPr="000346C1">
        <w:rPr>
          <w:i/>
        </w:rPr>
        <w:t>:</w:t>
      </w:r>
      <w:r w:rsidRPr="000346C1">
        <w:rPr>
          <w:i/>
        </w:rPr>
        <w:tab/>
      </w:r>
      <w:r w:rsidRPr="000346C1">
        <w:t>Right to freedom of association with others</w:t>
      </w:r>
    </w:p>
    <w:p w14:paraId="3725DA5C" w14:textId="77777777" w:rsidR="002941AD" w:rsidRPr="00EA510E" w:rsidRDefault="002941AD" w:rsidP="000346C1">
      <w:pPr>
        <w:pStyle w:val="SingleTxtG"/>
        <w:ind w:left="4536" w:hanging="3402"/>
        <w:jc w:val="left"/>
      </w:pPr>
      <w:r w:rsidRPr="00EA510E">
        <w:rPr>
          <w:i/>
          <w:iCs/>
        </w:rPr>
        <w:t xml:space="preserve">Procedural issues: </w:t>
      </w:r>
      <w:r w:rsidRPr="00EA510E">
        <w:rPr>
          <w:i/>
          <w:iCs/>
        </w:rPr>
        <w:tab/>
      </w:r>
      <w:r w:rsidRPr="00EA510E">
        <w:rPr>
          <w:iCs/>
        </w:rPr>
        <w:t>State party’s lack of cooperation, exhaustion of domestic remedies</w:t>
      </w:r>
    </w:p>
    <w:p w14:paraId="4236CAEC" w14:textId="77777777" w:rsidR="002941AD" w:rsidRPr="00EA510E" w:rsidRDefault="002941AD" w:rsidP="000346C1">
      <w:pPr>
        <w:pStyle w:val="SingleTxtG"/>
        <w:ind w:left="4536" w:hanging="3402"/>
        <w:jc w:val="left"/>
        <w:rPr>
          <w:i/>
          <w:iCs/>
        </w:rPr>
      </w:pPr>
      <w:r w:rsidRPr="00EA510E">
        <w:rPr>
          <w:i/>
          <w:iCs/>
        </w:rPr>
        <w:t xml:space="preserve">Substantive issues: </w:t>
      </w:r>
      <w:r w:rsidRPr="00EA510E">
        <w:rPr>
          <w:i/>
          <w:iCs/>
        </w:rPr>
        <w:tab/>
      </w:r>
      <w:r w:rsidRPr="00EA510E">
        <w:t>Right to freedom of association with others</w:t>
      </w:r>
    </w:p>
    <w:p w14:paraId="4B138EDC" w14:textId="77777777" w:rsidR="002941AD" w:rsidRPr="00EA510E" w:rsidRDefault="002941AD" w:rsidP="000346C1">
      <w:pPr>
        <w:pStyle w:val="SingleTxtG"/>
        <w:ind w:left="4536" w:hanging="3402"/>
        <w:jc w:val="left"/>
      </w:pPr>
      <w:r w:rsidRPr="00EA510E">
        <w:rPr>
          <w:i/>
          <w:iCs/>
        </w:rPr>
        <w:t>Articles of the Covenant:</w:t>
      </w:r>
      <w:r w:rsidRPr="00EA510E">
        <w:t xml:space="preserve"> </w:t>
      </w:r>
      <w:r w:rsidRPr="00EA510E">
        <w:tab/>
      </w:r>
      <w:r w:rsidR="00604373" w:rsidRPr="00EA510E">
        <w:t>2</w:t>
      </w:r>
      <w:r w:rsidR="000346C1">
        <w:t xml:space="preserve"> (</w:t>
      </w:r>
      <w:r w:rsidR="00604373">
        <w:t>3</w:t>
      </w:r>
      <w:r w:rsidR="000346C1">
        <w:t>)</w:t>
      </w:r>
      <w:r w:rsidR="00604373">
        <w:t xml:space="preserve"> (a)</w:t>
      </w:r>
      <w:r w:rsidR="000346C1">
        <w:t>,</w:t>
      </w:r>
      <w:r w:rsidR="00604373">
        <w:t xml:space="preserve"> </w:t>
      </w:r>
      <w:r w:rsidR="00604373" w:rsidRPr="00EA510E">
        <w:t>5</w:t>
      </w:r>
      <w:r w:rsidR="000346C1">
        <w:t xml:space="preserve"> (</w:t>
      </w:r>
      <w:r w:rsidR="00604373" w:rsidRPr="00EA510E">
        <w:t>1</w:t>
      </w:r>
      <w:r w:rsidR="000346C1">
        <w:t>) and</w:t>
      </w:r>
      <w:r w:rsidR="00604373">
        <w:t xml:space="preserve"> </w:t>
      </w:r>
      <w:r w:rsidRPr="00EA510E">
        <w:t>22</w:t>
      </w:r>
      <w:r w:rsidR="000346C1">
        <w:t xml:space="preserve"> (</w:t>
      </w:r>
      <w:r w:rsidRPr="00EA510E">
        <w:t>1</w:t>
      </w:r>
      <w:r w:rsidR="000346C1">
        <w:t>)-(</w:t>
      </w:r>
      <w:r w:rsidRPr="00EA510E">
        <w:t>2</w:t>
      </w:r>
      <w:r w:rsidR="000346C1">
        <w:t>)</w:t>
      </w:r>
      <w:r w:rsidR="00604373">
        <w:t>;</w:t>
      </w:r>
    </w:p>
    <w:p w14:paraId="485C6091" w14:textId="77777777" w:rsidR="000942C5" w:rsidRPr="00EE07B9" w:rsidRDefault="002941AD" w:rsidP="000346C1">
      <w:pPr>
        <w:pStyle w:val="SingleTxtG"/>
        <w:ind w:left="4536" w:hanging="3402"/>
        <w:jc w:val="left"/>
      </w:pPr>
      <w:r w:rsidRPr="00BF0B4D">
        <w:rPr>
          <w:i/>
          <w:iCs/>
        </w:rPr>
        <w:t>Articles of the Opt</w:t>
      </w:r>
      <w:r>
        <w:rPr>
          <w:i/>
          <w:iCs/>
        </w:rPr>
        <w:t>ional Protocol:</w:t>
      </w:r>
      <w:r>
        <w:rPr>
          <w:i/>
          <w:iCs/>
        </w:rPr>
        <w:tab/>
      </w:r>
      <w:r w:rsidRPr="00BF0B4D">
        <w:rPr>
          <w:iCs/>
        </w:rPr>
        <w:t xml:space="preserve">2 and </w:t>
      </w:r>
      <w:r w:rsidRPr="00BF0B4D">
        <w:t>5</w:t>
      </w:r>
      <w:r w:rsidR="000346C1">
        <w:t xml:space="preserve"> (</w:t>
      </w:r>
      <w:r w:rsidRPr="00BF0B4D">
        <w:t>2</w:t>
      </w:r>
      <w:r w:rsidR="000346C1">
        <w:t>)</w:t>
      </w:r>
      <w:r w:rsidRPr="00BF0B4D">
        <w:t xml:space="preserve"> (b)</w:t>
      </w:r>
    </w:p>
    <w:p w14:paraId="1AF181EE" w14:textId="77777777" w:rsidR="002941AD" w:rsidRPr="009E31DB" w:rsidRDefault="002941AD" w:rsidP="000346C1">
      <w:pPr>
        <w:pStyle w:val="SingleTxtG"/>
        <w:ind w:left="4536" w:hanging="3402"/>
        <w:jc w:val="left"/>
        <w:rPr>
          <w:bCs/>
          <w:iCs/>
        </w:rPr>
      </w:pPr>
    </w:p>
    <w:p w14:paraId="3E12467A" w14:textId="77777777" w:rsidR="002941AD" w:rsidRPr="009E31DB" w:rsidRDefault="002941AD" w:rsidP="002941AD">
      <w:pPr>
        <w:pStyle w:val="HChG"/>
      </w:pPr>
      <w:r w:rsidRPr="009E31DB">
        <w:br w:type="page"/>
      </w:r>
      <w:r w:rsidRPr="009E31DB">
        <w:lastRenderedPageBreak/>
        <w:t>Annex</w:t>
      </w:r>
    </w:p>
    <w:p w14:paraId="5E2686F1" w14:textId="77777777" w:rsidR="002941AD" w:rsidRPr="009E31DB" w:rsidRDefault="002941AD" w:rsidP="000346C1">
      <w:pPr>
        <w:pStyle w:val="HChG"/>
        <w:rPr>
          <w:bCs/>
        </w:rPr>
      </w:pPr>
      <w:r>
        <w:tab/>
      </w:r>
      <w:r>
        <w:tab/>
      </w:r>
      <w:r w:rsidRPr="009E31DB">
        <w:t xml:space="preserve">Views of </w:t>
      </w:r>
      <w:r w:rsidRPr="002941AD">
        <w:t>the</w:t>
      </w:r>
      <w:r w:rsidRPr="009E31DB">
        <w:t xml:space="preserve"> Human Rights Committee under article 5</w:t>
      </w:r>
      <w:r w:rsidR="000346C1">
        <w:t xml:space="preserve"> (</w:t>
      </w:r>
      <w:r w:rsidRPr="009E31DB">
        <w:t>4</w:t>
      </w:r>
      <w:r w:rsidR="000346C1">
        <w:t>)</w:t>
      </w:r>
      <w:r w:rsidRPr="009E31DB">
        <w:t xml:space="preserve"> of the Optional Protocol to the International C</w:t>
      </w:r>
      <w:r>
        <w:t>ovenant on Civil and Political R</w:t>
      </w:r>
      <w:r w:rsidRPr="009E31DB">
        <w:t>ights (</w:t>
      </w:r>
      <w:r>
        <w:t xml:space="preserve">115th </w:t>
      </w:r>
      <w:r w:rsidRPr="009E31DB">
        <w:rPr>
          <w:bCs/>
        </w:rPr>
        <w:t>session)</w:t>
      </w:r>
    </w:p>
    <w:p w14:paraId="0713B67A" w14:textId="77777777" w:rsidR="002941AD" w:rsidRPr="009E31DB" w:rsidRDefault="002941AD" w:rsidP="000346C1">
      <w:pPr>
        <w:pStyle w:val="SingleTxtG"/>
        <w:rPr>
          <w:b/>
          <w:bCs/>
        </w:rPr>
      </w:pPr>
      <w:r w:rsidRPr="009E31DB">
        <w:t>concerning</w:t>
      </w:r>
    </w:p>
    <w:p w14:paraId="1A4C2184" w14:textId="77777777" w:rsidR="002941AD" w:rsidRPr="009E31DB" w:rsidRDefault="002941AD" w:rsidP="002941AD">
      <w:pPr>
        <w:pStyle w:val="H1G"/>
      </w:pPr>
      <w:r>
        <w:tab/>
      </w:r>
      <w:r>
        <w:tab/>
      </w:r>
      <w:r w:rsidRPr="002941AD">
        <w:t>Communication</w:t>
      </w:r>
      <w:r w:rsidRPr="009E31DB">
        <w:t xml:space="preserve"> No. </w:t>
      </w:r>
      <w:r>
        <w:t>2011/2010</w:t>
      </w:r>
      <w:r w:rsidR="009B04DD" w:rsidRPr="000346C1">
        <w:rPr>
          <w:rStyle w:val="FootnoteReference"/>
          <w:b w:val="0"/>
          <w:sz w:val="20"/>
          <w:vertAlign w:val="baseline"/>
        </w:rPr>
        <w:footnoteReference w:customMarkFollows="1" w:id="2"/>
        <w:t>*</w:t>
      </w:r>
    </w:p>
    <w:p w14:paraId="75AE8B75" w14:textId="77777777" w:rsidR="002941AD" w:rsidRDefault="002941AD" w:rsidP="000346C1">
      <w:pPr>
        <w:pStyle w:val="SingleTxtG"/>
        <w:ind w:left="4536" w:hanging="3402"/>
        <w:jc w:val="left"/>
      </w:pPr>
      <w:r w:rsidRPr="002941AD">
        <w:rPr>
          <w:i/>
          <w:iCs/>
        </w:rPr>
        <w:t>Submitted</w:t>
      </w:r>
      <w:r w:rsidRPr="009707F5">
        <w:rPr>
          <w:i/>
        </w:rPr>
        <w:t xml:space="preserve"> by:</w:t>
      </w:r>
      <w:r w:rsidRPr="009E31DB">
        <w:tab/>
      </w:r>
      <w:r>
        <w:tab/>
        <w:t xml:space="preserve">Vladimir Romanovsky </w:t>
      </w:r>
      <w:r w:rsidRPr="00E76216">
        <w:t>(</w:t>
      </w:r>
      <w:r>
        <w:t xml:space="preserve">not </w:t>
      </w:r>
      <w:r w:rsidRPr="00E76216">
        <w:t>represented by counsel)</w:t>
      </w:r>
    </w:p>
    <w:p w14:paraId="442904C9" w14:textId="77777777" w:rsidR="002941AD" w:rsidRPr="009E31DB" w:rsidRDefault="002941AD" w:rsidP="00BC7DCF">
      <w:pPr>
        <w:pStyle w:val="SingleTxtG"/>
        <w:ind w:left="4536" w:hanging="3402"/>
        <w:jc w:val="left"/>
      </w:pPr>
      <w:r w:rsidRPr="002941AD">
        <w:rPr>
          <w:i/>
          <w:iCs/>
        </w:rPr>
        <w:t>Alleged</w:t>
      </w:r>
      <w:r w:rsidRPr="009707F5">
        <w:rPr>
          <w:i/>
        </w:rPr>
        <w:t xml:space="preserve"> victim:</w:t>
      </w:r>
      <w:r w:rsidRPr="009E31DB">
        <w:tab/>
      </w:r>
      <w:r w:rsidR="00BC7DCF">
        <w:t>T</w:t>
      </w:r>
      <w:r w:rsidRPr="009E31DB">
        <w:t>he author</w:t>
      </w:r>
    </w:p>
    <w:p w14:paraId="74A96177" w14:textId="77777777" w:rsidR="002941AD" w:rsidRPr="009E31DB" w:rsidRDefault="002941AD" w:rsidP="000346C1">
      <w:pPr>
        <w:pStyle w:val="SingleTxtG"/>
        <w:ind w:left="4536" w:hanging="3402"/>
        <w:jc w:val="left"/>
      </w:pPr>
      <w:r w:rsidRPr="009707F5">
        <w:rPr>
          <w:i/>
        </w:rPr>
        <w:t>State party:</w:t>
      </w:r>
      <w:r w:rsidRPr="009E31DB">
        <w:tab/>
      </w:r>
      <w:r>
        <w:tab/>
        <w:t>Belarus</w:t>
      </w:r>
    </w:p>
    <w:p w14:paraId="210D1941" w14:textId="77777777" w:rsidR="002941AD" w:rsidRPr="009E31DB" w:rsidRDefault="002941AD" w:rsidP="000346C1">
      <w:pPr>
        <w:pStyle w:val="SingleTxtG"/>
        <w:ind w:left="4536" w:hanging="3402"/>
        <w:jc w:val="left"/>
      </w:pPr>
      <w:r w:rsidRPr="009707F5">
        <w:rPr>
          <w:i/>
        </w:rPr>
        <w:t>Date of communication:</w:t>
      </w:r>
      <w:r w:rsidRPr="009E31DB">
        <w:tab/>
      </w:r>
      <w:r>
        <w:t>20 March 2009</w:t>
      </w:r>
      <w:r w:rsidRPr="009E31DB">
        <w:t xml:space="preserve"> </w:t>
      </w:r>
      <w:r w:rsidRPr="00E76216">
        <w:t>(initial submission)</w:t>
      </w:r>
    </w:p>
    <w:p w14:paraId="0E8E9261" w14:textId="77777777" w:rsidR="002941AD" w:rsidRPr="009E31DB" w:rsidRDefault="002941AD" w:rsidP="000346C1">
      <w:pPr>
        <w:pStyle w:val="SingleTxtG"/>
        <w:spacing w:before="240"/>
      </w:pPr>
      <w:r w:rsidRPr="009E31DB">
        <w:tab/>
      </w:r>
      <w:r w:rsidRPr="009707F5">
        <w:rPr>
          <w:i/>
        </w:rPr>
        <w:t>The Human Rights Committee</w:t>
      </w:r>
      <w:r w:rsidRPr="009E31DB">
        <w:t xml:space="preserve">, </w:t>
      </w:r>
      <w:r w:rsidRPr="002941AD">
        <w:t>established</w:t>
      </w:r>
      <w:r w:rsidRPr="009E31DB">
        <w:t xml:space="preserve"> under article 28 of the International Covenant on Civil and Political Rights, </w:t>
      </w:r>
    </w:p>
    <w:p w14:paraId="0E925CD2" w14:textId="77777777" w:rsidR="002941AD" w:rsidRPr="009E31DB" w:rsidRDefault="002941AD" w:rsidP="002941AD">
      <w:pPr>
        <w:pStyle w:val="SingleTxtG"/>
      </w:pPr>
      <w:r w:rsidRPr="009E31DB">
        <w:tab/>
      </w:r>
      <w:r w:rsidRPr="009707F5">
        <w:rPr>
          <w:i/>
        </w:rPr>
        <w:t>Meeting on</w:t>
      </w:r>
      <w:r w:rsidRPr="009E31DB">
        <w:t xml:space="preserve"> </w:t>
      </w:r>
      <w:r w:rsidR="00604373">
        <w:t>2</w:t>
      </w:r>
      <w:r w:rsidR="00BD1A5A">
        <w:t>9</w:t>
      </w:r>
      <w:r w:rsidR="00604373" w:rsidRPr="009E31DB">
        <w:t xml:space="preserve"> </w:t>
      </w:r>
      <w:r w:rsidRPr="002941AD">
        <w:t>October</w:t>
      </w:r>
      <w:r w:rsidRPr="009E31DB">
        <w:t xml:space="preserve"> 201</w:t>
      </w:r>
      <w:r>
        <w:t>5</w:t>
      </w:r>
      <w:r w:rsidRPr="009E31DB">
        <w:t>,</w:t>
      </w:r>
    </w:p>
    <w:p w14:paraId="1FFFA601" w14:textId="77777777" w:rsidR="002941AD" w:rsidRPr="009E31DB" w:rsidRDefault="002941AD" w:rsidP="00A44699">
      <w:pPr>
        <w:pStyle w:val="SingleTxtG"/>
      </w:pPr>
      <w:r w:rsidRPr="009E31DB">
        <w:tab/>
      </w:r>
      <w:r w:rsidRPr="009707F5">
        <w:rPr>
          <w:i/>
        </w:rPr>
        <w:t>Having concluded</w:t>
      </w:r>
      <w:r w:rsidRPr="009E31DB">
        <w:t xml:space="preserve"> its consideration of </w:t>
      </w:r>
      <w:r w:rsidRPr="002941AD">
        <w:t>communication</w:t>
      </w:r>
      <w:r w:rsidRPr="009E31DB">
        <w:t xml:space="preserve"> No. </w:t>
      </w:r>
      <w:r>
        <w:t>2011/2010</w:t>
      </w:r>
      <w:r w:rsidRPr="009E31DB">
        <w:t xml:space="preserve">, submitted to </w:t>
      </w:r>
      <w:r w:rsidR="00F60543">
        <w:t>it</w:t>
      </w:r>
      <w:r>
        <w:t xml:space="preserve"> by Vladimir Romanovsky </w:t>
      </w:r>
      <w:r w:rsidRPr="009E31DB">
        <w:t>under the Optional Protocol to the International Covenant on Civil and Political Rights,</w:t>
      </w:r>
    </w:p>
    <w:p w14:paraId="2D90334E" w14:textId="77777777" w:rsidR="002941AD" w:rsidRPr="009E31DB" w:rsidRDefault="002941AD" w:rsidP="002941AD">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100D00FE" w14:textId="77777777" w:rsidR="002941AD" w:rsidRPr="009E31DB" w:rsidRDefault="002941AD" w:rsidP="002941AD">
      <w:pPr>
        <w:pStyle w:val="SingleTxtG"/>
      </w:pPr>
      <w:r w:rsidRPr="009E31DB">
        <w:tab/>
      </w:r>
      <w:r w:rsidRPr="009707F5">
        <w:rPr>
          <w:i/>
        </w:rPr>
        <w:t xml:space="preserve">Adopts </w:t>
      </w:r>
      <w:r w:rsidRPr="002941AD">
        <w:t>the following</w:t>
      </w:r>
      <w:r w:rsidRPr="009E31DB">
        <w:t>:</w:t>
      </w:r>
    </w:p>
    <w:p w14:paraId="5DEBD8F4" w14:textId="77777777" w:rsidR="002941AD" w:rsidRPr="009E31DB" w:rsidRDefault="002941AD" w:rsidP="00BC7DCF">
      <w:pPr>
        <w:pStyle w:val="H1G"/>
      </w:pPr>
      <w:r>
        <w:tab/>
      </w:r>
      <w:r>
        <w:tab/>
      </w:r>
      <w:r w:rsidRPr="009E31DB">
        <w:t xml:space="preserve">Views </w:t>
      </w:r>
      <w:r w:rsidRPr="002941AD">
        <w:t>under</w:t>
      </w:r>
      <w:r w:rsidRPr="009E31DB">
        <w:t xml:space="preserve"> article 5</w:t>
      </w:r>
      <w:r w:rsidR="00BC7DCF">
        <w:t xml:space="preserve"> (</w:t>
      </w:r>
      <w:r w:rsidRPr="009E31DB">
        <w:t>4</w:t>
      </w:r>
      <w:r w:rsidR="00BC7DCF">
        <w:t>)</w:t>
      </w:r>
      <w:r w:rsidRPr="009E31DB">
        <w:t xml:space="preserve"> of the Optional Protocol</w:t>
      </w:r>
    </w:p>
    <w:p w14:paraId="3BEEE9D3" w14:textId="77777777" w:rsidR="002941AD" w:rsidRDefault="002941AD" w:rsidP="00A44699">
      <w:pPr>
        <w:pStyle w:val="SingleTxtG"/>
      </w:pPr>
      <w:r>
        <w:t>1.</w:t>
      </w:r>
      <w:r>
        <w:tab/>
      </w:r>
      <w:r w:rsidRPr="00822BA7">
        <w:t xml:space="preserve">The author </w:t>
      </w:r>
      <w:r w:rsidR="00BC7DCF">
        <w:t xml:space="preserve">of the communication </w:t>
      </w:r>
      <w:r w:rsidRPr="00822BA7">
        <w:t xml:space="preserve">is </w:t>
      </w:r>
      <w:r w:rsidRPr="002941AD">
        <w:t>Vladimir</w:t>
      </w:r>
      <w:r>
        <w:t xml:space="preserve"> Romanovsky</w:t>
      </w:r>
      <w:r w:rsidRPr="00822BA7">
        <w:t xml:space="preserve">, a </w:t>
      </w:r>
      <w:r>
        <w:t>Belarusian</w:t>
      </w:r>
      <w:r w:rsidRPr="00822BA7">
        <w:t xml:space="preserve"> national born in </w:t>
      </w:r>
      <w:r>
        <w:t>1941</w:t>
      </w:r>
      <w:r w:rsidRPr="00822BA7">
        <w:t xml:space="preserve">. </w:t>
      </w:r>
      <w:r>
        <w:t>He</w:t>
      </w:r>
      <w:r w:rsidRPr="00822BA7">
        <w:t xml:space="preserve"> claims to be a victim of </w:t>
      </w:r>
      <w:r>
        <w:t xml:space="preserve">a </w:t>
      </w:r>
      <w:r w:rsidRPr="00822BA7">
        <w:t xml:space="preserve">violation by </w:t>
      </w:r>
      <w:r>
        <w:t>Belarus</w:t>
      </w:r>
      <w:r w:rsidRPr="00822BA7">
        <w:t xml:space="preserve"> of </w:t>
      </w:r>
      <w:r>
        <w:t>his</w:t>
      </w:r>
      <w:r w:rsidRPr="00822BA7">
        <w:t xml:space="preserve"> rights </w:t>
      </w:r>
      <w:r w:rsidRPr="00A057B6">
        <w:t>under article 22</w:t>
      </w:r>
      <w:r w:rsidR="00BC7DCF">
        <w:t xml:space="preserve"> (</w:t>
      </w:r>
      <w:r w:rsidRPr="00A057B6">
        <w:t>1</w:t>
      </w:r>
      <w:r w:rsidR="00BC7DCF">
        <w:t>)</w:t>
      </w:r>
      <w:r w:rsidRPr="00A057B6">
        <w:t xml:space="preserve"> and </w:t>
      </w:r>
      <w:r w:rsidR="00BC7DCF">
        <w:t>(</w:t>
      </w:r>
      <w:r w:rsidRPr="00A057B6">
        <w:t>2</w:t>
      </w:r>
      <w:r w:rsidR="00BC7DCF">
        <w:t>),</w:t>
      </w:r>
      <w:r w:rsidRPr="00A057B6">
        <w:t xml:space="preserve"> read in conjunction with articles 2</w:t>
      </w:r>
      <w:r w:rsidR="00BC7DCF">
        <w:t xml:space="preserve"> (</w:t>
      </w:r>
      <w:r w:rsidRPr="00A057B6">
        <w:t>3</w:t>
      </w:r>
      <w:r w:rsidR="00BC7DCF">
        <w:t>)</w:t>
      </w:r>
      <w:r w:rsidRPr="00A057B6">
        <w:t xml:space="preserve"> (a) and 5</w:t>
      </w:r>
      <w:r w:rsidR="00BC7DCF">
        <w:t xml:space="preserve"> (</w:t>
      </w:r>
      <w:r w:rsidRPr="00A057B6">
        <w:t>1</w:t>
      </w:r>
      <w:r w:rsidR="00BC7DCF">
        <w:t>),</w:t>
      </w:r>
      <w:r w:rsidRPr="00A057B6">
        <w:t xml:space="preserve"> of the International Covenant on Civil and Political Rights.</w:t>
      </w:r>
      <w:r w:rsidR="00A924ED">
        <w:t xml:space="preserve"> </w:t>
      </w:r>
      <w:r w:rsidR="00A924ED" w:rsidRPr="00A057B6">
        <w:t>The Optional Protocol</w:t>
      </w:r>
      <w:r w:rsidR="00A924ED" w:rsidRPr="00AE65AB">
        <w:t xml:space="preserve"> entered into force for the State party on 30 December 1992.</w:t>
      </w:r>
    </w:p>
    <w:p w14:paraId="578D0DAE" w14:textId="77777777" w:rsidR="002941AD" w:rsidRPr="009E31DB" w:rsidRDefault="002941AD" w:rsidP="002941AD">
      <w:pPr>
        <w:pStyle w:val="H23G"/>
      </w:pPr>
      <w:r>
        <w:tab/>
      </w:r>
      <w:r>
        <w:tab/>
      </w:r>
      <w:r w:rsidRPr="009E31DB">
        <w:t xml:space="preserve">The facts as presented </w:t>
      </w:r>
      <w:r w:rsidRPr="002941AD">
        <w:t>by</w:t>
      </w:r>
      <w:r w:rsidRPr="009E31DB">
        <w:t xml:space="preserve"> the author</w:t>
      </w:r>
    </w:p>
    <w:p w14:paraId="5952B7BB" w14:textId="77777777" w:rsidR="002941AD" w:rsidRDefault="002941AD" w:rsidP="00FF1695">
      <w:pPr>
        <w:pStyle w:val="SingleTxtG"/>
      </w:pPr>
      <w:r>
        <w:t>2.1.</w:t>
      </w:r>
      <w:r w:rsidRPr="005F4996">
        <w:tab/>
      </w:r>
      <w:r>
        <w:t>On 14 June 2006, the author participated in an assembly of Belarusian retirees</w:t>
      </w:r>
      <w:r w:rsidR="00E16C2A">
        <w:t>,</w:t>
      </w:r>
      <w:r>
        <w:t xml:space="preserve"> </w:t>
      </w:r>
      <w:r w:rsidR="00E16C2A">
        <w:t xml:space="preserve">held </w:t>
      </w:r>
      <w:r>
        <w:t xml:space="preserve">in Minsk, </w:t>
      </w:r>
      <w:r w:rsidR="00FF1695">
        <w:t>in which</w:t>
      </w:r>
      <w:r>
        <w:t xml:space="preserve"> 29 </w:t>
      </w:r>
      <w:r w:rsidR="00FF1695">
        <w:t>people</w:t>
      </w:r>
      <w:r>
        <w:t xml:space="preserve">, including the author, represented 270 retirees from various regions of Belarus. During the assembly, </w:t>
      </w:r>
      <w:r w:rsidR="00FF1695">
        <w:t xml:space="preserve">the </w:t>
      </w:r>
      <w:r>
        <w:t>deci</w:t>
      </w:r>
      <w:r w:rsidR="00FF1695">
        <w:t xml:space="preserve">sion </w:t>
      </w:r>
      <w:r>
        <w:t xml:space="preserve">to establish a public association </w:t>
      </w:r>
      <w:r>
        <w:lastRenderedPageBreak/>
        <w:t>called “Elderlies</w:t>
      </w:r>
      <w:r w:rsidR="00FF1695">
        <w:t xml:space="preserve">” was taken. </w:t>
      </w:r>
      <w:r>
        <w:t xml:space="preserve">On 13 July 2006, the </w:t>
      </w:r>
      <w:r w:rsidR="00FF1695">
        <w:t xml:space="preserve">documents of the </w:t>
      </w:r>
      <w:r>
        <w:t>association were submitted for formal registration to the Ministry of Justice.</w:t>
      </w:r>
    </w:p>
    <w:p w14:paraId="555F73DF" w14:textId="77777777" w:rsidR="002941AD" w:rsidRDefault="002941AD" w:rsidP="000C551E">
      <w:pPr>
        <w:pStyle w:val="SingleTxtG"/>
      </w:pPr>
      <w:r>
        <w:t>2.2</w:t>
      </w:r>
      <w:r>
        <w:tab/>
      </w:r>
      <w:r w:rsidR="000C551E">
        <w:t>In letters dated</w:t>
      </w:r>
      <w:r w:rsidR="00DE24EF">
        <w:t xml:space="preserve"> </w:t>
      </w:r>
      <w:r>
        <w:t xml:space="preserve">30 and 31 October 2006, the Ministry of Justice informed the </w:t>
      </w:r>
      <w:r w:rsidR="000C551E">
        <w:t xml:space="preserve">author about its </w:t>
      </w:r>
      <w:r>
        <w:t>refusal to register the association</w:t>
      </w:r>
      <w:r w:rsidR="00FF1695">
        <w:t>, stating</w:t>
      </w:r>
      <w:r>
        <w:t xml:space="preserve"> that the assembly lacked </w:t>
      </w:r>
      <w:r w:rsidR="00FF1695">
        <w:t>“</w:t>
      </w:r>
      <w:r>
        <w:t>legitimacy</w:t>
      </w:r>
      <w:r w:rsidR="00FF1695">
        <w:t>”</w:t>
      </w:r>
      <w:r>
        <w:t xml:space="preserve"> and consequently, all the decisions</w:t>
      </w:r>
      <w:r w:rsidRPr="00723D9B">
        <w:t xml:space="preserve"> </w:t>
      </w:r>
      <w:r>
        <w:t xml:space="preserve">adopted during the assembly, including the </w:t>
      </w:r>
      <w:r w:rsidR="00FF1695">
        <w:t>decision to</w:t>
      </w:r>
      <w:r>
        <w:t xml:space="preserve"> establish the association, were legally void. It </w:t>
      </w:r>
      <w:r w:rsidR="00FF1695">
        <w:t xml:space="preserve">also </w:t>
      </w:r>
      <w:r>
        <w:t xml:space="preserve">stated that one of the signed records of the assembly was not presented in the form of a final document, but as a draft. </w:t>
      </w:r>
    </w:p>
    <w:p w14:paraId="49ED2447" w14:textId="77777777" w:rsidR="002941AD" w:rsidRDefault="002941AD" w:rsidP="000C551E">
      <w:pPr>
        <w:pStyle w:val="SingleTxtG"/>
      </w:pPr>
      <w:r>
        <w:t>2.3</w:t>
      </w:r>
      <w:r>
        <w:tab/>
        <w:t xml:space="preserve">On 28 November 2006, the Ministry of Justice </w:t>
      </w:r>
      <w:r w:rsidR="00A924ED">
        <w:t xml:space="preserve">provided </w:t>
      </w:r>
      <w:r w:rsidR="00FF1695">
        <w:t>additional</w:t>
      </w:r>
      <w:r>
        <w:t xml:space="preserve"> explanations. It stated that the assembly was illegitimate </w:t>
      </w:r>
      <w:r w:rsidR="00CF4756">
        <w:t>because there was no</w:t>
      </w:r>
      <w:r>
        <w:t xml:space="preserve"> record establishing the rules of representation at the assembly and that during regional meetings </w:t>
      </w:r>
      <w:r w:rsidR="005F2C2F">
        <w:t xml:space="preserve">some </w:t>
      </w:r>
      <w:r>
        <w:t>individuals were appointed as representatives</w:t>
      </w:r>
      <w:r w:rsidR="00CF4756">
        <w:t>,</w:t>
      </w:r>
      <w:r>
        <w:t xml:space="preserve"> </w:t>
      </w:r>
      <w:r w:rsidR="00CF4756">
        <w:t xml:space="preserve">although they were </w:t>
      </w:r>
      <w:r>
        <w:t xml:space="preserve">not present at the meetings in question. The author </w:t>
      </w:r>
      <w:r w:rsidR="00CF4756" w:rsidRPr="001432BF">
        <w:t>states</w:t>
      </w:r>
      <w:r w:rsidR="00CF4756">
        <w:t xml:space="preserve"> </w:t>
      </w:r>
      <w:r>
        <w:t>that the absence of some of the representatives</w:t>
      </w:r>
      <w:r w:rsidR="00CF4756">
        <w:t xml:space="preserve"> may </w:t>
      </w:r>
      <w:r>
        <w:t xml:space="preserve">have been due to sickness, </w:t>
      </w:r>
      <w:r w:rsidR="00CF4756">
        <w:t>which</w:t>
      </w:r>
      <w:r>
        <w:t xml:space="preserve"> should not constitute an obstacle </w:t>
      </w:r>
      <w:r w:rsidR="00CF4756">
        <w:t>to</w:t>
      </w:r>
      <w:r>
        <w:t xml:space="preserve"> their appointment as representatives </w:t>
      </w:r>
      <w:r w:rsidR="00A44754">
        <w:t xml:space="preserve">at </w:t>
      </w:r>
      <w:r>
        <w:t>the founding assembly. In th</w:t>
      </w:r>
      <w:r w:rsidR="00CF4756">
        <w:t>at</w:t>
      </w:r>
      <w:r>
        <w:t xml:space="preserve"> regard, he notes that </w:t>
      </w:r>
      <w:r w:rsidR="00CF4756">
        <w:t>those</w:t>
      </w:r>
      <w:r>
        <w:t xml:space="preserve"> </w:t>
      </w:r>
      <w:r w:rsidR="00CF4756">
        <w:t>individuals</w:t>
      </w:r>
      <w:r>
        <w:t xml:space="preserve"> had given their prior consent to be </w:t>
      </w:r>
      <w:r w:rsidR="00CF4756">
        <w:t>representatives and</w:t>
      </w:r>
      <w:r>
        <w:t xml:space="preserve"> were designated as </w:t>
      </w:r>
      <w:r w:rsidR="00CF4756">
        <w:t>representatives</w:t>
      </w:r>
      <w:r>
        <w:t xml:space="preserve"> in their absence</w:t>
      </w:r>
      <w:r w:rsidR="00CF4756">
        <w:t>. A</w:t>
      </w:r>
      <w:r>
        <w:t xml:space="preserve">s such, they </w:t>
      </w:r>
      <w:r w:rsidR="00CF4756">
        <w:t xml:space="preserve">later </w:t>
      </w:r>
      <w:r>
        <w:t>part</w:t>
      </w:r>
      <w:r w:rsidR="00CF4756">
        <w:t>icipated</w:t>
      </w:r>
      <w:r>
        <w:t xml:space="preserve"> in the assembly. The author also </w:t>
      </w:r>
      <w:r w:rsidRPr="001432BF">
        <w:t>maintains</w:t>
      </w:r>
      <w:r>
        <w:t xml:space="preserve"> that the reasons given by the Ministry for </w:t>
      </w:r>
      <w:r w:rsidR="00CF4756">
        <w:t>its</w:t>
      </w:r>
      <w:r>
        <w:t xml:space="preserve"> refusal</w:t>
      </w:r>
      <w:r w:rsidR="00CF4756">
        <w:t xml:space="preserve"> to register the association</w:t>
      </w:r>
      <w:r>
        <w:t xml:space="preserve"> were not </w:t>
      </w:r>
      <w:r w:rsidR="00CF4756">
        <w:t xml:space="preserve">provided </w:t>
      </w:r>
      <w:r>
        <w:t>for</w:t>
      </w:r>
      <w:r w:rsidR="00CF4756">
        <w:t xml:space="preserve"> in</w:t>
      </w:r>
      <w:r>
        <w:t xml:space="preserve"> the legislation and thus were arbitrary.</w:t>
      </w:r>
    </w:p>
    <w:p w14:paraId="299591B5" w14:textId="77777777" w:rsidR="002941AD" w:rsidRDefault="002941AD" w:rsidP="009142E2">
      <w:pPr>
        <w:pStyle w:val="SingleTxtG"/>
      </w:pPr>
      <w:r>
        <w:t>2.4</w:t>
      </w:r>
      <w:r>
        <w:tab/>
        <w:t>On 27 December 2006, the author</w:t>
      </w:r>
      <w:r w:rsidR="00CF4756">
        <w:t xml:space="preserve"> and</w:t>
      </w:r>
      <w:r>
        <w:t xml:space="preserve"> two other members</w:t>
      </w:r>
      <w:r w:rsidR="00CF4756">
        <w:t xml:space="preserve"> of the association</w:t>
      </w:r>
      <w:r>
        <w:t xml:space="preserve"> challenged the decisions of the Ministry of Justice of 30 and 31 October 2006 before the Supreme Court. They noted that</w:t>
      </w:r>
      <w:r w:rsidR="00CF4756">
        <w:t>,</w:t>
      </w:r>
      <w:r>
        <w:t xml:space="preserve"> pursuant to article 15 of the Law on Public Associations</w:t>
      </w:r>
      <w:r w:rsidR="00E16C2A">
        <w:t>,</w:t>
      </w:r>
      <w:r>
        <w:t xml:space="preserve"> in case of shortcomings of a preventable nature, such as missing documents, the registration </w:t>
      </w:r>
      <w:r w:rsidR="00E16C2A">
        <w:t xml:space="preserve">may be </w:t>
      </w:r>
      <w:r>
        <w:t xml:space="preserve">postponed but not denied. </w:t>
      </w:r>
      <w:r w:rsidR="00E16C2A">
        <w:t>Therefore</w:t>
      </w:r>
      <w:r>
        <w:t>, the Ministry of Justice should have postponed the registration of the association and requested</w:t>
      </w:r>
      <w:r w:rsidR="00E16C2A">
        <w:t xml:space="preserve"> that</w:t>
      </w:r>
      <w:r w:rsidR="00984440">
        <w:t xml:space="preserve"> </w:t>
      </w:r>
      <w:r>
        <w:t>the missing documents</w:t>
      </w:r>
      <w:r w:rsidR="00E16C2A">
        <w:t>, namely</w:t>
      </w:r>
      <w:r>
        <w:t xml:space="preserve"> the final record of the assembly</w:t>
      </w:r>
      <w:r w:rsidR="00E16C2A">
        <w:t>, be submitted</w:t>
      </w:r>
      <w:r>
        <w:t xml:space="preserve">. They </w:t>
      </w:r>
      <w:r w:rsidR="00C64550">
        <w:t xml:space="preserve">gave examples of </w:t>
      </w:r>
      <w:r>
        <w:t>situations</w:t>
      </w:r>
      <w:r w:rsidR="009142E2">
        <w:t xml:space="preserve"> in</w:t>
      </w:r>
      <w:r>
        <w:t xml:space="preserve"> wh</w:t>
      </w:r>
      <w:r w:rsidR="009142E2">
        <w:t>ich</w:t>
      </w:r>
      <w:r>
        <w:t xml:space="preserve"> association</w:t>
      </w:r>
      <w:r w:rsidR="00C64550">
        <w:t>s</w:t>
      </w:r>
      <w:r>
        <w:t xml:space="preserve"> </w:t>
      </w:r>
      <w:r w:rsidR="00E16C2A">
        <w:t>w</w:t>
      </w:r>
      <w:r w:rsidR="00C64550">
        <w:t>ere</w:t>
      </w:r>
      <w:r>
        <w:t xml:space="preserve"> refused registration pursuant to article 15 of the Law, such as when the shortcomings </w:t>
      </w:r>
      <w:r w:rsidR="00C64550">
        <w:t>relating to</w:t>
      </w:r>
      <w:r>
        <w:t xml:space="preserve"> the documents</w:t>
      </w:r>
      <w:r w:rsidR="00C64550">
        <w:t xml:space="preserve"> submitted</w:t>
      </w:r>
      <w:r>
        <w:t xml:space="preserve"> could not be </w:t>
      </w:r>
      <w:r w:rsidR="00C64550">
        <w:t>rectified,</w:t>
      </w:r>
      <w:r>
        <w:t xml:space="preserve"> and noted that the</w:t>
      </w:r>
      <w:r w:rsidR="00C64550">
        <w:t xml:space="preserve"> association’s</w:t>
      </w:r>
      <w:r>
        <w:t xml:space="preserve"> case did not fall within </w:t>
      </w:r>
      <w:r w:rsidR="00C64550">
        <w:t>any</w:t>
      </w:r>
      <w:r>
        <w:t xml:space="preserve"> of the situations. In their complaint to the Supreme Court, they relied on</w:t>
      </w:r>
      <w:r w:rsidR="00C64550">
        <w:t>, inter alia,</w:t>
      </w:r>
      <w:r>
        <w:t xml:space="preserve"> their right to freedom of association as protected by article 22 of the Covenant.</w:t>
      </w:r>
    </w:p>
    <w:p w14:paraId="6A03A564" w14:textId="77777777" w:rsidR="002941AD" w:rsidRDefault="002941AD" w:rsidP="00D62BE3">
      <w:pPr>
        <w:pStyle w:val="SingleTxtG"/>
      </w:pPr>
      <w:r>
        <w:t>2.5</w:t>
      </w:r>
      <w:r>
        <w:tab/>
        <w:t>On 5 February 2007, the Supreme Court acknowledged that the absence of the assembly’s final record on representation c</w:t>
      </w:r>
      <w:r w:rsidR="00DE24EF">
        <w:t xml:space="preserve">ould </w:t>
      </w:r>
      <w:r>
        <w:t>not be considered as a ground for refus</w:t>
      </w:r>
      <w:r w:rsidR="00DE24EF">
        <w:t>ing</w:t>
      </w:r>
      <w:r>
        <w:t xml:space="preserve"> to register the association. However, during the court hearing, the Ministry of Justice invoked new arguments in addition to those indicated in its refusal letters, such as the participation of one Mr</w:t>
      </w:r>
      <w:r w:rsidR="000942C5">
        <w:t>.</w:t>
      </w:r>
      <w:r>
        <w:t xml:space="preserve"> Zavyalov, who, according to the Ministry, did not have </w:t>
      </w:r>
      <w:r w:rsidR="00DE24EF">
        <w:t>the</w:t>
      </w:r>
      <w:r>
        <w:t xml:space="preserve"> right to participate. The author </w:t>
      </w:r>
      <w:r w:rsidRPr="001432BF">
        <w:t>claims</w:t>
      </w:r>
      <w:r>
        <w:t xml:space="preserve"> that it is the assembly itself and not the Ministry that should define whether Mr</w:t>
      </w:r>
      <w:r w:rsidR="000942C5">
        <w:t>.</w:t>
      </w:r>
      <w:r>
        <w:t xml:space="preserve"> Zavyalov ha</w:t>
      </w:r>
      <w:r w:rsidR="00D62BE3">
        <w:t>s</w:t>
      </w:r>
      <w:r>
        <w:t xml:space="preserve"> a right to participate or not. Nevertheless, the Supreme Court dismissed the authors’ appeal.</w:t>
      </w:r>
    </w:p>
    <w:p w14:paraId="28ECE8F6" w14:textId="77777777" w:rsidR="002941AD" w:rsidRPr="005F4996" w:rsidRDefault="002941AD" w:rsidP="002941AD">
      <w:pPr>
        <w:pStyle w:val="H23G"/>
      </w:pPr>
      <w:r>
        <w:tab/>
      </w:r>
      <w:r>
        <w:tab/>
      </w:r>
      <w:r w:rsidRPr="005F4996">
        <w:t>The complaint</w:t>
      </w:r>
    </w:p>
    <w:p w14:paraId="23B1F3F8" w14:textId="77777777" w:rsidR="002941AD" w:rsidRDefault="00E028ED" w:rsidP="009142E2">
      <w:pPr>
        <w:pStyle w:val="SingleTxtG"/>
      </w:pPr>
      <w:r>
        <w:t>3.1</w:t>
      </w:r>
      <w:r w:rsidR="002941AD" w:rsidRPr="005F4996">
        <w:tab/>
        <w:t xml:space="preserve">The author </w:t>
      </w:r>
      <w:r w:rsidR="002941AD" w:rsidRPr="00093D5F">
        <w:t>claims</w:t>
      </w:r>
      <w:r w:rsidR="002941AD" w:rsidRPr="005F4996">
        <w:t xml:space="preserve"> that the refusal to </w:t>
      </w:r>
      <w:r w:rsidR="002941AD">
        <w:t>register the association Elderlies</w:t>
      </w:r>
      <w:r w:rsidR="002941AD" w:rsidRPr="005F4996">
        <w:t xml:space="preserve"> </w:t>
      </w:r>
      <w:r w:rsidR="002941AD">
        <w:t>arbitrarily</w:t>
      </w:r>
      <w:r w:rsidR="00D62BE3">
        <w:t xml:space="preserve"> restricts</w:t>
      </w:r>
      <w:r w:rsidR="002941AD">
        <w:t xml:space="preserve"> his right to freedom of association with others</w:t>
      </w:r>
      <w:r w:rsidR="00D62BE3">
        <w:t>,</w:t>
      </w:r>
      <w:r w:rsidR="002941AD">
        <w:t xml:space="preserve"> in violation of article 22</w:t>
      </w:r>
      <w:r w:rsidR="00D62BE3">
        <w:t xml:space="preserve"> (</w:t>
      </w:r>
      <w:r w:rsidR="002941AD">
        <w:t>1</w:t>
      </w:r>
      <w:r w:rsidR="00D62BE3">
        <w:t>)</w:t>
      </w:r>
      <w:r w:rsidR="002941AD">
        <w:t xml:space="preserve"> and </w:t>
      </w:r>
      <w:r w:rsidR="00D62BE3">
        <w:t>(</w:t>
      </w:r>
      <w:r w:rsidR="002941AD">
        <w:t>2</w:t>
      </w:r>
      <w:r w:rsidR="00D62BE3">
        <w:t>)</w:t>
      </w:r>
      <w:r w:rsidR="002941AD">
        <w:t xml:space="preserve"> of the Covenant,</w:t>
      </w:r>
      <w:r w:rsidR="002941AD" w:rsidRPr="005F4996">
        <w:t xml:space="preserve"> because </w:t>
      </w:r>
      <w:r w:rsidR="002941AD">
        <w:t xml:space="preserve">the reasons given by the Ministry of Justice for </w:t>
      </w:r>
      <w:r w:rsidR="00D62BE3">
        <w:t>its</w:t>
      </w:r>
      <w:r w:rsidR="002941AD">
        <w:t xml:space="preserve"> refusal to register the association were not </w:t>
      </w:r>
      <w:r w:rsidR="00D62BE3">
        <w:t xml:space="preserve">provided </w:t>
      </w:r>
      <w:r w:rsidR="002941AD">
        <w:t xml:space="preserve">for </w:t>
      </w:r>
      <w:r w:rsidR="00D62BE3">
        <w:t>in</w:t>
      </w:r>
      <w:r w:rsidR="002941AD">
        <w:t xml:space="preserve"> the legislation, thus </w:t>
      </w:r>
      <w:r w:rsidR="009142E2">
        <w:t>making the refusal</w:t>
      </w:r>
      <w:r w:rsidR="002941AD">
        <w:t xml:space="preserve"> arbitrary. </w:t>
      </w:r>
      <w:r w:rsidR="009142E2">
        <w:t xml:space="preserve">He states that </w:t>
      </w:r>
      <w:r w:rsidR="002941AD">
        <w:t>the Ministry</w:t>
      </w:r>
      <w:r w:rsidR="00D62BE3">
        <w:t>’s arguments</w:t>
      </w:r>
      <w:r w:rsidR="002941AD">
        <w:t xml:space="preserve"> </w:t>
      </w:r>
      <w:r w:rsidR="00D62BE3">
        <w:t>regarding</w:t>
      </w:r>
      <w:r w:rsidR="002941AD">
        <w:t xml:space="preserve"> the restrictions </w:t>
      </w:r>
      <w:r w:rsidR="00D62BE3">
        <w:t>a</w:t>
      </w:r>
      <w:r w:rsidR="002941AD">
        <w:t xml:space="preserve">re disproportionate and not necessary for reasons of security, </w:t>
      </w:r>
      <w:r w:rsidR="00D62BE3">
        <w:t>public</w:t>
      </w:r>
      <w:r w:rsidR="002941AD">
        <w:t xml:space="preserve"> order, protection of health, moral</w:t>
      </w:r>
      <w:r w:rsidR="00D62BE3">
        <w:t>s</w:t>
      </w:r>
      <w:r w:rsidR="002941AD">
        <w:t xml:space="preserve"> </w:t>
      </w:r>
      <w:r w:rsidR="00D62BE3">
        <w:t>or</w:t>
      </w:r>
      <w:r w:rsidR="002941AD">
        <w:t xml:space="preserve"> the rights and freedoms of others.</w:t>
      </w:r>
    </w:p>
    <w:p w14:paraId="7CE93952" w14:textId="77777777" w:rsidR="002941AD" w:rsidRDefault="002941AD" w:rsidP="009142E2">
      <w:pPr>
        <w:pStyle w:val="SingleTxtG"/>
      </w:pPr>
      <w:r>
        <w:t>3.2</w:t>
      </w:r>
      <w:r>
        <w:tab/>
        <w:t xml:space="preserve">The author </w:t>
      </w:r>
      <w:r w:rsidR="00D62BE3">
        <w:t>also</w:t>
      </w:r>
      <w:r>
        <w:t xml:space="preserve"> </w:t>
      </w:r>
      <w:r w:rsidRPr="00093D5F">
        <w:t>claims</w:t>
      </w:r>
      <w:r w:rsidRPr="005F4996">
        <w:t xml:space="preserve"> </w:t>
      </w:r>
      <w:r>
        <w:t>a violation of article 22</w:t>
      </w:r>
      <w:r w:rsidR="00D62BE3">
        <w:t>, read</w:t>
      </w:r>
      <w:r>
        <w:t xml:space="preserve"> in conjunction with article 5</w:t>
      </w:r>
      <w:r w:rsidR="00D62BE3">
        <w:t xml:space="preserve"> (</w:t>
      </w:r>
      <w:r>
        <w:t>1</w:t>
      </w:r>
      <w:r w:rsidR="00D62BE3">
        <w:t>)</w:t>
      </w:r>
      <w:r>
        <w:t>, of the Covenant</w:t>
      </w:r>
      <w:r w:rsidR="00D62BE3">
        <w:t>,</w:t>
      </w:r>
      <w:r>
        <w:t xml:space="preserve"> as the arguments advanced by the Ministry of Justice were beyond the permitted restrictions </w:t>
      </w:r>
      <w:r w:rsidR="00D62BE3">
        <w:t>set out</w:t>
      </w:r>
      <w:r>
        <w:t xml:space="preserve"> in article 22</w:t>
      </w:r>
      <w:r w:rsidR="00D62BE3">
        <w:t xml:space="preserve"> (</w:t>
      </w:r>
      <w:r>
        <w:t>2</w:t>
      </w:r>
      <w:r w:rsidR="00D62BE3">
        <w:t>) of the Covenant</w:t>
      </w:r>
      <w:r>
        <w:t xml:space="preserve">. The author </w:t>
      </w:r>
      <w:r w:rsidR="009142E2">
        <w:t>further claims</w:t>
      </w:r>
      <w:r>
        <w:t xml:space="preserve"> </w:t>
      </w:r>
      <w:r>
        <w:lastRenderedPageBreak/>
        <w:t xml:space="preserve">that national legislation does not require that only individuals who participate in </w:t>
      </w:r>
      <w:r w:rsidR="00A44754">
        <w:t xml:space="preserve">a </w:t>
      </w:r>
      <w:r>
        <w:t>meeting</w:t>
      </w:r>
      <w:r w:rsidR="00A44754">
        <w:t xml:space="preserve"> can be designated as representatives</w:t>
      </w:r>
      <w:r>
        <w:t xml:space="preserve"> and that all such appointed representatives should participate </w:t>
      </w:r>
      <w:r w:rsidR="00A44754">
        <w:t>in</w:t>
      </w:r>
      <w:r>
        <w:t xml:space="preserve"> the founding assembly. The national authorities did not indicate </w:t>
      </w:r>
      <w:r w:rsidR="00A44754">
        <w:t>the</w:t>
      </w:r>
      <w:r>
        <w:t xml:space="preserve"> purposes </w:t>
      </w:r>
      <w:r w:rsidR="00A44754">
        <w:t xml:space="preserve">that </w:t>
      </w:r>
      <w:r>
        <w:t>they were pursuing by establishing the above</w:t>
      </w:r>
      <w:r w:rsidR="00A44754">
        <w:t>-</w:t>
      </w:r>
      <w:r>
        <w:t xml:space="preserve">mentioned requirements. </w:t>
      </w:r>
    </w:p>
    <w:p w14:paraId="1A4902E4" w14:textId="77777777" w:rsidR="002941AD" w:rsidRDefault="002941AD" w:rsidP="0061014B">
      <w:pPr>
        <w:pStyle w:val="SingleTxtG"/>
      </w:pPr>
      <w:r>
        <w:t>3.3</w:t>
      </w:r>
      <w:r>
        <w:tab/>
      </w:r>
      <w:r w:rsidR="00A44754">
        <w:t>The author further</w:t>
      </w:r>
      <w:r>
        <w:t xml:space="preserve"> </w:t>
      </w:r>
      <w:r w:rsidRPr="00093D5F">
        <w:t>claims</w:t>
      </w:r>
      <w:r w:rsidRPr="005F4996">
        <w:t xml:space="preserve"> </w:t>
      </w:r>
      <w:r>
        <w:t>a violation of article 22</w:t>
      </w:r>
      <w:r w:rsidR="00A44754">
        <w:t>, read</w:t>
      </w:r>
      <w:r>
        <w:t xml:space="preserve"> in conjunction with article 2</w:t>
      </w:r>
      <w:r w:rsidR="00A44754">
        <w:t xml:space="preserve"> (</w:t>
      </w:r>
      <w:r>
        <w:t>3</w:t>
      </w:r>
      <w:r w:rsidR="00A44754">
        <w:t>)</w:t>
      </w:r>
      <w:r>
        <w:t xml:space="preserve"> (a), of the Covenant</w:t>
      </w:r>
      <w:r w:rsidR="00A44754">
        <w:t>,</w:t>
      </w:r>
      <w:r>
        <w:t xml:space="preserve"> as he was not provided with an effective legal remedy. In th</w:t>
      </w:r>
      <w:r w:rsidR="00A44754">
        <w:t>at</w:t>
      </w:r>
      <w:r>
        <w:t xml:space="preserve"> regard, the author </w:t>
      </w:r>
      <w:r w:rsidRPr="00093D5F">
        <w:t>refers</w:t>
      </w:r>
      <w:r w:rsidR="00A44754">
        <w:t xml:space="preserve"> to</w:t>
      </w:r>
      <w:r>
        <w:t xml:space="preserve">, inter alia, the </w:t>
      </w:r>
      <w:r w:rsidR="00A44754">
        <w:t xml:space="preserve">2001 </w:t>
      </w:r>
      <w:r>
        <w:t>report</w:t>
      </w:r>
      <w:r w:rsidR="00A44754">
        <w:t xml:space="preserve"> of </w:t>
      </w:r>
      <w:r>
        <w:t xml:space="preserve">the Special Rapporteur on the </w:t>
      </w:r>
      <w:r w:rsidR="00A44754">
        <w:t>i</w:t>
      </w:r>
      <w:r>
        <w:t xml:space="preserve">ndependence of </w:t>
      </w:r>
      <w:r w:rsidR="00A44754">
        <w:t>j</w:t>
      </w:r>
      <w:r>
        <w:t xml:space="preserve">udges and </w:t>
      </w:r>
      <w:r w:rsidR="00A44754">
        <w:t>l</w:t>
      </w:r>
      <w:r>
        <w:t>awyers</w:t>
      </w:r>
      <w:r w:rsidR="00A44754">
        <w:t xml:space="preserve"> (E/CN.4/2001/65/Add.1)</w:t>
      </w:r>
      <w:r>
        <w:t xml:space="preserve"> in</w:t>
      </w:r>
      <w:r w:rsidR="0061014B">
        <w:t xml:space="preserve"> which</w:t>
      </w:r>
      <w:r>
        <w:t xml:space="preserve"> it </w:t>
      </w:r>
      <w:r w:rsidR="0061014B">
        <w:t>is</w:t>
      </w:r>
      <w:r>
        <w:t xml:space="preserve"> stated that judges in Belarus are not independent. He also </w:t>
      </w:r>
      <w:r w:rsidRPr="00093D5F">
        <w:t>refers</w:t>
      </w:r>
      <w:r>
        <w:t xml:space="preserve"> to the Committee’s Views in</w:t>
      </w:r>
      <w:r w:rsidR="0061014B">
        <w:t xml:space="preserve"> a</w:t>
      </w:r>
      <w:r>
        <w:t xml:space="preserve"> number of cases against Belarus which were never implemented</w:t>
      </w:r>
      <w:r w:rsidR="0061014B">
        <w:t xml:space="preserve">, and </w:t>
      </w:r>
      <w:r w:rsidRPr="00093D5F">
        <w:t>claims</w:t>
      </w:r>
      <w:r w:rsidRPr="00CD574C">
        <w:t xml:space="preserve"> that domestic remedies are ineffective.</w:t>
      </w:r>
    </w:p>
    <w:p w14:paraId="7E00A14B" w14:textId="77777777" w:rsidR="002941AD" w:rsidRDefault="002941AD" w:rsidP="0061014B">
      <w:pPr>
        <w:pStyle w:val="SingleTxtG"/>
      </w:pPr>
      <w:r>
        <w:t>3.4</w:t>
      </w:r>
      <w:r>
        <w:tab/>
        <w:t xml:space="preserve">The author </w:t>
      </w:r>
      <w:r w:rsidRPr="00093D5F">
        <w:t>adds</w:t>
      </w:r>
      <w:r>
        <w:t xml:space="preserve"> that</w:t>
      </w:r>
      <w:r w:rsidR="0061014B">
        <w:t>,</w:t>
      </w:r>
      <w:r>
        <w:t xml:space="preserve"> according to national legislation</w:t>
      </w:r>
      <w:r w:rsidR="0061014B">
        <w:t>,</w:t>
      </w:r>
      <w:r>
        <w:t xml:space="preserve"> a person may be held criminally liable for operating an unregistered organization</w:t>
      </w:r>
      <w:r w:rsidR="0061014B">
        <w:t>,</w:t>
      </w:r>
      <w:r>
        <w:t xml:space="preserve"> which he considers </w:t>
      </w:r>
      <w:r w:rsidR="0061014B">
        <w:t xml:space="preserve">as </w:t>
      </w:r>
      <w:r>
        <w:t>constitut</w:t>
      </w:r>
      <w:r w:rsidR="0061014B">
        <w:t>ing</w:t>
      </w:r>
      <w:r>
        <w:t xml:space="preserve"> an impediment on the enjoyment of his right to freedom of association with others. </w:t>
      </w:r>
    </w:p>
    <w:p w14:paraId="7938AA7C" w14:textId="77777777" w:rsidR="002941AD" w:rsidRPr="002D60F9" w:rsidRDefault="002941AD" w:rsidP="002941AD">
      <w:pPr>
        <w:pStyle w:val="H23G"/>
      </w:pPr>
      <w:r>
        <w:tab/>
      </w:r>
      <w:r>
        <w:tab/>
      </w:r>
      <w:r w:rsidRPr="002941AD">
        <w:t>State</w:t>
      </w:r>
      <w:r w:rsidRPr="002D60F9">
        <w:t xml:space="preserve"> </w:t>
      </w:r>
      <w:r w:rsidR="000942C5" w:rsidRPr="002D60F9">
        <w:t>party</w:t>
      </w:r>
      <w:r w:rsidR="000942C5">
        <w:t>’</w:t>
      </w:r>
      <w:r w:rsidR="000942C5" w:rsidRPr="002D60F9">
        <w:t xml:space="preserve">s </w:t>
      </w:r>
      <w:r w:rsidRPr="002D60F9">
        <w:t>observations on admissibility</w:t>
      </w:r>
    </w:p>
    <w:p w14:paraId="0DF15B26" w14:textId="77777777" w:rsidR="002941AD" w:rsidRPr="002D60F9" w:rsidRDefault="002941AD" w:rsidP="000C551E">
      <w:pPr>
        <w:pStyle w:val="SingleTxtG"/>
      </w:pPr>
      <w:r>
        <w:t>4.1</w:t>
      </w:r>
      <w:r>
        <w:tab/>
      </w:r>
      <w:r w:rsidR="0061014B">
        <w:t>In a</w:t>
      </w:r>
      <w:r>
        <w:t xml:space="preserve"> </w:t>
      </w:r>
      <w:r w:rsidRPr="004D30FF">
        <w:t xml:space="preserve">note verbale </w:t>
      </w:r>
      <w:r w:rsidR="0061014B">
        <w:t>dated</w:t>
      </w:r>
      <w:r>
        <w:t xml:space="preserve"> </w:t>
      </w:r>
      <w:r w:rsidRPr="004D30FF">
        <w:t>6 January 2011, the State party</w:t>
      </w:r>
      <w:r w:rsidR="0061014B">
        <w:t xml:space="preserve"> conveyed</w:t>
      </w:r>
      <w:r>
        <w:t xml:space="preserve"> </w:t>
      </w:r>
      <w:r w:rsidRPr="004D30FF">
        <w:t>its concern about</w:t>
      </w:r>
      <w:r w:rsidR="0061014B">
        <w:t>, inter alia,</w:t>
      </w:r>
      <w:r w:rsidRPr="004D30FF">
        <w:t xml:space="preserve"> </w:t>
      </w:r>
      <w:r w:rsidR="009142E2">
        <w:t xml:space="preserve">the </w:t>
      </w:r>
      <w:r w:rsidRPr="004D30FF">
        <w:t>unjustified registration of communications submitted by individuals under its jurisdiction who, it consider</w:t>
      </w:r>
      <w:r w:rsidR="00335986">
        <w:t>ed</w:t>
      </w:r>
      <w:r w:rsidRPr="004D30FF">
        <w:t>, ha</w:t>
      </w:r>
      <w:r w:rsidR="00335986">
        <w:t>d</w:t>
      </w:r>
      <w:r w:rsidRPr="004D30FF">
        <w:t xml:space="preserve"> not exhausted all available domestic remedies, including appealing to the </w:t>
      </w:r>
      <w:r w:rsidRPr="009142E2">
        <w:t>Prosecutor’s</w:t>
      </w:r>
      <w:r w:rsidRPr="004D30FF">
        <w:t xml:space="preserve"> Office for supervisory review of a judgement having the force of res judicata, in violation of article 2 of the Optional Protocol. It submit</w:t>
      </w:r>
      <w:r w:rsidR="00335986">
        <w:t>ted</w:t>
      </w:r>
      <w:r w:rsidRPr="004D30FF">
        <w:t xml:space="preserve"> </w:t>
      </w:r>
      <w:r w:rsidRPr="001C08DE">
        <w:t>that the present communication</w:t>
      </w:r>
      <w:r w:rsidRPr="004D30FF">
        <w:t xml:space="preserve"> and several other communications were registered</w:t>
      </w:r>
      <w:r w:rsidR="007C6907">
        <w:t xml:space="preserve"> by the Committee</w:t>
      </w:r>
      <w:r w:rsidRPr="004D30FF">
        <w:t xml:space="preserve"> in violation of the provisions of the Optional Protocol; that there </w:t>
      </w:r>
      <w:r w:rsidR="00335986">
        <w:t>we</w:t>
      </w:r>
      <w:r w:rsidRPr="004D30FF">
        <w:t>re no legal grounds for the State party to consider those communications; and that any decision taken by the Committee on such communications w</w:t>
      </w:r>
      <w:r w:rsidR="00335986">
        <w:t>ould</w:t>
      </w:r>
      <w:r w:rsidRPr="004D30FF">
        <w:t xml:space="preserve"> be considered invalid. It further state</w:t>
      </w:r>
      <w:r w:rsidR="00335986">
        <w:t>d</w:t>
      </w:r>
      <w:r w:rsidRPr="004D30FF">
        <w:t xml:space="preserve"> that any references to the Committee’s long-standing practice</w:t>
      </w:r>
      <w:r w:rsidR="001C08DE">
        <w:t xml:space="preserve"> </w:t>
      </w:r>
      <w:r w:rsidR="000C551E">
        <w:t>regarding</w:t>
      </w:r>
      <w:r w:rsidR="001C08DE">
        <w:t xml:space="preserve"> the registration of communications</w:t>
      </w:r>
      <w:r w:rsidRPr="004D30FF">
        <w:t xml:space="preserve"> </w:t>
      </w:r>
      <w:r w:rsidR="00335986">
        <w:t>we</w:t>
      </w:r>
      <w:r w:rsidRPr="004D30FF">
        <w:t>re not legally binding on it.</w:t>
      </w:r>
    </w:p>
    <w:p w14:paraId="7F427D45" w14:textId="77777777" w:rsidR="002941AD" w:rsidRPr="002D60F9" w:rsidRDefault="002941AD" w:rsidP="009C166C">
      <w:pPr>
        <w:pStyle w:val="SingleTxtG"/>
      </w:pPr>
      <w:r>
        <w:t>4.2</w:t>
      </w:r>
      <w:r>
        <w:tab/>
      </w:r>
      <w:r w:rsidR="00C22D2E">
        <w:t>In a</w:t>
      </w:r>
      <w:r w:rsidRPr="002D60F9">
        <w:t xml:space="preserve"> letter </w:t>
      </w:r>
      <w:r w:rsidR="00C22D2E">
        <w:t xml:space="preserve">dated </w:t>
      </w:r>
      <w:r w:rsidRPr="002D60F9">
        <w:t>19 April 201</w:t>
      </w:r>
      <w:r>
        <w:t>1</w:t>
      </w:r>
      <w:r w:rsidRPr="002D60F9">
        <w:t xml:space="preserve">, the Chair of the Committee informed the State party that, </w:t>
      </w:r>
      <w:r w:rsidR="0008578B">
        <w:t>further to</w:t>
      </w:r>
      <w:r w:rsidRPr="002D60F9">
        <w:t xml:space="preserve"> article 4</w:t>
      </w:r>
      <w:r w:rsidR="0008578B">
        <w:t xml:space="preserve"> (</w:t>
      </w:r>
      <w:r w:rsidRPr="002D60F9">
        <w:t>2</w:t>
      </w:r>
      <w:r w:rsidR="0008578B">
        <w:t>)</w:t>
      </w:r>
      <w:r w:rsidRPr="002D60F9">
        <w:t xml:space="preserve"> of the Optional Protocol to the Covenant</w:t>
      </w:r>
      <w:r w:rsidR="0008578B">
        <w:t>, it was implicit</w:t>
      </w:r>
      <w:r w:rsidRPr="002D60F9">
        <w:t xml:space="preserve"> that </w:t>
      </w:r>
      <w:r w:rsidR="0008578B">
        <w:t>the</w:t>
      </w:r>
      <w:r w:rsidRPr="002D60F9">
        <w:t xml:space="preserve"> State party </w:t>
      </w:r>
      <w:r w:rsidRPr="00417C1F">
        <w:t>must</w:t>
      </w:r>
      <w:r w:rsidRPr="002D60F9">
        <w:t xml:space="preserve"> provide the Committee with all the information at its disposal. </w:t>
      </w:r>
      <w:r>
        <w:t>T</w:t>
      </w:r>
      <w:r w:rsidRPr="002D60F9">
        <w:t xml:space="preserve">he State party was requested to submit </w:t>
      </w:r>
      <w:r w:rsidR="0008578B">
        <w:t>additional</w:t>
      </w:r>
      <w:r w:rsidRPr="002D60F9">
        <w:t xml:space="preserve"> observations </w:t>
      </w:r>
      <w:r w:rsidR="0008578B">
        <w:t>regarding</w:t>
      </w:r>
      <w:r w:rsidRPr="002D60F9">
        <w:t xml:space="preserve"> the admissibility and the merits of the </w:t>
      </w:r>
      <w:r w:rsidR="009C166C">
        <w:t>communication</w:t>
      </w:r>
      <w:r w:rsidRPr="002D60F9">
        <w:t>. The State party was also informed that</w:t>
      </w:r>
      <w:r w:rsidR="0008578B">
        <w:t>,</w:t>
      </w:r>
      <w:r w:rsidRPr="002D60F9">
        <w:t xml:space="preserve"> in the absence of observations</w:t>
      </w:r>
      <w:r w:rsidR="0008578B">
        <w:t>,</w:t>
      </w:r>
      <w:r w:rsidRPr="002D60F9">
        <w:t xml:space="preserve"> the Committee w</w:t>
      </w:r>
      <w:r w:rsidR="0008578B">
        <w:t>ould</w:t>
      </w:r>
      <w:r w:rsidRPr="002D60F9">
        <w:t xml:space="preserve"> proceed with the examination of the communication based on the information available to it.</w:t>
      </w:r>
      <w:r>
        <w:t xml:space="preserve"> </w:t>
      </w:r>
    </w:p>
    <w:p w14:paraId="34CCB04F" w14:textId="77777777" w:rsidR="002941AD" w:rsidRPr="002D60F9" w:rsidRDefault="002941AD" w:rsidP="00ED6C3B">
      <w:pPr>
        <w:pStyle w:val="SingleTxtG"/>
        <w:spacing w:line="230" w:lineRule="exact"/>
      </w:pPr>
      <w:r>
        <w:t>4</w:t>
      </w:r>
      <w:r w:rsidRPr="002D60F9">
        <w:t>.</w:t>
      </w:r>
      <w:r>
        <w:t>3</w:t>
      </w:r>
      <w:r>
        <w:tab/>
      </w:r>
      <w:r w:rsidRPr="004D30FF">
        <w:t>In a note verbale dated 2</w:t>
      </w:r>
      <w:r>
        <w:t>5</w:t>
      </w:r>
      <w:r w:rsidRPr="004D30FF">
        <w:t xml:space="preserve"> January 2012, the State party submitted that</w:t>
      </w:r>
      <w:r w:rsidR="0008578B">
        <w:t>,</w:t>
      </w:r>
      <w:r w:rsidRPr="004D30FF">
        <w:t xml:space="preserve"> upon becoming a party to the Optional Protocol, it had agreed, under article 1 thereof</w:t>
      </w:r>
      <w:r w:rsidR="0008578B">
        <w:t>,</w:t>
      </w:r>
      <w:r w:rsidRPr="004D30FF">
        <w:t xml:space="preserve"> to recognize the competence of the Committee to receive and consider communications from individuals subject to its jurisdiction who claim</w:t>
      </w:r>
      <w:r w:rsidR="0008578B">
        <w:t>ed</w:t>
      </w:r>
      <w:r w:rsidRPr="004D30FF">
        <w:t xml:space="preserve"> to be victims of a violation by the State party of any rights protected by the Covenant. It note</w:t>
      </w:r>
      <w:r w:rsidR="0008578B">
        <w:t>d</w:t>
      </w:r>
      <w:r w:rsidRPr="004D30FF">
        <w:t>, however, that that recognition was undertaken in conjunction with other provisions of the Optional Protocol, including those establishing criteria regarding petitioners and the admissibility of their communications, in particular articles 2 and 5. The State party maintain</w:t>
      </w:r>
      <w:r w:rsidR="00335986">
        <w:t>ed</w:t>
      </w:r>
      <w:r w:rsidRPr="004D30FF">
        <w:t xml:space="preserve"> that, under the Optional Protocol, States parties ha</w:t>
      </w:r>
      <w:r w:rsidR="00335986">
        <w:t>d</w:t>
      </w:r>
      <w:r w:rsidRPr="004D30FF">
        <w:t xml:space="preserve"> no obligation to recognize the Committee’s rules of procedure nor its interpretation of the provisions of the Optional Protocol, which could only be effective when done in accordance with the Vienna Convention on the Law of Treaties. It submit</w:t>
      </w:r>
      <w:r w:rsidR="00335986">
        <w:t>ted</w:t>
      </w:r>
      <w:r w:rsidRPr="004D30FF">
        <w:t xml:space="preserve"> that, in relation to the complaint procedure, States parties should be guided first and foremost by the provisions of the Optional Protocol, and </w:t>
      </w:r>
      <w:r w:rsidRPr="00417C1F">
        <w:t>that</w:t>
      </w:r>
      <w:r w:rsidRPr="004D30FF">
        <w:t xml:space="preserve"> references to the Committee’s long-standing practice, methods of work and case law </w:t>
      </w:r>
      <w:r w:rsidR="00335986">
        <w:t>we</w:t>
      </w:r>
      <w:r w:rsidRPr="004D30FF">
        <w:t>re not subjects of the Optional Protocol. It also submit</w:t>
      </w:r>
      <w:r w:rsidR="00335986">
        <w:t>ted</w:t>
      </w:r>
      <w:r w:rsidRPr="004D30FF">
        <w:t xml:space="preserve"> that any communication registered in violation of the provisions of the Optional Protocol w</w:t>
      </w:r>
      <w:r w:rsidR="00335986">
        <w:t>ould</w:t>
      </w:r>
      <w:r w:rsidRPr="004D30FF">
        <w:t xml:space="preserve"> be viewed by </w:t>
      </w:r>
      <w:r w:rsidR="0047539E">
        <w:t>it</w:t>
      </w:r>
      <w:r w:rsidRPr="004D30FF">
        <w:t xml:space="preserve"> as </w:t>
      </w:r>
      <w:r w:rsidR="0047539E">
        <w:t xml:space="preserve">being </w:t>
      </w:r>
      <w:r w:rsidRPr="004D30FF">
        <w:t xml:space="preserve">incompatible with the Optional </w:t>
      </w:r>
      <w:r w:rsidRPr="004D30FF">
        <w:lastRenderedPageBreak/>
        <w:t>Protocol and w</w:t>
      </w:r>
      <w:r w:rsidR="00A64471">
        <w:t>ould</w:t>
      </w:r>
      <w:r w:rsidRPr="004D30FF">
        <w:t xml:space="preserve"> be rejected without comments on the admissibility or </w:t>
      </w:r>
      <w:r w:rsidR="00A64471">
        <w:t xml:space="preserve">the </w:t>
      </w:r>
      <w:r w:rsidRPr="004D30FF">
        <w:t xml:space="preserve">merits, and </w:t>
      </w:r>
      <w:r w:rsidR="0047539E">
        <w:t xml:space="preserve">that </w:t>
      </w:r>
      <w:r w:rsidRPr="004D30FF">
        <w:t>any decision taken by the Committee on such rejected communications w</w:t>
      </w:r>
      <w:r w:rsidR="0047539E">
        <w:t>ould</w:t>
      </w:r>
      <w:r w:rsidRPr="004D30FF">
        <w:t xml:space="preserve"> be considered by its authorities as “invalid”. The State party considers that the present communication as well as several other communications before the Committee </w:t>
      </w:r>
      <w:r w:rsidR="00A64471">
        <w:t>have been</w:t>
      </w:r>
      <w:r w:rsidRPr="004D30FF">
        <w:t xml:space="preserve"> registered in violation of the Optional Protocol.</w:t>
      </w:r>
    </w:p>
    <w:p w14:paraId="2B94A470" w14:textId="77777777" w:rsidR="002941AD" w:rsidRPr="00AE65AB" w:rsidRDefault="002941AD" w:rsidP="00ED6C3B">
      <w:pPr>
        <w:pStyle w:val="H23G"/>
        <w:spacing w:line="230" w:lineRule="exact"/>
      </w:pPr>
      <w:r>
        <w:tab/>
      </w:r>
      <w:r>
        <w:tab/>
      </w:r>
      <w:r w:rsidRPr="00AE65AB">
        <w:t xml:space="preserve">Issues and </w:t>
      </w:r>
      <w:r w:rsidRPr="002941AD">
        <w:t>proceedings</w:t>
      </w:r>
      <w:r w:rsidRPr="00AE65AB">
        <w:t xml:space="preserve"> before the Committee</w:t>
      </w:r>
    </w:p>
    <w:p w14:paraId="00751915" w14:textId="77777777" w:rsidR="002941AD" w:rsidRPr="002D60F9" w:rsidRDefault="002941AD" w:rsidP="00ED6C3B">
      <w:pPr>
        <w:pStyle w:val="H4G"/>
        <w:spacing w:line="230" w:lineRule="exact"/>
      </w:pPr>
      <w:r>
        <w:tab/>
      </w:r>
      <w:r>
        <w:tab/>
      </w:r>
      <w:r w:rsidRPr="00DD13D3">
        <w:t>The State party’s</w:t>
      </w:r>
      <w:r>
        <w:t xml:space="preserve"> lack of cooperation</w:t>
      </w:r>
    </w:p>
    <w:p w14:paraId="274FFD8B" w14:textId="77777777" w:rsidR="002941AD" w:rsidRPr="00C93256" w:rsidRDefault="002941AD" w:rsidP="00ED6C3B">
      <w:pPr>
        <w:pStyle w:val="SingleTxtG"/>
        <w:spacing w:line="230" w:lineRule="exact"/>
      </w:pPr>
      <w:r w:rsidRPr="00AE65AB">
        <w:t>5.1</w:t>
      </w:r>
      <w:r w:rsidRPr="00AE65AB">
        <w:tab/>
      </w:r>
      <w:r w:rsidRPr="00C93256">
        <w:t xml:space="preserve">The Committee </w:t>
      </w:r>
      <w:r w:rsidRPr="00C01146">
        <w:t>notes</w:t>
      </w:r>
      <w:r w:rsidRPr="00C93256">
        <w:t xml:space="preserve"> the State party’s assertion that there are no legal grounds for consideration of the author’s communication, insofar as it was registered in violation of the provisions of the Optional Protocol; that it has no obligation to recognize the Committee’s rules of procedure nor the Committee’s interpretation of the provisions of the Optional Protocol; and that any decision taken by the Committee on the present communication will be considered “invalid” by its authorities.</w:t>
      </w:r>
    </w:p>
    <w:p w14:paraId="42BE78D7" w14:textId="77777777" w:rsidR="002941AD" w:rsidRPr="00C93256" w:rsidRDefault="002941AD" w:rsidP="00ED6C3B">
      <w:pPr>
        <w:pStyle w:val="SingleTxtG"/>
        <w:spacing w:line="230" w:lineRule="exact"/>
      </w:pPr>
      <w:r>
        <w:rPr>
          <w:rFonts w:eastAsia="SimSun"/>
        </w:rPr>
        <w:t>5.2</w:t>
      </w:r>
      <w:r>
        <w:rPr>
          <w:rFonts w:eastAsia="SimSun"/>
        </w:rPr>
        <w:tab/>
      </w:r>
      <w:r w:rsidRPr="00C93256">
        <w:t xml:space="preserve">The Committee </w:t>
      </w:r>
      <w:r w:rsidRPr="00C01146">
        <w:t>recalls</w:t>
      </w:r>
      <w:r w:rsidRPr="00C93256">
        <w:t xml:space="preserve"> that under article 39</w:t>
      </w:r>
      <w:r w:rsidR="00DD13D3">
        <w:t xml:space="preserve"> (</w:t>
      </w:r>
      <w:r w:rsidRPr="00C93256">
        <w:t>2</w:t>
      </w:r>
      <w:r w:rsidR="00DD13D3">
        <w:t>)</w:t>
      </w:r>
      <w:r w:rsidRPr="00C93256">
        <w:t xml:space="preserve"> of the Covenant, it is empowered to establish its own rules of procedure, which States parties have agreed to recognize. It  </w:t>
      </w:r>
      <w:r w:rsidRPr="00C01146">
        <w:t>observes</w:t>
      </w:r>
      <w:r w:rsidRPr="00C93256">
        <w:t xml:space="preserve"> that, by adhering to the Optional Protocol, a State party to the Covenant recognizes the competence of the Committee to receive and consider communications from individuals claiming to be victims of violations of any of the rights set forth in the Covenant (preamble and art. 1 of the Optional Protocol). Implicit in a State’s adherence to the Optional Protocol is the undertaking to cooperate with the Committee in good faith so as to permit and enable it to consider such communications, and after examination thereof, to forward its Views to the State party and the individual (art. 5</w:t>
      </w:r>
      <w:r w:rsidR="00DD13D3">
        <w:t xml:space="preserve"> (</w:t>
      </w:r>
      <w:r w:rsidRPr="00C93256">
        <w:t>1</w:t>
      </w:r>
      <w:r w:rsidR="00DD13D3">
        <w:t>)</w:t>
      </w:r>
      <w:r w:rsidRPr="00C93256">
        <w:t xml:space="preserve"> and </w:t>
      </w:r>
      <w:r w:rsidR="00DD13D3">
        <w:t>(</w:t>
      </w:r>
      <w:r w:rsidRPr="00C93256">
        <w:t>4</w:t>
      </w:r>
      <w:r w:rsidR="00DD13D3">
        <w:t>)</w:t>
      </w:r>
      <w:r w:rsidRPr="00C93256">
        <w:t xml:space="preserve">). It is incompatible with those obligations for a State party to take any action that would prevent or frustrate the Committee in its consideration and examination of the communication, and </w:t>
      </w:r>
      <w:r>
        <w:t>in the expression of its Views.</w:t>
      </w:r>
      <w:r w:rsidRPr="00C93256">
        <w:rPr>
          <w:vertAlign w:val="superscript"/>
        </w:rPr>
        <w:footnoteReference w:id="3"/>
      </w:r>
      <w:r w:rsidRPr="00C93256">
        <w:t xml:space="preserve"> It is up to the Committee to determine whether a communication should be registered. The Committee </w:t>
      </w:r>
      <w:r w:rsidRPr="00C01146">
        <w:t>observes</w:t>
      </w:r>
      <w:r w:rsidRPr="00C93256">
        <w:t xml:space="preserve"> that, by failing to accept the competence of the Committee to determine whether a communication should be registered and by declaring beforehand that it will not accept the Committee’s determination on the admissibility or the merits of the communication, the State party is violating its obligations under article 1 of the Optional Protocol</w:t>
      </w:r>
      <w:r>
        <w:t>.</w:t>
      </w:r>
      <w:r w:rsidRPr="00C93256">
        <w:rPr>
          <w:vertAlign w:val="superscript"/>
        </w:rPr>
        <w:footnoteReference w:id="4"/>
      </w:r>
    </w:p>
    <w:p w14:paraId="202EB00E" w14:textId="77777777" w:rsidR="002941AD" w:rsidRPr="00AE65AB" w:rsidRDefault="002941AD" w:rsidP="00ED6C3B">
      <w:pPr>
        <w:pStyle w:val="H4G"/>
        <w:spacing w:line="230" w:lineRule="exact"/>
      </w:pPr>
      <w:r>
        <w:tab/>
      </w:r>
      <w:r>
        <w:tab/>
      </w:r>
      <w:r w:rsidRPr="002941AD">
        <w:t>Consideration</w:t>
      </w:r>
      <w:r w:rsidRPr="00AE65AB">
        <w:t xml:space="preserve"> of admissibility</w:t>
      </w:r>
    </w:p>
    <w:p w14:paraId="3A24C016" w14:textId="77777777" w:rsidR="002941AD" w:rsidRPr="00AE65AB" w:rsidRDefault="002941AD" w:rsidP="00ED6C3B">
      <w:pPr>
        <w:pStyle w:val="SingleTxtG"/>
        <w:spacing w:line="230" w:lineRule="exact"/>
      </w:pPr>
      <w:r w:rsidRPr="00AE65AB">
        <w:t>6.1</w:t>
      </w:r>
      <w:r w:rsidRPr="00AE65AB">
        <w:tab/>
        <w:t xml:space="preserve">Before considering any claim contained in a communication, the Committee must, in accordance with rule 93 of its rules of procedure, decide whether or not the </w:t>
      </w:r>
      <w:r w:rsidR="000C551E">
        <w:t>communication</w:t>
      </w:r>
      <w:r w:rsidR="000C551E" w:rsidRPr="00AE65AB">
        <w:t xml:space="preserve"> </w:t>
      </w:r>
      <w:r w:rsidRPr="00AE65AB">
        <w:t>is admissible under the Optional Protocol.</w:t>
      </w:r>
    </w:p>
    <w:p w14:paraId="2EE9CBE8" w14:textId="77777777" w:rsidR="002941AD" w:rsidRPr="00AE65AB" w:rsidRDefault="002941AD" w:rsidP="00ED6C3B">
      <w:pPr>
        <w:pStyle w:val="SingleTxtG"/>
        <w:spacing w:line="230" w:lineRule="exact"/>
      </w:pPr>
      <w:r w:rsidRPr="00AE65AB">
        <w:t>6.2</w:t>
      </w:r>
      <w:r w:rsidRPr="00AE65AB">
        <w:tab/>
        <w:t xml:space="preserve">The Committee </w:t>
      </w:r>
      <w:r w:rsidRPr="00A64471">
        <w:t>has ascertained</w:t>
      </w:r>
      <w:r w:rsidRPr="00AE65AB">
        <w:t>, as required under article 5</w:t>
      </w:r>
      <w:r w:rsidR="00DD13D3">
        <w:t xml:space="preserve"> (</w:t>
      </w:r>
      <w:r w:rsidRPr="00AE65AB">
        <w:t>2</w:t>
      </w:r>
      <w:r w:rsidR="00DD13D3">
        <w:t>)</w:t>
      </w:r>
      <w:r w:rsidRPr="00AE65AB">
        <w:t xml:space="preserve"> (a) of the Optional Protocol, that the same matter is not being examined under another procedure of international investigation or settlement. </w:t>
      </w:r>
    </w:p>
    <w:p w14:paraId="5A405ACC" w14:textId="77777777" w:rsidR="002941AD" w:rsidRPr="00EE1CDD" w:rsidRDefault="002941AD" w:rsidP="00ED6C3B">
      <w:pPr>
        <w:pStyle w:val="SingleTxtG"/>
        <w:spacing w:line="230" w:lineRule="exact"/>
      </w:pPr>
      <w:r w:rsidRPr="00EE1CDD">
        <w:t>6.3</w:t>
      </w:r>
      <w:r w:rsidRPr="00EE1CDD">
        <w:tab/>
        <w:t>With regard to the requirement set out in article 5</w:t>
      </w:r>
      <w:r w:rsidR="00DD13D3">
        <w:t xml:space="preserve"> (</w:t>
      </w:r>
      <w:r w:rsidRPr="00EE1CDD">
        <w:t>2</w:t>
      </w:r>
      <w:r w:rsidR="00DD13D3">
        <w:t>)</w:t>
      </w:r>
      <w:r w:rsidRPr="00EE1CDD">
        <w:t xml:space="preserve"> (b) of the Optional Protocol, the Committee </w:t>
      </w:r>
      <w:r w:rsidRPr="00C01146">
        <w:t>notes</w:t>
      </w:r>
      <w:r w:rsidRPr="00EE1CDD">
        <w:t xml:space="preserve"> that the State party has challenged the admissibility of the communication on </w:t>
      </w:r>
      <w:r w:rsidR="00326098">
        <w:t xml:space="preserve">the </w:t>
      </w:r>
      <w:r w:rsidRPr="00EE1CDD">
        <w:t>grounds of non-exhaustion of domestic remedies</w:t>
      </w:r>
      <w:r w:rsidR="00DD13D3">
        <w:t>, stating that</w:t>
      </w:r>
      <w:r w:rsidRPr="00EE1CDD">
        <w:t xml:space="preserve"> the author </w:t>
      </w:r>
      <w:r w:rsidR="00DD13D3">
        <w:t xml:space="preserve">did </w:t>
      </w:r>
      <w:r w:rsidRPr="00EE1CDD">
        <w:t xml:space="preserve">not </w:t>
      </w:r>
      <w:r w:rsidR="00DD13D3">
        <w:t xml:space="preserve">request </w:t>
      </w:r>
      <w:r w:rsidRPr="00EE1CDD">
        <w:t xml:space="preserve">the </w:t>
      </w:r>
      <w:r w:rsidR="00A64471">
        <w:t>p</w:t>
      </w:r>
      <w:r w:rsidRPr="00EE1CDD">
        <w:t xml:space="preserve">rosecutor’s </w:t>
      </w:r>
      <w:r w:rsidR="00A64471">
        <w:t>o</w:t>
      </w:r>
      <w:r w:rsidRPr="00EE1CDD">
        <w:t xml:space="preserve">ffice </w:t>
      </w:r>
      <w:r w:rsidR="00DD13D3">
        <w:t xml:space="preserve">to consider his case </w:t>
      </w:r>
      <w:r w:rsidRPr="00EE1CDD">
        <w:t xml:space="preserve">under the supervisory review procedure. </w:t>
      </w:r>
      <w:r w:rsidRPr="00326098">
        <w:t>The Committee</w:t>
      </w:r>
      <w:r w:rsidRPr="00EE1CDD">
        <w:t xml:space="preserve"> </w:t>
      </w:r>
      <w:r w:rsidRPr="00C01146">
        <w:t>recalls</w:t>
      </w:r>
      <w:r w:rsidRPr="00EE1CDD">
        <w:t xml:space="preserve"> its jurisprudence, according to which petition </w:t>
      </w:r>
      <w:r w:rsidR="009C485D" w:rsidRPr="000346C1">
        <w:t xml:space="preserve">to a </w:t>
      </w:r>
      <w:r w:rsidR="00A64471">
        <w:t>p</w:t>
      </w:r>
      <w:r w:rsidR="009C485D" w:rsidRPr="000346C1">
        <w:t xml:space="preserve">rosecutor’s </w:t>
      </w:r>
      <w:r w:rsidR="00A64471">
        <w:t>o</w:t>
      </w:r>
      <w:r w:rsidR="009C485D" w:rsidRPr="000346C1">
        <w:t xml:space="preserve">ffice to initiate </w:t>
      </w:r>
      <w:r w:rsidR="00326098">
        <w:t xml:space="preserve">the </w:t>
      </w:r>
      <w:r w:rsidRPr="00EE1CDD">
        <w:t xml:space="preserve">supervisory review </w:t>
      </w:r>
      <w:r w:rsidR="00326098">
        <w:t>of a</w:t>
      </w:r>
      <w:r w:rsidR="009C485D" w:rsidRPr="000346C1">
        <w:t xml:space="preserve"> judgement having the force of res </w:t>
      </w:r>
      <w:r w:rsidR="009C485D" w:rsidRPr="000346C1">
        <w:lastRenderedPageBreak/>
        <w:t xml:space="preserve">judicata </w:t>
      </w:r>
      <w:r w:rsidRPr="00EE1CDD">
        <w:t>does not constitute a</w:t>
      </w:r>
      <w:r w:rsidR="009C485D" w:rsidRPr="00EE1CDD">
        <w:t>n effective</w:t>
      </w:r>
      <w:r w:rsidRPr="00EE1CDD">
        <w:t xml:space="preserve"> remedy </w:t>
      </w:r>
      <w:r w:rsidR="00326098">
        <w:t>that</w:t>
      </w:r>
      <w:r w:rsidRPr="00EE1CDD">
        <w:t xml:space="preserve"> has to be exhausted for the purposes of article 5</w:t>
      </w:r>
      <w:r w:rsidR="00326098">
        <w:t xml:space="preserve"> (</w:t>
      </w:r>
      <w:r w:rsidRPr="00EE1CDD">
        <w:t>2</w:t>
      </w:r>
      <w:r w:rsidR="00326098">
        <w:t>)</w:t>
      </w:r>
      <w:r w:rsidRPr="00EE1CDD">
        <w:t xml:space="preserve"> (b) of the Optional Protocol.</w:t>
      </w:r>
      <w:r w:rsidRPr="00EE1CDD">
        <w:rPr>
          <w:vertAlign w:val="superscript"/>
        </w:rPr>
        <w:footnoteReference w:id="5"/>
      </w:r>
      <w:r w:rsidRPr="00EE1CDD">
        <w:rPr>
          <w:vertAlign w:val="superscript"/>
        </w:rPr>
        <w:t xml:space="preserve"> </w:t>
      </w:r>
      <w:r w:rsidRPr="00EE1CDD">
        <w:t xml:space="preserve">Accordingly, the Committee </w:t>
      </w:r>
      <w:r w:rsidRPr="00C01146">
        <w:t>considers</w:t>
      </w:r>
      <w:r w:rsidRPr="00EE1CDD">
        <w:t xml:space="preserve"> that it is not precluded by article 5</w:t>
      </w:r>
      <w:r w:rsidR="00326098">
        <w:t xml:space="preserve"> (</w:t>
      </w:r>
      <w:r w:rsidRPr="00EE1CDD">
        <w:t>2</w:t>
      </w:r>
      <w:r w:rsidR="00326098">
        <w:t>)</w:t>
      </w:r>
      <w:r w:rsidRPr="00EE1CDD">
        <w:t xml:space="preserve"> (b) of the Optional Protocol from examining the present communication.</w:t>
      </w:r>
    </w:p>
    <w:p w14:paraId="71E823F1" w14:textId="77777777" w:rsidR="002941AD" w:rsidRDefault="002941AD" w:rsidP="00ED6C3B">
      <w:pPr>
        <w:pStyle w:val="SingleTxtG"/>
        <w:spacing w:line="230" w:lineRule="exact"/>
      </w:pPr>
      <w:r>
        <w:t>6.4</w:t>
      </w:r>
      <w:r>
        <w:tab/>
      </w:r>
      <w:r w:rsidRPr="00024AB3">
        <w:t>The Committee</w:t>
      </w:r>
      <w:r w:rsidRPr="00C61DDE">
        <w:t xml:space="preserve"> </w:t>
      </w:r>
      <w:r w:rsidRPr="00C01146">
        <w:t>takes note</w:t>
      </w:r>
      <w:r w:rsidRPr="00C61DDE">
        <w:t xml:space="preserve"> of the author’s claim that the State party </w:t>
      </w:r>
      <w:r w:rsidR="00D379E9">
        <w:t xml:space="preserve">has </w:t>
      </w:r>
      <w:r w:rsidRPr="00C61DDE">
        <w:t>violated his rights under article</w:t>
      </w:r>
      <w:r w:rsidR="000942C5">
        <w:t xml:space="preserve"> </w:t>
      </w:r>
      <w:r w:rsidRPr="00C61DDE">
        <w:t>22</w:t>
      </w:r>
      <w:r w:rsidR="00D379E9">
        <w:t xml:space="preserve"> (</w:t>
      </w:r>
      <w:r w:rsidRPr="00C61DDE">
        <w:t>2</w:t>
      </w:r>
      <w:r w:rsidR="00D379E9">
        <w:t>)</w:t>
      </w:r>
      <w:r w:rsidRPr="00C61DDE">
        <w:t>, read in conjunction with article</w:t>
      </w:r>
      <w:r w:rsidR="000942C5">
        <w:t xml:space="preserve"> </w:t>
      </w:r>
      <w:r w:rsidRPr="00C61DDE">
        <w:t>2</w:t>
      </w:r>
      <w:r w:rsidR="00D379E9">
        <w:t xml:space="preserve"> (</w:t>
      </w:r>
      <w:r>
        <w:t>3</w:t>
      </w:r>
      <w:r w:rsidR="00D379E9">
        <w:t>)</w:t>
      </w:r>
      <w:r>
        <w:t xml:space="preserve"> (a)</w:t>
      </w:r>
      <w:r w:rsidRPr="00C61DDE">
        <w:t xml:space="preserve">, of the Covenant. The Committee </w:t>
      </w:r>
      <w:r w:rsidRPr="00C01146">
        <w:t>considers</w:t>
      </w:r>
      <w:r w:rsidRPr="00C61DDE">
        <w:t xml:space="preserve">, however, that based on the material before it, the author has not shown sufficient grounds to support his claim regarding a violation of </w:t>
      </w:r>
      <w:r w:rsidR="009C485D" w:rsidRPr="00103B09">
        <w:t>article 22</w:t>
      </w:r>
      <w:r w:rsidR="00D379E9">
        <w:t xml:space="preserve"> (</w:t>
      </w:r>
      <w:r w:rsidR="009C485D" w:rsidRPr="00103B09">
        <w:t>2</w:t>
      </w:r>
      <w:r w:rsidR="00D379E9">
        <w:t>)</w:t>
      </w:r>
      <w:r w:rsidR="009C485D" w:rsidRPr="00103B09">
        <w:t>, read in conjunction with article 2</w:t>
      </w:r>
      <w:r w:rsidR="00D379E9">
        <w:t xml:space="preserve"> (</w:t>
      </w:r>
      <w:r w:rsidR="009C485D" w:rsidRPr="00103B09">
        <w:t>3</w:t>
      </w:r>
      <w:r w:rsidR="00D379E9">
        <w:t>)</w:t>
      </w:r>
      <w:r w:rsidR="009C485D" w:rsidRPr="00103B09">
        <w:t xml:space="preserve"> (a</w:t>
      </w:r>
      <w:r w:rsidR="009C485D">
        <w:t>)</w:t>
      </w:r>
      <w:r w:rsidRPr="00C61DDE">
        <w:t xml:space="preserve">, of the Covenant. The Committee therefore </w:t>
      </w:r>
      <w:r w:rsidRPr="00C01146">
        <w:t>considers</w:t>
      </w:r>
      <w:r w:rsidRPr="00C61DDE">
        <w:t xml:space="preserve"> that the author has no</w:t>
      </w:r>
      <w:r>
        <w:t>t sufficiently substantiated th</w:t>
      </w:r>
      <w:r w:rsidR="00D379E9">
        <w:t>at</w:t>
      </w:r>
      <w:r w:rsidRPr="00C61DDE">
        <w:t xml:space="preserve"> claim for the purposes of admissibility and </w:t>
      </w:r>
      <w:r w:rsidRPr="00C01146">
        <w:t>concludes</w:t>
      </w:r>
      <w:r w:rsidRPr="00C61DDE">
        <w:t xml:space="preserve"> that it is inadmissible under article</w:t>
      </w:r>
      <w:r w:rsidR="000942C5">
        <w:t xml:space="preserve"> </w:t>
      </w:r>
      <w:r w:rsidRPr="00C61DDE">
        <w:t>2 of the Optional Protocol.</w:t>
      </w:r>
    </w:p>
    <w:p w14:paraId="71B7BA9A" w14:textId="77777777" w:rsidR="009C485D" w:rsidRPr="000346C1" w:rsidRDefault="009C485D" w:rsidP="00ED6C3B">
      <w:pPr>
        <w:pStyle w:val="SingleTxtG"/>
        <w:spacing w:line="230" w:lineRule="exact"/>
      </w:pPr>
      <w:r w:rsidRPr="00EE1CDD">
        <w:t>6.5</w:t>
      </w:r>
      <w:r w:rsidR="009B04DD" w:rsidRPr="00EE1CDD">
        <w:tab/>
      </w:r>
      <w:r w:rsidRPr="000346C1">
        <w:t xml:space="preserve">The Committee </w:t>
      </w:r>
      <w:r w:rsidR="00D379E9">
        <w:t>also</w:t>
      </w:r>
      <w:r w:rsidRPr="000346C1">
        <w:t xml:space="preserve"> </w:t>
      </w:r>
      <w:r w:rsidRPr="00C01146">
        <w:t>takes note</w:t>
      </w:r>
      <w:r w:rsidRPr="000346C1">
        <w:t xml:space="preserve"> of the author’s claim under article 22</w:t>
      </w:r>
      <w:r w:rsidR="00D379E9">
        <w:t>,</w:t>
      </w:r>
      <w:r w:rsidRPr="000346C1">
        <w:t xml:space="preserve"> read in conjunction with article 5</w:t>
      </w:r>
      <w:r w:rsidR="00D379E9">
        <w:t xml:space="preserve"> (</w:t>
      </w:r>
      <w:r w:rsidRPr="000346C1">
        <w:t>1</w:t>
      </w:r>
      <w:r w:rsidR="00D379E9">
        <w:t>)</w:t>
      </w:r>
      <w:r w:rsidRPr="000346C1">
        <w:t>, of the Covenant. The Committee recalls that article 5</w:t>
      </w:r>
      <w:r w:rsidR="00D379E9">
        <w:t xml:space="preserve"> (</w:t>
      </w:r>
      <w:r w:rsidRPr="000346C1">
        <w:t>1</w:t>
      </w:r>
      <w:r w:rsidR="00D379E9">
        <w:t>)</w:t>
      </w:r>
      <w:r w:rsidRPr="000346C1">
        <w:t xml:space="preserve"> does not give rise to any separate individual rights.</w:t>
      </w:r>
      <w:r w:rsidRPr="000346C1">
        <w:rPr>
          <w:rStyle w:val="FootnoteReference"/>
        </w:rPr>
        <w:footnoteReference w:id="6"/>
      </w:r>
      <w:r w:rsidRPr="000346C1">
        <w:t xml:space="preserve"> Thus, th</w:t>
      </w:r>
      <w:r w:rsidR="00D379E9">
        <w:t>at</w:t>
      </w:r>
      <w:r w:rsidRPr="000346C1">
        <w:t xml:space="preserve"> claim is incompatible with the Covenant and inadmissible under article 3 of the Optional Protocol.</w:t>
      </w:r>
    </w:p>
    <w:p w14:paraId="307E8F12" w14:textId="77777777" w:rsidR="002941AD" w:rsidRPr="00C61DDE" w:rsidRDefault="002941AD" w:rsidP="00ED6C3B">
      <w:pPr>
        <w:pStyle w:val="SingleTxtG"/>
        <w:spacing w:line="230" w:lineRule="exact"/>
        <w:rPr>
          <w:lang w:val="en-US"/>
        </w:rPr>
      </w:pPr>
      <w:r>
        <w:t>6</w:t>
      </w:r>
      <w:r w:rsidRPr="00C61DDE">
        <w:t>.</w:t>
      </w:r>
      <w:r w:rsidR="009C485D">
        <w:t>6</w:t>
      </w:r>
      <w:r w:rsidRPr="00C61DDE">
        <w:tab/>
      </w:r>
      <w:r w:rsidRPr="00C61DDE">
        <w:rPr>
          <w:lang w:val="en-US"/>
        </w:rPr>
        <w:t xml:space="preserve">The Committee </w:t>
      </w:r>
      <w:r w:rsidRPr="00C01146">
        <w:rPr>
          <w:lang w:val="en-US"/>
        </w:rPr>
        <w:t>considers</w:t>
      </w:r>
      <w:r w:rsidRPr="00C61DDE">
        <w:rPr>
          <w:lang w:val="en-US"/>
        </w:rPr>
        <w:t xml:space="preserve"> that the author has sufficiently substantiated his </w:t>
      </w:r>
      <w:r>
        <w:rPr>
          <w:lang w:val="en-US"/>
        </w:rPr>
        <w:t xml:space="preserve">remaining </w:t>
      </w:r>
      <w:r w:rsidRPr="00C61DDE">
        <w:rPr>
          <w:lang w:val="en-US"/>
        </w:rPr>
        <w:t>claim</w:t>
      </w:r>
      <w:r w:rsidR="00D379E9">
        <w:rPr>
          <w:lang w:val="en-US"/>
        </w:rPr>
        <w:t xml:space="preserve"> that</w:t>
      </w:r>
      <w:r w:rsidRPr="00C61DDE">
        <w:rPr>
          <w:lang w:val="en-US"/>
        </w:rPr>
        <w:t xml:space="preserve"> </w:t>
      </w:r>
      <w:r>
        <w:rPr>
          <w:lang w:val="en-US"/>
        </w:rPr>
        <w:t>rais</w:t>
      </w:r>
      <w:r w:rsidR="00D379E9">
        <w:rPr>
          <w:lang w:val="en-US"/>
        </w:rPr>
        <w:t>es</w:t>
      </w:r>
      <w:r>
        <w:rPr>
          <w:lang w:val="en-US"/>
        </w:rPr>
        <w:t xml:space="preserve"> issues </w:t>
      </w:r>
      <w:r w:rsidRPr="00C61DDE">
        <w:rPr>
          <w:lang w:val="en-US"/>
        </w:rPr>
        <w:t>under article</w:t>
      </w:r>
      <w:r w:rsidR="000942C5">
        <w:rPr>
          <w:lang w:val="en-US"/>
        </w:rPr>
        <w:t xml:space="preserve"> </w:t>
      </w:r>
      <w:r w:rsidRPr="00C61DDE">
        <w:rPr>
          <w:lang w:val="en-US"/>
        </w:rPr>
        <w:t>22</w:t>
      </w:r>
      <w:r w:rsidR="00D379E9">
        <w:rPr>
          <w:lang w:val="en-US"/>
        </w:rPr>
        <w:t xml:space="preserve"> (</w:t>
      </w:r>
      <w:r w:rsidRPr="00C61DDE">
        <w:rPr>
          <w:lang w:val="en-US"/>
        </w:rPr>
        <w:t>1</w:t>
      </w:r>
      <w:r w:rsidR="00D379E9">
        <w:rPr>
          <w:lang w:val="en-US"/>
        </w:rPr>
        <w:t>)</w:t>
      </w:r>
      <w:r>
        <w:rPr>
          <w:lang w:val="en-US"/>
        </w:rPr>
        <w:t xml:space="preserve"> </w:t>
      </w:r>
      <w:r w:rsidRPr="00C61DDE">
        <w:rPr>
          <w:lang w:val="en-US"/>
        </w:rPr>
        <w:t xml:space="preserve">of the Covenant, for the purposes of admissibility. Accordingly, it </w:t>
      </w:r>
      <w:r w:rsidRPr="00C01146">
        <w:rPr>
          <w:lang w:val="en-US"/>
        </w:rPr>
        <w:t>declares</w:t>
      </w:r>
      <w:r w:rsidRPr="00C61DDE">
        <w:rPr>
          <w:lang w:val="en-US"/>
        </w:rPr>
        <w:t xml:space="preserve"> the communication admissible and </w:t>
      </w:r>
      <w:r w:rsidRPr="00C01146">
        <w:rPr>
          <w:lang w:val="en-US"/>
        </w:rPr>
        <w:t>proceeds</w:t>
      </w:r>
      <w:r w:rsidRPr="00C61DDE">
        <w:rPr>
          <w:lang w:val="en-US"/>
        </w:rPr>
        <w:t xml:space="preserve"> to its </w:t>
      </w:r>
      <w:r w:rsidR="00E367BA">
        <w:rPr>
          <w:lang w:val="en-US"/>
        </w:rPr>
        <w:t>consideration of</w:t>
      </w:r>
      <w:r w:rsidRPr="00C61DDE">
        <w:rPr>
          <w:lang w:val="en-US"/>
        </w:rPr>
        <w:t xml:space="preserve"> the merits. </w:t>
      </w:r>
    </w:p>
    <w:p w14:paraId="02437963" w14:textId="77777777" w:rsidR="002941AD" w:rsidRPr="00C61DDE" w:rsidRDefault="002941AD" w:rsidP="00ED6C3B">
      <w:pPr>
        <w:pStyle w:val="H4G"/>
        <w:spacing w:line="230" w:lineRule="exact"/>
      </w:pPr>
      <w:r>
        <w:tab/>
      </w:r>
      <w:r>
        <w:tab/>
      </w:r>
      <w:r w:rsidRPr="00C61DDE">
        <w:t>Consideration of the merits</w:t>
      </w:r>
    </w:p>
    <w:p w14:paraId="71948841" w14:textId="77777777" w:rsidR="002941AD" w:rsidRPr="00C61DDE" w:rsidRDefault="002941AD" w:rsidP="00ED6C3B">
      <w:pPr>
        <w:pStyle w:val="SingleTxtG"/>
        <w:spacing w:line="230" w:lineRule="exact"/>
      </w:pPr>
      <w:r>
        <w:t>7</w:t>
      </w:r>
      <w:r w:rsidRPr="00C61DDE">
        <w:t>.1</w:t>
      </w:r>
      <w:r w:rsidRPr="00C61DDE">
        <w:tab/>
        <w:t xml:space="preserve">The Committee </w:t>
      </w:r>
      <w:r w:rsidRPr="00987256">
        <w:t>has considered</w:t>
      </w:r>
      <w:r w:rsidRPr="00C61DDE">
        <w:t xml:space="preserve"> the </w:t>
      </w:r>
      <w:r w:rsidR="00E367BA">
        <w:t xml:space="preserve">present </w:t>
      </w:r>
      <w:r w:rsidRPr="00C61DDE">
        <w:t xml:space="preserve">communication in </w:t>
      </w:r>
      <w:r w:rsidR="00E367BA">
        <w:t xml:space="preserve">the </w:t>
      </w:r>
      <w:r w:rsidRPr="00C61DDE">
        <w:t xml:space="preserve">light of all the information made available to it by the parties, as provided </w:t>
      </w:r>
      <w:r w:rsidR="00E367BA">
        <w:t xml:space="preserve">for </w:t>
      </w:r>
      <w:r w:rsidRPr="00C61DDE">
        <w:t>under article</w:t>
      </w:r>
      <w:r w:rsidR="00EE1CDD">
        <w:t xml:space="preserve"> </w:t>
      </w:r>
      <w:r w:rsidRPr="00C61DDE">
        <w:t>5</w:t>
      </w:r>
      <w:r w:rsidR="00E367BA">
        <w:t xml:space="preserve"> (</w:t>
      </w:r>
      <w:r w:rsidRPr="00C61DDE">
        <w:t>1</w:t>
      </w:r>
      <w:r w:rsidR="00E367BA">
        <w:t>)</w:t>
      </w:r>
      <w:r w:rsidRPr="00C61DDE">
        <w:t xml:space="preserve"> of the Optional Protocol.</w:t>
      </w:r>
    </w:p>
    <w:p w14:paraId="6A3C15C8" w14:textId="77777777" w:rsidR="002941AD" w:rsidRPr="00C61DDE" w:rsidRDefault="002941AD" w:rsidP="00ED6C3B">
      <w:pPr>
        <w:pStyle w:val="SingleTxtG"/>
        <w:spacing w:line="230" w:lineRule="exact"/>
      </w:pPr>
      <w:r>
        <w:t>7</w:t>
      </w:r>
      <w:r w:rsidRPr="00C61DDE">
        <w:t>.2.</w:t>
      </w:r>
      <w:r w:rsidRPr="00C61DDE">
        <w:tab/>
        <w:t xml:space="preserve">The issue before the Committee is whether the refusal </w:t>
      </w:r>
      <w:r w:rsidR="00E367BA">
        <w:t>by</w:t>
      </w:r>
      <w:r w:rsidRPr="00C61DDE">
        <w:t xml:space="preserve"> the State party</w:t>
      </w:r>
      <w:r>
        <w:t>’s</w:t>
      </w:r>
      <w:r w:rsidRPr="00C61DDE">
        <w:t xml:space="preserve"> authorities to register </w:t>
      </w:r>
      <w:r w:rsidR="00E367BA">
        <w:t>the</w:t>
      </w:r>
      <w:r w:rsidRPr="00C61DDE">
        <w:t xml:space="preserve"> </w:t>
      </w:r>
      <w:r>
        <w:t>public</w:t>
      </w:r>
      <w:r w:rsidRPr="00C61DDE">
        <w:t xml:space="preserve"> association </w:t>
      </w:r>
      <w:r>
        <w:t>Elderlies</w:t>
      </w:r>
      <w:r w:rsidRPr="00C61DDE">
        <w:t xml:space="preserve"> constitutes an unjustified restriction of the </w:t>
      </w:r>
      <w:r w:rsidR="00E367BA">
        <w:t xml:space="preserve">author’s </w:t>
      </w:r>
      <w:r w:rsidRPr="00C61DDE">
        <w:t xml:space="preserve">right to freedom of association </w:t>
      </w:r>
      <w:r>
        <w:t>with others</w:t>
      </w:r>
      <w:r w:rsidRPr="00C61DDE">
        <w:t>. In that connection, the Committee recalls that its task under the Optional Protocol is not to assess</w:t>
      </w:r>
      <w:r w:rsidR="00C01146">
        <w:t>,</w:t>
      </w:r>
      <w:r w:rsidRPr="00C61DDE">
        <w:t xml:space="preserve"> in the abstract</w:t>
      </w:r>
      <w:r w:rsidR="00C01146">
        <w:t>,</w:t>
      </w:r>
      <w:r w:rsidRPr="00C61DDE">
        <w:t xml:space="preserve"> laws enacted by States parties, but to ascertain whether the implementation of </w:t>
      </w:r>
      <w:r w:rsidR="00C01146">
        <w:t>those</w:t>
      </w:r>
      <w:r w:rsidRPr="00C61DDE">
        <w:t xml:space="preserve"> laws in the case in question gives rise to a violation of the rights of the author.</w:t>
      </w:r>
      <w:r w:rsidRPr="00C61DDE">
        <w:rPr>
          <w:vertAlign w:val="superscript"/>
        </w:rPr>
        <w:footnoteReference w:id="7"/>
      </w:r>
      <w:r w:rsidRPr="00C61DDE">
        <w:t xml:space="preserve"> The Committee recalls that, in accordance with article</w:t>
      </w:r>
      <w:r w:rsidR="000942C5">
        <w:t xml:space="preserve"> </w:t>
      </w:r>
      <w:r w:rsidRPr="00C61DDE">
        <w:t>22</w:t>
      </w:r>
      <w:r w:rsidR="00C01146">
        <w:t xml:space="preserve"> (</w:t>
      </w:r>
      <w:r w:rsidRPr="00C61DDE">
        <w:t>2</w:t>
      </w:r>
      <w:r w:rsidR="00C01146">
        <w:t>)</w:t>
      </w:r>
      <w:r w:rsidRPr="00C61DDE">
        <w:t xml:space="preserve"> of the Covenant, any restriction on the right to freedom of association must cumulatively meet the following conditions: (a)</w:t>
      </w:r>
      <w:r w:rsidR="00EE1CDD">
        <w:t xml:space="preserve"> </w:t>
      </w:r>
      <w:r w:rsidRPr="00C61DDE">
        <w:t>it must be pr</w:t>
      </w:r>
      <w:r w:rsidR="00C01146">
        <w:t>escribed</w:t>
      </w:r>
      <w:r w:rsidRPr="00C61DDE">
        <w:t xml:space="preserve"> by law; (b)</w:t>
      </w:r>
      <w:r w:rsidR="00EE1CDD">
        <w:t xml:space="preserve"> </w:t>
      </w:r>
      <w:r w:rsidRPr="00C61DDE">
        <w:t xml:space="preserve">it may only be imposed for one of the purposes set out in </w:t>
      </w:r>
      <w:r w:rsidR="00602AC5">
        <w:t>article 22 (</w:t>
      </w:r>
      <w:r w:rsidRPr="00C61DDE">
        <w:t>2</w:t>
      </w:r>
      <w:r w:rsidR="00602AC5">
        <w:t>)</w:t>
      </w:r>
      <w:r w:rsidRPr="00C61DDE">
        <w:t>; and (c)</w:t>
      </w:r>
      <w:r w:rsidR="000942C5">
        <w:t xml:space="preserve"> </w:t>
      </w:r>
      <w:r w:rsidRPr="00C61DDE">
        <w:t xml:space="preserve">it must be “necessary in a democratic society” </w:t>
      </w:r>
      <w:r w:rsidR="00602AC5">
        <w:t>in the interest of</w:t>
      </w:r>
      <w:r w:rsidRPr="00C61DDE">
        <w:t xml:space="preserve"> one of those purposes</w:t>
      </w:r>
      <w:r w:rsidR="00CC756B">
        <w:t xml:space="preserve"> and  proportionate in nature.</w:t>
      </w:r>
      <w:r w:rsidRPr="00C61DDE">
        <w:rPr>
          <w:vertAlign w:val="superscript"/>
        </w:rPr>
        <w:footnoteReference w:id="8"/>
      </w:r>
      <w:r w:rsidRPr="00C61DDE">
        <w:t xml:space="preserve"> </w:t>
      </w:r>
      <w:r w:rsidR="00352A77">
        <w:t>R</w:t>
      </w:r>
      <w:r w:rsidRPr="00C61DDE">
        <w:t>eference to “democratic society” in the context of article</w:t>
      </w:r>
      <w:r w:rsidR="000942C5">
        <w:t xml:space="preserve"> </w:t>
      </w:r>
      <w:r w:rsidRPr="00C61DDE">
        <w:t xml:space="preserve">22 indicates, in the Committee’s opinion, that the existence and operation of associations, including those which peacefully promote ideas </w:t>
      </w:r>
      <w:r w:rsidR="00602AC5">
        <w:t xml:space="preserve">that are </w:t>
      </w:r>
      <w:r w:rsidRPr="00C61DDE">
        <w:t>not necessarily favourably viewed by the Government or the majority of the population, is a cornerstone of any</w:t>
      </w:r>
      <w:r w:rsidR="00984440">
        <w:t xml:space="preserve"> democratic</w:t>
      </w:r>
      <w:r w:rsidRPr="00C61DDE">
        <w:t xml:space="preserve"> society.</w:t>
      </w:r>
      <w:r w:rsidRPr="00C61DDE">
        <w:rPr>
          <w:vertAlign w:val="superscript"/>
        </w:rPr>
        <w:footnoteReference w:id="9"/>
      </w:r>
      <w:r w:rsidRPr="00C61DDE">
        <w:t xml:space="preserve"> </w:t>
      </w:r>
      <w:r w:rsidR="0000709B">
        <w:t>In th</w:t>
      </w:r>
      <w:r w:rsidR="00CE7491">
        <w:t>at</w:t>
      </w:r>
      <w:r w:rsidR="0000709B">
        <w:t xml:space="preserve"> connection</w:t>
      </w:r>
      <w:r w:rsidR="00CE7491">
        <w:t>,</w:t>
      </w:r>
      <w:r w:rsidR="0000709B">
        <w:t xml:space="preserve"> the Committee recalls that it is for the State party to demonstrate that the restrictions imposed were justified in the case in question.</w:t>
      </w:r>
    </w:p>
    <w:p w14:paraId="1E1C8747" w14:textId="77777777" w:rsidR="002941AD" w:rsidRPr="00C61DDE" w:rsidRDefault="002941AD" w:rsidP="000C551E">
      <w:pPr>
        <w:pStyle w:val="SingleTxtG"/>
      </w:pPr>
      <w:r>
        <w:lastRenderedPageBreak/>
        <w:t>7</w:t>
      </w:r>
      <w:r w:rsidRPr="00C61DDE">
        <w:t>.3</w:t>
      </w:r>
      <w:r w:rsidRPr="00C61DDE">
        <w:tab/>
      </w:r>
      <w:r w:rsidR="00E3653B">
        <w:t>The Committee notes the author’s submission that</w:t>
      </w:r>
      <w:r w:rsidRPr="00C61DDE">
        <w:t xml:space="preserve"> registration of the association was </w:t>
      </w:r>
      <w:r w:rsidR="00352A77">
        <w:t>refused</w:t>
      </w:r>
      <w:r w:rsidRPr="00C61DDE">
        <w:t xml:space="preserve"> on the basis of a number of reasons</w:t>
      </w:r>
      <w:r w:rsidR="00352A77">
        <w:t xml:space="preserve"> given by the State party</w:t>
      </w:r>
      <w:r w:rsidR="00CE7491">
        <w:t>, which</w:t>
      </w:r>
      <w:r w:rsidRPr="00C61DDE">
        <w:t xml:space="preserve"> must be assessed in the light of the consequences aris</w:t>
      </w:r>
      <w:r w:rsidR="008430CF">
        <w:t>ing</w:t>
      </w:r>
      <w:r w:rsidRPr="00C61DDE">
        <w:t xml:space="preserve"> for the author</w:t>
      </w:r>
      <w:r w:rsidR="008430CF">
        <w:t xml:space="preserve"> and</w:t>
      </w:r>
      <w:r>
        <w:t xml:space="preserve"> his</w:t>
      </w:r>
      <w:r w:rsidRPr="00C61DDE">
        <w:t xml:space="preserve"> association. The Committee </w:t>
      </w:r>
      <w:r w:rsidR="008430CF">
        <w:t xml:space="preserve">also </w:t>
      </w:r>
      <w:r w:rsidRPr="00C61DDE">
        <w:t xml:space="preserve">notes that, even though </w:t>
      </w:r>
      <w:r w:rsidR="008430CF">
        <w:t>the</w:t>
      </w:r>
      <w:r w:rsidRPr="00C61DDE">
        <w:t xml:space="preserve"> reasons</w:t>
      </w:r>
      <w:r w:rsidR="008430CF">
        <w:t xml:space="preserve"> stated</w:t>
      </w:r>
      <w:r w:rsidRPr="00C61DDE">
        <w:t xml:space="preserve"> </w:t>
      </w:r>
      <w:r w:rsidR="008430CF">
        <w:t>are</w:t>
      </w:r>
      <w:r w:rsidRPr="00C61DDE">
        <w:t xml:space="preserve"> prescribed by the relevant law, as it follows from the material before it, the State party has not attempted to advance any argument</w:t>
      </w:r>
      <w:r w:rsidR="008430CF">
        <w:t>s</w:t>
      </w:r>
      <w:r w:rsidRPr="00C61DDE">
        <w:t xml:space="preserve"> as to why they are necessary in the interests of national security or public safety, public order, the protection of public health or morals or the protection of the rights and freedoms of others</w:t>
      </w:r>
      <w:r w:rsidR="008430CF">
        <w:t>,</w:t>
      </w:r>
      <w:r w:rsidR="006061A8">
        <w:t xml:space="preserve"> nor why the </w:t>
      </w:r>
      <w:r w:rsidR="008430CF">
        <w:t>refusal to register the association</w:t>
      </w:r>
      <w:r w:rsidR="006061A8">
        <w:t xml:space="preserve"> was a proportionate response in the circumstances</w:t>
      </w:r>
      <w:r w:rsidRPr="00C61DDE">
        <w:t xml:space="preserve">. </w:t>
      </w:r>
      <w:r w:rsidR="00E3653B">
        <w:t>The Committee further notes that</w:t>
      </w:r>
      <w:r w:rsidR="008430CF">
        <w:t>,</w:t>
      </w:r>
      <w:r w:rsidR="00E3653B">
        <w:t xml:space="preserve"> in the decisions of the domestic authorities </w:t>
      </w:r>
      <w:r w:rsidR="008430CF">
        <w:t xml:space="preserve">that were </w:t>
      </w:r>
      <w:r w:rsidR="00E3653B">
        <w:t>made available</w:t>
      </w:r>
      <w:r w:rsidR="008430CF">
        <w:t>,</w:t>
      </w:r>
      <w:r w:rsidR="00E3653B">
        <w:t xml:space="preserve"> no explanation was </w:t>
      </w:r>
      <w:r w:rsidR="008430CF">
        <w:t>given</w:t>
      </w:r>
      <w:r w:rsidR="00E3653B">
        <w:t xml:space="preserve"> by the authorities, particularly the Supreme Court, as to </w:t>
      </w:r>
      <w:r w:rsidR="008430CF">
        <w:t xml:space="preserve">why it was </w:t>
      </w:r>
      <w:r w:rsidR="00E3653B">
        <w:t>necess</w:t>
      </w:r>
      <w:r w:rsidR="008430CF">
        <w:t>ary</w:t>
      </w:r>
      <w:r w:rsidR="00E3653B">
        <w:t xml:space="preserve"> to restrict the </w:t>
      </w:r>
      <w:r w:rsidR="008430CF">
        <w:t xml:space="preserve">author’s </w:t>
      </w:r>
      <w:r w:rsidR="00E3653B">
        <w:t xml:space="preserve">right to freedom of </w:t>
      </w:r>
      <w:r w:rsidR="009C485D">
        <w:t>association</w:t>
      </w:r>
      <w:r w:rsidR="00E3653B">
        <w:t xml:space="preserve">, </w:t>
      </w:r>
      <w:r w:rsidR="008430CF">
        <w:t>further to</w:t>
      </w:r>
      <w:r w:rsidR="00E3653B">
        <w:t xml:space="preserve"> article 22</w:t>
      </w:r>
      <w:r w:rsidR="008430CF">
        <w:t xml:space="preserve"> (</w:t>
      </w:r>
      <w:r w:rsidR="00E3653B">
        <w:t>2</w:t>
      </w:r>
      <w:r w:rsidR="008430CF">
        <w:t>)</w:t>
      </w:r>
      <w:r w:rsidR="00E3653B">
        <w:t xml:space="preserve"> of the Covenant</w:t>
      </w:r>
      <w:r w:rsidRPr="00C61DDE">
        <w:t>.</w:t>
      </w:r>
      <w:r>
        <w:rPr>
          <w:rStyle w:val="FootnoteReference"/>
        </w:rPr>
        <w:footnoteReference w:id="10"/>
      </w:r>
    </w:p>
    <w:p w14:paraId="477E7EAB" w14:textId="77777777" w:rsidR="002941AD" w:rsidRPr="00C61DDE" w:rsidRDefault="002941AD" w:rsidP="00A56001">
      <w:pPr>
        <w:pStyle w:val="SingleTxtG"/>
      </w:pPr>
      <w:r>
        <w:t>7</w:t>
      </w:r>
      <w:r w:rsidRPr="00C61DDE">
        <w:t>.4</w:t>
      </w:r>
      <w:r w:rsidRPr="00C61DDE">
        <w:tab/>
        <w:t xml:space="preserve">The Committee notes that the </w:t>
      </w:r>
      <w:r w:rsidR="008430CF">
        <w:t xml:space="preserve">refusal to </w:t>
      </w:r>
      <w:r w:rsidRPr="00C61DDE">
        <w:t>regist</w:t>
      </w:r>
      <w:r w:rsidR="008430CF">
        <w:t>e</w:t>
      </w:r>
      <w:r w:rsidRPr="00C61DDE">
        <w:t>r</w:t>
      </w:r>
      <w:r w:rsidR="008430CF">
        <w:t xml:space="preserve"> the association</w:t>
      </w:r>
      <w:r w:rsidRPr="00C61DDE">
        <w:t xml:space="preserve"> led directly to the operation of the association </w:t>
      </w:r>
      <w:r w:rsidR="00A56001">
        <w:t>i</w:t>
      </w:r>
      <w:r w:rsidRPr="00C61DDE">
        <w:t xml:space="preserve">n the territory of the State party being unlawful and directly precluded the author from enjoying </w:t>
      </w:r>
      <w:r>
        <w:t>his right to</w:t>
      </w:r>
      <w:r w:rsidRPr="00C61DDE">
        <w:t xml:space="preserve"> freedom of association. Accordingly, the Committee concludes that the </w:t>
      </w:r>
      <w:r w:rsidR="00A56001">
        <w:t>refusal to register the association</w:t>
      </w:r>
      <w:r w:rsidRPr="00C61DDE">
        <w:t xml:space="preserve"> does not meet the requirements of article</w:t>
      </w:r>
      <w:r w:rsidR="000942C5">
        <w:t xml:space="preserve"> </w:t>
      </w:r>
      <w:r w:rsidRPr="00C61DDE">
        <w:t>22</w:t>
      </w:r>
      <w:r w:rsidR="00A56001">
        <w:t xml:space="preserve"> (</w:t>
      </w:r>
      <w:r w:rsidRPr="00C61DDE">
        <w:t>2</w:t>
      </w:r>
      <w:r w:rsidR="00A56001">
        <w:t xml:space="preserve">) of the Covenant insofar as </w:t>
      </w:r>
      <w:r w:rsidRPr="00C61DDE">
        <w:t>the author</w:t>
      </w:r>
      <w:r w:rsidR="00A56001">
        <w:t xml:space="preserve"> is concerned and deems that t</w:t>
      </w:r>
      <w:r w:rsidRPr="00C61DDE">
        <w:t xml:space="preserve">he </w:t>
      </w:r>
      <w:r w:rsidR="00A56001">
        <w:t xml:space="preserve">author’s </w:t>
      </w:r>
      <w:r w:rsidRPr="00C61DDE">
        <w:t>rights under article</w:t>
      </w:r>
      <w:r w:rsidR="000942C5">
        <w:t xml:space="preserve"> </w:t>
      </w:r>
      <w:r w:rsidRPr="00C61DDE">
        <w:t>22</w:t>
      </w:r>
      <w:r w:rsidR="00A56001">
        <w:t xml:space="preserve"> (</w:t>
      </w:r>
      <w:r w:rsidRPr="00C61DDE">
        <w:t>1</w:t>
      </w:r>
      <w:r w:rsidR="00A56001">
        <w:t>)</w:t>
      </w:r>
      <w:r w:rsidRPr="00C61DDE">
        <w:t xml:space="preserve"> of the Covenant have been violated.</w:t>
      </w:r>
      <w:r>
        <w:rPr>
          <w:rStyle w:val="FootnoteReference"/>
        </w:rPr>
        <w:footnoteReference w:id="11"/>
      </w:r>
    </w:p>
    <w:p w14:paraId="5ACE31B9" w14:textId="77777777" w:rsidR="002941AD" w:rsidRPr="00C61DDE" w:rsidRDefault="002941AD" w:rsidP="00A56001">
      <w:pPr>
        <w:pStyle w:val="SingleTxtG"/>
      </w:pPr>
      <w:r>
        <w:t>7</w:t>
      </w:r>
      <w:r w:rsidRPr="00C61DDE">
        <w:t>.5</w:t>
      </w:r>
      <w:r w:rsidRPr="00C61DDE">
        <w:tab/>
        <w:t xml:space="preserve">In the light of the </w:t>
      </w:r>
      <w:r w:rsidR="00A56001">
        <w:t>foregoing</w:t>
      </w:r>
      <w:r w:rsidRPr="00C61DDE">
        <w:t xml:space="preserve">, the Committee concludes that the </w:t>
      </w:r>
      <w:r>
        <w:t xml:space="preserve">author’s </w:t>
      </w:r>
      <w:r w:rsidRPr="00ED20D9">
        <w:t>right to freedom of association with others</w:t>
      </w:r>
      <w:r w:rsidRPr="00ED20D9" w:rsidDel="00ED20D9">
        <w:t xml:space="preserve"> </w:t>
      </w:r>
      <w:r w:rsidR="00A56001">
        <w:t>did not benefit from</w:t>
      </w:r>
      <w:r w:rsidRPr="00C61DDE">
        <w:t xml:space="preserve"> </w:t>
      </w:r>
      <w:r>
        <w:t xml:space="preserve">adequate or </w:t>
      </w:r>
      <w:r w:rsidRPr="00C61DDE">
        <w:t xml:space="preserve">effective protection. Accordingly, the Committee finds that the facts, as submitted, reveal a violation by the State party of the </w:t>
      </w:r>
      <w:r>
        <w:t xml:space="preserve">author’s </w:t>
      </w:r>
      <w:r w:rsidRPr="00C61DDE">
        <w:t>rights under article</w:t>
      </w:r>
      <w:r w:rsidR="000942C5">
        <w:t xml:space="preserve"> </w:t>
      </w:r>
      <w:r w:rsidRPr="00C61DDE">
        <w:t>22</w:t>
      </w:r>
      <w:r w:rsidR="00A56001">
        <w:t xml:space="preserve"> (</w:t>
      </w:r>
      <w:r w:rsidRPr="00C61DDE">
        <w:t>1</w:t>
      </w:r>
      <w:r w:rsidR="00A56001">
        <w:t>)</w:t>
      </w:r>
      <w:r w:rsidRPr="00C61DDE">
        <w:t xml:space="preserve"> of the Covenant. </w:t>
      </w:r>
    </w:p>
    <w:p w14:paraId="33566A9D" w14:textId="77777777" w:rsidR="002941AD" w:rsidRPr="00C61DDE" w:rsidRDefault="002941AD" w:rsidP="00AB3F03">
      <w:pPr>
        <w:pStyle w:val="SingleTxtG"/>
      </w:pPr>
      <w:r>
        <w:t>8.</w:t>
      </w:r>
      <w:r>
        <w:tab/>
      </w:r>
      <w:r w:rsidRPr="00C61DDE">
        <w:t>The Committee, acting under article</w:t>
      </w:r>
      <w:r w:rsidR="000942C5">
        <w:t xml:space="preserve"> </w:t>
      </w:r>
      <w:r w:rsidRPr="00C61DDE">
        <w:t>5</w:t>
      </w:r>
      <w:r w:rsidR="00A56001">
        <w:t xml:space="preserve"> (</w:t>
      </w:r>
      <w:r w:rsidRPr="00C61DDE">
        <w:t>4</w:t>
      </w:r>
      <w:r w:rsidR="00A56001">
        <w:t>)</w:t>
      </w:r>
      <w:r w:rsidRPr="00C61DDE">
        <w:t xml:space="preserve"> of the Optional Protocol, is of the view that the facts</w:t>
      </w:r>
      <w:r w:rsidR="00984440">
        <w:t xml:space="preserve"> before it disclose</w:t>
      </w:r>
      <w:r w:rsidRPr="00C61DDE">
        <w:t xml:space="preserve"> a violation of the </w:t>
      </w:r>
      <w:r w:rsidR="00984440">
        <w:t xml:space="preserve">author’s </w:t>
      </w:r>
      <w:r w:rsidRPr="00C61DDE">
        <w:t>rights under article</w:t>
      </w:r>
      <w:r w:rsidR="000942C5">
        <w:t xml:space="preserve"> </w:t>
      </w:r>
      <w:r w:rsidRPr="00C61DDE">
        <w:t>22</w:t>
      </w:r>
      <w:r w:rsidR="00A56001">
        <w:t xml:space="preserve"> (</w:t>
      </w:r>
      <w:r w:rsidRPr="00C61DDE">
        <w:t>1</w:t>
      </w:r>
      <w:r w:rsidR="00A56001">
        <w:t>)</w:t>
      </w:r>
      <w:r w:rsidR="00AB3F03">
        <w:t xml:space="preserve"> </w:t>
      </w:r>
      <w:r w:rsidRPr="00C61DDE">
        <w:t>of the Covenant.</w:t>
      </w:r>
    </w:p>
    <w:p w14:paraId="1544CBCD" w14:textId="77777777" w:rsidR="002941AD" w:rsidRPr="00C61DDE" w:rsidRDefault="002941AD" w:rsidP="001618B5">
      <w:pPr>
        <w:pStyle w:val="SingleTxtG"/>
      </w:pPr>
      <w:r>
        <w:t>9</w:t>
      </w:r>
      <w:r w:rsidRPr="00C61DDE">
        <w:t>.</w:t>
      </w:r>
      <w:r w:rsidRPr="00C61DDE">
        <w:tab/>
        <w:t>In accordance with article</w:t>
      </w:r>
      <w:r w:rsidR="000942C5">
        <w:t xml:space="preserve"> </w:t>
      </w:r>
      <w:r w:rsidRPr="00C61DDE">
        <w:t>2</w:t>
      </w:r>
      <w:r w:rsidR="00A56001">
        <w:t xml:space="preserve"> (</w:t>
      </w:r>
      <w:r w:rsidRPr="00C61DDE">
        <w:t>3</w:t>
      </w:r>
      <w:r w:rsidR="00A56001">
        <w:t>)</w:t>
      </w:r>
      <w:r w:rsidRPr="00C61DDE">
        <w:t xml:space="preserve"> (a) of the Covenant, the State party is under an obligation to provide the author with an effective remedy</w:t>
      </w:r>
      <w:r w:rsidR="007B500B">
        <w:t xml:space="preserve">. </w:t>
      </w:r>
      <w:r w:rsidR="007B500B" w:rsidRPr="00987256">
        <w:t>Th</w:t>
      </w:r>
      <w:r w:rsidR="001618B5">
        <w:t>at obligation</w:t>
      </w:r>
      <w:r w:rsidR="007B500B" w:rsidRPr="00987256">
        <w:t xml:space="preserve"> requires </w:t>
      </w:r>
      <w:r w:rsidR="001618B5">
        <w:t>the State party</w:t>
      </w:r>
      <w:r w:rsidR="007B500B" w:rsidRPr="00987256">
        <w:t xml:space="preserve"> to make full reparation to individuals whose Covenant rights have been violated.</w:t>
      </w:r>
      <w:r w:rsidR="007B500B">
        <w:t xml:space="preserve"> Accordingly, the State party is obliged</w:t>
      </w:r>
      <w:r w:rsidR="001432BF">
        <w:t xml:space="preserve"> to</w:t>
      </w:r>
      <w:r w:rsidR="007B500B">
        <w:t xml:space="preserve">, inter alia, </w:t>
      </w:r>
      <w:r w:rsidRPr="00C61DDE">
        <w:t xml:space="preserve">reconsider the application </w:t>
      </w:r>
      <w:r w:rsidR="00AB3F03">
        <w:t>to</w:t>
      </w:r>
      <w:r w:rsidRPr="00C61DDE">
        <w:t xml:space="preserve"> regist</w:t>
      </w:r>
      <w:r w:rsidR="00AB3F03">
        <w:t>e</w:t>
      </w:r>
      <w:r w:rsidRPr="00C61DDE">
        <w:t xml:space="preserve">r the </w:t>
      </w:r>
      <w:r>
        <w:t xml:space="preserve">public </w:t>
      </w:r>
      <w:r w:rsidRPr="00C61DDE">
        <w:t xml:space="preserve">association </w:t>
      </w:r>
      <w:r>
        <w:t>Elderlies</w:t>
      </w:r>
      <w:r w:rsidRPr="00C61DDE">
        <w:t xml:space="preserve"> based on criteria </w:t>
      </w:r>
      <w:r w:rsidR="001432BF">
        <w:t xml:space="preserve">that </w:t>
      </w:r>
      <w:r w:rsidRPr="00C61DDE">
        <w:t>compli</w:t>
      </w:r>
      <w:r w:rsidR="001432BF">
        <w:t>es</w:t>
      </w:r>
      <w:r w:rsidRPr="00C61DDE">
        <w:t xml:space="preserve"> with the requirements of article</w:t>
      </w:r>
      <w:r w:rsidR="000942C5">
        <w:t xml:space="preserve"> </w:t>
      </w:r>
      <w:r w:rsidRPr="00C61DDE">
        <w:t>22 of the Covenant. The State party is also under an obligation to take steps to prevent similar violations in the future.</w:t>
      </w:r>
    </w:p>
    <w:p w14:paraId="0B4B24E2" w14:textId="77777777" w:rsidR="00442A83" w:rsidRDefault="002941AD" w:rsidP="001432BF">
      <w:pPr>
        <w:pStyle w:val="SingleTxtG"/>
      </w:pPr>
      <w:r w:rsidRPr="00C61DDE">
        <w:t>1</w:t>
      </w:r>
      <w:r>
        <w:t>0</w:t>
      </w:r>
      <w:r w:rsidRPr="00C61DDE">
        <w:t>.</w:t>
      </w:r>
      <w:r w:rsidRPr="00C61DDE">
        <w:tab/>
        <w:t>By becoming a party to the Optional Protocol, the State party has recognized the competence of the Committee to determine whether there has been a violation of the Covenant or not</w:t>
      </w:r>
      <w:r w:rsidR="001432BF">
        <w:t>.</w:t>
      </w:r>
      <w:r w:rsidRPr="00C61DDE">
        <w:t xml:space="preserve"> </w:t>
      </w:r>
      <w:r w:rsidR="001432BF">
        <w:t>P</w:t>
      </w:r>
      <w:r w:rsidRPr="00C61DDE">
        <w:t>ursuant to article</w:t>
      </w:r>
      <w:r w:rsidR="000942C5">
        <w:t xml:space="preserve"> </w:t>
      </w:r>
      <w:r w:rsidRPr="00C61DDE">
        <w:t>2 of the Covenant, the State party has undertaken to ensure to all individuals within its territory or subject to its jurisdiction the rights recognized in the Covenant and to provide an effective and enforceable remedy when it has been determined that a violation has occurred</w:t>
      </w:r>
      <w:r w:rsidR="001432BF">
        <w:t>. T</w:t>
      </w:r>
      <w:r w:rsidRPr="00C61DDE">
        <w:t xml:space="preserve">he Committee </w:t>
      </w:r>
      <w:r w:rsidR="001432BF">
        <w:t>therefore requests</w:t>
      </w:r>
      <w:r w:rsidRPr="00C61DDE">
        <w:t xml:space="preserve"> the State party</w:t>
      </w:r>
      <w:r w:rsidR="001432BF">
        <w:t xml:space="preserve"> to provide</w:t>
      </w:r>
      <w:r w:rsidRPr="00C61DDE">
        <w:t xml:space="preserve">, within 180 days, information about the measures taken to give effect to the </w:t>
      </w:r>
      <w:r w:rsidR="001432BF">
        <w:t>present</w:t>
      </w:r>
      <w:r w:rsidR="001432BF" w:rsidRPr="00C61DDE">
        <w:t xml:space="preserve"> </w:t>
      </w:r>
      <w:r w:rsidRPr="00C61DDE">
        <w:t xml:space="preserve">Views. The State party is also requested to publish the present Views and </w:t>
      </w:r>
      <w:r w:rsidRPr="00C61DDE">
        <w:rPr>
          <w:lang w:val="en-US"/>
        </w:rPr>
        <w:t>to have them widely disseminated in Belarusian and Russian in the State party</w:t>
      </w:r>
      <w:r w:rsidRPr="00C61DDE">
        <w:t xml:space="preserve">. </w:t>
      </w:r>
    </w:p>
    <w:p w14:paraId="5CD2A86C" w14:textId="77777777" w:rsidR="002941AD" w:rsidRPr="002941AD" w:rsidRDefault="002941AD" w:rsidP="002941AD">
      <w:pPr>
        <w:pStyle w:val="SingleTxtG"/>
        <w:spacing w:before="240" w:after="0"/>
        <w:jc w:val="center"/>
        <w:rPr>
          <w:u w:val="single"/>
        </w:rPr>
      </w:pPr>
      <w:r>
        <w:rPr>
          <w:u w:val="single"/>
        </w:rPr>
        <w:tab/>
      </w:r>
      <w:r>
        <w:rPr>
          <w:u w:val="single"/>
        </w:rPr>
        <w:tab/>
      </w:r>
      <w:r>
        <w:rPr>
          <w:u w:val="single"/>
        </w:rPr>
        <w:tab/>
      </w:r>
    </w:p>
    <w:sectPr w:rsidR="002941AD" w:rsidRPr="002941AD" w:rsidSect="00F41F35">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08T10:16:00Z" w:initials="Start">
    <w:p w14:paraId="1DF5FF33" w14:textId="77777777" w:rsidR="00F41F35" w:rsidRDefault="00F41F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NO&gt;&gt;N1527885E&lt;&lt;ODS JOB NO&gt;&gt;</w:t>
      </w:r>
    </w:p>
    <w:p w14:paraId="014C008D" w14:textId="77777777" w:rsidR="00F41F35" w:rsidRPr="003456BF" w:rsidRDefault="00F41F35">
      <w:pPr>
        <w:pStyle w:val="CommentText"/>
        <w:rPr>
          <w:lang w:val="fr-CH"/>
        </w:rPr>
      </w:pPr>
      <w:r w:rsidRPr="003456BF">
        <w:rPr>
          <w:lang w:val="fr-CH"/>
        </w:rPr>
        <w:t>&lt;&lt;ODS DOC SYMBOL1&gt;&gt;CCPR/C/115/D/2011/2010&lt;&lt;ODS DOC SYMBOL1&gt;&gt;</w:t>
      </w:r>
    </w:p>
    <w:p w14:paraId="5BBDDD77" w14:textId="77777777" w:rsidR="00F41F35" w:rsidRDefault="00F41F35">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DDD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85CC" w14:textId="77777777" w:rsidR="00B87E68" w:rsidRDefault="00B87E68"/>
  </w:endnote>
  <w:endnote w:type="continuationSeparator" w:id="0">
    <w:p w14:paraId="7F1B15EA" w14:textId="77777777" w:rsidR="00B87E68" w:rsidRDefault="00B87E68"/>
  </w:endnote>
  <w:endnote w:type="continuationNotice" w:id="1">
    <w:p w14:paraId="117FAE44" w14:textId="77777777" w:rsidR="00B87E68" w:rsidRDefault="00B87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A3A5" w14:textId="77777777" w:rsidR="00A87C47" w:rsidRPr="002941AD" w:rsidRDefault="00A87C47" w:rsidP="002941AD">
    <w:pPr>
      <w:pStyle w:val="Footer"/>
      <w:tabs>
        <w:tab w:val="right" w:pos="9638"/>
      </w:tabs>
    </w:pPr>
    <w:r w:rsidRPr="002941AD">
      <w:rPr>
        <w:b/>
        <w:sz w:val="18"/>
      </w:rPr>
      <w:fldChar w:fldCharType="begin"/>
    </w:r>
    <w:r w:rsidRPr="002941AD">
      <w:rPr>
        <w:b/>
        <w:sz w:val="18"/>
      </w:rPr>
      <w:instrText xml:space="preserve"> PAGE  \* MERGEFORMAT </w:instrText>
    </w:r>
    <w:r w:rsidRPr="002941AD">
      <w:rPr>
        <w:b/>
        <w:sz w:val="18"/>
      </w:rPr>
      <w:fldChar w:fldCharType="separate"/>
    </w:r>
    <w:r w:rsidR="00505DE5">
      <w:rPr>
        <w:b/>
        <w:noProof/>
        <w:sz w:val="18"/>
      </w:rPr>
      <w:t>2</w:t>
    </w:r>
    <w:r w:rsidRPr="002941A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879A" w14:textId="77777777" w:rsidR="00A87C47" w:rsidRPr="002941AD" w:rsidRDefault="00A87C47" w:rsidP="002941AD">
    <w:pPr>
      <w:pStyle w:val="Footer"/>
      <w:tabs>
        <w:tab w:val="right" w:pos="9638"/>
      </w:tabs>
      <w:rPr>
        <w:b/>
        <w:sz w:val="18"/>
      </w:rPr>
    </w:pPr>
    <w:r>
      <w:tab/>
    </w:r>
    <w:r w:rsidRPr="002941AD">
      <w:rPr>
        <w:b/>
        <w:sz w:val="18"/>
      </w:rPr>
      <w:fldChar w:fldCharType="begin"/>
    </w:r>
    <w:r w:rsidRPr="002941AD">
      <w:rPr>
        <w:b/>
        <w:sz w:val="18"/>
      </w:rPr>
      <w:instrText xml:space="preserve"> PAGE  \* MERGEFORMAT </w:instrText>
    </w:r>
    <w:r w:rsidRPr="002941AD">
      <w:rPr>
        <w:b/>
        <w:sz w:val="18"/>
      </w:rPr>
      <w:fldChar w:fldCharType="separate"/>
    </w:r>
    <w:r w:rsidR="00505DE5">
      <w:rPr>
        <w:b/>
        <w:noProof/>
        <w:sz w:val="18"/>
      </w:rPr>
      <w:t>3</w:t>
    </w:r>
    <w:r w:rsidRPr="002941A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41F35" w14:paraId="2E0481A5" w14:textId="77777777" w:rsidTr="00F41F35">
      <w:tc>
        <w:tcPr>
          <w:tcW w:w="3614" w:type="dxa"/>
          <w:shd w:val="clear" w:color="auto" w:fill="auto"/>
        </w:tcPr>
        <w:p w14:paraId="68346B17" w14:textId="77777777" w:rsidR="00F41F35" w:rsidRDefault="00F41F35" w:rsidP="00F41F35">
          <w:pPr>
            <w:pStyle w:val="Footer"/>
            <w:rPr>
              <w:sz w:val="20"/>
            </w:rPr>
          </w:pPr>
          <w:r>
            <w:rPr>
              <w:noProof/>
              <w:sz w:val="20"/>
              <w:lang w:val="en-US"/>
            </w:rPr>
            <w:drawing>
              <wp:anchor distT="0" distB="0" distL="114300" distR="114300" simplePos="0" relativeHeight="251658240" behindDoc="0" locked="0" layoutInCell="1" allowOverlap="1" wp14:anchorId="2CF9EC7C" wp14:editId="0AF21A4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011/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11/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GE.15-21314(E)</w:t>
          </w:r>
        </w:p>
        <w:p w14:paraId="3DFD40C6" w14:textId="77777777" w:rsidR="00F41F35" w:rsidRPr="00F41F35" w:rsidRDefault="00F41F35" w:rsidP="00F41F35">
          <w:pPr>
            <w:pStyle w:val="Footer"/>
            <w:rPr>
              <w:rFonts w:ascii="Barcode 3 of 9 by request" w:hAnsi="Barcode 3 of 9 by request"/>
              <w:sz w:val="24"/>
            </w:rPr>
          </w:pPr>
          <w:r>
            <w:rPr>
              <w:rFonts w:ascii="Barcode 3 of 9 by request" w:hAnsi="Barcode 3 of 9 by request"/>
              <w:sz w:val="24"/>
            </w:rPr>
            <w:t>*1521314*</w:t>
          </w:r>
        </w:p>
      </w:tc>
      <w:tc>
        <w:tcPr>
          <w:tcW w:w="4752" w:type="dxa"/>
          <w:shd w:val="clear" w:color="auto" w:fill="auto"/>
        </w:tcPr>
        <w:p w14:paraId="37AAC997" w14:textId="77777777" w:rsidR="00F41F35" w:rsidRDefault="00F41F35" w:rsidP="00F41F35">
          <w:pPr>
            <w:pStyle w:val="Footer"/>
            <w:spacing w:line="240" w:lineRule="atLeast"/>
            <w:jc w:val="right"/>
            <w:rPr>
              <w:sz w:val="20"/>
            </w:rPr>
          </w:pPr>
          <w:r>
            <w:rPr>
              <w:noProof/>
              <w:sz w:val="20"/>
              <w:lang w:val="en-US"/>
            </w:rPr>
            <w:drawing>
              <wp:inline distT="0" distB="0" distL="0" distR="0" wp14:anchorId="04E5F4DA" wp14:editId="04EEFC6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DEE5DF8" w14:textId="77777777" w:rsidR="00F41F35" w:rsidRPr="00F41F35" w:rsidRDefault="00F41F35" w:rsidP="00F41F3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F51AD" w14:textId="77777777" w:rsidR="00B87E68" w:rsidRPr="000B175B" w:rsidRDefault="00B87E68" w:rsidP="000B175B">
      <w:pPr>
        <w:tabs>
          <w:tab w:val="right" w:pos="2155"/>
        </w:tabs>
        <w:spacing w:after="80"/>
        <w:ind w:left="680"/>
        <w:rPr>
          <w:u w:val="single"/>
        </w:rPr>
      </w:pPr>
      <w:r>
        <w:rPr>
          <w:u w:val="single"/>
        </w:rPr>
        <w:tab/>
      </w:r>
    </w:p>
  </w:footnote>
  <w:footnote w:type="continuationSeparator" w:id="0">
    <w:p w14:paraId="14420440" w14:textId="77777777" w:rsidR="00B87E68" w:rsidRPr="00FC68B7" w:rsidRDefault="00B87E68" w:rsidP="00FC68B7">
      <w:pPr>
        <w:tabs>
          <w:tab w:val="left" w:pos="2155"/>
        </w:tabs>
        <w:spacing w:after="80"/>
        <w:ind w:left="680"/>
        <w:rPr>
          <w:u w:val="single"/>
        </w:rPr>
      </w:pPr>
      <w:r>
        <w:rPr>
          <w:u w:val="single"/>
        </w:rPr>
        <w:tab/>
      </w:r>
    </w:p>
  </w:footnote>
  <w:footnote w:type="continuationNotice" w:id="1">
    <w:p w14:paraId="65CCA2CA" w14:textId="77777777" w:rsidR="00B87E68" w:rsidRDefault="00B87E68"/>
  </w:footnote>
  <w:footnote w:id="2">
    <w:p w14:paraId="5F54DD05" w14:textId="77777777" w:rsidR="00A87C47" w:rsidRPr="00EE1CDD" w:rsidRDefault="00A87C47" w:rsidP="00A44699">
      <w:pPr>
        <w:pStyle w:val="FootnoteText"/>
      </w:pPr>
      <w:r w:rsidRPr="000346C1">
        <w:rPr>
          <w:rStyle w:val="FootnoteReference"/>
          <w:sz w:val="20"/>
        </w:rPr>
        <w:tab/>
        <w:t>*</w:t>
      </w:r>
      <w:r>
        <w:rPr>
          <w:rStyle w:val="FootnoteReference"/>
          <w:sz w:val="20"/>
          <w:vertAlign w:val="baseline"/>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w:t>
      </w:r>
      <w:r>
        <w:t xml:space="preserve">Ahmed Amin Fathalla, </w:t>
      </w:r>
      <w:r w:rsidR="00A44699" w:rsidRPr="00D11C79">
        <w:t xml:space="preserve">Olivier </w:t>
      </w:r>
      <w:r w:rsidR="00A44699" w:rsidRPr="00F118A5">
        <w:t>d</w:t>
      </w:r>
      <w:r w:rsidR="00A44699" w:rsidRPr="00D11C79">
        <w:t xml:space="preserve">e Frouville, </w:t>
      </w:r>
      <w:r w:rsidRPr="00D11C79">
        <w:t>Yuji Iwasawa, Ivana Jeli</w:t>
      </w:r>
      <w:r>
        <w:t>ć</w:t>
      </w:r>
      <w:r w:rsidRPr="00D11C79">
        <w:t xml:space="preserve">, Duncan </w:t>
      </w:r>
      <w:r>
        <w:t xml:space="preserve">Laki </w:t>
      </w:r>
      <w:r w:rsidRPr="00D11C79">
        <w:t>Muhumuza, Photini Pazartzis, Mauro Politi, Sir Nigel Rodley, V</w:t>
      </w:r>
      <w:r>
        <w:t>í</w:t>
      </w:r>
      <w:r w:rsidRPr="00D11C79">
        <w:t>ctor Manuel Rodríguez-Resci</w:t>
      </w:r>
      <w:r w:rsidRPr="007C2A7D">
        <w:t xml:space="preserve">a, Fabián Omar Salvioli, Dheerujlall Seetulsingh, </w:t>
      </w:r>
      <w:r>
        <w:t>Anja Seibert-Fohr, Yuval Shany, Konstantine Vardzelashvili</w:t>
      </w:r>
      <w:r w:rsidRPr="00604373">
        <w:t xml:space="preserve"> </w:t>
      </w:r>
      <w:r w:rsidRPr="007C2A7D">
        <w:t>and Margo Waterval.</w:t>
      </w:r>
    </w:p>
  </w:footnote>
  <w:footnote w:id="3">
    <w:p w14:paraId="55AFE31B" w14:textId="77777777" w:rsidR="00A87C47" w:rsidRPr="002D7094" w:rsidRDefault="00A87C47" w:rsidP="002941AD">
      <w:pPr>
        <w:pStyle w:val="FootnoteText"/>
        <w:rPr>
          <w:highlight w:val="yellow"/>
        </w:rPr>
      </w:pPr>
      <w:r>
        <w:tab/>
      </w:r>
      <w:r>
        <w:rPr>
          <w:rStyle w:val="FootnoteReference"/>
        </w:rPr>
        <w:footnoteRef/>
      </w:r>
      <w:r>
        <w:tab/>
      </w:r>
      <w:r w:rsidRPr="003E00B8">
        <w:t>S</w:t>
      </w:r>
      <w:r w:rsidRPr="00F824F7">
        <w:t xml:space="preserve">ee, inter alia, </w:t>
      </w:r>
      <w:r w:rsidRPr="002941AD">
        <w:t>communication</w:t>
      </w:r>
      <w:r w:rsidRPr="00F824F7">
        <w:t xml:space="preserve"> No. 869/1999, </w:t>
      </w:r>
      <w:r w:rsidRPr="00EE1CDD">
        <w:rPr>
          <w:i/>
        </w:rPr>
        <w:t xml:space="preserve">Piandiong et al. </w:t>
      </w:r>
      <w:r w:rsidRPr="000346C1">
        <w:rPr>
          <w:i/>
          <w:iCs/>
        </w:rPr>
        <w:t>v.</w:t>
      </w:r>
      <w:r w:rsidRPr="00EE1CDD">
        <w:rPr>
          <w:i/>
        </w:rPr>
        <w:t xml:space="preserve"> Philippines</w:t>
      </w:r>
      <w:r w:rsidRPr="003E00B8">
        <w:t>, Views adopted on 19 October 2000, para. 5.1.</w:t>
      </w:r>
    </w:p>
  </w:footnote>
  <w:footnote w:id="4">
    <w:p w14:paraId="57A857ED" w14:textId="77777777" w:rsidR="00A87C47" w:rsidRPr="002D7094" w:rsidRDefault="00A87C47" w:rsidP="00B048F7">
      <w:pPr>
        <w:pStyle w:val="FootnoteText"/>
        <w:rPr>
          <w:highlight w:val="yellow"/>
          <w:lang w:val="en-US"/>
        </w:rPr>
      </w:pPr>
      <w:r>
        <w:tab/>
      </w:r>
      <w:r w:rsidRPr="003E00B8">
        <w:rPr>
          <w:rStyle w:val="FootnoteReference"/>
        </w:rPr>
        <w:footnoteRef/>
      </w:r>
      <w:r>
        <w:tab/>
      </w:r>
      <w:r w:rsidRPr="00F824F7">
        <w:t>See communication</w:t>
      </w:r>
      <w:r>
        <w:t xml:space="preserve">s No. 1949/2010, </w:t>
      </w:r>
      <w:r w:rsidRPr="00EE1CDD">
        <w:rPr>
          <w:i/>
        </w:rPr>
        <w:t>Kozlov et al v. Belarus</w:t>
      </w:r>
      <w:r>
        <w:t xml:space="preserve">, Views adopted on 25 March 2015, paras. 5.1-5.2; </w:t>
      </w:r>
      <w:r w:rsidRPr="003E00B8">
        <w:t xml:space="preserve">No. 1226/2003, </w:t>
      </w:r>
      <w:r w:rsidRPr="00EE1CDD">
        <w:rPr>
          <w:i/>
        </w:rPr>
        <w:t xml:space="preserve">Korneenko </w:t>
      </w:r>
      <w:r w:rsidRPr="000346C1">
        <w:rPr>
          <w:i/>
          <w:iCs/>
        </w:rPr>
        <w:t>v.</w:t>
      </w:r>
      <w:r w:rsidRPr="00EE1CDD">
        <w:rPr>
          <w:i/>
        </w:rPr>
        <w:t xml:space="preserve"> Belarus</w:t>
      </w:r>
      <w:r w:rsidRPr="003E00B8">
        <w:t>, Views adopted on 20 July 2012, paras. 8.1</w:t>
      </w:r>
      <w:r>
        <w:t>-</w:t>
      </w:r>
      <w:r w:rsidRPr="003E00B8">
        <w:t xml:space="preserve">8.2; </w:t>
      </w:r>
      <w:r>
        <w:t>and</w:t>
      </w:r>
      <w:r w:rsidRPr="00F824F7">
        <w:t xml:space="preserve"> </w:t>
      </w:r>
      <w:r w:rsidRPr="00822486">
        <w:t xml:space="preserve">No. 1948/2010, </w:t>
      </w:r>
      <w:r w:rsidRPr="00EE1CDD">
        <w:rPr>
          <w:i/>
        </w:rPr>
        <w:t xml:space="preserve">Turchenyak et al. </w:t>
      </w:r>
      <w:r w:rsidRPr="000346C1">
        <w:rPr>
          <w:i/>
          <w:iCs/>
        </w:rPr>
        <w:t>v.</w:t>
      </w:r>
      <w:r w:rsidRPr="00EE1CDD">
        <w:rPr>
          <w:i/>
        </w:rPr>
        <w:t xml:space="preserve"> Belarus</w:t>
      </w:r>
      <w:r w:rsidRPr="003E00B8">
        <w:t>, Views adopted on 24 July 2013, paras. 5.1</w:t>
      </w:r>
      <w:r>
        <w:t>-</w:t>
      </w:r>
      <w:r w:rsidRPr="003E00B8">
        <w:t>5.2.</w:t>
      </w:r>
    </w:p>
  </w:footnote>
  <w:footnote w:id="5">
    <w:p w14:paraId="7042061F" w14:textId="77777777" w:rsidR="00A87C47" w:rsidRPr="0008278D" w:rsidRDefault="00A87C47" w:rsidP="00B048F7">
      <w:pPr>
        <w:pStyle w:val="FootnoteText"/>
      </w:pPr>
      <w:r>
        <w:tab/>
      </w:r>
      <w:r w:rsidRPr="00EE1CDD">
        <w:rPr>
          <w:rStyle w:val="FootnoteReference"/>
        </w:rPr>
        <w:footnoteRef/>
      </w:r>
      <w:r>
        <w:tab/>
        <w:t>See, inter alia, c</w:t>
      </w:r>
      <w:r w:rsidRPr="000346C1">
        <w:t>ommunication</w:t>
      </w:r>
      <w:r>
        <w:t>s</w:t>
      </w:r>
      <w:r w:rsidRPr="000346C1">
        <w:t xml:space="preserve"> No. 1873/2009, </w:t>
      </w:r>
      <w:r w:rsidRPr="000346C1">
        <w:rPr>
          <w:i/>
        </w:rPr>
        <w:t>Alekseev v. Russian Federation</w:t>
      </w:r>
      <w:r w:rsidRPr="000346C1">
        <w:t>, Views adopted on 25 October 2013, para</w:t>
      </w:r>
      <w:r>
        <w:t xml:space="preserve">. </w:t>
      </w:r>
      <w:r w:rsidRPr="000346C1">
        <w:t>8.4;</w:t>
      </w:r>
      <w:r>
        <w:t xml:space="preserve"> </w:t>
      </w:r>
      <w:r w:rsidRPr="00E367BA">
        <w:t>and</w:t>
      </w:r>
      <w:r>
        <w:t xml:space="preserve"> No. 1985/2010,</w:t>
      </w:r>
      <w:r w:rsidRPr="00E367BA">
        <w:t xml:space="preserve"> </w:t>
      </w:r>
      <w:r w:rsidRPr="00E367BA">
        <w:rPr>
          <w:i/>
        </w:rPr>
        <w:t>Koktish v. Belarus</w:t>
      </w:r>
      <w:r w:rsidRPr="000346C1">
        <w:t xml:space="preserve">, </w:t>
      </w:r>
      <w:r>
        <w:t xml:space="preserve">Views adopted on 24 July 2014, </w:t>
      </w:r>
      <w:r w:rsidRPr="000346C1">
        <w:t>para</w:t>
      </w:r>
      <w:r>
        <w:t>.</w:t>
      </w:r>
      <w:r w:rsidRPr="000346C1">
        <w:t xml:space="preserve"> 7.3</w:t>
      </w:r>
    </w:p>
  </w:footnote>
  <w:footnote w:id="6">
    <w:p w14:paraId="2FF1CA19" w14:textId="77777777" w:rsidR="00A87C47" w:rsidRPr="006D38FE" w:rsidRDefault="00A87C47" w:rsidP="00ED6C3B">
      <w:pPr>
        <w:pStyle w:val="FootnoteText"/>
      </w:pPr>
      <w:r>
        <w:tab/>
      </w:r>
      <w:r w:rsidRPr="00D021B4">
        <w:rPr>
          <w:rStyle w:val="FootnoteReference"/>
        </w:rPr>
        <w:footnoteRef/>
      </w:r>
      <w:r>
        <w:tab/>
      </w:r>
      <w:r w:rsidRPr="009B04DD">
        <w:t>Communication</w:t>
      </w:r>
      <w:r w:rsidRPr="006D38FE">
        <w:t xml:space="preserve"> No. 1167/2003, </w:t>
      </w:r>
      <w:r w:rsidRPr="006D38FE">
        <w:rPr>
          <w:i/>
        </w:rPr>
        <w:t>Rayos v. Philippines</w:t>
      </w:r>
      <w:r>
        <w:t>, Views adopted on</w:t>
      </w:r>
      <w:r w:rsidRPr="006D38FE">
        <w:t xml:space="preserve"> 27 July 2004, para</w:t>
      </w:r>
      <w:r>
        <w:t>.</w:t>
      </w:r>
      <w:r w:rsidRPr="006D38FE">
        <w:t xml:space="preserve"> 6.8.</w:t>
      </w:r>
    </w:p>
  </w:footnote>
  <w:footnote w:id="7">
    <w:p w14:paraId="69E2FE37" w14:textId="77777777" w:rsidR="00A87C47" w:rsidRPr="00B13D7A" w:rsidRDefault="00A87C47" w:rsidP="002941AD">
      <w:pPr>
        <w:pStyle w:val="FootnoteText"/>
      </w:pPr>
      <w:r>
        <w:tab/>
      </w:r>
      <w:r w:rsidRPr="00F83475">
        <w:rPr>
          <w:rStyle w:val="FootnoteReference"/>
        </w:rPr>
        <w:footnoteRef/>
      </w:r>
      <w:r>
        <w:tab/>
      </w:r>
      <w:r w:rsidRPr="00B13D7A">
        <w:t xml:space="preserve">See </w:t>
      </w:r>
      <w:r w:rsidRPr="002941AD">
        <w:t>communication</w:t>
      </w:r>
      <w:r w:rsidRPr="00B13D7A">
        <w:t xml:space="preserve"> </w:t>
      </w:r>
      <w:r>
        <w:t xml:space="preserve">No. </w:t>
      </w:r>
      <w:r w:rsidRPr="00B13D7A">
        <w:t xml:space="preserve">550/1993, </w:t>
      </w:r>
      <w:r w:rsidRPr="00EE1CDD">
        <w:rPr>
          <w:i/>
          <w:iCs/>
        </w:rPr>
        <w:t>Faurisson v. France</w:t>
      </w:r>
      <w:r w:rsidRPr="00B13D7A">
        <w:t xml:space="preserve">, Views adopted on </w:t>
      </w:r>
      <w:r>
        <w:t>8 November</w:t>
      </w:r>
      <w:r w:rsidRPr="00B13D7A">
        <w:t xml:space="preserve"> 1996, para</w:t>
      </w:r>
      <w:r>
        <w:t xml:space="preserve">. </w:t>
      </w:r>
      <w:r w:rsidRPr="00B13D7A">
        <w:t>9.3.</w:t>
      </w:r>
    </w:p>
  </w:footnote>
  <w:footnote w:id="8">
    <w:p w14:paraId="443F7BB7" w14:textId="77777777" w:rsidR="00A87C47" w:rsidRPr="00ED6C3B" w:rsidRDefault="00A87C47" w:rsidP="00352A77">
      <w:pPr>
        <w:pStyle w:val="FootnoteText"/>
        <w:rPr>
          <w:lang w:val="en-US"/>
        </w:rPr>
      </w:pPr>
      <w:r>
        <w:tab/>
      </w:r>
      <w:r w:rsidRPr="00F83475">
        <w:rPr>
          <w:rStyle w:val="FootnoteReference"/>
        </w:rPr>
        <w:footnoteRef/>
      </w:r>
      <w:r>
        <w:tab/>
      </w:r>
      <w:r w:rsidRPr="00B13D7A">
        <w:t xml:space="preserve">See, </w:t>
      </w:r>
      <w:r>
        <w:t>for example</w:t>
      </w:r>
      <w:r w:rsidRPr="00B13D7A">
        <w:t>, communication</w:t>
      </w:r>
      <w:r>
        <w:t>s</w:t>
      </w:r>
      <w:r w:rsidRPr="00B13D7A">
        <w:t xml:space="preserve"> </w:t>
      </w:r>
      <w:r>
        <w:t xml:space="preserve">No. </w:t>
      </w:r>
      <w:r w:rsidRPr="00B13D7A">
        <w:t xml:space="preserve">1039/2001, </w:t>
      </w:r>
      <w:r w:rsidRPr="00EE1CDD">
        <w:rPr>
          <w:i/>
          <w:iCs/>
        </w:rPr>
        <w:t>Zvozskov et al. v. Belarus</w:t>
      </w:r>
      <w:r w:rsidRPr="00B3731A">
        <w:t>,</w:t>
      </w:r>
      <w:r w:rsidRPr="00B13D7A">
        <w:t xml:space="preserve"> Views </w:t>
      </w:r>
      <w:r>
        <w:t>adopted on</w:t>
      </w:r>
      <w:r w:rsidRPr="00B13D7A">
        <w:t xml:space="preserve"> 17 October 2006, para</w:t>
      </w:r>
      <w:r>
        <w:t xml:space="preserve">. </w:t>
      </w:r>
      <w:r w:rsidRPr="00ED6C3B">
        <w:rPr>
          <w:lang w:val="en-US"/>
        </w:rPr>
        <w:t xml:space="preserve">7.2; </w:t>
      </w:r>
      <w:r w:rsidR="00987256">
        <w:rPr>
          <w:lang w:val="en-US"/>
        </w:rPr>
        <w:t xml:space="preserve">and </w:t>
      </w:r>
      <w:r w:rsidRPr="00ED6C3B">
        <w:rPr>
          <w:lang w:val="en-US"/>
        </w:rPr>
        <w:t xml:space="preserve">No. 1383/2005, </w:t>
      </w:r>
      <w:r w:rsidRPr="00ED6C3B">
        <w:rPr>
          <w:i/>
          <w:lang w:val="en-US"/>
        </w:rPr>
        <w:t>Katsora et al.</w:t>
      </w:r>
      <w:r w:rsidRPr="00ED6C3B">
        <w:rPr>
          <w:i/>
          <w:iCs/>
          <w:lang w:val="en-US"/>
        </w:rPr>
        <w:t xml:space="preserve"> v. Belarus</w:t>
      </w:r>
      <w:r w:rsidRPr="00ED6C3B">
        <w:rPr>
          <w:lang w:val="en-US"/>
        </w:rPr>
        <w:t xml:space="preserve">, Views adopted on 25 October 2010, para. 8.2. </w:t>
      </w:r>
    </w:p>
  </w:footnote>
  <w:footnote w:id="9">
    <w:p w14:paraId="5279FF5C" w14:textId="77777777" w:rsidR="00A87C47" w:rsidRPr="00B13D7A" w:rsidRDefault="00A87C47" w:rsidP="00352A77">
      <w:pPr>
        <w:pStyle w:val="FootnoteText"/>
      </w:pPr>
      <w:r w:rsidRPr="00ED6C3B">
        <w:rPr>
          <w:lang w:val="en-US"/>
        </w:rPr>
        <w:tab/>
      </w:r>
      <w:r w:rsidRPr="00F83475">
        <w:rPr>
          <w:rStyle w:val="FootnoteReference"/>
        </w:rPr>
        <w:footnoteRef/>
      </w:r>
      <w:r w:rsidRPr="008207D7">
        <w:rPr>
          <w:lang w:val="en-US"/>
        </w:rPr>
        <w:tab/>
        <w:t xml:space="preserve">See </w:t>
      </w:r>
      <w:r w:rsidRPr="008207D7">
        <w:rPr>
          <w:i/>
          <w:lang w:val="en-US"/>
        </w:rPr>
        <w:t>Katsora et al. v. Belarus</w:t>
      </w:r>
      <w:r w:rsidRPr="008207D7">
        <w:rPr>
          <w:lang w:val="en-US"/>
        </w:rPr>
        <w:t xml:space="preserve">, para. </w:t>
      </w:r>
      <w:r>
        <w:t>8.2</w:t>
      </w:r>
      <w:r w:rsidRPr="00530C94">
        <w:t>.</w:t>
      </w:r>
    </w:p>
  </w:footnote>
  <w:footnote w:id="10">
    <w:p w14:paraId="2D464B22" w14:textId="77777777" w:rsidR="00A87C47" w:rsidRPr="00AD70EA" w:rsidRDefault="00A87C47" w:rsidP="002941AD">
      <w:pPr>
        <w:pStyle w:val="FootnoteText"/>
      </w:pPr>
      <w:r>
        <w:tab/>
      </w:r>
      <w:r>
        <w:rPr>
          <w:rStyle w:val="FootnoteReference"/>
        </w:rPr>
        <w:footnoteRef/>
      </w:r>
      <w:r>
        <w:tab/>
      </w:r>
      <w:r w:rsidRPr="00B13D7A">
        <w:t xml:space="preserve">See, </w:t>
      </w:r>
      <w:r>
        <w:t>for example</w:t>
      </w:r>
      <w:r w:rsidRPr="00B13D7A">
        <w:t xml:space="preserve">, communication </w:t>
      </w:r>
      <w:r>
        <w:t>No. 2153/2012</w:t>
      </w:r>
      <w:r w:rsidRPr="00B13D7A">
        <w:t xml:space="preserve">, </w:t>
      </w:r>
      <w:r w:rsidRPr="00EE1CDD">
        <w:rPr>
          <w:i/>
          <w:iCs/>
        </w:rPr>
        <w:t>Kalyakin</w:t>
      </w:r>
      <w:r>
        <w:rPr>
          <w:i/>
          <w:iCs/>
        </w:rPr>
        <w:t xml:space="preserve"> et al.</w:t>
      </w:r>
      <w:r w:rsidRPr="00EE1CDD">
        <w:rPr>
          <w:i/>
          <w:iCs/>
        </w:rPr>
        <w:t xml:space="preserve"> v. Belarus</w:t>
      </w:r>
      <w:r w:rsidRPr="00B3731A">
        <w:t>,</w:t>
      </w:r>
      <w:r w:rsidRPr="00B13D7A">
        <w:t xml:space="preserve"> Views </w:t>
      </w:r>
      <w:r>
        <w:t>adopted on 10 October 2014</w:t>
      </w:r>
      <w:r w:rsidRPr="00B13D7A">
        <w:t>, para</w:t>
      </w:r>
      <w:r>
        <w:t>. 9.3.</w:t>
      </w:r>
    </w:p>
  </w:footnote>
  <w:footnote w:id="11">
    <w:p w14:paraId="7CBD219A" w14:textId="77777777" w:rsidR="00A87C47" w:rsidRPr="000346C1" w:rsidRDefault="00A87C47" w:rsidP="002941AD">
      <w:pPr>
        <w:pStyle w:val="FootnoteText"/>
        <w:rPr>
          <w:lang w:val="en-US"/>
        </w:rPr>
      </w:pPr>
      <w:r w:rsidRPr="000346C1">
        <w:rPr>
          <w:lang w:val="en-US"/>
        </w:rPr>
        <w:tab/>
      </w:r>
      <w:r>
        <w:rPr>
          <w:rStyle w:val="FootnoteReference"/>
        </w:rPr>
        <w:footnoteRef/>
      </w:r>
      <w:r w:rsidRPr="000346C1">
        <w:rPr>
          <w:lang w:val="en-US"/>
        </w:rPr>
        <w:tab/>
        <w:t>Ibid</w:t>
      </w:r>
      <w:r>
        <w:rPr>
          <w:lang w:val="en-US"/>
        </w:rPr>
        <w:t>.</w:t>
      </w:r>
      <w:r w:rsidRPr="000346C1">
        <w:rPr>
          <w:lang w:val="en-US"/>
        </w:rPr>
        <w:t>, para.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C8D2" w14:textId="77777777" w:rsidR="00A87C47" w:rsidRPr="002941AD" w:rsidRDefault="00A87C47">
    <w:pPr>
      <w:pStyle w:val="Header"/>
    </w:pPr>
    <w:r>
      <w:t>CCPR/C/115/D/2011/2010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D9F3" w14:textId="77777777" w:rsidR="00A87C47" w:rsidRPr="002941AD" w:rsidRDefault="00A87C47" w:rsidP="002941AD">
    <w:pPr>
      <w:pStyle w:val="Header"/>
      <w:jc w:val="right"/>
    </w:pPr>
    <w:r>
      <w:t>CCPR/C/115/D/2011/2010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B2288"/>
    <w:multiLevelType w:val="hybridMultilevel"/>
    <w:tmpl w:val="EE0E0FE4"/>
    <w:lvl w:ilvl="0" w:tplc="2EF0392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AD"/>
    <w:rsid w:val="0000709B"/>
    <w:rsid w:val="00024AB3"/>
    <w:rsid w:val="000272B3"/>
    <w:rsid w:val="000346C1"/>
    <w:rsid w:val="00050F6B"/>
    <w:rsid w:val="00057E97"/>
    <w:rsid w:val="00060C3A"/>
    <w:rsid w:val="00072C8C"/>
    <w:rsid w:val="000733B5"/>
    <w:rsid w:val="00075BCD"/>
    <w:rsid w:val="000763CA"/>
    <w:rsid w:val="00081815"/>
    <w:rsid w:val="00081EB4"/>
    <w:rsid w:val="0008578B"/>
    <w:rsid w:val="000931C0"/>
    <w:rsid w:val="00093D5F"/>
    <w:rsid w:val="000942C5"/>
    <w:rsid w:val="000A63D0"/>
    <w:rsid w:val="000B175B"/>
    <w:rsid w:val="000B3A0F"/>
    <w:rsid w:val="000B4EF7"/>
    <w:rsid w:val="000C2C03"/>
    <w:rsid w:val="000C2D2E"/>
    <w:rsid w:val="000C551E"/>
    <w:rsid w:val="000E0415"/>
    <w:rsid w:val="0010599C"/>
    <w:rsid w:val="001103AA"/>
    <w:rsid w:val="00116DF2"/>
    <w:rsid w:val="001432BF"/>
    <w:rsid w:val="001618B5"/>
    <w:rsid w:val="00165F3A"/>
    <w:rsid w:val="00183968"/>
    <w:rsid w:val="001A24D1"/>
    <w:rsid w:val="001A6686"/>
    <w:rsid w:val="001B4B04"/>
    <w:rsid w:val="001C08DE"/>
    <w:rsid w:val="001C6663"/>
    <w:rsid w:val="001C7895"/>
    <w:rsid w:val="001D0C8C"/>
    <w:rsid w:val="001D26DF"/>
    <w:rsid w:val="001D3A03"/>
    <w:rsid w:val="00202DA8"/>
    <w:rsid w:val="00211E0B"/>
    <w:rsid w:val="0023210C"/>
    <w:rsid w:val="0023613D"/>
    <w:rsid w:val="00252293"/>
    <w:rsid w:val="00267F5F"/>
    <w:rsid w:val="00286B4D"/>
    <w:rsid w:val="002941AD"/>
    <w:rsid w:val="002A01A5"/>
    <w:rsid w:val="002C7293"/>
    <w:rsid w:val="002F175C"/>
    <w:rsid w:val="00302A92"/>
    <w:rsid w:val="003040D3"/>
    <w:rsid w:val="003229D8"/>
    <w:rsid w:val="00326098"/>
    <w:rsid w:val="00335986"/>
    <w:rsid w:val="003456BF"/>
    <w:rsid w:val="00352709"/>
    <w:rsid w:val="00352A77"/>
    <w:rsid w:val="00367567"/>
    <w:rsid w:val="00371178"/>
    <w:rsid w:val="0038336C"/>
    <w:rsid w:val="003A6810"/>
    <w:rsid w:val="003C2CC4"/>
    <w:rsid w:val="003D4B23"/>
    <w:rsid w:val="003E708F"/>
    <w:rsid w:val="00410C89"/>
    <w:rsid w:val="00426B9B"/>
    <w:rsid w:val="004325CB"/>
    <w:rsid w:val="00436B33"/>
    <w:rsid w:val="00442A83"/>
    <w:rsid w:val="0045495B"/>
    <w:rsid w:val="004748C3"/>
    <w:rsid w:val="0047539E"/>
    <w:rsid w:val="00487488"/>
    <w:rsid w:val="004C0FF7"/>
    <w:rsid w:val="004D27FE"/>
    <w:rsid w:val="00502358"/>
    <w:rsid w:val="00505DE5"/>
    <w:rsid w:val="0052136D"/>
    <w:rsid w:val="0052775E"/>
    <w:rsid w:val="005420F2"/>
    <w:rsid w:val="005628B6"/>
    <w:rsid w:val="005848B3"/>
    <w:rsid w:val="00590F87"/>
    <w:rsid w:val="00592C4A"/>
    <w:rsid w:val="0059692D"/>
    <w:rsid w:val="005A553F"/>
    <w:rsid w:val="005B3DB3"/>
    <w:rsid w:val="005F2C2F"/>
    <w:rsid w:val="005F7717"/>
    <w:rsid w:val="005F7B75"/>
    <w:rsid w:val="006001EE"/>
    <w:rsid w:val="00602AC5"/>
    <w:rsid w:val="00604373"/>
    <w:rsid w:val="00605042"/>
    <w:rsid w:val="006061A8"/>
    <w:rsid w:val="0061014B"/>
    <w:rsid w:val="00611FC4"/>
    <w:rsid w:val="006176FB"/>
    <w:rsid w:val="00640B26"/>
    <w:rsid w:val="00652D0A"/>
    <w:rsid w:val="00662BB6"/>
    <w:rsid w:val="00684C21"/>
    <w:rsid w:val="006D37AF"/>
    <w:rsid w:val="006D51D0"/>
    <w:rsid w:val="006E564B"/>
    <w:rsid w:val="006E7191"/>
    <w:rsid w:val="00703577"/>
    <w:rsid w:val="007132F8"/>
    <w:rsid w:val="0072632A"/>
    <w:rsid w:val="007327D5"/>
    <w:rsid w:val="007629C8"/>
    <w:rsid w:val="00763B0F"/>
    <w:rsid w:val="007B500B"/>
    <w:rsid w:val="007B6BA5"/>
    <w:rsid w:val="007C3390"/>
    <w:rsid w:val="007C4F4B"/>
    <w:rsid w:val="007C6907"/>
    <w:rsid w:val="007C784F"/>
    <w:rsid w:val="007E0B2D"/>
    <w:rsid w:val="007F6611"/>
    <w:rsid w:val="008105B8"/>
    <w:rsid w:val="008207D7"/>
    <w:rsid w:val="008242D7"/>
    <w:rsid w:val="008257B1"/>
    <w:rsid w:val="008430CF"/>
    <w:rsid w:val="00843767"/>
    <w:rsid w:val="008679D9"/>
    <w:rsid w:val="008979B1"/>
    <w:rsid w:val="008A1DB2"/>
    <w:rsid w:val="008A6B25"/>
    <w:rsid w:val="008A6C4F"/>
    <w:rsid w:val="008B2335"/>
    <w:rsid w:val="008E0678"/>
    <w:rsid w:val="00910F40"/>
    <w:rsid w:val="00912C08"/>
    <w:rsid w:val="009142E2"/>
    <w:rsid w:val="009223CA"/>
    <w:rsid w:val="00940F93"/>
    <w:rsid w:val="0095347F"/>
    <w:rsid w:val="009760F3"/>
    <w:rsid w:val="00984440"/>
    <w:rsid w:val="00987256"/>
    <w:rsid w:val="009909F5"/>
    <w:rsid w:val="009A0E8D"/>
    <w:rsid w:val="009B04DD"/>
    <w:rsid w:val="009B26E7"/>
    <w:rsid w:val="009C166C"/>
    <w:rsid w:val="009C485D"/>
    <w:rsid w:val="00A00A3F"/>
    <w:rsid w:val="00A01489"/>
    <w:rsid w:val="00A03AED"/>
    <w:rsid w:val="00A338F1"/>
    <w:rsid w:val="00A44615"/>
    <w:rsid w:val="00A44699"/>
    <w:rsid w:val="00A44754"/>
    <w:rsid w:val="00A56001"/>
    <w:rsid w:val="00A64471"/>
    <w:rsid w:val="00A72F22"/>
    <w:rsid w:val="00A7360F"/>
    <w:rsid w:val="00A748A6"/>
    <w:rsid w:val="00A769F4"/>
    <w:rsid w:val="00A776B4"/>
    <w:rsid w:val="00A87C47"/>
    <w:rsid w:val="00A924ED"/>
    <w:rsid w:val="00A9310B"/>
    <w:rsid w:val="00A94361"/>
    <w:rsid w:val="00AA293C"/>
    <w:rsid w:val="00AB3F03"/>
    <w:rsid w:val="00B02E81"/>
    <w:rsid w:val="00B048F7"/>
    <w:rsid w:val="00B13E9B"/>
    <w:rsid w:val="00B30179"/>
    <w:rsid w:val="00B339A7"/>
    <w:rsid w:val="00B37CF3"/>
    <w:rsid w:val="00B56E4A"/>
    <w:rsid w:val="00B56E9C"/>
    <w:rsid w:val="00B646CC"/>
    <w:rsid w:val="00B64B1F"/>
    <w:rsid w:val="00B6553F"/>
    <w:rsid w:val="00B66E5E"/>
    <w:rsid w:val="00B77D05"/>
    <w:rsid w:val="00B81206"/>
    <w:rsid w:val="00B81E12"/>
    <w:rsid w:val="00B87E68"/>
    <w:rsid w:val="00B9067B"/>
    <w:rsid w:val="00BB1B74"/>
    <w:rsid w:val="00BC2C23"/>
    <w:rsid w:val="00BC74E9"/>
    <w:rsid w:val="00BC7DCF"/>
    <w:rsid w:val="00BD1A5A"/>
    <w:rsid w:val="00BF24F6"/>
    <w:rsid w:val="00BF4599"/>
    <w:rsid w:val="00BF68A8"/>
    <w:rsid w:val="00C01146"/>
    <w:rsid w:val="00C113B1"/>
    <w:rsid w:val="00C11A03"/>
    <w:rsid w:val="00C12103"/>
    <w:rsid w:val="00C22D2E"/>
    <w:rsid w:val="00C33D89"/>
    <w:rsid w:val="00C463DD"/>
    <w:rsid w:val="00C4724C"/>
    <w:rsid w:val="00C629A0"/>
    <w:rsid w:val="00C64550"/>
    <w:rsid w:val="00C745C3"/>
    <w:rsid w:val="00CA42F8"/>
    <w:rsid w:val="00CB5D2B"/>
    <w:rsid w:val="00CC756B"/>
    <w:rsid w:val="00CE4A8F"/>
    <w:rsid w:val="00CE7491"/>
    <w:rsid w:val="00CF4756"/>
    <w:rsid w:val="00D2031B"/>
    <w:rsid w:val="00D25FE2"/>
    <w:rsid w:val="00D379E9"/>
    <w:rsid w:val="00D43252"/>
    <w:rsid w:val="00D47EEA"/>
    <w:rsid w:val="00D62BE3"/>
    <w:rsid w:val="00D95303"/>
    <w:rsid w:val="00D978C6"/>
    <w:rsid w:val="00DA3111"/>
    <w:rsid w:val="00DA3C1C"/>
    <w:rsid w:val="00DB0C79"/>
    <w:rsid w:val="00DD0DE4"/>
    <w:rsid w:val="00DD13D3"/>
    <w:rsid w:val="00DE24EF"/>
    <w:rsid w:val="00E028ED"/>
    <w:rsid w:val="00E16C2A"/>
    <w:rsid w:val="00E174E8"/>
    <w:rsid w:val="00E27346"/>
    <w:rsid w:val="00E3653B"/>
    <w:rsid w:val="00E367BA"/>
    <w:rsid w:val="00E71BC8"/>
    <w:rsid w:val="00E7260F"/>
    <w:rsid w:val="00E779FC"/>
    <w:rsid w:val="00E87C43"/>
    <w:rsid w:val="00E96630"/>
    <w:rsid w:val="00EB2581"/>
    <w:rsid w:val="00ED6C3B"/>
    <w:rsid w:val="00ED7A2A"/>
    <w:rsid w:val="00EE1CDD"/>
    <w:rsid w:val="00EF1D7F"/>
    <w:rsid w:val="00F06F71"/>
    <w:rsid w:val="00F20C3D"/>
    <w:rsid w:val="00F35C1B"/>
    <w:rsid w:val="00F41F35"/>
    <w:rsid w:val="00F43E9E"/>
    <w:rsid w:val="00F60543"/>
    <w:rsid w:val="00F9057C"/>
    <w:rsid w:val="00F906D7"/>
    <w:rsid w:val="00F93781"/>
    <w:rsid w:val="00FB613B"/>
    <w:rsid w:val="00FC68B7"/>
    <w:rsid w:val="00FE106A"/>
    <w:rsid w:val="00FF169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50F33"/>
  <w15:docId w15:val="{2B8DCCFF-3D06-4585-8AA3-336CBE6E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ftref,Footnotes refss,Style 10"/>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2941AD"/>
    <w:rPr>
      <w:sz w:val="18"/>
      <w:lang w:eastAsia="en-US"/>
    </w:rPr>
  </w:style>
  <w:style w:type="character" w:customStyle="1" w:styleId="SingleTxtGChar">
    <w:name w:val="_ Single Txt_G Char"/>
    <w:link w:val="SingleTxtG"/>
    <w:rsid w:val="002941AD"/>
    <w:rPr>
      <w:lang w:eastAsia="en-US"/>
    </w:rPr>
  </w:style>
  <w:style w:type="paragraph" w:styleId="NormalWeb">
    <w:name w:val="Normal (Web)"/>
    <w:basedOn w:val="Normal"/>
    <w:uiPriority w:val="99"/>
    <w:unhideWhenUsed/>
    <w:rsid w:val="002941AD"/>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DD0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D0DE4"/>
    <w:rPr>
      <w:rFonts w:ascii="Tahoma" w:hAnsi="Tahoma" w:cs="Tahoma"/>
      <w:sz w:val="16"/>
      <w:szCs w:val="16"/>
      <w:lang w:eastAsia="en-US"/>
    </w:rPr>
  </w:style>
  <w:style w:type="paragraph" w:styleId="Revision">
    <w:name w:val="Revision"/>
    <w:hidden/>
    <w:uiPriority w:val="99"/>
    <w:semiHidden/>
    <w:rsid w:val="000346C1"/>
    <w:rPr>
      <w:lang w:eastAsia="en-US"/>
    </w:rPr>
  </w:style>
  <w:style w:type="character" w:styleId="CommentReference">
    <w:name w:val="annotation reference"/>
    <w:basedOn w:val="DefaultParagraphFont"/>
    <w:rsid w:val="00E16C2A"/>
    <w:rPr>
      <w:sz w:val="16"/>
      <w:szCs w:val="16"/>
    </w:rPr>
  </w:style>
  <w:style w:type="paragraph" w:styleId="CommentText">
    <w:name w:val="annotation text"/>
    <w:basedOn w:val="Normal"/>
    <w:link w:val="CommentTextChar"/>
    <w:rsid w:val="00E16C2A"/>
    <w:pPr>
      <w:spacing w:line="240" w:lineRule="auto"/>
    </w:pPr>
  </w:style>
  <w:style w:type="character" w:customStyle="1" w:styleId="CommentTextChar">
    <w:name w:val="Comment Text Char"/>
    <w:basedOn w:val="DefaultParagraphFont"/>
    <w:link w:val="CommentText"/>
    <w:rsid w:val="00E16C2A"/>
    <w:rPr>
      <w:lang w:eastAsia="en-US"/>
    </w:rPr>
  </w:style>
  <w:style w:type="paragraph" w:styleId="CommentSubject">
    <w:name w:val="annotation subject"/>
    <w:basedOn w:val="CommentText"/>
    <w:next w:val="CommentText"/>
    <w:link w:val="CommentSubjectChar"/>
    <w:rsid w:val="00E16C2A"/>
    <w:rPr>
      <w:b/>
      <w:bCs/>
    </w:rPr>
  </w:style>
  <w:style w:type="character" w:customStyle="1" w:styleId="CommentSubjectChar">
    <w:name w:val="Comment Subject Char"/>
    <w:basedOn w:val="CommentTextChar"/>
    <w:link w:val="CommentSubject"/>
    <w:rsid w:val="00E16C2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0A21-4750-4387-91BC-2CF54341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3132</Words>
  <Characters>17855</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2015-08-11T14:30:00Z</cp:lastPrinted>
  <dcterms:created xsi:type="dcterms:W3CDTF">2017-01-24T19:03:00Z</dcterms:created>
  <dcterms:modified xsi:type="dcterms:W3CDTF">2017-01-24T19:03:00Z</dcterms:modified>
</cp:coreProperties>
</file>