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B12E1C" w:rsidTr="00B6553F">
        <w:trPr>
          <w:cantSplit/>
          <w:trHeight w:hRule="exact" w:val="851"/>
        </w:trPr>
        <w:tc>
          <w:tcPr>
            <w:tcW w:w="1276" w:type="dxa"/>
            <w:tcBorders>
              <w:bottom w:val="single" w:sz="4" w:space="0" w:color="auto"/>
            </w:tcBorders>
            <w:vAlign w:val="bottom"/>
          </w:tcPr>
          <w:p w:rsidR="00B56E9C" w:rsidRPr="00B12E1C" w:rsidRDefault="00B56E9C" w:rsidP="00B6553F">
            <w:pPr>
              <w:spacing w:after="80"/>
            </w:pPr>
            <w:bookmarkStart w:id="0" w:name="_GoBack"/>
            <w:bookmarkEnd w:id="0"/>
          </w:p>
        </w:tc>
        <w:tc>
          <w:tcPr>
            <w:tcW w:w="2268" w:type="dxa"/>
            <w:tcBorders>
              <w:bottom w:val="single" w:sz="4" w:space="0" w:color="auto"/>
            </w:tcBorders>
            <w:vAlign w:val="bottom"/>
          </w:tcPr>
          <w:p w:rsidR="00B56E9C" w:rsidRPr="00B12E1C" w:rsidRDefault="00B56E9C" w:rsidP="00B6553F">
            <w:pPr>
              <w:spacing w:after="80" w:line="300" w:lineRule="exact"/>
              <w:rPr>
                <w:b/>
                <w:sz w:val="24"/>
                <w:szCs w:val="24"/>
              </w:rPr>
            </w:pPr>
            <w:r w:rsidRPr="00B12E1C">
              <w:rPr>
                <w:sz w:val="28"/>
                <w:szCs w:val="28"/>
              </w:rPr>
              <w:t>United Nations</w:t>
            </w:r>
          </w:p>
        </w:tc>
        <w:tc>
          <w:tcPr>
            <w:tcW w:w="6095" w:type="dxa"/>
            <w:gridSpan w:val="2"/>
            <w:tcBorders>
              <w:bottom w:val="single" w:sz="4" w:space="0" w:color="auto"/>
            </w:tcBorders>
            <w:vAlign w:val="bottom"/>
          </w:tcPr>
          <w:p w:rsidR="00B56E9C" w:rsidRPr="00B12E1C" w:rsidRDefault="008216A5" w:rsidP="002239C1">
            <w:pPr>
              <w:jc w:val="right"/>
            </w:pPr>
            <w:r w:rsidRPr="00B12E1C">
              <w:rPr>
                <w:sz w:val="40"/>
              </w:rPr>
              <w:t>CCPR</w:t>
            </w:r>
            <w:r w:rsidRPr="00B12E1C">
              <w:t>/C/1</w:t>
            </w:r>
            <w:r w:rsidR="00711F00" w:rsidRPr="00B12E1C">
              <w:t>1</w:t>
            </w:r>
            <w:r w:rsidR="001C6B73" w:rsidRPr="00B12E1C">
              <w:t>3</w:t>
            </w:r>
            <w:r w:rsidR="00272837" w:rsidRPr="00B12E1C">
              <w:t>/</w:t>
            </w:r>
            <w:r w:rsidRPr="00B12E1C">
              <w:t>D/</w:t>
            </w:r>
            <w:r w:rsidR="002D77A1" w:rsidRPr="00B12E1C">
              <w:t>20</w:t>
            </w:r>
            <w:r w:rsidR="004B44C6" w:rsidRPr="00B12E1C">
              <w:t>13</w:t>
            </w:r>
            <w:r w:rsidRPr="00B12E1C">
              <w:t>/</w:t>
            </w:r>
            <w:r w:rsidR="000308D4" w:rsidRPr="00B12E1C">
              <w:t>201</w:t>
            </w:r>
            <w:r w:rsidR="00ED08C9" w:rsidRPr="00B12E1C">
              <w:t>0</w:t>
            </w:r>
          </w:p>
        </w:tc>
      </w:tr>
      <w:tr w:rsidR="00B56E9C" w:rsidRPr="00B12E1C" w:rsidTr="00B6553F">
        <w:trPr>
          <w:cantSplit/>
          <w:trHeight w:hRule="exact" w:val="2835"/>
        </w:trPr>
        <w:tc>
          <w:tcPr>
            <w:tcW w:w="1276" w:type="dxa"/>
            <w:tcBorders>
              <w:top w:val="single" w:sz="4" w:space="0" w:color="auto"/>
              <w:bottom w:val="single" w:sz="12" w:space="0" w:color="auto"/>
            </w:tcBorders>
          </w:tcPr>
          <w:p w:rsidR="00B56E9C" w:rsidRPr="00B12E1C" w:rsidRDefault="00992511" w:rsidP="00B6553F">
            <w:pPr>
              <w:spacing w:before="120"/>
            </w:pPr>
            <w:r>
              <w:rPr>
                <w:noProof/>
                <w:lang w:val="en-US"/>
              </w:rPr>
              <w:drawing>
                <wp:inline distT="0" distB="0" distL="0" distR="0" wp14:anchorId="664B1F66" wp14:editId="6B008B48">
                  <wp:extent cx="716280" cy="594360"/>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239C1" w:rsidRPr="00BA32A1" w:rsidRDefault="00B56E9C" w:rsidP="00272837">
            <w:pPr>
              <w:spacing w:before="120" w:line="380" w:lineRule="exact"/>
              <w:rPr>
                <w:b/>
                <w:sz w:val="34"/>
                <w:szCs w:val="40"/>
              </w:rPr>
            </w:pPr>
            <w:r w:rsidRPr="00B12E1C">
              <w:rPr>
                <w:b/>
                <w:sz w:val="34"/>
                <w:szCs w:val="40"/>
              </w:rPr>
              <w:t xml:space="preserve">International </w:t>
            </w:r>
            <w:r w:rsidR="00060C3A" w:rsidRPr="00B12E1C">
              <w:rPr>
                <w:b/>
                <w:sz w:val="34"/>
                <w:szCs w:val="40"/>
              </w:rPr>
              <w:t>Covenant on</w:t>
            </w:r>
            <w:r w:rsidR="00060C3A" w:rsidRPr="00B12E1C">
              <w:rPr>
                <w:b/>
                <w:sz w:val="34"/>
                <w:szCs w:val="40"/>
              </w:rPr>
              <w:br/>
              <w:t>Civil and Political R</w:t>
            </w:r>
            <w:r w:rsidR="00703577" w:rsidRPr="00B12E1C">
              <w:rPr>
                <w:b/>
                <w:sz w:val="34"/>
                <w:szCs w:val="40"/>
              </w:rPr>
              <w:t>ights</w:t>
            </w:r>
          </w:p>
        </w:tc>
        <w:tc>
          <w:tcPr>
            <w:tcW w:w="2835" w:type="dxa"/>
            <w:tcBorders>
              <w:top w:val="single" w:sz="4" w:space="0" w:color="auto"/>
              <w:bottom w:val="single" w:sz="12" w:space="0" w:color="auto"/>
            </w:tcBorders>
          </w:tcPr>
          <w:p w:rsidR="00B56E9C" w:rsidRPr="00B12E1C" w:rsidRDefault="008216A5" w:rsidP="008216A5">
            <w:pPr>
              <w:spacing w:before="240" w:line="240" w:lineRule="exact"/>
            </w:pPr>
            <w:r w:rsidRPr="00B12E1C">
              <w:t xml:space="preserve">Distr.: </w:t>
            </w:r>
            <w:r w:rsidR="002239C1">
              <w:t>General</w:t>
            </w:r>
          </w:p>
          <w:p w:rsidR="008216A5" w:rsidRPr="00B12E1C" w:rsidRDefault="006554AC" w:rsidP="008216A5">
            <w:pPr>
              <w:spacing w:line="240" w:lineRule="exact"/>
            </w:pPr>
            <w:r>
              <w:t>1</w:t>
            </w:r>
            <w:r w:rsidR="004252DB">
              <w:t>9</w:t>
            </w:r>
            <w:r>
              <w:t xml:space="preserve"> May</w:t>
            </w:r>
            <w:r w:rsidR="00307752" w:rsidRPr="00B12E1C">
              <w:t xml:space="preserve"> 2015</w:t>
            </w:r>
          </w:p>
          <w:p w:rsidR="008216A5" w:rsidRPr="00B12E1C" w:rsidRDefault="008216A5" w:rsidP="008216A5">
            <w:pPr>
              <w:spacing w:line="240" w:lineRule="exact"/>
            </w:pPr>
          </w:p>
          <w:p w:rsidR="008216A5" w:rsidRDefault="008216A5" w:rsidP="008216A5">
            <w:pPr>
              <w:spacing w:line="240" w:lineRule="exact"/>
            </w:pPr>
            <w:r w:rsidRPr="00B12E1C">
              <w:t>Original: English</w:t>
            </w:r>
          </w:p>
          <w:p w:rsidR="00326293" w:rsidRPr="00B12E1C" w:rsidRDefault="00326293" w:rsidP="008216A5">
            <w:pPr>
              <w:spacing w:line="240" w:lineRule="exact"/>
            </w:pPr>
          </w:p>
        </w:tc>
      </w:tr>
    </w:tbl>
    <w:p w:rsidR="008216A5" w:rsidRPr="00B12E1C" w:rsidRDefault="008216A5" w:rsidP="00BA32A1">
      <w:pPr>
        <w:spacing w:before="120"/>
        <w:rPr>
          <w:bCs/>
        </w:rPr>
      </w:pPr>
      <w:r w:rsidRPr="00B12E1C">
        <w:rPr>
          <w:b/>
          <w:sz w:val="24"/>
          <w:szCs w:val="24"/>
        </w:rPr>
        <w:t>Human Rights Committee</w:t>
      </w:r>
    </w:p>
    <w:p w:rsidR="003134AC" w:rsidRPr="00B12E1C" w:rsidRDefault="003134AC" w:rsidP="003134AC">
      <w:pPr>
        <w:pStyle w:val="HChG"/>
      </w:pPr>
      <w:r w:rsidRPr="00B12E1C">
        <w:tab/>
      </w:r>
      <w:r w:rsidRPr="00B12E1C">
        <w:tab/>
        <w:t>Communication No.</w:t>
      </w:r>
      <w:r w:rsidR="00E00013">
        <w:t> </w:t>
      </w:r>
      <w:r w:rsidR="002D77A1" w:rsidRPr="00B12E1C">
        <w:t>20</w:t>
      </w:r>
      <w:r w:rsidR="004B44C6" w:rsidRPr="00B12E1C">
        <w:t>13</w:t>
      </w:r>
      <w:r w:rsidR="002D77A1" w:rsidRPr="00B12E1C">
        <w:t>/20</w:t>
      </w:r>
      <w:r w:rsidR="00ED08C9" w:rsidRPr="00B12E1C">
        <w:t>10</w:t>
      </w:r>
    </w:p>
    <w:p w:rsidR="003134AC" w:rsidRPr="00B12E1C" w:rsidRDefault="003134AC" w:rsidP="00217DFF">
      <w:pPr>
        <w:pStyle w:val="H1G"/>
        <w:spacing w:after="600"/>
      </w:pPr>
      <w:r w:rsidRPr="00B12E1C">
        <w:tab/>
      </w:r>
      <w:r w:rsidRPr="00B12E1C">
        <w:tab/>
      </w:r>
      <w:r w:rsidR="002239C1">
        <w:t>Views adopted by the Committee at its 113</w:t>
      </w:r>
      <w:r w:rsidR="00217DFF">
        <w:t>th</w:t>
      </w:r>
      <w:r w:rsidR="002239C1">
        <w:t xml:space="preserve"> session </w:t>
      </w:r>
      <w:r w:rsidR="002239C1">
        <w:br/>
        <w:t>(16 March–2 April 2015)</w:t>
      </w:r>
    </w:p>
    <w:p w:rsidR="004B44C6" w:rsidRPr="00B12E1C" w:rsidRDefault="004B44C6" w:rsidP="004B44C6">
      <w:pPr>
        <w:pStyle w:val="SingleTxtG"/>
        <w:ind w:left="4536" w:hanging="3402"/>
        <w:jc w:val="left"/>
      </w:pPr>
      <w:r w:rsidRPr="00B12E1C">
        <w:rPr>
          <w:i/>
        </w:rPr>
        <w:t>Submitted by:</w:t>
      </w:r>
      <w:r w:rsidRPr="00B12E1C">
        <w:tab/>
      </w:r>
      <w:r w:rsidR="001A3477" w:rsidRPr="00B12E1C">
        <w:t>Oleg Grishkovtsov</w:t>
      </w:r>
      <w:r w:rsidRPr="00B12E1C">
        <w:t xml:space="preserve"> (represented by counsel, Roman Kislyak)</w:t>
      </w:r>
    </w:p>
    <w:p w:rsidR="004B44C6" w:rsidRPr="00B12E1C" w:rsidRDefault="004B44C6" w:rsidP="004B44C6">
      <w:pPr>
        <w:pStyle w:val="SingleTxtG"/>
        <w:ind w:left="4536" w:hanging="3402"/>
        <w:jc w:val="left"/>
      </w:pPr>
      <w:r w:rsidRPr="00B12E1C">
        <w:rPr>
          <w:i/>
        </w:rPr>
        <w:t>Alleged victim:</w:t>
      </w:r>
      <w:r w:rsidRPr="00B12E1C">
        <w:tab/>
        <w:t>The author</w:t>
      </w:r>
    </w:p>
    <w:p w:rsidR="004B44C6" w:rsidRPr="00B12E1C" w:rsidRDefault="004B44C6" w:rsidP="004B44C6">
      <w:pPr>
        <w:pStyle w:val="SingleTxtG"/>
        <w:ind w:left="4536" w:hanging="3402"/>
        <w:jc w:val="left"/>
      </w:pPr>
      <w:r w:rsidRPr="00B12E1C">
        <w:rPr>
          <w:i/>
        </w:rPr>
        <w:t>State party:</w:t>
      </w:r>
      <w:r w:rsidRPr="00B12E1C">
        <w:tab/>
        <w:t>Belarus</w:t>
      </w:r>
    </w:p>
    <w:p w:rsidR="004B44C6" w:rsidRPr="00B12E1C" w:rsidRDefault="004B44C6" w:rsidP="004B44C6">
      <w:pPr>
        <w:pStyle w:val="SingleTxtG"/>
        <w:ind w:left="4536" w:hanging="3402"/>
        <w:jc w:val="left"/>
      </w:pPr>
      <w:r w:rsidRPr="00B12E1C">
        <w:rPr>
          <w:i/>
        </w:rPr>
        <w:t>Date of communication:</w:t>
      </w:r>
      <w:r w:rsidRPr="00B12E1C">
        <w:tab/>
      </w:r>
      <w:r w:rsidR="001A3477" w:rsidRPr="00B12E1C">
        <w:t>6 December 2010</w:t>
      </w:r>
      <w:r w:rsidRPr="00B12E1C">
        <w:t xml:space="preserve"> (initial submission)</w:t>
      </w:r>
    </w:p>
    <w:p w:rsidR="004B44C6" w:rsidRPr="00B12E1C" w:rsidRDefault="004B44C6" w:rsidP="00653454">
      <w:pPr>
        <w:pStyle w:val="SingleTxtG"/>
        <w:ind w:left="4536" w:hanging="3402"/>
        <w:jc w:val="left"/>
      </w:pPr>
      <w:r w:rsidRPr="00B12E1C">
        <w:rPr>
          <w:i/>
        </w:rPr>
        <w:t>Document references:</w:t>
      </w:r>
      <w:r w:rsidRPr="00B12E1C">
        <w:tab/>
      </w:r>
      <w:r w:rsidRPr="00653454">
        <w:t>Special Rapporteur’s</w:t>
      </w:r>
      <w:r w:rsidR="00237317" w:rsidRPr="00BA32A1">
        <w:t xml:space="preserve"> decision under</w:t>
      </w:r>
      <w:r w:rsidRPr="00653454">
        <w:t xml:space="preserve"> rule</w:t>
      </w:r>
      <w:r w:rsidR="0006682B" w:rsidRPr="00BA32A1">
        <w:t>s</w:t>
      </w:r>
      <w:r w:rsidRPr="00653454">
        <w:t xml:space="preserve"> 92 and 97, transmitted</w:t>
      </w:r>
      <w:r w:rsidRPr="00B12E1C">
        <w:t xml:space="preserve"> to the State party on </w:t>
      </w:r>
      <w:r w:rsidR="001A3477" w:rsidRPr="00B12E1C">
        <w:t>6</w:t>
      </w:r>
      <w:r w:rsidR="006C1046">
        <w:t> </w:t>
      </w:r>
      <w:r w:rsidR="001A3477" w:rsidRPr="00B12E1C">
        <w:t xml:space="preserve">December 2010 </w:t>
      </w:r>
      <w:r w:rsidRPr="00B12E1C">
        <w:t>(not issued in document form)</w:t>
      </w:r>
    </w:p>
    <w:p w:rsidR="00326293" w:rsidRDefault="004B44C6" w:rsidP="004B44C6">
      <w:pPr>
        <w:pStyle w:val="SingleTxtG"/>
        <w:ind w:left="4536" w:hanging="3402"/>
        <w:jc w:val="left"/>
      </w:pPr>
      <w:r w:rsidRPr="00B12E1C">
        <w:rPr>
          <w:i/>
        </w:rPr>
        <w:t>Date of adoption of Views:</w:t>
      </w:r>
      <w:r w:rsidRPr="00B12E1C">
        <w:tab/>
      </w:r>
      <w:r w:rsidR="002239C1">
        <w:t>1 April</w:t>
      </w:r>
      <w:r w:rsidRPr="00B12E1C">
        <w:t xml:space="preserve"> 201</w:t>
      </w:r>
      <w:r w:rsidR="001A3477" w:rsidRPr="00B12E1C">
        <w:t>5</w:t>
      </w:r>
    </w:p>
    <w:p w:rsidR="004B44C6" w:rsidRPr="00B12E1C" w:rsidRDefault="004B44C6" w:rsidP="004B44C6">
      <w:pPr>
        <w:pStyle w:val="SingleTxtG"/>
        <w:ind w:left="4536" w:hanging="3402"/>
        <w:jc w:val="left"/>
      </w:pPr>
      <w:r w:rsidRPr="00B12E1C">
        <w:rPr>
          <w:i/>
          <w:iCs/>
        </w:rPr>
        <w:t>Subject matter:</w:t>
      </w:r>
      <w:r w:rsidR="00074DF8">
        <w:rPr>
          <w:i/>
          <w:iCs/>
        </w:rPr>
        <w:t xml:space="preserve"> </w:t>
      </w:r>
      <w:r w:rsidRPr="00B12E1C">
        <w:tab/>
      </w:r>
      <w:r w:rsidR="00E43F6E">
        <w:t>I</w:t>
      </w:r>
      <w:r w:rsidRPr="00B12E1C">
        <w:t>mposition of a death sentence after unfair trial</w:t>
      </w:r>
      <w:r w:rsidR="00E43F6E">
        <w:t xml:space="preserve">, based on confessions obtained under duress </w:t>
      </w:r>
    </w:p>
    <w:p w:rsidR="004B44C6" w:rsidRDefault="004B44C6" w:rsidP="004B44C6">
      <w:pPr>
        <w:pStyle w:val="SingleTxtG"/>
        <w:ind w:left="4536" w:hanging="3402"/>
        <w:jc w:val="left"/>
        <w:rPr>
          <w:iCs/>
        </w:rPr>
      </w:pPr>
      <w:r w:rsidRPr="00B12E1C">
        <w:rPr>
          <w:i/>
          <w:iCs/>
        </w:rPr>
        <w:t xml:space="preserve">Procedural issues: </w:t>
      </w:r>
      <w:r w:rsidRPr="00B12E1C">
        <w:rPr>
          <w:i/>
          <w:iCs/>
        </w:rPr>
        <w:tab/>
      </w:r>
      <w:r w:rsidRPr="00B12E1C">
        <w:rPr>
          <w:iCs/>
        </w:rPr>
        <w:t xml:space="preserve">Failure of the State party to cooperate, non-respect of the Committee’s request for interim measures, </w:t>
      </w:r>
      <w:r w:rsidR="00E43F6E">
        <w:rPr>
          <w:iCs/>
        </w:rPr>
        <w:t xml:space="preserve">level of </w:t>
      </w:r>
      <w:r w:rsidR="00FE3889">
        <w:rPr>
          <w:iCs/>
        </w:rPr>
        <w:t>substantiation of claims</w:t>
      </w:r>
    </w:p>
    <w:p w:rsidR="00326293" w:rsidRDefault="00326293" w:rsidP="00326293">
      <w:pPr>
        <w:pStyle w:val="SingleTxtG"/>
        <w:ind w:left="4536" w:hanging="3402"/>
        <w:jc w:val="left"/>
        <w:rPr>
          <w:iCs/>
        </w:rPr>
      </w:pPr>
      <w:r w:rsidRPr="00B12E1C">
        <w:rPr>
          <w:i/>
          <w:iCs/>
        </w:rPr>
        <w:t xml:space="preserve">Substantive issues: </w:t>
      </w:r>
      <w:r w:rsidRPr="00B12E1C">
        <w:rPr>
          <w:i/>
          <w:iCs/>
        </w:rPr>
        <w:tab/>
      </w:r>
      <w:r w:rsidRPr="00EE621C">
        <w:rPr>
          <w:iCs/>
        </w:rPr>
        <w:t>A</w:t>
      </w:r>
      <w:r w:rsidRPr="00E43F6E">
        <w:rPr>
          <w:iCs/>
        </w:rPr>
        <w:t>r</w:t>
      </w:r>
      <w:r w:rsidRPr="00B12E1C">
        <w:rPr>
          <w:iCs/>
        </w:rPr>
        <w:t>bitrary deprivation of life</w:t>
      </w:r>
      <w:r>
        <w:rPr>
          <w:iCs/>
        </w:rPr>
        <w:t>; t</w:t>
      </w:r>
      <w:r w:rsidRPr="00B12E1C">
        <w:rPr>
          <w:iCs/>
        </w:rPr>
        <w:t xml:space="preserve">orture and ill-treatment; </w:t>
      </w:r>
      <w:r>
        <w:rPr>
          <w:iCs/>
        </w:rPr>
        <w:t>habeas corpus</w:t>
      </w:r>
      <w:r w:rsidRPr="00B12E1C">
        <w:rPr>
          <w:iCs/>
        </w:rPr>
        <w:t xml:space="preserve">; right to a fair hearing by an independent and impartial tribunal; right to be presumed innocent; right not to be compelled to testify against </w:t>
      </w:r>
      <w:r>
        <w:rPr>
          <w:iCs/>
        </w:rPr>
        <w:t>one</w:t>
      </w:r>
      <w:r w:rsidRPr="00B12E1C">
        <w:rPr>
          <w:iCs/>
        </w:rPr>
        <w:t xml:space="preserve">self or to confess guilt </w:t>
      </w:r>
    </w:p>
    <w:p w:rsidR="004B44C6" w:rsidRPr="00B12E1C" w:rsidRDefault="004B44C6" w:rsidP="00653454">
      <w:pPr>
        <w:pStyle w:val="SingleTxtG"/>
        <w:ind w:left="4536" w:hanging="3402"/>
        <w:jc w:val="left"/>
      </w:pPr>
      <w:r w:rsidRPr="00B12E1C">
        <w:rPr>
          <w:i/>
          <w:iCs/>
        </w:rPr>
        <w:t>Articles of the Covenant:</w:t>
      </w:r>
      <w:r w:rsidRPr="00B12E1C">
        <w:t xml:space="preserve"> </w:t>
      </w:r>
      <w:r w:rsidRPr="00B12E1C">
        <w:tab/>
        <w:t>6</w:t>
      </w:r>
      <w:r w:rsidR="00B90C4B">
        <w:t xml:space="preserve"> (</w:t>
      </w:r>
      <w:r w:rsidRPr="00B12E1C">
        <w:t>1</w:t>
      </w:r>
      <w:r w:rsidR="00074DF8">
        <w:t>-</w:t>
      </w:r>
      <w:r w:rsidR="00B12E1C" w:rsidRPr="00B12E1C">
        <w:t>2</w:t>
      </w:r>
      <w:r w:rsidR="00B90C4B">
        <w:t>)</w:t>
      </w:r>
      <w:r w:rsidRPr="00B12E1C">
        <w:t xml:space="preserve">; 7; 9 </w:t>
      </w:r>
      <w:r w:rsidR="00B90C4B">
        <w:t>(</w:t>
      </w:r>
      <w:r w:rsidR="00B12E1C" w:rsidRPr="00B12E1C">
        <w:t>1</w:t>
      </w:r>
      <w:r w:rsidR="00372F63">
        <w:t>–</w:t>
      </w:r>
      <w:r w:rsidR="00B12E1C" w:rsidRPr="00B12E1C">
        <w:t>4</w:t>
      </w:r>
      <w:r w:rsidR="00B90C4B">
        <w:t>)</w:t>
      </w:r>
      <w:r w:rsidRPr="00B12E1C">
        <w:t xml:space="preserve">; 14 </w:t>
      </w:r>
      <w:r w:rsidR="00B90C4B">
        <w:t>(</w:t>
      </w:r>
      <w:r w:rsidRPr="00B12E1C">
        <w:t>1</w:t>
      </w:r>
      <w:r w:rsidR="00074DF8">
        <w:t xml:space="preserve">, </w:t>
      </w:r>
      <w:r w:rsidRPr="00B12E1C">
        <w:t>2</w:t>
      </w:r>
      <w:r w:rsidR="00372F63">
        <w:t xml:space="preserve"> and</w:t>
      </w:r>
      <w:r w:rsidRPr="00B12E1C">
        <w:t xml:space="preserve"> 3</w:t>
      </w:r>
      <w:r w:rsidR="00E43F6E">
        <w:t xml:space="preserve"> </w:t>
      </w:r>
      <w:r w:rsidR="00B12E1C" w:rsidRPr="00B12E1C">
        <w:t>(a), (b), (d) and (g)</w:t>
      </w:r>
      <w:r w:rsidR="00074DF8">
        <w:t>)</w:t>
      </w:r>
    </w:p>
    <w:p w:rsidR="004B44C6" w:rsidRPr="00B12E1C" w:rsidRDefault="004B44C6" w:rsidP="00653454">
      <w:pPr>
        <w:pStyle w:val="SingleTxtG"/>
        <w:ind w:left="4536" w:hanging="3402"/>
        <w:jc w:val="left"/>
      </w:pPr>
      <w:r w:rsidRPr="00B12E1C">
        <w:rPr>
          <w:i/>
          <w:iCs/>
        </w:rPr>
        <w:t>Articles of the Optional Protocol:</w:t>
      </w:r>
      <w:r w:rsidRPr="00B12E1C">
        <w:rPr>
          <w:i/>
          <w:iCs/>
        </w:rPr>
        <w:tab/>
      </w:r>
      <w:r w:rsidR="00FE3889" w:rsidRPr="00FE3889">
        <w:rPr>
          <w:iCs/>
        </w:rPr>
        <w:t>1</w:t>
      </w:r>
      <w:r w:rsidR="00074DF8">
        <w:rPr>
          <w:iCs/>
        </w:rPr>
        <w:t xml:space="preserve"> and</w:t>
      </w:r>
      <w:r w:rsidR="00FE3889">
        <w:rPr>
          <w:iCs/>
        </w:rPr>
        <w:t xml:space="preserve"> 2</w:t>
      </w:r>
    </w:p>
    <w:p w:rsidR="004B44C6" w:rsidRPr="00B12E1C" w:rsidRDefault="00CF0784" w:rsidP="004B44C6">
      <w:pPr>
        <w:pStyle w:val="HChG"/>
      </w:pPr>
      <w:r>
        <w:rPr>
          <w:noProof/>
          <w:lang w:val="en-US"/>
        </w:rPr>
        <w:drawing>
          <wp:anchor distT="0" distB="0" distL="114300" distR="114300" simplePos="0" relativeHeight="251658240" behindDoc="0" locked="0" layoutInCell="1" allowOverlap="1" wp14:anchorId="39CD4916" wp14:editId="13799747">
            <wp:simplePos x="0" y="0"/>
            <wp:positionH relativeFrom="margin">
              <wp:posOffset>5479415</wp:posOffset>
            </wp:positionH>
            <wp:positionV relativeFrom="margin">
              <wp:posOffset>8025765</wp:posOffset>
            </wp:positionV>
            <wp:extent cx="640080" cy="640080"/>
            <wp:effectExtent l="0" t="0" r="7620" b="7620"/>
            <wp:wrapNone/>
            <wp:docPr id="3" name="Picture 2" descr="http://undocs.org/m2/QRCode.ashx?DS=CCPR/C/113/D/2013/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13/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4C6" w:rsidRPr="00B12E1C">
        <w:rPr>
          <w:b w:val="0"/>
        </w:rPr>
        <w:br w:type="page"/>
      </w:r>
      <w:r w:rsidR="004B44C6" w:rsidRPr="00B12E1C">
        <w:lastRenderedPageBreak/>
        <w:t>Annex</w:t>
      </w:r>
    </w:p>
    <w:p w:rsidR="004B44C6" w:rsidRPr="00B12E1C" w:rsidRDefault="004B44C6" w:rsidP="00653454">
      <w:pPr>
        <w:pStyle w:val="HChG"/>
        <w:rPr>
          <w:bCs/>
        </w:rPr>
      </w:pPr>
      <w:r w:rsidRPr="00B12E1C">
        <w:tab/>
      </w:r>
      <w:r w:rsidRPr="00B12E1C">
        <w:tab/>
        <w:t xml:space="preserve">Views of the Human Rights Committee under </w:t>
      </w:r>
      <w:r w:rsidR="00893B85">
        <w:t>article </w:t>
      </w:r>
      <w:r w:rsidRPr="00B12E1C">
        <w:t xml:space="preserve">5 </w:t>
      </w:r>
      <w:r w:rsidR="00DA68AE">
        <w:t>(</w:t>
      </w:r>
      <w:r w:rsidRPr="00B12E1C">
        <w:t>4</w:t>
      </w:r>
      <w:r w:rsidR="00DA68AE">
        <w:t>)</w:t>
      </w:r>
      <w:r w:rsidRPr="00B12E1C">
        <w:t xml:space="preserve"> of the Optional Protocol to the International Covenant on Civil and Political </w:t>
      </w:r>
      <w:r w:rsidR="00955DDA">
        <w:t>R</w:t>
      </w:r>
      <w:r w:rsidRPr="00B12E1C">
        <w:t>ights (11</w:t>
      </w:r>
      <w:r w:rsidR="001A3477" w:rsidRPr="00B12E1C">
        <w:t>3</w:t>
      </w:r>
      <w:r w:rsidRPr="00B12E1C">
        <w:t xml:space="preserve">th </w:t>
      </w:r>
      <w:r w:rsidRPr="00B12E1C">
        <w:rPr>
          <w:bCs/>
        </w:rPr>
        <w:t>session)</w:t>
      </w:r>
    </w:p>
    <w:p w:rsidR="004B44C6" w:rsidRPr="00B12E1C" w:rsidRDefault="004B44C6" w:rsidP="004B44C6">
      <w:pPr>
        <w:pStyle w:val="SingleTxtG"/>
        <w:rPr>
          <w:b/>
          <w:bCs/>
        </w:rPr>
      </w:pPr>
      <w:r w:rsidRPr="00B12E1C">
        <w:t>concerning</w:t>
      </w:r>
    </w:p>
    <w:p w:rsidR="004B44C6" w:rsidRPr="00B12E1C" w:rsidRDefault="001A3477" w:rsidP="004B44C6">
      <w:pPr>
        <w:pStyle w:val="H1G"/>
      </w:pPr>
      <w:r w:rsidRPr="00B12E1C">
        <w:tab/>
      </w:r>
      <w:r w:rsidRPr="00B12E1C">
        <w:tab/>
        <w:t>Communication No. 2013</w:t>
      </w:r>
      <w:r w:rsidR="004B44C6" w:rsidRPr="00B12E1C">
        <w:t>/20</w:t>
      </w:r>
      <w:r w:rsidRPr="00B12E1C">
        <w:t>10</w:t>
      </w:r>
      <w:r w:rsidR="002239C1" w:rsidRPr="00BA32A1">
        <w:rPr>
          <w:rStyle w:val="FootnoteReference"/>
          <w:b w:val="0"/>
          <w:sz w:val="20"/>
          <w:vertAlign w:val="baseline"/>
        </w:rPr>
        <w:footnoteReference w:customMarkFollows="1" w:id="2"/>
        <w:t>*</w:t>
      </w:r>
    </w:p>
    <w:p w:rsidR="004B44C6" w:rsidRPr="00B12E1C" w:rsidRDefault="004B44C6" w:rsidP="004B44C6">
      <w:pPr>
        <w:pStyle w:val="SingleTxtG"/>
        <w:ind w:left="4536" w:hanging="3402"/>
        <w:jc w:val="left"/>
      </w:pPr>
      <w:r w:rsidRPr="00B12E1C">
        <w:rPr>
          <w:i/>
        </w:rPr>
        <w:t>Submitted by:</w:t>
      </w:r>
      <w:r w:rsidRPr="00B12E1C">
        <w:tab/>
      </w:r>
      <w:r w:rsidR="001A3477" w:rsidRPr="00B12E1C">
        <w:t>Oleg Grishkovtsov</w:t>
      </w:r>
      <w:r w:rsidRPr="00B12E1C">
        <w:t xml:space="preserve"> (represented by counsel, Roman Kislyak)</w:t>
      </w:r>
    </w:p>
    <w:p w:rsidR="004B44C6" w:rsidRPr="00B12E1C" w:rsidRDefault="004B44C6" w:rsidP="004B44C6">
      <w:pPr>
        <w:pStyle w:val="SingleTxtG"/>
        <w:ind w:left="4536" w:hanging="3402"/>
        <w:jc w:val="left"/>
      </w:pPr>
      <w:r w:rsidRPr="00B12E1C">
        <w:rPr>
          <w:i/>
        </w:rPr>
        <w:t>Alleged victim:</w:t>
      </w:r>
      <w:r w:rsidRPr="00B12E1C">
        <w:tab/>
        <w:t>The author</w:t>
      </w:r>
    </w:p>
    <w:p w:rsidR="004B44C6" w:rsidRPr="00B12E1C" w:rsidRDefault="004B44C6" w:rsidP="004B44C6">
      <w:pPr>
        <w:pStyle w:val="SingleTxtG"/>
        <w:ind w:left="4536" w:hanging="3402"/>
        <w:jc w:val="left"/>
      </w:pPr>
      <w:r w:rsidRPr="00B12E1C">
        <w:rPr>
          <w:i/>
        </w:rPr>
        <w:t>State party:</w:t>
      </w:r>
      <w:r w:rsidRPr="00B12E1C">
        <w:tab/>
        <w:t>Belarus</w:t>
      </w:r>
    </w:p>
    <w:p w:rsidR="004B44C6" w:rsidRPr="00B12E1C" w:rsidRDefault="004B44C6" w:rsidP="004B44C6">
      <w:pPr>
        <w:pStyle w:val="SingleTxtG"/>
        <w:ind w:left="4536" w:hanging="3402"/>
        <w:jc w:val="left"/>
      </w:pPr>
      <w:r w:rsidRPr="00B12E1C">
        <w:rPr>
          <w:i/>
        </w:rPr>
        <w:t>Date of communication:</w:t>
      </w:r>
      <w:r w:rsidRPr="00B12E1C">
        <w:tab/>
      </w:r>
      <w:r w:rsidR="001A3477" w:rsidRPr="00B12E1C">
        <w:t>6 December 2010</w:t>
      </w:r>
      <w:r w:rsidRPr="00B12E1C">
        <w:t xml:space="preserve"> (initial submission)</w:t>
      </w:r>
    </w:p>
    <w:p w:rsidR="004B44C6" w:rsidRPr="00B12E1C" w:rsidRDefault="004B44C6" w:rsidP="004B44C6">
      <w:pPr>
        <w:pStyle w:val="SingleTxtG"/>
        <w:spacing w:before="240"/>
      </w:pPr>
      <w:r w:rsidRPr="00B12E1C">
        <w:tab/>
      </w:r>
      <w:r w:rsidRPr="00B12E1C">
        <w:rPr>
          <w:i/>
        </w:rPr>
        <w:t>The Human Rights Committee</w:t>
      </w:r>
      <w:r w:rsidRPr="00B12E1C">
        <w:t xml:space="preserve">, established under </w:t>
      </w:r>
      <w:r w:rsidR="00893B85">
        <w:t>article </w:t>
      </w:r>
      <w:r w:rsidRPr="00B12E1C">
        <w:t xml:space="preserve">28 of the International Covenant on Civil and Political Rights, </w:t>
      </w:r>
    </w:p>
    <w:p w:rsidR="004B44C6" w:rsidRPr="00B12E1C" w:rsidRDefault="004B44C6" w:rsidP="004B44C6">
      <w:pPr>
        <w:pStyle w:val="SingleTxtG"/>
      </w:pPr>
      <w:r w:rsidRPr="00B12E1C">
        <w:tab/>
      </w:r>
      <w:r w:rsidRPr="00B12E1C">
        <w:rPr>
          <w:i/>
        </w:rPr>
        <w:t xml:space="preserve">Meeting </w:t>
      </w:r>
      <w:r w:rsidRPr="00BA32A1">
        <w:rPr>
          <w:iCs/>
        </w:rPr>
        <w:t>on</w:t>
      </w:r>
      <w:r w:rsidRPr="00B12E1C">
        <w:t xml:space="preserve"> </w:t>
      </w:r>
      <w:r w:rsidR="002239C1">
        <w:t>1 April</w:t>
      </w:r>
      <w:r w:rsidRPr="00B12E1C">
        <w:t xml:space="preserve"> 201</w:t>
      </w:r>
      <w:r w:rsidR="001A3477" w:rsidRPr="00B12E1C">
        <w:t>5</w:t>
      </w:r>
      <w:r w:rsidRPr="00B12E1C">
        <w:t>,</w:t>
      </w:r>
    </w:p>
    <w:p w:rsidR="004B44C6" w:rsidRPr="00B12E1C" w:rsidRDefault="004B44C6" w:rsidP="004B44C6">
      <w:pPr>
        <w:pStyle w:val="SingleTxtG"/>
      </w:pPr>
      <w:r w:rsidRPr="00B12E1C">
        <w:tab/>
      </w:r>
      <w:r w:rsidRPr="00B12E1C">
        <w:rPr>
          <w:i/>
        </w:rPr>
        <w:t>Having concluded</w:t>
      </w:r>
      <w:r w:rsidRPr="00B12E1C">
        <w:t xml:space="preserve"> its consideration of communication No. </w:t>
      </w:r>
      <w:r w:rsidR="001A3477" w:rsidRPr="00B12E1C">
        <w:t>2013</w:t>
      </w:r>
      <w:r w:rsidRPr="00B12E1C">
        <w:t>/</w:t>
      </w:r>
      <w:r w:rsidR="001A3477" w:rsidRPr="00B12E1C">
        <w:t>2010</w:t>
      </w:r>
      <w:r w:rsidRPr="00B12E1C">
        <w:t xml:space="preserve">, submitted to the Human Rights Committee by </w:t>
      </w:r>
      <w:r w:rsidR="001A3477" w:rsidRPr="00B12E1C">
        <w:t>Oleg Grishkovtsov</w:t>
      </w:r>
      <w:r w:rsidRPr="00B12E1C">
        <w:t xml:space="preserve"> under the Optional Protocol to the International Covenant on Civil and Political Rights,</w:t>
      </w:r>
    </w:p>
    <w:p w:rsidR="004B44C6" w:rsidRPr="00B12E1C" w:rsidRDefault="004B44C6" w:rsidP="004B44C6">
      <w:pPr>
        <w:pStyle w:val="SingleTxtG"/>
      </w:pPr>
      <w:r w:rsidRPr="00B12E1C">
        <w:tab/>
      </w:r>
      <w:r w:rsidRPr="00B12E1C">
        <w:rPr>
          <w:i/>
        </w:rPr>
        <w:t>Having taken into account</w:t>
      </w:r>
      <w:r w:rsidRPr="00B12E1C">
        <w:t xml:space="preserve"> all written information made available to it by the author of the communication and the State party,</w:t>
      </w:r>
    </w:p>
    <w:p w:rsidR="004B44C6" w:rsidRPr="00B12E1C" w:rsidRDefault="004B44C6" w:rsidP="004B44C6">
      <w:pPr>
        <w:pStyle w:val="SingleTxtG"/>
      </w:pPr>
      <w:r w:rsidRPr="00B12E1C">
        <w:tab/>
      </w:r>
      <w:r w:rsidRPr="00B12E1C">
        <w:rPr>
          <w:i/>
        </w:rPr>
        <w:t xml:space="preserve">Adopts </w:t>
      </w:r>
      <w:r w:rsidRPr="00B12E1C">
        <w:t>the following:</w:t>
      </w:r>
    </w:p>
    <w:p w:rsidR="001A3477" w:rsidRPr="00B12E1C" w:rsidRDefault="004B44C6" w:rsidP="00BA32A1">
      <w:pPr>
        <w:pStyle w:val="H1G"/>
        <w:rPr>
          <w:i/>
          <w:iCs/>
        </w:rPr>
      </w:pPr>
      <w:r w:rsidRPr="00B12E1C">
        <w:tab/>
      </w:r>
      <w:r w:rsidRPr="00B12E1C">
        <w:tab/>
        <w:t xml:space="preserve">Views under </w:t>
      </w:r>
      <w:r w:rsidR="00893B85">
        <w:t>article </w:t>
      </w:r>
      <w:r w:rsidRPr="00B12E1C">
        <w:t xml:space="preserve">5 </w:t>
      </w:r>
      <w:r w:rsidR="00DA68AE">
        <w:t>(</w:t>
      </w:r>
      <w:r w:rsidRPr="00B12E1C">
        <w:t>4</w:t>
      </w:r>
      <w:r w:rsidR="00DA68AE">
        <w:t>)</w:t>
      </w:r>
      <w:r w:rsidRPr="00B12E1C">
        <w:t xml:space="preserve"> of the Optional Protocol</w:t>
      </w:r>
    </w:p>
    <w:p w:rsidR="004B44C6" w:rsidRPr="00B12E1C" w:rsidRDefault="004B44C6" w:rsidP="00653454">
      <w:pPr>
        <w:pStyle w:val="SingleTxtG"/>
      </w:pPr>
      <w:r w:rsidRPr="00B12E1C">
        <w:t>1.1</w:t>
      </w:r>
      <w:r w:rsidRPr="00B12E1C">
        <w:tab/>
        <w:t xml:space="preserve">The communication </w:t>
      </w:r>
      <w:r w:rsidR="00202742">
        <w:t>was submitted on behalf of</w:t>
      </w:r>
      <w:r w:rsidRPr="00B12E1C">
        <w:t xml:space="preserve"> </w:t>
      </w:r>
      <w:r w:rsidR="00B12E1C">
        <w:t>Oleg Grishkovtsov</w:t>
      </w:r>
      <w:r w:rsidR="00202742">
        <w:t xml:space="preserve"> (“the author”)</w:t>
      </w:r>
      <w:r w:rsidRPr="00B12E1C">
        <w:t>, a Belarus</w:t>
      </w:r>
      <w:r w:rsidR="00955DDA">
        <w:t>ian</w:t>
      </w:r>
      <w:r w:rsidRPr="00B12E1C">
        <w:t xml:space="preserve"> national born in 19</w:t>
      </w:r>
      <w:r w:rsidR="00FA5B0F">
        <w:t>80</w:t>
      </w:r>
      <w:r w:rsidRPr="00B12E1C">
        <w:t xml:space="preserve"> who</w:t>
      </w:r>
      <w:r w:rsidR="00955DDA">
        <w:t>,</w:t>
      </w:r>
      <w:r w:rsidRPr="00B12E1C">
        <w:t xml:space="preserve"> at the time of the submission of the communication</w:t>
      </w:r>
      <w:r w:rsidR="00955DDA">
        <w:t>,</w:t>
      </w:r>
      <w:r w:rsidRPr="00B12E1C">
        <w:t xml:space="preserve"> was detained on death row in Minsk, after </w:t>
      </w:r>
      <w:r w:rsidR="00955DDA">
        <w:t>having been</w:t>
      </w:r>
      <w:r w:rsidRPr="00B12E1C">
        <w:t xml:space="preserve"> sentenced to death by the </w:t>
      </w:r>
      <w:r w:rsidR="00FA5B0F">
        <w:t>Grodno</w:t>
      </w:r>
      <w:r w:rsidRPr="00B12E1C">
        <w:t xml:space="preserve"> Regional Court on </w:t>
      </w:r>
      <w:r w:rsidR="00FA5B0F">
        <w:t>14 May 2010</w:t>
      </w:r>
      <w:r w:rsidRPr="00B12E1C">
        <w:t xml:space="preserve">. </w:t>
      </w:r>
      <w:r w:rsidR="006B35EB">
        <w:t>C</w:t>
      </w:r>
      <w:r w:rsidR="00A70997">
        <w:t>ounsel</w:t>
      </w:r>
      <w:r w:rsidR="00A70997" w:rsidRPr="00B12E1C">
        <w:t xml:space="preserve"> </w:t>
      </w:r>
      <w:r w:rsidRPr="00B12E1C">
        <w:t xml:space="preserve">claims </w:t>
      </w:r>
      <w:r w:rsidR="00A70997">
        <w:t xml:space="preserve">the author </w:t>
      </w:r>
      <w:r w:rsidRPr="00B12E1C">
        <w:t xml:space="preserve">to be a victim of </w:t>
      </w:r>
      <w:r w:rsidR="00546AFA">
        <w:t xml:space="preserve">a </w:t>
      </w:r>
      <w:r w:rsidRPr="00B12E1C">
        <w:t>violation</w:t>
      </w:r>
      <w:r w:rsidR="00E43F6E">
        <w:t>, by Belarus,</w:t>
      </w:r>
      <w:r w:rsidRPr="00B12E1C">
        <w:t xml:space="preserve"> of his rights under </w:t>
      </w:r>
      <w:r w:rsidR="00893B85">
        <w:t>article</w:t>
      </w:r>
      <w:r w:rsidR="00955DDA">
        <w:t>s</w:t>
      </w:r>
      <w:r w:rsidR="00893B85">
        <w:t> </w:t>
      </w:r>
      <w:r w:rsidR="00B12E1C" w:rsidRPr="00B12E1C">
        <w:t xml:space="preserve">6 </w:t>
      </w:r>
      <w:r w:rsidR="00DA68AE">
        <w:t>(</w:t>
      </w:r>
      <w:r w:rsidR="00B12E1C" w:rsidRPr="00B12E1C">
        <w:t>1</w:t>
      </w:r>
      <w:r w:rsidR="00955DDA">
        <w:t>–</w:t>
      </w:r>
      <w:r w:rsidR="00B12E1C" w:rsidRPr="00B12E1C">
        <w:t>2</w:t>
      </w:r>
      <w:r w:rsidR="00DA68AE">
        <w:t>)</w:t>
      </w:r>
      <w:r w:rsidR="00955DDA">
        <w:t>,</w:t>
      </w:r>
      <w:r w:rsidR="00893B85">
        <w:t> </w:t>
      </w:r>
      <w:r w:rsidR="00B12E1C" w:rsidRPr="00B12E1C">
        <w:t>7</w:t>
      </w:r>
      <w:r w:rsidR="00955DDA">
        <w:t>,</w:t>
      </w:r>
      <w:r w:rsidR="00893B85">
        <w:t> </w:t>
      </w:r>
      <w:r w:rsidR="00B12E1C" w:rsidRPr="00B12E1C">
        <w:t xml:space="preserve">9 </w:t>
      </w:r>
      <w:r w:rsidR="00DA68AE">
        <w:t>(</w:t>
      </w:r>
      <w:r w:rsidR="00B12E1C" w:rsidRPr="00B12E1C">
        <w:t>1</w:t>
      </w:r>
      <w:r w:rsidR="00546AFA">
        <w:t>–</w:t>
      </w:r>
      <w:r w:rsidR="00B12E1C" w:rsidRPr="00B12E1C">
        <w:t>4</w:t>
      </w:r>
      <w:r w:rsidR="00DA68AE">
        <w:t>)</w:t>
      </w:r>
      <w:r w:rsidR="00B12E1C" w:rsidRPr="00B12E1C">
        <w:t xml:space="preserve"> </w:t>
      </w:r>
      <w:r w:rsidR="00B12E1C">
        <w:t xml:space="preserve">and </w:t>
      </w:r>
      <w:r w:rsidR="00B12E1C" w:rsidRPr="00B12E1C">
        <w:t xml:space="preserve">14 </w:t>
      </w:r>
      <w:r w:rsidR="00DA68AE">
        <w:t>(</w:t>
      </w:r>
      <w:r w:rsidR="00B12E1C" w:rsidRPr="00B12E1C">
        <w:t>1, 2</w:t>
      </w:r>
      <w:r w:rsidR="00955DDA">
        <w:t xml:space="preserve"> and</w:t>
      </w:r>
      <w:r w:rsidR="00B12E1C" w:rsidRPr="00B12E1C">
        <w:t xml:space="preserve"> 3</w:t>
      </w:r>
      <w:r w:rsidR="00E43F6E">
        <w:t xml:space="preserve"> </w:t>
      </w:r>
      <w:r w:rsidR="00B12E1C" w:rsidRPr="00B12E1C">
        <w:t>(a), (b), (d) and (g)</w:t>
      </w:r>
      <w:r w:rsidR="00955DDA">
        <w:t>)</w:t>
      </w:r>
      <w:r w:rsidRPr="00B12E1C">
        <w:t xml:space="preserve"> of the International Covenant on Civil and Political Rights. The Optional Protocol entered into force for the State party on 30 December 1992. The author is represented by counsel.</w:t>
      </w:r>
    </w:p>
    <w:p w:rsidR="004B44C6" w:rsidRPr="00B12E1C" w:rsidRDefault="004B44C6" w:rsidP="00B90C4B">
      <w:pPr>
        <w:pStyle w:val="SingleTxtG"/>
      </w:pPr>
      <w:r w:rsidRPr="00B12E1C">
        <w:t>1.2</w:t>
      </w:r>
      <w:r w:rsidRPr="00B12E1C">
        <w:tab/>
        <w:t xml:space="preserve">When registering the communication on </w:t>
      </w:r>
      <w:r w:rsidR="00FA5B0F">
        <w:t>6 December 2010</w:t>
      </w:r>
      <w:r w:rsidRPr="00B12E1C">
        <w:t xml:space="preserve">, and pursuant to rule 92 of its rules of procedure, the Committee, acting through its Special Rapporteur on new communications and interim measures, requested the State party not to carry out the death </w:t>
      </w:r>
      <w:r w:rsidRPr="00B12E1C">
        <w:lastRenderedPageBreak/>
        <w:t>sentence o</w:t>
      </w:r>
      <w:r w:rsidR="00E43F6E">
        <w:t>f</w:t>
      </w:r>
      <w:r w:rsidRPr="00B12E1C">
        <w:t xml:space="preserve"> </w:t>
      </w:r>
      <w:r w:rsidR="00FA5B0F">
        <w:t>Oleg Grishkovtsov</w:t>
      </w:r>
      <w:r w:rsidRPr="00B12E1C">
        <w:t xml:space="preserve"> while his case was under examination by the Committee. On </w:t>
      </w:r>
      <w:r w:rsidR="00D95235">
        <w:t>14 April 2011</w:t>
      </w:r>
      <w:r w:rsidRPr="00B12E1C">
        <w:t xml:space="preserve">, the Committee reiterated its request. </w:t>
      </w:r>
    </w:p>
    <w:p w:rsidR="004B44C6" w:rsidRPr="00B12E1C" w:rsidRDefault="004B44C6" w:rsidP="004B44C6">
      <w:pPr>
        <w:pStyle w:val="SingleTxtG"/>
      </w:pPr>
      <w:r w:rsidRPr="00B12E1C">
        <w:t>1.3</w:t>
      </w:r>
      <w:r w:rsidRPr="00B12E1C">
        <w:tab/>
        <w:t xml:space="preserve">On </w:t>
      </w:r>
      <w:r w:rsidR="00D95235">
        <w:t>20</w:t>
      </w:r>
      <w:r w:rsidRPr="00B12E1C">
        <w:t xml:space="preserve"> </w:t>
      </w:r>
      <w:r w:rsidR="00D95235">
        <w:t>July</w:t>
      </w:r>
      <w:r w:rsidRPr="00B12E1C">
        <w:t xml:space="preserve"> 201</w:t>
      </w:r>
      <w:r w:rsidR="00D95235">
        <w:t>1</w:t>
      </w:r>
      <w:r w:rsidRPr="00B12E1C">
        <w:t>, the Committee received information that the author</w:t>
      </w:r>
      <w:r w:rsidR="00E43F6E">
        <w:t xml:space="preserve">’s death sentence </w:t>
      </w:r>
      <w:r w:rsidRPr="00B12E1C">
        <w:t xml:space="preserve">had been </w:t>
      </w:r>
      <w:r w:rsidR="00E43F6E">
        <w:t>carried out</w:t>
      </w:r>
      <w:r w:rsidRPr="00B12E1C">
        <w:t xml:space="preserve">, despite its request for interim measures of protection. On </w:t>
      </w:r>
      <w:r w:rsidR="00D95235">
        <w:t>21</w:t>
      </w:r>
      <w:r w:rsidR="00893B85">
        <w:t> </w:t>
      </w:r>
      <w:r w:rsidR="00D95235">
        <w:t>July 2011</w:t>
      </w:r>
      <w:r w:rsidRPr="00B12E1C">
        <w:t>, the Committee sought clarification</w:t>
      </w:r>
      <w:r w:rsidR="00E43F6E">
        <w:t>s</w:t>
      </w:r>
      <w:r w:rsidRPr="00B12E1C">
        <w:t xml:space="preserve"> from the State party, drawing its attention to the fact that non-respect of interim measures constitutes a violation by States parties of their obligations to cooperate in good faith under the Optional Protocol to the Covenant. No response was received. On </w:t>
      </w:r>
      <w:r w:rsidR="00D95235">
        <w:t>27 July 2011</w:t>
      </w:r>
      <w:r w:rsidRPr="00B12E1C">
        <w:t xml:space="preserve">, the Committee issued a press release </w:t>
      </w:r>
      <w:r w:rsidR="00E43F6E">
        <w:t xml:space="preserve">deploring the situation and </w:t>
      </w:r>
      <w:r w:rsidRPr="00B12E1C">
        <w:t>condemning the execution.</w:t>
      </w:r>
    </w:p>
    <w:p w:rsidR="004B44C6" w:rsidRPr="00B12E1C" w:rsidRDefault="004B44C6" w:rsidP="004B44C6">
      <w:pPr>
        <w:pStyle w:val="H23G"/>
      </w:pPr>
      <w:r w:rsidRPr="00B12E1C">
        <w:tab/>
      </w:r>
      <w:r w:rsidRPr="00B12E1C">
        <w:tab/>
        <w:t>The facts as submitted by the author</w:t>
      </w:r>
    </w:p>
    <w:p w:rsidR="007A0727" w:rsidRDefault="004B44C6" w:rsidP="00653454">
      <w:pPr>
        <w:pStyle w:val="SingleTxtG"/>
      </w:pPr>
      <w:r w:rsidRPr="00B12E1C">
        <w:t>2.1</w:t>
      </w:r>
      <w:r w:rsidRPr="00B12E1C">
        <w:tab/>
        <w:t xml:space="preserve">On </w:t>
      </w:r>
      <w:r w:rsidR="0080191B">
        <w:t>14 October 2009</w:t>
      </w:r>
      <w:r w:rsidRPr="00B12E1C">
        <w:t xml:space="preserve">, the author was detained and held in police custody in the </w:t>
      </w:r>
      <w:r w:rsidR="0080191B">
        <w:t>Oktyabrsk</w:t>
      </w:r>
      <w:r w:rsidRPr="00B12E1C">
        <w:t xml:space="preserve"> district police station</w:t>
      </w:r>
      <w:r w:rsidR="0080191B">
        <w:t xml:space="preserve"> in the city of Grodno</w:t>
      </w:r>
      <w:r w:rsidRPr="00B12E1C">
        <w:t xml:space="preserve">. On </w:t>
      </w:r>
      <w:r w:rsidR="0080191B">
        <w:t>21 October 2009</w:t>
      </w:r>
      <w:r w:rsidRPr="00B12E1C">
        <w:t>,</w:t>
      </w:r>
      <w:r w:rsidR="007A0727">
        <w:t xml:space="preserve"> on </w:t>
      </w:r>
      <w:r w:rsidR="00F3683E">
        <w:t xml:space="preserve">the </w:t>
      </w:r>
      <w:r w:rsidR="007A0727">
        <w:t xml:space="preserve">order </w:t>
      </w:r>
      <w:r w:rsidR="00F3683E">
        <w:t xml:space="preserve">of </w:t>
      </w:r>
      <w:r w:rsidR="007A0727">
        <w:t>the Prosecutor,</w:t>
      </w:r>
      <w:r w:rsidRPr="00B12E1C">
        <w:t xml:space="preserve"> he was placed in </w:t>
      </w:r>
      <w:r w:rsidR="00202742">
        <w:t>pre-trial</w:t>
      </w:r>
      <w:r w:rsidR="009A0B8A">
        <w:t xml:space="preserve"> detention</w:t>
      </w:r>
      <w:r w:rsidRPr="00B12E1C">
        <w:t>. He was</w:t>
      </w:r>
      <w:r w:rsidR="0080191B">
        <w:t xml:space="preserve"> subsequently</w:t>
      </w:r>
      <w:r w:rsidRPr="00B12E1C">
        <w:t xml:space="preserve"> charged with the murder of</w:t>
      </w:r>
      <w:r w:rsidR="0080191B">
        <w:t xml:space="preserve"> three persons, kidnapping, theft and arson</w:t>
      </w:r>
      <w:r w:rsidR="00326293">
        <w:t>.</w:t>
      </w:r>
      <w:r w:rsidR="0080191B">
        <w:rPr>
          <w:rStyle w:val="FootnoteReference"/>
        </w:rPr>
        <w:footnoteReference w:id="3"/>
      </w:r>
      <w:r w:rsidRPr="00B12E1C">
        <w:t xml:space="preserve"> </w:t>
      </w:r>
      <w:r w:rsidR="006B35EB">
        <w:t>C</w:t>
      </w:r>
      <w:r w:rsidR="00A70997">
        <w:t xml:space="preserve">ounsel </w:t>
      </w:r>
      <w:r w:rsidR="007A0727">
        <w:t>submits that</w:t>
      </w:r>
      <w:r w:rsidR="00F3683E">
        <w:t>,</w:t>
      </w:r>
      <w:r w:rsidR="007A0727">
        <w:t xml:space="preserve"> after his </w:t>
      </w:r>
      <w:r w:rsidR="00F3683E">
        <w:t>arrest</w:t>
      </w:r>
      <w:r w:rsidR="007A0727">
        <w:t>, he was not immediately info</w:t>
      </w:r>
      <w:r w:rsidR="00E9788D">
        <w:t>rmed of the charges against him</w:t>
      </w:r>
      <w:r w:rsidR="00196964">
        <w:t>, in viol</w:t>
      </w:r>
      <w:r w:rsidR="00E9788D">
        <w:t xml:space="preserve">ation of </w:t>
      </w:r>
      <w:r w:rsidR="00893B85">
        <w:t>article </w:t>
      </w:r>
      <w:r w:rsidR="00E9788D">
        <w:t xml:space="preserve">9 </w:t>
      </w:r>
      <w:r w:rsidR="00F41EDC">
        <w:t>(</w:t>
      </w:r>
      <w:r w:rsidR="00E9788D">
        <w:t>2</w:t>
      </w:r>
      <w:r w:rsidR="00F41EDC">
        <w:t>)</w:t>
      </w:r>
      <w:r w:rsidR="007B7EB2">
        <w:t xml:space="preserve"> of the Covenant</w:t>
      </w:r>
      <w:r w:rsidR="00E9788D">
        <w:t xml:space="preserve"> and of </w:t>
      </w:r>
      <w:r w:rsidR="00893B85">
        <w:t>article </w:t>
      </w:r>
      <w:r w:rsidR="00E9788D">
        <w:t xml:space="preserve">110 </w:t>
      </w:r>
      <w:r w:rsidR="00F41EDC">
        <w:t>(</w:t>
      </w:r>
      <w:r w:rsidR="00E9788D">
        <w:t>1</w:t>
      </w:r>
      <w:r w:rsidR="00F41EDC">
        <w:t>)</w:t>
      </w:r>
      <w:r w:rsidR="00E9788D">
        <w:t xml:space="preserve"> of the Belarus Code</w:t>
      </w:r>
      <w:r w:rsidR="00C24F63" w:rsidRPr="00C24F63">
        <w:t xml:space="preserve"> </w:t>
      </w:r>
      <w:r w:rsidR="00C24F63">
        <w:t>of Criminal Procedure</w:t>
      </w:r>
      <w:r w:rsidR="00E9788D">
        <w:t xml:space="preserve">. </w:t>
      </w:r>
      <w:r w:rsidR="006B35EB">
        <w:t>C</w:t>
      </w:r>
      <w:r w:rsidR="00A70997">
        <w:t xml:space="preserve">ounsel </w:t>
      </w:r>
      <w:r w:rsidR="002D3C63">
        <w:t xml:space="preserve">also claims that this delay violated his rights under </w:t>
      </w:r>
      <w:r w:rsidR="00893B85">
        <w:t>article </w:t>
      </w:r>
      <w:r w:rsidR="002D3C63">
        <w:t xml:space="preserve">14 </w:t>
      </w:r>
      <w:r w:rsidR="00F41EDC">
        <w:t>(</w:t>
      </w:r>
      <w:r w:rsidR="002D3C63">
        <w:t>3</w:t>
      </w:r>
      <w:r w:rsidR="00F41EDC">
        <w:t>)</w:t>
      </w:r>
      <w:r w:rsidR="002D3C63">
        <w:t xml:space="preserve"> (a)</w:t>
      </w:r>
      <w:r w:rsidR="007B7EB2">
        <w:t xml:space="preserve"> of the Covenant</w:t>
      </w:r>
      <w:r w:rsidR="002D3C63">
        <w:t xml:space="preserve">. </w:t>
      </w:r>
    </w:p>
    <w:p w:rsidR="00E9788D" w:rsidRDefault="00E9788D" w:rsidP="004B44C6">
      <w:pPr>
        <w:pStyle w:val="SingleTxtG"/>
      </w:pPr>
      <w:r>
        <w:t>2.2</w:t>
      </w:r>
      <w:r>
        <w:tab/>
      </w:r>
      <w:r w:rsidR="006B35EB">
        <w:t>C</w:t>
      </w:r>
      <w:r w:rsidR="00A70997">
        <w:t xml:space="preserve">ounsel </w:t>
      </w:r>
      <w:r>
        <w:t>further submits that</w:t>
      </w:r>
      <w:r w:rsidR="0006682B">
        <w:t>,</w:t>
      </w:r>
      <w:r>
        <w:t xml:space="preserve"> in violation</w:t>
      </w:r>
      <w:r w:rsidR="00FE3889">
        <w:t xml:space="preserve"> of</w:t>
      </w:r>
      <w:r>
        <w:t xml:space="preserve"> </w:t>
      </w:r>
      <w:r w:rsidR="00893B85">
        <w:t>article </w:t>
      </w:r>
      <w:r>
        <w:t xml:space="preserve">9 </w:t>
      </w:r>
      <w:r w:rsidR="00F41EDC">
        <w:t>(</w:t>
      </w:r>
      <w:r>
        <w:t>3</w:t>
      </w:r>
      <w:r w:rsidR="00F41EDC">
        <w:t>)</w:t>
      </w:r>
      <w:r>
        <w:t xml:space="preserve"> of the Covenant, he was never “brought promptly before a judge”</w:t>
      </w:r>
      <w:r w:rsidR="007B7EB2">
        <w:t xml:space="preserve"> to review the validity of his detention</w:t>
      </w:r>
      <w:r>
        <w:t xml:space="preserve">. He only saw a judge </w:t>
      </w:r>
      <w:r w:rsidR="007B7EB2">
        <w:t xml:space="preserve">at the beginning of the </w:t>
      </w:r>
      <w:r>
        <w:t xml:space="preserve">trial, more than five months after his </w:t>
      </w:r>
      <w:r w:rsidR="007B7EB2">
        <w:t xml:space="preserve">actual </w:t>
      </w:r>
      <w:r w:rsidR="00C24F63">
        <w:t>arrest</w:t>
      </w:r>
      <w:r>
        <w:t xml:space="preserve">. </w:t>
      </w:r>
      <w:r w:rsidR="007B7EB2">
        <w:t>In addition, hi</w:t>
      </w:r>
      <w:r>
        <w:t>s arrest was ordered by a prosecutor, a</w:t>
      </w:r>
      <w:r w:rsidR="007B7EB2">
        <w:t>s required by</w:t>
      </w:r>
      <w:r>
        <w:t xml:space="preserve"> the Code </w:t>
      </w:r>
      <w:r w:rsidR="00C24F63">
        <w:t xml:space="preserve">of Criminal Procedure </w:t>
      </w:r>
      <w:r>
        <w:t xml:space="preserve">of Belarus. </w:t>
      </w:r>
      <w:r w:rsidR="007B7EB2">
        <w:t>T</w:t>
      </w:r>
      <w:r>
        <w:t>his procedure</w:t>
      </w:r>
      <w:r w:rsidR="007B7EB2">
        <w:t>, according to the author,</w:t>
      </w:r>
      <w:r>
        <w:t xml:space="preserve"> violates his rights</w:t>
      </w:r>
      <w:r w:rsidR="007B7EB2">
        <w:t xml:space="preserve"> under the Covenant</w:t>
      </w:r>
      <w:r w:rsidR="00A5649C">
        <w:t xml:space="preserve">. In this connection, </w:t>
      </w:r>
      <w:r w:rsidR="00A70997">
        <w:t xml:space="preserve">counsel </w:t>
      </w:r>
      <w:r w:rsidR="00A5649C">
        <w:t xml:space="preserve">refers to </w:t>
      </w:r>
      <w:r>
        <w:t xml:space="preserve">the Committee’s long-standing jurisprudence in </w:t>
      </w:r>
      <w:r w:rsidRPr="00E9788D">
        <w:rPr>
          <w:i/>
        </w:rPr>
        <w:t xml:space="preserve">Kulomin </w:t>
      </w:r>
      <w:r w:rsidR="005F3860" w:rsidRPr="005F3860">
        <w:rPr>
          <w:i/>
          <w:iCs/>
        </w:rPr>
        <w:t>v.</w:t>
      </w:r>
      <w:r w:rsidRPr="00E9788D">
        <w:rPr>
          <w:i/>
        </w:rPr>
        <w:t xml:space="preserve"> Hungary</w:t>
      </w:r>
      <w:r>
        <w:t>, among other cases</w:t>
      </w:r>
      <w:r w:rsidR="00326293">
        <w:t>.</w:t>
      </w:r>
      <w:r w:rsidR="00A5649C">
        <w:rPr>
          <w:rStyle w:val="FootnoteReference"/>
        </w:rPr>
        <w:footnoteReference w:id="4"/>
      </w:r>
      <w:r>
        <w:t xml:space="preserve"> Furthermore, the authorities failed to </w:t>
      </w:r>
      <w:r w:rsidR="007B7EB2">
        <w:t xml:space="preserve">inform him of his </w:t>
      </w:r>
      <w:r>
        <w:t xml:space="preserve">right to complain </w:t>
      </w:r>
      <w:r w:rsidR="00C24F63">
        <w:t xml:space="preserve">about </w:t>
      </w:r>
      <w:r>
        <w:t xml:space="preserve">this arrest procedure, as required by </w:t>
      </w:r>
      <w:r w:rsidR="00893B85">
        <w:t>article </w:t>
      </w:r>
      <w:r>
        <w:t xml:space="preserve">119 </w:t>
      </w:r>
      <w:r w:rsidR="00F41EDC">
        <w:t>(</w:t>
      </w:r>
      <w:r>
        <w:t>3</w:t>
      </w:r>
      <w:r w:rsidR="00F41EDC">
        <w:t>)</w:t>
      </w:r>
      <w:r>
        <w:t xml:space="preserve"> of the Code</w:t>
      </w:r>
      <w:r w:rsidR="00C24F63" w:rsidRPr="00C24F63">
        <w:t xml:space="preserve"> </w:t>
      </w:r>
      <w:r w:rsidR="00C24F63">
        <w:t>of Criminal Procedure</w:t>
      </w:r>
      <w:r>
        <w:t xml:space="preserve">. </w:t>
      </w:r>
    </w:p>
    <w:p w:rsidR="00A233C8" w:rsidRDefault="004B44C6" w:rsidP="00653454">
      <w:pPr>
        <w:pStyle w:val="SingleTxtG"/>
      </w:pPr>
      <w:r w:rsidRPr="00B12E1C">
        <w:t>2.</w:t>
      </w:r>
      <w:r w:rsidR="008E3E27">
        <w:t>3</w:t>
      </w:r>
      <w:r w:rsidRPr="00B12E1C">
        <w:tab/>
      </w:r>
      <w:r w:rsidR="006B35EB">
        <w:t>C</w:t>
      </w:r>
      <w:r w:rsidR="00A70997">
        <w:t>ounsel</w:t>
      </w:r>
      <w:r w:rsidR="00A70997" w:rsidRPr="00B12E1C">
        <w:t xml:space="preserve"> </w:t>
      </w:r>
      <w:r w:rsidRPr="00B12E1C">
        <w:t>submits that</w:t>
      </w:r>
      <w:r w:rsidR="00C24F63">
        <w:t>,</w:t>
      </w:r>
      <w:r w:rsidRPr="00B12E1C">
        <w:t xml:space="preserve"> during his </w:t>
      </w:r>
      <w:r w:rsidR="00202742" w:rsidRPr="00B12E1C">
        <w:t>pre-trial</w:t>
      </w:r>
      <w:r w:rsidRPr="00B12E1C">
        <w:t xml:space="preserve"> detention, </w:t>
      </w:r>
      <w:r w:rsidR="0006682B">
        <w:t>the author</w:t>
      </w:r>
      <w:r w:rsidR="0006682B" w:rsidRPr="00B12E1C">
        <w:t xml:space="preserve"> </w:t>
      </w:r>
      <w:r w:rsidRPr="00B12E1C">
        <w:t xml:space="preserve">was tortured by police officers in order to force him to confess </w:t>
      </w:r>
      <w:r w:rsidR="00C24F63">
        <w:t>to</w:t>
      </w:r>
      <w:r w:rsidR="006D2F5C">
        <w:t xml:space="preserve"> </w:t>
      </w:r>
      <w:r w:rsidRPr="00B12E1C">
        <w:t>the</w:t>
      </w:r>
      <w:r w:rsidR="00A233C8">
        <w:t xml:space="preserve"> kidnappings,</w:t>
      </w:r>
      <w:r w:rsidRPr="00B12E1C">
        <w:t xml:space="preserve"> murders, theft and </w:t>
      </w:r>
      <w:r w:rsidR="007A0727">
        <w:t>arson</w:t>
      </w:r>
      <w:r w:rsidRPr="00B12E1C">
        <w:t>.</w:t>
      </w:r>
      <w:r w:rsidR="007A0727">
        <w:t xml:space="preserve"> </w:t>
      </w:r>
      <w:r w:rsidR="0006682B">
        <w:t xml:space="preserve">Counsel </w:t>
      </w:r>
      <w:r w:rsidR="007A0727">
        <w:t>claims that</w:t>
      </w:r>
      <w:r w:rsidR="00C24F63">
        <w:t>,</w:t>
      </w:r>
      <w:r w:rsidR="007A0727">
        <w:t xml:space="preserve"> initially, when </w:t>
      </w:r>
      <w:r w:rsidR="0006682B">
        <w:t xml:space="preserve">the author </w:t>
      </w:r>
      <w:r w:rsidR="007A0727">
        <w:t xml:space="preserve">was brought to the police station, a group of about </w:t>
      </w:r>
      <w:r w:rsidR="0006682B">
        <w:t xml:space="preserve">10 </w:t>
      </w:r>
      <w:r w:rsidR="007A0727">
        <w:t>police officers beat him for about 10</w:t>
      </w:r>
      <w:r w:rsidR="00C24F63">
        <w:t>–</w:t>
      </w:r>
      <w:r w:rsidR="007A0727">
        <w:t>15 minutes</w:t>
      </w:r>
      <w:r w:rsidR="0006682B">
        <w:t>,</w:t>
      </w:r>
      <w:r w:rsidR="007A0727">
        <w:t xml:space="preserve"> until his nose started bleeding</w:t>
      </w:r>
      <w:r w:rsidRPr="00B12E1C">
        <w:t>.</w:t>
      </w:r>
      <w:r w:rsidR="007A0727">
        <w:t xml:space="preserve"> After that, police officers pressured him to admit </w:t>
      </w:r>
      <w:r w:rsidR="0006682B">
        <w:t xml:space="preserve">to </w:t>
      </w:r>
      <w:r w:rsidR="007A0727">
        <w:t>committing other crimes that</w:t>
      </w:r>
      <w:r w:rsidR="00C24F63">
        <w:t xml:space="preserve"> they</w:t>
      </w:r>
      <w:r w:rsidR="007A0727">
        <w:t xml:space="preserve"> </w:t>
      </w:r>
      <w:r w:rsidR="00C24F63">
        <w:t xml:space="preserve">had </w:t>
      </w:r>
      <w:r w:rsidR="007A0727">
        <w:t>not</w:t>
      </w:r>
      <w:r w:rsidR="00196964">
        <w:t xml:space="preserve"> previously</w:t>
      </w:r>
      <w:r w:rsidR="007A0727">
        <w:t xml:space="preserve"> </w:t>
      </w:r>
      <w:r w:rsidR="00C24F63">
        <w:t xml:space="preserve">been able to </w:t>
      </w:r>
      <w:r w:rsidR="007A0727">
        <w:t xml:space="preserve">resolve. </w:t>
      </w:r>
    </w:p>
    <w:p w:rsidR="00A233C8" w:rsidRDefault="00EC7574" w:rsidP="00653454">
      <w:pPr>
        <w:pStyle w:val="SingleTxtG"/>
      </w:pPr>
      <w:r>
        <w:t>2.</w:t>
      </w:r>
      <w:r w:rsidR="008E3E27">
        <w:t>4</w:t>
      </w:r>
      <w:r w:rsidR="00026C96">
        <w:tab/>
      </w:r>
      <w:r>
        <w:t xml:space="preserve">On </w:t>
      </w:r>
      <w:r w:rsidR="00196964">
        <w:t>an unknown date,</w:t>
      </w:r>
      <w:r>
        <w:t xml:space="preserve"> during a medical examination, the </w:t>
      </w:r>
      <w:r w:rsidR="006D2F5C">
        <w:t xml:space="preserve">examining medical </w:t>
      </w:r>
      <w:r>
        <w:t xml:space="preserve">doctor inquired into the author’s bruises. The author was so afraid of the police officers that </w:t>
      </w:r>
      <w:r w:rsidR="00F03D89">
        <w:t xml:space="preserve">he told the doctor that he </w:t>
      </w:r>
      <w:r w:rsidR="0006682B">
        <w:t xml:space="preserve">had fallen </w:t>
      </w:r>
      <w:r w:rsidR="00F03D89">
        <w:t xml:space="preserve">accidentally. After the medical examination, he was returned to the police station, where the beatings continued. On 14 October 2009, he was transferred to </w:t>
      </w:r>
      <w:r w:rsidR="006D2F5C">
        <w:t xml:space="preserve">the </w:t>
      </w:r>
      <w:r w:rsidR="00202742">
        <w:t>pre-trial</w:t>
      </w:r>
      <w:r w:rsidR="00F03D89">
        <w:t xml:space="preserve"> detention centre of the Oktyabrsk district</w:t>
      </w:r>
      <w:r w:rsidR="006D2F5C">
        <w:t xml:space="preserve"> in Grodno</w:t>
      </w:r>
      <w:r w:rsidR="00F03D89">
        <w:t xml:space="preserve">. During the transfer, he felt ill, could not walk </w:t>
      </w:r>
      <w:r w:rsidR="00026C96">
        <w:t>and had</w:t>
      </w:r>
      <w:r w:rsidR="00F03D89">
        <w:t xml:space="preserve"> bruises all over his body. The administration of the detention centre had to call an ambulance four times during the first night at the detention centre. Again, </w:t>
      </w:r>
      <w:r w:rsidR="0006682B">
        <w:t xml:space="preserve">the author </w:t>
      </w:r>
      <w:r w:rsidR="00F03D89">
        <w:t xml:space="preserve">was forced to tell the ambulance doctors that he </w:t>
      </w:r>
      <w:r w:rsidR="0006682B">
        <w:t xml:space="preserve">had </w:t>
      </w:r>
      <w:r w:rsidR="0006682B">
        <w:lastRenderedPageBreak/>
        <w:t xml:space="preserve">fallen </w:t>
      </w:r>
      <w:r w:rsidR="00F03D89">
        <w:t xml:space="preserve">accidentally and had no complaints against </w:t>
      </w:r>
      <w:r w:rsidR="006D2F5C">
        <w:t xml:space="preserve">the </w:t>
      </w:r>
      <w:r w:rsidR="00F03D89">
        <w:t>police</w:t>
      </w:r>
      <w:r w:rsidR="00326293">
        <w:t>.</w:t>
      </w:r>
      <w:r w:rsidR="00F03D89">
        <w:rPr>
          <w:rStyle w:val="FootnoteReference"/>
        </w:rPr>
        <w:footnoteReference w:id="5"/>
      </w:r>
      <w:r w:rsidR="00F03D89">
        <w:t xml:space="preserve"> </w:t>
      </w:r>
      <w:r w:rsidR="00C24F63">
        <w:t>The f</w:t>
      </w:r>
      <w:r w:rsidR="007670C1">
        <w:t xml:space="preserve">irst time </w:t>
      </w:r>
      <w:r w:rsidR="00C24F63">
        <w:t xml:space="preserve">that </w:t>
      </w:r>
      <w:r w:rsidR="007670C1">
        <w:t>he was able to tell his mother</w:t>
      </w:r>
      <w:r w:rsidR="00C2599D">
        <w:rPr>
          <w:rStyle w:val="FootnoteReference"/>
        </w:rPr>
        <w:footnoteReference w:id="6"/>
      </w:r>
      <w:r w:rsidR="007670C1">
        <w:t xml:space="preserve"> about </w:t>
      </w:r>
      <w:r w:rsidR="006D2F5C">
        <w:t xml:space="preserve">the </w:t>
      </w:r>
      <w:r w:rsidR="007670C1">
        <w:t xml:space="preserve">torture and ill-treatment </w:t>
      </w:r>
      <w:r w:rsidR="006D2F5C">
        <w:t>he ha</w:t>
      </w:r>
      <w:r w:rsidR="00C24F63">
        <w:t>d</w:t>
      </w:r>
      <w:r w:rsidR="006D2F5C">
        <w:t xml:space="preserve"> been subjected to </w:t>
      </w:r>
      <w:r w:rsidR="007670C1">
        <w:t xml:space="preserve">was after the verdict was announced by </w:t>
      </w:r>
      <w:r w:rsidR="006D2F5C">
        <w:t xml:space="preserve">the </w:t>
      </w:r>
      <w:r w:rsidR="007670C1">
        <w:t xml:space="preserve">court. He also reported torture to his lawyer when he was preparing to submit his cassation appeal to the Supreme Court. </w:t>
      </w:r>
    </w:p>
    <w:p w:rsidR="00196964" w:rsidRDefault="00935DEF" w:rsidP="00653454">
      <w:pPr>
        <w:pStyle w:val="SingleTxtG"/>
      </w:pPr>
      <w:r>
        <w:t>2.</w:t>
      </w:r>
      <w:r w:rsidR="008E3E27">
        <w:t>5</w:t>
      </w:r>
      <w:r w:rsidR="004B44C6" w:rsidRPr="00B12E1C">
        <w:tab/>
      </w:r>
      <w:r w:rsidR="006B35EB">
        <w:t>C</w:t>
      </w:r>
      <w:r w:rsidR="00A70997">
        <w:t xml:space="preserve">ounsel </w:t>
      </w:r>
      <w:r>
        <w:t>a</w:t>
      </w:r>
      <w:r w:rsidR="006D2F5C">
        <w:t>dds</w:t>
      </w:r>
      <w:r w:rsidR="004B44C6" w:rsidRPr="00B12E1C">
        <w:t xml:space="preserve"> that the facts of torture and ill-treatment were confirmed by a medical expert, who</w:t>
      </w:r>
      <w:r>
        <w:t xml:space="preserve"> concluded, on 23 October 2009, that the author “was unable to move around by </w:t>
      </w:r>
      <w:r w:rsidR="00FE3889">
        <w:t>himself”</w:t>
      </w:r>
      <w:r>
        <w:t xml:space="preserve"> and </w:t>
      </w:r>
      <w:r w:rsidR="00C24F63">
        <w:t xml:space="preserve">had </w:t>
      </w:r>
      <w:r>
        <w:t xml:space="preserve">signs of “hyperaemia </w:t>
      </w:r>
      <w:r w:rsidRPr="002D36A5">
        <w:t>around his both wrists</w:t>
      </w:r>
      <w:r>
        <w:t>”</w:t>
      </w:r>
      <w:r w:rsidR="004B44C6" w:rsidRPr="00B12E1C">
        <w:t xml:space="preserve">. </w:t>
      </w:r>
      <w:r w:rsidR="00196964">
        <w:t xml:space="preserve">The </w:t>
      </w:r>
      <w:r w:rsidR="006D2F5C">
        <w:t>author reiterate</w:t>
      </w:r>
      <w:r w:rsidR="005123A6">
        <w:t>d</w:t>
      </w:r>
      <w:r w:rsidR="006D2F5C">
        <w:t xml:space="preserve"> that the </w:t>
      </w:r>
      <w:r w:rsidR="00196964">
        <w:t xml:space="preserve">purpose of torture and ill-treatment was to force </w:t>
      </w:r>
      <w:r w:rsidR="006D2F5C">
        <w:t>him to</w:t>
      </w:r>
      <w:r w:rsidR="00196964">
        <w:t xml:space="preserve"> sign a confession. </w:t>
      </w:r>
      <w:r w:rsidR="006D2F5C">
        <w:t>D</w:t>
      </w:r>
      <w:r w:rsidR="00196964">
        <w:t xml:space="preserve">uring the initial interrogation, he was intoxicated after drinking large amounts of alcohol and could </w:t>
      </w:r>
      <w:r w:rsidR="006D2F5C">
        <w:t xml:space="preserve">not </w:t>
      </w:r>
      <w:r w:rsidR="00196964">
        <w:t xml:space="preserve">express himself in a coherent way. The investigators nevertheless continued the interrogation and gave him additional alcohol. </w:t>
      </w:r>
      <w:r w:rsidR="00A70997">
        <w:t>Counsel</w:t>
      </w:r>
      <w:r w:rsidR="00196964">
        <w:t xml:space="preserve"> claims that</w:t>
      </w:r>
      <w:r w:rsidR="005123A6">
        <w:t>,</w:t>
      </w:r>
      <w:r w:rsidR="00196964">
        <w:t xml:space="preserve"> during </w:t>
      </w:r>
      <w:r w:rsidR="0006682B">
        <w:t xml:space="preserve">the author’s </w:t>
      </w:r>
      <w:r w:rsidR="00196964">
        <w:t xml:space="preserve">interrogations and beatings, no lawyer </w:t>
      </w:r>
      <w:r w:rsidR="006D2F5C">
        <w:t xml:space="preserve">was </w:t>
      </w:r>
      <w:r w:rsidR="00196964">
        <w:t>present. He submits that</w:t>
      </w:r>
      <w:r w:rsidR="005123A6">
        <w:t>,</w:t>
      </w:r>
      <w:r w:rsidR="00196964">
        <w:t xml:space="preserve"> in cases where there is a risk of death penalty, the authorities must ensure that all justice standards are followed. </w:t>
      </w:r>
    </w:p>
    <w:p w:rsidR="00026C96" w:rsidRDefault="004B44C6" w:rsidP="00653454">
      <w:pPr>
        <w:pStyle w:val="SingleTxtG"/>
      </w:pPr>
      <w:r w:rsidRPr="00B12E1C">
        <w:t>2.</w:t>
      </w:r>
      <w:r w:rsidR="00383356">
        <w:t>6</w:t>
      </w:r>
      <w:r w:rsidRPr="00B12E1C">
        <w:tab/>
      </w:r>
      <w:r w:rsidR="00A70997">
        <w:t>Counsel</w:t>
      </w:r>
      <w:r w:rsidR="00026C96">
        <w:t xml:space="preserve"> submits</w:t>
      </w:r>
      <w:r w:rsidR="00FE3889">
        <w:t xml:space="preserve"> that</w:t>
      </w:r>
      <w:r w:rsidR="005123A6">
        <w:t>,</w:t>
      </w:r>
      <w:r w:rsidR="00026C96">
        <w:t xml:space="preserve"> during the trial, the court clearly showed its bias </w:t>
      </w:r>
      <w:r w:rsidR="00FE3889">
        <w:t>against</w:t>
      </w:r>
      <w:r w:rsidR="00026C96">
        <w:t xml:space="preserve"> </w:t>
      </w:r>
      <w:r w:rsidR="0006682B">
        <w:t>the author</w:t>
      </w:r>
      <w:r w:rsidR="00026C96">
        <w:t xml:space="preserve">, in violation of </w:t>
      </w:r>
      <w:r w:rsidR="00893B85">
        <w:t>article </w:t>
      </w:r>
      <w:r w:rsidR="00026C96">
        <w:t xml:space="preserve">14 </w:t>
      </w:r>
      <w:r w:rsidR="00F41EDC">
        <w:t>(</w:t>
      </w:r>
      <w:r w:rsidR="00026C96">
        <w:t>1</w:t>
      </w:r>
      <w:r w:rsidR="00F41EDC">
        <w:t>)</w:t>
      </w:r>
      <w:r w:rsidR="00026C96">
        <w:t xml:space="preserve"> of the Covenant. Regarding the presumption of innocence, the court disregarded </w:t>
      </w:r>
      <w:r w:rsidR="006D2F5C">
        <w:t xml:space="preserve">several </w:t>
      </w:r>
      <w:r w:rsidR="00026C96">
        <w:t xml:space="preserve">discrepancies in the author’s statements to the police and during the court hearings. According to the </w:t>
      </w:r>
      <w:r w:rsidR="006D2F5C" w:rsidRPr="005C7B60">
        <w:t xml:space="preserve">Committee’s </w:t>
      </w:r>
      <w:r w:rsidR="005123A6" w:rsidRPr="00B90C4B">
        <w:t>g</w:t>
      </w:r>
      <w:r w:rsidR="00026C96" w:rsidRPr="00F41EDC">
        <w:t xml:space="preserve">eneral </w:t>
      </w:r>
      <w:r w:rsidR="005123A6" w:rsidRPr="00F41EDC">
        <w:t>c</w:t>
      </w:r>
      <w:r w:rsidR="00026C96" w:rsidRPr="00F41EDC">
        <w:t>omment No.</w:t>
      </w:r>
      <w:r w:rsidR="00C307EC" w:rsidRPr="00F41EDC">
        <w:t> </w:t>
      </w:r>
      <w:r w:rsidR="00026C96" w:rsidRPr="00F41EDC">
        <w:t>32</w:t>
      </w:r>
      <w:r w:rsidR="00ED57CA">
        <w:t xml:space="preserve"> (2007) on the r</w:t>
      </w:r>
      <w:r w:rsidR="00ED57CA" w:rsidRPr="00ED57CA">
        <w:t>ight to equality before courts and tribunals and to a fair trial</w:t>
      </w:r>
      <w:r w:rsidR="00026C96">
        <w:t>, defendants, normally, should not be in shackles and should not be kept in cages. Despite these requirements, the author was kept in a metal cage during the court hearings and the photo</w:t>
      </w:r>
      <w:r w:rsidR="0006682B">
        <w:t>graph</w:t>
      </w:r>
      <w:r w:rsidR="00026C96">
        <w:t xml:space="preserve"> of him in </w:t>
      </w:r>
      <w:r w:rsidR="005123A6">
        <w:t xml:space="preserve">the </w:t>
      </w:r>
      <w:r w:rsidR="00026C96">
        <w:t xml:space="preserve">cage was published in </w:t>
      </w:r>
      <w:r w:rsidR="005123A6">
        <w:t xml:space="preserve">the </w:t>
      </w:r>
      <w:r w:rsidR="00026C96">
        <w:t xml:space="preserve">mass media. After the verdict was announced, the author was forced to wear a special robe with letters that indicated that he </w:t>
      </w:r>
      <w:r w:rsidR="00B4063F">
        <w:t xml:space="preserve">had been </w:t>
      </w:r>
      <w:r w:rsidR="00026C96">
        <w:t>sentenced to death</w:t>
      </w:r>
      <w:r w:rsidR="008E3E27">
        <w:t xml:space="preserve"> even though the verdict was not </w:t>
      </w:r>
      <w:r w:rsidR="005123A6">
        <w:t xml:space="preserve">then </w:t>
      </w:r>
      <w:r w:rsidR="008E3E27">
        <w:t>in force</w:t>
      </w:r>
      <w:r w:rsidR="00026C96">
        <w:t>.</w:t>
      </w:r>
    </w:p>
    <w:p w:rsidR="002D3C63" w:rsidRPr="005429C4" w:rsidRDefault="002D3C63" w:rsidP="00653454">
      <w:pPr>
        <w:pStyle w:val="SingleTxtG"/>
      </w:pPr>
      <w:r>
        <w:t>2.</w:t>
      </w:r>
      <w:r w:rsidR="00383356">
        <w:t>7</w:t>
      </w:r>
      <w:r>
        <w:tab/>
      </w:r>
      <w:r w:rsidR="00A70997">
        <w:t>Counsel</w:t>
      </w:r>
      <w:r>
        <w:t xml:space="preserve"> further claims that </w:t>
      </w:r>
      <w:r w:rsidR="00B4063F">
        <w:t xml:space="preserve">the author’s </w:t>
      </w:r>
      <w:r>
        <w:t xml:space="preserve">right to legal assistance </w:t>
      </w:r>
      <w:r w:rsidR="005123A6">
        <w:t xml:space="preserve">had </w:t>
      </w:r>
      <w:r>
        <w:t xml:space="preserve">also </w:t>
      </w:r>
      <w:r w:rsidR="005123A6">
        <w:t xml:space="preserve">been </w:t>
      </w:r>
      <w:r>
        <w:t>violated. Even when he saw a lawyer on 14 October 2009, he was not given an opportunity to meet with him or her in confidence. He therefore refused the assistance of the lawyer. Later, during the cassation appeal procedure, he was also not allowed to meet with a lawyer in private</w:t>
      </w:r>
      <w:r w:rsidR="00B71D2A">
        <w:t xml:space="preserve">, even if, as indicated in the Committee’s </w:t>
      </w:r>
      <w:r w:rsidR="005123A6">
        <w:t>g</w:t>
      </w:r>
      <w:r w:rsidR="00DD2793">
        <w:t xml:space="preserve">eneral </w:t>
      </w:r>
      <w:r w:rsidR="005123A6">
        <w:t>c</w:t>
      </w:r>
      <w:r w:rsidR="00DD2793">
        <w:t>omment No.</w:t>
      </w:r>
      <w:r w:rsidR="00C307EC">
        <w:t> </w:t>
      </w:r>
      <w:r w:rsidR="00DD2793">
        <w:t>32, in cases involving capital punishment, it is “</w:t>
      </w:r>
      <w:r w:rsidR="00DD2793" w:rsidRPr="005C7B60">
        <w:t>axiomatic</w:t>
      </w:r>
      <w:r w:rsidR="00DD2793">
        <w:t xml:space="preserve">” that the defendant must be effectively assisted by a lawyer through all stages of the investigation and trial. </w:t>
      </w:r>
      <w:r w:rsidR="00A70997">
        <w:t>Counsel</w:t>
      </w:r>
      <w:r w:rsidR="00DD2793">
        <w:t xml:space="preserve"> submits that</w:t>
      </w:r>
      <w:r w:rsidR="005123A6">
        <w:t>,</w:t>
      </w:r>
      <w:r w:rsidR="00DD2793">
        <w:t xml:space="preserve"> during </w:t>
      </w:r>
      <w:r w:rsidR="00B71D2A">
        <w:t xml:space="preserve">a number of </w:t>
      </w:r>
      <w:r w:rsidR="00DD2793">
        <w:t xml:space="preserve">interrogations </w:t>
      </w:r>
      <w:r w:rsidR="00496433">
        <w:t>a</w:t>
      </w:r>
      <w:r w:rsidR="00DD2793">
        <w:t xml:space="preserve">nd other actions by the authorities, the lawyer was not present. The lawyer only studied the case after the investigation was over, during the preparations for the trial. </w:t>
      </w:r>
    </w:p>
    <w:p w:rsidR="004B44C6" w:rsidRPr="00B12E1C" w:rsidRDefault="004B44C6" w:rsidP="00653454">
      <w:pPr>
        <w:pStyle w:val="SingleTxtG"/>
      </w:pPr>
      <w:r w:rsidRPr="00B12E1C">
        <w:t>2.</w:t>
      </w:r>
      <w:r w:rsidR="00383356">
        <w:t>8</w:t>
      </w:r>
      <w:r w:rsidRPr="00B12E1C">
        <w:tab/>
      </w:r>
      <w:r w:rsidR="00A70997">
        <w:t>Counsel</w:t>
      </w:r>
      <w:r w:rsidR="008E3E27">
        <w:t xml:space="preserve"> submits that </w:t>
      </w:r>
      <w:r w:rsidR="00B4063F">
        <w:t xml:space="preserve">the author </w:t>
      </w:r>
      <w:r w:rsidR="008E3E27">
        <w:t xml:space="preserve">was sentenced to death based on </w:t>
      </w:r>
      <w:r w:rsidR="00B4063F">
        <w:t xml:space="preserve">a </w:t>
      </w:r>
      <w:r w:rsidR="008E3E27">
        <w:t xml:space="preserve">forced confession </w:t>
      </w:r>
      <w:r w:rsidR="00E96A6E">
        <w:t>obtained under</w:t>
      </w:r>
      <w:r w:rsidR="008E3E27">
        <w:t xml:space="preserve"> torture and ill-treatment</w:t>
      </w:r>
      <w:r w:rsidR="00E96A6E">
        <w:t xml:space="preserve">; </w:t>
      </w:r>
      <w:r w:rsidRPr="00B12E1C">
        <w:t xml:space="preserve">such evidence should not have been </w:t>
      </w:r>
      <w:r w:rsidR="00E96A6E">
        <w:t xml:space="preserve">retained </w:t>
      </w:r>
      <w:r w:rsidRPr="00B12E1C">
        <w:t xml:space="preserve">by the court. </w:t>
      </w:r>
      <w:r w:rsidR="00E96A6E">
        <w:t>In addition, t</w:t>
      </w:r>
      <w:r w:rsidRPr="00B12E1C">
        <w:t xml:space="preserve">he court disregarded the author’s claims that he was tortured </w:t>
      </w:r>
      <w:r w:rsidR="00E96A6E">
        <w:t xml:space="preserve">to </w:t>
      </w:r>
      <w:r w:rsidRPr="00B12E1C">
        <w:t>force</w:t>
      </w:r>
      <w:r w:rsidR="00E96A6E">
        <w:t xml:space="preserve"> </w:t>
      </w:r>
      <w:r w:rsidR="00B4063F">
        <w:t>a</w:t>
      </w:r>
      <w:r w:rsidR="00E96A6E">
        <w:t xml:space="preserve"> </w:t>
      </w:r>
      <w:r w:rsidRPr="00B12E1C">
        <w:t>confess</w:t>
      </w:r>
      <w:r w:rsidR="00B4063F">
        <w:t>ion of</w:t>
      </w:r>
      <w:r w:rsidRPr="00B12E1C">
        <w:t xml:space="preserve"> guilt. </w:t>
      </w:r>
    </w:p>
    <w:p w:rsidR="004B44C6" w:rsidRPr="00B12E1C" w:rsidRDefault="004B44C6" w:rsidP="00653454">
      <w:pPr>
        <w:pStyle w:val="SingleTxtG"/>
      </w:pPr>
      <w:r w:rsidRPr="00B12E1C">
        <w:t>2.</w:t>
      </w:r>
      <w:r w:rsidR="00383356">
        <w:t>9</w:t>
      </w:r>
      <w:r w:rsidRPr="00B12E1C">
        <w:tab/>
        <w:t xml:space="preserve">On </w:t>
      </w:r>
      <w:r w:rsidR="008E3E27">
        <w:t>14 May 2010</w:t>
      </w:r>
      <w:r w:rsidRPr="00B12E1C">
        <w:t xml:space="preserve">, the </w:t>
      </w:r>
      <w:r w:rsidR="008E3E27">
        <w:t>Grodno</w:t>
      </w:r>
      <w:r w:rsidRPr="00B12E1C">
        <w:t xml:space="preserve"> Regional Court found the author guilty of </w:t>
      </w:r>
      <w:r w:rsidR="008E3E27">
        <w:t>three</w:t>
      </w:r>
      <w:r w:rsidRPr="00B12E1C">
        <w:t xml:space="preserve"> murders, </w:t>
      </w:r>
      <w:r w:rsidR="008E3E27">
        <w:t xml:space="preserve">kidnapping, </w:t>
      </w:r>
      <w:r w:rsidRPr="00B12E1C">
        <w:t>theft</w:t>
      </w:r>
      <w:r w:rsidR="008E3E27">
        <w:t xml:space="preserve"> and arson. </w:t>
      </w:r>
      <w:r w:rsidRPr="00B12E1C">
        <w:t xml:space="preserve">On </w:t>
      </w:r>
      <w:r w:rsidR="008E3E27">
        <w:t>22 May 2010</w:t>
      </w:r>
      <w:r w:rsidRPr="00B12E1C">
        <w:t xml:space="preserve">, the author, acting through his lawyer, filed </w:t>
      </w:r>
      <w:r w:rsidR="008E3E27">
        <w:t xml:space="preserve">a </w:t>
      </w:r>
      <w:r w:rsidRPr="00B12E1C">
        <w:t xml:space="preserve">cassation appeal and, on </w:t>
      </w:r>
      <w:r w:rsidR="008E3E27">
        <w:t>26 July 2010</w:t>
      </w:r>
      <w:r w:rsidRPr="00B12E1C">
        <w:t xml:space="preserve">, he filed an addendum to his appeal, with new arguments including references to articles of the Covenant. On </w:t>
      </w:r>
      <w:r w:rsidR="008E3E27">
        <w:t>17 September 2010,</w:t>
      </w:r>
      <w:r w:rsidRPr="00B12E1C">
        <w:t xml:space="preserve"> the Supreme Court of Belarus rejected </w:t>
      </w:r>
      <w:r w:rsidR="00E96A6E">
        <w:t xml:space="preserve">the </w:t>
      </w:r>
      <w:r w:rsidRPr="00B12E1C">
        <w:t>appeal</w:t>
      </w:r>
      <w:r w:rsidR="00E96A6E">
        <w:t xml:space="preserve">, finding </w:t>
      </w:r>
      <w:r w:rsidRPr="00B12E1C">
        <w:t>that the author’s conviction was fully supported by the evidence</w:t>
      </w:r>
      <w:r w:rsidR="00E96A6E">
        <w:t xml:space="preserve"> on file</w:t>
      </w:r>
      <w:r w:rsidRPr="00B12E1C">
        <w:t xml:space="preserve">. The Supreme Court also ignored the author’s </w:t>
      </w:r>
      <w:r w:rsidRPr="00B12E1C">
        <w:lastRenderedPageBreak/>
        <w:t xml:space="preserve">complaints that he was forced to confess his guilt. </w:t>
      </w:r>
      <w:r w:rsidR="00A70997">
        <w:t>Counsel</w:t>
      </w:r>
      <w:r w:rsidRPr="00B12E1C">
        <w:t xml:space="preserve"> therefore contends that </w:t>
      </w:r>
      <w:r w:rsidR="00A70997">
        <w:t>the author</w:t>
      </w:r>
      <w:r w:rsidR="00A70997" w:rsidRPr="00B12E1C">
        <w:t xml:space="preserve"> </w:t>
      </w:r>
      <w:r w:rsidRPr="00B12E1C">
        <w:t>exhausted all available domestic remedies.</w:t>
      </w:r>
    </w:p>
    <w:p w:rsidR="004B44C6" w:rsidRPr="00B12E1C" w:rsidRDefault="004B44C6" w:rsidP="004B44C6">
      <w:pPr>
        <w:pStyle w:val="H23G"/>
      </w:pPr>
      <w:r w:rsidRPr="00B12E1C">
        <w:tab/>
      </w:r>
      <w:r w:rsidRPr="00B12E1C">
        <w:tab/>
        <w:t>The complaint</w:t>
      </w:r>
    </w:p>
    <w:p w:rsidR="004B44C6" w:rsidRPr="00B12E1C" w:rsidRDefault="004B44C6" w:rsidP="00653454">
      <w:pPr>
        <w:pStyle w:val="SingleTxtG"/>
      </w:pPr>
      <w:r w:rsidRPr="00B12E1C">
        <w:t>3.</w:t>
      </w:r>
      <w:r w:rsidRPr="00B12E1C">
        <w:tab/>
      </w:r>
      <w:r w:rsidR="00A70997">
        <w:t>Counsel</w:t>
      </w:r>
      <w:r w:rsidRPr="00B12E1C">
        <w:t xml:space="preserve"> claims that </w:t>
      </w:r>
      <w:r w:rsidR="00A70997">
        <w:t>the author’s</w:t>
      </w:r>
      <w:r w:rsidR="00A70997" w:rsidRPr="00B12E1C">
        <w:t xml:space="preserve"> </w:t>
      </w:r>
      <w:r w:rsidRPr="00B12E1C">
        <w:t xml:space="preserve">rights under articles 6 </w:t>
      </w:r>
      <w:r w:rsidR="00F41EDC">
        <w:t>(</w:t>
      </w:r>
      <w:r w:rsidRPr="00B12E1C">
        <w:t>1</w:t>
      </w:r>
      <w:r w:rsidR="00B4063F">
        <w:t>–</w:t>
      </w:r>
      <w:r w:rsidRPr="00B12E1C">
        <w:t>2</w:t>
      </w:r>
      <w:r w:rsidR="00F41EDC">
        <w:t>)</w:t>
      </w:r>
      <w:r w:rsidR="00B4063F">
        <w:t>,</w:t>
      </w:r>
      <w:r w:rsidR="000D50C4">
        <w:t xml:space="preserve"> </w:t>
      </w:r>
      <w:r w:rsidRPr="00B12E1C">
        <w:t>7</w:t>
      </w:r>
      <w:r w:rsidR="00B4063F">
        <w:t>,</w:t>
      </w:r>
      <w:r w:rsidRPr="00B12E1C">
        <w:t xml:space="preserve"> 9 </w:t>
      </w:r>
      <w:r w:rsidR="00F41EDC">
        <w:t>(</w:t>
      </w:r>
      <w:r w:rsidR="007E300F">
        <w:t>1</w:t>
      </w:r>
      <w:r w:rsidR="004B01AD">
        <w:t>–</w:t>
      </w:r>
      <w:r w:rsidR="007E300F">
        <w:t>4</w:t>
      </w:r>
      <w:r w:rsidR="00B4063F">
        <w:t>) and</w:t>
      </w:r>
      <w:r w:rsidR="00893B85">
        <w:t> </w:t>
      </w:r>
      <w:r w:rsidR="007E300F" w:rsidRPr="00B12E1C">
        <w:t xml:space="preserve">14 </w:t>
      </w:r>
      <w:r w:rsidR="00F41EDC">
        <w:t>(</w:t>
      </w:r>
      <w:r w:rsidR="007E300F" w:rsidRPr="00B12E1C">
        <w:t>1, 2</w:t>
      </w:r>
      <w:r w:rsidR="00B4063F">
        <w:t xml:space="preserve"> and</w:t>
      </w:r>
      <w:r w:rsidR="007E300F" w:rsidRPr="00B12E1C">
        <w:t xml:space="preserve"> 3</w:t>
      </w:r>
      <w:r w:rsidR="007E300F">
        <w:t xml:space="preserve"> </w:t>
      </w:r>
      <w:r w:rsidR="007E300F" w:rsidRPr="00B12E1C">
        <w:t>(a), (b), (d) and (g)</w:t>
      </w:r>
      <w:r w:rsidR="00B4063F">
        <w:t>)</w:t>
      </w:r>
      <w:r w:rsidRPr="00B12E1C">
        <w:t xml:space="preserve"> of the Covenant were violated by the State party, because he was subjected to arbitrary arrest, torture and ill-treatment after his arrest, and was sentenced to death after an unfair trial.</w:t>
      </w:r>
    </w:p>
    <w:p w:rsidR="004B44C6" w:rsidRPr="00B12E1C" w:rsidRDefault="004B44C6" w:rsidP="004B44C6">
      <w:pPr>
        <w:pStyle w:val="H23G"/>
      </w:pPr>
      <w:r w:rsidRPr="00B12E1C">
        <w:tab/>
      </w:r>
      <w:r w:rsidRPr="00B12E1C">
        <w:tab/>
      </w:r>
      <w:r w:rsidRPr="005C7B60">
        <w:t>State party’s observations on admissibility and interim measures</w:t>
      </w:r>
      <w:r w:rsidRPr="00B12E1C">
        <w:t xml:space="preserve"> </w:t>
      </w:r>
    </w:p>
    <w:p w:rsidR="007E300F" w:rsidRDefault="004B44C6" w:rsidP="004B44C6">
      <w:pPr>
        <w:pStyle w:val="SingleTxtG"/>
      </w:pPr>
      <w:r w:rsidRPr="00B12E1C">
        <w:t>4.1</w:t>
      </w:r>
      <w:r w:rsidRPr="00B12E1C">
        <w:tab/>
        <w:t xml:space="preserve">On </w:t>
      </w:r>
      <w:r w:rsidR="007E300F">
        <w:t>6 January 2011</w:t>
      </w:r>
      <w:r w:rsidRPr="00B12E1C">
        <w:t xml:space="preserve">, the State party </w:t>
      </w:r>
      <w:r w:rsidR="007E300F">
        <w:t xml:space="preserve">submits that it did not assume any commitment in accordance with the Optional Protocol to the Covenant. </w:t>
      </w:r>
      <w:r w:rsidR="002014C3">
        <w:t>The present communication should not have been registered by the Committee in the first place and</w:t>
      </w:r>
      <w:r w:rsidR="00C03CF2">
        <w:t>,</w:t>
      </w:r>
      <w:r w:rsidR="002014C3">
        <w:t xml:space="preserve"> therefore, the State party</w:t>
      </w:r>
      <w:r w:rsidR="00C03CF2">
        <w:t xml:space="preserve"> states that it</w:t>
      </w:r>
      <w:r w:rsidR="002014C3">
        <w:t xml:space="preserve"> has the honour </w:t>
      </w:r>
      <w:r w:rsidR="00C03CF2">
        <w:t xml:space="preserve">of </w:t>
      </w:r>
      <w:r w:rsidR="002014C3">
        <w:t>return</w:t>
      </w:r>
      <w:r w:rsidR="00C03CF2">
        <w:t>ing</w:t>
      </w:r>
      <w:r w:rsidR="002014C3">
        <w:t xml:space="preserve"> all </w:t>
      </w:r>
      <w:r w:rsidR="00C03CF2">
        <w:t xml:space="preserve">the </w:t>
      </w:r>
      <w:r w:rsidR="002014C3">
        <w:t xml:space="preserve">documentation </w:t>
      </w:r>
      <w:r w:rsidR="00C03CF2">
        <w:t xml:space="preserve">related to </w:t>
      </w:r>
      <w:r w:rsidR="002014C3">
        <w:t xml:space="preserve">the communication. Furthermore, on 22 April 2011, the State party submits that the Committee should </w:t>
      </w:r>
      <w:r w:rsidR="00E96A6E">
        <w:t xml:space="preserve">not </w:t>
      </w:r>
      <w:r w:rsidR="002014C3">
        <w:t>have registered the present communication</w:t>
      </w:r>
      <w:r w:rsidR="00F76452">
        <w:t>,</w:t>
      </w:r>
      <w:r w:rsidR="002014C3">
        <w:t xml:space="preserve"> which was submitted by third</w:t>
      </w:r>
      <w:r w:rsidR="00F76452">
        <w:t>-</w:t>
      </w:r>
      <w:r w:rsidR="002014C3">
        <w:t>party individuals who are not even subject to Belarus</w:t>
      </w:r>
      <w:r w:rsidR="00C03CF2">
        <w:t>ian</w:t>
      </w:r>
      <w:r w:rsidR="002014C3">
        <w:t xml:space="preserve"> jurisdiction</w:t>
      </w:r>
      <w:r w:rsidR="00501CB1">
        <w:t>.</w:t>
      </w:r>
      <w:r w:rsidR="002014C3">
        <w:rPr>
          <w:rStyle w:val="FootnoteReference"/>
        </w:rPr>
        <w:footnoteReference w:id="7"/>
      </w:r>
      <w:r w:rsidR="002014C3">
        <w:t xml:space="preserve"> </w:t>
      </w:r>
    </w:p>
    <w:p w:rsidR="004B44C6" w:rsidRPr="00B12E1C" w:rsidRDefault="004B44C6" w:rsidP="00BA32A1">
      <w:pPr>
        <w:pStyle w:val="SingleTxtG"/>
      </w:pPr>
      <w:r w:rsidRPr="00467FD9">
        <w:t>4.2</w:t>
      </w:r>
      <w:r w:rsidRPr="00467FD9">
        <w:tab/>
      </w:r>
      <w:r w:rsidR="00467FD9" w:rsidRPr="00467FD9">
        <w:t xml:space="preserve">In a note verbale dated 25 January 2012, the State party </w:t>
      </w:r>
      <w:r w:rsidR="00E96A6E">
        <w:t>added</w:t>
      </w:r>
      <w:r w:rsidR="00467FD9" w:rsidRPr="00467FD9">
        <w:t xml:space="preserve"> that</w:t>
      </w:r>
      <w:r w:rsidR="00CF7180">
        <w:t>,</w:t>
      </w:r>
      <w:r w:rsidR="00467FD9" w:rsidRPr="00467FD9">
        <w:t xml:space="preserve"> upon becoming a party to the Optional Protocol, it had agreed, under </w:t>
      </w:r>
      <w:r w:rsidR="00893B85">
        <w:t>article </w:t>
      </w:r>
      <w:r w:rsidR="00467FD9" w:rsidRPr="00467FD9">
        <w:t>1 thereof</w:t>
      </w:r>
      <w:r w:rsidR="00CF7180">
        <w:t>,</w:t>
      </w:r>
      <w:r w:rsidR="00467FD9" w:rsidRPr="00467FD9">
        <w:t xml:space="preserve"> to recognize the competence of the Committee to receive and consider communications from individuals subject to its jurisdiction who claim to be victims of a violation by the State party of any rights protected by the Covenant. It notes, however, that th</w:t>
      </w:r>
      <w:r w:rsidR="00BE5D0F">
        <w:t>at</w:t>
      </w:r>
      <w:r w:rsidR="00467FD9" w:rsidRPr="00467FD9">
        <w:t xml:space="preserve"> recognition was undertaken in conjunction with other provisions of the Optional Protocol, including those establishing criteria regarding petitioners and the admissibility of their communications, in particular articles 2 and 5. The State party maintains that, under the Optional Protocol, States parties have no obligation to recognize the Committee’s rules of procedure nor its interpretation of the provisions of the Optional Protocol, which could only be effective when done in accordance with the Vienna Convention on the Law of Treaties. It submits that, in relation to the complaint procedure, States parties should be guided first and foremost by the provisions of the Optional Protocol and that references to the Committee’s long-standing practice, methods of work and case law are not subjects of the Optional Protocol. It also submits that any communication registered in violation of the provisions of the Optional Protocol will be viewed by the State party as incompatible with the Optional Protocol and will be rejected without comments on the admissibility or merits, and any decision taken by the Committee on such rejected communications will be considered by its authorities as invalid. The State party considers that the present communication</w:t>
      </w:r>
      <w:r w:rsidR="00CF7180">
        <w:t>,</w:t>
      </w:r>
      <w:r w:rsidR="00467FD9" w:rsidRPr="00467FD9">
        <w:t xml:space="preserve"> as well as several other communications before the Committee</w:t>
      </w:r>
      <w:r w:rsidR="00CF7180">
        <w:t>,</w:t>
      </w:r>
      <w:r w:rsidR="00467FD9" w:rsidRPr="00467FD9">
        <w:t xml:space="preserve"> were registered in violation of the Optional Protocol.</w:t>
      </w:r>
    </w:p>
    <w:p w:rsidR="004B44C6" w:rsidRPr="00B12E1C" w:rsidRDefault="004B44C6" w:rsidP="004B44C6">
      <w:pPr>
        <w:pStyle w:val="H23G"/>
      </w:pPr>
      <w:r w:rsidRPr="00B12E1C">
        <w:tab/>
      </w:r>
      <w:r w:rsidRPr="00B12E1C">
        <w:tab/>
        <w:t>Author’s comments on the State party’s observations</w:t>
      </w:r>
    </w:p>
    <w:p w:rsidR="004B44C6" w:rsidRDefault="004B44C6" w:rsidP="00653454">
      <w:pPr>
        <w:pStyle w:val="SingleTxtG"/>
        <w:rPr>
          <w:bCs/>
        </w:rPr>
      </w:pPr>
      <w:r w:rsidRPr="00B12E1C">
        <w:rPr>
          <w:bCs/>
        </w:rPr>
        <w:t>5.1</w:t>
      </w:r>
      <w:r w:rsidRPr="00B12E1C">
        <w:rPr>
          <w:bCs/>
        </w:rPr>
        <w:tab/>
        <w:t xml:space="preserve">On </w:t>
      </w:r>
      <w:r w:rsidR="00454782">
        <w:rPr>
          <w:bCs/>
        </w:rPr>
        <w:t>19 April</w:t>
      </w:r>
      <w:r w:rsidRPr="00B12E1C">
        <w:rPr>
          <w:bCs/>
        </w:rPr>
        <w:t xml:space="preserve"> 201</w:t>
      </w:r>
      <w:r w:rsidR="00454782">
        <w:rPr>
          <w:bCs/>
        </w:rPr>
        <w:t>3</w:t>
      </w:r>
      <w:r w:rsidRPr="00B12E1C">
        <w:rPr>
          <w:bCs/>
        </w:rPr>
        <w:t xml:space="preserve">, counsel, on behalf of the author, </w:t>
      </w:r>
      <w:r w:rsidR="00454782">
        <w:rPr>
          <w:bCs/>
        </w:rPr>
        <w:t>submits that</w:t>
      </w:r>
      <w:r w:rsidR="00CF7180">
        <w:rPr>
          <w:bCs/>
        </w:rPr>
        <w:t>,</w:t>
      </w:r>
      <w:r w:rsidR="00454782">
        <w:rPr>
          <w:bCs/>
        </w:rPr>
        <w:t xml:space="preserve"> </w:t>
      </w:r>
      <w:r w:rsidR="00760043">
        <w:rPr>
          <w:bCs/>
        </w:rPr>
        <w:t>by ratifying the Optional Protocol to the Covenant, the State parties have recognized the Committee’s competence to receive and consider “communications from individuals claiming to</w:t>
      </w:r>
      <w:r w:rsidR="00755565">
        <w:rPr>
          <w:bCs/>
        </w:rPr>
        <w:t xml:space="preserve"> be</w:t>
      </w:r>
      <w:r w:rsidR="00760043">
        <w:rPr>
          <w:bCs/>
        </w:rPr>
        <w:t xml:space="preserve"> victims of violations”</w:t>
      </w:r>
      <w:r w:rsidR="005806FC">
        <w:rPr>
          <w:bCs/>
        </w:rPr>
        <w:t xml:space="preserve"> of their rights</w:t>
      </w:r>
      <w:r w:rsidR="00760043">
        <w:rPr>
          <w:bCs/>
        </w:rPr>
        <w:t xml:space="preserve">. </w:t>
      </w:r>
      <w:r w:rsidR="00755565">
        <w:rPr>
          <w:bCs/>
        </w:rPr>
        <w:t xml:space="preserve">The rules of procedure of the Committee and the Optional Protocol to the Covenant do not have procedures for the State party to dispute the </w:t>
      </w:r>
      <w:r w:rsidR="00755565">
        <w:rPr>
          <w:bCs/>
        </w:rPr>
        <w:lastRenderedPageBreak/>
        <w:t xml:space="preserve">registration of the communication. If the State party wants to challenge the admissibility of the communication, it should do so within </w:t>
      </w:r>
      <w:r w:rsidR="005806FC">
        <w:rPr>
          <w:bCs/>
        </w:rPr>
        <w:t xml:space="preserve">the </w:t>
      </w:r>
      <w:r w:rsidR="00755565">
        <w:rPr>
          <w:bCs/>
        </w:rPr>
        <w:t xml:space="preserve">existing procedures. By rejecting the Committee’s right to register new communications, the State party violates its obligations under </w:t>
      </w:r>
      <w:r w:rsidR="00893B85">
        <w:rPr>
          <w:bCs/>
        </w:rPr>
        <w:t>article </w:t>
      </w:r>
      <w:r w:rsidR="00755565">
        <w:rPr>
          <w:bCs/>
        </w:rPr>
        <w:t xml:space="preserve">1 of the Optional Protocol. </w:t>
      </w:r>
    </w:p>
    <w:p w:rsidR="00755565" w:rsidRDefault="00755565" w:rsidP="00454782">
      <w:pPr>
        <w:pStyle w:val="SingleTxtG"/>
        <w:rPr>
          <w:bCs/>
        </w:rPr>
      </w:pPr>
      <w:r>
        <w:rPr>
          <w:bCs/>
        </w:rPr>
        <w:t>5.2</w:t>
      </w:r>
      <w:r>
        <w:rPr>
          <w:bCs/>
        </w:rPr>
        <w:tab/>
        <w:t>Regarding the submission of new communications by “third parties”, counsel, on behalf of the author, submits that at the time of the registration of the communication, Oleg Grishkovtsov was being held on death row in Minsk. Therefore, he hired counsel to represent him, in accordance with the power of attorney</w:t>
      </w:r>
      <w:r w:rsidR="005806FC">
        <w:rPr>
          <w:bCs/>
        </w:rPr>
        <w:t xml:space="preserve"> </w:t>
      </w:r>
      <w:r>
        <w:rPr>
          <w:bCs/>
        </w:rPr>
        <w:t>submitted with the initial com</w:t>
      </w:r>
      <w:r w:rsidR="005806FC">
        <w:rPr>
          <w:bCs/>
        </w:rPr>
        <w:t>munication to the Committee</w:t>
      </w:r>
      <w:r>
        <w:rPr>
          <w:bCs/>
        </w:rPr>
        <w:t xml:space="preserve">. The State party’s concern regarding some “third party” is baseless. The present communication is clearly admissible and should be considered by the Committee on its merits. </w:t>
      </w:r>
    </w:p>
    <w:p w:rsidR="00755565" w:rsidRPr="00B12E1C" w:rsidRDefault="00755565" w:rsidP="00454782">
      <w:pPr>
        <w:pStyle w:val="SingleTxtG"/>
      </w:pPr>
      <w:r>
        <w:rPr>
          <w:bCs/>
        </w:rPr>
        <w:t>5.3</w:t>
      </w:r>
      <w:r>
        <w:rPr>
          <w:bCs/>
        </w:rPr>
        <w:tab/>
        <w:t xml:space="preserve">Regarding the State party’s failure to </w:t>
      </w:r>
      <w:r w:rsidR="005806FC">
        <w:rPr>
          <w:bCs/>
        </w:rPr>
        <w:t xml:space="preserve">comply with </w:t>
      </w:r>
      <w:r>
        <w:rPr>
          <w:bCs/>
        </w:rPr>
        <w:t>the Committee</w:t>
      </w:r>
      <w:r w:rsidR="005806FC">
        <w:rPr>
          <w:bCs/>
        </w:rPr>
        <w:t>’s</w:t>
      </w:r>
      <w:r>
        <w:rPr>
          <w:bCs/>
        </w:rPr>
        <w:t xml:space="preserve"> request for interim measures of protection, counsel considers </w:t>
      </w:r>
      <w:r w:rsidR="005806FC">
        <w:rPr>
          <w:bCs/>
        </w:rPr>
        <w:t xml:space="preserve">that it constitutes </w:t>
      </w:r>
      <w:r>
        <w:rPr>
          <w:bCs/>
        </w:rPr>
        <w:t xml:space="preserve">a </w:t>
      </w:r>
      <w:r w:rsidR="00747E8E">
        <w:rPr>
          <w:bCs/>
        </w:rPr>
        <w:t xml:space="preserve">flagrant violation of the State party’s obligations under the Optional Protocol. </w:t>
      </w:r>
      <w:r w:rsidR="005806FC">
        <w:rPr>
          <w:bCs/>
        </w:rPr>
        <w:t>Counsel invites t</w:t>
      </w:r>
      <w:r w:rsidR="00747E8E">
        <w:rPr>
          <w:bCs/>
        </w:rPr>
        <w:t xml:space="preserve">he Committee </w:t>
      </w:r>
      <w:r w:rsidR="005806FC">
        <w:rPr>
          <w:bCs/>
        </w:rPr>
        <w:t xml:space="preserve">to </w:t>
      </w:r>
      <w:r w:rsidR="00747E8E">
        <w:rPr>
          <w:bCs/>
        </w:rPr>
        <w:t>recommend amendments in the Belarus</w:t>
      </w:r>
      <w:r w:rsidR="005806FC">
        <w:rPr>
          <w:bCs/>
        </w:rPr>
        <w:t>ian</w:t>
      </w:r>
      <w:r w:rsidR="00747E8E">
        <w:rPr>
          <w:bCs/>
        </w:rPr>
        <w:t xml:space="preserve"> legislation, so that the State party respects the Committee’s request</w:t>
      </w:r>
      <w:r w:rsidR="005806FC">
        <w:rPr>
          <w:bCs/>
        </w:rPr>
        <w:t>s</w:t>
      </w:r>
      <w:r w:rsidR="00747E8E">
        <w:rPr>
          <w:bCs/>
        </w:rPr>
        <w:t xml:space="preserve"> for interim measures. </w:t>
      </w:r>
    </w:p>
    <w:p w:rsidR="004B44C6" w:rsidRPr="00B12E1C" w:rsidRDefault="004B44C6" w:rsidP="004B44C6">
      <w:pPr>
        <w:pStyle w:val="H23G"/>
      </w:pPr>
      <w:r w:rsidRPr="00B12E1C">
        <w:tab/>
      </w:r>
      <w:r w:rsidRPr="00B12E1C">
        <w:tab/>
        <w:t>Issues and proceedings before the Committee</w:t>
      </w:r>
    </w:p>
    <w:p w:rsidR="004B44C6" w:rsidRPr="00B12E1C" w:rsidRDefault="004B44C6" w:rsidP="00501CB1">
      <w:pPr>
        <w:pStyle w:val="H4G"/>
      </w:pPr>
      <w:r w:rsidRPr="00B12E1C">
        <w:tab/>
      </w:r>
      <w:r w:rsidRPr="00B12E1C">
        <w:tab/>
        <w:t xml:space="preserve">The State party’s lack of </w:t>
      </w:r>
      <w:r w:rsidRPr="00501CB1">
        <w:t>cooperation</w:t>
      </w:r>
      <w:r w:rsidRPr="00B12E1C">
        <w:t xml:space="preserve"> and failure to respect the Committee’s request </w:t>
      </w:r>
      <w:r w:rsidRPr="00B12E1C">
        <w:br/>
        <w:t xml:space="preserve">for interim measures </w:t>
      </w:r>
    </w:p>
    <w:p w:rsidR="004B44C6" w:rsidRPr="00B12E1C" w:rsidRDefault="004B44C6" w:rsidP="004B44C6">
      <w:pPr>
        <w:pStyle w:val="SingleTxtG"/>
      </w:pPr>
      <w:r w:rsidRPr="00B12E1C">
        <w:t>6.1</w:t>
      </w:r>
      <w:r w:rsidRPr="00B12E1C">
        <w:tab/>
        <w:t xml:space="preserve">The Committee notes the State </w:t>
      </w:r>
      <w:r w:rsidR="005806FC">
        <w:t>p</w:t>
      </w:r>
      <w:r w:rsidRPr="00B12E1C">
        <w:t>arty</w:t>
      </w:r>
      <w:r w:rsidR="005806FC">
        <w:t xml:space="preserve">’s </w:t>
      </w:r>
      <w:r w:rsidR="00BE5D0F">
        <w:t>assertion</w:t>
      </w:r>
      <w:r w:rsidR="00BE5D0F" w:rsidRPr="00B12E1C">
        <w:t xml:space="preserve"> </w:t>
      </w:r>
      <w:r w:rsidRPr="00B12E1C">
        <w:t xml:space="preserve">that there are no legal grounds for consideration of the present communication insofar </w:t>
      </w:r>
      <w:r w:rsidR="00D21020">
        <w:t>that the State party</w:t>
      </w:r>
      <w:r w:rsidRPr="00B12E1C">
        <w:t xml:space="preserve"> has no obligation </w:t>
      </w:r>
      <w:r w:rsidR="00BE5D0F">
        <w:t>to recognize</w:t>
      </w:r>
      <w:r w:rsidRPr="00B12E1C">
        <w:t xml:space="preserve"> the</w:t>
      </w:r>
      <w:r w:rsidR="00BE5D0F">
        <w:t xml:space="preserve"> Committee’s</w:t>
      </w:r>
      <w:r w:rsidRPr="00B12E1C">
        <w:t xml:space="preserve"> rules of procedure </w:t>
      </w:r>
      <w:r w:rsidR="005806FC">
        <w:t>or</w:t>
      </w:r>
      <w:r w:rsidRPr="00B12E1C">
        <w:t xml:space="preserve"> </w:t>
      </w:r>
      <w:r w:rsidR="00BE5D0F">
        <w:t>the Committee’s</w:t>
      </w:r>
      <w:r w:rsidR="00BE5D0F" w:rsidRPr="00B12E1C">
        <w:t xml:space="preserve"> </w:t>
      </w:r>
      <w:r w:rsidRPr="00B12E1C">
        <w:t>interpretation of the provisions of the Optional Protocol; and that it has no obligation to respect the request by the Committee for interim measures.</w:t>
      </w:r>
    </w:p>
    <w:p w:rsidR="004B44C6" w:rsidRPr="00B12E1C" w:rsidRDefault="004B44C6" w:rsidP="00653454">
      <w:pPr>
        <w:pStyle w:val="SingleTxtG"/>
      </w:pPr>
      <w:r w:rsidRPr="00B12E1C">
        <w:t>6.2</w:t>
      </w:r>
      <w:r w:rsidRPr="00B12E1C">
        <w:tab/>
        <w:t xml:space="preserve">The Committee recalls that </w:t>
      </w:r>
      <w:r w:rsidR="00BE5D0F">
        <w:t xml:space="preserve">under </w:t>
      </w:r>
      <w:r w:rsidR="00893B85">
        <w:t>article </w:t>
      </w:r>
      <w:r w:rsidRPr="00B12E1C">
        <w:t xml:space="preserve">39 </w:t>
      </w:r>
      <w:r w:rsidR="00F41EDC">
        <w:t>(</w:t>
      </w:r>
      <w:r w:rsidRPr="00B12E1C">
        <w:t>2</w:t>
      </w:r>
      <w:r w:rsidR="00F41EDC">
        <w:t>)</w:t>
      </w:r>
      <w:r w:rsidRPr="00B12E1C">
        <w:t xml:space="preserve"> of the Covenant</w:t>
      </w:r>
      <w:r w:rsidR="00BE5D0F">
        <w:t xml:space="preserve">, it is empowered </w:t>
      </w:r>
      <w:r w:rsidRPr="00B12E1C">
        <w:t xml:space="preserve">to establish its own rules of procedure, which States parties have agreed to recognize. </w:t>
      </w:r>
      <w:r w:rsidR="00BE5D0F">
        <w:t>It</w:t>
      </w:r>
      <w:r w:rsidRPr="00B12E1C">
        <w:t xml:space="preserve"> further observes that, by adhering to the Optional Protocol, a State party to the Covenant recognizes the competence of the Committee to receive and consider communications from individuals subject to its jurisdiction claiming to be victims of violation</w:t>
      </w:r>
      <w:r w:rsidR="00BE5D0F">
        <w:t>s</w:t>
      </w:r>
      <w:r w:rsidRPr="00B12E1C">
        <w:t xml:space="preserve"> of any of the rights set forth in the Covenant</w:t>
      </w:r>
      <w:r w:rsidR="00BE5D0F">
        <w:t xml:space="preserve"> (preamble and art. 1 of the Optional Protocol)</w:t>
      </w:r>
      <w:r w:rsidRPr="00B12E1C">
        <w:t xml:space="preserve">. Implicit in </w:t>
      </w:r>
      <w:r w:rsidR="00BE5D0F">
        <w:t>a State’s</w:t>
      </w:r>
      <w:r w:rsidR="00BE5D0F" w:rsidRPr="00B12E1C">
        <w:t xml:space="preserve"> </w:t>
      </w:r>
      <w:r w:rsidRPr="00B12E1C">
        <w:t>adherence to the Optional Protocol is an undertaking to cooperate with the Committee in good faith so as to permit and enable it to consider such communications and, after examination</w:t>
      </w:r>
      <w:r w:rsidR="00BE5D0F">
        <w:t xml:space="preserve"> thereof</w:t>
      </w:r>
      <w:r w:rsidRPr="00B12E1C">
        <w:t>, to forward its Views to the State party and to the individual concerned</w:t>
      </w:r>
      <w:r w:rsidR="00F41EDC">
        <w:t xml:space="preserve"> (art. 5</w:t>
      </w:r>
      <w:r w:rsidR="001730D9">
        <w:t xml:space="preserve"> </w:t>
      </w:r>
      <w:r w:rsidR="00F41EDC">
        <w:t>(</w:t>
      </w:r>
      <w:r w:rsidR="001730D9">
        <w:t>1 and 4</w:t>
      </w:r>
      <w:r w:rsidR="00F41EDC">
        <w:t>)</w:t>
      </w:r>
      <w:r w:rsidR="001730D9">
        <w:t>)</w:t>
      </w:r>
      <w:r w:rsidRPr="00B12E1C">
        <w:t xml:space="preserve">. It is incompatible with its obligations under </w:t>
      </w:r>
      <w:r w:rsidR="00893B85">
        <w:t>article </w:t>
      </w:r>
      <w:r w:rsidRPr="00B12E1C">
        <w:t>1 of the Optional Protocol for a State party to take any action that would prevent or frustrate the Committee in its consideration and examination of the communication and in the expression of its Views.</w:t>
      </w:r>
      <w:r w:rsidRPr="00B12E1C">
        <w:rPr>
          <w:rStyle w:val="FootnoteReference"/>
        </w:rPr>
        <w:footnoteReference w:id="8"/>
      </w:r>
      <w:r w:rsidRPr="00B12E1C">
        <w:t xml:space="preserve"> </w:t>
      </w:r>
    </w:p>
    <w:p w:rsidR="004B44C6" w:rsidRPr="00B12E1C" w:rsidRDefault="004B44C6" w:rsidP="004B44C6">
      <w:pPr>
        <w:pStyle w:val="SingleTxtG"/>
      </w:pPr>
      <w:r w:rsidRPr="00B12E1C">
        <w:t>6.3</w:t>
      </w:r>
      <w:r w:rsidRPr="00B12E1C">
        <w:tab/>
        <w:t xml:space="preserve">In the present case, the Committee observes that, when submitting the communication on </w:t>
      </w:r>
      <w:r w:rsidR="00D21020">
        <w:t>6 December 2010</w:t>
      </w:r>
      <w:r w:rsidRPr="00B12E1C">
        <w:t xml:space="preserve">, the author informed the Committee that he had been sentenced to death and that the sentence could be carried out at any time. On </w:t>
      </w:r>
      <w:r w:rsidR="00D21020">
        <w:t>the same date</w:t>
      </w:r>
      <w:r w:rsidRPr="00B12E1C">
        <w:t xml:space="preserve">, the Committee transmitted to the State party a request not to carry out the death sentence while the case was under examination by the Committee. On </w:t>
      </w:r>
      <w:r w:rsidR="00D21020">
        <w:t>14 April 2011</w:t>
      </w:r>
      <w:r w:rsidRPr="00B12E1C">
        <w:t xml:space="preserve">, the Committee reiterated its request. On </w:t>
      </w:r>
      <w:r w:rsidR="00D21020">
        <w:t>20 July 2011</w:t>
      </w:r>
      <w:r w:rsidRPr="00B12E1C">
        <w:t xml:space="preserve">, the Committee received information that the author had been executed, despite its request for interim measures of protection. The Committee </w:t>
      </w:r>
      <w:r w:rsidRPr="00B12E1C">
        <w:lastRenderedPageBreak/>
        <w:t>observes that it is uncontested that the execution in question took place, despite the fact that a request for interim measures of protection had been duly addressed to the State party and that it was subsequently reiterated.</w:t>
      </w:r>
    </w:p>
    <w:p w:rsidR="004B44C6" w:rsidRPr="00B12E1C" w:rsidRDefault="004B44C6" w:rsidP="004B44C6">
      <w:pPr>
        <w:pStyle w:val="SingleTxtG"/>
      </w:pPr>
      <w:r w:rsidRPr="00B12E1C">
        <w:t>6.4</w:t>
      </w:r>
      <w:r w:rsidRPr="00B12E1C">
        <w:tab/>
      </w:r>
      <w:r w:rsidR="00037AD0">
        <w:t>The Committee reiterates that</w:t>
      </w:r>
      <w:r w:rsidR="001730D9">
        <w:t>,</w:t>
      </w:r>
      <w:r w:rsidR="00037AD0">
        <w:t xml:space="preserve"> a</w:t>
      </w:r>
      <w:r w:rsidRPr="00B12E1C">
        <w:t xml:space="preserve">part from any violation of the Covenant found against a State party in a communication, a State party commits </w:t>
      </w:r>
      <w:r w:rsidR="005F3AE9">
        <w:t>serious</w:t>
      </w:r>
      <w:r w:rsidRPr="00B12E1C">
        <w:t xml:space="preserve"> breaches of its obligations under the Optional Protocol if it acts to prevent or frustrate consideration by the Committee of a communication alleging a violation of the Covenant, or to render examination by the Committee moot and the expression of its Views concerning the implementation of the obligations of the State party under the Covenant nugatory and futile.</w:t>
      </w:r>
      <w:r w:rsidRPr="00B12E1C">
        <w:rPr>
          <w:rStyle w:val="FootnoteReference"/>
        </w:rPr>
        <w:footnoteReference w:id="9"/>
      </w:r>
      <w:r w:rsidRPr="00B12E1C">
        <w:t xml:space="preserve"> In the present case, </w:t>
      </w:r>
      <w:r w:rsidR="00A70997">
        <w:t>counsel</w:t>
      </w:r>
      <w:r w:rsidRPr="00B12E1C">
        <w:t xml:space="preserve"> alleges that his rights under various </w:t>
      </w:r>
      <w:r w:rsidR="00037AD0">
        <w:t xml:space="preserve">provisions </w:t>
      </w:r>
      <w:r w:rsidRPr="00B12E1C">
        <w:t>of the Covenant have been violated</w:t>
      </w:r>
      <w:r w:rsidR="005F3AE9">
        <w:t xml:space="preserve"> in a manner that directly reflects on the legality of his death sentence</w:t>
      </w:r>
      <w:r w:rsidRPr="00B12E1C">
        <w:t>. Having been notified of the communication and the request by the Committee for interim measures</w:t>
      </w:r>
      <w:r w:rsidR="00037AD0">
        <w:t xml:space="preserve"> of protection</w:t>
      </w:r>
      <w:r w:rsidRPr="00B12E1C">
        <w:t>, the State party</w:t>
      </w:r>
      <w:r w:rsidR="005F3AE9">
        <w:t xml:space="preserve"> committed </w:t>
      </w:r>
      <w:r w:rsidR="00425761">
        <w:t xml:space="preserve">a </w:t>
      </w:r>
      <w:r w:rsidR="005F3AE9">
        <w:t>serious</w:t>
      </w:r>
      <w:r w:rsidRPr="00B12E1C">
        <w:t xml:space="preserve"> breach</w:t>
      </w:r>
      <w:r w:rsidR="005F3AE9">
        <w:t xml:space="preserve"> of </w:t>
      </w:r>
      <w:r w:rsidRPr="00B12E1C">
        <w:t xml:space="preserve">its obligations under the Optional Protocol by executing the alleged victim before the Committee had concluded its consideration of the communication. </w:t>
      </w:r>
    </w:p>
    <w:p w:rsidR="004B44C6" w:rsidRPr="00B12E1C" w:rsidRDefault="004B44C6" w:rsidP="004B44C6">
      <w:pPr>
        <w:pStyle w:val="SingleTxtG"/>
      </w:pPr>
      <w:r w:rsidRPr="00B12E1C">
        <w:t>6.5</w:t>
      </w:r>
      <w:r w:rsidRPr="00B12E1C">
        <w:tab/>
        <w:t xml:space="preserve">The Committee further recalls that interim measures under rule 92 of its rules of procedure, adopted in accordance with </w:t>
      </w:r>
      <w:r w:rsidR="00893B85">
        <w:t>article </w:t>
      </w:r>
      <w:r w:rsidRPr="00B12E1C">
        <w:t xml:space="preserve">39 of the Covenant, are essential to its role under the Optional Protocol, in order to </w:t>
      </w:r>
      <w:r w:rsidRPr="00B12E1C">
        <w:rPr>
          <w:bCs/>
          <w:color w:val="000000"/>
          <w:lang w:eastAsia="en-GB"/>
        </w:rPr>
        <w:t>avoid irreparable damage to the victim of the alleged violation</w:t>
      </w:r>
      <w:r w:rsidRPr="00B12E1C">
        <w:t>. Flouting of that rule, especially by irreversible measures, such as in the present case</w:t>
      </w:r>
      <w:r w:rsidR="00CF7180">
        <w:t xml:space="preserve"> of</w:t>
      </w:r>
      <w:r w:rsidRPr="00B12E1C">
        <w:t xml:space="preserve"> the execution of </w:t>
      </w:r>
      <w:r w:rsidR="00D21020">
        <w:t>Oleg Grishkovtsov</w:t>
      </w:r>
      <w:r w:rsidRPr="00B12E1C">
        <w:t>, undermines the protection of Covenant rights through the Optional Protocol.</w:t>
      </w:r>
      <w:r w:rsidRPr="00B12E1C">
        <w:rPr>
          <w:rStyle w:val="FootnoteReference"/>
        </w:rPr>
        <w:footnoteReference w:id="10"/>
      </w:r>
    </w:p>
    <w:p w:rsidR="004B44C6" w:rsidRPr="00B12E1C" w:rsidRDefault="004B44C6" w:rsidP="004B44C6">
      <w:pPr>
        <w:pStyle w:val="H4G"/>
      </w:pPr>
      <w:r w:rsidRPr="00B12E1C">
        <w:tab/>
      </w:r>
      <w:r w:rsidRPr="00B12E1C">
        <w:tab/>
        <w:t>Consideration of admissibility</w:t>
      </w:r>
    </w:p>
    <w:p w:rsidR="004B44C6" w:rsidRPr="00B12E1C" w:rsidRDefault="004B44C6" w:rsidP="004B44C6">
      <w:pPr>
        <w:pStyle w:val="SingleTxtG"/>
        <w:rPr>
          <w:bCs/>
        </w:rPr>
      </w:pPr>
      <w:r w:rsidRPr="00B12E1C">
        <w:rPr>
          <w:bCs/>
        </w:rPr>
        <w:t>7.1</w:t>
      </w:r>
      <w:r w:rsidRPr="00B12E1C">
        <w:rPr>
          <w:bCs/>
        </w:rPr>
        <w:tab/>
        <w:t>Before considering any claims contained in a communication, the Human Rights Committee must, in accordance with rule 93 of its rules of procedure, decide whether or not it is admissible under the Optional Protocol to the Covenant.</w:t>
      </w:r>
    </w:p>
    <w:p w:rsidR="004B44C6" w:rsidRPr="00B12E1C" w:rsidRDefault="004B44C6" w:rsidP="004B44C6">
      <w:pPr>
        <w:pStyle w:val="SingleTxtG"/>
        <w:rPr>
          <w:bCs/>
        </w:rPr>
      </w:pPr>
      <w:r w:rsidRPr="00B12E1C">
        <w:rPr>
          <w:bCs/>
        </w:rPr>
        <w:t>7.2</w:t>
      </w:r>
      <w:r w:rsidRPr="00B12E1C">
        <w:rPr>
          <w:bCs/>
        </w:rPr>
        <w:tab/>
        <w:t xml:space="preserve">The Committee has ascertained, as required under </w:t>
      </w:r>
      <w:r w:rsidR="00893B85">
        <w:rPr>
          <w:bCs/>
        </w:rPr>
        <w:t>article </w:t>
      </w:r>
      <w:r w:rsidRPr="00B12E1C">
        <w:rPr>
          <w:bCs/>
        </w:rPr>
        <w:t xml:space="preserve">5 </w:t>
      </w:r>
      <w:r w:rsidR="00F41EDC">
        <w:rPr>
          <w:bCs/>
        </w:rPr>
        <w:t>(</w:t>
      </w:r>
      <w:r w:rsidRPr="00B12E1C">
        <w:rPr>
          <w:bCs/>
        </w:rPr>
        <w:t>2</w:t>
      </w:r>
      <w:r w:rsidR="00F41EDC">
        <w:rPr>
          <w:bCs/>
        </w:rPr>
        <w:t>)</w:t>
      </w:r>
      <w:r w:rsidRPr="00B12E1C">
        <w:rPr>
          <w:bCs/>
        </w:rPr>
        <w:t> (a) of the Optional Protocol, that the same matter is not being examined under another procedure of international investigation or settlement.</w:t>
      </w:r>
    </w:p>
    <w:p w:rsidR="004B44C6" w:rsidRPr="00B12E1C" w:rsidRDefault="004B44C6" w:rsidP="004B44C6">
      <w:pPr>
        <w:pStyle w:val="SingleTxtG"/>
        <w:rPr>
          <w:bCs/>
        </w:rPr>
      </w:pPr>
      <w:r w:rsidRPr="00B12E1C">
        <w:rPr>
          <w:bCs/>
        </w:rPr>
        <w:t>7.3</w:t>
      </w:r>
      <w:r w:rsidRPr="00B12E1C">
        <w:rPr>
          <w:bCs/>
        </w:rPr>
        <w:tab/>
        <w:t xml:space="preserve">The Committee takes note of the argument of the State party that the communication is inadmissible since it was submitted to the Committee by </w:t>
      </w:r>
      <w:r w:rsidR="00037AD0">
        <w:rPr>
          <w:bCs/>
        </w:rPr>
        <w:t xml:space="preserve">a </w:t>
      </w:r>
      <w:r w:rsidRPr="00B12E1C">
        <w:rPr>
          <w:bCs/>
        </w:rPr>
        <w:t>third part</w:t>
      </w:r>
      <w:r w:rsidR="00037AD0">
        <w:rPr>
          <w:bCs/>
        </w:rPr>
        <w:t xml:space="preserve">y </w:t>
      </w:r>
      <w:r w:rsidRPr="00B12E1C">
        <w:rPr>
          <w:bCs/>
        </w:rPr>
        <w:t>and not by the alleged victim himself. In that respect, the Committee recalls that rule 96 (b) of its rules of procedure states that a communication should normally be submitted by the individual personally or by a representative of that individual</w:t>
      </w:r>
      <w:r w:rsidR="00A267BE">
        <w:rPr>
          <w:bCs/>
        </w:rPr>
        <w:t>.</w:t>
      </w:r>
      <w:r w:rsidR="00A34312">
        <w:rPr>
          <w:bCs/>
        </w:rPr>
        <w:t xml:space="preserve"> </w:t>
      </w:r>
      <w:r w:rsidRPr="00B12E1C">
        <w:rPr>
          <w:bCs/>
        </w:rPr>
        <w:t xml:space="preserve">In the present case, the Committee notes that the alleged victim was detained on death row at the time of the submission and that the communication was submitted on behalf of the alleged victim by his counsel, who presented a duly signed power of attorney to represent him before the Committee. Accordingly, the Committee is not precluded by </w:t>
      </w:r>
      <w:r w:rsidR="00893B85">
        <w:rPr>
          <w:bCs/>
        </w:rPr>
        <w:t>article </w:t>
      </w:r>
      <w:r w:rsidRPr="00B12E1C">
        <w:rPr>
          <w:bCs/>
        </w:rPr>
        <w:t xml:space="preserve">1 of the Optional Protocol from examining the communication. </w:t>
      </w:r>
    </w:p>
    <w:p w:rsidR="004B44C6" w:rsidRPr="00B12E1C" w:rsidRDefault="004B44C6" w:rsidP="00653454">
      <w:pPr>
        <w:pStyle w:val="SingleTxtG"/>
        <w:rPr>
          <w:bCs/>
        </w:rPr>
      </w:pPr>
      <w:r w:rsidRPr="00B12E1C">
        <w:rPr>
          <w:bCs/>
        </w:rPr>
        <w:t>7.</w:t>
      </w:r>
      <w:r w:rsidR="00E827FB">
        <w:rPr>
          <w:bCs/>
        </w:rPr>
        <w:t>4</w:t>
      </w:r>
      <w:r w:rsidRPr="00B12E1C">
        <w:rPr>
          <w:bCs/>
        </w:rPr>
        <w:tab/>
        <w:t xml:space="preserve">The Committee takes notes of </w:t>
      </w:r>
      <w:r w:rsidR="0014393C">
        <w:rPr>
          <w:bCs/>
        </w:rPr>
        <w:t xml:space="preserve">the author’s allegations that his rights </w:t>
      </w:r>
      <w:r w:rsidRPr="00B12E1C">
        <w:rPr>
          <w:bCs/>
        </w:rPr>
        <w:t xml:space="preserve">under </w:t>
      </w:r>
      <w:r w:rsidR="00893B85">
        <w:rPr>
          <w:bCs/>
        </w:rPr>
        <w:t>article </w:t>
      </w:r>
      <w:r w:rsidRPr="00B12E1C">
        <w:rPr>
          <w:bCs/>
        </w:rPr>
        <w:t xml:space="preserve">14 </w:t>
      </w:r>
      <w:r w:rsidR="00F41EDC">
        <w:rPr>
          <w:bCs/>
        </w:rPr>
        <w:t>(</w:t>
      </w:r>
      <w:r w:rsidR="00E827FB">
        <w:rPr>
          <w:bCs/>
        </w:rPr>
        <w:t>1 and 3 (a)</w:t>
      </w:r>
      <w:r w:rsidR="00F41EDC">
        <w:rPr>
          <w:bCs/>
        </w:rPr>
        <w:t xml:space="preserve"> and</w:t>
      </w:r>
      <w:r w:rsidR="000D0858">
        <w:rPr>
          <w:bCs/>
        </w:rPr>
        <w:t xml:space="preserve"> (b)</w:t>
      </w:r>
      <w:r w:rsidR="00CF7180">
        <w:rPr>
          <w:bCs/>
        </w:rPr>
        <w:t>)</w:t>
      </w:r>
      <w:r w:rsidR="00747E8E">
        <w:rPr>
          <w:bCs/>
        </w:rPr>
        <w:t xml:space="preserve"> </w:t>
      </w:r>
      <w:r w:rsidRPr="00B12E1C">
        <w:rPr>
          <w:bCs/>
        </w:rPr>
        <w:t>of the Covenant</w:t>
      </w:r>
      <w:r w:rsidR="0014393C">
        <w:rPr>
          <w:bCs/>
        </w:rPr>
        <w:t xml:space="preserve"> were violated</w:t>
      </w:r>
      <w:r w:rsidRPr="00B12E1C">
        <w:rPr>
          <w:bCs/>
        </w:rPr>
        <w:t xml:space="preserve">. </w:t>
      </w:r>
      <w:r w:rsidRPr="00B12E1C">
        <w:t xml:space="preserve">However, in the absence of further </w:t>
      </w:r>
      <w:r w:rsidR="00037AD0">
        <w:t xml:space="preserve">information, </w:t>
      </w:r>
      <w:r w:rsidRPr="00B12E1C">
        <w:t>explanations or evidence in support of those claims</w:t>
      </w:r>
      <w:r w:rsidR="00037AD0">
        <w:t xml:space="preserve"> on file</w:t>
      </w:r>
      <w:r w:rsidRPr="00B12E1C">
        <w:t xml:space="preserve">, the Committee </w:t>
      </w:r>
      <w:r w:rsidRPr="00B12E1C">
        <w:lastRenderedPageBreak/>
        <w:t xml:space="preserve">finds them insufficiently substantiated for purposes of admissibility and declares them inadmissible under </w:t>
      </w:r>
      <w:r w:rsidR="00893B85">
        <w:t>article </w:t>
      </w:r>
      <w:r w:rsidRPr="00B12E1C">
        <w:t xml:space="preserve">2 of the Optional Protocol. </w:t>
      </w:r>
    </w:p>
    <w:p w:rsidR="004B44C6" w:rsidRPr="00B12E1C" w:rsidRDefault="004B44C6" w:rsidP="00653454">
      <w:pPr>
        <w:pStyle w:val="SingleTxtG"/>
      </w:pPr>
      <w:r w:rsidRPr="00B12E1C">
        <w:rPr>
          <w:bCs/>
        </w:rPr>
        <w:t>7.</w:t>
      </w:r>
      <w:r w:rsidR="00E827FB">
        <w:rPr>
          <w:bCs/>
        </w:rPr>
        <w:t>5</w:t>
      </w:r>
      <w:r w:rsidRPr="00B12E1C">
        <w:rPr>
          <w:bCs/>
        </w:rPr>
        <w:tab/>
        <w:t xml:space="preserve">The Committee considers that the author’s remaining claims, raising issues under </w:t>
      </w:r>
      <w:r w:rsidRPr="00B12E1C">
        <w:t xml:space="preserve">articles 6 </w:t>
      </w:r>
      <w:r w:rsidR="00F41EDC">
        <w:t>(</w:t>
      </w:r>
      <w:r w:rsidRPr="00B12E1C">
        <w:t>1</w:t>
      </w:r>
      <w:r w:rsidR="00CF7180">
        <w:t>–</w:t>
      </w:r>
      <w:r w:rsidR="00F52453">
        <w:t>2</w:t>
      </w:r>
      <w:r w:rsidR="00F41EDC">
        <w:t>)</w:t>
      </w:r>
      <w:r w:rsidR="00CF7180">
        <w:t>,</w:t>
      </w:r>
      <w:r w:rsidR="00383AA6">
        <w:t xml:space="preserve"> </w:t>
      </w:r>
      <w:r w:rsidRPr="00B12E1C">
        <w:t>7</w:t>
      </w:r>
      <w:r w:rsidR="00CF7180">
        <w:t>,</w:t>
      </w:r>
      <w:r w:rsidR="00383AA6">
        <w:t xml:space="preserve"> </w:t>
      </w:r>
      <w:r w:rsidRPr="00B12E1C">
        <w:t>9 and</w:t>
      </w:r>
      <w:r w:rsidR="005F3AE9">
        <w:t xml:space="preserve"> </w:t>
      </w:r>
      <w:r w:rsidRPr="00B12E1C">
        <w:t xml:space="preserve">14 </w:t>
      </w:r>
      <w:r w:rsidR="00F41EDC">
        <w:t>(</w:t>
      </w:r>
      <w:r w:rsidR="003D42FB">
        <w:t>2</w:t>
      </w:r>
      <w:r w:rsidR="00F41EDC">
        <w:t xml:space="preserve"> and</w:t>
      </w:r>
      <w:r w:rsidRPr="00B12E1C">
        <w:t> </w:t>
      </w:r>
      <w:r w:rsidR="00383AA6">
        <w:t xml:space="preserve">3 (d) and </w:t>
      </w:r>
      <w:r w:rsidRPr="00B12E1C">
        <w:t>(g)</w:t>
      </w:r>
      <w:r w:rsidR="00CF7180">
        <w:t>)</w:t>
      </w:r>
      <w:r w:rsidRPr="00B12E1C">
        <w:rPr>
          <w:bCs/>
        </w:rPr>
        <w:t xml:space="preserve"> of the Covenant, have been sufficiently substantiated for purposes of admissibility and proceeds to their examination on the merits.</w:t>
      </w:r>
    </w:p>
    <w:p w:rsidR="004B44C6" w:rsidRPr="00B12E1C" w:rsidRDefault="004B44C6" w:rsidP="004B44C6">
      <w:pPr>
        <w:pStyle w:val="H4G"/>
      </w:pPr>
      <w:r w:rsidRPr="00B12E1C">
        <w:tab/>
      </w:r>
      <w:r w:rsidRPr="00B12E1C">
        <w:tab/>
        <w:t>Consideration of the merits</w:t>
      </w:r>
    </w:p>
    <w:p w:rsidR="004B44C6" w:rsidRPr="00B12E1C" w:rsidRDefault="004B44C6" w:rsidP="00653454">
      <w:pPr>
        <w:pStyle w:val="SingleTxtG"/>
      </w:pPr>
      <w:r w:rsidRPr="00B12E1C">
        <w:t>8.1</w:t>
      </w:r>
      <w:r w:rsidRPr="00B12E1C">
        <w:tab/>
        <w:t xml:space="preserve">The Committee has considered this communication in the light of all the information received, in accordance with </w:t>
      </w:r>
      <w:r w:rsidR="00893B85">
        <w:t>article </w:t>
      </w:r>
      <w:r w:rsidRPr="00B12E1C">
        <w:t xml:space="preserve">5 </w:t>
      </w:r>
      <w:r w:rsidR="00F41EDC">
        <w:t>(</w:t>
      </w:r>
      <w:r w:rsidRPr="00B12E1C">
        <w:t>1</w:t>
      </w:r>
      <w:r w:rsidR="00F41EDC">
        <w:t>)</w:t>
      </w:r>
      <w:r w:rsidRPr="00B12E1C">
        <w:t xml:space="preserve"> of the Optional Protocol. </w:t>
      </w:r>
    </w:p>
    <w:p w:rsidR="004B44C6" w:rsidRPr="00B12E1C" w:rsidRDefault="004B44C6" w:rsidP="004B44C6">
      <w:pPr>
        <w:pStyle w:val="SingleTxtG"/>
      </w:pPr>
      <w:r w:rsidRPr="00B12E1C">
        <w:t>8.2</w:t>
      </w:r>
      <w:r w:rsidRPr="00B12E1C">
        <w:tab/>
        <w:t xml:space="preserve">The Committee notes the author’s claims under articles 7 and 14 </w:t>
      </w:r>
      <w:r w:rsidR="00F41EDC">
        <w:t>(</w:t>
      </w:r>
      <w:r w:rsidRPr="00B12E1C">
        <w:t>3</w:t>
      </w:r>
      <w:r w:rsidR="00F41EDC">
        <w:t>)</w:t>
      </w:r>
      <w:r w:rsidRPr="00B12E1C">
        <w:t xml:space="preserve"> (g) of the Covenant that he was subjected to physical and psychological pressure to force him to confess </w:t>
      </w:r>
      <w:r w:rsidR="00F767FC">
        <w:t xml:space="preserve">to </w:t>
      </w:r>
      <w:r w:rsidR="00E53451">
        <w:t xml:space="preserve">a number of crimes </w:t>
      </w:r>
      <w:r w:rsidRPr="00B12E1C">
        <w:t>and that his confession served subsequently as a basis for his conviction</w:t>
      </w:r>
      <w:r w:rsidR="00E53451">
        <w:t xml:space="preserve"> by the courts</w:t>
      </w:r>
      <w:r w:rsidRPr="00B12E1C">
        <w:t>. The Committee also notes that those allegations have not been refuted by the State party. In that regard, the Committee recalls that</w:t>
      </w:r>
      <w:r w:rsidR="00F767FC">
        <w:t>,</w:t>
      </w:r>
      <w:r w:rsidRPr="00B12E1C">
        <w:t xml:space="preserve"> once a complaint about ill-treatment contrary to </w:t>
      </w:r>
      <w:r w:rsidR="00893B85">
        <w:t>article </w:t>
      </w:r>
      <w:r w:rsidRPr="00B12E1C">
        <w:t>7 has been filed, a State party must investigate it promptly and impartially.</w:t>
      </w:r>
      <w:r w:rsidRPr="00B12E1C">
        <w:rPr>
          <w:rStyle w:val="FootnoteReference"/>
        </w:rPr>
        <w:footnoteReference w:id="11"/>
      </w:r>
      <w:r w:rsidRPr="00B12E1C">
        <w:t xml:space="preserve"> It further recalls that the safeguard set out in </w:t>
      </w:r>
      <w:r w:rsidR="00893B85">
        <w:t>article </w:t>
      </w:r>
      <w:r w:rsidRPr="00B12E1C">
        <w:t xml:space="preserve">14 </w:t>
      </w:r>
      <w:r w:rsidR="00F41EDC">
        <w:t>(</w:t>
      </w:r>
      <w:r w:rsidRPr="00B12E1C">
        <w:t>3</w:t>
      </w:r>
      <w:r w:rsidR="00F41EDC">
        <w:t>)</w:t>
      </w:r>
      <w:r w:rsidRPr="00B12E1C">
        <w:t> (g) of the Covenant must be understood in terms of the absence of any direct or indirect physical or undue psychological pressure from the investigating authorities on the accused, with a view to obtaining a confession of guilt.</w:t>
      </w:r>
      <w:r w:rsidRPr="00B12E1C">
        <w:rPr>
          <w:rStyle w:val="FootnoteReference"/>
        </w:rPr>
        <w:footnoteReference w:id="12"/>
      </w:r>
      <w:r w:rsidRPr="00B12E1C">
        <w:t xml:space="preserve"> The Committee notes that, despite</w:t>
      </w:r>
      <w:r w:rsidR="00C2599D">
        <w:t xml:space="preserve"> clear signs that the author was tortured</w:t>
      </w:r>
      <w:r w:rsidR="005C7B60">
        <w:t xml:space="preserve"> (s</w:t>
      </w:r>
      <w:r w:rsidR="005C7B60" w:rsidRPr="00F14FCC">
        <w:t>ee paras. </w:t>
      </w:r>
      <w:r w:rsidR="005C7B60">
        <w:t>2.4–</w:t>
      </w:r>
      <w:r w:rsidR="005C7B60" w:rsidRPr="00F14FCC">
        <w:t>2.5</w:t>
      </w:r>
      <w:r w:rsidR="005C7B60">
        <w:t>)</w:t>
      </w:r>
      <w:r w:rsidR="00501CB1">
        <w:t>,</w:t>
      </w:r>
      <w:r w:rsidR="00C2599D">
        <w:t xml:space="preserve"> and complaint</w:t>
      </w:r>
      <w:r w:rsidR="001936B1">
        <w:t>s</w:t>
      </w:r>
      <w:r w:rsidR="00C2599D">
        <w:t xml:space="preserve"> by his mother and the author himself </w:t>
      </w:r>
      <w:r w:rsidR="00E53451">
        <w:t>in this connection</w:t>
      </w:r>
      <w:r w:rsidR="00C2599D">
        <w:t>,</w:t>
      </w:r>
      <w:r w:rsidRPr="00B12E1C">
        <w:t xml:space="preserve"> the State party has not presented any information to demonstrate that it</w:t>
      </w:r>
      <w:r w:rsidR="00E53451">
        <w:t>s authorities</w:t>
      </w:r>
      <w:r w:rsidRPr="00B12E1C">
        <w:t xml:space="preserve"> ha</w:t>
      </w:r>
      <w:r w:rsidR="00E53451">
        <w:t>ve</w:t>
      </w:r>
      <w:r w:rsidRPr="00B12E1C">
        <w:t xml:space="preserve"> conducted an effective investigation into those specific allegations. In those circumstances, </w:t>
      </w:r>
      <w:r w:rsidR="00E53451">
        <w:t xml:space="preserve">the Committee decides that </w:t>
      </w:r>
      <w:r w:rsidRPr="00B12E1C">
        <w:t xml:space="preserve">due weight must be given to the author’s allegations. Accordingly, the Committee concludes that the facts before it disclose a violation of the author’s rights under articles 7 and 14 </w:t>
      </w:r>
      <w:r w:rsidR="00F41EDC">
        <w:t>(</w:t>
      </w:r>
      <w:r w:rsidRPr="00B12E1C">
        <w:t>3</w:t>
      </w:r>
      <w:r w:rsidR="00F41EDC">
        <w:t>)</w:t>
      </w:r>
      <w:r w:rsidRPr="00B12E1C">
        <w:t> (g) of the Covenant.</w:t>
      </w:r>
      <w:r w:rsidRPr="00B12E1C">
        <w:rPr>
          <w:rStyle w:val="FootnoteReference"/>
        </w:rPr>
        <w:footnoteReference w:id="13"/>
      </w:r>
      <w:r w:rsidRPr="00B12E1C">
        <w:t xml:space="preserve"> </w:t>
      </w:r>
    </w:p>
    <w:p w:rsidR="004B44C6" w:rsidRDefault="004B44C6" w:rsidP="00653454">
      <w:pPr>
        <w:pStyle w:val="SingleTxtG"/>
      </w:pPr>
      <w:r w:rsidRPr="00B12E1C">
        <w:t>8.3</w:t>
      </w:r>
      <w:r w:rsidR="00976956">
        <w:tab/>
      </w:r>
      <w:r w:rsidR="00976956" w:rsidRPr="005429C4">
        <w:t>The Committee recalls that</w:t>
      </w:r>
      <w:r w:rsidR="00F767FC">
        <w:t>,</w:t>
      </w:r>
      <w:r w:rsidR="00A267BE" w:rsidRPr="005429C4">
        <w:t xml:space="preserve"> in accordance with </w:t>
      </w:r>
      <w:r w:rsidR="00893B85">
        <w:t>article </w:t>
      </w:r>
      <w:r w:rsidR="00A267BE" w:rsidRPr="005429C4">
        <w:t xml:space="preserve">9 </w:t>
      </w:r>
      <w:r w:rsidR="00F41EDC">
        <w:t>(</w:t>
      </w:r>
      <w:r w:rsidR="00A267BE" w:rsidRPr="005429C4">
        <w:t>3</w:t>
      </w:r>
      <w:r w:rsidR="00F41EDC">
        <w:t>)</w:t>
      </w:r>
      <w:r w:rsidR="00976956" w:rsidRPr="005429C4">
        <w:t xml:space="preserve"> any person arrested or detained on a criminal charge “shall be brought promptly before a judge or other officer authorized by law to exercise judicial power”. The Committee also recalls that while the exact meaning of “promptly” may vary depending on objective circumstances, delays should not exceed a few days from the time of arrest. In the view of the Committee, </w:t>
      </w:r>
      <w:r w:rsidR="00900135">
        <w:t>48</w:t>
      </w:r>
      <w:r w:rsidR="00976956" w:rsidRPr="005429C4">
        <w:t xml:space="preserve"> hours is ordinarily sufficient to transport the individual and to prepare for the judicial hearing; any delay longer than </w:t>
      </w:r>
      <w:r w:rsidR="00900135">
        <w:t>48</w:t>
      </w:r>
      <w:r w:rsidR="00976956" w:rsidRPr="005429C4">
        <w:t xml:space="preserve"> hours must remain absolutely exceptional and be justified under the circumstances.</w:t>
      </w:r>
      <w:r w:rsidR="005429C4" w:rsidRPr="005429C4">
        <w:rPr>
          <w:rStyle w:val="FootnoteReference"/>
        </w:rPr>
        <w:footnoteReference w:id="14"/>
      </w:r>
      <w:r w:rsidR="00976956" w:rsidRPr="005429C4">
        <w:t xml:space="preserve"> The Committee takes note of the author’s unchallenged allegations that he was </w:t>
      </w:r>
      <w:r w:rsidR="00F767FC">
        <w:t>arrested</w:t>
      </w:r>
      <w:r w:rsidR="00F767FC" w:rsidRPr="005429C4">
        <w:t xml:space="preserve"> </w:t>
      </w:r>
      <w:r w:rsidR="00976956" w:rsidRPr="005429C4">
        <w:t>on 14 October 2009</w:t>
      </w:r>
      <w:r w:rsidR="00900135">
        <w:t>,</w:t>
      </w:r>
      <w:r w:rsidR="00976956" w:rsidRPr="005429C4">
        <w:t xml:space="preserve"> was officially placed in pretrial detention by the decision of a prosecutor on 21 October 2009 and was not brought before a judge until the beginning of the court trial, on 30 March 2010. </w:t>
      </w:r>
      <w:r w:rsidR="00BC288A" w:rsidRPr="005429C4">
        <w:t xml:space="preserve">The </w:t>
      </w:r>
      <w:r w:rsidR="00945B75" w:rsidRPr="005429C4">
        <w:t xml:space="preserve">Committee thus considers that </w:t>
      </w:r>
      <w:r w:rsidR="003909A8" w:rsidRPr="005429C4">
        <w:t xml:space="preserve">the </w:t>
      </w:r>
      <w:r w:rsidR="00BC288A" w:rsidRPr="005429C4">
        <w:t xml:space="preserve">author was not brought promptly </w:t>
      </w:r>
      <w:r w:rsidR="00C12802" w:rsidRPr="005429C4">
        <w:t xml:space="preserve">before </w:t>
      </w:r>
      <w:r w:rsidR="00BC288A" w:rsidRPr="005429C4">
        <w:t>the judge or other officer</w:t>
      </w:r>
      <w:r w:rsidR="00C12802" w:rsidRPr="005429C4">
        <w:t xml:space="preserve"> authorized by law</w:t>
      </w:r>
      <w:r w:rsidR="00945B75" w:rsidRPr="005429C4">
        <w:t xml:space="preserve"> to exercise judicial power as required by </w:t>
      </w:r>
      <w:r w:rsidR="00893B85">
        <w:t>article </w:t>
      </w:r>
      <w:r w:rsidR="00945B75" w:rsidRPr="005429C4">
        <w:t xml:space="preserve">9 </w:t>
      </w:r>
      <w:r w:rsidR="00F41EDC">
        <w:t>(</w:t>
      </w:r>
      <w:r w:rsidR="00945B75" w:rsidRPr="005429C4">
        <w:t>3</w:t>
      </w:r>
      <w:r w:rsidR="00F41EDC">
        <w:t>)</w:t>
      </w:r>
      <w:r w:rsidR="00945B75" w:rsidRPr="005429C4">
        <w:t xml:space="preserve"> of the Covenant</w:t>
      </w:r>
      <w:r w:rsidR="00C12802" w:rsidRPr="005429C4">
        <w:t>.</w:t>
      </w:r>
      <w:r w:rsidR="00BC288A" w:rsidRPr="005429C4">
        <w:t xml:space="preserve"> </w:t>
      </w:r>
      <w:r w:rsidR="00976956" w:rsidRPr="005429C4">
        <w:t>Accordingly, the Committee concludes that the above</w:t>
      </w:r>
      <w:r w:rsidR="00F767FC">
        <w:t>-</w:t>
      </w:r>
      <w:r w:rsidR="00976956" w:rsidRPr="005429C4">
        <w:t xml:space="preserve">mentioned facts reveal a violation of the author’s rights under </w:t>
      </w:r>
      <w:r w:rsidR="00893B85">
        <w:t>article </w:t>
      </w:r>
      <w:r w:rsidR="00976956" w:rsidRPr="005429C4">
        <w:t xml:space="preserve">9 </w:t>
      </w:r>
      <w:r w:rsidR="00F41EDC">
        <w:t>(</w:t>
      </w:r>
      <w:r w:rsidR="00976956" w:rsidRPr="005429C4">
        <w:t>3</w:t>
      </w:r>
      <w:r w:rsidR="00F41EDC">
        <w:t>)</w:t>
      </w:r>
      <w:r w:rsidR="00976956" w:rsidRPr="005429C4">
        <w:t xml:space="preserve"> of the Covenant.</w:t>
      </w:r>
      <w:r w:rsidR="00E24559">
        <w:t xml:space="preserve"> </w:t>
      </w:r>
      <w:r w:rsidR="00E24559">
        <w:rPr>
          <w:lang w:val="en-US"/>
        </w:rPr>
        <w:t xml:space="preserve">In </w:t>
      </w:r>
      <w:r w:rsidR="00F767FC">
        <w:rPr>
          <w:lang w:val="en-US"/>
        </w:rPr>
        <w:t xml:space="preserve">the </w:t>
      </w:r>
      <w:r w:rsidR="00E24559">
        <w:rPr>
          <w:lang w:val="en-US"/>
        </w:rPr>
        <w:t xml:space="preserve">light of </w:t>
      </w:r>
      <w:r w:rsidR="00202742">
        <w:rPr>
          <w:lang w:val="en-US"/>
        </w:rPr>
        <w:t>this conclusion</w:t>
      </w:r>
      <w:r w:rsidR="002D36A5">
        <w:rPr>
          <w:lang w:val="en-US"/>
        </w:rPr>
        <w:t>,</w:t>
      </w:r>
      <w:r w:rsidR="00E24559">
        <w:rPr>
          <w:lang w:val="en-US"/>
        </w:rPr>
        <w:t xml:space="preserve"> the </w:t>
      </w:r>
      <w:r w:rsidR="00E24559">
        <w:rPr>
          <w:lang w:val="en-US"/>
        </w:rPr>
        <w:lastRenderedPageBreak/>
        <w:t xml:space="preserve">Committee </w:t>
      </w:r>
      <w:r w:rsidR="00425761">
        <w:rPr>
          <w:lang w:val="en-US"/>
        </w:rPr>
        <w:t xml:space="preserve">will not </w:t>
      </w:r>
      <w:r w:rsidR="00E24559">
        <w:rPr>
          <w:lang w:val="en-US"/>
        </w:rPr>
        <w:t>examine</w:t>
      </w:r>
      <w:r w:rsidR="000F45D6">
        <w:rPr>
          <w:lang w:val="en-US"/>
        </w:rPr>
        <w:t xml:space="preserve"> separately</w:t>
      </w:r>
      <w:r w:rsidR="00425761">
        <w:rPr>
          <w:lang w:val="en-US"/>
        </w:rPr>
        <w:t xml:space="preserve"> the author’s allegations</w:t>
      </w:r>
      <w:r w:rsidR="00E24559">
        <w:rPr>
          <w:lang w:val="en-US"/>
        </w:rPr>
        <w:t xml:space="preserve"> under </w:t>
      </w:r>
      <w:r w:rsidR="00893B85">
        <w:rPr>
          <w:lang w:val="en-US"/>
        </w:rPr>
        <w:t>article </w:t>
      </w:r>
      <w:r w:rsidR="00E24559">
        <w:rPr>
          <w:lang w:val="en-US"/>
        </w:rPr>
        <w:t xml:space="preserve">9 </w:t>
      </w:r>
      <w:r w:rsidR="00F41EDC">
        <w:rPr>
          <w:lang w:val="en-US"/>
        </w:rPr>
        <w:t>(</w:t>
      </w:r>
      <w:r w:rsidR="00E24559">
        <w:rPr>
          <w:lang w:val="en-US"/>
        </w:rPr>
        <w:t>4</w:t>
      </w:r>
      <w:r w:rsidR="00F41EDC">
        <w:rPr>
          <w:lang w:val="en-US"/>
        </w:rPr>
        <w:t>)</w:t>
      </w:r>
      <w:r w:rsidR="00E24559">
        <w:rPr>
          <w:lang w:val="en-US"/>
        </w:rPr>
        <w:t xml:space="preserve"> of the Covenant.</w:t>
      </w:r>
      <w:r w:rsidR="00A34312">
        <w:rPr>
          <w:lang w:val="en-US"/>
        </w:rPr>
        <w:t xml:space="preserve"> </w:t>
      </w:r>
    </w:p>
    <w:p w:rsidR="003D42FB" w:rsidRDefault="003D42FB" w:rsidP="00653454">
      <w:pPr>
        <w:pStyle w:val="SingleTxtG"/>
      </w:pPr>
      <w:r>
        <w:t>8.</w:t>
      </w:r>
      <w:r w:rsidR="00E24559">
        <w:t>4</w:t>
      </w:r>
      <w:r>
        <w:tab/>
        <w:t>The Committee further notes the author’</w:t>
      </w:r>
      <w:r w:rsidR="003909A8">
        <w:t>s</w:t>
      </w:r>
      <w:r>
        <w:t xml:space="preserve"> allegations that the principle of presumption of innocence was not respected</w:t>
      </w:r>
      <w:r w:rsidR="00DF14DE">
        <w:t xml:space="preserve"> in his case</w:t>
      </w:r>
      <w:r>
        <w:t xml:space="preserve">, because he was shackled and kept in a metal cage during the court hearings. Moreover, the photographs of him behind metal bars in the courtroom were published in </w:t>
      </w:r>
      <w:r w:rsidR="00F767FC">
        <w:t xml:space="preserve">the </w:t>
      </w:r>
      <w:r>
        <w:t>media. In this respect, the Committee recalls its jurisprudence</w:t>
      </w:r>
      <w:r>
        <w:rPr>
          <w:rStyle w:val="FootnoteReference"/>
        </w:rPr>
        <w:footnoteReference w:id="15"/>
      </w:r>
      <w:r>
        <w:t xml:space="preserve"> as </w:t>
      </w:r>
      <w:r w:rsidR="00DF14DE">
        <w:t xml:space="preserve">also </w:t>
      </w:r>
      <w:r>
        <w:t>reflected in its general comment No.</w:t>
      </w:r>
      <w:r w:rsidR="00DF18FB">
        <w:t> </w:t>
      </w:r>
      <w:r>
        <w:t>32, according to which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Pr>
          <w:rStyle w:val="FootnoteReference"/>
        </w:rPr>
        <w:footnoteReference w:id="16"/>
      </w:r>
      <w:r>
        <w:t xml:space="preserve"> The same general comment further states that defendants should normally not be shackled or kept in cages during trial or otherwise presented to the court in a manner indicating that they may be dangerous criminals and that the media should avoid news coverage undermining the presumption of innocence</w:t>
      </w:r>
      <w:r w:rsidR="005429C4">
        <w:t>.</w:t>
      </w:r>
      <w:r w:rsidR="00035143">
        <w:rPr>
          <w:rStyle w:val="FootnoteReference"/>
        </w:rPr>
        <w:footnoteReference w:id="17"/>
      </w:r>
      <w:r>
        <w:t xml:space="preserve"> On the basis of the information before it and in the absence of any other pertinent information </w:t>
      </w:r>
      <w:r w:rsidR="00DF14DE">
        <w:t xml:space="preserve">or argumentation </w:t>
      </w:r>
      <w:r>
        <w:t>from the State party</w:t>
      </w:r>
      <w:r w:rsidR="00DF14DE">
        <w:t xml:space="preserve"> as to the need to keep the author in a metal cage during his trial in court</w:t>
      </w:r>
      <w:r>
        <w:t xml:space="preserve">, the Committee considers that the </w:t>
      </w:r>
      <w:r w:rsidR="00DF14DE">
        <w:t>facts as presented demonstrate that the right to be presumed innocent</w:t>
      </w:r>
      <w:r>
        <w:t xml:space="preserve"> of </w:t>
      </w:r>
      <w:r w:rsidR="00DF14DE">
        <w:t>Mr</w:t>
      </w:r>
      <w:r w:rsidR="00900135">
        <w:t>.</w:t>
      </w:r>
      <w:r>
        <w:t xml:space="preserve"> Grishkovtsov</w:t>
      </w:r>
      <w:r w:rsidR="00DF14DE">
        <w:t>, as</w:t>
      </w:r>
      <w:r>
        <w:t xml:space="preserve"> guaranteed under </w:t>
      </w:r>
      <w:r w:rsidR="00893B85">
        <w:t>article </w:t>
      </w:r>
      <w:r>
        <w:t xml:space="preserve">14 </w:t>
      </w:r>
      <w:r w:rsidR="00F41EDC">
        <w:t>(</w:t>
      </w:r>
      <w:r>
        <w:t>2</w:t>
      </w:r>
      <w:r w:rsidR="00F41EDC">
        <w:t>)</w:t>
      </w:r>
      <w:r>
        <w:t xml:space="preserve"> of the Covenant</w:t>
      </w:r>
      <w:r w:rsidR="00DF14DE">
        <w:t>,</w:t>
      </w:r>
      <w:r>
        <w:t xml:space="preserve"> has been violated.</w:t>
      </w:r>
    </w:p>
    <w:p w:rsidR="004B44C6" w:rsidRPr="00B12E1C" w:rsidRDefault="004B44C6" w:rsidP="00653454">
      <w:pPr>
        <w:pStyle w:val="SingleTxtG"/>
      </w:pPr>
      <w:r w:rsidRPr="00B12E1C">
        <w:t>8.</w:t>
      </w:r>
      <w:r w:rsidR="00E24559">
        <w:t>5</w:t>
      </w:r>
      <w:r w:rsidRPr="00B12E1C">
        <w:tab/>
        <w:t>The Committee</w:t>
      </w:r>
      <w:r w:rsidR="00DF14DE">
        <w:t xml:space="preserve"> </w:t>
      </w:r>
      <w:r w:rsidRPr="00B12E1C">
        <w:t>notes the author’s allegation that</w:t>
      </w:r>
      <w:r w:rsidR="00F767FC">
        <w:t>,</w:t>
      </w:r>
      <w:r w:rsidR="000D0858">
        <w:t xml:space="preserve"> during the investigation stage, </w:t>
      </w:r>
      <w:r w:rsidR="00DF14DE">
        <w:t xml:space="preserve">the </w:t>
      </w:r>
      <w:r w:rsidR="000D0858">
        <w:t xml:space="preserve">trial and </w:t>
      </w:r>
      <w:r w:rsidR="00DF14DE">
        <w:t xml:space="preserve">the </w:t>
      </w:r>
      <w:r w:rsidR="000D0858">
        <w:t xml:space="preserve">appeal procedures, he was not afforded assistance </w:t>
      </w:r>
      <w:r w:rsidR="006D425B">
        <w:t xml:space="preserve">of </w:t>
      </w:r>
      <w:r w:rsidR="000D0858">
        <w:t xml:space="preserve">a lawyer, in violation of his rights under </w:t>
      </w:r>
      <w:r w:rsidR="00893B85">
        <w:t>article </w:t>
      </w:r>
      <w:r w:rsidRPr="00B12E1C">
        <w:t xml:space="preserve">14 </w:t>
      </w:r>
      <w:r w:rsidR="00F41EDC">
        <w:t>(</w:t>
      </w:r>
      <w:r w:rsidR="000D0858">
        <w:t>3</w:t>
      </w:r>
      <w:r w:rsidR="00F41EDC">
        <w:t>)</w:t>
      </w:r>
      <w:r w:rsidR="000D0858">
        <w:t xml:space="preserve"> (d)</w:t>
      </w:r>
      <w:r w:rsidRPr="00B12E1C">
        <w:t xml:space="preserve">. </w:t>
      </w:r>
      <w:r w:rsidR="006D425B">
        <w:t>The Committee</w:t>
      </w:r>
      <w:r w:rsidR="00F767FC">
        <w:t xml:space="preserve"> </w:t>
      </w:r>
      <w:r w:rsidR="006D425B">
        <w:t>notes</w:t>
      </w:r>
      <w:r w:rsidR="00F767FC">
        <w:t xml:space="preserve">, for example, </w:t>
      </w:r>
      <w:r w:rsidR="006D425B">
        <w:t>that</w:t>
      </w:r>
      <w:r w:rsidR="00F767FC">
        <w:t>,</w:t>
      </w:r>
      <w:r w:rsidR="006D425B">
        <w:t xml:space="preserve"> during the five</w:t>
      </w:r>
      <w:r w:rsidR="00F767FC">
        <w:t xml:space="preserve"> </w:t>
      </w:r>
      <w:r w:rsidR="006D425B">
        <w:t>month</w:t>
      </w:r>
      <w:r w:rsidR="00F767FC">
        <w:t>s</w:t>
      </w:r>
      <w:r w:rsidR="00900135">
        <w:t xml:space="preserve"> of</w:t>
      </w:r>
      <w:r w:rsidR="006D425B">
        <w:t xml:space="preserve"> pretrial detention, the author did not have effective access to legal assistance, </w:t>
      </w:r>
      <w:r w:rsidR="00DF14DE">
        <w:t xml:space="preserve">while during this period of time he confessed guilt under duress, </w:t>
      </w:r>
      <w:r w:rsidR="006D425B">
        <w:t>and</w:t>
      </w:r>
      <w:r w:rsidR="00DF14DE">
        <w:t xml:space="preserve"> that</w:t>
      </w:r>
      <w:r w:rsidR="00F767FC">
        <w:t>,</w:t>
      </w:r>
      <w:r w:rsidR="00A34312">
        <w:t xml:space="preserve"> </w:t>
      </w:r>
      <w:r w:rsidR="006D425B">
        <w:t>during the preparations for the cassation appeal, he was not allowed to meet with his lawyer privately.</w:t>
      </w:r>
      <w:r w:rsidR="0029571B">
        <w:t xml:space="preserve"> Referring to its </w:t>
      </w:r>
      <w:r w:rsidR="00F767FC" w:rsidRPr="005C7B60">
        <w:t>g</w:t>
      </w:r>
      <w:r w:rsidR="0029571B" w:rsidRPr="00A70997">
        <w:t xml:space="preserve">eneral </w:t>
      </w:r>
      <w:r w:rsidR="00F767FC" w:rsidRPr="00A70997">
        <w:t>c</w:t>
      </w:r>
      <w:r w:rsidR="0029571B" w:rsidRPr="00A70997">
        <w:t>omment No.</w:t>
      </w:r>
      <w:r w:rsidR="00F217F1" w:rsidRPr="00A70997">
        <w:t> </w:t>
      </w:r>
      <w:r w:rsidR="0029571B" w:rsidRPr="00DA68AE">
        <w:t>32 (2007),</w:t>
      </w:r>
      <w:r w:rsidR="0029571B" w:rsidRPr="00AC12BB">
        <w:t xml:space="preserve"> the Committee recalls its jurisprudence that</w:t>
      </w:r>
      <w:r w:rsidR="007648FE" w:rsidRPr="00653454">
        <w:t>,</w:t>
      </w:r>
      <w:r w:rsidR="0029571B" w:rsidRPr="00653454">
        <w:t xml:space="preserve"> in</w:t>
      </w:r>
      <w:r w:rsidR="0029571B" w:rsidRPr="00653454">
        <w:rPr>
          <w:color w:val="000000"/>
          <w:shd w:val="clear" w:color="auto" w:fill="FFFFFF"/>
        </w:rPr>
        <w:t xml:space="preserve"> cases involving capital punishment, it is axiomatic that the accused must be effectively assisted by a lawyer at all stages of the proceedings</w:t>
      </w:r>
      <w:r w:rsidR="0029571B">
        <w:rPr>
          <w:color w:val="000000"/>
          <w:shd w:val="clear" w:color="auto" w:fill="FFFFFF"/>
        </w:rPr>
        <w:t xml:space="preserve">. </w:t>
      </w:r>
      <w:r w:rsidR="006D425B">
        <w:t>The Committee</w:t>
      </w:r>
      <w:r w:rsidRPr="00B12E1C">
        <w:t xml:space="preserve"> also notes that th</w:t>
      </w:r>
      <w:r w:rsidR="000D0858">
        <w:t>ese</w:t>
      </w:r>
      <w:r w:rsidRPr="00B12E1C">
        <w:t xml:space="preserve"> allegation</w:t>
      </w:r>
      <w:r w:rsidR="000D0858">
        <w:t>s</w:t>
      </w:r>
      <w:r w:rsidRPr="00B12E1C">
        <w:t xml:space="preserve"> ha</w:t>
      </w:r>
      <w:r w:rsidR="000D0858">
        <w:t>ve</w:t>
      </w:r>
      <w:r w:rsidRPr="00B12E1C">
        <w:t xml:space="preserve"> not been refuted by the State party.</w:t>
      </w:r>
      <w:r w:rsidR="006D425B">
        <w:t xml:space="preserve"> In </w:t>
      </w:r>
      <w:r w:rsidR="00DF14DE">
        <w:t xml:space="preserve">these circumstances, the Committee concludes that </w:t>
      </w:r>
      <w:r w:rsidR="006D425B">
        <w:t>the facts as submitted by the author</w:t>
      </w:r>
      <w:r w:rsidR="00DF14DE">
        <w:t xml:space="preserve"> reveal a violation of </w:t>
      </w:r>
      <w:r w:rsidR="006D425B">
        <w:t xml:space="preserve">his rights under </w:t>
      </w:r>
      <w:r w:rsidR="00893B85">
        <w:t>article </w:t>
      </w:r>
      <w:r w:rsidR="006D425B">
        <w:t xml:space="preserve">14 </w:t>
      </w:r>
      <w:r w:rsidR="00F41EDC">
        <w:t>(</w:t>
      </w:r>
      <w:r w:rsidR="006D425B">
        <w:t>3</w:t>
      </w:r>
      <w:r w:rsidR="00F41EDC">
        <w:t>)</w:t>
      </w:r>
      <w:r w:rsidR="006D425B">
        <w:t xml:space="preserve"> (d) of the Covenant.</w:t>
      </w:r>
      <w:r w:rsidR="00A34312">
        <w:t xml:space="preserve"> </w:t>
      </w:r>
    </w:p>
    <w:p w:rsidR="004B44C6" w:rsidRPr="00B12E1C" w:rsidRDefault="004B44C6" w:rsidP="00653454">
      <w:pPr>
        <w:pStyle w:val="SingleTxtG"/>
      </w:pPr>
      <w:r w:rsidRPr="00B12E1C">
        <w:t>8.</w:t>
      </w:r>
      <w:r w:rsidR="00E24559">
        <w:t>6</w:t>
      </w:r>
      <w:r w:rsidRPr="00B12E1C">
        <w:tab/>
      </w:r>
      <w:r w:rsidR="00A70997">
        <w:t>Counsel</w:t>
      </w:r>
      <w:r w:rsidRPr="00B12E1C">
        <w:t xml:space="preserve"> further claims a violation of </w:t>
      </w:r>
      <w:r w:rsidR="00A70997">
        <w:t>the author’s</w:t>
      </w:r>
      <w:r w:rsidR="00A70997" w:rsidRPr="00B12E1C">
        <w:t xml:space="preserve"> </w:t>
      </w:r>
      <w:r w:rsidRPr="00B12E1C">
        <w:t xml:space="preserve">right to life under </w:t>
      </w:r>
      <w:r w:rsidR="00893B85">
        <w:t>article </w:t>
      </w:r>
      <w:r w:rsidRPr="00B12E1C">
        <w:t xml:space="preserve">6 of the Covenant, since he was sentenced to death after an unfair trial. </w:t>
      </w:r>
      <w:r w:rsidR="0029571B">
        <w:t xml:space="preserve">The Committee observes that these allegations have not been refuted by the State party. </w:t>
      </w:r>
      <w:r w:rsidRPr="00B12E1C">
        <w:t xml:space="preserve">In that respect, the Committee recalls its </w:t>
      </w:r>
      <w:r w:rsidRPr="005C7B60">
        <w:t>general comment No. 6 (1982) on the right to life</w:t>
      </w:r>
      <w:r w:rsidRPr="00B12E1C">
        <w:t>, in which it noted that the provision that a sentence of death may be imposed only in accordance with the law and not contrary to the provisions of the Covenant implies that the procedural guarantees therein prescribed must be observed, including the right to a fair hearing by an independent tribunal, the presumption of innocence, the minimum guarantees for the defence and the right to review by a higher tribunal.</w:t>
      </w:r>
      <w:r w:rsidRPr="00B12E1C">
        <w:rPr>
          <w:rStyle w:val="FootnoteReference"/>
        </w:rPr>
        <w:footnoteReference w:id="18"/>
      </w:r>
      <w:r w:rsidRPr="00B12E1C">
        <w:t xml:space="preserve"> In the same context, the Committee reiterates its jurisprudence that the imposition of a sentence of death upon conclusion of a trial in which the provisions of </w:t>
      </w:r>
      <w:r w:rsidR="00893B85">
        <w:t>article </w:t>
      </w:r>
      <w:r w:rsidRPr="00B12E1C">
        <w:t xml:space="preserve">14 of the Covenant have not been respected constitutes a violation </w:t>
      </w:r>
      <w:r w:rsidRPr="00B12E1C">
        <w:lastRenderedPageBreak/>
        <w:t xml:space="preserve">of </w:t>
      </w:r>
      <w:r w:rsidR="00893B85">
        <w:t>article </w:t>
      </w:r>
      <w:r w:rsidRPr="00B12E1C">
        <w:t>6 of the Covenant.</w:t>
      </w:r>
      <w:r w:rsidRPr="00B12E1C">
        <w:rPr>
          <w:rStyle w:val="FootnoteReference"/>
        </w:rPr>
        <w:footnoteReference w:id="19"/>
      </w:r>
      <w:r w:rsidRPr="00B12E1C">
        <w:t xml:space="preserve"> In the light of the Committee’s findings of a violation of </w:t>
      </w:r>
      <w:r w:rsidR="00893B85">
        <w:t>article </w:t>
      </w:r>
      <w:r w:rsidRPr="00B12E1C">
        <w:t xml:space="preserve">14 </w:t>
      </w:r>
      <w:r w:rsidR="00F41EDC">
        <w:t>(</w:t>
      </w:r>
      <w:r w:rsidR="00E24559">
        <w:t>3</w:t>
      </w:r>
      <w:r w:rsidR="00F41EDC">
        <w:t>)</w:t>
      </w:r>
      <w:r w:rsidR="00E24559">
        <w:t xml:space="preserve"> </w:t>
      </w:r>
      <w:r w:rsidRPr="00B12E1C">
        <w:t>(</w:t>
      </w:r>
      <w:r w:rsidR="0029571B">
        <w:t>d</w:t>
      </w:r>
      <w:r w:rsidRPr="00B12E1C">
        <w:t>) and (g) of the Covenant,</w:t>
      </w:r>
      <w:r w:rsidR="003939C2">
        <w:t xml:space="preserve"> especially in </w:t>
      </w:r>
      <w:r w:rsidR="007648FE">
        <w:t xml:space="preserve">the </w:t>
      </w:r>
      <w:r w:rsidR="003939C2">
        <w:t>light of the author’s unrefuted allegations of</w:t>
      </w:r>
      <w:r w:rsidR="00E24559">
        <w:t xml:space="preserve"> absence of legal assistance,</w:t>
      </w:r>
      <w:r w:rsidR="003939C2">
        <w:t xml:space="preserve"> torture and ill-treatment</w:t>
      </w:r>
      <w:r w:rsidR="00AC2375">
        <w:t xml:space="preserve"> to make him confess guilt</w:t>
      </w:r>
      <w:r w:rsidR="003939C2">
        <w:t>,</w:t>
      </w:r>
      <w:r w:rsidR="00AC2375">
        <w:t xml:space="preserve"> wh</w:t>
      </w:r>
      <w:r w:rsidR="00E24559">
        <w:t>ich</w:t>
      </w:r>
      <w:r w:rsidR="00AC2375">
        <w:t xml:space="preserve"> served as a basis for his conviction, </w:t>
      </w:r>
      <w:r w:rsidRPr="00B12E1C">
        <w:t xml:space="preserve">it concludes that the final sentence of death and </w:t>
      </w:r>
      <w:r w:rsidR="00AC2375">
        <w:t xml:space="preserve">the </w:t>
      </w:r>
      <w:r w:rsidRPr="00B12E1C">
        <w:t xml:space="preserve">subsequent execution of </w:t>
      </w:r>
      <w:r w:rsidR="000D0858">
        <w:t>Oleg Grishkovtsov</w:t>
      </w:r>
      <w:r w:rsidRPr="00B12E1C">
        <w:t xml:space="preserve"> did not meet the requirements of </w:t>
      </w:r>
      <w:r w:rsidR="00893B85">
        <w:t>article </w:t>
      </w:r>
      <w:r w:rsidRPr="00B12E1C">
        <w:t xml:space="preserve">14 and that, as a result, his right to life under </w:t>
      </w:r>
      <w:r w:rsidR="00893B85">
        <w:t>article </w:t>
      </w:r>
      <w:r w:rsidRPr="00B12E1C">
        <w:t xml:space="preserve">6 of the Covenant has </w:t>
      </w:r>
      <w:r w:rsidR="00AC2375">
        <w:t xml:space="preserve">also </w:t>
      </w:r>
      <w:r w:rsidRPr="00B12E1C">
        <w:t>been violated.</w:t>
      </w:r>
    </w:p>
    <w:p w:rsidR="004B44C6" w:rsidRPr="00B12E1C" w:rsidRDefault="004B44C6" w:rsidP="00653454">
      <w:pPr>
        <w:pStyle w:val="SingleTxtG"/>
      </w:pPr>
      <w:r w:rsidRPr="00B12E1C">
        <w:t>9.</w:t>
      </w:r>
      <w:r w:rsidRPr="00B12E1C">
        <w:tab/>
        <w:t xml:space="preserve">The Committee, acting under </w:t>
      </w:r>
      <w:r w:rsidR="00893B85">
        <w:t>article </w:t>
      </w:r>
      <w:r w:rsidRPr="00B12E1C">
        <w:t xml:space="preserve">5 </w:t>
      </w:r>
      <w:r w:rsidR="00F41EDC">
        <w:t>(</w:t>
      </w:r>
      <w:r w:rsidRPr="00B12E1C">
        <w:t>4</w:t>
      </w:r>
      <w:r w:rsidR="00F41EDC">
        <w:t>)</w:t>
      </w:r>
      <w:r w:rsidRPr="00B12E1C">
        <w:t xml:space="preserve"> of the Optional Protocol to the Covenant, is of the view that the facts before it disclose a violation of </w:t>
      </w:r>
      <w:r w:rsidR="0029571B">
        <w:t>Oleg Grishkovtsov</w:t>
      </w:r>
      <w:r w:rsidRPr="00B12E1C">
        <w:t xml:space="preserve">’s rights under </w:t>
      </w:r>
      <w:r w:rsidR="00893B85">
        <w:t>article</w:t>
      </w:r>
      <w:r w:rsidR="00F41EDC">
        <w:t>s</w:t>
      </w:r>
      <w:r w:rsidR="00893B85">
        <w:t> </w:t>
      </w:r>
      <w:r w:rsidRPr="00B12E1C">
        <w:t>6,</w:t>
      </w:r>
      <w:r w:rsidR="00A34312">
        <w:t xml:space="preserve"> </w:t>
      </w:r>
      <w:r w:rsidRPr="00B12E1C">
        <w:t xml:space="preserve">7, </w:t>
      </w:r>
      <w:r w:rsidR="0029571B">
        <w:t xml:space="preserve">9 </w:t>
      </w:r>
      <w:r w:rsidR="00F41EDC">
        <w:t>(</w:t>
      </w:r>
      <w:r w:rsidR="0029571B">
        <w:t>3</w:t>
      </w:r>
      <w:r w:rsidR="00F41EDC">
        <w:t>)</w:t>
      </w:r>
      <w:r w:rsidRPr="00B12E1C">
        <w:t xml:space="preserve"> and 14 </w:t>
      </w:r>
      <w:r w:rsidR="00F41EDC">
        <w:t>(</w:t>
      </w:r>
      <w:r w:rsidR="007E3971">
        <w:t>2</w:t>
      </w:r>
      <w:r w:rsidR="00F41EDC">
        <w:t xml:space="preserve"> and</w:t>
      </w:r>
      <w:r w:rsidR="004D7BF7">
        <w:t xml:space="preserve"> </w:t>
      </w:r>
      <w:r w:rsidR="0029571B">
        <w:t>3</w:t>
      </w:r>
      <w:r w:rsidRPr="00B12E1C">
        <w:t> (</w:t>
      </w:r>
      <w:r w:rsidR="0029571B">
        <w:t>d</w:t>
      </w:r>
      <w:r w:rsidRPr="00B12E1C">
        <w:t>) and (g)</w:t>
      </w:r>
      <w:r w:rsidR="00900135">
        <w:t>)</w:t>
      </w:r>
      <w:r w:rsidRPr="00B12E1C">
        <w:t xml:space="preserve"> of the Covenant. The State party has also breached its obligations under </w:t>
      </w:r>
      <w:r w:rsidR="00893B85">
        <w:t>article </w:t>
      </w:r>
      <w:r w:rsidRPr="00B12E1C">
        <w:t>1 of the Optional Protocol to the Covenant</w:t>
      </w:r>
      <w:r w:rsidR="00501CB1">
        <w:t>.</w:t>
      </w:r>
      <w:r w:rsidRPr="00B12E1C">
        <w:t xml:space="preserve"> </w:t>
      </w:r>
    </w:p>
    <w:p w:rsidR="004B44C6" w:rsidRPr="00B12E1C" w:rsidRDefault="004B44C6" w:rsidP="004B44C6">
      <w:pPr>
        <w:pStyle w:val="SingleTxtG"/>
      </w:pPr>
      <w:r w:rsidRPr="00B12E1C">
        <w:t>10.</w:t>
      </w:r>
      <w:r w:rsidRPr="00B12E1C">
        <w:tab/>
        <w:t xml:space="preserve">In accordance with </w:t>
      </w:r>
      <w:r w:rsidR="00893B85">
        <w:t>article </w:t>
      </w:r>
      <w:r w:rsidRPr="00B12E1C">
        <w:t xml:space="preserve">2 </w:t>
      </w:r>
      <w:r w:rsidR="00F41EDC">
        <w:t>(</w:t>
      </w:r>
      <w:r w:rsidRPr="00B12E1C">
        <w:t>3</w:t>
      </w:r>
      <w:r w:rsidR="00F41EDC">
        <w:t>)</w:t>
      </w:r>
      <w:r w:rsidRPr="00B12E1C">
        <w:t> (a) of the Covenant, the State party is under an obligation to provide adequate monetary compensation to the author’s family for the loss of his life, including reimbursement of the legal costs incurred</w:t>
      </w:r>
      <w:r w:rsidR="00501CB1">
        <w:t>.</w:t>
      </w:r>
      <w:r w:rsidRPr="00B12E1C">
        <w:t xml:space="preserve"> The State party is also under an obligation to prevent similar violations in the future and, in the light of its obligations under the Optional Protocol, to cooperate in good faith with the Committee, particularly by complying with the requests of the Committee for interim measures</w:t>
      </w:r>
      <w:r w:rsidR="00202742">
        <w:t xml:space="preserve"> of protection</w:t>
      </w:r>
      <w:r w:rsidRPr="00B12E1C">
        <w:t>.</w:t>
      </w:r>
    </w:p>
    <w:p w:rsidR="00D50721" w:rsidRDefault="004B44C6" w:rsidP="00501CB1">
      <w:pPr>
        <w:pStyle w:val="SingleTxtG"/>
      </w:pPr>
      <w:r w:rsidRPr="00B12E1C">
        <w:t>11.</w:t>
      </w:r>
      <w:r w:rsidRPr="00B12E1C">
        <w:tab/>
        <w:t xml:space="preserve">Bearing in mind that, by becoming a party to the Optional Protocol, the State party has recognized the competence of the Committee to determine whether there has been a violation of the Covenant or not and that, pursuant to </w:t>
      </w:r>
      <w:r w:rsidR="00893B85">
        <w:t>article </w:t>
      </w:r>
      <w:r w:rsidRPr="00B12E1C">
        <w:t>2 of the Covenant, the State party has undertaken to ensure to all individuals within its territory or subject to its jurisdiction the rights recognized in the Covenant and to provide an effective and enforceable remedy in cases where a violation has been established, the Committee wishes to receive from the State party, within 180 days, information about the measures taken to give effect to the Views of the Committee. In addition, it requests the State party to publish the present Views and to have them widely disseminated in Belarusian and Russian in the State party.</w:t>
      </w:r>
    </w:p>
    <w:p w:rsidR="00501CB1" w:rsidRPr="00501CB1" w:rsidRDefault="00501CB1" w:rsidP="00501CB1">
      <w:pPr>
        <w:pStyle w:val="SingleTxtG"/>
        <w:spacing w:before="240" w:after="0"/>
        <w:jc w:val="center"/>
        <w:rPr>
          <w:u w:val="single"/>
        </w:rPr>
      </w:pPr>
      <w:r>
        <w:rPr>
          <w:u w:val="single"/>
        </w:rPr>
        <w:tab/>
      </w:r>
      <w:r>
        <w:rPr>
          <w:u w:val="single"/>
        </w:rPr>
        <w:tab/>
      </w:r>
      <w:r>
        <w:rPr>
          <w:u w:val="single"/>
        </w:rPr>
        <w:tab/>
      </w:r>
    </w:p>
    <w:sectPr w:rsidR="00501CB1" w:rsidRPr="00501CB1" w:rsidSect="00781C8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4F" w:rsidRDefault="0052594F"/>
  </w:endnote>
  <w:endnote w:type="continuationSeparator" w:id="0">
    <w:p w:rsidR="0052594F" w:rsidRDefault="0052594F"/>
  </w:endnote>
  <w:endnote w:type="continuationNotice" w:id="1">
    <w:p w:rsidR="0052594F" w:rsidRDefault="00525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1" w:rsidRPr="00781C83" w:rsidRDefault="00DA10B1"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326252">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1" w:rsidRPr="00781C83" w:rsidRDefault="00DA10B1"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326252">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1" w:rsidRDefault="00CF0784">
    <w:r>
      <w:rPr>
        <w:noProof/>
        <w:lang w:val="en-US"/>
      </w:rPr>
      <w:drawing>
        <wp:anchor distT="0" distB="0" distL="114300" distR="114300" simplePos="0" relativeHeight="251659264" behindDoc="0" locked="0" layoutInCell="1" allowOverlap="1" wp14:anchorId="53791EA6" wp14:editId="68999C18">
          <wp:simplePos x="0" y="0"/>
          <wp:positionH relativeFrom="margin">
            <wp:posOffset>4283710</wp:posOffset>
          </wp:positionH>
          <wp:positionV relativeFrom="margin">
            <wp:posOffset>8207375</wp:posOffset>
          </wp:positionV>
          <wp:extent cx="937260" cy="228600"/>
          <wp:effectExtent l="0" t="0" r="0" b="0"/>
          <wp:wrapNone/>
          <wp:docPr id="1"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0B1">
      <w:t>GE.1</w:t>
    </w:r>
    <w:r w:rsidR="00326293">
      <w:t>5</w:t>
    </w:r>
    <w:r w:rsidR="00DA10B1">
      <w:t>-</w:t>
    </w:r>
    <w:r>
      <w:t>10034  (E)</w:t>
    </w:r>
    <w:r w:rsidR="00A11A67">
      <w:br/>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r w:rsidR="00A11A67" w:rsidRPr="00A11A67">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4F" w:rsidRPr="000B175B" w:rsidRDefault="0052594F" w:rsidP="000B175B">
      <w:pPr>
        <w:tabs>
          <w:tab w:val="right" w:pos="2155"/>
        </w:tabs>
        <w:spacing w:after="80"/>
        <w:ind w:left="680"/>
        <w:rPr>
          <w:u w:val="single"/>
        </w:rPr>
      </w:pPr>
      <w:r>
        <w:rPr>
          <w:u w:val="single"/>
        </w:rPr>
        <w:tab/>
      </w:r>
    </w:p>
  </w:footnote>
  <w:footnote w:type="continuationSeparator" w:id="0">
    <w:p w:rsidR="0052594F" w:rsidRPr="00FC68B7" w:rsidRDefault="0052594F" w:rsidP="00FC68B7">
      <w:pPr>
        <w:tabs>
          <w:tab w:val="left" w:pos="2155"/>
        </w:tabs>
        <w:spacing w:after="80"/>
        <w:ind w:left="680"/>
        <w:rPr>
          <w:u w:val="single"/>
        </w:rPr>
      </w:pPr>
      <w:r>
        <w:rPr>
          <w:u w:val="single"/>
        </w:rPr>
        <w:tab/>
      </w:r>
    </w:p>
  </w:footnote>
  <w:footnote w:type="continuationNotice" w:id="1">
    <w:p w:rsidR="0052594F" w:rsidRDefault="0052594F"/>
  </w:footnote>
  <w:footnote w:id="2">
    <w:p w:rsidR="002239C1" w:rsidRPr="00425761" w:rsidRDefault="002239C1" w:rsidP="00546AFA">
      <w:pPr>
        <w:pStyle w:val="FootnoteText"/>
      </w:pPr>
      <w:r>
        <w:rPr>
          <w:rStyle w:val="FootnoteReference"/>
        </w:rPr>
        <w:tab/>
      </w:r>
      <w:r w:rsidRPr="00BA32A1">
        <w:rPr>
          <w:rStyle w:val="FootnoteReference"/>
          <w:sz w:val="20"/>
          <w:vertAlign w:val="baseline"/>
        </w:rPr>
        <w:t>*</w:t>
      </w:r>
      <w:r>
        <w:rPr>
          <w:rStyle w:val="FootnoteReference"/>
          <w:sz w:val="20"/>
          <w:vertAlign w:val="baseline"/>
        </w:rPr>
        <w:tab/>
      </w:r>
      <w:r w:rsidRPr="00920D07">
        <w:t xml:space="preserve">The following members of the Committee participated in the examination of the present communication: </w:t>
      </w:r>
      <w:r w:rsidRPr="006554AC">
        <w:t xml:space="preserve">Yadh Ben Achour, Lazhari Bouzid, Sarah Cleveland, Olivier </w:t>
      </w:r>
      <w:r w:rsidR="00546AFA">
        <w:t>d</w:t>
      </w:r>
      <w:r w:rsidRPr="006554AC">
        <w:t>e Frouville, Ahmed</w:t>
      </w:r>
      <w:r w:rsidR="00953108">
        <w:t> </w:t>
      </w:r>
      <w:r w:rsidRPr="006554AC">
        <w:t>Amin Fathalla, Yuji Iwasawa, Ivana Jeli</w:t>
      </w:r>
      <w:r w:rsidR="00546AFA">
        <w:t>ć</w:t>
      </w:r>
      <w:r w:rsidRPr="006554AC">
        <w:t>, Duncan Laki</w:t>
      </w:r>
      <w:r w:rsidR="00546AFA">
        <w:t xml:space="preserve"> </w:t>
      </w:r>
      <w:r w:rsidR="00546AFA" w:rsidRPr="006554AC">
        <w:t>Muhumuza</w:t>
      </w:r>
      <w:r w:rsidRPr="006554AC">
        <w:t>, Photini Pazartzis, Mauro</w:t>
      </w:r>
      <w:r w:rsidR="00953108">
        <w:t> </w:t>
      </w:r>
      <w:r w:rsidRPr="006554AC">
        <w:t xml:space="preserve">Politi, </w:t>
      </w:r>
      <w:r w:rsidRPr="000D32DE">
        <w:t>Sir Nigel Rodley, V</w:t>
      </w:r>
      <w:r w:rsidR="00546AFA">
        <w:t>í</w:t>
      </w:r>
      <w:r w:rsidRPr="000D32DE">
        <w:t>ctor Manuel Rodríguez-Rescia, Fabián Omar Salvioli, Dheerujlall Seetulsingh, Anja Seibert-Fohr, Yuva</w:t>
      </w:r>
      <w:r w:rsidRPr="00537A79">
        <w:t>l Shany, Konstantine Vardzelashvili and Margo Waterval</w:t>
      </w:r>
      <w:r w:rsidRPr="00BA32A1">
        <w:rPr>
          <w:lang w:val="en-GB"/>
        </w:rPr>
        <w:t>.</w:t>
      </w:r>
    </w:p>
  </w:footnote>
  <w:footnote w:id="3">
    <w:p w:rsidR="0080191B" w:rsidRPr="006D2F5C" w:rsidRDefault="00326293" w:rsidP="00653454">
      <w:pPr>
        <w:pStyle w:val="FootnoteText"/>
      </w:pPr>
      <w:r w:rsidRPr="005429C4">
        <w:tab/>
      </w:r>
      <w:r w:rsidR="0080191B" w:rsidRPr="006D2F5C">
        <w:rPr>
          <w:rStyle w:val="FootnoteReference"/>
        </w:rPr>
        <w:footnoteRef/>
      </w:r>
      <w:r w:rsidRPr="005429C4">
        <w:tab/>
      </w:r>
      <w:r w:rsidR="0080191B" w:rsidRPr="006D2F5C">
        <w:t>It is alleged that the author and his friends kidnapped and killed three members of the same family and</w:t>
      </w:r>
      <w:r w:rsidR="00C24F63">
        <w:t>,</w:t>
      </w:r>
      <w:r w:rsidR="0080191B" w:rsidRPr="006D2F5C">
        <w:t xml:space="preserve"> subsequently, set </w:t>
      </w:r>
      <w:r w:rsidR="00C24F63">
        <w:t>the</w:t>
      </w:r>
      <w:r w:rsidR="00C24F63" w:rsidRPr="006D2F5C">
        <w:t xml:space="preserve"> </w:t>
      </w:r>
      <w:r w:rsidR="008E3E27" w:rsidRPr="006D2F5C">
        <w:t>family’s</w:t>
      </w:r>
      <w:r w:rsidR="0080191B" w:rsidRPr="006D2F5C">
        <w:t xml:space="preserve"> apartment on fire in an attempt to conceal the committed crimes. </w:t>
      </w:r>
    </w:p>
  </w:footnote>
  <w:footnote w:id="4">
    <w:p w:rsidR="00A5649C" w:rsidRPr="006D2F5C" w:rsidRDefault="00326293" w:rsidP="00653454">
      <w:pPr>
        <w:pStyle w:val="FootnoteText"/>
      </w:pPr>
      <w:r w:rsidRPr="005429C4">
        <w:tab/>
      </w:r>
      <w:r w:rsidR="00A5649C" w:rsidRPr="006D2F5C">
        <w:rPr>
          <w:rStyle w:val="FootnoteReference"/>
        </w:rPr>
        <w:footnoteRef/>
      </w:r>
      <w:r w:rsidRPr="005429C4">
        <w:tab/>
      </w:r>
      <w:r w:rsidR="0006682B">
        <w:t>See c</w:t>
      </w:r>
      <w:r w:rsidR="008562B1" w:rsidRPr="005C7B60">
        <w:t>ommunication No.</w:t>
      </w:r>
      <w:r w:rsidR="007D73B5" w:rsidRPr="005C7B60">
        <w:t> </w:t>
      </w:r>
      <w:r w:rsidR="008562B1" w:rsidRPr="00A70997">
        <w:t xml:space="preserve">521/1992, </w:t>
      </w:r>
      <w:r w:rsidR="0025075C">
        <w:t>V</w:t>
      </w:r>
      <w:r w:rsidR="008562B1" w:rsidRPr="005C7B60">
        <w:t>iews adopted on</w:t>
      </w:r>
      <w:r w:rsidR="00A34312" w:rsidRPr="00A70997">
        <w:t xml:space="preserve"> </w:t>
      </w:r>
      <w:r w:rsidR="008562B1" w:rsidRPr="00A70997">
        <w:t>22 March 1996</w:t>
      </w:r>
      <w:r w:rsidR="0006682B">
        <w:t>, in which</w:t>
      </w:r>
      <w:r w:rsidR="008562B1" w:rsidRPr="00A70997">
        <w:t xml:space="preserve"> the C</w:t>
      </w:r>
      <w:r w:rsidR="00A5649C" w:rsidRPr="00A70997">
        <w:t>ommittee concluded</w:t>
      </w:r>
      <w:r w:rsidR="0006682B">
        <w:t>:</w:t>
      </w:r>
      <w:r w:rsidR="00A5649C" w:rsidRPr="00A70997">
        <w:t xml:space="preserve"> </w:t>
      </w:r>
      <w:r w:rsidR="00A34312" w:rsidRPr="00B90C4B">
        <w:t>“</w:t>
      </w:r>
      <w:r w:rsidR="0006682B">
        <w:t>I</w:t>
      </w:r>
      <w:r w:rsidR="003D774D" w:rsidRPr="00DA68AE">
        <w:t>t is inherent to the proper exercise of judicial power, that it be exercised by an authority which is independent, objective and imp</w:t>
      </w:r>
      <w:r w:rsidR="003D774D" w:rsidRPr="00AC12BB">
        <w:t xml:space="preserve">artial in relation to the issues dealt with. In the circumstances of the instant case, the Committee is not satisfied that the public prosecutor could be regarded as having the institutional objectivity and impartiality necessary to be considered an </w:t>
      </w:r>
      <w:r w:rsidR="00A34312" w:rsidRPr="00653454">
        <w:t>ʽ</w:t>
      </w:r>
      <w:r w:rsidR="003D774D" w:rsidRPr="00653454">
        <w:t>officer authorized to exercise judicial power</w:t>
      </w:r>
      <w:r w:rsidR="00A34312" w:rsidRPr="00653454">
        <w:t>’</w:t>
      </w:r>
      <w:r w:rsidR="003D774D" w:rsidRPr="00653454">
        <w:t xml:space="preserve"> within the meaning of </w:t>
      </w:r>
      <w:r w:rsidR="00893B85" w:rsidRPr="00653454">
        <w:t>article </w:t>
      </w:r>
      <w:r w:rsidR="003D774D" w:rsidRPr="00653454">
        <w:t>9</w:t>
      </w:r>
      <w:r w:rsidR="0025075C">
        <w:t xml:space="preserve"> </w:t>
      </w:r>
      <w:r w:rsidR="003D774D" w:rsidRPr="005C7B60">
        <w:t>(3)</w:t>
      </w:r>
      <w:r w:rsidR="00A34312" w:rsidRPr="005C7B60">
        <w:t>”</w:t>
      </w:r>
      <w:r w:rsidR="003D774D" w:rsidRPr="00A70997">
        <w:t xml:space="preserve"> (para</w:t>
      </w:r>
      <w:r w:rsidR="007D73B5" w:rsidRPr="00A70997">
        <w:t>. </w:t>
      </w:r>
      <w:r w:rsidR="003D774D" w:rsidRPr="00A70997">
        <w:t>11.3).</w:t>
      </w:r>
    </w:p>
  </w:footnote>
  <w:footnote w:id="5">
    <w:p w:rsidR="00F03D89" w:rsidRPr="00E96A6E" w:rsidRDefault="00326293" w:rsidP="00653454">
      <w:pPr>
        <w:pStyle w:val="FootnoteText"/>
      </w:pPr>
      <w:r w:rsidRPr="005429C4">
        <w:tab/>
      </w:r>
      <w:r w:rsidR="00F03D89" w:rsidRPr="006D2F5C">
        <w:rPr>
          <w:rStyle w:val="FootnoteReference"/>
        </w:rPr>
        <w:footnoteRef/>
      </w:r>
      <w:r w:rsidRPr="005429C4">
        <w:tab/>
      </w:r>
      <w:r w:rsidR="00A70997">
        <w:t>Counsel</w:t>
      </w:r>
      <w:r w:rsidR="00F03D89" w:rsidRPr="006D2F5C">
        <w:t xml:space="preserve"> submits that</w:t>
      </w:r>
      <w:r w:rsidR="005A5C65">
        <w:t>,</w:t>
      </w:r>
      <w:r w:rsidR="00F03D89" w:rsidRPr="006D2F5C">
        <w:t xml:space="preserve"> out of four requests for emergency medical assistance, only two were officially recorded, </w:t>
      </w:r>
      <w:r w:rsidR="00E96A6E">
        <w:t xml:space="preserve">on </w:t>
      </w:r>
      <w:r w:rsidR="00F03D89" w:rsidRPr="006D2F5C">
        <w:t>14 and 15 October 2009</w:t>
      </w:r>
      <w:r w:rsidR="00F03D89" w:rsidRPr="00E96A6E">
        <w:t xml:space="preserve">. </w:t>
      </w:r>
    </w:p>
  </w:footnote>
  <w:footnote w:id="6">
    <w:p w:rsidR="00C2599D" w:rsidRPr="00EE621C" w:rsidRDefault="00501CB1" w:rsidP="00501CB1">
      <w:pPr>
        <w:pStyle w:val="FootnoteText"/>
      </w:pPr>
      <w:r>
        <w:tab/>
      </w:r>
      <w:r w:rsidR="00C2599D" w:rsidRPr="006D2F5C">
        <w:rPr>
          <w:rStyle w:val="FootnoteReference"/>
        </w:rPr>
        <w:footnoteRef/>
      </w:r>
      <w:r>
        <w:tab/>
      </w:r>
      <w:r w:rsidR="00A70997">
        <w:t>Counsel</w:t>
      </w:r>
      <w:r w:rsidR="00C2599D" w:rsidRPr="006D2F5C">
        <w:t xml:space="preserve"> submits a copy of a complaint by </w:t>
      </w:r>
      <w:r w:rsidR="00A70997">
        <w:t>the author’s</w:t>
      </w:r>
      <w:r w:rsidR="00A70997" w:rsidRPr="006D2F5C">
        <w:t xml:space="preserve"> </w:t>
      </w:r>
      <w:r w:rsidR="00C2599D" w:rsidRPr="006D2F5C">
        <w:t xml:space="preserve">mother regarding torture and ill-treatment that he </w:t>
      </w:r>
      <w:r w:rsidR="00C2599D" w:rsidRPr="00501CB1">
        <w:t>experienced</w:t>
      </w:r>
      <w:r w:rsidR="00C2599D" w:rsidRPr="006D2F5C">
        <w:t xml:space="preserve"> </w:t>
      </w:r>
      <w:r w:rsidR="005A5C65">
        <w:t>at</w:t>
      </w:r>
      <w:r w:rsidR="005A5C65" w:rsidRPr="006D2F5C">
        <w:t xml:space="preserve"> </w:t>
      </w:r>
      <w:r w:rsidR="00C2599D" w:rsidRPr="006D2F5C">
        <w:t>the hands of police officers. It is unclear, however, whether this complaint, dated 18</w:t>
      </w:r>
      <w:r w:rsidR="00C307EC">
        <w:t> </w:t>
      </w:r>
      <w:r w:rsidR="00C2599D" w:rsidRPr="006D2F5C">
        <w:t>June 2010, was submitted to any authorities and</w:t>
      </w:r>
      <w:r w:rsidR="004B01AD">
        <w:t>,</w:t>
      </w:r>
      <w:r w:rsidR="00C2599D" w:rsidRPr="006D2F5C">
        <w:t xml:space="preserve"> i</w:t>
      </w:r>
      <w:r w:rsidR="00C2599D" w:rsidRPr="00B01D27">
        <w:t xml:space="preserve">f it was, whether the mother received any kind of response. </w:t>
      </w:r>
    </w:p>
  </w:footnote>
  <w:footnote w:id="7">
    <w:p w:rsidR="002014C3" w:rsidRPr="00037AD0" w:rsidRDefault="00501CB1" w:rsidP="00653454">
      <w:pPr>
        <w:pStyle w:val="FootnoteText"/>
      </w:pPr>
      <w:r>
        <w:tab/>
      </w:r>
      <w:r w:rsidR="002014C3" w:rsidRPr="00037AD0">
        <w:rPr>
          <w:rStyle w:val="FootnoteReference"/>
        </w:rPr>
        <w:footnoteRef/>
      </w:r>
      <w:r>
        <w:tab/>
      </w:r>
      <w:r w:rsidR="002014C3" w:rsidRPr="006D2F5C">
        <w:t xml:space="preserve">In </w:t>
      </w:r>
      <w:r w:rsidR="00F76452">
        <w:t>its</w:t>
      </w:r>
      <w:r w:rsidR="002014C3" w:rsidRPr="006D2F5C">
        <w:t xml:space="preserve"> letter, the State party reiterates that it has not taken any obligations under the Optional Protocol to the Covenant. The State party also emphasizes that treatie</w:t>
      </w:r>
      <w:r w:rsidR="002014C3" w:rsidRPr="00037AD0">
        <w:t xml:space="preserve">s such as the Optional Protocol </w:t>
      </w:r>
      <w:r w:rsidR="002014C3" w:rsidRPr="00501CB1">
        <w:t>to</w:t>
      </w:r>
      <w:r w:rsidR="002014C3" w:rsidRPr="00037AD0">
        <w:t xml:space="preserve"> the Covenant</w:t>
      </w:r>
      <w:r w:rsidR="00F76452">
        <w:t xml:space="preserve"> should</w:t>
      </w:r>
      <w:r w:rsidR="002014C3" w:rsidRPr="00037AD0">
        <w:t xml:space="preserve"> be </w:t>
      </w:r>
      <w:r w:rsidR="00F76452">
        <w:t>interpreted</w:t>
      </w:r>
      <w:r w:rsidR="002014C3" w:rsidRPr="00037AD0">
        <w:t xml:space="preserve"> strictly in </w:t>
      </w:r>
      <w:r w:rsidR="00BE5D0F">
        <w:t>accordance</w:t>
      </w:r>
      <w:r w:rsidR="00BE5D0F" w:rsidRPr="00037AD0">
        <w:t xml:space="preserve"> </w:t>
      </w:r>
      <w:r w:rsidR="002014C3" w:rsidRPr="00037AD0">
        <w:t xml:space="preserve">with articles 31, 32 and 33 of the Vienna Convention on the Law of Treaties. </w:t>
      </w:r>
    </w:p>
  </w:footnote>
  <w:footnote w:id="8">
    <w:p w:rsidR="004B44C6" w:rsidRPr="00037AD0" w:rsidRDefault="004B44C6" w:rsidP="004B44C6">
      <w:pPr>
        <w:pStyle w:val="FootnoteText"/>
      </w:pPr>
      <w:r w:rsidRPr="00037AD0">
        <w:tab/>
      </w:r>
      <w:r w:rsidRPr="00037AD0">
        <w:rPr>
          <w:rStyle w:val="FootnoteReference"/>
        </w:rPr>
        <w:footnoteRef/>
      </w:r>
      <w:r w:rsidRPr="00037AD0">
        <w:tab/>
      </w:r>
      <w:r w:rsidRPr="005C7B60">
        <w:t xml:space="preserve">See, inter alia, communications No. 869/1999, </w:t>
      </w:r>
      <w:r w:rsidRPr="00A70997">
        <w:rPr>
          <w:i/>
          <w:iCs/>
        </w:rPr>
        <w:t xml:space="preserve">Piandiong et al. </w:t>
      </w:r>
      <w:r w:rsidR="005F3860" w:rsidRPr="005F3860">
        <w:rPr>
          <w:i/>
          <w:iCs/>
        </w:rPr>
        <w:t>v.</w:t>
      </w:r>
      <w:r w:rsidRPr="00A70997">
        <w:rPr>
          <w:i/>
          <w:iCs/>
        </w:rPr>
        <w:t xml:space="preserve"> the Philippines</w:t>
      </w:r>
      <w:r w:rsidRPr="00A70997">
        <w:t>, Views adopted on 19 October 2000, para. 5.1</w:t>
      </w:r>
      <w:r w:rsidRPr="00B90C4B">
        <w:t>;</w:t>
      </w:r>
      <w:r w:rsidRPr="00DA68AE">
        <w:t xml:space="preserve"> and </w:t>
      </w:r>
      <w:r w:rsidRPr="00F41EDC">
        <w:t>Nos. 1461/2006, 1462/2006, 1476/2006</w:t>
      </w:r>
      <w:r w:rsidR="00A34312" w:rsidRPr="00F41EDC">
        <w:t xml:space="preserve"> </w:t>
      </w:r>
      <w:r w:rsidRPr="00F41EDC">
        <w:t xml:space="preserve">and 1477/2006, </w:t>
      </w:r>
      <w:r w:rsidRPr="00F41EDC">
        <w:rPr>
          <w:i/>
          <w:iCs/>
        </w:rPr>
        <w:t>Maksudov et</w:t>
      </w:r>
      <w:r w:rsidR="00F62807" w:rsidRPr="00AC12BB">
        <w:rPr>
          <w:i/>
          <w:iCs/>
        </w:rPr>
        <w:t> </w:t>
      </w:r>
      <w:r w:rsidRPr="00AC12BB">
        <w:rPr>
          <w:i/>
          <w:iCs/>
        </w:rPr>
        <w:t xml:space="preserve">al. </w:t>
      </w:r>
      <w:r w:rsidR="005F3860" w:rsidRPr="005F3860">
        <w:rPr>
          <w:i/>
          <w:iCs/>
        </w:rPr>
        <w:t>v.</w:t>
      </w:r>
      <w:r w:rsidRPr="00653454">
        <w:rPr>
          <w:i/>
          <w:iCs/>
        </w:rPr>
        <w:t xml:space="preserve"> Kyrgyzstan</w:t>
      </w:r>
      <w:r w:rsidRPr="00653454">
        <w:t>, Views adopted on 16 July 2008, paras. 10.1–10.3.</w:t>
      </w:r>
    </w:p>
  </w:footnote>
  <w:footnote w:id="9">
    <w:p w:rsidR="004B44C6" w:rsidRPr="00BA32A1" w:rsidRDefault="004B44C6" w:rsidP="004B44C6">
      <w:pPr>
        <w:pStyle w:val="FootnoteText"/>
        <w:rPr>
          <w:highlight w:val="yellow"/>
        </w:rPr>
      </w:pPr>
      <w:r w:rsidRPr="00037AD0">
        <w:tab/>
      </w:r>
      <w:r w:rsidRPr="00037AD0">
        <w:rPr>
          <w:rStyle w:val="FootnoteReference"/>
        </w:rPr>
        <w:footnoteRef/>
      </w:r>
      <w:r w:rsidRPr="00037AD0">
        <w:tab/>
      </w:r>
      <w:r w:rsidRPr="005C7B60">
        <w:t xml:space="preserve">See, inter alia, communications No. 1276/2004, </w:t>
      </w:r>
      <w:r w:rsidRPr="00A70997">
        <w:rPr>
          <w:i/>
          <w:iCs/>
        </w:rPr>
        <w:t>Idieva</w:t>
      </w:r>
      <w:r w:rsidRPr="00A70997">
        <w:rPr>
          <w:i/>
        </w:rPr>
        <w:t xml:space="preserve"> </w:t>
      </w:r>
      <w:r w:rsidR="005F3860" w:rsidRPr="005F3860">
        <w:rPr>
          <w:i/>
          <w:iCs/>
        </w:rPr>
        <w:t>v.</w:t>
      </w:r>
      <w:r w:rsidRPr="00BA32A1">
        <w:t xml:space="preserve"> </w:t>
      </w:r>
      <w:r w:rsidRPr="005C7B60">
        <w:rPr>
          <w:i/>
          <w:iCs/>
        </w:rPr>
        <w:t>Tajikistan</w:t>
      </w:r>
      <w:r w:rsidRPr="00A70997">
        <w:t>, Views adopted on 31 March 2009, para. 7.3</w:t>
      </w:r>
      <w:r w:rsidRPr="00B90C4B">
        <w:t>;</w:t>
      </w:r>
      <w:r w:rsidRPr="00DA68AE">
        <w:t xml:space="preserve"> and No. 2120/2011, </w:t>
      </w:r>
      <w:r w:rsidRPr="00F41EDC">
        <w:rPr>
          <w:i/>
          <w:iCs/>
        </w:rPr>
        <w:t xml:space="preserve">Kovaleva and Kozyar </w:t>
      </w:r>
      <w:r w:rsidR="005F3860" w:rsidRPr="005F3860">
        <w:rPr>
          <w:i/>
          <w:iCs/>
        </w:rPr>
        <w:t>v.</w:t>
      </w:r>
      <w:r w:rsidRPr="00F41EDC">
        <w:rPr>
          <w:i/>
          <w:iCs/>
        </w:rPr>
        <w:t xml:space="preserve"> Belarus</w:t>
      </w:r>
      <w:r w:rsidRPr="00F41EDC">
        <w:t>, Views adopted on 29 October 2012, para. 9.4.</w:t>
      </w:r>
    </w:p>
  </w:footnote>
  <w:footnote w:id="10">
    <w:p w:rsidR="004B44C6" w:rsidRPr="00037AD0" w:rsidRDefault="004B44C6" w:rsidP="004B44C6">
      <w:pPr>
        <w:pStyle w:val="FootnoteText"/>
      </w:pPr>
      <w:r w:rsidRPr="005C7B60">
        <w:tab/>
      </w:r>
      <w:r w:rsidRPr="00A70997">
        <w:rPr>
          <w:rStyle w:val="FootnoteReference"/>
        </w:rPr>
        <w:footnoteRef/>
      </w:r>
      <w:r w:rsidRPr="00A70997">
        <w:tab/>
        <w:t xml:space="preserve">See, inter alia, communications No. 964/2001, </w:t>
      </w:r>
      <w:r w:rsidRPr="00A70997">
        <w:rPr>
          <w:i/>
          <w:iCs/>
        </w:rPr>
        <w:t xml:space="preserve">Saidova </w:t>
      </w:r>
      <w:r w:rsidR="005F3860" w:rsidRPr="005F3860">
        <w:rPr>
          <w:i/>
          <w:iCs/>
        </w:rPr>
        <w:t>v.</w:t>
      </w:r>
      <w:r w:rsidRPr="00A70997">
        <w:rPr>
          <w:i/>
          <w:iCs/>
        </w:rPr>
        <w:t xml:space="preserve"> Tajikistan</w:t>
      </w:r>
      <w:r w:rsidRPr="00A70997">
        <w:t xml:space="preserve">, Views adopted on 8 July 2004, para. 4.4; No. 1280/2004, </w:t>
      </w:r>
      <w:r w:rsidRPr="00B90C4B">
        <w:rPr>
          <w:i/>
          <w:iCs/>
        </w:rPr>
        <w:t xml:space="preserve">Tolipkhuzhaev </w:t>
      </w:r>
      <w:r w:rsidR="005F3860" w:rsidRPr="005F3860">
        <w:rPr>
          <w:i/>
          <w:iCs/>
        </w:rPr>
        <w:t>v.</w:t>
      </w:r>
      <w:r w:rsidRPr="00F41EDC">
        <w:rPr>
          <w:i/>
          <w:iCs/>
        </w:rPr>
        <w:t xml:space="preserve"> Uzbekistan</w:t>
      </w:r>
      <w:r w:rsidRPr="00F41EDC">
        <w:t xml:space="preserve">, Views adopted on 22 July 2009, para. 6.4; and </w:t>
      </w:r>
      <w:r w:rsidRPr="00F41EDC">
        <w:rPr>
          <w:i/>
          <w:iCs/>
        </w:rPr>
        <w:t xml:space="preserve">Kovaleva and Kozyar </w:t>
      </w:r>
      <w:r w:rsidR="005F3860" w:rsidRPr="005F3860">
        <w:rPr>
          <w:i/>
          <w:iCs/>
        </w:rPr>
        <w:t>v.</w:t>
      </w:r>
      <w:r w:rsidRPr="00F41EDC">
        <w:rPr>
          <w:i/>
        </w:rPr>
        <w:t xml:space="preserve"> </w:t>
      </w:r>
      <w:r w:rsidRPr="00BA32A1">
        <w:rPr>
          <w:i/>
        </w:rPr>
        <w:t>Belarus</w:t>
      </w:r>
      <w:r w:rsidRPr="005C7B60">
        <w:t>, para. 9.5.</w:t>
      </w:r>
    </w:p>
  </w:footnote>
  <w:footnote w:id="11">
    <w:p w:rsidR="004B44C6" w:rsidRPr="00BA32A1" w:rsidRDefault="00501CB1" w:rsidP="00653454">
      <w:pPr>
        <w:pStyle w:val="FootnoteText"/>
        <w:rPr>
          <w:highlight w:val="yellow"/>
        </w:rPr>
      </w:pPr>
      <w:r>
        <w:tab/>
      </w:r>
      <w:r w:rsidR="004B44C6" w:rsidRPr="00037AD0">
        <w:rPr>
          <w:rStyle w:val="FootnoteReference"/>
        </w:rPr>
        <w:footnoteRef/>
      </w:r>
      <w:r>
        <w:tab/>
      </w:r>
      <w:r w:rsidR="004B44C6" w:rsidRPr="005C7B60">
        <w:t>See the Committee’s</w:t>
      </w:r>
      <w:r w:rsidR="004B44C6" w:rsidRPr="00A70997">
        <w:t xml:space="preserve"> general comment No. 20 (1992) on the prohibition of torture or cruel, inhuman or degrading treatment or punishment</w:t>
      </w:r>
      <w:r w:rsidR="00900135">
        <w:t>,</w:t>
      </w:r>
      <w:r w:rsidR="004B44C6" w:rsidRPr="00A70997">
        <w:t xml:space="preserve"> para. 14</w:t>
      </w:r>
      <w:r w:rsidR="004B44C6" w:rsidRPr="00B90C4B">
        <w:t>.</w:t>
      </w:r>
    </w:p>
  </w:footnote>
  <w:footnote w:id="12">
    <w:p w:rsidR="004B44C6" w:rsidRPr="00BA32A1" w:rsidRDefault="00501CB1" w:rsidP="00501CB1">
      <w:pPr>
        <w:pStyle w:val="FootnoteText"/>
        <w:rPr>
          <w:highlight w:val="yellow"/>
        </w:rPr>
      </w:pPr>
      <w:r w:rsidRPr="005C7B60">
        <w:tab/>
      </w:r>
      <w:r w:rsidR="004B44C6" w:rsidRPr="005C7B60">
        <w:rPr>
          <w:rStyle w:val="FootnoteReference"/>
        </w:rPr>
        <w:footnoteRef/>
      </w:r>
      <w:r w:rsidRPr="00A70997">
        <w:tab/>
      </w:r>
      <w:r w:rsidR="004B44C6" w:rsidRPr="00B90C4B">
        <w:t xml:space="preserve">See, for example, general comment No. 32 </w:t>
      </w:r>
      <w:r w:rsidR="004B44C6" w:rsidRPr="00DA68AE">
        <w:t>(2007)</w:t>
      </w:r>
      <w:r w:rsidR="004B44C6" w:rsidRPr="00AC12BB">
        <w:t xml:space="preserve">, para. 41; and </w:t>
      </w:r>
      <w:r w:rsidR="004B44C6" w:rsidRPr="006B35EB">
        <w:t xml:space="preserve">communications No. 330/1988, </w:t>
      </w:r>
      <w:r w:rsidR="004B44C6" w:rsidRPr="00653454">
        <w:rPr>
          <w:i/>
          <w:iCs/>
        </w:rPr>
        <w:t>Berry</w:t>
      </w:r>
      <w:r w:rsidR="004B44C6" w:rsidRPr="00202742">
        <w:rPr>
          <w:i/>
        </w:rPr>
        <w:t xml:space="preserve"> </w:t>
      </w:r>
      <w:r w:rsidR="005F3860" w:rsidRPr="005F3860">
        <w:rPr>
          <w:i/>
          <w:iCs/>
        </w:rPr>
        <w:t>v.</w:t>
      </w:r>
      <w:r w:rsidR="004B44C6" w:rsidRPr="00202742">
        <w:rPr>
          <w:i/>
        </w:rPr>
        <w:t xml:space="preserve"> </w:t>
      </w:r>
      <w:r w:rsidR="004B44C6" w:rsidRPr="00653454">
        <w:rPr>
          <w:i/>
          <w:iCs/>
        </w:rPr>
        <w:t>Jamaica</w:t>
      </w:r>
      <w:r w:rsidR="004B44C6" w:rsidRPr="00653454">
        <w:t>, Views adopted on 4</w:t>
      </w:r>
      <w:r w:rsidR="00FE5CF0" w:rsidRPr="00653454">
        <w:t> </w:t>
      </w:r>
      <w:r w:rsidR="004B44C6" w:rsidRPr="00653454">
        <w:t xml:space="preserve">July 1994, para. 11.7; No. 1033/2001, </w:t>
      </w:r>
      <w:r w:rsidR="004B44C6" w:rsidRPr="00653454">
        <w:rPr>
          <w:i/>
          <w:iCs/>
        </w:rPr>
        <w:t xml:space="preserve">Singarasa </w:t>
      </w:r>
      <w:r w:rsidR="005F3860" w:rsidRPr="005F3860">
        <w:rPr>
          <w:i/>
          <w:iCs/>
        </w:rPr>
        <w:t>v.</w:t>
      </w:r>
      <w:r w:rsidR="004B44C6" w:rsidRPr="00653454">
        <w:rPr>
          <w:i/>
          <w:iCs/>
        </w:rPr>
        <w:t xml:space="preserve"> Sri Lanka</w:t>
      </w:r>
      <w:r w:rsidR="004B44C6" w:rsidRPr="00653454">
        <w:t xml:space="preserve">, Views adopted on 21 July 2004, para. 7.4; and No. 1769/2008, </w:t>
      </w:r>
      <w:r w:rsidR="004B44C6" w:rsidRPr="00653454">
        <w:rPr>
          <w:i/>
          <w:iCs/>
        </w:rPr>
        <w:t xml:space="preserve">Ismailov </w:t>
      </w:r>
      <w:r w:rsidR="005F3860" w:rsidRPr="005F3860">
        <w:rPr>
          <w:i/>
          <w:iCs/>
        </w:rPr>
        <w:t>v.</w:t>
      </w:r>
      <w:r w:rsidR="004B44C6" w:rsidRPr="00653454">
        <w:rPr>
          <w:i/>
          <w:iCs/>
        </w:rPr>
        <w:t xml:space="preserve"> Uzbekistan</w:t>
      </w:r>
      <w:r w:rsidR="004B44C6" w:rsidRPr="00653454">
        <w:t>, Views adopted on 25 March 2011, para. 7.6.</w:t>
      </w:r>
    </w:p>
  </w:footnote>
  <w:footnote w:id="13">
    <w:p w:rsidR="004B44C6" w:rsidRPr="00BA32A1" w:rsidRDefault="00501CB1" w:rsidP="00501CB1">
      <w:pPr>
        <w:pStyle w:val="FootnoteText"/>
        <w:rPr>
          <w:highlight w:val="yellow"/>
        </w:rPr>
      </w:pPr>
      <w:r w:rsidRPr="005C7B60">
        <w:tab/>
      </w:r>
      <w:r w:rsidR="004B44C6" w:rsidRPr="005C7B60">
        <w:rPr>
          <w:rStyle w:val="FootnoteReference"/>
        </w:rPr>
        <w:footnoteRef/>
      </w:r>
      <w:r w:rsidRPr="005C7B60">
        <w:tab/>
      </w:r>
      <w:r w:rsidR="004B44C6" w:rsidRPr="005C7B60">
        <w:t>See, for example, general comment No. 32, para. 60</w:t>
      </w:r>
      <w:r w:rsidR="004B44C6" w:rsidRPr="00A70997">
        <w:t>; and</w:t>
      </w:r>
      <w:r w:rsidR="004B44C6" w:rsidRPr="00B90C4B">
        <w:t xml:space="preserve"> communications No. 1401/2005, </w:t>
      </w:r>
      <w:r w:rsidR="004B44C6" w:rsidRPr="00DA68AE">
        <w:rPr>
          <w:i/>
          <w:iCs/>
        </w:rPr>
        <w:t xml:space="preserve">Kirpo </w:t>
      </w:r>
      <w:r w:rsidR="005F3860" w:rsidRPr="005F3860">
        <w:rPr>
          <w:i/>
          <w:iCs/>
        </w:rPr>
        <w:t>v.</w:t>
      </w:r>
      <w:r w:rsidR="004B44C6" w:rsidRPr="00653454">
        <w:rPr>
          <w:i/>
          <w:iCs/>
        </w:rPr>
        <w:t xml:space="preserve"> Tajikistan</w:t>
      </w:r>
      <w:r w:rsidR="004B44C6" w:rsidRPr="00653454">
        <w:t xml:space="preserve">, Views adopted on 27 October 2009, para. 6.3; and No. 1545/2007, </w:t>
      </w:r>
      <w:r w:rsidR="004B44C6" w:rsidRPr="00653454">
        <w:rPr>
          <w:i/>
          <w:iCs/>
        </w:rPr>
        <w:t xml:space="preserve">Gunan </w:t>
      </w:r>
      <w:r w:rsidR="005F3860" w:rsidRPr="005F3860">
        <w:rPr>
          <w:i/>
          <w:iCs/>
        </w:rPr>
        <w:t>v.</w:t>
      </w:r>
      <w:r w:rsidR="004B44C6" w:rsidRPr="00653454">
        <w:rPr>
          <w:i/>
          <w:iCs/>
        </w:rPr>
        <w:t xml:space="preserve"> Kyrgyzstan</w:t>
      </w:r>
      <w:r w:rsidR="004B44C6" w:rsidRPr="00653454">
        <w:t>, Views adopted on 25 July 2011, para. 6.2.</w:t>
      </w:r>
    </w:p>
  </w:footnote>
  <w:footnote w:id="14">
    <w:p w:rsidR="005429C4" w:rsidRPr="00976956" w:rsidRDefault="005429C4" w:rsidP="005429C4">
      <w:pPr>
        <w:pStyle w:val="FootnoteText"/>
      </w:pPr>
      <w:r w:rsidRPr="005C7B60">
        <w:tab/>
      </w:r>
      <w:r w:rsidRPr="005C7B60">
        <w:rPr>
          <w:rStyle w:val="FootnoteReference"/>
        </w:rPr>
        <w:footnoteRef/>
      </w:r>
      <w:r w:rsidRPr="005C7B60">
        <w:tab/>
        <w:t>General</w:t>
      </w:r>
      <w:r w:rsidRPr="00A70997">
        <w:t xml:space="preserve"> comment No.</w:t>
      </w:r>
      <w:r w:rsidR="00D20CCA" w:rsidRPr="00B90C4B">
        <w:t> </w:t>
      </w:r>
      <w:r w:rsidRPr="00AC12BB">
        <w:t>35 (2014)</w:t>
      </w:r>
      <w:r w:rsidR="005C7B60">
        <w:t xml:space="preserve"> on liberty and security of person</w:t>
      </w:r>
      <w:r w:rsidRPr="005C7B60">
        <w:t>, para.</w:t>
      </w:r>
      <w:r w:rsidR="00D20CCA" w:rsidRPr="005C7B60">
        <w:t> </w:t>
      </w:r>
      <w:r w:rsidRPr="005C7B60">
        <w:t>33.</w:t>
      </w:r>
      <w:r>
        <w:t xml:space="preserve"> </w:t>
      </w:r>
    </w:p>
  </w:footnote>
  <w:footnote w:id="15">
    <w:p w:rsidR="003D42FB" w:rsidRPr="00653454" w:rsidRDefault="00501CB1" w:rsidP="00423B30">
      <w:pPr>
        <w:pStyle w:val="FootnoteText"/>
        <w:rPr>
          <w:highlight w:val="yellow"/>
        </w:rPr>
      </w:pPr>
      <w:r w:rsidRPr="005429C4">
        <w:tab/>
      </w:r>
      <w:r w:rsidR="003D42FB" w:rsidRPr="00037AD0">
        <w:rPr>
          <w:rStyle w:val="FootnoteReference"/>
        </w:rPr>
        <w:footnoteRef/>
      </w:r>
      <w:r w:rsidRPr="005429C4">
        <w:tab/>
      </w:r>
      <w:r w:rsidR="003D42FB" w:rsidRPr="005C7B60">
        <w:t>See, for example, communications No.</w:t>
      </w:r>
      <w:r w:rsidR="00E00013" w:rsidRPr="005C7B60">
        <w:t> </w:t>
      </w:r>
      <w:r w:rsidR="003D42FB" w:rsidRPr="005C7B60">
        <w:t xml:space="preserve">770/1997, </w:t>
      </w:r>
      <w:r w:rsidR="003D42FB" w:rsidRPr="00A70997">
        <w:rPr>
          <w:i/>
          <w:iCs/>
        </w:rPr>
        <w:t>Gridin</w:t>
      </w:r>
      <w:r w:rsidR="003D42FB" w:rsidRPr="00B90C4B">
        <w:rPr>
          <w:i/>
        </w:rPr>
        <w:t xml:space="preserve"> </w:t>
      </w:r>
      <w:r w:rsidR="005F3860" w:rsidRPr="005F3860">
        <w:rPr>
          <w:i/>
          <w:iCs/>
        </w:rPr>
        <w:t>v.</w:t>
      </w:r>
      <w:r w:rsidR="003D42FB" w:rsidRPr="00BA32A1">
        <w:rPr>
          <w:i/>
        </w:rPr>
        <w:t xml:space="preserve"> </w:t>
      </w:r>
      <w:r w:rsidR="003D42FB" w:rsidRPr="005C7B60">
        <w:rPr>
          <w:i/>
          <w:iCs/>
        </w:rPr>
        <w:t>Russian Federation</w:t>
      </w:r>
      <w:r w:rsidR="003D42FB" w:rsidRPr="005C7B60">
        <w:t>, Views adopted on 20</w:t>
      </w:r>
      <w:r w:rsidR="003809A9" w:rsidRPr="005C7B60">
        <w:t> </w:t>
      </w:r>
      <w:r w:rsidR="003D42FB" w:rsidRPr="00A70997">
        <w:t xml:space="preserve">July </w:t>
      </w:r>
      <w:r w:rsidR="003D42FB" w:rsidRPr="00B90C4B">
        <w:t>2000, para.</w:t>
      </w:r>
      <w:r w:rsidR="003809A9" w:rsidRPr="00DA68AE">
        <w:t> </w:t>
      </w:r>
      <w:r w:rsidR="003D42FB" w:rsidRPr="00653454">
        <w:t>8.3; No.</w:t>
      </w:r>
      <w:r w:rsidR="003809A9" w:rsidRPr="00653454">
        <w:t> </w:t>
      </w:r>
      <w:r w:rsidR="003D42FB" w:rsidRPr="00653454">
        <w:t xml:space="preserve">1520/2006, </w:t>
      </w:r>
      <w:r w:rsidR="003D42FB" w:rsidRPr="00653454">
        <w:rPr>
          <w:i/>
        </w:rPr>
        <w:t xml:space="preserve">Mwamba </w:t>
      </w:r>
      <w:r w:rsidR="005F3860" w:rsidRPr="005F3860">
        <w:rPr>
          <w:i/>
          <w:iCs/>
        </w:rPr>
        <w:t>v.</w:t>
      </w:r>
      <w:r w:rsidR="003D42FB" w:rsidRPr="00653454">
        <w:rPr>
          <w:i/>
        </w:rPr>
        <w:t xml:space="preserve"> Zambia</w:t>
      </w:r>
      <w:r w:rsidR="003D42FB" w:rsidRPr="00653454">
        <w:t>, Views adopted on 10 March 2010, para.</w:t>
      </w:r>
      <w:r w:rsidR="003809A9" w:rsidRPr="00653454">
        <w:t> </w:t>
      </w:r>
      <w:r w:rsidR="003D42FB" w:rsidRPr="00653454">
        <w:t>6.5.</w:t>
      </w:r>
    </w:p>
  </w:footnote>
  <w:footnote w:id="16">
    <w:p w:rsidR="003D42FB" w:rsidRPr="00653454" w:rsidRDefault="00501CB1" w:rsidP="00501CB1">
      <w:pPr>
        <w:pStyle w:val="FootnoteText"/>
        <w:rPr>
          <w:highlight w:val="yellow"/>
        </w:rPr>
      </w:pPr>
      <w:r w:rsidRPr="00653454">
        <w:tab/>
      </w:r>
      <w:r w:rsidR="003D42FB" w:rsidRPr="00653454">
        <w:rPr>
          <w:rStyle w:val="FootnoteReference"/>
        </w:rPr>
        <w:footnoteRef/>
      </w:r>
      <w:r w:rsidRPr="00653454">
        <w:tab/>
      </w:r>
      <w:r w:rsidR="003D42FB" w:rsidRPr="00653454">
        <w:t xml:space="preserve">See </w:t>
      </w:r>
      <w:r w:rsidR="00900135">
        <w:t xml:space="preserve">the </w:t>
      </w:r>
      <w:r w:rsidR="003D42FB" w:rsidRPr="00653454">
        <w:t>Committee’s general comment No.</w:t>
      </w:r>
      <w:r w:rsidR="00F217F1" w:rsidRPr="00653454">
        <w:t> </w:t>
      </w:r>
      <w:r w:rsidR="003D42FB" w:rsidRPr="00653454">
        <w:t>32, para.</w:t>
      </w:r>
      <w:r w:rsidR="003809A9" w:rsidRPr="00653454">
        <w:t> </w:t>
      </w:r>
      <w:r w:rsidR="003D42FB" w:rsidRPr="00653454">
        <w:t>30.</w:t>
      </w:r>
    </w:p>
  </w:footnote>
  <w:footnote w:id="17">
    <w:p w:rsidR="00035143" w:rsidRPr="00035143" w:rsidRDefault="005429C4" w:rsidP="00423B30">
      <w:pPr>
        <w:pStyle w:val="FootnoteText"/>
      </w:pPr>
      <w:r w:rsidRPr="00653454">
        <w:tab/>
      </w:r>
      <w:r w:rsidR="00035143" w:rsidRPr="00653454">
        <w:rPr>
          <w:rStyle w:val="FootnoteReference"/>
        </w:rPr>
        <w:footnoteRef/>
      </w:r>
      <w:r w:rsidRPr="00653454">
        <w:tab/>
      </w:r>
      <w:r w:rsidR="00035143" w:rsidRPr="00653454">
        <w:t>See communication No.</w:t>
      </w:r>
      <w:r w:rsidR="003809A9" w:rsidRPr="00653454">
        <w:t> </w:t>
      </w:r>
      <w:r w:rsidR="00035143" w:rsidRPr="00653454">
        <w:t xml:space="preserve">1405/2005, </w:t>
      </w:r>
      <w:r w:rsidR="00035143" w:rsidRPr="00BA32A1">
        <w:rPr>
          <w:i/>
        </w:rPr>
        <w:t>Pustovoit</w:t>
      </w:r>
      <w:r w:rsidR="00035143" w:rsidRPr="005C7B60">
        <w:rPr>
          <w:i/>
        </w:rPr>
        <w:t xml:space="preserve"> </w:t>
      </w:r>
      <w:r w:rsidR="005F3860" w:rsidRPr="005F3860">
        <w:rPr>
          <w:i/>
          <w:iCs/>
        </w:rPr>
        <w:t>v.</w:t>
      </w:r>
      <w:r w:rsidR="00035143" w:rsidRPr="005C7B60">
        <w:rPr>
          <w:i/>
        </w:rPr>
        <w:t xml:space="preserve"> Ukraine</w:t>
      </w:r>
      <w:r w:rsidR="00035143" w:rsidRPr="005C7B60">
        <w:t>, Views adopted on 20 March 2013, para.</w:t>
      </w:r>
      <w:r w:rsidR="003809A9" w:rsidRPr="00B90C4B">
        <w:t> </w:t>
      </w:r>
      <w:r w:rsidR="00035143" w:rsidRPr="00DA68AE">
        <w:t>9.2.</w:t>
      </w:r>
    </w:p>
  </w:footnote>
  <w:footnote w:id="18">
    <w:p w:rsidR="004B44C6" w:rsidRPr="00037AD0" w:rsidRDefault="004B44C6" w:rsidP="00501CB1">
      <w:pPr>
        <w:pStyle w:val="FootnoteText"/>
      </w:pPr>
      <w:r w:rsidRPr="00037AD0">
        <w:tab/>
      </w:r>
      <w:r w:rsidRPr="00037AD0">
        <w:rPr>
          <w:rStyle w:val="FootnoteReference"/>
        </w:rPr>
        <w:footnoteRef/>
      </w:r>
      <w:r w:rsidRPr="00037AD0">
        <w:tab/>
      </w:r>
      <w:r w:rsidRPr="006D2F5C">
        <w:t>S</w:t>
      </w:r>
      <w:r w:rsidRPr="00037AD0">
        <w:t xml:space="preserve">ee also </w:t>
      </w:r>
      <w:r w:rsidRPr="00501CB1">
        <w:t>communication</w:t>
      </w:r>
      <w:r w:rsidRPr="00037AD0">
        <w:t xml:space="preserve"> No. 253/1987, </w:t>
      </w:r>
      <w:r w:rsidRPr="00037AD0">
        <w:rPr>
          <w:i/>
        </w:rPr>
        <w:t>Kelly</w:t>
      </w:r>
      <w:r w:rsidRPr="005C7B60">
        <w:rPr>
          <w:i/>
          <w:iCs/>
        </w:rPr>
        <w:t xml:space="preserve"> </w:t>
      </w:r>
      <w:r w:rsidR="005F3860" w:rsidRPr="005F3860">
        <w:rPr>
          <w:i/>
          <w:iCs/>
        </w:rPr>
        <w:t>v.</w:t>
      </w:r>
      <w:r w:rsidRPr="00BA32A1">
        <w:rPr>
          <w:iCs/>
        </w:rPr>
        <w:t xml:space="preserve"> </w:t>
      </w:r>
      <w:r w:rsidRPr="00037AD0">
        <w:rPr>
          <w:i/>
        </w:rPr>
        <w:t>Jamaica</w:t>
      </w:r>
      <w:r w:rsidRPr="00037AD0">
        <w:t>, Views adopted on 8 April 1991, para. 5.14.</w:t>
      </w:r>
    </w:p>
  </w:footnote>
  <w:footnote w:id="19">
    <w:p w:rsidR="004B44C6" w:rsidRPr="00037AD0" w:rsidRDefault="004B44C6" w:rsidP="00501CB1">
      <w:pPr>
        <w:pStyle w:val="FootnoteText"/>
      </w:pPr>
      <w:r w:rsidRPr="00037AD0">
        <w:tab/>
      </w:r>
      <w:r w:rsidRPr="00037AD0">
        <w:rPr>
          <w:rStyle w:val="FootnoteReference"/>
        </w:rPr>
        <w:footnoteRef/>
      </w:r>
      <w:r w:rsidR="00037AD0">
        <w:tab/>
      </w:r>
      <w:r w:rsidRPr="00037AD0">
        <w:t xml:space="preserve">See </w:t>
      </w:r>
      <w:r w:rsidRPr="00501CB1">
        <w:t>general</w:t>
      </w:r>
      <w:r w:rsidRPr="00037AD0">
        <w:t xml:space="preserve"> comment No. 32, para. 59</w:t>
      </w:r>
      <w:r w:rsidRPr="006D2F5C">
        <w:t>; and</w:t>
      </w:r>
      <w:r w:rsidRPr="00037AD0">
        <w:t xml:space="preserve"> communications No. 719/1996, </w:t>
      </w:r>
      <w:r w:rsidRPr="00037AD0">
        <w:rPr>
          <w:i/>
          <w:iCs/>
        </w:rPr>
        <w:t xml:space="preserve">Levy </w:t>
      </w:r>
      <w:r w:rsidR="005F3860" w:rsidRPr="005F3860">
        <w:rPr>
          <w:i/>
          <w:iCs/>
        </w:rPr>
        <w:t>v.</w:t>
      </w:r>
      <w:r w:rsidRPr="00BA32A1">
        <w:rPr>
          <w:iCs/>
        </w:rPr>
        <w:t xml:space="preserve"> </w:t>
      </w:r>
      <w:r w:rsidRPr="00037AD0">
        <w:rPr>
          <w:i/>
          <w:iCs/>
        </w:rPr>
        <w:t>Jamaica</w:t>
      </w:r>
      <w:r w:rsidRPr="00037AD0">
        <w:t xml:space="preserve">, Views adopted on 3 November 1998, para. 7.3; No. 1096/2002, </w:t>
      </w:r>
      <w:r w:rsidRPr="00037AD0">
        <w:rPr>
          <w:i/>
          <w:iCs/>
        </w:rPr>
        <w:t xml:space="preserve">Kurbanov </w:t>
      </w:r>
      <w:r w:rsidR="005F3860" w:rsidRPr="005F3860">
        <w:rPr>
          <w:i/>
          <w:iCs/>
        </w:rPr>
        <w:t>v.</w:t>
      </w:r>
      <w:r w:rsidRPr="00037AD0">
        <w:rPr>
          <w:i/>
          <w:iCs/>
        </w:rPr>
        <w:t xml:space="preserve"> Tajikistan</w:t>
      </w:r>
      <w:r w:rsidRPr="00037AD0">
        <w:t>, Views adopted on 6</w:t>
      </w:r>
      <w:r w:rsidR="003809A9">
        <w:t> </w:t>
      </w:r>
      <w:r w:rsidRPr="00037AD0">
        <w:t xml:space="preserve">November 2003, para. 7.7; No. 1044/2002, </w:t>
      </w:r>
      <w:r w:rsidRPr="00037AD0">
        <w:rPr>
          <w:i/>
          <w:iCs/>
        </w:rPr>
        <w:t>Shukurova</w:t>
      </w:r>
      <w:r w:rsidRPr="005C7B60">
        <w:rPr>
          <w:i/>
        </w:rPr>
        <w:t xml:space="preserve"> </w:t>
      </w:r>
      <w:r w:rsidR="005F3860" w:rsidRPr="005F3860">
        <w:rPr>
          <w:i/>
          <w:iCs/>
        </w:rPr>
        <w:t>v.</w:t>
      </w:r>
      <w:r w:rsidRPr="005C7B60">
        <w:rPr>
          <w:i/>
        </w:rPr>
        <w:t xml:space="preserve"> </w:t>
      </w:r>
      <w:r w:rsidRPr="00037AD0">
        <w:rPr>
          <w:i/>
          <w:iCs/>
        </w:rPr>
        <w:t>Tajikistan</w:t>
      </w:r>
      <w:r w:rsidRPr="00037AD0">
        <w:t xml:space="preserve">, Views adopted on 17 March 2006, para. 8.6; No. 1276/2004, </w:t>
      </w:r>
      <w:r w:rsidRPr="00037AD0">
        <w:rPr>
          <w:i/>
          <w:iCs/>
        </w:rPr>
        <w:t xml:space="preserve">Idieva </w:t>
      </w:r>
      <w:r w:rsidR="005F3860" w:rsidRPr="005F3860">
        <w:rPr>
          <w:i/>
          <w:iCs/>
        </w:rPr>
        <w:t>v.</w:t>
      </w:r>
      <w:r w:rsidRPr="00037AD0">
        <w:rPr>
          <w:i/>
          <w:iCs/>
        </w:rPr>
        <w:t xml:space="preserve"> Tajikistan</w:t>
      </w:r>
      <w:r w:rsidRPr="00037AD0">
        <w:t xml:space="preserve">, Views adopted on 31 March 2009, para. 9.7; No. 1304/2004, </w:t>
      </w:r>
      <w:r w:rsidRPr="00037AD0">
        <w:rPr>
          <w:i/>
          <w:iCs/>
        </w:rPr>
        <w:t xml:space="preserve">Khoroshenko </w:t>
      </w:r>
      <w:r w:rsidR="005F3860" w:rsidRPr="005F3860">
        <w:rPr>
          <w:i/>
          <w:iCs/>
        </w:rPr>
        <w:t>v.</w:t>
      </w:r>
      <w:r w:rsidRPr="00037AD0">
        <w:rPr>
          <w:i/>
          <w:iCs/>
        </w:rPr>
        <w:t xml:space="preserve"> Russian Federation</w:t>
      </w:r>
      <w:r w:rsidRPr="00037AD0">
        <w:t>, Views adopted on 29 March 2011, para. 9.11;</w:t>
      </w:r>
      <w:r w:rsidRPr="006D2F5C">
        <w:t xml:space="preserve"> and</w:t>
      </w:r>
      <w:r w:rsidRPr="00037AD0">
        <w:t xml:space="preserve"> No. 1545/2007, </w:t>
      </w:r>
      <w:r w:rsidRPr="00037AD0">
        <w:rPr>
          <w:i/>
          <w:iCs/>
        </w:rPr>
        <w:t xml:space="preserve">Gunan </w:t>
      </w:r>
      <w:r w:rsidR="005F3860" w:rsidRPr="005F3860">
        <w:rPr>
          <w:i/>
          <w:iCs/>
        </w:rPr>
        <w:t>v.</w:t>
      </w:r>
      <w:r w:rsidRPr="00037AD0">
        <w:rPr>
          <w:i/>
          <w:iCs/>
        </w:rPr>
        <w:t xml:space="preserve"> Kyrgyzstan</w:t>
      </w:r>
      <w:r w:rsidRPr="00037AD0">
        <w:t xml:space="preserve">, Views adopted on 25 July 2011, para. 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1" w:rsidRPr="00781C83" w:rsidRDefault="00DA10B1" w:rsidP="00781C83">
    <w:pPr>
      <w:pStyle w:val="Header"/>
    </w:pPr>
    <w:r>
      <w:t>CCPR/C/11</w:t>
    </w:r>
    <w:r w:rsidR="00326293">
      <w:t>3</w:t>
    </w:r>
    <w:r>
      <w:t>/D/20</w:t>
    </w:r>
    <w:r w:rsidR="001A3477">
      <w:t>13</w:t>
    </w:r>
    <w:r>
      <w:t>/2010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1" w:rsidRPr="00781C83" w:rsidRDefault="00DA10B1" w:rsidP="00781C83">
    <w:pPr>
      <w:pStyle w:val="Header"/>
      <w:jc w:val="right"/>
    </w:pPr>
    <w:r>
      <w:t>CCPR/C/113/D/20</w:t>
    </w:r>
    <w:r w:rsidR="001A3477">
      <w:t>13</w:t>
    </w:r>
    <w: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5"/>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729"/>
    <w:rsid w:val="00001C66"/>
    <w:rsid w:val="0000256E"/>
    <w:rsid w:val="000044E2"/>
    <w:rsid w:val="00004609"/>
    <w:rsid w:val="000170C3"/>
    <w:rsid w:val="00023024"/>
    <w:rsid w:val="000254A9"/>
    <w:rsid w:val="00025D41"/>
    <w:rsid w:val="0002635B"/>
    <w:rsid w:val="00026C96"/>
    <w:rsid w:val="000272B3"/>
    <w:rsid w:val="000308D4"/>
    <w:rsid w:val="00032252"/>
    <w:rsid w:val="0003387B"/>
    <w:rsid w:val="00033CA8"/>
    <w:rsid w:val="00035143"/>
    <w:rsid w:val="00036F3F"/>
    <w:rsid w:val="000377A5"/>
    <w:rsid w:val="00037AD0"/>
    <w:rsid w:val="0004092D"/>
    <w:rsid w:val="00041994"/>
    <w:rsid w:val="00044639"/>
    <w:rsid w:val="00050F6B"/>
    <w:rsid w:val="00051509"/>
    <w:rsid w:val="000547DC"/>
    <w:rsid w:val="00055FFE"/>
    <w:rsid w:val="0005782B"/>
    <w:rsid w:val="00057E97"/>
    <w:rsid w:val="0006027B"/>
    <w:rsid w:val="0006055C"/>
    <w:rsid w:val="00060C3A"/>
    <w:rsid w:val="00065867"/>
    <w:rsid w:val="00066439"/>
    <w:rsid w:val="00066476"/>
    <w:rsid w:val="0006682B"/>
    <w:rsid w:val="00072C8C"/>
    <w:rsid w:val="00073226"/>
    <w:rsid w:val="000733B5"/>
    <w:rsid w:val="00074DF8"/>
    <w:rsid w:val="00075EAD"/>
    <w:rsid w:val="00081815"/>
    <w:rsid w:val="00081BF7"/>
    <w:rsid w:val="0008245C"/>
    <w:rsid w:val="00090DEA"/>
    <w:rsid w:val="00091F15"/>
    <w:rsid w:val="00092E23"/>
    <w:rsid w:val="000931C0"/>
    <w:rsid w:val="0009482E"/>
    <w:rsid w:val="00096199"/>
    <w:rsid w:val="000970C1"/>
    <w:rsid w:val="000A310C"/>
    <w:rsid w:val="000A5559"/>
    <w:rsid w:val="000B02C3"/>
    <w:rsid w:val="000B1424"/>
    <w:rsid w:val="000B175B"/>
    <w:rsid w:val="000B1788"/>
    <w:rsid w:val="000B20E9"/>
    <w:rsid w:val="000B3A0F"/>
    <w:rsid w:val="000B4EF7"/>
    <w:rsid w:val="000C2AB9"/>
    <w:rsid w:val="000C2C03"/>
    <w:rsid w:val="000C2D2E"/>
    <w:rsid w:val="000C2E06"/>
    <w:rsid w:val="000C46B7"/>
    <w:rsid w:val="000C4DA0"/>
    <w:rsid w:val="000C6635"/>
    <w:rsid w:val="000C7E5C"/>
    <w:rsid w:val="000D0858"/>
    <w:rsid w:val="000D0ABB"/>
    <w:rsid w:val="000D32DE"/>
    <w:rsid w:val="000D50C4"/>
    <w:rsid w:val="000E0415"/>
    <w:rsid w:val="000E1E5F"/>
    <w:rsid w:val="000E20F8"/>
    <w:rsid w:val="000E4A6F"/>
    <w:rsid w:val="000F39F9"/>
    <w:rsid w:val="000F45D6"/>
    <w:rsid w:val="000F6A6B"/>
    <w:rsid w:val="000F7273"/>
    <w:rsid w:val="000F7E69"/>
    <w:rsid w:val="00100C94"/>
    <w:rsid w:val="001037D9"/>
    <w:rsid w:val="00104A40"/>
    <w:rsid w:val="00110278"/>
    <w:rsid w:val="001103AA"/>
    <w:rsid w:val="001114B3"/>
    <w:rsid w:val="001133DB"/>
    <w:rsid w:val="00117506"/>
    <w:rsid w:val="0011787A"/>
    <w:rsid w:val="001213FA"/>
    <w:rsid w:val="00123712"/>
    <w:rsid w:val="001247FE"/>
    <w:rsid w:val="001306DD"/>
    <w:rsid w:val="00130D48"/>
    <w:rsid w:val="00131B64"/>
    <w:rsid w:val="0013235B"/>
    <w:rsid w:val="001340B3"/>
    <w:rsid w:val="00137249"/>
    <w:rsid w:val="00137302"/>
    <w:rsid w:val="00142286"/>
    <w:rsid w:val="00142CA5"/>
    <w:rsid w:val="0014393C"/>
    <w:rsid w:val="00150412"/>
    <w:rsid w:val="00151655"/>
    <w:rsid w:val="00154DA5"/>
    <w:rsid w:val="00155DC6"/>
    <w:rsid w:val="0015757D"/>
    <w:rsid w:val="00157820"/>
    <w:rsid w:val="00161364"/>
    <w:rsid w:val="00162DB2"/>
    <w:rsid w:val="00164C92"/>
    <w:rsid w:val="00165F3A"/>
    <w:rsid w:val="00170DDB"/>
    <w:rsid w:val="001721A9"/>
    <w:rsid w:val="0017277A"/>
    <w:rsid w:val="001730D9"/>
    <w:rsid w:val="001756D6"/>
    <w:rsid w:val="001758E2"/>
    <w:rsid w:val="00177FA1"/>
    <w:rsid w:val="00183968"/>
    <w:rsid w:val="001861DE"/>
    <w:rsid w:val="00187211"/>
    <w:rsid w:val="00192AD3"/>
    <w:rsid w:val="001936B1"/>
    <w:rsid w:val="001965C0"/>
    <w:rsid w:val="00196964"/>
    <w:rsid w:val="00196CDF"/>
    <w:rsid w:val="001A09DE"/>
    <w:rsid w:val="001A11CB"/>
    <w:rsid w:val="001A2C08"/>
    <w:rsid w:val="001A32CB"/>
    <w:rsid w:val="001A3477"/>
    <w:rsid w:val="001A4429"/>
    <w:rsid w:val="001A660B"/>
    <w:rsid w:val="001A6686"/>
    <w:rsid w:val="001A6A20"/>
    <w:rsid w:val="001A723C"/>
    <w:rsid w:val="001A7E43"/>
    <w:rsid w:val="001B4041"/>
    <w:rsid w:val="001B4B04"/>
    <w:rsid w:val="001B504F"/>
    <w:rsid w:val="001C1BC4"/>
    <w:rsid w:val="001C5BED"/>
    <w:rsid w:val="001C657F"/>
    <w:rsid w:val="001C6663"/>
    <w:rsid w:val="001C6B73"/>
    <w:rsid w:val="001C7895"/>
    <w:rsid w:val="001D0C8C"/>
    <w:rsid w:val="001D15CF"/>
    <w:rsid w:val="001D26DF"/>
    <w:rsid w:val="001D3743"/>
    <w:rsid w:val="001D3A03"/>
    <w:rsid w:val="001E06D9"/>
    <w:rsid w:val="001E10EC"/>
    <w:rsid w:val="001E48A9"/>
    <w:rsid w:val="001E718D"/>
    <w:rsid w:val="001F22C0"/>
    <w:rsid w:val="002014C3"/>
    <w:rsid w:val="00202742"/>
    <w:rsid w:val="00202DA8"/>
    <w:rsid w:val="002069CC"/>
    <w:rsid w:val="00206CCD"/>
    <w:rsid w:val="00211E0B"/>
    <w:rsid w:val="00213231"/>
    <w:rsid w:val="00215415"/>
    <w:rsid w:val="00217D74"/>
    <w:rsid w:val="00217DFF"/>
    <w:rsid w:val="00220677"/>
    <w:rsid w:val="00222689"/>
    <w:rsid w:val="002239C1"/>
    <w:rsid w:val="0022501D"/>
    <w:rsid w:val="002256A1"/>
    <w:rsid w:val="002314F8"/>
    <w:rsid w:val="0023210C"/>
    <w:rsid w:val="00235981"/>
    <w:rsid w:val="002361D0"/>
    <w:rsid w:val="00237317"/>
    <w:rsid w:val="00240564"/>
    <w:rsid w:val="0025075C"/>
    <w:rsid w:val="002509A6"/>
    <w:rsid w:val="0025162E"/>
    <w:rsid w:val="0025397B"/>
    <w:rsid w:val="0025487E"/>
    <w:rsid w:val="00256FFF"/>
    <w:rsid w:val="002633B3"/>
    <w:rsid w:val="002650C2"/>
    <w:rsid w:val="00266EB7"/>
    <w:rsid w:val="00267F5F"/>
    <w:rsid w:val="00271484"/>
    <w:rsid w:val="00272837"/>
    <w:rsid w:val="00273B14"/>
    <w:rsid w:val="00275D62"/>
    <w:rsid w:val="00277C4F"/>
    <w:rsid w:val="002803F6"/>
    <w:rsid w:val="00281144"/>
    <w:rsid w:val="00282899"/>
    <w:rsid w:val="002847AE"/>
    <w:rsid w:val="00284812"/>
    <w:rsid w:val="002863A9"/>
    <w:rsid w:val="00286B4D"/>
    <w:rsid w:val="0029365C"/>
    <w:rsid w:val="00293B90"/>
    <w:rsid w:val="0029571B"/>
    <w:rsid w:val="002A4B67"/>
    <w:rsid w:val="002A6B45"/>
    <w:rsid w:val="002A728F"/>
    <w:rsid w:val="002B3B76"/>
    <w:rsid w:val="002B3F1E"/>
    <w:rsid w:val="002C0CE6"/>
    <w:rsid w:val="002C16B0"/>
    <w:rsid w:val="002C3114"/>
    <w:rsid w:val="002C5BCD"/>
    <w:rsid w:val="002C7349"/>
    <w:rsid w:val="002D18B7"/>
    <w:rsid w:val="002D3481"/>
    <w:rsid w:val="002D36A5"/>
    <w:rsid w:val="002D3AF5"/>
    <w:rsid w:val="002D3C63"/>
    <w:rsid w:val="002D4CB1"/>
    <w:rsid w:val="002D5E67"/>
    <w:rsid w:val="002D7312"/>
    <w:rsid w:val="002D77A1"/>
    <w:rsid w:val="002D78C4"/>
    <w:rsid w:val="002D7B9A"/>
    <w:rsid w:val="002E0615"/>
    <w:rsid w:val="002E1084"/>
    <w:rsid w:val="002E2676"/>
    <w:rsid w:val="002E52B1"/>
    <w:rsid w:val="002E5C99"/>
    <w:rsid w:val="002E69AE"/>
    <w:rsid w:val="002E7E1D"/>
    <w:rsid w:val="002F039C"/>
    <w:rsid w:val="002F175C"/>
    <w:rsid w:val="002F1942"/>
    <w:rsid w:val="002F4557"/>
    <w:rsid w:val="002F5159"/>
    <w:rsid w:val="002F582A"/>
    <w:rsid w:val="002F6E95"/>
    <w:rsid w:val="003011E9"/>
    <w:rsid w:val="0030138D"/>
    <w:rsid w:val="003023A7"/>
    <w:rsid w:val="00302B85"/>
    <w:rsid w:val="00302E2C"/>
    <w:rsid w:val="00306124"/>
    <w:rsid w:val="00307164"/>
    <w:rsid w:val="00307752"/>
    <w:rsid w:val="00307DE2"/>
    <w:rsid w:val="003134AC"/>
    <w:rsid w:val="0031786D"/>
    <w:rsid w:val="00320E07"/>
    <w:rsid w:val="003229D8"/>
    <w:rsid w:val="0032321C"/>
    <w:rsid w:val="00323632"/>
    <w:rsid w:val="003241CF"/>
    <w:rsid w:val="00326252"/>
    <w:rsid w:val="00326293"/>
    <w:rsid w:val="00327502"/>
    <w:rsid w:val="00330D27"/>
    <w:rsid w:val="00331F5B"/>
    <w:rsid w:val="00335E3A"/>
    <w:rsid w:val="00336A99"/>
    <w:rsid w:val="0034049B"/>
    <w:rsid w:val="00341696"/>
    <w:rsid w:val="00341D96"/>
    <w:rsid w:val="003449C7"/>
    <w:rsid w:val="00352709"/>
    <w:rsid w:val="003544BE"/>
    <w:rsid w:val="00354AA8"/>
    <w:rsid w:val="00363A98"/>
    <w:rsid w:val="00365CF8"/>
    <w:rsid w:val="0036645D"/>
    <w:rsid w:val="00367567"/>
    <w:rsid w:val="003705C9"/>
    <w:rsid w:val="00371095"/>
    <w:rsid w:val="00371178"/>
    <w:rsid w:val="00372B3F"/>
    <w:rsid w:val="00372F63"/>
    <w:rsid w:val="0037301C"/>
    <w:rsid w:val="003730DD"/>
    <w:rsid w:val="00373489"/>
    <w:rsid w:val="00375119"/>
    <w:rsid w:val="0037562B"/>
    <w:rsid w:val="003771A2"/>
    <w:rsid w:val="00377828"/>
    <w:rsid w:val="003809A9"/>
    <w:rsid w:val="00383356"/>
    <w:rsid w:val="0038336C"/>
    <w:rsid w:val="00383AA6"/>
    <w:rsid w:val="00383BB7"/>
    <w:rsid w:val="00386624"/>
    <w:rsid w:val="003909A8"/>
    <w:rsid w:val="0039347E"/>
    <w:rsid w:val="003939C2"/>
    <w:rsid w:val="00394F89"/>
    <w:rsid w:val="00395FA4"/>
    <w:rsid w:val="003A1602"/>
    <w:rsid w:val="003A4933"/>
    <w:rsid w:val="003A5EED"/>
    <w:rsid w:val="003A6810"/>
    <w:rsid w:val="003A70FC"/>
    <w:rsid w:val="003A7AF2"/>
    <w:rsid w:val="003B1B42"/>
    <w:rsid w:val="003B6980"/>
    <w:rsid w:val="003C02AB"/>
    <w:rsid w:val="003C2CC4"/>
    <w:rsid w:val="003C730E"/>
    <w:rsid w:val="003D1C5A"/>
    <w:rsid w:val="003D1CE6"/>
    <w:rsid w:val="003D2795"/>
    <w:rsid w:val="003D3E59"/>
    <w:rsid w:val="003D42FB"/>
    <w:rsid w:val="003D4B23"/>
    <w:rsid w:val="003D52B0"/>
    <w:rsid w:val="003D774D"/>
    <w:rsid w:val="003E2BA4"/>
    <w:rsid w:val="003E5AAB"/>
    <w:rsid w:val="003E6A36"/>
    <w:rsid w:val="003E6F7E"/>
    <w:rsid w:val="003F0F8D"/>
    <w:rsid w:val="003F2847"/>
    <w:rsid w:val="003F5CCD"/>
    <w:rsid w:val="00401B52"/>
    <w:rsid w:val="00402308"/>
    <w:rsid w:val="00405473"/>
    <w:rsid w:val="00405D94"/>
    <w:rsid w:val="00410C89"/>
    <w:rsid w:val="00414931"/>
    <w:rsid w:val="00414B35"/>
    <w:rsid w:val="004227C0"/>
    <w:rsid w:val="00423B30"/>
    <w:rsid w:val="004252DB"/>
    <w:rsid w:val="00425761"/>
    <w:rsid w:val="00426B9B"/>
    <w:rsid w:val="0043003F"/>
    <w:rsid w:val="004325CB"/>
    <w:rsid w:val="004342BD"/>
    <w:rsid w:val="0043560C"/>
    <w:rsid w:val="00436B33"/>
    <w:rsid w:val="00441384"/>
    <w:rsid w:val="00441F57"/>
    <w:rsid w:val="0044299D"/>
    <w:rsid w:val="00442A83"/>
    <w:rsid w:val="00442C9D"/>
    <w:rsid w:val="0044391E"/>
    <w:rsid w:val="00445A57"/>
    <w:rsid w:val="00450D0E"/>
    <w:rsid w:val="004524D3"/>
    <w:rsid w:val="00454782"/>
    <w:rsid w:val="0045495B"/>
    <w:rsid w:val="00455C43"/>
    <w:rsid w:val="004607BF"/>
    <w:rsid w:val="004623A9"/>
    <w:rsid w:val="00464446"/>
    <w:rsid w:val="00466B4C"/>
    <w:rsid w:val="00466FA4"/>
    <w:rsid w:val="00467FD9"/>
    <w:rsid w:val="0047173A"/>
    <w:rsid w:val="00473963"/>
    <w:rsid w:val="00476073"/>
    <w:rsid w:val="00481CB1"/>
    <w:rsid w:val="00483C98"/>
    <w:rsid w:val="00487488"/>
    <w:rsid w:val="00487FB8"/>
    <w:rsid w:val="004915E8"/>
    <w:rsid w:val="0049219B"/>
    <w:rsid w:val="0049418F"/>
    <w:rsid w:val="00496433"/>
    <w:rsid w:val="00497CBC"/>
    <w:rsid w:val="004A28A7"/>
    <w:rsid w:val="004A4682"/>
    <w:rsid w:val="004A4E95"/>
    <w:rsid w:val="004B01AD"/>
    <w:rsid w:val="004B231E"/>
    <w:rsid w:val="004B23B2"/>
    <w:rsid w:val="004B2989"/>
    <w:rsid w:val="004B44C6"/>
    <w:rsid w:val="004B6A14"/>
    <w:rsid w:val="004C0120"/>
    <w:rsid w:val="004C0335"/>
    <w:rsid w:val="004C17A4"/>
    <w:rsid w:val="004C1F17"/>
    <w:rsid w:val="004C1FEA"/>
    <w:rsid w:val="004C55DD"/>
    <w:rsid w:val="004C6EEF"/>
    <w:rsid w:val="004D150D"/>
    <w:rsid w:val="004D5BD1"/>
    <w:rsid w:val="004D7BF7"/>
    <w:rsid w:val="004E15CC"/>
    <w:rsid w:val="004E2932"/>
    <w:rsid w:val="004E5775"/>
    <w:rsid w:val="004F1D45"/>
    <w:rsid w:val="004F5078"/>
    <w:rsid w:val="00501CB1"/>
    <w:rsid w:val="0050328D"/>
    <w:rsid w:val="00503BEC"/>
    <w:rsid w:val="00511D0D"/>
    <w:rsid w:val="005123A6"/>
    <w:rsid w:val="005167F1"/>
    <w:rsid w:val="0052136D"/>
    <w:rsid w:val="005232E6"/>
    <w:rsid w:val="00525395"/>
    <w:rsid w:val="0052594F"/>
    <w:rsid w:val="00526FF4"/>
    <w:rsid w:val="0052775E"/>
    <w:rsid w:val="00532251"/>
    <w:rsid w:val="00535B0F"/>
    <w:rsid w:val="00537A79"/>
    <w:rsid w:val="00537ACB"/>
    <w:rsid w:val="005409DC"/>
    <w:rsid w:val="0054109A"/>
    <w:rsid w:val="0054150C"/>
    <w:rsid w:val="005420F2"/>
    <w:rsid w:val="005429C4"/>
    <w:rsid w:val="005446A8"/>
    <w:rsid w:val="00545B97"/>
    <w:rsid w:val="00546AFA"/>
    <w:rsid w:val="00550D3B"/>
    <w:rsid w:val="005514FD"/>
    <w:rsid w:val="00560319"/>
    <w:rsid w:val="005609D7"/>
    <w:rsid w:val="00560BA5"/>
    <w:rsid w:val="00560C2D"/>
    <w:rsid w:val="00561B68"/>
    <w:rsid w:val="005628B6"/>
    <w:rsid w:val="00564714"/>
    <w:rsid w:val="00566179"/>
    <w:rsid w:val="0056624F"/>
    <w:rsid w:val="0057115D"/>
    <w:rsid w:val="005722B3"/>
    <w:rsid w:val="005728FB"/>
    <w:rsid w:val="00572DA9"/>
    <w:rsid w:val="005747B1"/>
    <w:rsid w:val="005806FC"/>
    <w:rsid w:val="005848B3"/>
    <w:rsid w:val="00590842"/>
    <w:rsid w:val="00590F87"/>
    <w:rsid w:val="00591D8C"/>
    <w:rsid w:val="00592C4A"/>
    <w:rsid w:val="005967A6"/>
    <w:rsid w:val="005A0415"/>
    <w:rsid w:val="005A2ACD"/>
    <w:rsid w:val="005A5C65"/>
    <w:rsid w:val="005B09AE"/>
    <w:rsid w:val="005B15AD"/>
    <w:rsid w:val="005B271F"/>
    <w:rsid w:val="005B38A5"/>
    <w:rsid w:val="005B3DB3"/>
    <w:rsid w:val="005B4F61"/>
    <w:rsid w:val="005C2131"/>
    <w:rsid w:val="005C223E"/>
    <w:rsid w:val="005C413D"/>
    <w:rsid w:val="005C4A9E"/>
    <w:rsid w:val="005C7B60"/>
    <w:rsid w:val="005D1B57"/>
    <w:rsid w:val="005D5721"/>
    <w:rsid w:val="005D5AF5"/>
    <w:rsid w:val="005D7CB5"/>
    <w:rsid w:val="005E0578"/>
    <w:rsid w:val="005E2541"/>
    <w:rsid w:val="005E2F71"/>
    <w:rsid w:val="005E39A3"/>
    <w:rsid w:val="005E5805"/>
    <w:rsid w:val="005E783D"/>
    <w:rsid w:val="005F2A25"/>
    <w:rsid w:val="005F322F"/>
    <w:rsid w:val="005F3860"/>
    <w:rsid w:val="005F3AE9"/>
    <w:rsid w:val="005F5699"/>
    <w:rsid w:val="005F7717"/>
    <w:rsid w:val="005F7B75"/>
    <w:rsid w:val="005F7F93"/>
    <w:rsid w:val="006001EE"/>
    <w:rsid w:val="00602852"/>
    <w:rsid w:val="00605042"/>
    <w:rsid w:val="0060538A"/>
    <w:rsid w:val="00607BC1"/>
    <w:rsid w:val="006108E0"/>
    <w:rsid w:val="0061102A"/>
    <w:rsid w:val="0061152B"/>
    <w:rsid w:val="00611FC4"/>
    <w:rsid w:val="00612F9B"/>
    <w:rsid w:val="0061466F"/>
    <w:rsid w:val="006148AF"/>
    <w:rsid w:val="006165FA"/>
    <w:rsid w:val="006176FB"/>
    <w:rsid w:val="00620934"/>
    <w:rsid w:val="00623FD3"/>
    <w:rsid w:val="0062462D"/>
    <w:rsid w:val="00625110"/>
    <w:rsid w:val="006274AD"/>
    <w:rsid w:val="00627FB0"/>
    <w:rsid w:val="00631C31"/>
    <w:rsid w:val="00632FA5"/>
    <w:rsid w:val="0063379B"/>
    <w:rsid w:val="00640B26"/>
    <w:rsid w:val="00640C76"/>
    <w:rsid w:val="00645379"/>
    <w:rsid w:val="0064660E"/>
    <w:rsid w:val="00652D0A"/>
    <w:rsid w:val="00653454"/>
    <w:rsid w:val="00653DBF"/>
    <w:rsid w:val="00654447"/>
    <w:rsid w:val="0065488D"/>
    <w:rsid w:val="006554AC"/>
    <w:rsid w:val="00655BF6"/>
    <w:rsid w:val="00661C41"/>
    <w:rsid w:val="00662BB6"/>
    <w:rsid w:val="00662D2D"/>
    <w:rsid w:val="006637A4"/>
    <w:rsid w:val="00671948"/>
    <w:rsid w:val="00671E55"/>
    <w:rsid w:val="00672110"/>
    <w:rsid w:val="006743E9"/>
    <w:rsid w:val="00681702"/>
    <w:rsid w:val="00682284"/>
    <w:rsid w:val="006838C8"/>
    <w:rsid w:val="00684C21"/>
    <w:rsid w:val="006851A0"/>
    <w:rsid w:val="00685BEA"/>
    <w:rsid w:val="00685FA6"/>
    <w:rsid w:val="0068743C"/>
    <w:rsid w:val="00692BBE"/>
    <w:rsid w:val="00694948"/>
    <w:rsid w:val="00694AE6"/>
    <w:rsid w:val="006954C6"/>
    <w:rsid w:val="006972F2"/>
    <w:rsid w:val="0069763E"/>
    <w:rsid w:val="00697F3E"/>
    <w:rsid w:val="006A68FC"/>
    <w:rsid w:val="006B35EB"/>
    <w:rsid w:val="006B3D12"/>
    <w:rsid w:val="006B58E5"/>
    <w:rsid w:val="006C0435"/>
    <w:rsid w:val="006C1046"/>
    <w:rsid w:val="006C3AD1"/>
    <w:rsid w:val="006C4CD3"/>
    <w:rsid w:val="006C79E9"/>
    <w:rsid w:val="006D2F5C"/>
    <w:rsid w:val="006D37AF"/>
    <w:rsid w:val="006D425B"/>
    <w:rsid w:val="006D51D0"/>
    <w:rsid w:val="006D65D9"/>
    <w:rsid w:val="006E1F68"/>
    <w:rsid w:val="006E3A63"/>
    <w:rsid w:val="006E564B"/>
    <w:rsid w:val="006E7191"/>
    <w:rsid w:val="006E7196"/>
    <w:rsid w:val="006F4020"/>
    <w:rsid w:val="006F6515"/>
    <w:rsid w:val="006F74A2"/>
    <w:rsid w:val="00701AD4"/>
    <w:rsid w:val="00701EFD"/>
    <w:rsid w:val="00703577"/>
    <w:rsid w:val="00705625"/>
    <w:rsid w:val="00705827"/>
    <w:rsid w:val="0071171F"/>
    <w:rsid w:val="00711F00"/>
    <w:rsid w:val="007123A5"/>
    <w:rsid w:val="00713C74"/>
    <w:rsid w:val="00715DDD"/>
    <w:rsid w:val="00716EC7"/>
    <w:rsid w:val="00720EB5"/>
    <w:rsid w:val="0072328C"/>
    <w:rsid w:val="007233D2"/>
    <w:rsid w:val="00725E6C"/>
    <w:rsid w:val="0072632A"/>
    <w:rsid w:val="00726A48"/>
    <w:rsid w:val="007327D5"/>
    <w:rsid w:val="00734ABE"/>
    <w:rsid w:val="007350AC"/>
    <w:rsid w:val="00735CA1"/>
    <w:rsid w:val="00736EAD"/>
    <w:rsid w:val="007412E7"/>
    <w:rsid w:val="00741A85"/>
    <w:rsid w:val="00743EB0"/>
    <w:rsid w:val="00747E8E"/>
    <w:rsid w:val="007509D5"/>
    <w:rsid w:val="007509EB"/>
    <w:rsid w:val="00750FC5"/>
    <w:rsid w:val="0075395D"/>
    <w:rsid w:val="00753B4E"/>
    <w:rsid w:val="00755565"/>
    <w:rsid w:val="00755C7D"/>
    <w:rsid w:val="00760043"/>
    <w:rsid w:val="00760B80"/>
    <w:rsid w:val="0076135D"/>
    <w:rsid w:val="00762878"/>
    <w:rsid w:val="007629C8"/>
    <w:rsid w:val="00762E39"/>
    <w:rsid w:val="007635DF"/>
    <w:rsid w:val="007648FE"/>
    <w:rsid w:val="00764972"/>
    <w:rsid w:val="00765894"/>
    <w:rsid w:val="007670C1"/>
    <w:rsid w:val="007679E4"/>
    <w:rsid w:val="007740F1"/>
    <w:rsid w:val="00777322"/>
    <w:rsid w:val="00781C83"/>
    <w:rsid w:val="0078300D"/>
    <w:rsid w:val="0078452C"/>
    <w:rsid w:val="007853A6"/>
    <w:rsid w:val="007856A4"/>
    <w:rsid w:val="00785DB2"/>
    <w:rsid w:val="00785DE0"/>
    <w:rsid w:val="00787E5D"/>
    <w:rsid w:val="0079034E"/>
    <w:rsid w:val="0079170F"/>
    <w:rsid w:val="00793EA6"/>
    <w:rsid w:val="00794A82"/>
    <w:rsid w:val="0079681E"/>
    <w:rsid w:val="00797924"/>
    <w:rsid w:val="007A0727"/>
    <w:rsid w:val="007A212F"/>
    <w:rsid w:val="007A36C9"/>
    <w:rsid w:val="007B126A"/>
    <w:rsid w:val="007B28C1"/>
    <w:rsid w:val="007B3302"/>
    <w:rsid w:val="007B5006"/>
    <w:rsid w:val="007B6BA5"/>
    <w:rsid w:val="007B7EB2"/>
    <w:rsid w:val="007C1241"/>
    <w:rsid w:val="007C3390"/>
    <w:rsid w:val="007C3FFB"/>
    <w:rsid w:val="007C4F4B"/>
    <w:rsid w:val="007C784F"/>
    <w:rsid w:val="007D00CF"/>
    <w:rsid w:val="007D0FCD"/>
    <w:rsid w:val="007D1D31"/>
    <w:rsid w:val="007D302F"/>
    <w:rsid w:val="007D564F"/>
    <w:rsid w:val="007D73B5"/>
    <w:rsid w:val="007E0B2D"/>
    <w:rsid w:val="007E300F"/>
    <w:rsid w:val="007E3971"/>
    <w:rsid w:val="007E4594"/>
    <w:rsid w:val="007E4BBE"/>
    <w:rsid w:val="007E533F"/>
    <w:rsid w:val="007E5EA4"/>
    <w:rsid w:val="007F0329"/>
    <w:rsid w:val="007F12FC"/>
    <w:rsid w:val="007F1A3F"/>
    <w:rsid w:val="007F2D0D"/>
    <w:rsid w:val="007F3A2C"/>
    <w:rsid w:val="007F4853"/>
    <w:rsid w:val="007F6611"/>
    <w:rsid w:val="0080191B"/>
    <w:rsid w:val="008031F8"/>
    <w:rsid w:val="00807168"/>
    <w:rsid w:val="008105B8"/>
    <w:rsid w:val="00811D06"/>
    <w:rsid w:val="008123D2"/>
    <w:rsid w:val="00812971"/>
    <w:rsid w:val="00813327"/>
    <w:rsid w:val="00813650"/>
    <w:rsid w:val="00816972"/>
    <w:rsid w:val="00816E23"/>
    <w:rsid w:val="00816E4A"/>
    <w:rsid w:val="008216A5"/>
    <w:rsid w:val="00821A8D"/>
    <w:rsid w:val="008242D7"/>
    <w:rsid w:val="00824C73"/>
    <w:rsid w:val="00824F3E"/>
    <w:rsid w:val="00824FE2"/>
    <w:rsid w:val="00825659"/>
    <w:rsid w:val="008257B1"/>
    <w:rsid w:val="00826C28"/>
    <w:rsid w:val="0083185A"/>
    <w:rsid w:val="00835ED8"/>
    <w:rsid w:val="00840639"/>
    <w:rsid w:val="008406D2"/>
    <w:rsid w:val="0084126F"/>
    <w:rsid w:val="00843359"/>
    <w:rsid w:val="00843767"/>
    <w:rsid w:val="00846666"/>
    <w:rsid w:val="0085089C"/>
    <w:rsid w:val="00851F2A"/>
    <w:rsid w:val="008562B1"/>
    <w:rsid w:val="00861F22"/>
    <w:rsid w:val="00864BE5"/>
    <w:rsid w:val="008655A1"/>
    <w:rsid w:val="008667C6"/>
    <w:rsid w:val="008679D9"/>
    <w:rsid w:val="00871051"/>
    <w:rsid w:val="008722F4"/>
    <w:rsid w:val="00872F86"/>
    <w:rsid w:val="008730D5"/>
    <w:rsid w:val="00875FE5"/>
    <w:rsid w:val="00880AF2"/>
    <w:rsid w:val="00880CEF"/>
    <w:rsid w:val="0088719B"/>
    <w:rsid w:val="00890222"/>
    <w:rsid w:val="0089025A"/>
    <w:rsid w:val="00891C2B"/>
    <w:rsid w:val="008928FB"/>
    <w:rsid w:val="00893B85"/>
    <w:rsid w:val="00895468"/>
    <w:rsid w:val="00896924"/>
    <w:rsid w:val="008979B1"/>
    <w:rsid w:val="00897F0A"/>
    <w:rsid w:val="008A09B5"/>
    <w:rsid w:val="008A1DB2"/>
    <w:rsid w:val="008A6AA9"/>
    <w:rsid w:val="008A6B25"/>
    <w:rsid w:val="008A6C4F"/>
    <w:rsid w:val="008B012F"/>
    <w:rsid w:val="008B2335"/>
    <w:rsid w:val="008B5909"/>
    <w:rsid w:val="008B7413"/>
    <w:rsid w:val="008C0D17"/>
    <w:rsid w:val="008C22CC"/>
    <w:rsid w:val="008C3223"/>
    <w:rsid w:val="008C4B5A"/>
    <w:rsid w:val="008C4EDC"/>
    <w:rsid w:val="008C6E58"/>
    <w:rsid w:val="008C77CB"/>
    <w:rsid w:val="008D1459"/>
    <w:rsid w:val="008D2914"/>
    <w:rsid w:val="008E0678"/>
    <w:rsid w:val="008E22D9"/>
    <w:rsid w:val="008E3E27"/>
    <w:rsid w:val="008E4C4F"/>
    <w:rsid w:val="008E5FF6"/>
    <w:rsid w:val="008E6067"/>
    <w:rsid w:val="008E7B56"/>
    <w:rsid w:val="008F02E2"/>
    <w:rsid w:val="008F0336"/>
    <w:rsid w:val="008F1FA8"/>
    <w:rsid w:val="00900036"/>
    <w:rsid w:val="00900135"/>
    <w:rsid w:val="0090331C"/>
    <w:rsid w:val="00903876"/>
    <w:rsid w:val="00905076"/>
    <w:rsid w:val="0090637F"/>
    <w:rsid w:val="00910F40"/>
    <w:rsid w:val="00911542"/>
    <w:rsid w:val="00911864"/>
    <w:rsid w:val="00912C08"/>
    <w:rsid w:val="00913616"/>
    <w:rsid w:val="0091377B"/>
    <w:rsid w:val="00920D07"/>
    <w:rsid w:val="009223CA"/>
    <w:rsid w:val="0092473E"/>
    <w:rsid w:val="00935B05"/>
    <w:rsid w:val="00935DEF"/>
    <w:rsid w:val="009376BE"/>
    <w:rsid w:val="0093797F"/>
    <w:rsid w:val="00940F93"/>
    <w:rsid w:val="0094258F"/>
    <w:rsid w:val="00945B75"/>
    <w:rsid w:val="009516B6"/>
    <w:rsid w:val="00951EAC"/>
    <w:rsid w:val="00953108"/>
    <w:rsid w:val="0095347F"/>
    <w:rsid w:val="00953E71"/>
    <w:rsid w:val="009545FF"/>
    <w:rsid w:val="00955DDA"/>
    <w:rsid w:val="009568BE"/>
    <w:rsid w:val="00956FE4"/>
    <w:rsid w:val="00957A3A"/>
    <w:rsid w:val="0096073F"/>
    <w:rsid w:val="00960911"/>
    <w:rsid w:val="00962E4E"/>
    <w:rsid w:val="009633D7"/>
    <w:rsid w:val="009654ED"/>
    <w:rsid w:val="00966036"/>
    <w:rsid w:val="00967F59"/>
    <w:rsid w:val="009701C4"/>
    <w:rsid w:val="00972C38"/>
    <w:rsid w:val="009735A8"/>
    <w:rsid w:val="00974EF5"/>
    <w:rsid w:val="009760F3"/>
    <w:rsid w:val="00976956"/>
    <w:rsid w:val="009800FA"/>
    <w:rsid w:val="00980EA8"/>
    <w:rsid w:val="009817F4"/>
    <w:rsid w:val="00983732"/>
    <w:rsid w:val="00984808"/>
    <w:rsid w:val="009909F5"/>
    <w:rsid w:val="009923C0"/>
    <w:rsid w:val="00992511"/>
    <w:rsid w:val="00993D2D"/>
    <w:rsid w:val="0099515D"/>
    <w:rsid w:val="009951B6"/>
    <w:rsid w:val="009A0B8A"/>
    <w:rsid w:val="009A0E8D"/>
    <w:rsid w:val="009A19F8"/>
    <w:rsid w:val="009B0FC5"/>
    <w:rsid w:val="009B26E7"/>
    <w:rsid w:val="009B37A8"/>
    <w:rsid w:val="009C0491"/>
    <w:rsid w:val="009C162C"/>
    <w:rsid w:val="009C26B0"/>
    <w:rsid w:val="009C2A5C"/>
    <w:rsid w:val="009C2F39"/>
    <w:rsid w:val="009C6DFE"/>
    <w:rsid w:val="009C76E2"/>
    <w:rsid w:val="009C7AD9"/>
    <w:rsid w:val="009C7C9A"/>
    <w:rsid w:val="009C7D56"/>
    <w:rsid w:val="009D2394"/>
    <w:rsid w:val="009D4323"/>
    <w:rsid w:val="009D4BA9"/>
    <w:rsid w:val="009E2F54"/>
    <w:rsid w:val="009E39EB"/>
    <w:rsid w:val="009E5D5A"/>
    <w:rsid w:val="009E6C26"/>
    <w:rsid w:val="009E7D26"/>
    <w:rsid w:val="009F2AC1"/>
    <w:rsid w:val="009F2B34"/>
    <w:rsid w:val="009F2FF8"/>
    <w:rsid w:val="009F6595"/>
    <w:rsid w:val="009F7636"/>
    <w:rsid w:val="00A00A3F"/>
    <w:rsid w:val="00A01489"/>
    <w:rsid w:val="00A018AB"/>
    <w:rsid w:val="00A03ED0"/>
    <w:rsid w:val="00A07F04"/>
    <w:rsid w:val="00A10B34"/>
    <w:rsid w:val="00A11A67"/>
    <w:rsid w:val="00A200D6"/>
    <w:rsid w:val="00A2225D"/>
    <w:rsid w:val="00A230A0"/>
    <w:rsid w:val="00A233C8"/>
    <w:rsid w:val="00A267BE"/>
    <w:rsid w:val="00A31B81"/>
    <w:rsid w:val="00A338F1"/>
    <w:rsid w:val="00A34312"/>
    <w:rsid w:val="00A343D0"/>
    <w:rsid w:val="00A368D5"/>
    <w:rsid w:val="00A377A8"/>
    <w:rsid w:val="00A37B41"/>
    <w:rsid w:val="00A41A5C"/>
    <w:rsid w:val="00A44487"/>
    <w:rsid w:val="00A44615"/>
    <w:rsid w:val="00A45390"/>
    <w:rsid w:val="00A46186"/>
    <w:rsid w:val="00A4728C"/>
    <w:rsid w:val="00A47874"/>
    <w:rsid w:val="00A5649C"/>
    <w:rsid w:val="00A60643"/>
    <w:rsid w:val="00A6119C"/>
    <w:rsid w:val="00A660A5"/>
    <w:rsid w:val="00A66C25"/>
    <w:rsid w:val="00A7005A"/>
    <w:rsid w:val="00A70997"/>
    <w:rsid w:val="00A70EA1"/>
    <w:rsid w:val="00A71B88"/>
    <w:rsid w:val="00A72C70"/>
    <w:rsid w:val="00A72F22"/>
    <w:rsid w:val="00A72FDB"/>
    <w:rsid w:val="00A7360F"/>
    <w:rsid w:val="00A748A6"/>
    <w:rsid w:val="00A75275"/>
    <w:rsid w:val="00A75355"/>
    <w:rsid w:val="00A75A88"/>
    <w:rsid w:val="00A76648"/>
    <w:rsid w:val="00A769F4"/>
    <w:rsid w:val="00A776B4"/>
    <w:rsid w:val="00A777CF"/>
    <w:rsid w:val="00A81A7B"/>
    <w:rsid w:val="00A81D4E"/>
    <w:rsid w:val="00A83AD4"/>
    <w:rsid w:val="00A85E52"/>
    <w:rsid w:val="00A86E2B"/>
    <w:rsid w:val="00A94361"/>
    <w:rsid w:val="00A96BCF"/>
    <w:rsid w:val="00AA293C"/>
    <w:rsid w:val="00AA2D0D"/>
    <w:rsid w:val="00AA6FA4"/>
    <w:rsid w:val="00AB0648"/>
    <w:rsid w:val="00AB19FA"/>
    <w:rsid w:val="00AB2855"/>
    <w:rsid w:val="00AB45A3"/>
    <w:rsid w:val="00AB4CA5"/>
    <w:rsid w:val="00AC12BB"/>
    <w:rsid w:val="00AC2375"/>
    <w:rsid w:val="00AC23E1"/>
    <w:rsid w:val="00AC2549"/>
    <w:rsid w:val="00AC505B"/>
    <w:rsid w:val="00AC6A0A"/>
    <w:rsid w:val="00AC6A89"/>
    <w:rsid w:val="00AC71CC"/>
    <w:rsid w:val="00AC7462"/>
    <w:rsid w:val="00AD2C83"/>
    <w:rsid w:val="00AD46B8"/>
    <w:rsid w:val="00AD553F"/>
    <w:rsid w:val="00AE19F7"/>
    <w:rsid w:val="00AE1A13"/>
    <w:rsid w:val="00AE1CFF"/>
    <w:rsid w:val="00AE1EFE"/>
    <w:rsid w:val="00AE3DEA"/>
    <w:rsid w:val="00AE4583"/>
    <w:rsid w:val="00AE4730"/>
    <w:rsid w:val="00AE50CE"/>
    <w:rsid w:val="00AE5CCB"/>
    <w:rsid w:val="00AF0881"/>
    <w:rsid w:val="00AF0BB7"/>
    <w:rsid w:val="00AF1A44"/>
    <w:rsid w:val="00AF2A3F"/>
    <w:rsid w:val="00AF3148"/>
    <w:rsid w:val="00AF34D9"/>
    <w:rsid w:val="00AF5BB4"/>
    <w:rsid w:val="00AF5CCF"/>
    <w:rsid w:val="00AF7286"/>
    <w:rsid w:val="00B000F0"/>
    <w:rsid w:val="00B015A6"/>
    <w:rsid w:val="00B019D2"/>
    <w:rsid w:val="00B01D27"/>
    <w:rsid w:val="00B03884"/>
    <w:rsid w:val="00B04543"/>
    <w:rsid w:val="00B05BDC"/>
    <w:rsid w:val="00B101F5"/>
    <w:rsid w:val="00B10640"/>
    <w:rsid w:val="00B11BA1"/>
    <w:rsid w:val="00B12D13"/>
    <w:rsid w:val="00B12E1C"/>
    <w:rsid w:val="00B13E9B"/>
    <w:rsid w:val="00B1559A"/>
    <w:rsid w:val="00B174D5"/>
    <w:rsid w:val="00B2280C"/>
    <w:rsid w:val="00B23D94"/>
    <w:rsid w:val="00B24D92"/>
    <w:rsid w:val="00B25D3D"/>
    <w:rsid w:val="00B2683D"/>
    <w:rsid w:val="00B30179"/>
    <w:rsid w:val="00B30D6F"/>
    <w:rsid w:val="00B33697"/>
    <w:rsid w:val="00B339A7"/>
    <w:rsid w:val="00B33ABD"/>
    <w:rsid w:val="00B40171"/>
    <w:rsid w:val="00B4049D"/>
    <w:rsid w:val="00B4063F"/>
    <w:rsid w:val="00B4149D"/>
    <w:rsid w:val="00B41A37"/>
    <w:rsid w:val="00B41ACB"/>
    <w:rsid w:val="00B4354D"/>
    <w:rsid w:val="00B46514"/>
    <w:rsid w:val="00B55522"/>
    <w:rsid w:val="00B56E4A"/>
    <w:rsid w:val="00B56E9C"/>
    <w:rsid w:val="00B579C3"/>
    <w:rsid w:val="00B57C32"/>
    <w:rsid w:val="00B60748"/>
    <w:rsid w:val="00B620B6"/>
    <w:rsid w:val="00B62EC2"/>
    <w:rsid w:val="00B64B1F"/>
    <w:rsid w:val="00B6524C"/>
    <w:rsid w:val="00B6553F"/>
    <w:rsid w:val="00B66593"/>
    <w:rsid w:val="00B66ACE"/>
    <w:rsid w:val="00B66E5E"/>
    <w:rsid w:val="00B71840"/>
    <w:rsid w:val="00B71D2A"/>
    <w:rsid w:val="00B7514A"/>
    <w:rsid w:val="00B77D05"/>
    <w:rsid w:val="00B80902"/>
    <w:rsid w:val="00B81206"/>
    <w:rsid w:val="00B81E12"/>
    <w:rsid w:val="00B84567"/>
    <w:rsid w:val="00B85756"/>
    <w:rsid w:val="00B85AF8"/>
    <w:rsid w:val="00B86C63"/>
    <w:rsid w:val="00B879A7"/>
    <w:rsid w:val="00B9067B"/>
    <w:rsid w:val="00B90C4B"/>
    <w:rsid w:val="00B915E0"/>
    <w:rsid w:val="00B94491"/>
    <w:rsid w:val="00B95A99"/>
    <w:rsid w:val="00B97AFE"/>
    <w:rsid w:val="00BA0869"/>
    <w:rsid w:val="00BA32A1"/>
    <w:rsid w:val="00BA434C"/>
    <w:rsid w:val="00BA653A"/>
    <w:rsid w:val="00BB08D0"/>
    <w:rsid w:val="00BB22D5"/>
    <w:rsid w:val="00BB3BC1"/>
    <w:rsid w:val="00BC01E3"/>
    <w:rsid w:val="00BC288A"/>
    <w:rsid w:val="00BC2C23"/>
    <w:rsid w:val="00BC48F3"/>
    <w:rsid w:val="00BC5363"/>
    <w:rsid w:val="00BC6E5E"/>
    <w:rsid w:val="00BC74BB"/>
    <w:rsid w:val="00BC74E9"/>
    <w:rsid w:val="00BE5D0F"/>
    <w:rsid w:val="00BF3FEF"/>
    <w:rsid w:val="00BF4613"/>
    <w:rsid w:val="00BF61C5"/>
    <w:rsid w:val="00BF68A8"/>
    <w:rsid w:val="00BF72FD"/>
    <w:rsid w:val="00C02CF5"/>
    <w:rsid w:val="00C02E7A"/>
    <w:rsid w:val="00C02FF9"/>
    <w:rsid w:val="00C03CF2"/>
    <w:rsid w:val="00C0580E"/>
    <w:rsid w:val="00C11207"/>
    <w:rsid w:val="00C11870"/>
    <w:rsid w:val="00C11A03"/>
    <w:rsid w:val="00C12802"/>
    <w:rsid w:val="00C12CBC"/>
    <w:rsid w:val="00C14491"/>
    <w:rsid w:val="00C144EC"/>
    <w:rsid w:val="00C1598A"/>
    <w:rsid w:val="00C20A72"/>
    <w:rsid w:val="00C215C0"/>
    <w:rsid w:val="00C2284D"/>
    <w:rsid w:val="00C24F63"/>
    <w:rsid w:val="00C25634"/>
    <w:rsid w:val="00C2599D"/>
    <w:rsid w:val="00C2781F"/>
    <w:rsid w:val="00C307EC"/>
    <w:rsid w:val="00C33C6F"/>
    <w:rsid w:val="00C34926"/>
    <w:rsid w:val="00C40638"/>
    <w:rsid w:val="00C409F7"/>
    <w:rsid w:val="00C41CC1"/>
    <w:rsid w:val="00C42151"/>
    <w:rsid w:val="00C42190"/>
    <w:rsid w:val="00C44D49"/>
    <w:rsid w:val="00C463DD"/>
    <w:rsid w:val="00C46474"/>
    <w:rsid w:val="00C4724C"/>
    <w:rsid w:val="00C50356"/>
    <w:rsid w:val="00C55779"/>
    <w:rsid w:val="00C56114"/>
    <w:rsid w:val="00C606D3"/>
    <w:rsid w:val="00C61C48"/>
    <w:rsid w:val="00C629A0"/>
    <w:rsid w:val="00C745C3"/>
    <w:rsid w:val="00C74B7E"/>
    <w:rsid w:val="00C76890"/>
    <w:rsid w:val="00C803EC"/>
    <w:rsid w:val="00C80EA3"/>
    <w:rsid w:val="00C834B6"/>
    <w:rsid w:val="00C84DC4"/>
    <w:rsid w:val="00C8504E"/>
    <w:rsid w:val="00C85B6E"/>
    <w:rsid w:val="00C93035"/>
    <w:rsid w:val="00C97582"/>
    <w:rsid w:val="00CB2929"/>
    <w:rsid w:val="00CC5202"/>
    <w:rsid w:val="00CD04A2"/>
    <w:rsid w:val="00CD4339"/>
    <w:rsid w:val="00CD6676"/>
    <w:rsid w:val="00CD7EE7"/>
    <w:rsid w:val="00CE1B3A"/>
    <w:rsid w:val="00CE34DB"/>
    <w:rsid w:val="00CE4A8F"/>
    <w:rsid w:val="00CF0784"/>
    <w:rsid w:val="00CF1984"/>
    <w:rsid w:val="00CF1A5B"/>
    <w:rsid w:val="00CF2621"/>
    <w:rsid w:val="00CF4CEB"/>
    <w:rsid w:val="00CF7180"/>
    <w:rsid w:val="00D011B3"/>
    <w:rsid w:val="00D02633"/>
    <w:rsid w:val="00D02C2A"/>
    <w:rsid w:val="00D06AB9"/>
    <w:rsid w:val="00D06B7E"/>
    <w:rsid w:val="00D10237"/>
    <w:rsid w:val="00D1315B"/>
    <w:rsid w:val="00D141CF"/>
    <w:rsid w:val="00D16565"/>
    <w:rsid w:val="00D17E37"/>
    <w:rsid w:val="00D2031B"/>
    <w:rsid w:val="00D20CCA"/>
    <w:rsid w:val="00D21020"/>
    <w:rsid w:val="00D24A49"/>
    <w:rsid w:val="00D257E7"/>
    <w:rsid w:val="00D25FE2"/>
    <w:rsid w:val="00D2637A"/>
    <w:rsid w:val="00D30034"/>
    <w:rsid w:val="00D377C4"/>
    <w:rsid w:val="00D42815"/>
    <w:rsid w:val="00D43252"/>
    <w:rsid w:val="00D43930"/>
    <w:rsid w:val="00D46C27"/>
    <w:rsid w:val="00D46EA7"/>
    <w:rsid w:val="00D4767A"/>
    <w:rsid w:val="00D47EEA"/>
    <w:rsid w:val="00D501D0"/>
    <w:rsid w:val="00D50721"/>
    <w:rsid w:val="00D509AE"/>
    <w:rsid w:val="00D514FC"/>
    <w:rsid w:val="00D51D6E"/>
    <w:rsid w:val="00D53BAD"/>
    <w:rsid w:val="00D543C9"/>
    <w:rsid w:val="00D55CE7"/>
    <w:rsid w:val="00D64809"/>
    <w:rsid w:val="00D70242"/>
    <w:rsid w:val="00D729E4"/>
    <w:rsid w:val="00D73CB8"/>
    <w:rsid w:val="00D80EDF"/>
    <w:rsid w:val="00D864CC"/>
    <w:rsid w:val="00D8702F"/>
    <w:rsid w:val="00D90F93"/>
    <w:rsid w:val="00D913B0"/>
    <w:rsid w:val="00D95235"/>
    <w:rsid w:val="00D95303"/>
    <w:rsid w:val="00D96E57"/>
    <w:rsid w:val="00D97597"/>
    <w:rsid w:val="00D975A7"/>
    <w:rsid w:val="00D978C6"/>
    <w:rsid w:val="00DA10B1"/>
    <w:rsid w:val="00DA1219"/>
    <w:rsid w:val="00DA2043"/>
    <w:rsid w:val="00DA3111"/>
    <w:rsid w:val="00DA324A"/>
    <w:rsid w:val="00DA3C1C"/>
    <w:rsid w:val="00DA4BBB"/>
    <w:rsid w:val="00DA68AE"/>
    <w:rsid w:val="00DB0C79"/>
    <w:rsid w:val="00DB27DD"/>
    <w:rsid w:val="00DB2CE7"/>
    <w:rsid w:val="00DB43B8"/>
    <w:rsid w:val="00DB5B2F"/>
    <w:rsid w:val="00DC0714"/>
    <w:rsid w:val="00DC1E6B"/>
    <w:rsid w:val="00DC3DA8"/>
    <w:rsid w:val="00DC7425"/>
    <w:rsid w:val="00DD00C7"/>
    <w:rsid w:val="00DD1753"/>
    <w:rsid w:val="00DD2793"/>
    <w:rsid w:val="00DD593B"/>
    <w:rsid w:val="00DD64DE"/>
    <w:rsid w:val="00DE1DF6"/>
    <w:rsid w:val="00DE79A8"/>
    <w:rsid w:val="00DF14DE"/>
    <w:rsid w:val="00DF18FB"/>
    <w:rsid w:val="00DF2CDE"/>
    <w:rsid w:val="00DF528D"/>
    <w:rsid w:val="00E00013"/>
    <w:rsid w:val="00E04D11"/>
    <w:rsid w:val="00E11A47"/>
    <w:rsid w:val="00E12ED9"/>
    <w:rsid w:val="00E142AF"/>
    <w:rsid w:val="00E15626"/>
    <w:rsid w:val="00E15CC1"/>
    <w:rsid w:val="00E165BF"/>
    <w:rsid w:val="00E17226"/>
    <w:rsid w:val="00E17C73"/>
    <w:rsid w:val="00E209FD"/>
    <w:rsid w:val="00E21400"/>
    <w:rsid w:val="00E24559"/>
    <w:rsid w:val="00E25E54"/>
    <w:rsid w:val="00E27346"/>
    <w:rsid w:val="00E27538"/>
    <w:rsid w:val="00E31E79"/>
    <w:rsid w:val="00E37E62"/>
    <w:rsid w:val="00E40A07"/>
    <w:rsid w:val="00E41BFE"/>
    <w:rsid w:val="00E41E67"/>
    <w:rsid w:val="00E4363C"/>
    <w:rsid w:val="00E43F6E"/>
    <w:rsid w:val="00E44C65"/>
    <w:rsid w:val="00E4563E"/>
    <w:rsid w:val="00E53451"/>
    <w:rsid w:val="00E53D02"/>
    <w:rsid w:val="00E577D4"/>
    <w:rsid w:val="00E6074E"/>
    <w:rsid w:val="00E61088"/>
    <w:rsid w:val="00E632CC"/>
    <w:rsid w:val="00E64C61"/>
    <w:rsid w:val="00E65396"/>
    <w:rsid w:val="00E71BC8"/>
    <w:rsid w:val="00E7260F"/>
    <w:rsid w:val="00E74206"/>
    <w:rsid w:val="00E761D1"/>
    <w:rsid w:val="00E77185"/>
    <w:rsid w:val="00E779FC"/>
    <w:rsid w:val="00E8097C"/>
    <w:rsid w:val="00E81356"/>
    <w:rsid w:val="00E8217E"/>
    <w:rsid w:val="00E827FB"/>
    <w:rsid w:val="00E8329D"/>
    <w:rsid w:val="00E848D3"/>
    <w:rsid w:val="00E85728"/>
    <w:rsid w:val="00E86349"/>
    <w:rsid w:val="00E921CF"/>
    <w:rsid w:val="00E96433"/>
    <w:rsid w:val="00E96630"/>
    <w:rsid w:val="00E96A6E"/>
    <w:rsid w:val="00E9788D"/>
    <w:rsid w:val="00EA31F7"/>
    <w:rsid w:val="00EA5142"/>
    <w:rsid w:val="00EB11F3"/>
    <w:rsid w:val="00EB2581"/>
    <w:rsid w:val="00EB48C1"/>
    <w:rsid w:val="00EB5B31"/>
    <w:rsid w:val="00EB737B"/>
    <w:rsid w:val="00EB7433"/>
    <w:rsid w:val="00EC0363"/>
    <w:rsid w:val="00EC14EF"/>
    <w:rsid w:val="00EC7574"/>
    <w:rsid w:val="00ED00FD"/>
    <w:rsid w:val="00ED08C9"/>
    <w:rsid w:val="00ED0DBA"/>
    <w:rsid w:val="00ED303B"/>
    <w:rsid w:val="00ED535F"/>
    <w:rsid w:val="00ED57CA"/>
    <w:rsid w:val="00ED7A2A"/>
    <w:rsid w:val="00ED7E6E"/>
    <w:rsid w:val="00EE18DC"/>
    <w:rsid w:val="00EE416D"/>
    <w:rsid w:val="00EE45BF"/>
    <w:rsid w:val="00EE621C"/>
    <w:rsid w:val="00EE6587"/>
    <w:rsid w:val="00EE6929"/>
    <w:rsid w:val="00EF0235"/>
    <w:rsid w:val="00EF1D7F"/>
    <w:rsid w:val="00EF3FBC"/>
    <w:rsid w:val="00EF5227"/>
    <w:rsid w:val="00EF5FA3"/>
    <w:rsid w:val="00F03190"/>
    <w:rsid w:val="00F03A99"/>
    <w:rsid w:val="00F03D89"/>
    <w:rsid w:val="00F0403F"/>
    <w:rsid w:val="00F04CDE"/>
    <w:rsid w:val="00F075CC"/>
    <w:rsid w:val="00F20C3D"/>
    <w:rsid w:val="00F217F1"/>
    <w:rsid w:val="00F243C6"/>
    <w:rsid w:val="00F2653D"/>
    <w:rsid w:val="00F33AE4"/>
    <w:rsid w:val="00F33AF0"/>
    <w:rsid w:val="00F33F23"/>
    <w:rsid w:val="00F34D48"/>
    <w:rsid w:val="00F34FBB"/>
    <w:rsid w:val="00F35149"/>
    <w:rsid w:val="00F3683E"/>
    <w:rsid w:val="00F36B91"/>
    <w:rsid w:val="00F373CD"/>
    <w:rsid w:val="00F41576"/>
    <w:rsid w:val="00F41EDC"/>
    <w:rsid w:val="00F4204E"/>
    <w:rsid w:val="00F43270"/>
    <w:rsid w:val="00F43E9E"/>
    <w:rsid w:val="00F44820"/>
    <w:rsid w:val="00F501AF"/>
    <w:rsid w:val="00F51311"/>
    <w:rsid w:val="00F52453"/>
    <w:rsid w:val="00F52BE2"/>
    <w:rsid w:val="00F546EA"/>
    <w:rsid w:val="00F55BAA"/>
    <w:rsid w:val="00F55FC7"/>
    <w:rsid w:val="00F61536"/>
    <w:rsid w:val="00F62807"/>
    <w:rsid w:val="00F63125"/>
    <w:rsid w:val="00F70D30"/>
    <w:rsid w:val="00F727A3"/>
    <w:rsid w:val="00F7343F"/>
    <w:rsid w:val="00F73A4B"/>
    <w:rsid w:val="00F748B6"/>
    <w:rsid w:val="00F75DD2"/>
    <w:rsid w:val="00F76452"/>
    <w:rsid w:val="00F767FC"/>
    <w:rsid w:val="00F82DCC"/>
    <w:rsid w:val="00F82F23"/>
    <w:rsid w:val="00F83261"/>
    <w:rsid w:val="00F8467B"/>
    <w:rsid w:val="00F852E5"/>
    <w:rsid w:val="00F86121"/>
    <w:rsid w:val="00F8772A"/>
    <w:rsid w:val="00F9057C"/>
    <w:rsid w:val="00F906D7"/>
    <w:rsid w:val="00F90FD3"/>
    <w:rsid w:val="00F93781"/>
    <w:rsid w:val="00F9431C"/>
    <w:rsid w:val="00F9592D"/>
    <w:rsid w:val="00F9653B"/>
    <w:rsid w:val="00F9682C"/>
    <w:rsid w:val="00F96BA5"/>
    <w:rsid w:val="00FA1718"/>
    <w:rsid w:val="00FA3CDA"/>
    <w:rsid w:val="00FA5B0F"/>
    <w:rsid w:val="00FA6064"/>
    <w:rsid w:val="00FB2745"/>
    <w:rsid w:val="00FB45D9"/>
    <w:rsid w:val="00FB5EB5"/>
    <w:rsid w:val="00FB613B"/>
    <w:rsid w:val="00FC0622"/>
    <w:rsid w:val="00FC1A0B"/>
    <w:rsid w:val="00FC2A5A"/>
    <w:rsid w:val="00FC68B7"/>
    <w:rsid w:val="00FD0381"/>
    <w:rsid w:val="00FD201E"/>
    <w:rsid w:val="00FD28AF"/>
    <w:rsid w:val="00FD2C66"/>
    <w:rsid w:val="00FD4F04"/>
    <w:rsid w:val="00FD4FB8"/>
    <w:rsid w:val="00FD61DA"/>
    <w:rsid w:val="00FE106A"/>
    <w:rsid w:val="00FE23AF"/>
    <w:rsid w:val="00FE2786"/>
    <w:rsid w:val="00FE3889"/>
    <w:rsid w:val="00FE5CF0"/>
    <w:rsid w:val="00FF0000"/>
    <w:rsid w:val="00FF1ADC"/>
    <w:rsid w:val="00FF4BF4"/>
    <w:rsid w:val="00FF511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5B243-913B-4C7A-AC0C-499BC78F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C1598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C1598A"/>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styleId="Revision">
    <w:name w:val="Revision"/>
    <w:hidden/>
    <w:uiPriority w:val="99"/>
    <w:semiHidden/>
    <w:rsid w:val="006534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A6EA-81DB-49DA-B63B-465FEC0A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2015-03-12T08:52:00Z</cp:lastPrinted>
  <dcterms:created xsi:type="dcterms:W3CDTF">2017-01-24T19:04:00Z</dcterms:created>
  <dcterms:modified xsi:type="dcterms:W3CDTF">2017-01-24T19:04:00Z</dcterms:modified>
</cp:coreProperties>
</file>