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A33985" w:rsidP="00AA1832">
            <w:pPr>
              <w:jc w:val="right"/>
            </w:pPr>
            <w:r w:rsidRPr="00A33985">
              <w:rPr>
                <w:sz w:val="40"/>
              </w:rPr>
              <w:t>CCPR</w:t>
            </w:r>
            <w:r>
              <w:t>/C/1</w:t>
            </w:r>
            <w:r w:rsidR="006138C8">
              <w:t>1</w:t>
            </w:r>
            <w:r w:rsidR="00AA1832">
              <w:t>2</w:t>
            </w:r>
            <w:r>
              <w:t>/</w:t>
            </w:r>
            <w:r w:rsidR="00F56B62">
              <w:t>D</w:t>
            </w:r>
            <w:r>
              <w:t>/</w:t>
            </w:r>
            <w:r w:rsidR="00C67AC1">
              <w:t>2029</w:t>
            </w:r>
            <w:r>
              <w:t>/201</w:t>
            </w:r>
            <w:r w:rsidR="00C67AC1">
              <w:t>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8543D3"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B71340" w:rsidRPr="004E28F2" w:rsidRDefault="00B71340" w:rsidP="00267F5F">
            <w:pPr>
              <w:spacing w:before="120" w:line="380" w:lineRule="exact"/>
              <w:rPr>
                <w:sz w:val="34"/>
              </w:rPr>
            </w:pPr>
          </w:p>
        </w:tc>
        <w:tc>
          <w:tcPr>
            <w:tcW w:w="2835" w:type="dxa"/>
            <w:tcBorders>
              <w:top w:val="single" w:sz="4" w:space="0" w:color="auto"/>
              <w:bottom w:val="single" w:sz="12" w:space="0" w:color="auto"/>
            </w:tcBorders>
          </w:tcPr>
          <w:p w:rsidR="00B56E9C" w:rsidRDefault="00A33985" w:rsidP="00A33985">
            <w:pPr>
              <w:spacing w:before="240" w:line="240" w:lineRule="exact"/>
            </w:pPr>
            <w:r>
              <w:t xml:space="preserve">Distr.: </w:t>
            </w:r>
            <w:r w:rsidR="00AA1832">
              <w:t>General</w:t>
            </w:r>
          </w:p>
          <w:p w:rsidR="00A33985" w:rsidRDefault="00C91F1D" w:rsidP="00333DD2">
            <w:pPr>
              <w:spacing w:line="240" w:lineRule="exact"/>
            </w:pPr>
            <w:r w:rsidRPr="00253654">
              <w:t>2</w:t>
            </w:r>
            <w:r w:rsidR="00EA3B89">
              <w:t>5</w:t>
            </w:r>
            <w:r w:rsidR="00B71340" w:rsidRPr="00253654">
              <w:t xml:space="preserve"> November</w:t>
            </w:r>
            <w:r w:rsidR="00A155D2" w:rsidRPr="00253654">
              <w:t xml:space="preserve"> </w:t>
            </w:r>
            <w:r w:rsidR="00A33985" w:rsidRPr="00253654">
              <w:t>2014</w:t>
            </w:r>
          </w:p>
          <w:p w:rsidR="00A33985" w:rsidRDefault="00A33985" w:rsidP="00A33985">
            <w:pPr>
              <w:spacing w:line="240" w:lineRule="exact"/>
            </w:pPr>
          </w:p>
          <w:p w:rsidR="00A33985" w:rsidRDefault="00A33985" w:rsidP="00A33985">
            <w:pPr>
              <w:spacing w:line="240" w:lineRule="exact"/>
            </w:pPr>
            <w:r>
              <w:t>Original: English</w:t>
            </w:r>
          </w:p>
        </w:tc>
      </w:tr>
    </w:tbl>
    <w:p w:rsidR="00A33985" w:rsidRPr="00977176" w:rsidRDefault="00A33985" w:rsidP="00A33985">
      <w:pPr>
        <w:spacing w:before="120"/>
        <w:rPr>
          <w:b/>
          <w:sz w:val="24"/>
          <w:szCs w:val="24"/>
          <w:lang w:val="en-US"/>
        </w:rPr>
      </w:pPr>
      <w:r w:rsidRPr="00977176">
        <w:rPr>
          <w:b/>
          <w:sz w:val="24"/>
          <w:szCs w:val="24"/>
          <w:lang w:val="en-US"/>
        </w:rPr>
        <w:t>Human Rights Committee</w:t>
      </w:r>
      <w:r w:rsidR="008543D3">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1&amp;Size=2 &amp;Lang=E"/>
            <w10:wrap anchorx="margin" anchory="margin"/>
          </v:shape>
        </w:pict>
      </w:r>
    </w:p>
    <w:p w:rsidR="00A33985" w:rsidRPr="00A33985" w:rsidRDefault="00B33594" w:rsidP="00A33985">
      <w:pPr>
        <w:pStyle w:val="HChG"/>
      </w:pPr>
      <w:r>
        <w:tab/>
      </w:r>
      <w:r>
        <w:tab/>
        <w:t>Communication No. </w:t>
      </w:r>
      <w:r w:rsidR="00C67AC1">
        <w:t>2029</w:t>
      </w:r>
      <w:r w:rsidR="00A33985" w:rsidRPr="00A33985">
        <w:t>/201</w:t>
      </w:r>
      <w:r w:rsidR="00C67AC1">
        <w:t>1</w:t>
      </w:r>
    </w:p>
    <w:p w:rsidR="00AA1832" w:rsidRPr="00B33594" w:rsidRDefault="00A33985" w:rsidP="00157971">
      <w:pPr>
        <w:pStyle w:val="H1G"/>
      </w:pPr>
      <w:r w:rsidRPr="00A33985">
        <w:tab/>
      </w:r>
      <w:r w:rsidRPr="00A33985">
        <w:tab/>
      </w:r>
      <w:r w:rsidR="00AA1832" w:rsidRPr="00B33594">
        <w:t>Views adopted by the Committee at its 112</w:t>
      </w:r>
      <w:r w:rsidR="00157971">
        <w:t>th</w:t>
      </w:r>
      <w:r w:rsidR="00AA1832" w:rsidRPr="00B33594">
        <w:t xml:space="preserve"> session</w:t>
      </w:r>
      <w:r w:rsidR="00B33594" w:rsidRPr="00B33594">
        <w:br/>
      </w:r>
      <w:r w:rsidR="00AA1832" w:rsidRPr="00333DD2">
        <w:t>(</w:t>
      </w:r>
      <w:r w:rsidR="00B71340" w:rsidRPr="00B33594">
        <w:t>7-31</w:t>
      </w:r>
      <w:r w:rsidR="00AA1832" w:rsidRPr="00333DD2">
        <w:t xml:space="preserve"> October 2014)</w:t>
      </w:r>
    </w:p>
    <w:p w:rsidR="00A33985" w:rsidRPr="00A33985" w:rsidRDefault="00A33985" w:rsidP="00C91F1D">
      <w:pPr>
        <w:pStyle w:val="SingleTxtG"/>
        <w:ind w:left="4536" w:hanging="3402"/>
        <w:jc w:val="left"/>
      </w:pPr>
      <w:r w:rsidRPr="00A33985">
        <w:rPr>
          <w:i/>
        </w:rPr>
        <w:t>Submitted by:</w:t>
      </w:r>
      <w:r w:rsidRPr="00A33985">
        <w:tab/>
      </w:r>
      <w:r w:rsidR="00203FB5">
        <w:t>Sergey Praded</w:t>
      </w:r>
      <w:r w:rsidRPr="00A33985">
        <w:t xml:space="preserve"> (</w:t>
      </w:r>
      <w:r w:rsidR="00C91F1D">
        <w:t>not represented by counsel</w:t>
      </w:r>
      <w:r w:rsidRPr="00A33985">
        <w:t>)</w:t>
      </w:r>
    </w:p>
    <w:p w:rsidR="00A33985" w:rsidRPr="00A33985" w:rsidRDefault="00A33985" w:rsidP="00B33594">
      <w:pPr>
        <w:pStyle w:val="SingleTxtG"/>
        <w:ind w:left="4536" w:hanging="3402"/>
        <w:jc w:val="left"/>
      </w:pPr>
      <w:r w:rsidRPr="00A33985">
        <w:rPr>
          <w:i/>
        </w:rPr>
        <w:t>Alleged victim:</w:t>
      </w:r>
      <w:r w:rsidRPr="00A33985">
        <w:tab/>
        <w:t>The author</w:t>
      </w:r>
    </w:p>
    <w:p w:rsidR="00A33985" w:rsidRPr="00A33985" w:rsidRDefault="00A33985" w:rsidP="00B33594">
      <w:pPr>
        <w:pStyle w:val="SingleTxtG"/>
        <w:ind w:left="4536" w:hanging="3402"/>
        <w:jc w:val="left"/>
      </w:pPr>
      <w:r w:rsidRPr="00A33985">
        <w:rPr>
          <w:i/>
        </w:rPr>
        <w:t>State party:</w:t>
      </w:r>
      <w:r w:rsidRPr="00A33985">
        <w:tab/>
        <w:t>Belarus</w:t>
      </w:r>
    </w:p>
    <w:p w:rsidR="00A33985" w:rsidRPr="00A33985" w:rsidRDefault="00A33985" w:rsidP="00B33594">
      <w:pPr>
        <w:pStyle w:val="SingleTxtG"/>
        <w:ind w:left="4536" w:hanging="3402"/>
        <w:jc w:val="left"/>
      </w:pPr>
      <w:r w:rsidRPr="00A33985">
        <w:rPr>
          <w:i/>
        </w:rPr>
        <w:t>Date of communications:</w:t>
      </w:r>
      <w:r w:rsidRPr="00A33985">
        <w:tab/>
        <w:t>2</w:t>
      </w:r>
      <w:r w:rsidR="00203FB5">
        <w:t>0</w:t>
      </w:r>
      <w:r w:rsidRPr="00A33985">
        <w:t xml:space="preserve"> </w:t>
      </w:r>
      <w:r w:rsidR="00203FB5">
        <w:t>June</w:t>
      </w:r>
      <w:r w:rsidRPr="00A33985">
        <w:t xml:space="preserve"> 20</w:t>
      </w:r>
      <w:r w:rsidR="00203FB5">
        <w:t>10</w:t>
      </w:r>
      <w:r w:rsidRPr="00A33985">
        <w:t xml:space="preserve"> (initial submission)</w:t>
      </w:r>
    </w:p>
    <w:p w:rsidR="00A33985" w:rsidRPr="00A33985" w:rsidRDefault="00A33985" w:rsidP="00B33594">
      <w:pPr>
        <w:pStyle w:val="SingleTxtG"/>
        <w:ind w:left="4536" w:hanging="3402"/>
        <w:jc w:val="left"/>
      </w:pPr>
      <w:r w:rsidRPr="00A33985">
        <w:rPr>
          <w:i/>
        </w:rPr>
        <w:t>Document references:</w:t>
      </w:r>
      <w:r w:rsidRPr="00A33985">
        <w:tab/>
        <w:t xml:space="preserve">Special Rapporteur’s rule 97 decision, transmitted to the State party on </w:t>
      </w:r>
      <w:r w:rsidR="00203FB5">
        <w:t>17 February</w:t>
      </w:r>
      <w:r w:rsidRPr="00A33985">
        <w:t xml:space="preserve"> 201</w:t>
      </w:r>
      <w:r w:rsidR="00203FB5">
        <w:t>1</w:t>
      </w:r>
      <w:r w:rsidRPr="00A33985">
        <w:t xml:space="preserve"> (not issued in document form)</w:t>
      </w:r>
    </w:p>
    <w:p w:rsidR="00A33985" w:rsidRPr="00A33985" w:rsidRDefault="00A33985" w:rsidP="00C91F1D">
      <w:pPr>
        <w:pStyle w:val="SingleTxtG"/>
        <w:ind w:left="4536" w:hanging="3402"/>
        <w:jc w:val="left"/>
      </w:pPr>
      <w:r w:rsidRPr="00A33985">
        <w:rPr>
          <w:i/>
        </w:rPr>
        <w:t xml:space="preserve">Date of adoption of </w:t>
      </w:r>
      <w:r w:rsidR="00C91F1D">
        <w:rPr>
          <w:i/>
        </w:rPr>
        <w:t>v</w:t>
      </w:r>
      <w:r w:rsidRPr="00A33985">
        <w:rPr>
          <w:i/>
        </w:rPr>
        <w:t>iews:</w:t>
      </w:r>
      <w:r w:rsidRPr="00A33985">
        <w:tab/>
      </w:r>
      <w:r w:rsidR="00AA1832">
        <w:t>10 October</w:t>
      </w:r>
      <w:r w:rsidR="00157971">
        <w:t xml:space="preserve"> </w:t>
      </w:r>
      <w:r w:rsidRPr="00A95493">
        <w:t>2014</w:t>
      </w:r>
    </w:p>
    <w:p w:rsidR="00A33985" w:rsidRPr="00A33985" w:rsidRDefault="00A33985" w:rsidP="00C91F1D">
      <w:pPr>
        <w:pStyle w:val="SingleTxtG"/>
        <w:ind w:left="4536" w:hanging="3402"/>
        <w:jc w:val="left"/>
      </w:pPr>
      <w:r w:rsidRPr="00A33985">
        <w:rPr>
          <w:i/>
          <w:iCs/>
        </w:rPr>
        <w:t>Subject matter:</w:t>
      </w:r>
      <w:r w:rsidRPr="00A33985">
        <w:tab/>
      </w:r>
      <w:r w:rsidR="00203FB5">
        <w:t>Arrest and i</w:t>
      </w:r>
      <w:r w:rsidRPr="00A33985">
        <w:t xml:space="preserve">mposition of a fine for holding </w:t>
      </w:r>
      <w:r w:rsidR="00360B17">
        <w:t xml:space="preserve">of a </w:t>
      </w:r>
      <w:r w:rsidRPr="00A33985">
        <w:t>peaceful assembl</w:t>
      </w:r>
      <w:r w:rsidR="00360B17">
        <w:t>y</w:t>
      </w:r>
      <w:r w:rsidRPr="00A33985">
        <w:t xml:space="preserve"> without prior authori</w:t>
      </w:r>
      <w:r w:rsidR="00C91F1D">
        <w:t>z</w:t>
      </w:r>
      <w:r w:rsidRPr="00A33985">
        <w:t xml:space="preserve">ation </w:t>
      </w:r>
    </w:p>
    <w:p w:rsidR="00A33985" w:rsidRPr="00A33985" w:rsidRDefault="00A33985" w:rsidP="00C91F1D">
      <w:pPr>
        <w:pStyle w:val="SingleTxtG"/>
        <w:ind w:left="4536" w:hanging="3402"/>
        <w:jc w:val="left"/>
      </w:pPr>
      <w:r w:rsidRPr="00A33985">
        <w:rPr>
          <w:i/>
          <w:iCs/>
        </w:rPr>
        <w:t xml:space="preserve">Substantive issues: </w:t>
      </w:r>
      <w:r w:rsidRPr="00A33985">
        <w:rPr>
          <w:i/>
          <w:iCs/>
        </w:rPr>
        <w:tab/>
      </w:r>
      <w:r w:rsidRPr="00A33985">
        <w:t xml:space="preserve">Right to freedom of expression; </w:t>
      </w:r>
      <w:r w:rsidR="00203FB5">
        <w:t xml:space="preserve">right </w:t>
      </w:r>
      <w:r w:rsidR="00C91F1D" w:rsidRPr="00A33985">
        <w:t xml:space="preserve">to freedom </w:t>
      </w:r>
      <w:r w:rsidR="00203FB5">
        <w:t xml:space="preserve">of peaceful assembly; </w:t>
      </w:r>
      <w:r w:rsidRPr="00A33985">
        <w:t>permissible restrictions</w:t>
      </w:r>
    </w:p>
    <w:p w:rsidR="00A33985" w:rsidRPr="00A33985" w:rsidRDefault="00A33985" w:rsidP="00B33594">
      <w:pPr>
        <w:pStyle w:val="SingleTxtG"/>
        <w:ind w:left="4536" w:hanging="3402"/>
        <w:jc w:val="left"/>
      </w:pPr>
      <w:r w:rsidRPr="00A33985">
        <w:rPr>
          <w:i/>
          <w:iCs/>
        </w:rPr>
        <w:t xml:space="preserve">Procedural issue: </w:t>
      </w:r>
      <w:r w:rsidRPr="00A33985">
        <w:rPr>
          <w:i/>
          <w:iCs/>
        </w:rPr>
        <w:tab/>
      </w:r>
      <w:r w:rsidRPr="00A33985">
        <w:rPr>
          <w:iCs/>
        </w:rPr>
        <w:t>E</w:t>
      </w:r>
      <w:r w:rsidRPr="00A33985">
        <w:t>xhaustion of domestic remedies</w:t>
      </w:r>
    </w:p>
    <w:p w:rsidR="00A33985" w:rsidRPr="00A33985" w:rsidRDefault="00A33985" w:rsidP="00BD6C86">
      <w:pPr>
        <w:pStyle w:val="SingleTxtG"/>
        <w:ind w:left="4536" w:hanging="3402"/>
        <w:jc w:val="left"/>
      </w:pPr>
      <w:r w:rsidRPr="00A33985">
        <w:rPr>
          <w:i/>
          <w:iCs/>
        </w:rPr>
        <w:t>Article</w:t>
      </w:r>
      <w:r w:rsidR="00D07317">
        <w:rPr>
          <w:i/>
          <w:iCs/>
        </w:rPr>
        <w:t>s</w:t>
      </w:r>
      <w:r w:rsidRPr="00A33985">
        <w:rPr>
          <w:i/>
          <w:iCs/>
        </w:rPr>
        <w:t xml:space="preserve"> of the Covenant:</w:t>
      </w:r>
      <w:r w:rsidRPr="00A33985">
        <w:t xml:space="preserve"> </w:t>
      </w:r>
      <w:r w:rsidRPr="00A33985">
        <w:tab/>
        <w:t xml:space="preserve">19, </w:t>
      </w:r>
      <w:r w:rsidR="0075611D">
        <w:t>para</w:t>
      </w:r>
      <w:r w:rsidR="00BD6C86">
        <w:t xml:space="preserve">. </w:t>
      </w:r>
      <w:r w:rsidRPr="00A33985">
        <w:t>2</w:t>
      </w:r>
      <w:r w:rsidR="00203FB5">
        <w:t xml:space="preserve">; </w:t>
      </w:r>
      <w:r w:rsidR="00C91F1D">
        <w:t xml:space="preserve">and </w:t>
      </w:r>
      <w:r w:rsidR="00203FB5">
        <w:t>21</w:t>
      </w:r>
    </w:p>
    <w:p w:rsidR="00A33985" w:rsidRPr="00A33985" w:rsidRDefault="0075611D" w:rsidP="00B33594">
      <w:pPr>
        <w:pStyle w:val="SingleTxtG"/>
        <w:ind w:left="4536" w:hanging="3402"/>
        <w:jc w:val="left"/>
      </w:pPr>
      <w:r>
        <w:rPr>
          <w:i/>
          <w:iCs/>
        </w:rPr>
        <w:t>Article </w:t>
      </w:r>
      <w:r w:rsidR="00A33985" w:rsidRPr="00A33985">
        <w:rPr>
          <w:i/>
          <w:iCs/>
        </w:rPr>
        <w:t>of the Optional Protocol:</w:t>
      </w:r>
      <w:r w:rsidR="00A33985" w:rsidRPr="00A33985">
        <w:rPr>
          <w:i/>
          <w:iCs/>
        </w:rPr>
        <w:tab/>
      </w:r>
      <w:r>
        <w:t>5, para. </w:t>
      </w:r>
      <w:r w:rsidR="00A33985" w:rsidRPr="00A33985">
        <w:t>2 (b)</w:t>
      </w:r>
    </w:p>
    <w:p w:rsidR="00A33985" w:rsidRPr="00A33985" w:rsidRDefault="00A33985" w:rsidP="00A33985">
      <w:pPr>
        <w:pStyle w:val="SingleTxtG"/>
      </w:pPr>
      <w:r w:rsidRPr="00A33985">
        <w:tab/>
      </w:r>
    </w:p>
    <w:p w:rsidR="00A33985" w:rsidRPr="00A33985" w:rsidRDefault="00A33985" w:rsidP="00A33985">
      <w:pPr>
        <w:pStyle w:val="HChG"/>
      </w:pPr>
      <w:r w:rsidRPr="00A33985">
        <w:br w:type="page"/>
      </w:r>
      <w:r w:rsidRPr="00A33985">
        <w:lastRenderedPageBreak/>
        <w:t>Annex</w:t>
      </w:r>
    </w:p>
    <w:p w:rsidR="00A33985" w:rsidRPr="00A33985" w:rsidRDefault="00A33985" w:rsidP="00157971">
      <w:pPr>
        <w:pStyle w:val="HChG"/>
        <w:rPr>
          <w:bCs/>
        </w:rPr>
      </w:pPr>
      <w:r w:rsidRPr="00A33985">
        <w:tab/>
      </w:r>
      <w:r w:rsidRPr="00A33985">
        <w:tab/>
        <w:t xml:space="preserve">Views of the Human Rights Committee under </w:t>
      </w:r>
      <w:r w:rsidR="0075611D">
        <w:t>article </w:t>
      </w:r>
      <w:r w:rsidRPr="00A33985">
        <w:t xml:space="preserve">5, </w:t>
      </w:r>
      <w:r w:rsidR="0075611D">
        <w:t>paragraph </w:t>
      </w:r>
      <w:r w:rsidRPr="00A33985">
        <w:t>4, of the Optional Protocol to the International Covenant on Civil and Political rights (</w:t>
      </w:r>
      <w:r w:rsidR="00157971">
        <w:t>112th</w:t>
      </w:r>
      <w:r w:rsidRPr="00A33985">
        <w:t xml:space="preserve"> </w:t>
      </w:r>
      <w:r w:rsidRPr="00A33985">
        <w:rPr>
          <w:bCs/>
        </w:rPr>
        <w:t>session)</w:t>
      </w:r>
    </w:p>
    <w:p w:rsidR="00A33985" w:rsidRPr="00A33985" w:rsidRDefault="00A33985" w:rsidP="00A33985">
      <w:pPr>
        <w:pStyle w:val="SingleTxtG"/>
        <w:rPr>
          <w:b/>
          <w:bCs/>
        </w:rPr>
      </w:pPr>
      <w:r w:rsidRPr="00A33985">
        <w:t>concerning</w:t>
      </w:r>
    </w:p>
    <w:p w:rsidR="00A33985" w:rsidRPr="00A33985" w:rsidRDefault="00B33594" w:rsidP="00A33985">
      <w:pPr>
        <w:pStyle w:val="H1G"/>
      </w:pPr>
      <w:r>
        <w:tab/>
      </w:r>
      <w:r>
        <w:tab/>
        <w:t>Communication No. </w:t>
      </w:r>
      <w:r w:rsidR="00BC2862">
        <w:t>2029</w:t>
      </w:r>
      <w:r w:rsidR="00A33985" w:rsidRPr="00A33985">
        <w:t>/201</w:t>
      </w:r>
      <w:r w:rsidR="00BC2862">
        <w:t>1</w:t>
      </w:r>
      <w:r w:rsidR="00157423" w:rsidRPr="00333DD2">
        <w:rPr>
          <w:rStyle w:val="FootnoteReference"/>
          <w:b w:val="0"/>
          <w:bCs/>
          <w:sz w:val="20"/>
          <w:vertAlign w:val="baseline"/>
        </w:rPr>
        <w:footnoteReference w:customMarkFollows="1" w:id="2"/>
        <w:t>*</w:t>
      </w:r>
    </w:p>
    <w:p w:rsidR="00A33985" w:rsidRPr="00A33985" w:rsidRDefault="00A33985" w:rsidP="00157971">
      <w:pPr>
        <w:pStyle w:val="SingleTxtG"/>
        <w:ind w:left="4536" w:hanging="3402"/>
        <w:jc w:val="left"/>
      </w:pPr>
      <w:r w:rsidRPr="00A33985">
        <w:rPr>
          <w:i/>
        </w:rPr>
        <w:t>Submitted by:</w:t>
      </w:r>
      <w:r w:rsidRPr="00A33985">
        <w:tab/>
      </w:r>
      <w:r w:rsidR="00BC2862">
        <w:t>Sergey Praded</w:t>
      </w:r>
      <w:r w:rsidRPr="00A33985">
        <w:t xml:space="preserve"> (</w:t>
      </w:r>
      <w:r w:rsidR="00157971">
        <w:t>not represented by counsel</w:t>
      </w:r>
      <w:r w:rsidRPr="00A33985">
        <w:t>)</w:t>
      </w:r>
    </w:p>
    <w:p w:rsidR="00A33985" w:rsidRPr="00A33985" w:rsidRDefault="00A33985" w:rsidP="00680B8C">
      <w:pPr>
        <w:pStyle w:val="SingleTxtG"/>
        <w:ind w:left="4536" w:hanging="3402"/>
        <w:jc w:val="left"/>
      </w:pPr>
      <w:r w:rsidRPr="00A33985">
        <w:rPr>
          <w:i/>
        </w:rPr>
        <w:t>Alleged victim:</w:t>
      </w:r>
      <w:r w:rsidRPr="00A33985">
        <w:tab/>
        <w:t>The author</w:t>
      </w:r>
    </w:p>
    <w:p w:rsidR="00A33985" w:rsidRPr="00A33985" w:rsidRDefault="00A33985" w:rsidP="00680B8C">
      <w:pPr>
        <w:pStyle w:val="SingleTxtG"/>
        <w:ind w:left="4536" w:hanging="3402"/>
        <w:jc w:val="left"/>
      </w:pPr>
      <w:r w:rsidRPr="00A33985">
        <w:rPr>
          <w:i/>
        </w:rPr>
        <w:t>State party:</w:t>
      </w:r>
      <w:r w:rsidRPr="00A33985">
        <w:tab/>
      </w:r>
      <w:smartTag w:uri="urn:schemas-microsoft-com:office:smarttags" w:element="country-region">
        <w:smartTag w:uri="urn:schemas-microsoft-com:office:smarttags" w:element="place">
          <w:r w:rsidRPr="00A33985">
            <w:t>Belarus</w:t>
          </w:r>
        </w:smartTag>
      </w:smartTag>
    </w:p>
    <w:p w:rsidR="00A33985" w:rsidRPr="00A33985" w:rsidRDefault="00A33985" w:rsidP="00680B8C">
      <w:pPr>
        <w:pStyle w:val="SingleTxtG"/>
        <w:ind w:left="4536" w:hanging="3402"/>
        <w:jc w:val="left"/>
      </w:pPr>
      <w:r w:rsidRPr="00A33985">
        <w:rPr>
          <w:i/>
        </w:rPr>
        <w:t>Date of communications:</w:t>
      </w:r>
      <w:r w:rsidRPr="00A33985">
        <w:tab/>
        <w:t>2</w:t>
      </w:r>
      <w:r w:rsidR="00BC2862">
        <w:t>0</w:t>
      </w:r>
      <w:r w:rsidRPr="00A33985">
        <w:t xml:space="preserve"> </w:t>
      </w:r>
      <w:r w:rsidR="00BC2862">
        <w:t>June</w:t>
      </w:r>
      <w:r w:rsidRPr="00A33985">
        <w:t xml:space="preserve"> 20</w:t>
      </w:r>
      <w:r w:rsidR="00BC2862">
        <w:t>10</w:t>
      </w:r>
      <w:r w:rsidRPr="00A33985">
        <w:t xml:space="preserve"> (initial submission)</w:t>
      </w:r>
    </w:p>
    <w:p w:rsidR="00A33985" w:rsidRPr="00A33985" w:rsidRDefault="00A33985" w:rsidP="00A33985">
      <w:pPr>
        <w:pStyle w:val="SingleTxtG"/>
      </w:pPr>
      <w:r w:rsidRPr="00A33985">
        <w:tab/>
      </w:r>
      <w:r w:rsidRPr="00A33985">
        <w:rPr>
          <w:i/>
        </w:rPr>
        <w:t>The Human Rights Committee</w:t>
      </w:r>
      <w:r w:rsidR="00680B8C">
        <w:t xml:space="preserve">, established under </w:t>
      </w:r>
      <w:r w:rsidR="0075611D">
        <w:t>article </w:t>
      </w:r>
      <w:r w:rsidRPr="00A33985">
        <w:t xml:space="preserve">28 of the International Covenant on Civil and Political Rights, </w:t>
      </w:r>
    </w:p>
    <w:p w:rsidR="00A33985" w:rsidRPr="00A33985" w:rsidRDefault="00A33985" w:rsidP="00A33985">
      <w:pPr>
        <w:pStyle w:val="SingleTxtG"/>
      </w:pPr>
      <w:r w:rsidRPr="00A33985">
        <w:tab/>
      </w:r>
      <w:r w:rsidRPr="00A33985">
        <w:rPr>
          <w:i/>
        </w:rPr>
        <w:t xml:space="preserve">Meeting </w:t>
      </w:r>
      <w:r w:rsidRPr="00157971">
        <w:rPr>
          <w:iCs/>
        </w:rPr>
        <w:t>on</w:t>
      </w:r>
      <w:r w:rsidRPr="00A33985">
        <w:t xml:space="preserve"> </w:t>
      </w:r>
      <w:r w:rsidR="00C415AD">
        <w:t>10 October</w:t>
      </w:r>
      <w:r w:rsidRPr="00A95493">
        <w:t xml:space="preserve"> 2014,</w:t>
      </w:r>
    </w:p>
    <w:p w:rsidR="00A33985" w:rsidRPr="00A33985" w:rsidRDefault="00A33985" w:rsidP="00A33985">
      <w:pPr>
        <w:pStyle w:val="SingleTxtG"/>
      </w:pPr>
      <w:r w:rsidRPr="00A33985">
        <w:tab/>
      </w:r>
      <w:r w:rsidRPr="00A33985">
        <w:rPr>
          <w:i/>
        </w:rPr>
        <w:t>Having concluded</w:t>
      </w:r>
      <w:r w:rsidRPr="00A33985">
        <w:t xml:space="preserve"> its consideration of communication </w:t>
      </w:r>
      <w:r w:rsidR="00680B8C">
        <w:t>No. </w:t>
      </w:r>
      <w:r w:rsidR="00BC2862">
        <w:t>2029/2011</w:t>
      </w:r>
      <w:r w:rsidRPr="00A33985">
        <w:t xml:space="preserve">, submitted to the Human Rights Committee by </w:t>
      </w:r>
      <w:r w:rsidR="00BC2862">
        <w:t>Sergey Praded</w:t>
      </w:r>
      <w:r w:rsidRPr="00A33985">
        <w:t xml:space="preserve"> under the Optional Protocol to the International Covenant on Civil and Political Rights,</w:t>
      </w:r>
    </w:p>
    <w:p w:rsidR="00A33985" w:rsidRPr="00A33985" w:rsidRDefault="00A33985" w:rsidP="00A33985">
      <w:pPr>
        <w:pStyle w:val="SingleTxtG"/>
      </w:pPr>
      <w:r w:rsidRPr="00A33985">
        <w:tab/>
      </w:r>
      <w:r w:rsidRPr="00A33985">
        <w:rPr>
          <w:i/>
        </w:rPr>
        <w:t>Having taken into account</w:t>
      </w:r>
      <w:r w:rsidRPr="00A33985">
        <w:t xml:space="preserve"> all written information made available to it by the author of the communication and the State party,</w:t>
      </w:r>
    </w:p>
    <w:p w:rsidR="00A33985" w:rsidRPr="00A33985" w:rsidRDefault="00A33985" w:rsidP="00A33985">
      <w:pPr>
        <w:pStyle w:val="SingleTxtG"/>
        <w:rPr>
          <w:i/>
        </w:rPr>
      </w:pPr>
      <w:r w:rsidRPr="00A33985">
        <w:tab/>
      </w:r>
      <w:r w:rsidRPr="00A33985">
        <w:rPr>
          <w:i/>
        </w:rPr>
        <w:t xml:space="preserve">Adopts </w:t>
      </w:r>
      <w:r w:rsidRPr="00157971">
        <w:rPr>
          <w:iCs/>
        </w:rPr>
        <w:t>the following:</w:t>
      </w:r>
    </w:p>
    <w:p w:rsidR="00A33985" w:rsidRPr="00A33985" w:rsidRDefault="00A33985" w:rsidP="00A33985">
      <w:pPr>
        <w:pStyle w:val="H1G"/>
      </w:pPr>
      <w:r w:rsidRPr="00A33985">
        <w:tab/>
      </w:r>
      <w:r w:rsidRPr="00A33985">
        <w:tab/>
        <w:t xml:space="preserve">Views under </w:t>
      </w:r>
      <w:r w:rsidR="0075611D">
        <w:t>article </w:t>
      </w:r>
      <w:r w:rsidRPr="00A33985">
        <w:t xml:space="preserve">5, </w:t>
      </w:r>
      <w:r w:rsidR="0075611D">
        <w:t>paragraph </w:t>
      </w:r>
      <w:r w:rsidRPr="00A33985">
        <w:t>4, of the Optional Protocol</w:t>
      </w:r>
    </w:p>
    <w:p w:rsidR="00A33985" w:rsidRPr="00A33985" w:rsidRDefault="00A33985" w:rsidP="008D7B0A">
      <w:pPr>
        <w:pStyle w:val="SingleTxtG"/>
      </w:pPr>
      <w:r w:rsidRPr="00A33985">
        <w:t>1.</w:t>
      </w:r>
      <w:r w:rsidRPr="00A33985">
        <w:tab/>
        <w:t xml:space="preserve">The author of the communication is </w:t>
      </w:r>
      <w:r w:rsidR="00BC2862">
        <w:t>Sergey Praded</w:t>
      </w:r>
      <w:r w:rsidRPr="00A33985">
        <w:t>, a Belarusian national born in 19</w:t>
      </w:r>
      <w:r w:rsidR="00BC2862">
        <w:t>87</w:t>
      </w:r>
      <w:r w:rsidRPr="00A33985">
        <w:t xml:space="preserve">. He claims to be </w:t>
      </w:r>
      <w:r w:rsidR="008D7B0A">
        <w:t>the</w:t>
      </w:r>
      <w:r w:rsidR="008D7B0A" w:rsidRPr="00A33985">
        <w:t xml:space="preserve"> </w:t>
      </w:r>
      <w:r w:rsidRPr="00A33985">
        <w:t>victim of a violation by Bela</w:t>
      </w:r>
      <w:r w:rsidR="00680B8C">
        <w:t xml:space="preserve">rus of his rights under </w:t>
      </w:r>
      <w:r w:rsidR="0075611D">
        <w:t>article </w:t>
      </w:r>
      <w:r w:rsidR="00680B8C">
        <w:t xml:space="preserve">19, </w:t>
      </w:r>
      <w:r w:rsidR="0075611D">
        <w:t>paragraph </w:t>
      </w:r>
      <w:r w:rsidRPr="00A33985">
        <w:t xml:space="preserve">2, </w:t>
      </w:r>
      <w:r w:rsidR="00680B8C">
        <w:t xml:space="preserve">and </w:t>
      </w:r>
      <w:r w:rsidR="0075611D">
        <w:t>article </w:t>
      </w:r>
      <w:r w:rsidR="00BC2862">
        <w:t xml:space="preserve">21 </w:t>
      </w:r>
      <w:r w:rsidRPr="00A33985">
        <w:t xml:space="preserve">of the International Covenant on Civil and Political Rights. The Optional Protocol </w:t>
      </w:r>
      <w:r w:rsidR="00157971">
        <w:t xml:space="preserve">to the Covenant </w:t>
      </w:r>
      <w:r w:rsidRPr="00A33985">
        <w:t xml:space="preserve">entered into force for the State party on 30 December 1992. The author is </w:t>
      </w:r>
      <w:r w:rsidR="009F7D24">
        <w:t xml:space="preserve">not </w:t>
      </w:r>
      <w:r w:rsidRPr="00A33985">
        <w:t xml:space="preserve">represented. </w:t>
      </w:r>
    </w:p>
    <w:p w:rsidR="00A33985" w:rsidRPr="00A33985" w:rsidRDefault="00A33985" w:rsidP="00A33985">
      <w:pPr>
        <w:pStyle w:val="H23G"/>
      </w:pPr>
      <w:r w:rsidRPr="00A33985">
        <w:tab/>
      </w:r>
      <w:r w:rsidRPr="00A33985">
        <w:tab/>
        <w:t>The facts as presented by the author</w:t>
      </w:r>
    </w:p>
    <w:p w:rsidR="007149BC" w:rsidRDefault="00A33985" w:rsidP="00C43960">
      <w:pPr>
        <w:pStyle w:val="SingleTxtG"/>
      </w:pPr>
      <w:r w:rsidRPr="00A33985">
        <w:t>2.1</w:t>
      </w:r>
      <w:r w:rsidRPr="00A33985">
        <w:tab/>
      </w:r>
      <w:r w:rsidR="007149BC">
        <w:t xml:space="preserve">On 16 December 2009, the author participated </w:t>
      </w:r>
      <w:r w:rsidR="004057F4">
        <w:t xml:space="preserve">with only a few people </w:t>
      </w:r>
      <w:r w:rsidR="007149BC">
        <w:t xml:space="preserve">in a peaceful demonstration </w:t>
      </w:r>
      <w:r w:rsidR="00157971">
        <w:t xml:space="preserve">in which </w:t>
      </w:r>
      <w:r w:rsidR="007149BC">
        <w:t xml:space="preserve">a poster </w:t>
      </w:r>
      <w:r w:rsidR="00157971">
        <w:t xml:space="preserve">that read </w:t>
      </w:r>
      <w:r w:rsidR="007149BC">
        <w:t xml:space="preserve">“Stop killings of gays in </w:t>
      </w:r>
      <w:smartTag w:uri="urn:schemas-microsoft-com:office:smarttags" w:element="country-region">
        <w:r w:rsidR="007149BC">
          <w:t>Iran</w:t>
        </w:r>
      </w:smartTag>
      <w:r w:rsidR="007149BC">
        <w:t xml:space="preserve">” </w:t>
      </w:r>
      <w:r w:rsidR="00157971">
        <w:t xml:space="preserve">was displayed </w:t>
      </w:r>
      <w:r w:rsidR="007149BC">
        <w:t xml:space="preserve">in front of the Embassy </w:t>
      </w:r>
      <w:r w:rsidR="00157971">
        <w:t xml:space="preserve">of the Islamic Republic of Iran </w:t>
      </w:r>
      <w:r w:rsidR="007149BC">
        <w:t xml:space="preserve">in </w:t>
      </w:r>
      <w:smartTag w:uri="urn:schemas-microsoft-com:office:smarttags" w:element="City">
        <w:smartTag w:uri="urn:schemas-microsoft-com:office:smarttags" w:element="place">
          <w:r w:rsidR="007149BC">
            <w:t>Minsk</w:t>
          </w:r>
        </w:smartTag>
      </w:smartTag>
      <w:r w:rsidR="007149BC">
        <w:t xml:space="preserve">. He was </w:t>
      </w:r>
      <w:r w:rsidR="00A52A17">
        <w:t xml:space="preserve">apprehended </w:t>
      </w:r>
      <w:r w:rsidR="007149BC">
        <w:t xml:space="preserve">and </w:t>
      </w:r>
      <w:r w:rsidR="00A52A17">
        <w:t xml:space="preserve">brought </w:t>
      </w:r>
      <w:r w:rsidR="006F7C82">
        <w:t xml:space="preserve">to </w:t>
      </w:r>
      <w:r w:rsidR="00835EA5">
        <w:t xml:space="preserve">a </w:t>
      </w:r>
      <w:r w:rsidR="006F7C82">
        <w:t>police station</w:t>
      </w:r>
      <w:r w:rsidR="00C43960">
        <w:t>,</w:t>
      </w:r>
      <w:r w:rsidR="006F7C82">
        <w:t xml:space="preserve"> where </w:t>
      </w:r>
      <w:r w:rsidR="00835EA5">
        <w:t>an official record of administrative offence was made</w:t>
      </w:r>
      <w:r w:rsidR="00C43960">
        <w:t>,</w:t>
      </w:r>
      <w:r w:rsidR="00835EA5">
        <w:t xml:space="preserve"> </w:t>
      </w:r>
      <w:r w:rsidR="00835EA5">
        <w:lastRenderedPageBreak/>
        <w:t xml:space="preserve">and </w:t>
      </w:r>
      <w:r w:rsidR="00C43960">
        <w:t xml:space="preserve">where </w:t>
      </w:r>
      <w:r w:rsidR="006F7C82">
        <w:t xml:space="preserve">he was charged </w:t>
      </w:r>
      <w:r w:rsidR="006F7C82" w:rsidRPr="00A33985">
        <w:t xml:space="preserve">under </w:t>
      </w:r>
      <w:r w:rsidR="0075611D">
        <w:t xml:space="preserve">article 23.34, </w:t>
      </w:r>
      <w:r w:rsidR="00C43960">
        <w:t>paragraph</w:t>
      </w:r>
      <w:r w:rsidR="0075611D">
        <w:t> </w:t>
      </w:r>
      <w:r w:rsidR="006F7C82" w:rsidRPr="00A33985">
        <w:t xml:space="preserve">1, of the </w:t>
      </w:r>
      <w:r w:rsidR="006F7C82" w:rsidRPr="00A60430">
        <w:t>Belarusian</w:t>
      </w:r>
      <w:r w:rsidR="000B3259" w:rsidRPr="00A60430">
        <w:t xml:space="preserve"> </w:t>
      </w:r>
      <w:r w:rsidR="006F7C82" w:rsidRPr="00A33985">
        <w:t>Code of Administrative Offences</w:t>
      </w:r>
      <w:r w:rsidR="006F7C82">
        <w:t>.</w:t>
      </w:r>
      <w:r w:rsidR="006F7C82" w:rsidRPr="00680B8C">
        <w:rPr>
          <w:rStyle w:val="FootnoteReference"/>
        </w:rPr>
        <w:footnoteReference w:id="3"/>
      </w:r>
    </w:p>
    <w:p w:rsidR="00F4774E" w:rsidRDefault="006F7C82" w:rsidP="008D7B0A">
      <w:pPr>
        <w:pStyle w:val="SingleTxtG"/>
      </w:pPr>
      <w:r>
        <w:t>2.2</w:t>
      </w:r>
      <w:r>
        <w:tab/>
      </w:r>
      <w:r w:rsidR="00A33985" w:rsidRPr="00A33985">
        <w:t>On 2</w:t>
      </w:r>
      <w:r w:rsidR="00081BAB">
        <w:t>3</w:t>
      </w:r>
      <w:r w:rsidR="00A33985" w:rsidRPr="00A33985">
        <w:t xml:space="preserve"> </w:t>
      </w:r>
      <w:r w:rsidR="00081BAB">
        <w:t>December 2009</w:t>
      </w:r>
      <w:r w:rsidR="00A33985" w:rsidRPr="00A33985">
        <w:t xml:space="preserve">, the Court of </w:t>
      </w:r>
      <w:r w:rsidR="00081BAB">
        <w:t>the Soviet District in Minsk</w:t>
      </w:r>
      <w:r w:rsidR="00A33985" w:rsidRPr="00A33985">
        <w:t xml:space="preserve"> found the author guilty of an administrative of</w:t>
      </w:r>
      <w:r w:rsidR="00680B8C">
        <w:t xml:space="preserve">fence under </w:t>
      </w:r>
      <w:r w:rsidR="0075611D">
        <w:t>article </w:t>
      </w:r>
      <w:r w:rsidR="00680B8C">
        <w:t xml:space="preserve">23.34, </w:t>
      </w:r>
      <w:r w:rsidR="00C43960">
        <w:t>paragraph </w:t>
      </w:r>
      <w:r w:rsidR="00A33985" w:rsidRPr="00A33985">
        <w:t xml:space="preserve">1, of </w:t>
      </w:r>
      <w:r w:rsidR="00C43960" w:rsidRPr="00A33985">
        <w:t>Code of Administrative Offences</w:t>
      </w:r>
      <w:r w:rsidR="00C43960">
        <w:t xml:space="preserve">, </w:t>
      </w:r>
      <w:r w:rsidR="00A33985" w:rsidRPr="00A33985">
        <w:t xml:space="preserve">and fined him </w:t>
      </w:r>
      <w:r w:rsidR="00C43960">
        <w:t>35</w:t>
      </w:r>
      <w:r w:rsidR="00C43960" w:rsidRPr="00A33985">
        <w:t>0</w:t>
      </w:r>
      <w:r w:rsidR="00C43960">
        <w:t>,</w:t>
      </w:r>
      <w:r w:rsidR="00A33985" w:rsidRPr="00A33985">
        <w:t xml:space="preserve">000 Belarusian </w:t>
      </w:r>
      <w:r w:rsidR="00C43960">
        <w:t>r</w:t>
      </w:r>
      <w:r w:rsidR="00A33985" w:rsidRPr="00A33985">
        <w:t xml:space="preserve">oubles. The court found that the author </w:t>
      </w:r>
      <w:r w:rsidR="00C43960">
        <w:t>and the other participants</w:t>
      </w:r>
      <w:r w:rsidR="00A33985" w:rsidRPr="00A33985">
        <w:t xml:space="preserve"> </w:t>
      </w:r>
      <w:r w:rsidR="00C43960">
        <w:t xml:space="preserve">had taken </w:t>
      </w:r>
      <w:r w:rsidR="00A33985" w:rsidRPr="00A33985">
        <w:t>part in an unauthori</w:t>
      </w:r>
      <w:r w:rsidR="00C43960">
        <w:t>z</w:t>
      </w:r>
      <w:r w:rsidR="00A33985" w:rsidRPr="00A33985">
        <w:t xml:space="preserve">ed mass event </w:t>
      </w:r>
      <w:r>
        <w:t>without obtaining a prior a</w:t>
      </w:r>
      <w:r w:rsidR="00BE75D8">
        <w:t>uthori</w:t>
      </w:r>
      <w:r w:rsidR="00C43960">
        <w:t>z</w:t>
      </w:r>
      <w:r w:rsidR="00BE75D8">
        <w:t>ation</w:t>
      </w:r>
      <w:r w:rsidR="00C43960">
        <w:t>,</w:t>
      </w:r>
      <w:r>
        <w:t xml:space="preserve"> </w:t>
      </w:r>
      <w:r w:rsidR="00F4774E">
        <w:t xml:space="preserve">in accordance with </w:t>
      </w:r>
      <w:r w:rsidR="0075611D">
        <w:t>article </w:t>
      </w:r>
      <w:r w:rsidR="00F4774E">
        <w:t xml:space="preserve">5 of the Law </w:t>
      </w:r>
      <w:r w:rsidR="00C43960">
        <w:t>o</w:t>
      </w:r>
      <w:r w:rsidR="00F4774E">
        <w:t xml:space="preserve">n </w:t>
      </w:r>
      <w:r w:rsidR="00BE75D8">
        <w:t>Mass</w:t>
      </w:r>
      <w:r w:rsidR="00F4774E">
        <w:t xml:space="preserve"> </w:t>
      </w:r>
      <w:r w:rsidR="00BE75D8">
        <w:t>Events</w:t>
      </w:r>
      <w:r w:rsidR="00A33985" w:rsidRPr="00A33985">
        <w:t xml:space="preserve">. </w:t>
      </w:r>
    </w:p>
    <w:p w:rsidR="00A33985" w:rsidRPr="00A33985" w:rsidRDefault="00A33985" w:rsidP="00C43960">
      <w:pPr>
        <w:pStyle w:val="SingleTxtG"/>
      </w:pPr>
      <w:r w:rsidRPr="00A33985">
        <w:t>2.</w:t>
      </w:r>
      <w:r w:rsidR="006F7C82">
        <w:t>3</w:t>
      </w:r>
      <w:r w:rsidRPr="00A33985">
        <w:tab/>
        <w:t xml:space="preserve">On </w:t>
      </w:r>
      <w:r w:rsidR="007149BC">
        <w:t>19 January 2010</w:t>
      </w:r>
      <w:r w:rsidRPr="00A33985">
        <w:t xml:space="preserve">, the </w:t>
      </w:r>
      <w:r w:rsidR="007149BC">
        <w:t>Minsk City</w:t>
      </w:r>
      <w:r w:rsidRPr="00A33985">
        <w:t xml:space="preserve"> Court rejected the author’s appeal and upheld the decision</w:t>
      </w:r>
      <w:r w:rsidR="00C43960">
        <w:t xml:space="preserve"> of the District </w:t>
      </w:r>
      <w:r w:rsidR="00C43960" w:rsidRPr="00A33985">
        <w:t>Court</w:t>
      </w:r>
      <w:r w:rsidRPr="00A33985">
        <w:t>.</w:t>
      </w:r>
    </w:p>
    <w:p w:rsidR="00A33985" w:rsidRPr="00A33985" w:rsidRDefault="00A33985" w:rsidP="00A33985">
      <w:pPr>
        <w:pStyle w:val="SingleTxtG"/>
      </w:pPr>
      <w:r w:rsidRPr="00A33985">
        <w:t>2.</w:t>
      </w:r>
      <w:r w:rsidR="006F7C82">
        <w:t>4</w:t>
      </w:r>
      <w:r w:rsidRPr="00A33985">
        <w:tab/>
        <w:t xml:space="preserve">On 7 </w:t>
      </w:r>
      <w:r w:rsidR="007149BC">
        <w:t>April 2010</w:t>
      </w:r>
      <w:r w:rsidRPr="00A33985">
        <w:t xml:space="preserve">, the Supreme Court dismissed the author’s application for a supervisory review of the </w:t>
      </w:r>
      <w:r w:rsidR="00BE75D8">
        <w:t xml:space="preserve">lower </w:t>
      </w:r>
      <w:r w:rsidRPr="00A33985">
        <w:t>court</w:t>
      </w:r>
      <w:r w:rsidR="00BE75D8">
        <w:t>s’</w:t>
      </w:r>
      <w:r w:rsidRPr="00A33985">
        <w:t xml:space="preserve"> decisions of 2</w:t>
      </w:r>
      <w:r w:rsidR="007149BC">
        <w:t xml:space="preserve">3 December 2009 </w:t>
      </w:r>
      <w:r w:rsidRPr="00A33985">
        <w:t xml:space="preserve">and </w:t>
      </w:r>
      <w:r w:rsidR="007149BC">
        <w:t>19 January 2010</w:t>
      </w:r>
      <w:r w:rsidRPr="00A33985">
        <w:t xml:space="preserve">. </w:t>
      </w:r>
    </w:p>
    <w:p w:rsidR="00A33985" w:rsidRPr="00A33985" w:rsidRDefault="00A33985" w:rsidP="00A33985">
      <w:pPr>
        <w:pStyle w:val="H23G"/>
      </w:pPr>
      <w:r>
        <w:tab/>
      </w:r>
      <w:r>
        <w:tab/>
      </w:r>
      <w:r w:rsidRPr="00A33985">
        <w:t>The complaint</w:t>
      </w:r>
    </w:p>
    <w:p w:rsidR="00CB6050" w:rsidRDefault="00A33985" w:rsidP="00BB208C">
      <w:pPr>
        <w:pStyle w:val="SingleTxtG"/>
      </w:pPr>
      <w:r w:rsidRPr="00A33985">
        <w:t>3.</w:t>
      </w:r>
      <w:r w:rsidR="00833331">
        <w:t>1</w:t>
      </w:r>
      <w:r w:rsidRPr="00A33985">
        <w:tab/>
        <w:t xml:space="preserve">The author claims that the facts as presented amount to a violation of his rights under </w:t>
      </w:r>
      <w:r w:rsidR="0075611D">
        <w:t>article </w:t>
      </w:r>
      <w:r w:rsidR="00CB6050">
        <w:t>21</w:t>
      </w:r>
      <w:r w:rsidRPr="00A33985">
        <w:t xml:space="preserve"> of the Covenant</w:t>
      </w:r>
      <w:r w:rsidR="00303CF0">
        <w:t>,</w:t>
      </w:r>
      <w:r w:rsidR="00CB6050">
        <w:t xml:space="preserve"> since the authorities did not provide any justification</w:t>
      </w:r>
      <w:r w:rsidR="00BE75D8">
        <w:t xml:space="preserve"> for the </w:t>
      </w:r>
      <w:r w:rsidR="00CB6050">
        <w:t>restricti</w:t>
      </w:r>
      <w:r w:rsidR="00BE75D8">
        <w:t>on of</w:t>
      </w:r>
      <w:r w:rsidR="00CB6050">
        <w:t xml:space="preserve"> his rights </w:t>
      </w:r>
      <w:r w:rsidR="00BE75D8">
        <w:t xml:space="preserve">and for his </w:t>
      </w:r>
      <w:r w:rsidR="00CB6050">
        <w:t>a</w:t>
      </w:r>
      <w:r w:rsidR="00BE75D8">
        <w:t>pprehension</w:t>
      </w:r>
      <w:r w:rsidRPr="00A33985">
        <w:t>.</w:t>
      </w:r>
      <w:r w:rsidR="00CB6050">
        <w:t xml:space="preserve"> He further claims that the </w:t>
      </w:r>
      <w:r w:rsidR="00BE75D8">
        <w:t xml:space="preserve">imposed </w:t>
      </w:r>
      <w:r w:rsidR="00CB6050">
        <w:t>restrictions were not necessary in a democratic society in the interest of national security or public safety, public order, the protection of public health or morals or the protection of the rights and freedom of others. While he admits that he did not request prior authori</w:t>
      </w:r>
      <w:r w:rsidR="00BB208C">
        <w:t>z</w:t>
      </w:r>
      <w:r w:rsidR="00CB6050">
        <w:t xml:space="preserve">ation to participate in </w:t>
      </w:r>
      <w:r w:rsidR="000153D5">
        <w:t xml:space="preserve">the demonstration, he claims that the </w:t>
      </w:r>
      <w:r w:rsidR="00BB208C">
        <w:t xml:space="preserve">legal regime in Belarus, under which prior permission is required before holding such a demonstration, </w:t>
      </w:r>
      <w:r w:rsidR="000153D5">
        <w:t xml:space="preserve">imposes unacceptable </w:t>
      </w:r>
      <w:r w:rsidR="004D792A">
        <w:t xml:space="preserve">restrictions on </w:t>
      </w:r>
      <w:r w:rsidR="00BB208C">
        <w:t xml:space="preserve">those </w:t>
      </w:r>
      <w:r w:rsidR="004D792A">
        <w:t xml:space="preserve">freedoms guaranteed </w:t>
      </w:r>
      <w:r w:rsidR="00BB208C">
        <w:t xml:space="preserve">under </w:t>
      </w:r>
      <w:r w:rsidR="0075611D">
        <w:t>article </w:t>
      </w:r>
      <w:r w:rsidR="00917D03">
        <w:t xml:space="preserve">21. According to </w:t>
      </w:r>
      <w:r w:rsidR="0075611D">
        <w:t>article </w:t>
      </w:r>
      <w:r w:rsidR="00917D03">
        <w:t xml:space="preserve">5 of the Law on </w:t>
      </w:r>
      <w:r w:rsidR="00BE75D8">
        <w:t>Mass Events</w:t>
      </w:r>
      <w:r w:rsidR="00917D03">
        <w:t xml:space="preserve">, organizers of demonstrations are required to </w:t>
      </w:r>
      <w:r w:rsidR="00BB208C">
        <w:t xml:space="preserve">establish a </w:t>
      </w:r>
      <w:r w:rsidR="00917D03">
        <w:t xml:space="preserve">contract with the Department of the Interior of the District Administration </w:t>
      </w:r>
      <w:r w:rsidR="00BB208C">
        <w:t xml:space="preserve">in order </w:t>
      </w:r>
      <w:r w:rsidR="00917D03">
        <w:t xml:space="preserve">to ensure </w:t>
      </w:r>
      <w:r w:rsidR="00BB208C">
        <w:t xml:space="preserve">that </w:t>
      </w:r>
      <w:r w:rsidR="00917D03">
        <w:t xml:space="preserve">public order </w:t>
      </w:r>
      <w:r w:rsidR="00BB208C">
        <w:t xml:space="preserve">is maintained </w:t>
      </w:r>
      <w:r w:rsidR="00917D03">
        <w:t xml:space="preserve">during the demonstration; </w:t>
      </w:r>
      <w:r w:rsidR="00BB208C">
        <w:t xml:space="preserve">a contract </w:t>
      </w:r>
      <w:r w:rsidR="00917D03">
        <w:t xml:space="preserve">with the Health Department to ensure </w:t>
      </w:r>
      <w:r w:rsidR="00BB208C">
        <w:t xml:space="preserve">that </w:t>
      </w:r>
      <w:r w:rsidR="00917D03">
        <w:t xml:space="preserve">medical care </w:t>
      </w:r>
      <w:r w:rsidR="00BB208C">
        <w:t xml:space="preserve">is provided; </w:t>
      </w:r>
      <w:r w:rsidR="00917D03">
        <w:t xml:space="preserve">and </w:t>
      </w:r>
      <w:r w:rsidR="00BB208C">
        <w:t xml:space="preserve">a contract </w:t>
      </w:r>
      <w:r w:rsidR="00917D03">
        <w:t xml:space="preserve">with the Utilities Department to ensure </w:t>
      </w:r>
      <w:r w:rsidR="00BB208C">
        <w:t xml:space="preserve">that </w:t>
      </w:r>
      <w:r w:rsidR="00917D03">
        <w:t xml:space="preserve">the </w:t>
      </w:r>
      <w:r w:rsidR="00BB208C">
        <w:t xml:space="preserve">area </w:t>
      </w:r>
      <w:r w:rsidR="00917D03">
        <w:t xml:space="preserve">where the demonstration </w:t>
      </w:r>
      <w:r w:rsidR="00BB208C">
        <w:t xml:space="preserve">is to </w:t>
      </w:r>
      <w:r w:rsidR="00917D03">
        <w:t>take place</w:t>
      </w:r>
      <w:r w:rsidR="00BE75D8">
        <w:t xml:space="preserve"> </w:t>
      </w:r>
      <w:r w:rsidR="00BB208C">
        <w:t xml:space="preserve">is cleaned </w:t>
      </w:r>
      <w:r w:rsidR="00BE75D8">
        <w:t>following the event</w:t>
      </w:r>
      <w:r w:rsidR="00917D03">
        <w:t>.</w:t>
      </w:r>
      <w:r w:rsidRPr="00A33985">
        <w:t xml:space="preserve"> </w:t>
      </w:r>
      <w:r w:rsidR="00917D03">
        <w:t xml:space="preserve">Demonstrations are also </w:t>
      </w:r>
      <w:r w:rsidR="00BB208C">
        <w:t xml:space="preserve">forbidden </w:t>
      </w:r>
      <w:r w:rsidR="00917D03">
        <w:t xml:space="preserve">within 50 metres </w:t>
      </w:r>
      <w:r w:rsidR="00BB208C">
        <w:t xml:space="preserve">of </w:t>
      </w:r>
      <w:r w:rsidR="00917D03">
        <w:t xml:space="preserve">diplomatic </w:t>
      </w:r>
      <w:r w:rsidR="00745E11">
        <w:t>premises</w:t>
      </w:r>
      <w:r w:rsidR="00BB208C">
        <w:t>,</w:t>
      </w:r>
      <w:r w:rsidR="00833331">
        <w:t xml:space="preserve"> which the author considers unacceptable in his case, since holding the demonstration at any other location would have defeated its purpose.</w:t>
      </w:r>
    </w:p>
    <w:p w:rsidR="00CB6050" w:rsidRDefault="00833331" w:rsidP="001F0FAF">
      <w:pPr>
        <w:pStyle w:val="SingleTxtG"/>
      </w:pPr>
      <w:r>
        <w:t>3.2</w:t>
      </w:r>
      <w:r>
        <w:tab/>
        <w:t xml:space="preserve">The author </w:t>
      </w:r>
      <w:r w:rsidR="00B21C36">
        <w:t xml:space="preserve">also </w:t>
      </w:r>
      <w:r>
        <w:t xml:space="preserve">claims that his </w:t>
      </w:r>
      <w:r w:rsidR="00BE75D8">
        <w:t xml:space="preserve">apprehension </w:t>
      </w:r>
      <w:r>
        <w:t xml:space="preserve">and conviction amount to a violation of his right to freedom of expression under </w:t>
      </w:r>
      <w:r w:rsidR="0075611D">
        <w:t>article </w:t>
      </w:r>
      <w:r>
        <w:t>19 of the Covenant.</w:t>
      </w:r>
      <w:r w:rsidR="002834C7">
        <w:t xml:space="preserve"> He refers to </w:t>
      </w:r>
      <w:r w:rsidR="00BE75D8">
        <w:t xml:space="preserve">the </w:t>
      </w:r>
      <w:r w:rsidR="002834C7">
        <w:t xml:space="preserve">Committee’s </w:t>
      </w:r>
      <w:r w:rsidR="00033EA1">
        <w:t>Views</w:t>
      </w:r>
      <w:r w:rsidR="009F7D24" w:rsidRPr="00680B8C">
        <w:rPr>
          <w:rStyle w:val="FootnoteReference"/>
        </w:rPr>
        <w:footnoteReference w:id="4"/>
      </w:r>
      <w:r w:rsidR="002834C7">
        <w:t xml:space="preserve"> </w:t>
      </w:r>
      <w:r w:rsidR="00033EA1">
        <w:t xml:space="preserve">in which </w:t>
      </w:r>
      <w:r w:rsidR="001F0FAF">
        <w:t xml:space="preserve">it </w:t>
      </w:r>
      <w:r w:rsidR="002834C7">
        <w:t xml:space="preserve">found </w:t>
      </w:r>
      <w:r w:rsidR="00BE75D8">
        <w:t xml:space="preserve">a </w:t>
      </w:r>
      <w:r w:rsidR="002834C7">
        <w:t xml:space="preserve">violation of </w:t>
      </w:r>
      <w:r w:rsidR="0075611D">
        <w:t>article </w:t>
      </w:r>
      <w:r w:rsidR="002834C7">
        <w:t xml:space="preserve">19, despite the fact that the national courts </w:t>
      </w:r>
      <w:r w:rsidR="00185C00">
        <w:t xml:space="preserve">in question </w:t>
      </w:r>
      <w:r w:rsidR="002834C7">
        <w:t>had acted in accordance with domestic legislation</w:t>
      </w:r>
      <w:r w:rsidR="00033EA1">
        <w:t>,</w:t>
      </w:r>
      <w:r w:rsidR="00525E24">
        <w:t xml:space="preserve"> and </w:t>
      </w:r>
      <w:r w:rsidR="00033EA1">
        <w:t>its Views</w:t>
      </w:r>
      <w:r w:rsidR="009F7D24" w:rsidRPr="00680B8C">
        <w:rPr>
          <w:rStyle w:val="FootnoteReference"/>
        </w:rPr>
        <w:footnoteReference w:id="5"/>
      </w:r>
      <w:r w:rsidR="00525E24">
        <w:t xml:space="preserve"> </w:t>
      </w:r>
      <w:r w:rsidR="00033EA1">
        <w:t xml:space="preserve">in which </w:t>
      </w:r>
      <w:r w:rsidR="001F0FAF">
        <w:t xml:space="preserve">it </w:t>
      </w:r>
      <w:r w:rsidR="00525E24">
        <w:t xml:space="preserve">found </w:t>
      </w:r>
      <w:r w:rsidR="00033EA1">
        <w:t xml:space="preserve">it incompatible with the Covenant </w:t>
      </w:r>
      <w:r w:rsidR="00525E24">
        <w:t xml:space="preserve">that the State party </w:t>
      </w:r>
      <w:r w:rsidR="00033EA1">
        <w:t xml:space="preserve">had given priority to the application of its national law over its obligations under </w:t>
      </w:r>
      <w:r w:rsidR="00525E24">
        <w:t xml:space="preserve">the Covenant. The author further submits that </w:t>
      </w:r>
      <w:smartTag w:uri="urn:schemas-microsoft-com:office:smarttags" w:element="country-region">
        <w:smartTag w:uri="urn:schemas-microsoft-com:office:smarttags" w:element="place">
          <w:r w:rsidR="00525E24">
            <w:t>Belarus</w:t>
          </w:r>
        </w:smartTag>
      </w:smartTag>
      <w:r w:rsidR="00525E24">
        <w:t xml:space="preserve"> has not </w:t>
      </w:r>
      <w:r w:rsidR="00185C00">
        <w:t xml:space="preserve">submitted </w:t>
      </w:r>
      <w:r w:rsidR="00525E24">
        <w:t xml:space="preserve">a notification under </w:t>
      </w:r>
      <w:r w:rsidR="0075611D">
        <w:t>article </w:t>
      </w:r>
      <w:r w:rsidR="00525E24">
        <w:t xml:space="preserve">4, </w:t>
      </w:r>
      <w:r w:rsidR="0075611D">
        <w:t>paragraph </w:t>
      </w:r>
      <w:r w:rsidR="00525E24">
        <w:t>3</w:t>
      </w:r>
      <w:r w:rsidR="00033EA1">
        <w:t>,</w:t>
      </w:r>
      <w:r w:rsidR="00525E24">
        <w:t xml:space="preserve"> of the Covenant </w:t>
      </w:r>
      <w:r w:rsidR="00185C00">
        <w:t xml:space="preserve">in order to avail </w:t>
      </w:r>
      <w:r w:rsidR="00525E24">
        <w:t xml:space="preserve">itself of the right of derogation of certain rights </w:t>
      </w:r>
      <w:r w:rsidR="00033EA1">
        <w:t xml:space="preserve">owing </w:t>
      </w:r>
      <w:r w:rsidR="00525E24">
        <w:t>to a public emergency.</w:t>
      </w:r>
    </w:p>
    <w:p w:rsidR="00A33985" w:rsidRPr="00A33985" w:rsidRDefault="00A33985" w:rsidP="00A33985">
      <w:pPr>
        <w:pStyle w:val="H23G"/>
      </w:pPr>
      <w:r w:rsidRPr="00A33985">
        <w:lastRenderedPageBreak/>
        <w:tab/>
      </w:r>
      <w:r w:rsidRPr="00A33985">
        <w:tab/>
        <w:t>State party’</w:t>
      </w:r>
      <w:r w:rsidR="0075611D">
        <w:t>s observations on admissibility</w:t>
      </w:r>
    </w:p>
    <w:p w:rsidR="00525E24" w:rsidRDefault="00A33985" w:rsidP="001F0FAF">
      <w:pPr>
        <w:pStyle w:val="SingleTxtG"/>
        <w:rPr>
          <w:lang w:val="en-US"/>
        </w:rPr>
      </w:pPr>
      <w:r w:rsidRPr="00A33985">
        <w:rPr>
          <w:lang w:val="en-US"/>
        </w:rPr>
        <w:t>4.1</w:t>
      </w:r>
      <w:r w:rsidRPr="00A33985">
        <w:rPr>
          <w:lang w:val="en-US"/>
        </w:rPr>
        <w:tab/>
      </w:r>
      <w:r w:rsidR="004824B5">
        <w:rPr>
          <w:lang w:val="en-US"/>
        </w:rPr>
        <w:t xml:space="preserve">In a </w:t>
      </w:r>
      <w:r w:rsidR="008D2015">
        <w:rPr>
          <w:lang w:val="en-US"/>
        </w:rPr>
        <w:t>n</w:t>
      </w:r>
      <w:r w:rsidR="00D2442D">
        <w:rPr>
          <w:lang w:val="en-US"/>
        </w:rPr>
        <w:t xml:space="preserve">ote </w:t>
      </w:r>
      <w:r w:rsidR="008D2015">
        <w:rPr>
          <w:lang w:val="en-US"/>
        </w:rPr>
        <w:t>v</w:t>
      </w:r>
      <w:r w:rsidR="00D2442D">
        <w:rPr>
          <w:lang w:val="en-US"/>
        </w:rPr>
        <w:t xml:space="preserve">erbale </w:t>
      </w:r>
      <w:r w:rsidR="004824B5">
        <w:rPr>
          <w:lang w:val="en-US"/>
        </w:rPr>
        <w:t xml:space="preserve">dated </w:t>
      </w:r>
      <w:r w:rsidR="00525E24">
        <w:rPr>
          <w:lang w:val="en-US"/>
        </w:rPr>
        <w:t>5 October 2011</w:t>
      </w:r>
      <w:r w:rsidRPr="00A33985">
        <w:rPr>
          <w:lang w:val="en-US"/>
        </w:rPr>
        <w:t xml:space="preserve">, the State party </w:t>
      </w:r>
      <w:r w:rsidR="00525E24">
        <w:rPr>
          <w:lang w:val="en-US"/>
        </w:rPr>
        <w:t xml:space="preserve">expressed its position that there </w:t>
      </w:r>
      <w:r w:rsidR="004824B5">
        <w:rPr>
          <w:lang w:val="en-US"/>
        </w:rPr>
        <w:t xml:space="preserve">were </w:t>
      </w:r>
      <w:r w:rsidR="00525E24">
        <w:rPr>
          <w:lang w:val="en-US"/>
        </w:rPr>
        <w:t xml:space="preserve">no legal grounds for the consideration of </w:t>
      </w:r>
      <w:r w:rsidR="00525E24" w:rsidRPr="001F0FAF">
        <w:rPr>
          <w:lang w:val="en-US"/>
        </w:rPr>
        <w:t xml:space="preserve">the </w:t>
      </w:r>
      <w:r w:rsidR="006723FE" w:rsidRPr="001F0FAF">
        <w:rPr>
          <w:lang w:val="en-US"/>
        </w:rPr>
        <w:t>admissibility or the merits</w:t>
      </w:r>
      <w:r w:rsidR="006723FE">
        <w:rPr>
          <w:lang w:val="en-US"/>
        </w:rPr>
        <w:t xml:space="preserve"> of the </w:t>
      </w:r>
      <w:r w:rsidR="00525E24">
        <w:rPr>
          <w:lang w:val="en-US"/>
        </w:rPr>
        <w:t>present communication</w:t>
      </w:r>
      <w:r w:rsidR="004824B5">
        <w:rPr>
          <w:lang w:val="en-US"/>
        </w:rPr>
        <w:t>,</w:t>
      </w:r>
      <w:r w:rsidR="00525E24">
        <w:rPr>
          <w:lang w:val="en-US"/>
        </w:rPr>
        <w:t xml:space="preserve"> insofar as it was registered before the Committee in violation of </w:t>
      </w:r>
      <w:r w:rsidR="0075611D">
        <w:rPr>
          <w:lang w:val="en-US"/>
        </w:rPr>
        <w:t>article </w:t>
      </w:r>
      <w:r w:rsidR="00525E24">
        <w:rPr>
          <w:lang w:val="en-US"/>
        </w:rPr>
        <w:t xml:space="preserve">1 of the Optional Protocol to the Covenant. </w:t>
      </w:r>
      <w:r w:rsidR="000971B9">
        <w:rPr>
          <w:lang w:val="en-US"/>
        </w:rPr>
        <w:t xml:space="preserve">According to the State party, the author </w:t>
      </w:r>
      <w:r w:rsidR="004824B5">
        <w:rPr>
          <w:lang w:val="en-US"/>
        </w:rPr>
        <w:t xml:space="preserve">had </w:t>
      </w:r>
      <w:r w:rsidR="000971B9">
        <w:rPr>
          <w:lang w:val="en-US"/>
        </w:rPr>
        <w:t>not exhaust</w:t>
      </w:r>
      <w:r w:rsidR="004824B5">
        <w:rPr>
          <w:lang w:val="en-US"/>
        </w:rPr>
        <w:t>ed</w:t>
      </w:r>
      <w:r w:rsidR="000971B9">
        <w:rPr>
          <w:lang w:val="en-US"/>
        </w:rPr>
        <w:t xml:space="preserve"> all available domestic remedies</w:t>
      </w:r>
      <w:r w:rsidR="004824B5">
        <w:rPr>
          <w:lang w:val="en-US"/>
        </w:rPr>
        <w:t>,</w:t>
      </w:r>
      <w:r w:rsidR="000971B9">
        <w:rPr>
          <w:lang w:val="en-US"/>
        </w:rPr>
        <w:t xml:space="preserve"> as required by </w:t>
      </w:r>
      <w:r w:rsidR="0075611D">
        <w:rPr>
          <w:lang w:val="en-US"/>
        </w:rPr>
        <w:t>article </w:t>
      </w:r>
      <w:r w:rsidR="000971B9">
        <w:rPr>
          <w:lang w:val="en-US"/>
        </w:rPr>
        <w:t xml:space="preserve">2 of the Optional Protocol, </w:t>
      </w:r>
      <w:r w:rsidR="00BE75D8">
        <w:rPr>
          <w:lang w:val="en-US"/>
        </w:rPr>
        <w:t xml:space="preserve">since </w:t>
      </w:r>
      <w:r w:rsidR="000971B9">
        <w:rPr>
          <w:lang w:val="en-US"/>
        </w:rPr>
        <w:t xml:space="preserve">he </w:t>
      </w:r>
      <w:r w:rsidR="004824B5">
        <w:rPr>
          <w:lang w:val="en-US"/>
        </w:rPr>
        <w:t xml:space="preserve">had </w:t>
      </w:r>
      <w:r w:rsidR="000971B9">
        <w:rPr>
          <w:lang w:val="en-US"/>
        </w:rPr>
        <w:t>not appeal</w:t>
      </w:r>
      <w:r w:rsidR="004824B5">
        <w:rPr>
          <w:lang w:val="en-US"/>
        </w:rPr>
        <w:t>ed</w:t>
      </w:r>
      <w:r w:rsidR="000971B9">
        <w:rPr>
          <w:lang w:val="en-US"/>
        </w:rPr>
        <w:t xml:space="preserve"> </w:t>
      </w:r>
      <w:r w:rsidR="00D2442D">
        <w:rPr>
          <w:lang w:val="en-US"/>
        </w:rPr>
        <w:t xml:space="preserve">to the </w:t>
      </w:r>
      <w:r w:rsidR="000971B9">
        <w:rPr>
          <w:lang w:val="en-US"/>
        </w:rPr>
        <w:t>Prosecutor’s Office</w:t>
      </w:r>
      <w:r w:rsidR="003C193F">
        <w:rPr>
          <w:lang w:val="en-US"/>
        </w:rPr>
        <w:t>,</w:t>
      </w:r>
      <w:r w:rsidR="000971B9">
        <w:rPr>
          <w:lang w:val="en-US"/>
        </w:rPr>
        <w:t xml:space="preserve"> </w:t>
      </w:r>
      <w:r w:rsidR="00BE75D8">
        <w:rPr>
          <w:lang w:val="en-US"/>
        </w:rPr>
        <w:t>under the supervisory proceedings</w:t>
      </w:r>
      <w:r w:rsidR="003C193F">
        <w:rPr>
          <w:lang w:val="en-US"/>
        </w:rPr>
        <w:t>,</w:t>
      </w:r>
      <w:r w:rsidR="00BE75D8">
        <w:rPr>
          <w:lang w:val="en-US"/>
        </w:rPr>
        <w:t xml:space="preserve"> </w:t>
      </w:r>
      <w:r w:rsidR="000971B9">
        <w:rPr>
          <w:lang w:val="en-US"/>
        </w:rPr>
        <w:t xml:space="preserve">against </w:t>
      </w:r>
      <w:r w:rsidR="00BE75D8">
        <w:rPr>
          <w:lang w:val="en-US"/>
        </w:rPr>
        <w:t>the decisions</w:t>
      </w:r>
      <w:r w:rsidR="00D2442D">
        <w:rPr>
          <w:lang w:val="en-US"/>
        </w:rPr>
        <w:t xml:space="preserve"> </w:t>
      </w:r>
      <w:r w:rsidR="004824B5">
        <w:rPr>
          <w:lang w:val="en-US"/>
        </w:rPr>
        <w:t xml:space="preserve">of the lower courts regarding </w:t>
      </w:r>
      <w:r w:rsidR="00D2442D">
        <w:rPr>
          <w:lang w:val="en-US"/>
        </w:rPr>
        <w:t>his case</w:t>
      </w:r>
      <w:r w:rsidR="000971B9">
        <w:rPr>
          <w:lang w:val="en-US"/>
        </w:rPr>
        <w:t xml:space="preserve">. </w:t>
      </w:r>
    </w:p>
    <w:p w:rsidR="00A33985" w:rsidRPr="00A33985" w:rsidRDefault="000971B9" w:rsidP="003C193F">
      <w:pPr>
        <w:pStyle w:val="SingleTxtG"/>
      </w:pPr>
      <w:r>
        <w:rPr>
          <w:lang w:val="en-US"/>
        </w:rPr>
        <w:t>4.2</w:t>
      </w:r>
      <w:r>
        <w:rPr>
          <w:lang w:val="en-US"/>
        </w:rPr>
        <w:tab/>
      </w:r>
      <w:r w:rsidR="003C193F">
        <w:rPr>
          <w:lang w:val="en-US"/>
        </w:rPr>
        <w:t xml:space="preserve">In a </w:t>
      </w:r>
      <w:r w:rsidR="008D2015">
        <w:rPr>
          <w:lang w:val="en-US"/>
        </w:rPr>
        <w:t>n</w:t>
      </w:r>
      <w:r w:rsidR="00D2442D">
        <w:rPr>
          <w:lang w:val="en-US"/>
        </w:rPr>
        <w:t xml:space="preserve">ote </w:t>
      </w:r>
      <w:r w:rsidR="008D2015">
        <w:rPr>
          <w:lang w:val="en-US"/>
        </w:rPr>
        <w:t>v</w:t>
      </w:r>
      <w:r w:rsidR="00D2442D">
        <w:rPr>
          <w:lang w:val="en-US"/>
        </w:rPr>
        <w:t xml:space="preserve">erbale </w:t>
      </w:r>
      <w:r w:rsidR="003C193F">
        <w:rPr>
          <w:lang w:val="en-US"/>
        </w:rPr>
        <w:t xml:space="preserve">dated </w:t>
      </w:r>
      <w:r w:rsidR="00A33985" w:rsidRPr="00A33985">
        <w:t>25 January 2012, the State party reiterated its position</w:t>
      </w:r>
      <w:r w:rsidR="00A33985" w:rsidRPr="00A33985">
        <w:rPr>
          <w:lang w:val="en-US"/>
        </w:rPr>
        <w:t xml:space="preserve"> regarding the </w:t>
      </w:r>
      <w:r w:rsidR="003C193F">
        <w:rPr>
          <w:lang w:val="en-US"/>
        </w:rPr>
        <w:t>in</w:t>
      </w:r>
      <w:r w:rsidR="00A33985" w:rsidRPr="00A33985">
        <w:rPr>
          <w:lang w:val="en-US"/>
        </w:rPr>
        <w:t>admissibility of the communication</w:t>
      </w:r>
      <w:r w:rsidR="003C193F">
        <w:rPr>
          <w:lang w:val="en-US"/>
        </w:rPr>
        <w:t>,</w:t>
      </w:r>
      <w:r w:rsidR="00BE75D8">
        <w:rPr>
          <w:lang w:val="en-US"/>
        </w:rPr>
        <w:t xml:space="preserve"> </w:t>
      </w:r>
      <w:r w:rsidR="00D2442D">
        <w:rPr>
          <w:lang w:val="en-US"/>
        </w:rPr>
        <w:t xml:space="preserve">emphasizing </w:t>
      </w:r>
      <w:r w:rsidR="00A33985" w:rsidRPr="00A33985">
        <w:rPr>
          <w:lang w:val="en-US"/>
        </w:rPr>
        <w:t xml:space="preserve">that it </w:t>
      </w:r>
      <w:r w:rsidR="003C193F" w:rsidRPr="00A33985">
        <w:t>consider</w:t>
      </w:r>
      <w:r w:rsidR="003C193F">
        <w:t>ed</w:t>
      </w:r>
      <w:r w:rsidR="003C193F" w:rsidRPr="00A33985">
        <w:t xml:space="preserve"> </w:t>
      </w:r>
      <w:r w:rsidR="00A33985" w:rsidRPr="00A33985">
        <w:t xml:space="preserve">the communication </w:t>
      </w:r>
      <w:r w:rsidR="003C193F">
        <w:t xml:space="preserve">to be </w:t>
      </w:r>
      <w:r w:rsidR="00A33985" w:rsidRPr="00A33985">
        <w:t xml:space="preserve">registered in violation of the Optional Protocol. </w:t>
      </w:r>
    </w:p>
    <w:p w:rsidR="00A33985" w:rsidRPr="00A33985" w:rsidRDefault="00A33985" w:rsidP="001229E9">
      <w:pPr>
        <w:pStyle w:val="SingleTxtG"/>
      </w:pPr>
      <w:r w:rsidRPr="00A33985">
        <w:t>4</w:t>
      </w:r>
      <w:r w:rsidR="000971B9">
        <w:t>.3</w:t>
      </w:r>
      <w:r w:rsidRPr="00A33985">
        <w:tab/>
        <w:t>In particular, it submits that</w:t>
      </w:r>
      <w:r w:rsidR="003C193F">
        <w:t>,</w:t>
      </w:r>
      <w:r w:rsidRPr="00A33985">
        <w:t xml:space="preserve"> upon becoming a State party to the Optional Protocol, it recognized the competence of the Committee under </w:t>
      </w:r>
      <w:r w:rsidR="0075611D">
        <w:t>article </w:t>
      </w:r>
      <w:r w:rsidRPr="00A33985">
        <w:t xml:space="preserve">1, but </w:t>
      </w:r>
      <w:r w:rsidR="003C193F">
        <w:t xml:space="preserve">that </w:t>
      </w:r>
      <w:r w:rsidRPr="00A33985">
        <w:t xml:space="preserve">that recognition of competence is </w:t>
      </w:r>
      <w:r w:rsidR="003C193F">
        <w:t xml:space="preserve">made </w:t>
      </w:r>
      <w:r w:rsidRPr="00A33985">
        <w:t>in conjunction with other provisions of the Optional Protocol, including those that set criteria regarding petitioners and the admissibility of their communi</w:t>
      </w:r>
      <w:r w:rsidR="0075611D">
        <w:t>cations, in particular articles </w:t>
      </w:r>
      <w:r w:rsidRPr="00A33985">
        <w:t>2 and 5. It maintains that</w:t>
      </w:r>
      <w:r w:rsidR="003C193F">
        <w:t>,</w:t>
      </w:r>
      <w:r w:rsidRPr="00A33985">
        <w:t xml:space="preserve"> under the Optional Protocol, State</w:t>
      </w:r>
      <w:r w:rsidR="00360B17">
        <w:t>s</w:t>
      </w:r>
      <w:r w:rsidRPr="00A33985">
        <w:t xml:space="preserve"> parties have no obligation to recognize the Committee’s rules of procedure and its interpretation of the provisions</w:t>
      </w:r>
      <w:r w:rsidR="003C193F">
        <w:t xml:space="preserve"> of the Optional </w:t>
      </w:r>
      <w:r w:rsidR="003C193F" w:rsidRPr="00A33985">
        <w:t>Protocol</w:t>
      </w:r>
      <w:r w:rsidRPr="00A33985">
        <w:t xml:space="preserve">, which could only be </w:t>
      </w:r>
      <w:r w:rsidR="003C193F">
        <w:t xml:space="preserve">applied </w:t>
      </w:r>
      <w:r w:rsidRPr="00A33985">
        <w:t>when in accordance with the Vienna Convention on the Law of Treaties. It submits that, in relation to the complaint procedure, States parties should be guided first and foremost by the provisions of the Optional Protocol, and t</w:t>
      </w:r>
      <w:r w:rsidRPr="001F0FAF">
        <w:t>hat references to the Committee’s long-standing practice</w:t>
      </w:r>
      <w:r w:rsidR="006723FE" w:rsidRPr="001F0FAF">
        <w:t>s</w:t>
      </w:r>
      <w:r w:rsidRPr="001F0FAF">
        <w:t xml:space="preserve">, methods of work </w:t>
      </w:r>
      <w:r w:rsidR="006723FE" w:rsidRPr="001F0FAF">
        <w:t xml:space="preserve">and </w:t>
      </w:r>
      <w:r w:rsidRPr="001F0FAF">
        <w:t>case law</w:t>
      </w:r>
      <w:r w:rsidRPr="00A33985">
        <w:t xml:space="preserve"> are not subject to the Optional Protocol. It </w:t>
      </w:r>
      <w:r w:rsidR="001229E9">
        <w:t xml:space="preserve">also </w:t>
      </w:r>
      <w:r w:rsidRPr="00A33985">
        <w:t xml:space="preserve">submits that any communication registered in violation of the provisions of the Optional Protocol will be viewed by the State Party as incompatible with the Optional Protocol and will be rejected without comment on the admissibility or </w:t>
      </w:r>
      <w:r w:rsidR="006723FE">
        <w:t xml:space="preserve">the </w:t>
      </w:r>
      <w:r w:rsidRPr="00A33985">
        <w:t>merits. The State party maintains that decisions taken by the Committee on such declined communications will be considered by its authorities as invalid.</w:t>
      </w:r>
    </w:p>
    <w:p w:rsidR="00A33985" w:rsidRPr="00A33985" w:rsidRDefault="00A33985" w:rsidP="00A33985">
      <w:pPr>
        <w:pStyle w:val="H23G"/>
      </w:pPr>
      <w:r w:rsidRPr="00A33985">
        <w:tab/>
      </w:r>
      <w:r w:rsidRPr="00A33985">
        <w:tab/>
        <w:t>Issues and proceedings before the Committee</w:t>
      </w:r>
    </w:p>
    <w:p w:rsidR="00A33985" w:rsidRPr="00A33985" w:rsidRDefault="00680B8C" w:rsidP="00A33985">
      <w:pPr>
        <w:pStyle w:val="H4G"/>
      </w:pPr>
      <w:r>
        <w:tab/>
      </w:r>
      <w:r>
        <w:tab/>
        <w:t>The State party’</w:t>
      </w:r>
      <w:r w:rsidR="00A33985" w:rsidRPr="00A33985">
        <w:t xml:space="preserve">s failure to cooperate </w:t>
      </w:r>
    </w:p>
    <w:p w:rsidR="00A33985" w:rsidRPr="00A33985" w:rsidRDefault="00A33985" w:rsidP="001229E9">
      <w:pPr>
        <w:pStyle w:val="SingleTxtG"/>
      </w:pPr>
      <w:r w:rsidRPr="00A33985">
        <w:t xml:space="preserve">5.1 </w:t>
      </w:r>
      <w:r>
        <w:tab/>
      </w:r>
      <w:r w:rsidRPr="00A33985">
        <w:t xml:space="preserve">The </w:t>
      </w:r>
      <w:r w:rsidR="00680B8C">
        <w:t>Committee notes the State party’</w:t>
      </w:r>
      <w:r w:rsidRPr="00A33985">
        <w:t xml:space="preserve">s submissions that there are no legal grounds for </w:t>
      </w:r>
      <w:r w:rsidR="00680B8C">
        <w:t>the consideration of the author’</w:t>
      </w:r>
      <w:r w:rsidRPr="00A33985">
        <w:t xml:space="preserve">s communication as it was registered in violation of </w:t>
      </w:r>
      <w:r w:rsidR="0075611D">
        <w:t>article </w:t>
      </w:r>
      <w:r w:rsidRPr="00A33985">
        <w:t>1 of the Optional Protocol</w:t>
      </w:r>
      <w:r w:rsidR="001229E9" w:rsidRPr="00A33985">
        <w:t xml:space="preserve"> </w:t>
      </w:r>
      <w:r w:rsidR="001229E9">
        <w:t xml:space="preserve">owing to </w:t>
      </w:r>
      <w:r w:rsidR="001229E9" w:rsidRPr="00A33985">
        <w:t>the author</w:t>
      </w:r>
      <w:r w:rsidR="001229E9">
        <w:t>'s</w:t>
      </w:r>
      <w:r w:rsidR="001229E9" w:rsidRPr="00A33985">
        <w:t xml:space="preserve"> fail</w:t>
      </w:r>
      <w:r w:rsidR="001229E9">
        <w:t>ure</w:t>
      </w:r>
      <w:r w:rsidR="001229E9" w:rsidRPr="00A33985">
        <w:t xml:space="preserve"> </w:t>
      </w:r>
      <w:r w:rsidRPr="00A33985">
        <w:t xml:space="preserve">to exhaust available domestic remedies; that it has no obligation to recognize the Committee’s rules of procedure </w:t>
      </w:r>
      <w:r w:rsidR="001229E9">
        <w:t xml:space="preserve">or </w:t>
      </w:r>
      <w:r w:rsidRPr="00A33985">
        <w:t>its interpretation of the provisions</w:t>
      </w:r>
      <w:r w:rsidR="001229E9">
        <w:t xml:space="preserve"> of the Optional </w:t>
      </w:r>
      <w:r w:rsidR="001229E9" w:rsidRPr="00A33985">
        <w:t>Protocol</w:t>
      </w:r>
      <w:r w:rsidRPr="00A33985">
        <w:t>; and that the decision taken by the Committee on the communication will be considered by its authorities as invalid.</w:t>
      </w:r>
    </w:p>
    <w:p w:rsidR="00A33985" w:rsidRPr="00A33985" w:rsidRDefault="00A33985" w:rsidP="0031574B">
      <w:pPr>
        <w:pStyle w:val="SingleTxtG"/>
      </w:pPr>
      <w:r w:rsidRPr="00A33985">
        <w:t xml:space="preserve">5.2 </w:t>
      </w:r>
      <w:r>
        <w:tab/>
      </w:r>
      <w:r w:rsidRPr="00E56B00">
        <w:t xml:space="preserve">The Committee recalls that </w:t>
      </w:r>
      <w:r w:rsidR="0075611D">
        <w:t>article </w:t>
      </w:r>
      <w:r w:rsidRPr="00E56B00">
        <w:t xml:space="preserve">39, </w:t>
      </w:r>
      <w:r w:rsidR="0075611D">
        <w:t>paragraph </w:t>
      </w:r>
      <w:r w:rsidRPr="00E56B00">
        <w:t xml:space="preserve">2, of the </w:t>
      </w:r>
      <w:r w:rsidR="00E33C08">
        <w:t xml:space="preserve">International </w:t>
      </w:r>
      <w:r w:rsidRPr="00E56B00">
        <w:t xml:space="preserve">Covenant </w:t>
      </w:r>
      <w:r w:rsidR="00E33C08">
        <w:t xml:space="preserve">on Civil and Political Rights </w:t>
      </w:r>
      <w:r w:rsidRPr="00E56B00">
        <w:t xml:space="preserve">authorizes it to establish its own rules of procedure, which the States parties have agreed to recognize. By adhering to the Optional Protocol, a State party to the Covenant recognizes the competence of the </w:t>
      </w:r>
      <w:r w:rsidR="00E33C08">
        <w:t xml:space="preserve">Human Rights </w:t>
      </w:r>
      <w:r w:rsidRPr="00E56B00">
        <w:t xml:space="preserve">Committee to receive and consider communications from individuals claiming to be victims of violations of any of the rights set forth in </w:t>
      </w:r>
      <w:r w:rsidR="0075611D">
        <w:t>the Covenant (</w:t>
      </w:r>
      <w:r w:rsidR="00E2112E">
        <w:t>p</w:t>
      </w:r>
      <w:r w:rsidR="0075611D">
        <w:t>reamble and art. </w:t>
      </w:r>
      <w:r w:rsidRPr="00E56B00">
        <w:t>1).</w:t>
      </w:r>
      <w:r w:rsidRPr="00B203F4">
        <w:rPr>
          <w:b/>
        </w:rPr>
        <w:t xml:space="preserve"> </w:t>
      </w:r>
      <w:r w:rsidRPr="00A33985">
        <w:t>Implicit in a State’s adherence to the Protocol is an undertaking to cooperate with the Committee in good faith so as to permit and enable it to consider such communications, and after examination to forward its views to the State party and to the individual (</w:t>
      </w:r>
      <w:r w:rsidR="0075611D">
        <w:t>art</w:t>
      </w:r>
      <w:r w:rsidR="00E2112E">
        <w:t>.</w:t>
      </w:r>
      <w:r w:rsidR="0075611D">
        <w:t> 5, paragraphs </w:t>
      </w:r>
      <w:r w:rsidRPr="00A33985">
        <w:t xml:space="preserve">1 and 4). It is incompatible with these obligations for a State party to take any action that would prevent or frustrate the Committee in its consideration and examination of a communication and in the expression </w:t>
      </w:r>
      <w:r w:rsidRPr="00A33985">
        <w:lastRenderedPageBreak/>
        <w:t>of its Views.</w:t>
      </w:r>
      <w:r w:rsidRPr="00680B8C">
        <w:rPr>
          <w:rStyle w:val="FootnoteReference"/>
        </w:rPr>
        <w:footnoteReference w:id="6"/>
      </w:r>
      <w:r w:rsidRPr="00A33985">
        <w:t xml:space="preserve"> It is up to the Committee to determine whether a case should be registered. </w:t>
      </w:r>
      <w:r w:rsidR="009B3378">
        <w:t>The Committee observes that, b</w:t>
      </w:r>
      <w:r w:rsidRPr="00A33985">
        <w:t>y failing to accept the competence of the Committee to determine whether a communication shall be registered and by declaring outright that it will not accept the Committee’s determination of the admissibility and of the merits of the communications, the State party violate</w:t>
      </w:r>
      <w:r w:rsidR="0031574B">
        <w:t>s</w:t>
      </w:r>
      <w:r w:rsidRPr="00A33985">
        <w:t xml:space="preserve"> its obligations under </w:t>
      </w:r>
      <w:r w:rsidR="0075611D">
        <w:t>article </w:t>
      </w:r>
      <w:r w:rsidRPr="00A33985">
        <w:t xml:space="preserve">1 of the Optional </w:t>
      </w:r>
      <w:r w:rsidR="004C1A41">
        <w:t xml:space="preserve">Protocol </w:t>
      </w:r>
      <w:r w:rsidRPr="00A33985">
        <w:t>to the Covenant.</w:t>
      </w:r>
    </w:p>
    <w:p w:rsidR="00A33985" w:rsidRPr="00A33985" w:rsidRDefault="00A33985" w:rsidP="00A33985">
      <w:pPr>
        <w:pStyle w:val="H4G"/>
      </w:pPr>
      <w:r w:rsidRPr="00A33985">
        <w:tab/>
      </w:r>
      <w:r w:rsidRPr="00A33985">
        <w:tab/>
        <w:t>Consideration of admissibility</w:t>
      </w:r>
    </w:p>
    <w:p w:rsidR="00A33985" w:rsidRPr="00A33985" w:rsidRDefault="00A33985" w:rsidP="00A33985">
      <w:pPr>
        <w:pStyle w:val="SingleTxtG"/>
        <w:rPr>
          <w:bCs/>
        </w:rPr>
      </w:pPr>
      <w:r w:rsidRPr="00A33985">
        <w:rPr>
          <w:bCs/>
        </w:rPr>
        <w:t>6.1</w:t>
      </w:r>
      <w:r w:rsidRPr="00A33985">
        <w:rPr>
          <w:bCs/>
        </w:rPr>
        <w:tab/>
        <w:t>Before considering any claim contained in a communication, the Human Rights Committee must, in accordance with rule 93 of its rules of procedure, decide whether or not the communication is admissible under the Optional Protocol to the Covenant.</w:t>
      </w:r>
    </w:p>
    <w:p w:rsidR="00A33985" w:rsidRPr="00A33985" w:rsidRDefault="00A33985" w:rsidP="00A33985">
      <w:pPr>
        <w:pStyle w:val="SingleTxtG"/>
      </w:pPr>
      <w:r w:rsidRPr="00A33985">
        <w:t>6.2</w:t>
      </w:r>
      <w:r w:rsidRPr="00A33985">
        <w:tab/>
        <w:t xml:space="preserve">The Committee has ascertained, as required under </w:t>
      </w:r>
      <w:r w:rsidR="0075611D">
        <w:t>article </w:t>
      </w:r>
      <w:r w:rsidRPr="00A33985">
        <w:t xml:space="preserve">5, </w:t>
      </w:r>
      <w:r w:rsidR="0075611D">
        <w:t>paragraph </w:t>
      </w:r>
      <w:r w:rsidRPr="00A33985">
        <w:t xml:space="preserve">2 (a), of the Optional Protocol, that the same matter is not being examined under another procedure of international investigation or settlement. </w:t>
      </w:r>
    </w:p>
    <w:p w:rsidR="0075611D" w:rsidRDefault="00A33985" w:rsidP="00DC2097">
      <w:pPr>
        <w:pStyle w:val="SingleTxtG"/>
      </w:pPr>
      <w:r w:rsidRPr="00A33985">
        <w:t>6.3</w:t>
      </w:r>
      <w:r w:rsidRPr="00A33985">
        <w:tab/>
        <w:t>T</w:t>
      </w:r>
      <w:r w:rsidRPr="00A33985">
        <w:rPr>
          <w:lang w:val="en-US"/>
        </w:rPr>
        <w:t>he Committee note</w:t>
      </w:r>
      <w:r w:rsidR="00DC2097">
        <w:rPr>
          <w:lang w:val="en-US"/>
        </w:rPr>
        <w:t>s</w:t>
      </w:r>
      <w:r w:rsidRPr="00A33985">
        <w:rPr>
          <w:lang w:val="en-US"/>
        </w:rPr>
        <w:t xml:space="preserve"> the State party’s contention that the author should have requested the Prosecutor’s Office </w:t>
      </w:r>
      <w:r w:rsidRPr="00A33985">
        <w:t xml:space="preserve">to initiate a supervisory review of the domestic courts’ </w:t>
      </w:r>
      <w:r w:rsidRPr="00A33985">
        <w:rPr>
          <w:lang w:val="en-US"/>
        </w:rPr>
        <w:t>decisions</w:t>
      </w:r>
      <w:r w:rsidRPr="00A33985">
        <w:t xml:space="preserve">. It also </w:t>
      </w:r>
      <w:r w:rsidR="00240F88">
        <w:t>ta</w:t>
      </w:r>
      <w:r w:rsidRPr="00A33985">
        <w:t xml:space="preserve">kes note </w:t>
      </w:r>
      <w:r w:rsidR="00240F88">
        <w:t xml:space="preserve">that </w:t>
      </w:r>
      <w:r w:rsidRPr="00A33985">
        <w:t>the author’s request to initiate supervisory review proceedings with the Supreme Court remained unsuccessful</w:t>
      </w:r>
      <w:r w:rsidRPr="00DD01D8">
        <w:t xml:space="preserve">. </w:t>
      </w:r>
      <w:r w:rsidR="00DD01D8" w:rsidRPr="00611CAB">
        <w:rPr>
          <w:bCs/>
          <w:color w:val="000000"/>
          <w:lang w:eastAsia="en-GB"/>
        </w:rPr>
        <w:t xml:space="preserve">The Committee recalls its jurisprudence, according to which the State party’s supervisory review proceedings before the Prosecutor General’s Office, allowing </w:t>
      </w:r>
      <w:r w:rsidR="00C71FA4">
        <w:rPr>
          <w:bCs/>
          <w:color w:val="000000"/>
          <w:lang w:eastAsia="en-GB"/>
        </w:rPr>
        <w:t xml:space="preserve">the </w:t>
      </w:r>
      <w:r w:rsidR="00DD01D8" w:rsidRPr="00611CAB">
        <w:rPr>
          <w:bCs/>
          <w:color w:val="000000"/>
          <w:lang w:eastAsia="en-GB"/>
        </w:rPr>
        <w:t xml:space="preserve">review </w:t>
      </w:r>
      <w:r w:rsidR="00C71FA4">
        <w:rPr>
          <w:bCs/>
          <w:color w:val="000000"/>
          <w:lang w:eastAsia="en-GB"/>
        </w:rPr>
        <w:t xml:space="preserve">of </w:t>
      </w:r>
      <w:r w:rsidR="00DD01D8" w:rsidRPr="00611CAB">
        <w:rPr>
          <w:bCs/>
          <w:color w:val="000000"/>
          <w:lang w:eastAsia="en-GB"/>
        </w:rPr>
        <w:t>court decisions that have taken effect</w:t>
      </w:r>
      <w:r w:rsidR="002450EF">
        <w:rPr>
          <w:bCs/>
          <w:color w:val="000000"/>
          <w:lang w:eastAsia="en-GB"/>
        </w:rPr>
        <w:t>,</w:t>
      </w:r>
      <w:r w:rsidR="00DD01D8" w:rsidRPr="00611CAB">
        <w:rPr>
          <w:bCs/>
          <w:color w:val="000000"/>
          <w:lang w:eastAsia="en-GB"/>
        </w:rPr>
        <w:t xml:space="preserve"> do not constitute a remedy </w:t>
      </w:r>
      <w:r w:rsidR="00920448">
        <w:rPr>
          <w:bCs/>
          <w:color w:val="000000"/>
          <w:lang w:eastAsia="en-GB"/>
        </w:rPr>
        <w:t xml:space="preserve">that </w:t>
      </w:r>
      <w:r w:rsidR="00DD01D8" w:rsidRPr="00611CAB">
        <w:rPr>
          <w:bCs/>
          <w:color w:val="000000"/>
          <w:lang w:eastAsia="en-GB"/>
        </w:rPr>
        <w:t xml:space="preserve">has to be exhausted for the purposes of </w:t>
      </w:r>
      <w:r w:rsidR="0075611D">
        <w:rPr>
          <w:bCs/>
          <w:color w:val="000000"/>
          <w:lang w:eastAsia="en-GB"/>
        </w:rPr>
        <w:t>article </w:t>
      </w:r>
      <w:r w:rsidR="00DD01D8" w:rsidRPr="00611CAB">
        <w:rPr>
          <w:bCs/>
          <w:color w:val="000000"/>
          <w:lang w:eastAsia="en-GB"/>
        </w:rPr>
        <w:t xml:space="preserve">5, </w:t>
      </w:r>
      <w:r w:rsidR="0075611D">
        <w:rPr>
          <w:bCs/>
          <w:color w:val="000000"/>
          <w:lang w:eastAsia="en-GB"/>
        </w:rPr>
        <w:t>paragraph </w:t>
      </w:r>
      <w:r w:rsidR="00DD01D8" w:rsidRPr="00611CAB">
        <w:rPr>
          <w:bCs/>
          <w:color w:val="000000"/>
          <w:lang w:eastAsia="en-GB"/>
        </w:rPr>
        <w:t>2 (b), of the Optional Protocol.</w:t>
      </w:r>
      <w:r w:rsidR="00DD01D8" w:rsidRPr="00680B8C">
        <w:rPr>
          <w:rStyle w:val="FootnoteReference"/>
        </w:rPr>
        <w:footnoteReference w:id="7"/>
      </w:r>
      <w:r w:rsidR="00DD01D8" w:rsidRPr="00611CAB">
        <w:rPr>
          <w:bCs/>
          <w:color w:val="000000"/>
          <w:lang w:eastAsia="en-GB"/>
        </w:rPr>
        <w:t xml:space="preserve"> </w:t>
      </w:r>
      <w:r w:rsidR="00DD01D8">
        <w:rPr>
          <w:color w:val="000000"/>
          <w:lang w:eastAsia="en-GB"/>
        </w:rPr>
        <w:t xml:space="preserve">Accordingly, it considers that it is not precluded by </w:t>
      </w:r>
      <w:r w:rsidR="0075611D">
        <w:rPr>
          <w:color w:val="000000"/>
          <w:lang w:eastAsia="en-GB"/>
        </w:rPr>
        <w:t>article </w:t>
      </w:r>
      <w:r w:rsidR="00DD01D8">
        <w:rPr>
          <w:color w:val="000000"/>
          <w:lang w:eastAsia="en-GB"/>
        </w:rPr>
        <w:t xml:space="preserve">5, </w:t>
      </w:r>
      <w:r w:rsidR="0075611D">
        <w:rPr>
          <w:color w:val="000000"/>
          <w:lang w:eastAsia="en-GB"/>
        </w:rPr>
        <w:t>paragraph </w:t>
      </w:r>
      <w:r w:rsidR="00DD01D8">
        <w:rPr>
          <w:color w:val="000000"/>
          <w:lang w:eastAsia="en-GB"/>
        </w:rPr>
        <w:t>2 (b), of the Optional Protocol from examining this part of the communication.</w:t>
      </w:r>
      <w:r w:rsidRPr="00A33985">
        <w:t xml:space="preserve"> </w:t>
      </w:r>
    </w:p>
    <w:p w:rsidR="00A33985" w:rsidRPr="00A33985" w:rsidRDefault="00A33985" w:rsidP="00920448">
      <w:pPr>
        <w:pStyle w:val="SingleTxtG"/>
        <w:rPr>
          <w:lang w:val="en-US"/>
        </w:rPr>
      </w:pPr>
      <w:r w:rsidRPr="00A33985">
        <w:t>6.4</w:t>
      </w:r>
      <w:r w:rsidRPr="00A33985">
        <w:tab/>
      </w:r>
      <w:r w:rsidRPr="00A33985">
        <w:rPr>
          <w:lang w:val="en-US"/>
        </w:rPr>
        <w:t xml:space="preserve">The Committee considers that the author has sufficiently substantiated his claim </w:t>
      </w:r>
      <w:r w:rsidR="00E155B2">
        <w:rPr>
          <w:lang w:val="en-US"/>
        </w:rPr>
        <w:t xml:space="preserve">of a violation of his rights </w:t>
      </w:r>
      <w:r w:rsidRPr="00A33985">
        <w:rPr>
          <w:lang w:val="en-US"/>
        </w:rPr>
        <w:t xml:space="preserve">under </w:t>
      </w:r>
      <w:r w:rsidR="0075611D">
        <w:rPr>
          <w:lang w:val="en-US"/>
        </w:rPr>
        <w:t>article </w:t>
      </w:r>
      <w:r w:rsidRPr="00A33985">
        <w:rPr>
          <w:lang w:val="en-US"/>
        </w:rPr>
        <w:t xml:space="preserve">19, </w:t>
      </w:r>
      <w:r w:rsidR="0075611D">
        <w:rPr>
          <w:lang w:val="en-US"/>
        </w:rPr>
        <w:t>paragraph </w:t>
      </w:r>
      <w:r w:rsidRPr="00A33985">
        <w:rPr>
          <w:lang w:val="en-US"/>
        </w:rPr>
        <w:t xml:space="preserve">2, </w:t>
      </w:r>
      <w:r w:rsidR="00E155B2">
        <w:rPr>
          <w:lang w:val="en-US"/>
        </w:rPr>
        <w:t xml:space="preserve">and </w:t>
      </w:r>
      <w:r w:rsidR="0075611D">
        <w:rPr>
          <w:lang w:val="en-US"/>
        </w:rPr>
        <w:t>article </w:t>
      </w:r>
      <w:r w:rsidR="00E155B2">
        <w:rPr>
          <w:lang w:val="en-US"/>
        </w:rPr>
        <w:t xml:space="preserve">21 </w:t>
      </w:r>
      <w:r w:rsidRPr="00A33985">
        <w:rPr>
          <w:lang w:val="en-US"/>
        </w:rPr>
        <w:t xml:space="preserve">of the Covenant, for purposes of admissibility. Accordingly, it declares the communication admissible and proceeds to its examination on the merits. </w:t>
      </w:r>
    </w:p>
    <w:p w:rsidR="00A33985" w:rsidRPr="00A33985" w:rsidRDefault="00A33985" w:rsidP="00A33985">
      <w:pPr>
        <w:pStyle w:val="H4G"/>
      </w:pPr>
      <w:r w:rsidRPr="00A33985">
        <w:tab/>
      </w:r>
      <w:r w:rsidRPr="00A33985">
        <w:tab/>
        <w:t>Consideration of the merits</w:t>
      </w:r>
    </w:p>
    <w:p w:rsidR="00A33985" w:rsidRPr="00A33985" w:rsidRDefault="00A33985" w:rsidP="00A33985">
      <w:pPr>
        <w:pStyle w:val="SingleTxtG"/>
      </w:pPr>
      <w:r w:rsidRPr="00A33985">
        <w:t>7.1</w:t>
      </w:r>
      <w:r w:rsidRPr="00A33985">
        <w:tab/>
        <w:t xml:space="preserve">The Human Rights Committee has considered the communication in </w:t>
      </w:r>
      <w:r w:rsidR="007849DC">
        <w:t xml:space="preserve">the </w:t>
      </w:r>
      <w:r w:rsidRPr="00A33985">
        <w:t xml:space="preserve">light of all the information made available to it by the parties, as provided under </w:t>
      </w:r>
      <w:r w:rsidR="0075611D">
        <w:t>article </w:t>
      </w:r>
      <w:r w:rsidRPr="00A33985">
        <w:t xml:space="preserve">5, </w:t>
      </w:r>
      <w:r w:rsidR="0075611D">
        <w:t>paragraph </w:t>
      </w:r>
      <w:r w:rsidRPr="00A33985">
        <w:t>1, of the Optional Protocol.</w:t>
      </w:r>
      <w:r w:rsidR="00D042BC">
        <w:t xml:space="preserve"> The Committee </w:t>
      </w:r>
      <w:r w:rsidR="00BA6C83">
        <w:t xml:space="preserve">notes that the </w:t>
      </w:r>
      <w:r w:rsidR="00D042BC">
        <w:t>State party</w:t>
      </w:r>
      <w:r w:rsidR="00BA6C83">
        <w:t xml:space="preserve"> has submitted no o</w:t>
      </w:r>
      <w:r w:rsidR="00D042BC">
        <w:t>bservations o</w:t>
      </w:r>
      <w:r w:rsidR="00BA6C83">
        <w:t>n the merits of the present communication</w:t>
      </w:r>
      <w:r w:rsidR="00D042BC">
        <w:t>.</w:t>
      </w:r>
    </w:p>
    <w:p w:rsidR="00345D7B" w:rsidRDefault="00A33985" w:rsidP="007849DC">
      <w:pPr>
        <w:pStyle w:val="SingleTxtG"/>
      </w:pPr>
      <w:r w:rsidRPr="00A33985">
        <w:t>7.2</w:t>
      </w:r>
      <w:r w:rsidRPr="00A33985">
        <w:tab/>
        <w:t xml:space="preserve">The Committee notes the author’s claim that </w:t>
      </w:r>
      <w:r w:rsidR="002E7721">
        <w:t>his a</w:t>
      </w:r>
      <w:r w:rsidR="00A52A17">
        <w:t>pprehension</w:t>
      </w:r>
      <w:r w:rsidR="002E7721">
        <w:t xml:space="preserve"> and conviction</w:t>
      </w:r>
      <w:r w:rsidR="000F0A26">
        <w:t xml:space="preserve"> </w:t>
      </w:r>
      <w:r w:rsidR="002E7721">
        <w:t xml:space="preserve">for </w:t>
      </w:r>
      <w:r w:rsidR="000F0A26">
        <w:t xml:space="preserve">his </w:t>
      </w:r>
      <w:r w:rsidR="002E7721">
        <w:t xml:space="preserve">participation in a peaceful demonstration </w:t>
      </w:r>
      <w:r w:rsidR="007849DC">
        <w:t xml:space="preserve">made </w:t>
      </w:r>
      <w:r w:rsidRPr="00A33985">
        <w:t>without prior authori</w:t>
      </w:r>
      <w:r w:rsidR="007849DC">
        <w:t>z</w:t>
      </w:r>
      <w:r w:rsidRPr="00A33985">
        <w:t>ation constitutes an unjustified restriction on his right</w:t>
      </w:r>
      <w:r w:rsidR="007849DC">
        <w:t>s</w:t>
      </w:r>
      <w:r w:rsidRPr="00A33985">
        <w:t xml:space="preserve"> to freedom of expression</w:t>
      </w:r>
      <w:r w:rsidR="000F0A26">
        <w:t xml:space="preserve"> and to freedom of assembly</w:t>
      </w:r>
      <w:r w:rsidRPr="00A33985">
        <w:t xml:space="preserve"> as protected by </w:t>
      </w:r>
      <w:r w:rsidR="0075611D">
        <w:t>article </w:t>
      </w:r>
      <w:r w:rsidRPr="00A33985">
        <w:t xml:space="preserve">19, </w:t>
      </w:r>
      <w:r w:rsidR="0075611D">
        <w:t>paragraph </w:t>
      </w:r>
      <w:r w:rsidRPr="00A33985">
        <w:t xml:space="preserve">2, </w:t>
      </w:r>
      <w:r w:rsidR="000F0A26">
        <w:t xml:space="preserve">and </w:t>
      </w:r>
      <w:r w:rsidR="0075611D">
        <w:t>article </w:t>
      </w:r>
      <w:r w:rsidR="00F852F7">
        <w:t>21 of the Covenant.</w:t>
      </w:r>
      <w:r w:rsidR="003D71C2" w:rsidDel="003D71C2">
        <w:t xml:space="preserve"> </w:t>
      </w:r>
      <w:r w:rsidR="003D71C2">
        <w:t xml:space="preserve">The </w:t>
      </w:r>
      <w:r w:rsidRPr="00A33985">
        <w:t xml:space="preserve">Committee </w:t>
      </w:r>
      <w:r w:rsidR="007849DC">
        <w:t xml:space="preserve">must therefore </w:t>
      </w:r>
      <w:r w:rsidRPr="00A33985">
        <w:t>consider whether the re</w:t>
      </w:r>
      <w:r w:rsidR="00680B8C">
        <w:t>striction imposed on the author’</w:t>
      </w:r>
      <w:r w:rsidRPr="00A33985">
        <w:t>s right</w:t>
      </w:r>
      <w:r w:rsidR="00F852F7">
        <w:t xml:space="preserve">s in the present </w:t>
      </w:r>
      <w:r w:rsidR="00F852F7">
        <w:lastRenderedPageBreak/>
        <w:t xml:space="preserve">communication are justified under any of the criteria set out in </w:t>
      </w:r>
      <w:r w:rsidR="0075611D">
        <w:t>article </w:t>
      </w:r>
      <w:r w:rsidRPr="00A33985">
        <w:t xml:space="preserve">19, </w:t>
      </w:r>
      <w:r w:rsidR="0075611D">
        <w:t>paragraph </w:t>
      </w:r>
      <w:r w:rsidRPr="00A33985">
        <w:t>3</w:t>
      </w:r>
      <w:r w:rsidR="00F852F7">
        <w:t xml:space="preserve">, and in the second sentence of </w:t>
      </w:r>
      <w:r w:rsidR="0075611D">
        <w:t>article </w:t>
      </w:r>
      <w:r w:rsidR="00F852F7">
        <w:t>21 of the Covenant</w:t>
      </w:r>
      <w:r w:rsidRPr="00A33985">
        <w:t xml:space="preserve">. </w:t>
      </w:r>
    </w:p>
    <w:p w:rsidR="008C0E4C" w:rsidRDefault="007C1595" w:rsidP="00920448">
      <w:pPr>
        <w:pStyle w:val="SingleTxtG"/>
      </w:pPr>
      <w:r>
        <w:t>7.3</w:t>
      </w:r>
      <w:r>
        <w:tab/>
      </w:r>
      <w:r w:rsidR="00AD6F04">
        <w:t>The Committee</w:t>
      </w:r>
      <w:r w:rsidR="00AD6F04" w:rsidRPr="00A33985">
        <w:t xml:space="preserve"> </w:t>
      </w:r>
      <w:r w:rsidR="00A33985" w:rsidRPr="00A33985">
        <w:t>recalls that freedom of opinion and freedom of expression are indispensable conditions for the full development of the person; such freedoms are essential for any society and constitute the foundation stone for every free and democratic society</w:t>
      </w:r>
      <w:r w:rsidR="00BB6718">
        <w:t>.</w:t>
      </w:r>
      <w:r w:rsidR="00A33985" w:rsidRPr="00680B8C">
        <w:rPr>
          <w:rStyle w:val="FootnoteReference"/>
        </w:rPr>
        <w:footnoteReference w:id="8"/>
      </w:r>
      <w:r w:rsidR="00BB6718">
        <w:t xml:space="preserve"> </w:t>
      </w:r>
      <w:r w:rsidR="00345D7B">
        <w:t xml:space="preserve">These freedoms </w:t>
      </w:r>
      <w:r w:rsidR="00345D7B" w:rsidRPr="00087D95">
        <w:t>form a basis for the full enjoyment of a wide range of other human rights</w:t>
      </w:r>
      <w:r w:rsidR="00345D7B">
        <w:t xml:space="preserve"> and</w:t>
      </w:r>
      <w:r w:rsidR="003D71C2">
        <w:t>,</w:t>
      </w:r>
      <w:r w:rsidR="00345D7B">
        <w:t xml:space="preserve"> for instance</w:t>
      </w:r>
      <w:r w:rsidR="003D71C2">
        <w:t>,</w:t>
      </w:r>
      <w:r w:rsidR="00BB6718" w:rsidRPr="00BB6718">
        <w:t xml:space="preserve"> </w:t>
      </w:r>
      <w:r w:rsidR="00345D7B">
        <w:t xml:space="preserve">are </w:t>
      </w:r>
      <w:r w:rsidR="00BB6718" w:rsidRPr="00BB6718">
        <w:t>integra</w:t>
      </w:r>
      <w:r w:rsidR="00BB6718">
        <w:t>l to the enjoyment of the right</w:t>
      </w:r>
      <w:r w:rsidR="00345D7B">
        <w:t xml:space="preserve"> of </w:t>
      </w:r>
      <w:r w:rsidR="00BB6718" w:rsidRPr="00BB6718">
        <w:t>freedom of assembly.</w:t>
      </w:r>
      <w:r w:rsidR="00BB6718" w:rsidRPr="00680B8C">
        <w:rPr>
          <w:rStyle w:val="FootnoteReference"/>
        </w:rPr>
        <w:footnoteReference w:id="9"/>
      </w:r>
      <w:r w:rsidR="008C0E4C">
        <w:t xml:space="preserve"> </w:t>
      </w:r>
      <w:r w:rsidR="00345D7B">
        <w:t xml:space="preserve">The Committee </w:t>
      </w:r>
      <w:r w:rsidR="003D71C2">
        <w:t>recalls</w:t>
      </w:r>
      <w:r w:rsidR="00345D7B">
        <w:t xml:space="preserve"> that </w:t>
      </w:r>
      <w:r w:rsidR="0075611D">
        <w:t>article </w:t>
      </w:r>
      <w:r w:rsidR="006678F4" w:rsidRPr="00A33985">
        <w:t xml:space="preserve">19 </w:t>
      </w:r>
      <w:r w:rsidR="00BB6718">
        <w:t>allows</w:t>
      </w:r>
      <w:r w:rsidR="006678F4" w:rsidRPr="00A33985">
        <w:t xml:space="preserve"> for certain restrictions but only as pro</w:t>
      </w:r>
      <w:r w:rsidR="00C25433">
        <w:t>vided by law and necessary: (a) </w:t>
      </w:r>
      <w:r w:rsidR="006678F4" w:rsidRPr="00A33985">
        <w:t>for respect of the rights an</w:t>
      </w:r>
      <w:r w:rsidR="00C25433">
        <w:t>d reputation of others; and (b) </w:t>
      </w:r>
      <w:r w:rsidR="006678F4" w:rsidRPr="00A33985">
        <w:t xml:space="preserve">for the protection of national security or public order </w:t>
      </w:r>
      <w:r w:rsidR="006678F4" w:rsidRPr="00C25433">
        <w:rPr>
          <w:iCs/>
        </w:rPr>
        <w:t>(</w:t>
      </w:r>
      <w:r w:rsidR="006678F4" w:rsidRPr="00A33985">
        <w:rPr>
          <w:i/>
        </w:rPr>
        <w:t>ordre public</w:t>
      </w:r>
      <w:r w:rsidR="006678F4" w:rsidRPr="00C25433">
        <w:rPr>
          <w:iCs/>
        </w:rPr>
        <w:t>)</w:t>
      </w:r>
      <w:r w:rsidR="006678F4" w:rsidRPr="00A33985">
        <w:t xml:space="preserve">, or of public health or morals. </w:t>
      </w:r>
    </w:p>
    <w:p w:rsidR="00F852F7" w:rsidRDefault="00EC633D" w:rsidP="00B8446D">
      <w:pPr>
        <w:pStyle w:val="SingleTxtG"/>
      </w:pPr>
      <w:r>
        <w:t>7.4</w:t>
      </w:r>
      <w:r>
        <w:tab/>
      </w:r>
      <w:r w:rsidR="00370AC3">
        <w:t xml:space="preserve">The Committee further </w:t>
      </w:r>
      <w:r w:rsidR="003D71C2">
        <w:t>recalls</w:t>
      </w:r>
      <w:r w:rsidR="00370AC3">
        <w:t xml:space="preserve"> that </w:t>
      </w:r>
      <w:r w:rsidR="001650E1">
        <w:t>the</w:t>
      </w:r>
      <w:r w:rsidR="001650E1" w:rsidRPr="00806172">
        <w:t xml:space="preserve"> right of peaceful assembly</w:t>
      </w:r>
      <w:r w:rsidR="008C0E4C">
        <w:t xml:space="preserve"> </w:t>
      </w:r>
      <w:r w:rsidR="001650E1" w:rsidRPr="00806172">
        <w:t xml:space="preserve">is </w:t>
      </w:r>
      <w:r w:rsidR="001650E1">
        <w:t>a</w:t>
      </w:r>
      <w:r w:rsidR="001650E1" w:rsidRPr="008A1325">
        <w:t xml:space="preserve"> </w:t>
      </w:r>
      <w:r w:rsidR="001650E1" w:rsidRPr="00806172">
        <w:t xml:space="preserve">fundamental </w:t>
      </w:r>
      <w:r w:rsidR="001650E1" w:rsidRPr="008A1325">
        <w:t xml:space="preserve">human </w:t>
      </w:r>
      <w:r w:rsidR="001650E1" w:rsidRPr="00806172">
        <w:t>right</w:t>
      </w:r>
      <w:r w:rsidR="001650E1" w:rsidRPr="008A1325">
        <w:t xml:space="preserve"> </w:t>
      </w:r>
      <w:r w:rsidR="00B8446D">
        <w:t xml:space="preserve">that </w:t>
      </w:r>
      <w:r w:rsidR="008C0E4C">
        <w:t>is</w:t>
      </w:r>
      <w:r w:rsidR="001650E1" w:rsidRPr="008A1325">
        <w:t xml:space="preserve"> essential for public </w:t>
      </w:r>
      <w:r w:rsidR="001650E1" w:rsidRPr="00806172">
        <w:t>expression</w:t>
      </w:r>
      <w:r w:rsidR="001650E1" w:rsidRPr="008A1325">
        <w:t xml:space="preserve"> of </w:t>
      </w:r>
      <w:r w:rsidR="001650E1" w:rsidRPr="00806172">
        <w:t>one’s</w:t>
      </w:r>
      <w:r w:rsidR="001650E1" w:rsidRPr="008A1325">
        <w:t xml:space="preserve"> views and opinions and </w:t>
      </w:r>
      <w:r w:rsidR="001650E1" w:rsidRPr="00806172">
        <w:t>indispensable</w:t>
      </w:r>
      <w:r w:rsidR="001650E1" w:rsidRPr="008A1325">
        <w:t xml:space="preserve"> in a democratic society.</w:t>
      </w:r>
      <w:r w:rsidR="00361829" w:rsidRPr="00680B8C">
        <w:rPr>
          <w:rStyle w:val="FootnoteReference"/>
        </w:rPr>
        <w:footnoteReference w:id="10"/>
      </w:r>
      <w:r w:rsidR="001650E1" w:rsidRPr="008A1325">
        <w:t xml:space="preserve"> </w:t>
      </w:r>
      <w:r w:rsidR="00B8446D" w:rsidRPr="008A1325">
        <w:t>Th</w:t>
      </w:r>
      <w:r w:rsidR="00B8446D">
        <w:t>at</w:t>
      </w:r>
      <w:r w:rsidR="00B8446D" w:rsidRPr="008A1325">
        <w:t xml:space="preserve"> </w:t>
      </w:r>
      <w:r w:rsidR="001650E1" w:rsidRPr="00806172">
        <w:t>right</w:t>
      </w:r>
      <w:r w:rsidR="001650E1" w:rsidRPr="008A1325">
        <w:t xml:space="preserve"> entails a possibility of participating in a peaceful assembly</w:t>
      </w:r>
      <w:r w:rsidR="001650E1" w:rsidRPr="00806172">
        <w:t xml:space="preserve"> </w:t>
      </w:r>
      <w:r w:rsidR="001650E1" w:rsidRPr="008A1325">
        <w:t>with</w:t>
      </w:r>
      <w:r w:rsidR="001650E1" w:rsidRPr="00806172">
        <w:t xml:space="preserve"> </w:t>
      </w:r>
      <w:r w:rsidR="001650E1">
        <w:t xml:space="preserve">the </w:t>
      </w:r>
      <w:r w:rsidR="001650E1" w:rsidRPr="00806172">
        <w:t>intent</w:t>
      </w:r>
      <w:r w:rsidR="001650E1" w:rsidRPr="008A1325">
        <w:t xml:space="preserve"> </w:t>
      </w:r>
      <w:r w:rsidR="001650E1" w:rsidRPr="00806172">
        <w:t xml:space="preserve">to </w:t>
      </w:r>
      <w:r w:rsidR="001650E1" w:rsidRPr="008A1325">
        <w:t xml:space="preserve">support or </w:t>
      </w:r>
      <w:r w:rsidR="001650E1" w:rsidRPr="00806172">
        <w:t>disapprove</w:t>
      </w:r>
      <w:r w:rsidR="001650E1" w:rsidRPr="008A1325">
        <w:t xml:space="preserve"> one or another particular </w:t>
      </w:r>
      <w:r w:rsidR="001650E1" w:rsidRPr="00806172">
        <w:t>cause</w:t>
      </w:r>
      <w:r w:rsidR="001650E1" w:rsidRPr="008A1325">
        <w:t xml:space="preserve">. </w:t>
      </w:r>
      <w:r w:rsidR="001650E1" w:rsidRPr="00806172">
        <w:t xml:space="preserve">The </w:t>
      </w:r>
      <w:r w:rsidR="001650E1" w:rsidRPr="008A1325">
        <w:t>restriction</w:t>
      </w:r>
      <w:r w:rsidR="001650E1" w:rsidRPr="00806172">
        <w:t xml:space="preserve"> of </w:t>
      </w:r>
      <w:r w:rsidR="00B8446D">
        <w:t>that</w:t>
      </w:r>
      <w:r w:rsidR="00B8446D" w:rsidRPr="008A1325">
        <w:t xml:space="preserve"> </w:t>
      </w:r>
      <w:r w:rsidR="001650E1" w:rsidRPr="008A1325">
        <w:t xml:space="preserve">right is only </w:t>
      </w:r>
      <w:r w:rsidR="001650E1" w:rsidRPr="00806172">
        <w:t>permissible</w:t>
      </w:r>
      <w:r w:rsidR="001650E1" w:rsidRPr="008A1325">
        <w:t xml:space="preserve"> if </w:t>
      </w:r>
      <w:r w:rsidR="001650E1">
        <w:t xml:space="preserve">it </w:t>
      </w:r>
      <w:r w:rsidR="001650E1" w:rsidRPr="008A1325">
        <w:t>is</w:t>
      </w:r>
      <w:r w:rsidR="001650E1" w:rsidRPr="00806172">
        <w:t xml:space="preserve"> </w:t>
      </w:r>
      <w:r w:rsidR="0057367B">
        <w:t xml:space="preserve">in conformity with the law and </w:t>
      </w:r>
      <w:r w:rsidR="001650E1" w:rsidRPr="00806172">
        <w:t>necessary in a democratic society</w:t>
      </w:r>
      <w:r w:rsidR="00B8446D">
        <w:t>,</w:t>
      </w:r>
      <w:r w:rsidR="001650E1" w:rsidRPr="00806172">
        <w:t xml:space="preserve"> in the interests of national security or public safety, public order</w:t>
      </w:r>
      <w:r w:rsidR="001650E1" w:rsidRPr="008A1325">
        <w:t>, the protection of public health or morals or the protection of the rights and freedoms of others</w:t>
      </w:r>
      <w:r w:rsidR="001650E1" w:rsidRPr="00806172">
        <w:t>.</w:t>
      </w:r>
      <w:r w:rsidR="00361829" w:rsidRPr="00680B8C">
        <w:rPr>
          <w:rStyle w:val="FootnoteReference"/>
        </w:rPr>
        <w:footnoteReference w:id="11"/>
      </w:r>
    </w:p>
    <w:p w:rsidR="002E7721" w:rsidRDefault="00F852F7" w:rsidP="006A2C40">
      <w:pPr>
        <w:pStyle w:val="SingleTxtG"/>
      </w:pPr>
      <w:r>
        <w:t>7.</w:t>
      </w:r>
      <w:r w:rsidR="00EC633D">
        <w:t>5</w:t>
      </w:r>
      <w:r>
        <w:tab/>
      </w:r>
      <w:r w:rsidR="00A33985" w:rsidRPr="00A33985">
        <w:t xml:space="preserve">The Committee </w:t>
      </w:r>
      <w:r w:rsidR="003D71C2">
        <w:t>observes</w:t>
      </w:r>
      <w:r w:rsidR="006678F4" w:rsidRPr="00A33985">
        <w:t xml:space="preserve"> </w:t>
      </w:r>
      <w:r w:rsidR="00A33985" w:rsidRPr="00A33985">
        <w:t>that</w:t>
      </w:r>
      <w:r w:rsidR="00B8446D">
        <w:t>,</w:t>
      </w:r>
      <w:r w:rsidR="00A33985" w:rsidRPr="00A33985">
        <w:t xml:space="preserve"> </w:t>
      </w:r>
      <w:r w:rsidR="0057367B">
        <w:t>wh</w:t>
      </w:r>
      <w:r w:rsidR="00F71188">
        <w:t>en</w:t>
      </w:r>
      <w:r w:rsidR="0057367B">
        <w:t xml:space="preserve"> a State imposes </w:t>
      </w:r>
      <w:r w:rsidR="00A33985" w:rsidRPr="00A33985">
        <w:t>a restriction</w:t>
      </w:r>
      <w:r w:rsidR="00361829">
        <w:t xml:space="preserve"> on the rights guaranteed under the Covenant</w:t>
      </w:r>
      <w:r w:rsidR="0057367B">
        <w:t>,</w:t>
      </w:r>
      <w:r w:rsidR="00782881">
        <w:t xml:space="preserve"> </w:t>
      </w:r>
      <w:r w:rsidR="00361829" w:rsidRPr="00A33985">
        <w:t xml:space="preserve">the State </w:t>
      </w:r>
      <w:r w:rsidR="0057367B">
        <w:t>is obliged</w:t>
      </w:r>
      <w:r w:rsidR="00361829">
        <w:t xml:space="preserve"> to </w:t>
      </w:r>
      <w:r w:rsidR="002E7721">
        <w:t xml:space="preserve">demonstrate that the restriction was necessary in the case in question. </w:t>
      </w:r>
      <w:r w:rsidRPr="00A33985">
        <w:t xml:space="preserve">Any restrictions to exercise </w:t>
      </w:r>
      <w:r w:rsidR="00782881">
        <w:t xml:space="preserve">the rights under </w:t>
      </w:r>
      <w:r w:rsidR="0075611D">
        <w:t>article </w:t>
      </w:r>
      <w:r w:rsidR="00782881">
        <w:t xml:space="preserve">19, </w:t>
      </w:r>
      <w:r w:rsidR="0075611D">
        <w:t>paragraph </w:t>
      </w:r>
      <w:r w:rsidR="00782881">
        <w:t xml:space="preserve">2, and </w:t>
      </w:r>
      <w:r w:rsidR="0075611D">
        <w:t>article </w:t>
      </w:r>
      <w:r w:rsidR="00782881">
        <w:t xml:space="preserve">21 of the Covenant </w:t>
      </w:r>
      <w:r w:rsidRPr="00A33985">
        <w:t>must conform to strict tests of nec</w:t>
      </w:r>
      <w:r w:rsidR="00680B8C">
        <w:t xml:space="preserve">essity and proportionality and </w:t>
      </w:r>
      <w:r w:rsidRPr="00A33985">
        <w:t>be applied only for those purposes for which they were prescribed and must be directly related to the specific nee</w:t>
      </w:r>
      <w:r w:rsidR="00680B8C">
        <w:t>d on which they are predicated.</w:t>
      </w:r>
      <w:r w:rsidRPr="00680B8C">
        <w:rPr>
          <w:rStyle w:val="FootnoteReference"/>
        </w:rPr>
        <w:footnoteReference w:id="12"/>
      </w:r>
    </w:p>
    <w:p w:rsidR="007446EF" w:rsidRDefault="00EC633D" w:rsidP="009D48CC">
      <w:pPr>
        <w:pStyle w:val="SingleTxtG"/>
      </w:pPr>
      <w:r>
        <w:t>7.6</w:t>
      </w:r>
      <w:r>
        <w:tab/>
      </w:r>
      <w:r w:rsidR="007446EF">
        <w:t xml:space="preserve">The Committee </w:t>
      </w:r>
      <w:r w:rsidR="003D71C2">
        <w:t>note</w:t>
      </w:r>
      <w:r w:rsidR="0002060B">
        <w:t>s</w:t>
      </w:r>
      <w:r w:rsidR="003D71C2">
        <w:t xml:space="preserve"> the author’s allegations that </w:t>
      </w:r>
      <w:r w:rsidR="00A53B9E">
        <w:t>he</w:t>
      </w:r>
      <w:r w:rsidR="007446EF">
        <w:t xml:space="preserve"> </w:t>
      </w:r>
      <w:r w:rsidR="003D71C2">
        <w:t>was apprehended</w:t>
      </w:r>
      <w:r w:rsidR="007446EF">
        <w:t xml:space="preserve"> </w:t>
      </w:r>
      <w:r w:rsidR="003D71C2">
        <w:t xml:space="preserve">and </w:t>
      </w:r>
      <w:r w:rsidR="007446EF">
        <w:t xml:space="preserve">brought to a police station </w:t>
      </w:r>
      <w:r w:rsidR="003D71C2">
        <w:t xml:space="preserve">for participating in a peaceful but unauthorized demonstration and for holding a poster </w:t>
      </w:r>
      <w:r w:rsidR="0002060B">
        <w:t xml:space="preserve">that read </w:t>
      </w:r>
      <w:r w:rsidR="003D71C2">
        <w:t xml:space="preserve">“Stop killings of gays in Iran” in front of the Embassy </w:t>
      </w:r>
      <w:r w:rsidR="0002060B">
        <w:t xml:space="preserve">of the Islamic Republic of Iran </w:t>
      </w:r>
      <w:r w:rsidR="003D71C2">
        <w:t xml:space="preserve">in Minsk. </w:t>
      </w:r>
      <w:r w:rsidR="0002060B">
        <w:t xml:space="preserve">He later received an </w:t>
      </w:r>
      <w:r w:rsidR="003D71C2">
        <w:t xml:space="preserve">administrative fine for the violation of </w:t>
      </w:r>
      <w:r w:rsidR="0075611D">
        <w:t>article </w:t>
      </w:r>
      <w:r w:rsidR="00C25433">
        <w:t xml:space="preserve">23.34, </w:t>
      </w:r>
      <w:r w:rsidR="00C43960">
        <w:t>paragraph </w:t>
      </w:r>
      <w:r w:rsidR="007446EF" w:rsidRPr="00A33985">
        <w:t xml:space="preserve">1, of the </w:t>
      </w:r>
      <w:r w:rsidR="007446EF" w:rsidRPr="00A60430">
        <w:t>B</w:t>
      </w:r>
      <w:r w:rsidR="003D71C2">
        <w:t>elarus</w:t>
      </w:r>
      <w:r w:rsidR="007446EF" w:rsidRPr="00A60430">
        <w:t xml:space="preserve"> </w:t>
      </w:r>
      <w:r w:rsidR="007446EF" w:rsidRPr="00A33985">
        <w:t>Code of Administrative Offences</w:t>
      </w:r>
      <w:r w:rsidR="007446EF">
        <w:t>.</w:t>
      </w:r>
    </w:p>
    <w:p w:rsidR="00D1073C" w:rsidRDefault="00EC633D" w:rsidP="009D48CC">
      <w:pPr>
        <w:pStyle w:val="SingleTxtG"/>
      </w:pPr>
      <w:r>
        <w:rPr>
          <w:lang w:val="en-US"/>
        </w:rPr>
        <w:t>7.7</w:t>
      </w:r>
      <w:r>
        <w:rPr>
          <w:lang w:val="en-US"/>
        </w:rPr>
        <w:tab/>
      </w:r>
      <w:r w:rsidR="007328CD">
        <w:rPr>
          <w:lang w:val="en-US"/>
        </w:rPr>
        <w:t xml:space="preserve">The Committee </w:t>
      </w:r>
      <w:r w:rsidR="00174802">
        <w:rPr>
          <w:lang w:val="en-US"/>
        </w:rPr>
        <w:t xml:space="preserve">notes </w:t>
      </w:r>
      <w:r w:rsidR="007328CD">
        <w:rPr>
          <w:lang w:val="en-US"/>
        </w:rPr>
        <w:t xml:space="preserve">the </w:t>
      </w:r>
      <w:r w:rsidR="007328CD">
        <w:t>author’s claim that</w:t>
      </w:r>
      <w:r w:rsidR="003D71C2">
        <w:t xml:space="preserve"> </w:t>
      </w:r>
      <w:r w:rsidR="006A2C40">
        <w:t xml:space="preserve">he was unable </w:t>
      </w:r>
      <w:r w:rsidR="007328CD">
        <w:t>to request prior authori</w:t>
      </w:r>
      <w:r w:rsidR="00174802">
        <w:t>z</w:t>
      </w:r>
      <w:r w:rsidR="007328CD">
        <w:t xml:space="preserve">ation to participate in the demonstration </w:t>
      </w:r>
      <w:r w:rsidR="006A2C40">
        <w:t xml:space="preserve">owing </w:t>
      </w:r>
      <w:r w:rsidR="007328CD">
        <w:t xml:space="preserve">to the stringent regime of the </w:t>
      </w:r>
      <w:r w:rsidR="006A2C40">
        <w:t>L</w:t>
      </w:r>
      <w:r w:rsidR="007328CD">
        <w:t>aw on Mass Events</w:t>
      </w:r>
      <w:r w:rsidR="009D48CC">
        <w:t>,</w:t>
      </w:r>
      <w:r w:rsidR="007328CD">
        <w:t xml:space="preserve"> </w:t>
      </w:r>
      <w:r w:rsidR="009D48CC">
        <w:t xml:space="preserve">which </w:t>
      </w:r>
      <w:r w:rsidR="007328CD">
        <w:t xml:space="preserve">imposes unreasonable restrictions on </w:t>
      </w:r>
      <w:r w:rsidR="00D1073C">
        <w:t>the right</w:t>
      </w:r>
      <w:r w:rsidR="007328CD">
        <w:t xml:space="preserve"> guaranteed by </w:t>
      </w:r>
      <w:r w:rsidR="0075611D">
        <w:t>article </w:t>
      </w:r>
      <w:r w:rsidR="007328CD">
        <w:t>21</w:t>
      </w:r>
      <w:r w:rsidR="006A2C40">
        <w:t xml:space="preserve"> of the Covenant</w:t>
      </w:r>
      <w:r w:rsidR="007328CD">
        <w:t xml:space="preserve">. In particular, </w:t>
      </w:r>
      <w:r w:rsidR="006A2C40">
        <w:t xml:space="preserve">the </w:t>
      </w:r>
      <w:r w:rsidR="007328CD">
        <w:t>Committee notes that</w:t>
      </w:r>
      <w:r w:rsidR="006A2C40">
        <w:t>,</w:t>
      </w:r>
      <w:r w:rsidR="007328CD">
        <w:t xml:space="preserve"> according to </w:t>
      </w:r>
      <w:r w:rsidR="0075611D">
        <w:t>article </w:t>
      </w:r>
      <w:r w:rsidR="007328CD">
        <w:t xml:space="preserve">5 of the Law on Mass Events, organizers of demonstrations are required to </w:t>
      </w:r>
      <w:r w:rsidR="006A2C40">
        <w:t xml:space="preserve">establish a contract </w:t>
      </w:r>
      <w:r w:rsidR="007328CD">
        <w:t xml:space="preserve">with the Department of the Interior of the District Administration </w:t>
      </w:r>
      <w:r w:rsidR="006A2C40">
        <w:t xml:space="preserve">in order </w:t>
      </w:r>
      <w:r w:rsidR="007328CD">
        <w:t xml:space="preserve">to ensure </w:t>
      </w:r>
      <w:r w:rsidR="006A2C40">
        <w:t xml:space="preserve">that </w:t>
      </w:r>
      <w:r w:rsidR="007328CD">
        <w:t xml:space="preserve">public order </w:t>
      </w:r>
      <w:r w:rsidR="006A2C40">
        <w:t xml:space="preserve">is maintained </w:t>
      </w:r>
      <w:r w:rsidR="007328CD">
        <w:t xml:space="preserve">during the demonstration; </w:t>
      </w:r>
      <w:r w:rsidR="006A2C40">
        <w:t xml:space="preserve">a contract </w:t>
      </w:r>
      <w:r w:rsidR="007328CD">
        <w:t xml:space="preserve">with the Health Department to ensure </w:t>
      </w:r>
      <w:r w:rsidR="006A2C40">
        <w:t xml:space="preserve">that </w:t>
      </w:r>
      <w:r w:rsidR="007328CD">
        <w:t xml:space="preserve">medical care </w:t>
      </w:r>
      <w:r w:rsidR="006A2C40">
        <w:t xml:space="preserve">is provided; </w:t>
      </w:r>
      <w:r w:rsidR="007328CD">
        <w:t xml:space="preserve">and </w:t>
      </w:r>
      <w:r w:rsidR="006A2C40">
        <w:t xml:space="preserve">a contract </w:t>
      </w:r>
      <w:r w:rsidR="007328CD">
        <w:t xml:space="preserve">with the Utilities Department to ensure </w:t>
      </w:r>
      <w:r w:rsidR="006A2C40">
        <w:t xml:space="preserve">that </w:t>
      </w:r>
      <w:r w:rsidR="007328CD">
        <w:t xml:space="preserve">the </w:t>
      </w:r>
      <w:r w:rsidR="006A2C40">
        <w:t xml:space="preserve">area </w:t>
      </w:r>
      <w:r w:rsidR="007328CD">
        <w:t xml:space="preserve">where the demonstration </w:t>
      </w:r>
      <w:r w:rsidR="006A2C40">
        <w:t xml:space="preserve">is to </w:t>
      </w:r>
      <w:r w:rsidR="007328CD">
        <w:t xml:space="preserve">take place </w:t>
      </w:r>
      <w:r w:rsidR="006A2C40">
        <w:t xml:space="preserve">is cleaned </w:t>
      </w:r>
      <w:r w:rsidR="007328CD">
        <w:t>following the event.</w:t>
      </w:r>
      <w:r w:rsidR="007328CD" w:rsidRPr="00A33985">
        <w:t xml:space="preserve"> </w:t>
      </w:r>
      <w:r w:rsidR="0057367B">
        <w:t xml:space="preserve">The Committee also </w:t>
      </w:r>
      <w:r w:rsidR="006A2C40">
        <w:t xml:space="preserve">notes </w:t>
      </w:r>
      <w:r w:rsidR="0057367B">
        <w:t>the author’s unrefuted claim that d</w:t>
      </w:r>
      <w:r w:rsidR="00D1073C">
        <w:t xml:space="preserve">emonstrations are also </w:t>
      </w:r>
      <w:r w:rsidR="006A2C40">
        <w:t xml:space="preserve">forbidden </w:t>
      </w:r>
      <w:r w:rsidR="00D1073C">
        <w:t xml:space="preserve">within 50 metres </w:t>
      </w:r>
      <w:r w:rsidR="006A2C40">
        <w:t xml:space="preserve">of </w:t>
      </w:r>
      <w:r w:rsidR="00D1073C">
        <w:t xml:space="preserve">diplomatic </w:t>
      </w:r>
      <w:r w:rsidR="00745E11">
        <w:t>premises</w:t>
      </w:r>
      <w:r w:rsidR="00D1073C">
        <w:t>.</w:t>
      </w:r>
    </w:p>
    <w:p w:rsidR="00D16986" w:rsidRDefault="00A33985" w:rsidP="007205AC">
      <w:pPr>
        <w:pStyle w:val="SingleTxtG"/>
      </w:pPr>
      <w:r w:rsidRPr="00A33985">
        <w:t>7.</w:t>
      </w:r>
      <w:r w:rsidR="00EC633D">
        <w:t>8</w:t>
      </w:r>
      <w:r w:rsidRPr="00A33985">
        <w:tab/>
      </w:r>
      <w:r w:rsidR="007328CD">
        <w:t>The Committee recalls that</w:t>
      </w:r>
      <w:r w:rsidR="00D471E0">
        <w:t>,</w:t>
      </w:r>
      <w:r w:rsidR="007328CD">
        <w:t xml:space="preserve"> </w:t>
      </w:r>
      <w:r w:rsidR="007328CD" w:rsidRPr="007C54B4">
        <w:t xml:space="preserve">while imposing the restrictions to the right </w:t>
      </w:r>
      <w:r w:rsidR="00D471E0">
        <w:t xml:space="preserve">of </w:t>
      </w:r>
      <w:r w:rsidR="00D471E0" w:rsidRPr="00BB6718">
        <w:t xml:space="preserve">freedom </w:t>
      </w:r>
      <w:r w:rsidR="007328CD" w:rsidRPr="007C54B4">
        <w:t xml:space="preserve">of peaceful assembly, the State party should be guided by the objective to facilitate the </w:t>
      </w:r>
      <w:r w:rsidR="007328CD" w:rsidRPr="007C54B4">
        <w:lastRenderedPageBreak/>
        <w:t>right, rather than seeking unnecessary or dis</w:t>
      </w:r>
      <w:r w:rsidR="007328CD">
        <w:t>proportionate limitations to it</w:t>
      </w:r>
      <w:r w:rsidR="007328CD">
        <w:rPr>
          <w:lang w:val="en-US"/>
        </w:rPr>
        <w:t>.</w:t>
      </w:r>
      <w:r w:rsidR="007328CD" w:rsidRPr="00680B8C">
        <w:rPr>
          <w:rStyle w:val="FootnoteReference"/>
        </w:rPr>
        <w:footnoteReference w:id="13"/>
      </w:r>
      <w:r w:rsidR="007328CD">
        <w:t xml:space="preserve"> </w:t>
      </w:r>
      <w:r w:rsidRPr="00A33985">
        <w:t xml:space="preserve">In </w:t>
      </w:r>
      <w:r w:rsidR="00426FA6" w:rsidRPr="00A33985">
        <w:t>th</w:t>
      </w:r>
      <w:r w:rsidR="00426FA6">
        <w:t xml:space="preserve">at </w:t>
      </w:r>
      <w:r w:rsidR="009C50CE">
        <w:t xml:space="preserve">regard, the Committee notes </w:t>
      </w:r>
      <w:r w:rsidRPr="00A33985">
        <w:t>th</w:t>
      </w:r>
      <w:r w:rsidR="00082CEF">
        <w:t>at</w:t>
      </w:r>
      <w:r w:rsidR="00426FA6">
        <w:t>,</w:t>
      </w:r>
      <w:r w:rsidR="00082CEF">
        <w:t xml:space="preserve"> </w:t>
      </w:r>
      <w:r w:rsidR="002E7721">
        <w:t xml:space="preserve">while </w:t>
      </w:r>
      <w:r w:rsidRPr="00A33985">
        <w:t>the restriction</w:t>
      </w:r>
      <w:r w:rsidR="00BA6C83">
        <w:t>s</w:t>
      </w:r>
      <w:r w:rsidRPr="00A33985">
        <w:t xml:space="preserve"> imposed in the author’s case w</w:t>
      </w:r>
      <w:r w:rsidR="00BA6C83">
        <w:t>ere</w:t>
      </w:r>
      <w:r w:rsidRPr="00A33985">
        <w:t xml:space="preserve"> in accordance with the law</w:t>
      </w:r>
      <w:r w:rsidR="002E7721">
        <w:t xml:space="preserve">, </w:t>
      </w:r>
      <w:r w:rsidRPr="00A33985">
        <w:t xml:space="preserve">the State party has not attempted to explain why </w:t>
      </w:r>
      <w:r w:rsidR="007328CD">
        <w:t xml:space="preserve">such restrictions </w:t>
      </w:r>
      <w:r w:rsidR="00BA6C83">
        <w:t>w</w:t>
      </w:r>
      <w:r w:rsidR="007328CD">
        <w:t>ere</w:t>
      </w:r>
      <w:r w:rsidRPr="00A33985">
        <w:t xml:space="preserve"> necessary</w:t>
      </w:r>
      <w:r w:rsidR="007328CD">
        <w:t xml:space="preserve"> and </w:t>
      </w:r>
      <w:r w:rsidR="00D1073C">
        <w:t>whether</w:t>
      </w:r>
      <w:r w:rsidR="007328CD">
        <w:t xml:space="preserve"> they were proportionate </w:t>
      </w:r>
      <w:r w:rsidRPr="00A33985">
        <w:t xml:space="preserve">for one of the legitimate purposes set out in </w:t>
      </w:r>
      <w:r w:rsidR="0075611D">
        <w:t>article </w:t>
      </w:r>
      <w:r w:rsidRPr="00A33985">
        <w:t xml:space="preserve">19, </w:t>
      </w:r>
      <w:r w:rsidR="0075611D">
        <w:t>paragraph </w:t>
      </w:r>
      <w:r w:rsidRPr="00A33985">
        <w:t xml:space="preserve">3, </w:t>
      </w:r>
      <w:r w:rsidR="00BA6C83">
        <w:t xml:space="preserve">and the second sentence of </w:t>
      </w:r>
      <w:r w:rsidR="0075611D">
        <w:t>article </w:t>
      </w:r>
      <w:r w:rsidR="00BA6C83">
        <w:t xml:space="preserve">21 </w:t>
      </w:r>
      <w:r w:rsidRPr="00A33985">
        <w:t>of the Covenant</w:t>
      </w:r>
      <w:r w:rsidR="007328CD">
        <w:t>.</w:t>
      </w:r>
      <w:r w:rsidR="00D1073C">
        <w:t xml:space="preserve"> </w:t>
      </w:r>
      <w:r w:rsidR="00272666">
        <w:t xml:space="preserve">Nor did </w:t>
      </w:r>
      <w:r w:rsidR="00D1073C">
        <w:t xml:space="preserve">the State party </w:t>
      </w:r>
      <w:r w:rsidRPr="00A33985">
        <w:t>explain how</w:t>
      </w:r>
      <w:r w:rsidR="00272666">
        <w:t>,</w:t>
      </w:r>
      <w:r w:rsidRPr="00A33985">
        <w:t xml:space="preserve"> in practice, in the </w:t>
      </w:r>
      <w:r w:rsidR="007205AC">
        <w:t xml:space="preserve">present </w:t>
      </w:r>
      <w:r w:rsidRPr="00A33985">
        <w:t xml:space="preserve">case, the author’s </w:t>
      </w:r>
      <w:r w:rsidR="00D1073C">
        <w:t xml:space="preserve">participation in a peaceful demonstration </w:t>
      </w:r>
      <w:r w:rsidR="00272666">
        <w:t xml:space="preserve">in which </w:t>
      </w:r>
      <w:r w:rsidR="00D1073C" w:rsidRPr="00D87481">
        <w:t>only a few persons participate</w:t>
      </w:r>
      <w:r w:rsidR="00D1073C">
        <w:t xml:space="preserve">d could </w:t>
      </w:r>
      <w:r w:rsidRPr="00A33985">
        <w:t xml:space="preserve">have violated the rights and freedoms of others or posed a threat </w:t>
      </w:r>
      <w:r w:rsidR="00527E13">
        <w:t xml:space="preserve">to the protection of </w:t>
      </w:r>
      <w:r w:rsidRPr="00A33985">
        <w:t>public safety or public order</w:t>
      </w:r>
      <w:r w:rsidR="00BA6C83">
        <w:t xml:space="preserve">, or </w:t>
      </w:r>
      <w:r w:rsidR="00527E13">
        <w:t xml:space="preserve">of </w:t>
      </w:r>
      <w:r w:rsidR="00BA6C83">
        <w:t>public health or morals</w:t>
      </w:r>
      <w:r w:rsidRPr="00A33985">
        <w:t xml:space="preserve">. </w:t>
      </w:r>
      <w:r w:rsidR="006678F4" w:rsidRPr="006678F4">
        <w:rPr>
          <w:lang w:val="en-US"/>
        </w:rPr>
        <w:t xml:space="preserve"> </w:t>
      </w:r>
      <w:r w:rsidR="004534B5">
        <w:rPr>
          <w:lang w:val="en-US"/>
        </w:rPr>
        <w:t xml:space="preserve">The Committee </w:t>
      </w:r>
      <w:r w:rsidR="00D16986">
        <w:rPr>
          <w:lang w:val="en-US"/>
        </w:rPr>
        <w:t>observes</w:t>
      </w:r>
      <w:r w:rsidR="004534B5">
        <w:rPr>
          <w:lang w:val="en-US"/>
        </w:rPr>
        <w:t xml:space="preserve"> that</w:t>
      </w:r>
      <w:r w:rsidR="00527E13">
        <w:rPr>
          <w:lang w:val="en-US"/>
        </w:rPr>
        <w:t>,</w:t>
      </w:r>
      <w:r w:rsidR="004534B5">
        <w:rPr>
          <w:lang w:val="en-US"/>
        </w:rPr>
        <w:t xml:space="preserve"> </w:t>
      </w:r>
      <w:r w:rsidR="00A53B9E">
        <w:rPr>
          <w:lang w:val="en-US"/>
        </w:rPr>
        <w:t xml:space="preserve">while </w:t>
      </w:r>
      <w:r w:rsidR="004534B5">
        <w:rPr>
          <w:lang w:val="en-US"/>
        </w:rPr>
        <w:t xml:space="preserve">ensuring </w:t>
      </w:r>
      <w:r w:rsidR="00210DF8">
        <w:rPr>
          <w:lang w:val="en-US"/>
        </w:rPr>
        <w:t xml:space="preserve">the </w:t>
      </w:r>
      <w:r w:rsidR="004534B5">
        <w:rPr>
          <w:lang w:val="en-US"/>
        </w:rPr>
        <w:t xml:space="preserve">security and safety of the embassy of the foreign </w:t>
      </w:r>
      <w:r w:rsidR="00210DF8">
        <w:rPr>
          <w:lang w:val="en-US"/>
        </w:rPr>
        <w:t>S</w:t>
      </w:r>
      <w:r w:rsidR="004534B5">
        <w:rPr>
          <w:lang w:val="en-US"/>
        </w:rPr>
        <w:t xml:space="preserve">tate </w:t>
      </w:r>
      <w:r w:rsidR="007328CD">
        <w:rPr>
          <w:lang w:val="en-US"/>
        </w:rPr>
        <w:t>may be regarded as</w:t>
      </w:r>
      <w:r w:rsidR="004534B5">
        <w:rPr>
          <w:lang w:val="en-US"/>
        </w:rPr>
        <w:t xml:space="preserve"> </w:t>
      </w:r>
      <w:r w:rsidR="007328CD">
        <w:rPr>
          <w:lang w:val="en-US"/>
        </w:rPr>
        <w:t>a</w:t>
      </w:r>
      <w:r w:rsidR="004534B5">
        <w:rPr>
          <w:lang w:val="en-US"/>
        </w:rPr>
        <w:t xml:space="preserve"> legitimate </w:t>
      </w:r>
      <w:r w:rsidR="00252F17">
        <w:rPr>
          <w:lang w:val="en-US"/>
        </w:rPr>
        <w:t>purpose</w:t>
      </w:r>
      <w:r w:rsidR="004534B5">
        <w:rPr>
          <w:lang w:val="en-US"/>
        </w:rPr>
        <w:t xml:space="preserve"> for </w:t>
      </w:r>
      <w:r w:rsidR="00252F17">
        <w:rPr>
          <w:lang w:val="en-US"/>
        </w:rPr>
        <w:t>re</w:t>
      </w:r>
      <w:r w:rsidR="007042FC">
        <w:rPr>
          <w:lang w:val="en-US"/>
        </w:rPr>
        <w:t>stricting</w:t>
      </w:r>
      <w:r w:rsidR="004534B5">
        <w:rPr>
          <w:lang w:val="en-US"/>
        </w:rPr>
        <w:t xml:space="preserve"> the right to peaceful assembly, </w:t>
      </w:r>
      <w:r w:rsidR="00D16986">
        <w:rPr>
          <w:lang w:val="en-US"/>
        </w:rPr>
        <w:t xml:space="preserve">the State party </w:t>
      </w:r>
      <w:r w:rsidR="00210DF8">
        <w:rPr>
          <w:lang w:val="en-US"/>
        </w:rPr>
        <w:t xml:space="preserve">must </w:t>
      </w:r>
      <w:r w:rsidR="00D16986">
        <w:rPr>
          <w:lang w:val="en-US"/>
        </w:rPr>
        <w:t xml:space="preserve">justify </w:t>
      </w:r>
      <w:r w:rsidR="00210DF8">
        <w:rPr>
          <w:lang w:val="en-US"/>
        </w:rPr>
        <w:t xml:space="preserve">why the </w:t>
      </w:r>
      <w:r w:rsidR="006678F4">
        <w:rPr>
          <w:lang w:val="en-US"/>
        </w:rPr>
        <w:t xml:space="preserve">apprehension of the </w:t>
      </w:r>
      <w:r w:rsidR="004534B5">
        <w:rPr>
          <w:lang w:val="en-US"/>
        </w:rPr>
        <w:t xml:space="preserve">author </w:t>
      </w:r>
      <w:r w:rsidR="00D1073C">
        <w:rPr>
          <w:lang w:val="en-US"/>
        </w:rPr>
        <w:t xml:space="preserve">and </w:t>
      </w:r>
      <w:r w:rsidR="00210DF8">
        <w:rPr>
          <w:lang w:val="en-US"/>
        </w:rPr>
        <w:t xml:space="preserve">imposition on him of an </w:t>
      </w:r>
      <w:r w:rsidR="00D1073C">
        <w:rPr>
          <w:lang w:val="en-US"/>
        </w:rPr>
        <w:t xml:space="preserve">administrative fine </w:t>
      </w:r>
      <w:r w:rsidR="00210DF8">
        <w:rPr>
          <w:lang w:val="en-US"/>
        </w:rPr>
        <w:t xml:space="preserve">were </w:t>
      </w:r>
      <w:r w:rsidR="00D16986">
        <w:rPr>
          <w:lang w:val="en-US"/>
        </w:rPr>
        <w:t xml:space="preserve">necessary and </w:t>
      </w:r>
      <w:r w:rsidR="00D1073C">
        <w:rPr>
          <w:lang w:val="en-US"/>
        </w:rPr>
        <w:t>proportionate</w:t>
      </w:r>
      <w:r w:rsidR="006678F4">
        <w:rPr>
          <w:lang w:val="en-US"/>
        </w:rPr>
        <w:t xml:space="preserve"> to </w:t>
      </w:r>
      <w:r w:rsidR="00210DF8">
        <w:rPr>
          <w:lang w:val="en-US"/>
        </w:rPr>
        <w:t xml:space="preserve">that </w:t>
      </w:r>
      <w:r w:rsidR="007328CD">
        <w:rPr>
          <w:lang w:val="en-US"/>
        </w:rPr>
        <w:t>purpose</w:t>
      </w:r>
      <w:r w:rsidR="006678F4">
        <w:rPr>
          <w:lang w:val="en-US"/>
        </w:rPr>
        <w:t xml:space="preserve">. </w:t>
      </w:r>
      <w:r w:rsidR="00D16986">
        <w:t>Therefore, i</w:t>
      </w:r>
      <w:r w:rsidR="00D16986" w:rsidRPr="00A33985">
        <w:t xml:space="preserve">n the absence of any other pertinent explanations from the State party, the Committee considers that due weight must be given to the author’s allegations. </w:t>
      </w:r>
    </w:p>
    <w:p w:rsidR="000F4D78" w:rsidRDefault="00CA3D31" w:rsidP="007205AC">
      <w:pPr>
        <w:pStyle w:val="SingleTxtG"/>
      </w:pPr>
      <w:r>
        <w:t>7</w:t>
      </w:r>
      <w:r w:rsidR="007042FC">
        <w:t>.</w:t>
      </w:r>
      <w:r w:rsidR="00EC633D">
        <w:t>9</w:t>
      </w:r>
      <w:r>
        <w:tab/>
        <w:t xml:space="preserve">The Committee notes </w:t>
      </w:r>
      <w:r w:rsidR="00287EFA">
        <w:t xml:space="preserve">that the author was </w:t>
      </w:r>
      <w:r w:rsidR="005C5EEE">
        <w:t xml:space="preserve">apprehended </w:t>
      </w:r>
      <w:r w:rsidR="00782881">
        <w:t xml:space="preserve">and </w:t>
      </w:r>
      <w:r w:rsidR="005C5EEE">
        <w:t xml:space="preserve">given an </w:t>
      </w:r>
      <w:r w:rsidR="005300F8">
        <w:t xml:space="preserve">administrative fine </w:t>
      </w:r>
      <w:r w:rsidR="005C5EEE">
        <w:t xml:space="preserve">in accordance with </w:t>
      </w:r>
      <w:r w:rsidR="0075611D">
        <w:t>article </w:t>
      </w:r>
      <w:r w:rsidR="000D055A">
        <w:t xml:space="preserve">23.34, </w:t>
      </w:r>
      <w:r w:rsidR="00C43960">
        <w:t>paragraph </w:t>
      </w:r>
      <w:r w:rsidR="00287EFA" w:rsidRPr="00A33985">
        <w:t>1, of the Belarusian Code of Administrative Offences</w:t>
      </w:r>
      <w:r w:rsidR="00287EFA">
        <w:t xml:space="preserve"> </w:t>
      </w:r>
      <w:r w:rsidR="00D16986">
        <w:t xml:space="preserve">because of </w:t>
      </w:r>
      <w:r w:rsidR="005C5EEE">
        <w:t xml:space="preserve">his </w:t>
      </w:r>
      <w:r w:rsidR="005300F8">
        <w:t>participati</w:t>
      </w:r>
      <w:r w:rsidR="00D16986">
        <w:t>o</w:t>
      </w:r>
      <w:r w:rsidR="005300F8">
        <w:t>n in the unauthorized demonstration</w:t>
      </w:r>
      <w:r w:rsidR="00287EFA">
        <w:t xml:space="preserve">. </w:t>
      </w:r>
      <w:r w:rsidR="00D16986">
        <w:t>T</w:t>
      </w:r>
      <w:r w:rsidR="00287EFA">
        <w:t xml:space="preserve">he Committee notes that the State party has failed to demonstrate that the </w:t>
      </w:r>
      <w:r w:rsidR="00782881">
        <w:t xml:space="preserve">apprehension and </w:t>
      </w:r>
      <w:r w:rsidR="00287EFA">
        <w:t xml:space="preserve">fine imposed on the author, </w:t>
      </w:r>
      <w:r w:rsidR="005C5EEE">
        <w:t xml:space="preserve">although </w:t>
      </w:r>
      <w:r w:rsidR="007205AC">
        <w:t xml:space="preserve">made on the basis of </w:t>
      </w:r>
      <w:r w:rsidR="00287EFA">
        <w:t xml:space="preserve">a law, was necessary </w:t>
      </w:r>
      <w:r w:rsidR="00745E11">
        <w:t>and proportionate to achieve</w:t>
      </w:r>
      <w:r w:rsidR="00287EFA">
        <w:t xml:space="preserve"> one of the legitimate purposes under </w:t>
      </w:r>
      <w:r w:rsidR="0075611D">
        <w:t>article </w:t>
      </w:r>
      <w:r w:rsidR="00287EFA">
        <w:t xml:space="preserve">19, </w:t>
      </w:r>
      <w:r w:rsidR="0075611D">
        <w:t>paragraph </w:t>
      </w:r>
      <w:r w:rsidR="00287EFA">
        <w:t xml:space="preserve">3, </w:t>
      </w:r>
      <w:r w:rsidR="00BA6C83">
        <w:t xml:space="preserve">and the second sentence of </w:t>
      </w:r>
      <w:r w:rsidR="0075611D">
        <w:t>article </w:t>
      </w:r>
      <w:r w:rsidR="00BA6C83">
        <w:t xml:space="preserve">21 </w:t>
      </w:r>
      <w:r w:rsidR="00287EFA">
        <w:t>of the Covenant.</w:t>
      </w:r>
      <w:r w:rsidR="008B78D6">
        <w:t xml:space="preserve"> </w:t>
      </w:r>
      <w:r w:rsidR="001E212C">
        <w:t>The Committee therefore</w:t>
      </w:r>
      <w:r w:rsidR="000F4D78" w:rsidRPr="00A33985">
        <w:t xml:space="preserve"> concludes that the facts as submitted reveal a violation, by the State party, of the author’s rights under </w:t>
      </w:r>
      <w:r w:rsidR="0075611D">
        <w:t>article </w:t>
      </w:r>
      <w:r w:rsidR="000F4D78" w:rsidRPr="00A33985">
        <w:t xml:space="preserve">19, </w:t>
      </w:r>
      <w:r w:rsidR="0075611D">
        <w:t>paragraph </w:t>
      </w:r>
      <w:r w:rsidR="000F4D78" w:rsidRPr="00A33985">
        <w:t>2,</w:t>
      </w:r>
      <w:r w:rsidR="00BA6C83">
        <w:t xml:space="preserve"> and </w:t>
      </w:r>
      <w:r w:rsidR="0075611D">
        <w:t>article </w:t>
      </w:r>
      <w:r w:rsidR="00BA6C83">
        <w:t>21</w:t>
      </w:r>
      <w:r w:rsidR="000F4D78" w:rsidRPr="00A33985">
        <w:t xml:space="preserve"> of the Covenant.</w:t>
      </w:r>
    </w:p>
    <w:p w:rsidR="00A33985" w:rsidRPr="00A33985" w:rsidRDefault="00A33985" w:rsidP="00603C65">
      <w:pPr>
        <w:pStyle w:val="SingleTxtG"/>
      </w:pPr>
      <w:r w:rsidRPr="00A33985">
        <w:t>8.</w:t>
      </w:r>
      <w:r w:rsidRPr="00A33985">
        <w:tab/>
        <w:t xml:space="preserve">The Human Rights Committee, acting under </w:t>
      </w:r>
      <w:r w:rsidR="0075611D">
        <w:t>article </w:t>
      </w:r>
      <w:r w:rsidRPr="00A33985">
        <w:t xml:space="preserve">5, </w:t>
      </w:r>
      <w:r w:rsidR="0075611D">
        <w:t>paragraph </w:t>
      </w:r>
      <w:r w:rsidRPr="00A33985">
        <w:t>4, of the Optional Protocol to the International Covenant on Civil and Political Rights, is of the view that the State party has violated the author’s rights</w:t>
      </w:r>
      <w:r w:rsidR="000D055A">
        <w:t> </w:t>
      </w:r>
      <w:r w:rsidRPr="00A33985">
        <w:t xml:space="preserve">under </w:t>
      </w:r>
      <w:r w:rsidR="0075611D">
        <w:t>article </w:t>
      </w:r>
      <w:r w:rsidRPr="00A33985">
        <w:t xml:space="preserve">19, </w:t>
      </w:r>
      <w:r w:rsidR="0075611D">
        <w:t>paragraph </w:t>
      </w:r>
      <w:r w:rsidRPr="00A33985">
        <w:t xml:space="preserve">2, </w:t>
      </w:r>
      <w:r w:rsidR="00A60430">
        <w:t xml:space="preserve">and </w:t>
      </w:r>
      <w:r w:rsidR="0075611D">
        <w:t>article </w:t>
      </w:r>
      <w:r w:rsidR="00A60430">
        <w:t xml:space="preserve">21 </w:t>
      </w:r>
      <w:r w:rsidRPr="00A33985">
        <w:t>of the Covenant.</w:t>
      </w:r>
    </w:p>
    <w:p w:rsidR="00A33985" w:rsidRPr="00A33985" w:rsidRDefault="00A33985" w:rsidP="007205AC">
      <w:pPr>
        <w:pStyle w:val="SingleTxtG"/>
      </w:pPr>
      <w:r w:rsidRPr="00A33985">
        <w:t>9.</w:t>
      </w:r>
      <w:r w:rsidRPr="00A33985">
        <w:tab/>
        <w:t xml:space="preserve">In accordance with </w:t>
      </w:r>
      <w:r w:rsidR="0075611D">
        <w:t>article </w:t>
      </w:r>
      <w:r w:rsidRPr="00A33985">
        <w:t xml:space="preserve">2, </w:t>
      </w:r>
      <w:r w:rsidR="0075611D">
        <w:t>paragraph </w:t>
      </w:r>
      <w:r w:rsidRPr="00A33985">
        <w:t>3 (a), of the Covenant, the State party is under an obligation to provide the author with an effective remedy, as well as adequate compensation</w:t>
      </w:r>
      <w:r w:rsidRPr="00A33985">
        <w:rPr>
          <w:lang w:val="en-US"/>
        </w:rPr>
        <w:t xml:space="preserve"> and reimbursement of </w:t>
      </w:r>
      <w:r w:rsidRPr="00A33985">
        <w:t xml:space="preserve">the fine imposed on the author as a result of the administrative proceedings. The State party is also under </w:t>
      </w:r>
      <w:r w:rsidR="00603C65">
        <w:t xml:space="preserve">the </w:t>
      </w:r>
      <w:r w:rsidRPr="00A33985">
        <w:t xml:space="preserve">obligation to take steps to prevent similar violations in the future. In this connection, the Committee reiterates that </w:t>
      </w:r>
      <w:r w:rsidR="008B3922">
        <w:t xml:space="preserve">the </w:t>
      </w:r>
      <w:r w:rsidRPr="00A33985">
        <w:t>State party should review its legislation, in particula</w:t>
      </w:r>
      <w:r w:rsidR="000D055A">
        <w:t>r the Law on Mass Events of 30 </w:t>
      </w:r>
      <w:r w:rsidRPr="00A33985">
        <w:t>December 1997, as it has been applied in the present case, with a view to ensuring that the rights under article</w:t>
      </w:r>
      <w:r w:rsidR="00A60430">
        <w:t>s</w:t>
      </w:r>
      <w:r w:rsidR="000D055A">
        <w:t> </w:t>
      </w:r>
      <w:r w:rsidRPr="00A33985">
        <w:t xml:space="preserve">19 </w:t>
      </w:r>
      <w:r w:rsidR="00A60430">
        <w:t xml:space="preserve">and 21 </w:t>
      </w:r>
      <w:r w:rsidRPr="00A33985">
        <w:t>of the Covenant may be fully enjoyed in the State party.</w:t>
      </w:r>
      <w:r w:rsidRPr="00680B8C">
        <w:rPr>
          <w:rStyle w:val="FootnoteReference"/>
        </w:rPr>
        <w:footnoteReference w:id="14"/>
      </w:r>
    </w:p>
    <w:p w:rsidR="00A33985" w:rsidRPr="00A33985" w:rsidRDefault="00A33985" w:rsidP="00C04142">
      <w:pPr>
        <w:pStyle w:val="SingleTxtG"/>
      </w:pPr>
      <w:r w:rsidRPr="00A33985">
        <w:t>10.</w:t>
      </w:r>
      <w:r w:rsidRPr="00A33985">
        <w:tab/>
      </w:r>
      <w:r w:rsidR="00C04142">
        <w:t xml:space="preserve">By </w:t>
      </w:r>
      <w:r w:rsidRPr="00A33985">
        <w:t xml:space="preserve">becoming a </w:t>
      </w:r>
      <w:r w:rsidR="00C04142">
        <w:t xml:space="preserve">State </w:t>
      </w:r>
      <w:r w:rsidRPr="00A33985">
        <w:t>party to the Optional Protocol, the State party has recognized the competence of the Committee to determine whether there has been a violation of the Covenant</w:t>
      </w:r>
      <w:r w:rsidR="00C04142">
        <w:t>.</w:t>
      </w:r>
      <w:r w:rsidRPr="00A33985">
        <w:t xml:space="preserve"> </w:t>
      </w:r>
      <w:r w:rsidR="00C04142">
        <w:t>P</w:t>
      </w:r>
      <w:r w:rsidRPr="00A33985">
        <w:t xml:space="preserve">ursuant to </w:t>
      </w:r>
      <w:r w:rsidR="0075611D">
        <w:t>article </w:t>
      </w:r>
      <w:r w:rsidRPr="00A33985">
        <w:t xml:space="preserve">2 of the Covenant, the State party has undertaken to </w:t>
      </w:r>
      <w:r w:rsidR="00C04142">
        <w:t xml:space="preserve">guarantee </w:t>
      </w:r>
      <w:r w:rsidRPr="00A33985">
        <w:t xml:space="preserve">to all individuals within its territory </w:t>
      </w:r>
      <w:r w:rsidR="00C04142">
        <w:t xml:space="preserve">and </w:t>
      </w:r>
      <w:r w:rsidRPr="00A33985">
        <w:t>subject to its jurisdiction the rights recogni</w:t>
      </w:r>
      <w:r w:rsidR="00C04142">
        <w:t>z</w:t>
      </w:r>
      <w:r w:rsidRPr="00A33985">
        <w:t>ed in the Covenant</w:t>
      </w:r>
      <w:r w:rsidR="00C04142">
        <w:t>,</w:t>
      </w:r>
      <w:r w:rsidRPr="00A33985">
        <w:t xml:space="preserve"> and to provide an effective and enforceable remedy when it has been determined that a violation has occurred</w:t>
      </w:r>
      <w:r w:rsidR="00C04142">
        <w:t>.</w:t>
      </w:r>
      <w:r w:rsidRPr="00A33985">
        <w:t xml:space="preserve"> </w:t>
      </w:r>
      <w:r w:rsidR="00C04142">
        <w:t xml:space="preserve">The </w:t>
      </w:r>
      <w:r w:rsidRPr="00A33985">
        <w:t xml:space="preserve">Committee </w:t>
      </w:r>
      <w:r w:rsidR="00C04142">
        <w:t xml:space="preserve">therefore requests </w:t>
      </w:r>
      <w:r w:rsidRPr="00A33985">
        <w:t>the State party</w:t>
      </w:r>
      <w:r w:rsidR="00C04142">
        <w:t xml:space="preserve"> to provide</w:t>
      </w:r>
      <w:r w:rsidRPr="00A33985">
        <w:t xml:space="preserve">, within 180 days, information about the measures taken to give effect to the </w:t>
      </w:r>
      <w:r w:rsidRPr="00A33985">
        <w:lastRenderedPageBreak/>
        <w:t xml:space="preserve">Committee’s Views. The State party is also requested to publish the present Views, and </w:t>
      </w:r>
      <w:r w:rsidRPr="00A33985">
        <w:rPr>
          <w:lang w:val="en-US"/>
        </w:rPr>
        <w:t>to have them widely disseminated in Belarusian and Russian in the State party</w:t>
      </w:r>
      <w:r w:rsidRPr="00A33985">
        <w:t xml:space="preserve">. </w:t>
      </w:r>
    </w:p>
    <w:p w:rsidR="00A33985" w:rsidRPr="00A33985" w:rsidRDefault="00A33985" w:rsidP="00A33985">
      <w:pPr>
        <w:pStyle w:val="SingleTxtG"/>
        <w:spacing w:before="240" w:after="0"/>
        <w:jc w:val="center"/>
        <w:rPr>
          <w:u w:val="single"/>
        </w:rPr>
      </w:pPr>
      <w:r>
        <w:rPr>
          <w:u w:val="single"/>
        </w:rPr>
        <w:tab/>
      </w:r>
      <w:r>
        <w:rPr>
          <w:u w:val="single"/>
        </w:rPr>
        <w:tab/>
      </w:r>
      <w:r>
        <w:rPr>
          <w:u w:val="single"/>
        </w:rPr>
        <w:tab/>
      </w:r>
    </w:p>
    <w:sectPr w:rsidR="00A33985" w:rsidRPr="00A33985" w:rsidSect="00B33594">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3D3" w:rsidRDefault="008543D3"/>
  </w:endnote>
  <w:endnote w:type="continuationSeparator" w:id="0">
    <w:p w:rsidR="008543D3" w:rsidRDefault="008543D3"/>
  </w:endnote>
  <w:endnote w:type="continuationNotice" w:id="1">
    <w:p w:rsidR="008543D3" w:rsidRDefault="00854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FB" w:rsidRPr="00A33985" w:rsidRDefault="002E1AFB" w:rsidP="00A33985">
    <w:pPr>
      <w:pStyle w:val="Footer"/>
      <w:tabs>
        <w:tab w:val="right" w:pos="9638"/>
      </w:tabs>
    </w:pPr>
    <w:r w:rsidRPr="00A33985">
      <w:rPr>
        <w:b/>
        <w:sz w:val="18"/>
      </w:rPr>
      <w:fldChar w:fldCharType="begin"/>
    </w:r>
    <w:r w:rsidRPr="00A33985">
      <w:rPr>
        <w:b/>
        <w:sz w:val="18"/>
      </w:rPr>
      <w:instrText xml:space="preserve"> PAGE  \* MERGEFORMAT </w:instrText>
    </w:r>
    <w:r w:rsidRPr="00A33985">
      <w:rPr>
        <w:b/>
        <w:sz w:val="18"/>
      </w:rPr>
      <w:fldChar w:fldCharType="separate"/>
    </w:r>
    <w:r w:rsidR="00EF7529">
      <w:rPr>
        <w:b/>
        <w:noProof/>
        <w:sz w:val="18"/>
      </w:rPr>
      <w:t>2</w:t>
    </w:r>
    <w:r w:rsidRPr="00A3398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FB" w:rsidRPr="00EB565D" w:rsidRDefault="002E1AFB" w:rsidP="00A33985">
    <w:pPr>
      <w:pStyle w:val="Footer"/>
      <w:tabs>
        <w:tab w:val="right" w:pos="9638"/>
      </w:tabs>
      <w:rPr>
        <w:b/>
        <w:bCs/>
        <w:sz w:val="18"/>
      </w:rPr>
    </w:pPr>
    <w:r>
      <w:rPr>
        <w:b/>
        <w:sz w:val="18"/>
      </w:rPr>
      <w:tab/>
    </w:r>
    <w:r w:rsidRPr="00EB565D">
      <w:rPr>
        <w:b/>
        <w:bCs/>
        <w:sz w:val="18"/>
      </w:rPr>
      <w:fldChar w:fldCharType="begin"/>
    </w:r>
    <w:r w:rsidRPr="00EB565D">
      <w:rPr>
        <w:b/>
        <w:bCs/>
        <w:sz w:val="18"/>
      </w:rPr>
      <w:instrText xml:space="preserve"> PAGE  \* MERGEFORMAT </w:instrText>
    </w:r>
    <w:r w:rsidRPr="00EB565D">
      <w:rPr>
        <w:b/>
        <w:bCs/>
        <w:sz w:val="18"/>
      </w:rPr>
      <w:fldChar w:fldCharType="separate"/>
    </w:r>
    <w:r w:rsidR="00EF7529">
      <w:rPr>
        <w:b/>
        <w:bCs/>
        <w:noProof/>
        <w:sz w:val="18"/>
      </w:rPr>
      <w:t>3</w:t>
    </w:r>
    <w:r w:rsidRPr="00EB565D">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FB" w:rsidRDefault="008543D3">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2E1AFB">
      <w:t>GE.14-</w:t>
    </w:r>
    <w:r w:rsidR="001761D1">
      <w:t>22855</w:t>
    </w:r>
    <w:r w:rsidR="006D063A">
      <w:t xml:space="preserve">  (E)</w:t>
    </w:r>
    <w:r w:rsidR="006D063A">
      <w:br/>
    </w:r>
    <w:r w:rsidR="006D063A">
      <w:rPr>
        <w:rFonts w:ascii="C39T30Lfz" w:hAnsi="C39T30Lfz"/>
        <w:sz w:val="56"/>
      </w:rPr>
      <w:t></w:t>
    </w:r>
    <w:r w:rsidR="006D063A">
      <w:rPr>
        <w:rFonts w:ascii="C39T30Lfz" w:hAnsi="C39T30Lfz"/>
        <w:sz w:val="56"/>
      </w:rPr>
      <w:t></w:t>
    </w:r>
    <w:r w:rsidR="006D063A">
      <w:rPr>
        <w:rFonts w:ascii="C39T30Lfz" w:hAnsi="C39T30Lfz"/>
        <w:sz w:val="56"/>
      </w:rPr>
      <w:t></w:t>
    </w:r>
    <w:r w:rsidR="006D063A">
      <w:rPr>
        <w:rFonts w:ascii="C39T30Lfz" w:hAnsi="C39T30Lfz"/>
        <w:sz w:val="56"/>
      </w:rPr>
      <w:t></w:t>
    </w:r>
    <w:r w:rsidR="006D063A">
      <w:rPr>
        <w:rFonts w:ascii="C39T30Lfz" w:hAnsi="C39T30Lfz"/>
        <w:sz w:val="56"/>
      </w:rPr>
      <w:t></w:t>
    </w:r>
    <w:r w:rsidR="006D063A">
      <w:rPr>
        <w:rFonts w:ascii="C39T30Lfz" w:hAnsi="C39T30Lfz"/>
        <w:sz w:val="56"/>
      </w:rPr>
      <w:t></w:t>
    </w:r>
    <w:r w:rsidR="006D063A">
      <w:rPr>
        <w:rFonts w:ascii="C39T30Lfz" w:hAnsi="C39T30Lfz"/>
        <w:sz w:val="56"/>
      </w:rPr>
      <w:t></w:t>
    </w:r>
    <w:r w:rsidR="006D063A">
      <w:rPr>
        <w:rFonts w:ascii="C39T30Lfz" w:hAnsi="C39T30Lfz"/>
        <w:sz w:val="56"/>
      </w:rPr>
      <w:t></w:t>
    </w:r>
    <w:r w:rsidR="006D063A" w:rsidRPr="006D063A">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3D3" w:rsidRPr="000B175B" w:rsidRDefault="008543D3" w:rsidP="000B175B">
      <w:pPr>
        <w:tabs>
          <w:tab w:val="right" w:pos="2155"/>
        </w:tabs>
        <w:spacing w:after="80"/>
        <w:ind w:left="680"/>
        <w:rPr>
          <w:u w:val="single"/>
        </w:rPr>
      </w:pPr>
      <w:r>
        <w:rPr>
          <w:u w:val="single"/>
        </w:rPr>
        <w:tab/>
      </w:r>
    </w:p>
  </w:footnote>
  <w:footnote w:type="continuationSeparator" w:id="0">
    <w:p w:rsidR="008543D3" w:rsidRPr="00FC68B7" w:rsidRDefault="008543D3" w:rsidP="00FC68B7">
      <w:pPr>
        <w:tabs>
          <w:tab w:val="left" w:pos="2155"/>
        </w:tabs>
        <w:spacing w:after="80"/>
        <w:ind w:left="680"/>
        <w:rPr>
          <w:u w:val="single"/>
        </w:rPr>
      </w:pPr>
      <w:r>
        <w:rPr>
          <w:u w:val="single"/>
        </w:rPr>
        <w:tab/>
      </w:r>
    </w:p>
  </w:footnote>
  <w:footnote w:type="continuationNotice" w:id="1">
    <w:p w:rsidR="008543D3" w:rsidRDefault="008543D3"/>
  </w:footnote>
  <w:footnote w:id="2">
    <w:p w:rsidR="00157423" w:rsidRPr="00333DD2" w:rsidRDefault="00157423">
      <w:pPr>
        <w:pStyle w:val="FootnoteText"/>
        <w:rPr>
          <w:lang w:val="fr-CH"/>
        </w:rPr>
      </w:pPr>
      <w:r>
        <w:rPr>
          <w:rStyle w:val="FootnoteReference"/>
        </w:rPr>
        <w:tab/>
      </w:r>
      <w:r w:rsidRPr="00333DD2">
        <w:rPr>
          <w:rStyle w:val="FootnoteReference"/>
          <w:sz w:val="20"/>
          <w:vertAlign w:val="baseline"/>
        </w:rPr>
        <w:t>*</w:t>
      </w:r>
      <w:r>
        <w:rPr>
          <w:rStyle w:val="FootnoteReference"/>
          <w:sz w:val="20"/>
          <w:vertAlign w:val="baseline"/>
        </w:rPr>
        <w:tab/>
      </w:r>
      <w:r w:rsidRPr="00333DD2">
        <w:t>The following members of the Committee participated in the examination of the present communication: Yadh Ben Achour, Lazhari Bouzid, Christine Chanet, Cornelis Flinterman, Yuji</w:t>
      </w:r>
      <w:r w:rsidR="00B33594">
        <w:rPr>
          <w:lang w:val="fr-CH"/>
        </w:rPr>
        <w:t> </w:t>
      </w:r>
      <w:r w:rsidRPr="00333DD2">
        <w:t>Iwasawa, Walter Kälin, Gerald L. Neuman, Sir Nigel Rodley, Víctor Manuel Rodríguez-Rescia, Fabián Omar Salvioli, Dheerujlall Seetulsingh, Yuval Shany, Konstantine Varzelashvili, Margo</w:t>
      </w:r>
      <w:r w:rsidR="00B33594">
        <w:rPr>
          <w:lang w:val="fr-CH"/>
        </w:rPr>
        <w:t> </w:t>
      </w:r>
      <w:r w:rsidRPr="00333DD2">
        <w:t>Waterval and Andrei Paul Zlătescu.</w:t>
      </w:r>
    </w:p>
  </w:footnote>
  <w:footnote w:id="3">
    <w:p w:rsidR="002E1AFB" w:rsidRPr="00160860" w:rsidRDefault="002E1AFB" w:rsidP="00C43960">
      <w:pPr>
        <w:pStyle w:val="FootnoteText"/>
      </w:pPr>
      <w:r w:rsidRPr="00160860">
        <w:tab/>
      </w:r>
      <w:r w:rsidRPr="00680B8C">
        <w:rPr>
          <w:rStyle w:val="FootnoteReference"/>
        </w:rPr>
        <w:footnoteRef/>
      </w:r>
      <w:r w:rsidRPr="00160860">
        <w:tab/>
      </w:r>
      <w:r w:rsidR="00C43960">
        <w:t>According to a</w:t>
      </w:r>
      <w:r w:rsidR="0075611D">
        <w:t>rticle </w:t>
      </w:r>
      <w:r w:rsidRPr="00160860">
        <w:t xml:space="preserve">23.34, </w:t>
      </w:r>
      <w:r w:rsidR="0075611D">
        <w:t>paragraph </w:t>
      </w:r>
      <w:r w:rsidRPr="00160860">
        <w:t xml:space="preserve">1, of the </w:t>
      </w:r>
      <w:r w:rsidR="00C43960">
        <w:t xml:space="preserve">Belarusian </w:t>
      </w:r>
      <w:r w:rsidR="00C43960" w:rsidRPr="00C43960">
        <w:t>Code of Administrative Offences</w:t>
      </w:r>
      <w:r w:rsidR="00C43960">
        <w:t>, the v</w:t>
      </w:r>
      <w:r w:rsidRPr="00160860">
        <w:t xml:space="preserve">iolation of the established procedure </w:t>
      </w:r>
      <w:r w:rsidR="00C43960">
        <w:t xml:space="preserve">for </w:t>
      </w:r>
      <w:r w:rsidRPr="00160860">
        <w:t>organi</w:t>
      </w:r>
      <w:r w:rsidR="00C43960">
        <w:t>z</w:t>
      </w:r>
      <w:r w:rsidRPr="00160860">
        <w:t xml:space="preserve">ing or holding assemblies, meetings, rallies, demonstrations or other mass events or pickets is punishable by a warning, a fine of up to 10 </w:t>
      </w:r>
      <w:r w:rsidR="00C43960">
        <w:t xml:space="preserve">times the </w:t>
      </w:r>
      <w:r w:rsidR="00C43960" w:rsidRPr="00160860">
        <w:t>minim</w:t>
      </w:r>
      <w:r w:rsidR="00C43960">
        <w:t>um</w:t>
      </w:r>
      <w:r w:rsidR="00C43960" w:rsidRPr="00160860">
        <w:t xml:space="preserve"> </w:t>
      </w:r>
      <w:r w:rsidRPr="00160860">
        <w:t>wage, or by administrative arrest.</w:t>
      </w:r>
    </w:p>
  </w:footnote>
  <w:footnote w:id="4">
    <w:p w:rsidR="002E1AFB" w:rsidRPr="00160860" w:rsidRDefault="002E1AFB" w:rsidP="00160860">
      <w:pPr>
        <w:pStyle w:val="FootnoteText"/>
      </w:pPr>
      <w:r w:rsidRPr="00160860">
        <w:tab/>
      </w:r>
      <w:r w:rsidRPr="00680B8C">
        <w:rPr>
          <w:rStyle w:val="FootnoteReference"/>
        </w:rPr>
        <w:footnoteRef/>
      </w:r>
      <w:r w:rsidRPr="00160860">
        <w:tab/>
        <w:t xml:space="preserve">Communication </w:t>
      </w:r>
      <w:r w:rsidR="00680B8C">
        <w:t>No. </w:t>
      </w:r>
      <w:r w:rsidRPr="00160860">
        <w:t xml:space="preserve">1022/2001, </w:t>
      </w:r>
      <w:r w:rsidRPr="00033EA1">
        <w:rPr>
          <w:i/>
          <w:iCs/>
        </w:rPr>
        <w:t>Velichkin</w:t>
      </w:r>
      <w:r w:rsidRPr="00160860">
        <w:t xml:space="preserve"> v. </w:t>
      </w:r>
      <w:r w:rsidRPr="00033EA1">
        <w:rPr>
          <w:i/>
          <w:iCs/>
        </w:rPr>
        <w:t>Belarus</w:t>
      </w:r>
      <w:r w:rsidRPr="00160860">
        <w:t xml:space="preserve">, Views adopted on 20 October 2005, </w:t>
      </w:r>
      <w:r w:rsidR="00680B8C">
        <w:t>para. </w:t>
      </w:r>
      <w:r w:rsidRPr="00160860">
        <w:t>7.2.</w:t>
      </w:r>
    </w:p>
  </w:footnote>
  <w:footnote w:id="5">
    <w:p w:rsidR="002E1AFB" w:rsidRPr="00160860" w:rsidRDefault="002E1AFB" w:rsidP="00680B8C">
      <w:pPr>
        <w:pStyle w:val="FootnoteText"/>
      </w:pPr>
      <w:r w:rsidRPr="00160860">
        <w:tab/>
      </w:r>
      <w:r w:rsidRPr="00680B8C">
        <w:rPr>
          <w:rStyle w:val="FootnoteReference"/>
        </w:rPr>
        <w:footnoteRef/>
      </w:r>
      <w:r w:rsidRPr="00160860">
        <w:tab/>
        <w:t xml:space="preserve">Communication </w:t>
      </w:r>
      <w:r w:rsidR="00680B8C">
        <w:t>No. </w:t>
      </w:r>
      <w:r w:rsidRPr="00160860">
        <w:t xml:space="preserve">628/1995, </w:t>
      </w:r>
      <w:r w:rsidRPr="00033EA1">
        <w:rPr>
          <w:i/>
          <w:iCs/>
        </w:rPr>
        <w:t>Tae Hoon Park</w:t>
      </w:r>
      <w:r w:rsidRPr="00160860">
        <w:t xml:space="preserve"> v. </w:t>
      </w:r>
      <w:r w:rsidRPr="00033EA1">
        <w:rPr>
          <w:i/>
          <w:iCs/>
        </w:rPr>
        <w:t>Republic of Korea</w:t>
      </w:r>
      <w:r w:rsidRPr="00160860">
        <w:t xml:space="preserve">, Views adopted on 20 October 1998, </w:t>
      </w:r>
      <w:r w:rsidR="00680B8C">
        <w:t>para. </w:t>
      </w:r>
      <w:r w:rsidRPr="00160860">
        <w:t>10.4.</w:t>
      </w:r>
    </w:p>
  </w:footnote>
  <w:footnote w:id="6">
    <w:p w:rsidR="002E1AFB" w:rsidRPr="00160860" w:rsidRDefault="002E1AFB" w:rsidP="0092052B">
      <w:pPr>
        <w:pStyle w:val="FootnoteText"/>
      </w:pPr>
      <w:r w:rsidRPr="00160860">
        <w:tab/>
      </w:r>
      <w:r w:rsidRPr="00680B8C">
        <w:rPr>
          <w:rStyle w:val="FootnoteReference"/>
        </w:rPr>
        <w:footnoteRef/>
      </w:r>
      <w:r w:rsidRPr="00160860">
        <w:tab/>
        <w:t xml:space="preserve">See, </w:t>
      </w:r>
      <w:r w:rsidR="0075611D">
        <w:t>inter alia, communications Nos. </w:t>
      </w:r>
      <w:r w:rsidRPr="00160860">
        <w:t xml:space="preserve">1867/2009, 1936/2010, 1975/2010, 1977/2010, 1978/2010, 1979/2010, 1980/2010, 1981/2010 and 2010/2010, </w:t>
      </w:r>
      <w:r w:rsidRPr="000D055A">
        <w:rPr>
          <w:i/>
          <w:iCs/>
        </w:rPr>
        <w:t xml:space="preserve">Pavel Levinov </w:t>
      </w:r>
      <w:r w:rsidR="0075611D" w:rsidRPr="00333DD2">
        <w:t>v.</w:t>
      </w:r>
      <w:r w:rsidR="0075611D" w:rsidRPr="000D055A">
        <w:rPr>
          <w:i/>
          <w:iCs/>
        </w:rPr>
        <w:t xml:space="preserve"> Belarus</w:t>
      </w:r>
      <w:r w:rsidR="0075611D">
        <w:t>, Views adopted on 19 </w:t>
      </w:r>
      <w:r w:rsidRPr="00160860">
        <w:t xml:space="preserve">July 2012, </w:t>
      </w:r>
      <w:r w:rsidR="00680B8C">
        <w:t>para. </w:t>
      </w:r>
      <w:r w:rsidRPr="00160860">
        <w:t xml:space="preserve">8.2; and communication </w:t>
      </w:r>
      <w:r w:rsidR="00680B8C">
        <w:t>No. </w:t>
      </w:r>
      <w:r w:rsidRPr="00160860">
        <w:t xml:space="preserve">869/1999, </w:t>
      </w:r>
      <w:r w:rsidRPr="000D055A">
        <w:rPr>
          <w:i/>
          <w:iCs/>
        </w:rPr>
        <w:t>Piandiong e</w:t>
      </w:r>
      <w:r w:rsidR="00C25433" w:rsidRPr="000D055A">
        <w:rPr>
          <w:i/>
          <w:iCs/>
        </w:rPr>
        <w:t xml:space="preserve">t al. </w:t>
      </w:r>
      <w:r w:rsidR="00C25433" w:rsidRPr="00333DD2">
        <w:t>v</w:t>
      </w:r>
      <w:r w:rsidR="00C25433" w:rsidRPr="000D055A">
        <w:rPr>
          <w:i/>
          <w:iCs/>
        </w:rPr>
        <w:t>. the Philippines</w:t>
      </w:r>
      <w:r w:rsidR="00C25433">
        <w:t>, Views </w:t>
      </w:r>
      <w:r w:rsidRPr="00160860">
        <w:t xml:space="preserve">adopted on 19 October 2000, </w:t>
      </w:r>
      <w:r w:rsidR="00680B8C">
        <w:t>para. </w:t>
      </w:r>
      <w:r w:rsidRPr="00160860">
        <w:t>5.1.</w:t>
      </w:r>
    </w:p>
  </w:footnote>
  <w:footnote w:id="7">
    <w:p w:rsidR="002E1AFB" w:rsidRPr="00611CAB" w:rsidRDefault="002E1AFB" w:rsidP="00C71FA4">
      <w:pPr>
        <w:pStyle w:val="FootnoteText"/>
        <w:jc w:val="both"/>
        <w:rPr>
          <w:lang w:val="fr-CH"/>
        </w:rPr>
      </w:pPr>
      <w:r>
        <w:rPr>
          <w:lang w:val="fr-CH"/>
        </w:rPr>
        <w:tab/>
      </w:r>
      <w:r w:rsidRPr="00680B8C">
        <w:rPr>
          <w:rStyle w:val="FootnoteReference"/>
        </w:rPr>
        <w:footnoteRef/>
      </w:r>
      <w:r w:rsidRPr="000E7291">
        <w:tab/>
      </w:r>
      <w:r>
        <w:rPr>
          <w:color w:val="000000"/>
          <w:szCs w:val="18"/>
          <w:lang w:eastAsia="en-GB"/>
        </w:rPr>
        <w:t xml:space="preserve">See, for example, communications </w:t>
      </w:r>
      <w:r w:rsidR="00680B8C">
        <w:rPr>
          <w:color w:val="000000"/>
          <w:szCs w:val="18"/>
          <w:lang w:eastAsia="en-GB"/>
        </w:rPr>
        <w:t>No. </w:t>
      </w:r>
      <w:r>
        <w:rPr>
          <w:color w:val="000000"/>
          <w:szCs w:val="18"/>
          <w:lang w:eastAsia="en-GB"/>
        </w:rPr>
        <w:t xml:space="preserve">1785/2008, </w:t>
      </w:r>
      <w:r>
        <w:rPr>
          <w:i/>
          <w:iCs/>
          <w:color w:val="000000"/>
          <w:szCs w:val="18"/>
          <w:lang w:eastAsia="en-GB"/>
        </w:rPr>
        <w:t xml:space="preserve">Oleshkevich </w:t>
      </w:r>
      <w:r w:rsidRPr="00333DD2">
        <w:rPr>
          <w:color w:val="000000"/>
          <w:szCs w:val="18"/>
          <w:lang w:eastAsia="en-GB"/>
        </w:rPr>
        <w:t>v.</w:t>
      </w:r>
      <w:r>
        <w:rPr>
          <w:i/>
          <w:iCs/>
          <w:color w:val="000000"/>
          <w:szCs w:val="18"/>
          <w:lang w:eastAsia="en-GB"/>
        </w:rPr>
        <w:t xml:space="preserve"> Belarus</w:t>
      </w:r>
      <w:r w:rsidR="0075611D">
        <w:rPr>
          <w:color w:val="000000"/>
          <w:szCs w:val="18"/>
          <w:lang w:eastAsia="en-GB"/>
        </w:rPr>
        <w:t>, Views adopted on 18 </w:t>
      </w:r>
      <w:r>
        <w:rPr>
          <w:color w:val="000000"/>
          <w:szCs w:val="18"/>
          <w:lang w:eastAsia="en-GB"/>
        </w:rPr>
        <w:t xml:space="preserve">March 2013, </w:t>
      </w:r>
      <w:r w:rsidR="00680B8C">
        <w:rPr>
          <w:color w:val="000000"/>
          <w:szCs w:val="18"/>
          <w:lang w:eastAsia="en-GB"/>
        </w:rPr>
        <w:t>para. </w:t>
      </w:r>
      <w:r>
        <w:rPr>
          <w:color w:val="000000"/>
          <w:szCs w:val="18"/>
          <w:lang w:eastAsia="en-GB"/>
        </w:rPr>
        <w:t xml:space="preserve">7.3; </w:t>
      </w:r>
      <w:r w:rsidR="00680B8C">
        <w:rPr>
          <w:color w:val="000000"/>
          <w:szCs w:val="18"/>
          <w:lang w:eastAsia="en-GB"/>
        </w:rPr>
        <w:t>No. </w:t>
      </w:r>
      <w:r>
        <w:rPr>
          <w:color w:val="000000"/>
          <w:szCs w:val="18"/>
          <w:lang w:eastAsia="en-GB"/>
        </w:rPr>
        <w:t xml:space="preserve">1784/2008, </w:t>
      </w:r>
      <w:r>
        <w:rPr>
          <w:i/>
          <w:iCs/>
          <w:color w:val="000000"/>
          <w:szCs w:val="18"/>
          <w:lang w:eastAsia="en-GB"/>
        </w:rPr>
        <w:t xml:space="preserve">Schumilin </w:t>
      </w:r>
      <w:r w:rsidRPr="00333DD2">
        <w:rPr>
          <w:color w:val="000000"/>
          <w:szCs w:val="18"/>
          <w:lang w:eastAsia="en-GB"/>
        </w:rPr>
        <w:t>v.</w:t>
      </w:r>
      <w:r>
        <w:rPr>
          <w:i/>
          <w:iCs/>
          <w:color w:val="000000"/>
          <w:szCs w:val="18"/>
          <w:lang w:eastAsia="en-GB"/>
        </w:rPr>
        <w:t xml:space="preserve"> Belarus</w:t>
      </w:r>
      <w:r w:rsidR="0075611D">
        <w:rPr>
          <w:color w:val="000000"/>
          <w:szCs w:val="18"/>
          <w:lang w:eastAsia="en-GB"/>
        </w:rPr>
        <w:t>, Views adopted on 23 </w:t>
      </w:r>
      <w:r>
        <w:rPr>
          <w:color w:val="000000"/>
          <w:szCs w:val="18"/>
          <w:lang w:eastAsia="en-GB"/>
        </w:rPr>
        <w:t xml:space="preserve">July 2012, </w:t>
      </w:r>
      <w:r w:rsidR="00680B8C">
        <w:rPr>
          <w:color w:val="000000"/>
          <w:szCs w:val="18"/>
          <w:lang w:eastAsia="en-GB"/>
        </w:rPr>
        <w:t>para. </w:t>
      </w:r>
      <w:r>
        <w:rPr>
          <w:color w:val="000000"/>
          <w:szCs w:val="18"/>
          <w:lang w:eastAsia="en-GB"/>
        </w:rPr>
        <w:t xml:space="preserve">8.3; </w:t>
      </w:r>
      <w:r w:rsidR="00680B8C">
        <w:rPr>
          <w:color w:val="000000"/>
          <w:szCs w:val="18"/>
          <w:lang w:eastAsia="en-GB"/>
        </w:rPr>
        <w:t>No. </w:t>
      </w:r>
      <w:r>
        <w:rPr>
          <w:color w:val="000000"/>
          <w:szCs w:val="18"/>
          <w:lang w:eastAsia="en-GB"/>
        </w:rPr>
        <w:t xml:space="preserve">1814/2008, </w:t>
      </w:r>
      <w:r>
        <w:rPr>
          <w:i/>
          <w:iCs/>
          <w:color w:val="000000"/>
          <w:szCs w:val="18"/>
          <w:lang w:eastAsia="en-GB"/>
        </w:rPr>
        <w:t xml:space="preserve">P.L. </w:t>
      </w:r>
      <w:r w:rsidRPr="00333DD2">
        <w:rPr>
          <w:color w:val="000000"/>
          <w:szCs w:val="18"/>
          <w:lang w:eastAsia="en-GB"/>
        </w:rPr>
        <w:t>v.</w:t>
      </w:r>
      <w:r>
        <w:rPr>
          <w:i/>
          <w:iCs/>
          <w:color w:val="000000"/>
          <w:szCs w:val="18"/>
          <w:lang w:eastAsia="en-GB"/>
        </w:rPr>
        <w:t xml:space="preserve"> Belarus</w:t>
      </w:r>
      <w:r>
        <w:rPr>
          <w:color w:val="000000"/>
          <w:szCs w:val="18"/>
          <w:lang w:eastAsia="en-GB"/>
        </w:rPr>
        <w:t xml:space="preserve">, </w:t>
      </w:r>
      <w:r w:rsidR="00AA47AD">
        <w:rPr>
          <w:color w:val="000000"/>
          <w:szCs w:val="18"/>
          <w:lang w:eastAsia="en-GB"/>
        </w:rPr>
        <w:t xml:space="preserve">decision of inadmissibility </w:t>
      </w:r>
      <w:r w:rsidR="00C71FA4">
        <w:rPr>
          <w:color w:val="000000"/>
          <w:szCs w:val="18"/>
          <w:lang w:eastAsia="en-GB"/>
        </w:rPr>
        <w:t xml:space="preserve">adopted on </w:t>
      </w:r>
      <w:r w:rsidR="00AA47AD">
        <w:rPr>
          <w:color w:val="000000"/>
          <w:szCs w:val="18"/>
          <w:lang w:eastAsia="en-GB"/>
        </w:rPr>
        <w:t>26 </w:t>
      </w:r>
      <w:r>
        <w:rPr>
          <w:color w:val="000000"/>
          <w:szCs w:val="18"/>
          <w:lang w:eastAsia="en-GB"/>
        </w:rPr>
        <w:t xml:space="preserve">July 2011, </w:t>
      </w:r>
      <w:r w:rsidR="00680B8C">
        <w:rPr>
          <w:color w:val="000000"/>
          <w:szCs w:val="18"/>
          <w:lang w:eastAsia="en-GB"/>
        </w:rPr>
        <w:t>para. </w:t>
      </w:r>
      <w:r w:rsidR="00AA47AD">
        <w:rPr>
          <w:color w:val="000000"/>
          <w:szCs w:val="18"/>
          <w:lang w:eastAsia="en-GB"/>
        </w:rPr>
        <w:t>6.2</w:t>
      </w:r>
      <w:r>
        <w:rPr>
          <w:color w:val="000000"/>
          <w:szCs w:val="18"/>
          <w:lang w:eastAsia="en-GB"/>
        </w:rPr>
        <w:t xml:space="preserve">; </w:t>
      </w:r>
      <w:r w:rsidR="00680B8C">
        <w:rPr>
          <w:color w:val="000000"/>
          <w:szCs w:val="18"/>
          <w:lang w:eastAsia="en-GB"/>
        </w:rPr>
        <w:t>No. </w:t>
      </w:r>
      <w:r>
        <w:rPr>
          <w:color w:val="000000"/>
          <w:szCs w:val="18"/>
          <w:lang w:eastAsia="en-GB"/>
        </w:rPr>
        <w:t xml:space="preserve">1839/2008, </w:t>
      </w:r>
      <w:r>
        <w:rPr>
          <w:i/>
          <w:iCs/>
          <w:color w:val="000000"/>
          <w:szCs w:val="18"/>
          <w:lang w:eastAsia="en-GB"/>
        </w:rPr>
        <w:t xml:space="preserve">Komarovsky </w:t>
      </w:r>
      <w:r w:rsidRPr="00333DD2">
        <w:rPr>
          <w:color w:val="000000"/>
          <w:szCs w:val="18"/>
          <w:lang w:eastAsia="en-GB"/>
        </w:rPr>
        <w:t>v.</w:t>
      </w:r>
      <w:r>
        <w:rPr>
          <w:i/>
          <w:iCs/>
          <w:color w:val="000000"/>
          <w:szCs w:val="18"/>
          <w:lang w:eastAsia="en-GB"/>
        </w:rPr>
        <w:t xml:space="preserve"> Belarus</w:t>
      </w:r>
      <w:r w:rsidR="00AA47AD">
        <w:rPr>
          <w:color w:val="000000"/>
          <w:szCs w:val="18"/>
          <w:lang w:eastAsia="en-GB"/>
        </w:rPr>
        <w:t>, Views adopted on 25 </w:t>
      </w:r>
      <w:r>
        <w:rPr>
          <w:color w:val="000000"/>
          <w:szCs w:val="18"/>
          <w:lang w:eastAsia="en-GB"/>
        </w:rPr>
        <w:t xml:space="preserve">October 2013, </w:t>
      </w:r>
      <w:r w:rsidR="00680B8C">
        <w:rPr>
          <w:color w:val="000000"/>
          <w:szCs w:val="18"/>
          <w:lang w:eastAsia="en-GB"/>
        </w:rPr>
        <w:t>para. </w:t>
      </w:r>
      <w:r>
        <w:rPr>
          <w:color w:val="000000"/>
          <w:szCs w:val="18"/>
          <w:lang w:eastAsia="en-GB"/>
        </w:rPr>
        <w:t xml:space="preserve">8.3; </w:t>
      </w:r>
      <w:r w:rsidR="00C71FA4">
        <w:rPr>
          <w:color w:val="000000"/>
          <w:szCs w:val="18"/>
          <w:lang w:eastAsia="en-GB"/>
        </w:rPr>
        <w:t xml:space="preserve">and </w:t>
      </w:r>
      <w:r>
        <w:rPr>
          <w:color w:val="000000"/>
          <w:szCs w:val="18"/>
          <w:lang w:eastAsia="en-GB"/>
        </w:rPr>
        <w:t xml:space="preserve">No.1903/2009, </w:t>
      </w:r>
      <w:r>
        <w:rPr>
          <w:i/>
          <w:iCs/>
          <w:color w:val="000000"/>
          <w:szCs w:val="18"/>
          <w:lang w:eastAsia="en-GB"/>
        </w:rPr>
        <w:t xml:space="preserve">Youbko </w:t>
      </w:r>
      <w:r w:rsidRPr="00333DD2">
        <w:rPr>
          <w:color w:val="000000"/>
          <w:szCs w:val="18"/>
          <w:lang w:eastAsia="en-GB"/>
        </w:rPr>
        <w:t>v.</w:t>
      </w:r>
      <w:r>
        <w:rPr>
          <w:i/>
          <w:iCs/>
          <w:color w:val="000000"/>
          <w:szCs w:val="18"/>
          <w:lang w:eastAsia="en-GB"/>
        </w:rPr>
        <w:t xml:space="preserve"> Belarus</w:t>
      </w:r>
      <w:r w:rsidR="0075611D">
        <w:rPr>
          <w:color w:val="000000"/>
          <w:szCs w:val="18"/>
          <w:lang w:eastAsia="en-GB"/>
        </w:rPr>
        <w:t>, Views adopted on 17 </w:t>
      </w:r>
      <w:r>
        <w:rPr>
          <w:color w:val="000000"/>
          <w:szCs w:val="18"/>
          <w:lang w:eastAsia="en-GB"/>
        </w:rPr>
        <w:t xml:space="preserve">March 2014, </w:t>
      </w:r>
      <w:r w:rsidR="00680B8C">
        <w:rPr>
          <w:color w:val="000000"/>
          <w:szCs w:val="18"/>
          <w:lang w:eastAsia="en-GB"/>
        </w:rPr>
        <w:t>para. </w:t>
      </w:r>
      <w:r>
        <w:rPr>
          <w:color w:val="000000"/>
          <w:szCs w:val="18"/>
          <w:lang w:eastAsia="en-GB"/>
        </w:rPr>
        <w:t>8.3.</w:t>
      </w:r>
    </w:p>
  </w:footnote>
  <w:footnote w:id="8">
    <w:p w:rsidR="002E1AFB" w:rsidRPr="00160860" w:rsidRDefault="002E1AFB" w:rsidP="00333DD2">
      <w:pPr>
        <w:pStyle w:val="FootnoteText"/>
      </w:pPr>
      <w:r w:rsidRPr="00160860">
        <w:tab/>
      </w:r>
      <w:r w:rsidRPr="00680B8C">
        <w:rPr>
          <w:rStyle w:val="FootnoteReference"/>
        </w:rPr>
        <w:footnoteRef/>
      </w:r>
      <w:r w:rsidR="00680B8C">
        <w:tab/>
        <w:t>See the Committee’</w:t>
      </w:r>
      <w:r w:rsidRPr="00160860">
        <w:t xml:space="preserve">s </w:t>
      </w:r>
      <w:r w:rsidR="00333DD2">
        <w:t>g</w:t>
      </w:r>
      <w:r w:rsidRPr="00160860">
        <w:t xml:space="preserve">eneral </w:t>
      </w:r>
      <w:r w:rsidR="00333DD2">
        <w:t>c</w:t>
      </w:r>
      <w:r w:rsidRPr="00160860">
        <w:t xml:space="preserve">omment </w:t>
      </w:r>
      <w:r w:rsidR="00680B8C">
        <w:t>No. </w:t>
      </w:r>
      <w:r w:rsidRPr="00160860">
        <w:t xml:space="preserve">34 (2011) </w:t>
      </w:r>
      <w:r w:rsidR="00B8446D">
        <w:t>on f</w:t>
      </w:r>
      <w:r w:rsidRPr="00160860">
        <w:t xml:space="preserve">reedoms of opinion and expression, </w:t>
      </w:r>
      <w:r w:rsidR="00680B8C">
        <w:t>para. </w:t>
      </w:r>
      <w:r w:rsidRPr="00160860">
        <w:t>2</w:t>
      </w:r>
      <w:r w:rsidR="00B8446D">
        <w:t xml:space="preserve">. </w:t>
      </w:r>
    </w:p>
  </w:footnote>
  <w:footnote w:id="9">
    <w:p w:rsidR="002E1AFB" w:rsidRPr="00333DD2" w:rsidRDefault="002E1AFB" w:rsidP="000D055A">
      <w:pPr>
        <w:pStyle w:val="FootnoteText"/>
        <w:rPr>
          <w:lang w:val="fr-CH"/>
        </w:rPr>
      </w:pPr>
      <w:r w:rsidRPr="00160860">
        <w:tab/>
      </w:r>
      <w:r w:rsidRPr="00680B8C">
        <w:rPr>
          <w:rStyle w:val="FootnoteReference"/>
        </w:rPr>
        <w:footnoteRef/>
      </w:r>
      <w:r w:rsidRPr="00160860">
        <w:tab/>
      </w:r>
      <w:r w:rsidR="00745E11">
        <w:rPr>
          <w:lang w:val="fr-CH"/>
        </w:rPr>
        <w:t>Ibid, para</w:t>
      </w:r>
      <w:r w:rsidR="000D055A">
        <w:rPr>
          <w:lang w:val="fr-CH"/>
        </w:rPr>
        <w:t>. </w:t>
      </w:r>
      <w:r w:rsidR="00745E11">
        <w:rPr>
          <w:lang w:val="fr-CH"/>
        </w:rPr>
        <w:t>4.</w:t>
      </w:r>
    </w:p>
  </w:footnote>
  <w:footnote w:id="10">
    <w:p w:rsidR="002E1AFB" w:rsidRPr="00160860" w:rsidRDefault="002E1AFB" w:rsidP="00B8446D">
      <w:pPr>
        <w:pStyle w:val="FootnoteText"/>
      </w:pPr>
      <w:r>
        <w:tab/>
      </w:r>
      <w:r w:rsidRPr="00680B8C">
        <w:rPr>
          <w:rStyle w:val="FootnoteReference"/>
        </w:rPr>
        <w:footnoteRef/>
      </w:r>
      <w:r w:rsidRPr="00160860">
        <w:tab/>
      </w:r>
      <w:r w:rsidR="00B8446D">
        <w:t xml:space="preserve">See communication No. 1948/2010, </w:t>
      </w:r>
      <w:r w:rsidRPr="000D055A">
        <w:rPr>
          <w:i/>
          <w:iCs/>
        </w:rPr>
        <w:t>Tu</w:t>
      </w:r>
      <w:r w:rsidR="00C25433" w:rsidRPr="000D055A">
        <w:rPr>
          <w:i/>
          <w:iCs/>
        </w:rPr>
        <w:t xml:space="preserve">rchenyak et al. </w:t>
      </w:r>
      <w:r w:rsidR="00C25433" w:rsidRPr="00B8446D">
        <w:t>v</w:t>
      </w:r>
      <w:r w:rsidR="00B8446D">
        <w:t>.</w:t>
      </w:r>
      <w:r w:rsidR="00C25433" w:rsidRPr="00B8446D">
        <w:t xml:space="preserve"> </w:t>
      </w:r>
      <w:r w:rsidR="00C25433" w:rsidRPr="000D055A">
        <w:rPr>
          <w:i/>
          <w:iCs/>
        </w:rPr>
        <w:t>Belarus</w:t>
      </w:r>
      <w:r w:rsidR="00C25433">
        <w:t xml:space="preserve">, </w:t>
      </w:r>
      <w:r w:rsidR="00B8446D">
        <w:t xml:space="preserve">Views adopted on 24 July 2013, </w:t>
      </w:r>
      <w:r w:rsidR="00C25433">
        <w:t>para. </w:t>
      </w:r>
      <w:r w:rsidRPr="00160860">
        <w:t>7.4</w:t>
      </w:r>
      <w:r w:rsidR="00C25433">
        <w:t>.</w:t>
      </w:r>
    </w:p>
  </w:footnote>
  <w:footnote w:id="11">
    <w:p w:rsidR="002E1AFB" w:rsidRPr="00160860" w:rsidRDefault="002E1AFB" w:rsidP="00160860">
      <w:pPr>
        <w:pStyle w:val="FootnoteText"/>
      </w:pPr>
      <w:r>
        <w:tab/>
      </w:r>
      <w:r w:rsidRPr="00680B8C">
        <w:rPr>
          <w:rStyle w:val="FootnoteReference"/>
        </w:rPr>
        <w:footnoteRef/>
      </w:r>
      <w:r w:rsidRPr="00160860">
        <w:tab/>
        <w:t>Ibid</w:t>
      </w:r>
      <w:r w:rsidR="00C25433">
        <w:t>.</w:t>
      </w:r>
    </w:p>
  </w:footnote>
  <w:footnote w:id="12">
    <w:p w:rsidR="002E1AFB" w:rsidRPr="00333DD2" w:rsidRDefault="002E1AFB" w:rsidP="0092052B">
      <w:pPr>
        <w:pStyle w:val="FootnoteText"/>
        <w:rPr>
          <w:lang w:val="fr-CH"/>
        </w:rPr>
      </w:pPr>
      <w:r w:rsidRPr="00160860">
        <w:tab/>
      </w:r>
      <w:r w:rsidRPr="0092052B">
        <w:rPr>
          <w:rStyle w:val="FootnoteReference"/>
        </w:rPr>
        <w:footnoteRef/>
      </w:r>
      <w:r w:rsidRPr="0092052B">
        <w:tab/>
      </w:r>
      <w:r w:rsidR="00B8446D" w:rsidRPr="0092052B">
        <w:t xml:space="preserve">See </w:t>
      </w:r>
      <w:r w:rsidR="00B8446D" w:rsidRPr="0092052B">
        <w:rPr>
          <w:lang w:val="fr-CH"/>
        </w:rPr>
        <w:t>g</w:t>
      </w:r>
      <w:r w:rsidR="00745E11" w:rsidRPr="0092052B">
        <w:rPr>
          <w:lang w:val="fr-CH"/>
        </w:rPr>
        <w:t xml:space="preserve">eneral </w:t>
      </w:r>
      <w:r w:rsidR="00B8446D" w:rsidRPr="0092052B">
        <w:rPr>
          <w:lang w:val="fr-CH"/>
        </w:rPr>
        <w:t>c</w:t>
      </w:r>
      <w:r w:rsidR="00745E11" w:rsidRPr="0092052B">
        <w:rPr>
          <w:lang w:val="fr-CH"/>
        </w:rPr>
        <w:t xml:space="preserve">omment </w:t>
      </w:r>
      <w:r w:rsidR="00680B8C" w:rsidRPr="0092052B">
        <w:rPr>
          <w:lang w:val="fr-CH"/>
        </w:rPr>
        <w:t>No. </w:t>
      </w:r>
      <w:r w:rsidR="00745E11" w:rsidRPr="0092052B">
        <w:rPr>
          <w:lang w:val="fr-CH"/>
        </w:rPr>
        <w:t>34</w:t>
      </w:r>
      <w:r w:rsidR="00B8446D" w:rsidRPr="0092052B">
        <w:rPr>
          <w:lang w:val="fr-CH"/>
        </w:rPr>
        <w:t xml:space="preserve"> (note </w:t>
      </w:r>
      <w:r w:rsidR="0092052B" w:rsidRPr="0092052B">
        <w:rPr>
          <w:lang w:val="fr-CH"/>
        </w:rPr>
        <w:t>6</w:t>
      </w:r>
      <w:r w:rsidR="00B8446D" w:rsidRPr="0092052B">
        <w:rPr>
          <w:lang w:val="fr-CH"/>
        </w:rPr>
        <w:t xml:space="preserve"> above)</w:t>
      </w:r>
      <w:r w:rsidR="00745E11" w:rsidRPr="0092052B">
        <w:rPr>
          <w:lang w:val="fr-CH"/>
        </w:rPr>
        <w:t>, para</w:t>
      </w:r>
      <w:r w:rsidR="00C25433" w:rsidRPr="0092052B">
        <w:rPr>
          <w:lang w:val="fr-CH"/>
        </w:rPr>
        <w:t>. </w:t>
      </w:r>
      <w:r w:rsidR="00745E11" w:rsidRPr="0092052B">
        <w:rPr>
          <w:lang w:val="fr-CH"/>
        </w:rPr>
        <w:t>22.</w:t>
      </w:r>
    </w:p>
  </w:footnote>
  <w:footnote w:id="13">
    <w:p w:rsidR="002E1AFB" w:rsidRPr="00160860" w:rsidRDefault="002E1AFB" w:rsidP="0092052B">
      <w:pPr>
        <w:pStyle w:val="FootnoteText"/>
      </w:pPr>
      <w:r w:rsidRPr="00160860">
        <w:tab/>
      </w:r>
      <w:r w:rsidRPr="00680B8C">
        <w:rPr>
          <w:rStyle w:val="FootnoteReference"/>
        </w:rPr>
        <w:footnoteRef/>
      </w:r>
      <w:r w:rsidRPr="00160860">
        <w:tab/>
      </w:r>
      <w:r w:rsidR="00D471E0">
        <w:t xml:space="preserve">See </w:t>
      </w:r>
      <w:r w:rsidR="000D055A" w:rsidRPr="000D055A">
        <w:rPr>
          <w:i/>
          <w:iCs/>
        </w:rPr>
        <w:t xml:space="preserve">Turchenyak et al. </w:t>
      </w:r>
      <w:r w:rsidR="000D055A" w:rsidRPr="00713EE3">
        <w:t>v</w:t>
      </w:r>
      <w:r w:rsidR="00713EE3">
        <w:t>.</w:t>
      </w:r>
      <w:r w:rsidR="000D055A" w:rsidRPr="000D055A">
        <w:rPr>
          <w:i/>
          <w:iCs/>
        </w:rPr>
        <w:t xml:space="preserve"> Belarus</w:t>
      </w:r>
      <w:r w:rsidR="00D471E0" w:rsidRPr="00D471E0">
        <w:t xml:space="preserve"> (note </w:t>
      </w:r>
      <w:r w:rsidR="0092052B">
        <w:t>8</w:t>
      </w:r>
      <w:r w:rsidR="00D471E0" w:rsidRPr="00D471E0">
        <w:t xml:space="preserve"> above)</w:t>
      </w:r>
      <w:r w:rsidR="000D055A">
        <w:t>.</w:t>
      </w:r>
    </w:p>
  </w:footnote>
  <w:footnote w:id="14">
    <w:p w:rsidR="002E1AFB" w:rsidRDefault="002E1AFB" w:rsidP="00F15DDE">
      <w:pPr>
        <w:pStyle w:val="FootnoteText"/>
      </w:pPr>
      <w:r w:rsidRPr="00160860">
        <w:tab/>
      </w:r>
      <w:r w:rsidRPr="00680B8C">
        <w:rPr>
          <w:rStyle w:val="FootnoteReference"/>
        </w:rPr>
        <w:footnoteRef/>
      </w:r>
      <w:r w:rsidRPr="00160860">
        <w:tab/>
        <w:t xml:space="preserve">See, inter alia, communications </w:t>
      </w:r>
      <w:r w:rsidR="00680B8C">
        <w:t>No. </w:t>
      </w:r>
      <w:r w:rsidRPr="00160860">
        <w:t xml:space="preserve">1851/2008, </w:t>
      </w:r>
      <w:r w:rsidRPr="000D055A">
        <w:rPr>
          <w:i/>
          <w:iCs/>
        </w:rPr>
        <w:t xml:space="preserve">Sekerko </w:t>
      </w:r>
      <w:r w:rsidRPr="00F15DDE">
        <w:t>v.</w:t>
      </w:r>
      <w:r w:rsidRPr="000D055A">
        <w:rPr>
          <w:i/>
          <w:iCs/>
        </w:rPr>
        <w:t xml:space="preserve"> Belarus</w:t>
      </w:r>
      <w:r w:rsidRPr="00160860">
        <w:t>, Vi</w:t>
      </w:r>
      <w:r w:rsidR="000D055A">
        <w:t>ews adopted on 28 </w:t>
      </w:r>
      <w:r w:rsidRPr="00160860">
        <w:t xml:space="preserve">October 2013, </w:t>
      </w:r>
      <w:r w:rsidR="00680B8C">
        <w:t>para. </w:t>
      </w:r>
      <w:r w:rsidRPr="00160860">
        <w:t xml:space="preserve">11; </w:t>
      </w:r>
      <w:r w:rsidR="00680B8C">
        <w:t>No. </w:t>
      </w:r>
      <w:r w:rsidRPr="00160860">
        <w:t xml:space="preserve">1948/2010, </w:t>
      </w:r>
      <w:r w:rsidRPr="000D055A">
        <w:rPr>
          <w:i/>
          <w:iCs/>
        </w:rPr>
        <w:t xml:space="preserve">Turchenyak </w:t>
      </w:r>
      <w:r w:rsidR="00603C65">
        <w:rPr>
          <w:i/>
          <w:iCs/>
        </w:rPr>
        <w:t>et al. </w:t>
      </w:r>
      <w:r w:rsidRPr="00603C65">
        <w:t>v.</w:t>
      </w:r>
      <w:r w:rsidRPr="000D055A">
        <w:rPr>
          <w:i/>
          <w:iCs/>
        </w:rPr>
        <w:t xml:space="preserve"> Belarus</w:t>
      </w:r>
      <w:r w:rsidRPr="00160860">
        <w:t xml:space="preserve">, </w:t>
      </w:r>
      <w:r w:rsidR="00603C65">
        <w:t xml:space="preserve">Views adopted on 24 July 2013, </w:t>
      </w:r>
      <w:r w:rsidRPr="00160860">
        <w:t>para.</w:t>
      </w:r>
      <w:r w:rsidR="000D055A">
        <w:t> </w:t>
      </w:r>
      <w:r w:rsidRPr="00160860">
        <w:t xml:space="preserve">9; </w:t>
      </w:r>
      <w:r w:rsidR="00680B8C">
        <w:t>No. </w:t>
      </w:r>
      <w:r w:rsidRPr="00160860">
        <w:t xml:space="preserve">1790/2008, </w:t>
      </w:r>
      <w:r w:rsidRPr="000D055A">
        <w:rPr>
          <w:i/>
          <w:iCs/>
        </w:rPr>
        <w:t xml:space="preserve">Govsha, Syritsa and Mezyak </w:t>
      </w:r>
      <w:r w:rsidRPr="00603C65">
        <w:t>v.</w:t>
      </w:r>
      <w:r w:rsidRPr="000D055A">
        <w:rPr>
          <w:i/>
          <w:iCs/>
        </w:rPr>
        <w:t xml:space="preserve"> Belarus</w:t>
      </w:r>
      <w:r w:rsidRPr="00160860">
        <w:t xml:space="preserve">, Views adopted on 27 July 2012, </w:t>
      </w:r>
      <w:r w:rsidR="00680B8C">
        <w:t>para. </w:t>
      </w:r>
      <w:r w:rsidRPr="00160860">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FB" w:rsidRPr="00A33985" w:rsidRDefault="002E1AFB" w:rsidP="00A33985">
    <w:pPr>
      <w:pStyle w:val="Header"/>
    </w:pPr>
    <w:r>
      <w:t>CCPR/C/11</w:t>
    </w:r>
    <w:r w:rsidR="00745E11">
      <w:t>2</w:t>
    </w:r>
    <w:r>
      <w:t>/D/2029/2011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FB" w:rsidRPr="00A33985" w:rsidRDefault="002E1AFB" w:rsidP="00A33985">
    <w:pPr>
      <w:pStyle w:val="Header"/>
      <w:jc w:val="right"/>
    </w:pPr>
    <w:r>
      <w:t>CCPR/C/11</w:t>
    </w:r>
    <w:r w:rsidR="00745E11">
      <w:t>2</w:t>
    </w:r>
    <w:r>
      <w:t>/D/2029/2011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985"/>
    <w:rsid w:val="0000518C"/>
    <w:rsid w:val="000103B2"/>
    <w:rsid w:val="000153D5"/>
    <w:rsid w:val="0002060B"/>
    <w:rsid w:val="000272B3"/>
    <w:rsid w:val="00033EA1"/>
    <w:rsid w:val="00050F6B"/>
    <w:rsid w:val="00057E97"/>
    <w:rsid w:val="00060C3A"/>
    <w:rsid w:val="00072C8C"/>
    <w:rsid w:val="000733B5"/>
    <w:rsid w:val="00081815"/>
    <w:rsid w:val="00081BAB"/>
    <w:rsid w:val="00082CEF"/>
    <w:rsid w:val="000931C0"/>
    <w:rsid w:val="000971B9"/>
    <w:rsid w:val="000B175B"/>
    <w:rsid w:val="000B3259"/>
    <w:rsid w:val="000B3A0F"/>
    <w:rsid w:val="000B4EF7"/>
    <w:rsid w:val="000C2C03"/>
    <w:rsid w:val="000C2D2E"/>
    <w:rsid w:val="000D055A"/>
    <w:rsid w:val="000E0415"/>
    <w:rsid w:val="000E7291"/>
    <w:rsid w:val="000F0A26"/>
    <w:rsid w:val="000F4D78"/>
    <w:rsid w:val="001103AA"/>
    <w:rsid w:val="00110611"/>
    <w:rsid w:val="00114741"/>
    <w:rsid w:val="001229E9"/>
    <w:rsid w:val="00133463"/>
    <w:rsid w:val="0014132E"/>
    <w:rsid w:val="001526BB"/>
    <w:rsid w:val="00157423"/>
    <w:rsid w:val="00157971"/>
    <w:rsid w:val="00160860"/>
    <w:rsid w:val="001650E1"/>
    <w:rsid w:val="00165F3A"/>
    <w:rsid w:val="00174802"/>
    <w:rsid w:val="001761D1"/>
    <w:rsid w:val="00183968"/>
    <w:rsid w:val="00185C00"/>
    <w:rsid w:val="001A60CB"/>
    <w:rsid w:val="001A6686"/>
    <w:rsid w:val="001B4B04"/>
    <w:rsid w:val="001C2F7C"/>
    <w:rsid w:val="001C4FE8"/>
    <w:rsid w:val="001C6663"/>
    <w:rsid w:val="001C7895"/>
    <w:rsid w:val="001D0C8C"/>
    <w:rsid w:val="001D1320"/>
    <w:rsid w:val="001D26DF"/>
    <w:rsid w:val="001D3A03"/>
    <w:rsid w:val="001E0F8A"/>
    <w:rsid w:val="001E212C"/>
    <w:rsid w:val="001F0FAF"/>
    <w:rsid w:val="00201EB3"/>
    <w:rsid w:val="00202DA8"/>
    <w:rsid w:val="00203FB5"/>
    <w:rsid w:val="00210DF8"/>
    <w:rsid w:val="00211E0B"/>
    <w:rsid w:val="0023210C"/>
    <w:rsid w:val="00233F82"/>
    <w:rsid w:val="00240F88"/>
    <w:rsid w:val="002450EF"/>
    <w:rsid w:val="00247D3B"/>
    <w:rsid w:val="00252F17"/>
    <w:rsid w:val="00253654"/>
    <w:rsid w:val="00267F5F"/>
    <w:rsid w:val="00272666"/>
    <w:rsid w:val="002834C7"/>
    <w:rsid w:val="00286B4D"/>
    <w:rsid w:val="00287EFA"/>
    <w:rsid w:val="00297673"/>
    <w:rsid w:val="002B6616"/>
    <w:rsid w:val="002C5AE9"/>
    <w:rsid w:val="002C733E"/>
    <w:rsid w:val="002E1AFB"/>
    <w:rsid w:val="002E2E12"/>
    <w:rsid w:val="002E7721"/>
    <w:rsid w:val="002F175C"/>
    <w:rsid w:val="002F2697"/>
    <w:rsid w:val="00303CF0"/>
    <w:rsid w:val="00312619"/>
    <w:rsid w:val="0031574B"/>
    <w:rsid w:val="003229D8"/>
    <w:rsid w:val="00333DD2"/>
    <w:rsid w:val="00345D7B"/>
    <w:rsid w:val="00347D19"/>
    <w:rsid w:val="00352709"/>
    <w:rsid w:val="00360B17"/>
    <w:rsid w:val="00361829"/>
    <w:rsid w:val="00367567"/>
    <w:rsid w:val="00370AC3"/>
    <w:rsid w:val="00371178"/>
    <w:rsid w:val="00374193"/>
    <w:rsid w:val="0038336C"/>
    <w:rsid w:val="00390B01"/>
    <w:rsid w:val="003A6810"/>
    <w:rsid w:val="003C193F"/>
    <w:rsid w:val="003C2CC4"/>
    <w:rsid w:val="003C6215"/>
    <w:rsid w:val="003D03D0"/>
    <w:rsid w:val="003D4B23"/>
    <w:rsid w:val="003D71C2"/>
    <w:rsid w:val="003E36BF"/>
    <w:rsid w:val="004057F4"/>
    <w:rsid w:val="00410C89"/>
    <w:rsid w:val="00414335"/>
    <w:rsid w:val="00421747"/>
    <w:rsid w:val="00426B9B"/>
    <w:rsid w:val="00426FA6"/>
    <w:rsid w:val="004325CB"/>
    <w:rsid w:val="00434005"/>
    <w:rsid w:val="00436B33"/>
    <w:rsid w:val="00442A83"/>
    <w:rsid w:val="004441D1"/>
    <w:rsid w:val="00444F2B"/>
    <w:rsid w:val="00446745"/>
    <w:rsid w:val="004534B5"/>
    <w:rsid w:val="0045495B"/>
    <w:rsid w:val="00472BF5"/>
    <w:rsid w:val="004824B5"/>
    <w:rsid w:val="00487488"/>
    <w:rsid w:val="00496AC7"/>
    <w:rsid w:val="004C1A41"/>
    <w:rsid w:val="004D792A"/>
    <w:rsid w:val="004E28F2"/>
    <w:rsid w:val="004E602A"/>
    <w:rsid w:val="005130CD"/>
    <w:rsid w:val="0052136D"/>
    <w:rsid w:val="00522757"/>
    <w:rsid w:val="00525E24"/>
    <w:rsid w:val="0052775E"/>
    <w:rsid w:val="00527E13"/>
    <w:rsid w:val="005300F8"/>
    <w:rsid w:val="005420F2"/>
    <w:rsid w:val="005628B6"/>
    <w:rsid w:val="005671A3"/>
    <w:rsid w:val="0057367B"/>
    <w:rsid w:val="00577A84"/>
    <w:rsid w:val="005848B3"/>
    <w:rsid w:val="00590F87"/>
    <w:rsid w:val="00592C4A"/>
    <w:rsid w:val="005938A7"/>
    <w:rsid w:val="005B3DB3"/>
    <w:rsid w:val="005C5EEE"/>
    <w:rsid w:val="005D5739"/>
    <w:rsid w:val="005E1D05"/>
    <w:rsid w:val="005F7717"/>
    <w:rsid w:val="005F7B75"/>
    <w:rsid w:val="006001EE"/>
    <w:rsid w:val="00603C65"/>
    <w:rsid w:val="00605042"/>
    <w:rsid w:val="00611CAB"/>
    <w:rsid w:val="00611FC4"/>
    <w:rsid w:val="006138C8"/>
    <w:rsid w:val="006176FB"/>
    <w:rsid w:val="00630D05"/>
    <w:rsid w:val="00632010"/>
    <w:rsid w:val="00640B26"/>
    <w:rsid w:val="006455B0"/>
    <w:rsid w:val="00652D0A"/>
    <w:rsid w:val="00662BB6"/>
    <w:rsid w:val="00665B76"/>
    <w:rsid w:val="0066769E"/>
    <w:rsid w:val="006678F4"/>
    <w:rsid w:val="00671FEE"/>
    <w:rsid w:val="006723FE"/>
    <w:rsid w:val="00676D30"/>
    <w:rsid w:val="00680B8C"/>
    <w:rsid w:val="00684C21"/>
    <w:rsid w:val="00697EB5"/>
    <w:rsid w:val="006A2C40"/>
    <w:rsid w:val="006B508E"/>
    <w:rsid w:val="006C2B48"/>
    <w:rsid w:val="006C534F"/>
    <w:rsid w:val="006C6A32"/>
    <w:rsid w:val="006D063A"/>
    <w:rsid w:val="006D37AF"/>
    <w:rsid w:val="006D51D0"/>
    <w:rsid w:val="006E564B"/>
    <w:rsid w:val="006E7191"/>
    <w:rsid w:val="006F7C82"/>
    <w:rsid w:val="00703577"/>
    <w:rsid w:val="007042FC"/>
    <w:rsid w:val="00704815"/>
    <w:rsid w:val="0071015F"/>
    <w:rsid w:val="00713EE3"/>
    <w:rsid w:val="007149BC"/>
    <w:rsid w:val="007205AC"/>
    <w:rsid w:val="0072632A"/>
    <w:rsid w:val="00727947"/>
    <w:rsid w:val="007327D5"/>
    <w:rsid w:val="007328CD"/>
    <w:rsid w:val="007446EF"/>
    <w:rsid w:val="00745E11"/>
    <w:rsid w:val="00751DB0"/>
    <w:rsid w:val="00752BD2"/>
    <w:rsid w:val="0075611D"/>
    <w:rsid w:val="0076105C"/>
    <w:rsid w:val="007629C8"/>
    <w:rsid w:val="00782881"/>
    <w:rsid w:val="007849DC"/>
    <w:rsid w:val="007A08B5"/>
    <w:rsid w:val="007B371C"/>
    <w:rsid w:val="007B6BA5"/>
    <w:rsid w:val="007C1595"/>
    <w:rsid w:val="007C3390"/>
    <w:rsid w:val="007C4F4B"/>
    <w:rsid w:val="007C784F"/>
    <w:rsid w:val="007E0B2D"/>
    <w:rsid w:val="007F6611"/>
    <w:rsid w:val="0081027F"/>
    <w:rsid w:val="008105B8"/>
    <w:rsid w:val="008242D7"/>
    <w:rsid w:val="008257B1"/>
    <w:rsid w:val="00833331"/>
    <w:rsid w:val="00835EA5"/>
    <w:rsid w:val="00840CB3"/>
    <w:rsid w:val="00843767"/>
    <w:rsid w:val="008543D3"/>
    <w:rsid w:val="008679D9"/>
    <w:rsid w:val="008868BA"/>
    <w:rsid w:val="008979B1"/>
    <w:rsid w:val="008A0E9A"/>
    <w:rsid w:val="008A1DB2"/>
    <w:rsid w:val="008A6B25"/>
    <w:rsid w:val="008A6C4F"/>
    <w:rsid w:val="008B2335"/>
    <w:rsid w:val="008B3922"/>
    <w:rsid w:val="008B78D6"/>
    <w:rsid w:val="008C0640"/>
    <w:rsid w:val="008C0E4C"/>
    <w:rsid w:val="008D2015"/>
    <w:rsid w:val="008D7B0A"/>
    <w:rsid w:val="008E0678"/>
    <w:rsid w:val="008E187D"/>
    <w:rsid w:val="008E26B6"/>
    <w:rsid w:val="00907C3C"/>
    <w:rsid w:val="00910F40"/>
    <w:rsid w:val="00912C08"/>
    <w:rsid w:val="00917D03"/>
    <w:rsid w:val="00920448"/>
    <w:rsid w:val="0092052B"/>
    <w:rsid w:val="009218C6"/>
    <w:rsid w:val="009223CA"/>
    <w:rsid w:val="00923684"/>
    <w:rsid w:val="00940F93"/>
    <w:rsid w:val="0095347F"/>
    <w:rsid w:val="00966A42"/>
    <w:rsid w:val="009760F3"/>
    <w:rsid w:val="00987039"/>
    <w:rsid w:val="009909F5"/>
    <w:rsid w:val="009A0E8D"/>
    <w:rsid w:val="009B26E7"/>
    <w:rsid w:val="009B3378"/>
    <w:rsid w:val="009C50CE"/>
    <w:rsid w:val="009D48CC"/>
    <w:rsid w:val="009D4F2F"/>
    <w:rsid w:val="009F6D20"/>
    <w:rsid w:val="009F7D24"/>
    <w:rsid w:val="00A00A3F"/>
    <w:rsid w:val="00A01489"/>
    <w:rsid w:val="00A155D2"/>
    <w:rsid w:val="00A338F1"/>
    <w:rsid w:val="00A33985"/>
    <w:rsid w:val="00A44615"/>
    <w:rsid w:val="00A52A17"/>
    <w:rsid w:val="00A53195"/>
    <w:rsid w:val="00A53B9E"/>
    <w:rsid w:val="00A60430"/>
    <w:rsid w:val="00A70DE2"/>
    <w:rsid w:val="00A72F22"/>
    <w:rsid w:val="00A7360F"/>
    <w:rsid w:val="00A748A6"/>
    <w:rsid w:val="00A769F4"/>
    <w:rsid w:val="00A76D5B"/>
    <w:rsid w:val="00A776B4"/>
    <w:rsid w:val="00A94361"/>
    <w:rsid w:val="00A95493"/>
    <w:rsid w:val="00AA01B9"/>
    <w:rsid w:val="00AA1832"/>
    <w:rsid w:val="00AA293C"/>
    <w:rsid w:val="00AA3DDF"/>
    <w:rsid w:val="00AA47AD"/>
    <w:rsid w:val="00AB6D87"/>
    <w:rsid w:val="00AD6F04"/>
    <w:rsid w:val="00B03B83"/>
    <w:rsid w:val="00B13E9B"/>
    <w:rsid w:val="00B203F4"/>
    <w:rsid w:val="00B207A0"/>
    <w:rsid w:val="00B20BC1"/>
    <w:rsid w:val="00B21C36"/>
    <w:rsid w:val="00B30179"/>
    <w:rsid w:val="00B33594"/>
    <w:rsid w:val="00B339A7"/>
    <w:rsid w:val="00B379C1"/>
    <w:rsid w:val="00B474FA"/>
    <w:rsid w:val="00B56E4A"/>
    <w:rsid w:val="00B56E9C"/>
    <w:rsid w:val="00B64B1F"/>
    <w:rsid w:val="00B6553F"/>
    <w:rsid w:val="00B66E5E"/>
    <w:rsid w:val="00B71340"/>
    <w:rsid w:val="00B77D05"/>
    <w:rsid w:val="00B81206"/>
    <w:rsid w:val="00B81E12"/>
    <w:rsid w:val="00B8446D"/>
    <w:rsid w:val="00B87BFF"/>
    <w:rsid w:val="00B9067B"/>
    <w:rsid w:val="00BA6C83"/>
    <w:rsid w:val="00BB208C"/>
    <w:rsid w:val="00BB539F"/>
    <w:rsid w:val="00BB6718"/>
    <w:rsid w:val="00BC163C"/>
    <w:rsid w:val="00BC2862"/>
    <w:rsid w:val="00BC2C23"/>
    <w:rsid w:val="00BC74E9"/>
    <w:rsid w:val="00BD5FA9"/>
    <w:rsid w:val="00BD6C86"/>
    <w:rsid w:val="00BE75D8"/>
    <w:rsid w:val="00BF68A8"/>
    <w:rsid w:val="00C04142"/>
    <w:rsid w:val="00C109A6"/>
    <w:rsid w:val="00C11A03"/>
    <w:rsid w:val="00C25433"/>
    <w:rsid w:val="00C41475"/>
    <w:rsid w:val="00C415AD"/>
    <w:rsid w:val="00C43960"/>
    <w:rsid w:val="00C463DD"/>
    <w:rsid w:val="00C4724C"/>
    <w:rsid w:val="00C629A0"/>
    <w:rsid w:val="00C67AC1"/>
    <w:rsid w:val="00C71FA4"/>
    <w:rsid w:val="00C745C3"/>
    <w:rsid w:val="00C91F1D"/>
    <w:rsid w:val="00CA3D31"/>
    <w:rsid w:val="00CB6050"/>
    <w:rsid w:val="00CE4A8F"/>
    <w:rsid w:val="00D015F3"/>
    <w:rsid w:val="00D0288C"/>
    <w:rsid w:val="00D042BC"/>
    <w:rsid w:val="00D07317"/>
    <w:rsid w:val="00D1073C"/>
    <w:rsid w:val="00D16986"/>
    <w:rsid w:val="00D2031B"/>
    <w:rsid w:val="00D2442D"/>
    <w:rsid w:val="00D24822"/>
    <w:rsid w:val="00D25FE2"/>
    <w:rsid w:val="00D43252"/>
    <w:rsid w:val="00D471E0"/>
    <w:rsid w:val="00D47EEA"/>
    <w:rsid w:val="00D52941"/>
    <w:rsid w:val="00D613D7"/>
    <w:rsid w:val="00D6204D"/>
    <w:rsid w:val="00D750E5"/>
    <w:rsid w:val="00D8720F"/>
    <w:rsid w:val="00D87481"/>
    <w:rsid w:val="00D95303"/>
    <w:rsid w:val="00D978C6"/>
    <w:rsid w:val="00DA3111"/>
    <w:rsid w:val="00DA3C1C"/>
    <w:rsid w:val="00DB0C79"/>
    <w:rsid w:val="00DC2097"/>
    <w:rsid w:val="00DD01D8"/>
    <w:rsid w:val="00E0344D"/>
    <w:rsid w:val="00E155B2"/>
    <w:rsid w:val="00E2112E"/>
    <w:rsid w:val="00E27010"/>
    <w:rsid w:val="00E27346"/>
    <w:rsid w:val="00E30D71"/>
    <w:rsid w:val="00E33C08"/>
    <w:rsid w:val="00E47BBF"/>
    <w:rsid w:val="00E52570"/>
    <w:rsid w:val="00E56B00"/>
    <w:rsid w:val="00E71BC8"/>
    <w:rsid w:val="00E7260F"/>
    <w:rsid w:val="00E779FC"/>
    <w:rsid w:val="00E84420"/>
    <w:rsid w:val="00E96630"/>
    <w:rsid w:val="00EA2A8D"/>
    <w:rsid w:val="00EA3B89"/>
    <w:rsid w:val="00EA4A3B"/>
    <w:rsid w:val="00EB2581"/>
    <w:rsid w:val="00EB565D"/>
    <w:rsid w:val="00EC633D"/>
    <w:rsid w:val="00ED7A2A"/>
    <w:rsid w:val="00EF1D7F"/>
    <w:rsid w:val="00EF7529"/>
    <w:rsid w:val="00F15DDE"/>
    <w:rsid w:val="00F16FC3"/>
    <w:rsid w:val="00F20C3D"/>
    <w:rsid w:val="00F222D6"/>
    <w:rsid w:val="00F37350"/>
    <w:rsid w:val="00F43E9E"/>
    <w:rsid w:val="00F4774E"/>
    <w:rsid w:val="00F54A51"/>
    <w:rsid w:val="00F56B62"/>
    <w:rsid w:val="00F71188"/>
    <w:rsid w:val="00F852F7"/>
    <w:rsid w:val="00F87F12"/>
    <w:rsid w:val="00F9057C"/>
    <w:rsid w:val="00F906D7"/>
    <w:rsid w:val="00F93781"/>
    <w:rsid w:val="00FB613B"/>
    <w:rsid w:val="00FC68B7"/>
    <w:rsid w:val="00FD74AC"/>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AF249627-B601-4423-980F-2266B5EC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B33594"/>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B33594"/>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3985"/>
    <w:rPr>
      <w:rFonts w:eastAsia="SimSun"/>
      <w:sz w:val="18"/>
      <w:lang w:val="en-GB"/>
    </w:rPr>
  </w:style>
  <w:style w:type="paragraph" w:styleId="BalloonText">
    <w:name w:val="Balloon Text"/>
    <w:basedOn w:val="Normal"/>
    <w:link w:val="BalloonTextChar"/>
    <w:rsid w:val="00835EA5"/>
    <w:pPr>
      <w:spacing w:line="240" w:lineRule="auto"/>
    </w:pPr>
    <w:rPr>
      <w:rFonts w:ascii="Tahoma" w:hAnsi="Tahoma"/>
      <w:sz w:val="16"/>
      <w:szCs w:val="16"/>
    </w:rPr>
  </w:style>
  <w:style w:type="character" w:customStyle="1" w:styleId="BalloonTextChar">
    <w:name w:val="Balloon Text Char"/>
    <w:link w:val="BalloonText"/>
    <w:rsid w:val="00835EA5"/>
    <w:rPr>
      <w:rFonts w:ascii="Tahoma" w:hAnsi="Tahoma" w:cs="Tahoma"/>
      <w:sz w:val="16"/>
      <w:szCs w:val="16"/>
      <w:lang w:eastAsia="en-US"/>
    </w:rPr>
  </w:style>
  <w:style w:type="character" w:styleId="CommentReference">
    <w:name w:val="annotation reference"/>
    <w:rsid w:val="00A76D5B"/>
    <w:rPr>
      <w:sz w:val="16"/>
      <w:szCs w:val="16"/>
    </w:rPr>
  </w:style>
  <w:style w:type="paragraph" w:styleId="CommentText">
    <w:name w:val="annotation text"/>
    <w:basedOn w:val="Normal"/>
    <w:link w:val="CommentTextChar"/>
    <w:rsid w:val="00A76D5B"/>
  </w:style>
  <w:style w:type="character" w:customStyle="1" w:styleId="CommentTextChar">
    <w:name w:val="Comment Text Char"/>
    <w:link w:val="CommentText"/>
    <w:rsid w:val="00A76D5B"/>
    <w:rPr>
      <w:lang w:eastAsia="en-US"/>
    </w:rPr>
  </w:style>
  <w:style w:type="paragraph" w:styleId="CommentSubject">
    <w:name w:val="annotation subject"/>
    <w:basedOn w:val="CommentText"/>
    <w:next w:val="CommentText"/>
    <w:link w:val="CommentSubjectChar"/>
    <w:rsid w:val="00A76D5B"/>
    <w:rPr>
      <w:b/>
      <w:bCs/>
    </w:rPr>
  </w:style>
  <w:style w:type="character" w:customStyle="1" w:styleId="CommentSubjectChar">
    <w:name w:val="Comment Subject Char"/>
    <w:link w:val="CommentSubject"/>
    <w:rsid w:val="00A76D5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2014-11-10T12:39:00Z</cp:lastPrinted>
  <dcterms:created xsi:type="dcterms:W3CDTF">2017-01-24T19:09:00Z</dcterms:created>
  <dcterms:modified xsi:type="dcterms:W3CDTF">2017-01-24T19:09:00Z</dcterms:modified>
</cp:coreProperties>
</file>