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B04C03" w:rsidP="007F5F25">
            <w:pPr>
              <w:jc w:val="right"/>
            </w:pPr>
            <w:r w:rsidRPr="00B04C03">
              <w:rPr>
                <w:sz w:val="40"/>
              </w:rPr>
              <w:t>CCPR</w:t>
            </w:r>
            <w:r w:rsidR="00EE48B5">
              <w:t>/C/</w:t>
            </w:r>
            <w:r>
              <w:t>111</w:t>
            </w:r>
            <w:r w:rsidR="00EE48B5">
              <w:t>/</w:t>
            </w:r>
            <w:r>
              <w:t>D</w:t>
            </w:r>
            <w:r w:rsidR="00EE48B5">
              <w:t>/</w:t>
            </w:r>
            <w:r>
              <w:t>2030</w:t>
            </w:r>
            <w:r w:rsidR="00EE48B5">
              <w:t>/</w:t>
            </w:r>
            <w:r>
              <w:t>2011</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51602E"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B04C03" w:rsidP="00B04C03">
            <w:pPr>
              <w:spacing w:before="240" w:line="240" w:lineRule="exact"/>
            </w:pPr>
            <w:r>
              <w:t xml:space="preserve">Distr.: </w:t>
            </w:r>
            <w:r w:rsidR="00C056F0">
              <w:t>General</w:t>
            </w:r>
          </w:p>
          <w:p w:rsidR="00B04C03" w:rsidRDefault="004F2D6A" w:rsidP="00B04C03">
            <w:pPr>
              <w:spacing w:line="240" w:lineRule="exact"/>
            </w:pPr>
            <w:r>
              <w:t>2</w:t>
            </w:r>
            <w:r w:rsidR="00104445">
              <w:t>5</w:t>
            </w:r>
            <w:r>
              <w:t xml:space="preserve"> August</w:t>
            </w:r>
            <w:r w:rsidR="00B04C03">
              <w:t xml:space="preserve"> 2014</w:t>
            </w:r>
          </w:p>
          <w:p w:rsidR="00B04C03" w:rsidRDefault="00B04C03" w:rsidP="00B04C03">
            <w:pPr>
              <w:spacing w:line="240" w:lineRule="exact"/>
            </w:pPr>
          </w:p>
          <w:p w:rsidR="00B04C03" w:rsidRDefault="00B04C03" w:rsidP="00B04C03">
            <w:pPr>
              <w:spacing w:line="240" w:lineRule="exact"/>
            </w:pPr>
            <w:r>
              <w:t>Original: English</w:t>
            </w:r>
          </w:p>
        </w:tc>
      </w:tr>
    </w:tbl>
    <w:p w:rsidR="00EE48B5" w:rsidRDefault="00EE48B5" w:rsidP="00EE48B5">
      <w:pPr>
        <w:spacing w:before="120"/>
        <w:rPr>
          <w:rFonts w:ascii="Times New Roman Bold" w:eastAsia="Times New Roman Bold" w:hAnsi="Times New Roman Bold" w:cs="Times New Roman Bold"/>
          <w:sz w:val="24"/>
          <w:szCs w:val="24"/>
        </w:rPr>
      </w:pPr>
      <w:r>
        <w:rPr>
          <w:rFonts w:ascii="Times New Roman Bold"/>
          <w:sz w:val="24"/>
          <w:szCs w:val="24"/>
        </w:rPr>
        <w:t>Human Rights Committee</w:t>
      </w:r>
      <w:r w:rsidR="0051602E">
        <w:rPr>
          <w:rFonts w:ascii="Times New Roman Bold" w:eastAsia="Times New Roman Bold" w:hAnsi="Times New Roman Bold" w:cs="Times New Roman Bold"/>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11&amp;Size=2 &amp;Lang=E"/>
            <w10:wrap anchorx="margin" anchory="margin"/>
          </v:shape>
        </w:pict>
      </w:r>
    </w:p>
    <w:p w:rsidR="00EE48B5" w:rsidRDefault="00EE48B5" w:rsidP="00EE48B5">
      <w:pPr>
        <w:pStyle w:val="HChG"/>
      </w:pPr>
      <w:r>
        <w:rPr>
          <w:rFonts w:eastAsia="Arial Unicode MS" w:hAnsi="Arial Unicode MS" w:cs="Arial Unicode MS"/>
        </w:rPr>
        <w:tab/>
      </w:r>
      <w:r>
        <w:rPr>
          <w:rFonts w:eastAsia="Arial Unicode MS" w:hAnsi="Arial Unicode MS" w:cs="Arial Unicode MS"/>
        </w:rPr>
        <w:tab/>
        <w:t>Communication No. 2030/2011</w:t>
      </w:r>
    </w:p>
    <w:p w:rsidR="00EE48B5" w:rsidRDefault="00EE48B5" w:rsidP="00EE48B5">
      <w:pPr>
        <w:pStyle w:val="H1G"/>
        <w:rPr>
          <w:b w:val="0"/>
          <w:bCs/>
          <w:i/>
          <w:iCs/>
        </w:rPr>
      </w:pPr>
      <w:r>
        <w:rPr>
          <w:rFonts w:eastAsia="Arial Unicode MS" w:hAnsi="Arial Unicode MS" w:cs="Arial Unicode MS"/>
        </w:rPr>
        <w:tab/>
      </w:r>
      <w:r>
        <w:rPr>
          <w:rFonts w:eastAsia="Arial Unicode MS" w:hAnsi="Arial Unicode MS" w:cs="Arial Unicode MS"/>
        </w:rPr>
        <w:tab/>
      </w:r>
      <w:r w:rsidR="0019182F" w:rsidRPr="0019182F">
        <w:rPr>
          <w:rFonts w:eastAsia="Arial Unicode MS" w:hAnsi="Arial Unicode MS" w:cs="Arial Unicode MS"/>
        </w:rPr>
        <w:t>Views adopted by the Committee at its 111</w:t>
      </w:r>
      <w:r w:rsidR="0019182F" w:rsidRPr="004F2D6A">
        <w:rPr>
          <w:rFonts w:eastAsia="Arial Unicode MS" w:hAnsi="Arial Unicode MS" w:cs="Arial Unicode MS"/>
        </w:rPr>
        <w:t>th</w:t>
      </w:r>
      <w:r w:rsidR="0019182F" w:rsidRPr="0019182F">
        <w:rPr>
          <w:rFonts w:eastAsia="Arial Unicode MS" w:hAnsi="Arial Unicode MS" w:cs="Arial Unicode MS"/>
        </w:rPr>
        <w:t xml:space="preserve"> session</w:t>
      </w:r>
      <w:r w:rsidR="0019182F" w:rsidRPr="0019182F">
        <w:rPr>
          <w:rFonts w:eastAsia="Arial Unicode MS" w:hAnsi="Arial Unicode MS" w:cs="Arial Unicode MS"/>
        </w:rPr>
        <w:br/>
        <w:t>(7</w:t>
      </w:r>
      <w:r w:rsidR="00FA0E37">
        <w:rPr>
          <w:rFonts w:eastAsia="Arial Unicode MS" w:hAnsi="Arial Unicode MS" w:cs="Arial Unicode MS"/>
        </w:rPr>
        <w:t>–</w:t>
      </w:r>
      <w:r w:rsidR="0019182F" w:rsidRPr="0019182F">
        <w:rPr>
          <w:rFonts w:eastAsia="Arial Unicode MS" w:hAnsi="Arial Unicode MS" w:cs="Arial Unicode MS"/>
        </w:rPr>
        <w:t>25 July 2014)</w:t>
      </w:r>
    </w:p>
    <w:p w:rsidR="00EE48B5" w:rsidRDefault="00EE48B5" w:rsidP="00EE48B5">
      <w:pPr>
        <w:pStyle w:val="SingleTxtG"/>
        <w:ind w:left="4536" w:hanging="3402"/>
      </w:pPr>
      <w:r>
        <w:rPr>
          <w:i/>
          <w:iCs/>
        </w:rPr>
        <w:t>Submitted by:</w:t>
      </w:r>
      <w:r>
        <w:tab/>
        <w:t>Vasily Poliakov (not represented by counsel)</w:t>
      </w:r>
    </w:p>
    <w:p w:rsidR="00EE48B5" w:rsidRDefault="00EE48B5" w:rsidP="00EE48B5">
      <w:pPr>
        <w:pStyle w:val="SingleTxtG"/>
        <w:ind w:left="4536" w:hanging="3402"/>
      </w:pPr>
      <w:r>
        <w:rPr>
          <w:i/>
          <w:iCs/>
        </w:rPr>
        <w:t>Alleged victim:</w:t>
      </w:r>
      <w:r>
        <w:tab/>
        <w:t>The author</w:t>
      </w:r>
    </w:p>
    <w:p w:rsidR="00EE48B5" w:rsidRDefault="00EE48B5" w:rsidP="00EE48B5">
      <w:pPr>
        <w:pStyle w:val="SingleTxtG"/>
        <w:ind w:left="4536" w:hanging="3402"/>
      </w:pPr>
      <w:r>
        <w:rPr>
          <w:i/>
          <w:iCs/>
        </w:rPr>
        <w:t>State party:</w:t>
      </w:r>
      <w:r>
        <w:tab/>
      </w:r>
      <w:smartTag w:uri="urn:schemas-microsoft-com:office:smarttags" w:element="place">
        <w:smartTag w:uri="urn:schemas-microsoft-com:office:smarttags" w:element="country-region">
          <w:r>
            <w:t>Belarus</w:t>
          </w:r>
        </w:smartTag>
      </w:smartTag>
    </w:p>
    <w:p w:rsidR="00EE48B5" w:rsidRDefault="00EE48B5" w:rsidP="00EE48B5">
      <w:pPr>
        <w:pStyle w:val="SingleTxtG"/>
        <w:ind w:left="4536" w:hanging="3402"/>
      </w:pPr>
      <w:r>
        <w:rPr>
          <w:i/>
          <w:iCs/>
        </w:rPr>
        <w:t>Date of communication:</w:t>
      </w:r>
      <w:r>
        <w:tab/>
        <w:t>28 January 2010 (initial submission)</w:t>
      </w:r>
    </w:p>
    <w:p w:rsidR="00EE48B5" w:rsidRDefault="00EE48B5" w:rsidP="00EE48B5">
      <w:pPr>
        <w:pStyle w:val="SingleTxtG"/>
        <w:ind w:left="4536" w:hanging="3402"/>
      </w:pPr>
      <w:r>
        <w:rPr>
          <w:i/>
          <w:iCs/>
        </w:rPr>
        <w:t>Document references:</w:t>
      </w:r>
      <w:r>
        <w:tab/>
        <w:t xml:space="preserve">Special Rapporteur’s rule 97 decision, transmitted to the State party on 17 February 2011 (not issued in document form) </w:t>
      </w:r>
    </w:p>
    <w:p w:rsidR="00EE48B5" w:rsidRDefault="00EE48B5" w:rsidP="00EE48B5">
      <w:pPr>
        <w:pStyle w:val="SingleTxtG"/>
        <w:ind w:left="4536" w:hanging="3402"/>
      </w:pPr>
      <w:r>
        <w:rPr>
          <w:i/>
          <w:iCs/>
        </w:rPr>
        <w:t xml:space="preserve">Date of adoption of </w:t>
      </w:r>
      <w:r w:rsidR="00FA0E37">
        <w:rPr>
          <w:i/>
          <w:iCs/>
        </w:rPr>
        <w:t>v</w:t>
      </w:r>
      <w:r>
        <w:rPr>
          <w:i/>
          <w:iCs/>
        </w:rPr>
        <w:t>iews:</w:t>
      </w:r>
      <w:r>
        <w:tab/>
      </w:r>
      <w:r w:rsidR="007F5F25">
        <w:t xml:space="preserve">17 </w:t>
      </w:r>
      <w:r>
        <w:t>July 2014</w:t>
      </w:r>
    </w:p>
    <w:p w:rsidR="00EE48B5" w:rsidRDefault="00EE48B5" w:rsidP="00EE48B5">
      <w:pPr>
        <w:pStyle w:val="SingleTxtG"/>
        <w:ind w:left="4536" w:hanging="3402"/>
      </w:pPr>
      <w:r>
        <w:rPr>
          <w:i/>
          <w:iCs/>
        </w:rPr>
        <w:t>Subject matter:</w:t>
      </w:r>
      <w:r w:rsidR="002E1D46">
        <w:rPr>
          <w:i/>
          <w:iCs/>
        </w:rPr>
        <w:t xml:space="preserve"> </w:t>
      </w:r>
      <w:r>
        <w:rPr>
          <w:i/>
          <w:iCs/>
        </w:rPr>
        <w:tab/>
      </w:r>
      <w:r>
        <w:t>Denial of permission to conduct a demonstration</w:t>
      </w:r>
    </w:p>
    <w:p w:rsidR="00FA0E37" w:rsidRDefault="00FA0E37" w:rsidP="00FA0E37">
      <w:pPr>
        <w:pStyle w:val="SingleTxtG"/>
        <w:ind w:left="4536" w:hanging="3402"/>
      </w:pPr>
      <w:r>
        <w:rPr>
          <w:i/>
          <w:iCs/>
        </w:rPr>
        <w:t xml:space="preserve">Substantive issues: </w:t>
      </w:r>
      <w:r>
        <w:rPr>
          <w:i/>
          <w:iCs/>
        </w:rPr>
        <w:tab/>
      </w:r>
      <w:r>
        <w:t>Freedom of assembly</w:t>
      </w:r>
    </w:p>
    <w:p w:rsidR="00EE48B5" w:rsidRDefault="00EE48B5" w:rsidP="00EE48B5">
      <w:pPr>
        <w:pStyle w:val="SingleTxtG"/>
        <w:ind w:left="4536" w:hanging="3402"/>
      </w:pPr>
      <w:r>
        <w:rPr>
          <w:i/>
          <w:iCs/>
        </w:rPr>
        <w:t xml:space="preserve">Procedural issues: </w:t>
      </w:r>
      <w:r>
        <w:rPr>
          <w:i/>
          <w:iCs/>
        </w:rPr>
        <w:tab/>
      </w:r>
      <w:r>
        <w:tab/>
        <w:t>Non-exhaustion</w:t>
      </w:r>
      <w:r w:rsidR="00FA0E37">
        <w:t xml:space="preserve"> of domestic remedies</w:t>
      </w:r>
    </w:p>
    <w:p w:rsidR="00EE48B5" w:rsidRDefault="00EE48B5" w:rsidP="00EE48B5">
      <w:pPr>
        <w:pStyle w:val="SingleTxtG"/>
        <w:ind w:left="4536" w:hanging="3402"/>
      </w:pPr>
      <w:r>
        <w:rPr>
          <w:i/>
          <w:iCs/>
        </w:rPr>
        <w:t>Articles of the Covenant:</w:t>
      </w:r>
      <w:r>
        <w:t xml:space="preserve"> </w:t>
      </w:r>
      <w:r>
        <w:tab/>
        <w:t>2, paragraph 2,</w:t>
      </w:r>
      <w:r w:rsidR="00FA0E37">
        <w:t xml:space="preserve"> and</w:t>
      </w:r>
      <w:r>
        <w:t xml:space="preserve"> 21</w:t>
      </w:r>
    </w:p>
    <w:p w:rsidR="00EE48B5" w:rsidRDefault="00EE48B5" w:rsidP="00EE48B5">
      <w:pPr>
        <w:pStyle w:val="SingleTxtG"/>
        <w:ind w:left="4536" w:hanging="3402"/>
      </w:pPr>
      <w:r>
        <w:rPr>
          <w:i/>
          <w:iCs/>
        </w:rPr>
        <w:t xml:space="preserve">Articles of the Optional Protocol: </w:t>
      </w:r>
      <w:r>
        <w:rPr>
          <w:i/>
          <w:iCs/>
        </w:rPr>
        <w:tab/>
      </w:r>
      <w:r>
        <w:t>2</w:t>
      </w:r>
      <w:r w:rsidR="00FA0E37">
        <w:t xml:space="preserve"> and</w:t>
      </w:r>
      <w:r>
        <w:t xml:space="preserve"> 5, paragraph 2 (b)</w:t>
      </w:r>
    </w:p>
    <w:p w:rsidR="00EE48B5" w:rsidRDefault="00EC59DE" w:rsidP="00EE48B5">
      <w:pPr>
        <w:pStyle w:val="HChG"/>
      </w:pPr>
      <w:r w:rsidDel="007F5F25">
        <w:t xml:space="preserve"> </w:t>
      </w:r>
      <w:r w:rsidR="00EE48B5">
        <w:br w:type="page"/>
      </w:r>
      <w:r w:rsidR="00EE48B5">
        <w:rPr>
          <w:rFonts w:eastAsia="Arial Unicode MS" w:hAnsi="Arial Unicode MS" w:cs="Arial Unicode MS"/>
        </w:rPr>
        <w:lastRenderedPageBreak/>
        <w:t>Annex</w:t>
      </w:r>
    </w:p>
    <w:p w:rsidR="00EE48B5" w:rsidRDefault="00EE48B5" w:rsidP="00EE48B5">
      <w:pPr>
        <w:pStyle w:val="HChG"/>
      </w:pPr>
      <w:r>
        <w:rPr>
          <w:rFonts w:eastAsia="Arial Unicode MS" w:hAnsi="Arial Unicode MS" w:cs="Arial Unicode MS"/>
        </w:rPr>
        <w:tab/>
      </w:r>
      <w:r>
        <w:rPr>
          <w:rFonts w:eastAsia="Arial Unicode MS" w:hAnsi="Arial Unicode MS" w:cs="Arial Unicode MS"/>
        </w:rPr>
        <w:tab/>
        <w:t>Views of the Human Rights Committee under article 5, paragraph 4 of the Optional Protocol to the International Covenant on Civil and Political Rights (111</w:t>
      </w:r>
      <w:r w:rsidRPr="00FA0E37">
        <w:rPr>
          <w:rFonts w:eastAsia="Arial Unicode MS" w:hAnsi="Arial Unicode MS" w:cs="Arial Unicode MS"/>
        </w:rPr>
        <w:t>th</w:t>
      </w:r>
      <w:r>
        <w:rPr>
          <w:rFonts w:eastAsia="Arial Unicode MS" w:hAnsi="Arial Unicode MS" w:cs="Arial Unicode MS"/>
        </w:rPr>
        <w:t xml:space="preserve"> session)</w:t>
      </w:r>
    </w:p>
    <w:p w:rsidR="00EE48B5" w:rsidRDefault="00EE48B5" w:rsidP="00EE48B5">
      <w:pPr>
        <w:pStyle w:val="SingleTxtG"/>
      </w:pPr>
      <w:r>
        <w:t>concerning</w:t>
      </w:r>
    </w:p>
    <w:p w:rsidR="00EE48B5" w:rsidRDefault="00EE48B5" w:rsidP="00EE48B5">
      <w:pPr>
        <w:pStyle w:val="H1G"/>
        <w:rPr>
          <w:b w:val="0"/>
          <w:bCs/>
          <w:i/>
          <w:iCs/>
        </w:rPr>
      </w:pPr>
      <w:r>
        <w:rPr>
          <w:rFonts w:eastAsia="Arial Unicode MS" w:hAnsi="Arial Unicode MS" w:cs="Arial Unicode MS"/>
        </w:rPr>
        <w:tab/>
      </w:r>
      <w:r>
        <w:rPr>
          <w:rFonts w:eastAsia="Arial Unicode MS" w:hAnsi="Arial Unicode MS" w:cs="Arial Unicode MS"/>
        </w:rPr>
        <w:tab/>
        <w:t>Communication No. 2030/2011</w:t>
      </w:r>
      <w:r w:rsidR="008F3711" w:rsidRPr="002E1D46">
        <w:rPr>
          <w:rStyle w:val="FootnoteReference"/>
          <w:b w:val="0"/>
          <w:bCs/>
          <w:sz w:val="20"/>
          <w:vertAlign w:val="baseline"/>
        </w:rPr>
        <w:footnoteReference w:customMarkFollows="1" w:id="2"/>
        <w:t>*</w:t>
      </w:r>
    </w:p>
    <w:p w:rsidR="00EE48B5" w:rsidRDefault="00EE48B5" w:rsidP="00EE48B5">
      <w:pPr>
        <w:pStyle w:val="SingleTxtG"/>
        <w:ind w:left="4536" w:hanging="3402"/>
      </w:pPr>
      <w:r>
        <w:rPr>
          <w:i/>
          <w:iCs/>
        </w:rPr>
        <w:t>Submitted by:</w:t>
      </w:r>
      <w:r>
        <w:tab/>
        <w:t>Vasily Poliakov (not represented by counsel)</w:t>
      </w:r>
    </w:p>
    <w:p w:rsidR="00EE48B5" w:rsidRDefault="00EE48B5" w:rsidP="00EE48B5">
      <w:pPr>
        <w:pStyle w:val="SingleTxtG"/>
        <w:ind w:left="4536" w:hanging="3402"/>
      </w:pPr>
      <w:r>
        <w:rPr>
          <w:i/>
          <w:iCs/>
        </w:rPr>
        <w:t>Alleged victim:</w:t>
      </w:r>
      <w:r>
        <w:tab/>
        <w:t>The author</w:t>
      </w:r>
    </w:p>
    <w:p w:rsidR="00EE48B5" w:rsidRDefault="00EE48B5" w:rsidP="00EE48B5">
      <w:pPr>
        <w:pStyle w:val="SingleTxtG"/>
        <w:ind w:left="4536" w:hanging="3402"/>
      </w:pPr>
      <w:r>
        <w:rPr>
          <w:i/>
          <w:iCs/>
        </w:rPr>
        <w:t>State party:</w:t>
      </w:r>
      <w:r>
        <w:tab/>
      </w:r>
      <w:smartTag w:uri="urn:schemas-microsoft-com:office:smarttags" w:element="place">
        <w:smartTag w:uri="urn:schemas-microsoft-com:office:smarttags" w:element="country-region">
          <w:r>
            <w:t>Belarus</w:t>
          </w:r>
        </w:smartTag>
      </w:smartTag>
    </w:p>
    <w:p w:rsidR="00EE48B5" w:rsidRDefault="00EE48B5" w:rsidP="00EE48B5">
      <w:pPr>
        <w:pStyle w:val="SingleTxtG"/>
        <w:ind w:left="4536" w:hanging="3402"/>
      </w:pPr>
      <w:r>
        <w:rPr>
          <w:i/>
          <w:iCs/>
        </w:rPr>
        <w:t>Date of communication:</w:t>
      </w:r>
      <w:r>
        <w:tab/>
        <w:t>28 January 2010 (initial submission)</w:t>
      </w:r>
    </w:p>
    <w:p w:rsidR="00EE48B5" w:rsidRDefault="00EE48B5" w:rsidP="00EE48B5">
      <w:pPr>
        <w:pStyle w:val="SingleTxtG"/>
      </w:pPr>
      <w:r>
        <w:rPr>
          <w:i/>
          <w:iCs/>
        </w:rPr>
        <w:tab/>
        <w:t>The Human Rights Committee</w:t>
      </w:r>
      <w:r>
        <w:t>, established under article 28 of the International Covenant on Civil and Political Rights,</w:t>
      </w:r>
    </w:p>
    <w:p w:rsidR="00EE48B5" w:rsidRDefault="00EE48B5" w:rsidP="00EE48B5">
      <w:pPr>
        <w:pStyle w:val="SingleTxtG"/>
      </w:pPr>
      <w:r>
        <w:tab/>
      </w:r>
      <w:r>
        <w:rPr>
          <w:i/>
          <w:iCs/>
        </w:rPr>
        <w:t>Meeting on</w:t>
      </w:r>
      <w:r>
        <w:rPr>
          <w:rFonts w:ascii="Arial Unicode MS"/>
        </w:rPr>
        <w:t xml:space="preserve"> </w:t>
      </w:r>
      <w:r w:rsidR="003B1E3F" w:rsidRPr="005A68B7">
        <w:t xml:space="preserve">17 </w:t>
      </w:r>
      <w:r w:rsidRPr="005A68B7">
        <w:t>J</w:t>
      </w:r>
      <w:r>
        <w:t>uly 2014,</w:t>
      </w:r>
    </w:p>
    <w:p w:rsidR="00EE48B5" w:rsidRDefault="00EE48B5" w:rsidP="00EE48B5">
      <w:pPr>
        <w:pStyle w:val="SingleTxtG"/>
      </w:pPr>
      <w:r>
        <w:tab/>
      </w:r>
      <w:r>
        <w:rPr>
          <w:i/>
          <w:iCs/>
        </w:rPr>
        <w:t>Having concluded</w:t>
      </w:r>
      <w:r>
        <w:t xml:space="preserve"> its consideration of communication No. 2030/2011, submitted to the Human Rights Committee by Vasily Poliakov under the Optional Protocol to the International Covenant on Civil and Political Rights,</w:t>
      </w:r>
    </w:p>
    <w:p w:rsidR="00EE48B5" w:rsidRDefault="00EE48B5" w:rsidP="00EE48B5">
      <w:pPr>
        <w:pStyle w:val="SingleTxtG"/>
      </w:pPr>
      <w:r>
        <w:tab/>
      </w:r>
      <w:r>
        <w:rPr>
          <w:i/>
          <w:iCs/>
        </w:rPr>
        <w:t>Having taken into account</w:t>
      </w:r>
      <w:r>
        <w:t xml:space="preserve"> all written information made available to it by the author of the communication and the State party,</w:t>
      </w:r>
    </w:p>
    <w:p w:rsidR="00EE48B5" w:rsidRDefault="00EE48B5" w:rsidP="00EE48B5">
      <w:pPr>
        <w:pStyle w:val="SingleTxtG"/>
      </w:pPr>
      <w:r>
        <w:tab/>
      </w:r>
      <w:r>
        <w:rPr>
          <w:i/>
          <w:iCs/>
        </w:rPr>
        <w:t xml:space="preserve">Adopts </w:t>
      </w:r>
      <w:r w:rsidRPr="005A68B7">
        <w:rPr>
          <w:iCs/>
        </w:rPr>
        <w:t>the following</w:t>
      </w:r>
      <w:r w:rsidRPr="005A68B7">
        <w:t>:</w:t>
      </w:r>
    </w:p>
    <w:p w:rsidR="00EE48B5" w:rsidRDefault="00EE48B5" w:rsidP="00EE48B5">
      <w:pPr>
        <w:pStyle w:val="H1G"/>
      </w:pPr>
      <w:r>
        <w:rPr>
          <w:rFonts w:eastAsia="Arial Unicode MS" w:hAnsi="Arial Unicode MS" w:cs="Arial Unicode MS"/>
        </w:rPr>
        <w:tab/>
      </w:r>
      <w:r>
        <w:rPr>
          <w:rFonts w:eastAsia="Arial Unicode MS" w:hAnsi="Arial Unicode MS" w:cs="Arial Unicode MS"/>
        </w:rPr>
        <w:tab/>
        <w:t>Views pursuant to article 5, paragraph 4</w:t>
      </w:r>
      <w:r w:rsidR="005A68B7">
        <w:rPr>
          <w:rFonts w:eastAsia="Arial Unicode MS" w:hAnsi="Arial Unicode MS" w:cs="Arial Unicode MS"/>
        </w:rPr>
        <w:t>,</w:t>
      </w:r>
      <w:r>
        <w:rPr>
          <w:rFonts w:eastAsia="Arial Unicode MS" w:hAnsi="Arial Unicode MS" w:cs="Arial Unicode MS"/>
        </w:rPr>
        <w:t xml:space="preserve"> of the Optional Protocol </w:t>
      </w:r>
    </w:p>
    <w:p w:rsidR="00EE48B5" w:rsidRDefault="00EE48B5" w:rsidP="00EE48B5">
      <w:pPr>
        <w:pStyle w:val="SingleTxtG"/>
      </w:pPr>
      <w:r>
        <w:t xml:space="preserve">1. </w:t>
      </w:r>
      <w:r>
        <w:tab/>
        <w:t xml:space="preserve">The author of the communication is Vasily Poliakov, a </w:t>
      </w:r>
      <w:smartTag w:uri="urn:schemas-microsoft-com:office:smarttags" w:element="place">
        <w:smartTag w:uri="urn:schemas-microsoft-com:office:smarttags" w:element="country-region">
          <w:r>
            <w:t>Belarus</w:t>
          </w:r>
        </w:smartTag>
      </w:smartTag>
      <w:r>
        <w:t xml:space="preserve"> national born in 1969. He claims to be a victim of violations by </w:t>
      </w:r>
      <w:smartTag w:uri="urn:schemas-microsoft-com:office:smarttags" w:element="place">
        <w:smartTag w:uri="urn:schemas-microsoft-com:office:smarttags" w:element="country-region">
          <w:r>
            <w:t>Belarus</w:t>
          </w:r>
        </w:smartTag>
      </w:smartTag>
      <w:r>
        <w:t xml:space="preserve"> of his rights under article 21</w:t>
      </w:r>
      <w:r w:rsidR="002244AB">
        <w:t xml:space="preserve"> of the International Covenant on Civil and Political Rights</w:t>
      </w:r>
      <w:r>
        <w:t xml:space="preserve"> and under article 2, paragraph 2</w:t>
      </w:r>
      <w:r w:rsidR="005A68B7">
        <w:t>,</w:t>
      </w:r>
      <w:r w:rsidR="002244AB">
        <w:t xml:space="preserve"> of the Covenant, read</w:t>
      </w:r>
      <w:r>
        <w:t xml:space="preserve"> in conjunction with article 21</w:t>
      </w:r>
      <w:r w:rsidR="002244AB">
        <w:t xml:space="preserve"> thereof</w:t>
      </w:r>
      <w:r>
        <w:t>.</w:t>
      </w:r>
      <w:r>
        <w:rPr>
          <w:vertAlign w:val="superscript"/>
        </w:rPr>
        <w:footnoteReference w:id="3"/>
      </w:r>
      <w:r>
        <w:t xml:space="preserve"> The author is unrepresented. </w:t>
      </w:r>
    </w:p>
    <w:p w:rsidR="00EE48B5" w:rsidRDefault="00EE48B5" w:rsidP="00EE48B5">
      <w:pPr>
        <w:pStyle w:val="H23G"/>
      </w:pPr>
      <w:r>
        <w:rPr>
          <w:rFonts w:eastAsia="Arial Unicode MS" w:hAnsi="Arial Unicode MS" w:cs="Arial Unicode MS"/>
        </w:rPr>
        <w:tab/>
      </w:r>
      <w:r>
        <w:rPr>
          <w:rFonts w:eastAsia="Arial Unicode MS" w:hAnsi="Arial Unicode MS" w:cs="Arial Unicode MS"/>
        </w:rPr>
        <w:tab/>
        <w:t xml:space="preserve">The facts as </w:t>
      </w:r>
      <w:r w:rsidR="002244AB">
        <w:rPr>
          <w:rFonts w:eastAsia="Arial Unicode MS" w:hAnsi="Arial Unicode MS" w:cs="Arial Unicode MS"/>
        </w:rPr>
        <w:t xml:space="preserve">submitted </w:t>
      </w:r>
      <w:r>
        <w:rPr>
          <w:rFonts w:eastAsia="Arial Unicode MS" w:hAnsi="Arial Unicode MS" w:cs="Arial Unicode MS"/>
        </w:rPr>
        <w:t>by the author</w:t>
      </w:r>
    </w:p>
    <w:p w:rsidR="00EE48B5" w:rsidRDefault="00EE48B5" w:rsidP="00EE48B5">
      <w:pPr>
        <w:pStyle w:val="SingleTxtG"/>
      </w:pPr>
      <w:r>
        <w:t>2.1</w:t>
      </w:r>
      <w:r>
        <w:tab/>
        <w:t>On 9 September 2008, the author filed an application with the Executive Committee</w:t>
      </w:r>
      <w:r w:rsidR="002244AB">
        <w:t xml:space="preserve"> of the City of </w:t>
      </w:r>
      <w:smartTag w:uri="urn:schemas-microsoft-com:office:smarttags" w:element="place">
        <w:smartTag w:uri="urn:schemas-microsoft-com:office:smarttags" w:element="City">
          <w:r w:rsidR="002244AB">
            <w:t>Gomel</w:t>
          </w:r>
        </w:smartTag>
      </w:smartTag>
      <w:r>
        <w:t xml:space="preserve"> request</w:t>
      </w:r>
      <w:r w:rsidR="002244AB">
        <w:t>ing</w:t>
      </w:r>
      <w:r>
        <w:t xml:space="preserve"> to organize a demonstration</w:t>
      </w:r>
      <w:r w:rsidR="002244AB">
        <w:t xml:space="preserve"> </w:t>
      </w:r>
      <w:r>
        <w:t>in the form of a picket</w:t>
      </w:r>
      <w:r w:rsidR="002244AB">
        <w:t xml:space="preserve"> on 18 September 2008,</w:t>
      </w:r>
      <w:r>
        <w:t xml:space="preserve"> intended to call on citizens not to participate in the 28 September 2008 parliamentary elections. He enclosed a written undertaking to organize and conduct the public demonstration, as required by law. </w:t>
      </w:r>
    </w:p>
    <w:p w:rsidR="00EE48B5" w:rsidRDefault="00EE48B5" w:rsidP="00EE48B5">
      <w:pPr>
        <w:pStyle w:val="SingleTxtG"/>
      </w:pPr>
      <w:r>
        <w:lastRenderedPageBreak/>
        <w:t xml:space="preserve">2.2 </w:t>
      </w:r>
      <w:r>
        <w:tab/>
        <w:t xml:space="preserve">On 12 September 2008, the Executive Committee issued a decision prohibiting the demonstration. On an unspecified date, the author filed an appeal against the decision before the </w:t>
      </w:r>
      <w:smartTag w:uri="urn:schemas-microsoft-com:office:smarttags" w:element="Street">
        <w:smartTag w:uri="urn:schemas-microsoft-com:office:smarttags" w:element="address">
          <w:r>
            <w:t>Central Regional Court</w:t>
          </w:r>
        </w:smartTag>
      </w:smartTag>
      <w:r>
        <w:t xml:space="preserve"> in </w:t>
      </w:r>
      <w:smartTag w:uri="urn:schemas-microsoft-com:office:smarttags" w:element="place">
        <w:smartTag w:uri="urn:schemas-microsoft-com:office:smarttags" w:element="City">
          <w:r>
            <w:t>Gomel</w:t>
          </w:r>
        </w:smartTag>
      </w:smartTag>
      <w:r>
        <w:t>, which was rejected on 15 October 2008.</w:t>
      </w:r>
      <w:r w:rsidR="002E1D46">
        <w:t xml:space="preserve"> </w:t>
      </w:r>
      <w:r>
        <w:t xml:space="preserve">At the end of October 2008, the author filed a cassation appeal </w:t>
      </w:r>
      <w:r w:rsidR="002244AB">
        <w:t xml:space="preserve">before the District Court of Gomel </w:t>
      </w:r>
      <w:r>
        <w:t>against the</w:t>
      </w:r>
      <w:r w:rsidR="002244AB">
        <w:t xml:space="preserve"> decision of the</w:t>
      </w:r>
      <w:r>
        <w:t xml:space="preserve"> </w:t>
      </w:r>
      <w:smartTag w:uri="urn:schemas-microsoft-com:office:smarttags" w:element="Street">
        <w:smartTag w:uri="urn:schemas-microsoft-com:office:smarttags" w:element="address">
          <w:r>
            <w:t>Regional Court</w:t>
          </w:r>
        </w:smartTag>
      </w:smartTag>
      <w:r>
        <w:t xml:space="preserve">. On 9 December 2008, the District Court issued a ruling </w:t>
      </w:r>
      <w:r w:rsidR="002244AB">
        <w:t>upholding</w:t>
      </w:r>
      <w:r>
        <w:t xml:space="preserve"> the </w:t>
      </w:r>
      <w:r w:rsidR="002244AB">
        <w:t xml:space="preserve">decision of the </w:t>
      </w:r>
      <w:smartTag w:uri="urn:schemas-microsoft-com:office:smarttags" w:element="Street">
        <w:smartTag w:uri="urn:schemas-microsoft-com:office:smarttags" w:element="address">
          <w:r>
            <w:t>Regional Court</w:t>
          </w:r>
        </w:smartTag>
      </w:smartTag>
      <w:r>
        <w:t xml:space="preserve"> and rejecting the author</w:t>
      </w:r>
      <w:r>
        <w:rPr>
          <w:rFonts w:ascii="Arial Unicode MS"/>
        </w:rPr>
        <w:t>’</w:t>
      </w:r>
      <w:r>
        <w:t xml:space="preserve">s appeal. The </w:t>
      </w:r>
      <w:r w:rsidR="002244AB">
        <w:t xml:space="preserve">District </w:t>
      </w:r>
      <w:r>
        <w:t xml:space="preserve">Court based its ruling exclusively on provisions of the domestic legislation, despite the fact that the appeal pointed </w:t>
      </w:r>
      <w:r w:rsidR="002244AB">
        <w:t>out</w:t>
      </w:r>
      <w:r>
        <w:t xml:space="preserve"> violations by </w:t>
      </w:r>
      <w:smartTag w:uri="urn:schemas-microsoft-com:office:smarttags" w:element="place">
        <w:smartTag w:uri="urn:schemas-microsoft-com:office:smarttags" w:element="country-region">
          <w:r>
            <w:t>Belarus</w:t>
          </w:r>
        </w:smartTag>
      </w:smartTag>
      <w:r>
        <w:t xml:space="preserve"> of its international legal obligations. The author contends that he has exhausted all available and effective domestic remedies.</w:t>
      </w:r>
    </w:p>
    <w:p w:rsidR="00EE48B5" w:rsidRDefault="00EE48B5" w:rsidP="00EE48B5">
      <w:pPr>
        <w:pStyle w:val="H23G"/>
      </w:pPr>
      <w:r>
        <w:rPr>
          <w:rFonts w:eastAsia="Arial Unicode MS" w:hAnsi="Arial Unicode MS" w:cs="Arial Unicode MS"/>
        </w:rPr>
        <w:tab/>
      </w:r>
      <w:r>
        <w:rPr>
          <w:rFonts w:eastAsia="Arial Unicode MS" w:hAnsi="Arial Unicode MS" w:cs="Arial Unicode MS"/>
        </w:rPr>
        <w:tab/>
        <w:t xml:space="preserve">The complaint </w:t>
      </w:r>
    </w:p>
    <w:p w:rsidR="00EE48B5" w:rsidRDefault="00EE48B5" w:rsidP="00EE48B5">
      <w:pPr>
        <w:pStyle w:val="SingleTxtG"/>
      </w:pPr>
      <w:r>
        <w:t>3.1</w:t>
      </w:r>
      <w:r>
        <w:tab/>
        <w:t xml:space="preserve">The author submits that article 21 of the </w:t>
      </w:r>
      <w:r w:rsidR="00FC492B">
        <w:t xml:space="preserve">International </w:t>
      </w:r>
      <w:r>
        <w:t>Covenant</w:t>
      </w:r>
      <w:r w:rsidR="00FC492B">
        <w:t xml:space="preserve"> on Civil and Political Rights</w:t>
      </w:r>
      <w:r>
        <w:t xml:space="preserve"> does not allow </w:t>
      </w:r>
      <w:r w:rsidR="00FC492B">
        <w:t>any restrictions</w:t>
      </w:r>
      <w:r>
        <w:t xml:space="preserve"> o</w:t>
      </w:r>
      <w:r w:rsidR="00FC492B">
        <w:t>n</w:t>
      </w:r>
      <w:r>
        <w:t xml:space="preserve"> the freedom of assembly</w:t>
      </w:r>
      <w:r w:rsidR="00FC492B">
        <w:t>,</w:t>
      </w:r>
      <w:r>
        <w:t xml:space="preserve"> unless </w:t>
      </w:r>
      <w:r w:rsidR="00FC492B">
        <w:t>it</w:t>
      </w:r>
      <w:r>
        <w:t xml:space="preserve"> can be justified on the grounds of national security, public order, public health or morals or limitation o</w:t>
      </w:r>
      <w:r w:rsidR="00FC492B">
        <w:t>n</w:t>
      </w:r>
      <w:r>
        <w:t xml:space="preserve"> the rights and liberties of other persons. The author</w:t>
      </w:r>
      <w:r>
        <w:rPr>
          <w:rFonts w:ascii="Arial Unicode MS"/>
        </w:rPr>
        <w:t>’</w:t>
      </w:r>
      <w:r>
        <w:t>s request to conduct a demonstration was rejected because of the following alleged reasons: the manner of conducting the demonstration was not specified in the request; and the request did not comply with point 2 of Decision No</w:t>
      </w:r>
      <w:r w:rsidR="00544C4D">
        <w:t>.</w:t>
      </w:r>
      <w:r>
        <w:t xml:space="preserve"> 299 of 2 April 2008 of the Executive Committee of</w:t>
      </w:r>
      <w:r w:rsidR="00671E84">
        <w:t xml:space="preserve"> the City of</w:t>
      </w:r>
      <w:r>
        <w:t xml:space="preserve"> Gomel (</w:t>
      </w:r>
      <w:r>
        <w:rPr>
          <w:rFonts w:ascii="Arial Unicode MS"/>
        </w:rPr>
        <w:t>“</w:t>
      </w:r>
      <w:r>
        <w:t>Regarding public gatherings in Gomel town</w:t>
      </w:r>
      <w:r>
        <w:rPr>
          <w:rFonts w:ascii="Arial Unicode MS"/>
        </w:rPr>
        <w:t>”</w:t>
      </w:r>
      <w:r>
        <w:t xml:space="preserve">), which </w:t>
      </w:r>
      <w:r w:rsidR="00671E84">
        <w:t>states</w:t>
      </w:r>
      <w:r>
        <w:t xml:space="preserve"> that public gatherings can only be organized if the organizers present written commitments from the Department of Interior of the District Administration (to ensure public order during the demonstration), the Health Department (to ensure medical care during the demonstration) and the Utilities Department (to ensure cleaning of the area where the demonstration would take place). The author maintains that none of the above grounds constitute a valid justification to </w:t>
      </w:r>
      <w:r w:rsidR="001702A4">
        <w:t xml:space="preserve">restrict </w:t>
      </w:r>
      <w:r>
        <w:t xml:space="preserve">his freedom of assembly under article 21 of the Covenant. </w:t>
      </w:r>
    </w:p>
    <w:p w:rsidR="00EE48B5" w:rsidRDefault="00EE48B5" w:rsidP="00EE48B5">
      <w:pPr>
        <w:pStyle w:val="SingleTxtG"/>
      </w:pPr>
      <w:r w:rsidRPr="00104445">
        <w:t>3.2</w:t>
      </w:r>
      <w:r w:rsidRPr="00104445">
        <w:tab/>
        <w:t>The author also submits that article 6 of the 1997 Law</w:t>
      </w:r>
      <w:r w:rsidR="001702A4" w:rsidRPr="00104445">
        <w:t>,</w:t>
      </w:r>
      <w:r w:rsidRPr="00104445">
        <w:t xml:space="preserve"> “Regarding public events in the </w:t>
      </w:r>
      <w:smartTag w:uri="urn:schemas-microsoft-com:office:smarttags" w:element="place">
        <w:smartTag w:uri="urn:schemas-microsoft-com:office:smarttags" w:element="PlaceType">
          <w:r w:rsidRPr="00104445">
            <w:t>Republic</w:t>
          </w:r>
        </w:smartTag>
        <w:r w:rsidRPr="00104445">
          <w:t xml:space="preserve"> of </w:t>
        </w:r>
        <w:smartTag w:uri="urn:schemas-microsoft-com:office:smarttags" w:element="PlaceName">
          <w:r w:rsidRPr="00104445">
            <w:t>Belarus</w:t>
          </w:r>
        </w:smartTag>
      </w:smartTag>
      <w:r w:rsidRPr="00104445">
        <w:t>”</w:t>
      </w:r>
      <w:r w:rsidR="001702A4" w:rsidRPr="00104445">
        <w:t>, allows</w:t>
      </w:r>
      <w:r w:rsidRPr="00104445">
        <w:t xml:space="preserve"> the executive authorities, </w:t>
      </w:r>
      <w:r w:rsidR="001702A4" w:rsidRPr="00104445">
        <w:t xml:space="preserve">upon </w:t>
      </w:r>
      <w:r w:rsidRPr="00104445">
        <w:t xml:space="preserve">taking into consideration public safety and normal traffic, to request </w:t>
      </w:r>
      <w:r>
        <w:t xml:space="preserve">the organizers of a public event to </w:t>
      </w:r>
      <w:r w:rsidR="001702A4">
        <w:t>change the</w:t>
      </w:r>
      <w:r>
        <w:t xml:space="preserve"> date, time or location. The author points out that the executive authorities never contacted him, </w:t>
      </w:r>
      <w:r w:rsidR="001702A4">
        <w:t>the</w:t>
      </w:r>
      <w:r>
        <w:t xml:space="preserve"> organizer, to discuss </w:t>
      </w:r>
      <w:r w:rsidR="001702A4">
        <w:t>and changes</w:t>
      </w:r>
      <w:r>
        <w:t xml:space="preserve"> or any substantive problems or procedural flaws </w:t>
      </w:r>
      <w:r w:rsidR="001702A4">
        <w:t>in</w:t>
      </w:r>
      <w:r>
        <w:t xml:space="preserve"> </w:t>
      </w:r>
      <w:r w:rsidR="001702A4">
        <w:t>his</w:t>
      </w:r>
      <w:r>
        <w:t xml:space="preserve"> request.</w:t>
      </w:r>
      <w:r w:rsidR="002E1D46">
        <w:t xml:space="preserve"> </w:t>
      </w:r>
    </w:p>
    <w:p w:rsidR="00EE48B5" w:rsidRDefault="00EE48B5" w:rsidP="00EE48B5">
      <w:pPr>
        <w:pStyle w:val="SingleTxtG"/>
      </w:pPr>
      <w:r>
        <w:t>3.3</w:t>
      </w:r>
      <w:r>
        <w:tab/>
        <w:t>The author further submits that Decision No</w:t>
      </w:r>
      <w:r w:rsidR="00544C4D">
        <w:t>.</w:t>
      </w:r>
      <w:r>
        <w:t xml:space="preserve"> 299 of 2 April 2008 of the Executive Committee creates considerable obstacles for organizers of public events, such as requiring the procurement of commitments from three separate public service </w:t>
      </w:r>
      <w:r w:rsidR="001702A4">
        <w:t>departments</w:t>
      </w:r>
      <w:r>
        <w:t xml:space="preserve"> and </w:t>
      </w:r>
      <w:r w:rsidR="001702A4">
        <w:t>allowing</w:t>
      </w:r>
      <w:r>
        <w:t xml:space="preserve"> public gatherings </w:t>
      </w:r>
      <w:r w:rsidR="001702A4">
        <w:t xml:space="preserve">to </w:t>
      </w:r>
      <w:r>
        <w:t xml:space="preserve">be organized in </w:t>
      </w:r>
      <w:r w:rsidR="001702A4">
        <w:t xml:space="preserve">only </w:t>
      </w:r>
      <w:r>
        <w:t>one specifi</w:t>
      </w:r>
      <w:r w:rsidR="001702A4">
        <w:t>c</w:t>
      </w:r>
      <w:r>
        <w:t xml:space="preserve"> location </w:t>
      </w:r>
      <w:r w:rsidR="001702A4">
        <w:t>o</w:t>
      </w:r>
      <w:r>
        <w:t xml:space="preserve">n the outskirts of </w:t>
      </w:r>
      <w:r w:rsidR="001702A4">
        <w:t xml:space="preserve">the City of </w:t>
      </w:r>
      <w:smartTag w:uri="urn:schemas-microsoft-com:office:smarttags" w:element="place">
        <w:smartTag w:uri="urn:schemas-microsoft-com:office:smarttags" w:element="City">
          <w:r>
            <w:t>Gomel</w:t>
          </w:r>
        </w:smartTag>
      </w:smartTag>
      <w:r>
        <w:t>. The author maintains that the above restrictions violate the obligations</w:t>
      </w:r>
      <w:r w:rsidR="001702A4">
        <w:t xml:space="preserve"> of the State party</w:t>
      </w:r>
      <w:r>
        <w:t xml:space="preserve"> under article 2, paragraph 2</w:t>
      </w:r>
      <w:r w:rsidR="001702A4">
        <w:t>,</w:t>
      </w:r>
      <w:r>
        <w:t xml:space="preserve"> of the Covenant, since </w:t>
      </w:r>
      <w:r w:rsidR="001702A4">
        <w:t>the State party</w:t>
      </w:r>
      <w:r>
        <w:t xml:space="preserve"> has failed to take the necessary steps to adopt such laws or other measures as may be necessary to give effect to the rights recognized in article 21 of the Covenant.</w:t>
      </w:r>
    </w:p>
    <w:p w:rsidR="00EE48B5" w:rsidRDefault="00EE48B5" w:rsidP="00EE48B5">
      <w:pPr>
        <w:pStyle w:val="H23G"/>
      </w:pPr>
      <w:r>
        <w:rPr>
          <w:rFonts w:eastAsia="Arial Unicode MS" w:hAnsi="Arial Unicode MS" w:cs="Arial Unicode MS"/>
        </w:rPr>
        <w:tab/>
      </w:r>
      <w:r>
        <w:rPr>
          <w:rFonts w:eastAsia="Arial Unicode MS" w:hAnsi="Arial Unicode MS" w:cs="Arial Unicode MS"/>
        </w:rPr>
        <w:tab/>
        <w:t>The State party</w:t>
      </w:r>
      <w:r>
        <w:rPr>
          <w:rFonts w:ascii="Arial Unicode MS" w:eastAsia="Arial Unicode MS" w:cs="Arial Unicode MS"/>
        </w:rPr>
        <w:t>’</w:t>
      </w:r>
      <w:r>
        <w:rPr>
          <w:rFonts w:eastAsia="Arial Unicode MS" w:hAnsi="Arial Unicode MS" w:cs="Arial Unicode MS"/>
        </w:rPr>
        <w:t xml:space="preserve">s observations on admissibility </w:t>
      </w:r>
    </w:p>
    <w:p w:rsidR="00EE48B5" w:rsidRDefault="00EE48B5" w:rsidP="00EE48B5">
      <w:pPr>
        <w:pStyle w:val="SingleTxtG"/>
      </w:pPr>
      <w:r>
        <w:t>4.1</w:t>
      </w:r>
      <w:r>
        <w:tab/>
        <w:t xml:space="preserve"> On 5 October 2011, the State party submit</w:t>
      </w:r>
      <w:r w:rsidR="00BC68B0">
        <w:t>ted</w:t>
      </w:r>
      <w:r>
        <w:t xml:space="preserve"> that there were no legal grounds for consider</w:t>
      </w:r>
      <w:r w:rsidR="001702A4">
        <w:t>ing</w:t>
      </w:r>
      <w:r>
        <w:t xml:space="preserve"> </w:t>
      </w:r>
      <w:r w:rsidR="001702A4">
        <w:t>either</w:t>
      </w:r>
      <w:r>
        <w:t xml:space="preserve"> </w:t>
      </w:r>
      <w:r w:rsidR="001702A4">
        <w:t xml:space="preserve">the </w:t>
      </w:r>
      <w:r>
        <w:t xml:space="preserve">admissibility </w:t>
      </w:r>
      <w:r w:rsidR="001702A4">
        <w:t xml:space="preserve">or </w:t>
      </w:r>
      <w:r>
        <w:t>the merits</w:t>
      </w:r>
      <w:r w:rsidR="001702A4">
        <w:t xml:space="preserve"> of the communication</w:t>
      </w:r>
      <w:r>
        <w:t xml:space="preserve">, since it </w:t>
      </w:r>
      <w:r w:rsidR="001702A4">
        <w:t>was</w:t>
      </w:r>
      <w:r>
        <w:t xml:space="preserve"> registered in violation of </w:t>
      </w:r>
      <w:r w:rsidRPr="005D3B33">
        <w:t>article 1</w:t>
      </w:r>
      <w:r>
        <w:t xml:space="preserve"> of the Optional Protocol. It maintains that the author ha</w:t>
      </w:r>
      <w:r w:rsidR="005D3B33">
        <w:t>s</w:t>
      </w:r>
      <w:r>
        <w:t xml:space="preserve"> not exhausted all available domestic remedies as required by article 2 of the Optional Protocol</w:t>
      </w:r>
      <w:r w:rsidR="005D3B33">
        <w:t>, as</w:t>
      </w:r>
      <w:r>
        <w:t xml:space="preserve"> he did not file </w:t>
      </w:r>
      <w:r w:rsidR="005D3B33">
        <w:t xml:space="preserve">any </w:t>
      </w:r>
      <w:r>
        <w:t>requests for supervisory review to the President of the Supreme Court,  the General Prosecutor</w:t>
      </w:r>
      <w:r>
        <w:rPr>
          <w:rFonts w:ascii="Arial Unicode MS"/>
        </w:rPr>
        <w:t>’</w:t>
      </w:r>
      <w:r>
        <w:t>s Office or the Heads of District Prosecutor</w:t>
      </w:r>
      <w:r>
        <w:rPr>
          <w:rFonts w:ascii="Arial Unicode MS"/>
        </w:rPr>
        <w:t>’</w:t>
      </w:r>
      <w:r>
        <w:t>s Offices.</w:t>
      </w:r>
    </w:p>
    <w:p w:rsidR="00EE48B5" w:rsidRDefault="00EE48B5" w:rsidP="003D48FD">
      <w:pPr>
        <w:pStyle w:val="SingleTxtG"/>
      </w:pPr>
      <w:r>
        <w:t>4.2</w:t>
      </w:r>
      <w:r>
        <w:tab/>
        <w:t>On 25 January 2012, the State party submit</w:t>
      </w:r>
      <w:r w:rsidR="00BC68B0">
        <w:t>ted</w:t>
      </w:r>
      <w:r>
        <w:t xml:space="preserve"> that, </w:t>
      </w:r>
      <w:r w:rsidR="005D3B33">
        <w:t>upon</w:t>
      </w:r>
      <w:r>
        <w:t xml:space="preserve"> becoming a State party to the Optional Protocol, it </w:t>
      </w:r>
      <w:r w:rsidR="004A684D">
        <w:t>agreed to</w:t>
      </w:r>
      <w:r w:rsidR="00BC68B0">
        <w:t xml:space="preserve"> </w:t>
      </w:r>
      <w:r>
        <w:t xml:space="preserve">recognize the competence of the Committee under article </w:t>
      </w:r>
      <w:r>
        <w:lastRenderedPageBreak/>
        <w:t xml:space="preserve">1, but that recognition of competence </w:t>
      </w:r>
      <w:r w:rsidR="00BC68B0">
        <w:t>was undertaken</w:t>
      </w:r>
      <w:r>
        <w:t xml:space="preserve"> in conjunction with other provisions of the Optional Protocol, including those that </w:t>
      </w:r>
      <w:r w:rsidR="00BC68B0">
        <w:t>established</w:t>
      </w:r>
      <w:r>
        <w:t xml:space="preserve"> criteria regarding petitioners and </w:t>
      </w:r>
      <w:r w:rsidR="00BC68B0">
        <w:t xml:space="preserve">the </w:t>
      </w:r>
      <w:r>
        <w:t xml:space="preserve">admissibility of their communications, in particular articles 2 and 5 of the Optional Protocol. </w:t>
      </w:r>
      <w:r w:rsidR="003D48FD">
        <w:t>The State party</w:t>
      </w:r>
      <w:r>
        <w:t xml:space="preserve"> maintains that</w:t>
      </w:r>
      <w:r w:rsidR="003D48FD">
        <w:t>,</w:t>
      </w:r>
      <w:r>
        <w:t xml:space="preserve"> under the Optional Protocol</w:t>
      </w:r>
      <w:r w:rsidR="00ED77DE">
        <w:t>,</w:t>
      </w:r>
      <w:r>
        <w:t xml:space="preserve"> States parties have no obligation to recogni</w:t>
      </w:r>
      <w:r w:rsidR="00070DAB">
        <w:t>ze</w:t>
      </w:r>
      <w:r>
        <w:t xml:space="preserve"> the Committee</w:t>
      </w:r>
      <w:r>
        <w:rPr>
          <w:rFonts w:ascii="Arial Unicode MS"/>
        </w:rPr>
        <w:t>’</w:t>
      </w:r>
      <w:r>
        <w:t xml:space="preserve">s rules of procedure </w:t>
      </w:r>
      <w:r w:rsidR="00ED77DE">
        <w:t xml:space="preserve">nor </w:t>
      </w:r>
      <w:r>
        <w:t xml:space="preserve">its interpretation of the </w:t>
      </w:r>
      <w:r w:rsidR="00ED77DE">
        <w:t xml:space="preserve">provisions of the </w:t>
      </w:r>
      <w:r>
        <w:t xml:space="preserve">Protocol, which </w:t>
      </w:r>
      <w:r>
        <w:rPr>
          <w:rFonts w:ascii="Arial Unicode MS"/>
        </w:rPr>
        <w:t>“</w:t>
      </w:r>
      <w:r>
        <w:t>could only be efficient when done in accordance with the Vienna Convention o</w:t>
      </w:r>
      <w:r w:rsidR="00ED77DE">
        <w:t>n</w:t>
      </w:r>
      <w:r>
        <w:t xml:space="preserve"> the Law o</w:t>
      </w:r>
      <w:r w:rsidR="00ED77DE">
        <w:t>f</w:t>
      </w:r>
      <w:r>
        <w:t xml:space="preserve"> Treaties</w:t>
      </w:r>
      <w:r>
        <w:rPr>
          <w:rFonts w:ascii="Arial Unicode MS"/>
        </w:rPr>
        <w:t>”</w:t>
      </w:r>
      <w:r>
        <w:t xml:space="preserve">. </w:t>
      </w:r>
      <w:r w:rsidRPr="003D48FD">
        <w:t>It submits that</w:t>
      </w:r>
      <w:r w:rsidR="00ED77DE" w:rsidRPr="003D48FD">
        <w:t>,</w:t>
      </w:r>
      <w:r w:rsidRPr="003D48FD">
        <w:t xml:space="preserve"> </w:t>
      </w:r>
      <w:r w:rsidRPr="003D48FD">
        <w:rPr>
          <w:rFonts w:ascii="Arial Unicode MS"/>
        </w:rPr>
        <w:t>“</w:t>
      </w:r>
      <w:r w:rsidRPr="003D48FD">
        <w:t>in relation to the complaint procedure</w:t>
      </w:r>
      <w:r w:rsidR="00ED77DE" w:rsidRPr="003D48FD">
        <w:t>,</w:t>
      </w:r>
      <w:r w:rsidRPr="003D48FD">
        <w:t xml:space="preserve"> State</w:t>
      </w:r>
      <w:r w:rsidR="00ED77DE" w:rsidRPr="003D48FD">
        <w:t>s</w:t>
      </w:r>
      <w:r w:rsidRPr="003D48FD">
        <w:t xml:space="preserve"> Parties should be guided first and foremost by the provisions of the Optional Protocol</w:t>
      </w:r>
      <w:r w:rsidR="003D48FD">
        <w:t>,</w:t>
      </w:r>
      <w:r w:rsidRPr="003D48FD">
        <w:rPr>
          <w:rFonts w:ascii="Arial Unicode MS"/>
        </w:rPr>
        <w:t>”</w:t>
      </w:r>
      <w:r w:rsidRPr="003D48FD">
        <w:rPr>
          <w:rFonts w:ascii="Arial Unicode MS"/>
        </w:rPr>
        <w:t xml:space="preserve"> </w:t>
      </w:r>
      <w:r w:rsidRPr="003D48FD">
        <w:t xml:space="preserve">and </w:t>
      </w:r>
      <w:r w:rsidRPr="003D48FD">
        <w:rPr>
          <w:rFonts w:ascii="Arial Unicode MS"/>
        </w:rPr>
        <w:t>“</w:t>
      </w:r>
      <w:r w:rsidR="00ED77DE" w:rsidRPr="003D48FD">
        <w:t>r</w:t>
      </w:r>
      <w:r w:rsidRPr="003D48FD">
        <w:t>eferences to the Committee</w:t>
      </w:r>
      <w:r w:rsidRPr="003D48FD">
        <w:rPr>
          <w:rFonts w:ascii="Arial Unicode MS"/>
        </w:rPr>
        <w:t>’</w:t>
      </w:r>
      <w:r w:rsidRPr="003D48FD">
        <w:t>s l</w:t>
      </w:r>
      <w:r>
        <w:t>ong</w:t>
      </w:r>
      <w:r w:rsidR="00ED77DE">
        <w:t>-</w:t>
      </w:r>
      <w:r>
        <w:t>standing practice, methods of work, case law are not subject of the Optional Protocol</w:t>
      </w:r>
      <w:r>
        <w:rPr>
          <w:rFonts w:ascii="Arial Unicode MS"/>
        </w:rPr>
        <w:t>”</w:t>
      </w:r>
      <w:r>
        <w:t>.</w:t>
      </w:r>
      <w:r w:rsidR="002E1D46">
        <w:t xml:space="preserve"> </w:t>
      </w:r>
      <w:r>
        <w:t xml:space="preserve">It </w:t>
      </w:r>
      <w:r w:rsidR="003D48FD">
        <w:t xml:space="preserve">also </w:t>
      </w:r>
      <w:r>
        <w:t xml:space="preserve">submits that </w:t>
      </w:r>
      <w:r>
        <w:rPr>
          <w:rFonts w:ascii="Arial Unicode MS"/>
        </w:rPr>
        <w:t>“</w:t>
      </w:r>
      <w:r>
        <w:t>any communication registered in violation of the provisions of the Optional Protocol to the Covenant on Civil and Political Rights will be viewed by the State Party as incompatible with the Protocol and will be rejected without comments on the admissibility or on the merits</w:t>
      </w:r>
      <w:r>
        <w:rPr>
          <w:rFonts w:ascii="Arial Unicode MS"/>
        </w:rPr>
        <w:t>”</w:t>
      </w:r>
      <w:r>
        <w:t xml:space="preserve">. The State party </w:t>
      </w:r>
      <w:r w:rsidR="003D48FD">
        <w:t xml:space="preserve">also </w:t>
      </w:r>
      <w:r>
        <w:t xml:space="preserve">maintains that decisions taken by the Committee on such </w:t>
      </w:r>
      <w:r>
        <w:rPr>
          <w:rFonts w:ascii="Arial Unicode MS"/>
        </w:rPr>
        <w:t>“</w:t>
      </w:r>
      <w:r>
        <w:t>declined communications</w:t>
      </w:r>
      <w:r>
        <w:rPr>
          <w:rFonts w:ascii="Arial Unicode MS"/>
        </w:rPr>
        <w:t>”</w:t>
      </w:r>
      <w:r>
        <w:rPr>
          <w:rFonts w:ascii="Arial Unicode MS"/>
        </w:rPr>
        <w:t xml:space="preserve"> </w:t>
      </w:r>
      <w:r>
        <w:t xml:space="preserve">will be considered by its authorities as </w:t>
      </w:r>
      <w:r w:rsidR="00E11149">
        <w:t>“</w:t>
      </w:r>
      <w:r>
        <w:t>invalid</w:t>
      </w:r>
      <w:r w:rsidR="00E11149">
        <w:t>”</w:t>
      </w:r>
      <w:r>
        <w:t>.</w:t>
      </w:r>
    </w:p>
    <w:p w:rsidR="00EE48B5" w:rsidRDefault="00EE48B5" w:rsidP="00EE48B5">
      <w:pPr>
        <w:pStyle w:val="H23G"/>
      </w:pPr>
      <w:r>
        <w:rPr>
          <w:rFonts w:eastAsia="Arial Unicode MS" w:hAnsi="Arial Unicode MS" w:cs="Arial Unicode MS"/>
        </w:rPr>
        <w:tab/>
      </w:r>
      <w:r>
        <w:rPr>
          <w:rFonts w:eastAsia="Arial Unicode MS" w:hAnsi="Arial Unicode MS" w:cs="Arial Unicode MS"/>
        </w:rPr>
        <w:tab/>
      </w:r>
      <w:r w:rsidR="008D155A">
        <w:rPr>
          <w:rFonts w:eastAsia="Arial Unicode MS" w:hAnsi="Arial Unicode MS" w:cs="Arial Unicode MS"/>
        </w:rPr>
        <w:t>A</w:t>
      </w:r>
      <w:r>
        <w:rPr>
          <w:rFonts w:eastAsia="Arial Unicode MS" w:hAnsi="Arial Unicode MS" w:cs="Arial Unicode MS"/>
        </w:rPr>
        <w:t>uthor</w:t>
      </w:r>
      <w:r w:rsidR="008D155A">
        <w:rPr>
          <w:rFonts w:eastAsia="Arial Unicode MS" w:hAnsi="Arial Unicode MS" w:cs="Arial Unicode MS"/>
        </w:rPr>
        <w:t>’</w:t>
      </w:r>
      <w:r w:rsidR="008D155A">
        <w:rPr>
          <w:rFonts w:eastAsia="Arial Unicode MS" w:hAnsi="Arial Unicode MS" w:cs="Arial Unicode MS"/>
        </w:rPr>
        <w:t>s comments on the State party</w:t>
      </w:r>
      <w:r w:rsidR="008D155A">
        <w:rPr>
          <w:rFonts w:eastAsia="Arial Unicode MS" w:hAnsi="Arial Unicode MS" w:cs="Arial Unicode MS"/>
        </w:rPr>
        <w:t>’</w:t>
      </w:r>
      <w:r w:rsidR="008D155A">
        <w:rPr>
          <w:rFonts w:eastAsia="Arial Unicode MS" w:hAnsi="Arial Unicode MS" w:cs="Arial Unicode MS"/>
        </w:rPr>
        <w:t>s observations</w:t>
      </w:r>
      <w:r>
        <w:rPr>
          <w:rFonts w:eastAsia="Arial Unicode MS" w:hAnsi="Arial Unicode MS" w:cs="Arial Unicode MS"/>
        </w:rPr>
        <w:t xml:space="preserve"> </w:t>
      </w:r>
    </w:p>
    <w:p w:rsidR="00EE48B5" w:rsidRDefault="00EE48B5" w:rsidP="00EE48B5">
      <w:pPr>
        <w:pStyle w:val="SingleTxtG"/>
      </w:pPr>
      <w:r>
        <w:t>5.1</w:t>
      </w:r>
      <w:r>
        <w:tab/>
      </w:r>
      <w:r w:rsidRPr="00A16D0E">
        <w:t>On 21 March 2012</w:t>
      </w:r>
      <w:r>
        <w:t>, the author submit</w:t>
      </w:r>
      <w:r w:rsidR="004A684D">
        <w:t>ted</w:t>
      </w:r>
      <w:r>
        <w:t xml:space="preserve"> that the State party </w:t>
      </w:r>
      <w:r w:rsidR="004A684D">
        <w:t>wa</w:t>
      </w:r>
      <w:r w:rsidR="008D155A">
        <w:t>s</w:t>
      </w:r>
      <w:r>
        <w:t xml:space="preserve"> challenging the Committee</w:t>
      </w:r>
      <w:r>
        <w:rPr>
          <w:rFonts w:ascii="Arial Unicode MS"/>
        </w:rPr>
        <w:t>’</w:t>
      </w:r>
      <w:r>
        <w:t xml:space="preserve">s right to develop its rules of procedure, as well as the usual practice of international bodies to develop internal regulations for their functioning. He maintains that the rules of procedure do not contradict the Covenant and are accepted by States as stemming from the competency of the Committee. </w:t>
      </w:r>
      <w:r w:rsidR="00A16D0E">
        <w:t>Furthermore, w</w:t>
      </w:r>
      <w:r>
        <w:t xml:space="preserve">ithout internal regulations international bodies would not be able to function. </w:t>
      </w:r>
    </w:p>
    <w:p w:rsidR="00EE48B5" w:rsidRDefault="00EE48B5" w:rsidP="00EE48B5">
      <w:pPr>
        <w:pStyle w:val="SingleTxtG"/>
      </w:pPr>
      <w:r>
        <w:t>5.2</w:t>
      </w:r>
      <w:r>
        <w:tab/>
        <w:t xml:space="preserve">The author further </w:t>
      </w:r>
      <w:r w:rsidR="00A16D0E">
        <w:t xml:space="preserve">submits </w:t>
      </w:r>
      <w:r>
        <w:t>that, by becoming a State party to the Optional Protocol, Belarus recogni</w:t>
      </w:r>
      <w:r w:rsidR="00A16D0E">
        <w:t>z</w:t>
      </w:r>
      <w:r>
        <w:t>ed not only the Committee</w:t>
      </w:r>
      <w:r>
        <w:rPr>
          <w:rFonts w:ascii="Arial Unicode MS"/>
        </w:rPr>
        <w:t>’</w:t>
      </w:r>
      <w:r>
        <w:t>s competence to issue decisions regarding the existence or absence of violations of the Covenant, but</w:t>
      </w:r>
      <w:r w:rsidR="00A16D0E">
        <w:t>,</w:t>
      </w:r>
      <w:r>
        <w:t xml:space="preserve"> in accordance with article 40, paragraph 4</w:t>
      </w:r>
      <w:r w:rsidR="00A16D0E">
        <w:t>,</w:t>
      </w:r>
      <w:r>
        <w:t xml:space="preserve"> of the Covenant</w:t>
      </w:r>
      <w:r w:rsidR="00A16D0E">
        <w:t xml:space="preserve">, </w:t>
      </w:r>
      <w:r>
        <w:t>also</w:t>
      </w:r>
      <w:r w:rsidR="00A16D0E">
        <w:t xml:space="preserve"> recognized</w:t>
      </w:r>
      <w:r>
        <w:t xml:space="preserve"> the </w:t>
      </w:r>
      <w:r w:rsidR="00A16D0E">
        <w:t xml:space="preserve">Committee’s </w:t>
      </w:r>
      <w:r>
        <w:t xml:space="preserve">competence to transmit to States parties its reports and general comments </w:t>
      </w:r>
      <w:r w:rsidR="00A16D0E">
        <w:t xml:space="preserve">that </w:t>
      </w:r>
      <w:r>
        <w:t>it consider</w:t>
      </w:r>
      <w:r w:rsidR="00A16D0E">
        <w:t>s</w:t>
      </w:r>
      <w:r>
        <w:t xml:space="preserve"> appropriate. Under article 2</w:t>
      </w:r>
      <w:r w:rsidR="00A16D0E">
        <w:t xml:space="preserve"> (a)</w:t>
      </w:r>
      <w:r>
        <w:t xml:space="preserve"> of the Covenant</w:t>
      </w:r>
      <w:r w:rsidR="00A16D0E">
        <w:t>,</w:t>
      </w:r>
      <w:r>
        <w:t xml:space="preserve"> the State party is also obliged to ensure that any person within its territory and subject to its jurisdiction has an effective remedy</w:t>
      </w:r>
      <w:r w:rsidR="00A16D0E">
        <w:t xml:space="preserve"> if his or her rights under the Covenant are violated</w:t>
      </w:r>
      <w:r>
        <w:t>. By accepting the competence of the Committee to de</w:t>
      </w:r>
      <w:r w:rsidR="00A502AF">
        <w:t>termine</w:t>
      </w:r>
      <w:r w:rsidR="00A16D0E">
        <w:t>,</w:t>
      </w:r>
      <w:r>
        <w:t xml:space="preserve"> in concrete cases</w:t>
      </w:r>
      <w:r w:rsidR="00A16D0E">
        <w:t>,</w:t>
      </w:r>
      <w:r>
        <w:t xml:space="preserve"> the effectiveness of a particular domestic remedy, the State party also undertook to take into consideration the </w:t>
      </w:r>
      <w:r w:rsidR="00A502AF">
        <w:t xml:space="preserve">Committee’s </w:t>
      </w:r>
      <w:r>
        <w:t>general comments. The role of the Committee ultimately includes interpretation of the provisions of the Covenant and development of jurisprudence. By refusing to recogni</w:t>
      </w:r>
      <w:r w:rsidR="00A502AF">
        <w:t>z</w:t>
      </w:r>
      <w:r>
        <w:t xml:space="preserve">e the standard practices, methods of work and precedents of the Committee, </w:t>
      </w:r>
      <w:smartTag w:uri="urn:schemas-microsoft-com:office:smarttags" w:element="place">
        <w:smartTag w:uri="urn:schemas-microsoft-com:office:smarttags" w:element="country-region">
          <w:r>
            <w:t>Belarus</w:t>
          </w:r>
        </w:smartTag>
      </w:smartTag>
      <w:r>
        <w:t xml:space="preserve"> </w:t>
      </w:r>
      <w:r w:rsidR="00A502AF">
        <w:t xml:space="preserve">in effect </w:t>
      </w:r>
      <w:r>
        <w:t>refuses to recogni</w:t>
      </w:r>
      <w:r w:rsidR="00A502AF">
        <w:t>z</w:t>
      </w:r>
      <w:r>
        <w:t xml:space="preserve">e its competence to interpret the Covenant, which contradicts </w:t>
      </w:r>
      <w:r w:rsidR="00A502AF">
        <w:t>the Committee’s</w:t>
      </w:r>
      <w:r>
        <w:t xml:space="preserve"> objective and goals.</w:t>
      </w:r>
    </w:p>
    <w:p w:rsidR="00EE48B5" w:rsidRDefault="00EE48B5" w:rsidP="00EE48B5">
      <w:pPr>
        <w:pStyle w:val="SingleTxtG"/>
      </w:pPr>
      <w:r>
        <w:t>5.3</w:t>
      </w:r>
      <w:r>
        <w:tab/>
        <w:t>The author submits that, having voluntarily accepted the jurisdiction of the Committee, the State party has no right to infringe on its competenc</w:t>
      </w:r>
      <w:r w:rsidR="00A502AF">
        <w:t>e</w:t>
      </w:r>
      <w:r>
        <w:t xml:space="preserve"> and ignore its opinion.</w:t>
      </w:r>
      <w:r>
        <w:rPr>
          <w:vertAlign w:val="superscript"/>
        </w:rPr>
        <w:footnoteReference w:id="4"/>
      </w:r>
      <w:r>
        <w:t xml:space="preserve"> The State party is not only obliged to implement the decisions of the Committee, but it is </w:t>
      </w:r>
      <w:r w:rsidR="00A502AF">
        <w:t xml:space="preserve">also </w:t>
      </w:r>
      <w:r>
        <w:t>obliged to recogni</w:t>
      </w:r>
      <w:r w:rsidR="00A502AF">
        <w:t>z</w:t>
      </w:r>
      <w:r>
        <w:t>e its standards, practice</w:t>
      </w:r>
      <w:r w:rsidR="00A502AF">
        <w:t>s</w:t>
      </w:r>
      <w:r>
        <w:t xml:space="preserve">, methods of work and precedents. The above </w:t>
      </w:r>
      <w:r w:rsidR="00A502AF">
        <w:t xml:space="preserve">argument </w:t>
      </w:r>
      <w:r>
        <w:t>is based on the most important principle of international law</w:t>
      </w:r>
      <w:r w:rsidR="00E95E31">
        <w:t xml:space="preserve"> —</w:t>
      </w:r>
      <w:r>
        <w:t xml:space="preserve"> </w:t>
      </w:r>
      <w:r>
        <w:rPr>
          <w:i/>
          <w:iCs/>
        </w:rPr>
        <w:t>pacta sunt servanda</w:t>
      </w:r>
      <w:r w:rsidR="00E95E31">
        <w:t xml:space="preserve"> —,</w:t>
      </w:r>
      <w:r>
        <w:t xml:space="preserve"> according to which every </w:t>
      </w:r>
      <w:hyperlink r:id="rId9" w:history="1">
        <w:r>
          <w:rPr>
            <w:rStyle w:val="Hyperlink0"/>
          </w:rPr>
          <w:t>treaty</w:t>
        </w:r>
      </w:hyperlink>
      <w:r>
        <w:t xml:space="preserve"> in force is binding upon the parties to it and must be performed by them in </w:t>
      </w:r>
      <w:hyperlink r:id="rId10" w:history="1">
        <w:r>
          <w:rPr>
            <w:rStyle w:val="Hyperlink0"/>
          </w:rPr>
          <w:t>good faith</w:t>
        </w:r>
      </w:hyperlink>
      <w:r>
        <w:t>.</w:t>
      </w:r>
    </w:p>
    <w:p w:rsidR="00EE48B5" w:rsidRDefault="00EE48B5" w:rsidP="00EE48B5">
      <w:pPr>
        <w:pStyle w:val="SingleTxtG"/>
      </w:pPr>
      <w:r>
        <w:lastRenderedPageBreak/>
        <w:t>5.4</w:t>
      </w:r>
      <w:r>
        <w:tab/>
        <w:t>Regarding the argument that he ha</w:t>
      </w:r>
      <w:r w:rsidR="00E95E31">
        <w:t>s not</w:t>
      </w:r>
      <w:r>
        <w:t xml:space="preserve"> exhaust</w:t>
      </w:r>
      <w:r w:rsidR="00E95E31">
        <w:t>ed all</w:t>
      </w:r>
      <w:r>
        <w:t xml:space="preserve"> domestic remedies, the author submits that such remedies should be available and efficient and that</w:t>
      </w:r>
      <w:r w:rsidR="00E95E31">
        <w:t>,</w:t>
      </w:r>
      <w:r>
        <w:t xml:space="preserve"> according to the Committee</w:t>
      </w:r>
      <w:r>
        <w:rPr>
          <w:rFonts w:ascii="Arial Unicode MS"/>
        </w:rPr>
        <w:t>’</w:t>
      </w:r>
      <w:r>
        <w:t>s practice</w:t>
      </w:r>
      <w:r w:rsidR="00E95E31">
        <w:t>,</w:t>
      </w:r>
      <w:r>
        <w:t xml:space="preserve"> an efficient remedy is one that provide</w:t>
      </w:r>
      <w:r w:rsidR="00E95E31">
        <w:t>s</w:t>
      </w:r>
      <w:r>
        <w:t xml:space="preserve"> compensation and offer</w:t>
      </w:r>
      <w:r w:rsidR="00E95E31">
        <w:t>s</w:t>
      </w:r>
      <w:r>
        <w:t xml:space="preserve"> a reasonable prospect of redress. The author refers to the Committee</w:t>
      </w:r>
      <w:r>
        <w:rPr>
          <w:rFonts w:ascii="Arial Unicode MS"/>
        </w:rPr>
        <w:t>’</w:t>
      </w:r>
      <w:r>
        <w:t xml:space="preserve">s consistent jurisprudence that supervisory review is a discretionary review process common in former Soviet </w:t>
      </w:r>
      <w:r w:rsidR="00E95E31">
        <w:t>r</w:t>
      </w:r>
      <w:r>
        <w:t xml:space="preserve">epublics, which </w:t>
      </w:r>
      <w:r w:rsidR="00E95E31">
        <w:t xml:space="preserve">does </w:t>
      </w:r>
      <w:r>
        <w:t xml:space="preserve">not constitute an effective remedy for the purposes of exhaustion of domestic remedies. </w:t>
      </w:r>
      <w:r w:rsidR="00E95E31">
        <w:t xml:space="preserve">The author </w:t>
      </w:r>
      <w:r>
        <w:t xml:space="preserve">further maintains that the European Court </w:t>
      </w:r>
      <w:r w:rsidR="00EF3AE6">
        <w:t xml:space="preserve">of </w:t>
      </w:r>
      <w:r>
        <w:t>Human Rights employs a similar standard.</w:t>
      </w:r>
      <w:r>
        <w:rPr>
          <w:vertAlign w:val="superscript"/>
        </w:rPr>
        <w:footnoteReference w:id="5"/>
      </w:r>
      <w:r>
        <w:t xml:space="preserve"> He also maintains that the ineffectiveness of the above</w:t>
      </w:r>
      <w:r w:rsidR="00EF3AE6">
        <w:t>-mentioned</w:t>
      </w:r>
      <w:r>
        <w:t xml:space="preserve"> remedy </w:t>
      </w:r>
      <w:r w:rsidR="00EF3AE6">
        <w:t>wa</w:t>
      </w:r>
      <w:r>
        <w:t xml:space="preserve">s confirmed </w:t>
      </w:r>
      <w:r w:rsidR="00EF3AE6">
        <w:t>in</w:t>
      </w:r>
      <w:r>
        <w:t xml:space="preserve"> the recent case of Vladislav Kovalev, who was executed while the Supreme Court was conducting a supervisory review o</w:t>
      </w:r>
      <w:r w:rsidR="00EF3AE6">
        <w:t>f</w:t>
      </w:r>
      <w:r>
        <w:t xml:space="preserve"> his case.</w:t>
      </w:r>
    </w:p>
    <w:p w:rsidR="00EE48B5" w:rsidRDefault="00EE48B5" w:rsidP="00EE48B5">
      <w:pPr>
        <w:pStyle w:val="H23G"/>
      </w:pPr>
      <w:r>
        <w:rPr>
          <w:rFonts w:eastAsia="Arial Unicode MS" w:hAnsi="Arial Unicode MS" w:cs="Arial Unicode MS"/>
        </w:rPr>
        <w:tab/>
      </w:r>
      <w:r>
        <w:rPr>
          <w:rFonts w:eastAsia="Arial Unicode MS" w:hAnsi="Arial Unicode MS" w:cs="Arial Unicode MS"/>
        </w:rPr>
        <w:tab/>
        <w:t>Issues and proceedings before the Committee</w:t>
      </w:r>
    </w:p>
    <w:p w:rsidR="00EE48B5" w:rsidRDefault="00EE48B5" w:rsidP="00EE48B5">
      <w:pPr>
        <w:pStyle w:val="H4G"/>
      </w:pPr>
      <w:r>
        <w:rPr>
          <w:rFonts w:eastAsia="Arial Unicode MS" w:hAnsi="Arial Unicode MS" w:cs="Arial Unicode MS"/>
        </w:rPr>
        <w:tab/>
      </w:r>
      <w:r>
        <w:rPr>
          <w:rFonts w:eastAsia="Arial Unicode MS" w:hAnsi="Arial Unicode MS" w:cs="Arial Unicode MS"/>
        </w:rPr>
        <w:tab/>
        <w:t>The State party</w:t>
      </w:r>
      <w:r>
        <w:rPr>
          <w:rFonts w:ascii="Arial Unicode MS" w:eastAsia="Arial Unicode MS" w:cs="Arial Unicode MS"/>
        </w:rPr>
        <w:t>’</w:t>
      </w:r>
      <w:r>
        <w:rPr>
          <w:rFonts w:eastAsia="Arial Unicode MS" w:hAnsi="Arial Unicode MS" w:cs="Arial Unicode MS"/>
        </w:rPr>
        <w:t xml:space="preserve">s </w:t>
      </w:r>
      <w:r w:rsidR="0059677E">
        <w:rPr>
          <w:rFonts w:eastAsia="Arial Unicode MS" w:hAnsi="Arial Unicode MS" w:cs="Arial Unicode MS"/>
        </w:rPr>
        <w:t>lack of cooperation</w:t>
      </w:r>
      <w:r>
        <w:rPr>
          <w:rFonts w:eastAsia="Arial Unicode MS" w:hAnsi="Arial Unicode MS" w:cs="Arial Unicode MS"/>
        </w:rPr>
        <w:t xml:space="preserve"> </w:t>
      </w:r>
    </w:p>
    <w:p w:rsidR="00EE48B5" w:rsidRDefault="00EE48B5" w:rsidP="00EE48B5">
      <w:pPr>
        <w:pStyle w:val="SingleTxtG"/>
      </w:pPr>
      <w:r>
        <w:t>6.1</w:t>
      </w:r>
      <w:r>
        <w:tab/>
        <w:t>The Committee notes the State party</w:t>
      </w:r>
      <w:r>
        <w:rPr>
          <w:rFonts w:ascii="Arial Unicode MS"/>
        </w:rPr>
        <w:t>’</w:t>
      </w:r>
      <w:r>
        <w:t xml:space="preserve">s </w:t>
      </w:r>
      <w:r w:rsidR="00070DAB">
        <w:t xml:space="preserve">assertion </w:t>
      </w:r>
      <w:r>
        <w:t>that there are no legal grounds for consider</w:t>
      </w:r>
      <w:r w:rsidR="00EF3AE6">
        <w:t>ing</w:t>
      </w:r>
      <w:r>
        <w:t xml:space="preserve"> the author</w:t>
      </w:r>
      <w:r>
        <w:rPr>
          <w:rFonts w:ascii="Arial Unicode MS"/>
        </w:rPr>
        <w:t>’</w:t>
      </w:r>
      <w:r>
        <w:t xml:space="preserve">s communication insofar as it </w:t>
      </w:r>
      <w:r w:rsidR="00EF3AE6">
        <w:t>was</w:t>
      </w:r>
      <w:r>
        <w:t xml:space="preserve"> registered in violation of article 1 of the Optional Protocol</w:t>
      </w:r>
      <w:r w:rsidR="00070DAB">
        <w:t xml:space="preserve"> and</w:t>
      </w:r>
      <w:r>
        <w:t xml:space="preserve"> because the author failed to exhaust the domestic remedies; that it has no obligation to recognize the Committee</w:t>
      </w:r>
      <w:r>
        <w:rPr>
          <w:rFonts w:ascii="Arial Unicode MS"/>
        </w:rPr>
        <w:t>’</w:t>
      </w:r>
      <w:r>
        <w:t xml:space="preserve">s rules of procedure </w:t>
      </w:r>
      <w:r w:rsidR="00070DAB">
        <w:t>nor</w:t>
      </w:r>
      <w:r>
        <w:t xml:space="preserve"> its interpretation of the provisions</w:t>
      </w:r>
      <w:r w:rsidR="00EF3AE6">
        <w:t xml:space="preserve"> of the Protocol</w:t>
      </w:r>
      <w:r>
        <w:t xml:space="preserve">; and that decisions taken by the Committee on the </w:t>
      </w:r>
      <w:r w:rsidR="00E11149">
        <w:t>present</w:t>
      </w:r>
      <w:r>
        <w:t xml:space="preserve"> communication will be considered as </w:t>
      </w:r>
      <w:r>
        <w:rPr>
          <w:rFonts w:ascii="Arial Unicode MS"/>
        </w:rPr>
        <w:t>“</w:t>
      </w:r>
      <w:r>
        <w:t>invalid</w:t>
      </w:r>
      <w:r>
        <w:rPr>
          <w:rFonts w:ascii="Arial Unicode MS"/>
        </w:rPr>
        <w:t>”</w:t>
      </w:r>
      <w:r>
        <w:t xml:space="preserve">. </w:t>
      </w:r>
    </w:p>
    <w:p w:rsidR="00EE48B5" w:rsidRDefault="00EE48B5" w:rsidP="00EE48B5">
      <w:pPr>
        <w:pStyle w:val="SingleTxtG"/>
      </w:pPr>
      <w:r>
        <w:t>6.2</w:t>
      </w:r>
      <w:r>
        <w:tab/>
        <w:t xml:space="preserve">The Committee recalls that </w:t>
      </w:r>
      <w:r w:rsidR="00E11149">
        <w:t xml:space="preserve">under </w:t>
      </w:r>
      <w:r>
        <w:t>article 39, paragraph 2, of the International Covenant on Civil and Political Rights</w:t>
      </w:r>
      <w:r w:rsidR="00E11149">
        <w:t xml:space="preserve">, it has the </w:t>
      </w:r>
      <w:r>
        <w:t>authori</w:t>
      </w:r>
      <w:r w:rsidR="00E11149">
        <w:t>ty</w:t>
      </w:r>
      <w:r>
        <w:t xml:space="preserve"> to establish its own rules of procedure, which States parties have agreed to recognize. The Committee further observes that</w:t>
      </w:r>
      <w:r w:rsidR="001E05E9">
        <w:t>,</w:t>
      </w:r>
      <w:r>
        <w:t xml:space="preserve"> by adhering to the Optional Protocol, a State party recognizes the competence of the Human Rights Committee to receive and consider communications from individuals claiming to be victims of violation</w:t>
      </w:r>
      <w:r w:rsidR="00E11149">
        <w:t>s</w:t>
      </w:r>
      <w:r>
        <w:t xml:space="preserve"> of any of the rights set forth in the Covenant (</w:t>
      </w:r>
      <w:r w:rsidR="001E05E9">
        <w:t>p</w:t>
      </w:r>
      <w:r>
        <w:t xml:space="preserve">reamble and </w:t>
      </w:r>
      <w:r w:rsidR="00940F4D">
        <w:t>art</w:t>
      </w:r>
      <w:r w:rsidR="001E05E9">
        <w:t>.</w:t>
      </w:r>
      <w:r w:rsidR="00940F4D">
        <w:t xml:space="preserve"> 1). Implicit in a State’</w:t>
      </w:r>
      <w:r>
        <w:t xml:space="preserve">s adherence to the </w:t>
      </w:r>
      <w:r w:rsidR="00E11149">
        <w:t xml:space="preserve">Optional </w:t>
      </w:r>
      <w:r>
        <w:t xml:space="preserve">Protocol is </w:t>
      </w:r>
      <w:r w:rsidR="001E05E9">
        <w:t>the</w:t>
      </w:r>
      <w:r>
        <w:t xml:space="preserve"> undertaking to cooperate with the Committee in good faith so as to permit and enable it to consider such communications, and after examination</w:t>
      </w:r>
      <w:r w:rsidR="00E11149">
        <w:t xml:space="preserve"> thereof</w:t>
      </w:r>
      <w:r w:rsidR="001E05E9">
        <w:t>,</w:t>
      </w:r>
      <w:r>
        <w:t xml:space="preserve"> to forward its </w:t>
      </w:r>
      <w:r w:rsidR="001E05E9">
        <w:t>v</w:t>
      </w:r>
      <w:r>
        <w:t>iews to the State party</w:t>
      </w:r>
      <w:r w:rsidR="001E05E9">
        <w:t xml:space="preserve"> concerned</w:t>
      </w:r>
      <w:r>
        <w:t xml:space="preserve"> and to the individual (art</w:t>
      </w:r>
      <w:r w:rsidR="00E11149">
        <w:t>.</w:t>
      </w:r>
      <w:r>
        <w:t xml:space="preserve"> 5, paras</w:t>
      </w:r>
      <w:r w:rsidR="001E05E9">
        <w:t>.</w:t>
      </w:r>
      <w:r>
        <w:t xml:space="preserve"> 1 and 4). </w:t>
      </w:r>
      <w:r w:rsidR="001E05E9">
        <w:t>T</w:t>
      </w:r>
      <w:r>
        <w:t>ak</w:t>
      </w:r>
      <w:r w:rsidR="001E05E9">
        <w:t>ing</w:t>
      </w:r>
      <w:r>
        <w:t xml:space="preserve"> any action that would prevent or frustrate the Committee in its consideration and examination of a communication and in the expression of its </w:t>
      </w:r>
      <w:r w:rsidR="001E05E9">
        <w:t>v</w:t>
      </w:r>
      <w:r>
        <w:t>iews</w:t>
      </w:r>
      <w:r w:rsidR="001E05E9">
        <w:t xml:space="preserve"> would be incompatible with the obligations of the State party</w:t>
      </w:r>
      <w:r>
        <w:t>.</w:t>
      </w:r>
      <w:r>
        <w:rPr>
          <w:vertAlign w:val="superscript"/>
        </w:rPr>
        <w:footnoteReference w:id="6"/>
      </w:r>
      <w:r>
        <w:t xml:space="preserve"> It is up to the Committee to determine whether a </w:t>
      </w:r>
      <w:r w:rsidR="00CA207A">
        <w:t>communication</w:t>
      </w:r>
      <w:r>
        <w:t xml:space="preserve"> should be registered</w:t>
      </w:r>
      <w:r w:rsidR="000447AD">
        <w:t xml:space="preserve">. </w:t>
      </w:r>
      <w:r w:rsidR="00CA207A">
        <w:t>B</w:t>
      </w:r>
      <w:r>
        <w:t>y failing to accept the competence of the Committee to determine whether a communication should be registered and by declaring outright that it will not accept the Committee</w:t>
      </w:r>
      <w:r>
        <w:rPr>
          <w:rFonts w:ascii="Arial Unicode MS"/>
        </w:rPr>
        <w:t>’</w:t>
      </w:r>
      <w:r>
        <w:t>s determination o</w:t>
      </w:r>
      <w:r w:rsidR="00CA207A">
        <w:t>n the</w:t>
      </w:r>
      <w:r>
        <w:t xml:space="preserve"> admissibility </w:t>
      </w:r>
      <w:r w:rsidR="00CA207A">
        <w:t>or</w:t>
      </w:r>
      <w:r>
        <w:t xml:space="preserve"> the merits of the communication, the State party </w:t>
      </w:r>
      <w:r w:rsidR="003E6D43">
        <w:t>is</w:t>
      </w:r>
      <w:r>
        <w:t xml:space="preserve"> violat</w:t>
      </w:r>
      <w:r w:rsidR="003E6D43">
        <w:t>ing</w:t>
      </w:r>
      <w:r>
        <w:t xml:space="preserve"> its obligations under article 1 of the Optional Protocol to the International Covenant</w:t>
      </w:r>
      <w:r w:rsidR="00080A32">
        <w:t xml:space="preserve"> on Civil and Political Rights.</w:t>
      </w:r>
      <w:r>
        <w:rPr>
          <w:vertAlign w:val="superscript"/>
        </w:rPr>
        <w:footnoteReference w:id="7"/>
      </w:r>
    </w:p>
    <w:p w:rsidR="00EE48B5" w:rsidRDefault="00EE48B5" w:rsidP="00EE48B5">
      <w:pPr>
        <w:pStyle w:val="H4G"/>
      </w:pPr>
      <w:r>
        <w:rPr>
          <w:rFonts w:eastAsia="Arial Unicode MS" w:hAnsi="Arial Unicode MS" w:cs="Arial Unicode MS"/>
        </w:rPr>
        <w:lastRenderedPageBreak/>
        <w:tab/>
      </w:r>
      <w:r>
        <w:rPr>
          <w:rFonts w:eastAsia="Arial Unicode MS" w:hAnsi="Arial Unicode MS" w:cs="Arial Unicode MS"/>
        </w:rPr>
        <w:tab/>
        <w:t>Consideration of admissibility</w:t>
      </w:r>
    </w:p>
    <w:p w:rsidR="00EE48B5" w:rsidRDefault="00EE48B5" w:rsidP="00EE48B5">
      <w:pPr>
        <w:pStyle w:val="SingleTxtG"/>
      </w:pPr>
      <w:r>
        <w:t>7.1</w:t>
      </w:r>
      <w:r>
        <w:tab/>
        <w:t xml:space="preserve">Before considering any claim contained in a communication, the Human Rights Committee must, in accordance with rule 93 of its rules of procedure, decide whether or not the case is admissible under the Optional Protocol to the Covenant. </w:t>
      </w:r>
    </w:p>
    <w:p w:rsidR="00EE48B5" w:rsidRDefault="00EE48B5" w:rsidP="00EE48B5">
      <w:pPr>
        <w:pStyle w:val="SingleTxtG"/>
      </w:pPr>
      <w:r>
        <w:t>7.2</w:t>
      </w:r>
      <w:r>
        <w:tab/>
        <w:t>The Committee has ascertained, as required under article 5, paragraph 2 (a), of the Optional Protocol, that the same matter is not being examined under another procedure of international investigation or settlement.</w:t>
      </w:r>
    </w:p>
    <w:p w:rsidR="00080A32" w:rsidRDefault="00EE48B5" w:rsidP="00080A32">
      <w:pPr>
        <w:pStyle w:val="SingleTxtG"/>
      </w:pPr>
      <w:r>
        <w:t>7.3</w:t>
      </w:r>
      <w:r>
        <w:tab/>
        <w:t>The Committee note</w:t>
      </w:r>
      <w:r w:rsidR="000447AD">
        <w:t>s</w:t>
      </w:r>
      <w:r>
        <w:t xml:space="preserve"> the State party</w:t>
      </w:r>
      <w:r>
        <w:rPr>
          <w:rFonts w:ascii="Arial Unicode MS"/>
        </w:rPr>
        <w:t>’</w:t>
      </w:r>
      <w:r>
        <w:t>s challenge to the admissibility of the communication on the ground</w:t>
      </w:r>
      <w:r w:rsidR="000447AD">
        <w:t>s</w:t>
      </w:r>
      <w:r>
        <w:t xml:space="preserve"> of non-exhaustion of domestic remedies, namely the author</w:t>
      </w:r>
      <w:r>
        <w:rPr>
          <w:rFonts w:ascii="Arial Unicode MS"/>
        </w:rPr>
        <w:t>’</w:t>
      </w:r>
      <w:r>
        <w:t>s failure to petition the President of the Supreme Court</w:t>
      </w:r>
      <w:r w:rsidR="000447AD">
        <w:t>,</w:t>
      </w:r>
      <w:r>
        <w:t xml:space="preserve"> the General Prosecutor</w:t>
      </w:r>
      <w:r>
        <w:rPr>
          <w:rFonts w:ascii="Arial Unicode MS"/>
        </w:rPr>
        <w:t>’</w:t>
      </w:r>
      <w:r>
        <w:t xml:space="preserve">s Office or </w:t>
      </w:r>
      <w:r w:rsidR="000447AD">
        <w:t xml:space="preserve">the </w:t>
      </w:r>
      <w:r>
        <w:t>Heads of District Prosecutor</w:t>
      </w:r>
      <w:r>
        <w:rPr>
          <w:rFonts w:ascii="Arial Unicode MS"/>
        </w:rPr>
        <w:t>’</w:t>
      </w:r>
      <w:r>
        <w:t>s Offices for supervisory review of the decisions</w:t>
      </w:r>
      <w:r w:rsidR="000447AD">
        <w:t xml:space="preserve"> handed down by the courts</w:t>
      </w:r>
      <w:r w:rsidR="0067699D">
        <w:t xml:space="preserve"> which </w:t>
      </w:r>
      <w:r>
        <w:t>prohibit</w:t>
      </w:r>
      <w:r w:rsidR="0067699D">
        <w:t>ed</w:t>
      </w:r>
      <w:r>
        <w:t xml:space="preserve"> his demonstration. </w:t>
      </w:r>
      <w:r w:rsidR="0059677E" w:rsidRPr="00DC128E">
        <w:t>The Committee recalls its jurisprudence</w:t>
      </w:r>
      <w:r w:rsidR="000447AD">
        <w:t>,</w:t>
      </w:r>
      <w:r w:rsidR="00671147">
        <w:t xml:space="preserve"> </w:t>
      </w:r>
      <w:r w:rsidR="0059677E" w:rsidRPr="00DC128E">
        <w:t>according to which a petition for supervisory review to a Prosecutor</w:t>
      </w:r>
      <w:r w:rsidR="00940F4D">
        <w:t>’</w:t>
      </w:r>
      <w:r w:rsidR="0059677E" w:rsidRPr="00DC128E">
        <w:t xml:space="preserve">s Office against a judgment having the force of res judicata does not constitute an effective </w:t>
      </w:r>
      <w:r w:rsidR="0067699D">
        <w:t xml:space="preserve">domestic </w:t>
      </w:r>
      <w:r w:rsidR="0059677E" w:rsidRPr="00DC128E">
        <w:t xml:space="preserve">remedy which </w:t>
      </w:r>
      <w:r w:rsidR="0067699D">
        <w:t>must</w:t>
      </w:r>
      <w:r w:rsidR="0059677E" w:rsidRPr="00DC128E">
        <w:t xml:space="preserve"> be exhausted for the purposes of article 5, paragraph 2 (b), of the Optional Protocol. </w:t>
      </w:r>
      <w:r w:rsidR="0067699D">
        <w:t>The Committee</w:t>
      </w:r>
      <w:r w:rsidR="0059677E" w:rsidRPr="00DC128E">
        <w:t xml:space="preserve"> also considers that filing </w:t>
      </w:r>
      <w:r w:rsidR="0067699D">
        <w:t xml:space="preserve">a </w:t>
      </w:r>
      <w:r w:rsidR="0059677E" w:rsidRPr="00DC128E">
        <w:t xml:space="preserve">request for supervisory review to the </w:t>
      </w:r>
      <w:r w:rsidR="0067699D">
        <w:t>P</w:t>
      </w:r>
      <w:r w:rsidR="0059677E" w:rsidRPr="00DC128E">
        <w:t xml:space="preserve">resident of a court </w:t>
      </w:r>
      <w:r w:rsidR="0067699D">
        <w:t xml:space="preserve">with regard to </w:t>
      </w:r>
      <w:r w:rsidR="00671147">
        <w:t xml:space="preserve">a </w:t>
      </w:r>
      <w:r w:rsidR="0059677E" w:rsidRPr="00DC128E">
        <w:t xml:space="preserve">court decision </w:t>
      </w:r>
      <w:r w:rsidR="0067699D">
        <w:t>that</w:t>
      </w:r>
      <w:r w:rsidR="0059677E" w:rsidRPr="00DC128E">
        <w:t xml:space="preserve"> ha</w:t>
      </w:r>
      <w:r w:rsidR="00671147">
        <w:t>s</w:t>
      </w:r>
      <w:r w:rsidR="0059677E" w:rsidRPr="00DC128E">
        <w:t xml:space="preserve"> entered into force</w:t>
      </w:r>
      <w:r w:rsidR="0067699D">
        <w:t xml:space="preserve"> </w:t>
      </w:r>
      <w:r w:rsidR="0059677E" w:rsidRPr="00DC128E">
        <w:t>cons</w:t>
      </w:r>
      <w:r w:rsidR="0059677E">
        <w:t>titute</w:t>
      </w:r>
      <w:r w:rsidR="0067699D">
        <w:t>s</w:t>
      </w:r>
      <w:r w:rsidR="0059677E">
        <w:t xml:space="preserve"> an extraordinary remedy</w:t>
      </w:r>
      <w:r w:rsidR="00671147">
        <w:t>,</w:t>
      </w:r>
      <w:r w:rsidR="0059677E">
        <w:t xml:space="preserve"> </w:t>
      </w:r>
      <w:r w:rsidR="00671147">
        <w:t xml:space="preserve">which would </w:t>
      </w:r>
      <w:r w:rsidR="00671147" w:rsidRPr="00DC128E">
        <w:t>depend on the discretionary power</w:t>
      </w:r>
      <w:r w:rsidR="00671147">
        <w:t>s</w:t>
      </w:r>
      <w:r w:rsidR="00671147" w:rsidRPr="00DC128E">
        <w:t xml:space="preserve"> of a judge</w:t>
      </w:r>
      <w:r w:rsidR="00480B3D">
        <w:t>,</w:t>
      </w:r>
      <w:r w:rsidR="00671147" w:rsidRPr="00DC128E">
        <w:t xml:space="preserve"> </w:t>
      </w:r>
      <w:r w:rsidR="0059677E" w:rsidRPr="00DC128E">
        <w:t xml:space="preserve">and the State party </w:t>
      </w:r>
      <w:r w:rsidR="0067699D">
        <w:t>would have to</w:t>
      </w:r>
      <w:r w:rsidR="0059677E" w:rsidRPr="00DC128E">
        <w:t xml:space="preserve"> show that there is a reasonable prospect that such request would </w:t>
      </w:r>
      <w:r w:rsidR="0067699D">
        <w:t>result in</w:t>
      </w:r>
      <w:r w:rsidR="0059677E" w:rsidRPr="00DC128E">
        <w:t xml:space="preserve"> an effective remedy in the circumstances of the case.</w:t>
      </w:r>
      <w:r w:rsidR="0059677E" w:rsidRPr="0067699D">
        <w:rPr>
          <w:rStyle w:val="FootnoteReference"/>
        </w:rPr>
        <w:footnoteReference w:id="8"/>
      </w:r>
      <w:r w:rsidR="0059677E" w:rsidRPr="00DC128E">
        <w:t xml:space="preserve"> </w:t>
      </w:r>
      <w:r w:rsidR="00321DE0">
        <w:t>However, t</w:t>
      </w:r>
      <w:r w:rsidR="0059677E" w:rsidRPr="00DC128E">
        <w:t>he State party has not shown whether</w:t>
      </w:r>
      <w:r w:rsidR="00671147">
        <w:t>,</w:t>
      </w:r>
      <w:r w:rsidR="0059677E" w:rsidRPr="00DC128E">
        <w:t xml:space="preserve"> and in how many cases</w:t>
      </w:r>
      <w:r w:rsidR="00671147">
        <w:t>,</w:t>
      </w:r>
      <w:r w:rsidR="0059677E" w:rsidRPr="00DC128E">
        <w:t xml:space="preserve"> petition to the </w:t>
      </w:r>
      <w:r w:rsidR="00671147">
        <w:t>P</w:t>
      </w:r>
      <w:r w:rsidR="0059677E" w:rsidRPr="00DC128E">
        <w:t xml:space="preserve">resident of the Supreme Court for supervisory review </w:t>
      </w:r>
      <w:r w:rsidR="00671147">
        <w:t>has been</w:t>
      </w:r>
      <w:r w:rsidR="0059677E" w:rsidRPr="00DC128E">
        <w:t xml:space="preserve"> successful in cases concerning the right to </w:t>
      </w:r>
      <w:r w:rsidR="0059677E">
        <w:t>freedom of assembly</w:t>
      </w:r>
      <w:r w:rsidR="0059677E" w:rsidRPr="00DC128E">
        <w:t xml:space="preserve">. In </w:t>
      </w:r>
      <w:r w:rsidR="00671147">
        <w:t>the</w:t>
      </w:r>
      <w:r w:rsidR="0059677E" w:rsidRPr="00DC128E">
        <w:t xml:space="preserve"> circumstances</w:t>
      </w:r>
      <w:r w:rsidR="00671147">
        <w:t>,</w:t>
      </w:r>
      <w:r w:rsidR="0059677E" w:rsidRPr="00DC128E">
        <w:t xml:space="preserve"> the Committee finds that </w:t>
      </w:r>
      <w:r w:rsidR="00671147">
        <w:t xml:space="preserve">the provisions of </w:t>
      </w:r>
      <w:r w:rsidR="0059677E" w:rsidRPr="00DC128E">
        <w:t xml:space="preserve">article 5, paragraph 2 (b), of the Optional Protocol does not preclude it from considering the </w:t>
      </w:r>
      <w:r w:rsidR="00671147">
        <w:t xml:space="preserve">present </w:t>
      </w:r>
      <w:r w:rsidR="0059677E" w:rsidRPr="00DC128E">
        <w:t>communication.</w:t>
      </w:r>
    </w:p>
    <w:p w:rsidR="0059677E" w:rsidRPr="0059677E" w:rsidRDefault="0059677E" w:rsidP="00940F4D">
      <w:pPr>
        <w:pStyle w:val="SingleTxtG"/>
      </w:pPr>
      <w:r w:rsidRPr="0059677E">
        <w:t>7.4</w:t>
      </w:r>
      <w:r w:rsidRPr="0059677E">
        <w:tab/>
        <w:t>The Committee note</w:t>
      </w:r>
      <w:r w:rsidR="00DE5C0C">
        <w:t>s</w:t>
      </w:r>
      <w:r w:rsidRPr="0059677E">
        <w:t xml:space="preserve"> the author’s submission that the State party </w:t>
      </w:r>
      <w:r w:rsidR="00DE5C0C">
        <w:t xml:space="preserve">has </w:t>
      </w:r>
      <w:r w:rsidRPr="0059677E">
        <w:t>violated its obligations under article 2, paragraph 2</w:t>
      </w:r>
      <w:r w:rsidR="00DE5C0C">
        <w:t>,</w:t>
      </w:r>
      <w:r w:rsidRPr="0059677E">
        <w:t xml:space="preserve"> of the Covenant</w:t>
      </w:r>
      <w:r w:rsidR="00480B3D">
        <w:t>,</w:t>
      </w:r>
      <w:r w:rsidRPr="0059677E">
        <w:t xml:space="preserve"> read in conjunction with article 21, since it failed to adopt such laws or other measures as may be necessary to give effect to the rights recognized in article 21 of the Covenant. The Committee recalls its jurisprudence, which indicates that the provisions of article 2 of the Covenant </w:t>
      </w:r>
      <w:r w:rsidR="00DE5C0C">
        <w:t>set forth</w:t>
      </w:r>
      <w:r w:rsidRPr="0059677E">
        <w:t xml:space="preserve"> a general obligation for States parties</w:t>
      </w:r>
      <w:r w:rsidRPr="0059677E">
        <w:rPr>
          <w:vertAlign w:val="superscript"/>
        </w:rPr>
        <w:t xml:space="preserve"> </w:t>
      </w:r>
      <w:r w:rsidRPr="0059677E">
        <w:t xml:space="preserve">and </w:t>
      </w:r>
      <w:r w:rsidR="00DE5C0C">
        <w:t>can</w:t>
      </w:r>
      <w:r w:rsidRPr="0059677E">
        <w:t>not give rise, when invoked separately, to a claim in a communication under the Optional Protocol</w:t>
      </w:r>
      <w:r w:rsidR="00DE5C0C">
        <w:t>.</w:t>
      </w:r>
      <w:r w:rsidRPr="0059677E">
        <w:rPr>
          <w:rStyle w:val="FootnoteReference"/>
          <w:sz w:val="20"/>
        </w:rPr>
        <w:footnoteReference w:id="9"/>
      </w:r>
      <w:r w:rsidRPr="0059677E">
        <w:t xml:space="preserve"> </w:t>
      </w:r>
      <w:r w:rsidR="00DE5C0C">
        <w:t>The Committee</w:t>
      </w:r>
      <w:r w:rsidRPr="0059677E">
        <w:t xml:space="preserve"> also considers that the provisions of article 2 c</w:t>
      </w:r>
      <w:r w:rsidR="00DE5C0C">
        <w:t>an</w:t>
      </w:r>
      <w:r w:rsidRPr="0059677E">
        <w:t xml:space="preserve">not be invoked </w:t>
      </w:r>
      <w:r w:rsidR="00DE5C0C">
        <w:t>as</w:t>
      </w:r>
      <w:r w:rsidRPr="0059677E">
        <w:t xml:space="preserve"> a claim in a communication under the Optional Protocol in conjunction with other provisions of the Covenant, except when the failure by the State party to observe its obligations under article 2 is the proximate cause of a distinct violation of the Covenant directly affecting the individual claim</w:t>
      </w:r>
      <w:r w:rsidR="00DE5C0C">
        <w:t>ing</w:t>
      </w:r>
      <w:r w:rsidRPr="0059677E">
        <w:t xml:space="preserve"> to be a victim. The Committee notes, however, that the author has already alleged a violation of his rights</w:t>
      </w:r>
      <w:r>
        <w:t xml:space="preserve"> under</w:t>
      </w:r>
      <w:r w:rsidRPr="0059677E">
        <w:t xml:space="preserve"> article 21</w:t>
      </w:r>
      <w:r w:rsidR="006E0D03">
        <w:t>,</w:t>
      </w:r>
      <w:r w:rsidRPr="0059677E">
        <w:t xml:space="preserve"> resulting from </w:t>
      </w:r>
      <w:r w:rsidR="00480B3D">
        <w:t xml:space="preserve">the </w:t>
      </w:r>
      <w:r w:rsidRPr="0059677E">
        <w:t xml:space="preserve">interpretation and application of the existing laws of the State party, and the Committee does not </w:t>
      </w:r>
      <w:r w:rsidR="006E0D03">
        <w:t>consider</w:t>
      </w:r>
      <w:r w:rsidRPr="0059677E">
        <w:t xml:space="preserve"> that examination of whether the State party also violated its general obligations under article 2, paragraph 2</w:t>
      </w:r>
      <w:r w:rsidR="006E0D03">
        <w:t>,</w:t>
      </w:r>
      <w:r w:rsidRPr="0059677E">
        <w:t xml:space="preserve"> of the Covenant</w:t>
      </w:r>
      <w:r w:rsidR="00480B3D">
        <w:t>,</w:t>
      </w:r>
      <w:r w:rsidRPr="0059677E">
        <w:t xml:space="preserve"> read </w:t>
      </w:r>
      <w:r w:rsidRPr="0059677E">
        <w:lastRenderedPageBreak/>
        <w:t xml:space="preserve">in conjunction with article 21, </w:t>
      </w:r>
      <w:r w:rsidR="006E0D03">
        <w:t xml:space="preserve">to </w:t>
      </w:r>
      <w:r>
        <w:t>be</w:t>
      </w:r>
      <w:r w:rsidRPr="0059677E">
        <w:t xml:space="preserve"> distinct </w:t>
      </w:r>
      <w:r>
        <w:t>from</w:t>
      </w:r>
      <w:r w:rsidRPr="0059677E">
        <w:t xml:space="preserve"> examination of </w:t>
      </w:r>
      <w:r w:rsidR="006E0D03">
        <w:t>the</w:t>
      </w:r>
      <w:r w:rsidRPr="0059677E">
        <w:t xml:space="preserve"> violation of the author’s rights under article 21 of the Covenant. The Committee therefore considers that the author’s claims in this regard are incompatible with article 2 of the Covenant</w:t>
      </w:r>
      <w:r w:rsidR="006E0D03">
        <w:t>,</w:t>
      </w:r>
      <w:r w:rsidRPr="0059677E">
        <w:t xml:space="preserve"> and inadmissible under article 3 of the Optional Protocol.</w:t>
      </w:r>
    </w:p>
    <w:p w:rsidR="00EE48B5" w:rsidRDefault="00EE48B5" w:rsidP="00EE48B5">
      <w:pPr>
        <w:pStyle w:val="SingleTxtG"/>
      </w:pPr>
      <w:r>
        <w:t>7.5</w:t>
      </w:r>
      <w:r>
        <w:tab/>
        <w:t>The Committee considers that the author has sufficiently substantiated his claim under article 21 of the Covenant for purposes of admissibility. Accordingly, it declares this part of the c</w:t>
      </w:r>
      <w:r w:rsidR="00480B3D">
        <w:t>ommunication</w:t>
      </w:r>
      <w:r>
        <w:t xml:space="preserve"> admissible and proceeds to its examination on the merits.</w:t>
      </w:r>
    </w:p>
    <w:p w:rsidR="00EE48B5" w:rsidRDefault="00EE48B5" w:rsidP="00EE48B5">
      <w:pPr>
        <w:pStyle w:val="H4G"/>
      </w:pPr>
      <w:r>
        <w:rPr>
          <w:rFonts w:eastAsia="Arial Unicode MS" w:hAnsi="Arial Unicode MS" w:cs="Arial Unicode MS"/>
        </w:rPr>
        <w:tab/>
      </w:r>
      <w:r>
        <w:rPr>
          <w:rFonts w:eastAsia="Arial Unicode MS" w:hAnsi="Arial Unicode MS" w:cs="Arial Unicode MS"/>
        </w:rPr>
        <w:tab/>
        <w:t>Consideration of the merits</w:t>
      </w:r>
    </w:p>
    <w:p w:rsidR="00EE48B5" w:rsidRDefault="00EE48B5" w:rsidP="00EE48B5">
      <w:pPr>
        <w:pStyle w:val="SingleTxtG"/>
      </w:pPr>
      <w:r>
        <w:t>8.1</w:t>
      </w:r>
      <w:r>
        <w:tab/>
        <w:t>The Human Rights Committee has considered the communication in the light of all the information made available to it by the parties, as provided for under article 5, paragraph 1, of the Optional Protocol.</w:t>
      </w:r>
    </w:p>
    <w:p w:rsidR="00EE48B5" w:rsidRDefault="00EE48B5" w:rsidP="00EE48B5">
      <w:pPr>
        <w:pStyle w:val="SingleTxtG"/>
      </w:pPr>
      <w:r>
        <w:t>8.2</w:t>
      </w:r>
      <w:r>
        <w:tab/>
        <w:t>The Com</w:t>
      </w:r>
      <w:r w:rsidR="00940F4D">
        <w:t>mittee note</w:t>
      </w:r>
      <w:r w:rsidR="006E0D03">
        <w:t>s</w:t>
      </w:r>
      <w:r w:rsidR="00940F4D">
        <w:t xml:space="preserve"> the author’</w:t>
      </w:r>
      <w:r>
        <w:t xml:space="preserve">s claim that his freedom of assembly </w:t>
      </w:r>
      <w:r w:rsidR="006E0D03">
        <w:t>was</w:t>
      </w:r>
      <w:r>
        <w:t xml:space="preserve"> restricted without valid justification under article 21 of the Covenant, since his request to organize a demonstration was rejected </w:t>
      </w:r>
      <w:r w:rsidR="006E0D03">
        <w:t>for</w:t>
      </w:r>
      <w:r>
        <w:t xml:space="preserve"> the following reasons: the manner of conducting the demonstration was not specified; and the absence of written commitments from the respective departments of the District Administration to ensure public order and medical care during the demonstration and </w:t>
      </w:r>
      <w:r w:rsidR="006E0D03">
        <w:t xml:space="preserve">subsequent </w:t>
      </w:r>
      <w:r>
        <w:t>clean</w:t>
      </w:r>
      <w:r w:rsidR="006E0D03">
        <w:t>-</w:t>
      </w:r>
      <w:r>
        <w:t>up of the area</w:t>
      </w:r>
      <w:r w:rsidR="006E0D03">
        <w:t xml:space="preserve"> </w:t>
      </w:r>
      <w:r>
        <w:t>where it would take place. The Committee recalls that under article 21 of the Covenant</w:t>
      </w:r>
      <w:r w:rsidR="006E0D03">
        <w:t>,</w:t>
      </w:r>
      <w:r>
        <w:t xml:space="preserve"> a</w:t>
      </w:r>
      <w:r w:rsidR="00831141">
        <w:t>ny</w:t>
      </w:r>
      <w:r>
        <w:t xml:space="preserve"> restriction on the right of peaceful assembly must be imposed in conformity with the law</w:t>
      </w:r>
      <w:r w:rsidR="00831141">
        <w:t xml:space="preserve"> and</w:t>
      </w:r>
      <w:r>
        <w:t xml:space="preserve"> </w:t>
      </w:r>
      <w:r w:rsidR="00831141">
        <w:t xml:space="preserve">must be necessary in a democratic society for </w:t>
      </w:r>
      <w:r>
        <w:t>one of the public purposes specified in the Covenant</w:t>
      </w:r>
      <w:r w:rsidR="00831141">
        <w:t xml:space="preserve">, namely, </w:t>
      </w:r>
      <w:r>
        <w:t>the interests of national security or public safety, public order (</w:t>
      </w:r>
      <w:r>
        <w:rPr>
          <w:i/>
          <w:iCs/>
        </w:rPr>
        <w:t>ordre public</w:t>
      </w:r>
      <w:r>
        <w:t xml:space="preserve">), the protection of public health or </w:t>
      </w:r>
      <w:r w:rsidR="00831141">
        <w:t>m</w:t>
      </w:r>
      <w:r>
        <w:t xml:space="preserve">orals or the protection of the rights and freedoms of others. The Committee </w:t>
      </w:r>
      <w:r w:rsidR="00831141">
        <w:t>further</w:t>
      </w:r>
      <w:r>
        <w:t xml:space="preserve"> notes that </w:t>
      </w:r>
      <w:r w:rsidR="00B00936">
        <w:t xml:space="preserve">the </w:t>
      </w:r>
      <w:r>
        <w:t xml:space="preserve">disproportionate interferences with the right protected </w:t>
      </w:r>
      <w:r w:rsidR="00B00936">
        <w:t>under article 21</w:t>
      </w:r>
      <w:r w:rsidR="00831141">
        <w:t xml:space="preserve"> of the Covenant</w:t>
      </w:r>
      <w:r>
        <w:t xml:space="preserve"> cannot be deemed as </w:t>
      </w:r>
      <w:r w:rsidR="00831141">
        <w:t>“</w:t>
      </w:r>
      <w:r>
        <w:t>necessary</w:t>
      </w:r>
      <w:r w:rsidR="00831141">
        <w:rPr>
          <w:rFonts w:ascii="Arial Unicode MS"/>
        </w:rPr>
        <w:t>”</w:t>
      </w:r>
      <w:r>
        <w:t>.</w:t>
      </w:r>
      <w:r>
        <w:rPr>
          <w:vertAlign w:val="superscript"/>
        </w:rPr>
        <w:footnoteReference w:id="10"/>
      </w:r>
    </w:p>
    <w:p w:rsidR="00EE48B5" w:rsidRDefault="00EE48B5" w:rsidP="00EE48B5">
      <w:pPr>
        <w:pStyle w:val="SingleTxtG"/>
      </w:pPr>
      <w:r>
        <w:t xml:space="preserve">8.3 </w:t>
      </w:r>
      <w:r>
        <w:tab/>
        <w:t>The Committee observes that the restrictions imposed on the author</w:t>
      </w:r>
      <w:r>
        <w:rPr>
          <w:rFonts w:ascii="Arial Unicode MS"/>
        </w:rPr>
        <w:t>’</w:t>
      </w:r>
      <w:r>
        <w:t xml:space="preserve">s freedom of assembly were based on provisions of domestic law and included the burdensome requirements of securing three separate written commitments from </w:t>
      </w:r>
      <w:r w:rsidR="00E80EAF">
        <w:t xml:space="preserve">three </w:t>
      </w:r>
      <w:r>
        <w:t xml:space="preserve">different administrative departments, which might </w:t>
      </w:r>
      <w:r w:rsidR="005F1A2F">
        <w:t xml:space="preserve">have </w:t>
      </w:r>
      <w:r>
        <w:t>render</w:t>
      </w:r>
      <w:r w:rsidR="005F1A2F">
        <w:t>ed</w:t>
      </w:r>
      <w:r>
        <w:t xml:space="preserve"> illusory the author’s right to demonstrate. The State party has failed, however, to present any arguments as to why th</w:t>
      </w:r>
      <w:r w:rsidR="005F1A2F">
        <w:t>o</w:t>
      </w:r>
      <w:r>
        <w:t xml:space="preserve">se requirements were necessary in the interests of national security or public safety, public order, the protection of public health or morals or the protection of the rights and freedoms of others. </w:t>
      </w:r>
      <w:r w:rsidR="00E80EAF">
        <w:t xml:space="preserve">Furthermore, </w:t>
      </w:r>
      <w:r>
        <w:t xml:space="preserve">the State party </w:t>
      </w:r>
      <w:r w:rsidR="00E80EAF">
        <w:t xml:space="preserve">did not </w:t>
      </w:r>
      <w:r>
        <w:t xml:space="preserve">show </w:t>
      </w:r>
      <w:r w:rsidR="00E80EAF">
        <w:t>how</w:t>
      </w:r>
      <w:r>
        <w:t xml:space="preserve"> rejection of the request to demonstrate constituted a proportionate interference with the right of peaceful assembly </w:t>
      </w:r>
      <w:r>
        <w:rPr>
          <w:rFonts w:ascii="Arial Unicode MS"/>
        </w:rPr>
        <w:t>–</w:t>
      </w:r>
      <w:r>
        <w:rPr>
          <w:rFonts w:ascii="Arial Unicode MS"/>
        </w:rPr>
        <w:t xml:space="preserve"> </w:t>
      </w:r>
      <w:r>
        <w:t>i.e.,</w:t>
      </w:r>
      <w:r w:rsidR="00E80EAF">
        <w:t xml:space="preserve"> that it was</w:t>
      </w:r>
      <w:r>
        <w:t xml:space="preserve"> the least intrusive measure </w:t>
      </w:r>
      <w:r w:rsidR="00E80EAF">
        <w:t>to</w:t>
      </w:r>
      <w:r>
        <w:t xml:space="preserve"> achiev</w:t>
      </w:r>
      <w:r w:rsidR="00E80EAF">
        <w:t>e</w:t>
      </w:r>
      <w:r>
        <w:t xml:space="preserve"> the purpose sought by the State party and </w:t>
      </w:r>
      <w:r w:rsidR="00E80EAF">
        <w:t xml:space="preserve">that it </w:t>
      </w:r>
      <w:r>
        <w:t>was proportionate to the interests the State party sought to protect.</w:t>
      </w:r>
      <w:r>
        <w:rPr>
          <w:vertAlign w:val="superscript"/>
        </w:rPr>
        <w:footnoteReference w:id="11"/>
      </w:r>
      <w:r>
        <w:t xml:space="preserve"> For example, the State party did not explain why the author was not </w:t>
      </w:r>
      <w:r w:rsidR="005F1A2F">
        <w:t>given</w:t>
      </w:r>
      <w:r>
        <w:t xml:space="preserve"> the opportunity to amend his request to </w:t>
      </w:r>
      <w:r w:rsidR="00D964A4">
        <w:t>carry out</w:t>
      </w:r>
      <w:r>
        <w:t xml:space="preserve"> a demonstration and add details that were not fully specified in the original request. Accordingly, the Committee concludes that the facts before it result</w:t>
      </w:r>
      <w:r w:rsidR="00940F4D">
        <w:t>ed in a violation of the author’</w:t>
      </w:r>
      <w:r>
        <w:t>s rights under article 21 of the Covenant.</w:t>
      </w:r>
      <w:r>
        <w:rPr>
          <w:vertAlign w:val="superscript"/>
        </w:rPr>
        <w:footnoteReference w:id="12"/>
      </w:r>
      <w:r>
        <w:t xml:space="preserve"> </w:t>
      </w:r>
    </w:p>
    <w:p w:rsidR="00EE48B5" w:rsidRDefault="00EE48B5" w:rsidP="00EE48B5">
      <w:pPr>
        <w:pStyle w:val="SingleTxtG"/>
      </w:pPr>
      <w:r>
        <w:t>9.</w:t>
      </w:r>
      <w:r>
        <w:tab/>
        <w:t xml:space="preserve">The Human Rights Committee, acting under article 5, paragraph 4, of the Optional Protocol to the International Covenant on Civil and Political Rights, is of the view that the </w:t>
      </w:r>
      <w:r>
        <w:lastRenderedPageBreak/>
        <w:t>facts before it disclose a vio</w:t>
      </w:r>
      <w:r w:rsidR="00940F4D">
        <w:t>lation by Belarus of the author’</w:t>
      </w:r>
      <w:r>
        <w:t>s rights under article 21 of the Covenant. The State party also breached its obligations under article 1 of the Optional Protocol to the Covenant.</w:t>
      </w:r>
    </w:p>
    <w:p w:rsidR="00EE48B5" w:rsidRDefault="00EE48B5" w:rsidP="00EE48B5">
      <w:pPr>
        <w:pStyle w:val="SingleTxtG"/>
      </w:pPr>
      <w:r>
        <w:t>10.</w:t>
      </w:r>
      <w:r>
        <w:tab/>
        <w:t xml:space="preserve">In accordance with article 2, paragraph 3 (a), of the Covenant, the State party is under an obligation to provide the author with an effective remedy, which should include compensation, as well as reimbursement of </w:t>
      </w:r>
      <w:r w:rsidR="00B00936">
        <w:t>any</w:t>
      </w:r>
      <w:r>
        <w:t xml:space="preserve"> legal costs paid by the author. The Committee invites the State party to review </w:t>
      </w:r>
      <w:r w:rsidR="0022676C">
        <w:t>its</w:t>
      </w:r>
      <w:r>
        <w:t xml:space="preserve"> relevant legislation on the organi</w:t>
      </w:r>
      <w:r w:rsidR="00D964A4">
        <w:t>z</w:t>
      </w:r>
      <w:r>
        <w:t>ation of public events</w:t>
      </w:r>
      <w:r w:rsidR="00D964A4">
        <w:t>,</w:t>
      </w:r>
      <w:r>
        <w:t xml:space="preserve"> with a view to aligning it with the requirements of article 21 of the Covenant. The State party should also ensure that no similar violations occur in the future. </w:t>
      </w:r>
    </w:p>
    <w:p w:rsidR="00EE48B5" w:rsidRDefault="00EE48B5" w:rsidP="00EE48B5">
      <w:pPr>
        <w:pStyle w:val="SingleTxtG"/>
      </w:pPr>
      <w:r>
        <w:t>11.</w:t>
      </w:r>
      <w:r>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w:t>
      </w:r>
      <w:r w:rsidR="00DE4509">
        <w:t>,</w:t>
      </w:r>
      <w:r>
        <w:t xml:space="preserve"> and to provide an effective and enforceable remedy when a violation has been established, the Committee wishes to receive from the State party, within 180 days, information about the measures taken to give effect to the Committee</w:t>
      </w:r>
      <w:r>
        <w:rPr>
          <w:rFonts w:ascii="Arial Unicode MS"/>
        </w:rPr>
        <w:t>’</w:t>
      </w:r>
      <w:r>
        <w:t xml:space="preserve">s </w:t>
      </w:r>
      <w:r w:rsidR="00DE4509">
        <w:t>v</w:t>
      </w:r>
      <w:r>
        <w:t xml:space="preserve">iews. The State party is also requested to publish the present </w:t>
      </w:r>
      <w:r w:rsidR="00DE4509">
        <w:t>v</w:t>
      </w:r>
      <w:r>
        <w:t>iews, and to have them widely disseminated in Belarusian and Russian in the State party.</w:t>
      </w:r>
    </w:p>
    <w:p w:rsidR="00442A83" w:rsidRPr="00EE48B5" w:rsidRDefault="00EE48B5" w:rsidP="00EE48B5">
      <w:pPr>
        <w:spacing w:before="240"/>
        <w:ind w:left="1134" w:right="1134"/>
        <w:jc w:val="center"/>
        <w:rPr>
          <w:u w:val="single"/>
        </w:rPr>
      </w:pPr>
      <w:r>
        <w:rPr>
          <w:u w:val="single"/>
        </w:rPr>
        <w:tab/>
      </w:r>
      <w:r>
        <w:rPr>
          <w:u w:val="single"/>
        </w:rPr>
        <w:tab/>
      </w:r>
      <w:r>
        <w:rPr>
          <w:u w:val="single"/>
        </w:rPr>
        <w:tab/>
      </w:r>
    </w:p>
    <w:sectPr w:rsidR="00442A83" w:rsidRPr="00EE48B5" w:rsidSect="00B04C03">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2E" w:rsidRDefault="0051602E"/>
  </w:endnote>
  <w:endnote w:type="continuationSeparator" w:id="0">
    <w:p w:rsidR="0051602E" w:rsidRDefault="0051602E"/>
  </w:endnote>
  <w:endnote w:type="continuationNotice" w:id="1">
    <w:p w:rsidR="0051602E" w:rsidRDefault="00516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4B" w:rsidRPr="00B04C03" w:rsidRDefault="00851B4B" w:rsidP="00B04C03">
    <w:pPr>
      <w:pStyle w:val="Footer"/>
      <w:tabs>
        <w:tab w:val="right" w:pos="9638"/>
      </w:tabs>
    </w:pPr>
    <w:r w:rsidRPr="00B04C03">
      <w:rPr>
        <w:b/>
        <w:sz w:val="18"/>
      </w:rPr>
      <w:fldChar w:fldCharType="begin"/>
    </w:r>
    <w:r w:rsidRPr="00B04C03">
      <w:rPr>
        <w:b/>
        <w:sz w:val="18"/>
      </w:rPr>
      <w:instrText xml:space="preserve"> PAGE  \* MERGEFORMAT </w:instrText>
    </w:r>
    <w:r w:rsidRPr="00B04C03">
      <w:rPr>
        <w:b/>
        <w:sz w:val="18"/>
      </w:rPr>
      <w:fldChar w:fldCharType="separate"/>
    </w:r>
    <w:r w:rsidR="00F85C18">
      <w:rPr>
        <w:b/>
        <w:noProof/>
        <w:sz w:val="18"/>
      </w:rPr>
      <w:t>2</w:t>
    </w:r>
    <w:r w:rsidRPr="00B04C0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4B" w:rsidRPr="00B04C03" w:rsidRDefault="00851B4B" w:rsidP="00B04C03">
    <w:pPr>
      <w:pStyle w:val="Footer"/>
      <w:tabs>
        <w:tab w:val="right" w:pos="9638"/>
      </w:tabs>
      <w:rPr>
        <w:b/>
        <w:sz w:val="18"/>
      </w:rPr>
    </w:pPr>
    <w:r>
      <w:tab/>
    </w:r>
    <w:r w:rsidRPr="00B04C03">
      <w:rPr>
        <w:b/>
        <w:sz w:val="18"/>
      </w:rPr>
      <w:fldChar w:fldCharType="begin"/>
    </w:r>
    <w:r w:rsidRPr="00B04C03">
      <w:rPr>
        <w:b/>
        <w:sz w:val="18"/>
      </w:rPr>
      <w:instrText xml:space="preserve"> PAGE  \* MERGEFORMAT </w:instrText>
    </w:r>
    <w:r w:rsidRPr="00B04C03">
      <w:rPr>
        <w:b/>
        <w:sz w:val="18"/>
      </w:rPr>
      <w:fldChar w:fldCharType="separate"/>
    </w:r>
    <w:r w:rsidR="00F85C18">
      <w:rPr>
        <w:b/>
        <w:noProof/>
        <w:sz w:val="18"/>
      </w:rPr>
      <w:t>3</w:t>
    </w:r>
    <w:r w:rsidRPr="00B04C0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4B" w:rsidRPr="00B04C03" w:rsidRDefault="0051602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37.3pt;margin-top:646.25pt;width:73.25pt;height:18.15pt;z-index:1;mso-position-horizontal-relative:margin;mso-position-vertical-relative:margin">
          <v:imagedata r:id="rId1" o:title="recycle_English"/>
          <w10:wrap anchorx="margin" anchory="margin"/>
        </v:shape>
      </w:pict>
    </w:r>
    <w:r w:rsidR="00851B4B">
      <w:t>GE.14-14534  (E)</w:t>
    </w:r>
    <w:r w:rsidR="00851B4B">
      <w:br/>
    </w:r>
    <w:r w:rsidR="00851B4B" w:rsidRPr="009610F4">
      <w:rPr>
        <w:rFonts w:ascii="C39T30Lfz" w:hAnsi="C39T30Lfz"/>
        <w:sz w:val="56"/>
      </w:rPr>
      <w:t></w:t>
    </w:r>
    <w:r w:rsidR="00851B4B">
      <w:rPr>
        <w:rFonts w:ascii="C39T30Lfz" w:hAnsi="C39T30Lfz"/>
        <w:sz w:val="56"/>
      </w:rPr>
      <w:t></w:t>
    </w:r>
    <w:r w:rsidR="00851B4B">
      <w:rPr>
        <w:rFonts w:ascii="C39T30Lfz" w:hAnsi="C39T30Lfz"/>
        <w:sz w:val="56"/>
      </w:rPr>
      <w:t></w:t>
    </w:r>
    <w:r w:rsidR="00851B4B">
      <w:rPr>
        <w:rFonts w:ascii="C39T30Lfz" w:hAnsi="C39T30Lfz"/>
        <w:sz w:val="56"/>
      </w:rPr>
      <w:t></w:t>
    </w:r>
    <w:r w:rsidR="00851B4B">
      <w:rPr>
        <w:rFonts w:ascii="C39T30Lfz" w:hAnsi="C39T30Lfz"/>
        <w:sz w:val="56"/>
      </w:rPr>
      <w:t></w:t>
    </w:r>
    <w:r w:rsidR="00851B4B">
      <w:rPr>
        <w:rFonts w:ascii="C39T30Lfz" w:hAnsi="C39T30Lfz"/>
        <w:sz w:val="56"/>
      </w:rPr>
      <w:t></w:t>
    </w:r>
    <w:r w:rsidR="00851B4B">
      <w:rPr>
        <w:rFonts w:ascii="C39T30Lfz" w:hAnsi="C39T30Lfz"/>
        <w:sz w:val="56"/>
      </w:rPr>
      <w:t></w:t>
    </w:r>
    <w:r w:rsidR="00851B4B">
      <w:rPr>
        <w:rFonts w:ascii="C39T30Lfz" w:hAnsi="C39T30Lfz"/>
        <w:sz w:val="56"/>
      </w:rPr>
      <w:t></w:t>
    </w:r>
    <w:r w:rsidR="00851B4B" w:rsidRPr="009610F4">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2E" w:rsidRPr="000B175B" w:rsidRDefault="0051602E" w:rsidP="000B175B">
      <w:pPr>
        <w:tabs>
          <w:tab w:val="right" w:pos="2155"/>
        </w:tabs>
        <w:spacing w:after="80"/>
        <w:ind w:left="680"/>
        <w:rPr>
          <w:u w:val="single"/>
        </w:rPr>
      </w:pPr>
      <w:r>
        <w:rPr>
          <w:u w:val="single"/>
        </w:rPr>
        <w:tab/>
      </w:r>
    </w:p>
  </w:footnote>
  <w:footnote w:type="continuationSeparator" w:id="0">
    <w:p w:rsidR="0051602E" w:rsidRPr="00FC68B7" w:rsidRDefault="0051602E" w:rsidP="00FC68B7">
      <w:pPr>
        <w:tabs>
          <w:tab w:val="left" w:pos="2155"/>
        </w:tabs>
        <w:spacing w:after="80"/>
        <w:ind w:left="680"/>
        <w:rPr>
          <w:u w:val="single"/>
        </w:rPr>
      </w:pPr>
      <w:r>
        <w:rPr>
          <w:u w:val="single"/>
        </w:rPr>
        <w:tab/>
      </w:r>
    </w:p>
  </w:footnote>
  <w:footnote w:type="continuationNotice" w:id="1">
    <w:p w:rsidR="0051602E" w:rsidRDefault="0051602E"/>
  </w:footnote>
  <w:footnote w:id="2">
    <w:p w:rsidR="00851B4B" w:rsidRPr="008F3711" w:rsidRDefault="00851B4B" w:rsidP="008F3711">
      <w:pPr>
        <w:pStyle w:val="FootnoteText"/>
      </w:pPr>
      <w:r>
        <w:tab/>
      </w:r>
      <w:r w:rsidRPr="002E1D46">
        <w:rPr>
          <w:rStyle w:val="FootnoteReference"/>
          <w:sz w:val="20"/>
          <w:vertAlign w:val="baseline"/>
        </w:rPr>
        <w:t>*</w:t>
      </w:r>
      <w:r>
        <w:rPr>
          <w:rStyle w:val="FootnoteReference"/>
          <w:vertAlign w:val="baseline"/>
        </w:rPr>
        <w:tab/>
      </w:r>
      <w:r w:rsidRPr="008F3711">
        <w:t xml:space="preserve">The following members of the Committee participated in the </w:t>
      </w:r>
      <w:r>
        <w:t>consideration</w:t>
      </w:r>
      <w:r w:rsidRPr="008F3711">
        <w:t xml:space="preserve"> of the present communication: Yadh Ben Achour, Lazhari Bouzid, </w:t>
      </w:r>
      <w:r>
        <w:t xml:space="preserve">Christine Chanet, </w:t>
      </w:r>
      <w:r w:rsidRPr="008F3711">
        <w:t>Cornelis Flinterman, Yuji</w:t>
      </w:r>
      <w:r>
        <w:t> </w:t>
      </w:r>
      <w:r w:rsidRPr="008F3711">
        <w:t>Iwasawa, Walter Kälin, Zonke Zanele Majodina, Gerald L. Neuman, Sir Nigel Rodley, Víctor</w:t>
      </w:r>
      <w:r>
        <w:t> </w:t>
      </w:r>
      <w:r w:rsidRPr="008F3711">
        <w:t xml:space="preserve">Manuel Rodríguez Rescia, </w:t>
      </w:r>
      <w:r w:rsidRPr="008F3711">
        <w:rPr>
          <w:lang w:val="en-US"/>
        </w:rPr>
        <w:t xml:space="preserve">Fabián Omar Salvioli, </w:t>
      </w:r>
      <w:r w:rsidRPr="008F3711">
        <w:t xml:space="preserve">Dheerujlall Seetulsingh, </w:t>
      </w:r>
      <w:r w:rsidRPr="008F3711">
        <w:rPr>
          <w:lang w:val="en-US"/>
        </w:rPr>
        <w:t xml:space="preserve">Anja Seibert-Fohr, Yuval Shany, </w:t>
      </w:r>
      <w:r w:rsidRPr="008F3711">
        <w:t xml:space="preserve">Konstantine Vardzelashvili, Margo Waterval and </w:t>
      </w:r>
      <w:r w:rsidRPr="008F3711">
        <w:rPr>
          <w:lang w:val="en-US"/>
        </w:rPr>
        <w:t>Andrei Paul Zlătescu.</w:t>
      </w:r>
    </w:p>
  </w:footnote>
  <w:footnote w:id="3">
    <w:p w:rsidR="00851B4B" w:rsidRDefault="00851B4B" w:rsidP="00EE48B5">
      <w:pPr>
        <w:pStyle w:val="FootnoteText"/>
        <w:tabs>
          <w:tab w:val="right" w:pos="9639"/>
        </w:tabs>
      </w:pPr>
      <w:r>
        <w:tab/>
      </w:r>
      <w:r>
        <w:rPr>
          <w:vertAlign w:val="superscript"/>
        </w:rPr>
        <w:footnoteRef/>
      </w:r>
      <w:r>
        <w:tab/>
        <w:t xml:space="preserve">The Optional Protocol entered into force for </w:t>
      </w:r>
      <w:smartTag w:uri="urn:schemas-microsoft-com:office:smarttags" w:element="place">
        <w:smartTag w:uri="urn:schemas-microsoft-com:office:smarttags" w:element="country-region">
          <w:r>
            <w:t>Belarus</w:t>
          </w:r>
        </w:smartTag>
      </w:smartTag>
      <w:r>
        <w:t xml:space="preserve"> on 30 December 1992.</w:t>
      </w:r>
    </w:p>
  </w:footnote>
  <w:footnote w:id="4">
    <w:p w:rsidR="00851B4B" w:rsidRDefault="00851B4B" w:rsidP="00EE48B5">
      <w:pPr>
        <w:pStyle w:val="FootnoteText"/>
        <w:tabs>
          <w:tab w:val="right" w:pos="9639"/>
        </w:tabs>
      </w:pPr>
      <w:r>
        <w:tab/>
      </w:r>
      <w:r>
        <w:rPr>
          <w:vertAlign w:val="superscript"/>
        </w:rPr>
        <w:footnoteRef/>
      </w:r>
      <w:r>
        <w:tab/>
        <w:t>The author refers to the Committee’s general comment No. 33 (2008) on t</w:t>
      </w:r>
      <w:r w:rsidRPr="00A502AF">
        <w:rPr>
          <w:iCs/>
        </w:rPr>
        <w:t xml:space="preserve">he </w:t>
      </w:r>
      <w:r>
        <w:rPr>
          <w:iCs/>
        </w:rPr>
        <w:t>o</w:t>
      </w:r>
      <w:r w:rsidRPr="00A502AF">
        <w:rPr>
          <w:iCs/>
        </w:rPr>
        <w:t xml:space="preserve">bligations of States </w:t>
      </w:r>
      <w:r>
        <w:rPr>
          <w:iCs/>
        </w:rPr>
        <w:t>p</w:t>
      </w:r>
      <w:r w:rsidRPr="00A502AF">
        <w:rPr>
          <w:iCs/>
        </w:rPr>
        <w:t>arties under the Optional Protocol to the International Covenant on Civil and Political Rights</w:t>
      </w:r>
      <w:r w:rsidRPr="00A502AF">
        <w:t>,</w:t>
      </w:r>
      <w:r w:rsidRPr="000361AF">
        <w:t xml:space="preserve"> </w:t>
      </w:r>
      <w:r>
        <w:t>paras. 11–13.</w:t>
      </w:r>
    </w:p>
  </w:footnote>
  <w:footnote w:id="5">
    <w:p w:rsidR="00851B4B" w:rsidRDefault="00851B4B" w:rsidP="00EE48B5">
      <w:pPr>
        <w:pStyle w:val="FootnoteText"/>
        <w:tabs>
          <w:tab w:val="right" w:pos="9639"/>
        </w:tabs>
      </w:pPr>
      <w:r>
        <w:tab/>
      </w:r>
      <w:r>
        <w:rPr>
          <w:vertAlign w:val="superscript"/>
        </w:rPr>
        <w:footnoteRef/>
      </w:r>
      <w:r>
        <w:tab/>
        <w:t xml:space="preserve">See the European Court of Human Rights, </w:t>
      </w:r>
      <w:r>
        <w:rPr>
          <w:i/>
          <w:iCs/>
        </w:rPr>
        <w:t xml:space="preserve">Tumilovich </w:t>
      </w:r>
      <w:r w:rsidRPr="00FA2990">
        <w:rPr>
          <w:iCs/>
        </w:rPr>
        <w:t>v.</w:t>
      </w:r>
      <w:r>
        <w:rPr>
          <w:i/>
          <w:iCs/>
        </w:rPr>
        <w:t xml:space="preserve"> </w:t>
      </w:r>
      <w:smartTag w:uri="urn:schemas-microsoft-com:office:smarttags" w:element="place">
        <w:smartTag w:uri="urn:schemas-microsoft-com:office:smarttags" w:element="country-region">
          <w:r>
            <w:rPr>
              <w:i/>
              <w:iCs/>
            </w:rPr>
            <w:t>Russia</w:t>
          </w:r>
        </w:smartTag>
      </w:smartTag>
      <w:r>
        <w:t xml:space="preserve">, Application No. </w:t>
      </w:r>
      <w:hyperlink r:id="rId1" w:anchor="%7B%5C" w:history="1">
        <w:r>
          <w:rPr>
            <w:rStyle w:val="Hyperlink1"/>
          </w:rPr>
          <w:t>47033/99</w:t>
        </w:r>
      </w:hyperlink>
      <w:r>
        <w:t>, decision as to admissibility of 22 June 1999.</w:t>
      </w:r>
    </w:p>
  </w:footnote>
  <w:footnote w:id="6">
    <w:p w:rsidR="00851B4B" w:rsidRDefault="00851B4B" w:rsidP="00EE48B5">
      <w:pPr>
        <w:pStyle w:val="FootnoteText"/>
        <w:tabs>
          <w:tab w:val="right" w:pos="9639"/>
        </w:tabs>
      </w:pPr>
      <w:r>
        <w:tab/>
      </w:r>
      <w:r>
        <w:rPr>
          <w:vertAlign w:val="superscript"/>
        </w:rPr>
        <w:footnoteRef/>
      </w:r>
      <w:r>
        <w:tab/>
        <w:t xml:space="preserve">See communication No. 869/1999, </w:t>
      </w:r>
      <w:r>
        <w:rPr>
          <w:i/>
          <w:iCs/>
        </w:rPr>
        <w:t>Piandiong et al.</w:t>
      </w:r>
      <w:r>
        <w:t xml:space="preserve"> v.</w:t>
      </w:r>
      <w:r>
        <w:rPr>
          <w:i/>
          <w:iCs/>
        </w:rPr>
        <w:t xml:space="preserve"> The </w:t>
      </w:r>
      <w:smartTag w:uri="urn:schemas-microsoft-com:office:smarttags" w:element="place">
        <w:smartTag w:uri="urn:schemas-microsoft-com:office:smarttags" w:element="country-region">
          <w:r>
            <w:rPr>
              <w:i/>
              <w:iCs/>
            </w:rPr>
            <w:t>Philippines</w:t>
          </w:r>
        </w:smartTag>
      </w:smartTag>
      <w:r>
        <w:t xml:space="preserve">, views adopted on 19 October 2000, para. 5.1; as well as communications Nos. 1867/2009, 1936/2010, 1975/2010, 1977/2010, 1978/2010, 1979/2010, 1980/2010, 1981/2010 and 2010/2010, </w:t>
      </w:r>
      <w:r>
        <w:rPr>
          <w:i/>
          <w:iCs/>
        </w:rPr>
        <w:t xml:space="preserve">Levinov </w:t>
      </w:r>
      <w:r w:rsidRPr="001E05E9">
        <w:rPr>
          <w:iCs/>
        </w:rPr>
        <w:t>v.</w:t>
      </w:r>
      <w:r>
        <w:rPr>
          <w:i/>
          <w:iCs/>
        </w:rPr>
        <w:t xml:space="preserve"> </w:t>
      </w:r>
      <w:smartTag w:uri="urn:schemas-microsoft-com:office:smarttags" w:element="place">
        <w:smartTag w:uri="urn:schemas-microsoft-com:office:smarttags" w:element="country-region">
          <w:r>
            <w:rPr>
              <w:i/>
              <w:iCs/>
            </w:rPr>
            <w:t>Belarus</w:t>
          </w:r>
        </w:smartTag>
      </w:smartTag>
      <w:r>
        <w:t>, views adopted on 19 July 2012, para. 8.2.</w:t>
      </w:r>
    </w:p>
  </w:footnote>
  <w:footnote w:id="7">
    <w:p w:rsidR="00851B4B" w:rsidRDefault="00851B4B" w:rsidP="000361AF">
      <w:pPr>
        <w:pStyle w:val="FootnoteText"/>
        <w:tabs>
          <w:tab w:val="right" w:pos="9639"/>
        </w:tabs>
      </w:pPr>
      <w:r>
        <w:tab/>
      </w:r>
      <w:r>
        <w:rPr>
          <w:vertAlign w:val="superscript"/>
        </w:rPr>
        <w:footnoteRef/>
      </w:r>
      <w:r>
        <w:tab/>
        <w:t xml:space="preserve">See communications Nos. 1867/2009, 1936/2010, 1975/2010, 1977/2010, 1978/2010, 1979/2010, 1980/2010, 1981/2010 and 2010/2010, </w:t>
      </w:r>
      <w:r>
        <w:rPr>
          <w:i/>
          <w:iCs/>
        </w:rPr>
        <w:t xml:space="preserve">Levinov </w:t>
      </w:r>
      <w:r w:rsidRPr="000447AD">
        <w:rPr>
          <w:iCs/>
        </w:rPr>
        <w:t>v.</w:t>
      </w:r>
      <w:r>
        <w:rPr>
          <w:i/>
          <w:iCs/>
        </w:rPr>
        <w:t xml:space="preserve"> </w:t>
      </w:r>
      <w:smartTag w:uri="urn:schemas-microsoft-com:office:smarttags" w:element="place">
        <w:smartTag w:uri="urn:schemas-microsoft-com:office:smarttags" w:element="country-region">
          <w:r>
            <w:rPr>
              <w:i/>
              <w:iCs/>
            </w:rPr>
            <w:t>Belarus</w:t>
          </w:r>
        </w:smartTag>
      </w:smartTag>
      <w:r>
        <w:t>, views adopted on 19 July 2012, para. 8.2.</w:t>
      </w:r>
    </w:p>
  </w:footnote>
  <w:footnote w:id="8">
    <w:p w:rsidR="00851B4B" w:rsidRPr="007407C9" w:rsidRDefault="00851B4B" w:rsidP="0059677E">
      <w:pPr>
        <w:pStyle w:val="FootnoteText"/>
      </w:pPr>
      <w:r>
        <w:tab/>
      </w:r>
      <w:r w:rsidRPr="007407C9">
        <w:rPr>
          <w:rStyle w:val="FootnoteReference"/>
        </w:rPr>
        <w:footnoteRef/>
      </w:r>
      <w:r>
        <w:tab/>
        <w:t>See, inter alia, c</w:t>
      </w:r>
      <w:r w:rsidRPr="007407C9">
        <w:t>ommunication</w:t>
      </w:r>
      <w:r>
        <w:t>s</w:t>
      </w:r>
      <w:r w:rsidRPr="007407C9">
        <w:t xml:space="preserve"> No. 836/1998, </w:t>
      </w:r>
      <w:r w:rsidRPr="00671147">
        <w:rPr>
          <w:i/>
        </w:rPr>
        <w:t>Gelazauskas </w:t>
      </w:r>
      <w:r w:rsidRPr="00947D03">
        <w:t>v.</w:t>
      </w:r>
      <w:r w:rsidRPr="00671147">
        <w:rPr>
          <w:i/>
        </w:rPr>
        <w:t xml:space="preserve"> </w:t>
      </w:r>
      <w:smartTag w:uri="urn:schemas-microsoft-com:office:smarttags" w:element="place">
        <w:smartTag w:uri="urn:schemas-microsoft-com:office:smarttags" w:element="country-region">
          <w:r w:rsidRPr="00671147">
            <w:rPr>
              <w:i/>
            </w:rPr>
            <w:t>Lithuania</w:t>
          </w:r>
        </w:smartTag>
      </w:smartTag>
      <w:r w:rsidRPr="007407C9">
        <w:t xml:space="preserve">, </w:t>
      </w:r>
      <w:r>
        <w:t xml:space="preserve">views adopted on 17 March 2003, </w:t>
      </w:r>
      <w:r w:rsidRPr="007407C9">
        <w:t>para</w:t>
      </w:r>
      <w:r>
        <w:t>.</w:t>
      </w:r>
      <w:r w:rsidRPr="007407C9">
        <w:t xml:space="preserve"> 7.4; </w:t>
      </w:r>
      <w:r w:rsidRPr="007407C9">
        <w:rPr>
          <w:szCs w:val="18"/>
        </w:rPr>
        <w:t xml:space="preserve">No. 1873/2009, </w:t>
      </w:r>
      <w:r w:rsidRPr="007407C9">
        <w:rPr>
          <w:i/>
          <w:szCs w:val="18"/>
        </w:rPr>
        <w:t xml:space="preserve">Alekseev </w:t>
      </w:r>
      <w:r w:rsidRPr="00671147">
        <w:rPr>
          <w:szCs w:val="18"/>
        </w:rPr>
        <w:t>v.</w:t>
      </w:r>
      <w:r w:rsidRPr="007407C9">
        <w:rPr>
          <w:i/>
          <w:szCs w:val="18"/>
        </w:rPr>
        <w:t xml:space="preserve"> the </w:t>
      </w:r>
      <w:smartTag w:uri="urn:schemas-microsoft-com:office:smarttags" w:element="place">
        <w:smartTag w:uri="urn:schemas-microsoft-com:office:smarttags" w:element="country-region">
          <w:r w:rsidRPr="007407C9">
            <w:rPr>
              <w:i/>
              <w:szCs w:val="18"/>
            </w:rPr>
            <w:t>Russian Federation</w:t>
          </w:r>
        </w:smartTag>
      </w:smartTag>
      <w:r w:rsidRPr="007407C9">
        <w:rPr>
          <w:szCs w:val="18"/>
        </w:rPr>
        <w:t xml:space="preserve">, </w:t>
      </w:r>
      <w:r>
        <w:rPr>
          <w:szCs w:val="18"/>
        </w:rPr>
        <w:t>v</w:t>
      </w:r>
      <w:r w:rsidRPr="007407C9">
        <w:rPr>
          <w:szCs w:val="18"/>
        </w:rPr>
        <w:t>iews adopted on 25 October 2013, para</w:t>
      </w:r>
      <w:r>
        <w:rPr>
          <w:szCs w:val="18"/>
        </w:rPr>
        <w:t>.</w:t>
      </w:r>
      <w:r w:rsidRPr="007407C9">
        <w:rPr>
          <w:szCs w:val="18"/>
        </w:rPr>
        <w:t xml:space="preserve"> 8.4</w:t>
      </w:r>
      <w:r>
        <w:rPr>
          <w:szCs w:val="18"/>
        </w:rPr>
        <w:t xml:space="preserve">; </w:t>
      </w:r>
      <w:r w:rsidRPr="007407C9">
        <w:t>No</w:t>
      </w:r>
      <w:r>
        <w:t>.</w:t>
      </w:r>
      <w:r w:rsidRPr="007407C9">
        <w:t xml:space="preserve"> 1851/2008, </w:t>
      </w:r>
      <w:r w:rsidRPr="00947D03">
        <w:rPr>
          <w:i/>
        </w:rPr>
        <w:t xml:space="preserve">Sekerko </w:t>
      </w:r>
      <w:r w:rsidRPr="00947D03">
        <w:t xml:space="preserve">v. </w:t>
      </w:r>
      <w:smartTag w:uri="urn:schemas-microsoft-com:office:smarttags" w:element="place">
        <w:smartTag w:uri="urn:schemas-microsoft-com:office:smarttags" w:element="country-region">
          <w:r w:rsidRPr="00947D03">
            <w:rPr>
              <w:i/>
            </w:rPr>
            <w:t>Belarus</w:t>
          </w:r>
        </w:smartTag>
      </w:smartTag>
      <w:r>
        <w:t xml:space="preserve">, views adopted on 28 October 2013, </w:t>
      </w:r>
      <w:r w:rsidRPr="007407C9">
        <w:t>para</w:t>
      </w:r>
      <w:r>
        <w:t>.</w:t>
      </w:r>
      <w:r w:rsidRPr="007407C9">
        <w:t xml:space="preserve"> 8.3; </w:t>
      </w:r>
      <w:r>
        <w:t xml:space="preserve">Nos. 1919-1920/2009, </w:t>
      </w:r>
      <w:r w:rsidRPr="00321DE0">
        <w:rPr>
          <w:i/>
        </w:rPr>
        <w:t xml:space="preserve">Protsko and Tolchin </w:t>
      </w:r>
      <w:r w:rsidRPr="00321DE0">
        <w:t>v.</w:t>
      </w:r>
      <w:r w:rsidRPr="00321DE0">
        <w:rPr>
          <w:i/>
        </w:rPr>
        <w:t xml:space="preserve"> </w:t>
      </w:r>
      <w:smartTag w:uri="urn:schemas-microsoft-com:office:smarttags" w:element="place">
        <w:smartTag w:uri="urn:schemas-microsoft-com:office:smarttags" w:element="country-region">
          <w:r w:rsidRPr="00321DE0">
            <w:rPr>
              <w:i/>
            </w:rPr>
            <w:t>Belarus</w:t>
          </w:r>
        </w:smartTag>
      </w:smartTag>
      <w:r w:rsidRPr="007407C9">
        <w:t xml:space="preserve">, </w:t>
      </w:r>
      <w:r>
        <w:t xml:space="preserve">views adopted on 1 November 2013, </w:t>
      </w:r>
      <w:r w:rsidRPr="007407C9">
        <w:t xml:space="preserve">para. 6.5; </w:t>
      </w:r>
      <w:r w:rsidRPr="007407C9">
        <w:rPr>
          <w:szCs w:val="18"/>
        </w:rPr>
        <w:t xml:space="preserve">No. 1784/2008, </w:t>
      </w:r>
      <w:r w:rsidRPr="007407C9">
        <w:rPr>
          <w:i/>
          <w:szCs w:val="18"/>
        </w:rPr>
        <w:t xml:space="preserve">Schumilin </w:t>
      </w:r>
      <w:r w:rsidRPr="00321DE0">
        <w:rPr>
          <w:szCs w:val="18"/>
        </w:rPr>
        <w:t>v.</w:t>
      </w:r>
      <w:r w:rsidRPr="007407C9">
        <w:rPr>
          <w:i/>
          <w:szCs w:val="18"/>
        </w:rPr>
        <w:t xml:space="preserve"> </w:t>
      </w:r>
      <w:smartTag w:uri="urn:schemas-microsoft-com:office:smarttags" w:element="place">
        <w:smartTag w:uri="urn:schemas-microsoft-com:office:smarttags" w:element="country-region">
          <w:r w:rsidRPr="007407C9">
            <w:rPr>
              <w:i/>
              <w:szCs w:val="18"/>
            </w:rPr>
            <w:t>Belarus</w:t>
          </w:r>
        </w:smartTag>
      </w:smartTag>
      <w:r w:rsidRPr="007407C9">
        <w:rPr>
          <w:szCs w:val="18"/>
        </w:rPr>
        <w:t xml:space="preserve">, </w:t>
      </w:r>
      <w:r>
        <w:rPr>
          <w:szCs w:val="18"/>
        </w:rPr>
        <w:t>v</w:t>
      </w:r>
      <w:r w:rsidRPr="007407C9">
        <w:rPr>
          <w:szCs w:val="18"/>
        </w:rPr>
        <w:t xml:space="preserve">iews adopted on 23 July 2012, para. 8.3; No. 1814/2008, </w:t>
      </w:r>
      <w:r w:rsidRPr="007407C9">
        <w:rPr>
          <w:i/>
          <w:szCs w:val="18"/>
        </w:rPr>
        <w:t>P.L.</w:t>
      </w:r>
      <w:r w:rsidRPr="00321DE0">
        <w:rPr>
          <w:szCs w:val="18"/>
        </w:rPr>
        <w:t> v.</w:t>
      </w:r>
      <w:r w:rsidRPr="007407C9">
        <w:rPr>
          <w:i/>
          <w:szCs w:val="18"/>
        </w:rPr>
        <w:t xml:space="preserve"> </w:t>
      </w:r>
      <w:smartTag w:uri="urn:schemas-microsoft-com:office:smarttags" w:element="place">
        <w:smartTag w:uri="urn:schemas-microsoft-com:office:smarttags" w:element="country-region">
          <w:r w:rsidRPr="007407C9">
            <w:rPr>
              <w:i/>
              <w:szCs w:val="18"/>
            </w:rPr>
            <w:t>Belarus</w:t>
          </w:r>
        </w:smartTag>
      </w:smartTag>
      <w:r w:rsidRPr="007407C9">
        <w:rPr>
          <w:szCs w:val="18"/>
        </w:rPr>
        <w:t>, decision</w:t>
      </w:r>
      <w:r>
        <w:rPr>
          <w:szCs w:val="18"/>
        </w:rPr>
        <w:t xml:space="preserve"> adopted on </w:t>
      </w:r>
      <w:r w:rsidRPr="007407C9">
        <w:rPr>
          <w:szCs w:val="18"/>
        </w:rPr>
        <w:t>26 July 2011, para. 6.2.</w:t>
      </w:r>
    </w:p>
  </w:footnote>
  <w:footnote w:id="9">
    <w:p w:rsidR="00851B4B" w:rsidRPr="0059677E" w:rsidRDefault="00851B4B" w:rsidP="00080A32">
      <w:pPr>
        <w:pStyle w:val="FootnoteText"/>
      </w:pPr>
      <w:r>
        <w:tab/>
      </w:r>
      <w:r w:rsidRPr="0059677E">
        <w:rPr>
          <w:rStyle w:val="FootnoteReference"/>
          <w:szCs w:val="18"/>
        </w:rPr>
        <w:footnoteRef/>
      </w:r>
      <w:r>
        <w:tab/>
      </w:r>
      <w:r w:rsidRPr="0059677E">
        <w:t xml:space="preserve">See communications No. 2202/2012, </w:t>
      </w:r>
      <w:r w:rsidRPr="00DE5C0C">
        <w:rPr>
          <w:i/>
        </w:rPr>
        <w:t xml:space="preserve">Castañeda </w:t>
      </w:r>
      <w:r w:rsidRPr="00DE5C0C">
        <w:t>v.</w:t>
      </w:r>
      <w:r w:rsidRPr="00DE5C0C">
        <w:rPr>
          <w:i/>
        </w:rPr>
        <w:t xml:space="preserve"> </w:t>
      </w:r>
      <w:smartTag w:uri="urn:schemas-microsoft-com:office:smarttags" w:element="place">
        <w:smartTag w:uri="urn:schemas-microsoft-com:office:smarttags" w:element="country-region">
          <w:r w:rsidRPr="00DE5C0C">
            <w:rPr>
              <w:i/>
            </w:rPr>
            <w:t>Mexico</w:t>
          </w:r>
        </w:smartTag>
      </w:smartTag>
      <w:r w:rsidRPr="0059677E">
        <w:t>, decision adopted on 29 August 2013, para. 6.8</w:t>
      </w:r>
      <w:r>
        <w:t>;</w:t>
      </w:r>
      <w:r w:rsidRPr="0059677E">
        <w:t xml:space="preserve"> No. 1834/2008, </w:t>
      </w:r>
      <w:r w:rsidRPr="00DE5C0C">
        <w:rPr>
          <w:i/>
        </w:rPr>
        <w:t>A.P.</w:t>
      </w:r>
      <w:r w:rsidRPr="00DE5C0C">
        <w:t xml:space="preserve"> v.</w:t>
      </w:r>
      <w:r w:rsidRPr="00DE5C0C">
        <w:rPr>
          <w:i/>
        </w:rPr>
        <w:t xml:space="preserve"> </w:t>
      </w:r>
      <w:smartTag w:uri="urn:schemas-microsoft-com:office:smarttags" w:element="place">
        <w:smartTag w:uri="urn:schemas-microsoft-com:office:smarttags" w:element="country-region">
          <w:r w:rsidRPr="00DE5C0C">
            <w:rPr>
              <w:i/>
            </w:rPr>
            <w:t>Ukraine</w:t>
          </w:r>
        </w:smartTag>
      </w:smartTag>
      <w:r w:rsidRPr="0059677E">
        <w:t>, decision adopted on 23 July 2012, para. 8.5</w:t>
      </w:r>
      <w:r>
        <w:t>;</w:t>
      </w:r>
      <w:r w:rsidRPr="0059677E">
        <w:t xml:space="preserve"> No.</w:t>
      </w:r>
      <w:r>
        <w:t> </w:t>
      </w:r>
      <w:r w:rsidRPr="0059677E">
        <w:t xml:space="preserve">1887/2009, </w:t>
      </w:r>
      <w:r w:rsidRPr="00DE5C0C">
        <w:rPr>
          <w:i/>
        </w:rPr>
        <w:t xml:space="preserve">Peirano Basso </w:t>
      </w:r>
      <w:r w:rsidRPr="00DE5C0C">
        <w:t>v.</w:t>
      </w:r>
      <w:r w:rsidRPr="00DE5C0C">
        <w:rPr>
          <w:i/>
        </w:rPr>
        <w:t xml:space="preserve"> </w:t>
      </w:r>
      <w:smartTag w:uri="urn:schemas-microsoft-com:office:smarttags" w:element="place">
        <w:smartTag w:uri="urn:schemas-microsoft-com:office:smarttags" w:element="country-region">
          <w:r w:rsidRPr="00DE5C0C">
            <w:rPr>
              <w:i/>
            </w:rPr>
            <w:t>Uruguay</w:t>
          </w:r>
        </w:smartTag>
      </w:smartTag>
      <w:r w:rsidRPr="0059677E">
        <w:t xml:space="preserve">, </w:t>
      </w:r>
      <w:r>
        <w:t>v</w:t>
      </w:r>
      <w:r w:rsidRPr="0059677E">
        <w:t>iews adopted on 19 October 2010, para. 9.4.</w:t>
      </w:r>
    </w:p>
    <w:p w:rsidR="00851B4B" w:rsidRDefault="00851B4B" w:rsidP="0059677E">
      <w:pPr>
        <w:pStyle w:val="FootnoteText"/>
      </w:pPr>
    </w:p>
  </w:footnote>
  <w:footnote w:id="10">
    <w:p w:rsidR="00851B4B" w:rsidRDefault="00851B4B" w:rsidP="00940F4D">
      <w:pPr>
        <w:pStyle w:val="FootnoteText"/>
        <w:tabs>
          <w:tab w:val="right" w:pos="9639"/>
        </w:tabs>
      </w:pPr>
      <w:r>
        <w:tab/>
      </w:r>
      <w:r>
        <w:rPr>
          <w:vertAlign w:val="superscript"/>
        </w:rPr>
        <w:footnoteRef/>
      </w:r>
      <w:r>
        <w:tab/>
        <w:t xml:space="preserve">See also communication No. 1851/2008, </w:t>
      </w:r>
      <w:r w:rsidRPr="001372E4">
        <w:rPr>
          <w:i/>
        </w:rPr>
        <w:t>Sekerko</w:t>
      </w:r>
      <w:r w:rsidRPr="00831141">
        <w:t xml:space="preserve"> v.</w:t>
      </w:r>
      <w:r w:rsidRPr="001372E4">
        <w:rPr>
          <w:i/>
        </w:rPr>
        <w:t xml:space="preserve"> </w:t>
      </w:r>
      <w:smartTag w:uri="urn:schemas-microsoft-com:office:smarttags" w:element="place">
        <w:smartTag w:uri="urn:schemas-microsoft-com:office:smarttags" w:element="country-region">
          <w:r w:rsidRPr="001372E4">
            <w:rPr>
              <w:i/>
            </w:rPr>
            <w:t>Belarus</w:t>
          </w:r>
        </w:smartTag>
      </w:smartTag>
      <w:r>
        <w:t>, views adopted on 28 October 2013, para. 9.6; and the Committee’s general comment No. 34 (2011) on article 19: freedoms of opinion and expression, para. 34.</w:t>
      </w:r>
    </w:p>
  </w:footnote>
  <w:footnote w:id="11">
    <w:p w:rsidR="00851B4B" w:rsidRDefault="00851B4B" w:rsidP="00EE48B5">
      <w:pPr>
        <w:pStyle w:val="FootnoteText"/>
        <w:tabs>
          <w:tab w:val="right" w:pos="9639"/>
        </w:tabs>
      </w:pPr>
      <w:r>
        <w:tab/>
      </w:r>
      <w:r>
        <w:rPr>
          <w:vertAlign w:val="superscript"/>
        </w:rPr>
        <w:footnoteRef/>
      </w:r>
      <w:r>
        <w:tab/>
        <w:t>See the Committee’s general comment No. 34 (2011) on article 19: freedoms of opinion and expression, para. 34.</w:t>
      </w:r>
    </w:p>
  </w:footnote>
  <w:footnote w:id="12">
    <w:p w:rsidR="00851B4B" w:rsidRDefault="00851B4B" w:rsidP="00EE48B5">
      <w:pPr>
        <w:pStyle w:val="FootnoteText"/>
        <w:tabs>
          <w:tab w:val="right" w:pos="9639"/>
        </w:tabs>
      </w:pPr>
      <w:r>
        <w:tab/>
      </w:r>
      <w:r>
        <w:rPr>
          <w:vertAlign w:val="superscript"/>
        </w:rPr>
        <w:footnoteRef/>
      </w:r>
      <w:r>
        <w:tab/>
        <w:t xml:space="preserve">See communication No 1604/2007, </w:t>
      </w:r>
      <w:r>
        <w:rPr>
          <w:i/>
          <w:iCs/>
        </w:rPr>
        <w:t xml:space="preserve">Zalesskaya </w:t>
      </w:r>
      <w:r w:rsidRPr="00DE4509">
        <w:rPr>
          <w:iCs/>
        </w:rPr>
        <w:t>v.</w:t>
      </w:r>
      <w:r>
        <w:rPr>
          <w:i/>
          <w:iCs/>
        </w:rPr>
        <w:t xml:space="preserve"> </w:t>
      </w:r>
      <w:smartTag w:uri="urn:schemas-microsoft-com:office:smarttags" w:element="place">
        <w:smartTag w:uri="urn:schemas-microsoft-com:office:smarttags" w:element="country-region">
          <w:r>
            <w:rPr>
              <w:i/>
              <w:iCs/>
            </w:rPr>
            <w:t>Belarus</w:t>
          </w:r>
        </w:smartTag>
      </w:smartTag>
      <w:r>
        <w:t>, views adopted on 21 March 2011, para. 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4B" w:rsidRPr="00B04C03" w:rsidRDefault="00851B4B">
    <w:pPr>
      <w:pStyle w:val="Header"/>
    </w:pPr>
    <w:r>
      <w:t>CCPR/C/111/D/2030/2011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B4B" w:rsidRPr="00B04C03" w:rsidRDefault="00851B4B" w:rsidP="00B04C03">
    <w:pPr>
      <w:pStyle w:val="Header"/>
      <w:jc w:val="right"/>
    </w:pPr>
    <w:r>
      <w:t>CCPR/C/111/D/2030/2011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C03"/>
    <w:rsid w:val="000272B3"/>
    <w:rsid w:val="000313B1"/>
    <w:rsid w:val="000361AF"/>
    <w:rsid w:val="000447AD"/>
    <w:rsid w:val="00050F6B"/>
    <w:rsid w:val="00057E97"/>
    <w:rsid w:val="00060C3A"/>
    <w:rsid w:val="00070DAB"/>
    <w:rsid w:val="00072C8C"/>
    <w:rsid w:val="000733B5"/>
    <w:rsid w:val="00080A32"/>
    <w:rsid w:val="00081815"/>
    <w:rsid w:val="000931C0"/>
    <w:rsid w:val="000B175B"/>
    <w:rsid w:val="000B210C"/>
    <w:rsid w:val="000B3A0F"/>
    <w:rsid w:val="000B4EF7"/>
    <w:rsid w:val="000C2C03"/>
    <w:rsid w:val="000C2D2E"/>
    <w:rsid w:val="000E0415"/>
    <w:rsid w:val="00104445"/>
    <w:rsid w:val="001103AA"/>
    <w:rsid w:val="00136349"/>
    <w:rsid w:val="001372E4"/>
    <w:rsid w:val="00155FC5"/>
    <w:rsid w:val="00165F3A"/>
    <w:rsid w:val="001702A4"/>
    <w:rsid w:val="00183968"/>
    <w:rsid w:val="001916CF"/>
    <w:rsid w:val="0019182F"/>
    <w:rsid w:val="001A1F8E"/>
    <w:rsid w:val="001A6686"/>
    <w:rsid w:val="001B4B04"/>
    <w:rsid w:val="001B53DC"/>
    <w:rsid w:val="001C6663"/>
    <w:rsid w:val="001C7895"/>
    <w:rsid w:val="001D0C8C"/>
    <w:rsid w:val="001D26DF"/>
    <w:rsid w:val="001D3A03"/>
    <w:rsid w:val="001E05E9"/>
    <w:rsid w:val="00202DA8"/>
    <w:rsid w:val="0020434D"/>
    <w:rsid w:val="00207DE5"/>
    <w:rsid w:val="00211E0B"/>
    <w:rsid w:val="002244AB"/>
    <w:rsid w:val="0022676C"/>
    <w:rsid w:val="00230DF2"/>
    <w:rsid w:val="0023210C"/>
    <w:rsid w:val="00267F5F"/>
    <w:rsid w:val="00286B4D"/>
    <w:rsid w:val="002A668C"/>
    <w:rsid w:val="002B1D4C"/>
    <w:rsid w:val="002E1D46"/>
    <w:rsid w:val="002F175C"/>
    <w:rsid w:val="00321DE0"/>
    <w:rsid w:val="003229D8"/>
    <w:rsid w:val="00352709"/>
    <w:rsid w:val="0035344C"/>
    <w:rsid w:val="00367567"/>
    <w:rsid w:val="00371178"/>
    <w:rsid w:val="0038336C"/>
    <w:rsid w:val="003A6810"/>
    <w:rsid w:val="003B00F5"/>
    <w:rsid w:val="003B1E3F"/>
    <w:rsid w:val="003C2CC4"/>
    <w:rsid w:val="003D48FD"/>
    <w:rsid w:val="003D4B23"/>
    <w:rsid w:val="003E6D43"/>
    <w:rsid w:val="003F6492"/>
    <w:rsid w:val="00410C89"/>
    <w:rsid w:val="00426B9B"/>
    <w:rsid w:val="004325CB"/>
    <w:rsid w:val="00436B33"/>
    <w:rsid w:val="00441DC1"/>
    <w:rsid w:val="00442A83"/>
    <w:rsid w:val="0045495B"/>
    <w:rsid w:val="00480B3D"/>
    <w:rsid w:val="00487488"/>
    <w:rsid w:val="004A13E5"/>
    <w:rsid w:val="004A1AA0"/>
    <w:rsid w:val="004A684D"/>
    <w:rsid w:val="004F2D6A"/>
    <w:rsid w:val="0051602E"/>
    <w:rsid w:val="0052136D"/>
    <w:rsid w:val="0052775E"/>
    <w:rsid w:val="005420F2"/>
    <w:rsid w:val="00544C4D"/>
    <w:rsid w:val="005628B6"/>
    <w:rsid w:val="005848B3"/>
    <w:rsid w:val="00585159"/>
    <w:rsid w:val="00590F87"/>
    <w:rsid w:val="00592C4A"/>
    <w:rsid w:val="0059677E"/>
    <w:rsid w:val="005A68B7"/>
    <w:rsid w:val="005B3DB3"/>
    <w:rsid w:val="005C21D1"/>
    <w:rsid w:val="005D3B33"/>
    <w:rsid w:val="005F1A2F"/>
    <w:rsid w:val="005F7717"/>
    <w:rsid w:val="005F7B75"/>
    <w:rsid w:val="006001EE"/>
    <w:rsid w:val="00605042"/>
    <w:rsid w:val="00611FC4"/>
    <w:rsid w:val="006176FB"/>
    <w:rsid w:val="00640B26"/>
    <w:rsid w:val="00652D0A"/>
    <w:rsid w:val="00653973"/>
    <w:rsid w:val="00662BB6"/>
    <w:rsid w:val="00671147"/>
    <w:rsid w:val="00671E84"/>
    <w:rsid w:val="0067699D"/>
    <w:rsid w:val="00684C21"/>
    <w:rsid w:val="006D37AF"/>
    <w:rsid w:val="006D51D0"/>
    <w:rsid w:val="006E0D03"/>
    <w:rsid w:val="006E564B"/>
    <w:rsid w:val="006E7191"/>
    <w:rsid w:val="006F0F55"/>
    <w:rsid w:val="006F547C"/>
    <w:rsid w:val="00703577"/>
    <w:rsid w:val="0072632A"/>
    <w:rsid w:val="007327D5"/>
    <w:rsid w:val="007629C8"/>
    <w:rsid w:val="007A5818"/>
    <w:rsid w:val="007B4C0F"/>
    <w:rsid w:val="007B6BA5"/>
    <w:rsid w:val="007C2253"/>
    <w:rsid w:val="007C3390"/>
    <w:rsid w:val="007C4F4B"/>
    <w:rsid w:val="007C784F"/>
    <w:rsid w:val="007E0B2D"/>
    <w:rsid w:val="007F2775"/>
    <w:rsid w:val="007F5F25"/>
    <w:rsid w:val="007F6611"/>
    <w:rsid w:val="00807F59"/>
    <w:rsid w:val="008105B8"/>
    <w:rsid w:val="008242D7"/>
    <w:rsid w:val="008257B1"/>
    <w:rsid w:val="008306F5"/>
    <w:rsid w:val="00831141"/>
    <w:rsid w:val="00843767"/>
    <w:rsid w:val="00851B4B"/>
    <w:rsid w:val="008679D9"/>
    <w:rsid w:val="008979B1"/>
    <w:rsid w:val="008A1DB2"/>
    <w:rsid w:val="008A6B25"/>
    <w:rsid w:val="008A6C4F"/>
    <w:rsid w:val="008B2335"/>
    <w:rsid w:val="008D155A"/>
    <w:rsid w:val="008E0678"/>
    <w:rsid w:val="008F3711"/>
    <w:rsid w:val="00910F40"/>
    <w:rsid w:val="00912C08"/>
    <w:rsid w:val="009223CA"/>
    <w:rsid w:val="00940F4D"/>
    <w:rsid w:val="00940F93"/>
    <w:rsid w:val="00947D03"/>
    <w:rsid w:val="0095347F"/>
    <w:rsid w:val="009610F4"/>
    <w:rsid w:val="009760F3"/>
    <w:rsid w:val="00982A95"/>
    <w:rsid w:val="009909F5"/>
    <w:rsid w:val="00995A37"/>
    <w:rsid w:val="009A0E8D"/>
    <w:rsid w:val="009B26E7"/>
    <w:rsid w:val="009D3151"/>
    <w:rsid w:val="009D4807"/>
    <w:rsid w:val="009E68B6"/>
    <w:rsid w:val="00A00A3F"/>
    <w:rsid w:val="00A01489"/>
    <w:rsid w:val="00A16D0E"/>
    <w:rsid w:val="00A338F1"/>
    <w:rsid w:val="00A44615"/>
    <w:rsid w:val="00A502AF"/>
    <w:rsid w:val="00A72F22"/>
    <w:rsid w:val="00A7360F"/>
    <w:rsid w:val="00A748A6"/>
    <w:rsid w:val="00A769F4"/>
    <w:rsid w:val="00A776B4"/>
    <w:rsid w:val="00A94361"/>
    <w:rsid w:val="00AA293C"/>
    <w:rsid w:val="00AC3286"/>
    <w:rsid w:val="00AF0070"/>
    <w:rsid w:val="00B00936"/>
    <w:rsid w:val="00B04C03"/>
    <w:rsid w:val="00B106AA"/>
    <w:rsid w:val="00B13E9B"/>
    <w:rsid w:val="00B26E9D"/>
    <w:rsid w:val="00B30179"/>
    <w:rsid w:val="00B339A7"/>
    <w:rsid w:val="00B44CC4"/>
    <w:rsid w:val="00B56E4A"/>
    <w:rsid w:val="00B56E9C"/>
    <w:rsid w:val="00B64B1F"/>
    <w:rsid w:val="00B6553F"/>
    <w:rsid w:val="00B66E5E"/>
    <w:rsid w:val="00B77D05"/>
    <w:rsid w:val="00B81206"/>
    <w:rsid w:val="00B81E12"/>
    <w:rsid w:val="00B9067B"/>
    <w:rsid w:val="00B930AD"/>
    <w:rsid w:val="00BC18F4"/>
    <w:rsid w:val="00BC2C23"/>
    <w:rsid w:val="00BC68B0"/>
    <w:rsid w:val="00BC74E9"/>
    <w:rsid w:val="00BF68A8"/>
    <w:rsid w:val="00C056F0"/>
    <w:rsid w:val="00C07177"/>
    <w:rsid w:val="00C11A03"/>
    <w:rsid w:val="00C263B9"/>
    <w:rsid w:val="00C463DD"/>
    <w:rsid w:val="00C4724C"/>
    <w:rsid w:val="00C629A0"/>
    <w:rsid w:val="00C745C3"/>
    <w:rsid w:val="00C97612"/>
    <w:rsid w:val="00CA207A"/>
    <w:rsid w:val="00CC02A8"/>
    <w:rsid w:val="00CE4A8F"/>
    <w:rsid w:val="00D2031B"/>
    <w:rsid w:val="00D25FE2"/>
    <w:rsid w:val="00D30587"/>
    <w:rsid w:val="00D43252"/>
    <w:rsid w:val="00D47EEA"/>
    <w:rsid w:val="00D65A61"/>
    <w:rsid w:val="00D87090"/>
    <w:rsid w:val="00D95303"/>
    <w:rsid w:val="00D964A4"/>
    <w:rsid w:val="00D978C6"/>
    <w:rsid w:val="00DA0DFE"/>
    <w:rsid w:val="00DA3111"/>
    <w:rsid w:val="00DA3C1C"/>
    <w:rsid w:val="00DB0C79"/>
    <w:rsid w:val="00DC2B20"/>
    <w:rsid w:val="00DE4509"/>
    <w:rsid w:val="00DE5C0C"/>
    <w:rsid w:val="00E05600"/>
    <w:rsid w:val="00E11149"/>
    <w:rsid w:val="00E13BBD"/>
    <w:rsid w:val="00E27346"/>
    <w:rsid w:val="00E50BE5"/>
    <w:rsid w:val="00E71BC8"/>
    <w:rsid w:val="00E7260F"/>
    <w:rsid w:val="00E779FC"/>
    <w:rsid w:val="00E80EAF"/>
    <w:rsid w:val="00E95E31"/>
    <w:rsid w:val="00E96630"/>
    <w:rsid w:val="00EB2581"/>
    <w:rsid w:val="00EC525B"/>
    <w:rsid w:val="00EC59DE"/>
    <w:rsid w:val="00ED77DE"/>
    <w:rsid w:val="00ED7A2A"/>
    <w:rsid w:val="00EE1755"/>
    <w:rsid w:val="00EE48B5"/>
    <w:rsid w:val="00EF1D7F"/>
    <w:rsid w:val="00EF3AE6"/>
    <w:rsid w:val="00F20C3D"/>
    <w:rsid w:val="00F43E9E"/>
    <w:rsid w:val="00F637D6"/>
    <w:rsid w:val="00F85C18"/>
    <w:rsid w:val="00F9057C"/>
    <w:rsid w:val="00F906D7"/>
    <w:rsid w:val="00F92C7A"/>
    <w:rsid w:val="00F93781"/>
    <w:rsid w:val="00FA0E37"/>
    <w:rsid w:val="00FA2990"/>
    <w:rsid w:val="00FA6597"/>
    <w:rsid w:val="00FB613B"/>
    <w:rsid w:val="00FC492B"/>
    <w:rsid w:val="00FC68B7"/>
    <w:rsid w:val="00FE106A"/>
    <w:rsid w:val="00FE7B30"/>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E2BFF50E-1161-4EF3-8505-DC073C47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uiPriority w:val="99"/>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uiPriority w:val="99"/>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Hyperlink0">
    <w:name w:val="Hyperlink.0"/>
    <w:rsid w:val="00EE48B5"/>
    <w:rPr>
      <w:color w:val="000000"/>
      <w:u w:val="none" w:color="000000"/>
      <w:lang w:val="en-US"/>
    </w:rPr>
  </w:style>
  <w:style w:type="character" w:customStyle="1" w:styleId="Hyperlink1">
    <w:name w:val="Hyperlink.1"/>
    <w:rsid w:val="00EE48B5"/>
    <w:rPr>
      <w:color w:val="000000"/>
      <w:u w:val="none" w:color="000000"/>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uiPriority w:val="99"/>
    <w:locked/>
    <w:rsid w:val="0059677E"/>
    <w:rPr>
      <w:sz w:val="18"/>
      <w:lang w:eastAsia="en-US"/>
    </w:rPr>
  </w:style>
  <w:style w:type="paragraph" w:styleId="NormalWeb">
    <w:name w:val="Normal (Web)"/>
    <w:basedOn w:val="Normal"/>
    <w:uiPriority w:val="99"/>
    <w:unhideWhenUsed/>
    <w:rsid w:val="0059677E"/>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59677E"/>
    <w:pPr>
      <w:spacing w:line="240" w:lineRule="auto"/>
    </w:pPr>
    <w:rPr>
      <w:rFonts w:ascii="Tahoma" w:hAnsi="Tahoma"/>
      <w:sz w:val="16"/>
      <w:szCs w:val="16"/>
    </w:rPr>
  </w:style>
  <w:style w:type="character" w:customStyle="1" w:styleId="BalloonTextChar">
    <w:name w:val="Balloon Text Char"/>
    <w:link w:val="BalloonText"/>
    <w:rsid w:val="0059677E"/>
    <w:rPr>
      <w:rFonts w:ascii="Tahoma" w:hAnsi="Tahoma" w:cs="Tahoma"/>
      <w:sz w:val="16"/>
      <w:szCs w:val="16"/>
      <w:lang w:eastAsia="en-US"/>
    </w:rPr>
  </w:style>
  <w:style w:type="character" w:styleId="CommentReference">
    <w:name w:val="annotation reference"/>
    <w:semiHidden/>
    <w:rsid w:val="005D3B33"/>
    <w:rPr>
      <w:sz w:val="16"/>
      <w:szCs w:val="16"/>
    </w:rPr>
  </w:style>
  <w:style w:type="paragraph" w:styleId="CommentText">
    <w:name w:val="annotation text"/>
    <w:basedOn w:val="Normal"/>
    <w:semiHidden/>
    <w:rsid w:val="005D3B33"/>
  </w:style>
  <w:style w:type="paragraph" w:styleId="CommentSubject">
    <w:name w:val="annotation subject"/>
    <w:basedOn w:val="CommentText"/>
    <w:next w:val="CommentText"/>
    <w:semiHidden/>
    <w:rsid w:val="005D3B33"/>
    <w:rPr>
      <w:b/>
      <w:bCs/>
    </w:rPr>
  </w:style>
  <w:style w:type="paragraph" w:styleId="Revision">
    <w:name w:val="Revision"/>
    <w:hidden/>
    <w:uiPriority w:val="99"/>
    <w:semiHidden/>
    <w:rsid w:val="00DC2B2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en.wikipedia.org/wiki/good_faith" TargetMode="External"/><Relationship Id="rId4" Type="http://schemas.openxmlformats.org/officeDocument/2006/relationships/webSettings" Target="webSettings.xml"/><Relationship Id="rId9" Type="http://schemas.openxmlformats.org/officeDocument/2006/relationships/hyperlink" Target="http://en.wikipedia.org/wiki/treaty"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hudoc.echr.coe.int/sites/eng/pages/search.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8</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21808</CharactersWithSpaces>
  <SharedDoc>false</SharedDoc>
  <HLinks>
    <vt:vector size="18" baseType="variant">
      <vt:variant>
        <vt:i4>6094897</vt:i4>
      </vt:variant>
      <vt:variant>
        <vt:i4>3</vt:i4>
      </vt:variant>
      <vt:variant>
        <vt:i4>0</vt:i4>
      </vt:variant>
      <vt:variant>
        <vt:i4>5</vt:i4>
      </vt:variant>
      <vt:variant>
        <vt:lpwstr>http://en.wikipedia.org/wiki/good_faith</vt:lpwstr>
      </vt:variant>
      <vt:variant>
        <vt:lpwstr/>
      </vt:variant>
      <vt:variant>
        <vt:i4>7995430</vt:i4>
      </vt:variant>
      <vt:variant>
        <vt:i4>0</vt:i4>
      </vt:variant>
      <vt:variant>
        <vt:i4>0</vt:i4>
      </vt:variant>
      <vt:variant>
        <vt:i4>5</vt:i4>
      </vt:variant>
      <vt:variant>
        <vt:lpwstr>http://en.wikipedia.org/wiki/treaty</vt:lpwstr>
      </vt:variant>
      <vt:variant>
        <vt:lpwstr/>
      </vt:variant>
      <vt:variant>
        <vt:i4>3211387</vt:i4>
      </vt:variant>
      <vt:variant>
        <vt:i4>0</vt:i4>
      </vt:variant>
      <vt:variant>
        <vt:i4>0</vt:i4>
      </vt:variant>
      <vt:variant>
        <vt:i4>5</vt:i4>
      </vt:variant>
      <vt:variant>
        <vt:lpwstr>http://hudoc.echr.coe.int/sites/eng/pages/search.aspx</vt:lpwstr>
      </vt:variant>
      <vt:variant>
        <vt:lpwstr>%7B%5C</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Maria Belen Enriquez</dc:creator>
  <cp:keywords/>
  <cp:lastModifiedBy>Sarah Willig</cp:lastModifiedBy>
  <cp:revision>2</cp:revision>
  <cp:lastPrinted>2008-01-29T11:04:00Z</cp:lastPrinted>
  <dcterms:created xsi:type="dcterms:W3CDTF">2017-01-24T19:10:00Z</dcterms:created>
  <dcterms:modified xsi:type="dcterms:W3CDTF">2017-01-24T19:10:00Z</dcterms:modified>
</cp:coreProperties>
</file>