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0128E3" w14:paraId="32FB89E9" w14:textId="77777777" w:rsidTr="00B6553F">
        <w:trPr>
          <w:cantSplit/>
          <w:trHeight w:hRule="exact" w:val="851"/>
        </w:trPr>
        <w:tc>
          <w:tcPr>
            <w:tcW w:w="1276" w:type="dxa"/>
            <w:tcBorders>
              <w:bottom w:val="single" w:sz="4" w:space="0" w:color="auto"/>
            </w:tcBorders>
            <w:vAlign w:val="bottom"/>
          </w:tcPr>
          <w:p w14:paraId="3545B1E9" w14:textId="77777777" w:rsidR="000128E3" w:rsidRDefault="000128E3" w:rsidP="00B6553F">
            <w:pPr>
              <w:spacing w:after="80"/>
            </w:pPr>
            <w:bookmarkStart w:id="0" w:name="_GoBack"/>
            <w:bookmarkEnd w:id="0"/>
          </w:p>
        </w:tc>
        <w:tc>
          <w:tcPr>
            <w:tcW w:w="2268" w:type="dxa"/>
            <w:tcBorders>
              <w:bottom w:val="single" w:sz="4" w:space="0" w:color="auto"/>
            </w:tcBorders>
            <w:vAlign w:val="bottom"/>
          </w:tcPr>
          <w:p w14:paraId="4DC71681" w14:textId="77777777" w:rsidR="000128E3" w:rsidRPr="00B97172" w:rsidRDefault="000128E3" w:rsidP="00B6553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69B72B0D" w14:textId="759D4178" w:rsidR="000128E3" w:rsidRPr="00D47EEA" w:rsidRDefault="000128E3" w:rsidP="009A5BE7">
            <w:pPr>
              <w:jc w:val="right"/>
            </w:pPr>
            <w:r w:rsidRPr="008216A5">
              <w:rPr>
                <w:sz w:val="40"/>
              </w:rPr>
              <w:t>CCPR</w:t>
            </w:r>
            <w:r w:rsidR="00431FE1">
              <w:t>/C/117</w:t>
            </w:r>
            <w:r>
              <w:t>/D</w:t>
            </w:r>
            <w:r w:rsidR="009C7EFD">
              <w:t>/2082</w:t>
            </w:r>
            <w:r>
              <w:t>/201</w:t>
            </w:r>
            <w:r w:rsidR="009C7EFD">
              <w:t>1</w:t>
            </w:r>
          </w:p>
        </w:tc>
      </w:tr>
      <w:tr w:rsidR="000128E3" w14:paraId="0A5AEAF2" w14:textId="77777777" w:rsidTr="00B6553F">
        <w:trPr>
          <w:cantSplit/>
          <w:trHeight w:hRule="exact" w:val="2835"/>
        </w:trPr>
        <w:tc>
          <w:tcPr>
            <w:tcW w:w="1276" w:type="dxa"/>
            <w:tcBorders>
              <w:top w:val="single" w:sz="4" w:space="0" w:color="auto"/>
              <w:bottom w:val="single" w:sz="12" w:space="0" w:color="auto"/>
            </w:tcBorders>
          </w:tcPr>
          <w:p w14:paraId="76E6709B" w14:textId="77777777" w:rsidR="000128E3" w:rsidRDefault="00F145AF" w:rsidP="00B6553F">
            <w:pPr>
              <w:spacing w:before="120"/>
            </w:pPr>
            <w:r>
              <w:rPr>
                <w:noProof/>
                <w:lang w:val="en-US"/>
              </w:rPr>
              <w:drawing>
                <wp:inline distT="0" distB="0" distL="0" distR="0" wp14:anchorId="3175C93B" wp14:editId="0EB5A950">
                  <wp:extent cx="716280" cy="594360"/>
                  <wp:effectExtent l="0" t="0" r="762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280" cy="59436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017AD6A9" w14:textId="0416F2CB" w:rsidR="002E44D3" w:rsidRPr="007113A4" w:rsidRDefault="000128E3" w:rsidP="00267F5F">
            <w:pPr>
              <w:spacing w:before="120" w:line="380" w:lineRule="exact"/>
              <w:rPr>
                <w:b/>
                <w:sz w:val="34"/>
                <w:szCs w:val="40"/>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14:paraId="6089B7AE" w14:textId="115A8E0A" w:rsidR="00B67FEB" w:rsidRPr="00B12E1C" w:rsidRDefault="00B67FEB" w:rsidP="00B67FEB">
            <w:pPr>
              <w:spacing w:before="240" w:line="240" w:lineRule="exact"/>
            </w:pPr>
            <w:r>
              <w:t>Distr.:</w:t>
            </w:r>
            <w:r w:rsidRPr="00463B9A">
              <w:t xml:space="preserve"> </w:t>
            </w:r>
            <w:r w:rsidR="002E44D3">
              <w:t>General</w:t>
            </w:r>
          </w:p>
          <w:p w14:paraId="1E588773" w14:textId="700A7B49" w:rsidR="00B67FEB" w:rsidRPr="0074691A" w:rsidRDefault="007C4118" w:rsidP="00950033">
            <w:pPr>
              <w:spacing w:line="240" w:lineRule="exact"/>
            </w:pPr>
            <w:r>
              <w:t>9</w:t>
            </w:r>
            <w:r w:rsidR="002E44D3">
              <w:t xml:space="preserve"> </w:t>
            </w:r>
            <w:r w:rsidR="00950033">
              <w:t>September</w:t>
            </w:r>
            <w:r w:rsidR="00B67FEB">
              <w:t xml:space="preserve"> 2016</w:t>
            </w:r>
          </w:p>
          <w:p w14:paraId="455101AC" w14:textId="77777777" w:rsidR="00B67FEB" w:rsidRPr="00B12E1C" w:rsidRDefault="00B67FEB" w:rsidP="00B67FEB">
            <w:pPr>
              <w:spacing w:line="240" w:lineRule="exact"/>
            </w:pPr>
          </w:p>
          <w:p w14:paraId="4FB9F47B" w14:textId="77777777" w:rsidR="00B67FEB" w:rsidRPr="00463B9A" w:rsidRDefault="00B67FEB" w:rsidP="00B67FEB">
            <w:pPr>
              <w:spacing w:line="240" w:lineRule="exact"/>
            </w:pPr>
            <w:r w:rsidRPr="00463B9A">
              <w:t xml:space="preserve">Original: </w:t>
            </w:r>
            <w:r w:rsidRPr="0074691A">
              <w:t>English</w:t>
            </w:r>
          </w:p>
          <w:p w14:paraId="2BE4FA16" w14:textId="0180DF0F" w:rsidR="000128E3" w:rsidRPr="00594CF0" w:rsidRDefault="000128E3" w:rsidP="00B67FEB">
            <w:pPr>
              <w:spacing w:line="240" w:lineRule="exact"/>
            </w:pPr>
          </w:p>
        </w:tc>
      </w:tr>
    </w:tbl>
    <w:p w14:paraId="5CF40E4B" w14:textId="77777777" w:rsidR="008C017D" w:rsidRPr="008C017D" w:rsidRDefault="008C017D" w:rsidP="008C017D">
      <w:pPr>
        <w:spacing w:line="20" w:lineRule="exact"/>
        <w:rPr>
          <w:b/>
          <w:sz w:val="2"/>
          <w:szCs w:val="24"/>
          <w:lang w:val="en-US"/>
        </w:rPr>
      </w:pPr>
    </w:p>
    <w:p w14:paraId="19D53EEC" w14:textId="77777777" w:rsidR="00B67FEB" w:rsidRPr="00A36331" w:rsidRDefault="00B67FEB" w:rsidP="00B67FEB">
      <w:pPr>
        <w:spacing w:before="120"/>
        <w:rPr>
          <w:b/>
          <w:sz w:val="24"/>
          <w:szCs w:val="24"/>
        </w:rPr>
      </w:pPr>
      <w:r w:rsidRPr="00A36331">
        <w:rPr>
          <w:b/>
          <w:sz w:val="24"/>
          <w:szCs w:val="24"/>
        </w:rPr>
        <w:t>Human Rights Committee</w:t>
      </w:r>
    </w:p>
    <w:p w14:paraId="5ED90E1A" w14:textId="15F59890" w:rsidR="005F2E00" w:rsidRDefault="00B67FEB" w:rsidP="00040983">
      <w:pPr>
        <w:pStyle w:val="HChG"/>
        <w:rPr>
          <w:sz w:val="20"/>
        </w:rPr>
      </w:pPr>
      <w:r>
        <w:tab/>
      </w:r>
      <w:r>
        <w:tab/>
      </w:r>
      <w:r w:rsidR="002E44D3" w:rsidRPr="00686139">
        <w:t xml:space="preserve">Views adopted by the </w:t>
      </w:r>
      <w:r w:rsidR="002E44D3" w:rsidRPr="0018753A">
        <w:t>Committee</w:t>
      </w:r>
      <w:r w:rsidR="002E44D3" w:rsidRPr="00686139">
        <w:t xml:space="preserve"> under article 5</w:t>
      </w:r>
      <w:r w:rsidR="008F79C3">
        <w:t xml:space="preserve"> </w:t>
      </w:r>
      <w:r w:rsidR="002E44D3" w:rsidRPr="00686139">
        <w:t>(4) of the Optional Protocol, concerning communication No.</w:t>
      </w:r>
      <w:r w:rsidR="007C4118">
        <w:t> </w:t>
      </w:r>
      <w:r w:rsidR="002E44D3">
        <w:t>2082/2011</w:t>
      </w:r>
      <w:r w:rsidR="002E44D3" w:rsidRPr="00B86F81">
        <w:rPr>
          <w:rStyle w:val="FootnoteReference"/>
          <w:b w:val="0"/>
          <w:sz w:val="20"/>
          <w:vertAlign w:val="baseline"/>
        </w:rPr>
        <w:footnoteReference w:customMarkFollows="1" w:id="2"/>
        <w:t>*</w:t>
      </w:r>
      <w:r w:rsidR="002E44D3" w:rsidRPr="00B86F81">
        <w:rPr>
          <w:b w:val="0"/>
          <w:position w:val="4"/>
          <w:sz w:val="20"/>
        </w:rPr>
        <w:t>,</w:t>
      </w:r>
      <w:r w:rsidR="002E44D3" w:rsidRPr="00B86F81">
        <w:rPr>
          <w:b w:val="0"/>
          <w:sz w:val="20"/>
        </w:rPr>
        <w:t xml:space="preserve"> </w:t>
      </w:r>
      <w:r w:rsidR="002E44D3" w:rsidRPr="00B86F81">
        <w:rPr>
          <w:rStyle w:val="FootnoteReference"/>
          <w:b w:val="0"/>
          <w:sz w:val="20"/>
          <w:vertAlign w:val="baseline"/>
        </w:rPr>
        <w:footnoteReference w:customMarkFollows="1" w:id="3"/>
        <w:t>**</w:t>
      </w:r>
      <w:r w:rsidR="002068D4">
        <w:rPr>
          <w:b w:val="0"/>
          <w:sz w:val="20"/>
        </w:rPr>
        <w:t xml:space="preserve"> </w:t>
      </w:r>
    </w:p>
    <w:p w14:paraId="1AE96DE9" w14:textId="77777777" w:rsidR="000128E3" w:rsidRPr="008216A5" w:rsidRDefault="00683EF7" w:rsidP="007113A4">
      <w:pPr>
        <w:pStyle w:val="SingleTxtG"/>
        <w:ind w:left="4536" w:hanging="3402"/>
        <w:jc w:val="left"/>
      </w:pPr>
      <w:r>
        <w:rPr>
          <w:i/>
        </w:rPr>
        <w:t>Communication s</w:t>
      </w:r>
      <w:r w:rsidR="000128E3" w:rsidRPr="008216A5">
        <w:rPr>
          <w:i/>
        </w:rPr>
        <w:t>ubmitted by:</w:t>
      </w:r>
      <w:r w:rsidR="000128E3" w:rsidRPr="008216A5">
        <w:tab/>
      </w:r>
      <w:r w:rsidR="00BC5A8B">
        <w:t>Pavel Levinov</w:t>
      </w:r>
      <w:r w:rsidR="000128E3">
        <w:t xml:space="preserve"> (</w:t>
      </w:r>
      <w:r w:rsidR="00FC20C0">
        <w:t xml:space="preserve">not </w:t>
      </w:r>
      <w:r w:rsidR="000128E3" w:rsidRPr="008216A5">
        <w:t>represented</w:t>
      </w:r>
      <w:r w:rsidR="00FC20C0">
        <w:t xml:space="preserve"> by counsel</w:t>
      </w:r>
      <w:r w:rsidR="000128E3" w:rsidRPr="008216A5">
        <w:t>)</w:t>
      </w:r>
    </w:p>
    <w:p w14:paraId="082A5326" w14:textId="77777777" w:rsidR="000128E3" w:rsidRPr="008216A5" w:rsidRDefault="000128E3" w:rsidP="007113A4">
      <w:pPr>
        <w:pStyle w:val="SingleTxtG"/>
        <w:ind w:left="4536" w:hanging="3402"/>
        <w:jc w:val="left"/>
      </w:pPr>
      <w:r w:rsidRPr="008216A5">
        <w:rPr>
          <w:i/>
        </w:rPr>
        <w:t>Alleged victim:</w:t>
      </w:r>
      <w:r w:rsidRPr="008216A5">
        <w:tab/>
        <w:t>The author</w:t>
      </w:r>
    </w:p>
    <w:p w14:paraId="5AC48190" w14:textId="77777777" w:rsidR="000128E3" w:rsidRPr="008216A5" w:rsidRDefault="000128E3" w:rsidP="007113A4">
      <w:pPr>
        <w:pStyle w:val="SingleTxtG"/>
        <w:ind w:left="4536" w:hanging="3402"/>
        <w:jc w:val="left"/>
      </w:pPr>
      <w:r w:rsidRPr="008216A5">
        <w:rPr>
          <w:i/>
        </w:rPr>
        <w:t>State party:</w:t>
      </w:r>
      <w:r w:rsidRPr="008216A5">
        <w:tab/>
        <w:t>Belarus</w:t>
      </w:r>
    </w:p>
    <w:p w14:paraId="3FAB6A52" w14:textId="77777777" w:rsidR="000128E3" w:rsidRPr="008216A5" w:rsidRDefault="000128E3" w:rsidP="007113A4">
      <w:pPr>
        <w:pStyle w:val="SingleTxtG"/>
        <w:ind w:left="4536" w:hanging="3402"/>
        <w:jc w:val="left"/>
      </w:pPr>
      <w:r w:rsidRPr="008216A5">
        <w:rPr>
          <w:i/>
        </w:rPr>
        <w:t>Date of communication:</w:t>
      </w:r>
      <w:r w:rsidRPr="008216A5">
        <w:tab/>
      </w:r>
      <w:r>
        <w:t>3</w:t>
      </w:r>
      <w:r w:rsidR="00BC5A8B">
        <w:t>0</w:t>
      </w:r>
      <w:r>
        <w:t xml:space="preserve"> </w:t>
      </w:r>
      <w:r w:rsidR="00BC5A8B">
        <w:t>August</w:t>
      </w:r>
      <w:r>
        <w:t xml:space="preserve"> 2010 (initial submission</w:t>
      </w:r>
      <w:r w:rsidRPr="008216A5">
        <w:t>)</w:t>
      </w:r>
    </w:p>
    <w:p w14:paraId="2E1AB30B" w14:textId="04A19E19" w:rsidR="000128E3" w:rsidRPr="008216A5" w:rsidRDefault="000128E3" w:rsidP="007113A4">
      <w:pPr>
        <w:pStyle w:val="SingleTxtG"/>
        <w:ind w:left="4536" w:hanging="3402"/>
        <w:jc w:val="left"/>
      </w:pPr>
      <w:r w:rsidRPr="008216A5">
        <w:rPr>
          <w:i/>
        </w:rPr>
        <w:t>Document references:</w:t>
      </w:r>
      <w:r w:rsidRPr="008216A5">
        <w:tab/>
      </w:r>
      <w:r w:rsidR="00B67FEB">
        <w:t>Decision taken pursuant to rule</w:t>
      </w:r>
      <w:r w:rsidR="00B67FEB" w:rsidRPr="00B67FEB">
        <w:t xml:space="preserve"> 97 of the Committee’s rules of procedure</w:t>
      </w:r>
      <w:r w:rsidRPr="008216A5">
        <w:t xml:space="preserve">, transmitted to the State party on </w:t>
      </w:r>
      <w:r>
        <w:t>1</w:t>
      </w:r>
      <w:r w:rsidR="00BC5A8B">
        <w:t>0</w:t>
      </w:r>
      <w:r>
        <w:t xml:space="preserve"> August 201</w:t>
      </w:r>
      <w:r w:rsidR="00BC5A8B">
        <w:t>1</w:t>
      </w:r>
      <w:r w:rsidRPr="008216A5">
        <w:t xml:space="preserve"> (not issued in</w:t>
      </w:r>
      <w:r w:rsidR="002068D4">
        <w:t> </w:t>
      </w:r>
      <w:r w:rsidRPr="008216A5">
        <w:t>document form)</w:t>
      </w:r>
    </w:p>
    <w:p w14:paraId="51536C03" w14:textId="473AD8EF" w:rsidR="000128E3" w:rsidRDefault="000128E3" w:rsidP="007113A4">
      <w:pPr>
        <w:pStyle w:val="SingleTxtG"/>
        <w:ind w:left="4536" w:hanging="3402"/>
        <w:jc w:val="left"/>
        <w:rPr>
          <w:i/>
        </w:rPr>
      </w:pPr>
      <w:r w:rsidRPr="008216A5">
        <w:rPr>
          <w:i/>
        </w:rPr>
        <w:t>Date of adoption of Views:</w:t>
      </w:r>
      <w:r w:rsidRPr="008216A5">
        <w:tab/>
      </w:r>
      <w:r w:rsidR="009A5BE7">
        <w:t>14</w:t>
      </w:r>
      <w:r w:rsidR="00B67FEB">
        <w:t xml:space="preserve"> Ju</w:t>
      </w:r>
      <w:r w:rsidR="003E4B3A">
        <w:t>ly</w:t>
      </w:r>
      <w:r w:rsidR="00BC5A8B" w:rsidRPr="00B67FEB">
        <w:t xml:space="preserve"> </w:t>
      </w:r>
      <w:r w:rsidRPr="00B67FEB">
        <w:t>201</w:t>
      </w:r>
      <w:r w:rsidR="00BC5A8B" w:rsidRPr="00B67FEB">
        <w:t>6</w:t>
      </w:r>
    </w:p>
    <w:p w14:paraId="08637FB7" w14:textId="39FB399B" w:rsidR="000128E3" w:rsidRDefault="000128E3" w:rsidP="007113A4">
      <w:pPr>
        <w:pStyle w:val="SingleTxtG"/>
        <w:ind w:left="4536" w:hanging="3402"/>
        <w:jc w:val="left"/>
      </w:pPr>
      <w:r w:rsidRPr="008216A5">
        <w:rPr>
          <w:i/>
          <w:iCs/>
        </w:rPr>
        <w:t>Subject matter:</w:t>
      </w:r>
      <w:r w:rsidRPr="008216A5">
        <w:tab/>
      </w:r>
      <w:r>
        <w:tab/>
        <w:t xml:space="preserve">Refusal </w:t>
      </w:r>
      <w:r w:rsidR="00FC20C0">
        <w:t xml:space="preserve">of </w:t>
      </w:r>
      <w:r w:rsidR="00C6410D">
        <w:t>authorization</w:t>
      </w:r>
      <w:r w:rsidR="00FC20C0">
        <w:t xml:space="preserve"> </w:t>
      </w:r>
      <w:r>
        <w:t xml:space="preserve">to hold a peaceful assembly; freedom of expression; fair trial; effective remedy </w:t>
      </w:r>
    </w:p>
    <w:p w14:paraId="6C27540A" w14:textId="75DDBF67" w:rsidR="000128E3" w:rsidRPr="00596EFC" w:rsidRDefault="000128E3" w:rsidP="007113A4">
      <w:pPr>
        <w:pStyle w:val="SingleTxtG"/>
        <w:ind w:left="4536" w:hanging="3402"/>
        <w:jc w:val="left"/>
      </w:pPr>
      <w:r w:rsidRPr="008216A5">
        <w:rPr>
          <w:i/>
          <w:iCs/>
        </w:rPr>
        <w:t>Procedural issue</w:t>
      </w:r>
      <w:r>
        <w:rPr>
          <w:i/>
          <w:iCs/>
        </w:rPr>
        <w:t>s</w:t>
      </w:r>
      <w:r w:rsidRPr="008216A5">
        <w:rPr>
          <w:i/>
          <w:iCs/>
        </w:rPr>
        <w:t xml:space="preserve">: </w:t>
      </w:r>
      <w:r w:rsidRPr="008216A5">
        <w:rPr>
          <w:i/>
          <w:iCs/>
        </w:rPr>
        <w:tab/>
      </w:r>
      <w:r w:rsidR="00FC20C0">
        <w:t>A</w:t>
      </w:r>
      <w:r>
        <w:t xml:space="preserve">dmissibility </w:t>
      </w:r>
      <w:r>
        <w:rPr>
          <w:i/>
        </w:rPr>
        <w:t>ratione materiae</w:t>
      </w:r>
      <w:r w:rsidR="00FC20C0">
        <w:t>;</w:t>
      </w:r>
      <w:r>
        <w:t xml:space="preserve"> exhaustion of domestic remedies</w:t>
      </w:r>
    </w:p>
    <w:p w14:paraId="3BCFE531" w14:textId="5704D94A" w:rsidR="000128E3" w:rsidRDefault="000128E3" w:rsidP="007113A4">
      <w:pPr>
        <w:pStyle w:val="SingleTxtG"/>
        <w:ind w:left="4536" w:hanging="3402"/>
        <w:jc w:val="left"/>
      </w:pPr>
      <w:r w:rsidRPr="008216A5">
        <w:rPr>
          <w:i/>
          <w:iCs/>
        </w:rPr>
        <w:t xml:space="preserve">Substantive issues: </w:t>
      </w:r>
      <w:r w:rsidRPr="008216A5">
        <w:rPr>
          <w:i/>
          <w:iCs/>
        </w:rPr>
        <w:tab/>
      </w:r>
      <w:r>
        <w:rPr>
          <w:iCs/>
        </w:rPr>
        <w:t>F</w:t>
      </w:r>
      <w:r w:rsidRPr="00C42AEC">
        <w:t xml:space="preserve">reedom of expression; </w:t>
      </w:r>
      <w:r>
        <w:t>freedom</w:t>
      </w:r>
      <w:r w:rsidRPr="00C42AEC">
        <w:t xml:space="preserve"> of assembly</w:t>
      </w:r>
    </w:p>
    <w:p w14:paraId="31984F76" w14:textId="77777777" w:rsidR="000128E3" w:rsidRPr="008216A5" w:rsidRDefault="000128E3" w:rsidP="007113A4">
      <w:pPr>
        <w:pStyle w:val="SingleTxtG"/>
        <w:ind w:left="4536" w:hanging="3402"/>
        <w:jc w:val="left"/>
      </w:pPr>
      <w:r w:rsidRPr="008216A5">
        <w:rPr>
          <w:i/>
          <w:iCs/>
        </w:rPr>
        <w:t>Article</w:t>
      </w:r>
      <w:r>
        <w:rPr>
          <w:i/>
          <w:iCs/>
        </w:rPr>
        <w:t>s</w:t>
      </w:r>
      <w:r w:rsidRPr="008216A5">
        <w:rPr>
          <w:i/>
          <w:iCs/>
        </w:rPr>
        <w:t xml:space="preserve"> of the Covenant:</w:t>
      </w:r>
      <w:r w:rsidRPr="008216A5">
        <w:t xml:space="preserve"> </w:t>
      </w:r>
      <w:r w:rsidRPr="008216A5">
        <w:tab/>
      </w:r>
      <w:r>
        <w:t>2 (</w:t>
      </w:r>
      <w:r w:rsidR="001772BB">
        <w:t>1</w:t>
      </w:r>
      <w:r>
        <w:t xml:space="preserve">), </w:t>
      </w:r>
      <w:r w:rsidR="00BC5A8B">
        <w:t>5</w:t>
      </w:r>
      <w:r>
        <w:t xml:space="preserve"> (</w:t>
      </w:r>
      <w:r w:rsidR="00BC5A8B">
        <w:t>1</w:t>
      </w:r>
      <w:r>
        <w:t>), 14 (1), 19</w:t>
      </w:r>
      <w:r w:rsidR="00FC20C0">
        <w:t xml:space="preserve"> and</w:t>
      </w:r>
      <w:r>
        <w:t xml:space="preserve"> 21</w:t>
      </w:r>
    </w:p>
    <w:p w14:paraId="3B2D205C" w14:textId="77777777" w:rsidR="00B67FEB" w:rsidRDefault="000128E3" w:rsidP="00683EF7">
      <w:pPr>
        <w:pStyle w:val="SingleTxtG"/>
        <w:ind w:left="4536" w:hanging="3402"/>
        <w:jc w:val="left"/>
      </w:pPr>
      <w:r w:rsidRPr="008216A5">
        <w:rPr>
          <w:i/>
          <w:iCs/>
        </w:rPr>
        <w:t>Article</w:t>
      </w:r>
      <w:r>
        <w:rPr>
          <w:i/>
          <w:iCs/>
        </w:rPr>
        <w:t>s</w:t>
      </w:r>
      <w:r w:rsidRPr="008216A5">
        <w:rPr>
          <w:i/>
          <w:iCs/>
        </w:rPr>
        <w:t xml:space="preserve"> of the Optional Protocol:</w:t>
      </w:r>
      <w:r w:rsidRPr="008216A5">
        <w:rPr>
          <w:i/>
          <w:iCs/>
        </w:rPr>
        <w:tab/>
      </w:r>
      <w:r>
        <w:rPr>
          <w:iCs/>
        </w:rPr>
        <w:t xml:space="preserve">2, </w:t>
      </w:r>
      <w:r>
        <w:t>3</w:t>
      </w:r>
      <w:r w:rsidR="00FC20C0">
        <w:t xml:space="preserve"> and</w:t>
      </w:r>
      <w:r>
        <w:t xml:space="preserve"> 5</w:t>
      </w:r>
    </w:p>
    <w:p w14:paraId="4D3F2FA1" w14:textId="7010C3EC" w:rsidR="000128E3" w:rsidRDefault="000128E3" w:rsidP="004346B9">
      <w:pPr>
        <w:pStyle w:val="SingleTxtG"/>
      </w:pPr>
      <w:r>
        <w:t>1.</w:t>
      </w:r>
      <w:r>
        <w:tab/>
      </w:r>
      <w:r w:rsidRPr="008216A5">
        <w:t xml:space="preserve">The author of the communication is </w:t>
      </w:r>
      <w:r w:rsidR="00E3235C">
        <w:t>Pavel Levinov</w:t>
      </w:r>
      <w:r w:rsidRPr="008216A5">
        <w:t xml:space="preserve">, a national </w:t>
      </w:r>
      <w:r w:rsidR="005B31F6">
        <w:t xml:space="preserve">of Belarus </w:t>
      </w:r>
      <w:r w:rsidRPr="008216A5">
        <w:t>born in 19</w:t>
      </w:r>
      <w:r w:rsidR="00E3235C">
        <w:t>61</w:t>
      </w:r>
      <w:r w:rsidRPr="008216A5">
        <w:t>. He claims to be a victim of a violation by Belarus of his rights under article</w:t>
      </w:r>
      <w:r>
        <w:t>s</w:t>
      </w:r>
      <w:r w:rsidRPr="008216A5">
        <w:t xml:space="preserve"> </w:t>
      </w:r>
      <w:r w:rsidR="00E3235C">
        <w:t xml:space="preserve">2 (1), </w:t>
      </w:r>
      <w:r w:rsidR="00E3235C">
        <w:lastRenderedPageBreak/>
        <w:t>5</w:t>
      </w:r>
      <w:r w:rsidR="007C4118">
        <w:t> </w:t>
      </w:r>
      <w:r w:rsidR="00E3235C">
        <w:t>(1), 14 (1), 19 and 21</w:t>
      </w:r>
      <w:r>
        <w:t xml:space="preserve"> </w:t>
      </w:r>
      <w:r w:rsidRPr="008216A5">
        <w:t xml:space="preserve">of the Covenant. The Optional Protocol entered into force for </w:t>
      </w:r>
      <w:r>
        <w:t>Belarus</w:t>
      </w:r>
      <w:r w:rsidRPr="008216A5">
        <w:t xml:space="preserve"> on 30 December 1992. The author is </w:t>
      </w:r>
      <w:r w:rsidR="005B31F6">
        <w:t>not r</w:t>
      </w:r>
      <w:r w:rsidRPr="008216A5">
        <w:t>epresented</w:t>
      </w:r>
      <w:r w:rsidR="005B31F6">
        <w:t xml:space="preserve"> by counsel</w:t>
      </w:r>
      <w:r w:rsidRPr="008216A5">
        <w:t xml:space="preserve">. </w:t>
      </w:r>
    </w:p>
    <w:p w14:paraId="0C1314E6" w14:textId="77777777" w:rsidR="000128E3" w:rsidRPr="008216A5" w:rsidRDefault="000128E3" w:rsidP="00781C83">
      <w:pPr>
        <w:pStyle w:val="H23G"/>
      </w:pPr>
      <w:r w:rsidRPr="008216A5">
        <w:tab/>
      </w:r>
      <w:r w:rsidRPr="008216A5">
        <w:tab/>
        <w:t xml:space="preserve">The facts as </w:t>
      </w:r>
      <w:r>
        <w:t>submitted</w:t>
      </w:r>
      <w:r w:rsidRPr="008216A5">
        <w:t xml:space="preserve"> by the author</w:t>
      </w:r>
    </w:p>
    <w:p w14:paraId="53157420" w14:textId="006672C2" w:rsidR="000128E3" w:rsidRDefault="000128E3" w:rsidP="00F41C1A">
      <w:pPr>
        <w:pStyle w:val="SingleTxtG"/>
      </w:pPr>
      <w:r w:rsidRPr="008216A5">
        <w:t>2.1</w:t>
      </w:r>
      <w:r w:rsidRPr="008216A5">
        <w:tab/>
      </w:r>
      <w:r w:rsidR="00ED1515" w:rsidRPr="00CB4092">
        <w:t xml:space="preserve">On 30 November 2009, the author filed an application </w:t>
      </w:r>
      <w:r w:rsidR="00F41C1A">
        <w:t>with</w:t>
      </w:r>
      <w:r w:rsidR="00F41C1A" w:rsidRPr="00CB4092">
        <w:t xml:space="preserve"> </w:t>
      </w:r>
      <w:r w:rsidR="00ED1515" w:rsidRPr="00CB4092">
        <w:t xml:space="preserve">the Zheleznodorozhny District Administration of Vitebsk with a request to hold a </w:t>
      </w:r>
      <w:r w:rsidR="00ED1515">
        <w:t>picket</w:t>
      </w:r>
      <w:r w:rsidR="00ED1515" w:rsidRPr="00CB4092">
        <w:t xml:space="preserve"> on 31 December 2009. The purpose of the </w:t>
      </w:r>
      <w:r w:rsidR="00ED1515">
        <w:t>picket</w:t>
      </w:r>
      <w:r w:rsidR="00ED1515" w:rsidRPr="00CB4092">
        <w:t xml:space="preserve"> was to congratulate his fellow citizens on the occasion of </w:t>
      </w:r>
      <w:r w:rsidR="00ED1515">
        <w:t xml:space="preserve">the </w:t>
      </w:r>
      <w:r w:rsidR="00ED1515" w:rsidRPr="00CB4092">
        <w:t>New Year’s Eve</w:t>
      </w:r>
      <w:r w:rsidR="00ED1515" w:rsidRPr="00ED1515">
        <w:t xml:space="preserve"> </w:t>
      </w:r>
      <w:r w:rsidR="00ED1515">
        <w:t xml:space="preserve">and </w:t>
      </w:r>
      <w:r w:rsidR="00ED1515" w:rsidRPr="00CB4092">
        <w:t>Christmas. In the application</w:t>
      </w:r>
      <w:r w:rsidR="00F41C1A">
        <w:t>,</w:t>
      </w:r>
      <w:r w:rsidR="00ED1515" w:rsidRPr="00CB4092">
        <w:t xml:space="preserve"> he specified that the </w:t>
      </w:r>
      <w:r w:rsidR="00ED1515">
        <w:t>picket</w:t>
      </w:r>
      <w:r w:rsidR="00ED1515" w:rsidRPr="00CB4092">
        <w:t xml:space="preserve"> would be </w:t>
      </w:r>
      <w:r w:rsidR="00ED1515">
        <w:t>carried out</w:t>
      </w:r>
      <w:r w:rsidR="009C4496">
        <w:t xml:space="preserve"> by one person</w:t>
      </w:r>
      <w:r w:rsidR="00ED1515" w:rsidRPr="00CB4092">
        <w:t xml:space="preserve"> dressed as “Father Frost”.</w:t>
      </w:r>
    </w:p>
    <w:p w14:paraId="7914CEC8" w14:textId="72E5478B" w:rsidR="000128E3" w:rsidRDefault="000128E3" w:rsidP="00950033">
      <w:pPr>
        <w:pStyle w:val="SingleTxtG"/>
      </w:pPr>
      <w:r>
        <w:t>2.2</w:t>
      </w:r>
      <w:r>
        <w:tab/>
      </w:r>
      <w:r w:rsidR="00ED1515" w:rsidRPr="00CB4092">
        <w:t>On 3 December 2009</w:t>
      </w:r>
      <w:r w:rsidR="00ED1515">
        <w:t>,</w:t>
      </w:r>
      <w:r w:rsidR="00ED1515" w:rsidRPr="00CB4092">
        <w:t xml:space="preserve"> the </w:t>
      </w:r>
      <w:r w:rsidR="00ED1515">
        <w:t xml:space="preserve">author’s </w:t>
      </w:r>
      <w:r w:rsidR="00ED1515" w:rsidRPr="00CB4092">
        <w:t xml:space="preserve">application was rejected </w:t>
      </w:r>
      <w:r w:rsidR="00ED1515">
        <w:t xml:space="preserve">by the </w:t>
      </w:r>
      <w:r w:rsidR="00ED1515" w:rsidRPr="00CB4092">
        <w:t xml:space="preserve">District Administration on </w:t>
      </w:r>
      <w:r w:rsidR="00951522">
        <w:t>the following</w:t>
      </w:r>
      <w:r w:rsidR="00ED1515" w:rsidRPr="00CB4092">
        <w:t xml:space="preserve"> ground</w:t>
      </w:r>
      <w:r w:rsidR="00ED1515">
        <w:t xml:space="preserve">s: </w:t>
      </w:r>
      <w:r w:rsidR="00F41C1A">
        <w:t>(</w:t>
      </w:r>
      <w:r w:rsidR="00ED1515">
        <w:t>a)</w:t>
      </w:r>
      <w:r w:rsidR="00ED1515" w:rsidRPr="00CB4092">
        <w:t xml:space="preserve"> </w:t>
      </w:r>
      <w:r w:rsidR="00ED1515">
        <w:t xml:space="preserve">the location of the picket was not </w:t>
      </w:r>
      <w:r w:rsidR="00951522">
        <w:t xml:space="preserve">among </w:t>
      </w:r>
      <w:r w:rsidR="00ED1515">
        <w:t xml:space="preserve">the locations specified for such events in the </w:t>
      </w:r>
      <w:r w:rsidR="00ED1515" w:rsidRPr="00CB4092">
        <w:t xml:space="preserve">Vitebsk Town Executive Committee’s </w:t>
      </w:r>
      <w:r w:rsidR="00F41C1A">
        <w:t>d</w:t>
      </w:r>
      <w:r w:rsidR="00ED1515" w:rsidRPr="00CB4092">
        <w:t>ec</w:t>
      </w:r>
      <w:r w:rsidR="00ED1515">
        <w:t>ision No. 881 of 10 July 2009 on public events in Vitebsk town;</w:t>
      </w:r>
      <w:r w:rsidR="00703DA8" w:rsidRPr="009B663A">
        <w:rPr>
          <w:rStyle w:val="FootnoteReference"/>
        </w:rPr>
        <w:footnoteReference w:id="4"/>
      </w:r>
      <w:r w:rsidR="00ED1515">
        <w:t xml:space="preserve"> </w:t>
      </w:r>
      <w:r w:rsidR="00F41C1A">
        <w:t>(</w:t>
      </w:r>
      <w:r w:rsidR="00ED1515">
        <w:t xml:space="preserve">b) the author failed to submit </w:t>
      </w:r>
      <w:r w:rsidR="00ED1515" w:rsidRPr="00CB4092">
        <w:t xml:space="preserve">contracts with the </w:t>
      </w:r>
      <w:r w:rsidR="00951522">
        <w:t xml:space="preserve">respective </w:t>
      </w:r>
      <w:r w:rsidR="00ED1515" w:rsidRPr="00CB4092">
        <w:t xml:space="preserve">city </w:t>
      </w:r>
      <w:r w:rsidR="00951522">
        <w:t>service providers</w:t>
      </w:r>
      <w:r w:rsidR="00ED1515" w:rsidRPr="00CB4092">
        <w:t xml:space="preserve"> </w:t>
      </w:r>
      <w:r w:rsidR="00ED1515">
        <w:t xml:space="preserve">in order to ensure security, </w:t>
      </w:r>
      <w:r w:rsidR="000227DC">
        <w:t xml:space="preserve">medical care and </w:t>
      </w:r>
      <w:r w:rsidR="000227DC" w:rsidRPr="00244E82">
        <w:t>clean</w:t>
      </w:r>
      <w:r w:rsidR="00950033" w:rsidRPr="00C231D1">
        <w:t>ing</w:t>
      </w:r>
      <w:r w:rsidR="00950033">
        <w:t xml:space="preserve"> services</w:t>
      </w:r>
      <w:r w:rsidR="000227DC">
        <w:t xml:space="preserve"> during the picket, </w:t>
      </w:r>
      <w:r w:rsidR="00ED1515" w:rsidRPr="00CB4092">
        <w:t xml:space="preserve">as required by </w:t>
      </w:r>
      <w:r w:rsidR="00F41C1A">
        <w:t>d</w:t>
      </w:r>
      <w:r w:rsidR="00ED1515" w:rsidRPr="00CB4092">
        <w:t>ecision No. 881.</w:t>
      </w:r>
      <w:r w:rsidRPr="005C6D98">
        <w:t xml:space="preserve"> </w:t>
      </w:r>
    </w:p>
    <w:p w14:paraId="2E4DC2B9" w14:textId="7F963CA9" w:rsidR="000128E3" w:rsidRDefault="000128E3" w:rsidP="00F41C1A">
      <w:pPr>
        <w:pStyle w:val="SingleTxtG"/>
      </w:pPr>
      <w:r>
        <w:t>2.3</w:t>
      </w:r>
      <w:r>
        <w:tab/>
      </w:r>
      <w:r w:rsidR="00964E2E" w:rsidRPr="00CB4092">
        <w:t xml:space="preserve">On 15 December 2009, the author filed an appeal against the decision of the District Administration </w:t>
      </w:r>
      <w:r w:rsidR="00F41C1A">
        <w:t>with</w:t>
      </w:r>
      <w:r w:rsidR="00F41C1A" w:rsidRPr="00CB4092">
        <w:t xml:space="preserve"> </w:t>
      </w:r>
      <w:r w:rsidR="00964E2E" w:rsidRPr="00CB4092">
        <w:t>the Zheleznodorozhny District Court</w:t>
      </w:r>
      <w:r w:rsidR="00964E2E">
        <w:t>. O</w:t>
      </w:r>
      <w:r w:rsidR="00964E2E" w:rsidRPr="00CB4092">
        <w:t>n 24 December 2009</w:t>
      </w:r>
      <w:r w:rsidR="00964E2E">
        <w:t>, the appeal</w:t>
      </w:r>
      <w:r w:rsidR="00964E2E" w:rsidRPr="00CB4092">
        <w:t xml:space="preserve"> was dismissed. On 3 January 2010</w:t>
      </w:r>
      <w:r w:rsidR="00964E2E">
        <w:t>,</w:t>
      </w:r>
      <w:r w:rsidR="00964E2E" w:rsidRPr="00CB4092">
        <w:t xml:space="preserve"> the author filed a cassation app</w:t>
      </w:r>
      <w:r w:rsidR="008567BB">
        <w:t>eal against the District Court</w:t>
      </w:r>
      <w:r w:rsidR="00964E2E" w:rsidRPr="00CB4092">
        <w:t xml:space="preserve"> decision </w:t>
      </w:r>
      <w:r w:rsidR="00F41C1A">
        <w:t>with</w:t>
      </w:r>
      <w:r w:rsidR="00F41C1A" w:rsidRPr="00CB4092">
        <w:t xml:space="preserve"> </w:t>
      </w:r>
      <w:r w:rsidR="00964E2E" w:rsidRPr="00CB4092">
        <w:t>the Vitebsk Regional Court. On 15 February 2010</w:t>
      </w:r>
      <w:r w:rsidR="00964E2E">
        <w:t>,</w:t>
      </w:r>
      <w:r w:rsidR="008567BB">
        <w:t xml:space="preserve"> the Regional Court dismissed</w:t>
      </w:r>
      <w:r w:rsidR="00964E2E" w:rsidRPr="00CB4092">
        <w:t xml:space="preserve"> the author’s cassation appeal.</w:t>
      </w:r>
      <w:r>
        <w:t xml:space="preserve"> </w:t>
      </w:r>
      <w:r w:rsidR="00446B75">
        <w:t>T</w:t>
      </w:r>
      <w:r w:rsidR="00446B75" w:rsidRPr="00CB4092">
        <w:t xml:space="preserve">he author appealed through the supervisory review </w:t>
      </w:r>
      <w:r w:rsidR="008567BB">
        <w:t>procedure</w:t>
      </w:r>
      <w:r w:rsidR="00446B75" w:rsidRPr="00CB4092">
        <w:t xml:space="preserve"> to the </w:t>
      </w:r>
      <w:r w:rsidR="008567BB">
        <w:t>p</w:t>
      </w:r>
      <w:r w:rsidR="00446B75" w:rsidRPr="00CB4092">
        <w:t xml:space="preserve">resident of the Vitebsk Regional Court and the </w:t>
      </w:r>
      <w:r w:rsidR="00F41C1A">
        <w:t>P</w:t>
      </w:r>
      <w:r w:rsidR="00446B75" w:rsidRPr="00CB4092">
        <w:t>resident of the Supreme Court of Belarus on 7 June 2010 and on 14 July 2010</w:t>
      </w:r>
      <w:r w:rsidR="008567BB">
        <w:t>,</w:t>
      </w:r>
      <w:r w:rsidR="00446B75" w:rsidRPr="00CB4092">
        <w:t xml:space="preserve"> respectively. On 1 July 2010 and on 1</w:t>
      </w:r>
      <w:r w:rsidR="00446B75">
        <w:t>9</w:t>
      </w:r>
      <w:r w:rsidR="00446B75" w:rsidRPr="00CB4092">
        <w:t xml:space="preserve"> August 2010</w:t>
      </w:r>
      <w:r w:rsidR="008567BB">
        <w:t>,</w:t>
      </w:r>
      <w:r w:rsidR="00446B75" w:rsidRPr="00CB4092">
        <w:t xml:space="preserve"> </w:t>
      </w:r>
      <w:r w:rsidR="00F41C1A" w:rsidRPr="00CB4092">
        <w:t>respectively</w:t>
      </w:r>
      <w:r w:rsidR="00446B75">
        <w:t>,</w:t>
      </w:r>
      <w:r w:rsidR="00446B75" w:rsidRPr="00CB4092">
        <w:t xml:space="preserve"> the appeals were dismissed</w:t>
      </w:r>
      <w:r w:rsidR="00446B75">
        <w:t>.</w:t>
      </w:r>
    </w:p>
    <w:p w14:paraId="7833F49E" w14:textId="77777777" w:rsidR="001E46A1" w:rsidRDefault="001E46A1" w:rsidP="009E11CB">
      <w:pPr>
        <w:pStyle w:val="SingleTxtG"/>
      </w:pPr>
      <w:r>
        <w:t>2.4</w:t>
      </w:r>
      <w:r>
        <w:tab/>
      </w:r>
      <w:r w:rsidRPr="008D7960">
        <w:rPr>
          <w:lang w:val="en-US"/>
        </w:rPr>
        <w:t>The author contends that he has exhausted all available and effective domestic remedies.</w:t>
      </w:r>
    </w:p>
    <w:p w14:paraId="7C3C4130" w14:textId="77777777" w:rsidR="000128E3" w:rsidRPr="00D2276A" w:rsidRDefault="000128E3" w:rsidP="00F12D79">
      <w:pPr>
        <w:pStyle w:val="H23G"/>
      </w:pPr>
      <w:r>
        <w:tab/>
      </w:r>
      <w:r>
        <w:tab/>
      </w:r>
      <w:r w:rsidRPr="00D2276A">
        <w:t>The complaint</w:t>
      </w:r>
    </w:p>
    <w:p w14:paraId="2E9DCEF1" w14:textId="77777777" w:rsidR="00446B75" w:rsidRDefault="000128E3" w:rsidP="00DD2781">
      <w:pPr>
        <w:pStyle w:val="SingleTxtG"/>
        <w:rPr>
          <w:lang w:val="en-US"/>
        </w:rPr>
      </w:pPr>
      <w:r>
        <w:t>3.1</w:t>
      </w:r>
      <w:r>
        <w:tab/>
      </w:r>
      <w:r w:rsidR="007E085D">
        <w:rPr>
          <w:lang w:val="en-US"/>
        </w:rPr>
        <w:t xml:space="preserve">The author </w:t>
      </w:r>
      <w:r w:rsidR="00446B75" w:rsidRPr="008D7960">
        <w:rPr>
          <w:lang w:val="en-US"/>
        </w:rPr>
        <w:t>argues that Belarus has given precedence to its national legislation</w:t>
      </w:r>
      <w:r w:rsidR="00446B75">
        <w:rPr>
          <w:lang w:val="en-US"/>
        </w:rPr>
        <w:t xml:space="preserve"> before the international obligations under the Covenant,</w:t>
      </w:r>
      <w:r w:rsidR="00446B75" w:rsidRPr="008D7960">
        <w:rPr>
          <w:lang w:val="en-US"/>
        </w:rPr>
        <w:t xml:space="preserve"> in violation </w:t>
      </w:r>
      <w:r w:rsidR="00446B75">
        <w:rPr>
          <w:lang w:val="en-US"/>
        </w:rPr>
        <w:t>of article 2 (</w:t>
      </w:r>
      <w:r w:rsidR="00446B75" w:rsidRPr="008D7960">
        <w:rPr>
          <w:lang w:val="en-US"/>
        </w:rPr>
        <w:t>1</w:t>
      </w:r>
      <w:r w:rsidR="00446B75">
        <w:rPr>
          <w:lang w:val="en-US"/>
        </w:rPr>
        <w:t>)</w:t>
      </w:r>
      <w:r w:rsidR="008567BB" w:rsidRPr="008567BB">
        <w:rPr>
          <w:lang w:val="en-US"/>
        </w:rPr>
        <w:t xml:space="preserve"> </w:t>
      </w:r>
      <w:r w:rsidR="008567BB" w:rsidRPr="008D7960">
        <w:rPr>
          <w:lang w:val="en-US"/>
        </w:rPr>
        <w:t>of the Covenant</w:t>
      </w:r>
      <w:r w:rsidR="00446B75">
        <w:rPr>
          <w:lang w:val="en-US"/>
        </w:rPr>
        <w:t>.</w:t>
      </w:r>
    </w:p>
    <w:p w14:paraId="7718BACE" w14:textId="77777777" w:rsidR="00446B75" w:rsidRPr="00446B75" w:rsidRDefault="001E46A1" w:rsidP="00DD2781">
      <w:pPr>
        <w:pStyle w:val="SingleTxtG"/>
        <w:rPr>
          <w:lang w:val="en-US"/>
        </w:rPr>
      </w:pPr>
      <w:r>
        <w:rPr>
          <w:lang w:val="en-US"/>
        </w:rPr>
        <w:t>3.2</w:t>
      </w:r>
      <w:r w:rsidR="00446B75">
        <w:rPr>
          <w:lang w:val="en-US"/>
        </w:rPr>
        <w:tab/>
      </w:r>
      <w:r w:rsidR="00D07060">
        <w:rPr>
          <w:lang w:val="en-US"/>
        </w:rPr>
        <w:t>T</w:t>
      </w:r>
      <w:r w:rsidR="00D07060" w:rsidRPr="008D7960">
        <w:rPr>
          <w:lang w:val="en-US"/>
        </w:rPr>
        <w:t xml:space="preserve">he </w:t>
      </w:r>
      <w:r w:rsidR="00D07060">
        <w:rPr>
          <w:lang w:val="en-US"/>
        </w:rPr>
        <w:t>author states that the decision of the</w:t>
      </w:r>
      <w:r w:rsidR="00D07060" w:rsidRPr="008D7960">
        <w:rPr>
          <w:lang w:val="en-US"/>
        </w:rPr>
        <w:t xml:space="preserve"> </w:t>
      </w:r>
      <w:r w:rsidR="00D07060" w:rsidRPr="00CB4092">
        <w:t>District Administration</w:t>
      </w:r>
      <w:r w:rsidR="00D07060" w:rsidRPr="008D7960">
        <w:rPr>
          <w:lang w:val="en-US"/>
        </w:rPr>
        <w:t xml:space="preserve"> amount</w:t>
      </w:r>
      <w:r w:rsidR="00D07060">
        <w:rPr>
          <w:lang w:val="en-US"/>
        </w:rPr>
        <w:t>ed</w:t>
      </w:r>
      <w:r w:rsidR="00D07060" w:rsidRPr="008D7960">
        <w:rPr>
          <w:lang w:val="en-US"/>
        </w:rPr>
        <w:t xml:space="preserve"> to </w:t>
      </w:r>
      <w:r w:rsidR="00D07060">
        <w:rPr>
          <w:lang w:val="en-US"/>
        </w:rPr>
        <w:t xml:space="preserve">an </w:t>
      </w:r>
      <w:r w:rsidR="00D07060" w:rsidRPr="008D7960">
        <w:rPr>
          <w:lang w:val="en-US"/>
        </w:rPr>
        <w:t>ac</w:t>
      </w:r>
      <w:r w:rsidR="008567BB">
        <w:rPr>
          <w:lang w:val="en-US"/>
        </w:rPr>
        <w:t>t aimed at limiting the freedom</w:t>
      </w:r>
      <w:r w:rsidR="00D07060" w:rsidRPr="008D7960">
        <w:rPr>
          <w:lang w:val="en-US"/>
        </w:rPr>
        <w:t xml:space="preserve"> of assembly to a greater extent than is provided for in the Covenant and thus violate</w:t>
      </w:r>
      <w:r w:rsidR="00D07060">
        <w:rPr>
          <w:lang w:val="en-US"/>
        </w:rPr>
        <w:t>d</w:t>
      </w:r>
      <w:r w:rsidR="00D07060" w:rsidRPr="008D7960">
        <w:rPr>
          <w:lang w:val="en-US"/>
        </w:rPr>
        <w:t xml:space="preserve"> article 5</w:t>
      </w:r>
      <w:r w:rsidR="00D07060">
        <w:rPr>
          <w:lang w:val="en-US"/>
        </w:rPr>
        <w:t xml:space="preserve"> (1)</w:t>
      </w:r>
      <w:r w:rsidR="00D07060" w:rsidRPr="008D7960">
        <w:rPr>
          <w:lang w:val="en-US"/>
        </w:rPr>
        <w:t xml:space="preserve"> of the Covenant.</w:t>
      </w:r>
    </w:p>
    <w:p w14:paraId="0AC36714" w14:textId="3F4D3513" w:rsidR="00446B75" w:rsidRDefault="001E46A1" w:rsidP="00B45E7D">
      <w:pPr>
        <w:pStyle w:val="SingleTxtG"/>
      </w:pPr>
      <w:r>
        <w:t>3.3</w:t>
      </w:r>
      <w:r w:rsidR="00446B75">
        <w:tab/>
      </w:r>
      <w:r w:rsidR="00D07060">
        <w:rPr>
          <w:lang w:val="en-US"/>
        </w:rPr>
        <w:t xml:space="preserve">The author </w:t>
      </w:r>
      <w:r w:rsidR="00D07060" w:rsidRPr="008D7960">
        <w:rPr>
          <w:lang w:val="en-US"/>
        </w:rPr>
        <w:t>alleges that th</w:t>
      </w:r>
      <w:r w:rsidR="00D07060">
        <w:rPr>
          <w:lang w:val="en-US"/>
        </w:rPr>
        <w:t>e courts reviewing the decision</w:t>
      </w:r>
      <w:r w:rsidR="00D07060" w:rsidRPr="008D7960">
        <w:rPr>
          <w:lang w:val="en-US"/>
        </w:rPr>
        <w:t xml:space="preserve"> of the </w:t>
      </w:r>
      <w:r w:rsidR="00D07060" w:rsidRPr="00CB4092">
        <w:t>District Administration</w:t>
      </w:r>
      <w:r w:rsidR="00D07060" w:rsidRPr="008D7960">
        <w:rPr>
          <w:lang w:val="en-US"/>
        </w:rPr>
        <w:t xml:space="preserve"> acted in violation of the international human rights obligations of Belarus and were under the influence of the executive. Therefore, he alleges that his right to a fair hearing by a competent, independent and impartial tribunal </w:t>
      </w:r>
      <w:r w:rsidR="00D07060">
        <w:rPr>
          <w:lang w:val="en-US"/>
        </w:rPr>
        <w:t xml:space="preserve">provided for </w:t>
      </w:r>
      <w:r w:rsidR="00B45E7D">
        <w:rPr>
          <w:lang w:val="en-US"/>
        </w:rPr>
        <w:t xml:space="preserve">in </w:t>
      </w:r>
      <w:r w:rsidR="00D07060">
        <w:rPr>
          <w:lang w:val="en-US"/>
        </w:rPr>
        <w:t>a</w:t>
      </w:r>
      <w:r w:rsidR="00D07060" w:rsidRPr="008D7960">
        <w:rPr>
          <w:lang w:val="en-US"/>
        </w:rPr>
        <w:t>rticle 14</w:t>
      </w:r>
      <w:r w:rsidR="00D07060">
        <w:rPr>
          <w:lang w:val="en-US"/>
        </w:rPr>
        <w:t xml:space="preserve"> (1) of the Covenant </w:t>
      </w:r>
      <w:r w:rsidR="00D07060" w:rsidRPr="008D7960">
        <w:rPr>
          <w:lang w:val="en-US"/>
        </w:rPr>
        <w:t xml:space="preserve">was violated. </w:t>
      </w:r>
      <w:r w:rsidR="00D07060">
        <w:rPr>
          <w:lang w:val="en-US"/>
        </w:rPr>
        <w:t xml:space="preserve">To </w:t>
      </w:r>
      <w:r w:rsidR="00D07060" w:rsidRPr="008D7960">
        <w:rPr>
          <w:lang w:val="en-US"/>
        </w:rPr>
        <w:t>support</w:t>
      </w:r>
      <w:r w:rsidR="00D07060">
        <w:rPr>
          <w:lang w:val="en-US"/>
        </w:rPr>
        <w:t xml:space="preserve"> his argument, </w:t>
      </w:r>
      <w:r w:rsidR="00D07060" w:rsidRPr="008D7960">
        <w:rPr>
          <w:lang w:val="en-US"/>
        </w:rPr>
        <w:t xml:space="preserve">he refers to the </w:t>
      </w:r>
      <w:r w:rsidR="00D07060">
        <w:rPr>
          <w:lang w:val="en-US"/>
        </w:rPr>
        <w:t>r</w:t>
      </w:r>
      <w:r w:rsidR="00D07060" w:rsidRPr="008D7960">
        <w:rPr>
          <w:lang w:val="en-US"/>
        </w:rPr>
        <w:t xml:space="preserve">eport of the Special Rapporteur on the </w:t>
      </w:r>
      <w:r w:rsidR="00D07060">
        <w:rPr>
          <w:lang w:val="en-US"/>
        </w:rPr>
        <w:t>i</w:t>
      </w:r>
      <w:r w:rsidR="00D07060" w:rsidRPr="008D7960">
        <w:rPr>
          <w:lang w:val="en-US"/>
        </w:rPr>
        <w:t xml:space="preserve">ndependence of </w:t>
      </w:r>
      <w:r w:rsidR="00D07060">
        <w:rPr>
          <w:lang w:val="en-US"/>
        </w:rPr>
        <w:t>j</w:t>
      </w:r>
      <w:r w:rsidR="00D07060" w:rsidRPr="008D7960">
        <w:rPr>
          <w:lang w:val="en-US"/>
        </w:rPr>
        <w:t xml:space="preserve">udges and </w:t>
      </w:r>
      <w:r w:rsidR="00D07060">
        <w:rPr>
          <w:lang w:val="en-US"/>
        </w:rPr>
        <w:t>l</w:t>
      </w:r>
      <w:r w:rsidR="00D07060" w:rsidRPr="008D7960">
        <w:rPr>
          <w:lang w:val="en-US"/>
        </w:rPr>
        <w:t>awyers of 8 February 2001,</w:t>
      </w:r>
      <w:r w:rsidR="00D07060" w:rsidRPr="009B663A">
        <w:rPr>
          <w:rStyle w:val="FootnoteReference"/>
        </w:rPr>
        <w:footnoteReference w:id="5"/>
      </w:r>
      <w:r w:rsidR="00D07060" w:rsidRPr="008D7960">
        <w:rPr>
          <w:lang w:val="en-US"/>
        </w:rPr>
        <w:t xml:space="preserve"> and states that </w:t>
      </w:r>
      <w:r w:rsidR="00B45E7D">
        <w:rPr>
          <w:lang w:val="en-US"/>
        </w:rPr>
        <w:t>the Special Rapporteur’s</w:t>
      </w:r>
      <w:r w:rsidR="00B45E7D" w:rsidRPr="008D7960">
        <w:rPr>
          <w:lang w:val="en-US"/>
        </w:rPr>
        <w:t xml:space="preserve"> </w:t>
      </w:r>
      <w:r w:rsidR="00D07060" w:rsidRPr="008D7960">
        <w:rPr>
          <w:lang w:val="en-US"/>
        </w:rPr>
        <w:t>recommendations have not been implemented by the authorities.</w:t>
      </w:r>
      <w:r w:rsidR="00D07060">
        <w:rPr>
          <w:lang w:val="en-US"/>
        </w:rPr>
        <w:t xml:space="preserve"> </w:t>
      </w:r>
      <w:r w:rsidR="00D07060" w:rsidRPr="008D7960">
        <w:rPr>
          <w:lang w:val="en-US"/>
        </w:rPr>
        <w:t xml:space="preserve">The author </w:t>
      </w:r>
      <w:r w:rsidR="00D07060">
        <w:rPr>
          <w:lang w:val="en-US"/>
        </w:rPr>
        <w:t xml:space="preserve">also </w:t>
      </w:r>
      <w:r w:rsidR="00D07060" w:rsidRPr="008D7960">
        <w:rPr>
          <w:lang w:val="en-US"/>
        </w:rPr>
        <w:t xml:space="preserve">makes reference to </w:t>
      </w:r>
      <w:r w:rsidR="00D07060">
        <w:rPr>
          <w:lang w:val="en-US"/>
        </w:rPr>
        <w:t xml:space="preserve">communication No. </w:t>
      </w:r>
      <w:r w:rsidR="00D07060" w:rsidRPr="008D7960">
        <w:rPr>
          <w:lang w:val="en-US"/>
        </w:rPr>
        <w:t>628/1995,</w:t>
      </w:r>
      <w:r w:rsidR="00D07060" w:rsidRPr="009B663A">
        <w:rPr>
          <w:rStyle w:val="FootnoteReference"/>
        </w:rPr>
        <w:footnoteReference w:id="6"/>
      </w:r>
      <w:r w:rsidR="00D07060" w:rsidRPr="008D7960">
        <w:rPr>
          <w:lang w:val="en-US"/>
        </w:rPr>
        <w:t xml:space="preserve"> </w:t>
      </w:r>
      <w:r w:rsidR="00D07060">
        <w:rPr>
          <w:lang w:val="en-US"/>
        </w:rPr>
        <w:t>in which</w:t>
      </w:r>
      <w:r w:rsidR="00D07060" w:rsidRPr="008D7960">
        <w:rPr>
          <w:lang w:val="en-US"/>
        </w:rPr>
        <w:t xml:space="preserve"> the Committee found it incompatible with the Covenant that the State party ha</w:t>
      </w:r>
      <w:r w:rsidR="00D07060">
        <w:rPr>
          <w:lang w:val="en-US"/>
        </w:rPr>
        <w:t>d</w:t>
      </w:r>
      <w:r w:rsidR="00D07060" w:rsidRPr="008D7960">
        <w:rPr>
          <w:lang w:val="en-US"/>
        </w:rPr>
        <w:t xml:space="preserve"> given priority to the application of its national law over its obligations under the Covenant</w:t>
      </w:r>
      <w:r w:rsidR="00D07060">
        <w:rPr>
          <w:lang w:val="en-US"/>
        </w:rPr>
        <w:t>.</w:t>
      </w:r>
    </w:p>
    <w:p w14:paraId="05560FA9" w14:textId="0FF9E330" w:rsidR="00D07060" w:rsidRDefault="00D07060" w:rsidP="00857E2C">
      <w:pPr>
        <w:pStyle w:val="SingleTxtG"/>
        <w:rPr>
          <w:lang w:val="en-US"/>
        </w:rPr>
      </w:pPr>
      <w:r>
        <w:lastRenderedPageBreak/>
        <w:t>3.</w:t>
      </w:r>
      <w:r w:rsidR="001E46A1">
        <w:t>4</w:t>
      </w:r>
      <w:r>
        <w:tab/>
      </w:r>
      <w:r>
        <w:rPr>
          <w:lang w:val="en-US"/>
        </w:rPr>
        <w:t xml:space="preserve">The author </w:t>
      </w:r>
      <w:r w:rsidRPr="008D7960">
        <w:rPr>
          <w:lang w:val="en-US"/>
        </w:rPr>
        <w:t xml:space="preserve">claims that his freedom of expression has been restricted in violation of </w:t>
      </w:r>
      <w:r w:rsidR="00467903">
        <w:rPr>
          <w:lang w:val="en-US"/>
        </w:rPr>
        <w:t xml:space="preserve">article 19 of the Covenant. He claims that </w:t>
      </w:r>
      <w:r w:rsidRPr="008D7960">
        <w:rPr>
          <w:lang w:val="en-US"/>
        </w:rPr>
        <w:t xml:space="preserve">the restriction in question was </w:t>
      </w:r>
      <w:r>
        <w:rPr>
          <w:lang w:val="en-US"/>
        </w:rPr>
        <w:t>not</w:t>
      </w:r>
      <w:r w:rsidR="008567BB">
        <w:rPr>
          <w:lang w:val="en-US"/>
        </w:rPr>
        <w:t xml:space="preserve"> justified on the grounds </w:t>
      </w:r>
      <w:r w:rsidR="00467903">
        <w:rPr>
          <w:lang w:val="en-US"/>
        </w:rPr>
        <w:t>set out in article 19 (3) of the Covenant, i.e. was not in accordance with the law</w:t>
      </w:r>
      <w:r w:rsidR="00857E2C">
        <w:rPr>
          <w:lang w:val="en-US"/>
        </w:rPr>
        <w:t xml:space="preserve"> or </w:t>
      </w:r>
      <w:r w:rsidR="00857E2C" w:rsidRPr="008D7960">
        <w:rPr>
          <w:lang w:val="en-US"/>
        </w:rPr>
        <w:t>necessary for the protection of the rights and freedoms of others</w:t>
      </w:r>
      <w:r w:rsidR="00B45E7D">
        <w:rPr>
          <w:lang w:val="en-US"/>
        </w:rPr>
        <w:t xml:space="preserve"> and</w:t>
      </w:r>
      <w:r w:rsidR="00467903">
        <w:rPr>
          <w:lang w:val="en-US"/>
        </w:rPr>
        <w:t xml:space="preserve"> </w:t>
      </w:r>
      <w:r w:rsidR="00467903" w:rsidRPr="008D7960">
        <w:rPr>
          <w:lang w:val="en-US"/>
        </w:rPr>
        <w:t xml:space="preserve">was </w:t>
      </w:r>
      <w:r w:rsidR="00467903">
        <w:rPr>
          <w:lang w:val="en-US"/>
        </w:rPr>
        <w:t>not</w:t>
      </w:r>
      <w:r w:rsidR="00467903" w:rsidRPr="008D7960">
        <w:rPr>
          <w:lang w:val="en-US"/>
        </w:rPr>
        <w:t xml:space="preserve"> justified by reasons of national security </w:t>
      </w:r>
      <w:r w:rsidR="00467903">
        <w:rPr>
          <w:lang w:val="en-US"/>
        </w:rPr>
        <w:t>o</w:t>
      </w:r>
      <w:r w:rsidR="00467903" w:rsidRPr="008D7960">
        <w:rPr>
          <w:lang w:val="en-US"/>
        </w:rPr>
        <w:t xml:space="preserve">r public safety, public order, </w:t>
      </w:r>
      <w:r w:rsidR="00467903">
        <w:rPr>
          <w:lang w:val="en-US"/>
        </w:rPr>
        <w:t>or</w:t>
      </w:r>
      <w:r w:rsidR="00467903" w:rsidRPr="008D7960">
        <w:rPr>
          <w:lang w:val="en-US"/>
        </w:rPr>
        <w:t xml:space="preserve"> protect</w:t>
      </w:r>
      <w:r w:rsidR="00857E2C">
        <w:rPr>
          <w:lang w:val="en-US"/>
        </w:rPr>
        <w:t>ion of public health or morals</w:t>
      </w:r>
      <w:r w:rsidR="00467903" w:rsidRPr="008D7960">
        <w:rPr>
          <w:lang w:val="en-US"/>
        </w:rPr>
        <w:t>.</w:t>
      </w:r>
    </w:p>
    <w:p w14:paraId="51A36C02" w14:textId="77777777" w:rsidR="000128E3" w:rsidRDefault="001E46A1" w:rsidP="00D07060">
      <w:pPr>
        <w:pStyle w:val="SingleTxtG"/>
      </w:pPr>
      <w:r>
        <w:rPr>
          <w:lang w:val="en-US"/>
        </w:rPr>
        <w:t>3.5</w:t>
      </w:r>
      <w:r w:rsidR="00D07060">
        <w:rPr>
          <w:lang w:val="en-US"/>
        </w:rPr>
        <w:tab/>
      </w:r>
      <w:r w:rsidR="00D07060">
        <w:t>T</w:t>
      </w:r>
      <w:r w:rsidR="00D07060" w:rsidRPr="008D7960">
        <w:rPr>
          <w:lang w:val="en-US"/>
        </w:rPr>
        <w:t xml:space="preserve">he author claims that his right to peaceful assembly was restricted in violation of article 21 of the Covenant, as the imposed restriction </w:t>
      </w:r>
      <w:r w:rsidR="00D07060">
        <w:rPr>
          <w:lang w:val="en-US"/>
        </w:rPr>
        <w:t>was neither in accordance with the law nor</w:t>
      </w:r>
      <w:r w:rsidR="00D07060" w:rsidRPr="008D7960">
        <w:rPr>
          <w:lang w:val="en-US"/>
        </w:rPr>
        <w:t xml:space="preserve"> necessary in a democratic society.</w:t>
      </w:r>
    </w:p>
    <w:p w14:paraId="0573699D" w14:textId="77777777" w:rsidR="000128E3" w:rsidRPr="008216A5" w:rsidRDefault="000128E3" w:rsidP="00F26BC3">
      <w:pPr>
        <w:pStyle w:val="H23G"/>
      </w:pPr>
      <w:r w:rsidRPr="008216A5">
        <w:tab/>
      </w:r>
      <w:r w:rsidRPr="008216A5">
        <w:tab/>
        <w:t>State party</w:t>
      </w:r>
      <w:r>
        <w:t>’s</w:t>
      </w:r>
      <w:r w:rsidRPr="008216A5">
        <w:t xml:space="preserve"> observations </w:t>
      </w:r>
    </w:p>
    <w:p w14:paraId="37A75A31" w14:textId="1EE00BFC" w:rsidR="00B84D8C" w:rsidRDefault="000128E3" w:rsidP="00541848">
      <w:pPr>
        <w:pStyle w:val="SingleTxtG"/>
      </w:pPr>
      <w:r w:rsidRPr="005479E7">
        <w:t>4.</w:t>
      </w:r>
      <w:r>
        <w:t>1</w:t>
      </w:r>
      <w:r w:rsidRPr="005479E7">
        <w:tab/>
      </w:r>
      <w:r w:rsidR="005853D7">
        <w:t>In</w:t>
      </w:r>
      <w:r w:rsidR="005853D7" w:rsidRPr="005479E7">
        <w:t xml:space="preserve"> </w:t>
      </w:r>
      <w:r w:rsidRPr="005479E7">
        <w:t xml:space="preserve">a note verbale </w:t>
      </w:r>
      <w:r w:rsidR="00FA56DB">
        <w:t>dated</w:t>
      </w:r>
      <w:r w:rsidR="00FA56DB" w:rsidRPr="005479E7">
        <w:t xml:space="preserve"> </w:t>
      </w:r>
      <w:r w:rsidRPr="005479E7">
        <w:t>2</w:t>
      </w:r>
      <w:r w:rsidR="00B84D8C">
        <w:t>7</w:t>
      </w:r>
      <w:r w:rsidRPr="005479E7">
        <w:t xml:space="preserve"> </w:t>
      </w:r>
      <w:r w:rsidR="00B84D8C">
        <w:t>September</w:t>
      </w:r>
      <w:r w:rsidRPr="005479E7">
        <w:t xml:space="preserve"> 201</w:t>
      </w:r>
      <w:r w:rsidR="00B84D8C">
        <w:t>1</w:t>
      </w:r>
      <w:r w:rsidRPr="005479E7">
        <w:t xml:space="preserve">, the State party </w:t>
      </w:r>
      <w:r w:rsidR="00B84D8C">
        <w:t>note</w:t>
      </w:r>
      <w:r w:rsidR="00B45E7D">
        <w:t>s</w:t>
      </w:r>
      <w:r w:rsidR="00B84D8C">
        <w:t xml:space="preserve"> that the author has not exhausted all available domestic remedies as required </w:t>
      </w:r>
      <w:r w:rsidR="00541848">
        <w:t xml:space="preserve">in </w:t>
      </w:r>
      <w:r w:rsidR="00B84D8C">
        <w:t xml:space="preserve">article 2 of the Optional Protocol due to his failure to appeal to the Vitebsk </w:t>
      </w:r>
      <w:r w:rsidR="00B45E7D">
        <w:t>R</w:t>
      </w:r>
      <w:r w:rsidR="00B84D8C">
        <w:t xml:space="preserve">egional Prosecutor’s </w:t>
      </w:r>
      <w:r w:rsidR="00B45E7D">
        <w:t>O</w:t>
      </w:r>
      <w:r w:rsidR="00B84D8C">
        <w:t xml:space="preserve">ffice. </w:t>
      </w:r>
      <w:r w:rsidR="007E085D">
        <w:t xml:space="preserve">In </w:t>
      </w:r>
      <w:r w:rsidR="00CE5F5D">
        <w:t xml:space="preserve">the State party’s </w:t>
      </w:r>
      <w:r w:rsidR="007E085D">
        <w:t>opinion</w:t>
      </w:r>
      <w:r w:rsidR="00B45E7D">
        <w:t>,</w:t>
      </w:r>
      <w:r w:rsidR="007E085D">
        <w:t xml:space="preserve"> </w:t>
      </w:r>
      <w:r w:rsidR="00B84D8C">
        <w:t xml:space="preserve">there were no legal grounds for consideration of the communication </w:t>
      </w:r>
      <w:r w:rsidR="00CE5F5D">
        <w:t>since it</w:t>
      </w:r>
      <w:r w:rsidR="00B84D8C">
        <w:t xml:space="preserve"> was registered in violation of article 1 of the Optional Protocol.</w:t>
      </w:r>
    </w:p>
    <w:p w14:paraId="2A3BDF72" w14:textId="44480A84" w:rsidR="00B84D8C" w:rsidRDefault="00EE0B0F" w:rsidP="00B45E7D">
      <w:pPr>
        <w:pStyle w:val="SingleTxtG"/>
      </w:pPr>
      <w:r>
        <w:t>4.2</w:t>
      </w:r>
      <w:r>
        <w:tab/>
        <w:t>In a note verbale dated 25 January 2012, the State party state</w:t>
      </w:r>
      <w:r w:rsidR="00B45E7D">
        <w:t>s</w:t>
      </w:r>
      <w:r>
        <w:t xml:space="preserve"> that</w:t>
      </w:r>
      <w:r w:rsidR="00B45E7D">
        <w:t>,</w:t>
      </w:r>
      <w:r>
        <w:t xml:space="preserve"> by </w:t>
      </w:r>
      <w:r w:rsidRPr="005479E7">
        <w:t>becoming a party to the Optional Protocol, it had agreed, under article 1 thereof</w:t>
      </w:r>
      <w:r w:rsidR="00B45E7D">
        <w:t>,</w:t>
      </w:r>
      <w:r w:rsidRPr="005479E7">
        <w:t xml:space="preserve"> to recognize the competence of the Committee to receive and consider communications from individuals subject to its jurisdiction who claim to be victims of a violation by the State party of any rights protected by the Covenant. It note</w:t>
      </w:r>
      <w:r>
        <w:t>d</w:t>
      </w:r>
      <w:r w:rsidRPr="005479E7">
        <w:t xml:space="preserve">, however, that </w:t>
      </w:r>
      <w:r w:rsidR="00B45E7D">
        <w:t>that</w:t>
      </w:r>
      <w:r w:rsidR="00B45E7D" w:rsidRPr="005479E7">
        <w:t xml:space="preserve"> </w:t>
      </w:r>
      <w:r w:rsidRPr="005479E7">
        <w:t>recognition was undertaken in conjunction with other provisions of the Optional Protocol, including those establishing criteria regarding petitioners and the admissibility of their communications, in particular articles 2 and 5.</w:t>
      </w:r>
      <w:r>
        <w:t xml:space="preserve"> It maintained that</w:t>
      </w:r>
      <w:r w:rsidR="00B45E7D">
        <w:t>,</w:t>
      </w:r>
      <w:r>
        <w:t xml:space="preserve"> </w:t>
      </w:r>
      <w:r w:rsidRPr="005479E7">
        <w:t xml:space="preserve">under the Optional Protocol, States parties have no obligation to recognize the Committee’s rules of procedure nor its interpretation of the provisions of the Optional Protocol, which could only be effective when </w:t>
      </w:r>
      <w:r w:rsidR="003E4B3A">
        <w:t>undertaken</w:t>
      </w:r>
      <w:r w:rsidRPr="005479E7">
        <w:t xml:space="preserve"> in accordance with the Vienna Convention on</w:t>
      </w:r>
      <w:r>
        <w:t xml:space="preserve"> the Law of Treaties. It submit</w:t>
      </w:r>
      <w:r w:rsidR="00B45E7D">
        <w:t>s</w:t>
      </w:r>
      <w:r w:rsidRPr="005479E7">
        <w:t xml:space="preserve"> that, in relation to the </w:t>
      </w:r>
      <w:r w:rsidR="007E085D">
        <w:t xml:space="preserve">communications </w:t>
      </w:r>
      <w:r w:rsidRPr="005479E7">
        <w:t>procedure, States parties should be guided first and foremost by the provisions of the Optional Protocol, and that references to the Committee’s long-standing practice, methods of work and case law are not subject</w:t>
      </w:r>
      <w:r w:rsidR="00B45E7D">
        <w:t>s</w:t>
      </w:r>
      <w:r w:rsidRPr="005479E7">
        <w:t xml:space="preserve"> </w:t>
      </w:r>
      <w:r w:rsidR="00B45E7D">
        <w:t>of</w:t>
      </w:r>
      <w:r w:rsidR="00B45E7D" w:rsidRPr="005479E7">
        <w:t xml:space="preserve"> </w:t>
      </w:r>
      <w:r w:rsidRPr="005479E7">
        <w:t xml:space="preserve">the Optional Protocol. </w:t>
      </w:r>
      <w:r>
        <w:t>The State party a</w:t>
      </w:r>
      <w:r w:rsidRPr="005479E7">
        <w:t>lso submit</w:t>
      </w:r>
      <w:r w:rsidR="00B45E7D">
        <w:t>s</w:t>
      </w:r>
      <w:r w:rsidRPr="005479E7">
        <w:t xml:space="preserve"> that any communication registered in violation of the provisions of the Optional Protocol </w:t>
      </w:r>
      <w:r>
        <w:t>would</w:t>
      </w:r>
      <w:r w:rsidRPr="005479E7">
        <w:t xml:space="preserve"> be viewed as incompatible with the Optional Protocol and rejected without </w:t>
      </w:r>
      <w:r>
        <w:t>observations</w:t>
      </w:r>
      <w:r w:rsidRPr="005479E7">
        <w:t xml:space="preserve"> on admissibility or</w:t>
      </w:r>
      <w:r w:rsidR="00B45E7D">
        <w:t xml:space="preserve"> the</w:t>
      </w:r>
      <w:r w:rsidRPr="005479E7">
        <w:t xml:space="preserve"> merits, and any decision taken by the Committee on such communications </w:t>
      </w:r>
      <w:r>
        <w:t>would</w:t>
      </w:r>
      <w:r w:rsidRPr="005479E7">
        <w:t xml:space="preserve"> be considered by its authorities as “invalid”. The State party </w:t>
      </w:r>
      <w:r>
        <w:t>reiterate</w:t>
      </w:r>
      <w:r w:rsidR="00B45E7D">
        <w:t>s</w:t>
      </w:r>
      <w:r>
        <w:t xml:space="preserve"> its view </w:t>
      </w:r>
      <w:r w:rsidRPr="005479E7">
        <w:t xml:space="preserve">that the present communication </w:t>
      </w:r>
      <w:r>
        <w:t>was</w:t>
      </w:r>
      <w:r w:rsidRPr="005479E7">
        <w:t xml:space="preserve"> registered in violation of the Optional Protocol.</w:t>
      </w:r>
    </w:p>
    <w:p w14:paraId="55F7E37E" w14:textId="77777777" w:rsidR="000128E3" w:rsidRPr="008F4C04" w:rsidRDefault="008F4C04" w:rsidP="007113A4">
      <w:pPr>
        <w:pStyle w:val="H23G"/>
      </w:pPr>
      <w:r>
        <w:tab/>
      </w:r>
      <w:r>
        <w:tab/>
      </w:r>
      <w:r w:rsidR="000128E3" w:rsidRPr="00AF6C3B">
        <w:t>Author’s comments on the State party’s observations</w:t>
      </w:r>
    </w:p>
    <w:p w14:paraId="21DF32C4" w14:textId="637A02FC" w:rsidR="000128E3" w:rsidRDefault="000128E3" w:rsidP="005D6E83">
      <w:pPr>
        <w:pStyle w:val="SingleTxtG"/>
        <w:rPr>
          <w:bCs/>
        </w:rPr>
      </w:pPr>
      <w:r w:rsidRPr="00AF6C3B">
        <w:t>5.1</w:t>
      </w:r>
      <w:r w:rsidRPr="00AF6C3B">
        <w:tab/>
      </w:r>
      <w:r w:rsidR="00956A6B">
        <w:rPr>
          <w:bCs/>
        </w:rPr>
        <w:t xml:space="preserve">In a letter </w:t>
      </w:r>
      <w:r w:rsidR="00B45E7D">
        <w:rPr>
          <w:bCs/>
        </w:rPr>
        <w:t xml:space="preserve">dated </w:t>
      </w:r>
      <w:r w:rsidR="00956A6B">
        <w:rPr>
          <w:bCs/>
        </w:rPr>
        <w:t>27 January 201</w:t>
      </w:r>
      <w:r w:rsidR="00102AC0">
        <w:rPr>
          <w:bCs/>
        </w:rPr>
        <w:t>5</w:t>
      </w:r>
      <w:r w:rsidR="00956A6B">
        <w:rPr>
          <w:bCs/>
        </w:rPr>
        <w:t>, the author submit</w:t>
      </w:r>
      <w:r w:rsidR="00B45E7D">
        <w:rPr>
          <w:bCs/>
        </w:rPr>
        <w:t>s</w:t>
      </w:r>
      <w:r w:rsidR="00956A6B">
        <w:rPr>
          <w:bCs/>
        </w:rPr>
        <w:t xml:space="preserve"> that</w:t>
      </w:r>
      <w:r w:rsidR="00B45E7D">
        <w:rPr>
          <w:bCs/>
        </w:rPr>
        <w:t>,</w:t>
      </w:r>
      <w:r w:rsidR="00956A6B">
        <w:rPr>
          <w:bCs/>
        </w:rPr>
        <w:t xml:space="preserve"> according </w:t>
      </w:r>
      <w:r w:rsidR="00B45E7D">
        <w:rPr>
          <w:bCs/>
        </w:rPr>
        <w:t xml:space="preserve">to </w:t>
      </w:r>
      <w:r w:rsidR="00956A6B">
        <w:rPr>
          <w:bCs/>
        </w:rPr>
        <w:t>the jurisprudence of the Committee</w:t>
      </w:r>
      <w:r w:rsidR="00956A6B" w:rsidRPr="009B663A">
        <w:rPr>
          <w:rStyle w:val="FootnoteReference"/>
        </w:rPr>
        <w:footnoteReference w:id="7"/>
      </w:r>
      <w:r w:rsidR="00956A6B">
        <w:rPr>
          <w:bCs/>
        </w:rPr>
        <w:t xml:space="preserve"> and the European Court of Human Rights</w:t>
      </w:r>
      <w:r w:rsidR="00B45E7D">
        <w:rPr>
          <w:bCs/>
        </w:rPr>
        <w:t>,</w:t>
      </w:r>
      <w:r w:rsidR="00956A6B" w:rsidRPr="009B663A">
        <w:rPr>
          <w:rStyle w:val="FootnoteReference"/>
        </w:rPr>
        <w:footnoteReference w:id="8"/>
      </w:r>
      <w:r w:rsidR="00956A6B">
        <w:rPr>
          <w:bCs/>
        </w:rPr>
        <w:t xml:space="preserve"> the supervisory review before the Prosecutor’s </w:t>
      </w:r>
      <w:r w:rsidR="00B45E7D">
        <w:rPr>
          <w:bCs/>
        </w:rPr>
        <w:t>O</w:t>
      </w:r>
      <w:r w:rsidR="00956A6B">
        <w:rPr>
          <w:bCs/>
        </w:rPr>
        <w:t>ffice cannot be considered an effective domestic remedy.</w:t>
      </w:r>
    </w:p>
    <w:p w14:paraId="0AAB4274" w14:textId="7C9BFBE8" w:rsidR="000128E3" w:rsidRDefault="000128E3" w:rsidP="00B45E7D">
      <w:pPr>
        <w:pStyle w:val="SingleTxtG"/>
        <w:rPr>
          <w:bCs/>
        </w:rPr>
      </w:pPr>
      <w:r w:rsidRPr="003B483A">
        <w:rPr>
          <w:bCs/>
        </w:rPr>
        <w:t>5.2</w:t>
      </w:r>
      <w:r w:rsidRPr="003B483A">
        <w:rPr>
          <w:bCs/>
        </w:rPr>
        <w:tab/>
        <w:t xml:space="preserve">Regarding the State party’s challenge </w:t>
      </w:r>
      <w:r w:rsidR="00B45E7D">
        <w:rPr>
          <w:bCs/>
        </w:rPr>
        <w:t>to</w:t>
      </w:r>
      <w:r w:rsidR="00B45E7D" w:rsidRPr="003B483A">
        <w:rPr>
          <w:bCs/>
        </w:rPr>
        <w:t xml:space="preserve"> </w:t>
      </w:r>
      <w:r w:rsidRPr="003B483A">
        <w:rPr>
          <w:bCs/>
        </w:rPr>
        <w:t xml:space="preserve">the Committee’s </w:t>
      </w:r>
      <w:r w:rsidR="00412A50">
        <w:rPr>
          <w:bCs/>
        </w:rPr>
        <w:t>r</w:t>
      </w:r>
      <w:r w:rsidRPr="003B483A">
        <w:rPr>
          <w:bCs/>
        </w:rPr>
        <w:t xml:space="preserve">ules of </w:t>
      </w:r>
      <w:r w:rsidR="00412A50">
        <w:rPr>
          <w:bCs/>
        </w:rPr>
        <w:t>p</w:t>
      </w:r>
      <w:r w:rsidR="00F318C1">
        <w:rPr>
          <w:bCs/>
        </w:rPr>
        <w:t>rocedure, the author note</w:t>
      </w:r>
      <w:r w:rsidR="00B45E7D">
        <w:rPr>
          <w:bCs/>
        </w:rPr>
        <w:t>s</w:t>
      </w:r>
      <w:r w:rsidRPr="003B483A">
        <w:rPr>
          <w:bCs/>
        </w:rPr>
        <w:t xml:space="preserve"> that the Committee interprets the provisions of the Covenant and that “t</w:t>
      </w:r>
      <w:r w:rsidRPr="003B483A">
        <w:t xml:space="preserve">he views of the Committee under the Optional Protocol represent an authoritative determination by the organ established under the Covenant itself charged with the </w:t>
      </w:r>
      <w:r w:rsidRPr="003B483A">
        <w:lastRenderedPageBreak/>
        <w:t>interpretation of that instrument</w:t>
      </w:r>
      <w:r>
        <w:t>”.</w:t>
      </w:r>
      <w:r w:rsidRPr="009B663A">
        <w:rPr>
          <w:rStyle w:val="FootnoteReference"/>
        </w:rPr>
        <w:footnoteReference w:id="9"/>
      </w:r>
      <w:r w:rsidR="00474E3B">
        <w:rPr>
          <w:b/>
          <w:bCs/>
        </w:rPr>
        <w:t xml:space="preserve"> </w:t>
      </w:r>
      <w:r w:rsidR="003E4B3A">
        <w:rPr>
          <w:bCs/>
        </w:rPr>
        <w:t>Thus, a</w:t>
      </w:r>
      <w:r w:rsidRPr="00161B02">
        <w:rPr>
          <w:bCs/>
        </w:rPr>
        <w:t>ccording to the author,</w:t>
      </w:r>
      <w:r>
        <w:rPr>
          <w:b/>
          <w:bCs/>
        </w:rPr>
        <w:t xml:space="preserve"> </w:t>
      </w:r>
      <w:r>
        <w:rPr>
          <w:bCs/>
        </w:rPr>
        <w:t xml:space="preserve">the State party must respect the </w:t>
      </w:r>
      <w:r w:rsidRPr="00B47380">
        <w:rPr>
          <w:bCs/>
        </w:rPr>
        <w:t>Committee’s decisions, as well as its “standards, practice, and methods of work”</w:t>
      </w:r>
      <w:r>
        <w:rPr>
          <w:bCs/>
        </w:rPr>
        <w:t>.</w:t>
      </w:r>
    </w:p>
    <w:p w14:paraId="672106EC" w14:textId="071BDB36" w:rsidR="00956A6B" w:rsidRDefault="00F318C1" w:rsidP="00C702EE">
      <w:pPr>
        <w:pStyle w:val="SingleTxtG"/>
        <w:rPr>
          <w:bCs/>
        </w:rPr>
      </w:pPr>
      <w:r>
        <w:rPr>
          <w:bCs/>
        </w:rPr>
        <w:t>5.3</w:t>
      </w:r>
      <w:r>
        <w:rPr>
          <w:bCs/>
        </w:rPr>
        <w:tab/>
        <w:t>The author point</w:t>
      </w:r>
      <w:r w:rsidR="00B45E7D">
        <w:rPr>
          <w:bCs/>
        </w:rPr>
        <w:t>s</w:t>
      </w:r>
      <w:r w:rsidR="00956A6B">
        <w:rPr>
          <w:bCs/>
        </w:rPr>
        <w:t xml:space="preserve"> out that</w:t>
      </w:r>
      <w:r w:rsidR="00B45E7D">
        <w:rPr>
          <w:bCs/>
        </w:rPr>
        <w:t>,</w:t>
      </w:r>
      <w:r w:rsidR="00956A6B">
        <w:rPr>
          <w:bCs/>
        </w:rPr>
        <w:t xml:space="preserve"> as of the date of his submission, the State party has failed to </w:t>
      </w:r>
      <w:r>
        <w:rPr>
          <w:bCs/>
        </w:rPr>
        <w:t xml:space="preserve">implement the Committee’s Views in more than 65 communications, including a number of communications submitted by </w:t>
      </w:r>
      <w:r w:rsidR="003E4B3A">
        <w:rPr>
          <w:bCs/>
        </w:rPr>
        <w:t>the author himself</w:t>
      </w:r>
      <w:r>
        <w:rPr>
          <w:bCs/>
        </w:rPr>
        <w:t>.</w:t>
      </w:r>
      <w:r w:rsidRPr="009B663A">
        <w:rPr>
          <w:rStyle w:val="FootnoteReference"/>
        </w:rPr>
        <w:footnoteReference w:id="10"/>
      </w:r>
    </w:p>
    <w:p w14:paraId="79138112" w14:textId="77777777" w:rsidR="000128E3" w:rsidRDefault="000128E3" w:rsidP="00ED06EC">
      <w:pPr>
        <w:pStyle w:val="H23G"/>
        <w:spacing w:afterLines="120" w:after="288"/>
      </w:pPr>
      <w:r w:rsidRPr="008216A5">
        <w:tab/>
      </w:r>
      <w:r w:rsidRPr="008216A5">
        <w:tab/>
      </w:r>
      <w:r w:rsidRPr="00236D66">
        <w:t>Issues and proceedings before the Committee</w:t>
      </w:r>
    </w:p>
    <w:p w14:paraId="7C4B7A9C" w14:textId="10D6C538" w:rsidR="000128E3" w:rsidRPr="00ED06EC" w:rsidRDefault="000128E3" w:rsidP="00B45E7D">
      <w:pPr>
        <w:spacing w:before="240" w:after="120"/>
        <w:rPr>
          <w:i/>
        </w:rPr>
      </w:pPr>
      <w:r>
        <w:tab/>
      </w:r>
      <w:r>
        <w:tab/>
      </w:r>
      <w:r w:rsidR="00B45E7D">
        <w:rPr>
          <w:i/>
          <w:iCs/>
        </w:rPr>
        <w:t xml:space="preserve">The State party’s </w:t>
      </w:r>
      <w:r w:rsidR="00B45E7D">
        <w:rPr>
          <w:i/>
        </w:rPr>
        <w:t>l</w:t>
      </w:r>
      <w:r>
        <w:rPr>
          <w:i/>
        </w:rPr>
        <w:t>ack of cooperation</w:t>
      </w:r>
    </w:p>
    <w:p w14:paraId="76ABA23D" w14:textId="77777777" w:rsidR="000128E3" w:rsidRDefault="000128E3" w:rsidP="00386EF5">
      <w:pPr>
        <w:pStyle w:val="SingleTxtG"/>
      </w:pPr>
      <w:r>
        <w:t>6.1</w:t>
      </w:r>
      <w:r>
        <w:tab/>
      </w:r>
      <w:r w:rsidRPr="003973D0">
        <w:t>The Committee notes the State party’s assertion that there are no legal grounds for the consideration of the author</w:t>
      </w:r>
      <w:r>
        <w:t>’s</w:t>
      </w:r>
      <w:r w:rsidRPr="003973D0">
        <w:t xml:space="preserve"> communication, insofar as it </w:t>
      </w:r>
      <w:r w:rsidR="00412A50">
        <w:t>was</w:t>
      </w:r>
      <w:r w:rsidR="00412A50" w:rsidRPr="003973D0">
        <w:t xml:space="preserve"> </w:t>
      </w:r>
      <w:r w:rsidRPr="003973D0">
        <w:t>registered in violation of the provisions of the Optional Protocol; that it has no obligations regarding the recognition of the Committee’s rules of procedure and regarding the Committee’s interpretation of the Optional Protocol’s provisions; and that if a decision is taken by the Committee on the present communication, it will be considered “invalid” by its authorities.</w:t>
      </w:r>
    </w:p>
    <w:p w14:paraId="317BE9D5" w14:textId="684FCCDE" w:rsidR="00D2185E" w:rsidRDefault="000128E3" w:rsidP="00950033">
      <w:pPr>
        <w:ind w:left="1134" w:right="1134"/>
        <w:jc w:val="both"/>
      </w:pPr>
      <w:r>
        <w:t>6.2</w:t>
      </w:r>
      <w:r>
        <w:tab/>
        <w:t xml:space="preserve">The Committee </w:t>
      </w:r>
      <w:r w:rsidR="00D2185E">
        <w:t>observes that, by</w:t>
      </w:r>
      <w:r>
        <w:t xml:space="preserve"> adhering to the Optional Protocol, a State party to the Covenant recognizes the competence of the Committee to receive and consider communications from individuals claiming to be victims of violations of any of the rights set forth in the Covenant (</w:t>
      </w:r>
      <w:r w:rsidR="003E4B3A">
        <w:t>preamble and</w:t>
      </w:r>
      <w:r w:rsidR="00E96B58">
        <w:t xml:space="preserve"> </w:t>
      </w:r>
      <w:r>
        <w:t>art</w:t>
      </w:r>
      <w:r w:rsidR="00412A50">
        <w:t>.</w:t>
      </w:r>
      <w:r>
        <w:t xml:space="preserve"> 1</w:t>
      </w:r>
      <w:r w:rsidR="00B45E7D">
        <w:t xml:space="preserve"> of the Optional Protocol</w:t>
      </w:r>
      <w:r>
        <w:t>). Implicit in a State’s adherence to the Optional Protocol is an undertaking to cooperate with the Committee in good faith so as to permit and enable it to consider such communications and</w:t>
      </w:r>
      <w:r w:rsidR="00B45E7D">
        <w:t>,</w:t>
      </w:r>
      <w:r>
        <w:t xml:space="preserve"> after examination</w:t>
      </w:r>
      <w:r w:rsidR="00B45E7D">
        <w:t>,</w:t>
      </w:r>
      <w:r>
        <w:t xml:space="preserve"> to forward its </w:t>
      </w:r>
      <w:r w:rsidR="00D2185E">
        <w:t>V</w:t>
      </w:r>
      <w:r>
        <w:t>iews to the State party and to the individual (art</w:t>
      </w:r>
      <w:r w:rsidR="008F4C04">
        <w:t>.</w:t>
      </w:r>
      <w:r>
        <w:t xml:space="preserve"> 5 </w:t>
      </w:r>
      <w:r w:rsidR="00412A50">
        <w:t>(</w:t>
      </w:r>
      <w:r>
        <w:t>1</w:t>
      </w:r>
      <w:r w:rsidR="00412A50">
        <w:t>)</w:t>
      </w:r>
      <w:r>
        <w:t xml:space="preserve"> and </w:t>
      </w:r>
      <w:r w:rsidR="00412A50">
        <w:t>(</w:t>
      </w:r>
      <w:r>
        <w:t>4)</w:t>
      </w:r>
      <w:r w:rsidR="00412A50">
        <w:t>)</w:t>
      </w:r>
      <w:r>
        <w:t>. It is incompatible with th</w:t>
      </w:r>
      <w:r w:rsidR="00B45E7D">
        <w:t>o</w:t>
      </w:r>
      <w:r>
        <w:t xml:space="preserve">se obligations for a State party to take any action that would prevent or frustrate the Committee in its consideration and examination of </w:t>
      </w:r>
      <w:r w:rsidR="00B45E7D">
        <w:t xml:space="preserve">the </w:t>
      </w:r>
      <w:r>
        <w:t>communication</w:t>
      </w:r>
      <w:r w:rsidR="00B45E7D">
        <w:t>,</w:t>
      </w:r>
      <w:r>
        <w:t xml:space="preserve"> and in the expression of its Views.</w:t>
      </w:r>
      <w:r w:rsidRPr="009B663A">
        <w:rPr>
          <w:rStyle w:val="FootnoteReference"/>
        </w:rPr>
        <w:footnoteReference w:id="11"/>
      </w:r>
      <w:r>
        <w:t xml:space="preserve"> It is up to the Committee to determine whether a case should be registered</w:t>
      </w:r>
      <w:r w:rsidR="00950033">
        <w:t>.</w:t>
      </w:r>
      <w:r w:rsidR="003E4B3A">
        <w:t xml:space="preserve"> </w:t>
      </w:r>
      <w:r w:rsidR="00950033">
        <w:t>T</w:t>
      </w:r>
      <w:r w:rsidR="003E4B3A">
        <w:t>he</w:t>
      </w:r>
      <w:r w:rsidR="00D2185E">
        <w:t xml:space="preserve"> Committee observes that, b</w:t>
      </w:r>
      <w:r>
        <w:t xml:space="preserve">y failing to accept the competence of the Committee to determine whether a communication shall be registered and by declaring outright that it will not accept the Committee’s determination of admissibility </w:t>
      </w:r>
      <w:r w:rsidR="00950033">
        <w:t xml:space="preserve">or </w:t>
      </w:r>
      <w:r>
        <w:t xml:space="preserve">the merits of the communications, the State party </w:t>
      </w:r>
      <w:r w:rsidR="00D2185E">
        <w:t xml:space="preserve">is violating </w:t>
      </w:r>
      <w:r>
        <w:t>its obligations under article 1 of the Optional Protocol.</w:t>
      </w:r>
    </w:p>
    <w:p w14:paraId="79C66AF7" w14:textId="77777777" w:rsidR="000128E3" w:rsidRPr="008216A5" w:rsidRDefault="00AE5050" w:rsidP="00781C83">
      <w:pPr>
        <w:pStyle w:val="H4G"/>
      </w:pPr>
      <w:r>
        <w:tab/>
      </w:r>
      <w:r w:rsidR="000128E3" w:rsidRPr="008216A5">
        <w:tab/>
        <w:t>Consideration of admissibility</w:t>
      </w:r>
    </w:p>
    <w:p w14:paraId="4C0276B9" w14:textId="77777777" w:rsidR="000128E3" w:rsidRPr="008216A5" w:rsidRDefault="000128E3" w:rsidP="00781C83">
      <w:pPr>
        <w:pStyle w:val="SingleTxtG"/>
        <w:rPr>
          <w:bCs/>
        </w:rPr>
      </w:pPr>
      <w:r>
        <w:rPr>
          <w:bCs/>
        </w:rPr>
        <w:t>7</w:t>
      </w:r>
      <w:r w:rsidRPr="008216A5">
        <w:rPr>
          <w:bCs/>
        </w:rPr>
        <w:t>.1</w:t>
      </w:r>
      <w:r w:rsidRPr="008216A5">
        <w:rPr>
          <w:bCs/>
        </w:rPr>
        <w:tab/>
        <w:t>Before considering any claim contained in a communication, the Committee must</w:t>
      </w:r>
      <w:r w:rsidR="003E1C43">
        <w:rPr>
          <w:bCs/>
        </w:rPr>
        <w:t xml:space="preserve"> </w:t>
      </w:r>
      <w:r w:rsidR="003E1C43" w:rsidRPr="008216A5">
        <w:rPr>
          <w:bCs/>
        </w:rPr>
        <w:t>decide</w:t>
      </w:r>
      <w:r w:rsidRPr="008216A5">
        <w:rPr>
          <w:bCs/>
        </w:rPr>
        <w:t>, in accordance with rule 93 of its rules of procedure, whether the communication is admissible under the Optional Protocol.</w:t>
      </w:r>
    </w:p>
    <w:p w14:paraId="15916DC1" w14:textId="77777777" w:rsidR="000128E3" w:rsidRDefault="000128E3" w:rsidP="00781C83">
      <w:pPr>
        <w:pStyle w:val="SingleTxtG"/>
      </w:pPr>
      <w:r>
        <w:t>7</w:t>
      </w:r>
      <w:r w:rsidRPr="008216A5">
        <w:t>.2</w:t>
      </w:r>
      <w:r w:rsidRPr="008216A5">
        <w:tab/>
        <w:t xml:space="preserve">The Committee has ascertained, as required under article 5 </w:t>
      </w:r>
      <w:r w:rsidR="003E1C43">
        <w:t>(</w:t>
      </w:r>
      <w:r w:rsidRPr="008216A5">
        <w:t>2</w:t>
      </w:r>
      <w:r w:rsidR="003E1C43">
        <w:t>)</w:t>
      </w:r>
      <w:r w:rsidRPr="008216A5">
        <w:t xml:space="preserve"> (a) of </w:t>
      </w:r>
      <w:r>
        <w:t xml:space="preserve">the Optional Protocol, that the </w:t>
      </w:r>
      <w:r w:rsidRPr="008216A5">
        <w:t xml:space="preserve">same matter is not being examined under another procedure of international investigation or settlement. </w:t>
      </w:r>
    </w:p>
    <w:p w14:paraId="072C30BA" w14:textId="1E2B15ED" w:rsidR="000128E3" w:rsidRDefault="000128E3" w:rsidP="00950033">
      <w:pPr>
        <w:pStyle w:val="SingleTxtG"/>
      </w:pPr>
      <w:r>
        <w:t>7.3</w:t>
      </w:r>
      <w:r>
        <w:tab/>
        <w:t>T</w:t>
      </w:r>
      <w:r>
        <w:rPr>
          <w:lang w:val="en-US"/>
        </w:rPr>
        <w:t>he Committee takes note of the State party’s objection that the author has fail</w:t>
      </w:r>
      <w:r w:rsidR="008567BB">
        <w:rPr>
          <w:lang w:val="en-US"/>
        </w:rPr>
        <w:t xml:space="preserve">ed to request the Prosecutor’s </w:t>
      </w:r>
      <w:r w:rsidR="00950033">
        <w:rPr>
          <w:lang w:val="en-US"/>
        </w:rPr>
        <w:t>O</w:t>
      </w:r>
      <w:r>
        <w:rPr>
          <w:lang w:val="en-US"/>
        </w:rPr>
        <w:t xml:space="preserve">ffice </w:t>
      </w:r>
      <w:r>
        <w:t xml:space="preserve">to initiate a supervisory review of the domestic courts’ </w:t>
      </w:r>
      <w:r>
        <w:rPr>
          <w:lang w:val="en-US"/>
        </w:rPr>
        <w:t>decisions</w:t>
      </w:r>
      <w:r>
        <w:t xml:space="preserve">. </w:t>
      </w:r>
      <w:r w:rsidRPr="00DC128E">
        <w:t xml:space="preserve">The Committee recalls its jurisprudence, according to which </w:t>
      </w:r>
      <w:r w:rsidR="008567BB">
        <w:t xml:space="preserve">a petition to </w:t>
      </w:r>
      <w:r w:rsidR="00B56B5C">
        <w:lastRenderedPageBreak/>
        <w:t>p</w:t>
      </w:r>
      <w:r w:rsidR="008567BB">
        <w:t>rosecutor’s o</w:t>
      </w:r>
      <w:r w:rsidR="00236D66" w:rsidRPr="00DC128E">
        <w:t>ffice</w:t>
      </w:r>
      <w:r w:rsidR="00236D66">
        <w:t xml:space="preserve"> to initiate supervisory review</w:t>
      </w:r>
      <w:r w:rsidR="00236D66" w:rsidRPr="00DC128E">
        <w:t xml:space="preserve"> </w:t>
      </w:r>
      <w:r w:rsidR="003E1C43">
        <w:t xml:space="preserve">of </w:t>
      </w:r>
      <w:r w:rsidRPr="00DC128E">
        <w:t xml:space="preserve">court decisions that have taken effect does not constitute a remedy </w:t>
      </w:r>
      <w:r w:rsidR="00950033">
        <w:t>that</w:t>
      </w:r>
      <w:r w:rsidR="00950033" w:rsidRPr="00DC128E">
        <w:t xml:space="preserve"> </w:t>
      </w:r>
      <w:r w:rsidRPr="00DC128E">
        <w:t xml:space="preserve">has to be exhausted for the purposes of article 5 </w:t>
      </w:r>
      <w:r w:rsidR="003E1C43">
        <w:t>(</w:t>
      </w:r>
      <w:r w:rsidRPr="00DC128E">
        <w:t>2</w:t>
      </w:r>
      <w:r w:rsidR="003E1C43">
        <w:t>)</w:t>
      </w:r>
      <w:r w:rsidRPr="00DC128E">
        <w:t xml:space="preserve"> (b) of the Optional Protocol.</w:t>
      </w:r>
      <w:r w:rsidRPr="009B663A">
        <w:rPr>
          <w:rStyle w:val="FootnoteReference"/>
        </w:rPr>
        <w:footnoteReference w:id="12"/>
      </w:r>
      <w:r w:rsidRPr="00DC128E">
        <w:t xml:space="preserve"> Accordingly, it considers that it is not precluded by article 5 </w:t>
      </w:r>
      <w:r w:rsidR="003E1C43">
        <w:t>(</w:t>
      </w:r>
      <w:r w:rsidRPr="00DC128E">
        <w:t>2</w:t>
      </w:r>
      <w:r w:rsidR="003E1C43">
        <w:t>)</w:t>
      </w:r>
      <w:r w:rsidRPr="00DC128E">
        <w:t xml:space="preserve"> (b) of the Optional Protocol from examining the </w:t>
      </w:r>
      <w:r>
        <w:t xml:space="preserve">present </w:t>
      </w:r>
      <w:r w:rsidRPr="00DC128E">
        <w:t>communication.</w:t>
      </w:r>
      <w:r>
        <w:t xml:space="preserve"> </w:t>
      </w:r>
    </w:p>
    <w:p w14:paraId="4555F81B" w14:textId="4DE5E869" w:rsidR="000128E3" w:rsidRDefault="000128E3" w:rsidP="00781C83">
      <w:pPr>
        <w:pStyle w:val="SingleTxtG"/>
      </w:pPr>
      <w:r>
        <w:t>7</w:t>
      </w:r>
      <w:r w:rsidRPr="008216A5">
        <w:t>.</w:t>
      </w:r>
      <w:r>
        <w:t>4</w:t>
      </w:r>
      <w:r w:rsidRPr="008216A5">
        <w:tab/>
      </w:r>
      <w:r w:rsidR="00424AD8" w:rsidRPr="00CD2073">
        <w:t>Rega</w:t>
      </w:r>
      <w:r w:rsidR="00424AD8">
        <w:t>rding the author’s claim under article 2</w:t>
      </w:r>
      <w:r w:rsidR="00424AD8" w:rsidRPr="00CD2073">
        <w:t xml:space="preserve"> </w:t>
      </w:r>
      <w:r w:rsidR="00424AD8">
        <w:t xml:space="preserve">(1) </w:t>
      </w:r>
      <w:r w:rsidR="00424AD8" w:rsidRPr="00CD2073">
        <w:t xml:space="preserve">of the Covenant, the </w:t>
      </w:r>
      <w:r w:rsidR="00424AD8">
        <w:t xml:space="preserve">Committee </w:t>
      </w:r>
      <w:r w:rsidR="00424AD8" w:rsidRPr="00182F2F">
        <w:t xml:space="preserve">recalls its jurisprudence, </w:t>
      </w:r>
      <w:r w:rsidR="00FF55D7">
        <w:t xml:space="preserve">according to </w:t>
      </w:r>
      <w:r w:rsidR="00424AD8" w:rsidRPr="00182F2F">
        <w:t>which the provisions of article 2 of the Covenant, which lay down general obligations for States parties, cannot, in and of themselves, give rise to a claim in a communication under the Optional Protocol.</w:t>
      </w:r>
      <w:r w:rsidR="00915B61" w:rsidRPr="009B663A">
        <w:rPr>
          <w:rStyle w:val="FootnoteReference"/>
        </w:rPr>
        <w:footnoteReference w:id="13"/>
      </w:r>
      <w:r w:rsidR="00424AD8" w:rsidRPr="00182F2F">
        <w:t xml:space="preserve"> The Committee therefore considers that the author</w:t>
      </w:r>
      <w:r w:rsidR="005D6E83">
        <w:t>’</w:t>
      </w:r>
      <w:r w:rsidR="00424AD8" w:rsidRPr="00182F2F">
        <w:t>s contentions in th</w:t>
      </w:r>
      <w:r w:rsidR="00950033">
        <w:t>at</w:t>
      </w:r>
      <w:r w:rsidR="00424AD8" w:rsidRPr="00182F2F">
        <w:t xml:space="preserve"> regard </w:t>
      </w:r>
      <w:r w:rsidR="00424AD8">
        <w:t>are inadmissible under article 3</w:t>
      </w:r>
      <w:r w:rsidR="00424AD8" w:rsidRPr="00182F2F">
        <w:t xml:space="preserve"> of the Optional Protocol.</w:t>
      </w:r>
    </w:p>
    <w:p w14:paraId="0E1C07EB" w14:textId="2F4D2BEE" w:rsidR="00424AD8" w:rsidRDefault="00424AD8" w:rsidP="00781C83">
      <w:pPr>
        <w:pStyle w:val="SingleTxtG"/>
      </w:pPr>
      <w:r>
        <w:t>7.5</w:t>
      </w:r>
      <w:r>
        <w:tab/>
      </w:r>
      <w:r w:rsidRPr="00CD2073">
        <w:t xml:space="preserve">Regarding the </w:t>
      </w:r>
      <w:r>
        <w:t xml:space="preserve">author’s </w:t>
      </w:r>
      <w:r w:rsidRPr="00CD2073">
        <w:t xml:space="preserve">claim under article 5 </w:t>
      </w:r>
      <w:r>
        <w:t xml:space="preserve">(1) </w:t>
      </w:r>
      <w:r w:rsidRPr="00CD2073">
        <w:t>of the Covenant, the Committee</w:t>
      </w:r>
      <w:r w:rsidR="00746F58">
        <w:t xml:space="preserve"> observes</w:t>
      </w:r>
      <w:r w:rsidRPr="00CD2073">
        <w:t xml:space="preserve"> that th</w:t>
      </w:r>
      <w:r w:rsidR="00950033">
        <w:t>at</w:t>
      </w:r>
      <w:r w:rsidRPr="00CD2073">
        <w:t xml:space="preserve"> provision does not give rise to any sepa</w:t>
      </w:r>
      <w:r>
        <w:t>rate individual right. Thus, th</w:t>
      </w:r>
      <w:r w:rsidR="00950033">
        <w:t>at</w:t>
      </w:r>
      <w:r>
        <w:t xml:space="preserve"> part of the</w:t>
      </w:r>
      <w:r w:rsidRPr="00CD2073">
        <w:t xml:space="preserve"> claim is incompatible with the Covenant and inadmissible under article 3 of the Optional Protocol.</w:t>
      </w:r>
      <w:r w:rsidRPr="009B663A">
        <w:rPr>
          <w:rStyle w:val="FootnoteReference"/>
        </w:rPr>
        <w:footnoteReference w:id="14"/>
      </w:r>
    </w:p>
    <w:p w14:paraId="64686942" w14:textId="0621C053" w:rsidR="00DA49AA" w:rsidRDefault="00DA49AA" w:rsidP="00E85E3F">
      <w:pPr>
        <w:pStyle w:val="SingleTxtG"/>
      </w:pPr>
      <w:r>
        <w:t>7.6</w:t>
      </w:r>
      <w:r>
        <w:tab/>
      </w:r>
      <w:r w:rsidRPr="006C3AF7">
        <w:t>With respect to the allegations under article 14</w:t>
      </w:r>
      <w:r w:rsidR="008567BB">
        <w:t xml:space="preserve"> (</w:t>
      </w:r>
      <w:r w:rsidRPr="006C3AF7">
        <w:t>1</w:t>
      </w:r>
      <w:r w:rsidR="008567BB">
        <w:t>)</w:t>
      </w:r>
      <w:r w:rsidRPr="006C3AF7">
        <w:t xml:space="preserve"> </w:t>
      </w:r>
      <w:r>
        <w:t xml:space="preserve">of the Covenant, </w:t>
      </w:r>
      <w:r w:rsidRPr="006C3AF7">
        <w:t>the Committee observes that these complaints refer primarily to the appraisal of evidence adduced during the court proceedings</w:t>
      </w:r>
      <w:r>
        <w:t xml:space="preserve"> and interpretation of laws</w:t>
      </w:r>
      <w:r w:rsidRPr="006C3AF7">
        <w:t>, matter</w:t>
      </w:r>
      <w:r>
        <w:t>s</w:t>
      </w:r>
      <w:r w:rsidRPr="006C3AF7">
        <w:t xml:space="preserve"> falling in principle to the national courts, unless the evaluation of evidence was manifestly arbitrary or constituted a denial of justice.</w:t>
      </w:r>
      <w:r w:rsidRPr="009B663A">
        <w:rPr>
          <w:rStyle w:val="FootnoteReference"/>
        </w:rPr>
        <w:footnoteReference w:id="15"/>
      </w:r>
      <w:r w:rsidRPr="006C3AF7">
        <w:t xml:space="preserve"> In the present case, the Committee is of the view that the author has failed to demonstrate, for purposes of admissibility, that the conduct of the proceedings in his case was arbitrary or amounted to a denial of justice. The Committee consequently considers that th</w:t>
      </w:r>
      <w:r w:rsidR="00950033">
        <w:t>at</w:t>
      </w:r>
      <w:r w:rsidRPr="006C3AF7">
        <w:t xml:space="preserve"> part of the communication has not been sufficiently substantiated and thus finds it inadmissible under article 2 of the Optional Protocol.</w:t>
      </w:r>
    </w:p>
    <w:p w14:paraId="149AED3C" w14:textId="4C6A8D3A" w:rsidR="00FA6BE1" w:rsidRDefault="00FA6BE1" w:rsidP="00950033">
      <w:pPr>
        <w:pStyle w:val="SingleTxtG"/>
      </w:pPr>
      <w:r>
        <w:t>7.7</w:t>
      </w:r>
      <w:r>
        <w:tab/>
      </w:r>
      <w:r w:rsidRPr="008C08A5">
        <w:t>The Committee notes the author</w:t>
      </w:r>
      <w:r w:rsidR="00950033">
        <w:t>’</w:t>
      </w:r>
      <w:r w:rsidRPr="008C08A5">
        <w:t>s allegation</w:t>
      </w:r>
      <w:r>
        <w:t>s</w:t>
      </w:r>
      <w:r w:rsidRPr="008C08A5">
        <w:t xml:space="preserve"> that h</w:t>
      </w:r>
      <w:r>
        <w:t xml:space="preserve">is </w:t>
      </w:r>
      <w:r w:rsidRPr="008D7960">
        <w:rPr>
          <w:lang w:val="en-US"/>
        </w:rPr>
        <w:t xml:space="preserve">freedom of assembly under article 21 of the Covenant has been restricted arbitrarily, since he was refused permission to hold </w:t>
      </w:r>
      <w:r>
        <w:rPr>
          <w:lang w:val="en-US"/>
        </w:rPr>
        <w:t xml:space="preserve">a </w:t>
      </w:r>
      <w:r w:rsidRPr="008D7960">
        <w:rPr>
          <w:lang w:val="en-US"/>
        </w:rPr>
        <w:t>picket. T</w:t>
      </w:r>
      <w:r w:rsidRPr="008C08A5">
        <w:t>he Committee</w:t>
      </w:r>
      <w:r w:rsidR="00950033">
        <w:t xml:space="preserve"> notes</w:t>
      </w:r>
      <w:r>
        <w:t>,</w:t>
      </w:r>
      <w:r w:rsidRPr="008C08A5">
        <w:t xml:space="preserve"> </w:t>
      </w:r>
      <w:r>
        <w:t>however, that the author, according to his own submission, intended to conduct the picket on his own. Accordingly, i</w:t>
      </w:r>
      <w:r w:rsidRPr="00405EA2">
        <w:t xml:space="preserve">n the circumstances of the present case, the Committee considers </w:t>
      </w:r>
      <w:r w:rsidRPr="00D57A46">
        <w:t>that the author has failed to sufficiently substantiate this particular claim, for purposes of admissibility, and declares th</w:t>
      </w:r>
      <w:r w:rsidR="00950033">
        <w:t>at</w:t>
      </w:r>
      <w:r w:rsidRPr="00D57A46">
        <w:t xml:space="preserve"> part of the communication inadmissible under article 2 of the Optional Protocol.</w:t>
      </w:r>
      <w:r w:rsidRPr="009B663A">
        <w:rPr>
          <w:rStyle w:val="FootnoteReference"/>
        </w:rPr>
        <w:footnoteReference w:id="16"/>
      </w:r>
    </w:p>
    <w:p w14:paraId="168BCBA0" w14:textId="77777777" w:rsidR="000128E3" w:rsidRPr="008216A5" w:rsidRDefault="003E723E">
      <w:pPr>
        <w:pStyle w:val="SingleTxtG"/>
        <w:rPr>
          <w:lang w:val="en-US"/>
        </w:rPr>
      </w:pPr>
      <w:r>
        <w:t>7.8</w:t>
      </w:r>
      <w:r>
        <w:tab/>
      </w:r>
      <w:r>
        <w:rPr>
          <w:lang w:val="en-US"/>
        </w:rPr>
        <w:t>Regarding the author’s claim</w:t>
      </w:r>
      <w:r w:rsidRPr="008D7960">
        <w:rPr>
          <w:lang w:val="en-US"/>
        </w:rPr>
        <w:t xml:space="preserve"> of violation of his rights under article 19</w:t>
      </w:r>
      <w:r>
        <w:rPr>
          <w:lang w:val="en-US"/>
        </w:rPr>
        <w:t xml:space="preserve"> </w:t>
      </w:r>
      <w:r w:rsidRPr="008D7960">
        <w:rPr>
          <w:lang w:val="en-US"/>
        </w:rPr>
        <w:t xml:space="preserve">of the Covenant, the Committee finds </w:t>
      </w:r>
      <w:r>
        <w:rPr>
          <w:lang w:val="en-US"/>
        </w:rPr>
        <w:t>it</w:t>
      </w:r>
      <w:r w:rsidRPr="008D7960">
        <w:rPr>
          <w:lang w:val="en-US"/>
        </w:rPr>
        <w:t xml:space="preserve"> sufficiently substantiated for the purposes of admissibility, declares </w:t>
      </w:r>
      <w:r>
        <w:rPr>
          <w:lang w:val="en-US"/>
        </w:rPr>
        <w:t>it</w:t>
      </w:r>
      <w:r w:rsidRPr="008D7960">
        <w:rPr>
          <w:lang w:val="en-US"/>
        </w:rPr>
        <w:t xml:space="preserve"> admissible and proceeds to their examination on the merits.</w:t>
      </w:r>
      <w:r w:rsidR="00B67FEB">
        <w:t xml:space="preserve"> </w:t>
      </w:r>
    </w:p>
    <w:p w14:paraId="0C0F6EC7" w14:textId="77777777" w:rsidR="000128E3" w:rsidRPr="008216A5" w:rsidRDefault="000128E3" w:rsidP="00781C83">
      <w:pPr>
        <w:pStyle w:val="H4G"/>
      </w:pPr>
      <w:r w:rsidRPr="008216A5">
        <w:lastRenderedPageBreak/>
        <w:tab/>
      </w:r>
      <w:r w:rsidRPr="008216A5">
        <w:tab/>
      </w:r>
      <w:r w:rsidRPr="00115DDE">
        <w:t>Consideration of the merits</w:t>
      </w:r>
    </w:p>
    <w:p w14:paraId="47197DDE" w14:textId="77777777" w:rsidR="000128E3" w:rsidRPr="008216A5" w:rsidRDefault="000128E3" w:rsidP="00781C83">
      <w:pPr>
        <w:pStyle w:val="SingleTxtG"/>
      </w:pPr>
      <w:r>
        <w:t>8</w:t>
      </w:r>
      <w:r w:rsidRPr="008216A5">
        <w:t>.1</w:t>
      </w:r>
      <w:r w:rsidRPr="008216A5">
        <w:tab/>
        <w:t xml:space="preserve">The Committee has considered the communication in </w:t>
      </w:r>
      <w:r w:rsidR="005928DF">
        <w:t xml:space="preserve">the </w:t>
      </w:r>
      <w:r w:rsidRPr="008216A5">
        <w:t xml:space="preserve">light of all the information made available to it by the parties, as provided under article 5 </w:t>
      </w:r>
      <w:r w:rsidR="005928DF">
        <w:t>(</w:t>
      </w:r>
      <w:r w:rsidRPr="008216A5">
        <w:t>1</w:t>
      </w:r>
      <w:r w:rsidR="005928DF">
        <w:t>)</w:t>
      </w:r>
      <w:r w:rsidRPr="008216A5">
        <w:t xml:space="preserve"> of the Optional Protocol.</w:t>
      </w:r>
    </w:p>
    <w:p w14:paraId="37FE829E" w14:textId="2D23B125" w:rsidR="000128E3" w:rsidRDefault="000128E3" w:rsidP="00950033">
      <w:pPr>
        <w:pStyle w:val="SingleTxtG"/>
        <w:rPr>
          <w:lang w:val="en-US"/>
        </w:rPr>
      </w:pPr>
      <w:r>
        <w:t>8.2</w:t>
      </w:r>
      <w:r w:rsidRPr="008216A5">
        <w:tab/>
      </w:r>
      <w:r w:rsidR="008D4DE1" w:rsidRPr="008C08A5">
        <w:t>The Committee notes the author</w:t>
      </w:r>
      <w:r w:rsidR="00950033">
        <w:t>’</w:t>
      </w:r>
      <w:r w:rsidR="008D4DE1" w:rsidRPr="008C08A5">
        <w:t>s allegation</w:t>
      </w:r>
      <w:r w:rsidR="008D4DE1">
        <w:t>s</w:t>
      </w:r>
      <w:r w:rsidR="008D4DE1" w:rsidRPr="008C08A5">
        <w:t xml:space="preserve"> that h</w:t>
      </w:r>
      <w:r w:rsidR="008D4DE1">
        <w:t xml:space="preserve">is </w:t>
      </w:r>
      <w:r w:rsidR="008D4DE1" w:rsidRPr="008D7960">
        <w:rPr>
          <w:lang w:val="en-US"/>
        </w:rPr>
        <w:t xml:space="preserve">freedom of expression has been restricted arbitrarily, since he was refused permission to hold </w:t>
      </w:r>
      <w:r w:rsidR="008D4DE1">
        <w:rPr>
          <w:lang w:val="en-US"/>
        </w:rPr>
        <w:t xml:space="preserve">a </w:t>
      </w:r>
      <w:r w:rsidR="008D4DE1" w:rsidRPr="008D7960">
        <w:rPr>
          <w:lang w:val="en-US"/>
        </w:rPr>
        <w:t xml:space="preserve">picket and to publicly express his opinion. </w:t>
      </w:r>
      <w:r w:rsidR="008D4DE1" w:rsidRPr="008C08A5">
        <w:t xml:space="preserve">The Committee considers that the legal issue before it is to decide whether the </w:t>
      </w:r>
      <w:r w:rsidR="008D4DE1">
        <w:t xml:space="preserve">prohibition </w:t>
      </w:r>
      <w:r w:rsidR="00950033">
        <w:t xml:space="preserve">on </w:t>
      </w:r>
      <w:r w:rsidR="008D4DE1">
        <w:t>hold</w:t>
      </w:r>
      <w:r w:rsidR="00950033">
        <w:t>ing</w:t>
      </w:r>
      <w:r w:rsidR="008D4DE1">
        <w:t xml:space="preserve"> a public picket </w:t>
      </w:r>
      <w:r w:rsidR="008D4DE1" w:rsidRPr="008C08A5">
        <w:t>impos</w:t>
      </w:r>
      <w:r w:rsidR="008D4DE1">
        <w:t xml:space="preserve">ed on the author by the executive authorities of the State party </w:t>
      </w:r>
      <w:r w:rsidR="008D4DE1" w:rsidRPr="008C08A5">
        <w:t>amount</w:t>
      </w:r>
      <w:r w:rsidR="00950033">
        <w:t>s</w:t>
      </w:r>
      <w:r w:rsidR="008D4DE1" w:rsidRPr="008C08A5">
        <w:t xml:space="preserve"> to </w:t>
      </w:r>
      <w:r w:rsidR="00375403">
        <w:t xml:space="preserve">a </w:t>
      </w:r>
      <w:r w:rsidR="008D4DE1" w:rsidRPr="008C08A5">
        <w:t>violation of article 19 of the Covenant. From the material before the Committee, it transpi</w:t>
      </w:r>
      <w:r w:rsidR="008D4DE1">
        <w:t>res that the author</w:t>
      </w:r>
      <w:r w:rsidR="00950033">
        <w:t>’</w:t>
      </w:r>
      <w:r w:rsidR="008D4DE1">
        <w:t>s act</w:t>
      </w:r>
      <w:r w:rsidR="008D4DE1" w:rsidRPr="008C08A5">
        <w:t xml:space="preserve"> w</w:t>
      </w:r>
      <w:r w:rsidR="008D4DE1">
        <w:t>as</w:t>
      </w:r>
      <w:r w:rsidR="008D4DE1" w:rsidRPr="008C08A5">
        <w:t xml:space="preserve"> qualified by the courts </w:t>
      </w:r>
      <w:r w:rsidR="008D4DE1">
        <w:t>as an application to hold a public event and was refused on the basis that the location chosen was not among those permitted by the town’s executive authorities</w:t>
      </w:r>
      <w:r w:rsidR="00950033">
        <w:t>,</w:t>
      </w:r>
      <w:r w:rsidR="008D4DE1">
        <w:t xml:space="preserve"> and because the author ha</w:t>
      </w:r>
      <w:r w:rsidR="00FF55D7">
        <w:t>d</w:t>
      </w:r>
      <w:r w:rsidR="008D4DE1">
        <w:t xml:space="preserve"> not secured medical care</w:t>
      </w:r>
      <w:r w:rsidR="008567BB">
        <w:t>, security</w:t>
      </w:r>
      <w:r w:rsidR="008D4DE1">
        <w:t xml:space="preserve"> and cleaning services during his picket</w:t>
      </w:r>
      <w:r w:rsidR="008D4DE1" w:rsidRPr="008C08A5">
        <w:t>.</w:t>
      </w:r>
      <w:r w:rsidR="008D4DE1">
        <w:t xml:space="preserve"> </w:t>
      </w:r>
      <w:r w:rsidR="008D4DE1" w:rsidRPr="008C08A5">
        <w:t>In the Committee</w:t>
      </w:r>
      <w:r w:rsidR="008D4DE1">
        <w:t>’</w:t>
      </w:r>
      <w:r w:rsidR="008D4DE1" w:rsidRPr="008C08A5">
        <w:t>s opinion, the above action</w:t>
      </w:r>
      <w:r w:rsidR="008D4DE1">
        <w:t>s</w:t>
      </w:r>
      <w:r w:rsidR="008D4DE1" w:rsidRPr="008C08A5">
        <w:t xml:space="preserve"> of the authorities, irrespective of </w:t>
      </w:r>
      <w:r w:rsidR="008D4DE1">
        <w:t>their</w:t>
      </w:r>
      <w:r w:rsidR="008D4DE1" w:rsidRPr="008C08A5">
        <w:t xml:space="preserve"> legal qualification, amount to </w:t>
      </w:r>
      <w:r w:rsidR="00270BA3" w:rsidRPr="00474E3B">
        <w:rPr>
          <w:iCs/>
        </w:rPr>
        <w:t>a</w:t>
      </w:r>
      <w:r w:rsidR="008D4DE1" w:rsidRPr="008D7960">
        <w:rPr>
          <w:i/>
          <w:iCs/>
        </w:rPr>
        <w:t xml:space="preserve"> </w:t>
      </w:r>
      <w:r w:rsidR="008D4DE1" w:rsidRPr="008C08A5">
        <w:t>limitation</w:t>
      </w:r>
      <w:r w:rsidR="008D4DE1">
        <w:t>s</w:t>
      </w:r>
      <w:r w:rsidR="008D4DE1" w:rsidRPr="008C08A5">
        <w:t xml:space="preserve"> of the a</w:t>
      </w:r>
      <w:r w:rsidR="008D4DE1">
        <w:t>uthor’s rights, in particular the right to impart information and ideas of all kind, under article 19 o</w:t>
      </w:r>
      <w:r w:rsidR="008D4DE1" w:rsidRPr="008C08A5">
        <w:t>f the Covenant.</w:t>
      </w:r>
    </w:p>
    <w:p w14:paraId="39E5C07D" w14:textId="3E7687E6" w:rsidR="000128E3" w:rsidRDefault="000128E3" w:rsidP="00C74A28">
      <w:pPr>
        <w:pStyle w:val="SingleTxtG"/>
        <w:spacing w:line="240" w:lineRule="auto"/>
      </w:pPr>
      <w:r>
        <w:t>8.3</w:t>
      </w:r>
      <w:r w:rsidRPr="00966D7C">
        <w:tab/>
      </w:r>
      <w:r w:rsidR="00F43630">
        <w:t>The Committee refers to its general comment No. 34 (2011) on the freedoms of opinion and expression, which states that freedom of opinion and freedom of expression are indispensable conditions for the full development of the person, and that such freedoms are essential for any society.</w:t>
      </w:r>
      <w:r w:rsidR="00F43630" w:rsidRPr="009B663A">
        <w:rPr>
          <w:rStyle w:val="FootnoteReference"/>
          <w:rFonts w:eastAsiaTheme="minorEastAsia"/>
        </w:rPr>
        <w:footnoteReference w:id="17"/>
      </w:r>
      <w:r w:rsidR="00F43630">
        <w:t xml:space="preserve"> They constitute the foundation stone for every free and democratic society.</w:t>
      </w:r>
      <w:r w:rsidR="00F43630" w:rsidRPr="009B663A">
        <w:rPr>
          <w:rStyle w:val="FootnoteReference"/>
          <w:rFonts w:eastAsiaTheme="minorEastAsia"/>
        </w:rPr>
        <w:footnoteReference w:id="18"/>
      </w:r>
      <w:r w:rsidR="00F43630">
        <w:t xml:space="preserve"> The Committee recalls that article 19 (3) of the Covenant allows certain restrictions only as provided by law and necessary (a) for the respect of the rights and reputation of others; and (b) for the protection of national security or public order (</w:t>
      </w:r>
      <w:r w:rsidR="00F43630">
        <w:rPr>
          <w:i/>
        </w:rPr>
        <w:t>ordre public</w:t>
      </w:r>
      <w:r w:rsidR="00F43630">
        <w:t>) or public health or morals. Any restriction on the exercise of such freedoms must conform to the strict tests of necessity and proportionality. Restrictions must be applied only for those purposes for which they were prescribed and must be directly related to the specific need on which they are predicated.</w:t>
      </w:r>
      <w:r w:rsidR="00F43630" w:rsidRPr="009B663A">
        <w:rPr>
          <w:rStyle w:val="FootnoteReference"/>
          <w:rFonts w:eastAsiaTheme="minorEastAsia"/>
        </w:rPr>
        <w:footnoteReference w:id="19"/>
      </w:r>
      <w:r w:rsidR="00F43630">
        <w:t xml:space="preserve"> The Committee recalls</w:t>
      </w:r>
      <w:r w:rsidR="00F43630" w:rsidRPr="009B663A">
        <w:rPr>
          <w:rStyle w:val="FootnoteReference"/>
          <w:rFonts w:eastAsiaTheme="minorEastAsia"/>
        </w:rPr>
        <w:footnoteReference w:id="20"/>
      </w:r>
      <w:r w:rsidR="00F43630">
        <w:rPr>
          <w:sz w:val="16"/>
          <w:szCs w:val="16"/>
        </w:rPr>
        <w:t xml:space="preserve"> </w:t>
      </w:r>
      <w:r w:rsidR="00F43630">
        <w:t>that it is for the State party to demonstrate that the restrictions on the author’s rights under article 19 were necessary and proportionate.</w:t>
      </w:r>
      <w:r w:rsidR="00F43630" w:rsidRPr="009B663A">
        <w:rPr>
          <w:rStyle w:val="FootnoteReference"/>
          <w:rFonts w:eastAsiaTheme="minorEastAsia"/>
        </w:rPr>
        <w:footnoteReference w:id="21"/>
      </w:r>
      <w:r w:rsidR="00F43630">
        <w:t xml:space="preserve"> </w:t>
      </w:r>
      <w:r w:rsidR="002F772E">
        <w:t xml:space="preserve">The Committee observes that limiting pickets to certain predetermined locations, </w:t>
      </w:r>
      <w:r w:rsidR="00687350">
        <w:t>as well as requesting the organizer of a one-person picket to contract additional services in order to hold a picket</w:t>
      </w:r>
      <w:r w:rsidR="002F772E">
        <w:t xml:space="preserve">, </w:t>
      </w:r>
      <w:r w:rsidR="00F43630">
        <w:t>does not appear to meet the standards of necessity and proportionality under article 19 of the Covenant. The Committee notes that neither the State party nor the national courts have provided any explanation for such restrictions.</w:t>
      </w:r>
      <w:r w:rsidR="006C52DC">
        <w:t xml:space="preserve"> </w:t>
      </w:r>
      <w:r w:rsidR="002F772E" w:rsidRPr="008C08A5">
        <w:t xml:space="preserve">The Committee considers that, in the circumstances of the case, the </w:t>
      </w:r>
      <w:r w:rsidR="002F772E">
        <w:t xml:space="preserve">prohibitions </w:t>
      </w:r>
      <w:r w:rsidR="002F772E" w:rsidRPr="008C08A5">
        <w:t>imposed on the author</w:t>
      </w:r>
      <w:r w:rsidR="002F772E">
        <w:t>, although based on domestic law,</w:t>
      </w:r>
      <w:r w:rsidR="002F772E" w:rsidRPr="008C08A5">
        <w:t xml:space="preserve"> w</w:t>
      </w:r>
      <w:r w:rsidR="002F772E">
        <w:t>ere</w:t>
      </w:r>
      <w:r w:rsidR="002F772E" w:rsidRPr="008C08A5">
        <w:t xml:space="preserve"> not justified </w:t>
      </w:r>
      <w:r w:rsidR="002F772E">
        <w:t>pursuant to the conditions</w:t>
      </w:r>
      <w:r w:rsidR="002F772E" w:rsidRPr="008C08A5">
        <w:t xml:space="preserve"> set out in article 19</w:t>
      </w:r>
      <w:r w:rsidR="008567BB">
        <w:t xml:space="preserve"> (3)</w:t>
      </w:r>
      <w:r w:rsidR="002F772E">
        <w:t xml:space="preserve"> of the Covenant</w:t>
      </w:r>
      <w:r w:rsidR="002F772E" w:rsidRPr="008C08A5">
        <w:t>. It therefore concludes that the author</w:t>
      </w:r>
      <w:r w:rsidR="005D6E83">
        <w:t>’</w:t>
      </w:r>
      <w:r w:rsidR="002F772E" w:rsidRPr="008C08A5">
        <w:t>s rights under article 19</w:t>
      </w:r>
      <w:r w:rsidR="008567BB">
        <w:t xml:space="preserve"> (2)</w:t>
      </w:r>
      <w:r w:rsidR="002F772E" w:rsidRPr="00072DB4">
        <w:t xml:space="preserve"> of the Covenant</w:t>
      </w:r>
      <w:r w:rsidR="002F772E" w:rsidRPr="008C08A5">
        <w:t xml:space="preserve"> have been violated</w:t>
      </w:r>
      <w:r w:rsidR="002F772E">
        <w:t>.</w:t>
      </w:r>
    </w:p>
    <w:p w14:paraId="3E165420" w14:textId="18384C0F" w:rsidR="000128E3" w:rsidRDefault="000128E3" w:rsidP="00950033">
      <w:pPr>
        <w:pStyle w:val="SingleTxtG"/>
      </w:pPr>
      <w:r>
        <w:t>9</w:t>
      </w:r>
      <w:r w:rsidRPr="008216A5">
        <w:t>.</w:t>
      </w:r>
      <w:r w:rsidRPr="008216A5">
        <w:tab/>
      </w:r>
      <w:r w:rsidR="00687350" w:rsidRPr="00072DB4">
        <w:t>The Committee</w:t>
      </w:r>
      <w:r w:rsidR="00687350" w:rsidRPr="008C08A5">
        <w:t>, acting under article 5</w:t>
      </w:r>
      <w:r w:rsidR="008567BB">
        <w:t xml:space="preserve"> (4)</w:t>
      </w:r>
      <w:r w:rsidR="00687350" w:rsidRPr="008C08A5">
        <w:t xml:space="preserve"> of the Optional</w:t>
      </w:r>
      <w:r w:rsidR="00950033">
        <w:t xml:space="preserve"> Protocol</w:t>
      </w:r>
      <w:r w:rsidR="00687350" w:rsidRPr="008C08A5">
        <w:t>, is of the view that the facts before it disclose violation</w:t>
      </w:r>
      <w:r w:rsidR="00687350">
        <w:t>s</w:t>
      </w:r>
      <w:r w:rsidR="00687350" w:rsidRPr="008C08A5">
        <w:t xml:space="preserve"> of the author</w:t>
      </w:r>
      <w:r w:rsidR="00950033">
        <w:t>’</w:t>
      </w:r>
      <w:r w:rsidR="00687350" w:rsidRPr="008C08A5">
        <w:t>s rights under</w:t>
      </w:r>
      <w:r w:rsidR="00687350">
        <w:t xml:space="preserve"> </w:t>
      </w:r>
      <w:r w:rsidR="00687350" w:rsidRPr="008C08A5">
        <w:t>article 19</w:t>
      </w:r>
      <w:r w:rsidR="008567BB">
        <w:t xml:space="preserve"> (2) o</w:t>
      </w:r>
      <w:r w:rsidR="00687350">
        <w:t>f the Covenant</w:t>
      </w:r>
      <w:r w:rsidR="00687350" w:rsidRPr="008C08A5">
        <w:t>.</w:t>
      </w:r>
    </w:p>
    <w:p w14:paraId="79A62BDC" w14:textId="4B97A2C0" w:rsidR="00474E3B" w:rsidRDefault="000128E3" w:rsidP="00F41C1A">
      <w:pPr>
        <w:pStyle w:val="SingleTxtG"/>
      </w:pPr>
      <w:r>
        <w:t>10</w:t>
      </w:r>
      <w:r w:rsidRPr="008216A5">
        <w:t>.</w:t>
      </w:r>
      <w:r w:rsidRPr="008216A5">
        <w:tab/>
      </w:r>
      <w:r w:rsidR="00B10DFE">
        <w:rPr>
          <w:color w:val="000000"/>
          <w:lang w:eastAsia="de-DE"/>
        </w:rPr>
        <w:t xml:space="preserve">Pursuant to article 2 (3) (a) of the Covenant, the State party is under an obligation to provide the author with an effective remedy. This requires it to make full reparation to individuals whose Covenant rights have been violated. Accordingly, the State party is </w:t>
      </w:r>
      <w:r w:rsidR="00B10DFE">
        <w:rPr>
          <w:color w:val="000000"/>
          <w:lang w:eastAsia="de-DE"/>
        </w:rPr>
        <w:lastRenderedPageBreak/>
        <w:t>obligated, inter alia, to take appropri</w:t>
      </w:r>
      <w:r w:rsidR="00B52E57">
        <w:rPr>
          <w:color w:val="000000"/>
          <w:lang w:eastAsia="de-DE"/>
        </w:rPr>
        <w:t>ate steps to provide the author</w:t>
      </w:r>
      <w:r w:rsidR="00B10DFE">
        <w:rPr>
          <w:color w:val="000000"/>
          <w:lang w:eastAsia="de-DE"/>
        </w:rPr>
        <w:t xml:space="preserve"> with adequate compensation and to take steps to prevent similar violations occurring in the future.</w:t>
      </w:r>
      <w:r w:rsidR="004D68A6" w:rsidRPr="004D68A6">
        <w:t xml:space="preserve"> </w:t>
      </w:r>
      <w:r w:rsidR="004D68A6" w:rsidRPr="008216A5">
        <w:t>In th</w:t>
      </w:r>
      <w:r w:rsidR="00950033">
        <w:t>at</w:t>
      </w:r>
      <w:r w:rsidR="004D68A6" w:rsidRPr="008216A5">
        <w:t xml:space="preserve"> connection, the Committee reiterates that </w:t>
      </w:r>
      <w:r w:rsidR="004D68A6">
        <w:t xml:space="preserve">the </w:t>
      </w:r>
      <w:r w:rsidR="004D68A6" w:rsidRPr="008216A5">
        <w:t>State party should revi</w:t>
      </w:r>
      <w:r w:rsidR="004D68A6">
        <w:t>se</w:t>
      </w:r>
      <w:r w:rsidR="004D68A6" w:rsidRPr="008216A5">
        <w:t xml:space="preserve"> its legislation</w:t>
      </w:r>
      <w:r w:rsidR="004D68A6">
        <w:t xml:space="preserve"> consistent with its obligation under article 2 (2)</w:t>
      </w:r>
      <w:r w:rsidR="004D68A6" w:rsidRPr="008216A5">
        <w:t xml:space="preserve">, in particular, the </w:t>
      </w:r>
      <w:r w:rsidR="00F41C1A">
        <w:t>d</w:t>
      </w:r>
      <w:r w:rsidR="004D68A6">
        <w:t>ecision No. 881</w:t>
      </w:r>
      <w:r w:rsidR="004D68A6" w:rsidRPr="00AE2860">
        <w:t xml:space="preserve"> </w:t>
      </w:r>
      <w:r w:rsidR="004D68A6">
        <w:t xml:space="preserve">of the </w:t>
      </w:r>
      <w:r w:rsidR="004D68A6" w:rsidRPr="00CB4092">
        <w:t xml:space="preserve">Vitebsk Town </w:t>
      </w:r>
      <w:r w:rsidR="004D68A6">
        <w:t xml:space="preserve">Executive Committee and </w:t>
      </w:r>
      <w:r w:rsidR="004D68A6" w:rsidRPr="008216A5">
        <w:t xml:space="preserve">the </w:t>
      </w:r>
      <w:r w:rsidR="00F41C1A">
        <w:t>Public Events Act</w:t>
      </w:r>
      <w:r w:rsidR="004D68A6">
        <w:t xml:space="preserve"> of 30 December 1997</w:t>
      </w:r>
      <w:r w:rsidR="004D68A6" w:rsidRPr="008216A5">
        <w:t>, as it has been applied in the present case, with a view to ensuring that the right</w:t>
      </w:r>
      <w:r w:rsidR="004D68A6">
        <w:t>s</w:t>
      </w:r>
      <w:r w:rsidR="004D68A6" w:rsidRPr="008216A5">
        <w:t xml:space="preserve"> under article</w:t>
      </w:r>
      <w:r w:rsidR="004D68A6">
        <w:t xml:space="preserve">s 19 and 21 </w:t>
      </w:r>
      <w:r w:rsidR="004D68A6" w:rsidRPr="008216A5">
        <w:t>of the Covenant may be fully enjoyed in the State party.</w:t>
      </w:r>
      <w:r w:rsidR="004D68A6" w:rsidRPr="009B663A">
        <w:rPr>
          <w:rStyle w:val="FootnoteReference"/>
        </w:rPr>
        <w:footnoteReference w:id="22"/>
      </w:r>
    </w:p>
    <w:p w14:paraId="76ED87C3" w14:textId="77777777" w:rsidR="000128E3" w:rsidRDefault="000128E3" w:rsidP="00B67FEB">
      <w:pPr>
        <w:pStyle w:val="SingleTxtG"/>
      </w:pPr>
      <w:r>
        <w:t>11</w:t>
      </w:r>
      <w:r w:rsidRPr="008216A5">
        <w:t>.</w:t>
      </w:r>
      <w:r w:rsidRPr="008216A5">
        <w:tab/>
        <w:t>Bearing in mind that, by becoming a party to the Optional Protocol, the State party has recognized the competence of the Committee to determine whether there has been a violation of the Covenant and that, pursuant to article 2 of the Covenant, the State party has undertaken to ensure to all individuals within its territory or subject to its jurisdiction the rights recogni</w:t>
      </w:r>
      <w:r w:rsidR="00C006A7">
        <w:t>z</w:t>
      </w:r>
      <w:r w:rsidRPr="008216A5">
        <w:t xml:space="preserve">ed in the Covenant and to provide an effective and enforceable remedy when it has been determined that a violation has occurred, the Committee wishes to receive from the State party, within 180 days, information about the measures taken to give </w:t>
      </w:r>
      <w:r>
        <w:t>effect to the Committee’</w:t>
      </w:r>
      <w:r w:rsidRPr="008216A5">
        <w:t xml:space="preserve">s Views. The State party is also requested to publish the present Views and </w:t>
      </w:r>
      <w:r w:rsidRPr="008216A5">
        <w:rPr>
          <w:lang w:val="en-US"/>
        </w:rPr>
        <w:t>to have them widely disseminated in Belarusian and Russian in the State party</w:t>
      </w:r>
      <w:r w:rsidR="00B67FEB">
        <w:t>.</w:t>
      </w:r>
    </w:p>
    <w:p w14:paraId="117E32F6" w14:textId="77777777" w:rsidR="00B67FEB" w:rsidRPr="00B67FEB" w:rsidRDefault="00B67FEB" w:rsidP="00B67FEB">
      <w:pPr>
        <w:pStyle w:val="SingleTxtG"/>
        <w:spacing w:before="240" w:after="0"/>
        <w:jc w:val="center"/>
        <w:rPr>
          <w:u w:val="single"/>
        </w:rPr>
      </w:pPr>
      <w:r>
        <w:rPr>
          <w:u w:val="single"/>
        </w:rPr>
        <w:tab/>
      </w:r>
      <w:r>
        <w:rPr>
          <w:u w:val="single"/>
        </w:rPr>
        <w:tab/>
      </w:r>
      <w:r>
        <w:rPr>
          <w:u w:val="single"/>
        </w:rPr>
        <w:tab/>
      </w:r>
    </w:p>
    <w:sectPr w:rsidR="00B67FEB" w:rsidRPr="00B67FEB" w:rsidSect="00656863">
      <w:headerReference w:type="even" r:id="rId9"/>
      <w:headerReference w:type="default" r:id="rId10"/>
      <w:footerReference w:type="even" r:id="rId11"/>
      <w:footerReference w:type="default" r:id="rId12"/>
      <w:footerReference w:type="first" r:id="rId13"/>
      <w:footnotePr>
        <w:numRestart w:val="eachSect"/>
      </w:footnotePr>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EEE9D8" w14:textId="77777777" w:rsidR="00D62DBA" w:rsidRDefault="00D62DBA"/>
  </w:endnote>
  <w:endnote w:type="continuationSeparator" w:id="0">
    <w:p w14:paraId="752FAF3A" w14:textId="77777777" w:rsidR="00D62DBA" w:rsidRDefault="00D62DBA"/>
  </w:endnote>
  <w:endnote w:type="continuationNotice" w:id="1">
    <w:p w14:paraId="72DC17FF" w14:textId="77777777" w:rsidR="00D62DBA" w:rsidRDefault="00D62D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4EB75" w14:textId="77777777" w:rsidR="00FA56DB" w:rsidRPr="00781C83" w:rsidRDefault="00FA56DB" w:rsidP="00781C83">
    <w:pPr>
      <w:pStyle w:val="Footer"/>
      <w:tabs>
        <w:tab w:val="right" w:pos="9638"/>
      </w:tabs>
    </w:pPr>
    <w:r w:rsidRPr="00781C83">
      <w:rPr>
        <w:b/>
        <w:sz w:val="18"/>
      </w:rPr>
      <w:fldChar w:fldCharType="begin"/>
    </w:r>
    <w:r w:rsidRPr="00781C83">
      <w:rPr>
        <w:b/>
        <w:sz w:val="18"/>
      </w:rPr>
      <w:instrText xml:space="preserve"> PAGE  \* MERGEFORMAT </w:instrText>
    </w:r>
    <w:r w:rsidRPr="00781C83">
      <w:rPr>
        <w:b/>
        <w:sz w:val="18"/>
      </w:rPr>
      <w:fldChar w:fldCharType="separate"/>
    </w:r>
    <w:r w:rsidR="00E54C6F">
      <w:rPr>
        <w:b/>
        <w:noProof/>
        <w:sz w:val="18"/>
      </w:rPr>
      <w:t>2</w:t>
    </w:r>
    <w:r w:rsidRPr="00781C83">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F0DF9" w14:textId="77777777" w:rsidR="00FA56DB" w:rsidRPr="00CC25D6" w:rsidRDefault="00FA56DB" w:rsidP="00781C83">
    <w:pPr>
      <w:pStyle w:val="Footer"/>
      <w:tabs>
        <w:tab w:val="right" w:pos="9638"/>
      </w:tabs>
      <w:rPr>
        <w:b/>
        <w:bCs/>
        <w:sz w:val="18"/>
      </w:rPr>
    </w:pPr>
    <w:r>
      <w:rPr>
        <w:b/>
        <w:sz w:val="18"/>
      </w:rPr>
      <w:tab/>
    </w:r>
    <w:r w:rsidRPr="00CC25D6">
      <w:rPr>
        <w:b/>
        <w:bCs/>
        <w:sz w:val="18"/>
      </w:rPr>
      <w:fldChar w:fldCharType="begin"/>
    </w:r>
    <w:r w:rsidRPr="00CC25D6">
      <w:rPr>
        <w:b/>
        <w:bCs/>
        <w:sz w:val="18"/>
      </w:rPr>
      <w:instrText xml:space="preserve"> PAGE  \* MERGEFORMAT </w:instrText>
    </w:r>
    <w:r w:rsidRPr="00CC25D6">
      <w:rPr>
        <w:b/>
        <w:bCs/>
        <w:sz w:val="18"/>
      </w:rPr>
      <w:fldChar w:fldCharType="separate"/>
    </w:r>
    <w:r w:rsidR="00E54C6F">
      <w:rPr>
        <w:b/>
        <w:bCs/>
        <w:noProof/>
        <w:sz w:val="18"/>
      </w:rPr>
      <w:t>3</w:t>
    </w:r>
    <w:r w:rsidRPr="00CC25D6">
      <w:rPr>
        <w:b/>
        <w:bCs/>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7242F" w14:textId="7CF8D2F8" w:rsidR="00A3508F" w:rsidRDefault="00A3508F" w:rsidP="00A3508F">
    <w:pPr>
      <w:pStyle w:val="Footer"/>
    </w:pPr>
    <w:r w:rsidRPr="00DA43F5">
      <w:rPr>
        <w:rFonts w:ascii="C39T30Lfz" w:hAnsi="C39T30Lfz"/>
        <w:noProof/>
        <w:sz w:val="56"/>
        <w:u w:val="single"/>
        <w:lang w:val="en-US"/>
      </w:rPr>
      <w:drawing>
        <wp:anchor distT="0" distB="0" distL="114300" distR="114300" simplePos="0" relativeHeight="251659264" behindDoc="0" locked="0" layoutInCell="1" allowOverlap="1" wp14:anchorId="3523856E" wp14:editId="2EC2A9CC">
          <wp:simplePos x="0" y="0"/>
          <wp:positionH relativeFrom="margin">
            <wp:posOffset>4340860</wp:posOffset>
          </wp:positionH>
          <wp:positionV relativeFrom="margin">
            <wp:posOffset>8240725</wp:posOffset>
          </wp:positionV>
          <wp:extent cx="974725" cy="26733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74725" cy="267335"/>
                  </a:xfrm>
                  <a:prstGeom prst="rect">
                    <a:avLst/>
                  </a:prstGeom>
                </pic:spPr>
              </pic:pic>
            </a:graphicData>
          </a:graphic>
        </wp:anchor>
      </w:drawing>
    </w:r>
  </w:p>
  <w:p w14:paraId="70C26874" w14:textId="2F87B59C" w:rsidR="00A3508F" w:rsidRDefault="00A3508F" w:rsidP="00A3508F">
    <w:pPr>
      <w:pStyle w:val="Footer"/>
      <w:ind w:right="1134"/>
      <w:rPr>
        <w:sz w:val="20"/>
      </w:rPr>
    </w:pPr>
    <w:r>
      <w:rPr>
        <w:sz w:val="20"/>
      </w:rPr>
      <w:t>GE.16-15631(E)</w:t>
    </w:r>
  </w:p>
  <w:p w14:paraId="044EF5BF" w14:textId="4A1C0718" w:rsidR="00A3508F" w:rsidRPr="00A3508F" w:rsidRDefault="00A3508F" w:rsidP="00A3508F">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rPr>
      <w:drawing>
        <wp:anchor distT="0" distB="0" distL="114300" distR="114300" simplePos="0" relativeHeight="251660288" behindDoc="0" locked="0" layoutInCell="1" allowOverlap="1" wp14:anchorId="4A76E17C" wp14:editId="77C1F995">
          <wp:simplePos x="0" y="0"/>
          <wp:positionH relativeFrom="margin">
            <wp:posOffset>5489575</wp:posOffset>
          </wp:positionH>
          <wp:positionV relativeFrom="margin">
            <wp:posOffset>7919720</wp:posOffset>
          </wp:positionV>
          <wp:extent cx="640080" cy="640080"/>
          <wp:effectExtent l="0" t="0" r="7620" b="7620"/>
          <wp:wrapNone/>
          <wp:docPr id="2" name="Picture 1" descr="http://undocs.org/m2/QRCode.ashx?DS=CCPR/C/117/D/2082/2011&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CCPR/C/117/D/2082/2011&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A56792" w14:textId="77777777" w:rsidR="00D62DBA" w:rsidRPr="000B175B" w:rsidRDefault="00D62DBA" w:rsidP="000B175B">
      <w:pPr>
        <w:tabs>
          <w:tab w:val="right" w:pos="2155"/>
        </w:tabs>
        <w:spacing w:after="80"/>
        <w:ind w:left="680"/>
        <w:rPr>
          <w:u w:val="single"/>
        </w:rPr>
      </w:pPr>
      <w:r>
        <w:rPr>
          <w:u w:val="single"/>
        </w:rPr>
        <w:tab/>
      </w:r>
    </w:p>
  </w:footnote>
  <w:footnote w:type="continuationSeparator" w:id="0">
    <w:p w14:paraId="0A9ADDA7" w14:textId="77777777" w:rsidR="00D62DBA" w:rsidRPr="00FC68B7" w:rsidRDefault="00D62DBA" w:rsidP="00FC68B7">
      <w:pPr>
        <w:tabs>
          <w:tab w:val="left" w:pos="2155"/>
        </w:tabs>
        <w:spacing w:after="80"/>
        <w:ind w:left="680"/>
        <w:rPr>
          <w:u w:val="single"/>
        </w:rPr>
      </w:pPr>
      <w:r>
        <w:rPr>
          <w:u w:val="single"/>
        </w:rPr>
        <w:tab/>
      </w:r>
    </w:p>
  </w:footnote>
  <w:footnote w:type="continuationNotice" w:id="1">
    <w:p w14:paraId="1BBC2448" w14:textId="77777777" w:rsidR="00D62DBA" w:rsidRDefault="00D62DBA"/>
  </w:footnote>
  <w:footnote w:id="2">
    <w:p w14:paraId="429FA2EC" w14:textId="77777777" w:rsidR="002E44D3" w:rsidRPr="0059501B" w:rsidRDefault="002E44D3" w:rsidP="00087189">
      <w:pPr>
        <w:pStyle w:val="FootnoteText"/>
      </w:pPr>
      <w:r>
        <w:rPr>
          <w:rStyle w:val="FootnoteReference"/>
        </w:rPr>
        <w:tab/>
      </w:r>
      <w:r w:rsidRPr="002068D4">
        <w:rPr>
          <w:rStyle w:val="FootnoteReference"/>
          <w:sz w:val="20"/>
          <w:vertAlign w:val="baseline"/>
        </w:rPr>
        <w:t>*</w:t>
      </w:r>
      <w:r>
        <w:rPr>
          <w:rStyle w:val="FootnoteReference"/>
          <w:sz w:val="20"/>
        </w:rPr>
        <w:tab/>
      </w:r>
      <w:r>
        <w:t xml:space="preserve">Adopted by the Committee </w:t>
      </w:r>
      <w:r w:rsidRPr="009E4187">
        <w:t xml:space="preserve">at its </w:t>
      </w:r>
      <w:r w:rsidRPr="0059501B">
        <w:t>11</w:t>
      </w:r>
      <w:r w:rsidRPr="00C32180">
        <w:t>7</w:t>
      </w:r>
      <w:r w:rsidRPr="0059501B">
        <w:t>th</w:t>
      </w:r>
      <w:r w:rsidRPr="009E4187">
        <w:t xml:space="preserve"> session (</w:t>
      </w:r>
      <w:r>
        <w:t>20 June-</w:t>
      </w:r>
      <w:r w:rsidRPr="001147E8">
        <w:t>15 July 2016</w:t>
      </w:r>
      <w:r w:rsidRPr="009E4187">
        <w:t>).</w:t>
      </w:r>
    </w:p>
  </w:footnote>
  <w:footnote w:id="3">
    <w:p w14:paraId="013A165F" w14:textId="1916126D" w:rsidR="002E44D3" w:rsidRPr="00B86F81" w:rsidRDefault="002E44D3">
      <w:pPr>
        <w:pStyle w:val="FootnoteText"/>
      </w:pPr>
      <w:r w:rsidRPr="002068D4">
        <w:rPr>
          <w:rStyle w:val="FootnoteReference"/>
          <w:sz w:val="20"/>
          <w:vertAlign w:val="baseline"/>
        </w:rPr>
        <w:tab/>
      </w:r>
      <w:r w:rsidRPr="002068D4">
        <w:rPr>
          <w:rStyle w:val="FootnoteReference"/>
          <w:bCs/>
          <w:sz w:val="20"/>
          <w:vertAlign w:val="baseline"/>
        </w:rPr>
        <w:t>**</w:t>
      </w:r>
      <w:r>
        <w:tab/>
      </w:r>
      <w:bookmarkStart w:id="1" w:name="OLE_LINK1"/>
      <w:bookmarkStart w:id="2" w:name="OLE_LINK2"/>
      <w:r w:rsidRPr="007F7A13">
        <w:t xml:space="preserve">The following members of the Committee participated in the examination of the present communication: </w:t>
      </w:r>
      <w:bookmarkEnd w:id="1"/>
      <w:bookmarkEnd w:id="2"/>
      <w:r>
        <w:t>Yadh Ben Achour, Lazhari Bouzid, Sarah Cleveland, Olivier de Frouville, Ahmed</w:t>
      </w:r>
      <w:r w:rsidR="007C4118">
        <w:t> </w:t>
      </w:r>
      <w:r>
        <w:t>Amin Fathalla, Yuji Iwasawa, Ivana Jeli</w:t>
      </w:r>
      <w:r w:rsidR="008E35D6">
        <w:t>ć</w:t>
      </w:r>
      <w:r>
        <w:t xml:space="preserve">, Photini Pazartzis, Mauro Politi, </w:t>
      </w:r>
      <w:r>
        <w:rPr>
          <w:bCs/>
        </w:rPr>
        <w:t>Sir</w:t>
      </w:r>
      <w:r>
        <w:t xml:space="preserve"> Nigel Rodley, V</w:t>
      </w:r>
      <w:r w:rsidR="00663939">
        <w:t>í</w:t>
      </w:r>
      <w:r>
        <w:t>ctor Manuel Rodríguez-Rescia, Fabián Omar Salvioli, Yuval Shany and Margo Waterval</w:t>
      </w:r>
      <w:r w:rsidRPr="004256A1">
        <w:rPr>
          <w:bCs/>
        </w:rPr>
        <w:t>.</w:t>
      </w:r>
    </w:p>
  </w:footnote>
  <w:footnote w:id="4">
    <w:p w14:paraId="636E423C" w14:textId="68357B18" w:rsidR="00703DA8" w:rsidRDefault="00703DA8">
      <w:pPr>
        <w:pStyle w:val="FootnoteText"/>
        <w:ind w:left="0" w:firstLine="0"/>
      </w:pPr>
      <w:r>
        <w:tab/>
      </w:r>
      <w:r w:rsidRPr="009B663A">
        <w:rPr>
          <w:rStyle w:val="FootnoteReference"/>
        </w:rPr>
        <w:footnoteRef/>
      </w:r>
      <w:r>
        <w:tab/>
      </w:r>
      <w:r w:rsidRPr="00244E82">
        <w:t xml:space="preserve">Decision No. 881 is based on the </w:t>
      </w:r>
      <w:r w:rsidR="00F41C1A" w:rsidRPr="00C231D1">
        <w:t>Public Events Act</w:t>
      </w:r>
      <w:r w:rsidRPr="00244E82">
        <w:t xml:space="preserve"> of 30 December 1997.</w:t>
      </w:r>
      <w:r>
        <w:t xml:space="preserve"> </w:t>
      </w:r>
    </w:p>
  </w:footnote>
  <w:footnote w:id="5">
    <w:p w14:paraId="17EFEEF0" w14:textId="152F2E25" w:rsidR="00D07060" w:rsidRPr="00244E82" w:rsidRDefault="00D07060" w:rsidP="00B86F81">
      <w:pPr>
        <w:tabs>
          <w:tab w:val="right" w:pos="1021"/>
        </w:tabs>
        <w:spacing w:line="220" w:lineRule="exact"/>
        <w:ind w:left="1134" w:right="1134" w:hanging="1134"/>
      </w:pPr>
      <w:r>
        <w:rPr>
          <w:sz w:val="18"/>
          <w:szCs w:val="18"/>
        </w:rPr>
        <w:tab/>
      </w:r>
      <w:r w:rsidRPr="009B663A">
        <w:rPr>
          <w:rStyle w:val="FootnoteReference"/>
        </w:rPr>
        <w:footnoteRef/>
      </w:r>
      <w:r>
        <w:rPr>
          <w:sz w:val="18"/>
          <w:szCs w:val="18"/>
        </w:rPr>
        <w:tab/>
      </w:r>
      <w:r w:rsidRPr="00244E82">
        <w:rPr>
          <w:sz w:val="18"/>
          <w:szCs w:val="18"/>
        </w:rPr>
        <w:t xml:space="preserve">See </w:t>
      </w:r>
      <w:r w:rsidR="000B4C4A" w:rsidRPr="00244E82">
        <w:rPr>
          <w:sz w:val="18"/>
          <w:szCs w:val="18"/>
        </w:rPr>
        <w:t>r</w:t>
      </w:r>
      <w:r w:rsidRPr="00244E82">
        <w:rPr>
          <w:sz w:val="18"/>
          <w:szCs w:val="18"/>
        </w:rPr>
        <w:t>eport o</w:t>
      </w:r>
      <w:r w:rsidR="000B4C4A" w:rsidRPr="00244E82">
        <w:rPr>
          <w:sz w:val="18"/>
          <w:szCs w:val="18"/>
        </w:rPr>
        <w:t>n</w:t>
      </w:r>
      <w:r w:rsidRPr="00244E82">
        <w:rPr>
          <w:sz w:val="18"/>
          <w:szCs w:val="18"/>
        </w:rPr>
        <w:t xml:space="preserve"> </w:t>
      </w:r>
      <w:r w:rsidR="000B4C4A" w:rsidRPr="00244E82">
        <w:rPr>
          <w:sz w:val="18"/>
          <w:szCs w:val="18"/>
        </w:rPr>
        <w:t xml:space="preserve">his </w:t>
      </w:r>
      <w:r w:rsidRPr="00244E82">
        <w:rPr>
          <w:sz w:val="18"/>
          <w:szCs w:val="18"/>
        </w:rPr>
        <w:t>mission to Belarus</w:t>
      </w:r>
      <w:r w:rsidR="000B4C4A" w:rsidRPr="00244E82">
        <w:rPr>
          <w:sz w:val="18"/>
          <w:szCs w:val="18"/>
        </w:rPr>
        <w:t xml:space="preserve"> (E/CN.4/2001/65/Add.1)</w:t>
      </w:r>
      <w:r w:rsidRPr="00244E82">
        <w:rPr>
          <w:sz w:val="18"/>
          <w:szCs w:val="18"/>
        </w:rPr>
        <w:t>.</w:t>
      </w:r>
    </w:p>
  </w:footnote>
  <w:footnote w:id="6">
    <w:p w14:paraId="6AAE1951" w14:textId="77777777" w:rsidR="00D07060" w:rsidRDefault="00D07060" w:rsidP="00B86F81">
      <w:pPr>
        <w:pStyle w:val="FootnoteText"/>
      </w:pPr>
      <w:r w:rsidRPr="00244E82">
        <w:rPr>
          <w:szCs w:val="18"/>
        </w:rPr>
        <w:tab/>
      </w:r>
      <w:r w:rsidRPr="009B663A">
        <w:rPr>
          <w:rStyle w:val="FootnoteReference"/>
        </w:rPr>
        <w:footnoteRef/>
      </w:r>
      <w:r w:rsidRPr="00541848">
        <w:rPr>
          <w:szCs w:val="18"/>
        </w:rPr>
        <w:tab/>
      </w:r>
      <w:r w:rsidRPr="00541848">
        <w:rPr>
          <w:i/>
          <w:szCs w:val="18"/>
        </w:rPr>
        <w:t xml:space="preserve">Tae Hoon Park </w:t>
      </w:r>
      <w:r w:rsidRPr="00B86F81">
        <w:rPr>
          <w:i/>
          <w:iCs/>
          <w:szCs w:val="18"/>
        </w:rPr>
        <w:t>v.</w:t>
      </w:r>
      <w:r w:rsidRPr="00244E82">
        <w:rPr>
          <w:i/>
          <w:szCs w:val="18"/>
        </w:rPr>
        <w:t xml:space="preserve"> Republic of Korea</w:t>
      </w:r>
      <w:r w:rsidRPr="00541848">
        <w:rPr>
          <w:szCs w:val="18"/>
        </w:rPr>
        <w:t>, Views adopted on 20 October 1998, para. 10.4.</w:t>
      </w:r>
    </w:p>
  </w:footnote>
  <w:footnote w:id="7">
    <w:p w14:paraId="208B2B11" w14:textId="4E09F238" w:rsidR="00956A6B" w:rsidRPr="00C231D1" w:rsidRDefault="00B67FEB">
      <w:pPr>
        <w:pStyle w:val="FootnoteText"/>
      </w:pPr>
      <w:r>
        <w:tab/>
      </w:r>
      <w:r w:rsidR="00956A6B" w:rsidRPr="009B663A">
        <w:rPr>
          <w:rStyle w:val="FootnoteReference"/>
        </w:rPr>
        <w:footnoteRef/>
      </w:r>
      <w:r w:rsidR="00956A6B">
        <w:tab/>
      </w:r>
      <w:r w:rsidR="00794BDE">
        <w:t xml:space="preserve">See </w:t>
      </w:r>
      <w:r w:rsidR="00794BDE" w:rsidRPr="00B86F81">
        <w:t>c</w:t>
      </w:r>
      <w:r w:rsidR="00956A6B" w:rsidRPr="00244E82">
        <w:t xml:space="preserve">ommunication No. 1418/2005, </w:t>
      </w:r>
      <w:r w:rsidR="00956A6B" w:rsidRPr="00541848">
        <w:rPr>
          <w:i/>
        </w:rPr>
        <w:t xml:space="preserve">Iskiyaev v. Uzbekistan, </w:t>
      </w:r>
      <w:r w:rsidR="00956A6B" w:rsidRPr="00541848">
        <w:t>Views adopted on 20 March 2009.</w:t>
      </w:r>
    </w:p>
  </w:footnote>
  <w:footnote w:id="8">
    <w:p w14:paraId="15FFFB0D" w14:textId="04446625" w:rsidR="00956A6B" w:rsidRPr="00244E82" w:rsidRDefault="00B67FEB">
      <w:pPr>
        <w:pStyle w:val="FootnoteText"/>
      </w:pPr>
      <w:r w:rsidRPr="00C231D1">
        <w:tab/>
      </w:r>
      <w:r w:rsidR="00956A6B" w:rsidRPr="009B663A">
        <w:rPr>
          <w:rStyle w:val="FootnoteReference"/>
        </w:rPr>
        <w:footnoteRef/>
      </w:r>
      <w:r w:rsidR="00956A6B" w:rsidRPr="00C231D1">
        <w:tab/>
      </w:r>
      <w:r w:rsidR="00794BDE" w:rsidRPr="00C231D1">
        <w:t xml:space="preserve">See </w:t>
      </w:r>
      <w:r w:rsidR="00794BDE" w:rsidRPr="00244E82">
        <w:t xml:space="preserve">European Court of Human Rights, application No. 47033/99, </w:t>
      </w:r>
      <w:r w:rsidR="00956A6B" w:rsidRPr="00244E82">
        <w:rPr>
          <w:i/>
        </w:rPr>
        <w:t xml:space="preserve">Tumilovich v. Russia, </w:t>
      </w:r>
      <w:r w:rsidR="00794BDE" w:rsidRPr="00244E82">
        <w:t xml:space="preserve">decision of </w:t>
      </w:r>
      <w:r w:rsidR="00956A6B" w:rsidRPr="00244E82">
        <w:rPr>
          <w:rStyle w:val="s32a37344"/>
        </w:rPr>
        <w:t>22</w:t>
      </w:r>
      <w:r w:rsidR="00087189">
        <w:rPr>
          <w:rStyle w:val="s32a37344"/>
        </w:rPr>
        <w:t> </w:t>
      </w:r>
      <w:r w:rsidR="00956A6B" w:rsidRPr="00244E82">
        <w:rPr>
          <w:rStyle w:val="s32a37344"/>
        </w:rPr>
        <w:t>June 1999.</w:t>
      </w:r>
    </w:p>
  </w:footnote>
  <w:footnote w:id="9">
    <w:p w14:paraId="184EED54" w14:textId="1110C6CB" w:rsidR="00FA56DB" w:rsidRPr="00541848" w:rsidRDefault="00FA56DB">
      <w:pPr>
        <w:pStyle w:val="FootnoteText"/>
        <w:rPr>
          <w:szCs w:val="18"/>
        </w:rPr>
      </w:pPr>
      <w:r w:rsidRPr="00244E82">
        <w:rPr>
          <w:szCs w:val="18"/>
        </w:rPr>
        <w:tab/>
      </w:r>
      <w:r w:rsidRPr="009B663A">
        <w:rPr>
          <w:rStyle w:val="FootnoteReference"/>
        </w:rPr>
        <w:footnoteRef/>
      </w:r>
      <w:r w:rsidRPr="00C231D1">
        <w:rPr>
          <w:szCs w:val="18"/>
        </w:rPr>
        <w:tab/>
        <w:t xml:space="preserve">Reference is made to the Committee’s </w:t>
      </w:r>
      <w:r w:rsidR="00CA56DE" w:rsidRPr="00244E82">
        <w:rPr>
          <w:szCs w:val="18"/>
        </w:rPr>
        <w:t>g</w:t>
      </w:r>
      <w:r w:rsidRPr="00244E82">
        <w:rPr>
          <w:szCs w:val="18"/>
        </w:rPr>
        <w:t xml:space="preserve">eneral </w:t>
      </w:r>
      <w:r w:rsidR="00CA56DE" w:rsidRPr="00244E82">
        <w:rPr>
          <w:szCs w:val="18"/>
        </w:rPr>
        <w:t>c</w:t>
      </w:r>
      <w:r w:rsidRPr="00244E82">
        <w:rPr>
          <w:szCs w:val="18"/>
        </w:rPr>
        <w:t>omment No. 33 (2008)</w:t>
      </w:r>
      <w:r w:rsidR="00CA56DE" w:rsidRPr="00244E82">
        <w:rPr>
          <w:szCs w:val="18"/>
        </w:rPr>
        <w:t xml:space="preserve"> on the obligations of States parties under the Optional Protocol</w:t>
      </w:r>
      <w:r w:rsidR="00B45E7D" w:rsidRPr="00B86F81">
        <w:rPr>
          <w:szCs w:val="18"/>
        </w:rPr>
        <w:t>, para. 13</w:t>
      </w:r>
      <w:r w:rsidRPr="00244E82">
        <w:rPr>
          <w:szCs w:val="18"/>
        </w:rPr>
        <w:t>.</w:t>
      </w:r>
      <w:r w:rsidRPr="00541848">
        <w:rPr>
          <w:szCs w:val="18"/>
        </w:rPr>
        <w:t xml:space="preserve"> </w:t>
      </w:r>
    </w:p>
  </w:footnote>
  <w:footnote w:id="10">
    <w:p w14:paraId="26F36D8F" w14:textId="2BEB7277" w:rsidR="00F318C1" w:rsidRPr="00F318C1" w:rsidRDefault="00B67FEB">
      <w:pPr>
        <w:pStyle w:val="FootnoteText"/>
      </w:pPr>
      <w:r w:rsidRPr="00C231D1">
        <w:tab/>
      </w:r>
      <w:r w:rsidR="00F318C1" w:rsidRPr="009B663A">
        <w:rPr>
          <w:rStyle w:val="FootnoteReference"/>
        </w:rPr>
        <w:footnoteRef/>
      </w:r>
      <w:r w:rsidRPr="00C231D1">
        <w:tab/>
      </w:r>
      <w:r w:rsidR="002B5CE7" w:rsidRPr="00C231D1">
        <w:t xml:space="preserve">See, for example, </w:t>
      </w:r>
      <w:r w:rsidR="002B5CE7" w:rsidRPr="00244E82">
        <w:t>c</w:t>
      </w:r>
      <w:r w:rsidR="00D431EB" w:rsidRPr="00244E82">
        <w:t>ommunications</w:t>
      </w:r>
      <w:r w:rsidR="00F318C1" w:rsidRPr="00244E82">
        <w:t xml:space="preserve"> No</w:t>
      </w:r>
      <w:r w:rsidR="00D431EB" w:rsidRPr="00244E82">
        <w:t>s</w:t>
      </w:r>
      <w:r w:rsidR="00F318C1" w:rsidRPr="00244E82">
        <w:t>. 1867/2009,</w:t>
      </w:r>
      <w:r w:rsidR="00D431EB" w:rsidRPr="00244E82">
        <w:t xml:space="preserve"> </w:t>
      </w:r>
      <w:r w:rsidR="00F318C1" w:rsidRPr="00244E82">
        <w:t>1936/2010,</w:t>
      </w:r>
      <w:r w:rsidR="00424AD8" w:rsidRPr="00244E82">
        <w:t xml:space="preserve"> </w:t>
      </w:r>
      <w:r w:rsidR="00F318C1" w:rsidRPr="00244E82">
        <w:t>1975/2010,</w:t>
      </w:r>
      <w:r w:rsidR="007E5A81" w:rsidRPr="00244E82">
        <w:t xml:space="preserve"> </w:t>
      </w:r>
      <w:r w:rsidR="00F318C1" w:rsidRPr="00244E82">
        <w:t>1977/2010</w:t>
      </w:r>
      <w:r w:rsidR="002B5CE7" w:rsidRPr="00244E82">
        <w:t>–</w:t>
      </w:r>
      <w:r w:rsidR="00F318C1" w:rsidRPr="00244E82">
        <w:t xml:space="preserve">1981/2010 and 2010/2010, </w:t>
      </w:r>
      <w:r w:rsidR="00F318C1" w:rsidRPr="00244E82">
        <w:rPr>
          <w:i/>
        </w:rPr>
        <w:t xml:space="preserve">Levinov v. Belarus, </w:t>
      </w:r>
      <w:r w:rsidR="00F318C1" w:rsidRPr="00244E82">
        <w:t>Views adopted on 19 July 2012</w:t>
      </w:r>
      <w:r w:rsidR="00726F57" w:rsidRPr="00244E82">
        <w:t>.</w:t>
      </w:r>
    </w:p>
  </w:footnote>
  <w:footnote w:id="11">
    <w:p w14:paraId="63BEC9B5" w14:textId="0DEBDDC2" w:rsidR="00FA56DB" w:rsidRPr="00AB5D75" w:rsidRDefault="00FA56DB">
      <w:pPr>
        <w:pStyle w:val="FootnoteText"/>
        <w:rPr>
          <w:szCs w:val="18"/>
        </w:rPr>
      </w:pPr>
      <w:r w:rsidRPr="00AB5D75">
        <w:rPr>
          <w:szCs w:val="18"/>
        </w:rPr>
        <w:tab/>
      </w:r>
      <w:r w:rsidRPr="009B663A">
        <w:rPr>
          <w:rStyle w:val="FootnoteReference"/>
        </w:rPr>
        <w:footnoteRef/>
      </w:r>
      <w:r w:rsidRPr="00AB5D75">
        <w:rPr>
          <w:szCs w:val="18"/>
        </w:rPr>
        <w:tab/>
      </w:r>
      <w:r w:rsidRPr="00244E82">
        <w:rPr>
          <w:szCs w:val="18"/>
        </w:rPr>
        <w:t xml:space="preserve">See, </w:t>
      </w:r>
      <w:r w:rsidR="00CA56DE" w:rsidRPr="00244E82">
        <w:rPr>
          <w:szCs w:val="18"/>
        </w:rPr>
        <w:t>for example</w:t>
      </w:r>
      <w:r w:rsidRPr="00244E82">
        <w:rPr>
          <w:szCs w:val="18"/>
        </w:rPr>
        <w:t xml:space="preserve">, </w:t>
      </w:r>
      <w:r w:rsidR="002B5CE7" w:rsidRPr="00C231D1">
        <w:rPr>
          <w:szCs w:val="18"/>
        </w:rPr>
        <w:t>ibid.</w:t>
      </w:r>
      <w:r w:rsidR="00C231D1">
        <w:rPr>
          <w:szCs w:val="18"/>
        </w:rPr>
        <w:t>, para. 8.2,</w:t>
      </w:r>
      <w:r w:rsidR="00253E54" w:rsidRPr="00C231D1">
        <w:rPr>
          <w:szCs w:val="18"/>
        </w:rPr>
        <w:t xml:space="preserve"> and </w:t>
      </w:r>
      <w:r w:rsidRPr="00C231D1">
        <w:rPr>
          <w:szCs w:val="18"/>
        </w:rPr>
        <w:t xml:space="preserve">No. </w:t>
      </w:r>
      <w:r w:rsidR="008E03D7" w:rsidRPr="00244E82">
        <w:rPr>
          <w:szCs w:val="18"/>
        </w:rPr>
        <w:t xml:space="preserve">2019/2010, </w:t>
      </w:r>
      <w:r w:rsidR="008E03D7" w:rsidRPr="00244E82">
        <w:rPr>
          <w:i/>
          <w:szCs w:val="18"/>
        </w:rPr>
        <w:t xml:space="preserve">Poplavny v. Belarus, </w:t>
      </w:r>
      <w:r w:rsidRPr="00244E82">
        <w:rPr>
          <w:szCs w:val="18"/>
        </w:rPr>
        <w:t xml:space="preserve">Views adopted on </w:t>
      </w:r>
      <w:r w:rsidR="008E03D7" w:rsidRPr="00244E82">
        <w:rPr>
          <w:szCs w:val="18"/>
        </w:rPr>
        <w:t>5</w:t>
      </w:r>
      <w:r w:rsidR="002068D4">
        <w:rPr>
          <w:szCs w:val="18"/>
        </w:rPr>
        <w:t> </w:t>
      </w:r>
      <w:r w:rsidR="008E03D7" w:rsidRPr="00244E82">
        <w:rPr>
          <w:szCs w:val="18"/>
        </w:rPr>
        <w:t>November</w:t>
      </w:r>
      <w:r w:rsidRPr="00244E82">
        <w:rPr>
          <w:szCs w:val="18"/>
        </w:rPr>
        <w:t xml:space="preserve"> 20</w:t>
      </w:r>
      <w:r w:rsidR="008E03D7" w:rsidRPr="00244E82">
        <w:rPr>
          <w:szCs w:val="18"/>
        </w:rPr>
        <w:t>15</w:t>
      </w:r>
      <w:r w:rsidRPr="00244E82">
        <w:rPr>
          <w:szCs w:val="18"/>
        </w:rPr>
        <w:t>, para.</w:t>
      </w:r>
      <w:r w:rsidR="008E03D7" w:rsidRPr="00244E82">
        <w:rPr>
          <w:szCs w:val="18"/>
        </w:rPr>
        <w:t xml:space="preserve"> 6</w:t>
      </w:r>
      <w:r w:rsidRPr="00244E82">
        <w:rPr>
          <w:szCs w:val="18"/>
        </w:rPr>
        <w:t>.</w:t>
      </w:r>
      <w:r w:rsidR="008E03D7" w:rsidRPr="00244E82">
        <w:rPr>
          <w:szCs w:val="18"/>
        </w:rPr>
        <w:t>2</w:t>
      </w:r>
      <w:r w:rsidRPr="00244E82">
        <w:rPr>
          <w:szCs w:val="18"/>
        </w:rPr>
        <w:t>.</w:t>
      </w:r>
    </w:p>
  </w:footnote>
  <w:footnote w:id="12">
    <w:p w14:paraId="294D1EE4" w14:textId="2CA7156F" w:rsidR="00FA56DB" w:rsidRPr="00950033" w:rsidRDefault="00FA56DB">
      <w:pPr>
        <w:pStyle w:val="FootnoteText"/>
        <w:rPr>
          <w:szCs w:val="18"/>
        </w:rPr>
      </w:pPr>
      <w:r w:rsidRPr="00AB5D75">
        <w:rPr>
          <w:szCs w:val="18"/>
        </w:rPr>
        <w:tab/>
      </w:r>
      <w:r w:rsidRPr="009B663A">
        <w:rPr>
          <w:rStyle w:val="FootnoteReference"/>
        </w:rPr>
        <w:footnoteRef/>
      </w:r>
      <w:r w:rsidRPr="00FC20C0">
        <w:rPr>
          <w:szCs w:val="18"/>
        </w:rPr>
        <w:tab/>
      </w:r>
      <w:r w:rsidR="005928DF" w:rsidRPr="00950033">
        <w:rPr>
          <w:szCs w:val="18"/>
        </w:rPr>
        <w:t>See c</w:t>
      </w:r>
      <w:r w:rsidRPr="00950033">
        <w:rPr>
          <w:szCs w:val="18"/>
        </w:rPr>
        <w:t xml:space="preserve">ommunications No. 1873/2009, </w:t>
      </w:r>
      <w:r w:rsidRPr="00950033">
        <w:rPr>
          <w:i/>
          <w:szCs w:val="18"/>
        </w:rPr>
        <w:t>Alekseev v. the Russian Federation</w:t>
      </w:r>
      <w:r w:rsidRPr="00950033">
        <w:rPr>
          <w:szCs w:val="18"/>
        </w:rPr>
        <w:t>, Views adopted on 25</w:t>
      </w:r>
      <w:r w:rsidR="00087189">
        <w:rPr>
          <w:szCs w:val="18"/>
        </w:rPr>
        <w:t> </w:t>
      </w:r>
      <w:r w:rsidRPr="00950033">
        <w:rPr>
          <w:szCs w:val="18"/>
        </w:rPr>
        <w:t>October 2013, para 8.4</w:t>
      </w:r>
      <w:r w:rsidR="005D6E83">
        <w:rPr>
          <w:szCs w:val="18"/>
        </w:rPr>
        <w:t>;</w:t>
      </w:r>
      <w:r w:rsidRPr="00950033">
        <w:rPr>
          <w:szCs w:val="18"/>
        </w:rPr>
        <w:t xml:space="preserve"> and No. 1929/2010, </w:t>
      </w:r>
      <w:r w:rsidRPr="00950033">
        <w:rPr>
          <w:i/>
          <w:szCs w:val="18"/>
        </w:rPr>
        <w:t>Lozenko</w:t>
      </w:r>
      <w:r w:rsidRPr="00950033">
        <w:rPr>
          <w:szCs w:val="18"/>
        </w:rPr>
        <w:t xml:space="preserve"> </w:t>
      </w:r>
      <w:r w:rsidRPr="00950033">
        <w:rPr>
          <w:i/>
          <w:szCs w:val="18"/>
        </w:rPr>
        <w:t xml:space="preserve">v. Belarus, </w:t>
      </w:r>
      <w:r w:rsidRPr="00950033">
        <w:rPr>
          <w:szCs w:val="18"/>
        </w:rPr>
        <w:t xml:space="preserve">Views adopted on 24 October 2014, para. 6.3. </w:t>
      </w:r>
    </w:p>
  </w:footnote>
  <w:footnote w:id="13">
    <w:p w14:paraId="0EA6C728" w14:textId="69E035FE" w:rsidR="00915B61" w:rsidRPr="00950033" w:rsidRDefault="00915B61">
      <w:pPr>
        <w:pStyle w:val="FootnoteText"/>
      </w:pPr>
      <w:r w:rsidRPr="00950033">
        <w:tab/>
      </w:r>
      <w:r w:rsidRPr="009B663A">
        <w:rPr>
          <w:rStyle w:val="FootnoteReference"/>
        </w:rPr>
        <w:footnoteRef/>
      </w:r>
      <w:r w:rsidRPr="00950033">
        <w:tab/>
        <w:t xml:space="preserve">See communications No. 1834/2008, </w:t>
      </w:r>
      <w:r w:rsidRPr="00950033">
        <w:rPr>
          <w:i/>
        </w:rPr>
        <w:t xml:space="preserve">A.P. </w:t>
      </w:r>
      <w:r w:rsidRPr="00B86F81">
        <w:rPr>
          <w:i/>
          <w:iCs/>
        </w:rPr>
        <w:t>v.</w:t>
      </w:r>
      <w:r w:rsidRPr="00950033">
        <w:rPr>
          <w:i/>
        </w:rPr>
        <w:t xml:space="preserve"> Ukraine</w:t>
      </w:r>
      <w:r w:rsidRPr="00950033">
        <w:t xml:space="preserve">, decision adopted on 23 July 2012, para. 8.5; </w:t>
      </w:r>
      <w:r w:rsidR="0079551A" w:rsidRPr="00950033">
        <w:t xml:space="preserve">and </w:t>
      </w:r>
      <w:r w:rsidR="0079551A" w:rsidRPr="00950033">
        <w:rPr>
          <w:szCs w:val="18"/>
        </w:rPr>
        <w:t xml:space="preserve">No. 1867/2009, 1936/2010, 1975/2010, 1977/2010-1981/2010 and 2010/2010, </w:t>
      </w:r>
      <w:r w:rsidR="0079551A" w:rsidRPr="00950033">
        <w:rPr>
          <w:i/>
          <w:szCs w:val="18"/>
        </w:rPr>
        <w:t>Levinov v. Belarus</w:t>
      </w:r>
      <w:r w:rsidR="0079551A" w:rsidRPr="00E831D6">
        <w:rPr>
          <w:iCs/>
          <w:szCs w:val="18"/>
        </w:rPr>
        <w:t xml:space="preserve">, </w:t>
      </w:r>
      <w:r w:rsidR="0079551A" w:rsidRPr="00950033">
        <w:rPr>
          <w:szCs w:val="18"/>
        </w:rPr>
        <w:t>Views adopted on</w:t>
      </w:r>
      <w:r w:rsidR="0079551A" w:rsidRPr="00950033">
        <w:rPr>
          <w:b/>
          <w:szCs w:val="18"/>
        </w:rPr>
        <w:t xml:space="preserve"> </w:t>
      </w:r>
      <w:r w:rsidR="0079551A" w:rsidRPr="00950033">
        <w:rPr>
          <w:szCs w:val="18"/>
        </w:rPr>
        <w:t>19 July 2012, para. 9.3</w:t>
      </w:r>
      <w:r w:rsidR="0079551A" w:rsidRPr="00950033">
        <w:t>.</w:t>
      </w:r>
    </w:p>
  </w:footnote>
  <w:footnote w:id="14">
    <w:p w14:paraId="2F32F118" w14:textId="4194755B" w:rsidR="00424AD8" w:rsidRPr="00950033" w:rsidRDefault="00424AD8" w:rsidP="00B86F81">
      <w:pPr>
        <w:pStyle w:val="FootnoteText"/>
        <w:rPr>
          <w:i/>
        </w:rPr>
      </w:pPr>
      <w:r w:rsidRPr="00950033">
        <w:tab/>
      </w:r>
      <w:r w:rsidRPr="009B663A">
        <w:rPr>
          <w:rStyle w:val="FootnoteReference"/>
        </w:rPr>
        <w:footnoteRef/>
      </w:r>
      <w:r w:rsidRPr="00950033">
        <w:tab/>
      </w:r>
      <w:r w:rsidRPr="00950033">
        <w:rPr>
          <w:szCs w:val="18"/>
        </w:rPr>
        <w:t xml:space="preserve">See communications </w:t>
      </w:r>
      <w:r w:rsidR="004A63A0" w:rsidRPr="00950033">
        <w:rPr>
          <w:szCs w:val="18"/>
        </w:rPr>
        <w:t xml:space="preserve">No. 1361/2005, </w:t>
      </w:r>
      <w:r w:rsidR="004A63A0" w:rsidRPr="00950033">
        <w:rPr>
          <w:i/>
          <w:szCs w:val="18"/>
        </w:rPr>
        <w:t xml:space="preserve">X. </w:t>
      </w:r>
      <w:r w:rsidR="004A63A0" w:rsidRPr="00B86F81">
        <w:rPr>
          <w:i/>
          <w:iCs/>
          <w:szCs w:val="18"/>
        </w:rPr>
        <w:t>v.</w:t>
      </w:r>
      <w:r w:rsidR="004A63A0" w:rsidRPr="00950033">
        <w:rPr>
          <w:i/>
          <w:szCs w:val="18"/>
        </w:rPr>
        <w:t xml:space="preserve"> Colombia</w:t>
      </w:r>
      <w:r w:rsidR="004A63A0" w:rsidRPr="00950033">
        <w:rPr>
          <w:szCs w:val="18"/>
        </w:rPr>
        <w:t>, Views adopted on 30 March 2007, para. 6.3</w:t>
      </w:r>
      <w:r w:rsidR="005D6E83">
        <w:rPr>
          <w:szCs w:val="18"/>
        </w:rPr>
        <w:t>;</w:t>
      </w:r>
      <w:r w:rsidR="004A63A0" w:rsidRPr="00950033">
        <w:rPr>
          <w:szCs w:val="18"/>
        </w:rPr>
        <w:t xml:space="preserve"> and No</w:t>
      </w:r>
      <w:r w:rsidRPr="00950033">
        <w:rPr>
          <w:szCs w:val="18"/>
        </w:rPr>
        <w:t>.</w:t>
      </w:r>
      <w:r w:rsidR="004A63A0" w:rsidRPr="00950033">
        <w:rPr>
          <w:szCs w:val="18"/>
        </w:rPr>
        <w:t xml:space="preserve"> 2041/2011, </w:t>
      </w:r>
      <w:r w:rsidR="004A63A0" w:rsidRPr="00950033">
        <w:rPr>
          <w:i/>
          <w:szCs w:val="18"/>
        </w:rPr>
        <w:t xml:space="preserve">Dorofeev v. Russian Federation, </w:t>
      </w:r>
      <w:r w:rsidR="004A63A0" w:rsidRPr="00950033">
        <w:rPr>
          <w:szCs w:val="18"/>
        </w:rPr>
        <w:t>Views adopted on 11 July 2015, para. 9.3.</w:t>
      </w:r>
      <w:r w:rsidR="004A63A0" w:rsidRPr="00950033">
        <w:rPr>
          <w:i/>
          <w:szCs w:val="18"/>
        </w:rPr>
        <w:t xml:space="preserve"> </w:t>
      </w:r>
    </w:p>
  </w:footnote>
  <w:footnote w:id="15">
    <w:p w14:paraId="5057FBF6" w14:textId="0CDD28E5" w:rsidR="00DA49AA" w:rsidRPr="00950033" w:rsidRDefault="00DA49AA" w:rsidP="00B86F81">
      <w:pPr>
        <w:pStyle w:val="FootnoteText"/>
      </w:pPr>
      <w:r w:rsidRPr="00950033">
        <w:tab/>
      </w:r>
      <w:r w:rsidRPr="009B663A">
        <w:rPr>
          <w:rStyle w:val="FootnoteReference"/>
        </w:rPr>
        <w:footnoteRef/>
      </w:r>
      <w:r w:rsidRPr="00950033">
        <w:tab/>
        <w:t>See general comment No. 32 (2007) on the right to equality before courts and tribunals and to a fair trial</w:t>
      </w:r>
      <w:r w:rsidRPr="00950033">
        <w:rPr>
          <w:szCs w:val="18"/>
        </w:rPr>
        <w:t>,</w:t>
      </w:r>
      <w:r w:rsidRPr="00950033">
        <w:t xml:space="preserve"> para. 26; see, </w:t>
      </w:r>
      <w:r w:rsidRPr="00950033">
        <w:rPr>
          <w:iCs/>
        </w:rPr>
        <w:t xml:space="preserve">inter alia, </w:t>
      </w:r>
      <w:r w:rsidRPr="00950033">
        <w:t xml:space="preserve">communications No. 927/2000, </w:t>
      </w:r>
      <w:r w:rsidRPr="00950033">
        <w:rPr>
          <w:i/>
          <w:iCs/>
        </w:rPr>
        <w:t xml:space="preserve">Svetik </w:t>
      </w:r>
      <w:r w:rsidRPr="00B86F81">
        <w:rPr>
          <w:i/>
        </w:rPr>
        <w:t>v.</w:t>
      </w:r>
      <w:r w:rsidRPr="00950033">
        <w:rPr>
          <w:i/>
          <w:iCs/>
        </w:rPr>
        <w:t xml:space="preserve"> Belarus</w:t>
      </w:r>
      <w:r w:rsidRPr="00950033">
        <w:t>, Views adopted on 8</w:t>
      </w:r>
      <w:r w:rsidR="00087189">
        <w:t> </w:t>
      </w:r>
      <w:r w:rsidRPr="00950033">
        <w:t xml:space="preserve">July 2004, para. 6.3; No. 1399/2005, </w:t>
      </w:r>
      <w:r w:rsidRPr="00950033">
        <w:rPr>
          <w:i/>
          <w:iCs/>
        </w:rPr>
        <w:t xml:space="preserve">Cuartero Casado </w:t>
      </w:r>
      <w:r w:rsidRPr="00B86F81">
        <w:rPr>
          <w:i/>
        </w:rPr>
        <w:t xml:space="preserve">v. </w:t>
      </w:r>
      <w:r w:rsidRPr="00950033">
        <w:rPr>
          <w:i/>
          <w:iCs/>
        </w:rPr>
        <w:t>Spain</w:t>
      </w:r>
      <w:r w:rsidRPr="00950033">
        <w:t>, decision of inadmissibility adopted on 25 July 2005, para. 4.3</w:t>
      </w:r>
      <w:r w:rsidR="005D6E83">
        <w:t>;</w:t>
      </w:r>
      <w:r w:rsidR="00F31FB3" w:rsidRPr="00950033">
        <w:t xml:space="preserve"> and </w:t>
      </w:r>
      <w:r w:rsidR="00C77C10" w:rsidRPr="00950033">
        <w:rPr>
          <w:szCs w:val="18"/>
        </w:rPr>
        <w:t xml:space="preserve">Nos. 1867/2009, 1936/2010, 1975/2010, 1977/2010-1981/2010 and 2010/2010, </w:t>
      </w:r>
      <w:r w:rsidR="00C77C10" w:rsidRPr="00950033">
        <w:rPr>
          <w:i/>
          <w:szCs w:val="18"/>
        </w:rPr>
        <w:t>Levinov v. Belarus,</w:t>
      </w:r>
      <w:r w:rsidR="00C77C10" w:rsidRPr="00950033">
        <w:rPr>
          <w:szCs w:val="18"/>
        </w:rPr>
        <w:t xml:space="preserve"> Views adopted on</w:t>
      </w:r>
      <w:r w:rsidR="00C77C10" w:rsidRPr="00950033">
        <w:rPr>
          <w:b/>
          <w:szCs w:val="18"/>
        </w:rPr>
        <w:t xml:space="preserve"> </w:t>
      </w:r>
      <w:r w:rsidR="00C77C10" w:rsidRPr="00950033">
        <w:rPr>
          <w:szCs w:val="18"/>
        </w:rPr>
        <w:t>19 July 2012, para. 9.5</w:t>
      </w:r>
      <w:r w:rsidRPr="00950033">
        <w:t>.</w:t>
      </w:r>
    </w:p>
  </w:footnote>
  <w:footnote w:id="16">
    <w:p w14:paraId="2C15EC67" w14:textId="2D86FDEE" w:rsidR="00FA6BE1" w:rsidRPr="00FA6BE1" w:rsidRDefault="00FA6BE1">
      <w:pPr>
        <w:pStyle w:val="FootnoteText"/>
      </w:pPr>
      <w:r w:rsidRPr="00950033">
        <w:tab/>
      </w:r>
      <w:r w:rsidRPr="009B663A">
        <w:rPr>
          <w:rStyle w:val="FootnoteReference"/>
        </w:rPr>
        <w:footnoteRef/>
      </w:r>
      <w:r w:rsidRPr="00950033">
        <w:tab/>
        <w:t xml:space="preserve">See communications No. 1157/2003, </w:t>
      </w:r>
      <w:r w:rsidRPr="00950033">
        <w:rPr>
          <w:i/>
        </w:rPr>
        <w:t xml:space="preserve">Coleman </w:t>
      </w:r>
      <w:r w:rsidRPr="00B86F81">
        <w:rPr>
          <w:i/>
          <w:iCs/>
        </w:rPr>
        <w:t>v.</w:t>
      </w:r>
      <w:r w:rsidRPr="00950033">
        <w:rPr>
          <w:i/>
        </w:rPr>
        <w:t xml:space="preserve"> Australia</w:t>
      </w:r>
      <w:r w:rsidRPr="00950033">
        <w:t>, Views adopted on 17 July 2006, para.</w:t>
      </w:r>
      <w:r w:rsidR="00087189">
        <w:t> </w:t>
      </w:r>
      <w:r w:rsidRPr="00950033">
        <w:t>6.4</w:t>
      </w:r>
      <w:r w:rsidR="005D6E83">
        <w:t>;</w:t>
      </w:r>
      <w:r w:rsidRPr="00950033">
        <w:t xml:space="preserve"> and </w:t>
      </w:r>
      <w:r w:rsidR="00A036B3" w:rsidRPr="00950033">
        <w:t>Nos. 1867/2009, 1936/2010, 1975/2010, 1977/2010</w:t>
      </w:r>
      <w:r w:rsidR="002B5CE7" w:rsidRPr="00950033">
        <w:t>–</w:t>
      </w:r>
      <w:r w:rsidR="00A036B3" w:rsidRPr="00950033">
        <w:t xml:space="preserve">1981/2010 and 2010/2010, </w:t>
      </w:r>
      <w:r w:rsidR="00A036B3" w:rsidRPr="00950033">
        <w:rPr>
          <w:i/>
        </w:rPr>
        <w:t>Levinov v. Belarus,</w:t>
      </w:r>
      <w:r w:rsidR="00A036B3" w:rsidRPr="00950033">
        <w:t xml:space="preserve"> Views adopted on</w:t>
      </w:r>
      <w:r w:rsidR="00A036B3" w:rsidRPr="00950033">
        <w:rPr>
          <w:b/>
        </w:rPr>
        <w:t xml:space="preserve"> </w:t>
      </w:r>
      <w:r w:rsidR="00A036B3" w:rsidRPr="00950033">
        <w:t>19 July 2012, para. 9.7</w:t>
      </w:r>
      <w:r w:rsidR="003E723E" w:rsidRPr="00950033">
        <w:t>.</w:t>
      </w:r>
    </w:p>
  </w:footnote>
  <w:footnote w:id="17">
    <w:p w14:paraId="601AE7A9" w14:textId="55532B7A" w:rsidR="00F43630" w:rsidRPr="00B86F81" w:rsidRDefault="00F43630">
      <w:pPr>
        <w:pStyle w:val="FootnoteText"/>
        <w:rPr>
          <w:lang w:val="en-US" w:bidi="he-IL"/>
        </w:rPr>
      </w:pPr>
      <w:r>
        <w:tab/>
      </w:r>
      <w:r w:rsidRPr="009B663A">
        <w:rPr>
          <w:rStyle w:val="FootnoteReference"/>
        </w:rPr>
        <w:footnoteRef/>
      </w:r>
      <w:r w:rsidRPr="00B86F81">
        <w:rPr>
          <w:lang w:val="en-US"/>
        </w:rPr>
        <w:tab/>
      </w:r>
      <w:r w:rsidR="00040983" w:rsidRPr="00244E82">
        <w:t xml:space="preserve">See </w:t>
      </w:r>
      <w:r w:rsidR="00040983" w:rsidRPr="00B86F81">
        <w:t>g</w:t>
      </w:r>
      <w:r w:rsidRPr="00B86F81">
        <w:rPr>
          <w:lang w:val="en-US"/>
        </w:rPr>
        <w:t xml:space="preserve">eneral </w:t>
      </w:r>
      <w:r w:rsidR="002B5CE7" w:rsidRPr="00244E82">
        <w:t>c</w:t>
      </w:r>
      <w:r w:rsidRPr="00B86F81">
        <w:rPr>
          <w:lang w:val="en-US"/>
        </w:rPr>
        <w:t>omment No. 34 (</w:t>
      </w:r>
      <w:r w:rsidRPr="00B86F81">
        <w:rPr>
          <w:lang w:val="en-US" w:bidi="he-IL"/>
        </w:rPr>
        <w:t>2011), para. 2.</w:t>
      </w:r>
    </w:p>
  </w:footnote>
  <w:footnote w:id="18">
    <w:p w14:paraId="033619BC" w14:textId="72B7D5B0" w:rsidR="00F43630" w:rsidRDefault="00F43630">
      <w:pPr>
        <w:pStyle w:val="FootnoteText"/>
      </w:pPr>
      <w:r w:rsidRPr="00B86F81">
        <w:rPr>
          <w:lang w:val="en-US"/>
        </w:rPr>
        <w:tab/>
      </w:r>
      <w:r w:rsidRPr="009B663A">
        <w:rPr>
          <w:rStyle w:val="FootnoteReference"/>
        </w:rPr>
        <w:footnoteRef/>
      </w:r>
      <w:r w:rsidRPr="00B86F81">
        <w:rPr>
          <w:lang w:val="en-US"/>
        </w:rPr>
        <w:tab/>
      </w:r>
      <w:r w:rsidRPr="00B86F81">
        <w:rPr>
          <w:iCs/>
          <w:lang w:val="en-US"/>
        </w:rPr>
        <w:t>Ibid</w:t>
      </w:r>
      <w:r w:rsidR="002B5CE7" w:rsidRPr="00B86F81">
        <w:rPr>
          <w:iCs/>
        </w:rPr>
        <w:t>.</w:t>
      </w:r>
      <w:r w:rsidRPr="00B86F81">
        <w:rPr>
          <w:iCs/>
          <w:lang w:val="en-US"/>
        </w:rPr>
        <w:t xml:space="preserve">, </w:t>
      </w:r>
      <w:r w:rsidRPr="00B86F81">
        <w:rPr>
          <w:lang w:val="en-US"/>
        </w:rPr>
        <w:t xml:space="preserve">para. </w:t>
      </w:r>
      <w:r w:rsidRPr="005D6E83">
        <w:t>2.</w:t>
      </w:r>
    </w:p>
  </w:footnote>
  <w:footnote w:id="19">
    <w:p w14:paraId="4D8604E2" w14:textId="785294E2" w:rsidR="00F43630" w:rsidRPr="00541848" w:rsidRDefault="00F43630">
      <w:pPr>
        <w:pStyle w:val="FootnoteText"/>
      </w:pPr>
      <w:r>
        <w:tab/>
      </w:r>
      <w:r w:rsidRPr="009B663A">
        <w:rPr>
          <w:rStyle w:val="FootnoteReference"/>
        </w:rPr>
        <w:footnoteRef/>
      </w:r>
      <w:r>
        <w:tab/>
      </w:r>
      <w:r w:rsidRPr="00B86F81">
        <w:rPr>
          <w:iCs/>
        </w:rPr>
        <w:t>Ibid</w:t>
      </w:r>
      <w:r w:rsidR="002B5CE7" w:rsidRPr="00244E82">
        <w:rPr>
          <w:i/>
        </w:rPr>
        <w:t>.</w:t>
      </w:r>
      <w:r w:rsidRPr="00B86F81">
        <w:rPr>
          <w:iCs/>
        </w:rPr>
        <w:t>,</w:t>
      </w:r>
      <w:r w:rsidRPr="00244E82">
        <w:rPr>
          <w:i/>
        </w:rPr>
        <w:t xml:space="preserve"> </w:t>
      </w:r>
      <w:r w:rsidRPr="00244E82">
        <w:t>para. 22.</w:t>
      </w:r>
    </w:p>
  </w:footnote>
  <w:footnote w:id="20">
    <w:p w14:paraId="297625CD" w14:textId="118DB022" w:rsidR="00F43630" w:rsidRPr="00244E82" w:rsidRDefault="00F43630">
      <w:pPr>
        <w:pStyle w:val="FootnoteText"/>
      </w:pPr>
      <w:r w:rsidRPr="00B56B5C">
        <w:tab/>
      </w:r>
      <w:r w:rsidRPr="009B663A">
        <w:rPr>
          <w:rStyle w:val="FootnoteReference"/>
        </w:rPr>
        <w:footnoteRef/>
      </w:r>
      <w:r w:rsidRPr="00C231D1">
        <w:tab/>
        <w:t xml:space="preserve">See, for example, communications No. 1830/2008, </w:t>
      </w:r>
      <w:r w:rsidRPr="00C231D1">
        <w:rPr>
          <w:i/>
          <w:iCs/>
        </w:rPr>
        <w:t>Pivonos v. Belarus</w:t>
      </w:r>
      <w:r w:rsidRPr="00E831D6">
        <w:t xml:space="preserve">, </w:t>
      </w:r>
      <w:r w:rsidRPr="00244E82">
        <w:t xml:space="preserve">Views adopted on 29 October 2012, para. 9.3, and No. 1785/2008, </w:t>
      </w:r>
      <w:r w:rsidRPr="00244E82">
        <w:rPr>
          <w:i/>
          <w:iCs/>
        </w:rPr>
        <w:t>Olechkevitch v. Belarus</w:t>
      </w:r>
      <w:r w:rsidRPr="00E831D6">
        <w:t xml:space="preserve">, </w:t>
      </w:r>
      <w:r w:rsidRPr="00244E82">
        <w:t>Views adopted on 18 March 2013, para.</w:t>
      </w:r>
      <w:r w:rsidR="00087189">
        <w:t> </w:t>
      </w:r>
      <w:r w:rsidRPr="00244E82">
        <w:t xml:space="preserve">8.5. </w:t>
      </w:r>
    </w:p>
  </w:footnote>
  <w:footnote w:id="21">
    <w:p w14:paraId="3494EFD5" w14:textId="5F779A41" w:rsidR="00F43630" w:rsidRDefault="00F43630">
      <w:pPr>
        <w:pStyle w:val="FootnoteText"/>
      </w:pPr>
      <w:r w:rsidRPr="00244E82">
        <w:tab/>
      </w:r>
      <w:r w:rsidRPr="009B663A">
        <w:rPr>
          <w:rStyle w:val="FootnoteReference"/>
        </w:rPr>
        <w:footnoteRef/>
      </w:r>
      <w:r w:rsidRPr="00C231D1">
        <w:tab/>
        <w:t xml:space="preserve">See, for example, communication No. 2092/2011, </w:t>
      </w:r>
      <w:r w:rsidRPr="00C231D1">
        <w:rPr>
          <w:i/>
        </w:rPr>
        <w:t>Androsenko v. Belarus</w:t>
      </w:r>
      <w:r w:rsidRPr="005D73D9">
        <w:rPr>
          <w:iCs/>
        </w:rPr>
        <w:t xml:space="preserve">, </w:t>
      </w:r>
      <w:r w:rsidRPr="00244E82">
        <w:t>Views adopted on 30</w:t>
      </w:r>
      <w:r w:rsidR="00087189">
        <w:t> </w:t>
      </w:r>
      <w:r w:rsidRPr="00244E82">
        <w:t>March 2016, para.</w:t>
      </w:r>
      <w:r w:rsidR="00222591">
        <w:t> </w:t>
      </w:r>
      <w:r w:rsidRPr="00244E82">
        <w:t>7.3.</w:t>
      </w:r>
    </w:p>
  </w:footnote>
  <w:footnote w:id="22">
    <w:p w14:paraId="588E32E6" w14:textId="25318277" w:rsidR="004D68A6" w:rsidRDefault="004D68A6" w:rsidP="00B86F81">
      <w:pPr>
        <w:pStyle w:val="FootnoteText"/>
      </w:pPr>
      <w:r>
        <w:tab/>
      </w:r>
      <w:r w:rsidRPr="009B663A">
        <w:rPr>
          <w:rStyle w:val="FootnoteReference"/>
        </w:rPr>
        <w:footnoteRef/>
      </w:r>
      <w:r>
        <w:tab/>
      </w:r>
      <w:r w:rsidRPr="00244E82">
        <w:t xml:space="preserve">See, for example, communications No. 1851/2008, </w:t>
      </w:r>
      <w:r w:rsidRPr="00B56B5C">
        <w:rPr>
          <w:i/>
        </w:rPr>
        <w:t>Sekerko v. Belarus</w:t>
      </w:r>
      <w:r w:rsidRPr="00502D30">
        <w:t xml:space="preserve">, Views adopted on 28 October 2013, para. 11; No. 1948/2010, </w:t>
      </w:r>
      <w:r w:rsidRPr="00502D30">
        <w:rPr>
          <w:i/>
        </w:rPr>
        <w:t xml:space="preserve">Turchenyak and others </w:t>
      </w:r>
      <w:r w:rsidRPr="00B86F81">
        <w:rPr>
          <w:i/>
          <w:iCs/>
        </w:rPr>
        <w:t>v.</w:t>
      </w:r>
      <w:r w:rsidRPr="00244E82">
        <w:rPr>
          <w:i/>
        </w:rPr>
        <w:t xml:space="preserve"> Belarus</w:t>
      </w:r>
      <w:r w:rsidRPr="00FC082E">
        <w:rPr>
          <w:iCs/>
        </w:rPr>
        <w:t xml:space="preserve">, </w:t>
      </w:r>
      <w:r w:rsidR="002B5CE7" w:rsidRPr="00B86F81">
        <w:rPr>
          <w:iCs/>
        </w:rPr>
        <w:t>Views adopted on 24 July 2013</w:t>
      </w:r>
      <w:r w:rsidRPr="00244E82">
        <w:t xml:space="preserve">, para. 9; No. 1790/2008, </w:t>
      </w:r>
      <w:r w:rsidRPr="00B56B5C">
        <w:rPr>
          <w:i/>
        </w:rPr>
        <w:t>Govsha</w:t>
      </w:r>
      <w:r w:rsidR="002B5CE7" w:rsidRPr="00B86F81">
        <w:rPr>
          <w:i/>
        </w:rPr>
        <w:t xml:space="preserve"> and others</w:t>
      </w:r>
      <w:r w:rsidRPr="00244E82">
        <w:rPr>
          <w:i/>
        </w:rPr>
        <w:t xml:space="preserve"> v.</w:t>
      </w:r>
      <w:r w:rsidRPr="00541848">
        <w:t xml:space="preserve"> </w:t>
      </w:r>
      <w:r w:rsidRPr="00B56B5C">
        <w:rPr>
          <w:i/>
        </w:rPr>
        <w:t>Belarus</w:t>
      </w:r>
      <w:r w:rsidRPr="00FC082E">
        <w:rPr>
          <w:iCs/>
        </w:rPr>
        <w:t xml:space="preserve">, </w:t>
      </w:r>
      <w:r w:rsidRPr="00502D30">
        <w:t xml:space="preserve">Views adopted on 27 July 2012, para. 11; </w:t>
      </w:r>
      <w:r w:rsidR="002B5CE7" w:rsidRPr="00502D30">
        <w:t xml:space="preserve">and, </w:t>
      </w:r>
      <w:r w:rsidRPr="00B86F81">
        <w:rPr>
          <w:iCs/>
        </w:rPr>
        <w:t>mutatis mutandis</w:t>
      </w:r>
      <w:r w:rsidRPr="00244E82">
        <w:rPr>
          <w:i/>
        </w:rPr>
        <w:t xml:space="preserve">, </w:t>
      </w:r>
      <w:r w:rsidRPr="00B56B5C">
        <w:t>No. 1992/2010</w:t>
      </w:r>
      <w:r w:rsidRPr="00502D30">
        <w:rPr>
          <w:i/>
        </w:rPr>
        <w:t>, Sudalenko v. Belarus</w:t>
      </w:r>
      <w:r w:rsidRPr="00502D30">
        <w:t xml:space="preserve">, Views adopted on 27 March 2015, para. 10, </w:t>
      </w:r>
      <w:r w:rsidR="00502D30">
        <w:t xml:space="preserve">and </w:t>
      </w:r>
      <w:r w:rsidRPr="00502D30">
        <w:t xml:space="preserve">No. 2019/2010, </w:t>
      </w:r>
      <w:r w:rsidRPr="00502D30">
        <w:rPr>
          <w:i/>
        </w:rPr>
        <w:t>Poplavny v. Belarus</w:t>
      </w:r>
      <w:r w:rsidRPr="00C231D1">
        <w:t>, Views adopted on 5 November 2015, para. 10</w:t>
      </w:r>
      <w:r w:rsidRPr="00244E82">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03671" w14:textId="4FA17D41" w:rsidR="00FA56DB" w:rsidRPr="00781C83" w:rsidRDefault="00FA56DB" w:rsidP="00B86F81">
    <w:pPr>
      <w:pStyle w:val="Header"/>
    </w:pPr>
    <w:r>
      <w:t>CCPR/</w:t>
    </w:r>
    <w:r w:rsidR="001D671A">
      <w:t>C</w:t>
    </w:r>
    <w:r>
      <w:t>/11</w:t>
    </w:r>
    <w:r w:rsidR="005A0C1C">
      <w:t>7</w:t>
    </w:r>
    <w:r>
      <w:t>/D/20</w:t>
    </w:r>
    <w:r w:rsidR="005A0C1C">
      <w:t>82</w:t>
    </w:r>
    <w:r>
      <w:t>/201</w:t>
    </w:r>
    <w:r w:rsidR="005A0C1C">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EEA83" w14:textId="4F04F17C" w:rsidR="00FA56DB" w:rsidRPr="00781C83" w:rsidRDefault="00F90D84" w:rsidP="00B86F81">
    <w:pPr>
      <w:pStyle w:val="Header"/>
      <w:jc w:val="right"/>
    </w:pPr>
    <w:r>
      <w:t>CCPR/</w:t>
    </w:r>
    <w:r w:rsidR="001D671A">
      <w:t>C</w:t>
    </w:r>
    <w:r w:rsidR="00FA56DB">
      <w:t>/11</w:t>
    </w:r>
    <w:r>
      <w:t>7</w:t>
    </w:r>
    <w:r w:rsidR="00FA56DB">
      <w:t>/D/20</w:t>
    </w:r>
    <w:r>
      <w:t>82/2011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EB5B73"/>
    <w:multiLevelType w:val="multilevel"/>
    <w:tmpl w:val="06E0FFDC"/>
    <w:lvl w:ilvl="0">
      <w:start w:val="1"/>
      <w:numFmt w:val="decimal"/>
      <w:lvlText w:val="%1"/>
      <w:lvlJc w:val="left"/>
      <w:pPr>
        <w:ind w:left="360" w:hanging="360"/>
      </w:pPr>
      <w:rPr>
        <w:rFonts w:cs="Times New Roman" w:hint="default"/>
      </w:rPr>
    </w:lvl>
    <w:lvl w:ilvl="1">
      <w:start w:val="1"/>
      <w:numFmt w:val="decimal"/>
      <w:lvlText w:val="%1.%2"/>
      <w:lvlJc w:val="left"/>
      <w:pPr>
        <w:ind w:left="1494" w:hanging="360"/>
      </w:pPr>
      <w:rPr>
        <w:rFonts w:cs="Times New Roman" w:hint="default"/>
      </w:rPr>
    </w:lvl>
    <w:lvl w:ilvl="2">
      <w:start w:val="1"/>
      <w:numFmt w:val="decimal"/>
      <w:lvlText w:val="%1.%2.%3"/>
      <w:lvlJc w:val="left"/>
      <w:pPr>
        <w:ind w:left="2988"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5256" w:hanging="720"/>
      </w:pPr>
      <w:rPr>
        <w:rFonts w:cs="Times New Roman" w:hint="default"/>
      </w:rPr>
    </w:lvl>
    <w:lvl w:ilvl="5">
      <w:start w:val="1"/>
      <w:numFmt w:val="decimal"/>
      <w:lvlText w:val="%1.%2.%3.%4.%5.%6"/>
      <w:lvlJc w:val="left"/>
      <w:pPr>
        <w:ind w:left="6750" w:hanging="1080"/>
      </w:pPr>
      <w:rPr>
        <w:rFonts w:cs="Times New Roman" w:hint="default"/>
      </w:rPr>
    </w:lvl>
    <w:lvl w:ilvl="6">
      <w:start w:val="1"/>
      <w:numFmt w:val="decimal"/>
      <w:lvlText w:val="%1.%2.%3.%4.%5.%6.%7"/>
      <w:lvlJc w:val="left"/>
      <w:pPr>
        <w:ind w:left="7884" w:hanging="1080"/>
      </w:pPr>
      <w:rPr>
        <w:rFonts w:cs="Times New Roman" w:hint="default"/>
      </w:rPr>
    </w:lvl>
    <w:lvl w:ilvl="7">
      <w:start w:val="1"/>
      <w:numFmt w:val="decimal"/>
      <w:lvlText w:val="%1.%2.%3.%4.%5.%6.%7.%8"/>
      <w:lvlJc w:val="left"/>
      <w:pPr>
        <w:ind w:left="9378" w:hanging="1440"/>
      </w:pPr>
      <w:rPr>
        <w:rFonts w:cs="Times New Roman" w:hint="default"/>
      </w:rPr>
    </w:lvl>
    <w:lvl w:ilvl="8">
      <w:start w:val="1"/>
      <w:numFmt w:val="decimal"/>
      <w:lvlText w:val="%1.%2.%3.%4.%5.%6.%7.%8.%9"/>
      <w:lvlJc w:val="left"/>
      <w:pPr>
        <w:ind w:left="10512" w:hanging="1440"/>
      </w:pPr>
      <w:rPr>
        <w:rFonts w:cs="Times New Roman" w:hint="default"/>
      </w:rPr>
    </w:lvl>
  </w:abstractNum>
  <w:abstractNum w:abstractNumId="2" w15:restartNumberingAfterBreak="0">
    <w:nsid w:val="62116750"/>
    <w:multiLevelType w:val="hybridMultilevel"/>
    <w:tmpl w:val="54828B94"/>
    <w:lvl w:ilvl="0" w:tplc="160AFEEC">
      <w:start w:val="1"/>
      <w:numFmt w:val="decimal"/>
      <w:lvlText w:val="%1."/>
      <w:lvlJc w:val="left"/>
      <w:pPr>
        <w:ind w:left="1710" w:hanging="576"/>
      </w:pPr>
      <w:rPr>
        <w:rFonts w:cs="Times New Roman" w:hint="default"/>
      </w:rPr>
    </w:lvl>
    <w:lvl w:ilvl="1" w:tplc="08090019" w:tentative="1">
      <w:start w:val="1"/>
      <w:numFmt w:val="lowerLetter"/>
      <w:lvlText w:val="%2."/>
      <w:lvlJc w:val="left"/>
      <w:pPr>
        <w:ind w:left="2214" w:hanging="360"/>
      </w:pPr>
      <w:rPr>
        <w:rFonts w:cs="Times New Roman"/>
      </w:rPr>
    </w:lvl>
    <w:lvl w:ilvl="2" w:tplc="0809001B" w:tentative="1">
      <w:start w:val="1"/>
      <w:numFmt w:val="lowerRoman"/>
      <w:lvlText w:val="%3."/>
      <w:lvlJc w:val="right"/>
      <w:pPr>
        <w:ind w:left="2934" w:hanging="180"/>
      </w:pPr>
      <w:rPr>
        <w:rFonts w:cs="Times New Roman"/>
      </w:rPr>
    </w:lvl>
    <w:lvl w:ilvl="3" w:tplc="0809000F" w:tentative="1">
      <w:start w:val="1"/>
      <w:numFmt w:val="decimal"/>
      <w:lvlText w:val="%4."/>
      <w:lvlJc w:val="left"/>
      <w:pPr>
        <w:ind w:left="3654" w:hanging="360"/>
      </w:pPr>
      <w:rPr>
        <w:rFonts w:cs="Times New Roman"/>
      </w:rPr>
    </w:lvl>
    <w:lvl w:ilvl="4" w:tplc="08090019" w:tentative="1">
      <w:start w:val="1"/>
      <w:numFmt w:val="lowerLetter"/>
      <w:lvlText w:val="%5."/>
      <w:lvlJc w:val="left"/>
      <w:pPr>
        <w:ind w:left="4374" w:hanging="360"/>
      </w:pPr>
      <w:rPr>
        <w:rFonts w:cs="Times New Roman"/>
      </w:rPr>
    </w:lvl>
    <w:lvl w:ilvl="5" w:tplc="0809001B" w:tentative="1">
      <w:start w:val="1"/>
      <w:numFmt w:val="lowerRoman"/>
      <w:lvlText w:val="%6."/>
      <w:lvlJc w:val="right"/>
      <w:pPr>
        <w:ind w:left="5094" w:hanging="180"/>
      </w:pPr>
      <w:rPr>
        <w:rFonts w:cs="Times New Roman"/>
      </w:rPr>
    </w:lvl>
    <w:lvl w:ilvl="6" w:tplc="0809000F" w:tentative="1">
      <w:start w:val="1"/>
      <w:numFmt w:val="decimal"/>
      <w:lvlText w:val="%7."/>
      <w:lvlJc w:val="left"/>
      <w:pPr>
        <w:ind w:left="5814" w:hanging="360"/>
      </w:pPr>
      <w:rPr>
        <w:rFonts w:cs="Times New Roman"/>
      </w:rPr>
    </w:lvl>
    <w:lvl w:ilvl="7" w:tplc="08090019" w:tentative="1">
      <w:start w:val="1"/>
      <w:numFmt w:val="lowerLetter"/>
      <w:lvlText w:val="%8."/>
      <w:lvlJc w:val="left"/>
      <w:pPr>
        <w:ind w:left="6534" w:hanging="360"/>
      </w:pPr>
      <w:rPr>
        <w:rFonts w:cs="Times New Roman"/>
      </w:rPr>
    </w:lvl>
    <w:lvl w:ilvl="8" w:tplc="0809001B" w:tentative="1">
      <w:start w:val="1"/>
      <w:numFmt w:val="lowerRoman"/>
      <w:lvlText w:val="%9."/>
      <w:lvlJc w:val="right"/>
      <w:pPr>
        <w:ind w:left="7254" w:hanging="180"/>
      </w:pPr>
      <w:rPr>
        <w:rFonts w:cs="Times New Roman"/>
      </w:rPr>
    </w:lvl>
  </w:abstractNum>
  <w:abstractNum w:abstractNumId="3" w15:restartNumberingAfterBreak="0">
    <w:nsid w:val="649579C7"/>
    <w:multiLevelType w:val="hybridMultilevel"/>
    <w:tmpl w:val="C21650E2"/>
    <w:lvl w:ilvl="0" w:tplc="05D40308">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6A5"/>
    <w:rsid w:val="00002773"/>
    <w:rsid w:val="000044E2"/>
    <w:rsid w:val="000128E3"/>
    <w:rsid w:val="000135C3"/>
    <w:rsid w:val="000227DC"/>
    <w:rsid w:val="00024133"/>
    <w:rsid w:val="00025269"/>
    <w:rsid w:val="00025370"/>
    <w:rsid w:val="00025418"/>
    <w:rsid w:val="00025D41"/>
    <w:rsid w:val="00026B06"/>
    <w:rsid w:val="000272B3"/>
    <w:rsid w:val="00027A45"/>
    <w:rsid w:val="00031D46"/>
    <w:rsid w:val="00032A3A"/>
    <w:rsid w:val="0003387B"/>
    <w:rsid w:val="00035F0E"/>
    <w:rsid w:val="00037807"/>
    <w:rsid w:val="00037AD0"/>
    <w:rsid w:val="0004092D"/>
    <w:rsid w:val="00040983"/>
    <w:rsid w:val="00041994"/>
    <w:rsid w:val="00044EE9"/>
    <w:rsid w:val="00050F6B"/>
    <w:rsid w:val="00053842"/>
    <w:rsid w:val="00055FA1"/>
    <w:rsid w:val="0005782B"/>
    <w:rsid w:val="00057E97"/>
    <w:rsid w:val="00057F1A"/>
    <w:rsid w:val="00060074"/>
    <w:rsid w:val="00060C3A"/>
    <w:rsid w:val="00066476"/>
    <w:rsid w:val="00067250"/>
    <w:rsid w:val="00072C8C"/>
    <w:rsid w:val="000733B5"/>
    <w:rsid w:val="0007628F"/>
    <w:rsid w:val="00081815"/>
    <w:rsid w:val="0008278D"/>
    <w:rsid w:val="0008317C"/>
    <w:rsid w:val="00087189"/>
    <w:rsid w:val="000908FA"/>
    <w:rsid w:val="000931C0"/>
    <w:rsid w:val="000970C1"/>
    <w:rsid w:val="000979D2"/>
    <w:rsid w:val="000A2283"/>
    <w:rsid w:val="000A34F4"/>
    <w:rsid w:val="000A442E"/>
    <w:rsid w:val="000A50A8"/>
    <w:rsid w:val="000A6B47"/>
    <w:rsid w:val="000A7D92"/>
    <w:rsid w:val="000B175B"/>
    <w:rsid w:val="000B1788"/>
    <w:rsid w:val="000B3A0F"/>
    <w:rsid w:val="000B4C4A"/>
    <w:rsid w:val="000B4EF7"/>
    <w:rsid w:val="000B6CA3"/>
    <w:rsid w:val="000C2C03"/>
    <w:rsid w:val="000C2D2E"/>
    <w:rsid w:val="000C2E06"/>
    <w:rsid w:val="000C6F58"/>
    <w:rsid w:val="000C71A2"/>
    <w:rsid w:val="000D0A22"/>
    <w:rsid w:val="000E0415"/>
    <w:rsid w:val="000E10B6"/>
    <w:rsid w:val="000E2BE1"/>
    <w:rsid w:val="000E42FA"/>
    <w:rsid w:val="000E567F"/>
    <w:rsid w:val="000E7797"/>
    <w:rsid w:val="000E7E37"/>
    <w:rsid w:val="000F03D7"/>
    <w:rsid w:val="000F1BE3"/>
    <w:rsid w:val="000F4E65"/>
    <w:rsid w:val="000F570E"/>
    <w:rsid w:val="000F76E4"/>
    <w:rsid w:val="000F7E69"/>
    <w:rsid w:val="00101383"/>
    <w:rsid w:val="00101721"/>
    <w:rsid w:val="00102AC0"/>
    <w:rsid w:val="001037D9"/>
    <w:rsid w:val="00106E52"/>
    <w:rsid w:val="00107EC4"/>
    <w:rsid w:val="001103AA"/>
    <w:rsid w:val="0011184E"/>
    <w:rsid w:val="00115D8E"/>
    <w:rsid w:val="00115DDE"/>
    <w:rsid w:val="00123048"/>
    <w:rsid w:val="0012313A"/>
    <w:rsid w:val="00124014"/>
    <w:rsid w:val="001306DD"/>
    <w:rsid w:val="0013235B"/>
    <w:rsid w:val="00133611"/>
    <w:rsid w:val="00142286"/>
    <w:rsid w:val="00142887"/>
    <w:rsid w:val="00151CCD"/>
    <w:rsid w:val="00154018"/>
    <w:rsid w:val="00156376"/>
    <w:rsid w:val="00160212"/>
    <w:rsid w:val="00161364"/>
    <w:rsid w:val="00161B02"/>
    <w:rsid w:val="001649C8"/>
    <w:rsid w:val="00165F3A"/>
    <w:rsid w:val="0017277A"/>
    <w:rsid w:val="00172B2B"/>
    <w:rsid w:val="0017551B"/>
    <w:rsid w:val="00175A34"/>
    <w:rsid w:val="0017676A"/>
    <w:rsid w:val="00176FE1"/>
    <w:rsid w:val="001772BB"/>
    <w:rsid w:val="00182A46"/>
    <w:rsid w:val="001836F6"/>
    <w:rsid w:val="00183968"/>
    <w:rsid w:val="0019468C"/>
    <w:rsid w:val="00196CDF"/>
    <w:rsid w:val="001975D8"/>
    <w:rsid w:val="001A079F"/>
    <w:rsid w:val="001A09DE"/>
    <w:rsid w:val="001A2E0B"/>
    <w:rsid w:val="001A44F4"/>
    <w:rsid w:val="001A660B"/>
    <w:rsid w:val="001A6686"/>
    <w:rsid w:val="001A723C"/>
    <w:rsid w:val="001B4041"/>
    <w:rsid w:val="001B4B04"/>
    <w:rsid w:val="001B734D"/>
    <w:rsid w:val="001C276E"/>
    <w:rsid w:val="001C326D"/>
    <w:rsid w:val="001C538B"/>
    <w:rsid w:val="001C6016"/>
    <w:rsid w:val="001C657F"/>
    <w:rsid w:val="001C6663"/>
    <w:rsid w:val="001C7895"/>
    <w:rsid w:val="001D0C8C"/>
    <w:rsid w:val="001D26DF"/>
    <w:rsid w:val="001D2754"/>
    <w:rsid w:val="001D2861"/>
    <w:rsid w:val="001D384D"/>
    <w:rsid w:val="001D3A03"/>
    <w:rsid w:val="001D5C81"/>
    <w:rsid w:val="001D671A"/>
    <w:rsid w:val="001E10EC"/>
    <w:rsid w:val="001E2EDC"/>
    <w:rsid w:val="001E357C"/>
    <w:rsid w:val="001E46A1"/>
    <w:rsid w:val="001E48A9"/>
    <w:rsid w:val="001E59D9"/>
    <w:rsid w:val="001E68DA"/>
    <w:rsid w:val="002012C3"/>
    <w:rsid w:val="00202DA8"/>
    <w:rsid w:val="002068D4"/>
    <w:rsid w:val="00210AE2"/>
    <w:rsid w:val="00210BA6"/>
    <w:rsid w:val="00210CE0"/>
    <w:rsid w:val="002117EE"/>
    <w:rsid w:val="00211E0B"/>
    <w:rsid w:val="002140C9"/>
    <w:rsid w:val="00214B06"/>
    <w:rsid w:val="00217DDD"/>
    <w:rsid w:val="00222591"/>
    <w:rsid w:val="00222DFC"/>
    <w:rsid w:val="0022501D"/>
    <w:rsid w:val="00226F53"/>
    <w:rsid w:val="002310A9"/>
    <w:rsid w:val="002313C7"/>
    <w:rsid w:val="00231C9F"/>
    <w:rsid w:val="0023210C"/>
    <w:rsid w:val="00232832"/>
    <w:rsid w:val="00236D66"/>
    <w:rsid w:val="00244A62"/>
    <w:rsid w:val="00244E82"/>
    <w:rsid w:val="00244EDE"/>
    <w:rsid w:val="002450F8"/>
    <w:rsid w:val="002471EB"/>
    <w:rsid w:val="00252170"/>
    <w:rsid w:val="00253E54"/>
    <w:rsid w:val="002569AF"/>
    <w:rsid w:val="002632E7"/>
    <w:rsid w:val="00267F5F"/>
    <w:rsid w:val="00270BA3"/>
    <w:rsid w:val="0027131E"/>
    <w:rsid w:val="002743EE"/>
    <w:rsid w:val="002744F0"/>
    <w:rsid w:val="0027570D"/>
    <w:rsid w:val="002767FA"/>
    <w:rsid w:val="002824C8"/>
    <w:rsid w:val="00286147"/>
    <w:rsid w:val="00286B4D"/>
    <w:rsid w:val="00290F51"/>
    <w:rsid w:val="002915E7"/>
    <w:rsid w:val="002974A6"/>
    <w:rsid w:val="002A03BE"/>
    <w:rsid w:val="002A239B"/>
    <w:rsid w:val="002A5E37"/>
    <w:rsid w:val="002B3574"/>
    <w:rsid w:val="002B3F1E"/>
    <w:rsid w:val="002B4AC8"/>
    <w:rsid w:val="002B5CE7"/>
    <w:rsid w:val="002B7745"/>
    <w:rsid w:val="002C032D"/>
    <w:rsid w:val="002C3C84"/>
    <w:rsid w:val="002C4B41"/>
    <w:rsid w:val="002C4E74"/>
    <w:rsid w:val="002C5BCD"/>
    <w:rsid w:val="002D3AF5"/>
    <w:rsid w:val="002D46DB"/>
    <w:rsid w:val="002D5ECE"/>
    <w:rsid w:val="002E44D3"/>
    <w:rsid w:val="002E4AD1"/>
    <w:rsid w:val="002E4AD6"/>
    <w:rsid w:val="002F039C"/>
    <w:rsid w:val="002F14CA"/>
    <w:rsid w:val="002F175C"/>
    <w:rsid w:val="002F4E01"/>
    <w:rsid w:val="002F709A"/>
    <w:rsid w:val="002F772E"/>
    <w:rsid w:val="002F781E"/>
    <w:rsid w:val="00300FEE"/>
    <w:rsid w:val="00301072"/>
    <w:rsid w:val="0030138D"/>
    <w:rsid w:val="00301BD4"/>
    <w:rsid w:val="00306124"/>
    <w:rsid w:val="00310F2C"/>
    <w:rsid w:val="00314A97"/>
    <w:rsid w:val="0031790F"/>
    <w:rsid w:val="00320E07"/>
    <w:rsid w:val="003220F0"/>
    <w:rsid w:val="003229D8"/>
    <w:rsid w:val="0032348D"/>
    <w:rsid w:val="00326293"/>
    <w:rsid w:val="0032736E"/>
    <w:rsid w:val="00327502"/>
    <w:rsid w:val="00331781"/>
    <w:rsid w:val="00332D5C"/>
    <w:rsid w:val="00335D6C"/>
    <w:rsid w:val="00336FB0"/>
    <w:rsid w:val="00342D6C"/>
    <w:rsid w:val="003464C6"/>
    <w:rsid w:val="00352709"/>
    <w:rsid w:val="00352D2B"/>
    <w:rsid w:val="00354AA8"/>
    <w:rsid w:val="00355BD5"/>
    <w:rsid w:val="0036213E"/>
    <w:rsid w:val="00362869"/>
    <w:rsid w:val="003652A0"/>
    <w:rsid w:val="003661AB"/>
    <w:rsid w:val="0036645D"/>
    <w:rsid w:val="00367567"/>
    <w:rsid w:val="003705C9"/>
    <w:rsid w:val="00371178"/>
    <w:rsid w:val="003719B4"/>
    <w:rsid w:val="0037204F"/>
    <w:rsid w:val="003730DD"/>
    <w:rsid w:val="00374609"/>
    <w:rsid w:val="00375403"/>
    <w:rsid w:val="0038336C"/>
    <w:rsid w:val="00383F4C"/>
    <w:rsid w:val="00386A7B"/>
    <w:rsid w:val="00386EF5"/>
    <w:rsid w:val="003871ED"/>
    <w:rsid w:val="00392A35"/>
    <w:rsid w:val="00394A4C"/>
    <w:rsid w:val="00395395"/>
    <w:rsid w:val="003973D0"/>
    <w:rsid w:val="003A0984"/>
    <w:rsid w:val="003A1602"/>
    <w:rsid w:val="003A22FB"/>
    <w:rsid w:val="003A3C43"/>
    <w:rsid w:val="003A6810"/>
    <w:rsid w:val="003A6BB4"/>
    <w:rsid w:val="003B483A"/>
    <w:rsid w:val="003B4890"/>
    <w:rsid w:val="003B59D4"/>
    <w:rsid w:val="003B6175"/>
    <w:rsid w:val="003C02AB"/>
    <w:rsid w:val="003C2CC4"/>
    <w:rsid w:val="003C5BFD"/>
    <w:rsid w:val="003C76B6"/>
    <w:rsid w:val="003D0290"/>
    <w:rsid w:val="003D3CF9"/>
    <w:rsid w:val="003D4143"/>
    <w:rsid w:val="003D4794"/>
    <w:rsid w:val="003D4B23"/>
    <w:rsid w:val="003E1596"/>
    <w:rsid w:val="003E1C43"/>
    <w:rsid w:val="003E219E"/>
    <w:rsid w:val="003E3CF4"/>
    <w:rsid w:val="003E4B3A"/>
    <w:rsid w:val="003E64CC"/>
    <w:rsid w:val="003E6D09"/>
    <w:rsid w:val="003E6F7E"/>
    <w:rsid w:val="003E723E"/>
    <w:rsid w:val="00400ACF"/>
    <w:rsid w:val="00401BF0"/>
    <w:rsid w:val="00402458"/>
    <w:rsid w:val="00403387"/>
    <w:rsid w:val="0040413A"/>
    <w:rsid w:val="004050B9"/>
    <w:rsid w:val="00405473"/>
    <w:rsid w:val="00410C89"/>
    <w:rsid w:val="00412A50"/>
    <w:rsid w:val="004147D4"/>
    <w:rsid w:val="00414931"/>
    <w:rsid w:val="00414B35"/>
    <w:rsid w:val="00424479"/>
    <w:rsid w:val="00424AD8"/>
    <w:rsid w:val="00426B9B"/>
    <w:rsid w:val="00431FE1"/>
    <w:rsid w:val="004325CB"/>
    <w:rsid w:val="004331A3"/>
    <w:rsid w:val="004346B9"/>
    <w:rsid w:val="0043559E"/>
    <w:rsid w:val="00435D83"/>
    <w:rsid w:val="00436142"/>
    <w:rsid w:val="00436B33"/>
    <w:rsid w:val="00442A83"/>
    <w:rsid w:val="00446B75"/>
    <w:rsid w:val="00450A3B"/>
    <w:rsid w:val="004514F6"/>
    <w:rsid w:val="0045495B"/>
    <w:rsid w:val="00456152"/>
    <w:rsid w:val="0045741F"/>
    <w:rsid w:val="00457E0B"/>
    <w:rsid w:val="00466844"/>
    <w:rsid w:val="00466B4C"/>
    <w:rsid w:val="00467903"/>
    <w:rsid w:val="0047261F"/>
    <w:rsid w:val="004734D9"/>
    <w:rsid w:val="00473963"/>
    <w:rsid w:val="00474E3B"/>
    <w:rsid w:val="004821F5"/>
    <w:rsid w:val="004838A6"/>
    <w:rsid w:val="00483D1D"/>
    <w:rsid w:val="00483EF4"/>
    <w:rsid w:val="00484B45"/>
    <w:rsid w:val="0048637B"/>
    <w:rsid w:val="00487256"/>
    <w:rsid w:val="00487488"/>
    <w:rsid w:val="0049219B"/>
    <w:rsid w:val="00493CC2"/>
    <w:rsid w:val="004976F2"/>
    <w:rsid w:val="004A28A7"/>
    <w:rsid w:val="004A63A0"/>
    <w:rsid w:val="004B3D5D"/>
    <w:rsid w:val="004C0946"/>
    <w:rsid w:val="004C2A01"/>
    <w:rsid w:val="004C4A2B"/>
    <w:rsid w:val="004C52A7"/>
    <w:rsid w:val="004D1CEB"/>
    <w:rsid w:val="004D4AAD"/>
    <w:rsid w:val="004D5BEC"/>
    <w:rsid w:val="004D68A6"/>
    <w:rsid w:val="004D71B4"/>
    <w:rsid w:val="004E64A6"/>
    <w:rsid w:val="004F5078"/>
    <w:rsid w:val="0050121C"/>
    <w:rsid w:val="00502D30"/>
    <w:rsid w:val="005058FF"/>
    <w:rsid w:val="00512945"/>
    <w:rsid w:val="00512D8B"/>
    <w:rsid w:val="00514916"/>
    <w:rsid w:val="00514BFF"/>
    <w:rsid w:val="00516701"/>
    <w:rsid w:val="00516A5D"/>
    <w:rsid w:val="0052136D"/>
    <w:rsid w:val="00524C98"/>
    <w:rsid w:val="00525395"/>
    <w:rsid w:val="00526484"/>
    <w:rsid w:val="00527183"/>
    <w:rsid w:val="0052775E"/>
    <w:rsid w:val="00527B53"/>
    <w:rsid w:val="00533CAC"/>
    <w:rsid w:val="00533EFD"/>
    <w:rsid w:val="005373BE"/>
    <w:rsid w:val="005409DC"/>
    <w:rsid w:val="00541848"/>
    <w:rsid w:val="005420F2"/>
    <w:rsid w:val="00542BC7"/>
    <w:rsid w:val="005479E7"/>
    <w:rsid w:val="00547A47"/>
    <w:rsid w:val="00550B60"/>
    <w:rsid w:val="00550BDA"/>
    <w:rsid w:val="00550D3B"/>
    <w:rsid w:val="005519D0"/>
    <w:rsid w:val="00552689"/>
    <w:rsid w:val="00553373"/>
    <w:rsid w:val="005545F1"/>
    <w:rsid w:val="005618F9"/>
    <w:rsid w:val="005628B6"/>
    <w:rsid w:val="00562B61"/>
    <w:rsid w:val="00562F4D"/>
    <w:rsid w:val="00564714"/>
    <w:rsid w:val="0056624F"/>
    <w:rsid w:val="005704D1"/>
    <w:rsid w:val="00571BB4"/>
    <w:rsid w:val="00571CA9"/>
    <w:rsid w:val="005722B3"/>
    <w:rsid w:val="0057414A"/>
    <w:rsid w:val="0057494C"/>
    <w:rsid w:val="00574EB0"/>
    <w:rsid w:val="005848B3"/>
    <w:rsid w:val="005853D7"/>
    <w:rsid w:val="00586059"/>
    <w:rsid w:val="00586ABA"/>
    <w:rsid w:val="0058726B"/>
    <w:rsid w:val="00587F98"/>
    <w:rsid w:val="00590F87"/>
    <w:rsid w:val="005928DF"/>
    <w:rsid w:val="00592C4A"/>
    <w:rsid w:val="00592C4B"/>
    <w:rsid w:val="00592D66"/>
    <w:rsid w:val="00594628"/>
    <w:rsid w:val="00594CF0"/>
    <w:rsid w:val="00596EFC"/>
    <w:rsid w:val="00597E6E"/>
    <w:rsid w:val="005A0415"/>
    <w:rsid w:val="005A084E"/>
    <w:rsid w:val="005A0C1C"/>
    <w:rsid w:val="005A1B1D"/>
    <w:rsid w:val="005A3B8B"/>
    <w:rsid w:val="005A533E"/>
    <w:rsid w:val="005A7430"/>
    <w:rsid w:val="005B180A"/>
    <w:rsid w:val="005B31F6"/>
    <w:rsid w:val="005B3DB3"/>
    <w:rsid w:val="005B5F27"/>
    <w:rsid w:val="005B6292"/>
    <w:rsid w:val="005C1CC7"/>
    <w:rsid w:val="005C5760"/>
    <w:rsid w:val="005C674E"/>
    <w:rsid w:val="005C6D98"/>
    <w:rsid w:val="005D0E65"/>
    <w:rsid w:val="005D30B8"/>
    <w:rsid w:val="005D4877"/>
    <w:rsid w:val="005D542D"/>
    <w:rsid w:val="005D5721"/>
    <w:rsid w:val="005D5AF5"/>
    <w:rsid w:val="005D5FE7"/>
    <w:rsid w:val="005D6E83"/>
    <w:rsid w:val="005D73D9"/>
    <w:rsid w:val="005E06C2"/>
    <w:rsid w:val="005E2D2C"/>
    <w:rsid w:val="005E3F67"/>
    <w:rsid w:val="005E40FD"/>
    <w:rsid w:val="005E5034"/>
    <w:rsid w:val="005E783D"/>
    <w:rsid w:val="005E7981"/>
    <w:rsid w:val="005F2E00"/>
    <w:rsid w:val="005F494A"/>
    <w:rsid w:val="005F5699"/>
    <w:rsid w:val="005F575F"/>
    <w:rsid w:val="005F57AD"/>
    <w:rsid w:val="005F7717"/>
    <w:rsid w:val="005F7B75"/>
    <w:rsid w:val="005F7F93"/>
    <w:rsid w:val="006001EE"/>
    <w:rsid w:val="00601CA8"/>
    <w:rsid w:val="00605042"/>
    <w:rsid w:val="0060560B"/>
    <w:rsid w:val="0061115C"/>
    <w:rsid w:val="00611FC4"/>
    <w:rsid w:val="00614C50"/>
    <w:rsid w:val="00616894"/>
    <w:rsid w:val="006176FB"/>
    <w:rsid w:val="00622E3D"/>
    <w:rsid w:val="006244FD"/>
    <w:rsid w:val="00624677"/>
    <w:rsid w:val="00624F12"/>
    <w:rsid w:val="00625FB0"/>
    <w:rsid w:val="006274AD"/>
    <w:rsid w:val="00627FB0"/>
    <w:rsid w:val="00630676"/>
    <w:rsid w:val="00632287"/>
    <w:rsid w:val="00636EFE"/>
    <w:rsid w:val="006405BC"/>
    <w:rsid w:val="00640B26"/>
    <w:rsid w:val="0064226F"/>
    <w:rsid w:val="0064431E"/>
    <w:rsid w:val="006478E6"/>
    <w:rsid w:val="00652D0A"/>
    <w:rsid w:val="00656863"/>
    <w:rsid w:val="00656F79"/>
    <w:rsid w:val="006614D1"/>
    <w:rsid w:val="00661597"/>
    <w:rsid w:val="006617E2"/>
    <w:rsid w:val="006619EB"/>
    <w:rsid w:val="00662BB6"/>
    <w:rsid w:val="00663939"/>
    <w:rsid w:val="00664C49"/>
    <w:rsid w:val="0066644D"/>
    <w:rsid w:val="00674026"/>
    <w:rsid w:val="006743E9"/>
    <w:rsid w:val="006745BB"/>
    <w:rsid w:val="00680461"/>
    <w:rsid w:val="00682284"/>
    <w:rsid w:val="006838C8"/>
    <w:rsid w:val="00683EF7"/>
    <w:rsid w:val="00684C21"/>
    <w:rsid w:val="0068555B"/>
    <w:rsid w:val="0068599A"/>
    <w:rsid w:val="00685FA6"/>
    <w:rsid w:val="00687350"/>
    <w:rsid w:val="0068743C"/>
    <w:rsid w:val="00691F84"/>
    <w:rsid w:val="00692BBE"/>
    <w:rsid w:val="00694AE6"/>
    <w:rsid w:val="00696929"/>
    <w:rsid w:val="0069763E"/>
    <w:rsid w:val="006976A6"/>
    <w:rsid w:val="006A1764"/>
    <w:rsid w:val="006C0FBF"/>
    <w:rsid w:val="006C3AD1"/>
    <w:rsid w:val="006C52DC"/>
    <w:rsid w:val="006D2401"/>
    <w:rsid w:val="006D2B97"/>
    <w:rsid w:val="006D37AF"/>
    <w:rsid w:val="006D51D0"/>
    <w:rsid w:val="006D5477"/>
    <w:rsid w:val="006D75C7"/>
    <w:rsid w:val="006E1A90"/>
    <w:rsid w:val="006E3134"/>
    <w:rsid w:val="006E37EC"/>
    <w:rsid w:val="006E564B"/>
    <w:rsid w:val="006E7191"/>
    <w:rsid w:val="006F36AC"/>
    <w:rsid w:val="0070353B"/>
    <w:rsid w:val="00703577"/>
    <w:rsid w:val="00703DA8"/>
    <w:rsid w:val="007053C1"/>
    <w:rsid w:val="00705625"/>
    <w:rsid w:val="007113A4"/>
    <w:rsid w:val="00711F00"/>
    <w:rsid w:val="007146DB"/>
    <w:rsid w:val="0072226B"/>
    <w:rsid w:val="00725F30"/>
    <w:rsid w:val="0072632A"/>
    <w:rsid w:val="00726F57"/>
    <w:rsid w:val="007327D5"/>
    <w:rsid w:val="00732B51"/>
    <w:rsid w:val="00735CA1"/>
    <w:rsid w:val="00736E08"/>
    <w:rsid w:val="00740255"/>
    <w:rsid w:val="00746BB2"/>
    <w:rsid w:val="00746F1E"/>
    <w:rsid w:val="00746F58"/>
    <w:rsid w:val="00751147"/>
    <w:rsid w:val="00753BA9"/>
    <w:rsid w:val="00753BB8"/>
    <w:rsid w:val="0076033B"/>
    <w:rsid w:val="00760F53"/>
    <w:rsid w:val="007627EE"/>
    <w:rsid w:val="007629C8"/>
    <w:rsid w:val="00764878"/>
    <w:rsid w:val="00767016"/>
    <w:rsid w:val="007723A1"/>
    <w:rsid w:val="007812BA"/>
    <w:rsid w:val="00781C83"/>
    <w:rsid w:val="007826F5"/>
    <w:rsid w:val="00782F90"/>
    <w:rsid w:val="0078300D"/>
    <w:rsid w:val="00784BCF"/>
    <w:rsid w:val="00784C71"/>
    <w:rsid w:val="00785623"/>
    <w:rsid w:val="00787E5D"/>
    <w:rsid w:val="0079151D"/>
    <w:rsid w:val="007925AE"/>
    <w:rsid w:val="00794BDE"/>
    <w:rsid w:val="0079551A"/>
    <w:rsid w:val="00795F7A"/>
    <w:rsid w:val="007965DB"/>
    <w:rsid w:val="007A1319"/>
    <w:rsid w:val="007A401C"/>
    <w:rsid w:val="007A4383"/>
    <w:rsid w:val="007B0D02"/>
    <w:rsid w:val="007B1E62"/>
    <w:rsid w:val="007B3F34"/>
    <w:rsid w:val="007B5F65"/>
    <w:rsid w:val="007B6BA5"/>
    <w:rsid w:val="007C203A"/>
    <w:rsid w:val="007C3390"/>
    <w:rsid w:val="007C3A7C"/>
    <w:rsid w:val="007C3FFB"/>
    <w:rsid w:val="007C4118"/>
    <w:rsid w:val="007C4F4B"/>
    <w:rsid w:val="007C5032"/>
    <w:rsid w:val="007C784F"/>
    <w:rsid w:val="007C7C57"/>
    <w:rsid w:val="007D0063"/>
    <w:rsid w:val="007D3316"/>
    <w:rsid w:val="007D42B0"/>
    <w:rsid w:val="007E085D"/>
    <w:rsid w:val="007E0B2D"/>
    <w:rsid w:val="007E16D9"/>
    <w:rsid w:val="007E3DF7"/>
    <w:rsid w:val="007E3E13"/>
    <w:rsid w:val="007E5A81"/>
    <w:rsid w:val="007E6F98"/>
    <w:rsid w:val="007F1247"/>
    <w:rsid w:val="007F3A2C"/>
    <w:rsid w:val="007F5AA8"/>
    <w:rsid w:val="007F6611"/>
    <w:rsid w:val="007F7246"/>
    <w:rsid w:val="007F75D2"/>
    <w:rsid w:val="007F7E17"/>
    <w:rsid w:val="00803EEC"/>
    <w:rsid w:val="00806AAA"/>
    <w:rsid w:val="008076A7"/>
    <w:rsid w:val="008105B8"/>
    <w:rsid w:val="00810C74"/>
    <w:rsid w:val="008111BA"/>
    <w:rsid w:val="00812971"/>
    <w:rsid w:val="0081534F"/>
    <w:rsid w:val="00815C52"/>
    <w:rsid w:val="00816972"/>
    <w:rsid w:val="0081770E"/>
    <w:rsid w:val="00820E5B"/>
    <w:rsid w:val="008216A5"/>
    <w:rsid w:val="00821A8D"/>
    <w:rsid w:val="00822085"/>
    <w:rsid w:val="008242D7"/>
    <w:rsid w:val="00824F1B"/>
    <w:rsid w:val="00825659"/>
    <w:rsid w:val="008257B1"/>
    <w:rsid w:val="00827317"/>
    <w:rsid w:val="00833415"/>
    <w:rsid w:val="00834953"/>
    <w:rsid w:val="00840104"/>
    <w:rsid w:val="0084035B"/>
    <w:rsid w:val="0084126F"/>
    <w:rsid w:val="00843767"/>
    <w:rsid w:val="00846651"/>
    <w:rsid w:val="00846ED4"/>
    <w:rsid w:val="00852B57"/>
    <w:rsid w:val="008538BE"/>
    <w:rsid w:val="008567BB"/>
    <w:rsid w:val="00856A36"/>
    <w:rsid w:val="00857E2C"/>
    <w:rsid w:val="008621E0"/>
    <w:rsid w:val="008655A1"/>
    <w:rsid w:val="008655A9"/>
    <w:rsid w:val="008678D8"/>
    <w:rsid w:val="008679D9"/>
    <w:rsid w:val="00871051"/>
    <w:rsid w:val="00875FE5"/>
    <w:rsid w:val="008809FB"/>
    <w:rsid w:val="008817F2"/>
    <w:rsid w:val="00884110"/>
    <w:rsid w:val="008854BE"/>
    <w:rsid w:val="00885F41"/>
    <w:rsid w:val="0088636B"/>
    <w:rsid w:val="0089139E"/>
    <w:rsid w:val="00894F8B"/>
    <w:rsid w:val="008979B1"/>
    <w:rsid w:val="00897D6C"/>
    <w:rsid w:val="008A1DB2"/>
    <w:rsid w:val="008A2B09"/>
    <w:rsid w:val="008A4733"/>
    <w:rsid w:val="008A61F6"/>
    <w:rsid w:val="008A6B25"/>
    <w:rsid w:val="008A6C4F"/>
    <w:rsid w:val="008A778A"/>
    <w:rsid w:val="008B1EE4"/>
    <w:rsid w:val="008B2335"/>
    <w:rsid w:val="008C017D"/>
    <w:rsid w:val="008C4EDC"/>
    <w:rsid w:val="008D1459"/>
    <w:rsid w:val="008D4BF5"/>
    <w:rsid w:val="008D4DE1"/>
    <w:rsid w:val="008D52B1"/>
    <w:rsid w:val="008D5553"/>
    <w:rsid w:val="008E0104"/>
    <w:rsid w:val="008E03D7"/>
    <w:rsid w:val="008E0678"/>
    <w:rsid w:val="008E1567"/>
    <w:rsid w:val="008E1FE2"/>
    <w:rsid w:val="008E27EC"/>
    <w:rsid w:val="008E35D6"/>
    <w:rsid w:val="008E3FD5"/>
    <w:rsid w:val="008E4C4F"/>
    <w:rsid w:val="008E6A47"/>
    <w:rsid w:val="008E7D8C"/>
    <w:rsid w:val="008F142A"/>
    <w:rsid w:val="008F4C04"/>
    <w:rsid w:val="008F79C3"/>
    <w:rsid w:val="00901CCF"/>
    <w:rsid w:val="0090237B"/>
    <w:rsid w:val="00902668"/>
    <w:rsid w:val="00903876"/>
    <w:rsid w:val="00910F40"/>
    <w:rsid w:val="00911303"/>
    <w:rsid w:val="00912256"/>
    <w:rsid w:val="00912C08"/>
    <w:rsid w:val="00913616"/>
    <w:rsid w:val="00913F5E"/>
    <w:rsid w:val="0091460C"/>
    <w:rsid w:val="00914B6E"/>
    <w:rsid w:val="009152C3"/>
    <w:rsid w:val="00915B61"/>
    <w:rsid w:val="00916567"/>
    <w:rsid w:val="009223CA"/>
    <w:rsid w:val="00930D71"/>
    <w:rsid w:val="0093571E"/>
    <w:rsid w:val="00935941"/>
    <w:rsid w:val="00937E94"/>
    <w:rsid w:val="00940F93"/>
    <w:rsid w:val="00941AB8"/>
    <w:rsid w:val="00943FBA"/>
    <w:rsid w:val="00945A23"/>
    <w:rsid w:val="00950033"/>
    <w:rsid w:val="009502AF"/>
    <w:rsid w:val="00951522"/>
    <w:rsid w:val="00951EAC"/>
    <w:rsid w:val="00952427"/>
    <w:rsid w:val="0095347F"/>
    <w:rsid w:val="00955194"/>
    <w:rsid w:val="009568BE"/>
    <w:rsid w:val="00956A6B"/>
    <w:rsid w:val="00964E2E"/>
    <w:rsid w:val="00966D7C"/>
    <w:rsid w:val="00967F59"/>
    <w:rsid w:val="009701C4"/>
    <w:rsid w:val="00971C45"/>
    <w:rsid w:val="00972495"/>
    <w:rsid w:val="009735A8"/>
    <w:rsid w:val="009735EF"/>
    <w:rsid w:val="00973B67"/>
    <w:rsid w:val="00974EF5"/>
    <w:rsid w:val="00975230"/>
    <w:rsid w:val="00975E5F"/>
    <w:rsid w:val="009760F3"/>
    <w:rsid w:val="009812E7"/>
    <w:rsid w:val="00982BFF"/>
    <w:rsid w:val="00983C0B"/>
    <w:rsid w:val="00985506"/>
    <w:rsid w:val="00990941"/>
    <w:rsid w:val="009909F5"/>
    <w:rsid w:val="00992F40"/>
    <w:rsid w:val="00993D77"/>
    <w:rsid w:val="009A01E5"/>
    <w:rsid w:val="009A0E8D"/>
    <w:rsid w:val="009A46D6"/>
    <w:rsid w:val="009A5BE7"/>
    <w:rsid w:val="009A5E1E"/>
    <w:rsid w:val="009A6988"/>
    <w:rsid w:val="009A7439"/>
    <w:rsid w:val="009B1A64"/>
    <w:rsid w:val="009B26E7"/>
    <w:rsid w:val="009B2EF2"/>
    <w:rsid w:val="009B3B6D"/>
    <w:rsid w:val="009B663A"/>
    <w:rsid w:val="009C2C0D"/>
    <w:rsid w:val="009C4496"/>
    <w:rsid w:val="009C6AEC"/>
    <w:rsid w:val="009C77E5"/>
    <w:rsid w:val="009C7EFD"/>
    <w:rsid w:val="009D04AC"/>
    <w:rsid w:val="009D0B1B"/>
    <w:rsid w:val="009D22A2"/>
    <w:rsid w:val="009D7894"/>
    <w:rsid w:val="009D7E85"/>
    <w:rsid w:val="009E11CB"/>
    <w:rsid w:val="009E2F54"/>
    <w:rsid w:val="009E445F"/>
    <w:rsid w:val="009E6A7F"/>
    <w:rsid w:val="009E7D26"/>
    <w:rsid w:val="009F2AC1"/>
    <w:rsid w:val="009F3272"/>
    <w:rsid w:val="009F5D91"/>
    <w:rsid w:val="00A00A3F"/>
    <w:rsid w:val="00A01489"/>
    <w:rsid w:val="00A030AB"/>
    <w:rsid w:val="00A036B3"/>
    <w:rsid w:val="00A069BB"/>
    <w:rsid w:val="00A07D5B"/>
    <w:rsid w:val="00A10474"/>
    <w:rsid w:val="00A11A0C"/>
    <w:rsid w:val="00A12518"/>
    <w:rsid w:val="00A14D3B"/>
    <w:rsid w:val="00A15A08"/>
    <w:rsid w:val="00A1776E"/>
    <w:rsid w:val="00A230A0"/>
    <w:rsid w:val="00A2561D"/>
    <w:rsid w:val="00A25E9B"/>
    <w:rsid w:val="00A262B7"/>
    <w:rsid w:val="00A266D4"/>
    <w:rsid w:val="00A2698E"/>
    <w:rsid w:val="00A31A27"/>
    <w:rsid w:val="00A31B81"/>
    <w:rsid w:val="00A338F1"/>
    <w:rsid w:val="00A3508F"/>
    <w:rsid w:val="00A36331"/>
    <w:rsid w:val="00A37DD8"/>
    <w:rsid w:val="00A4192B"/>
    <w:rsid w:val="00A44615"/>
    <w:rsid w:val="00A45DB8"/>
    <w:rsid w:val="00A4722B"/>
    <w:rsid w:val="00A47396"/>
    <w:rsid w:val="00A4753A"/>
    <w:rsid w:val="00A54302"/>
    <w:rsid w:val="00A57155"/>
    <w:rsid w:val="00A7028B"/>
    <w:rsid w:val="00A708BB"/>
    <w:rsid w:val="00A710E2"/>
    <w:rsid w:val="00A71B51"/>
    <w:rsid w:val="00A72F22"/>
    <w:rsid w:val="00A7360F"/>
    <w:rsid w:val="00A73EDD"/>
    <w:rsid w:val="00A748A6"/>
    <w:rsid w:val="00A75355"/>
    <w:rsid w:val="00A769F4"/>
    <w:rsid w:val="00A776B4"/>
    <w:rsid w:val="00A82504"/>
    <w:rsid w:val="00A85674"/>
    <w:rsid w:val="00A86F19"/>
    <w:rsid w:val="00A871D5"/>
    <w:rsid w:val="00A8780F"/>
    <w:rsid w:val="00A90E23"/>
    <w:rsid w:val="00A91499"/>
    <w:rsid w:val="00A94361"/>
    <w:rsid w:val="00A96457"/>
    <w:rsid w:val="00AA0619"/>
    <w:rsid w:val="00AA0F58"/>
    <w:rsid w:val="00AA1C63"/>
    <w:rsid w:val="00AA293C"/>
    <w:rsid w:val="00AA2D0D"/>
    <w:rsid w:val="00AB19FA"/>
    <w:rsid w:val="00AB4E1A"/>
    <w:rsid w:val="00AB5043"/>
    <w:rsid w:val="00AB5D75"/>
    <w:rsid w:val="00AB7C6D"/>
    <w:rsid w:val="00AC03E4"/>
    <w:rsid w:val="00AC0A14"/>
    <w:rsid w:val="00AC1844"/>
    <w:rsid w:val="00AC4840"/>
    <w:rsid w:val="00AC63A2"/>
    <w:rsid w:val="00AD1C54"/>
    <w:rsid w:val="00AD24D2"/>
    <w:rsid w:val="00AD46B8"/>
    <w:rsid w:val="00AD6EA8"/>
    <w:rsid w:val="00AE5050"/>
    <w:rsid w:val="00AE5108"/>
    <w:rsid w:val="00AF1A44"/>
    <w:rsid w:val="00AF1E8E"/>
    <w:rsid w:val="00AF5CCF"/>
    <w:rsid w:val="00AF6C3B"/>
    <w:rsid w:val="00B0282C"/>
    <w:rsid w:val="00B02BAA"/>
    <w:rsid w:val="00B033CC"/>
    <w:rsid w:val="00B04543"/>
    <w:rsid w:val="00B06D66"/>
    <w:rsid w:val="00B07A6A"/>
    <w:rsid w:val="00B10DFE"/>
    <w:rsid w:val="00B1188A"/>
    <w:rsid w:val="00B12BB4"/>
    <w:rsid w:val="00B12E1C"/>
    <w:rsid w:val="00B13E9B"/>
    <w:rsid w:val="00B17786"/>
    <w:rsid w:val="00B201CC"/>
    <w:rsid w:val="00B2177C"/>
    <w:rsid w:val="00B30179"/>
    <w:rsid w:val="00B339A7"/>
    <w:rsid w:val="00B34A3F"/>
    <w:rsid w:val="00B369CE"/>
    <w:rsid w:val="00B3784A"/>
    <w:rsid w:val="00B41ACB"/>
    <w:rsid w:val="00B427FA"/>
    <w:rsid w:val="00B43A0B"/>
    <w:rsid w:val="00B443E2"/>
    <w:rsid w:val="00B45E7D"/>
    <w:rsid w:val="00B46096"/>
    <w:rsid w:val="00B4718F"/>
    <w:rsid w:val="00B47380"/>
    <w:rsid w:val="00B5092B"/>
    <w:rsid w:val="00B512C7"/>
    <w:rsid w:val="00B52E57"/>
    <w:rsid w:val="00B56B5C"/>
    <w:rsid w:val="00B56E4A"/>
    <w:rsid w:val="00B56E9C"/>
    <w:rsid w:val="00B60748"/>
    <w:rsid w:val="00B6380E"/>
    <w:rsid w:val="00B639A0"/>
    <w:rsid w:val="00B64B1F"/>
    <w:rsid w:val="00B654DC"/>
    <w:rsid w:val="00B6553F"/>
    <w:rsid w:val="00B65D1D"/>
    <w:rsid w:val="00B66E5E"/>
    <w:rsid w:val="00B67C9C"/>
    <w:rsid w:val="00B67FEB"/>
    <w:rsid w:val="00B716A0"/>
    <w:rsid w:val="00B72505"/>
    <w:rsid w:val="00B77D05"/>
    <w:rsid w:val="00B77EB1"/>
    <w:rsid w:val="00B81202"/>
    <w:rsid w:val="00B81206"/>
    <w:rsid w:val="00B81E12"/>
    <w:rsid w:val="00B8236D"/>
    <w:rsid w:val="00B83A07"/>
    <w:rsid w:val="00B84C4B"/>
    <w:rsid w:val="00B84D8C"/>
    <w:rsid w:val="00B857DE"/>
    <w:rsid w:val="00B8651B"/>
    <w:rsid w:val="00B86F81"/>
    <w:rsid w:val="00B874C1"/>
    <w:rsid w:val="00B878B3"/>
    <w:rsid w:val="00B9067B"/>
    <w:rsid w:val="00B94491"/>
    <w:rsid w:val="00B96520"/>
    <w:rsid w:val="00B97172"/>
    <w:rsid w:val="00BA29D1"/>
    <w:rsid w:val="00BA4341"/>
    <w:rsid w:val="00BB22D5"/>
    <w:rsid w:val="00BB37C3"/>
    <w:rsid w:val="00BB577C"/>
    <w:rsid w:val="00BC01E3"/>
    <w:rsid w:val="00BC298A"/>
    <w:rsid w:val="00BC2C23"/>
    <w:rsid w:val="00BC48F3"/>
    <w:rsid w:val="00BC5A8B"/>
    <w:rsid w:val="00BC6B1E"/>
    <w:rsid w:val="00BC70AB"/>
    <w:rsid w:val="00BC74E9"/>
    <w:rsid w:val="00BD035A"/>
    <w:rsid w:val="00BD2AEB"/>
    <w:rsid w:val="00BD5EB3"/>
    <w:rsid w:val="00BE0B12"/>
    <w:rsid w:val="00BE2C31"/>
    <w:rsid w:val="00BE76EE"/>
    <w:rsid w:val="00BF09D4"/>
    <w:rsid w:val="00BF3D9D"/>
    <w:rsid w:val="00BF5A65"/>
    <w:rsid w:val="00BF68A8"/>
    <w:rsid w:val="00BF6DBF"/>
    <w:rsid w:val="00C006A7"/>
    <w:rsid w:val="00C03905"/>
    <w:rsid w:val="00C059C7"/>
    <w:rsid w:val="00C11207"/>
    <w:rsid w:val="00C11A03"/>
    <w:rsid w:val="00C13B55"/>
    <w:rsid w:val="00C15217"/>
    <w:rsid w:val="00C154D2"/>
    <w:rsid w:val="00C16605"/>
    <w:rsid w:val="00C227E8"/>
    <w:rsid w:val="00C2284D"/>
    <w:rsid w:val="00C231D1"/>
    <w:rsid w:val="00C237CB"/>
    <w:rsid w:val="00C2617F"/>
    <w:rsid w:val="00C2623D"/>
    <w:rsid w:val="00C2698D"/>
    <w:rsid w:val="00C321E0"/>
    <w:rsid w:val="00C3279A"/>
    <w:rsid w:val="00C34926"/>
    <w:rsid w:val="00C36CA4"/>
    <w:rsid w:val="00C37106"/>
    <w:rsid w:val="00C40520"/>
    <w:rsid w:val="00C40796"/>
    <w:rsid w:val="00C4279B"/>
    <w:rsid w:val="00C42AEC"/>
    <w:rsid w:val="00C44D68"/>
    <w:rsid w:val="00C463DD"/>
    <w:rsid w:val="00C46474"/>
    <w:rsid w:val="00C4724C"/>
    <w:rsid w:val="00C50356"/>
    <w:rsid w:val="00C53851"/>
    <w:rsid w:val="00C539D4"/>
    <w:rsid w:val="00C54F73"/>
    <w:rsid w:val="00C55779"/>
    <w:rsid w:val="00C561E4"/>
    <w:rsid w:val="00C606D3"/>
    <w:rsid w:val="00C61F13"/>
    <w:rsid w:val="00C629A0"/>
    <w:rsid w:val="00C6410D"/>
    <w:rsid w:val="00C64A07"/>
    <w:rsid w:val="00C65F90"/>
    <w:rsid w:val="00C702EE"/>
    <w:rsid w:val="00C7385F"/>
    <w:rsid w:val="00C745C3"/>
    <w:rsid w:val="00C74A28"/>
    <w:rsid w:val="00C77C10"/>
    <w:rsid w:val="00C815DC"/>
    <w:rsid w:val="00C822D7"/>
    <w:rsid w:val="00C82416"/>
    <w:rsid w:val="00C8504E"/>
    <w:rsid w:val="00C8561F"/>
    <w:rsid w:val="00C866DB"/>
    <w:rsid w:val="00C9045B"/>
    <w:rsid w:val="00C909F8"/>
    <w:rsid w:val="00C9183C"/>
    <w:rsid w:val="00C91BBB"/>
    <w:rsid w:val="00C9324E"/>
    <w:rsid w:val="00C934B4"/>
    <w:rsid w:val="00C96D26"/>
    <w:rsid w:val="00CA002A"/>
    <w:rsid w:val="00CA56DE"/>
    <w:rsid w:val="00CA5848"/>
    <w:rsid w:val="00CB335D"/>
    <w:rsid w:val="00CC1F58"/>
    <w:rsid w:val="00CC25D6"/>
    <w:rsid w:val="00CC4C0C"/>
    <w:rsid w:val="00CC664C"/>
    <w:rsid w:val="00CE1672"/>
    <w:rsid w:val="00CE170A"/>
    <w:rsid w:val="00CE3E66"/>
    <w:rsid w:val="00CE4904"/>
    <w:rsid w:val="00CE4A8F"/>
    <w:rsid w:val="00CE4D40"/>
    <w:rsid w:val="00CE5F5D"/>
    <w:rsid w:val="00CF21B3"/>
    <w:rsid w:val="00CF2919"/>
    <w:rsid w:val="00CF2C0D"/>
    <w:rsid w:val="00CF2C2A"/>
    <w:rsid w:val="00CF6255"/>
    <w:rsid w:val="00CF76CE"/>
    <w:rsid w:val="00CF7D0F"/>
    <w:rsid w:val="00D02328"/>
    <w:rsid w:val="00D04B04"/>
    <w:rsid w:val="00D06EAB"/>
    <w:rsid w:val="00D07060"/>
    <w:rsid w:val="00D1131C"/>
    <w:rsid w:val="00D141CF"/>
    <w:rsid w:val="00D2031B"/>
    <w:rsid w:val="00D2185E"/>
    <w:rsid w:val="00D2276A"/>
    <w:rsid w:val="00D2305C"/>
    <w:rsid w:val="00D236D5"/>
    <w:rsid w:val="00D257E7"/>
    <w:rsid w:val="00D25FE2"/>
    <w:rsid w:val="00D2672E"/>
    <w:rsid w:val="00D34E31"/>
    <w:rsid w:val="00D354E1"/>
    <w:rsid w:val="00D377FC"/>
    <w:rsid w:val="00D41FE9"/>
    <w:rsid w:val="00D431EB"/>
    <w:rsid w:val="00D43252"/>
    <w:rsid w:val="00D4394C"/>
    <w:rsid w:val="00D47963"/>
    <w:rsid w:val="00D47B2C"/>
    <w:rsid w:val="00D47EEA"/>
    <w:rsid w:val="00D50C86"/>
    <w:rsid w:val="00D50EE6"/>
    <w:rsid w:val="00D51532"/>
    <w:rsid w:val="00D537C3"/>
    <w:rsid w:val="00D62DBA"/>
    <w:rsid w:val="00D70A01"/>
    <w:rsid w:val="00D71187"/>
    <w:rsid w:val="00D712FE"/>
    <w:rsid w:val="00D725AD"/>
    <w:rsid w:val="00D8586C"/>
    <w:rsid w:val="00D85B51"/>
    <w:rsid w:val="00D87C1A"/>
    <w:rsid w:val="00D90984"/>
    <w:rsid w:val="00D90A8D"/>
    <w:rsid w:val="00D90F93"/>
    <w:rsid w:val="00D91BCD"/>
    <w:rsid w:val="00D9204F"/>
    <w:rsid w:val="00D95303"/>
    <w:rsid w:val="00D95A82"/>
    <w:rsid w:val="00D978C6"/>
    <w:rsid w:val="00DA2765"/>
    <w:rsid w:val="00DA3111"/>
    <w:rsid w:val="00DA3C1C"/>
    <w:rsid w:val="00DA3DC3"/>
    <w:rsid w:val="00DA49AA"/>
    <w:rsid w:val="00DA53E6"/>
    <w:rsid w:val="00DA7238"/>
    <w:rsid w:val="00DA7412"/>
    <w:rsid w:val="00DB0C79"/>
    <w:rsid w:val="00DB208A"/>
    <w:rsid w:val="00DB5B2F"/>
    <w:rsid w:val="00DC128E"/>
    <w:rsid w:val="00DC290C"/>
    <w:rsid w:val="00DC4569"/>
    <w:rsid w:val="00DC71FF"/>
    <w:rsid w:val="00DD013D"/>
    <w:rsid w:val="00DD0339"/>
    <w:rsid w:val="00DD1B10"/>
    <w:rsid w:val="00DD2781"/>
    <w:rsid w:val="00DD3D73"/>
    <w:rsid w:val="00DE79A8"/>
    <w:rsid w:val="00DF0447"/>
    <w:rsid w:val="00DF1E57"/>
    <w:rsid w:val="00DF374D"/>
    <w:rsid w:val="00DF4996"/>
    <w:rsid w:val="00DF50FB"/>
    <w:rsid w:val="00DF5EFA"/>
    <w:rsid w:val="00DF6C8D"/>
    <w:rsid w:val="00DF740E"/>
    <w:rsid w:val="00E012C9"/>
    <w:rsid w:val="00E03890"/>
    <w:rsid w:val="00E0462F"/>
    <w:rsid w:val="00E138E5"/>
    <w:rsid w:val="00E13BBE"/>
    <w:rsid w:val="00E13CA7"/>
    <w:rsid w:val="00E209FD"/>
    <w:rsid w:val="00E24886"/>
    <w:rsid w:val="00E25E54"/>
    <w:rsid w:val="00E26EC5"/>
    <w:rsid w:val="00E27346"/>
    <w:rsid w:val="00E3235C"/>
    <w:rsid w:val="00E3477A"/>
    <w:rsid w:val="00E376E4"/>
    <w:rsid w:val="00E37733"/>
    <w:rsid w:val="00E40420"/>
    <w:rsid w:val="00E43EC4"/>
    <w:rsid w:val="00E4406C"/>
    <w:rsid w:val="00E51BCB"/>
    <w:rsid w:val="00E542F7"/>
    <w:rsid w:val="00E54C6F"/>
    <w:rsid w:val="00E55D21"/>
    <w:rsid w:val="00E62BDD"/>
    <w:rsid w:val="00E632CC"/>
    <w:rsid w:val="00E65396"/>
    <w:rsid w:val="00E67476"/>
    <w:rsid w:val="00E67F91"/>
    <w:rsid w:val="00E71BC8"/>
    <w:rsid w:val="00E7260F"/>
    <w:rsid w:val="00E779FC"/>
    <w:rsid w:val="00E831D6"/>
    <w:rsid w:val="00E848D3"/>
    <w:rsid w:val="00E85E3F"/>
    <w:rsid w:val="00E86349"/>
    <w:rsid w:val="00E863FD"/>
    <w:rsid w:val="00E8756E"/>
    <w:rsid w:val="00E94088"/>
    <w:rsid w:val="00E96630"/>
    <w:rsid w:val="00E96B58"/>
    <w:rsid w:val="00EA1886"/>
    <w:rsid w:val="00EA3104"/>
    <w:rsid w:val="00EA31F7"/>
    <w:rsid w:val="00EA5005"/>
    <w:rsid w:val="00EA5836"/>
    <w:rsid w:val="00EB1ECC"/>
    <w:rsid w:val="00EB2581"/>
    <w:rsid w:val="00EB7049"/>
    <w:rsid w:val="00EC1C71"/>
    <w:rsid w:val="00EC28F3"/>
    <w:rsid w:val="00ED06EC"/>
    <w:rsid w:val="00ED140E"/>
    <w:rsid w:val="00ED1515"/>
    <w:rsid w:val="00ED7A2A"/>
    <w:rsid w:val="00EE0B0F"/>
    <w:rsid w:val="00EE5BD5"/>
    <w:rsid w:val="00EE6199"/>
    <w:rsid w:val="00EE62F7"/>
    <w:rsid w:val="00EF0235"/>
    <w:rsid w:val="00EF1D7F"/>
    <w:rsid w:val="00EF1EF6"/>
    <w:rsid w:val="00F004E2"/>
    <w:rsid w:val="00F02C8E"/>
    <w:rsid w:val="00F03190"/>
    <w:rsid w:val="00F03A99"/>
    <w:rsid w:val="00F04CDE"/>
    <w:rsid w:val="00F10E0C"/>
    <w:rsid w:val="00F12D79"/>
    <w:rsid w:val="00F1389A"/>
    <w:rsid w:val="00F145AF"/>
    <w:rsid w:val="00F148F2"/>
    <w:rsid w:val="00F1539A"/>
    <w:rsid w:val="00F20C3D"/>
    <w:rsid w:val="00F25E5E"/>
    <w:rsid w:val="00F26BC3"/>
    <w:rsid w:val="00F27F80"/>
    <w:rsid w:val="00F30F1F"/>
    <w:rsid w:val="00F318C1"/>
    <w:rsid w:val="00F31FB3"/>
    <w:rsid w:val="00F36AFD"/>
    <w:rsid w:val="00F36C66"/>
    <w:rsid w:val="00F41C1A"/>
    <w:rsid w:val="00F4204E"/>
    <w:rsid w:val="00F43630"/>
    <w:rsid w:val="00F43E9E"/>
    <w:rsid w:val="00F45731"/>
    <w:rsid w:val="00F46CDD"/>
    <w:rsid w:val="00F51249"/>
    <w:rsid w:val="00F53F0E"/>
    <w:rsid w:val="00F63797"/>
    <w:rsid w:val="00F65E7F"/>
    <w:rsid w:val="00F70FF2"/>
    <w:rsid w:val="00F713E3"/>
    <w:rsid w:val="00F75F5B"/>
    <w:rsid w:val="00F76E01"/>
    <w:rsid w:val="00F80D37"/>
    <w:rsid w:val="00F8521C"/>
    <w:rsid w:val="00F86121"/>
    <w:rsid w:val="00F86289"/>
    <w:rsid w:val="00F9057C"/>
    <w:rsid w:val="00F906D7"/>
    <w:rsid w:val="00F90D84"/>
    <w:rsid w:val="00F90FD3"/>
    <w:rsid w:val="00F91FD2"/>
    <w:rsid w:val="00F93781"/>
    <w:rsid w:val="00F96BA5"/>
    <w:rsid w:val="00FA1718"/>
    <w:rsid w:val="00FA32C0"/>
    <w:rsid w:val="00FA380F"/>
    <w:rsid w:val="00FA447C"/>
    <w:rsid w:val="00FA56DB"/>
    <w:rsid w:val="00FA5D93"/>
    <w:rsid w:val="00FA6BE1"/>
    <w:rsid w:val="00FB1B6F"/>
    <w:rsid w:val="00FB5EB5"/>
    <w:rsid w:val="00FB613B"/>
    <w:rsid w:val="00FB6F7F"/>
    <w:rsid w:val="00FB7622"/>
    <w:rsid w:val="00FC082E"/>
    <w:rsid w:val="00FC20C0"/>
    <w:rsid w:val="00FC22CD"/>
    <w:rsid w:val="00FC548F"/>
    <w:rsid w:val="00FC6453"/>
    <w:rsid w:val="00FC68B7"/>
    <w:rsid w:val="00FD0381"/>
    <w:rsid w:val="00FD1954"/>
    <w:rsid w:val="00FD23D3"/>
    <w:rsid w:val="00FD2A75"/>
    <w:rsid w:val="00FD4FB8"/>
    <w:rsid w:val="00FD7631"/>
    <w:rsid w:val="00FE106A"/>
    <w:rsid w:val="00FE52FC"/>
    <w:rsid w:val="00FE6DC3"/>
    <w:rsid w:val="00FE7EF7"/>
    <w:rsid w:val="00FF0FD2"/>
    <w:rsid w:val="00FF3FD6"/>
    <w:rsid w:val="00FF55D7"/>
    <w:rsid w:val="00FF67E9"/>
    <w:rsid w:val="00FF7920"/>
    <w:rsid w:val="00FF7D0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7F3F6D"/>
  <w14:defaultImageDpi w14:val="0"/>
  <w15:docId w15:val="{E2677882-825B-4A2B-B892-0909C290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sz w:val="20"/>
      <w:szCs w:val="20"/>
      <w:lang w:val="en-GB" w:eastAsia="en-US"/>
    </w:rPr>
  </w:style>
  <w:style w:type="paragraph" w:styleId="Heading1">
    <w:name w:val="heading 1"/>
    <w:aliases w:val="Table_G"/>
    <w:basedOn w:val="SingleTxtG"/>
    <w:next w:val="SingleTxtG"/>
    <w:link w:val="Heading1Char"/>
    <w:uiPriority w:val="99"/>
    <w:qFormat/>
    <w:rsid w:val="000272B3"/>
    <w:pPr>
      <w:spacing w:after="0" w:line="240" w:lineRule="auto"/>
      <w:ind w:right="0"/>
      <w:jc w:val="left"/>
      <w:outlineLvl w:val="0"/>
    </w:pPr>
  </w:style>
  <w:style w:type="paragraph" w:styleId="Heading2">
    <w:name w:val="heading 2"/>
    <w:basedOn w:val="Normal"/>
    <w:next w:val="Normal"/>
    <w:link w:val="Heading2Char"/>
    <w:uiPriority w:val="99"/>
    <w:qFormat/>
    <w:rsid w:val="000272B3"/>
    <w:pPr>
      <w:spacing w:line="240" w:lineRule="auto"/>
      <w:outlineLvl w:val="1"/>
    </w:pPr>
  </w:style>
  <w:style w:type="paragraph" w:styleId="Heading3">
    <w:name w:val="heading 3"/>
    <w:basedOn w:val="Normal"/>
    <w:next w:val="Normal"/>
    <w:link w:val="Heading3Char"/>
    <w:uiPriority w:val="99"/>
    <w:qFormat/>
    <w:rsid w:val="000272B3"/>
    <w:pPr>
      <w:spacing w:line="240" w:lineRule="auto"/>
      <w:outlineLvl w:val="2"/>
    </w:pPr>
  </w:style>
  <w:style w:type="paragraph" w:styleId="Heading4">
    <w:name w:val="heading 4"/>
    <w:basedOn w:val="Normal"/>
    <w:next w:val="Normal"/>
    <w:link w:val="Heading4Char"/>
    <w:uiPriority w:val="99"/>
    <w:qFormat/>
    <w:rsid w:val="000272B3"/>
    <w:pPr>
      <w:spacing w:line="240" w:lineRule="auto"/>
      <w:outlineLvl w:val="3"/>
    </w:pPr>
  </w:style>
  <w:style w:type="paragraph" w:styleId="Heading5">
    <w:name w:val="heading 5"/>
    <w:basedOn w:val="Normal"/>
    <w:next w:val="Normal"/>
    <w:link w:val="Heading5Char"/>
    <w:uiPriority w:val="99"/>
    <w:qFormat/>
    <w:rsid w:val="000272B3"/>
    <w:pPr>
      <w:spacing w:line="240" w:lineRule="auto"/>
      <w:outlineLvl w:val="4"/>
    </w:pPr>
  </w:style>
  <w:style w:type="paragraph" w:styleId="Heading6">
    <w:name w:val="heading 6"/>
    <w:basedOn w:val="Normal"/>
    <w:next w:val="Normal"/>
    <w:link w:val="Heading6Char"/>
    <w:uiPriority w:val="99"/>
    <w:qFormat/>
    <w:rsid w:val="000272B3"/>
    <w:pPr>
      <w:spacing w:line="240" w:lineRule="auto"/>
      <w:outlineLvl w:val="5"/>
    </w:pPr>
  </w:style>
  <w:style w:type="paragraph" w:styleId="Heading7">
    <w:name w:val="heading 7"/>
    <w:basedOn w:val="Normal"/>
    <w:next w:val="Normal"/>
    <w:link w:val="Heading7Char"/>
    <w:uiPriority w:val="99"/>
    <w:qFormat/>
    <w:rsid w:val="000272B3"/>
    <w:pPr>
      <w:spacing w:line="240" w:lineRule="auto"/>
      <w:outlineLvl w:val="6"/>
    </w:pPr>
  </w:style>
  <w:style w:type="paragraph" w:styleId="Heading8">
    <w:name w:val="heading 8"/>
    <w:basedOn w:val="Normal"/>
    <w:next w:val="Normal"/>
    <w:link w:val="Heading8Char"/>
    <w:uiPriority w:val="99"/>
    <w:qFormat/>
    <w:rsid w:val="000272B3"/>
    <w:pPr>
      <w:spacing w:line="240" w:lineRule="auto"/>
      <w:outlineLvl w:val="7"/>
    </w:pPr>
  </w:style>
  <w:style w:type="paragraph" w:styleId="Heading9">
    <w:name w:val="heading 9"/>
    <w:basedOn w:val="Normal"/>
    <w:next w:val="Normal"/>
    <w:link w:val="Heading9Char"/>
    <w:uiPriority w:val="99"/>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ble_G Char"/>
    <w:basedOn w:val="DefaultParagraphFont"/>
    <w:link w:val="Heading1"/>
    <w:uiPriority w:val="9"/>
    <w:rsid w:val="0099069F"/>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
    <w:semiHidden/>
    <w:rsid w:val="0099069F"/>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sid w:val="0099069F"/>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sid w:val="0099069F"/>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sid w:val="0099069F"/>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sid w:val="0099069F"/>
    <w:rPr>
      <w:rFonts w:asciiTheme="minorHAnsi" w:eastAsiaTheme="minorEastAsia" w:hAnsiTheme="minorHAnsi" w:cstheme="minorBidi"/>
      <w:b/>
      <w:bCs/>
      <w:lang w:val="en-GB" w:eastAsia="en-US"/>
    </w:rPr>
  </w:style>
  <w:style w:type="character" w:customStyle="1" w:styleId="Heading7Char">
    <w:name w:val="Heading 7 Char"/>
    <w:basedOn w:val="DefaultParagraphFont"/>
    <w:link w:val="Heading7"/>
    <w:uiPriority w:val="9"/>
    <w:semiHidden/>
    <w:rsid w:val="0099069F"/>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sid w:val="0099069F"/>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sid w:val="0099069F"/>
    <w:rPr>
      <w:rFonts w:asciiTheme="majorHAnsi" w:eastAsiaTheme="majorEastAsia" w:hAnsiTheme="majorHAnsi" w:cstheme="majorBidi"/>
      <w:lang w:val="en-GB" w:eastAsia="en-US"/>
    </w:rPr>
  </w:style>
  <w:style w:type="paragraph" w:styleId="BalloonText">
    <w:name w:val="Balloon Text"/>
    <w:basedOn w:val="Normal"/>
    <w:link w:val="BalloonTextChar"/>
    <w:uiPriority w:val="99"/>
    <w:rsid w:val="006743E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6743E9"/>
    <w:rPr>
      <w:rFonts w:ascii="Tahoma" w:hAnsi="Tahoma"/>
      <w:sz w:val="16"/>
      <w:lang w:val="x-none" w:eastAsia="en-US"/>
    </w:rPr>
  </w:style>
  <w:style w:type="paragraph" w:customStyle="1" w:styleId="SingleTxtG">
    <w:name w:val="_ Single Txt_G"/>
    <w:basedOn w:val="Normal"/>
    <w:link w:val="SingleTxtGChar"/>
    <w:rsid w:val="000272B3"/>
    <w:pPr>
      <w:spacing w:after="120"/>
      <w:ind w:left="1134" w:right="1134"/>
      <w:jc w:val="both"/>
    </w:pPr>
  </w:style>
  <w:style w:type="paragraph" w:customStyle="1" w:styleId="HMG">
    <w:name w:val="_ H __M_G"/>
    <w:basedOn w:val="Normal"/>
    <w:next w:val="Normal"/>
    <w:uiPriority w:val="99"/>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link w:val="HeaderChar"/>
    <w:uiPriority w:val="99"/>
    <w:rsid w:val="000272B3"/>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uiPriority w:val="99"/>
    <w:rsid w:val="0099069F"/>
    <w:rPr>
      <w:sz w:val="20"/>
      <w:szCs w:val="20"/>
      <w:lang w:val="en-GB" w:eastAsia="en-US"/>
    </w:rPr>
  </w:style>
  <w:style w:type="table" w:styleId="TableGrid">
    <w:name w:val="Table Grid"/>
    <w:basedOn w:val="TableNormal"/>
    <w:uiPriority w:val="99"/>
    <w:semiHidden/>
    <w:rsid w:val="000272B3"/>
    <w:pPr>
      <w:suppressAutoHyphens/>
      <w:spacing w:line="24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semiHidden/>
    <w:rsid w:val="000272B3"/>
    <w:rPr>
      <w:rFonts w:cs="Times New Roman"/>
      <w:color w:val="auto"/>
      <w:u w:val="none"/>
    </w:rPr>
  </w:style>
  <w:style w:type="character" w:styleId="FollowedHyperlink">
    <w:name w:val="FollowedHyperlink"/>
    <w:basedOn w:val="DefaultParagraphFont"/>
    <w:uiPriority w:val="99"/>
    <w:semiHidden/>
    <w:rsid w:val="000272B3"/>
    <w:rPr>
      <w:rFonts w:cs="Times New Roman"/>
      <w:color w:val="auto"/>
      <w:u w:val="none"/>
    </w:rPr>
  </w:style>
  <w:style w:type="paragraph" w:styleId="FootnoteText">
    <w:name w:val="footnote text"/>
    <w:aliases w:val="5_G"/>
    <w:basedOn w:val="Normal"/>
    <w:link w:val="FootnoteTextChar1"/>
    <w:qFormat/>
    <w:rsid w:val="00753BB8"/>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eastAsia="zh-CN"/>
    </w:rPr>
  </w:style>
  <w:style w:type="character" w:customStyle="1" w:styleId="FootnoteTextChar">
    <w:name w:val="Footnote Text Char"/>
    <w:aliases w:val="Footnote Reference Char,4_G Char,Footnote number Char,ftref Char,Footnotes refss Char,Style 10 Char,Footnote Reference1 Char1,5_G Char,Footnote Text Char Char Char Char Char Char,Footnote Text Char Char Char Char Char1,FA Fu Char"/>
    <w:basedOn w:val="DefaultParagraphFont"/>
    <w:rsid w:val="0099069F"/>
    <w:rPr>
      <w:sz w:val="20"/>
      <w:szCs w:val="20"/>
      <w:lang w:val="en-GB" w:eastAsia="en-US"/>
    </w:rPr>
  </w:style>
  <w:style w:type="paragraph" w:styleId="EndnoteText">
    <w:name w:val="endnote text"/>
    <w:aliases w:val="2_G"/>
    <w:basedOn w:val="FootnoteText"/>
    <w:link w:val="EndnoteTextChar"/>
    <w:uiPriority w:val="99"/>
    <w:rsid w:val="000272B3"/>
  </w:style>
  <w:style w:type="character" w:customStyle="1" w:styleId="EndnoteTextChar">
    <w:name w:val="Endnote Text Char"/>
    <w:aliases w:val="2_G Char"/>
    <w:basedOn w:val="DefaultParagraphFont"/>
    <w:link w:val="EndnoteText"/>
    <w:uiPriority w:val="99"/>
    <w:semiHidden/>
    <w:rsid w:val="0099069F"/>
    <w:rPr>
      <w:sz w:val="20"/>
      <w:szCs w:val="20"/>
      <w:lang w:val="en-GB" w:eastAsia="en-US"/>
    </w:rPr>
  </w:style>
  <w:style w:type="paragraph" w:customStyle="1" w:styleId="SMG">
    <w:name w:val="__S_M_G"/>
    <w:basedOn w:val="Normal"/>
    <w:next w:val="Normal"/>
    <w:uiPriority w:val="99"/>
    <w:rsid w:val="000272B3"/>
    <w:pPr>
      <w:keepNext/>
      <w:keepLines/>
      <w:spacing w:before="240" w:after="240" w:line="420" w:lineRule="exact"/>
      <w:ind w:left="1134" w:right="1134"/>
    </w:pPr>
    <w:rPr>
      <w:b/>
      <w:sz w:val="40"/>
    </w:rPr>
  </w:style>
  <w:style w:type="paragraph" w:customStyle="1" w:styleId="SLG">
    <w:name w:val="__S_L_G"/>
    <w:basedOn w:val="Normal"/>
    <w:next w:val="Normal"/>
    <w:uiPriority w:val="99"/>
    <w:rsid w:val="000272B3"/>
    <w:pPr>
      <w:keepNext/>
      <w:keepLines/>
      <w:spacing w:before="240" w:after="240" w:line="580" w:lineRule="exact"/>
      <w:ind w:left="1134" w:right="1134"/>
    </w:pPr>
    <w:rPr>
      <w:b/>
      <w:sz w:val="56"/>
    </w:rPr>
  </w:style>
  <w:style w:type="paragraph" w:customStyle="1" w:styleId="SSG">
    <w:name w:val="__S_S_G"/>
    <w:basedOn w:val="Normal"/>
    <w:next w:val="Normal"/>
    <w:uiPriority w:val="99"/>
    <w:rsid w:val="000272B3"/>
    <w:pPr>
      <w:keepNext/>
      <w:keepLines/>
      <w:spacing w:before="240" w:after="240" w:line="300" w:lineRule="exact"/>
      <w:ind w:left="1134" w:right="1134"/>
    </w:pPr>
    <w:rPr>
      <w:b/>
      <w:sz w:val="28"/>
    </w:rPr>
  </w:style>
  <w:style w:type="character" w:styleId="EndnoteReference">
    <w:name w:val="endnote reference"/>
    <w:aliases w:val="1_G"/>
    <w:basedOn w:val="DefaultParagraphFont"/>
    <w:uiPriority w:val="99"/>
    <w:rsid w:val="000272B3"/>
    <w:rPr>
      <w:rFonts w:ascii="Times New Roman" w:hAnsi="Times New Roman" w:cs="Times New Roman"/>
      <w:sz w:val="18"/>
      <w:vertAlign w:val="superscript"/>
    </w:rPr>
  </w:style>
  <w:style w:type="character" w:styleId="PageNumber">
    <w:name w:val="page number"/>
    <w:aliases w:val="7_G"/>
    <w:basedOn w:val="DefaultParagraphFont"/>
    <w:uiPriority w:val="99"/>
    <w:rsid w:val="000272B3"/>
    <w:rPr>
      <w:rFonts w:ascii="Times New Roman" w:hAnsi="Times New Roman" w:cs="Times New Roman"/>
      <w:b/>
      <w:sz w:val="18"/>
    </w:rPr>
  </w:style>
  <w:style w:type="paragraph" w:customStyle="1" w:styleId="XLargeG">
    <w:name w:val="__XLarge_G"/>
    <w:basedOn w:val="Normal"/>
    <w:next w:val="Normal"/>
    <w:uiPriority w:val="99"/>
    <w:rsid w:val="000272B3"/>
    <w:pPr>
      <w:keepNext/>
      <w:keepLines/>
      <w:spacing w:before="240" w:after="240" w:line="420" w:lineRule="exact"/>
      <w:ind w:left="1134" w:right="1134"/>
    </w:pPr>
    <w:rPr>
      <w:b/>
      <w:sz w:val="40"/>
    </w:rPr>
  </w:style>
  <w:style w:type="paragraph" w:customStyle="1" w:styleId="Bullet1G">
    <w:name w:val="_Bullet 1_G"/>
    <w:basedOn w:val="Normal"/>
    <w:uiPriority w:val="99"/>
    <w:rsid w:val="000272B3"/>
    <w:pPr>
      <w:numPr>
        <w:numId w:val="1"/>
      </w:numPr>
      <w:spacing w:after="120"/>
      <w:ind w:right="1134"/>
      <w:jc w:val="both"/>
    </w:pPr>
  </w:style>
  <w:style w:type="paragraph" w:styleId="Footer">
    <w:name w:val="footer"/>
    <w:aliases w:val="3_G"/>
    <w:basedOn w:val="Normal"/>
    <w:link w:val="FooterChar"/>
    <w:uiPriority w:val="99"/>
    <w:rsid w:val="000272B3"/>
    <w:pPr>
      <w:spacing w:line="240" w:lineRule="auto"/>
    </w:pPr>
    <w:rPr>
      <w:sz w:val="16"/>
    </w:rPr>
  </w:style>
  <w:style w:type="character" w:customStyle="1" w:styleId="FooterChar">
    <w:name w:val="Footer Char"/>
    <w:aliases w:val="3_G Char"/>
    <w:basedOn w:val="DefaultParagraphFont"/>
    <w:link w:val="Footer"/>
    <w:uiPriority w:val="99"/>
    <w:semiHidden/>
    <w:rsid w:val="0099069F"/>
    <w:rPr>
      <w:sz w:val="20"/>
      <w:szCs w:val="20"/>
      <w:lang w:val="en-GB" w:eastAsia="en-US"/>
    </w:rPr>
  </w:style>
  <w:style w:type="paragraph" w:customStyle="1" w:styleId="Bullet2G">
    <w:name w:val="_Bullet 2_G"/>
    <w:basedOn w:val="Normal"/>
    <w:uiPriority w:val="99"/>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uiPriority w:val="99"/>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uiPriority w:val="99"/>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uiPriority w:val="99"/>
    <w:rsid w:val="000272B3"/>
    <w:pPr>
      <w:keepNext/>
      <w:keepLines/>
      <w:tabs>
        <w:tab w:val="right" w:pos="851"/>
      </w:tabs>
      <w:spacing w:before="240" w:after="120" w:line="240" w:lineRule="exact"/>
      <w:ind w:left="1134" w:right="1134" w:hanging="1134"/>
    </w:pPr>
  </w:style>
  <w:style w:type="character" w:customStyle="1" w:styleId="FootnoteTextChar1">
    <w:name w:val="Footnote Text Char1"/>
    <w:aliases w:val="5_G Char1"/>
    <w:link w:val="FootnoteText"/>
    <w:locked/>
    <w:rsid w:val="008216A5"/>
    <w:rPr>
      <w:rFonts w:eastAsia="SimSun"/>
      <w:sz w:val="18"/>
      <w:szCs w:val="20"/>
      <w:lang w:val="en-GB" w:eastAsia="zh-CN"/>
    </w:rPr>
  </w:style>
  <w:style w:type="character" w:customStyle="1" w:styleId="sb8d990e2">
    <w:name w:val="sb8d990e2"/>
    <w:rsid w:val="001A09DE"/>
  </w:style>
  <w:style w:type="paragraph" w:customStyle="1" w:styleId="Default">
    <w:name w:val="Default"/>
    <w:uiPriority w:val="99"/>
    <w:rsid w:val="00E40420"/>
    <w:pPr>
      <w:autoSpaceDE w:val="0"/>
      <w:autoSpaceDN w:val="0"/>
      <w:adjustRightInd w:val="0"/>
    </w:pPr>
    <w:rPr>
      <w:color w:val="000000"/>
      <w:sz w:val="24"/>
      <w:szCs w:val="24"/>
      <w:lang w:val="en-GB" w:eastAsia="en-GB"/>
    </w:rPr>
  </w:style>
  <w:style w:type="paragraph" w:customStyle="1" w:styleId="CM55">
    <w:name w:val="CM55"/>
    <w:basedOn w:val="Default"/>
    <w:next w:val="Default"/>
    <w:uiPriority w:val="99"/>
    <w:rsid w:val="00E40420"/>
    <w:rPr>
      <w:color w:val="auto"/>
    </w:rPr>
  </w:style>
  <w:style w:type="character" w:customStyle="1" w:styleId="SingleTxtGChar">
    <w:name w:val="_ Single Txt_G Char"/>
    <w:link w:val="SingleTxtG"/>
    <w:locked/>
    <w:rsid w:val="00FF7920"/>
    <w:rPr>
      <w:lang w:val="x-none" w:eastAsia="en-US"/>
    </w:rPr>
  </w:style>
  <w:style w:type="character" w:styleId="CommentReference">
    <w:name w:val="annotation reference"/>
    <w:basedOn w:val="DefaultParagraphFont"/>
    <w:uiPriority w:val="99"/>
    <w:rsid w:val="00161B02"/>
    <w:rPr>
      <w:rFonts w:cs="Times New Roman"/>
      <w:sz w:val="16"/>
    </w:rPr>
  </w:style>
  <w:style w:type="paragraph" w:styleId="CommentText">
    <w:name w:val="annotation text"/>
    <w:basedOn w:val="Normal"/>
    <w:link w:val="CommentTextChar"/>
    <w:uiPriority w:val="99"/>
    <w:rsid w:val="00161B02"/>
  </w:style>
  <w:style w:type="character" w:customStyle="1" w:styleId="CommentTextChar">
    <w:name w:val="Comment Text Char"/>
    <w:basedOn w:val="DefaultParagraphFont"/>
    <w:link w:val="CommentText"/>
    <w:uiPriority w:val="99"/>
    <w:locked/>
    <w:rsid w:val="00161B02"/>
    <w:rPr>
      <w:lang w:val="x-none" w:eastAsia="en-US"/>
    </w:rPr>
  </w:style>
  <w:style w:type="paragraph" w:styleId="CommentSubject">
    <w:name w:val="annotation subject"/>
    <w:basedOn w:val="CommentText"/>
    <w:next w:val="CommentText"/>
    <w:link w:val="CommentSubjectChar"/>
    <w:uiPriority w:val="99"/>
    <w:rsid w:val="00161B02"/>
    <w:rPr>
      <w:b/>
      <w:bCs/>
    </w:rPr>
  </w:style>
  <w:style w:type="character" w:customStyle="1" w:styleId="CommentSubjectChar">
    <w:name w:val="Comment Subject Char"/>
    <w:basedOn w:val="CommentTextChar"/>
    <w:link w:val="CommentSubject"/>
    <w:uiPriority w:val="99"/>
    <w:locked/>
    <w:rsid w:val="00161B02"/>
    <w:rPr>
      <w:b/>
      <w:lang w:val="x-none" w:eastAsia="en-US"/>
    </w:rPr>
  </w:style>
  <w:style w:type="character" w:styleId="FootnoteReference">
    <w:name w:val="footnote reference"/>
    <w:aliases w:val="4_G"/>
    <w:qFormat/>
    <w:locked/>
    <w:rsid w:val="00753BB8"/>
    <w:rPr>
      <w:rFonts w:ascii="Times New Roman" w:hAnsi="Times New Roman"/>
      <w:sz w:val="18"/>
      <w:vertAlign w:val="superscript"/>
    </w:rPr>
  </w:style>
  <w:style w:type="paragraph" w:customStyle="1" w:styleId="SingleTxt">
    <w:name w:val="__Single Txt"/>
    <w:basedOn w:val="Normal"/>
    <w:rsid w:val="00C36CA4"/>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rFonts w:eastAsiaTheme="minorEastAsia"/>
      <w:spacing w:val="4"/>
      <w:w w:val="103"/>
      <w:kern w:val="14"/>
      <w:lang w:eastAsia="zh-CN"/>
    </w:rPr>
  </w:style>
  <w:style w:type="paragraph" w:styleId="Revision">
    <w:name w:val="Revision"/>
    <w:hidden/>
    <w:uiPriority w:val="99"/>
    <w:semiHidden/>
    <w:rsid w:val="00AB5D75"/>
    <w:rPr>
      <w:sz w:val="20"/>
      <w:szCs w:val="20"/>
      <w:lang w:val="en-GB" w:eastAsia="en-US"/>
    </w:rPr>
  </w:style>
  <w:style w:type="character" w:customStyle="1" w:styleId="s32a37344">
    <w:name w:val="s32a37344"/>
    <w:rsid w:val="00956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064858">
      <w:marLeft w:val="0"/>
      <w:marRight w:val="0"/>
      <w:marTop w:val="0"/>
      <w:marBottom w:val="0"/>
      <w:divBdr>
        <w:top w:val="none" w:sz="0" w:space="0" w:color="auto"/>
        <w:left w:val="none" w:sz="0" w:space="0" w:color="auto"/>
        <w:bottom w:val="none" w:sz="0" w:space="0" w:color="auto"/>
        <w:right w:val="none" w:sz="0" w:space="0" w:color="auto"/>
      </w:divBdr>
    </w:div>
    <w:div w:id="527064859">
      <w:marLeft w:val="0"/>
      <w:marRight w:val="0"/>
      <w:marTop w:val="0"/>
      <w:marBottom w:val="0"/>
      <w:divBdr>
        <w:top w:val="none" w:sz="0" w:space="0" w:color="auto"/>
        <w:left w:val="none" w:sz="0" w:space="0" w:color="auto"/>
        <w:bottom w:val="none" w:sz="0" w:space="0" w:color="auto"/>
        <w:right w:val="none" w:sz="0" w:space="0" w:color="auto"/>
      </w:divBdr>
      <w:divsChild>
        <w:div w:id="527064865">
          <w:marLeft w:val="0"/>
          <w:marRight w:val="0"/>
          <w:marTop w:val="0"/>
          <w:marBottom w:val="0"/>
          <w:divBdr>
            <w:top w:val="none" w:sz="0" w:space="0" w:color="auto"/>
            <w:left w:val="single" w:sz="6" w:space="0" w:color="414141"/>
            <w:bottom w:val="none" w:sz="0" w:space="0" w:color="auto"/>
            <w:right w:val="single" w:sz="6" w:space="0" w:color="414141"/>
          </w:divBdr>
          <w:divsChild>
            <w:div w:id="527064861">
              <w:marLeft w:val="0"/>
              <w:marRight w:val="0"/>
              <w:marTop w:val="0"/>
              <w:marBottom w:val="0"/>
              <w:divBdr>
                <w:top w:val="none" w:sz="0" w:space="0" w:color="auto"/>
                <w:left w:val="none" w:sz="0" w:space="0" w:color="auto"/>
                <w:bottom w:val="none" w:sz="0" w:space="0" w:color="auto"/>
                <w:right w:val="none" w:sz="0" w:space="0" w:color="auto"/>
              </w:divBdr>
              <w:divsChild>
                <w:div w:id="52706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064860">
      <w:marLeft w:val="0"/>
      <w:marRight w:val="0"/>
      <w:marTop w:val="0"/>
      <w:marBottom w:val="0"/>
      <w:divBdr>
        <w:top w:val="none" w:sz="0" w:space="0" w:color="auto"/>
        <w:left w:val="none" w:sz="0" w:space="0" w:color="auto"/>
        <w:bottom w:val="none" w:sz="0" w:space="0" w:color="auto"/>
        <w:right w:val="none" w:sz="0" w:space="0" w:color="auto"/>
      </w:divBdr>
    </w:div>
    <w:div w:id="527064862">
      <w:marLeft w:val="0"/>
      <w:marRight w:val="0"/>
      <w:marTop w:val="0"/>
      <w:marBottom w:val="0"/>
      <w:divBdr>
        <w:top w:val="none" w:sz="0" w:space="0" w:color="auto"/>
        <w:left w:val="none" w:sz="0" w:space="0" w:color="auto"/>
        <w:bottom w:val="none" w:sz="0" w:space="0" w:color="auto"/>
        <w:right w:val="none" w:sz="0" w:space="0" w:color="auto"/>
      </w:divBdr>
    </w:div>
    <w:div w:id="527064863">
      <w:marLeft w:val="0"/>
      <w:marRight w:val="0"/>
      <w:marTop w:val="0"/>
      <w:marBottom w:val="0"/>
      <w:divBdr>
        <w:top w:val="none" w:sz="0" w:space="0" w:color="auto"/>
        <w:left w:val="none" w:sz="0" w:space="0" w:color="auto"/>
        <w:bottom w:val="none" w:sz="0" w:space="0" w:color="auto"/>
        <w:right w:val="none" w:sz="0" w:space="0" w:color="auto"/>
      </w:divBdr>
    </w:div>
    <w:div w:id="527064864">
      <w:marLeft w:val="0"/>
      <w:marRight w:val="0"/>
      <w:marTop w:val="0"/>
      <w:marBottom w:val="0"/>
      <w:divBdr>
        <w:top w:val="none" w:sz="0" w:space="0" w:color="auto"/>
        <w:left w:val="none" w:sz="0" w:space="0" w:color="auto"/>
        <w:bottom w:val="none" w:sz="0" w:space="0" w:color="auto"/>
        <w:right w:val="none" w:sz="0" w:space="0" w:color="auto"/>
      </w:divBdr>
    </w:div>
    <w:div w:id="527064866">
      <w:marLeft w:val="0"/>
      <w:marRight w:val="0"/>
      <w:marTop w:val="0"/>
      <w:marBottom w:val="0"/>
      <w:divBdr>
        <w:top w:val="none" w:sz="0" w:space="0" w:color="auto"/>
        <w:left w:val="none" w:sz="0" w:space="0" w:color="auto"/>
        <w:bottom w:val="none" w:sz="0" w:space="0" w:color="auto"/>
        <w:right w:val="none" w:sz="0" w:space="0" w:color="auto"/>
      </w:divBdr>
    </w:div>
    <w:div w:id="527064868">
      <w:marLeft w:val="0"/>
      <w:marRight w:val="0"/>
      <w:marTop w:val="0"/>
      <w:marBottom w:val="0"/>
      <w:divBdr>
        <w:top w:val="none" w:sz="0" w:space="0" w:color="auto"/>
        <w:left w:val="none" w:sz="0" w:space="0" w:color="auto"/>
        <w:bottom w:val="none" w:sz="0" w:space="0" w:color="auto"/>
        <w:right w:val="none" w:sz="0" w:space="0" w:color="auto"/>
      </w:divBdr>
    </w:div>
    <w:div w:id="527064869">
      <w:marLeft w:val="0"/>
      <w:marRight w:val="0"/>
      <w:marTop w:val="0"/>
      <w:marBottom w:val="0"/>
      <w:divBdr>
        <w:top w:val="none" w:sz="0" w:space="0" w:color="auto"/>
        <w:left w:val="none" w:sz="0" w:space="0" w:color="auto"/>
        <w:bottom w:val="none" w:sz="0" w:space="0" w:color="auto"/>
        <w:right w:val="none" w:sz="0" w:space="0" w:color="auto"/>
      </w:divBdr>
    </w:div>
    <w:div w:id="1317148968">
      <w:bodyDiv w:val="1"/>
      <w:marLeft w:val="0"/>
      <w:marRight w:val="0"/>
      <w:marTop w:val="0"/>
      <w:marBottom w:val="0"/>
      <w:divBdr>
        <w:top w:val="none" w:sz="0" w:space="0" w:color="auto"/>
        <w:left w:val="none" w:sz="0" w:space="0" w:color="auto"/>
        <w:bottom w:val="none" w:sz="0" w:space="0" w:color="auto"/>
        <w:right w:val="none" w:sz="0" w:space="0" w:color="auto"/>
      </w:divBdr>
    </w:div>
    <w:div w:id="138205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34861-E7B7-4CD0-A250-9EFBC9675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2804</Words>
  <Characters>15985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1615631</vt:lpstr>
    </vt:vector>
  </TitlesOfParts>
  <Company>CSD</Company>
  <LinksUpToDate>false</LinksUpToDate>
  <CharactersWithSpaces>18752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1615631</dc:title>
  <dc:subject>CCPR/C/117/D/2082/2011</dc:subject>
  <dc:creator>temp Neogi</dc:creator>
  <cp:keywords/>
  <dc:description/>
  <cp:lastModifiedBy>Sarah Willig</cp:lastModifiedBy>
  <cp:revision>2</cp:revision>
  <cp:lastPrinted>2016-08-11T12:44:00Z</cp:lastPrinted>
  <dcterms:created xsi:type="dcterms:W3CDTF">2017-03-28T19:14:00Z</dcterms:created>
  <dcterms:modified xsi:type="dcterms:W3CDTF">2017-03-28T19:14:00Z</dcterms:modified>
</cp:coreProperties>
</file>