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512547" w:rsidP="00202310">
            <w:pPr>
              <w:jc w:val="right"/>
            </w:pPr>
            <w:r w:rsidRPr="00512547">
              <w:rPr>
                <w:sz w:val="40"/>
              </w:rPr>
              <w:t>CCPR</w:t>
            </w:r>
            <w:r>
              <w:t>/C/11</w:t>
            </w:r>
            <w:r w:rsidR="00F819EC">
              <w:t>6</w:t>
            </w:r>
            <w:r>
              <w:t>/D/</w:t>
            </w:r>
            <w:r w:rsidR="00F819EC">
              <w:t>2084</w:t>
            </w:r>
            <w:r>
              <w:t>/201</w:t>
            </w:r>
            <w:r w:rsidR="00F819EC">
              <w:t>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287267" w:rsidP="00B6553F">
            <w:pPr>
              <w:spacing w:before="120"/>
            </w:pPr>
            <w:r>
              <w:rPr>
                <w:noProof/>
                <w:lang w:val="en-US"/>
              </w:rPr>
              <w:drawing>
                <wp:inline distT="0" distB="0" distL="0" distR="0" wp14:anchorId="1B229730" wp14:editId="190EDCC3">
                  <wp:extent cx="709295" cy="598170"/>
                  <wp:effectExtent l="0" t="0" r="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E04392" w:rsidRPr="00267F5F" w:rsidRDefault="00B56E9C" w:rsidP="00A35688">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1C05C2" w:rsidRPr="00463B9A" w:rsidRDefault="001C05C2" w:rsidP="001C05C2">
            <w:pPr>
              <w:spacing w:before="240" w:line="240" w:lineRule="exact"/>
            </w:pPr>
            <w:r w:rsidRPr="00463B9A">
              <w:t xml:space="preserve">Distr.: </w:t>
            </w:r>
            <w:r w:rsidR="00202310">
              <w:t>General</w:t>
            </w:r>
          </w:p>
          <w:p w:rsidR="001C05C2" w:rsidRPr="00463B9A" w:rsidRDefault="00F50C7E" w:rsidP="001C05C2">
            <w:pPr>
              <w:spacing w:line="240" w:lineRule="exact"/>
            </w:pPr>
            <w:r>
              <w:t>5</w:t>
            </w:r>
            <w:r w:rsidR="00130018">
              <w:t xml:space="preserve"> August</w:t>
            </w:r>
            <w:r w:rsidR="001C05C2">
              <w:t xml:space="preserve"> 2016</w:t>
            </w:r>
          </w:p>
          <w:p w:rsidR="001C05C2" w:rsidRPr="00463B9A" w:rsidRDefault="001C05C2" w:rsidP="001C05C2">
            <w:pPr>
              <w:spacing w:line="240" w:lineRule="exact"/>
            </w:pPr>
          </w:p>
          <w:p w:rsidR="001C05C2" w:rsidRPr="00463B9A" w:rsidRDefault="001C05C2" w:rsidP="001C05C2">
            <w:pPr>
              <w:spacing w:line="240" w:lineRule="exact"/>
            </w:pPr>
            <w:r w:rsidRPr="00463B9A">
              <w:t>Original: English</w:t>
            </w:r>
          </w:p>
          <w:p w:rsidR="00D721CC" w:rsidRDefault="00D721CC" w:rsidP="001C05C2">
            <w:pPr>
              <w:spacing w:line="240" w:lineRule="exact"/>
            </w:pPr>
          </w:p>
        </w:tc>
      </w:tr>
    </w:tbl>
    <w:p w:rsidR="00107CA1" w:rsidRPr="00107CA1" w:rsidRDefault="00107CA1" w:rsidP="00107CA1">
      <w:pPr>
        <w:spacing w:line="20" w:lineRule="exact"/>
        <w:rPr>
          <w:b/>
          <w:sz w:val="2"/>
          <w:szCs w:val="24"/>
        </w:rPr>
      </w:pPr>
    </w:p>
    <w:p w:rsidR="001C05C2" w:rsidRPr="00463B9A" w:rsidRDefault="001C05C2" w:rsidP="001C05C2">
      <w:pPr>
        <w:spacing w:before="120"/>
        <w:rPr>
          <w:b/>
          <w:sz w:val="24"/>
          <w:szCs w:val="24"/>
        </w:rPr>
      </w:pPr>
      <w:r w:rsidRPr="00463B9A">
        <w:rPr>
          <w:b/>
          <w:sz w:val="24"/>
          <w:szCs w:val="24"/>
        </w:rPr>
        <w:t>Human Rights Committee</w:t>
      </w:r>
    </w:p>
    <w:p w:rsidR="00512547" w:rsidRPr="008216A5" w:rsidRDefault="00512547" w:rsidP="00A22ACA">
      <w:pPr>
        <w:pStyle w:val="H1G"/>
      </w:pPr>
      <w:r>
        <w:tab/>
      </w:r>
      <w:r>
        <w:tab/>
      </w:r>
      <w:r w:rsidR="00E04392" w:rsidRPr="00E04392">
        <w:t xml:space="preserve">Decision adopted by the Committee </w:t>
      </w:r>
      <w:r w:rsidR="00E04392" w:rsidRPr="00A9209A">
        <w:t>under the Optional Protocol</w:t>
      </w:r>
      <w:r w:rsidR="00E04392" w:rsidRPr="00E04392">
        <w:t>, concerning communication No. 2</w:t>
      </w:r>
      <w:r w:rsidR="00E04392">
        <w:t>084</w:t>
      </w:r>
      <w:r w:rsidR="00E04392" w:rsidRPr="00E04392">
        <w:t>/201</w:t>
      </w:r>
      <w:r w:rsidR="00E04392">
        <w:t>1</w:t>
      </w:r>
      <w:r w:rsidR="00E04392" w:rsidRPr="00A22ACA">
        <w:rPr>
          <w:rStyle w:val="FootnoteReference"/>
          <w:b w:val="0"/>
          <w:bCs/>
          <w:sz w:val="20"/>
          <w:vertAlign w:val="baseline"/>
        </w:rPr>
        <w:footnoteReference w:customMarkFollows="1" w:id="2"/>
        <w:t>*</w:t>
      </w:r>
      <w:r w:rsidR="00C202D2" w:rsidRPr="00A22ACA">
        <w:rPr>
          <w:b w:val="0"/>
          <w:bCs/>
          <w:position w:val="4"/>
          <w:sz w:val="20"/>
        </w:rPr>
        <w:t>,</w:t>
      </w:r>
      <w:r w:rsidR="00E04392" w:rsidRPr="00A22ACA">
        <w:rPr>
          <w:b w:val="0"/>
          <w:bCs/>
          <w:sz w:val="20"/>
        </w:rPr>
        <w:t xml:space="preserve"> </w:t>
      </w:r>
      <w:r w:rsidR="00E04392" w:rsidRPr="00A22ACA">
        <w:rPr>
          <w:rStyle w:val="FootnoteReference"/>
          <w:b w:val="0"/>
          <w:bCs/>
          <w:sz w:val="20"/>
          <w:vertAlign w:val="baseline"/>
        </w:rPr>
        <w:footnoteReference w:customMarkFollows="1" w:id="3"/>
        <w:t>**</w:t>
      </w:r>
    </w:p>
    <w:p w:rsidR="00512547" w:rsidRPr="008216A5" w:rsidRDefault="00130018" w:rsidP="00A22ACA">
      <w:pPr>
        <w:pStyle w:val="SingleTxtG"/>
        <w:ind w:left="4536" w:hanging="3402"/>
        <w:jc w:val="left"/>
      </w:pPr>
      <w:r>
        <w:rPr>
          <w:i/>
        </w:rPr>
        <w:t>Communication s</w:t>
      </w:r>
      <w:r w:rsidR="00512547" w:rsidRPr="008216A5">
        <w:rPr>
          <w:i/>
        </w:rPr>
        <w:t>ubmitted by:</w:t>
      </w:r>
      <w:r w:rsidR="00512547" w:rsidRPr="008216A5">
        <w:tab/>
      </w:r>
      <w:r w:rsidR="006979F7" w:rsidRPr="00F819EC">
        <w:rPr>
          <w:lang w:val="en-US"/>
        </w:rPr>
        <w:t>V</w:t>
      </w:r>
      <w:r w:rsidR="006979F7">
        <w:rPr>
          <w:lang w:val="en-US"/>
        </w:rPr>
        <w:t>.</w:t>
      </w:r>
      <w:r w:rsidR="006979F7" w:rsidRPr="00F819EC">
        <w:rPr>
          <w:lang w:val="en-US"/>
        </w:rPr>
        <w:t>L</w:t>
      </w:r>
      <w:r w:rsidR="006979F7">
        <w:rPr>
          <w:lang w:val="en-US"/>
        </w:rPr>
        <w:t>.</w:t>
      </w:r>
      <w:r w:rsidR="006979F7" w:rsidRPr="00F819EC">
        <w:t xml:space="preserve"> </w:t>
      </w:r>
      <w:r w:rsidR="00512547">
        <w:t>(</w:t>
      </w:r>
      <w:r>
        <w:t xml:space="preserve">not </w:t>
      </w:r>
      <w:r w:rsidR="00512547" w:rsidRPr="008216A5">
        <w:t>represented</w:t>
      </w:r>
      <w:r>
        <w:t xml:space="preserve"> by counsel</w:t>
      </w:r>
      <w:r w:rsidR="00512547" w:rsidRPr="008216A5">
        <w:t>)</w:t>
      </w:r>
    </w:p>
    <w:p w:rsidR="00512547" w:rsidRPr="008216A5" w:rsidRDefault="00512547" w:rsidP="00A22ACA">
      <w:pPr>
        <w:pStyle w:val="SingleTxtG"/>
        <w:ind w:left="4536" w:hanging="3402"/>
        <w:jc w:val="left"/>
      </w:pPr>
      <w:r w:rsidRPr="008216A5">
        <w:rPr>
          <w:i/>
        </w:rPr>
        <w:t>Alleged victim:</w:t>
      </w:r>
      <w:r w:rsidRPr="008216A5">
        <w:tab/>
        <w:t>The author</w:t>
      </w:r>
    </w:p>
    <w:p w:rsidR="00512547" w:rsidRPr="008216A5" w:rsidRDefault="00512547" w:rsidP="00A22ACA">
      <w:pPr>
        <w:pStyle w:val="SingleTxtG"/>
        <w:ind w:left="4536" w:hanging="3402"/>
        <w:jc w:val="left"/>
      </w:pPr>
      <w:r w:rsidRPr="008216A5">
        <w:rPr>
          <w:i/>
        </w:rPr>
        <w:t>State party:</w:t>
      </w:r>
      <w:r w:rsidRPr="008216A5">
        <w:tab/>
        <w:t>Belarus</w:t>
      </w:r>
    </w:p>
    <w:p w:rsidR="00512547" w:rsidRPr="008216A5" w:rsidRDefault="00512547" w:rsidP="00A22ACA">
      <w:pPr>
        <w:pStyle w:val="SingleTxtG"/>
        <w:ind w:left="4536" w:hanging="3402"/>
        <w:jc w:val="left"/>
      </w:pPr>
      <w:r w:rsidRPr="008216A5">
        <w:rPr>
          <w:i/>
        </w:rPr>
        <w:t>Date of communication:</w:t>
      </w:r>
      <w:r w:rsidRPr="008216A5">
        <w:tab/>
      </w:r>
      <w:r w:rsidR="00F819EC">
        <w:t>3 November</w:t>
      </w:r>
      <w:r>
        <w:t xml:space="preserve"> 20</w:t>
      </w:r>
      <w:r w:rsidR="00F819EC">
        <w:t>1</w:t>
      </w:r>
      <w:r>
        <w:t>0 (initial submission</w:t>
      </w:r>
      <w:r w:rsidRPr="008216A5">
        <w:t>)</w:t>
      </w:r>
    </w:p>
    <w:p w:rsidR="00512547" w:rsidRPr="008216A5" w:rsidRDefault="00512547" w:rsidP="00A22ACA">
      <w:pPr>
        <w:pStyle w:val="SingleTxtG"/>
        <w:ind w:left="4536" w:hanging="3402"/>
        <w:jc w:val="left"/>
      </w:pPr>
      <w:r w:rsidRPr="008216A5">
        <w:rPr>
          <w:i/>
        </w:rPr>
        <w:t>Document references:</w:t>
      </w:r>
      <w:r w:rsidRPr="008216A5">
        <w:tab/>
      </w:r>
      <w:r w:rsidR="00E04392" w:rsidRPr="00686139">
        <w:t>Decision taken pursuant to</w:t>
      </w:r>
      <w:r w:rsidR="00E04392" w:rsidRPr="00463B9A">
        <w:t xml:space="preserve"> </w:t>
      </w:r>
      <w:r w:rsidR="00E04392" w:rsidRPr="00176E5E">
        <w:t>rule 97</w:t>
      </w:r>
      <w:r w:rsidR="00E04392" w:rsidRPr="00085509">
        <w:t xml:space="preserve"> </w:t>
      </w:r>
      <w:r w:rsidR="00E04392">
        <w:t>of the Committee’s rules of procedure</w:t>
      </w:r>
      <w:r w:rsidRPr="00510412">
        <w:t>, transmitted to the State party on 18 May 2010 (not issued in document form)</w:t>
      </w:r>
    </w:p>
    <w:p w:rsidR="001C05C2" w:rsidRDefault="00512547" w:rsidP="00A22ACA">
      <w:pPr>
        <w:pStyle w:val="SingleTxtG"/>
        <w:ind w:left="4536" w:hanging="3402"/>
        <w:jc w:val="left"/>
      </w:pPr>
      <w:r w:rsidRPr="008216A5">
        <w:rPr>
          <w:i/>
        </w:rPr>
        <w:t xml:space="preserve">Date of adoption of </w:t>
      </w:r>
      <w:r w:rsidR="00D770BB">
        <w:rPr>
          <w:i/>
        </w:rPr>
        <w:t>decision</w:t>
      </w:r>
      <w:r w:rsidRPr="008216A5">
        <w:rPr>
          <w:i/>
        </w:rPr>
        <w:t>:</w:t>
      </w:r>
      <w:r w:rsidRPr="008216A5">
        <w:tab/>
      </w:r>
      <w:r w:rsidR="00E04392">
        <w:t>30</w:t>
      </w:r>
      <w:r>
        <w:t xml:space="preserve"> </w:t>
      </w:r>
      <w:r w:rsidR="00F819EC">
        <w:t>March</w:t>
      </w:r>
      <w:r w:rsidRPr="00653886">
        <w:t xml:space="preserve"> 201</w:t>
      </w:r>
      <w:r w:rsidR="00F819EC">
        <w:t>6</w:t>
      </w:r>
    </w:p>
    <w:p w:rsidR="00784BD5" w:rsidRDefault="00784BD5" w:rsidP="00A22ACA">
      <w:pPr>
        <w:pStyle w:val="SingleTxtG"/>
        <w:ind w:left="4536" w:hanging="3402"/>
        <w:jc w:val="left"/>
      </w:pPr>
      <w:r w:rsidRPr="001C05C2">
        <w:rPr>
          <w:i/>
        </w:rPr>
        <w:t>Subject</w:t>
      </w:r>
      <w:r w:rsidRPr="008216A5">
        <w:rPr>
          <w:i/>
          <w:iCs/>
        </w:rPr>
        <w:t xml:space="preserve"> matter:</w:t>
      </w:r>
      <w:r w:rsidRPr="009E3C2B">
        <w:rPr>
          <w:i/>
          <w:iCs/>
        </w:rPr>
        <w:tab/>
      </w:r>
      <w:r>
        <w:rPr>
          <w:i/>
          <w:iCs/>
        </w:rPr>
        <w:tab/>
      </w:r>
      <w:r w:rsidRPr="00DA5D74">
        <w:rPr>
          <w:iCs/>
        </w:rPr>
        <w:t xml:space="preserve">Torture; </w:t>
      </w:r>
      <w:r>
        <w:rPr>
          <w:iCs/>
        </w:rPr>
        <w:t>right to liberty and security</w:t>
      </w:r>
      <w:r w:rsidRPr="00DA5D74">
        <w:rPr>
          <w:iCs/>
        </w:rPr>
        <w:t>; fair trial</w:t>
      </w:r>
      <w:r>
        <w:rPr>
          <w:iCs/>
        </w:rPr>
        <w:t xml:space="preserve">; right to an effective remedy </w:t>
      </w:r>
    </w:p>
    <w:p w:rsidR="00512547" w:rsidRPr="00D6794B" w:rsidRDefault="00512547" w:rsidP="00A22ACA">
      <w:pPr>
        <w:pStyle w:val="SingleTxtG"/>
        <w:ind w:left="4536" w:hanging="3402"/>
        <w:jc w:val="left"/>
      </w:pPr>
      <w:r w:rsidRPr="008216A5">
        <w:rPr>
          <w:i/>
          <w:iCs/>
        </w:rPr>
        <w:t>Procedural issue</w:t>
      </w:r>
      <w:r>
        <w:rPr>
          <w:i/>
          <w:iCs/>
        </w:rPr>
        <w:t>s</w:t>
      </w:r>
      <w:r w:rsidRPr="008216A5">
        <w:rPr>
          <w:i/>
          <w:iCs/>
        </w:rPr>
        <w:t xml:space="preserve">: </w:t>
      </w:r>
      <w:r w:rsidRPr="008216A5">
        <w:rPr>
          <w:i/>
          <w:iCs/>
        </w:rPr>
        <w:tab/>
      </w:r>
      <w:r w:rsidR="00AC0338">
        <w:rPr>
          <w:iCs/>
        </w:rPr>
        <w:t>E</w:t>
      </w:r>
      <w:r w:rsidR="00D6794B">
        <w:rPr>
          <w:iCs/>
        </w:rPr>
        <w:t>xhaustion of domestic remedies; insufficient substantiation of claims</w:t>
      </w:r>
    </w:p>
    <w:p w:rsidR="00512547" w:rsidRDefault="00512547" w:rsidP="00A22ACA">
      <w:pPr>
        <w:pStyle w:val="SingleTxtG"/>
        <w:ind w:left="4536" w:hanging="3402"/>
        <w:jc w:val="left"/>
      </w:pPr>
      <w:r w:rsidRPr="008216A5">
        <w:rPr>
          <w:i/>
          <w:iCs/>
        </w:rPr>
        <w:t xml:space="preserve">Substantive issues: </w:t>
      </w:r>
      <w:r w:rsidRPr="008216A5">
        <w:rPr>
          <w:i/>
          <w:iCs/>
        </w:rPr>
        <w:tab/>
      </w:r>
      <w:r w:rsidR="009F3727" w:rsidRPr="006F31B1">
        <w:rPr>
          <w:iCs/>
        </w:rPr>
        <w:t>Torture</w:t>
      </w:r>
      <w:r w:rsidR="00130018">
        <w:rPr>
          <w:iCs/>
        </w:rPr>
        <w:t>;</w:t>
      </w:r>
      <w:r w:rsidR="009F3727" w:rsidRPr="006F31B1">
        <w:rPr>
          <w:iCs/>
        </w:rPr>
        <w:t xml:space="preserve"> </w:t>
      </w:r>
      <w:r w:rsidR="009F3727">
        <w:t>a</w:t>
      </w:r>
      <w:r>
        <w:t xml:space="preserve">rbitrary </w:t>
      </w:r>
      <w:r w:rsidR="009F3727">
        <w:t>arrest</w:t>
      </w:r>
      <w:r w:rsidR="00130018">
        <w:t>;</w:t>
      </w:r>
      <w:r w:rsidR="009F3727">
        <w:t xml:space="preserve"> fair trial</w:t>
      </w:r>
    </w:p>
    <w:p w:rsidR="00512547" w:rsidRPr="008216A5" w:rsidRDefault="00512547" w:rsidP="00A22ACA">
      <w:pPr>
        <w:pStyle w:val="SingleTxtG"/>
        <w:ind w:left="4536" w:hanging="3402"/>
        <w:jc w:val="left"/>
      </w:pPr>
      <w:r w:rsidRPr="008216A5">
        <w:rPr>
          <w:i/>
          <w:iCs/>
        </w:rPr>
        <w:t>Article</w:t>
      </w:r>
      <w:r w:rsidR="00130018">
        <w:rPr>
          <w:i/>
          <w:iCs/>
        </w:rPr>
        <w:t>s</w:t>
      </w:r>
      <w:r w:rsidRPr="008216A5">
        <w:rPr>
          <w:i/>
          <w:iCs/>
        </w:rPr>
        <w:t xml:space="preserve"> of the Covenant:</w:t>
      </w:r>
      <w:r w:rsidRPr="008216A5">
        <w:t xml:space="preserve"> </w:t>
      </w:r>
      <w:r w:rsidRPr="008216A5">
        <w:tab/>
      </w:r>
      <w:r w:rsidR="00F819EC">
        <w:t xml:space="preserve">2, 7, </w:t>
      </w:r>
      <w:r>
        <w:t>9</w:t>
      </w:r>
      <w:r w:rsidR="00F819EC">
        <w:t xml:space="preserve"> and 14</w:t>
      </w:r>
    </w:p>
    <w:p w:rsidR="00512547" w:rsidRDefault="00512547" w:rsidP="00A22ACA">
      <w:pPr>
        <w:pStyle w:val="SingleTxtG"/>
        <w:ind w:left="4536" w:hanging="3402"/>
        <w:jc w:val="left"/>
      </w:pPr>
      <w:r w:rsidRPr="008216A5">
        <w:rPr>
          <w:i/>
          <w:iCs/>
        </w:rPr>
        <w:t>Article</w:t>
      </w:r>
      <w:r w:rsidR="00130018">
        <w:rPr>
          <w:i/>
          <w:iCs/>
        </w:rPr>
        <w:t>s</w:t>
      </w:r>
      <w:r w:rsidRPr="008216A5">
        <w:rPr>
          <w:i/>
          <w:iCs/>
        </w:rPr>
        <w:t xml:space="preserve"> of the Optional Protocol:</w:t>
      </w:r>
      <w:r w:rsidRPr="008216A5">
        <w:rPr>
          <w:i/>
          <w:iCs/>
        </w:rPr>
        <w:tab/>
      </w:r>
      <w:r w:rsidR="00510412">
        <w:rPr>
          <w:iCs/>
        </w:rPr>
        <w:t>2</w:t>
      </w:r>
    </w:p>
    <w:p w:rsidR="00784BD5" w:rsidRDefault="00784BD5">
      <w:pPr>
        <w:suppressAutoHyphens w:val="0"/>
        <w:spacing w:line="240" w:lineRule="auto"/>
      </w:pPr>
      <w:r>
        <w:br w:type="page"/>
      </w:r>
    </w:p>
    <w:p w:rsidR="00F819EC" w:rsidRDefault="00512547" w:rsidP="001C05C2">
      <w:pPr>
        <w:pStyle w:val="SingleTxtG"/>
        <w:rPr>
          <w:lang w:val="en-US"/>
        </w:rPr>
      </w:pPr>
      <w:r>
        <w:lastRenderedPageBreak/>
        <w:t>1.</w:t>
      </w:r>
      <w:r>
        <w:tab/>
      </w:r>
      <w:r w:rsidR="00F819EC" w:rsidRPr="00F819EC">
        <w:rPr>
          <w:lang w:val="en-US"/>
        </w:rPr>
        <w:t xml:space="preserve">The author of the communication is </w:t>
      </w:r>
      <w:r w:rsidR="00E04392" w:rsidRPr="00F819EC">
        <w:rPr>
          <w:lang w:val="en-US"/>
        </w:rPr>
        <w:t>V</w:t>
      </w:r>
      <w:r w:rsidR="00E04392">
        <w:rPr>
          <w:lang w:val="en-US"/>
        </w:rPr>
        <w:t>.</w:t>
      </w:r>
      <w:r w:rsidR="00E04392" w:rsidRPr="00F819EC">
        <w:rPr>
          <w:lang w:val="en-US"/>
        </w:rPr>
        <w:t>L</w:t>
      </w:r>
      <w:r w:rsidR="00E04392">
        <w:rPr>
          <w:lang w:val="en-US"/>
        </w:rPr>
        <w:t>.</w:t>
      </w:r>
      <w:r w:rsidR="00F819EC" w:rsidRPr="00F819EC">
        <w:rPr>
          <w:lang w:val="en-US"/>
        </w:rPr>
        <w:t xml:space="preserve">, a </w:t>
      </w:r>
      <w:r w:rsidR="00130018">
        <w:rPr>
          <w:lang w:val="en-US"/>
        </w:rPr>
        <w:t xml:space="preserve">national of </w:t>
      </w:r>
      <w:r w:rsidR="00F819EC" w:rsidRPr="00F819EC">
        <w:rPr>
          <w:lang w:val="en-US"/>
        </w:rPr>
        <w:t>Belarus born in 1985. He claims to be a victim of violations by Belarus of his rights under article</w:t>
      </w:r>
      <w:r w:rsidR="00130018">
        <w:rPr>
          <w:lang w:val="en-US"/>
        </w:rPr>
        <w:t>s</w:t>
      </w:r>
      <w:r w:rsidR="00F819EC" w:rsidRPr="00F819EC">
        <w:rPr>
          <w:lang w:val="en-US"/>
        </w:rPr>
        <w:t xml:space="preserve"> 2 </w:t>
      </w:r>
      <w:r w:rsidR="00130018">
        <w:rPr>
          <w:lang w:val="en-US"/>
        </w:rPr>
        <w:t>(</w:t>
      </w:r>
      <w:r w:rsidR="00F819EC" w:rsidRPr="00F819EC">
        <w:rPr>
          <w:lang w:val="en-US"/>
        </w:rPr>
        <w:t>3</w:t>
      </w:r>
      <w:r w:rsidR="00130018">
        <w:rPr>
          <w:lang w:val="en-US"/>
        </w:rPr>
        <w:t xml:space="preserve">) </w:t>
      </w:r>
      <w:r w:rsidR="00F819EC" w:rsidRPr="00F819EC">
        <w:rPr>
          <w:lang w:val="en-US"/>
        </w:rPr>
        <w:t>(a), 7, 9</w:t>
      </w:r>
      <w:r w:rsidR="00130018">
        <w:rPr>
          <w:lang w:val="en-US"/>
        </w:rPr>
        <w:t xml:space="preserve"> (</w:t>
      </w:r>
      <w:r w:rsidR="00F819EC" w:rsidRPr="00F819EC">
        <w:rPr>
          <w:lang w:val="en-US"/>
        </w:rPr>
        <w:t>1</w:t>
      </w:r>
      <w:r w:rsidR="00130018">
        <w:rPr>
          <w:lang w:val="en-US"/>
        </w:rPr>
        <w:t>)</w:t>
      </w:r>
      <w:r w:rsidR="00F819EC" w:rsidRPr="00F819EC">
        <w:rPr>
          <w:lang w:val="en-US"/>
        </w:rPr>
        <w:t xml:space="preserve"> and 14 </w:t>
      </w:r>
      <w:r w:rsidR="00130018">
        <w:rPr>
          <w:lang w:val="en-US"/>
        </w:rPr>
        <w:t>(</w:t>
      </w:r>
      <w:r w:rsidR="00F819EC" w:rsidRPr="00F819EC">
        <w:rPr>
          <w:lang w:val="en-US"/>
        </w:rPr>
        <w:t>1</w:t>
      </w:r>
      <w:r w:rsidR="00130018">
        <w:rPr>
          <w:lang w:val="en-US"/>
        </w:rPr>
        <w:t>)</w:t>
      </w:r>
      <w:r w:rsidR="00F819EC" w:rsidRPr="00F819EC">
        <w:rPr>
          <w:lang w:val="en-US"/>
        </w:rPr>
        <w:t xml:space="preserve"> of the Covenant. The Optional Protocol entered into force for </w:t>
      </w:r>
      <w:r w:rsidR="00130018">
        <w:rPr>
          <w:lang w:val="en-US"/>
        </w:rPr>
        <w:t>the State party</w:t>
      </w:r>
      <w:r w:rsidR="00130018" w:rsidRPr="00F819EC">
        <w:rPr>
          <w:lang w:val="en-US"/>
        </w:rPr>
        <w:t xml:space="preserve"> </w:t>
      </w:r>
      <w:r w:rsidR="00F819EC" w:rsidRPr="00F819EC">
        <w:rPr>
          <w:lang w:val="en-US"/>
        </w:rPr>
        <w:t>on 30 December 199</w:t>
      </w:r>
      <w:r w:rsidR="00D770BB">
        <w:rPr>
          <w:lang w:val="en-US"/>
        </w:rPr>
        <w:t xml:space="preserve">2. The author is </w:t>
      </w:r>
      <w:r w:rsidR="00130018">
        <w:rPr>
          <w:lang w:val="en-US"/>
        </w:rPr>
        <w:t xml:space="preserve">not </w:t>
      </w:r>
      <w:r w:rsidR="00D770BB">
        <w:rPr>
          <w:lang w:val="en-US"/>
        </w:rPr>
        <w:t>represented</w:t>
      </w:r>
      <w:r w:rsidR="00130018">
        <w:rPr>
          <w:lang w:val="en-US"/>
        </w:rPr>
        <w:t xml:space="preserve"> by counsel</w:t>
      </w:r>
      <w:r w:rsidR="00D770BB">
        <w:rPr>
          <w:lang w:val="en-US"/>
        </w:rPr>
        <w:t>.</w:t>
      </w:r>
    </w:p>
    <w:p w:rsidR="00512547" w:rsidRPr="008216A5" w:rsidRDefault="00512547" w:rsidP="001C05C2">
      <w:pPr>
        <w:pStyle w:val="H23G"/>
      </w:pPr>
      <w:r w:rsidRPr="008216A5">
        <w:tab/>
      </w:r>
      <w:r w:rsidRPr="008216A5">
        <w:tab/>
        <w:t xml:space="preserve">The facts as </w:t>
      </w:r>
      <w:r>
        <w:t>submitted</w:t>
      </w:r>
      <w:r w:rsidRPr="008216A5">
        <w:t xml:space="preserve"> </w:t>
      </w:r>
      <w:r w:rsidRPr="001C05C2">
        <w:t>by</w:t>
      </w:r>
      <w:r w:rsidRPr="008216A5">
        <w:t xml:space="preserve"> the author</w:t>
      </w:r>
    </w:p>
    <w:p w:rsidR="005671D3" w:rsidRPr="005671D3" w:rsidRDefault="005671D3" w:rsidP="00C202D2">
      <w:pPr>
        <w:pStyle w:val="SingleTxtG"/>
        <w:rPr>
          <w:lang w:val="en-US"/>
        </w:rPr>
      </w:pPr>
      <w:r w:rsidRPr="005671D3">
        <w:rPr>
          <w:lang w:val="en-US"/>
        </w:rPr>
        <w:t>2.1</w:t>
      </w:r>
      <w:r w:rsidRPr="005671D3">
        <w:rPr>
          <w:lang w:val="en-US"/>
        </w:rPr>
        <w:tab/>
      </w:r>
      <w:r w:rsidR="008D66F4">
        <w:rPr>
          <w:lang w:val="en-US"/>
        </w:rPr>
        <w:t xml:space="preserve">The author is a member of the European Belarus </w:t>
      </w:r>
      <w:r w:rsidR="00FC06B1">
        <w:rPr>
          <w:lang w:val="en-US"/>
        </w:rPr>
        <w:t xml:space="preserve">organization, </w:t>
      </w:r>
      <w:r w:rsidR="008D66F4">
        <w:rPr>
          <w:lang w:val="en-US"/>
        </w:rPr>
        <w:t xml:space="preserve">which supports the </w:t>
      </w:r>
      <w:r w:rsidR="008D66F4" w:rsidRPr="0023111D">
        <w:rPr>
          <w:lang w:val="en-US"/>
        </w:rPr>
        <w:t>opposition</w:t>
      </w:r>
      <w:r w:rsidR="008D66F4">
        <w:rPr>
          <w:lang w:val="en-US"/>
        </w:rPr>
        <w:t xml:space="preserve">. </w:t>
      </w:r>
      <w:r w:rsidRPr="005671D3">
        <w:rPr>
          <w:lang w:val="en-US"/>
        </w:rPr>
        <w:t xml:space="preserve">On 27 November 2009, the author was approached </w:t>
      </w:r>
      <w:r w:rsidR="008D66F4">
        <w:rPr>
          <w:lang w:val="en-US"/>
        </w:rPr>
        <w:t xml:space="preserve">in the street </w:t>
      </w:r>
      <w:r w:rsidRPr="005671D3">
        <w:rPr>
          <w:lang w:val="en-US"/>
        </w:rPr>
        <w:t xml:space="preserve">by two police officers </w:t>
      </w:r>
      <w:r>
        <w:rPr>
          <w:lang w:val="en-US"/>
        </w:rPr>
        <w:t>who</w:t>
      </w:r>
      <w:r w:rsidRPr="005671D3">
        <w:rPr>
          <w:lang w:val="en-US"/>
        </w:rPr>
        <w:t xml:space="preserve"> </w:t>
      </w:r>
      <w:r>
        <w:rPr>
          <w:lang w:val="en-US"/>
        </w:rPr>
        <w:t>requested his</w:t>
      </w:r>
      <w:r w:rsidRPr="005671D3">
        <w:rPr>
          <w:lang w:val="en-US"/>
        </w:rPr>
        <w:t xml:space="preserve"> identification documents. </w:t>
      </w:r>
      <w:r>
        <w:rPr>
          <w:lang w:val="en-US"/>
        </w:rPr>
        <w:t>They</w:t>
      </w:r>
      <w:r w:rsidRPr="005671D3">
        <w:rPr>
          <w:lang w:val="en-US"/>
        </w:rPr>
        <w:t xml:space="preserve"> took </w:t>
      </w:r>
      <w:r>
        <w:rPr>
          <w:lang w:val="en-US"/>
        </w:rPr>
        <w:t>his</w:t>
      </w:r>
      <w:r w:rsidRPr="005671D3">
        <w:rPr>
          <w:lang w:val="en-US"/>
        </w:rPr>
        <w:t xml:space="preserve"> passport and two mobile phones. The author was subsequently </w:t>
      </w:r>
      <w:r w:rsidR="00C202D2">
        <w:rPr>
          <w:lang w:val="en-US"/>
        </w:rPr>
        <w:t xml:space="preserve">put </w:t>
      </w:r>
      <w:r w:rsidR="00F34ECE">
        <w:rPr>
          <w:lang w:val="en-US"/>
        </w:rPr>
        <w:t>in</w:t>
      </w:r>
      <w:r w:rsidR="008D66F4">
        <w:rPr>
          <w:lang w:val="en-US"/>
        </w:rPr>
        <w:t xml:space="preserve">to </w:t>
      </w:r>
      <w:r w:rsidRPr="005671D3">
        <w:rPr>
          <w:lang w:val="en-US"/>
        </w:rPr>
        <w:t>a minivan</w:t>
      </w:r>
      <w:r>
        <w:rPr>
          <w:lang w:val="en-US"/>
        </w:rPr>
        <w:t xml:space="preserve"> </w:t>
      </w:r>
      <w:r w:rsidR="00F34ECE">
        <w:rPr>
          <w:lang w:val="en-US"/>
        </w:rPr>
        <w:t>with no license plates</w:t>
      </w:r>
      <w:r w:rsidR="00FC06B1">
        <w:rPr>
          <w:lang w:val="en-US"/>
        </w:rPr>
        <w:t>,</w:t>
      </w:r>
      <w:r w:rsidR="00F34ECE">
        <w:rPr>
          <w:lang w:val="en-US"/>
        </w:rPr>
        <w:t xml:space="preserve"> where he was</w:t>
      </w:r>
      <w:r>
        <w:rPr>
          <w:lang w:val="en-US"/>
        </w:rPr>
        <w:t xml:space="preserve"> subjected to a search</w:t>
      </w:r>
      <w:r w:rsidRPr="005671D3">
        <w:rPr>
          <w:lang w:val="en-US"/>
        </w:rPr>
        <w:t xml:space="preserve">. Additional personal items were </w:t>
      </w:r>
      <w:r w:rsidR="0018476F">
        <w:rPr>
          <w:lang w:val="en-US"/>
        </w:rPr>
        <w:t>taken from him</w:t>
      </w:r>
      <w:r w:rsidRPr="005671D3">
        <w:rPr>
          <w:lang w:val="en-US"/>
        </w:rPr>
        <w:t>, including a flash drive</w:t>
      </w:r>
      <w:r>
        <w:rPr>
          <w:lang w:val="en-US"/>
        </w:rPr>
        <w:t xml:space="preserve"> and </w:t>
      </w:r>
      <w:r w:rsidR="00F34ECE">
        <w:rPr>
          <w:lang w:val="en-US"/>
        </w:rPr>
        <w:t>a</w:t>
      </w:r>
      <w:r w:rsidRPr="005671D3">
        <w:rPr>
          <w:lang w:val="en-US"/>
        </w:rPr>
        <w:t xml:space="preserve"> flag of </w:t>
      </w:r>
      <w:r w:rsidR="0018476F">
        <w:rPr>
          <w:lang w:val="en-US"/>
        </w:rPr>
        <w:t xml:space="preserve">the </w:t>
      </w:r>
      <w:r w:rsidRPr="00C16068">
        <w:rPr>
          <w:lang w:val="en-US"/>
        </w:rPr>
        <w:t>Belarus</w:t>
      </w:r>
      <w:r w:rsidR="00C16068">
        <w:rPr>
          <w:lang w:val="en-US"/>
        </w:rPr>
        <w:t>ian</w:t>
      </w:r>
      <w:r w:rsidRPr="00C16068">
        <w:rPr>
          <w:lang w:val="en-US"/>
        </w:rPr>
        <w:t xml:space="preserve"> People’s Republic</w:t>
      </w:r>
      <w:r w:rsidRPr="005671D3">
        <w:rPr>
          <w:lang w:val="en-US"/>
        </w:rPr>
        <w:t xml:space="preserve">. </w:t>
      </w:r>
      <w:r w:rsidR="00A26112">
        <w:rPr>
          <w:lang w:val="en-US"/>
        </w:rPr>
        <w:t xml:space="preserve">The officers ignored </w:t>
      </w:r>
      <w:r w:rsidR="00FC06B1">
        <w:rPr>
          <w:lang w:val="en-US"/>
        </w:rPr>
        <w:t xml:space="preserve">the author’s </w:t>
      </w:r>
      <w:r w:rsidR="00A26112">
        <w:rPr>
          <w:lang w:val="en-US"/>
        </w:rPr>
        <w:t xml:space="preserve">requests to identify themselves and inform </w:t>
      </w:r>
      <w:r w:rsidR="00FD4571">
        <w:rPr>
          <w:lang w:val="en-US"/>
        </w:rPr>
        <w:t xml:space="preserve">him </w:t>
      </w:r>
      <w:r w:rsidR="00FC06B1">
        <w:rPr>
          <w:lang w:val="en-US"/>
        </w:rPr>
        <w:t xml:space="preserve">of </w:t>
      </w:r>
      <w:r w:rsidR="00A26112">
        <w:rPr>
          <w:lang w:val="en-US"/>
        </w:rPr>
        <w:t xml:space="preserve">the reason </w:t>
      </w:r>
      <w:r w:rsidR="00FC06B1">
        <w:rPr>
          <w:lang w:val="en-US"/>
        </w:rPr>
        <w:t>for</w:t>
      </w:r>
      <w:r w:rsidR="00A26112">
        <w:rPr>
          <w:lang w:val="en-US"/>
        </w:rPr>
        <w:t xml:space="preserve"> his apprehension. </w:t>
      </w:r>
    </w:p>
    <w:p w:rsidR="005671D3" w:rsidRPr="005671D3" w:rsidRDefault="001C05C2" w:rsidP="001C05C2">
      <w:pPr>
        <w:pStyle w:val="SingleTxtG"/>
        <w:rPr>
          <w:lang w:val="en-US"/>
        </w:rPr>
      </w:pPr>
      <w:r>
        <w:rPr>
          <w:lang w:val="en-US"/>
        </w:rPr>
        <w:t>2.2</w:t>
      </w:r>
      <w:r w:rsidR="005671D3" w:rsidRPr="005671D3">
        <w:rPr>
          <w:lang w:val="en-US"/>
        </w:rPr>
        <w:tab/>
        <w:t xml:space="preserve">The author was handcuffed and his hat was </w:t>
      </w:r>
      <w:r w:rsidR="00FC06B1">
        <w:rPr>
          <w:lang w:val="en-US"/>
        </w:rPr>
        <w:t>used to cover</w:t>
      </w:r>
      <w:r w:rsidR="005671D3" w:rsidRPr="005671D3">
        <w:rPr>
          <w:lang w:val="en-US"/>
        </w:rPr>
        <w:t xml:space="preserve"> his eyes. </w:t>
      </w:r>
      <w:r w:rsidR="00340A77">
        <w:rPr>
          <w:lang w:val="en-US"/>
        </w:rPr>
        <w:t xml:space="preserve">He was </w:t>
      </w:r>
      <w:r w:rsidR="005671D3" w:rsidRPr="005671D3">
        <w:rPr>
          <w:lang w:val="en-US"/>
        </w:rPr>
        <w:t>driven in an unknown direction for about 30 minutes</w:t>
      </w:r>
      <w:r w:rsidR="00340A77">
        <w:rPr>
          <w:lang w:val="en-US"/>
        </w:rPr>
        <w:t xml:space="preserve"> and then </w:t>
      </w:r>
      <w:r w:rsidR="005671D3" w:rsidRPr="005671D3">
        <w:rPr>
          <w:lang w:val="en-US"/>
        </w:rPr>
        <w:t xml:space="preserve">released in an unknown location. </w:t>
      </w:r>
      <w:r w:rsidR="0052395D">
        <w:rPr>
          <w:lang w:val="en-US"/>
        </w:rPr>
        <w:t>One of the abductors, not in uniform, told him that he w</w:t>
      </w:r>
      <w:r w:rsidR="00FC06B1">
        <w:rPr>
          <w:lang w:val="en-US"/>
        </w:rPr>
        <w:t>as being</w:t>
      </w:r>
      <w:r w:rsidR="0052395D">
        <w:rPr>
          <w:lang w:val="en-US"/>
        </w:rPr>
        <w:t xml:space="preserve"> warned, and </w:t>
      </w:r>
      <w:r w:rsidR="00FC06B1">
        <w:rPr>
          <w:lang w:val="en-US"/>
        </w:rPr>
        <w:t xml:space="preserve">also told him </w:t>
      </w:r>
      <w:r w:rsidR="0052395D">
        <w:rPr>
          <w:lang w:val="en-US"/>
        </w:rPr>
        <w:t>to think about the future</w:t>
      </w:r>
      <w:r w:rsidR="00FC06B1">
        <w:rPr>
          <w:lang w:val="en-US"/>
        </w:rPr>
        <w:t>,</w:t>
      </w:r>
      <w:r w:rsidR="0052395D">
        <w:rPr>
          <w:lang w:val="en-US"/>
        </w:rPr>
        <w:t xml:space="preserve"> as his wife and children would not be happy with </w:t>
      </w:r>
      <w:r w:rsidR="00FA66AB">
        <w:rPr>
          <w:lang w:val="en-US"/>
        </w:rPr>
        <w:t>him as a</w:t>
      </w:r>
      <w:r w:rsidR="0052395D">
        <w:rPr>
          <w:lang w:val="en-US"/>
        </w:rPr>
        <w:t xml:space="preserve"> revolutionary</w:t>
      </w:r>
      <w:r w:rsidR="00FA66AB">
        <w:rPr>
          <w:lang w:val="en-US"/>
        </w:rPr>
        <w:t>,</w:t>
      </w:r>
      <w:r w:rsidR="0052395D">
        <w:rPr>
          <w:lang w:val="en-US"/>
        </w:rPr>
        <w:t xml:space="preserve"> but </w:t>
      </w:r>
      <w:r w:rsidR="00FA66AB">
        <w:rPr>
          <w:lang w:val="en-US"/>
        </w:rPr>
        <w:t xml:space="preserve">rather </w:t>
      </w:r>
      <w:r w:rsidR="0052395D">
        <w:rPr>
          <w:lang w:val="en-US"/>
        </w:rPr>
        <w:t>with hi</w:t>
      </w:r>
      <w:r w:rsidR="00FA66AB">
        <w:rPr>
          <w:lang w:val="en-US"/>
        </w:rPr>
        <w:t>m earning a</w:t>
      </w:r>
      <w:r w:rsidR="0052395D">
        <w:rPr>
          <w:lang w:val="en-US"/>
        </w:rPr>
        <w:t xml:space="preserve"> good salary. </w:t>
      </w:r>
      <w:r w:rsidR="005671D3" w:rsidRPr="005671D3">
        <w:rPr>
          <w:lang w:val="en-US"/>
        </w:rPr>
        <w:t>The author found himself to be about 25 kilomet</w:t>
      </w:r>
      <w:r w:rsidR="00FA66AB">
        <w:rPr>
          <w:lang w:val="en-US"/>
        </w:rPr>
        <w:t>r</w:t>
      </w:r>
      <w:r w:rsidR="005671D3" w:rsidRPr="005671D3">
        <w:rPr>
          <w:lang w:val="en-US"/>
        </w:rPr>
        <w:t xml:space="preserve">es from Minsk. </w:t>
      </w:r>
      <w:r w:rsidR="00340A77">
        <w:rPr>
          <w:lang w:val="en-US"/>
        </w:rPr>
        <w:t xml:space="preserve">He </w:t>
      </w:r>
      <w:r w:rsidR="005671D3" w:rsidRPr="005671D3">
        <w:rPr>
          <w:lang w:val="en-US"/>
        </w:rPr>
        <w:t xml:space="preserve">claims he feared for his life during the </w:t>
      </w:r>
      <w:r w:rsidR="00E11B6F">
        <w:rPr>
          <w:lang w:val="en-US"/>
        </w:rPr>
        <w:t>drive</w:t>
      </w:r>
      <w:r>
        <w:rPr>
          <w:lang w:val="en-US"/>
        </w:rPr>
        <w:t>.</w:t>
      </w:r>
    </w:p>
    <w:p w:rsidR="005671D3" w:rsidRPr="005671D3" w:rsidRDefault="001C05C2" w:rsidP="005671D3">
      <w:pPr>
        <w:pStyle w:val="SingleTxtG"/>
        <w:rPr>
          <w:lang w:val="en-US"/>
        </w:rPr>
      </w:pPr>
      <w:r>
        <w:rPr>
          <w:lang w:val="en-US"/>
        </w:rPr>
        <w:t>2.3</w:t>
      </w:r>
      <w:r w:rsidR="005671D3" w:rsidRPr="005671D3">
        <w:rPr>
          <w:lang w:val="en-US"/>
        </w:rPr>
        <w:tab/>
        <w:t xml:space="preserve">On 3 December 2009, the author submitted </w:t>
      </w:r>
      <w:r w:rsidR="00340A77" w:rsidRPr="005671D3">
        <w:rPr>
          <w:lang w:val="en-US"/>
        </w:rPr>
        <w:t xml:space="preserve">to the prosecutor’s office of the Central </w:t>
      </w:r>
      <w:r w:rsidR="00FA66AB">
        <w:rPr>
          <w:lang w:val="en-US"/>
        </w:rPr>
        <w:t>D</w:t>
      </w:r>
      <w:r w:rsidR="00340A77" w:rsidRPr="005671D3">
        <w:rPr>
          <w:lang w:val="en-US"/>
        </w:rPr>
        <w:t xml:space="preserve">istrict of Minsk </w:t>
      </w:r>
      <w:r w:rsidR="005671D3" w:rsidRPr="005671D3">
        <w:rPr>
          <w:lang w:val="en-US"/>
        </w:rPr>
        <w:t xml:space="preserve">a request to </w:t>
      </w:r>
      <w:r w:rsidR="00340A77">
        <w:rPr>
          <w:lang w:val="en-US"/>
        </w:rPr>
        <w:t>open</w:t>
      </w:r>
      <w:r w:rsidR="005671D3" w:rsidRPr="005671D3">
        <w:rPr>
          <w:lang w:val="en-US"/>
        </w:rPr>
        <w:t xml:space="preserve"> a criminal investigation regarding his </w:t>
      </w:r>
      <w:r w:rsidR="0000263A">
        <w:rPr>
          <w:lang w:val="en-US"/>
        </w:rPr>
        <w:t>abduction</w:t>
      </w:r>
      <w:r w:rsidR="005671D3" w:rsidRPr="005671D3">
        <w:rPr>
          <w:lang w:val="en-US"/>
        </w:rPr>
        <w:t xml:space="preserve">. </w:t>
      </w:r>
      <w:r w:rsidR="0000263A">
        <w:rPr>
          <w:lang w:val="en-US"/>
        </w:rPr>
        <w:t>His claim</w:t>
      </w:r>
      <w:r w:rsidR="005671D3" w:rsidRPr="005671D3">
        <w:rPr>
          <w:lang w:val="en-US"/>
        </w:rPr>
        <w:t xml:space="preserve"> was forwarded to the prosecutor’s office of the Soviet </w:t>
      </w:r>
      <w:r w:rsidR="00FA66AB">
        <w:rPr>
          <w:lang w:val="en-US"/>
        </w:rPr>
        <w:t>D</w:t>
      </w:r>
      <w:r w:rsidR="005671D3" w:rsidRPr="005671D3">
        <w:rPr>
          <w:lang w:val="en-US"/>
        </w:rPr>
        <w:t xml:space="preserve">istrict of Minsk. </w:t>
      </w:r>
    </w:p>
    <w:p w:rsidR="005671D3" w:rsidRPr="005671D3" w:rsidRDefault="005671D3" w:rsidP="00FB2DB5">
      <w:pPr>
        <w:pStyle w:val="SingleTxtG"/>
        <w:rPr>
          <w:lang w:val="en-US"/>
        </w:rPr>
      </w:pPr>
      <w:r w:rsidRPr="005671D3">
        <w:rPr>
          <w:lang w:val="en-US"/>
        </w:rPr>
        <w:t>2.4</w:t>
      </w:r>
      <w:r w:rsidRPr="005671D3">
        <w:rPr>
          <w:lang w:val="en-US"/>
        </w:rPr>
        <w:tab/>
      </w:r>
      <w:r w:rsidR="0000263A">
        <w:rPr>
          <w:lang w:val="en-US"/>
        </w:rPr>
        <w:t>O</w:t>
      </w:r>
      <w:r w:rsidRPr="005671D3">
        <w:rPr>
          <w:lang w:val="en-US"/>
        </w:rPr>
        <w:t xml:space="preserve">n 29 December 2009, the author filed a complaint with the Prosecutor General’s office and </w:t>
      </w:r>
      <w:r w:rsidR="00FA66AB">
        <w:rPr>
          <w:lang w:val="en-US"/>
        </w:rPr>
        <w:t xml:space="preserve">the </w:t>
      </w:r>
      <w:r w:rsidRPr="005671D3">
        <w:rPr>
          <w:lang w:val="en-US"/>
        </w:rPr>
        <w:t xml:space="preserve">Minsk city prosecutor’s office, </w:t>
      </w:r>
      <w:r w:rsidR="0000263A">
        <w:rPr>
          <w:lang w:val="en-US"/>
        </w:rPr>
        <w:t>claiming</w:t>
      </w:r>
      <w:r w:rsidRPr="005671D3">
        <w:rPr>
          <w:lang w:val="en-US"/>
        </w:rPr>
        <w:t xml:space="preserve"> inaction by the district prosecutor’s office. </w:t>
      </w:r>
      <w:r w:rsidR="00A11A86">
        <w:rPr>
          <w:lang w:val="en-US"/>
        </w:rPr>
        <w:t xml:space="preserve">He submitted that he </w:t>
      </w:r>
      <w:r w:rsidR="00FA66AB">
        <w:rPr>
          <w:lang w:val="en-US"/>
        </w:rPr>
        <w:t>had been</w:t>
      </w:r>
      <w:r w:rsidR="00A11A86">
        <w:rPr>
          <w:lang w:val="en-US"/>
        </w:rPr>
        <w:t xml:space="preserve"> called for questioning only once and </w:t>
      </w:r>
      <w:r w:rsidR="00FA66AB">
        <w:rPr>
          <w:lang w:val="en-US"/>
        </w:rPr>
        <w:t>had, for the</w:t>
      </w:r>
      <w:r w:rsidR="00A11A86">
        <w:rPr>
          <w:lang w:val="en-US"/>
        </w:rPr>
        <w:t xml:space="preserve"> most</w:t>
      </w:r>
      <w:r w:rsidR="00FA66AB">
        <w:rPr>
          <w:lang w:val="en-US"/>
        </w:rPr>
        <w:t xml:space="preserve"> part, been</w:t>
      </w:r>
      <w:r w:rsidR="00A11A86">
        <w:rPr>
          <w:lang w:val="en-US"/>
        </w:rPr>
        <w:t xml:space="preserve"> questioned </w:t>
      </w:r>
      <w:r w:rsidR="00FA66AB">
        <w:rPr>
          <w:lang w:val="en-US"/>
        </w:rPr>
        <w:t>about</w:t>
      </w:r>
      <w:r w:rsidR="00A11A86">
        <w:rPr>
          <w:lang w:val="en-US"/>
        </w:rPr>
        <w:t xml:space="preserve"> his political activity and </w:t>
      </w:r>
      <w:r w:rsidR="0000263A">
        <w:rPr>
          <w:lang w:val="en-US"/>
        </w:rPr>
        <w:t xml:space="preserve">affiliation </w:t>
      </w:r>
      <w:r w:rsidR="00A11A86">
        <w:rPr>
          <w:lang w:val="en-US"/>
        </w:rPr>
        <w:t>rather than</w:t>
      </w:r>
      <w:r w:rsidR="00FA66AB">
        <w:rPr>
          <w:lang w:val="en-US"/>
        </w:rPr>
        <w:t xml:space="preserve"> about</w:t>
      </w:r>
      <w:r w:rsidR="00A11A86">
        <w:rPr>
          <w:lang w:val="en-US"/>
        </w:rPr>
        <w:t xml:space="preserve"> his </w:t>
      </w:r>
      <w:r w:rsidR="0000263A">
        <w:rPr>
          <w:lang w:val="en-US"/>
        </w:rPr>
        <w:t>abduction</w:t>
      </w:r>
      <w:r w:rsidR="00A11A86">
        <w:rPr>
          <w:lang w:val="en-US"/>
        </w:rPr>
        <w:t xml:space="preserve">. Despite </w:t>
      </w:r>
      <w:r w:rsidR="0000263A">
        <w:rPr>
          <w:lang w:val="en-US"/>
        </w:rPr>
        <w:t>his</w:t>
      </w:r>
      <w:r w:rsidR="00FA66AB">
        <w:rPr>
          <w:lang w:val="en-US"/>
        </w:rPr>
        <w:t xml:space="preserve"> provision of</w:t>
      </w:r>
      <w:r w:rsidR="0000263A">
        <w:rPr>
          <w:lang w:val="en-US"/>
        </w:rPr>
        <w:t xml:space="preserve"> </w:t>
      </w:r>
      <w:r w:rsidR="00E11B6F">
        <w:rPr>
          <w:lang w:val="en-US"/>
        </w:rPr>
        <w:t xml:space="preserve">descriptions of </w:t>
      </w:r>
      <w:r w:rsidR="0000263A">
        <w:rPr>
          <w:lang w:val="en-US"/>
        </w:rPr>
        <w:t>the abductors</w:t>
      </w:r>
      <w:r w:rsidR="00A11A86">
        <w:rPr>
          <w:lang w:val="en-US"/>
        </w:rPr>
        <w:t xml:space="preserve">, no investigative steps </w:t>
      </w:r>
      <w:r w:rsidR="009E66F7">
        <w:rPr>
          <w:lang w:val="en-US"/>
        </w:rPr>
        <w:t>were</w:t>
      </w:r>
      <w:r w:rsidR="00E11B6F">
        <w:rPr>
          <w:lang w:val="en-US"/>
        </w:rPr>
        <w:t xml:space="preserve"> </w:t>
      </w:r>
      <w:r w:rsidR="00A11A86">
        <w:rPr>
          <w:lang w:val="en-US"/>
        </w:rPr>
        <w:t xml:space="preserve">taken to </w:t>
      </w:r>
      <w:r w:rsidR="0000263A">
        <w:rPr>
          <w:lang w:val="en-US"/>
        </w:rPr>
        <w:t>compile</w:t>
      </w:r>
      <w:r w:rsidR="003D4541">
        <w:rPr>
          <w:lang w:val="en-US"/>
        </w:rPr>
        <w:t xml:space="preserve"> composite images of the suspects</w:t>
      </w:r>
      <w:r w:rsidR="0000263A">
        <w:rPr>
          <w:lang w:val="en-US"/>
        </w:rPr>
        <w:t>. He was not</w:t>
      </w:r>
      <w:r w:rsidR="004E2DEE">
        <w:rPr>
          <w:lang w:val="en-US"/>
        </w:rPr>
        <w:t xml:space="preserve"> </w:t>
      </w:r>
      <w:r w:rsidR="009E66F7">
        <w:rPr>
          <w:lang w:val="en-US"/>
        </w:rPr>
        <w:t>show</w:t>
      </w:r>
      <w:r w:rsidR="0000263A">
        <w:rPr>
          <w:lang w:val="en-US"/>
        </w:rPr>
        <w:t xml:space="preserve">n </w:t>
      </w:r>
      <w:r w:rsidR="003D4541">
        <w:rPr>
          <w:lang w:val="en-US"/>
        </w:rPr>
        <w:t xml:space="preserve">photographs of the </w:t>
      </w:r>
      <w:r w:rsidR="0000263A">
        <w:rPr>
          <w:lang w:val="en-US"/>
        </w:rPr>
        <w:t xml:space="preserve">Soviet </w:t>
      </w:r>
      <w:r w:rsidR="003D4541">
        <w:rPr>
          <w:lang w:val="en-US"/>
        </w:rPr>
        <w:t>D</w:t>
      </w:r>
      <w:r w:rsidR="0000263A">
        <w:rPr>
          <w:lang w:val="en-US"/>
        </w:rPr>
        <w:t>istrict police</w:t>
      </w:r>
      <w:r w:rsidR="00E11B6F">
        <w:rPr>
          <w:lang w:val="en-US"/>
        </w:rPr>
        <w:t xml:space="preserve"> officers </w:t>
      </w:r>
      <w:r w:rsidR="004E2DEE">
        <w:rPr>
          <w:lang w:val="en-US"/>
        </w:rPr>
        <w:t>for</w:t>
      </w:r>
      <w:r w:rsidR="00E11B6F">
        <w:rPr>
          <w:lang w:val="en-US"/>
        </w:rPr>
        <w:t xml:space="preserve"> possible</w:t>
      </w:r>
      <w:r w:rsidR="004E2DEE">
        <w:rPr>
          <w:lang w:val="en-US"/>
        </w:rPr>
        <w:t xml:space="preserve"> identification</w:t>
      </w:r>
      <w:r w:rsidR="002327A0">
        <w:rPr>
          <w:lang w:val="en-US"/>
        </w:rPr>
        <w:t xml:space="preserve"> of the abductors</w:t>
      </w:r>
      <w:r w:rsidR="004E2DEE">
        <w:rPr>
          <w:lang w:val="en-US"/>
        </w:rPr>
        <w:t xml:space="preserve">. </w:t>
      </w:r>
    </w:p>
    <w:p w:rsidR="005671D3" w:rsidRPr="005671D3" w:rsidRDefault="005671D3" w:rsidP="001C05C2">
      <w:pPr>
        <w:pStyle w:val="SingleTxtG"/>
        <w:rPr>
          <w:lang w:val="en-US"/>
        </w:rPr>
      </w:pPr>
      <w:r w:rsidRPr="005671D3">
        <w:rPr>
          <w:lang w:val="en-US"/>
        </w:rPr>
        <w:t>2.5</w:t>
      </w:r>
      <w:r w:rsidRPr="005671D3">
        <w:rPr>
          <w:lang w:val="en-US"/>
        </w:rPr>
        <w:tab/>
        <w:t xml:space="preserve">On 11 January 2010, the </w:t>
      </w:r>
      <w:r w:rsidRPr="001C05C2">
        <w:t>Prosecutor</w:t>
      </w:r>
      <w:r w:rsidRPr="005671D3">
        <w:rPr>
          <w:lang w:val="en-US"/>
        </w:rPr>
        <w:t xml:space="preserve"> General’s office informed the author that his complaint </w:t>
      </w:r>
      <w:r w:rsidR="003D4541">
        <w:rPr>
          <w:lang w:val="en-US"/>
        </w:rPr>
        <w:t>had been</w:t>
      </w:r>
      <w:r w:rsidRPr="005671D3">
        <w:rPr>
          <w:lang w:val="en-US"/>
        </w:rPr>
        <w:t xml:space="preserve"> sent to </w:t>
      </w:r>
      <w:r w:rsidR="00FD4571">
        <w:rPr>
          <w:lang w:val="en-US"/>
        </w:rPr>
        <w:t xml:space="preserve">the </w:t>
      </w:r>
      <w:r w:rsidRPr="005671D3">
        <w:rPr>
          <w:lang w:val="en-US"/>
        </w:rPr>
        <w:t xml:space="preserve">Minsk city prosecutor’s office, which, in turn, sent it to the Soviet </w:t>
      </w:r>
      <w:r w:rsidR="003D4541">
        <w:rPr>
          <w:lang w:val="en-US"/>
        </w:rPr>
        <w:t>D</w:t>
      </w:r>
      <w:r w:rsidRPr="005671D3">
        <w:rPr>
          <w:lang w:val="en-US"/>
        </w:rPr>
        <w:t xml:space="preserve">istrict prosecutor’s office. </w:t>
      </w:r>
    </w:p>
    <w:p w:rsidR="002327A0" w:rsidRDefault="005671D3" w:rsidP="005671D3">
      <w:pPr>
        <w:pStyle w:val="SingleTxtG"/>
        <w:rPr>
          <w:lang w:val="en-US"/>
        </w:rPr>
      </w:pPr>
      <w:r w:rsidRPr="005671D3">
        <w:rPr>
          <w:lang w:val="en-US"/>
        </w:rPr>
        <w:t>2.6</w:t>
      </w:r>
      <w:r w:rsidRPr="005671D3">
        <w:rPr>
          <w:lang w:val="en-US"/>
        </w:rPr>
        <w:tab/>
        <w:t>On 18 February 2010, the author received the</w:t>
      </w:r>
      <w:r w:rsidR="003D4541">
        <w:rPr>
          <w:lang w:val="en-US"/>
        </w:rPr>
        <w:t xml:space="preserve"> decision of the</w:t>
      </w:r>
      <w:r w:rsidRPr="005671D3">
        <w:rPr>
          <w:lang w:val="en-US"/>
        </w:rPr>
        <w:t xml:space="preserve"> Soviet </w:t>
      </w:r>
      <w:r w:rsidR="003D4541">
        <w:rPr>
          <w:lang w:val="en-US"/>
        </w:rPr>
        <w:t>D</w:t>
      </w:r>
      <w:r w:rsidRPr="005671D3">
        <w:rPr>
          <w:lang w:val="en-US"/>
        </w:rPr>
        <w:t xml:space="preserve">istrict prosecutor, </w:t>
      </w:r>
      <w:r w:rsidR="003D4541">
        <w:rPr>
          <w:lang w:val="en-US"/>
        </w:rPr>
        <w:t xml:space="preserve">by which the prosecutor </w:t>
      </w:r>
      <w:r w:rsidRPr="005671D3">
        <w:rPr>
          <w:lang w:val="en-US"/>
        </w:rPr>
        <w:t>refus</w:t>
      </w:r>
      <w:r w:rsidR="003D4541">
        <w:rPr>
          <w:lang w:val="en-US"/>
        </w:rPr>
        <w:t>ed</w:t>
      </w:r>
      <w:r w:rsidRPr="005671D3">
        <w:rPr>
          <w:lang w:val="en-US"/>
        </w:rPr>
        <w:t xml:space="preserve"> to </w:t>
      </w:r>
      <w:r w:rsidR="002327A0">
        <w:rPr>
          <w:lang w:val="en-US"/>
        </w:rPr>
        <w:t>open</w:t>
      </w:r>
      <w:r w:rsidRPr="005671D3">
        <w:rPr>
          <w:lang w:val="en-US"/>
        </w:rPr>
        <w:t xml:space="preserve"> a criminal investigation</w:t>
      </w:r>
      <w:r w:rsidR="0001348D">
        <w:rPr>
          <w:lang w:val="en-US"/>
        </w:rPr>
        <w:t xml:space="preserve">, after having </w:t>
      </w:r>
      <w:r w:rsidR="00E11B6F">
        <w:rPr>
          <w:lang w:val="en-US"/>
        </w:rPr>
        <w:t>reviewed the author’s claims. Within the scope of th</w:t>
      </w:r>
      <w:r w:rsidR="003D4541">
        <w:rPr>
          <w:lang w:val="en-US"/>
        </w:rPr>
        <w:t>e</w:t>
      </w:r>
      <w:r w:rsidR="00E11B6F">
        <w:rPr>
          <w:lang w:val="en-US"/>
        </w:rPr>
        <w:t xml:space="preserve"> review, the author himself </w:t>
      </w:r>
      <w:r w:rsidR="003D4541">
        <w:rPr>
          <w:lang w:val="en-US"/>
        </w:rPr>
        <w:t xml:space="preserve">had been </w:t>
      </w:r>
      <w:r w:rsidR="00E11B6F">
        <w:rPr>
          <w:lang w:val="en-US"/>
        </w:rPr>
        <w:t xml:space="preserve">questioned along with several other potential witnesses; </w:t>
      </w:r>
      <w:r w:rsidR="003D4541">
        <w:rPr>
          <w:lang w:val="en-US"/>
        </w:rPr>
        <w:t xml:space="preserve">a </w:t>
      </w:r>
      <w:r w:rsidR="00E11B6F">
        <w:rPr>
          <w:lang w:val="en-US"/>
        </w:rPr>
        <w:t xml:space="preserve">video recording from a nearby shop and a printout of the author’s phone calls </w:t>
      </w:r>
      <w:r w:rsidR="003D4541">
        <w:rPr>
          <w:lang w:val="en-US"/>
        </w:rPr>
        <w:t xml:space="preserve">had </w:t>
      </w:r>
      <w:r w:rsidR="00E11B6F">
        <w:rPr>
          <w:lang w:val="en-US"/>
        </w:rPr>
        <w:t xml:space="preserve">also </w:t>
      </w:r>
      <w:r w:rsidR="003D4541">
        <w:rPr>
          <w:lang w:val="en-US"/>
        </w:rPr>
        <w:t xml:space="preserve">been </w:t>
      </w:r>
      <w:r w:rsidR="00E11B6F">
        <w:rPr>
          <w:lang w:val="en-US"/>
        </w:rPr>
        <w:t xml:space="preserve">reviewed. </w:t>
      </w:r>
    </w:p>
    <w:p w:rsidR="005671D3" w:rsidRPr="005671D3" w:rsidRDefault="002327A0" w:rsidP="005671D3">
      <w:pPr>
        <w:pStyle w:val="SingleTxtG"/>
        <w:rPr>
          <w:lang w:val="en-US"/>
        </w:rPr>
      </w:pPr>
      <w:r>
        <w:rPr>
          <w:lang w:val="en-US"/>
        </w:rPr>
        <w:t>2.7</w:t>
      </w:r>
      <w:r>
        <w:rPr>
          <w:lang w:val="en-US"/>
        </w:rPr>
        <w:tab/>
      </w:r>
      <w:r w:rsidR="005671D3" w:rsidRPr="005671D3">
        <w:rPr>
          <w:lang w:val="en-US"/>
        </w:rPr>
        <w:t>On 3 March 2010, the author appealed th</w:t>
      </w:r>
      <w:r>
        <w:rPr>
          <w:lang w:val="en-US"/>
        </w:rPr>
        <w:t>e</w:t>
      </w:r>
      <w:r w:rsidR="003D4541">
        <w:rPr>
          <w:lang w:val="en-US"/>
        </w:rPr>
        <w:t xml:space="preserve"> decision of the</w:t>
      </w:r>
      <w:r>
        <w:rPr>
          <w:lang w:val="en-US"/>
        </w:rPr>
        <w:t xml:space="preserve"> Soviet </w:t>
      </w:r>
      <w:r w:rsidR="003D4541">
        <w:rPr>
          <w:lang w:val="en-US"/>
        </w:rPr>
        <w:t>D</w:t>
      </w:r>
      <w:r>
        <w:rPr>
          <w:lang w:val="en-US"/>
        </w:rPr>
        <w:t>istrict prosecutor to</w:t>
      </w:r>
      <w:r w:rsidR="005671D3" w:rsidRPr="005671D3">
        <w:rPr>
          <w:lang w:val="en-US"/>
        </w:rPr>
        <w:t xml:space="preserve"> the Soviet </w:t>
      </w:r>
      <w:r w:rsidR="003D4541">
        <w:rPr>
          <w:lang w:val="en-US"/>
        </w:rPr>
        <w:t>D</w:t>
      </w:r>
      <w:r w:rsidR="005671D3" w:rsidRPr="005671D3">
        <w:rPr>
          <w:lang w:val="en-US"/>
        </w:rPr>
        <w:t xml:space="preserve">istrict court. </w:t>
      </w:r>
      <w:r w:rsidR="00FD4571" w:rsidRPr="005671D3">
        <w:rPr>
          <w:lang w:val="en-US"/>
        </w:rPr>
        <w:t xml:space="preserve">On 1 April 2010, the court rejected </w:t>
      </w:r>
      <w:r w:rsidR="00FD4571">
        <w:rPr>
          <w:lang w:val="en-US"/>
        </w:rPr>
        <w:t>hi</w:t>
      </w:r>
      <w:r w:rsidR="00FD4571" w:rsidRPr="005671D3">
        <w:rPr>
          <w:lang w:val="en-US"/>
        </w:rPr>
        <w:t xml:space="preserve">s </w:t>
      </w:r>
      <w:r w:rsidR="00FD4571">
        <w:rPr>
          <w:lang w:val="en-US"/>
        </w:rPr>
        <w:t>appeal</w:t>
      </w:r>
      <w:r w:rsidR="00E11B6F">
        <w:rPr>
          <w:lang w:val="en-US"/>
        </w:rPr>
        <w:t xml:space="preserve"> on the ground that there was no credible evidence that </w:t>
      </w:r>
      <w:r w:rsidR="0001348D">
        <w:rPr>
          <w:lang w:val="en-US"/>
        </w:rPr>
        <w:t xml:space="preserve">a </w:t>
      </w:r>
      <w:r w:rsidR="00E11B6F">
        <w:rPr>
          <w:lang w:val="en-US"/>
        </w:rPr>
        <w:t xml:space="preserve">crime </w:t>
      </w:r>
      <w:r w:rsidR="00303CAF">
        <w:rPr>
          <w:lang w:val="en-US"/>
        </w:rPr>
        <w:t>had been</w:t>
      </w:r>
      <w:r w:rsidR="00E11B6F">
        <w:rPr>
          <w:lang w:val="en-US"/>
        </w:rPr>
        <w:t xml:space="preserve"> committed</w:t>
      </w:r>
      <w:r w:rsidR="00303CAF">
        <w:rPr>
          <w:lang w:val="en-US"/>
        </w:rPr>
        <w:t>,</w:t>
      </w:r>
      <w:r w:rsidR="009E66F7">
        <w:rPr>
          <w:lang w:val="en-US"/>
        </w:rPr>
        <w:t xml:space="preserve"> referring to the findings of the prosecutor’s office</w:t>
      </w:r>
      <w:r w:rsidR="00FD4571" w:rsidRPr="005671D3">
        <w:rPr>
          <w:lang w:val="en-US"/>
        </w:rPr>
        <w:t>.</w:t>
      </w:r>
    </w:p>
    <w:p w:rsidR="005671D3" w:rsidRPr="005671D3" w:rsidRDefault="005671D3" w:rsidP="00D24446">
      <w:pPr>
        <w:pStyle w:val="SingleTxtG"/>
        <w:rPr>
          <w:lang w:val="en-US"/>
        </w:rPr>
      </w:pPr>
      <w:r w:rsidRPr="005671D3">
        <w:rPr>
          <w:lang w:val="en-US"/>
        </w:rPr>
        <w:t>2.</w:t>
      </w:r>
      <w:r w:rsidR="001B07C6">
        <w:rPr>
          <w:lang w:val="en-US"/>
        </w:rPr>
        <w:t>8</w:t>
      </w:r>
      <w:r w:rsidRPr="005671D3">
        <w:rPr>
          <w:lang w:val="en-US"/>
        </w:rPr>
        <w:tab/>
        <w:t>On 9 June 2010, the author filed a supervisory appeal</w:t>
      </w:r>
      <w:r w:rsidR="00303CAF">
        <w:rPr>
          <w:lang w:val="en-US"/>
        </w:rPr>
        <w:t>,</w:t>
      </w:r>
      <w:r w:rsidRPr="005671D3">
        <w:rPr>
          <w:lang w:val="en-US"/>
        </w:rPr>
        <w:t xml:space="preserve"> </w:t>
      </w:r>
      <w:r w:rsidR="00FD4571">
        <w:rPr>
          <w:lang w:val="en-US"/>
        </w:rPr>
        <w:t>under the supervisory review procedure</w:t>
      </w:r>
      <w:r w:rsidR="00303CAF">
        <w:rPr>
          <w:lang w:val="en-US"/>
        </w:rPr>
        <w:t>,</w:t>
      </w:r>
      <w:r w:rsidR="00FD4571">
        <w:rPr>
          <w:lang w:val="en-US"/>
        </w:rPr>
        <w:t xml:space="preserve"> </w:t>
      </w:r>
      <w:r w:rsidRPr="005671D3">
        <w:rPr>
          <w:lang w:val="en-US"/>
        </w:rPr>
        <w:t xml:space="preserve">with </w:t>
      </w:r>
      <w:r w:rsidR="00FD4571">
        <w:rPr>
          <w:lang w:val="en-US"/>
        </w:rPr>
        <w:t xml:space="preserve">the </w:t>
      </w:r>
      <w:r w:rsidR="00DA194C">
        <w:rPr>
          <w:lang w:val="en-US"/>
        </w:rPr>
        <w:t>Minsk city court</w:t>
      </w:r>
      <w:r w:rsidR="00303CAF">
        <w:rPr>
          <w:lang w:val="en-US"/>
        </w:rPr>
        <w:t>,</w:t>
      </w:r>
      <w:r w:rsidR="00DA194C">
        <w:rPr>
          <w:lang w:val="en-US"/>
        </w:rPr>
        <w:t xml:space="preserve"> which was rejected on</w:t>
      </w:r>
      <w:r w:rsidRPr="005671D3">
        <w:rPr>
          <w:lang w:val="en-US"/>
        </w:rPr>
        <w:t xml:space="preserve"> 22 September 2010</w:t>
      </w:r>
      <w:r w:rsidR="009E66F7">
        <w:rPr>
          <w:lang w:val="en-US"/>
        </w:rPr>
        <w:t xml:space="preserve"> on the ground of lack of credible evidence</w:t>
      </w:r>
      <w:r w:rsidR="00DA194C">
        <w:rPr>
          <w:lang w:val="en-US"/>
        </w:rPr>
        <w:t xml:space="preserve">. </w:t>
      </w:r>
    </w:p>
    <w:p w:rsidR="00512547" w:rsidRPr="00D2276A" w:rsidRDefault="00512547" w:rsidP="00512547">
      <w:pPr>
        <w:pStyle w:val="H23G"/>
      </w:pPr>
      <w:r>
        <w:tab/>
      </w:r>
      <w:r>
        <w:tab/>
      </w:r>
      <w:r w:rsidRPr="00D2276A">
        <w:t>The complaint</w:t>
      </w:r>
    </w:p>
    <w:p w:rsidR="00870AD1" w:rsidRDefault="00870AD1" w:rsidP="00870AD1">
      <w:pPr>
        <w:pStyle w:val="SingleTxtG"/>
        <w:rPr>
          <w:lang w:val="en-US"/>
        </w:rPr>
      </w:pPr>
      <w:r w:rsidRPr="00870AD1">
        <w:rPr>
          <w:lang w:val="en-US"/>
        </w:rPr>
        <w:t>3.1</w:t>
      </w:r>
      <w:r w:rsidRPr="00870AD1">
        <w:rPr>
          <w:lang w:val="en-US"/>
        </w:rPr>
        <w:tab/>
        <w:t xml:space="preserve">The author claims </w:t>
      </w:r>
      <w:r>
        <w:rPr>
          <w:lang w:val="en-US"/>
        </w:rPr>
        <w:t xml:space="preserve">to be a victim of violations by Belarus of his rights under articles </w:t>
      </w:r>
      <w:r w:rsidR="00A11A86">
        <w:rPr>
          <w:lang w:val="en-US"/>
        </w:rPr>
        <w:t xml:space="preserve">2 (3) (a), </w:t>
      </w:r>
      <w:r>
        <w:rPr>
          <w:lang w:val="en-US"/>
        </w:rPr>
        <w:t xml:space="preserve">7, 9 (1) and 14 (1) of the Covenant. </w:t>
      </w:r>
    </w:p>
    <w:p w:rsidR="00870AD1" w:rsidRPr="00870AD1" w:rsidRDefault="00870AD1" w:rsidP="00870AD1">
      <w:pPr>
        <w:pStyle w:val="SingleTxtG"/>
        <w:rPr>
          <w:lang w:val="en-US"/>
        </w:rPr>
      </w:pPr>
      <w:r w:rsidRPr="00870AD1">
        <w:rPr>
          <w:lang w:val="en-US"/>
        </w:rPr>
        <w:lastRenderedPageBreak/>
        <w:t>3.2</w:t>
      </w:r>
      <w:r w:rsidRPr="00870AD1">
        <w:rPr>
          <w:lang w:val="en-US"/>
        </w:rPr>
        <w:tab/>
      </w:r>
      <w:r w:rsidR="00406C80">
        <w:rPr>
          <w:lang w:val="en-US"/>
        </w:rPr>
        <w:t>The author</w:t>
      </w:r>
      <w:r>
        <w:rPr>
          <w:lang w:val="en-US"/>
        </w:rPr>
        <w:t xml:space="preserve"> </w:t>
      </w:r>
      <w:r w:rsidRPr="00870AD1">
        <w:rPr>
          <w:lang w:val="en-US"/>
        </w:rPr>
        <w:t xml:space="preserve">claims that </w:t>
      </w:r>
      <w:r>
        <w:rPr>
          <w:lang w:val="en-US"/>
        </w:rPr>
        <w:t xml:space="preserve">his </w:t>
      </w:r>
      <w:r w:rsidR="002327A0">
        <w:rPr>
          <w:lang w:val="en-US"/>
        </w:rPr>
        <w:t xml:space="preserve">abduction </w:t>
      </w:r>
      <w:r>
        <w:rPr>
          <w:lang w:val="en-US"/>
        </w:rPr>
        <w:t>by the police officer</w:t>
      </w:r>
      <w:r w:rsidR="00704A0E">
        <w:rPr>
          <w:lang w:val="en-US"/>
        </w:rPr>
        <w:t>s</w:t>
      </w:r>
      <w:r>
        <w:rPr>
          <w:lang w:val="en-US"/>
        </w:rPr>
        <w:t xml:space="preserve"> amounts to torture</w:t>
      </w:r>
      <w:r w:rsidR="00303CAF">
        <w:rPr>
          <w:lang w:val="en-US"/>
        </w:rPr>
        <w:t>,</w:t>
      </w:r>
      <w:r>
        <w:rPr>
          <w:lang w:val="en-US"/>
        </w:rPr>
        <w:t xml:space="preserve"> in violation of article 7</w:t>
      </w:r>
      <w:r w:rsidR="000000B6">
        <w:rPr>
          <w:lang w:val="en-US"/>
        </w:rPr>
        <w:t xml:space="preserve"> of the Covenant</w:t>
      </w:r>
      <w:r w:rsidR="00303CAF">
        <w:rPr>
          <w:lang w:val="en-US"/>
        </w:rPr>
        <w:t>,</w:t>
      </w:r>
      <w:r w:rsidR="00457835">
        <w:rPr>
          <w:lang w:val="en-US"/>
        </w:rPr>
        <w:t xml:space="preserve"> and </w:t>
      </w:r>
      <w:r w:rsidR="002327A0">
        <w:rPr>
          <w:lang w:val="en-US"/>
        </w:rPr>
        <w:t xml:space="preserve">constitutes </w:t>
      </w:r>
      <w:r>
        <w:rPr>
          <w:lang w:val="en-US"/>
        </w:rPr>
        <w:t>an arbitrary arrest</w:t>
      </w:r>
      <w:r w:rsidR="00303CAF">
        <w:rPr>
          <w:lang w:val="en-US"/>
        </w:rPr>
        <w:t>,</w:t>
      </w:r>
      <w:r>
        <w:rPr>
          <w:lang w:val="en-US"/>
        </w:rPr>
        <w:t xml:space="preserve"> in violation of </w:t>
      </w:r>
      <w:r w:rsidRPr="00870AD1">
        <w:rPr>
          <w:lang w:val="en-US"/>
        </w:rPr>
        <w:t>article 9</w:t>
      </w:r>
      <w:r w:rsidR="00457835">
        <w:rPr>
          <w:lang w:val="en-US"/>
        </w:rPr>
        <w:t xml:space="preserve"> (1)</w:t>
      </w:r>
      <w:r>
        <w:rPr>
          <w:lang w:val="en-US"/>
        </w:rPr>
        <w:t xml:space="preserve"> </w:t>
      </w:r>
      <w:r w:rsidR="00457835">
        <w:rPr>
          <w:lang w:val="en-US"/>
        </w:rPr>
        <w:t>of the Covenant.</w:t>
      </w:r>
    </w:p>
    <w:p w:rsidR="00870AD1" w:rsidRPr="00870AD1" w:rsidRDefault="00870AD1" w:rsidP="00870AD1">
      <w:pPr>
        <w:pStyle w:val="SingleTxtG"/>
        <w:rPr>
          <w:lang w:val="en-US"/>
        </w:rPr>
      </w:pPr>
      <w:r w:rsidRPr="00870AD1">
        <w:rPr>
          <w:lang w:val="en-US"/>
        </w:rPr>
        <w:t>3.3</w:t>
      </w:r>
      <w:r w:rsidRPr="00870AD1">
        <w:rPr>
          <w:lang w:val="en-US"/>
        </w:rPr>
        <w:tab/>
        <w:t xml:space="preserve">The author </w:t>
      </w:r>
      <w:r>
        <w:rPr>
          <w:lang w:val="en-US"/>
        </w:rPr>
        <w:t xml:space="preserve">contends </w:t>
      </w:r>
      <w:r w:rsidRPr="00870AD1">
        <w:rPr>
          <w:lang w:val="en-US"/>
        </w:rPr>
        <w:t xml:space="preserve">that </w:t>
      </w:r>
      <w:r>
        <w:rPr>
          <w:lang w:val="en-US"/>
        </w:rPr>
        <w:t xml:space="preserve">the </w:t>
      </w:r>
      <w:r w:rsidRPr="00870AD1">
        <w:rPr>
          <w:lang w:val="en-US"/>
        </w:rPr>
        <w:t xml:space="preserve">prosecutor’s office and </w:t>
      </w:r>
      <w:r>
        <w:rPr>
          <w:lang w:val="en-US"/>
        </w:rPr>
        <w:t xml:space="preserve">the </w:t>
      </w:r>
      <w:r w:rsidRPr="00870AD1">
        <w:rPr>
          <w:lang w:val="en-US"/>
        </w:rPr>
        <w:t xml:space="preserve">courts </w:t>
      </w:r>
      <w:r w:rsidR="00075CD5">
        <w:rPr>
          <w:lang w:val="en-US"/>
        </w:rPr>
        <w:t xml:space="preserve">respectively </w:t>
      </w:r>
      <w:r w:rsidRPr="00870AD1">
        <w:rPr>
          <w:lang w:val="en-US"/>
        </w:rPr>
        <w:t xml:space="preserve">failed to investigate </w:t>
      </w:r>
      <w:r w:rsidR="00075CD5">
        <w:rPr>
          <w:lang w:val="en-US"/>
        </w:rPr>
        <w:t xml:space="preserve">thoroughly </w:t>
      </w:r>
      <w:r w:rsidRPr="00870AD1">
        <w:rPr>
          <w:lang w:val="en-US"/>
        </w:rPr>
        <w:t xml:space="preserve">his </w:t>
      </w:r>
      <w:r w:rsidR="002327A0">
        <w:rPr>
          <w:lang w:val="en-US"/>
        </w:rPr>
        <w:t>abduction</w:t>
      </w:r>
      <w:r w:rsidR="00075CD5" w:rsidRPr="00075CD5">
        <w:rPr>
          <w:lang w:val="en-US"/>
        </w:rPr>
        <w:t xml:space="preserve"> </w:t>
      </w:r>
      <w:r w:rsidR="00075CD5">
        <w:rPr>
          <w:lang w:val="en-US"/>
        </w:rPr>
        <w:t>and to review his claims in th</w:t>
      </w:r>
      <w:r w:rsidR="000000B6">
        <w:rPr>
          <w:lang w:val="en-US"/>
        </w:rPr>
        <w:t>at</w:t>
      </w:r>
      <w:r w:rsidR="00075CD5">
        <w:rPr>
          <w:lang w:val="en-US"/>
        </w:rPr>
        <w:t xml:space="preserve"> connection</w:t>
      </w:r>
      <w:r w:rsidR="002327A0">
        <w:rPr>
          <w:lang w:val="en-US"/>
        </w:rPr>
        <w:t xml:space="preserve">. According to </w:t>
      </w:r>
      <w:r w:rsidR="00E81283">
        <w:rPr>
          <w:lang w:val="en-US"/>
        </w:rPr>
        <w:t>the author</w:t>
      </w:r>
      <w:r w:rsidR="002327A0">
        <w:rPr>
          <w:lang w:val="en-US"/>
        </w:rPr>
        <w:t>,</w:t>
      </w:r>
      <w:r w:rsidR="006D701C">
        <w:rPr>
          <w:lang w:val="en-US"/>
        </w:rPr>
        <w:t xml:space="preserve"> </w:t>
      </w:r>
      <w:r w:rsidR="00704A0E">
        <w:rPr>
          <w:lang w:val="en-US"/>
        </w:rPr>
        <w:t xml:space="preserve">the </w:t>
      </w:r>
      <w:r w:rsidR="00E81283">
        <w:rPr>
          <w:lang w:val="en-US"/>
        </w:rPr>
        <w:t>refusal to</w:t>
      </w:r>
      <w:r w:rsidR="00704A0E">
        <w:rPr>
          <w:lang w:val="en-US"/>
        </w:rPr>
        <w:t xml:space="preserve"> open a criminal investigation and the </w:t>
      </w:r>
      <w:r w:rsidR="00075CD5">
        <w:rPr>
          <w:lang w:val="en-US"/>
        </w:rPr>
        <w:t xml:space="preserve">subsequent </w:t>
      </w:r>
      <w:r w:rsidR="00704A0E">
        <w:rPr>
          <w:lang w:val="en-US"/>
        </w:rPr>
        <w:t xml:space="preserve">rejection of his claims by </w:t>
      </w:r>
      <w:r w:rsidR="00457835">
        <w:rPr>
          <w:lang w:val="en-US"/>
        </w:rPr>
        <w:t xml:space="preserve">the </w:t>
      </w:r>
      <w:r w:rsidR="00704A0E">
        <w:rPr>
          <w:lang w:val="en-US"/>
        </w:rPr>
        <w:t xml:space="preserve">courts are </w:t>
      </w:r>
      <w:r w:rsidR="001C05C2">
        <w:rPr>
          <w:lang w:val="en-US"/>
        </w:rPr>
        <w:t>in violation of article 14 (1).</w:t>
      </w:r>
    </w:p>
    <w:p w:rsidR="00512547" w:rsidRPr="008216A5" w:rsidRDefault="00512547" w:rsidP="00512547">
      <w:pPr>
        <w:pStyle w:val="H23G"/>
      </w:pPr>
      <w:r w:rsidRPr="008216A5">
        <w:tab/>
      </w:r>
      <w:r w:rsidRPr="008216A5">
        <w:tab/>
        <w:t>State party</w:t>
      </w:r>
      <w:r>
        <w:t>’s</w:t>
      </w:r>
      <w:r w:rsidRPr="008216A5">
        <w:t xml:space="preserve"> observations </w:t>
      </w:r>
      <w:r w:rsidR="002E2A8B">
        <w:t xml:space="preserve">on admissibility </w:t>
      </w:r>
    </w:p>
    <w:p w:rsidR="00512547" w:rsidRDefault="00512547" w:rsidP="00FB2DB5">
      <w:pPr>
        <w:pStyle w:val="SingleTxtG"/>
      </w:pPr>
      <w:r>
        <w:rPr>
          <w:lang w:val="en-US"/>
        </w:rPr>
        <w:t>4.1</w:t>
      </w:r>
      <w:r w:rsidRPr="008216A5">
        <w:rPr>
          <w:lang w:val="en-US"/>
        </w:rPr>
        <w:tab/>
      </w:r>
      <w:r w:rsidR="0091309E">
        <w:rPr>
          <w:lang w:val="en-US"/>
        </w:rPr>
        <w:t>In a</w:t>
      </w:r>
      <w:r w:rsidR="00DA194C">
        <w:rPr>
          <w:lang w:val="en-US"/>
        </w:rPr>
        <w:t xml:space="preserve"> note verbale </w:t>
      </w:r>
      <w:r w:rsidR="0091309E">
        <w:rPr>
          <w:lang w:val="en-US"/>
        </w:rPr>
        <w:t>dated</w:t>
      </w:r>
      <w:r>
        <w:t xml:space="preserve"> </w:t>
      </w:r>
      <w:r w:rsidR="00DA194C">
        <w:t>27 September 2011</w:t>
      </w:r>
      <w:r>
        <w:t xml:space="preserve">, the State party submitted, inter alia, that </w:t>
      </w:r>
      <w:r w:rsidR="00DA194C">
        <w:t xml:space="preserve">there </w:t>
      </w:r>
      <w:r w:rsidR="00E81283">
        <w:t>we</w:t>
      </w:r>
      <w:r w:rsidR="00DA194C">
        <w:t xml:space="preserve">re no </w:t>
      </w:r>
      <w:r>
        <w:t xml:space="preserve">legal grounds for </w:t>
      </w:r>
      <w:r w:rsidR="00DA194C">
        <w:t xml:space="preserve">the </w:t>
      </w:r>
      <w:r>
        <w:t xml:space="preserve">consideration of </w:t>
      </w:r>
      <w:r w:rsidR="00E81283">
        <w:t>the</w:t>
      </w:r>
      <w:r>
        <w:t xml:space="preserve"> communication</w:t>
      </w:r>
      <w:r w:rsidR="00DA194C">
        <w:t xml:space="preserve"> </w:t>
      </w:r>
      <w:r w:rsidR="00E81283">
        <w:t>of V.L., either</w:t>
      </w:r>
      <w:r w:rsidR="00DA194C">
        <w:t xml:space="preserve"> on the admissibility </w:t>
      </w:r>
      <w:r w:rsidR="00E81283">
        <w:t>or</w:t>
      </w:r>
      <w:r w:rsidR="00DA194C">
        <w:t xml:space="preserve"> the merits</w:t>
      </w:r>
      <w:r>
        <w:t xml:space="preserve">. It </w:t>
      </w:r>
      <w:r w:rsidR="00DA194C">
        <w:t>further informed</w:t>
      </w:r>
      <w:r w:rsidR="00E81283">
        <w:t xml:space="preserve"> the Committee</w:t>
      </w:r>
      <w:r w:rsidR="00DA194C">
        <w:t xml:space="preserve"> that the author </w:t>
      </w:r>
      <w:r w:rsidR="0091309E">
        <w:t>had</w:t>
      </w:r>
      <w:r w:rsidR="00DA194C">
        <w:t xml:space="preserve"> not exhaust</w:t>
      </w:r>
      <w:r w:rsidR="0091309E">
        <w:t>ed</w:t>
      </w:r>
      <w:r w:rsidR="00DA194C">
        <w:t xml:space="preserve"> all available domestic remedies</w:t>
      </w:r>
      <w:r w:rsidR="0091309E">
        <w:t>;</w:t>
      </w:r>
      <w:r w:rsidR="00DA194C">
        <w:t xml:space="preserve"> in particular</w:t>
      </w:r>
      <w:r w:rsidR="0091309E">
        <w:t>,</w:t>
      </w:r>
      <w:r w:rsidR="00DA194C">
        <w:t xml:space="preserve"> he </w:t>
      </w:r>
      <w:r w:rsidR="0091309E">
        <w:t>had</w:t>
      </w:r>
      <w:r w:rsidR="00DA194C">
        <w:t xml:space="preserve"> not appeal</w:t>
      </w:r>
      <w:r w:rsidR="0091309E">
        <w:t>ed,</w:t>
      </w:r>
      <w:r w:rsidR="00DA194C">
        <w:t xml:space="preserve"> in Minsk and/or </w:t>
      </w:r>
      <w:r w:rsidR="0091309E">
        <w:t xml:space="preserve">before </w:t>
      </w:r>
      <w:r w:rsidR="00DA194C">
        <w:t>the Prosecutor</w:t>
      </w:r>
      <w:r w:rsidR="0091309E">
        <w:t xml:space="preserve"> General’s</w:t>
      </w:r>
      <w:r w:rsidR="00DA194C">
        <w:t xml:space="preserve"> office</w:t>
      </w:r>
      <w:r w:rsidR="0091309E">
        <w:t>,</w:t>
      </w:r>
      <w:r w:rsidR="00DA194C">
        <w:t xml:space="preserve"> </w:t>
      </w:r>
      <w:r w:rsidR="0091309E">
        <w:t>the</w:t>
      </w:r>
      <w:r w:rsidR="00DA194C">
        <w:t xml:space="preserve"> denial by the Sov</w:t>
      </w:r>
      <w:r w:rsidR="0091309E">
        <w:t>iet</w:t>
      </w:r>
      <w:r w:rsidR="00DA194C">
        <w:t xml:space="preserve"> District </w:t>
      </w:r>
      <w:r w:rsidR="0091309E">
        <w:t>p</w:t>
      </w:r>
      <w:r w:rsidR="00DA194C">
        <w:t xml:space="preserve">rosecutor’s office </w:t>
      </w:r>
      <w:r w:rsidR="0091309E">
        <w:t>of the request to</w:t>
      </w:r>
      <w:r w:rsidR="00DA194C">
        <w:t xml:space="preserve"> institute criminal proceedings </w:t>
      </w:r>
      <w:r w:rsidR="0091309E">
        <w:t xml:space="preserve">on the </w:t>
      </w:r>
      <w:r w:rsidR="00DA194C">
        <w:t>bas</w:t>
      </w:r>
      <w:r w:rsidR="0091309E">
        <w:t>is</w:t>
      </w:r>
      <w:r w:rsidR="00DA194C">
        <w:t xml:space="preserve"> o</w:t>
      </w:r>
      <w:r w:rsidR="0091309E">
        <w:t>f</w:t>
      </w:r>
      <w:r w:rsidR="00DA194C">
        <w:t xml:space="preserve"> his claim.</w:t>
      </w:r>
    </w:p>
    <w:p w:rsidR="00512547" w:rsidRDefault="00512547" w:rsidP="00512547">
      <w:pPr>
        <w:pStyle w:val="SingleTxtG"/>
      </w:pPr>
      <w:r>
        <w:t>4.</w:t>
      </w:r>
      <w:r w:rsidR="001C05C2">
        <w:t>2</w:t>
      </w:r>
      <w:r>
        <w:tab/>
      </w:r>
      <w:r w:rsidR="0091309E">
        <w:t>In a</w:t>
      </w:r>
      <w:r>
        <w:t xml:space="preserve"> note verbale </w:t>
      </w:r>
      <w:r w:rsidR="0091309E">
        <w:t>dated</w:t>
      </w:r>
      <w:r>
        <w:t xml:space="preserve"> </w:t>
      </w:r>
      <w:r w:rsidR="00C82D92">
        <w:t>25</w:t>
      </w:r>
      <w:r>
        <w:t xml:space="preserve"> January 201</w:t>
      </w:r>
      <w:r w:rsidR="00C82D92">
        <w:t>2</w:t>
      </w:r>
      <w:r w:rsidR="001C05C2">
        <w:t>,</w:t>
      </w:r>
      <w:r w:rsidR="00F77C26">
        <w:rPr>
          <w:rStyle w:val="FootnoteReference"/>
        </w:rPr>
        <w:footnoteReference w:id="4"/>
      </w:r>
      <w:r>
        <w:t xml:space="preserve"> the State party recalled</w:t>
      </w:r>
      <w:r w:rsidR="00C82D92">
        <w:t xml:space="preserve"> </w:t>
      </w:r>
      <w:r w:rsidR="0091309E">
        <w:t xml:space="preserve">the </w:t>
      </w:r>
      <w:r w:rsidR="00C82D92">
        <w:t>position</w:t>
      </w:r>
      <w:r w:rsidR="0091309E">
        <w:t xml:space="preserve"> it had</w:t>
      </w:r>
      <w:r>
        <w:t xml:space="preserve"> repeatedly expressed </w:t>
      </w:r>
      <w:r w:rsidR="0091309E">
        <w:t>previously,</w:t>
      </w:r>
      <w:r w:rsidR="00C82D92">
        <w:t xml:space="preserve"> in particular in </w:t>
      </w:r>
      <w:r w:rsidR="0091309E">
        <w:t>a</w:t>
      </w:r>
      <w:r w:rsidR="00C82D92">
        <w:t xml:space="preserve"> note verbale </w:t>
      </w:r>
      <w:r w:rsidR="0091309E">
        <w:t>dated</w:t>
      </w:r>
      <w:r w:rsidR="00C82D92">
        <w:t xml:space="preserve"> 6 January 2011. </w:t>
      </w:r>
      <w:r w:rsidR="00F77C26">
        <w:t>T</w:t>
      </w:r>
      <w:r>
        <w:t>he State party</w:t>
      </w:r>
      <w:r w:rsidR="00F77C26">
        <w:t xml:space="preserve"> </w:t>
      </w:r>
      <w:r>
        <w:t>submitted that any communication registered in violation of articles 2 and 5</w:t>
      </w:r>
      <w:r w:rsidR="0048378D">
        <w:t xml:space="preserve"> of</w:t>
      </w:r>
      <w:r>
        <w:t xml:space="preserve"> the Optional Protocol w</w:t>
      </w:r>
      <w:r w:rsidR="0091309E">
        <w:t>ould</w:t>
      </w:r>
      <w:r>
        <w:t xml:space="preserve"> be viewed by the State party as incompatible with the </w:t>
      </w:r>
      <w:r w:rsidR="0091309E">
        <w:t xml:space="preserve">Optional </w:t>
      </w:r>
      <w:r>
        <w:t>Protocol and w</w:t>
      </w:r>
      <w:r w:rsidR="0091309E">
        <w:t>ould</w:t>
      </w:r>
      <w:r>
        <w:t xml:space="preserve"> be rejected without comments on the admissibility or the merits. </w:t>
      </w:r>
      <w:r w:rsidR="00CF772A">
        <w:t xml:space="preserve">It further stated </w:t>
      </w:r>
      <w:r w:rsidR="00CF772A" w:rsidRPr="00CF772A">
        <w:t>that it ha</w:t>
      </w:r>
      <w:r w:rsidR="0091309E">
        <w:t>d</w:t>
      </w:r>
      <w:r w:rsidR="00CF772A" w:rsidRPr="00CF772A">
        <w:t xml:space="preserve"> no obligations regarding </w:t>
      </w:r>
      <w:r w:rsidR="00FB2DB5">
        <w:t xml:space="preserve">the </w:t>
      </w:r>
      <w:r w:rsidR="00CF772A" w:rsidRPr="00CF772A">
        <w:t>recognition of the Committee’s rules of procedure or the Committee’s interpretation of the provisions of the Optional Protocol</w:t>
      </w:r>
      <w:r w:rsidR="00FB2DB5">
        <w:t>,</w:t>
      </w:r>
      <w:r w:rsidR="00CF772A" w:rsidRPr="00CF772A">
        <w:t xml:space="preserve"> and that decisions taken by the Committee on the present communication w</w:t>
      </w:r>
      <w:r w:rsidR="00FB2DB5">
        <w:t>ould</w:t>
      </w:r>
      <w:r w:rsidR="00CF772A" w:rsidRPr="00CF772A">
        <w:t xml:space="preserve"> be considered by its authorities as “invalid”.</w:t>
      </w:r>
    </w:p>
    <w:p w:rsidR="002E2A8B" w:rsidRPr="006F31B1" w:rsidRDefault="001C05C2" w:rsidP="001C05C2">
      <w:pPr>
        <w:pStyle w:val="H23G"/>
      </w:pPr>
      <w:r>
        <w:tab/>
      </w:r>
      <w:r>
        <w:tab/>
      </w:r>
      <w:r w:rsidR="002E2A8B" w:rsidRPr="006F31B1">
        <w:t>Author’s comments on the State party’s observations</w:t>
      </w:r>
    </w:p>
    <w:p w:rsidR="00EA1400" w:rsidRDefault="001C05C2" w:rsidP="00C202D2">
      <w:pPr>
        <w:pStyle w:val="SingleTxtG"/>
      </w:pPr>
      <w:r>
        <w:t>5.</w:t>
      </w:r>
      <w:r>
        <w:tab/>
      </w:r>
      <w:r w:rsidR="00FB2DB5">
        <w:t>In a communication dated</w:t>
      </w:r>
      <w:r w:rsidR="00EA1400">
        <w:t xml:space="preserve"> 19 December 2011, the author submits that</w:t>
      </w:r>
      <w:r w:rsidR="00FB2DB5">
        <w:t>, in</w:t>
      </w:r>
      <w:r w:rsidR="00EA1400">
        <w:t xml:space="preserve"> accord</w:t>
      </w:r>
      <w:r w:rsidR="00FB2DB5">
        <w:t>ance</w:t>
      </w:r>
      <w:r w:rsidR="00EA1400">
        <w:t xml:space="preserve"> </w:t>
      </w:r>
      <w:r w:rsidR="00FB2DB5">
        <w:t>with</w:t>
      </w:r>
      <w:r w:rsidR="00EA1400">
        <w:t xml:space="preserve"> the Committee’s jurisprudence</w:t>
      </w:r>
      <w:r w:rsidR="00FB2DB5">
        <w:t>,</w:t>
      </w:r>
      <w:r w:rsidR="00EA1400">
        <w:t xml:space="preserve"> one is required to exhaust domestic remedies that are not only available but also effective. He adds that only complaints examined by the judiciary can be considered as effective domestic remedies. An appeal to the Minsk </w:t>
      </w:r>
      <w:r w:rsidR="00FB2DB5">
        <w:t>c</w:t>
      </w:r>
      <w:r w:rsidR="00EA1400">
        <w:t xml:space="preserve">ity </w:t>
      </w:r>
      <w:r w:rsidR="00FB2DB5">
        <w:t>p</w:t>
      </w:r>
      <w:r w:rsidR="00EA1400">
        <w:t xml:space="preserve">rosecutor’s office and the </w:t>
      </w:r>
      <w:r w:rsidR="00FB2DB5">
        <w:t>P</w:t>
      </w:r>
      <w:r w:rsidR="00EA1400">
        <w:t>rosecutor</w:t>
      </w:r>
      <w:r w:rsidR="00FB2DB5">
        <w:t xml:space="preserve"> General’s</w:t>
      </w:r>
      <w:r w:rsidR="00EA1400">
        <w:t xml:space="preserve"> office cannot be considered as an effective domestic remedy because it remains at the discretion of a public official and </w:t>
      </w:r>
      <w:r w:rsidR="00FB2DB5">
        <w:t xml:space="preserve">because </w:t>
      </w:r>
      <w:r w:rsidR="00EA1400">
        <w:t xml:space="preserve">a review of the case, if granted, takes place in the absence of the person </w:t>
      </w:r>
      <w:r w:rsidR="00EA1400" w:rsidRPr="001C05C2">
        <w:t>concerned</w:t>
      </w:r>
      <w:r w:rsidR="00EA1400">
        <w:t xml:space="preserve">. Furthermore, such </w:t>
      </w:r>
      <w:r w:rsidR="00FB2DB5">
        <w:t xml:space="preserve">a </w:t>
      </w:r>
      <w:r w:rsidR="00EA1400">
        <w:t xml:space="preserve">procedure does not allow </w:t>
      </w:r>
      <w:r w:rsidR="00877E02">
        <w:t>the person concerned to ask questions, put forward his</w:t>
      </w:r>
      <w:r w:rsidR="00FB2DB5">
        <w:t xml:space="preserve"> or </w:t>
      </w:r>
      <w:r w:rsidR="00877E02">
        <w:t xml:space="preserve">her arguments and file motions. </w:t>
      </w:r>
      <w:r w:rsidR="00B047F8">
        <w:t xml:space="preserve">The author states that the way </w:t>
      </w:r>
      <w:r w:rsidR="00FB2DB5">
        <w:t xml:space="preserve">in which </w:t>
      </w:r>
      <w:r w:rsidR="00B047F8">
        <w:t xml:space="preserve">the Minsk </w:t>
      </w:r>
      <w:r w:rsidR="00FB2DB5">
        <w:t>c</w:t>
      </w:r>
      <w:r w:rsidR="00B047F8">
        <w:t xml:space="preserve">ity </w:t>
      </w:r>
      <w:r w:rsidR="00FB2DB5">
        <w:t>p</w:t>
      </w:r>
      <w:r w:rsidR="00B047F8">
        <w:t>rosecutor’s office and the Prosecutor</w:t>
      </w:r>
      <w:r w:rsidR="00FB2DB5">
        <w:t xml:space="preserve"> General</w:t>
      </w:r>
      <w:r w:rsidR="00B047F8">
        <w:t xml:space="preserve">’s office have handled his complaints in the past </w:t>
      </w:r>
      <w:r w:rsidR="00C202D2">
        <w:t xml:space="preserve">confirms </w:t>
      </w:r>
      <w:r w:rsidR="00B047F8">
        <w:t>his doubts as to the effectiveness of any further appeals to th</w:t>
      </w:r>
      <w:r w:rsidR="00FB2DB5">
        <w:t>o</w:t>
      </w:r>
      <w:r w:rsidR="00B047F8">
        <w:t xml:space="preserve">se </w:t>
      </w:r>
      <w:r w:rsidR="00FB2DB5">
        <w:t>S</w:t>
      </w:r>
      <w:r w:rsidR="00B047F8">
        <w:t>tate bodies. He recalls that on 29 December 2009, he filed a complaint with the Prosecutor</w:t>
      </w:r>
      <w:r w:rsidR="00FB2DB5">
        <w:t xml:space="preserve"> General</w:t>
      </w:r>
      <w:r w:rsidR="00B047F8">
        <w:t xml:space="preserve">’s office about the deliberate delay by the Soviet District </w:t>
      </w:r>
      <w:r w:rsidR="00FB2DB5">
        <w:t>p</w:t>
      </w:r>
      <w:r w:rsidR="00B047F8">
        <w:t xml:space="preserve">rosecutor’s office </w:t>
      </w:r>
      <w:r w:rsidR="00FB2DB5">
        <w:t>in</w:t>
      </w:r>
      <w:r w:rsidR="00B047F8">
        <w:t xml:space="preserve"> initiat</w:t>
      </w:r>
      <w:r w:rsidR="00FB2DB5">
        <w:t>ing</w:t>
      </w:r>
      <w:r w:rsidR="00B047F8">
        <w:t xml:space="preserve"> criminal proceedings</w:t>
      </w:r>
      <w:r w:rsidR="006F31B1">
        <w:t xml:space="preserve"> </w:t>
      </w:r>
      <w:r w:rsidR="00B047F8">
        <w:t xml:space="preserve">against police officers who had </w:t>
      </w:r>
      <w:r w:rsidR="0046221B">
        <w:t>abducted</w:t>
      </w:r>
      <w:r w:rsidR="00B047F8">
        <w:t xml:space="preserve"> him on 27</w:t>
      </w:r>
      <w:r w:rsidR="00A22ACA">
        <w:t> </w:t>
      </w:r>
      <w:r w:rsidR="00B047F8">
        <w:t xml:space="preserve">November 2009. </w:t>
      </w:r>
      <w:r w:rsidR="00640557">
        <w:t>He reiterates that o</w:t>
      </w:r>
      <w:r w:rsidR="00B047F8">
        <w:t xml:space="preserve">n 11 January 2010, his complaint was </w:t>
      </w:r>
      <w:r w:rsidR="005C789F">
        <w:t>forwarded</w:t>
      </w:r>
      <w:r w:rsidR="00B047F8">
        <w:t xml:space="preserve"> </w:t>
      </w:r>
      <w:r w:rsidR="005C789F">
        <w:t xml:space="preserve">by the </w:t>
      </w:r>
      <w:r w:rsidR="00FB2DB5">
        <w:t>P</w:t>
      </w:r>
      <w:r w:rsidR="00B047F8">
        <w:t>rosecutor</w:t>
      </w:r>
      <w:r w:rsidR="00FB2DB5">
        <w:t xml:space="preserve"> General</w:t>
      </w:r>
      <w:r w:rsidR="00B047F8">
        <w:t xml:space="preserve">’s office </w:t>
      </w:r>
      <w:r w:rsidR="005C789F">
        <w:t xml:space="preserve">to the Minsk </w:t>
      </w:r>
      <w:r w:rsidR="00FB2DB5">
        <w:t>c</w:t>
      </w:r>
      <w:r w:rsidR="005C789F">
        <w:t xml:space="preserve">ity </w:t>
      </w:r>
      <w:r w:rsidR="00FB2DB5">
        <w:t>p</w:t>
      </w:r>
      <w:r w:rsidR="005C789F">
        <w:t>rosecutor’s office</w:t>
      </w:r>
      <w:r w:rsidR="00640557">
        <w:t xml:space="preserve"> and th</w:t>
      </w:r>
      <w:r w:rsidR="00FB2DB5">
        <w:t>at</w:t>
      </w:r>
      <w:r w:rsidR="00640557">
        <w:t xml:space="preserve"> o</w:t>
      </w:r>
      <w:r w:rsidR="005C789F">
        <w:t xml:space="preserve">n 15 January 2010, </w:t>
      </w:r>
      <w:r w:rsidR="00640557">
        <w:t xml:space="preserve">it </w:t>
      </w:r>
      <w:r w:rsidR="005C789F">
        <w:t xml:space="preserve">was further forwarded by the Minsk </w:t>
      </w:r>
      <w:r w:rsidR="00FB2DB5">
        <w:t>c</w:t>
      </w:r>
      <w:r w:rsidR="005C789F">
        <w:t xml:space="preserve">ity </w:t>
      </w:r>
      <w:r w:rsidR="00FB2DB5">
        <w:t>p</w:t>
      </w:r>
      <w:r w:rsidR="005C789F">
        <w:t xml:space="preserve">rosecutor’s office to the Soviet District </w:t>
      </w:r>
      <w:r w:rsidR="00FB2DB5">
        <w:t>p</w:t>
      </w:r>
      <w:r w:rsidR="005C789F">
        <w:t>rosecutor’s office, the same entity</w:t>
      </w:r>
      <w:r w:rsidR="00FB2DB5">
        <w:t xml:space="preserve"> about which</w:t>
      </w:r>
      <w:r w:rsidR="005C789F">
        <w:t xml:space="preserve"> the author had initially complained to Prosecutor</w:t>
      </w:r>
      <w:r w:rsidR="00FB2DB5">
        <w:t xml:space="preserve"> General</w:t>
      </w:r>
      <w:r w:rsidR="005C789F">
        <w:t>’s office. The author asserts that all domestic remedies have been exhausted for the purposes of article 5 (2</w:t>
      </w:r>
      <w:r>
        <w:t>) (b) of the Optional Protocol.</w:t>
      </w:r>
    </w:p>
    <w:p w:rsidR="00512547" w:rsidRDefault="00512547" w:rsidP="001C05C2">
      <w:pPr>
        <w:pStyle w:val="H23G"/>
      </w:pPr>
      <w:r w:rsidRPr="008216A5">
        <w:lastRenderedPageBreak/>
        <w:tab/>
      </w:r>
      <w:r w:rsidRPr="008216A5">
        <w:tab/>
        <w:t>Issues and proceedings before the Committee</w:t>
      </w:r>
    </w:p>
    <w:p w:rsidR="00512547" w:rsidRPr="00ED06EC" w:rsidRDefault="00512547" w:rsidP="001C05C2">
      <w:pPr>
        <w:pStyle w:val="H4G"/>
      </w:pPr>
      <w:r>
        <w:tab/>
      </w:r>
      <w:r>
        <w:tab/>
      </w:r>
      <w:r w:rsidRPr="00ED06EC">
        <w:t>The</w:t>
      </w:r>
      <w:r w:rsidR="004611C1">
        <w:t xml:space="preserve"> State party’s</w:t>
      </w:r>
      <w:r w:rsidRPr="00ED06EC">
        <w:t xml:space="preserve"> </w:t>
      </w:r>
      <w:r>
        <w:t xml:space="preserve">lack of cooperation </w:t>
      </w:r>
    </w:p>
    <w:p w:rsidR="00512547" w:rsidRDefault="006F31B1" w:rsidP="001C05C2">
      <w:pPr>
        <w:pStyle w:val="SingleTxtG"/>
      </w:pPr>
      <w:r>
        <w:t>6</w:t>
      </w:r>
      <w:r w:rsidR="00D721CC">
        <w:t>.1</w:t>
      </w:r>
      <w:r w:rsidR="00D721CC">
        <w:tab/>
      </w:r>
      <w:r w:rsidR="00512547">
        <w:t xml:space="preserve">The Committee </w:t>
      </w:r>
      <w:r w:rsidR="00512547" w:rsidRPr="001C05C2">
        <w:t>notes</w:t>
      </w:r>
      <w:r w:rsidR="00512547">
        <w:t xml:space="preserve"> the State party’s assertion that there are no legal grounds for the consideration of the author’s communication, insofar as it is registered in violation of the provisions of the Optional Protocol; that it has no obligations regarding recognition of the Committee’s rules of procedure nor the Committee’s interpretation of the provisions of the Optional Protocol; and that decisions taken by the Committee on the present communication will be considered by its authorities as “invalid”.</w:t>
      </w:r>
    </w:p>
    <w:p w:rsidR="00512547" w:rsidRPr="00ED06EC" w:rsidRDefault="006F31B1" w:rsidP="00512547">
      <w:pPr>
        <w:ind w:left="1134" w:right="1134"/>
        <w:jc w:val="both"/>
      </w:pPr>
      <w:r>
        <w:t>6</w:t>
      </w:r>
      <w:r w:rsidR="00D721CC">
        <w:t>.2</w:t>
      </w:r>
      <w:r w:rsidR="00D721CC">
        <w:tab/>
      </w:r>
      <w:r w:rsidR="00512547">
        <w:t>The Committee recalls that</w:t>
      </w:r>
      <w:r w:rsidR="00A7166F">
        <w:t xml:space="preserve"> under</w:t>
      </w:r>
      <w:r w:rsidR="00512547">
        <w:t xml:space="preserve"> article 39 </w:t>
      </w:r>
      <w:r w:rsidR="00A7166F">
        <w:t>(</w:t>
      </w:r>
      <w:r w:rsidR="00512547">
        <w:t>2</w:t>
      </w:r>
      <w:r w:rsidR="00A7166F">
        <w:t>)</w:t>
      </w:r>
      <w:r w:rsidR="00512547">
        <w:t xml:space="preserve"> of the Covenant</w:t>
      </w:r>
      <w:r w:rsidR="00A7166F">
        <w:t>, it is empowered</w:t>
      </w:r>
      <w:r w:rsidR="00512547">
        <w:t xml:space="preserve"> to establish its own rules of procedure, which States parties have agreed to recognize. </w:t>
      </w:r>
      <w:r w:rsidR="00A7166F">
        <w:t>It further observes that, b</w:t>
      </w:r>
      <w:r w:rsidR="00512547">
        <w:t>y adhering to the Optional Protocol, a State party to the Covenant recognizes the competence of the Committee to receive and consider communications from individuals claiming to be victims of violations of any of the rights set forth in the Covenant (</w:t>
      </w:r>
      <w:r w:rsidR="00A7166F">
        <w:t>p</w:t>
      </w:r>
      <w:r w:rsidR="00512547">
        <w:t>reamble and art</w:t>
      </w:r>
      <w:r w:rsidR="00A7166F">
        <w:t>.</w:t>
      </w:r>
      <w:r w:rsidR="00512547">
        <w:t xml:space="preserve"> 1</w:t>
      </w:r>
      <w:r w:rsidR="00A7166F">
        <w:t xml:space="preserve"> of the Optional Protocol</w:t>
      </w:r>
      <w:r w:rsidR="00512547">
        <w:t xml:space="preserve">). Implicit in a State’s adherence to the Optional Protocol is </w:t>
      </w:r>
      <w:r w:rsidR="00A7166F">
        <w:t>the</w:t>
      </w:r>
      <w:r w:rsidR="00512547">
        <w:t xml:space="preserve"> undertaking to cooperate with the Committee in good faith so as to permit and enable it to consider such communications and</w:t>
      </w:r>
      <w:r w:rsidR="00A7166F">
        <w:t>,</w:t>
      </w:r>
      <w:r w:rsidR="00512547">
        <w:t xml:space="preserve"> after examination</w:t>
      </w:r>
      <w:r w:rsidR="00A7166F">
        <w:t xml:space="preserve"> thereof,</w:t>
      </w:r>
      <w:r w:rsidR="00512547">
        <w:t xml:space="preserve"> to forward its </w:t>
      </w:r>
      <w:r w:rsidR="00A7166F">
        <w:t>V</w:t>
      </w:r>
      <w:r w:rsidR="00512547">
        <w:t>iews to the State party and to the individual (art</w:t>
      </w:r>
      <w:r w:rsidR="00A7166F">
        <w:t>.</w:t>
      </w:r>
      <w:r w:rsidR="00512547">
        <w:t xml:space="preserve"> 5 </w:t>
      </w:r>
      <w:r w:rsidR="00A7166F">
        <w:t>(</w:t>
      </w:r>
      <w:r w:rsidR="00512547">
        <w:t>1</w:t>
      </w:r>
      <w:r w:rsidR="00A7166F">
        <w:t>)</w:t>
      </w:r>
      <w:r w:rsidR="00512547">
        <w:t xml:space="preserve"> and </w:t>
      </w:r>
      <w:r w:rsidR="00A7166F">
        <w:t>(</w:t>
      </w:r>
      <w:r w:rsidR="00512547">
        <w:t>4)</w:t>
      </w:r>
      <w:r w:rsidR="00A7166F">
        <w:t>)</w:t>
      </w:r>
      <w:r w:rsidR="00512547">
        <w:t>. It is incompatible with th</w:t>
      </w:r>
      <w:r w:rsidR="00A7166F">
        <w:t>o</w:t>
      </w:r>
      <w:r w:rsidR="00512547">
        <w:t xml:space="preserve">se obligations for a State party to take any action that would prevent or frustrate the Committee in its consideration and examination of </w:t>
      </w:r>
      <w:r w:rsidR="00BB70F6">
        <w:t>the</w:t>
      </w:r>
      <w:r w:rsidR="00512547">
        <w:t xml:space="preserve"> communication</w:t>
      </w:r>
      <w:r w:rsidR="00BB70F6">
        <w:t>,</w:t>
      </w:r>
      <w:r w:rsidR="00512547">
        <w:t xml:space="preserve"> and in the expression of its Views.</w:t>
      </w:r>
      <w:r w:rsidR="00512547">
        <w:rPr>
          <w:rStyle w:val="FootnoteReference"/>
        </w:rPr>
        <w:footnoteReference w:id="5"/>
      </w:r>
      <w:r w:rsidR="00512547">
        <w:t xml:space="preserve"> It is up to the Committee to determine whether a communication should be registered. </w:t>
      </w:r>
      <w:r w:rsidR="007E4B0F">
        <w:t>The Committee observes that, b</w:t>
      </w:r>
      <w:r w:rsidR="00512547">
        <w:t>y failing to accept the competence of the Committee to determine whether a communication sh</w:t>
      </w:r>
      <w:r w:rsidR="007E4B0F">
        <w:t>ould</w:t>
      </w:r>
      <w:r w:rsidR="00512547">
        <w:t xml:space="preserve"> be registered and by declaring </w:t>
      </w:r>
      <w:r w:rsidR="007E4B0F">
        <w:t>beforehand</w:t>
      </w:r>
      <w:r w:rsidR="00512547">
        <w:t xml:space="preserve"> that it will not accept the Committee’s determination on the admissibility o</w:t>
      </w:r>
      <w:r w:rsidR="007E4B0F">
        <w:t>r</w:t>
      </w:r>
      <w:r w:rsidR="00512547">
        <w:t xml:space="preserve"> the merits of the communication, the State party </w:t>
      </w:r>
      <w:r w:rsidR="007E4B0F">
        <w:t>i</w:t>
      </w:r>
      <w:r w:rsidR="00512547">
        <w:t>s violat</w:t>
      </w:r>
      <w:r w:rsidR="007E4B0F">
        <w:t>ing</w:t>
      </w:r>
      <w:r w:rsidR="00512547">
        <w:t xml:space="preserve"> its obligations under article 1 of the Optional Protocol.</w:t>
      </w:r>
    </w:p>
    <w:p w:rsidR="00512547" w:rsidRPr="008216A5" w:rsidRDefault="00512547" w:rsidP="001C05C2">
      <w:pPr>
        <w:pStyle w:val="H4G"/>
      </w:pPr>
      <w:r w:rsidRPr="008216A5">
        <w:tab/>
      </w:r>
      <w:r w:rsidRPr="008216A5">
        <w:tab/>
        <w:t xml:space="preserve">Consideration of </w:t>
      </w:r>
      <w:r w:rsidRPr="001C05C2">
        <w:t>admissibility</w:t>
      </w:r>
    </w:p>
    <w:p w:rsidR="00512547" w:rsidRPr="008216A5" w:rsidRDefault="006F31B1" w:rsidP="00512547">
      <w:pPr>
        <w:pStyle w:val="SingleTxtG"/>
        <w:rPr>
          <w:bCs/>
        </w:rPr>
      </w:pPr>
      <w:r>
        <w:rPr>
          <w:bCs/>
        </w:rPr>
        <w:t>7</w:t>
      </w:r>
      <w:r w:rsidR="00512547" w:rsidRPr="008216A5">
        <w:rPr>
          <w:bCs/>
        </w:rPr>
        <w:t>.1</w:t>
      </w:r>
      <w:r w:rsidR="00512547" w:rsidRPr="008216A5">
        <w:rPr>
          <w:bCs/>
        </w:rPr>
        <w:tab/>
        <w:t>Before considering any claim contained in a communication, the Committee must</w:t>
      </w:r>
      <w:r w:rsidR="00E71BC2">
        <w:rPr>
          <w:bCs/>
        </w:rPr>
        <w:t xml:space="preserve"> decide</w:t>
      </w:r>
      <w:r w:rsidR="00512547" w:rsidRPr="008216A5">
        <w:rPr>
          <w:bCs/>
        </w:rPr>
        <w:t>, in accordance with rule 93 of its rules of procedure, whether the communication is admissible under the Optional Protocol.</w:t>
      </w:r>
    </w:p>
    <w:p w:rsidR="00512547" w:rsidRDefault="006F31B1" w:rsidP="00512547">
      <w:pPr>
        <w:pStyle w:val="SingleTxtG"/>
      </w:pPr>
      <w:r>
        <w:t>7</w:t>
      </w:r>
      <w:r w:rsidR="00512547" w:rsidRPr="008216A5">
        <w:t>.2</w:t>
      </w:r>
      <w:r w:rsidR="00512547" w:rsidRPr="008216A5">
        <w:tab/>
        <w:t xml:space="preserve">The Committee has ascertained, as required under article 5 </w:t>
      </w:r>
      <w:r w:rsidR="00E71BC2">
        <w:t>(</w:t>
      </w:r>
      <w:r w:rsidR="00512547" w:rsidRPr="008216A5">
        <w:t>2</w:t>
      </w:r>
      <w:r w:rsidR="00E71BC2">
        <w:t>)</w:t>
      </w:r>
      <w:r w:rsidR="00512547" w:rsidRPr="008216A5">
        <w:t xml:space="preserve"> (a) of </w:t>
      </w:r>
      <w:r w:rsidR="00512547">
        <w:t xml:space="preserve">the Optional Protocol, that the </w:t>
      </w:r>
      <w:r w:rsidR="00512547" w:rsidRPr="008216A5">
        <w:t xml:space="preserve">same matter is not being examined under another procedure of international investigation or settlement. </w:t>
      </w:r>
    </w:p>
    <w:p w:rsidR="006B05A8" w:rsidRDefault="006F31B1" w:rsidP="006B05A8">
      <w:pPr>
        <w:pStyle w:val="SingleTxtG"/>
      </w:pPr>
      <w:r>
        <w:t>7</w:t>
      </w:r>
      <w:r w:rsidR="00512547">
        <w:t>.3</w:t>
      </w:r>
      <w:r w:rsidR="00512547">
        <w:tab/>
      </w:r>
      <w:r w:rsidR="003E70E9" w:rsidRPr="003E70E9">
        <w:t>The Committee note</w:t>
      </w:r>
      <w:r w:rsidR="002C5763">
        <w:t>s</w:t>
      </w:r>
      <w:r w:rsidR="003E70E9" w:rsidRPr="003E70E9">
        <w:t xml:space="preserve"> the State party’s objection to the admissibility of the communication as the author has not complained to the </w:t>
      </w:r>
      <w:r w:rsidR="00E71BC2">
        <w:t>p</w:t>
      </w:r>
      <w:r w:rsidR="003E70E9">
        <w:t xml:space="preserve">rosecutor’s </w:t>
      </w:r>
      <w:r w:rsidR="00E71BC2">
        <w:t>o</w:t>
      </w:r>
      <w:r w:rsidR="003E70E9" w:rsidRPr="003E70E9">
        <w:t>ffice under the supervisory review procedure</w:t>
      </w:r>
      <w:r w:rsidR="003E70E9">
        <w:t>.</w:t>
      </w:r>
      <w:r w:rsidR="003E70E9" w:rsidRPr="003E70E9">
        <w:t xml:space="preserve"> </w:t>
      </w:r>
      <w:r w:rsidR="006B05A8" w:rsidRPr="006B05A8">
        <w:t xml:space="preserve">The Committee </w:t>
      </w:r>
      <w:r w:rsidR="00055E9D">
        <w:t>notes</w:t>
      </w:r>
      <w:r w:rsidR="00E71BC2">
        <w:t>,</w:t>
      </w:r>
      <w:r w:rsidR="002A63D5">
        <w:t xml:space="preserve"> however</w:t>
      </w:r>
      <w:r w:rsidR="00E71BC2">
        <w:t>,</w:t>
      </w:r>
      <w:r w:rsidR="00055E9D">
        <w:t xml:space="preserve"> that the author </w:t>
      </w:r>
      <w:r w:rsidR="00055E9D" w:rsidRPr="00055E9D">
        <w:rPr>
          <w:lang w:val="en-US"/>
        </w:rPr>
        <w:t xml:space="preserve">filed a complaint with the Prosecutor General’s office and </w:t>
      </w:r>
      <w:r w:rsidR="00E71BC2">
        <w:rPr>
          <w:lang w:val="en-US"/>
        </w:rPr>
        <w:t xml:space="preserve">the </w:t>
      </w:r>
      <w:r w:rsidR="00055E9D" w:rsidRPr="00055E9D">
        <w:rPr>
          <w:lang w:val="en-US"/>
        </w:rPr>
        <w:t>Minsk city prosecutor’s office</w:t>
      </w:r>
      <w:r w:rsidR="00055E9D">
        <w:rPr>
          <w:lang w:val="en-US"/>
        </w:rPr>
        <w:t xml:space="preserve">, </w:t>
      </w:r>
      <w:r w:rsidR="00055E9D" w:rsidRPr="00055E9D">
        <w:rPr>
          <w:lang w:val="en-US"/>
        </w:rPr>
        <w:t xml:space="preserve">appealed the </w:t>
      </w:r>
      <w:r w:rsidR="00E71BC2">
        <w:rPr>
          <w:lang w:val="en-US"/>
        </w:rPr>
        <w:t xml:space="preserve">decision of the </w:t>
      </w:r>
      <w:r w:rsidR="00055E9D" w:rsidRPr="00055E9D">
        <w:rPr>
          <w:lang w:val="en-US"/>
        </w:rPr>
        <w:t xml:space="preserve">Soviet </w:t>
      </w:r>
      <w:r w:rsidR="00E71BC2">
        <w:rPr>
          <w:lang w:val="en-US"/>
        </w:rPr>
        <w:t>D</w:t>
      </w:r>
      <w:r w:rsidR="00055E9D" w:rsidRPr="00055E9D">
        <w:rPr>
          <w:lang w:val="en-US"/>
        </w:rPr>
        <w:t xml:space="preserve">istrict prosecutor to the Soviet </w:t>
      </w:r>
      <w:r w:rsidR="00E71BC2">
        <w:rPr>
          <w:lang w:val="en-US"/>
        </w:rPr>
        <w:t>D</w:t>
      </w:r>
      <w:r w:rsidR="00055E9D" w:rsidRPr="00055E9D">
        <w:rPr>
          <w:lang w:val="en-US"/>
        </w:rPr>
        <w:t>istrict court</w:t>
      </w:r>
      <w:r w:rsidR="00055E9D">
        <w:rPr>
          <w:lang w:val="en-US"/>
        </w:rPr>
        <w:t xml:space="preserve"> and </w:t>
      </w:r>
      <w:r w:rsidR="00055E9D" w:rsidRPr="00055E9D">
        <w:rPr>
          <w:lang w:val="en-US"/>
        </w:rPr>
        <w:t>filed a supervisory appeal with the Minsk city court</w:t>
      </w:r>
      <w:r w:rsidR="002A63D5">
        <w:rPr>
          <w:lang w:val="en-US"/>
        </w:rPr>
        <w:t xml:space="preserve">. </w:t>
      </w:r>
      <w:r w:rsidR="006B05A8" w:rsidRPr="006B05A8">
        <w:t xml:space="preserve">Accordingly, </w:t>
      </w:r>
      <w:r w:rsidR="002A63D5">
        <w:t xml:space="preserve">the Committee </w:t>
      </w:r>
      <w:r w:rsidR="006B05A8" w:rsidRPr="006B05A8">
        <w:t xml:space="preserve">considers that it is not precluded by article 5 </w:t>
      </w:r>
      <w:r w:rsidR="00E71BC2">
        <w:t>(</w:t>
      </w:r>
      <w:r w:rsidR="006B05A8" w:rsidRPr="006B05A8">
        <w:t>2</w:t>
      </w:r>
      <w:r w:rsidR="00E71BC2">
        <w:t>)</w:t>
      </w:r>
      <w:r w:rsidR="006B05A8" w:rsidRPr="006B05A8">
        <w:t xml:space="preserve"> (b) of the Optional Protocol from examining the communication</w:t>
      </w:r>
      <w:r w:rsidR="003E70E9">
        <w:t>.</w:t>
      </w:r>
      <w:r w:rsidR="006B05A8" w:rsidRPr="006B05A8">
        <w:t xml:space="preserve"> </w:t>
      </w:r>
    </w:p>
    <w:p w:rsidR="00543FD7" w:rsidRDefault="001C05C2" w:rsidP="006D701C">
      <w:pPr>
        <w:pStyle w:val="SingleTxtG"/>
        <w:rPr>
          <w:lang w:val="en-US"/>
        </w:rPr>
      </w:pPr>
      <w:r>
        <w:lastRenderedPageBreak/>
        <w:t>7.4</w:t>
      </w:r>
      <w:r>
        <w:tab/>
      </w:r>
      <w:r w:rsidR="00640557">
        <w:t xml:space="preserve">The Committee notes the author’s claim </w:t>
      </w:r>
      <w:r w:rsidR="00FF04C2">
        <w:t>that his abduction amount</w:t>
      </w:r>
      <w:r w:rsidR="00E71020">
        <w:t>s</w:t>
      </w:r>
      <w:r w:rsidR="00FF04C2">
        <w:t xml:space="preserve"> to torture under article 7 </w:t>
      </w:r>
      <w:r w:rsidR="00E71BC2">
        <w:t xml:space="preserve">of the Covenant </w:t>
      </w:r>
      <w:r w:rsidR="0018446B">
        <w:t>and to a</w:t>
      </w:r>
      <w:r w:rsidR="007D1CB7">
        <w:t xml:space="preserve"> violation of his right to liberty and security </w:t>
      </w:r>
      <w:r w:rsidR="0018446B">
        <w:t>under article 9</w:t>
      </w:r>
      <w:r w:rsidR="00FF04C2">
        <w:t>.</w:t>
      </w:r>
      <w:r w:rsidR="00E71020">
        <w:t xml:space="preserve"> </w:t>
      </w:r>
      <w:r w:rsidR="0018446B">
        <w:t>In this regard, t</w:t>
      </w:r>
      <w:r w:rsidR="0018446B" w:rsidRPr="0018446B">
        <w:t xml:space="preserve">he Committee </w:t>
      </w:r>
      <w:r w:rsidR="0018446B">
        <w:t xml:space="preserve">also </w:t>
      </w:r>
      <w:r w:rsidR="0018446B" w:rsidRPr="0018446B">
        <w:t xml:space="preserve">takes note of the author’s claim that by not conducting a thorough and complete investigation of his abduction the State party violated his right </w:t>
      </w:r>
      <w:r w:rsidR="00E71BC2">
        <w:t>to</w:t>
      </w:r>
      <w:r w:rsidR="0018446B" w:rsidRPr="0018446B">
        <w:t xml:space="preserve"> an effective remedy under article 2 (3) (a)</w:t>
      </w:r>
      <w:r w:rsidR="00E71BC2">
        <w:t>, read</w:t>
      </w:r>
      <w:r w:rsidR="0018446B">
        <w:t xml:space="preserve"> in conjunction with article</w:t>
      </w:r>
      <w:r w:rsidR="00E71BC2">
        <w:t>s</w:t>
      </w:r>
      <w:r w:rsidR="0018446B">
        <w:t xml:space="preserve"> 7 and 9 o</w:t>
      </w:r>
      <w:r w:rsidR="00E71BC2">
        <w:t>f</w:t>
      </w:r>
      <w:r w:rsidR="0018446B">
        <w:t xml:space="preserve"> the Covenant</w:t>
      </w:r>
      <w:r w:rsidR="0018446B" w:rsidRPr="0018446B">
        <w:t xml:space="preserve">. </w:t>
      </w:r>
      <w:r w:rsidR="00F934C6">
        <w:t>The Committee notes the author’s allegations that</w:t>
      </w:r>
      <w:r w:rsidR="002A699A">
        <w:t>,</w:t>
      </w:r>
      <w:r w:rsidR="00F934C6">
        <w:t xml:space="preserve"> </w:t>
      </w:r>
      <w:r w:rsidR="00F934C6">
        <w:rPr>
          <w:lang w:val="en-US"/>
        </w:rPr>
        <w:t xml:space="preserve">despite his descriptions of the abductors, no investigative steps were taken to compile a </w:t>
      </w:r>
      <w:r w:rsidR="00E71BC2">
        <w:rPr>
          <w:lang w:val="en-US"/>
        </w:rPr>
        <w:t>composite image</w:t>
      </w:r>
      <w:r w:rsidR="00F934C6">
        <w:rPr>
          <w:lang w:val="en-US"/>
        </w:rPr>
        <w:t xml:space="preserve"> </w:t>
      </w:r>
      <w:r w:rsidR="00E71BC2">
        <w:rPr>
          <w:lang w:val="en-US"/>
        </w:rPr>
        <w:t>or</w:t>
      </w:r>
      <w:r w:rsidR="00F934C6">
        <w:t xml:space="preserve"> carry out </w:t>
      </w:r>
      <w:r w:rsidR="00E71BC2">
        <w:t xml:space="preserve">a process of </w:t>
      </w:r>
      <w:r w:rsidR="00F934C6">
        <w:t xml:space="preserve">photo-identification of </w:t>
      </w:r>
      <w:r w:rsidR="00E71BC2">
        <w:t xml:space="preserve">Soviet District </w:t>
      </w:r>
      <w:r w:rsidR="00F934C6">
        <w:t>police officers</w:t>
      </w:r>
      <w:r w:rsidR="00F934C6">
        <w:rPr>
          <w:lang w:val="en-US"/>
        </w:rPr>
        <w:t xml:space="preserve">. </w:t>
      </w:r>
      <w:r w:rsidR="0016702E">
        <w:t xml:space="preserve">The Committee </w:t>
      </w:r>
      <w:r w:rsidR="00F934C6">
        <w:t xml:space="preserve">also </w:t>
      </w:r>
      <w:r w:rsidR="0016702E" w:rsidRPr="00F72EDD">
        <w:t xml:space="preserve">notes that the </w:t>
      </w:r>
      <w:r w:rsidR="00D242BE">
        <w:t xml:space="preserve">documents submitted by the author </w:t>
      </w:r>
      <w:r w:rsidR="0016702E" w:rsidRPr="00F72EDD">
        <w:t>indicate that</w:t>
      </w:r>
      <w:r w:rsidR="0016702E">
        <w:t xml:space="preserve"> the prosecut</w:t>
      </w:r>
      <w:r w:rsidR="00E71BC2">
        <w:t>or’s</w:t>
      </w:r>
      <w:r w:rsidR="0016702E">
        <w:t xml:space="preserve"> office undertook several steps to review the author’s claims, including questioning him</w:t>
      </w:r>
      <w:r w:rsidR="00E71BC2">
        <w:t>,</w:t>
      </w:r>
      <w:r w:rsidR="0016702E">
        <w:t xml:space="preserve"> along with other potential witnesses</w:t>
      </w:r>
      <w:r w:rsidR="000E0CA4">
        <w:t xml:space="preserve">, </w:t>
      </w:r>
      <w:r w:rsidR="00E71BC2">
        <w:t xml:space="preserve">and </w:t>
      </w:r>
      <w:r w:rsidR="000E0CA4">
        <w:t xml:space="preserve">reviewing </w:t>
      </w:r>
      <w:r w:rsidR="00E71BC2">
        <w:t xml:space="preserve">a </w:t>
      </w:r>
      <w:r w:rsidR="000E0CA4" w:rsidRPr="000E0CA4">
        <w:rPr>
          <w:lang w:val="en-US"/>
        </w:rPr>
        <w:t xml:space="preserve">video recording from a </w:t>
      </w:r>
      <w:r w:rsidR="00F934C6">
        <w:rPr>
          <w:lang w:val="en-US"/>
        </w:rPr>
        <w:t xml:space="preserve">shop in the area where </w:t>
      </w:r>
      <w:r w:rsidR="00E71BC2">
        <w:rPr>
          <w:lang w:val="en-US"/>
        </w:rPr>
        <w:t xml:space="preserve">the </w:t>
      </w:r>
      <w:r w:rsidR="00F934C6">
        <w:rPr>
          <w:lang w:val="en-US"/>
        </w:rPr>
        <w:t xml:space="preserve">alleged abduction took place </w:t>
      </w:r>
      <w:r w:rsidR="000E0CA4" w:rsidRPr="000E0CA4">
        <w:rPr>
          <w:lang w:val="en-US"/>
        </w:rPr>
        <w:t>and a printout of the author’s phone calls</w:t>
      </w:r>
      <w:r w:rsidR="00D242BE">
        <w:rPr>
          <w:lang w:val="en-US"/>
        </w:rPr>
        <w:t>, which could support his alleged abduction</w:t>
      </w:r>
      <w:r w:rsidR="002076D5">
        <w:t xml:space="preserve">. Furthermore, </w:t>
      </w:r>
      <w:r w:rsidR="00E71BC2">
        <w:t xml:space="preserve">on the </w:t>
      </w:r>
      <w:r w:rsidR="002076D5">
        <w:t>bas</w:t>
      </w:r>
      <w:r w:rsidR="00E71BC2">
        <w:t>is</w:t>
      </w:r>
      <w:r w:rsidR="002076D5">
        <w:t xml:space="preserve"> o</w:t>
      </w:r>
      <w:r w:rsidR="00E71BC2">
        <w:t>f</w:t>
      </w:r>
      <w:r w:rsidR="002076D5">
        <w:t xml:space="preserve"> the author’s complaint to the Prosecutor General</w:t>
      </w:r>
      <w:r w:rsidR="00E71BC2">
        <w:t>’s</w:t>
      </w:r>
      <w:r w:rsidR="002076D5">
        <w:t xml:space="preserve"> office</w:t>
      </w:r>
      <w:r w:rsidR="002076D5" w:rsidRPr="002076D5">
        <w:t xml:space="preserve"> </w:t>
      </w:r>
      <w:r w:rsidR="002076D5">
        <w:t xml:space="preserve">dated 29 December 2009, </w:t>
      </w:r>
      <w:r w:rsidR="002076D5" w:rsidRPr="002076D5">
        <w:rPr>
          <w:lang w:val="en-US"/>
        </w:rPr>
        <w:t xml:space="preserve">the </w:t>
      </w:r>
      <w:r w:rsidR="002A63D5">
        <w:rPr>
          <w:lang w:val="en-US"/>
        </w:rPr>
        <w:t xml:space="preserve">decision of the </w:t>
      </w:r>
      <w:r w:rsidR="002076D5" w:rsidRPr="002076D5">
        <w:rPr>
          <w:lang w:val="en-US"/>
        </w:rPr>
        <w:t xml:space="preserve">prosecutor’s office of the Soviet </w:t>
      </w:r>
      <w:r w:rsidR="00E71BC2">
        <w:rPr>
          <w:lang w:val="en-US"/>
        </w:rPr>
        <w:t>D</w:t>
      </w:r>
      <w:r w:rsidR="002076D5" w:rsidRPr="002076D5">
        <w:rPr>
          <w:lang w:val="en-US"/>
        </w:rPr>
        <w:t>istrict of M</w:t>
      </w:r>
      <w:r w:rsidR="002076D5">
        <w:rPr>
          <w:lang w:val="en-US"/>
        </w:rPr>
        <w:t>insk was quashed and the case was returned for additional investigation</w:t>
      </w:r>
      <w:r w:rsidR="00E71BC2">
        <w:rPr>
          <w:lang w:val="en-US"/>
        </w:rPr>
        <w:t>,</w:t>
      </w:r>
      <w:r w:rsidR="002076D5">
        <w:rPr>
          <w:lang w:val="en-US"/>
        </w:rPr>
        <w:t xml:space="preserve"> during which witnesses were questioned</w:t>
      </w:r>
      <w:r w:rsidR="00655731">
        <w:rPr>
          <w:lang w:val="en-US"/>
        </w:rPr>
        <w:t xml:space="preserve"> again </w:t>
      </w:r>
      <w:r w:rsidR="00E71BC2">
        <w:rPr>
          <w:lang w:val="en-US"/>
        </w:rPr>
        <w:t>but</w:t>
      </w:r>
      <w:r w:rsidR="00655731">
        <w:rPr>
          <w:lang w:val="en-US"/>
        </w:rPr>
        <w:t xml:space="preserve"> did not corroborate the author’s allegations</w:t>
      </w:r>
      <w:r w:rsidR="002076D5">
        <w:rPr>
          <w:lang w:val="en-US"/>
        </w:rPr>
        <w:t xml:space="preserve">. </w:t>
      </w:r>
      <w:r w:rsidR="00DB51A5">
        <w:rPr>
          <w:lang w:val="en-US"/>
        </w:rPr>
        <w:t xml:space="preserve">The Committee also notes </w:t>
      </w:r>
      <w:r w:rsidR="00E71BC2">
        <w:rPr>
          <w:lang w:val="en-US"/>
        </w:rPr>
        <w:t xml:space="preserve">that </w:t>
      </w:r>
      <w:r w:rsidR="00DB51A5">
        <w:rPr>
          <w:lang w:val="en-US"/>
        </w:rPr>
        <w:t xml:space="preserve">the Soviet District </w:t>
      </w:r>
      <w:r w:rsidR="00E71BC2">
        <w:rPr>
          <w:lang w:val="en-US"/>
        </w:rPr>
        <w:t>c</w:t>
      </w:r>
      <w:r w:rsidR="00DB51A5">
        <w:rPr>
          <w:lang w:val="en-US"/>
        </w:rPr>
        <w:t xml:space="preserve">ourt and the </w:t>
      </w:r>
      <w:r w:rsidR="00E71BC2">
        <w:rPr>
          <w:lang w:val="en-US"/>
        </w:rPr>
        <w:t>Minsk c</w:t>
      </w:r>
      <w:r w:rsidR="00DB51A5">
        <w:rPr>
          <w:lang w:val="en-US"/>
        </w:rPr>
        <w:t xml:space="preserve">ity </w:t>
      </w:r>
      <w:r w:rsidR="00E71BC2">
        <w:rPr>
          <w:lang w:val="en-US"/>
        </w:rPr>
        <w:t>c</w:t>
      </w:r>
      <w:r w:rsidR="00DB51A5">
        <w:rPr>
          <w:lang w:val="en-US"/>
        </w:rPr>
        <w:t xml:space="preserve">ourt both rejected the </w:t>
      </w:r>
      <w:r w:rsidR="00E71BC2">
        <w:rPr>
          <w:lang w:val="en-US"/>
        </w:rPr>
        <w:t xml:space="preserve">author’s </w:t>
      </w:r>
      <w:r w:rsidR="00DB51A5">
        <w:rPr>
          <w:lang w:val="en-US"/>
        </w:rPr>
        <w:t>appeal challenging the decision of the Prosecutor General</w:t>
      </w:r>
      <w:r w:rsidR="002613F4">
        <w:rPr>
          <w:lang w:val="en-US"/>
        </w:rPr>
        <w:t>,</w:t>
      </w:r>
      <w:r w:rsidR="00DB51A5">
        <w:rPr>
          <w:lang w:val="en-US"/>
        </w:rPr>
        <w:t xml:space="preserve"> on the ground that there was no credible evidence that a crime </w:t>
      </w:r>
      <w:r w:rsidR="00E71BC2">
        <w:rPr>
          <w:lang w:val="en-US"/>
        </w:rPr>
        <w:t>had</w:t>
      </w:r>
      <w:r w:rsidR="000B16E0">
        <w:rPr>
          <w:lang w:val="en-US"/>
        </w:rPr>
        <w:t xml:space="preserve"> been</w:t>
      </w:r>
      <w:r w:rsidR="00DB51A5">
        <w:rPr>
          <w:lang w:val="en-US"/>
        </w:rPr>
        <w:t xml:space="preserve"> committed</w:t>
      </w:r>
      <w:r w:rsidR="000B16E0">
        <w:rPr>
          <w:lang w:val="en-US"/>
        </w:rPr>
        <w:t>,</w:t>
      </w:r>
      <w:r w:rsidR="00DB51A5">
        <w:rPr>
          <w:lang w:val="en-US"/>
        </w:rPr>
        <w:t xml:space="preserve"> referring to the findings of the prosecutor’s office</w:t>
      </w:r>
      <w:r w:rsidR="00DB51A5" w:rsidRPr="005671D3">
        <w:rPr>
          <w:lang w:val="en-US"/>
        </w:rPr>
        <w:t>.</w:t>
      </w:r>
      <w:r w:rsidR="00DB51A5">
        <w:rPr>
          <w:lang w:val="en-US"/>
        </w:rPr>
        <w:t xml:space="preserve"> </w:t>
      </w:r>
      <w:r w:rsidR="00543FD7">
        <w:t xml:space="preserve">In the light of the </w:t>
      </w:r>
      <w:r w:rsidR="00F934C6">
        <w:t>above</w:t>
      </w:r>
      <w:r w:rsidR="00543FD7">
        <w:t xml:space="preserve">, the Committee considers the author’s claims </w:t>
      </w:r>
      <w:r w:rsidR="00B3609F">
        <w:t>under articles 7 and 9, read alone and in conjunction with article 2</w:t>
      </w:r>
      <w:r w:rsidR="00D150F2">
        <w:t xml:space="preserve"> </w:t>
      </w:r>
      <w:r w:rsidR="000B16E0">
        <w:t>(</w:t>
      </w:r>
      <w:r w:rsidR="00B3609F">
        <w:t>3</w:t>
      </w:r>
      <w:r w:rsidR="000B16E0">
        <w:t>)</w:t>
      </w:r>
      <w:r w:rsidR="00B3609F">
        <w:t xml:space="preserve"> of the Covenant, </w:t>
      </w:r>
      <w:r w:rsidR="00543FD7">
        <w:t>inadmissible under article 2 of the Optional Protocol, as they are insufficiently substantiated.</w:t>
      </w:r>
    </w:p>
    <w:p w:rsidR="006D701C" w:rsidRPr="006D701C" w:rsidRDefault="00F934C6" w:rsidP="006D701C">
      <w:pPr>
        <w:pStyle w:val="SingleTxtG"/>
      </w:pPr>
      <w:r>
        <w:t>7.5</w:t>
      </w:r>
      <w:r w:rsidR="00B544A7">
        <w:tab/>
      </w:r>
      <w:r w:rsidR="00543FD7">
        <w:t xml:space="preserve">The Committee notes the author’s claim that the </w:t>
      </w:r>
      <w:r w:rsidR="000B16E0">
        <w:t>refusal</w:t>
      </w:r>
      <w:r w:rsidR="00543FD7">
        <w:t xml:space="preserve"> </w:t>
      </w:r>
      <w:r w:rsidR="000B16E0">
        <w:t xml:space="preserve">to </w:t>
      </w:r>
      <w:r w:rsidR="00543FD7">
        <w:t xml:space="preserve">open </w:t>
      </w:r>
      <w:r w:rsidR="000B16E0">
        <w:t xml:space="preserve">a </w:t>
      </w:r>
      <w:r w:rsidR="00543FD7">
        <w:t xml:space="preserve">criminal investigation and </w:t>
      </w:r>
      <w:r w:rsidR="000B16E0">
        <w:t xml:space="preserve">the </w:t>
      </w:r>
      <w:r w:rsidR="00543FD7">
        <w:t>subsequent rejection of his claims by the courts are in violation of article 14</w:t>
      </w:r>
      <w:r w:rsidR="00D150F2">
        <w:t xml:space="preserve"> </w:t>
      </w:r>
      <w:r w:rsidR="000B16E0">
        <w:t>(</w:t>
      </w:r>
      <w:r w:rsidR="00543FD7">
        <w:t>1</w:t>
      </w:r>
      <w:r w:rsidR="000B16E0">
        <w:t>)</w:t>
      </w:r>
      <w:r w:rsidR="00D150F2">
        <w:t>, of the Covenant</w:t>
      </w:r>
      <w:r w:rsidR="00543FD7">
        <w:t>. The Committee recalls</w:t>
      </w:r>
      <w:r w:rsidR="000B16E0">
        <w:t>,</w:t>
      </w:r>
      <w:r w:rsidR="00543FD7">
        <w:t xml:space="preserve"> however</w:t>
      </w:r>
      <w:r w:rsidR="000B16E0">
        <w:t>,</w:t>
      </w:r>
      <w:r w:rsidR="00543FD7">
        <w:t xml:space="preserve"> that </w:t>
      </w:r>
      <w:r w:rsidR="00202310">
        <w:t xml:space="preserve">article 14 of the </w:t>
      </w:r>
      <w:r w:rsidR="0032652F">
        <w:t xml:space="preserve">Covenant </w:t>
      </w:r>
      <w:r w:rsidR="00543FD7">
        <w:t>does not provide for the right to see another person criminally prosecuted.</w:t>
      </w:r>
      <w:r w:rsidR="00543FD7">
        <w:rPr>
          <w:rStyle w:val="FootnoteReference"/>
        </w:rPr>
        <w:footnoteReference w:id="6"/>
      </w:r>
      <w:r w:rsidR="00543FD7">
        <w:t xml:space="preserve"> Accordingly</w:t>
      </w:r>
      <w:r w:rsidR="00A9209A">
        <w:t>,</w:t>
      </w:r>
      <w:r w:rsidR="00543FD7">
        <w:t xml:space="preserve"> this part of the communication is inadmissible </w:t>
      </w:r>
      <w:r w:rsidR="00543FD7" w:rsidRPr="00CE190F">
        <w:rPr>
          <w:i/>
        </w:rPr>
        <w:t>ratione materia</w:t>
      </w:r>
      <w:r w:rsidR="00D150F2">
        <w:rPr>
          <w:i/>
        </w:rPr>
        <w:t>e</w:t>
      </w:r>
      <w:r w:rsidR="00543FD7">
        <w:t xml:space="preserve"> as incompatible with the provisions of the Covenant. </w:t>
      </w:r>
    </w:p>
    <w:p w:rsidR="00AF089A" w:rsidRPr="00AF089A" w:rsidRDefault="00AF089A" w:rsidP="00AF089A">
      <w:pPr>
        <w:pStyle w:val="SingleTxtG"/>
        <w:rPr>
          <w:lang w:val="en-US"/>
        </w:rPr>
      </w:pPr>
      <w:r w:rsidRPr="00AF089A">
        <w:t>8.</w:t>
      </w:r>
      <w:r w:rsidRPr="00AF089A">
        <w:tab/>
        <w:t>The Committee therefore decides:</w:t>
      </w:r>
    </w:p>
    <w:p w:rsidR="00AF089A" w:rsidRPr="00510412" w:rsidRDefault="00AF089A" w:rsidP="00AF089A">
      <w:pPr>
        <w:pStyle w:val="SingleTxtG"/>
      </w:pPr>
      <w:r w:rsidRPr="00AF089A">
        <w:rPr>
          <w:lang w:val="en-US"/>
        </w:rPr>
        <w:tab/>
      </w:r>
      <w:r w:rsidRPr="00AF089A">
        <w:t>(a)</w:t>
      </w:r>
      <w:r w:rsidRPr="00AF089A">
        <w:tab/>
        <w:t>That the communication is inadmissible under article</w:t>
      </w:r>
      <w:r w:rsidR="0032652F">
        <w:t>s</w:t>
      </w:r>
      <w:r w:rsidRPr="00AF089A">
        <w:t xml:space="preserve"> 2 </w:t>
      </w:r>
      <w:r w:rsidR="0032652F">
        <w:t xml:space="preserve">and 3 </w:t>
      </w:r>
      <w:r w:rsidRPr="00AF089A">
        <w:t>of the Optional Protocol;</w:t>
      </w:r>
    </w:p>
    <w:p w:rsidR="00D721CC" w:rsidRDefault="00AF089A" w:rsidP="001C05C2">
      <w:pPr>
        <w:pStyle w:val="SingleTxtG"/>
      </w:pPr>
      <w:r w:rsidRPr="00510412">
        <w:tab/>
      </w:r>
      <w:r w:rsidRPr="00AF089A">
        <w:t>(b)</w:t>
      </w:r>
      <w:r w:rsidRPr="00AF089A">
        <w:tab/>
        <w:t xml:space="preserve">That </w:t>
      </w:r>
      <w:r w:rsidRPr="00AF089A">
        <w:rPr>
          <w:lang w:val="en-US"/>
        </w:rPr>
        <w:t>this decision shall</w:t>
      </w:r>
      <w:r w:rsidRPr="00AF089A">
        <w:t xml:space="preserve"> be transmitted to the State party and to the author</w:t>
      </w:r>
      <w:r w:rsidRPr="00AF089A">
        <w:rPr>
          <w:lang w:val="en-US"/>
        </w:rPr>
        <w:t xml:space="preserve"> of the communication</w:t>
      </w:r>
      <w:r w:rsidRPr="00AF089A">
        <w:t>.</w:t>
      </w:r>
    </w:p>
    <w:p w:rsidR="001C05C2" w:rsidRPr="001C05C2" w:rsidRDefault="001C05C2" w:rsidP="001C05C2">
      <w:pPr>
        <w:pStyle w:val="SingleTxtG"/>
        <w:spacing w:before="240" w:after="0"/>
        <w:jc w:val="center"/>
        <w:rPr>
          <w:u w:val="single"/>
        </w:rPr>
      </w:pPr>
      <w:r>
        <w:rPr>
          <w:u w:val="single"/>
        </w:rPr>
        <w:tab/>
      </w:r>
      <w:r>
        <w:rPr>
          <w:u w:val="single"/>
        </w:rPr>
        <w:tab/>
      </w:r>
      <w:r>
        <w:rPr>
          <w:u w:val="single"/>
        </w:rPr>
        <w:tab/>
      </w:r>
    </w:p>
    <w:sectPr w:rsidR="001C05C2" w:rsidRPr="001C05C2" w:rsidSect="00A22ACA">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1C" w:rsidRDefault="007C4A1C"/>
  </w:endnote>
  <w:endnote w:type="continuationSeparator" w:id="0">
    <w:p w:rsidR="007C4A1C" w:rsidRDefault="007C4A1C"/>
  </w:endnote>
  <w:endnote w:type="continuationNotice" w:id="1">
    <w:p w:rsidR="007C4A1C" w:rsidRDefault="007C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98" w:rsidRPr="00512547" w:rsidRDefault="00B70198" w:rsidP="00512547">
    <w:pPr>
      <w:pStyle w:val="Footer"/>
      <w:tabs>
        <w:tab w:val="right" w:pos="9638"/>
      </w:tabs>
    </w:pPr>
    <w:r w:rsidRPr="00512547">
      <w:rPr>
        <w:b/>
        <w:sz w:val="18"/>
      </w:rPr>
      <w:fldChar w:fldCharType="begin"/>
    </w:r>
    <w:r w:rsidRPr="00512547">
      <w:rPr>
        <w:b/>
        <w:sz w:val="18"/>
      </w:rPr>
      <w:instrText xml:space="preserve"> PAGE  \* MERGEFORMAT </w:instrText>
    </w:r>
    <w:r w:rsidRPr="00512547">
      <w:rPr>
        <w:b/>
        <w:sz w:val="18"/>
      </w:rPr>
      <w:fldChar w:fldCharType="separate"/>
    </w:r>
    <w:r w:rsidR="00427C4B">
      <w:rPr>
        <w:b/>
        <w:noProof/>
        <w:sz w:val="18"/>
      </w:rPr>
      <w:t>2</w:t>
    </w:r>
    <w:r w:rsidRPr="0051254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98" w:rsidRPr="00512547" w:rsidRDefault="00B70198" w:rsidP="00512547">
    <w:pPr>
      <w:pStyle w:val="Footer"/>
      <w:tabs>
        <w:tab w:val="right" w:pos="9638"/>
      </w:tabs>
      <w:rPr>
        <w:b/>
        <w:sz w:val="18"/>
      </w:rPr>
    </w:pPr>
    <w:r>
      <w:tab/>
    </w:r>
    <w:r w:rsidRPr="00512547">
      <w:rPr>
        <w:b/>
        <w:sz w:val="18"/>
      </w:rPr>
      <w:fldChar w:fldCharType="begin"/>
    </w:r>
    <w:r w:rsidRPr="00512547">
      <w:rPr>
        <w:b/>
        <w:sz w:val="18"/>
      </w:rPr>
      <w:instrText xml:space="preserve"> PAGE  \* MERGEFORMAT </w:instrText>
    </w:r>
    <w:r w:rsidRPr="00512547">
      <w:rPr>
        <w:b/>
        <w:sz w:val="18"/>
      </w:rPr>
      <w:fldChar w:fldCharType="separate"/>
    </w:r>
    <w:r w:rsidR="00427C4B">
      <w:rPr>
        <w:b/>
        <w:noProof/>
        <w:sz w:val="18"/>
      </w:rPr>
      <w:t>3</w:t>
    </w:r>
    <w:r w:rsidRPr="0051254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98" w:rsidRDefault="00A12A8A" w:rsidP="00A12A8A">
    <w:pPr>
      <w:pStyle w:val="Footer"/>
      <w:rPr>
        <w:sz w:val="20"/>
      </w:rPr>
    </w:pPr>
    <w:r w:rsidRPr="00A12A8A">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A12A8A" w:rsidRDefault="00A12A8A" w:rsidP="00A12A8A">
    <w:pPr>
      <w:pStyle w:val="Footer"/>
      <w:ind w:right="1134"/>
      <w:rPr>
        <w:sz w:val="20"/>
      </w:rPr>
    </w:pPr>
    <w:r>
      <w:rPr>
        <w:sz w:val="20"/>
      </w:rPr>
      <w:t>GE.16-11905(E)</w:t>
    </w:r>
  </w:p>
  <w:p w:rsidR="00A12A8A" w:rsidRPr="00A12A8A" w:rsidRDefault="00A12A8A" w:rsidP="00A12A8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5000" cy="635000"/>
          <wp:effectExtent l="0" t="0" r="0" b="0"/>
          <wp:wrapNone/>
          <wp:docPr id="1" name="Picture 1" descr="http://undocs.org/m2/QRCode.ashx?DS=CCPR/C/116/D/2084/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084/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1C" w:rsidRPr="000B175B" w:rsidRDefault="007C4A1C" w:rsidP="000B175B">
      <w:pPr>
        <w:tabs>
          <w:tab w:val="right" w:pos="2155"/>
        </w:tabs>
        <w:spacing w:after="80"/>
        <w:ind w:left="680"/>
        <w:rPr>
          <w:u w:val="single"/>
        </w:rPr>
      </w:pPr>
      <w:r>
        <w:rPr>
          <w:u w:val="single"/>
        </w:rPr>
        <w:tab/>
      </w:r>
    </w:p>
  </w:footnote>
  <w:footnote w:type="continuationSeparator" w:id="0">
    <w:p w:rsidR="007C4A1C" w:rsidRPr="00FC68B7" w:rsidRDefault="007C4A1C" w:rsidP="00FC68B7">
      <w:pPr>
        <w:tabs>
          <w:tab w:val="left" w:pos="2155"/>
        </w:tabs>
        <w:spacing w:after="80"/>
        <w:ind w:left="680"/>
        <w:rPr>
          <w:u w:val="single"/>
        </w:rPr>
      </w:pPr>
      <w:r>
        <w:rPr>
          <w:u w:val="single"/>
        </w:rPr>
        <w:tab/>
      </w:r>
    </w:p>
  </w:footnote>
  <w:footnote w:type="continuationNotice" w:id="1">
    <w:p w:rsidR="007C4A1C" w:rsidRDefault="007C4A1C"/>
  </w:footnote>
  <w:footnote w:id="2">
    <w:p w:rsidR="00B70198" w:rsidRPr="00A22ACA" w:rsidRDefault="00B70198" w:rsidP="00E04392">
      <w:pPr>
        <w:pStyle w:val="FootnoteText"/>
        <w:rPr>
          <w:lang w:val="en-US"/>
        </w:rPr>
      </w:pPr>
      <w:r>
        <w:rPr>
          <w:rStyle w:val="FootnoteReference"/>
        </w:rPr>
        <w:tab/>
      </w:r>
      <w:r w:rsidRPr="00A22ACA">
        <w:rPr>
          <w:rStyle w:val="FootnoteReference"/>
          <w:sz w:val="20"/>
          <w:vertAlign w:val="baseline"/>
        </w:rPr>
        <w:t>*</w:t>
      </w:r>
      <w:r>
        <w:rPr>
          <w:rStyle w:val="FootnoteReference"/>
        </w:rPr>
        <w:tab/>
      </w:r>
      <w:r>
        <w:t xml:space="preserve">Adopted by the Committee </w:t>
      </w:r>
      <w:r w:rsidRPr="009E4187">
        <w:t xml:space="preserve">at its </w:t>
      </w:r>
      <w:r w:rsidRPr="00A22ACA">
        <w:rPr>
          <w:lang w:val="en-US"/>
        </w:rPr>
        <w:t>116th</w:t>
      </w:r>
      <w:r w:rsidRPr="009E4187">
        <w:t xml:space="preserve"> session (</w:t>
      </w:r>
      <w:r w:rsidRPr="00A22ACA">
        <w:rPr>
          <w:lang w:val="en-US"/>
        </w:rPr>
        <w:t>7-31 March 2016</w:t>
      </w:r>
      <w:r w:rsidRPr="009E4187">
        <w:t>).</w:t>
      </w:r>
    </w:p>
  </w:footnote>
  <w:footnote w:id="3">
    <w:p w:rsidR="00B70198" w:rsidRPr="00A22ACA" w:rsidRDefault="00B70198" w:rsidP="00E04392">
      <w:pPr>
        <w:pStyle w:val="FootnoteText"/>
        <w:rPr>
          <w:lang w:val="en-US"/>
        </w:rPr>
      </w:pPr>
      <w:r>
        <w:rPr>
          <w:rStyle w:val="FootnoteReference"/>
        </w:rPr>
        <w:tab/>
      </w:r>
      <w:r w:rsidRPr="00A22ACA">
        <w:rPr>
          <w:rStyle w:val="FootnoteReference"/>
          <w:sz w:val="20"/>
          <w:vertAlign w:val="baseline"/>
        </w:rPr>
        <w:t>**</w:t>
      </w:r>
      <w:r w:rsidRPr="00A22ACA">
        <w:rPr>
          <w:lang w:val="en-US"/>
        </w:rPr>
        <w:tab/>
      </w:r>
      <w:r>
        <w:t>The following members of the Committee participated in the examination of the communication:</w:t>
      </w:r>
      <w:r w:rsidRPr="00465BDB">
        <w:t xml:space="preserve">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Olivier de Frouville, </w:t>
      </w:r>
      <w:r w:rsidRPr="00C455EA">
        <w:rPr>
          <w:szCs w:val="18"/>
        </w:rPr>
        <w:t>Ahmed Amin Fathalla</w:t>
      </w:r>
      <w:r>
        <w:rPr>
          <w:szCs w:val="18"/>
        </w:rPr>
        <w:t xml:space="preserve">, </w:t>
      </w:r>
      <w:r w:rsidRPr="00C455EA">
        <w:rPr>
          <w:szCs w:val="18"/>
        </w:rPr>
        <w:t>Yuji Iwasawa</w:t>
      </w:r>
      <w:r>
        <w:rPr>
          <w:szCs w:val="18"/>
        </w:rPr>
        <w:t xml:space="preserve">, Ivana Jelić, </w:t>
      </w:r>
      <w:r w:rsidRPr="00C455EA">
        <w:rPr>
          <w:szCs w:val="18"/>
        </w:rPr>
        <w:t xml:space="preserve">Duncan </w:t>
      </w:r>
      <w:r>
        <w:rPr>
          <w:szCs w:val="18"/>
        </w:rPr>
        <w:t xml:space="preserve">Laki </w:t>
      </w:r>
      <w:r w:rsidRPr="00C455EA">
        <w:rPr>
          <w:szCs w:val="18"/>
        </w:rPr>
        <w:t>Muhumuza</w:t>
      </w:r>
      <w:r>
        <w:rPr>
          <w:szCs w:val="18"/>
        </w:rPr>
        <w:t xml:space="preserve">, </w:t>
      </w:r>
      <w:r w:rsidRPr="00C455EA">
        <w:rPr>
          <w:szCs w:val="18"/>
        </w:rPr>
        <w:t>Photini Pazartzis</w:t>
      </w:r>
      <w:r>
        <w:rPr>
          <w:szCs w:val="18"/>
        </w:rPr>
        <w:t xml:space="preserve">, </w:t>
      </w:r>
      <w:r>
        <w:rPr>
          <w:bCs/>
          <w:szCs w:val="18"/>
        </w:rPr>
        <w:t>Sir</w:t>
      </w:r>
      <w:r>
        <w:rPr>
          <w:szCs w:val="18"/>
        </w:rPr>
        <w:t xml:space="preserve"> Nigel Rodley, </w:t>
      </w:r>
      <w:r w:rsidRPr="00C455EA">
        <w:rPr>
          <w:szCs w:val="18"/>
        </w:rPr>
        <w:t>V</w:t>
      </w:r>
      <w:r>
        <w:rPr>
          <w:szCs w:val="18"/>
        </w:rPr>
        <w:t>í</w:t>
      </w:r>
      <w:r w:rsidRPr="00C455EA">
        <w:rPr>
          <w:szCs w:val="18"/>
        </w:rPr>
        <w:t>ctor</w:t>
      </w:r>
      <w:r w:rsidR="00784BD5">
        <w:rPr>
          <w:szCs w:val="18"/>
        </w:rPr>
        <w:t> </w:t>
      </w:r>
      <w:r w:rsidRPr="00C455EA">
        <w:rPr>
          <w:szCs w:val="18"/>
        </w:rPr>
        <w:t>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4">
    <w:p w:rsidR="00B70198" w:rsidRPr="00F77C26" w:rsidRDefault="00B70198" w:rsidP="001C05C2">
      <w:pPr>
        <w:pStyle w:val="FootnoteText"/>
      </w:pPr>
      <w:r>
        <w:tab/>
      </w:r>
      <w:r>
        <w:rPr>
          <w:rStyle w:val="FootnoteReference"/>
        </w:rPr>
        <w:footnoteRef/>
      </w:r>
      <w:r>
        <w:tab/>
      </w:r>
      <w:r w:rsidRPr="006F31B1">
        <w:t xml:space="preserve">The </w:t>
      </w:r>
      <w:r w:rsidRPr="001C05C2">
        <w:t>note</w:t>
      </w:r>
      <w:r w:rsidRPr="006F31B1">
        <w:t xml:space="preserve"> verbale is of a general nature and refers to a number of communications registered with the Committee. </w:t>
      </w:r>
    </w:p>
  </w:footnote>
  <w:footnote w:id="5">
    <w:p w:rsidR="00B70198" w:rsidRDefault="00B70198" w:rsidP="00512547">
      <w:pPr>
        <w:pStyle w:val="FootnoteText"/>
      </w:pPr>
      <w:r>
        <w:tab/>
      </w:r>
      <w:r>
        <w:rPr>
          <w:rStyle w:val="FootnoteReference"/>
        </w:rPr>
        <w:footnoteRef/>
      </w:r>
      <w:r>
        <w:tab/>
      </w:r>
      <w:r w:rsidRPr="00E94088">
        <w:t>See communication</w:t>
      </w:r>
      <w:r>
        <w:t>s</w:t>
      </w:r>
      <w:r w:rsidRPr="00E94088">
        <w:t xml:space="preserve"> No. 869/1999, </w:t>
      </w:r>
      <w:r w:rsidRPr="00E94088">
        <w:rPr>
          <w:i/>
        </w:rPr>
        <w:t>Piandiong et al. v. Philippines</w:t>
      </w:r>
      <w:r w:rsidRPr="00E94088">
        <w:t xml:space="preserve">, </w:t>
      </w:r>
      <w:r>
        <w:t xml:space="preserve">Views adopted on </w:t>
      </w:r>
      <w:r w:rsidRPr="006E3134">
        <w:t>19 October 2000</w:t>
      </w:r>
      <w:r>
        <w:t>,</w:t>
      </w:r>
      <w:r w:rsidRPr="006E3134">
        <w:t xml:space="preserve"> </w:t>
      </w:r>
      <w:r w:rsidRPr="00E94088">
        <w:t>para. 5.1</w:t>
      </w:r>
      <w:r>
        <w:t xml:space="preserve">, </w:t>
      </w:r>
      <w:r w:rsidRPr="00E94088">
        <w:t>Nos. 1867/2009, 1936/2010, 1975/2010, 1977/2010, 1978/2010, 1979/2010, 1980/2010, 1981/2010 and 2010/2010</w:t>
      </w:r>
      <w:r>
        <w:t xml:space="preserve">, </w:t>
      </w:r>
      <w:r w:rsidRPr="00E94088">
        <w:rPr>
          <w:i/>
        </w:rPr>
        <w:t>Levinov v. Belarus</w:t>
      </w:r>
      <w:r w:rsidRPr="00A22ACA">
        <w:t>,</w:t>
      </w:r>
      <w:r>
        <w:t xml:space="preserve"> Views adopted on</w:t>
      </w:r>
      <w:r w:rsidRPr="00A22ACA">
        <w:t xml:space="preserve"> </w:t>
      </w:r>
      <w:r w:rsidRPr="00E94088">
        <w:t>19 July 2012</w:t>
      </w:r>
      <w:r>
        <w:t xml:space="preserve">, </w:t>
      </w:r>
      <w:r w:rsidRPr="00E94088">
        <w:t xml:space="preserve">para. </w:t>
      </w:r>
      <w:r>
        <w:t xml:space="preserve">8.2; No. 1948/2010, </w:t>
      </w:r>
      <w:r>
        <w:rPr>
          <w:i/>
        </w:rPr>
        <w:t>Turchenyak et al. v. Belarus</w:t>
      </w:r>
      <w:r w:rsidRPr="00A22ACA">
        <w:t>,</w:t>
      </w:r>
      <w:r>
        <w:rPr>
          <w:i/>
        </w:rPr>
        <w:t xml:space="preserve"> </w:t>
      </w:r>
      <w:r>
        <w:t>Views adopted on 24 July 2013, para 5.2 and No.</w:t>
      </w:r>
      <w:r w:rsidR="00C716E1">
        <w:t> </w:t>
      </w:r>
      <w:r>
        <w:t xml:space="preserve">1950/2010, </w:t>
      </w:r>
      <w:r>
        <w:rPr>
          <w:i/>
        </w:rPr>
        <w:t>Timoshenko v. Belarus</w:t>
      </w:r>
      <w:r w:rsidRPr="00A22ACA">
        <w:t>,</w:t>
      </w:r>
      <w:r>
        <w:rPr>
          <w:i/>
        </w:rPr>
        <w:t xml:space="preserve"> </w:t>
      </w:r>
      <w:r w:rsidRPr="00510412">
        <w:t>Views adopted on 22 July 2015</w:t>
      </w:r>
      <w:r w:rsidRPr="00510412">
        <w:rPr>
          <w:i/>
        </w:rPr>
        <w:t xml:space="preserve">, </w:t>
      </w:r>
      <w:r w:rsidRPr="00510412">
        <w:t xml:space="preserve">para. 5.2. </w:t>
      </w:r>
    </w:p>
  </w:footnote>
  <w:footnote w:id="6">
    <w:p w:rsidR="00B70198" w:rsidRPr="00CE190F" w:rsidRDefault="00B70198">
      <w:pPr>
        <w:pStyle w:val="FootnoteText"/>
        <w:rPr>
          <w:lang w:val="en-US"/>
        </w:rPr>
      </w:pPr>
      <w:r>
        <w:tab/>
      </w:r>
      <w:r>
        <w:rPr>
          <w:rStyle w:val="FootnoteReference"/>
        </w:rPr>
        <w:footnoteRef/>
      </w:r>
      <w:r>
        <w:tab/>
        <w:t xml:space="preserve">See communication </w:t>
      </w:r>
      <w:r w:rsidR="000B16E0">
        <w:t xml:space="preserve">No. </w:t>
      </w:r>
      <w:r>
        <w:rPr>
          <w:lang w:val="en-US"/>
        </w:rPr>
        <w:t xml:space="preserve">213/1986, </w:t>
      </w:r>
      <w:r>
        <w:rPr>
          <w:i/>
          <w:lang w:val="en-US"/>
        </w:rPr>
        <w:t xml:space="preserve">H.C.M.A. v. </w:t>
      </w:r>
      <w:r w:rsidRPr="0032652F">
        <w:rPr>
          <w:i/>
          <w:lang w:val="en-US"/>
        </w:rPr>
        <w:t>Netherlands</w:t>
      </w:r>
      <w:r>
        <w:rPr>
          <w:lang w:val="en-US"/>
        </w:rPr>
        <w:t xml:space="preserve">, decision of inadmissibility adopted on 30 March 1989, </w:t>
      </w:r>
      <w:r w:rsidRPr="0032652F">
        <w:rPr>
          <w:lang w:val="en-US"/>
        </w:rPr>
        <w:t>para</w:t>
      </w:r>
      <w:r>
        <w:rPr>
          <w:lang w:val="en-US"/>
        </w:rPr>
        <w:t xml:space="preserve"> 11.6</w:t>
      </w:r>
      <w:r w:rsidR="00C716E1">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98" w:rsidRPr="00512547" w:rsidRDefault="00B70198">
    <w:pPr>
      <w:pStyle w:val="Header"/>
    </w:pPr>
    <w:r>
      <w:t>CCPR/C/116/D/2084/2011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198" w:rsidRPr="00512547" w:rsidRDefault="00B70198" w:rsidP="00512547">
    <w:pPr>
      <w:pStyle w:val="Header"/>
      <w:jc w:val="right"/>
    </w:pPr>
    <w:r>
      <w:t>CCPR/C/116/D/2084/2011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47"/>
    <w:rsid w:val="000000B6"/>
    <w:rsid w:val="0000263A"/>
    <w:rsid w:val="00010FA9"/>
    <w:rsid w:val="0001348D"/>
    <w:rsid w:val="000272B3"/>
    <w:rsid w:val="00033EF9"/>
    <w:rsid w:val="00041B2C"/>
    <w:rsid w:val="00050F6B"/>
    <w:rsid w:val="00055E9D"/>
    <w:rsid w:val="00057E97"/>
    <w:rsid w:val="00060C3A"/>
    <w:rsid w:val="00072C8C"/>
    <w:rsid w:val="000733B5"/>
    <w:rsid w:val="00075CD5"/>
    <w:rsid w:val="00081815"/>
    <w:rsid w:val="000931C0"/>
    <w:rsid w:val="000B16E0"/>
    <w:rsid w:val="000B175B"/>
    <w:rsid w:val="000B2548"/>
    <w:rsid w:val="000B3A0F"/>
    <w:rsid w:val="000B4EF7"/>
    <w:rsid w:val="000C0B81"/>
    <w:rsid w:val="000C1D0F"/>
    <w:rsid w:val="000C2C03"/>
    <w:rsid w:val="000C2D2E"/>
    <w:rsid w:val="000E00E3"/>
    <w:rsid w:val="000E0415"/>
    <w:rsid w:val="000E0CA4"/>
    <w:rsid w:val="00107CA1"/>
    <w:rsid w:val="001103AA"/>
    <w:rsid w:val="00117F12"/>
    <w:rsid w:val="00130018"/>
    <w:rsid w:val="00131750"/>
    <w:rsid w:val="00132F5F"/>
    <w:rsid w:val="001375DF"/>
    <w:rsid w:val="00165F3A"/>
    <w:rsid w:val="0016702E"/>
    <w:rsid w:val="00181895"/>
    <w:rsid w:val="00183968"/>
    <w:rsid w:val="0018446B"/>
    <w:rsid w:val="0018476F"/>
    <w:rsid w:val="001A6686"/>
    <w:rsid w:val="001B07C6"/>
    <w:rsid w:val="001B20B4"/>
    <w:rsid w:val="001B4B04"/>
    <w:rsid w:val="001B7AB9"/>
    <w:rsid w:val="001C05C2"/>
    <w:rsid w:val="001C6663"/>
    <w:rsid w:val="001C7895"/>
    <w:rsid w:val="001D0C8C"/>
    <w:rsid w:val="001D26DF"/>
    <w:rsid w:val="001D3A03"/>
    <w:rsid w:val="001D4659"/>
    <w:rsid w:val="001E2AE8"/>
    <w:rsid w:val="00202310"/>
    <w:rsid w:val="00202DA8"/>
    <w:rsid w:val="002076D5"/>
    <w:rsid w:val="00211E0B"/>
    <w:rsid w:val="0023111D"/>
    <w:rsid w:val="0023210C"/>
    <w:rsid w:val="002327A0"/>
    <w:rsid w:val="002410EA"/>
    <w:rsid w:val="002425F2"/>
    <w:rsid w:val="002426CB"/>
    <w:rsid w:val="002462C7"/>
    <w:rsid w:val="002613F4"/>
    <w:rsid w:val="00267F5F"/>
    <w:rsid w:val="00286B4D"/>
    <w:rsid w:val="00287267"/>
    <w:rsid w:val="002A3118"/>
    <w:rsid w:val="002A63D5"/>
    <w:rsid w:val="002A699A"/>
    <w:rsid w:val="002C5763"/>
    <w:rsid w:val="002E2A8B"/>
    <w:rsid w:val="002F175C"/>
    <w:rsid w:val="00303CAF"/>
    <w:rsid w:val="00306BF5"/>
    <w:rsid w:val="003229D8"/>
    <w:rsid w:val="0032652F"/>
    <w:rsid w:val="00340A77"/>
    <w:rsid w:val="00340F47"/>
    <w:rsid w:val="003460AE"/>
    <w:rsid w:val="00347B6B"/>
    <w:rsid w:val="00352709"/>
    <w:rsid w:val="00363A46"/>
    <w:rsid w:val="00367567"/>
    <w:rsid w:val="00371178"/>
    <w:rsid w:val="0038336C"/>
    <w:rsid w:val="0038559B"/>
    <w:rsid w:val="003861D6"/>
    <w:rsid w:val="003934A0"/>
    <w:rsid w:val="003A6810"/>
    <w:rsid w:val="003B65E2"/>
    <w:rsid w:val="003C2CC4"/>
    <w:rsid w:val="003C5CC9"/>
    <w:rsid w:val="003D4541"/>
    <w:rsid w:val="003D4B23"/>
    <w:rsid w:val="003E70E9"/>
    <w:rsid w:val="003F6C26"/>
    <w:rsid w:val="00406C80"/>
    <w:rsid w:val="00410C89"/>
    <w:rsid w:val="004158AD"/>
    <w:rsid w:val="004207E8"/>
    <w:rsid w:val="00424E1C"/>
    <w:rsid w:val="00426B9B"/>
    <w:rsid w:val="00427C4B"/>
    <w:rsid w:val="004325CB"/>
    <w:rsid w:val="0043370E"/>
    <w:rsid w:val="00433825"/>
    <w:rsid w:val="00436B33"/>
    <w:rsid w:val="00442A83"/>
    <w:rsid w:val="004523D1"/>
    <w:rsid w:val="0045495B"/>
    <w:rsid w:val="00457835"/>
    <w:rsid w:val="004611C1"/>
    <w:rsid w:val="0046221B"/>
    <w:rsid w:val="004765EF"/>
    <w:rsid w:val="0048378D"/>
    <w:rsid w:val="00487488"/>
    <w:rsid w:val="0048790F"/>
    <w:rsid w:val="004A1242"/>
    <w:rsid w:val="004B2B84"/>
    <w:rsid w:val="004E2DEE"/>
    <w:rsid w:val="004E3AD2"/>
    <w:rsid w:val="004F7EBD"/>
    <w:rsid w:val="00502C9A"/>
    <w:rsid w:val="00507E77"/>
    <w:rsid w:val="00510412"/>
    <w:rsid w:val="00512547"/>
    <w:rsid w:val="0052136D"/>
    <w:rsid w:val="0052395D"/>
    <w:rsid w:val="0052775E"/>
    <w:rsid w:val="005420F2"/>
    <w:rsid w:val="00543FD7"/>
    <w:rsid w:val="00553515"/>
    <w:rsid w:val="005628B6"/>
    <w:rsid w:val="00566453"/>
    <w:rsid w:val="00566878"/>
    <w:rsid w:val="005671D3"/>
    <w:rsid w:val="0057709C"/>
    <w:rsid w:val="005848B3"/>
    <w:rsid w:val="005857FD"/>
    <w:rsid w:val="00590F87"/>
    <w:rsid w:val="00592C4A"/>
    <w:rsid w:val="00595181"/>
    <w:rsid w:val="005B18CD"/>
    <w:rsid w:val="005B3C7C"/>
    <w:rsid w:val="005B3DB3"/>
    <w:rsid w:val="005C789F"/>
    <w:rsid w:val="005D1ABC"/>
    <w:rsid w:val="005E6FB1"/>
    <w:rsid w:val="005E7C5D"/>
    <w:rsid w:val="005F7717"/>
    <w:rsid w:val="005F772B"/>
    <w:rsid w:val="005F7B75"/>
    <w:rsid w:val="006001EE"/>
    <w:rsid w:val="00602A58"/>
    <w:rsid w:val="00605042"/>
    <w:rsid w:val="00611FC4"/>
    <w:rsid w:val="006149AD"/>
    <w:rsid w:val="006176FB"/>
    <w:rsid w:val="00640557"/>
    <w:rsid w:val="00640B26"/>
    <w:rsid w:val="00652D0A"/>
    <w:rsid w:val="00655731"/>
    <w:rsid w:val="00660FB0"/>
    <w:rsid w:val="00662BB6"/>
    <w:rsid w:val="00681061"/>
    <w:rsid w:val="00684C21"/>
    <w:rsid w:val="006979F7"/>
    <w:rsid w:val="006A0DEE"/>
    <w:rsid w:val="006A2284"/>
    <w:rsid w:val="006B05A8"/>
    <w:rsid w:val="006D37AF"/>
    <w:rsid w:val="006D51D0"/>
    <w:rsid w:val="006D701C"/>
    <w:rsid w:val="006E564B"/>
    <w:rsid w:val="006E5EC1"/>
    <w:rsid w:val="006E7191"/>
    <w:rsid w:val="006F31B1"/>
    <w:rsid w:val="00703577"/>
    <w:rsid w:val="00704A0E"/>
    <w:rsid w:val="00720BF3"/>
    <w:rsid w:val="0072632A"/>
    <w:rsid w:val="00731CDB"/>
    <w:rsid w:val="007327D5"/>
    <w:rsid w:val="007629C8"/>
    <w:rsid w:val="00784BD5"/>
    <w:rsid w:val="007A29B9"/>
    <w:rsid w:val="007B6BA5"/>
    <w:rsid w:val="007C3390"/>
    <w:rsid w:val="007C4A1C"/>
    <w:rsid w:val="007C4F4B"/>
    <w:rsid w:val="007C784F"/>
    <w:rsid w:val="007D1CB7"/>
    <w:rsid w:val="007D207F"/>
    <w:rsid w:val="007E0B2D"/>
    <w:rsid w:val="007E4B0F"/>
    <w:rsid w:val="007F6019"/>
    <w:rsid w:val="007F6611"/>
    <w:rsid w:val="007F7B4B"/>
    <w:rsid w:val="008105B8"/>
    <w:rsid w:val="008242D7"/>
    <w:rsid w:val="008257B1"/>
    <w:rsid w:val="008323DE"/>
    <w:rsid w:val="00843767"/>
    <w:rsid w:val="008679D9"/>
    <w:rsid w:val="00870AB5"/>
    <w:rsid w:val="00870AD1"/>
    <w:rsid w:val="00877E02"/>
    <w:rsid w:val="008821FE"/>
    <w:rsid w:val="00897768"/>
    <w:rsid w:val="008979B1"/>
    <w:rsid w:val="008A1DB2"/>
    <w:rsid w:val="008A56E2"/>
    <w:rsid w:val="008A6B25"/>
    <w:rsid w:val="008A6C4F"/>
    <w:rsid w:val="008B2335"/>
    <w:rsid w:val="008C3FEC"/>
    <w:rsid w:val="008D2434"/>
    <w:rsid w:val="008D5B3D"/>
    <w:rsid w:val="008D66F4"/>
    <w:rsid w:val="008E0678"/>
    <w:rsid w:val="008F015C"/>
    <w:rsid w:val="00910F40"/>
    <w:rsid w:val="009120DA"/>
    <w:rsid w:val="00912C08"/>
    <w:rsid w:val="0091309E"/>
    <w:rsid w:val="0091690C"/>
    <w:rsid w:val="009223CA"/>
    <w:rsid w:val="009253A6"/>
    <w:rsid w:val="00940F93"/>
    <w:rsid w:val="00946137"/>
    <w:rsid w:val="0095347F"/>
    <w:rsid w:val="0097486E"/>
    <w:rsid w:val="009760F3"/>
    <w:rsid w:val="009909F5"/>
    <w:rsid w:val="00997B7E"/>
    <w:rsid w:val="009A0E8D"/>
    <w:rsid w:val="009A700E"/>
    <w:rsid w:val="009B0D81"/>
    <w:rsid w:val="009B26E7"/>
    <w:rsid w:val="009B2E33"/>
    <w:rsid w:val="009C54B5"/>
    <w:rsid w:val="009C6F51"/>
    <w:rsid w:val="009E2776"/>
    <w:rsid w:val="009E3C2B"/>
    <w:rsid w:val="009E66F7"/>
    <w:rsid w:val="009F3727"/>
    <w:rsid w:val="00A00A3F"/>
    <w:rsid w:val="00A01489"/>
    <w:rsid w:val="00A11A86"/>
    <w:rsid w:val="00A12A8A"/>
    <w:rsid w:val="00A22ACA"/>
    <w:rsid w:val="00A26112"/>
    <w:rsid w:val="00A338F1"/>
    <w:rsid w:val="00A35688"/>
    <w:rsid w:val="00A44615"/>
    <w:rsid w:val="00A46908"/>
    <w:rsid w:val="00A63085"/>
    <w:rsid w:val="00A7166F"/>
    <w:rsid w:val="00A72F22"/>
    <w:rsid w:val="00A7360F"/>
    <w:rsid w:val="00A74076"/>
    <w:rsid w:val="00A74086"/>
    <w:rsid w:val="00A748A6"/>
    <w:rsid w:val="00A74902"/>
    <w:rsid w:val="00A769F4"/>
    <w:rsid w:val="00A776B4"/>
    <w:rsid w:val="00A9209A"/>
    <w:rsid w:val="00A94361"/>
    <w:rsid w:val="00A96A77"/>
    <w:rsid w:val="00AA293C"/>
    <w:rsid w:val="00AA78C8"/>
    <w:rsid w:val="00AC0338"/>
    <w:rsid w:val="00AC241F"/>
    <w:rsid w:val="00AF089A"/>
    <w:rsid w:val="00AF6E07"/>
    <w:rsid w:val="00B047F8"/>
    <w:rsid w:val="00B13E9B"/>
    <w:rsid w:val="00B1411E"/>
    <w:rsid w:val="00B14476"/>
    <w:rsid w:val="00B30179"/>
    <w:rsid w:val="00B339A7"/>
    <w:rsid w:val="00B3609F"/>
    <w:rsid w:val="00B36F90"/>
    <w:rsid w:val="00B40384"/>
    <w:rsid w:val="00B544A7"/>
    <w:rsid w:val="00B56E4A"/>
    <w:rsid w:val="00B56E9C"/>
    <w:rsid w:val="00B64B1F"/>
    <w:rsid w:val="00B6553F"/>
    <w:rsid w:val="00B66E5E"/>
    <w:rsid w:val="00B678F6"/>
    <w:rsid w:val="00B70198"/>
    <w:rsid w:val="00B77D05"/>
    <w:rsid w:val="00B8085C"/>
    <w:rsid w:val="00B81206"/>
    <w:rsid w:val="00B81E12"/>
    <w:rsid w:val="00B87BF7"/>
    <w:rsid w:val="00B9067B"/>
    <w:rsid w:val="00BA4D43"/>
    <w:rsid w:val="00BB5EB5"/>
    <w:rsid w:val="00BB70F6"/>
    <w:rsid w:val="00BC101F"/>
    <w:rsid w:val="00BC2C23"/>
    <w:rsid w:val="00BC74E9"/>
    <w:rsid w:val="00BD5480"/>
    <w:rsid w:val="00BF008F"/>
    <w:rsid w:val="00BF68A8"/>
    <w:rsid w:val="00C11A03"/>
    <w:rsid w:val="00C16068"/>
    <w:rsid w:val="00C20232"/>
    <w:rsid w:val="00C202D2"/>
    <w:rsid w:val="00C323EF"/>
    <w:rsid w:val="00C463DD"/>
    <w:rsid w:val="00C4724C"/>
    <w:rsid w:val="00C47894"/>
    <w:rsid w:val="00C629A0"/>
    <w:rsid w:val="00C716E1"/>
    <w:rsid w:val="00C745C3"/>
    <w:rsid w:val="00C770F5"/>
    <w:rsid w:val="00C82D92"/>
    <w:rsid w:val="00C83A81"/>
    <w:rsid w:val="00C93C0D"/>
    <w:rsid w:val="00CA71C1"/>
    <w:rsid w:val="00CE190F"/>
    <w:rsid w:val="00CE4A8F"/>
    <w:rsid w:val="00CE4CA2"/>
    <w:rsid w:val="00CE7FC4"/>
    <w:rsid w:val="00CF026C"/>
    <w:rsid w:val="00CF5869"/>
    <w:rsid w:val="00CF772A"/>
    <w:rsid w:val="00D0730C"/>
    <w:rsid w:val="00D150F2"/>
    <w:rsid w:val="00D2031B"/>
    <w:rsid w:val="00D242BE"/>
    <w:rsid w:val="00D24446"/>
    <w:rsid w:val="00D25FE2"/>
    <w:rsid w:val="00D43252"/>
    <w:rsid w:val="00D47EEA"/>
    <w:rsid w:val="00D53568"/>
    <w:rsid w:val="00D6794B"/>
    <w:rsid w:val="00D721CC"/>
    <w:rsid w:val="00D770BB"/>
    <w:rsid w:val="00D906EC"/>
    <w:rsid w:val="00D95303"/>
    <w:rsid w:val="00D978C6"/>
    <w:rsid w:val="00DA13E0"/>
    <w:rsid w:val="00DA194C"/>
    <w:rsid w:val="00DA3111"/>
    <w:rsid w:val="00DA3C1C"/>
    <w:rsid w:val="00DA5D74"/>
    <w:rsid w:val="00DB0C79"/>
    <w:rsid w:val="00DB51A5"/>
    <w:rsid w:val="00DD0A93"/>
    <w:rsid w:val="00DD54E4"/>
    <w:rsid w:val="00DE1439"/>
    <w:rsid w:val="00E04392"/>
    <w:rsid w:val="00E11B6F"/>
    <w:rsid w:val="00E27346"/>
    <w:rsid w:val="00E40503"/>
    <w:rsid w:val="00E409F2"/>
    <w:rsid w:val="00E6228E"/>
    <w:rsid w:val="00E71020"/>
    <w:rsid w:val="00E71BC2"/>
    <w:rsid w:val="00E71BC8"/>
    <w:rsid w:val="00E7260F"/>
    <w:rsid w:val="00E779FC"/>
    <w:rsid w:val="00E81283"/>
    <w:rsid w:val="00E872AE"/>
    <w:rsid w:val="00E96630"/>
    <w:rsid w:val="00EA1400"/>
    <w:rsid w:val="00EB2581"/>
    <w:rsid w:val="00EC5F39"/>
    <w:rsid w:val="00ED5E92"/>
    <w:rsid w:val="00ED7A2A"/>
    <w:rsid w:val="00EF1D7F"/>
    <w:rsid w:val="00F20C3D"/>
    <w:rsid w:val="00F34ECE"/>
    <w:rsid w:val="00F433C5"/>
    <w:rsid w:val="00F43E9E"/>
    <w:rsid w:val="00F46908"/>
    <w:rsid w:val="00F50C7E"/>
    <w:rsid w:val="00F61BBD"/>
    <w:rsid w:val="00F72EDD"/>
    <w:rsid w:val="00F77C26"/>
    <w:rsid w:val="00F819EC"/>
    <w:rsid w:val="00F9057C"/>
    <w:rsid w:val="00F906D7"/>
    <w:rsid w:val="00F934C6"/>
    <w:rsid w:val="00F93781"/>
    <w:rsid w:val="00FA1F55"/>
    <w:rsid w:val="00FA66AB"/>
    <w:rsid w:val="00FB2DB5"/>
    <w:rsid w:val="00FB3CAC"/>
    <w:rsid w:val="00FB613B"/>
    <w:rsid w:val="00FC06B1"/>
    <w:rsid w:val="00FC2FB1"/>
    <w:rsid w:val="00FC68B7"/>
    <w:rsid w:val="00FD4571"/>
    <w:rsid w:val="00FE106A"/>
    <w:rsid w:val="00FF04C2"/>
    <w:rsid w:val="00FF6E6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B595A4-E188-4A23-9E32-B93D6C5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D465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D465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512547"/>
    <w:rPr>
      <w:rFonts w:eastAsia="SimSun"/>
      <w:sz w:val="18"/>
      <w:lang w:eastAsia="zh-CN"/>
    </w:rPr>
  </w:style>
  <w:style w:type="character" w:customStyle="1" w:styleId="SingleTxtGChar">
    <w:name w:val="_ Single Txt_G Char"/>
    <w:link w:val="SingleTxtG"/>
    <w:rsid w:val="00512547"/>
    <w:rPr>
      <w:lang w:eastAsia="en-US"/>
    </w:rPr>
  </w:style>
  <w:style w:type="paragraph" w:styleId="BalloonText">
    <w:name w:val="Balloon Text"/>
    <w:basedOn w:val="Normal"/>
    <w:link w:val="BalloonTextChar"/>
    <w:rsid w:val="004A1242"/>
    <w:pPr>
      <w:spacing w:line="240" w:lineRule="auto"/>
    </w:pPr>
    <w:rPr>
      <w:rFonts w:ascii="Tahoma" w:hAnsi="Tahoma" w:cs="Tahoma"/>
      <w:sz w:val="16"/>
      <w:szCs w:val="16"/>
    </w:rPr>
  </w:style>
  <w:style w:type="character" w:customStyle="1" w:styleId="BalloonTextChar">
    <w:name w:val="Balloon Text Char"/>
    <w:link w:val="BalloonText"/>
    <w:rsid w:val="004A1242"/>
    <w:rPr>
      <w:rFonts w:ascii="Tahoma" w:hAnsi="Tahoma" w:cs="Tahoma"/>
      <w:sz w:val="16"/>
      <w:szCs w:val="16"/>
      <w:lang w:eastAsia="en-US"/>
    </w:rPr>
  </w:style>
  <w:style w:type="character" w:styleId="CommentReference">
    <w:name w:val="annotation reference"/>
    <w:rsid w:val="0057709C"/>
    <w:rPr>
      <w:sz w:val="16"/>
      <w:szCs w:val="16"/>
    </w:rPr>
  </w:style>
  <w:style w:type="paragraph" w:styleId="CommentText">
    <w:name w:val="annotation text"/>
    <w:basedOn w:val="Normal"/>
    <w:link w:val="CommentTextChar"/>
    <w:rsid w:val="0057709C"/>
  </w:style>
  <w:style w:type="character" w:customStyle="1" w:styleId="CommentTextChar">
    <w:name w:val="Comment Text Char"/>
    <w:link w:val="CommentText"/>
    <w:rsid w:val="0057709C"/>
    <w:rPr>
      <w:lang w:eastAsia="en-US"/>
    </w:rPr>
  </w:style>
  <w:style w:type="paragraph" w:styleId="CommentSubject">
    <w:name w:val="annotation subject"/>
    <w:basedOn w:val="CommentText"/>
    <w:next w:val="CommentText"/>
    <w:link w:val="CommentSubjectChar"/>
    <w:rsid w:val="0057709C"/>
    <w:rPr>
      <w:b/>
      <w:bCs/>
    </w:rPr>
  </w:style>
  <w:style w:type="character" w:customStyle="1" w:styleId="CommentSubjectChar">
    <w:name w:val="Comment Subject Char"/>
    <w:link w:val="CommentSubject"/>
    <w:rsid w:val="005770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7918">
      <w:bodyDiv w:val="1"/>
      <w:marLeft w:val="0"/>
      <w:marRight w:val="0"/>
      <w:marTop w:val="0"/>
      <w:marBottom w:val="0"/>
      <w:divBdr>
        <w:top w:val="none" w:sz="0" w:space="0" w:color="auto"/>
        <w:left w:val="none" w:sz="0" w:space="0" w:color="auto"/>
        <w:bottom w:val="none" w:sz="0" w:space="0" w:color="auto"/>
        <w:right w:val="none" w:sz="0" w:space="0" w:color="auto"/>
      </w:divBdr>
    </w:div>
    <w:div w:id="1015229685">
      <w:bodyDiv w:val="1"/>
      <w:marLeft w:val="0"/>
      <w:marRight w:val="0"/>
      <w:marTop w:val="0"/>
      <w:marBottom w:val="0"/>
      <w:divBdr>
        <w:top w:val="none" w:sz="0" w:space="0" w:color="auto"/>
        <w:left w:val="none" w:sz="0" w:space="0" w:color="auto"/>
        <w:bottom w:val="none" w:sz="0" w:space="0" w:color="auto"/>
        <w:right w:val="none" w:sz="0" w:space="0" w:color="auto"/>
      </w:divBdr>
    </w:div>
    <w:div w:id="1318654213">
      <w:bodyDiv w:val="1"/>
      <w:marLeft w:val="0"/>
      <w:marRight w:val="0"/>
      <w:marTop w:val="0"/>
      <w:marBottom w:val="0"/>
      <w:divBdr>
        <w:top w:val="none" w:sz="0" w:space="0" w:color="auto"/>
        <w:left w:val="none" w:sz="0" w:space="0" w:color="auto"/>
        <w:bottom w:val="none" w:sz="0" w:space="0" w:color="auto"/>
        <w:right w:val="none" w:sz="0" w:space="0" w:color="auto"/>
      </w:divBdr>
    </w:div>
    <w:div w:id="1560676929">
      <w:bodyDiv w:val="1"/>
      <w:marLeft w:val="0"/>
      <w:marRight w:val="0"/>
      <w:marTop w:val="0"/>
      <w:marBottom w:val="0"/>
      <w:divBdr>
        <w:top w:val="none" w:sz="0" w:space="0" w:color="auto"/>
        <w:left w:val="none" w:sz="0" w:space="0" w:color="auto"/>
        <w:bottom w:val="none" w:sz="0" w:space="0" w:color="auto"/>
        <w:right w:val="none" w:sz="0" w:space="0" w:color="auto"/>
      </w:divBdr>
    </w:div>
    <w:div w:id="20154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A575CD19D9604D9AF261C74DD8B53B" ma:contentTypeVersion="0" ma:contentTypeDescription="Create a new document." ma:contentTypeScope="" ma:versionID="16c44d8bb5af755b61403ca9bec44c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529F-2633-49A9-9379-1B6FF97906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69094-6898-4DE6-B99F-599E2099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FBBFB5-E168-4CD8-ABEA-702CB68B566C}">
  <ds:schemaRefs>
    <ds:schemaRef ds:uri="http://schemas.microsoft.com/sharepoint/v3/contenttype/forms"/>
  </ds:schemaRefs>
</ds:datastoreItem>
</file>

<file path=customXml/itemProps4.xml><?xml version="1.0" encoding="utf-8"?>
<ds:datastoreItem xmlns:ds="http://schemas.openxmlformats.org/officeDocument/2006/customXml" ds:itemID="{F778F291-DC30-4E4D-BDB3-5FCEE1CD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5</Pages>
  <Words>2130</Words>
  <Characters>12145</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1611905</vt:lpstr>
      <vt:lpstr>United Nations</vt:lpstr>
    </vt:vector>
  </TitlesOfParts>
  <Company>CSD</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1611905</dc:title>
  <dc:subject>CCPR/C/116/D/2084/2011</dc:subject>
  <dc:creator>Viktoria Saprykina-Houdemer</dc:creator>
  <cp:keywords/>
  <dc:description/>
  <cp:lastModifiedBy>Sarah Willig</cp:lastModifiedBy>
  <cp:revision>2</cp:revision>
  <cp:lastPrinted>2016-03-10T12:34:00Z</cp:lastPrinted>
  <dcterms:created xsi:type="dcterms:W3CDTF">2017-03-28T20:01:00Z</dcterms:created>
  <dcterms:modified xsi:type="dcterms:W3CDTF">2017-03-28T20:01:00Z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0x01010021A575CD19D9604D9AF261C74DD8B53B</vt:lpwstr>
  </property>
</Properties>
</file>