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128E3" w:rsidRPr="00607635" w:rsidTr="00B6553F">
        <w:trPr>
          <w:cantSplit/>
          <w:trHeight w:hRule="exact" w:val="851"/>
        </w:trPr>
        <w:tc>
          <w:tcPr>
            <w:tcW w:w="1276" w:type="dxa"/>
            <w:tcBorders>
              <w:bottom w:val="single" w:sz="4" w:space="0" w:color="auto"/>
            </w:tcBorders>
            <w:vAlign w:val="bottom"/>
          </w:tcPr>
          <w:p w:rsidR="000128E3" w:rsidRPr="00607635" w:rsidRDefault="000128E3" w:rsidP="00B6553F">
            <w:pPr>
              <w:spacing w:after="80"/>
            </w:pPr>
            <w:bookmarkStart w:id="0" w:name="_GoBack"/>
            <w:bookmarkEnd w:id="0"/>
          </w:p>
        </w:tc>
        <w:tc>
          <w:tcPr>
            <w:tcW w:w="2268" w:type="dxa"/>
            <w:tcBorders>
              <w:bottom w:val="single" w:sz="4" w:space="0" w:color="auto"/>
            </w:tcBorders>
            <w:vAlign w:val="bottom"/>
          </w:tcPr>
          <w:p w:rsidR="000128E3" w:rsidRPr="00607635" w:rsidRDefault="000128E3" w:rsidP="00B6553F">
            <w:pPr>
              <w:spacing w:after="80" w:line="300" w:lineRule="exact"/>
              <w:rPr>
                <w:b/>
                <w:sz w:val="24"/>
                <w:szCs w:val="24"/>
              </w:rPr>
            </w:pPr>
            <w:r w:rsidRPr="00607635">
              <w:rPr>
                <w:sz w:val="28"/>
                <w:szCs w:val="28"/>
              </w:rPr>
              <w:t>United Nations</w:t>
            </w:r>
          </w:p>
        </w:tc>
        <w:tc>
          <w:tcPr>
            <w:tcW w:w="6095" w:type="dxa"/>
            <w:gridSpan w:val="2"/>
            <w:tcBorders>
              <w:bottom w:val="single" w:sz="4" w:space="0" w:color="auto"/>
            </w:tcBorders>
            <w:vAlign w:val="bottom"/>
          </w:tcPr>
          <w:p w:rsidR="000128E3" w:rsidRPr="00607635" w:rsidRDefault="000128E3" w:rsidP="00951A9F">
            <w:pPr>
              <w:jc w:val="right"/>
            </w:pPr>
            <w:r w:rsidRPr="00607635">
              <w:rPr>
                <w:sz w:val="40"/>
              </w:rPr>
              <w:t>CCPR</w:t>
            </w:r>
            <w:r w:rsidR="00431FE1" w:rsidRPr="00607635">
              <w:t>/C/117</w:t>
            </w:r>
            <w:r w:rsidRPr="00607635">
              <w:t>/D</w:t>
            </w:r>
            <w:r w:rsidR="009C7EFD" w:rsidRPr="00607635">
              <w:t>/2</w:t>
            </w:r>
            <w:r w:rsidR="00323A2B" w:rsidRPr="00607635">
              <w:t>101</w:t>
            </w:r>
            <w:r w:rsidRPr="00607635">
              <w:t>/201</w:t>
            </w:r>
            <w:r w:rsidR="009C7EFD" w:rsidRPr="00607635">
              <w:t>1</w:t>
            </w:r>
          </w:p>
        </w:tc>
      </w:tr>
      <w:tr w:rsidR="000128E3" w:rsidRPr="00607635" w:rsidTr="00B6553F">
        <w:trPr>
          <w:cantSplit/>
          <w:trHeight w:hRule="exact" w:val="2835"/>
        </w:trPr>
        <w:tc>
          <w:tcPr>
            <w:tcW w:w="1276" w:type="dxa"/>
            <w:tcBorders>
              <w:top w:val="single" w:sz="4" w:space="0" w:color="auto"/>
              <w:bottom w:val="single" w:sz="12" w:space="0" w:color="auto"/>
            </w:tcBorders>
          </w:tcPr>
          <w:p w:rsidR="000128E3" w:rsidRPr="00607635" w:rsidRDefault="00F145AF" w:rsidP="00B6553F">
            <w:pPr>
              <w:spacing w:before="120"/>
            </w:pPr>
            <w:r w:rsidRPr="00607635">
              <w:rPr>
                <w:noProof/>
                <w:lang w:val="en-US"/>
              </w:rPr>
              <w:drawing>
                <wp:inline distT="0" distB="0" distL="0" distR="0" wp14:anchorId="32202996" wp14:editId="16E82E2B">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D7FD9" w:rsidRPr="00607635" w:rsidRDefault="000128E3" w:rsidP="00267F5F">
            <w:pPr>
              <w:spacing w:before="120" w:line="380" w:lineRule="exact"/>
              <w:rPr>
                <w:b/>
                <w:sz w:val="34"/>
                <w:szCs w:val="40"/>
              </w:rPr>
            </w:pPr>
            <w:r w:rsidRPr="00607635">
              <w:rPr>
                <w:b/>
                <w:sz w:val="34"/>
                <w:szCs w:val="40"/>
              </w:rPr>
              <w:t>International Covenant on</w:t>
            </w:r>
            <w:r w:rsidRPr="00607635">
              <w:rPr>
                <w:b/>
                <w:sz w:val="34"/>
                <w:szCs w:val="40"/>
              </w:rPr>
              <w:br/>
              <w:t>Civil and Political Rights</w:t>
            </w:r>
          </w:p>
        </w:tc>
        <w:tc>
          <w:tcPr>
            <w:tcW w:w="2835" w:type="dxa"/>
            <w:tcBorders>
              <w:top w:val="single" w:sz="4" w:space="0" w:color="auto"/>
              <w:bottom w:val="single" w:sz="12" w:space="0" w:color="auto"/>
            </w:tcBorders>
          </w:tcPr>
          <w:p w:rsidR="00FC70CA" w:rsidRPr="007F5E52" w:rsidRDefault="00FC70CA" w:rsidP="00FC70CA">
            <w:pPr>
              <w:spacing w:before="240" w:line="240" w:lineRule="exact"/>
              <w:rPr>
                <w:sz w:val="24"/>
                <w:szCs w:val="24"/>
                <w:lang w:eastAsia="en-GB"/>
              </w:rPr>
            </w:pPr>
            <w:r>
              <w:t xml:space="preserve">Distr.: </w:t>
            </w:r>
            <w:r w:rsidR="00AD7FD9">
              <w:t>General</w:t>
            </w:r>
          </w:p>
          <w:p w:rsidR="00FC70CA" w:rsidRDefault="00676A08" w:rsidP="00C16A92">
            <w:pPr>
              <w:spacing w:line="240" w:lineRule="exact"/>
            </w:pPr>
            <w:r>
              <w:t>30</w:t>
            </w:r>
            <w:r w:rsidR="00682B85">
              <w:t xml:space="preserve"> </w:t>
            </w:r>
            <w:r w:rsidR="0071618A">
              <w:t>August</w:t>
            </w:r>
            <w:r w:rsidR="00FC70CA">
              <w:t xml:space="preserve"> 2016</w:t>
            </w:r>
          </w:p>
          <w:p w:rsidR="00FC70CA" w:rsidRDefault="00FC70CA" w:rsidP="00FC70CA">
            <w:pPr>
              <w:spacing w:line="240" w:lineRule="exact"/>
            </w:pPr>
          </w:p>
          <w:p w:rsidR="00FC70CA" w:rsidRDefault="00FC70CA" w:rsidP="00FC70CA">
            <w:pPr>
              <w:spacing w:line="240" w:lineRule="exact"/>
            </w:pPr>
            <w:r>
              <w:t>Original: English</w:t>
            </w:r>
          </w:p>
          <w:p w:rsidR="000128E3" w:rsidRPr="00607635" w:rsidRDefault="000128E3" w:rsidP="00AD7FD9">
            <w:pPr>
              <w:spacing w:line="240" w:lineRule="exact"/>
            </w:pPr>
          </w:p>
        </w:tc>
      </w:tr>
    </w:tbl>
    <w:p w:rsidR="008C017D" w:rsidRPr="008A5196" w:rsidRDefault="008C017D" w:rsidP="008C017D">
      <w:pPr>
        <w:spacing w:line="20" w:lineRule="exact"/>
        <w:rPr>
          <w:b/>
          <w:sz w:val="2"/>
          <w:szCs w:val="24"/>
        </w:rPr>
      </w:pPr>
    </w:p>
    <w:p w:rsidR="00FC70CA" w:rsidRPr="003D643B" w:rsidRDefault="00FC70CA" w:rsidP="00FC70CA">
      <w:pPr>
        <w:spacing w:before="120"/>
        <w:rPr>
          <w:b/>
          <w:sz w:val="24"/>
          <w:szCs w:val="24"/>
        </w:rPr>
      </w:pPr>
      <w:r w:rsidRPr="003D643B">
        <w:rPr>
          <w:b/>
          <w:sz w:val="24"/>
          <w:szCs w:val="24"/>
        </w:rPr>
        <w:t>Human Rights Committee</w:t>
      </w:r>
    </w:p>
    <w:p w:rsidR="008A5196" w:rsidRDefault="00FC70CA">
      <w:pPr>
        <w:pStyle w:val="HChG"/>
        <w:rPr>
          <w:sz w:val="20"/>
        </w:rPr>
      </w:pPr>
      <w:r>
        <w:tab/>
      </w:r>
      <w:r>
        <w:tab/>
      </w:r>
      <w:r w:rsidR="00AD7FD9" w:rsidRPr="00AD7FD9">
        <w:t>Views adopted by the Committee under article 5</w:t>
      </w:r>
      <w:r w:rsidR="0071618A">
        <w:t xml:space="preserve"> </w:t>
      </w:r>
      <w:r w:rsidR="00AD7FD9" w:rsidRPr="00AD7FD9">
        <w:t>(4) of the Optional Protocol, concerning communication No.</w:t>
      </w:r>
      <w:r w:rsidR="00B42B9A">
        <w:t> </w:t>
      </w:r>
      <w:r w:rsidR="00AD7FD9">
        <w:t>2101/2011</w:t>
      </w:r>
      <w:r w:rsidR="00AD7FD9" w:rsidRPr="00AB20B9">
        <w:rPr>
          <w:rStyle w:val="FootnoteReference"/>
          <w:b w:val="0"/>
          <w:bCs/>
          <w:sz w:val="20"/>
          <w:vertAlign w:val="baseline"/>
        </w:rPr>
        <w:footnoteReference w:customMarkFollows="1" w:id="2"/>
        <w:t>*</w:t>
      </w:r>
      <w:r w:rsidR="00AD7FD9" w:rsidRPr="00AB20B9">
        <w:rPr>
          <w:b w:val="0"/>
          <w:position w:val="4"/>
          <w:sz w:val="20"/>
        </w:rPr>
        <w:t>,</w:t>
      </w:r>
      <w:r w:rsidR="00676A08" w:rsidRPr="00AB20B9">
        <w:rPr>
          <w:b w:val="0"/>
          <w:sz w:val="20"/>
        </w:rPr>
        <w:t xml:space="preserve"> </w:t>
      </w:r>
      <w:r w:rsidR="00AD7FD9" w:rsidRPr="00AB20B9">
        <w:rPr>
          <w:rStyle w:val="FootnoteReference"/>
          <w:b w:val="0"/>
          <w:bCs/>
          <w:sz w:val="20"/>
          <w:vertAlign w:val="baseline"/>
        </w:rPr>
        <w:footnoteReference w:customMarkFollows="1" w:id="3"/>
        <w:t>**</w:t>
      </w:r>
      <w:r w:rsidR="00475060">
        <w:rPr>
          <w:b w:val="0"/>
          <w:bCs/>
          <w:sz w:val="20"/>
        </w:rPr>
        <w:t xml:space="preserve"> </w:t>
      </w:r>
    </w:p>
    <w:p w:rsidR="000128E3" w:rsidRPr="00607635" w:rsidRDefault="00683EF7" w:rsidP="00985865">
      <w:pPr>
        <w:pStyle w:val="SingleTxtG"/>
        <w:ind w:left="4536" w:hanging="3402"/>
        <w:jc w:val="left"/>
      </w:pPr>
      <w:r w:rsidRPr="00607635">
        <w:rPr>
          <w:i/>
        </w:rPr>
        <w:t>Communication s</w:t>
      </w:r>
      <w:r w:rsidR="000128E3" w:rsidRPr="00607635">
        <w:rPr>
          <w:i/>
        </w:rPr>
        <w:t>ubmitted by:</w:t>
      </w:r>
      <w:r w:rsidR="000128E3" w:rsidRPr="00607635">
        <w:tab/>
      </w:r>
      <w:r w:rsidR="00985865" w:rsidRPr="00607635">
        <w:t>Valentin Evzrezov</w:t>
      </w:r>
      <w:r w:rsidR="00602B75" w:rsidRPr="00607635">
        <w:t xml:space="preserve"> </w:t>
      </w:r>
      <w:r w:rsidR="000128E3" w:rsidRPr="00607635">
        <w:t>(</w:t>
      </w:r>
      <w:r w:rsidR="00FC20C0" w:rsidRPr="00607635">
        <w:t xml:space="preserve">not </w:t>
      </w:r>
      <w:r w:rsidR="000128E3" w:rsidRPr="00607635">
        <w:t>represented</w:t>
      </w:r>
      <w:r w:rsidR="00FC20C0" w:rsidRPr="00607635">
        <w:t xml:space="preserve"> by counsel</w:t>
      </w:r>
      <w:r w:rsidR="000128E3" w:rsidRPr="00607635">
        <w:t>)</w:t>
      </w:r>
    </w:p>
    <w:p w:rsidR="000128E3" w:rsidRPr="00607635" w:rsidRDefault="000128E3" w:rsidP="007113A4">
      <w:pPr>
        <w:pStyle w:val="SingleTxtG"/>
        <w:ind w:left="4536" w:hanging="3402"/>
        <w:jc w:val="left"/>
      </w:pPr>
      <w:r w:rsidRPr="00607635">
        <w:rPr>
          <w:i/>
        </w:rPr>
        <w:t>Alleged victim:</w:t>
      </w:r>
      <w:r w:rsidRPr="00607635">
        <w:tab/>
        <w:t>The author</w:t>
      </w:r>
    </w:p>
    <w:p w:rsidR="000128E3" w:rsidRPr="00607635" w:rsidRDefault="000128E3" w:rsidP="007113A4">
      <w:pPr>
        <w:pStyle w:val="SingleTxtG"/>
        <w:ind w:left="4536" w:hanging="3402"/>
        <w:jc w:val="left"/>
      </w:pPr>
      <w:r w:rsidRPr="00607635">
        <w:rPr>
          <w:i/>
        </w:rPr>
        <w:t>State party:</w:t>
      </w:r>
      <w:r w:rsidRPr="00607635">
        <w:tab/>
        <w:t>Belarus</w:t>
      </w:r>
    </w:p>
    <w:p w:rsidR="000128E3" w:rsidRPr="00607635" w:rsidRDefault="000128E3" w:rsidP="007113A4">
      <w:pPr>
        <w:pStyle w:val="SingleTxtG"/>
        <w:ind w:left="4536" w:hanging="3402"/>
        <w:jc w:val="left"/>
      </w:pPr>
      <w:r w:rsidRPr="00607635">
        <w:rPr>
          <w:i/>
        </w:rPr>
        <w:t>Date</w:t>
      </w:r>
      <w:r w:rsidR="00602B75" w:rsidRPr="00607635">
        <w:rPr>
          <w:i/>
        </w:rPr>
        <w:t>s</w:t>
      </w:r>
      <w:r w:rsidRPr="00607635">
        <w:rPr>
          <w:i/>
        </w:rPr>
        <w:t xml:space="preserve"> of communication:</w:t>
      </w:r>
      <w:r w:rsidRPr="00607635">
        <w:tab/>
      </w:r>
      <w:r w:rsidR="00602B75" w:rsidRPr="00607635">
        <w:t>5 August 2011</w:t>
      </w:r>
      <w:r w:rsidRPr="00607635">
        <w:t xml:space="preserve"> (initial submission)</w:t>
      </w:r>
    </w:p>
    <w:p w:rsidR="000128E3" w:rsidRPr="00607635" w:rsidRDefault="000128E3" w:rsidP="00C16A92">
      <w:pPr>
        <w:pStyle w:val="SingleTxtG"/>
        <w:ind w:left="4536" w:hanging="3402"/>
        <w:jc w:val="left"/>
      </w:pPr>
      <w:r w:rsidRPr="00607635">
        <w:rPr>
          <w:i/>
        </w:rPr>
        <w:t>Document references:</w:t>
      </w:r>
      <w:r w:rsidRPr="00607635">
        <w:tab/>
      </w:r>
      <w:r w:rsidR="009C1CC5">
        <w:t>Decision taken pursuant to</w:t>
      </w:r>
      <w:r w:rsidRPr="00607635">
        <w:t xml:space="preserve"> rule 97 </w:t>
      </w:r>
      <w:r w:rsidR="009C1CC5">
        <w:t>of the Committee’s rules of procedure</w:t>
      </w:r>
      <w:r w:rsidRPr="00607635">
        <w:t xml:space="preserve">, transmitted to the State party on </w:t>
      </w:r>
      <w:r w:rsidR="00602B75" w:rsidRPr="00607635">
        <w:t>22</w:t>
      </w:r>
      <w:r w:rsidRPr="00607635">
        <w:t xml:space="preserve"> </w:t>
      </w:r>
      <w:r w:rsidR="00602B75" w:rsidRPr="00607635">
        <w:t>September</w:t>
      </w:r>
      <w:r w:rsidR="0052434D" w:rsidRPr="00607635">
        <w:t xml:space="preserve"> </w:t>
      </w:r>
      <w:r w:rsidR="00602B75" w:rsidRPr="00607635">
        <w:t>2011</w:t>
      </w:r>
      <w:r w:rsidRPr="00607635">
        <w:t xml:space="preserve"> (not issued in document form)</w:t>
      </w:r>
    </w:p>
    <w:p w:rsidR="000128E3" w:rsidRPr="00607635" w:rsidRDefault="000128E3" w:rsidP="007113A4">
      <w:pPr>
        <w:pStyle w:val="SingleTxtG"/>
        <w:ind w:left="4536" w:hanging="3402"/>
        <w:jc w:val="left"/>
        <w:rPr>
          <w:i/>
        </w:rPr>
      </w:pPr>
      <w:r w:rsidRPr="00607635">
        <w:rPr>
          <w:i/>
        </w:rPr>
        <w:t>Date of adoption of Views:</w:t>
      </w:r>
      <w:r w:rsidRPr="00607635">
        <w:tab/>
      </w:r>
      <w:r w:rsidR="0050410E">
        <w:t>14 July</w:t>
      </w:r>
      <w:r w:rsidR="00BC5A8B" w:rsidRPr="00FC70CA">
        <w:t xml:space="preserve"> </w:t>
      </w:r>
      <w:r w:rsidRPr="00FC70CA">
        <w:t>201</w:t>
      </w:r>
      <w:r w:rsidR="00BC5A8B" w:rsidRPr="00FC70CA">
        <w:t>6</w:t>
      </w:r>
    </w:p>
    <w:p w:rsidR="000128E3" w:rsidRPr="00607635" w:rsidRDefault="000128E3" w:rsidP="00C16A92">
      <w:pPr>
        <w:pStyle w:val="SingleTxtG"/>
        <w:ind w:left="4536" w:hanging="3402"/>
        <w:jc w:val="left"/>
      </w:pPr>
      <w:r w:rsidRPr="00607635">
        <w:rPr>
          <w:i/>
          <w:iCs/>
        </w:rPr>
        <w:t>Subject matter</w:t>
      </w:r>
      <w:r w:rsidR="00BC5A8B" w:rsidRPr="00607635">
        <w:rPr>
          <w:i/>
          <w:iCs/>
        </w:rPr>
        <w:t>s</w:t>
      </w:r>
      <w:r w:rsidRPr="00607635">
        <w:rPr>
          <w:i/>
          <w:iCs/>
        </w:rPr>
        <w:t>:</w:t>
      </w:r>
      <w:r w:rsidRPr="00607635">
        <w:tab/>
      </w:r>
      <w:r w:rsidRPr="00607635">
        <w:tab/>
        <w:t xml:space="preserve">Refusal </w:t>
      </w:r>
      <w:r w:rsidR="00FC20C0" w:rsidRPr="00607635">
        <w:t xml:space="preserve">of </w:t>
      </w:r>
      <w:r w:rsidR="00C6410D" w:rsidRPr="00607635">
        <w:t>authorization</w:t>
      </w:r>
      <w:r w:rsidR="00FC20C0" w:rsidRPr="00607635">
        <w:t xml:space="preserve"> </w:t>
      </w:r>
      <w:r w:rsidRPr="00607635">
        <w:t xml:space="preserve">to hold a peaceful </w:t>
      </w:r>
      <w:r w:rsidR="00055096" w:rsidRPr="00607635">
        <w:t>assembly; freedom of expression</w:t>
      </w:r>
    </w:p>
    <w:p w:rsidR="000128E3" w:rsidRPr="00607635" w:rsidRDefault="000128E3" w:rsidP="00893712">
      <w:pPr>
        <w:pStyle w:val="SingleTxtG"/>
        <w:ind w:left="4536" w:hanging="3402"/>
        <w:jc w:val="left"/>
      </w:pPr>
      <w:r w:rsidRPr="00607635">
        <w:rPr>
          <w:i/>
          <w:iCs/>
        </w:rPr>
        <w:t xml:space="preserve">Procedural issue: </w:t>
      </w:r>
      <w:r w:rsidRPr="00607635">
        <w:rPr>
          <w:i/>
          <w:iCs/>
        </w:rPr>
        <w:tab/>
      </w:r>
      <w:r w:rsidR="00055096" w:rsidRPr="00607635">
        <w:rPr>
          <w:iCs/>
        </w:rPr>
        <w:t>E</w:t>
      </w:r>
      <w:r w:rsidR="00386AC2" w:rsidRPr="00607635">
        <w:t>xhaustion of domestic remedies</w:t>
      </w:r>
    </w:p>
    <w:p w:rsidR="000128E3" w:rsidRPr="00607635" w:rsidRDefault="000128E3" w:rsidP="00C16A92">
      <w:pPr>
        <w:pStyle w:val="SingleTxtG"/>
        <w:ind w:left="4536" w:hanging="3402"/>
        <w:jc w:val="left"/>
      </w:pPr>
      <w:r w:rsidRPr="00607635">
        <w:rPr>
          <w:i/>
          <w:iCs/>
        </w:rPr>
        <w:t xml:space="preserve">Substantive issues: </w:t>
      </w:r>
      <w:r w:rsidRPr="00607635">
        <w:rPr>
          <w:i/>
          <w:iCs/>
        </w:rPr>
        <w:tab/>
      </w:r>
      <w:r w:rsidRPr="00607635">
        <w:rPr>
          <w:iCs/>
        </w:rPr>
        <w:t>F</w:t>
      </w:r>
      <w:r w:rsidRPr="00607635">
        <w:t>reedom of expression; freedom of assembly</w:t>
      </w:r>
    </w:p>
    <w:p w:rsidR="000128E3" w:rsidRPr="00607635" w:rsidRDefault="000128E3" w:rsidP="007113A4">
      <w:pPr>
        <w:pStyle w:val="SingleTxtG"/>
        <w:ind w:left="4536" w:hanging="3402"/>
        <w:jc w:val="left"/>
      </w:pPr>
      <w:r w:rsidRPr="00607635">
        <w:rPr>
          <w:i/>
          <w:iCs/>
        </w:rPr>
        <w:t>Articles of the Covenant:</w:t>
      </w:r>
      <w:r w:rsidRPr="00607635">
        <w:t xml:space="preserve"> </w:t>
      </w:r>
      <w:r w:rsidRPr="00607635">
        <w:tab/>
        <w:t>19</w:t>
      </w:r>
      <w:r w:rsidR="00386AC2" w:rsidRPr="00607635">
        <w:t xml:space="preserve"> (2)</w:t>
      </w:r>
      <w:r w:rsidR="00FC20C0" w:rsidRPr="00607635">
        <w:t xml:space="preserve"> and</w:t>
      </w:r>
      <w:r w:rsidRPr="00607635">
        <w:t xml:space="preserve"> 21</w:t>
      </w:r>
    </w:p>
    <w:p w:rsidR="003C4DEF" w:rsidRDefault="000128E3" w:rsidP="00AB20B9">
      <w:pPr>
        <w:pStyle w:val="SingleTxtG"/>
        <w:spacing w:after="240"/>
        <w:ind w:left="4536" w:hanging="3402"/>
        <w:jc w:val="left"/>
        <w:rPr>
          <w:iCs/>
        </w:rPr>
      </w:pPr>
      <w:r w:rsidRPr="00607635">
        <w:rPr>
          <w:i/>
          <w:iCs/>
        </w:rPr>
        <w:t>Articles of the Optional Protocol:</w:t>
      </w:r>
      <w:r w:rsidRPr="00607635">
        <w:rPr>
          <w:i/>
          <w:iCs/>
        </w:rPr>
        <w:tab/>
      </w:r>
      <w:r w:rsidR="00055096" w:rsidRPr="00607635">
        <w:rPr>
          <w:iCs/>
        </w:rPr>
        <w:t>2</w:t>
      </w:r>
      <w:r w:rsidR="009C1CC5">
        <w:rPr>
          <w:iCs/>
        </w:rPr>
        <w:t xml:space="preserve"> and</w:t>
      </w:r>
      <w:r w:rsidR="004F56A1" w:rsidRPr="00607635">
        <w:rPr>
          <w:iCs/>
        </w:rPr>
        <w:t xml:space="preserve"> 5 (2) (b)</w:t>
      </w:r>
    </w:p>
    <w:p w:rsidR="000128E3" w:rsidRPr="003C4DEF" w:rsidRDefault="000128E3">
      <w:pPr>
        <w:pStyle w:val="SingleTxtG"/>
        <w:rPr>
          <w:iCs/>
        </w:rPr>
      </w:pPr>
      <w:r w:rsidRPr="00607635">
        <w:t>1.</w:t>
      </w:r>
      <w:r w:rsidRPr="00607635">
        <w:tab/>
        <w:t xml:space="preserve">The author of the communication </w:t>
      </w:r>
      <w:r w:rsidR="00386AC2" w:rsidRPr="00607635">
        <w:t>is</w:t>
      </w:r>
      <w:r w:rsidR="00055096" w:rsidRPr="00607635">
        <w:t xml:space="preserve"> Valentin Evzrezov</w:t>
      </w:r>
      <w:r w:rsidR="00386AC2" w:rsidRPr="00607635">
        <w:t>, a</w:t>
      </w:r>
      <w:r w:rsidR="002B56E0" w:rsidRPr="00607635">
        <w:t xml:space="preserve"> Belarusian</w:t>
      </w:r>
      <w:r w:rsidR="00386AC2" w:rsidRPr="00607635">
        <w:t xml:space="preserve"> </w:t>
      </w:r>
      <w:r w:rsidRPr="00607635">
        <w:t>national</w:t>
      </w:r>
      <w:r w:rsidR="005B31F6" w:rsidRPr="00607635">
        <w:t xml:space="preserve"> </w:t>
      </w:r>
      <w:r w:rsidRPr="00607635">
        <w:t>born in 19</w:t>
      </w:r>
      <w:r w:rsidR="00055096" w:rsidRPr="00607635">
        <w:t>5</w:t>
      </w:r>
      <w:r w:rsidR="00386AC2" w:rsidRPr="00607635">
        <w:t>4</w:t>
      </w:r>
      <w:r w:rsidRPr="00607635">
        <w:t xml:space="preserve">. </w:t>
      </w:r>
      <w:r w:rsidR="00386AC2" w:rsidRPr="00607635">
        <w:t>He</w:t>
      </w:r>
      <w:r w:rsidRPr="00607635">
        <w:t xml:space="preserve"> claim</w:t>
      </w:r>
      <w:r w:rsidR="00386AC2" w:rsidRPr="00607635">
        <w:t>s</w:t>
      </w:r>
      <w:r w:rsidRPr="00607635">
        <w:t xml:space="preserve"> to be </w:t>
      </w:r>
      <w:r w:rsidR="00B41BE1">
        <w:t>the</w:t>
      </w:r>
      <w:r w:rsidR="00386AC2" w:rsidRPr="00607635">
        <w:t xml:space="preserve"> </w:t>
      </w:r>
      <w:r w:rsidRPr="00607635">
        <w:t xml:space="preserve">victim of a violation by Belarus of </w:t>
      </w:r>
      <w:r w:rsidR="00386AC2" w:rsidRPr="00607635">
        <w:t>his</w:t>
      </w:r>
      <w:r w:rsidRPr="00607635">
        <w:t xml:space="preserve"> rights under article</w:t>
      </w:r>
      <w:r w:rsidR="0052434D" w:rsidRPr="00607635">
        <w:t>s</w:t>
      </w:r>
      <w:r w:rsidRPr="00607635">
        <w:t xml:space="preserve"> </w:t>
      </w:r>
      <w:r w:rsidR="00E3235C" w:rsidRPr="00607635">
        <w:t>19</w:t>
      </w:r>
      <w:r w:rsidR="00386AC2" w:rsidRPr="00607635">
        <w:t xml:space="preserve"> (2)</w:t>
      </w:r>
      <w:r w:rsidR="00E3235C" w:rsidRPr="00607635">
        <w:t xml:space="preserve"> and 21</w:t>
      </w:r>
      <w:r w:rsidRPr="00607635">
        <w:t xml:space="preserve"> of the Covenant. The Optional Protocol enter</w:t>
      </w:r>
      <w:r w:rsidR="00AB20B9">
        <w:t>ed into force for Belarus on 30 </w:t>
      </w:r>
      <w:r w:rsidRPr="00607635">
        <w:t xml:space="preserve">December 1992. The author </w:t>
      </w:r>
      <w:r w:rsidR="00386AC2" w:rsidRPr="00607635">
        <w:t>is</w:t>
      </w:r>
      <w:r w:rsidRPr="00607635">
        <w:t xml:space="preserve"> </w:t>
      </w:r>
      <w:r w:rsidR="005B31F6" w:rsidRPr="00607635">
        <w:t>not r</w:t>
      </w:r>
      <w:r w:rsidRPr="00607635">
        <w:t>epresented</w:t>
      </w:r>
      <w:r w:rsidR="005B31F6" w:rsidRPr="00607635">
        <w:t xml:space="preserve"> by counsel</w:t>
      </w:r>
      <w:r w:rsidRPr="00607635">
        <w:t xml:space="preserve">. </w:t>
      </w:r>
    </w:p>
    <w:p w:rsidR="000128E3" w:rsidRPr="00607635" w:rsidRDefault="000128E3" w:rsidP="00781C83">
      <w:pPr>
        <w:pStyle w:val="H23G"/>
      </w:pPr>
      <w:r w:rsidRPr="00607635">
        <w:lastRenderedPageBreak/>
        <w:tab/>
      </w:r>
      <w:r w:rsidRPr="00607635">
        <w:tab/>
        <w:t>The facts as submitted by the author</w:t>
      </w:r>
    </w:p>
    <w:p w:rsidR="000128E3" w:rsidRPr="00607635" w:rsidRDefault="000128E3" w:rsidP="00D50001">
      <w:pPr>
        <w:pStyle w:val="SingleTxtG"/>
      </w:pPr>
      <w:r w:rsidRPr="00607635">
        <w:t>2.1</w:t>
      </w:r>
      <w:r w:rsidRPr="00607635">
        <w:tab/>
      </w:r>
      <w:r w:rsidR="00ED1515" w:rsidRPr="00607635">
        <w:t xml:space="preserve">On </w:t>
      </w:r>
      <w:r w:rsidR="00383F7E" w:rsidRPr="00607635">
        <w:t>7</w:t>
      </w:r>
      <w:r w:rsidR="00ED1515" w:rsidRPr="00607635">
        <w:t xml:space="preserve"> </w:t>
      </w:r>
      <w:r w:rsidR="00383F7E" w:rsidRPr="00607635">
        <w:t>February 2011</w:t>
      </w:r>
      <w:r w:rsidR="00ED1515" w:rsidRPr="00607635">
        <w:t xml:space="preserve">, </w:t>
      </w:r>
      <w:r w:rsidR="00386AC2" w:rsidRPr="00607635">
        <w:t>the</w:t>
      </w:r>
      <w:r w:rsidR="00383F7E" w:rsidRPr="00607635">
        <w:t xml:space="preserve"> </w:t>
      </w:r>
      <w:r w:rsidR="00ED1515" w:rsidRPr="00607635">
        <w:t>author appli</w:t>
      </w:r>
      <w:r w:rsidR="0052434D" w:rsidRPr="00607635">
        <w:t>ed</w:t>
      </w:r>
      <w:r w:rsidR="00ED1515" w:rsidRPr="00607635">
        <w:t xml:space="preserve"> to the Zhlo</w:t>
      </w:r>
      <w:r w:rsidR="0039556A" w:rsidRPr="00607635">
        <w:t>bin</w:t>
      </w:r>
      <w:r w:rsidR="00383F7E" w:rsidRPr="00607635">
        <w:t xml:space="preserve"> </w:t>
      </w:r>
      <w:r w:rsidR="00ED1515" w:rsidRPr="00607635">
        <w:t xml:space="preserve">District </w:t>
      </w:r>
      <w:r w:rsidR="00383F7E" w:rsidRPr="00607635">
        <w:t xml:space="preserve">Executive Committee </w:t>
      </w:r>
      <w:r w:rsidR="00ED1515" w:rsidRPr="00607635">
        <w:t xml:space="preserve">with a request to hold a picket </w:t>
      </w:r>
      <w:r w:rsidR="00DF6ACC">
        <w:t>with</w:t>
      </w:r>
      <w:r w:rsidR="00383F7E" w:rsidRPr="00607635">
        <w:t xml:space="preserve"> up to 20 participants </w:t>
      </w:r>
      <w:r w:rsidR="00ED1515" w:rsidRPr="00607635">
        <w:t xml:space="preserve">on </w:t>
      </w:r>
      <w:r w:rsidR="00383F7E" w:rsidRPr="00607635">
        <w:t>23 February</w:t>
      </w:r>
      <w:r w:rsidR="00ED1515" w:rsidRPr="00607635">
        <w:t xml:space="preserve"> 20</w:t>
      </w:r>
      <w:r w:rsidR="00383F7E" w:rsidRPr="00607635">
        <w:t>11</w:t>
      </w:r>
      <w:r w:rsidR="00ED1515" w:rsidRPr="00607635">
        <w:t xml:space="preserve">. </w:t>
      </w:r>
      <w:r w:rsidR="00C305FF" w:rsidRPr="00607635">
        <w:t xml:space="preserve">The </w:t>
      </w:r>
      <w:r w:rsidR="0039556A" w:rsidRPr="00607635">
        <w:t>picket w</w:t>
      </w:r>
      <w:r w:rsidR="009A56EA" w:rsidRPr="00607635">
        <w:t>as</w:t>
      </w:r>
      <w:r w:rsidR="0039556A" w:rsidRPr="00607635">
        <w:t xml:space="preserve"> to be organized</w:t>
      </w:r>
      <w:r w:rsidR="00C305FF" w:rsidRPr="00607635">
        <w:t xml:space="preserve"> </w:t>
      </w:r>
      <w:r w:rsidR="0039556A" w:rsidRPr="00607635">
        <w:t>in Pridneprovsky</w:t>
      </w:r>
      <w:r w:rsidR="009A56EA" w:rsidRPr="00607635">
        <w:t xml:space="preserve"> </w:t>
      </w:r>
      <w:r w:rsidR="00DF6ACC">
        <w:t>p</w:t>
      </w:r>
      <w:r w:rsidR="009A56EA" w:rsidRPr="00607635">
        <w:t>ark</w:t>
      </w:r>
      <w:r w:rsidR="00DF6ACC">
        <w:t>, in the town</w:t>
      </w:r>
      <w:r w:rsidR="009A56EA" w:rsidRPr="00607635">
        <w:t xml:space="preserve"> of Zhlobin</w:t>
      </w:r>
      <w:r w:rsidR="0039556A" w:rsidRPr="00607635">
        <w:t xml:space="preserve">. </w:t>
      </w:r>
      <w:r w:rsidR="00ED1515" w:rsidRPr="00607635">
        <w:t xml:space="preserve">The purpose of the picket was to </w:t>
      </w:r>
      <w:r w:rsidR="00AE2860" w:rsidRPr="00607635">
        <w:t xml:space="preserve">protest the political persecution of former candidates for the </w:t>
      </w:r>
      <w:r w:rsidR="00DF6ACC">
        <w:t>p</w:t>
      </w:r>
      <w:r w:rsidR="00AE2860" w:rsidRPr="00607635">
        <w:t>residen</w:t>
      </w:r>
      <w:r w:rsidR="00DF6ACC">
        <w:t>cy</w:t>
      </w:r>
      <w:r w:rsidR="00AE2860" w:rsidRPr="00607635">
        <w:t xml:space="preserve"> of Belarus and </w:t>
      </w:r>
      <w:r w:rsidR="00DF6ACC">
        <w:t xml:space="preserve">of </w:t>
      </w:r>
      <w:r w:rsidR="00AE2860" w:rsidRPr="00607635">
        <w:t>the members of their electoral teams.</w:t>
      </w:r>
    </w:p>
    <w:p w:rsidR="000128E3" w:rsidRPr="00607635" w:rsidRDefault="000128E3">
      <w:pPr>
        <w:pStyle w:val="SingleTxtG"/>
      </w:pPr>
      <w:r w:rsidRPr="00607635">
        <w:t>2.2</w:t>
      </w:r>
      <w:r w:rsidRPr="00607635">
        <w:tab/>
      </w:r>
      <w:r w:rsidR="00ED1515" w:rsidRPr="00607635">
        <w:t xml:space="preserve">On </w:t>
      </w:r>
      <w:r w:rsidR="00AE2860" w:rsidRPr="00607635">
        <w:t>15</w:t>
      </w:r>
      <w:r w:rsidR="00ED1515" w:rsidRPr="00607635">
        <w:t xml:space="preserve"> </w:t>
      </w:r>
      <w:r w:rsidR="00AE2860" w:rsidRPr="00607635">
        <w:t>February</w:t>
      </w:r>
      <w:r w:rsidR="00ED1515" w:rsidRPr="00607635">
        <w:t xml:space="preserve"> 20</w:t>
      </w:r>
      <w:r w:rsidR="00AE2860" w:rsidRPr="00607635">
        <w:t>1</w:t>
      </w:r>
      <w:r w:rsidR="00F976E7" w:rsidRPr="00607635">
        <w:t>1</w:t>
      </w:r>
      <w:r w:rsidR="00ED1515" w:rsidRPr="00607635">
        <w:t>, the author’</w:t>
      </w:r>
      <w:r w:rsidR="009A56EA" w:rsidRPr="00607635">
        <w:t>s</w:t>
      </w:r>
      <w:r w:rsidR="00ED1515" w:rsidRPr="00607635">
        <w:t xml:space="preserve"> application w</w:t>
      </w:r>
      <w:r w:rsidR="009A56EA" w:rsidRPr="00607635">
        <w:t>as</w:t>
      </w:r>
      <w:r w:rsidR="00ED1515" w:rsidRPr="00607635">
        <w:t xml:space="preserve"> rejected by the District </w:t>
      </w:r>
      <w:r w:rsidR="00AE2860" w:rsidRPr="00607635">
        <w:t>Executive Committee</w:t>
      </w:r>
      <w:r w:rsidR="00ED1515" w:rsidRPr="00607635">
        <w:t xml:space="preserve"> on </w:t>
      </w:r>
      <w:r w:rsidR="00951522" w:rsidRPr="00607635">
        <w:t xml:space="preserve">the </w:t>
      </w:r>
      <w:r w:rsidR="00ED1515" w:rsidRPr="00607635">
        <w:t>ground</w:t>
      </w:r>
      <w:r w:rsidR="00AE2860" w:rsidRPr="00607635">
        <w:t xml:space="preserve"> that </w:t>
      </w:r>
      <w:r w:rsidR="002B56E0" w:rsidRPr="00607635">
        <w:t>a sport</w:t>
      </w:r>
      <w:r w:rsidR="00DF6ACC">
        <w:t>ing</w:t>
      </w:r>
      <w:r w:rsidR="002B56E0" w:rsidRPr="00607635">
        <w:t xml:space="preserve"> event was to take place on the same day</w:t>
      </w:r>
      <w:r w:rsidR="00DF6ACC">
        <w:t>,</w:t>
      </w:r>
      <w:r w:rsidR="002B56E0" w:rsidRPr="00607635">
        <w:t xml:space="preserve"> at the same location. The authorities also noted in their refusal that </w:t>
      </w:r>
      <w:r w:rsidR="00AE2860" w:rsidRPr="00607635">
        <w:t>the Criminal Code of Belarus d</w:t>
      </w:r>
      <w:r w:rsidR="00BF1D74" w:rsidRPr="00607635">
        <w:t>id</w:t>
      </w:r>
      <w:r w:rsidR="00AE2860" w:rsidRPr="00607635">
        <w:t xml:space="preserve"> not define the </w:t>
      </w:r>
      <w:r w:rsidR="00BA071C">
        <w:t xml:space="preserve">term </w:t>
      </w:r>
      <w:r w:rsidR="00FC70CA">
        <w:t>“political persecution”.</w:t>
      </w:r>
      <w:r w:rsidRPr="00607635">
        <w:t xml:space="preserve"> </w:t>
      </w:r>
    </w:p>
    <w:p w:rsidR="000128E3" w:rsidRPr="00607635" w:rsidRDefault="000128E3">
      <w:pPr>
        <w:pStyle w:val="SingleTxtG"/>
      </w:pPr>
      <w:r w:rsidRPr="00607635">
        <w:t>2.3</w:t>
      </w:r>
      <w:r w:rsidRPr="00607635">
        <w:tab/>
      </w:r>
      <w:r w:rsidR="00964E2E" w:rsidRPr="00607635">
        <w:t xml:space="preserve">On </w:t>
      </w:r>
      <w:r w:rsidR="002834E0" w:rsidRPr="00607635">
        <w:t>3</w:t>
      </w:r>
      <w:r w:rsidR="00964E2E" w:rsidRPr="00607635">
        <w:t xml:space="preserve"> </w:t>
      </w:r>
      <w:r w:rsidR="002834E0" w:rsidRPr="00607635">
        <w:t>March 2011</w:t>
      </w:r>
      <w:r w:rsidR="00964E2E" w:rsidRPr="00607635">
        <w:t>, the author appeal</w:t>
      </w:r>
      <w:r w:rsidR="00F8265D" w:rsidRPr="00607635">
        <w:t>ed</w:t>
      </w:r>
      <w:r w:rsidR="00964E2E" w:rsidRPr="00607635">
        <w:t xml:space="preserve"> against the decision of the District </w:t>
      </w:r>
      <w:r w:rsidR="002834E0" w:rsidRPr="00607635">
        <w:t>Executive Committee</w:t>
      </w:r>
      <w:r w:rsidR="00964E2E" w:rsidRPr="00607635">
        <w:t xml:space="preserve"> to the </w:t>
      </w:r>
      <w:r w:rsidR="002834E0" w:rsidRPr="00607635">
        <w:t>Gomel Regional Executive Committee</w:t>
      </w:r>
      <w:r w:rsidR="00964E2E" w:rsidRPr="00607635">
        <w:t xml:space="preserve">. </w:t>
      </w:r>
      <w:r w:rsidR="00C31D00" w:rsidRPr="00607635">
        <w:t>His</w:t>
      </w:r>
      <w:r w:rsidR="002834E0" w:rsidRPr="00607635">
        <w:t xml:space="preserve"> appeal w</w:t>
      </w:r>
      <w:r w:rsidR="00C31D00" w:rsidRPr="00607635">
        <w:t>as</w:t>
      </w:r>
      <w:r w:rsidR="00B40D58">
        <w:t xml:space="preserve"> rejected on 23 </w:t>
      </w:r>
      <w:r w:rsidR="002834E0" w:rsidRPr="00607635">
        <w:t xml:space="preserve">March 2011. </w:t>
      </w:r>
      <w:r w:rsidR="00964E2E" w:rsidRPr="00607635">
        <w:t>O</w:t>
      </w:r>
      <w:r w:rsidR="002834E0" w:rsidRPr="00607635">
        <w:t>n 28</w:t>
      </w:r>
      <w:r w:rsidR="00964E2E" w:rsidRPr="00607635">
        <w:t xml:space="preserve"> </w:t>
      </w:r>
      <w:r w:rsidR="002834E0" w:rsidRPr="00607635">
        <w:t>March</w:t>
      </w:r>
      <w:r w:rsidR="00964E2E" w:rsidRPr="00607635">
        <w:t xml:space="preserve"> 20</w:t>
      </w:r>
      <w:r w:rsidR="002834E0" w:rsidRPr="00607635">
        <w:t>11</w:t>
      </w:r>
      <w:r w:rsidR="00964E2E" w:rsidRPr="00607635">
        <w:t xml:space="preserve">, </w:t>
      </w:r>
      <w:r w:rsidR="00B41BE1">
        <w:t>the author</w:t>
      </w:r>
      <w:r w:rsidR="00B41BE1" w:rsidRPr="00607635">
        <w:t xml:space="preserve"> </w:t>
      </w:r>
      <w:r w:rsidR="00964E2E" w:rsidRPr="00607635">
        <w:t>appeal</w:t>
      </w:r>
      <w:r w:rsidR="002834E0" w:rsidRPr="00607635">
        <w:t xml:space="preserve">ed to the Zhlobin District Court. The court rejected the appeal </w:t>
      </w:r>
      <w:r w:rsidR="00C31D00" w:rsidRPr="00607635">
        <w:t>o</w:t>
      </w:r>
      <w:r w:rsidR="003721BC" w:rsidRPr="00607635">
        <w:t xml:space="preserve">n </w:t>
      </w:r>
      <w:r w:rsidR="002834E0" w:rsidRPr="00607635">
        <w:t>19 April 2011</w:t>
      </w:r>
      <w:r w:rsidR="00964E2E" w:rsidRPr="00607635">
        <w:t xml:space="preserve">. On </w:t>
      </w:r>
      <w:r w:rsidR="002834E0" w:rsidRPr="00607635">
        <w:t>27 April</w:t>
      </w:r>
      <w:r w:rsidR="00964E2E" w:rsidRPr="00607635">
        <w:t xml:space="preserve"> 201</w:t>
      </w:r>
      <w:r w:rsidR="002834E0" w:rsidRPr="00607635">
        <w:t>1</w:t>
      </w:r>
      <w:r w:rsidR="00964E2E" w:rsidRPr="00607635">
        <w:t xml:space="preserve">, </w:t>
      </w:r>
      <w:r w:rsidR="003721BC" w:rsidRPr="00607635">
        <w:t>the</w:t>
      </w:r>
      <w:r w:rsidR="00964E2E" w:rsidRPr="00607635">
        <w:t xml:space="preserve"> author filed a</w:t>
      </w:r>
      <w:r w:rsidR="00DF6ACC">
        <w:t>n</w:t>
      </w:r>
      <w:r w:rsidR="00964E2E" w:rsidRPr="00607635">
        <w:t xml:space="preserve"> appeal to the </w:t>
      </w:r>
      <w:r w:rsidR="002834E0" w:rsidRPr="00607635">
        <w:t>Gomel Regional Court</w:t>
      </w:r>
      <w:r w:rsidR="00B43DD0">
        <w:t xml:space="preserve"> that </w:t>
      </w:r>
      <w:r w:rsidR="00C31D00" w:rsidRPr="00607635">
        <w:t xml:space="preserve">was </w:t>
      </w:r>
      <w:r w:rsidR="00964E2E" w:rsidRPr="00607635">
        <w:t>dismiss</w:t>
      </w:r>
      <w:r w:rsidR="002834E0" w:rsidRPr="00607635">
        <w:t>ed</w:t>
      </w:r>
      <w:r w:rsidR="00964E2E" w:rsidRPr="00607635">
        <w:t xml:space="preserve"> </w:t>
      </w:r>
      <w:r w:rsidR="003721BC" w:rsidRPr="00607635">
        <w:t xml:space="preserve">on </w:t>
      </w:r>
      <w:r w:rsidR="002834E0" w:rsidRPr="00607635">
        <w:t>9 June 2011</w:t>
      </w:r>
      <w:r w:rsidR="00964E2E" w:rsidRPr="00607635">
        <w:t>.</w:t>
      </w:r>
      <w:r w:rsidRPr="00607635">
        <w:t xml:space="preserve"> </w:t>
      </w:r>
      <w:r w:rsidR="00446B75" w:rsidRPr="00607635">
        <w:t xml:space="preserve">The author </w:t>
      </w:r>
      <w:r w:rsidR="002834E0" w:rsidRPr="00607635">
        <w:t>ha</w:t>
      </w:r>
      <w:r w:rsidR="00C31D00" w:rsidRPr="00607635">
        <w:t>s</w:t>
      </w:r>
      <w:r w:rsidR="002834E0" w:rsidRPr="00607635">
        <w:t xml:space="preserve"> </w:t>
      </w:r>
      <w:r w:rsidR="00B41BE1">
        <w:t xml:space="preserve">made </w:t>
      </w:r>
      <w:r w:rsidR="002834E0" w:rsidRPr="00607635">
        <w:t xml:space="preserve">no </w:t>
      </w:r>
      <w:r w:rsidR="00B43DD0">
        <w:t xml:space="preserve">further </w:t>
      </w:r>
      <w:r w:rsidR="002834E0" w:rsidRPr="00607635">
        <w:t>appeal</w:t>
      </w:r>
      <w:r w:rsidR="00B43DD0">
        <w:t>s</w:t>
      </w:r>
      <w:r w:rsidR="002834E0" w:rsidRPr="00607635">
        <w:t xml:space="preserve"> under the supervisory review </w:t>
      </w:r>
      <w:r w:rsidR="00784231" w:rsidRPr="00607635">
        <w:t>procedure</w:t>
      </w:r>
      <w:r w:rsidR="002834E0" w:rsidRPr="00607635">
        <w:t xml:space="preserve"> </w:t>
      </w:r>
      <w:r w:rsidR="00FF1D1B" w:rsidRPr="00607635">
        <w:t xml:space="preserve">since </w:t>
      </w:r>
      <w:r w:rsidR="00C31D00" w:rsidRPr="00607635">
        <w:t>he</w:t>
      </w:r>
      <w:r w:rsidR="00FF1D1B" w:rsidRPr="00607635">
        <w:t xml:space="preserve"> consider</w:t>
      </w:r>
      <w:r w:rsidR="00B43DD0">
        <w:t>s</w:t>
      </w:r>
      <w:r w:rsidR="002834E0" w:rsidRPr="00607635">
        <w:t xml:space="preserve"> </w:t>
      </w:r>
      <w:r w:rsidR="00B43DD0">
        <w:t xml:space="preserve">that </w:t>
      </w:r>
      <w:r w:rsidR="00FF1D1B" w:rsidRPr="00607635">
        <w:t xml:space="preserve">the </w:t>
      </w:r>
      <w:r w:rsidR="00B41BE1">
        <w:t>procedure</w:t>
      </w:r>
      <w:r w:rsidR="00B43DD0">
        <w:t xml:space="preserve"> does not </w:t>
      </w:r>
      <w:r w:rsidR="009D26D2" w:rsidRPr="00607635">
        <w:t xml:space="preserve">constitute an </w:t>
      </w:r>
      <w:r w:rsidR="00FF1D1B" w:rsidRPr="00607635">
        <w:t>effective remed</w:t>
      </w:r>
      <w:r w:rsidR="009D26D2" w:rsidRPr="00607635">
        <w:t>y</w:t>
      </w:r>
      <w:r w:rsidR="00F8265D" w:rsidRPr="00607635">
        <w:t>,</w:t>
      </w:r>
      <w:r w:rsidR="00FF1D1B" w:rsidRPr="00607635">
        <w:t xml:space="preserve"> </w:t>
      </w:r>
      <w:r w:rsidR="002B56E0" w:rsidRPr="00607635">
        <w:t>given the established domestic practice in similar cases.</w:t>
      </w:r>
    </w:p>
    <w:p w:rsidR="000128E3" w:rsidRPr="00607635" w:rsidRDefault="000128E3" w:rsidP="00F12D79">
      <w:pPr>
        <w:pStyle w:val="H23G"/>
      </w:pPr>
      <w:r w:rsidRPr="00607635">
        <w:tab/>
      </w:r>
      <w:r w:rsidRPr="00607635">
        <w:tab/>
        <w:t>The complaint</w:t>
      </w:r>
    </w:p>
    <w:p w:rsidR="00EF65BA" w:rsidRPr="00607635" w:rsidRDefault="000128E3">
      <w:pPr>
        <w:pStyle w:val="SingleTxtG"/>
      </w:pPr>
      <w:r w:rsidRPr="00607635">
        <w:t>3.</w:t>
      </w:r>
      <w:r w:rsidRPr="00607635">
        <w:tab/>
      </w:r>
      <w:r w:rsidR="00D07060" w:rsidRPr="008A5196">
        <w:t>The</w:t>
      </w:r>
      <w:r w:rsidR="009D26D2" w:rsidRPr="008A5196">
        <w:t xml:space="preserve"> author </w:t>
      </w:r>
      <w:r w:rsidR="003721BC" w:rsidRPr="008A5196">
        <w:t>claim</w:t>
      </w:r>
      <w:r w:rsidR="004832AC" w:rsidRPr="008A5196">
        <w:t>s</w:t>
      </w:r>
      <w:r w:rsidR="00D07060" w:rsidRPr="008A5196">
        <w:t xml:space="preserve"> that </w:t>
      </w:r>
      <w:r w:rsidR="004832AC" w:rsidRPr="008A5196">
        <w:t>his</w:t>
      </w:r>
      <w:r w:rsidR="00D07060" w:rsidRPr="008A5196">
        <w:t xml:space="preserve"> </w:t>
      </w:r>
      <w:r w:rsidR="009D26D2" w:rsidRPr="008A5196">
        <w:t xml:space="preserve">right to </w:t>
      </w:r>
      <w:r w:rsidR="00D07060" w:rsidRPr="008A5196">
        <w:t xml:space="preserve">freedom of expression has been restricted in violation of </w:t>
      </w:r>
      <w:r w:rsidR="00467903" w:rsidRPr="008A5196">
        <w:t>article 19 of the Covenant</w:t>
      </w:r>
      <w:r w:rsidR="003721BC" w:rsidRPr="008A5196">
        <w:t xml:space="preserve"> by an unjustified refusal of the </w:t>
      </w:r>
      <w:r w:rsidR="00607635" w:rsidRPr="008A5196">
        <w:t xml:space="preserve">State party’s </w:t>
      </w:r>
      <w:r w:rsidR="003721BC" w:rsidRPr="008A5196">
        <w:t xml:space="preserve">authorities to </w:t>
      </w:r>
      <w:r w:rsidR="005D2DFC" w:rsidRPr="008A5196">
        <w:t>permit</w:t>
      </w:r>
      <w:r w:rsidR="003721BC" w:rsidRPr="008A5196">
        <w:t xml:space="preserve"> </w:t>
      </w:r>
      <w:r w:rsidR="00B43DD0">
        <w:t>him to</w:t>
      </w:r>
      <w:r w:rsidR="00B43DD0" w:rsidRPr="008A5196">
        <w:t xml:space="preserve"> </w:t>
      </w:r>
      <w:r w:rsidR="00B43DD0">
        <w:t xml:space="preserve">hold </w:t>
      </w:r>
      <w:r w:rsidR="00B41BE1">
        <w:t>a</w:t>
      </w:r>
      <w:r w:rsidR="00B43DD0">
        <w:t xml:space="preserve"> </w:t>
      </w:r>
      <w:r w:rsidR="004832AC" w:rsidRPr="008A5196">
        <w:t>picket</w:t>
      </w:r>
      <w:r w:rsidR="00467903" w:rsidRPr="008A5196">
        <w:t>.</w:t>
      </w:r>
      <w:r w:rsidR="009D26D2" w:rsidRPr="008A5196">
        <w:t xml:space="preserve"> </w:t>
      </w:r>
      <w:r w:rsidR="004832AC" w:rsidRPr="008A5196">
        <w:t>He</w:t>
      </w:r>
      <w:r w:rsidR="00EF65BA" w:rsidRPr="008A5196">
        <w:t xml:space="preserve"> </w:t>
      </w:r>
      <w:r w:rsidR="00E9408F" w:rsidRPr="008A5196">
        <w:t xml:space="preserve">also </w:t>
      </w:r>
      <w:r w:rsidR="00EF65BA" w:rsidRPr="008A5196">
        <w:t>allege</w:t>
      </w:r>
      <w:r w:rsidR="004832AC" w:rsidRPr="008A5196">
        <w:t>s</w:t>
      </w:r>
      <w:r w:rsidR="00EF65BA" w:rsidRPr="008A5196">
        <w:t xml:space="preserve"> that </w:t>
      </w:r>
      <w:r w:rsidR="004832AC" w:rsidRPr="008A5196">
        <w:t>his</w:t>
      </w:r>
      <w:r w:rsidR="00EF65BA" w:rsidRPr="008A5196">
        <w:t xml:space="preserve"> right to freedom of assembly under article 21 of the Covenant has been violated by the </w:t>
      </w:r>
      <w:r w:rsidR="009D26D2" w:rsidRPr="008A5196">
        <w:t>un</w:t>
      </w:r>
      <w:r w:rsidR="00AD10F3">
        <w:t>justified</w:t>
      </w:r>
      <w:r w:rsidR="009D26D2" w:rsidRPr="008A5196">
        <w:t xml:space="preserve"> </w:t>
      </w:r>
      <w:r w:rsidR="00EF65BA" w:rsidRPr="008A5196">
        <w:t xml:space="preserve">refusal of the authorities to </w:t>
      </w:r>
      <w:r w:rsidR="00607635" w:rsidRPr="008A5196">
        <w:t>authori</w:t>
      </w:r>
      <w:r w:rsidR="00B43DD0">
        <w:t>z</w:t>
      </w:r>
      <w:r w:rsidR="00607635" w:rsidRPr="008A5196">
        <w:t xml:space="preserve">e </w:t>
      </w:r>
      <w:r w:rsidR="00EF65BA" w:rsidRPr="008A5196">
        <w:t>the picket.</w:t>
      </w:r>
    </w:p>
    <w:p w:rsidR="000128E3" w:rsidRPr="00D23C28" w:rsidRDefault="000128E3" w:rsidP="00F26BC3">
      <w:pPr>
        <w:pStyle w:val="H23G"/>
      </w:pPr>
      <w:r w:rsidRPr="00D23C28">
        <w:tab/>
      </w:r>
      <w:r w:rsidRPr="00D23C28">
        <w:tab/>
        <w:t xml:space="preserve">State party’s observations </w:t>
      </w:r>
    </w:p>
    <w:p w:rsidR="00B84D8C" w:rsidRPr="00607635" w:rsidRDefault="000128E3" w:rsidP="00C16A92">
      <w:pPr>
        <w:pStyle w:val="SingleTxtG"/>
      </w:pPr>
      <w:r w:rsidRPr="00607635">
        <w:t>4.1</w:t>
      </w:r>
      <w:r w:rsidRPr="00607635">
        <w:tab/>
      </w:r>
      <w:r w:rsidR="00B43DD0">
        <w:t xml:space="preserve">In a </w:t>
      </w:r>
      <w:r w:rsidR="009D26D2" w:rsidRPr="00607635">
        <w:t>note verbale</w:t>
      </w:r>
      <w:r w:rsidR="00BF4AA2" w:rsidRPr="00607635">
        <w:t xml:space="preserve"> </w:t>
      </w:r>
      <w:r w:rsidR="00B43DD0">
        <w:t>dated</w:t>
      </w:r>
      <w:r w:rsidR="00B43DD0" w:rsidRPr="00607635">
        <w:t xml:space="preserve"> </w:t>
      </w:r>
      <w:r w:rsidR="00BF4AA2" w:rsidRPr="00607635">
        <w:t>28 November 2011,</w:t>
      </w:r>
      <w:r w:rsidR="009D26D2" w:rsidRPr="00607635">
        <w:t xml:space="preserve"> t</w:t>
      </w:r>
      <w:r w:rsidR="003721BC" w:rsidRPr="00607635">
        <w:t>he State pa</w:t>
      </w:r>
      <w:r w:rsidR="00BF4AA2" w:rsidRPr="00607635">
        <w:t>rty submit</w:t>
      </w:r>
      <w:r w:rsidR="00B43DD0">
        <w:t>s</w:t>
      </w:r>
      <w:r w:rsidR="00B84D8C" w:rsidRPr="00607635">
        <w:t xml:space="preserve"> that the author ha</w:t>
      </w:r>
      <w:r w:rsidR="00BF4AA2" w:rsidRPr="00D23C28">
        <w:t>s</w:t>
      </w:r>
      <w:r w:rsidR="00B84D8C" w:rsidRPr="00D23C28">
        <w:t xml:space="preserve"> not exhausted all available domestic remedies as required by article 2 of the Optional Protocol </w:t>
      </w:r>
      <w:r w:rsidR="00D23C28">
        <w:t xml:space="preserve">as he </w:t>
      </w:r>
      <w:r w:rsidR="00B43DD0">
        <w:t xml:space="preserve">has </w:t>
      </w:r>
      <w:r w:rsidR="00D23C28">
        <w:t>not</w:t>
      </w:r>
      <w:r w:rsidR="00B84D8C" w:rsidRPr="00D23C28">
        <w:t xml:space="preserve"> </w:t>
      </w:r>
      <w:r w:rsidR="00B43DD0">
        <w:t xml:space="preserve">made an </w:t>
      </w:r>
      <w:r w:rsidR="00B84D8C" w:rsidRPr="00D23C28">
        <w:t xml:space="preserve">appeal </w:t>
      </w:r>
      <w:r w:rsidR="00ED00C7" w:rsidRPr="00D23C28">
        <w:t xml:space="preserve">under the supervisory review </w:t>
      </w:r>
      <w:r w:rsidR="00784231" w:rsidRPr="00D23C28">
        <w:t>procedure</w:t>
      </w:r>
      <w:r w:rsidR="00B84D8C" w:rsidRPr="00D23C28">
        <w:t xml:space="preserve">. </w:t>
      </w:r>
      <w:r w:rsidR="00397223" w:rsidRPr="00D23C28">
        <w:t xml:space="preserve">According to the State party, the </w:t>
      </w:r>
      <w:r w:rsidR="00B43DD0">
        <w:t>procedure</w:t>
      </w:r>
      <w:r w:rsidR="00397223" w:rsidRPr="00D23C28">
        <w:t xml:space="preserve"> </w:t>
      </w:r>
      <w:r w:rsidR="00B43DD0">
        <w:t>constitutes</w:t>
      </w:r>
      <w:r w:rsidR="00397223" w:rsidRPr="00D23C28">
        <w:t xml:space="preserve"> an effective remedy</w:t>
      </w:r>
      <w:r w:rsidR="00B43DD0">
        <w:t>, as</w:t>
      </w:r>
      <w:r w:rsidR="00397223" w:rsidRPr="00D23C28">
        <w:t xml:space="preserve"> proven by the fact that, of </w:t>
      </w:r>
      <w:r w:rsidR="00B43DD0">
        <w:t xml:space="preserve">the </w:t>
      </w:r>
      <w:r w:rsidR="00397223" w:rsidRPr="00D23C28">
        <w:t>4</w:t>
      </w:r>
      <w:r w:rsidR="00B43DD0">
        <w:t>,</w:t>
      </w:r>
      <w:r w:rsidR="00397223" w:rsidRPr="00D23C28">
        <w:t>565 appeals filed</w:t>
      </w:r>
      <w:r w:rsidR="00B43DD0" w:rsidRPr="00B43DD0">
        <w:t xml:space="preserve"> </w:t>
      </w:r>
      <w:r w:rsidR="00B43DD0" w:rsidRPr="00D23C28">
        <w:t>in 2011</w:t>
      </w:r>
      <w:r w:rsidR="00B43DD0">
        <w:t xml:space="preserve"> </w:t>
      </w:r>
      <w:r w:rsidR="00397223" w:rsidRPr="00D23C28">
        <w:t>under th</w:t>
      </w:r>
      <w:r w:rsidR="00B43DD0">
        <w:t>at</w:t>
      </w:r>
      <w:r w:rsidR="00397223" w:rsidRPr="00D23C28">
        <w:t xml:space="preserve"> </w:t>
      </w:r>
      <w:r w:rsidR="00784231" w:rsidRPr="00D23C28">
        <w:t>procedure</w:t>
      </w:r>
      <w:r w:rsidR="00397223" w:rsidRPr="00D23C28">
        <w:t xml:space="preserve"> 239 </w:t>
      </w:r>
      <w:r w:rsidR="00784231" w:rsidRPr="00D23C28">
        <w:t>were upheld by the Supreme Court</w:t>
      </w:r>
      <w:r w:rsidR="009D26D2" w:rsidRPr="00D23C28">
        <w:t>’s</w:t>
      </w:r>
      <w:r w:rsidR="00784231" w:rsidRPr="00D23C28">
        <w:t xml:space="preserve"> </w:t>
      </w:r>
      <w:r w:rsidR="003335F5" w:rsidRPr="00D23C28">
        <w:t>officials</w:t>
      </w:r>
      <w:r w:rsidR="00397223" w:rsidRPr="00D23C28">
        <w:t xml:space="preserve">. </w:t>
      </w:r>
      <w:r w:rsidR="0081367C" w:rsidRPr="00D23C28">
        <w:t>In</w:t>
      </w:r>
      <w:r w:rsidR="00CE5F5D" w:rsidRPr="00D23C28">
        <w:t xml:space="preserve"> the State party’s </w:t>
      </w:r>
      <w:r w:rsidR="0081367C" w:rsidRPr="00D23C28">
        <w:t>opinion</w:t>
      </w:r>
      <w:r w:rsidR="00B43DD0">
        <w:t>,</w:t>
      </w:r>
      <w:r w:rsidR="00B84D8C" w:rsidRPr="00D23C28">
        <w:t xml:space="preserve"> there </w:t>
      </w:r>
      <w:r w:rsidR="00B43DD0">
        <w:t>are</w:t>
      </w:r>
      <w:r w:rsidR="00B43DD0" w:rsidRPr="00D23C28">
        <w:t xml:space="preserve"> </w:t>
      </w:r>
      <w:r w:rsidR="00B84D8C" w:rsidRPr="00D23C28">
        <w:t>no legal grounds for consider</w:t>
      </w:r>
      <w:r w:rsidR="00B43DD0">
        <w:t>ing</w:t>
      </w:r>
      <w:r w:rsidR="00B84D8C" w:rsidRPr="00D23C28">
        <w:t xml:space="preserve"> the communication</w:t>
      </w:r>
      <w:r w:rsidR="00B43DD0">
        <w:t xml:space="preserve"> </w:t>
      </w:r>
      <w:r w:rsidR="00B11C10">
        <w:t>submitted by the author</w:t>
      </w:r>
      <w:r w:rsidR="00B84D8C" w:rsidRPr="00607635">
        <w:t xml:space="preserve"> </w:t>
      </w:r>
      <w:r w:rsidR="00A50EFE" w:rsidRPr="00607635">
        <w:t xml:space="preserve">since </w:t>
      </w:r>
      <w:r w:rsidR="00B11C10">
        <w:t>it</w:t>
      </w:r>
      <w:r w:rsidR="00B11C10" w:rsidRPr="00607635">
        <w:t xml:space="preserve"> </w:t>
      </w:r>
      <w:r w:rsidR="00B84D8C" w:rsidRPr="00607635">
        <w:t>w</w:t>
      </w:r>
      <w:r w:rsidR="00B11C10">
        <w:t>as</w:t>
      </w:r>
      <w:r w:rsidR="00B84D8C" w:rsidRPr="00607635">
        <w:t xml:space="preserve"> registered in violation of article 1 of the Optional Protocol.</w:t>
      </w:r>
    </w:p>
    <w:p w:rsidR="00B84D8C" w:rsidRPr="00607635" w:rsidRDefault="00EE0B0F">
      <w:pPr>
        <w:pStyle w:val="SingleTxtG"/>
      </w:pPr>
      <w:r w:rsidRPr="00607635">
        <w:t>4.2</w:t>
      </w:r>
      <w:r w:rsidRPr="00607635">
        <w:tab/>
        <w:t xml:space="preserve">In a note verbale </w:t>
      </w:r>
      <w:r w:rsidR="00B43DD0">
        <w:t>dated</w:t>
      </w:r>
      <w:r w:rsidR="00B43DD0" w:rsidRPr="00607635">
        <w:t xml:space="preserve"> </w:t>
      </w:r>
      <w:r w:rsidRPr="00607635">
        <w:t xml:space="preserve">25 January 2012, the State party </w:t>
      </w:r>
      <w:r w:rsidR="00AE24FE" w:rsidRPr="00607635">
        <w:t>explain</w:t>
      </w:r>
      <w:r w:rsidR="00B43DD0">
        <w:t>s</w:t>
      </w:r>
      <w:r w:rsidR="00654777" w:rsidRPr="00607635">
        <w:t>, in regar</w:t>
      </w:r>
      <w:r w:rsidR="0026447F" w:rsidRPr="00607635">
        <w:t>d to a number of communications</w:t>
      </w:r>
      <w:r w:rsidR="00B43DD0">
        <w:t>,</w:t>
      </w:r>
      <w:r w:rsidR="00654777" w:rsidRPr="00607635">
        <w:t xml:space="preserve"> including the </w:t>
      </w:r>
      <w:r w:rsidR="00F2528A" w:rsidRPr="00607635">
        <w:t>one</w:t>
      </w:r>
      <w:r w:rsidR="00B41BE1">
        <w:t xml:space="preserve"> submitted by the aut</w:t>
      </w:r>
      <w:r w:rsidR="0014155A">
        <w:t>h</w:t>
      </w:r>
      <w:r w:rsidR="00B41BE1">
        <w:t>or</w:t>
      </w:r>
      <w:r w:rsidR="00654777" w:rsidRPr="00607635">
        <w:t>,</w:t>
      </w:r>
      <w:r w:rsidRPr="00607635">
        <w:t xml:space="preserve"> that by becoming a party to the Optional Protocol it ha</w:t>
      </w:r>
      <w:r w:rsidR="00B43DD0">
        <w:t>s</w:t>
      </w:r>
      <w:r w:rsidRPr="00607635">
        <w:t xml:space="preserve"> agreed, under article 1 thereof</w:t>
      </w:r>
      <w:r w:rsidR="00B43DD0">
        <w:t>,</w:t>
      </w:r>
      <w:r w:rsidRPr="00607635">
        <w:t xml:space="preserve"> to recognize the competence of the Committee to receive and consider communications from individuals subject to its jurisdiction who claim to be victims of a violation by the State party of </w:t>
      </w:r>
      <w:r w:rsidR="00B43DD0">
        <w:t>the</w:t>
      </w:r>
      <w:r w:rsidR="00B43DD0" w:rsidRPr="00607635">
        <w:t xml:space="preserve"> </w:t>
      </w:r>
      <w:r w:rsidRPr="00607635">
        <w:t>rights protected by the Covenant. It note</w:t>
      </w:r>
      <w:r w:rsidR="00B43DD0">
        <w:t>s</w:t>
      </w:r>
      <w:r w:rsidRPr="00607635">
        <w:t>, however, that such recognition was undertaken in conjunction with other provisions of the Optional Protocol, including those establishing criteria regarding petitioners and the admissibility of their communications, in particular articles 2 and 5. It maintained that</w:t>
      </w:r>
      <w:r w:rsidR="00B43DD0">
        <w:t xml:space="preserve"> </w:t>
      </w:r>
      <w:r w:rsidR="00B43DD0" w:rsidRPr="00607635">
        <w:t>States parties</w:t>
      </w:r>
      <w:r w:rsidR="00B43DD0">
        <w:t xml:space="preserve"> to</w:t>
      </w:r>
      <w:r w:rsidRPr="00607635">
        <w:t xml:space="preserve"> the Optional Protocol have no obligation to recognize the Committee’s rules of procedure nor its interpretation of the provisions of the Optional Protocol, which could only be effective when done in accordance with the Vienna Convention on the Law of Treaties. It submit</w:t>
      </w:r>
      <w:r w:rsidR="00B43DD0">
        <w:t>s</w:t>
      </w:r>
      <w:r w:rsidRPr="00607635">
        <w:t xml:space="preserve"> that, in relation to the </w:t>
      </w:r>
      <w:r w:rsidR="00717631" w:rsidRPr="00607635">
        <w:t>communications</w:t>
      </w:r>
      <w:r w:rsidRPr="00607635">
        <w:t xml:space="preserve"> procedure, States parties should be guided first and foremost by the provisions of the Optional Protocol and that references to the Committee’s long-standing practice, methods of wo</w:t>
      </w:r>
      <w:r w:rsidR="009D4BB8" w:rsidRPr="00607635">
        <w:t>rk and case law are not subject</w:t>
      </w:r>
      <w:r w:rsidRPr="00607635">
        <w:t xml:space="preserve"> </w:t>
      </w:r>
      <w:r w:rsidR="009D4BB8" w:rsidRPr="00607635">
        <w:t>to</w:t>
      </w:r>
      <w:r w:rsidRPr="00607635">
        <w:t xml:space="preserve"> the Optional Protocol. The State </w:t>
      </w:r>
      <w:r w:rsidRPr="00607635">
        <w:lastRenderedPageBreak/>
        <w:t>party also submit</w:t>
      </w:r>
      <w:r w:rsidR="00B43DD0">
        <w:t>s</w:t>
      </w:r>
      <w:r w:rsidRPr="00607635">
        <w:t xml:space="preserve"> that any communication registered in violation of the provisions of the Optional Protocol would be viewed as incompatible with the Optional Protocol and rejected without observations on the admissibility or</w:t>
      </w:r>
      <w:r w:rsidR="00B43DD0">
        <w:t xml:space="preserve"> the</w:t>
      </w:r>
      <w:r w:rsidRPr="00607635">
        <w:t xml:space="preserve"> merits, and that any decision taken by the Committee on such communications would be considered by its authorities as “invalid”. The State party reiterated its view that the present communication </w:t>
      </w:r>
      <w:r w:rsidR="0026447F" w:rsidRPr="00607635">
        <w:t>w</w:t>
      </w:r>
      <w:r w:rsidR="00F2528A" w:rsidRPr="00607635">
        <w:t>as</w:t>
      </w:r>
      <w:r w:rsidRPr="00607635">
        <w:t xml:space="preserve"> registered in violation of the Optional Protocol.</w:t>
      </w:r>
    </w:p>
    <w:p w:rsidR="000128E3" w:rsidRPr="00607635" w:rsidRDefault="008F4C04" w:rsidP="00C16A92">
      <w:pPr>
        <w:pStyle w:val="H23G"/>
      </w:pPr>
      <w:r w:rsidRPr="00607635">
        <w:tab/>
      </w:r>
      <w:r w:rsidRPr="00607635">
        <w:tab/>
      </w:r>
      <w:r w:rsidR="00784231" w:rsidRPr="00607635">
        <w:t>Author</w:t>
      </w:r>
      <w:r w:rsidR="00B43DD0">
        <w:t>’</w:t>
      </w:r>
      <w:r w:rsidR="000128E3" w:rsidRPr="00607635">
        <w:t>s comments on the State party’s observations</w:t>
      </w:r>
    </w:p>
    <w:p w:rsidR="000128E3" w:rsidRPr="00D23C28" w:rsidRDefault="00FC70CA" w:rsidP="00656261">
      <w:pPr>
        <w:pStyle w:val="SingleTxtG"/>
        <w:rPr>
          <w:bCs/>
        </w:rPr>
      </w:pPr>
      <w:r>
        <w:t>5</w:t>
      </w:r>
      <w:r w:rsidR="00381975" w:rsidRPr="00607635">
        <w:t>.</w:t>
      </w:r>
      <w:r w:rsidR="000128E3" w:rsidRPr="00607635">
        <w:tab/>
      </w:r>
      <w:r w:rsidR="003335F5" w:rsidRPr="00607635">
        <w:rPr>
          <w:bCs/>
        </w:rPr>
        <w:t>In a</w:t>
      </w:r>
      <w:r w:rsidR="00956A6B" w:rsidRPr="00607635">
        <w:rPr>
          <w:bCs/>
        </w:rPr>
        <w:t xml:space="preserve"> letter </w:t>
      </w:r>
      <w:r w:rsidR="00B43DD0">
        <w:rPr>
          <w:bCs/>
        </w:rPr>
        <w:t>dated</w:t>
      </w:r>
      <w:r w:rsidR="00B43DD0" w:rsidRPr="00607635">
        <w:rPr>
          <w:bCs/>
        </w:rPr>
        <w:t xml:space="preserve"> </w:t>
      </w:r>
      <w:r w:rsidR="00956A6B" w:rsidRPr="00607635">
        <w:rPr>
          <w:bCs/>
        </w:rPr>
        <w:t>2</w:t>
      </w:r>
      <w:r w:rsidR="003335F5" w:rsidRPr="00607635">
        <w:rPr>
          <w:bCs/>
        </w:rPr>
        <w:t>9</w:t>
      </w:r>
      <w:r w:rsidR="00956A6B" w:rsidRPr="00607635">
        <w:rPr>
          <w:bCs/>
        </w:rPr>
        <w:t xml:space="preserve"> January 201</w:t>
      </w:r>
      <w:r w:rsidR="003335F5" w:rsidRPr="00607635">
        <w:rPr>
          <w:bCs/>
        </w:rPr>
        <w:t>2</w:t>
      </w:r>
      <w:r w:rsidR="0026447F" w:rsidRPr="00607635">
        <w:rPr>
          <w:bCs/>
        </w:rPr>
        <w:t>,</w:t>
      </w:r>
      <w:r w:rsidR="00956A6B" w:rsidRPr="00607635">
        <w:rPr>
          <w:bCs/>
        </w:rPr>
        <w:t xml:space="preserve"> the author submit</w:t>
      </w:r>
      <w:r w:rsidR="00F318C1" w:rsidRPr="00607635">
        <w:rPr>
          <w:bCs/>
        </w:rPr>
        <w:t>ted</w:t>
      </w:r>
      <w:r w:rsidR="00956A6B" w:rsidRPr="00607635">
        <w:rPr>
          <w:bCs/>
        </w:rPr>
        <w:t xml:space="preserve"> </w:t>
      </w:r>
      <w:r w:rsidR="003335F5" w:rsidRPr="00607635">
        <w:rPr>
          <w:bCs/>
        </w:rPr>
        <w:t xml:space="preserve">his comments </w:t>
      </w:r>
      <w:r w:rsidR="00B43DD0">
        <w:rPr>
          <w:bCs/>
        </w:rPr>
        <w:t>on</w:t>
      </w:r>
      <w:r w:rsidR="00B43DD0" w:rsidRPr="00607635">
        <w:rPr>
          <w:bCs/>
        </w:rPr>
        <w:t xml:space="preserve"> </w:t>
      </w:r>
      <w:r w:rsidR="003335F5" w:rsidRPr="00607635">
        <w:rPr>
          <w:bCs/>
        </w:rPr>
        <w:t>the State party</w:t>
      </w:r>
      <w:r w:rsidR="00B43DD0">
        <w:rPr>
          <w:bCs/>
        </w:rPr>
        <w:t>’s</w:t>
      </w:r>
      <w:r w:rsidR="00B43DD0" w:rsidRPr="00B43DD0">
        <w:rPr>
          <w:bCs/>
        </w:rPr>
        <w:t xml:space="preserve"> </w:t>
      </w:r>
      <w:r w:rsidR="00B43DD0" w:rsidRPr="00607635">
        <w:rPr>
          <w:bCs/>
        </w:rPr>
        <w:t>observations</w:t>
      </w:r>
      <w:r w:rsidR="00B11C10">
        <w:rPr>
          <w:bCs/>
        </w:rPr>
        <w:t>. He</w:t>
      </w:r>
      <w:r w:rsidR="00871842" w:rsidRPr="00607635">
        <w:rPr>
          <w:bCs/>
        </w:rPr>
        <w:t xml:space="preserve"> assert</w:t>
      </w:r>
      <w:r w:rsidR="00B11C10">
        <w:rPr>
          <w:bCs/>
        </w:rPr>
        <w:t>ed</w:t>
      </w:r>
      <w:r w:rsidR="00871842" w:rsidRPr="00607635">
        <w:rPr>
          <w:bCs/>
        </w:rPr>
        <w:t xml:space="preserve"> that</w:t>
      </w:r>
      <w:r w:rsidR="003335F5" w:rsidRPr="00607635">
        <w:rPr>
          <w:bCs/>
        </w:rPr>
        <w:t xml:space="preserve"> the supervisory review procedure </w:t>
      </w:r>
      <w:r w:rsidR="00B11C10">
        <w:rPr>
          <w:bCs/>
        </w:rPr>
        <w:t>could not</w:t>
      </w:r>
      <w:r w:rsidR="00B11C10" w:rsidRPr="00607635">
        <w:rPr>
          <w:bCs/>
        </w:rPr>
        <w:t xml:space="preserve"> </w:t>
      </w:r>
      <w:r w:rsidR="003335F5" w:rsidRPr="00607635">
        <w:rPr>
          <w:bCs/>
        </w:rPr>
        <w:t>be seen as an effective remedy in cases involving political rights</w:t>
      </w:r>
      <w:r w:rsidR="00656261">
        <w:rPr>
          <w:bCs/>
        </w:rPr>
        <w:t xml:space="preserve">, as it is a </w:t>
      </w:r>
      <w:r w:rsidR="003335F5" w:rsidRPr="00607635">
        <w:rPr>
          <w:bCs/>
        </w:rPr>
        <w:t xml:space="preserve">procedure </w:t>
      </w:r>
      <w:r w:rsidR="00656261">
        <w:rPr>
          <w:bCs/>
        </w:rPr>
        <w:t>that i</w:t>
      </w:r>
      <w:r w:rsidR="00B11C10">
        <w:rPr>
          <w:bCs/>
        </w:rPr>
        <w:t>s at the</w:t>
      </w:r>
      <w:r w:rsidR="003335F5" w:rsidRPr="00607635">
        <w:rPr>
          <w:bCs/>
        </w:rPr>
        <w:t xml:space="preserve"> discretio</w:t>
      </w:r>
      <w:r w:rsidR="001B368C" w:rsidRPr="00607635">
        <w:rPr>
          <w:bCs/>
        </w:rPr>
        <w:t>n of a prosecutor or a judge</w:t>
      </w:r>
      <w:r w:rsidR="00B11C10">
        <w:rPr>
          <w:bCs/>
        </w:rPr>
        <w:t xml:space="preserve"> who could decide</w:t>
      </w:r>
      <w:r w:rsidR="001B368C" w:rsidRPr="00607635">
        <w:rPr>
          <w:bCs/>
        </w:rPr>
        <w:t xml:space="preserve"> to</w:t>
      </w:r>
      <w:r w:rsidR="00B11C10">
        <w:rPr>
          <w:bCs/>
        </w:rPr>
        <w:t xml:space="preserve"> reject</w:t>
      </w:r>
      <w:r w:rsidR="001B368C" w:rsidRPr="00607635">
        <w:rPr>
          <w:bCs/>
        </w:rPr>
        <w:t xml:space="preserve"> the appeal or to </w:t>
      </w:r>
      <w:r w:rsidR="008C78C4">
        <w:rPr>
          <w:bCs/>
        </w:rPr>
        <w:t xml:space="preserve">transmit it </w:t>
      </w:r>
      <w:r w:rsidR="001B368C" w:rsidRPr="00607635">
        <w:rPr>
          <w:bCs/>
        </w:rPr>
        <w:t xml:space="preserve">to </w:t>
      </w:r>
      <w:r w:rsidR="008C78C4">
        <w:rPr>
          <w:bCs/>
        </w:rPr>
        <w:t>a</w:t>
      </w:r>
      <w:r w:rsidR="008C78C4" w:rsidRPr="00607635">
        <w:rPr>
          <w:bCs/>
        </w:rPr>
        <w:t xml:space="preserve"> </w:t>
      </w:r>
      <w:r w:rsidR="001B368C" w:rsidRPr="00607635">
        <w:rPr>
          <w:bCs/>
        </w:rPr>
        <w:t xml:space="preserve">higher court </w:t>
      </w:r>
      <w:r w:rsidR="008C78C4">
        <w:rPr>
          <w:bCs/>
        </w:rPr>
        <w:t xml:space="preserve">for </w:t>
      </w:r>
      <w:r w:rsidR="00656261">
        <w:rPr>
          <w:bCs/>
        </w:rPr>
        <w:t>consideration</w:t>
      </w:r>
      <w:r w:rsidR="001B368C" w:rsidRPr="00607635">
        <w:rPr>
          <w:bCs/>
        </w:rPr>
        <w:t xml:space="preserve">. </w:t>
      </w:r>
      <w:r w:rsidR="00AE24FE" w:rsidRPr="00607635">
        <w:rPr>
          <w:bCs/>
        </w:rPr>
        <w:t>The a</w:t>
      </w:r>
      <w:r w:rsidR="001B368C" w:rsidRPr="00607635">
        <w:rPr>
          <w:bCs/>
        </w:rPr>
        <w:t xml:space="preserve">uthor </w:t>
      </w:r>
      <w:r w:rsidR="00D23C28">
        <w:rPr>
          <w:bCs/>
        </w:rPr>
        <w:t xml:space="preserve">points out </w:t>
      </w:r>
      <w:r w:rsidR="001B368C" w:rsidRPr="00D23C28">
        <w:rPr>
          <w:bCs/>
        </w:rPr>
        <w:t xml:space="preserve">that no </w:t>
      </w:r>
      <w:r w:rsidR="00B11C10">
        <w:rPr>
          <w:bCs/>
        </w:rPr>
        <w:t>dissenting opinion</w:t>
      </w:r>
      <w:r w:rsidR="00B11C10" w:rsidRPr="00607635">
        <w:rPr>
          <w:bCs/>
        </w:rPr>
        <w:t xml:space="preserve"> </w:t>
      </w:r>
      <w:r w:rsidR="001B368C" w:rsidRPr="00D23C28">
        <w:rPr>
          <w:bCs/>
        </w:rPr>
        <w:t>has ever been submitted in cases concerning individual political rights</w:t>
      </w:r>
      <w:r w:rsidR="00AE24FE" w:rsidRPr="00D23C28">
        <w:rPr>
          <w:bCs/>
        </w:rPr>
        <w:t xml:space="preserve"> in the State party</w:t>
      </w:r>
      <w:r w:rsidR="001B368C" w:rsidRPr="00D23C28">
        <w:rPr>
          <w:bCs/>
        </w:rPr>
        <w:t>.</w:t>
      </w:r>
      <w:r>
        <w:rPr>
          <w:bCs/>
        </w:rPr>
        <w:t xml:space="preserve"> </w:t>
      </w:r>
    </w:p>
    <w:p w:rsidR="000128E3" w:rsidRPr="00607635" w:rsidRDefault="000128E3" w:rsidP="00ED06EC">
      <w:pPr>
        <w:pStyle w:val="H23G"/>
        <w:spacing w:afterLines="120" w:after="288"/>
      </w:pPr>
      <w:r w:rsidRPr="00607635">
        <w:tab/>
      </w:r>
      <w:r w:rsidRPr="00607635">
        <w:tab/>
        <w:t>Issues and proceedings before the Committee</w:t>
      </w:r>
    </w:p>
    <w:p w:rsidR="000128E3" w:rsidRPr="00AD10F3" w:rsidRDefault="000128E3" w:rsidP="00C16A92">
      <w:pPr>
        <w:spacing w:before="240" w:after="120"/>
        <w:rPr>
          <w:i/>
        </w:rPr>
      </w:pPr>
      <w:r w:rsidRPr="00607635">
        <w:tab/>
      </w:r>
      <w:r w:rsidRPr="00607635">
        <w:tab/>
      </w:r>
      <w:r w:rsidR="00B11C10">
        <w:rPr>
          <w:i/>
        </w:rPr>
        <w:t>L</w:t>
      </w:r>
      <w:r w:rsidRPr="00607635">
        <w:rPr>
          <w:i/>
        </w:rPr>
        <w:t xml:space="preserve">ack of cooperation </w:t>
      </w:r>
      <w:r w:rsidR="00AD10F3">
        <w:rPr>
          <w:i/>
        </w:rPr>
        <w:t xml:space="preserve">by </w:t>
      </w:r>
      <w:r w:rsidRPr="00AD10F3">
        <w:rPr>
          <w:i/>
        </w:rPr>
        <w:t>the State party</w:t>
      </w:r>
    </w:p>
    <w:p w:rsidR="000128E3" w:rsidRPr="00607635" w:rsidRDefault="00FC70CA">
      <w:pPr>
        <w:pStyle w:val="SingleTxtG"/>
      </w:pPr>
      <w:r>
        <w:t>6</w:t>
      </w:r>
      <w:r w:rsidR="000128E3" w:rsidRPr="00AD10F3">
        <w:t>.1</w:t>
      </w:r>
      <w:r w:rsidR="000128E3" w:rsidRPr="00AD10F3">
        <w:tab/>
        <w:t xml:space="preserve">The Committee notes the State party’s assertion that there are no legal grounds for </w:t>
      </w:r>
      <w:r w:rsidR="000128E3" w:rsidRPr="00C46A14">
        <w:t>consider</w:t>
      </w:r>
      <w:r w:rsidR="00B11C10">
        <w:t>ing</w:t>
      </w:r>
      <w:r w:rsidR="000128E3" w:rsidRPr="00C46A14">
        <w:t xml:space="preserve"> the author</w:t>
      </w:r>
      <w:r w:rsidR="006A53B5" w:rsidRPr="00C46A14">
        <w:t>’</w:t>
      </w:r>
      <w:r w:rsidR="00012A71" w:rsidRPr="00C46A14">
        <w:t>s</w:t>
      </w:r>
      <w:r w:rsidR="000128E3" w:rsidRPr="00C46A14">
        <w:t xml:space="preserve"> communication, insofar as </w:t>
      </w:r>
      <w:r w:rsidR="00012A71" w:rsidRPr="00C46A14">
        <w:t>it</w:t>
      </w:r>
      <w:r w:rsidR="000128E3" w:rsidRPr="00C46A14">
        <w:t xml:space="preserve"> </w:t>
      </w:r>
      <w:r w:rsidR="006A53B5" w:rsidRPr="00C46A14">
        <w:t>w</w:t>
      </w:r>
      <w:r w:rsidR="00012A71" w:rsidRPr="00C46A14">
        <w:t>as</w:t>
      </w:r>
      <w:r w:rsidR="00412A50" w:rsidRPr="00C46A14">
        <w:t xml:space="preserve"> </w:t>
      </w:r>
      <w:r w:rsidR="000128E3" w:rsidRPr="00C46A14">
        <w:t xml:space="preserve">registered in violation of the provisions of the Optional Protocol; that it has no obligations regarding the recognition of the Committee’s rules of procedure and </w:t>
      </w:r>
      <w:r w:rsidR="00880561">
        <w:t>its</w:t>
      </w:r>
      <w:r w:rsidR="000128E3" w:rsidRPr="00C46A14">
        <w:t xml:space="preserve"> interpretation of the </w:t>
      </w:r>
      <w:r w:rsidR="00880561">
        <w:t xml:space="preserve">provisions of the </w:t>
      </w:r>
      <w:r w:rsidR="000128E3" w:rsidRPr="00C46A14">
        <w:t>Optional Protocol; and that</w:t>
      </w:r>
      <w:r w:rsidR="00880561">
        <w:t>,</w:t>
      </w:r>
      <w:r w:rsidR="000128E3" w:rsidRPr="00C46A14">
        <w:t xml:space="preserve"> if a</w:t>
      </w:r>
      <w:r w:rsidR="000128E3" w:rsidRPr="00607635">
        <w:t xml:space="preserve"> decision is taken by the Committee on the present communication, </w:t>
      </w:r>
      <w:r w:rsidR="00B41BE1">
        <w:t>that decision</w:t>
      </w:r>
      <w:r w:rsidR="00B41BE1" w:rsidRPr="00607635">
        <w:t xml:space="preserve"> </w:t>
      </w:r>
      <w:r w:rsidR="000128E3" w:rsidRPr="00607635">
        <w:t xml:space="preserve">will be considered “invalid” by </w:t>
      </w:r>
      <w:r w:rsidR="00880561">
        <w:t>the State party</w:t>
      </w:r>
      <w:r w:rsidR="00880561" w:rsidRPr="00607635">
        <w:t xml:space="preserve"> </w:t>
      </w:r>
      <w:r w:rsidR="000128E3" w:rsidRPr="00607635">
        <w:t>authorities.</w:t>
      </w:r>
      <w:r w:rsidR="006A53B5" w:rsidRPr="00607635">
        <w:t xml:space="preserve"> </w:t>
      </w:r>
    </w:p>
    <w:p w:rsidR="000128E3" w:rsidRPr="00607635" w:rsidRDefault="00FC70CA" w:rsidP="00C16A92">
      <w:pPr>
        <w:ind w:left="1134" w:right="1134"/>
        <w:jc w:val="both"/>
      </w:pPr>
      <w:r>
        <w:t>6</w:t>
      </w:r>
      <w:r w:rsidR="000128E3" w:rsidRPr="00607635">
        <w:t>.2</w:t>
      </w:r>
      <w:r w:rsidR="000128E3" w:rsidRPr="00607635">
        <w:tab/>
        <w:t xml:space="preserve">The Committee </w:t>
      </w:r>
      <w:r w:rsidR="007D5803" w:rsidRPr="00607635">
        <w:t>observes that</w:t>
      </w:r>
      <w:r w:rsidR="008C78C4">
        <w:t>,</w:t>
      </w:r>
      <w:r w:rsidR="007D5803" w:rsidRPr="00607635">
        <w:t xml:space="preserve"> by</w:t>
      </w:r>
      <w:r w:rsidR="000128E3" w:rsidRPr="00607635">
        <w:t xml:space="preserve"> adhering to the Optional Protocol, a State party to the Covenant recognizes the competence of the Committee to receive and consider communications from individuals claiming to be victims of violations of any of the rights set forth in the Covenant (</w:t>
      </w:r>
      <w:r w:rsidR="00CD70B8" w:rsidRPr="00607635">
        <w:t>Optional Protocol</w:t>
      </w:r>
      <w:r w:rsidR="00C46A14">
        <w:t>,</w:t>
      </w:r>
      <w:r w:rsidR="00CD70B8" w:rsidRPr="00C46A14">
        <w:t xml:space="preserve"> </w:t>
      </w:r>
      <w:r w:rsidR="00C46A14" w:rsidRPr="00A23259">
        <w:t xml:space="preserve">preamble </w:t>
      </w:r>
      <w:r w:rsidR="00C46A14">
        <w:t xml:space="preserve">and </w:t>
      </w:r>
      <w:r w:rsidR="000128E3" w:rsidRPr="00C46A14">
        <w:t>art</w:t>
      </w:r>
      <w:r w:rsidR="00412A50" w:rsidRPr="00C46A14">
        <w:t>.</w:t>
      </w:r>
      <w:r w:rsidR="000128E3" w:rsidRPr="00C46A14">
        <w:t xml:space="preserve"> 1). Implicit in a State’s adherence to the Optional Protocol is an undertaking to cooperate with the Committee in good faith so as to permit and enable it to consider such communications and</w:t>
      </w:r>
      <w:r w:rsidR="00880561">
        <w:t>,</w:t>
      </w:r>
      <w:r w:rsidR="000128E3" w:rsidRPr="00C46A14">
        <w:t xml:space="preserve"> after examination</w:t>
      </w:r>
      <w:r w:rsidR="00880561">
        <w:t>,</w:t>
      </w:r>
      <w:r w:rsidR="000128E3" w:rsidRPr="00C46A14">
        <w:t xml:space="preserve"> to forward its </w:t>
      </w:r>
      <w:r w:rsidR="007D5803" w:rsidRPr="00607635">
        <w:t>V</w:t>
      </w:r>
      <w:r w:rsidR="000128E3" w:rsidRPr="00607635">
        <w:t>iews to the State party and to the individual (art</w:t>
      </w:r>
      <w:r w:rsidR="008F4C04" w:rsidRPr="00607635">
        <w:t>.</w:t>
      </w:r>
      <w:r w:rsidR="000128E3" w:rsidRPr="00607635">
        <w:t xml:space="preserve"> 5 </w:t>
      </w:r>
      <w:r w:rsidR="00412A50" w:rsidRPr="00607635">
        <w:t>(</w:t>
      </w:r>
      <w:r w:rsidR="000128E3" w:rsidRPr="00607635">
        <w:t>1</w:t>
      </w:r>
      <w:r w:rsidR="00412A50" w:rsidRPr="00607635">
        <w:t>)</w:t>
      </w:r>
      <w:r w:rsidR="000128E3" w:rsidRPr="00607635">
        <w:t xml:space="preserve"> and </w:t>
      </w:r>
      <w:r w:rsidR="00412A50" w:rsidRPr="00607635">
        <w:t>(</w:t>
      </w:r>
      <w:r w:rsidR="000128E3" w:rsidRPr="00607635">
        <w:t>4)</w:t>
      </w:r>
      <w:r w:rsidR="00412A50" w:rsidRPr="00607635">
        <w:t>)</w:t>
      </w:r>
      <w:r w:rsidR="000128E3" w:rsidRPr="00607635">
        <w:t>. It is incompatible with these obligations for a State party to take any action that would prevent or frustrate the Committee in its consideration and examination of a communication and in the expression of its Views.</w:t>
      </w:r>
      <w:r w:rsidR="000128E3" w:rsidRPr="00607635">
        <w:rPr>
          <w:rStyle w:val="FootnoteReference"/>
        </w:rPr>
        <w:footnoteReference w:id="4"/>
      </w:r>
      <w:r w:rsidR="000128E3" w:rsidRPr="00607635">
        <w:t xml:space="preserve"> It is up to the Committee to determine whether a case should be registered</w:t>
      </w:r>
      <w:r w:rsidR="00C46A14">
        <w:t>, and t</w:t>
      </w:r>
      <w:r w:rsidR="007D5803" w:rsidRPr="00D23C28">
        <w:t>he Committee observes that</w:t>
      </w:r>
      <w:r w:rsidR="00880561">
        <w:t>,</w:t>
      </w:r>
      <w:r w:rsidR="007D5803" w:rsidRPr="00D23C28">
        <w:t xml:space="preserve"> b</w:t>
      </w:r>
      <w:r w:rsidR="000128E3" w:rsidRPr="00D23C28">
        <w:t>y failing to accept the competence of the Committee to determine whether a communication shall be registered and by declaring outright that it will not accept the Committee’s determination o</w:t>
      </w:r>
      <w:r w:rsidR="00880561">
        <w:t>n</w:t>
      </w:r>
      <w:r w:rsidR="000128E3" w:rsidRPr="00D23C28">
        <w:t xml:space="preserve"> the admissibility and the meri</w:t>
      </w:r>
      <w:r w:rsidR="000128E3" w:rsidRPr="00C46A14">
        <w:t xml:space="preserve">ts of the communication, the State party </w:t>
      </w:r>
      <w:r w:rsidR="007D5803" w:rsidRPr="00C46A14">
        <w:t>is violating</w:t>
      </w:r>
      <w:r w:rsidR="000128E3" w:rsidRPr="00C46A14">
        <w:t xml:space="preserve"> its obligations under article 1 of the Optional Protocol.</w:t>
      </w:r>
    </w:p>
    <w:p w:rsidR="000128E3" w:rsidRPr="00607635" w:rsidRDefault="00012A71" w:rsidP="00C16A92">
      <w:pPr>
        <w:pStyle w:val="H4G"/>
        <w:ind w:left="0" w:firstLine="0"/>
      </w:pPr>
      <w:r w:rsidRPr="00607635">
        <w:rPr>
          <w:i w:val="0"/>
        </w:rPr>
        <w:tab/>
      </w:r>
      <w:r w:rsidR="000128E3" w:rsidRPr="00607635">
        <w:tab/>
        <w:t xml:space="preserve">Consideration </w:t>
      </w:r>
      <w:r w:rsidR="000128E3" w:rsidRPr="00005583">
        <w:t>of admissibility</w:t>
      </w:r>
    </w:p>
    <w:p w:rsidR="000128E3" w:rsidRPr="00607635" w:rsidRDefault="00FC70CA" w:rsidP="00781C83">
      <w:pPr>
        <w:pStyle w:val="SingleTxtG"/>
        <w:rPr>
          <w:bCs/>
        </w:rPr>
      </w:pPr>
      <w:r>
        <w:rPr>
          <w:bCs/>
        </w:rPr>
        <w:t>7</w:t>
      </w:r>
      <w:r w:rsidR="000128E3" w:rsidRPr="00607635">
        <w:rPr>
          <w:bCs/>
        </w:rPr>
        <w:t>.1</w:t>
      </w:r>
      <w:r w:rsidR="000128E3" w:rsidRPr="00607635">
        <w:rPr>
          <w:bCs/>
        </w:rPr>
        <w:tab/>
        <w:t>Before considering any claim contained in a communication, the Committee must</w:t>
      </w:r>
      <w:r w:rsidR="003E1C43" w:rsidRPr="00607635">
        <w:rPr>
          <w:bCs/>
        </w:rPr>
        <w:t xml:space="preserve"> decide</w:t>
      </w:r>
      <w:r w:rsidR="000128E3" w:rsidRPr="00607635">
        <w:rPr>
          <w:bCs/>
        </w:rPr>
        <w:t>, in accordance with rule 93 of its rules of procedure, whether the communication is admissible under the Optional Protocol.</w:t>
      </w:r>
    </w:p>
    <w:p w:rsidR="000128E3" w:rsidRPr="00607635" w:rsidRDefault="00FC70CA" w:rsidP="00781C83">
      <w:pPr>
        <w:pStyle w:val="SingleTxtG"/>
      </w:pPr>
      <w:r>
        <w:lastRenderedPageBreak/>
        <w:t>7</w:t>
      </w:r>
      <w:r w:rsidR="000128E3" w:rsidRPr="00607635">
        <w:t>.2</w:t>
      </w:r>
      <w:r w:rsidR="000128E3" w:rsidRPr="00607635">
        <w:tab/>
        <w:t xml:space="preserve">The Committee has ascertained, as required under article 5 </w:t>
      </w:r>
      <w:r w:rsidR="003E1C43" w:rsidRPr="00607635">
        <w:t>(</w:t>
      </w:r>
      <w:r w:rsidR="000128E3" w:rsidRPr="00607635">
        <w:t>2</w:t>
      </w:r>
      <w:r w:rsidR="003E1C43" w:rsidRPr="00607635">
        <w:t>)</w:t>
      </w:r>
      <w:r w:rsidR="000128E3" w:rsidRPr="00607635">
        <w:t xml:space="preserve"> (a) of the Optional Protocol, that the same matter is not being examined under another procedure of international investigation or settlement. </w:t>
      </w:r>
    </w:p>
    <w:p w:rsidR="000128E3" w:rsidRPr="008A5196" w:rsidRDefault="00FC70CA">
      <w:pPr>
        <w:pStyle w:val="SingleTxtG"/>
      </w:pPr>
      <w:r>
        <w:t>7</w:t>
      </w:r>
      <w:r w:rsidR="000128E3" w:rsidRPr="00607635">
        <w:t>.3</w:t>
      </w:r>
      <w:r w:rsidR="000128E3" w:rsidRPr="00607635">
        <w:tab/>
        <w:t>The Committee takes note of the State party’s ob</w:t>
      </w:r>
      <w:r w:rsidR="00B411AE">
        <w:t>servation</w:t>
      </w:r>
      <w:r w:rsidR="000128E3" w:rsidRPr="00607635">
        <w:t xml:space="preserve"> that the author ha</w:t>
      </w:r>
      <w:r w:rsidR="00867815" w:rsidRPr="008A5196">
        <w:t>s</w:t>
      </w:r>
      <w:r w:rsidR="000128E3" w:rsidRPr="008A5196">
        <w:t xml:space="preserve"> failed to </w:t>
      </w:r>
      <w:r w:rsidR="00AD7999" w:rsidRPr="00607635">
        <w:t xml:space="preserve">initiate a supervisory review of the domestic courts’ </w:t>
      </w:r>
      <w:r w:rsidR="00AD7999" w:rsidRPr="008A5196">
        <w:t>decisions</w:t>
      </w:r>
      <w:r w:rsidR="000128E3" w:rsidRPr="00607635">
        <w:t xml:space="preserve">. </w:t>
      </w:r>
      <w:r w:rsidR="004F56A1" w:rsidRPr="00607635">
        <w:t xml:space="preserve">The Committee recalls its jurisprudence </w:t>
      </w:r>
      <w:r w:rsidR="00B411AE">
        <w:t xml:space="preserve">finding that </w:t>
      </w:r>
      <w:r w:rsidR="00EB16A9" w:rsidRPr="00D23C28">
        <w:t>petition</w:t>
      </w:r>
      <w:r w:rsidR="00B411AE">
        <w:t>ing</w:t>
      </w:r>
      <w:r w:rsidR="00EB16A9" w:rsidRPr="00D23C28">
        <w:t xml:space="preserve"> a </w:t>
      </w:r>
      <w:r w:rsidR="00B411AE">
        <w:t>p</w:t>
      </w:r>
      <w:r w:rsidR="00EB16A9" w:rsidRPr="00D23C28">
        <w:t>rosecutor</w:t>
      </w:r>
      <w:r w:rsidR="00B411AE">
        <w:t>’</w:t>
      </w:r>
      <w:r w:rsidR="00EB16A9" w:rsidRPr="00D23C28">
        <w:t>s o</w:t>
      </w:r>
      <w:r w:rsidR="004F56A1" w:rsidRPr="00AD10F3">
        <w:t xml:space="preserve">ffice </w:t>
      </w:r>
      <w:r w:rsidR="004F56A1" w:rsidRPr="00C46A14">
        <w:t xml:space="preserve">to initiate </w:t>
      </w:r>
      <w:r w:rsidR="00B411AE">
        <w:t xml:space="preserve">a </w:t>
      </w:r>
      <w:r w:rsidR="004F56A1" w:rsidRPr="00C46A14">
        <w:t xml:space="preserve">supervisory review </w:t>
      </w:r>
      <w:r w:rsidR="004F56A1" w:rsidRPr="00607635">
        <w:t>against a judgment having the force of res judicata does not constitute an effective remedy</w:t>
      </w:r>
      <w:r w:rsidR="00B411AE">
        <w:t xml:space="preserve"> nor is it a remedy that</w:t>
      </w:r>
      <w:r w:rsidR="004F56A1" w:rsidRPr="00607635">
        <w:t xml:space="preserve"> has to be exhausted</w:t>
      </w:r>
      <w:r w:rsidR="00EB16A9" w:rsidRPr="00607635">
        <w:t xml:space="preserve"> for the purposes of article 5 (</w:t>
      </w:r>
      <w:r w:rsidR="004F56A1" w:rsidRPr="00607635">
        <w:t>2</w:t>
      </w:r>
      <w:r w:rsidR="00EB16A9" w:rsidRPr="00607635">
        <w:t>)</w:t>
      </w:r>
      <w:r w:rsidR="004F56A1" w:rsidRPr="00607635">
        <w:t xml:space="preserve"> (b) of the Optional Protocol.</w:t>
      </w:r>
      <w:r w:rsidR="004F56A1" w:rsidRPr="00607635">
        <w:rPr>
          <w:rStyle w:val="FootnoteReference"/>
        </w:rPr>
        <w:footnoteReference w:id="5"/>
      </w:r>
      <w:r w:rsidR="004F56A1" w:rsidRPr="00607635">
        <w:t xml:space="preserve"> It also considers that filing requests</w:t>
      </w:r>
      <w:r w:rsidR="00B411AE" w:rsidRPr="00B411AE">
        <w:t xml:space="preserve"> </w:t>
      </w:r>
      <w:r w:rsidR="00B411AE" w:rsidRPr="00607635">
        <w:t xml:space="preserve">to the </w:t>
      </w:r>
      <w:r w:rsidR="008C78C4">
        <w:t>C</w:t>
      </w:r>
      <w:r w:rsidR="00B411AE" w:rsidRPr="00607635">
        <w:t>hair of a court</w:t>
      </w:r>
      <w:r w:rsidR="004F56A1" w:rsidRPr="00607635">
        <w:t xml:space="preserve"> for </w:t>
      </w:r>
      <w:r w:rsidR="00B411AE">
        <w:t xml:space="preserve">a </w:t>
      </w:r>
      <w:r w:rsidR="004F56A1" w:rsidRPr="00607635">
        <w:t xml:space="preserve">supervisory review directed against court decisions </w:t>
      </w:r>
      <w:r w:rsidR="00B411AE">
        <w:t>that</w:t>
      </w:r>
      <w:r w:rsidR="00B411AE" w:rsidRPr="00607635">
        <w:t xml:space="preserve"> </w:t>
      </w:r>
      <w:r w:rsidR="004F56A1" w:rsidRPr="00607635">
        <w:t>have entered into force and depend on the discretionary power of a judge constitute an extraordinary remedy and that the State party must show that there is a reasonable prospect that such requests w</w:t>
      </w:r>
      <w:r w:rsidR="00B411AE">
        <w:t>ill</w:t>
      </w:r>
      <w:r w:rsidR="004F56A1" w:rsidRPr="00607635">
        <w:t xml:space="preserve"> provide an effective remedy in the circumstances of the case.</w:t>
      </w:r>
      <w:r w:rsidR="004F56A1" w:rsidRPr="00607635">
        <w:rPr>
          <w:rStyle w:val="FootnoteReference"/>
        </w:rPr>
        <w:footnoteReference w:id="6"/>
      </w:r>
      <w:r w:rsidR="004F56A1" w:rsidRPr="00607635">
        <w:rPr>
          <w:rStyle w:val="FootnoteReference"/>
        </w:rPr>
        <w:t xml:space="preserve"> </w:t>
      </w:r>
      <w:r w:rsidR="004F56A1" w:rsidRPr="00607635">
        <w:t xml:space="preserve">The Committee </w:t>
      </w:r>
      <w:r w:rsidR="001252BD" w:rsidRPr="00607635">
        <w:t>takes note of</w:t>
      </w:r>
      <w:r w:rsidR="004F56A1" w:rsidRPr="00607635">
        <w:t xml:space="preserve"> the statistics provided by the State party on a number of supervisory review appeals submitted and upheld by Supreme Court officials. </w:t>
      </w:r>
      <w:r w:rsidR="00EB16A9" w:rsidRPr="00607635">
        <w:t>It notes</w:t>
      </w:r>
      <w:r w:rsidR="004F56A1" w:rsidRPr="00607635">
        <w:t>, however, that th</w:t>
      </w:r>
      <w:r w:rsidR="00B411AE">
        <w:t>o</w:t>
      </w:r>
      <w:r w:rsidR="004F56A1" w:rsidRPr="00607635">
        <w:t xml:space="preserve">se statistics do not specify whether and in how many cases the petitions to the </w:t>
      </w:r>
      <w:r w:rsidR="001252BD" w:rsidRPr="00607635">
        <w:t xml:space="preserve">Chair </w:t>
      </w:r>
      <w:r w:rsidR="004F56A1" w:rsidRPr="00607635">
        <w:t xml:space="preserve">of the Regional Court or </w:t>
      </w:r>
      <w:r w:rsidR="00B411AE">
        <w:t xml:space="preserve">to </w:t>
      </w:r>
      <w:r w:rsidR="004F56A1" w:rsidRPr="00607635">
        <w:t xml:space="preserve">the Supreme Court for supervisory review were successful in cases concerning the </w:t>
      </w:r>
      <w:r w:rsidR="001252BD" w:rsidRPr="00607635">
        <w:t xml:space="preserve">right to </w:t>
      </w:r>
      <w:r w:rsidR="004F56A1" w:rsidRPr="00607635">
        <w:t>freedom of expression and the right to peaceful assembly. In such circumstances</w:t>
      </w:r>
      <w:r w:rsidR="00B411AE">
        <w:t>,</w:t>
      </w:r>
      <w:r w:rsidR="004F56A1" w:rsidRPr="00607635">
        <w:t xml:space="preserve"> the </w:t>
      </w:r>
      <w:r w:rsidR="00EB16A9" w:rsidRPr="00607635">
        <w:t>Committee finds that article 5 (</w:t>
      </w:r>
      <w:r w:rsidR="004F56A1" w:rsidRPr="00607635">
        <w:t>2</w:t>
      </w:r>
      <w:r w:rsidR="00EB16A9" w:rsidRPr="00607635">
        <w:t>)</w:t>
      </w:r>
      <w:r w:rsidR="004F56A1" w:rsidRPr="00607635">
        <w:t xml:space="preserve"> (b) of the Optional Protocol does not preclude it from considering the communication</w:t>
      </w:r>
      <w:r w:rsidR="00B411AE">
        <w:t xml:space="preserve"> submitted by the author</w:t>
      </w:r>
      <w:r w:rsidR="00F71BF6" w:rsidRPr="00607635">
        <w:t>.</w:t>
      </w:r>
      <w:r w:rsidR="000128E3" w:rsidRPr="008A5196">
        <w:t xml:space="preserve"> </w:t>
      </w:r>
    </w:p>
    <w:p w:rsidR="00580700" w:rsidRPr="008A5196" w:rsidRDefault="00FC70CA" w:rsidP="00C16A92">
      <w:pPr>
        <w:pStyle w:val="SingleTxtG"/>
      </w:pPr>
      <w:r>
        <w:t>7</w:t>
      </w:r>
      <w:r w:rsidR="00580700" w:rsidRPr="008A5196">
        <w:t>.</w:t>
      </w:r>
      <w:r>
        <w:t>4</w:t>
      </w:r>
      <w:r w:rsidR="00580700" w:rsidRPr="008A5196">
        <w:tab/>
        <w:t>The Committee considers that the author’</w:t>
      </w:r>
      <w:r w:rsidR="0015032A" w:rsidRPr="008A5196">
        <w:t>s</w:t>
      </w:r>
      <w:r w:rsidR="00580700" w:rsidRPr="008A5196">
        <w:t xml:space="preserve"> claims under article</w:t>
      </w:r>
      <w:r w:rsidR="001252BD" w:rsidRPr="008A5196">
        <w:t>s</w:t>
      </w:r>
      <w:r w:rsidR="00580700" w:rsidRPr="008A5196">
        <w:t xml:space="preserve"> 19 </w:t>
      </w:r>
      <w:r w:rsidR="0015032A" w:rsidRPr="008A5196">
        <w:t xml:space="preserve">(2) </w:t>
      </w:r>
      <w:r w:rsidR="00580700" w:rsidRPr="008A5196">
        <w:t xml:space="preserve">and 21 of the Covenant are sufficiently substantiated for the purposes of admissibility, declares them admissible and proceeds to the examination </w:t>
      </w:r>
      <w:r w:rsidR="00B411AE">
        <w:t>of</w:t>
      </w:r>
      <w:r w:rsidR="00B411AE" w:rsidRPr="008A5196">
        <w:t xml:space="preserve"> </w:t>
      </w:r>
      <w:r w:rsidR="00580700" w:rsidRPr="008A5196">
        <w:t>the merits.</w:t>
      </w:r>
    </w:p>
    <w:p w:rsidR="000128E3" w:rsidRPr="00AD10F3" w:rsidRDefault="000128E3" w:rsidP="00781C83">
      <w:pPr>
        <w:pStyle w:val="H4G"/>
      </w:pPr>
      <w:r w:rsidRPr="00607635">
        <w:tab/>
      </w:r>
      <w:r w:rsidRPr="00607635">
        <w:tab/>
      </w:r>
      <w:r w:rsidRPr="00D23C28">
        <w:t>Consideration of the merits</w:t>
      </w:r>
    </w:p>
    <w:p w:rsidR="000128E3" w:rsidRPr="00607635" w:rsidRDefault="00FC70CA" w:rsidP="00781C83">
      <w:pPr>
        <w:pStyle w:val="SingleTxtG"/>
      </w:pPr>
      <w:r>
        <w:t>8</w:t>
      </w:r>
      <w:r w:rsidR="000128E3" w:rsidRPr="00607635">
        <w:t>.1</w:t>
      </w:r>
      <w:r w:rsidR="000128E3" w:rsidRPr="00607635">
        <w:tab/>
        <w:t xml:space="preserve">The Committee has considered the communication in </w:t>
      </w:r>
      <w:r w:rsidR="005928DF" w:rsidRPr="00607635">
        <w:t xml:space="preserve">the </w:t>
      </w:r>
      <w:r w:rsidR="000128E3" w:rsidRPr="00607635">
        <w:t xml:space="preserve">light of all the information made available to it by the parties, as provided under article 5 </w:t>
      </w:r>
      <w:r w:rsidR="005928DF" w:rsidRPr="00607635">
        <w:t>(</w:t>
      </w:r>
      <w:r w:rsidR="000128E3" w:rsidRPr="00607635">
        <w:t>1</w:t>
      </w:r>
      <w:r w:rsidR="005928DF" w:rsidRPr="00607635">
        <w:t>)</w:t>
      </w:r>
      <w:r w:rsidR="000128E3" w:rsidRPr="00607635">
        <w:t xml:space="preserve"> of the Optional Protocol.</w:t>
      </w:r>
    </w:p>
    <w:p w:rsidR="000128E3" w:rsidRPr="008A5196" w:rsidRDefault="00FC70CA" w:rsidP="008E0104">
      <w:pPr>
        <w:pStyle w:val="SingleTxtG"/>
      </w:pPr>
      <w:r>
        <w:t>8</w:t>
      </w:r>
      <w:r w:rsidR="000128E3" w:rsidRPr="00607635">
        <w:t>.2</w:t>
      </w:r>
      <w:r w:rsidR="000128E3" w:rsidRPr="00607635">
        <w:tab/>
      </w:r>
      <w:r w:rsidR="005D2DFC" w:rsidRPr="00607635">
        <w:t>The Committee notes the author’</w:t>
      </w:r>
      <w:r w:rsidR="00E879CB" w:rsidRPr="00607635">
        <w:t>s</w:t>
      </w:r>
      <w:r w:rsidR="008D4DE1" w:rsidRPr="00607635">
        <w:t xml:space="preserve"> allegations that </w:t>
      </w:r>
      <w:r w:rsidR="00E879CB" w:rsidRPr="00607635">
        <w:t>his</w:t>
      </w:r>
      <w:r w:rsidR="008D4DE1" w:rsidRPr="00607635">
        <w:t xml:space="preserve"> </w:t>
      </w:r>
      <w:r w:rsidR="00C15C4D" w:rsidRPr="00607635">
        <w:t xml:space="preserve">right to </w:t>
      </w:r>
      <w:r w:rsidR="008D4DE1" w:rsidRPr="008A5196">
        <w:t xml:space="preserve">freedom of expression has been restricted arbitrarily, since </w:t>
      </w:r>
      <w:r w:rsidR="00E879CB" w:rsidRPr="008A5196">
        <w:t>he</w:t>
      </w:r>
      <w:r w:rsidR="008D4DE1" w:rsidRPr="008A5196">
        <w:t xml:space="preserve"> </w:t>
      </w:r>
      <w:r w:rsidR="005D2DFC" w:rsidRPr="008A5196">
        <w:t>w</w:t>
      </w:r>
      <w:r w:rsidR="00E879CB" w:rsidRPr="008A5196">
        <w:t>as</w:t>
      </w:r>
      <w:r w:rsidR="008D4DE1" w:rsidRPr="008A5196">
        <w:t xml:space="preserve"> refused permission to hold </w:t>
      </w:r>
      <w:r w:rsidR="00B411AE">
        <w:t xml:space="preserve">a </w:t>
      </w:r>
      <w:r w:rsidR="008D4DE1" w:rsidRPr="008A5196">
        <w:t xml:space="preserve">public picket and to publicly express </w:t>
      </w:r>
      <w:r w:rsidR="00C16A92">
        <w:t xml:space="preserve">his </w:t>
      </w:r>
      <w:r w:rsidR="008D4DE1" w:rsidRPr="008A5196">
        <w:t>opinion</w:t>
      </w:r>
      <w:r w:rsidR="00C16A92">
        <w:t>s</w:t>
      </w:r>
      <w:r w:rsidR="008D4DE1" w:rsidRPr="008A5196">
        <w:t xml:space="preserve">. </w:t>
      </w:r>
      <w:r w:rsidR="008D4DE1" w:rsidRPr="00607635">
        <w:t xml:space="preserve">The Committee considers that the issue before it is to decide whether the </w:t>
      </w:r>
      <w:r w:rsidR="008D4DE1" w:rsidRPr="00D23C28">
        <w:t>prohibition to hold a public picket impos</w:t>
      </w:r>
      <w:r w:rsidR="008D4DE1" w:rsidRPr="00AD10F3">
        <w:t>ed on the author by the</w:t>
      </w:r>
      <w:r w:rsidR="00C15C4D" w:rsidRPr="00C46A14">
        <w:t xml:space="preserve"> Zhlobin</w:t>
      </w:r>
      <w:r w:rsidR="008D4DE1" w:rsidRPr="00C46A14">
        <w:t xml:space="preserve"> </w:t>
      </w:r>
      <w:r w:rsidR="00C15C4D" w:rsidRPr="00607635">
        <w:t xml:space="preserve">municipal </w:t>
      </w:r>
      <w:r w:rsidR="008D4DE1" w:rsidRPr="00607635">
        <w:t>executive authorities</w:t>
      </w:r>
      <w:r w:rsidR="00C15C4D" w:rsidRPr="00607635">
        <w:t xml:space="preserve"> </w:t>
      </w:r>
      <w:r w:rsidR="008D4DE1" w:rsidRPr="00607635">
        <w:t>amount</w:t>
      </w:r>
      <w:r w:rsidR="00D5167F" w:rsidRPr="00607635">
        <w:t>s</w:t>
      </w:r>
      <w:r w:rsidR="008D4DE1" w:rsidRPr="00607635">
        <w:t xml:space="preserve"> to </w:t>
      </w:r>
      <w:r w:rsidR="00C15C4D" w:rsidRPr="00607635">
        <w:t xml:space="preserve">a </w:t>
      </w:r>
      <w:r w:rsidR="008D4DE1" w:rsidRPr="00607635">
        <w:t>violation of article</w:t>
      </w:r>
      <w:r w:rsidR="002D09B5">
        <w:t>s</w:t>
      </w:r>
      <w:r w:rsidR="008D4DE1" w:rsidRPr="00607635">
        <w:t xml:space="preserve"> 19 </w:t>
      </w:r>
      <w:r w:rsidR="002D09B5">
        <w:t xml:space="preserve">and 21 </w:t>
      </w:r>
      <w:r w:rsidR="008D4DE1" w:rsidRPr="00607635">
        <w:t xml:space="preserve">of the Covenant. </w:t>
      </w:r>
    </w:p>
    <w:p w:rsidR="00A622BD" w:rsidRPr="00607635" w:rsidRDefault="00FC70CA" w:rsidP="00C16A92">
      <w:pPr>
        <w:pStyle w:val="SingleTxtG"/>
        <w:spacing w:line="240" w:lineRule="auto"/>
      </w:pPr>
      <w:r>
        <w:t>8</w:t>
      </w:r>
      <w:r w:rsidR="000128E3" w:rsidRPr="00D23C28">
        <w:t>.3</w:t>
      </w:r>
      <w:r w:rsidR="000128E3" w:rsidRPr="00D23C28">
        <w:tab/>
      </w:r>
      <w:r w:rsidR="0050410E" w:rsidRPr="00607635">
        <w:t xml:space="preserve">The Committee refers to its general comment No. 34 (2011) on the freedoms of opinion and expression, </w:t>
      </w:r>
      <w:r w:rsidR="00C16A92">
        <w:t xml:space="preserve">in </w:t>
      </w:r>
      <w:r w:rsidR="0050410E" w:rsidRPr="00607635">
        <w:t>which</w:t>
      </w:r>
      <w:r w:rsidR="00C16A92">
        <w:t xml:space="preserve"> it</w:t>
      </w:r>
      <w:r w:rsidR="0050410E" w:rsidRPr="00607635">
        <w:t xml:space="preserve"> states that freedom of opinion and freedom of expression are indispensable conditions for the full development of the person, and that such freedoms are essential for any society. They constitute the foundation stone for every free and democratic society. </w:t>
      </w:r>
      <w:r w:rsidR="00D107D6" w:rsidRPr="00AD10F3">
        <w:t>The Committee r</w:t>
      </w:r>
      <w:r w:rsidR="00D107D6" w:rsidRPr="00C46A14">
        <w:t xml:space="preserve">ecalls that article 19 (3) of the Covenant allows certain restrictions only as provided by law and </w:t>
      </w:r>
      <w:r w:rsidR="00C16A92">
        <w:t xml:space="preserve">as are </w:t>
      </w:r>
      <w:r w:rsidR="00D107D6" w:rsidRPr="00C46A14">
        <w:t>necessary</w:t>
      </w:r>
      <w:r w:rsidR="00C16A92">
        <w:t>:</w:t>
      </w:r>
      <w:r w:rsidR="00D107D6" w:rsidRPr="00C46A14">
        <w:t xml:space="preserve"> (a) for the respect of the rights and reputation of others; and (b) for the protection of national security or public order (</w:t>
      </w:r>
      <w:r w:rsidR="00D107D6" w:rsidRPr="00607635">
        <w:rPr>
          <w:i/>
        </w:rPr>
        <w:t>ordre public</w:t>
      </w:r>
      <w:r w:rsidR="00D107D6" w:rsidRPr="00607635">
        <w:t xml:space="preserve">) or public health or morals. Any restriction on the exercise of such freedoms must conform to the strict tests of necessity and proportionality. Restrictions must be applied only for the purposes for which they were prescribed and must be directly </w:t>
      </w:r>
      <w:r w:rsidR="00D107D6" w:rsidRPr="00607635">
        <w:lastRenderedPageBreak/>
        <w:t>related to the specific need on which they are predicated. The Committee recalls</w:t>
      </w:r>
      <w:r w:rsidR="00D107D6" w:rsidRPr="00607635">
        <w:rPr>
          <w:rStyle w:val="FootnoteReference"/>
          <w:rFonts w:eastAsiaTheme="minorEastAsia"/>
        </w:rPr>
        <w:footnoteReference w:id="7"/>
      </w:r>
      <w:r w:rsidR="00D107D6" w:rsidRPr="00607635">
        <w:rPr>
          <w:sz w:val="16"/>
          <w:szCs w:val="16"/>
        </w:rPr>
        <w:t xml:space="preserve"> </w:t>
      </w:r>
      <w:r w:rsidR="00D107D6" w:rsidRPr="00607635">
        <w:t xml:space="preserve">that it is for the State party to demonstrate that the restrictions </w:t>
      </w:r>
      <w:r w:rsidR="00C16A92">
        <w:t xml:space="preserve">imposed </w:t>
      </w:r>
      <w:r w:rsidR="00D107D6" w:rsidRPr="00607635">
        <w:t>on the author’s rights under article 19 were necessary and proportionate</w:t>
      </w:r>
      <w:r w:rsidR="006123D4">
        <w:t>.</w:t>
      </w:r>
    </w:p>
    <w:p w:rsidR="002D09B5" w:rsidRDefault="00FC70CA" w:rsidP="00C16A92">
      <w:pPr>
        <w:pStyle w:val="SingleTxtG"/>
        <w:spacing w:line="240" w:lineRule="auto"/>
      </w:pPr>
      <w:r>
        <w:t>8</w:t>
      </w:r>
      <w:r w:rsidR="00A622BD" w:rsidRPr="00607635">
        <w:t>.4</w:t>
      </w:r>
      <w:r w:rsidR="00A622BD" w:rsidRPr="00607635">
        <w:tab/>
      </w:r>
      <w:r w:rsidR="002D09B5" w:rsidRPr="00D67502">
        <w:t>The Committee notes the author</w:t>
      </w:r>
      <w:r w:rsidR="002D09B5">
        <w:t>’</w:t>
      </w:r>
      <w:r w:rsidR="002D09B5" w:rsidRPr="00D67502">
        <w:t xml:space="preserve">s claim that </w:t>
      </w:r>
      <w:r w:rsidR="002D09B5">
        <w:t>his</w:t>
      </w:r>
      <w:r w:rsidR="002D09B5" w:rsidRPr="00D67502">
        <w:t xml:space="preserve"> right to freedom of assembly under article 21 of the Covenant was also violated </w:t>
      </w:r>
      <w:r w:rsidR="002D09B5">
        <w:t xml:space="preserve">by the refusal of the </w:t>
      </w:r>
      <w:r w:rsidR="00DF3F04">
        <w:t xml:space="preserve">municipal </w:t>
      </w:r>
      <w:r w:rsidR="002D09B5">
        <w:t xml:space="preserve">authorities to allow </w:t>
      </w:r>
      <w:r w:rsidR="00C16A92">
        <w:t xml:space="preserve">him to </w:t>
      </w:r>
      <w:r w:rsidR="002D09B5">
        <w:t>hold the picket.</w:t>
      </w:r>
      <w:r w:rsidR="002D09B5" w:rsidRPr="00D67502">
        <w:t xml:space="preserve"> In th</w:t>
      </w:r>
      <w:r w:rsidR="00C16A92">
        <w:t>at</w:t>
      </w:r>
      <w:r w:rsidR="002D09B5" w:rsidRPr="00D67502">
        <w:t xml:space="preserve"> context, </w:t>
      </w:r>
      <w:r w:rsidR="002D09B5">
        <w:t>the Committee recalls that the right of peaceful assembly, as guaranteed under article 21 of the Covenant, is a fundamental human right that is essential for the public expression of an individual’s views and opinions and indispensable in a democratic society. Th</w:t>
      </w:r>
      <w:r w:rsidR="00C16A92">
        <w:t>at</w:t>
      </w:r>
      <w:r w:rsidR="002D09B5">
        <w:t xml:space="preserve"> right entails the possibility of organizing and participating in a peaceful assembly, including the right to a stationary assembly (such as a picket)</w:t>
      </w:r>
      <w:r w:rsidR="00C16A92">
        <w:t>,</w:t>
      </w:r>
      <w:r w:rsidR="002D09B5">
        <w:t xml:space="preserve"> in a public location. The organizers of an assembly generally have the right to choose a location within sight and sound of their target audience and no restriction to this right is permissible unless it is imposed in conformity with the law and is necessary in a democratic society, in the interests of national security or public safety, public order, protection of public health or morals or protection of the rights and freedoms of others. When a State party imposes restrictions with the aim of reconciling an individual’s right to assembly and the aforementioned interests of general concern, it should be guided by the objective of facilitating the right, rather than seeking </w:t>
      </w:r>
      <w:r w:rsidR="00C16A92">
        <w:t xml:space="preserve">to impose </w:t>
      </w:r>
      <w:r w:rsidR="002D09B5">
        <w:t xml:space="preserve">unnecessary or disproportionate limitations </w:t>
      </w:r>
      <w:r w:rsidR="00C16A92">
        <w:t xml:space="preserve">on </w:t>
      </w:r>
      <w:r w:rsidR="002D09B5">
        <w:t>it. The State party is thus under the obligation to justify the limitation of the right protected by article 21 of the Covenant.</w:t>
      </w:r>
      <w:r w:rsidR="002D09B5">
        <w:rPr>
          <w:rStyle w:val="FootnoteReference"/>
        </w:rPr>
        <w:footnoteReference w:id="8"/>
      </w:r>
    </w:p>
    <w:p w:rsidR="002D09B5" w:rsidRPr="00C46A14" w:rsidRDefault="002D09B5" w:rsidP="00C16A92">
      <w:pPr>
        <w:pStyle w:val="SingleTxtG"/>
      </w:pPr>
      <w:r>
        <w:t>8.5</w:t>
      </w:r>
      <w:r>
        <w:tab/>
      </w:r>
      <w:r w:rsidR="00C46A14" w:rsidRPr="00C46A14">
        <w:t>The Committee observes</w:t>
      </w:r>
      <w:r>
        <w:t xml:space="preserve"> </w:t>
      </w:r>
      <w:r w:rsidR="00A07872">
        <w:t xml:space="preserve">that </w:t>
      </w:r>
      <w:r>
        <w:t>in the present case</w:t>
      </w:r>
      <w:r w:rsidR="00A70B9B">
        <w:t xml:space="preserve"> </w:t>
      </w:r>
      <w:r w:rsidR="00EE5084" w:rsidRPr="00C46A14">
        <w:t xml:space="preserve">the author’s application for a picket was rejected by the municipal authorities </w:t>
      </w:r>
      <w:r w:rsidRPr="00607635">
        <w:t xml:space="preserve">on the basis that </w:t>
      </w:r>
      <w:r w:rsidR="00C16A92">
        <w:t>“</w:t>
      </w:r>
      <w:r w:rsidRPr="00607635">
        <w:t>political persecution</w:t>
      </w:r>
      <w:r w:rsidR="00C16A92">
        <w:t>”</w:t>
      </w:r>
      <w:r w:rsidRPr="00607635">
        <w:t xml:space="preserve"> was not defined in the Criminal Code</w:t>
      </w:r>
      <w:r>
        <w:t xml:space="preserve"> and </w:t>
      </w:r>
      <w:r w:rsidRPr="00C46A14">
        <w:t>because there was a sport</w:t>
      </w:r>
      <w:r w:rsidR="00C16A92">
        <w:t>ing</w:t>
      </w:r>
      <w:r w:rsidRPr="00C46A14">
        <w:t xml:space="preserve"> event </w:t>
      </w:r>
      <w:r>
        <w:t xml:space="preserve">already scheduled to take place </w:t>
      </w:r>
      <w:r w:rsidRPr="00C46A14">
        <w:t>at the same location</w:t>
      </w:r>
      <w:r w:rsidR="00C16A92">
        <w:t>,</w:t>
      </w:r>
      <w:r w:rsidRPr="00C46A14">
        <w:t xml:space="preserve"> on the same date. </w:t>
      </w:r>
      <w:r>
        <w:t xml:space="preserve">The Committee notes </w:t>
      </w:r>
      <w:r w:rsidRPr="00C46A14">
        <w:t xml:space="preserve">that prohibiting a protest against political persecution because the term </w:t>
      </w:r>
      <w:r w:rsidR="00C16A92">
        <w:t>“</w:t>
      </w:r>
      <w:r w:rsidR="00396BAE">
        <w:t xml:space="preserve">political </w:t>
      </w:r>
      <w:r w:rsidRPr="00C46A14">
        <w:t>persecution</w:t>
      </w:r>
      <w:r w:rsidR="00C16A92">
        <w:t>”</w:t>
      </w:r>
      <w:r w:rsidRPr="00C46A14">
        <w:t xml:space="preserve"> </w:t>
      </w:r>
      <w:r>
        <w:t>is</w:t>
      </w:r>
      <w:r w:rsidRPr="00C46A14">
        <w:t xml:space="preserve"> not defined in law </w:t>
      </w:r>
      <w:r w:rsidR="00132E4D">
        <w:t>does not appear to meet the standards of</w:t>
      </w:r>
      <w:r w:rsidRPr="00C46A14">
        <w:t xml:space="preserve"> necessity and proportionality</w:t>
      </w:r>
      <w:r>
        <w:t xml:space="preserve"> </w:t>
      </w:r>
      <w:r w:rsidRPr="00C46A14">
        <w:t xml:space="preserve">under article 19 </w:t>
      </w:r>
      <w:r>
        <w:t xml:space="preserve">(3) and the second sentence of article 21 </w:t>
      </w:r>
      <w:r w:rsidRPr="00C46A14">
        <w:t>of the Covenant.</w:t>
      </w:r>
      <w:r>
        <w:t xml:space="preserve"> The Committee further notes that even though there was a second, </w:t>
      </w:r>
      <w:r w:rsidR="005015E6">
        <w:t xml:space="preserve">potentially </w:t>
      </w:r>
      <w:r>
        <w:t xml:space="preserve">legitimate ground for refusal, </w:t>
      </w:r>
      <w:r w:rsidR="00C16A92">
        <w:t>in other words</w:t>
      </w:r>
      <w:r>
        <w:t xml:space="preserve"> a previously </w:t>
      </w:r>
      <w:r w:rsidR="00DF3F04">
        <w:t>authori</w:t>
      </w:r>
      <w:r w:rsidR="00C16A92">
        <w:t>z</w:t>
      </w:r>
      <w:r w:rsidR="00DF3F04">
        <w:t xml:space="preserve">ed </w:t>
      </w:r>
      <w:r>
        <w:t>sport</w:t>
      </w:r>
      <w:r w:rsidR="00C16A92">
        <w:t>ing</w:t>
      </w:r>
      <w:r>
        <w:t xml:space="preserve"> event, there was no indication in the decision of the </w:t>
      </w:r>
      <w:r w:rsidR="008C78C4">
        <w:t xml:space="preserve">Zhlobin District </w:t>
      </w:r>
      <w:r>
        <w:t>Executive Committee or the domestic courts</w:t>
      </w:r>
      <w:r w:rsidR="005015E6">
        <w:t>, in</w:t>
      </w:r>
      <w:r w:rsidR="008C78C4">
        <w:t xml:space="preserve"> the</w:t>
      </w:r>
      <w:r w:rsidR="005015E6">
        <w:t xml:space="preserve"> light of the first objection raised by the Executive Committee,</w:t>
      </w:r>
      <w:r>
        <w:t xml:space="preserve"> that the author would have been allowed to carry out </w:t>
      </w:r>
      <w:r w:rsidR="00DF3F04">
        <w:t>a</w:t>
      </w:r>
      <w:r>
        <w:t xml:space="preserve"> picket at an alternative time or date. </w:t>
      </w:r>
      <w:r w:rsidR="00B37BAE">
        <w:t>The Committee concludes</w:t>
      </w:r>
      <w:r w:rsidR="00C16A92">
        <w:t>,</w:t>
      </w:r>
      <w:r w:rsidR="00C16A92" w:rsidRPr="00C16A92">
        <w:t xml:space="preserve"> </w:t>
      </w:r>
      <w:r w:rsidR="00C16A92">
        <w:t>therefore,</w:t>
      </w:r>
      <w:r w:rsidR="00B37BAE">
        <w:t xml:space="preserve"> </w:t>
      </w:r>
      <w:r w:rsidR="00B37BAE" w:rsidRPr="00D67502">
        <w:t>that in the present case the State party has violated the author</w:t>
      </w:r>
      <w:r w:rsidR="00B37BAE">
        <w:t>’</w:t>
      </w:r>
      <w:r w:rsidR="00B37BAE" w:rsidRPr="00D67502">
        <w:t>s right</w:t>
      </w:r>
      <w:r w:rsidR="00B37BAE">
        <w:t>s</w:t>
      </w:r>
      <w:r w:rsidR="00B37BAE" w:rsidRPr="00D67502">
        <w:t xml:space="preserve"> under article</w:t>
      </w:r>
      <w:r w:rsidR="00B37BAE">
        <w:t xml:space="preserve">s 19 and </w:t>
      </w:r>
      <w:r w:rsidR="00B37BAE" w:rsidRPr="00D67502">
        <w:t>21 of the Covenant.</w:t>
      </w:r>
    </w:p>
    <w:p w:rsidR="000128E3" w:rsidRDefault="00FC70CA" w:rsidP="00AB20B9">
      <w:pPr>
        <w:pStyle w:val="SingleTxtG"/>
      </w:pPr>
      <w:r>
        <w:t>9</w:t>
      </w:r>
      <w:r w:rsidR="000128E3" w:rsidRPr="00607635">
        <w:t>.</w:t>
      </w:r>
      <w:r w:rsidR="000128E3" w:rsidRPr="00607635">
        <w:tab/>
      </w:r>
      <w:r w:rsidR="00687350" w:rsidRPr="00607635">
        <w:t>The Committee</w:t>
      </w:r>
      <w:r w:rsidR="00E80B72" w:rsidRPr="00607635">
        <w:t>, acting under article 5 (</w:t>
      </w:r>
      <w:r w:rsidR="00687350" w:rsidRPr="00607635">
        <w:t>4</w:t>
      </w:r>
      <w:r w:rsidR="00E80B72" w:rsidRPr="00607635">
        <w:t>)</w:t>
      </w:r>
      <w:r w:rsidR="00687350" w:rsidRPr="00607635">
        <w:t xml:space="preserve"> of the Optional Protocol, is of the view that the facts before it </w:t>
      </w:r>
      <w:r w:rsidR="003A5830" w:rsidRPr="00607635">
        <w:t>disclose a</w:t>
      </w:r>
      <w:r w:rsidR="00687350" w:rsidRPr="00607635">
        <w:t xml:space="preserve"> violation of </w:t>
      </w:r>
      <w:r w:rsidR="00687350" w:rsidRPr="00A130FE">
        <w:t>the author</w:t>
      </w:r>
      <w:r w:rsidR="00A55F52" w:rsidRPr="00A130FE">
        <w:t>’</w:t>
      </w:r>
      <w:r w:rsidR="0028645E" w:rsidRPr="00A130FE">
        <w:t>s</w:t>
      </w:r>
      <w:r w:rsidR="00687350" w:rsidRPr="00A130FE">
        <w:t xml:space="preserve"> rights under article</w:t>
      </w:r>
      <w:r w:rsidR="009E6CCC">
        <w:t>s</w:t>
      </w:r>
      <w:r w:rsidR="00687350" w:rsidRPr="00A130FE">
        <w:t xml:space="preserve"> 19</w:t>
      </w:r>
      <w:r w:rsidR="00A55F52" w:rsidRPr="00A130FE">
        <w:t xml:space="preserve"> </w:t>
      </w:r>
      <w:r w:rsidR="003A5830" w:rsidRPr="00A130FE">
        <w:t xml:space="preserve">(2) </w:t>
      </w:r>
      <w:r w:rsidR="009E6CCC">
        <w:t xml:space="preserve">and 21 </w:t>
      </w:r>
      <w:r w:rsidR="00687350" w:rsidRPr="00A130FE">
        <w:t>of the Covenant</w:t>
      </w:r>
      <w:r w:rsidR="00A55F52" w:rsidRPr="00A130FE">
        <w:t>.</w:t>
      </w:r>
    </w:p>
    <w:p w:rsidR="009E6CCC" w:rsidRDefault="009E6CCC" w:rsidP="009E6CCC">
      <w:pPr>
        <w:pStyle w:val="SingleTxtG"/>
      </w:pPr>
      <w:r>
        <w:t>10.</w:t>
      </w:r>
      <w:r w:rsidR="00F64FCD">
        <w:tab/>
      </w:r>
      <w:r w:rsidR="005015E6">
        <w:rPr>
          <w:color w:val="000000"/>
          <w:lang w:eastAsia="de-DE"/>
        </w:rPr>
        <w:t>Pursuant to article 2 (3) (a) of the Covenant, the State party is under an obligation to provide the author with an effective remedy. This requires it to make full reparation to individuals whose Covenant rights have been violated. Accordingly, the State party is obligated, inter alia, to take appropriate steps to provide the author with adequate compensation and to take steps to prevent similar violations occurring in the future.</w:t>
      </w:r>
    </w:p>
    <w:p w:rsidR="009E6CCC" w:rsidRDefault="009E6CCC" w:rsidP="00AB20B9">
      <w:pPr>
        <w:pStyle w:val="SingleTxtG"/>
        <w:keepLines/>
      </w:pPr>
      <w:r>
        <w:lastRenderedPageBreak/>
        <w:t>11</w:t>
      </w:r>
      <w:r w:rsidRPr="008216A5">
        <w:t>.</w:t>
      </w:r>
      <w:r w:rsidRPr="008216A5">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or subject to its jurisdiction the rights recogni</w:t>
      </w:r>
      <w:r>
        <w:t>z</w:t>
      </w:r>
      <w:r w:rsidRPr="008216A5">
        <w:t xml:space="preserve">ed in the Covenant and to provide an effective and enforceable remedy when it has been determined that a violation has occurred, the Committee wishes to receive from the State party, within 180 days, information about the measures taken to give </w:t>
      </w:r>
      <w:r>
        <w:t>effect to the Committee’</w:t>
      </w:r>
      <w:r w:rsidRPr="008216A5">
        <w:t xml:space="preserve">s Views. The State party is also requested to publish the present Views and </w:t>
      </w:r>
      <w:r w:rsidRPr="008216A5">
        <w:rPr>
          <w:lang w:val="en-US"/>
        </w:rPr>
        <w:t>to have them widely disseminated in Belarusian and Russian in the State party</w:t>
      </w:r>
      <w:r w:rsidRPr="008216A5">
        <w:t xml:space="preserve">. </w:t>
      </w:r>
    </w:p>
    <w:p w:rsidR="00FC70CA" w:rsidRPr="00FC70CA" w:rsidRDefault="00FC70CA" w:rsidP="00F84443">
      <w:pPr>
        <w:pStyle w:val="SingleTxtG"/>
        <w:spacing w:before="240" w:after="0"/>
        <w:jc w:val="center"/>
        <w:rPr>
          <w:u w:val="single"/>
        </w:rPr>
      </w:pPr>
      <w:r>
        <w:rPr>
          <w:u w:val="single"/>
        </w:rPr>
        <w:tab/>
      </w:r>
      <w:r>
        <w:rPr>
          <w:u w:val="single"/>
        </w:rPr>
        <w:tab/>
      </w:r>
      <w:r>
        <w:rPr>
          <w:u w:val="single"/>
        </w:rPr>
        <w:tab/>
      </w:r>
    </w:p>
    <w:sectPr w:rsidR="00FC70CA" w:rsidRPr="00FC70CA" w:rsidSect="00E207C3">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D2E" w:rsidRDefault="00344D2E"/>
  </w:endnote>
  <w:endnote w:type="continuationSeparator" w:id="0">
    <w:p w:rsidR="00344D2E" w:rsidRDefault="00344D2E"/>
  </w:endnote>
  <w:endnote w:type="continuationNotice" w:id="1">
    <w:p w:rsidR="00344D2E" w:rsidRDefault="00344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196" w:rsidRPr="00781C83" w:rsidRDefault="008A5196"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B143FB">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196" w:rsidRPr="00AB20B9" w:rsidRDefault="008A5196" w:rsidP="00781C83">
    <w:pPr>
      <w:pStyle w:val="Footer"/>
      <w:tabs>
        <w:tab w:val="right" w:pos="9638"/>
      </w:tabs>
      <w:rPr>
        <w:b/>
        <w:bCs/>
        <w:sz w:val="18"/>
      </w:rPr>
    </w:pPr>
    <w:r>
      <w:rPr>
        <w:b/>
        <w:sz w:val="18"/>
      </w:rPr>
      <w:tab/>
    </w:r>
    <w:r w:rsidRPr="00AB20B9">
      <w:rPr>
        <w:b/>
        <w:bCs/>
        <w:sz w:val="18"/>
      </w:rPr>
      <w:fldChar w:fldCharType="begin"/>
    </w:r>
    <w:r w:rsidRPr="00AB20B9">
      <w:rPr>
        <w:b/>
        <w:bCs/>
        <w:sz w:val="18"/>
      </w:rPr>
      <w:instrText xml:space="preserve"> PAGE  \* MERGEFORMAT </w:instrText>
    </w:r>
    <w:r w:rsidRPr="00AB20B9">
      <w:rPr>
        <w:b/>
        <w:bCs/>
        <w:sz w:val="18"/>
      </w:rPr>
      <w:fldChar w:fldCharType="separate"/>
    </w:r>
    <w:r w:rsidR="00B143FB">
      <w:rPr>
        <w:b/>
        <w:bCs/>
        <w:noProof/>
        <w:sz w:val="18"/>
      </w:rPr>
      <w:t>3</w:t>
    </w:r>
    <w:r w:rsidRPr="00AB20B9">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111" w:rsidRDefault="00FA1111" w:rsidP="00FA1111">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FA1111" w:rsidRDefault="00FA1111" w:rsidP="00FA1111">
    <w:pPr>
      <w:pStyle w:val="Footer"/>
      <w:ind w:right="1134"/>
      <w:rPr>
        <w:sz w:val="20"/>
      </w:rPr>
    </w:pPr>
    <w:r>
      <w:rPr>
        <w:sz w:val="20"/>
      </w:rPr>
      <w:t>GE.16-14939(E)</w:t>
    </w:r>
  </w:p>
  <w:p w:rsidR="00FA1111" w:rsidRPr="00FA1111" w:rsidRDefault="00FA1111" w:rsidP="00FA1111">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40080" cy="640080"/>
          <wp:effectExtent l="0" t="0" r="7620" b="7620"/>
          <wp:wrapNone/>
          <wp:docPr id="2" name="Picture 1" descr="http://undocs.org/m2/QRCode.ashx?DS=CCPR/C/117/D/2101/20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7/D/2101/201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D2E" w:rsidRPr="000B175B" w:rsidRDefault="00344D2E" w:rsidP="000B175B">
      <w:pPr>
        <w:tabs>
          <w:tab w:val="right" w:pos="2155"/>
        </w:tabs>
        <w:spacing w:after="80"/>
        <w:ind w:left="680"/>
        <w:rPr>
          <w:u w:val="single"/>
        </w:rPr>
      </w:pPr>
      <w:r>
        <w:rPr>
          <w:u w:val="single"/>
        </w:rPr>
        <w:tab/>
      </w:r>
    </w:p>
  </w:footnote>
  <w:footnote w:type="continuationSeparator" w:id="0">
    <w:p w:rsidR="00344D2E" w:rsidRPr="00FC68B7" w:rsidRDefault="00344D2E" w:rsidP="00FC68B7">
      <w:pPr>
        <w:tabs>
          <w:tab w:val="left" w:pos="2155"/>
        </w:tabs>
        <w:spacing w:after="80"/>
        <w:ind w:left="680"/>
        <w:rPr>
          <w:u w:val="single"/>
        </w:rPr>
      </w:pPr>
      <w:r>
        <w:rPr>
          <w:u w:val="single"/>
        </w:rPr>
        <w:tab/>
      </w:r>
    </w:p>
  </w:footnote>
  <w:footnote w:type="continuationNotice" w:id="1">
    <w:p w:rsidR="00344D2E" w:rsidRDefault="00344D2E"/>
  </w:footnote>
  <w:footnote w:id="2">
    <w:p w:rsidR="00AD7FD9" w:rsidRPr="0059501B" w:rsidRDefault="00AD7FD9" w:rsidP="00AD7FD9">
      <w:pPr>
        <w:pStyle w:val="FootnoteText"/>
      </w:pPr>
      <w:r>
        <w:rPr>
          <w:rStyle w:val="FootnoteReference"/>
        </w:rPr>
        <w:tab/>
      </w:r>
      <w:r w:rsidRPr="00AB20B9">
        <w:rPr>
          <w:rStyle w:val="FootnoteReference"/>
          <w:sz w:val="20"/>
          <w:vertAlign w:val="baseline"/>
        </w:rPr>
        <w:t>*</w:t>
      </w:r>
      <w:r>
        <w:rPr>
          <w:rStyle w:val="FootnoteReference"/>
          <w:sz w:val="20"/>
        </w:rPr>
        <w:tab/>
      </w:r>
      <w:r>
        <w:t xml:space="preserve">Adopted by the Committee </w:t>
      </w:r>
      <w:r w:rsidRPr="009E4187">
        <w:t xml:space="preserve">at its </w:t>
      </w:r>
      <w:r w:rsidRPr="0059501B">
        <w:t>11</w:t>
      </w:r>
      <w:r w:rsidRPr="00AB20B9">
        <w:rPr>
          <w:lang w:val="en-US"/>
        </w:rPr>
        <w:t>7</w:t>
      </w:r>
      <w:r w:rsidRPr="0059501B">
        <w:t>th</w:t>
      </w:r>
      <w:r w:rsidRPr="009E4187">
        <w:t xml:space="preserve"> session (</w:t>
      </w:r>
      <w:r>
        <w:t>20 June-</w:t>
      </w:r>
      <w:r w:rsidRPr="001147E8">
        <w:t>15 July 2016</w:t>
      </w:r>
      <w:r w:rsidRPr="009E4187">
        <w:t>).</w:t>
      </w:r>
    </w:p>
  </w:footnote>
  <w:footnote w:id="3">
    <w:p w:rsidR="00AD7FD9" w:rsidRPr="00AB20B9" w:rsidRDefault="00AD7FD9" w:rsidP="00C16A92">
      <w:pPr>
        <w:pStyle w:val="FootnoteText"/>
        <w:rPr>
          <w:lang w:val="en-US"/>
        </w:rPr>
      </w:pPr>
      <w:r w:rsidRPr="00AB20B9">
        <w:rPr>
          <w:rStyle w:val="FootnoteReference"/>
          <w:sz w:val="20"/>
          <w:vertAlign w:val="baseline"/>
        </w:rPr>
        <w:tab/>
      </w:r>
      <w:r w:rsidRPr="00AB20B9">
        <w:rPr>
          <w:rStyle w:val="FootnoteReference"/>
          <w:bCs/>
          <w:sz w:val="20"/>
          <w:vertAlign w:val="baseline"/>
        </w:rPr>
        <w:t>**</w:t>
      </w:r>
      <w:r>
        <w:tab/>
      </w:r>
      <w:r w:rsidRPr="004256A1">
        <w:t xml:space="preserve">The </w:t>
      </w:r>
      <w:r w:rsidRPr="00E56497">
        <w:t>following</w:t>
      </w:r>
      <w:r w:rsidRPr="004256A1">
        <w:t xml:space="preserve"> members of the Committee participated in the examination of the present communication: Yadh Ben Achour, Sarah Cleveland, Olivier de Frouville, Yuji Iwasawa, Ivana Jeli</w:t>
      </w:r>
      <w:r w:rsidR="00DF6ACC">
        <w:t>ć</w:t>
      </w:r>
      <w:r w:rsidRPr="004256A1">
        <w:t xml:space="preserve">, Photini Pazartzis, Mauro Politi, </w:t>
      </w:r>
      <w:r w:rsidRPr="004256A1">
        <w:rPr>
          <w:bCs/>
        </w:rPr>
        <w:t>Sir</w:t>
      </w:r>
      <w:r w:rsidRPr="004256A1">
        <w:t xml:space="preserve"> Nigel Rodley, Victor Manuel Rodríguez-Rescia, Dheerujlall Seetulsingh, Yuval Shany, Konstantine Vardzelashvili and Margo Waterval</w:t>
      </w:r>
      <w:r w:rsidRPr="004256A1">
        <w:rPr>
          <w:bCs/>
        </w:rPr>
        <w:t>.</w:t>
      </w:r>
    </w:p>
  </w:footnote>
  <w:footnote w:id="4">
    <w:p w:rsidR="008A5196" w:rsidRPr="00AB5D75" w:rsidRDefault="008A5196" w:rsidP="005506A8">
      <w:pPr>
        <w:pStyle w:val="FootnoteText"/>
        <w:rPr>
          <w:szCs w:val="18"/>
        </w:rPr>
      </w:pPr>
      <w:r w:rsidRPr="00AB5D75">
        <w:rPr>
          <w:szCs w:val="18"/>
        </w:rPr>
        <w:tab/>
      </w:r>
      <w:r w:rsidRPr="00AB5D75">
        <w:rPr>
          <w:rStyle w:val="FootnoteReference"/>
          <w:szCs w:val="18"/>
        </w:rPr>
        <w:footnoteRef/>
      </w:r>
      <w:r w:rsidRPr="00AB5D75">
        <w:rPr>
          <w:szCs w:val="18"/>
        </w:rPr>
        <w:tab/>
        <w:t xml:space="preserve">See, </w:t>
      </w:r>
      <w:r>
        <w:rPr>
          <w:szCs w:val="18"/>
        </w:rPr>
        <w:t>for example</w:t>
      </w:r>
      <w:r w:rsidRPr="00AB5D75">
        <w:rPr>
          <w:szCs w:val="18"/>
        </w:rPr>
        <w:t>, communications Nos. 1867/2009, 1936/2010, 1975/2010, 1977/2010</w:t>
      </w:r>
      <w:r>
        <w:rPr>
          <w:szCs w:val="18"/>
        </w:rPr>
        <w:t>-</w:t>
      </w:r>
      <w:r w:rsidRPr="00AB5D75">
        <w:rPr>
          <w:szCs w:val="18"/>
        </w:rPr>
        <w:t xml:space="preserve">1981/2010 and 2010/2010, </w:t>
      </w:r>
      <w:r w:rsidRPr="00AB5D75">
        <w:rPr>
          <w:i/>
          <w:szCs w:val="18"/>
        </w:rPr>
        <w:t>Levinov v. Belarus</w:t>
      </w:r>
      <w:r w:rsidRPr="00AB20B9">
        <w:rPr>
          <w:iCs/>
          <w:szCs w:val="18"/>
        </w:rPr>
        <w:t xml:space="preserve">, </w:t>
      </w:r>
      <w:r w:rsidRPr="00AB5D75">
        <w:rPr>
          <w:szCs w:val="18"/>
        </w:rPr>
        <w:t>Views adopted on</w:t>
      </w:r>
      <w:r w:rsidRPr="00AB5D75">
        <w:rPr>
          <w:b/>
          <w:szCs w:val="18"/>
        </w:rPr>
        <w:t xml:space="preserve"> </w:t>
      </w:r>
      <w:r w:rsidRPr="00AB5D75">
        <w:rPr>
          <w:szCs w:val="18"/>
        </w:rPr>
        <w:t>19</w:t>
      </w:r>
      <w:r>
        <w:rPr>
          <w:szCs w:val="18"/>
        </w:rPr>
        <w:t> July 2012, para. 8.2</w:t>
      </w:r>
      <w:r w:rsidR="005506A8">
        <w:rPr>
          <w:szCs w:val="18"/>
        </w:rPr>
        <w:t>;</w:t>
      </w:r>
      <w:r>
        <w:rPr>
          <w:szCs w:val="18"/>
        </w:rPr>
        <w:t xml:space="preserve"> and </w:t>
      </w:r>
      <w:r w:rsidRPr="00AB5D75">
        <w:rPr>
          <w:szCs w:val="18"/>
        </w:rPr>
        <w:t xml:space="preserve">No. </w:t>
      </w:r>
      <w:r>
        <w:rPr>
          <w:szCs w:val="18"/>
        </w:rPr>
        <w:t xml:space="preserve">2019/2010, </w:t>
      </w:r>
      <w:r>
        <w:rPr>
          <w:i/>
          <w:szCs w:val="18"/>
        </w:rPr>
        <w:t xml:space="preserve">Poplavny v. Belarus, </w:t>
      </w:r>
      <w:r w:rsidRPr="00AB5D75">
        <w:rPr>
          <w:szCs w:val="18"/>
        </w:rPr>
        <w:t xml:space="preserve">Views adopted on </w:t>
      </w:r>
      <w:r>
        <w:rPr>
          <w:szCs w:val="18"/>
        </w:rPr>
        <w:t>5 November</w:t>
      </w:r>
      <w:r w:rsidRPr="00AB5D75">
        <w:rPr>
          <w:szCs w:val="18"/>
        </w:rPr>
        <w:t xml:space="preserve"> 20</w:t>
      </w:r>
      <w:r>
        <w:rPr>
          <w:szCs w:val="18"/>
        </w:rPr>
        <w:t>15</w:t>
      </w:r>
      <w:r w:rsidRPr="00AB5D75">
        <w:rPr>
          <w:szCs w:val="18"/>
        </w:rPr>
        <w:t>, para.</w:t>
      </w:r>
      <w:r>
        <w:rPr>
          <w:szCs w:val="18"/>
        </w:rPr>
        <w:t xml:space="preserve"> 6</w:t>
      </w:r>
      <w:r w:rsidRPr="00AB5D75">
        <w:rPr>
          <w:szCs w:val="18"/>
        </w:rPr>
        <w:t>.</w:t>
      </w:r>
      <w:r>
        <w:rPr>
          <w:szCs w:val="18"/>
        </w:rPr>
        <w:t>2</w:t>
      </w:r>
      <w:r w:rsidRPr="00AB5D75">
        <w:rPr>
          <w:szCs w:val="18"/>
        </w:rPr>
        <w:t>.</w:t>
      </w:r>
    </w:p>
  </w:footnote>
  <w:footnote w:id="5">
    <w:p w:rsidR="008A5196" w:rsidRPr="007407C9" w:rsidRDefault="008A5196">
      <w:pPr>
        <w:pStyle w:val="FootnoteText"/>
        <w:rPr>
          <w:szCs w:val="18"/>
        </w:rPr>
      </w:pPr>
      <w:r>
        <w:rPr>
          <w:szCs w:val="18"/>
        </w:rPr>
        <w:tab/>
      </w:r>
      <w:r w:rsidRPr="007407C9">
        <w:rPr>
          <w:rStyle w:val="FootnoteReference"/>
          <w:szCs w:val="18"/>
        </w:rPr>
        <w:footnoteRef/>
      </w:r>
      <w:r w:rsidRPr="007407C9">
        <w:rPr>
          <w:szCs w:val="18"/>
        </w:rPr>
        <w:tab/>
        <w:t>Communication</w:t>
      </w:r>
      <w:r w:rsidR="005506A8">
        <w:rPr>
          <w:szCs w:val="18"/>
        </w:rPr>
        <w:t>s</w:t>
      </w:r>
      <w:r w:rsidRPr="007407C9">
        <w:rPr>
          <w:szCs w:val="18"/>
        </w:rPr>
        <w:t xml:space="preserve"> No. 1873/2009, </w:t>
      </w:r>
      <w:r w:rsidRPr="007407C9">
        <w:rPr>
          <w:i/>
          <w:szCs w:val="18"/>
        </w:rPr>
        <w:t>Alekseev v. the Russian Federation</w:t>
      </w:r>
      <w:r w:rsidRPr="007407C9">
        <w:rPr>
          <w:szCs w:val="18"/>
        </w:rPr>
        <w:t>, Views adopted on 25 October 2013, para</w:t>
      </w:r>
      <w:r w:rsidR="00475060">
        <w:rPr>
          <w:szCs w:val="18"/>
        </w:rPr>
        <w:t>.</w:t>
      </w:r>
      <w:r w:rsidRPr="007407C9">
        <w:rPr>
          <w:szCs w:val="18"/>
        </w:rPr>
        <w:t xml:space="preserve"> 8.4</w:t>
      </w:r>
      <w:r>
        <w:rPr>
          <w:szCs w:val="18"/>
        </w:rPr>
        <w:t xml:space="preserve">; </w:t>
      </w:r>
      <w:r w:rsidR="005506A8">
        <w:rPr>
          <w:szCs w:val="18"/>
        </w:rPr>
        <w:t xml:space="preserve">and No. 1985/2010, </w:t>
      </w:r>
      <w:r w:rsidRPr="002861D9">
        <w:rPr>
          <w:i/>
        </w:rPr>
        <w:t>Koktish v. Belarus</w:t>
      </w:r>
      <w:r>
        <w:t xml:space="preserve">, </w:t>
      </w:r>
      <w:r w:rsidRPr="00EA3BD0">
        <w:t>Views adopted on 24 July 2014, para.</w:t>
      </w:r>
      <w:r w:rsidR="00475060">
        <w:t xml:space="preserve"> </w:t>
      </w:r>
      <w:r w:rsidRPr="00EA3BD0">
        <w:t>7.3.</w:t>
      </w:r>
    </w:p>
  </w:footnote>
  <w:footnote w:id="6">
    <w:p w:rsidR="008A5196" w:rsidRPr="007407C9" w:rsidRDefault="008A5196" w:rsidP="005506A8">
      <w:pPr>
        <w:pStyle w:val="FootnoteText"/>
      </w:pPr>
      <w:r>
        <w:tab/>
      </w:r>
      <w:r w:rsidRPr="007407C9">
        <w:rPr>
          <w:rStyle w:val="FootnoteReference"/>
        </w:rPr>
        <w:footnoteRef/>
      </w:r>
      <w:r>
        <w:tab/>
      </w:r>
      <w:r w:rsidRPr="007407C9">
        <w:t>Communication</w:t>
      </w:r>
      <w:r w:rsidR="005506A8">
        <w:t>s</w:t>
      </w:r>
      <w:r w:rsidRPr="007407C9">
        <w:t xml:space="preserve"> No. 836/1998, </w:t>
      </w:r>
      <w:r w:rsidRPr="003C4DEF">
        <w:rPr>
          <w:i/>
        </w:rPr>
        <w:t>Gelazauskas v. Lithuania</w:t>
      </w:r>
      <w:r w:rsidRPr="007407C9">
        <w:t>, para</w:t>
      </w:r>
      <w:r w:rsidR="00475060">
        <w:t>.</w:t>
      </w:r>
      <w:r w:rsidRPr="007407C9">
        <w:t xml:space="preserve"> 7.4; </w:t>
      </w:r>
      <w:r w:rsidRPr="007407C9">
        <w:rPr>
          <w:szCs w:val="18"/>
        </w:rPr>
        <w:t xml:space="preserve">No. 1784/2008, </w:t>
      </w:r>
      <w:r w:rsidRPr="007407C9">
        <w:rPr>
          <w:i/>
          <w:szCs w:val="18"/>
        </w:rPr>
        <w:t>Schumilin v.</w:t>
      </w:r>
      <w:r w:rsidR="00475060">
        <w:rPr>
          <w:i/>
          <w:szCs w:val="18"/>
        </w:rPr>
        <w:t> </w:t>
      </w:r>
      <w:r w:rsidRPr="007407C9">
        <w:rPr>
          <w:i/>
          <w:szCs w:val="18"/>
        </w:rPr>
        <w:t>Belarus</w:t>
      </w:r>
      <w:r w:rsidRPr="007407C9">
        <w:rPr>
          <w:szCs w:val="18"/>
        </w:rPr>
        <w:t xml:space="preserve">, Views adopted on 23 July 2012, para. 8.3; </w:t>
      </w:r>
      <w:r w:rsidR="005506A8">
        <w:rPr>
          <w:szCs w:val="18"/>
        </w:rPr>
        <w:t xml:space="preserve">and </w:t>
      </w:r>
      <w:r w:rsidRPr="007407C9">
        <w:rPr>
          <w:szCs w:val="18"/>
        </w:rPr>
        <w:t xml:space="preserve">No. 1814/2008, </w:t>
      </w:r>
      <w:r w:rsidRPr="007407C9">
        <w:rPr>
          <w:i/>
          <w:szCs w:val="18"/>
        </w:rPr>
        <w:t>P.L. v. Belarus</w:t>
      </w:r>
      <w:r w:rsidRPr="007407C9">
        <w:rPr>
          <w:szCs w:val="18"/>
        </w:rPr>
        <w:t>, decision of</w:t>
      </w:r>
      <w:r w:rsidR="00475060">
        <w:rPr>
          <w:szCs w:val="18"/>
        </w:rPr>
        <w:t> </w:t>
      </w:r>
      <w:r w:rsidRPr="007407C9">
        <w:rPr>
          <w:szCs w:val="18"/>
        </w:rPr>
        <w:t>inadmissibility, 26 July 2011, para. 6.2.</w:t>
      </w:r>
    </w:p>
  </w:footnote>
  <w:footnote w:id="7">
    <w:p w:rsidR="008A5196" w:rsidRDefault="008A5196" w:rsidP="00E22E3C">
      <w:pPr>
        <w:pStyle w:val="FootnoteText"/>
        <w:rPr>
          <w:szCs w:val="18"/>
        </w:rPr>
      </w:pPr>
      <w:r>
        <w:rPr>
          <w:szCs w:val="18"/>
        </w:rPr>
        <w:tab/>
      </w:r>
      <w:r>
        <w:rPr>
          <w:rStyle w:val="FootnoteReference"/>
          <w:szCs w:val="18"/>
        </w:rPr>
        <w:footnoteRef/>
      </w:r>
      <w:r>
        <w:rPr>
          <w:szCs w:val="18"/>
        </w:rPr>
        <w:tab/>
        <w:t xml:space="preserve">See, for example, communications No. 1830/2008, </w:t>
      </w:r>
      <w:r>
        <w:rPr>
          <w:i/>
          <w:iCs/>
          <w:szCs w:val="18"/>
        </w:rPr>
        <w:t xml:space="preserve">Pivonos v. Belarus, </w:t>
      </w:r>
      <w:r>
        <w:rPr>
          <w:szCs w:val="18"/>
        </w:rPr>
        <w:t>Views adopted on 29 October 2012, para. 9.3</w:t>
      </w:r>
      <w:r w:rsidR="00E22E3C">
        <w:rPr>
          <w:szCs w:val="18"/>
        </w:rPr>
        <w:t>;</w:t>
      </w:r>
      <w:r>
        <w:rPr>
          <w:szCs w:val="18"/>
        </w:rPr>
        <w:t xml:space="preserve"> and No. 1785/2008, </w:t>
      </w:r>
      <w:r>
        <w:rPr>
          <w:i/>
          <w:iCs/>
          <w:szCs w:val="18"/>
        </w:rPr>
        <w:t xml:space="preserve">Olechkevitch v. Belarus, </w:t>
      </w:r>
      <w:r>
        <w:rPr>
          <w:szCs w:val="18"/>
        </w:rPr>
        <w:t>Views adopted on 18 March 2013, para.</w:t>
      </w:r>
      <w:r w:rsidR="00475060">
        <w:rPr>
          <w:szCs w:val="18"/>
        </w:rPr>
        <w:t> </w:t>
      </w:r>
      <w:r>
        <w:rPr>
          <w:szCs w:val="18"/>
        </w:rPr>
        <w:t xml:space="preserve">8.5. </w:t>
      </w:r>
    </w:p>
  </w:footnote>
  <w:footnote w:id="8">
    <w:p w:rsidR="002D09B5" w:rsidRDefault="002D09B5" w:rsidP="002D09B5">
      <w:pPr>
        <w:pStyle w:val="FootnoteText"/>
      </w:pPr>
      <w:r>
        <w:tab/>
      </w:r>
      <w:r>
        <w:rPr>
          <w:rStyle w:val="FootnoteReference"/>
        </w:rPr>
        <w:footnoteRef/>
      </w:r>
      <w:r>
        <w:t xml:space="preserve"> </w:t>
      </w:r>
      <w:r>
        <w:tab/>
      </w:r>
      <w:r>
        <w:rPr>
          <w:szCs w:val="18"/>
          <w:lang w:eastAsia="en-GB"/>
        </w:rPr>
        <w:t xml:space="preserve">See communication No. 2019/2010, </w:t>
      </w:r>
      <w:r>
        <w:rPr>
          <w:i/>
          <w:iCs/>
          <w:szCs w:val="18"/>
          <w:lang w:eastAsia="en-GB"/>
        </w:rPr>
        <w:t xml:space="preserve">Poplavny </w:t>
      </w:r>
      <w:r>
        <w:rPr>
          <w:szCs w:val="18"/>
          <w:lang w:eastAsia="en-GB"/>
        </w:rPr>
        <w:t xml:space="preserve">v. </w:t>
      </w:r>
      <w:r>
        <w:rPr>
          <w:i/>
          <w:iCs/>
          <w:szCs w:val="18"/>
          <w:lang w:eastAsia="en-GB"/>
        </w:rPr>
        <w:t>Belarus</w:t>
      </w:r>
      <w:r>
        <w:rPr>
          <w:szCs w:val="18"/>
          <w:lang w:eastAsia="en-GB"/>
        </w:rPr>
        <w:t>, Views adopted on 5 November 2015, para.</w:t>
      </w:r>
      <w:r w:rsidR="00475060">
        <w:rPr>
          <w:szCs w:val="18"/>
          <w:lang w:eastAsia="en-GB"/>
        </w:rPr>
        <w:t> </w:t>
      </w:r>
      <w:r>
        <w:rPr>
          <w:szCs w:val="18"/>
          <w:lang w:eastAsia="en-GB"/>
        </w:rPr>
        <w:t>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196" w:rsidRPr="00781C83" w:rsidRDefault="008A5196" w:rsidP="0017676A">
    <w:pPr>
      <w:pStyle w:val="Header"/>
      <w:pBdr>
        <w:bottom w:val="single" w:sz="4" w:space="0" w:color="auto"/>
      </w:pBdr>
    </w:pPr>
    <w:r>
      <w:t>CCPR/</w:t>
    </w:r>
    <w:r w:rsidR="003C4DEF">
      <w:t>C/</w:t>
    </w:r>
    <w:r>
      <w:t>117/D/2101/2011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196" w:rsidRPr="00781C83" w:rsidRDefault="008A5196" w:rsidP="007B1E62">
    <w:pPr>
      <w:pStyle w:val="Header"/>
      <w:pBdr>
        <w:bottom w:val="single" w:sz="4" w:space="0" w:color="auto"/>
      </w:pBdr>
      <w:jc w:val="right"/>
    </w:pPr>
    <w:r>
      <w:t>CCPR/</w:t>
    </w:r>
    <w:r w:rsidR="003C4DEF">
      <w:t>C/</w:t>
    </w:r>
    <w:r>
      <w:t>117</w:t>
    </w:r>
    <w:r w:rsidR="003C4DEF">
      <w:t>/</w:t>
    </w:r>
    <w:r>
      <w:t>D/2101/2011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B5B73"/>
    <w:multiLevelType w:val="multilevel"/>
    <w:tmpl w:val="06E0FFDC"/>
    <w:lvl w:ilvl="0">
      <w:start w:val="1"/>
      <w:numFmt w:val="decimal"/>
      <w:lvlText w:val="%1"/>
      <w:lvlJc w:val="left"/>
      <w:pPr>
        <w:ind w:left="360" w:hanging="360"/>
      </w:pPr>
      <w:rPr>
        <w:rFonts w:cs="Times New Roman" w:hint="default"/>
      </w:rPr>
    </w:lvl>
    <w:lvl w:ilvl="1">
      <w:start w:val="1"/>
      <w:numFmt w:val="decimal"/>
      <w:lvlText w:val="%1.%2"/>
      <w:lvlJc w:val="left"/>
      <w:pPr>
        <w:ind w:left="1494" w:hanging="36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256" w:hanging="72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7884" w:hanging="108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512" w:hanging="1440"/>
      </w:pPr>
      <w:rPr>
        <w:rFonts w:cs="Times New Roman" w:hint="default"/>
      </w:rPr>
    </w:lvl>
  </w:abstractNum>
  <w:abstractNum w:abstractNumId="2" w15:restartNumberingAfterBreak="0">
    <w:nsid w:val="62116750"/>
    <w:multiLevelType w:val="hybridMultilevel"/>
    <w:tmpl w:val="54828B94"/>
    <w:lvl w:ilvl="0" w:tplc="160AFEEC">
      <w:start w:val="1"/>
      <w:numFmt w:val="decimal"/>
      <w:lvlText w:val="%1."/>
      <w:lvlJc w:val="left"/>
      <w:pPr>
        <w:ind w:left="1710" w:hanging="576"/>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3" w15:restartNumberingAfterBreak="0">
    <w:nsid w:val="649579C7"/>
    <w:multiLevelType w:val="hybridMultilevel"/>
    <w:tmpl w:val="C21650E2"/>
    <w:lvl w:ilvl="0" w:tplc="05D4030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2773"/>
    <w:rsid w:val="000044E2"/>
    <w:rsid w:val="00005583"/>
    <w:rsid w:val="00005BD8"/>
    <w:rsid w:val="000128E3"/>
    <w:rsid w:val="00012A71"/>
    <w:rsid w:val="000135C3"/>
    <w:rsid w:val="000205BB"/>
    <w:rsid w:val="00020F51"/>
    <w:rsid w:val="000222FF"/>
    <w:rsid w:val="000227DC"/>
    <w:rsid w:val="00024133"/>
    <w:rsid w:val="00025269"/>
    <w:rsid w:val="00025370"/>
    <w:rsid w:val="00025418"/>
    <w:rsid w:val="00025D41"/>
    <w:rsid w:val="00026B06"/>
    <w:rsid w:val="000272B3"/>
    <w:rsid w:val="00027A45"/>
    <w:rsid w:val="00031D46"/>
    <w:rsid w:val="00032A3A"/>
    <w:rsid w:val="0003387B"/>
    <w:rsid w:val="00035F0E"/>
    <w:rsid w:val="00037807"/>
    <w:rsid w:val="00037AD0"/>
    <w:rsid w:val="0004092D"/>
    <w:rsid w:val="00041994"/>
    <w:rsid w:val="000419D2"/>
    <w:rsid w:val="000448FF"/>
    <w:rsid w:val="00044EE9"/>
    <w:rsid w:val="00050F6B"/>
    <w:rsid w:val="00053842"/>
    <w:rsid w:val="00055096"/>
    <w:rsid w:val="0005782B"/>
    <w:rsid w:val="00057E97"/>
    <w:rsid w:val="00057F1A"/>
    <w:rsid w:val="00060074"/>
    <w:rsid w:val="00060C3A"/>
    <w:rsid w:val="00063B22"/>
    <w:rsid w:val="00066476"/>
    <w:rsid w:val="00067250"/>
    <w:rsid w:val="00071FC0"/>
    <w:rsid w:val="00072C8C"/>
    <w:rsid w:val="000733B5"/>
    <w:rsid w:val="0007628F"/>
    <w:rsid w:val="000772FF"/>
    <w:rsid w:val="00081815"/>
    <w:rsid w:val="0008278D"/>
    <w:rsid w:val="0008317C"/>
    <w:rsid w:val="0008645E"/>
    <w:rsid w:val="000908FA"/>
    <w:rsid w:val="000931C0"/>
    <w:rsid w:val="000970C1"/>
    <w:rsid w:val="000A13FB"/>
    <w:rsid w:val="000A2283"/>
    <w:rsid w:val="000A34F4"/>
    <w:rsid w:val="000A442E"/>
    <w:rsid w:val="000A50A8"/>
    <w:rsid w:val="000A6B47"/>
    <w:rsid w:val="000A7D92"/>
    <w:rsid w:val="000B175B"/>
    <w:rsid w:val="000B1788"/>
    <w:rsid w:val="000B3A0F"/>
    <w:rsid w:val="000B4EF7"/>
    <w:rsid w:val="000B6CA3"/>
    <w:rsid w:val="000C06FC"/>
    <w:rsid w:val="000C2C03"/>
    <w:rsid w:val="000C2D2E"/>
    <w:rsid w:val="000C2E06"/>
    <w:rsid w:val="000C6F58"/>
    <w:rsid w:val="000C71A2"/>
    <w:rsid w:val="000D0A22"/>
    <w:rsid w:val="000E0415"/>
    <w:rsid w:val="000E0A4F"/>
    <w:rsid w:val="000E10B6"/>
    <w:rsid w:val="000E2BE1"/>
    <w:rsid w:val="000E42FA"/>
    <w:rsid w:val="000E536B"/>
    <w:rsid w:val="000E567F"/>
    <w:rsid w:val="000E7797"/>
    <w:rsid w:val="000E7B78"/>
    <w:rsid w:val="000F03D7"/>
    <w:rsid w:val="000F1BE3"/>
    <w:rsid w:val="000F3F9E"/>
    <w:rsid w:val="000F4E65"/>
    <w:rsid w:val="000F570E"/>
    <w:rsid w:val="000F6BEA"/>
    <w:rsid w:val="000F76E4"/>
    <w:rsid w:val="000F7E69"/>
    <w:rsid w:val="00101383"/>
    <w:rsid w:val="00102AC0"/>
    <w:rsid w:val="001037D9"/>
    <w:rsid w:val="001103AA"/>
    <w:rsid w:val="0011184E"/>
    <w:rsid w:val="00115DDE"/>
    <w:rsid w:val="00117EA3"/>
    <w:rsid w:val="00123048"/>
    <w:rsid w:val="00124014"/>
    <w:rsid w:val="001252BD"/>
    <w:rsid w:val="001306DD"/>
    <w:rsid w:val="0013235B"/>
    <w:rsid w:val="00132E4D"/>
    <w:rsid w:val="00133611"/>
    <w:rsid w:val="0014155A"/>
    <w:rsid w:val="00142286"/>
    <w:rsid w:val="0015032A"/>
    <w:rsid w:val="00151CCD"/>
    <w:rsid w:val="00156376"/>
    <w:rsid w:val="00157B3E"/>
    <w:rsid w:val="00161364"/>
    <w:rsid w:val="00161B02"/>
    <w:rsid w:val="00161D7B"/>
    <w:rsid w:val="001649C8"/>
    <w:rsid w:val="00165896"/>
    <w:rsid w:val="00165F3A"/>
    <w:rsid w:val="0017277A"/>
    <w:rsid w:val="00172B2B"/>
    <w:rsid w:val="00173AAE"/>
    <w:rsid w:val="0017551B"/>
    <w:rsid w:val="0017676A"/>
    <w:rsid w:val="00176FE1"/>
    <w:rsid w:val="00182A46"/>
    <w:rsid w:val="00183968"/>
    <w:rsid w:val="00193B80"/>
    <w:rsid w:val="0019468C"/>
    <w:rsid w:val="00195EA7"/>
    <w:rsid w:val="00195FA5"/>
    <w:rsid w:val="00196CDF"/>
    <w:rsid w:val="001975D8"/>
    <w:rsid w:val="001A079F"/>
    <w:rsid w:val="001A09DE"/>
    <w:rsid w:val="001A2E0B"/>
    <w:rsid w:val="001A44F4"/>
    <w:rsid w:val="001A660B"/>
    <w:rsid w:val="001A6686"/>
    <w:rsid w:val="001A723C"/>
    <w:rsid w:val="001B368C"/>
    <w:rsid w:val="001B4041"/>
    <w:rsid w:val="001B4B04"/>
    <w:rsid w:val="001B734D"/>
    <w:rsid w:val="001C276E"/>
    <w:rsid w:val="001C326D"/>
    <w:rsid w:val="001C538B"/>
    <w:rsid w:val="001C6016"/>
    <w:rsid w:val="001C657F"/>
    <w:rsid w:val="001C6663"/>
    <w:rsid w:val="001C7895"/>
    <w:rsid w:val="001D0C8C"/>
    <w:rsid w:val="001D26DF"/>
    <w:rsid w:val="001D2754"/>
    <w:rsid w:val="001D2861"/>
    <w:rsid w:val="001D384D"/>
    <w:rsid w:val="001D3A03"/>
    <w:rsid w:val="001D4B84"/>
    <w:rsid w:val="001D5C81"/>
    <w:rsid w:val="001E10EC"/>
    <w:rsid w:val="001E357C"/>
    <w:rsid w:val="001E48A9"/>
    <w:rsid w:val="001E68DA"/>
    <w:rsid w:val="002012C3"/>
    <w:rsid w:val="00202DA8"/>
    <w:rsid w:val="00210AE2"/>
    <w:rsid w:val="00210CE0"/>
    <w:rsid w:val="002117EE"/>
    <w:rsid w:val="00211E0B"/>
    <w:rsid w:val="00214B06"/>
    <w:rsid w:val="00217DDD"/>
    <w:rsid w:val="00222DFC"/>
    <w:rsid w:val="00223B3D"/>
    <w:rsid w:val="0022501D"/>
    <w:rsid w:val="0022665C"/>
    <w:rsid w:val="00226F53"/>
    <w:rsid w:val="002310A9"/>
    <w:rsid w:val="002313C7"/>
    <w:rsid w:val="00231C9F"/>
    <w:rsid w:val="0023210C"/>
    <w:rsid w:val="00232832"/>
    <w:rsid w:val="00236D66"/>
    <w:rsid w:val="00244A62"/>
    <w:rsid w:val="00244EDE"/>
    <w:rsid w:val="002450F8"/>
    <w:rsid w:val="00252170"/>
    <w:rsid w:val="00253E54"/>
    <w:rsid w:val="002569AF"/>
    <w:rsid w:val="00260E8F"/>
    <w:rsid w:val="002632E7"/>
    <w:rsid w:val="0026447F"/>
    <w:rsid w:val="00264CD2"/>
    <w:rsid w:val="00267CEE"/>
    <w:rsid w:val="00267F5F"/>
    <w:rsid w:val="0027131E"/>
    <w:rsid w:val="002743EE"/>
    <w:rsid w:val="002744F0"/>
    <w:rsid w:val="0027570D"/>
    <w:rsid w:val="002767FA"/>
    <w:rsid w:val="00280D66"/>
    <w:rsid w:val="002824C8"/>
    <w:rsid w:val="002834E0"/>
    <w:rsid w:val="0028645E"/>
    <w:rsid w:val="00286B4D"/>
    <w:rsid w:val="00290F51"/>
    <w:rsid w:val="002915E7"/>
    <w:rsid w:val="00295A41"/>
    <w:rsid w:val="002974A6"/>
    <w:rsid w:val="002A03BE"/>
    <w:rsid w:val="002A239B"/>
    <w:rsid w:val="002A5E37"/>
    <w:rsid w:val="002B3574"/>
    <w:rsid w:val="002B3F1E"/>
    <w:rsid w:val="002B4AC8"/>
    <w:rsid w:val="002B56E0"/>
    <w:rsid w:val="002B6C74"/>
    <w:rsid w:val="002B7745"/>
    <w:rsid w:val="002C032D"/>
    <w:rsid w:val="002C3C84"/>
    <w:rsid w:val="002C4B41"/>
    <w:rsid w:val="002C4E74"/>
    <w:rsid w:val="002C5BCD"/>
    <w:rsid w:val="002D09B5"/>
    <w:rsid w:val="002D3AF5"/>
    <w:rsid w:val="002D46DB"/>
    <w:rsid w:val="002D5ECE"/>
    <w:rsid w:val="002E1323"/>
    <w:rsid w:val="002E4AD6"/>
    <w:rsid w:val="002F039C"/>
    <w:rsid w:val="002F053D"/>
    <w:rsid w:val="002F14CA"/>
    <w:rsid w:val="002F175C"/>
    <w:rsid w:val="002F4E01"/>
    <w:rsid w:val="002F709A"/>
    <w:rsid w:val="002F772E"/>
    <w:rsid w:val="002F781E"/>
    <w:rsid w:val="00300FEE"/>
    <w:rsid w:val="00301072"/>
    <w:rsid w:val="0030138D"/>
    <w:rsid w:val="00301BD4"/>
    <w:rsid w:val="00306124"/>
    <w:rsid w:val="00310F2C"/>
    <w:rsid w:val="003121FB"/>
    <w:rsid w:val="00314A18"/>
    <w:rsid w:val="00314A97"/>
    <w:rsid w:val="0031790F"/>
    <w:rsid w:val="00320E07"/>
    <w:rsid w:val="003220F0"/>
    <w:rsid w:val="003229D8"/>
    <w:rsid w:val="0032348D"/>
    <w:rsid w:val="00323A2B"/>
    <w:rsid w:val="00326293"/>
    <w:rsid w:val="00327502"/>
    <w:rsid w:val="00331781"/>
    <w:rsid w:val="00332D5C"/>
    <w:rsid w:val="003335F5"/>
    <w:rsid w:val="00333704"/>
    <w:rsid w:val="00333921"/>
    <w:rsid w:val="00335D6C"/>
    <w:rsid w:val="00336FB0"/>
    <w:rsid w:val="00342D6C"/>
    <w:rsid w:val="00344D2E"/>
    <w:rsid w:val="003464C6"/>
    <w:rsid w:val="00352709"/>
    <w:rsid w:val="00352D2B"/>
    <w:rsid w:val="00354AA8"/>
    <w:rsid w:val="00355BD5"/>
    <w:rsid w:val="0036213E"/>
    <w:rsid w:val="00362869"/>
    <w:rsid w:val="003652A0"/>
    <w:rsid w:val="003661AB"/>
    <w:rsid w:val="0036645D"/>
    <w:rsid w:val="00367567"/>
    <w:rsid w:val="003705C9"/>
    <w:rsid w:val="00371178"/>
    <w:rsid w:val="003719B4"/>
    <w:rsid w:val="0037204F"/>
    <w:rsid w:val="003721BC"/>
    <w:rsid w:val="00372E2F"/>
    <w:rsid w:val="003730DD"/>
    <w:rsid w:val="00374609"/>
    <w:rsid w:val="00381975"/>
    <w:rsid w:val="003821D3"/>
    <w:rsid w:val="0038336C"/>
    <w:rsid w:val="00383F4C"/>
    <w:rsid w:val="00383F7E"/>
    <w:rsid w:val="00386A7B"/>
    <w:rsid w:val="00386AC2"/>
    <w:rsid w:val="00386EF5"/>
    <w:rsid w:val="003871ED"/>
    <w:rsid w:val="00392A35"/>
    <w:rsid w:val="00394A4C"/>
    <w:rsid w:val="00395395"/>
    <w:rsid w:val="0039556A"/>
    <w:rsid w:val="00396BAE"/>
    <w:rsid w:val="00396EF7"/>
    <w:rsid w:val="00397223"/>
    <w:rsid w:val="003973D0"/>
    <w:rsid w:val="003A0984"/>
    <w:rsid w:val="003A1602"/>
    <w:rsid w:val="003A22FB"/>
    <w:rsid w:val="003A3C43"/>
    <w:rsid w:val="003A5830"/>
    <w:rsid w:val="003A6810"/>
    <w:rsid w:val="003A6BB4"/>
    <w:rsid w:val="003B483A"/>
    <w:rsid w:val="003B4890"/>
    <w:rsid w:val="003B59D4"/>
    <w:rsid w:val="003B6175"/>
    <w:rsid w:val="003C02AB"/>
    <w:rsid w:val="003C2CC4"/>
    <w:rsid w:val="003C4DEF"/>
    <w:rsid w:val="003D0290"/>
    <w:rsid w:val="003D1310"/>
    <w:rsid w:val="003D3CF9"/>
    <w:rsid w:val="003D4143"/>
    <w:rsid w:val="003D4794"/>
    <w:rsid w:val="003D4B23"/>
    <w:rsid w:val="003E1596"/>
    <w:rsid w:val="003E1C43"/>
    <w:rsid w:val="003E219E"/>
    <w:rsid w:val="003E3CF4"/>
    <w:rsid w:val="003E64CC"/>
    <w:rsid w:val="003E6D09"/>
    <w:rsid w:val="003E6F7E"/>
    <w:rsid w:val="003E723E"/>
    <w:rsid w:val="003F1BFA"/>
    <w:rsid w:val="00400ACF"/>
    <w:rsid w:val="00401BF0"/>
    <w:rsid w:val="00402458"/>
    <w:rsid w:val="00403387"/>
    <w:rsid w:val="0040413A"/>
    <w:rsid w:val="004050B9"/>
    <w:rsid w:val="00405473"/>
    <w:rsid w:val="00410C89"/>
    <w:rsid w:val="00412A50"/>
    <w:rsid w:val="004147D4"/>
    <w:rsid w:val="00414931"/>
    <w:rsid w:val="00414B35"/>
    <w:rsid w:val="00424479"/>
    <w:rsid w:val="00424AD8"/>
    <w:rsid w:val="0042621F"/>
    <w:rsid w:val="00426B9B"/>
    <w:rsid w:val="00431FE1"/>
    <w:rsid w:val="004325CB"/>
    <w:rsid w:val="004331A3"/>
    <w:rsid w:val="004346B9"/>
    <w:rsid w:val="0043559E"/>
    <w:rsid w:val="00435D83"/>
    <w:rsid w:val="00436142"/>
    <w:rsid w:val="00436B33"/>
    <w:rsid w:val="00442A83"/>
    <w:rsid w:val="00446B75"/>
    <w:rsid w:val="00450A3B"/>
    <w:rsid w:val="004514F6"/>
    <w:rsid w:val="00451C0A"/>
    <w:rsid w:val="0045495B"/>
    <w:rsid w:val="00456152"/>
    <w:rsid w:val="0045741F"/>
    <w:rsid w:val="00457E0B"/>
    <w:rsid w:val="00466844"/>
    <w:rsid w:val="00466B4C"/>
    <w:rsid w:val="00467903"/>
    <w:rsid w:val="0047261F"/>
    <w:rsid w:val="004734D9"/>
    <w:rsid w:val="00473963"/>
    <w:rsid w:val="00475060"/>
    <w:rsid w:val="004821F5"/>
    <w:rsid w:val="004832AC"/>
    <w:rsid w:val="004838A6"/>
    <w:rsid w:val="00483D1D"/>
    <w:rsid w:val="00483EF4"/>
    <w:rsid w:val="00484B45"/>
    <w:rsid w:val="0048637B"/>
    <w:rsid w:val="00487256"/>
    <w:rsid w:val="00487488"/>
    <w:rsid w:val="0049219B"/>
    <w:rsid w:val="00493CC2"/>
    <w:rsid w:val="004976F2"/>
    <w:rsid w:val="004A2281"/>
    <w:rsid w:val="004A28A7"/>
    <w:rsid w:val="004B3D5D"/>
    <w:rsid w:val="004C0946"/>
    <w:rsid w:val="004C2A01"/>
    <w:rsid w:val="004C4A2B"/>
    <w:rsid w:val="004D1CEB"/>
    <w:rsid w:val="004D4AAD"/>
    <w:rsid w:val="004D5BEC"/>
    <w:rsid w:val="004D71B4"/>
    <w:rsid w:val="004E1541"/>
    <w:rsid w:val="004E4D62"/>
    <w:rsid w:val="004E64A6"/>
    <w:rsid w:val="004F5078"/>
    <w:rsid w:val="004F56A1"/>
    <w:rsid w:val="0050121C"/>
    <w:rsid w:val="005015E6"/>
    <w:rsid w:val="0050410E"/>
    <w:rsid w:val="005058FF"/>
    <w:rsid w:val="00512945"/>
    <w:rsid w:val="00512D8B"/>
    <w:rsid w:val="00514916"/>
    <w:rsid w:val="00514BFF"/>
    <w:rsid w:val="00516701"/>
    <w:rsid w:val="00516A5D"/>
    <w:rsid w:val="00516A6A"/>
    <w:rsid w:val="0052136D"/>
    <w:rsid w:val="0052434D"/>
    <w:rsid w:val="00524C98"/>
    <w:rsid w:val="00525395"/>
    <w:rsid w:val="0052775E"/>
    <w:rsid w:val="00527B53"/>
    <w:rsid w:val="00533CAC"/>
    <w:rsid w:val="00533EFD"/>
    <w:rsid w:val="005409DC"/>
    <w:rsid w:val="005420F2"/>
    <w:rsid w:val="00542BC7"/>
    <w:rsid w:val="005479E7"/>
    <w:rsid w:val="00547A47"/>
    <w:rsid w:val="005506A8"/>
    <w:rsid w:val="00550BDA"/>
    <w:rsid w:val="00550D3B"/>
    <w:rsid w:val="005519D0"/>
    <w:rsid w:val="00552689"/>
    <w:rsid w:val="00553373"/>
    <w:rsid w:val="005545F1"/>
    <w:rsid w:val="005618F9"/>
    <w:rsid w:val="005628B6"/>
    <w:rsid w:val="00562B61"/>
    <w:rsid w:val="00562F4D"/>
    <w:rsid w:val="00564714"/>
    <w:rsid w:val="0056624F"/>
    <w:rsid w:val="005704D1"/>
    <w:rsid w:val="00571BB4"/>
    <w:rsid w:val="00571CA9"/>
    <w:rsid w:val="005722B3"/>
    <w:rsid w:val="0057414A"/>
    <w:rsid w:val="0057494C"/>
    <w:rsid w:val="00574EB0"/>
    <w:rsid w:val="00580700"/>
    <w:rsid w:val="005848B3"/>
    <w:rsid w:val="005853D7"/>
    <w:rsid w:val="00586059"/>
    <w:rsid w:val="00586ABA"/>
    <w:rsid w:val="0058726B"/>
    <w:rsid w:val="00590F87"/>
    <w:rsid w:val="005928DF"/>
    <w:rsid w:val="00592C4A"/>
    <w:rsid w:val="00592C4B"/>
    <w:rsid w:val="00592D66"/>
    <w:rsid w:val="00594628"/>
    <w:rsid w:val="00594CF0"/>
    <w:rsid w:val="00596EFC"/>
    <w:rsid w:val="00597E6E"/>
    <w:rsid w:val="005A0415"/>
    <w:rsid w:val="005A084E"/>
    <w:rsid w:val="005A0C1C"/>
    <w:rsid w:val="005A1B1D"/>
    <w:rsid w:val="005A3B8B"/>
    <w:rsid w:val="005A533E"/>
    <w:rsid w:val="005A72E7"/>
    <w:rsid w:val="005A7430"/>
    <w:rsid w:val="005B180A"/>
    <w:rsid w:val="005B31F6"/>
    <w:rsid w:val="005B3DB3"/>
    <w:rsid w:val="005B5F27"/>
    <w:rsid w:val="005B6292"/>
    <w:rsid w:val="005C1CC7"/>
    <w:rsid w:val="005C5760"/>
    <w:rsid w:val="005C674E"/>
    <w:rsid w:val="005C6D98"/>
    <w:rsid w:val="005D0E65"/>
    <w:rsid w:val="005D2DFC"/>
    <w:rsid w:val="005D30B8"/>
    <w:rsid w:val="005D4877"/>
    <w:rsid w:val="005D542D"/>
    <w:rsid w:val="005D5721"/>
    <w:rsid w:val="005D5AF5"/>
    <w:rsid w:val="005D5FE7"/>
    <w:rsid w:val="005D763C"/>
    <w:rsid w:val="005E06C2"/>
    <w:rsid w:val="005E1C0E"/>
    <w:rsid w:val="005E2D2C"/>
    <w:rsid w:val="005E3F67"/>
    <w:rsid w:val="005E40FD"/>
    <w:rsid w:val="005E5034"/>
    <w:rsid w:val="005E783D"/>
    <w:rsid w:val="005E7981"/>
    <w:rsid w:val="005F494A"/>
    <w:rsid w:val="005F5699"/>
    <w:rsid w:val="005F575F"/>
    <w:rsid w:val="005F57AD"/>
    <w:rsid w:val="005F7717"/>
    <w:rsid w:val="005F7B75"/>
    <w:rsid w:val="005F7F93"/>
    <w:rsid w:val="006001EE"/>
    <w:rsid w:val="00601CA8"/>
    <w:rsid w:val="00602B75"/>
    <w:rsid w:val="00605042"/>
    <w:rsid w:val="00606B2B"/>
    <w:rsid w:val="00607635"/>
    <w:rsid w:val="0061115C"/>
    <w:rsid w:val="00611FC4"/>
    <w:rsid w:val="006123D4"/>
    <w:rsid w:val="00614C50"/>
    <w:rsid w:val="00616894"/>
    <w:rsid w:val="006176FB"/>
    <w:rsid w:val="00622E3D"/>
    <w:rsid w:val="00624677"/>
    <w:rsid w:val="00624F12"/>
    <w:rsid w:val="00625FB0"/>
    <w:rsid w:val="006264FB"/>
    <w:rsid w:val="006274AD"/>
    <w:rsid w:val="00627FB0"/>
    <w:rsid w:val="00630676"/>
    <w:rsid w:val="00632287"/>
    <w:rsid w:val="00636EFE"/>
    <w:rsid w:val="006405BC"/>
    <w:rsid w:val="00640B26"/>
    <w:rsid w:val="0064226F"/>
    <w:rsid w:val="006478E6"/>
    <w:rsid w:val="00652D0A"/>
    <w:rsid w:val="00654777"/>
    <w:rsid w:val="00656261"/>
    <w:rsid w:val="00661597"/>
    <w:rsid w:val="006617E2"/>
    <w:rsid w:val="006619EB"/>
    <w:rsid w:val="00662BB6"/>
    <w:rsid w:val="00664C49"/>
    <w:rsid w:val="0066644D"/>
    <w:rsid w:val="00674026"/>
    <w:rsid w:val="006743E9"/>
    <w:rsid w:val="00676A08"/>
    <w:rsid w:val="00680461"/>
    <w:rsid w:val="00682284"/>
    <w:rsid w:val="00682B85"/>
    <w:rsid w:val="006838C8"/>
    <w:rsid w:val="00683EF7"/>
    <w:rsid w:val="00684C21"/>
    <w:rsid w:val="0068555B"/>
    <w:rsid w:val="0068599A"/>
    <w:rsid w:val="00685FA6"/>
    <w:rsid w:val="00687350"/>
    <w:rsid w:val="0068743C"/>
    <w:rsid w:val="00691F84"/>
    <w:rsid w:val="00692BBE"/>
    <w:rsid w:val="00694AE6"/>
    <w:rsid w:val="00696929"/>
    <w:rsid w:val="0069763E"/>
    <w:rsid w:val="006976A6"/>
    <w:rsid w:val="006A1764"/>
    <w:rsid w:val="006A53B5"/>
    <w:rsid w:val="006C3AD1"/>
    <w:rsid w:val="006D2401"/>
    <w:rsid w:val="006D2B97"/>
    <w:rsid w:val="006D37AF"/>
    <w:rsid w:val="006D51D0"/>
    <w:rsid w:val="006D75C7"/>
    <w:rsid w:val="006E1A90"/>
    <w:rsid w:val="006E3134"/>
    <w:rsid w:val="006E37EC"/>
    <w:rsid w:val="006E564B"/>
    <w:rsid w:val="006E7191"/>
    <w:rsid w:val="006F36AC"/>
    <w:rsid w:val="0070353B"/>
    <w:rsid w:val="00703577"/>
    <w:rsid w:val="007053C1"/>
    <w:rsid w:val="00705625"/>
    <w:rsid w:val="007113A4"/>
    <w:rsid w:val="00711F00"/>
    <w:rsid w:val="00713B23"/>
    <w:rsid w:val="0071618A"/>
    <w:rsid w:val="00717631"/>
    <w:rsid w:val="0072226B"/>
    <w:rsid w:val="00725F30"/>
    <w:rsid w:val="0072632A"/>
    <w:rsid w:val="00726F57"/>
    <w:rsid w:val="007327D5"/>
    <w:rsid w:val="00732B51"/>
    <w:rsid w:val="00735CA1"/>
    <w:rsid w:val="00736E08"/>
    <w:rsid w:val="00740255"/>
    <w:rsid w:val="007417BC"/>
    <w:rsid w:val="00746BB2"/>
    <w:rsid w:val="00746F1E"/>
    <w:rsid w:val="00751147"/>
    <w:rsid w:val="00753BA9"/>
    <w:rsid w:val="0076033B"/>
    <w:rsid w:val="00760F53"/>
    <w:rsid w:val="007627EE"/>
    <w:rsid w:val="007629C8"/>
    <w:rsid w:val="00764878"/>
    <w:rsid w:val="00767016"/>
    <w:rsid w:val="007723A1"/>
    <w:rsid w:val="007757D4"/>
    <w:rsid w:val="007812BA"/>
    <w:rsid w:val="007818F4"/>
    <w:rsid w:val="00781C83"/>
    <w:rsid w:val="007826F5"/>
    <w:rsid w:val="00782F90"/>
    <w:rsid w:val="0078300D"/>
    <w:rsid w:val="00784231"/>
    <w:rsid w:val="00784BCF"/>
    <w:rsid w:val="00784C71"/>
    <w:rsid w:val="00785623"/>
    <w:rsid w:val="00786F3A"/>
    <w:rsid w:val="00787E5D"/>
    <w:rsid w:val="0079151D"/>
    <w:rsid w:val="00791C81"/>
    <w:rsid w:val="007925AE"/>
    <w:rsid w:val="00795F7A"/>
    <w:rsid w:val="007965DB"/>
    <w:rsid w:val="007A1319"/>
    <w:rsid w:val="007A401C"/>
    <w:rsid w:val="007A4383"/>
    <w:rsid w:val="007B0D02"/>
    <w:rsid w:val="007B19F4"/>
    <w:rsid w:val="007B1E62"/>
    <w:rsid w:val="007B4663"/>
    <w:rsid w:val="007B5F65"/>
    <w:rsid w:val="007B6BA5"/>
    <w:rsid w:val="007C203A"/>
    <w:rsid w:val="007C3390"/>
    <w:rsid w:val="007C3A7C"/>
    <w:rsid w:val="007C3FFB"/>
    <w:rsid w:val="007C4F4B"/>
    <w:rsid w:val="007C5032"/>
    <w:rsid w:val="007C784F"/>
    <w:rsid w:val="007C7C57"/>
    <w:rsid w:val="007D0063"/>
    <w:rsid w:val="007D3316"/>
    <w:rsid w:val="007D42B0"/>
    <w:rsid w:val="007D4542"/>
    <w:rsid w:val="007D5803"/>
    <w:rsid w:val="007E0B2D"/>
    <w:rsid w:val="007E16D9"/>
    <w:rsid w:val="007E3DF7"/>
    <w:rsid w:val="007E3E13"/>
    <w:rsid w:val="007E6F98"/>
    <w:rsid w:val="007F1247"/>
    <w:rsid w:val="007F3A2C"/>
    <w:rsid w:val="007F5AA8"/>
    <w:rsid w:val="007F6611"/>
    <w:rsid w:val="007F7246"/>
    <w:rsid w:val="007F75D2"/>
    <w:rsid w:val="007F7E17"/>
    <w:rsid w:val="00803EEC"/>
    <w:rsid w:val="00806AAA"/>
    <w:rsid w:val="008076A7"/>
    <w:rsid w:val="008105B8"/>
    <w:rsid w:val="00810C74"/>
    <w:rsid w:val="008111BA"/>
    <w:rsid w:val="00812971"/>
    <w:rsid w:val="0081367C"/>
    <w:rsid w:val="00813793"/>
    <w:rsid w:val="0081534F"/>
    <w:rsid w:val="00815C52"/>
    <w:rsid w:val="00816972"/>
    <w:rsid w:val="0081770E"/>
    <w:rsid w:val="008216A5"/>
    <w:rsid w:val="00821A8D"/>
    <w:rsid w:val="008242D7"/>
    <w:rsid w:val="00824F1B"/>
    <w:rsid w:val="00825659"/>
    <w:rsid w:val="008257B1"/>
    <w:rsid w:val="00827317"/>
    <w:rsid w:val="00833415"/>
    <w:rsid w:val="00834953"/>
    <w:rsid w:val="00840104"/>
    <w:rsid w:val="0084035B"/>
    <w:rsid w:val="0084126F"/>
    <w:rsid w:val="00843767"/>
    <w:rsid w:val="00846ED4"/>
    <w:rsid w:val="00851259"/>
    <w:rsid w:val="00852B57"/>
    <w:rsid w:val="008538BE"/>
    <w:rsid w:val="008579E7"/>
    <w:rsid w:val="00857E2C"/>
    <w:rsid w:val="008621E0"/>
    <w:rsid w:val="00862362"/>
    <w:rsid w:val="008655A1"/>
    <w:rsid w:val="008655A9"/>
    <w:rsid w:val="00867815"/>
    <w:rsid w:val="008678D8"/>
    <w:rsid w:val="008679D9"/>
    <w:rsid w:val="00871051"/>
    <w:rsid w:val="00871842"/>
    <w:rsid w:val="00875FE5"/>
    <w:rsid w:val="00880561"/>
    <w:rsid w:val="008809FB"/>
    <w:rsid w:val="008817F2"/>
    <w:rsid w:val="00884110"/>
    <w:rsid w:val="008854BE"/>
    <w:rsid w:val="00885F41"/>
    <w:rsid w:val="0088636B"/>
    <w:rsid w:val="0089139E"/>
    <w:rsid w:val="00893712"/>
    <w:rsid w:val="00894F8B"/>
    <w:rsid w:val="008979B1"/>
    <w:rsid w:val="008A1DB2"/>
    <w:rsid w:val="008A2B09"/>
    <w:rsid w:val="008A4733"/>
    <w:rsid w:val="008A5196"/>
    <w:rsid w:val="008A61F6"/>
    <w:rsid w:val="008A6B25"/>
    <w:rsid w:val="008A6C4F"/>
    <w:rsid w:val="008A778A"/>
    <w:rsid w:val="008B1EE4"/>
    <w:rsid w:val="008B2335"/>
    <w:rsid w:val="008C017D"/>
    <w:rsid w:val="008C4EDC"/>
    <w:rsid w:val="008C78C4"/>
    <w:rsid w:val="008D1459"/>
    <w:rsid w:val="008D4BF5"/>
    <w:rsid w:val="008D4DE1"/>
    <w:rsid w:val="008D52B1"/>
    <w:rsid w:val="008D5553"/>
    <w:rsid w:val="008E0104"/>
    <w:rsid w:val="008E0678"/>
    <w:rsid w:val="008E1567"/>
    <w:rsid w:val="008E1FE2"/>
    <w:rsid w:val="008E27EC"/>
    <w:rsid w:val="008E29F8"/>
    <w:rsid w:val="008E4C4F"/>
    <w:rsid w:val="008E6A47"/>
    <w:rsid w:val="008E7D8C"/>
    <w:rsid w:val="008F142A"/>
    <w:rsid w:val="008F4C04"/>
    <w:rsid w:val="00901CCF"/>
    <w:rsid w:val="0090237B"/>
    <w:rsid w:val="00902668"/>
    <w:rsid w:val="00903876"/>
    <w:rsid w:val="00910F40"/>
    <w:rsid w:val="00911303"/>
    <w:rsid w:val="00912256"/>
    <w:rsid w:val="00912C08"/>
    <w:rsid w:val="00913616"/>
    <w:rsid w:val="00913F5E"/>
    <w:rsid w:val="0091460C"/>
    <w:rsid w:val="00914B6E"/>
    <w:rsid w:val="009152C3"/>
    <w:rsid w:val="00916567"/>
    <w:rsid w:val="009223CA"/>
    <w:rsid w:val="00930D71"/>
    <w:rsid w:val="0093571E"/>
    <w:rsid w:val="00935941"/>
    <w:rsid w:val="00940F93"/>
    <w:rsid w:val="00941AB8"/>
    <w:rsid w:val="00943FBA"/>
    <w:rsid w:val="00945A23"/>
    <w:rsid w:val="009502AF"/>
    <w:rsid w:val="00951522"/>
    <w:rsid w:val="00951A9F"/>
    <w:rsid w:val="00951EAC"/>
    <w:rsid w:val="00952427"/>
    <w:rsid w:val="0095347F"/>
    <w:rsid w:val="00955194"/>
    <w:rsid w:val="009568BE"/>
    <w:rsid w:val="00956A6B"/>
    <w:rsid w:val="00964E2E"/>
    <w:rsid w:val="009669EA"/>
    <w:rsid w:val="00966D7C"/>
    <w:rsid w:val="00967F59"/>
    <w:rsid w:val="009701C4"/>
    <w:rsid w:val="00971C45"/>
    <w:rsid w:val="00972495"/>
    <w:rsid w:val="009735A8"/>
    <w:rsid w:val="009735EF"/>
    <w:rsid w:val="00973B67"/>
    <w:rsid w:val="00974EF5"/>
    <w:rsid w:val="00975230"/>
    <w:rsid w:val="00975C63"/>
    <w:rsid w:val="00975E5F"/>
    <w:rsid w:val="009760F3"/>
    <w:rsid w:val="009812E7"/>
    <w:rsid w:val="00983C0B"/>
    <w:rsid w:val="00985506"/>
    <w:rsid w:val="00985865"/>
    <w:rsid w:val="00990941"/>
    <w:rsid w:val="009909F5"/>
    <w:rsid w:val="00993D77"/>
    <w:rsid w:val="009A01E5"/>
    <w:rsid w:val="009A0E8D"/>
    <w:rsid w:val="009A46D6"/>
    <w:rsid w:val="009A56EA"/>
    <w:rsid w:val="009A5E1E"/>
    <w:rsid w:val="009A6988"/>
    <w:rsid w:val="009A7439"/>
    <w:rsid w:val="009B26E7"/>
    <w:rsid w:val="009B2EF2"/>
    <w:rsid w:val="009B3B6D"/>
    <w:rsid w:val="009C1CC5"/>
    <w:rsid w:val="009C2C0D"/>
    <w:rsid w:val="009C6AEC"/>
    <w:rsid w:val="009C77E5"/>
    <w:rsid w:val="009C7EFD"/>
    <w:rsid w:val="009D04AC"/>
    <w:rsid w:val="009D0B1B"/>
    <w:rsid w:val="009D22A2"/>
    <w:rsid w:val="009D26D2"/>
    <w:rsid w:val="009D28AB"/>
    <w:rsid w:val="009D4BB8"/>
    <w:rsid w:val="009D5361"/>
    <w:rsid w:val="009D7894"/>
    <w:rsid w:val="009D7E85"/>
    <w:rsid w:val="009E11CB"/>
    <w:rsid w:val="009E2F54"/>
    <w:rsid w:val="009E445F"/>
    <w:rsid w:val="009E6A7F"/>
    <w:rsid w:val="009E6CCC"/>
    <w:rsid w:val="009E7D26"/>
    <w:rsid w:val="009F2AC1"/>
    <w:rsid w:val="009F3272"/>
    <w:rsid w:val="009F5D91"/>
    <w:rsid w:val="00A00A3F"/>
    <w:rsid w:val="00A01489"/>
    <w:rsid w:val="00A030AB"/>
    <w:rsid w:val="00A036B3"/>
    <w:rsid w:val="00A069BB"/>
    <w:rsid w:val="00A07872"/>
    <w:rsid w:val="00A10474"/>
    <w:rsid w:val="00A11A0C"/>
    <w:rsid w:val="00A11AD7"/>
    <w:rsid w:val="00A12518"/>
    <w:rsid w:val="00A130FE"/>
    <w:rsid w:val="00A14D3B"/>
    <w:rsid w:val="00A15A08"/>
    <w:rsid w:val="00A1776E"/>
    <w:rsid w:val="00A177BE"/>
    <w:rsid w:val="00A230A0"/>
    <w:rsid w:val="00A2561D"/>
    <w:rsid w:val="00A25E9B"/>
    <w:rsid w:val="00A262B7"/>
    <w:rsid w:val="00A266D4"/>
    <w:rsid w:val="00A2698E"/>
    <w:rsid w:val="00A31B81"/>
    <w:rsid w:val="00A338F1"/>
    <w:rsid w:val="00A36331"/>
    <w:rsid w:val="00A36BE3"/>
    <w:rsid w:val="00A37DD8"/>
    <w:rsid w:val="00A4192B"/>
    <w:rsid w:val="00A44615"/>
    <w:rsid w:val="00A45DB8"/>
    <w:rsid w:val="00A4722B"/>
    <w:rsid w:val="00A47396"/>
    <w:rsid w:val="00A4753A"/>
    <w:rsid w:val="00A50EFE"/>
    <w:rsid w:val="00A50F81"/>
    <w:rsid w:val="00A55F52"/>
    <w:rsid w:val="00A57155"/>
    <w:rsid w:val="00A6098E"/>
    <w:rsid w:val="00A60E9F"/>
    <w:rsid w:val="00A622BD"/>
    <w:rsid w:val="00A674AA"/>
    <w:rsid w:val="00A708BB"/>
    <w:rsid w:val="00A70B9B"/>
    <w:rsid w:val="00A710E2"/>
    <w:rsid w:val="00A71B51"/>
    <w:rsid w:val="00A7276C"/>
    <w:rsid w:val="00A72F22"/>
    <w:rsid w:val="00A7360F"/>
    <w:rsid w:val="00A73EDD"/>
    <w:rsid w:val="00A748A6"/>
    <w:rsid w:val="00A75355"/>
    <w:rsid w:val="00A769F4"/>
    <w:rsid w:val="00A776B4"/>
    <w:rsid w:val="00A82504"/>
    <w:rsid w:val="00A85674"/>
    <w:rsid w:val="00A86F19"/>
    <w:rsid w:val="00A871D5"/>
    <w:rsid w:val="00A8780F"/>
    <w:rsid w:val="00A90E23"/>
    <w:rsid w:val="00A91499"/>
    <w:rsid w:val="00A94361"/>
    <w:rsid w:val="00A96457"/>
    <w:rsid w:val="00AA0619"/>
    <w:rsid w:val="00AA0F58"/>
    <w:rsid w:val="00AA293C"/>
    <w:rsid w:val="00AA2D0D"/>
    <w:rsid w:val="00AA42C6"/>
    <w:rsid w:val="00AA4F43"/>
    <w:rsid w:val="00AB19FA"/>
    <w:rsid w:val="00AB20B9"/>
    <w:rsid w:val="00AB4E1A"/>
    <w:rsid w:val="00AB5043"/>
    <w:rsid w:val="00AB5D75"/>
    <w:rsid w:val="00AB7523"/>
    <w:rsid w:val="00AB7C6D"/>
    <w:rsid w:val="00AC03E4"/>
    <w:rsid w:val="00AC0A14"/>
    <w:rsid w:val="00AC1844"/>
    <w:rsid w:val="00AC4840"/>
    <w:rsid w:val="00AC63A2"/>
    <w:rsid w:val="00AD10F3"/>
    <w:rsid w:val="00AD1C54"/>
    <w:rsid w:val="00AD46B8"/>
    <w:rsid w:val="00AD6EA8"/>
    <w:rsid w:val="00AD7999"/>
    <w:rsid w:val="00AD7FD9"/>
    <w:rsid w:val="00AE24FE"/>
    <w:rsid w:val="00AE2860"/>
    <w:rsid w:val="00AE5108"/>
    <w:rsid w:val="00AF1A44"/>
    <w:rsid w:val="00AF1E8E"/>
    <w:rsid w:val="00AF5CCF"/>
    <w:rsid w:val="00AF6C3B"/>
    <w:rsid w:val="00AF7C7F"/>
    <w:rsid w:val="00B0282C"/>
    <w:rsid w:val="00B02BAA"/>
    <w:rsid w:val="00B033CC"/>
    <w:rsid w:val="00B04543"/>
    <w:rsid w:val="00B06D66"/>
    <w:rsid w:val="00B07A6A"/>
    <w:rsid w:val="00B11C10"/>
    <w:rsid w:val="00B12BB4"/>
    <w:rsid w:val="00B12E1C"/>
    <w:rsid w:val="00B13E9B"/>
    <w:rsid w:val="00B143FB"/>
    <w:rsid w:val="00B17560"/>
    <w:rsid w:val="00B201CC"/>
    <w:rsid w:val="00B2177C"/>
    <w:rsid w:val="00B30179"/>
    <w:rsid w:val="00B339A7"/>
    <w:rsid w:val="00B34A3F"/>
    <w:rsid w:val="00B369CE"/>
    <w:rsid w:val="00B3784A"/>
    <w:rsid w:val="00B37BAE"/>
    <w:rsid w:val="00B40D58"/>
    <w:rsid w:val="00B411AE"/>
    <w:rsid w:val="00B41ACB"/>
    <w:rsid w:val="00B41BE1"/>
    <w:rsid w:val="00B427FA"/>
    <w:rsid w:val="00B42B9A"/>
    <w:rsid w:val="00B43A0B"/>
    <w:rsid w:val="00B43DD0"/>
    <w:rsid w:val="00B443E2"/>
    <w:rsid w:val="00B46096"/>
    <w:rsid w:val="00B4718F"/>
    <w:rsid w:val="00B47380"/>
    <w:rsid w:val="00B5092B"/>
    <w:rsid w:val="00B512C7"/>
    <w:rsid w:val="00B56E4A"/>
    <w:rsid w:val="00B56E9C"/>
    <w:rsid w:val="00B60748"/>
    <w:rsid w:val="00B6380E"/>
    <w:rsid w:val="00B639A0"/>
    <w:rsid w:val="00B64B1F"/>
    <w:rsid w:val="00B654DC"/>
    <w:rsid w:val="00B6553F"/>
    <w:rsid w:val="00B65D1D"/>
    <w:rsid w:val="00B66E5E"/>
    <w:rsid w:val="00B67C9C"/>
    <w:rsid w:val="00B716A0"/>
    <w:rsid w:val="00B77D05"/>
    <w:rsid w:val="00B77EB1"/>
    <w:rsid w:val="00B81202"/>
    <w:rsid w:val="00B81206"/>
    <w:rsid w:val="00B81E12"/>
    <w:rsid w:val="00B8236D"/>
    <w:rsid w:val="00B83A07"/>
    <w:rsid w:val="00B84C4B"/>
    <w:rsid w:val="00B84D8C"/>
    <w:rsid w:val="00B857DE"/>
    <w:rsid w:val="00B874C1"/>
    <w:rsid w:val="00B878B3"/>
    <w:rsid w:val="00B879F3"/>
    <w:rsid w:val="00B9067B"/>
    <w:rsid w:val="00B92A1B"/>
    <w:rsid w:val="00B93B25"/>
    <w:rsid w:val="00B94491"/>
    <w:rsid w:val="00B96520"/>
    <w:rsid w:val="00B97172"/>
    <w:rsid w:val="00BA071C"/>
    <w:rsid w:val="00BA0CA7"/>
    <w:rsid w:val="00BA29D1"/>
    <w:rsid w:val="00BA4341"/>
    <w:rsid w:val="00BB22D5"/>
    <w:rsid w:val="00BB37C3"/>
    <w:rsid w:val="00BB577C"/>
    <w:rsid w:val="00BC01E3"/>
    <w:rsid w:val="00BC298A"/>
    <w:rsid w:val="00BC2C23"/>
    <w:rsid w:val="00BC48F3"/>
    <w:rsid w:val="00BC5A8B"/>
    <w:rsid w:val="00BC6B1E"/>
    <w:rsid w:val="00BC70AB"/>
    <w:rsid w:val="00BC74E9"/>
    <w:rsid w:val="00BD035A"/>
    <w:rsid w:val="00BD2AEB"/>
    <w:rsid w:val="00BD5EB3"/>
    <w:rsid w:val="00BE0B12"/>
    <w:rsid w:val="00BE2C31"/>
    <w:rsid w:val="00BE76EE"/>
    <w:rsid w:val="00BF09D4"/>
    <w:rsid w:val="00BF1D74"/>
    <w:rsid w:val="00BF3D9D"/>
    <w:rsid w:val="00BF4AA2"/>
    <w:rsid w:val="00BF5A65"/>
    <w:rsid w:val="00BF68A8"/>
    <w:rsid w:val="00BF6DBF"/>
    <w:rsid w:val="00C006A7"/>
    <w:rsid w:val="00C03905"/>
    <w:rsid w:val="00C11207"/>
    <w:rsid w:val="00C11A03"/>
    <w:rsid w:val="00C13B55"/>
    <w:rsid w:val="00C15217"/>
    <w:rsid w:val="00C154D2"/>
    <w:rsid w:val="00C15C4D"/>
    <w:rsid w:val="00C16605"/>
    <w:rsid w:val="00C16A92"/>
    <w:rsid w:val="00C211D3"/>
    <w:rsid w:val="00C227E8"/>
    <w:rsid w:val="00C2284D"/>
    <w:rsid w:val="00C237CB"/>
    <w:rsid w:val="00C2617F"/>
    <w:rsid w:val="00C2623D"/>
    <w:rsid w:val="00C2698D"/>
    <w:rsid w:val="00C305FF"/>
    <w:rsid w:val="00C31D00"/>
    <w:rsid w:val="00C3279A"/>
    <w:rsid w:val="00C33936"/>
    <w:rsid w:val="00C34926"/>
    <w:rsid w:val="00C36CA4"/>
    <w:rsid w:val="00C37106"/>
    <w:rsid w:val="00C37550"/>
    <w:rsid w:val="00C40796"/>
    <w:rsid w:val="00C41957"/>
    <w:rsid w:val="00C4279B"/>
    <w:rsid w:val="00C42AEC"/>
    <w:rsid w:val="00C44D68"/>
    <w:rsid w:val="00C463DD"/>
    <w:rsid w:val="00C46474"/>
    <w:rsid w:val="00C46A14"/>
    <w:rsid w:val="00C4724C"/>
    <w:rsid w:val="00C50356"/>
    <w:rsid w:val="00C52F3D"/>
    <w:rsid w:val="00C539D4"/>
    <w:rsid w:val="00C54F73"/>
    <w:rsid w:val="00C55779"/>
    <w:rsid w:val="00C561E4"/>
    <w:rsid w:val="00C6017C"/>
    <w:rsid w:val="00C606D3"/>
    <w:rsid w:val="00C61F13"/>
    <w:rsid w:val="00C629A0"/>
    <w:rsid w:val="00C6410D"/>
    <w:rsid w:val="00C64A07"/>
    <w:rsid w:val="00C65F90"/>
    <w:rsid w:val="00C702EE"/>
    <w:rsid w:val="00C7385F"/>
    <w:rsid w:val="00C745C3"/>
    <w:rsid w:val="00C77C10"/>
    <w:rsid w:val="00C815DC"/>
    <w:rsid w:val="00C822D7"/>
    <w:rsid w:val="00C82416"/>
    <w:rsid w:val="00C8504E"/>
    <w:rsid w:val="00C8561F"/>
    <w:rsid w:val="00C866DB"/>
    <w:rsid w:val="00C9045B"/>
    <w:rsid w:val="00C909F8"/>
    <w:rsid w:val="00C9183C"/>
    <w:rsid w:val="00C91BBB"/>
    <w:rsid w:val="00C934B4"/>
    <w:rsid w:val="00C96D26"/>
    <w:rsid w:val="00CA56DE"/>
    <w:rsid w:val="00CA5848"/>
    <w:rsid w:val="00CA7C33"/>
    <w:rsid w:val="00CB2CED"/>
    <w:rsid w:val="00CB335D"/>
    <w:rsid w:val="00CC1F58"/>
    <w:rsid w:val="00CC4C0C"/>
    <w:rsid w:val="00CC664C"/>
    <w:rsid w:val="00CD314E"/>
    <w:rsid w:val="00CD70B8"/>
    <w:rsid w:val="00CE1672"/>
    <w:rsid w:val="00CE170A"/>
    <w:rsid w:val="00CE3E66"/>
    <w:rsid w:val="00CE4904"/>
    <w:rsid w:val="00CE4A8F"/>
    <w:rsid w:val="00CE4D40"/>
    <w:rsid w:val="00CE5A75"/>
    <w:rsid w:val="00CE5F5D"/>
    <w:rsid w:val="00CF21B3"/>
    <w:rsid w:val="00CF2919"/>
    <w:rsid w:val="00CF2C0D"/>
    <w:rsid w:val="00CF2C2A"/>
    <w:rsid w:val="00CF6255"/>
    <w:rsid w:val="00CF76CE"/>
    <w:rsid w:val="00CF7D0F"/>
    <w:rsid w:val="00D04B04"/>
    <w:rsid w:val="00D06EAB"/>
    <w:rsid w:val="00D07060"/>
    <w:rsid w:val="00D107D6"/>
    <w:rsid w:val="00D1131C"/>
    <w:rsid w:val="00D141CF"/>
    <w:rsid w:val="00D2031B"/>
    <w:rsid w:val="00D2276A"/>
    <w:rsid w:val="00D2305C"/>
    <w:rsid w:val="00D236D5"/>
    <w:rsid w:val="00D23C28"/>
    <w:rsid w:val="00D24040"/>
    <w:rsid w:val="00D257E7"/>
    <w:rsid w:val="00D25FE2"/>
    <w:rsid w:val="00D2672E"/>
    <w:rsid w:val="00D34E31"/>
    <w:rsid w:val="00D354E1"/>
    <w:rsid w:val="00D377FC"/>
    <w:rsid w:val="00D41FE9"/>
    <w:rsid w:val="00D431EB"/>
    <w:rsid w:val="00D43252"/>
    <w:rsid w:val="00D4394C"/>
    <w:rsid w:val="00D47963"/>
    <w:rsid w:val="00D47B2C"/>
    <w:rsid w:val="00D47EEA"/>
    <w:rsid w:val="00D50001"/>
    <w:rsid w:val="00D50C86"/>
    <w:rsid w:val="00D50E8D"/>
    <w:rsid w:val="00D50EE6"/>
    <w:rsid w:val="00D51532"/>
    <w:rsid w:val="00D5167F"/>
    <w:rsid w:val="00D537C3"/>
    <w:rsid w:val="00D70A01"/>
    <w:rsid w:val="00D71187"/>
    <w:rsid w:val="00D712FE"/>
    <w:rsid w:val="00D725AD"/>
    <w:rsid w:val="00D8586C"/>
    <w:rsid w:val="00D90984"/>
    <w:rsid w:val="00D90A8D"/>
    <w:rsid w:val="00D90F93"/>
    <w:rsid w:val="00D9204F"/>
    <w:rsid w:val="00D95303"/>
    <w:rsid w:val="00D95A82"/>
    <w:rsid w:val="00D978C6"/>
    <w:rsid w:val="00DA2765"/>
    <w:rsid w:val="00DA3111"/>
    <w:rsid w:val="00DA3C1C"/>
    <w:rsid w:val="00DA3DC3"/>
    <w:rsid w:val="00DA49AA"/>
    <w:rsid w:val="00DA53E6"/>
    <w:rsid w:val="00DA7238"/>
    <w:rsid w:val="00DA7412"/>
    <w:rsid w:val="00DB0C79"/>
    <w:rsid w:val="00DB208A"/>
    <w:rsid w:val="00DB5B2F"/>
    <w:rsid w:val="00DC128E"/>
    <w:rsid w:val="00DC290C"/>
    <w:rsid w:val="00DC4569"/>
    <w:rsid w:val="00DC71FF"/>
    <w:rsid w:val="00DD013D"/>
    <w:rsid w:val="00DD0339"/>
    <w:rsid w:val="00DD1B10"/>
    <w:rsid w:val="00DD2781"/>
    <w:rsid w:val="00DD3D73"/>
    <w:rsid w:val="00DE79A8"/>
    <w:rsid w:val="00DF0447"/>
    <w:rsid w:val="00DF1E57"/>
    <w:rsid w:val="00DF374D"/>
    <w:rsid w:val="00DF3F04"/>
    <w:rsid w:val="00DF4996"/>
    <w:rsid w:val="00DF50FB"/>
    <w:rsid w:val="00DF56AC"/>
    <w:rsid w:val="00DF5EFA"/>
    <w:rsid w:val="00DF67AC"/>
    <w:rsid w:val="00DF6ACC"/>
    <w:rsid w:val="00DF6C8D"/>
    <w:rsid w:val="00DF6E87"/>
    <w:rsid w:val="00DF740E"/>
    <w:rsid w:val="00E012C9"/>
    <w:rsid w:val="00E03890"/>
    <w:rsid w:val="00E0462F"/>
    <w:rsid w:val="00E138E5"/>
    <w:rsid w:val="00E13BBE"/>
    <w:rsid w:val="00E13CA7"/>
    <w:rsid w:val="00E207C3"/>
    <w:rsid w:val="00E209FD"/>
    <w:rsid w:val="00E22E3C"/>
    <w:rsid w:val="00E24886"/>
    <w:rsid w:val="00E25E54"/>
    <w:rsid w:val="00E27346"/>
    <w:rsid w:val="00E3235C"/>
    <w:rsid w:val="00E33D68"/>
    <w:rsid w:val="00E3477A"/>
    <w:rsid w:val="00E352FB"/>
    <w:rsid w:val="00E376E4"/>
    <w:rsid w:val="00E37733"/>
    <w:rsid w:val="00E40420"/>
    <w:rsid w:val="00E43EC4"/>
    <w:rsid w:val="00E4406C"/>
    <w:rsid w:val="00E51BCB"/>
    <w:rsid w:val="00E542F7"/>
    <w:rsid w:val="00E5731A"/>
    <w:rsid w:val="00E62BDD"/>
    <w:rsid w:val="00E632CC"/>
    <w:rsid w:val="00E65396"/>
    <w:rsid w:val="00E67476"/>
    <w:rsid w:val="00E67F91"/>
    <w:rsid w:val="00E71BC8"/>
    <w:rsid w:val="00E7260F"/>
    <w:rsid w:val="00E759A9"/>
    <w:rsid w:val="00E779FC"/>
    <w:rsid w:val="00E80B72"/>
    <w:rsid w:val="00E848D3"/>
    <w:rsid w:val="00E86349"/>
    <w:rsid w:val="00E863FD"/>
    <w:rsid w:val="00E879CB"/>
    <w:rsid w:val="00E90155"/>
    <w:rsid w:val="00E94088"/>
    <w:rsid w:val="00E9408F"/>
    <w:rsid w:val="00E96630"/>
    <w:rsid w:val="00EA1886"/>
    <w:rsid w:val="00EA3104"/>
    <w:rsid w:val="00EA31F7"/>
    <w:rsid w:val="00EA5005"/>
    <w:rsid w:val="00EA5836"/>
    <w:rsid w:val="00EB08B9"/>
    <w:rsid w:val="00EB16A9"/>
    <w:rsid w:val="00EB1ECC"/>
    <w:rsid w:val="00EB2581"/>
    <w:rsid w:val="00EB327A"/>
    <w:rsid w:val="00EB7049"/>
    <w:rsid w:val="00EC1C71"/>
    <w:rsid w:val="00EC28F3"/>
    <w:rsid w:val="00EC4DC3"/>
    <w:rsid w:val="00ED00C7"/>
    <w:rsid w:val="00ED06EC"/>
    <w:rsid w:val="00ED140E"/>
    <w:rsid w:val="00ED1515"/>
    <w:rsid w:val="00ED7A2A"/>
    <w:rsid w:val="00EE0B0F"/>
    <w:rsid w:val="00EE1B4E"/>
    <w:rsid w:val="00EE5084"/>
    <w:rsid w:val="00EE5BD5"/>
    <w:rsid w:val="00EE5E84"/>
    <w:rsid w:val="00EE6199"/>
    <w:rsid w:val="00EF0235"/>
    <w:rsid w:val="00EF1D7F"/>
    <w:rsid w:val="00EF1EF6"/>
    <w:rsid w:val="00EF65BA"/>
    <w:rsid w:val="00F004E2"/>
    <w:rsid w:val="00F02C8E"/>
    <w:rsid w:val="00F03190"/>
    <w:rsid w:val="00F03A99"/>
    <w:rsid w:val="00F04CDE"/>
    <w:rsid w:val="00F10E0C"/>
    <w:rsid w:val="00F12D79"/>
    <w:rsid w:val="00F1389A"/>
    <w:rsid w:val="00F145AF"/>
    <w:rsid w:val="00F148F2"/>
    <w:rsid w:val="00F1539A"/>
    <w:rsid w:val="00F20C3D"/>
    <w:rsid w:val="00F2528A"/>
    <w:rsid w:val="00F25E5E"/>
    <w:rsid w:val="00F26BC3"/>
    <w:rsid w:val="00F27F80"/>
    <w:rsid w:val="00F30F1F"/>
    <w:rsid w:val="00F318C1"/>
    <w:rsid w:val="00F31FB3"/>
    <w:rsid w:val="00F36AFD"/>
    <w:rsid w:val="00F36C66"/>
    <w:rsid w:val="00F4204E"/>
    <w:rsid w:val="00F43E9E"/>
    <w:rsid w:val="00F45731"/>
    <w:rsid w:val="00F46CDD"/>
    <w:rsid w:val="00F53F0E"/>
    <w:rsid w:val="00F63797"/>
    <w:rsid w:val="00F647F9"/>
    <w:rsid w:val="00F64FCD"/>
    <w:rsid w:val="00F65E7F"/>
    <w:rsid w:val="00F70FF2"/>
    <w:rsid w:val="00F713E3"/>
    <w:rsid w:val="00F71BF6"/>
    <w:rsid w:val="00F75F5B"/>
    <w:rsid w:val="00F76E01"/>
    <w:rsid w:val="00F82380"/>
    <w:rsid w:val="00F8265D"/>
    <w:rsid w:val="00F84443"/>
    <w:rsid w:val="00F8521C"/>
    <w:rsid w:val="00F86121"/>
    <w:rsid w:val="00F86289"/>
    <w:rsid w:val="00F9057C"/>
    <w:rsid w:val="00F906D7"/>
    <w:rsid w:val="00F90D84"/>
    <w:rsid w:val="00F90FD3"/>
    <w:rsid w:val="00F91FD2"/>
    <w:rsid w:val="00F93781"/>
    <w:rsid w:val="00F96BA5"/>
    <w:rsid w:val="00F976E7"/>
    <w:rsid w:val="00FA1111"/>
    <w:rsid w:val="00FA1718"/>
    <w:rsid w:val="00FA32C0"/>
    <w:rsid w:val="00FA380F"/>
    <w:rsid w:val="00FA447C"/>
    <w:rsid w:val="00FA56DB"/>
    <w:rsid w:val="00FA5D93"/>
    <w:rsid w:val="00FA6BE1"/>
    <w:rsid w:val="00FB1B6F"/>
    <w:rsid w:val="00FB5EB5"/>
    <w:rsid w:val="00FB613B"/>
    <w:rsid w:val="00FB6F7F"/>
    <w:rsid w:val="00FB7622"/>
    <w:rsid w:val="00FC20C0"/>
    <w:rsid w:val="00FC22CD"/>
    <w:rsid w:val="00FC6453"/>
    <w:rsid w:val="00FC68B7"/>
    <w:rsid w:val="00FC70CA"/>
    <w:rsid w:val="00FD0381"/>
    <w:rsid w:val="00FD1954"/>
    <w:rsid w:val="00FD23D3"/>
    <w:rsid w:val="00FD4FB8"/>
    <w:rsid w:val="00FD7631"/>
    <w:rsid w:val="00FE106A"/>
    <w:rsid w:val="00FE52FC"/>
    <w:rsid w:val="00FE6DC3"/>
    <w:rsid w:val="00FE7EF7"/>
    <w:rsid w:val="00FF0FD2"/>
    <w:rsid w:val="00FF1D1B"/>
    <w:rsid w:val="00FF3FD6"/>
    <w:rsid w:val="00FF67E9"/>
    <w:rsid w:val="00FF7920"/>
    <w:rsid w:val="00FF7D0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0"/>
  <w15:docId w15:val="{C8DB9E81-FC86-4C46-8E3F-DAA97112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sz w:val="20"/>
      <w:szCs w:val="20"/>
      <w:lang w:val="en-GB" w:eastAsia="en-US"/>
    </w:rPr>
  </w:style>
  <w:style w:type="paragraph" w:styleId="Heading1">
    <w:name w:val="heading 1"/>
    <w:aliases w:val="Table_G"/>
    <w:basedOn w:val="SingleTxtG"/>
    <w:next w:val="SingleTxtG"/>
    <w:link w:val="Heading1Char"/>
    <w:uiPriority w:val="99"/>
    <w:qFormat/>
    <w:rsid w:val="000272B3"/>
    <w:pPr>
      <w:spacing w:after="0" w:line="240" w:lineRule="auto"/>
      <w:ind w:right="0"/>
      <w:jc w:val="left"/>
      <w:outlineLvl w:val="0"/>
    </w:pPr>
  </w:style>
  <w:style w:type="paragraph" w:styleId="Heading2">
    <w:name w:val="heading 2"/>
    <w:basedOn w:val="Normal"/>
    <w:next w:val="Normal"/>
    <w:link w:val="Heading2Char"/>
    <w:uiPriority w:val="99"/>
    <w:qFormat/>
    <w:rsid w:val="000272B3"/>
    <w:pPr>
      <w:spacing w:line="240" w:lineRule="auto"/>
      <w:outlineLvl w:val="1"/>
    </w:pPr>
  </w:style>
  <w:style w:type="paragraph" w:styleId="Heading3">
    <w:name w:val="heading 3"/>
    <w:basedOn w:val="Normal"/>
    <w:next w:val="Normal"/>
    <w:link w:val="Heading3Char"/>
    <w:uiPriority w:val="99"/>
    <w:qFormat/>
    <w:rsid w:val="000272B3"/>
    <w:pPr>
      <w:spacing w:line="240" w:lineRule="auto"/>
      <w:outlineLvl w:val="2"/>
    </w:pPr>
  </w:style>
  <w:style w:type="paragraph" w:styleId="Heading4">
    <w:name w:val="heading 4"/>
    <w:basedOn w:val="Normal"/>
    <w:next w:val="Normal"/>
    <w:link w:val="Heading4Char"/>
    <w:uiPriority w:val="99"/>
    <w:qFormat/>
    <w:rsid w:val="000272B3"/>
    <w:pPr>
      <w:spacing w:line="240" w:lineRule="auto"/>
      <w:outlineLvl w:val="3"/>
    </w:pPr>
  </w:style>
  <w:style w:type="paragraph" w:styleId="Heading5">
    <w:name w:val="heading 5"/>
    <w:basedOn w:val="Normal"/>
    <w:next w:val="Normal"/>
    <w:link w:val="Heading5Char"/>
    <w:uiPriority w:val="99"/>
    <w:qFormat/>
    <w:rsid w:val="000272B3"/>
    <w:pPr>
      <w:spacing w:line="240" w:lineRule="auto"/>
      <w:outlineLvl w:val="4"/>
    </w:pPr>
  </w:style>
  <w:style w:type="paragraph" w:styleId="Heading6">
    <w:name w:val="heading 6"/>
    <w:basedOn w:val="Normal"/>
    <w:next w:val="Normal"/>
    <w:link w:val="Heading6Char"/>
    <w:uiPriority w:val="99"/>
    <w:qFormat/>
    <w:rsid w:val="000272B3"/>
    <w:pPr>
      <w:spacing w:line="240" w:lineRule="auto"/>
      <w:outlineLvl w:val="5"/>
    </w:pPr>
  </w:style>
  <w:style w:type="paragraph" w:styleId="Heading7">
    <w:name w:val="heading 7"/>
    <w:basedOn w:val="Normal"/>
    <w:next w:val="Normal"/>
    <w:link w:val="Heading7Char"/>
    <w:uiPriority w:val="99"/>
    <w:qFormat/>
    <w:rsid w:val="000272B3"/>
    <w:pPr>
      <w:spacing w:line="240" w:lineRule="auto"/>
      <w:outlineLvl w:val="6"/>
    </w:pPr>
  </w:style>
  <w:style w:type="paragraph" w:styleId="Heading8">
    <w:name w:val="heading 8"/>
    <w:basedOn w:val="Normal"/>
    <w:next w:val="Normal"/>
    <w:link w:val="Heading8Char"/>
    <w:uiPriority w:val="99"/>
    <w:qFormat/>
    <w:rsid w:val="000272B3"/>
    <w:pPr>
      <w:spacing w:line="240" w:lineRule="auto"/>
      <w:outlineLvl w:val="7"/>
    </w:pPr>
  </w:style>
  <w:style w:type="paragraph" w:styleId="Heading9">
    <w:name w:val="heading 9"/>
    <w:basedOn w:val="Normal"/>
    <w:next w:val="Normal"/>
    <w:link w:val="Heading9Char"/>
    <w:uiPriority w:val="99"/>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uiPriority w:val="9"/>
    <w:rsid w:val="0099069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99069F"/>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99069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99069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99069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99069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99069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99069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99069F"/>
    <w:rPr>
      <w:rFonts w:asciiTheme="majorHAnsi" w:eastAsiaTheme="majorEastAsia" w:hAnsiTheme="majorHAnsi" w:cstheme="majorBidi"/>
      <w:lang w:val="en-GB" w:eastAsia="en-US"/>
    </w:rPr>
  </w:style>
  <w:style w:type="paragraph" w:styleId="BalloonText">
    <w:name w:val="Balloon Text"/>
    <w:basedOn w:val="Normal"/>
    <w:link w:val="BalloonTextChar"/>
    <w:uiPriority w:val="99"/>
    <w:rsid w:val="006743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743E9"/>
    <w:rPr>
      <w:rFonts w:ascii="Tahoma" w:hAnsi="Tahoma"/>
      <w:sz w:val="16"/>
      <w:lang w:val="x-none" w:eastAsia="en-US"/>
    </w:rPr>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uiPriority w:val="99"/>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semiHidden/>
    <w:rsid w:val="0099069F"/>
    <w:rPr>
      <w:sz w:val="20"/>
      <w:szCs w:val="20"/>
      <w:lang w:val="en-GB" w:eastAsia="en-US"/>
    </w:rPr>
  </w:style>
  <w:style w:type="table" w:styleId="TableGrid">
    <w:name w:val="Table Grid"/>
    <w:basedOn w:val="TableNormal"/>
    <w:uiPriority w:val="99"/>
    <w:semiHidden/>
    <w:rsid w:val="000272B3"/>
    <w:pPr>
      <w:suppressAutoHyphens/>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semiHidden/>
    <w:rsid w:val="000272B3"/>
    <w:rPr>
      <w:rFonts w:cs="Times New Roman"/>
      <w:color w:val="auto"/>
      <w:u w:val="none"/>
    </w:rPr>
  </w:style>
  <w:style w:type="character" w:styleId="FollowedHyperlink">
    <w:name w:val="FollowedHyperlink"/>
    <w:basedOn w:val="DefaultParagraphFont"/>
    <w:uiPriority w:val="99"/>
    <w:semiHidden/>
    <w:rsid w:val="000272B3"/>
    <w:rPr>
      <w:rFonts w:cs="Times New Roman"/>
      <w:color w:val="auto"/>
      <w:u w:val="none"/>
    </w:rPr>
  </w:style>
  <w:style w:type="paragraph" w:styleId="FootnoteText">
    <w:name w:val="footnote text"/>
    <w:aliases w:val="5_G"/>
    <w:basedOn w:val="Normal"/>
    <w:link w:val="FootnoteTextChar1"/>
    <w:qFormat/>
    <w:rsid w:val="00676A08"/>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character" w:customStyle="1" w:styleId="FootnoteTextChar">
    <w:name w:val="Footnote Text Char"/>
    <w:aliases w:val="Footnote Reference Char,4_G Char,Footnote number Char,ftref Char,Footnotes refss Char,Style 10 Char,Footnote Reference1 Char1,5_G Char,Footnote Text Char Char Char Char Char Char,Footnote Text Char Char Char Char Char1,FA Fu Char"/>
    <w:basedOn w:val="DefaultParagraphFont"/>
    <w:rsid w:val="0099069F"/>
    <w:rPr>
      <w:sz w:val="20"/>
      <w:szCs w:val="20"/>
      <w:lang w:val="en-GB" w:eastAsia="en-US"/>
    </w:rPr>
  </w:style>
  <w:style w:type="paragraph" w:styleId="EndnoteText">
    <w:name w:val="endnote text"/>
    <w:aliases w:val="2_G"/>
    <w:basedOn w:val="FootnoteText"/>
    <w:link w:val="EndnoteTextChar"/>
    <w:uiPriority w:val="99"/>
    <w:rsid w:val="000272B3"/>
  </w:style>
  <w:style w:type="character" w:customStyle="1" w:styleId="EndnoteTextChar">
    <w:name w:val="Endnote Text Char"/>
    <w:aliases w:val="2_G Char"/>
    <w:basedOn w:val="DefaultParagraphFont"/>
    <w:link w:val="EndnoteText"/>
    <w:uiPriority w:val="99"/>
    <w:semiHidden/>
    <w:rsid w:val="0099069F"/>
    <w:rPr>
      <w:sz w:val="20"/>
      <w:szCs w:val="20"/>
      <w:lang w:val="en-GB" w:eastAsia="en-US"/>
    </w:rPr>
  </w:style>
  <w:style w:type="paragraph" w:customStyle="1" w:styleId="SMG">
    <w:name w:val="__S_M_G"/>
    <w:basedOn w:val="Normal"/>
    <w:next w:val="Normal"/>
    <w:uiPriority w:val="99"/>
    <w:rsid w:val="000272B3"/>
    <w:pPr>
      <w:keepNext/>
      <w:keepLines/>
      <w:spacing w:before="240" w:after="240" w:line="420" w:lineRule="exact"/>
      <w:ind w:left="1134" w:right="1134"/>
    </w:pPr>
    <w:rPr>
      <w:b/>
      <w:sz w:val="40"/>
    </w:rPr>
  </w:style>
  <w:style w:type="paragraph" w:customStyle="1" w:styleId="SLG">
    <w:name w:val="__S_L_G"/>
    <w:basedOn w:val="Normal"/>
    <w:next w:val="Normal"/>
    <w:uiPriority w:val="99"/>
    <w:rsid w:val="000272B3"/>
    <w:pPr>
      <w:keepNext/>
      <w:keepLines/>
      <w:spacing w:before="240" w:after="240" w:line="580" w:lineRule="exact"/>
      <w:ind w:left="1134" w:right="1134"/>
    </w:pPr>
    <w:rPr>
      <w:b/>
      <w:sz w:val="56"/>
    </w:rPr>
  </w:style>
  <w:style w:type="paragraph" w:customStyle="1" w:styleId="SSG">
    <w:name w:val="__S_S_G"/>
    <w:basedOn w:val="Normal"/>
    <w:next w:val="Normal"/>
    <w:uiPriority w:val="99"/>
    <w:rsid w:val="000272B3"/>
    <w:pPr>
      <w:keepNext/>
      <w:keepLines/>
      <w:spacing w:before="240" w:after="240" w:line="300" w:lineRule="exact"/>
      <w:ind w:left="1134" w:right="1134"/>
    </w:pPr>
    <w:rPr>
      <w:b/>
      <w:sz w:val="28"/>
    </w:rPr>
  </w:style>
  <w:style w:type="character" w:styleId="EndnoteReference">
    <w:name w:val="endnote reference"/>
    <w:aliases w:val="1_G"/>
    <w:basedOn w:val="DefaultParagraphFont"/>
    <w:uiPriority w:val="99"/>
    <w:rsid w:val="000272B3"/>
    <w:rPr>
      <w:rFonts w:ascii="Times New Roman" w:hAnsi="Times New Roman" w:cs="Times New Roman"/>
      <w:sz w:val="18"/>
      <w:vertAlign w:val="superscript"/>
    </w:rPr>
  </w:style>
  <w:style w:type="character" w:styleId="PageNumber">
    <w:name w:val="page number"/>
    <w:aliases w:val="7_G"/>
    <w:basedOn w:val="DefaultParagraphFont"/>
    <w:uiPriority w:val="99"/>
    <w:rsid w:val="000272B3"/>
    <w:rPr>
      <w:rFonts w:ascii="Times New Roman" w:hAnsi="Times New Roman" w:cs="Times New Roman"/>
      <w:b/>
      <w:sz w:val="18"/>
    </w:rPr>
  </w:style>
  <w:style w:type="paragraph" w:customStyle="1" w:styleId="XLargeG">
    <w:name w:val="__XLarge_G"/>
    <w:basedOn w:val="Normal"/>
    <w:next w:val="Normal"/>
    <w:uiPriority w:val="99"/>
    <w:rsid w:val="000272B3"/>
    <w:pPr>
      <w:keepNext/>
      <w:keepLines/>
      <w:spacing w:before="240" w:after="240" w:line="420" w:lineRule="exact"/>
      <w:ind w:left="1134" w:right="1134"/>
    </w:pPr>
    <w:rPr>
      <w:b/>
      <w:sz w:val="40"/>
    </w:rPr>
  </w:style>
  <w:style w:type="paragraph" w:customStyle="1" w:styleId="Bullet1G">
    <w:name w:val="_Bullet 1_G"/>
    <w:basedOn w:val="Normal"/>
    <w:uiPriority w:val="99"/>
    <w:rsid w:val="000272B3"/>
    <w:pPr>
      <w:numPr>
        <w:numId w:val="1"/>
      </w:numPr>
      <w:spacing w:after="120"/>
      <w:ind w:right="1134"/>
      <w:jc w:val="both"/>
    </w:pPr>
  </w:style>
  <w:style w:type="paragraph" w:styleId="Footer">
    <w:name w:val="footer"/>
    <w:aliases w:val="3_G"/>
    <w:basedOn w:val="Normal"/>
    <w:link w:val="FooterChar"/>
    <w:uiPriority w:val="99"/>
    <w:rsid w:val="000272B3"/>
    <w:pPr>
      <w:spacing w:line="240" w:lineRule="auto"/>
    </w:pPr>
    <w:rPr>
      <w:sz w:val="16"/>
    </w:rPr>
  </w:style>
  <w:style w:type="character" w:customStyle="1" w:styleId="FooterChar">
    <w:name w:val="Footer Char"/>
    <w:aliases w:val="3_G Char"/>
    <w:basedOn w:val="DefaultParagraphFont"/>
    <w:link w:val="Footer"/>
    <w:uiPriority w:val="99"/>
    <w:semiHidden/>
    <w:rsid w:val="0099069F"/>
    <w:rPr>
      <w:sz w:val="20"/>
      <w:szCs w:val="20"/>
      <w:lang w:val="en-GB" w:eastAsia="en-US"/>
    </w:rPr>
  </w:style>
  <w:style w:type="paragraph" w:customStyle="1" w:styleId="Bullet2G">
    <w:name w:val="_Bullet 2_G"/>
    <w:basedOn w:val="Normal"/>
    <w:uiPriority w:val="99"/>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rsid w:val="000272B3"/>
    <w:pPr>
      <w:keepNext/>
      <w:keepLines/>
      <w:tabs>
        <w:tab w:val="right" w:pos="851"/>
      </w:tabs>
      <w:spacing w:before="240" w:after="120" w:line="240" w:lineRule="exact"/>
      <w:ind w:left="1134" w:right="1134" w:hanging="1134"/>
    </w:pPr>
  </w:style>
  <w:style w:type="character" w:customStyle="1" w:styleId="FootnoteTextChar1">
    <w:name w:val="Footnote Text Char1"/>
    <w:aliases w:val="5_G Char1"/>
    <w:link w:val="FootnoteText"/>
    <w:locked/>
    <w:rsid w:val="008216A5"/>
    <w:rPr>
      <w:rFonts w:eastAsia="SimSun"/>
      <w:sz w:val="18"/>
      <w:szCs w:val="20"/>
      <w:lang w:val="en-GB" w:eastAsia="zh-CN"/>
    </w:rPr>
  </w:style>
  <w:style w:type="character" w:customStyle="1" w:styleId="sb8d990e2">
    <w:name w:val="sb8d990e2"/>
    <w:rsid w:val="001A09DE"/>
  </w:style>
  <w:style w:type="paragraph" w:customStyle="1" w:styleId="Default">
    <w:name w:val="Default"/>
    <w:uiPriority w:val="99"/>
    <w:rsid w:val="00E40420"/>
    <w:pPr>
      <w:autoSpaceDE w:val="0"/>
      <w:autoSpaceDN w:val="0"/>
      <w:adjustRightInd w:val="0"/>
    </w:pPr>
    <w:rPr>
      <w:color w:val="000000"/>
      <w:sz w:val="24"/>
      <w:szCs w:val="24"/>
      <w:lang w:val="en-GB" w:eastAsia="en-GB"/>
    </w:rPr>
  </w:style>
  <w:style w:type="paragraph" w:customStyle="1" w:styleId="CM55">
    <w:name w:val="CM55"/>
    <w:basedOn w:val="Default"/>
    <w:next w:val="Default"/>
    <w:uiPriority w:val="99"/>
    <w:rsid w:val="00E40420"/>
    <w:rPr>
      <w:color w:val="auto"/>
    </w:rPr>
  </w:style>
  <w:style w:type="character" w:customStyle="1" w:styleId="SingleTxtGChar">
    <w:name w:val="_ Single Txt_G Char"/>
    <w:link w:val="SingleTxtG"/>
    <w:locked/>
    <w:rsid w:val="00FF7920"/>
    <w:rPr>
      <w:lang w:val="x-none" w:eastAsia="en-US"/>
    </w:rPr>
  </w:style>
  <w:style w:type="character" w:styleId="CommentReference">
    <w:name w:val="annotation reference"/>
    <w:basedOn w:val="DefaultParagraphFont"/>
    <w:uiPriority w:val="99"/>
    <w:rsid w:val="00161B02"/>
    <w:rPr>
      <w:rFonts w:cs="Times New Roman"/>
      <w:sz w:val="16"/>
    </w:rPr>
  </w:style>
  <w:style w:type="paragraph" w:styleId="CommentText">
    <w:name w:val="annotation text"/>
    <w:basedOn w:val="Normal"/>
    <w:link w:val="CommentTextChar"/>
    <w:uiPriority w:val="99"/>
    <w:rsid w:val="00161B02"/>
  </w:style>
  <w:style w:type="character" w:customStyle="1" w:styleId="CommentTextChar">
    <w:name w:val="Comment Text Char"/>
    <w:basedOn w:val="DefaultParagraphFont"/>
    <w:link w:val="CommentText"/>
    <w:uiPriority w:val="99"/>
    <w:locked/>
    <w:rsid w:val="00161B02"/>
    <w:rPr>
      <w:lang w:val="x-none" w:eastAsia="en-US"/>
    </w:rPr>
  </w:style>
  <w:style w:type="paragraph" w:styleId="CommentSubject">
    <w:name w:val="annotation subject"/>
    <w:basedOn w:val="CommentText"/>
    <w:next w:val="CommentText"/>
    <w:link w:val="CommentSubjectChar"/>
    <w:uiPriority w:val="99"/>
    <w:rsid w:val="00161B02"/>
    <w:rPr>
      <w:b/>
      <w:bCs/>
    </w:rPr>
  </w:style>
  <w:style w:type="character" w:customStyle="1" w:styleId="CommentSubjectChar">
    <w:name w:val="Comment Subject Char"/>
    <w:basedOn w:val="CommentTextChar"/>
    <w:link w:val="CommentSubject"/>
    <w:uiPriority w:val="99"/>
    <w:locked/>
    <w:rsid w:val="00161B02"/>
    <w:rPr>
      <w:b/>
      <w:lang w:val="x-none" w:eastAsia="en-US"/>
    </w:rPr>
  </w:style>
  <w:style w:type="character" w:styleId="FootnoteReference">
    <w:name w:val="footnote reference"/>
    <w:aliases w:val="4_G"/>
    <w:qFormat/>
    <w:locked/>
    <w:rsid w:val="00676A08"/>
    <w:rPr>
      <w:rFonts w:ascii="Times New Roman" w:hAnsi="Times New Roman"/>
      <w:sz w:val="18"/>
      <w:vertAlign w:val="superscript"/>
    </w:rPr>
  </w:style>
  <w:style w:type="paragraph" w:customStyle="1" w:styleId="SingleTxt">
    <w:name w:val="__Single Txt"/>
    <w:basedOn w:val="Normal"/>
    <w:rsid w:val="00C36CA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EastAsia"/>
      <w:spacing w:val="4"/>
      <w:w w:val="103"/>
      <w:kern w:val="14"/>
      <w:lang w:eastAsia="zh-CN"/>
    </w:rPr>
  </w:style>
  <w:style w:type="paragraph" w:styleId="Revision">
    <w:name w:val="Revision"/>
    <w:hidden/>
    <w:uiPriority w:val="99"/>
    <w:semiHidden/>
    <w:rsid w:val="00AB5D75"/>
    <w:rPr>
      <w:sz w:val="20"/>
      <w:szCs w:val="20"/>
      <w:lang w:val="en-GB" w:eastAsia="en-US"/>
    </w:rPr>
  </w:style>
  <w:style w:type="character" w:customStyle="1" w:styleId="s32a37344">
    <w:name w:val="s32a37344"/>
    <w:rsid w:val="00956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64858">
      <w:marLeft w:val="0"/>
      <w:marRight w:val="0"/>
      <w:marTop w:val="0"/>
      <w:marBottom w:val="0"/>
      <w:divBdr>
        <w:top w:val="none" w:sz="0" w:space="0" w:color="auto"/>
        <w:left w:val="none" w:sz="0" w:space="0" w:color="auto"/>
        <w:bottom w:val="none" w:sz="0" w:space="0" w:color="auto"/>
        <w:right w:val="none" w:sz="0" w:space="0" w:color="auto"/>
      </w:divBdr>
    </w:div>
    <w:div w:id="527064859">
      <w:marLeft w:val="0"/>
      <w:marRight w:val="0"/>
      <w:marTop w:val="0"/>
      <w:marBottom w:val="0"/>
      <w:divBdr>
        <w:top w:val="none" w:sz="0" w:space="0" w:color="auto"/>
        <w:left w:val="none" w:sz="0" w:space="0" w:color="auto"/>
        <w:bottom w:val="none" w:sz="0" w:space="0" w:color="auto"/>
        <w:right w:val="none" w:sz="0" w:space="0" w:color="auto"/>
      </w:divBdr>
      <w:divsChild>
        <w:div w:id="527064865">
          <w:marLeft w:val="0"/>
          <w:marRight w:val="0"/>
          <w:marTop w:val="0"/>
          <w:marBottom w:val="0"/>
          <w:divBdr>
            <w:top w:val="none" w:sz="0" w:space="0" w:color="auto"/>
            <w:left w:val="single" w:sz="6" w:space="0" w:color="414141"/>
            <w:bottom w:val="none" w:sz="0" w:space="0" w:color="auto"/>
            <w:right w:val="single" w:sz="6" w:space="0" w:color="414141"/>
          </w:divBdr>
          <w:divsChild>
            <w:div w:id="527064861">
              <w:marLeft w:val="0"/>
              <w:marRight w:val="0"/>
              <w:marTop w:val="0"/>
              <w:marBottom w:val="0"/>
              <w:divBdr>
                <w:top w:val="none" w:sz="0" w:space="0" w:color="auto"/>
                <w:left w:val="none" w:sz="0" w:space="0" w:color="auto"/>
                <w:bottom w:val="none" w:sz="0" w:space="0" w:color="auto"/>
                <w:right w:val="none" w:sz="0" w:space="0" w:color="auto"/>
              </w:divBdr>
              <w:divsChild>
                <w:div w:id="5270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4860">
      <w:marLeft w:val="0"/>
      <w:marRight w:val="0"/>
      <w:marTop w:val="0"/>
      <w:marBottom w:val="0"/>
      <w:divBdr>
        <w:top w:val="none" w:sz="0" w:space="0" w:color="auto"/>
        <w:left w:val="none" w:sz="0" w:space="0" w:color="auto"/>
        <w:bottom w:val="none" w:sz="0" w:space="0" w:color="auto"/>
        <w:right w:val="none" w:sz="0" w:space="0" w:color="auto"/>
      </w:divBdr>
    </w:div>
    <w:div w:id="527064862">
      <w:marLeft w:val="0"/>
      <w:marRight w:val="0"/>
      <w:marTop w:val="0"/>
      <w:marBottom w:val="0"/>
      <w:divBdr>
        <w:top w:val="none" w:sz="0" w:space="0" w:color="auto"/>
        <w:left w:val="none" w:sz="0" w:space="0" w:color="auto"/>
        <w:bottom w:val="none" w:sz="0" w:space="0" w:color="auto"/>
        <w:right w:val="none" w:sz="0" w:space="0" w:color="auto"/>
      </w:divBdr>
    </w:div>
    <w:div w:id="527064863">
      <w:marLeft w:val="0"/>
      <w:marRight w:val="0"/>
      <w:marTop w:val="0"/>
      <w:marBottom w:val="0"/>
      <w:divBdr>
        <w:top w:val="none" w:sz="0" w:space="0" w:color="auto"/>
        <w:left w:val="none" w:sz="0" w:space="0" w:color="auto"/>
        <w:bottom w:val="none" w:sz="0" w:space="0" w:color="auto"/>
        <w:right w:val="none" w:sz="0" w:space="0" w:color="auto"/>
      </w:divBdr>
    </w:div>
    <w:div w:id="527064864">
      <w:marLeft w:val="0"/>
      <w:marRight w:val="0"/>
      <w:marTop w:val="0"/>
      <w:marBottom w:val="0"/>
      <w:divBdr>
        <w:top w:val="none" w:sz="0" w:space="0" w:color="auto"/>
        <w:left w:val="none" w:sz="0" w:space="0" w:color="auto"/>
        <w:bottom w:val="none" w:sz="0" w:space="0" w:color="auto"/>
        <w:right w:val="none" w:sz="0" w:space="0" w:color="auto"/>
      </w:divBdr>
    </w:div>
    <w:div w:id="527064866">
      <w:marLeft w:val="0"/>
      <w:marRight w:val="0"/>
      <w:marTop w:val="0"/>
      <w:marBottom w:val="0"/>
      <w:divBdr>
        <w:top w:val="none" w:sz="0" w:space="0" w:color="auto"/>
        <w:left w:val="none" w:sz="0" w:space="0" w:color="auto"/>
        <w:bottom w:val="none" w:sz="0" w:space="0" w:color="auto"/>
        <w:right w:val="none" w:sz="0" w:space="0" w:color="auto"/>
      </w:divBdr>
    </w:div>
    <w:div w:id="527064868">
      <w:marLeft w:val="0"/>
      <w:marRight w:val="0"/>
      <w:marTop w:val="0"/>
      <w:marBottom w:val="0"/>
      <w:divBdr>
        <w:top w:val="none" w:sz="0" w:space="0" w:color="auto"/>
        <w:left w:val="none" w:sz="0" w:space="0" w:color="auto"/>
        <w:bottom w:val="none" w:sz="0" w:space="0" w:color="auto"/>
        <w:right w:val="none" w:sz="0" w:space="0" w:color="auto"/>
      </w:divBdr>
    </w:div>
    <w:div w:id="527064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025FB-6F84-4CBF-BB45-CD1F57EB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6</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1614939</vt:lpstr>
    </vt:vector>
  </TitlesOfParts>
  <Company>CSD</Company>
  <LinksUpToDate>false</LinksUpToDate>
  <CharactersWithSpaces>16209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1614939</dc:title>
  <dc:subject>CCPR/C/117/D/2101/2011</dc:subject>
  <dc:creator>temp Neogi</dc:creator>
  <cp:keywords/>
  <dc:description/>
  <cp:lastModifiedBy>Sarah Willig</cp:lastModifiedBy>
  <cp:revision>2</cp:revision>
  <cp:lastPrinted>2016-07-26T09:17:00Z</cp:lastPrinted>
  <dcterms:created xsi:type="dcterms:W3CDTF">2017-03-28T18:51:00Z</dcterms:created>
  <dcterms:modified xsi:type="dcterms:W3CDTF">2017-03-28T18:51:00Z</dcterms:modified>
</cp:coreProperties>
</file>