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B850F5" w:rsidP="005F6F51">
            <w:pPr>
              <w:jc w:val="right"/>
            </w:pPr>
            <w:r w:rsidRPr="00B850F5">
              <w:rPr>
                <w:sz w:val="40"/>
              </w:rPr>
              <w:t>CCPR</w:t>
            </w:r>
            <w:r>
              <w:t>/C/111/D/2103/2011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BC4EA1"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F94E2E" w:rsidRPr="00267F5F" w:rsidRDefault="00F94E2E" w:rsidP="00267F5F">
            <w:pPr>
              <w:spacing w:before="120" w:line="380" w:lineRule="exact"/>
              <w:rPr>
                <w:sz w:val="34"/>
              </w:rPr>
            </w:pPr>
          </w:p>
        </w:tc>
        <w:tc>
          <w:tcPr>
            <w:tcW w:w="2835" w:type="dxa"/>
            <w:tcBorders>
              <w:top w:val="single" w:sz="4" w:space="0" w:color="auto"/>
              <w:bottom w:val="single" w:sz="12" w:space="0" w:color="auto"/>
            </w:tcBorders>
          </w:tcPr>
          <w:p w:rsidR="00B56E9C" w:rsidRDefault="00B850F5" w:rsidP="00B850F5">
            <w:pPr>
              <w:spacing w:before="240" w:line="240" w:lineRule="exact"/>
            </w:pPr>
            <w:r>
              <w:t xml:space="preserve">Distr.: </w:t>
            </w:r>
            <w:r w:rsidR="00822D9B">
              <w:t>General</w:t>
            </w:r>
          </w:p>
          <w:p w:rsidR="00B850F5" w:rsidRDefault="00DF569D" w:rsidP="00B850F5">
            <w:pPr>
              <w:spacing w:line="240" w:lineRule="exact"/>
            </w:pPr>
            <w:r>
              <w:t>20</w:t>
            </w:r>
            <w:r w:rsidR="001368C5">
              <w:t xml:space="preserve"> October</w:t>
            </w:r>
            <w:r w:rsidR="00B850F5">
              <w:t xml:space="preserve"> 2014</w:t>
            </w:r>
          </w:p>
          <w:p w:rsidR="00B850F5" w:rsidRDefault="00B850F5" w:rsidP="00B850F5">
            <w:pPr>
              <w:spacing w:line="240" w:lineRule="exact"/>
            </w:pPr>
          </w:p>
          <w:p w:rsidR="00B850F5" w:rsidRDefault="00B850F5" w:rsidP="00B850F5">
            <w:pPr>
              <w:spacing w:line="240" w:lineRule="exact"/>
            </w:pPr>
            <w:r>
              <w:t>Original: English</w:t>
            </w:r>
          </w:p>
        </w:tc>
      </w:tr>
    </w:tbl>
    <w:p w:rsidR="00733E39" w:rsidRDefault="00733E39" w:rsidP="00733E39">
      <w:pPr>
        <w:spacing w:before="120"/>
        <w:rPr>
          <w:rFonts w:ascii="Times New Roman Bold" w:eastAsia="Times New Roman Bold" w:hAnsi="Times New Roman Bold" w:cs="Times New Roman Bold"/>
          <w:sz w:val="24"/>
          <w:szCs w:val="24"/>
        </w:rPr>
      </w:pPr>
      <w:r>
        <w:rPr>
          <w:rFonts w:ascii="Times New Roman Bold"/>
          <w:sz w:val="24"/>
          <w:szCs w:val="24"/>
        </w:rPr>
        <w:t>Human Rights Committee</w:t>
      </w:r>
    </w:p>
    <w:p w:rsidR="00733E39" w:rsidRDefault="00733E39" w:rsidP="00733E39">
      <w:pPr>
        <w:pStyle w:val="HChG"/>
      </w:pPr>
      <w:r>
        <w:rPr>
          <w:rFonts w:eastAsia="Arial Unicode MS" w:hAnsi="Arial Unicode MS" w:cs="Arial Unicode MS"/>
        </w:rPr>
        <w:tab/>
      </w:r>
      <w:r>
        <w:rPr>
          <w:rFonts w:eastAsia="Arial Unicode MS" w:hAnsi="Arial Unicode MS" w:cs="Arial Unicode MS"/>
        </w:rPr>
        <w:tab/>
        <w:t>Communication No. 2103/2011</w:t>
      </w:r>
    </w:p>
    <w:p w:rsidR="00733E39" w:rsidRDefault="00733E39" w:rsidP="00733E39">
      <w:pPr>
        <w:pStyle w:val="H1G"/>
        <w:rPr>
          <w:b w:val="0"/>
          <w:bCs/>
          <w:i/>
          <w:iCs/>
        </w:rPr>
      </w:pPr>
      <w:r>
        <w:rPr>
          <w:rFonts w:eastAsia="Arial Unicode MS" w:hAnsi="Arial Unicode MS" w:cs="Arial Unicode MS"/>
        </w:rPr>
        <w:tab/>
      </w:r>
      <w:r>
        <w:rPr>
          <w:rFonts w:eastAsia="Arial Unicode MS" w:hAnsi="Arial Unicode MS" w:cs="Arial Unicode MS"/>
        </w:rPr>
        <w:tab/>
      </w:r>
      <w:r w:rsidR="005F6F51" w:rsidRPr="005F6F51">
        <w:rPr>
          <w:rFonts w:eastAsia="Arial Unicode MS" w:hAnsi="Arial Unicode MS" w:cs="Arial Unicode MS"/>
        </w:rPr>
        <w:t>Views adopted by the Committee at its 111</w:t>
      </w:r>
      <w:r w:rsidR="005F6F51" w:rsidRPr="007770F4">
        <w:rPr>
          <w:rFonts w:eastAsia="Arial Unicode MS" w:hAnsi="Arial Unicode MS" w:cs="Arial Unicode MS"/>
        </w:rPr>
        <w:t>th</w:t>
      </w:r>
      <w:r w:rsidR="005F6F51" w:rsidRPr="005F6F51">
        <w:rPr>
          <w:rFonts w:eastAsia="Arial Unicode MS" w:hAnsi="Arial Unicode MS" w:cs="Arial Unicode MS"/>
        </w:rPr>
        <w:t xml:space="preserve"> session</w:t>
      </w:r>
      <w:r w:rsidR="005F6F51" w:rsidRPr="005F6F51">
        <w:rPr>
          <w:rFonts w:eastAsia="Arial Unicode MS" w:hAnsi="Arial Unicode MS" w:cs="Arial Unicode MS"/>
        </w:rPr>
        <w:br/>
        <w:t>(7</w:t>
      </w:r>
      <w:r w:rsidR="001368C5">
        <w:rPr>
          <w:rFonts w:eastAsia="Arial Unicode MS" w:hAnsi="Arial Unicode MS" w:cs="Arial Unicode MS"/>
        </w:rPr>
        <w:t>–</w:t>
      </w:r>
      <w:r w:rsidR="005F6F51" w:rsidRPr="005F6F51">
        <w:rPr>
          <w:rFonts w:eastAsia="Arial Unicode MS" w:hAnsi="Arial Unicode MS" w:cs="Arial Unicode MS"/>
        </w:rPr>
        <w:t>25 July 2014)</w:t>
      </w:r>
    </w:p>
    <w:p w:rsidR="00733E39" w:rsidRDefault="00733E39" w:rsidP="00733E39">
      <w:pPr>
        <w:pStyle w:val="SingleTxtG"/>
        <w:ind w:left="4536" w:hanging="3402"/>
      </w:pPr>
      <w:r>
        <w:rPr>
          <w:i/>
          <w:iCs/>
        </w:rPr>
        <w:t>Submitted by</w:t>
      </w:r>
      <w:r w:rsidRPr="007770F4">
        <w:t>:</w:t>
      </w:r>
      <w:r>
        <w:tab/>
        <w:t>Vasily Poliakov (not represented by counsel)</w:t>
      </w:r>
    </w:p>
    <w:p w:rsidR="00733E39" w:rsidRDefault="00733E39" w:rsidP="00733E39">
      <w:pPr>
        <w:pStyle w:val="SingleTxtG"/>
        <w:ind w:left="4536" w:hanging="3402"/>
      </w:pPr>
      <w:r>
        <w:rPr>
          <w:i/>
          <w:iCs/>
        </w:rPr>
        <w:t>Alleged victim</w:t>
      </w:r>
      <w:r w:rsidRPr="007770F4">
        <w:t>:</w:t>
      </w:r>
      <w:r>
        <w:tab/>
        <w:t>The author</w:t>
      </w:r>
    </w:p>
    <w:p w:rsidR="00733E39" w:rsidRDefault="00733E39" w:rsidP="00733E39">
      <w:pPr>
        <w:pStyle w:val="SingleTxtG"/>
        <w:ind w:left="4536" w:hanging="3402"/>
      </w:pPr>
      <w:r>
        <w:rPr>
          <w:i/>
          <w:iCs/>
        </w:rPr>
        <w:t>State party</w:t>
      </w:r>
      <w:r w:rsidRPr="007770F4">
        <w:t>:</w:t>
      </w:r>
      <w:r>
        <w:tab/>
        <w:t>Belarus</w:t>
      </w:r>
    </w:p>
    <w:p w:rsidR="00733E39" w:rsidRDefault="00733E39" w:rsidP="00733E39">
      <w:pPr>
        <w:pStyle w:val="SingleTxtG"/>
        <w:ind w:left="4536" w:hanging="3402"/>
      </w:pPr>
      <w:r>
        <w:rPr>
          <w:i/>
          <w:iCs/>
        </w:rPr>
        <w:t>Date of communication</w:t>
      </w:r>
      <w:r w:rsidRPr="007770F4">
        <w:t>:</w:t>
      </w:r>
      <w:r>
        <w:tab/>
        <w:t>10 September 2011 (initial submission)</w:t>
      </w:r>
    </w:p>
    <w:p w:rsidR="00733E39" w:rsidRDefault="00733E39" w:rsidP="00A2605D">
      <w:pPr>
        <w:pStyle w:val="SingleTxtG"/>
        <w:ind w:left="4536" w:hanging="3402"/>
        <w:jc w:val="left"/>
      </w:pPr>
      <w:r>
        <w:rPr>
          <w:i/>
          <w:iCs/>
        </w:rPr>
        <w:t>Document references</w:t>
      </w:r>
      <w:r w:rsidRPr="007770F4">
        <w:t>:</w:t>
      </w:r>
      <w:r>
        <w:tab/>
        <w:t xml:space="preserve">Special Rapporteur’s rule 97 decision, transmitted to the State party on 26 September 2011 (not issued in document form); </w:t>
      </w:r>
    </w:p>
    <w:p w:rsidR="00733E39" w:rsidRDefault="00733E39" w:rsidP="00733E39">
      <w:pPr>
        <w:pStyle w:val="SingleTxtG"/>
        <w:ind w:left="4536" w:hanging="3402"/>
      </w:pPr>
      <w:r>
        <w:rPr>
          <w:i/>
          <w:iCs/>
        </w:rPr>
        <w:t>Date of adoption of Views</w:t>
      </w:r>
      <w:r w:rsidRPr="007770F4">
        <w:t>:</w:t>
      </w:r>
      <w:r>
        <w:tab/>
      </w:r>
      <w:r w:rsidR="005F6F51">
        <w:t xml:space="preserve">17 </w:t>
      </w:r>
      <w:r>
        <w:t>July 2014</w:t>
      </w:r>
    </w:p>
    <w:p w:rsidR="00733E39" w:rsidRDefault="00733E39" w:rsidP="00A2605D">
      <w:pPr>
        <w:pStyle w:val="SingleTxtG"/>
        <w:ind w:left="4536" w:hanging="3402"/>
        <w:jc w:val="left"/>
        <w:rPr>
          <w:i/>
          <w:iCs/>
        </w:rPr>
      </w:pPr>
      <w:r>
        <w:rPr>
          <w:i/>
          <w:iCs/>
        </w:rPr>
        <w:t>Subject matter</w:t>
      </w:r>
      <w:r w:rsidRPr="007770F4">
        <w:t>:</w:t>
      </w:r>
      <w:r>
        <w:rPr>
          <w:i/>
          <w:iCs/>
        </w:rPr>
        <w:tab/>
      </w:r>
      <w:r>
        <w:rPr>
          <w:i/>
          <w:iCs/>
        </w:rPr>
        <w:tab/>
      </w:r>
      <w:r>
        <w:t xml:space="preserve">The author was convicted of an administrative offence for distributing </w:t>
      </w:r>
      <w:r w:rsidR="004079BE">
        <w:t>“</w:t>
      </w:r>
      <w:r w:rsidR="00072EDF">
        <w:t>greeting cards</w:t>
      </w:r>
      <w:r w:rsidR="004079BE">
        <w:t>”</w:t>
      </w:r>
    </w:p>
    <w:p w:rsidR="00733E39" w:rsidRDefault="00812BB2" w:rsidP="00A2605D">
      <w:pPr>
        <w:pStyle w:val="SingleTxtG"/>
        <w:ind w:left="4536" w:hanging="3402"/>
        <w:jc w:val="left"/>
      </w:pPr>
      <w:r>
        <w:rPr>
          <w:i/>
          <w:iCs/>
        </w:rPr>
        <w:t>Substantive issues</w:t>
      </w:r>
      <w:r w:rsidRPr="007770F4">
        <w:t>:</w:t>
      </w:r>
      <w:r w:rsidR="00733E39">
        <w:rPr>
          <w:i/>
          <w:iCs/>
        </w:rPr>
        <w:tab/>
      </w:r>
      <w:r w:rsidR="00733E39">
        <w:t>Freedom to impart information, fair trial, effective remedy</w:t>
      </w:r>
    </w:p>
    <w:p w:rsidR="001368C5" w:rsidRDefault="001368C5" w:rsidP="00D3549A">
      <w:pPr>
        <w:pStyle w:val="SingleTxtG"/>
        <w:ind w:left="4536" w:hanging="3402"/>
        <w:jc w:val="left"/>
      </w:pPr>
      <w:r>
        <w:rPr>
          <w:i/>
          <w:iCs/>
        </w:rPr>
        <w:t>Procedural issues</w:t>
      </w:r>
      <w:r w:rsidRPr="007770F4">
        <w:t>:</w:t>
      </w:r>
      <w:r>
        <w:rPr>
          <w:i/>
          <w:iCs/>
        </w:rPr>
        <w:tab/>
      </w:r>
      <w:r>
        <w:tab/>
        <w:t>Non-exhaustion</w:t>
      </w:r>
    </w:p>
    <w:p w:rsidR="00733E39" w:rsidRDefault="00733E39" w:rsidP="00A2605D">
      <w:pPr>
        <w:pStyle w:val="SingleTxtG"/>
        <w:ind w:left="4536" w:hanging="3402"/>
        <w:jc w:val="left"/>
      </w:pPr>
      <w:r>
        <w:rPr>
          <w:i/>
          <w:iCs/>
        </w:rPr>
        <w:t>Articles of the Covenant</w:t>
      </w:r>
      <w:r w:rsidRPr="007770F4">
        <w:t>:</w:t>
      </w:r>
      <w:r>
        <w:tab/>
        <w:t xml:space="preserve">14 </w:t>
      </w:r>
      <w:r w:rsidR="001368C5">
        <w:t>(</w:t>
      </w:r>
      <w:r>
        <w:t>para</w:t>
      </w:r>
      <w:r w:rsidR="001368C5">
        <w:t>.</w:t>
      </w:r>
      <w:r>
        <w:t xml:space="preserve"> 1</w:t>
      </w:r>
      <w:r w:rsidR="001368C5">
        <w:t>);</w:t>
      </w:r>
      <w:r>
        <w:t xml:space="preserve"> 19 </w:t>
      </w:r>
      <w:r w:rsidR="001368C5">
        <w:t>(</w:t>
      </w:r>
      <w:r>
        <w:t>para</w:t>
      </w:r>
      <w:r w:rsidR="001368C5">
        <w:t>.</w:t>
      </w:r>
      <w:r>
        <w:t xml:space="preserve"> 2</w:t>
      </w:r>
      <w:r w:rsidR="001368C5">
        <w:t>);</w:t>
      </w:r>
      <w:r>
        <w:t xml:space="preserve"> 2 </w:t>
      </w:r>
      <w:r w:rsidR="001368C5">
        <w:t>(</w:t>
      </w:r>
      <w:r>
        <w:t>para</w:t>
      </w:r>
      <w:r w:rsidR="001368C5">
        <w:t>.</w:t>
      </w:r>
      <w:r>
        <w:t xml:space="preserve"> 2</w:t>
      </w:r>
      <w:r w:rsidR="001368C5">
        <w:t>)</w:t>
      </w:r>
    </w:p>
    <w:p w:rsidR="00733E39" w:rsidRDefault="00733E39" w:rsidP="00733E39">
      <w:pPr>
        <w:pStyle w:val="SingleTxtG"/>
        <w:ind w:left="4536" w:hanging="3402"/>
      </w:pPr>
      <w:r>
        <w:rPr>
          <w:i/>
          <w:iCs/>
        </w:rPr>
        <w:t>Art</w:t>
      </w:r>
      <w:r w:rsidR="00812BB2">
        <w:rPr>
          <w:i/>
          <w:iCs/>
        </w:rPr>
        <w:t>icles of the Optional Protocol</w:t>
      </w:r>
      <w:r w:rsidR="00812BB2" w:rsidRPr="007770F4">
        <w:t>:</w:t>
      </w:r>
      <w:r>
        <w:rPr>
          <w:i/>
          <w:iCs/>
        </w:rPr>
        <w:tab/>
      </w:r>
      <w:r>
        <w:t>2</w:t>
      </w:r>
      <w:r w:rsidR="001368C5">
        <w:t>;</w:t>
      </w:r>
      <w:r>
        <w:t xml:space="preserve"> 5 </w:t>
      </w:r>
      <w:r w:rsidR="001368C5">
        <w:t>(</w:t>
      </w:r>
      <w:r>
        <w:t>para</w:t>
      </w:r>
      <w:r w:rsidR="001368C5">
        <w:t>.</w:t>
      </w:r>
      <w:r>
        <w:t xml:space="preserve"> 2 (b)</w:t>
      </w:r>
      <w:r w:rsidR="001368C5">
        <w:t>)</w:t>
      </w:r>
    </w:p>
    <w:p w:rsidR="00733E39" w:rsidRDefault="00BC4EA1" w:rsidP="00733E39">
      <w:pPr>
        <w:pStyle w:val="HChG"/>
      </w:pPr>
      <w:r>
        <w:rPr>
          <w:noProof/>
          <w:lang w:eastAsia="zh-CN"/>
        </w:rPr>
        <w:pict>
          <v:shape id="_x0000_s1026" type="#_x0000_t75" style="position:absolute;left:0;text-align:left;margin-left:431.8pt;margin-top:631.85pt;width:50.25pt;height:50.25pt;z-index:1;mso-position-horizontal-relative:margin;mso-position-vertical-relative:margin" o:allowoverlap="f">
            <v:imagedata r:id="rId8" o:title="QRCode"/>
            <w10:wrap anchorx="margin" anchory="margin"/>
          </v:shape>
        </w:pict>
      </w:r>
      <w:r w:rsidR="00733E39">
        <w:br w:type="page"/>
      </w:r>
      <w:r w:rsidR="00733E39">
        <w:rPr>
          <w:rFonts w:eastAsia="Arial Unicode MS" w:hAnsi="Arial Unicode MS" w:cs="Arial Unicode MS"/>
        </w:rPr>
        <w:lastRenderedPageBreak/>
        <w:t>Annex</w:t>
      </w:r>
    </w:p>
    <w:p w:rsidR="00733E39" w:rsidRDefault="00733E39" w:rsidP="00733E39">
      <w:pPr>
        <w:pStyle w:val="HChG"/>
      </w:pPr>
      <w:r>
        <w:rPr>
          <w:rFonts w:eastAsia="Arial Unicode MS" w:hAnsi="Arial Unicode MS" w:cs="Arial Unicode MS"/>
        </w:rPr>
        <w:tab/>
      </w:r>
      <w:r>
        <w:rPr>
          <w:rFonts w:eastAsia="Arial Unicode MS" w:hAnsi="Arial Unicode MS" w:cs="Arial Unicode MS"/>
        </w:rPr>
        <w:tab/>
        <w:t>Views of the Human Rights Committee under article 5, paragraph 4</w:t>
      </w:r>
      <w:r w:rsidR="007518BB">
        <w:rPr>
          <w:rFonts w:eastAsia="Arial Unicode MS" w:hAnsi="Arial Unicode MS" w:cs="Arial Unicode MS"/>
        </w:rPr>
        <w:t>,</w:t>
      </w:r>
      <w:r>
        <w:rPr>
          <w:rFonts w:eastAsia="Arial Unicode MS" w:hAnsi="Arial Unicode MS" w:cs="Arial Unicode MS"/>
        </w:rPr>
        <w:t xml:space="preserve"> of the Optional Protocol to the International Covenant on Civil and Political Rights (111</w:t>
      </w:r>
      <w:r w:rsidRPr="007770F4">
        <w:rPr>
          <w:rFonts w:eastAsia="Arial Unicode MS" w:hAnsi="Arial Unicode MS" w:cs="Arial Unicode MS"/>
        </w:rPr>
        <w:t>th</w:t>
      </w:r>
      <w:r>
        <w:rPr>
          <w:rFonts w:eastAsia="Arial Unicode MS" w:hAnsi="Arial Unicode MS" w:cs="Arial Unicode MS"/>
        </w:rPr>
        <w:t xml:space="preserve"> session)</w:t>
      </w:r>
    </w:p>
    <w:p w:rsidR="00733E39" w:rsidRDefault="00733E39" w:rsidP="00733E39">
      <w:pPr>
        <w:pStyle w:val="SingleTxtG"/>
      </w:pPr>
      <w:r>
        <w:t>concerning</w:t>
      </w:r>
    </w:p>
    <w:p w:rsidR="00733E39" w:rsidRDefault="00733E39" w:rsidP="00733E39">
      <w:pPr>
        <w:pStyle w:val="H1G"/>
        <w:rPr>
          <w:b w:val="0"/>
          <w:bCs/>
          <w:i/>
          <w:iCs/>
        </w:rPr>
      </w:pPr>
      <w:r>
        <w:rPr>
          <w:rFonts w:eastAsia="Arial Unicode MS" w:hAnsi="Arial Unicode MS" w:cs="Arial Unicode MS"/>
        </w:rPr>
        <w:tab/>
      </w:r>
      <w:r>
        <w:rPr>
          <w:rFonts w:eastAsia="Arial Unicode MS" w:hAnsi="Arial Unicode MS" w:cs="Arial Unicode MS"/>
        </w:rPr>
        <w:tab/>
        <w:t>Communication No. 2103/2011</w:t>
      </w:r>
      <w:r w:rsidR="005F6F51" w:rsidRPr="007770F4">
        <w:rPr>
          <w:rStyle w:val="FootnoteReference"/>
          <w:b w:val="0"/>
          <w:bCs/>
          <w:sz w:val="20"/>
          <w:vertAlign w:val="baseline"/>
        </w:rPr>
        <w:footnoteReference w:customMarkFollows="1" w:id="2"/>
        <w:t>*</w:t>
      </w:r>
    </w:p>
    <w:p w:rsidR="00733E39" w:rsidRDefault="00733E39" w:rsidP="00812BB2">
      <w:pPr>
        <w:pStyle w:val="SingleTxtG"/>
        <w:ind w:left="4536" w:hanging="3402"/>
        <w:jc w:val="left"/>
      </w:pPr>
      <w:r>
        <w:rPr>
          <w:i/>
          <w:iCs/>
        </w:rPr>
        <w:t>Submitted by</w:t>
      </w:r>
      <w:r w:rsidRPr="007770F4">
        <w:t>:</w:t>
      </w:r>
      <w:r>
        <w:tab/>
        <w:t>Vasily Poliakov (not represented by counsel)</w:t>
      </w:r>
    </w:p>
    <w:p w:rsidR="00733E39" w:rsidRDefault="00733E39" w:rsidP="00812BB2">
      <w:pPr>
        <w:pStyle w:val="SingleTxtG"/>
        <w:ind w:left="4536" w:hanging="3402"/>
        <w:jc w:val="left"/>
      </w:pPr>
      <w:r>
        <w:rPr>
          <w:i/>
          <w:iCs/>
        </w:rPr>
        <w:t>Alleged victim</w:t>
      </w:r>
      <w:r w:rsidRPr="007770F4">
        <w:t>:</w:t>
      </w:r>
      <w:r>
        <w:tab/>
        <w:t>The author</w:t>
      </w:r>
    </w:p>
    <w:p w:rsidR="00733E39" w:rsidRDefault="00733E39" w:rsidP="00812BB2">
      <w:pPr>
        <w:pStyle w:val="SingleTxtG"/>
        <w:ind w:left="4536" w:hanging="3402"/>
        <w:jc w:val="left"/>
      </w:pPr>
      <w:r>
        <w:rPr>
          <w:i/>
          <w:iCs/>
        </w:rPr>
        <w:t>State party</w:t>
      </w:r>
      <w:r w:rsidRPr="007770F4">
        <w:t>:</w:t>
      </w:r>
      <w:r>
        <w:tab/>
      </w:r>
      <w:smartTag w:uri="urn:schemas-microsoft-com:office:smarttags" w:element="country-region">
        <w:smartTag w:uri="urn:schemas-microsoft-com:office:smarttags" w:element="place">
          <w:r>
            <w:t>Belarus</w:t>
          </w:r>
        </w:smartTag>
      </w:smartTag>
    </w:p>
    <w:p w:rsidR="00733E39" w:rsidRDefault="00733E39" w:rsidP="00812BB2">
      <w:pPr>
        <w:pStyle w:val="SingleTxtG"/>
        <w:ind w:left="4536" w:hanging="3402"/>
        <w:jc w:val="left"/>
      </w:pPr>
      <w:r>
        <w:rPr>
          <w:i/>
          <w:iCs/>
        </w:rPr>
        <w:t>Date of communication</w:t>
      </w:r>
      <w:r w:rsidRPr="007770F4">
        <w:t>:</w:t>
      </w:r>
      <w:r>
        <w:tab/>
        <w:t>10 September 2011 (initial submission)</w:t>
      </w:r>
    </w:p>
    <w:p w:rsidR="00733E39" w:rsidRDefault="00733E39" w:rsidP="00812BB2">
      <w:pPr>
        <w:pStyle w:val="SingleTxtG"/>
        <w:spacing w:before="240"/>
      </w:pPr>
      <w:r>
        <w:rPr>
          <w:i/>
          <w:iCs/>
        </w:rPr>
        <w:tab/>
        <w:t>The Human Rights Committee</w:t>
      </w:r>
      <w:r>
        <w:t>, established under article 28 of the International Covenant on Civil and Political Rights,</w:t>
      </w:r>
    </w:p>
    <w:p w:rsidR="00733E39" w:rsidRDefault="00733E39" w:rsidP="00733E39">
      <w:pPr>
        <w:pStyle w:val="SingleTxtG"/>
      </w:pPr>
      <w:r>
        <w:tab/>
      </w:r>
      <w:r>
        <w:rPr>
          <w:i/>
          <w:iCs/>
        </w:rPr>
        <w:t xml:space="preserve">Meeting </w:t>
      </w:r>
      <w:r w:rsidRPr="007770F4">
        <w:t>on</w:t>
      </w:r>
      <w:r w:rsidRPr="00C14C45">
        <w:rPr>
          <w:rFonts w:ascii="Arial Unicode MS"/>
        </w:rPr>
        <w:t xml:space="preserve"> </w:t>
      </w:r>
      <w:r w:rsidR="005F6F51" w:rsidRPr="007770F4">
        <w:t xml:space="preserve">17 </w:t>
      </w:r>
      <w:r w:rsidRPr="00D3549A">
        <w:t>J</w:t>
      </w:r>
      <w:r>
        <w:t>uly 2014,</w:t>
      </w:r>
    </w:p>
    <w:p w:rsidR="00733E39" w:rsidRDefault="00733E39" w:rsidP="00733E39">
      <w:pPr>
        <w:pStyle w:val="SingleTxtG"/>
      </w:pPr>
      <w:r>
        <w:tab/>
      </w:r>
      <w:r>
        <w:rPr>
          <w:i/>
          <w:iCs/>
        </w:rPr>
        <w:t>Having concluded</w:t>
      </w:r>
      <w:r>
        <w:t xml:space="preserve"> its consideration of communication No. 2103/2011, submitted to th</w:t>
      </w:r>
      <w:r w:rsidR="00F90A0F">
        <w:t xml:space="preserve">e Human Rights Committee by </w:t>
      </w:r>
      <w:r>
        <w:t>Vasily Poliakov under the Optional Protocol to the International Covenant on Civil and Political Rights,</w:t>
      </w:r>
    </w:p>
    <w:p w:rsidR="00733E39" w:rsidRDefault="00733E39" w:rsidP="00733E39">
      <w:pPr>
        <w:pStyle w:val="SingleTxtG"/>
      </w:pPr>
      <w:r>
        <w:tab/>
      </w:r>
      <w:r>
        <w:rPr>
          <w:i/>
          <w:iCs/>
        </w:rPr>
        <w:t>Having taken into account</w:t>
      </w:r>
      <w:r>
        <w:t xml:space="preserve"> all written information made available to it by the author of the communication and the State party,</w:t>
      </w:r>
    </w:p>
    <w:p w:rsidR="00733E39" w:rsidRDefault="00733E39" w:rsidP="00733E39">
      <w:pPr>
        <w:pStyle w:val="SingleTxtG"/>
      </w:pPr>
      <w:r>
        <w:tab/>
      </w:r>
      <w:r>
        <w:rPr>
          <w:i/>
          <w:iCs/>
        </w:rPr>
        <w:t xml:space="preserve">Adopts </w:t>
      </w:r>
      <w:r w:rsidRPr="007770F4">
        <w:t>the following</w:t>
      </w:r>
      <w:r w:rsidRPr="00D3549A">
        <w:t>:</w:t>
      </w:r>
    </w:p>
    <w:p w:rsidR="00733E39" w:rsidRDefault="00733E39" w:rsidP="00733E39">
      <w:pPr>
        <w:pStyle w:val="H1G"/>
      </w:pPr>
      <w:r>
        <w:rPr>
          <w:rFonts w:eastAsia="Arial Unicode MS" w:hAnsi="Arial Unicode MS" w:cs="Arial Unicode MS"/>
        </w:rPr>
        <w:tab/>
      </w:r>
      <w:r>
        <w:rPr>
          <w:rFonts w:eastAsia="Arial Unicode MS" w:hAnsi="Arial Unicode MS" w:cs="Arial Unicode MS"/>
        </w:rPr>
        <w:tab/>
        <w:t xml:space="preserve">Views pursuant to article 5, paragraph 4 of the Optional Protocol </w:t>
      </w:r>
    </w:p>
    <w:p w:rsidR="00733E39" w:rsidRDefault="00733E39" w:rsidP="00733E39">
      <w:pPr>
        <w:pStyle w:val="SingleTxtG"/>
      </w:pPr>
      <w:r>
        <w:t>1.</w:t>
      </w:r>
      <w:r>
        <w:tab/>
        <w:t>The author of the communicat</w:t>
      </w:r>
      <w:r w:rsidR="00F90A0F">
        <w:t xml:space="preserve">ion is </w:t>
      </w:r>
      <w:r>
        <w:t>Vasily Poliakov, a Belarus</w:t>
      </w:r>
      <w:r w:rsidR="00B77CFD">
        <w:t>ian</w:t>
      </w:r>
      <w:r>
        <w:t xml:space="preserve"> national born in 1969. He claims to be a victim of violations by </w:t>
      </w:r>
      <w:smartTag w:uri="urn:schemas-microsoft-com:office:smarttags" w:element="country-region">
        <w:smartTag w:uri="urn:schemas-microsoft-com:office:smarttags" w:element="place">
          <w:r>
            <w:t>Belarus</w:t>
          </w:r>
        </w:smartTag>
      </w:smartTag>
      <w:r>
        <w:t xml:space="preserve"> of his rights under article 14, paragraph 1, article 19, paragraph 2, and article 2, paragraph 2</w:t>
      </w:r>
      <w:r w:rsidR="00B77CFD">
        <w:t>,</w:t>
      </w:r>
      <w:r>
        <w:t xml:space="preserve"> in conjunction with articles 14 and 19 of the International Covenant on Civil and Political Rights.</w:t>
      </w:r>
      <w:r w:rsidRPr="00812BB2">
        <w:rPr>
          <w:rStyle w:val="FootnoteReference"/>
        </w:rPr>
        <w:footnoteReference w:id="3"/>
      </w:r>
      <w:r>
        <w:t xml:space="preserve"> The author is unrepresented. </w:t>
      </w:r>
    </w:p>
    <w:p w:rsidR="00733E39" w:rsidRDefault="00733E39" w:rsidP="00733E39">
      <w:pPr>
        <w:pStyle w:val="H23G"/>
      </w:pPr>
      <w:r>
        <w:rPr>
          <w:rFonts w:eastAsia="Arial Unicode MS" w:hAnsi="Arial Unicode MS" w:cs="Arial Unicode MS"/>
        </w:rPr>
        <w:tab/>
      </w:r>
      <w:r>
        <w:rPr>
          <w:rFonts w:eastAsia="Arial Unicode MS" w:hAnsi="Arial Unicode MS" w:cs="Arial Unicode MS"/>
        </w:rPr>
        <w:tab/>
        <w:t>The facts as presented by the author</w:t>
      </w:r>
    </w:p>
    <w:p w:rsidR="00733E39" w:rsidRDefault="00733E39" w:rsidP="00C14C45">
      <w:pPr>
        <w:pStyle w:val="SingleTxtG"/>
      </w:pPr>
      <w:r>
        <w:t>2.1</w:t>
      </w:r>
      <w:r>
        <w:tab/>
        <w:t xml:space="preserve">On 26 July 2010, the author was distributing among </w:t>
      </w:r>
      <w:r w:rsidR="00C14C45">
        <w:t xml:space="preserve">residents of the town of </w:t>
      </w:r>
      <w:r>
        <w:t xml:space="preserve">Gomel Independence Day </w:t>
      </w:r>
      <w:r w:rsidRPr="001E7D01">
        <w:t>greeting cards</w:t>
      </w:r>
      <w:r>
        <w:t>, printed by the United Democratic Forces</w:t>
      </w:r>
      <w:r w:rsidR="005C7DB3">
        <w:t xml:space="preserve"> political party</w:t>
      </w:r>
      <w:r>
        <w:t xml:space="preserve">. He was detained by the police, who issued a </w:t>
      </w:r>
      <w:r w:rsidR="00571761">
        <w:t>protocol (</w:t>
      </w:r>
      <w:r>
        <w:t>official report</w:t>
      </w:r>
      <w:r w:rsidR="00571761">
        <w:t>),</w:t>
      </w:r>
      <w:r>
        <w:t xml:space="preserve"> charging him </w:t>
      </w:r>
      <w:r w:rsidRPr="00D3549A">
        <w:t xml:space="preserve">with an </w:t>
      </w:r>
      <w:r w:rsidRPr="00D3549A">
        <w:lastRenderedPageBreak/>
        <w:t>administrative offence under article 22.9, paragraph 2</w:t>
      </w:r>
      <w:r w:rsidR="00B77CFD" w:rsidRPr="00D3549A">
        <w:t>,</w:t>
      </w:r>
      <w:r w:rsidRPr="00D3549A">
        <w:t xml:space="preserve"> of the Administrative Offences Code of Belarus, namely</w:t>
      </w:r>
      <w:r w:rsidR="007D5645">
        <w:t>,</w:t>
      </w:r>
      <w:r w:rsidRPr="00D3549A">
        <w:t xml:space="preserve"> illegally distributing </w:t>
      </w:r>
      <w:r w:rsidRPr="007770F4">
        <w:t>“</w:t>
      </w:r>
      <w:r w:rsidRPr="00D3549A">
        <w:t>mass media production</w:t>
      </w:r>
      <w:r w:rsidRPr="007770F4">
        <w:t xml:space="preserve">” </w:t>
      </w:r>
      <w:r w:rsidRPr="00D3549A">
        <w:t>in violation of article 1, paragraph 20</w:t>
      </w:r>
      <w:r w:rsidR="007D5645">
        <w:t>,</w:t>
      </w:r>
      <w:r w:rsidRPr="00D3549A">
        <w:t xml:space="preserve"> and article 17 of the Law </w:t>
      </w:r>
      <w:r w:rsidR="00653BFE">
        <w:t>o</w:t>
      </w:r>
      <w:r w:rsidRPr="00D3549A">
        <w:t>n Mass Media</w:t>
      </w:r>
      <w:r w:rsidR="00812BB2" w:rsidRPr="007770F4">
        <w:t>.</w:t>
      </w:r>
      <w:r>
        <w:rPr>
          <w:vertAlign w:val="superscript"/>
        </w:rPr>
        <w:footnoteReference w:id="4"/>
      </w:r>
      <w:r>
        <w:t xml:space="preserve"> Subsequently the case was brought before the </w:t>
      </w:r>
      <w:smartTag w:uri="urn:schemas-microsoft-com:office:smarttags" w:element="Street">
        <w:smartTag w:uri="urn:schemas-microsoft-com:office:smarttags" w:element="address">
          <w:r>
            <w:t>Central Regional Court</w:t>
          </w:r>
        </w:smartTag>
      </w:smartTag>
      <w:r>
        <w:t xml:space="preserve"> in </w:t>
      </w:r>
      <w:smartTag w:uri="urn:schemas-microsoft-com:office:smarttags" w:element="City">
        <w:smartTag w:uri="urn:schemas-microsoft-com:office:smarttags" w:element="place">
          <w:r>
            <w:t>Gomel</w:t>
          </w:r>
        </w:smartTag>
      </w:smartTag>
      <w:r>
        <w:t>, which, on 24 September 2010, convicted the author for the above</w:t>
      </w:r>
      <w:r w:rsidR="00D3549A">
        <w:t>-mentioned</w:t>
      </w:r>
      <w:r>
        <w:t xml:space="preserve"> offence</w:t>
      </w:r>
      <w:r>
        <w:rPr>
          <w:vertAlign w:val="superscript"/>
        </w:rPr>
        <w:footnoteReference w:id="5"/>
      </w:r>
      <w:r>
        <w:t xml:space="preserve"> and sentenced him to pay a fine of 1,050,000 Bel</w:t>
      </w:r>
      <w:r w:rsidR="00322B7D">
        <w:t>a</w:t>
      </w:r>
      <w:r>
        <w:t xml:space="preserve">rusian </w:t>
      </w:r>
      <w:r w:rsidR="00653BFE">
        <w:t>ro</w:t>
      </w:r>
      <w:r>
        <w:t xml:space="preserve">ubles. </w:t>
      </w:r>
    </w:p>
    <w:p w:rsidR="00733E39" w:rsidRDefault="00733E39" w:rsidP="006010B4">
      <w:pPr>
        <w:pStyle w:val="SingleTxtG"/>
      </w:pPr>
      <w:r>
        <w:t xml:space="preserve">2.2 </w:t>
      </w:r>
      <w:r>
        <w:tab/>
        <w:t>On 29 September 2010, the author appealed the verdict before the District Court</w:t>
      </w:r>
      <w:r w:rsidR="00653BFE">
        <w:t xml:space="preserve"> of Gomel</w:t>
      </w:r>
      <w:r>
        <w:t>, which on 27 October 2010 rejected his appeal. On 28 December 2010, a subsequent supervisory review by the Supreme Court confirmed the verdict. The author submits that he did not attempt to apply to the General Prosecutor</w:t>
      </w:r>
      <w:r>
        <w:rPr>
          <w:rFonts w:ascii="Arial Unicode MS"/>
        </w:rPr>
        <w:t>’</w:t>
      </w:r>
      <w:r>
        <w:t>s Office</w:t>
      </w:r>
      <w:r w:rsidR="00653BFE">
        <w:t xml:space="preserve"> for supervisory review</w:t>
      </w:r>
      <w:r>
        <w:t xml:space="preserve"> since he does not consider it to be an effective remedy</w:t>
      </w:r>
      <w:r w:rsidR="00653BFE">
        <w:t>,</w:t>
      </w:r>
      <w:r>
        <w:t xml:space="preserve"> and refers to the Human Rights Committee</w:t>
      </w:r>
      <w:r>
        <w:rPr>
          <w:rFonts w:ascii="Arial Unicode MS"/>
        </w:rPr>
        <w:t>’</w:t>
      </w:r>
      <w:r>
        <w:t xml:space="preserve">s jurisprudence on the matter. He also submits that the domestic legislation currently does not allow private citizens to file complaints </w:t>
      </w:r>
      <w:r w:rsidR="00653BFE">
        <w:t>with</w:t>
      </w:r>
      <w:r>
        <w:t xml:space="preserve"> the </w:t>
      </w:r>
      <w:smartTag w:uri="urn:schemas-microsoft-com:office:smarttags" w:element="Street">
        <w:smartTag w:uri="urn:schemas-microsoft-com:office:smarttags" w:element="address">
          <w:r>
            <w:t>Constitutional Court</w:t>
          </w:r>
        </w:smartTag>
      </w:smartTag>
      <w:r>
        <w:t>. The author contends that he has exhausted all available and effective domestic remedies.</w:t>
      </w:r>
    </w:p>
    <w:p w:rsidR="00733E39" w:rsidRDefault="00733E39" w:rsidP="00733E39">
      <w:pPr>
        <w:pStyle w:val="H23G"/>
      </w:pPr>
      <w:r>
        <w:rPr>
          <w:rFonts w:eastAsia="Arial Unicode MS" w:hAnsi="Arial Unicode MS" w:cs="Arial Unicode MS"/>
        </w:rPr>
        <w:tab/>
      </w:r>
      <w:r>
        <w:rPr>
          <w:rFonts w:eastAsia="Arial Unicode MS" w:hAnsi="Arial Unicode MS" w:cs="Arial Unicode MS"/>
        </w:rPr>
        <w:tab/>
        <w:t xml:space="preserve">The complaint </w:t>
      </w:r>
    </w:p>
    <w:p w:rsidR="00733E39" w:rsidRDefault="00733E39" w:rsidP="00C65707">
      <w:pPr>
        <w:pStyle w:val="SingleTxtG"/>
      </w:pPr>
      <w:r>
        <w:t>3.1</w:t>
      </w:r>
      <w:r>
        <w:tab/>
        <w:t>The author submits that article 22.9, paragraph 2</w:t>
      </w:r>
      <w:r w:rsidR="00653BFE">
        <w:t>,</w:t>
      </w:r>
      <w:r>
        <w:t xml:space="preserve"> of the </w:t>
      </w:r>
      <w:r w:rsidR="00DC2E22">
        <w:t>Administrative Offences Code</w:t>
      </w:r>
      <w:r>
        <w:t xml:space="preserve"> refers to the Law </w:t>
      </w:r>
      <w:r w:rsidR="00653BFE">
        <w:t>o</w:t>
      </w:r>
      <w:r>
        <w:t xml:space="preserve">n Mass Media, which defines mass media as a type of periodic distribution of information in printed form, through </w:t>
      </w:r>
      <w:r w:rsidR="00653BFE">
        <w:t>television</w:t>
      </w:r>
      <w:r>
        <w:t xml:space="preserve"> or </w:t>
      </w:r>
      <w:r w:rsidR="00653BFE">
        <w:t>r</w:t>
      </w:r>
      <w:r>
        <w:t xml:space="preserve">adio transmissions or via </w:t>
      </w:r>
      <w:r w:rsidR="00653BFE">
        <w:t xml:space="preserve">the </w:t>
      </w:r>
      <w:r>
        <w:t xml:space="preserve">Internet. He maintains that the printed cards that he was distributing </w:t>
      </w:r>
      <w:r w:rsidR="00C65707">
        <w:t xml:space="preserve">constituted </w:t>
      </w:r>
      <w:r>
        <w:t>a one-off</w:t>
      </w:r>
      <w:r w:rsidR="00C65707">
        <w:t>, not periodic,</w:t>
      </w:r>
      <w:r>
        <w:t xml:space="preserve"> publication and that he was therefore convicted in violation of domestic legislation. He submits that by failing to follow the law, the courts </w:t>
      </w:r>
      <w:r w:rsidR="00C65707">
        <w:t xml:space="preserve">of Belarus </w:t>
      </w:r>
      <w:r>
        <w:t>violated his rights under article 14, paragraph 1</w:t>
      </w:r>
      <w:r w:rsidR="00C65707">
        <w:t>,</w:t>
      </w:r>
      <w:r>
        <w:t xml:space="preserve"> of the Covenant. </w:t>
      </w:r>
    </w:p>
    <w:p w:rsidR="00733E39" w:rsidRDefault="00733E39" w:rsidP="00924719">
      <w:pPr>
        <w:pStyle w:val="SingleTxtG"/>
      </w:pPr>
      <w:r>
        <w:t>3.2</w:t>
      </w:r>
      <w:r>
        <w:tab/>
        <w:t>The author further maintains that the authorities failed to justify the limitation of his freedom to distribute information as required by article 19, paragraph 3</w:t>
      </w:r>
      <w:r w:rsidR="00C65707">
        <w:t>,</w:t>
      </w:r>
      <w:r>
        <w:t xml:space="preserve"> of the Covenant. He makes reference to the Committee</w:t>
      </w:r>
      <w:r>
        <w:rPr>
          <w:rFonts w:ascii="Arial Unicode MS"/>
        </w:rPr>
        <w:t>’</w:t>
      </w:r>
      <w:r>
        <w:t xml:space="preserve">s views in </w:t>
      </w:r>
      <w:r>
        <w:rPr>
          <w:i/>
          <w:iCs/>
        </w:rPr>
        <w:t xml:space="preserve">Laptsevich </w:t>
      </w:r>
      <w:r w:rsidRPr="007770F4">
        <w:t>v.</w:t>
      </w:r>
      <w:r>
        <w:rPr>
          <w:i/>
          <w:iCs/>
        </w:rPr>
        <w:t xml:space="preserve"> Belarus</w:t>
      </w:r>
      <w:r>
        <w:t xml:space="preserve">, where the Committee stated that </w:t>
      </w:r>
      <w:r>
        <w:rPr>
          <w:rFonts w:ascii="Arial Unicode MS"/>
        </w:rPr>
        <w:t>“</w:t>
      </w:r>
      <w:r>
        <w:t>even if the sanctions imposed on the author were permitted under domestic law, the State party must show that they were necessary for one of the leg</w:t>
      </w:r>
      <w:r w:rsidR="00AE57CA">
        <w:t>itimate aims set out in article </w:t>
      </w:r>
      <w:r>
        <w:t>19, paragraph</w:t>
      </w:r>
      <w:r w:rsidR="00AE57CA">
        <w:t> </w:t>
      </w:r>
      <w:r>
        <w:t>3</w:t>
      </w:r>
      <w:r w:rsidR="00924719">
        <w:rPr>
          <w:rFonts w:ascii="Arial Unicode MS"/>
        </w:rPr>
        <w:t>”</w:t>
      </w:r>
      <w:r>
        <w:t>.</w:t>
      </w:r>
      <w:r>
        <w:rPr>
          <w:vertAlign w:val="superscript"/>
        </w:rPr>
        <w:footnoteReference w:id="6"/>
      </w:r>
      <w:r>
        <w:t xml:space="preserve"> </w:t>
      </w:r>
    </w:p>
    <w:p w:rsidR="00733E39" w:rsidRDefault="00733E39" w:rsidP="008068E1">
      <w:pPr>
        <w:pStyle w:val="SingleTxtG"/>
      </w:pPr>
      <w:r>
        <w:t>3.3</w:t>
      </w:r>
      <w:r>
        <w:tab/>
        <w:t>The author refers to articles 26 and 27 of the Vienna Convention on the Law of Treaties</w:t>
      </w:r>
      <w:r w:rsidR="00EF2C6F">
        <w:t>, in</w:t>
      </w:r>
      <w:r>
        <w:t xml:space="preserve"> which </w:t>
      </w:r>
      <w:r w:rsidR="00EF2C6F">
        <w:t xml:space="preserve">it is </w:t>
      </w:r>
      <w:r>
        <w:t>establish</w:t>
      </w:r>
      <w:r w:rsidR="00EF2C6F">
        <w:t>ed</w:t>
      </w:r>
      <w:r>
        <w:t xml:space="preserve"> that a State party may not invoke the provisions of its internal law as a justification for its failure to fulfil treaty obligations</w:t>
      </w:r>
      <w:r w:rsidR="00EF2C6F">
        <w:t>,</w:t>
      </w:r>
      <w:r>
        <w:t xml:space="preserve"> and to article 15 of the Law </w:t>
      </w:r>
      <w:r w:rsidR="00DB70A5">
        <w:t>on</w:t>
      </w:r>
      <w:r>
        <w:t xml:space="preserve"> International Treaties of the Republic of Belarus, which </w:t>
      </w:r>
      <w:r w:rsidR="00F83A16">
        <w:t xml:space="preserve">according to the author </w:t>
      </w:r>
      <w:r>
        <w:t>states that the provisions of international treaties that have entered into force in Belarus constitute part of the applicable law of the land. The author further refers to article 19 of the Covenant and maintains that his detention and subsequent conviction for distributing the greeting cards violated his rights under that article, and that the authorities failed to give precedence to the norms of the international treaty over the domestic law. He concludes that, by not giving precedence to the Covenant rules, the authorities</w:t>
      </w:r>
      <w:r w:rsidR="008068E1">
        <w:t xml:space="preserve"> of the State party</w:t>
      </w:r>
      <w:r>
        <w:t xml:space="preserve"> violated their obligation under article 2, paragraph 2</w:t>
      </w:r>
      <w:r w:rsidR="008068E1">
        <w:t>,</w:t>
      </w:r>
      <w:r>
        <w:t xml:space="preserve"> in conjunction with articles 14 and 19</w:t>
      </w:r>
      <w:r w:rsidR="008068E1">
        <w:t>,</w:t>
      </w:r>
      <w:r>
        <w:t xml:space="preserve"> of the Covenant.</w:t>
      </w:r>
    </w:p>
    <w:p w:rsidR="00733E39" w:rsidRDefault="00733E39" w:rsidP="00733E39">
      <w:pPr>
        <w:pStyle w:val="H23G"/>
      </w:pPr>
      <w:r>
        <w:rPr>
          <w:rFonts w:eastAsia="Arial Unicode MS" w:hAnsi="Arial Unicode MS" w:cs="Arial Unicode MS"/>
        </w:rPr>
        <w:lastRenderedPageBreak/>
        <w:tab/>
      </w:r>
      <w:r>
        <w:rPr>
          <w:rFonts w:eastAsia="Arial Unicode MS" w:hAnsi="Arial Unicode MS" w:cs="Arial Unicode MS"/>
        </w:rPr>
        <w:tab/>
        <w:t>State party</w:t>
      </w:r>
      <w:r>
        <w:rPr>
          <w:rFonts w:ascii="Arial Unicode MS" w:eastAsia="Arial Unicode MS" w:cs="Arial Unicode MS"/>
        </w:rPr>
        <w:t>’</w:t>
      </w:r>
      <w:r>
        <w:rPr>
          <w:rFonts w:eastAsia="Arial Unicode MS" w:hAnsi="Arial Unicode MS" w:cs="Arial Unicode MS"/>
        </w:rPr>
        <w:t>s observations on admissibility</w:t>
      </w:r>
    </w:p>
    <w:p w:rsidR="00733E39" w:rsidRDefault="00733E39" w:rsidP="002D1537">
      <w:pPr>
        <w:pStyle w:val="SingleTxtG"/>
      </w:pPr>
      <w:r>
        <w:t>4.</w:t>
      </w:r>
      <w:r>
        <w:tab/>
        <w:t>On 28 November 2011, the State party submitted that there were no legal grounds for the consideration of the communication</w:t>
      </w:r>
      <w:r w:rsidR="008068E1">
        <w:t>,</w:t>
      </w:r>
      <w:r>
        <w:t xml:space="preserve"> </w:t>
      </w:r>
      <w:r w:rsidR="008068E1">
        <w:t>either</w:t>
      </w:r>
      <w:r>
        <w:t xml:space="preserve"> on admissibility </w:t>
      </w:r>
      <w:r w:rsidR="008068E1">
        <w:t>or</w:t>
      </w:r>
      <w:r>
        <w:t xml:space="preserve"> on the merits, since it had been registered in violation of article 1 of the Optional Protocol. It </w:t>
      </w:r>
      <w:r w:rsidR="002F10F7">
        <w:t xml:space="preserve">also </w:t>
      </w:r>
      <w:r>
        <w:t xml:space="preserve">maintained that the author had not exhausted all the available domestic remedies as required by article 2 of the Optional Protocol in that he did not file requests </w:t>
      </w:r>
      <w:r w:rsidR="002D1537">
        <w:t>with the prosecutor</w:t>
      </w:r>
      <w:r w:rsidR="002D1537">
        <w:rPr>
          <w:rFonts w:ascii="Arial Unicode MS"/>
        </w:rPr>
        <w:t>’</w:t>
      </w:r>
      <w:r w:rsidR="002D1537">
        <w:t xml:space="preserve">s offices </w:t>
      </w:r>
      <w:r>
        <w:t>for supervisory review of the 28 December 2010 decision of the Supreme Court</w:t>
      </w:r>
      <w:r w:rsidR="002D1537">
        <w:t>.</w:t>
      </w:r>
    </w:p>
    <w:p w:rsidR="00733E39" w:rsidRDefault="00733E39" w:rsidP="00733E39">
      <w:pPr>
        <w:pStyle w:val="H23G"/>
      </w:pPr>
      <w:r>
        <w:rPr>
          <w:rFonts w:eastAsia="Arial Unicode MS" w:hAnsi="Arial Unicode MS" w:cs="Arial Unicode MS"/>
        </w:rPr>
        <w:tab/>
      </w:r>
      <w:r>
        <w:rPr>
          <w:rFonts w:eastAsia="Arial Unicode MS" w:hAnsi="Arial Unicode MS" w:cs="Arial Unicode MS"/>
        </w:rPr>
        <w:tab/>
        <w:t>Author</w:t>
      </w:r>
      <w:r>
        <w:rPr>
          <w:rFonts w:ascii="Arial Unicode MS" w:eastAsia="Arial Unicode MS" w:cs="Arial Unicode MS"/>
        </w:rPr>
        <w:t>’</w:t>
      </w:r>
      <w:r>
        <w:rPr>
          <w:rFonts w:eastAsia="Arial Unicode MS" w:hAnsi="Arial Unicode MS" w:cs="Arial Unicode MS"/>
        </w:rPr>
        <w:t xml:space="preserve">s comments on admissibility </w:t>
      </w:r>
    </w:p>
    <w:p w:rsidR="00733E39" w:rsidRDefault="00733E39" w:rsidP="00733E39">
      <w:pPr>
        <w:pStyle w:val="SingleTxtG"/>
      </w:pPr>
      <w:r>
        <w:t>5.</w:t>
      </w:r>
      <w:r>
        <w:tab/>
        <w:t>On 5 January 2012, the author commented on the State party</w:t>
      </w:r>
      <w:r>
        <w:rPr>
          <w:rFonts w:ascii="Arial Unicode MS"/>
        </w:rPr>
        <w:t>’</w:t>
      </w:r>
      <w:r>
        <w:t>s submission. He reiterate</w:t>
      </w:r>
      <w:r w:rsidR="0022362F">
        <w:t>s</w:t>
      </w:r>
      <w:r>
        <w:t xml:space="preserve"> that he did not address a request to the prosecut</w:t>
      </w:r>
      <w:r w:rsidR="00947A45">
        <w:t>ion</w:t>
      </w:r>
      <w:r>
        <w:t xml:space="preserve"> because he does not consider that such a request constitutes an effective legal remedy. He further submit</w:t>
      </w:r>
      <w:r w:rsidR="0022362F">
        <w:t>s</w:t>
      </w:r>
      <w:r>
        <w:t xml:space="preserve"> that such remedies should be available and eff</w:t>
      </w:r>
      <w:r w:rsidR="00947A45">
        <w:t>ective</w:t>
      </w:r>
      <w:r>
        <w:t xml:space="preserve"> and that</w:t>
      </w:r>
      <w:r w:rsidR="0022362F">
        <w:t>,</w:t>
      </w:r>
      <w:r>
        <w:t xml:space="preserve"> according to the Committee</w:t>
      </w:r>
      <w:r>
        <w:rPr>
          <w:rFonts w:ascii="Arial Unicode MS"/>
        </w:rPr>
        <w:t>’</w:t>
      </w:r>
      <w:r>
        <w:t xml:space="preserve">s </w:t>
      </w:r>
      <w:r w:rsidRPr="00571761">
        <w:t>practice</w:t>
      </w:r>
      <w:r w:rsidR="0022362F">
        <w:t>,</w:t>
      </w:r>
      <w:r>
        <w:t xml:space="preserve"> an eff</w:t>
      </w:r>
      <w:r w:rsidR="00947A45">
        <w:t>ective</w:t>
      </w:r>
      <w:r>
        <w:t xml:space="preserve"> remedy is one that can provide the author with compensation and offer him a reasonable prospect of redress. The author refer</w:t>
      </w:r>
      <w:r w:rsidR="0022362F">
        <w:t>s</w:t>
      </w:r>
      <w:r>
        <w:t xml:space="preserve"> to the Committee</w:t>
      </w:r>
      <w:r>
        <w:rPr>
          <w:rFonts w:ascii="Arial Unicode MS"/>
        </w:rPr>
        <w:t>’</w:t>
      </w:r>
      <w:r>
        <w:t>s consistent jurisprudence that supervisory review is a discretionary review process, limited to issues of legality, which the Committee considers not to constitute an effective remedy for the purposes of exhaustion of domestic remedies. He refer</w:t>
      </w:r>
      <w:r w:rsidR="00A81787">
        <w:t>s</w:t>
      </w:r>
      <w:r>
        <w:t xml:space="preserve"> specifically to the Committee</w:t>
      </w:r>
      <w:r w:rsidR="00A107D3">
        <w:t>’</w:t>
      </w:r>
      <w:r>
        <w:t>s</w:t>
      </w:r>
      <w:r>
        <w:rPr>
          <w:rFonts w:ascii="Arial Unicode MS"/>
        </w:rPr>
        <w:t xml:space="preserve"> </w:t>
      </w:r>
      <w:r>
        <w:t xml:space="preserve">jurisprudence in </w:t>
      </w:r>
      <w:r>
        <w:rPr>
          <w:i/>
          <w:iCs/>
        </w:rPr>
        <w:t xml:space="preserve">Tulzhenkova </w:t>
      </w:r>
      <w:r w:rsidRPr="007770F4">
        <w:t>v.</w:t>
      </w:r>
      <w:r>
        <w:rPr>
          <w:i/>
          <w:iCs/>
        </w:rPr>
        <w:t xml:space="preserve"> Belarus</w:t>
      </w:r>
      <w:r w:rsidRPr="00AE57CA">
        <w:t>,</w:t>
      </w:r>
      <w:r w:rsidRPr="00AE57CA">
        <w:rPr>
          <w:vertAlign w:val="superscript"/>
        </w:rPr>
        <w:footnoteReference w:id="7"/>
      </w:r>
      <w:r w:rsidRPr="00AE57CA">
        <w:t xml:space="preserve"> </w:t>
      </w:r>
      <w:r>
        <w:t>and further reiterate</w:t>
      </w:r>
      <w:r w:rsidR="00A81787">
        <w:t>s</w:t>
      </w:r>
      <w:r>
        <w:t xml:space="preserve"> that private citizens are not allowed to file complaints </w:t>
      </w:r>
      <w:r w:rsidR="00A90807">
        <w:t>with</w:t>
      </w:r>
      <w:r>
        <w:t xml:space="preserve"> the </w:t>
      </w:r>
      <w:smartTag w:uri="urn:schemas-microsoft-com:office:smarttags" w:element="Street">
        <w:smartTag w:uri="urn:schemas-microsoft-com:office:smarttags" w:element="address">
          <w:r>
            <w:t>Constitutional Court</w:t>
          </w:r>
        </w:smartTag>
      </w:smartTag>
      <w:r>
        <w:t>.</w:t>
      </w:r>
    </w:p>
    <w:p w:rsidR="00733E39" w:rsidRDefault="00733E39" w:rsidP="00733E39">
      <w:pPr>
        <w:pStyle w:val="H23G"/>
      </w:pPr>
      <w:r>
        <w:rPr>
          <w:rFonts w:eastAsia="Arial Unicode MS" w:hAnsi="Arial Unicode MS" w:cs="Arial Unicode MS"/>
        </w:rPr>
        <w:tab/>
      </w:r>
      <w:r>
        <w:rPr>
          <w:rFonts w:eastAsia="Arial Unicode MS" w:hAnsi="Arial Unicode MS" w:cs="Arial Unicode MS"/>
        </w:rPr>
        <w:tab/>
        <w:t>State party</w:t>
      </w:r>
      <w:r>
        <w:rPr>
          <w:rFonts w:ascii="Arial Unicode MS" w:eastAsia="Arial Unicode MS" w:cs="Arial Unicode MS"/>
        </w:rPr>
        <w:t>’</w:t>
      </w:r>
      <w:r>
        <w:rPr>
          <w:rFonts w:eastAsia="Arial Unicode MS" w:hAnsi="Arial Unicode MS" w:cs="Arial Unicode MS"/>
        </w:rPr>
        <w:t>s further observations</w:t>
      </w:r>
    </w:p>
    <w:p w:rsidR="00733E39" w:rsidRDefault="00733E39" w:rsidP="00D16009">
      <w:pPr>
        <w:pStyle w:val="SingleTxtG"/>
      </w:pPr>
      <w:r>
        <w:t>6.</w:t>
      </w:r>
      <w:r>
        <w:tab/>
        <w:t xml:space="preserve">On 25 January 2012, the State party submitted that </w:t>
      </w:r>
      <w:r w:rsidR="00A81787">
        <w:t xml:space="preserve">upon </w:t>
      </w:r>
      <w:r>
        <w:t xml:space="preserve">becoming a State party to the Optional Protocol, it </w:t>
      </w:r>
      <w:r w:rsidR="00D16009">
        <w:t>had agreed to</w:t>
      </w:r>
      <w:r w:rsidR="00A81787">
        <w:t xml:space="preserve"> </w:t>
      </w:r>
      <w:r>
        <w:t xml:space="preserve">recognize the competence of the Committee under article 1, but that recognition of competence </w:t>
      </w:r>
      <w:r w:rsidR="00D16009">
        <w:t>had been</w:t>
      </w:r>
      <w:r>
        <w:t xml:space="preserve"> </w:t>
      </w:r>
      <w:r w:rsidR="00A81787">
        <w:t>undertaken</w:t>
      </w:r>
      <w:r>
        <w:t xml:space="preserve"> in conjunction with other provisions of the Optional Protocol, including those that </w:t>
      </w:r>
      <w:r w:rsidR="00A81787">
        <w:t xml:space="preserve">established </w:t>
      </w:r>
      <w:r>
        <w:t xml:space="preserve">criteria regarding petitioners and </w:t>
      </w:r>
      <w:r w:rsidR="00F42FB9">
        <w:t xml:space="preserve">the </w:t>
      </w:r>
      <w:r>
        <w:t>admissibility of their communications, in particular articles 2 and 5</w:t>
      </w:r>
      <w:r w:rsidR="00F42FB9">
        <w:t>.</w:t>
      </w:r>
      <w:r>
        <w:t xml:space="preserve"> </w:t>
      </w:r>
      <w:r w:rsidR="00F42FB9">
        <w:t xml:space="preserve">The State party </w:t>
      </w:r>
      <w:r>
        <w:t xml:space="preserve"> maintained that</w:t>
      </w:r>
      <w:r w:rsidR="00787236">
        <w:t>,</w:t>
      </w:r>
      <w:r>
        <w:t xml:space="preserve"> under the Optional Protocol</w:t>
      </w:r>
      <w:r w:rsidR="00787236">
        <w:t>,</w:t>
      </w:r>
      <w:r>
        <w:t xml:space="preserve"> States parties ha</w:t>
      </w:r>
      <w:r w:rsidR="00D16009">
        <w:t>d</w:t>
      </w:r>
      <w:r>
        <w:t xml:space="preserve"> no obligation to recognize the Committee</w:t>
      </w:r>
      <w:r>
        <w:rPr>
          <w:rFonts w:ascii="Arial Unicode MS"/>
        </w:rPr>
        <w:t>’</w:t>
      </w:r>
      <w:r>
        <w:t xml:space="preserve">s rules of procedure </w:t>
      </w:r>
      <w:r w:rsidR="00D16009">
        <w:t>nor</w:t>
      </w:r>
      <w:r>
        <w:t xml:space="preserve"> its interpretation of the provisions</w:t>
      </w:r>
      <w:r w:rsidR="00787236">
        <w:t xml:space="preserve"> of the Optional Protocol</w:t>
      </w:r>
      <w:r>
        <w:t>, which could only be eff</w:t>
      </w:r>
      <w:r w:rsidR="00D16009">
        <w:t>ective</w:t>
      </w:r>
      <w:r>
        <w:t xml:space="preserve"> when done in accordance with the Vienna Convention of the Law on Treaties. It submitted that in relation to the complaint procedure</w:t>
      </w:r>
      <w:r w:rsidR="00D16009">
        <w:t>,</w:t>
      </w:r>
      <w:r>
        <w:t xml:space="preserve"> State</w:t>
      </w:r>
      <w:r w:rsidR="0060355D">
        <w:t>s</w:t>
      </w:r>
      <w:r>
        <w:t xml:space="preserve"> </w:t>
      </w:r>
      <w:r w:rsidR="00787236">
        <w:t>p</w:t>
      </w:r>
      <w:r>
        <w:t>arties should be guided first and foremost by the provisions of the Optional Protocol</w:t>
      </w:r>
      <w:r w:rsidR="0060355D">
        <w:t>,</w:t>
      </w:r>
      <w:r>
        <w:rPr>
          <w:rFonts w:ascii="Arial Unicode MS"/>
        </w:rPr>
        <w:t xml:space="preserve"> </w:t>
      </w:r>
      <w:r>
        <w:t xml:space="preserve">and that </w:t>
      </w:r>
      <w:r w:rsidR="0060355D">
        <w:t>r</w:t>
      </w:r>
      <w:r>
        <w:t>eferences to the Committee</w:t>
      </w:r>
      <w:r>
        <w:rPr>
          <w:rFonts w:ascii="Arial Unicode MS"/>
        </w:rPr>
        <w:t>’</w:t>
      </w:r>
      <w:r>
        <w:t>s long</w:t>
      </w:r>
      <w:r w:rsidR="0060355D">
        <w:t>-</w:t>
      </w:r>
      <w:r>
        <w:t xml:space="preserve">standing practice, methods </w:t>
      </w:r>
      <w:r w:rsidRPr="00AB175B">
        <w:t xml:space="preserve">of </w:t>
      </w:r>
      <w:r w:rsidRPr="00D16009">
        <w:t>work</w:t>
      </w:r>
      <w:r w:rsidR="00D16009">
        <w:t xml:space="preserve"> and</w:t>
      </w:r>
      <w:r w:rsidRPr="00D16009">
        <w:t xml:space="preserve"> case law </w:t>
      </w:r>
      <w:r w:rsidR="00D16009">
        <w:t>were</w:t>
      </w:r>
      <w:r w:rsidR="00D16009" w:rsidRPr="00D16009">
        <w:t xml:space="preserve"> </w:t>
      </w:r>
      <w:r w:rsidRPr="00D16009">
        <w:t>not subject</w:t>
      </w:r>
      <w:r w:rsidR="00D16009">
        <w:t>s</w:t>
      </w:r>
      <w:r w:rsidRPr="00D16009">
        <w:t xml:space="preserve"> of</w:t>
      </w:r>
      <w:r>
        <w:t xml:space="preserve"> the Optional Protocol.</w:t>
      </w:r>
      <w:r w:rsidR="00F90A0F">
        <w:t xml:space="preserve"> </w:t>
      </w:r>
      <w:r>
        <w:t>It further submitted that any communication registered in violation of the provisions of the Optional Protocol to the Covenant on Civil and Political Rights w</w:t>
      </w:r>
      <w:r w:rsidR="007120AE">
        <w:t>ould</w:t>
      </w:r>
      <w:r>
        <w:t xml:space="preserve"> be viewed by the State Party as incompatible with the Protocol and w</w:t>
      </w:r>
      <w:r w:rsidR="007120AE">
        <w:t>ould</w:t>
      </w:r>
      <w:r>
        <w:t xml:space="preserve"> be rejected without comments on the admissibility or the merits. The State party maintained that decisions taken by the Committee on such </w:t>
      </w:r>
      <w:r w:rsidR="0060355D">
        <w:t>rejected</w:t>
      </w:r>
      <w:r>
        <w:t xml:space="preserve"> communications</w:t>
      </w:r>
      <w:r>
        <w:rPr>
          <w:rFonts w:ascii="Arial Unicode MS"/>
        </w:rPr>
        <w:t xml:space="preserve"> </w:t>
      </w:r>
      <w:r>
        <w:t>w</w:t>
      </w:r>
      <w:r w:rsidR="007120AE">
        <w:t>ould</w:t>
      </w:r>
      <w:r>
        <w:t xml:space="preserve"> be considered by its authorities as </w:t>
      </w:r>
      <w:r w:rsidR="0060355D">
        <w:t>“</w:t>
      </w:r>
      <w:r>
        <w:t>invalid</w:t>
      </w:r>
      <w:r w:rsidR="0060355D">
        <w:t>”</w:t>
      </w:r>
      <w:r>
        <w:t>.</w:t>
      </w:r>
    </w:p>
    <w:p w:rsidR="00733E39" w:rsidRDefault="00733E39" w:rsidP="00733E39">
      <w:pPr>
        <w:pStyle w:val="H23G"/>
      </w:pPr>
      <w:r>
        <w:rPr>
          <w:rFonts w:eastAsia="Arial Unicode MS" w:hAnsi="Arial Unicode MS" w:cs="Arial Unicode MS"/>
        </w:rPr>
        <w:tab/>
      </w:r>
      <w:r>
        <w:rPr>
          <w:rFonts w:eastAsia="Arial Unicode MS" w:hAnsi="Arial Unicode MS" w:cs="Arial Unicode MS"/>
        </w:rPr>
        <w:tab/>
        <w:t xml:space="preserve">Further submissions from the author </w:t>
      </w:r>
    </w:p>
    <w:p w:rsidR="00733E39" w:rsidRDefault="00733E39" w:rsidP="00733E39">
      <w:pPr>
        <w:pStyle w:val="SingleTxtG"/>
      </w:pPr>
      <w:r>
        <w:t>7.1</w:t>
      </w:r>
      <w:r>
        <w:tab/>
        <w:t xml:space="preserve">On 21 March 2012, the author submitted that the State party </w:t>
      </w:r>
      <w:r w:rsidR="00AF428A">
        <w:t>wa</w:t>
      </w:r>
      <w:r>
        <w:t>s challenging the Committee</w:t>
      </w:r>
      <w:r>
        <w:rPr>
          <w:rFonts w:ascii="Arial Unicode MS"/>
        </w:rPr>
        <w:t>’</w:t>
      </w:r>
      <w:r>
        <w:t>s right to develop its rules of procedure, as well as the usual practice of the international bodies to develop internal regulations for their functioning. He maintain</w:t>
      </w:r>
      <w:r w:rsidR="00AF428A">
        <w:t>s</w:t>
      </w:r>
      <w:r>
        <w:t xml:space="preserve"> that the rules of procedure do not contradict the Covenant and are accepted by States as stemming from the competency of the Committee. </w:t>
      </w:r>
      <w:r w:rsidR="00AF428A">
        <w:t>Furthermore, w</w:t>
      </w:r>
      <w:r>
        <w:t xml:space="preserve">ithout internal regulations bodies would not be able to function. </w:t>
      </w:r>
    </w:p>
    <w:p w:rsidR="00733E39" w:rsidRDefault="00733E39" w:rsidP="00AF428A">
      <w:pPr>
        <w:pStyle w:val="SingleTxtG"/>
      </w:pPr>
      <w:r>
        <w:lastRenderedPageBreak/>
        <w:t>7.2</w:t>
      </w:r>
      <w:r>
        <w:tab/>
        <w:t>The author further submit</w:t>
      </w:r>
      <w:r w:rsidR="00AF428A">
        <w:t>s</w:t>
      </w:r>
      <w:r>
        <w:t xml:space="preserve"> that, by becoming a State party to the Optional Protocol, Belarus recogni</w:t>
      </w:r>
      <w:r w:rsidR="00AF428A">
        <w:t>z</w:t>
      </w:r>
      <w:r>
        <w:t>ed not only the Committee</w:t>
      </w:r>
      <w:r>
        <w:rPr>
          <w:rFonts w:ascii="Arial Unicode MS"/>
        </w:rPr>
        <w:t>’</w:t>
      </w:r>
      <w:r>
        <w:t>s competence to issue decisions regarding the existence or absence of violations of the Covenant, but in accordance with article 40, paragraph 4</w:t>
      </w:r>
      <w:r w:rsidR="00AF428A">
        <w:t>,</w:t>
      </w:r>
      <w:r>
        <w:t xml:space="preserve"> of the Covenant</w:t>
      </w:r>
      <w:r w:rsidR="00AF428A">
        <w:t>,</w:t>
      </w:r>
      <w:r>
        <w:t xml:space="preserve"> also </w:t>
      </w:r>
      <w:r w:rsidR="00AF428A">
        <w:t xml:space="preserve">recognized </w:t>
      </w:r>
      <w:r>
        <w:t xml:space="preserve">the </w:t>
      </w:r>
      <w:r w:rsidR="00AF428A">
        <w:t xml:space="preserve">Committee’s </w:t>
      </w:r>
      <w:r>
        <w:t>competence to transmit to the States parties its reports, and such general comments as it may consider appropriate. Under article 2 of the Covenant the State party is also obliged to ensure that any person within its territory and subject to its jurisdiction has an effective remedy</w:t>
      </w:r>
      <w:r w:rsidR="00AF428A">
        <w:t xml:space="preserve"> </w:t>
      </w:r>
      <w:r w:rsidR="00AF428A" w:rsidRPr="00AF428A">
        <w:t>if his or her rights under the Covenant are violated</w:t>
      </w:r>
      <w:r>
        <w:t>. By accepting the competence of the Committee to de</w:t>
      </w:r>
      <w:r w:rsidR="00AF428A">
        <w:t>termine</w:t>
      </w:r>
      <w:r>
        <w:t xml:space="preserve"> in concrete cases the effectiveness of a particular domestic remedy, the State party also undertook to take into consideration the </w:t>
      </w:r>
      <w:r w:rsidR="00AF428A">
        <w:t xml:space="preserve">Committee’s </w:t>
      </w:r>
      <w:r>
        <w:t>general comments</w:t>
      </w:r>
      <w:r w:rsidR="00AF428A">
        <w:t>.</w:t>
      </w:r>
      <w:r>
        <w:t xml:space="preserve"> The role of the Committee ultimately includes interpretation of the provisions of the Covenant and development of jurisprudence. By refusing to recogni</w:t>
      </w:r>
      <w:r w:rsidR="00AF428A">
        <w:t>z</w:t>
      </w:r>
      <w:r>
        <w:t xml:space="preserve">e the standard practices, methods of work and precedents of the Committee, </w:t>
      </w:r>
      <w:smartTag w:uri="urn:schemas-microsoft-com:office:smarttags" w:element="country-region">
        <w:smartTag w:uri="urn:schemas-microsoft-com:office:smarttags" w:element="place">
          <w:r>
            <w:t>Belarus</w:t>
          </w:r>
        </w:smartTag>
      </w:smartTag>
      <w:r>
        <w:t xml:space="preserve"> </w:t>
      </w:r>
      <w:r w:rsidR="00AF428A">
        <w:t xml:space="preserve">in effect </w:t>
      </w:r>
      <w:r>
        <w:t>refuses to recogni</w:t>
      </w:r>
      <w:r w:rsidR="00AF428A">
        <w:t>z</w:t>
      </w:r>
      <w:r>
        <w:t xml:space="preserve">e its competence to interpret the Covenant, which contradicts </w:t>
      </w:r>
      <w:r w:rsidR="00AF428A">
        <w:t>the Committee’s</w:t>
      </w:r>
      <w:r>
        <w:t xml:space="preserve"> objective and goals.</w:t>
      </w:r>
    </w:p>
    <w:p w:rsidR="00733E39" w:rsidRDefault="00733E39" w:rsidP="00733E39">
      <w:pPr>
        <w:pStyle w:val="SingleTxtG"/>
      </w:pPr>
      <w:r>
        <w:t>7.3</w:t>
      </w:r>
      <w:r>
        <w:tab/>
        <w:t>The author submits that, having voluntarily accepted the jurisdiction of the Committee, the State party has no right to infringe on its competenc</w:t>
      </w:r>
      <w:r w:rsidR="00AF428A">
        <w:t>e</w:t>
      </w:r>
      <w:r>
        <w:t xml:space="preserve"> and ignore its opinion.</w:t>
      </w:r>
      <w:r>
        <w:rPr>
          <w:vertAlign w:val="superscript"/>
        </w:rPr>
        <w:footnoteReference w:id="8"/>
      </w:r>
      <w:r>
        <w:t xml:space="preserve"> The State party is not only obliged to implement the decisions of the Committee, but it is </w:t>
      </w:r>
      <w:r w:rsidR="00B51001">
        <w:t xml:space="preserve">also </w:t>
      </w:r>
      <w:r>
        <w:t>obliged to recogni</w:t>
      </w:r>
      <w:r w:rsidR="00B51001">
        <w:t>z</w:t>
      </w:r>
      <w:r>
        <w:t>e its standards, practice</w:t>
      </w:r>
      <w:r w:rsidR="00B51001">
        <w:t>s</w:t>
      </w:r>
      <w:r>
        <w:t xml:space="preserve">, methods of work and precedents. The above </w:t>
      </w:r>
      <w:r w:rsidR="00B51001">
        <w:t xml:space="preserve">argument </w:t>
      </w:r>
      <w:r>
        <w:t xml:space="preserve">is based on the most important principle of international law </w:t>
      </w:r>
      <w:r w:rsidR="00B51001">
        <w:t>—</w:t>
      </w:r>
      <w:r w:rsidR="008D2854">
        <w:t xml:space="preserve"> </w:t>
      </w:r>
      <w:r>
        <w:rPr>
          <w:i/>
          <w:iCs/>
        </w:rPr>
        <w:t>pacta sunt servanda</w:t>
      </w:r>
      <w:r w:rsidR="008D2854" w:rsidRPr="007770F4">
        <w:t xml:space="preserve"> </w:t>
      </w:r>
      <w:r w:rsidR="00B51001">
        <w:rPr>
          <w:rFonts w:ascii="Arial Unicode MS"/>
        </w:rPr>
        <w:t>—</w:t>
      </w:r>
      <w:r>
        <w:t xml:space="preserve">, according to which every </w:t>
      </w:r>
      <w:hyperlink r:id="rId9" w:history="1">
        <w:r>
          <w:rPr>
            <w:rStyle w:val="Hyperlink0"/>
          </w:rPr>
          <w:t>treaty</w:t>
        </w:r>
      </w:hyperlink>
      <w:r>
        <w:t xml:space="preserve"> in force is binding upon the parties to it and must be performed by them in </w:t>
      </w:r>
      <w:hyperlink r:id="rId10" w:history="1">
        <w:r>
          <w:rPr>
            <w:rStyle w:val="Hyperlink0"/>
          </w:rPr>
          <w:t>good faith</w:t>
        </w:r>
      </w:hyperlink>
      <w:r>
        <w:t>.</w:t>
      </w:r>
    </w:p>
    <w:p w:rsidR="00733E39" w:rsidRDefault="00733E39" w:rsidP="004129E6">
      <w:pPr>
        <w:pStyle w:val="SingleTxtG"/>
      </w:pPr>
      <w:r>
        <w:t>7.4</w:t>
      </w:r>
      <w:r>
        <w:tab/>
        <w:t xml:space="preserve">Regarding the argument that he failed to exhaust domestic remedies, the author submits that such remedies should be available and </w:t>
      </w:r>
      <w:r w:rsidR="00C41B83">
        <w:t>effective</w:t>
      </w:r>
      <w:r>
        <w:t xml:space="preserve"> and that</w:t>
      </w:r>
      <w:r w:rsidR="00B51001">
        <w:t>,</w:t>
      </w:r>
      <w:r>
        <w:t xml:space="preserve"> according to the Committee</w:t>
      </w:r>
      <w:r>
        <w:rPr>
          <w:rFonts w:ascii="Arial Unicode MS"/>
        </w:rPr>
        <w:t>’</w:t>
      </w:r>
      <w:r>
        <w:t>s practice</w:t>
      </w:r>
      <w:r w:rsidR="00B51001">
        <w:t>,</w:t>
      </w:r>
      <w:r>
        <w:t xml:space="preserve"> an </w:t>
      </w:r>
      <w:r w:rsidR="00C41B83">
        <w:t>effective</w:t>
      </w:r>
      <w:r>
        <w:t xml:space="preserve"> remedy is one that provide</w:t>
      </w:r>
      <w:r w:rsidR="00B51001">
        <w:t>s</w:t>
      </w:r>
      <w:r>
        <w:t xml:space="preserve"> compensation and offer</w:t>
      </w:r>
      <w:r w:rsidR="00B51001">
        <w:t>s</w:t>
      </w:r>
      <w:r>
        <w:t xml:space="preserve"> a reasonable prospect of redress. The author refers to the Committee</w:t>
      </w:r>
      <w:r>
        <w:rPr>
          <w:rFonts w:ascii="Arial Unicode MS"/>
        </w:rPr>
        <w:t>’</w:t>
      </w:r>
      <w:r>
        <w:t xml:space="preserve">s consistent jurisprudence that supervisory review is a discretionary review process common in former </w:t>
      </w:r>
      <w:smartTag w:uri="urn:schemas-microsoft-com:office:smarttags" w:element="PlaceName">
        <w:r>
          <w:t>Soviet</w:t>
        </w:r>
      </w:smartTag>
      <w:r>
        <w:t xml:space="preserve"> </w:t>
      </w:r>
      <w:r w:rsidR="00B51001">
        <w:t>r</w:t>
      </w:r>
      <w:r>
        <w:t xml:space="preserve">epublics </w:t>
      </w:r>
      <w:r w:rsidR="004129E6">
        <w:t>that</w:t>
      </w:r>
      <w:r>
        <w:t xml:space="preserve"> </w:t>
      </w:r>
      <w:r w:rsidR="00B51001">
        <w:t>does</w:t>
      </w:r>
      <w:r>
        <w:t xml:space="preserve"> not constitute an effective remedy for the purposes of exhaustion of domestic remedies. He further maintains that the </w:t>
      </w:r>
      <w:smartTag w:uri="urn:schemas-microsoft-com:office:smarttags" w:element="Street">
        <w:smartTag w:uri="urn:schemas-microsoft-com:office:smarttags" w:element="address">
          <w:r>
            <w:t>European Court</w:t>
          </w:r>
        </w:smartTag>
      </w:smartTag>
      <w:r>
        <w:t xml:space="preserve"> </w:t>
      </w:r>
      <w:r w:rsidR="00B51001">
        <w:t>of</w:t>
      </w:r>
      <w:r>
        <w:t xml:space="preserve"> Human Rights employs a similar standard.</w:t>
      </w:r>
      <w:r>
        <w:rPr>
          <w:vertAlign w:val="superscript"/>
        </w:rPr>
        <w:footnoteReference w:id="9"/>
      </w:r>
      <w:r>
        <w:t xml:space="preserve"> He also maintains that the ineffectiveness of the above</w:t>
      </w:r>
      <w:r w:rsidR="00AD062D">
        <w:t>-mentioned</w:t>
      </w:r>
      <w:r>
        <w:t xml:space="preserve"> remedy </w:t>
      </w:r>
      <w:r w:rsidR="00AD062D">
        <w:t>wa</w:t>
      </w:r>
      <w:r>
        <w:t>s confirmed by the recent case of Vladislav Kovalev, who was executed while the Supreme Court was conducting a supervisory review o</w:t>
      </w:r>
      <w:r w:rsidR="00AD062D">
        <w:t>f</w:t>
      </w:r>
      <w:r>
        <w:t xml:space="preserve"> his case.</w:t>
      </w:r>
    </w:p>
    <w:p w:rsidR="00733E39" w:rsidRDefault="00733E39" w:rsidP="00733E39">
      <w:pPr>
        <w:pStyle w:val="H23G"/>
      </w:pPr>
      <w:r>
        <w:rPr>
          <w:rFonts w:eastAsia="Arial Unicode MS" w:hAnsi="Arial Unicode MS" w:cs="Arial Unicode MS"/>
        </w:rPr>
        <w:tab/>
      </w:r>
      <w:r>
        <w:rPr>
          <w:rFonts w:eastAsia="Arial Unicode MS" w:hAnsi="Arial Unicode MS" w:cs="Arial Unicode MS"/>
        </w:rPr>
        <w:tab/>
        <w:t>Issues and proceedings before the Committee</w:t>
      </w:r>
    </w:p>
    <w:p w:rsidR="00733E39" w:rsidRDefault="00733E39" w:rsidP="00733E39">
      <w:pPr>
        <w:pStyle w:val="H4G"/>
      </w:pPr>
      <w:r>
        <w:rPr>
          <w:rFonts w:eastAsia="Arial Unicode MS" w:hAnsi="Arial Unicode MS" w:cs="Arial Unicode MS"/>
        </w:rPr>
        <w:tab/>
      </w:r>
      <w:r>
        <w:rPr>
          <w:rFonts w:eastAsia="Arial Unicode MS" w:hAnsi="Arial Unicode MS" w:cs="Arial Unicode MS"/>
        </w:rPr>
        <w:tab/>
        <w:t>State party</w:t>
      </w:r>
      <w:r>
        <w:rPr>
          <w:rFonts w:ascii="Arial Unicode MS" w:eastAsia="Arial Unicode MS" w:cs="Arial Unicode MS"/>
        </w:rPr>
        <w:t>’</w:t>
      </w:r>
      <w:r>
        <w:rPr>
          <w:rFonts w:eastAsia="Arial Unicode MS" w:hAnsi="Arial Unicode MS" w:cs="Arial Unicode MS"/>
        </w:rPr>
        <w:t>s</w:t>
      </w:r>
      <w:r w:rsidR="00F02189">
        <w:rPr>
          <w:rFonts w:eastAsia="Arial Unicode MS" w:hAnsi="Arial Unicode MS" w:cs="Arial Unicode MS"/>
        </w:rPr>
        <w:t xml:space="preserve"> lack of cooperation</w:t>
      </w:r>
    </w:p>
    <w:p w:rsidR="00733E39" w:rsidRDefault="00733E39" w:rsidP="00AD062D">
      <w:pPr>
        <w:pStyle w:val="SingleTxtG"/>
      </w:pPr>
      <w:r>
        <w:t>8.1</w:t>
      </w:r>
      <w:r>
        <w:tab/>
        <w:t>The Committee notes the State party</w:t>
      </w:r>
      <w:r>
        <w:rPr>
          <w:rFonts w:ascii="Arial Unicode MS"/>
        </w:rPr>
        <w:t>’</w:t>
      </w:r>
      <w:r>
        <w:t xml:space="preserve">s </w:t>
      </w:r>
      <w:r w:rsidR="00AD062D">
        <w:t>assertion</w:t>
      </w:r>
      <w:r>
        <w:t xml:space="preserve"> that there are no legal grounds for consider</w:t>
      </w:r>
      <w:r w:rsidR="00AD062D">
        <w:t>ing</w:t>
      </w:r>
      <w:r>
        <w:t xml:space="preserve"> the author</w:t>
      </w:r>
      <w:r>
        <w:rPr>
          <w:rFonts w:ascii="Arial Unicode MS"/>
        </w:rPr>
        <w:t>’</w:t>
      </w:r>
      <w:r>
        <w:t xml:space="preserve">s communication insofar as it </w:t>
      </w:r>
      <w:r w:rsidR="00AD062D">
        <w:t>wa</w:t>
      </w:r>
      <w:r>
        <w:t xml:space="preserve">s registered in violation of </w:t>
      </w:r>
      <w:r w:rsidRPr="001100DD">
        <w:t xml:space="preserve">article </w:t>
      </w:r>
      <w:r w:rsidRPr="006010B4">
        <w:t>1</w:t>
      </w:r>
      <w:r w:rsidRPr="005142B1">
        <w:t xml:space="preserve"> of the Optional Protocol</w:t>
      </w:r>
      <w:r w:rsidR="00AD062D" w:rsidRPr="002C1B6E">
        <w:t xml:space="preserve"> and</w:t>
      </w:r>
      <w:r w:rsidRPr="001E7D01">
        <w:t xml:space="preserve"> because</w:t>
      </w:r>
      <w:r>
        <w:t xml:space="preserve"> the author failed to exhaust domestic remedies; that it has no obligation to recognize the Committee</w:t>
      </w:r>
      <w:r>
        <w:rPr>
          <w:rFonts w:ascii="Arial Unicode MS"/>
        </w:rPr>
        <w:t>’</w:t>
      </w:r>
      <w:r>
        <w:t xml:space="preserve">s rules of procedure </w:t>
      </w:r>
      <w:r w:rsidR="00AD062D">
        <w:t>nor</w:t>
      </w:r>
      <w:r>
        <w:t xml:space="preserve"> its interpretation of the provisions</w:t>
      </w:r>
      <w:r w:rsidR="00AD062D">
        <w:t xml:space="preserve"> of the </w:t>
      </w:r>
      <w:r w:rsidR="00BD04C7">
        <w:t xml:space="preserve">Optional </w:t>
      </w:r>
      <w:r w:rsidR="00AD062D">
        <w:t>Protocol</w:t>
      </w:r>
      <w:r>
        <w:t xml:space="preserve">; and that decisions taken by the Committee on the </w:t>
      </w:r>
      <w:r w:rsidR="00AD062D">
        <w:t>present</w:t>
      </w:r>
      <w:r>
        <w:t xml:space="preserve"> communication will be considered as </w:t>
      </w:r>
      <w:r>
        <w:rPr>
          <w:rFonts w:ascii="Arial Unicode MS"/>
        </w:rPr>
        <w:t>“</w:t>
      </w:r>
      <w:r>
        <w:t>invalid</w:t>
      </w:r>
      <w:r>
        <w:rPr>
          <w:rFonts w:ascii="Arial Unicode MS"/>
        </w:rPr>
        <w:t>”</w:t>
      </w:r>
      <w:r>
        <w:t xml:space="preserve">. </w:t>
      </w:r>
    </w:p>
    <w:p w:rsidR="00733E39" w:rsidRDefault="00733E39" w:rsidP="0079520F">
      <w:pPr>
        <w:pStyle w:val="SingleTxtG"/>
      </w:pPr>
      <w:r>
        <w:t>8.2</w:t>
      </w:r>
      <w:r>
        <w:tab/>
        <w:t>The Committee recalls that</w:t>
      </w:r>
      <w:r w:rsidR="00AD062D">
        <w:t xml:space="preserve"> under</w:t>
      </w:r>
      <w:r>
        <w:t xml:space="preserve"> article 39, paragraph 2, of the International Covenant on Civil and Political Rights</w:t>
      </w:r>
      <w:r w:rsidR="00AD062D">
        <w:t xml:space="preserve"> </w:t>
      </w:r>
      <w:r>
        <w:t xml:space="preserve">it </w:t>
      </w:r>
      <w:r w:rsidR="00AD062D">
        <w:t xml:space="preserve">has the authority </w:t>
      </w:r>
      <w:r>
        <w:t xml:space="preserve">to establish its own rules of </w:t>
      </w:r>
      <w:r>
        <w:lastRenderedPageBreak/>
        <w:t>procedure, which the States parties have agreed to recognize. The Committee further observes that</w:t>
      </w:r>
      <w:r w:rsidR="00AD062D">
        <w:t>,</w:t>
      </w:r>
      <w:r>
        <w:t xml:space="preserve"> by adhering to the Optional Protocol, a State party to the Covenant recognizes the competence of the Human Rights Committee to receive and consider communications from individuals claiming to be victims of violations of any of the rights set forth in the Covenant (</w:t>
      </w:r>
      <w:r w:rsidR="00AD062D">
        <w:t>p</w:t>
      </w:r>
      <w:r>
        <w:t>reamble and art</w:t>
      </w:r>
      <w:r w:rsidR="00AD062D">
        <w:t>.</w:t>
      </w:r>
      <w:r>
        <w:t xml:space="preserve"> 1). Implicit in a State</w:t>
      </w:r>
      <w:r w:rsidR="0098146C">
        <w:t>’</w:t>
      </w:r>
      <w:r>
        <w:t xml:space="preserve">s adherence to the </w:t>
      </w:r>
      <w:r w:rsidR="0098146C">
        <w:t xml:space="preserve">Optional </w:t>
      </w:r>
      <w:r>
        <w:t xml:space="preserve">Protocol is </w:t>
      </w:r>
      <w:r w:rsidR="0098146C">
        <w:t>the</w:t>
      </w:r>
      <w:r>
        <w:t xml:space="preserve"> undertaking to cooperate with the Committee in good faith so as to permit and enable it to consider such communications, and after examination</w:t>
      </w:r>
      <w:r w:rsidR="0098146C">
        <w:t xml:space="preserve"> thereof</w:t>
      </w:r>
      <w:r>
        <w:t xml:space="preserve"> to forward its </w:t>
      </w:r>
      <w:r w:rsidRPr="00571761">
        <w:t>views</w:t>
      </w:r>
      <w:r>
        <w:t xml:space="preserve"> to the State party </w:t>
      </w:r>
      <w:r w:rsidR="0098146C">
        <w:t xml:space="preserve">concerned </w:t>
      </w:r>
      <w:r>
        <w:t>and to the individual (art</w:t>
      </w:r>
      <w:r w:rsidR="0098146C">
        <w:t>.</w:t>
      </w:r>
      <w:r>
        <w:t xml:space="preserve"> 5, para</w:t>
      </w:r>
      <w:r w:rsidR="0098146C">
        <w:t>s.</w:t>
      </w:r>
      <w:r>
        <w:t xml:space="preserve"> 1 and 4). It is incompatible with these obligations for a State party to take any action that would prevent or frustrate the Committee in its consideration and examination of a communication and in the expression of its Views.</w:t>
      </w:r>
      <w:r>
        <w:rPr>
          <w:vertAlign w:val="superscript"/>
        </w:rPr>
        <w:footnoteReference w:id="10"/>
      </w:r>
      <w:r>
        <w:t xml:space="preserve"> It is up to the Committee to determine whether a c</w:t>
      </w:r>
      <w:r w:rsidR="0079520F">
        <w:t>ommunication</w:t>
      </w:r>
      <w:r>
        <w:t xml:space="preserve"> should be registered</w:t>
      </w:r>
      <w:r w:rsidR="0079520F">
        <w:t>.</w:t>
      </w:r>
      <w:r>
        <w:t xml:space="preserve"> </w:t>
      </w:r>
      <w:r w:rsidR="0079520F">
        <w:t>B</w:t>
      </w:r>
      <w:r>
        <w:t>y failing to accept the competence of the Committee to determine whether a communication sh</w:t>
      </w:r>
      <w:r w:rsidR="0079520F">
        <w:t>ould</w:t>
      </w:r>
      <w:r>
        <w:t xml:space="preserve"> be registered and by declaring outright that it will not accept the Committee</w:t>
      </w:r>
      <w:r>
        <w:rPr>
          <w:rFonts w:ascii="Arial Unicode MS"/>
        </w:rPr>
        <w:t>’</w:t>
      </w:r>
      <w:r>
        <w:t>s determination o</w:t>
      </w:r>
      <w:r w:rsidR="0079520F">
        <w:t>n the</w:t>
      </w:r>
      <w:r>
        <w:t xml:space="preserve"> admissibility </w:t>
      </w:r>
      <w:r w:rsidR="0079520F">
        <w:t>or</w:t>
      </w:r>
      <w:r>
        <w:t xml:space="preserve"> the merits of the communications, the State party </w:t>
      </w:r>
      <w:r w:rsidR="0079520F">
        <w:t>i</w:t>
      </w:r>
      <w:r>
        <w:t>s violat</w:t>
      </w:r>
      <w:r w:rsidR="0079520F">
        <w:t>ing</w:t>
      </w:r>
      <w:r>
        <w:t xml:space="preserve"> its obligations under article 1 of the Optional Protocol to the International Covenant on Civil and Political Rights.</w:t>
      </w:r>
      <w:r>
        <w:rPr>
          <w:vertAlign w:val="superscript"/>
        </w:rPr>
        <w:footnoteReference w:id="11"/>
      </w:r>
    </w:p>
    <w:p w:rsidR="00733E39" w:rsidRDefault="00733E39" w:rsidP="00733E39">
      <w:pPr>
        <w:pStyle w:val="H4G"/>
      </w:pPr>
      <w:r>
        <w:rPr>
          <w:rFonts w:eastAsia="Arial Unicode MS" w:hAnsi="Arial Unicode MS" w:cs="Arial Unicode MS"/>
        </w:rPr>
        <w:tab/>
      </w:r>
      <w:r>
        <w:rPr>
          <w:rFonts w:eastAsia="Arial Unicode MS" w:hAnsi="Arial Unicode MS" w:cs="Arial Unicode MS"/>
        </w:rPr>
        <w:tab/>
        <w:t>Consideration of admissibility</w:t>
      </w:r>
    </w:p>
    <w:p w:rsidR="00733E39" w:rsidRDefault="00733E39" w:rsidP="00733E39">
      <w:pPr>
        <w:pStyle w:val="SingleTxtG"/>
      </w:pPr>
      <w:r>
        <w:t>9.1</w:t>
      </w:r>
      <w:r>
        <w:tab/>
        <w:t xml:space="preserve">Before considering any claim contained in a communication, the Human Rights Committee must, in accordance with rule 93 of its rules of procedure, decide whether or not the case is admissible under the Optional Protocol to the Covenant. </w:t>
      </w:r>
    </w:p>
    <w:p w:rsidR="00733E39" w:rsidRDefault="00733E39" w:rsidP="0097651B">
      <w:pPr>
        <w:pStyle w:val="SingleTxtG"/>
      </w:pPr>
      <w:r>
        <w:t>9.2</w:t>
      </w:r>
      <w:r>
        <w:tab/>
        <w:t>The Committee has ascertained, as required under article 5, paragraph 2 (a), of the Optional Protocol, that the same matter is not being examined under another procedure of international investigation or settlement.</w:t>
      </w:r>
    </w:p>
    <w:p w:rsidR="00F02189" w:rsidRPr="00DC128E" w:rsidRDefault="00733E39" w:rsidP="007770F4">
      <w:pPr>
        <w:pStyle w:val="SingleTxtG"/>
        <w:rPr>
          <w:b/>
        </w:rPr>
      </w:pPr>
      <w:r>
        <w:t>9.3</w:t>
      </w:r>
      <w:r>
        <w:tab/>
        <w:t>The Committee note</w:t>
      </w:r>
      <w:r w:rsidR="00B419DC">
        <w:t>s</w:t>
      </w:r>
      <w:r>
        <w:t xml:space="preserve"> the State party</w:t>
      </w:r>
      <w:r>
        <w:rPr>
          <w:rFonts w:ascii="Arial Unicode MS"/>
        </w:rPr>
        <w:t>’</w:t>
      </w:r>
      <w:r>
        <w:t xml:space="preserve">s challenge </w:t>
      </w:r>
      <w:r w:rsidR="00B419DC">
        <w:t>to</w:t>
      </w:r>
      <w:r>
        <w:t xml:space="preserve"> the admissibility of the communication on the ground</w:t>
      </w:r>
      <w:r w:rsidR="00B419DC">
        <w:t>s</w:t>
      </w:r>
      <w:r>
        <w:t xml:space="preserve"> of non-exhaustion of domestic remedies, namely</w:t>
      </w:r>
      <w:r w:rsidR="0097651B">
        <w:t>,</w:t>
      </w:r>
      <w:r>
        <w:t xml:space="preserve"> the author</w:t>
      </w:r>
      <w:r>
        <w:rPr>
          <w:rFonts w:ascii="Arial Unicode MS"/>
        </w:rPr>
        <w:t>’</w:t>
      </w:r>
      <w:r>
        <w:t>s failure to petition the prosecutor</w:t>
      </w:r>
      <w:r>
        <w:rPr>
          <w:rFonts w:ascii="Arial Unicode MS"/>
        </w:rPr>
        <w:t>’</w:t>
      </w:r>
      <w:r>
        <w:t>s offices for supervisory review of the</w:t>
      </w:r>
      <w:r w:rsidR="00B419DC">
        <w:t xml:space="preserve"> decision handed down by the</w:t>
      </w:r>
      <w:r>
        <w:t xml:space="preserve"> Supreme Court o</w:t>
      </w:r>
      <w:r w:rsidR="00B419DC">
        <w:t>n</w:t>
      </w:r>
      <w:r>
        <w:t xml:space="preserve"> 28 December 2010.</w:t>
      </w:r>
      <w:r w:rsidR="00F02189">
        <w:t xml:space="preserve"> </w:t>
      </w:r>
      <w:r w:rsidR="00F02189" w:rsidRPr="00DC128E">
        <w:t xml:space="preserve">The Committee recalls its jurisprudence, according to which a petition for supervisory review to a </w:t>
      </w:r>
      <w:r w:rsidR="00512482">
        <w:t>p</w:t>
      </w:r>
      <w:r w:rsidR="00F02189" w:rsidRPr="00DC128E">
        <w:t xml:space="preserve">rosecutor’s </w:t>
      </w:r>
      <w:r w:rsidR="00512482">
        <w:t>o</w:t>
      </w:r>
      <w:r w:rsidR="00F02189" w:rsidRPr="00DC128E">
        <w:t xml:space="preserve">ffice allowing </w:t>
      </w:r>
      <w:r w:rsidR="00C9638E">
        <w:t>the</w:t>
      </w:r>
      <w:r w:rsidR="00F02189" w:rsidRPr="00DC128E">
        <w:t xml:space="preserve"> review</w:t>
      </w:r>
      <w:r w:rsidR="00C9638E">
        <w:t xml:space="preserve"> of</w:t>
      </w:r>
      <w:r w:rsidR="00F02189" w:rsidRPr="00DC128E">
        <w:t xml:space="preserve"> court decisions that have taken effect does not constitute a remedy which </w:t>
      </w:r>
      <w:r w:rsidR="00C9638E">
        <w:t>must</w:t>
      </w:r>
      <w:r w:rsidR="00F02189" w:rsidRPr="00DC128E">
        <w:t xml:space="preserve"> be exhausted for the purposes of article 5, paragraph 2 (b), of the Optional Protocol.</w:t>
      </w:r>
      <w:r w:rsidR="00F02189" w:rsidRPr="00B6380E">
        <w:rPr>
          <w:vertAlign w:val="superscript"/>
        </w:rPr>
        <w:footnoteReference w:id="12"/>
      </w:r>
      <w:r w:rsidR="00F02189" w:rsidRPr="00DC128E">
        <w:t xml:space="preserve"> Accordingly, it considers that it is not precluded by article 5, paragraph 2 (b), of the Optional Protocol from examining this part of the communication.</w:t>
      </w:r>
    </w:p>
    <w:p w:rsidR="00733E39" w:rsidRDefault="00733E39" w:rsidP="00C9638E">
      <w:pPr>
        <w:pStyle w:val="SingleTxtG"/>
      </w:pPr>
      <w:r>
        <w:t>9.4</w:t>
      </w:r>
      <w:r>
        <w:tab/>
        <w:t>The Committee note</w:t>
      </w:r>
      <w:r w:rsidR="00C9638E">
        <w:t>s</w:t>
      </w:r>
      <w:r>
        <w:t xml:space="preserve"> the author</w:t>
      </w:r>
      <w:r>
        <w:rPr>
          <w:rFonts w:ascii="Arial Unicode MS"/>
        </w:rPr>
        <w:t>’</w:t>
      </w:r>
      <w:r>
        <w:t>s submission that the State party</w:t>
      </w:r>
      <w:r>
        <w:rPr>
          <w:rFonts w:ascii="Arial Unicode MS"/>
        </w:rPr>
        <w:t>’</w:t>
      </w:r>
      <w:r>
        <w:t>s courts violated his rights under article 14, paragraph 1</w:t>
      </w:r>
      <w:r w:rsidR="00C9638E">
        <w:t>,</w:t>
      </w:r>
      <w:r>
        <w:t xml:space="preserve"> of the Covenant since they misinterpreted the definition of mass media provided by the Law </w:t>
      </w:r>
      <w:r w:rsidR="00C9638E">
        <w:t>o</w:t>
      </w:r>
      <w:r>
        <w:t>n Mass Media</w:t>
      </w:r>
      <w:r>
        <w:rPr>
          <w:rFonts w:ascii="Arial Unicode MS"/>
        </w:rPr>
        <w:t xml:space="preserve"> </w:t>
      </w:r>
      <w:r>
        <w:t>and convicted him wrongly. The Committee recalls its jurisprudence in this respect and reiterates that, generally speaking, it is for the relevant domestic courts to review or evaluate facts and evidence in a particular case and to interpret the relevant provision</w:t>
      </w:r>
      <w:r w:rsidR="00CA6FCF">
        <w:t>s</w:t>
      </w:r>
      <w:r>
        <w:t xml:space="preserve"> of domestic laws. The Committee will exercise its powers of review only if it has been ascertained that the evaluation or interpretation was clearly arbitrary or amounted to a denial of justice.</w:t>
      </w:r>
      <w:r>
        <w:rPr>
          <w:vertAlign w:val="superscript"/>
        </w:rPr>
        <w:footnoteReference w:id="13"/>
      </w:r>
      <w:r>
        <w:t xml:space="preserve"> Based on the </w:t>
      </w:r>
      <w:r>
        <w:lastRenderedPageBreak/>
        <w:t>material before it</w:t>
      </w:r>
      <w:r w:rsidR="007351EB">
        <w:t>,</w:t>
      </w:r>
      <w:r>
        <w:t xml:space="preserve"> the Committee considers that the author has not shown sufficient grounds to support his argument that there was such arbitrariness or denial of justice. The Committee, therefore, concludes that this claim is unsubstantiated and thus inadmissible pursuant to article 2 of the Optional Protocol.</w:t>
      </w:r>
    </w:p>
    <w:p w:rsidR="00F02189" w:rsidRDefault="00F02189" w:rsidP="006D1E4B">
      <w:pPr>
        <w:pStyle w:val="SingleTxtG"/>
      </w:pPr>
      <w:r>
        <w:t>9.5</w:t>
      </w:r>
      <w:r>
        <w:tab/>
        <w:t>The Committee takes note of the author’s submission that the State party violated its obligations under article 2, paragraph 2</w:t>
      </w:r>
      <w:r w:rsidR="00CD641C">
        <w:t>,</w:t>
      </w:r>
      <w:r>
        <w:t xml:space="preserve"> of the Covenant</w:t>
      </w:r>
      <w:r w:rsidR="00CD641C">
        <w:t>,</w:t>
      </w:r>
      <w:r>
        <w:t xml:space="preserve"> in conjunction with article</w:t>
      </w:r>
      <w:r w:rsidR="00162C36">
        <w:t>s</w:t>
      </w:r>
      <w:r>
        <w:t xml:space="preserve"> 14 and 19, since it had failed to give precedence to the norms of the international treaty over domestic law when evaluating his conviction for distributing greeting cards. The Committee recalls, however, in this connection its general comment </w:t>
      </w:r>
      <w:r w:rsidR="00CD641C">
        <w:t xml:space="preserve">No. </w:t>
      </w:r>
      <w:r>
        <w:t>31, according to which</w:t>
      </w:r>
      <w:r w:rsidR="00CD641C">
        <w:t xml:space="preserve"> </w:t>
      </w:r>
      <w:r>
        <w:t xml:space="preserve">a State </w:t>
      </w:r>
      <w:r w:rsidR="00CD641C">
        <w:t>p</w:t>
      </w:r>
      <w:r>
        <w:t>arty</w:t>
      </w:r>
      <w:r w:rsidR="00CD641C">
        <w:t xml:space="preserve"> is allowed, under article 2,</w:t>
      </w:r>
      <w:r>
        <w:t xml:space="preserve"> to give effect to the Covenant rights in accordance with its own domestic constitutional structure and that it does not require that the Covenant be directly applicable in the courts, by incorporation of the Covenant into national law</w:t>
      </w:r>
      <w:r w:rsidR="00CD641C">
        <w:t>.</w:t>
      </w:r>
      <w:r>
        <w:rPr>
          <w:rStyle w:val="FootnoteReference"/>
        </w:rPr>
        <w:footnoteReference w:id="14"/>
      </w:r>
      <w:r>
        <w:t xml:space="preserve"> The Committee therefore considers that the author’s claims that the State party must afford the Covenant precedence over domestic law to be incompatible with article 2 of the Covenant and inadmissible under article 3 of the Optional Protocol.</w:t>
      </w:r>
    </w:p>
    <w:p w:rsidR="00733E39" w:rsidRDefault="00733E39" w:rsidP="00733E39">
      <w:pPr>
        <w:pStyle w:val="SingleTxtG"/>
      </w:pPr>
      <w:r>
        <w:t>9.6</w:t>
      </w:r>
      <w:r>
        <w:tab/>
        <w:t>The Committee considers that the author has sufficiently substantiated his claim under article 19 of the Covenant for purposes of admissibility. Accordingly, it declares this part of the claim admissible and proceeds to its examination on the merits.</w:t>
      </w:r>
    </w:p>
    <w:p w:rsidR="00733E39" w:rsidRDefault="00733E39" w:rsidP="00733E39">
      <w:pPr>
        <w:pStyle w:val="H4G"/>
      </w:pPr>
      <w:r>
        <w:rPr>
          <w:rFonts w:eastAsia="Arial Unicode MS" w:hAnsi="Arial Unicode MS" w:cs="Arial Unicode MS"/>
        </w:rPr>
        <w:tab/>
      </w:r>
      <w:r>
        <w:rPr>
          <w:rFonts w:eastAsia="Arial Unicode MS" w:hAnsi="Arial Unicode MS" w:cs="Arial Unicode MS"/>
        </w:rPr>
        <w:tab/>
        <w:t>Consideration of the merits</w:t>
      </w:r>
    </w:p>
    <w:p w:rsidR="00733E39" w:rsidRDefault="00733E39" w:rsidP="006D1E4B">
      <w:pPr>
        <w:pStyle w:val="SingleTxtG"/>
      </w:pPr>
      <w:r>
        <w:t>10.1</w:t>
      </w:r>
      <w:r>
        <w:tab/>
        <w:t>The Human Rights Committee has considered the communication in the light of all the information made available to it by the parties</w:t>
      </w:r>
      <w:r w:rsidR="002E56FC">
        <w:t xml:space="preserve">, as </w:t>
      </w:r>
      <w:r w:rsidR="00F11AFF">
        <w:t>required</w:t>
      </w:r>
      <w:r w:rsidR="002E56FC">
        <w:t xml:space="preserve"> under article </w:t>
      </w:r>
      <w:r>
        <w:t>5, paragraph 1, of the Optional Protocol.</w:t>
      </w:r>
    </w:p>
    <w:p w:rsidR="00733E39" w:rsidRDefault="00733E39" w:rsidP="007351EB">
      <w:pPr>
        <w:pStyle w:val="SingleTxtG"/>
      </w:pPr>
      <w:r>
        <w:t>10.2</w:t>
      </w:r>
      <w:r>
        <w:tab/>
        <w:t>The Committee notes the author</w:t>
      </w:r>
      <w:r w:rsidR="00F11AFF">
        <w:t>’</w:t>
      </w:r>
      <w:r>
        <w:t xml:space="preserve">s allegations that that the authorities violated his rights under article 19 of the Covenant. From the material before the Committee, it transpires that the author had been arrested and subsequently convicted and fined for distributing greeting cards printed by a political party </w:t>
      </w:r>
      <w:r w:rsidR="007351EB">
        <w:t xml:space="preserve">that </w:t>
      </w:r>
      <w:r>
        <w:t>had not been registered in accordance with the domestic legislation. In the Committee</w:t>
      </w:r>
      <w:r>
        <w:rPr>
          <w:rFonts w:ascii="Arial Unicode MS"/>
        </w:rPr>
        <w:t>’</w:t>
      </w:r>
      <w:r>
        <w:t>s opinion, the above</w:t>
      </w:r>
      <w:r w:rsidR="003D2749">
        <w:t>-mentioned</w:t>
      </w:r>
      <w:r>
        <w:t xml:space="preserve"> actions of the authorities interfere with the author</w:t>
      </w:r>
      <w:r>
        <w:rPr>
          <w:rFonts w:ascii="Arial Unicode MS"/>
        </w:rPr>
        <w:t>’</w:t>
      </w:r>
      <w:r>
        <w:t>s right to impart information and ideas of all kind</w:t>
      </w:r>
      <w:r w:rsidR="003D2749">
        <w:t>s</w:t>
      </w:r>
      <w:r>
        <w:t xml:space="preserve">, which is protected under article 19, paragraph 2, of the Covenant. </w:t>
      </w:r>
    </w:p>
    <w:p w:rsidR="00733E39" w:rsidRDefault="00733E39" w:rsidP="006D1E4B">
      <w:pPr>
        <w:pStyle w:val="SingleTxtG"/>
      </w:pPr>
      <w:r>
        <w:t>10.3</w:t>
      </w:r>
      <w:r>
        <w:tab/>
        <w:t>The Committee has next to consider whether the restrictions imposed on the author</w:t>
      </w:r>
      <w:r w:rsidR="003D2749">
        <w:t>’</w:t>
      </w:r>
      <w:r>
        <w:t xml:space="preserve">s freedom to impart information are justified under any of </w:t>
      </w:r>
      <w:r w:rsidR="002E56FC">
        <w:t>the criteria set out in article </w:t>
      </w:r>
      <w:r>
        <w:t>19, paragraph 3, of the Covenant. The Committee recalls in t</w:t>
      </w:r>
      <w:r w:rsidR="002E56FC">
        <w:t>h</w:t>
      </w:r>
      <w:r w:rsidR="007351EB">
        <w:t>at</w:t>
      </w:r>
      <w:r w:rsidR="002E56FC">
        <w:t xml:space="preserve"> respect its general comment</w:t>
      </w:r>
      <w:r w:rsidR="003D2749">
        <w:t xml:space="preserve"> No.</w:t>
      </w:r>
      <w:r w:rsidR="002E56FC">
        <w:t> </w:t>
      </w:r>
      <w:r>
        <w:t>34</w:t>
      </w:r>
      <w:r w:rsidR="007243DD">
        <w:t xml:space="preserve"> (2011)</w:t>
      </w:r>
      <w:r>
        <w:t>, in which it stated, inter alia, that the freedom of expression is essential for any society and a foundation stone for every free and democratic society</w:t>
      </w:r>
      <w:r w:rsidR="007243DD">
        <w:t xml:space="preserve"> (para. 2)</w:t>
      </w:r>
      <w:r>
        <w:t xml:space="preserve">. </w:t>
      </w:r>
      <w:r w:rsidR="002E56FC">
        <w:t>It notes that article </w:t>
      </w:r>
      <w:r>
        <w:t>19, paragraph 3, allows restrictions on the freedom of expression, including the freedom to impart information and ideas, only to the extent that they are provided by law and only if they are necessary (a) for respect of the rights a</w:t>
      </w:r>
      <w:r w:rsidR="002E56FC">
        <w:t>nd reputation of others; or (b) </w:t>
      </w:r>
      <w:r>
        <w:t>for the protection of national security or public order (</w:t>
      </w:r>
      <w:r>
        <w:rPr>
          <w:i/>
          <w:iCs/>
        </w:rPr>
        <w:t>ordre public</w:t>
      </w:r>
      <w:r>
        <w:t xml:space="preserve">), or of public health or morals. Finally, any restriction on freedom of expression must not be overbroad in </w:t>
      </w:r>
      <w:r w:rsidRPr="006D1E4B">
        <w:t>nature</w:t>
      </w:r>
      <w:r w:rsidR="007243DD">
        <w:t>,</w:t>
      </w:r>
      <w:r>
        <w:t xml:space="preserve"> </w:t>
      </w:r>
      <w:r>
        <w:lastRenderedPageBreak/>
        <w:t xml:space="preserve">i.e., it must be the least intrusive among the measures which might achieve the relevant protective function and proportionate to the interest </w:t>
      </w:r>
      <w:r w:rsidR="007243DD">
        <w:t>to be</w:t>
      </w:r>
      <w:r>
        <w:t xml:space="preserve"> protect</w:t>
      </w:r>
      <w:r w:rsidR="007243DD">
        <w:t>ed</w:t>
      </w:r>
      <w:r>
        <w:t>.</w:t>
      </w:r>
      <w:r>
        <w:rPr>
          <w:vertAlign w:val="superscript"/>
        </w:rPr>
        <w:footnoteReference w:id="15"/>
      </w:r>
    </w:p>
    <w:p w:rsidR="00733E39" w:rsidRDefault="00733E39" w:rsidP="00733E39">
      <w:pPr>
        <w:pStyle w:val="SingleTxtG"/>
      </w:pPr>
      <w:r>
        <w:t>10.4</w:t>
      </w:r>
      <w:r>
        <w:tab/>
        <w:t>The Committee observes that in the present case</w:t>
      </w:r>
      <w:r w:rsidR="007243DD">
        <w:t>,</w:t>
      </w:r>
      <w:r>
        <w:t xml:space="preserve"> the prohibition of the distribution of printed materials because they had been printed by a political party which did not have </w:t>
      </w:r>
      <w:r w:rsidR="007243DD">
        <w:t xml:space="preserve">a </w:t>
      </w:r>
      <w:r>
        <w:t>licen</w:t>
      </w:r>
      <w:r w:rsidR="007243DD">
        <w:t>c</w:t>
      </w:r>
      <w:r>
        <w:t xml:space="preserve">e to distribute such materials, the detention of the author for violating the prohibition and the imposition of a significant fine on </w:t>
      </w:r>
      <w:r w:rsidR="007243DD">
        <w:t>the author</w:t>
      </w:r>
      <w:r>
        <w:t xml:space="preserve"> all raise serious doubts as to the necessity and proportionality of the restrictions on the author</w:t>
      </w:r>
      <w:r>
        <w:rPr>
          <w:rFonts w:ascii="Arial Unicode MS"/>
        </w:rPr>
        <w:t>’</w:t>
      </w:r>
      <w:r>
        <w:t>s rights under article 19 of the Covenant. The Committee further observes that the State party has failed to invoke any specific grounds to support the necessity of the restrictions imposed on the author as required under article 19, paragraph 3, of the Covenant.</w:t>
      </w:r>
      <w:r>
        <w:rPr>
          <w:vertAlign w:val="superscript"/>
        </w:rPr>
        <w:footnoteReference w:id="16"/>
      </w:r>
      <w:r>
        <w:t xml:space="preserve"> Nor did the State party demonstrate that the measures selected were </w:t>
      </w:r>
      <w:r w:rsidR="006D1E4B">
        <w:t xml:space="preserve">the </w:t>
      </w:r>
      <w:r>
        <w:t xml:space="preserve">least intrusive in nature or proportionate to the interest </w:t>
      </w:r>
      <w:r w:rsidR="006D1E4B">
        <w:t xml:space="preserve">that </w:t>
      </w:r>
      <w:r>
        <w:t>it sought to protect. The Committee considers that, in the circumstances of the case, the limitations imposed on the author, although based on domestic law, were not justified pursuant to the conditions set out in article 19, paragraph 3, of the Covenant. It therefore concludes that the author</w:t>
      </w:r>
      <w:r w:rsidR="006D1E4B">
        <w:t>’</w:t>
      </w:r>
      <w:r>
        <w:t>s rights under article 19, paragraph 2, of the Covenant have been violated.</w:t>
      </w:r>
      <w:r>
        <w:rPr>
          <w:vertAlign w:val="superscript"/>
        </w:rPr>
        <w:footnoteReference w:id="17"/>
      </w:r>
      <w:r>
        <w:t xml:space="preserve"> </w:t>
      </w:r>
    </w:p>
    <w:p w:rsidR="00733E39" w:rsidRDefault="00733E39" w:rsidP="00733E39">
      <w:pPr>
        <w:pStyle w:val="SingleTxtG"/>
      </w:pPr>
      <w:r>
        <w:t>11.</w:t>
      </w:r>
      <w:r>
        <w:tab/>
        <w:t>The Human Rights Committee, acting under article 5, paragraph 4, of the Optional Protocol to the International Covenant on Civil and Political Rights, is of the view that the facts before it disclose a violation by Belarus of the author</w:t>
      </w:r>
      <w:r w:rsidR="006D1E4B">
        <w:t>’</w:t>
      </w:r>
      <w:r>
        <w:t>s rights under article 19 of the Covenant. The State party also breached its obligations under article 1 of the Optional Protocol to the Covenant.</w:t>
      </w:r>
    </w:p>
    <w:p w:rsidR="00733E39" w:rsidRDefault="00733E39" w:rsidP="00127B37">
      <w:pPr>
        <w:pStyle w:val="SingleTxtG"/>
      </w:pPr>
      <w:r>
        <w:t>12.</w:t>
      </w:r>
      <w:r>
        <w:tab/>
        <w:t xml:space="preserve">In accordance with article 2, paragraph 3 (a), of the Covenant, the State party is under an obligation to provide the author with an effective remedy, including reimbursement of the </w:t>
      </w:r>
      <w:r w:rsidR="000C2581">
        <w:t xml:space="preserve">current </w:t>
      </w:r>
      <w:r>
        <w:t xml:space="preserve">value of the fine and any legal costs incurred by the author, as well as compensation. The State party should also ensure that no similar violations occur in the future. </w:t>
      </w:r>
    </w:p>
    <w:p w:rsidR="00733E39" w:rsidRDefault="00733E39" w:rsidP="00733E39">
      <w:pPr>
        <w:pStyle w:val="SingleTxtG"/>
      </w:pPr>
      <w:r>
        <w:t>13.</w:t>
      </w:r>
      <w:r>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w:t>
      </w:r>
      <w:r w:rsidR="000C2581">
        <w:t>re</w:t>
      </w:r>
      <w:r>
        <w:t xml:space="preserve"> a violation has been established, the Committee wishes to receive from the State party, within 180 days, information about the measures taken to give effect to the Committee</w:t>
      </w:r>
      <w:r>
        <w:rPr>
          <w:rFonts w:ascii="Arial Unicode MS"/>
        </w:rPr>
        <w:t>’</w:t>
      </w:r>
      <w:r>
        <w:t>s Views. The State party is also requested to publish the present Views, and to have them widely disseminated in Belarusian and Russian in the State party.</w:t>
      </w:r>
    </w:p>
    <w:p w:rsidR="002E56FC" w:rsidRDefault="002E56FC" w:rsidP="002E56FC">
      <w:pPr>
        <w:pStyle w:val="SingleTxtG"/>
      </w:pPr>
    </w:p>
    <w:p w:rsidR="00BA36A8" w:rsidRDefault="00BA36A8" w:rsidP="00733E39">
      <w:pPr>
        <w:spacing w:before="240"/>
        <w:ind w:left="1134" w:right="1134"/>
        <w:jc w:val="center"/>
        <w:rPr>
          <w:u w:val="single"/>
        </w:rPr>
        <w:sectPr w:rsidR="00BA36A8" w:rsidSect="00C331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701" w:gutter="0"/>
          <w:cols w:space="720"/>
          <w:titlePg/>
          <w:docGrid w:linePitch="272"/>
        </w:sectPr>
      </w:pPr>
    </w:p>
    <w:p w:rsidR="00BA36A8" w:rsidRDefault="00BA36A8" w:rsidP="002E56FC">
      <w:pPr>
        <w:pStyle w:val="HChG"/>
      </w:pPr>
      <w:r w:rsidRPr="00BA36A8">
        <w:lastRenderedPageBreak/>
        <w:t>Appendix</w:t>
      </w:r>
    </w:p>
    <w:p w:rsidR="00BA36A8" w:rsidRPr="00A96796" w:rsidRDefault="00BA36A8" w:rsidP="001368C5">
      <w:pPr>
        <w:pStyle w:val="H1G"/>
      </w:pPr>
      <w:r>
        <w:tab/>
      </w:r>
      <w:r>
        <w:tab/>
      </w:r>
      <w:r w:rsidR="00F90A0F">
        <w:t xml:space="preserve">Individual opinion of </w:t>
      </w:r>
      <w:r w:rsidRPr="00A96796">
        <w:t xml:space="preserve">Fabián </w:t>
      </w:r>
      <w:r w:rsidR="00322B7D">
        <w:t xml:space="preserve">Omar </w:t>
      </w:r>
      <w:r w:rsidRPr="00A96796">
        <w:t>Salvioli (concurring)</w:t>
      </w:r>
    </w:p>
    <w:p w:rsidR="00BA36A8" w:rsidRPr="00A96796" w:rsidRDefault="00BA36A8" w:rsidP="00BA36A8">
      <w:pPr>
        <w:pStyle w:val="SingleTxtG"/>
      </w:pPr>
      <w:r w:rsidRPr="00A96796">
        <w:t>1.</w:t>
      </w:r>
      <w:r w:rsidRPr="00A96796">
        <w:tab/>
        <w:t xml:space="preserve">I concur with the decision of the Committee in </w:t>
      </w:r>
      <w:r w:rsidRPr="0077077C">
        <w:rPr>
          <w:i/>
        </w:rPr>
        <w:t xml:space="preserve">Poliakov </w:t>
      </w:r>
      <w:r w:rsidRPr="007770F4">
        <w:rPr>
          <w:iCs/>
        </w:rPr>
        <w:t>v.</w:t>
      </w:r>
      <w:r w:rsidRPr="0077077C">
        <w:rPr>
          <w:i/>
        </w:rPr>
        <w:t xml:space="preserve"> Belarus</w:t>
      </w:r>
      <w:r w:rsidRPr="00A96796">
        <w:t xml:space="preserve"> (communication No.</w:t>
      </w:r>
      <w:r w:rsidR="002E56FC">
        <w:t> </w:t>
      </w:r>
      <w:r w:rsidRPr="00A96796">
        <w:t xml:space="preserve">2103/2011). However, I cannot agree with the reasoning outlined by the Committee in paragraph 9.5, in which it cites general comment No. 31 </w:t>
      </w:r>
      <w:r w:rsidR="00667B4A">
        <w:t xml:space="preserve">(2004) </w:t>
      </w:r>
      <w:r w:rsidR="00667B4A" w:rsidRPr="00667B4A">
        <w:t>on the nature of the general legal obligation imposed on States parties to the Covenant</w:t>
      </w:r>
      <w:r w:rsidR="00667B4A">
        <w:t xml:space="preserve"> </w:t>
      </w:r>
      <w:r w:rsidRPr="00A96796">
        <w:t>as the basis for declaring the claim under article 2, paragraph 2, inadmissible.</w:t>
      </w:r>
    </w:p>
    <w:p w:rsidR="00BA36A8" w:rsidRPr="00A96796" w:rsidRDefault="00BA36A8" w:rsidP="002E56FC">
      <w:pPr>
        <w:pStyle w:val="SingleTxtG"/>
      </w:pPr>
      <w:r w:rsidRPr="00A96796">
        <w:t>2.</w:t>
      </w:r>
      <w:r w:rsidRPr="00A96796">
        <w:tab/>
        <w:t>Paragraph 13 of general comment No. 31 is unfortunate and fails to reflect article</w:t>
      </w:r>
      <w:r w:rsidR="002E56FC">
        <w:t> </w:t>
      </w:r>
      <w:r w:rsidRPr="00A96796">
        <w:t>2, paragraph 2, of the Covenant satisfactorily. In that paragraph, the Committee states: “Article 2 allows a State Party to pursue this in accordance with its own domestic constitutional structure and accordingly does not require that the Covenant be directly applicable in the courts, by incorporation of the Covenant into national law.”</w:t>
      </w:r>
    </w:p>
    <w:p w:rsidR="00BA36A8" w:rsidRPr="00A96796" w:rsidRDefault="00BA36A8" w:rsidP="00BA36A8">
      <w:pPr>
        <w:pStyle w:val="SingleTxtG"/>
      </w:pPr>
      <w:r w:rsidRPr="00A96796">
        <w:t>3.</w:t>
      </w:r>
      <w:r w:rsidRPr="00A96796">
        <w:tab/>
        <w:t>Article 2, paragraph 2, of the Covenant states: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w:t>
      </w:r>
    </w:p>
    <w:p w:rsidR="00BA36A8" w:rsidRPr="00A96796" w:rsidRDefault="00BA36A8" w:rsidP="00BA36A8">
      <w:pPr>
        <w:pStyle w:val="SingleTxtG"/>
      </w:pPr>
      <w:r w:rsidRPr="00A96796">
        <w:t>4.</w:t>
      </w:r>
      <w:r w:rsidRPr="00A96796">
        <w:tab/>
        <w:t>The clear purpose of article 2, paragraph 2, is to ensure that the rights set forth in the Covenant are safeguarded effectively at the national level. If those rights are not duly protected by legislation at the time of ratification, there is an immediate obligation to adopt national legislation in accordance with the established constitutional processes.</w:t>
      </w:r>
    </w:p>
    <w:p w:rsidR="00BA36A8" w:rsidRPr="00A96796" w:rsidRDefault="00BA36A8" w:rsidP="00BA36A8">
      <w:pPr>
        <w:pStyle w:val="SingleTxtG"/>
      </w:pPr>
      <w:r w:rsidRPr="00A96796">
        <w:t>5.</w:t>
      </w:r>
      <w:r w:rsidRPr="00A96796">
        <w:tab/>
        <w:t>Implementation of the Covenant at the national level is fundamental in order to guarantee the rights set forth therein. It is for this reason that, when considering State party reports, the Committee requests examples of the application of the Covenant by the State party’s courts and also draws attention in its concluding observations to the need for the Covenant to be applied by the courts.</w:t>
      </w:r>
      <w:r>
        <w:rPr>
          <w:rStyle w:val="FootnoteReference"/>
        </w:rPr>
        <w:footnoteReference w:id="18"/>
      </w:r>
      <w:r w:rsidRPr="00A96796">
        <w:t xml:space="preserve"> The Committee should not set forth interpretations — either in its general comments or in its Views — that undermine the system of protection provided for under the Covenant.</w:t>
      </w:r>
    </w:p>
    <w:p w:rsidR="00BA36A8" w:rsidRDefault="00BA36A8" w:rsidP="00BA36A8">
      <w:pPr>
        <w:pStyle w:val="SingleTxtG"/>
      </w:pPr>
      <w:r w:rsidRPr="00A96796">
        <w:t>6.</w:t>
      </w:r>
      <w:r w:rsidRPr="00A96796">
        <w:tab/>
        <w:t>Be that as it may, I understand why, in the present case, the Committee felt it necessary to declare the claim of a violation of article 2, paragraph 2, inadmissible on grounds of the author’s failure to substantiate his allegation.</w:t>
      </w:r>
    </w:p>
    <w:p w:rsidR="00BA36A8" w:rsidRPr="00106A43" w:rsidRDefault="00BA36A8" w:rsidP="00BA36A8">
      <w:pPr>
        <w:spacing w:before="240"/>
        <w:jc w:val="center"/>
        <w:rPr>
          <w:u w:val="single"/>
        </w:rPr>
      </w:pPr>
      <w:r>
        <w:rPr>
          <w:u w:val="single"/>
        </w:rPr>
        <w:tab/>
      </w:r>
      <w:r>
        <w:rPr>
          <w:u w:val="single"/>
        </w:rPr>
        <w:tab/>
      </w:r>
      <w:r>
        <w:rPr>
          <w:u w:val="single"/>
        </w:rPr>
        <w:tab/>
      </w:r>
    </w:p>
    <w:p w:rsidR="00BA36A8" w:rsidRPr="00733E39" w:rsidRDefault="00BA36A8" w:rsidP="00733E39">
      <w:pPr>
        <w:spacing w:before="240"/>
        <w:ind w:left="1134" w:right="1134"/>
        <w:jc w:val="center"/>
        <w:rPr>
          <w:u w:val="single"/>
        </w:rPr>
      </w:pPr>
    </w:p>
    <w:sectPr w:rsidR="00BA36A8" w:rsidRPr="00733E39" w:rsidSect="00BA36A8">
      <w:headerReference w:type="even" r:id="rId17"/>
      <w:headerReference w:type="default" r:id="rId18"/>
      <w:footerReference w:type="even" r:id="rId19"/>
      <w:footerReference w:type="default" r:id="rId20"/>
      <w:headerReference w:type="first" r:id="rId21"/>
      <w:footerReference w:type="first" r:id="rId22"/>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EA1" w:rsidRDefault="00BC4EA1"/>
  </w:endnote>
  <w:endnote w:type="continuationSeparator" w:id="0">
    <w:p w:rsidR="00BC4EA1" w:rsidRDefault="00BC4EA1"/>
  </w:endnote>
  <w:endnote w:type="continuationNotice" w:id="1">
    <w:p w:rsidR="00BC4EA1" w:rsidRDefault="00BC4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F5" w:rsidRPr="00B850F5" w:rsidRDefault="00B850F5" w:rsidP="00B850F5">
    <w:pPr>
      <w:pStyle w:val="Footer"/>
      <w:tabs>
        <w:tab w:val="right" w:pos="9638"/>
      </w:tabs>
    </w:pPr>
    <w:r w:rsidRPr="00B850F5">
      <w:rPr>
        <w:b/>
        <w:sz w:val="18"/>
      </w:rPr>
      <w:fldChar w:fldCharType="begin"/>
    </w:r>
    <w:r w:rsidRPr="00B850F5">
      <w:rPr>
        <w:b/>
        <w:sz w:val="18"/>
      </w:rPr>
      <w:instrText xml:space="preserve"> PAGE  \* MERGEFORMAT </w:instrText>
    </w:r>
    <w:r w:rsidRPr="00B850F5">
      <w:rPr>
        <w:b/>
        <w:sz w:val="18"/>
      </w:rPr>
      <w:fldChar w:fldCharType="separate"/>
    </w:r>
    <w:r w:rsidR="00930AD6">
      <w:rPr>
        <w:b/>
        <w:noProof/>
        <w:sz w:val="18"/>
      </w:rPr>
      <w:t>2</w:t>
    </w:r>
    <w:r w:rsidRPr="00B850F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F5" w:rsidRPr="00B850F5" w:rsidRDefault="00B850F5" w:rsidP="00B850F5">
    <w:pPr>
      <w:pStyle w:val="Footer"/>
      <w:tabs>
        <w:tab w:val="right" w:pos="9638"/>
      </w:tabs>
      <w:rPr>
        <w:b/>
        <w:sz w:val="18"/>
      </w:rPr>
    </w:pPr>
    <w:r>
      <w:tab/>
    </w:r>
    <w:r w:rsidRPr="00B850F5">
      <w:rPr>
        <w:b/>
        <w:sz w:val="18"/>
      </w:rPr>
      <w:fldChar w:fldCharType="begin"/>
    </w:r>
    <w:r w:rsidRPr="00B850F5">
      <w:rPr>
        <w:b/>
        <w:sz w:val="18"/>
      </w:rPr>
      <w:instrText xml:space="preserve"> PAGE  \* MERGEFORMAT </w:instrText>
    </w:r>
    <w:r w:rsidRPr="00B850F5">
      <w:rPr>
        <w:b/>
        <w:sz w:val="18"/>
      </w:rPr>
      <w:fldChar w:fldCharType="separate"/>
    </w:r>
    <w:r w:rsidR="00930AD6">
      <w:rPr>
        <w:b/>
        <w:noProof/>
        <w:sz w:val="18"/>
      </w:rPr>
      <w:t>3</w:t>
    </w:r>
    <w:r w:rsidRPr="00B850F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B3" w:rsidRPr="00B850F5" w:rsidRDefault="00BC4EA1">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B850F5">
      <w:t>GE.</w:t>
    </w:r>
    <w:r w:rsidR="00986C06">
      <w:t>14-</w:t>
    </w:r>
    <w:r w:rsidR="00BC532B">
      <w:t>18808</w:t>
    </w:r>
    <w:r w:rsidR="00C52F1E">
      <w:t xml:space="preserve">  (E)</w:t>
    </w:r>
    <w:r w:rsidR="00C52F1E">
      <w:br/>
    </w:r>
    <w:r w:rsidR="00C52F1E">
      <w:rPr>
        <w:rFonts w:ascii="C39T30Lfz" w:hAnsi="C39T30Lfz"/>
        <w:sz w:val="56"/>
      </w:rPr>
      <w:t></w:t>
    </w:r>
    <w:r w:rsidR="00C52F1E">
      <w:rPr>
        <w:rFonts w:ascii="C39T30Lfz" w:hAnsi="C39T30Lfz"/>
        <w:sz w:val="56"/>
      </w:rPr>
      <w:t></w:t>
    </w:r>
    <w:r w:rsidR="00C52F1E">
      <w:rPr>
        <w:rFonts w:ascii="C39T30Lfz" w:hAnsi="C39T30Lfz"/>
        <w:sz w:val="56"/>
      </w:rPr>
      <w:t></w:t>
    </w:r>
    <w:r w:rsidR="00C52F1E">
      <w:rPr>
        <w:rFonts w:ascii="C39T30Lfz" w:hAnsi="C39T30Lfz"/>
        <w:sz w:val="56"/>
      </w:rPr>
      <w:t></w:t>
    </w:r>
    <w:r w:rsidR="00C52F1E">
      <w:rPr>
        <w:rFonts w:ascii="C39T30Lfz" w:hAnsi="C39T30Lfz"/>
        <w:sz w:val="56"/>
      </w:rPr>
      <w:t></w:t>
    </w:r>
    <w:r w:rsidR="00C52F1E">
      <w:rPr>
        <w:rFonts w:ascii="C39T30Lfz" w:hAnsi="C39T30Lfz"/>
        <w:sz w:val="56"/>
      </w:rPr>
      <w:t></w:t>
    </w:r>
    <w:r w:rsidR="00C52F1E">
      <w:rPr>
        <w:rFonts w:ascii="C39T30Lfz" w:hAnsi="C39T30Lfz"/>
        <w:sz w:val="56"/>
      </w:rPr>
      <w:t></w:t>
    </w:r>
    <w:r w:rsidR="00C52F1E">
      <w:rPr>
        <w:rFonts w:ascii="C39T30Lfz" w:hAnsi="C39T30Lfz"/>
        <w:sz w:val="56"/>
      </w:rPr>
      <w:t></w:t>
    </w:r>
    <w:r w:rsidR="00C52F1E" w:rsidRPr="00C52F1E">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17" w:rsidRPr="00861C7B" w:rsidRDefault="00AD3817" w:rsidP="00AD3817">
    <w:pPr>
      <w:pStyle w:val="Footer"/>
      <w:tabs>
        <w:tab w:val="right" w:pos="9598"/>
      </w:tabs>
    </w:pPr>
    <w:r w:rsidRPr="00861C7B">
      <w:rPr>
        <w:b/>
        <w:sz w:val="18"/>
      </w:rPr>
      <w:fldChar w:fldCharType="begin"/>
    </w:r>
    <w:r w:rsidRPr="00861C7B">
      <w:rPr>
        <w:b/>
        <w:sz w:val="18"/>
      </w:rPr>
      <w:instrText xml:space="preserve"> PAGE  \* MERGEFORMAT </w:instrText>
    </w:r>
    <w:r w:rsidRPr="00861C7B">
      <w:rPr>
        <w:b/>
        <w:sz w:val="18"/>
      </w:rPr>
      <w:fldChar w:fldCharType="separate"/>
    </w:r>
    <w:r>
      <w:rPr>
        <w:b/>
        <w:noProof/>
        <w:sz w:val="18"/>
      </w:rPr>
      <w:t>2</w:t>
    </w:r>
    <w:r w:rsidRPr="00861C7B">
      <w:rPr>
        <w:b/>
        <w:sz w:val="18"/>
      </w:rPr>
      <w:fldChar w:fldCharType="end"/>
    </w:r>
    <w:r>
      <w:rPr>
        <w:sz w:val="18"/>
      </w:rPr>
      <w:tab/>
    </w:r>
    <w:r>
      <w:t>GE.14-12068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17" w:rsidRPr="00861C7B" w:rsidRDefault="00AD3817" w:rsidP="00AD3817">
    <w:pPr>
      <w:pStyle w:val="Footer"/>
      <w:tabs>
        <w:tab w:val="right" w:pos="9598"/>
      </w:tabs>
      <w:rPr>
        <w:b/>
        <w:sz w:val="18"/>
      </w:rPr>
    </w:pPr>
    <w:r>
      <w:t>GE.14-12068</w:t>
    </w:r>
    <w:r>
      <w:tab/>
    </w:r>
    <w:r w:rsidRPr="00861C7B">
      <w:rPr>
        <w:b/>
        <w:sz w:val="18"/>
      </w:rPr>
      <w:fldChar w:fldCharType="begin"/>
    </w:r>
    <w:r w:rsidRPr="00861C7B">
      <w:rPr>
        <w:b/>
        <w:sz w:val="18"/>
      </w:rPr>
      <w:instrText xml:space="preserve"> PAGE  \* MERGEFORMAT </w:instrText>
    </w:r>
    <w:r w:rsidRPr="00861C7B">
      <w:rPr>
        <w:b/>
        <w:sz w:val="18"/>
      </w:rPr>
      <w:fldChar w:fldCharType="separate"/>
    </w:r>
    <w:r>
      <w:rPr>
        <w:b/>
        <w:noProof/>
        <w:sz w:val="18"/>
      </w:rPr>
      <w:t>3</w:t>
    </w:r>
    <w:r w:rsidRPr="00861C7B">
      <w:rPr>
        <w:b/>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17" w:rsidRPr="00861C7B" w:rsidRDefault="002E56FC" w:rsidP="00402ADA">
    <w:pPr>
      <w:spacing w:line="240" w:lineRule="auto"/>
      <w:jc w:val="right"/>
    </w:pPr>
    <w:r w:rsidRPr="00B850F5">
      <w:rPr>
        <w:b/>
        <w:sz w:val="18"/>
      </w:rPr>
      <w:fldChar w:fldCharType="begin"/>
    </w:r>
    <w:r w:rsidRPr="00B850F5">
      <w:rPr>
        <w:b/>
        <w:sz w:val="18"/>
      </w:rPr>
      <w:instrText xml:space="preserve"> PAGE  \* MERGEFORMAT </w:instrText>
    </w:r>
    <w:r w:rsidRPr="00B850F5">
      <w:rPr>
        <w:b/>
        <w:sz w:val="18"/>
      </w:rPr>
      <w:fldChar w:fldCharType="separate"/>
    </w:r>
    <w:r w:rsidR="00930AD6">
      <w:rPr>
        <w:b/>
        <w:noProof/>
        <w:sz w:val="18"/>
      </w:rPr>
      <w:t>9</w:t>
    </w:r>
    <w:r w:rsidRPr="00B850F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EA1" w:rsidRPr="000B175B" w:rsidRDefault="00BC4EA1" w:rsidP="000B175B">
      <w:pPr>
        <w:tabs>
          <w:tab w:val="right" w:pos="2155"/>
        </w:tabs>
        <w:spacing w:after="80"/>
        <w:ind w:left="680"/>
        <w:rPr>
          <w:u w:val="single"/>
        </w:rPr>
      </w:pPr>
      <w:r>
        <w:rPr>
          <w:u w:val="single"/>
        </w:rPr>
        <w:tab/>
      </w:r>
    </w:p>
  </w:footnote>
  <w:footnote w:type="continuationSeparator" w:id="0">
    <w:p w:rsidR="00BC4EA1" w:rsidRPr="00FC68B7" w:rsidRDefault="00BC4EA1" w:rsidP="00FC68B7">
      <w:pPr>
        <w:tabs>
          <w:tab w:val="left" w:pos="2155"/>
        </w:tabs>
        <w:spacing w:after="80"/>
        <w:ind w:left="680"/>
        <w:rPr>
          <w:u w:val="single"/>
        </w:rPr>
      </w:pPr>
      <w:r>
        <w:rPr>
          <w:u w:val="single"/>
        </w:rPr>
        <w:tab/>
      </w:r>
    </w:p>
  </w:footnote>
  <w:footnote w:type="continuationNotice" w:id="1">
    <w:p w:rsidR="00BC4EA1" w:rsidRDefault="00BC4EA1"/>
  </w:footnote>
  <w:footnote w:id="2">
    <w:p w:rsidR="005F6F51" w:rsidRDefault="005F6F51" w:rsidP="007770F4">
      <w:pPr>
        <w:pStyle w:val="FootnoteText"/>
      </w:pPr>
      <w:r>
        <w:tab/>
      </w:r>
      <w:r w:rsidRPr="007770F4">
        <w:rPr>
          <w:rStyle w:val="FootnoteReference"/>
          <w:sz w:val="20"/>
          <w:vertAlign w:val="baseline"/>
        </w:rPr>
        <w:t>*</w:t>
      </w:r>
      <w:r>
        <w:rPr>
          <w:rStyle w:val="FootnoteReference"/>
          <w:vertAlign w:val="baseline"/>
        </w:rPr>
        <w:tab/>
      </w:r>
      <w:r w:rsidRPr="005F6F51">
        <w:t xml:space="preserve">The following members of the Committee participated in the examination of the present communication: Yadh Ben Achour, Lazhari Bouzid, </w:t>
      </w:r>
      <w:r w:rsidRPr="00673BCC">
        <w:t xml:space="preserve">Christine Chanet, Cornelis Flinterman, Yuji Iwasawa, Walter Kälin, Zonke Zanele Majodina, Gerald L. Neuman, Sir Nigel Rodley, Víctor Manuel Rodríguez Rescia, </w:t>
      </w:r>
      <w:r w:rsidRPr="007770F4">
        <w:t xml:space="preserve">Fabián Omar Salvioli, </w:t>
      </w:r>
      <w:r w:rsidRPr="005F6F51">
        <w:t xml:space="preserve">Dheerujlall Seetulsingh, </w:t>
      </w:r>
      <w:r w:rsidRPr="007770F4">
        <w:t xml:space="preserve">Anja Seibert-Fohr, Yuval Shany, </w:t>
      </w:r>
      <w:r w:rsidRPr="005F6F51">
        <w:t xml:space="preserve">Konstantine Vardzelashvili, Margo Waterval and </w:t>
      </w:r>
      <w:r w:rsidRPr="007770F4">
        <w:t>Andrei Paul Zlătescu.</w:t>
      </w:r>
    </w:p>
    <w:p w:rsidR="00BA36A8" w:rsidRPr="00812BB2" w:rsidRDefault="00BA36A8" w:rsidP="007770F4">
      <w:pPr>
        <w:pStyle w:val="FootnoteText"/>
        <w:rPr>
          <w:lang w:val="en-US"/>
        </w:rPr>
      </w:pPr>
      <w:r>
        <w:rPr>
          <w:rStyle w:val="FootnoteReference"/>
          <w:vertAlign w:val="baseline"/>
        </w:rPr>
        <w:tab/>
      </w:r>
      <w:r>
        <w:tab/>
      </w:r>
      <w:r w:rsidRPr="00812BB2">
        <w:rPr>
          <w:lang w:val="en-US"/>
        </w:rPr>
        <w:t>The text of an individual opinion by Committee member Fabián Omar Salvioli (concurring) is appended to the present Views</w:t>
      </w:r>
      <w:r w:rsidR="00812BB2" w:rsidRPr="00812BB2">
        <w:rPr>
          <w:lang w:val="en-US"/>
        </w:rPr>
        <w:t>.</w:t>
      </w:r>
    </w:p>
  </w:footnote>
  <w:footnote w:id="3">
    <w:p w:rsidR="00733E39" w:rsidRDefault="00733E39" w:rsidP="00733E39">
      <w:pPr>
        <w:pStyle w:val="FootnoteText"/>
      </w:pPr>
      <w:r>
        <w:tab/>
      </w:r>
      <w:r w:rsidRPr="00812BB2">
        <w:rPr>
          <w:rStyle w:val="FootnoteReference"/>
        </w:rPr>
        <w:footnoteRef/>
      </w:r>
      <w:r>
        <w:rPr>
          <w:rFonts w:eastAsia="Arial Unicode MS" w:hAnsi="Arial Unicode MS" w:cs="Arial Unicode MS"/>
        </w:rPr>
        <w:t xml:space="preserve"> </w:t>
      </w:r>
      <w:r>
        <w:rPr>
          <w:rFonts w:eastAsia="Arial Unicode MS" w:hAnsi="Arial Unicode MS" w:cs="Arial Unicode MS"/>
        </w:rPr>
        <w:tab/>
        <w:t xml:space="preserve">The Optional Protocol entered into force for </w:t>
      </w:r>
      <w:r w:rsidR="001B2650">
        <w:rPr>
          <w:rFonts w:eastAsia="Arial Unicode MS" w:hAnsi="Arial Unicode MS" w:cs="Arial Unicode MS"/>
        </w:rPr>
        <w:t>the State party</w:t>
      </w:r>
      <w:r>
        <w:rPr>
          <w:rFonts w:eastAsia="Arial Unicode MS" w:hAnsi="Arial Unicode MS" w:cs="Arial Unicode MS"/>
        </w:rPr>
        <w:t xml:space="preserve"> on 30 December 1992.</w:t>
      </w:r>
    </w:p>
  </w:footnote>
  <w:footnote w:id="4">
    <w:p w:rsidR="00733E39" w:rsidRDefault="00733E39" w:rsidP="003E14AE">
      <w:pPr>
        <w:pStyle w:val="FootnoteText"/>
      </w:pPr>
      <w:r>
        <w:tab/>
      </w:r>
      <w:r w:rsidRPr="00AE57CA">
        <w:rPr>
          <w:rStyle w:val="FootnoteReference"/>
        </w:rPr>
        <w:footnoteRef/>
      </w:r>
      <w:r>
        <w:rPr>
          <w:rFonts w:eastAsia="Arial Unicode MS" w:hAnsi="Arial Unicode MS" w:cs="Arial Unicode MS"/>
        </w:rPr>
        <w:t xml:space="preserve"> </w:t>
      </w:r>
      <w:r>
        <w:rPr>
          <w:rFonts w:eastAsia="Arial Unicode MS" w:hAnsi="Arial Unicode MS" w:cs="Arial Unicode MS"/>
        </w:rPr>
        <w:tab/>
        <w:t xml:space="preserve">Law on Mass Media of the </w:t>
      </w:r>
      <w:smartTag w:uri="urn:schemas-microsoft-com:office:smarttags" w:element="place">
        <w:smartTag w:uri="urn:schemas-microsoft-com:office:smarttags" w:element="PlaceType">
          <w:r>
            <w:rPr>
              <w:rFonts w:eastAsia="Arial Unicode MS" w:hAnsi="Arial Unicode MS" w:cs="Arial Unicode MS"/>
            </w:rPr>
            <w:t>Republic</w:t>
          </w:r>
        </w:smartTag>
        <w:r>
          <w:rPr>
            <w:rFonts w:eastAsia="Arial Unicode MS" w:hAnsi="Arial Unicode MS" w:cs="Arial Unicode MS"/>
          </w:rPr>
          <w:t xml:space="preserve"> of </w:t>
        </w:r>
        <w:smartTag w:uri="urn:schemas-microsoft-com:office:smarttags" w:element="PlaceName">
          <w:r>
            <w:rPr>
              <w:rFonts w:eastAsia="Arial Unicode MS" w:hAnsi="Arial Unicode MS" w:cs="Arial Unicode MS"/>
            </w:rPr>
            <w:t>Belarus</w:t>
          </w:r>
        </w:smartTag>
      </w:smartTag>
      <w:r>
        <w:rPr>
          <w:rFonts w:eastAsia="Arial Unicode MS" w:hAnsi="Arial Unicode MS" w:cs="Arial Unicode MS"/>
        </w:rPr>
        <w:t>, No. 427-Z of July 17, 2008.</w:t>
      </w:r>
      <w:r>
        <w:rPr>
          <w:rFonts w:ascii="Arial Unicode MS" w:eastAsia="Arial Unicode MS" w:cs="Arial Unicode MS"/>
        </w:rPr>
        <w:t xml:space="preserve"> </w:t>
      </w:r>
      <w:r>
        <w:rPr>
          <w:rFonts w:eastAsia="Arial Unicode MS" w:hAnsi="Arial Unicode MS" w:cs="Arial Unicode MS"/>
        </w:rPr>
        <w:t xml:space="preserve">Available </w:t>
      </w:r>
      <w:r w:rsidR="00D3549A">
        <w:rPr>
          <w:rFonts w:eastAsia="Arial Unicode MS" w:hAnsi="Arial Unicode MS" w:cs="Arial Unicode MS"/>
        </w:rPr>
        <w:t>from</w:t>
      </w:r>
      <w:r>
        <w:rPr>
          <w:rFonts w:eastAsia="Arial Unicode MS" w:hAnsi="Arial Unicode MS" w:cs="Arial Unicode MS"/>
        </w:rPr>
        <w:t xml:space="preserve"> http://law.by/main.aspx?guid=3871&amp;p0=H10800427e. </w:t>
      </w:r>
    </w:p>
  </w:footnote>
  <w:footnote w:id="5">
    <w:p w:rsidR="00733E39" w:rsidRDefault="00733E39" w:rsidP="00BC6203">
      <w:pPr>
        <w:pStyle w:val="FootnoteText"/>
      </w:pPr>
      <w:r>
        <w:tab/>
      </w:r>
      <w:r w:rsidRPr="00AE57CA">
        <w:rPr>
          <w:rStyle w:val="FootnoteReference"/>
        </w:rPr>
        <w:footnoteRef/>
      </w:r>
      <w:r>
        <w:rPr>
          <w:rFonts w:eastAsia="Arial Unicode MS" w:hAnsi="Arial Unicode MS" w:cs="Arial Unicode MS"/>
        </w:rPr>
        <w:t xml:space="preserve"> </w:t>
      </w:r>
      <w:r>
        <w:rPr>
          <w:rFonts w:eastAsia="Arial Unicode MS" w:hAnsi="Arial Unicode MS" w:cs="Arial Unicode MS"/>
        </w:rPr>
        <w:tab/>
        <w:t>According to the decisions</w:t>
      </w:r>
      <w:r w:rsidR="00185D57">
        <w:rPr>
          <w:rFonts w:eastAsia="Arial Unicode MS" w:hAnsi="Arial Unicode MS" w:cs="Arial Unicode MS"/>
        </w:rPr>
        <w:t xml:space="preserve">, </w:t>
      </w:r>
      <w:r w:rsidR="00185D57" w:rsidRPr="00571761">
        <w:rPr>
          <w:rFonts w:eastAsia="Arial Unicode MS" w:hAnsi="Arial Unicode MS" w:cs="Arial Unicode MS"/>
        </w:rPr>
        <w:t>enclosed with the communication</w:t>
      </w:r>
      <w:r w:rsidR="00185D57">
        <w:rPr>
          <w:rFonts w:eastAsia="Arial Unicode MS" w:hAnsi="Arial Unicode MS" w:cs="Arial Unicode MS"/>
        </w:rPr>
        <w:t>,</w:t>
      </w:r>
      <w:r>
        <w:rPr>
          <w:rFonts w:eastAsia="Arial Unicode MS" w:hAnsi="Arial Unicode MS" w:cs="Arial Unicode MS"/>
        </w:rPr>
        <w:t xml:space="preserve"> of the </w:t>
      </w:r>
      <w:r w:rsidR="00D3549A">
        <w:rPr>
          <w:rFonts w:eastAsia="Arial Unicode MS" w:hAnsi="Arial Unicode MS" w:cs="Arial Unicode MS"/>
        </w:rPr>
        <w:t xml:space="preserve">Central </w:t>
      </w:r>
      <w:r>
        <w:rPr>
          <w:rFonts w:eastAsia="Arial Unicode MS" w:hAnsi="Arial Unicode MS" w:cs="Arial Unicode MS"/>
        </w:rPr>
        <w:t xml:space="preserve">Regional </w:t>
      </w:r>
      <w:r w:rsidR="00D3549A">
        <w:rPr>
          <w:rFonts w:eastAsia="Arial Unicode MS" w:hAnsi="Arial Unicode MS" w:cs="Arial Unicode MS"/>
        </w:rPr>
        <w:t xml:space="preserve">Court </w:t>
      </w:r>
      <w:r>
        <w:rPr>
          <w:rFonts w:eastAsia="Arial Unicode MS" w:hAnsi="Arial Unicode MS" w:cs="Arial Unicode MS"/>
        </w:rPr>
        <w:t xml:space="preserve">and of the Supreme </w:t>
      </w:r>
      <w:r w:rsidRPr="00185D57">
        <w:rPr>
          <w:rFonts w:eastAsia="Arial Unicode MS" w:hAnsi="Arial Unicode MS" w:cs="Arial Unicode MS"/>
        </w:rPr>
        <w:t>Court</w:t>
      </w:r>
      <w:r>
        <w:rPr>
          <w:rFonts w:eastAsia="Arial Unicode MS" w:hAnsi="Arial Unicode MS" w:cs="Arial Unicode MS"/>
        </w:rPr>
        <w:t>, dated</w:t>
      </w:r>
      <w:r w:rsidR="00D3549A">
        <w:rPr>
          <w:rFonts w:eastAsia="Arial Unicode MS" w:hAnsi="Arial Unicode MS" w:cs="Arial Unicode MS"/>
        </w:rPr>
        <w:t>,</w:t>
      </w:r>
      <w:r>
        <w:rPr>
          <w:rFonts w:eastAsia="Arial Unicode MS" w:hAnsi="Arial Unicode MS" w:cs="Arial Unicode MS"/>
        </w:rPr>
        <w:t xml:space="preserve"> respectively</w:t>
      </w:r>
      <w:r w:rsidR="00D3549A">
        <w:rPr>
          <w:rFonts w:eastAsia="Arial Unicode MS" w:hAnsi="Arial Unicode MS" w:cs="Arial Unicode MS"/>
        </w:rPr>
        <w:t>,</w:t>
      </w:r>
      <w:r>
        <w:rPr>
          <w:rFonts w:eastAsia="Arial Unicode MS" w:hAnsi="Arial Unicode MS" w:cs="Arial Unicode MS"/>
        </w:rPr>
        <w:t xml:space="preserve"> 24 September 2010 and 28 December 2010, it appears that essentially the author was convicted for distributing </w:t>
      </w:r>
      <w:r w:rsidR="00947A45">
        <w:rPr>
          <w:rFonts w:eastAsia="Arial Unicode MS" w:hAnsi="Arial Unicode MS" w:cs="Arial Unicode MS"/>
        </w:rPr>
        <w:t>“</w:t>
      </w:r>
      <w:r w:rsidR="005142B1">
        <w:rPr>
          <w:rFonts w:eastAsia="Arial Unicode MS" w:hAnsi="Arial Unicode MS" w:cs="Arial Unicode MS"/>
        </w:rPr>
        <w:t>greeting cards</w:t>
      </w:r>
      <w:r w:rsidR="00947A45">
        <w:rPr>
          <w:rFonts w:eastAsia="Arial Unicode MS" w:hAnsi="Arial Unicode MS" w:cs="Arial Unicode MS"/>
        </w:rPr>
        <w:t>”</w:t>
      </w:r>
      <w:r>
        <w:rPr>
          <w:rFonts w:eastAsia="Arial Unicode MS" w:hAnsi="Arial Unicode MS" w:cs="Arial Unicode MS"/>
        </w:rPr>
        <w:t xml:space="preserve"> printed by a political party </w:t>
      </w:r>
      <w:r w:rsidR="00D3549A">
        <w:rPr>
          <w:rFonts w:eastAsia="Arial Unicode MS" w:hAnsi="Arial Unicode MS" w:cs="Arial Unicode MS"/>
        </w:rPr>
        <w:t>that</w:t>
      </w:r>
      <w:r>
        <w:rPr>
          <w:rFonts w:eastAsia="Arial Unicode MS" w:hAnsi="Arial Unicode MS" w:cs="Arial Unicode MS"/>
        </w:rPr>
        <w:t xml:space="preserve"> had not been registered in accordance with the domestic legislation. The </w:t>
      </w:r>
      <w:r w:rsidR="00185D57">
        <w:rPr>
          <w:rFonts w:eastAsia="Arial Unicode MS" w:hAnsi="Arial Unicode MS" w:cs="Arial Unicode MS"/>
        </w:rPr>
        <w:t xml:space="preserve">Central </w:t>
      </w:r>
      <w:smartTag w:uri="urn:schemas-microsoft-com:office:smarttags" w:element="Street">
        <w:smartTag w:uri="urn:schemas-microsoft-com:office:smarttags" w:element="address">
          <w:r>
            <w:rPr>
              <w:rFonts w:eastAsia="Arial Unicode MS" w:hAnsi="Arial Unicode MS" w:cs="Arial Unicode MS"/>
            </w:rPr>
            <w:t>Regional Court</w:t>
          </w:r>
        </w:smartTag>
      </w:smartTag>
      <w:r>
        <w:rPr>
          <w:rFonts w:eastAsia="Arial Unicode MS" w:hAnsi="Arial Unicode MS" w:cs="Arial Unicode MS"/>
        </w:rPr>
        <w:t xml:space="preserve"> decision against the author refers to article 38, paragraph 1</w:t>
      </w:r>
      <w:r w:rsidR="00185D57">
        <w:rPr>
          <w:rFonts w:eastAsia="Arial Unicode MS" w:hAnsi="Arial Unicode MS" w:cs="Arial Unicode MS"/>
        </w:rPr>
        <w:t>,</w:t>
      </w:r>
      <w:r>
        <w:rPr>
          <w:rFonts w:eastAsia="Arial Unicode MS" w:hAnsi="Arial Unicode MS" w:cs="Arial Unicode MS"/>
        </w:rPr>
        <w:t xml:space="preserve"> of the Law </w:t>
      </w:r>
      <w:r w:rsidR="00185D57">
        <w:rPr>
          <w:rFonts w:eastAsia="Arial Unicode MS" w:hAnsi="Arial Unicode MS" w:cs="Arial Unicode MS"/>
        </w:rPr>
        <w:t>o</w:t>
      </w:r>
      <w:r>
        <w:rPr>
          <w:rFonts w:eastAsia="Arial Unicode MS" w:hAnsi="Arial Unicode MS" w:cs="Arial Unicode MS"/>
        </w:rPr>
        <w:t>n Mass Media</w:t>
      </w:r>
      <w:r w:rsidR="006F7084">
        <w:rPr>
          <w:rFonts w:eastAsia="Arial Unicode MS" w:hAnsi="Arial Unicode MS" w:cs="Arial Unicode MS"/>
        </w:rPr>
        <w:t>. The text of the law is</w:t>
      </w:r>
      <w:r w:rsidR="00E05F06">
        <w:rPr>
          <w:rFonts w:eastAsia="Arial Unicode MS" w:hAnsi="Arial Unicode MS" w:cs="Arial Unicode MS"/>
        </w:rPr>
        <w:t xml:space="preserve"> available from http://law.by/main.aspx?guid=3871&amp;p0=H10800427e.</w:t>
      </w:r>
      <w:r>
        <w:rPr>
          <w:rFonts w:eastAsia="Arial Unicode MS" w:hAnsi="Arial Unicode MS" w:cs="Arial Unicode MS"/>
        </w:rPr>
        <w:t xml:space="preserve"> </w:t>
      </w:r>
    </w:p>
  </w:footnote>
  <w:footnote w:id="6">
    <w:p w:rsidR="00733E39" w:rsidRDefault="00733E39" w:rsidP="00733E39">
      <w:pPr>
        <w:pStyle w:val="FootnoteText"/>
      </w:pPr>
      <w:r>
        <w:tab/>
      </w:r>
      <w:r>
        <w:rPr>
          <w:vertAlign w:val="superscript"/>
        </w:rPr>
        <w:footnoteRef/>
      </w:r>
      <w:r>
        <w:rPr>
          <w:rFonts w:eastAsia="Arial Unicode MS" w:hAnsi="Arial Unicode MS" w:cs="Arial Unicode MS"/>
        </w:rPr>
        <w:t xml:space="preserve"> </w:t>
      </w:r>
      <w:r>
        <w:rPr>
          <w:rFonts w:eastAsia="Arial Unicode MS" w:hAnsi="Arial Unicode MS" w:cs="Arial Unicode MS"/>
        </w:rPr>
        <w:tab/>
        <w:t>Communication No</w:t>
      </w:r>
      <w:r w:rsidR="00AE57CA">
        <w:rPr>
          <w:rFonts w:eastAsia="Arial Unicode MS" w:hAnsi="Arial Unicode MS" w:cs="Arial Unicode MS"/>
        </w:rPr>
        <w:t>.</w:t>
      </w:r>
      <w:r>
        <w:rPr>
          <w:rFonts w:eastAsia="Arial Unicode MS" w:hAnsi="Arial Unicode MS" w:cs="Arial Unicode MS"/>
        </w:rPr>
        <w:t xml:space="preserve"> 780/1997, </w:t>
      </w:r>
      <w:r>
        <w:rPr>
          <w:rFonts w:eastAsia="Arial Unicode MS" w:hAnsi="Arial Unicode MS" w:cs="Arial Unicode MS"/>
          <w:i/>
          <w:iCs/>
        </w:rPr>
        <w:t xml:space="preserve">Laptsevich </w:t>
      </w:r>
      <w:r w:rsidRPr="007770F4">
        <w:rPr>
          <w:rFonts w:eastAsia="Arial Unicode MS" w:hAnsi="Arial Unicode MS" w:cs="Arial Unicode MS"/>
        </w:rPr>
        <w:t>v.</w:t>
      </w:r>
      <w:r>
        <w:rPr>
          <w:rFonts w:eastAsia="Arial Unicode MS" w:hAnsi="Arial Unicode MS" w:cs="Arial Unicode MS"/>
          <w:i/>
          <w:iCs/>
        </w:rPr>
        <w:t xml:space="preserve"> Belarus</w:t>
      </w:r>
      <w:r>
        <w:rPr>
          <w:rFonts w:eastAsia="Arial Unicode MS" w:hAnsi="Arial Unicode MS" w:cs="Arial Unicode MS"/>
        </w:rPr>
        <w:t>, Views adopted on 20 March 200</w:t>
      </w:r>
      <w:r w:rsidR="0022362F">
        <w:rPr>
          <w:rFonts w:eastAsia="Arial Unicode MS" w:hAnsi="Arial Unicode MS" w:cs="Arial Unicode MS"/>
        </w:rPr>
        <w:t>0</w:t>
      </w:r>
      <w:r>
        <w:rPr>
          <w:rFonts w:eastAsia="Arial Unicode MS" w:hAnsi="Arial Unicode MS" w:cs="Arial Unicode MS"/>
        </w:rPr>
        <w:t>, para</w:t>
      </w:r>
      <w:r w:rsidR="00AE57CA">
        <w:rPr>
          <w:rFonts w:eastAsia="Arial Unicode MS" w:hAnsi="Arial Unicode MS" w:cs="Arial Unicode MS"/>
        </w:rPr>
        <w:t>.</w:t>
      </w:r>
      <w:r>
        <w:rPr>
          <w:rFonts w:eastAsia="Arial Unicode MS" w:hAnsi="Arial Unicode MS" w:cs="Arial Unicode MS"/>
        </w:rPr>
        <w:t xml:space="preserve"> 8.3.</w:t>
      </w:r>
    </w:p>
  </w:footnote>
  <w:footnote w:id="7">
    <w:p w:rsidR="00733E39" w:rsidRDefault="00733E39" w:rsidP="00A107D3">
      <w:pPr>
        <w:pStyle w:val="FootnoteText"/>
      </w:pPr>
      <w:r>
        <w:tab/>
      </w:r>
      <w:r>
        <w:rPr>
          <w:vertAlign w:val="superscript"/>
        </w:rPr>
        <w:footnoteRef/>
      </w:r>
      <w:r>
        <w:rPr>
          <w:rFonts w:eastAsia="Arial Unicode MS" w:hAnsi="Arial Unicode MS" w:cs="Arial Unicode MS"/>
        </w:rPr>
        <w:t xml:space="preserve"> </w:t>
      </w:r>
      <w:r>
        <w:rPr>
          <w:rFonts w:eastAsia="Arial Unicode MS" w:hAnsi="Arial Unicode MS" w:cs="Arial Unicode MS"/>
        </w:rPr>
        <w:tab/>
        <w:t xml:space="preserve">The author refers to communication 1838/2008, </w:t>
      </w:r>
      <w:r>
        <w:rPr>
          <w:rFonts w:eastAsia="Arial Unicode MS" w:hAnsi="Arial Unicode MS" w:cs="Arial Unicode MS"/>
          <w:i/>
          <w:iCs/>
        </w:rPr>
        <w:t xml:space="preserve">Tulzhenkova </w:t>
      </w:r>
      <w:r w:rsidRPr="007770F4">
        <w:rPr>
          <w:rFonts w:eastAsia="Arial Unicode MS" w:hAnsi="Arial Unicode MS" w:cs="Arial Unicode MS"/>
        </w:rPr>
        <w:t>v.</w:t>
      </w:r>
      <w:r>
        <w:rPr>
          <w:rFonts w:eastAsia="Arial Unicode MS" w:hAnsi="Arial Unicode MS" w:cs="Arial Unicode MS"/>
          <w:i/>
          <w:iCs/>
        </w:rPr>
        <w:t xml:space="preserve"> Belarus</w:t>
      </w:r>
      <w:r>
        <w:rPr>
          <w:rFonts w:eastAsia="Arial Unicode MS" w:hAnsi="Arial Unicode MS" w:cs="Arial Unicode MS"/>
        </w:rPr>
        <w:t xml:space="preserve">, </w:t>
      </w:r>
      <w:r w:rsidR="00A107D3">
        <w:rPr>
          <w:rFonts w:eastAsia="Arial Unicode MS" w:hAnsi="Arial Unicode MS" w:cs="Arial Unicode MS"/>
        </w:rPr>
        <w:t xml:space="preserve">Views </w:t>
      </w:r>
      <w:r>
        <w:rPr>
          <w:rFonts w:eastAsia="Arial Unicode MS" w:hAnsi="Arial Unicode MS" w:cs="Arial Unicode MS"/>
        </w:rPr>
        <w:t>adopted on 26 October 2011, para</w:t>
      </w:r>
      <w:r w:rsidR="00AE57CA">
        <w:rPr>
          <w:rFonts w:eastAsia="Arial Unicode MS" w:hAnsi="Arial Unicode MS" w:cs="Arial Unicode MS"/>
        </w:rPr>
        <w:t>.</w:t>
      </w:r>
      <w:r>
        <w:rPr>
          <w:rFonts w:eastAsia="Arial Unicode MS" w:hAnsi="Arial Unicode MS" w:cs="Arial Unicode MS"/>
        </w:rPr>
        <w:t xml:space="preserve"> 8.3.</w:t>
      </w:r>
    </w:p>
  </w:footnote>
  <w:footnote w:id="8">
    <w:p w:rsidR="00733E39" w:rsidRDefault="00733E39" w:rsidP="004129E6">
      <w:pPr>
        <w:pStyle w:val="FootnoteText"/>
      </w:pPr>
      <w:r>
        <w:tab/>
      </w:r>
      <w:r>
        <w:rPr>
          <w:vertAlign w:val="superscript"/>
        </w:rPr>
        <w:footnoteRef/>
      </w:r>
      <w:r>
        <w:rPr>
          <w:rFonts w:eastAsia="Arial Unicode MS" w:hAnsi="Arial Unicode MS" w:cs="Arial Unicode MS"/>
        </w:rPr>
        <w:t xml:space="preserve"> </w:t>
      </w:r>
      <w:r>
        <w:rPr>
          <w:rFonts w:eastAsia="Arial Unicode MS" w:hAnsi="Arial Unicode MS" w:cs="Arial Unicode MS"/>
        </w:rPr>
        <w:tab/>
        <w:t>The author refers to the Committee</w:t>
      </w:r>
      <w:r>
        <w:rPr>
          <w:rFonts w:ascii="Arial Unicode MS" w:eastAsia="Arial Unicode MS" w:cs="Arial Unicode MS"/>
        </w:rPr>
        <w:t>’</w:t>
      </w:r>
      <w:r>
        <w:rPr>
          <w:rFonts w:eastAsia="Arial Unicode MS" w:hAnsi="Arial Unicode MS" w:cs="Arial Unicode MS"/>
        </w:rPr>
        <w:t xml:space="preserve">s </w:t>
      </w:r>
      <w:r w:rsidR="00AF428A">
        <w:rPr>
          <w:rFonts w:eastAsia="Arial Unicode MS" w:hAnsi="Arial Unicode MS" w:cs="Arial Unicode MS"/>
        </w:rPr>
        <w:t>g</w:t>
      </w:r>
      <w:r>
        <w:rPr>
          <w:rFonts w:eastAsia="Arial Unicode MS" w:hAnsi="Arial Unicode MS" w:cs="Arial Unicode MS"/>
        </w:rPr>
        <w:t>eneral comment No</w:t>
      </w:r>
      <w:r w:rsidR="00B51001">
        <w:rPr>
          <w:rFonts w:eastAsia="Arial Unicode MS" w:hAnsi="Arial Unicode MS" w:cs="Arial Unicode MS"/>
        </w:rPr>
        <w:t>.</w:t>
      </w:r>
      <w:r>
        <w:rPr>
          <w:rFonts w:eastAsia="Arial Unicode MS" w:hAnsi="Arial Unicode MS" w:cs="Arial Unicode MS"/>
        </w:rPr>
        <w:t xml:space="preserve"> 33</w:t>
      </w:r>
      <w:r w:rsidR="00AF428A">
        <w:rPr>
          <w:rFonts w:eastAsia="Arial Unicode MS" w:hAnsi="Arial Unicode MS" w:cs="Arial Unicode MS"/>
        </w:rPr>
        <w:t xml:space="preserve"> (2008) on</w:t>
      </w:r>
      <w:r>
        <w:rPr>
          <w:rFonts w:eastAsia="Arial Unicode MS" w:hAnsi="Arial Unicode MS" w:cs="Arial Unicode MS"/>
        </w:rPr>
        <w:t xml:space="preserve"> </w:t>
      </w:r>
      <w:r w:rsidR="00AF428A">
        <w:rPr>
          <w:rFonts w:eastAsia="Arial Unicode MS" w:hAnsi="Arial Unicode MS" w:cs="Arial Unicode MS"/>
        </w:rPr>
        <w:t>t</w:t>
      </w:r>
      <w:r w:rsidRPr="007770F4">
        <w:rPr>
          <w:rFonts w:eastAsia="Arial Unicode MS" w:hAnsi="Arial Unicode MS" w:cs="Arial Unicode MS"/>
        </w:rPr>
        <w:t xml:space="preserve">he </w:t>
      </w:r>
      <w:r w:rsidR="00AF428A">
        <w:rPr>
          <w:rFonts w:eastAsia="Arial Unicode MS" w:hAnsi="Arial Unicode MS" w:cs="Arial Unicode MS"/>
        </w:rPr>
        <w:t>o</w:t>
      </w:r>
      <w:r w:rsidRPr="007770F4">
        <w:rPr>
          <w:rFonts w:eastAsia="Arial Unicode MS" w:hAnsi="Arial Unicode MS" w:cs="Arial Unicode MS"/>
        </w:rPr>
        <w:t xml:space="preserve">bligations of States </w:t>
      </w:r>
      <w:r w:rsidR="00AF428A">
        <w:rPr>
          <w:rFonts w:eastAsia="Arial Unicode MS" w:hAnsi="Arial Unicode MS" w:cs="Arial Unicode MS"/>
        </w:rPr>
        <w:t>p</w:t>
      </w:r>
      <w:r w:rsidRPr="007770F4">
        <w:rPr>
          <w:rFonts w:eastAsia="Arial Unicode MS" w:hAnsi="Arial Unicode MS" w:cs="Arial Unicode MS"/>
        </w:rPr>
        <w:t>arties under the Optional Protocol to the International Covenant on Civil and Political Rights,</w:t>
      </w:r>
      <w:r>
        <w:rPr>
          <w:rFonts w:eastAsia="Arial Unicode MS" w:hAnsi="Arial Unicode MS" w:cs="Arial Unicode MS"/>
        </w:rPr>
        <w:t xml:space="preserve"> paras</w:t>
      </w:r>
      <w:r w:rsidR="00AE57CA">
        <w:rPr>
          <w:rFonts w:eastAsia="Arial Unicode MS" w:hAnsi="Arial Unicode MS" w:cs="Arial Unicode MS"/>
        </w:rPr>
        <w:t>.</w:t>
      </w:r>
      <w:r w:rsidR="004129E6">
        <w:rPr>
          <w:rFonts w:eastAsia="Arial Unicode MS" w:hAnsi="Arial Unicode MS" w:cs="Arial Unicode MS"/>
        </w:rPr>
        <w:t> </w:t>
      </w:r>
      <w:r>
        <w:rPr>
          <w:rFonts w:eastAsia="Arial Unicode MS" w:hAnsi="Arial Unicode MS" w:cs="Arial Unicode MS"/>
        </w:rPr>
        <w:t>11</w:t>
      </w:r>
      <w:r w:rsidR="00C1290B">
        <w:rPr>
          <w:rFonts w:eastAsia="Arial Unicode MS" w:hAnsi="Arial Unicode MS" w:cs="Arial Unicode MS"/>
        </w:rPr>
        <w:t>–</w:t>
      </w:r>
      <w:r>
        <w:rPr>
          <w:rFonts w:eastAsia="Arial Unicode MS" w:hAnsi="Arial Unicode MS" w:cs="Arial Unicode MS"/>
        </w:rPr>
        <w:t>13.</w:t>
      </w:r>
    </w:p>
  </w:footnote>
  <w:footnote w:id="9">
    <w:p w:rsidR="00733E39" w:rsidRDefault="00733E39" w:rsidP="00E425D4">
      <w:pPr>
        <w:pStyle w:val="FootnoteText"/>
      </w:pPr>
      <w:r>
        <w:tab/>
      </w:r>
      <w:r>
        <w:rPr>
          <w:vertAlign w:val="superscript"/>
        </w:rPr>
        <w:footnoteRef/>
      </w:r>
      <w:r>
        <w:rPr>
          <w:rFonts w:eastAsia="Arial Unicode MS" w:hAnsi="Arial Unicode MS" w:cs="Arial Unicode MS"/>
        </w:rPr>
        <w:t xml:space="preserve"> </w:t>
      </w:r>
      <w:r>
        <w:rPr>
          <w:rFonts w:eastAsia="Arial Unicode MS" w:hAnsi="Arial Unicode MS" w:cs="Arial Unicode MS"/>
        </w:rPr>
        <w:tab/>
      </w:r>
      <w:r w:rsidR="00B51001">
        <w:rPr>
          <w:rFonts w:eastAsia="Arial Unicode MS" w:hAnsi="Arial Unicode MS" w:cs="Arial Unicode MS"/>
        </w:rPr>
        <w:t>See</w:t>
      </w:r>
      <w:r>
        <w:rPr>
          <w:rFonts w:eastAsia="Arial Unicode MS" w:hAnsi="Arial Unicode MS" w:cs="Arial Unicode MS"/>
        </w:rPr>
        <w:t xml:space="preserve"> </w:t>
      </w:r>
      <w:smartTag w:uri="urn:schemas-microsoft-com:office:smarttags" w:element="Street">
        <w:smartTag w:uri="urn:schemas-microsoft-com:office:smarttags" w:element="address">
          <w:r>
            <w:rPr>
              <w:rFonts w:eastAsia="Arial Unicode MS" w:hAnsi="Arial Unicode MS" w:cs="Arial Unicode MS"/>
            </w:rPr>
            <w:t>European Court</w:t>
          </w:r>
        </w:smartTag>
      </w:smartTag>
      <w:r>
        <w:rPr>
          <w:rFonts w:eastAsia="Arial Unicode MS" w:hAnsi="Arial Unicode MS" w:cs="Arial Unicode MS"/>
        </w:rPr>
        <w:t xml:space="preserve"> </w:t>
      </w:r>
      <w:r w:rsidR="00B51001">
        <w:rPr>
          <w:rFonts w:eastAsia="Arial Unicode MS" w:hAnsi="Arial Unicode MS" w:cs="Arial Unicode MS"/>
        </w:rPr>
        <w:t xml:space="preserve">of Human Rights, </w:t>
      </w:r>
      <w:r>
        <w:rPr>
          <w:rFonts w:eastAsia="Arial Unicode MS" w:hAnsi="Arial Unicode MS" w:cs="Arial Unicode MS"/>
          <w:i/>
          <w:iCs/>
        </w:rPr>
        <w:t xml:space="preserve">Tumilovich </w:t>
      </w:r>
      <w:r w:rsidR="00B51001" w:rsidRPr="007770F4">
        <w:rPr>
          <w:rFonts w:eastAsia="Arial Unicode MS" w:hAnsi="Arial Unicode MS" w:cs="Arial Unicode MS"/>
        </w:rPr>
        <w:t>v.</w:t>
      </w:r>
      <w:r>
        <w:rPr>
          <w:rFonts w:eastAsia="Arial Unicode MS" w:hAnsi="Arial Unicode MS" w:cs="Arial Unicode MS"/>
          <w:i/>
          <w:iCs/>
        </w:rPr>
        <w:t xml:space="preserve"> Russia</w:t>
      </w:r>
      <w:r>
        <w:rPr>
          <w:rFonts w:eastAsia="Arial Unicode MS" w:hAnsi="Arial Unicode MS" w:cs="Arial Unicode MS"/>
        </w:rPr>
        <w:t>, Application No</w:t>
      </w:r>
      <w:r w:rsidR="002E56FC">
        <w:rPr>
          <w:rFonts w:eastAsia="Arial Unicode MS" w:hAnsi="Arial Unicode MS" w:cs="Arial Unicode MS"/>
        </w:rPr>
        <w:t>.</w:t>
      </w:r>
      <w:r>
        <w:rPr>
          <w:rFonts w:eastAsia="Arial Unicode MS" w:hAnsi="Arial Unicode MS" w:cs="Arial Unicode MS"/>
        </w:rPr>
        <w:t xml:space="preserve"> </w:t>
      </w:r>
      <w:hyperlink r:id="rId1" w:anchor="%7B%5C" w:history="1">
        <w:r>
          <w:rPr>
            <w:rStyle w:val="Hyperlink1"/>
            <w:rFonts w:eastAsia="Arial Unicode MS" w:hAnsi="Arial Unicode MS" w:cs="Arial Unicode MS"/>
          </w:rPr>
          <w:t>47033/99</w:t>
        </w:r>
      </w:hyperlink>
      <w:r>
        <w:rPr>
          <w:rFonts w:eastAsia="Arial Unicode MS" w:hAnsi="Arial Unicode MS" w:cs="Arial Unicode MS"/>
        </w:rPr>
        <w:t xml:space="preserve">, decision </w:t>
      </w:r>
      <w:r w:rsidR="00E425D4">
        <w:rPr>
          <w:rFonts w:eastAsia="Arial Unicode MS" w:hAnsi="Arial Unicode MS" w:cs="Arial Unicode MS"/>
        </w:rPr>
        <w:t>on</w:t>
      </w:r>
      <w:r>
        <w:rPr>
          <w:rFonts w:eastAsia="Arial Unicode MS" w:hAnsi="Arial Unicode MS" w:cs="Arial Unicode MS"/>
        </w:rPr>
        <w:t xml:space="preserve"> admissibility of 22 June 1999.</w:t>
      </w:r>
    </w:p>
  </w:footnote>
  <w:footnote w:id="10">
    <w:p w:rsidR="00733E39" w:rsidRDefault="00733E39" w:rsidP="00BB2251">
      <w:pPr>
        <w:pStyle w:val="FootnoteText"/>
      </w:pPr>
      <w:r>
        <w:tab/>
      </w:r>
      <w:r>
        <w:rPr>
          <w:vertAlign w:val="superscript"/>
        </w:rPr>
        <w:footnoteRef/>
      </w:r>
      <w:r>
        <w:rPr>
          <w:rFonts w:eastAsia="Arial Unicode MS" w:hAnsi="Arial Unicode MS" w:cs="Arial Unicode MS"/>
        </w:rPr>
        <w:t xml:space="preserve"> </w:t>
      </w:r>
      <w:r>
        <w:rPr>
          <w:rFonts w:eastAsia="Arial Unicode MS" w:hAnsi="Arial Unicode MS" w:cs="Arial Unicode MS"/>
        </w:rPr>
        <w:tab/>
        <w:t xml:space="preserve">See communication No. 869/1999, </w:t>
      </w:r>
      <w:r>
        <w:rPr>
          <w:rFonts w:eastAsia="Arial Unicode MS" w:hAnsi="Arial Unicode MS" w:cs="Arial Unicode MS"/>
          <w:i/>
          <w:iCs/>
        </w:rPr>
        <w:t>Piandiong et al.</w:t>
      </w:r>
      <w:r>
        <w:rPr>
          <w:rFonts w:eastAsia="Arial Unicode MS" w:hAnsi="Arial Unicode MS" w:cs="Arial Unicode MS"/>
        </w:rPr>
        <w:t xml:space="preserve"> v.</w:t>
      </w:r>
      <w:r>
        <w:rPr>
          <w:rFonts w:eastAsia="Arial Unicode MS" w:hAnsi="Arial Unicode MS" w:cs="Arial Unicode MS"/>
          <w:i/>
          <w:iCs/>
        </w:rPr>
        <w:t xml:space="preserve"> Philippines</w:t>
      </w:r>
      <w:r>
        <w:rPr>
          <w:rFonts w:eastAsia="Arial Unicode MS" w:hAnsi="Arial Unicode MS" w:cs="Arial Unicode MS"/>
        </w:rPr>
        <w:t xml:space="preserve">, Views adopted on 19 October 2000, para. 5.1, and communication Nos. 1867/2009, 1936/2010, 1975/2010, 1977/2010, 1978/2010, 1979/2010, 1980/2010, 1981/2010 and 2010/2010, </w:t>
      </w:r>
      <w:r>
        <w:rPr>
          <w:rFonts w:eastAsia="Arial Unicode MS" w:hAnsi="Arial Unicode MS" w:cs="Arial Unicode MS"/>
          <w:i/>
          <w:iCs/>
        </w:rPr>
        <w:t xml:space="preserve">Levinov </w:t>
      </w:r>
      <w:r w:rsidRPr="007770F4">
        <w:rPr>
          <w:rFonts w:eastAsia="Arial Unicode MS" w:hAnsi="Arial Unicode MS" w:cs="Arial Unicode MS"/>
        </w:rPr>
        <w:t>v.</w:t>
      </w:r>
      <w:r>
        <w:rPr>
          <w:rFonts w:eastAsia="Arial Unicode MS" w:hAnsi="Arial Unicode MS" w:cs="Arial Unicode MS"/>
          <w:i/>
          <w:iCs/>
        </w:rPr>
        <w:t xml:space="preserve"> Belarus</w:t>
      </w:r>
      <w:r>
        <w:rPr>
          <w:rFonts w:eastAsia="Arial Unicode MS" w:hAnsi="Arial Unicode MS" w:cs="Arial Unicode MS"/>
        </w:rPr>
        <w:t>, Views adopted on 19 July 2012, para</w:t>
      </w:r>
      <w:r w:rsidR="002E56FC">
        <w:rPr>
          <w:rFonts w:eastAsia="Arial Unicode MS" w:hAnsi="Arial Unicode MS" w:cs="Arial Unicode MS"/>
        </w:rPr>
        <w:t>.</w:t>
      </w:r>
      <w:r w:rsidR="002E56FC">
        <w:rPr>
          <w:rFonts w:eastAsia="Arial Unicode MS" w:hAnsi="Arial Unicode MS" w:cs="Arial Unicode MS"/>
        </w:rPr>
        <w:t> </w:t>
      </w:r>
      <w:r>
        <w:rPr>
          <w:rFonts w:eastAsia="Arial Unicode MS" w:hAnsi="Arial Unicode MS" w:cs="Arial Unicode MS"/>
        </w:rPr>
        <w:t>8.2.</w:t>
      </w:r>
    </w:p>
  </w:footnote>
  <w:footnote w:id="11">
    <w:p w:rsidR="00733E39" w:rsidRDefault="00733E39" w:rsidP="0079520F">
      <w:pPr>
        <w:pStyle w:val="FootnoteText"/>
      </w:pPr>
      <w:r>
        <w:tab/>
      </w:r>
      <w:r>
        <w:rPr>
          <w:vertAlign w:val="superscript"/>
        </w:rPr>
        <w:footnoteRef/>
      </w:r>
      <w:r w:rsidRPr="007770F4">
        <w:rPr>
          <w:rFonts w:eastAsia="Arial Unicode MS" w:hAnsi="Arial Unicode MS" w:cs="Arial Unicode MS"/>
          <w:lang w:val="es-ES"/>
        </w:rPr>
        <w:t xml:space="preserve"> </w:t>
      </w:r>
      <w:r w:rsidRPr="007770F4">
        <w:rPr>
          <w:rFonts w:eastAsia="Arial Unicode MS" w:hAnsi="Arial Unicode MS" w:cs="Arial Unicode MS"/>
          <w:lang w:val="es-ES"/>
        </w:rPr>
        <w:tab/>
        <w:t xml:space="preserve">See </w:t>
      </w:r>
      <w:r w:rsidRPr="007770F4">
        <w:rPr>
          <w:rFonts w:eastAsia="Arial Unicode MS" w:hAnsi="Arial Unicode MS" w:cs="Arial Unicode MS"/>
          <w:i/>
          <w:iCs/>
          <w:lang w:val="es-ES"/>
        </w:rPr>
        <w:t xml:space="preserve">Levinov </w:t>
      </w:r>
      <w:r w:rsidRPr="007770F4">
        <w:rPr>
          <w:rFonts w:eastAsia="Arial Unicode MS" w:hAnsi="Arial Unicode MS" w:cs="Arial Unicode MS"/>
          <w:lang w:val="es-ES"/>
        </w:rPr>
        <w:t>v.</w:t>
      </w:r>
      <w:r w:rsidRPr="007770F4">
        <w:rPr>
          <w:rFonts w:eastAsia="Arial Unicode MS" w:hAnsi="Arial Unicode MS" w:cs="Arial Unicode MS"/>
          <w:i/>
          <w:iCs/>
          <w:lang w:val="es-ES"/>
        </w:rPr>
        <w:t xml:space="preserve"> Belarus</w:t>
      </w:r>
      <w:r w:rsidRPr="007770F4">
        <w:rPr>
          <w:rFonts w:eastAsia="Arial Unicode MS" w:hAnsi="Arial Unicode MS" w:cs="Arial Unicode MS"/>
          <w:lang w:val="es-ES"/>
        </w:rPr>
        <w:t xml:space="preserve">, </w:t>
      </w:r>
      <w:r w:rsidR="002E56FC" w:rsidRPr="007770F4">
        <w:rPr>
          <w:rFonts w:eastAsia="Arial Unicode MS" w:hAnsi="Arial Unicode MS" w:cs="Arial Unicode MS"/>
          <w:lang w:val="es-ES"/>
        </w:rPr>
        <w:t>para.</w:t>
      </w:r>
      <w:r w:rsidR="002E56FC" w:rsidRPr="007770F4">
        <w:rPr>
          <w:rFonts w:eastAsia="Arial Unicode MS" w:hAnsi="Arial Unicode MS" w:cs="Arial Unicode MS"/>
          <w:lang w:val="es-ES"/>
        </w:rPr>
        <w:t> </w:t>
      </w:r>
      <w:r>
        <w:rPr>
          <w:rFonts w:eastAsia="Arial Unicode MS" w:hAnsi="Arial Unicode MS" w:cs="Arial Unicode MS"/>
        </w:rPr>
        <w:t>8.2.</w:t>
      </w:r>
    </w:p>
  </w:footnote>
  <w:footnote w:id="12">
    <w:p w:rsidR="00F02189" w:rsidRPr="00B6380E" w:rsidRDefault="00F02189" w:rsidP="00F02189">
      <w:pPr>
        <w:pStyle w:val="FootnoteText"/>
        <w:rPr>
          <w:szCs w:val="18"/>
        </w:rPr>
      </w:pPr>
      <w:r>
        <w:rPr>
          <w:szCs w:val="18"/>
        </w:rPr>
        <w:tab/>
      </w:r>
      <w:r w:rsidRPr="00B6380E">
        <w:rPr>
          <w:rStyle w:val="FootnoteReference"/>
          <w:szCs w:val="18"/>
        </w:rPr>
        <w:footnoteRef/>
      </w:r>
      <w:r w:rsidRPr="00B6380E">
        <w:rPr>
          <w:szCs w:val="18"/>
        </w:rPr>
        <w:t xml:space="preserve"> </w:t>
      </w:r>
      <w:r>
        <w:rPr>
          <w:szCs w:val="18"/>
        </w:rPr>
        <w:tab/>
      </w:r>
      <w:r w:rsidRPr="000330D1">
        <w:rPr>
          <w:szCs w:val="18"/>
        </w:rPr>
        <w:t xml:space="preserve">Communication No. 1873/2009, </w:t>
      </w:r>
      <w:r w:rsidRPr="000330D1">
        <w:rPr>
          <w:i/>
          <w:szCs w:val="18"/>
        </w:rPr>
        <w:t xml:space="preserve">Alekseev </w:t>
      </w:r>
      <w:r w:rsidRPr="007770F4">
        <w:rPr>
          <w:iCs/>
          <w:szCs w:val="18"/>
        </w:rPr>
        <w:t>v.</w:t>
      </w:r>
      <w:r w:rsidRPr="000330D1">
        <w:rPr>
          <w:i/>
          <w:szCs w:val="18"/>
        </w:rPr>
        <w:t xml:space="preserve"> Russian Federation</w:t>
      </w:r>
      <w:r w:rsidRPr="000330D1">
        <w:rPr>
          <w:szCs w:val="18"/>
        </w:rPr>
        <w:t>, Views adopted on 25 October 2013, para</w:t>
      </w:r>
      <w:r w:rsidR="002E56FC">
        <w:rPr>
          <w:szCs w:val="18"/>
        </w:rPr>
        <w:t>. </w:t>
      </w:r>
      <w:r w:rsidRPr="000330D1">
        <w:rPr>
          <w:szCs w:val="18"/>
        </w:rPr>
        <w:t>8.4</w:t>
      </w:r>
      <w:r>
        <w:rPr>
          <w:szCs w:val="18"/>
        </w:rPr>
        <w:t>.</w:t>
      </w:r>
      <w:r w:rsidRPr="00B6380E">
        <w:rPr>
          <w:szCs w:val="18"/>
        </w:rPr>
        <w:t xml:space="preserve"> </w:t>
      </w:r>
    </w:p>
  </w:footnote>
  <w:footnote w:id="13">
    <w:p w:rsidR="00733E39" w:rsidRDefault="00733E39" w:rsidP="004129E6">
      <w:pPr>
        <w:pStyle w:val="FootnoteText"/>
      </w:pPr>
      <w:r>
        <w:tab/>
      </w:r>
      <w:r>
        <w:rPr>
          <w:vertAlign w:val="superscript"/>
        </w:rPr>
        <w:footnoteRef/>
      </w:r>
      <w:r>
        <w:rPr>
          <w:rFonts w:eastAsia="Arial Unicode MS" w:hAnsi="Arial Unicode MS" w:cs="Arial Unicode MS"/>
        </w:rPr>
        <w:t xml:space="preserve"> </w:t>
      </w:r>
      <w:r>
        <w:rPr>
          <w:rFonts w:eastAsia="Arial Unicode MS" w:hAnsi="Arial Unicode MS" w:cs="Arial Unicode MS"/>
        </w:rPr>
        <w:tab/>
        <w:t xml:space="preserve">See, </w:t>
      </w:r>
      <w:r w:rsidRPr="007770F4">
        <w:rPr>
          <w:rFonts w:eastAsia="Arial Unicode MS" w:hAnsi="Arial Unicode MS" w:cs="Arial Unicode MS"/>
        </w:rPr>
        <w:t>inter alia</w:t>
      </w:r>
      <w:r w:rsidR="00343D32">
        <w:rPr>
          <w:rFonts w:eastAsia="Arial Unicode MS" w:hAnsi="Arial Unicode MS" w:cs="Arial Unicode MS"/>
        </w:rPr>
        <w:t>,</w:t>
      </w:r>
      <w:r>
        <w:rPr>
          <w:rFonts w:eastAsia="Arial Unicode MS" w:hAnsi="Arial Unicode MS" w:cs="Arial Unicode MS"/>
        </w:rPr>
        <w:t xml:space="preserve"> communication</w:t>
      </w:r>
      <w:r w:rsidR="00343D32">
        <w:rPr>
          <w:rFonts w:eastAsia="Arial Unicode MS" w:hAnsi="Arial Unicode MS" w:cs="Arial Unicode MS"/>
        </w:rPr>
        <w:t>s</w:t>
      </w:r>
      <w:r>
        <w:rPr>
          <w:rFonts w:eastAsia="Arial Unicode MS" w:hAnsi="Arial Unicode MS" w:cs="Arial Unicode MS"/>
        </w:rPr>
        <w:t xml:space="preserve"> No. 541/1993, </w:t>
      </w:r>
      <w:r>
        <w:rPr>
          <w:rFonts w:eastAsia="Arial Unicode MS" w:hAnsi="Arial Unicode MS" w:cs="Arial Unicode MS"/>
          <w:i/>
          <w:iCs/>
        </w:rPr>
        <w:t xml:space="preserve">Simms </w:t>
      </w:r>
      <w:r w:rsidRPr="007770F4">
        <w:rPr>
          <w:rFonts w:eastAsia="Arial Unicode MS" w:hAnsi="Arial Unicode MS" w:cs="Arial Unicode MS"/>
        </w:rPr>
        <w:t xml:space="preserve">v. </w:t>
      </w:r>
      <w:smartTag w:uri="urn:schemas-microsoft-com:office:smarttags" w:element="place">
        <w:smartTag w:uri="urn:schemas-microsoft-com:office:smarttags" w:element="country-region">
          <w:r>
            <w:rPr>
              <w:rFonts w:eastAsia="Arial Unicode MS" w:hAnsi="Arial Unicode MS" w:cs="Arial Unicode MS"/>
              <w:i/>
              <w:iCs/>
            </w:rPr>
            <w:t>Jamaica</w:t>
          </w:r>
        </w:smartTag>
      </w:smartTag>
      <w:r>
        <w:rPr>
          <w:rFonts w:eastAsia="Arial Unicode MS" w:hAnsi="Arial Unicode MS" w:cs="Arial Unicode MS"/>
        </w:rPr>
        <w:t xml:space="preserve">, decision of inadmissibility adopted on 3 April 1995, para. 6.2; No. 1212/2003, </w:t>
      </w:r>
      <w:r>
        <w:rPr>
          <w:rFonts w:eastAsia="Arial Unicode MS" w:hAnsi="Arial Unicode MS" w:cs="Arial Unicode MS"/>
          <w:i/>
          <w:iCs/>
        </w:rPr>
        <w:t xml:space="preserve">Lanzarote </w:t>
      </w:r>
      <w:r w:rsidR="00CD641C" w:rsidRPr="00CD641C">
        <w:rPr>
          <w:rFonts w:eastAsia="Arial Unicode MS" w:hAnsi="Arial Unicode MS" w:cs="Arial Unicode MS"/>
          <w:i/>
          <w:iCs/>
        </w:rPr>
        <w:t>S</w:t>
      </w:r>
      <w:r w:rsidR="00CD641C" w:rsidRPr="00F1412A">
        <w:rPr>
          <w:rFonts w:eastAsia="Arial Unicode MS"/>
          <w:i/>
          <w:iCs/>
        </w:rPr>
        <w:t>á</w:t>
      </w:r>
      <w:r w:rsidR="00CD641C" w:rsidRPr="00CD641C">
        <w:rPr>
          <w:rFonts w:eastAsia="Arial Unicode MS" w:hAnsi="Arial Unicode MS" w:cs="Arial Unicode MS"/>
          <w:i/>
          <w:iCs/>
        </w:rPr>
        <w:t>nchez</w:t>
      </w:r>
      <w:r w:rsidR="00CD641C">
        <w:rPr>
          <w:rFonts w:eastAsia="Arial Unicode MS" w:hAnsi="Arial Unicode MS" w:cs="Arial Unicode MS"/>
          <w:i/>
          <w:iCs/>
        </w:rPr>
        <w:t xml:space="preserve"> </w:t>
      </w:r>
      <w:r w:rsidRPr="007770F4">
        <w:rPr>
          <w:rFonts w:eastAsia="Arial Unicode MS" w:hAnsi="Arial Unicode MS" w:cs="Arial Unicode MS"/>
        </w:rPr>
        <w:t>v.</w:t>
      </w:r>
      <w:r>
        <w:rPr>
          <w:rFonts w:eastAsia="Arial Unicode MS" w:hAnsi="Arial Unicode MS" w:cs="Arial Unicode MS"/>
          <w:i/>
          <w:iCs/>
        </w:rPr>
        <w:t xml:space="preserve"> </w:t>
      </w:r>
      <w:smartTag w:uri="urn:schemas-microsoft-com:office:smarttags" w:element="country-region">
        <w:smartTag w:uri="urn:schemas-microsoft-com:office:smarttags" w:element="place">
          <w:r>
            <w:rPr>
              <w:rFonts w:eastAsia="Arial Unicode MS" w:hAnsi="Arial Unicode MS" w:cs="Arial Unicode MS"/>
              <w:i/>
              <w:iCs/>
            </w:rPr>
            <w:t>Spain</w:t>
          </w:r>
        </w:smartTag>
      </w:smartTag>
      <w:r>
        <w:rPr>
          <w:rFonts w:eastAsia="Arial Unicode MS" w:hAnsi="Arial Unicode MS" w:cs="Arial Unicode MS"/>
        </w:rPr>
        <w:t xml:space="preserve">, decision of inadmissibility </w:t>
      </w:r>
      <w:r w:rsidR="004129E6">
        <w:rPr>
          <w:rFonts w:eastAsia="Arial Unicode MS" w:hAnsi="Arial Unicode MS" w:cs="Arial Unicode MS"/>
        </w:rPr>
        <w:t xml:space="preserve">adopted on </w:t>
      </w:r>
      <w:r>
        <w:rPr>
          <w:rFonts w:eastAsia="Arial Unicode MS" w:hAnsi="Arial Unicode MS" w:cs="Arial Unicode MS"/>
        </w:rPr>
        <w:t xml:space="preserve">25 July 2006, para. 6.3; </w:t>
      </w:r>
      <w:r w:rsidR="00343D32">
        <w:rPr>
          <w:rFonts w:eastAsia="Arial Unicode MS" w:hAnsi="Arial Unicode MS" w:cs="Arial Unicode MS"/>
        </w:rPr>
        <w:t xml:space="preserve">and </w:t>
      </w:r>
      <w:r>
        <w:rPr>
          <w:rFonts w:eastAsia="Arial Unicode MS" w:hAnsi="Arial Unicode MS" w:cs="Arial Unicode MS"/>
        </w:rPr>
        <w:t xml:space="preserve">No. 1537/2006, </w:t>
      </w:r>
      <w:r>
        <w:rPr>
          <w:rFonts w:eastAsia="Arial Unicode MS" w:hAnsi="Arial Unicode MS" w:cs="Arial Unicode MS"/>
          <w:i/>
          <w:iCs/>
        </w:rPr>
        <w:t xml:space="preserve">Gerashchenko </w:t>
      </w:r>
      <w:r w:rsidRPr="007770F4">
        <w:rPr>
          <w:rFonts w:eastAsia="Arial Unicode MS" w:hAnsi="Arial Unicode MS" w:cs="Arial Unicode MS"/>
        </w:rPr>
        <w:t>v.</w:t>
      </w:r>
      <w:r>
        <w:rPr>
          <w:rFonts w:eastAsia="Arial Unicode MS" w:hAnsi="Arial Unicode MS" w:cs="Arial Unicode MS"/>
          <w:i/>
          <w:iCs/>
        </w:rPr>
        <w:t xml:space="preserve"> </w:t>
      </w:r>
      <w:smartTag w:uri="urn:schemas-microsoft-com:office:smarttags" w:element="country-region">
        <w:smartTag w:uri="urn:schemas-microsoft-com:office:smarttags" w:element="place">
          <w:r>
            <w:rPr>
              <w:rFonts w:eastAsia="Arial Unicode MS" w:hAnsi="Arial Unicode MS" w:cs="Arial Unicode MS"/>
              <w:i/>
              <w:iCs/>
            </w:rPr>
            <w:t>Belarus</w:t>
          </w:r>
        </w:smartTag>
      </w:smartTag>
      <w:r>
        <w:rPr>
          <w:rFonts w:eastAsia="Arial Unicode MS" w:hAnsi="Arial Unicode MS" w:cs="Arial Unicode MS"/>
        </w:rPr>
        <w:t>, decision of inadmissib</w:t>
      </w:r>
      <w:r w:rsidR="002E56FC">
        <w:rPr>
          <w:rFonts w:eastAsia="Arial Unicode MS" w:hAnsi="Arial Unicode MS" w:cs="Arial Unicode MS"/>
        </w:rPr>
        <w:t xml:space="preserve">ility </w:t>
      </w:r>
      <w:r w:rsidR="004129E6">
        <w:rPr>
          <w:rFonts w:eastAsia="Arial Unicode MS" w:hAnsi="Arial Unicode MS" w:cs="Arial Unicode MS"/>
        </w:rPr>
        <w:t>adopted on</w:t>
      </w:r>
      <w:r w:rsidR="002E56FC">
        <w:rPr>
          <w:rFonts w:eastAsia="Arial Unicode MS" w:hAnsi="Arial Unicode MS" w:cs="Arial Unicode MS"/>
        </w:rPr>
        <w:t xml:space="preserve"> 23 October 2009, para.</w:t>
      </w:r>
      <w:r w:rsidR="002E56FC">
        <w:rPr>
          <w:rFonts w:eastAsia="Arial Unicode MS" w:hAnsi="Arial Unicode MS" w:cs="Arial Unicode MS"/>
        </w:rPr>
        <w:t> </w:t>
      </w:r>
      <w:r>
        <w:rPr>
          <w:rFonts w:eastAsia="Arial Unicode MS" w:hAnsi="Arial Unicode MS" w:cs="Arial Unicode MS"/>
        </w:rPr>
        <w:t>6.5.</w:t>
      </w:r>
    </w:p>
  </w:footnote>
  <w:footnote w:id="14">
    <w:p w:rsidR="00F02189" w:rsidRDefault="005F6F51" w:rsidP="00F02189">
      <w:pPr>
        <w:pStyle w:val="FootnoteText"/>
      </w:pPr>
      <w:r>
        <w:tab/>
      </w:r>
      <w:r w:rsidR="00F02189">
        <w:rPr>
          <w:rStyle w:val="FootnoteReference"/>
        </w:rPr>
        <w:footnoteRef/>
      </w:r>
      <w:r>
        <w:tab/>
      </w:r>
      <w:r w:rsidR="00F02189" w:rsidRPr="00C41424">
        <w:t xml:space="preserve">General comment </w:t>
      </w:r>
      <w:r w:rsidR="00CD641C">
        <w:t xml:space="preserve">No. </w:t>
      </w:r>
      <w:r w:rsidR="00F02189" w:rsidRPr="00C41424">
        <w:t>31 (2004)</w:t>
      </w:r>
      <w:r w:rsidR="00CD641C">
        <w:t xml:space="preserve"> on the nature of the general legal obligation imposed on States parties to the Covenant</w:t>
      </w:r>
      <w:r w:rsidR="00F02189" w:rsidRPr="00C41424">
        <w:t xml:space="preserve">, para. 13. The Committee did </w:t>
      </w:r>
      <w:r w:rsidR="00F02189">
        <w:t>indicate</w:t>
      </w:r>
      <w:r w:rsidR="00F02189" w:rsidRPr="00C41424">
        <w:t>, however</w:t>
      </w:r>
      <w:r w:rsidR="00E945AE">
        <w:t>,</w:t>
      </w:r>
      <w:r w:rsidR="00F02189" w:rsidRPr="00C41424">
        <w:t xml:space="preserve"> that</w:t>
      </w:r>
      <w:r w:rsidR="00F90A0F">
        <w:t>: “</w:t>
      </w:r>
      <w:r w:rsidR="00F02189" w:rsidRPr="00C41424">
        <w:t>[</w:t>
      </w:r>
      <w:r w:rsidR="007351EB">
        <w:t>I</w:t>
      </w:r>
      <w:r w:rsidR="00F02189" w:rsidRPr="00C41424">
        <w:t>t] takes the view, however, that Covenant guarantees may receive enhanced protection in those States where the Covenant is automatically or through specific incorporation part of the domestic legal order. [</w:t>
      </w:r>
      <w:r w:rsidR="007351EB">
        <w:t>I</w:t>
      </w:r>
      <w:r w:rsidR="00F02189" w:rsidRPr="00C41424">
        <w:t>t] invites those States Parties in which the Covenant does not form part of the domestic legal order to consider incorporation of the Covenant to render it part of domestic law to facilitate full realization of Covenant rights as required by article 2</w:t>
      </w:r>
      <w:r w:rsidR="00F90A0F">
        <w:t>”</w:t>
      </w:r>
      <w:r w:rsidR="00E945AE">
        <w:t xml:space="preserve"> (ibid</w:t>
      </w:r>
      <w:r w:rsidR="00CD641C">
        <w:t>.</w:t>
      </w:r>
      <w:r w:rsidR="00E945AE">
        <w:t>, para</w:t>
      </w:r>
      <w:r w:rsidR="002E56FC">
        <w:t>. </w:t>
      </w:r>
      <w:r w:rsidR="00E945AE">
        <w:t>13).</w:t>
      </w:r>
    </w:p>
  </w:footnote>
  <w:footnote w:id="15">
    <w:p w:rsidR="00733E39" w:rsidRDefault="00733E39" w:rsidP="00D3549A">
      <w:pPr>
        <w:pStyle w:val="FootnoteText"/>
      </w:pPr>
      <w:r>
        <w:tab/>
      </w:r>
      <w:r>
        <w:rPr>
          <w:vertAlign w:val="superscript"/>
        </w:rPr>
        <w:footnoteRef/>
      </w:r>
      <w:r>
        <w:rPr>
          <w:rFonts w:eastAsia="Arial Unicode MS" w:hAnsi="Arial Unicode MS" w:cs="Arial Unicode MS"/>
        </w:rPr>
        <w:t xml:space="preserve"> </w:t>
      </w:r>
      <w:r>
        <w:rPr>
          <w:rFonts w:eastAsia="Arial Unicode MS" w:hAnsi="Arial Unicode MS" w:cs="Arial Unicode MS"/>
        </w:rPr>
        <w:tab/>
      </w:r>
      <w:r w:rsidR="007A1C91">
        <w:rPr>
          <w:rFonts w:eastAsia="Arial Unicode MS" w:hAnsi="Arial Unicode MS" w:cs="Arial Unicode MS"/>
        </w:rPr>
        <w:t>Ibid.</w:t>
      </w:r>
      <w:r>
        <w:rPr>
          <w:rFonts w:eastAsia="Arial Unicode MS" w:hAnsi="Arial Unicode MS" w:cs="Arial Unicode MS"/>
        </w:rPr>
        <w:t>, para.</w:t>
      </w:r>
      <w:r w:rsidR="002E56FC">
        <w:rPr>
          <w:rFonts w:eastAsia="Arial Unicode MS" w:hAnsi="Arial Unicode MS" w:cs="Arial Unicode MS"/>
        </w:rPr>
        <w:t xml:space="preserve"> </w:t>
      </w:r>
      <w:r>
        <w:rPr>
          <w:rFonts w:eastAsia="Arial Unicode MS" w:hAnsi="Arial Unicode MS" w:cs="Arial Unicode MS"/>
        </w:rPr>
        <w:t>34.</w:t>
      </w:r>
    </w:p>
  </w:footnote>
  <w:footnote w:id="16">
    <w:p w:rsidR="00733E39" w:rsidRDefault="00733E39" w:rsidP="00733E39">
      <w:pPr>
        <w:tabs>
          <w:tab w:val="right" w:pos="1021"/>
        </w:tabs>
        <w:spacing w:line="220" w:lineRule="exact"/>
        <w:ind w:left="1134" w:right="1134" w:hanging="1134"/>
      </w:pPr>
      <w:r>
        <w:tab/>
      </w:r>
      <w:r>
        <w:rPr>
          <w:vertAlign w:val="superscript"/>
        </w:rPr>
        <w:footnoteRef/>
      </w:r>
      <w:r>
        <w:t xml:space="preserve"> </w:t>
      </w:r>
      <w:r>
        <w:tab/>
      </w:r>
      <w:r>
        <w:rPr>
          <w:sz w:val="18"/>
          <w:szCs w:val="18"/>
        </w:rPr>
        <w:t xml:space="preserve">See communication No. 1604/2007, </w:t>
      </w:r>
      <w:r>
        <w:rPr>
          <w:i/>
          <w:iCs/>
          <w:sz w:val="18"/>
          <w:szCs w:val="18"/>
        </w:rPr>
        <w:t xml:space="preserve">Zalesskaya </w:t>
      </w:r>
      <w:r w:rsidRPr="007770F4">
        <w:rPr>
          <w:sz w:val="18"/>
          <w:szCs w:val="18"/>
        </w:rPr>
        <w:t>v.</w:t>
      </w:r>
      <w:r>
        <w:rPr>
          <w:i/>
          <w:iCs/>
          <w:sz w:val="18"/>
          <w:szCs w:val="18"/>
        </w:rPr>
        <w:t xml:space="preserve"> </w:t>
      </w:r>
      <w:smartTag w:uri="urn:schemas-microsoft-com:office:smarttags" w:element="country-region">
        <w:smartTag w:uri="urn:schemas-microsoft-com:office:smarttags" w:element="place">
          <w:r>
            <w:rPr>
              <w:i/>
              <w:iCs/>
              <w:sz w:val="18"/>
              <w:szCs w:val="18"/>
            </w:rPr>
            <w:t>Belarus</w:t>
          </w:r>
        </w:smartTag>
      </w:smartTag>
      <w:r>
        <w:rPr>
          <w:sz w:val="18"/>
          <w:szCs w:val="18"/>
        </w:rPr>
        <w:t>, Views ad</w:t>
      </w:r>
      <w:r w:rsidR="002E56FC">
        <w:rPr>
          <w:sz w:val="18"/>
          <w:szCs w:val="18"/>
        </w:rPr>
        <w:t>opted on 28 March 2011, para. </w:t>
      </w:r>
      <w:r>
        <w:rPr>
          <w:sz w:val="18"/>
          <w:szCs w:val="18"/>
        </w:rPr>
        <w:t>10.5.</w:t>
      </w:r>
    </w:p>
  </w:footnote>
  <w:footnote w:id="17">
    <w:p w:rsidR="00733E39" w:rsidRDefault="00733E39" w:rsidP="006D1E4B">
      <w:pPr>
        <w:pStyle w:val="FootnoteText"/>
      </w:pPr>
      <w:r>
        <w:tab/>
      </w:r>
      <w:r>
        <w:rPr>
          <w:vertAlign w:val="superscript"/>
        </w:rPr>
        <w:footnoteRef/>
      </w:r>
      <w:r>
        <w:rPr>
          <w:rFonts w:eastAsia="Arial Unicode MS" w:hAnsi="Arial Unicode MS" w:cs="Arial Unicode MS"/>
        </w:rPr>
        <w:t xml:space="preserve"> </w:t>
      </w:r>
      <w:r>
        <w:rPr>
          <w:rFonts w:eastAsia="Arial Unicode MS" w:hAnsi="Arial Unicode MS" w:cs="Arial Unicode MS"/>
        </w:rPr>
        <w:tab/>
        <w:t xml:space="preserve">See communications No. 927/2000, </w:t>
      </w:r>
      <w:r>
        <w:rPr>
          <w:rFonts w:eastAsia="Arial Unicode MS" w:hAnsi="Arial Unicode MS" w:cs="Arial Unicode MS"/>
          <w:i/>
          <w:iCs/>
        </w:rPr>
        <w:t xml:space="preserve">Svetik </w:t>
      </w:r>
      <w:r>
        <w:rPr>
          <w:rFonts w:eastAsia="Arial Unicode MS" w:hAnsi="Arial Unicode MS" w:cs="Arial Unicode MS"/>
        </w:rPr>
        <w:t xml:space="preserve">v. </w:t>
      </w:r>
      <w:smartTag w:uri="urn:schemas-microsoft-com:office:smarttags" w:element="place">
        <w:smartTag w:uri="urn:schemas-microsoft-com:office:smarttags" w:element="country-region">
          <w:r>
            <w:rPr>
              <w:rFonts w:eastAsia="Arial Unicode MS" w:hAnsi="Arial Unicode MS" w:cs="Arial Unicode MS"/>
              <w:i/>
              <w:iCs/>
            </w:rPr>
            <w:t>Belarus</w:t>
          </w:r>
        </w:smartTag>
      </w:smartTag>
      <w:r>
        <w:rPr>
          <w:rFonts w:eastAsia="Arial Unicode MS" w:hAnsi="Arial Unicode MS" w:cs="Arial Unicode MS"/>
        </w:rPr>
        <w:t>, Views adopted on 8 July 2004, para. 7.3</w:t>
      </w:r>
      <w:r w:rsidR="00832FC6">
        <w:rPr>
          <w:rFonts w:eastAsia="Arial Unicode MS" w:hAnsi="Arial Unicode MS" w:cs="Arial Unicode MS"/>
        </w:rPr>
        <w:t>,</w:t>
      </w:r>
      <w:r>
        <w:rPr>
          <w:rFonts w:eastAsia="Arial Unicode MS" w:hAnsi="Arial Unicode MS" w:cs="Arial Unicode MS"/>
        </w:rPr>
        <w:t xml:space="preserve"> and No. 1009/2001, </w:t>
      </w:r>
      <w:r>
        <w:rPr>
          <w:rFonts w:eastAsia="Arial Unicode MS" w:hAnsi="Arial Unicode MS" w:cs="Arial Unicode MS"/>
          <w:i/>
          <w:iCs/>
        </w:rPr>
        <w:t xml:space="preserve">Shchetko </w:t>
      </w:r>
      <w:r>
        <w:rPr>
          <w:rFonts w:eastAsia="Arial Unicode MS" w:hAnsi="Arial Unicode MS" w:cs="Arial Unicode MS"/>
        </w:rPr>
        <w:t xml:space="preserve">v. </w:t>
      </w:r>
      <w:smartTag w:uri="urn:schemas-microsoft-com:office:smarttags" w:element="place">
        <w:smartTag w:uri="urn:schemas-microsoft-com:office:smarttags" w:element="country-region">
          <w:r>
            <w:rPr>
              <w:rFonts w:eastAsia="Arial Unicode MS" w:hAnsi="Arial Unicode MS" w:cs="Arial Unicode MS"/>
              <w:i/>
              <w:iCs/>
            </w:rPr>
            <w:t>Belarus</w:t>
          </w:r>
        </w:smartTag>
      </w:smartTag>
      <w:r>
        <w:rPr>
          <w:rFonts w:eastAsia="Arial Unicode MS" w:hAnsi="Arial Unicode MS" w:cs="Arial Unicode MS"/>
        </w:rPr>
        <w:t>, Views</w:t>
      </w:r>
      <w:r w:rsidR="002E56FC">
        <w:rPr>
          <w:rFonts w:eastAsia="Arial Unicode MS" w:hAnsi="Arial Unicode MS" w:cs="Arial Unicode MS"/>
        </w:rPr>
        <w:t xml:space="preserve"> adopted on 11 July 2006, para.</w:t>
      </w:r>
      <w:r w:rsidR="002E56FC">
        <w:rPr>
          <w:rFonts w:eastAsia="Arial Unicode MS" w:hAnsi="Arial Unicode MS" w:cs="Arial Unicode MS"/>
        </w:rPr>
        <w:t> </w:t>
      </w:r>
      <w:r>
        <w:rPr>
          <w:rFonts w:eastAsia="Arial Unicode MS" w:hAnsi="Arial Unicode MS" w:cs="Arial Unicode MS"/>
        </w:rPr>
        <w:t>7.5.</w:t>
      </w:r>
    </w:p>
  </w:footnote>
  <w:footnote w:id="18">
    <w:p w:rsidR="00BA36A8" w:rsidRDefault="00BA36A8" w:rsidP="00BA36A8">
      <w:pPr>
        <w:pStyle w:val="FootnoteText"/>
      </w:pPr>
      <w:r>
        <w:tab/>
      </w:r>
      <w:r>
        <w:rPr>
          <w:rStyle w:val="FootnoteReference"/>
        </w:rPr>
        <w:footnoteRef/>
      </w:r>
      <w:r>
        <w:tab/>
        <w:t xml:space="preserve">During the same session </w:t>
      </w:r>
      <w:r w:rsidR="00832FC6">
        <w:t>at</w:t>
      </w:r>
      <w:r>
        <w:t xml:space="preserve"> which the Views in the present case were adopted, the Committee adopted concluding observations concerning Ireland (</w:t>
      </w:r>
      <w:r w:rsidR="00B72D2B">
        <w:t xml:space="preserve">CCPR/C/IRL/CO/4, </w:t>
      </w:r>
      <w:r>
        <w:t>see para. 5 thereof), Japan (</w:t>
      </w:r>
      <w:r w:rsidR="00B72D2B" w:rsidRPr="00B72D2B">
        <w:t>CCPR/C/JPN/CO/6</w:t>
      </w:r>
      <w:r w:rsidR="00B72D2B">
        <w:t xml:space="preserve">, </w:t>
      </w:r>
      <w:r>
        <w:t>see para. 6 thereof) and Malawi (</w:t>
      </w:r>
      <w:r w:rsidR="00B72D2B" w:rsidRPr="00B72D2B">
        <w:t>CCPR/C/MWI/CO/1/Add</w:t>
      </w:r>
      <w:r w:rsidR="00DB7363">
        <w:t xml:space="preserve"> </w:t>
      </w:r>
      <w:r w:rsidR="00B72D2B" w:rsidRPr="00B72D2B">
        <w:t>.1</w:t>
      </w:r>
      <w:r w:rsidR="00B72D2B">
        <w:t xml:space="preserve">, </w:t>
      </w:r>
      <w:r>
        <w:t>see para. 5 thereof).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F5" w:rsidRPr="00B850F5" w:rsidRDefault="00B850F5">
    <w:pPr>
      <w:pStyle w:val="Header"/>
    </w:pPr>
    <w:r>
      <w:t>CCPR/C/111/D/2103/2011</w:t>
    </w:r>
    <w:r w:rsidR="00F94E2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F5" w:rsidRPr="00B850F5" w:rsidRDefault="00B850F5" w:rsidP="00B850F5">
    <w:pPr>
      <w:pStyle w:val="Header"/>
      <w:jc w:val="right"/>
    </w:pPr>
    <w:r>
      <w:t>CCPR/C/111/D/2103/2011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76B" w:rsidRDefault="0003576B" w:rsidP="0023423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17" w:rsidRPr="00861C7B" w:rsidRDefault="00AD3817" w:rsidP="00AD3817">
    <w:pPr>
      <w:pStyle w:val="Header"/>
    </w:pPr>
    <w:r w:rsidRPr="00861C7B">
      <w:t>CCPR/C/111/R.7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17" w:rsidRPr="00861C7B" w:rsidRDefault="00AD3817" w:rsidP="00AD3817">
    <w:pPr>
      <w:pStyle w:val="Header"/>
      <w:jc w:val="right"/>
    </w:pPr>
    <w:r w:rsidRPr="00861C7B">
      <w:t>CCPR/C/111/R.7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68" w:rsidRDefault="00CF2368" w:rsidP="00234237">
    <w:pPr>
      <w:pStyle w:val="Header"/>
      <w:jc w:val="right"/>
    </w:pPr>
    <w:r w:rsidRPr="0003576B">
      <w:t>CCPR/C/111/D/2103/2011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0F5"/>
    <w:rsid w:val="000272B3"/>
    <w:rsid w:val="0003576B"/>
    <w:rsid w:val="00050F6B"/>
    <w:rsid w:val="000521F9"/>
    <w:rsid w:val="00057E97"/>
    <w:rsid w:val="00060C3A"/>
    <w:rsid w:val="00072C8C"/>
    <w:rsid w:val="00072EDF"/>
    <w:rsid w:val="000733B5"/>
    <w:rsid w:val="00081815"/>
    <w:rsid w:val="00084F0E"/>
    <w:rsid w:val="000931C0"/>
    <w:rsid w:val="000B175B"/>
    <w:rsid w:val="000B3A0F"/>
    <w:rsid w:val="000B4EF7"/>
    <w:rsid w:val="000C220B"/>
    <w:rsid w:val="000C2581"/>
    <w:rsid w:val="000C2C03"/>
    <w:rsid w:val="000C2D2E"/>
    <w:rsid w:val="000E0415"/>
    <w:rsid w:val="00104C14"/>
    <w:rsid w:val="001100DD"/>
    <w:rsid w:val="001103AA"/>
    <w:rsid w:val="00112957"/>
    <w:rsid w:val="00123B9C"/>
    <w:rsid w:val="00123E61"/>
    <w:rsid w:val="00127B37"/>
    <w:rsid w:val="001300B4"/>
    <w:rsid w:val="001368C5"/>
    <w:rsid w:val="00143FBC"/>
    <w:rsid w:val="00162C36"/>
    <w:rsid w:val="00165F3A"/>
    <w:rsid w:val="00170F0E"/>
    <w:rsid w:val="00183968"/>
    <w:rsid w:val="00185D57"/>
    <w:rsid w:val="001A6686"/>
    <w:rsid w:val="001B2650"/>
    <w:rsid w:val="001B4B04"/>
    <w:rsid w:val="001C0A5B"/>
    <w:rsid w:val="001C6663"/>
    <w:rsid w:val="001C7895"/>
    <w:rsid w:val="001D0060"/>
    <w:rsid w:val="001D0C8C"/>
    <w:rsid w:val="001D26DF"/>
    <w:rsid w:val="001D3A03"/>
    <w:rsid w:val="001E3B03"/>
    <w:rsid w:val="001E7D01"/>
    <w:rsid w:val="00202DA8"/>
    <w:rsid w:val="00211E0B"/>
    <w:rsid w:val="0022362F"/>
    <w:rsid w:val="002313D0"/>
    <w:rsid w:val="0023210C"/>
    <w:rsid w:val="00234237"/>
    <w:rsid w:val="00267F5F"/>
    <w:rsid w:val="00270A94"/>
    <w:rsid w:val="00286B4D"/>
    <w:rsid w:val="002A18B8"/>
    <w:rsid w:val="002C1B6E"/>
    <w:rsid w:val="002D1537"/>
    <w:rsid w:val="002D2475"/>
    <w:rsid w:val="002E56FC"/>
    <w:rsid w:val="002F10F7"/>
    <w:rsid w:val="002F175C"/>
    <w:rsid w:val="00314761"/>
    <w:rsid w:val="003229D8"/>
    <w:rsid w:val="00322B7D"/>
    <w:rsid w:val="00327224"/>
    <w:rsid w:val="003310D2"/>
    <w:rsid w:val="00332F53"/>
    <w:rsid w:val="00343D32"/>
    <w:rsid w:val="00346AA5"/>
    <w:rsid w:val="00352709"/>
    <w:rsid w:val="00353FAE"/>
    <w:rsid w:val="00367567"/>
    <w:rsid w:val="00371178"/>
    <w:rsid w:val="0038336C"/>
    <w:rsid w:val="00384719"/>
    <w:rsid w:val="003A5763"/>
    <w:rsid w:val="003A6810"/>
    <w:rsid w:val="003B6B81"/>
    <w:rsid w:val="003B6FC4"/>
    <w:rsid w:val="003C2CC4"/>
    <w:rsid w:val="003D2749"/>
    <w:rsid w:val="003D4B23"/>
    <w:rsid w:val="003E14AE"/>
    <w:rsid w:val="003E6252"/>
    <w:rsid w:val="003F4462"/>
    <w:rsid w:val="003F5AE7"/>
    <w:rsid w:val="00400744"/>
    <w:rsid w:val="00402ADA"/>
    <w:rsid w:val="004067FC"/>
    <w:rsid w:val="004079BE"/>
    <w:rsid w:val="00410C89"/>
    <w:rsid w:val="004129E6"/>
    <w:rsid w:val="00426B9B"/>
    <w:rsid w:val="004325CB"/>
    <w:rsid w:val="00436B33"/>
    <w:rsid w:val="00442A83"/>
    <w:rsid w:val="0045495B"/>
    <w:rsid w:val="004663DC"/>
    <w:rsid w:val="00487488"/>
    <w:rsid w:val="004A0401"/>
    <w:rsid w:val="004F2471"/>
    <w:rsid w:val="00512482"/>
    <w:rsid w:val="005142B1"/>
    <w:rsid w:val="0052136D"/>
    <w:rsid w:val="0052775E"/>
    <w:rsid w:val="005420F2"/>
    <w:rsid w:val="00547C3F"/>
    <w:rsid w:val="005576D7"/>
    <w:rsid w:val="005628B6"/>
    <w:rsid w:val="00571761"/>
    <w:rsid w:val="005848B3"/>
    <w:rsid w:val="00590F87"/>
    <w:rsid w:val="00592C4A"/>
    <w:rsid w:val="005B3DB3"/>
    <w:rsid w:val="005C7DB3"/>
    <w:rsid w:val="005D7C03"/>
    <w:rsid w:val="005E7ABB"/>
    <w:rsid w:val="005F6F51"/>
    <w:rsid w:val="005F7717"/>
    <w:rsid w:val="005F7B75"/>
    <w:rsid w:val="006001EE"/>
    <w:rsid w:val="006010B4"/>
    <w:rsid w:val="0060355D"/>
    <w:rsid w:val="00605042"/>
    <w:rsid w:val="00606784"/>
    <w:rsid w:val="00611FC4"/>
    <w:rsid w:val="006176FB"/>
    <w:rsid w:val="00627125"/>
    <w:rsid w:val="00636EFE"/>
    <w:rsid w:val="006406BF"/>
    <w:rsid w:val="00640B26"/>
    <w:rsid w:val="00652D0A"/>
    <w:rsid w:val="00653BFE"/>
    <w:rsid w:val="00662BB6"/>
    <w:rsid w:val="006667A3"/>
    <w:rsid w:val="00667B4A"/>
    <w:rsid w:val="006707B3"/>
    <w:rsid w:val="00673BCC"/>
    <w:rsid w:val="00684C21"/>
    <w:rsid w:val="00694B4F"/>
    <w:rsid w:val="006A51D4"/>
    <w:rsid w:val="006B61F0"/>
    <w:rsid w:val="006D1E4B"/>
    <w:rsid w:val="006D37AF"/>
    <w:rsid w:val="006D51D0"/>
    <w:rsid w:val="006E2418"/>
    <w:rsid w:val="006E564B"/>
    <w:rsid w:val="006E7191"/>
    <w:rsid w:val="006F0AD4"/>
    <w:rsid w:val="006F1271"/>
    <w:rsid w:val="006F7084"/>
    <w:rsid w:val="00703577"/>
    <w:rsid w:val="007120AE"/>
    <w:rsid w:val="007164DD"/>
    <w:rsid w:val="00724201"/>
    <w:rsid w:val="007243DD"/>
    <w:rsid w:val="0072632A"/>
    <w:rsid w:val="007327D5"/>
    <w:rsid w:val="00733E39"/>
    <w:rsid w:val="007351EB"/>
    <w:rsid w:val="00742234"/>
    <w:rsid w:val="0075165B"/>
    <w:rsid w:val="007518BB"/>
    <w:rsid w:val="007629C8"/>
    <w:rsid w:val="007770F4"/>
    <w:rsid w:val="00780CFB"/>
    <w:rsid w:val="007827E9"/>
    <w:rsid w:val="00787236"/>
    <w:rsid w:val="0079520F"/>
    <w:rsid w:val="007A1C91"/>
    <w:rsid w:val="007B11CB"/>
    <w:rsid w:val="007B1BAD"/>
    <w:rsid w:val="007B6BA5"/>
    <w:rsid w:val="007C3390"/>
    <w:rsid w:val="007C4F4B"/>
    <w:rsid w:val="007C57C6"/>
    <w:rsid w:val="007C784F"/>
    <w:rsid w:val="007D5645"/>
    <w:rsid w:val="007D6E34"/>
    <w:rsid w:val="007E0B2D"/>
    <w:rsid w:val="007E37A2"/>
    <w:rsid w:val="007E3B46"/>
    <w:rsid w:val="007F32B0"/>
    <w:rsid w:val="007F4565"/>
    <w:rsid w:val="007F6611"/>
    <w:rsid w:val="0080356A"/>
    <w:rsid w:val="008068E1"/>
    <w:rsid w:val="008105B8"/>
    <w:rsid w:val="00812BB2"/>
    <w:rsid w:val="00822D9B"/>
    <w:rsid w:val="008242D7"/>
    <w:rsid w:val="008257B1"/>
    <w:rsid w:val="00832FC6"/>
    <w:rsid w:val="00843767"/>
    <w:rsid w:val="00854924"/>
    <w:rsid w:val="008679D9"/>
    <w:rsid w:val="008979B1"/>
    <w:rsid w:val="008A1DB2"/>
    <w:rsid w:val="008A6B25"/>
    <w:rsid w:val="008A6C4F"/>
    <w:rsid w:val="008B2335"/>
    <w:rsid w:val="008D0A91"/>
    <w:rsid w:val="008D2231"/>
    <w:rsid w:val="008D2854"/>
    <w:rsid w:val="008D6885"/>
    <w:rsid w:val="008E0678"/>
    <w:rsid w:val="008E11A3"/>
    <w:rsid w:val="008E275D"/>
    <w:rsid w:val="00910F40"/>
    <w:rsid w:val="00912C08"/>
    <w:rsid w:val="009223CA"/>
    <w:rsid w:val="00924719"/>
    <w:rsid w:val="00930AD6"/>
    <w:rsid w:val="009339B1"/>
    <w:rsid w:val="00940F93"/>
    <w:rsid w:val="00942D2C"/>
    <w:rsid w:val="00947A45"/>
    <w:rsid w:val="0095347F"/>
    <w:rsid w:val="009627C4"/>
    <w:rsid w:val="009760F3"/>
    <w:rsid w:val="0097651B"/>
    <w:rsid w:val="0098146C"/>
    <w:rsid w:val="00986C06"/>
    <w:rsid w:val="00990893"/>
    <w:rsid w:val="009909F5"/>
    <w:rsid w:val="009A0E8D"/>
    <w:rsid w:val="009A64C4"/>
    <w:rsid w:val="009B26E7"/>
    <w:rsid w:val="009B346C"/>
    <w:rsid w:val="009C31E9"/>
    <w:rsid w:val="009C6D77"/>
    <w:rsid w:val="00A00A3F"/>
    <w:rsid w:val="00A01489"/>
    <w:rsid w:val="00A059D4"/>
    <w:rsid w:val="00A107D3"/>
    <w:rsid w:val="00A2605D"/>
    <w:rsid w:val="00A338F1"/>
    <w:rsid w:val="00A44615"/>
    <w:rsid w:val="00A72F22"/>
    <w:rsid w:val="00A7360F"/>
    <w:rsid w:val="00A748A6"/>
    <w:rsid w:val="00A769F4"/>
    <w:rsid w:val="00A776B4"/>
    <w:rsid w:val="00A81787"/>
    <w:rsid w:val="00A903B8"/>
    <w:rsid w:val="00A90807"/>
    <w:rsid w:val="00A94361"/>
    <w:rsid w:val="00A959AA"/>
    <w:rsid w:val="00A9709F"/>
    <w:rsid w:val="00AA293C"/>
    <w:rsid w:val="00AB175B"/>
    <w:rsid w:val="00AB746C"/>
    <w:rsid w:val="00AD062D"/>
    <w:rsid w:val="00AD3216"/>
    <w:rsid w:val="00AD3817"/>
    <w:rsid w:val="00AE57CA"/>
    <w:rsid w:val="00AE77BA"/>
    <w:rsid w:val="00AF428A"/>
    <w:rsid w:val="00AF5107"/>
    <w:rsid w:val="00B13E9B"/>
    <w:rsid w:val="00B147F9"/>
    <w:rsid w:val="00B30179"/>
    <w:rsid w:val="00B30CEB"/>
    <w:rsid w:val="00B339A7"/>
    <w:rsid w:val="00B419DC"/>
    <w:rsid w:val="00B41DB4"/>
    <w:rsid w:val="00B51001"/>
    <w:rsid w:val="00B56E4A"/>
    <w:rsid w:val="00B56E9C"/>
    <w:rsid w:val="00B64B1F"/>
    <w:rsid w:val="00B6553F"/>
    <w:rsid w:val="00B66E5E"/>
    <w:rsid w:val="00B72D2B"/>
    <w:rsid w:val="00B77CFD"/>
    <w:rsid w:val="00B77D05"/>
    <w:rsid w:val="00B81206"/>
    <w:rsid w:val="00B81E12"/>
    <w:rsid w:val="00B850F5"/>
    <w:rsid w:val="00B87249"/>
    <w:rsid w:val="00B9067B"/>
    <w:rsid w:val="00B9395E"/>
    <w:rsid w:val="00BA0234"/>
    <w:rsid w:val="00BA0F40"/>
    <w:rsid w:val="00BA36A8"/>
    <w:rsid w:val="00BB096A"/>
    <w:rsid w:val="00BB2251"/>
    <w:rsid w:val="00BB68D1"/>
    <w:rsid w:val="00BC2C23"/>
    <w:rsid w:val="00BC4EA1"/>
    <w:rsid w:val="00BC532B"/>
    <w:rsid w:val="00BC6203"/>
    <w:rsid w:val="00BC74E9"/>
    <w:rsid w:val="00BD04C7"/>
    <w:rsid w:val="00BE7957"/>
    <w:rsid w:val="00BF68A8"/>
    <w:rsid w:val="00BF7B93"/>
    <w:rsid w:val="00C07B82"/>
    <w:rsid w:val="00C1108E"/>
    <w:rsid w:val="00C11A03"/>
    <w:rsid w:val="00C1290B"/>
    <w:rsid w:val="00C14C45"/>
    <w:rsid w:val="00C31585"/>
    <w:rsid w:val="00C33164"/>
    <w:rsid w:val="00C3327C"/>
    <w:rsid w:val="00C338B4"/>
    <w:rsid w:val="00C41B83"/>
    <w:rsid w:val="00C463DD"/>
    <w:rsid w:val="00C4724C"/>
    <w:rsid w:val="00C52F1E"/>
    <w:rsid w:val="00C629A0"/>
    <w:rsid w:val="00C65707"/>
    <w:rsid w:val="00C745C3"/>
    <w:rsid w:val="00C8691F"/>
    <w:rsid w:val="00C9638E"/>
    <w:rsid w:val="00CA1FCF"/>
    <w:rsid w:val="00CA6FCF"/>
    <w:rsid w:val="00CB017D"/>
    <w:rsid w:val="00CB4CE3"/>
    <w:rsid w:val="00CC0309"/>
    <w:rsid w:val="00CD641C"/>
    <w:rsid w:val="00CE4A8F"/>
    <w:rsid w:val="00CF2368"/>
    <w:rsid w:val="00D16009"/>
    <w:rsid w:val="00D2031B"/>
    <w:rsid w:val="00D25FE2"/>
    <w:rsid w:val="00D27335"/>
    <w:rsid w:val="00D3549A"/>
    <w:rsid w:val="00D43252"/>
    <w:rsid w:val="00D47EEA"/>
    <w:rsid w:val="00D50010"/>
    <w:rsid w:val="00D83407"/>
    <w:rsid w:val="00D95303"/>
    <w:rsid w:val="00D978C6"/>
    <w:rsid w:val="00DA3111"/>
    <w:rsid w:val="00DA3C1C"/>
    <w:rsid w:val="00DB0C79"/>
    <w:rsid w:val="00DB70A5"/>
    <w:rsid w:val="00DB7363"/>
    <w:rsid w:val="00DC2E22"/>
    <w:rsid w:val="00DE147B"/>
    <w:rsid w:val="00DE5134"/>
    <w:rsid w:val="00DF0098"/>
    <w:rsid w:val="00DF0E43"/>
    <w:rsid w:val="00DF569D"/>
    <w:rsid w:val="00DF5D9F"/>
    <w:rsid w:val="00DF6CC0"/>
    <w:rsid w:val="00E05F06"/>
    <w:rsid w:val="00E1400F"/>
    <w:rsid w:val="00E21971"/>
    <w:rsid w:val="00E27346"/>
    <w:rsid w:val="00E425D4"/>
    <w:rsid w:val="00E71BC8"/>
    <w:rsid w:val="00E7260F"/>
    <w:rsid w:val="00E779FC"/>
    <w:rsid w:val="00E821B2"/>
    <w:rsid w:val="00E945AE"/>
    <w:rsid w:val="00E96630"/>
    <w:rsid w:val="00EB2581"/>
    <w:rsid w:val="00ED0413"/>
    <w:rsid w:val="00ED7A2A"/>
    <w:rsid w:val="00EF1D7F"/>
    <w:rsid w:val="00EF2C6F"/>
    <w:rsid w:val="00F02189"/>
    <w:rsid w:val="00F11AFF"/>
    <w:rsid w:val="00F1412A"/>
    <w:rsid w:val="00F20C3D"/>
    <w:rsid w:val="00F42FB9"/>
    <w:rsid w:val="00F43E9E"/>
    <w:rsid w:val="00F62BF1"/>
    <w:rsid w:val="00F8129B"/>
    <w:rsid w:val="00F81839"/>
    <w:rsid w:val="00F83A16"/>
    <w:rsid w:val="00F9057C"/>
    <w:rsid w:val="00F906D7"/>
    <w:rsid w:val="00F90A0F"/>
    <w:rsid w:val="00F93781"/>
    <w:rsid w:val="00F94E2E"/>
    <w:rsid w:val="00FB613B"/>
    <w:rsid w:val="00FC1CAB"/>
    <w:rsid w:val="00FC68B7"/>
    <w:rsid w:val="00FD780D"/>
    <w:rsid w:val="00FE106A"/>
    <w:rsid w:val="00FF097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27990C94-9801-4162-A753-8801B6EF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6A8"/>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uiPriority w:val="99"/>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Hyperlink0">
    <w:name w:val="Hyperlink.0"/>
    <w:rsid w:val="00733E39"/>
    <w:rPr>
      <w:color w:val="000000"/>
      <w:u w:val="none" w:color="000000"/>
      <w:lang w:val="en-US"/>
    </w:rPr>
  </w:style>
  <w:style w:type="character" w:customStyle="1" w:styleId="Hyperlink1">
    <w:name w:val="Hyperlink.1"/>
    <w:rsid w:val="00733E39"/>
    <w:rPr>
      <w:color w:val="000000"/>
      <w:u w:val="none" w:color="00000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uiPriority w:val="99"/>
    <w:locked/>
    <w:rsid w:val="00F02189"/>
    <w:rPr>
      <w:sz w:val="18"/>
      <w:lang w:eastAsia="en-US"/>
    </w:rPr>
  </w:style>
  <w:style w:type="paragraph" w:styleId="BalloonText">
    <w:name w:val="Balloon Text"/>
    <w:basedOn w:val="Normal"/>
    <w:link w:val="BalloonTextChar"/>
    <w:rsid w:val="00F02189"/>
    <w:pPr>
      <w:spacing w:line="240" w:lineRule="auto"/>
    </w:pPr>
    <w:rPr>
      <w:rFonts w:ascii="Tahoma" w:hAnsi="Tahoma"/>
      <w:sz w:val="16"/>
      <w:szCs w:val="16"/>
    </w:rPr>
  </w:style>
  <w:style w:type="character" w:customStyle="1" w:styleId="BalloonTextChar">
    <w:name w:val="Balloon Text Char"/>
    <w:link w:val="BalloonText"/>
    <w:rsid w:val="00F02189"/>
    <w:rPr>
      <w:rFonts w:ascii="Tahoma" w:hAnsi="Tahoma" w:cs="Tahoma"/>
      <w:sz w:val="16"/>
      <w:szCs w:val="16"/>
      <w:lang w:eastAsia="en-US"/>
    </w:rPr>
  </w:style>
  <w:style w:type="paragraph" w:styleId="NormalWeb">
    <w:name w:val="Normal (Web)"/>
    <w:basedOn w:val="Normal"/>
    <w:uiPriority w:val="99"/>
    <w:unhideWhenUsed/>
    <w:rsid w:val="00F02189"/>
    <w:pPr>
      <w:suppressAutoHyphens w:val="0"/>
      <w:spacing w:before="100" w:beforeAutospacing="1" w:after="100" w:afterAutospacing="1" w:line="240" w:lineRule="auto"/>
    </w:pPr>
    <w:rPr>
      <w:sz w:val="24"/>
      <w:szCs w:val="24"/>
      <w:lang w:eastAsia="en-GB"/>
    </w:rPr>
  </w:style>
  <w:style w:type="character" w:styleId="CommentReference">
    <w:name w:val="annotation reference"/>
    <w:rsid w:val="00D3549A"/>
    <w:rPr>
      <w:sz w:val="16"/>
      <w:szCs w:val="16"/>
    </w:rPr>
  </w:style>
  <w:style w:type="paragraph" w:styleId="CommentText">
    <w:name w:val="annotation text"/>
    <w:basedOn w:val="Normal"/>
    <w:link w:val="CommentTextChar"/>
    <w:rsid w:val="00D3549A"/>
  </w:style>
  <w:style w:type="character" w:customStyle="1" w:styleId="CommentTextChar">
    <w:name w:val="Comment Text Char"/>
    <w:link w:val="CommentText"/>
    <w:rsid w:val="00D3549A"/>
    <w:rPr>
      <w:lang w:val="en-GB" w:eastAsia="en-US"/>
    </w:rPr>
  </w:style>
  <w:style w:type="paragraph" w:styleId="CommentSubject">
    <w:name w:val="annotation subject"/>
    <w:basedOn w:val="CommentText"/>
    <w:next w:val="CommentText"/>
    <w:link w:val="CommentSubjectChar"/>
    <w:rsid w:val="00D3549A"/>
    <w:rPr>
      <w:b/>
      <w:bCs/>
    </w:rPr>
  </w:style>
  <w:style w:type="character" w:customStyle="1" w:styleId="CommentSubjectChar">
    <w:name w:val="Comment Subject Char"/>
    <w:link w:val="CommentSubject"/>
    <w:rsid w:val="00D3549A"/>
    <w:rPr>
      <w:b/>
      <w:bCs/>
      <w:lang w:val="en-GB" w:eastAsia="en-US"/>
    </w:rPr>
  </w:style>
  <w:style w:type="paragraph" w:styleId="Revision">
    <w:name w:val="Revision"/>
    <w:hidden/>
    <w:uiPriority w:val="99"/>
    <w:semiHidden/>
    <w:rsid w:val="00D3549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en.wikipedia.org/wiki/good_faith"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en.wikipedia.org/wiki/treaty" TargetMode="Externa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sites/eng/pages/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9</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25134</CharactersWithSpaces>
  <SharedDoc>false</SharedDoc>
  <HLinks>
    <vt:vector size="18" baseType="variant">
      <vt:variant>
        <vt:i4>6094897</vt:i4>
      </vt:variant>
      <vt:variant>
        <vt:i4>3</vt:i4>
      </vt:variant>
      <vt:variant>
        <vt:i4>0</vt:i4>
      </vt:variant>
      <vt:variant>
        <vt:i4>5</vt:i4>
      </vt:variant>
      <vt:variant>
        <vt:lpwstr>http://en.wikipedia.org/wiki/good_faith</vt:lpwstr>
      </vt:variant>
      <vt:variant>
        <vt:lpwstr/>
      </vt:variant>
      <vt:variant>
        <vt:i4>7995430</vt:i4>
      </vt:variant>
      <vt:variant>
        <vt:i4>0</vt:i4>
      </vt:variant>
      <vt:variant>
        <vt:i4>0</vt:i4>
      </vt:variant>
      <vt:variant>
        <vt:i4>5</vt:i4>
      </vt:variant>
      <vt:variant>
        <vt:lpwstr>http://en.wikipedia.org/wiki/treaty</vt:lpwstr>
      </vt:variant>
      <vt:variant>
        <vt:lpwstr/>
      </vt:variant>
      <vt:variant>
        <vt:i4>3211387</vt:i4>
      </vt:variant>
      <vt:variant>
        <vt:i4>0</vt:i4>
      </vt:variant>
      <vt:variant>
        <vt:i4>0</vt:i4>
      </vt:variant>
      <vt:variant>
        <vt:i4>5</vt:i4>
      </vt:variant>
      <vt:variant>
        <vt:lpwstr>http://hudoc.echr.coe.int/sites/eng/pages/search.aspx</vt:lpwstr>
      </vt:variant>
      <vt:variant>
        <vt:lpwstr>%7B%5C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Maria Belen Enriquez</dc:creator>
  <cp:keywords/>
  <cp:lastModifiedBy>Sarah Willig</cp:lastModifiedBy>
  <cp:revision>2</cp:revision>
  <cp:lastPrinted>2014-09-08T11:22:00Z</cp:lastPrinted>
  <dcterms:created xsi:type="dcterms:W3CDTF">2017-01-24T19:13:00Z</dcterms:created>
  <dcterms:modified xsi:type="dcterms:W3CDTF">2017-01-24T19:13:00Z</dcterms:modified>
</cp:coreProperties>
</file>