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973D0" w:rsidP="0035529F">
            <w:pPr>
              <w:jc w:val="right"/>
            </w:pPr>
            <w:r w:rsidRPr="003973D0">
              <w:rPr>
                <w:sz w:val="40"/>
              </w:rPr>
              <w:t>CCPR</w:t>
            </w:r>
            <w:r>
              <w:t>/C/11</w:t>
            </w:r>
            <w:r w:rsidR="0035529F">
              <w:t>2</w:t>
            </w:r>
            <w:r>
              <w:t>/D/</w:t>
            </w:r>
            <w:r w:rsidR="0035529F">
              <w:t>2114</w:t>
            </w:r>
            <w:r>
              <w:t>/20</w:t>
            </w:r>
            <w:r w:rsidR="0035529F">
              <w:t>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401DD1"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754275" w:rsidRPr="00EB3869" w:rsidRDefault="00754275" w:rsidP="00267F5F">
            <w:pPr>
              <w:spacing w:before="120" w:line="380" w:lineRule="exact"/>
              <w:rPr>
                <w:sz w:val="34"/>
              </w:rPr>
            </w:pPr>
          </w:p>
        </w:tc>
        <w:tc>
          <w:tcPr>
            <w:tcW w:w="2835" w:type="dxa"/>
            <w:tcBorders>
              <w:top w:val="single" w:sz="4" w:space="0" w:color="auto"/>
              <w:bottom w:val="single" w:sz="12" w:space="0" w:color="auto"/>
            </w:tcBorders>
          </w:tcPr>
          <w:p w:rsidR="00B56E9C" w:rsidRDefault="003973D0" w:rsidP="003973D0">
            <w:pPr>
              <w:spacing w:before="240" w:line="240" w:lineRule="exact"/>
            </w:pPr>
            <w:r>
              <w:t xml:space="preserve">Distr.: </w:t>
            </w:r>
            <w:r w:rsidR="00EB3869">
              <w:t>General</w:t>
            </w:r>
          </w:p>
          <w:p w:rsidR="003973D0" w:rsidRDefault="00C05D11" w:rsidP="005D0EBB">
            <w:pPr>
              <w:spacing w:line="240" w:lineRule="exact"/>
            </w:pPr>
            <w:r>
              <w:t>1</w:t>
            </w:r>
            <w:r w:rsidR="005D0EBB">
              <w:t>9</w:t>
            </w:r>
            <w:r>
              <w:t xml:space="preserve"> January</w:t>
            </w:r>
            <w:r w:rsidR="0003453C">
              <w:t xml:space="preserve"> </w:t>
            </w:r>
            <w:r w:rsidR="003973D0">
              <w:t>201</w:t>
            </w:r>
            <w:r>
              <w:t>5</w:t>
            </w:r>
          </w:p>
          <w:p w:rsidR="003973D0" w:rsidRDefault="003973D0" w:rsidP="003973D0">
            <w:pPr>
              <w:spacing w:line="240" w:lineRule="exact"/>
            </w:pPr>
          </w:p>
          <w:p w:rsidR="003973D0" w:rsidRDefault="003973D0" w:rsidP="003973D0">
            <w:pPr>
              <w:spacing w:line="240" w:lineRule="exact"/>
            </w:pPr>
            <w:r>
              <w:t>Original: English</w:t>
            </w:r>
          </w:p>
        </w:tc>
      </w:tr>
    </w:tbl>
    <w:p w:rsidR="003973D0" w:rsidRPr="00977176" w:rsidRDefault="003973D0" w:rsidP="003973D0">
      <w:pPr>
        <w:spacing w:before="120"/>
        <w:rPr>
          <w:b/>
          <w:sz w:val="24"/>
          <w:szCs w:val="24"/>
          <w:lang w:val="en-US"/>
        </w:rPr>
      </w:pPr>
      <w:r w:rsidRPr="00977176">
        <w:rPr>
          <w:b/>
          <w:sz w:val="24"/>
          <w:szCs w:val="24"/>
          <w:lang w:val="en-US"/>
        </w:rPr>
        <w:t>Human Rights Committee</w:t>
      </w:r>
      <w:r w:rsidR="00401DD1">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3973D0" w:rsidRPr="003973D0" w:rsidRDefault="00AC09A4" w:rsidP="003973D0">
      <w:pPr>
        <w:pStyle w:val="HChG"/>
      </w:pPr>
      <w:r>
        <w:tab/>
      </w:r>
      <w:r>
        <w:tab/>
        <w:t>Communication No. </w:t>
      </w:r>
      <w:r w:rsidR="0035529F">
        <w:t>2114</w:t>
      </w:r>
      <w:r w:rsidR="003973D0" w:rsidRPr="003973D0">
        <w:t>/201</w:t>
      </w:r>
      <w:r w:rsidR="0035529F">
        <w:t>1</w:t>
      </w:r>
    </w:p>
    <w:p w:rsidR="003973D0" w:rsidRPr="003973D0" w:rsidRDefault="003973D0" w:rsidP="001E2234">
      <w:pPr>
        <w:pStyle w:val="H1G"/>
      </w:pPr>
      <w:r w:rsidRPr="003973D0">
        <w:tab/>
      </w:r>
      <w:r w:rsidRPr="003973D0">
        <w:tab/>
      </w:r>
      <w:r w:rsidR="00754275">
        <w:t>Views adopted by the</w:t>
      </w:r>
      <w:r w:rsidR="000718A2">
        <w:t xml:space="preserve"> Committee at its 112th session</w:t>
      </w:r>
      <w:r w:rsidR="00C05D11">
        <w:t xml:space="preserve"> </w:t>
      </w:r>
      <w:r w:rsidR="000718A2">
        <w:br/>
      </w:r>
      <w:r w:rsidR="00754275">
        <w:t>(7</w:t>
      </w:r>
      <w:r w:rsidR="00C05D11">
        <w:t>–</w:t>
      </w:r>
      <w:r w:rsidR="00754275">
        <w:t>31 October 2014)</w:t>
      </w:r>
    </w:p>
    <w:p w:rsidR="003973D0" w:rsidRPr="003973D0" w:rsidRDefault="003973D0" w:rsidP="00C4281D">
      <w:pPr>
        <w:pStyle w:val="SingleTxtG"/>
        <w:ind w:left="4536" w:hanging="3402"/>
        <w:jc w:val="left"/>
      </w:pPr>
      <w:r w:rsidRPr="003973D0">
        <w:rPr>
          <w:i/>
        </w:rPr>
        <w:t>Submitted by:</w:t>
      </w:r>
      <w:r w:rsidRPr="003973D0">
        <w:tab/>
      </w:r>
      <w:r w:rsidR="0035529F">
        <w:t>Leonid Sudalenko</w:t>
      </w:r>
      <w:r w:rsidRPr="003973D0">
        <w:t xml:space="preserve"> (not represented by counsel)</w:t>
      </w:r>
    </w:p>
    <w:p w:rsidR="003973D0" w:rsidRPr="003973D0" w:rsidRDefault="003973D0" w:rsidP="00C4281D">
      <w:pPr>
        <w:pStyle w:val="SingleTxtG"/>
        <w:ind w:left="4536" w:hanging="3402"/>
        <w:jc w:val="left"/>
      </w:pPr>
      <w:r w:rsidRPr="003973D0">
        <w:rPr>
          <w:i/>
        </w:rPr>
        <w:t>Alleged victim:</w:t>
      </w:r>
      <w:r w:rsidRPr="003973D0">
        <w:tab/>
        <w:t>The author</w:t>
      </w:r>
    </w:p>
    <w:p w:rsidR="003973D0" w:rsidRPr="003973D0" w:rsidRDefault="003973D0" w:rsidP="00C4281D">
      <w:pPr>
        <w:pStyle w:val="SingleTxtG"/>
        <w:ind w:left="4536" w:hanging="3402"/>
        <w:jc w:val="left"/>
      </w:pPr>
      <w:r w:rsidRPr="003973D0">
        <w:rPr>
          <w:i/>
        </w:rPr>
        <w:t>State party:</w:t>
      </w:r>
      <w:r w:rsidRPr="003973D0">
        <w:tab/>
        <w:t>Belarus</w:t>
      </w:r>
    </w:p>
    <w:p w:rsidR="003973D0" w:rsidRPr="003973D0" w:rsidRDefault="003973D0" w:rsidP="00C4281D">
      <w:pPr>
        <w:pStyle w:val="SingleTxtG"/>
        <w:ind w:left="4536" w:hanging="3402"/>
        <w:jc w:val="left"/>
      </w:pPr>
      <w:r w:rsidRPr="003973D0">
        <w:rPr>
          <w:i/>
        </w:rPr>
        <w:t>Date of communication:</w:t>
      </w:r>
      <w:r w:rsidRPr="003973D0">
        <w:tab/>
      </w:r>
      <w:r w:rsidR="0035529F">
        <w:t>17</w:t>
      </w:r>
      <w:r w:rsidRPr="003973D0">
        <w:t xml:space="preserve"> </w:t>
      </w:r>
      <w:r w:rsidR="0035529F">
        <w:t>September 2011</w:t>
      </w:r>
      <w:r w:rsidR="00AF6699">
        <w:t xml:space="preserve"> (initial submission)</w:t>
      </w:r>
    </w:p>
    <w:p w:rsidR="003973D0" w:rsidRPr="003973D0" w:rsidRDefault="003973D0" w:rsidP="00C4281D">
      <w:pPr>
        <w:pStyle w:val="SingleTxtG"/>
        <w:ind w:left="4536" w:hanging="3402"/>
        <w:jc w:val="left"/>
      </w:pPr>
      <w:r w:rsidRPr="003973D0">
        <w:rPr>
          <w:i/>
        </w:rPr>
        <w:t>Document references:</w:t>
      </w:r>
      <w:r w:rsidRPr="003973D0">
        <w:tab/>
        <w:t xml:space="preserve">Special Rapporteur’s rule 97 decision, transmitted to the State party on </w:t>
      </w:r>
      <w:r w:rsidR="0035529F">
        <w:t>27</w:t>
      </w:r>
      <w:r w:rsidRPr="003973D0">
        <w:t xml:space="preserve"> October 201</w:t>
      </w:r>
      <w:r w:rsidR="0035529F">
        <w:t>1</w:t>
      </w:r>
      <w:r w:rsidRPr="003973D0">
        <w:t xml:space="preserve"> (not issued in a document form)</w:t>
      </w:r>
    </w:p>
    <w:p w:rsidR="003973D0" w:rsidRDefault="003973D0" w:rsidP="00C4281D">
      <w:pPr>
        <w:pStyle w:val="SingleTxtG"/>
        <w:ind w:left="4536" w:hanging="3402"/>
        <w:jc w:val="left"/>
      </w:pPr>
      <w:r w:rsidRPr="003973D0">
        <w:rPr>
          <w:i/>
        </w:rPr>
        <w:t>Date of adoption of Views:</w:t>
      </w:r>
      <w:r w:rsidRPr="003973D0">
        <w:tab/>
      </w:r>
      <w:r w:rsidR="00754275">
        <w:t>22</w:t>
      </w:r>
      <w:r w:rsidR="00754275" w:rsidRPr="003973D0">
        <w:t xml:space="preserve"> </w:t>
      </w:r>
      <w:r w:rsidR="0035529F">
        <w:t>October</w:t>
      </w:r>
      <w:r w:rsidRPr="003973D0">
        <w:t xml:space="preserve"> 2014</w:t>
      </w:r>
    </w:p>
    <w:p w:rsidR="003973D0" w:rsidRPr="003973D0" w:rsidRDefault="00AF6699" w:rsidP="00C4281D">
      <w:pPr>
        <w:pStyle w:val="SingleTxtG"/>
        <w:ind w:left="4536" w:hanging="3402"/>
        <w:jc w:val="left"/>
      </w:pPr>
      <w:r w:rsidRPr="003973D0">
        <w:rPr>
          <w:i/>
          <w:iCs/>
        </w:rPr>
        <w:t>Subject matter:</w:t>
      </w:r>
      <w:r>
        <w:tab/>
        <w:t>Right to freedom of expression</w:t>
      </w:r>
    </w:p>
    <w:p w:rsidR="00C05D11" w:rsidRDefault="00C05D11" w:rsidP="00C4281D">
      <w:pPr>
        <w:pStyle w:val="SingleTxtG"/>
        <w:ind w:left="4536" w:hanging="3402"/>
        <w:jc w:val="left"/>
        <w:rPr>
          <w:i/>
          <w:iCs/>
        </w:rPr>
      </w:pPr>
      <w:r w:rsidRPr="003973D0">
        <w:rPr>
          <w:i/>
          <w:iCs/>
        </w:rPr>
        <w:t>Procedural issue</w:t>
      </w:r>
      <w:r>
        <w:rPr>
          <w:i/>
          <w:iCs/>
        </w:rPr>
        <w:t>s</w:t>
      </w:r>
      <w:r w:rsidRPr="003973D0">
        <w:rPr>
          <w:i/>
          <w:iCs/>
        </w:rPr>
        <w:t xml:space="preserve">: </w:t>
      </w:r>
      <w:r w:rsidRPr="003973D0">
        <w:rPr>
          <w:i/>
          <w:iCs/>
        </w:rPr>
        <w:tab/>
      </w:r>
      <w:r>
        <w:rPr>
          <w:iCs/>
        </w:rPr>
        <w:t>Exhaustion of domestic remedies</w:t>
      </w:r>
    </w:p>
    <w:p w:rsidR="003973D0" w:rsidRPr="003973D0" w:rsidRDefault="003973D0" w:rsidP="00C4281D">
      <w:pPr>
        <w:pStyle w:val="SingleTxtG"/>
        <w:ind w:left="4536" w:hanging="3402"/>
        <w:jc w:val="left"/>
      </w:pPr>
      <w:r w:rsidRPr="003973D0">
        <w:rPr>
          <w:i/>
          <w:iCs/>
        </w:rPr>
        <w:t xml:space="preserve">Substantive issues: </w:t>
      </w:r>
      <w:r w:rsidRPr="003973D0">
        <w:rPr>
          <w:i/>
          <w:iCs/>
        </w:rPr>
        <w:tab/>
      </w:r>
      <w:r w:rsidRPr="003973D0">
        <w:t>Right to freedom to seek,</w:t>
      </w:r>
      <w:r w:rsidR="00AF6699">
        <w:t xml:space="preserve"> receive and impart information</w:t>
      </w:r>
    </w:p>
    <w:p w:rsidR="003973D0" w:rsidRPr="003973D0" w:rsidRDefault="003973D0" w:rsidP="001E2234">
      <w:pPr>
        <w:pStyle w:val="SingleTxtG"/>
        <w:ind w:left="4536" w:hanging="3402"/>
        <w:jc w:val="left"/>
      </w:pPr>
      <w:r w:rsidRPr="003973D0">
        <w:rPr>
          <w:i/>
          <w:iCs/>
        </w:rPr>
        <w:t>Articles of the Covenant:</w:t>
      </w:r>
      <w:r w:rsidRPr="003973D0">
        <w:t xml:space="preserve"> </w:t>
      </w:r>
      <w:r w:rsidRPr="003973D0">
        <w:tab/>
      </w:r>
      <w:r w:rsidR="00E63723">
        <w:t>2</w:t>
      </w:r>
      <w:r w:rsidR="00C05D11">
        <w:t xml:space="preserve"> and</w:t>
      </w:r>
      <w:r w:rsidR="00AF6699">
        <w:t xml:space="preserve"> 19</w:t>
      </w:r>
    </w:p>
    <w:p w:rsidR="003973D0" w:rsidRPr="003973D0" w:rsidRDefault="003973D0" w:rsidP="001E2234">
      <w:pPr>
        <w:pStyle w:val="SingleTxtG"/>
        <w:ind w:left="4536" w:hanging="3402"/>
        <w:jc w:val="left"/>
      </w:pPr>
      <w:r w:rsidRPr="003973D0">
        <w:rPr>
          <w:i/>
          <w:iCs/>
        </w:rPr>
        <w:t>Art</w:t>
      </w:r>
      <w:r w:rsidR="00B9395B">
        <w:rPr>
          <w:i/>
          <w:iCs/>
        </w:rPr>
        <w:t>icles of the Optional Protocol:</w:t>
      </w:r>
      <w:r w:rsidRPr="003973D0">
        <w:rPr>
          <w:i/>
          <w:iCs/>
        </w:rPr>
        <w:t xml:space="preserve"> </w:t>
      </w:r>
      <w:r>
        <w:rPr>
          <w:i/>
          <w:iCs/>
        </w:rPr>
        <w:tab/>
      </w:r>
      <w:r w:rsidRPr="003973D0">
        <w:rPr>
          <w:iCs/>
        </w:rPr>
        <w:t xml:space="preserve">2; </w:t>
      </w:r>
      <w:r w:rsidR="00AF6699">
        <w:t xml:space="preserve">5, </w:t>
      </w:r>
      <w:r w:rsidR="00C4281D">
        <w:t>para</w:t>
      </w:r>
      <w:r w:rsidR="00C05D11">
        <w:t>.</w:t>
      </w:r>
      <w:r w:rsidR="00C4281D">
        <w:t> </w:t>
      </w:r>
      <w:r w:rsidR="00AF6699">
        <w:t>2 (b)</w:t>
      </w:r>
    </w:p>
    <w:p w:rsidR="003973D0" w:rsidRPr="003973D0" w:rsidRDefault="003973D0" w:rsidP="00616E2B">
      <w:pPr>
        <w:pStyle w:val="SingleTxtG"/>
        <w:rPr>
          <w:bCs/>
          <w:iCs/>
        </w:rPr>
      </w:pPr>
      <w:r w:rsidRPr="003973D0">
        <w:tab/>
      </w:r>
    </w:p>
    <w:p w:rsidR="003973D0" w:rsidRPr="003973D0" w:rsidRDefault="003973D0" w:rsidP="003973D0">
      <w:pPr>
        <w:pStyle w:val="HChG"/>
      </w:pPr>
      <w:r w:rsidRPr="003973D0">
        <w:br w:type="page"/>
      </w:r>
      <w:r w:rsidRPr="003973D0">
        <w:lastRenderedPageBreak/>
        <w:t>Annex</w:t>
      </w:r>
    </w:p>
    <w:p w:rsidR="003973D0" w:rsidRPr="003973D0" w:rsidRDefault="003973D0" w:rsidP="003973D0">
      <w:pPr>
        <w:pStyle w:val="HChG"/>
        <w:rPr>
          <w:bCs/>
        </w:rPr>
      </w:pPr>
      <w:r w:rsidRPr="003973D0">
        <w:tab/>
      </w:r>
      <w:r w:rsidRPr="003973D0">
        <w:tab/>
        <w:t xml:space="preserve">Views of the Human Rights Committee under </w:t>
      </w:r>
      <w:r w:rsidR="00C4281D">
        <w:t>article </w:t>
      </w:r>
      <w:r w:rsidRPr="003973D0">
        <w:t xml:space="preserve">5, </w:t>
      </w:r>
      <w:r w:rsidR="00C4281D">
        <w:t>paragraph </w:t>
      </w:r>
      <w:r w:rsidRPr="003973D0">
        <w:t>4, of the Optional Protocol to the International Covenant on Civil and Political rights (11</w:t>
      </w:r>
      <w:r w:rsidR="0035529F">
        <w:t>2</w:t>
      </w:r>
      <w:r w:rsidRPr="003973D0">
        <w:t xml:space="preserve">th </w:t>
      </w:r>
      <w:r w:rsidRPr="003973D0">
        <w:rPr>
          <w:bCs/>
        </w:rPr>
        <w:t>session)</w:t>
      </w:r>
    </w:p>
    <w:p w:rsidR="003973D0" w:rsidRPr="003973D0" w:rsidRDefault="003973D0" w:rsidP="003973D0">
      <w:pPr>
        <w:pStyle w:val="SingleTxtG"/>
        <w:rPr>
          <w:b/>
          <w:bCs/>
        </w:rPr>
      </w:pPr>
      <w:r w:rsidRPr="003973D0">
        <w:t>concerning</w:t>
      </w:r>
    </w:p>
    <w:p w:rsidR="003973D0" w:rsidRPr="003973D0" w:rsidRDefault="00C4281D" w:rsidP="003973D0">
      <w:pPr>
        <w:pStyle w:val="H1G"/>
      </w:pPr>
      <w:r>
        <w:tab/>
      </w:r>
      <w:r>
        <w:tab/>
        <w:t>Communication No. </w:t>
      </w:r>
      <w:r w:rsidR="0035529F">
        <w:t>2114</w:t>
      </w:r>
      <w:r w:rsidR="003973D0" w:rsidRPr="003973D0">
        <w:t>/201</w:t>
      </w:r>
      <w:r w:rsidR="0035529F">
        <w:t>1</w:t>
      </w:r>
      <w:r w:rsidR="00754275" w:rsidRPr="00616E2B">
        <w:rPr>
          <w:rStyle w:val="FootnoteReference"/>
          <w:b w:val="0"/>
          <w:bCs/>
          <w:sz w:val="20"/>
          <w:vertAlign w:val="baseline"/>
        </w:rPr>
        <w:footnoteReference w:customMarkFollows="1" w:id="2"/>
        <w:t>*</w:t>
      </w:r>
    </w:p>
    <w:p w:rsidR="003973D0" w:rsidRPr="003973D0" w:rsidRDefault="003973D0" w:rsidP="00C4281D">
      <w:pPr>
        <w:pStyle w:val="SingleTxtG"/>
        <w:ind w:left="4536" w:hanging="3402"/>
        <w:jc w:val="left"/>
      </w:pPr>
      <w:r w:rsidRPr="003973D0">
        <w:rPr>
          <w:i/>
        </w:rPr>
        <w:t>Submitted by:</w:t>
      </w:r>
      <w:r w:rsidRPr="003973D0">
        <w:tab/>
      </w:r>
      <w:r w:rsidR="0035529F">
        <w:t>Leonid Sudalenko</w:t>
      </w:r>
      <w:r w:rsidRPr="003973D0">
        <w:t xml:space="preserve"> (not represented by counsel)</w:t>
      </w:r>
    </w:p>
    <w:p w:rsidR="003973D0" w:rsidRPr="003973D0" w:rsidRDefault="003973D0" w:rsidP="00C4281D">
      <w:pPr>
        <w:pStyle w:val="SingleTxtG"/>
        <w:ind w:left="4536" w:hanging="3402"/>
        <w:jc w:val="left"/>
      </w:pPr>
      <w:r w:rsidRPr="003973D0">
        <w:rPr>
          <w:i/>
        </w:rPr>
        <w:t>Alleged victim:</w:t>
      </w:r>
      <w:r w:rsidRPr="003973D0">
        <w:tab/>
        <w:t>The author</w:t>
      </w:r>
    </w:p>
    <w:p w:rsidR="003973D0" w:rsidRPr="003973D0" w:rsidRDefault="003973D0" w:rsidP="00C4281D">
      <w:pPr>
        <w:pStyle w:val="SingleTxtG"/>
        <w:ind w:left="4536" w:hanging="3402"/>
        <w:jc w:val="left"/>
      </w:pPr>
      <w:r w:rsidRPr="003973D0">
        <w:rPr>
          <w:i/>
        </w:rPr>
        <w:t>State party:</w:t>
      </w:r>
      <w:r w:rsidRPr="003973D0">
        <w:tab/>
        <w:t>Belarus</w:t>
      </w:r>
    </w:p>
    <w:p w:rsidR="003973D0" w:rsidRPr="003973D0" w:rsidRDefault="003973D0" w:rsidP="00C4281D">
      <w:pPr>
        <w:pStyle w:val="SingleTxtG"/>
        <w:ind w:left="4536" w:hanging="3402"/>
        <w:jc w:val="left"/>
      </w:pPr>
      <w:r w:rsidRPr="003973D0">
        <w:rPr>
          <w:i/>
        </w:rPr>
        <w:t>Date of communication:</w:t>
      </w:r>
      <w:r w:rsidRPr="003973D0">
        <w:tab/>
      </w:r>
      <w:r w:rsidR="00E63723">
        <w:t>17 September 2011</w:t>
      </w:r>
      <w:r w:rsidRPr="003973D0">
        <w:t xml:space="preserve"> (initial submission)</w:t>
      </w:r>
    </w:p>
    <w:p w:rsidR="003973D0" w:rsidRPr="003973D0" w:rsidRDefault="003973D0" w:rsidP="003973D0">
      <w:pPr>
        <w:pStyle w:val="SingleTxtG"/>
      </w:pPr>
      <w:r w:rsidRPr="003973D0">
        <w:tab/>
      </w:r>
      <w:r w:rsidRPr="003973D0">
        <w:rPr>
          <w:i/>
        </w:rPr>
        <w:t>The Human Rights Committee</w:t>
      </w:r>
      <w:r w:rsidRPr="003973D0">
        <w:t xml:space="preserve">, established under </w:t>
      </w:r>
      <w:r w:rsidR="00C4281D">
        <w:t>article </w:t>
      </w:r>
      <w:r w:rsidRPr="003973D0">
        <w:t xml:space="preserve">28 of the International Covenant on Civil and Political Rights, </w:t>
      </w:r>
    </w:p>
    <w:p w:rsidR="003973D0" w:rsidRPr="003973D0" w:rsidRDefault="003973D0" w:rsidP="003973D0">
      <w:pPr>
        <w:pStyle w:val="SingleTxtG"/>
      </w:pPr>
      <w:r w:rsidRPr="003973D0">
        <w:tab/>
      </w:r>
      <w:r w:rsidRPr="003973D0">
        <w:rPr>
          <w:i/>
        </w:rPr>
        <w:t>Meeting on</w:t>
      </w:r>
      <w:r w:rsidRPr="003973D0">
        <w:t xml:space="preserve"> </w:t>
      </w:r>
      <w:r w:rsidR="00FD0AFB">
        <w:t>22</w:t>
      </w:r>
      <w:r w:rsidR="00FD0AFB" w:rsidRPr="003973D0">
        <w:t xml:space="preserve"> </w:t>
      </w:r>
      <w:r w:rsidR="00E63723">
        <w:t>October</w:t>
      </w:r>
      <w:r w:rsidRPr="003973D0">
        <w:t xml:space="preserve"> 2014,</w:t>
      </w:r>
    </w:p>
    <w:p w:rsidR="003973D0" w:rsidRPr="003973D0" w:rsidRDefault="003973D0" w:rsidP="000808F9">
      <w:pPr>
        <w:pStyle w:val="SingleTxtG"/>
      </w:pPr>
      <w:r w:rsidRPr="003973D0">
        <w:tab/>
      </w:r>
      <w:r w:rsidRPr="003973D0">
        <w:rPr>
          <w:i/>
        </w:rPr>
        <w:t>Having concluded</w:t>
      </w:r>
      <w:r w:rsidRPr="003973D0">
        <w:t xml:space="preserve"> its con</w:t>
      </w:r>
      <w:r w:rsidR="00167FCE">
        <w:t>sideration of communication No. </w:t>
      </w:r>
      <w:r w:rsidR="0035529F">
        <w:t>2</w:t>
      </w:r>
      <w:r w:rsidR="00E63723">
        <w:t>1</w:t>
      </w:r>
      <w:r w:rsidR="0035529F">
        <w:t>14/2011</w:t>
      </w:r>
      <w:r w:rsidRPr="003973D0">
        <w:t>, submitted to the Human Rights Com</w:t>
      </w:r>
      <w:r w:rsidR="00167FCE">
        <w:t xml:space="preserve">mittee by </w:t>
      </w:r>
      <w:r w:rsidR="0035529F">
        <w:t>Leonid Sudalenko</w:t>
      </w:r>
      <w:r w:rsidR="00C05D11">
        <w:t>,</w:t>
      </w:r>
      <w:r w:rsidRPr="003973D0">
        <w:t xml:space="preserve"> under the Optional Protocol to the International Covenant on Civil and Political Rights,</w:t>
      </w:r>
    </w:p>
    <w:p w:rsidR="003973D0" w:rsidRPr="003973D0" w:rsidRDefault="003973D0" w:rsidP="003973D0">
      <w:pPr>
        <w:pStyle w:val="SingleTxtG"/>
      </w:pPr>
      <w:r w:rsidRPr="003973D0">
        <w:tab/>
      </w:r>
      <w:r w:rsidRPr="003973D0">
        <w:rPr>
          <w:i/>
        </w:rPr>
        <w:t>Having taken into account</w:t>
      </w:r>
      <w:r w:rsidRPr="003973D0">
        <w:t xml:space="preserve"> all written information made available to it by the author of the communication and the State party,</w:t>
      </w:r>
    </w:p>
    <w:p w:rsidR="003973D0" w:rsidRPr="003973D0" w:rsidRDefault="003973D0" w:rsidP="003973D0">
      <w:pPr>
        <w:pStyle w:val="SingleTxtG"/>
      </w:pPr>
      <w:r w:rsidRPr="003973D0">
        <w:tab/>
      </w:r>
      <w:r w:rsidRPr="003973D0">
        <w:rPr>
          <w:i/>
        </w:rPr>
        <w:t xml:space="preserve">Adopts </w:t>
      </w:r>
      <w:r w:rsidRPr="00616E2B">
        <w:rPr>
          <w:iCs/>
        </w:rPr>
        <w:t>the following:</w:t>
      </w:r>
    </w:p>
    <w:p w:rsidR="003973D0" w:rsidRPr="003973D0" w:rsidRDefault="003973D0" w:rsidP="003973D0">
      <w:pPr>
        <w:pStyle w:val="H1G"/>
      </w:pPr>
      <w:r w:rsidRPr="003973D0">
        <w:tab/>
      </w:r>
      <w:r w:rsidRPr="003973D0">
        <w:tab/>
        <w:t xml:space="preserve">Views under </w:t>
      </w:r>
      <w:r w:rsidR="00C4281D">
        <w:t>article </w:t>
      </w:r>
      <w:r w:rsidRPr="003973D0">
        <w:t xml:space="preserve">5, </w:t>
      </w:r>
      <w:r w:rsidR="00C4281D">
        <w:t>paragraph </w:t>
      </w:r>
      <w:r w:rsidRPr="003973D0">
        <w:t>4, of the Optional Protocol</w:t>
      </w:r>
    </w:p>
    <w:p w:rsidR="003973D0" w:rsidRPr="003973D0" w:rsidRDefault="00167FCE" w:rsidP="001E2234">
      <w:pPr>
        <w:pStyle w:val="SingleTxtG"/>
      </w:pPr>
      <w:r>
        <w:t>1.</w:t>
      </w:r>
      <w:r>
        <w:tab/>
        <w:t xml:space="preserve">The author </w:t>
      </w:r>
      <w:r w:rsidR="00C05D11">
        <w:t xml:space="preserve">of the communication </w:t>
      </w:r>
      <w:r>
        <w:t xml:space="preserve">is </w:t>
      </w:r>
      <w:r w:rsidR="006A7803">
        <w:t>Leonid Sudalenko</w:t>
      </w:r>
      <w:r w:rsidR="003973D0" w:rsidRPr="003973D0">
        <w:t>, a Belarusian national</w:t>
      </w:r>
      <w:r w:rsidR="00C05D11">
        <w:t>,</w:t>
      </w:r>
      <w:r w:rsidR="003973D0" w:rsidRPr="003973D0">
        <w:t xml:space="preserve"> born in 196</w:t>
      </w:r>
      <w:r w:rsidR="006A7803">
        <w:t>6</w:t>
      </w:r>
      <w:r w:rsidR="003973D0" w:rsidRPr="003973D0">
        <w:t xml:space="preserve">. He claims to be a victim of violations by Belarus of his rights under </w:t>
      </w:r>
      <w:r w:rsidR="00C4281D">
        <w:t>article </w:t>
      </w:r>
      <w:r w:rsidR="006A7803">
        <w:t xml:space="preserve">2, </w:t>
      </w:r>
      <w:r w:rsidR="00C4281D">
        <w:t>paragraph </w:t>
      </w:r>
      <w:r w:rsidR="006A7803">
        <w:t xml:space="preserve">2, read in conjunction with </w:t>
      </w:r>
      <w:r w:rsidR="00C4281D">
        <w:t>article </w:t>
      </w:r>
      <w:r w:rsidR="003973D0" w:rsidRPr="003973D0">
        <w:t>19</w:t>
      </w:r>
      <w:r w:rsidR="006A7803">
        <w:t xml:space="preserve">, </w:t>
      </w:r>
      <w:r w:rsidR="00C4281D">
        <w:t>paragraph </w:t>
      </w:r>
      <w:r w:rsidR="006A7803">
        <w:t>2,</w:t>
      </w:r>
      <w:r w:rsidR="003973D0" w:rsidRPr="003973D0">
        <w:t xml:space="preserve"> of the International Covenant on Civil and Political Rights. The Optional Protocol entered into force for Belarus on 30 December 1992. The author is unrepresented. </w:t>
      </w:r>
    </w:p>
    <w:p w:rsidR="003973D0" w:rsidRPr="003973D0" w:rsidRDefault="003973D0" w:rsidP="001E2234">
      <w:pPr>
        <w:pStyle w:val="H23G"/>
      </w:pPr>
      <w:r w:rsidRPr="003973D0">
        <w:tab/>
      </w:r>
      <w:r w:rsidRPr="003973D0">
        <w:tab/>
        <w:t xml:space="preserve">The facts as </w:t>
      </w:r>
      <w:r w:rsidR="00C05D11">
        <w:t>submitted</w:t>
      </w:r>
      <w:r w:rsidRPr="003973D0">
        <w:t xml:space="preserve"> by the author</w:t>
      </w:r>
    </w:p>
    <w:p w:rsidR="006A7803" w:rsidRPr="006A7803" w:rsidRDefault="00712675" w:rsidP="00653C09">
      <w:pPr>
        <w:pStyle w:val="SingleTxtG"/>
      </w:pPr>
      <w:r>
        <w:t>2.1</w:t>
      </w:r>
      <w:r w:rsidR="003973D0" w:rsidRPr="006A7803">
        <w:tab/>
      </w:r>
      <w:r w:rsidR="005F1611">
        <w:t>The author submits that o</w:t>
      </w:r>
      <w:r w:rsidR="006A7803" w:rsidRPr="006A7803">
        <w:t xml:space="preserve">n 30 November 2010, </w:t>
      </w:r>
      <w:r w:rsidR="00D97AA6" w:rsidRPr="006A7803">
        <w:t>while returning from Lithuania</w:t>
      </w:r>
      <w:r w:rsidR="00D16696">
        <w:t>,</w:t>
      </w:r>
      <w:r w:rsidR="00D97AA6">
        <w:t xml:space="preserve"> </w:t>
      </w:r>
      <w:r w:rsidR="005F1611">
        <w:t>he</w:t>
      </w:r>
      <w:r w:rsidR="006A7803" w:rsidRPr="006A7803">
        <w:t xml:space="preserve"> was subjected to a search by </w:t>
      </w:r>
      <w:r w:rsidR="005F1611">
        <w:t xml:space="preserve">customs </w:t>
      </w:r>
      <w:r w:rsidR="006A7803" w:rsidRPr="006A7803">
        <w:t>officers of</w:t>
      </w:r>
      <w:r w:rsidR="00ED18F6">
        <w:t xml:space="preserve"> the</w:t>
      </w:r>
      <w:r w:rsidR="006A7803" w:rsidRPr="006A7803">
        <w:t xml:space="preserve"> Oshmyansk</w:t>
      </w:r>
      <w:r w:rsidR="00CD42C9">
        <w:t>y c</w:t>
      </w:r>
      <w:r w:rsidR="006A7803" w:rsidRPr="006A7803">
        <w:t>ustoms</w:t>
      </w:r>
      <w:r w:rsidR="005F1611">
        <w:t xml:space="preserve"> station</w:t>
      </w:r>
      <w:r w:rsidR="006A7803" w:rsidRPr="006A7803">
        <w:t xml:space="preserve"> at </w:t>
      </w:r>
      <w:r w:rsidR="00D97AA6">
        <w:t xml:space="preserve">the </w:t>
      </w:r>
      <w:r w:rsidR="006A7803" w:rsidRPr="006A7803">
        <w:t xml:space="preserve">border </w:t>
      </w:r>
      <w:r w:rsidR="00D97AA6">
        <w:t xml:space="preserve">checkpoint </w:t>
      </w:r>
      <w:r w:rsidR="005F1611">
        <w:t>“Kamenny</w:t>
      </w:r>
      <w:r w:rsidR="006A7803" w:rsidRPr="006A7803">
        <w:t xml:space="preserve"> Log” in Belarus. </w:t>
      </w:r>
      <w:r w:rsidR="00D97AA6">
        <w:t>H</w:t>
      </w:r>
      <w:r w:rsidR="006A7803" w:rsidRPr="006A7803">
        <w:t xml:space="preserve">e </w:t>
      </w:r>
      <w:r w:rsidR="005F1611">
        <w:t>submits that</w:t>
      </w:r>
      <w:r w:rsidR="00D16696">
        <w:t>,</w:t>
      </w:r>
      <w:r w:rsidR="005F1611">
        <w:t xml:space="preserve"> at th</w:t>
      </w:r>
      <w:r w:rsidR="00D16696">
        <w:t>e</w:t>
      </w:r>
      <w:r w:rsidR="005F1611">
        <w:t xml:space="preserve"> time, he was </w:t>
      </w:r>
      <w:r w:rsidR="00E63723">
        <w:lastRenderedPageBreak/>
        <w:t>preparing to participate as an observe</w:t>
      </w:r>
      <w:r w:rsidR="003A1A67">
        <w:t>r</w:t>
      </w:r>
      <w:r w:rsidR="00E63723">
        <w:t xml:space="preserve"> in the</w:t>
      </w:r>
      <w:r w:rsidR="005F1611">
        <w:t xml:space="preserve"> </w:t>
      </w:r>
      <w:r w:rsidR="006A7803" w:rsidRPr="006A7803">
        <w:t>presidential elections in Belarus</w:t>
      </w:r>
      <w:r w:rsidR="003C0F60">
        <w:t>,</w:t>
      </w:r>
      <w:r w:rsidR="006A7803" w:rsidRPr="006A7803">
        <w:t xml:space="preserve"> to be held on 19 December 2010. During the search, the customs officers seized ten brochures </w:t>
      </w:r>
      <w:r w:rsidR="003C0F60">
        <w:t>entitled,</w:t>
      </w:r>
      <w:r w:rsidR="006A7803" w:rsidRPr="006A7803">
        <w:t xml:space="preserve"> “Instructions for short-term observers of</w:t>
      </w:r>
      <w:r w:rsidR="00E63723">
        <w:t xml:space="preserve"> the</w:t>
      </w:r>
      <w:r w:rsidR="006A7803" w:rsidRPr="006A7803">
        <w:t xml:space="preserve"> electi</w:t>
      </w:r>
      <w:r w:rsidR="00C4281D">
        <w:t>ons of the President of Belarus”</w:t>
      </w:r>
      <w:r w:rsidR="006A7803" w:rsidRPr="006A7803">
        <w:t xml:space="preserve">. </w:t>
      </w:r>
      <w:r w:rsidR="005F1611">
        <w:t xml:space="preserve">The author submits that by doing so, the </w:t>
      </w:r>
      <w:r w:rsidR="00D97AA6">
        <w:t xml:space="preserve">authorities </w:t>
      </w:r>
      <w:r w:rsidR="005F1611">
        <w:t>wanted to prevent</w:t>
      </w:r>
      <w:r w:rsidR="00E63723">
        <w:t xml:space="preserve"> him and other</w:t>
      </w:r>
      <w:r w:rsidR="005F1611">
        <w:t xml:space="preserve"> observers from monitoring the situation during the elections. </w:t>
      </w:r>
    </w:p>
    <w:p w:rsidR="006A7803" w:rsidRPr="006A7803" w:rsidRDefault="006A7803" w:rsidP="00653C09">
      <w:pPr>
        <w:pStyle w:val="SingleTxtG"/>
      </w:pPr>
      <w:r w:rsidRPr="006A7803">
        <w:t>2.2</w:t>
      </w:r>
      <w:r w:rsidRPr="006A7803">
        <w:tab/>
      </w:r>
      <w:r w:rsidR="005F1611">
        <w:t>The author submits that t</w:t>
      </w:r>
      <w:r w:rsidRPr="006A7803">
        <w:t xml:space="preserve">he seizure of </w:t>
      </w:r>
      <w:r w:rsidR="003C0F60">
        <w:t xml:space="preserve">the </w:t>
      </w:r>
      <w:r w:rsidRPr="006A7803">
        <w:t xml:space="preserve">documents </w:t>
      </w:r>
      <w:r w:rsidR="00D97AA6">
        <w:t xml:space="preserve">by </w:t>
      </w:r>
      <w:r w:rsidR="00E63723">
        <w:t>the</w:t>
      </w:r>
      <w:r w:rsidR="005F1611">
        <w:t xml:space="preserve"> customs officers </w:t>
      </w:r>
      <w:r w:rsidR="00D97AA6">
        <w:t xml:space="preserve">was </w:t>
      </w:r>
      <w:r w:rsidR="005F1611">
        <w:t xml:space="preserve">based on </w:t>
      </w:r>
      <w:r w:rsidR="00C4281D">
        <w:t>article </w:t>
      </w:r>
      <w:r w:rsidR="005F1611">
        <w:t xml:space="preserve">14 of the </w:t>
      </w:r>
      <w:r w:rsidR="003C0F60">
        <w:t>L</w:t>
      </w:r>
      <w:r w:rsidR="005F1611">
        <w:t>aw</w:t>
      </w:r>
      <w:r w:rsidRPr="006A7803">
        <w:t xml:space="preserve"> </w:t>
      </w:r>
      <w:r w:rsidR="003C0F60">
        <w:t>o</w:t>
      </w:r>
      <w:r w:rsidR="005F1611">
        <w:t>n Fighting Extremism</w:t>
      </w:r>
      <w:r w:rsidR="00E63723">
        <w:t xml:space="preserve"> </w:t>
      </w:r>
      <w:r w:rsidR="00D97AA6">
        <w:t>of</w:t>
      </w:r>
      <w:r w:rsidR="005F1611">
        <w:t xml:space="preserve"> 4</w:t>
      </w:r>
      <w:r w:rsidR="00C4281D">
        <w:t> </w:t>
      </w:r>
      <w:r w:rsidR="005F1611">
        <w:t>January 2007</w:t>
      </w:r>
      <w:r w:rsidR="003C0F60">
        <w:t xml:space="preserve"> (hereinafter, the Law)</w:t>
      </w:r>
      <w:r w:rsidR="005F1611">
        <w:t>. Based on th</w:t>
      </w:r>
      <w:r w:rsidR="003C0F60">
        <w:t>e</w:t>
      </w:r>
      <w:r w:rsidR="005F1611">
        <w:t xml:space="preserve"> </w:t>
      </w:r>
      <w:r w:rsidR="003C0F60">
        <w:t>L</w:t>
      </w:r>
      <w:r w:rsidR="005F1611">
        <w:t xml:space="preserve">aw, the </w:t>
      </w:r>
      <w:r w:rsidR="003C0F60">
        <w:t>G</w:t>
      </w:r>
      <w:r w:rsidR="005F1611">
        <w:t>overnment adopted the regulation</w:t>
      </w:r>
      <w:r w:rsidR="003C0F60">
        <w:t>,</w:t>
      </w:r>
      <w:r w:rsidR="005F1611">
        <w:t xml:space="preserve"> </w:t>
      </w:r>
      <w:r w:rsidRPr="006A7803">
        <w:t>“Instruction</w:t>
      </w:r>
      <w:r w:rsidR="005F1611">
        <w:t>s</w:t>
      </w:r>
      <w:r w:rsidRPr="006A7803">
        <w:t xml:space="preserve"> on Cooperation of National Authorities in </w:t>
      </w:r>
      <w:r w:rsidR="005F1611">
        <w:t>Fighting</w:t>
      </w:r>
      <w:r w:rsidRPr="006A7803">
        <w:t xml:space="preserve"> Extremism”</w:t>
      </w:r>
      <w:r w:rsidR="00E63723">
        <w:t xml:space="preserve"> (hereinafter</w:t>
      </w:r>
      <w:r w:rsidR="003C0F60">
        <w:t>,</w:t>
      </w:r>
      <w:r w:rsidR="00E63723">
        <w:t xml:space="preserve"> the </w:t>
      </w:r>
      <w:r w:rsidR="003C0F60">
        <w:t>I</w:t>
      </w:r>
      <w:r w:rsidR="00E63723">
        <w:t>nstruction</w:t>
      </w:r>
      <w:r w:rsidR="003C0F60">
        <w:t>s</w:t>
      </w:r>
      <w:r w:rsidR="00E63723">
        <w:t>)</w:t>
      </w:r>
      <w:r w:rsidRPr="006A7803">
        <w:t xml:space="preserve"> </w:t>
      </w:r>
      <w:r w:rsidR="005F1611">
        <w:t xml:space="preserve">dated </w:t>
      </w:r>
      <w:r w:rsidRPr="006A7803">
        <w:t>28 July 2008</w:t>
      </w:r>
      <w:r w:rsidR="005F1611">
        <w:t>. The author claims that</w:t>
      </w:r>
      <w:r w:rsidR="003C0F60">
        <w:t>,</w:t>
      </w:r>
      <w:r w:rsidR="005F1611">
        <w:t xml:space="preserve"> a</w:t>
      </w:r>
      <w:r w:rsidRPr="006A7803">
        <w:t xml:space="preserve">lthough the </w:t>
      </w:r>
      <w:r w:rsidR="003C0F60">
        <w:t>L</w:t>
      </w:r>
      <w:r w:rsidRPr="006A7803">
        <w:t>aw reportedly mandates a seizure of information materials containing incitement to extremism or its propaganda,</w:t>
      </w:r>
      <w:r w:rsidR="00D97AA6">
        <w:t xml:space="preserve"> in practice</w:t>
      </w:r>
      <w:r w:rsidRPr="006A7803">
        <w:t xml:space="preserve"> the </w:t>
      </w:r>
      <w:r w:rsidR="003C0F60">
        <w:t>I</w:t>
      </w:r>
      <w:r w:rsidRPr="006A7803">
        <w:t>nstruction</w:t>
      </w:r>
      <w:r w:rsidR="003C0F60">
        <w:t>s</w:t>
      </w:r>
      <w:r w:rsidRPr="006A7803">
        <w:t xml:space="preserve"> allow for arbitrary </w:t>
      </w:r>
      <w:r w:rsidR="00E63723">
        <w:t>seizure of any printed materials “for further examination”</w:t>
      </w:r>
      <w:r w:rsidR="00C4281D">
        <w:t>.</w:t>
      </w:r>
    </w:p>
    <w:p w:rsidR="00EC1539" w:rsidRDefault="006A7803" w:rsidP="00653C09">
      <w:pPr>
        <w:pStyle w:val="SingleTxtG"/>
      </w:pPr>
      <w:r w:rsidRPr="006A7803">
        <w:t>2.3</w:t>
      </w:r>
      <w:r w:rsidRPr="006A7803">
        <w:tab/>
        <w:t>On 1 December 2010, the author appealed against the seizure of</w:t>
      </w:r>
      <w:r w:rsidR="00E63723">
        <w:t xml:space="preserve"> the</w:t>
      </w:r>
      <w:r w:rsidRPr="006A7803">
        <w:t xml:space="preserve"> brochures to the </w:t>
      </w:r>
      <w:r w:rsidR="003C0F60">
        <w:t>H</w:t>
      </w:r>
      <w:r w:rsidR="005F1611">
        <w:t>ead</w:t>
      </w:r>
      <w:r w:rsidRPr="006A7803">
        <w:t xml:space="preserve"> of the State Customs </w:t>
      </w:r>
      <w:r w:rsidR="005F1611">
        <w:t>Committee</w:t>
      </w:r>
      <w:r w:rsidRPr="006A7803">
        <w:t xml:space="preserve">, requesting an immediate </w:t>
      </w:r>
      <w:r w:rsidR="005F1611">
        <w:t>return</w:t>
      </w:r>
      <w:r w:rsidRPr="006A7803">
        <w:t xml:space="preserve"> of</w:t>
      </w:r>
      <w:r w:rsidR="00E63723">
        <w:t xml:space="preserve"> the</w:t>
      </w:r>
      <w:r w:rsidRPr="006A7803">
        <w:t xml:space="preserve"> documents</w:t>
      </w:r>
      <w:r w:rsidR="003C0F60">
        <w:t>,</w:t>
      </w:r>
      <w:r w:rsidRPr="006A7803">
        <w:t xml:space="preserve"> which </w:t>
      </w:r>
      <w:r w:rsidR="005F1611">
        <w:t>were needed before and during the elections</w:t>
      </w:r>
      <w:r w:rsidRPr="006A7803">
        <w:t xml:space="preserve">. </w:t>
      </w:r>
      <w:r w:rsidR="00D97AA6">
        <w:t xml:space="preserve">He </w:t>
      </w:r>
      <w:r w:rsidR="00EC1539">
        <w:t>claims that</w:t>
      </w:r>
      <w:r w:rsidR="003C0F60">
        <w:t>,</w:t>
      </w:r>
      <w:r w:rsidR="00EC1539">
        <w:t xml:space="preserve"> </w:t>
      </w:r>
      <w:r w:rsidR="00D97AA6">
        <w:t xml:space="preserve">under </w:t>
      </w:r>
      <w:r w:rsidR="00C4281D">
        <w:t>article </w:t>
      </w:r>
      <w:r w:rsidRPr="006A7803">
        <w:t>49 of the Election</w:t>
      </w:r>
      <w:r w:rsidR="00EC1539">
        <w:t>s</w:t>
      </w:r>
      <w:r w:rsidRPr="006A7803">
        <w:t xml:space="preserve"> Law</w:t>
      </w:r>
      <w:r w:rsidR="00EC1539">
        <w:t xml:space="preserve">, he should have received a </w:t>
      </w:r>
      <w:r w:rsidR="003C0F60">
        <w:t>response</w:t>
      </w:r>
      <w:r w:rsidR="00EC1539">
        <w:t xml:space="preserve"> within three days of filing</w:t>
      </w:r>
      <w:r w:rsidR="00E63723">
        <w:t xml:space="preserve"> of</w:t>
      </w:r>
      <w:r w:rsidR="00EC1539">
        <w:t xml:space="preserve"> the complaint. </w:t>
      </w:r>
      <w:r w:rsidR="003C0F60">
        <w:t>Since he</w:t>
      </w:r>
      <w:r w:rsidR="00EC1539">
        <w:t xml:space="preserve"> did not receive a response from the</w:t>
      </w:r>
      <w:r w:rsidR="00E63723">
        <w:t xml:space="preserve"> State</w:t>
      </w:r>
      <w:r w:rsidR="00EC1539">
        <w:t xml:space="preserve"> Customs Committee, on 7</w:t>
      </w:r>
      <w:r w:rsidR="00C4281D">
        <w:t> </w:t>
      </w:r>
      <w:r w:rsidR="00EC1539">
        <w:t>December 2010,</w:t>
      </w:r>
      <w:r w:rsidRPr="006A7803">
        <w:t xml:space="preserve"> </w:t>
      </w:r>
      <w:r w:rsidR="00EC1539">
        <w:t>he</w:t>
      </w:r>
      <w:r w:rsidRPr="006A7803">
        <w:t xml:space="preserve"> filed a </w:t>
      </w:r>
      <w:r w:rsidR="00EC1539">
        <w:t xml:space="preserve">complaint with </w:t>
      </w:r>
      <w:r w:rsidR="003C0F60">
        <w:t xml:space="preserve">the </w:t>
      </w:r>
      <w:r w:rsidR="00EC1539">
        <w:t>Oshmyansk</w:t>
      </w:r>
      <w:r w:rsidRPr="006A7803">
        <w:t xml:space="preserve">y </w:t>
      </w:r>
      <w:r w:rsidR="003C0F60">
        <w:t>D</w:t>
      </w:r>
      <w:r w:rsidRPr="006A7803">
        <w:t>istri</w:t>
      </w:r>
      <w:r w:rsidR="00EC1539">
        <w:t xml:space="preserve">ct </w:t>
      </w:r>
      <w:r w:rsidR="003C0F60">
        <w:t>C</w:t>
      </w:r>
      <w:r w:rsidR="00EC1539">
        <w:t>ourt</w:t>
      </w:r>
      <w:r w:rsidR="003C0F60">
        <w:t>,</w:t>
      </w:r>
      <w:r w:rsidR="00EC1539">
        <w:t xml:space="preserve"> claiming that on 30</w:t>
      </w:r>
      <w:r w:rsidR="00C4281D">
        <w:t> </w:t>
      </w:r>
      <w:r w:rsidR="00EC1539">
        <w:t>November 2010, the customs officers</w:t>
      </w:r>
      <w:r w:rsidRPr="006A7803">
        <w:t xml:space="preserve"> violat</w:t>
      </w:r>
      <w:r w:rsidR="00EC1539">
        <w:t>ed</w:t>
      </w:r>
      <w:r w:rsidRPr="006A7803">
        <w:t xml:space="preserve"> his</w:t>
      </w:r>
      <w:r w:rsidR="00EC1539">
        <w:t xml:space="preserve"> right to</w:t>
      </w:r>
      <w:r w:rsidRPr="006A7803">
        <w:t xml:space="preserve"> seek and impart information</w:t>
      </w:r>
      <w:r w:rsidR="00C2360F">
        <w:t>,</w:t>
      </w:r>
      <w:r w:rsidRPr="006A7803">
        <w:t xml:space="preserve"> as guaranteed by articles</w:t>
      </w:r>
      <w:r w:rsidR="00C4281D">
        <w:t> </w:t>
      </w:r>
      <w:r w:rsidR="00E63723">
        <w:t>23 and 34</w:t>
      </w:r>
      <w:r w:rsidRPr="006A7803">
        <w:t xml:space="preserve"> of the</w:t>
      </w:r>
      <w:r w:rsidR="00E63723">
        <w:t xml:space="preserve"> Belarus</w:t>
      </w:r>
      <w:r w:rsidRPr="006A7803">
        <w:t xml:space="preserve"> Constitution. </w:t>
      </w:r>
    </w:p>
    <w:p w:rsidR="00A17E22" w:rsidRDefault="00EC1539" w:rsidP="00653C09">
      <w:pPr>
        <w:pStyle w:val="SingleTxtG"/>
      </w:pPr>
      <w:r>
        <w:t>2.4</w:t>
      </w:r>
      <w:r>
        <w:tab/>
        <w:t xml:space="preserve">The Oshmyansky </w:t>
      </w:r>
      <w:r w:rsidR="00C2360F">
        <w:t>D</w:t>
      </w:r>
      <w:r>
        <w:t xml:space="preserve">istrict </w:t>
      </w:r>
      <w:r w:rsidR="00C2360F">
        <w:t>C</w:t>
      </w:r>
      <w:r>
        <w:t>ourt rejected his appeal on 5 January 2011</w:t>
      </w:r>
      <w:r w:rsidR="00D97AA6">
        <w:t xml:space="preserve">, holding </w:t>
      </w:r>
      <w:r>
        <w:t>that the customs officer</w:t>
      </w:r>
      <w:r w:rsidR="00A17E22">
        <w:t>s</w:t>
      </w:r>
      <w:r>
        <w:t xml:space="preserve"> </w:t>
      </w:r>
      <w:r w:rsidR="00C2360F">
        <w:t xml:space="preserve">had </w:t>
      </w:r>
      <w:r>
        <w:t>followed</w:t>
      </w:r>
      <w:r w:rsidR="00E63723">
        <w:t xml:space="preserve"> all the applicable</w:t>
      </w:r>
      <w:r>
        <w:t xml:space="preserve"> rules and regulations, and correctly “withheld” some printed materials. Th</w:t>
      </w:r>
      <w:r w:rsidR="00C2360F">
        <w:t>o</w:t>
      </w:r>
      <w:r>
        <w:t>se brochures were then sent for “expert analysis” to identify whether the</w:t>
      </w:r>
      <w:r w:rsidR="00D97AA6">
        <w:t>i</w:t>
      </w:r>
      <w:r>
        <w:t>r</w:t>
      </w:r>
      <w:r w:rsidR="00D97AA6">
        <w:t xml:space="preserve"> content</w:t>
      </w:r>
      <w:r>
        <w:t xml:space="preserve"> was “extremist”.</w:t>
      </w:r>
      <w:r w:rsidR="00A17E22">
        <w:t xml:space="preserve"> The </w:t>
      </w:r>
      <w:r w:rsidR="00C2360F">
        <w:t>C</w:t>
      </w:r>
      <w:r w:rsidR="00A17E22">
        <w:t xml:space="preserve">ourt stated that if the analysis </w:t>
      </w:r>
      <w:r w:rsidR="00C2360F">
        <w:t xml:space="preserve">did not </w:t>
      </w:r>
      <w:r w:rsidR="00A17E22">
        <w:t>f</w:t>
      </w:r>
      <w:r w:rsidR="00C2360F">
        <w:t>i</w:t>
      </w:r>
      <w:r w:rsidR="00A17E22">
        <w:t xml:space="preserve">nd </w:t>
      </w:r>
      <w:r w:rsidR="00C2360F">
        <w:t xml:space="preserve">any </w:t>
      </w:r>
      <w:r w:rsidR="00A17E22">
        <w:t xml:space="preserve">extremist content, the brochures would be returned to the author. </w:t>
      </w:r>
    </w:p>
    <w:p w:rsidR="00A17E22" w:rsidRDefault="00A17E22" w:rsidP="00653C09">
      <w:pPr>
        <w:pStyle w:val="SingleTxtG"/>
      </w:pPr>
      <w:r>
        <w:t>2.5</w:t>
      </w:r>
      <w:r>
        <w:tab/>
        <w:t>The author appealed th</w:t>
      </w:r>
      <w:r w:rsidR="00C2360F">
        <w:t>at</w:t>
      </w:r>
      <w:r>
        <w:t xml:space="preserve"> decision on 14 January 2011 to the Grodno </w:t>
      </w:r>
      <w:r w:rsidR="00C2360F">
        <w:t>R</w:t>
      </w:r>
      <w:r>
        <w:t xml:space="preserve">egional </w:t>
      </w:r>
      <w:r w:rsidR="00C2360F">
        <w:t>C</w:t>
      </w:r>
      <w:r>
        <w:t xml:space="preserve">ourt, arguing that the seizure of the election brochures was arbitrary. The author submits that if customs officers have </w:t>
      </w:r>
      <w:r w:rsidR="00C2360F">
        <w:t>the</w:t>
      </w:r>
      <w:r>
        <w:t xml:space="preserve"> right to seize any printed material, th</w:t>
      </w:r>
      <w:r w:rsidR="00C2360F">
        <w:t>e</w:t>
      </w:r>
      <w:r>
        <w:t xml:space="preserve"> regulation violates </w:t>
      </w:r>
      <w:r w:rsidR="00C2360F">
        <w:t xml:space="preserve">the </w:t>
      </w:r>
      <w:r>
        <w:t xml:space="preserve">provisions of </w:t>
      </w:r>
      <w:r w:rsidR="00C4281D">
        <w:t>article </w:t>
      </w:r>
      <w:r>
        <w:t xml:space="preserve">19 of the </w:t>
      </w:r>
      <w:r w:rsidR="00C2360F">
        <w:t xml:space="preserve">International </w:t>
      </w:r>
      <w:r>
        <w:t>Covenant</w:t>
      </w:r>
      <w:r w:rsidR="00C2360F">
        <w:t xml:space="preserve"> on Civil and Political Rights</w:t>
      </w:r>
      <w:r>
        <w:t xml:space="preserve">. </w:t>
      </w:r>
      <w:r w:rsidR="003E6542">
        <w:t>In its rejection</w:t>
      </w:r>
      <w:r w:rsidR="00C2360F">
        <w:t>,</w:t>
      </w:r>
      <w:r w:rsidR="003E6542">
        <w:t xml:space="preserve"> dated 2 March 2011, the Grodno </w:t>
      </w:r>
      <w:r w:rsidR="00C2360F">
        <w:t>R</w:t>
      </w:r>
      <w:r w:rsidR="003E6542">
        <w:t xml:space="preserve">egional </w:t>
      </w:r>
      <w:r w:rsidR="00C2360F">
        <w:t>C</w:t>
      </w:r>
      <w:r w:rsidR="003E6542">
        <w:t>ourt agreed with the lower court</w:t>
      </w:r>
      <w:r w:rsidR="0074752C">
        <w:t xml:space="preserve">, and noted </w:t>
      </w:r>
      <w:r w:rsidR="003E6542">
        <w:t xml:space="preserve">that the customs </w:t>
      </w:r>
      <w:r w:rsidR="00C2360F">
        <w:t xml:space="preserve">authorities had </w:t>
      </w:r>
      <w:r w:rsidR="003E6542">
        <w:t xml:space="preserve">returned the brochures after it </w:t>
      </w:r>
      <w:r w:rsidR="00C2360F">
        <w:t>had been</w:t>
      </w:r>
      <w:r w:rsidR="003E6542">
        <w:t xml:space="preserve"> ascertained that they did not contain any extremist </w:t>
      </w:r>
      <w:r w:rsidR="00E63723">
        <w:t>content</w:t>
      </w:r>
      <w:r w:rsidR="003E6542">
        <w:t xml:space="preserve">. </w:t>
      </w:r>
    </w:p>
    <w:p w:rsidR="006A7803" w:rsidRDefault="00EC1539" w:rsidP="00C4281D">
      <w:pPr>
        <w:pStyle w:val="SingleTxtG"/>
      </w:pPr>
      <w:r>
        <w:t>2.</w:t>
      </w:r>
      <w:r w:rsidR="00336940">
        <w:t>6</w:t>
      </w:r>
      <w:r>
        <w:tab/>
        <w:t xml:space="preserve">The author submits that the </w:t>
      </w:r>
      <w:r w:rsidR="006A7803" w:rsidRPr="006A7803">
        <w:t>brochures</w:t>
      </w:r>
      <w:r>
        <w:t xml:space="preserve"> in question were returned to him on</w:t>
      </w:r>
      <w:r w:rsidR="003E6542">
        <w:t xml:space="preserve"> 13</w:t>
      </w:r>
      <w:r w:rsidR="00C4281D">
        <w:t> </w:t>
      </w:r>
      <w:r w:rsidR="003E6542">
        <w:t>January 2011</w:t>
      </w:r>
      <w:r w:rsidR="0074752C">
        <w:t xml:space="preserve"> only</w:t>
      </w:r>
      <w:r w:rsidR="003E6542">
        <w:t xml:space="preserve">, </w:t>
      </w:r>
      <w:r w:rsidR="0074752C">
        <w:t xml:space="preserve">i.e. </w:t>
      </w:r>
      <w:r>
        <w:t>after the presidential elections</w:t>
      </w:r>
      <w:r w:rsidR="006A7803" w:rsidRPr="006A7803">
        <w:t xml:space="preserve"> on 19 December 2010.</w:t>
      </w:r>
      <w:r w:rsidR="003E6542">
        <w:t xml:space="preserve"> </w:t>
      </w:r>
      <w:r w:rsidR="0074752C">
        <w:t xml:space="preserve">He </w:t>
      </w:r>
      <w:r w:rsidR="003E6542">
        <w:t xml:space="preserve">claims that at that time, he did not need them anymore, and the temporary seizure of the brochures was intended to </w:t>
      </w:r>
      <w:r w:rsidR="0074752C">
        <w:t>obstruct</w:t>
      </w:r>
      <w:r w:rsidR="003E6542">
        <w:t xml:space="preserve"> his</w:t>
      </w:r>
      <w:r w:rsidR="00E63723">
        <w:t xml:space="preserve"> monitoring</w:t>
      </w:r>
      <w:r w:rsidR="003E6542">
        <w:t xml:space="preserve"> activities</w:t>
      </w:r>
      <w:r w:rsidR="00E63723">
        <w:t xml:space="preserve"> before and</w:t>
      </w:r>
      <w:r w:rsidR="003E6542">
        <w:t xml:space="preserve"> during the elections. </w:t>
      </w:r>
    </w:p>
    <w:p w:rsidR="003973D0" w:rsidRPr="006A7803" w:rsidRDefault="006A7803" w:rsidP="001E2234">
      <w:pPr>
        <w:pStyle w:val="SingleTxtG"/>
      </w:pPr>
      <w:r w:rsidRPr="006A7803">
        <w:t>2.</w:t>
      </w:r>
      <w:r w:rsidR="00336940">
        <w:t>7</w:t>
      </w:r>
      <w:r w:rsidRPr="006A7803">
        <w:tab/>
        <w:t>The author further</w:t>
      </w:r>
      <w:r w:rsidR="00336940">
        <w:t xml:space="preserve"> submits that o</w:t>
      </w:r>
      <w:r w:rsidRPr="006A7803">
        <w:t>n 11 April and 23 May 2011</w:t>
      </w:r>
      <w:r w:rsidR="0074752C">
        <w:t>,</w:t>
      </w:r>
      <w:r w:rsidRPr="006A7803">
        <w:t xml:space="preserve"> </w:t>
      </w:r>
      <w:r w:rsidR="00336940">
        <w:t>he filed</w:t>
      </w:r>
      <w:r w:rsidR="00E63723">
        <w:t xml:space="preserve"> two</w:t>
      </w:r>
      <w:r w:rsidR="00C2360F">
        <w:t xml:space="preserve"> requests for</w:t>
      </w:r>
      <w:r w:rsidR="00336940">
        <w:t xml:space="preserve"> supervisory</w:t>
      </w:r>
      <w:r w:rsidR="00E63723">
        <w:t xml:space="preserve"> </w:t>
      </w:r>
      <w:r w:rsidR="00C2360F">
        <w:t>review</w:t>
      </w:r>
      <w:r w:rsidR="00336940">
        <w:t xml:space="preserve"> with th</w:t>
      </w:r>
      <w:r w:rsidRPr="006A7803">
        <w:t xml:space="preserve">e </w:t>
      </w:r>
      <w:r w:rsidR="00C2360F">
        <w:t>P</w:t>
      </w:r>
      <w:r w:rsidRPr="006A7803">
        <w:t>resident of the Grodn</w:t>
      </w:r>
      <w:r w:rsidR="00336940">
        <w:t>o</w:t>
      </w:r>
      <w:r w:rsidRPr="006A7803">
        <w:t xml:space="preserve"> </w:t>
      </w:r>
      <w:r w:rsidR="00C2360F">
        <w:t>R</w:t>
      </w:r>
      <w:r w:rsidRPr="006A7803">
        <w:t xml:space="preserve">egional </w:t>
      </w:r>
      <w:r w:rsidR="00C2360F">
        <w:t>C</w:t>
      </w:r>
      <w:r w:rsidRPr="006A7803">
        <w:t xml:space="preserve">ourt and the </w:t>
      </w:r>
      <w:r w:rsidR="00C2360F">
        <w:t xml:space="preserve">President of the </w:t>
      </w:r>
      <w:r w:rsidRPr="006A7803">
        <w:t>Supreme Court</w:t>
      </w:r>
      <w:r w:rsidR="00336940">
        <w:t xml:space="preserve"> of Belarus</w:t>
      </w:r>
      <w:r w:rsidRPr="006A7803">
        <w:t xml:space="preserve">, </w:t>
      </w:r>
      <w:r w:rsidR="00336940">
        <w:t>but his complaints were rejected on 1</w:t>
      </w:r>
      <w:r w:rsidRPr="006A7803">
        <w:t>6 May and 27 June 2011</w:t>
      </w:r>
      <w:r w:rsidR="00336940">
        <w:t xml:space="preserve">, respectively. </w:t>
      </w:r>
      <w:r w:rsidR="0074752C">
        <w:t>He</w:t>
      </w:r>
      <w:r w:rsidR="00336940">
        <w:t xml:space="preserve"> </w:t>
      </w:r>
      <w:r w:rsidR="0074752C">
        <w:t xml:space="preserve">contends that he has exhausted all available and effective domestic remedies and notes </w:t>
      </w:r>
      <w:r w:rsidR="00336940">
        <w:t xml:space="preserve">that any further appeal would have been ineffective, </w:t>
      </w:r>
      <w:r w:rsidR="00C2360F">
        <w:t xml:space="preserve">as </w:t>
      </w:r>
      <w:r w:rsidR="001E2234">
        <w:t>evidenced also by</w:t>
      </w:r>
      <w:r w:rsidR="00336940">
        <w:t xml:space="preserve"> the Committee’</w:t>
      </w:r>
      <w:r w:rsidR="00E63723">
        <w:t>s long-standing jurisprudence on</w:t>
      </w:r>
      <w:r w:rsidR="00336940">
        <w:t xml:space="preserve"> </w:t>
      </w:r>
      <w:r w:rsidR="001E2234">
        <w:t xml:space="preserve">requests for </w:t>
      </w:r>
      <w:r w:rsidR="00336940">
        <w:t>supervisory review to the Prosecutor General</w:t>
      </w:r>
      <w:r w:rsidR="00C2360F">
        <w:t xml:space="preserve"> of Belarus</w:t>
      </w:r>
      <w:r w:rsidR="00336940">
        <w:t xml:space="preserve">. </w:t>
      </w:r>
    </w:p>
    <w:p w:rsidR="003973D0" w:rsidRPr="003973D0" w:rsidRDefault="003973D0" w:rsidP="003973D0">
      <w:pPr>
        <w:pStyle w:val="H23G"/>
      </w:pPr>
      <w:r w:rsidRPr="003973D0">
        <w:tab/>
      </w:r>
      <w:r w:rsidRPr="003973D0">
        <w:tab/>
        <w:t>The complaint</w:t>
      </w:r>
    </w:p>
    <w:p w:rsidR="004B204D" w:rsidRPr="004B204D" w:rsidRDefault="004B204D" w:rsidP="001E2234">
      <w:pPr>
        <w:pStyle w:val="SingleTxtG"/>
      </w:pPr>
      <w:r w:rsidRPr="004B204D">
        <w:t>3.1</w:t>
      </w:r>
      <w:r w:rsidRPr="004B204D">
        <w:tab/>
        <w:t xml:space="preserve">The author claims that the inconsistency between </w:t>
      </w:r>
      <w:r w:rsidR="00C4281D">
        <w:t>article </w:t>
      </w:r>
      <w:r w:rsidRPr="004B204D">
        <w:t xml:space="preserve">14 of the </w:t>
      </w:r>
      <w:r w:rsidR="0074752C">
        <w:t>L</w:t>
      </w:r>
      <w:r w:rsidRPr="004B204D">
        <w:t>aw a</w:t>
      </w:r>
      <w:r w:rsidR="00E63723">
        <w:t xml:space="preserve">nd </w:t>
      </w:r>
      <w:r w:rsidR="00C4281D">
        <w:t>article </w:t>
      </w:r>
      <w:r w:rsidR="00E63723">
        <w:t>2 of the</w:t>
      </w:r>
      <w:r w:rsidRPr="004B204D">
        <w:t xml:space="preserve"> </w:t>
      </w:r>
      <w:r w:rsidR="0074752C">
        <w:t>I</w:t>
      </w:r>
      <w:r w:rsidRPr="004B204D">
        <w:t>nstruction resulted in arbitrary seizure of his election brochures</w:t>
      </w:r>
      <w:r w:rsidR="00C2360F">
        <w:t>,</w:t>
      </w:r>
      <w:r w:rsidRPr="004B204D">
        <w:t xml:space="preserve"> in violation of his right to free</w:t>
      </w:r>
      <w:r w:rsidR="00C2360F">
        <w:t>dom of</w:t>
      </w:r>
      <w:r w:rsidRPr="004B204D">
        <w:t xml:space="preserve"> expression</w:t>
      </w:r>
      <w:r w:rsidR="0074752C">
        <w:t xml:space="preserve">, in particular </w:t>
      </w:r>
      <w:r w:rsidRPr="004B204D">
        <w:t xml:space="preserve">the freedom to impart information </w:t>
      </w:r>
      <w:r w:rsidR="00C2360F">
        <w:t>in</w:t>
      </w:r>
      <w:r w:rsidRPr="004B204D">
        <w:t xml:space="preserve"> any form</w:t>
      </w:r>
      <w:r w:rsidR="0074752C">
        <w:t>,</w:t>
      </w:r>
      <w:r w:rsidRPr="004B204D">
        <w:t xml:space="preserve"> </w:t>
      </w:r>
      <w:r w:rsidR="00C2360F">
        <w:lastRenderedPageBreak/>
        <w:t>with</w:t>
      </w:r>
      <w:r w:rsidRPr="004B204D">
        <w:t xml:space="preserve"> regard to presidential elections, in accordance with </w:t>
      </w:r>
      <w:r w:rsidR="00C4281D">
        <w:t>article </w:t>
      </w:r>
      <w:r w:rsidRPr="004B204D">
        <w:t xml:space="preserve">19, </w:t>
      </w:r>
      <w:r w:rsidR="00C4281D">
        <w:t>paragraph </w:t>
      </w:r>
      <w:r w:rsidR="00B9395B">
        <w:t xml:space="preserve">2, of the Covenant. </w:t>
      </w:r>
    </w:p>
    <w:p w:rsidR="004B204D" w:rsidRPr="004B204D" w:rsidRDefault="004B204D" w:rsidP="001E2234">
      <w:pPr>
        <w:pStyle w:val="SingleTxtG"/>
      </w:pPr>
      <w:r w:rsidRPr="004B204D">
        <w:t>3.</w:t>
      </w:r>
      <w:r w:rsidR="00C4281D">
        <w:t>2</w:t>
      </w:r>
      <w:r w:rsidR="00C4281D">
        <w:tab/>
        <w:t xml:space="preserve">Beyond </w:t>
      </w:r>
      <w:r w:rsidR="00D3584F">
        <w:t xml:space="preserve">the </w:t>
      </w:r>
      <w:r w:rsidR="00C4281D">
        <w:t>violation of articles </w:t>
      </w:r>
      <w:r w:rsidRPr="004B204D">
        <w:t xml:space="preserve">34 and 23 of the Constitution, the author alleges that the seizure of </w:t>
      </w:r>
      <w:r w:rsidR="00D3584F">
        <w:t xml:space="preserve">the </w:t>
      </w:r>
      <w:r w:rsidRPr="004B204D">
        <w:t xml:space="preserve">documents in application of </w:t>
      </w:r>
      <w:r w:rsidR="00C4281D">
        <w:t>article </w:t>
      </w:r>
      <w:r w:rsidRPr="004B204D">
        <w:t>2 of the Instruction</w:t>
      </w:r>
      <w:r w:rsidR="00D3584F">
        <w:t>s</w:t>
      </w:r>
      <w:r w:rsidRPr="004B204D">
        <w:t xml:space="preserve"> presented a restriction </w:t>
      </w:r>
      <w:r w:rsidR="00D3584F">
        <w:t>to</w:t>
      </w:r>
      <w:r w:rsidRPr="004B204D">
        <w:t xml:space="preserve"> his right to freedom of expression without meeting the criteria of necessity</w:t>
      </w:r>
      <w:r w:rsidR="00D3584F">
        <w:t>,</w:t>
      </w:r>
      <w:r w:rsidRPr="004B204D">
        <w:t xml:space="preserve"> as stipulated in </w:t>
      </w:r>
      <w:r w:rsidR="00C4281D">
        <w:t>article </w:t>
      </w:r>
      <w:r w:rsidRPr="004B204D">
        <w:t xml:space="preserve">19, </w:t>
      </w:r>
      <w:r w:rsidR="00C4281D">
        <w:t>paragraph </w:t>
      </w:r>
      <w:r w:rsidRPr="004B204D">
        <w:t xml:space="preserve">3, of the Covenant. In </w:t>
      </w:r>
      <w:r w:rsidR="0074752C">
        <w:t xml:space="preserve">his </w:t>
      </w:r>
      <w:r w:rsidRPr="004B204D">
        <w:t xml:space="preserve">view, the application of </w:t>
      </w:r>
      <w:r w:rsidR="0074752C">
        <w:t xml:space="preserve">the </w:t>
      </w:r>
      <w:r w:rsidRPr="004B204D">
        <w:t>national legislation without regard to the obligations under the Covenant has also re</w:t>
      </w:r>
      <w:r w:rsidR="00C4281D">
        <w:t xml:space="preserve">sulted in </w:t>
      </w:r>
      <w:r w:rsidR="00D3584F">
        <w:t xml:space="preserve">the </w:t>
      </w:r>
      <w:r w:rsidR="00C4281D">
        <w:t>violation of articles </w:t>
      </w:r>
      <w:r w:rsidRPr="004B204D">
        <w:t>26 and 27 of the Vienna Convention on the Law of Treaties (1969).</w:t>
      </w:r>
      <w:r w:rsidRPr="004B204D">
        <w:rPr>
          <w:rStyle w:val="FootnoteReference"/>
        </w:rPr>
        <w:footnoteReference w:id="3"/>
      </w:r>
      <w:r w:rsidRPr="004B204D">
        <w:t xml:space="preserve"> Further, the author contends that non-compliance of the Instruction with the Law </w:t>
      </w:r>
      <w:r w:rsidR="004A427E">
        <w:t>resulted in</w:t>
      </w:r>
      <w:r w:rsidRPr="004B204D">
        <w:t xml:space="preserve"> a violation of </w:t>
      </w:r>
      <w:r w:rsidR="00C4281D">
        <w:t>article </w:t>
      </w:r>
      <w:r w:rsidRPr="004B204D">
        <w:t xml:space="preserve">2, </w:t>
      </w:r>
      <w:r w:rsidR="00C4281D">
        <w:t>paragraph </w:t>
      </w:r>
      <w:r w:rsidRPr="004B204D">
        <w:t xml:space="preserve">2, </w:t>
      </w:r>
      <w:r w:rsidR="0003453C">
        <w:t xml:space="preserve">read in conjunction with </w:t>
      </w:r>
      <w:r w:rsidR="00C4281D">
        <w:t>article </w:t>
      </w:r>
      <w:r w:rsidR="0003453C">
        <w:t xml:space="preserve">19, </w:t>
      </w:r>
      <w:r w:rsidR="00C4281D">
        <w:t>paragraph </w:t>
      </w:r>
      <w:r w:rsidR="0003453C">
        <w:t xml:space="preserve">2, </w:t>
      </w:r>
      <w:r w:rsidR="00C4281D">
        <w:t>of the Covenant.</w:t>
      </w:r>
    </w:p>
    <w:p w:rsidR="003973D0" w:rsidRPr="003973D0" w:rsidRDefault="00B9395B" w:rsidP="003973D0">
      <w:pPr>
        <w:pStyle w:val="H23G"/>
      </w:pPr>
      <w:r>
        <w:tab/>
      </w:r>
      <w:r>
        <w:tab/>
        <w:t>State party’</w:t>
      </w:r>
      <w:r w:rsidR="003973D0" w:rsidRPr="003973D0">
        <w:t>s observations on admissibility</w:t>
      </w:r>
    </w:p>
    <w:p w:rsidR="003973D0" w:rsidRPr="003973D0" w:rsidRDefault="003973D0" w:rsidP="003973D0">
      <w:pPr>
        <w:pStyle w:val="SingleTxtG"/>
      </w:pPr>
      <w:r w:rsidRPr="003973D0">
        <w:t>4.</w:t>
      </w:r>
      <w:r w:rsidR="002F706F">
        <w:t>1</w:t>
      </w:r>
      <w:r w:rsidRPr="003973D0">
        <w:tab/>
        <w:t xml:space="preserve">On </w:t>
      </w:r>
      <w:r w:rsidR="00920CF9">
        <w:t>23</w:t>
      </w:r>
      <w:r w:rsidRPr="003973D0">
        <w:t xml:space="preserve"> </w:t>
      </w:r>
      <w:r w:rsidR="00920CF9">
        <w:t>December</w:t>
      </w:r>
      <w:r w:rsidRPr="003973D0">
        <w:t xml:space="preserve"> 2011, the State party challenged the admissibility of the communication</w:t>
      </w:r>
      <w:r w:rsidR="004A427E">
        <w:t>,</w:t>
      </w:r>
      <w:r w:rsidRPr="003973D0">
        <w:t xml:space="preserve"> arguing that the author had failed to exhaust all available domestic remedies, as he </w:t>
      </w:r>
      <w:r w:rsidR="004A427E">
        <w:t xml:space="preserve">had </w:t>
      </w:r>
      <w:r w:rsidRPr="003973D0">
        <w:t xml:space="preserve">failed to request </w:t>
      </w:r>
      <w:r w:rsidR="00920CF9">
        <w:t>the Prosecutor General</w:t>
      </w:r>
      <w:r w:rsidRPr="003973D0">
        <w:t xml:space="preserve"> to initiate supervisory review proceedings of his case.</w:t>
      </w:r>
    </w:p>
    <w:p w:rsidR="002F706F" w:rsidRDefault="002F706F" w:rsidP="001E2234">
      <w:pPr>
        <w:pStyle w:val="SingleTxtG"/>
      </w:pPr>
      <w:r>
        <w:t>4.2</w:t>
      </w:r>
      <w:r w:rsidR="003973D0" w:rsidRPr="003973D0">
        <w:tab/>
      </w:r>
      <w:r w:rsidR="004A427E">
        <w:t>In a</w:t>
      </w:r>
      <w:r w:rsidR="003973D0" w:rsidRPr="003973D0">
        <w:t xml:space="preserve"> </w:t>
      </w:r>
      <w:r w:rsidR="004A427E">
        <w:t>n</w:t>
      </w:r>
      <w:r w:rsidR="003973D0" w:rsidRPr="003973D0">
        <w:t xml:space="preserve">ote </w:t>
      </w:r>
      <w:r w:rsidR="004A427E">
        <w:t>v</w:t>
      </w:r>
      <w:r w:rsidR="003973D0" w:rsidRPr="003973D0">
        <w:t xml:space="preserve">erbale </w:t>
      </w:r>
      <w:r w:rsidR="004A427E">
        <w:t>dated</w:t>
      </w:r>
      <w:r w:rsidR="003973D0" w:rsidRPr="003973D0">
        <w:t xml:space="preserve"> 25 January 2012, the State party </w:t>
      </w:r>
      <w:r w:rsidR="004A427E">
        <w:t>submitted</w:t>
      </w:r>
      <w:r w:rsidR="003973D0" w:rsidRPr="003973D0">
        <w:t xml:space="preserve"> that </w:t>
      </w:r>
      <w:r w:rsidR="004A427E" w:rsidRPr="004A427E">
        <w:t xml:space="preserve">upon becoming a party </w:t>
      </w:r>
      <w:r w:rsidR="003973D0" w:rsidRPr="003973D0">
        <w:t>to the Optional Protocol, it had recogni</w:t>
      </w:r>
      <w:r w:rsidR="004A427E">
        <w:t>z</w:t>
      </w:r>
      <w:r w:rsidR="003973D0" w:rsidRPr="003973D0">
        <w:t>ed the Committee’s competence</w:t>
      </w:r>
      <w:r w:rsidR="004A427E">
        <w:t>,</w:t>
      </w:r>
      <w:r w:rsidR="003973D0" w:rsidRPr="003973D0">
        <w:t xml:space="preserve"> under </w:t>
      </w:r>
      <w:r w:rsidR="00C4281D">
        <w:t>article </w:t>
      </w:r>
      <w:r w:rsidR="003973D0" w:rsidRPr="003973D0">
        <w:t>1 thereof</w:t>
      </w:r>
      <w:r w:rsidR="004A427E">
        <w:t>,</w:t>
      </w:r>
      <w:r w:rsidR="003973D0" w:rsidRPr="003973D0">
        <w:t xml:space="preserve"> to receive and consider communications from individuals subject to its jurisdiction who claim to be victims of </w:t>
      </w:r>
      <w:r w:rsidR="004A427E">
        <w:t xml:space="preserve">a </w:t>
      </w:r>
      <w:r w:rsidR="003973D0" w:rsidRPr="003973D0">
        <w:t>violation by the State party of any rights set forth in the Covenant. Th</w:t>
      </w:r>
      <w:r w:rsidR="004A427E">
        <w:t>at</w:t>
      </w:r>
      <w:r w:rsidR="003973D0" w:rsidRPr="003973D0">
        <w:t xml:space="preserve"> recognition of competence </w:t>
      </w:r>
      <w:r w:rsidR="004A427E">
        <w:t>was undertaken</w:t>
      </w:r>
      <w:r w:rsidR="003973D0" w:rsidRPr="003973D0">
        <w:t xml:space="preserve"> in conjunction with other provisions of the Optional Protocol, including those </w:t>
      </w:r>
      <w:r w:rsidR="004A427E">
        <w:t>establishing</w:t>
      </w:r>
      <w:r w:rsidR="003973D0" w:rsidRPr="003973D0">
        <w:t xml:space="preserve"> criteria regarding the petitioners and </w:t>
      </w:r>
      <w:r w:rsidR="004A427E">
        <w:t xml:space="preserve">the </w:t>
      </w:r>
      <w:r w:rsidR="003973D0" w:rsidRPr="003973D0">
        <w:t>admiss</w:t>
      </w:r>
      <w:r w:rsidR="00C4281D">
        <w:t>ibility</w:t>
      </w:r>
      <w:r w:rsidR="004A427E">
        <w:t xml:space="preserve"> of their communications</w:t>
      </w:r>
      <w:r w:rsidR="00C4281D">
        <w:t>, in particular articles </w:t>
      </w:r>
      <w:r w:rsidR="003973D0" w:rsidRPr="003973D0">
        <w:t xml:space="preserve">2 and 5 of the Optional Protocol. </w:t>
      </w:r>
      <w:r w:rsidR="004A427E">
        <w:t xml:space="preserve">The State party maintains that </w:t>
      </w:r>
      <w:r w:rsidR="003973D0" w:rsidRPr="003973D0">
        <w:t>States parties have no obligation</w:t>
      </w:r>
      <w:r w:rsidR="004A427E">
        <w:t>,</w:t>
      </w:r>
      <w:r w:rsidR="003973D0" w:rsidRPr="003973D0">
        <w:t xml:space="preserve"> under the Optional Protocol</w:t>
      </w:r>
      <w:r w:rsidR="004A427E">
        <w:t>, to</w:t>
      </w:r>
      <w:r w:rsidR="003973D0" w:rsidRPr="003973D0">
        <w:t xml:space="preserve"> recogni</w:t>
      </w:r>
      <w:r w:rsidR="004A427E">
        <w:t>ze</w:t>
      </w:r>
      <w:r w:rsidR="003973D0" w:rsidRPr="003973D0">
        <w:t xml:space="preserve"> the Committee’s </w:t>
      </w:r>
      <w:r w:rsidR="004A427E">
        <w:t>r</w:t>
      </w:r>
      <w:r w:rsidR="003973D0" w:rsidRPr="003973D0">
        <w:t xml:space="preserve">ules of </w:t>
      </w:r>
      <w:r w:rsidR="004A427E">
        <w:t>p</w:t>
      </w:r>
      <w:r w:rsidR="003973D0" w:rsidRPr="003973D0">
        <w:t xml:space="preserve">rocedure </w:t>
      </w:r>
      <w:r w:rsidR="004A427E">
        <w:t>nor</w:t>
      </w:r>
      <w:r w:rsidR="003973D0" w:rsidRPr="003973D0">
        <w:t xml:space="preserve"> its interpretation of the </w:t>
      </w:r>
      <w:r w:rsidR="004A427E">
        <w:t xml:space="preserve">provisions of the </w:t>
      </w:r>
      <w:r w:rsidR="003973D0" w:rsidRPr="003973D0">
        <w:t xml:space="preserve">Optional Protocol. </w:t>
      </w:r>
      <w:r w:rsidR="004A427E">
        <w:t>T</w:t>
      </w:r>
      <w:r w:rsidR="003973D0" w:rsidRPr="003973D0">
        <w:t>he State party</w:t>
      </w:r>
      <w:r w:rsidR="004A427E">
        <w:t xml:space="preserve"> submits that</w:t>
      </w:r>
      <w:r w:rsidR="003973D0" w:rsidRPr="003973D0">
        <w:t xml:space="preserve">, in the context of the </w:t>
      </w:r>
      <w:r w:rsidR="004A427E">
        <w:t>complaint</w:t>
      </w:r>
      <w:r w:rsidR="003973D0" w:rsidRPr="003973D0">
        <w:t xml:space="preserve"> procedure, States parties should be guided first and foremost by the provisions of the Optional Protocol and that reference to the Committee’s long-standing practice, methods of work and case</w:t>
      </w:r>
      <w:r w:rsidR="004A427E">
        <w:t xml:space="preserve"> </w:t>
      </w:r>
      <w:r w:rsidR="003973D0" w:rsidRPr="003973D0">
        <w:t>law are not subject</w:t>
      </w:r>
      <w:r w:rsidR="004A427E">
        <w:t>s</w:t>
      </w:r>
      <w:r w:rsidR="003973D0" w:rsidRPr="003973D0">
        <w:t xml:space="preserve"> of the Optional Protocol. It </w:t>
      </w:r>
      <w:r w:rsidR="004A427E">
        <w:t>also</w:t>
      </w:r>
      <w:r w:rsidR="003973D0" w:rsidRPr="003973D0">
        <w:t xml:space="preserve"> submits that any communication registered in violation of the provisions of the Optional Protocol to the Covenant will be viewed by the State party as incompatible with the Optional Protocol and will be rejected without </w:t>
      </w:r>
      <w:r w:rsidR="004A427E">
        <w:t>comments</w:t>
      </w:r>
      <w:r w:rsidR="003973D0" w:rsidRPr="003973D0">
        <w:t xml:space="preserve"> on </w:t>
      </w:r>
      <w:r w:rsidR="004A427E">
        <w:t xml:space="preserve">the </w:t>
      </w:r>
      <w:r w:rsidR="003973D0" w:rsidRPr="003973D0">
        <w:t>admissibility or merits</w:t>
      </w:r>
      <w:r w:rsidR="004A427E">
        <w:t>, and any</w:t>
      </w:r>
      <w:r w:rsidR="003973D0" w:rsidRPr="003973D0">
        <w:t xml:space="preserve"> decisions taken by the Committee on such </w:t>
      </w:r>
      <w:r w:rsidR="004A427E">
        <w:t>rejected</w:t>
      </w:r>
      <w:r w:rsidR="003973D0" w:rsidRPr="003973D0">
        <w:t xml:space="preserve"> communications will be considered by its authorities as “invalid”.</w:t>
      </w:r>
    </w:p>
    <w:p w:rsidR="002F706F" w:rsidRDefault="00EA032E" w:rsidP="00EA032E">
      <w:pPr>
        <w:pStyle w:val="H23G"/>
      </w:pPr>
      <w:r>
        <w:tab/>
      </w:r>
      <w:r>
        <w:tab/>
      </w:r>
      <w:r w:rsidR="002F706F" w:rsidRPr="001E2234">
        <w:t>Author’s comments on admissibility</w:t>
      </w:r>
    </w:p>
    <w:p w:rsidR="002F706F" w:rsidRDefault="002F706F" w:rsidP="001E2234">
      <w:pPr>
        <w:pStyle w:val="SingleTxtG"/>
      </w:pPr>
      <w:r w:rsidRPr="002F706F">
        <w:t>5.1</w:t>
      </w:r>
      <w:r>
        <w:tab/>
      </w:r>
      <w:r w:rsidR="001E2234">
        <w:t>On 25 January 2012, t</w:t>
      </w:r>
      <w:r>
        <w:t>he author, commenting on the State party’s challenge of the admissibility of his complaint, submits that he did not request the Prosecutor General to initiate a supervisory review of the lower court’s decision</w:t>
      </w:r>
      <w:r w:rsidR="001E2234">
        <w:t>, as</w:t>
      </w:r>
      <w:r>
        <w:t xml:space="preserve"> </w:t>
      </w:r>
      <w:r w:rsidR="001E2234">
        <w:t>said</w:t>
      </w:r>
      <w:r>
        <w:t xml:space="preserve"> review by the Prosecutor General </w:t>
      </w:r>
      <w:r w:rsidR="001E2234">
        <w:t>is</w:t>
      </w:r>
      <w:r>
        <w:t xml:space="preserve"> a purely discretionary procedure and cannot be deemed effective, </w:t>
      </w:r>
      <w:r w:rsidR="0074752C">
        <w:t xml:space="preserve">as confirmed </w:t>
      </w:r>
      <w:r>
        <w:t>by the Committee</w:t>
      </w:r>
      <w:r w:rsidR="001E2234">
        <w:t xml:space="preserve"> in its jurisprudence</w:t>
      </w:r>
      <w:r>
        <w:t xml:space="preserve">. </w:t>
      </w:r>
    </w:p>
    <w:p w:rsidR="002F706F" w:rsidRDefault="002F706F" w:rsidP="001E2234">
      <w:pPr>
        <w:pStyle w:val="SingleTxtG"/>
      </w:pPr>
      <w:r>
        <w:t>5.2</w:t>
      </w:r>
      <w:r>
        <w:tab/>
        <w:t xml:space="preserve">On 21 March 2012, he reiterates that he </w:t>
      </w:r>
      <w:r w:rsidR="0074752C">
        <w:t xml:space="preserve">has </w:t>
      </w:r>
      <w:r>
        <w:t>exhausted all available and effective domestic remedies</w:t>
      </w:r>
      <w:r w:rsidR="001E2234">
        <w:t>. He</w:t>
      </w:r>
      <w:r w:rsidR="0074752C">
        <w:t xml:space="preserve"> </w:t>
      </w:r>
      <w:r>
        <w:t>submits that the Committee has already looked into th</w:t>
      </w:r>
      <w:r w:rsidR="001E2234">
        <w:t>e</w:t>
      </w:r>
      <w:r>
        <w:t xml:space="preserve"> issue</w:t>
      </w:r>
      <w:r w:rsidR="001E2234">
        <w:t xml:space="preserve"> of supervisory review</w:t>
      </w:r>
      <w:r>
        <w:t xml:space="preserve"> and decided that a remedy </w:t>
      </w:r>
      <w:r w:rsidR="001C72D3">
        <w:t xml:space="preserve">must be effective to be considered for  </w:t>
      </w:r>
      <w:r w:rsidR="001C72D3">
        <w:lastRenderedPageBreak/>
        <w:t>purposes</w:t>
      </w:r>
      <w:r w:rsidR="001E2234">
        <w:t xml:space="preserve"> of exhaustion</w:t>
      </w:r>
      <w:r w:rsidR="001C72D3">
        <w:t xml:space="preserve">. Regarding the State party’s challenge of the Committee’s competence to develop its own </w:t>
      </w:r>
      <w:r w:rsidR="001E2234">
        <w:t>r</w:t>
      </w:r>
      <w:r w:rsidR="001C72D3">
        <w:t xml:space="preserve">ules of </w:t>
      </w:r>
      <w:r w:rsidR="001E2234">
        <w:t>p</w:t>
      </w:r>
      <w:r w:rsidR="001C72D3">
        <w:t xml:space="preserve">rocedure, the author argues that by becoming a party to the Covenant and its Optional Protocol, the State party has undertaken obligations to respect the Committee’s competency to issue Views, as well as develop its </w:t>
      </w:r>
      <w:r w:rsidR="001E2234">
        <w:t>r</w:t>
      </w:r>
      <w:r w:rsidR="001C72D3">
        <w:t xml:space="preserve">ules of </w:t>
      </w:r>
      <w:r w:rsidR="001E2234">
        <w:t>p</w:t>
      </w:r>
      <w:r w:rsidR="001C72D3">
        <w:t xml:space="preserve">rocedure and </w:t>
      </w:r>
      <w:r w:rsidR="001E2234">
        <w:t>g</w:t>
      </w:r>
      <w:r w:rsidR="001C72D3">
        <w:t xml:space="preserve">eneral </w:t>
      </w:r>
      <w:r w:rsidR="001E2234">
        <w:t>c</w:t>
      </w:r>
      <w:r w:rsidR="001C72D3">
        <w:t xml:space="preserve">omments. </w:t>
      </w:r>
    </w:p>
    <w:p w:rsidR="008A5C51" w:rsidRDefault="00A05C09" w:rsidP="00757871">
      <w:pPr>
        <w:pStyle w:val="SingleTxtG"/>
      </w:pPr>
      <w:r>
        <w:t>5.3</w:t>
      </w:r>
      <w:r>
        <w:tab/>
        <w:t>On 14 September 2012, the author submits that</w:t>
      </w:r>
      <w:r w:rsidR="001E2234">
        <w:t>,</w:t>
      </w:r>
      <w:r>
        <w:t xml:space="preserve"> in order to show the ineffectiveness of the </w:t>
      </w:r>
      <w:r w:rsidR="001E2234">
        <w:t xml:space="preserve">supervisory </w:t>
      </w:r>
      <w:r>
        <w:t>review by the Prosecutor General, he did submit a complaint</w:t>
      </w:r>
      <w:r w:rsidR="001A25A2">
        <w:t xml:space="preserve"> to th</w:t>
      </w:r>
      <w:r w:rsidR="001E2234">
        <w:t>e</w:t>
      </w:r>
      <w:r w:rsidR="001A25A2">
        <w:t xml:space="preserve"> office</w:t>
      </w:r>
      <w:r>
        <w:t xml:space="preserve"> on 24 May 2012. </w:t>
      </w:r>
      <w:r w:rsidR="001E2234">
        <w:t>In a</w:t>
      </w:r>
      <w:r>
        <w:t xml:space="preserve"> letter dated </w:t>
      </w:r>
      <w:r w:rsidR="00612838">
        <w:t xml:space="preserve">6 September 2012, </w:t>
      </w:r>
      <w:r w:rsidR="001E2234">
        <w:t xml:space="preserve">the Prosecutor General </w:t>
      </w:r>
      <w:r w:rsidR="00612838">
        <w:t xml:space="preserve">rejected the author’s complaint and stated that the customs officers </w:t>
      </w:r>
      <w:r w:rsidR="00517EAD">
        <w:t xml:space="preserve">had </w:t>
      </w:r>
      <w:r w:rsidR="00612838">
        <w:t>act</w:t>
      </w:r>
      <w:r w:rsidR="00517EAD">
        <w:t>ed</w:t>
      </w:r>
      <w:r w:rsidR="00612838">
        <w:t xml:space="preserve"> </w:t>
      </w:r>
      <w:r w:rsidR="001A25A2">
        <w:t xml:space="preserve">in </w:t>
      </w:r>
      <w:r w:rsidR="001E2234">
        <w:t xml:space="preserve">full </w:t>
      </w:r>
      <w:r w:rsidR="001A25A2">
        <w:t>compliance</w:t>
      </w:r>
      <w:r w:rsidR="00612838">
        <w:t xml:space="preserve"> with the relevant law</w:t>
      </w:r>
      <w:r w:rsidR="001A25A2">
        <w:t xml:space="preserve"> and </w:t>
      </w:r>
      <w:r w:rsidR="0074752C">
        <w:t>regulations</w:t>
      </w:r>
      <w:r w:rsidR="00612838">
        <w:t xml:space="preserve">. </w:t>
      </w:r>
    </w:p>
    <w:p w:rsidR="008A5C51" w:rsidRDefault="00EA032E" w:rsidP="00653C09">
      <w:pPr>
        <w:pStyle w:val="H23G"/>
      </w:pPr>
      <w:r>
        <w:tab/>
      </w:r>
      <w:r>
        <w:tab/>
      </w:r>
      <w:r w:rsidR="008A5C51" w:rsidRPr="00A05E0E">
        <w:t>State party’s further comments on admissibility</w:t>
      </w:r>
    </w:p>
    <w:p w:rsidR="008A5C51" w:rsidRPr="00EA032E" w:rsidRDefault="00A05E0E" w:rsidP="00653C09">
      <w:pPr>
        <w:pStyle w:val="SingleTxtG"/>
      </w:pPr>
      <w:r w:rsidRPr="00EA032E">
        <w:t>6.</w:t>
      </w:r>
      <w:r w:rsidRPr="00EA032E">
        <w:tab/>
        <w:t xml:space="preserve">On 4 January 2013, the State party submits that the author “launched further appeals required by the supervisory review proceedings” only after </w:t>
      </w:r>
      <w:r w:rsidR="00517EAD">
        <w:t>his</w:t>
      </w:r>
      <w:r w:rsidRPr="00EA032E">
        <w:t xml:space="preserve"> complaint </w:t>
      </w:r>
      <w:r w:rsidR="00517EAD">
        <w:t>had been</w:t>
      </w:r>
      <w:r w:rsidRPr="00EA032E">
        <w:t xml:space="preserve"> registered </w:t>
      </w:r>
      <w:r w:rsidR="00517EAD">
        <w:t>with</w:t>
      </w:r>
      <w:r w:rsidRPr="00EA032E">
        <w:t xml:space="preserve"> the Committee. The State party further claims that th</w:t>
      </w:r>
      <w:r w:rsidR="00517EAD">
        <w:t>at</w:t>
      </w:r>
      <w:r w:rsidRPr="00EA032E">
        <w:t xml:space="preserve"> constitutes </w:t>
      </w:r>
      <w:r w:rsidR="00517EAD">
        <w:t xml:space="preserve">a </w:t>
      </w:r>
      <w:r w:rsidRPr="00EA032E">
        <w:t xml:space="preserve">violation of </w:t>
      </w:r>
      <w:r w:rsidR="00C4281D">
        <w:t>article </w:t>
      </w:r>
      <w:r w:rsidRPr="00EA032E">
        <w:t xml:space="preserve">2 of the Optional Protocol, since the author </w:t>
      </w:r>
      <w:r w:rsidR="00517EAD">
        <w:t>should</w:t>
      </w:r>
      <w:r w:rsidRPr="00EA032E">
        <w:t xml:space="preserve"> first exhaust all domestic remedies, then submit a complaint to the Committee. </w:t>
      </w:r>
    </w:p>
    <w:p w:rsidR="003973D0" w:rsidRPr="003973D0" w:rsidRDefault="003973D0" w:rsidP="003973D0">
      <w:pPr>
        <w:pStyle w:val="H23G"/>
      </w:pPr>
      <w:r w:rsidRPr="003973D0">
        <w:tab/>
      </w:r>
      <w:r w:rsidRPr="003973D0">
        <w:tab/>
        <w:t>Issues and proceedings before the Committee</w:t>
      </w:r>
    </w:p>
    <w:p w:rsidR="003973D0" w:rsidRPr="003973D0" w:rsidRDefault="003973D0" w:rsidP="003973D0">
      <w:pPr>
        <w:pStyle w:val="H4G"/>
      </w:pPr>
      <w:r w:rsidRPr="003973D0">
        <w:tab/>
      </w:r>
      <w:r w:rsidRPr="003973D0">
        <w:tab/>
      </w:r>
      <w:r w:rsidR="0074752C">
        <w:t>State party</w:t>
      </w:r>
      <w:r w:rsidR="00801928">
        <w:t>’s lack of cooperation</w:t>
      </w:r>
    </w:p>
    <w:p w:rsidR="003973D0" w:rsidRPr="003973D0" w:rsidRDefault="001A25A2" w:rsidP="00757871">
      <w:pPr>
        <w:pStyle w:val="SingleTxtG"/>
      </w:pPr>
      <w:r>
        <w:t>7</w:t>
      </w:r>
      <w:r w:rsidR="003973D0" w:rsidRPr="003973D0">
        <w:t>.1</w:t>
      </w:r>
      <w:r w:rsidR="003973D0" w:rsidRPr="003973D0">
        <w:tab/>
        <w:t>The Committee notes the State party’s assertion that there are no legal grounds for consideration of the author</w:t>
      </w:r>
      <w:r w:rsidR="00517EAD">
        <w:t>’</w:t>
      </w:r>
      <w:r w:rsidR="003973D0" w:rsidRPr="003973D0">
        <w:t xml:space="preserve">s communication, insofar as it </w:t>
      </w:r>
      <w:r w:rsidR="00517EAD">
        <w:t>was</w:t>
      </w:r>
      <w:r w:rsidR="003973D0" w:rsidRPr="003973D0">
        <w:t xml:space="preserve"> registered in violation of the provisions of the Optional Protocol; that it has no obligation</w:t>
      </w:r>
      <w:r w:rsidR="00517EAD">
        <w:t xml:space="preserve"> to </w:t>
      </w:r>
      <w:r w:rsidR="003973D0" w:rsidRPr="003973D0">
        <w:t>recogni</w:t>
      </w:r>
      <w:r w:rsidR="00517EAD">
        <w:t>ze</w:t>
      </w:r>
      <w:r w:rsidR="003973D0" w:rsidRPr="003973D0">
        <w:t xml:space="preserve"> the Committee’s rules of procedure </w:t>
      </w:r>
      <w:r w:rsidR="00517EAD">
        <w:t>nor</w:t>
      </w:r>
      <w:r w:rsidR="003973D0" w:rsidRPr="003973D0">
        <w:t xml:space="preserve"> the Committee’s interpretation of the </w:t>
      </w:r>
      <w:r w:rsidR="00517EAD">
        <w:t xml:space="preserve">provisions of the </w:t>
      </w:r>
      <w:r w:rsidR="003973D0" w:rsidRPr="003973D0">
        <w:t xml:space="preserve">Optional Protocol; and that </w:t>
      </w:r>
      <w:r w:rsidR="00517EAD">
        <w:t>any</w:t>
      </w:r>
      <w:r w:rsidR="003973D0" w:rsidRPr="003973D0">
        <w:t xml:space="preserve"> decision taken by the Committee on the present communication will be considered “invalid” by its authorities. </w:t>
      </w:r>
    </w:p>
    <w:p w:rsidR="003973D0" w:rsidRPr="003973D0" w:rsidRDefault="001A25A2" w:rsidP="00653C09">
      <w:pPr>
        <w:pStyle w:val="SingleTxtG"/>
      </w:pPr>
      <w:r>
        <w:t>7</w:t>
      </w:r>
      <w:r w:rsidR="003973D0" w:rsidRPr="003973D0">
        <w:t>.2</w:t>
      </w:r>
      <w:r w:rsidR="003973D0" w:rsidRPr="003973D0">
        <w:tab/>
        <w:t xml:space="preserve">The Committee recalls that under </w:t>
      </w:r>
      <w:r w:rsidR="00C4281D">
        <w:t>article </w:t>
      </w:r>
      <w:r w:rsidR="003973D0" w:rsidRPr="003973D0">
        <w:t xml:space="preserve">39, </w:t>
      </w:r>
      <w:r w:rsidR="00C4281D">
        <w:t>paragraph </w:t>
      </w:r>
      <w:r w:rsidR="003973D0" w:rsidRPr="003973D0">
        <w:t>2, of the Covenant</w:t>
      </w:r>
      <w:r w:rsidR="00517EAD">
        <w:t>,</w:t>
      </w:r>
      <w:r w:rsidR="003973D0" w:rsidRPr="003973D0">
        <w:t xml:space="preserve"> it is empowered to establish its own rules of procedure, which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w:t>
      </w:r>
      <w:r w:rsidR="00C4281D">
        <w:t xml:space="preserve"> (preamble and art. </w:t>
      </w:r>
      <w:r w:rsidR="003973D0" w:rsidRPr="003973D0">
        <w:t>1</w:t>
      </w:r>
      <w:r w:rsidR="000235B5">
        <w:t xml:space="preserve"> of the Optional Protocol</w:t>
      </w:r>
      <w:r w:rsidR="003973D0" w:rsidRPr="003973D0">
        <w:t xml:space="preserve">). Implicit in a State’s adherence to the Protocol is </w:t>
      </w:r>
      <w:r w:rsidR="000235B5">
        <w:t>the</w:t>
      </w:r>
      <w:r w:rsidR="003973D0" w:rsidRPr="003973D0">
        <w:t xml:space="preserve"> undertaking to cooperate with the Committee in good faith so as to permit and enable it to consider such communications, and after examination</w:t>
      </w:r>
      <w:r w:rsidR="000235B5">
        <w:t xml:space="preserve"> thereof,</w:t>
      </w:r>
      <w:r w:rsidR="003973D0" w:rsidRPr="003973D0">
        <w:t xml:space="preserve"> to forward its </w:t>
      </w:r>
      <w:r w:rsidR="000235B5">
        <w:t>V</w:t>
      </w:r>
      <w:r w:rsidR="003973D0" w:rsidRPr="003973D0">
        <w:t>iews to the State pa</w:t>
      </w:r>
      <w:r w:rsidR="00C4281D">
        <w:t>rty and to the individual (art. 5, paras. </w:t>
      </w:r>
      <w:r w:rsidR="003973D0" w:rsidRPr="003973D0">
        <w:t>1 and 4). It is incompatible with th</w:t>
      </w:r>
      <w:r w:rsidR="000235B5">
        <w:t>o</w:t>
      </w:r>
      <w:r w:rsidR="003973D0" w:rsidRPr="003973D0">
        <w:t>se obligations for a State party to take any action that would prevent or frustrate the Committee in its consideration and examination of the communication, and in the expression of its Views.</w:t>
      </w:r>
      <w:r w:rsidR="003973D0" w:rsidRPr="00787F1F">
        <w:rPr>
          <w:rStyle w:val="FootnoteReference"/>
        </w:rPr>
        <w:footnoteReference w:id="4"/>
      </w:r>
      <w:r w:rsidR="00787F1F">
        <w:t xml:space="preserve"> </w:t>
      </w:r>
      <w:r w:rsidR="003973D0" w:rsidRPr="003973D0">
        <w:t xml:space="preserve">It is </w:t>
      </w:r>
      <w:r w:rsidR="000235B5">
        <w:t>up to</w:t>
      </w:r>
      <w:r w:rsidR="003973D0" w:rsidRPr="003973D0">
        <w:t xml:space="preserve"> the Committee to determine whether a communication should be registered. The Committee observes that, by failing to accept the competence of the Committee to determine whether a communication sh</w:t>
      </w:r>
      <w:r w:rsidR="000235B5">
        <w:t>ould</w:t>
      </w:r>
      <w:r w:rsidR="003973D0" w:rsidRPr="003973D0">
        <w:t xml:space="preserve"> be registered and by declaring beforehand that it will not accept the determination of the Committee on the admissibility or on the merits of such communication, the State party</w:t>
      </w:r>
      <w:r w:rsidR="000235B5">
        <w:t xml:space="preserve"> is</w:t>
      </w:r>
      <w:r w:rsidR="003973D0" w:rsidRPr="003973D0">
        <w:t xml:space="preserve"> violat</w:t>
      </w:r>
      <w:r w:rsidR="000235B5">
        <w:t>ing</w:t>
      </w:r>
      <w:r w:rsidR="003973D0" w:rsidRPr="003973D0">
        <w:t xml:space="preserve"> its obligations under </w:t>
      </w:r>
      <w:r w:rsidR="00C4281D">
        <w:t>article </w:t>
      </w:r>
      <w:r w:rsidR="003973D0" w:rsidRPr="003973D0">
        <w:t>1 of the Optional Protocol to the Covenant.</w:t>
      </w:r>
      <w:r w:rsidR="003973D0" w:rsidRPr="00787F1F">
        <w:rPr>
          <w:rStyle w:val="FootnoteReference"/>
        </w:rPr>
        <w:footnoteReference w:id="5"/>
      </w:r>
    </w:p>
    <w:p w:rsidR="003973D0" w:rsidRPr="003973D0" w:rsidRDefault="003973D0" w:rsidP="003973D0">
      <w:pPr>
        <w:pStyle w:val="H4G"/>
      </w:pPr>
      <w:r w:rsidRPr="003973D0">
        <w:lastRenderedPageBreak/>
        <w:tab/>
      </w:r>
      <w:r w:rsidRPr="003973D0">
        <w:tab/>
        <w:t>Consideration of admissibility</w:t>
      </w:r>
    </w:p>
    <w:p w:rsidR="003973D0" w:rsidRPr="003973D0" w:rsidRDefault="001A25A2" w:rsidP="003973D0">
      <w:pPr>
        <w:pStyle w:val="SingleTxtG"/>
      </w:pPr>
      <w:r>
        <w:t>8</w:t>
      </w:r>
      <w:r w:rsidR="003973D0" w:rsidRPr="003973D0">
        <w:t>.1</w:t>
      </w:r>
      <w:r w:rsidR="003973D0" w:rsidRPr="003973D0">
        <w:tab/>
        <w:t>Before considering any claim contained in a communication, the Human Rights Committee must, in accordance with rule 93 of its rules of procedure, decide whether or not the case is admissible under the Optional Protocol to the Covenant.</w:t>
      </w:r>
    </w:p>
    <w:p w:rsidR="003973D0" w:rsidRPr="003973D0" w:rsidRDefault="001A25A2" w:rsidP="00751C6B">
      <w:pPr>
        <w:pStyle w:val="SingleTxtG"/>
      </w:pPr>
      <w:r>
        <w:t>8</w:t>
      </w:r>
      <w:r w:rsidR="003973D0" w:rsidRPr="003973D0">
        <w:t>.2</w:t>
      </w:r>
      <w:r w:rsidR="003973D0" w:rsidRPr="003973D0">
        <w:tab/>
        <w:t xml:space="preserve">The Committee has ascertained, as required under </w:t>
      </w:r>
      <w:r w:rsidR="00C4281D">
        <w:t>article </w:t>
      </w:r>
      <w:r w:rsidR="003973D0" w:rsidRPr="003973D0">
        <w:t xml:space="preserve">5, </w:t>
      </w:r>
      <w:r w:rsidR="00C4281D">
        <w:t>paragraph </w:t>
      </w:r>
      <w:r w:rsidR="003973D0" w:rsidRPr="003973D0">
        <w:t>2</w:t>
      </w:r>
      <w:r w:rsidR="00751C6B">
        <w:t> </w:t>
      </w:r>
      <w:r w:rsidR="003973D0" w:rsidRPr="003973D0">
        <w:t xml:space="preserve">(a), of the Optional Protocol, that the same matter is not being examined under another procedure of international investigation or settlement. </w:t>
      </w:r>
    </w:p>
    <w:p w:rsidR="003973D0" w:rsidRDefault="001A25A2" w:rsidP="00757871">
      <w:pPr>
        <w:pStyle w:val="SingleTxtG"/>
      </w:pPr>
      <w:r>
        <w:t>8</w:t>
      </w:r>
      <w:r w:rsidR="00712675">
        <w:t>.3</w:t>
      </w:r>
      <w:r w:rsidR="003973D0" w:rsidRPr="003973D0">
        <w:tab/>
        <w:t>The Committee notes that the State party has</w:t>
      </w:r>
      <w:r w:rsidR="005C2397">
        <w:t xml:space="preserve"> </w:t>
      </w:r>
      <w:r w:rsidR="003973D0" w:rsidRPr="003973D0">
        <w:t xml:space="preserve">challenged the admissibility of the communication </w:t>
      </w:r>
      <w:r w:rsidR="00F913D5">
        <w:t xml:space="preserve">on the grounds of </w:t>
      </w:r>
      <w:r w:rsidR="003973D0" w:rsidRPr="003973D0">
        <w:t xml:space="preserve">non-exhaustion of domestic remedies under </w:t>
      </w:r>
      <w:r w:rsidR="00C4281D">
        <w:t>article </w:t>
      </w:r>
      <w:r w:rsidR="003973D0" w:rsidRPr="003973D0">
        <w:t xml:space="preserve">5, </w:t>
      </w:r>
      <w:r w:rsidR="00C4281D">
        <w:t>paragraph </w:t>
      </w:r>
      <w:r w:rsidR="003973D0" w:rsidRPr="003973D0">
        <w:t>2</w:t>
      </w:r>
      <w:r w:rsidR="00751C6B">
        <w:t> </w:t>
      </w:r>
      <w:r w:rsidR="003973D0" w:rsidRPr="003973D0">
        <w:t>(b), of the Optional Protocol</w:t>
      </w:r>
      <w:r w:rsidR="00F913D5">
        <w:t>,</w:t>
      </w:r>
      <w:r w:rsidR="003973D0" w:rsidRPr="003973D0">
        <w:t xml:space="preserve"> </w:t>
      </w:r>
      <w:r w:rsidR="00F913D5">
        <w:t>stating</w:t>
      </w:r>
      <w:r w:rsidR="003973D0" w:rsidRPr="003973D0">
        <w:t xml:space="preserve"> that the author </w:t>
      </w:r>
      <w:r w:rsidR="00F913D5">
        <w:t>did</w:t>
      </w:r>
      <w:r w:rsidR="003973D0" w:rsidRPr="003973D0">
        <w:t xml:space="preserve"> not request the Prosecutor’s Office to consider</w:t>
      </w:r>
      <w:r w:rsidR="00F913D5">
        <w:t xml:space="preserve"> his case</w:t>
      </w:r>
      <w:r w:rsidR="003973D0" w:rsidRPr="003973D0">
        <w:t xml:space="preserve"> under supervisory review proceedings.</w:t>
      </w:r>
      <w:r w:rsidR="005C2397">
        <w:t xml:space="preserve"> The Committee </w:t>
      </w:r>
      <w:r w:rsidR="00F913D5">
        <w:t>also</w:t>
      </w:r>
      <w:r w:rsidR="005C2397">
        <w:t xml:space="preserve"> notes that the State party has challenged the registration of the communication, </w:t>
      </w:r>
      <w:r w:rsidR="00F913D5">
        <w:t>stating that</w:t>
      </w:r>
      <w:r w:rsidR="005C2397">
        <w:t xml:space="preserve"> it was registered prior to exhaustion of “all available domestic remedies”. </w:t>
      </w:r>
      <w:r w:rsidR="00DB1573" w:rsidRPr="00DC128E">
        <w:t>The Committee recalls its jurisprudence, according to which a petition to a Prosecutor’s Office</w:t>
      </w:r>
      <w:r w:rsidR="00F913D5">
        <w:t xml:space="preserve"> </w:t>
      </w:r>
      <w:r w:rsidR="00F913D5" w:rsidRPr="00DC128E">
        <w:t>for supervisory review</w:t>
      </w:r>
      <w:r w:rsidR="00F913D5">
        <w:t xml:space="preserve"> of</w:t>
      </w:r>
      <w:r w:rsidR="00DB1573" w:rsidRPr="00DC128E">
        <w:t xml:space="preserve"> court decisions that have taken effect does not constitute a remedy which has to be exhausted for the purposes of </w:t>
      </w:r>
      <w:r w:rsidR="00C4281D">
        <w:t>article </w:t>
      </w:r>
      <w:r w:rsidR="00DB1573" w:rsidRPr="00DC128E">
        <w:t xml:space="preserve">5, </w:t>
      </w:r>
      <w:r w:rsidR="00C4281D">
        <w:t>paragraph </w:t>
      </w:r>
      <w:r w:rsidR="00DB1573" w:rsidRPr="00DC128E">
        <w:t>2 (b), of the Optional Protocol.</w:t>
      </w:r>
      <w:r w:rsidR="00DB1573" w:rsidRPr="00751C6B">
        <w:rPr>
          <w:rStyle w:val="FootnoteReference"/>
        </w:rPr>
        <w:footnoteReference w:id="6"/>
      </w:r>
      <w:r w:rsidR="005C2397">
        <w:t xml:space="preserve"> </w:t>
      </w:r>
      <w:r w:rsidR="00637C85" w:rsidRPr="00637C85">
        <w:rPr>
          <w:color w:val="000000"/>
          <w:lang w:eastAsia="en-GB"/>
        </w:rPr>
        <w:t>The</w:t>
      </w:r>
      <w:r w:rsidR="00F913D5">
        <w:rPr>
          <w:color w:val="000000"/>
          <w:lang w:eastAsia="en-GB"/>
        </w:rPr>
        <w:t xml:space="preserve">refore, </w:t>
      </w:r>
      <w:r w:rsidR="00637C85" w:rsidRPr="00637C85">
        <w:rPr>
          <w:color w:val="000000"/>
          <w:lang w:eastAsia="en-GB"/>
        </w:rPr>
        <w:t>the author</w:t>
      </w:r>
      <w:r w:rsidR="00F913D5">
        <w:rPr>
          <w:color w:val="000000"/>
          <w:lang w:eastAsia="en-GB"/>
        </w:rPr>
        <w:t>’s</w:t>
      </w:r>
      <w:r w:rsidR="00637C85" w:rsidRPr="00637C85">
        <w:rPr>
          <w:color w:val="000000"/>
          <w:lang w:eastAsia="en-GB"/>
        </w:rPr>
        <w:t xml:space="preserve"> request </w:t>
      </w:r>
      <w:r w:rsidR="00F913D5">
        <w:rPr>
          <w:color w:val="000000"/>
          <w:lang w:eastAsia="en-GB"/>
        </w:rPr>
        <w:t xml:space="preserve">to </w:t>
      </w:r>
      <w:r w:rsidR="00637C85" w:rsidRPr="00637C85">
        <w:rPr>
          <w:color w:val="000000"/>
          <w:lang w:eastAsia="en-GB"/>
        </w:rPr>
        <w:t xml:space="preserve">the Prosecutor’s </w:t>
      </w:r>
      <w:r w:rsidR="00DE31D6">
        <w:rPr>
          <w:color w:val="000000"/>
          <w:lang w:eastAsia="en-GB"/>
        </w:rPr>
        <w:t>O</w:t>
      </w:r>
      <w:r w:rsidR="00637C85" w:rsidRPr="00637C85">
        <w:rPr>
          <w:color w:val="000000"/>
          <w:lang w:eastAsia="en-GB"/>
        </w:rPr>
        <w:t xml:space="preserve">ffice to initiate a supervisory review after </w:t>
      </w:r>
      <w:r w:rsidR="00F913D5">
        <w:rPr>
          <w:color w:val="000000"/>
          <w:lang w:eastAsia="en-GB"/>
        </w:rPr>
        <w:t>his</w:t>
      </w:r>
      <w:r w:rsidR="00637C85" w:rsidRPr="00637C85">
        <w:rPr>
          <w:color w:val="000000"/>
          <w:lang w:eastAsia="en-GB"/>
        </w:rPr>
        <w:t xml:space="preserve"> submission of the communication does not change the Committee’s assessment that a supervisory review cannot be considered an effective </w:t>
      </w:r>
      <w:r w:rsidR="00F913D5">
        <w:rPr>
          <w:color w:val="000000"/>
          <w:lang w:eastAsia="en-GB"/>
        </w:rPr>
        <w:t xml:space="preserve">domestic </w:t>
      </w:r>
      <w:r w:rsidR="00637C85" w:rsidRPr="00637C85">
        <w:rPr>
          <w:color w:val="000000"/>
          <w:lang w:eastAsia="en-GB"/>
        </w:rPr>
        <w:t>remedy</w:t>
      </w:r>
      <w:r w:rsidR="00637C85">
        <w:rPr>
          <w:color w:val="000000"/>
          <w:lang w:eastAsia="en-GB"/>
        </w:rPr>
        <w:t xml:space="preserve">. </w:t>
      </w:r>
      <w:r w:rsidR="003973D0" w:rsidRPr="003973D0">
        <w:t xml:space="preserve">Accordingly, the Committee considers that it is not precluded by the requirements of </w:t>
      </w:r>
      <w:r w:rsidR="00C4281D">
        <w:t>article </w:t>
      </w:r>
      <w:r w:rsidR="003973D0" w:rsidRPr="003973D0">
        <w:t xml:space="preserve">5, </w:t>
      </w:r>
      <w:r w:rsidR="00C4281D">
        <w:t>paragraph </w:t>
      </w:r>
      <w:r w:rsidR="003973D0" w:rsidRPr="003973D0">
        <w:t>2 (b), of the Optional Protocol from examining the present communication.</w:t>
      </w:r>
      <w:r w:rsidR="00DB1573">
        <w:t xml:space="preserve"> </w:t>
      </w:r>
    </w:p>
    <w:p w:rsidR="00BD0FDA" w:rsidRPr="0059677E" w:rsidRDefault="001A25A2" w:rsidP="00653C09">
      <w:pPr>
        <w:pStyle w:val="NormalWeb"/>
        <w:ind w:left="1134" w:right="1134"/>
        <w:jc w:val="both"/>
        <w:rPr>
          <w:sz w:val="20"/>
          <w:szCs w:val="20"/>
        </w:rPr>
      </w:pPr>
      <w:r>
        <w:rPr>
          <w:sz w:val="20"/>
          <w:szCs w:val="20"/>
        </w:rPr>
        <w:t>8</w:t>
      </w:r>
      <w:r w:rsidR="00BD0FDA">
        <w:rPr>
          <w:sz w:val="20"/>
          <w:szCs w:val="20"/>
        </w:rPr>
        <w:t>.4</w:t>
      </w:r>
      <w:r w:rsidR="00BD0FDA">
        <w:rPr>
          <w:sz w:val="20"/>
          <w:szCs w:val="20"/>
        </w:rPr>
        <w:tab/>
      </w:r>
      <w:r w:rsidR="00BD0FDA" w:rsidRPr="0059677E">
        <w:rPr>
          <w:sz w:val="20"/>
          <w:szCs w:val="20"/>
        </w:rPr>
        <w:t xml:space="preserve">The Committee takes note of the author’s submission that the State party violated its obligations under </w:t>
      </w:r>
      <w:r w:rsidR="00C4281D">
        <w:rPr>
          <w:sz w:val="20"/>
          <w:szCs w:val="20"/>
        </w:rPr>
        <w:t>article </w:t>
      </w:r>
      <w:r w:rsidR="00BD0FDA" w:rsidRPr="0059677E">
        <w:rPr>
          <w:sz w:val="20"/>
          <w:szCs w:val="20"/>
        </w:rPr>
        <w:t xml:space="preserve">2, </w:t>
      </w:r>
      <w:r w:rsidR="00C4281D">
        <w:rPr>
          <w:sz w:val="20"/>
          <w:szCs w:val="20"/>
        </w:rPr>
        <w:t>paragraph </w:t>
      </w:r>
      <w:r w:rsidR="00BD0FDA" w:rsidRPr="0059677E">
        <w:rPr>
          <w:sz w:val="20"/>
          <w:szCs w:val="20"/>
        </w:rPr>
        <w:t>2</w:t>
      </w:r>
      <w:r w:rsidR="00396713">
        <w:rPr>
          <w:sz w:val="20"/>
          <w:szCs w:val="20"/>
        </w:rPr>
        <w:t>,</w:t>
      </w:r>
      <w:r w:rsidR="00BD0FDA" w:rsidRPr="0059677E">
        <w:rPr>
          <w:sz w:val="20"/>
          <w:szCs w:val="20"/>
        </w:rPr>
        <w:t xml:space="preserve"> of the Covenant, read in conjunction with </w:t>
      </w:r>
      <w:r w:rsidR="00C4281D">
        <w:rPr>
          <w:sz w:val="20"/>
          <w:szCs w:val="20"/>
        </w:rPr>
        <w:t>article </w:t>
      </w:r>
      <w:r w:rsidR="00BD0FDA">
        <w:rPr>
          <w:sz w:val="20"/>
          <w:szCs w:val="20"/>
        </w:rPr>
        <w:t>19</w:t>
      </w:r>
      <w:r w:rsidR="00BD0FDA" w:rsidRPr="0059677E">
        <w:rPr>
          <w:sz w:val="20"/>
          <w:szCs w:val="20"/>
        </w:rPr>
        <w:t xml:space="preserve">, since it failed to adopt such laws or other measures as may be necessary to give effect to the rights recognized in </w:t>
      </w:r>
      <w:r w:rsidR="00C4281D">
        <w:rPr>
          <w:sz w:val="20"/>
          <w:szCs w:val="20"/>
        </w:rPr>
        <w:t>article </w:t>
      </w:r>
      <w:r w:rsidR="00BD0FDA">
        <w:rPr>
          <w:sz w:val="20"/>
          <w:szCs w:val="20"/>
        </w:rPr>
        <w:t>19</w:t>
      </w:r>
      <w:r w:rsidR="00BD0FDA" w:rsidRPr="0059677E">
        <w:rPr>
          <w:sz w:val="20"/>
          <w:szCs w:val="20"/>
        </w:rPr>
        <w:t xml:space="preserve"> of the Covenant</w:t>
      </w:r>
      <w:r w:rsidR="0003453C">
        <w:rPr>
          <w:sz w:val="20"/>
          <w:szCs w:val="20"/>
        </w:rPr>
        <w:t xml:space="preserve">. </w:t>
      </w:r>
      <w:r w:rsidR="00396713">
        <w:rPr>
          <w:sz w:val="20"/>
          <w:szCs w:val="20"/>
        </w:rPr>
        <w:t>The Committee</w:t>
      </w:r>
      <w:r w:rsidR="00BD0FDA" w:rsidRPr="0059677E">
        <w:rPr>
          <w:sz w:val="20"/>
          <w:szCs w:val="20"/>
        </w:rPr>
        <w:t xml:space="preserve"> also considers that the provisions of </w:t>
      </w:r>
      <w:r w:rsidR="00C4281D">
        <w:rPr>
          <w:sz w:val="20"/>
          <w:szCs w:val="20"/>
        </w:rPr>
        <w:t>article </w:t>
      </w:r>
      <w:r w:rsidR="00BD0FDA" w:rsidRPr="0059677E">
        <w:rPr>
          <w:sz w:val="20"/>
          <w:szCs w:val="20"/>
        </w:rPr>
        <w:t>2 c</w:t>
      </w:r>
      <w:r w:rsidR="00396713">
        <w:rPr>
          <w:sz w:val="20"/>
          <w:szCs w:val="20"/>
        </w:rPr>
        <w:t>an</w:t>
      </w:r>
      <w:r w:rsidR="00BD0FDA" w:rsidRPr="0059677E">
        <w:rPr>
          <w:sz w:val="20"/>
          <w:szCs w:val="20"/>
        </w:rPr>
        <w:t xml:space="preserve">not be invoked in a claim in a communication under the Optional Protocol in conjunction with other provisions of the Covenant, except when the failure by the State party to observe its obligations under </w:t>
      </w:r>
      <w:r w:rsidR="00C4281D">
        <w:rPr>
          <w:sz w:val="20"/>
          <w:szCs w:val="20"/>
        </w:rPr>
        <w:t>article </w:t>
      </w:r>
      <w:r w:rsidR="00BD0FDA" w:rsidRPr="0059677E">
        <w:rPr>
          <w:sz w:val="20"/>
          <w:szCs w:val="20"/>
        </w:rPr>
        <w:t>2 is the proximate cause of a distinct violation of the Covenant directly affecting the individual claim</w:t>
      </w:r>
      <w:r w:rsidR="00396713">
        <w:rPr>
          <w:sz w:val="20"/>
          <w:szCs w:val="20"/>
        </w:rPr>
        <w:t>ing</w:t>
      </w:r>
      <w:r w:rsidR="00BD0FDA" w:rsidRPr="0059677E">
        <w:rPr>
          <w:sz w:val="20"/>
          <w:szCs w:val="20"/>
        </w:rPr>
        <w:t xml:space="preserve"> to be a victim</w:t>
      </w:r>
      <w:r w:rsidR="00712675">
        <w:rPr>
          <w:sz w:val="20"/>
          <w:szCs w:val="20"/>
        </w:rPr>
        <w:t>.</w:t>
      </w:r>
      <w:r w:rsidR="0003453C" w:rsidRPr="0059677E">
        <w:rPr>
          <w:rStyle w:val="FootnoteReference"/>
          <w:sz w:val="20"/>
          <w:szCs w:val="20"/>
        </w:rPr>
        <w:footnoteReference w:id="7"/>
      </w:r>
      <w:r w:rsidR="00BD0FDA" w:rsidRPr="0059677E">
        <w:rPr>
          <w:sz w:val="20"/>
          <w:szCs w:val="20"/>
        </w:rPr>
        <w:t xml:space="preserve"> The Committee notes, however, that the author has already alleged a violation of his rights</w:t>
      </w:r>
      <w:r w:rsidR="00BD0FDA">
        <w:rPr>
          <w:sz w:val="20"/>
          <w:szCs w:val="20"/>
        </w:rPr>
        <w:t xml:space="preserve"> under</w:t>
      </w:r>
      <w:r w:rsidR="00BD0FDA" w:rsidRPr="0059677E">
        <w:rPr>
          <w:sz w:val="20"/>
          <w:szCs w:val="20"/>
        </w:rPr>
        <w:t xml:space="preserve"> </w:t>
      </w:r>
      <w:r w:rsidR="00C4281D">
        <w:rPr>
          <w:sz w:val="20"/>
          <w:szCs w:val="20"/>
        </w:rPr>
        <w:t>article </w:t>
      </w:r>
      <w:r w:rsidR="00BD0FDA">
        <w:rPr>
          <w:sz w:val="20"/>
          <w:szCs w:val="20"/>
        </w:rPr>
        <w:t>19</w:t>
      </w:r>
      <w:r w:rsidR="00963C85">
        <w:rPr>
          <w:sz w:val="20"/>
          <w:szCs w:val="20"/>
        </w:rPr>
        <w:t>,</w:t>
      </w:r>
      <w:r w:rsidR="00BD0FDA" w:rsidRPr="0059677E">
        <w:rPr>
          <w:sz w:val="20"/>
          <w:szCs w:val="20"/>
        </w:rPr>
        <w:t xml:space="preserve"> resulting from </w:t>
      </w:r>
      <w:r w:rsidR="00963C85">
        <w:rPr>
          <w:sz w:val="20"/>
          <w:szCs w:val="20"/>
        </w:rPr>
        <w:t xml:space="preserve">the </w:t>
      </w:r>
      <w:r w:rsidR="00BD0FDA" w:rsidRPr="0059677E">
        <w:rPr>
          <w:sz w:val="20"/>
          <w:szCs w:val="20"/>
        </w:rPr>
        <w:t xml:space="preserve">interpretation and application of the existing laws of the State party, and the Committee does not </w:t>
      </w:r>
      <w:r w:rsidR="00963C85">
        <w:rPr>
          <w:sz w:val="20"/>
          <w:szCs w:val="20"/>
        </w:rPr>
        <w:t>consider</w:t>
      </w:r>
      <w:r w:rsidR="00BD0FDA" w:rsidRPr="0059677E">
        <w:rPr>
          <w:sz w:val="20"/>
          <w:szCs w:val="20"/>
        </w:rPr>
        <w:t xml:space="preserve"> that examination of whether the State party </w:t>
      </w:r>
      <w:r w:rsidR="00963C85">
        <w:rPr>
          <w:sz w:val="20"/>
          <w:szCs w:val="20"/>
        </w:rPr>
        <w:t xml:space="preserve">has </w:t>
      </w:r>
      <w:r w:rsidR="00BD0FDA" w:rsidRPr="0059677E">
        <w:rPr>
          <w:sz w:val="20"/>
          <w:szCs w:val="20"/>
        </w:rPr>
        <w:t xml:space="preserve">also violated its general obligations under </w:t>
      </w:r>
      <w:r w:rsidR="00C4281D">
        <w:rPr>
          <w:sz w:val="20"/>
          <w:szCs w:val="20"/>
        </w:rPr>
        <w:t>article </w:t>
      </w:r>
      <w:r w:rsidR="00BD0FDA" w:rsidRPr="0059677E">
        <w:rPr>
          <w:sz w:val="20"/>
          <w:szCs w:val="20"/>
        </w:rPr>
        <w:t xml:space="preserve">2, </w:t>
      </w:r>
      <w:r w:rsidR="00C4281D">
        <w:rPr>
          <w:sz w:val="20"/>
          <w:szCs w:val="20"/>
        </w:rPr>
        <w:t>paragraph </w:t>
      </w:r>
      <w:r w:rsidR="00BD0FDA" w:rsidRPr="0059677E">
        <w:rPr>
          <w:sz w:val="20"/>
          <w:szCs w:val="20"/>
        </w:rPr>
        <w:t>2</w:t>
      </w:r>
      <w:r w:rsidR="00963C85">
        <w:rPr>
          <w:sz w:val="20"/>
          <w:szCs w:val="20"/>
        </w:rPr>
        <w:t>,</w:t>
      </w:r>
      <w:r w:rsidR="00BD0FDA" w:rsidRPr="0059677E">
        <w:rPr>
          <w:sz w:val="20"/>
          <w:szCs w:val="20"/>
        </w:rPr>
        <w:t xml:space="preserve"> of the Covenant, read in conjunction with </w:t>
      </w:r>
      <w:r w:rsidR="00C4281D">
        <w:rPr>
          <w:sz w:val="20"/>
          <w:szCs w:val="20"/>
        </w:rPr>
        <w:t>article </w:t>
      </w:r>
      <w:r w:rsidR="00BD0FDA">
        <w:rPr>
          <w:sz w:val="20"/>
          <w:szCs w:val="20"/>
        </w:rPr>
        <w:t>19</w:t>
      </w:r>
      <w:r w:rsidR="00BD0FDA" w:rsidRPr="0059677E">
        <w:rPr>
          <w:sz w:val="20"/>
          <w:szCs w:val="20"/>
        </w:rPr>
        <w:t xml:space="preserve">, </w:t>
      </w:r>
      <w:r w:rsidR="00963C85">
        <w:rPr>
          <w:sz w:val="20"/>
          <w:szCs w:val="20"/>
        </w:rPr>
        <w:t>to</w:t>
      </w:r>
      <w:r w:rsidR="00BD0FDA" w:rsidRPr="0059677E">
        <w:rPr>
          <w:sz w:val="20"/>
          <w:szCs w:val="20"/>
        </w:rPr>
        <w:t xml:space="preserve"> </w:t>
      </w:r>
      <w:r w:rsidR="00BD0FDA">
        <w:rPr>
          <w:sz w:val="20"/>
          <w:szCs w:val="20"/>
        </w:rPr>
        <w:t>be</w:t>
      </w:r>
      <w:r w:rsidR="00BD0FDA" w:rsidRPr="0059677E">
        <w:rPr>
          <w:sz w:val="20"/>
          <w:szCs w:val="20"/>
        </w:rPr>
        <w:t xml:space="preserve"> distinct </w:t>
      </w:r>
      <w:r w:rsidR="00BD0FDA">
        <w:rPr>
          <w:sz w:val="20"/>
          <w:szCs w:val="20"/>
        </w:rPr>
        <w:t>from</w:t>
      </w:r>
      <w:r w:rsidR="00BD0FDA" w:rsidRPr="0059677E">
        <w:rPr>
          <w:sz w:val="20"/>
          <w:szCs w:val="20"/>
        </w:rPr>
        <w:t xml:space="preserve"> examination of </w:t>
      </w:r>
      <w:r w:rsidR="00963C85">
        <w:rPr>
          <w:sz w:val="20"/>
          <w:szCs w:val="20"/>
        </w:rPr>
        <w:t>the</w:t>
      </w:r>
      <w:r w:rsidR="00BD0FDA" w:rsidRPr="0059677E">
        <w:rPr>
          <w:sz w:val="20"/>
          <w:szCs w:val="20"/>
        </w:rPr>
        <w:t xml:space="preserve"> violation of the author’s rights under </w:t>
      </w:r>
      <w:r w:rsidR="00C4281D">
        <w:rPr>
          <w:sz w:val="20"/>
          <w:szCs w:val="20"/>
        </w:rPr>
        <w:t>article </w:t>
      </w:r>
      <w:r w:rsidR="00BD0FDA">
        <w:rPr>
          <w:sz w:val="20"/>
          <w:szCs w:val="20"/>
        </w:rPr>
        <w:t>19</w:t>
      </w:r>
      <w:r w:rsidR="00BD0FDA" w:rsidRPr="0059677E">
        <w:rPr>
          <w:sz w:val="20"/>
          <w:szCs w:val="20"/>
        </w:rPr>
        <w:t xml:space="preserve"> of the Covenant. The Committee therefore considers that the author’s claims in th</w:t>
      </w:r>
      <w:r w:rsidR="00963C85">
        <w:rPr>
          <w:sz w:val="20"/>
          <w:szCs w:val="20"/>
        </w:rPr>
        <w:t>at</w:t>
      </w:r>
      <w:r w:rsidR="00BD0FDA" w:rsidRPr="0059677E">
        <w:rPr>
          <w:sz w:val="20"/>
          <w:szCs w:val="20"/>
        </w:rPr>
        <w:t xml:space="preserve"> regard are incompatible with </w:t>
      </w:r>
      <w:r w:rsidR="00C4281D">
        <w:rPr>
          <w:sz w:val="20"/>
          <w:szCs w:val="20"/>
        </w:rPr>
        <w:t>article </w:t>
      </w:r>
      <w:r w:rsidR="00BD0FDA" w:rsidRPr="0059677E">
        <w:rPr>
          <w:sz w:val="20"/>
          <w:szCs w:val="20"/>
        </w:rPr>
        <w:t xml:space="preserve">2 of the Covenant and inadmissible under </w:t>
      </w:r>
      <w:r w:rsidR="00C4281D">
        <w:rPr>
          <w:sz w:val="20"/>
          <w:szCs w:val="20"/>
        </w:rPr>
        <w:t>article </w:t>
      </w:r>
      <w:r w:rsidR="00BD0FDA" w:rsidRPr="0059677E">
        <w:rPr>
          <w:sz w:val="20"/>
          <w:szCs w:val="20"/>
        </w:rPr>
        <w:t>3 of the Optional Protocol.</w:t>
      </w:r>
    </w:p>
    <w:p w:rsidR="003973D0" w:rsidRPr="003973D0" w:rsidRDefault="001A25A2" w:rsidP="00653C09">
      <w:pPr>
        <w:pStyle w:val="SingleTxtG"/>
      </w:pPr>
      <w:r>
        <w:t>8</w:t>
      </w:r>
      <w:r w:rsidR="003973D0" w:rsidRPr="003973D0">
        <w:t>.</w:t>
      </w:r>
      <w:r>
        <w:t>5</w:t>
      </w:r>
      <w:r w:rsidR="003973D0" w:rsidRPr="003973D0">
        <w:tab/>
        <w:t xml:space="preserve">In </w:t>
      </w:r>
      <w:r w:rsidR="00963C85">
        <w:t xml:space="preserve">the </w:t>
      </w:r>
      <w:r w:rsidR="003973D0" w:rsidRPr="003973D0">
        <w:t xml:space="preserve">light of the information before it, the Committee considers that the author has sufficiently substantiated his </w:t>
      </w:r>
      <w:r w:rsidR="00484FA9">
        <w:t xml:space="preserve">remaining </w:t>
      </w:r>
      <w:r w:rsidR="003973D0" w:rsidRPr="003973D0">
        <w:t>claims</w:t>
      </w:r>
      <w:r w:rsidR="00484FA9">
        <w:t xml:space="preserve">, </w:t>
      </w:r>
      <w:r w:rsidR="00963C85">
        <w:t xml:space="preserve">which </w:t>
      </w:r>
      <w:r w:rsidR="00484FA9">
        <w:t>rais</w:t>
      </w:r>
      <w:r w:rsidR="00963C85">
        <w:t>e</w:t>
      </w:r>
      <w:r w:rsidR="00484FA9">
        <w:t xml:space="preserve"> issues </w:t>
      </w:r>
      <w:r w:rsidR="003973D0" w:rsidRPr="003973D0">
        <w:t xml:space="preserve">under </w:t>
      </w:r>
      <w:r w:rsidR="00C4281D">
        <w:t>article </w:t>
      </w:r>
      <w:r w:rsidR="003973D0" w:rsidRPr="003973D0">
        <w:t xml:space="preserve">19 of the Covenant, for </w:t>
      </w:r>
      <w:r w:rsidR="00963C85">
        <w:t xml:space="preserve">the </w:t>
      </w:r>
      <w:r w:rsidR="003973D0" w:rsidRPr="003973D0">
        <w:t>purposes of admissibility</w:t>
      </w:r>
      <w:r w:rsidR="00963C85">
        <w:t xml:space="preserve">. Accordingly, it </w:t>
      </w:r>
      <w:r w:rsidR="003973D0" w:rsidRPr="003973D0">
        <w:t xml:space="preserve">declares them admissible and proceeds to </w:t>
      </w:r>
      <w:r w:rsidR="00055550">
        <w:t>its</w:t>
      </w:r>
      <w:r w:rsidR="003973D0" w:rsidRPr="003973D0">
        <w:t xml:space="preserve"> examination on the merits.</w:t>
      </w:r>
    </w:p>
    <w:p w:rsidR="003973D0" w:rsidRPr="003973D0" w:rsidRDefault="003973D0" w:rsidP="003973D0">
      <w:pPr>
        <w:pStyle w:val="H4G"/>
      </w:pPr>
      <w:r w:rsidRPr="003973D0">
        <w:lastRenderedPageBreak/>
        <w:tab/>
      </w:r>
      <w:r w:rsidRPr="003973D0">
        <w:tab/>
        <w:t>Consideration of merits</w:t>
      </w:r>
    </w:p>
    <w:p w:rsidR="003973D0" w:rsidRPr="003973D0" w:rsidRDefault="001A25A2" w:rsidP="003973D0">
      <w:pPr>
        <w:pStyle w:val="SingleTxtG"/>
      </w:pPr>
      <w:r>
        <w:t>9</w:t>
      </w:r>
      <w:r w:rsidR="00712675">
        <w:t>.1</w:t>
      </w:r>
      <w:r w:rsidR="003973D0" w:rsidRPr="003973D0">
        <w:tab/>
        <w:t xml:space="preserve">The Human Rights Committee has considered the present communication in </w:t>
      </w:r>
      <w:r w:rsidR="00055550">
        <w:t xml:space="preserve">the </w:t>
      </w:r>
      <w:r w:rsidR="003973D0" w:rsidRPr="003973D0">
        <w:t xml:space="preserve">light of all the information made available to it by the parties, as required under </w:t>
      </w:r>
      <w:r w:rsidR="00C4281D">
        <w:t>article </w:t>
      </w:r>
      <w:r w:rsidR="003973D0" w:rsidRPr="003973D0">
        <w:t xml:space="preserve">5, </w:t>
      </w:r>
      <w:r w:rsidR="00C4281D">
        <w:t>paragraph </w:t>
      </w:r>
      <w:r w:rsidR="003973D0" w:rsidRPr="003973D0">
        <w:t>1, of the Optional Protocol.</w:t>
      </w:r>
    </w:p>
    <w:p w:rsidR="003973D0" w:rsidRPr="003973D0" w:rsidRDefault="001A25A2" w:rsidP="003973D0">
      <w:pPr>
        <w:pStyle w:val="SingleTxtG"/>
      </w:pPr>
      <w:r>
        <w:t>9</w:t>
      </w:r>
      <w:r w:rsidR="00712675">
        <w:t>.2</w:t>
      </w:r>
      <w:r w:rsidR="003973D0" w:rsidRPr="003973D0">
        <w:tab/>
        <w:t>The first issue before the Committee is whether the seizure of</w:t>
      </w:r>
      <w:r>
        <w:t xml:space="preserve"> the election-related</w:t>
      </w:r>
      <w:r w:rsidR="003973D0" w:rsidRPr="003973D0">
        <w:t xml:space="preserve"> </w:t>
      </w:r>
      <w:r>
        <w:t>brochures</w:t>
      </w:r>
      <w:r w:rsidR="003973D0" w:rsidRPr="003973D0">
        <w:t xml:space="preserve"> that were in the author’s possession constitute</w:t>
      </w:r>
      <w:r w:rsidR="00055550">
        <w:t>s</w:t>
      </w:r>
      <w:r w:rsidR="003973D0" w:rsidRPr="003973D0">
        <w:t xml:space="preserve"> a violation of the author’s rights under </w:t>
      </w:r>
      <w:r w:rsidR="00C4281D">
        <w:t>article </w:t>
      </w:r>
      <w:r w:rsidR="003973D0" w:rsidRPr="003973D0">
        <w:t xml:space="preserve">19 of the Covenant. </w:t>
      </w:r>
    </w:p>
    <w:p w:rsidR="003973D0" w:rsidRPr="003973D0" w:rsidRDefault="001A25A2" w:rsidP="00757871">
      <w:pPr>
        <w:pStyle w:val="SingleTxtG"/>
      </w:pPr>
      <w:r>
        <w:t>9</w:t>
      </w:r>
      <w:r w:rsidR="003973D0" w:rsidRPr="003973D0">
        <w:t>.3</w:t>
      </w:r>
      <w:r w:rsidR="003973D0" w:rsidRPr="003973D0">
        <w:tab/>
        <w:t xml:space="preserve">The Committee recalls that </w:t>
      </w:r>
      <w:r w:rsidR="00C4281D">
        <w:t>article </w:t>
      </w:r>
      <w:r w:rsidR="003973D0" w:rsidRPr="003973D0">
        <w:t xml:space="preserve">19, </w:t>
      </w:r>
      <w:r w:rsidR="00C4281D">
        <w:t>paragraph </w:t>
      </w:r>
      <w:r w:rsidR="003973D0" w:rsidRPr="003973D0">
        <w:t>2, of the Covenant requires States parties to guarantee the right to freedom of expression, including the freedom to seek, receive and impart information and ideas of all kinds, regardless of frontiers, either orally, in writing or in print. The Committee re</w:t>
      </w:r>
      <w:r w:rsidR="00751C6B">
        <w:t>fers to its general comment No. </w:t>
      </w:r>
      <w:r w:rsidR="003973D0" w:rsidRPr="003973D0">
        <w:t>34 (2011) on freedoms of opinion and expression, which</w:t>
      </w:r>
      <w:r w:rsidR="00055550">
        <w:t xml:space="preserve"> states that</w:t>
      </w:r>
      <w:r w:rsidR="003973D0" w:rsidRPr="003973D0">
        <w:t xml:space="preserve"> freedom of opinion and freedom of expression are indispensable conditions for the full development of the person. They are essential for any society and constitute the foundation stone for every free and democratic society</w:t>
      </w:r>
      <w:r w:rsidR="00055550">
        <w:t xml:space="preserve"> (para. 2)</w:t>
      </w:r>
      <w:r w:rsidR="003973D0" w:rsidRPr="003973D0">
        <w:t>.</w:t>
      </w:r>
      <w:r w:rsidR="003973D0" w:rsidRPr="003973D0">
        <w:rPr>
          <w:vertAlign w:val="superscript"/>
        </w:rPr>
        <w:t xml:space="preserve"> </w:t>
      </w:r>
      <w:r w:rsidR="003973D0" w:rsidRPr="003973D0">
        <w:t>Any restriction on the exercise of th</w:t>
      </w:r>
      <w:r w:rsidR="00757871">
        <w:t>o</w:t>
      </w:r>
      <w:r w:rsidR="003973D0" w:rsidRPr="003973D0">
        <w:t xml:space="preserve">se freedoms must conform to </w:t>
      </w:r>
      <w:r w:rsidR="00055550">
        <w:t xml:space="preserve">the </w:t>
      </w:r>
      <w:r w:rsidR="003973D0" w:rsidRPr="003973D0">
        <w:t>strict tests of necessity and proportionality</w:t>
      </w:r>
      <w:r w:rsidR="00055550">
        <w:t xml:space="preserve"> and</w:t>
      </w:r>
      <w:r w:rsidR="003973D0" w:rsidRPr="003973D0">
        <w:t xml:space="preserve"> </w:t>
      </w:r>
      <w:r w:rsidR="00055550">
        <w:t>r</w:t>
      </w:r>
      <w:r w:rsidR="003973D0" w:rsidRPr="003973D0">
        <w:t>estrictions must be applied only for those purposes for which they were prescribed and must be directly related to the specific need on which they are predicated</w:t>
      </w:r>
      <w:r w:rsidR="00055550">
        <w:t xml:space="preserve"> (para. 22)</w:t>
      </w:r>
      <w:r w:rsidR="003973D0" w:rsidRPr="003973D0">
        <w:t>.</w:t>
      </w:r>
      <w:r w:rsidR="003973D0" w:rsidRPr="00751C6B">
        <w:rPr>
          <w:rStyle w:val="FootnoteReference"/>
        </w:rPr>
        <w:footnoteReference w:id="8"/>
      </w:r>
      <w:r w:rsidR="003973D0" w:rsidRPr="003973D0">
        <w:rPr>
          <w:vertAlign w:val="superscript"/>
        </w:rPr>
        <w:t xml:space="preserve"> </w:t>
      </w:r>
    </w:p>
    <w:p w:rsidR="003973D0" w:rsidRPr="003973D0" w:rsidRDefault="001A25A2" w:rsidP="00757871">
      <w:pPr>
        <w:pStyle w:val="SingleTxtG"/>
      </w:pPr>
      <w:r>
        <w:t>9</w:t>
      </w:r>
      <w:r w:rsidR="003973D0" w:rsidRPr="003973D0">
        <w:t>.4</w:t>
      </w:r>
      <w:r w:rsidR="003973D0" w:rsidRPr="003973D0">
        <w:tab/>
        <w:t xml:space="preserve">The Committee recalls that </w:t>
      </w:r>
      <w:r w:rsidR="00C4281D">
        <w:t>article </w:t>
      </w:r>
      <w:r w:rsidR="003973D0" w:rsidRPr="003973D0">
        <w:t xml:space="preserve">19, </w:t>
      </w:r>
      <w:r w:rsidR="00C4281D">
        <w:t>paragraph </w:t>
      </w:r>
      <w:r w:rsidR="003973D0" w:rsidRPr="003973D0">
        <w:t xml:space="preserve">3, of the Covenant allows certain restrictions, but only as provided by law and necessary: (a) for respect of the rights or reputation of others; or (b) for the protection of national security or of public order (ordre public), or of public health or morals. The Committee notes that if </w:t>
      </w:r>
      <w:r w:rsidR="00757871">
        <w:t>a</w:t>
      </w:r>
      <w:r w:rsidR="00757871" w:rsidRPr="003973D0">
        <w:t xml:space="preserve"> </w:t>
      </w:r>
      <w:r w:rsidR="003973D0" w:rsidRPr="003973D0">
        <w:t xml:space="preserve">State </w:t>
      </w:r>
      <w:r w:rsidR="00757871">
        <w:t xml:space="preserve">party </w:t>
      </w:r>
      <w:r w:rsidR="003973D0" w:rsidRPr="003973D0">
        <w:t xml:space="preserve">imposes a restriction, it is for the State party to demonstrate that the restriction on the rights under </w:t>
      </w:r>
      <w:r w:rsidR="00C4281D">
        <w:t>article </w:t>
      </w:r>
      <w:r w:rsidR="003973D0" w:rsidRPr="003973D0">
        <w:t xml:space="preserve">19, </w:t>
      </w:r>
      <w:r w:rsidR="00C4281D">
        <w:t>paragraph </w:t>
      </w:r>
      <w:r w:rsidR="003973D0" w:rsidRPr="003973D0">
        <w:t xml:space="preserve">2, of the Covenant was necessary in the case in question, and that even if, in principle, States parties may introduce a system aimed at reconciling an individual’s freedom to impart information and the general interest of maintaining public order in a certain area, the system must not operate in a way that is incompatible with the object and purpose of </w:t>
      </w:r>
      <w:r w:rsidR="00C4281D">
        <w:t>article </w:t>
      </w:r>
      <w:r w:rsidR="003973D0" w:rsidRPr="003973D0">
        <w:t>19 of the Covenant.</w:t>
      </w:r>
      <w:r w:rsidR="003973D0" w:rsidRPr="00751C6B">
        <w:rPr>
          <w:rStyle w:val="FootnoteReference"/>
        </w:rPr>
        <w:footnoteReference w:id="9"/>
      </w:r>
    </w:p>
    <w:p w:rsidR="003973D0" w:rsidRPr="003973D0" w:rsidRDefault="001A25A2" w:rsidP="00653C09">
      <w:pPr>
        <w:pStyle w:val="SingleTxtG"/>
      </w:pPr>
      <w:r>
        <w:t>9</w:t>
      </w:r>
      <w:r w:rsidR="003973D0" w:rsidRPr="003973D0">
        <w:t>.5</w:t>
      </w:r>
      <w:r w:rsidR="003973D0" w:rsidRPr="003973D0">
        <w:tab/>
        <w:t xml:space="preserve">The Committee notes that the State party has </w:t>
      </w:r>
      <w:r w:rsidR="00625CC3">
        <w:t xml:space="preserve">not </w:t>
      </w:r>
      <w:r w:rsidR="003973D0" w:rsidRPr="003973D0">
        <w:t xml:space="preserve">submitted </w:t>
      </w:r>
      <w:r w:rsidR="00625CC3">
        <w:t xml:space="preserve">any </w:t>
      </w:r>
      <w:r w:rsidR="003973D0" w:rsidRPr="003973D0">
        <w:t>observations on the merits of the present communication</w:t>
      </w:r>
      <w:r w:rsidR="00625CC3">
        <w:t>, nor</w:t>
      </w:r>
      <w:r w:rsidR="003973D0" w:rsidRPr="003973D0">
        <w:t xml:space="preserve"> </w:t>
      </w:r>
      <w:r w:rsidR="00625CC3">
        <w:t>any</w:t>
      </w:r>
      <w:r w:rsidR="003973D0" w:rsidRPr="003973D0">
        <w:t xml:space="preserve"> justification or reasons as to how, in practice, the</w:t>
      </w:r>
      <w:r>
        <w:t xml:space="preserve"> seizure of</w:t>
      </w:r>
      <w:r w:rsidR="003973D0" w:rsidRPr="003973D0">
        <w:t xml:space="preserve"> </w:t>
      </w:r>
      <w:r>
        <w:t>the</w:t>
      </w:r>
      <w:r w:rsidR="003973D0" w:rsidRPr="003973D0">
        <w:t xml:space="preserve"> </w:t>
      </w:r>
      <w:r w:rsidR="00DB1573">
        <w:t>elections-related brochures</w:t>
      </w:r>
      <w:r w:rsidR="003973D0" w:rsidRPr="003973D0">
        <w:t xml:space="preserve"> in question, would fall under one of the legitimate restrictions set out in </w:t>
      </w:r>
      <w:r w:rsidR="00C4281D">
        <w:t>article </w:t>
      </w:r>
      <w:r w:rsidR="003973D0" w:rsidRPr="003973D0">
        <w:t xml:space="preserve">19, </w:t>
      </w:r>
      <w:r w:rsidR="00C4281D">
        <w:t>paragraph </w:t>
      </w:r>
      <w:r w:rsidR="003973D0" w:rsidRPr="003973D0">
        <w:t>3</w:t>
      </w:r>
      <w:r w:rsidR="00625CC3">
        <w:t>,</w:t>
      </w:r>
      <w:r w:rsidR="003973D0" w:rsidRPr="003973D0">
        <w:t xml:space="preserve"> of the Covenant</w:t>
      </w:r>
      <w:r w:rsidR="00484FA9">
        <w:t>, even if the seizure was permissible by law</w:t>
      </w:r>
      <w:r w:rsidR="003973D0" w:rsidRPr="003973D0">
        <w:t xml:space="preserve">. </w:t>
      </w:r>
      <w:r w:rsidR="003973D0" w:rsidRPr="00653C09">
        <w:t xml:space="preserve">The Committee </w:t>
      </w:r>
      <w:r w:rsidR="00625CC3" w:rsidRPr="00616E2B">
        <w:t xml:space="preserve">also </w:t>
      </w:r>
      <w:r w:rsidR="00625CC3" w:rsidRPr="00653C09">
        <w:t>notes</w:t>
      </w:r>
      <w:r w:rsidR="003973D0" w:rsidRPr="00653C09">
        <w:t xml:space="preserve"> that</w:t>
      </w:r>
      <w:r w:rsidR="003973D0" w:rsidRPr="003973D0">
        <w:t xml:space="preserve"> the authorities have failed to explain why it was necessary to restrict the author’s right to freedom to seek, receive and impart information for respect of the rights or reputations of others, for the protection of national security or of public order (ordre public), or of public health or morals.</w:t>
      </w:r>
    </w:p>
    <w:p w:rsidR="003973D0" w:rsidRPr="003973D0" w:rsidRDefault="001A25A2" w:rsidP="00653C09">
      <w:pPr>
        <w:pStyle w:val="SingleTxtG"/>
      </w:pPr>
      <w:r>
        <w:t>9</w:t>
      </w:r>
      <w:r w:rsidR="003973D0" w:rsidRPr="003973D0">
        <w:t>.6</w:t>
      </w:r>
      <w:r w:rsidR="003973D0" w:rsidRPr="003973D0">
        <w:tab/>
        <w:t>In the circumstances described above and in the absence of any information from the State party to justify the restriction</w:t>
      </w:r>
      <w:r w:rsidR="00653C09">
        <w:t xml:space="preserve"> to the author’s right</w:t>
      </w:r>
      <w:r w:rsidR="003973D0" w:rsidRPr="003973D0">
        <w:t xml:space="preserve"> for purposes of </w:t>
      </w:r>
      <w:r w:rsidR="00C4281D">
        <w:t>article </w:t>
      </w:r>
      <w:r w:rsidR="003973D0" w:rsidRPr="003973D0">
        <w:t xml:space="preserve">19, </w:t>
      </w:r>
      <w:r w:rsidR="00C4281D">
        <w:t>paragraph </w:t>
      </w:r>
      <w:r w:rsidR="003973D0" w:rsidRPr="003973D0">
        <w:t xml:space="preserve">3, the Committee concludes that the author’s rights under </w:t>
      </w:r>
      <w:r w:rsidR="00C4281D">
        <w:t>article </w:t>
      </w:r>
      <w:r w:rsidR="003973D0" w:rsidRPr="003973D0">
        <w:t xml:space="preserve">19, </w:t>
      </w:r>
      <w:r w:rsidR="00C4281D">
        <w:t>paragraph </w:t>
      </w:r>
      <w:r w:rsidR="003973D0" w:rsidRPr="003973D0">
        <w:t>2</w:t>
      </w:r>
      <w:r w:rsidR="00484FA9">
        <w:t>,</w:t>
      </w:r>
      <w:r w:rsidR="003973D0" w:rsidRPr="003973D0">
        <w:t xml:space="preserve"> of the Covenant </w:t>
      </w:r>
      <w:r w:rsidR="00653C09">
        <w:t>were</w:t>
      </w:r>
      <w:r w:rsidR="003973D0" w:rsidRPr="003973D0">
        <w:t xml:space="preserve"> violated. </w:t>
      </w:r>
    </w:p>
    <w:p w:rsidR="003973D0" w:rsidRPr="003973D0" w:rsidRDefault="001A25A2" w:rsidP="003973D0">
      <w:pPr>
        <w:pStyle w:val="SingleTxtG"/>
      </w:pPr>
      <w:r>
        <w:t>10</w:t>
      </w:r>
      <w:r w:rsidR="00712675">
        <w:t>.</w:t>
      </w:r>
      <w:r w:rsidR="003973D0" w:rsidRPr="003973D0">
        <w:tab/>
        <w:t xml:space="preserve">The Human Rights Committee, acting under </w:t>
      </w:r>
      <w:r w:rsidR="00C4281D">
        <w:t>article </w:t>
      </w:r>
      <w:r w:rsidR="003973D0" w:rsidRPr="003973D0">
        <w:t xml:space="preserve">5, </w:t>
      </w:r>
      <w:r w:rsidR="00C4281D">
        <w:t>paragraph </w:t>
      </w:r>
      <w:r w:rsidR="003973D0" w:rsidRPr="003973D0">
        <w:t xml:space="preserve">4, of the Optional Protocol to the International Covenant on Civil and Political Rights, is of the view that the information before it discloses a violation by the State party of the author’s rights under </w:t>
      </w:r>
      <w:r w:rsidR="00C4281D">
        <w:t>article </w:t>
      </w:r>
      <w:r w:rsidR="003973D0" w:rsidRPr="003973D0">
        <w:t xml:space="preserve">19, </w:t>
      </w:r>
      <w:r w:rsidR="00C4281D">
        <w:t>paragraph </w:t>
      </w:r>
      <w:r w:rsidR="003973D0" w:rsidRPr="003973D0">
        <w:t xml:space="preserve">2, of the </w:t>
      </w:r>
      <w:r w:rsidR="00653C09">
        <w:t xml:space="preserve">International </w:t>
      </w:r>
      <w:r w:rsidR="003973D0" w:rsidRPr="003973D0">
        <w:t>Covenant</w:t>
      </w:r>
      <w:r w:rsidR="00653C09">
        <w:t xml:space="preserve"> on Civil and Political Rights</w:t>
      </w:r>
      <w:r w:rsidR="00801928">
        <w:t>.</w:t>
      </w:r>
      <w:r w:rsidR="0003453C">
        <w:t xml:space="preserve"> </w:t>
      </w:r>
    </w:p>
    <w:p w:rsidR="003973D0" w:rsidRPr="003973D0" w:rsidRDefault="001A25A2" w:rsidP="003973D0">
      <w:pPr>
        <w:pStyle w:val="SingleTxtG"/>
      </w:pPr>
      <w:r>
        <w:lastRenderedPageBreak/>
        <w:t>11</w:t>
      </w:r>
      <w:r w:rsidR="003973D0" w:rsidRPr="003973D0">
        <w:t>.</w:t>
      </w:r>
      <w:r w:rsidR="003973D0" w:rsidRPr="003973D0">
        <w:tab/>
        <w:t xml:space="preserve">In accordance with </w:t>
      </w:r>
      <w:r w:rsidR="00C4281D">
        <w:t>article </w:t>
      </w:r>
      <w:r w:rsidR="003973D0" w:rsidRPr="003973D0">
        <w:t xml:space="preserve">2, </w:t>
      </w:r>
      <w:r w:rsidR="00C4281D">
        <w:t>paragraph </w:t>
      </w:r>
      <w:r w:rsidR="003973D0" w:rsidRPr="003973D0">
        <w:t>3 (a), of the Covenant, the State party is under an obligation to provide the author with an effective remedy, including compensation</w:t>
      </w:r>
      <w:r w:rsidR="00712675">
        <w:t>.</w:t>
      </w:r>
      <w:r w:rsidR="003973D0" w:rsidRPr="003973D0">
        <w:t xml:space="preserve"> The State party is also under the obligation to take steps to prevent similar violations in the future.</w:t>
      </w:r>
    </w:p>
    <w:p w:rsidR="003973D0" w:rsidRPr="003973D0" w:rsidRDefault="001A25A2" w:rsidP="003973D0">
      <w:pPr>
        <w:pStyle w:val="SingleTxtG"/>
      </w:pPr>
      <w:r>
        <w:t>12</w:t>
      </w:r>
      <w:r w:rsidR="003973D0" w:rsidRPr="003973D0">
        <w:t>.</w:t>
      </w:r>
      <w:r w:rsidR="003973D0" w:rsidRPr="003973D0">
        <w:tab/>
        <w:t xml:space="preserve">Bearing in mind that, by becoming a party to the Optional Protocol, the State party has recognized the competence of the Committee to determine whether there has been a violation of the Covenant or not and that, pursuant to </w:t>
      </w:r>
      <w:r w:rsidR="00C4281D">
        <w:t>article </w:t>
      </w:r>
      <w:r w:rsidR="003973D0" w:rsidRPr="003973D0">
        <w:t>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1560FE" w:rsidRDefault="001560FE" w:rsidP="003973D0">
      <w:pPr>
        <w:spacing w:before="240"/>
        <w:ind w:left="1134" w:right="1134"/>
        <w:jc w:val="center"/>
        <w:rPr>
          <w:u w:val="single"/>
        </w:rPr>
        <w:sectPr w:rsidR="001560FE" w:rsidSect="00C4281D">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1560FE" w:rsidRDefault="001560FE" w:rsidP="001560FE">
      <w:pPr>
        <w:pStyle w:val="HChG"/>
        <w:rPr>
          <w:lang w:val="sv-SE"/>
        </w:rPr>
      </w:pPr>
      <w:r w:rsidRPr="0008377D">
        <w:rPr>
          <w:lang w:val="sv-SE"/>
        </w:rPr>
        <w:lastRenderedPageBreak/>
        <w:t>Appendices</w:t>
      </w:r>
    </w:p>
    <w:p w:rsidR="001560FE" w:rsidRDefault="001560FE" w:rsidP="001560FE">
      <w:pPr>
        <w:pStyle w:val="HChG"/>
      </w:pPr>
      <w:r>
        <w:t>Appendix I</w:t>
      </w:r>
    </w:p>
    <w:p w:rsidR="001560FE" w:rsidRDefault="001560FE" w:rsidP="001560FE">
      <w:pPr>
        <w:pStyle w:val="SingleTxtG"/>
        <w:jc w:val="right"/>
        <w:rPr>
          <w:lang w:val="fr-CH"/>
        </w:rPr>
      </w:pPr>
      <w:r w:rsidRPr="00FD37B7">
        <w:t>[Original: English]</w:t>
      </w:r>
    </w:p>
    <w:p w:rsidR="003973D0" w:rsidRDefault="001560FE" w:rsidP="00616E2B">
      <w:pPr>
        <w:pStyle w:val="H1G"/>
      </w:pPr>
      <w:r>
        <w:tab/>
      </w:r>
      <w:r>
        <w:tab/>
      </w:r>
      <w:r w:rsidRPr="00EF4451">
        <w:t>I</w:t>
      </w:r>
      <w:r>
        <w:t>ndividual o</w:t>
      </w:r>
      <w:r w:rsidRPr="00EF4451">
        <w:t xml:space="preserve">pinion of Committee member </w:t>
      </w:r>
      <w:r>
        <w:t xml:space="preserve">Gerald L. Neuman </w:t>
      </w:r>
      <w:r w:rsidRPr="00EF4451">
        <w:t>(</w:t>
      </w:r>
      <w:r>
        <w:t>concurring</w:t>
      </w:r>
      <w:r w:rsidRPr="00EF4451">
        <w:t>)</w:t>
      </w:r>
    </w:p>
    <w:p w:rsidR="001560FE" w:rsidRDefault="001560FE" w:rsidP="00616E2B">
      <w:pPr>
        <w:pStyle w:val="SingleTxtG"/>
        <w:rPr>
          <w:lang w:val="en-US"/>
        </w:rPr>
      </w:pPr>
      <w:r w:rsidRPr="001560FE">
        <w:rPr>
          <w:lang w:val="en-US"/>
        </w:rPr>
        <w:t xml:space="preserve">I fully concur </w:t>
      </w:r>
      <w:r w:rsidR="00653C09">
        <w:rPr>
          <w:lang w:val="en-US"/>
        </w:rPr>
        <w:t>with</w:t>
      </w:r>
      <w:r w:rsidRPr="001560FE">
        <w:rPr>
          <w:lang w:val="en-US"/>
        </w:rPr>
        <w:t xml:space="preserve"> the conclusions of the Committee on admissibility and merits, but I write separately to express concern about the Committee’s reasoning</w:t>
      </w:r>
      <w:r>
        <w:rPr>
          <w:lang w:val="en-US"/>
        </w:rPr>
        <w:t xml:space="preserve"> in </w:t>
      </w:r>
      <w:r w:rsidR="00C4281D">
        <w:rPr>
          <w:lang w:val="en-US"/>
        </w:rPr>
        <w:t>paragraph </w:t>
      </w:r>
      <w:r>
        <w:rPr>
          <w:lang w:val="en-US"/>
        </w:rPr>
        <w:t>8.4 of its Views.</w:t>
      </w:r>
      <w:r w:rsidRPr="001560FE">
        <w:rPr>
          <w:lang w:val="en-US"/>
        </w:rPr>
        <w:t xml:space="preserve"> There the majority repeats the so-called “Poliakov formula,”</w:t>
      </w:r>
      <w:r w:rsidRPr="00751C6B">
        <w:rPr>
          <w:rStyle w:val="FootnoteReference"/>
        </w:rPr>
        <w:footnoteReference w:id="10"/>
      </w:r>
      <w:r w:rsidRPr="001560FE">
        <w:rPr>
          <w:lang w:val="en-US"/>
        </w:rPr>
        <w:t xml:space="preserve"> which rejects the admissibility of the author’s claim under </w:t>
      </w:r>
      <w:r w:rsidR="00C4281D">
        <w:rPr>
          <w:lang w:val="en-US"/>
        </w:rPr>
        <w:t>article </w:t>
      </w:r>
      <w:r w:rsidRPr="001560FE">
        <w:rPr>
          <w:lang w:val="en-US"/>
        </w:rPr>
        <w:t xml:space="preserve">2, </w:t>
      </w:r>
      <w:r w:rsidR="00C4281D">
        <w:rPr>
          <w:lang w:val="en-US"/>
        </w:rPr>
        <w:t>paragraph </w:t>
      </w:r>
      <w:r w:rsidRPr="001560FE">
        <w:rPr>
          <w:lang w:val="en-US"/>
        </w:rPr>
        <w:t xml:space="preserve">2, </w:t>
      </w:r>
      <w:r w:rsidR="0007291D">
        <w:rPr>
          <w:lang w:val="en-US"/>
        </w:rPr>
        <w:t xml:space="preserve">read </w:t>
      </w:r>
      <w:r w:rsidRPr="001560FE">
        <w:rPr>
          <w:lang w:val="en-US"/>
        </w:rPr>
        <w:t xml:space="preserve">in conjunction with his substantive right, but which allows for the possibility that there might exist some other situation in which a claim under </w:t>
      </w:r>
      <w:r w:rsidR="00C4281D">
        <w:rPr>
          <w:lang w:val="en-US"/>
        </w:rPr>
        <w:t>article </w:t>
      </w:r>
      <w:r w:rsidRPr="001560FE">
        <w:rPr>
          <w:lang w:val="en-US"/>
        </w:rPr>
        <w:t xml:space="preserve">2, </w:t>
      </w:r>
      <w:r w:rsidR="00C4281D">
        <w:rPr>
          <w:lang w:val="en-US"/>
        </w:rPr>
        <w:t>paragraph </w:t>
      </w:r>
      <w:r w:rsidRPr="001560FE">
        <w:rPr>
          <w:lang w:val="en-US"/>
        </w:rPr>
        <w:t xml:space="preserve">2, </w:t>
      </w:r>
      <w:r w:rsidR="0007291D">
        <w:rPr>
          <w:lang w:val="en-US"/>
        </w:rPr>
        <w:t xml:space="preserve">read </w:t>
      </w:r>
      <w:r w:rsidRPr="001560FE">
        <w:rPr>
          <w:lang w:val="en-US"/>
        </w:rPr>
        <w:t xml:space="preserve">in conjunction with a substantive right could </w:t>
      </w:r>
      <w:r>
        <w:rPr>
          <w:lang w:val="en-US"/>
        </w:rPr>
        <w:t>be admissible.</w:t>
      </w:r>
      <w:r w:rsidRPr="001560FE">
        <w:rPr>
          <w:lang w:val="en-US"/>
        </w:rPr>
        <w:t xml:space="preserve"> For reasons explained in pr</w:t>
      </w:r>
      <w:r w:rsidR="0007291D">
        <w:rPr>
          <w:lang w:val="en-US"/>
        </w:rPr>
        <w:t>evious</w:t>
      </w:r>
      <w:r w:rsidRPr="001560FE">
        <w:rPr>
          <w:lang w:val="en-US"/>
        </w:rPr>
        <w:t xml:space="preserve"> individual opinions,</w:t>
      </w:r>
      <w:r w:rsidRPr="00751C6B">
        <w:rPr>
          <w:rStyle w:val="FootnoteReference"/>
        </w:rPr>
        <w:footnoteReference w:id="11"/>
      </w:r>
      <w:r w:rsidRPr="001560FE">
        <w:rPr>
          <w:lang w:val="en-US"/>
        </w:rPr>
        <w:t xml:space="preserve"> I believe that the Committee should maintain its traditional interpretation of </w:t>
      </w:r>
      <w:r w:rsidR="00C4281D">
        <w:rPr>
          <w:lang w:val="en-US"/>
        </w:rPr>
        <w:t>article </w:t>
      </w:r>
      <w:r w:rsidRPr="001560FE">
        <w:rPr>
          <w:lang w:val="en-US"/>
        </w:rPr>
        <w:t xml:space="preserve">2, </w:t>
      </w:r>
      <w:r w:rsidR="00C4281D">
        <w:rPr>
          <w:lang w:val="en-US"/>
        </w:rPr>
        <w:t>paragraph </w:t>
      </w:r>
      <w:r w:rsidRPr="001560FE">
        <w:rPr>
          <w:lang w:val="en-US"/>
        </w:rPr>
        <w:t>2, and should state unequivocally that such claims do not exist and are always inadmissible. The experience of the Committee since July 2014 has confirmed that leaving open this possibility leads the Committee to unproductive discussions and makes no practical contribution to the protection of human rights</w:t>
      </w:r>
      <w:r>
        <w:rPr>
          <w:lang w:val="en-US"/>
        </w:rPr>
        <w:t xml:space="preserve">. </w:t>
      </w:r>
      <w:r w:rsidRPr="001560FE">
        <w:rPr>
          <w:lang w:val="en-US"/>
        </w:rPr>
        <w:t>I look forward to the day when the Committee abandons this new formulation.</w:t>
      </w:r>
    </w:p>
    <w:p w:rsidR="001560FE" w:rsidRDefault="001560FE" w:rsidP="001560FE">
      <w:pPr>
        <w:pStyle w:val="SingleTxtG"/>
        <w:sectPr w:rsidR="001560FE" w:rsidSect="001560FE">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1560FE" w:rsidRPr="00EF4451" w:rsidRDefault="001560FE" w:rsidP="001560FE">
      <w:pPr>
        <w:pStyle w:val="HChG"/>
      </w:pPr>
      <w:r w:rsidRPr="00EF4451">
        <w:lastRenderedPageBreak/>
        <w:t>Appendix I</w:t>
      </w:r>
      <w:r>
        <w:t>I</w:t>
      </w:r>
    </w:p>
    <w:p w:rsidR="001560FE" w:rsidRPr="00EF4451" w:rsidRDefault="001560FE" w:rsidP="001560FE">
      <w:pPr>
        <w:spacing w:after="120"/>
        <w:ind w:left="1134" w:right="1134"/>
        <w:jc w:val="right"/>
        <w:rPr>
          <w:lang w:val="fr-CH"/>
        </w:rPr>
      </w:pPr>
      <w:r w:rsidRPr="00EF4451">
        <w:t xml:space="preserve">[Original: </w:t>
      </w:r>
      <w:r>
        <w:rPr>
          <w:lang w:val="fr-CH"/>
        </w:rPr>
        <w:t>Spanish</w:t>
      </w:r>
      <w:r w:rsidRPr="00EF4451">
        <w:t>]</w:t>
      </w:r>
    </w:p>
    <w:p w:rsidR="001560FE" w:rsidRPr="0017497C" w:rsidRDefault="001560FE" w:rsidP="001560FE">
      <w:pPr>
        <w:pStyle w:val="H1G"/>
      </w:pPr>
      <w:r>
        <w:tab/>
      </w:r>
      <w:r>
        <w:tab/>
      </w:r>
      <w:r w:rsidRPr="0017497C">
        <w:t>Individual opinion of Committee member Victor Manuel Rodríguez-Rescia (concurring)</w:t>
      </w:r>
    </w:p>
    <w:p w:rsidR="001560FE" w:rsidRPr="0017497C" w:rsidRDefault="001560FE" w:rsidP="000808F9">
      <w:pPr>
        <w:pStyle w:val="SingleTxtG"/>
      </w:pPr>
      <w:r w:rsidRPr="0017497C">
        <w:t>1.</w:t>
      </w:r>
      <w:r w:rsidRPr="0017497C">
        <w:tab/>
        <w:t>While I fully agree with the Committee</w:t>
      </w:r>
      <w:r>
        <w:t>’</w:t>
      </w:r>
      <w:r w:rsidRPr="0017497C">
        <w:t>s findings regarding the admissibility and the merits of th</w:t>
      </w:r>
      <w:r w:rsidR="000808F9">
        <w:t>e</w:t>
      </w:r>
      <w:r w:rsidRPr="0017497C">
        <w:t xml:space="preserve"> communication in relation to a violation of </w:t>
      </w:r>
      <w:r w:rsidR="00C4281D">
        <w:t>article </w:t>
      </w:r>
      <w:r w:rsidRPr="0017497C">
        <w:t xml:space="preserve">19, </w:t>
      </w:r>
      <w:r w:rsidR="00C4281D">
        <w:t>paragraph </w:t>
      </w:r>
      <w:r w:rsidRPr="0017497C">
        <w:t>2, of the Covenant, I must express my disagreement with the Committee</w:t>
      </w:r>
      <w:r>
        <w:t>’</w:t>
      </w:r>
      <w:r w:rsidRPr="0017497C">
        <w:t xml:space="preserve">s interpretation of </w:t>
      </w:r>
      <w:r w:rsidR="00C4281D">
        <w:t>article </w:t>
      </w:r>
      <w:r w:rsidRPr="0017497C">
        <w:t xml:space="preserve">2, </w:t>
      </w:r>
      <w:r w:rsidR="00C4281D">
        <w:t>paragraph </w:t>
      </w:r>
      <w:r w:rsidRPr="0017497C">
        <w:t>2, of the Covenant</w:t>
      </w:r>
      <w:r w:rsidR="000808F9">
        <w:t>,</w:t>
      </w:r>
      <w:r w:rsidRPr="0017497C">
        <w:t xml:space="preserve"> as set out in </w:t>
      </w:r>
      <w:r w:rsidR="00C4281D">
        <w:t>paragraph </w:t>
      </w:r>
      <w:r w:rsidRPr="0017497C">
        <w:t>8.4 in this communication and in other cases that reproduce the formulation that appears in the Committee</w:t>
      </w:r>
      <w:r>
        <w:t>’</w:t>
      </w:r>
      <w:r w:rsidRPr="0017497C">
        <w:t>s Views</w:t>
      </w:r>
      <w:r w:rsidR="000808F9">
        <w:t>, communication No. 2030/2011,</w:t>
      </w:r>
      <w:r w:rsidRPr="0017497C">
        <w:t xml:space="preserve"> </w:t>
      </w:r>
      <w:r w:rsidRPr="00C919BF">
        <w:rPr>
          <w:i/>
          <w:iCs/>
        </w:rPr>
        <w:t xml:space="preserve">Poliakov </w:t>
      </w:r>
      <w:r w:rsidRPr="00616E2B">
        <w:t>v.</w:t>
      </w:r>
      <w:r w:rsidRPr="00C919BF">
        <w:rPr>
          <w:i/>
          <w:iCs/>
        </w:rPr>
        <w:t xml:space="preserve"> Belarus</w:t>
      </w:r>
      <w:r w:rsidRPr="0017497C">
        <w:t xml:space="preserve">. My understanding of the application of </w:t>
      </w:r>
      <w:r w:rsidR="00C4281D">
        <w:t>article </w:t>
      </w:r>
      <w:r w:rsidRPr="0017497C">
        <w:t xml:space="preserve">2, </w:t>
      </w:r>
      <w:r w:rsidR="00C4281D">
        <w:t>paragraph </w:t>
      </w:r>
      <w:r w:rsidRPr="0017497C">
        <w:t>2, is that</w:t>
      </w:r>
      <w:r w:rsidR="000808F9">
        <w:t>,</w:t>
      </w:r>
      <w:r w:rsidRPr="0017497C">
        <w:t xml:space="preserve"> when a national law runs counter to a substantive right enshrined in the Covenant, as is the case in this instance with regard to </w:t>
      </w:r>
      <w:r w:rsidR="00C4281D">
        <w:t>article </w:t>
      </w:r>
      <w:r w:rsidRPr="0017497C">
        <w:t xml:space="preserve">19, </w:t>
      </w:r>
      <w:r w:rsidR="00C4281D">
        <w:t>paragraph </w:t>
      </w:r>
      <w:r w:rsidRPr="0017497C">
        <w:t xml:space="preserve">2, then that law should be amended in such a way that it ceases to be an obstacle to the enjoyment of the right to receive and impart information. In the case at hand, </w:t>
      </w:r>
      <w:r w:rsidR="00C4281D">
        <w:t>article </w:t>
      </w:r>
      <w:r w:rsidRPr="0017497C">
        <w:t xml:space="preserve">14 of the </w:t>
      </w:r>
      <w:r w:rsidR="000808F9">
        <w:t xml:space="preserve">Belarusian </w:t>
      </w:r>
      <w:r w:rsidRPr="0017497C">
        <w:t xml:space="preserve">Anti-Extremism Act of 4 January 2007 and its implementing regulations of 28 July 2008 provide for the seizure of informational materials that may incite or promote extremism. This broad, indefinite term lends itself to its use in Belarus to arbitrarily restrict access to information, the dissemination of ideas and freedom of expression. This is accomplished by means of the widespread practice of confiscating information of any type with the excuse of </w:t>
      </w:r>
      <w:r>
        <w:t>“</w:t>
      </w:r>
      <w:r w:rsidRPr="0017497C">
        <w:t>examining it more closely</w:t>
      </w:r>
      <w:r>
        <w:t>”</w:t>
      </w:r>
      <w:r w:rsidRPr="0017497C">
        <w:t>. This was what was done in th</w:t>
      </w:r>
      <w:r w:rsidR="000808F9">
        <w:t>e present</w:t>
      </w:r>
      <w:r w:rsidRPr="0017497C">
        <w:t xml:space="preserve"> case to restrict the author</w:t>
      </w:r>
      <w:r>
        <w:t>’</w:t>
      </w:r>
      <w:r w:rsidRPr="0017497C">
        <w:t xml:space="preserve">s enjoyment of the right set forth </w:t>
      </w:r>
      <w:r w:rsidR="000808F9">
        <w:t>in</w:t>
      </w:r>
      <w:r w:rsidRPr="0017497C">
        <w:t xml:space="preserve"> </w:t>
      </w:r>
      <w:r w:rsidR="00C4281D">
        <w:t>article </w:t>
      </w:r>
      <w:r w:rsidRPr="0017497C">
        <w:t xml:space="preserve">19, </w:t>
      </w:r>
      <w:r w:rsidR="00C4281D">
        <w:t>paragraph </w:t>
      </w:r>
      <w:r w:rsidRPr="0017497C">
        <w:t>2</w:t>
      </w:r>
      <w:r w:rsidR="000808F9">
        <w:t>, of the Covenant</w:t>
      </w:r>
      <w:r w:rsidRPr="0017497C">
        <w:t xml:space="preserve">. Because we are dealing with a specific case in which that law was applied, rather than engaging in a general discussion concerning its existence and enforcement in the abstract, the Committee should have found a violation of </w:t>
      </w:r>
      <w:r w:rsidR="00C4281D">
        <w:t>article </w:t>
      </w:r>
      <w:r w:rsidRPr="0017497C">
        <w:t xml:space="preserve">2, </w:t>
      </w:r>
      <w:r w:rsidR="00C4281D">
        <w:t>paragraph </w:t>
      </w:r>
      <w:r w:rsidRPr="0017497C">
        <w:t xml:space="preserve">2, read in conjunction with </w:t>
      </w:r>
      <w:r w:rsidR="00C4281D">
        <w:t>article </w:t>
      </w:r>
      <w:r w:rsidRPr="0017497C">
        <w:t xml:space="preserve">19, </w:t>
      </w:r>
      <w:r w:rsidR="00C4281D">
        <w:t>paragraph </w:t>
      </w:r>
      <w:r w:rsidRPr="0017497C">
        <w:t>2.</w:t>
      </w:r>
      <w:r w:rsidRPr="00F6539F">
        <w:rPr>
          <w:rStyle w:val="FootnoteReference"/>
        </w:rPr>
        <w:footnoteReference w:id="12"/>
      </w:r>
    </w:p>
    <w:p w:rsidR="001560FE" w:rsidRDefault="001560FE" w:rsidP="001560FE">
      <w:pPr>
        <w:pStyle w:val="SingleTxtG"/>
      </w:pPr>
      <w:r w:rsidRPr="0017497C">
        <w:t>2.</w:t>
      </w:r>
      <w:r w:rsidRPr="0017497C">
        <w:tab/>
        <w:t xml:space="preserve">In the present case, both the existence and the direct application of that national law in a specific instance are sufficient reason for the Committee to have modified its restrictive practice of refraining from finding a violation of </w:t>
      </w:r>
      <w:r w:rsidR="00C4281D">
        <w:t>article </w:t>
      </w:r>
      <w:r w:rsidRPr="0017497C">
        <w:t xml:space="preserve">2, </w:t>
      </w:r>
      <w:r w:rsidR="00C4281D">
        <w:t>paragraph </w:t>
      </w:r>
      <w:r w:rsidRPr="0017497C">
        <w:t xml:space="preserve">2, read in conjunction with another substantive article. In the present case, the author invoked this violation and demonstrated that the application of the law had violated his rights under </w:t>
      </w:r>
      <w:r w:rsidR="00C4281D">
        <w:t>article </w:t>
      </w:r>
      <w:r w:rsidRPr="0017497C">
        <w:t xml:space="preserve">19, </w:t>
      </w:r>
      <w:r w:rsidR="00C4281D">
        <w:t>paragraph </w:t>
      </w:r>
      <w:r w:rsidRPr="0017497C">
        <w:t xml:space="preserve">2. </w:t>
      </w:r>
    </w:p>
    <w:p w:rsidR="001560FE" w:rsidRPr="001560FE" w:rsidRDefault="001560FE" w:rsidP="001560FE">
      <w:pPr>
        <w:spacing w:before="240"/>
        <w:jc w:val="center"/>
        <w:rPr>
          <w:u w:val="single"/>
        </w:rPr>
      </w:pPr>
      <w:r>
        <w:rPr>
          <w:u w:val="single"/>
        </w:rPr>
        <w:tab/>
      </w:r>
      <w:r>
        <w:rPr>
          <w:u w:val="single"/>
        </w:rPr>
        <w:tab/>
      </w:r>
      <w:r>
        <w:rPr>
          <w:u w:val="single"/>
        </w:rPr>
        <w:tab/>
      </w:r>
    </w:p>
    <w:sectPr w:rsidR="001560FE" w:rsidRPr="001560FE" w:rsidSect="001560FE">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D1" w:rsidRDefault="00401DD1"/>
  </w:endnote>
  <w:endnote w:type="continuationSeparator" w:id="0">
    <w:p w:rsidR="00401DD1" w:rsidRDefault="00401DD1"/>
  </w:endnote>
  <w:endnote w:type="continuationNotice" w:id="1">
    <w:p w:rsidR="00401DD1" w:rsidRDefault="00401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D0" w:rsidRPr="003973D0" w:rsidRDefault="003973D0" w:rsidP="003973D0">
    <w:pPr>
      <w:pStyle w:val="Footer"/>
      <w:tabs>
        <w:tab w:val="right" w:pos="9638"/>
      </w:tabs>
    </w:pPr>
    <w:r w:rsidRPr="003973D0">
      <w:rPr>
        <w:b/>
        <w:sz w:val="18"/>
      </w:rPr>
      <w:fldChar w:fldCharType="begin"/>
    </w:r>
    <w:r w:rsidRPr="003973D0">
      <w:rPr>
        <w:b/>
        <w:sz w:val="18"/>
      </w:rPr>
      <w:instrText xml:space="preserve"> PAGE  \* MERGEFORMAT </w:instrText>
    </w:r>
    <w:r w:rsidRPr="003973D0">
      <w:rPr>
        <w:b/>
        <w:sz w:val="18"/>
      </w:rPr>
      <w:fldChar w:fldCharType="separate"/>
    </w:r>
    <w:r w:rsidR="006A47FA">
      <w:rPr>
        <w:b/>
        <w:noProof/>
        <w:sz w:val="18"/>
      </w:rPr>
      <w:t>2</w:t>
    </w:r>
    <w:r w:rsidRPr="003973D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D0" w:rsidRPr="003973D0" w:rsidRDefault="003973D0" w:rsidP="003973D0">
    <w:pPr>
      <w:pStyle w:val="Footer"/>
      <w:tabs>
        <w:tab w:val="right" w:pos="9638"/>
      </w:tabs>
      <w:rPr>
        <w:b/>
        <w:sz w:val="18"/>
      </w:rPr>
    </w:pPr>
    <w:r>
      <w:rPr>
        <w:sz w:val="20"/>
      </w:rPr>
      <w:tab/>
    </w:r>
    <w:r w:rsidRPr="003973D0">
      <w:rPr>
        <w:b/>
        <w:sz w:val="18"/>
      </w:rPr>
      <w:fldChar w:fldCharType="begin"/>
    </w:r>
    <w:r w:rsidRPr="003973D0">
      <w:rPr>
        <w:b/>
        <w:sz w:val="18"/>
      </w:rPr>
      <w:instrText xml:space="preserve"> PAGE  \* MERGEFORMAT </w:instrText>
    </w:r>
    <w:r w:rsidRPr="003973D0">
      <w:rPr>
        <w:b/>
        <w:sz w:val="18"/>
      </w:rPr>
      <w:fldChar w:fldCharType="separate"/>
    </w:r>
    <w:r w:rsidR="006A47FA">
      <w:rPr>
        <w:b/>
        <w:noProof/>
        <w:sz w:val="18"/>
      </w:rPr>
      <w:t>3</w:t>
    </w:r>
    <w:r w:rsidRPr="003973D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Default="00401DD1" w:rsidP="002579A3">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3973D0">
      <w:t>GE.1</w:t>
    </w:r>
    <w:r w:rsidR="00F12637">
      <w:t>5</w:t>
    </w:r>
    <w:r w:rsidR="003973D0">
      <w:t>-</w:t>
    </w:r>
    <w:r w:rsidR="00624934">
      <w:t>00590</w:t>
    </w:r>
    <w:r w:rsidR="002579A3">
      <w:t xml:space="preserve">  (E)</w:t>
    </w:r>
    <w:r w:rsidR="002579A3">
      <w:br/>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r w:rsidR="002579A3" w:rsidRPr="002579A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D1" w:rsidRPr="000B175B" w:rsidRDefault="00401DD1" w:rsidP="000B175B">
      <w:pPr>
        <w:tabs>
          <w:tab w:val="right" w:pos="2155"/>
        </w:tabs>
        <w:spacing w:after="80"/>
        <w:ind w:left="680"/>
        <w:rPr>
          <w:u w:val="single"/>
        </w:rPr>
      </w:pPr>
      <w:r>
        <w:rPr>
          <w:u w:val="single"/>
        </w:rPr>
        <w:tab/>
      </w:r>
    </w:p>
  </w:footnote>
  <w:footnote w:type="continuationSeparator" w:id="0">
    <w:p w:rsidR="00401DD1" w:rsidRPr="00FC68B7" w:rsidRDefault="00401DD1" w:rsidP="00FC68B7">
      <w:pPr>
        <w:tabs>
          <w:tab w:val="left" w:pos="2155"/>
        </w:tabs>
        <w:spacing w:after="80"/>
        <w:ind w:left="680"/>
        <w:rPr>
          <w:u w:val="single"/>
        </w:rPr>
      </w:pPr>
      <w:r>
        <w:rPr>
          <w:u w:val="single"/>
        </w:rPr>
        <w:tab/>
      </w:r>
    </w:p>
  </w:footnote>
  <w:footnote w:type="continuationNotice" w:id="1">
    <w:p w:rsidR="00401DD1" w:rsidRDefault="00401DD1"/>
  </w:footnote>
  <w:footnote w:id="2">
    <w:p w:rsidR="00754275" w:rsidRDefault="00754275" w:rsidP="00D16696">
      <w:pPr>
        <w:pStyle w:val="FootnoteText"/>
        <w:rPr>
          <w:bCs/>
          <w:szCs w:val="18"/>
        </w:rPr>
      </w:pPr>
      <w:r>
        <w:rPr>
          <w:rStyle w:val="FootnoteReference"/>
        </w:rPr>
        <w:tab/>
      </w:r>
      <w:r w:rsidRPr="00616E2B">
        <w:rPr>
          <w:rStyle w:val="FootnoteReference"/>
          <w:sz w:val="20"/>
          <w:vertAlign w:val="baseline"/>
        </w:rPr>
        <w:t>*</w:t>
      </w:r>
      <w:r>
        <w:rPr>
          <w:rStyle w:val="FootnoteReference"/>
          <w:sz w:val="20"/>
          <w:vertAlign w:val="baseline"/>
        </w:rP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Yadh Ben Achour,</w:t>
      </w:r>
      <w:r w:rsidRPr="009131F3">
        <w:rPr>
          <w:bCs/>
          <w:szCs w:val="18"/>
        </w:rPr>
        <w:t> Lazhari Bouzid, Christine Chanet, Ahmad Amin Fathalla, Cornelis Flinterman, Yuji Iwasawa,</w:t>
      </w:r>
      <w:r>
        <w:rPr>
          <w:bCs/>
          <w:szCs w:val="18"/>
        </w:rPr>
        <w:t> Walter K</w:t>
      </w:r>
      <w:r w:rsidR="00D16696">
        <w:rPr>
          <w:bCs/>
          <w:szCs w:val="18"/>
        </w:rPr>
        <w:t>ä</w:t>
      </w:r>
      <w:r>
        <w:rPr>
          <w:bCs/>
          <w:szCs w:val="18"/>
        </w:rPr>
        <w:t xml:space="preserve">lin, </w:t>
      </w:r>
      <w:r w:rsidRPr="009131F3">
        <w:rPr>
          <w:bCs/>
          <w:szCs w:val="18"/>
        </w:rPr>
        <w:t>Zonke Zanele Majodina,</w:t>
      </w:r>
      <w:r>
        <w:rPr>
          <w:bCs/>
          <w:szCs w:val="18"/>
        </w:rPr>
        <w:t xml:space="preserve"> </w:t>
      </w:r>
      <w:r w:rsidR="00D16696">
        <w:rPr>
          <w:bCs/>
          <w:szCs w:val="18"/>
        </w:rPr>
        <w:t xml:space="preserve">Sir </w:t>
      </w:r>
      <w:r w:rsidRPr="009131F3">
        <w:rPr>
          <w:bCs/>
          <w:szCs w:val="18"/>
        </w:rPr>
        <w:t xml:space="preserve">Nigel Rodley, </w:t>
      </w:r>
      <w:r>
        <w:rPr>
          <w:bCs/>
          <w:szCs w:val="18"/>
        </w:rPr>
        <w:t>Victor</w:t>
      </w:r>
      <w:r w:rsidR="00167FCE">
        <w:rPr>
          <w:bCs/>
          <w:szCs w:val="18"/>
        </w:rPr>
        <w:t> </w:t>
      </w:r>
      <w:r>
        <w:rPr>
          <w:bCs/>
          <w:szCs w:val="18"/>
        </w:rPr>
        <w:t xml:space="preserve">Manuel Rodríguez-Rescia, </w:t>
      </w:r>
      <w:r w:rsidRPr="009131F3">
        <w:rPr>
          <w:bCs/>
          <w:szCs w:val="18"/>
        </w:rPr>
        <w:t>Fabi</w:t>
      </w:r>
      <w:r w:rsidR="00D16696">
        <w:rPr>
          <w:bCs/>
          <w:szCs w:val="18"/>
        </w:rPr>
        <w:t>á</w:t>
      </w:r>
      <w:r w:rsidRPr="009131F3">
        <w:rPr>
          <w:bCs/>
          <w:szCs w:val="18"/>
        </w:rPr>
        <w:t>n Omar Salvioli,</w:t>
      </w:r>
      <w:r>
        <w:rPr>
          <w:bCs/>
          <w:szCs w:val="18"/>
        </w:rPr>
        <w:t xml:space="preserve"> Anja Seibert-Fohr, Yuval Shany, Konstantine Vardzelashvili, Margo Waterval and </w:t>
      </w:r>
      <w:r w:rsidRPr="00E065A0">
        <w:rPr>
          <w:bCs/>
          <w:szCs w:val="18"/>
        </w:rPr>
        <w:t>Andrei Paul Zlatescu</w:t>
      </w:r>
      <w:r>
        <w:rPr>
          <w:bCs/>
          <w:szCs w:val="18"/>
        </w:rPr>
        <w:t>.</w:t>
      </w:r>
    </w:p>
    <w:p w:rsidR="00A016F7" w:rsidRPr="001E2234" w:rsidRDefault="00A016F7" w:rsidP="001E2234">
      <w:pPr>
        <w:pStyle w:val="FootnoteText"/>
      </w:pPr>
      <w:r>
        <w:rPr>
          <w:bCs/>
          <w:szCs w:val="18"/>
        </w:rPr>
        <w:tab/>
      </w:r>
      <w:r>
        <w:rPr>
          <w:bCs/>
          <w:szCs w:val="18"/>
        </w:rPr>
        <w:tab/>
      </w:r>
      <w:r w:rsidR="00D16696">
        <w:rPr>
          <w:bCs/>
          <w:szCs w:val="18"/>
        </w:rPr>
        <w:t>I</w:t>
      </w:r>
      <w:r w:rsidRPr="00616E2B">
        <w:t>ndividual opinion</w:t>
      </w:r>
      <w:r w:rsidR="00D16696">
        <w:t>s</w:t>
      </w:r>
      <w:r w:rsidRPr="00616E2B">
        <w:t xml:space="preserve"> by Committee member</w:t>
      </w:r>
      <w:r w:rsidR="00D16696">
        <w:t>s</w:t>
      </w:r>
      <w:r w:rsidRPr="00616E2B">
        <w:t xml:space="preserve"> </w:t>
      </w:r>
      <w:r>
        <w:t xml:space="preserve">Gerald L. Neuman </w:t>
      </w:r>
      <w:r w:rsidR="00CD233D">
        <w:t>and</w:t>
      </w:r>
      <w:r w:rsidRPr="00616E2B">
        <w:t xml:space="preserve"> </w:t>
      </w:r>
      <w:r w:rsidRPr="0017497C">
        <w:t>Victor Manuel Rodríguez-Rescia</w:t>
      </w:r>
      <w:r>
        <w:t xml:space="preserve"> (concurring)</w:t>
      </w:r>
      <w:r w:rsidRPr="00616E2B">
        <w:t xml:space="preserve"> </w:t>
      </w:r>
      <w:r w:rsidR="00CD233D" w:rsidRPr="00616E2B">
        <w:t>are</w:t>
      </w:r>
      <w:r w:rsidRPr="00616E2B">
        <w:t xml:space="preserve"> appended to the present Views.</w:t>
      </w:r>
      <w:r w:rsidR="00CD233D" w:rsidRPr="00616E2B">
        <w:t xml:space="preserve"> </w:t>
      </w:r>
    </w:p>
  </w:footnote>
  <w:footnote w:id="3">
    <w:p w:rsidR="004B204D" w:rsidRDefault="00712675" w:rsidP="001E2234">
      <w:pPr>
        <w:pStyle w:val="FootnoteText"/>
        <w:ind w:hanging="141"/>
        <w:rPr>
          <w:sz w:val="20"/>
        </w:rPr>
      </w:pPr>
      <w:r>
        <w:tab/>
      </w:r>
      <w:r w:rsidR="004B204D">
        <w:rPr>
          <w:rStyle w:val="FootnoteReference"/>
        </w:rPr>
        <w:footnoteRef/>
      </w:r>
      <w:r>
        <w:tab/>
      </w:r>
      <w:r w:rsidR="004B204D">
        <w:t>The author referred to Communication</w:t>
      </w:r>
      <w:r w:rsidR="00C4281D">
        <w:t xml:space="preserve"> No. </w:t>
      </w:r>
      <w:r w:rsidR="004B204D">
        <w:t xml:space="preserve">628/1995, </w:t>
      </w:r>
      <w:r w:rsidR="00D3584F">
        <w:rPr>
          <w:i/>
        </w:rPr>
        <w:t xml:space="preserve">Park </w:t>
      </w:r>
      <w:r w:rsidR="00D3584F" w:rsidRPr="00AB00C3">
        <w:rPr>
          <w:iCs/>
        </w:rPr>
        <w:t>v.</w:t>
      </w:r>
      <w:r w:rsidR="00D3584F">
        <w:rPr>
          <w:i/>
        </w:rPr>
        <w:t xml:space="preserve"> Republic of South Korea</w:t>
      </w:r>
      <w:r w:rsidR="00D3584F">
        <w:t xml:space="preserve">, </w:t>
      </w:r>
      <w:r w:rsidR="004B204D">
        <w:t xml:space="preserve">Views </w:t>
      </w:r>
      <w:r w:rsidR="00D3584F">
        <w:t>adopted on</w:t>
      </w:r>
      <w:r w:rsidR="004B204D">
        <w:t xml:space="preserve"> 20 October 1998, in which the Committee found it incompatible with the Covenant that the State party had given priority to the application of its national law over its obligations under the Covenant. </w:t>
      </w:r>
    </w:p>
  </w:footnote>
  <w:footnote w:id="4">
    <w:p w:rsidR="003973D0" w:rsidRPr="007B3302" w:rsidRDefault="003973D0" w:rsidP="003973D0">
      <w:pPr>
        <w:pStyle w:val="FootnoteText"/>
      </w:pPr>
      <w:r w:rsidRPr="007B3302">
        <w:tab/>
      </w:r>
      <w:r w:rsidRPr="00B33ABD">
        <w:rPr>
          <w:rStyle w:val="FootnoteReference"/>
        </w:rPr>
        <w:footnoteRef/>
      </w:r>
      <w:r w:rsidR="00712675">
        <w:tab/>
      </w:r>
      <w:r w:rsidRPr="007B3302">
        <w:t>See, inter alia, communication</w:t>
      </w:r>
      <w:r w:rsidR="00C4281D">
        <w:t xml:space="preserve"> No. </w:t>
      </w:r>
      <w:r w:rsidRPr="007B3302">
        <w:t xml:space="preserve">869/1999, </w:t>
      </w:r>
      <w:r w:rsidRPr="00E51E81">
        <w:rPr>
          <w:i/>
        </w:rPr>
        <w:t xml:space="preserve">Piandiong et al. </w:t>
      </w:r>
      <w:r w:rsidRPr="00616E2B">
        <w:rPr>
          <w:iCs/>
        </w:rPr>
        <w:t>v.</w:t>
      </w:r>
      <w:r w:rsidRPr="00E51E81">
        <w:rPr>
          <w:i/>
        </w:rPr>
        <w:t xml:space="preserve"> the Philippines</w:t>
      </w:r>
      <w:r w:rsidRPr="007B3302">
        <w:t>, Views adopted on 19 October 2000,</w:t>
      </w:r>
      <w:r w:rsidR="00C4281D">
        <w:t xml:space="preserve"> para. </w:t>
      </w:r>
      <w:r w:rsidRPr="007B3302">
        <w:t xml:space="preserve">5.1. </w:t>
      </w:r>
    </w:p>
  </w:footnote>
  <w:footnote w:id="5">
    <w:p w:rsidR="003973D0" w:rsidRPr="007B3302" w:rsidRDefault="003973D0" w:rsidP="003973D0">
      <w:pPr>
        <w:pStyle w:val="FootnoteText"/>
      </w:pPr>
      <w:r w:rsidRPr="007B3302">
        <w:tab/>
      </w:r>
      <w:r w:rsidRPr="00B33ABD">
        <w:rPr>
          <w:rStyle w:val="FootnoteReference"/>
        </w:rPr>
        <w:footnoteRef/>
      </w:r>
      <w:r w:rsidR="00712675">
        <w:tab/>
      </w:r>
      <w:r w:rsidRPr="007B3302">
        <w:t>See</w:t>
      </w:r>
      <w:r>
        <w:t xml:space="preserve">, inter alia, </w:t>
      </w:r>
      <w:r w:rsidRPr="007B3302">
        <w:t>communication</w:t>
      </w:r>
      <w:r w:rsidR="00C4281D">
        <w:t xml:space="preserve"> No. </w:t>
      </w:r>
      <w:r w:rsidRPr="007B3302">
        <w:t xml:space="preserve">1226/2003, </w:t>
      </w:r>
      <w:r w:rsidRPr="00E51E81">
        <w:rPr>
          <w:i/>
        </w:rPr>
        <w:t xml:space="preserve">Korneenko </w:t>
      </w:r>
      <w:r w:rsidRPr="00616E2B">
        <w:rPr>
          <w:iCs/>
        </w:rPr>
        <w:t>v.</w:t>
      </w:r>
      <w:r w:rsidRPr="00E51E81">
        <w:rPr>
          <w:i/>
        </w:rPr>
        <w:t xml:space="preserve"> Belarus</w:t>
      </w:r>
      <w:r w:rsidRPr="007B3302">
        <w:t>, Views adopted on 20 July 2012, para</w:t>
      </w:r>
      <w:r w:rsidR="00E71D2C">
        <w:t>s. </w:t>
      </w:r>
      <w:r w:rsidRPr="007B3302">
        <w:t xml:space="preserve">8.1 and 8.2; </w:t>
      </w:r>
      <w:r w:rsidR="004854C6">
        <w:t xml:space="preserve">and </w:t>
      </w:r>
      <w:r w:rsidRPr="007B3302">
        <w:t>communication</w:t>
      </w:r>
      <w:r w:rsidR="00C4281D">
        <w:t xml:space="preserve"> No. </w:t>
      </w:r>
      <w:r w:rsidRPr="007B3302">
        <w:t xml:space="preserve">1948/2010, </w:t>
      </w:r>
      <w:r w:rsidRPr="00E51E81">
        <w:rPr>
          <w:i/>
        </w:rPr>
        <w:t xml:space="preserve">Turchenyak et al </w:t>
      </w:r>
      <w:r w:rsidRPr="00616E2B">
        <w:rPr>
          <w:iCs/>
        </w:rPr>
        <w:t>v.</w:t>
      </w:r>
      <w:r w:rsidRPr="00E51E81">
        <w:rPr>
          <w:i/>
        </w:rPr>
        <w:t xml:space="preserve"> Belarus</w:t>
      </w:r>
      <w:r w:rsidRPr="007B3302">
        <w:t xml:space="preserve">, Views </w:t>
      </w:r>
      <w:r w:rsidR="00E71D2C">
        <w:t>adopted on 24 July 2013, paras. </w:t>
      </w:r>
      <w:r w:rsidRPr="007B3302">
        <w:t>5.1 and 5.2.</w:t>
      </w:r>
    </w:p>
  </w:footnote>
  <w:footnote w:id="6">
    <w:p w:rsidR="00DB1573" w:rsidRPr="00B6380E" w:rsidRDefault="00DB1573" w:rsidP="00757871">
      <w:pPr>
        <w:pStyle w:val="FootnoteText"/>
        <w:rPr>
          <w:szCs w:val="18"/>
        </w:rPr>
      </w:pPr>
      <w:r>
        <w:rPr>
          <w:szCs w:val="18"/>
        </w:rPr>
        <w:tab/>
      </w:r>
      <w:r w:rsidRPr="00B6380E">
        <w:rPr>
          <w:rStyle w:val="FootnoteReference"/>
          <w:szCs w:val="18"/>
        </w:rPr>
        <w:footnoteRef/>
      </w:r>
      <w:r>
        <w:rPr>
          <w:szCs w:val="18"/>
        </w:rPr>
        <w:tab/>
      </w:r>
      <w:r w:rsidRPr="000330D1">
        <w:rPr>
          <w:szCs w:val="18"/>
        </w:rPr>
        <w:t>Communication</w:t>
      </w:r>
      <w:r w:rsidR="00C4281D">
        <w:rPr>
          <w:szCs w:val="18"/>
        </w:rPr>
        <w:t xml:space="preserve"> No. </w:t>
      </w:r>
      <w:r w:rsidRPr="000330D1">
        <w:rPr>
          <w:szCs w:val="18"/>
        </w:rPr>
        <w:t xml:space="preserve">1873/2009, </w:t>
      </w:r>
      <w:r w:rsidRPr="000330D1">
        <w:rPr>
          <w:i/>
          <w:szCs w:val="18"/>
        </w:rPr>
        <w:t xml:space="preserve">Alekseev </w:t>
      </w:r>
      <w:r w:rsidRPr="00616E2B">
        <w:rPr>
          <w:iCs/>
          <w:szCs w:val="18"/>
        </w:rPr>
        <w:t>v.</w:t>
      </w:r>
      <w:r w:rsidRPr="000330D1">
        <w:rPr>
          <w:i/>
          <w:szCs w:val="18"/>
        </w:rPr>
        <w:t xml:space="preserve"> the Russian Federation</w:t>
      </w:r>
      <w:r w:rsidRPr="000330D1">
        <w:rPr>
          <w:szCs w:val="18"/>
        </w:rPr>
        <w:t>, Views adop</w:t>
      </w:r>
      <w:r w:rsidR="00C4281D">
        <w:rPr>
          <w:szCs w:val="18"/>
        </w:rPr>
        <w:t>ted on 25 October 2013, para. </w:t>
      </w:r>
      <w:r w:rsidRPr="000330D1">
        <w:rPr>
          <w:szCs w:val="18"/>
        </w:rPr>
        <w:t>8.4</w:t>
      </w:r>
      <w:r>
        <w:rPr>
          <w:szCs w:val="18"/>
        </w:rPr>
        <w:t>.</w:t>
      </w:r>
      <w:r w:rsidRPr="00B6380E">
        <w:rPr>
          <w:szCs w:val="18"/>
        </w:rPr>
        <w:t xml:space="preserve"> </w:t>
      </w:r>
    </w:p>
  </w:footnote>
  <w:footnote w:id="7">
    <w:p w:rsidR="00712675" w:rsidRDefault="00712675" w:rsidP="00616E2B">
      <w:pPr>
        <w:pStyle w:val="FootnoteText"/>
        <w:ind w:hanging="141"/>
      </w:pPr>
      <w:r>
        <w:tab/>
      </w:r>
      <w:r w:rsidR="0003453C" w:rsidRPr="00E24A72">
        <w:rPr>
          <w:vertAlign w:val="superscript"/>
        </w:rPr>
        <w:footnoteRef/>
      </w:r>
      <w:r>
        <w:tab/>
      </w:r>
      <w:r w:rsidR="0003453C" w:rsidRPr="00E24A72">
        <w:t>See communications</w:t>
      </w:r>
      <w:r w:rsidR="00C4281D">
        <w:t xml:space="preserve"> No. </w:t>
      </w:r>
      <w:r w:rsidR="0003453C" w:rsidRPr="00E24A72">
        <w:t xml:space="preserve">2202/2012, </w:t>
      </w:r>
      <w:r w:rsidR="0003453C" w:rsidRPr="000371BD">
        <w:rPr>
          <w:i/>
        </w:rPr>
        <w:t xml:space="preserve">Castañeda </w:t>
      </w:r>
      <w:r w:rsidR="0003453C" w:rsidRPr="00616E2B">
        <w:rPr>
          <w:iCs/>
        </w:rPr>
        <w:t>v.</w:t>
      </w:r>
      <w:r w:rsidR="0003453C" w:rsidRPr="000371BD">
        <w:rPr>
          <w:i/>
        </w:rPr>
        <w:t xml:space="preserve"> Mexico</w:t>
      </w:r>
      <w:r w:rsidR="0003453C" w:rsidRPr="00E24A72">
        <w:t>, decision adopted on 29 August 2013,</w:t>
      </w:r>
      <w:r w:rsidR="00C4281D">
        <w:t xml:space="preserve"> para. </w:t>
      </w:r>
      <w:r w:rsidR="0003453C" w:rsidRPr="00E24A72">
        <w:t>6.8</w:t>
      </w:r>
      <w:r w:rsidR="004854C6">
        <w:t>;</w:t>
      </w:r>
      <w:r w:rsidR="00C4281D">
        <w:t xml:space="preserve"> No. </w:t>
      </w:r>
      <w:r w:rsidR="0003453C" w:rsidRPr="00E24A72">
        <w:t xml:space="preserve">1834/2008, </w:t>
      </w:r>
      <w:r w:rsidR="0003453C" w:rsidRPr="000371BD">
        <w:rPr>
          <w:i/>
        </w:rPr>
        <w:t xml:space="preserve">A.P. </w:t>
      </w:r>
      <w:r w:rsidR="0003453C" w:rsidRPr="00616E2B">
        <w:rPr>
          <w:iCs/>
        </w:rPr>
        <w:t>v.</w:t>
      </w:r>
      <w:r w:rsidR="0003453C" w:rsidRPr="000371BD">
        <w:rPr>
          <w:i/>
        </w:rPr>
        <w:t xml:space="preserve"> Ukraine</w:t>
      </w:r>
      <w:r w:rsidR="0003453C" w:rsidRPr="00E24A72">
        <w:t>, decision adopted on 23 July 2012,</w:t>
      </w:r>
      <w:r w:rsidR="00C4281D">
        <w:t xml:space="preserve"> para. </w:t>
      </w:r>
      <w:r w:rsidR="0003453C" w:rsidRPr="00E24A72">
        <w:t>8.5</w:t>
      </w:r>
      <w:r w:rsidR="004854C6">
        <w:t>;</w:t>
      </w:r>
      <w:r w:rsidR="0003453C" w:rsidRPr="00E24A72">
        <w:t xml:space="preserve"> </w:t>
      </w:r>
      <w:r w:rsidR="00C4281D">
        <w:t>No. </w:t>
      </w:r>
      <w:r w:rsidR="0003453C" w:rsidRPr="00E24A72">
        <w:t xml:space="preserve">1887/2009, </w:t>
      </w:r>
      <w:r w:rsidR="0003453C" w:rsidRPr="000371BD">
        <w:rPr>
          <w:i/>
        </w:rPr>
        <w:t xml:space="preserve">Juan Peirano Basso </w:t>
      </w:r>
      <w:r w:rsidR="0003453C" w:rsidRPr="00616E2B">
        <w:rPr>
          <w:iCs/>
        </w:rPr>
        <w:t>v.</w:t>
      </w:r>
      <w:r w:rsidR="0003453C" w:rsidRPr="000371BD">
        <w:rPr>
          <w:i/>
        </w:rPr>
        <w:t xml:space="preserve"> Uruguay</w:t>
      </w:r>
      <w:r w:rsidR="0003453C" w:rsidRPr="00E24A72">
        <w:t>, Views adopted on 19 October 2010,</w:t>
      </w:r>
      <w:r w:rsidR="00C4281D">
        <w:t xml:space="preserve"> para. </w:t>
      </w:r>
      <w:r w:rsidR="0003453C" w:rsidRPr="00E24A72">
        <w:t>9.4</w:t>
      </w:r>
      <w:r w:rsidR="004854C6">
        <w:t xml:space="preserve">; </w:t>
      </w:r>
      <w:r>
        <w:t xml:space="preserve">also </w:t>
      </w:r>
      <w:r w:rsidR="00C4281D">
        <w:t xml:space="preserve"> No. </w:t>
      </w:r>
      <w:r>
        <w:t xml:space="preserve">2030/2011, </w:t>
      </w:r>
      <w:r w:rsidRPr="007E5799">
        <w:rPr>
          <w:i/>
        </w:rPr>
        <w:t xml:space="preserve">Poliakov </w:t>
      </w:r>
      <w:r w:rsidRPr="00616E2B">
        <w:rPr>
          <w:iCs/>
        </w:rPr>
        <w:t>v.</w:t>
      </w:r>
      <w:r w:rsidRPr="007E5799">
        <w:rPr>
          <w:i/>
        </w:rPr>
        <w:t xml:space="preserve"> Belarus</w:t>
      </w:r>
      <w:r>
        <w:t>, Views adopted on 17 July 2014,</w:t>
      </w:r>
      <w:r w:rsidR="00C4281D">
        <w:t xml:space="preserve"> para. </w:t>
      </w:r>
      <w:r>
        <w:t>7.4.</w:t>
      </w:r>
    </w:p>
  </w:footnote>
  <w:footnote w:id="8">
    <w:p w:rsidR="003973D0" w:rsidRPr="007B3302" w:rsidRDefault="003973D0" w:rsidP="00616E2B">
      <w:pPr>
        <w:pStyle w:val="FootnoteText"/>
      </w:pPr>
      <w:r w:rsidRPr="007B3302">
        <w:tab/>
      </w:r>
      <w:r w:rsidRPr="00B01D34">
        <w:rPr>
          <w:rStyle w:val="FootnoteReference"/>
        </w:rPr>
        <w:footnoteRef/>
      </w:r>
      <w:r w:rsidRPr="007B3302">
        <w:tab/>
        <w:t>See</w:t>
      </w:r>
      <w:r w:rsidR="004854C6">
        <w:t>,</w:t>
      </w:r>
      <w:r w:rsidRPr="007B3302">
        <w:t xml:space="preserve"> for example, communication</w:t>
      </w:r>
      <w:r w:rsidR="00C4281D">
        <w:t xml:space="preserve"> No. </w:t>
      </w:r>
      <w:r w:rsidRPr="007B3302">
        <w:t xml:space="preserve">1948/2010, </w:t>
      </w:r>
      <w:r w:rsidRPr="00B918B0">
        <w:rPr>
          <w:i/>
        </w:rPr>
        <w:t xml:space="preserve">Turchenyak et al. </w:t>
      </w:r>
      <w:r w:rsidRPr="00616E2B">
        <w:rPr>
          <w:iCs/>
        </w:rPr>
        <w:t>v.</w:t>
      </w:r>
      <w:r w:rsidRPr="00B918B0">
        <w:rPr>
          <w:i/>
        </w:rPr>
        <w:t xml:space="preserve"> Belarus</w:t>
      </w:r>
      <w:r w:rsidRPr="007B3302">
        <w:t>, Views adopted on 24 July 2013,</w:t>
      </w:r>
      <w:r w:rsidR="00C4281D">
        <w:t xml:space="preserve"> para. </w:t>
      </w:r>
      <w:r w:rsidRPr="007B3302">
        <w:t>7.7.</w:t>
      </w:r>
    </w:p>
  </w:footnote>
  <w:footnote w:id="9">
    <w:p w:rsidR="003973D0" w:rsidRPr="007B3302" w:rsidRDefault="003973D0" w:rsidP="00653C09">
      <w:pPr>
        <w:pStyle w:val="FootnoteText"/>
      </w:pPr>
      <w:r w:rsidRPr="007B3302">
        <w:tab/>
      </w:r>
      <w:r w:rsidRPr="00A50676">
        <w:rPr>
          <w:rStyle w:val="FootnoteReference"/>
        </w:rPr>
        <w:footnoteRef/>
      </w:r>
      <w:r w:rsidRPr="007B3302">
        <w:tab/>
      </w:r>
      <w:r w:rsidR="00055550">
        <w:t>Ibid.</w:t>
      </w:r>
      <w:r w:rsidRPr="007B3302">
        <w:t>,</w:t>
      </w:r>
      <w:r w:rsidR="00C4281D">
        <w:t xml:space="preserve"> para. </w:t>
      </w:r>
      <w:r w:rsidRPr="007B3302">
        <w:t>7.8.</w:t>
      </w:r>
    </w:p>
  </w:footnote>
  <w:footnote w:id="10">
    <w:p w:rsidR="001560FE" w:rsidRDefault="001560FE" w:rsidP="001560FE">
      <w:pPr>
        <w:pStyle w:val="FootnoteText"/>
      </w:pPr>
      <w:r>
        <w:tab/>
      </w:r>
      <w:r>
        <w:rPr>
          <w:rStyle w:val="FootnoteReference"/>
        </w:rPr>
        <w:footnoteRef/>
      </w:r>
      <w:r>
        <w:tab/>
        <w:t>See communication</w:t>
      </w:r>
      <w:r w:rsidR="00C4281D">
        <w:t xml:space="preserve"> No. </w:t>
      </w:r>
      <w:r>
        <w:t xml:space="preserve">2030/2011, </w:t>
      </w:r>
      <w:r>
        <w:rPr>
          <w:i/>
        </w:rPr>
        <w:t xml:space="preserve">Poliakov </w:t>
      </w:r>
      <w:r w:rsidRPr="00616E2B">
        <w:rPr>
          <w:iCs/>
        </w:rPr>
        <w:t>v.</w:t>
      </w:r>
      <w:r>
        <w:rPr>
          <w:i/>
        </w:rPr>
        <w:t xml:space="preserve"> Belarus</w:t>
      </w:r>
      <w:r>
        <w:t>, Views adopt</w:t>
      </w:r>
      <w:r w:rsidR="00C4281D">
        <w:t xml:space="preserve">ed on 17 July 2014, para. 7.4. </w:t>
      </w:r>
      <w:r>
        <w:t>This formulation may also be referred to as “Poliakov 2030,” to distinguish it from the reasoning on admissibility in another case involving the same author, communication</w:t>
      </w:r>
      <w:r w:rsidR="00C4281D">
        <w:t xml:space="preserve"> No. </w:t>
      </w:r>
      <w:r>
        <w:t xml:space="preserve">2103/2011, </w:t>
      </w:r>
      <w:r w:rsidR="00C4281D">
        <w:rPr>
          <w:i/>
        </w:rPr>
        <w:t xml:space="preserve">Poliakov </w:t>
      </w:r>
      <w:r w:rsidR="00C4281D" w:rsidRPr="00616E2B">
        <w:rPr>
          <w:iCs/>
        </w:rPr>
        <w:t>v.</w:t>
      </w:r>
      <w:r w:rsidR="00C4281D">
        <w:rPr>
          <w:i/>
        </w:rPr>
        <w:t> </w:t>
      </w:r>
      <w:r>
        <w:rPr>
          <w:i/>
        </w:rPr>
        <w:t>Belarus</w:t>
      </w:r>
      <w:r>
        <w:t xml:space="preserve">, Views </w:t>
      </w:r>
      <w:r w:rsidRPr="001560FE">
        <w:t>adopted</w:t>
      </w:r>
      <w:r w:rsidR="00C4281D">
        <w:t xml:space="preserve"> on 17 July 2014, para. </w:t>
      </w:r>
      <w:r>
        <w:t>9.5.</w:t>
      </w:r>
    </w:p>
  </w:footnote>
  <w:footnote w:id="11">
    <w:p w:rsidR="001560FE" w:rsidRPr="00C57299" w:rsidRDefault="001560FE" w:rsidP="00616E2B">
      <w:pPr>
        <w:pStyle w:val="FootnoteText"/>
      </w:pPr>
      <w:r>
        <w:tab/>
      </w:r>
      <w:r>
        <w:rPr>
          <w:rStyle w:val="FootnoteReference"/>
        </w:rPr>
        <w:footnoteRef/>
      </w:r>
      <w:r>
        <w:tab/>
        <w:t>See communication</w:t>
      </w:r>
      <w:r w:rsidR="00534C6F">
        <w:t>s</w:t>
      </w:r>
      <w:r w:rsidR="00C4281D">
        <w:t xml:space="preserve"> No. </w:t>
      </w:r>
      <w:r>
        <w:t xml:space="preserve">1976/2010, </w:t>
      </w:r>
      <w:r>
        <w:rPr>
          <w:i/>
        </w:rPr>
        <w:t>Kuznetsov</w:t>
      </w:r>
      <w:r w:rsidR="0007291D">
        <w:rPr>
          <w:i/>
        </w:rPr>
        <w:t xml:space="preserve"> et al.</w:t>
      </w:r>
      <w:r>
        <w:rPr>
          <w:i/>
        </w:rPr>
        <w:t xml:space="preserve"> </w:t>
      </w:r>
      <w:r w:rsidRPr="00616E2B">
        <w:rPr>
          <w:iCs/>
        </w:rPr>
        <w:t>v.</w:t>
      </w:r>
      <w:r>
        <w:rPr>
          <w:i/>
        </w:rPr>
        <w:t xml:space="preserve"> Belarus</w:t>
      </w:r>
      <w:r>
        <w:t>, Views adopted on 24 July 2014</w:t>
      </w:r>
      <w:r w:rsidR="0007291D">
        <w:t>, appendix I,</w:t>
      </w:r>
      <w:r>
        <w:t xml:space="preserve"> </w:t>
      </w:r>
      <w:r w:rsidR="00747622">
        <w:t>joint</w:t>
      </w:r>
      <w:r w:rsidR="00534C6F">
        <w:t xml:space="preserve"> </w:t>
      </w:r>
      <w:r>
        <w:t xml:space="preserve">opinion </w:t>
      </w:r>
      <w:r>
        <w:rPr>
          <w:rFonts w:eastAsia="Calibri"/>
        </w:rPr>
        <w:t>concurring</w:t>
      </w:r>
      <w:r w:rsidR="00534C6F">
        <w:rPr>
          <w:rFonts w:eastAsia="Calibri"/>
        </w:rPr>
        <w:t xml:space="preserve"> with the Committee’s Views</w:t>
      </w:r>
      <w:r w:rsidR="004854C6">
        <w:rPr>
          <w:rFonts w:eastAsia="Calibri"/>
        </w:rPr>
        <w:t>,</w:t>
      </w:r>
      <w:r w:rsidR="0007291D">
        <w:rPr>
          <w:rFonts w:eastAsia="Calibri"/>
        </w:rPr>
        <w:t xml:space="preserve"> </w:t>
      </w:r>
      <w:r w:rsidR="004854C6">
        <w:rPr>
          <w:rFonts w:eastAsia="Calibri"/>
        </w:rPr>
        <w:t>but</w:t>
      </w:r>
      <w:r w:rsidR="0007291D">
        <w:t xml:space="preserve"> </w:t>
      </w:r>
      <w:r>
        <w:t>criticizing the Polia</w:t>
      </w:r>
      <w:r w:rsidR="00C4281D">
        <w:t xml:space="preserve">kov formula; </w:t>
      </w:r>
      <w:r w:rsidR="00534C6F">
        <w:t xml:space="preserve">and </w:t>
      </w:r>
      <w:r w:rsidR="00C4281D">
        <w:t>No. </w:t>
      </w:r>
      <w:r>
        <w:t xml:space="preserve">1874/2009, </w:t>
      </w:r>
      <w:r>
        <w:rPr>
          <w:i/>
        </w:rPr>
        <w:t xml:space="preserve">Mihoubi </w:t>
      </w:r>
      <w:r w:rsidRPr="00616E2B">
        <w:rPr>
          <w:iCs/>
        </w:rPr>
        <w:t>v.</w:t>
      </w:r>
      <w:r>
        <w:rPr>
          <w:i/>
        </w:rPr>
        <w:t xml:space="preserve"> </w:t>
      </w:r>
      <w:r w:rsidRPr="00616E2B">
        <w:rPr>
          <w:i/>
          <w:iCs/>
        </w:rPr>
        <w:t>Algeria</w:t>
      </w:r>
      <w:r>
        <w:t>, Views adopted on 18 October 2013</w:t>
      </w:r>
      <w:r w:rsidR="00534C6F">
        <w:t xml:space="preserve">, </w:t>
      </w:r>
      <w:r>
        <w:t>individual opi</w:t>
      </w:r>
      <w:r w:rsidR="00C4281D">
        <w:t xml:space="preserve">nion </w:t>
      </w:r>
      <w:r w:rsidR="000808F9">
        <w:t>of</w:t>
      </w:r>
      <w:r w:rsidR="00C4281D">
        <w:t xml:space="preserve"> </w:t>
      </w:r>
      <w:r>
        <w:t>Gerald L. Neuman</w:t>
      </w:r>
      <w:r w:rsidR="00747622">
        <w:t>,</w:t>
      </w:r>
      <w:r>
        <w:t xml:space="preserve"> concurring</w:t>
      </w:r>
      <w:r w:rsidR="00534C6F">
        <w:t xml:space="preserve"> with the Committee’s Views and </w:t>
      </w:r>
      <w:r>
        <w:t>supporting the Committee’s traditional approach.</w:t>
      </w:r>
    </w:p>
  </w:footnote>
  <w:footnote w:id="12">
    <w:p w:rsidR="001560FE" w:rsidRPr="000553FD" w:rsidRDefault="001560FE" w:rsidP="001560FE">
      <w:pPr>
        <w:pStyle w:val="FootnoteText"/>
      </w:pPr>
      <w:r>
        <w:tab/>
      </w:r>
      <w:r>
        <w:rPr>
          <w:rStyle w:val="FootnoteReference"/>
        </w:rPr>
        <w:footnoteRef/>
      </w:r>
      <w:r w:rsidR="00C4281D">
        <w:tab/>
        <w:t>See communication No. </w:t>
      </w:r>
      <w:r>
        <w:t xml:space="preserve">2030/2011, </w:t>
      </w:r>
      <w:r w:rsidRPr="00750348">
        <w:rPr>
          <w:i/>
        </w:rPr>
        <w:t>Poliakov v. Belarus</w:t>
      </w:r>
      <w:r>
        <w:t>, Views</w:t>
      </w:r>
      <w:r w:rsidR="00C4281D">
        <w:t xml:space="preserve"> adopted on 17 July 2014, para. </w:t>
      </w:r>
      <w:r>
        <w:t xml:space="preserve">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D0" w:rsidRPr="003973D0" w:rsidRDefault="003973D0" w:rsidP="003973D0">
    <w:pPr>
      <w:pStyle w:val="Header"/>
    </w:pPr>
    <w:r>
      <w:t>CCPR/C/11</w:t>
    </w:r>
    <w:r w:rsidR="0035529F">
      <w:t>2</w:t>
    </w:r>
    <w:r>
      <w:t>/D/</w:t>
    </w:r>
    <w:r w:rsidR="0035529F">
      <w:t>2114</w:t>
    </w:r>
    <w:r>
      <w:t>/201</w:t>
    </w:r>
    <w:r w:rsidR="0035529F">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D0" w:rsidRPr="003973D0" w:rsidRDefault="003973D0" w:rsidP="003973D0">
    <w:pPr>
      <w:pStyle w:val="Header"/>
      <w:jc w:val="right"/>
    </w:pPr>
    <w:r>
      <w:t>CCPR/C/11</w:t>
    </w:r>
    <w:r w:rsidR="0035529F">
      <w:t>2</w:t>
    </w:r>
    <w:r>
      <w:t>/D/</w:t>
    </w:r>
    <w:r w:rsidR="0035529F">
      <w:t>2114</w:t>
    </w:r>
    <w:r>
      <w:t>/201</w:t>
    </w:r>
    <w:r w:rsidR="0035529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3D0"/>
    <w:rsid w:val="00004959"/>
    <w:rsid w:val="00007E88"/>
    <w:rsid w:val="000235B5"/>
    <w:rsid w:val="00026B6D"/>
    <w:rsid w:val="000272B3"/>
    <w:rsid w:val="00033195"/>
    <w:rsid w:val="0003453C"/>
    <w:rsid w:val="000371BD"/>
    <w:rsid w:val="00042274"/>
    <w:rsid w:val="00050F6B"/>
    <w:rsid w:val="00055550"/>
    <w:rsid w:val="00057E97"/>
    <w:rsid w:val="00060C3A"/>
    <w:rsid w:val="000718A2"/>
    <w:rsid w:val="0007291D"/>
    <w:rsid w:val="00072C8C"/>
    <w:rsid w:val="000733B5"/>
    <w:rsid w:val="000808F9"/>
    <w:rsid w:val="00081815"/>
    <w:rsid w:val="000931C0"/>
    <w:rsid w:val="000B175B"/>
    <w:rsid w:val="000B3A0F"/>
    <w:rsid w:val="000B4EF7"/>
    <w:rsid w:val="000C2C03"/>
    <w:rsid w:val="000C2D2E"/>
    <w:rsid w:val="000E0415"/>
    <w:rsid w:val="001103AA"/>
    <w:rsid w:val="001149BE"/>
    <w:rsid w:val="00124073"/>
    <w:rsid w:val="00141CE8"/>
    <w:rsid w:val="001560FE"/>
    <w:rsid w:val="00165F3A"/>
    <w:rsid w:val="00167FCE"/>
    <w:rsid w:val="00182E3F"/>
    <w:rsid w:val="00183968"/>
    <w:rsid w:val="001A25A2"/>
    <w:rsid w:val="001A6686"/>
    <w:rsid w:val="001B4B04"/>
    <w:rsid w:val="001C6663"/>
    <w:rsid w:val="001C72D3"/>
    <w:rsid w:val="001C7895"/>
    <w:rsid w:val="001D0C8C"/>
    <w:rsid w:val="001D26DF"/>
    <w:rsid w:val="001D3A03"/>
    <w:rsid w:val="001E2234"/>
    <w:rsid w:val="00202DA8"/>
    <w:rsid w:val="00211E0B"/>
    <w:rsid w:val="00220949"/>
    <w:rsid w:val="0023210C"/>
    <w:rsid w:val="002579A3"/>
    <w:rsid w:val="00267F5F"/>
    <w:rsid w:val="00280E04"/>
    <w:rsid w:val="00286B4D"/>
    <w:rsid w:val="002877BC"/>
    <w:rsid w:val="002D4C2C"/>
    <w:rsid w:val="002E19FE"/>
    <w:rsid w:val="002F175C"/>
    <w:rsid w:val="002F43C0"/>
    <w:rsid w:val="002F706F"/>
    <w:rsid w:val="003229D8"/>
    <w:rsid w:val="00336940"/>
    <w:rsid w:val="00352709"/>
    <w:rsid w:val="0035529F"/>
    <w:rsid w:val="00367567"/>
    <w:rsid w:val="00371178"/>
    <w:rsid w:val="00374F66"/>
    <w:rsid w:val="0038336C"/>
    <w:rsid w:val="00396713"/>
    <w:rsid w:val="003973D0"/>
    <w:rsid w:val="003A1A67"/>
    <w:rsid w:val="003A6810"/>
    <w:rsid w:val="003C0F60"/>
    <w:rsid w:val="003C2CC4"/>
    <w:rsid w:val="003D4B23"/>
    <w:rsid w:val="003E6542"/>
    <w:rsid w:val="00400FCA"/>
    <w:rsid w:val="00401DD1"/>
    <w:rsid w:val="00410C89"/>
    <w:rsid w:val="00426B9B"/>
    <w:rsid w:val="004325CB"/>
    <w:rsid w:val="00436B33"/>
    <w:rsid w:val="00442A83"/>
    <w:rsid w:val="0045495B"/>
    <w:rsid w:val="00476564"/>
    <w:rsid w:val="00484FA9"/>
    <w:rsid w:val="004854C6"/>
    <w:rsid w:val="00487488"/>
    <w:rsid w:val="00496674"/>
    <w:rsid w:val="004A0C67"/>
    <w:rsid w:val="004A427E"/>
    <w:rsid w:val="004B204D"/>
    <w:rsid w:val="004C6E4A"/>
    <w:rsid w:val="004F76D3"/>
    <w:rsid w:val="004F7CD4"/>
    <w:rsid w:val="00517EAD"/>
    <w:rsid w:val="0052136D"/>
    <w:rsid w:val="0052775E"/>
    <w:rsid w:val="00534C6F"/>
    <w:rsid w:val="005420F2"/>
    <w:rsid w:val="005628B6"/>
    <w:rsid w:val="00562D2A"/>
    <w:rsid w:val="005848B3"/>
    <w:rsid w:val="00590F87"/>
    <w:rsid w:val="00592C4A"/>
    <w:rsid w:val="005A66EF"/>
    <w:rsid w:val="005B3DB3"/>
    <w:rsid w:val="005C2397"/>
    <w:rsid w:val="005D0EBB"/>
    <w:rsid w:val="005F1611"/>
    <w:rsid w:val="005F7717"/>
    <w:rsid w:val="005F7B75"/>
    <w:rsid w:val="006001EE"/>
    <w:rsid w:val="00605042"/>
    <w:rsid w:val="00611FC4"/>
    <w:rsid w:val="00612838"/>
    <w:rsid w:val="00616E2B"/>
    <w:rsid w:val="006176FB"/>
    <w:rsid w:val="00624934"/>
    <w:rsid w:val="00625CC3"/>
    <w:rsid w:val="00637C85"/>
    <w:rsid w:val="00640B26"/>
    <w:rsid w:val="0064482D"/>
    <w:rsid w:val="00652D0A"/>
    <w:rsid w:val="00653C09"/>
    <w:rsid w:val="00662BB6"/>
    <w:rsid w:val="00684C21"/>
    <w:rsid w:val="00690D05"/>
    <w:rsid w:val="006A47FA"/>
    <w:rsid w:val="006A7803"/>
    <w:rsid w:val="006B6A8C"/>
    <w:rsid w:val="006C64E4"/>
    <w:rsid w:val="006D37AF"/>
    <w:rsid w:val="006D51D0"/>
    <w:rsid w:val="006E564B"/>
    <w:rsid w:val="006E7191"/>
    <w:rsid w:val="00703577"/>
    <w:rsid w:val="0071264C"/>
    <w:rsid w:val="00712675"/>
    <w:rsid w:val="00723667"/>
    <w:rsid w:val="0072632A"/>
    <w:rsid w:val="007327D5"/>
    <w:rsid w:val="007373B9"/>
    <w:rsid w:val="0074752C"/>
    <w:rsid w:val="00747622"/>
    <w:rsid w:val="00751C6B"/>
    <w:rsid w:val="00754275"/>
    <w:rsid w:val="00757871"/>
    <w:rsid w:val="007629C8"/>
    <w:rsid w:val="00766CFA"/>
    <w:rsid w:val="00787F1F"/>
    <w:rsid w:val="00790E13"/>
    <w:rsid w:val="007B6BA5"/>
    <w:rsid w:val="007C3390"/>
    <w:rsid w:val="007C4F4B"/>
    <w:rsid w:val="007C784F"/>
    <w:rsid w:val="007D389A"/>
    <w:rsid w:val="007D3FC1"/>
    <w:rsid w:val="007E0B2D"/>
    <w:rsid w:val="007F6611"/>
    <w:rsid w:val="007F765E"/>
    <w:rsid w:val="00801928"/>
    <w:rsid w:val="008105B8"/>
    <w:rsid w:val="008242D7"/>
    <w:rsid w:val="008257B1"/>
    <w:rsid w:val="00843767"/>
    <w:rsid w:val="00852BDA"/>
    <w:rsid w:val="00863FDD"/>
    <w:rsid w:val="008679D9"/>
    <w:rsid w:val="008925D1"/>
    <w:rsid w:val="008979B1"/>
    <w:rsid w:val="008A0B33"/>
    <w:rsid w:val="008A163D"/>
    <w:rsid w:val="008A1DB2"/>
    <w:rsid w:val="008A5C51"/>
    <w:rsid w:val="008A5F33"/>
    <w:rsid w:val="008A6B25"/>
    <w:rsid w:val="008A6C4F"/>
    <w:rsid w:val="008B2335"/>
    <w:rsid w:val="008E0678"/>
    <w:rsid w:val="00910F40"/>
    <w:rsid w:val="00912C08"/>
    <w:rsid w:val="0091792C"/>
    <w:rsid w:val="00920CF9"/>
    <w:rsid w:val="009223CA"/>
    <w:rsid w:val="00940F93"/>
    <w:rsid w:val="0095347F"/>
    <w:rsid w:val="00963C85"/>
    <w:rsid w:val="009760F3"/>
    <w:rsid w:val="009909F5"/>
    <w:rsid w:val="009A0E8D"/>
    <w:rsid w:val="009A6D7D"/>
    <w:rsid w:val="009B26E7"/>
    <w:rsid w:val="009E62F4"/>
    <w:rsid w:val="00A00A3F"/>
    <w:rsid w:val="00A01489"/>
    <w:rsid w:val="00A016F7"/>
    <w:rsid w:val="00A05C09"/>
    <w:rsid w:val="00A05E0E"/>
    <w:rsid w:val="00A17E22"/>
    <w:rsid w:val="00A338F1"/>
    <w:rsid w:val="00A44615"/>
    <w:rsid w:val="00A72F22"/>
    <w:rsid w:val="00A7360F"/>
    <w:rsid w:val="00A748A6"/>
    <w:rsid w:val="00A769F4"/>
    <w:rsid w:val="00A776B4"/>
    <w:rsid w:val="00A94361"/>
    <w:rsid w:val="00AA293C"/>
    <w:rsid w:val="00AC09A4"/>
    <w:rsid w:val="00AE48FA"/>
    <w:rsid w:val="00AF6699"/>
    <w:rsid w:val="00B01B76"/>
    <w:rsid w:val="00B13E9B"/>
    <w:rsid w:val="00B30179"/>
    <w:rsid w:val="00B30D11"/>
    <w:rsid w:val="00B339A7"/>
    <w:rsid w:val="00B56E4A"/>
    <w:rsid w:val="00B56E9C"/>
    <w:rsid w:val="00B64B1F"/>
    <w:rsid w:val="00B6553F"/>
    <w:rsid w:val="00B66E5E"/>
    <w:rsid w:val="00B743DC"/>
    <w:rsid w:val="00B77D05"/>
    <w:rsid w:val="00B81206"/>
    <w:rsid w:val="00B81E12"/>
    <w:rsid w:val="00B9067B"/>
    <w:rsid w:val="00B9395B"/>
    <w:rsid w:val="00BA4FD0"/>
    <w:rsid w:val="00BC2C23"/>
    <w:rsid w:val="00BC74E9"/>
    <w:rsid w:val="00BD0FDA"/>
    <w:rsid w:val="00BF68A8"/>
    <w:rsid w:val="00BF72CE"/>
    <w:rsid w:val="00C017B3"/>
    <w:rsid w:val="00C018AF"/>
    <w:rsid w:val="00C05D11"/>
    <w:rsid w:val="00C11A03"/>
    <w:rsid w:val="00C2360F"/>
    <w:rsid w:val="00C4281D"/>
    <w:rsid w:val="00C463DD"/>
    <w:rsid w:val="00C4724C"/>
    <w:rsid w:val="00C51E01"/>
    <w:rsid w:val="00C629A0"/>
    <w:rsid w:val="00C745C3"/>
    <w:rsid w:val="00CA282D"/>
    <w:rsid w:val="00CD0FE3"/>
    <w:rsid w:val="00CD233D"/>
    <w:rsid w:val="00CD42C9"/>
    <w:rsid w:val="00CE4A8F"/>
    <w:rsid w:val="00D069E0"/>
    <w:rsid w:val="00D16696"/>
    <w:rsid w:val="00D2031B"/>
    <w:rsid w:val="00D25FE2"/>
    <w:rsid w:val="00D31606"/>
    <w:rsid w:val="00D3584F"/>
    <w:rsid w:val="00D43252"/>
    <w:rsid w:val="00D47EEA"/>
    <w:rsid w:val="00D95303"/>
    <w:rsid w:val="00D978C6"/>
    <w:rsid w:val="00D97AA6"/>
    <w:rsid w:val="00DA3111"/>
    <w:rsid w:val="00DA3C1C"/>
    <w:rsid w:val="00DB087F"/>
    <w:rsid w:val="00DB0C79"/>
    <w:rsid w:val="00DB1573"/>
    <w:rsid w:val="00DE31D6"/>
    <w:rsid w:val="00E108B7"/>
    <w:rsid w:val="00E14159"/>
    <w:rsid w:val="00E24A72"/>
    <w:rsid w:val="00E27346"/>
    <w:rsid w:val="00E63723"/>
    <w:rsid w:val="00E71BC8"/>
    <w:rsid w:val="00E71D2C"/>
    <w:rsid w:val="00E7260F"/>
    <w:rsid w:val="00E779FC"/>
    <w:rsid w:val="00E9029F"/>
    <w:rsid w:val="00E95177"/>
    <w:rsid w:val="00E96630"/>
    <w:rsid w:val="00EA032E"/>
    <w:rsid w:val="00EB2581"/>
    <w:rsid w:val="00EB3869"/>
    <w:rsid w:val="00EC1539"/>
    <w:rsid w:val="00ED18F6"/>
    <w:rsid w:val="00ED7A2A"/>
    <w:rsid w:val="00EE012E"/>
    <w:rsid w:val="00EE254C"/>
    <w:rsid w:val="00EE29CD"/>
    <w:rsid w:val="00EE5A99"/>
    <w:rsid w:val="00EF1D7F"/>
    <w:rsid w:val="00F12637"/>
    <w:rsid w:val="00F20C3D"/>
    <w:rsid w:val="00F43E9E"/>
    <w:rsid w:val="00F9057C"/>
    <w:rsid w:val="00F906D7"/>
    <w:rsid w:val="00F913D5"/>
    <w:rsid w:val="00F93781"/>
    <w:rsid w:val="00FB613B"/>
    <w:rsid w:val="00FB668A"/>
    <w:rsid w:val="00FC68B7"/>
    <w:rsid w:val="00FD0AFB"/>
    <w:rsid w:val="00FE106A"/>
    <w:rsid w:val="00FE7A1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3EAC501-3D49-4C93-A16C-724F15DD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67FCE"/>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67FCE"/>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973D0"/>
    <w:rPr>
      <w:rFonts w:eastAsia="SimSun"/>
      <w:sz w:val="18"/>
    </w:rPr>
  </w:style>
  <w:style w:type="paragraph" w:styleId="NormalWeb">
    <w:name w:val="Normal (Web)"/>
    <w:basedOn w:val="Normal"/>
    <w:uiPriority w:val="99"/>
    <w:unhideWhenUsed/>
    <w:rsid w:val="00BD0FDA"/>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D97AA6"/>
    <w:pPr>
      <w:spacing w:line="240" w:lineRule="auto"/>
    </w:pPr>
    <w:rPr>
      <w:rFonts w:ascii="Tahoma" w:hAnsi="Tahoma"/>
      <w:sz w:val="16"/>
      <w:szCs w:val="16"/>
    </w:rPr>
  </w:style>
  <w:style w:type="character" w:customStyle="1" w:styleId="BalloonTextChar">
    <w:name w:val="Balloon Text Char"/>
    <w:link w:val="BalloonText"/>
    <w:rsid w:val="00D97AA6"/>
    <w:rPr>
      <w:rFonts w:ascii="Tahoma" w:hAnsi="Tahoma" w:cs="Tahoma"/>
      <w:sz w:val="16"/>
      <w:szCs w:val="16"/>
      <w:lang w:eastAsia="en-US"/>
    </w:rPr>
  </w:style>
  <w:style w:type="character" w:styleId="CommentReference">
    <w:name w:val="annotation reference"/>
    <w:rsid w:val="00EE29CD"/>
    <w:rPr>
      <w:sz w:val="16"/>
      <w:szCs w:val="16"/>
    </w:rPr>
  </w:style>
  <w:style w:type="paragraph" w:styleId="CommentText">
    <w:name w:val="annotation text"/>
    <w:basedOn w:val="Normal"/>
    <w:link w:val="CommentTextChar"/>
    <w:rsid w:val="00EE29CD"/>
  </w:style>
  <w:style w:type="character" w:customStyle="1" w:styleId="CommentTextChar">
    <w:name w:val="Comment Text Char"/>
    <w:link w:val="CommentText"/>
    <w:rsid w:val="00EE29CD"/>
    <w:rPr>
      <w:lang w:eastAsia="en-US"/>
    </w:rPr>
  </w:style>
  <w:style w:type="paragraph" w:styleId="CommentSubject">
    <w:name w:val="annotation subject"/>
    <w:basedOn w:val="CommentText"/>
    <w:next w:val="CommentText"/>
    <w:link w:val="CommentSubjectChar"/>
    <w:rsid w:val="00EE29CD"/>
    <w:rPr>
      <w:b/>
      <w:bCs/>
    </w:rPr>
  </w:style>
  <w:style w:type="character" w:customStyle="1" w:styleId="CommentSubjectChar">
    <w:name w:val="Comment Subject Char"/>
    <w:link w:val="CommentSubject"/>
    <w:rsid w:val="00EE29CD"/>
    <w:rPr>
      <w:b/>
      <w:bCs/>
      <w:lang w:eastAsia="en-US"/>
    </w:rPr>
  </w:style>
  <w:style w:type="character" w:customStyle="1" w:styleId="SingleTxtGChar">
    <w:name w:val="_ Single Txt_G Char"/>
    <w:link w:val="SingleTxtG"/>
    <w:rsid w:val="001560FE"/>
    <w:rPr>
      <w:lang w:eastAsia="en-US"/>
    </w:rPr>
  </w:style>
  <w:style w:type="paragraph" w:styleId="Revision">
    <w:name w:val="Revision"/>
    <w:hidden/>
    <w:uiPriority w:val="99"/>
    <w:semiHidden/>
    <w:rsid w:val="00653C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27034">
      <w:bodyDiv w:val="1"/>
      <w:marLeft w:val="0"/>
      <w:marRight w:val="0"/>
      <w:marTop w:val="0"/>
      <w:marBottom w:val="0"/>
      <w:divBdr>
        <w:top w:val="none" w:sz="0" w:space="0" w:color="auto"/>
        <w:left w:val="none" w:sz="0" w:space="0" w:color="auto"/>
        <w:bottom w:val="none" w:sz="0" w:space="0" w:color="auto"/>
        <w:right w:val="none" w:sz="0" w:space="0" w:color="auto"/>
      </w:divBdr>
    </w:div>
    <w:div w:id="1572547244">
      <w:bodyDiv w:val="1"/>
      <w:marLeft w:val="0"/>
      <w:marRight w:val="0"/>
      <w:marTop w:val="0"/>
      <w:marBottom w:val="0"/>
      <w:divBdr>
        <w:top w:val="none" w:sz="0" w:space="0" w:color="auto"/>
        <w:left w:val="none" w:sz="0" w:space="0" w:color="auto"/>
        <w:bottom w:val="none" w:sz="0" w:space="0" w:color="auto"/>
        <w:right w:val="none" w:sz="0" w:space="0" w:color="auto"/>
      </w:divBdr>
    </w:div>
    <w:div w:id="17146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10</Pages>
  <Words>3752</Words>
  <Characters>21392</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2015-01-19T14:47:00Z</cp:lastPrinted>
  <dcterms:created xsi:type="dcterms:W3CDTF">2017-01-24T19:15:00Z</dcterms:created>
  <dcterms:modified xsi:type="dcterms:W3CDTF">2017-01-24T19:15:00Z</dcterms:modified>
</cp:coreProperties>
</file>