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26246C">
        <w:trPr>
          <w:cantSplit/>
          <w:trHeight w:hRule="exact" w:val="851"/>
        </w:trPr>
        <w:tc>
          <w:tcPr>
            <w:tcW w:w="1276" w:type="dxa"/>
            <w:tcBorders>
              <w:bottom w:val="single" w:sz="4" w:space="0" w:color="auto"/>
            </w:tcBorders>
            <w:vAlign w:val="bottom"/>
          </w:tcPr>
          <w:p w:rsidR="00B56E9C" w:rsidRPr="0026246C" w:rsidRDefault="00B56E9C" w:rsidP="00B6553F">
            <w:pPr>
              <w:spacing w:after="80"/>
            </w:pPr>
            <w:bookmarkStart w:id="0" w:name="_GoBack"/>
            <w:bookmarkEnd w:id="0"/>
          </w:p>
        </w:tc>
        <w:tc>
          <w:tcPr>
            <w:tcW w:w="2268" w:type="dxa"/>
            <w:tcBorders>
              <w:bottom w:val="single" w:sz="4" w:space="0" w:color="auto"/>
            </w:tcBorders>
            <w:vAlign w:val="bottom"/>
          </w:tcPr>
          <w:p w:rsidR="00B56E9C" w:rsidRPr="0026246C" w:rsidRDefault="00B56E9C" w:rsidP="00B6553F">
            <w:pPr>
              <w:spacing w:after="80" w:line="300" w:lineRule="exact"/>
              <w:rPr>
                <w:b/>
                <w:sz w:val="24"/>
                <w:szCs w:val="24"/>
              </w:rPr>
            </w:pPr>
            <w:r w:rsidRPr="0026246C">
              <w:rPr>
                <w:sz w:val="28"/>
                <w:szCs w:val="28"/>
              </w:rPr>
              <w:t>United Nations</w:t>
            </w:r>
          </w:p>
        </w:tc>
        <w:tc>
          <w:tcPr>
            <w:tcW w:w="6095" w:type="dxa"/>
            <w:gridSpan w:val="2"/>
            <w:tcBorders>
              <w:bottom w:val="single" w:sz="4" w:space="0" w:color="auto"/>
            </w:tcBorders>
            <w:vAlign w:val="bottom"/>
          </w:tcPr>
          <w:p w:rsidR="00B56E9C" w:rsidRPr="00940396" w:rsidRDefault="003622DA" w:rsidP="00CE741C">
            <w:pPr>
              <w:jc w:val="right"/>
            </w:pPr>
            <w:r w:rsidRPr="0026246C">
              <w:rPr>
                <w:sz w:val="40"/>
              </w:rPr>
              <w:t>CCPR</w:t>
            </w:r>
            <w:r w:rsidR="00F56885" w:rsidRPr="0026246C">
              <w:t>/C/106</w:t>
            </w:r>
            <w:r w:rsidR="000B7D7F" w:rsidRPr="0026246C">
              <w:t>/D</w:t>
            </w:r>
            <w:r w:rsidR="000B7D7F" w:rsidRPr="00940396">
              <w:t>/2120/2011</w:t>
            </w:r>
          </w:p>
        </w:tc>
      </w:tr>
      <w:tr w:rsidR="00B56E9C" w:rsidRPr="0026246C">
        <w:trPr>
          <w:cantSplit/>
          <w:trHeight w:hRule="exact" w:val="2835"/>
        </w:trPr>
        <w:tc>
          <w:tcPr>
            <w:tcW w:w="1276" w:type="dxa"/>
            <w:tcBorders>
              <w:top w:val="single" w:sz="4" w:space="0" w:color="auto"/>
              <w:bottom w:val="single" w:sz="12" w:space="0" w:color="auto"/>
            </w:tcBorders>
          </w:tcPr>
          <w:p w:rsidR="00B56E9C" w:rsidRPr="00940396" w:rsidRDefault="0069089F"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246C" w:rsidRDefault="00B56E9C" w:rsidP="00267F5F">
            <w:pPr>
              <w:spacing w:before="120" w:line="380" w:lineRule="exact"/>
              <w:rPr>
                <w:sz w:val="34"/>
              </w:rPr>
            </w:pPr>
            <w:r w:rsidRPr="00402254">
              <w:rPr>
                <w:b/>
                <w:sz w:val="34"/>
                <w:szCs w:val="40"/>
              </w:rPr>
              <w:t xml:space="preserve">International </w:t>
            </w:r>
            <w:r w:rsidR="00060C3A" w:rsidRPr="00402254">
              <w:rPr>
                <w:b/>
                <w:sz w:val="34"/>
                <w:szCs w:val="40"/>
              </w:rPr>
              <w:t>Covenant on</w:t>
            </w:r>
            <w:r w:rsidR="00060C3A" w:rsidRPr="00402254">
              <w:rPr>
                <w:b/>
                <w:sz w:val="34"/>
                <w:szCs w:val="40"/>
              </w:rPr>
              <w:br/>
              <w:t>Civil and Political R</w:t>
            </w:r>
            <w:r w:rsidR="00703577" w:rsidRPr="0026246C">
              <w:rPr>
                <w:b/>
                <w:sz w:val="34"/>
                <w:szCs w:val="40"/>
              </w:rPr>
              <w:t>ights</w:t>
            </w:r>
          </w:p>
        </w:tc>
        <w:tc>
          <w:tcPr>
            <w:tcW w:w="2835" w:type="dxa"/>
            <w:tcBorders>
              <w:top w:val="single" w:sz="4" w:space="0" w:color="auto"/>
              <w:bottom w:val="single" w:sz="12" w:space="0" w:color="auto"/>
            </w:tcBorders>
          </w:tcPr>
          <w:p w:rsidR="003622DA" w:rsidRPr="0026246C" w:rsidRDefault="003622DA" w:rsidP="003622DA">
            <w:pPr>
              <w:spacing w:before="240" w:line="240" w:lineRule="exact"/>
            </w:pPr>
            <w:r w:rsidRPr="0026246C">
              <w:t xml:space="preserve">Distr.: </w:t>
            </w:r>
            <w:r w:rsidR="00E174F5" w:rsidRPr="0026246C">
              <w:t>General</w:t>
            </w:r>
          </w:p>
          <w:p w:rsidR="003622DA" w:rsidRPr="0026246C" w:rsidRDefault="00F875F5" w:rsidP="003622DA">
            <w:pPr>
              <w:spacing w:line="240" w:lineRule="exact"/>
            </w:pPr>
            <w:r w:rsidRPr="0026246C">
              <w:t>2</w:t>
            </w:r>
            <w:r w:rsidR="00420DB3">
              <w:t>7</w:t>
            </w:r>
            <w:r w:rsidR="008302B2" w:rsidRPr="00402254">
              <w:t xml:space="preserve"> November</w:t>
            </w:r>
            <w:r w:rsidR="003A62E4" w:rsidRPr="00402254">
              <w:t xml:space="preserve"> </w:t>
            </w:r>
            <w:r w:rsidR="003622DA" w:rsidRPr="0026246C">
              <w:t>2012</w:t>
            </w:r>
          </w:p>
          <w:p w:rsidR="003622DA" w:rsidRPr="0026246C" w:rsidRDefault="003622DA" w:rsidP="003622DA">
            <w:pPr>
              <w:spacing w:line="240" w:lineRule="exact"/>
            </w:pPr>
          </w:p>
          <w:p w:rsidR="00B56E9C" w:rsidRPr="0026246C" w:rsidRDefault="003622DA" w:rsidP="003622DA">
            <w:pPr>
              <w:spacing w:line="240" w:lineRule="exact"/>
            </w:pPr>
            <w:r w:rsidRPr="0026246C">
              <w:t>Original: English</w:t>
            </w:r>
          </w:p>
        </w:tc>
      </w:tr>
    </w:tbl>
    <w:p w:rsidR="00BD05CB" w:rsidRPr="0026246C" w:rsidRDefault="00BD05CB" w:rsidP="00BD05CB">
      <w:pPr>
        <w:spacing w:before="120"/>
        <w:rPr>
          <w:b/>
          <w:sz w:val="24"/>
          <w:szCs w:val="24"/>
        </w:rPr>
      </w:pPr>
      <w:r w:rsidRPr="0026246C">
        <w:rPr>
          <w:b/>
          <w:sz w:val="24"/>
          <w:szCs w:val="24"/>
        </w:rPr>
        <w:t>Human Rights Committee</w:t>
      </w:r>
    </w:p>
    <w:p w:rsidR="003622DA" w:rsidRPr="0026246C" w:rsidRDefault="000B7D7F" w:rsidP="007A16FC">
      <w:pPr>
        <w:pStyle w:val="HChG"/>
      </w:pPr>
      <w:r w:rsidRPr="0026246C">
        <w:tab/>
      </w:r>
      <w:r w:rsidRPr="0026246C">
        <w:tab/>
        <w:t>Communication No. 2120/2011</w:t>
      </w:r>
    </w:p>
    <w:p w:rsidR="003622DA" w:rsidRPr="0026246C" w:rsidRDefault="003622DA" w:rsidP="007A16FC">
      <w:pPr>
        <w:pStyle w:val="H1G"/>
      </w:pPr>
      <w:r w:rsidRPr="0026246C">
        <w:tab/>
      </w:r>
      <w:r w:rsidRPr="0026246C">
        <w:tab/>
      </w:r>
      <w:r w:rsidR="00E174F5" w:rsidRPr="0026246C">
        <w:t>Views adopted by the Committee at its 106th session (15 October</w:t>
      </w:r>
      <w:r w:rsidR="00AA1A25" w:rsidRPr="0026246C">
        <w:t>–</w:t>
      </w:r>
      <w:r w:rsidR="00E174F5" w:rsidRPr="0026246C">
        <w:t>2 November 2012)</w:t>
      </w:r>
    </w:p>
    <w:p w:rsidR="003622DA" w:rsidRPr="0026246C" w:rsidRDefault="003622DA" w:rsidP="007A16FC">
      <w:pPr>
        <w:pStyle w:val="SingleTxtG"/>
        <w:ind w:left="4536" w:hanging="3402"/>
        <w:rPr>
          <w:lang w:val="en-GB"/>
        </w:rPr>
      </w:pPr>
      <w:r w:rsidRPr="0026246C">
        <w:rPr>
          <w:i/>
          <w:lang w:val="en-GB"/>
        </w:rPr>
        <w:t>Submitted by</w:t>
      </w:r>
      <w:r w:rsidRPr="0026246C">
        <w:rPr>
          <w:lang w:val="en-GB"/>
        </w:rPr>
        <w:t>:</w:t>
      </w:r>
      <w:r w:rsidRPr="0026246C">
        <w:rPr>
          <w:lang w:val="en-GB"/>
        </w:rPr>
        <w:tab/>
      </w:r>
      <w:r w:rsidR="00B662C5" w:rsidRPr="0026246C">
        <w:rPr>
          <w:lang w:val="en-GB"/>
        </w:rPr>
        <w:t xml:space="preserve">Lyubov </w:t>
      </w:r>
      <w:r w:rsidR="00303E0E" w:rsidRPr="0026246C">
        <w:rPr>
          <w:lang w:val="en-GB"/>
        </w:rPr>
        <w:t>Kovaleva</w:t>
      </w:r>
      <w:r w:rsidR="001C1653" w:rsidRPr="0026246C">
        <w:rPr>
          <w:lang w:val="en-GB"/>
        </w:rPr>
        <w:t xml:space="preserve"> and </w:t>
      </w:r>
      <w:r w:rsidR="00303E0E" w:rsidRPr="0026246C">
        <w:rPr>
          <w:lang w:val="en-GB"/>
        </w:rPr>
        <w:t xml:space="preserve">Tatyana </w:t>
      </w:r>
      <w:r w:rsidR="001C1653" w:rsidRPr="0026246C">
        <w:rPr>
          <w:lang w:val="en-GB"/>
        </w:rPr>
        <w:t xml:space="preserve">Kozyar </w:t>
      </w:r>
      <w:r w:rsidRPr="0026246C">
        <w:rPr>
          <w:lang w:val="en-GB"/>
        </w:rPr>
        <w:t>(represented by counsel</w:t>
      </w:r>
      <w:r w:rsidR="00303E0E" w:rsidRPr="0026246C">
        <w:rPr>
          <w:lang w:val="en-GB"/>
        </w:rPr>
        <w:t>,</w:t>
      </w:r>
      <w:r w:rsidR="00792EBD" w:rsidRPr="0026246C">
        <w:rPr>
          <w:lang w:val="en-GB"/>
        </w:rPr>
        <w:t xml:space="preserve"> Ro</w:t>
      </w:r>
      <w:r w:rsidR="00470DA5" w:rsidRPr="0026246C">
        <w:rPr>
          <w:lang w:val="en-GB"/>
        </w:rPr>
        <w:t>man Kisl</w:t>
      </w:r>
      <w:r w:rsidR="00FF0C3C" w:rsidRPr="00940396">
        <w:rPr>
          <w:lang w:val="en-GB"/>
        </w:rPr>
        <w:t>i</w:t>
      </w:r>
      <w:r w:rsidR="001C1653" w:rsidRPr="0026246C">
        <w:rPr>
          <w:lang w:val="en-GB"/>
        </w:rPr>
        <w:t>ak</w:t>
      </w:r>
      <w:r w:rsidRPr="0026246C">
        <w:rPr>
          <w:lang w:val="en-GB"/>
        </w:rPr>
        <w:t>)</w:t>
      </w:r>
    </w:p>
    <w:p w:rsidR="003622DA" w:rsidRPr="0026246C" w:rsidRDefault="003622DA" w:rsidP="00A97FED">
      <w:pPr>
        <w:pStyle w:val="SingleTxtG"/>
        <w:ind w:left="4536" w:hanging="3402"/>
        <w:rPr>
          <w:lang w:val="en-GB"/>
        </w:rPr>
      </w:pPr>
      <w:r w:rsidRPr="0026246C">
        <w:rPr>
          <w:i/>
          <w:lang w:val="en-GB"/>
        </w:rPr>
        <w:t>Alleged victim</w:t>
      </w:r>
      <w:r w:rsidR="008E722D" w:rsidRPr="00940396">
        <w:rPr>
          <w:i/>
          <w:lang w:val="en-GB"/>
        </w:rPr>
        <w:t>s</w:t>
      </w:r>
      <w:r w:rsidRPr="0026246C">
        <w:rPr>
          <w:lang w:val="en-GB"/>
        </w:rPr>
        <w:t>:</w:t>
      </w:r>
      <w:r w:rsidRPr="0026246C">
        <w:rPr>
          <w:lang w:val="en-GB"/>
        </w:rPr>
        <w:tab/>
      </w:r>
      <w:r w:rsidR="008E722D" w:rsidRPr="00940396">
        <w:rPr>
          <w:lang w:val="en-GB"/>
        </w:rPr>
        <w:t xml:space="preserve">The authors and </w:t>
      </w:r>
      <w:r w:rsidR="00A97FED" w:rsidRPr="0026246C">
        <w:rPr>
          <w:lang w:val="en-GB"/>
        </w:rPr>
        <w:t xml:space="preserve">Vladislav Kovalev, </w:t>
      </w:r>
      <w:r w:rsidR="008E722D" w:rsidRPr="00940396">
        <w:rPr>
          <w:lang w:val="en-GB"/>
        </w:rPr>
        <w:t>their</w:t>
      </w:r>
      <w:r w:rsidR="008E722D" w:rsidRPr="0026246C">
        <w:rPr>
          <w:lang w:val="en-GB"/>
        </w:rPr>
        <w:t xml:space="preserve"> </w:t>
      </w:r>
      <w:r w:rsidR="00A97FED" w:rsidRPr="0026246C">
        <w:rPr>
          <w:lang w:val="en-GB"/>
        </w:rPr>
        <w:t>son and brother respectively</w:t>
      </w:r>
    </w:p>
    <w:p w:rsidR="003622DA" w:rsidRPr="0026246C" w:rsidRDefault="003622DA" w:rsidP="007A16FC">
      <w:pPr>
        <w:pStyle w:val="SingleTxtG"/>
        <w:ind w:left="4536" w:hanging="3402"/>
        <w:rPr>
          <w:lang w:val="en-GB"/>
        </w:rPr>
      </w:pPr>
      <w:r w:rsidRPr="0026246C">
        <w:rPr>
          <w:i/>
          <w:lang w:val="en-GB"/>
        </w:rPr>
        <w:t xml:space="preserve">State </w:t>
      </w:r>
      <w:r w:rsidR="00402254" w:rsidRPr="00402254">
        <w:rPr>
          <w:i/>
          <w:lang w:val="en-GB"/>
        </w:rPr>
        <w:t>party</w:t>
      </w:r>
      <w:r w:rsidRPr="0026246C">
        <w:rPr>
          <w:lang w:val="en-GB"/>
        </w:rPr>
        <w:t>:</w:t>
      </w:r>
      <w:r w:rsidRPr="0026246C">
        <w:rPr>
          <w:lang w:val="en-GB"/>
        </w:rPr>
        <w:tab/>
      </w:r>
      <w:smartTag w:uri="urn:schemas-microsoft-com:office:smarttags" w:element="country-region">
        <w:smartTag w:uri="urn:schemas-microsoft-com:office:smarttags" w:element="place">
          <w:r w:rsidR="00B10F71" w:rsidRPr="0026246C">
            <w:rPr>
              <w:lang w:val="en-GB"/>
            </w:rPr>
            <w:t>Belarus</w:t>
          </w:r>
        </w:smartTag>
      </w:smartTag>
    </w:p>
    <w:p w:rsidR="003622DA" w:rsidRPr="0026246C" w:rsidRDefault="003622DA" w:rsidP="007A16FC">
      <w:pPr>
        <w:pStyle w:val="SingleTxtG"/>
        <w:ind w:left="4536" w:hanging="3402"/>
        <w:rPr>
          <w:lang w:val="en-GB"/>
        </w:rPr>
      </w:pPr>
      <w:r w:rsidRPr="0026246C">
        <w:rPr>
          <w:i/>
          <w:lang w:val="en-GB"/>
        </w:rPr>
        <w:t>Date of communication</w:t>
      </w:r>
      <w:r w:rsidRPr="0026246C">
        <w:rPr>
          <w:lang w:val="en-GB"/>
        </w:rPr>
        <w:t>:</w:t>
      </w:r>
      <w:r w:rsidRPr="0026246C">
        <w:rPr>
          <w:lang w:val="en-GB"/>
        </w:rPr>
        <w:tab/>
      </w:r>
      <w:r w:rsidR="00F248E8" w:rsidRPr="0026246C">
        <w:rPr>
          <w:lang w:val="en-GB"/>
        </w:rPr>
        <w:t>14 December 20</w:t>
      </w:r>
      <w:r w:rsidR="00B10F71" w:rsidRPr="0026246C">
        <w:rPr>
          <w:lang w:val="en-GB"/>
        </w:rPr>
        <w:t>11</w:t>
      </w:r>
    </w:p>
    <w:p w:rsidR="003622DA" w:rsidRPr="0026246C" w:rsidRDefault="003622DA" w:rsidP="007A16FC">
      <w:pPr>
        <w:pStyle w:val="SingleTxtG"/>
        <w:ind w:left="4536" w:hanging="3402"/>
        <w:rPr>
          <w:lang w:val="en-GB"/>
        </w:rPr>
      </w:pPr>
      <w:r w:rsidRPr="0026246C">
        <w:rPr>
          <w:i/>
          <w:lang w:val="en-GB"/>
        </w:rPr>
        <w:t>Document references</w:t>
      </w:r>
      <w:r w:rsidRPr="0026246C">
        <w:rPr>
          <w:lang w:val="en-GB"/>
        </w:rPr>
        <w:t>:</w:t>
      </w:r>
      <w:r w:rsidRPr="0026246C">
        <w:rPr>
          <w:lang w:val="en-GB"/>
        </w:rPr>
        <w:tab/>
        <w:t>Special Rapporteur’s rule</w:t>
      </w:r>
      <w:r w:rsidR="00875894" w:rsidRPr="00940396">
        <w:rPr>
          <w:lang w:val="en-GB"/>
        </w:rPr>
        <w:t>s</w:t>
      </w:r>
      <w:r w:rsidRPr="0026246C">
        <w:rPr>
          <w:lang w:val="en-GB"/>
        </w:rPr>
        <w:t xml:space="preserve"> </w:t>
      </w:r>
      <w:r w:rsidR="00515CCA" w:rsidRPr="0026246C">
        <w:rPr>
          <w:lang w:val="en-GB"/>
        </w:rPr>
        <w:t>92</w:t>
      </w:r>
      <w:r w:rsidR="00875894" w:rsidRPr="00940396">
        <w:rPr>
          <w:lang w:val="en-GB"/>
        </w:rPr>
        <w:t xml:space="preserve"> and 9</w:t>
      </w:r>
      <w:r w:rsidRPr="0026246C">
        <w:rPr>
          <w:lang w:val="en-GB"/>
        </w:rPr>
        <w:t xml:space="preserve">7 decision, transmitted to the State party on </w:t>
      </w:r>
      <w:r w:rsidR="00515CCA" w:rsidRPr="0026246C">
        <w:rPr>
          <w:lang w:val="en-GB"/>
        </w:rPr>
        <w:t>15 December 2011</w:t>
      </w:r>
      <w:r w:rsidRPr="0026246C">
        <w:rPr>
          <w:lang w:val="en-GB"/>
        </w:rPr>
        <w:t xml:space="preserve"> (not issued in document form)</w:t>
      </w:r>
    </w:p>
    <w:p w:rsidR="003622DA" w:rsidRPr="0026246C" w:rsidRDefault="00145B46" w:rsidP="007A16FC">
      <w:pPr>
        <w:pStyle w:val="SingleTxtG"/>
        <w:ind w:left="4536" w:hanging="3402"/>
        <w:rPr>
          <w:lang w:val="en-GB"/>
        </w:rPr>
      </w:pPr>
      <w:r w:rsidRPr="0026246C">
        <w:rPr>
          <w:i/>
          <w:lang w:val="en-GB"/>
        </w:rPr>
        <w:t xml:space="preserve">Date of adoption of </w:t>
      </w:r>
      <w:r w:rsidRPr="00940396">
        <w:rPr>
          <w:i/>
          <w:lang w:val="en-GB"/>
        </w:rPr>
        <w:t>Views</w:t>
      </w:r>
      <w:r w:rsidR="003622DA" w:rsidRPr="0026246C">
        <w:rPr>
          <w:lang w:val="en-GB"/>
        </w:rPr>
        <w:t>:</w:t>
      </w:r>
      <w:r w:rsidR="003622DA" w:rsidRPr="0026246C">
        <w:rPr>
          <w:lang w:val="en-GB"/>
        </w:rPr>
        <w:tab/>
      </w:r>
      <w:r w:rsidR="00B02F66" w:rsidRPr="00940396">
        <w:rPr>
          <w:lang w:val="en-GB"/>
        </w:rPr>
        <w:t>29</w:t>
      </w:r>
      <w:r w:rsidR="003622DA" w:rsidRPr="0026246C">
        <w:rPr>
          <w:lang w:val="en-GB"/>
        </w:rPr>
        <w:t xml:space="preserve"> </w:t>
      </w:r>
      <w:r w:rsidR="00F56885" w:rsidRPr="0026246C">
        <w:rPr>
          <w:lang w:val="en-GB"/>
        </w:rPr>
        <w:t>October</w:t>
      </w:r>
      <w:r w:rsidR="003622DA" w:rsidRPr="0026246C">
        <w:rPr>
          <w:lang w:val="en-GB"/>
        </w:rPr>
        <w:t xml:space="preserve"> 2012</w:t>
      </w:r>
    </w:p>
    <w:p w:rsidR="003622DA" w:rsidRPr="00402254" w:rsidRDefault="003622DA" w:rsidP="00D36984">
      <w:pPr>
        <w:pStyle w:val="SingleTxtG"/>
        <w:rPr>
          <w:lang w:val="en-GB"/>
        </w:rPr>
      </w:pPr>
      <w:r w:rsidRPr="0026246C">
        <w:rPr>
          <w:i/>
          <w:iCs/>
          <w:lang w:val="en-GB"/>
        </w:rPr>
        <w:t xml:space="preserve">Subject matter: </w:t>
      </w:r>
      <w:r w:rsidRPr="0026246C">
        <w:rPr>
          <w:i/>
          <w:iCs/>
          <w:lang w:val="en-GB"/>
        </w:rPr>
        <w:tab/>
      </w:r>
      <w:r w:rsidR="006B3116">
        <w:rPr>
          <w:i/>
          <w:iCs/>
          <w:lang w:val="en-GB"/>
        </w:rPr>
        <w:tab/>
      </w:r>
      <w:r w:rsidR="006B3116">
        <w:rPr>
          <w:i/>
          <w:iCs/>
          <w:lang w:val="en-GB"/>
        </w:rPr>
        <w:tab/>
      </w:r>
      <w:r w:rsidR="006B3116">
        <w:rPr>
          <w:i/>
          <w:iCs/>
          <w:lang w:val="en-GB"/>
        </w:rPr>
        <w:tab/>
      </w:r>
      <w:r w:rsidR="005E1993" w:rsidRPr="00940396">
        <w:rPr>
          <w:iCs/>
          <w:lang w:val="en-GB"/>
        </w:rPr>
        <w:t xml:space="preserve">Imposition of a death sentence after unfair trial </w:t>
      </w:r>
    </w:p>
    <w:p w:rsidR="002C0D25" w:rsidRPr="0026246C" w:rsidRDefault="003622DA" w:rsidP="007A16FC">
      <w:pPr>
        <w:pStyle w:val="SingleTxtG"/>
        <w:ind w:left="4536" w:hanging="3402"/>
        <w:rPr>
          <w:lang w:val="en-GB"/>
        </w:rPr>
      </w:pPr>
      <w:r w:rsidRPr="0026246C">
        <w:rPr>
          <w:i/>
          <w:iCs/>
          <w:lang w:val="en-GB"/>
        </w:rPr>
        <w:t>Procedural issues</w:t>
      </w:r>
      <w:r w:rsidRPr="0026246C">
        <w:rPr>
          <w:lang w:val="en-GB"/>
        </w:rPr>
        <w:t xml:space="preserve">: </w:t>
      </w:r>
      <w:r w:rsidRPr="0026246C">
        <w:rPr>
          <w:lang w:val="en-GB"/>
        </w:rPr>
        <w:tab/>
      </w:r>
      <w:r w:rsidR="003B50A3" w:rsidRPr="0026246C">
        <w:rPr>
          <w:lang w:val="en-GB"/>
        </w:rPr>
        <w:t xml:space="preserve">Standing to act on behalf of an alleged victim; </w:t>
      </w:r>
      <w:r w:rsidR="00336D7D" w:rsidRPr="0026246C">
        <w:rPr>
          <w:lang w:val="en-GB"/>
        </w:rPr>
        <w:t>State party’s failure to cooperate and n</w:t>
      </w:r>
      <w:r w:rsidR="002C0D25" w:rsidRPr="0026246C">
        <w:rPr>
          <w:lang w:val="en-GB"/>
        </w:rPr>
        <w:t xml:space="preserve">on-respect of </w:t>
      </w:r>
      <w:r w:rsidR="00336D7D" w:rsidRPr="0026246C">
        <w:rPr>
          <w:lang w:val="en-GB"/>
        </w:rPr>
        <w:t xml:space="preserve">the Committee’s </w:t>
      </w:r>
      <w:r w:rsidR="002C0D25" w:rsidRPr="0026246C">
        <w:rPr>
          <w:lang w:val="en-GB"/>
        </w:rPr>
        <w:t xml:space="preserve">request for interim </w:t>
      </w:r>
      <w:r w:rsidR="003915BF" w:rsidRPr="0026246C">
        <w:rPr>
          <w:lang w:val="en-GB"/>
        </w:rPr>
        <w:t>measures; insufficient</w:t>
      </w:r>
      <w:r w:rsidR="00062A77" w:rsidRPr="0026246C">
        <w:rPr>
          <w:lang w:val="en-GB"/>
        </w:rPr>
        <w:t xml:space="preserve"> substantiation of claims; </w:t>
      </w:r>
      <w:r w:rsidR="002C0D25" w:rsidRPr="0026246C">
        <w:rPr>
          <w:lang w:val="en-GB"/>
        </w:rPr>
        <w:t>n</w:t>
      </w:r>
      <w:r w:rsidRPr="0026246C">
        <w:rPr>
          <w:lang w:val="en-GB"/>
        </w:rPr>
        <w:t>on-exhaustion of domestic remedies</w:t>
      </w:r>
    </w:p>
    <w:p w:rsidR="003622DA" w:rsidRPr="0026246C" w:rsidRDefault="003622DA" w:rsidP="007A16FC">
      <w:pPr>
        <w:pStyle w:val="SingleTxtG"/>
        <w:ind w:left="4536" w:hanging="3402"/>
        <w:rPr>
          <w:iCs/>
          <w:lang w:val="en-GB"/>
        </w:rPr>
      </w:pPr>
      <w:r w:rsidRPr="0026246C">
        <w:rPr>
          <w:i/>
          <w:lang w:val="en-GB"/>
        </w:rPr>
        <w:t>Substantive issues:</w:t>
      </w:r>
      <w:r w:rsidRPr="0026246C">
        <w:rPr>
          <w:i/>
          <w:lang w:val="en-GB"/>
        </w:rPr>
        <w:tab/>
      </w:r>
      <w:r w:rsidR="008D4CAE" w:rsidRPr="0026246C">
        <w:rPr>
          <w:iCs/>
          <w:lang w:val="en-GB"/>
        </w:rPr>
        <w:t>Arbitrary deprivation of life; torture and ill-treatment; arbitrary deprivation of liberty</w:t>
      </w:r>
      <w:r w:rsidR="008D4CAE" w:rsidRPr="0026246C">
        <w:rPr>
          <w:lang w:val="en-GB"/>
        </w:rPr>
        <w:t xml:space="preserve">; </w:t>
      </w:r>
      <w:r w:rsidR="00893134" w:rsidRPr="0026246C">
        <w:rPr>
          <w:lang w:val="en-GB"/>
        </w:rPr>
        <w:t>right to be brought promptly before a judge;</w:t>
      </w:r>
      <w:r w:rsidR="008D4CAE" w:rsidRPr="0026246C">
        <w:rPr>
          <w:lang w:val="en-GB"/>
        </w:rPr>
        <w:t xml:space="preserve"> </w:t>
      </w:r>
      <w:r w:rsidRPr="0026246C">
        <w:rPr>
          <w:lang w:val="en-GB"/>
        </w:rPr>
        <w:t xml:space="preserve">right to a fair hearing by an independent and impartial tribunal; </w:t>
      </w:r>
      <w:r w:rsidR="00326AD9" w:rsidRPr="0026246C">
        <w:rPr>
          <w:lang w:val="en-GB"/>
        </w:rPr>
        <w:t xml:space="preserve">right to be presumed innocent; </w:t>
      </w:r>
      <w:r w:rsidR="00893134" w:rsidRPr="0026246C">
        <w:rPr>
          <w:lang w:val="en-GB"/>
        </w:rPr>
        <w:t>right to adequate time and facilities for the preparation of his defence and to communicate with his counsel</w:t>
      </w:r>
      <w:r w:rsidR="00893134" w:rsidRPr="00940396">
        <w:rPr>
          <w:lang w:val="en-GB"/>
        </w:rPr>
        <w:t>;</w:t>
      </w:r>
      <w:r w:rsidR="00893134" w:rsidRPr="00402254">
        <w:rPr>
          <w:rFonts w:ascii="Verdana" w:hAnsi="Verdana"/>
          <w:lang w:val="en-GB"/>
        </w:rPr>
        <w:t xml:space="preserve"> </w:t>
      </w:r>
      <w:r w:rsidR="00326AD9" w:rsidRPr="0026246C">
        <w:rPr>
          <w:lang w:val="en-GB"/>
        </w:rPr>
        <w:t>right not to be compelled to testify against himself or to confess guilt; right to have his sentence and conviction reviewed by a higher tribunal</w:t>
      </w:r>
      <w:r w:rsidR="00DF6BF6" w:rsidRPr="0026246C">
        <w:rPr>
          <w:lang w:val="en-GB"/>
        </w:rPr>
        <w:t>; interim measures to avoid irreparable damage to the alleged victim</w:t>
      </w:r>
      <w:r w:rsidR="007A3E1D" w:rsidRPr="00940396">
        <w:rPr>
          <w:lang w:val="en-GB"/>
        </w:rPr>
        <w:t xml:space="preserve">; </w:t>
      </w:r>
      <w:r w:rsidR="00131938" w:rsidRPr="00402254">
        <w:rPr>
          <w:lang w:val="en-GB"/>
        </w:rPr>
        <w:t xml:space="preserve">right to freedom of </w:t>
      </w:r>
      <w:r w:rsidR="00131938" w:rsidRPr="00402254">
        <w:rPr>
          <w:lang w:val="en-GB"/>
        </w:rPr>
        <w:lastRenderedPageBreak/>
        <w:t xml:space="preserve">thought, conscience and religion; </w:t>
      </w:r>
      <w:r w:rsidR="00DF6BF6" w:rsidRPr="0026246C">
        <w:rPr>
          <w:lang w:val="en-GB"/>
        </w:rPr>
        <w:t>violation of obligations under the Optional Protocol</w:t>
      </w:r>
      <w:r w:rsidRPr="0026246C">
        <w:rPr>
          <w:lang w:val="en-GB"/>
        </w:rPr>
        <w:t xml:space="preserve">   </w:t>
      </w:r>
    </w:p>
    <w:p w:rsidR="003622DA" w:rsidRPr="00402254" w:rsidRDefault="003622DA" w:rsidP="007A16FC">
      <w:pPr>
        <w:pStyle w:val="SingleTxtG"/>
        <w:ind w:left="4536" w:hanging="3402"/>
        <w:rPr>
          <w:lang w:val="en-GB"/>
        </w:rPr>
      </w:pPr>
      <w:r w:rsidRPr="0026246C">
        <w:rPr>
          <w:i/>
          <w:iCs/>
          <w:lang w:val="en-GB"/>
        </w:rPr>
        <w:t xml:space="preserve">Articles of the Covenant:  </w:t>
      </w:r>
      <w:r w:rsidRPr="0026246C">
        <w:rPr>
          <w:i/>
          <w:iCs/>
          <w:lang w:val="en-GB"/>
        </w:rPr>
        <w:tab/>
      </w:r>
      <w:r w:rsidR="00AA3985" w:rsidRPr="0026246C">
        <w:rPr>
          <w:iCs/>
          <w:lang w:val="en-GB"/>
        </w:rPr>
        <w:t>6, para</w:t>
      </w:r>
      <w:r w:rsidR="00F875F5" w:rsidRPr="0026246C">
        <w:rPr>
          <w:iCs/>
          <w:lang w:val="en-GB"/>
        </w:rPr>
        <w:t>graph</w:t>
      </w:r>
      <w:r w:rsidR="00034B50" w:rsidRPr="0026246C">
        <w:rPr>
          <w:iCs/>
          <w:lang w:val="en-GB"/>
        </w:rPr>
        <w:t>s</w:t>
      </w:r>
      <w:r w:rsidR="00AA3985" w:rsidRPr="0026246C">
        <w:rPr>
          <w:iCs/>
          <w:lang w:val="en-GB"/>
        </w:rPr>
        <w:t xml:space="preserve"> 1 and 2;</w:t>
      </w:r>
      <w:r w:rsidR="00AA3985" w:rsidRPr="0026246C">
        <w:rPr>
          <w:i/>
          <w:iCs/>
          <w:lang w:val="en-GB"/>
        </w:rPr>
        <w:t xml:space="preserve"> </w:t>
      </w:r>
      <w:r w:rsidR="00034B50" w:rsidRPr="0026246C">
        <w:rPr>
          <w:iCs/>
          <w:lang w:val="en-GB"/>
        </w:rPr>
        <w:t>7; 9, para</w:t>
      </w:r>
      <w:r w:rsidR="00F875F5" w:rsidRPr="0026246C">
        <w:rPr>
          <w:iCs/>
          <w:lang w:val="en-GB"/>
        </w:rPr>
        <w:t>graph</w:t>
      </w:r>
      <w:r w:rsidR="00034B50" w:rsidRPr="0026246C">
        <w:rPr>
          <w:iCs/>
          <w:lang w:val="en-GB"/>
        </w:rPr>
        <w:t>s 1 and 3; 14</w:t>
      </w:r>
      <w:r w:rsidRPr="0026246C">
        <w:rPr>
          <w:iCs/>
          <w:lang w:val="en-GB"/>
        </w:rPr>
        <w:t>, para</w:t>
      </w:r>
      <w:r w:rsidR="00F875F5" w:rsidRPr="0026246C">
        <w:rPr>
          <w:iCs/>
          <w:lang w:val="en-GB"/>
        </w:rPr>
        <w:t>graph</w:t>
      </w:r>
      <w:r w:rsidR="00034B50" w:rsidRPr="0026246C">
        <w:rPr>
          <w:iCs/>
          <w:lang w:val="en-GB"/>
        </w:rPr>
        <w:t>s 1, 2, 3</w:t>
      </w:r>
      <w:r w:rsidR="00F875F5" w:rsidRPr="0026246C">
        <w:rPr>
          <w:iCs/>
          <w:lang w:val="en-GB"/>
        </w:rPr>
        <w:t xml:space="preserve"> </w:t>
      </w:r>
      <w:r w:rsidR="00034B50" w:rsidRPr="0026246C">
        <w:rPr>
          <w:iCs/>
          <w:lang w:val="en-GB"/>
        </w:rPr>
        <w:t>(b), 3</w:t>
      </w:r>
      <w:r w:rsidR="00F875F5" w:rsidRPr="0026246C">
        <w:rPr>
          <w:iCs/>
          <w:lang w:val="en-GB"/>
        </w:rPr>
        <w:t xml:space="preserve"> </w:t>
      </w:r>
      <w:r w:rsidR="00034B50" w:rsidRPr="0026246C">
        <w:rPr>
          <w:iCs/>
          <w:lang w:val="en-GB"/>
        </w:rPr>
        <w:t>(g) and 5</w:t>
      </w:r>
      <w:r w:rsidR="00131938" w:rsidRPr="00940396">
        <w:rPr>
          <w:iCs/>
          <w:lang w:val="en-GB"/>
        </w:rPr>
        <w:t>; 18</w:t>
      </w:r>
    </w:p>
    <w:p w:rsidR="003622DA" w:rsidRPr="0026246C" w:rsidRDefault="003622DA" w:rsidP="007A16FC">
      <w:pPr>
        <w:pStyle w:val="SingleTxtG"/>
        <w:ind w:left="4536" w:hanging="3402"/>
        <w:rPr>
          <w:lang w:val="en-GB"/>
        </w:rPr>
      </w:pPr>
      <w:r w:rsidRPr="0026246C">
        <w:rPr>
          <w:i/>
          <w:iCs/>
          <w:lang w:val="en-GB"/>
        </w:rPr>
        <w:t xml:space="preserve">Articles of the Optional Protocol: </w:t>
      </w:r>
      <w:r w:rsidRPr="0026246C">
        <w:rPr>
          <w:i/>
          <w:iCs/>
          <w:lang w:val="en-GB"/>
        </w:rPr>
        <w:tab/>
      </w:r>
      <w:r w:rsidR="00D80569" w:rsidRPr="0026246C">
        <w:rPr>
          <w:iCs/>
          <w:lang w:val="en-GB"/>
        </w:rPr>
        <w:t xml:space="preserve">1, </w:t>
      </w:r>
      <w:r w:rsidRPr="0026246C">
        <w:rPr>
          <w:lang w:val="en-GB"/>
        </w:rPr>
        <w:t>2 and 5, paragraph 2</w:t>
      </w:r>
      <w:r w:rsidR="00F875F5" w:rsidRPr="0026246C">
        <w:rPr>
          <w:lang w:val="en-GB"/>
        </w:rPr>
        <w:t xml:space="preserve"> </w:t>
      </w:r>
      <w:r w:rsidRPr="0026246C">
        <w:rPr>
          <w:lang w:val="en-GB"/>
        </w:rPr>
        <w:t>(b)</w:t>
      </w:r>
    </w:p>
    <w:p w:rsidR="003622DA" w:rsidRPr="00940396" w:rsidRDefault="003622DA" w:rsidP="007A16FC">
      <w:pPr>
        <w:pStyle w:val="HChG"/>
      </w:pPr>
      <w:r w:rsidRPr="00940396">
        <w:br w:type="page"/>
      </w:r>
      <w:r w:rsidRPr="00940396">
        <w:lastRenderedPageBreak/>
        <w:t>Annex</w:t>
      </w:r>
    </w:p>
    <w:p w:rsidR="00545903" w:rsidRPr="0026246C" w:rsidRDefault="003622DA" w:rsidP="00545903">
      <w:pPr>
        <w:pStyle w:val="HChG"/>
        <w:rPr>
          <w:bCs/>
        </w:rPr>
      </w:pPr>
      <w:r w:rsidRPr="00940396">
        <w:tab/>
      </w:r>
      <w:r w:rsidRPr="00940396">
        <w:tab/>
      </w:r>
      <w:r w:rsidR="00545903" w:rsidRPr="00402254">
        <w:t>Views of the Human Rights Committee under article 5, paragraph 4, of the Optional Protocol to the In</w:t>
      </w:r>
      <w:r w:rsidR="00545903" w:rsidRPr="0026246C">
        <w:t>ternational Covenant on Civil and Political Rights (</w:t>
      </w:r>
      <w:r w:rsidR="00DC2389" w:rsidRPr="0026246C">
        <w:t>106th</w:t>
      </w:r>
      <w:r w:rsidR="0000720E" w:rsidRPr="0026246C">
        <w:t xml:space="preserve"> session</w:t>
      </w:r>
      <w:r w:rsidR="00545903" w:rsidRPr="0026246C">
        <w:rPr>
          <w:bCs/>
        </w:rPr>
        <w:t>)</w:t>
      </w:r>
    </w:p>
    <w:p w:rsidR="003622DA" w:rsidRPr="0026246C" w:rsidRDefault="003622DA" w:rsidP="00395807">
      <w:pPr>
        <w:pStyle w:val="SingleTxtG"/>
        <w:rPr>
          <w:lang w:val="en-GB"/>
        </w:rPr>
      </w:pPr>
      <w:r w:rsidRPr="0026246C">
        <w:rPr>
          <w:lang w:val="en-GB"/>
        </w:rPr>
        <w:t>concerning</w:t>
      </w:r>
    </w:p>
    <w:p w:rsidR="003622DA" w:rsidRPr="0026246C" w:rsidRDefault="003C6EF3" w:rsidP="007A16FC">
      <w:pPr>
        <w:pStyle w:val="H1G"/>
      </w:pPr>
      <w:r w:rsidRPr="00940396">
        <w:tab/>
      </w:r>
      <w:r w:rsidRPr="00940396">
        <w:tab/>
        <w:t>Communication No. 2120/2011</w:t>
      </w:r>
      <w:r w:rsidR="001460A6" w:rsidRPr="00402254">
        <w:rPr>
          <w:rStyle w:val="FootnoteReference"/>
        </w:rPr>
        <w:footnoteReference w:customMarkFollows="1" w:id="2"/>
        <w:t>*</w:t>
      </w:r>
    </w:p>
    <w:p w:rsidR="003C6EF3" w:rsidRPr="0026246C" w:rsidRDefault="003622DA" w:rsidP="003C6EF3">
      <w:pPr>
        <w:pStyle w:val="SingleTxtG"/>
        <w:ind w:left="4536" w:hanging="3402"/>
        <w:rPr>
          <w:lang w:val="en-GB"/>
        </w:rPr>
      </w:pPr>
      <w:r w:rsidRPr="0026246C">
        <w:rPr>
          <w:i/>
          <w:lang w:val="en-GB"/>
        </w:rPr>
        <w:t>Submitted by</w:t>
      </w:r>
      <w:r w:rsidRPr="0026246C">
        <w:rPr>
          <w:lang w:val="en-GB"/>
        </w:rPr>
        <w:t>:</w:t>
      </w:r>
      <w:r w:rsidRPr="0026246C">
        <w:rPr>
          <w:lang w:val="en-GB"/>
        </w:rPr>
        <w:tab/>
      </w:r>
      <w:r w:rsidR="003C6EF3" w:rsidRPr="0026246C">
        <w:rPr>
          <w:lang w:val="en-GB"/>
        </w:rPr>
        <w:t>Lyubov Kovaleva and Tatyana Kozyar (represented by counsel</w:t>
      </w:r>
      <w:r w:rsidR="00D66956" w:rsidRPr="0026246C">
        <w:rPr>
          <w:lang w:val="en-GB"/>
        </w:rPr>
        <w:t>, Ro</w:t>
      </w:r>
      <w:r w:rsidR="00470DA5" w:rsidRPr="0026246C">
        <w:rPr>
          <w:lang w:val="en-GB"/>
        </w:rPr>
        <w:t>man Kisl</w:t>
      </w:r>
      <w:r w:rsidR="00904577" w:rsidRPr="00940396">
        <w:rPr>
          <w:lang w:val="en-GB"/>
        </w:rPr>
        <w:t>i</w:t>
      </w:r>
      <w:r w:rsidR="003C6EF3" w:rsidRPr="0026246C">
        <w:rPr>
          <w:lang w:val="en-GB"/>
        </w:rPr>
        <w:t>ak)</w:t>
      </w:r>
    </w:p>
    <w:p w:rsidR="003622DA" w:rsidRPr="0026246C" w:rsidRDefault="003622DA" w:rsidP="00545903">
      <w:pPr>
        <w:pStyle w:val="SingleTxtG"/>
        <w:ind w:left="4536" w:hanging="3402"/>
        <w:rPr>
          <w:lang w:val="en-GB"/>
        </w:rPr>
      </w:pPr>
      <w:r w:rsidRPr="0026246C">
        <w:rPr>
          <w:i/>
          <w:lang w:val="en-GB"/>
        </w:rPr>
        <w:t>Alleged victim</w:t>
      </w:r>
      <w:r w:rsidR="008E722D" w:rsidRPr="00940396">
        <w:rPr>
          <w:i/>
          <w:lang w:val="en-GB"/>
        </w:rPr>
        <w:t>s</w:t>
      </w:r>
      <w:r w:rsidRPr="0026246C">
        <w:rPr>
          <w:lang w:val="en-GB"/>
        </w:rPr>
        <w:t>:</w:t>
      </w:r>
      <w:r w:rsidRPr="0026246C">
        <w:rPr>
          <w:lang w:val="en-GB"/>
        </w:rPr>
        <w:tab/>
      </w:r>
      <w:r w:rsidR="007C047B" w:rsidRPr="00940396">
        <w:rPr>
          <w:lang w:val="en-GB"/>
        </w:rPr>
        <w:t xml:space="preserve">The authors and </w:t>
      </w:r>
      <w:r w:rsidR="00D66956" w:rsidRPr="0026246C">
        <w:rPr>
          <w:lang w:val="en-GB"/>
        </w:rPr>
        <w:t>Vladislav Kovalev</w:t>
      </w:r>
      <w:r w:rsidR="00A97FED" w:rsidRPr="0026246C">
        <w:rPr>
          <w:lang w:val="en-GB"/>
        </w:rPr>
        <w:t>, their son and brother respectively</w:t>
      </w:r>
    </w:p>
    <w:p w:rsidR="003622DA" w:rsidRPr="0026246C" w:rsidRDefault="003622DA" w:rsidP="007A16FC">
      <w:pPr>
        <w:pStyle w:val="SingleTxtG"/>
        <w:ind w:left="4536" w:hanging="3402"/>
        <w:rPr>
          <w:lang w:val="en-GB"/>
        </w:rPr>
      </w:pPr>
      <w:r w:rsidRPr="0026246C">
        <w:rPr>
          <w:i/>
          <w:lang w:val="en-GB"/>
        </w:rPr>
        <w:t>State Party</w:t>
      </w:r>
      <w:r w:rsidRPr="0026246C">
        <w:rPr>
          <w:lang w:val="en-GB"/>
        </w:rPr>
        <w:t>:</w:t>
      </w:r>
      <w:r w:rsidRPr="0026246C">
        <w:rPr>
          <w:lang w:val="en-GB"/>
        </w:rPr>
        <w:tab/>
      </w:r>
      <w:smartTag w:uri="urn:schemas-microsoft-com:office:smarttags" w:element="country-region">
        <w:smartTag w:uri="urn:schemas-microsoft-com:office:smarttags" w:element="place">
          <w:r w:rsidR="00545903" w:rsidRPr="0026246C">
            <w:rPr>
              <w:lang w:val="en-GB"/>
            </w:rPr>
            <w:t>Belarus</w:t>
          </w:r>
        </w:smartTag>
      </w:smartTag>
    </w:p>
    <w:p w:rsidR="003622DA" w:rsidRPr="0026246C" w:rsidRDefault="003622DA" w:rsidP="007A16FC">
      <w:pPr>
        <w:pStyle w:val="SingleTxtG"/>
        <w:ind w:left="4536" w:hanging="3402"/>
        <w:rPr>
          <w:lang w:val="en-GB"/>
        </w:rPr>
      </w:pPr>
      <w:r w:rsidRPr="0026246C">
        <w:rPr>
          <w:i/>
          <w:lang w:val="en-GB"/>
        </w:rPr>
        <w:t>Date of communication</w:t>
      </w:r>
      <w:r w:rsidRPr="0026246C">
        <w:rPr>
          <w:lang w:val="en-GB"/>
        </w:rPr>
        <w:t>:</w:t>
      </w:r>
      <w:r w:rsidRPr="0026246C">
        <w:rPr>
          <w:lang w:val="en-GB"/>
        </w:rPr>
        <w:tab/>
      </w:r>
      <w:r w:rsidR="00545903" w:rsidRPr="0026246C">
        <w:rPr>
          <w:lang w:val="en-GB"/>
        </w:rPr>
        <w:t>14 December 2011</w:t>
      </w:r>
    </w:p>
    <w:p w:rsidR="003622DA" w:rsidRPr="0026246C" w:rsidRDefault="003622DA" w:rsidP="007A16FC">
      <w:pPr>
        <w:pStyle w:val="SingleTxtG"/>
        <w:rPr>
          <w:lang w:val="en-GB"/>
        </w:rPr>
      </w:pPr>
      <w:r w:rsidRPr="0026246C">
        <w:rPr>
          <w:lang w:val="en-GB"/>
        </w:rPr>
        <w:tab/>
      </w:r>
      <w:r w:rsidRPr="0026246C">
        <w:rPr>
          <w:i/>
          <w:lang w:val="en-GB"/>
        </w:rPr>
        <w:t>The Human Rights Committee</w:t>
      </w:r>
      <w:r w:rsidRPr="0026246C">
        <w:rPr>
          <w:lang w:val="en-GB"/>
        </w:rPr>
        <w:t xml:space="preserve">, established under article 28 of the International Covenant on Civil and Political Rights, </w:t>
      </w:r>
    </w:p>
    <w:p w:rsidR="003622DA" w:rsidRDefault="003622DA" w:rsidP="007A16FC">
      <w:pPr>
        <w:pStyle w:val="SingleTxtG"/>
        <w:rPr>
          <w:lang w:val="en-GB"/>
        </w:rPr>
      </w:pPr>
      <w:r w:rsidRPr="0026246C">
        <w:rPr>
          <w:lang w:val="en-GB"/>
        </w:rPr>
        <w:tab/>
      </w:r>
      <w:r w:rsidRPr="0026246C">
        <w:rPr>
          <w:i/>
          <w:lang w:val="en-GB"/>
        </w:rPr>
        <w:t>Meeting on</w:t>
      </w:r>
      <w:r w:rsidRPr="0026246C">
        <w:rPr>
          <w:lang w:val="en-GB"/>
        </w:rPr>
        <w:t xml:space="preserve"> </w:t>
      </w:r>
      <w:r w:rsidR="004919A1" w:rsidRPr="00940396">
        <w:rPr>
          <w:lang w:val="en-GB"/>
        </w:rPr>
        <w:t>29</w:t>
      </w:r>
      <w:r w:rsidRPr="0026246C">
        <w:rPr>
          <w:lang w:val="en-GB"/>
        </w:rPr>
        <w:t xml:space="preserve"> </w:t>
      </w:r>
      <w:r w:rsidR="00664948" w:rsidRPr="0026246C">
        <w:rPr>
          <w:lang w:val="en-GB"/>
        </w:rPr>
        <w:t>October</w:t>
      </w:r>
      <w:r w:rsidRPr="0026246C">
        <w:rPr>
          <w:lang w:val="en-GB"/>
        </w:rPr>
        <w:t xml:space="preserve"> 2012,</w:t>
      </w:r>
    </w:p>
    <w:p w:rsidR="00576572" w:rsidRPr="00576572" w:rsidRDefault="00576572" w:rsidP="00576572">
      <w:pPr>
        <w:pStyle w:val="SingleTxtG"/>
        <w:rPr>
          <w:i/>
        </w:rPr>
      </w:pPr>
      <w:r w:rsidRPr="00576572">
        <w:rPr>
          <w:i/>
        </w:rPr>
        <w:tab/>
        <w:t xml:space="preserve">Having concluded </w:t>
      </w:r>
      <w:r w:rsidRPr="00576572">
        <w:t>its consideration of communication No. 2120/2011, submitted to the Human Rights Committee by Lyubov Kovaleva and Tatyana Kozyar under the Optional Protocol to the International Covenant on Civil and Political Rights,</w:t>
      </w:r>
    </w:p>
    <w:p w:rsidR="00576572" w:rsidRPr="00576572" w:rsidRDefault="00576572" w:rsidP="00576572">
      <w:pPr>
        <w:pStyle w:val="SingleTxtG"/>
        <w:rPr>
          <w:i/>
        </w:rPr>
      </w:pPr>
      <w:r w:rsidRPr="00576572">
        <w:rPr>
          <w:i/>
        </w:rPr>
        <w:tab/>
        <w:t xml:space="preserve">Having taken into account </w:t>
      </w:r>
      <w:r w:rsidRPr="00576572">
        <w:t>all written information made available to it by the authors of the communication and the State party,</w:t>
      </w:r>
    </w:p>
    <w:p w:rsidR="003622DA" w:rsidRPr="0026246C" w:rsidRDefault="003622DA" w:rsidP="007A16FC">
      <w:pPr>
        <w:pStyle w:val="SingleTxtG"/>
        <w:rPr>
          <w:bCs/>
          <w:lang w:val="en-GB"/>
        </w:rPr>
      </w:pPr>
      <w:r w:rsidRPr="0026246C">
        <w:rPr>
          <w:bCs/>
          <w:lang w:val="en-GB"/>
        </w:rPr>
        <w:tab/>
      </w:r>
      <w:r w:rsidRPr="0026246C">
        <w:rPr>
          <w:bCs/>
          <w:i/>
          <w:lang w:val="en-GB"/>
        </w:rPr>
        <w:t>Adopts the following</w:t>
      </w:r>
      <w:r w:rsidRPr="0026246C">
        <w:rPr>
          <w:bCs/>
          <w:lang w:val="en-GB"/>
        </w:rPr>
        <w:t>:</w:t>
      </w:r>
    </w:p>
    <w:p w:rsidR="00F213B7" w:rsidRPr="00402254" w:rsidRDefault="003622DA" w:rsidP="00F213B7">
      <w:pPr>
        <w:pStyle w:val="H1G"/>
        <w:rPr>
          <w:szCs w:val="24"/>
        </w:rPr>
      </w:pPr>
      <w:r w:rsidRPr="00940396">
        <w:tab/>
      </w:r>
      <w:r w:rsidRPr="00940396">
        <w:tab/>
      </w:r>
      <w:r w:rsidR="00F213B7" w:rsidRPr="00402254">
        <w:rPr>
          <w:szCs w:val="24"/>
        </w:rPr>
        <w:t>Views under article 5, paragraph 4, of the Optional Protocol</w:t>
      </w:r>
    </w:p>
    <w:p w:rsidR="00FC6701" w:rsidRPr="0026246C" w:rsidRDefault="00047D98" w:rsidP="00D6242E">
      <w:pPr>
        <w:pStyle w:val="SingleTxtG"/>
        <w:rPr>
          <w:lang w:val="en-GB"/>
        </w:rPr>
      </w:pPr>
      <w:r w:rsidRPr="0026246C">
        <w:rPr>
          <w:lang w:val="en-GB"/>
        </w:rPr>
        <w:t>1.</w:t>
      </w:r>
      <w:r w:rsidR="00792EBD" w:rsidRPr="0026246C">
        <w:rPr>
          <w:lang w:val="en-GB"/>
        </w:rPr>
        <w:t>1</w:t>
      </w:r>
      <w:r w:rsidR="00FC6701" w:rsidRPr="0026246C">
        <w:rPr>
          <w:lang w:val="en-GB"/>
        </w:rPr>
        <w:tab/>
      </w:r>
      <w:r w:rsidRPr="0026246C">
        <w:rPr>
          <w:lang w:val="en-GB"/>
        </w:rPr>
        <w:t>The authors of the communication are Lyu</w:t>
      </w:r>
      <w:r w:rsidR="00FC6701" w:rsidRPr="0026246C">
        <w:rPr>
          <w:lang w:val="en-GB"/>
        </w:rPr>
        <w:t>bov Kovaleva and Tatyana</w:t>
      </w:r>
      <w:r w:rsidRPr="0026246C">
        <w:rPr>
          <w:lang w:val="en-GB"/>
        </w:rPr>
        <w:t xml:space="preserve"> Kozyar</w:t>
      </w:r>
      <w:r w:rsidR="00FC6701" w:rsidRPr="0026246C">
        <w:rPr>
          <w:lang w:val="en-GB"/>
        </w:rPr>
        <w:t xml:space="preserve">, </w:t>
      </w:r>
      <w:r w:rsidRPr="0026246C">
        <w:rPr>
          <w:lang w:val="en-GB"/>
        </w:rPr>
        <w:t xml:space="preserve">both nationals of </w:t>
      </w:r>
      <w:smartTag w:uri="urn:schemas-microsoft-com:office:smarttags" w:element="country-region">
        <w:smartTag w:uri="urn:schemas-microsoft-com:office:smarttags" w:element="place">
          <w:r w:rsidRPr="0026246C">
            <w:rPr>
              <w:lang w:val="en-GB"/>
            </w:rPr>
            <w:t>Belarus</w:t>
          </w:r>
        </w:smartTag>
      </w:smartTag>
      <w:r w:rsidRPr="0026246C">
        <w:rPr>
          <w:lang w:val="en-GB"/>
        </w:rPr>
        <w:t>.</w:t>
      </w:r>
      <w:r w:rsidR="00FC6701" w:rsidRPr="0026246C">
        <w:rPr>
          <w:lang w:val="en-GB"/>
        </w:rPr>
        <w:t xml:space="preserve"> </w:t>
      </w:r>
      <w:r w:rsidRPr="0026246C">
        <w:rPr>
          <w:lang w:val="en-GB"/>
        </w:rPr>
        <w:t>The</w:t>
      </w:r>
      <w:r w:rsidR="00C24EFD" w:rsidRPr="0026246C">
        <w:rPr>
          <w:lang w:val="en-GB"/>
        </w:rPr>
        <w:t>y submit the</w:t>
      </w:r>
      <w:r w:rsidRPr="0026246C">
        <w:rPr>
          <w:lang w:val="en-GB"/>
        </w:rPr>
        <w:t xml:space="preserve"> communication on </w:t>
      </w:r>
      <w:r w:rsidR="00B72B30" w:rsidRPr="00940396">
        <w:rPr>
          <w:lang w:val="en-GB"/>
        </w:rPr>
        <w:t xml:space="preserve">their own behalf and on </w:t>
      </w:r>
      <w:r w:rsidRPr="0026246C">
        <w:rPr>
          <w:lang w:val="en-GB"/>
        </w:rPr>
        <w:t>behalf of Vladislav Kovalev,</w:t>
      </w:r>
      <w:r w:rsidR="00E84F27" w:rsidRPr="0026246C">
        <w:rPr>
          <w:lang w:val="en-GB"/>
        </w:rPr>
        <w:t xml:space="preserve"> a national of Belarus born in 1986</w:t>
      </w:r>
      <w:r w:rsidR="008F6D72" w:rsidRPr="00940396">
        <w:rPr>
          <w:lang w:val="en-GB"/>
        </w:rPr>
        <w:t xml:space="preserve"> (</w:t>
      </w:r>
      <w:r w:rsidRPr="0026246C">
        <w:rPr>
          <w:lang w:val="en-GB"/>
        </w:rPr>
        <w:t>the</w:t>
      </w:r>
      <w:r w:rsidR="000B2253" w:rsidRPr="0026246C">
        <w:rPr>
          <w:lang w:val="en-GB"/>
        </w:rPr>
        <w:t>ir son and brother</w:t>
      </w:r>
      <w:r w:rsidR="00B46B0A" w:rsidRPr="0026246C">
        <w:rPr>
          <w:lang w:val="en-GB"/>
        </w:rPr>
        <w:t>,</w:t>
      </w:r>
      <w:r w:rsidR="000B2253" w:rsidRPr="0026246C">
        <w:rPr>
          <w:lang w:val="en-GB"/>
        </w:rPr>
        <w:t xml:space="preserve"> </w:t>
      </w:r>
      <w:r w:rsidRPr="0026246C">
        <w:rPr>
          <w:lang w:val="en-GB"/>
        </w:rPr>
        <w:t>respective</w:t>
      </w:r>
      <w:r w:rsidR="00E84F27" w:rsidRPr="0026246C">
        <w:rPr>
          <w:lang w:val="en-GB"/>
        </w:rPr>
        <w:t>ly</w:t>
      </w:r>
      <w:r w:rsidR="008F6D72" w:rsidRPr="00940396">
        <w:rPr>
          <w:lang w:val="en-GB"/>
        </w:rPr>
        <w:t>)</w:t>
      </w:r>
      <w:r w:rsidR="004D5BBC" w:rsidRPr="0026246C">
        <w:rPr>
          <w:lang w:val="en-GB"/>
        </w:rPr>
        <w:t xml:space="preserve"> </w:t>
      </w:r>
      <w:r w:rsidR="008F6D72" w:rsidRPr="0026246C">
        <w:rPr>
          <w:lang w:val="en-GB"/>
        </w:rPr>
        <w:t xml:space="preserve">who at the time of submission of the communication was </w:t>
      </w:r>
      <w:r w:rsidR="003A040B" w:rsidRPr="00940396">
        <w:rPr>
          <w:lang w:val="en-GB"/>
        </w:rPr>
        <w:t>detained on death row</w:t>
      </w:r>
      <w:r w:rsidR="008F6D72" w:rsidRPr="0026246C">
        <w:rPr>
          <w:lang w:val="en-GB"/>
        </w:rPr>
        <w:t xml:space="preserve"> </w:t>
      </w:r>
      <w:r w:rsidR="00FF6F55" w:rsidRPr="00940396">
        <w:rPr>
          <w:lang w:val="en-GB"/>
        </w:rPr>
        <w:t xml:space="preserve">after being sentenced to death by </w:t>
      </w:r>
      <w:r w:rsidR="008F6D72" w:rsidRPr="0026246C">
        <w:rPr>
          <w:lang w:val="en-GB"/>
        </w:rPr>
        <w:t xml:space="preserve">the Supreme Court of </w:t>
      </w:r>
      <w:r w:rsidR="008F6D72" w:rsidRPr="00940396">
        <w:rPr>
          <w:lang w:val="en-GB"/>
        </w:rPr>
        <w:t>Belarus.</w:t>
      </w:r>
      <w:r w:rsidR="00D6242E" w:rsidRPr="0026246C">
        <w:rPr>
          <w:lang w:val="en-GB"/>
        </w:rPr>
        <w:t xml:space="preserve"> </w:t>
      </w:r>
      <w:r w:rsidR="00FC6701" w:rsidRPr="0026246C">
        <w:rPr>
          <w:lang w:val="en-GB"/>
        </w:rPr>
        <w:t xml:space="preserve">The authors claim </w:t>
      </w:r>
      <w:r w:rsidR="00D6242E" w:rsidRPr="0026246C">
        <w:rPr>
          <w:lang w:val="en-GB"/>
        </w:rPr>
        <w:t xml:space="preserve">that </w:t>
      </w:r>
      <w:r w:rsidR="00FC6701" w:rsidRPr="0026246C">
        <w:rPr>
          <w:lang w:val="en-GB"/>
        </w:rPr>
        <w:t xml:space="preserve">Mr. Kovalev </w:t>
      </w:r>
      <w:r w:rsidR="00D6242E" w:rsidRPr="0026246C">
        <w:rPr>
          <w:lang w:val="en-GB"/>
        </w:rPr>
        <w:t xml:space="preserve">is a victim </w:t>
      </w:r>
      <w:r w:rsidR="00FC6701" w:rsidRPr="0026246C">
        <w:rPr>
          <w:lang w:val="en-GB"/>
        </w:rPr>
        <w:t>of violations by Belarus of his rights under article 6, paragraphs 1 and 2; article 7, article 9, paragraphs 1 and 3; and article 1</w:t>
      </w:r>
      <w:r w:rsidR="00D6242E" w:rsidRPr="0026246C">
        <w:rPr>
          <w:lang w:val="en-GB"/>
        </w:rPr>
        <w:t>4, paragraphs 1, 2, 3</w:t>
      </w:r>
      <w:r w:rsidR="003D0109" w:rsidRPr="0026246C">
        <w:rPr>
          <w:lang w:val="en-GB"/>
        </w:rPr>
        <w:t xml:space="preserve"> </w:t>
      </w:r>
      <w:r w:rsidR="00D6242E" w:rsidRPr="0026246C">
        <w:rPr>
          <w:lang w:val="en-GB"/>
        </w:rPr>
        <w:t>(b), 3</w:t>
      </w:r>
      <w:r w:rsidR="003D0109" w:rsidRPr="0026246C">
        <w:rPr>
          <w:lang w:val="en-GB"/>
        </w:rPr>
        <w:t xml:space="preserve"> </w:t>
      </w:r>
      <w:r w:rsidR="00D6242E" w:rsidRPr="0026246C">
        <w:rPr>
          <w:lang w:val="en-GB"/>
        </w:rPr>
        <w:t xml:space="preserve">(g) and </w:t>
      </w:r>
      <w:r w:rsidR="00FC6701" w:rsidRPr="0026246C">
        <w:rPr>
          <w:lang w:val="en-GB"/>
        </w:rPr>
        <w:t>5</w:t>
      </w:r>
      <w:r w:rsidR="00D6242E" w:rsidRPr="0026246C">
        <w:rPr>
          <w:lang w:val="en-GB"/>
        </w:rPr>
        <w:t>,</w:t>
      </w:r>
      <w:r w:rsidR="00FC6701" w:rsidRPr="0026246C">
        <w:rPr>
          <w:lang w:val="en-GB"/>
        </w:rPr>
        <w:t xml:space="preserve"> of the International Covenant on Civil and Political Rights.</w:t>
      </w:r>
      <w:r w:rsidR="001973D9" w:rsidRPr="0026246C">
        <w:rPr>
          <w:rStyle w:val="FootnoteReference"/>
          <w:lang w:val="en-GB"/>
        </w:rPr>
        <w:footnoteReference w:id="3"/>
      </w:r>
      <w:r w:rsidR="00FC6701" w:rsidRPr="0026246C">
        <w:rPr>
          <w:lang w:val="en-GB"/>
        </w:rPr>
        <w:t xml:space="preserve"> The authors </w:t>
      </w:r>
      <w:r w:rsidR="002D0B9C" w:rsidRPr="00940396">
        <w:rPr>
          <w:lang w:val="en-GB"/>
        </w:rPr>
        <w:t xml:space="preserve">also claim </w:t>
      </w:r>
      <w:r w:rsidR="006D33FB" w:rsidRPr="00402254">
        <w:rPr>
          <w:lang w:val="en-GB"/>
        </w:rPr>
        <w:t xml:space="preserve">to be victims of </w:t>
      </w:r>
      <w:r w:rsidR="002D0B9C" w:rsidRPr="0026246C">
        <w:rPr>
          <w:lang w:val="en-GB"/>
        </w:rPr>
        <w:t>a violation of article</w:t>
      </w:r>
      <w:r w:rsidR="006D33FB" w:rsidRPr="0026246C">
        <w:rPr>
          <w:lang w:val="en-GB"/>
        </w:rPr>
        <w:t>s</w:t>
      </w:r>
      <w:r w:rsidR="002D0B9C" w:rsidRPr="0026246C">
        <w:rPr>
          <w:lang w:val="en-GB"/>
        </w:rPr>
        <w:t xml:space="preserve"> 7</w:t>
      </w:r>
      <w:r w:rsidR="006D33FB" w:rsidRPr="0026246C">
        <w:rPr>
          <w:lang w:val="en-GB"/>
        </w:rPr>
        <w:t xml:space="preserve"> and </w:t>
      </w:r>
      <w:smartTag w:uri="urn:schemas-microsoft-com:office:smarttags" w:element="metricconverter">
        <w:smartTagPr>
          <w:attr w:name="ProductID" w:val="18 in"/>
        </w:smartTagPr>
        <w:r w:rsidR="006D33FB" w:rsidRPr="0026246C">
          <w:rPr>
            <w:lang w:val="en-GB"/>
          </w:rPr>
          <w:t>18</w:t>
        </w:r>
        <w:r w:rsidR="002D0B9C" w:rsidRPr="0026246C">
          <w:rPr>
            <w:lang w:val="en-GB"/>
          </w:rPr>
          <w:t xml:space="preserve"> in</w:t>
        </w:r>
      </w:smartTag>
      <w:r w:rsidR="002D0B9C" w:rsidRPr="0026246C">
        <w:rPr>
          <w:lang w:val="en-GB"/>
        </w:rPr>
        <w:t xml:space="preserve"> their own respect. The authors </w:t>
      </w:r>
      <w:r w:rsidR="00FC6701" w:rsidRPr="0026246C">
        <w:rPr>
          <w:lang w:val="en-GB"/>
        </w:rPr>
        <w:t>are represe</w:t>
      </w:r>
      <w:r w:rsidR="00792EBD" w:rsidRPr="0026246C">
        <w:rPr>
          <w:lang w:val="en-GB"/>
        </w:rPr>
        <w:t>nted by counsel, Mr. Ro</w:t>
      </w:r>
      <w:r w:rsidR="00470DA5" w:rsidRPr="0026246C">
        <w:rPr>
          <w:lang w:val="en-GB"/>
        </w:rPr>
        <w:t>man Kisl</w:t>
      </w:r>
      <w:r w:rsidR="00904577" w:rsidRPr="00940396">
        <w:rPr>
          <w:lang w:val="en-GB"/>
        </w:rPr>
        <w:t>i</w:t>
      </w:r>
      <w:r w:rsidR="00FC6701" w:rsidRPr="0026246C">
        <w:rPr>
          <w:lang w:val="en-GB"/>
        </w:rPr>
        <w:t>ak.</w:t>
      </w:r>
    </w:p>
    <w:p w:rsidR="001A0AF1" w:rsidRPr="0026246C" w:rsidRDefault="00FC6701" w:rsidP="00FC6701">
      <w:pPr>
        <w:spacing w:after="120" w:line="240" w:lineRule="auto"/>
        <w:ind w:left="1134" w:right="1134"/>
        <w:jc w:val="both"/>
      </w:pPr>
      <w:r w:rsidRPr="00940396">
        <w:lastRenderedPageBreak/>
        <w:t>1.2</w:t>
      </w:r>
      <w:r w:rsidRPr="00940396">
        <w:tab/>
      </w:r>
      <w:r w:rsidR="0099346C" w:rsidRPr="00402254">
        <w:t>When registering the communication</w:t>
      </w:r>
      <w:r w:rsidR="0099346C" w:rsidRPr="0026246C">
        <w:rPr>
          <w:rFonts w:ascii="Verdana" w:hAnsi="Verdana"/>
        </w:rPr>
        <w:t xml:space="preserve"> </w:t>
      </w:r>
      <w:r w:rsidR="0099346C" w:rsidRPr="0026246C">
        <w:t>o</w:t>
      </w:r>
      <w:r w:rsidR="009E03C9" w:rsidRPr="0026246C">
        <w:t xml:space="preserve">n </w:t>
      </w:r>
      <w:r w:rsidR="00D610A5" w:rsidRPr="0026246C">
        <w:t>15 December 2011</w:t>
      </w:r>
      <w:r w:rsidR="009E03C9" w:rsidRPr="0026246C">
        <w:t xml:space="preserve">, </w:t>
      </w:r>
      <w:r w:rsidR="0099346C" w:rsidRPr="0026246C">
        <w:t xml:space="preserve">and </w:t>
      </w:r>
      <w:r w:rsidR="009E03C9" w:rsidRPr="0026246C">
        <w:t>pursuant to rule 92 of its rules</w:t>
      </w:r>
      <w:r w:rsidR="002E5417" w:rsidRPr="0026246C">
        <w:t xml:space="preserve"> of procedure, the </w:t>
      </w:r>
      <w:r w:rsidR="009E03C9" w:rsidRPr="0026246C">
        <w:t xml:space="preserve">Committee, acting through its </w:t>
      </w:r>
      <w:r w:rsidR="009E03C9" w:rsidRPr="00B93654">
        <w:t xml:space="preserve">Special Rapporteur on </w:t>
      </w:r>
      <w:r w:rsidR="00D65A44" w:rsidRPr="00B93654">
        <w:t>new communications and interim measures</w:t>
      </w:r>
      <w:r w:rsidR="009E03C9" w:rsidRPr="00940396">
        <w:t>, requested the State part</w:t>
      </w:r>
      <w:r w:rsidR="009E03C9" w:rsidRPr="00402254">
        <w:t>y not to carry out Mr</w:t>
      </w:r>
      <w:r w:rsidR="003A2A98" w:rsidRPr="0026246C">
        <w:t>.</w:t>
      </w:r>
      <w:r w:rsidR="009E03C9" w:rsidRPr="0026246C">
        <w:t xml:space="preserve"> </w:t>
      </w:r>
      <w:r w:rsidR="00D610A5" w:rsidRPr="0026246C">
        <w:t>Kovalev</w:t>
      </w:r>
      <w:r w:rsidR="00D65A44" w:rsidRPr="0026246C">
        <w:t>’</w:t>
      </w:r>
      <w:r w:rsidR="001973D9" w:rsidRPr="0026246C">
        <w:t xml:space="preserve">s execution while his case </w:t>
      </w:r>
      <w:r w:rsidR="00D65A44" w:rsidRPr="0026246C">
        <w:t>wa</w:t>
      </w:r>
      <w:r w:rsidR="00BF08CA" w:rsidRPr="0026246C">
        <w:t>s</w:t>
      </w:r>
      <w:r w:rsidR="009E03C9" w:rsidRPr="0026246C">
        <w:t xml:space="preserve"> </w:t>
      </w:r>
      <w:r w:rsidR="002E5417" w:rsidRPr="0026246C">
        <w:t>under examination</w:t>
      </w:r>
      <w:r w:rsidR="009E03C9" w:rsidRPr="0026246C">
        <w:t xml:space="preserve"> by the Committee.</w:t>
      </w:r>
      <w:r w:rsidR="004C0D04" w:rsidRPr="0026246C">
        <w:t xml:space="preserve"> This request </w:t>
      </w:r>
      <w:r w:rsidR="00D3050A" w:rsidRPr="0026246C">
        <w:t xml:space="preserve">for interim measures of protection </w:t>
      </w:r>
      <w:r w:rsidR="004C0D04" w:rsidRPr="0026246C">
        <w:t xml:space="preserve">was subsequently reiterated on </w:t>
      </w:r>
      <w:r w:rsidR="00B459C1" w:rsidRPr="0026246C">
        <w:t xml:space="preserve">27 </w:t>
      </w:r>
      <w:r w:rsidR="006D36B1" w:rsidRPr="0026246C">
        <w:t>Januar</w:t>
      </w:r>
      <w:r w:rsidR="00956202" w:rsidRPr="0026246C">
        <w:t xml:space="preserve">y, 14 February, </w:t>
      </w:r>
      <w:r w:rsidR="00DC69AC" w:rsidRPr="0026246C">
        <w:t>1 M</w:t>
      </w:r>
      <w:r w:rsidR="006D36B1" w:rsidRPr="0026246C">
        <w:t xml:space="preserve">arch </w:t>
      </w:r>
      <w:r w:rsidR="00956202" w:rsidRPr="0026246C">
        <w:t xml:space="preserve">and 15 March </w:t>
      </w:r>
      <w:r w:rsidR="006D36B1" w:rsidRPr="0026246C">
        <w:t>2012.</w:t>
      </w:r>
    </w:p>
    <w:p w:rsidR="007959D0" w:rsidRPr="0026246C" w:rsidRDefault="00D6173A" w:rsidP="007959D0">
      <w:pPr>
        <w:spacing w:after="120" w:line="240" w:lineRule="auto"/>
        <w:ind w:left="1134" w:right="1134"/>
        <w:jc w:val="both"/>
      </w:pPr>
      <w:r w:rsidRPr="0026246C">
        <w:t>1.3</w:t>
      </w:r>
      <w:r w:rsidRPr="0026246C">
        <w:tab/>
      </w:r>
      <w:r w:rsidR="007959D0" w:rsidRPr="0026246C">
        <w:t xml:space="preserve">On 14 February 2012, the Committee, acting through its Special Rapporteur on </w:t>
      </w:r>
      <w:r w:rsidR="00D65A44" w:rsidRPr="0026246C">
        <w:t>new communications and interim measures</w:t>
      </w:r>
      <w:r w:rsidR="007959D0" w:rsidRPr="0026246C">
        <w:t>, decided to examine the admissibility of the communication together with its merits.</w:t>
      </w:r>
    </w:p>
    <w:p w:rsidR="007959D0" w:rsidRPr="0026246C" w:rsidRDefault="00D6173A" w:rsidP="007959D0">
      <w:pPr>
        <w:spacing w:after="120" w:line="240" w:lineRule="auto"/>
        <w:ind w:left="1134" w:right="1134"/>
        <w:jc w:val="both"/>
      </w:pPr>
      <w:r w:rsidRPr="0026246C">
        <w:t>1.4</w:t>
      </w:r>
      <w:r w:rsidRPr="0026246C">
        <w:tab/>
      </w:r>
      <w:r w:rsidR="007959D0" w:rsidRPr="0026246C">
        <w:t xml:space="preserve">On 15 March </w:t>
      </w:r>
      <w:smartTag w:uri="urn:schemas-microsoft-com:office:smarttags" w:element="metricconverter">
        <w:smartTagPr>
          <w:attr w:name="ProductID" w:val="2012, in"/>
        </w:smartTagPr>
        <w:r w:rsidR="007959D0" w:rsidRPr="0026246C">
          <w:t xml:space="preserve">2012, </w:t>
        </w:r>
        <w:r w:rsidR="00956202" w:rsidRPr="0026246C">
          <w:t>in</w:t>
        </w:r>
      </w:smartTag>
      <w:r w:rsidR="00956202" w:rsidRPr="0026246C">
        <w:t xml:space="preserve"> reply to the State party’s note verbale dated 15 March 2012,</w:t>
      </w:r>
      <w:r w:rsidR="008F3572" w:rsidRPr="0026246C">
        <w:rPr>
          <w:rStyle w:val="FootnoteReference"/>
        </w:rPr>
        <w:footnoteReference w:id="4"/>
      </w:r>
      <w:r w:rsidR="00956202" w:rsidRPr="0026246C">
        <w:t xml:space="preserve"> th</w:t>
      </w:r>
      <w:r w:rsidR="00C70C75" w:rsidRPr="0026246C">
        <w:t xml:space="preserve">e Chairperson of the Committee </w:t>
      </w:r>
      <w:r w:rsidR="00462EBE" w:rsidRPr="0026246C">
        <w:t>reiterated</w:t>
      </w:r>
      <w:r w:rsidR="00303EF7" w:rsidRPr="0026246C">
        <w:t xml:space="preserve"> the Committee’s request for interim measures</w:t>
      </w:r>
      <w:r w:rsidR="00462EBE" w:rsidRPr="0026246C">
        <w:t xml:space="preserve">, </w:t>
      </w:r>
      <w:r w:rsidR="00303EF7" w:rsidRPr="0026246C">
        <w:t xml:space="preserve">drawing the State party’s attention to the fact that non-respect of interim measures </w:t>
      </w:r>
      <w:r w:rsidR="00DF4B18" w:rsidRPr="0026246C">
        <w:t>constitute</w:t>
      </w:r>
      <w:r w:rsidR="006E104B" w:rsidRPr="0026246C">
        <w:t>s</w:t>
      </w:r>
      <w:r w:rsidR="00DF4B18" w:rsidRPr="0026246C">
        <w:t xml:space="preserve"> a violation by States parties of their obligations to cooperate in good faith under the Optional Protocol to the Covenant.</w:t>
      </w:r>
    </w:p>
    <w:p w:rsidR="001A0AF1" w:rsidRPr="0026246C" w:rsidRDefault="007959D0" w:rsidP="0025056D">
      <w:pPr>
        <w:spacing w:after="120" w:line="240" w:lineRule="auto"/>
        <w:ind w:left="1134" w:right="1134"/>
        <w:jc w:val="both"/>
        <w:rPr>
          <w:color w:val="000000"/>
          <w:sz w:val="18"/>
          <w:szCs w:val="18"/>
          <w:lang w:eastAsia="en-GB"/>
        </w:rPr>
      </w:pPr>
      <w:r w:rsidRPr="0026246C">
        <w:t>1.5</w:t>
      </w:r>
      <w:r w:rsidR="001A0AF1" w:rsidRPr="0026246C">
        <w:tab/>
      </w:r>
      <w:r w:rsidRPr="0026246C">
        <w:t>On 19 March 2012, the authors notified the Committee that Mr</w:t>
      </w:r>
      <w:r w:rsidR="003A2A98" w:rsidRPr="0026246C">
        <w:t>.</w:t>
      </w:r>
      <w:r w:rsidRPr="0026246C">
        <w:t xml:space="preserve"> Kovalev’s execution</w:t>
      </w:r>
      <w:r w:rsidR="003A2A98" w:rsidRPr="0026246C">
        <w:t xml:space="preserve"> had been carried out</w:t>
      </w:r>
      <w:r w:rsidR="000C7FC8" w:rsidRPr="0026246C">
        <w:t>.</w:t>
      </w:r>
      <w:r w:rsidRPr="0026246C">
        <w:t xml:space="preserve"> </w:t>
      </w:r>
      <w:r w:rsidR="007D2931" w:rsidRPr="0026246C">
        <w:t xml:space="preserve">On </w:t>
      </w:r>
      <w:r w:rsidR="00321699" w:rsidRPr="0026246C">
        <w:t>the same day</w:t>
      </w:r>
      <w:r w:rsidR="007D2931" w:rsidRPr="0026246C">
        <w:t xml:space="preserve">, the Committee issued a press release, deploring </w:t>
      </w:r>
      <w:r w:rsidR="00DF2A71" w:rsidRPr="0026246C">
        <w:t>the execution.</w:t>
      </w:r>
    </w:p>
    <w:p w:rsidR="00FC6701" w:rsidRPr="0026246C" w:rsidRDefault="00FC6701" w:rsidP="00FC6701">
      <w:pPr>
        <w:spacing w:after="120" w:line="240" w:lineRule="auto"/>
        <w:ind w:left="1134" w:right="1134"/>
        <w:jc w:val="both"/>
        <w:rPr>
          <w:b/>
        </w:rPr>
      </w:pPr>
      <w:r w:rsidRPr="0026246C">
        <w:rPr>
          <w:b/>
        </w:rPr>
        <w:t>The facts as presented by the authors</w:t>
      </w:r>
    </w:p>
    <w:p w:rsidR="00047BD4" w:rsidRPr="0026246C" w:rsidRDefault="00FC6701" w:rsidP="00FC6701">
      <w:pPr>
        <w:spacing w:after="120" w:line="240" w:lineRule="auto"/>
        <w:ind w:left="1134" w:right="1134"/>
        <w:jc w:val="both"/>
      </w:pPr>
      <w:r w:rsidRPr="0026246C">
        <w:t>2.1</w:t>
      </w:r>
      <w:r w:rsidRPr="0026246C">
        <w:tab/>
        <w:t>The authors submit that</w:t>
      </w:r>
      <w:r w:rsidR="00EA7293" w:rsidRPr="0026246C">
        <w:t>,</w:t>
      </w:r>
      <w:r w:rsidRPr="0026246C">
        <w:t xml:space="preserve"> on 30 November 2011, the Suprem</w:t>
      </w:r>
      <w:r w:rsidR="00035FB8" w:rsidRPr="0026246C">
        <w:t>e Court of Belarus</w:t>
      </w:r>
      <w:r w:rsidR="0026760F" w:rsidRPr="0026246C">
        <w:t>, acting as trial court,</w:t>
      </w:r>
      <w:r w:rsidR="00035FB8" w:rsidRPr="0026246C">
        <w:t xml:space="preserve"> convicted Mr</w:t>
      </w:r>
      <w:r w:rsidR="00321699" w:rsidRPr="0026246C">
        <w:t>.</w:t>
      </w:r>
      <w:r w:rsidRPr="0026246C">
        <w:t xml:space="preserve"> Kovalev </w:t>
      </w:r>
      <w:r w:rsidR="0025056D" w:rsidRPr="0026246C">
        <w:t xml:space="preserve">for commission of </w:t>
      </w:r>
      <w:r w:rsidRPr="0026246C">
        <w:t>the following</w:t>
      </w:r>
      <w:r w:rsidR="0007795E" w:rsidRPr="0026246C">
        <w:t xml:space="preserve"> crimes: aggravated hooliganism;</w:t>
      </w:r>
      <w:r w:rsidRPr="0026246C">
        <w:t xml:space="preserve"> intentional destruction </w:t>
      </w:r>
      <w:r w:rsidR="0007795E" w:rsidRPr="0026246C">
        <w:t xml:space="preserve">and damage of </w:t>
      </w:r>
      <w:r w:rsidRPr="0026246C">
        <w:t>property</w:t>
      </w:r>
      <w:r w:rsidR="0007795E" w:rsidRPr="0026246C">
        <w:t xml:space="preserve"> committed by dangerous means;</w:t>
      </w:r>
      <w:r w:rsidRPr="0026246C">
        <w:t xml:space="preserve"> </w:t>
      </w:r>
      <w:r w:rsidR="0007795E" w:rsidRPr="0026246C">
        <w:t xml:space="preserve">illegal </w:t>
      </w:r>
      <w:r w:rsidR="00665B18" w:rsidRPr="0026246C">
        <w:t>acquisition, carrying</w:t>
      </w:r>
      <w:r w:rsidR="005E293B" w:rsidRPr="0026246C">
        <w:t xml:space="preserve">, </w:t>
      </w:r>
      <w:r w:rsidR="0007795E" w:rsidRPr="0026246C">
        <w:t xml:space="preserve">storing and </w:t>
      </w:r>
      <w:r w:rsidR="005E293B" w:rsidRPr="0026246C">
        <w:t xml:space="preserve">selling explosives; </w:t>
      </w:r>
      <w:r w:rsidR="00C44630" w:rsidRPr="0026246C">
        <w:t xml:space="preserve">storing, </w:t>
      </w:r>
      <w:r w:rsidR="00665B18" w:rsidRPr="0026246C">
        <w:t>carrying</w:t>
      </w:r>
      <w:r w:rsidR="006642F9" w:rsidRPr="0026246C">
        <w:t xml:space="preserve"> </w:t>
      </w:r>
      <w:r w:rsidR="00C44630" w:rsidRPr="0026246C">
        <w:t>and</w:t>
      </w:r>
      <w:r w:rsidRPr="0026246C">
        <w:t xml:space="preserve"> transporting an explosive device, </w:t>
      </w:r>
      <w:r w:rsidR="00665B18" w:rsidRPr="0026246C">
        <w:t xml:space="preserve">committed </w:t>
      </w:r>
      <w:r w:rsidR="00E43200" w:rsidRPr="0026246C">
        <w:t xml:space="preserve">repeatedly </w:t>
      </w:r>
      <w:r w:rsidR="00665B18" w:rsidRPr="0026246C">
        <w:t xml:space="preserve">by a group of persons upon preliminary arrangement; </w:t>
      </w:r>
      <w:r w:rsidR="00881775" w:rsidRPr="0026246C">
        <w:t xml:space="preserve">failure to report </w:t>
      </w:r>
      <w:r w:rsidR="0091471D" w:rsidRPr="0026246C">
        <w:t xml:space="preserve">the preparation of a particularly serious crime </w:t>
      </w:r>
      <w:r w:rsidR="00881775" w:rsidRPr="0026246C">
        <w:t>a</w:t>
      </w:r>
      <w:r w:rsidR="0091471D" w:rsidRPr="0026246C">
        <w:t xml:space="preserve">nd of the person </w:t>
      </w:r>
      <w:r w:rsidR="002675C1" w:rsidRPr="0026246C">
        <w:t>who committed such a crime and of his/her whereabouts;</w:t>
      </w:r>
      <w:r w:rsidR="005F3AF3" w:rsidRPr="0026246C">
        <w:t xml:space="preserve"> </w:t>
      </w:r>
      <w:r w:rsidRPr="0026246C">
        <w:t>a</w:t>
      </w:r>
      <w:r w:rsidR="00CB2520" w:rsidRPr="0026246C">
        <w:t>nd aiding and abetting terrorist</w:t>
      </w:r>
      <w:r w:rsidRPr="0026246C">
        <w:t xml:space="preserve"> activities </w:t>
      </w:r>
      <w:r w:rsidR="00CB2520" w:rsidRPr="0026246C">
        <w:t>resulting in deaths</w:t>
      </w:r>
      <w:r w:rsidRPr="0026246C">
        <w:t xml:space="preserve">, serious </w:t>
      </w:r>
      <w:r w:rsidR="002675C1" w:rsidRPr="0026246C">
        <w:t xml:space="preserve">or other </w:t>
      </w:r>
      <w:r w:rsidRPr="0026246C">
        <w:t xml:space="preserve">injuries, </w:t>
      </w:r>
      <w:r w:rsidR="005F3AF3" w:rsidRPr="0026246C">
        <w:rPr>
          <w:rStyle w:val="st"/>
        </w:rPr>
        <w:t xml:space="preserve">particularly </w:t>
      </w:r>
      <w:r w:rsidR="005F3AF3" w:rsidRPr="0026246C">
        <w:rPr>
          <w:rStyle w:val="Emphasis"/>
          <w:b w:val="0"/>
        </w:rPr>
        <w:t>large</w:t>
      </w:r>
      <w:r w:rsidR="005F3AF3" w:rsidRPr="0026246C">
        <w:rPr>
          <w:rStyle w:val="st"/>
          <w:b/>
        </w:rPr>
        <w:t>-</w:t>
      </w:r>
      <w:r w:rsidR="005F3AF3" w:rsidRPr="0026246C">
        <w:rPr>
          <w:rStyle w:val="Emphasis"/>
          <w:b w:val="0"/>
        </w:rPr>
        <w:t>scale damage</w:t>
      </w:r>
      <w:r w:rsidR="005F3AF3" w:rsidRPr="0026246C">
        <w:rPr>
          <w:rStyle w:val="st"/>
        </w:rPr>
        <w:t xml:space="preserve"> or</w:t>
      </w:r>
      <w:r w:rsidR="005F3AF3" w:rsidRPr="0026246C">
        <w:rPr>
          <w:rStyle w:val="st"/>
          <w:b/>
        </w:rPr>
        <w:t xml:space="preserve"> </w:t>
      </w:r>
      <w:r w:rsidR="005F3AF3" w:rsidRPr="0026246C">
        <w:rPr>
          <w:rStyle w:val="Emphasis"/>
          <w:b w:val="0"/>
        </w:rPr>
        <w:t>other serious consequences</w:t>
      </w:r>
      <w:r w:rsidRPr="0026246C">
        <w:t>.</w:t>
      </w:r>
    </w:p>
    <w:p w:rsidR="00FC6701" w:rsidRPr="0026246C" w:rsidRDefault="00047BD4" w:rsidP="00FC6701">
      <w:pPr>
        <w:spacing w:after="120" w:line="240" w:lineRule="auto"/>
        <w:ind w:left="1134" w:right="1134"/>
        <w:jc w:val="both"/>
      </w:pPr>
      <w:r w:rsidRPr="0026246C">
        <w:t>2.2</w:t>
      </w:r>
      <w:r w:rsidRPr="0026246C">
        <w:tab/>
      </w:r>
      <w:r w:rsidR="00FC6701" w:rsidRPr="0026246C">
        <w:t xml:space="preserve">Mr. </w:t>
      </w:r>
      <w:r w:rsidR="009D5391" w:rsidRPr="0026246C">
        <w:t>Kovalev was found guilty of these</w:t>
      </w:r>
      <w:r w:rsidR="00FC6701" w:rsidRPr="0026246C">
        <w:t xml:space="preserve"> crimes purportedly committed </w:t>
      </w:r>
      <w:r w:rsidR="006E104B" w:rsidRPr="0026246C">
        <w:t>between 2000</w:t>
      </w:r>
      <w:r w:rsidR="003930CA" w:rsidRPr="0026246C">
        <w:t xml:space="preserve"> and </w:t>
      </w:r>
      <w:r w:rsidR="006E104B" w:rsidRPr="0026246C">
        <w:t>2011</w:t>
      </w:r>
      <w:r w:rsidR="00FC6701" w:rsidRPr="0026246C">
        <w:t xml:space="preserve">, including </w:t>
      </w:r>
      <w:r w:rsidRPr="0026246C">
        <w:t xml:space="preserve">of </w:t>
      </w:r>
      <w:r w:rsidR="00FC6701" w:rsidRPr="0026246C">
        <w:t>aiding and abetting anoth</w:t>
      </w:r>
      <w:r w:rsidRPr="0026246C">
        <w:t>er defendant</w:t>
      </w:r>
      <w:r w:rsidR="00FC6701" w:rsidRPr="0026246C">
        <w:t>, Mr. K</w:t>
      </w:r>
      <w:r w:rsidR="009D5391" w:rsidRPr="0026246C">
        <w:t>.</w:t>
      </w:r>
      <w:r w:rsidR="00FC6701" w:rsidRPr="0026246C">
        <w:t>, in carrying out terrorist attacks on 11 April 2011 at Oktyabrskaya subw</w:t>
      </w:r>
      <w:r w:rsidRPr="0026246C">
        <w:t xml:space="preserve">ay station in the city of </w:t>
      </w:r>
      <w:smartTag w:uri="urn:schemas-microsoft-com:office:smarttags" w:element="City">
        <w:smartTag w:uri="urn:schemas-microsoft-com:office:smarttags" w:element="place">
          <w:r w:rsidRPr="0026246C">
            <w:t>Minsk</w:t>
          </w:r>
        </w:smartTag>
      </w:smartTag>
      <w:r w:rsidRPr="0026246C">
        <w:t xml:space="preserve">. He was sentenced </w:t>
      </w:r>
      <w:r w:rsidR="00E715A6" w:rsidRPr="0026246C">
        <w:t>to death</w:t>
      </w:r>
      <w:r w:rsidR="00CB522B" w:rsidRPr="0026246C">
        <w:t xml:space="preserve"> by shooting</w:t>
      </w:r>
      <w:r w:rsidR="00B662C5" w:rsidRPr="0026246C">
        <w:t>,</w:t>
      </w:r>
      <w:r w:rsidR="00E715A6" w:rsidRPr="0026246C">
        <w:t xml:space="preserve"> without confiscation of property.</w:t>
      </w:r>
      <w:r w:rsidR="002E3F14" w:rsidRPr="0026246C">
        <w:t xml:space="preserve"> A</w:t>
      </w:r>
      <w:r w:rsidR="004D5BBC" w:rsidRPr="0026246C">
        <w:t>t the time of submission of the communication</w:t>
      </w:r>
      <w:r w:rsidR="002E3F14" w:rsidRPr="0026246C">
        <w:t>, he</w:t>
      </w:r>
      <w:r w:rsidR="004D5BBC" w:rsidRPr="0026246C">
        <w:t xml:space="preserve"> was </w:t>
      </w:r>
      <w:r w:rsidR="00FC6701" w:rsidRPr="0026246C">
        <w:t xml:space="preserve">awaiting his execution in </w:t>
      </w:r>
      <w:r w:rsidR="009D5391" w:rsidRPr="0026246C">
        <w:t xml:space="preserve">the </w:t>
      </w:r>
      <w:r w:rsidR="00871180" w:rsidRPr="0026246C">
        <w:t xml:space="preserve">investigation detention facility (SIZO) </w:t>
      </w:r>
      <w:r w:rsidR="00FC6701" w:rsidRPr="0026246C">
        <w:t xml:space="preserve">of </w:t>
      </w:r>
      <w:r w:rsidR="00871180" w:rsidRPr="0026246C">
        <w:t xml:space="preserve">the </w:t>
      </w:r>
      <w:r w:rsidR="00FC6701" w:rsidRPr="0026246C">
        <w:t>B</w:t>
      </w:r>
      <w:r w:rsidR="002E3F14" w:rsidRPr="0026246C">
        <w:t>elarus State Security Committee</w:t>
      </w:r>
      <w:r w:rsidR="009D5391" w:rsidRPr="0026246C">
        <w:t>.</w:t>
      </w:r>
      <w:r w:rsidR="00860587" w:rsidRPr="0026246C">
        <w:t xml:space="preserve"> </w:t>
      </w:r>
      <w:r w:rsidR="0063711E" w:rsidRPr="0026246C">
        <w:t>On</w:t>
      </w:r>
      <w:r w:rsidR="00004E37" w:rsidRPr="0026246C">
        <w:t xml:space="preserve"> 7 December 2011</w:t>
      </w:r>
      <w:r w:rsidR="0063711E" w:rsidRPr="0026246C">
        <w:t xml:space="preserve">, </w:t>
      </w:r>
      <w:r w:rsidR="00871180" w:rsidRPr="0026246C">
        <w:t>Mr. Kovalev</w:t>
      </w:r>
      <w:r w:rsidR="00004E37" w:rsidRPr="0026246C">
        <w:t xml:space="preserve"> prepared,</w:t>
      </w:r>
      <w:r w:rsidR="00871180" w:rsidRPr="0026246C">
        <w:t xml:space="preserve"> in the presence of his lawyer, </w:t>
      </w:r>
      <w:r w:rsidR="00004E37" w:rsidRPr="0026246C">
        <w:t xml:space="preserve">a power of attorney authorizing </w:t>
      </w:r>
      <w:r w:rsidR="003A040B" w:rsidRPr="0026246C">
        <w:t xml:space="preserve">his mother, </w:t>
      </w:r>
      <w:r w:rsidR="00004E37" w:rsidRPr="0026246C">
        <w:t>Ms</w:t>
      </w:r>
      <w:r w:rsidR="00321699" w:rsidRPr="0026246C">
        <w:t>.</w:t>
      </w:r>
      <w:r w:rsidR="00004E37" w:rsidRPr="0026246C">
        <w:t xml:space="preserve"> Kovaleva</w:t>
      </w:r>
      <w:r w:rsidR="003A040B" w:rsidRPr="0026246C">
        <w:t>,</w:t>
      </w:r>
      <w:r w:rsidR="00004E37" w:rsidRPr="0026246C">
        <w:t xml:space="preserve"> to </w:t>
      </w:r>
      <w:r w:rsidR="00674258" w:rsidRPr="0026246C">
        <w:t>act on his behalf</w:t>
      </w:r>
      <w:r w:rsidR="0063711E" w:rsidRPr="0026246C">
        <w:t xml:space="preserve">, and a written request for authentication of the document was lodged with the head of the SIZO. </w:t>
      </w:r>
      <w:r w:rsidR="009634D0" w:rsidRPr="0026246C">
        <w:t>Although the lawyer was</w:t>
      </w:r>
      <w:r w:rsidR="006E104B" w:rsidRPr="0026246C">
        <w:t xml:space="preserve"> informed that the document would</w:t>
      </w:r>
      <w:r w:rsidR="009634D0" w:rsidRPr="0026246C">
        <w:t xml:space="preserve"> be ready the next day, </w:t>
      </w:r>
      <w:r w:rsidR="0085236B" w:rsidRPr="0026246C">
        <w:t>it was never provided to him or M</w:t>
      </w:r>
      <w:r w:rsidR="00F368C5" w:rsidRPr="0026246C">
        <w:t>r</w:t>
      </w:r>
      <w:r w:rsidR="0085236B" w:rsidRPr="0026246C">
        <w:t>s</w:t>
      </w:r>
      <w:r w:rsidR="00321699" w:rsidRPr="0026246C">
        <w:t>.</w:t>
      </w:r>
      <w:r w:rsidR="0085236B" w:rsidRPr="0026246C">
        <w:t xml:space="preserve"> Kovaleva. </w:t>
      </w:r>
      <w:r w:rsidR="00F368C5" w:rsidRPr="0026246C">
        <w:t>She</w:t>
      </w:r>
      <w:r w:rsidR="0085236B" w:rsidRPr="0026246C">
        <w:t xml:space="preserve"> complained about this fact to the head of the SIZO, </w:t>
      </w:r>
      <w:r w:rsidR="00A366DD" w:rsidRPr="0026246C">
        <w:t>the president of the State Security Committee, the</w:t>
      </w:r>
      <w:r w:rsidR="00980039" w:rsidRPr="0026246C">
        <w:t xml:space="preserve"> G</w:t>
      </w:r>
      <w:r w:rsidR="00A366DD" w:rsidRPr="0026246C">
        <w:t>eneral Prosecutor</w:t>
      </w:r>
      <w:r w:rsidR="00980039" w:rsidRPr="0026246C">
        <w:t xml:space="preserve"> and the </w:t>
      </w:r>
      <w:r w:rsidR="00A366DD" w:rsidRPr="0026246C">
        <w:t>Deputy President of the Supreme Court</w:t>
      </w:r>
      <w:r w:rsidR="00980039" w:rsidRPr="0026246C">
        <w:t>, to no avail.</w:t>
      </w:r>
      <w:r w:rsidR="00980039" w:rsidRPr="0026246C">
        <w:rPr>
          <w:rStyle w:val="FootnoteReference"/>
        </w:rPr>
        <w:footnoteReference w:id="5"/>
      </w:r>
    </w:p>
    <w:p w:rsidR="00403F6A" w:rsidRPr="0026246C" w:rsidRDefault="00FC6701" w:rsidP="00403F6A">
      <w:pPr>
        <w:spacing w:after="120" w:line="240" w:lineRule="auto"/>
        <w:ind w:left="1134" w:right="1134"/>
        <w:jc w:val="both"/>
      </w:pPr>
      <w:r w:rsidRPr="0026246C">
        <w:t>2.</w:t>
      </w:r>
      <w:r w:rsidR="00860587" w:rsidRPr="0026246C">
        <w:t>3</w:t>
      </w:r>
      <w:r w:rsidRPr="0026246C">
        <w:tab/>
      </w:r>
      <w:r w:rsidR="00D850CA" w:rsidRPr="0026246C">
        <w:t xml:space="preserve">The authors submit that the decision of the Supreme Court of 30 November 2011 </w:t>
      </w:r>
      <w:r w:rsidR="005C1B9A" w:rsidRPr="0026246C">
        <w:t>wa</w:t>
      </w:r>
      <w:r w:rsidR="00403F6A" w:rsidRPr="0026246C">
        <w:t>s not subject to appeal. On 7 December 2011, Mr. Kovalev submitted a request for pardon to the President of Belarus. The authors submit that</w:t>
      </w:r>
      <w:r w:rsidR="005108A8" w:rsidRPr="0026246C">
        <w:t>,</w:t>
      </w:r>
      <w:r w:rsidR="00403F6A" w:rsidRPr="0026246C">
        <w:t xml:space="preserve"> since </w:t>
      </w:r>
      <w:r w:rsidR="005108A8" w:rsidRPr="0026246C">
        <w:t xml:space="preserve">both applications for supervisory review and for pardon are </w:t>
      </w:r>
      <w:r w:rsidR="00403F6A" w:rsidRPr="0026246C">
        <w:t xml:space="preserve">discretionary procedures, they </w:t>
      </w:r>
      <w:r w:rsidR="005C1B9A" w:rsidRPr="0026246C">
        <w:t xml:space="preserve">had </w:t>
      </w:r>
      <w:r w:rsidR="00403F6A" w:rsidRPr="0026246C">
        <w:t>exhausted all available and effective domestic remedies.</w:t>
      </w:r>
    </w:p>
    <w:p w:rsidR="005108A8" w:rsidRPr="0026246C" w:rsidRDefault="005108A8" w:rsidP="00FC6701">
      <w:pPr>
        <w:spacing w:after="120" w:line="240" w:lineRule="auto"/>
        <w:ind w:left="1134" w:right="1134"/>
        <w:jc w:val="both"/>
        <w:rPr>
          <w:b/>
        </w:rPr>
      </w:pPr>
      <w:r w:rsidRPr="0026246C">
        <w:rPr>
          <w:b/>
        </w:rPr>
        <w:t>The complaint</w:t>
      </w:r>
    </w:p>
    <w:p w:rsidR="00FC6701" w:rsidRPr="0026246C" w:rsidRDefault="005108A8" w:rsidP="005108A8">
      <w:pPr>
        <w:spacing w:after="120" w:line="240" w:lineRule="auto"/>
        <w:ind w:left="1134" w:right="1134"/>
        <w:jc w:val="both"/>
      </w:pPr>
      <w:r w:rsidRPr="0026246C">
        <w:lastRenderedPageBreak/>
        <w:t>3.1</w:t>
      </w:r>
      <w:r w:rsidRPr="0026246C">
        <w:tab/>
      </w:r>
      <w:r w:rsidR="00FC6701" w:rsidRPr="0026246C">
        <w:t>The authors submit that Mr. Kovalev was arrested on 12 April 2011</w:t>
      </w:r>
      <w:r w:rsidR="001C0320" w:rsidRPr="0026246C">
        <w:t xml:space="preserve"> and </w:t>
      </w:r>
      <w:r w:rsidR="00943E87" w:rsidRPr="0026246C">
        <w:t>w</w:t>
      </w:r>
      <w:r w:rsidR="00FC6701" w:rsidRPr="0026246C">
        <w:t xml:space="preserve">as detained pending trial from 12 </w:t>
      </w:r>
      <w:r w:rsidR="001C0320" w:rsidRPr="0026246C">
        <w:t xml:space="preserve">April 2011 to 15 September 2011, when he was for the first time </w:t>
      </w:r>
      <w:r w:rsidR="00FC6701" w:rsidRPr="0026246C">
        <w:t xml:space="preserve">brought </w:t>
      </w:r>
      <w:r w:rsidR="006B7C73" w:rsidRPr="0026246C">
        <w:t>before</w:t>
      </w:r>
      <w:r w:rsidR="00FC6701" w:rsidRPr="0026246C">
        <w:t xml:space="preserve"> </w:t>
      </w:r>
      <w:r w:rsidR="006E104B" w:rsidRPr="0026246C">
        <w:t>a</w:t>
      </w:r>
      <w:r w:rsidR="00FC6701" w:rsidRPr="0026246C">
        <w:t xml:space="preserve"> judge.</w:t>
      </w:r>
      <w:r w:rsidR="00D058C7" w:rsidRPr="0026246C">
        <w:t xml:space="preserve"> They contend that </w:t>
      </w:r>
      <w:r w:rsidR="00193FDF" w:rsidRPr="0026246C">
        <w:t xml:space="preserve">a delay of more than five months before </w:t>
      </w:r>
      <w:r w:rsidR="00EA4F72" w:rsidRPr="0026246C">
        <w:t xml:space="preserve">bringing him </w:t>
      </w:r>
      <w:r w:rsidR="00D058C7" w:rsidRPr="0026246C">
        <w:t xml:space="preserve">before a judicial officer </w:t>
      </w:r>
      <w:r w:rsidR="006E104B" w:rsidRPr="0026246C">
        <w:t>was excessively long and</w:t>
      </w:r>
      <w:r w:rsidR="00F40206" w:rsidRPr="0026246C">
        <w:t xml:space="preserve"> did</w:t>
      </w:r>
      <w:r w:rsidR="00EA4F72" w:rsidRPr="0026246C">
        <w:t xml:space="preserve"> not </w:t>
      </w:r>
      <w:r w:rsidR="00D058C7" w:rsidRPr="0026246C">
        <w:t xml:space="preserve">meet the requirement of promptness </w:t>
      </w:r>
      <w:r w:rsidR="00C35475" w:rsidRPr="0026246C">
        <w:t xml:space="preserve">set out in </w:t>
      </w:r>
      <w:r w:rsidR="00D058C7" w:rsidRPr="0026246C">
        <w:t>art</w:t>
      </w:r>
      <w:r w:rsidR="00F84D58" w:rsidRPr="0026246C">
        <w:t>icle</w:t>
      </w:r>
      <w:r w:rsidR="00D058C7" w:rsidRPr="0026246C">
        <w:t xml:space="preserve"> 9, paragraph 3, of the Covenant</w:t>
      </w:r>
      <w:r w:rsidR="00C074A3" w:rsidRPr="0026246C">
        <w:t>, and thus violates</w:t>
      </w:r>
      <w:r w:rsidR="00F40206" w:rsidRPr="0026246C">
        <w:t xml:space="preserve"> Mr. Kovalev’s rights under article 9, paragraphs 1 and 3, of the Covenant.</w:t>
      </w:r>
    </w:p>
    <w:p w:rsidR="003E066F" w:rsidRPr="0026246C" w:rsidRDefault="006F7E5E" w:rsidP="003E066F">
      <w:pPr>
        <w:spacing w:after="120" w:line="240" w:lineRule="auto"/>
        <w:ind w:left="1134" w:right="1134"/>
        <w:jc w:val="both"/>
      </w:pPr>
      <w:r w:rsidRPr="0026246C">
        <w:t>3.2</w:t>
      </w:r>
      <w:r w:rsidR="00FC6701" w:rsidRPr="0026246C">
        <w:tab/>
      </w:r>
      <w:r w:rsidRPr="0026246C">
        <w:t>The authors also claim that, in violation of article 7 and article 14, paragraph 3</w:t>
      </w:r>
      <w:r w:rsidR="00F84D58" w:rsidRPr="0026246C">
        <w:t xml:space="preserve"> </w:t>
      </w:r>
      <w:r w:rsidRPr="0026246C">
        <w:t>(g), of the Covenant, Mr. Kovalev was subjected to phys</w:t>
      </w:r>
      <w:r w:rsidR="007A5A98" w:rsidRPr="0026246C">
        <w:t>ical and psychological pressure</w:t>
      </w:r>
      <w:r w:rsidRPr="0026246C">
        <w:t xml:space="preserve"> with the purpose to secure a confession of guilt</w:t>
      </w:r>
      <w:r w:rsidR="00C655A4" w:rsidRPr="0026246C">
        <w:t xml:space="preserve">. </w:t>
      </w:r>
      <w:r w:rsidR="00E0593D" w:rsidRPr="0026246C">
        <w:t xml:space="preserve">Officers of the Department for Combating Organized Crime talked to him in the absence of a lawyer. </w:t>
      </w:r>
      <w:r w:rsidR="00B2472D" w:rsidRPr="0026246C">
        <w:t xml:space="preserve">As a result of pressure, </w:t>
      </w:r>
      <w:r w:rsidR="00C5749D" w:rsidRPr="0026246C">
        <w:t>Mr</w:t>
      </w:r>
      <w:r w:rsidR="005B50CF" w:rsidRPr="0026246C">
        <w:t>.</w:t>
      </w:r>
      <w:r w:rsidR="00C5749D" w:rsidRPr="0026246C">
        <w:t xml:space="preserve"> Kovalev made self-incriminating statements </w:t>
      </w:r>
      <w:r w:rsidR="00F84D58" w:rsidRPr="0026246C">
        <w:t xml:space="preserve">that </w:t>
      </w:r>
      <w:r w:rsidR="005A3B76" w:rsidRPr="0026246C">
        <w:t xml:space="preserve">allegedly </w:t>
      </w:r>
      <w:r w:rsidR="00C5749D" w:rsidRPr="0026246C">
        <w:t xml:space="preserve">served as a basis for his </w:t>
      </w:r>
      <w:r w:rsidR="00B2472D" w:rsidRPr="0026246C">
        <w:t xml:space="preserve">conviction. </w:t>
      </w:r>
      <w:r w:rsidR="003E066F" w:rsidRPr="000514EF">
        <w:t>Before the confrontation</w:t>
      </w:r>
      <w:r w:rsidR="00C531DB" w:rsidRPr="000514EF">
        <w:t xml:space="preserve"> with the other defendant</w:t>
      </w:r>
      <w:r w:rsidR="003E066F" w:rsidRPr="000514EF">
        <w:t>, the investigator told him that if he change</w:t>
      </w:r>
      <w:r w:rsidR="000514EF">
        <w:t>d</w:t>
      </w:r>
      <w:r w:rsidR="003E066F" w:rsidRPr="00940396">
        <w:t xml:space="preserve"> his</w:t>
      </w:r>
      <w:r w:rsidR="003E066F" w:rsidRPr="00402254">
        <w:t xml:space="preserve"> testimony during the court hearing, the prosecutor w</w:t>
      </w:r>
      <w:r w:rsidR="00C00B82" w:rsidRPr="000514EF">
        <w:t>ould</w:t>
      </w:r>
      <w:r w:rsidR="003E066F" w:rsidRPr="000514EF">
        <w:t xml:space="preserve"> insist on</w:t>
      </w:r>
      <w:r w:rsidR="00047704" w:rsidRPr="000514EF">
        <w:t xml:space="preserve"> death penalty or life sentence; however, if he admit</w:t>
      </w:r>
      <w:r w:rsidR="000514EF">
        <w:t>ted</w:t>
      </w:r>
      <w:r w:rsidR="00047704" w:rsidRPr="00402254">
        <w:t xml:space="preserve"> </w:t>
      </w:r>
      <w:r w:rsidR="00C00B82" w:rsidRPr="000514EF">
        <w:t>his guilt, he would</w:t>
      </w:r>
      <w:r w:rsidR="003E066F" w:rsidRPr="000514EF">
        <w:t xml:space="preserve"> serve </w:t>
      </w:r>
      <w:r w:rsidR="00047704" w:rsidRPr="000514EF">
        <w:t xml:space="preserve">a </w:t>
      </w:r>
      <w:r w:rsidR="00C00B82" w:rsidRPr="000514EF">
        <w:t xml:space="preserve">limited </w:t>
      </w:r>
      <w:r w:rsidR="00047704" w:rsidRPr="000514EF">
        <w:t>prison term</w:t>
      </w:r>
      <w:r w:rsidR="003E066F" w:rsidRPr="000514EF">
        <w:t>.</w:t>
      </w:r>
    </w:p>
    <w:p w:rsidR="006F7E5E" w:rsidRPr="0026246C" w:rsidRDefault="00047704" w:rsidP="00E43B2D">
      <w:pPr>
        <w:spacing w:after="120" w:line="240" w:lineRule="auto"/>
        <w:ind w:left="1134" w:right="1134"/>
        <w:jc w:val="both"/>
      </w:pPr>
      <w:r w:rsidRPr="0026246C">
        <w:t>3.3</w:t>
      </w:r>
      <w:r w:rsidRPr="0026246C">
        <w:tab/>
        <w:t>Mr. Kovalev</w:t>
      </w:r>
      <w:r w:rsidR="00B2472D" w:rsidRPr="0026246C">
        <w:t xml:space="preserve"> subsequently retracted his confession during the court hearings, claiming that he </w:t>
      </w:r>
      <w:r w:rsidR="00C00B82" w:rsidRPr="0026246C">
        <w:t>was</w:t>
      </w:r>
      <w:r w:rsidR="00B2472D" w:rsidRPr="0026246C">
        <w:t xml:space="preserve"> innocent and </w:t>
      </w:r>
      <w:r w:rsidR="00E270EF" w:rsidRPr="0026246C">
        <w:t>had</w:t>
      </w:r>
      <w:r w:rsidR="00B2472D" w:rsidRPr="0026246C">
        <w:t xml:space="preserve"> made self-incriminating statements</w:t>
      </w:r>
      <w:r w:rsidR="00C00B82" w:rsidRPr="0026246C">
        <w:t xml:space="preserve"> under pressure</w:t>
      </w:r>
      <w:r w:rsidR="00BD711E" w:rsidRPr="0026246C">
        <w:t>.</w:t>
      </w:r>
      <w:r w:rsidR="003D28DE" w:rsidRPr="0026246C">
        <w:rPr>
          <w:rStyle w:val="FootnoteReference"/>
        </w:rPr>
        <w:footnoteReference w:id="6"/>
      </w:r>
      <w:r w:rsidR="00BD711E" w:rsidRPr="0026246C">
        <w:t xml:space="preserve"> </w:t>
      </w:r>
      <w:r w:rsidR="00311192" w:rsidRPr="0026246C">
        <w:t>The authors claim that, w</w:t>
      </w:r>
      <w:r w:rsidR="00461477" w:rsidRPr="0026246C">
        <w:t xml:space="preserve">ith the exception of his self-incriminating testimony, the court </w:t>
      </w:r>
      <w:r w:rsidR="00C00B82" w:rsidRPr="0026246C">
        <w:t xml:space="preserve">was not presented with </w:t>
      </w:r>
      <w:r w:rsidR="00461477" w:rsidRPr="0026246C">
        <w:t xml:space="preserve">any other evidence in support of his guilt. </w:t>
      </w:r>
      <w:r w:rsidR="00E43B2D" w:rsidRPr="0026246C">
        <w:t>The video</w:t>
      </w:r>
      <w:r w:rsidR="00FC24DE" w:rsidRPr="0026246C">
        <w:t xml:space="preserve"> of a man with a bag</w:t>
      </w:r>
      <w:r w:rsidR="00E43B2D" w:rsidRPr="0026246C">
        <w:t xml:space="preserve"> that was used as evidence </w:t>
      </w:r>
      <w:r w:rsidR="00D04D59" w:rsidRPr="0026246C">
        <w:t>in the case and that, according to the prosecution, portra</w:t>
      </w:r>
      <w:r w:rsidR="00D320F7" w:rsidRPr="0026246C">
        <w:t>y</w:t>
      </w:r>
      <w:r w:rsidR="00D04D59" w:rsidRPr="0026246C">
        <w:t xml:space="preserve">s the other defendant </w:t>
      </w:r>
      <w:r w:rsidR="00FC24DE" w:rsidRPr="0026246C">
        <w:t xml:space="preserve">carrying the explosive device </w:t>
      </w:r>
      <w:r w:rsidR="00E43B2D" w:rsidRPr="0026246C">
        <w:t xml:space="preserve">was </w:t>
      </w:r>
      <w:r w:rsidR="004C71EB" w:rsidRPr="0026246C">
        <w:t xml:space="preserve">allegedly </w:t>
      </w:r>
      <w:r w:rsidR="00E43B2D" w:rsidRPr="0026246C">
        <w:t>tampered with</w:t>
      </w:r>
      <w:r w:rsidR="007A5A98" w:rsidRPr="0026246C">
        <w:t xml:space="preserve"> </w:t>
      </w:r>
      <w:r w:rsidR="00E43B2D" w:rsidRPr="0026246C">
        <w:t xml:space="preserve">and cannot be deemed authentic. </w:t>
      </w:r>
      <w:r w:rsidR="00461477" w:rsidRPr="0026246C">
        <w:t>The authors also submit that t</w:t>
      </w:r>
      <w:r w:rsidR="0040786E" w:rsidRPr="0026246C">
        <w:t xml:space="preserve">he law enforcement authorities claimed that </w:t>
      </w:r>
      <w:r w:rsidR="00962AF6" w:rsidRPr="0026246C">
        <w:t>Mr</w:t>
      </w:r>
      <w:r w:rsidR="005B50CF" w:rsidRPr="0026246C">
        <w:t>.</w:t>
      </w:r>
      <w:r w:rsidR="00962AF6" w:rsidRPr="0026246C">
        <w:t xml:space="preserve"> Kovalev’s bodily injuries attested during the investigation (bruise marks on his head on the right temple</w:t>
      </w:r>
      <w:r w:rsidR="003618A3" w:rsidRPr="0026246C">
        <w:t xml:space="preserve"> and </w:t>
      </w:r>
      <w:r w:rsidR="00962AF6" w:rsidRPr="0026246C">
        <w:t xml:space="preserve">on the chin, </w:t>
      </w:r>
      <w:r w:rsidR="003618A3" w:rsidRPr="0026246C">
        <w:t xml:space="preserve">bruises </w:t>
      </w:r>
      <w:r w:rsidR="00962AF6" w:rsidRPr="0026246C">
        <w:t xml:space="preserve">on his </w:t>
      </w:r>
      <w:r w:rsidR="001D60D4" w:rsidRPr="0026246C">
        <w:t>hands</w:t>
      </w:r>
      <w:r w:rsidR="003618A3" w:rsidRPr="0026246C">
        <w:t xml:space="preserve"> resulted from </w:t>
      </w:r>
      <w:r w:rsidR="00C730BB" w:rsidRPr="0026246C">
        <w:t xml:space="preserve">rigid </w:t>
      </w:r>
      <w:r w:rsidR="003618A3" w:rsidRPr="0026246C">
        <w:t>blunt object</w:t>
      </w:r>
      <w:r w:rsidR="00C730BB" w:rsidRPr="0026246C">
        <w:t>s</w:t>
      </w:r>
      <w:r w:rsidR="00962AF6" w:rsidRPr="0026246C">
        <w:t xml:space="preserve">, </w:t>
      </w:r>
      <w:r w:rsidR="00943E87" w:rsidRPr="0026246C">
        <w:t xml:space="preserve">as well as </w:t>
      </w:r>
      <w:r w:rsidR="003618A3" w:rsidRPr="0026246C">
        <w:t xml:space="preserve">on his </w:t>
      </w:r>
      <w:r w:rsidR="00962AF6" w:rsidRPr="0026246C">
        <w:t>shoulders and knees</w:t>
      </w:r>
      <w:r w:rsidR="003618A3" w:rsidRPr="0026246C">
        <w:t>)</w:t>
      </w:r>
      <w:r w:rsidR="008E3D50" w:rsidRPr="0026246C">
        <w:rPr>
          <w:rStyle w:val="FootnoteReference"/>
        </w:rPr>
        <w:footnoteReference w:id="7"/>
      </w:r>
      <w:r w:rsidR="0040786E" w:rsidRPr="0026246C">
        <w:t xml:space="preserve"> were sustained </w:t>
      </w:r>
      <w:r w:rsidR="00070672" w:rsidRPr="0026246C">
        <w:t xml:space="preserve">as a result of the force </w:t>
      </w:r>
      <w:r w:rsidR="001F2BB1" w:rsidRPr="0026246C">
        <w:t>used</w:t>
      </w:r>
      <w:r w:rsidR="00070672" w:rsidRPr="0026246C">
        <w:t xml:space="preserve"> in the course of </w:t>
      </w:r>
      <w:r w:rsidR="00943E87" w:rsidRPr="0026246C">
        <w:t>the arrest operation</w:t>
      </w:r>
      <w:r w:rsidR="00070672" w:rsidRPr="0026246C">
        <w:t>.</w:t>
      </w:r>
      <w:r w:rsidR="0040786E" w:rsidRPr="0026246C">
        <w:t xml:space="preserve"> The</w:t>
      </w:r>
      <w:r w:rsidR="00D320F7" w:rsidRPr="0026246C">
        <w:t xml:space="preserve"> authors</w:t>
      </w:r>
      <w:r w:rsidR="0023275E" w:rsidRPr="0026246C">
        <w:t xml:space="preserve"> claim, </w:t>
      </w:r>
      <w:r w:rsidR="00070672" w:rsidRPr="0026246C">
        <w:t>however,</w:t>
      </w:r>
      <w:r w:rsidR="0040786E" w:rsidRPr="0026246C">
        <w:t xml:space="preserve"> that </w:t>
      </w:r>
      <w:r w:rsidR="00070672" w:rsidRPr="0026246C">
        <w:t xml:space="preserve">no such force </w:t>
      </w:r>
      <w:r w:rsidR="001F2BB1" w:rsidRPr="0026246C">
        <w:t xml:space="preserve">was used, since </w:t>
      </w:r>
      <w:r w:rsidR="0040786E" w:rsidRPr="0026246C">
        <w:t>Mr. Kovalev was asleep when he was arrested</w:t>
      </w:r>
      <w:r w:rsidR="00A64484" w:rsidRPr="0026246C">
        <w:t xml:space="preserve"> and was wo</w:t>
      </w:r>
      <w:r w:rsidR="0023275E" w:rsidRPr="0026246C">
        <w:t>ken up by masked officers.</w:t>
      </w:r>
      <w:r w:rsidR="00A64484" w:rsidRPr="0026246C">
        <w:rPr>
          <w:rStyle w:val="FootnoteReference"/>
        </w:rPr>
        <w:footnoteReference w:id="8"/>
      </w:r>
      <w:r w:rsidR="0023275E" w:rsidRPr="0026246C">
        <w:t xml:space="preserve"> </w:t>
      </w:r>
      <w:r w:rsidR="002940C4" w:rsidRPr="0026246C">
        <w:t xml:space="preserve">In substantiation of their </w:t>
      </w:r>
      <w:r w:rsidR="00C94456" w:rsidRPr="0026246C">
        <w:t>argument</w:t>
      </w:r>
      <w:r w:rsidR="002940C4" w:rsidRPr="0026246C">
        <w:t xml:space="preserve"> that Mr. Kovalev had not sustained any bodily injuries during his arrest, the authors refer to a picture </w:t>
      </w:r>
      <w:r w:rsidR="00073304" w:rsidRPr="0026246C">
        <w:t xml:space="preserve">of him </w:t>
      </w:r>
      <w:r w:rsidR="002940C4" w:rsidRPr="0026246C">
        <w:t xml:space="preserve">taken on 12 April 2011 following </w:t>
      </w:r>
      <w:r w:rsidR="00073304" w:rsidRPr="0026246C">
        <w:t>his</w:t>
      </w:r>
      <w:r w:rsidR="00FC2CFD" w:rsidRPr="0026246C">
        <w:t xml:space="preserve"> arrest</w:t>
      </w:r>
      <w:r w:rsidR="00C94456" w:rsidRPr="0026246C">
        <w:t xml:space="preserve"> (</w:t>
      </w:r>
      <w:r w:rsidR="00132A2C" w:rsidRPr="0026246C">
        <w:t>part of the materials of the preliminary investigation</w:t>
      </w:r>
      <w:r w:rsidR="00C94456" w:rsidRPr="0026246C">
        <w:t>)</w:t>
      </w:r>
      <w:r w:rsidR="005C3318" w:rsidRPr="0026246C">
        <w:t>,</w:t>
      </w:r>
      <w:r w:rsidR="00132A2C" w:rsidRPr="0026246C">
        <w:rPr>
          <w:rStyle w:val="FootnoteReference"/>
        </w:rPr>
        <w:footnoteReference w:id="9"/>
      </w:r>
      <w:r w:rsidR="00073304" w:rsidRPr="0026246C">
        <w:t xml:space="preserve"> as well as to his videotaped testimony </w:t>
      </w:r>
      <w:r w:rsidR="00D45ABB" w:rsidRPr="0026246C">
        <w:t xml:space="preserve">broadcasted </w:t>
      </w:r>
      <w:r w:rsidR="00073304" w:rsidRPr="0026246C">
        <w:t xml:space="preserve">on official </w:t>
      </w:r>
      <w:r w:rsidR="00A31DDD" w:rsidRPr="0026246C">
        <w:t xml:space="preserve">television </w:t>
      </w:r>
      <w:r w:rsidR="00073304" w:rsidRPr="0026246C">
        <w:t>channels</w:t>
      </w:r>
      <w:r w:rsidR="00FB4D5D" w:rsidRPr="0026246C">
        <w:t xml:space="preserve"> after his arrest</w:t>
      </w:r>
      <w:r w:rsidR="002A0283" w:rsidRPr="0026246C">
        <w:t>,</w:t>
      </w:r>
      <w:r w:rsidR="00FB4D5D" w:rsidRPr="0026246C">
        <w:t xml:space="preserve"> depicting </w:t>
      </w:r>
      <w:r w:rsidR="00C94456" w:rsidRPr="0026246C">
        <w:t>him</w:t>
      </w:r>
      <w:r w:rsidR="00FB4D5D" w:rsidRPr="0026246C">
        <w:t xml:space="preserve"> sitting on the floor</w:t>
      </w:r>
      <w:r w:rsidR="00791463" w:rsidRPr="0026246C">
        <w:t xml:space="preserve"> </w:t>
      </w:r>
      <w:r w:rsidR="00A46937" w:rsidRPr="0026246C">
        <w:t xml:space="preserve">of the apartment </w:t>
      </w:r>
      <w:r w:rsidR="00791463" w:rsidRPr="0026246C">
        <w:t xml:space="preserve">with his hands handcuffed </w:t>
      </w:r>
      <w:r w:rsidR="00E673C1" w:rsidRPr="0026246C">
        <w:t>behind his back. None of the injuries attested on 13 April 2011 by the forensic medical examination</w:t>
      </w:r>
      <w:r w:rsidR="00FC2CFD" w:rsidRPr="0026246C">
        <w:t xml:space="preserve"> </w:t>
      </w:r>
      <w:r w:rsidR="00E673C1" w:rsidRPr="0026246C">
        <w:t xml:space="preserve">are visible either on the picture or </w:t>
      </w:r>
      <w:r w:rsidR="00A969FE" w:rsidRPr="0026246C">
        <w:t xml:space="preserve">on </w:t>
      </w:r>
      <w:r w:rsidR="00E673C1" w:rsidRPr="0026246C">
        <w:t>the videotape, which confirms the fact that Mr. Kovalev</w:t>
      </w:r>
      <w:r w:rsidR="00A969FE" w:rsidRPr="0026246C">
        <w:t xml:space="preserve"> was</w:t>
      </w:r>
      <w:r w:rsidR="00DA54DC" w:rsidRPr="0026246C">
        <w:t xml:space="preserve"> subjected to pressure </w:t>
      </w:r>
      <w:r w:rsidR="00C94456" w:rsidRPr="0026246C">
        <w:t xml:space="preserve">after his arrest, </w:t>
      </w:r>
      <w:r w:rsidR="00A969FE" w:rsidRPr="0026246C">
        <w:t xml:space="preserve">in violation of </w:t>
      </w:r>
      <w:r w:rsidR="00DA54DC" w:rsidRPr="0026246C">
        <w:t xml:space="preserve">the prohibition of torture and </w:t>
      </w:r>
      <w:r w:rsidR="00082205" w:rsidRPr="0026246C">
        <w:t xml:space="preserve">his right not to be compelled to testify against himself or to confess guilt, as set forth in </w:t>
      </w:r>
      <w:r w:rsidR="00A969FE" w:rsidRPr="0026246C">
        <w:t>article</w:t>
      </w:r>
      <w:r w:rsidR="00082205" w:rsidRPr="0026246C">
        <w:t>s</w:t>
      </w:r>
      <w:r w:rsidR="00A969FE" w:rsidRPr="0026246C">
        <w:t xml:space="preserve"> 7 and 14, </w:t>
      </w:r>
      <w:r w:rsidR="00082205" w:rsidRPr="0026246C">
        <w:t>paragraph 3</w:t>
      </w:r>
      <w:r w:rsidR="0061374F" w:rsidRPr="0026246C">
        <w:t xml:space="preserve"> </w:t>
      </w:r>
      <w:r w:rsidR="00082205" w:rsidRPr="0026246C">
        <w:t>(g), of the Covenant.</w:t>
      </w:r>
    </w:p>
    <w:p w:rsidR="0040786E" w:rsidRPr="0026246C" w:rsidRDefault="00047704" w:rsidP="0040786E">
      <w:pPr>
        <w:spacing w:after="120" w:line="240" w:lineRule="auto"/>
        <w:ind w:left="1134" w:right="1134"/>
        <w:jc w:val="both"/>
      </w:pPr>
      <w:r w:rsidRPr="0026246C">
        <w:t>3.4</w:t>
      </w:r>
      <w:r w:rsidR="00C655A4" w:rsidRPr="0026246C">
        <w:tab/>
      </w:r>
      <w:r w:rsidR="00461477" w:rsidRPr="0026246C">
        <w:t xml:space="preserve">The authors </w:t>
      </w:r>
      <w:r w:rsidR="000A30F8" w:rsidRPr="0026246C">
        <w:t xml:space="preserve">further claim that the trial court was biased </w:t>
      </w:r>
      <w:r w:rsidR="009760B4" w:rsidRPr="0026246C">
        <w:t xml:space="preserve">and violated the principle of independence and impartiality, </w:t>
      </w:r>
      <w:r w:rsidR="00D54470" w:rsidRPr="0026246C">
        <w:t>in violation of</w:t>
      </w:r>
      <w:r w:rsidR="009760B4" w:rsidRPr="0026246C">
        <w:t xml:space="preserve"> </w:t>
      </w:r>
      <w:r w:rsidR="00461477" w:rsidRPr="0026246C">
        <w:t>article 14, paragraph 1, of the Covenant</w:t>
      </w:r>
      <w:r w:rsidR="009760B4" w:rsidRPr="0026246C">
        <w:t>. The</w:t>
      </w:r>
      <w:r w:rsidR="009E66C7" w:rsidRPr="0026246C">
        <w:t>y consider that the</w:t>
      </w:r>
      <w:r w:rsidR="006203CC" w:rsidRPr="0026246C">
        <w:t xml:space="preserve"> court was under pressure: </w:t>
      </w:r>
      <w:r w:rsidR="00B032E8" w:rsidRPr="0026246C">
        <w:t>the access in the court</w:t>
      </w:r>
      <w:r w:rsidR="007A5A98" w:rsidRPr="0026246C">
        <w:t xml:space="preserve"> </w:t>
      </w:r>
      <w:r w:rsidR="00B032E8" w:rsidRPr="0026246C">
        <w:t>room, besides police officers, was controlled by other unidentified p</w:t>
      </w:r>
      <w:r w:rsidR="0074493B" w:rsidRPr="0026246C">
        <w:t xml:space="preserve">ersons in civilian clothes, who </w:t>
      </w:r>
      <w:r w:rsidR="00B032E8" w:rsidRPr="0026246C">
        <w:t xml:space="preserve">refused to </w:t>
      </w:r>
      <w:r w:rsidR="007A5A98" w:rsidRPr="0026246C">
        <w:t>disclose their identity</w:t>
      </w:r>
      <w:r w:rsidR="0074493B" w:rsidRPr="0026246C">
        <w:t xml:space="preserve">. They were </w:t>
      </w:r>
      <w:r w:rsidR="00544429" w:rsidRPr="0026246C">
        <w:t xml:space="preserve">allegedly </w:t>
      </w:r>
      <w:r w:rsidR="0074493B" w:rsidRPr="00940396">
        <w:t>obviously off</w:t>
      </w:r>
      <w:r w:rsidR="00961AA6" w:rsidRPr="00402254">
        <w:t>ic</w:t>
      </w:r>
      <w:r w:rsidR="00961AA6" w:rsidRPr="0026246C">
        <w:t xml:space="preserve">ers of intelligence services. </w:t>
      </w:r>
      <w:r w:rsidR="00961AA6" w:rsidRPr="0026246C">
        <w:lastRenderedPageBreak/>
        <w:t>They were checking the per</w:t>
      </w:r>
      <w:r w:rsidR="009119AC" w:rsidRPr="0026246C">
        <w:t>sons entering the court</w:t>
      </w:r>
      <w:r w:rsidR="00E43B2D" w:rsidRPr="0026246C">
        <w:t xml:space="preserve"> </w:t>
      </w:r>
      <w:r w:rsidR="009119AC" w:rsidRPr="0026246C">
        <w:t xml:space="preserve">room and </w:t>
      </w:r>
      <w:r w:rsidR="00961AA6" w:rsidRPr="0026246C">
        <w:t>could refuse access</w:t>
      </w:r>
      <w:r w:rsidR="00544429" w:rsidRPr="0026246C">
        <w:t xml:space="preserve"> to</w:t>
      </w:r>
      <w:r w:rsidR="00961AA6" w:rsidRPr="0026246C">
        <w:t xml:space="preserve"> </w:t>
      </w:r>
      <w:r w:rsidR="009119AC" w:rsidRPr="0026246C">
        <w:t xml:space="preserve">or even arrest </w:t>
      </w:r>
      <w:r w:rsidR="00544429" w:rsidRPr="0026246C">
        <w:t xml:space="preserve">persons </w:t>
      </w:r>
      <w:r w:rsidR="009119AC" w:rsidRPr="0026246C">
        <w:t xml:space="preserve">who came to attend the trial. This created an atmosphere of fear and is an indication </w:t>
      </w:r>
      <w:r w:rsidR="008D1699" w:rsidRPr="0026246C">
        <w:t xml:space="preserve">of the </w:t>
      </w:r>
      <w:r w:rsidR="009119AC" w:rsidRPr="0026246C">
        <w:t xml:space="preserve">pressure exercised on the court, </w:t>
      </w:r>
      <w:r w:rsidR="008D1699" w:rsidRPr="0026246C">
        <w:t xml:space="preserve">as well as </w:t>
      </w:r>
      <w:r w:rsidR="009119AC" w:rsidRPr="0026246C">
        <w:t xml:space="preserve">of the violation of the principle of </w:t>
      </w:r>
      <w:r w:rsidR="003A07EF" w:rsidRPr="0026246C">
        <w:t xml:space="preserve">publicity of court </w:t>
      </w:r>
      <w:r w:rsidR="0027743B" w:rsidRPr="0026246C">
        <w:t>proceedings</w:t>
      </w:r>
      <w:r w:rsidR="003A07EF" w:rsidRPr="0026246C">
        <w:t xml:space="preserve">. </w:t>
      </w:r>
      <w:r w:rsidR="005F6F93" w:rsidRPr="0026246C">
        <w:t xml:space="preserve">The court also </w:t>
      </w:r>
      <w:r w:rsidR="008D1699" w:rsidRPr="0026246C">
        <w:t xml:space="preserve">violated the principle of impartiality and equality of arms by rejecting </w:t>
      </w:r>
      <w:r w:rsidR="005F6F93" w:rsidRPr="0026246C">
        <w:t>mo</w:t>
      </w:r>
      <w:r w:rsidR="00681873" w:rsidRPr="0026246C">
        <w:t>st of the requests of the defenc</w:t>
      </w:r>
      <w:r w:rsidR="005F6F93" w:rsidRPr="0026246C">
        <w:t xml:space="preserve">e, </w:t>
      </w:r>
      <w:r w:rsidR="00C02806" w:rsidRPr="0026246C">
        <w:t xml:space="preserve">at the same time satisfying </w:t>
      </w:r>
      <w:r w:rsidR="005F6F93" w:rsidRPr="0026246C">
        <w:t>all the motions submitted by the prosecution</w:t>
      </w:r>
      <w:r w:rsidR="00C02806" w:rsidRPr="0026246C">
        <w:t>.</w:t>
      </w:r>
    </w:p>
    <w:p w:rsidR="006A05B8" w:rsidRPr="0026246C" w:rsidRDefault="00C02806" w:rsidP="009C600C">
      <w:pPr>
        <w:suppressAutoHyphens w:val="0"/>
        <w:autoSpaceDE w:val="0"/>
        <w:autoSpaceDN w:val="0"/>
        <w:adjustRightInd w:val="0"/>
        <w:spacing w:after="120" w:line="240" w:lineRule="auto"/>
        <w:ind w:left="1134" w:right="1134"/>
        <w:jc w:val="both"/>
      </w:pPr>
      <w:r w:rsidRPr="0026246C">
        <w:t>3.5</w:t>
      </w:r>
      <w:r w:rsidRPr="0026246C">
        <w:tab/>
      </w:r>
      <w:r w:rsidR="00CE25E9" w:rsidRPr="0026246C">
        <w:t xml:space="preserve">Following </w:t>
      </w:r>
      <w:r w:rsidR="006A05B8" w:rsidRPr="0026246C">
        <w:t>Mr</w:t>
      </w:r>
      <w:r w:rsidR="005B50CF" w:rsidRPr="0026246C">
        <w:t>.</w:t>
      </w:r>
      <w:r w:rsidR="006A05B8" w:rsidRPr="0026246C">
        <w:t xml:space="preserve"> Kovalev’s arrest and </w:t>
      </w:r>
      <w:r w:rsidR="00CE25E9" w:rsidRPr="0026246C">
        <w:t xml:space="preserve">before </w:t>
      </w:r>
      <w:r w:rsidR="00CA4F63" w:rsidRPr="0026246C">
        <w:t>his conviction by the court</w:t>
      </w:r>
      <w:r w:rsidR="003257CB" w:rsidRPr="0026246C">
        <w:t>,</w:t>
      </w:r>
      <w:r w:rsidR="006A05B8" w:rsidRPr="0026246C">
        <w:t xml:space="preserve"> </w:t>
      </w:r>
      <w:r w:rsidR="00CA4F63" w:rsidRPr="0026246C">
        <w:t xml:space="preserve">several </w:t>
      </w:r>
      <w:r w:rsidR="00544429" w:rsidRPr="0026246C">
        <w:t>S</w:t>
      </w:r>
      <w:r w:rsidR="006A05B8" w:rsidRPr="0026246C">
        <w:t>tate officials made public statements</w:t>
      </w:r>
      <w:r w:rsidR="00CA4F63" w:rsidRPr="0026246C">
        <w:t xml:space="preserve"> </w:t>
      </w:r>
      <w:r w:rsidR="00EF5D8A" w:rsidRPr="0026246C">
        <w:t>affirming</w:t>
      </w:r>
      <w:r w:rsidR="00F563C1" w:rsidRPr="0026246C">
        <w:t xml:space="preserve"> </w:t>
      </w:r>
      <w:r w:rsidR="00CA4F63" w:rsidRPr="0026246C">
        <w:t>his guilt</w:t>
      </w:r>
      <w:r w:rsidR="006A05B8" w:rsidRPr="0026246C">
        <w:t xml:space="preserve">, </w:t>
      </w:r>
      <w:r w:rsidR="00CA4F63" w:rsidRPr="0026246C">
        <w:t xml:space="preserve">in violation of the principle of presumption of innocence. </w:t>
      </w:r>
      <w:r w:rsidR="00F563C1" w:rsidRPr="0026246C">
        <w:t xml:space="preserve">His guilt was also widely discussed in the </w:t>
      </w:r>
      <w:r w:rsidR="00F30C20" w:rsidRPr="0026246C">
        <w:t xml:space="preserve">official </w:t>
      </w:r>
      <w:r w:rsidR="00F563C1" w:rsidRPr="0026246C">
        <w:t xml:space="preserve">mass </w:t>
      </w:r>
      <w:r w:rsidR="00F30C20" w:rsidRPr="0026246C">
        <w:t>media,</w:t>
      </w:r>
      <w:r w:rsidR="00D645F6" w:rsidRPr="0026246C">
        <w:t xml:space="preserve"> in particular the news agency BELTA (Belarusian Telegraph Agency),</w:t>
      </w:r>
      <w:r w:rsidR="00F30C20" w:rsidRPr="0026246C">
        <w:t xml:space="preserve"> which presented to the public at large materials o</w:t>
      </w:r>
      <w:r w:rsidR="00126374" w:rsidRPr="0026246C">
        <w:t>f the preliminary investigation</w:t>
      </w:r>
      <w:r w:rsidR="00506F27" w:rsidRPr="0026246C">
        <w:t xml:space="preserve"> as </w:t>
      </w:r>
      <w:r w:rsidR="00BE5B5D" w:rsidRPr="0026246C">
        <w:t>fait accompli</w:t>
      </w:r>
      <w:r w:rsidR="00620758" w:rsidRPr="0026246C">
        <w:rPr>
          <w:rStyle w:val="FootnoteReference"/>
        </w:rPr>
        <w:footnoteReference w:id="10"/>
      </w:r>
      <w:r w:rsidR="00043B27" w:rsidRPr="0026246C">
        <w:t xml:space="preserve"> long before the consideration of the</w:t>
      </w:r>
      <w:r w:rsidR="000E0D80" w:rsidRPr="0026246C">
        <w:t xml:space="preserve"> case by the court, thus </w:t>
      </w:r>
      <w:r w:rsidR="00544429" w:rsidRPr="0026246C">
        <w:t xml:space="preserve">engendering among </w:t>
      </w:r>
      <w:r w:rsidR="000E0D80" w:rsidRPr="0026246C">
        <w:t xml:space="preserve">the public </w:t>
      </w:r>
      <w:r w:rsidR="00996ADC" w:rsidRPr="0026246C">
        <w:t>a negative attitude towards Mr. Kovalev</w:t>
      </w:r>
      <w:r w:rsidR="00544429" w:rsidRPr="0026246C">
        <w:t>,</w:t>
      </w:r>
      <w:r w:rsidR="00996ADC" w:rsidRPr="0026246C">
        <w:t xml:space="preserve"> as if he </w:t>
      </w:r>
      <w:r w:rsidR="00544429" w:rsidRPr="0026246C">
        <w:t xml:space="preserve">was </w:t>
      </w:r>
      <w:r w:rsidR="00996ADC" w:rsidRPr="0026246C">
        <w:t>alr</w:t>
      </w:r>
      <w:r w:rsidR="0009661C" w:rsidRPr="0026246C">
        <w:t xml:space="preserve">eady a confirmed criminal. </w:t>
      </w:r>
      <w:r w:rsidR="00924D7B" w:rsidRPr="0026246C">
        <w:t>Moreover, h</w:t>
      </w:r>
      <w:r w:rsidR="006A05B8" w:rsidRPr="0026246C">
        <w:t xml:space="preserve">e was kept in a metal cage throughout the court proceedings and </w:t>
      </w:r>
      <w:r w:rsidR="00544429" w:rsidRPr="0026246C">
        <w:t xml:space="preserve">the </w:t>
      </w:r>
      <w:r w:rsidR="006A05B8" w:rsidRPr="0026246C">
        <w:t xml:space="preserve">photographs </w:t>
      </w:r>
      <w:r w:rsidR="00544429" w:rsidRPr="0026246C">
        <w:t xml:space="preserve">of him </w:t>
      </w:r>
      <w:r w:rsidR="006A05B8" w:rsidRPr="0026246C">
        <w:t>behind metal bars in the court room</w:t>
      </w:r>
      <w:r w:rsidR="004B1C2C" w:rsidRPr="0026246C">
        <w:rPr>
          <w:rStyle w:val="FootnoteReference"/>
        </w:rPr>
        <w:footnoteReference w:id="11"/>
      </w:r>
      <w:r w:rsidR="006A05B8" w:rsidRPr="0026246C">
        <w:t xml:space="preserve"> were published in the local print media</w:t>
      </w:r>
      <w:r w:rsidR="00924D7B" w:rsidRPr="0026246C">
        <w:t xml:space="preserve">. </w:t>
      </w:r>
      <w:r w:rsidR="00BD5E5F" w:rsidRPr="0026246C">
        <w:t>Undoubtedly, such behaviour created a public negative attitude towards Mr</w:t>
      </w:r>
      <w:r w:rsidR="005B50CF" w:rsidRPr="0026246C">
        <w:t>.</w:t>
      </w:r>
      <w:r w:rsidR="00BD5E5F" w:rsidRPr="0026246C">
        <w:t xml:space="preserve"> Kovalev and influenced the court </w:t>
      </w:r>
      <w:r w:rsidR="00544429" w:rsidRPr="0026246C">
        <w:t xml:space="preserve">in </w:t>
      </w:r>
      <w:r w:rsidR="00BD5E5F" w:rsidRPr="0026246C">
        <w:t>sentenc</w:t>
      </w:r>
      <w:r w:rsidR="00544429" w:rsidRPr="0026246C">
        <w:t>ing</w:t>
      </w:r>
      <w:r w:rsidR="00BD5E5F" w:rsidRPr="0026246C">
        <w:t xml:space="preserve"> him to death. </w:t>
      </w:r>
      <w:r w:rsidR="009C600C" w:rsidRPr="0026246C">
        <w:t>The authors recall that, a</w:t>
      </w:r>
      <w:r w:rsidR="00924D7B" w:rsidRPr="0026246C">
        <w:t xml:space="preserve">ccording to paragraph 30 of the Committee’s </w:t>
      </w:r>
      <w:r w:rsidR="00544429" w:rsidRPr="0026246C">
        <w:t>g</w:t>
      </w:r>
      <w:r w:rsidR="00924D7B" w:rsidRPr="0026246C">
        <w:t xml:space="preserve">eneral </w:t>
      </w:r>
      <w:r w:rsidR="00544429" w:rsidRPr="0026246C">
        <w:t>c</w:t>
      </w:r>
      <w:r w:rsidR="00924D7B" w:rsidRPr="0026246C">
        <w:t xml:space="preserve">omment </w:t>
      </w:r>
      <w:r w:rsidR="00544429" w:rsidRPr="0026246C">
        <w:t xml:space="preserve">No. </w:t>
      </w:r>
      <w:r w:rsidR="00924D7B" w:rsidRPr="0026246C">
        <w:t>32</w:t>
      </w:r>
      <w:r w:rsidR="00887A99" w:rsidRPr="0026246C">
        <w:t xml:space="preserve"> (2007) </w:t>
      </w:r>
      <w:r w:rsidR="00887A99" w:rsidRPr="0026246C">
        <w:rPr>
          <w:snapToGrid w:val="0"/>
          <w:szCs w:val="24"/>
        </w:rPr>
        <w:t>on the right to equality before courts and tribunals and to a fair trial</w:t>
      </w:r>
      <w:r w:rsidR="00924D7B" w:rsidRPr="0026246C">
        <w:t>,</w:t>
      </w:r>
      <w:r w:rsidR="00887A99" w:rsidRPr="0026246C">
        <w:rPr>
          <w:rStyle w:val="FootnoteReference"/>
        </w:rPr>
        <w:footnoteReference w:id="12"/>
      </w:r>
      <w:r w:rsidR="00924D7B" w:rsidRPr="0026246C">
        <w:t xml:space="preserve"> </w:t>
      </w:r>
      <w:r w:rsidR="009C600C" w:rsidRPr="0026246C">
        <w:rPr>
          <w:lang w:eastAsia="en-GB"/>
        </w:rPr>
        <w:t xml:space="preserve">defendants should </w:t>
      </w:r>
      <w:r w:rsidR="00EF5D8A" w:rsidRPr="0026246C">
        <w:rPr>
          <w:lang w:eastAsia="en-GB"/>
        </w:rPr>
        <w:t>normally not be shackled or kept in cages during trials or otherw</w:t>
      </w:r>
      <w:r w:rsidR="009C600C" w:rsidRPr="0026246C">
        <w:rPr>
          <w:lang w:eastAsia="en-GB"/>
        </w:rPr>
        <w:t xml:space="preserve">ise presented to the court in a </w:t>
      </w:r>
      <w:r w:rsidR="00EF5D8A" w:rsidRPr="0026246C">
        <w:rPr>
          <w:lang w:eastAsia="en-GB"/>
        </w:rPr>
        <w:t>manner indicating that they may be dangerous criminals.</w:t>
      </w:r>
      <w:r w:rsidR="00BE5B5D" w:rsidRPr="0026246C">
        <w:t xml:space="preserve"> </w:t>
      </w:r>
      <w:r w:rsidR="009C600C" w:rsidRPr="0026246C">
        <w:t xml:space="preserve">They claim that the above facts </w:t>
      </w:r>
      <w:r w:rsidR="00D55E65" w:rsidRPr="0026246C">
        <w:t xml:space="preserve">disclose </w:t>
      </w:r>
      <w:r w:rsidR="006A05B8" w:rsidRPr="0026246C">
        <w:t>a violation of Mr. Kovalev’s presumption of innocence guaranteed under article 14, paragraph 2, of the Covenant.</w:t>
      </w:r>
    </w:p>
    <w:p w:rsidR="00E43B2D" w:rsidRPr="0026246C" w:rsidRDefault="00E43B2D" w:rsidP="00E43B2D">
      <w:pPr>
        <w:spacing w:after="120" w:line="240" w:lineRule="auto"/>
        <w:ind w:left="1134" w:right="1134"/>
        <w:jc w:val="both"/>
      </w:pPr>
      <w:r w:rsidRPr="0026246C">
        <w:t>3.6</w:t>
      </w:r>
      <w:r w:rsidRPr="0026246C">
        <w:tab/>
        <w:t xml:space="preserve">The authors claim </w:t>
      </w:r>
      <w:r w:rsidR="007077E4" w:rsidRPr="0026246C">
        <w:t>a violation of Mr</w:t>
      </w:r>
      <w:r w:rsidR="005B50CF" w:rsidRPr="0026246C">
        <w:t>.</w:t>
      </w:r>
      <w:r w:rsidR="007077E4" w:rsidRPr="0026246C">
        <w:t xml:space="preserve"> Kovalev’s rights under article 14, paragraph 3</w:t>
      </w:r>
      <w:r w:rsidR="00887A99" w:rsidRPr="0026246C">
        <w:t xml:space="preserve"> </w:t>
      </w:r>
      <w:r w:rsidR="007077E4" w:rsidRPr="0026246C">
        <w:t xml:space="preserve">(b), of the </w:t>
      </w:r>
      <w:r w:rsidR="00982A2A" w:rsidRPr="0026246C">
        <w:t>Covenant</w:t>
      </w:r>
      <w:r w:rsidR="007077E4" w:rsidRPr="0026246C">
        <w:t>. D</w:t>
      </w:r>
      <w:r w:rsidRPr="0026246C">
        <w:t xml:space="preserve">uring the pretrial investigation, Mr. Kovalev </w:t>
      </w:r>
      <w:r w:rsidR="00AB46E5" w:rsidRPr="0026246C">
        <w:t>was visited by his lawyer only once, and for the rest they met only during investigative actions. The lawyer did not have the opportunity to meet</w:t>
      </w:r>
      <w:r w:rsidR="007077E4" w:rsidRPr="0026246C">
        <w:t xml:space="preserve"> </w:t>
      </w:r>
      <w:r w:rsidR="00AB46E5" w:rsidRPr="0026246C">
        <w:t>and</w:t>
      </w:r>
      <w:r w:rsidRPr="0026246C">
        <w:t xml:space="preserve"> talk to him</w:t>
      </w:r>
      <w:r w:rsidR="00AB46E5" w:rsidRPr="0026246C">
        <w:t xml:space="preserve"> confidentially. </w:t>
      </w:r>
      <w:r w:rsidR="009D250E" w:rsidRPr="0026246C">
        <w:t>On 14 September 2011, on the eve of the court hearings, the lawyer was denied access to his client. Mr</w:t>
      </w:r>
      <w:r w:rsidR="005B50CF" w:rsidRPr="0026246C">
        <w:t>.</w:t>
      </w:r>
      <w:r w:rsidR="00DC39D6" w:rsidRPr="0026246C">
        <w:t xml:space="preserve"> Kovalev’s </w:t>
      </w:r>
      <w:r w:rsidRPr="0026246C">
        <w:t xml:space="preserve">requests for confidential meetings with his lawyer were </w:t>
      </w:r>
      <w:r w:rsidR="00F24770" w:rsidRPr="0026246C">
        <w:t>rejected</w:t>
      </w:r>
      <w:r w:rsidRPr="0026246C">
        <w:t>.</w:t>
      </w:r>
      <w:r w:rsidR="00073F3C" w:rsidRPr="0026246C">
        <w:rPr>
          <w:rStyle w:val="FootnoteReference"/>
        </w:rPr>
        <w:footnoteReference w:id="13"/>
      </w:r>
      <w:r w:rsidRPr="0026246C">
        <w:t xml:space="preserve"> </w:t>
      </w:r>
      <w:r w:rsidR="004273CF" w:rsidRPr="0026246C">
        <w:t xml:space="preserve">The lawyer was able to </w:t>
      </w:r>
      <w:r w:rsidR="007077E4" w:rsidRPr="0026246C">
        <w:t>talk</w:t>
      </w:r>
      <w:r w:rsidR="004273CF" w:rsidRPr="0026246C">
        <w:t xml:space="preserve"> to Mr</w:t>
      </w:r>
      <w:r w:rsidR="005B50CF" w:rsidRPr="0026246C">
        <w:t>.</w:t>
      </w:r>
      <w:r w:rsidR="004273CF" w:rsidRPr="0026246C">
        <w:t xml:space="preserve"> Kovalev only before the start of court hearings when he was brought to the court and put in the cage, </w:t>
      </w:r>
      <w:r w:rsidR="00F24770" w:rsidRPr="0026246C">
        <w:t>i.e.</w:t>
      </w:r>
      <w:r w:rsidR="004273CF" w:rsidRPr="0026246C">
        <w:t xml:space="preserve"> </w:t>
      </w:r>
      <w:r w:rsidR="007077E4" w:rsidRPr="0026246C">
        <w:t xml:space="preserve">for </w:t>
      </w:r>
      <w:r w:rsidR="004273CF" w:rsidRPr="0026246C">
        <w:t xml:space="preserve">not more than </w:t>
      </w:r>
      <w:r w:rsidR="00887A99" w:rsidRPr="0026246C">
        <w:t>between three and five</w:t>
      </w:r>
      <w:r w:rsidR="004273CF" w:rsidRPr="0026246C">
        <w:t xml:space="preserve"> mi</w:t>
      </w:r>
      <w:r w:rsidR="00B85641" w:rsidRPr="0026246C">
        <w:t>nutes. On three occasion</w:t>
      </w:r>
      <w:r w:rsidR="00F24770" w:rsidRPr="0026246C">
        <w:t>s</w:t>
      </w:r>
      <w:r w:rsidR="00B85641" w:rsidRPr="0026246C">
        <w:t xml:space="preserve">, they </w:t>
      </w:r>
      <w:r w:rsidR="00887A99" w:rsidRPr="0026246C">
        <w:t xml:space="preserve">were able </w:t>
      </w:r>
      <w:r w:rsidR="00B85641" w:rsidRPr="0026246C">
        <w:t>talk for half an hour, one hour and two hours respectively, a</w:t>
      </w:r>
      <w:r w:rsidR="00975454" w:rsidRPr="0026246C">
        <w:t xml:space="preserve">s well as </w:t>
      </w:r>
      <w:r w:rsidR="00B85641" w:rsidRPr="0026246C">
        <w:t>before the</w:t>
      </w:r>
      <w:r w:rsidR="007077E4" w:rsidRPr="0026246C">
        <w:t xml:space="preserve"> start of </w:t>
      </w:r>
      <w:r w:rsidR="00D93981" w:rsidRPr="0026246C">
        <w:t>pleadings.</w:t>
      </w:r>
      <w:r w:rsidR="00AD5092" w:rsidRPr="0026246C">
        <w:t xml:space="preserve"> The authors claim that, in the circumstances, Mr. Kovalev’s right to </w:t>
      </w:r>
      <w:r w:rsidR="000C0C45" w:rsidRPr="0026246C">
        <w:t>have adequate time and facilities for the preparation of his defence and to communicate with counsel of his own choosing, as set forth in article 14, paragraph 3</w:t>
      </w:r>
      <w:r w:rsidR="00887A99" w:rsidRPr="0026246C">
        <w:t xml:space="preserve"> </w:t>
      </w:r>
      <w:r w:rsidR="000C0C45" w:rsidRPr="0026246C">
        <w:t>(b)</w:t>
      </w:r>
      <w:r w:rsidR="00887A99" w:rsidRPr="0026246C">
        <w:t>,</w:t>
      </w:r>
      <w:r w:rsidR="000C0C45" w:rsidRPr="0026246C">
        <w:t xml:space="preserve"> of the Covenant, has been violated.</w:t>
      </w:r>
    </w:p>
    <w:p w:rsidR="00684AEB" w:rsidRPr="0026246C" w:rsidRDefault="007077E4" w:rsidP="00684AEB">
      <w:pPr>
        <w:spacing w:after="120" w:line="240" w:lineRule="auto"/>
        <w:ind w:left="1134" w:right="1134"/>
        <w:jc w:val="both"/>
      </w:pPr>
      <w:r w:rsidRPr="0026246C">
        <w:rPr>
          <w:lang w:eastAsia="en-GB"/>
        </w:rPr>
        <w:t>3.7</w:t>
      </w:r>
      <w:r w:rsidRPr="0026246C">
        <w:rPr>
          <w:lang w:eastAsia="en-GB"/>
        </w:rPr>
        <w:tab/>
      </w:r>
      <w:r w:rsidR="00684AEB" w:rsidRPr="0026246C">
        <w:t>Furthermore, the authors also allege a violation of article 14, paragraph 5, of the Covenant. They submit that the sentence handed down by the Supreme Court is not subject to appeal, therefore the State party violated Mr. Kovalev’s right to have his sentence and conviction reviewed by a higher tribunal.</w:t>
      </w:r>
    </w:p>
    <w:p w:rsidR="00E43B2D" w:rsidRPr="0026246C" w:rsidRDefault="008A234F" w:rsidP="00E94F35">
      <w:pPr>
        <w:spacing w:after="120" w:line="240" w:lineRule="auto"/>
        <w:ind w:left="1134" w:right="1134"/>
        <w:jc w:val="both"/>
      </w:pPr>
      <w:r w:rsidRPr="0026246C">
        <w:lastRenderedPageBreak/>
        <w:t>3.8</w:t>
      </w:r>
      <w:r w:rsidRPr="0026246C">
        <w:tab/>
        <w:t>T</w:t>
      </w:r>
      <w:r w:rsidR="000A0644" w:rsidRPr="0026246C">
        <w:t xml:space="preserve">he authors </w:t>
      </w:r>
      <w:r w:rsidRPr="0026246C">
        <w:t>also claim</w:t>
      </w:r>
      <w:r w:rsidR="00982A2A" w:rsidRPr="0026246C">
        <w:t xml:space="preserve"> that </w:t>
      </w:r>
      <w:r w:rsidR="003912D2" w:rsidRPr="0026246C">
        <w:t>Mr</w:t>
      </w:r>
      <w:r w:rsidR="005B50CF" w:rsidRPr="0026246C">
        <w:t>.</w:t>
      </w:r>
      <w:r w:rsidR="003912D2" w:rsidRPr="0026246C">
        <w:t xml:space="preserve"> Kovalev was sentenced to death after a trial </w:t>
      </w:r>
      <w:r w:rsidR="00FB46A4" w:rsidRPr="0026246C">
        <w:t xml:space="preserve">conducted in violation of the </w:t>
      </w:r>
      <w:r w:rsidR="003B358F" w:rsidRPr="0026246C">
        <w:t xml:space="preserve">fair trial </w:t>
      </w:r>
      <w:r w:rsidR="003912D2" w:rsidRPr="0026246C">
        <w:t xml:space="preserve">guarantees </w:t>
      </w:r>
      <w:r w:rsidR="003B358F" w:rsidRPr="0026246C">
        <w:t xml:space="preserve">set forth in </w:t>
      </w:r>
      <w:r w:rsidR="007B3F3F" w:rsidRPr="0026246C">
        <w:t>article 14 of the Cove</w:t>
      </w:r>
      <w:r w:rsidR="00FB46A4" w:rsidRPr="0026246C">
        <w:t xml:space="preserve">nant. Therefore, </w:t>
      </w:r>
      <w:r w:rsidR="00E94F35" w:rsidRPr="0026246C">
        <w:t>i</w:t>
      </w:r>
      <w:r w:rsidR="007B3F3F" w:rsidRPr="0026246C">
        <w:t>n accordance with the Committee’s established practice</w:t>
      </w:r>
      <w:r w:rsidR="00E94F35" w:rsidRPr="0026246C">
        <w:t xml:space="preserve">, this </w:t>
      </w:r>
      <w:r w:rsidR="00FB46A4" w:rsidRPr="0026246C">
        <w:t>amount</w:t>
      </w:r>
      <w:r w:rsidR="003C17D6" w:rsidRPr="0026246C">
        <w:t>s</w:t>
      </w:r>
      <w:r w:rsidR="00FB46A4" w:rsidRPr="0026246C">
        <w:t xml:space="preserve"> to </w:t>
      </w:r>
      <w:r w:rsidR="00E94F35" w:rsidRPr="0026246C">
        <w:t>a violation of Mr</w:t>
      </w:r>
      <w:r w:rsidR="005B50CF" w:rsidRPr="0026246C">
        <w:t>.</w:t>
      </w:r>
      <w:r w:rsidR="00E94F35" w:rsidRPr="0026246C">
        <w:t xml:space="preserve"> Kovalev’s right to life under article 6 of the Covenant.</w:t>
      </w:r>
    </w:p>
    <w:p w:rsidR="007B1CB7" w:rsidRPr="0026246C" w:rsidRDefault="007B1CB7" w:rsidP="00E94F35">
      <w:pPr>
        <w:spacing w:after="120" w:line="240" w:lineRule="auto"/>
        <w:ind w:left="1134" w:right="1134"/>
        <w:jc w:val="both"/>
      </w:pPr>
      <w:r w:rsidRPr="0026246C">
        <w:t>3.9</w:t>
      </w:r>
      <w:r w:rsidRPr="0026246C">
        <w:tab/>
        <w:t>On 13 May 2012, after the execution of Mr. Kovalev had been carried out, the authors</w:t>
      </w:r>
      <w:r w:rsidR="00434C11" w:rsidRPr="0026246C">
        <w:t xml:space="preserve"> </w:t>
      </w:r>
      <w:r w:rsidR="00315FD3" w:rsidRPr="0026246C">
        <w:t xml:space="preserve">supplemented their initial communication to the Committee with new allegations. </w:t>
      </w:r>
      <w:r w:rsidR="002053A4" w:rsidRPr="0026246C">
        <w:t xml:space="preserve">They claim that, </w:t>
      </w:r>
      <w:r w:rsidR="00E6751D" w:rsidRPr="0026246C">
        <w:t xml:space="preserve">by </w:t>
      </w:r>
      <w:r w:rsidR="00C82BF7" w:rsidRPr="0026246C">
        <w:t xml:space="preserve">proceeding with the execution of </w:t>
      </w:r>
      <w:r w:rsidR="00E6751D" w:rsidRPr="0026246C">
        <w:t>Mr. Kovalev despite the Committee’s</w:t>
      </w:r>
      <w:r w:rsidR="00C82BF7" w:rsidRPr="0026246C">
        <w:t xml:space="preserve"> request</w:t>
      </w:r>
      <w:r w:rsidR="00887A99" w:rsidRPr="0026246C">
        <w:t xml:space="preserve"> for interim measures</w:t>
      </w:r>
      <w:r w:rsidR="00C82BF7" w:rsidRPr="0026246C">
        <w:t xml:space="preserve"> </w:t>
      </w:r>
      <w:r w:rsidR="00F06EF6" w:rsidRPr="0026246C">
        <w:t>to suspend</w:t>
      </w:r>
      <w:r w:rsidR="00C82BF7" w:rsidRPr="0026246C">
        <w:t xml:space="preserve"> his execution while his case is under consideration</w:t>
      </w:r>
      <w:r w:rsidR="00E6751D" w:rsidRPr="0026246C">
        <w:t xml:space="preserve"> </w:t>
      </w:r>
      <w:r w:rsidR="00812A5C" w:rsidRPr="0026246C">
        <w:t xml:space="preserve">by the Committee, the State party violated the provisions of the Optional Protocol to the Covenant. </w:t>
      </w:r>
      <w:r w:rsidR="00BA2158" w:rsidRPr="0026246C">
        <w:t xml:space="preserve">They urge the Committee to recommend </w:t>
      </w:r>
      <w:r w:rsidR="00887A99" w:rsidRPr="0026246C">
        <w:t xml:space="preserve">that </w:t>
      </w:r>
      <w:r w:rsidR="00BA2158" w:rsidRPr="0026246C">
        <w:t xml:space="preserve">the State party </w:t>
      </w:r>
      <w:r w:rsidR="00001182" w:rsidRPr="0026246C">
        <w:t xml:space="preserve">include a rule in </w:t>
      </w:r>
      <w:r w:rsidR="00F06EF6" w:rsidRPr="0026246C">
        <w:t>its</w:t>
      </w:r>
      <w:r w:rsidR="00001182" w:rsidRPr="0026246C">
        <w:t xml:space="preserve"> legislation</w:t>
      </w:r>
      <w:r w:rsidR="00D43EA9" w:rsidRPr="0026246C">
        <w:t xml:space="preserve"> that would </w:t>
      </w:r>
      <w:r w:rsidR="00425FB2" w:rsidRPr="0026246C">
        <w:t>provide for the suspension of</w:t>
      </w:r>
      <w:r w:rsidR="00DB6295" w:rsidRPr="0026246C">
        <w:t xml:space="preserve"> the execution of a death sentence </w:t>
      </w:r>
      <w:r w:rsidR="00231F6B" w:rsidRPr="0026246C">
        <w:t xml:space="preserve">in a given case in view of </w:t>
      </w:r>
      <w:r w:rsidR="00DB6295" w:rsidRPr="0026246C">
        <w:t xml:space="preserve">the registration by the Committee of an individual communication alleging a violation of the right to life and </w:t>
      </w:r>
      <w:r w:rsidR="00425FB2" w:rsidRPr="0026246C">
        <w:t xml:space="preserve">the Committee’s </w:t>
      </w:r>
      <w:r w:rsidR="00DB6295" w:rsidRPr="0026246C">
        <w:t>request for interim measures of protection</w:t>
      </w:r>
      <w:r w:rsidR="00205B5A" w:rsidRPr="0026246C">
        <w:t>,</w:t>
      </w:r>
      <w:r w:rsidR="00DB6295" w:rsidRPr="0026246C">
        <w:t xml:space="preserve"> so as to </w:t>
      </w:r>
      <w:r w:rsidR="00BA2158" w:rsidRPr="0026246C">
        <w:t>prevent such violations in the future.</w:t>
      </w:r>
    </w:p>
    <w:p w:rsidR="00D24EAB" w:rsidRPr="0026246C" w:rsidRDefault="008449D5" w:rsidP="003222AA">
      <w:pPr>
        <w:spacing w:after="120" w:line="240" w:lineRule="auto"/>
        <w:ind w:left="1134" w:right="1134"/>
        <w:jc w:val="both"/>
      </w:pPr>
      <w:r w:rsidRPr="0026246C">
        <w:t>3.10</w:t>
      </w:r>
      <w:r w:rsidRPr="0026246C">
        <w:tab/>
      </w:r>
      <w:r w:rsidR="00A94B2B" w:rsidRPr="0026246C">
        <w:t xml:space="preserve">The authors further submit that the date of the execution was kept secret, and was not known as at 11 March 2012 when they </w:t>
      </w:r>
      <w:r w:rsidR="00230AE4" w:rsidRPr="0026246C">
        <w:t>visited Mr. Kovalev in the SIZO. The execution was carried out on 15 March 2012. Based on the</w:t>
      </w:r>
      <w:r w:rsidR="00C34E8E" w:rsidRPr="0026246C">
        <w:t xml:space="preserve"> practice of </w:t>
      </w:r>
      <w:r w:rsidR="00DD5C95" w:rsidRPr="0026246C">
        <w:t>execution of capital</w:t>
      </w:r>
      <w:r w:rsidR="00C34E8E" w:rsidRPr="0026246C">
        <w:t xml:space="preserve"> sentences in </w:t>
      </w:r>
      <w:smartTag w:uri="urn:schemas-microsoft-com:office:smarttags" w:element="country-region">
        <w:smartTag w:uri="urn:schemas-microsoft-com:office:smarttags" w:element="place">
          <w:r w:rsidR="00C34E8E" w:rsidRPr="0026246C">
            <w:t>Belarus</w:t>
          </w:r>
        </w:smartTag>
      </w:smartTag>
      <w:r w:rsidR="00C34E8E" w:rsidRPr="0026246C">
        <w:t xml:space="preserve">, the authors believe that Mr. Kovalev </w:t>
      </w:r>
      <w:r w:rsidR="006D1634" w:rsidRPr="0026246C">
        <w:t xml:space="preserve">was not informed beforehand </w:t>
      </w:r>
      <w:r w:rsidR="00887A99" w:rsidRPr="0026246C">
        <w:t xml:space="preserve">of </w:t>
      </w:r>
      <w:r w:rsidR="00A474A8" w:rsidRPr="0026246C">
        <w:t>the date of the execution</w:t>
      </w:r>
      <w:r w:rsidR="006D1634" w:rsidRPr="0026246C">
        <w:t>.</w:t>
      </w:r>
      <w:r w:rsidR="007302E1" w:rsidRPr="0026246C">
        <w:t xml:space="preserve"> </w:t>
      </w:r>
      <w:r w:rsidR="004507C9" w:rsidRPr="0026246C">
        <w:t>T</w:t>
      </w:r>
      <w:r w:rsidR="004507C9" w:rsidRPr="00940396">
        <w:t>he</w:t>
      </w:r>
      <w:r w:rsidR="003222AA" w:rsidRPr="00402254">
        <w:t xml:space="preserve">refore they claim </w:t>
      </w:r>
      <w:r w:rsidR="004507C9" w:rsidRPr="0026246C">
        <w:t xml:space="preserve">that </w:t>
      </w:r>
      <w:r w:rsidR="003222AA" w:rsidRPr="0026246C">
        <w:t xml:space="preserve">Mr. Kovalev’s </w:t>
      </w:r>
      <w:r w:rsidR="004507C9" w:rsidRPr="0026246C">
        <w:t xml:space="preserve">situation of uncertainty about his fate from the date on which his death sentence </w:t>
      </w:r>
      <w:r w:rsidR="0026030F" w:rsidRPr="0026246C">
        <w:t>was imposed</w:t>
      </w:r>
      <w:r w:rsidR="004507C9" w:rsidRPr="0026246C">
        <w:t xml:space="preserve"> (30 November 2011) until its execution (15 March 2012) caused </w:t>
      </w:r>
      <w:r w:rsidR="003222AA" w:rsidRPr="00940396">
        <w:t>him</w:t>
      </w:r>
      <w:r w:rsidR="004507C9" w:rsidRPr="00402254">
        <w:t xml:space="preserve"> additional mental distress, in violation of article 7 of the Covenant.</w:t>
      </w:r>
      <w:r w:rsidR="00DD3454" w:rsidRPr="0026246C">
        <w:t xml:space="preserve"> </w:t>
      </w:r>
      <w:r w:rsidR="00EC4F6C" w:rsidRPr="0026246C">
        <w:t>The</w:t>
      </w:r>
      <w:r w:rsidR="003222AA" w:rsidRPr="0026246C">
        <w:t>y</w:t>
      </w:r>
      <w:r w:rsidR="00EC4F6C" w:rsidRPr="0026246C">
        <w:t xml:space="preserve"> request the Committee to find such practice of non-disclosure of the date </w:t>
      </w:r>
      <w:r w:rsidR="001E3412" w:rsidRPr="0026246C">
        <w:t xml:space="preserve">of the execution </w:t>
      </w:r>
      <w:r w:rsidR="005F497A" w:rsidRPr="0026246C">
        <w:t xml:space="preserve">unacceptable and contrary to the prohibition of torture and other cruel, inhuman or degrading treatment or punishment, and </w:t>
      </w:r>
      <w:r w:rsidR="0085259E" w:rsidRPr="0026246C">
        <w:t xml:space="preserve">to </w:t>
      </w:r>
      <w:r w:rsidR="005F497A" w:rsidRPr="0026246C">
        <w:t xml:space="preserve">recommend </w:t>
      </w:r>
      <w:r w:rsidR="00887A99" w:rsidRPr="0026246C">
        <w:t xml:space="preserve">that </w:t>
      </w:r>
      <w:r w:rsidR="005F497A" w:rsidRPr="0026246C">
        <w:t>Belarus a</w:t>
      </w:r>
      <w:r w:rsidR="00734760" w:rsidRPr="0026246C">
        <w:t>bolish</w:t>
      </w:r>
      <w:r w:rsidR="005F497A" w:rsidRPr="0026246C">
        <w:t xml:space="preserve"> this inhuman practice and bring it in line with its obligations un</w:t>
      </w:r>
      <w:r w:rsidR="003222AA" w:rsidRPr="0026246C">
        <w:t>der article 7 of the Covenant.</w:t>
      </w:r>
    </w:p>
    <w:p w:rsidR="00A43342" w:rsidRPr="0026246C" w:rsidRDefault="005F497A" w:rsidP="00C34E8E">
      <w:pPr>
        <w:spacing w:after="120" w:line="240" w:lineRule="auto"/>
        <w:ind w:left="1134" w:right="1134"/>
        <w:jc w:val="both"/>
        <w:rPr>
          <w:color w:val="000000"/>
          <w:lang w:eastAsia="en-GB"/>
        </w:rPr>
      </w:pPr>
      <w:r w:rsidRPr="0026246C">
        <w:t>3.11</w:t>
      </w:r>
      <w:r w:rsidRPr="0026246C">
        <w:tab/>
      </w:r>
      <w:r w:rsidR="00CD60C3" w:rsidRPr="0026246C">
        <w:t xml:space="preserve">Furthermore, the authors </w:t>
      </w:r>
      <w:r w:rsidR="00F608AC" w:rsidRPr="0026246C">
        <w:t>submit that</w:t>
      </w:r>
      <w:r w:rsidR="00887A99" w:rsidRPr="0026246C">
        <w:t>,</w:t>
      </w:r>
      <w:r w:rsidR="00F608AC" w:rsidRPr="0026246C">
        <w:t xml:space="preserve"> </w:t>
      </w:r>
      <w:r w:rsidR="007F1CCA" w:rsidRPr="00940396">
        <w:t xml:space="preserve">from 13 March 2012 (when mass media published information about the consideration of Mr. Kovalev’s application for pardon) </w:t>
      </w:r>
      <w:r w:rsidR="00887A99" w:rsidRPr="0026246C">
        <w:t xml:space="preserve">to </w:t>
      </w:r>
      <w:r w:rsidR="007F1CCA" w:rsidRPr="0026246C">
        <w:t xml:space="preserve">17 March 2012 (when they received the letter of the Supreme Court informing them that the execution had been carried out) they had no information about Mr. Kovalev’s whereabouts </w:t>
      </w:r>
      <w:r w:rsidR="006124D1" w:rsidRPr="0026246C">
        <w:t xml:space="preserve">and whether he was alive or not. </w:t>
      </w:r>
      <w:r w:rsidR="00135085" w:rsidRPr="0026246C">
        <w:rPr>
          <w:color w:val="000000"/>
          <w:lang w:eastAsia="en-GB"/>
        </w:rPr>
        <w:t>The</w:t>
      </w:r>
      <w:r w:rsidR="006124D1" w:rsidRPr="0026246C">
        <w:rPr>
          <w:color w:val="000000"/>
          <w:lang w:eastAsia="en-GB"/>
        </w:rPr>
        <w:t xml:space="preserve"> lawyer</w:t>
      </w:r>
      <w:r w:rsidR="00135085" w:rsidRPr="0026246C">
        <w:rPr>
          <w:color w:val="000000"/>
          <w:lang w:eastAsia="en-GB"/>
        </w:rPr>
        <w:t xml:space="preserve"> was denied access to him. The authors therefore claim that the atmosphere of complete secrecy </w:t>
      </w:r>
      <w:r w:rsidR="00985966" w:rsidRPr="0026246C">
        <w:rPr>
          <w:color w:val="000000"/>
          <w:lang w:eastAsia="en-GB"/>
        </w:rPr>
        <w:t>surrounding</w:t>
      </w:r>
      <w:r w:rsidR="00135085" w:rsidRPr="0026246C">
        <w:rPr>
          <w:color w:val="000000"/>
          <w:lang w:eastAsia="en-GB"/>
        </w:rPr>
        <w:t xml:space="preserve"> the date, time and place of the execution caused them severe </w:t>
      </w:r>
      <w:r w:rsidR="006349A5" w:rsidRPr="0026246C">
        <w:rPr>
          <w:color w:val="000000"/>
          <w:lang w:eastAsia="en-GB"/>
        </w:rPr>
        <w:t xml:space="preserve">mental </w:t>
      </w:r>
      <w:r w:rsidR="00135085" w:rsidRPr="0026246C">
        <w:rPr>
          <w:color w:val="000000"/>
          <w:lang w:eastAsia="en-GB"/>
        </w:rPr>
        <w:t xml:space="preserve">suffering </w:t>
      </w:r>
      <w:r w:rsidR="006349A5" w:rsidRPr="0026246C">
        <w:rPr>
          <w:color w:val="000000"/>
          <w:lang w:eastAsia="en-GB"/>
        </w:rPr>
        <w:t xml:space="preserve">and stress, in violation of their rights under article 7 of the Covenant, and request the Committee to recommend </w:t>
      </w:r>
      <w:r w:rsidR="00887A99" w:rsidRPr="0026246C">
        <w:rPr>
          <w:color w:val="000000"/>
          <w:lang w:eastAsia="en-GB"/>
        </w:rPr>
        <w:t xml:space="preserve">that </w:t>
      </w:r>
      <w:r w:rsidR="006349A5" w:rsidRPr="0026246C">
        <w:rPr>
          <w:color w:val="000000"/>
          <w:lang w:eastAsia="en-GB"/>
        </w:rPr>
        <w:t xml:space="preserve">the State party abolish such practice of </w:t>
      </w:r>
      <w:r w:rsidR="00915B0C" w:rsidRPr="0026246C">
        <w:rPr>
          <w:color w:val="000000"/>
          <w:lang w:eastAsia="en-GB"/>
        </w:rPr>
        <w:t>not informing relatives about the date of execution</w:t>
      </w:r>
      <w:r w:rsidR="0000720E" w:rsidRPr="0026246C">
        <w:rPr>
          <w:color w:val="000000"/>
          <w:lang w:eastAsia="en-GB"/>
        </w:rPr>
        <w:t xml:space="preserve"> of persons sentenced to death.</w:t>
      </w:r>
    </w:p>
    <w:p w:rsidR="00C34E8E" w:rsidRPr="0026246C" w:rsidRDefault="00A43342" w:rsidP="0023130A">
      <w:pPr>
        <w:autoSpaceDE w:val="0"/>
        <w:autoSpaceDN w:val="0"/>
        <w:adjustRightInd w:val="0"/>
        <w:spacing w:after="120" w:line="240" w:lineRule="auto"/>
        <w:ind w:left="1134" w:right="1134"/>
        <w:jc w:val="both"/>
        <w:rPr>
          <w:rFonts w:ascii="TimesNewRomanPSMT" w:hAnsi="TimesNewRomanPSMT" w:cs="TimesNewRomanPSMT"/>
          <w:lang w:eastAsia="en-GB"/>
        </w:rPr>
      </w:pPr>
      <w:r w:rsidRPr="0026246C">
        <w:rPr>
          <w:color w:val="000000"/>
          <w:lang w:eastAsia="en-GB"/>
        </w:rPr>
        <w:t>3.12</w:t>
      </w:r>
      <w:r w:rsidRPr="0026246C">
        <w:rPr>
          <w:color w:val="000000"/>
          <w:lang w:eastAsia="en-GB"/>
        </w:rPr>
        <w:tab/>
      </w:r>
      <w:r w:rsidR="00985966" w:rsidRPr="0026246C">
        <w:rPr>
          <w:color w:val="000000"/>
          <w:lang w:eastAsia="en-GB"/>
        </w:rPr>
        <w:t>Finally, the authors claim that</w:t>
      </w:r>
      <w:r w:rsidR="007E1606" w:rsidRPr="0026246C">
        <w:rPr>
          <w:color w:val="000000"/>
          <w:lang w:eastAsia="en-GB"/>
        </w:rPr>
        <w:t>, following the execution of Mr. Kovalev, the State party’s auth</w:t>
      </w:r>
      <w:r w:rsidR="00412B7F" w:rsidRPr="0026246C">
        <w:rPr>
          <w:color w:val="000000"/>
          <w:lang w:eastAsia="en-GB"/>
        </w:rPr>
        <w:t xml:space="preserve">orities consistently refused </w:t>
      </w:r>
      <w:r w:rsidR="00412B7F" w:rsidRPr="0026246C">
        <w:t xml:space="preserve">to hand over </w:t>
      </w:r>
      <w:r w:rsidR="00641825" w:rsidRPr="0026246C">
        <w:t>his</w:t>
      </w:r>
      <w:r w:rsidR="00412B7F" w:rsidRPr="0026246C">
        <w:t xml:space="preserve"> body for burial</w:t>
      </w:r>
      <w:r w:rsidR="0037282B" w:rsidRPr="0026246C">
        <w:t>, invoking article 175, paragr</w:t>
      </w:r>
      <w:r w:rsidR="00231C0C" w:rsidRPr="0026246C">
        <w:t>aph 5, of the Criminal Execution</w:t>
      </w:r>
      <w:r w:rsidR="00641825" w:rsidRPr="0026246C">
        <w:t xml:space="preserve"> Code</w:t>
      </w:r>
      <w:r w:rsidR="0037282B" w:rsidRPr="0026246C">
        <w:t xml:space="preserve"> according to which </w:t>
      </w:r>
      <w:r w:rsidR="00D93957" w:rsidRPr="0026246C">
        <w:t>r</w:t>
      </w:r>
      <w:r w:rsidR="0037282B" w:rsidRPr="0026246C">
        <w:rPr>
          <w:rFonts w:ascii="TimesNewRomanPSMT" w:hAnsi="TimesNewRomanPSMT" w:cs="TimesNewRomanPSMT"/>
          <w:lang w:eastAsia="en-GB"/>
        </w:rPr>
        <w:t>elatives are not informed in a</w:t>
      </w:r>
      <w:r w:rsidR="00D93957" w:rsidRPr="0026246C">
        <w:rPr>
          <w:rFonts w:ascii="TimesNewRomanPSMT" w:hAnsi="TimesNewRomanPSMT" w:cs="TimesNewRomanPSMT"/>
          <w:lang w:eastAsia="en-GB"/>
        </w:rPr>
        <w:t>dvance of the date of execution, t</w:t>
      </w:r>
      <w:r w:rsidR="0037282B" w:rsidRPr="0026246C">
        <w:rPr>
          <w:rFonts w:ascii="TimesNewRomanPSMT" w:hAnsi="TimesNewRomanPSMT" w:cs="TimesNewRomanPSMT"/>
          <w:lang w:eastAsia="en-GB"/>
        </w:rPr>
        <w:t>he</w:t>
      </w:r>
      <w:r w:rsidR="00DE7B1F" w:rsidRPr="0026246C">
        <w:rPr>
          <w:rFonts w:ascii="TimesNewRomanPSMT" w:hAnsi="TimesNewRomanPSMT" w:cs="TimesNewRomanPSMT"/>
          <w:lang w:eastAsia="en-GB"/>
        </w:rPr>
        <w:t xml:space="preserve"> </w:t>
      </w:r>
      <w:r w:rsidR="0037282B" w:rsidRPr="0026246C">
        <w:rPr>
          <w:rFonts w:ascii="TimesNewRomanPSMT" w:hAnsi="TimesNewRomanPSMT" w:cs="TimesNewRomanPSMT"/>
          <w:lang w:eastAsia="en-GB"/>
        </w:rPr>
        <w:t xml:space="preserve">body is not </w:t>
      </w:r>
      <w:r w:rsidR="00D93957" w:rsidRPr="0026246C">
        <w:rPr>
          <w:rFonts w:ascii="TimesNewRomanPSMT" w:hAnsi="TimesNewRomanPSMT" w:cs="TimesNewRomanPSMT"/>
          <w:lang w:eastAsia="en-GB"/>
        </w:rPr>
        <w:t xml:space="preserve">handed over </w:t>
      </w:r>
      <w:r w:rsidR="0037282B" w:rsidRPr="0026246C">
        <w:rPr>
          <w:rFonts w:ascii="TimesNewRomanPSMT" w:hAnsi="TimesNewRomanPSMT" w:cs="TimesNewRomanPSMT"/>
          <w:lang w:eastAsia="en-GB"/>
        </w:rPr>
        <w:t>and the place of burial is not disclosed</w:t>
      </w:r>
      <w:r w:rsidR="00DE7B1F" w:rsidRPr="0026246C">
        <w:rPr>
          <w:rFonts w:ascii="TimesNewRomanPSMT" w:hAnsi="TimesNewRomanPSMT" w:cs="TimesNewRomanPSMT"/>
          <w:lang w:eastAsia="en-GB"/>
        </w:rPr>
        <w:t>.</w:t>
      </w:r>
      <w:r w:rsidR="004C0FAA" w:rsidRPr="0026246C">
        <w:rPr>
          <w:rStyle w:val="FootnoteReference"/>
          <w:rFonts w:cs="TimesNewRomanPSMT"/>
          <w:lang w:eastAsia="en-GB"/>
        </w:rPr>
        <w:footnoteReference w:id="14"/>
      </w:r>
      <w:r w:rsidR="00DE7B1F" w:rsidRPr="0026246C">
        <w:rPr>
          <w:rFonts w:ascii="TimesNewRomanPSMT" w:hAnsi="TimesNewRomanPSMT" w:cs="TimesNewRomanPSMT"/>
          <w:lang w:eastAsia="en-GB"/>
        </w:rPr>
        <w:t xml:space="preserve"> </w:t>
      </w:r>
      <w:r w:rsidR="00AA37FA" w:rsidRPr="0026246C">
        <w:rPr>
          <w:rFonts w:ascii="TimesNewRomanPSMT" w:hAnsi="TimesNewRomanPSMT" w:cs="TimesNewRomanPSMT"/>
          <w:lang w:eastAsia="en-GB"/>
        </w:rPr>
        <w:t xml:space="preserve">They submit that they are </w:t>
      </w:r>
      <w:r w:rsidR="00B67616" w:rsidRPr="0026246C">
        <w:rPr>
          <w:rFonts w:ascii="TimesNewRomanPSMT" w:hAnsi="TimesNewRomanPSMT" w:cs="TimesNewRomanPSMT"/>
          <w:lang w:eastAsia="en-GB"/>
        </w:rPr>
        <w:t xml:space="preserve">Orthodox </w:t>
      </w:r>
      <w:r w:rsidR="00AA37FA" w:rsidRPr="0026246C">
        <w:rPr>
          <w:rFonts w:ascii="TimesNewRomanPSMT" w:hAnsi="TimesNewRomanPSMT" w:cs="TimesNewRomanPSMT"/>
          <w:lang w:eastAsia="en-GB"/>
        </w:rPr>
        <w:t xml:space="preserve">Christians </w:t>
      </w:r>
      <w:r w:rsidR="00CC7F05" w:rsidRPr="0026246C">
        <w:rPr>
          <w:rFonts w:ascii="TimesNewRomanPSMT" w:hAnsi="TimesNewRomanPSMT" w:cs="TimesNewRomanPSMT"/>
          <w:lang w:eastAsia="en-GB"/>
        </w:rPr>
        <w:t>and wish</w:t>
      </w:r>
      <w:r w:rsidR="00B67616" w:rsidRPr="0026246C">
        <w:rPr>
          <w:rFonts w:ascii="TimesNewRomanPSMT" w:hAnsi="TimesNewRomanPSMT" w:cs="TimesNewRomanPSMT"/>
          <w:lang w:eastAsia="en-GB"/>
        </w:rPr>
        <w:t xml:space="preserve"> to bur</w:t>
      </w:r>
      <w:r w:rsidR="00641825" w:rsidRPr="0026246C">
        <w:rPr>
          <w:rFonts w:ascii="TimesNewRomanPSMT" w:hAnsi="TimesNewRomanPSMT" w:cs="TimesNewRomanPSMT"/>
          <w:lang w:eastAsia="en-GB"/>
        </w:rPr>
        <w:t>y Mr. Kovalev</w:t>
      </w:r>
      <w:r w:rsidR="00B67616" w:rsidRPr="0026246C">
        <w:rPr>
          <w:rFonts w:ascii="TimesNewRomanPSMT" w:hAnsi="TimesNewRomanPSMT" w:cs="TimesNewRomanPSMT"/>
          <w:lang w:eastAsia="en-GB"/>
        </w:rPr>
        <w:t xml:space="preserve"> in accordance with their religious </w:t>
      </w:r>
      <w:r w:rsidR="00163F23" w:rsidRPr="0026246C">
        <w:rPr>
          <w:rFonts w:ascii="TimesNewRomanPSMT" w:hAnsi="TimesNewRomanPSMT" w:cs="TimesNewRomanPSMT"/>
          <w:lang w:eastAsia="en-GB"/>
        </w:rPr>
        <w:t>beliefs and rituals. The State party</w:t>
      </w:r>
      <w:r w:rsidR="00887A99" w:rsidRPr="0026246C">
        <w:rPr>
          <w:rFonts w:ascii="TimesNewRomanPSMT" w:hAnsi="TimesNewRomanPSMT" w:cs="TimesNewRomanPSMT"/>
          <w:lang w:eastAsia="en-GB"/>
        </w:rPr>
        <w:t>’</w:t>
      </w:r>
      <w:r w:rsidR="00163F23" w:rsidRPr="0026246C">
        <w:rPr>
          <w:rFonts w:ascii="TimesNewRomanPSMT" w:hAnsi="TimesNewRomanPSMT" w:cs="TimesNewRomanPSMT"/>
          <w:lang w:eastAsia="en-GB"/>
        </w:rPr>
        <w:t>s authorities also refuse to disclose the location of Mr. Kovalev</w:t>
      </w:r>
      <w:r w:rsidR="00887A99" w:rsidRPr="0026246C">
        <w:rPr>
          <w:rFonts w:ascii="TimesNewRomanPSMT" w:hAnsi="TimesNewRomanPSMT" w:cs="TimesNewRomanPSMT"/>
          <w:lang w:eastAsia="en-GB"/>
        </w:rPr>
        <w:t>’</w:t>
      </w:r>
      <w:r w:rsidR="00163F23" w:rsidRPr="0026246C">
        <w:rPr>
          <w:rFonts w:ascii="TimesNewRomanPSMT" w:hAnsi="TimesNewRomanPSMT" w:cs="TimesNewRomanPSMT"/>
          <w:lang w:eastAsia="en-GB"/>
        </w:rPr>
        <w:t xml:space="preserve">s grave. The authors therefore claim that the </w:t>
      </w:r>
      <w:r w:rsidR="00C22C78" w:rsidRPr="0026246C">
        <w:rPr>
          <w:rFonts w:ascii="TimesNewRomanPSMT" w:hAnsi="TimesNewRomanPSMT" w:cs="TimesNewRomanPSMT"/>
          <w:lang w:eastAsia="en-GB"/>
        </w:rPr>
        <w:t>State party</w:t>
      </w:r>
      <w:r w:rsidR="00887A99" w:rsidRPr="0026246C">
        <w:rPr>
          <w:rFonts w:ascii="TimesNewRomanPSMT" w:hAnsi="TimesNewRomanPSMT" w:cs="TimesNewRomanPSMT"/>
          <w:lang w:eastAsia="en-GB"/>
        </w:rPr>
        <w:t>’</w:t>
      </w:r>
      <w:r w:rsidR="00C22C78" w:rsidRPr="0026246C">
        <w:rPr>
          <w:rFonts w:ascii="TimesNewRomanPSMT" w:hAnsi="TimesNewRomanPSMT" w:cs="TimesNewRomanPSMT"/>
          <w:lang w:eastAsia="en-GB"/>
        </w:rPr>
        <w:t xml:space="preserve">s </w:t>
      </w:r>
      <w:r w:rsidR="00163F23" w:rsidRPr="0026246C">
        <w:rPr>
          <w:rFonts w:ascii="TimesNewRomanPSMT" w:hAnsi="TimesNewRomanPSMT" w:cs="TimesNewRomanPSMT"/>
          <w:lang w:eastAsia="en-GB"/>
        </w:rPr>
        <w:t xml:space="preserve">refusal to </w:t>
      </w:r>
      <w:r w:rsidR="00C22C78" w:rsidRPr="0026246C">
        <w:rPr>
          <w:rFonts w:ascii="TimesNewRomanPSMT" w:hAnsi="TimesNewRomanPSMT" w:cs="TimesNewRomanPSMT"/>
          <w:lang w:eastAsia="en-GB"/>
        </w:rPr>
        <w:t>hand over Mr. Kovalev</w:t>
      </w:r>
      <w:r w:rsidR="00887A99" w:rsidRPr="0026246C">
        <w:rPr>
          <w:rFonts w:ascii="TimesNewRomanPSMT" w:hAnsi="TimesNewRomanPSMT" w:cs="TimesNewRomanPSMT"/>
          <w:lang w:eastAsia="en-GB"/>
        </w:rPr>
        <w:t>’</w:t>
      </w:r>
      <w:r w:rsidR="00C22C78" w:rsidRPr="0026246C">
        <w:rPr>
          <w:rFonts w:ascii="TimesNewRomanPSMT" w:hAnsi="TimesNewRomanPSMT" w:cs="TimesNewRomanPSMT"/>
          <w:lang w:eastAsia="en-GB"/>
        </w:rPr>
        <w:t xml:space="preserve">s body for burial amounts to a violation of their rights under article </w:t>
      </w:r>
      <w:r w:rsidR="00CC7F05" w:rsidRPr="0026246C">
        <w:rPr>
          <w:rFonts w:ascii="TimesNewRomanPSMT" w:hAnsi="TimesNewRomanPSMT" w:cs="TimesNewRomanPSMT"/>
          <w:lang w:eastAsia="en-GB"/>
        </w:rPr>
        <w:t>18</w:t>
      </w:r>
      <w:r w:rsidR="00C22C78" w:rsidRPr="0026246C">
        <w:rPr>
          <w:rFonts w:ascii="TimesNewRomanPSMT" w:hAnsi="TimesNewRomanPSMT" w:cs="TimesNewRomanPSMT"/>
          <w:lang w:eastAsia="en-GB"/>
        </w:rPr>
        <w:t xml:space="preserve"> of the Covenant</w:t>
      </w:r>
      <w:r w:rsidR="00BA5913" w:rsidRPr="0026246C">
        <w:rPr>
          <w:rFonts w:ascii="TimesNewRomanPSMT" w:hAnsi="TimesNewRomanPSMT" w:cs="TimesNewRomanPSMT"/>
          <w:lang w:eastAsia="en-GB"/>
        </w:rPr>
        <w:t xml:space="preserve">. This refusal prevented them from burying Mr. Kovalev in accordance with the requirements of the </w:t>
      </w:r>
      <w:r w:rsidR="00AA37FA" w:rsidRPr="0026246C">
        <w:rPr>
          <w:rFonts w:ascii="TimesNewRomanPSMT" w:hAnsi="TimesNewRomanPSMT" w:cs="TimesNewRomanPSMT"/>
          <w:lang w:eastAsia="en-GB"/>
        </w:rPr>
        <w:t xml:space="preserve">Orthodox </w:t>
      </w:r>
      <w:r w:rsidR="00BA5913" w:rsidRPr="0026246C">
        <w:rPr>
          <w:rFonts w:ascii="TimesNewRomanPSMT" w:hAnsi="TimesNewRomanPSMT" w:cs="TimesNewRomanPSMT"/>
          <w:lang w:eastAsia="en-GB"/>
        </w:rPr>
        <w:t>Christian</w:t>
      </w:r>
      <w:r w:rsidR="00AA37FA" w:rsidRPr="0026246C">
        <w:rPr>
          <w:rFonts w:ascii="TimesNewRomanPSMT" w:hAnsi="TimesNewRomanPSMT" w:cs="TimesNewRomanPSMT"/>
          <w:lang w:eastAsia="en-GB"/>
        </w:rPr>
        <w:t>ity</w:t>
      </w:r>
      <w:r w:rsidR="00BA5913" w:rsidRPr="0026246C">
        <w:rPr>
          <w:rFonts w:ascii="TimesNewRomanPSMT" w:hAnsi="TimesNewRomanPSMT" w:cs="TimesNewRomanPSMT"/>
          <w:lang w:eastAsia="en-GB"/>
        </w:rPr>
        <w:t xml:space="preserve">, in violation of </w:t>
      </w:r>
      <w:r w:rsidR="00753769" w:rsidRPr="0026246C">
        <w:rPr>
          <w:rFonts w:ascii="TimesNewRomanPSMT" w:hAnsi="TimesNewRomanPSMT" w:cs="TimesNewRomanPSMT"/>
          <w:lang w:eastAsia="en-GB"/>
        </w:rPr>
        <w:t>the right to manifest one</w:t>
      </w:r>
      <w:r w:rsidR="00903E09" w:rsidRPr="0026246C">
        <w:rPr>
          <w:rFonts w:ascii="TimesNewRomanPSMT" w:hAnsi="TimesNewRomanPSMT" w:cs="TimesNewRomanPSMT"/>
          <w:lang w:eastAsia="en-GB"/>
        </w:rPr>
        <w:t>’</w:t>
      </w:r>
      <w:r w:rsidR="00753769" w:rsidRPr="0026246C">
        <w:rPr>
          <w:rFonts w:ascii="TimesNewRomanPSMT" w:hAnsi="TimesNewRomanPSMT" w:cs="TimesNewRomanPSMT"/>
          <w:lang w:eastAsia="en-GB"/>
        </w:rPr>
        <w:t xml:space="preserve">s religion and </w:t>
      </w:r>
      <w:r w:rsidR="0023130A" w:rsidRPr="0026246C">
        <w:rPr>
          <w:rFonts w:ascii="TimesNewRomanPSMT" w:hAnsi="TimesNewRomanPSMT" w:cs="TimesNewRomanPSMT"/>
          <w:lang w:eastAsia="en-GB"/>
        </w:rPr>
        <w:t>to perform</w:t>
      </w:r>
      <w:r w:rsidR="00753769" w:rsidRPr="0026246C">
        <w:rPr>
          <w:rFonts w:ascii="TimesNewRomanPSMT" w:hAnsi="TimesNewRomanPSMT" w:cs="TimesNewRomanPSMT"/>
          <w:lang w:eastAsia="en-GB"/>
        </w:rPr>
        <w:t xml:space="preserve"> religious</w:t>
      </w:r>
      <w:r w:rsidR="0023130A" w:rsidRPr="0026246C">
        <w:rPr>
          <w:rFonts w:ascii="TimesNewRomanPSMT" w:hAnsi="TimesNewRomanPSMT" w:cs="TimesNewRomanPSMT"/>
          <w:lang w:eastAsia="en-GB"/>
        </w:rPr>
        <w:t xml:space="preserve"> rites and rituals, as set forth in article 18 of the Covenant. They request the Committee to recommend </w:t>
      </w:r>
      <w:r w:rsidR="00903E09" w:rsidRPr="0026246C">
        <w:rPr>
          <w:rFonts w:ascii="TimesNewRomanPSMT" w:hAnsi="TimesNewRomanPSMT" w:cs="TimesNewRomanPSMT"/>
          <w:lang w:eastAsia="en-GB"/>
        </w:rPr>
        <w:t xml:space="preserve">that </w:t>
      </w:r>
      <w:smartTag w:uri="urn:schemas-microsoft-com:office:smarttags" w:element="country-region">
        <w:smartTag w:uri="urn:schemas-microsoft-com:office:smarttags" w:element="place">
          <w:r w:rsidR="0023130A" w:rsidRPr="0026246C">
            <w:rPr>
              <w:rFonts w:ascii="TimesNewRomanPSMT" w:hAnsi="TimesNewRomanPSMT" w:cs="TimesNewRomanPSMT"/>
              <w:lang w:eastAsia="en-GB"/>
            </w:rPr>
            <w:t>Belarus</w:t>
          </w:r>
        </w:smartTag>
      </w:smartTag>
      <w:r w:rsidR="0023130A" w:rsidRPr="0026246C">
        <w:rPr>
          <w:rFonts w:ascii="TimesNewRomanPSMT" w:hAnsi="TimesNewRomanPSMT" w:cs="TimesNewRomanPSMT"/>
          <w:lang w:eastAsia="en-GB"/>
        </w:rPr>
        <w:t xml:space="preserve"> abolish the practice of </w:t>
      </w:r>
      <w:r w:rsidR="00D602CE" w:rsidRPr="0026246C">
        <w:rPr>
          <w:rFonts w:ascii="TimesNewRomanPSMT" w:hAnsi="TimesNewRomanPSMT" w:cs="TimesNewRomanPSMT"/>
          <w:lang w:eastAsia="en-GB"/>
        </w:rPr>
        <w:t xml:space="preserve">not </w:t>
      </w:r>
      <w:r w:rsidR="003F7F71" w:rsidRPr="0026246C">
        <w:rPr>
          <w:rFonts w:ascii="TimesNewRomanPSMT" w:hAnsi="TimesNewRomanPSMT" w:cs="TimesNewRomanPSMT"/>
          <w:lang w:eastAsia="en-GB"/>
        </w:rPr>
        <w:t>re</w:t>
      </w:r>
      <w:r w:rsidR="003F710B" w:rsidRPr="0026246C">
        <w:rPr>
          <w:rFonts w:ascii="TimesNewRomanPSMT" w:hAnsi="TimesNewRomanPSMT" w:cs="TimesNewRomanPSMT"/>
          <w:lang w:eastAsia="en-GB"/>
        </w:rPr>
        <w:t>turning</w:t>
      </w:r>
      <w:r w:rsidR="00D602CE" w:rsidRPr="0026246C">
        <w:rPr>
          <w:rFonts w:ascii="TimesNewRomanPSMT" w:hAnsi="TimesNewRomanPSMT" w:cs="TimesNewRomanPSMT"/>
          <w:lang w:eastAsia="en-GB"/>
        </w:rPr>
        <w:t xml:space="preserve"> the body of executed persons to relatives and of concealing from relatives the </w:t>
      </w:r>
      <w:r w:rsidR="009B4018" w:rsidRPr="0026246C">
        <w:rPr>
          <w:rFonts w:ascii="TimesNewRomanPSMT" w:hAnsi="TimesNewRomanPSMT" w:cs="TimesNewRomanPSMT"/>
          <w:lang w:eastAsia="en-GB"/>
        </w:rPr>
        <w:t>location of the burial</w:t>
      </w:r>
      <w:r w:rsidR="005C01B3" w:rsidRPr="0026246C">
        <w:rPr>
          <w:rFonts w:ascii="TimesNewRomanPSMT" w:hAnsi="TimesNewRomanPSMT" w:cs="TimesNewRomanPSMT"/>
          <w:lang w:eastAsia="en-GB"/>
        </w:rPr>
        <w:t xml:space="preserve"> site</w:t>
      </w:r>
      <w:r w:rsidR="009B4018" w:rsidRPr="0026246C">
        <w:rPr>
          <w:rFonts w:ascii="TimesNewRomanPSMT" w:hAnsi="TimesNewRomanPSMT" w:cs="TimesNewRomanPSMT"/>
          <w:lang w:eastAsia="en-GB"/>
        </w:rPr>
        <w:t>.</w:t>
      </w:r>
    </w:p>
    <w:p w:rsidR="00FC6701" w:rsidRPr="0026246C" w:rsidRDefault="00FC6701" w:rsidP="00C34E8E">
      <w:pPr>
        <w:spacing w:after="120" w:line="240" w:lineRule="auto"/>
        <w:ind w:left="1134" w:right="1134"/>
        <w:jc w:val="both"/>
        <w:rPr>
          <w:b/>
        </w:rPr>
      </w:pPr>
      <w:r w:rsidRPr="0026246C">
        <w:rPr>
          <w:b/>
        </w:rPr>
        <w:lastRenderedPageBreak/>
        <w:t>State party’</w:t>
      </w:r>
      <w:r w:rsidR="0000720E" w:rsidRPr="0026246C">
        <w:rPr>
          <w:b/>
        </w:rPr>
        <w:t>s observations on admissibility</w:t>
      </w:r>
    </w:p>
    <w:p w:rsidR="005643D0" w:rsidRPr="0026246C" w:rsidRDefault="00FC6701" w:rsidP="002F635B">
      <w:pPr>
        <w:autoSpaceDE w:val="0"/>
        <w:autoSpaceDN w:val="0"/>
        <w:adjustRightInd w:val="0"/>
        <w:spacing w:after="120" w:line="240" w:lineRule="auto"/>
        <w:ind w:left="1134" w:right="1134"/>
        <w:jc w:val="both"/>
        <w:rPr>
          <w:color w:val="000000"/>
          <w:lang w:eastAsia="en-GB"/>
        </w:rPr>
      </w:pPr>
      <w:r w:rsidRPr="0026246C">
        <w:t>4.</w:t>
      </w:r>
      <w:r w:rsidR="005643D0" w:rsidRPr="0026246C">
        <w:t>1</w:t>
      </w:r>
      <w:r w:rsidRPr="0026246C">
        <w:rPr>
          <w:b/>
        </w:rPr>
        <w:tab/>
      </w:r>
      <w:r w:rsidR="000D5B50" w:rsidRPr="0026246C">
        <w:t>By note verbale dated</w:t>
      </w:r>
      <w:r w:rsidR="000D5B50" w:rsidRPr="0026246C">
        <w:rPr>
          <w:b/>
        </w:rPr>
        <w:t xml:space="preserve"> </w:t>
      </w:r>
      <w:r w:rsidRPr="0026246C">
        <w:rPr>
          <w:color w:val="000000"/>
          <w:lang w:eastAsia="en-GB"/>
        </w:rPr>
        <w:t xml:space="preserve">24 January 2012, the State party </w:t>
      </w:r>
      <w:r w:rsidR="000D5B50" w:rsidRPr="0026246C">
        <w:rPr>
          <w:color w:val="000000"/>
          <w:lang w:eastAsia="en-GB"/>
        </w:rPr>
        <w:t xml:space="preserve">contests the registration of the communication, </w:t>
      </w:r>
      <w:r w:rsidRPr="0026246C">
        <w:rPr>
          <w:color w:val="000000"/>
          <w:lang w:eastAsia="en-GB"/>
        </w:rPr>
        <w:t xml:space="preserve">claiming that </w:t>
      </w:r>
      <w:r w:rsidR="000D5B50" w:rsidRPr="0026246C">
        <w:rPr>
          <w:color w:val="000000"/>
          <w:lang w:eastAsia="en-GB"/>
        </w:rPr>
        <w:t xml:space="preserve">it </w:t>
      </w:r>
      <w:r w:rsidRPr="0026246C">
        <w:rPr>
          <w:color w:val="000000"/>
          <w:lang w:eastAsia="en-GB"/>
        </w:rPr>
        <w:t>was registered in breach of article 1 of the O</w:t>
      </w:r>
      <w:r w:rsidR="000D5B50" w:rsidRPr="0026246C">
        <w:rPr>
          <w:color w:val="000000"/>
          <w:lang w:eastAsia="en-GB"/>
        </w:rPr>
        <w:t xml:space="preserve">ptional </w:t>
      </w:r>
      <w:r w:rsidRPr="0026246C">
        <w:rPr>
          <w:color w:val="000000"/>
          <w:lang w:eastAsia="en-GB"/>
        </w:rPr>
        <w:t>P</w:t>
      </w:r>
      <w:r w:rsidR="000D5B50" w:rsidRPr="0026246C">
        <w:rPr>
          <w:color w:val="000000"/>
          <w:lang w:eastAsia="en-GB"/>
        </w:rPr>
        <w:t>rotocol.</w:t>
      </w:r>
      <w:r w:rsidRPr="0026246C">
        <w:rPr>
          <w:color w:val="000000"/>
          <w:lang w:eastAsia="en-GB"/>
        </w:rPr>
        <w:t xml:space="preserve"> </w:t>
      </w:r>
      <w:r w:rsidR="000D5B50" w:rsidRPr="0026246C">
        <w:rPr>
          <w:color w:val="000000"/>
          <w:lang w:eastAsia="en-GB"/>
        </w:rPr>
        <w:t>The</w:t>
      </w:r>
      <w:r w:rsidRPr="0026246C">
        <w:rPr>
          <w:color w:val="000000"/>
          <w:lang w:eastAsia="en-GB"/>
        </w:rPr>
        <w:t xml:space="preserve"> State party </w:t>
      </w:r>
      <w:r w:rsidR="000D5B50" w:rsidRPr="0026246C">
        <w:rPr>
          <w:color w:val="000000"/>
          <w:lang w:eastAsia="en-GB"/>
        </w:rPr>
        <w:t xml:space="preserve">also </w:t>
      </w:r>
      <w:r w:rsidRPr="0026246C">
        <w:rPr>
          <w:color w:val="000000"/>
          <w:lang w:eastAsia="en-GB"/>
        </w:rPr>
        <w:t xml:space="preserve">submits that </w:t>
      </w:r>
      <w:r w:rsidR="000D5B50" w:rsidRPr="0026246C">
        <w:rPr>
          <w:color w:val="000000"/>
          <w:lang w:eastAsia="en-GB"/>
        </w:rPr>
        <w:t>Mr</w:t>
      </w:r>
      <w:r w:rsidR="005B50CF" w:rsidRPr="0026246C">
        <w:rPr>
          <w:color w:val="000000"/>
          <w:lang w:eastAsia="en-GB"/>
        </w:rPr>
        <w:t>.</w:t>
      </w:r>
      <w:r w:rsidR="000D5B50" w:rsidRPr="0026246C">
        <w:rPr>
          <w:color w:val="000000"/>
          <w:lang w:eastAsia="en-GB"/>
        </w:rPr>
        <w:t xml:space="preserve"> Kovalev ha</w:t>
      </w:r>
      <w:r w:rsidR="00903E09" w:rsidRPr="0026246C">
        <w:rPr>
          <w:color w:val="000000"/>
          <w:lang w:eastAsia="en-GB"/>
        </w:rPr>
        <w:t>d</w:t>
      </w:r>
      <w:r w:rsidR="000D5B50" w:rsidRPr="0026246C">
        <w:rPr>
          <w:color w:val="000000"/>
          <w:lang w:eastAsia="en-GB"/>
        </w:rPr>
        <w:t xml:space="preserve"> not exhausted </w:t>
      </w:r>
      <w:r w:rsidRPr="0026246C">
        <w:rPr>
          <w:color w:val="000000"/>
          <w:lang w:eastAsia="en-GB"/>
        </w:rPr>
        <w:t xml:space="preserve">domestic remedies, </w:t>
      </w:r>
      <w:r w:rsidR="000D5B50" w:rsidRPr="0026246C">
        <w:rPr>
          <w:color w:val="000000"/>
          <w:lang w:eastAsia="en-GB"/>
        </w:rPr>
        <w:t xml:space="preserve">as required under the Optional Protocol. </w:t>
      </w:r>
      <w:r w:rsidR="006E6DD8" w:rsidRPr="0026246C">
        <w:rPr>
          <w:color w:val="000000"/>
          <w:lang w:eastAsia="en-GB"/>
        </w:rPr>
        <w:t xml:space="preserve">Although </w:t>
      </w:r>
      <w:r w:rsidR="000D5B50" w:rsidRPr="0026246C">
        <w:rPr>
          <w:color w:val="000000"/>
          <w:lang w:eastAsia="en-GB"/>
        </w:rPr>
        <w:t>Mr</w:t>
      </w:r>
      <w:r w:rsidR="005B50CF" w:rsidRPr="0026246C">
        <w:rPr>
          <w:color w:val="000000"/>
          <w:lang w:eastAsia="en-GB"/>
        </w:rPr>
        <w:t>.</w:t>
      </w:r>
      <w:r w:rsidR="000D5B50" w:rsidRPr="0026246C">
        <w:rPr>
          <w:color w:val="000000"/>
          <w:lang w:eastAsia="en-GB"/>
        </w:rPr>
        <w:t xml:space="preserve"> Kovalev filed a </w:t>
      </w:r>
      <w:r w:rsidRPr="0026246C">
        <w:rPr>
          <w:color w:val="000000"/>
          <w:lang w:eastAsia="en-GB"/>
        </w:rPr>
        <w:t xml:space="preserve">supervisory review </w:t>
      </w:r>
      <w:r w:rsidR="000D5B50" w:rsidRPr="0026246C">
        <w:rPr>
          <w:color w:val="000000"/>
          <w:lang w:eastAsia="en-GB"/>
        </w:rPr>
        <w:t xml:space="preserve">application to the </w:t>
      </w:r>
      <w:r w:rsidRPr="0026246C">
        <w:rPr>
          <w:color w:val="000000"/>
          <w:lang w:eastAsia="en-GB"/>
        </w:rPr>
        <w:t xml:space="preserve">Supreme Court and </w:t>
      </w:r>
      <w:r w:rsidR="005643D0" w:rsidRPr="0026246C">
        <w:rPr>
          <w:color w:val="000000"/>
          <w:lang w:eastAsia="en-GB"/>
        </w:rPr>
        <w:t>lodged an appl</w:t>
      </w:r>
      <w:r w:rsidR="006E6DD8" w:rsidRPr="0026246C">
        <w:rPr>
          <w:color w:val="000000"/>
          <w:lang w:eastAsia="en-GB"/>
        </w:rPr>
        <w:t xml:space="preserve">ication for presidential pardon, both </w:t>
      </w:r>
      <w:r w:rsidR="005643D0" w:rsidRPr="0026246C">
        <w:rPr>
          <w:color w:val="000000"/>
          <w:lang w:eastAsia="en-GB"/>
        </w:rPr>
        <w:t xml:space="preserve">applications </w:t>
      </w:r>
      <w:r w:rsidR="00903E09" w:rsidRPr="0026246C">
        <w:rPr>
          <w:color w:val="000000"/>
          <w:lang w:eastAsia="en-GB"/>
        </w:rPr>
        <w:t>we</w:t>
      </w:r>
      <w:r w:rsidR="005643D0" w:rsidRPr="0026246C">
        <w:rPr>
          <w:color w:val="000000"/>
          <w:lang w:eastAsia="en-GB"/>
        </w:rPr>
        <w:t>re still pending before national authorities.</w:t>
      </w:r>
    </w:p>
    <w:p w:rsidR="00FC6701" w:rsidRPr="0026246C" w:rsidRDefault="005643D0" w:rsidP="002F635B">
      <w:pPr>
        <w:autoSpaceDE w:val="0"/>
        <w:autoSpaceDN w:val="0"/>
        <w:adjustRightInd w:val="0"/>
        <w:spacing w:after="120" w:line="240" w:lineRule="auto"/>
        <w:ind w:left="1134" w:right="1134"/>
        <w:jc w:val="both"/>
        <w:rPr>
          <w:color w:val="000000"/>
          <w:lang w:eastAsia="en-GB"/>
        </w:rPr>
      </w:pPr>
      <w:r w:rsidRPr="0026246C">
        <w:rPr>
          <w:color w:val="000000"/>
          <w:lang w:eastAsia="en-GB"/>
        </w:rPr>
        <w:t>4.2</w:t>
      </w:r>
      <w:r w:rsidRPr="0026246C">
        <w:rPr>
          <w:color w:val="000000"/>
          <w:lang w:eastAsia="en-GB"/>
        </w:rPr>
        <w:tab/>
        <w:t xml:space="preserve">According to article 24 of the Constitution of Belarus, </w:t>
      </w:r>
      <w:r w:rsidR="00D54470" w:rsidRPr="0026246C">
        <w:rPr>
          <w:color w:val="000000"/>
          <w:lang w:eastAsia="en-GB"/>
        </w:rPr>
        <w:t>the</w:t>
      </w:r>
      <w:r w:rsidR="004C3545" w:rsidRPr="0026246C">
        <w:rPr>
          <w:color w:val="000000"/>
          <w:lang w:eastAsia="en-GB"/>
        </w:rPr>
        <w:t xml:space="preserve"> death penalty </w:t>
      </w:r>
      <w:r w:rsidRPr="0026246C">
        <w:rPr>
          <w:shd w:val="clear" w:color="auto" w:fill="FFFFFF"/>
        </w:rPr>
        <w:t xml:space="preserve">may be applied in accordance with the law as an exceptional penalty for the most serious crimes and only in accordance with the verdict of a court of law. </w:t>
      </w:r>
      <w:r w:rsidR="006E74C2" w:rsidRPr="0026246C">
        <w:rPr>
          <w:shd w:val="clear" w:color="auto" w:fill="FFFFFF"/>
        </w:rPr>
        <w:t xml:space="preserve">Pursuant to article 59 of the Criminal Code of Belarus, </w:t>
      </w:r>
      <w:r w:rsidR="00D54470" w:rsidRPr="0026246C">
        <w:rPr>
          <w:shd w:val="clear" w:color="auto" w:fill="FFFFFF"/>
        </w:rPr>
        <w:t xml:space="preserve">the </w:t>
      </w:r>
      <w:r w:rsidR="00AD20C6" w:rsidRPr="0026246C">
        <w:rPr>
          <w:shd w:val="clear" w:color="auto" w:fill="FFFFFF"/>
        </w:rPr>
        <w:t xml:space="preserve">death sentence </w:t>
      </w:r>
      <w:r w:rsidR="006E74C2" w:rsidRPr="0026246C">
        <w:rPr>
          <w:shd w:val="clear" w:color="auto" w:fill="FFFFFF"/>
        </w:rPr>
        <w:t xml:space="preserve">may be applied as an exceptional measure for </w:t>
      </w:r>
      <w:r w:rsidR="00AD20C6" w:rsidRPr="0026246C">
        <w:rPr>
          <w:shd w:val="clear" w:color="auto" w:fill="FFFFFF"/>
        </w:rPr>
        <w:t>particularly serious crimes involving</w:t>
      </w:r>
      <w:r w:rsidR="006E74C2" w:rsidRPr="0026246C">
        <w:rPr>
          <w:shd w:val="clear" w:color="auto" w:fill="FFFFFF"/>
        </w:rPr>
        <w:t xml:space="preserve"> premeditated </w:t>
      </w:r>
      <w:r w:rsidR="00AD20C6" w:rsidRPr="0026246C">
        <w:rPr>
          <w:shd w:val="clear" w:color="auto" w:fill="FFFFFF"/>
        </w:rPr>
        <w:t xml:space="preserve">deprivation of life </w:t>
      </w:r>
      <w:r w:rsidR="006E74C2" w:rsidRPr="0026246C">
        <w:rPr>
          <w:shd w:val="clear" w:color="auto" w:fill="FFFFFF"/>
        </w:rPr>
        <w:t>with aggravating circumstances.</w:t>
      </w:r>
      <w:r w:rsidR="00AD20C6" w:rsidRPr="0026246C">
        <w:rPr>
          <w:rStyle w:val="apple-converted-space"/>
          <w:shd w:val="clear" w:color="auto" w:fill="FFFFFF"/>
        </w:rPr>
        <w:t xml:space="preserve"> In this regard, Mr. Kovalev was sentenced to death following the judgment handed down by a court of law, in accordance with the Constitution, the Criminal Code and the Criminal Procedure Code of Belarus and </w:t>
      </w:r>
      <w:r w:rsidR="00E10CCB" w:rsidRPr="0026246C">
        <w:rPr>
          <w:rStyle w:val="apple-converted-space"/>
          <w:shd w:val="clear" w:color="auto" w:fill="FFFFFF"/>
        </w:rPr>
        <w:t xml:space="preserve">therefore </w:t>
      </w:r>
      <w:r w:rsidR="006E6DD8" w:rsidRPr="0026246C">
        <w:rPr>
          <w:rStyle w:val="apple-converted-space"/>
          <w:shd w:val="clear" w:color="auto" w:fill="FFFFFF"/>
        </w:rPr>
        <w:t xml:space="preserve">the imposed death penalty </w:t>
      </w:r>
      <w:r w:rsidR="00AD20C6" w:rsidRPr="0026246C">
        <w:rPr>
          <w:rStyle w:val="apple-converted-space"/>
          <w:shd w:val="clear" w:color="auto" w:fill="FFFFFF"/>
        </w:rPr>
        <w:t xml:space="preserve">is not contrary to </w:t>
      </w:r>
      <w:r w:rsidR="006E6DD8" w:rsidRPr="0026246C">
        <w:rPr>
          <w:rStyle w:val="apple-converted-space"/>
          <w:shd w:val="clear" w:color="auto" w:fill="FFFFFF"/>
        </w:rPr>
        <w:t xml:space="preserve">the </w:t>
      </w:r>
      <w:r w:rsidR="00AD20C6" w:rsidRPr="0026246C">
        <w:rPr>
          <w:rStyle w:val="apple-converted-space"/>
          <w:shd w:val="clear" w:color="auto" w:fill="FFFFFF"/>
        </w:rPr>
        <w:t>international instrume</w:t>
      </w:r>
      <w:r w:rsidR="008F6756" w:rsidRPr="0026246C">
        <w:rPr>
          <w:rStyle w:val="apple-converted-space"/>
          <w:shd w:val="clear" w:color="auto" w:fill="FFFFFF"/>
        </w:rPr>
        <w:t xml:space="preserve">nts to which </w:t>
      </w:r>
      <w:smartTag w:uri="urn:schemas-microsoft-com:office:smarttags" w:element="country-region">
        <w:smartTag w:uri="urn:schemas-microsoft-com:office:smarttags" w:element="place">
          <w:r w:rsidR="008F6756" w:rsidRPr="0026246C">
            <w:rPr>
              <w:rStyle w:val="apple-converted-space"/>
              <w:shd w:val="clear" w:color="auto" w:fill="FFFFFF"/>
            </w:rPr>
            <w:t>Belarus</w:t>
          </w:r>
        </w:smartTag>
      </w:smartTag>
      <w:r w:rsidR="008F6756" w:rsidRPr="0026246C">
        <w:rPr>
          <w:rStyle w:val="apple-converted-space"/>
          <w:shd w:val="clear" w:color="auto" w:fill="FFFFFF"/>
        </w:rPr>
        <w:t xml:space="preserve"> is a </w:t>
      </w:r>
      <w:r w:rsidR="00AD20C6" w:rsidRPr="0026246C">
        <w:rPr>
          <w:rStyle w:val="apple-converted-space"/>
          <w:shd w:val="clear" w:color="auto" w:fill="FFFFFF"/>
        </w:rPr>
        <w:t xml:space="preserve">party. </w:t>
      </w:r>
      <w:r w:rsidR="006C08D3" w:rsidRPr="0026246C">
        <w:rPr>
          <w:rStyle w:val="apple-converted-space"/>
          <w:shd w:val="clear" w:color="auto" w:fill="FFFFFF"/>
        </w:rPr>
        <w:t>A</w:t>
      </w:r>
      <w:r w:rsidR="00FC6701" w:rsidRPr="0026246C">
        <w:rPr>
          <w:color w:val="000000"/>
          <w:lang w:eastAsia="en-GB"/>
        </w:rPr>
        <w:t xml:space="preserve">ccording to national legislation, the </w:t>
      </w:r>
      <w:r w:rsidR="00AD20C6" w:rsidRPr="0026246C">
        <w:rPr>
          <w:color w:val="000000"/>
          <w:lang w:eastAsia="en-GB"/>
        </w:rPr>
        <w:t>execution of Mr</w:t>
      </w:r>
      <w:r w:rsidR="005B50CF" w:rsidRPr="0026246C">
        <w:rPr>
          <w:color w:val="000000"/>
          <w:lang w:eastAsia="en-GB"/>
        </w:rPr>
        <w:t>.</w:t>
      </w:r>
      <w:r w:rsidR="00AD20C6" w:rsidRPr="0026246C">
        <w:rPr>
          <w:color w:val="000000"/>
          <w:lang w:eastAsia="en-GB"/>
        </w:rPr>
        <w:t xml:space="preserve"> Kovalev </w:t>
      </w:r>
      <w:r w:rsidR="00FC6701" w:rsidRPr="0026246C">
        <w:rPr>
          <w:color w:val="000000"/>
          <w:lang w:eastAsia="en-GB"/>
        </w:rPr>
        <w:t>was suspended until competent authorities decide</w:t>
      </w:r>
      <w:r w:rsidR="00903E09" w:rsidRPr="0026246C">
        <w:rPr>
          <w:color w:val="000000"/>
          <w:lang w:eastAsia="en-GB"/>
        </w:rPr>
        <w:t>d</w:t>
      </w:r>
      <w:r w:rsidR="00FC6701" w:rsidRPr="0026246C">
        <w:rPr>
          <w:color w:val="000000"/>
          <w:lang w:eastAsia="en-GB"/>
        </w:rPr>
        <w:t xml:space="preserve"> on his application</w:t>
      </w:r>
      <w:r w:rsidR="00AD20C6" w:rsidRPr="0026246C">
        <w:rPr>
          <w:color w:val="000000"/>
          <w:lang w:eastAsia="en-GB"/>
        </w:rPr>
        <w:t>s</w:t>
      </w:r>
      <w:r w:rsidR="00FC6701" w:rsidRPr="0026246C">
        <w:rPr>
          <w:color w:val="000000"/>
          <w:lang w:eastAsia="en-GB"/>
        </w:rPr>
        <w:t xml:space="preserve"> for supervisory </w:t>
      </w:r>
      <w:r w:rsidR="002F635B" w:rsidRPr="0026246C">
        <w:rPr>
          <w:color w:val="000000"/>
          <w:lang w:eastAsia="en-GB"/>
        </w:rPr>
        <w:t>review and presidential pardon.</w:t>
      </w:r>
    </w:p>
    <w:p w:rsidR="003C5258" w:rsidRPr="0026246C" w:rsidRDefault="00034CA2" w:rsidP="000A6A99">
      <w:pPr>
        <w:pStyle w:val="SingleTxtG"/>
        <w:rPr>
          <w:lang w:val="en-GB"/>
        </w:rPr>
      </w:pPr>
      <w:r w:rsidRPr="0026246C">
        <w:rPr>
          <w:color w:val="000000"/>
          <w:lang w:val="en-GB" w:eastAsia="en-GB"/>
        </w:rPr>
        <w:t>4.3</w:t>
      </w:r>
      <w:r w:rsidRPr="0026246C">
        <w:rPr>
          <w:color w:val="000000"/>
          <w:lang w:val="en-GB" w:eastAsia="en-GB"/>
        </w:rPr>
        <w:tab/>
      </w:r>
      <w:r w:rsidR="008A5B30" w:rsidRPr="0026246C">
        <w:rPr>
          <w:color w:val="000000"/>
          <w:lang w:val="en-GB" w:eastAsia="en-GB"/>
        </w:rPr>
        <w:t xml:space="preserve">On 25 January 2012, </w:t>
      </w:r>
      <w:r w:rsidR="008A5B30" w:rsidRPr="0026246C">
        <w:rPr>
          <w:lang w:val="en-GB"/>
        </w:rPr>
        <w:t>the State party</w:t>
      </w:r>
      <w:r w:rsidR="008A5B30" w:rsidRPr="0026246C">
        <w:rPr>
          <w:bCs/>
          <w:lang w:val="en-GB"/>
        </w:rPr>
        <w:t xml:space="preserve"> submits, with regard to the present communication together with around sixty other communications that, </w:t>
      </w:r>
      <w:r w:rsidR="008A5B30" w:rsidRPr="0026246C">
        <w:rPr>
          <w:lang w:val="en-GB"/>
        </w:rPr>
        <w:t xml:space="preserve">when becoming a </w:t>
      </w:r>
      <w:r w:rsidR="003C5258" w:rsidRPr="0026246C">
        <w:rPr>
          <w:lang w:val="en-GB"/>
        </w:rPr>
        <w:t xml:space="preserve">State </w:t>
      </w:r>
      <w:r w:rsidR="008A5B30" w:rsidRPr="0026246C">
        <w:rPr>
          <w:lang w:val="en-GB"/>
        </w:rPr>
        <w:t>party to the Optional Protocol, it recognized the competence of the Committee under article 1, but that recognition of competence is done in conjunction with other provisions of the Optional Protocol, including those that set criteria regarding petitioners and admissibility of their communications, in particular articles 2 and 5 of the Optional Protocol. It maintains that under the Optional Protocol</w:t>
      </w:r>
      <w:r w:rsidR="00D54470" w:rsidRPr="0026246C">
        <w:rPr>
          <w:lang w:val="en-GB"/>
        </w:rPr>
        <w:t>,</w:t>
      </w:r>
      <w:r w:rsidR="008A5B30" w:rsidRPr="0026246C">
        <w:rPr>
          <w:lang w:val="en-GB"/>
        </w:rPr>
        <w:t xml:space="preserve"> the State</w:t>
      </w:r>
      <w:r w:rsidR="00D54470" w:rsidRPr="0026246C">
        <w:rPr>
          <w:lang w:val="en-GB"/>
        </w:rPr>
        <w:t>s</w:t>
      </w:r>
      <w:r w:rsidR="008A5B30" w:rsidRPr="0026246C">
        <w:rPr>
          <w:lang w:val="en-GB"/>
        </w:rPr>
        <w:t xml:space="preserve"> parties have no obligations on the recognition of the Committee</w:t>
      </w:r>
      <w:r w:rsidR="00D54470" w:rsidRPr="0026246C">
        <w:rPr>
          <w:lang w:val="en-GB"/>
        </w:rPr>
        <w:t>’</w:t>
      </w:r>
      <w:r w:rsidR="008A5B30" w:rsidRPr="0026246C">
        <w:rPr>
          <w:lang w:val="en-GB"/>
        </w:rPr>
        <w:t>s rules of procedure and its interpretation of the Protocol’s provisions, which “could only be efficient when done in accordance with the Vienna Convention of the Law on Treaties”. It submits that “in relation to the complaint procedure the State Parties should be guided first and foremost by the provisions of the Optional Protocol” and that “references to the Committee’s longstanding practice, methods of work, case law are not subject of the Optional Protocol”.  It further submits that “any communication registered in violation of the provisions of the Optional Protocol to the Covenant on Civil and Political Rights will be viewed by the State Party as incompatible with the Protocol and will be rejected without comments on the admissibility or on the merits”. The State party further maintains that decisions taken by the Committee on such “declined communications” will be co</w:t>
      </w:r>
      <w:r w:rsidR="000A6A99" w:rsidRPr="0026246C">
        <w:rPr>
          <w:lang w:val="en-GB"/>
        </w:rPr>
        <w:t xml:space="preserve">nsidered by its authorities as </w:t>
      </w:r>
      <w:r w:rsidR="00BA40F5" w:rsidRPr="0026246C">
        <w:rPr>
          <w:lang w:val="en-GB"/>
        </w:rPr>
        <w:t>“</w:t>
      </w:r>
      <w:r w:rsidR="000A6A99" w:rsidRPr="0026246C">
        <w:rPr>
          <w:lang w:val="en-GB"/>
        </w:rPr>
        <w:t>invalid</w:t>
      </w:r>
      <w:r w:rsidR="00BA40F5" w:rsidRPr="0026246C">
        <w:rPr>
          <w:lang w:val="en-GB"/>
        </w:rPr>
        <w:t>”</w:t>
      </w:r>
      <w:r w:rsidR="000A6A99" w:rsidRPr="0026246C">
        <w:rPr>
          <w:lang w:val="en-GB"/>
        </w:rPr>
        <w:t>.</w:t>
      </w:r>
    </w:p>
    <w:p w:rsidR="00FC6701" w:rsidRPr="0026246C" w:rsidRDefault="00FC6701" w:rsidP="008A5B30">
      <w:pPr>
        <w:pStyle w:val="SingleTxtG"/>
        <w:rPr>
          <w:b/>
          <w:color w:val="000000"/>
          <w:lang w:val="en-GB" w:eastAsia="en-GB"/>
        </w:rPr>
      </w:pPr>
      <w:r w:rsidRPr="0026246C">
        <w:rPr>
          <w:b/>
          <w:color w:val="000000"/>
          <w:lang w:val="en-GB" w:eastAsia="en-GB"/>
        </w:rPr>
        <w:t>Author’s comments on the State party’</w:t>
      </w:r>
      <w:r w:rsidR="002F635B" w:rsidRPr="0026246C">
        <w:rPr>
          <w:b/>
          <w:color w:val="000000"/>
          <w:lang w:val="en-GB" w:eastAsia="en-GB"/>
        </w:rPr>
        <w:t>s observations on admissibility</w:t>
      </w:r>
    </w:p>
    <w:p w:rsidR="00166587" w:rsidRPr="0026246C" w:rsidRDefault="00FC6701" w:rsidP="00FC6701">
      <w:pPr>
        <w:pStyle w:val="SingleTxtG"/>
        <w:rPr>
          <w:lang w:val="en-GB"/>
        </w:rPr>
      </w:pPr>
      <w:r w:rsidRPr="0026246C">
        <w:rPr>
          <w:color w:val="000000"/>
          <w:lang w:val="en-GB" w:eastAsia="en-GB"/>
        </w:rPr>
        <w:t>5.1</w:t>
      </w:r>
      <w:r w:rsidRPr="0026246C">
        <w:rPr>
          <w:color w:val="000000"/>
          <w:lang w:val="en-GB" w:eastAsia="en-GB"/>
        </w:rPr>
        <w:tab/>
        <w:t>The author</w:t>
      </w:r>
      <w:r w:rsidR="004F2DE5" w:rsidRPr="0026246C">
        <w:rPr>
          <w:color w:val="000000"/>
          <w:lang w:val="en-GB" w:eastAsia="en-GB"/>
        </w:rPr>
        <w:t>s</w:t>
      </w:r>
      <w:r w:rsidRPr="0026246C">
        <w:rPr>
          <w:color w:val="000000"/>
          <w:lang w:val="en-GB" w:eastAsia="en-GB"/>
        </w:rPr>
        <w:t xml:space="preserve"> provided </w:t>
      </w:r>
      <w:r w:rsidR="004F2DE5" w:rsidRPr="0026246C">
        <w:rPr>
          <w:color w:val="000000"/>
          <w:lang w:val="en-GB" w:eastAsia="en-GB"/>
        </w:rPr>
        <w:t>their</w:t>
      </w:r>
      <w:r w:rsidRPr="0026246C">
        <w:rPr>
          <w:color w:val="000000"/>
          <w:lang w:val="en-GB" w:eastAsia="en-GB"/>
        </w:rPr>
        <w:t xml:space="preserve"> comments on 8 February 2012. </w:t>
      </w:r>
      <w:r w:rsidR="004F2DE5" w:rsidRPr="0026246C">
        <w:rPr>
          <w:color w:val="000000"/>
          <w:lang w:val="en-GB" w:eastAsia="en-GB"/>
        </w:rPr>
        <w:t>They confirm</w:t>
      </w:r>
      <w:r w:rsidRPr="0026246C">
        <w:rPr>
          <w:color w:val="000000"/>
          <w:lang w:val="en-GB" w:eastAsia="en-GB"/>
        </w:rPr>
        <w:t xml:space="preserve"> that the communication was registered by the Human Rights Committee before the State party decided on </w:t>
      </w:r>
      <w:r w:rsidR="004F2DE5" w:rsidRPr="0026246C">
        <w:rPr>
          <w:color w:val="000000"/>
          <w:lang w:val="en-GB" w:eastAsia="en-GB"/>
        </w:rPr>
        <w:t>Mr</w:t>
      </w:r>
      <w:r w:rsidR="005B50CF" w:rsidRPr="0026246C">
        <w:rPr>
          <w:color w:val="000000"/>
          <w:lang w:val="en-GB" w:eastAsia="en-GB"/>
        </w:rPr>
        <w:t>.</w:t>
      </w:r>
      <w:r w:rsidR="004F2DE5" w:rsidRPr="0026246C">
        <w:rPr>
          <w:color w:val="000000"/>
          <w:lang w:val="en-GB" w:eastAsia="en-GB"/>
        </w:rPr>
        <w:t xml:space="preserve"> Kovalev</w:t>
      </w:r>
      <w:r w:rsidR="00903E09" w:rsidRPr="0026246C">
        <w:rPr>
          <w:color w:val="000000"/>
          <w:lang w:val="en-GB" w:eastAsia="en-GB"/>
        </w:rPr>
        <w:t>’</w:t>
      </w:r>
      <w:r w:rsidR="004F2DE5" w:rsidRPr="0026246C">
        <w:rPr>
          <w:color w:val="000000"/>
          <w:lang w:val="en-GB" w:eastAsia="en-GB"/>
        </w:rPr>
        <w:t>s</w:t>
      </w:r>
      <w:r w:rsidRPr="0026246C">
        <w:rPr>
          <w:color w:val="000000"/>
          <w:lang w:val="en-GB" w:eastAsia="en-GB"/>
        </w:rPr>
        <w:t xml:space="preserve"> applications for supervisory review and presidential pardon. </w:t>
      </w:r>
      <w:r w:rsidR="008A5B30" w:rsidRPr="00940396">
        <w:rPr>
          <w:color w:val="000000"/>
          <w:lang w:val="en-GB" w:eastAsia="en-GB"/>
        </w:rPr>
        <w:t xml:space="preserve">They claim however that </w:t>
      </w:r>
      <w:r w:rsidR="00332872" w:rsidRPr="0026246C">
        <w:rPr>
          <w:color w:val="000000"/>
          <w:lang w:val="en-GB" w:eastAsia="en-GB"/>
        </w:rPr>
        <w:t xml:space="preserve">neither the request for pardon, nor the application for supervisory review to the Supreme Court constitute domestic remedies that must be exhausted </w:t>
      </w:r>
      <w:r w:rsidR="00332872" w:rsidRPr="0026246C">
        <w:rPr>
          <w:lang w:val="en-GB"/>
        </w:rPr>
        <w:t xml:space="preserve">before a communication is submitted to the Committee. The presidential pardon is a remedy of humanitarian character, and not a legal remedy. </w:t>
      </w:r>
      <w:r w:rsidR="00166587" w:rsidRPr="0026246C">
        <w:rPr>
          <w:lang w:val="en-GB"/>
        </w:rPr>
        <w:t>Also, t</w:t>
      </w:r>
      <w:r w:rsidR="00332872" w:rsidRPr="0026246C">
        <w:rPr>
          <w:lang w:val="en-GB"/>
        </w:rPr>
        <w:t>he application for supervisory revie</w:t>
      </w:r>
      <w:r w:rsidR="00166587" w:rsidRPr="0026246C">
        <w:rPr>
          <w:lang w:val="en-GB"/>
        </w:rPr>
        <w:t>w cannot</w:t>
      </w:r>
      <w:r w:rsidR="0033444E" w:rsidRPr="0026246C">
        <w:rPr>
          <w:lang w:val="en-GB"/>
        </w:rPr>
        <w:t xml:space="preserve"> be regarded as a</w:t>
      </w:r>
      <w:r w:rsidR="00E84A6C" w:rsidRPr="0026246C">
        <w:rPr>
          <w:lang w:val="en-GB"/>
        </w:rPr>
        <w:t>n effective remedy</w:t>
      </w:r>
      <w:r w:rsidR="0033444E" w:rsidRPr="0026246C">
        <w:rPr>
          <w:lang w:val="en-GB"/>
        </w:rPr>
        <w:t xml:space="preserve">, since the lodging of such an application does not automatically lead to its consideration. </w:t>
      </w:r>
      <w:r w:rsidR="00166587" w:rsidRPr="0026246C">
        <w:rPr>
          <w:lang w:val="en-GB"/>
        </w:rPr>
        <w:t xml:space="preserve">The convicted person requests the president of the court to file a </w:t>
      </w:r>
      <w:r w:rsidR="0033444E" w:rsidRPr="0026246C">
        <w:rPr>
          <w:color w:val="000000"/>
          <w:shd w:val="clear" w:color="auto" w:fill="FFFFFF"/>
          <w:lang w:val="en-GB"/>
        </w:rPr>
        <w:t>protest motion</w:t>
      </w:r>
      <w:r w:rsidR="00166587" w:rsidRPr="0026246C">
        <w:rPr>
          <w:color w:val="000000"/>
          <w:shd w:val="clear" w:color="auto" w:fill="FFFFFF"/>
          <w:lang w:val="en-GB"/>
        </w:rPr>
        <w:t xml:space="preserve">. Only the protest filed </w:t>
      </w:r>
      <w:r w:rsidR="0033444E" w:rsidRPr="0026246C">
        <w:rPr>
          <w:lang w:val="en-GB"/>
        </w:rPr>
        <w:t xml:space="preserve">at the request of the convicted person triggers the procedure of supervisory review of the court decision. </w:t>
      </w:r>
      <w:r w:rsidR="00166587" w:rsidRPr="0026246C">
        <w:rPr>
          <w:lang w:val="en-GB"/>
        </w:rPr>
        <w:t>Such a protest motion</w:t>
      </w:r>
      <w:r w:rsidR="00E84A6C" w:rsidRPr="0026246C">
        <w:rPr>
          <w:lang w:val="en-GB"/>
        </w:rPr>
        <w:t>, if admitted,</w:t>
      </w:r>
      <w:r w:rsidR="00166587" w:rsidRPr="0026246C">
        <w:rPr>
          <w:lang w:val="en-GB"/>
        </w:rPr>
        <w:t xml:space="preserve"> is considered by a collegial organ, the presidium of the court. </w:t>
      </w:r>
      <w:r w:rsidR="00D12C72" w:rsidRPr="0026246C">
        <w:rPr>
          <w:lang w:val="en-GB"/>
        </w:rPr>
        <w:t>However, t</w:t>
      </w:r>
      <w:r w:rsidR="00166587" w:rsidRPr="0026246C">
        <w:rPr>
          <w:lang w:val="en-GB"/>
        </w:rPr>
        <w:t xml:space="preserve">he supervisory review application </w:t>
      </w:r>
      <w:r w:rsidR="00D12C72" w:rsidRPr="0026246C">
        <w:rPr>
          <w:lang w:val="en-GB"/>
        </w:rPr>
        <w:t xml:space="preserve">itself is considered </w:t>
      </w:r>
      <w:r w:rsidR="00166587" w:rsidRPr="0026246C">
        <w:rPr>
          <w:lang w:val="en-GB"/>
        </w:rPr>
        <w:t xml:space="preserve">by a single judge </w:t>
      </w:r>
      <w:r w:rsidR="00D12C72" w:rsidRPr="0026246C">
        <w:rPr>
          <w:lang w:val="en-GB"/>
        </w:rPr>
        <w:t xml:space="preserve">in the absence of </w:t>
      </w:r>
      <w:r w:rsidR="00166587" w:rsidRPr="0026246C">
        <w:rPr>
          <w:lang w:val="en-GB"/>
        </w:rPr>
        <w:t>public hearings</w:t>
      </w:r>
      <w:r w:rsidR="00D12C72" w:rsidRPr="0026246C">
        <w:rPr>
          <w:lang w:val="en-GB"/>
        </w:rPr>
        <w:t xml:space="preserve">, and therefore </w:t>
      </w:r>
      <w:r w:rsidR="00166587" w:rsidRPr="0026246C">
        <w:rPr>
          <w:lang w:val="en-GB"/>
        </w:rPr>
        <w:t>cannot be regarded as a remedy.</w:t>
      </w:r>
    </w:p>
    <w:p w:rsidR="004206C0" w:rsidRPr="0026246C" w:rsidRDefault="00166587" w:rsidP="004206C0">
      <w:pPr>
        <w:pStyle w:val="SingleTxtG"/>
        <w:rPr>
          <w:lang w:val="en-GB"/>
        </w:rPr>
      </w:pPr>
      <w:r w:rsidRPr="0026246C">
        <w:rPr>
          <w:lang w:val="en-GB"/>
        </w:rPr>
        <w:lastRenderedPageBreak/>
        <w:t>5.2</w:t>
      </w:r>
      <w:r w:rsidRPr="0026246C">
        <w:rPr>
          <w:lang w:val="en-GB"/>
        </w:rPr>
        <w:tab/>
        <w:t>The author</w:t>
      </w:r>
      <w:r w:rsidR="004206C0" w:rsidRPr="0026246C">
        <w:rPr>
          <w:lang w:val="en-GB"/>
        </w:rPr>
        <w:t>s</w:t>
      </w:r>
      <w:r w:rsidRPr="0026246C">
        <w:rPr>
          <w:lang w:val="en-GB"/>
        </w:rPr>
        <w:t xml:space="preserve"> further submit that, according to the Committee</w:t>
      </w:r>
      <w:r w:rsidR="00903E09" w:rsidRPr="0026246C">
        <w:rPr>
          <w:lang w:val="en-GB"/>
        </w:rPr>
        <w:t>’</w:t>
      </w:r>
      <w:r w:rsidRPr="0026246C">
        <w:rPr>
          <w:lang w:val="en-GB"/>
        </w:rPr>
        <w:t xml:space="preserve">s established practice, </w:t>
      </w:r>
      <w:r w:rsidR="004206C0" w:rsidRPr="0026246C">
        <w:rPr>
          <w:lang w:val="en-GB"/>
        </w:rPr>
        <w:t xml:space="preserve">only </w:t>
      </w:r>
      <w:r w:rsidRPr="0026246C">
        <w:rPr>
          <w:lang w:val="en-GB"/>
        </w:rPr>
        <w:t xml:space="preserve">domestic remedies that are both available and effective must be exhausted. </w:t>
      </w:r>
      <w:r w:rsidR="004206C0" w:rsidRPr="0026246C">
        <w:rPr>
          <w:lang w:val="en-GB"/>
        </w:rPr>
        <w:t>The Committee does not consider the requests for pardon and supervisory review applications as domestic remedies that must be exhausted before a communication is submitted. According to the Committee’s jurisprudence, presidential pardons are an extraordinary remedy and as such do not constitute an effective remedy for the purposes of article 5, paragraph 2 (b), of the Optional Protocol</w:t>
      </w:r>
      <w:r w:rsidR="0000720E" w:rsidRPr="0026246C">
        <w:rPr>
          <w:lang w:val="en-GB"/>
        </w:rPr>
        <w:t>.</w:t>
      </w:r>
      <w:r w:rsidR="00903E09" w:rsidRPr="0026246C">
        <w:rPr>
          <w:rStyle w:val="FootnoteReference"/>
          <w:lang w:val="en-GB"/>
        </w:rPr>
        <w:footnoteReference w:id="15"/>
      </w:r>
    </w:p>
    <w:p w:rsidR="006F121B" w:rsidRPr="0026246C" w:rsidRDefault="007E0159" w:rsidP="00A40010">
      <w:pPr>
        <w:pStyle w:val="SingleTxtG"/>
        <w:rPr>
          <w:b/>
          <w:lang w:val="en-GB"/>
        </w:rPr>
      </w:pPr>
      <w:r w:rsidRPr="0026246C">
        <w:rPr>
          <w:lang w:val="en-GB"/>
        </w:rPr>
        <w:t>5.3</w:t>
      </w:r>
      <w:r w:rsidR="00A40010" w:rsidRPr="0026246C">
        <w:rPr>
          <w:b/>
          <w:lang w:val="en-GB"/>
        </w:rPr>
        <w:tab/>
      </w:r>
      <w:r w:rsidR="006F121B" w:rsidRPr="0026246C">
        <w:rPr>
          <w:lang w:val="en-GB"/>
        </w:rPr>
        <w:t xml:space="preserve">On 29 February 2012, </w:t>
      </w:r>
      <w:r w:rsidR="00C23C4F" w:rsidRPr="0026246C">
        <w:rPr>
          <w:lang w:val="en-GB"/>
        </w:rPr>
        <w:t xml:space="preserve">the </w:t>
      </w:r>
      <w:r w:rsidR="006F121B" w:rsidRPr="0026246C">
        <w:rPr>
          <w:lang w:val="en-GB"/>
        </w:rPr>
        <w:t xml:space="preserve">authors informed the Committee that the Supreme Court </w:t>
      </w:r>
      <w:r w:rsidR="00903E09" w:rsidRPr="0026246C">
        <w:rPr>
          <w:lang w:val="en-GB"/>
        </w:rPr>
        <w:t xml:space="preserve">had </w:t>
      </w:r>
      <w:r w:rsidR="006F121B" w:rsidRPr="0026246C">
        <w:rPr>
          <w:lang w:val="en-GB"/>
        </w:rPr>
        <w:t>dismissed Mr</w:t>
      </w:r>
      <w:r w:rsidR="005B50CF" w:rsidRPr="0026246C">
        <w:rPr>
          <w:lang w:val="en-GB"/>
        </w:rPr>
        <w:t>.</w:t>
      </w:r>
      <w:r w:rsidR="006F121B" w:rsidRPr="0026246C">
        <w:rPr>
          <w:lang w:val="en-GB"/>
        </w:rPr>
        <w:t xml:space="preserve"> Kovalev</w:t>
      </w:r>
      <w:r w:rsidR="00903E09" w:rsidRPr="0026246C">
        <w:rPr>
          <w:lang w:val="en-GB"/>
        </w:rPr>
        <w:t>’</w:t>
      </w:r>
      <w:r w:rsidR="006F121B" w:rsidRPr="0026246C">
        <w:rPr>
          <w:lang w:val="en-GB"/>
        </w:rPr>
        <w:t xml:space="preserve">s </w:t>
      </w:r>
      <w:r w:rsidR="0019439A" w:rsidRPr="0026246C">
        <w:rPr>
          <w:lang w:val="en-GB"/>
        </w:rPr>
        <w:t>supervisory review application on 27 February 2012.</w:t>
      </w:r>
    </w:p>
    <w:p w:rsidR="006F121B" w:rsidRPr="0026246C" w:rsidRDefault="006F121B" w:rsidP="007A16FC">
      <w:pPr>
        <w:pStyle w:val="SingleTxtG"/>
        <w:rPr>
          <w:b/>
          <w:lang w:val="en-GB"/>
        </w:rPr>
      </w:pPr>
      <w:r w:rsidRPr="0026246C">
        <w:rPr>
          <w:b/>
          <w:lang w:val="en-GB"/>
        </w:rPr>
        <w:t>State party</w:t>
      </w:r>
      <w:r w:rsidR="00903E09" w:rsidRPr="0026246C">
        <w:rPr>
          <w:b/>
          <w:lang w:val="en-GB"/>
        </w:rPr>
        <w:t>’</w:t>
      </w:r>
      <w:r w:rsidRPr="0026246C">
        <w:rPr>
          <w:b/>
          <w:lang w:val="en-GB"/>
        </w:rPr>
        <w:t xml:space="preserve">s </w:t>
      </w:r>
      <w:r w:rsidR="00740020" w:rsidRPr="0026246C">
        <w:rPr>
          <w:b/>
          <w:lang w:val="en-GB"/>
        </w:rPr>
        <w:t xml:space="preserve">further </w:t>
      </w:r>
      <w:r w:rsidRPr="0026246C">
        <w:rPr>
          <w:b/>
          <w:lang w:val="en-GB"/>
        </w:rPr>
        <w:t>observations</w:t>
      </w:r>
      <w:r w:rsidR="00E10CCB" w:rsidRPr="0026246C">
        <w:rPr>
          <w:b/>
          <w:lang w:val="en-GB"/>
        </w:rPr>
        <w:t xml:space="preserve"> on admissibility </w:t>
      </w:r>
      <w:r w:rsidR="00046416" w:rsidRPr="0026246C">
        <w:rPr>
          <w:b/>
          <w:lang w:val="en-GB"/>
        </w:rPr>
        <w:t>and merits</w:t>
      </w:r>
    </w:p>
    <w:p w:rsidR="00046416" w:rsidRPr="0026246C" w:rsidRDefault="00726832" w:rsidP="007A16FC">
      <w:pPr>
        <w:pStyle w:val="SingleTxtG"/>
        <w:rPr>
          <w:lang w:val="en-GB"/>
        </w:rPr>
      </w:pPr>
      <w:r w:rsidRPr="0026246C">
        <w:rPr>
          <w:lang w:val="en-GB"/>
        </w:rPr>
        <w:t>6</w:t>
      </w:r>
      <w:r w:rsidR="006F121B" w:rsidRPr="0026246C">
        <w:rPr>
          <w:lang w:val="en-GB"/>
        </w:rPr>
        <w:t>.1</w:t>
      </w:r>
      <w:r w:rsidR="006F121B" w:rsidRPr="0026246C">
        <w:rPr>
          <w:lang w:val="en-GB"/>
        </w:rPr>
        <w:tab/>
        <w:t xml:space="preserve">In a note verbale of 15 March 2012, the State party claimed that the communication </w:t>
      </w:r>
      <w:r w:rsidR="00903E09" w:rsidRPr="0026246C">
        <w:rPr>
          <w:lang w:val="en-GB"/>
        </w:rPr>
        <w:t>wa</w:t>
      </w:r>
      <w:r w:rsidR="006F121B" w:rsidRPr="0026246C">
        <w:rPr>
          <w:lang w:val="en-GB"/>
        </w:rPr>
        <w:t>s inadmissible</w:t>
      </w:r>
      <w:r w:rsidR="00F95428" w:rsidRPr="0026246C">
        <w:rPr>
          <w:lang w:val="en-GB"/>
        </w:rPr>
        <w:t xml:space="preserve">, since it was submitted to the Committee by third parties and not by the alleged victim himself. With reference to article 1 of the Optional Protocol to the Covenant, it submits that the </w:t>
      </w:r>
      <w:smartTag w:uri="urn:schemas-microsoft-com:office:smarttags" w:element="place">
        <w:smartTag w:uri="urn:schemas-microsoft-com:office:smarttags" w:element="PlaceType">
          <w:r w:rsidR="00F95428" w:rsidRPr="0026246C">
            <w:rPr>
              <w:lang w:val="en-GB"/>
            </w:rPr>
            <w:t>Republic</w:t>
          </w:r>
        </w:smartTag>
        <w:r w:rsidR="00F95428" w:rsidRPr="0026246C">
          <w:rPr>
            <w:lang w:val="en-GB"/>
          </w:rPr>
          <w:t xml:space="preserve"> of </w:t>
        </w:r>
        <w:smartTag w:uri="urn:schemas-microsoft-com:office:smarttags" w:element="PlaceName">
          <w:r w:rsidR="00F95428" w:rsidRPr="0026246C">
            <w:rPr>
              <w:lang w:val="en-GB"/>
            </w:rPr>
            <w:t>Belarus</w:t>
          </w:r>
        </w:smartTag>
      </w:smartTag>
      <w:r w:rsidR="00F95428" w:rsidRPr="0026246C">
        <w:rPr>
          <w:lang w:val="en-GB"/>
        </w:rPr>
        <w:t xml:space="preserve"> has recognized the competence of the Human Rights Committee to receive and consider communications from individuals subject to its jurisdiction who claim to be victims of a violation by that State party of any rights set forth in the Covenant. The Optional Protocol did not approve the competence of the Committee to provide </w:t>
      </w:r>
      <w:r w:rsidR="00CB51AD" w:rsidRPr="0026246C">
        <w:rPr>
          <w:lang w:val="en-GB"/>
        </w:rPr>
        <w:t xml:space="preserve">an interpretation of article 1 </w:t>
      </w:r>
      <w:r w:rsidR="00F95428" w:rsidRPr="0026246C">
        <w:rPr>
          <w:lang w:val="en-GB"/>
        </w:rPr>
        <w:t>which deviates from the language agreed by State</w:t>
      </w:r>
      <w:r w:rsidR="00E94B1E" w:rsidRPr="0026246C">
        <w:rPr>
          <w:lang w:val="en-GB"/>
        </w:rPr>
        <w:t>s</w:t>
      </w:r>
      <w:r w:rsidR="00F95428" w:rsidRPr="0026246C">
        <w:rPr>
          <w:lang w:val="en-GB"/>
        </w:rPr>
        <w:t xml:space="preserve"> parties. The Vienna Convention on the Law of Treaties (1969) and the Vienna Convention on the Law of Treaties between States and International Organizations or between International Organizations (1986) stipulate that a treaty shall be interpreted </w:t>
      </w:r>
      <w:r w:rsidR="00046416" w:rsidRPr="0026246C">
        <w:rPr>
          <w:lang w:val="en-GB"/>
        </w:rPr>
        <w:t xml:space="preserve">in good faith in accordance with the ordinary meaning to be given to the terms of the treaty in their context and in the light of its object and purpose. Only subsequent agreement between the parties regarding the interpretation of the treaty or the application of its provisions shall be taken into </w:t>
      </w:r>
      <w:r w:rsidR="00805CDB" w:rsidRPr="0026246C">
        <w:rPr>
          <w:lang w:val="en-GB"/>
        </w:rPr>
        <w:t xml:space="preserve">account and no such </w:t>
      </w:r>
      <w:r w:rsidR="00046416" w:rsidRPr="0026246C">
        <w:rPr>
          <w:lang w:val="en-GB"/>
        </w:rPr>
        <w:t>agreement</w:t>
      </w:r>
      <w:r w:rsidR="00805CDB" w:rsidRPr="0026246C">
        <w:rPr>
          <w:lang w:val="en-GB"/>
        </w:rPr>
        <w:t xml:space="preserve"> was concluded</w:t>
      </w:r>
      <w:r w:rsidR="00046416" w:rsidRPr="0026246C">
        <w:rPr>
          <w:lang w:val="en-GB"/>
        </w:rPr>
        <w:t>. Accordingly, the Optional Protocol and its provisions cannot be substituted for the Committee</w:t>
      </w:r>
      <w:r w:rsidR="009E4AB5" w:rsidRPr="0026246C">
        <w:rPr>
          <w:lang w:val="en-GB"/>
        </w:rPr>
        <w:t>’</w:t>
      </w:r>
      <w:r w:rsidR="00046416" w:rsidRPr="0026246C">
        <w:rPr>
          <w:lang w:val="en-GB"/>
        </w:rPr>
        <w:t>s rules of procedure and its practice because it deprives the Optional Protocol of its object and purpose.</w:t>
      </w:r>
    </w:p>
    <w:p w:rsidR="00562520" w:rsidRPr="0026246C" w:rsidRDefault="00726832" w:rsidP="007A16FC">
      <w:pPr>
        <w:pStyle w:val="SingleTxtG"/>
        <w:rPr>
          <w:lang w:val="en-GB"/>
        </w:rPr>
      </w:pPr>
      <w:r w:rsidRPr="0026246C">
        <w:rPr>
          <w:lang w:val="en-GB"/>
        </w:rPr>
        <w:t>6</w:t>
      </w:r>
      <w:r w:rsidR="00046416" w:rsidRPr="0026246C">
        <w:rPr>
          <w:lang w:val="en-GB"/>
        </w:rPr>
        <w:t>.2</w:t>
      </w:r>
      <w:r w:rsidR="00046416" w:rsidRPr="0026246C">
        <w:rPr>
          <w:lang w:val="en-GB"/>
        </w:rPr>
        <w:tab/>
        <w:t>As regards the merits of the case, the State party submits that Mr</w:t>
      </w:r>
      <w:r w:rsidR="005B50CF" w:rsidRPr="0026246C">
        <w:rPr>
          <w:lang w:val="en-GB"/>
        </w:rPr>
        <w:t>.</w:t>
      </w:r>
      <w:r w:rsidR="00046416" w:rsidRPr="0026246C">
        <w:rPr>
          <w:lang w:val="en-GB"/>
        </w:rPr>
        <w:t xml:space="preserve"> Kovalev was sentenced to death by the Supreme Court of Belarus</w:t>
      </w:r>
      <w:r w:rsidR="00966DDF" w:rsidRPr="0026246C">
        <w:rPr>
          <w:lang w:val="en-GB"/>
        </w:rPr>
        <w:t xml:space="preserve">, </w:t>
      </w:r>
      <w:r w:rsidR="00046416" w:rsidRPr="0026246C">
        <w:rPr>
          <w:lang w:val="en-GB"/>
        </w:rPr>
        <w:t xml:space="preserve">the highest judicial instance in </w:t>
      </w:r>
      <w:smartTag w:uri="urn:schemas-microsoft-com:office:smarttags" w:element="country-region">
        <w:smartTag w:uri="urn:schemas-microsoft-com:office:smarttags" w:element="place">
          <w:r w:rsidR="00046416" w:rsidRPr="0026246C">
            <w:rPr>
              <w:lang w:val="en-GB"/>
            </w:rPr>
            <w:t>Belarus</w:t>
          </w:r>
        </w:smartTag>
      </w:smartTag>
      <w:r w:rsidR="00046416" w:rsidRPr="0026246C">
        <w:rPr>
          <w:lang w:val="en-GB"/>
        </w:rPr>
        <w:t xml:space="preserve">. </w:t>
      </w:r>
      <w:r w:rsidR="00562520" w:rsidRPr="0026246C">
        <w:rPr>
          <w:lang w:val="en-GB"/>
        </w:rPr>
        <w:t>Article 6, paragraph 2, of the Covenant</w:t>
      </w:r>
      <w:r w:rsidR="00D95AF7" w:rsidRPr="0026246C">
        <w:rPr>
          <w:lang w:val="en-GB"/>
        </w:rPr>
        <w:t>,</w:t>
      </w:r>
      <w:r w:rsidR="00562520" w:rsidRPr="0026246C">
        <w:rPr>
          <w:lang w:val="en-GB"/>
        </w:rPr>
        <w:t xml:space="preserve"> stipulates that a </w:t>
      </w:r>
      <w:r w:rsidR="00562520" w:rsidRPr="0026246C">
        <w:rPr>
          <w:shd w:val="clear" w:color="auto" w:fill="FFFFFF"/>
          <w:lang w:val="en-GB"/>
        </w:rPr>
        <w:t>sentence of death may be imposed only for the most serious crimes in accordance with the law in force. This penalty can only be carried out pursuant to a final judgment rendered by a competent court.</w:t>
      </w:r>
    </w:p>
    <w:p w:rsidR="00562520" w:rsidRPr="0026246C" w:rsidRDefault="00726832" w:rsidP="00562520">
      <w:pPr>
        <w:autoSpaceDE w:val="0"/>
        <w:autoSpaceDN w:val="0"/>
        <w:adjustRightInd w:val="0"/>
        <w:spacing w:after="120" w:line="240" w:lineRule="auto"/>
        <w:ind w:left="1134" w:right="1134"/>
        <w:jc w:val="both"/>
        <w:rPr>
          <w:color w:val="000000"/>
          <w:lang w:eastAsia="en-GB"/>
        </w:rPr>
      </w:pPr>
      <w:r w:rsidRPr="0026246C">
        <w:t>6</w:t>
      </w:r>
      <w:r w:rsidR="00562520" w:rsidRPr="0026246C">
        <w:t>.3</w:t>
      </w:r>
      <w:r w:rsidR="00562520" w:rsidRPr="0026246C">
        <w:tab/>
        <w:t>With regard to the Committee</w:t>
      </w:r>
      <w:r w:rsidR="009E4AB5" w:rsidRPr="0026246C">
        <w:t>’</w:t>
      </w:r>
      <w:r w:rsidR="00562520" w:rsidRPr="0026246C">
        <w:t>s request not to execute Mr</w:t>
      </w:r>
      <w:r w:rsidR="005B50CF" w:rsidRPr="0026246C">
        <w:t>.</w:t>
      </w:r>
      <w:r w:rsidR="00562520" w:rsidRPr="0026246C">
        <w:t xml:space="preserve"> Kovalev</w:t>
      </w:r>
      <w:r w:rsidR="00F95428" w:rsidRPr="0026246C">
        <w:t xml:space="preserve"> </w:t>
      </w:r>
      <w:r w:rsidR="00562520" w:rsidRPr="00940396">
        <w:t xml:space="preserve">while his communication is </w:t>
      </w:r>
      <w:r w:rsidR="00740020" w:rsidRPr="00402254">
        <w:t xml:space="preserve">pending before the </w:t>
      </w:r>
      <w:r w:rsidR="00562520" w:rsidRPr="0026246C">
        <w:t xml:space="preserve">Committee, the State party notes that such a request is beyond the mandate of the Committee </w:t>
      </w:r>
      <w:r w:rsidR="00620C05" w:rsidRPr="0026246C">
        <w:t>and</w:t>
      </w:r>
      <w:r w:rsidR="00562520" w:rsidRPr="0026246C">
        <w:t xml:space="preserve"> is not binding in terms of </w:t>
      </w:r>
      <w:r w:rsidR="00CB51AD" w:rsidRPr="0026246C">
        <w:t>its</w:t>
      </w:r>
      <w:r w:rsidR="00562520" w:rsidRPr="0026246C">
        <w:t xml:space="preserve"> international legal obligations. Accordingly, the Criminal Code is the only source of criminal law in </w:t>
      </w:r>
      <w:smartTag w:uri="urn:schemas-microsoft-com:office:smarttags" w:element="country-region">
        <w:smartTag w:uri="urn:schemas-microsoft-com:office:smarttags" w:element="place">
          <w:r w:rsidR="00562520" w:rsidRPr="0026246C">
            <w:t>Belarus</w:t>
          </w:r>
        </w:smartTag>
      </w:smartTag>
      <w:r w:rsidR="00562520" w:rsidRPr="0026246C">
        <w:t>. It recalls that Mr</w:t>
      </w:r>
      <w:r w:rsidR="005B50CF" w:rsidRPr="0026246C">
        <w:t>.</w:t>
      </w:r>
      <w:r w:rsidR="00562520" w:rsidRPr="0026246C">
        <w:t xml:space="preserve"> Kovalev lodged a supervisory application to the Supreme Court and applied for presidential pardon. In accordance with national </w:t>
      </w:r>
      <w:r w:rsidR="00562520" w:rsidRPr="00940396">
        <w:rPr>
          <w:color w:val="000000"/>
          <w:lang w:eastAsia="en-GB"/>
        </w:rPr>
        <w:t xml:space="preserve">legislation, the </w:t>
      </w:r>
      <w:r w:rsidR="000A1041" w:rsidRPr="00402254">
        <w:rPr>
          <w:color w:val="000000"/>
          <w:lang w:eastAsia="en-GB"/>
        </w:rPr>
        <w:t xml:space="preserve">death penalty cannot be carried out </w:t>
      </w:r>
      <w:r w:rsidR="00562520" w:rsidRPr="0026246C">
        <w:rPr>
          <w:color w:val="000000"/>
          <w:lang w:eastAsia="en-GB"/>
        </w:rPr>
        <w:t xml:space="preserve">until </w:t>
      </w:r>
      <w:r w:rsidR="000A1041" w:rsidRPr="0026246C">
        <w:rPr>
          <w:color w:val="000000"/>
          <w:lang w:eastAsia="en-GB"/>
        </w:rPr>
        <w:t>such applications are considered.</w:t>
      </w:r>
    </w:p>
    <w:p w:rsidR="000A1041" w:rsidRPr="0026246C" w:rsidRDefault="000A1041" w:rsidP="00562520">
      <w:pPr>
        <w:autoSpaceDE w:val="0"/>
        <w:autoSpaceDN w:val="0"/>
        <w:adjustRightInd w:val="0"/>
        <w:spacing w:after="120" w:line="240" w:lineRule="auto"/>
        <w:ind w:left="1134" w:right="1134"/>
        <w:jc w:val="both"/>
        <w:rPr>
          <w:b/>
          <w:color w:val="000000"/>
          <w:lang w:eastAsia="en-GB"/>
        </w:rPr>
      </w:pPr>
      <w:r w:rsidRPr="0026246C">
        <w:rPr>
          <w:b/>
          <w:color w:val="000000"/>
          <w:lang w:eastAsia="en-GB"/>
        </w:rPr>
        <w:t>Authors</w:t>
      </w:r>
      <w:r w:rsidR="009E4AB5" w:rsidRPr="0026246C">
        <w:rPr>
          <w:b/>
          <w:color w:val="000000"/>
          <w:lang w:eastAsia="en-GB"/>
        </w:rPr>
        <w:t>’</w:t>
      </w:r>
      <w:r w:rsidRPr="0026246C">
        <w:rPr>
          <w:b/>
          <w:color w:val="000000"/>
          <w:lang w:eastAsia="en-GB"/>
        </w:rPr>
        <w:t xml:space="preserve"> </w:t>
      </w:r>
      <w:r w:rsidR="00740020" w:rsidRPr="0026246C">
        <w:rPr>
          <w:b/>
          <w:color w:val="000000"/>
          <w:lang w:eastAsia="en-GB"/>
        </w:rPr>
        <w:t>further</w:t>
      </w:r>
      <w:r w:rsidRPr="0026246C">
        <w:rPr>
          <w:b/>
          <w:color w:val="000000"/>
          <w:lang w:eastAsia="en-GB"/>
        </w:rPr>
        <w:t xml:space="preserve"> submissions</w:t>
      </w:r>
    </w:p>
    <w:p w:rsidR="000A1041" w:rsidRPr="0026246C" w:rsidRDefault="00726832" w:rsidP="00562520">
      <w:pPr>
        <w:autoSpaceDE w:val="0"/>
        <w:autoSpaceDN w:val="0"/>
        <w:adjustRightInd w:val="0"/>
        <w:spacing w:after="120" w:line="240" w:lineRule="auto"/>
        <w:ind w:left="1134" w:right="1134"/>
        <w:jc w:val="both"/>
        <w:rPr>
          <w:color w:val="000000"/>
          <w:lang w:eastAsia="en-GB"/>
        </w:rPr>
      </w:pPr>
      <w:r w:rsidRPr="0026246C">
        <w:rPr>
          <w:color w:val="000000"/>
          <w:lang w:eastAsia="en-GB"/>
        </w:rPr>
        <w:t>7</w:t>
      </w:r>
      <w:r w:rsidR="000A1041" w:rsidRPr="0026246C">
        <w:rPr>
          <w:color w:val="000000"/>
          <w:lang w:eastAsia="en-GB"/>
        </w:rPr>
        <w:t>.1</w:t>
      </w:r>
      <w:r w:rsidR="000A1041" w:rsidRPr="0026246C">
        <w:rPr>
          <w:color w:val="000000"/>
          <w:lang w:eastAsia="en-GB"/>
        </w:rPr>
        <w:tab/>
        <w:t xml:space="preserve">On 19 March 2012, the authors </w:t>
      </w:r>
      <w:r w:rsidR="00564642" w:rsidRPr="0026246C">
        <w:rPr>
          <w:color w:val="000000"/>
          <w:lang w:eastAsia="en-GB"/>
        </w:rPr>
        <w:t xml:space="preserve">notified </w:t>
      </w:r>
      <w:r w:rsidR="000A1041" w:rsidRPr="0026246C">
        <w:rPr>
          <w:color w:val="000000"/>
          <w:lang w:eastAsia="en-GB"/>
        </w:rPr>
        <w:t xml:space="preserve">the Committee that on 17 March 2012 they </w:t>
      </w:r>
      <w:r w:rsidR="009E4AB5" w:rsidRPr="0026246C">
        <w:rPr>
          <w:color w:val="000000"/>
          <w:lang w:eastAsia="en-GB"/>
        </w:rPr>
        <w:t xml:space="preserve">had </w:t>
      </w:r>
      <w:r w:rsidR="000A1041" w:rsidRPr="0026246C">
        <w:rPr>
          <w:color w:val="000000"/>
          <w:lang w:eastAsia="en-GB"/>
        </w:rPr>
        <w:t xml:space="preserve">received a letter from the Supreme Court, dated 16 March 2012, informing </w:t>
      </w:r>
      <w:r w:rsidR="009E4AB5" w:rsidRPr="0026246C">
        <w:rPr>
          <w:color w:val="000000"/>
          <w:lang w:eastAsia="en-GB"/>
        </w:rPr>
        <w:t xml:space="preserve">them of </w:t>
      </w:r>
      <w:r w:rsidR="000A1041" w:rsidRPr="0026246C">
        <w:rPr>
          <w:color w:val="000000"/>
          <w:lang w:eastAsia="en-GB"/>
        </w:rPr>
        <w:t>the execution of Mr. Kovalev.</w:t>
      </w:r>
    </w:p>
    <w:p w:rsidR="00D2096F" w:rsidRPr="0026246C" w:rsidRDefault="00726832" w:rsidP="00562520">
      <w:pPr>
        <w:autoSpaceDE w:val="0"/>
        <w:autoSpaceDN w:val="0"/>
        <w:adjustRightInd w:val="0"/>
        <w:spacing w:after="120" w:line="240" w:lineRule="auto"/>
        <w:ind w:left="1134" w:right="1134"/>
        <w:jc w:val="both"/>
        <w:rPr>
          <w:color w:val="000000"/>
          <w:lang w:eastAsia="en-GB"/>
        </w:rPr>
      </w:pPr>
      <w:r w:rsidRPr="0026246C">
        <w:rPr>
          <w:color w:val="000000"/>
          <w:lang w:eastAsia="en-GB"/>
        </w:rPr>
        <w:t>7</w:t>
      </w:r>
      <w:r w:rsidR="000A1041" w:rsidRPr="0026246C">
        <w:rPr>
          <w:color w:val="000000"/>
          <w:lang w:eastAsia="en-GB"/>
        </w:rPr>
        <w:t>.2</w:t>
      </w:r>
      <w:r w:rsidR="000A1041" w:rsidRPr="0026246C">
        <w:rPr>
          <w:color w:val="000000"/>
          <w:lang w:eastAsia="en-GB"/>
        </w:rPr>
        <w:tab/>
        <w:t>On 30 March 2012, the authors provided additional information. They submit that on 11 March 2012 they were granted permissio</w:t>
      </w:r>
      <w:r w:rsidR="00C4041C" w:rsidRPr="0026246C">
        <w:rPr>
          <w:color w:val="000000"/>
          <w:lang w:eastAsia="en-GB"/>
        </w:rPr>
        <w:t>n for a meeting with Mr</w:t>
      </w:r>
      <w:r w:rsidR="005B50CF" w:rsidRPr="0026246C">
        <w:rPr>
          <w:color w:val="000000"/>
          <w:lang w:eastAsia="en-GB"/>
        </w:rPr>
        <w:t>.</w:t>
      </w:r>
      <w:r w:rsidR="00C4041C" w:rsidRPr="0026246C">
        <w:rPr>
          <w:color w:val="000000"/>
          <w:lang w:eastAsia="en-GB"/>
        </w:rPr>
        <w:t xml:space="preserve"> Kovalev</w:t>
      </w:r>
      <w:r w:rsidR="0065058F" w:rsidRPr="0026246C">
        <w:rPr>
          <w:color w:val="000000"/>
          <w:lang w:eastAsia="en-GB"/>
        </w:rPr>
        <w:t xml:space="preserve">, this being the last time they had seen him alive. On 13 March 2012, local mass media published </w:t>
      </w:r>
      <w:r w:rsidR="004A023C" w:rsidRPr="0026246C">
        <w:rPr>
          <w:color w:val="000000"/>
          <w:lang w:eastAsia="en-GB"/>
        </w:rPr>
        <w:lastRenderedPageBreak/>
        <w:t>information</w:t>
      </w:r>
      <w:r w:rsidR="0065058F" w:rsidRPr="0026246C">
        <w:rPr>
          <w:color w:val="000000"/>
          <w:lang w:eastAsia="en-GB"/>
        </w:rPr>
        <w:t>, according to which Mr</w:t>
      </w:r>
      <w:r w:rsidR="005B50CF" w:rsidRPr="0026246C">
        <w:rPr>
          <w:color w:val="000000"/>
          <w:lang w:eastAsia="en-GB"/>
        </w:rPr>
        <w:t>.</w:t>
      </w:r>
      <w:r w:rsidR="0065058F" w:rsidRPr="0026246C">
        <w:rPr>
          <w:color w:val="000000"/>
          <w:lang w:eastAsia="en-GB"/>
        </w:rPr>
        <w:t xml:space="preserve"> Kovalev</w:t>
      </w:r>
      <w:r w:rsidR="009E4AB5" w:rsidRPr="0026246C">
        <w:rPr>
          <w:color w:val="000000"/>
          <w:lang w:eastAsia="en-GB"/>
        </w:rPr>
        <w:t>’</w:t>
      </w:r>
      <w:r w:rsidR="0065058F" w:rsidRPr="0026246C">
        <w:rPr>
          <w:color w:val="000000"/>
          <w:lang w:eastAsia="en-GB"/>
        </w:rPr>
        <w:t xml:space="preserve">s application for pardon had been considered, </w:t>
      </w:r>
      <w:r w:rsidR="0012097A" w:rsidRPr="0026246C">
        <w:rPr>
          <w:color w:val="000000"/>
          <w:lang w:eastAsia="en-GB"/>
        </w:rPr>
        <w:t xml:space="preserve">without </w:t>
      </w:r>
      <w:r w:rsidR="0065058F" w:rsidRPr="0026246C">
        <w:rPr>
          <w:color w:val="000000"/>
          <w:lang w:eastAsia="en-GB"/>
        </w:rPr>
        <w:t>however indicating the outcome. On 13 and 14 March 2012, Mr. Kovalev</w:t>
      </w:r>
      <w:r w:rsidR="009E4AB5" w:rsidRPr="0026246C">
        <w:rPr>
          <w:color w:val="000000"/>
          <w:lang w:eastAsia="en-GB"/>
        </w:rPr>
        <w:t>’</w:t>
      </w:r>
      <w:r w:rsidR="0065058F" w:rsidRPr="0026246C">
        <w:rPr>
          <w:color w:val="000000"/>
          <w:lang w:eastAsia="en-GB"/>
        </w:rPr>
        <w:t>s lawyer was denied access to him, without any explanation</w:t>
      </w:r>
      <w:r w:rsidR="004A023C" w:rsidRPr="0026246C">
        <w:rPr>
          <w:color w:val="000000"/>
          <w:lang w:eastAsia="en-GB"/>
        </w:rPr>
        <w:t>s</w:t>
      </w:r>
      <w:r w:rsidR="0065058F" w:rsidRPr="0026246C">
        <w:rPr>
          <w:color w:val="000000"/>
          <w:lang w:eastAsia="en-GB"/>
        </w:rPr>
        <w:t>. In the evening of 14 March 2012</w:t>
      </w:r>
      <w:r w:rsidR="00DD7C2E" w:rsidRPr="0026246C">
        <w:rPr>
          <w:color w:val="000000"/>
          <w:lang w:eastAsia="en-GB"/>
        </w:rPr>
        <w:t>, mass media reported that the P</w:t>
      </w:r>
      <w:r w:rsidR="0065058F" w:rsidRPr="0026246C">
        <w:rPr>
          <w:color w:val="000000"/>
          <w:lang w:eastAsia="en-GB"/>
        </w:rPr>
        <w:t xml:space="preserve">resident </w:t>
      </w:r>
      <w:r w:rsidR="00D2096F" w:rsidRPr="0026246C">
        <w:rPr>
          <w:color w:val="000000"/>
          <w:lang w:eastAsia="en-GB"/>
        </w:rPr>
        <w:t>of Belarus refused to grant pardon to Mr</w:t>
      </w:r>
      <w:r w:rsidR="005B50CF" w:rsidRPr="0026246C">
        <w:rPr>
          <w:color w:val="000000"/>
          <w:lang w:eastAsia="en-GB"/>
        </w:rPr>
        <w:t>.</w:t>
      </w:r>
      <w:r w:rsidR="00D2096F" w:rsidRPr="0026246C">
        <w:rPr>
          <w:color w:val="000000"/>
          <w:lang w:eastAsia="en-GB"/>
        </w:rPr>
        <w:t xml:space="preserve"> Kovalev and the other defendant. </w:t>
      </w:r>
    </w:p>
    <w:p w:rsidR="00515C0E" w:rsidRPr="0026246C" w:rsidRDefault="00726832" w:rsidP="00562520">
      <w:pPr>
        <w:autoSpaceDE w:val="0"/>
        <w:autoSpaceDN w:val="0"/>
        <w:adjustRightInd w:val="0"/>
        <w:spacing w:after="120" w:line="240" w:lineRule="auto"/>
        <w:ind w:left="1134" w:right="1134"/>
        <w:jc w:val="both"/>
        <w:rPr>
          <w:color w:val="000000"/>
          <w:lang w:eastAsia="en-GB"/>
        </w:rPr>
      </w:pPr>
      <w:r w:rsidRPr="0026246C">
        <w:rPr>
          <w:color w:val="000000"/>
          <w:lang w:eastAsia="en-GB"/>
        </w:rPr>
        <w:t>7</w:t>
      </w:r>
      <w:r w:rsidR="005B50CF" w:rsidRPr="0026246C">
        <w:rPr>
          <w:color w:val="000000"/>
          <w:lang w:eastAsia="en-GB"/>
        </w:rPr>
        <w:t>.3</w:t>
      </w:r>
      <w:r w:rsidR="005B50CF" w:rsidRPr="0026246C">
        <w:rPr>
          <w:color w:val="000000"/>
          <w:lang w:eastAsia="en-GB"/>
        </w:rPr>
        <w:tab/>
        <w:t>On 15 March 2012, Ms.</w:t>
      </w:r>
      <w:r w:rsidR="00D2096F" w:rsidRPr="0026246C">
        <w:rPr>
          <w:color w:val="000000"/>
          <w:lang w:eastAsia="en-GB"/>
        </w:rPr>
        <w:t xml:space="preserve"> Kovaleva travelled to </w:t>
      </w:r>
      <w:smartTag w:uri="urn:schemas-microsoft-com:office:smarttags" w:element="City">
        <w:smartTag w:uri="urn:schemas-microsoft-com:office:smarttags" w:element="place">
          <w:r w:rsidR="00D2096F" w:rsidRPr="0026246C">
            <w:rPr>
              <w:color w:val="000000"/>
              <w:lang w:eastAsia="en-GB"/>
            </w:rPr>
            <w:t>Minsk</w:t>
          </w:r>
        </w:smartTag>
      </w:smartTag>
      <w:r w:rsidR="00D2096F" w:rsidRPr="0026246C">
        <w:rPr>
          <w:color w:val="000000"/>
          <w:lang w:eastAsia="en-GB"/>
        </w:rPr>
        <w:t xml:space="preserve"> in order to find out the fate o</w:t>
      </w:r>
      <w:r w:rsidR="00DD7C2E" w:rsidRPr="0026246C">
        <w:rPr>
          <w:color w:val="000000"/>
          <w:lang w:eastAsia="en-GB"/>
        </w:rPr>
        <w:t xml:space="preserve">f her son. On the same day, </w:t>
      </w:r>
      <w:r w:rsidR="00676E74" w:rsidRPr="0026246C">
        <w:rPr>
          <w:color w:val="000000"/>
          <w:lang w:eastAsia="en-GB"/>
        </w:rPr>
        <w:t xml:space="preserve">the </w:t>
      </w:r>
      <w:r w:rsidR="00D2096F" w:rsidRPr="0026246C">
        <w:rPr>
          <w:color w:val="000000"/>
          <w:lang w:eastAsia="en-GB"/>
        </w:rPr>
        <w:t>lawyer</w:t>
      </w:r>
      <w:r w:rsidR="0026246C" w:rsidRPr="0026246C">
        <w:rPr>
          <w:color w:val="000000"/>
          <w:lang w:eastAsia="en-GB"/>
        </w:rPr>
        <w:t>’</w:t>
      </w:r>
      <w:r w:rsidR="00D2096F" w:rsidRPr="0026246C">
        <w:rPr>
          <w:color w:val="000000"/>
          <w:lang w:eastAsia="en-GB"/>
        </w:rPr>
        <w:t>s attempt to obtain</w:t>
      </w:r>
      <w:r w:rsidR="0065058F" w:rsidRPr="0026246C">
        <w:rPr>
          <w:color w:val="000000"/>
          <w:lang w:eastAsia="en-GB"/>
        </w:rPr>
        <w:t xml:space="preserve"> </w:t>
      </w:r>
      <w:r w:rsidR="00D2096F" w:rsidRPr="0026246C">
        <w:rPr>
          <w:color w:val="000000"/>
          <w:lang w:eastAsia="en-GB"/>
        </w:rPr>
        <w:t>a meeting with Mr</w:t>
      </w:r>
      <w:r w:rsidR="005B50CF" w:rsidRPr="0026246C">
        <w:rPr>
          <w:color w:val="000000"/>
          <w:lang w:eastAsia="en-GB"/>
        </w:rPr>
        <w:t>.</w:t>
      </w:r>
      <w:r w:rsidR="00D2096F" w:rsidRPr="0026246C">
        <w:rPr>
          <w:color w:val="000000"/>
          <w:lang w:eastAsia="en-GB"/>
        </w:rPr>
        <w:t xml:space="preserve"> Kovalev again fail</w:t>
      </w:r>
      <w:r w:rsidR="00DD7C2E" w:rsidRPr="0026246C">
        <w:rPr>
          <w:color w:val="000000"/>
          <w:lang w:eastAsia="en-GB"/>
        </w:rPr>
        <w:t>ed</w:t>
      </w:r>
      <w:r w:rsidR="00676E74" w:rsidRPr="0026246C">
        <w:rPr>
          <w:color w:val="000000"/>
          <w:lang w:eastAsia="en-GB"/>
        </w:rPr>
        <w:t xml:space="preserve"> and </w:t>
      </w:r>
      <w:r w:rsidR="00D2096F" w:rsidRPr="0026246C">
        <w:rPr>
          <w:color w:val="000000"/>
          <w:lang w:eastAsia="en-GB"/>
        </w:rPr>
        <w:t xml:space="preserve">he </w:t>
      </w:r>
      <w:r w:rsidR="00676E74" w:rsidRPr="0026246C">
        <w:rPr>
          <w:color w:val="000000"/>
          <w:lang w:eastAsia="en-GB"/>
        </w:rPr>
        <w:t>was</w:t>
      </w:r>
      <w:r w:rsidR="00D2096F" w:rsidRPr="0026246C">
        <w:rPr>
          <w:color w:val="000000"/>
          <w:lang w:eastAsia="en-GB"/>
        </w:rPr>
        <w:t xml:space="preserve"> told that Mr</w:t>
      </w:r>
      <w:r w:rsidR="005B50CF" w:rsidRPr="0026246C">
        <w:rPr>
          <w:color w:val="000000"/>
          <w:lang w:eastAsia="en-GB"/>
        </w:rPr>
        <w:t>.</w:t>
      </w:r>
      <w:r w:rsidR="00D2096F" w:rsidRPr="0026246C">
        <w:rPr>
          <w:color w:val="000000"/>
          <w:lang w:eastAsia="en-GB"/>
        </w:rPr>
        <w:t xml:space="preserve"> Kovalev </w:t>
      </w:r>
      <w:r w:rsidR="0026246C" w:rsidRPr="0026246C">
        <w:rPr>
          <w:color w:val="000000"/>
          <w:lang w:eastAsia="en-GB"/>
        </w:rPr>
        <w:t xml:space="preserve">had been </w:t>
      </w:r>
      <w:r w:rsidR="00D2096F" w:rsidRPr="0026246C">
        <w:rPr>
          <w:color w:val="000000"/>
          <w:lang w:eastAsia="en-GB"/>
        </w:rPr>
        <w:t xml:space="preserve">transferred, </w:t>
      </w:r>
      <w:r w:rsidR="00515C0E" w:rsidRPr="0026246C">
        <w:rPr>
          <w:color w:val="000000"/>
          <w:lang w:eastAsia="en-GB"/>
        </w:rPr>
        <w:t xml:space="preserve">without any </w:t>
      </w:r>
      <w:r w:rsidR="00D2096F" w:rsidRPr="0026246C">
        <w:rPr>
          <w:color w:val="000000"/>
          <w:lang w:eastAsia="en-GB"/>
        </w:rPr>
        <w:t>further details about his whereabouts</w:t>
      </w:r>
      <w:r w:rsidR="00515C0E" w:rsidRPr="0026246C">
        <w:rPr>
          <w:color w:val="000000"/>
          <w:lang w:eastAsia="en-GB"/>
        </w:rPr>
        <w:t xml:space="preserve"> being provided</w:t>
      </w:r>
      <w:r w:rsidR="00D2096F" w:rsidRPr="0026246C">
        <w:rPr>
          <w:color w:val="000000"/>
          <w:lang w:eastAsia="en-GB"/>
        </w:rPr>
        <w:t xml:space="preserve">. </w:t>
      </w:r>
      <w:r w:rsidR="00515C0E" w:rsidRPr="0026246C">
        <w:rPr>
          <w:color w:val="000000"/>
          <w:lang w:eastAsia="en-GB"/>
        </w:rPr>
        <w:t xml:space="preserve">On 15 March 2012, </w:t>
      </w:r>
      <w:r w:rsidR="00D2096F" w:rsidRPr="0026246C">
        <w:rPr>
          <w:color w:val="000000"/>
          <w:lang w:eastAsia="en-GB"/>
        </w:rPr>
        <w:t>M</w:t>
      </w:r>
      <w:r w:rsidR="005B50CF" w:rsidRPr="0026246C">
        <w:rPr>
          <w:color w:val="000000"/>
          <w:lang w:eastAsia="en-GB"/>
        </w:rPr>
        <w:t>r</w:t>
      </w:r>
      <w:r w:rsidR="00D2096F" w:rsidRPr="0026246C">
        <w:rPr>
          <w:color w:val="000000"/>
          <w:lang w:eastAsia="en-GB"/>
        </w:rPr>
        <w:t>s</w:t>
      </w:r>
      <w:r w:rsidR="005B50CF" w:rsidRPr="0026246C">
        <w:rPr>
          <w:color w:val="000000"/>
          <w:lang w:eastAsia="en-GB"/>
        </w:rPr>
        <w:t>.</w:t>
      </w:r>
      <w:r w:rsidR="00D2096F" w:rsidRPr="0026246C">
        <w:rPr>
          <w:color w:val="000000"/>
          <w:lang w:eastAsia="en-GB"/>
        </w:rPr>
        <w:t xml:space="preserve"> Kovaleva submitte</w:t>
      </w:r>
      <w:r w:rsidR="00DD7C2E" w:rsidRPr="0026246C">
        <w:rPr>
          <w:color w:val="000000"/>
          <w:lang w:eastAsia="en-GB"/>
        </w:rPr>
        <w:t>d a written application to the P</w:t>
      </w:r>
      <w:r w:rsidR="00D2096F" w:rsidRPr="0026246C">
        <w:rPr>
          <w:color w:val="000000"/>
          <w:lang w:eastAsia="en-GB"/>
        </w:rPr>
        <w:t>resident</w:t>
      </w:r>
      <w:r w:rsidR="002D4F09" w:rsidRPr="0026246C">
        <w:rPr>
          <w:color w:val="000000"/>
          <w:lang w:eastAsia="en-GB"/>
        </w:rPr>
        <w:t xml:space="preserve"> of Belarus</w:t>
      </w:r>
      <w:r w:rsidR="00D2096F" w:rsidRPr="0026246C">
        <w:rPr>
          <w:color w:val="000000"/>
          <w:lang w:eastAsia="en-GB"/>
        </w:rPr>
        <w:t xml:space="preserve">, requesting the suspension of her </w:t>
      </w:r>
      <w:r w:rsidR="0026246C" w:rsidRPr="0026246C">
        <w:rPr>
          <w:color w:val="000000"/>
          <w:lang w:eastAsia="en-GB"/>
        </w:rPr>
        <w:t xml:space="preserve">son’s </w:t>
      </w:r>
      <w:r w:rsidR="00D2096F" w:rsidRPr="0026246C">
        <w:rPr>
          <w:color w:val="000000"/>
          <w:lang w:eastAsia="en-GB"/>
        </w:rPr>
        <w:t>execution for at least one year in order for the Human Rights Committee to take a decision on his communication.</w:t>
      </w:r>
    </w:p>
    <w:p w:rsidR="000B6EC1" w:rsidRPr="0026246C" w:rsidRDefault="00726832" w:rsidP="00427B0A">
      <w:pPr>
        <w:spacing w:after="120" w:line="240" w:lineRule="auto"/>
        <w:ind w:left="1134" w:right="1134"/>
        <w:jc w:val="both"/>
        <w:rPr>
          <w:color w:val="000000"/>
          <w:lang w:eastAsia="en-GB"/>
        </w:rPr>
      </w:pPr>
      <w:r w:rsidRPr="0026246C">
        <w:rPr>
          <w:color w:val="000000"/>
          <w:lang w:eastAsia="en-GB"/>
        </w:rPr>
        <w:t>7</w:t>
      </w:r>
      <w:r w:rsidR="00515C0E" w:rsidRPr="0026246C">
        <w:rPr>
          <w:color w:val="000000"/>
          <w:lang w:eastAsia="en-GB"/>
        </w:rPr>
        <w:t>.4</w:t>
      </w:r>
      <w:r w:rsidR="00515C0E" w:rsidRPr="0026246C">
        <w:rPr>
          <w:color w:val="000000"/>
          <w:lang w:eastAsia="en-GB"/>
        </w:rPr>
        <w:tab/>
        <w:t>On 16 March 2012, Ms</w:t>
      </w:r>
      <w:r w:rsidR="00E3683B" w:rsidRPr="0026246C">
        <w:rPr>
          <w:color w:val="000000"/>
          <w:lang w:eastAsia="en-GB"/>
        </w:rPr>
        <w:t>.</w:t>
      </w:r>
      <w:r w:rsidR="00515C0E" w:rsidRPr="0026246C">
        <w:rPr>
          <w:color w:val="000000"/>
          <w:lang w:eastAsia="en-GB"/>
        </w:rPr>
        <w:t xml:space="preserve"> Kovaleva, together with the lawyer of Mr</w:t>
      </w:r>
      <w:r w:rsidR="00E3683B" w:rsidRPr="0026246C">
        <w:rPr>
          <w:color w:val="000000"/>
          <w:lang w:eastAsia="en-GB"/>
        </w:rPr>
        <w:t>.</w:t>
      </w:r>
      <w:r w:rsidR="00515C0E" w:rsidRPr="0026246C">
        <w:rPr>
          <w:color w:val="000000"/>
          <w:lang w:eastAsia="en-GB"/>
        </w:rPr>
        <w:t xml:space="preserve"> Kovalev, attempted to obtain information </w:t>
      </w:r>
      <w:r w:rsidR="0026246C" w:rsidRPr="0026246C">
        <w:rPr>
          <w:color w:val="000000"/>
          <w:lang w:eastAsia="en-GB"/>
        </w:rPr>
        <w:t xml:space="preserve">on </w:t>
      </w:r>
      <w:r w:rsidR="00515C0E" w:rsidRPr="0026246C">
        <w:rPr>
          <w:color w:val="000000"/>
          <w:lang w:eastAsia="en-GB"/>
        </w:rPr>
        <w:t>his whereabouts and whether he was alive. However, they could not obtain any such information from authorities. On 17 March 2012, M</w:t>
      </w:r>
      <w:r w:rsidR="00E3683B" w:rsidRPr="0026246C">
        <w:rPr>
          <w:color w:val="000000"/>
          <w:lang w:eastAsia="en-GB"/>
        </w:rPr>
        <w:t>r</w:t>
      </w:r>
      <w:r w:rsidR="00515C0E" w:rsidRPr="0026246C">
        <w:rPr>
          <w:color w:val="000000"/>
          <w:lang w:eastAsia="en-GB"/>
        </w:rPr>
        <w:t>s</w:t>
      </w:r>
      <w:r w:rsidR="00E3683B" w:rsidRPr="0026246C">
        <w:rPr>
          <w:color w:val="000000"/>
          <w:lang w:eastAsia="en-GB"/>
        </w:rPr>
        <w:t>.</w:t>
      </w:r>
      <w:r w:rsidR="00515C0E" w:rsidRPr="0026246C">
        <w:rPr>
          <w:color w:val="000000"/>
          <w:lang w:eastAsia="en-GB"/>
        </w:rPr>
        <w:t xml:space="preserve"> Kovaleva received a letter from the Supreme Court, dated 16 March 2012, informing </w:t>
      </w:r>
      <w:r w:rsidR="0026246C" w:rsidRPr="0026246C">
        <w:rPr>
          <w:color w:val="000000"/>
          <w:lang w:eastAsia="en-GB"/>
        </w:rPr>
        <w:t xml:space="preserve">her of </w:t>
      </w:r>
      <w:r w:rsidR="00515C0E" w:rsidRPr="0026246C">
        <w:rPr>
          <w:color w:val="000000"/>
          <w:lang w:eastAsia="en-GB"/>
        </w:rPr>
        <w:t xml:space="preserve">the execution of </w:t>
      </w:r>
      <w:r w:rsidR="00620C05" w:rsidRPr="0026246C">
        <w:rPr>
          <w:color w:val="000000"/>
          <w:lang w:eastAsia="en-GB"/>
        </w:rPr>
        <w:t>her son</w:t>
      </w:r>
      <w:r w:rsidR="00515C0E" w:rsidRPr="0026246C">
        <w:rPr>
          <w:color w:val="000000"/>
          <w:lang w:eastAsia="en-GB"/>
        </w:rPr>
        <w:t>. On 28 March 20</w:t>
      </w:r>
      <w:r w:rsidR="002D4F09" w:rsidRPr="0026246C">
        <w:rPr>
          <w:color w:val="000000"/>
          <w:lang w:eastAsia="en-GB"/>
        </w:rPr>
        <w:t xml:space="preserve">12, she obtained </w:t>
      </w:r>
      <w:r w:rsidR="00331CDF" w:rsidRPr="0026246C">
        <w:rPr>
          <w:color w:val="000000"/>
          <w:lang w:eastAsia="en-GB"/>
        </w:rPr>
        <w:t>the death certificate</w:t>
      </w:r>
      <w:r w:rsidR="008B7060" w:rsidRPr="0026246C">
        <w:rPr>
          <w:color w:val="000000"/>
          <w:lang w:eastAsia="en-GB"/>
        </w:rPr>
        <w:t xml:space="preserve"> </w:t>
      </w:r>
      <w:r w:rsidR="00331CDF" w:rsidRPr="0026246C">
        <w:rPr>
          <w:color w:val="000000"/>
          <w:lang w:eastAsia="en-GB"/>
        </w:rPr>
        <w:t xml:space="preserve">which indicates </w:t>
      </w:r>
      <w:r w:rsidR="00DD7C2E" w:rsidRPr="0026246C">
        <w:t>15 March 2012</w:t>
      </w:r>
      <w:r w:rsidR="00331CDF" w:rsidRPr="0026246C">
        <w:t xml:space="preserve"> as the date of death</w:t>
      </w:r>
      <w:r w:rsidR="007559A7" w:rsidRPr="0026246C">
        <w:t>.</w:t>
      </w:r>
      <w:r w:rsidR="00515C0E" w:rsidRPr="0026246C">
        <w:rPr>
          <w:color w:val="000000"/>
          <w:lang w:eastAsia="en-GB"/>
        </w:rPr>
        <w:t xml:space="preserve"> </w:t>
      </w:r>
    </w:p>
    <w:p w:rsidR="00A1107A" w:rsidRPr="0026246C" w:rsidRDefault="000B6EC1" w:rsidP="00427B0A">
      <w:pPr>
        <w:spacing w:after="120" w:line="240" w:lineRule="auto"/>
        <w:ind w:left="1134" w:right="1134"/>
        <w:jc w:val="both"/>
        <w:rPr>
          <w:b/>
        </w:rPr>
      </w:pPr>
      <w:r w:rsidRPr="0026246C">
        <w:rPr>
          <w:b/>
          <w:color w:val="000000"/>
          <w:lang w:eastAsia="en-GB"/>
        </w:rPr>
        <w:t>State party’s further submission</w:t>
      </w:r>
    </w:p>
    <w:p w:rsidR="000B6EC1" w:rsidRPr="0026246C" w:rsidRDefault="00D477A0" w:rsidP="00427B0A">
      <w:pPr>
        <w:spacing w:after="120" w:line="240" w:lineRule="auto"/>
        <w:ind w:left="1134" w:right="1134"/>
        <w:jc w:val="both"/>
        <w:rPr>
          <w:color w:val="000000"/>
          <w:lang w:eastAsia="en-GB"/>
        </w:rPr>
      </w:pPr>
      <w:r w:rsidRPr="0026246C">
        <w:t>8.</w:t>
      </w:r>
      <w:r w:rsidR="000B6EC1" w:rsidRPr="0026246C">
        <w:tab/>
        <w:t>By note verbale dated</w:t>
      </w:r>
      <w:r w:rsidR="000B6EC1" w:rsidRPr="0026246C">
        <w:rPr>
          <w:b/>
        </w:rPr>
        <w:t xml:space="preserve"> </w:t>
      </w:r>
      <w:r w:rsidR="00DE7814" w:rsidRPr="0026246C">
        <w:rPr>
          <w:color w:val="000000"/>
          <w:lang w:eastAsia="en-GB"/>
        </w:rPr>
        <w:t>19 July</w:t>
      </w:r>
      <w:r w:rsidR="000B6EC1" w:rsidRPr="0026246C">
        <w:rPr>
          <w:color w:val="000000"/>
          <w:lang w:eastAsia="en-GB"/>
        </w:rPr>
        <w:t xml:space="preserve"> 2012, the State party</w:t>
      </w:r>
      <w:r w:rsidR="00DE7814" w:rsidRPr="0026246C">
        <w:rPr>
          <w:color w:val="000000"/>
          <w:lang w:eastAsia="en-GB"/>
        </w:rPr>
        <w:t xml:space="preserve"> informed the Committee that it discontinued proceedings regarding the present communication and will dissociate itself from the Views that might be adopted by the Human Rights Committee.</w:t>
      </w:r>
      <w:r w:rsidR="003E01E1" w:rsidRPr="0026246C">
        <w:rPr>
          <w:rStyle w:val="FootnoteReference"/>
          <w:color w:val="000000"/>
          <w:lang w:eastAsia="en-GB"/>
        </w:rPr>
        <w:footnoteReference w:id="16"/>
      </w:r>
      <w:r w:rsidR="00DE7814" w:rsidRPr="0026246C">
        <w:rPr>
          <w:color w:val="000000"/>
          <w:lang w:eastAsia="en-GB"/>
        </w:rPr>
        <w:t xml:space="preserve"> </w:t>
      </w:r>
    </w:p>
    <w:p w:rsidR="003622DA" w:rsidRPr="0026246C" w:rsidRDefault="003622DA" w:rsidP="007A16FC">
      <w:pPr>
        <w:pStyle w:val="H23G"/>
      </w:pPr>
      <w:r w:rsidRPr="0026246C">
        <w:tab/>
      </w:r>
      <w:r w:rsidRPr="0026246C">
        <w:tab/>
        <w:t>Issues and proceedings before the Committee</w:t>
      </w:r>
    </w:p>
    <w:p w:rsidR="00427B0A" w:rsidRPr="0026246C" w:rsidRDefault="00427B0A" w:rsidP="00427B0A">
      <w:pPr>
        <w:pStyle w:val="H4G"/>
        <w:jc w:val="both"/>
      </w:pPr>
      <w:r w:rsidRPr="0026246C">
        <w:tab/>
      </w:r>
      <w:r w:rsidRPr="0026246C">
        <w:tab/>
      </w:r>
      <w:r w:rsidRPr="00940396">
        <w:t xml:space="preserve">The State party’s failure to </w:t>
      </w:r>
      <w:r w:rsidRPr="00402254">
        <w:t>cooperate and to respect the Committee</w:t>
      </w:r>
      <w:r w:rsidR="0026246C" w:rsidRPr="0026246C">
        <w:t>’</w:t>
      </w:r>
      <w:r w:rsidRPr="0026246C">
        <w:t>s request for interim measures</w:t>
      </w:r>
    </w:p>
    <w:p w:rsidR="00427B0A" w:rsidRPr="0026246C" w:rsidRDefault="00D477A0" w:rsidP="00427B0A">
      <w:pPr>
        <w:pStyle w:val="SingleTxtG"/>
        <w:rPr>
          <w:lang w:val="en-GB"/>
        </w:rPr>
      </w:pPr>
      <w:r w:rsidRPr="0026246C">
        <w:rPr>
          <w:lang w:val="en-GB"/>
        </w:rPr>
        <w:t>9</w:t>
      </w:r>
      <w:r w:rsidR="00427B0A" w:rsidRPr="0026246C">
        <w:rPr>
          <w:lang w:val="en-GB"/>
        </w:rPr>
        <w:t>.1</w:t>
      </w:r>
      <w:r w:rsidR="00427B0A" w:rsidRPr="0026246C">
        <w:rPr>
          <w:lang w:val="en-GB"/>
        </w:rPr>
        <w:tab/>
        <w:t>The Committee notes the State party’s submission</w:t>
      </w:r>
      <w:r w:rsidR="00427B0A" w:rsidRPr="00940396">
        <w:rPr>
          <w:lang w:val="en-GB"/>
        </w:rPr>
        <w:t>:</w:t>
      </w:r>
      <w:r w:rsidR="00427B0A" w:rsidRPr="0026246C">
        <w:rPr>
          <w:lang w:val="en-GB"/>
        </w:rPr>
        <w:t xml:space="preserve"> that there are no legal grounds for the consideration of the present communication insofar as it is registered in violation of article 1 of the Optional Protocol, because the alleged victim did not present the communication himself and has failed to exhaust domestic remedies; that it has no obligations </w:t>
      </w:r>
      <w:r w:rsidR="00CF434D" w:rsidRPr="0026246C">
        <w:rPr>
          <w:lang w:val="en-GB"/>
        </w:rPr>
        <w:t>regarding</w:t>
      </w:r>
      <w:r w:rsidR="00427B0A" w:rsidRPr="0026246C">
        <w:rPr>
          <w:lang w:val="en-GB"/>
        </w:rPr>
        <w:t xml:space="preserve"> the recognition of the Committee’s rules of procedure and its interpretation of the Protocol’s provisions; and that decisions taken by the Committee on the above communications will be considered b</w:t>
      </w:r>
      <w:r w:rsidR="00EF79E8" w:rsidRPr="0026246C">
        <w:rPr>
          <w:lang w:val="en-GB"/>
        </w:rPr>
        <w:t>y its authorities as “invalid”.</w:t>
      </w:r>
    </w:p>
    <w:p w:rsidR="00427B0A" w:rsidRPr="00940396" w:rsidRDefault="00D477A0" w:rsidP="00427B0A">
      <w:pPr>
        <w:pStyle w:val="SingleTxtG"/>
        <w:rPr>
          <w:lang w:val="en-GB"/>
        </w:rPr>
      </w:pPr>
      <w:r w:rsidRPr="0026246C">
        <w:rPr>
          <w:lang w:val="en-GB"/>
        </w:rPr>
        <w:t>9</w:t>
      </w:r>
      <w:r w:rsidR="00427B0A" w:rsidRPr="0026246C">
        <w:rPr>
          <w:lang w:val="en-GB"/>
        </w:rPr>
        <w:t>.2</w:t>
      </w:r>
      <w:r w:rsidR="00427B0A" w:rsidRPr="0026246C">
        <w:rPr>
          <w:lang w:val="en-GB"/>
        </w:rPr>
        <w:tab/>
        <w:t xml:space="preserve">The Committee </w:t>
      </w:r>
      <w:r w:rsidR="00427B0A" w:rsidRPr="00940396">
        <w:rPr>
          <w:lang w:val="en-GB"/>
        </w:rPr>
        <w:t xml:space="preserve">recalls </w:t>
      </w:r>
      <w:r w:rsidR="00427B0A" w:rsidRPr="0026246C">
        <w:rPr>
          <w:lang w:val="en-GB"/>
        </w:rPr>
        <w:t xml:space="preserve">that </w:t>
      </w:r>
      <w:r w:rsidR="005768C8" w:rsidRPr="0026246C">
        <w:rPr>
          <w:lang w:val="en-GB"/>
        </w:rPr>
        <w:t>article 39, paragraph 2 of the International Covenant on Civil and Political Rights authori</w:t>
      </w:r>
      <w:r w:rsidR="0026246C" w:rsidRPr="0026246C">
        <w:rPr>
          <w:lang w:val="en-GB"/>
        </w:rPr>
        <w:t>z</w:t>
      </w:r>
      <w:r w:rsidR="005768C8" w:rsidRPr="0026246C">
        <w:rPr>
          <w:lang w:val="en-GB"/>
        </w:rPr>
        <w:t xml:space="preserve">es it to establish its own rules of procedure, which the States parties have agreed to recognize. </w:t>
      </w:r>
      <w:r w:rsidR="005768C8" w:rsidRPr="00940396">
        <w:rPr>
          <w:lang w:val="en-GB"/>
        </w:rPr>
        <w:t>The Committee further observes that</w:t>
      </w:r>
      <w:r w:rsidR="001E4EE6" w:rsidRPr="00402254">
        <w:rPr>
          <w:lang w:val="en-GB"/>
        </w:rPr>
        <w:t xml:space="preserve">, </w:t>
      </w:r>
      <w:r w:rsidR="00427B0A" w:rsidRPr="0026246C">
        <w:rPr>
          <w:lang w:val="en-GB"/>
        </w:rPr>
        <w:t>by adhering to the Optional Protocol, a State party to the Covenant recognizes the competence of the Human Rights Committee to receive and consider communications from individuals claiming to be victims of violations of any of the rights set forth in the Covenant (</w:t>
      </w:r>
      <w:r w:rsidR="0026246C" w:rsidRPr="0026246C">
        <w:rPr>
          <w:lang w:val="en-GB"/>
        </w:rPr>
        <w:t>p</w:t>
      </w:r>
      <w:r w:rsidR="00427B0A" w:rsidRPr="0026246C">
        <w:rPr>
          <w:lang w:val="en-GB"/>
        </w:rPr>
        <w:t>reamble and art</w:t>
      </w:r>
      <w:r w:rsidR="0026246C" w:rsidRPr="0026246C">
        <w:rPr>
          <w:lang w:val="en-GB"/>
        </w:rPr>
        <w:t>.</w:t>
      </w:r>
      <w:r w:rsidR="00427B0A" w:rsidRPr="0026246C">
        <w:rPr>
          <w:lang w:val="en-GB"/>
        </w:rPr>
        <w:t xml:space="preserve"> 1).</w:t>
      </w:r>
      <w:r w:rsidR="005768C8" w:rsidRPr="00940396">
        <w:rPr>
          <w:lang w:val="en-GB"/>
        </w:rPr>
        <w:t xml:space="preserve"> </w:t>
      </w:r>
      <w:r w:rsidR="00427B0A" w:rsidRPr="0026246C">
        <w:rPr>
          <w:lang w:val="en-GB"/>
        </w:rPr>
        <w:t>Implicit in a State</w:t>
      </w:r>
      <w:r w:rsidR="0026246C" w:rsidRPr="0026246C">
        <w:rPr>
          <w:lang w:val="en-GB"/>
        </w:rPr>
        <w:t>’</w:t>
      </w:r>
      <w:r w:rsidR="00427B0A" w:rsidRPr="0026246C">
        <w:rPr>
          <w:lang w:val="en-GB"/>
        </w:rPr>
        <w:t xml:space="preserve">s adherence to the </w:t>
      </w:r>
      <w:r w:rsidR="0026246C" w:rsidRPr="0026246C">
        <w:rPr>
          <w:lang w:val="en-GB"/>
        </w:rPr>
        <w:t xml:space="preserve">Optional </w:t>
      </w:r>
      <w:r w:rsidR="00427B0A" w:rsidRPr="0026246C">
        <w:rPr>
          <w:lang w:val="en-GB"/>
        </w:rPr>
        <w:t>Protocol is an undertaking to cooperate with the Committee in good faith so as to permit and enable it to consider such communications, and after examination to forward its views to the State party and to the individual concerned (art</w:t>
      </w:r>
      <w:r w:rsidR="0026246C">
        <w:rPr>
          <w:lang w:val="en-GB"/>
        </w:rPr>
        <w:t>.</w:t>
      </w:r>
      <w:r w:rsidR="00427B0A" w:rsidRPr="0026246C">
        <w:rPr>
          <w:lang w:val="en-GB"/>
        </w:rPr>
        <w:t xml:space="preserve"> 5, paras</w:t>
      </w:r>
      <w:r w:rsidR="0026246C">
        <w:rPr>
          <w:lang w:val="en-GB"/>
        </w:rPr>
        <w:t>.</w:t>
      </w:r>
      <w:r w:rsidR="00427B0A" w:rsidRPr="0026246C">
        <w:rPr>
          <w:lang w:val="en-GB"/>
        </w:rPr>
        <w:t xml:space="preserve"> 1 and 4). It is incompatible with these obligations for a State party to take any action that would prevent or frustrate the Committee in its </w:t>
      </w:r>
      <w:r w:rsidR="00427B0A" w:rsidRPr="0026246C">
        <w:rPr>
          <w:lang w:val="en-GB"/>
        </w:rPr>
        <w:lastRenderedPageBreak/>
        <w:t>consideration and examination of the communication, and in the expression of its Views.</w:t>
      </w:r>
      <w:r w:rsidR="001E4EE6" w:rsidRPr="00940396">
        <w:rPr>
          <w:rStyle w:val="FootnoteReference"/>
          <w:lang w:val="en-GB"/>
        </w:rPr>
        <w:footnoteReference w:id="17"/>
      </w:r>
      <w:r w:rsidR="005377BB" w:rsidRPr="00402254">
        <w:rPr>
          <w:lang w:val="en-GB"/>
        </w:rPr>
        <w:t xml:space="preserve"> </w:t>
      </w:r>
      <w:r w:rsidR="00427B0A" w:rsidRPr="0026246C">
        <w:rPr>
          <w:lang w:val="en-GB"/>
        </w:rPr>
        <w:t>The Committee observes that</w:t>
      </w:r>
      <w:r w:rsidR="0026246C">
        <w:rPr>
          <w:lang w:val="en-GB"/>
        </w:rPr>
        <w:t>,</w:t>
      </w:r>
      <w:r w:rsidR="00427B0A" w:rsidRPr="0026246C">
        <w:rPr>
          <w:lang w:val="en-GB"/>
        </w:rPr>
        <w:t xml:space="preserve"> by failing to accept the Committee’s determination whether a communication shall be registered and by declaring beforehand that it will not accept the determination of the Committee on the admissibility and the merits of the communication, the State party violates its obligations under article 1 of the Optional Protocol to the International Covenant</w:t>
      </w:r>
      <w:r w:rsidR="008806E5" w:rsidRPr="0026246C">
        <w:rPr>
          <w:lang w:val="en-GB"/>
        </w:rPr>
        <w:t xml:space="preserve"> on Civil and Political Rights.</w:t>
      </w:r>
    </w:p>
    <w:p w:rsidR="00427B0A" w:rsidRPr="0026246C" w:rsidRDefault="00D477A0" w:rsidP="00427B0A">
      <w:pPr>
        <w:spacing w:after="120" w:line="240" w:lineRule="auto"/>
        <w:ind w:left="1134" w:right="1134"/>
        <w:jc w:val="both"/>
      </w:pPr>
      <w:r w:rsidRPr="0026246C">
        <w:t>9</w:t>
      </w:r>
      <w:r w:rsidR="00427B0A" w:rsidRPr="0026246C">
        <w:t>.3</w:t>
      </w:r>
      <w:r w:rsidR="00427B0A" w:rsidRPr="0026246C">
        <w:tab/>
        <w:t xml:space="preserve">Furthermore, the Committee observes that, when submitting the communication on 14 December 2011, the authors informed the Committee that at that point Mr. Kovalev was on death row. </w:t>
      </w:r>
      <w:r w:rsidR="00427B0A" w:rsidRPr="00940396">
        <w:t>O</w:t>
      </w:r>
      <w:r w:rsidR="00427B0A" w:rsidRPr="00402254">
        <w:t>n 15 December 2011, the Committee transmitted to the State party a request not to carry out Mr. Kovalev</w:t>
      </w:r>
      <w:r w:rsidR="0026246C">
        <w:t>’</w:t>
      </w:r>
      <w:r w:rsidR="00427B0A" w:rsidRPr="00402254">
        <w:t xml:space="preserve">s execution while his case </w:t>
      </w:r>
      <w:r w:rsidR="0026246C">
        <w:t>wa</w:t>
      </w:r>
      <w:r w:rsidR="00427B0A" w:rsidRPr="00402254">
        <w:t>s under consideration</w:t>
      </w:r>
      <w:r w:rsidR="00FD4B84" w:rsidRPr="0026246C">
        <w:t>; this request for interim measures</w:t>
      </w:r>
      <w:r w:rsidR="00427B0A" w:rsidRPr="0026246C">
        <w:t xml:space="preserve"> was reiterated several times. On 19 March 2012, the authors notified the Committee that Mr. Kovalev</w:t>
      </w:r>
      <w:r w:rsidR="0026246C">
        <w:t>’</w:t>
      </w:r>
      <w:r w:rsidR="00427B0A" w:rsidRPr="00402254">
        <w:t>s execution had been carried out</w:t>
      </w:r>
      <w:r w:rsidR="00427B0A" w:rsidRPr="0026246C">
        <w:t xml:space="preserve"> and later provided a copy of the death cert</w:t>
      </w:r>
      <w:r w:rsidR="00664554" w:rsidRPr="0026246C">
        <w:t>ificate indicating 15 March 2012</w:t>
      </w:r>
      <w:r w:rsidR="00427B0A" w:rsidRPr="0026246C">
        <w:t xml:space="preserve"> as the date of his death</w:t>
      </w:r>
      <w:r w:rsidR="00FD4B84" w:rsidRPr="0026246C">
        <w:t>, but not disclosing the cause of his death</w:t>
      </w:r>
      <w:r w:rsidR="00427B0A" w:rsidRPr="0026246C">
        <w:t>. The Committee notes that it is uncontested that the execution in question took place despite the fact that a request for interim measures of protection had been duly addressed to the State party</w:t>
      </w:r>
      <w:r w:rsidR="00E22F1A" w:rsidRPr="0026246C">
        <w:t xml:space="preserve"> and reiterated several times</w:t>
      </w:r>
      <w:r w:rsidR="00427B0A" w:rsidRPr="0026246C">
        <w:t>.</w:t>
      </w:r>
    </w:p>
    <w:p w:rsidR="008806E5" w:rsidRPr="0026246C" w:rsidRDefault="00D477A0" w:rsidP="005D0123">
      <w:pPr>
        <w:spacing w:after="120"/>
        <w:ind w:left="1134" w:right="1134"/>
        <w:jc w:val="both"/>
      </w:pPr>
      <w:r w:rsidRPr="0026246C">
        <w:t>9</w:t>
      </w:r>
      <w:r w:rsidR="00427B0A" w:rsidRPr="0026246C">
        <w:t>.4</w:t>
      </w:r>
      <w:r w:rsidR="00427B0A" w:rsidRPr="0026246C">
        <w:tab/>
        <w:t xml:space="preserve">Apart from any violation of the Covenant found against a State party in a communication, a State party commits grave breaches of its obligations under the Optional Protocol if it acts to prevent or to frustrate consideration by the Committee of a communication alleging a violation of the Covenant, or to render examination by the Committee moot and the expression of its Views nugatory and futile. In the present case, the authors allege that Mr. Kovalev was denied his rights under various articles of the Covenant. Having been notified of the communication and the Committee’s request for interim measures, the State party breached its obligations under the Protocol by executing the alleged victim before the Committee concluded its consideration </w:t>
      </w:r>
      <w:r w:rsidR="005D0123" w:rsidRPr="0026246C">
        <w:t>of the communication.</w:t>
      </w:r>
    </w:p>
    <w:p w:rsidR="005D0123" w:rsidRPr="0026246C" w:rsidRDefault="00D477A0" w:rsidP="005D0123">
      <w:pPr>
        <w:spacing w:after="120"/>
        <w:ind w:left="1134" w:right="1134"/>
        <w:jc w:val="both"/>
      </w:pPr>
      <w:r w:rsidRPr="0026246C">
        <w:t>9</w:t>
      </w:r>
      <w:r w:rsidR="00427B0A" w:rsidRPr="0026246C">
        <w:t>.5</w:t>
      </w:r>
      <w:r w:rsidR="00427B0A" w:rsidRPr="0026246C">
        <w:tab/>
        <w:t>The Committee recalls that interim measures under rule 92 of its rules of procedure adopted in conformity with article 39 of the Covenant, are essential to the Committee</w:t>
      </w:r>
      <w:r w:rsidR="00E1038B">
        <w:t>’</w:t>
      </w:r>
      <w:r w:rsidR="00427B0A" w:rsidRPr="00402254">
        <w:t xml:space="preserve">s role under the Protocol. Flouting of </w:t>
      </w:r>
      <w:r w:rsidR="00427B0A" w:rsidRPr="0026246C">
        <w:t>the rule, especially by irreversible measures such as, as in the present case, the execution of Mr. Kovalev, undermines the protection of Covenant rights through the Optional Protocol.</w:t>
      </w:r>
      <w:r w:rsidR="00427B0A" w:rsidRPr="0026246C">
        <w:rPr>
          <w:rStyle w:val="FootnoteReference"/>
        </w:rPr>
        <w:footnoteReference w:id="18"/>
      </w:r>
    </w:p>
    <w:p w:rsidR="003622DA" w:rsidRPr="00940396" w:rsidRDefault="003622DA" w:rsidP="005D0123">
      <w:pPr>
        <w:spacing w:after="120"/>
        <w:ind w:left="1134" w:right="1134"/>
        <w:jc w:val="both"/>
        <w:rPr>
          <w:i/>
        </w:rPr>
      </w:pPr>
      <w:r w:rsidRPr="0026246C">
        <w:rPr>
          <w:i/>
        </w:rPr>
        <w:t>Consideration of admissibility</w:t>
      </w:r>
    </w:p>
    <w:p w:rsidR="003622DA" w:rsidRPr="0026246C" w:rsidRDefault="00D477A0" w:rsidP="007A16FC">
      <w:pPr>
        <w:pStyle w:val="SingleTxtG"/>
        <w:rPr>
          <w:lang w:val="en-GB"/>
        </w:rPr>
      </w:pPr>
      <w:r w:rsidRPr="00940396">
        <w:rPr>
          <w:lang w:val="en-GB"/>
        </w:rPr>
        <w:t>10</w:t>
      </w:r>
      <w:r w:rsidR="003622DA" w:rsidRPr="0026246C">
        <w:rPr>
          <w:lang w:val="en-GB"/>
        </w:rPr>
        <w:t>.1</w:t>
      </w:r>
      <w:r w:rsidR="003622DA" w:rsidRPr="0026246C">
        <w:rPr>
          <w:lang w:val="en-GB"/>
        </w:rPr>
        <w:tab/>
        <w:t>Before considering any claims contained in a communication, the Human Rights Committee must, in accordance with rule 93 of its rules of procedure, decide whether or not it is admissible under the Optional Protocol to the Covenant.</w:t>
      </w:r>
    </w:p>
    <w:p w:rsidR="007A54D5" w:rsidRPr="0026246C" w:rsidRDefault="00D477A0" w:rsidP="007A54D5">
      <w:pPr>
        <w:pStyle w:val="SingleTxtG"/>
        <w:rPr>
          <w:lang w:val="en-GB"/>
        </w:rPr>
      </w:pPr>
      <w:r w:rsidRPr="0026246C">
        <w:rPr>
          <w:lang w:val="en-GB"/>
        </w:rPr>
        <w:t>10</w:t>
      </w:r>
      <w:r w:rsidR="00972414" w:rsidRPr="0026246C">
        <w:rPr>
          <w:lang w:val="en-GB"/>
        </w:rPr>
        <w:t>.2</w:t>
      </w:r>
      <w:r w:rsidR="003622DA" w:rsidRPr="0026246C">
        <w:rPr>
          <w:lang w:val="en-GB"/>
        </w:rPr>
        <w:tab/>
      </w:r>
      <w:r w:rsidR="007A54D5" w:rsidRPr="0026246C">
        <w:rPr>
          <w:lang w:val="en-GB"/>
        </w:rPr>
        <w:t>The Committee takes note of the State party’s argument that the communication is inadmissible since it was submitted to the Committee by third parties and not by the alleged victim himself. In this respect, the Committee recalls that</w:t>
      </w:r>
      <w:r w:rsidR="008640D5" w:rsidRPr="0026246C">
        <w:rPr>
          <w:lang w:val="en-GB"/>
        </w:rPr>
        <w:t xml:space="preserve"> rule 96</w:t>
      </w:r>
      <w:r w:rsidR="00E1038B">
        <w:rPr>
          <w:lang w:val="en-GB"/>
        </w:rPr>
        <w:t xml:space="preserve"> </w:t>
      </w:r>
      <w:r w:rsidR="008640D5" w:rsidRPr="0026246C">
        <w:rPr>
          <w:lang w:val="en-GB"/>
        </w:rPr>
        <w:t xml:space="preserve">(b) of its rules of </w:t>
      </w:r>
      <w:r w:rsidR="008640D5" w:rsidRPr="00940396">
        <w:rPr>
          <w:lang w:val="en-GB"/>
        </w:rPr>
        <w:t>p</w:t>
      </w:r>
      <w:r w:rsidR="008640D5" w:rsidRPr="0026246C">
        <w:rPr>
          <w:lang w:val="en-GB"/>
        </w:rPr>
        <w:t>rocedure provides that a communication should normally be submitted by the individual personally or by that individual’s representative, but that a communication submitted on behalf of an alleged victim may, however, be accepted when it appears that the individual in question is unable to submit the communication personally.</w:t>
      </w:r>
      <w:r w:rsidR="007A54D5" w:rsidRPr="0026246C">
        <w:rPr>
          <w:rStyle w:val="FootnoteReference"/>
          <w:sz w:val="20"/>
          <w:lang w:val="en-GB"/>
        </w:rPr>
        <w:footnoteReference w:id="19"/>
      </w:r>
      <w:r w:rsidR="008640D5" w:rsidRPr="0026246C">
        <w:rPr>
          <w:lang w:val="en-GB"/>
        </w:rPr>
        <w:t xml:space="preserve"> </w:t>
      </w:r>
      <w:r w:rsidR="007A54D5" w:rsidRPr="0026246C">
        <w:rPr>
          <w:lang w:val="en-GB"/>
        </w:rPr>
        <w:t xml:space="preserve">In the present case, the </w:t>
      </w:r>
      <w:r w:rsidR="007A54D5" w:rsidRPr="0026246C">
        <w:rPr>
          <w:lang w:val="en-GB"/>
        </w:rPr>
        <w:lastRenderedPageBreak/>
        <w:t>Committee notes that</w:t>
      </w:r>
      <w:r w:rsidR="00F836B3" w:rsidRPr="0026246C">
        <w:rPr>
          <w:lang w:val="en-GB"/>
        </w:rPr>
        <w:t xml:space="preserve"> the alleged victim was being detained on death row at the time of submission of the communication</w:t>
      </w:r>
      <w:r w:rsidR="007A54D5" w:rsidRPr="0026246C">
        <w:rPr>
          <w:lang w:val="en-GB"/>
        </w:rPr>
        <w:t>, a</w:t>
      </w:r>
      <w:r w:rsidR="00F836B3" w:rsidRPr="0026246C">
        <w:rPr>
          <w:lang w:val="en-GB"/>
        </w:rPr>
        <w:t xml:space="preserve">nd that, although he </w:t>
      </w:r>
      <w:r w:rsidR="007A54D5" w:rsidRPr="0026246C">
        <w:rPr>
          <w:lang w:val="en-GB"/>
        </w:rPr>
        <w:t>prepared and signed a power of attorney authorizing his mother to</w:t>
      </w:r>
      <w:r w:rsidR="00867D17" w:rsidRPr="0026246C">
        <w:rPr>
          <w:lang w:val="en-GB"/>
        </w:rPr>
        <w:t xml:space="preserve"> act on his behalf</w:t>
      </w:r>
      <w:r w:rsidR="007A54D5" w:rsidRPr="0026246C">
        <w:rPr>
          <w:lang w:val="en-GB"/>
        </w:rPr>
        <w:t xml:space="preserve">, the administration of the SIZO </w:t>
      </w:r>
      <w:r w:rsidR="00BF79E4" w:rsidRPr="0026246C">
        <w:rPr>
          <w:lang w:val="en-GB"/>
        </w:rPr>
        <w:t xml:space="preserve">failed to authenticate it, despite several complaints being lodged </w:t>
      </w:r>
      <w:r w:rsidR="00E6554A" w:rsidRPr="0026246C">
        <w:rPr>
          <w:lang w:val="en-GB"/>
        </w:rPr>
        <w:t xml:space="preserve">with </w:t>
      </w:r>
      <w:r w:rsidR="00BF79E4" w:rsidRPr="0026246C">
        <w:rPr>
          <w:lang w:val="en-GB"/>
        </w:rPr>
        <w:t>relevant domestic authorities</w:t>
      </w:r>
      <w:r w:rsidR="007A54D5" w:rsidRPr="0026246C">
        <w:rPr>
          <w:lang w:val="en-GB"/>
        </w:rPr>
        <w:t xml:space="preserve"> (see </w:t>
      </w:r>
      <w:r w:rsidR="007A54D5" w:rsidRPr="002E5D87">
        <w:rPr>
          <w:lang w:val="en-US"/>
        </w:rPr>
        <w:t>para. 2.2 above</w:t>
      </w:r>
      <w:r w:rsidR="007A54D5" w:rsidRPr="0026246C">
        <w:rPr>
          <w:lang w:val="en-GB"/>
        </w:rPr>
        <w:t xml:space="preserve">). In the circumstances, </w:t>
      </w:r>
      <w:r w:rsidR="00B9633F" w:rsidRPr="0026246C">
        <w:rPr>
          <w:lang w:val="en-GB"/>
        </w:rPr>
        <w:t xml:space="preserve">the </w:t>
      </w:r>
      <w:r w:rsidR="007A54D5" w:rsidRPr="0026246C">
        <w:rPr>
          <w:lang w:val="en-GB"/>
        </w:rPr>
        <w:t xml:space="preserve">failure to provide a power of attorney cannot be attributable to the alleged victim or </w:t>
      </w:r>
      <w:r w:rsidR="00B9633F" w:rsidRPr="0026246C">
        <w:rPr>
          <w:lang w:val="en-GB"/>
        </w:rPr>
        <w:t xml:space="preserve">to </w:t>
      </w:r>
      <w:r w:rsidR="007A54D5" w:rsidRPr="0026246C">
        <w:rPr>
          <w:lang w:val="en-GB"/>
        </w:rPr>
        <w:t xml:space="preserve">his relatives. The Committee further </w:t>
      </w:r>
      <w:r w:rsidR="00BF79E4" w:rsidRPr="00940396">
        <w:rPr>
          <w:lang w:val="en-GB"/>
        </w:rPr>
        <w:t>recalls</w:t>
      </w:r>
      <w:r w:rsidR="007A54D5" w:rsidRPr="0026246C">
        <w:rPr>
          <w:lang w:val="en-GB"/>
        </w:rPr>
        <w:t xml:space="preserve"> that</w:t>
      </w:r>
      <w:r w:rsidR="00E6554A" w:rsidRPr="00940396">
        <w:rPr>
          <w:lang w:val="en-GB"/>
        </w:rPr>
        <w:t>, w</w:t>
      </w:r>
      <w:r w:rsidR="00E6554A" w:rsidRPr="0026246C">
        <w:rPr>
          <w:lang w:val="en-GB"/>
        </w:rPr>
        <w:t>here it is impossible for the victim to authori</w:t>
      </w:r>
      <w:r w:rsidR="00E1038B">
        <w:rPr>
          <w:lang w:val="en-GB"/>
        </w:rPr>
        <w:t>z</w:t>
      </w:r>
      <w:r w:rsidR="00E6554A" w:rsidRPr="0026246C">
        <w:rPr>
          <w:lang w:val="en-GB"/>
        </w:rPr>
        <w:t>e the communication, the Commit</w:t>
      </w:r>
      <w:r w:rsidR="00C81926" w:rsidRPr="0026246C">
        <w:rPr>
          <w:lang w:val="en-GB"/>
        </w:rPr>
        <w:t xml:space="preserve">tee has considered </w:t>
      </w:r>
      <w:r w:rsidR="007A54D5" w:rsidRPr="0026246C">
        <w:rPr>
          <w:lang w:val="en-GB"/>
        </w:rPr>
        <w:t xml:space="preserve">a close personal relationship to the </w:t>
      </w:r>
      <w:r w:rsidR="00B9633F" w:rsidRPr="0026246C">
        <w:rPr>
          <w:lang w:val="en-GB"/>
        </w:rPr>
        <w:t xml:space="preserve">alleged </w:t>
      </w:r>
      <w:r w:rsidR="007A54D5" w:rsidRPr="0026246C">
        <w:rPr>
          <w:lang w:val="en-GB"/>
        </w:rPr>
        <w:t>victim, such as family ties, as a sufficient link to justify an author acting on behalf</w:t>
      </w:r>
      <w:r w:rsidR="00BF79E4" w:rsidRPr="0026246C">
        <w:rPr>
          <w:lang w:val="en-GB"/>
        </w:rPr>
        <w:t xml:space="preserve"> of the alleged victim</w:t>
      </w:r>
      <w:r w:rsidR="007A54D5" w:rsidRPr="0026246C">
        <w:rPr>
          <w:lang w:val="en-GB"/>
        </w:rPr>
        <w:t>.</w:t>
      </w:r>
      <w:r w:rsidR="007A54D5" w:rsidRPr="0026246C">
        <w:rPr>
          <w:rStyle w:val="FootnoteReference"/>
          <w:lang w:val="en-GB"/>
        </w:rPr>
        <w:footnoteReference w:id="20"/>
      </w:r>
      <w:r w:rsidR="007A54D5" w:rsidRPr="0026246C">
        <w:rPr>
          <w:lang w:val="en-GB"/>
        </w:rPr>
        <w:t xml:space="preserve"> In the present case, the communication was submitted on behalf of the alleged victim by his mother and </w:t>
      </w:r>
      <w:r w:rsidR="00B9633F" w:rsidRPr="0026246C">
        <w:rPr>
          <w:lang w:val="en-GB"/>
        </w:rPr>
        <w:t xml:space="preserve">his </w:t>
      </w:r>
      <w:r w:rsidR="007A54D5" w:rsidRPr="0026246C">
        <w:rPr>
          <w:lang w:val="en-GB"/>
        </w:rPr>
        <w:t>sister, who have presented a duly signed power of attorney for the counsel to represent them before the Committee. The Committee therefore considers that</w:t>
      </w:r>
      <w:r w:rsidR="00BF79E4" w:rsidRPr="00940396">
        <w:rPr>
          <w:lang w:val="en-GB"/>
        </w:rPr>
        <w:t xml:space="preserve"> the authors are justified by reason of close family connection in acting on behalf of Mr. Kovalev</w:t>
      </w:r>
      <w:r w:rsidR="005D65BE" w:rsidRPr="00402254">
        <w:rPr>
          <w:lang w:val="en-GB"/>
        </w:rPr>
        <w:t>. Accordingly, the Committee is not precluded by art</w:t>
      </w:r>
      <w:r w:rsidR="007A54D5" w:rsidRPr="0026246C">
        <w:rPr>
          <w:lang w:val="en-GB"/>
        </w:rPr>
        <w:t>icle 1 of the Optional Protocol</w:t>
      </w:r>
      <w:r w:rsidR="005D65BE" w:rsidRPr="00940396">
        <w:rPr>
          <w:lang w:val="en-GB"/>
        </w:rPr>
        <w:t xml:space="preserve"> from </w:t>
      </w:r>
      <w:r w:rsidR="005E5448" w:rsidRPr="00402254">
        <w:rPr>
          <w:lang w:val="en-GB"/>
        </w:rPr>
        <w:t>examining</w:t>
      </w:r>
      <w:r w:rsidR="005D65BE" w:rsidRPr="0026246C">
        <w:rPr>
          <w:lang w:val="en-GB"/>
        </w:rPr>
        <w:t xml:space="preserve"> the communication.</w:t>
      </w:r>
    </w:p>
    <w:p w:rsidR="003622DA" w:rsidRPr="00940396" w:rsidRDefault="00D477A0" w:rsidP="007A16FC">
      <w:pPr>
        <w:pStyle w:val="SingleTxtG"/>
        <w:rPr>
          <w:lang w:val="en-GB"/>
        </w:rPr>
      </w:pPr>
      <w:r w:rsidRPr="0026246C">
        <w:rPr>
          <w:lang w:val="en-GB"/>
        </w:rPr>
        <w:t>10</w:t>
      </w:r>
      <w:r w:rsidR="007A54D5" w:rsidRPr="0026246C">
        <w:rPr>
          <w:lang w:val="en-GB"/>
        </w:rPr>
        <w:t>.3</w:t>
      </w:r>
      <w:r w:rsidR="007A54D5" w:rsidRPr="0026246C">
        <w:rPr>
          <w:lang w:val="en-GB"/>
        </w:rPr>
        <w:tab/>
      </w:r>
      <w:r w:rsidR="003622DA" w:rsidRPr="0026246C">
        <w:rPr>
          <w:lang w:val="en-GB"/>
        </w:rPr>
        <w:t>The Committee has ascertained, as required under article 5, paragraph 2</w:t>
      </w:r>
      <w:r w:rsidR="00E1038B">
        <w:rPr>
          <w:lang w:val="en-GB"/>
        </w:rPr>
        <w:t xml:space="preserve"> </w:t>
      </w:r>
      <w:r w:rsidR="003622DA" w:rsidRPr="0026246C">
        <w:rPr>
          <w:lang w:val="en-GB"/>
        </w:rPr>
        <w:t>(a), of the Optional Protocol, that the same matter is not being examined under another procedure of international investigation or se</w:t>
      </w:r>
      <w:r w:rsidR="008806E5" w:rsidRPr="0026246C">
        <w:rPr>
          <w:lang w:val="en-GB"/>
        </w:rPr>
        <w:t>ttlement.</w:t>
      </w:r>
    </w:p>
    <w:p w:rsidR="00972414" w:rsidRPr="0026246C" w:rsidRDefault="00D477A0" w:rsidP="007A54D5">
      <w:pPr>
        <w:pStyle w:val="SingleTxtG"/>
        <w:rPr>
          <w:lang w:val="en-GB"/>
        </w:rPr>
      </w:pPr>
      <w:r w:rsidRPr="00402254">
        <w:rPr>
          <w:lang w:val="en-GB"/>
        </w:rPr>
        <w:t>10</w:t>
      </w:r>
      <w:r w:rsidR="00972414" w:rsidRPr="0026246C">
        <w:rPr>
          <w:lang w:val="en-GB"/>
        </w:rPr>
        <w:t>.</w:t>
      </w:r>
      <w:r w:rsidR="007A54D5" w:rsidRPr="00940396">
        <w:rPr>
          <w:lang w:val="en-GB"/>
        </w:rPr>
        <w:t>4</w:t>
      </w:r>
      <w:r w:rsidR="003F0C12" w:rsidRPr="0026246C">
        <w:rPr>
          <w:lang w:val="en-GB"/>
        </w:rPr>
        <w:tab/>
        <w:t>With regard to the requirement laid down in article 5, paragraph 2 (b), of the Optional Protocol, the Committee takes note of the State p</w:t>
      </w:r>
      <w:r w:rsidR="00B86E40" w:rsidRPr="0026246C">
        <w:rPr>
          <w:lang w:val="en-GB"/>
        </w:rPr>
        <w:t xml:space="preserve">arty’s argument </w:t>
      </w:r>
      <w:r w:rsidR="00B86E40" w:rsidRPr="0026246C">
        <w:rPr>
          <w:color w:val="000000"/>
          <w:lang w:val="en-GB" w:eastAsia="en-GB"/>
        </w:rPr>
        <w:t>that Mr</w:t>
      </w:r>
      <w:r w:rsidR="00E3683B" w:rsidRPr="00940396">
        <w:rPr>
          <w:color w:val="000000"/>
          <w:lang w:val="en-GB" w:eastAsia="en-GB"/>
        </w:rPr>
        <w:t>.</w:t>
      </w:r>
      <w:r w:rsidR="00B86E40" w:rsidRPr="0026246C">
        <w:rPr>
          <w:color w:val="000000"/>
          <w:lang w:val="en-GB" w:eastAsia="en-GB"/>
        </w:rPr>
        <w:t xml:space="preserve"> Kovalev ha</w:t>
      </w:r>
      <w:r w:rsidR="001E1AD7" w:rsidRPr="00940396">
        <w:rPr>
          <w:color w:val="000000"/>
          <w:lang w:val="en-GB" w:eastAsia="en-GB"/>
        </w:rPr>
        <w:t>d</w:t>
      </w:r>
      <w:r w:rsidR="00B86E40" w:rsidRPr="0026246C">
        <w:rPr>
          <w:color w:val="000000"/>
          <w:lang w:val="en-GB" w:eastAsia="en-GB"/>
        </w:rPr>
        <w:t xml:space="preserve"> not exhausted all domestic remedies at the time of submission of his communication in view of the fact that his applications for supervisory review and for presidential pardon</w:t>
      </w:r>
      <w:r w:rsidR="00E81CE3" w:rsidRPr="0026246C">
        <w:rPr>
          <w:color w:val="000000"/>
          <w:lang w:val="en-GB" w:eastAsia="en-GB"/>
        </w:rPr>
        <w:t xml:space="preserve"> were </w:t>
      </w:r>
      <w:r w:rsidR="00B86E40" w:rsidRPr="0026246C">
        <w:rPr>
          <w:color w:val="000000"/>
          <w:lang w:val="en-GB" w:eastAsia="en-GB"/>
        </w:rPr>
        <w:t xml:space="preserve">still pending before national authorities. </w:t>
      </w:r>
      <w:r w:rsidR="00AC0EBA" w:rsidRPr="0026246C">
        <w:rPr>
          <w:color w:val="000000"/>
          <w:lang w:val="en-GB" w:eastAsia="en-GB"/>
        </w:rPr>
        <w:t>In this regard</w:t>
      </w:r>
      <w:r w:rsidR="00954211" w:rsidRPr="0026246C">
        <w:rPr>
          <w:color w:val="000000"/>
          <w:lang w:val="en-GB" w:eastAsia="en-GB"/>
        </w:rPr>
        <w:t xml:space="preserve">, the </w:t>
      </w:r>
      <w:r w:rsidR="00954211" w:rsidRPr="0026246C">
        <w:rPr>
          <w:lang w:val="en-GB"/>
        </w:rPr>
        <w:t xml:space="preserve">Committee </w:t>
      </w:r>
      <w:r w:rsidR="003A5CC8" w:rsidRPr="00940396">
        <w:rPr>
          <w:lang w:val="en-GB"/>
        </w:rPr>
        <w:t xml:space="preserve">notes that </w:t>
      </w:r>
      <w:r w:rsidR="00072332" w:rsidRPr="0026246C">
        <w:rPr>
          <w:lang w:val="en-GB"/>
        </w:rPr>
        <w:t>Mr</w:t>
      </w:r>
      <w:r w:rsidR="00E3683B" w:rsidRPr="00940396">
        <w:rPr>
          <w:lang w:val="en-GB"/>
        </w:rPr>
        <w:t>.</w:t>
      </w:r>
      <w:r w:rsidR="00072332" w:rsidRPr="0026246C">
        <w:rPr>
          <w:lang w:val="en-GB"/>
        </w:rPr>
        <w:t xml:space="preserve"> Kovalev’s application for supervisory review </w:t>
      </w:r>
      <w:r w:rsidR="00FF19A0" w:rsidRPr="0026246C">
        <w:rPr>
          <w:lang w:val="en-GB"/>
        </w:rPr>
        <w:t xml:space="preserve">and presidential pardon were rejected </w:t>
      </w:r>
      <w:r w:rsidR="00072332" w:rsidRPr="0026246C">
        <w:rPr>
          <w:lang w:val="en-GB"/>
        </w:rPr>
        <w:t>on 27 February 2012</w:t>
      </w:r>
      <w:r w:rsidR="00F368C5" w:rsidRPr="0026246C">
        <w:rPr>
          <w:lang w:val="en-GB"/>
        </w:rPr>
        <w:t xml:space="preserve"> and 14 March 2012 </w:t>
      </w:r>
      <w:r w:rsidR="003A5CC8" w:rsidRPr="0026246C">
        <w:rPr>
          <w:lang w:val="en-GB"/>
        </w:rPr>
        <w:t>respectively</w:t>
      </w:r>
      <w:r w:rsidR="003A5CC8" w:rsidRPr="00940396">
        <w:rPr>
          <w:lang w:val="en-GB"/>
        </w:rPr>
        <w:t xml:space="preserve">, and </w:t>
      </w:r>
      <w:r w:rsidR="00B41609" w:rsidRPr="00402254">
        <w:rPr>
          <w:lang w:val="en-GB"/>
        </w:rPr>
        <w:t xml:space="preserve">reiterates </w:t>
      </w:r>
      <w:r w:rsidR="00B41609" w:rsidRPr="0026246C">
        <w:rPr>
          <w:lang w:val="en-GB"/>
        </w:rPr>
        <w:t>its previous jurisprudence,</w:t>
      </w:r>
      <w:r w:rsidR="007C1EAC" w:rsidRPr="0026246C">
        <w:rPr>
          <w:lang w:val="en-GB"/>
        </w:rPr>
        <w:t xml:space="preserve"> according to which</w:t>
      </w:r>
      <w:r w:rsidR="00B41609" w:rsidRPr="0026246C">
        <w:rPr>
          <w:lang w:val="en-GB"/>
        </w:rPr>
        <w:t xml:space="preserve"> a supervisory review is a </w:t>
      </w:r>
      <w:r w:rsidR="00F1477A" w:rsidRPr="0026246C">
        <w:rPr>
          <w:lang w:val="en-GB"/>
        </w:rPr>
        <w:t>discretionary review process</w:t>
      </w:r>
      <w:r w:rsidR="00A413B1" w:rsidRPr="0026246C">
        <w:rPr>
          <w:vertAlign w:val="superscript"/>
          <w:lang w:val="en-GB"/>
        </w:rPr>
        <w:footnoteReference w:id="21"/>
      </w:r>
      <w:r w:rsidR="00A413B1" w:rsidRPr="0026246C">
        <w:rPr>
          <w:lang w:val="en-GB"/>
        </w:rPr>
        <w:t xml:space="preserve"> </w:t>
      </w:r>
      <w:r w:rsidR="00A413B1" w:rsidRPr="00940396">
        <w:rPr>
          <w:lang w:val="en-GB"/>
        </w:rPr>
        <w:t>and</w:t>
      </w:r>
      <w:r w:rsidR="00CF1A9C" w:rsidRPr="00402254">
        <w:rPr>
          <w:lang w:val="en-GB"/>
        </w:rPr>
        <w:t xml:space="preserve"> </w:t>
      </w:r>
      <w:r w:rsidR="00CF1A9C" w:rsidRPr="0026246C">
        <w:rPr>
          <w:lang w:val="en-GB"/>
        </w:rPr>
        <w:t>presidential pardons are an extraordinary remedy</w:t>
      </w:r>
      <w:r w:rsidR="00F92F8A" w:rsidRPr="00940396">
        <w:rPr>
          <w:rStyle w:val="FootnoteReference"/>
          <w:lang w:val="en-GB"/>
        </w:rPr>
        <w:footnoteReference w:id="22"/>
      </w:r>
      <w:r w:rsidR="0020698E" w:rsidRPr="00402254">
        <w:rPr>
          <w:rFonts w:ascii="Verdana" w:hAnsi="Verdana"/>
          <w:lang w:val="en-GB"/>
        </w:rPr>
        <w:t xml:space="preserve"> </w:t>
      </w:r>
      <w:r w:rsidR="00CF1A9C" w:rsidRPr="0026246C">
        <w:rPr>
          <w:lang w:val="en-GB"/>
        </w:rPr>
        <w:t xml:space="preserve">and as such </w:t>
      </w:r>
      <w:r w:rsidR="00F92F8A" w:rsidRPr="00940396">
        <w:rPr>
          <w:lang w:val="en-GB"/>
        </w:rPr>
        <w:t xml:space="preserve">none of them </w:t>
      </w:r>
      <w:r w:rsidR="00CF1A9C" w:rsidRPr="0026246C">
        <w:rPr>
          <w:lang w:val="en-GB"/>
        </w:rPr>
        <w:t>constitute an effective remedy for the purposes of article 5, paragraph 2 (b), of the Optional Protocol</w:t>
      </w:r>
      <w:r w:rsidR="00CF1A9C" w:rsidRPr="00940396">
        <w:rPr>
          <w:lang w:val="en-GB"/>
        </w:rPr>
        <w:t>.</w:t>
      </w:r>
      <w:r w:rsidR="00A413B1" w:rsidRPr="00402254">
        <w:rPr>
          <w:rFonts w:ascii="Verdana" w:hAnsi="Verdana"/>
          <w:lang w:val="en-GB"/>
        </w:rPr>
        <w:t xml:space="preserve"> </w:t>
      </w:r>
      <w:r w:rsidR="00F92F8A" w:rsidRPr="0026246C">
        <w:rPr>
          <w:lang w:val="en-GB"/>
        </w:rPr>
        <w:t>The</w:t>
      </w:r>
      <w:r w:rsidR="00D45588" w:rsidRPr="0026246C">
        <w:rPr>
          <w:lang w:val="en-GB"/>
        </w:rPr>
        <w:t>refore, the</w:t>
      </w:r>
      <w:r w:rsidR="00F92F8A" w:rsidRPr="0026246C">
        <w:rPr>
          <w:rFonts w:ascii="Verdana" w:hAnsi="Verdana"/>
          <w:lang w:val="en-GB"/>
        </w:rPr>
        <w:t xml:space="preserve"> </w:t>
      </w:r>
      <w:r w:rsidR="00B41609" w:rsidRPr="0026246C">
        <w:rPr>
          <w:lang w:val="en-GB"/>
        </w:rPr>
        <w:t xml:space="preserve">Committee </w:t>
      </w:r>
      <w:r w:rsidR="00D45588" w:rsidRPr="0026246C">
        <w:rPr>
          <w:lang w:val="en-GB"/>
        </w:rPr>
        <w:t xml:space="preserve">is not precluded by </w:t>
      </w:r>
      <w:r w:rsidR="00B41609" w:rsidRPr="0026246C">
        <w:rPr>
          <w:lang w:val="en-GB"/>
        </w:rPr>
        <w:t>article 5, paragraph 2 (b), of the Optional Protocol</w:t>
      </w:r>
      <w:r w:rsidR="00D45588" w:rsidRPr="0026246C">
        <w:rPr>
          <w:lang w:val="en-GB"/>
        </w:rPr>
        <w:t xml:space="preserve">, </w:t>
      </w:r>
      <w:r w:rsidR="00B41609" w:rsidRPr="0026246C">
        <w:rPr>
          <w:lang w:val="en-GB"/>
        </w:rPr>
        <w:t>from considering the communication.</w:t>
      </w:r>
    </w:p>
    <w:p w:rsidR="00972B06" w:rsidRPr="0026246C" w:rsidRDefault="00D477A0" w:rsidP="00972B06">
      <w:pPr>
        <w:pStyle w:val="SingleTxtG"/>
        <w:rPr>
          <w:lang w:val="en-GB"/>
        </w:rPr>
      </w:pPr>
      <w:r w:rsidRPr="0026246C">
        <w:rPr>
          <w:lang w:val="en-GB"/>
        </w:rPr>
        <w:t>10</w:t>
      </w:r>
      <w:r w:rsidR="00972414" w:rsidRPr="0026246C">
        <w:rPr>
          <w:lang w:val="en-GB"/>
        </w:rPr>
        <w:t>.5</w:t>
      </w:r>
      <w:r w:rsidR="00F92F8A" w:rsidRPr="0026246C">
        <w:rPr>
          <w:lang w:val="en-GB"/>
        </w:rPr>
        <w:tab/>
      </w:r>
      <w:r w:rsidR="00972B06" w:rsidRPr="0026246C">
        <w:rPr>
          <w:lang w:val="en-GB"/>
        </w:rPr>
        <w:t>In the absence of any information or evidence in support of the authors’ claim that Mr</w:t>
      </w:r>
      <w:r w:rsidR="00E3683B" w:rsidRPr="0026246C">
        <w:rPr>
          <w:lang w:val="en-GB"/>
        </w:rPr>
        <w:t>.</w:t>
      </w:r>
      <w:r w:rsidR="00972B06" w:rsidRPr="0026246C">
        <w:rPr>
          <w:lang w:val="en-GB"/>
        </w:rPr>
        <w:t xml:space="preserve"> Kovalev’s rights under article 9, paragraph 1, of the Covenant have been violated, the Committee </w:t>
      </w:r>
      <w:r w:rsidR="004F4A3F" w:rsidRPr="00940396">
        <w:rPr>
          <w:lang w:val="en-GB"/>
        </w:rPr>
        <w:t>finds</w:t>
      </w:r>
      <w:r w:rsidR="00972B06" w:rsidRPr="0026246C">
        <w:rPr>
          <w:lang w:val="en-GB"/>
        </w:rPr>
        <w:t xml:space="preserve"> this claim </w:t>
      </w:r>
      <w:r w:rsidR="004F4A3F" w:rsidRPr="0026246C">
        <w:rPr>
          <w:lang w:val="en-GB"/>
        </w:rPr>
        <w:t>in</w:t>
      </w:r>
      <w:r w:rsidR="00972B06" w:rsidRPr="0026246C">
        <w:rPr>
          <w:lang w:val="en-GB"/>
        </w:rPr>
        <w:t>sufficiently substantiated</w:t>
      </w:r>
      <w:r w:rsidR="00972B06" w:rsidRPr="00940396">
        <w:rPr>
          <w:lang w:val="en-GB"/>
        </w:rPr>
        <w:t>,</w:t>
      </w:r>
      <w:r w:rsidR="00972B06" w:rsidRPr="0026246C">
        <w:rPr>
          <w:lang w:val="en-GB"/>
        </w:rPr>
        <w:t xml:space="preserve"> for purposes of admissibility, and </w:t>
      </w:r>
      <w:r w:rsidR="004F4A3F" w:rsidRPr="00940396">
        <w:rPr>
          <w:lang w:val="en-GB"/>
        </w:rPr>
        <w:t xml:space="preserve">declares it </w:t>
      </w:r>
      <w:r w:rsidR="00972B06" w:rsidRPr="0026246C">
        <w:rPr>
          <w:lang w:val="en-GB"/>
        </w:rPr>
        <w:t>inadmissible under article 2 of the Optional Protocol.</w:t>
      </w:r>
    </w:p>
    <w:p w:rsidR="003E2B03" w:rsidRPr="00940396" w:rsidRDefault="00D477A0" w:rsidP="003E2B03">
      <w:pPr>
        <w:pStyle w:val="SingleTxtG"/>
        <w:rPr>
          <w:lang w:val="en-GB"/>
        </w:rPr>
      </w:pPr>
      <w:r w:rsidRPr="0026246C">
        <w:rPr>
          <w:lang w:val="en-GB"/>
        </w:rPr>
        <w:t>10</w:t>
      </w:r>
      <w:r w:rsidR="00972414" w:rsidRPr="0026246C">
        <w:rPr>
          <w:lang w:val="en-GB"/>
        </w:rPr>
        <w:t>.6</w:t>
      </w:r>
      <w:r w:rsidR="003E2B03" w:rsidRPr="0026246C">
        <w:rPr>
          <w:lang w:val="en-GB"/>
        </w:rPr>
        <w:tab/>
        <w:t>The Commit</w:t>
      </w:r>
      <w:r w:rsidR="00DF3B37" w:rsidRPr="0026246C">
        <w:rPr>
          <w:lang w:val="en-GB"/>
        </w:rPr>
        <w:t xml:space="preserve">tee considers that the </w:t>
      </w:r>
      <w:r w:rsidR="003E2B03" w:rsidRPr="0026246C">
        <w:rPr>
          <w:lang w:val="en-GB"/>
        </w:rPr>
        <w:t xml:space="preserve">remaining allegations </w:t>
      </w:r>
      <w:r w:rsidR="00DF3B37" w:rsidRPr="00940396">
        <w:rPr>
          <w:lang w:val="en-GB"/>
        </w:rPr>
        <w:t xml:space="preserve">raising issues </w:t>
      </w:r>
      <w:r w:rsidR="003E2B03" w:rsidRPr="0026246C">
        <w:rPr>
          <w:lang w:val="en-GB"/>
        </w:rPr>
        <w:t>under article 6, paragraphs 1 and 2; article 7, article 9, paragrap</w:t>
      </w:r>
      <w:r w:rsidR="003E2B03" w:rsidRPr="00940396">
        <w:rPr>
          <w:lang w:val="en-GB"/>
        </w:rPr>
        <w:t xml:space="preserve">h </w:t>
      </w:r>
      <w:r w:rsidR="003E2B03" w:rsidRPr="0026246C">
        <w:rPr>
          <w:lang w:val="en-GB"/>
        </w:rPr>
        <w:t>3; and article 14, paragraphs 1, 2, 3</w:t>
      </w:r>
      <w:r w:rsidR="002E0E25">
        <w:rPr>
          <w:lang w:val="en-GB"/>
        </w:rPr>
        <w:t xml:space="preserve"> </w:t>
      </w:r>
      <w:r w:rsidR="003E2B03" w:rsidRPr="0026246C">
        <w:rPr>
          <w:lang w:val="en-GB"/>
        </w:rPr>
        <w:t>(b)</w:t>
      </w:r>
      <w:r w:rsidR="002E0E25">
        <w:rPr>
          <w:lang w:val="en-GB"/>
        </w:rPr>
        <w:t xml:space="preserve"> </w:t>
      </w:r>
      <w:r w:rsidR="002E0E25">
        <w:rPr>
          <w:lang w:val="en-GB"/>
        </w:rPr>
        <w:lastRenderedPageBreak/>
        <w:t>and</w:t>
      </w:r>
      <w:r w:rsidR="003E2B03" w:rsidRPr="0026246C">
        <w:rPr>
          <w:lang w:val="en-GB"/>
        </w:rPr>
        <w:t xml:space="preserve"> (g)</w:t>
      </w:r>
      <w:r w:rsidR="002E0E25">
        <w:rPr>
          <w:lang w:val="en-GB"/>
        </w:rPr>
        <w:t>,</w:t>
      </w:r>
      <w:r w:rsidR="003E2B03" w:rsidRPr="0026246C">
        <w:rPr>
          <w:lang w:val="en-GB"/>
        </w:rPr>
        <w:t xml:space="preserve"> and 5</w:t>
      </w:r>
      <w:r w:rsidR="003E2B03" w:rsidRPr="00940396">
        <w:rPr>
          <w:lang w:val="en-GB"/>
        </w:rPr>
        <w:t>,</w:t>
      </w:r>
      <w:r w:rsidR="003E2B03" w:rsidRPr="0026246C">
        <w:rPr>
          <w:lang w:val="en-GB"/>
        </w:rPr>
        <w:t xml:space="preserve"> of the Covenant</w:t>
      </w:r>
      <w:r w:rsidR="00DF3B37" w:rsidRPr="00940396">
        <w:rPr>
          <w:lang w:val="en-GB"/>
        </w:rPr>
        <w:t xml:space="preserve"> in respect of </w:t>
      </w:r>
      <w:r w:rsidR="00DF3B37" w:rsidRPr="00402254">
        <w:rPr>
          <w:lang w:val="en-GB"/>
        </w:rPr>
        <w:t xml:space="preserve">Mr. Kovalev, and under articles 7 and </w:t>
      </w:r>
      <w:smartTag w:uri="urn:schemas-microsoft-com:office:smarttags" w:element="metricconverter">
        <w:smartTagPr>
          <w:attr w:name="ProductID" w:val="18 in"/>
        </w:smartTagPr>
        <w:r w:rsidR="00DF3B37" w:rsidRPr="00402254">
          <w:rPr>
            <w:lang w:val="en-GB"/>
          </w:rPr>
          <w:t>18 in</w:t>
        </w:r>
      </w:smartTag>
      <w:r w:rsidR="00DF3B37" w:rsidRPr="00402254">
        <w:rPr>
          <w:lang w:val="en-GB"/>
        </w:rPr>
        <w:t xml:space="preserve"> respect of the authors themselves, </w:t>
      </w:r>
      <w:r w:rsidR="003E2B03" w:rsidRPr="0026246C">
        <w:rPr>
          <w:lang w:val="en-GB"/>
        </w:rPr>
        <w:t>have been sufficiently substantiated, for purposes of admissibility, and proceeds to their examination on the merits.</w:t>
      </w:r>
    </w:p>
    <w:p w:rsidR="003E2B03" w:rsidRPr="00402254" w:rsidRDefault="003E2B03" w:rsidP="003E2B03">
      <w:pPr>
        <w:pStyle w:val="H4G"/>
      </w:pPr>
      <w:r w:rsidRPr="00402254">
        <w:tab/>
      </w:r>
      <w:r w:rsidRPr="00402254">
        <w:tab/>
        <w:t>Consideration of the merits</w:t>
      </w:r>
    </w:p>
    <w:p w:rsidR="003E2B03" w:rsidRPr="0026246C" w:rsidRDefault="00D477A0" w:rsidP="003E2B03">
      <w:pPr>
        <w:pStyle w:val="SingleTxtG"/>
        <w:rPr>
          <w:lang w:val="en-GB"/>
        </w:rPr>
      </w:pPr>
      <w:r w:rsidRPr="0026246C">
        <w:rPr>
          <w:lang w:val="en-GB"/>
        </w:rPr>
        <w:t>11</w:t>
      </w:r>
      <w:r w:rsidR="003E2B03" w:rsidRPr="0026246C">
        <w:rPr>
          <w:lang w:val="en-GB"/>
        </w:rPr>
        <w:t>.1</w:t>
      </w:r>
      <w:r w:rsidR="003E2B03" w:rsidRPr="0026246C">
        <w:rPr>
          <w:lang w:val="en-GB"/>
        </w:rPr>
        <w:tab/>
        <w:t>The Human Rights Committee has considered this communication in the light of all the information received, in accordance with article 5, paragraph 1, of the Optional Protocol.</w:t>
      </w:r>
    </w:p>
    <w:p w:rsidR="00FA358A" w:rsidRPr="00940396" w:rsidRDefault="00D477A0" w:rsidP="00805DD2">
      <w:pPr>
        <w:pStyle w:val="SingleTxtG"/>
        <w:rPr>
          <w:lang w:val="en-GB"/>
        </w:rPr>
      </w:pPr>
      <w:r w:rsidRPr="0026246C">
        <w:rPr>
          <w:lang w:val="en-GB"/>
        </w:rPr>
        <w:t>11</w:t>
      </w:r>
      <w:r w:rsidR="006E5034" w:rsidRPr="0026246C">
        <w:rPr>
          <w:lang w:val="en-GB"/>
        </w:rPr>
        <w:t>.2</w:t>
      </w:r>
      <w:r w:rsidR="006E5034" w:rsidRPr="0026246C">
        <w:rPr>
          <w:lang w:val="en-GB"/>
        </w:rPr>
        <w:tab/>
      </w:r>
      <w:r w:rsidR="00573284" w:rsidRPr="0026246C">
        <w:rPr>
          <w:lang w:val="en-GB"/>
        </w:rPr>
        <w:t xml:space="preserve">The Committee notes </w:t>
      </w:r>
      <w:r w:rsidR="00035FB8" w:rsidRPr="0026246C">
        <w:rPr>
          <w:lang w:val="en-GB"/>
        </w:rPr>
        <w:t>the author</w:t>
      </w:r>
      <w:r w:rsidR="00573284" w:rsidRPr="0026246C">
        <w:rPr>
          <w:lang w:val="en-GB"/>
        </w:rPr>
        <w:t>s</w:t>
      </w:r>
      <w:r w:rsidR="00035FB8" w:rsidRPr="00940396">
        <w:rPr>
          <w:lang w:val="en-GB"/>
        </w:rPr>
        <w:t>’</w:t>
      </w:r>
      <w:r w:rsidR="00573284" w:rsidRPr="0026246C">
        <w:rPr>
          <w:lang w:val="en-GB"/>
        </w:rPr>
        <w:t xml:space="preserve"> claim</w:t>
      </w:r>
      <w:r w:rsidR="006A482A" w:rsidRPr="00940396">
        <w:rPr>
          <w:lang w:val="en-GB"/>
        </w:rPr>
        <w:t>s under article</w:t>
      </w:r>
      <w:r w:rsidR="008D1049" w:rsidRPr="00402254">
        <w:rPr>
          <w:lang w:val="en-GB"/>
        </w:rPr>
        <w:t>s</w:t>
      </w:r>
      <w:r w:rsidR="006A482A" w:rsidRPr="0026246C">
        <w:rPr>
          <w:lang w:val="en-GB"/>
        </w:rPr>
        <w:t xml:space="preserve"> 7 and 14, paragraph 3</w:t>
      </w:r>
      <w:r w:rsidR="002E0E25">
        <w:rPr>
          <w:lang w:val="en-GB"/>
        </w:rPr>
        <w:t xml:space="preserve"> </w:t>
      </w:r>
      <w:r w:rsidR="006A482A" w:rsidRPr="00940396">
        <w:rPr>
          <w:lang w:val="en-GB"/>
        </w:rPr>
        <w:t>(g)</w:t>
      </w:r>
      <w:r w:rsidR="00A447A7" w:rsidRPr="00402254">
        <w:rPr>
          <w:lang w:val="en-GB"/>
        </w:rPr>
        <w:t>, of the Covenant</w:t>
      </w:r>
      <w:r w:rsidR="00573284" w:rsidRPr="0026246C">
        <w:rPr>
          <w:lang w:val="en-GB"/>
        </w:rPr>
        <w:t xml:space="preserve"> that</w:t>
      </w:r>
      <w:r w:rsidR="00035FB8" w:rsidRPr="00940396">
        <w:rPr>
          <w:lang w:val="en-GB"/>
        </w:rPr>
        <w:t xml:space="preserve"> Mr</w:t>
      </w:r>
      <w:r w:rsidR="00E3683B" w:rsidRPr="00402254">
        <w:rPr>
          <w:lang w:val="en-GB"/>
        </w:rPr>
        <w:t>.</w:t>
      </w:r>
      <w:r w:rsidR="00035FB8" w:rsidRPr="0026246C">
        <w:rPr>
          <w:lang w:val="en-GB"/>
        </w:rPr>
        <w:t xml:space="preserve"> Kovalev </w:t>
      </w:r>
      <w:r w:rsidR="000F6349" w:rsidRPr="0026246C">
        <w:rPr>
          <w:lang w:val="en-GB"/>
        </w:rPr>
        <w:t xml:space="preserve">was subjected to physical and psychological pressure with the purpose </w:t>
      </w:r>
      <w:r w:rsidR="002E0E25">
        <w:rPr>
          <w:rStyle w:val="apple-converted-space"/>
          <w:color w:val="000000"/>
          <w:lang w:val="en-GB"/>
        </w:rPr>
        <w:t>of</w:t>
      </w:r>
      <w:r w:rsidR="002E0E25" w:rsidRPr="0026246C">
        <w:rPr>
          <w:rStyle w:val="apple-converted-space"/>
          <w:color w:val="000000"/>
          <w:lang w:val="en-GB"/>
        </w:rPr>
        <w:t xml:space="preserve"> </w:t>
      </w:r>
      <w:r w:rsidR="001930A9" w:rsidRPr="0026246C">
        <w:rPr>
          <w:rStyle w:val="apple-converted-space"/>
          <w:color w:val="000000"/>
          <w:lang w:val="en-GB"/>
        </w:rPr>
        <w:t>elicit</w:t>
      </w:r>
      <w:r w:rsidR="002E0E25">
        <w:rPr>
          <w:rStyle w:val="apple-converted-space"/>
          <w:color w:val="000000"/>
          <w:lang w:val="en-GB"/>
        </w:rPr>
        <w:t>ing</w:t>
      </w:r>
      <w:r w:rsidR="001930A9" w:rsidRPr="0026246C">
        <w:rPr>
          <w:rStyle w:val="apple-converted-space"/>
          <w:color w:val="000000"/>
          <w:lang w:val="en-GB"/>
        </w:rPr>
        <w:t xml:space="preserve"> a confession of guilt</w:t>
      </w:r>
      <w:r w:rsidR="00A447A7" w:rsidRPr="00940396">
        <w:rPr>
          <w:lang w:val="en-GB"/>
        </w:rPr>
        <w:t xml:space="preserve"> and</w:t>
      </w:r>
      <w:r w:rsidR="002D3C37" w:rsidRPr="00402254">
        <w:rPr>
          <w:lang w:val="en-GB"/>
        </w:rPr>
        <w:t xml:space="preserve"> </w:t>
      </w:r>
      <w:r w:rsidR="00DA6482" w:rsidRPr="0026246C">
        <w:rPr>
          <w:lang w:val="en-GB"/>
        </w:rPr>
        <w:t>that</w:t>
      </w:r>
      <w:r w:rsidR="00A447A7" w:rsidRPr="0026246C">
        <w:rPr>
          <w:lang w:val="en-GB"/>
        </w:rPr>
        <w:t>,</w:t>
      </w:r>
      <w:r w:rsidR="00DA6482" w:rsidRPr="0026246C">
        <w:rPr>
          <w:lang w:val="en-GB"/>
        </w:rPr>
        <w:t xml:space="preserve"> </w:t>
      </w:r>
      <w:r w:rsidR="00185E3A" w:rsidRPr="0026246C">
        <w:rPr>
          <w:lang w:val="en-GB"/>
        </w:rPr>
        <w:t xml:space="preserve">although </w:t>
      </w:r>
      <w:r w:rsidR="00DA6482" w:rsidRPr="0026246C">
        <w:rPr>
          <w:lang w:val="en-GB"/>
        </w:rPr>
        <w:t xml:space="preserve">he retracted </w:t>
      </w:r>
      <w:r w:rsidR="00EB263A" w:rsidRPr="0026246C">
        <w:rPr>
          <w:lang w:val="en-GB"/>
        </w:rPr>
        <w:t xml:space="preserve">his </w:t>
      </w:r>
      <w:r w:rsidR="000F6349" w:rsidRPr="0026246C">
        <w:rPr>
          <w:lang w:val="en-GB"/>
        </w:rPr>
        <w:t>self-incriminating statements</w:t>
      </w:r>
      <w:r w:rsidR="00F368C5" w:rsidRPr="00940396">
        <w:rPr>
          <w:lang w:val="en-GB"/>
        </w:rPr>
        <w:t xml:space="preserve"> during </w:t>
      </w:r>
      <w:r w:rsidR="00EB263A" w:rsidRPr="00402254">
        <w:rPr>
          <w:lang w:val="en-GB"/>
        </w:rPr>
        <w:t>court proceedings</w:t>
      </w:r>
      <w:r w:rsidR="00A447A7" w:rsidRPr="0026246C">
        <w:rPr>
          <w:lang w:val="en-GB"/>
        </w:rPr>
        <w:t>,</w:t>
      </w:r>
      <w:r w:rsidR="00EB263A" w:rsidRPr="0026246C">
        <w:rPr>
          <w:lang w:val="en-GB"/>
        </w:rPr>
        <w:t xml:space="preserve"> his confession </w:t>
      </w:r>
      <w:r w:rsidR="000F6349" w:rsidRPr="0026246C">
        <w:rPr>
          <w:lang w:val="en-GB"/>
        </w:rPr>
        <w:t xml:space="preserve">served as </w:t>
      </w:r>
      <w:r w:rsidR="00302BED" w:rsidRPr="00940396">
        <w:rPr>
          <w:lang w:val="en-GB"/>
        </w:rPr>
        <w:t xml:space="preserve">a </w:t>
      </w:r>
      <w:r w:rsidR="000F6349" w:rsidRPr="0026246C">
        <w:rPr>
          <w:lang w:val="en-GB"/>
        </w:rPr>
        <w:t>basis for his conviction</w:t>
      </w:r>
      <w:r w:rsidR="00A447A7" w:rsidRPr="00940396">
        <w:rPr>
          <w:lang w:val="en-GB"/>
        </w:rPr>
        <w:t xml:space="preserve">. </w:t>
      </w:r>
      <w:r w:rsidR="006B5D25" w:rsidRPr="00940396">
        <w:rPr>
          <w:lang w:val="en-GB"/>
        </w:rPr>
        <w:t>In this regard, t</w:t>
      </w:r>
      <w:r w:rsidR="00573284" w:rsidRPr="0026246C">
        <w:rPr>
          <w:lang w:val="en-GB"/>
        </w:rPr>
        <w:t>he Committee recalls that once a complaint about ill-treatment contrary to article 7 has been filed, a State party must investigate it promptly and impartially</w:t>
      </w:r>
      <w:r w:rsidR="00573284" w:rsidRPr="00940396">
        <w:rPr>
          <w:lang w:val="en-GB"/>
        </w:rPr>
        <w:t>.</w:t>
      </w:r>
      <w:r w:rsidR="00573284" w:rsidRPr="00402254">
        <w:rPr>
          <w:rStyle w:val="FootnoteReference"/>
          <w:lang w:val="en-GB"/>
        </w:rPr>
        <w:footnoteReference w:id="23"/>
      </w:r>
      <w:r w:rsidR="00BC51CD" w:rsidRPr="0026246C">
        <w:rPr>
          <w:lang w:val="en-GB"/>
        </w:rPr>
        <w:t xml:space="preserve"> </w:t>
      </w:r>
      <w:r w:rsidR="006A482A" w:rsidRPr="0026246C">
        <w:rPr>
          <w:lang w:val="en-GB"/>
        </w:rPr>
        <w:t>It further recalls that the safeguard laid down in article 14, paragraph 3 (g), of the Covenant must be understood in terms of the absence of any direct or indirect physical or undue psychological pressure from the investigating authorities on the accused, with a view to obtaining a confession of guilt</w:t>
      </w:r>
      <w:r w:rsidR="006A482A" w:rsidRPr="00940396">
        <w:rPr>
          <w:lang w:val="en-GB"/>
        </w:rPr>
        <w:t>.</w:t>
      </w:r>
      <w:r w:rsidR="00AB05C7" w:rsidRPr="00402254">
        <w:rPr>
          <w:rStyle w:val="FootnoteReference"/>
          <w:lang w:val="en-GB"/>
        </w:rPr>
        <w:footnoteReference w:id="24"/>
      </w:r>
      <w:r w:rsidR="006A482A" w:rsidRPr="0026246C">
        <w:rPr>
          <w:lang w:val="en-GB"/>
        </w:rPr>
        <w:t xml:space="preserve"> </w:t>
      </w:r>
      <w:r w:rsidR="00573284" w:rsidRPr="0026246C">
        <w:rPr>
          <w:lang w:val="en-GB"/>
        </w:rPr>
        <w:t>A</w:t>
      </w:r>
      <w:r w:rsidR="00650B75" w:rsidRPr="00940396">
        <w:rPr>
          <w:lang w:val="en-GB"/>
        </w:rPr>
        <w:t>s it transpires fr</w:t>
      </w:r>
      <w:r w:rsidR="00650B75" w:rsidRPr="00402254">
        <w:rPr>
          <w:lang w:val="en-GB"/>
        </w:rPr>
        <w:t xml:space="preserve">om the decision of </w:t>
      </w:r>
      <w:r w:rsidR="00AC5CD1" w:rsidRPr="0026246C">
        <w:rPr>
          <w:lang w:val="en-GB"/>
        </w:rPr>
        <w:t xml:space="preserve">30 November 2011, </w:t>
      </w:r>
      <w:r w:rsidR="00F7245B" w:rsidRPr="0026246C">
        <w:rPr>
          <w:lang w:val="en-GB"/>
        </w:rPr>
        <w:t>the Supreme Court considered that Mr</w:t>
      </w:r>
      <w:r w:rsidR="00E3683B" w:rsidRPr="0026246C">
        <w:rPr>
          <w:lang w:val="en-GB"/>
        </w:rPr>
        <w:t>.</w:t>
      </w:r>
      <w:r w:rsidR="00F7245B" w:rsidRPr="0026246C">
        <w:rPr>
          <w:lang w:val="en-GB"/>
        </w:rPr>
        <w:t xml:space="preserve"> Kovalev changed his statements in order to mitigate his </w:t>
      </w:r>
      <w:r w:rsidR="00594C75" w:rsidRPr="0026246C">
        <w:rPr>
          <w:lang w:val="en-GB"/>
        </w:rPr>
        <w:t>punishment</w:t>
      </w:r>
      <w:r w:rsidR="00F431D4" w:rsidRPr="0026246C">
        <w:rPr>
          <w:lang w:val="en-GB"/>
        </w:rPr>
        <w:t xml:space="preserve">, stating </w:t>
      </w:r>
      <w:r w:rsidR="00F732C8" w:rsidRPr="0026246C">
        <w:rPr>
          <w:lang w:val="en-GB"/>
        </w:rPr>
        <w:t xml:space="preserve">that </w:t>
      </w:r>
      <w:r w:rsidR="00573284" w:rsidRPr="0026246C">
        <w:rPr>
          <w:lang w:val="en-GB"/>
        </w:rPr>
        <w:t xml:space="preserve">the </w:t>
      </w:r>
      <w:r w:rsidR="00C13189" w:rsidRPr="00940396">
        <w:rPr>
          <w:lang w:val="en-GB"/>
        </w:rPr>
        <w:t xml:space="preserve">confessions of the accused </w:t>
      </w:r>
      <w:r w:rsidR="00ED6986">
        <w:rPr>
          <w:lang w:val="en-GB"/>
        </w:rPr>
        <w:t>and</w:t>
      </w:r>
      <w:r w:rsidR="00C13189" w:rsidRPr="00940396">
        <w:rPr>
          <w:lang w:val="en-GB"/>
        </w:rPr>
        <w:t xml:space="preserve"> other evidence were obtained </w:t>
      </w:r>
      <w:r w:rsidR="00C13189" w:rsidRPr="00402254">
        <w:rPr>
          <w:lang w:val="en-GB"/>
        </w:rPr>
        <w:t xml:space="preserve">in strict compliance with the criminal procedure norms and were </w:t>
      </w:r>
      <w:r w:rsidR="00660FAD" w:rsidRPr="0026246C">
        <w:rPr>
          <w:lang w:val="en-GB"/>
        </w:rPr>
        <w:t xml:space="preserve">thus admissible as evidence. </w:t>
      </w:r>
      <w:r w:rsidR="00872901" w:rsidRPr="0026246C">
        <w:rPr>
          <w:lang w:val="en-GB"/>
        </w:rPr>
        <w:t xml:space="preserve">However, </w:t>
      </w:r>
      <w:r w:rsidR="007D48F5" w:rsidRPr="0026246C">
        <w:rPr>
          <w:lang w:val="en-GB"/>
        </w:rPr>
        <w:t xml:space="preserve">the State party has not </w:t>
      </w:r>
      <w:r w:rsidR="00DD063F" w:rsidRPr="0026246C">
        <w:rPr>
          <w:lang w:val="en-GB"/>
        </w:rPr>
        <w:t xml:space="preserve">presented any </w:t>
      </w:r>
      <w:r w:rsidR="00C00F0A" w:rsidRPr="0026246C">
        <w:rPr>
          <w:lang w:val="en-GB"/>
        </w:rPr>
        <w:t xml:space="preserve">information to demonstrate that it conducted any </w:t>
      </w:r>
      <w:r w:rsidR="00C00F0A" w:rsidRPr="00940396">
        <w:rPr>
          <w:lang w:val="en-GB"/>
        </w:rPr>
        <w:t>investigation into these allega</w:t>
      </w:r>
      <w:r w:rsidR="00C00F0A" w:rsidRPr="00402254">
        <w:rPr>
          <w:lang w:val="en-GB"/>
        </w:rPr>
        <w:t>tions</w:t>
      </w:r>
      <w:r w:rsidR="00C00F0A" w:rsidRPr="0026246C">
        <w:rPr>
          <w:lang w:val="en-GB"/>
        </w:rPr>
        <w:t>.</w:t>
      </w:r>
      <w:r w:rsidR="00886A64" w:rsidRPr="00940396">
        <w:rPr>
          <w:lang w:val="en-GB"/>
        </w:rPr>
        <w:t xml:space="preserve"> </w:t>
      </w:r>
      <w:r w:rsidR="007D48F5" w:rsidRPr="0026246C">
        <w:rPr>
          <w:lang w:val="en-GB"/>
        </w:rPr>
        <w:t>In these circumstances, due weight must be given to the authors</w:t>
      </w:r>
      <w:r w:rsidR="007D48F5" w:rsidRPr="00940396">
        <w:rPr>
          <w:lang w:val="en-GB"/>
        </w:rPr>
        <w:t>’</w:t>
      </w:r>
      <w:r w:rsidR="007D48F5" w:rsidRPr="0026246C">
        <w:rPr>
          <w:lang w:val="en-GB"/>
        </w:rPr>
        <w:t xml:space="preserve"> </w:t>
      </w:r>
      <w:r w:rsidR="00C00F0A" w:rsidRPr="00940396">
        <w:rPr>
          <w:lang w:val="en-GB"/>
        </w:rPr>
        <w:t xml:space="preserve">claims and the </w:t>
      </w:r>
      <w:r w:rsidR="00573284" w:rsidRPr="0026246C">
        <w:rPr>
          <w:lang w:val="en-GB"/>
        </w:rPr>
        <w:t>Committee concludes that the facts befor</w:t>
      </w:r>
      <w:r w:rsidR="00123D82" w:rsidRPr="0026246C">
        <w:rPr>
          <w:lang w:val="en-GB"/>
        </w:rPr>
        <w:t>e it disclose a violation of Mr</w:t>
      </w:r>
      <w:r w:rsidR="00E3683B" w:rsidRPr="00940396">
        <w:rPr>
          <w:lang w:val="en-GB"/>
        </w:rPr>
        <w:t>.</w:t>
      </w:r>
      <w:r w:rsidR="00123D82" w:rsidRPr="0026246C">
        <w:rPr>
          <w:lang w:val="en-GB"/>
        </w:rPr>
        <w:t xml:space="preserve"> </w:t>
      </w:r>
      <w:r w:rsidR="00123D82" w:rsidRPr="00940396">
        <w:rPr>
          <w:lang w:val="en-GB"/>
        </w:rPr>
        <w:t>Kovalev</w:t>
      </w:r>
      <w:r w:rsidR="00ED6986">
        <w:rPr>
          <w:lang w:val="en-GB"/>
        </w:rPr>
        <w:t>’</w:t>
      </w:r>
      <w:r w:rsidR="00573284" w:rsidRPr="0026246C">
        <w:rPr>
          <w:lang w:val="en-GB"/>
        </w:rPr>
        <w:t>s rights under articles 7 and 14, paragraph 3 (g), of the Covenant</w:t>
      </w:r>
      <w:r w:rsidR="00123D82" w:rsidRPr="00940396">
        <w:rPr>
          <w:lang w:val="en-GB"/>
        </w:rPr>
        <w:t>.</w:t>
      </w:r>
      <w:r w:rsidR="00123D82" w:rsidRPr="00940396">
        <w:rPr>
          <w:rStyle w:val="FootnoteReference"/>
          <w:sz w:val="20"/>
          <w:lang w:val="en-GB"/>
        </w:rPr>
        <w:footnoteReference w:id="25"/>
      </w:r>
    </w:p>
    <w:p w:rsidR="005B63F0" w:rsidRPr="0026246C" w:rsidRDefault="00D477A0" w:rsidP="00581DBC">
      <w:pPr>
        <w:pStyle w:val="SingleTxtG"/>
        <w:rPr>
          <w:rFonts w:ascii="Verdana" w:hAnsi="Verdana"/>
          <w:lang w:val="en-GB"/>
        </w:rPr>
      </w:pPr>
      <w:r w:rsidRPr="00402254">
        <w:rPr>
          <w:lang w:val="en-GB"/>
        </w:rPr>
        <w:t>11</w:t>
      </w:r>
      <w:r w:rsidR="00805DD2" w:rsidRPr="0026246C">
        <w:rPr>
          <w:lang w:val="en-GB"/>
        </w:rPr>
        <w:t>.3</w:t>
      </w:r>
      <w:r w:rsidR="00D432CC" w:rsidRPr="0026246C">
        <w:rPr>
          <w:lang w:val="en-GB"/>
        </w:rPr>
        <w:tab/>
      </w:r>
      <w:r w:rsidR="00AC67BE" w:rsidRPr="0026246C">
        <w:rPr>
          <w:lang w:val="en-GB"/>
        </w:rPr>
        <w:t xml:space="preserve">As to the </w:t>
      </w:r>
      <w:r w:rsidR="005B63F0" w:rsidRPr="0026246C">
        <w:rPr>
          <w:lang w:val="en-GB"/>
        </w:rPr>
        <w:t xml:space="preserve">authors’ claim that Mr. Kovalev was arrested on 12 April 2011 and was </w:t>
      </w:r>
      <w:r w:rsidR="00930BC6" w:rsidRPr="00940396">
        <w:rPr>
          <w:lang w:val="en-GB"/>
        </w:rPr>
        <w:t xml:space="preserve">brought </w:t>
      </w:r>
      <w:r w:rsidR="00930BC6" w:rsidRPr="0026246C">
        <w:rPr>
          <w:lang w:val="en-GB"/>
        </w:rPr>
        <w:t>for the first time</w:t>
      </w:r>
      <w:r w:rsidR="00930BC6" w:rsidRPr="00940396">
        <w:rPr>
          <w:lang w:val="en-GB"/>
        </w:rPr>
        <w:t xml:space="preserve"> before a judge </w:t>
      </w:r>
      <w:r w:rsidR="005B63F0" w:rsidRPr="00940396">
        <w:rPr>
          <w:lang w:val="en-GB"/>
        </w:rPr>
        <w:t>on</w:t>
      </w:r>
      <w:r w:rsidR="00661529" w:rsidRPr="00940396">
        <w:rPr>
          <w:lang w:val="en-GB"/>
        </w:rPr>
        <w:t>ly on</w:t>
      </w:r>
      <w:r w:rsidR="005B63F0" w:rsidRPr="00402254">
        <w:rPr>
          <w:lang w:val="en-GB"/>
        </w:rPr>
        <w:t xml:space="preserve"> 15 September 2011</w:t>
      </w:r>
      <w:r w:rsidR="005B63F0" w:rsidRPr="0026246C">
        <w:rPr>
          <w:lang w:val="en-GB"/>
        </w:rPr>
        <w:t xml:space="preserve">, </w:t>
      </w:r>
      <w:r w:rsidR="00F12A00" w:rsidRPr="00940396">
        <w:rPr>
          <w:lang w:val="en-GB"/>
        </w:rPr>
        <w:t xml:space="preserve">i.e. after more than five months from the arrest, </w:t>
      </w:r>
      <w:r w:rsidR="00661529" w:rsidRPr="00940396">
        <w:rPr>
          <w:lang w:val="en-GB"/>
        </w:rPr>
        <w:t>th</w:t>
      </w:r>
      <w:r w:rsidR="00E043C5" w:rsidRPr="00940396">
        <w:rPr>
          <w:lang w:val="en-GB"/>
        </w:rPr>
        <w:t>e Committee notes that t</w:t>
      </w:r>
      <w:r w:rsidR="00E043C5" w:rsidRPr="0026246C">
        <w:rPr>
          <w:lang w:val="en-GB"/>
        </w:rPr>
        <w:t xml:space="preserve">he State party failed to address these allegations. While the meaning of the term </w:t>
      </w:r>
      <w:r w:rsidR="002C76D8">
        <w:rPr>
          <w:lang w:val="en-GB"/>
        </w:rPr>
        <w:t>“</w:t>
      </w:r>
      <w:r w:rsidR="00E043C5" w:rsidRPr="0026246C">
        <w:rPr>
          <w:lang w:val="en-GB"/>
        </w:rPr>
        <w:t>promptly</w:t>
      </w:r>
      <w:r w:rsidR="002C76D8">
        <w:rPr>
          <w:lang w:val="en-GB"/>
        </w:rPr>
        <w:t>”</w:t>
      </w:r>
      <w:r w:rsidR="00E043C5" w:rsidRPr="0026246C">
        <w:rPr>
          <w:lang w:val="en-GB"/>
        </w:rPr>
        <w:t xml:space="preserve"> in article 9, paragraph 3, must be determined on a case-by-case ba</w:t>
      </w:r>
      <w:r w:rsidR="002A524B" w:rsidRPr="0026246C">
        <w:rPr>
          <w:lang w:val="en-GB"/>
        </w:rPr>
        <w:t>sis, the Committee recalls its general c</w:t>
      </w:r>
      <w:r w:rsidR="00E043C5" w:rsidRPr="0026246C">
        <w:rPr>
          <w:lang w:val="en-GB"/>
        </w:rPr>
        <w:t xml:space="preserve">omment </w:t>
      </w:r>
      <w:r w:rsidR="00280F82" w:rsidRPr="0026246C">
        <w:rPr>
          <w:lang w:val="en-GB"/>
        </w:rPr>
        <w:t xml:space="preserve">No. </w:t>
      </w:r>
      <w:r w:rsidR="002A524B" w:rsidRPr="0026246C">
        <w:rPr>
          <w:lang w:val="en-GB"/>
        </w:rPr>
        <w:t xml:space="preserve">8 </w:t>
      </w:r>
      <w:r w:rsidR="002C1C2D">
        <w:t>(1982) on the right to liberty and security of persons</w:t>
      </w:r>
      <w:r w:rsidR="002A524B" w:rsidRPr="0026246C">
        <w:rPr>
          <w:rStyle w:val="FootnoteReference"/>
          <w:sz w:val="20"/>
          <w:lang w:val="en-GB"/>
        </w:rPr>
        <w:footnoteReference w:id="26"/>
      </w:r>
      <w:r w:rsidR="002A524B" w:rsidRPr="0026246C">
        <w:rPr>
          <w:lang w:val="en-GB"/>
        </w:rPr>
        <w:t xml:space="preserve"> </w:t>
      </w:r>
      <w:r w:rsidR="00E043C5" w:rsidRPr="0026246C">
        <w:rPr>
          <w:lang w:val="en-GB"/>
        </w:rPr>
        <w:t>and its jurisprud</w:t>
      </w:r>
      <w:r w:rsidR="0056036D" w:rsidRPr="0026246C">
        <w:rPr>
          <w:lang w:val="en-GB"/>
        </w:rPr>
        <w:t>ence</w:t>
      </w:r>
      <w:r w:rsidR="00E043C5" w:rsidRPr="0026246C">
        <w:rPr>
          <w:lang w:val="en-GB"/>
        </w:rPr>
        <w:t>,</w:t>
      </w:r>
      <w:r w:rsidR="00930BC6" w:rsidRPr="0026246C">
        <w:rPr>
          <w:rStyle w:val="FootnoteReference"/>
          <w:sz w:val="20"/>
          <w:lang w:val="en-GB"/>
        </w:rPr>
        <w:footnoteReference w:id="27"/>
      </w:r>
      <w:r w:rsidR="00E043C5" w:rsidRPr="0026246C">
        <w:rPr>
          <w:lang w:val="en-GB"/>
        </w:rPr>
        <w:t xml:space="preserve"> pursuant to which delays should not exceed a few days. </w:t>
      </w:r>
      <w:r w:rsidR="009F7FCA" w:rsidRPr="0026246C">
        <w:rPr>
          <w:lang w:val="en-GB"/>
        </w:rPr>
        <w:t xml:space="preserve">The Committee therefore considers </w:t>
      </w:r>
      <w:r w:rsidR="003C599A" w:rsidRPr="0026246C">
        <w:rPr>
          <w:lang w:val="en-GB"/>
        </w:rPr>
        <w:t>th</w:t>
      </w:r>
      <w:r w:rsidR="00A63834" w:rsidRPr="00940396">
        <w:rPr>
          <w:lang w:val="en-GB"/>
        </w:rPr>
        <w:t>e</w:t>
      </w:r>
      <w:r w:rsidR="003C599A" w:rsidRPr="0026246C">
        <w:rPr>
          <w:lang w:val="en-GB"/>
        </w:rPr>
        <w:t xml:space="preserve"> delay</w:t>
      </w:r>
      <w:r w:rsidR="00A63834" w:rsidRPr="00940396">
        <w:rPr>
          <w:lang w:val="en-GB"/>
        </w:rPr>
        <w:t xml:space="preserve"> of </w:t>
      </w:r>
      <w:r w:rsidR="00A63834" w:rsidRPr="00940396">
        <w:rPr>
          <w:lang w:val="en-GB"/>
        </w:rPr>
        <w:lastRenderedPageBreak/>
        <w:t>five months before bringing Mr</w:t>
      </w:r>
      <w:r w:rsidR="00E3683B" w:rsidRPr="00940396">
        <w:rPr>
          <w:lang w:val="en-GB"/>
        </w:rPr>
        <w:t>.</w:t>
      </w:r>
      <w:r w:rsidR="00A63834" w:rsidRPr="00940396">
        <w:rPr>
          <w:lang w:val="en-GB"/>
        </w:rPr>
        <w:t xml:space="preserve"> Kovalev before a judge</w:t>
      </w:r>
      <w:r w:rsidR="003C599A" w:rsidRPr="0026246C">
        <w:rPr>
          <w:lang w:val="en-GB"/>
        </w:rPr>
        <w:t xml:space="preserve"> </w:t>
      </w:r>
      <w:r w:rsidR="00724903" w:rsidRPr="00940396">
        <w:rPr>
          <w:lang w:val="en-GB"/>
        </w:rPr>
        <w:t xml:space="preserve">to be incompatible with the requirement of promptness </w:t>
      </w:r>
      <w:r w:rsidR="00581DBC" w:rsidRPr="00940396">
        <w:rPr>
          <w:lang w:val="en-GB"/>
        </w:rPr>
        <w:t xml:space="preserve">set forth </w:t>
      </w:r>
      <w:r w:rsidR="00724903" w:rsidRPr="00402254">
        <w:rPr>
          <w:lang w:val="en-GB"/>
        </w:rPr>
        <w:t xml:space="preserve">in </w:t>
      </w:r>
      <w:r w:rsidR="003C599A" w:rsidRPr="0026246C">
        <w:rPr>
          <w:lang w:val="en-GB"/>
        </w:rPr>
        <w:t>article 9, paragraph 3</w:t>
      </w:r>
      <w:r w:rsidR="00724903" w:rsidRPr="00940396">
        <w:rPr>
          <w:lang w:val="en-GB"/>
        </w:rPr>
        <w:t>, and thus in violation of Mr</w:t>
      </w:r>
      <w:r w:rsidR="00E3683B" w:rsidRPr="00402254">
        <w:rPr>
          <w:lang w:val="en-GB"/>
        </w:rPr>
        <w:t>.</w:t>
      </w:r>
      <w:r w:rsidR="00724903" w:rsidRPr="0026246C">
        <w:rPr>
          <w:lang w:val="en-GB"/>
        </w:rPr>
        <w:t xml:space="preserve"> Kovalev’s rights under this provision.</w:t>
      </w:r>
    </w:p>
    <w:p w:rsidR="00AE103C" w:rsidRPr="00402254" w:rsidRDefault="00D477A0" w:rsidP="00894772">
      <w:pPr>
        <w:suppressAutoHyphens w:val="0"/>
        <w:autoSpaceDE w:val="0"/>
        <w:autoSpaceDN w:val="0"/>
        <w:adjustRightInd w:val="0"/>
        <w:spacing w:after="120" w:line="240" w:lineRule="auto"/>
        <w:ind w:left="1134" w:right="1134"/>
        <w:jc w:val="both"/>
      </w:pPr>
      <w:r w:rsidRPr="0026246C">
        <w:t>11</w:t>
      </w:r>
      <w:r w:rsidR="00805DD2" w:rsidRPr="0026246C">
        <w:t>.4</w:t>
      </w:r>
      <w:r w:rsidR="00DC6593" w:rsidRPr="0026246C">
        <w:tab/>
      </w:r>
      <w:r w:rsidR="007460BE" w:rsidRPr="0026246C">
        <w:t>The Commi</w:t>
      </w:r>
      <w:r w:rsidR="00F368C5" w:rsidRPr="0026246C">
        <w:t xml:space="preserve">ttee further notes the authors’ </w:t>
      </w:r>
      <w:r w:rsidR="007460BE" w:rsidRPr="0026246C">
        <w:t>allegations that the principle of presumption of innocence</w:t>
      </w:r>
      <w:r w:rsidR="00A969BC" w:rsidRPr="0026246C">
        <w:t xml:space="preserve"> was not respected</w:t>
      </w:r>
      <w:r w:rsidR="007460BE" w:rsidRPr="0026246C">
        <w:t xml:space="preserve">, </w:t>
      </w:r>
      <w:r w:rsidR="00760EA2" w:rsidRPr="0026246C">
        <w:t xml:space="preserve">because </w:t>
      </w:r>
      <w:r w:rsidR="007460BE" w:rsidRPr="0026246C">
        <w:t xml:space="preserve">several </w:t>
      </w:r>
      <w:r w:rsidR="00246649">
        <w:t>S</w:t>
      </w:r>
      <w:r w:rsidR="007460BE" w:rsidRPr="00940396">
        <w:t xml:space="preserve">tate officials made public statements </w:t>
      </w:r>
      <w:r w:rsidR="00413DAC" w:rsidRPr="00402254">
        <w:t xml:space="preserve">about </w:t>
      </w:r>
      <w:r w:rsidR="00760EA2" w:rsidRPr="0026246C">
        <w:t>Mr</w:t>
      </w:r>
      <w:r w:rsidR="00E3683B" w:rsidRPr="0026246C">
        <w:t>.</w:t>
      </w:r>
      <w:r w:rsidR="00760EA2" w:rsidRPr="0026246C">
        <w:t xml:space="preserve"> Kovalev’s</w:t>
      </w:r>
      <w:r w:rsidR="00413DAC" w:rsidRPr="0026246C">
        <w:t xml:space="preserve"> guilt</w:t>
      </w:r>
      <w:r w:rsidR="00A969BC" w:rsidRPr="0026246C">
        <w:t xml:space="preserve"> </w:t>
      </w:r>
      <w:r w:rsidR="00760EA2" w:rsidRPr="0026246C">
        <w:t>before his conviction by the court</w:t>
      </w:r>
      <w:r w:rsidR="00382DFE" w:rsidRPr="0026246C">
        <w:t xml:space="preserve"> and mass media made available to the public at large materials of the preliminary investigation before the consideration of his case by the court.</w:t>
      </w:r>
      <w:r w:rsidR="007460BE" w:rsidRPr="0026246C">
        <w:t xml:space="preserve"> Moreover, he was kept in a metal cage throughout the court proceedings and </w:t>
      </w:r>
      <w:r w:rsidR="00246649">
        <w:t>the</w:t>
      </w:r>
      <w:r w:rsidR="00246649" w:rsidRPr="00940396">
        <w:t xml:space="preserve"> </w:t>
      </w:r>
      <w:r w:rsidR="007460BE" w:rsidRPr="00940396">
        <w:t>photographs</w:t>
      </w:r>
      <w:r w:rsidR="00246649">
        <w:t xml:space="preserve"> of him</w:t>
      </w:r>
      <w:r w:rsidR="007460BE" w:rsidRPr="00940396">
        <w:t xml:space="preserve"> behind metal bars in the court room were pub</w:t>
      </w:r>
      <w:r w:rsidR="00413DAC" w:rsidRPr="00402254">
        <w:t>lished in local print media</w:t>
      </w:r>
      <w:r w:rsidR="00642480" w:rsidRPr="0026246C">
        <w:t>. In this respect, the Committee recalls its jurisprudence</w:t>
      </w:r>
      <w:r w:rsidR="000C4DD9" w:rsidRPr="0026246C">
        <w:rPr>
          <w:rStyle w:val="FootnoteReference"/>
        </w:rPr>
        <w:footnoteReference w:id="28"/>
      </w:r>
      <w:r w:rsidR="00642480" w:rsidRPr="0026246C">
        <w:t xml:space="preserve"> as reflected in its general comment </w:t>
      </w:r>
      <w:r w:rsidR="00246649" w:rsidRPr="0026246C">
        <w:t>No</w:t>
      </w:r>
      <w:r w:rsidR="00642480" w:rsidRPr="0026246C">
        <w:t xml:space="preserve">. 32, according to which </w:t>
      </w:r>
      <w:r w:rsidR="00246649">
        <w:t>“</w:t>
      </w:r>
      <w:r w:rsidR="00642480" w:rsidRPr="00940396">
        <w:t>the presumption of innocence, which is fundamental to the protection of human rights, imposes on the prosecution the burden of proving the charge, guarantees that no guilt can be presumed until the charge has been proved beyond reasonabl</w:t>
      </w:r>
      <w:r w:rsidR="00642480" w:rsidRPr="00402254">
        <w:t>e doubt, ensures that the accused has the benefit of doubt, and requires that persons accused of a cr</w:t>
      </w:r>
      <w:r w:rsidR="00642480" w:rsidRPr="0026246C">
        <w:t>iminal act must be treated in accordance with this principle</w:t>
      </w:r>
      <w:r w:rsidR="00246649">
        <w:t>”</w:t>
      </w:r>
      <w:r w:rsidR="00642480" w:rsidRPr="00940396">
        <w:t>.</w:t>
      </w:r>
      <w:r w:rsidR="00642480" w:rsidRPr="00940396">
        <w:rPr>
          <w:rStyle w:val="FootnoteReference"/>
        </w:rPr>
        <w:footnoteReference w:id="29"/>
      </w:r>
      <w:r w:rsidR="000F687D" w:rsidRPr="00402254">
        <w:t xml:space="preserve"> </w:t>
      </w:r>
      <w:r w:rsidR="00642480" w:rsidRPr="0026246C">
        <w:t>The same general comment</w:t>
      </w:r>
      <w:r w:rsidR="00966670" w:rsidRPr="0026246C">
        <w:t xml:space="preserve"> </w:t>
      </w:r>
      <w:r w:rsidR="001738E4" w:rsidRPr="0026246C">
        <w:t>refers to the duty of all public authorities to refrain from prejudging the outcome of a trial, including by abstaining from making public statements affirming the guilt of the accused</w:t>
      </w:r>
      <w:r w:rsidR="00246649">
        <w:t>;</w:t>
      </w:r>
      <w:r w:rsidR="00FB4768" w:rsidRPr="00940396">
        <w:rPr>
          <w:rStyle w:val="FootnoteReference"/>
        </w:rPr>
        <w:footnoteReference w:id="30"/>
      </w:r>
      <w:r w:rsidR="00FD4B84" w:rsidRPr="00940396">
        <w:t xml:space="preserve"> it</w:t>
      </w:r>
      <w:r w:rsidR="00677933" w:rsidRPr="00402254">
        <w:t xml:space="preserve"> further states that defendants</w:t>
      </w:r>
      <w:r w:rsidR="001738E4" w:rsidRPr="0026246C">
        <w:t xml:space="preserve"> should normally not be shackle</w:t>
      </w:r>
      <w:r w:rsidR="00185E3A" w:rsidRPr="0026246C">
        <w:t>d or kept in cages during trial</w:t>
      </w:r>
      <w:r w:rsidR="001738E4" w:rsidRPr="0026246C">
        <w:t xml:space="preserve"> or otherwise presented to the court in a manner indicating that t</w:t>
      </w:r>
      <w:r w:rsidR="00677933" w:rsidRPr="0026246C">
        <w:t>hey may be dangerous criminals and</w:t>
      </w:r>
      <w:r w:rsidR="00FD4B84" w:rsidRPr="0026246C">
        <w:t xml:space="preserve"> that</w:t>
      </w:r>
      <w:r w:rsidR="00677933" w:rsidRPr="0026246C">
        <w:t xml:space="preserve"> t</w:t>
      </w:r>
      <w:r w:rsidR="001738E4" w:rsidRPr="0026246C">
        <w:t>he media should avoid news coverage undermining the presumption of innocence.</w:t>
      </w:r>
      <w:r w:rsidR="00677933" w:rsidRPr="0026246C">
        <w:t xml:space="preserve"> </w:t>
      </w:r>
      <w:r w:rsidR="00227663" w:rsidRPr="0026246C">
        <w:t>On the basis of the information before it and in the absence of any other pertinent information from the State party, t</w:t>
      </w:r>
      <w:r w:rsidR="00771D17" w:rsidRPr="0026246C">
        <w:t xml:space="preserve">he Committee </w:t>
      </w:r>
      <w:r w:rsidR="00642480" w:rsidRPr="0026246C">
        <w:t>co</w:t>
      </w:r>
      <w:r w:rsidR="00227663" w:rsidRPr="0026246C">
        <w:t xml:space="preserve">nsiders that </w:t>
      </w:r>
      <w:r w:rsidR="00246649">
        <w:t xml:space="preserve">the </w:t>
      </w:r>
      <w:r w:rsidR="007460BE" w:rsidRPr="00940396">
        <w:t>presumption of innocence</w:t>
      </w:r>
      <w:r w:rsidR="00246649">
        <w:t xml:space="preserve"> of Mr. Kovalev</w:t>
      </w:r>
      <w:r w:rsidR="007460BE" w:rsidRPr="00940396">
        <w:t xml:space="preserve"> guaranteed under article 1</w:t>
      </w:r>
      <w:r w:rsidR="00227663" w:rsidRPr="00940396">
        <w:t>4, paragraph 2, of the Covenant has been violated.</w:t>
      </w:r>
    </w:p>
    <w:p w:rsidR="0081463A" w:rsidRPr="0026246C" w:rsidRDefault="00D477A0" w:rsidP="00967D3E">
      <w:pPr>
        <w:spacing w:after="120"/>
        <w:ind w:left="1134" w:right="1134"/>
        <w:jc w:val="both"/>
      </w:pPr>
      <w:r w:rsidRPr="00402254">
        <w:t>11</w:t>
      </w:r>
      <w:r w:rsidR="00805DD2" w:rsidRPr="0026246C">
        <w:t>.5</w:t>
      </w:r>
      <w:r w:rsidR="007F7577" w:rsidRPr="0026246C">
        <w:tab/>
      </w:r>
      <w:r w:rsidR="00DD063F" w:rsidRPr="0026246C">
        <w:t xml:space="preserve">With regard to the authors’ claims that </w:t>
      </w:r>
      <w:r w:rsidR="00331CDF" w:rsidRPr="0026246C">
        <w:t>Mr</w:t>
      </w:r>
      <w:r w:rsidR="00E3683B" w:rsidRPr="0026246C">
        <w:t>.</w:t>
      </w:r>
      <w:r w:rsidR="00331CDF" w:rsidRPr="0026246C">
        <w:t xml:space="preserve"> Kovalev</w:t>
      </w:r>
      <w:r w:rsidR="00DD063F" w:rsidRPr="0026246C">
        <w:t xml:space="preserve"> was visited by his lawyer only once during </w:t>
      </w:r>
      <w:r w:rsidR="00331CDF" w:rsidRPr="0026246C">
        <w:t>the pretrial investigation</w:t>
      </w:r>
      <w:r w:rsidR="00636661" w:rsidRPr="0026246C">
        <w:t>, that the confidentiality of their meetings was not respected</w:t>
      </w:r>
      <w:r w:rsidR="00994A9A" w:rsidRPr="0026246C">
        <w:t>, that they did not have adequate time to prepare the defence</w:t>
      </w:r>
      <w:r w:rsidR="00636661" w:rsidRPr="0026246C">
        <w:t xml:space="preserve"> and that the lawyer was denied access to him on </w:t>
      </w:r>
      <w:r w:rsidR="00994A9A" w:rsidRPr="0026246C">
        <w:t xml:space="preserve">several occasions, the Committee </w:t>
      </w:r>
      <w:r w:rsidR="00E773E9" w:rsidRPr="0026246C">
        <w:t>recalls that article 14, paragraph 3 (b) provides that accused persons must have adequate time and facilities for the preparation of their defence and to communicate with counsel of their own choosing, this provision being an important element of the guarantee of a fair trial and an application of the principle of equality of arms.</w:t>
      </w:r>
      <w:r w:rsidR="00E773E9" w:rsidRPr="0026246C">
        <w:rPr>
          <w:rStyle w:val="FootnoteReference"/>
        </w:rPr>
        <w:footnoteReference w:id="31"/>
      </w:r>
      <w:r w:rsidR="00CC6FBC" w:rsidRPr="0026246C">
        <w:t xml:space="preserve"> The right to communicate with counsel requires that the accused is granted prompt access to counsel</w:t>
      </w:r>
      <w:r w:rsidR="001272E4" w:rsidRPr="0026246C">
        <w:t>,</w:t>
      </w:r>
      <w:r w:rsidR="00CC6FBC" w:rsidRPr="0026246C">
        <w:t xml:space="preserve"> and counsel should be able to meet their clients in private and to communicate with the accused in conditions that fully respect the confidentiality of their communications.</w:t>
      </w:r>
      <w:r w:rsidR="00263133" w:rsidRPr="0026246C">
        <w:rPr>
          <w:rStyle w:val="FootnoteReference"/>
        </w:rPr>
        <w:footnoteReference w:id="32"/>
      </w:r>
      <w:r w:rsidR="00B836C1" w:rsidRPr="0026246C">
        <w:t xml:space="preserve"> </w:t>
      </w:r>
      <w:r w:rsidR="00F80255" w:rsidRPr="0026246C">
        <w:t xml:space="preserve">The Committee </w:t>
      </w:r>
      <w:r w:rsidR="00B836C1" w:rsidRPr="0026246C">
        <w:t>is of the view that the conditions</w:t>
      </w:r>
      <w:r w:rsidR="00F805BF" w:rsidRPr="0026246C">
        <w:t>, as described by the authors,</w:t>
      </w:r>
      <w:r w:rsidR="00B836C1" w:rsidRPr="0026246C">
        <w:t xml:space="preserve"> in which Mr</w:t>
      </w:r>
      <w:r w:rsidR="00E3683B" w:rsidRPr="0026246C">
        <w:t>.</w:t>
      </w:r>
      <w:r w:rsidR="00B836C1" w:rsidRPr="0026246C">
        <w:t xml:space="preserve"> Kovalev was assisted by his</w:t>
      </w:r>
      <w:r w:rsidR="00F80255" w:rsidRPr="0026246C">
        <w:t xml:space="preserve"> lawyer </w:t>
      </w:r>
      <w:r w:rsidR="001272E4" w:rsidRPr="0026246C">
        <w:t xml:space="preserve">during the pretrial investigation </w:t>
      </w:r>
      <w:r w:rsidR="00DC2D7B">
        <w:t>and</w:t>
      </w:r>
      <w:r w:rsidR="001272E4" w:rsidRPr="00940396">
        <w:t xml:space="preserve"> in the cou</w:t>
      </w:r>
      <w:r w:rsidR="001272E4" w:rsidRPr="00402254">
        <w:t>rse of court proceedings</w:t>
      </w:r>
      <w:r w:rsidR="00F80255" w:rsidRPr="0026246C">
        <w:t xml:space="preserve"> adversely affected </w:t>
      </w:r>
      <w:r w:rsidR="00B836C1" w:rsidRPr="0026246C">
        <w:t xml:space="preserve">his possibilities to </w:t>
      </w:r>
      <w:r w:rsidR="00F80255" w:rsidRPr="0026246C">
        <w:t>prepare his defence.</w:t>
      </w:r>
      <w:r w:rsidR="001272E4" w:rsidRPr="0026246C">
        <w:rPr>
          <w:rStyle w:val="FootnoteReference"/>
        </w:rPr>
        <w:footnoteReference w:id="33"/>
      </w:r>
      <w:r w:rsidR="00F80255" w:rsidRPr="0026246C">
        <w:t xml:space="preserve"> </w:t>
      </w:r>
      <w:r w:rsidR="00C41935" w:rsidRPr="0026246C">
        <w:t>In the absence of any information by the S</w:t>
      </w:r>
      <w:r w:rsidR="00F805BF" w:rsidRPr="0026246C">
        <w:t>tate party to refute the author</w:t>
      </w:r>
      <w:r w:rsidR="00C41935" w:rsidRPr="0026246C">
        <w:t>s</w:t>
      </w:r>
      <w:r w:rsidR="00F805BF" w:rsidRPr="0026246C">
        <w:t>’</w:t>
      </w:r>
      <w:r w:rsidR="00C41935" w:rsidRPr="0026246C">
        <w:t xml:space="preserve"> specific allegations and in the absence of any other pertinent information </w:t>
      </w:r>
      <w:r w:rsidR="00C41935" w:rsidRPr="0026246C">
        <w:lastRenderedPageBreak/>
        <w:t xml:space="preserve">on file, the Committee considers that the </w:t>
      </w:r>
      <w:r w:rsidR="00F805BF" w:rsidRPr="0026246C">
        <w:t>information</w:t>
      </w:r>
      <w:r w:rsidR="00C41935" w:rsidRPr="0026246C">
        <w:t xml:space="preserve"> before it reveal</w:t>
      </w:r>
      <w:r w:rsidR="00F805BF" w:rsidRPr="0026246C">
        <w:t>s</w:t>
      </w:r>
      <w:r w:rsidR="00C41935" w:rsidRPr="0026246C">
        <w:t xml:space="preserve"> a viola</w:t>
      </w:r>
      <w:r w:rsidR="00967D3E" w:rsidRPr="0026246C">
        <w:t>tion of Mr. Kovalev</w:t>
      </w:r>
      <w:r w:rsidR="00693A75">
        <w:t>’</w:t>
      </w:r>
      <w:r w:rsidR="00C41935" w:rsidRPr="00402254">
        <w:t>s rights under ar</w:t>
      </w:r>
      <w:r w:rsidR="007F7577" w:rsidRPr="0026246C">
        <w:t>ticle 14, paragraph 3</w:t>
      </w:r>
      <w:r w:rsidR="00693A75">
        <w:t xml:space="preserve"> </w:t>
      </w:r>
      <w:r w:rsidR="007F7577" w:rsidRPr="00940396">
        <w:t>(b)</w:t>
      </w:r>
      <w:r w:rsidR="00C41935" w:rsidRPr="00402254">
        <w:t>, of the Covenant.</w:t>
      </w:r>
    </w:p>
    <w:p w:rsidR="00930BC6" w:rsidRPr="0026246C" w:rsidRDefault="00D477A0" w:rsidP="00F92795">
      <w:pPr>
        <w:spacing w:after="120" w:line="240" w:lineRule="auto"/>
        <w:ind w:left="1134" w:right="1134"/>
        <w:jc w:val="both"/>
      </w:pPr>
      <w:r w:rsidRPr="0026246C">
        <w:t>11</w:t>
      </w:r>
      <w:r w:rsidR="00805DD2" w:rsidRPr="0026246C">
        <w:t>.6</w:t>
      </w:r>
      <w:r w:rsidR="007F7577" w:rsidRPr="0026246C">
        <w:tab/>
      </w:r>
      <w:r w:rsidR="00A013C9" w:rsidRPr="0026246C">
        <w:t>The authors further claim t</w:t>
      </w:r>
      <w:r w:rsidR="00D36CB7" w:rsidRPr="0026246C">
        <w:t xml:space="preserve">hat </w:t>
      </w:r>
      <w:r w:rsidR="00950878" w:rsidRPr="0026246C">
        <w:t xml:space="preserve">Mr. Kovalev’s right to have his sentence and conviction reviewed by a higher tribunal was violated in view of the fact that </w:t>
      </w:r>
      <w:r w:rsidR="00D36CB7" w:rsidRPr="0026246C">
        <w:t>the sentence rendered by the Supreme Court</w:t>
      </w:r>
      <w:r w:rsidR="00950878" w:rsidRPr="0026246C">
        <w:t xml:space="preserve"> i</w:t>
      </w:r>
      <w:r w:rsidR="00D36CB7" w:rsidRPr="0026246C">
        <w:t>s not subject to appeal</w:t>
      </w:r>
      <w:r w:rsidR="00A013C9" w:rsidRPr="0026246C">
        <w:t xml:space="preserve">. The Committee observes that, as it transpires from </w:t>
      </w:r>
      <w:r w:rsidR="00D917D4" w:rsidRPr="0026246C">
        <w:t xml:space="preserve">materials before it, Mr. Kovalev was </w:t>
      </w:r>
      <w:r w:rsidR="00A013C9" w:rsidRPr="0026246C">
        <w:t>sentenced to death at first instance by the Supreme Court</w:t>
      </w:r>
      <w:r w:rsidR="00D917D4" w:rsidRPr="0026246C">
        <w:t xml:space="preserve"> on 30 November 2011 and the </w:t>
      </w:r>
      <w:r w:rsidR="00A013C9" w:rsidRPr="0026246C">
        <w:t xml:space="preserve">judgment mentions that it is final and not subject to any further appeal. </w:t>
      </w:r>
      <w:r w:rsidR="005565E5" w:rsidRPr="0026246C">
        <w:t>Although Mr</w:t>
      </w:r>
      <w:r w:rsidR="00E3683B" w:rsidRPr="0026246C">
        <w:t>.</w:t>
      </w:r>
      <w:r w:rsidR="005565E5" w:rsidRPr="0026246C">
        <w:t xml:space="preserve"> Kovalev availed himself of the </w:t>
      </w:r>
      <w:r w:rsidR="000F687D" w:rsidRPr="0026246C">
        <w:rPr>
          <w:color w:val="000000"/>
          <w:shd w:val="clear" w:color="auto" w:fill="FFFFFF"/>
          <w:lang w:eastAsia="en-GB"/>
        </w:rPr>
        <w:t xml:space="preserve">supervisory review </w:t>
      </w:r>
      <w:r w:rsidR="0098502F" w:rsidRPr="0026246C">
        <w:rPr>
          <w:color w:val="000000"/>
          <w:shd w:val="clear" w:color="auto" w:fill="FFFFFF"/>
          <w:lang w:eastAsia="en-GB"/>
        </w:rPr>
        <w:t>mechanism</w:t>
      </w:r>
      <w:r w:rsidR="005565E5" w:rsidRPr="0026246C">
        <w:rPr>
          <w:color w:val="000000"/>
          <w:shd w:val="clear" w:color="auto" w:fill="FFFFFF"/>
          <w:lang w:eastAsia="en-GB"/>
        </w:rPr>
        <w:t xml:space="preserve">, the Committee </w:t>
      </w:r>
      <w:r w:rsidR="00A165B9" w:rsidRPr="0026246C">
        <w:rPr>
          <w:color w:val="000000"/>
          <w:shd w:val="clear" w:color="auto" w:fill="FFFFFF"/>
          <w:lang w:eastAsia="en-GB"/>
        </w:rPr>
        <w:t>notes</w:t>
      </w:r>
      <w:r w:rsidR="005565E5" w:rsidRPr="0026246C">
        <w:rPr>
          <w:color w:val="000000"/>
          <w:shd w:val="clear" w:color="auto" w:fill="FFFFFF"/>
          <w:lang w:eastAsia="en-GB"/>
        </w:rPr>
        <w:t xml:space="preserve"> that such review </w:t>
      </w:r>
      <w:r w:rsidR="000F687D" w:rsidRPr="0026246C">
        <w:rPr>
          <w:color w:val="000000"/>
          <w:shd w:val="clear" w:color="auto" w:fill="FFFFFF"/>
          <w:lang w:eastAsia="en-GB"/>
        </w:rPr>
        <w:t>only applies to already executory decisions and thus constitutes an extraordinary mean</w:t>
      </w:r>
      <w:r w:rsidR="00CB00AA" w:rsidRPr="0026246C">
        <w:rPr>
          <w:color w:val="000000"/>
          <w:shd w:val="clear" w:color="auto" w:fill="FFFFFF"/>
          <w:lang w:eastAsia="en-GB"/>
        </w:rPr>
        <w:t>s</w:t>
      </w:r>
      <w:r w:rsidR="000F687D" w:rsidRPr="0026246C">
        <w:rPr>
          <w:color w:val="000000"/>
          <w:shd w:val="clear" w:color="auto" w:fill="FFFFFF"/>
          <w:lang w:eastAsia="en-GB"/>
        </w:rPr>
        <w:t xml:space="preserve"> of appeal which is dependent on the discretionary power of judge or prosecutor. When such review takes place, it is limited to issues of law only and does not permit any review of facts and evidence</w:t>
      </w:r>
      <w:r w:rsidR="005565E5" w:rsidRPr="0026246C">
        <w:rPr>
          <w:color w:val="000000"/>
          <w:shd w:val="clear" w:color="auto" w:fill="FFFFFF"/>
          <w:lang w:eastAsia="en-GB"/>
        </w:rPr>
        <w:t xml:space="preserve"> and therefore cannot be characterized as an </w:t>
      </w:r>
      <w:r w:rsidR="00693A75">
        <w:rPr>
          <w:color w:val="000000"/>
          <w:shd w:val="clear" w:color="auto" w:fill="FFFFFF"/>
          <w:lang w:eastAsia="en-GB"/>
        </w:rPr>
        <w:t>“</w:t>
      </w:r>
      <w:r w:rsidR="005565E5" w:rsidRPr="00402254">
        <w:rPr>
          <w:color w:val="000000"/>
          <w:shd w:val="clear" w:color="auto" w:fill="FFFFFF"/>
          <w:lang w:eastAsia="en-GB"/>
        </w:rPr>
        <w:t>appeal</w:t>
      </w:r>
      <w:r w:rsidR="00693A75">
        <w:rPr>
          <w:color w:val="000000"/>
          <w:shd w:val="clear" w:color="auto" w:fill="FFFFFF"/>
          <w:lang w:eastAsia="en-GB"/>
        </w:rPr>
        <w:t>”</w:t>
      </w:r>
      <w:r w:rsidR="005565E5" w:rsidRPr="00940396">
        <w:rPr>
          <w:color w:val="000000"/>
          <w:shd w:val="clear" w:color="auto" w:fill="FFFFFF"/>
          <w:lang w:eastAsia="en-GB"/>
        </w:rPr>
        <w:t>, for the purposes of article 14, paragraph 5</w:t>
      </w:r>
      <w:r w:rsidR="005565E5" w:rsidRPr="00402254">
        <w:rPr>
          <w:color w:val="000000"/>
          <w:shd w:val="clear" w:color="auto" w:fill="FFFFFF"/>
          <w:lang w:eastAsia="en-GB"/>
        </w:rPr>
        <w:t>.</w:t>
      </w:r>
      <w:r w:rsidR="005565E5" w:rsidRPr="0026246C">
        <w:rPr>
          <w:rStyle w:val="FootnoteReference"/>
          <w:color w:val="000000"/>
          <w:shd w:val="clear" w:color="auto" w:fill="FFFFFF"/>
          <w:lang w:eastAsia="en-GB"/>
        </w:rPr>
        <w:footnoteReference w:id="34"/>
      </w:r>
      <w:r w:rsidR="000F687D" w:rsidRPr="0026246C">
        <w:rPr>
          <w:color w:val="000000"/>
          <w:shd w:val="clear" w:color="auto" w:fill="FFFFFF"/>
          <w:lang w:eastAsia="en-GB"/>
        </w:rPr>
        <w:t xml:space="preserve"> </w:t>
      </w:r>
      <w:r w:rsidR="00A013C9" w:rsidRPr="0026246C">
        <w:t xml:space="preserve">The Committee recalls </w:t>
      </w:r>
      <w:r w:rsidR="00D917D4" w:rsidRPr="0026246C">
        <w:t xml:space="preserve">in this respect </w:t>
      </w:r>
      <w:r w:rsidR="00A013C9" w:rsidRPr="0026246C">
        <w:t>that even if a system of appeal may not be automatic, the right to appeal</w:t>
      </w:r>
      <w:r w:rsidR="00D81C50" w:rsidRPr="0026246C">
        <w:t xml:space="preserve"> under article 14, paragraph 5 imposes on the State party a duty to review substantively, both on the basis of sufficiency of the evidence and of the law, the conviction and sentence, such that the procedure allows for due consideration of the nature of the case.</w:t>
      </w:r>
      <w:r w:rsidR="00D81C50" w:rsidRPr="0026246C">
        <w:rPr>
          <w:rStyle w:val="FootnoteReference"/>
        </w:rPr>
        <w:footnoteReference w:id="35"/>
      </w:r>
      <w:r w:rsidR="00E179C2" w:rsidRPr="0026246C">
        <w:t xml:space="preserve"> </w:t>
      </w:r>
      <w:r w:rsidR="00A013C9" w:rsidRPr="0026246C">
        <w:t xml:space="preserve">In the absence of any explanation from the State party, the Committee considers that the absence of a possibility to appeal </w:t>
      </w:r>
      <w:r w:rsidR="00F805BF" w:rsidRPr="0026246C">
        <w:t>the judgment</w:t>
      </w:r>
      <w:r w:rsidR="00A013C9" w:rsidRPr="0026246C">
        <w:t xml:space="preserve"> of the Supreme Court passed at first instance to a higher judicial instance </w:t>
      </w:r>
      <w:r w:rsidR="004C1859" w:rsidRPr="0026246C">
        <w:t>is inconsistent with</w:t>
      </w:r>
      <w:r w:rsidR="00A013C9" w:rsidRPr="0026246C">
        <w:t xml:space="preserve"> the requirements of article 14, paragraph 5.</w:t>
      </w:r>
      <w:r w:rsidR="000E0777" w:rsidRPr="0026246C">
        <w:rPr>
          <w:rStyle w:val="FootnoteReference"/>
        </w:rPr>
        <w:footnoteReference w:id="36"/>
      </w:r>
    </w:p>
    <w:p w:rsidR="00F92795" w:rsidRPr="0026246C" w:rsidRDefault="00D477A0" w:rsidP="00F34CD4">
      <w:pPr>
        <w:spacing w:after="120" w:line="240" w:lineRule="auto"/>
        <w:ind w:left="1134" w:right="1134"/>
        <w:jc w:val="both"/>
      </w:pPr>
      <w:r w:rsidRPr="0026246C">
        <w:t>11</w:t>
      </w:r>
      <w:r w:rsidR="00805DD2" w:rsidRPr="0026246C">
        <w:t>.7</w:t>
      </w:r>
      <w:r w:rsidR="007F7577" w:rsidRPr="0026246C">
        <w:tab/>
      </w:r>
      <w:r w:rsidR="00F92795" w:rsidRPr="0026246C">
        <w:t>The Committee notes the authors’ allegations</w:t>
      </w:r>
      <w:r w:rsidR="00DA6CA1" w:rsidRPr="0026246C">
        <w:t>, not refuted by the State party,</w:t>
      </w:r>
      <w:r w:rsidR="00F92795" w:rsidRPr="0026246C">
        <w:t xml:space="preserve"> that the </w:t>
      </w:r>
      <w:r w:rsidR="00FD4B84" w:rsidRPr="0026246C">
        <w:t>Supreme</w:t>
      </w:r>
      <w:r w:rsidR="00BA0A46" w:rsidRPr="0026246C">
        <w:t xml:space="preserve"> C</w:t>
      </w:r>
      <w:r w:rsidR="00F92795" w:rsidRPr="0026246C">
        <w:t xml:space="preserve">ourt was biased, and violated the principle of independence, impartiality, </w:t>
      </w:r>
      <w:r w:rsidR="00430198" w:rsidRPr="0026246C">
        <w:t xml:space="preserve">equality of arms and the principle of publicity of court proceedings, </w:t>
      </w:r>
      <w:r w:rsidR="00F92795" w:rsidRPr="0026246C">
        <w:t xml:space="preserve">contrary to article 14, paragraph 1, of the Covenant. </w:t>
      </w:r>
      <w:r w:rsidR="00F34CD4" w:rsidRPr="0026246C">
        <w:t>In</w:t>
      </w:r>
      <w:r w:rsidR="00304DA4">
        <w:t xml:space="preserve"> the</w:t>
      </w:r>
      <w:r w:rsidR="00F34CD4" w:rsidRPr="00940396">
        <w:t xml:space="preserve"> light of the Committee’s findings that the State party failed to comply with the guarantees of a fair trial under article 14, paragraphs 2, 3</w:t>
      </w:r>
      <w:r w:rsidR="00304DA4">
        <w:t xml:space="preserve"> </w:t>
      </w:r>
      <w:r w:rsidR="00F34CD4" w:rsidRPr="00940396">
        <w:t>(b)</w:t>
      </w:r>
      <w:r w:rsidR="00304DA4">
        <w:t xml:space="preserve"> and </w:t>
      </w:r>
      <w:r w:rsidR="00F34CD4" w:rsidRPr="0026246C">
        <w:t>(g)</w:t>
      </w:r>
      <w:r w:rsidR="00304DA4">
        <w:t>,</w:t>
      </w:r>
      <w:r w:rsidR="00F34CD4" w:rsidRPr="00940396">
        <w:t xml:space="preserve"> and 5, of the Covenant, the Committee is of the view that Mr</w:t>
      </w:r>
      <w:r w:rsidR="006D2FB9" w:rsidRPr="00402254">
        <w:t>.</w:t>
      </w:r>
      <w:r w:rsidR="00F34CD4" w:rsidRPr="0026246C">
        <w:t xml:space="preserve"> Kovalev’s trial suffered from irregularities which, taken as a whole, amount to a violation of article 14, paragraph 1, of the Covenant.</w:t>
      </w:r>
    </w:p>
    <w:p w:rsidR="007D1200" w:rsidRPr="00940396" w:rsidRDefault="00D477A0" w:rsidP="003E2B03">
      <w:pPr>
        <w:pStyle w:val="SingleTxtG"/>
        <w:rPr>
          <w:lang w:val="en-GB"/>
        </w:rPr>
      </w:pPr>
      <w:r w:rsidRPr="0026246C">
        <w:rPr>
          <w:lang w:val="en-GB"/>
        </w:rPr>
        <w:t>11</w:t>
      </w:r>
      <w:r w:rsidR="00805DD2" w:rsidRPr="0026246C">
        <w:rPr>
          <w:lang w:val="en-GB"/>
        </w:rPr>
        <w:t>.8</w:t>
      </w:r>
      <w:r w:rsidR="007F7577" w:rsidRPr="0026246C">
        <w:rPr>
          <w:lang w:val="en-GB"/>
        </w:rPr>
        <w:tab/>
      </w:r>
      <w:r w:rsidR="00721977" w:rsidRPr="0026246C">
        <w:rPr>
          <w:lang w:val="en-GB"/>
        </w:rPr>
        <w:t>T</w:t>
      </w:r>
      <w:r w:rsidR="009F5F17" w:rsidRPr="0026246C">
        <w:rPr>
          <w:lang w:val="en-GB"/>
        </w:rPr>
        <w:t xml:space="preserve">he authors </w:t>
      </w:r>
      <w:r w:rsidR="00721977" w:rsidRPr="00940396">
        <w:rPr>
          <w:lang w:val="en-GB"/>
        </w:rPr>
        <w:t xml:space="preserve">further </w:t>
      </w:r>
      <w:r w:rsidR="009F5F17" w:rsidRPr="0026246C">
        <w:rPr>
          <w:lang w:val="en-GB"/>
        </w:rPr>
        <w:t>claim a violation of Mr</w:t>
      </w:r>
      <w:r w:rsidR="006D2FB9" w:rsidRPr="0026246C">
        <w:rPr>
          <w:lang w:val="en-GB"/>
        </w:rPr>
        <w:t>.</w:t>
      </w:r>
      <w:r w:rsidR="009F5F17" w:rsidRPr="0026246C">
        <w:rPr>
          <w:lang w:val="en-GB"/>
        </w:rPr>
        <w:t xml:space="preserve"> Kovalev</w:t>
      </w:r>
      <w:r w:rsidR="0040164B">
        <w:rPr>
          <w:lang w:val="en-GB"/>
        </w:rPr>
        <w:t>’</w:t>
      </w:r>
      <w:r w:rsidR="009F5F17" w:rsidRPr="0026246C">
        <w:rPr>
          <w:lang w:val="en-GB"/>
        </w:rPr>
        <w:t xml:space="preserve">s right to life under article 6 of the Covenant, </w:t>
      </w:r>
      <w:r w:rsidR="00A26CB6" w:rsidRPr="00940396">
        <w:rPr>
          <w:lang w:val="en-GB"/>
        </w:rPr>
        <w:t>since</w:t>
      </w:r>
      <w:r w:rsidR="009F5F17" w:rsidRPr="0026246C">
        <w:rPr>
          <w:lang w:val="en-GB"/>
        </w:rPr>
        <w:t xml:space="preserve"> he was sentenced to death after an unfair trial. The Comm</w:t>
      </w:r>
      <w:r w:rsidR="004E1962" w:rsidRPr="0026246C">
        <w:rPr>
          <w:lang w:val="en-GB"/>
        </w:rPr>
        <w:t xml:space="preserve">ittee </w:t>
      </w:r>
      <w:r w:rsidR="009F5F17" w:rsidRPr="0026246C">
        <w:rPr>
          <w:lang w:val="en-GB"/>
        </w:rPr>
        <w:t>note</w:t>
      </w:r>
      <w:r w:rsidR="004E1962" w:rsidRPr="0026246C">
        <w:rPr>
          <w:lang w:val="en-GB"/>
        </w:rPr>
        <w:t xml:space="preserve">s that the </w:t>
      </w:r>
      <w:r w:rsidR="009F5F17" w:rsidRPr="0026246C">
        <w:rPr>
          <w:lang w:val="en-GB"/>
        </w:rPr>
        <w:t>State party</w:t>
      </w:r>
      <w:r w:rsidR="00A26CB6" w:rsidRPr="0026246C">
        <w:rPr>
          <w:lang w:val="en-GB"/>
        </w:rPr>
        <w:t xml:space="preserve"> has argued,</w:t>
      </w:r>
      <w:r w:rsidR="004E1962" w:rsidRPr="0026246C">
        <w:rPr>
          <w:lang w:val="en-GB"/>
        </w:rPr>
        <w:t xml:space="preserve"> with reference to article 6, paragraph 2, of the Covenant,</w:t>
      </w:r>
      <w:r w:rsidR="00A26CB6" w:rsidRPr="0026246C">
        <w:rPr>
          <w:lang w:val="en-GB"/>
        </w:rPr>
        <w:t xml:space="preserve"> </w:t>
      </w:r>
      <w:r w:rsidR="009F5F17" w:rsidRPr="0026246C">
        <w:rPr>
          <w:lang w:val="en-GB"/>
        </w:rPr>
        <w:t xml:space="preserve">that </w:t>
      </w:r>
      <w:r w:rsidR="004E1962" w:rsidRPr="0026246C">
        <w:rPr>
          <w:rStyle w:val="apple-converted-space"/>
          <w:shd w:val="clear" w:color="auto" w:fill="FFFFFF"/>
          <w:lang w:val="en-GB"/>
        </w:rPr>
        <w:t>Mr. Kovalev was sentenced to death following the judgment handed down by the Supreme Court, in accordance with the Constitution, the Criminal Code and the Criminal Procedure Code of Belarus</w:t>
      </w:r>
      <w:r w:rsidR="00E0044E" w:rsidRPr="00940396">
        <w:rPr>
          <w:rStyle w:val="apple-converted-space"/>
          <w:shd w:val="clear" w:color="auto" w:fill="FFFFFF"/>
          <w:lang w:val="en-GB"/>
        </w:rPr>
        <w:t>,</w:t>
      </w:r>
      <w:r w:rsidR="004E1962" w:rsidRPr="0026246C">
        <w:rPr>
          <w:rStyle w:val="apple-converted-space"/>
          <w:shd w:val="clear" w:color="auto" w:fill="FFFFFF"/>
          <w:lang w:val="en-GB"/>
        </w:rPr>
        <w:t xml:space="preserve"> and th</w:t>
      </w:r>
      <w:r w:rsidR="00F805BF" w:rsidRPr="00940396">
        <w:rPr>
          <w:rStyle w:val="apple-converted-space"/>
          <w:shd w:val="clear" w:color="auto" w:fill="FFFFFF"/>
          <w:lang w:val="en-GB"/>
        </w:rPr>
        <w:t>at</w:t>
      </w:r>
      <w:r w:rsidR="004E1962" w:rsidRPr="0026246C">
        <w:rPr>
          <w:rStyle w:val="apple-converted-space"/>
          <w:shd w:val="clear" w:color="auto" w:fill="FFFFFF"/>
          <w:lang w:val="en-GB"/>
        </w:rPr>
        <w:t xml:space="preserve"> the imposed de</w:t>
      </w:r>
      <w:r w:rsidR="00F805BF" w:rsidRPr="0026246C">
        <w:rPr>
          <w:rStyle w:val="apple-converted-space"/>
          <w:shd w:val="clear" w:color="auto" w:fill="FFFFFF"/>
          <w:lang w:val="en-GB"/>
        </w:rPr>
        <w:t>ath penalty</w:t>
      </w:r>
      <w:r w:rsidR="00A0625E" w:rsidRPr="00940396">
        <w:rPr>
          <w:rStyle w:val="apple-converted-space"/>
          <w:shd w:val="clear" w:color="auto" w:fill="FFFFFF"/>
          <w:lang w:val="en-GB"/>
        </w:rPr>
        <w:t xml:space="preserve"> </w:t>
      </w:r>
      <w:r w:rsidR="00F805BF" w:rsidRPr="00402254">
        <w:rPr>
          <w:rStyle w:val="apple-converted-space"/>
          <w:shd w:val="clear" w:color="auto" w:fill="FFFFFF"/>
          <w:lang w:val="en-GB"/>
        </w:rPr>
        <w:t>wa</w:t>
      </w:r>
      <w:r w:rsidR="004E1962" w:rsidRPr="0026246C">
        <w:rPr>
          <w:rStyle w:val="apple-converted-space"/>
          <w:shd w:val="clear" w:color="auto" w:fill="FFFFFF"/>
          <w:lang w:val="en-GB"/>
        </w:rPr>
        <w:t>s not contrary to the international instrume</w:t>
      </w:r>
      <w:r w:rsidR="00F805BF" w:rsidRPr="0026246C">
        <w:rPr>
          <w:rStyle w:val="apple-converted-space"/>
          <w:shd w:val="clear" w:color="auto" w:fill="FFFFFF"/>
          <w:lang w:val="en-GB"/>
        </w:rPr>
        <w:t xml:space="preserve">nts to which Belarus is a </w:t>
      </w:r>
      <w:r w:rsidR="00E0044E" w:rsidRPr="00940396">
        <w:rPr>
          <w:rStyle w:val="apple-converted-space"/>
          <w:shd w:val="clear" w:color="auto" w:fill="FFFFFF"/>
          <w:lang w:val="en-GB"/>
        </w:rPr>
        <w:t xml:space="preserve">State </w:t>
      </w:r>
      <w:r w:rsidR="004E1962" w:rsidRPr="0026246C">
        <w:rPr>
          <w:rStyle w:val="apple-converted-space"/>
          <w:shd w:val="clear" w:color="auto" w:fill="FFFFFF"/>
          <w:lang w:val="en-GB"/>
        </w:rPr>
        <w:t>party.</w:t>
      </w:r>
      <w:r w:rsidR="004E1962" w:rsidRPr="0026246C">
        <w:rPr>
          <w:lang w:val="en-GB"/>
        </w:rPr>
        <w:t xml:space="preserve"> In this respect, the Committee recalls its general comment </w:t>
      </w:r>
      <w:r w:rsidR="002A5E74" w:rsidRPr="0026246C">
        <w:rPr>
          <w:lang w:val="en-GB"/>
        </w:rPr>
        <w:t xml:space="preserve">No. </w:t>
      </w:r>
      <w:r w:rsidR="004E1962" w:rsidRPr="0026246C">
        <w:rPr>
          <w:lang w:val="en-GB"/>
        </w:rPr>
        <w:t>6</w:t>
      </w:r>
      <w:r w:rsidR="0040164B">
        <w:rPr>
          <w:lang w:val="en-GB"/>
        </w:rPr>
        <w:t xml:space="preserve"> </w:t>
      </w:r>
      <w:r w:rsidR="0040164B">
        <w:t>(1982) on the right to life</w:t>
      </w:r>
      <w:r w:rsidR="004E1962" w:rsidRPr="0026246C">
        <w:rPr>
          <w:lang w:val="en-GB"/>
        </w:rPr>
        <w:t>, where it noted that the provision that a sentence of death may be imposed only in accordance with the law and not contrary to the provisions of the Covenant</w:t>
      </w:r>
      <w:r w:rsidR="00404865" w:rsidRPr="0026246C">
        <w:rPr>
          <w:lang w:val="en-GB"/>
        </w:rPr>
        <w:t>,</w:t>
      </w:r>
      <w:r w:rsidR="004E1962" w:rsidRPr="0026246C">
        <w:rPr>
          <w:lang w:val="en-GB"/>
        </w:rPr>
        <w:t xml:space="preserve"> </w:t>
      </w:r>
      <w:r w:rsidR="0040164B">
        <w:rPr>
          <w:lang w:val="en-GB"/>
        </w:rPr>
        <w:t xml:space="preserve">which </w:t>
      </w:r>
      <w:r w:rsidR="004E1962" w:rsidRPr="0026246C">
        <w:rPr>
          <w:lang w:val="en-GB"/>
        </w:rPr>
        <w:t xml:space="preserve">implies that </w:t>
      </w:r>
      <w:r w:rsidR="0040164B">
        <w:rPr>
          <w:lang w:val="en-GB"/>
        </w:rPr>
        <w:t>“</w:t>
      </w:r>
      <w:r w:rsidR="004E1962" w:rsidRPr="0026246C">
        <w:rPr>
          <w:lang w:val="en-GB"/>
        </w:rPr>
        <w:t xml:space="preserve">the procedural guarantees therein prescribed must be observed, including the right to a fair hearing by an independent tribunal, the presumption of innocence, the minimum guarantees for the defence, and the </w:t>
      </w:r>
      <w:r w:rsidR="004E1962" w:rsidRPr="0026246C">
        <w:rPr>
          <w:lang w:val="en-GB"/>
        </w:rPr>
        <w:lastRenderedPageBreak/>
        <w:t>right to review by a higher tribunal</w:t>
      </w:r>
      <w:r w:rsidR="005263D8">
        <w:rPr>
          <w:lang w:val="en-GB"/>
        </w:rPr>
        <w:t>”</w:t>
      </w:r>
      <w:r w:rsidR="004E1962" w:rsidRPr="0026246C">
        <w:rPr>
          <w:lang w:val="en-GB"/>
        </w:rPr>
        <w:t>.</w:t>
      </w:r>
      <w:r w:rsidR="004E1962" w:rsidRPr="0026246C">
        <w:rPr>
          <w:rStyle w:val="FootnoteReference"/>
          <w:lang w:val="en-GB"/>
        </w:rPr>
        <w:footnoteReference w:id="37"/>
      </w:r>
      <w:r w:rsidR="004E1962" w:rsidRPr="0026246C">
        <w:rPr>
          <w:lang w:val="en-GB"/>
        </w:rPr>
        <w:t xml:space="preserve"> </w:t>
      </w:r>
      <w:r w:rsidR="004D4277" w:rsidRPr="0026246C">
        <w:rPr>
          <w:lang w:val="en-GB"/>
        </w:rPr>
        <w:t xml:space="preserve">In the </w:t>
      </w:r>
      <w:r w:rsidR="00A6433C" w:rsidRPr="0026246C">
        <w:rPr>
          <w:lang w:val="en-GB"/>
        </w:rPr>
        <w:t>same context, t</w:t>
      </w:r>
      <w:r w:rsidR="004D4277" w:rsidRPr="0026246C">
        <w:rPr>
          <w:lang w:val="en-GB"/>
        </w:rPr>
        <w:t>he Committee reiterates its jurisprudence that the imposition of a sentence of death upon conclusion of a trial, in which the provisions of article 14 of the Covenant have not been respected, constitutes a violation of article 6 of the Covenant</w:t>
      </w:r>
      <w:r w:rsidR="00233DBD">
        <w:rPr>
          <w:lang w:val="en-GB"/>
        </w:rPr>
        <w:t>.</w:t>
      </w:r>
      <w:r w:rsidR="00A6433C" w:rsidRPr="0026246C">
        <w:rPr>
          <w:rStyle w:val="FootnoteReference"/>
          <w:lang w:val="en-GB"/>
        </w:rPr>
        <w:footnoteReference w:id="38"/>
      </w:r>
      <w:r w:rsidR="004D4277" w:rsidRPr="0026246C">
        <w:rPr>
          <w:lang w:val="en-GB"/>
        </w:rPr>
        <w:t xml:space="preserve"> In</w:t>
      </w:r>
      <w:r w:rsidR="00233DBD">
        <w:rPr>
          <w:lang w:val="en-GB"/>
        </w:rPr>
        <w:t xml:space="preserve"> the</w:t>
      </w:r>
      <w:r w:rsidR="004D4277" w:rsidRPr="0026246C">
        <w:rPr>
          <w:lang w:val="en-GB"/>
        </w:rPr>
        <w:t xml:space="preserve"> light of the Committee</w:t>
      </w:r>
      <w:r w:rsidR="00233DBD">
        <w:rPr>
          <w:lang w:val="en-GB"/>
        </w:rPr>
        <w:t>’</w:t>
      </w:r>
      <w:r w:rsidR="004D4277" w:rsidRPr="0026246C">
        <w:rPr>
          <w:lang w:val="en-GB"/>
        </w:rPr>
        <w:t xml:space="preserve">s findings of a violation of </w:t>
      </w:r>
      <w:r w:rsidR="00F80CCF" w:rsidRPr="00940396">
        <w:rPr>
          <w:lang w:val="en-GB"/>
        </w:rPr>
        <w:t xml:space="preserve">article </w:t>
      </w:r>
      <w:r w:rsidR="00A6433C" w:rsidRPr="0026246C">
        <w:rPr>
          <w:lang w:val="en-GB"/>
        </w:rPr>
        <w:t>14, paragraphs 1, 2, 3</w:t>
      </w:r>
      <w:r w:rsidR="00233DBD">
        <w:rPr>
          <w:lang w:val="en-GB"/>
        </w:rPr>
        <w:t xml:space="preserve"> </w:t>
      </w:r>
      <w:r w:rsidR="00A6433C" w:rsidRPr="0026246C">
        <w:rPr>
          <w:lang w:val="en-GB"/>
        </w:rPr>
        <w:t>(b)</w:t>
      </w:r>
      <w:r w:rsidR="00233DBD">
        <w:rPr>
          <w:lang w:val="en-GB"/>
        </w:rPr>
        <w:t xml:space="preserve"> and </w:t>
      </w:r>
      <w:r w:rsidR="00A6433C" w:rsidRPr="0026246C">
        <w:rPr>
          <w:lang w:val="en-GB"/>
        </w:rPr>
        <w:t>(g)</w:t>
      </w:r>
      <w:r w:rsidR="00233DBD">
        <w:rPr>
          <w:lang w:val="en-GB"/>
        </w:rPr>
        <w:t>,</w:t>
      </w:r>
      <w:r w:rsidR="00A6433C" w:rsidRPr="0026246C">
        <w:rPr>
          <w:lang w:val="en-GB"/>
        </w:rPr>
        <w:t xml:space="preserve"> and 5, of the Covenant, </w:t>
      </w:r>
      <w:r w:rsidR="004D4277" w:rsidRPr="0026246C">
        <w:rPr>
          <w:lang w:val="en-GB"/>
        </w:rPr>
        <w:t xml:space="preserve">it concludes </w:t>
      </w:r>
      <w:r w:rsidR="00A6433C" w:rsidRPr="0026246C">
        <w:rPr>
          <w:lang w:val="en-GB"/>
        </w:rPr>
        <w:t>that the final sentence of death</w:t>
      </w:r>
      <w:r w:rsidR="00544D38" w:rsidRPr="00940396">
        <w:rPr>
          <w:lang w:val="en-GB"/>
        </w:rPr>
        <w:t xml:space="preserve"> in respect of Mr. Kovalev</w:t>
      </w:r>
      <w:r w:rsidR="00A6433C" w:rsidRPr="0026246C">
        <w:rPr>
          <w:lang w:val="en-GB"/>
        </w:rPr>
        <w:t xml:space="preserve"> was passed without having met</w:t>
      </w:r>
      <w:r w:rsidR="00A6433C" w:rsidRPr="0026246C">
        <w:rPr>
          <w:b/>
          <w:bCs/>
          <w:lang w:val="en-GB"/>
        </w:rPr>
        <w:t xml:space="preserve"> </w:t>
      </w:r>
      <w:r w:rsidR="00A6433C" w:rsidRPr="0026246C">
        <w:rPr>
          <w:lang w:val="en-GB"/>
        </w:rPr>
        <w:t>the requirements of article 14, and that as a result article 6 of the Covenant has been violated.</w:t>
      </w:r>
    </w:p>
    <w:p w:rsidR="004B42B9" w:rsidRPr="0026246C" w:rsidRDefault="004B42B9" w:rsidP="003E2B03">
      <w:pPr>
        <w:pStyle w:val="SingleTxtG"/>
        <w:rPr>
          <w:lang w:val="en-GB"/>
        </w:rPr>
      </w:pPr>
      <w:r w:rsidRPr="00402254">
        <w:rPr>
          <w:lang w:val="en-GB"/>
        </w:rPr>
        <w:t>11.</w:t>
      </w:r>
      <w:r w:rsidR="00CB00AA" w:rsidRPr="0026246C">
        <w:rPr>
          <w:lang w:val="en-GB"/>
        </w:rPr>
        <w:t>9</w:t>
      </w:r>
      <w:r w:rsidRPr="0026246C">
        <w:rPr>
          <w:lang w:val="en-GB"/>
        </w:rPr>
        <w:tab/>
        <w:t>In the light of the above finding of a violation of article 6 of the Covenant, the Committee will no</w:t>
      </w:r>
      <w:r w:rsidR="00B307CA" w:rsidRPr="0026246C">
        <w:rPr>
          <w:lang w:val="en-GB"/>
        </w:rPr>
        <w:t>t examine separately the authors’ allegation under article 7 with regard to</w:t>
      </w:r>
      <w:r w:rsidRPr="0026246C">
        <w:rPr>
          <w:lang w:val="en-GB"/>
        </w:rPr>
        <w:t xml:space="preserve"> Mr. Kovalev’s mental distress</w:t>
      </w:r>
      <w:r w:rsidR="000C2740" w:rsidRPr="0026246C">
        <w:rPr>
          <w:lang w:val="en-GB"/>
        </w:rPr>
        <w:t xml:space="preserve"> caused by the situation of uncertainty about his fate</w:t>
      </w:r>
      <w:r w:rsidR="007559A7" w:rsidRPr="0026246C">
        <w:rPr>
          <w:lang w:val="en-GB"/>
        </w:rPr>
        <w:t xml:space="preserve"> (see para. 3.10 above)</w:t>
      </w:r>
      <w:r w:rsidR="003D3E60" w:rsidRPr="0026246C">
        <w:rPr>
          <w:lang w:val="en-GB"/>
        </w:rPr>
        <w:t xml:space="preserve">. </w:t>
      </w:r>
    </w:p>
    <w:p w:rsidR="008468EB" w:rsidRPr="0026246C" w:rsidRDefault="00805DD2" w:rsidP="00233DBD">
      <w:pPr>
        <w:pStyle w:val="SingleTxtG"/>
        <w:rPr>
          <w:lang w:val="en-GB"/>
        </w:rPr>
      </w:pPr>
      <w:r w:rsidRPr="0026246C">
        <w:rPr>
          <w:lang w:val="en-GB"/>
        </w:rPr>
        <w:t>11.</w:t>
      </w:r>
      <w:r w:rsidR="00CB00AA" w:rsidRPr="0026246C">
        <w:rPr>
          <w:lang w:val="en-GB"/>
        </w:rPr>
        <w:t>10</w:t>
      </w:r>
      <w:r w:rsidR="00CB00AA" w:rsidRPr="0026246C">
        <w:rPr>
          <w:lang w:val="en-GB"/>
        </w:rPr>
        <w:tab/>
      </w:r>
      <w:r w:rsidR="009D3E11" w:rsidRPr="0026246C">
        <w:rPr>
          <w:lang w:val="en-GB"/>
        </w:rPr>
        <w:t xml:space="preserve">The Committee </w:t>
      </w:r>
      <w:r w:rsidR="001642F6" w:rsidRPr="0026246C">
        <w:rPr>
          <w:lang w:val="en-GB"/>
        </w:rPr>
        <w:t xml:space="preserve">notes </w:t>
      </w:r>
      <w:r w:rsidR="00E369CD" w:rsidRPr="0026246C">
        <w:rPr>
          <w:lang w:val="en-GB"/>
        </w:rPr>
        <w:t>the authors</w:t>
      </w:r>
      <w:r w:rsidR="00DE6CE2" w:rsidRPr="0026246C">
        <w:rPr>
          <w:lang w:val="en-GB"/>
        </w:rPr>
        <w:t>’</w:t>
      </w:r>
      <w:r w:rsidR="004B4006" w:rsidRPr="0026246C">
        <w:rPr>
          <w:lang w:val="en-GB"/>
        </w:rPr>
        <w:t xml:space="preserve"> </w:t>
      </w:r>
      <w:r w:rsidR="00CB0726" w:rsidRPr="0026246C">
        <w:rPr>
          <w:lang w:val="en-GB"/>
        </w:rPr>
        <w:t>claim t</w:t>
      </w:r>
      <w:r w:rsidR="00DE6CE2" w:rsidRPr="0026246C">
        <w:rPr>
          <w:lang w:val="en-GB"/>
        </w:rPr>
        <w:t xml:space="preserve">hat they themselves are victims of a violation of article 7 </w:t>
      </w:r>
      <w:r w:rsidR="00CB0726" w:rsidRPr="0026246C">
        <w:rPr>
          <w:lang w:val="en-GB"/>
        </w:rPr>
        <w:t>of the Covenant</w:t>
      </w:r>
      <w:r w:rsidR="00DE6CE2" w:rsidRPr="0026246C">
        <w:rPr>
          <w:lang w:val="en-GB"/>
        </w:rPr>
        <w:t xml:space="preserve"> in view of the severe mental suffering and stress caused to them </w:t>
      </w:r>
      <w:r w:rsidR="00353028" w:rsidRPr="0026246C">
        <w:rPr>
          <w:lang w:val="en-GB"/>
        </w:rPr>
        <w:t xml:space="preserve">as a result of </w:t>
      </w:r>
      <w:r w:rsidR="00DE6CE2" w:rsidRPr="0026246C">
        <w:rPr>
          <w:lang w:val="en-GB"/>
        </w:rPr>
        <w:t>th</w:t>
      </w:r>
      <w:r w:rsidR="009D3E11" w:rsidRPr="0026246C">
        <w:rPr>
          <w:lang w:val="en-GB"/>
        </w:rPr>
        <w:t xml:space="preserve">e </w:t>
      </w:r>
      <w:r w:rsidR="00CA097D" w:rsidRPr="0026246C">
        <w:rPr>
          <w:lang w:val="en-GB"/>
        </w:rPr>
        <w:t>authorities</w:t>
      </w:r>
      <w:r w:rsidR="00CB0726" w:rsidRPr="0026246C">
        <w:rPr>
          <w:lang w:val="en-GB"/>
        </w:rPr>
        <w:t xml:space="preserve">’ refusal </w:t>
      </w:r>
      <w:r w:rsidR="009D3E11" w:rsidRPr="0026246C">
        <w:rPr>
          <w:lang w:val="en-GB"/>
        </w:rPr>
        <w:t xml:space="preserve">to reveal any detail about </w:t>
      </w:r>
      <w:r w:rsidR="00CA097D" w:rsidRPr="0026246C">
        <w:rPr>
          <w:lang w:val="en-GB"/>
        </w:rPr>
        <w:t xml:space="preserve">Mr. Kovalev’s </w:t>
      </w:r>
      <w:r w:rsidR="009D3E11" w:rsidRPr="0026246C">
        <w:rPr>
          <w:lang w:val="en-GB"/>
        </w:rPr>
        <w:t>situation or whereabouts</w:t>
      </w:r>
      <w:r w:rsidR="00CA097D" w:rsidRPr="0026246C">
        <w:rPr>
          <w:lang w:val="en-GB"/>
        </w:rPr>
        <w:t xml:space="preserve"> </w:t>
      </w:r>
      <w:r w:rsidR="00E31E5B" w:rsidRPr="0026246C">
        <w:rPr>
          <w:lang w:val="en-GB"/>
        </w:rPr>
        <w:t>from</w:t>
      </w:r>
      <w:r w:rsidR="00CA097D" w:rsidRPr="0026246C">
        <w:rPr>
          <w:lang w:val="en-GB"/>
        </w:rPr>
        <w:t xml:space="preserve"> </w:t>
      </w:r>
      <w:r w:rsidR="00E31E5B" w:rsidRPr="0026246C">
        <w:rPr>
          <w:lang w:val="en-GB"/>
        </w:rPr>
        <w:t>1</w:t>
      </w:r>
      <w:r w:rsidR="00E369CD" w:rsidRPr="0026246C">
        <w:rPr>
          <w:lang w:val="en-GB"/>
        </w:rPr>
        <w:t>3 March 2012</w:t>
      </w:r>
      <w:r w:rsidR="00E31E5B" w:rsidRPr="0026246C">
        <w:rPr>
          <w:lang w:val="en-GB"/>
        </w:rPr>
        <w:t xml:space="preserve"> (rejection of his application for pardon)</w:t>
      </w:r>
      <w:r w:rsidR="00334861" w:rsidRPr="0026246C">
        <w:rPr>
          <w:lang w:val="en-GB"/>
        </w:rPr>
        <w:t xml:space="preserve"> until 17 March 2012 </w:t>
      </w:r>
      <w:r w:rsidR="00E31E5B" w:rsidRPr="0026246C">
        <w:rPr>
          <w:lang w:val="en-GB"/>
        </w:rPr>
        <w:t>(when they were</w:t>
      </w:r>
      <w:r w:rsidR="00334861" w:rsidRPr="0026246C">
        <w:rPr>
          <w:lang w:val="en-GB"/>
        </w:rPr>
        <w:t xml:space="preserve"> informed </w:t>
      </w:r>
      <w:r w:rsidR="00CB0726" w:rsidRPr="0026246C">
        <w:rPr>
          <w:lang w:val="en-GB"/>
        </w:rPr>
        <w:t>that the death sentence had been carried out</w:t>
      </w:r>
      <w:r w:rsidR="00E31E5B" w:rsidRPr="0026246C">
        <w:rPr>
          <w:lang w:val="en-GB"/>
        </w:rPr>
        <w:t>)</w:t>
      </w:r>
      <w:r w:rsidR="008468E2" w:rsidRPr="0026246C">
        <w:rPr>
          <w:lang w:val="en-GB"/>
        </w:rPr>
        <w:t>, as well</w:t>
      </w:r>
      <w:r w:rsidR="00353028" w:rsidRPr="0026246C">
        <w:rPr>
          <w:lang w:val="en-GB"/>
        </w:rPr>
        <w:t xml:space="preserve"> as </w:t>
      </w:r>
      <w:r w:rsidR="00107BF9" w:rsidRPr="0026246C">
        <w:rPr>
          <w:lang w:val="en-GB"/>
        </w:rPr>
        <w:t>their</w:t>
      </w:r>
      <w:r w:rsidR="00353028" w:rsidRPr="0026246C">
        <w:rPr>
          <w:lang w:val="en-GB"/>
        </w:rPr>
        <w:t xml:space="preserve"> </w:t>
      </w:r>
      <w:r w:rsidR="008468E2" w:rsidRPr="0026246C">
        <w:rPr>
          <w:lang w:val="en-GB"/>
        </w:rPr>
        <w:t xml:space="preserve">failure </w:t>
      </w:r>
      <w:r w:rsidR="001642F6" w:rsidRPr="0026246C">
        <w:rPr>
          <w:lang w:val="en-GB"/>
        </w:rPr>
        <w:t xml:space="preserve">to inform them </w:t>
      </w:r>
      <w:r w:rsidR="00107BF9" w:rsidRPr="0026246C">
        <w:rPr>
          <w:lang w:val="en-GB"/>
        </w:rPr>
        <w:t xml:space="preserve">beforehand </w:t>
      </w:r>
      <w:r w:rsidR="001642F6" w:rsidRPr="0026246C">
        <w:rPr>
          <w:lang w:val="en-GB"/>
        </w:rPr>
        <w:t xml:space="preserve">of the date, time and place </w:t>
      </w:r>
      <w:r w:rsidR="009B293E" w:rsidRPr="0026246C">
        <w:rPr>
          <w:lang w:val="en-GB"/>
        </w:rPr>
        <w:t xml:space="preserve">of the execution, to release the body for burial and to disclose </w:t>
      </w:r>
      <w:r w:rsidR="00E369CD" w:rsidRPr="0026246C">
        <w:rPr>
          <w:lang w:val="en-GB"/>
        </w:rPr>
        <w:t xml:space="preserve">the </w:t>
      </w:r>
      <w:r w:rsidR="009B293E" w:rsidRPr="0026246C">
        <w:rPr>
          <w:lang w:val="en-GB"/>
        </w:rPr>
        <w:t xml:space="preserve">location of Mr. Kovalev’s </w:t>
      </w:r>
      <w:r w:rsidR="00046AA1" w:rsidRPr="0026246C">
        <w:rPr>
          <w:lang w:val="en-GB"/>
        </w:rPr>
        <w:t>burial site</w:t>
      </w:r>
      <w:r w:rsidR="009B293E" w:rsidRPr="0026246C">
        <w:rPr>
          <w:lang w:val="en-GB"/>
        </w:rPr>
        <w:t xml:space="preserve">. </w:t>
      </w:r>
      <w:r w:rsidR="000A05D1" w:rsidRPr="0026246C">
        <w:rPr>
          <w:lang w:val="en-GB"/>
        </w:rPr>
        <w:t>These allegations remain unchallenged by the State party.</w:t>
      </w:r>
      <w:r w:rsidR="00584511" w:rsidRPr="0026246C">
        <w:rPr>
          <w:lang w:val="en-GB"/>
        </w:rPr>
        <w:t xml:space="preserve"> The Committee notes that the law in force </w:t>
      </w:r>
      <w:r w:rsidR="00177653" w:rsidRPr="0026246C">
        <w:rPr>
          <w:lang w:val="en-GB"/>
        </w:rPr>
        <w:t xml:space="preserve">prescribes that </w:t>
      </w:r>
      <w:r w:rsidR="00DE17DC" w:rsidRPr="0026246C">
        <w:rPr>
          <w:lang w:val="en-GB"/>
        </w:rPr>
        <w:t>the</w:t>
      </w:r>
      <w:r w:rsidR="00584511" w:rsidRPr="0026246C">
        <w:rPr>
          <w:lang w:val="en-GB"/>
        </w:rPr>
        <w:t xml:space="preserve"> family of an individual under sentence of death </w:t>
      </w:r>
      <w:r w:rsidR="00177653" w:rsidRPr="0026246C">
        <w:rPr>
          <w:lang w:val="en-GB"/>
        </w:rPr>
        <w:t xml:space="preserve">is not </w:t>
      </w:r>
      <w:r w:rsidR="00584511" w:rsidRPr="0026246C">
        <w:rPr>
          <w:lang w:val="en-GB"/>
        </w:rPr>
        <w:t xml:space="preserve">informed </w:t>
      </w:r>
      <w:r w:rsidR="00DE17DC" w:rsidRPr="0026246C">
        <w:rPr>
          <w:rFonts w:ascii="TimesNewRomanPSMT" w:hAnsi="TimesNewRomanPSMT" w:cs="TimesNewRomanPSMT"/>
          <w:lang w:val="en-GB"/>
        </w:rPr>
        <w:t xml:space="preserve">in advance of the date of the execution, the body is not handed over </w:t>
      </w:r>
      <w:r w:rsidR="00177653" w:rsidRPr="0026246C">
        <w:rPr>
          <w:rFonts w:ascii="TimesNewRomanPSMT" w:hAnsi="TimesNewRomanPSMT" w:cs="TimesNewRomanPSMT"/>
          <w:lang w:val="en-GB"/>
        </w:rPr>
        <w:t xml:space="preserve">to them and </w:t>
      </w:r>
      <w:r w:rsidR="00584511" w:rsidRPr="0026246C">
        <w:rPr>
          <w:lang w:val="en-GB"/>
        </w:rPr>
        <w:t>the location of the burial site of the executed prisoner</w:t>
      </w:r>
      <w:r w:rsidR="00177653" w:rsidRPr="0026246C">
        <w:rPr>
          <w:lang w:val="en-GB"/>
        </w:rPr>
        <w:t xml:space="preserve"> is not disclosed</w:t>
      </w:r>
      <w:r w:rsidR="00584511" w:rsidRPr="0026246C">
        <w:rPr>
          <w:lang w:val="en-GB"/>
        </w:rPr>
        <w:t xml:space="preserve">. </w:t>
      </w:r>
      <w:r w:rsidR="009D3E11" w:rsidRPr="0026246C">
        <w:rPr>
          <w:lang w:val="en-GB"/>
        </w:rPr>
        <w:t>The Committee understands the continued anguish and mental stress caused to the author</w:t>
      </w:r>
      <w:r w:rsidR="00CA097D" w:rsidRPr="0026246C">
        <w:rPr>
          <w:lang w:val="en-GB"/>
        </w:rPr>
        <w:t>s</w:t>
      </w:r>
      <w:r w:rsidR="009D3E11" w:rsidRPr="0026246C">
        <w:rPr>
          <w:lang w:val="en-GB"/>
        </w:rPr>
        <w:t xml:space="preserve">, as the mother </w:t>
      </w:r>
      <w:r w:rsidR="0034719D" w:rsidRPr="0026246C">
        <w:rPr>
          <w:lang w:val="en-GB"/>
        </w:rPr>
        <w:t>and sister of the</w:t>
      </w:r>
      <w:r w:rsidR="009D3E11" w:rsidRPr="0026246C">
        <w:rPr>
          <w:lang w:val="en-GB"/>
        </w:rPr>
        <w:t xml:space="preserve"> condemned prisoner, by the persisting uncertainty of the circumstances that led to his execution, as well as the location of his grave. The </w:t>
      </w:r>
      <w:r w:rsidR="00C55424" w:rsidRPr="0026246C">
        <w:rPr>
          <w:lang w:val="en-GB"/>
        </w:rPr>
        <w:t xml:space="preserve">complete </w:t>
      </w:r>
      <w:r w:rsidR="009D3E11" w:rsidRPr="0026246C">
        <w:rPr>
          <w:lang w:val="en-GB"/>
        </w:rPr>
        <w:t xml:space="preserve">secrecy surrounding the date of </w:t>
      </w:r>
      <w:r w:rsidR="0034719D" w:rsidRPr="0026246C">
        <w:rPr>
          <w:lang w:val="en-GB"/>
        </w:rPr>
        <w:t>the execution</w:t>
      </w:r>
      <w:r w:rsidR="00B11348" w:rsidRPr="0026246C">
        <w:rPr>
          <w:lang w:val="en-GB"/>
        </w:rPr>
        <w:t xml:space="preserve"> and</w:t>
      </w:r>
      <w:r w:rsidR="00C55424" w:rsidRPr="0026246C">
        <w:rPr>
          <w:lang w:val="en-GB"/>
        </w:rPr>
        <w:t xml:space="preserve"> </w:t>
      </w:r>
      <w:r w:rsidR="009D3E11" w:rsidRPr="0026246C">
        <w:rPr>
          <w:lang w:val="en-GB"/>
        </w:rPr>
        <w:t>the place of burial</w:t>
      </w:r>
      <w:r w:rsidR="00B11348" w:rsidRPr="0026246C">
        <w:rPr>
          <w:lang w:val="en-GB"/>
        </w:rPr>
        <w:t>, as well as</w:t>
      </w:r>
      <w:r w:rsidR="009D3E11" w:rsidRPr="0026246C">
        <w:rPr>
          <w:lang w:val="en-GB"/>
        </w:rPr>
        <w:t xml:space="preserve"> </w:t>
      </w:r>
      <w:r w:rsidR="00C55424" w:rsidRPr="0026246C">
        <w:rPr>
          <w:lang w:val="en-GB"/>
        </w:rPr>
        <w:t>the refusal to hand over the body for burial</w:t>
      </w:r>
      <w:r w:rsidR="00B11348" w:rsidRPr="0026246C">
        <w:rPr>
          <w:lang w:val="en-GB"/>
        </w:rPr>
        <w:t xml:space="preserve"> in accordance with the </w:t>
      </w:r>
      <w:r w:rsidR="00C162CF" w:rsidRPr="0026246C">
        <w:rPr>
          <w:lang w:val="en-GB"/>
        </w:rPr>
        <w:t>religious beliefs and practices of the</w:t>
      </w:r>
      <w:r w:rsidR="00C55424" w:rsidRPr="0026246C">
        <w:rPr>
          <w:lang w:val="en-GB"/>
        </w:rPr>
        <w:t xml:space="preserve"> </w:t>
      </w:r>
      <w:r w:rsidR="00422CD7" w:rsidRPr="0026246C">
        <w:rPr>
          <w:lang w:val="en-GB"/>
        </w:rPr>
        <w:t>executed prisoner</w:t>
      </w:r>
      <w:r w:rsidR="00B80D3E" w:rsidRPr="0026246C">
        <w:rPr>
          <w:lang w:val="en-GB"/>
        </w:rPr>
        <w:t>’s</w:t>
      </w:r>
      <w:r w:rsidR="00575B5C" w:rsidRPr="0026246C">
        <w:rPr>
          <w:lang w:val="en-GB"/>
        </w:rPr>
        <w:t xml:space="preserve"> famil</w:t>
      </w:r>
      <w:r w:rsidR="00B80D3E" w:rsidRPr="0026246C">
        <w:rPr>
          <w:lang w:val="en-GB"/>
        </w:rPr>
        <w:t>y</w:t>
      </w:r>
      <w:r w:rsidR="00422CD7" w:rsidRPr="0026246C">
        <w:rPr>
          <w:lang w:val="en-GB"/>
        </w:rPr>
        <w:t xml:space="preserve"> </w:t>
      </w:r>
      <w:r w:rsidR="009D3E11" w:rsidRPr="0026246C">
        <w:rPr>
          <w:lang w:val="en-GB"/>
        </w:rPr>
        <w:t xml:space="preserve">have the effect of intimidating or punishing </w:t>
      </w:r>
      <w:r w:rsidR="00422CD7" w:rsidRPr="0026246C">
        <w:rPr>
          <w:lang w:val="en-GB"/>
        </w:rPr>
        <w:t xml:space="preserve">the </w:t>
      </w:r>
      <w:r w:rsidR="009D3E11" w:rsidRPr="0026246C">
        <w:rPr>
          <w:lang w:val="en-GB"/>
        </w:rPr>
        <w:t>famil</w:t>
      </w:r>
      <w:r w:rsidR="00B80D3E" w:rsidRPr="0026246C">
        <w:rPr>
          <w:lang w:val="en-GB"/>
        </w:rPr>
        <w:t>y</w:t>
      </w:r>
      <w:r w:rsidR="009D3E11" w:rsidRPr="0026246C">
        <w:rPr>
          <w:lang w:val="en-GB"/>
        </w:rPr>
        <w:t xml:space="preserve"> by intentionally leaving </w:t>
      </w:r>
      <w:r w:rsidR="00B80D3E" w:rsidRPr="0026246C">
        <w:rPr>
          <w:lang w:val="en-GB"/>
        </w:rPr>
        <w:t xml:space="preserve">it </w:t>
      </w:r>
      <w:r w:rsidR="009D3E11" w:rsidRPr="0026246C">
        <w:rPr>
          <w:lang w:val="en-GB"/>
        </w:rPr>
        <w:t xml:space="preserve">in a state of uncertainty and mental distress. The Committee </w:t>
      </w:r>
      <w:r w:rsidR="0034719D" w:rsidRPr="0026246C">
        <w:rPr>
          <w:lang w:val="en-GB"/>
        </w:rPr>
        <w:t xml:space="preserve">therefore </w:t>
      </w:r>
      <w:r w:rsidR="009D3E11" w:rsidRPr="0026246C">
        <w:rPr>
          <w:lang w:val="en-GB"/>
        </w:rPr>
        <w:t>con</w:t>
      </w:r>
      <w:r w:rsidR="00575B5C" w:rsidRPr="0026246C">
        <w:rPr>
          <w:lang w:val="en-GB"/>
        </w:rPr>
        <w:t>cludes</w:t>
      </w:r>
      <w:r w:rsidR="009D3E11" w:rsidRPr="0026246C">
        <w:rPr>
          <w:lang w:val="en-GB"/>
        </w:rPr>
        <w:t xml:space="preserve"> that </w:t>
      </w:r>
      <w:r w:rsidR="00575B5C" w:rsidRPr="0026246C">
        <w:rPr>
          <w:lang w:val="en-GB"/>
        </w:rPr>
        <w:t xml:space="preserve">these elements, </w:t>
      </w:r>
      <w:r w:rsidR="00B80D3E" w:rsidRPr="0026246C">
        <w:rPr>
          <w:lang w:val="en-GB"/>
        </w:rPr>
        <w:t>cumulatively</w:t>
      </w:r>
      <w:r w:rsidR="009E6CAE" w:rsidRPr="0026246C">
        <w:rPr>
          <w:lang w:val="en-GB"/>
        </w:rPr>
        <w:t xml:space="preserve">, </w:t>
      </w:r>
      <w:r w:rsidR="00C55424" w:rsidRPr="0026246C">
        <w:rPr>
          <w:lang w:val="en-GB"/>
        </w:rPr>
        <w:t xml:space="preserve">and the </w:t>
      </w:r>
      <w:r w:rsidR="009E6CAE" w:rsidRPr="0026246C">
        <w:rPr>
          <w:lang w:val="en-GB"/>
        </w:rPr>
        <w:t xml:space="preserve">State party’s </w:t>
      </w:r>
      <w:r w:rsidR="00C55424" w:rsidRPr="0026246C">
        <w:rPr>
          <w:lang w:val="en-GB"/>
        </w:rPr>
        <w:t xml:space="preserve">subsequent persistent failure to notify the authors of the location of </w:t>
      </w:r>
      <w:r w:rsidR="009E6CAE" w:rsidRPr="0026246C">
        <w:rPr>
          <w:lang w:val="en-GB"/>
        </w:rPr>
        <w:t xml:space="preserve">Mr. Kovalev’s </w:t>
      </w:r>
      <w:r w:rsidR="00C55424" w:rsidRPr="0026246C">
        <w:rPr>
          <w:lang w:val="en-GB"/>
        </w:rPr>
        <w:t>grave</w:t>
      </w:r>
      <w:r w:rsidR="00EC6990" w:rsidRPr="0026246C">
        <w:rPr>
          <w:lang w:val="en-GB"/>
        </w:rPr>
        <w:t>,</w:t>
      </w:r>
      <w:r w:rsidR="009D3E11" w:rsidRPr="0026246C">
        <w:rPr>
          <w:lang w:val="en-GB"/>
        </w:rPr>
        <w:t xml:space="preserve"> amount to inhuman treatment of the author</w:t>
      </w:r>
      <w:r w:rsidR="000475AA" w:rsidRPr="0026246C">
        <w:rPr>
          <w:lang w:val="en-GB"/>
        </w:rPr>
        <w:t>s</w:t>
      </w:r>
      <w:r w:rsidR="009D3E11" w:rsidRPr="0026246C">
        <w:rPr>
          <w:lang w:val="en-GB"/>
        </w:rPr>
        <w:t>, in violation of article 7 of the Covenant.</w:t>
      </w:r>
      <w:r w:rsidR="00702C90" w:rsidRPr="0026246C">
        <w:rPr>
          <w:rStyle w:val="FootnoteReference"/>
          <w:lang w:val="en-GB"/>
        </w:rPr>
        <w:footnoteReference w:id="39"/>
      </w:r>
    </w:p>
    <w:p w:rsidR="008468EB" w:rsidRPr="0026246C" w:rsidRDefault="00A83379" w:rsidP="008F1BE6">
      <w:pPr>
        <w:pStyle w:val="SingleTxtG"/>
      </w:pPr>
      <w:r w:rsidRPr="0026246C">
        <w:rPr>
          <w:lang w:val="en-GB"/>
        </w:rPr>
        <w:t>11.</w:t>
      </w:r>
      <w:r w:rsidR="00E60717" w:rsidRPr="00940396">
        <w:rPr>
          <w:lang w:val="en-GB"/>
        </w:rPr>
        <w:t>11</w:t>
      </w:r>
      <w:r w:rsidR="008468EB" w:rsidRPr="0026246C">
        <w:rPr>
          <w:lang w:val="en-GB"/>
        </w:rPr>
        <w:t xml:space="preserve"> </w:t>
      </w:r>
      <w:r w:rsidR="008F0233" w:rsidRPr="0026246C">
        <w:rPr>
          <w:lang w:val="en-GB"/>
        </w:rPr>
        <w:t>Having come to this conclusion</w:t>
      </w:r>
      <w:r w:rsidR="0028504E" w:rsidRPr="0026246C">
        <w:rPr>
          <w:lang w:val="en-GB"/>
        </w:rPr>
        <w:t xml:space="preserve">, the Committee will not </w:t>
      </w:r>
      <w:r w:rsidR="0028504E" w:rsidRPr="00940396">
        <w:rPr>
          <w:lang w:val="en-GB"/>
        </w:rPr>
        <w:t>examine</w:t>
      </w:r>
      <w:r w:rsidR="008F0233" w:rsidRPr="0026246C">
        <w:rPr>
          <w:lang w:val="en-GB"/>
        </w:rPr>
        <w:t xml:space="preserve"> the author</w:t>
      </w:r>
      <w:r w:rsidR="008F0233" w:rsidRPr="00940396">
        <w:rPr>
          <w:lang w:val="en-GB"/>
        </w:rPr>
        <w:t>s</w:t>
      </w:r>
      <w:r w:rsidR="008F0233" w:rsidRPr="0026246C">
        <w:rPr>
          <w:lang w:val="en-GB"/>
        </w:rPr>
        <w:t>’ separate allegations under article 1</w:t>
      </w:r>
      <w:r w:rsidR="008F0233" w:rsidRPr="00940396">
        <w:rPr>
          <w:lang w:val="en-GB"/>
        </w:rPr>
        <w:t>8</w:t>
      </w:r>
      <w:r w:rsidR="008F0233" w:rsidRPr="0026246C">
        <w:rPr>
          <w:lang w:val="en-GB"/>
        </w:rPr>
        <w:t xml:space="preserve"> of the Covenant.</w:t>
      </w:r>
      <w:r w:rsidR="008468EB" w:rsidRPr="0026246C">
        <w:rPr>
          <w:lang w:val="en-GB"/>
        </w:rPr>
        <w:t xml:space="preserve"> </w:t>
      </w:r>
    </w:p>
    <w:p w:rsidR="009A3720" w:rsidRPr="0026246C" w:rsidRDefault="00D477A0" w:rsidP="009A3720">
      <w:pPr>
        <w:pStyle w:val="SingleTxtG"/>
        <w:rPr>
          <w:lang w:val="en-GB"/>
        </w:rPr>
      </w:pPr>
      <w:r w:rsidRPr="0026246C">
        <w:rPr>
          <w:lang w:val="en-GB"/>
        </w:rPr>
        <w:lastRenderedPageBreak/>
        <w:t>12</w:t>
      </w:r>
      <w:r w:rsidR="008806E5" w:rsidRPr="0026246C">
        <w:rPr>
          <w:lang w:val="en-GB"/>
        </w:rPr>
        <w:t>.</w:t>
      </w:r>
      <w:r w:rsidR="00A6433C" w:rsidRPr="0026246C">
        <w:rPr>
          <w:lang w:val="en-GB"/>
        </w:rPr>
        <w:tab/>
      </w:r>
      <w:r w:rsidR="00EE75E2" w:rsidRPr="0026246C">
        <w:rPr>
          <w:lang w:val="en-GB"/>
        </w:rPr>
        <w:t>The Human Rights Committee, acting under article 5, paragraph 4, of the Optional Protocol to the Covenant, is of the view that the facts before it disclose a violation</w:t>
      </w:r>
      <w:r w:rsidR="009A3720" w:rsidRPr="0026246C">
        <w:rPr>
          <w:lang w:val="en-GB"/>
        </w:rPr>
        <w:t xml:space="preserve"> of Mr</w:t>
      </w:r>
      <w:r w:rsidR="006D2FB9" w:rsidRPr="0026246C">
        <w:rPr>
          <w:lang w:val="en-GB"/>
        </w:rPr>
        <w:t>.</w:t>
      </w:r>
      <w:r w:rsidR="009A3720" w:rsidRPr="0026246C">
        <w:rPr>
          <w:lang w:val="en-GB"/>
        </w:rPr>
        <w:t xml:space="preserve"> Kovalev</w:t>
      </w:r>
      <w:r w:rsidR="001273F7">
        <w:rPr>
          <w:lang w:val="en-GB"/>
        </w:rPr>
        <w:t>’</w:t>
      </w:r>
      <w:r w:rsidR="009A3720" w:rsidRPr="0026246C">
        <w:rPr>
          <w:lang w:val="en-GB"/>
        </w:rPr>
        <w:t>s rights under articles 6; 7; 9, paragraph 3</w:t>
      </w:r>
      <w:r w:rsidR="00EE75E2" w:rsidRPr="0026246C">
        <w:rPr>
          <w:lang w:val="en-GB"/>
        </w:rPr>
        <w:t>; and 14, paragraphs 1</w:t>
      </w:r>
      <w:r w:rsidR="009A3720" w:rsidRPr="0026246C">
        <w:rPr>
          <w:lang w:val="en-GB"/>
        </w:rPr>
        <w:t>, 2, 3 (b)</w:t>
      </w:r>
      <w:r w:rsidR="001273F7">
        <w:rPr>
          <w:lang w:val="en-GB"/>
        </w:rPr>
        <w:t xml:space="preserve"> and</w:t>
      </w:r>
      <w:r w:rsidR="009A3720" w:rsidRPr="0026246C">
        <w:rPr>
          <w:lang w:val="en-GB"/>
        </w:rPr>
        <w:t xml:space="preserve"> (g), and 5</w:t>
      </w:r>
      <w:r w:rsidR="006C3590" w:rsidRPr="0026246C">
        <w:rPr>
          <w:lang w:val="en-GB"/>
        </w:rPr>
        <w:t>, of the Covenant, as well as under article 7 in relation to the authors themselves.</w:t>
      </w:r>
      <w:r w:rsidR="009A3720" w:rsidRPr="0026246C">
        <w:rPr>
          <w:lang w:val="en-GB"/>
        </w:rPr>
        <w:t xml:space="preserve"> The State party also breached its obligations under article 1 of the Optional Protocol to the Covenant.</w:t>
      </w:r>
    </w:p>
    <w:p w:rsidR="009A3720" w:rsidRPr="0026246C" w:rsidRDefault="00D477A0" w:rsidP="009A3720">
      <w:pPr>
        <w:pStyle w:val="SingleTxtG"/>
        <w:rPr>
          <w:lang w:val="en-GB"/>
        </w:rPr>
      </w:pPr>
      <w:r w:rsidRPr="0026246C">
        <w:rPr>
          <w:lang w:val="en-GB"/>
        </w:rPr>
        <w:t>13</w:t>
      </w:r>
      <w:r w:rsidR="009A3720" w:rsidRPr="0026246C">
        <w:rPr>
          <w:lang w:val="en-GB"/>
        </w:rPr>
        <w:t>.</w:t>
      </w:r>
      <w:r w:rsidR="009A3720" w:rsidRPr="0026246C">
        <w:rPr>
          <w:lang w:val="en-GB"/>
        </w:rPr>
        <w:tab/>
      </w:r>
      <w:r w:rsidR="009A3720" w:rsidRPr="0026246C">
        <w:rPr>
          <w:color w:val="000000"/>
          <w:shd w:val="clear" w:color="auto" w:fill="FFFFFF"/>
          <w:lang w:val="en-GB"/>
        </w:rPr>
        <w:t>In accordance with article 2, paragraph 3 (a), of the Covenant, the State party is under an obligation to provide the authors with an effective remedy, including appropriate compensation</w:t>
      </w:r>
      <w:r w:rsidR="006C3590" w:rsidRPr="00940396">
        <w:rPr>
          <w:color w:val="000000"/>
          <w:shd w:val="clear" w:color="auto" w:fill="FFFFFF"/>
          <w:lang w:val="en-GB"/>
        </w:rPr>
        <w:t xml:space="preserve"> for the anguish su</w:t>
      </w:r>
      <w:r w:rsidR="006C3590" w:rsidRPr="00402254">
        <w:rPr>
          <w:color w:val="000000"/>
          <w:shd w:val="clear" w:color="auto" w:fill="FFFFFF"/>
          <w:lang w:val="en-GB"/>
        </w:rPr>
        <w:t>ffered</w:t>
      </w:r>
      <w:r w:rsidR="007334F7" w:rsidRPr="0026246C">
        <w:rPr>
          <w:color w:val="000000"/>
          <w:shd w:val="clear" w:color="auto" w:fill="FFFFFF"/>
          <w:lang w:val="en-GB"/>
        </w:rPr>
        <w:t>,</w:t>
      </w:r>
      <w:r w:rsidR="006C3590" w:rsidRPr="0026246C">
        <w:rPr>
          <w:color w:val="000000"/>
          <w:shd w:val="clear" w:color="auto" w:fill="FFFFFF"/>
          <w:lang w:val="en-GB"/>
        </w:rPr>
        <w:t xml:space="preserve"> and disclos</w:t>
      </w:r>
      <w:r w:rsidR="007334F7" w:rsidRPr="0026246C">
        <w:rPr>
          <w:color w:val="000000"/>
          <w:shd w:val="clear" w:color="auto" w:fill="FFFFFF"/>
          <w:lang w:val="en-GB"/>
        </w:rPr>
        <w:t>ur</w:t>
      </w:r>
      <w:r w:rsidR="006C3590" w:rsidRPr="0026246C">
        <w:rPr>
          <w:color w:val="000000"/>
          <w:shd w:val="clear" w:color="auto" w:fill="FFFFFF"/>
          <w:lang w:val="en-GB"/>
        </w:rPr>
        <w:t xml:space="preserve">e </w:t>
      </w:r>
      <w:r w:rsidR="007334F7" w:rsidRPr="0026246C">
        <w:rPr>
          <w:color w:val="000000"/>
          <w:shd w:val="clear" w:color="auto" w:fill="FFFFFF"/>
          <w:lang w:val="en-GB"/>
        </w:rPr>
        <w:t xml:space="preserve">of </w:t>
      </w:r>
      <w:r w:rsidR="006C3590" w:rsidRPr="0026246C">
        <w:rPr>
          <w:color w:val="000000"/>
          <w:shd w:val="clear" w:color="auto" w:fill="FFFFFF"/>
          <w:lang w:val="en-GB"/>
        </w:rPr>
        <w:t xml:space="preserve">the burial site of </w:t>
      </w:r>
      <w:r w:rsidR="005D2DC3" w:rsidRPr="0026246C">
        <w:rPr>
          <w:color w:val="000000"/>
          <w:shd w:val="clear" w:color="auto" w:fill="FFFFFF"/>
          <w:lang w:val="en-GB"/>
        </w:rPr>
        <w:t>Mr. Kovalev</w:t>
      </w:r>
      <w:r w:rsidR="009A3720" w:rsidRPr="0026246C">
        <w:rPr>
          <w:color w:val="000000"/>
          <w:shd w:val="clear" w:color="auto" w:fill="FFFFFF"/>
          <w:lang w:val="en-GB"/>
        </w:rPr>
        <w:t>. The State party is also under an obligation to prevent similar violations in the future</w:t>
      </w:r>
      <w:r w:rsidR="007334F7" w:rsidRPr="00940396">
        <w:rPr>
          <w:color w:val="000000"/>
          <w:shd w:val="clear" w:color="auto" w:fill="FFFFFF"/>
          <w:lang w:val="en-GB"/>
        </w:rPr>
        <w:t>, including by amending article 175, paragraph 5 of the Criminal Execution Code so as to bring it in line with</w:t>
      </w:r>
      <w:r w:rsidR="007334F7" w:rsidRPr="00402254">
        <w:rPr>
          <w:color w:val="000000"/>
          <w:shd w:val="clear" w:color="auto" w:fill="FFFFFF"/>
          <w:lang w:val="en-GB"/>
        </w:rPr>
        <w:t xml:space="preserve"> the St</w:t>
      </w:r>
      <w:r w:rsidR="007334F7" w:rsidRPr="0026246C">
        <w:rPr>
          <w:color w:val="000000"/>
          <w:shd w:val="clear" w:color="auto" w:fill="FFFFFF"/>
          <w:lang w:val="en-GB"/>
        </w:rPr>
        <w:t xml:space="preserve">ate party’s obligations under article </w:t>
      </w:r>
      <w:r w:rsidR="002D0F92" w:rsidRPr="0026246C">
        <w:rPr>
          <w:color w:val="000000"/>
          <w:shd w:val="clear" w:color="auto" w:fill="FFFFFF"/>
          <w:lang w:val="en-GB"/>
        </w:rPr>
        <w:t xml:space="preserve">7 </w:t>
      </w:r>
      <w:r w:rsidR="007334F7" w:rsidRPr="0026246C">
        <w:rPr>
          <w:color w:val="000000"/>
          <w:shd w:val="clear" w:color="auto" w:fill="FFFFFF"/>
          <w:lang w:val="en-GB"/>
        </w:rPr>
        <w:t xml:space="preserve">of the </w:t>
      </w:r>
      <w:r w:rsidR="00B72B30" w:rsidRPr="0026246C">
        <w:rPr>
          <w:color w:val="000000"/>
          <w:shd w:val="clear" w:color="auto" w:fill="FFFFFF"/>
          <w:lang w:val="en-GB"/>
        </w:rPr>
        <w:t>Covenant</w:t>
      </w:r>
      <w:r w:rsidR="009A3720" w:rsidRPr="0026246C">
        <w:rPr>
          <w:color w:val="000000"/>
          <w:shd w:val="clear" w:color="auto" w:fill="FFFFFF"/>
          <w:lang w:val="en-GB"/>
        </w:rPr>
        <w:t>.</w:t>
      </w:r>
    </w:p>
    <w:p w:rsidR="00B4564F" w:rsidRPr="00940396" w:rsidRDefault="00EE75E2" w:rsidP="00173D00">
      <w:pPr>
        <w:pStyle w:val="SingleTxtG"/>
        <w:rPr>
          <w:lang w:val="en-GB"/>
        </w:rPr>
      </w:pPr>
      <w:r w:rsidRPr="0026246C">
        <w:rPr>
          <w:lang w:val="en-GB"/>
        </w:rPr>
        <w:t>1</w:t>
      </w:r>
      <w:r w:rsidR="00D477A0" w:rsidRPr="0026246C">
        <w:rPr>
          <w:lang w:val="en-GB"/>
        </w:rPr>
        <w:t>4</w:t>
      </w:r>
      <w:r w:rsidR="00173D00" w:rsidRPr="0026246C">
        <w:rPr>
          <w:lang w:val="en-GB"/>
        </w:rPr>
        <w:t>.</w:t>
      </w:r>
      <w:r w:rsidR="00173D00" w:rsidRPr="0026246C">
        <w:rPr>
          <w:lang w:val="en-GB"/>
        </w:rPr>
        <w:tab/>
      </w:r>
      <w:r w:rsidR="00B4564F" w:rsidRPr="0026246C">
        <w:rPr>
          <w:lang w:val="en-GB"/>
        </w:rPr>
        <w:t>Bearing in mind that, by becoming a party to the Optional Protocol, the State party has recogni</w:t>
      </w:r>
      <w:r w:rsidR="006B0DB5">
        <w:rPr>
          <w:lang w:val="en-GB"/>
        </w:rPr>
        <w:t>z</w:t>
      </w:r>
      <w:r w:rsidR="00B4564F" w:rsidRPr="0026246C">
        <w:rPr>
          <w:lang w:val="en-GB"/>
        </w:rPr>
        <w:t>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w:t>
      </w:r>
      <w:r w:rsidR="006B0DB5">
        <w:rPr>
          <w:lang w:val="en-GB"/>
        </w:rPr>
        <w:t>z</w:t>
      </w:r>
      <w:r w:rsidR="00B4564F" w:rsidRPr="0026246C">
        <w:rPr>
          <w:lang w:val="en-GB"/>
        </w:rPr>
        <w:t>ed in the Covenant and to provide an effective and enforceable remedy in case that a violation has been established, the Committee wishes to receive from the State party, within 180 days, information about the measures taken to give effect to the Committee</w:t>
      </w:r>
      <w:r w:rsidR="006B0DB5">
        <w:rPr>
          <w:lang w:val="en-GB"/>
        </w:rPr>
        <w:t>’</w:t>
      </w:r>
      <w:r w:rsidR="00B4564F" w:rsidRPr="0026246C">
        <w:rPr>
          <w:lang w:val="en-GB"/>
        </w:rPr>
        <w:t>s Views. In addition, it requests the State party to publish the present Views, and to have them widely disseminated in Belarusian and Russian in the State party.</w:t>
      </w:r>
    </w:p>
    <w:p w:rsidR="00173D00" w:rsidRPr="0026246C" w:rsidRDefault="00173D00" w:rsidP="00173D00">
      <w:pPr>
        <w:pStyle w:val="SingleTxtG"/>
        <w:rPr>
          <w:lang w:val="en-GB"/>
        </w:rPr>
      </w:pPr>
      <w:r w:rsidRPr="0026246C">
        <w:rPr>
          <w:lang w:val="en-GB"/>
        </w:rPr>
        <w:t>[Adopted in English, French and Spanish, the English text being the original version. Subsequently to be issued also in Arabic, Chinese and Russian as part of the Committee</w:t>
      </w:r>
      <w:r w:rsidR="006B0DB5">
        <w:rPr>
          <w:lang w:val="en-GB"/>
        </w:rPr>
        <w:t>’</w:t>
      </w:r>
      <w:r w:rsidRPr="0026246C">
        <w:rPr>
          <w:lang w:val="en-GB"/>
        </w:rPr>
        <w:t>s annual report to the General Assembly]</w:t>
      </w:r>
    </w:p>
    <w:p w:rsidR="00173D00" w:rsidRPr="0026246C" w:rsidRDefault="00173D00" w:rsidP="00173D00">
      <w:pPr>
        <w:pStyle w:val="SingleTxtG"/>
        <w:spacing w:before="240" w:after="0"/>
        <w:jc w:val="center"/>
        <w:rPr>
          <w:u w:val="single"/>
          <w:lang w:val="en-GB"/>
        </w:rPr>
      </w:pPr>
      <w:r w:rsidRPr="0026246C">
        <w:rPr>
          <w:u w:val="single"/>
          <w:lang w:val="en-GB"/>
        </w:rPr>
        <w:tab/>
      </w:r>
      <w:r w:rsidRPr="0026246C">
        <w:rPr>
          <w:u w:val="single"/>
          <w:lang w:val="en-GB"/>
        </w:rPr>
        <w:tab/>
      </w:r>
      <w:r w:rsidRPr="0026246C">
        <w:rPr>
          <w:u w:val="single"/>
          <w:lang w:val="en-GB"/>
        </w:rPr>
        <w:tab/>
      </w:r>
    </w:p>
    <w:sectPr w:rsidR="00173D00" w:rsidRPr="0026246C" w:rsidSect="003622D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89F" w:rsidRDefault="0069089F"/>
  </w:endnote>
  <w:endnote w:type="continuationSeparator" w:id="0">
    <w:p w:rsidR="0069089F" w:rsidRDefault="0069089F"/>
  </w:endnote>
  <w:endnote w:type="continuationNotice" w:id="1">
    <w:p w:rsidR="0069089F" w:rsidRDefault="00690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D4" w:rsidRPr="003622DA" w:rsidRDefault="003B0CD4" w:rsidP="003622DA">
    <w:pPr>
      <w:pStyle w:val="Footer"/>
      <w:tabs>
        <w:tab w:val="right" w:pos="9638"/>
      </w:tabs>
    </w:pPr>
    <w:r w:rsidRPr="003622DA">
      <w:rPr>
        <w:b/>
        <w:sz w:val="18"/>
      </w:rPr>
      <w:fldChar w:fldCharType="begin"/>
    </w:r>
    <w:r w:rsidRPr="003622DA">
      <w:rPr>
        <w:b/>
        <w:sz w:val="18"/>
      </w:rPr>
      <w:instrText xml:space="preserve"> PAGE  \* MERGEFORMAT </w:instrText>
    </w:r>
    <w:r w:rsidRPr="003622DA">
      <w:rPr>
        <w:b/>
        <w:sz w:val="18"/>
      </w:rPr>
      <w:fldChar w:fldCharType="separate"/>
    </w:r>
    <w:r w:rsidR="000904B9">
      <w:rPr>
        <w:b/>
        <w:noProof/>
        <w:sz w:val="18"/>
      </w:rPr>
      <w:t>2</w:t>
    </w:r>
    <w:r w:rsidRPr="003622D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D4" w:rsidRPr="003622DA" w:rsidRDefault="003B0CD4" w:rsidP="003622DA">
    <w:pPr>
      <w:pStyle w:val="Footer"/>
      <w:tabs>
        <w:tab w:val="right" w:pos="9638"/>
      </w:tabs>
      <w:rPr>
        <w:b/>
        <w:sz w:val="18"/>
      </w:rPr>
    </w:pPr>
    <w:r>
      <w:tab/>
    </w:r>
    <w:r w:rsidRPr="003622DA">
      <w:rPr>
        <w:b/>
        <w:sz w:val="18"/>
      </w:rPr>
      <w:fldChar w:fldCharType="begin"/>
    </w:r>
    <w:r w:rsidRPr="003622DA">
      <w:rPr>
        <w:b/>
        <w:sz w:val="18"/>
      </w:rPr>
      <w:instrText xml:space="preserve"> PAGE  \* MERGEFORMAT </w:instrText>
    </w:r>
    <w:r w:rsidRPr="003622DA">
      <w:rPr>
        <w:b/>
        <w:sz w:val="18"/>
      </w:rPr>
      <w:fldChar w:fldCharType="separate"/>
    </w:r>
    <w:r w:rsidR="000904B9">
      <w:rPr>
        <w:b/>
        <w:noProof/>
        <w:sz w:val="18"/>
      </w:rPr>
      <w:t>3</w:t>
    </w:r>
    <w:r w:rsidRPr="003622D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D4" w:rsidRPr="003622DA" w:rsidRDefault="0069089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3B0CD4">
      <w:t>GE.12</w:t>
    </w:r>
    <w:r w:rsidR="00F34092">
      <w:t>-48278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89F" w:rsidRPr="000B175B" w:rsidRDefault="0069089F" w:rsidP="000B175B">
      <w:pPr>
        <w:tabs>
          <w:tab w:val="right" w:pos="2155"/>
        </w:tabs>
        <w:spacing w:after="80"/>
        <w:ind w:left="680"/>
        <w:rPr>
          <w:u w:val="single"/>
        </w:rPr>
      </w:pPr>
      <w:r>
        <w:rPr>
          <w:u w:val="single"/>
        </w:rPr>
        <w:tab/>
      </w:r>
    </w:p>
  </w:footnote>
  <w:footnote w:type="continuationSeparator" w:id="0">
    <w:p w:rsidR="0069089F" w:rsidRPr="00FC68B7" w:rsidRDefault="0069089F" w:rsidP="00FC68B7">
      <w:pPr>
        <w:tabs>
          <w:tab w:val="left" w:pos="2155"/>
        </w:tabs>
        <w:spacing w:after="80"/>
        <w:ind w:left="680"/>
        <w:rPr>
          <w:u w:val="single"/>
        </w:rPr>
      </w:pPr>
      <w:r>
        <w:rPr>
          <w:u w:val="single"/>
        </w:rPr>
        <w:tab/>
      </w:r>
    </w:p>
  </w:footnote>
  <w:footnote w:type="continuationNotice" w:id="1">
    <w:p w:rsidR="0069089F" w:rsidRDefault="0069089F"/>
  </w:footnote>
  <w:footnote w:id="2">
    <w:p w:rsidR="003B0CD4" w:rsidRPr="00A360FA" w:rsidRDefault="003B0CD4" w:rsidP="00244B6F">
      <w:pPr>
        <w:pStyle w:val="FootnoteText"/>
        <w:ind w:firstLine="0"/>
        <w:jc w:val="both"/>
        <w:rPr>
          <w:lang w:val="en-GB"/>
        </w:rPr>
      </w:pPr>
      <w:r>
        <w:rPr>
          <w:rStyle w:val="FootnoteReference"/>
        </w:rPr>
        <w:t>*</w:t>
      </w:r>
      <w:r>
        <w:t xml:space="preserve"> </w:t>
      </w:r>
      <w:bookmarkStart w:id="1" w:name="OLE_LINK2"/>
      <w:r w:rsidRPr="002251B8">
        <w:rPr>
          <w:szCs w:val="18"/>
        </w:rPr>
        <w:t xml:space="preserve">The following members of the </w:t>
      </w:r>
      <w:r>
        <w:rPr>
          <w:szCs w:val="18"/>
          <w:lang w:val="en-GB"/>
        </w:rPr>
        <w:t>Committee</w:t>
      </w:r>
      <w:r w:rsidRPr="002251B8">
        <w:rPr>
          <w:szCs w:val="18"/>
        </w:rPr>
        <w:t xml:space="preserve"> participated in the examination of the present communication: </w:t>
      </w:r>
      <w:bookmarkEnd w:id="1"/>
      <w:r>
        <w:rPr>
          <w:color w:val="000000"/>
          <w:szCs w:val="18"/>
          <w:lang w:eastAsia="en-GB"/>
        </w:rPr>
        <w:t>Mr. Yadh Ben Achour</w:t>
      </w:r>
      <w:r>
        <w:rPr>
          <w:color w:val="000000"/>
          <w:szCs w:val="18"/>
          <w:lang w:val="en-GB" w:eastAsia="en-GB"/>
        </w:rPr>
        <w:t xml:space="preserve">, </w:t>
      </w:r>
      <w:r>
        <w:rPr>
          <w:color w:val="000000"/>
          <w:szCs w:val="18"/>
          <w:lang w:eastAsia="en-GB"/>
        </w:rPr>
        <w:t>Ms. Christine Chanet</w:t>
      </w:r>
      <w:r>
        <w:rPr>
          <w:color w:val="000000"/>
          <w:szCs w:val="18"/>
          <w:lang w:val="en-GB" w:eastAsia="en-GB"/>
        </w:rPr>
        <w:t xml:space="preserve">, </w:t>
      </w:r>
      <w:r w:rsidRPr="002251B8">
        <w:rPr>
          <w:bCs/>
          <w:szCs w:val="18"/>
        </w:rPr>
        <w:t xml:space="preserve">Mr. Cornelis Flinterman, </w:t>
      </w:r>
      <w:r>
        <w:rPr>
          <w:color w:val="000000"/>
          <w:szCs w:val="18"/>
          <w:lang w:eastAsia="en-GB"/>
        </w:rPr>
        <w:t>Mr. Yuji Iwasawa, Mr. Walter Kälin, Ms. Zonke Zanele Majodina,</w:t>
      </w:r>
      <w:r>
        <w:rPr>
          <w:color w:val="000000"/>
          <w:szCs w:val="18"/>
          <w:lang w:val="en-GB" w:eastAsia="en-GB"/>
        </w:rPr>
        <w:t xml:space="preserve"> </w:t>
      </w:r>
      <w:r w:rsidRPr="009131F3">
        <w:rPr>
          <w:bCs/>
          <w:szCs w:val="18"/>
        </w:rPr>
        <w:t xml:space="preserve">Mr. Gerald L. Neuman, </w:t>
      </w:r>
      <w:r w:rsidRPr="002251B8">
        <w:rPr>
          <w:bCs/>
          <w:szCs w:val="18"/>
        </w:rPr>
        <w:t xml:space="preserve">Mr. Michael O’Flaherty, Mr. Rafael Rivas Posada, </w:t>
      </w:r>
      <w:r>
        <w:rPr>
          <w:color w:val="000000"/>
          <w:szCs w:val="18"/>
          <w:lang w:eastAsia="en-GB"/>
        </w:rPr>
        <w:t>Sir Nigel Rodley, Mr. Fabián Omar Salvioli,</w:t>
      </w:r>
      <w:r>
        <w:rPr>
          <w:color w:val="000000"/>
          <w:szCs w:val="18"/>
          <w:lang w:val="en-GB" w:eastAsia="en-GB"/>
        </w:rPr>
        <w:t xml:space="preserve"> </w:t>
      </w:r>
      <w:r>
        <w:rPr>
          <w:bCs/>
          <w:szCs w:val="18"/>
        </w:rPr>
        <w:t>Mr. Marat Sarsembayev</w:t>
      </w:r>
      <w:r>
        <w:rPr>
          <w:bCs/>
          <w:szCs w:val="18"/>
          <w:lang w:val="en-GB"/>
        </w:rPr>
        <w:t xml:space="preserve">, </w:t>
      </w:r>
      <w:r>
        <w:rPr>
          <w:color w:val="000000"/>
          <w:szCs w:val="18"/>
          <w:lang w:eastAsia="en-GB"/>
        </w:rPr>
        <w:t>Mr. Krister Thelin</w:t>
      </w:r>
      <w:r>
        <w:rPr>
          <w:bCs/>
          <w:szCs w:val="18"/>
        </w:rPr>
        <w:t xml:space="preserve"> </w:t>
      </w:r>
      <w:r w:rsidRPr="002251B8">
        <w:rPr>
          <w:bCs/>
          <w:szCs w:val="18"/>
          <w:lang w:val="en-US"/>
        </w:rPr>
        <w:t xml:space="preserve">and </w:t>
      </w:r>
      <w:r w:rsidRPr="002251B8">
        <w:rPr>
          <w:bCs/>
          <w:szCs w:val="18"/>
        </w:rPr>
        <w:t>Ms. Margo Waterval.</w:t>
      </w:r>
    </w:p>
  </w:footnote>
  <w:footnote w:id="3">
    <w:p w:rsidR="003B0CD4" w:rsidRDefault="003B0CD4" w:rsidP="00244B6F">
      <w:pPr>
        <w:pStyle w:val="FootnoteText"/>
        <w:ind w:firstLine="0"/>
        <w:jc w:val="both"/>
      </w:pPr>
      <w:r>
        <w:rPr>
          <w:rStyle w:val="FootnoteReference"/>
        </w:rPr>
        <w:footnoteRef/>
      </w:r>
      <w:r>
        <w:t xml:space="preserve"> </w:t>
      </w:r>
      <w:r w:rsidRPr="001973D9">
        <w:rPr>
          <w:szCs w:val="18"/>
        </w:rPr>
        <w:t>The Optional Protocol entered into force for Belarus on 30 December 1992.</w:t>
      </w:r>
    </w:p>
  </w:footnote>
  <w:footnote w:id="4">
    <w:p w:rsidR="003B0CD4" w:rsidRDefault="003B0CD4" w:rsidP="00244B6F">
      <w:pPr>
        <w:pStyle w:val="FootnoteText"/>
        <w:ind w:firstLine="0"/>
        <w:jc w:val="both"/>
      </w:pPr>
      <w:r>
        <w:rPr>
          <w:rStyle w:val="FootnoteReference"/>
        </w:rPr>
        <w:footnoteRef/>
      </w:r>
      <w:r>
        <w:t xml:space="preserve"> See paragraphs 6.1</w:t>
      </w:r>
      <w:r>
        <w:rPr>
          <w:lang w:val="en-US"/>
        </w:rPr>
        <w:t>–</w:t>
      </w:r>
      <w:r>
        <w:t>6.3.</w:t>
      </w:r>
    </w:p>
  </w:footnote>
  <w:footnote w:id="5">
    <w:p w:rsidR="003B0CD4" w:rsidRDefault="003B0CD4" w:rsidP="00244B6F">
      <w:pPr>
        <w:pStyle w:val="FootnoteText"/>
        <w:ind w:firstLine="0"/>
        <w:jc w:val="both"/>
      </w:pPr>
      <w:r>
        <w:rPr>
          <w:rStyle w:val="FootnoteReference"/>
        </w:rPr>
        <w:footnoteRef/>
      </w:r>
      <w:r>
        <w:t xml:space="preserve"> Authors provided copies of the respective complaints.</w:t>
      </w:r>
    </w:p>
  </w:footnote>
  <w:footnote w:id="6">
    <w:p w:rsidR="003B0CD4" w:rsidRPr="003D28DE" w:rsidRDefault="003B0CD4" w:rsidP="00244B6F">
      <w:pPr>
        <w:pStyle w:val="FootnoteText"/>
        <w:ind w:firstLine="0"/>
        <w:jc w:val="both"/>
        <w:rPr>
          <w:lang w:val="en-GB"/>
        </w:rPr>
      </w:pPr>
      <w:r>
        <w:rPr>
          <w:rStyle w:val="FootnoteReference"/>
        </w:rPr>
        <w:footnoteRef/>
      </w:r>
      <w:r>
        <w:t xml:space="preserve"> </w:t>
      </w:r>
      <w:r>
        <w:rPr>
          <w:lang w:val="en-GB"/>
        </w:rPr>
        <w:t>This fact is confirmed by the trial transcript (excerpts available on file).</w:t>
      </w:r>
    </w:p>
  </w:footnote>
  <w:footnote w:id="7">
    <w:p w:rsidR="003B0CD4" w:rsidRPr="0096603E" w:rsidRDefault="003B0CD4" w:rsidP="00244B6F">
      <w:pPr>
        <w:pStyle w:val="FootnoteText"/>
        <w:ind w:firstLine="0"/>
        <w:jc w:val="both"/>
        <w:rPr>
          <w:lang w:val="en-GB"/>
        </w:rPr>
      </w:pPr>
      <w:r>
        <w:rPr>
          <w:rStyle w:val="FootnoteReference"/>
        </w:rPr>
        <w:footnoteRef/>
      </w:r>
      <w:r>
        <w:t xml:space="preserve"> </w:t>
      </w:r>
      <w:r>
        <w:rPr>
          <w:lang w:val="en-GB"/>
        </w:rPr>
        <w:t xml:space="preserve">Although the authors could not provide a copy of the report of the forensic medical examination of 13–25 April 2011 attesting these injuries, they provided a copy of a newspaper article published by </w:t>
      </w:r>
      <w:r w:rsidRPr="00423A2E">
        <w:rPr>
          <w:i/>
          <w:lang w:val="en-GB"/>
        </w:rPr>
        <w:t>BelGazeta</w:t>
      </w:r>
      <w:r>
        <w:rPr>
          <w:lang w:val="en-GB"/>
        </w:rPr>
        <w:t xml:space="preserve"> in issue No. 40 (814) of 10 October 2011, which states, inter alia, that the defence lawyer drew the court’s attention to Mr. Kovalev’s injuries and read out the conclusion of the forensic medical examination, according to which he had </w:t>
      </w:r>
      <w:r>
        <w:t>b</w:t>
      </w:r>
      <w:r w:rsidRPr="00FC6701">
        <w:t>ruise marks</w:t>
      </w:r>
      <w:r>
        <w:rPr>
          <w:lang w:val="en-GB"/>
        </w:rPr>
        <w:t xml:space="preserve"> </w:t>
      </w:r>
      <w:r w:rsidRPr="00FC6701">
        <w:t xml:space="preserve">on </w:t>
      </w:r>
      <w:r>
        <w:rPr>
          <w:lang w:val="en-GB"/>
        </w:rPr>
        <w:t xml:space="preserve">the chin, on the right temple of his head, on his hands, forearm and </w:t>
      </w:r>
      <w:r w:rsidRPr="00FC6701">
        <w:t>knees</w:t>
      </w:r>
      <w:r>
        <w:rPr>
          <w:lang w:val="en-GB"/>
        </w:rPr>
        <w:t>, caused by rigid blunt objects.</w:t>
      </w:r>
    </w:p>
  </w:footnote>
  <w:footnote w:id="8">
    <w:p w:rsidR="003B0CD4" w:rsidRPr="00A64484" w:rsidRDefault="003B0CD4" w:rsidP="00244B6F">
      <w:pPr>
        <w:pStyle w:val="FootnoteText"/>
        <w:ind w:firstLine="0"/>
        <w:jc w:val="both"/>
        <w:rPr>
          <w:lang w:val="en-GB"/>
        </w:rPr>
      </w:pPr>
      <w:r>
        <w:rPr>
          <w:rStyle w:val="FootnoteReference"/>
        </w:rPr>
        <w:footnoteRef/>
      </w:r>
      <w:r>
        <w:t xml:space="preserve"> </w:t>
      </w:r>
      <w:r>
        <w:rPr>
          <w:lang w:val="en-GB"/>
        </w:rPr>
        <w:t>Mr. Kovalev stated during the court proceedings that he was woken up by masked officers, this statement being recorded in the trial transcript (excerpt available on file).</w:t>
      </w:r>
    </w:p>
  </w:footnote>
  <w:footnote w:id="9">
    <w:p w:rsidR="003B0CD4" w:rsidRPr="00132A2C" w:rsidRDefault="003B0CD4" w:rsidP="00244B6F">
      <w:pPr>
        <w:pStyle w:val="FootnoteText"/>
        <w:ind w:firstLine="0"/>
        <w:jc w:val="both"/>
        <w:rPr>
          <w:lang w:val="en-GB"/>
        </w:rPr>
      </w:pPr>
      <w:r>
        <w:rPr>
          <w:rStyle w:val="FootnoteReference"/>
        </w:rPr>
        <w:footnoteRef/>
      </w:r>
      <w:r>
        <w:t xml:space="preserve"> </w:t>
      </w:r>
      <w:r>
        <w:rPr>
          <w:lang w:val="en-GB"/>
        </w:rPr>
        <w:t>The authors provided the picture in question.</w:t>
      </w:r>
    </w:p>
  </w:footnote>
  <w:footnote w:id="10">
    <w:p w:rsidR="003B0CD4" w:rsidRPr="00620758" w:rsidRDefault="003B0CD4" w:rsidP="00244B6F">
      <w:pPr>
        <w:pStyle w:val="FootnoteText"/>
        <w:ind w:firstLine="0"/>
        <w:jc w:val="both"/>
        <w:rPr>
          <w:lang w:val="en-GB"/>
        </w:rPr>
      </w:pPr>
      <w:r>
        <w:rPr>
          <w:rStyle w:val="FootnoteReference"/>
        </w:rPr>
        <w:footnoteRef/>
      </w:r>
      <w:r>
        <w:t xml:space="preserve"> </w:t>
      </w:r>
      <w:r>
        <w:rPr>
          <w:lang w:val="en-GB"/>
        </w:rPr>
        <w:t>The authors supplied, inter alia, a copy of an article published by BELTA on 18 August 2011, citing as a source law enforcement bodies. The article refers to the accused as “terrorists” and discloses extensive information about the acts committed by them as well as other details of the investigation.</w:t>
      </w:r>
    </w:p>
  </w:footnote>
  <w:footnote w:id="11">
    <w:p w:rsidR="003B0CD4" w:rsidRPr="004B1C2C" w:rsidRDefault="003B0CD4" w:rsidP="00244B6F">
      <w:pPr>
        <w:pStyle w:val="FootnoteText"/>
        <w:ind w:firstLine="0"/>
        <w:jc w:val="both"/>
      </w:pPr>
      <w:r>
        <w:rPr>
          <w:rStyle w:val="FootnoteReference"/>
        </w:rPr>
        <w:footnoteRef/>
      </w:r>
      <w:r>
        <w:rPr>
          <w:lang w:val="en-GB"/>
        </w:rPr>
        <w:t xml:space="preserve"> Such photographs are available on file.</w:t>
      </w:r>
    </w:p>
  </w:footnote>
  <w:footnote w:id="12">
    <w:p w:rsidR="003B0CD4" w:rsidRPr="00887A99" w:rsidRDefault="003B0CD4" w:rsidP="00244B6F">
      <w:pPr>
        <w:pStyle w:val="FootnoteText"/>
        <w:ind w:firstLine="0"/>
        <w:jc w:val="both"/>
        <w:rPr>
          <w:lang w:val="en-US"/>
        </w:rPr>
      </w:pPr>
      <w:r>
        <w:rPr>
          <w:rStyle w:val="FootnoteReference"/>
        </w:rPr>
        <w:footnoteRef/>
      </w:r>
      <w:r>
        <w:t xml:space="preserve"> </w:t>
      </w:r>
      <w:r w:rsidRPr="00887A99">
        <w:rPr>
          <w:i/>
          <w:iCs/>
          <w:lang w:val="en-GB"/>
        </w:rPr>
        <w:t>Official Records of the General Assembly, Sixty-second Session, Supplement No. 40</w:t>
      </w:r>
      <w:r w:rsidRPr="00887A99">
        <w:rPr>
          <w:iCs/>
          <w:lang w:val="en-GB"/>
        </w:rPr>
        <w:t>, vol. I</w:t>
      </w:r>
      <w:r w:rsidRPr="00887A99">
        <w:rPr>
          <w:lang w:val="en-GB"/>
        </w:rPr>
        <w:t xml:space="preserve"> (A/62/40 (Vol. I)), annex VI</w:t>
      </w:r>
      <w:r>
        <w:rPr>
          <w:lang w:val="en-GB"/>
        </w:rPr>
        <w:t>.</w:t>
      </w:r>
    </w:p>
  </w:footnote>
  <w:footnote w:id="13">
    <w:p w:rsidR="003B0CD4" w:rsidRPr="0009175C" w:rsidRDefault="003B0CD4" w:rsidP="00244B6F">
      <w:pPr>
        <w:pStyle w:val="FootnoteText"/>
        <w:ind w:firstLine="0"/>
        <w:jc w:val="both"/>
        <w:rPr>
          <w:lang w:val="en-GB"/>
        </w:rPr>
      </w:pPr>
      <w:r>
        <w:rPr>
          <w:rStyle w:val="FootnoteReference"/>
        </w:rPr>
        <w:footnoteRef/>
      </w:r>
      <w:r>
        <w:t xml:space="preserve"> </w:t>
      </w:r>
      <w:r>
        <w:rPr>
          <w:lang w:val="en-GB"/>
        </w:rPr>
        <w:t>The authors provided an excerpt from the trial transcript, confirming that Mr. Kovalev requested the court to give him the opportunity to communicate with his lawyer in private, since he had not had such a possibility before the initiation of court proceedings. The court declined this request, and Mr. Kovalev’s lawyer then inquired about the possibility to communicate with the accused during the break, to which the presiding judge responded in the affirmative.</w:t>
      </w:r>
    </w:p>
  </w:footnote>
  <w:footnote w:id="14">
    <w:p w:rsidR="003B0CD4" w:rsidRPr="004C0FAA" w:rsidRDefault="003B0CD4" w:rsidP="00244B6F">
      <w:pPr>
        <w:pStyle w:val="FootnoteText"/>
        <w:ind w:firstLine="0"/>
        <w:jc w:val="both"/>
        <w:rPr>
          <w:lang w:val="en-GB"/>
        </w:rPr>
      </w:pPr>
      <w:r>
        <w:rPr>
          <w:rStyle w:val="FootnoteReference"/>
        </w:rPr>
        <w:footnoteRef/>
      </w:r>
      <w:r>
        <w:t xml:space="preserve"> </w:t>
      </w:r>
      <w:r>
        <w:rPr>
          <w:lang w:val="en-GB"/>
        </w:rPr>
        <w:t xml:space="preserve">The authors provided copies of letters emanating from the Ministry of Interior, the Presidential Administration and the Prosecutor’s office of </w:t>
      </w:r>
      <w:smartTag w:uri="urn:schemas-microsoft-com:office:smarttags" w:element="City">
        <w:smartTag w:uri="urn:schemas-microsoft-com:office:smarttags" w:element="place">
          <w:r>
            <w:rPr>
              <w:lang w:val="en-GB"/>
            </w:rPr>
            <w:t>Minsk</w:t>
          </w:r>
        </w:smartTag>
      </w:smartTag>
      <w:r>
        <w:rPr>
          <w:lang w:val="en-GB"/>
        </w:rPr>
        <w:t xml:space="preserve"> city.</w:t>
      </w:r>
    </w:p>
  </w:footnote>
  <w:footnote w:id="15">
    <w:p w:rsidR="003B0CD4" w:rsidRPr="00903E09" w:rsidRDefault="003B0CD4" w:rsidP="00244B6F">
      <w:pPr>
        <w:pStyle w:val="FootnoteText"/>
        <w:ind w:firstLine="0"/>
        <w:jc w:val="both"/>
        <w:rPr>
          <w:lang w:val="en-US"/>
        </w:rPr>
      </w:pPr>
      <w:r>
        <w:rPr>
          <w:rStyle w:val="FootnoteReference"/>
        </w:rPr>
        <w:footnoteRef/>
      </w:r>
      <w:r>
        <w:t xml:space="preserve"> </w:t>
      </w:r>
      <w:r w:rsidRPr="00940396">
        <w:t xml:space="preserve">Communication </w:t>
      </w:r>
      <w:r w:rsidRPr="00402254">
        <w:t xml:space="preserve">No. 1132/2002, </w:t>
      </w:r>
      <w:r w:rsidRPr="0013574C">
        <w:rPr>
          <w:i/>
        </w:rPr>
        <w:t xml:space="preserve">Chisanga </w:t>
      </w:r>
      <w:r w:rsidRPr="00B93654">
        <w:t>v.</w:t>
      </w:r>
      <w:r w:rsidRPr="00402254">
        <w:rPr>
          <w:i/>
        </w:rPr>
        <w:t xml:space="preserve"> Zambia</w:t>
      </w:r>
      <w:r w:rsidRPr="0013574C">
        <w:t>, Views adopted on 18 October 2005, para. 6.3</w:t>
      </w:r>
      <w:r w:rsidRPr="0013574C">
        <w:rPr>
          <w:lang w:val="en-US"/>
        </w:rPr>
        <w:t>.</w:t>
      </w:r>
    </w:p>
  </w:footnote>
  <w:footnote w:id="16">
    <w:p w:rsidR="003B0CD4" w:rsidRPr="000F522F" w:rsidRDefault="003B0CD4" w:rsidP="00244B6F">
      <w:pPr>
        <w:pStyle w:val="FootnoteText"/>
        <w:ind w:firstLine="0"/>
        <w:jc w:val="both"/>
        <w:rPr>
          <w:lang w:val="en-GB"/>
        </w:rPr>
      </w:pPr>
      <w:r>
        <w:rPr>
          <w:rStyle w:val="FootnoteReference"/>
        </w:rPr>
        <w:footnoteRef/>
      </w:r>
      <w:r>
        <w:t xml:space="preserve"> </w:t>
      </w:r>
      <w:r>
        <w:rPr>
          <w:color w:val="000000"/>
          <w:lang w:eastAsia="en-GB"/>
        </w:rPr>
        <w:t>The State party also provided the Committee with a DVD documentary film, “Subway”</w:t>
      </w:r>
      <w:r>
        <w:rPr>
          <w:color w:val="000000"/>
          <w:lang w:val="en-GB" w:eastAsia="en-GB"/>
        </w:rPr>
        <w:t>, containing materials related to the investigation of the criminal charges against the alleged victim and the other defendant, including statements made by them during the investigation.</w:t>
      </w:r>
    </w:p>
  </w:footnote>
  <w:footnote w:id="17">
    <w:p w:rsidR="003B0CD4" w:rsidRPr="00AF70F1" w:rsidRDefault="003B0CD4" w:rsidP="00244B6F">
      <w:pPr>
        <w:pStyle w:val="FootnoteText"/>
        <w:ind w:firstLine="0"/>
        <w:jc w:val="both"/>
        <w:rPr>
          <w:lang w:val="en-GB"/>
        </w:rPr>
      </w:pPr>
      <w:r>
        <w:rPr>
          <w:rStyle w:val="FootnoteReference"/>
        </w:rPr>
        <w:footnoteRef/>
      </w:r>
      <w:r>
        <w:t xml:space="preserve"> </w:t>
      </w:r>
      <w:r w:rsidRPr="00940396">
        <w:t>See</w:t>
      </w:r>
      <w:r w:rsidRPr="00402254">
        <w:rPr>
          <w:lang w:val="en-US"/>
        </w:rPr>
        <w:t>, inter alia,</w:t>
      </w:r>
      <w:r w:rsidRPr="0013574C">
        <w:t xml:space="preserve"> communication</w:t>
      </w:r>
      <w:r w:rsidRPr="0013574C">
        <w:rPr>
          <w:lang w:val="en-GB"/>
        </w:rPr>
        <w:t>s</w:t>
      </w:r>
      <w:r w:rsidRPr="0013574C">
        <w:t xml:space="preserve"> No </w:t>
      </w:r>
      <w:r w:rsidRPr="0013574C">
        <w:rPr>
          <w:bCs/>
        </w:rPr>
        <w:t xml:space="preserve">869/1999, </w:t>
      </w:r>
      <w:r w:rsidRPr="0013574C">
        <w:rPr>
          <w:bCs/>
          <w:i/>
        </w:rPr>
        <w:t xml:space="preserve">Piandiong et al. </w:t>
      </w:r>
      <w:r w:rsidRPr="00D11B4E">
        <w:rPr>
          <w:bCs/>
        </w:rPr>
        <w:t>v.</w:t>
      </w:r>
      <w:r w:rsidRPr="00940396">
        <w:rPr>
          <w:bCs/>
          <w:i/>
        </w:rPr>
        <w:t xml:space="preserve"> the Philippine</w:t>
      </w:r>
      <w:r w:rsidRPr="00402254">
        <w:rPr>
          <w:bCs/>
          <w:i/>
        </w:rPr>
        <w:t>s</w:t>
      </w:r>
      <w:r w:rsidRPr="0013574C">
        <w:rPr>
          <w:bCs/>
        </w:rPr>
        <w:t xml:space="preserve">, </w:t>
      </w:r>
      <w:r w:rsidRPr="0013574C">
        <w:rPr>
          <w:bCs/>
          <w:lang w:val="en-US"/>
        </w:rPr>
        <w:t xml:space="preserve">Views adopted on 19 October 2000, </w:t>
      </w:r>
      <w:r w:rsidRPr="0013574C">
        <w:rPr>
          <w:bCs/>
        </w:rPr>
        <w:t>para</w:t>
      </w:r>
      <w:r w:rsidRPr="0013574C">
        <w:rPr>
          <w:bCs/>
          <w:lang w:val="en-US"/>
        </w:rPr>
        <w:t>.</w:t>
      </w:r>
      <w:r w:rsidRPr="0013574C">
        <w:rPr>
          <w:bCs/>
        </w:rPr>
        <w:t xml:space="preserve"> 5.1</w:t>
      </w:r>
      <w:r w:rsidRPr="0013574C">
        <w:rPr>
          <w:bCs/>
          <w:lang w:val="en-US"/>
        </w:rPr>
        <w:t>,</w:t>
      </w:r>
      <w:r w:rsidRPr="0013574C">
        <w:rPr>
          <w:bCs/>
          <w:lang w:val="en-GB"/>
        </w:rPr>
        <w:t xml:space="preserve"> and </w:t>
      </w:r>
      <w:r w:rsidRPr="00D11B4E">
        <w:rPr>
          <w:bCs/>
          <w:lang w:val="en-GB"/>
        </w:rPr>
        <w:t xml:space="preserve">No. </w:t>
      </w:r>
      <w:r w:rsidRPr="00D11B4E">
        <w:rPr>
          <w:szCs w:val="18"/>
        </w:rPr>
        <w:t xml:space="preserve">1041/2001, </w:t>
      </w:r>
      <w:r w:rsidRPr="00D11B4E">
        <w:rPr>
          <w:i/>
          <w:szCs w:val="18"/>
        </w:rPr>
        <w:t xml:space="preserve">Tulyaganova </w:t>
      </w:r>
      <w:r w:rsidRPr="00D11B4E">
        <w:rPr>
          <w:szCs w:val="18"/>
        </w:rPr>
        <w:t>v.</w:t>
      </w:r>
      <w:r w:rsidRPr="00940396">
        <w:rPr>
          <w:i/>
          <w:szCs w:val="18"/>
        </w:rPr>
        <w:t xml:space="preserve"> Uzbekistan</w:t>
      </w:r>
      <w:r w:rsidRPr="00402254">
        <w:rPr>
          <w:szCs w:val="18"/>
          <w:lang w:val="en-GB"/>
        </w:rPr>
        <w:t xml:space="preserve">, </w:t>
      </w:r>
      <w:r w:rsidRPr="00D11B4E">
        <w:rPr>
          <w:szCs w:val="18"/>
        </w:rPr>
        <w:t>Views adopted on 20 July 2007, paragraphs 6.1</w:t>
      </w:r>
      <w:r w:rsidRPr="00D11B4E">
        <w:rPr>
          <w:szCs w:val="18"/>
          <w:lang w:val="en-US"/>
        </w:rPr>
        <w:t>–</w:t>
      </w:r>
      <w:r w:rsidRPr="00D11B4E">
        <w:rPr>
          <w:szCs w:val="18"/>
        </w:rPr>
        <w:t>6.3.</w:t>
      </w:r>
    </w:p>
  </w:footnote>
  <w:footnote w:id="18">
    <w:p w:rsidR="003B0CD4" w:rsidRPr="00E1038B" w:rsidRDefault="003B0CD4" w:rsidP="00244B6F">
      <w:pPr>
        <w:pStyle w:val="FootnoteText"/>
        <w:ind w:firstLine="0"/>
        <w:jc w:val="both"/>
        <w:rPr>
          <w:highlight w:val="yellow"/>
          <w:lang w:val="en-GB"/>
        </w:rPr>
      </w:pPr>
      <w:r w:rsidRPr="00940396">
        <w:rPr>
          <w:rStyle w:val="FootnoteReference"/>
        </w:rPr>
        <w:footnoteRef/>
      </w:r>
      <w:r w:rsidRPr="00940396">
        <w:t xml:space="preserve"> </w:t>
      </w:r>
      <w:r w:rsidRPr="00D11B4E">
        <w:rPr>
          <w:szCs w:val="18"/>
        </w:rPr>
        <w:t xml:space="preserve">See, inter alia, </w:t>
      </w:r>
      <w:r w:rsidRPr="00D11B4E">
        <w:rPr>
          <w:szCs w:val="18"/>
          <w:lang w:val="en-GB"/>
        </w:rPr>
        <w:t>c</w:t>
      </w:r>
      <w:r w:rsidRPr="00D11B4E">
        <w:rPr>
          <w:szCs w:val="18"/>
        </w:rPr>
        <w:t>ommunication</w:t>
      </w:r>
      <w:r w:rsidRPr="00D11B4E">
        <w:rPr>
          <w:szCs w:val="18"/>
          <w:lang w:val="en-GB"/>
        </w:rPr>
        <w:t>s</w:t>
      </w:r>
      <w:r w:rsidRPr="00D11B4E">
        <w:rPr>
          <w:szCs w:val="18"/>
        </w:rPr>
        <w:t xml:space="preserve"> </w:t>
      </w:r>
      <w:r w:rsidRPr="00D11B4E">
        <w:t xml:space="preserve">No. 964/2001, </w:t>
      </w:r>
      <w:r w:rsidRPr="00D11B4E">
        <w:rPr>
          <w:i/>
          <w:iCs/>
        </w:rPr>
        <w:t xml:space="preserve">Saidova </w:t>
      </w:r>
      <w:r w:rsidRPr="00191566">
        <w:rPr>
          <w:iCs/>
        </w:rPr>
        <w:t>v.</w:t>
      </w:r>
      <w:r w:rsidRPr="00940396">
        <w:rPr>
          <w:i/>
          <w:iCs/>
        </w:rPr>
        <w:t xml:space="preserve"> Tajikistan</w:t>
      </w:r>
      <w:r w:rsidRPr="00402254">
        <w:t xml:space="preserve">, Views adopted on 8 July 2004, para. </w:t>
      </w:r>
      <w:r w:rsidRPr="00D11B4E">
        <w:rPr>
          <w:lang w:val="en-GB"/>
        </w:rPr>
        <w:t xml:space="preserve">4.4; </w:t>
      </w:r>
      <w:r w:rsidRPr="00D11B4E">
        <w:rPr>
          <w:szCs w:val="18"/>
        </w:rPr>
        <w:t xml:space="preserve">No. 1044/2002, </w:t>
      </w:r>
      <w:r w:rsidRPr="00D11B4E">
        <w:rPr>
          <w:i/>
          <w:szCs w:val="18"/>
        </w:rPr>
        <w:t xml:space="preserve">Shukurova </w:t>
      </w:r>
      <w:r w:rsidRPr="00191566">
        <w:rPr>
          <w:szCs w:val="18"/>
        </w:rPr>
        <w:t>v.</w:t>
      </w:r>
      <w:r w:rsidRPr="00940396">
        <w:rPr>
          <w:i/>
          <w:szCs w:val="18"/>
        </w:rPr>
        <w:t xml:space="preserve"> </w:t>
      </w:r>
      <w:smartTag w:uri="urn:schemas-microsoft-com:office:smarttags" w:element="country-region">
        <w:smartTag w:uri="urn:schemas-microsoft-com:office:smarttags" w:element="place">
          <w:r w:rsidRPr="00940396">
            <w:rPr>
              <w:i/>
              <w:szCs w:val="18"/>
            </w:rPr>
            <w:t>Tajikistan</w:t>
          </w:r>
        </w:smartTag>
      </w:smartTag>
      <w:r w:rsidRPr="00402254">
        <w:rPr>
          <w:szCs w:val="18"/>
        </w:rPr>
        <w:t>, Views adopted on 17 March 2006, para</w:t>
      </w:r>
      <w:r w:rsidRPr="00D11B4E">
        <w:rPr>
          <w:szCs w:val="18"/>
        </w:rPr>
        <w:t>s</w:t>
      </w:r>
      <w:r>
        <w:rPr>
          <w:szCs w:val="18"/>
          <w:lang w:val="en-US"/>
        </w:rPr>
        <w:t>.</w:t>
      </w:r>
      <w:r w:rsidRPr="00940396">
        <w:rPr>
          <w:szCs w:val="18"/>
        </w:rPr>
        <w:t xml:space="preserve"> 6.1</w:t>
      </w:r>
      <w:r>
        <w:rPr>
          <w:szCs w:val="18"/>
          <w:lang w:val="en-GB"/>
        </w:rPr>
        <w:t>–</w:t>
      </w:r>
      <w:r w:rsidRPr="00D11B4E">
        <w:rPr>
          <w:szCs w:val="18"/>
        </w:rPr>
        <w:t>6.3</w:t>
      </w:r>
      <w:r w:rsidRPr="00D11B4E">
        <w:rPr>
          <w:szCs w:val="18"/>
          <w:lang w:val="en-GB"/>
        </w:rPr>
        <w:t xml:space="preserve">; No. 1280/2004, </w:t>
      </w:r>
      <w:r w:rsidRPr="00D11B4E">
        <w:rPr>
          <w:i/>
          <w:color w:val="000000"/>
          <w:szCs w:val="18"/>
          <w:shd w:val="clear" w:color="auto" w:fill="FFFFFF"/>
        </w:rPr>
        <w:t>Tolipkhuzhaev</w:t>
      </w:r>
      <w:r w:rsidRPr="00D11B4E">
        <w:rPr>
          <w:rStyle w:val="apple-converted-space"/>
          <w:i/>
          <w:color w:val="000000"/>
          <w:szCs w:val="18"/>
          <w:shd w:val="clear" w:color="auto" w:fill="FFFFFF"/>
        </w:rPr>
        <w:t> </w:t>
      </w:r>
      <w:r w:rsidRPr="00191566">
        <w:rPr>
          <w:rStyle w:val="apple-converted-space"/>
          <w:color w:val="000000"/>
          <w:szCs w:val="18"/>
          <w:shd w:val="clear" w:color="auto" w:fill="FFFFFF"/>
        </w:rPr>
        <w:t>v.</w:t>
      </w:r>
      <w:r w:rsidRPr="00940396">
        <w:rPr>
          <w:rStyle w:val="apple-converted-space"/>
          <w:i/>
          <w:color w:val="000000"/>
          <w:szCs w:val="18"/>
          <w:shd w:val="clear" w:color="auto" w:fill="FFFFFF"/>
        </w:rPr>
        <w:t xml:space="preserve"> </w:t>
      </w:r>
      <w:smartTag w:uri="urn:schemas-microsoft-com:office:smarttags" w:element="country-region">
        <w:smartTag w:uri="urn:schemas-microsoft-com:office:smarttags" w:element="place">
          <w:r w:rsidRPr="00940396">
            <w:rPr>
              <w:rStyle w:val="apple-converted-space"/>
              <w:i/>
              <w:color w:val="000000"/>
              <w:szCs w:val="18"/>
              <w:shd w:val="clear" w:color="auto" w:fill="FFFFFF"/>
            </w:rPr>
            <w:t>Uzbekistan</w:t>
          </w:r>
        </w:smartTag>
      </w:smartTag>
      <w:r w:rsidRPr="00402254">
        <w:rPr>
          <w:rStyle w:val="apple-converted-space"/>
          <w:i/>
          <w:color w:val="000000"/>
          <w:szCs w:val="18"/>
          <w:shd w:val="clear" w:color="auto" w:fill="FFFFFF"/>
          <w:lang w:val="en-GB"/>
        </w:rPr>
        <w:t xml:space="preserve">, </w:t>
      </w:r>
      <w:r w:rsidRPr="00D11B4E">
        <w:rPr>
          <w:rStyle w:val="apple-converted-space"/>
          <w:color w:val="000000"/>
          <w:szCs w:val="18"/>
          <w:shd w:val="clear" w:color="auto" w:fill="FFFFFF"/>
          <w:lang w:val="en-GB"/>
        </w:rPr>
        <w:t>Views adopted on 22 July 2009, para. 6.4.</w:t>
      </w:r>
    </w:p>
  </w:footnote>
  <w:footnote w:id="19">
    <w:p w:rsidR="003B0CD4" w:rsidRPr="00E92757" w:rsidRDefault="003B0CD4" w:rsidP="00244B6F">
      <w:pPr>
        <w:spacing w:line="220" w:lineRule="exact"/>
        <w:ind w:left="1134" w:right="1134"/>
        <w:jc w:val="both"/>
        <w:rPr>
          <w:sz w:val="18"/>
          <w:szCs w:val="18"/>
        </w:rPr>
      </w:pPr>
      <w:r w:rsidRPr="00940396">
        <w:rPr>
          <w:rStyle w:val="FootnoteReference"/>
        </w:rPr>
        <w:footnoteRef/>
      </w:r>
      <w:r w:rsidRPr="00940396">
        <w:t xml:space="preserve"> </w:t>
      </w:r>
      <w:r w:rsidRPr="00191566">
        <w:rPr>
          <w:sz w:val="18"/>
          <w:szCs w:val="18"/>
        </w:rPr>
        <w:t xml:space="preserve">See also communication No. 1355/2005, </w:t>
      </w:r>
      <w:r w:rsidRPr="00191566">
        <w:rPr>
          <w:i/>
          <w:sz w:val="18"/>
          <w:szCs w:val="18"/>
        </w:rPr>
        <w:t xml:space="preserve">X. </w:t>
      </w:r>
      <w:r w:rsidRPr="00EF603A">
        <w:rPr>
          <w:sz w:val="18"/>
          <w:szCs w:val="18"/>
        </w:rPr>
        <w:t xml:space="preserve">v. </w:t>
      </w:r>
      <w:smartTag w:uri="urn:schemas-microsoft-com:office:smarttags" w:element="place">
        <w:smartTag w:uri="urn:schemas-microsoft-com:office:smarttags" w:element="country-region">
          <w:r w:rsidRPr="00191566">
            <w:rPr>
              <w:i/>
              <w:sz w:val="18"/>
              <w:szCs w:val="18"/>
            </w:rPr>
            <w:t>Serbia</w:t>
          </w:r>
        </w:smartTag>
      </w:smartTag>
      <w:r w:rsidRPr="00191566">
        <w:rPr>
          <w:sz w:val="18"/>
          <w:szCs w:val="18"/>
        </w:rPr>
        <w:t>, inadmissibility decision of 26 March 2007, para. 6.3.</w:t>
      </w:r>
    </w:p>
  </w:footnote>
  <w:footnote w:id="20">
    <w:p w:rsidR="003B0CD4" w:rsidRPr="00E1038B" w:rsidRDefault="003B0CD4" w:rsidP="00244B6F">
      <w:pPr>
        <w:spacing w:line="220" w:lineRule="exact"/>
        <w:ind w:left="1134" w:right="1134"/>
        <w:jc w:val="both"/>
        <w:rPr>
          <w:color w:val="000000"/>
          <w:highlight w:val="yellow"/>
        </w:rPr>
      </w:pPr>
      <w:r w:rsidRPr="00940396">
        <w:rPr>
          <w:rStyle w:val="FootnoteReference"/>
          <w:szCs w:val="18"/>
        </w:rPr>
        <w:footnoteRef/>
      </w:r>
      <w:r w:rsidRPr="00940396">
        <w:rPr>
          <w:sz w:val="18"/>
          <w:szCs w:val="18"/>
        </w:rPr>
        <w:t xml:space="preserve"> </w:t>
      </w:r>
      <w:r w:rsidRPr="00402254">
        <w:rPr>
          <w:sz w:val="18"/>
          <w:szCs w:val="18"/>
        </w:rPr>
        <w:t xml:space="preserve">See </w:t>
      </w:r>
      <w:r w:rsidRPr="00191566">
        <w:rPr>
          <w:i/>
          <w:iCs/>
          <w:sz w:val="18"/>
          <w:szCs w:val="18"/>
          <w:lang w:val="en-US"/>
        </w:rPr>
        <w:t>Official Records of the General Assembly, Thirty-</w:t>
      </w:r>
      <w:r>
        <w:rPr>
          <w:i/>
          <w:iCs/>
          <w:sz w:val="18"/>
          <w:szCs w:val="18"/>
          <w:lang w:val="en-US"/>
        </w:rPr>
        <w:t>third</w:t>
      </w:r>
      <w:r w:rsidRPr="00191566">
        <w:rPr>
          <w:i/>
          <w:iCs/>
          <w:sz w:val="18"/>
          <w:szCs w:val="18"/>
          <w:lang w:val="en-US"/>
        </w:rPr>
        <w:t xml:space="preserve"> Session, Supplement No. 40 </w:t>
      </w:r>
      <w:r>
        <w:rPr>
          <w:sz w:val="18"/>
          <w:szCs w:val="18"/>
          <w:lang w:val="en-US"/>
        </w:rPr>
        <w:t>(A/33</w:t>
      </w:r>
      <w:r w:rsidRPr="00191566">
        <w:rPr>
          <w:sz w:val="18"/>
          <w:szCs w:val="18"/>
          <w:lang w:val="en-US"/>
        </w:rPr>
        <w:t xml:space="preserve">/40), </w:t>
      </w:r>
      <w:r w:rsidRPr="00191566">
        <w:rPr>
          <w:sz w:val="18"/>
          <w:szCs w:val="18"/>
        </w:rPr>
        <w:t>para. 580</w:t>
      </w:r>
      <w:r>
        <w:rPr>
          <w:sz w:val="18"/>
          <w:szCs w:val="18"/>
        </w:rPr>
        <w:t>.</w:t>
      </w:r>
      <w:r w:rsidRPr="00402254">
        <w:rPr>
          <w:sz w:val="18"/>
          <w:szCs w:val="18"/>
        </w:rPr>
        <w:t xml:space="preserve"> </w:t>
      </w:r>
      <w:r w:rsidRPr="000963EF">
        <w:rPr>
          <w:sz w:val="18"/>
          <w:szCs w:val="18"/>
        </w:rPr>
        <w:t>See also</w:t>
      </w:r>
      <w:r w:rsidRPr="00940396">
        <w:rPr>
          <w:sz w:val="18"/>
          <w:szCs w:val="18"/>
        </w:rPr>
        <w:t xml:space="preserve">, </w:t>
      </w:r>
      <w:r w:rsidRPr="00402254">
        <w:rPr>
          <w:sz w:val="18"/>
          <w:szCs w:val="18"/>
        </w:rPr>
        <w:t xml:space="preserve">inter alia, communications No. 5/1977, </w:t>
      </w:r>
      <w:r w:rsidRPr="000963EF">
        <w:rPr>
          <w:i/>
          <w:sz w:val="18"/>
          <w:szCs w:val="18"/>
        </w:rPr>
        <w:t xml:space="preserve">Bazzano </w:t>
      </w:r>
      <w:r w:rsidRPr="000963EF">
        <w:rPr>
          <w:sz w:val="18"/>
          <w:szCs w:val="18"/>
        </w:rPr>
        <w:t>v.</w:t>
      </w:r>
      <w:r w:rsidRPr="00940396">
        <w:rPr>
          <w:i/>
          <w:sz w:val="18"/>
          <w:szCs w:val="18"/>
        </w:rPr>
        <w:t xml:space="preserve"> </w:t>
      </w:r>
      <w:smartTag w:uri="urn:schemas-microsoft-com:office:smarttags" w:element="country-region">
        <w:smartTag w:uri="urn:schemas-microsoft-com:office:smarttags" w:element="place">
          <w:r w:rsidRPr="00940396">
            <w:rPr>
              <w:i/>
              <w:sz w:val="18"/>
              <w:szCs w:val="18"/>
            </w:rPr>
            <w:t>Uruguay</w:t>
          </w:r>
        </w:smartTag>
      </w:smartTag>
      <w:r w:rsidRPr="00402254">
        <w:rPr>
          <w:sz w:val="18"/>
          <w:szCs w:val="18"/>
        </w:rPr>
        <w:t>, Views adopted on 15 August 1979, para.</w:t>
      </w:r>
      <w:r w:rsidRPr="000963EF">
        <w:rPr>
          <w:sz w:val="18"/>
          <w:szCs w:val="18"/>
        </w:rPr>
        <w:t xml:space="preserve"> </w:t>
      </w:r>
      <w:r w:rsidRPr="00940396">
        <w:rPr>
          <w:sz w:val="18"/>
          <w:szCs w:val="18"/>
        </w:rPr>
        <w:t xml:space="preserve">5; </w:t>
      </w:r>
      <w:r w:rsidRPr="001A4597">
        <w:rPr>
          <w:rStyle w:val="Strong"/>
          <w:b w:val="0"/>
          <w:sz w:val="18"/>
          <w:szCs w:val="18"/>
        </w:rPr>
        <w:t xml:space="preserve">No. 29/1978, </w:t>
      </w:r>
      <w:r w:rsidRPr="001A4597">
        <w:rPr>
          <w:rStyle w:val="Strong"/>
          <w:b w:val="0"/>
          <w:i/>
          <w:sz w:val="18"/>
          <w:szCs w:val="18"/>
        </w:rPr>
        <w:t xml:space="preserve">E. B. </w:t>
      </w:r>
      <w:r w:rsidRPr="001A4597">
        <w:rPr>
          <w:rStyle w:val="Strong"/>
          <w:b w:val="0"/>
          <w:sz w:val="18"/>
          <w:szCs w:val="18"/>
        </w:rPr>
        <w:t>v.</w:t>
      </w:r>
      <w:r w:rsidRPr="001A4597">
        <w:rPr>
          <w:rStyle w:val="Strong"/>
          <w:b w:val="0"/>
          <w:i/>
          <w:sz w:val="18"/>
          <w:szCs w:val="18"/>
        </w:rPr>
        <w:t xml:space="preserve"> S</w:t>
      </w:r>
      <w:r w:rsidRPr="001A4597">
        <w:rPr>
          <w:rStyle w:val="Strong"/>
          <w:b w:val="0"/>
          <w:sz w:val="18"/>
          <w:szCs w:val="18"/>
        </w:rPr>
        <w:t>, decision on admissibility adopted on 14 August 1979</w:t>
      </w:r>
      <w:r w:rsidRPr="00AF4E72">
        <w:rPr>
          <w:rStyle w:val="Strong"/>
          <w:b w:val="0"/>
          <w:sz w:val="18"/>
          <w:szCs w:val="18"/>
        </w:rPr>
        <w:t xml:space="preserve">; </w:t>
      </w:r>
      <w:r w:rsidRPr="00AF4E72">
        <w:rPr>
          <w:bCs/>
          <w:color w:val="000000"/>
          <w:sz w:val="18"/>
          <w:szCs w:val="18"/>
        </w:rPr>
        <w:t>No. 43/1979</w:t>
      </w:r>
      <w:r w:rsidRPr="00AF4E72">
        <w:rPr>
          <w:bCs/>
          <w:i/>
          <w:color w:val="000000"/>
          <w:sz w:val="18"/>
          <w:szCs w:val="18"/>
        </w:rPr>
        <w:t xml:space="preserve">, </w:t>
      </w:r>
      <w:r w:rsidRPr="00AF4E72">
        <w:rPr>
          <w:i/>
          <w:color w:val="000000"/>
          <w:sz w:val="18"/>
          <w:szCs w:val="18"/>
        </w:rPr>
        <w:t>Drescher</w:t>
      </w:r>
      <w:r w:rsidRPr="00137CFA">
        <w:rPr>
          <w:color w:val="000000"/>
          <w:sz w:val="18"/>
          <w:szCs w:val="18"/>
        </w:rPr>
        <w:t xml:space="preserve"> v.</w:t>
      </w:r>
      <w:r w:rsidRPr="00AF4E72">
        <w:rPr>
          <w:i/>
          <w:color w:val="000000"/>
          <w:sz w:val="18"/>
          <w:szCs w:val="18"/>
        </w:rPr>
        <w:t xml:space="preserve"> Uruguay</w:t>
      </w:r>
      <w:r w:rsidRPr="00AF4E72">
        <w:rPr>
          <w:color w:val="000000"/>
          <w:sz w:val="18"/>
          <w:szCs w:val="18"/>
        </w:rPr>
        <w:t>, Views adopted on 21 July 1983, para. 3.</w:t>
      </w:r>
    </w:p>
  </w:footnote>
  <w:footnote w:id="21">
    <w:p w:rsidR="003B0CD4" w:rsidRPr="001C5C04" w:rsidRDefault="003B0CD4" w:rsidP="00244B6F">
      <w:pPr>
        <w:pStyle w:val="FootnoteText"/>
        <w:tabs>
          <w:tab w:val="right" w:pos="0"/>
        </w:tabs>
        <w:ind w:firstLine="0"/>
        <w:jc w:val="both"/>
      </w:pPr>
      <w:r w:rsidRPr="00940396">
        <w:rPr>
          <w:rStyle w:val="FootnoteReference"/>
          <w:szCs w:val="18"/>
        </w:rPr>
        <w:footnoteRef/>
      </w:r>
      <w:r w:rsidRPr="00940396">
        <w:rPr>
          <w:szCs w:val="18"/>
        </w:rPr>
        <w:t xml:space="preserve"> See the Committee</w:t>
      </w:r>
      <w:r w:rsidRPr="00AF4E72">
        <w:rPr>
          <w:szCs w:val="18"/>
          <w:lang w:val="en-US"/>
        </w:rPr>
        <w:t>’</w:t>
      </w:r>
      <w:r w:rsidRPr="00402254">
        <w:rPr>
          <w:szCs w:val="18"/>
        </w:rPr>
        <w:t>s general comment No. 32</w:t>
      </w:r>
      <w:r w:rsidRPr="00AF4E72">
        <w:rPr>
          <w:szCs w:val="18"/>
        </w:rPr>
        <w:t xml:space="preserve">, paragraph 50: </w:t>
      </w:r>
      <w:r>
        <w:rPr>
          <w:szCs w:val="18"/>
          <w:lang w:val="en-US"/>
        </w:rPr>
        <w:t>“</w:t>
      </w:r>
      <w:r w:rsidRPr="00402254">
        <w:rPr>
          <w:szCs w:val="18"/>
        </w:rPr>
        <w:t>A system of supervisory review that only applies to sentences whose execution has commenced does not meet the requirements of article 14, pa</w:t>
      </w:r>
      <w:r w:rsidRPr="00AF4E72">
        <w:rPr>
          <w:szCs w:val="18"/>
        </w:rPr>
        <w:t>ragraph 5, regardless of whether such review can be requested by the convicted person or is dependent on the discretionary power of a judge or prosecutor</w:t>
      </w:r>
      <w:r>
        <w:rPr>
          <w:szCs w:val="18"/>
          <w:lang w:val="en-US"/>
        </w:rPr>
        <w:t>”</w:t>
      </w:r>
      <w:r w:rsidRPr="00940396">
        <w:rPr>
          <w:szCs w:val="18"/>
        </w:rPr>
        <w:t xml:space="preserve">; </w:t>
      </w:r>
      <w:r w:rsidRPr="00402254">
        <w:rPr>
          <w:szCs w:val="18"/>
        </w:rPr>
        <w:t>and, for example, communication</w:t>
      </w:r>
      <w:r w:rsidRPr="00D56F41">
        <w:rPr>
          <w:szCs w:val="18"/>
          <w:lang w:val="en-GB"/>
        </w:rPr>
        <w:t>s</w:t>
      </w:r>
      <w:r w:rsidRPr="00D56F41">
        <w:rPr>
          <w:szCs w:val="18"/>
        </w:rPr>
        <w:t xml:space="preserve"> No. 836/1998, </w:t>
      </w:r>
      <w:r w:rsidRPr="00D56F41">
        <w:rPr>
          <w:i/>
          <w:iCs/>
          <w:szCs w:val="18"/>
        </w:rPr>
        <w:t xml:space="preserve">Gelazauskas </w:t>
      </w:r>
      <w:r w:rsidRPr="00D56F41">
        <w:rPr>
          <w:szCs w:val="18"/>
        </w:rPr>
        <w:t>v</w:t>
      </w:r>
      <w:r>
        <w:rPr>
          <w:szCs w:val="18"/>
          <w:lang w:val="en-US"/>
        </w:rPr>
        <w:t>.</w:t>
      </w:r>
      <w:r w:rsidRPr="00940396">
        <w:rPr>
          <w:szCs w:val="18"/>
        </w:rPr>
        <w:t xml:space="preserve"> </w:t>
      </w:r>
      <w:r w:rsidRPr="00402254">
        <w:rPr>
          <w:i/>
          <w:iCs/>
          <w:szCs w:val="18"/>
        </w:rPr>
        <w:t>Lithuania</w:t>
      </w:r>
      <w:r w:rsidRPr="00D56F41">
        <w:rPr>
          <w:szCs w:val="18"/>
        </w:rPr>
        <w:t xml:space="preserve">, Views adopted on 17 March 2003, para. 7.2; </w:t>
      </w:r>
      <w:r w:rsidRPr="00D56F41">
        <w:rPr>
          <w:szCs w:val="18"/>
          <w:lang w:val="en-GB"/>
        </w:rPr>
        <w:t xml:space="preserve">No. </w:t>
      </w:r>
      <w:r w:rsidRPr="00D56F41">
        <w:rPr>
          <w:lang w:val="en-GB"/>
        </w:rPr>
        <w:t xml:space="preserve">1100/2002, </w:t>
      </w:r>
      <w:r w:rsidRPr="00D56F41">
        <w:rPr>
          <w:i/>
          <w:iCs/>
          <w:lang w:val="en-GB"/>
        </w:rPr>
        <w:t xml:space="preserve">Bandajevsky </w:t>
      </w:r>
      <w:r w:rsidRPr="00D56F41">
        <w:rPr>
          <w:iCs/>
          <w:lang w:val="en-GB"/>
        </w:rPr>
        <w:t>v.</w:t>
      </w:r>
      <w:r w:rsidRPr="00940396">
        <w:rPr>
          <w:i/>
          <w:iCs/>
          <w:lang w:val="en-GB"/>
        </w:rPr>
        <w:t xml:space="preserve"> </w:t>
      </w:r>
      <w:smartTag w:uri="urn:schemas-microsoft-com:office:smarttags" w:element="country-region">
        <w:smartTag w:uri="urn:schemas-microsoft-com:office:smarttags" w:element="place">
          <w:r w:rsidRPr="00940396">
            <w:rPr>
              <w:i/>
              <w:iCs/>
              <w:lang w:val="en-GB"/>
            </w:rPr>
            <w:t>Belarus</w:t>
          </w:r>
        </w:smartTag>
      </w:smartTag>
      <w:r w:rsidRPr="00402254">
        <w:rPr>
          <w:lang w:val="en-GB"/>
        </w:rPr>
        <w:t xml:space="preserve">, Views adopted on 28 March 2006, para. </w:t>
      </w:r>
      <w:r w:rsidRPr="00D56F41">
        <w:t>10.13</w:t>
      </w:r>
      <w:r w:rsidRPr="00D56F41">
        <w:rPr>
          <w:lang w:val="en-US"/>
        </w:rPr>
        <w:t xml:space="preserve">; </w:t>
      </w:r>
      <w:r w:rsidRPr="00D56F41">
        <w:rPr>
          <w:szCs w:val="18"/>
        </w:rPr>
        <w:t xml:space="preserve">No. 1344/2005, </w:t>
      </w:r>
      <w:r w:rsidRPr="00D56F41">
        <w:rPr>
          <w:i/>
          <w:szCs w:val="18"/>
        </w:rPr>
        <w:t xml:space="preserve">Korolko </w:t>
      </w:r>
      <w:r w:rsidRPr="00D56F41">
        <w:rPr>
          <w:szCs w:val="18"/>
        </w:rPr>
        <w:t>v.</w:t>
      </w:r>
      <w:r w:rsidRPr="00940396">
        <w:rPr>
          <w:i/>
          <w:szCs w:val="18"/>
        </w:rPr>
        <w:t xml:space="preserve"> Russian Federation</w:t>
      </w:r>
      <w:r w:rsidRPr="00402254">
        <w:rPr>
          <w:szCs w:val="18"/>
        </w:rPr>
        <w:t xml:space="preserve">, inadmissibility decision </w:t>
      </w:r>
      <w:r w:rsidRPr="00D56F41">
        <w:rPr>
          <w:szCs w:val="18"/>
          <w:lang w:val="en-GB"/>
        </w:rPr>
        <w:t xml:space="preserve">of </w:t>
      </w:r>
      <w:r w:rsidRPr="00D56F41">
        <w:rPr>
          <w:szCs w:val="18"/>
        </w:rPr>
        <w:t>25 October 2010, para. 6.3;</w:t>
      </w:r>
      <w:r w:rsidRPr="00D56F41">
        <w:rPr>
          <w:szCs w:val="18"/>
          <w:lang w:val="en-GB"/>
        </w:rPr>
        <w:t xml:space="preserve"> </w:t>
      </w:r>
      <w:r w:rsidRPr="001C5C04">
        <w:rPr>
          <w:szCs w:val="18"/>
        </w:rPr>
        <w:t xml:space="preserve">No. 1449/2006, </w:t>
      </w:r>
      <w:r w:rsidRPr="001C5C04">
        <w:rPr>
          <w:i/>
          <w:szCs w:val="18"/>
        </w:rPr>
        <w:t xml:space="preserve">Umarov </w:t>
      </w:r>
      <w:r w:rsidRPr="001C5C04">
        <w:rPr>
          <w:szCs w:val="18"/>
        </w:rPr>
        <w:t>v.</w:t>
      </w:r>
      <w:r w:rsidRPr="00940396">
        <w:rPr>
          <w:i/>
          <w:szCs w:val="18"/>
        </w:rPr>
        <w:t xml:space="preserve"> Uzbekistan</w:t>
      </w:r>
      <w:r w:rsidRPr="00402254">
        <w:rPr>
          <w:szCs w:val="18"/>
        </w:rPr>
        <w:t>, Views adopted o</w:t>
      </w:r>
      <w:r w:rsidRPr="001C5C04">
        <w:rPr>
          <w:szCs w:val="18"/>
        </w:rPr>
        <w:t>n 19 October 2010, para. 7.3.</w:t>
      </w:r>
    </w:p>
  </w:footnote>
  <w:footnote w:id="22">
    <w:p w:rsidR="003B0CD4" w:rsidRDefault="003B0CD4" w:rsidP="00244B6F">
      <w:pPr>
        <w:pStyle w:val="FootnoteText"/>
        <w:ind w:firstLine="0"/>
        <w:jc w:val="both"/>
      </w:pPr>
      <w:r w:rsidRPr="00940396">
        <w:rPr>
          <w:rStyle w:val="FootnoteReference"/>
        </w:rPr>
        <w:footnoteRef/>
      </w:r>
      <w:r w:rsidRPr="00940396">
        <w:t xml:space="preserve"> </w:t>
      </w:r>
      <w:r w:rsidRPr="001C5C04">
        <w:t>See communication</w:t>
      </w:r>
      <w:r w:rsidRPr="001C5C04">
        <w:rPr>
          <w:lang w:val="en-GB"/>
        </w:rPr>
        <w:t>s</w:t>
      </w:r>
      <w:r w:rsidRPr="001C5C04">
        <w:t xml:space="preserve"> No. 1033/2001, </w:t>
      </w:r>
      <w:r w:rsidRPr="001C5C04">
        <w:rPr>
          <w:i/>
        </w:rPr>
        <w:t xml:space="preserve">Singarasa </w:t>
      </w:r>
      <w:r w:rsidRPr="001C5C04">
        <w:t>v.</w:t>
      </w:r>
      <w:r w:rsidRPr="00940396">
        <w:rPr>
          <w:i/>
        </w:rPr>
        <w:t xml:space="preserve"> Sri Lanka</w:t>
      </w:r>
      <w:r w:rsidRPr="00402254">
        <w:t xml:space="preserve">, Views adopted on 21 July 2004, para. 6.4; </w:t>
      </w:r>
      <w:r w:rsidRPr="001C5C04">
        <w:t xml:space="preserve">No. 1132/2002, </w:t>
      </w:r>
      <w:r w:rsidRPr="001C5C04">
        <w:rPr>
          <w:i/>
        </w:rPr>
        <w:t>Chisanga</w:t>
      </w:r>
      <w:r w:rsidRPr="00137CFA">
        <w:t xml:space="preserve"> v. </w:t>
      </w:r>
      <w:r w:rsidRPr="001C5C04">
        <w:rPr>
          <w:i/>
        </w:rPr>
        <w:t>Zambia</w:t>
      </w:r>
      <w:r w:rsidRPr="001C5C04">
        <w:t>, Views adopted on 18 October 2005, para. 6.3.</w:t>
      </w:r>
    </w:p>
  </w:footnote>
  <w:footnote w:id="23">
    <w:p w:rsidR="003B0CD4" w:rsidRPr="002C1C2D" w:rsidRDefault="003B0CD4" w:rsidP="00244B6F">
      <w:pPr>
        <w:pStyle w:val="FootnoteText"/>
        <w:ind w:firstLine="0"/>
        <w:jc w:val="both"/>
        <w:rPr>
          <w:highlight w:val="yellow"/>
        </w:rPr>
      </w:pPr>
      <w:r w:rsidRPr="00940396">
        <w:rPr>
          <w:rStyle w:val="FootnoteReference"/>
        </w:rPr>
        <w:footnoteRef/>
      </w:r>
      <w:r w:rsidRPr="00940396">
        <w:t xml:space="preserve"> </w:t>
      </w:r>
      <w:r w:rsidRPr="001C5C04">
        <w:rPr>
          <w:szCs w:val="18"/>
        </w:rPr>
        <w:t>See the Committee’s general comment No. 20</w:t>
      </w:r>
      <w:r w:rsidRPr="001C5C04">
        <w:t xml:space="preserve"> </w:t>
      </w:r>
      <w:r>
        <w:t>(1992) on the prohibition of torture or cruel, inhuman or degrading treatment or punishment</w:t>
      </w:r>
      <w:r>
        <w:rPr>
          <w:lang w:val="en-US"/>
        </w:rPr>
        <w:t xml:space="preserve">, </w:t>
      </w:r>
      <w:r w:rsidRPr="001C5C04">
        <w:rPr>
          <w:i/>
          <w:iCs/>
          <w:lang w:val="en-GB"/>
        </w:rPr>
        <w:t>Official Records of the General Assembly, Forty-seventh Session, Supplement No. 40</w:t>
      </w:r>
      <w:r w:rsidRPr="001C5C04">
        <w:rPr>
          <w:lang w:val="en-GB"/>
        </w:rPr>
        <w:t xml:space="preserve"> (A/47/40), annex VI, sect. A</w:t>
      </w:r>
      <w:r w:rsidRPr="00402254">
        <w:rPr>
          <w:szCs w:val="18"/>
        </w:rPr>
        <w:t>, para. 14.</w:t>
      </w:r>
    </w:p>
  </w:footnote>
  <w:footnote w:id="24">
    <w:p w:rsidR="003B0CD4" w:rsidRPr="00F6752F" w:rsidRDefault="003B0CD4" w:rsidP="00244B6F">
      <w:pPr>
        <w:pStyle w:val="FootnoteText"/>
        <w:ind w:firstLine="0"/>
        <w:jc w:val="both"/>
      </w:pPr>
      <w:r w:rsidRPr="00940396">
        <w:rPr>
          <w:rStyle w:val="FootnoteReference"/>
        </w:rPr>
        <w:footnoteRef/>
      </w:r>
      <w:r w:rsidRPr="00940396">
        <w:t xml:space="preserve"> </w:t>
      </w:r>
      <w:r w:rsidRPr="008A4F2D">
        <w:t xml:space="preserve">See, </w:t>
      </w:r>
      <w:r w:rsidRPr="008A4F2D">
        <w:rPr>
          <w:szCs w:val="18"/>
        </w:rPr>
        <w:t>for example, the Committee</w:t>
      </w:r>
      <w:r w:rsidRPr="008A4F2D">
        <w:rPr>
          <w:szCs w:val="18"/>
          <w:lang w:val="en-US"/>
        </w:rPr>
        <w:t>’</w:t>
      </w:r>
      <w:r w:rsidRPr="008A4F2D">
        <w:rPr>
          <w:szCs w:val="18"/>
        </w:rPr>
        <w:t xml:space="preserve">s general comment No. 32, para. 41; communications No. 330/1988, </w:t>
      </w:r>
      <w:r w:rsidRPr="008A4F2D">
        <w:rPr>
          <w:i/>
          <w:iCs/>
          <w:szCs w:val="18"/>
        </w:rPr>
        <w:t xml:space="preserve">Berry </w:t>
      </w:r>
      <w:r w:rsidRPr="008A4F2D">
        <w:rPr>
          <w:szCs w:val="18"/>
        </w:rPr>
        <w:t>v</w:t>
      </w:r>
      <w:r w:rsidRPr="008A4F2D">
        <w:rPr>
          <w:i/>
          <w:iCs/>
          <w:szCs w:val="18"/>
        </w:rPr>
        <w:t xml:space="preserve">. Jamaica, </w:t>
      </w:r>
      <w:r w:rsidRPr="008A4F2D">
        <w:rPr>
          <w:szCs w:val="18"/>
        </w:rPr>
        <w:t>Views adopted on 4 July 1994, para</w:t>
      </w:r>
      <w:r>
        <w:rPr>
          <w:szCs w:val="18"/>
          <w:lang w:val="en-US"/>
        </w:rPr>
        <w:t>.</w:t>
      </w:r>
      <w:r w:rsidRPr="008A4F2D">
        <w:rPr>
          <w:szCs w:val="18"/>
        </w:rPr>
        <w:t xml:space="preserve"> 11.7</w:t>
      </w:r>
      <w:r w:rsidRPr="00F6752F">
        <w:rPr>
          <w:szCs w:val="18"/>
        </w:rPr>
        <w:t xml:space="preserve">; No. 1033/2001, </w:t>
      </w:r>
      <w:r w:rsidRPr="00F6752F">
        <w:rPr>
          <w:i/>
          <w:iCs/>
          <w:szCs w:val="18"/>
        </w:rPr>
        <w:t xml:space="preserve">Singarasa </w:t>
      </w:r>
      <w:r w:rsidRPr="00F6752F">
        <w:rPr>
          <w:szCs w:val="18"/>
        </w:rPr>
        <w:t xml:space="preserve">v. </w:t>
      </w:r>
      <w:r w:rsidRPr="00F6752F">
        <w:rPr>
          <w:i/>
          <w:iCs/>
          <w:szCs w:val="18"/>
        </w:rPr>
        <w:t>Sri Lanka</w:t>
      </w:r>
      <w:r w:rsidRPr="00F6752F">
        <w:rPr>
          <w:szCs w:val="18"/>
        </w:rPr>
        <w:t>, Views adopted on 21 July 2004, para</w:t>
      </w:r>
      <w:r w:rsidRPr="00F6752F">
        <w:rPr>
          <w:szCs w:val="18"/>
          <w:lang w:val="en-US"/>
        </w:rPr>
        <w:t>.</w:t>
      </w:r>
      <w:r w:rsidRPr="00F6752F">
        <w:rPr>
          <w:szCs w:val="18"/>
        </w:rPr>
        <w:t xml:space="preserve"> 7.4; No. 1769/2008, </w:t>
      </w:r>
      <w:r w:rsidRPr="00F6752F">
        <w:rPr>
          <w:i/>
          <w:iCs/>
          <w:szCs w:val="18"/>
        </w:rPr>
        <w:t xml:space="preserve">Bondar </w:t>
      </w:r>
      <w:r w:rsidRPr="00F6752F">
        <w:rPr>
          <w:iCs/>
          <w:szCs w:val="18"/>
        </w:rPr>
        <w:t>v.</w:t>
      </w:r>
      <w:r w:rsidRPr="00940396">
        <w:rPr>
          <w:i/>
          <w:iCs/>
          <w:szCs w:val="18"/>
        </w:rPr>
        <w:t xml:space="preserve"> Uzbekistan</w:t>
      </w:r>
      <w:r w:rsidRPr="00402254">
        <w:rPr>
          <w:szCs w:val="18"/>
        </w:rPr>
        <w:t>, Views adopted on 25 March 2011, para</w:t>
      </w:r>
      <w:r w:rsidRPr="00F6752F">
        <w:rPr>
          <w:szCs w:val="18"/>
          <w:lang w:val="en-US"/>
        </w:rPr>
        <w:t>.</w:t>
      </w:r>
      <w:r w:rsidRPr="00402254">
        <w:rPr>
          <w:szCs w:val="18"/>
        </w:rPr>
        <w:t xml:space="preserve"> 7.6.</w:t>
      </w:r>
    </w:p>
  </w:footnote>
  <w:footnote w:id="25">
    <w:p w:rsidR="003B0CD4" w:rsidRPr="002C1C2D" w:rsidRDefault="003B0CD4" w:rsidP="00244B6F">
      <w:pPr>
        <w:pStyle w:val="FootnoteText"/>
        <w:ind w:firstLine="0"/>
        <w:jc w:val="both"/>
        <w:rPr>
          <w:highlight w:val="yellow"/>
        </w:rPr>
      </w:pPr>
      <w:r w:rsidRPr="00940396">
        <w:rPr>
          <w:rStyle w:val="FootnoteReference"/>
        </w:rPr>
        <w:footnoteRef/>
      </w:r>
      <w:r w:rsidRPr="00940396">
        <w:t xml:space="preserve"> </w:t>
      </w:r>
      <w:r w:rsidRPr="00940396">
        <w:rPr>
          <w:szCs w:val="18"/>
        </w:rPr>
        <w:t xml:space="preserve">See, for example, </w:t>
      </w:r>
      <w:r w:rsidRPr="00402254">
        <w:rPr>
          <w:szCs w:val="18"/>
        </w:rPr>
        <w:t>the Committee</w:t>
      </w:r>
      <w:r w:rsidRPr="00F6752F">
        <w:rPr>
          <w:szCs w:val="18"/>
          <w:lang w:val="en-US"/>
        </w:rPr>
        <w:t>’</w:t>
      </w:r>
      <w:r w:rsidRPr="00940396">
        <w:rPr>
          <w:szCs w:val="18"/>
        </w:rPr>
        <w:t>s general comment No. 32</w:t>
      </w:r>
      <w:r w:rsidRPr="00F6752F">
        <w:rPr>
          <w:szCs w:val="18"/>
        </w:rPr>
        <w:t>, para. 60; communications No. 1401/2005,</w:t>
      </w:r>
      <w:r w:rsidRPr="00F6752F">
        <w:rPr>
          <w:szCs w:val="18"/>
          <w:lang w:val="en-US"/>
        </w:rPr>
        <w:t xml:space="preserve"> </w:t>
      </w:r>
      <w:r w:rsidRPr="00940396">
        <w:rPr>
          <w:i/>
          <w:iCs/>
          <w:szCs w:val="18"/>
        </w:rPr>
        <w:t xml:space="preserve">Kirpo </w:t>
      </w:r>
      <w:r w:rsidRPr="00940396">
        <w:rPr>
          <w:szCs w:val="18"/>
        </w:rPr>
        <w:t xml:space="preserve">v. </w:t>
      </w:r>
      <w:r w:rsidRPr="00940396">
        <w:rPr>
          <w:i/>
          <w:iCs/>
          <w:szCs w:val="18"/>
        </w:rPr>
        <w:t xml:space="preserve">Tajikistan, </w:t>
      </w:r>
      <w:r w:rsidRPr="00402254">
        <w:rPr>
          <w:szCs w:val="18"/>
        </w:rPr>
        <w:t>Views adopted on 27 October 2009, para. 6.3</w:t>
      </w:r>
      <w:r w:rsidRPr="00F6752F">
        <w:t xml:space="preserve">; No. 1545/2007, </w:t>
      </w:r>
      <w:r w:rsidRPr="00F6752F">
        <w:rPr>
          <w:i/>
        </w:rPr>
        <w:t xml:space="preserve">Gunan </w:t>
      </w:r>
      <w:r w:rsidRPr="00F6752F">
        <w:t>v.</w:t>
      </w:r>
      <w:r w:rsidRPr="00940396">
        <w:rPr>
          <w:i/>
        </w:rPr>
        <w:t xml:space="preserve"> Kyrgyzstan</w:t>
      </w:r>
      <w:r w:rsidRPr="00940396">
        <w:t>, Views adopted on 25 July 2011</w:t>
      </w:r>
      <w:r w:rsidRPr="00F6752F">
        <w:rPr>
          <w:lang w:val="en-US"/>
        </w:rPr>
        <w:t>,</w:t>
      </w:r>
      <w:r w:rsidRPr="00940396">
        <w:t xml:space="preserve"> para. 6.2.</w:t>
      </w:r>
    </w:p>
  </w:footnote>
  <w:footnote w:id="26">
    <w:p w:rsidR="003B0CD4" w:rsidRPr="002C1C2D" w:rsidRDefault="003B0CD4" w:rsidP="00244B6F">
      <w:pPr>
        <w:pStyle w:val="FootnoteText"/>
        <w:ind w:firstLine="0"/>
        <w:jc w:val="both"/>
        <w:rPr>
          <w:highlight w:val="yellow"/>
        </w:rPr>
      </w:pPr>
      <w:r w:rsidRPr="00940396">
        <w:rPr>
          <w:rStyle w:val="FootnoteReference"/>
        </w:rPr>
        <w:footnoteRef/>
      </w:r>
      <w:r w:rsidRPr="00940396">
        <w:t xml:space="preserve"> </w:t>
      </w:r>
      <w:r w:rsidRPr="00940396">
        <w:rPr>
          <w:i/>
          <w:iCs/>
          <w:lang w:val="en-US"/>
        </w:rPr>
        <w:t xml:space="preserve">Official Records of the General Assembly, Thirty-seventh Session, Supplement No. 40 </w:t>
      </w:r>
      <w:r w:rsidRPr="00402254">
        <w:rPr>
          <w:lang w:val="en-US"/>
        </w:rPr>
        <w:t>(A/37/40</w:t>
      </w:r>
      <w:r w:rsidRPr="00F6752F">
        <w:rPr>
          <w:lang w:val="en-US"/>
        </w:rPr>
        <w:t>), annex V</w:t>
      </w:r>
      <w:r w:rsidRPr="00F6752F">
        <w:t>, para. 2.</w:t>
      </w:r>
    </w:p>
  </w:footnote>
  <w:footnote w:id="27">
    <w:p w:rsidR="003B0CD4" w:rsidRDefault="003B0CD4" w:rsidP="00244B6F">
      <w:pPr>
        <w:pStyle w:val="FootnoteText"/>
        <w:ind w:firstLine="0"/>
        <w:jc w:val="both"/>
      </w:pPr>
      <w:r w:rsidRPr="00940396">
        <w:rPr>
          <w:rStyle w:val="FootnoteReference"/>
        </w:rPr>
        <w:footnoteRef/>
      </w:r>
      <w:r w:rsidRPr="00940396">
        <w:t xml:space="preserve"> The Committee found that, in the abse</w:t>
      </w:r>
      <w:r w:rsidRPr="00402254">
        <w:t>nce of any explanations by the State party, a delay of three days in bringing a per</w:t>
      </w:r>
      <w:r w:rsidRPr="00F6752F">
        <w:t xml:space="preserve">son before a judge did not meet the requirement of promptness within the meaning of article 9, paragraph 3 (see communication No. 852/1999, </w:t>
      </w:r>
      <w:r w:rsidRPr="00F6752F">
        <w:rPr>
          <w:i/>
        </w:rPr>
        <w:t xml:space="preserve">Borisenko </w:t>
      </w:r>
      <w:r w:rsidRPr="004374A7">
        <w:t>v.</w:t>
      </w:r>
      <w:r w:rsidRPr="00940396">
        <w:rPr>
          <w:i/>
        </w:rPr>
        <w:t xml:space="preserve"> Hungary</w:t>
      </w:r>
      <w:r w:rsidRPr="00940396">
        <w:t xml:space="preserve">, Views adopted on 14 October 2002, para. 7.4). The Committee also concluded that a delay of one week in a capital case cannot be deemed compatible with article 9, paragraph 3 </w:t>
      </w:r>
      <w:r w:rsidRPr="00402254">
        <w:t xml:space="preserve">(see communication No. 702/1996, </w:t>
      </w:r>
      <w:r w:rsidRPr="004374A7">
        <w:rPr>
          <w:i/>
        </w:rPr>
        <w:t xml:space="preserve">McLawrence </w:t>
      </w:r>
      <w:r w:rsidRPr="004374A7">
        <w:t>v.</w:t>
      </w:r>
      <w:r w:rsidRPr="00940396">
        <w:rPr>
          <w:i/>
        </w:rPr>
        <w:t xml:space="preserve"> Jamaica</w:t>
      </w:r>
      <w:r w:rsidRPr="00940396">
        <w:t>, Views adopted on 18 July 1997, para. 5.6).</w:t>
      </w:r>
    </w:p>
  </w:footnote>
  <w:footnote w:id="28">
    <w:p w:rsidR="003B0CD4" w:rsidRPr="00693A75" w:rsidRDefault="003B0CD4" w:rsidP="00244B6F">
      <w:pPr>
        <w:pStyle w:val="FootnoteText"/>
        <w:ind w:firstLine="0"/>
        <w:jc w:val="both"/>
        <w:rPr>
          <w:highlight w:val="yellow"/>
        </w:rPr>
      </w:pPr>
      <w:r w:rsidRPr="00940396">
        <w:rPr>
          <w:rStyle w:val="FootnoteReference"/>
        </w:rPr>
        <w:footnoteRef/>
      </w:r>
      <w:r w:rsidRPr="00940396">
        <w:t xml:space="preserve"> See, for example, </w:t>
      </w:r>
      <w:r w:rsidRPr="00402254">
        <w:rPr>
          <w:szCs w:val="18"/>
        </w:rPr>
        <w:t xml:space="preserve">communications No. 770/1997, </w:t>
      </w:r>
      <w:r w:rsidRPr="004374A7">
        <w:rPr>
          <w:i/>
          <w:iCs/>
          <w:szCs w:val="18"/>
        </w:rPr>
        <w:t xml:space="preserve">Gridin </w:t>
      </w:r>
      <w:r w:rsidRPr="004374A7">
        <w:rPr>
          <w:iCs/>
          <w:szCs w:val="18"/>
        </w:rPr>
        <w:t xml:space="preserve">v. </w:t>
      </w:r>
      <w:r w:rsidRPr="00940396">
        <w:rPr>
          <w:i/>
          <w:iCs/>
          <w:szCs w:val="18"/>
        </w:rPr>
        <w:t>Russian Federation</w:t>
      </w:r>
      <w:r w:rsidRPr="00940396">
        <w:rPr>
          <w:szCs w:val="18"/>
        </w:rPr>
        <w:t xml:space="preserve">, Views adopted on 20 July 2000, para. 8.3; No. 1520/2006, </w:t>
      </w:r>
      <w:r w:rsidRPr="00402254">
        <w:rPr>
          <w:i/>
          <w:szCs w:val="18"/>
        </w:rPr>
        <w:t xml:space="preserve">Mwamba </w:t>
      </w:r>
      <w:r w:rsidRPr="004374A7">
        <w:rPr>
          <w:szCs w:val="18"/>
        </w:rPr>
        <w:t>v.</w:t>
      </w:r>
      <w:r w:rsidRPr="00940396">
        <w:rPr>
          <w:i/>
          <w:szCs w:val="18"/>
        </w:rPr>
        <w:t xml:space="preserve"> Zambia</w:t>
      </w:r>
      <w:r w:rsidRPr="00940396">
        <w:rPr>
          <w:szCs w:val="18"/>
        </w:rPr>
        <w:t>, Views adopted on 10 March 2010, para. 6.5.</w:t>
      </w:r>
    </w:p>
  </w:footnote>
  <w:footnote w:id="29">
    <w:p w:rsidR="003B0CD4" w:rsidRPr="00693A75" w:rsidRDefault="003B0CD4" w:rsidP="00244B6F">
      <w:pPr>
        <w:pStyle w:val="FootnoteText"/>
        <w:ind w:firstLine="0"/>
        <w:jc w:val="both"/>
        <w:rPr>
          <w:highlight w:val="yellow"/>
        </w:rPr>
      </w:pPr>
      <w:r w:rsidRPr="00402254">
        <w:rPr>
          <w:rStyle w:val="FootnoteReference"/>
        </w:rPr>
        <w:footnoteRef/>
      </w:r>
      <w:r w:rsidRPr="00402254">
        <w:t xml:space="preserve"> </w:t>
      </w:r>
      <w:r w:rsidRPr="00940396">
        <w:t xml:space="preserve">See </w:t>
      </w:r>
      <w:r w:rsidRPr="00940396">
        <w:rPr>
          <w:szCs w:val="18"/>
        </w:rPr>
        <w:t>Committee</w:t>
      </w:r>
      <w:r>
        <w:rPr>
          <w:szCs w:val="18"/>
          <w:lang w:val="en-US"/>
        </w:rPr>
        <w:t>’</w:t>
      </w:r>
      <w:r w:rsidRPr="00940396">
        <w:rPr>
          <w:szCs w:val="18"/>
        </w:rPr>
        <w:t>s general comment No. 32</w:t>
      </w:r>
      <w:r w:rsidRPr="00940396">
        <w:rPr>
          <w:szCs w:val="18"/>
          <w:lang w:val="en-GB"/>
        </w:rPr>
        <w:t xml:space="preserve">, </w:t>
      </w:r>
      <w:r w:rsidRPr="00940396">
        <w:rPr>
          <w:szCs w:val="18"/>
        </w:rPr>
        <w:t>para. 30.</w:t>
      </w:r>
    </w:p>
  </w:footnote>
  <w:footnote w:id="30">
    <w:p w:rsidR="003B0CD4" w:rsidRPr="00513D53" w:rsidRDefault="003B0CD4" w:rsidP="00244B6F">
      <w:pPr>
        <w:pStyle w:val="FootnoteText"/>
        <w:ind w:firstLine="0"/>
        <w:jc w:val="both"/>
        <w:rPr>
          <w:highlight w:val="yellow"/>
          <w:lang w:val="en-US"/>
        </w:rPr>
      </w:pPr>
      <w:r w:rsidRPr="00402254">
        <w:rPr>
          <w:rStyle w:val="FootnoteReference"/>
        </w:rPr>
        <w:footnoteRef/>
      </w:r>
      <w:r w:rsidRPr="00402254">
        <w:t xml:space="preserve"> </w:t>
      </w:r>
      <w:r w:rsidRPr="00513D53">
        <w:t>I</w:t>
      </w:r>
      <w:r>
        <w:rPr>
          <w:lang w:val="en-US"/>
        </w:rPr>
        <w:t>bid</w:t>
      </w:r>
      <w:r w:rsidRPr="00513D53">
        <w:t>.</w:t>
      </w:r>
      <w:r>
        <w:rPr>
          <w:lang w:val="en-US"/>
        </w:rPr>
        <w:t>, para. 30.</w:t>
      </w:r>
    </w:p>
  </w:footnote>
  <w:footnote w:id="31">
    <w:p w:rsidR="003B0CD4" w:rsidRPr="00693A75" w:rsidRDefault="003B0CD4" w:rsidP="00244B6F">
      <w:pPr>
        <w:pStyle w:val="FootnoteText"/>
        <w:ind w:firstLine="0"/>
        <w:jc w:val="both"/>
        <w:rPr>
          <w:highlight w:val="yellow"/>
        </w:rPr>
      </w:pPr>
      <w:r w:rsidRPr="00402254">
        <w:rPr>
          <w:rStyle w:val="FootnoteReference"/>
        </w:rPr>
        <w:footnoteRef/>
      </w:r>
      <w:r w:rsidRPr="00402254">
        <w:t xml:space="preserve"> </w:t>
      </w:r>
      <w:r w:rsidRPr="00513D53">
        <w:rPr>
          <w:lang w:val="en-US"/>
        </w:rPr>
        <w:t>Ibid</w:t>
      </w:r>
      <w:r w:rsidRPr="00402254">
        <w:rPr>
          <w:szCs w:val="18"/>
          <w:lang w:val="en-GB"/>
        </w:rPr>
        <w:t xml:space="preserve">., </w:t>
      </w:r>
      <w:r w:rsidRPr="00513D53">
        <w:rPr>
          <w:szCs w:val="18"/>
        </w:rPr>
        <w:t>para. 32.</w:t>
      </w:r>
    </w:p>
  </w:footnote>
  <w:footnote w:id="32">
    <w:p w:rsidR="003B0CD4" w:rsidRPr="007965DE" w:rsidRDefault="003B0CD4" w:rsidP="00244B6F">
      <w:pPr>
        <w:pStyle w:val="FootnoteText"/>
        <w:ind w:firstLine="0"/>
        <w:jc w:val="both"/>
      </w:pPr>
      <w:r w:rsidRPr="00402254">
        <w:rPr>
          <w:rStyle w:val="FootnoteReference"/>
        </w:rPr>
        <w:footnoteRef/>
      </w:r>
      <w:r w:rsidRPr="00402254">
        <w:rPr>
          <w:lang w:val="en-GB"/>
        </w:rPr>
        <w:t xml:space="preserve"> </w:t>
      </w:r>
      <w:r w:rsidRPr="00513D53">
        <w:rPr>
          <w:lang w:val="en-GB"/>
        </w:rPr>
        <w:t xml:space="preserve">Ibid., para. </w:t>
      </w:r>
      <w:r w:rsidRPr="00513D53">
        <w:t xml:space="preserve">34. See also communications No. 1117/2002, </w:t>
      </w:r>
      <w:r w:rsidRPr="00513D53">
        <w:rPr>
          <w:i/>
          <w:iCs/>
        </w:rPr>
        <w:t>Khomidov</w:t>
      </w:r>
      <w:r w:rsidRPr="00513D53">
        <w:t xml:space="preserve"> </w:t>
      </w:r>
      <w:r w:rsidRPr="00513D53">
        <w:rPr>
          <w:iCs/>
        </w:rPr>
        <w:t>v.</w:t>
      </w:r>
      <w:r w:rsidRPr="00402254">
        <w:rPr>
          <w:i/>
          <w:iCs/>
        </w:rPr>
        <w:t xml:space="preserve"> Tajikistan</w:t>
      </w:r>
      <w:r w:rsidRPr="00513D53">
        <w:t xml:space="preserve">, Views adopted on 29 July 2004, para. 6.4; </w:t>
      </w:r>
      <w:r w:rsidRPr="007965DE">
        <w:t xml:space="preserve">No. 907/2000, </w:t>
      </w:r>
      <w:r w:rsidRPr="007965DE">
        <w:rPr>
          <w:i/>
          <w:iCs/>
        </w:rPr>
        <w:t xml:space="preserve">Siragev </w:t>
      </w:r>
      <w:r w:rsidRPr="007965DE">
        <w:rPr>
          <w:iCs/>
        </w:rPr>
        <w:t>v.</w:t>
      </w:r>
      <w:r w:rsidRPr="00402254">
        <w:rPr>
          <w:i/>
          <w:iCs/>
        </w:rPr>
        <w:t xml:space="preserve"> Uzbekistan</w:t>
      </w:r>
      <w:r w:rsidRPr="007965DE">
        <w:t xml:space="preserve">, Views </w:t>
      </w:r>
      <w:r w:rsidRPr="007965DE">
        <w:rPr>
          <w:szCs w:val="18"/>
        </w:rPr>
        <w:t>adopted on 1 November 2005, para. 6.3</w:t>
      </w:r>
      <w:r w:rsidRPr="007965DE">
        <w:rPr>
          <w:sz w:val="20"/>
        </w:rPr>
        <w:t xml:space="preserve">; </w:t>
      </w:r>
      <w:r w:rsidRPr="007965DE">
        <w:t xml:space="preserve">No. 770/1997, </w:t>
      </w:r>
      <w:r w:rsidRPr="007965DE">
        <w:rPr>
          <w:i/>
          <w:iCs/>
        </w:rPr>
        <w:t xml:space="preserve">Gridin </w:t>
      </w:r>
      <w:r w:rsidRPr="007965DE">
        <w:rPr>
          <w:iCs/>
        </w:rPr>
        <w:t>v.</w:t>
      </w:r>
      <w:r w:rsidRPr="00402254">
        <w:rPr>
          <w:i/>
          <w:iCs/>
        </w:rPr>
        <w:t xml:space="preserve"> Russian Federation</w:t>
      </w:r>
      <w:r w:rsidRPr="007965DE">
        <w:t xml:space="preserve">, </w:t>
      </w:r>
      <w:r w:rsidRPr="007965DE">
        <w:rPr>
          <w:szCs w:val="18"/>
        </w:rPr>
        <w:t xml:space="preserve">Views adopted on 20 July 2000, </w:t>
      </w:r>
      <w:r w:rsidRPr="007965DE">
        <w:t>para. 8.5.</w:t>
      </w:r>
    </w:p>
  </w:footnote>
  <w:footnote w:id="33">
    <w:p w:rsidR="003B0CD4" w:rsidRPr="00A542BA" w:rsidRDefault="003B0CD4" w:rsidP="00244B6F">
      <w:pPr>
        <w:spacing w:line="220" w:lineRule="exact"/>
        <w:ind w:left="1134" w:right="1134"/>
        <w:jc w:val="both"/>
        <w:rPr>
          <w:sz w:val="18"/>
          <w:szCs w:val="18"/>
        </w:rPr>
      </w:pPr>
      <w:r w:rsidRPr="005360C4">
        <w:rPr>
          <w:rStyle w:val="FootnoteReference"/>
          <w:szCs w:val="18"/>
        </w:rPr>
        <w:footnoteRef/>
      </w:r>
      <w:r w:rsidRPr="005360C4">
        <w:rPr>
          <w:sz w:val="18"/>
          <w:szCs w:val="18"/>
        </w:rPr>
        <w:t xml:space="preserve"> See communications No. 1117/2002, </w:t>
      </w:r>
      <w:r w:rsidRPr="005360C4">
        <w:rPr>
          <w:i/>
          <w:iCs/>
          <w:sz w:val="18"/>
          <w:szCs w:val="18"/>
        </w:rPr>
        <w:t>Khomidov</w:t>
      </w:r>
      <w:r w:rsidRPr="005360C4">
        <w:rPr>
          <w:sz w:val="18"/>
          <w:szCs w:val="18"/>
        </w:rPr>
        <w:t xml:space="preserve"> </w:t>
      </w:r>
      <w:r w:rsidRPr="005360C4">
        <w:rPr>
          <w:iCs/>
          <w:sz w:val="18"/>
          <w:szCs w:val="18"/>
        </w:rPr>
        <w:t>v.</w:t>
      </w:r>
      <w:r w:rsidRPr="00402254">
        <w:rPr>
          <w:i/>
          <w:iCs/>
          <w:sz w:val="18"/>
          <w:szCs w:val="18"/>
        </w:rPr>
        <w:t xml:space="preserve"> </w:t>
      </w:r>
      <w:smartTag w:uri="urn:schemas-microsoft-com:office:smarttags" w:element="country-region">
        <w:smartTag w:uri="urn:schemas-microsoft-com:office:smarttags" w:element="place">
          <w:r w:rsidRPr="00402254">
            <w:rPr>
              <w:i/>
              <w:iCs/>
              <w:sz w:val="18"/>
              <w:szCs w:val="18"/>
            </w:rPr>
            <w:t>Tajikistan</w:t>
          </w:r>
        </w:smartTag>
      </w:smartTag>
      <w:r w:rsidRPr="005360C4">
        <w:rPr>
          <w:sz w:val="18"/>
          <w:szCs w:val="18"/>
        </w:rPr>
        <w:t>, Views adopted on 29 July 2004, para. 6.4</w:t>
      </w:r>
      <w:r w:rsidRPr="009A5DA8">
        <w:rPr>
          <w:sz w:val="18"/>
          <w:szCs w:val="18"/>
        </w:rPr>
        <w:t xml:space="preserve">; </w:t>
      </w:r>
      <w:r w:rsidRPr="009A5DA8">
        <w:rPr>
          <w:iCs/>
          <w:sz w:val="18"/>
          <w:szCs w:val="18"/>
        </w:rPr>
        <w:t>No. 283/1988,</w:t>
      </w:r>
      <w:r w:rsidRPr="009A5DA8">
        <w:rPr>
          <w:i/>
          <w:iCs/>
          <w:sz w:val="18"/>
          <w:szCs w:val="18"/>
        </w:rPr>
        <w:t xml:space="preserve"> Little </w:t>
      </w:r>
      <w:r w:rsidRPr="009A5DA8">
        <w:rPr>
          <w:iCs/>
          <w:sz w:val="18"/>
          <w:szCs w:val="18"/>
        </w:rPr>
        <w:t>v.</w:t>
      </w:r>
      <w:r w:rsidRPr="00402254">
        <w:rPr>
          <w:i/>
          <w:iCs/>
          <w:sz w:val="18"/>
          <w:szCs w:val="18"/>
        </w:rPr>
        <w:t xml:space="preserve"> </w:t>
      </w:r>
      <w:smartTag w:uri="urn:schemas-microsoft-com:office:smarttags" w:element="place">
        <w:smartTag w:uri="urn:schemas-microsoft-com:office:smarttags" w:element="country-region">
          <w:r w:rsidRPr="00402254">
            <w:rPr>
              <w:i/>
              <w:iCs/>
              <w:sz w:val="18"/>
              <w:szCs w:val="18"/>
            </w:rPr>
            <w:t>Jamaica</w:t>
          </w:r>
        </w:smartTag>
      </w:smartTag>
      <w:r w:rsidRPr="00402254">
        <w:rPr>
          <w:i/>
          <w:iCs/>
          <w:sz w:val="18"/>
          <w:szCs w:val="18"/>
        </w:rPr>
        <w:t xml:space="preserve">, </w:t>
      </w:r>
      <w:r w:rsidRPr="009A5DA8">
        <w:rPr>
          <w:sz w:val="18"/>
          <w:szCs w:val="18"/>
        </w:rPr>
        <w:t xml:space="preserve">Views adopted on 1 November 1991, para. 8.4; No. 1167/2003, </w:t>
      </w:r>
      <w:r w:rsidRPr="009A5DA8">
        <w:rPr>
          <w:i/>
          <w:iCs/>
          <w:sz w:val="18"/>
          <w:szCs w:val="18"/>
        </w:rPr>
        <w:t xml:space="preserve">Rayos </w:t>
      </w:r>
      <w:r w:rsidRPr="009A5DA8">
        <w:rPr>
          <w:iCs/>
          <w:sz w:val="18"/>
          <w:szCs w:val="18"/>
        </w:rPr>
        <w:t>v.</w:t>
      </w:r>
      <w:r w:rsidRPr="00402254">
        <w:rPr>
          <w:i/>
          <w:iCs/>
          <w:sz w:val="18"/>
          <w:szCs w:val="18"/>
        </w:rPr>
        <w:t xml:space="preserve"> </w:t>
      </w:r>
      <w:smartTag w:uri="urn:schemas-microsoft-com:office:smarttags" w:element="country-region">
        <w:smartTag w:uri="urn:schemas-microsoft-com:office:smarttags" w:element="place">
          <w:r w:rsidRPr="00402254">
            <w:rPr>
              <w:i/>
              <w:iCs/>
              <w:sz w:val="18"/>
              <w:szCs w:val="18"/>
            </w:rPr>
            <w:t>Philippines</w:t>
          </w:r>
        </w:smartTag>
      </w:smartTag>
      <w:r w:rsidRPr="00402254">
        <w:rPr>
          <w:i/>
          <w:iCs/>
          <w:sz w:val="18"/>
          <w:szCs w:val="18"/>
        </w:rPr>
        <w:t xml:space="preserve">, </w:t>
      </w:r>
      <w:r w:rsidRPr="009A5DA8">
        <w:rPr>
          <w:sz w:val="18"/>
          <w:szCs w:val="18"/>
        </w:rPr>
        <w:t>Views adopted on 27 July 2004, para 7.3.</w:t>
      </w:r>
    </w:p>
  </w:footnote>
  <w:footnote w:id="34">
    <w:p w:rsidR="003B0CD4" w:rsidRPr="002E5D87" w:rsidRDefault="003B0CD4" w:rsidP="00244B6F">
      <w:pPr>
        <w:pStyle w:val="FootnoteText"/>
        <w:ind w:firstLine="0"/>
        <w:jc w:val="both"/>
        <w:rPr>
          <w:lang w:val="en-US"/>
        </w:rPr>
      </w:pPr>
      <w:r w:rsidRPr="002E5D87">
        <w:rPr>
          <w:rStyle w:val="FootnoteReference"/>
        </w:rPr>
        <w:footnoteRef/>
      </w:r>
      <w:r w:rsidRPr="002E5D87">
        <w:t xml:space="preserve"> </w:t>
      </w:r>
      <w:r w:rsidRPr="002E5D87">
        <w:rPr>
          <w:color w:val="000000"/>
          <w:szCs w:val="18"/>
          <w:shd w:val="clear" w:color="auto" w:fill="FFFFFF"/>
          <w:lang w:eastAsia="en-GB"/>
        </w:rPr>
        <w:t>See</w:t>
      </w:r>
      <w:r w:rsidRPr="002E5D87">
        <w:rPr>
          <w:color w:val="000000"/>
          <w:szCs w:val="18"/>
          <w:shd w:val="clear" w:color="auto" w:fill="FFFFFF"/>
          <w:lang w:val="en-US" w:eastAsia="en-GB"/>
        </w:rPr>
        <w:t xml:space="preserve"> footnote 1</w:t>
      </w:r>
      <w:r>
        <w:rPr>
          <w:color w:val="000000"/>
          <w:szCs w:val="18"/>
          <w:shd w:val="clear" w:color="auto" w:fill="FFFFFF"/>
          <w:lang w:val="en-US" w:eastAsia="en-GB"/>
        </w:rPr>
        <w:t>9</w:t>
      </w:r>
      <w:r w:rsidRPr="002E5D87">
        <w:rPr>
          <w:color w:val="000000"/>
          <w:szCs w:val="18"/>
          <w:shd w:val="clear" w:color="auto" w:fill="FFFFFF"/>
          <w:lang w:val="en-US" w:eastAsia="en-GB"/>
        </w:rPr>
        <w:t xml:space="preserve"> above.</w:t>
      </w:r>
    </w:p>
  </w:footnote>
  <w:footnote w:id="35">
    <w:p w:rsidR="003B0CD4" w:rsidRPr="008F1BE6" w:rsidRDefault="003B0CD4" w:rsidP="00244B6F">
      <w:pPr>
        <w:pStyle w:val="FootnoteText"/>
        <w:ind w:firstLine="0"/>
        <w:jc w:val="both"/>
        <w:rPr>
          <w:szCs w:val="18"/>
        </w:rPr>
      </w:pPr>
      <w:r w:rsidRPr="00402254">
        <w:rPr>
          <w:rStyle w:val="FootnoteReference"/>
        </w:rPr>
        <w:footnoteRef/>
      </w:r>
      <w:r w:rsidRPr="00402254">
        <w:t xml:space="preserve"> </w:t>
      </w:r>
      <w:r w:rsidRPr="009A5DA8">
        <w:t xml:space="preserve">See </w:t>
      </w:r>
      <w:r w:rsidRPr="009A5DA8">
        <w:rPr>
          <w:szCs w:val="18"/>
        </w:rPr>
        <w:t>Committee</w:t>
      </w:r>
      <w:r>
        <w:rPr>
          <w:szCs w:val="18"/>
          <w:lang w:val="en-US"/>
        </w:rPr>
        <w:t>’</w:t>
      </w:r>
      <w:r w:rsidRPr="009A5DA8">
        <w:rPr>
          <w:szCs w:val="18"/>
        </w:rPr>
        <w:t xml:space="preserve">s general comment No. 32, para. </w:t>
      </w:r>
      <w:r w:rsidRPr="009A5DA8">
        <w:rPr>
          <w:szCs w:val="18"/>
          <w:lang w:val="en-GB"/>
        </w:rPr>
        <w:t xml:space="preserve">48; </w:t>
      </w:r>
      <w:r w:rsidRPr="00A53D8D">
        <w:rPr>
          <w:szCs w:val="18"/>
          <w:lang w:val="en-GB"/>
        </w:rPr>
        <w:t xml:space="preserve">communications No. </w:t>
      </w:r>
      <w:r w:rsidRPr="00A53D8D">
        <w:rPr>
          <w:lang w:val="en-GB"/>
        </w:rPr>
        <w:t xml:space="preserve">1100/2002, </w:t>
      </w:r>
      <w:r w:rsidRPr="00A53D8D">
        <w:rPr>
          <w:i/>
          <w:iCs/>
          <w:lang w:val="en-GB"/>
        </w:rPr>
        <w:t xml:space="preserve">Bandajevsky </w:t>
      </w:r>
      <w:r w:rsidRPr="00A53D8D">
        <w:rPr>
          <w:iCs/>
          <w:lang w:val="en-GB"/>
        </w:rPr>
        <w:t>v.</w:t>
      </w:r>
      <w:r w:rsidRPr="00402254">
        <w:rPr>
          <w:i/>
          <w:iCs/>
          <w:lang w:val="en-GB"/>
        </w:rPr>
        <w:t xml:space="preserve"> </w:t>
      </w:r>
      <w:smartTag w:uri="urn:schemas-microsoft-com:office:smarttags" w:element="country-region">
        <w:smartTag w:uri="urn:schemas-microsoft-com:office:smarttags" w:element="place">
          <w:r w:rsidRPr="00402254">
            <w:rPr>
              <w:i/>
              <w:iCs/>
              <w:lang w:val="en-GB"/>
            </w:rPr>
            <w:t>Belarus</w:t>
          </w:r>
        </w:smartTag>
      </w:smartTag>
      <w:r w:rsidRPr="00A53D8D">
        <w:rPr>
          <w:lang w:val="en-GB"/>
        </w:rPr>
        <w:t xml:space="preserve">, Views adopted on 28 March 2006, para. </w:t>
      </w:r>
      <w:r w:rsidRPr="00A53D8D">
        <w:t xml:space="preserve">10.13; No. 985/2001, </w:t>
      </w:r>
      <w:r w:rsidRPr="00A53D8D">
        <w:rPr>
          <w:i/>
          <w:iCs/>
        </w:rPr>
        <w:t>Aliboeva</w:t>
      </w:r>
      <w:r w:rsidRPr="00A53D8D">
        <w:t xml:space="preserve"> </w:t>
      </w:r>
      <w:r w:rsidRPr="00A53D8D">
        <w:rPr>
          <w:iCs/>
        </w:rPr>
        <w:t>v.</w:t>
      </w:r>
      <w:r w:rsidRPr="00402254">
        <w:rPr>
          <w:i/>
          <w:iCs/>
        </w:rPr>
        <w:t xml:space="preserve"> Tajikistan</w:t>
      </w:r>
      <w:r w:rsidRPr="00A53D8D">
        <w:t xml:space="preserve">, Views adopted on 18 October 2005, para. 6.5; No. 973/2001, </w:t>
      </w:r>
      <w:r w:rsidRPr="00A53D8D">
        <w:rPr>
          <w:i/>
          <w:iCs/>
        </w:rPr>
        <w:t xml:space="preserve">Khalilova </w:t>
      </w:r>
      <w:r w:rsidRPr="00A53D8D">
        <w:rPr>
          <w:iCs/>
        </w:rPr>
        <w:t>v.</w:t>
      </w:r>
      <w:r w:rsidRPr="00402254">
        <w:rPr>
          <w:i/>
          <w:iCs/>
        </w:rPr>
        <w:t xml:space="preserve"> Tajikistan</w:t>
      </w:r>
      <w:r w:rsidRPr="00A53D8D">
        <w:t>, Views adopted on 30 March 2005, para. 7.5</w:t>
      </w:r>
      <w:r w:rsidRPr="00A53D8D">
        <w:rPr>
          <w:lang w:val="en-GB"/>
        </w:rPr>
        <w:t>;</w:t>
      </w:r>
      <w:r w:rsidRPr="00A53D8D">
        <w:t xml:space="preserve"> No. 964/2001, </w:t>
      </w:r>
      <w:r w:rsidRPr="00A53D8D">
        <w:rPr>
          <w:i/>
          <w:iCs/>
        </w:rPr>
        <w:t xml:space="preserve">Saidova </w:t>
      </w:r>
      <w:r w:rsidRPr="00A53D8D">
        <w:rPr>
          <w:iCs/>
        </w:rPr>
        <w:t>v.</w:t>
      </w:r>
      <w:r w:rsidRPr="00402254">
        <w:rPr>
          <w:i/>
          <w:iCs/>
        </w:rPr>
        <w:t xml:space="preserve"> Tajikistan</w:t>
      </w:r>
      <w:r w:rsidRPr="00A53D8D">
        <w:t xml:space="preserve">, Views adopted on 8 July 2004, para. </w:t>
      </w:r>
      <w:r w:rsidRPr="00A53D8D">
        <w:rPr>
          <w:lang w:val="en-GB"/>
        </w:rPr>
        <w:t xml:space="preserve">6.5; </w:t>
      </w:r>
      <w:r w:rsidRPr="008F1BE6">
        <w:rPr>
          <w:lang w:val="en-GB"/>
        </w:rPr>
        <w:t xml:space="preserve">No. 701/1996, </w:t>
      </w:r>
      <w:r w:rsidRPr="008F1BE6">
        <w:rPr>
          <w:i/>
          <w:szCs w:val="18"/>
        </w:rPr>
        <w:t>Gómez Vázquez</w:t>
      </w:r>
      <w:r w:rsidRPr="008F1BE6">
        <w:rPr>
          <w:i/>
          <w:szCs w:val="18"/>
          <w:lang w:val="en-GB"/>
        </w:rPr>
        <w:t xml:space="preserve"> </w:t>
      </w:r>
      <w:r w:rsidRPr="008F1BE6">
        <w:rPr>
          <w:szCs w:val="18"/>
          <w:lang w:val="en-GB"/>
        </w:rPr>
        <w:t>v.</w:t>
      </w:r>
      <w:r w:rsidRPr="00402254">
        <w:rPr>
          <w:i/>
          <w:szCs w:val="18"/>
          <w:lang w:val="en-GB"/>
        </w:rPr>
        <w:t xml:space="preserve"> </w:t>
      </w:r>
      <w:smartTag w:uri="urn:schemas-microsoft-com:office:smarttags" w:element="country-region">
        <w:smartTag w:uri="urn:schemas-microsoft-com:office:smarttags" w:element="place">
          <w:r w:rsidRPr="00402254">
            <w:rPr>
              <w:i/>
              <w:szCs w:val="18"/>
              <w:lang w:val="en-GB"/>
            </w:rPr>
            <w:t>Spain</w:t>
          </w:r>
        </w:smartTag>
      </w:smartTag>
      <w:r w:rsidRPr="008F1BE6">
        <w:rPr>
          <w:szCs w:val="18"/>
          <w:lang w:val="en-GB"/>
        </w:rPr>
        <w:t>, Views adopted on 20 July 2000, para. 11.1.</w:t>
      </w:r>
    </w:p>
  </w:footnote>
  <w:footnote w:id="36">
    <w:p w:rsidR="003B0CD4" w:rsidRPr="0040164B" w:rsidRDefault="003B0CD4" w:rsidP="00244B6F">
      <w:pPr>
        <w:pStyle w:val="FootnoteText"/>
        <w:ind w:firstLine="0"/>
        <w:jc w:val="both"/>
        <w:rPr>
          <w:lang w:val="en-US"/>
        </w:rPr>
      </w:pPr>
      <w:r w:rsidRPr="008F1BE6">
        <w:rPr>
          <w:rStyle w:val="FootnoteReference"/>
        </w:rPr>
        <w:footnoteRef/>
      </w:r>
      <w:r w:rsidRPr="008F1BE6">
        <w:t xml:space="preserve"> See, for example, c</w:t>
      </w:r>
      <w:r w:rsidRPr="008F1BE6">
        <w:rPr>
          <w:szCs w:val="18"/>
        </w:rPr>
        <w:t xml:space="preserve">ommunications </w:t>
      </w:r>
      <w:r w:rsidRPr="008F1BE6">
        <w:t xml:space="preserve">No. 985/2001, </w:t>
      </w:r>
      <w:r w:rsidRPr="008F1BE6">
        <w:rPr>
          <w:i/>
          <w:iCs/>
        </w:rPr>
        <w:t>Aliboeva</w:t>
      </w:r>
      <w:r w:rsidRPr="008F1BE6">
        <w:t xml:space="preserve"> </w:t>
      </w:r>
      <w:r w:rsidRPr="008F1BE6">
        <w:rPr>
          <w:iCs/>
        </w:rPr>
        <w:t>v.</w:t>
      </w:r>
      <w:r w:rsidRPr="00402254">
        <w:rPr>
          <w:i/>
          <w:iCs/>
        </w:rPr>
        <w:t xml:space="preserve"> Tajikistan</w:t>
      </w:r>
      <w:r w:rsidRPr="008F1BE6">
        <w:t xml:space="preserve">, Views adopted on 18 October 2005, para. 6.5; </w:t>
      </w:r>
      <w:r w:rsidRPr="008F1BE6">
        <w:rPr>
          <w:szCs w:val="18"/>
        </w:rPr>
        <w:t xml:space="preserve">No. 973/2001, </w:t>
      </w:r>
      <w:r w:rsidRPr="008F1BE6">
        <w:rPr>
          <w:i/>
          <w:iCs/>
          <w:szCs w:val="18"/>
        </w:rPr>
        <w:t xml:space="preserve">Khalilova </w:t>
      </w:r>
      <w:r w:rsidRPr="008F1BE6">
        <w:rPr>
          <w:iCs/>
          <w:szCs w:val="18"/>
        </w:rPr>
        <w:t>v.</w:t>
      </w:r>
      <w:r w:rsidRPr="00402254">
        <w:rPr>
          <w:i/>
          <w:iCs/>
          <w:szCs w:val="18"/>
        </w:rPr>
        <w:t xml:space="preserve"> Tajikistan</w:t>
      </w:r>
      <w:r w:rsidRPr="008F1BE6">
        <w:rPr>
          <w:szCs w:val="18"/>
        </w:rPr>
        <w:t>, Views adopted on 30 March 2005, para. 7.5.</w:t>
      </w:r>
    </w:p>
  </w:footnote>
  <w:footnote w:id="37">
    <w:p w:rsidR="003B0CD4" w:rsidRPr="001273F7" w:rsidRDefault="003B0CD4" w:rsidP="00244B6F">
      <w:pPr>
        <w:pStyle w:val="FootnoteText"/>
        <w:ind w:firstLine="0"/>
        <w:jc w:val="both"/>
        <w:rPr>
          <w:highlight w:val="yellow"/>
          <w:lang w:val="en-US"/>
        </w:rPr>
      </w:pPr>
      <w:r w:rsidRPr="00402254">
        <w:rPr>
          <w:rStyle w:val="FootnoteReference"/>
        </w:rPr>
        <w:footnoteRef/>
      </w:r>
      <w:r w:rsidRPr="00402254">
        <w:t xml:space="preserve"> </w:t>
      </w:r>
      <w:r w:rsidRPr="00513D53">
        <w:rPr>
          <w:i/>
          <w:iCs/>
          <w:lang w:val="en-US"/>
        </w:rPr>
        <w:t xml:space="preserve">Official Records of the General Assembly, Thirty-seventh Session, Supplement No. 40 </w:t>
      </w:r>
      <w:r w:rsidRPr="00513D53">
        <w:rPr>
          <w:lang w:val="en-US"/>
        </w:rPr>
        <w:t>(A/37/40), annex V</w:t>
      </w:r>
      <w:r w:rsidRPr="00513D53">
        <w:rPr>
          <w:lang w:val="en-GB"/>
        </w:rPr>
        <w:t>, para. 7;</w:t>
      </w:r>
      <w:r w:rsidRPr="00513D53">
        <w:rPr>
          <w:lang w:val="en-US"/>
        </w:rPr>
        <w:t xml:space="preserve"> </w:t>
      </w:r>
      <w:r>
        <w:rPr>
          <w:lang w:val="en-US"/>
        </w:rPr>
        <w:t>s</w:t>
      </w:r>
      <w:r w:rsidRPr="00402254">
        <w:rPr>
          <w:lang w:val="en-US"/>
        </w:rPr>
        <w:t>ee also communication</w:t>
      </w:r>
      <w:r>
        <w:rPr>
          <w:lang w:val="en-US"/>
        </w:rPr>
        <w:t xml:space="preserve"> </w:t>
      </w:r>
      <w:r w:rsidRPr="008F1BE6">
        <w:rPr>
          <w:lang w:val="en-US"/>
        </w:rPr>
        <w:t xml:space="preserve">No. 253/1987, </w:t>
      </w:r>
      <w:r w:rsidRPr="008F1BE6">
        <w:rPr>
          <w:i/>
          <w:lang w:val="en-US"/>
        </w:rPr>
        <w:t xml:space="preserve">Kelly </w:t>
      </w:r>
      <w:r w:rsidRPr="008F1BE6">
        <w:rPr>
          <w:lang w:val="en-US"/>
        </w:rPr>
        <w:t>v.</w:t>
      </w:r>
      <w:r w:rsidRPr="00402254">
        <w:rPr>
          <w:i/>
          <w:lang w:val="en-US"/>
        </w:rPr>
        <w:t xml:space="preserve"> </w:t>
      </w:r>
      <w:smartTag w:uri="urn:schemas-microsoft-com:office:smarttags" w:element="place">
        <w:smartTag w:uri="urn:schemas-microsoft-com:office:smarttags" w:element="country-region">
          <w:r w:rsidRPr="00402254">
            <w:rPr>
              <w:i/>
              <w:lang w:val="en-US"/>
            </w:rPr>
            <w:t>Jamaica</w:t>
          </w:r>
        </w:smartTag>
      </w:smartTag>
      <w:r w:rsidRPr="008F1BE6">
        <w:rPr>
          <w:lang w:val="en-US"/>
        </w:rPr>
        <w:t>, Views adopted on 8 April 1991, para. 5.14.</w:t>
      </w:r>
    </w:p>
  </w:footnote>
  <w:footnote w:id="38">
    <w:p w:rsidR="003B0CD4" w:rsidRPr="00DC65A0" w:rsidRDefault="003B0CD4" w:rsidP="00244B6F">
      <w:pPr>
        <w:spacing w:line="220" w:lineRule="exact"/>
        <w:ind w:left="1134" w:right="1134"/>
        <w:jc w:val="both"/>
        <w:rPr>
          <w:color w:val="000000"/>
          <w:sz w:val="18"/>
          <w:szCs w:val="18"/>
          <w:shd w:val="clear" w:color="auto" w:fill="FFFFFF"/>
        </w:rPr>
      </w:pPr>
      <w:r w:rsidRPr="00092F40">
        <w:rPr>
          <w:rStyle w:val="FootnoteReference"/>
          <w:szCs w:val="18"/>
        </w:rPr>
        <w:footnoteRef/>
      </w:r>
      <w:r w:rsidRPr="00092F40">
        <w:rPr>
          <w:sz w:val="18"/>
          <w:szCs w:val="18"/>
        </w:rPr>
        <w:t xml:space="preserve"> See </w:t>
      </w:r>
      <w:r w:rsidRPr="00092F40">
        <w:rPr>
          <w:sz w:val="18"/>
          <w:szCs w:val="18"/>
          <w:lang w:val="en-US"/>
        </w:rPr>
        <w:t xml:space="preserve">the Committee’s general comment </w:t>
      </w:r>
      <w:r w:rsidRPr="00092F40">
        <w:rPr>
          <w:sz w:val="18"/>
          <w:szCs w:val="18"/>
        </w:rPr>
        <w:t>No. 32</w:t>
      </w:r>
      <w:r w:rsidRPr="00092F40">
        <w:rPr>
          <w:sz w:val="18"/>
          <w:szCs w:val="18"/>
          <w:lang w:val="en-US"/>
        </w:rPr>
        <w:t xml:space="preserve">, </w:t>
      </w:r>
      <w:r w:rsidRPr="00092F40">
        <w:rPr>
          <w:sz w:val="18"/>
          <w:szCs w:val="18"/>
        </w:rPr>
        <w:t>para. 59; communication</w:t>
      </w:r>
      <w:r w:rsidRPr="00092F40">
        <w:rPr>
          <w:sz w:val="18"/>
          <w:szCs w:val="18"/>
          <w:lang w:val="en-US"/>
        </w:rPr>
        <w:t>s</w:t>
      </w:r>
      <w:r w:rsidRPr="00092F40">
        <w:rPr>
          <w:sz w:val="18"/>
          <w:szCs w:val="18"/>
        </w:rPr>
        <w:t xml:space="preserve"> No. 719/1996, </w:t>
      </w:r>
      <w:r w:rsidRPr="00092F40">
        <w:rPr>
          <w:i/>
          <w:iCs/>
          <w:sz w:val="18"/>
          <w:szCs w:val="18"/>
        </w:rPr>
        <w:t xml:space="preserve">Levy </w:t>
      </w:r>
      <w:r w:rsidRPr="00092F40">
        <w:rPr>
          <w:sz w:val="18"/>
          <w:szCs w:val="18"/>
        </w:rPr>
        <w:t xml:space="preserve">v. </w:t>
      </w:r>
      <w:smartTag w:uri="urn:schemas-microsoft-com:office:smarttags" w:element="place">
        <w:smartTag w:uri="urn:schemas-microsoft-com:office:smarttags" w:element="country-region">
          <w:r w:rsidRPr="00092F40">
            <w:rPr>
              <w:i/>
              <w:iCs/>
              <w:sz w:val="18"/>
              <w:szCs w:val="18"/>
            </w:rPr>
            <w:t>Jamaica</w:t>
          </w:r>
        </w:smartTag>
      </w:smartTag>
      <w:r w:rsidRPr="00092F40">
        <w:rPr>
          <w:sz w:val="18"/>
          <w:szCs w:val="18"/>
        </w:rPr>
        <w:t xml:space="preserve">, Views adopted on 3 November 1998, para. 7.3; </w:t>
      </w:r>
      <w:r w:rsidRPr="00DC65A0">
        <w:rPr>
          <w:sz w:val="18"/>
          <w:szCs w:val="18"/>
        </w:rPr>
        <w:t xml:space="preserve">No. 1096/2002, </w:t>
      </w:r>
      <w:r w:rsidRPr="00DC65A0">
        <w:rPr>
          <w:i/>
          <w:iCs/>
          <w:sz w:val="18"/>
          <w:szCs w:val="18"/>
        </w:rPr>
        <w:t xml:space="preserve">Kurbanov </w:t>
      </w:r>
      <w:r w:rsidRPr="00DC65A0">
        <w:rPr>
          <w:sz w:val="18"/>
          <w:szCs w:val="18"/>
        </w:rPr>
        <w:t xml:space="preserve">v. </w:t>
      </w:r>
      <w:smartTag w:uri="urn:schemas-microsoft-com:office:smarttags" w:element="place">
        <w:smartTag w:uri="urn:schemas-microsoft-com:office:smarttags" w:element="country-region">
          <w:r w:rsidRPr="00DC65A0">
            <w:rPr>
              <w:i/>
              <w:iCs/>
              <w:sz w:val="18"/>
              <w:szCs w:val="18"/>
            </w:rPr>
            <w:t>Tajikistan</w:t>
          </w:r>
        </w:smartTag>
      </w:smartTag>
      <w:r w:rsidRPr="00DC65A0">
        <w:rPr>
          <w:sz w:val="18"/>
          <w:szCs w:val="18"/>
        </w:rPr>
        <w:t xml:space="preserve">, Views adopted on 6 November 2003, para. 7.7; No. 1044/2002, </w:t>
      </w:r>
      <w:r w:rsidRPr="00DC65A0">
        <w:rPr>
          <w:i/>
          <w:iCs/>
          <w:sz w:val="18"/>
          <w:szCs w:val="18"/>
        </w:rPr>
        <w:t>Sh</w:t>
      </w:r>
      <w:r w:rsidRPr="00DC65A0">
        <w:rPr>
          <w:i/>
          <w:iCs/>
          <w:sz w:val="18"/>
          <w:szCs w:val="18"/>
          <w:lang w:val="en-US"/>
        </w:rPr>
        <w:t>u</w:t>
      </w:r>
      <w:r w:rsidRPr="00DC65A0">
        <w:rPr>
          <w:i/>
          <w:iCs/>
          <w:sz w:val="18"/>
          <w:szCs w:val="18"/>
        </w:rPr>
        <w:t xml:space="preserve">kurova </w:t>
      </w:r>
      <w:r w:rsidRPr="00DC65A0">
        <w:rPr>
          <w:sz w:val="18"/>
          <w:szCs w:val="18"/>
        </w:rPr>
        <w:t xml:space="preserve">v. </w:t>
      </w:r>
      <w:smartTag w:uri="urn:schemas-microsoft-com:office:smarttags" w:element="place">
        <w:smartTag w:uri="urn:schemas-microsoft-com:office:smarttags" w:element="country-region">
          <w:r w:rsidRPr="00DC65A0">
            <w:rPr>
              <w:i/>
              <w:iCs/>
              <w:sz w:val="18"/>
              <w:szCs w:val="18"/>
            </w:rPr>
            <w:t>Tajikistan</w:t>
          </w:r>
        </w:smartTag>
      </w:smartTag>
      <w:r w:rsidRPr="00DC65A0">
        <w:rPr>
          <w:sz w:val="18"/>
          <w:szCs w:val="18"/>
        </w:rPr>
        <w:t xml:space="preserve">, Views adopted on 17 March 2006, para. 8.6; </w:t>
      </w:r>
      <w:r w:rsidRPr="00DC65A0">
        <w:rPr>
          <w:sz w:val="18"/>
          <w:szCs w:val="18"/>
          <w:lang w:val="en-US"/>
        </w:rPr>
        <w:t xml:space="preserve">No. </w:t>
      </w:r>
      <w:r w:rsidRPr="00DC65A0">
        <w:rPr>
          <w:rStyle w:val="apple-converted-space"/>
          <w:color w:val="000000"/>
          <w:sz w:val="18"/>
          <w:szCs w:val="18"/>
          <w:shd w:val="clear" w:color="auto" w:fill="FFFFFF"/>
        </w:rPr>
        <w:t xml:space="preserve">1276/2004, </w:t>
      </w:r>
      <w:r w:rsidRPr="00DC65A0">
        <w:rPr>
          <w:rStyle w:val="apple-converted-space"/>
          <w:i/>
          <w:color w:val="000000"/>
          <w:sz w:val="18"/>
          <w:szCs w:val="18"/>
          <w:shd w:val="clear" w:color="auto" w:fill="FFFFFF"/>
        </w:rPr>
        <w:t xml:space="preserve">Idieva </w:t>
      </w:r>
      <w:r w:rsidRPr="00DC65A0">
        <w:rPr>
          <w:rStyle w:val="apple-converted-space"/>
          <w:color w:val="000000"/>
          <w:sz w:val="18"/>
          <w:szCs w:val="18"/>
          <w:shd w:val="clear" w:color="auto" w:fill="FFFFFF"/>
        </w:rPr>
        <w:t>v.</w:t>
      </w:r>
      <w:r w:rsidRPr="00402254">
        <w:rPr>
          <w:rStyle w:val="apple-converted-space"/>
          <w:i/>
          <w:color w:val="000000"/>
          <w:sz w:val="18"/>
          <w:szCs w:val="18"/>
          <w:shd w:val="clear" w:color="auto" w:fill="FFFFFF"/>
        </w:rPr>
        <w:t xml:space="preserve"> </w:t>
      </w:r>
      <w:smartTag w:uri="urn:schemas-microsoft-com:office:smarttags" w:element="place">
        <w:smartTag w:uri="urn:schemas-microsoft-com:office:smarttags" w:element="country-region">
          <w:r w:rsidRPr="00402254">
            <w:rPr>
              <w:rStyle w:val="apple-converted-space"/>
              <w:i/>
              <w:color w:val="000000"/>
              <w:sz w:val="18"/>
              <w:szCs w:val="18"/>
              <w:shd w:val="clear" w:color="auto" w:fill="FFFFFF"/>
            </w:rPr>
            <w:t>Tajikistan</w:t>
          </w:r>
        </w:smartTag>
      </w:smartTag>
      <w:r w:rsidRPr="00DC65A0">
        <w:rPr>
          <w:rStyle w:val="apple-converted-space"/>
          <w:color w:val="000000"/>
          <w:sz w:val="18"/>
          <w:szCs w:val="18"/>
          <w:shd w:val="clear" w:color="auto" w:fill="FFFFFF"/>
        </w:rPr>
        <w:t xml:space="preserve">, Views adopted on 31 March 2009, para. 9.7; </w:t>
      </w:r>
      <w:r w:rsidRPr="00DC65A0">
        <w:rPr>
          <w:sz w:val="18"/>
          <w:szCs w:val="18"/>
        </w:rPr>
        <w:t xml:space="preserve">No. 1304/2004, </w:t>
      </w:r>
      <w:r w:rsidRPr="00DC65A0">
        <w:rPr>
          <w:i/>
          <w:iCs/>
          <w:sz w:val="18"/>
          <w:szCs w:val="18"/>
        </w:rPr>
        <w:t xml:space="preserve">Khoroshenko </w:t>
      </w:r>
      <w:r w:rsidRPr="00DC65A0">
        <w:rPr>
          <w:sz w:val="18"/>
          <w:szCs w:val="18"/>
        </w:rPr>
        <w:t xml:space="preserve">v. </w:t>
      </w:r>
      <w:smartTag w:uri="urn:schemas-microsoft-com:office:smarttags" w:element="place">
        <w:smartTag w:uri="urn:schemas-microsoft-com:office:smarttags" w:element="country-region">
          <w:r w:rsidRPr="00DC65A0">
            <w:rPr>
              <w:i/>
              <w:iCs/>
              <w:sz w:val="18"/>
              <w:szCs w:val="18"/>
            </w:rPr>
            <w:t>Russian Federation</w:t>
          </w:r>
        </w:smartTag>
      </w:smartTag>
      <w:r w:rsidRPr="00DC65A0">
        <w:rPr>
          <w:sz w:val="18"/>
          <w:szCs w:val="18"/>
        </w:rPr>
        <w:t>, Views adopted on 29 March 2011, para. 9.11</w:t>
      </w:r>
      <w:r w:rsidRPr="00DC65A0">
        <w:rPr>
          <w:sz w:val="18"/>
          <w:szCs w:val="18"/>
          <w:lang w:val="en-US"/>
        </w:rPr>
        <w:t xml:space="preserve">; </w:t>
      </w:r>
      <w:r w:rsidRPr="00DC65A0">
        <w:rPr>
          <w:sz w:val="18"/>
          <w:szCs w:val="18"/>
        </w:rPr>
        <w:t xml:space="preserve">No. 1545/2007, </w:t>
      </w:r>
      <w:r w:rsidRPr="00DC65A0">
        <w:rPr>
          <w:i/>
          <w:sz w:val="18"/>
          <w:szCs w:val="18"/>
        </w:rPr>
        <w:t xml:space="preserve">Gunan </w:t>
      </w:r>
      <w:r w:rsidRPr="00DC65A0">
        <w:rPr>
          <w:sz w:val="18"/>
          <w:szCs w:val="18"/>
        </w:rPr>
        <w:t>v.</w:t>
      </w:r>
      <w:r w:rsidRPr="00402254">
        <w:rPr>
          <w:i/>
          <w:sz w:val="18"/>
          <w:szCs w:val="18"/>
        </w:rPr>
        <w:t xml:space="preserve"> </w:t>
      </w:r>
      <w:smartTag w:uri="urn:schemas-microsoft-com:office:smarttags" w:element="place">
        <w:smartTag w:uri="urn:schemas-microsoft-com:office:smarttags" w:element="country-region">
          <w:r w:rsidRPr="00402254">
            <w:rPr>
              <w:i/>
              <w:sz w:val="18"/>
              <w:szCs w:val="18"/>
            </w:rPr>
            <w:t>Kyrgyzstan</w:t>
          </w:r>
        </w:smartTag>
      </w:smartTag>
      <w:r w:rsidRPr="00DC65A0">
        <w:rPr>
          <w:sz w:val="18"/>
          <w:szCs w:val="18"/>
        </w:rPr>
        <w:t>, Views adopted on 25 July 2011, para. 6.</w:t>
      </w:r>
      <w:r w:rsidRPr="00DC65A0">
        <w:rPr>
          <w:sz w:val="18"/>
          <w:szCs w:val="18"/>
          <w:lang w:val="en-US"/>
        </w:rPr>
        <w:t>5.</w:t>
      </w:r>
    </w:p>
  </w:footnote>
  <w:footnote w:id="39">
    <w:p w:rsidR="003B0CD4" w:rsidRPr="00702C90" w:rsidRDefault="003B0CD4" w:rsidP="00244B6F">
      <w:pPr>
        <w:spacing w:line="220" w:lineRule="exact"/>
        <w:ind w:left="1134" w:right="1134"/>
        <w:jc w:val="both"/>
        <w:rPr>
          <w:b/>
          <w:sz w:val="18"/>
          <w:szCs w:val="18"/>
          <w:u w:val="single"/>
        </w:rPr>
      </w:pPr>
      <w:r w:rsidRPr="00DC65A0">
        <w:rPr>
          <w:rStyle w:val="FootnoteReference"/>
        </w:rPr>
        <w:footnoteRef/>
      </w:r>
      <w:r w:rsidRPr="00DC65A0">
        <w:t xml:space="preserve"> </w:t>
      </w:r>
      <w:r w:rsidRPr="00DC65A0">
        <w:rPr>
          <w:sz w:val="18"/>
          <w:szCs w:val="18"/>
        </w:rPr>
        <w:t xml:space="preserve">See also communications </w:t>
      </w:r>
      <w:r w:rsidRPr="00282F3E">
        <w:rPr>
          <w:sz w:val="18"/>
          <w:szCs w:val="18"/>
        </w:rPr>
        <w:t xml:space="preserve">No. 886/1999, </w:t>
      </w:r>
      <w:r w:rsidRPr="00282F3E">
        <w:rPr>
          <w:i/>
          <w:sz w:val="18"/>
          <w:szCs w:val="18"/>
        </w:rPr>
        <w:t>Schedko</w:t>
      </w:r>
      <w:r w:rsidRPr="00282F3E">
        <w:rPr>
          <w:sz w:val="18"/>
          <w:szCs w:val="18"/>
        </w:rPr>
        <w:t xml:space="preserve"> v. </w:t>
      </w:r>
      <w:smartTag w:uri="urn:schemas-microsoft-com:office:smarttags" w:element="country-region">
        <w:smartTag w:uri="urn:schemas-microsoft-com:office:smarttags" w:element="place">
          <w:r w:rsidRPr="00402254">
            <w:rPr>
              <w:i/>
              <w:sz w:val="18"/>
              <w:szCs w:val="18"/>
            </w:rPr>
            <w:t>Belarus</w:t>
          </w:r>
        </w:smartTag>
      </w:smartTag>
      <w:r w:rsidRPr="00282F3E">
        <w:rPr>
          <w:sz w:val="18"/>
          <w:szCs w:val="18"/>
        </w:rPr>
        <w:t xml:space="preserve">, Views adopted on 3 April 2003, para. 10.2; No. 887/1999, </w:t>
      </w:r>
      <w:r w:rsidRPr="00282F3E">
        <w:rPr>
          <w:i/>
          <w:sz w:val="18"/>
          <w:szCs w:val="18"/>
        </w:rPr>
        <w:t xml:space="preserve">Staselovich </w:t>
      </w:r>
      <w:r w:rsidRPr="00282F3E">
        <w:rPr>
          <w:sz w:val="18"/>
          <w:szCs w:val="18"/>
        </w:rPr>
        <w:t>v.</w:t>
      </w:r>
      <w:r w:rsidRPr="00402254">
        <w:rPr>
          <w:i/>
          <w:sz w:val="18"/>
          <w:szCs w:val="18"/>
        </w:rPr>
        <w:t xml:space="preserve"> </w:t>
      </w:r>
      <w:smartTag w:uri="urn:schemas-microsoft-com:office:smarttags" w:element="country-region">
        <w:smartTag w:uri="urn:schemas-microsoft-com:office:smarttags" w:element="place">
          <w:r w:rsidRPr="00402254">
            <w:rPr>
              <w:i/>
              <w:sz w:val="18"/>
              <w:szCs w:val="18"/>
            </w:rPr>
            <w:t>Belarus</w:t>
          </w:r>
        </w:smartTag>
      </w:smartTag>
      <w:r w:rsidRPr="00282F3E">
        <w:rPr>
          <w:sz w:val="18"/>
          <w:szCs w:val="18"/>
        </w:rPr>
        <w:t xml:space="preserve">, Views adopted on 3 April 2003, para. 9.2; </w:t>
      </w:r>
      <w:r w:rsidRPr="00427497">
        <w:rPr>
          <w:sz w:val="18"/>
          <w:szCs w:val="18"/>
        </w:rPr>
        <w:t xml:space="preserve">No. 973/2001, </w:t>
      </w:r>
      <w:r w:rsidRPr="00427497">
        <w:rPr>
          <w:i/>
          <w:sz w:val="18"/>
          <w:szCs w:val="18"/>
        </w:rPr>
        <w:t xml:space="preserve">Khalilov </w:t>
      </w:r>
      <w:r w:rsidRPr="00427497">
        <w:rPr>
          <w:sz w:val="18"/>
          <w:szCs w:val="18"/>
        </w:rPr>
        <w:t>v.</w:t>
      </w:r>
      <w:r w:rsidRPr="00402254">
        <w:rPr>
          <w:i/>
          <w:sz w:val="18"/>
          <w:szCs w:val="18"/>
        </w:rPr>
        <w:t xml:space="preserve"> </w:t>
      </w:r>
      <w:smartTag w:uri="urn:schemas-microsoft-com:office:smarttags" w:element="country-region">
        <w:smartTag w:uri="urn:schemas-microsoft-com:office:smarttags" w:element="place">
          <w:r w:rsidRPr="00402254">
            <w:rPr>
              <w:i/>
              <w:sz w:val="18"/>
              <w:szCs w:val="18"/>
            </w:rPr>
            <w:t>Tajikistan</w:t>
          </w:r>
        </w:smartTag>
      </w:smartTag>
      <w:r w:rsidRPr="00427497">
        <w:rPr>
          <w:sz w:val="18"/>
          <w:szCs w:val="18"/>
        </w:rPr>
        <w:t xml:space="preserve">, Views adopted on 30 March 2005, para. 7.7; </w:t>
      </w:r>
      <w:r w:rsidRPr="001554AF">
        <w:rPr>
          <w:sz w:val="18"/>
          <w:szCs w:val="18"/>
        </w:rPr>
        <w:t xml:space="preserve">No. 985/2001, </w:t>
      </w:r>
      <w:r w:rsidRPr="001554AF">
        <w:rPr>
          <w:i/>
          <w:sz w:val="18"/>
          <w:szCs w:val="18"/>
        </w:rPr>
        <w:t xml:space="preserve">Aliboeva </w:t>
      </w:r>
      <w:r w:rsidRPr="00137CFA">
        <w:rPr>
          <w:sz w:val="18"/>
          <w:szCs w:val="18"/>
        </w:rPr>
        <w:t xml:space="preserve">v. </w:t>
      </w:r>
      <w:smartTag w:uri="urn:schemas-microsoft-com:office:smarttags" w:element="country-region">
        <w:smartTag w:uri="urn:schemas-microsoft-com:office:smarttags" w:element="place">
          <w:r w:rsidRPr="001554AF">
            <w:rPr>
              <w:i/>
              <w:sz w:val="18"/>
              <w:szCs w:val="18"/>
            </w:rPr>
            <w:t>Tajikistan</w:t>
          </w:r>
        </w:smartTag>
      </w:smartTag>
      <w:r w:rsidRPr="001554AF">
        <w:rPr>
          <w:sz w:val="18"/>
          <w:szCs w:val="18"/>
        </w:rPr>
        <w:t xml:space="preserve">, Views adopted on 18 October 2005, para. 6.7; </w:t>
      </w:r>
      <w:r w:rsidRPr="001554AF">
        <w:rPr>
          <w:rStyle w:val="apple-converted-space"/>
          <w:color w:val="000000"/>
          <w:sz w:val="18"/>
          <w:szCs w:val="18"/>
          <w:shd w:val="clear" w:color="auto" w:fill="FFFFFF"/>
        </w:rPr>
        <w:t xml:space="preserve">No. 1044/2002, </w:t>
      </w:r>
      <w:r w:rsidRPr="001554AF">
        <w:rPr>
          <w:i/>
          <w:iCs/>
          <w:sz w:val="18"/>
          <w:szCs w:val="18"/>
        </w:rPr>
        <w:t>Sh</w:t>
      </w:r>
      <w:r w:rsidRPr="001554AF">
        <w:rPr>
          <w:i/>
          <w:iCs/>
          <w:sz w:val="18"/>
          <w:szCs w:val="18"/>
          <w:lang w:val="en-US"/>
        </w:rPr>
        <w:t>u</w:t>
      </w:r>
      <w:r w:rsidRPr="001554AF">
        <w:rPr>
          <w:i/>
          <w:iCs/>
          <w:sz w:val="18"/>
          <w:szCs w:val="18"/>
        </w:rPr>
        <w:t xml:space="preserve">kurova </w:t>
      </w:r>
      <w:r w:rsidRPr="001554AF">
        <w:rPr>
          <w:sz w:val="18"/>
          <w:szCs w:val="18"/>
        </w:rPr>
        <w:t xml:space="preserve">v. </w:t>
      </w:r>
      <w:smartTag w:uri="urn:schemas-microsoft-com:office:smarttags" w:element="country-region">
        <w:smartTag w:uri="urn:schemas-microsoft-com:office:smarttags" w:element="place">
          <w:r w:rsidRPr="001554AF">
            <w:rPr>
              <w:i/>
              <w:iCs/>
              <w:sz w:val="18"/>
              <w:szCs w:val="18"/>
            </w:rPr>
            <w:t>Tajikistan</w:t>
          </w:r>
        </w:smartTag>
      </w:smartTag>
      <w:r w:rsidRPr="001554AF">
        <w:rPr>
          <w:sz w:val="18"/>
          <w:szCs w:val="18"/>
        </w:rPr>
        <w:t>, Views adopted on 17 March 2006, para.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D4" w:rsidRPr="003622DA" w:rsidRDefault="003B0CD4">
    <w:pPr>
      <w:pStyle w:val="Header"/>
    </w:pPr>
    <w:r>
      <w:t>CCPR/C/106/D/2120/2011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D4" w:rsidRPr="003622DA" w:rsidRDefault="003B0CD4" w:rsidP="003622DA">
    <w:pPr>
      <w:pStyle w:val="Header"/>
      <w:jc w:val="right"/>
    </w:pPr>
    <w:r>
      <w:t>CCPR/C/106/D/2120/2011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92" w:rsidRDefault="00F34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2"/>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6FC"/>
    <w:rsid w:val="00001182"/>
    <w:rsid w:val="0000383D"/>
    <w:rsid w:val="00004E36"/>
    <w:rsid w:val="00004E37"/>
    <w:rsid w:val="0000587C"/>
    <w:rsid w:val="0000720E"/>
    <w:rsid w:val="0001103D"/>
    <w:rsid w:val="0001322A"/>
    <w:rsid w:val="00015B1B"/>
    <w:rsid w:val="00016ECC"/>
    <w:rsid w:val="00021163"/>
    <w:rsid w:val="00022F08"/>
    <w:rsid w:val="00023672"/>
    <w:rsid w:val="00024201"/>
    <w:rsid w:val="000272B3"/>
    <w:rsid w:val="000312DD"/>
    <w:rsid w:val="000349D8"/>
    <w:rsid w:val="00034B50"/>
    <w:rsid w:val="00034CA2"/>
    <w:rsid w:val="00035FB8"/>
    <w:rsid w:val="00036C22"/>
    <w:rsid w:val="00043B27"/>
    <w:rsid w:val="00045DCD"/>
    <w:rsid w:val="000461C8"/>
    <w:rsid w:val="00046416"/>
    <w:rsid w:val="00046AA1"/>
    <w:rsid w:val="00047012"/>
    <w:rsid w:val="000475AA"/>
    <w:rsid w:val="00047704"/>
    <w:rsid w:val="00047BD4"/>
    <w:rsid w:val="00047D98"/>
    <w:rsid w:val="000508D5"/>
    <w:rsid w:val="00050F6B"/>
    <w:rsid w:val="000514EF"/>
    <w:rsid w:val="000554E6"/>
    <w:rsid w:val="00057E97"/>
    <w:rsid w:val="00060C3A"/>
    <w:rsid w:val="00062A77"/>
    <w:rsid w:val="000659EE"/>
    <w:rsid w:val="00066193"/>
    <w:rsid w:val="000678FD"/>
    <w:rsid w:val="00070672"/>
    <w:rsid w:val="000707C6"/>
    <w:rsid w:val="00072332"/>
    <w:rsid w:val="00072C8C"/>
    <w:rsid w:val="00073304"/>
    <w:rsid w:val="000733B5"/>
    <w:rsid w:val="00073F3C"/>
    <w:rsid w:val="0007795E"/>
    <w:rsid w:val="0008009C"/>
    <w:rsid w:val="000805CD"/>
    <w:rsid w:val="00081815"/>
    <w:rsid w:val="00082205"/>
    <w:rsid w:val="0008557F"/>
    <w:rsid w:val="00087EA7"/>
    <w:rsid w:val="000904B9"/>
    <w:rsid w:val="0009175C"/>
    <w:rsid w:val="000928E0"/>
    <w:rsid w:val="00092BE5"/>
    <w:rsid w:val="00092F40"/>
    <w:rsid w:val="000931C0"/>
    <w:rsid w:val="000963EF"/>
    <w:rsid w:val="0009661C"/>
    <w:rsid w:val="000A05D1"/>
    <w:rsid w:val="000A0644"/>
    <w:rsid w:val="000A1041"/>
    <w:rsid w:val="000A30F8"/>
    <w:rsid w:val="000A6A99"/>
    <w:rsid w:val="000A74E9"/>
    <w:rsid w:val="000B1492"/>
    <w:rsid w:val="000B175B"/>
    <w:rsid w:val="000B2253"/>
    <w:rsid w:val="000B3A0F"/>
    <w:rsid w:val="000B4EF7"/>
    <w:rsid w:val="000B6EC1"/>
    <w:rsid w:val="000B74D5"/>
    <w:rsid w:val="000B7D7F"/>
    <w:rsid w:val="000C0C45"/>
    <w:rsid w:val="000C2740"/>
    <w:rsid w:val="000C2C03"/>
    <w:rsid w:val="000C2D2E"/>
    <w:rsid w:val="000C3882"/>
    <w:rsid w:val="000C49BE"/>
    <w:rsid w:val="000C4DD9"/>
    <w:rsid w:val="000C5718"/>
    <w:rsid w:val="000C7FC8"/>
    <w:rsid w:val="000D316E"/>
    <w:rsid w:val="000D5B50"/>
    <w:rsid w:val="000D5F0F"/>
    <w:rsid w:val="000D6CEE"/>
    <w:rsid w:val="000E0415"/>
    <w:rsid w:val="000E0777"/>
    <w:rsid w:val="000E0BE7"/>
    <w:rsid w:val="000E0D80"/>
    <w:rsid w:val="000F522F"/>
    <w:rsid w:val="000F6349"/>
    <w:rsid w:val="000F687D"/>
    <w:rsid w:val="000F7CF1"/>
    <w:rsid w:val="00100CC4"/>
    <w:rsid w:val="00101CAD"/>
    <w:rsid w:val="00104485"/>
    <w:rsid w:val="001044BE"/>
    <w:rsid w:val="00105024"/>
    <w:rsid w:val="00107BF9"/>
    <w:rsid w:val="001103AA"/>
    <w:rsid w:val="00115B9A"/>
    <w:rsid w:val="0012097A"/>
    <w:rsid w:val="001214BD"/>
    <w:rsid w:val="00123D82"/>
    <w:rsid w:val="00125FEC"/>
    <w:rsid w:val="00126374"/>
    <w:rsid w:val="001272E4"/>
    <w:rsid w:val="001273F7"/>
    <w:rsid w:val="00131938"/>
    <w:rsid w:val="00132A2C"/>
    <w:rsid w:val="00135085"/>
    <w:rsid w:val="0013574C"/>
    <w:rsid w:val="00136ADF"/>
    <w:rsid w:val="00137CFA"/>
    <w:rsid w:val="00140297"/>
    <w:rsid w:val="00145B46"/>
    <w:rsid w:val="001460A6"/>
    <w:rsid w:val="001554AF"/>
    <w:rsid w:val="00161957"/>
    <w:rsid w:val="001632D5"/>
    <w:rsid w:val="00163E45"/>
    <w:rsid w:val="00163F23"/>
    <w:rsid w:val="001642F6"/>
    <w:rsid w:val="00165F3A"/>
    <w:rsid w:val="00166587"/>
    <w:rsid w:val="001738E4"/>
    <w:rsid w:val="00173D00"/>
    <w:rsid w:val="00177653"/>
    <w:rsid w:val="00183968"/>
    <w:rsid w:val="00185E3A"/>
    <w:rsid w:val="001912D0"/>
    <w:rsid w:val="00191566"/>
    <w:rsid w:val="001930A9"/>
    <w:rsid w:val="00193FDF"/>
    <w:rsid w:val="0019439A"/>
    <w:rsid w:val="00195DAA"/>
    <w:rsid w:val="001973D9"/>
    <w:rsid w:val="001A0AF1"/>
    <w:rsid w:val="001A21F4"/>
    <w:rsid w:val="001A36D2"/>
    <w:rsid w:val="001A4597"/>
    <w:rsid w:val="001A4CE2"/>
    <w:rsid w:val="001A5563"/>
    <w:rsid w:val="001A6686"/>
    <w:rsid w:val="001A6BD4"/>
    <w:rsid w:val="001B4B04"/>
    <w:rsid w:val="001B6DD9"/>
    <w:rsid w:val="001B7C2F"/>
    <w:rsid w:val="001C0320"/>
    <w:rsid w:val="001C1653"/>
    <w:rsid w:val="001C5872"/>
    <w:rsid w:val="001C5C04"/>
    <w:rsid w:val="001C6663"/>
    <w:rsid w:val="001C7895"/>
    <w:rsid w:val="001D00B3"/>
    <w:rsid w:val="001D0C8C"/>
    <w:rsid w:val="001D26DF"/>
    <w:rsid w:val="001D3A03"/>
    <w:rsid w:val="001D445B"/>
    <w:rsid w:val="001D60D4"/>
    <w:rsid w:val="001E0BDD"/>
    <w:rsid w:val="001E1AD7"/>
    <w:rsid w:val="001E27D3"/>
    <w:rsid w:val="001E308D"/>
    <w:rsid w:val="001E3412"/>
    <w:rsid w:val="001E39FE"/>
    <w:rsid w:val="001E4EE6"/>
    <w:rsid w:val="001E615F"/>
    <w:rsid w:val="001F0B8D"/>
    <w:rsid w:val="001F2BB1"/>
    <w:rsid w:val="001F3640"/>
    <w:rsid w:val="001F6310"/>
    <w:rsid w:val="00202DA8"/>
    <w:rsid w:val="002032A7"/>
    <w:rsid w:val="002053A4"/>
    <w:rsid w:val="00205B5A"/>
    <w:rsid w:val="0020615E"/>
    <w:rsid w:val="00206442"/>
    <w:rsid w:val="0020698E"/>
    <w:rsid w:val="00211E0B"/>
    <w:rsid w:val="002120DA"/>
    <w:rsid w:val="00220F65"/>
    <w:rsid w:val="00227663"/>
    <w:rsid w:val="00230AE4"/>
    <w:rsid w:val="0023130A"/>
    <w:rsid w:val="00231C0C"/>
    <w:rsid w:val="00231F6B"/>
    <w:rsid w:val="0023210C"/>
    <w:rsid w:val="0023275E"/>
    <w:rsid w:val="00232B6B"/>
    <w:rsid w:val="00233DBD"/>
    <w:rsid w:val="00244B6F"/>
    <w:rsid w:val="00246649"/>
    <w:rsid w:val="0024668F"/>
    <w:rsid w:val="0025056D"/>
    <w:rsid w:val="002505C3"/>
    <w:rsid w:val="00252F88"/>
    <w:rsid w:val="002564E1"/>
    <w:rsid w:val="00256885"/>
    <w:rsid w:val="00256B45"/>
    <w:rsid w:val="00256EC0"/>
    <w:rsid w:val="0026030F"/>
    <w:rsid w:val="0026246C"/>
    <w:rsid w:val="00263118"/>
    <w:rsid w:val="00263133"/>
    <w:rsid w:val="00265EBB"/>
    <w:rsid w:val="002675C1"/>
    <w:rsid w:val="0026760F"/>
    <w:rsid w:val="00267F5F"/>
    <w:rsid w:val="00270709"/>
    <w:rsid w:val="0027743B"/>
    <w:rsid w:val="0028040A"/>
    <w:rsid w:val="00280F82"/>
    <w:rsid w:val="00282F3E"/>
    <w:rsid w:val="00283EFC"/>
    <w:rsid w:val="0028504E"/>
    <w:rsid w:val="0028673B"/>
    <w:rsid w:val="00286B4D"/>
    <w:rsid w:val="0028729A"/>
    <w:rsid w:val="00291693"/>
    <w:rsid w:val="002940C4"/>
    <w:rsid w:val="00297C5D"/>
    <w:rsid w:val="002A0283"/>
    <w:rsid w:val="002A0EC7"/>
    <w:rsid w:val="002A3A72"/>
    <w:rsid w:val="002A524B"/>
    <w:rsid w:val="002A5E74"/>
    <w:rsid w:val="002A7213"/>
    <w:rsid w:val="002A7D49"/>
    <w:rsid w:val="002B1E56"/>
    <w:rsid w:val="002B2BC3"/>
    <w:rsid w:val="002B424D"/>
    <w:rsid w:val="002B56A0"/>
    <w:rsid w:val="002B5AF5"/>
    <w:rsid w:val="002C0D25"/>
    <w:rsid w:val="002C1C2D"/>
    <w:rsid w:val="002C21D9"/>
    <w:rsid w:val="002C25CD"/>
    <w:rsid w:val="002C3135"/>
    <w:rsid w:val="002C36B1"/>
    <w:rsid w:val="002C630D"/>
    <w:rsid w:val="002C76D8"/>
    <w:rsid w:val="002D01A7"/>
    <w:rsid w:val="002D0B9C"/>
    <w:rsid w:val="002D0F92"/>
    <w:rsid w:val="002D3C37"/>
    <w:rsid w:val="002D4F09"/>
    <w:rsid w:val="002D74D3"/>
    <w:rsid w:val="002E0E25"/>
    <w:rsid w:val="002E32CB"/>
    <w:rsid w:val="002E3F14"/>
    <w:rsid w:val="002E51BA"/>
    <w:rsid w:val="002E5417"/>
    <w:rsid w:val="002E5D87"/>
    <w:rsid w:val="002F175C"/>
    <w:rsid w:val="002F3664"/>
    <w:rsid w:val="002F635B"/>
    <w:rsid w:val="002F7EEE"/>
    <w:rsid w:val="00302BED"/>
    <w:rsid w:val="00303E0E"/>
    <w:rsid w:val="00303EF7"/>
    <w:rsid w:val="00304DA4"/>
    <w:rsid w:val="00305477"/>
    <w:rsid w:val="00305EB6"/>
    <w:rsid w:val="00307D44"/>
    <w:rsid w:val="00310F47"/>
    <w:rsid w:val="00311192"/>
    <w:rsid w:val="00313636"/>
    <w:rsid w:val="00314603"/>
    <w:rsid w:val="003157A2"/>
    <w:rsid w:val="00315FD3"/>
    <w:rsid w:val="00321699"/>
    <w:rsid w:val="003222AA"/>
    <w:rsid w:val="003229D8"/>
    <w:rsid w:val="003257CB"/>
    <w:rsid w:val="00326AD9"/>
    <w:rsid w:val="00327AE8"/>
    <w:rsid w:val="00331CDF"/>
    <w:rsid w:val="0033265A"/>
    <w:rsid w:val="00332872"/>
    <w:rsid w:val="0033444E"/>
    <w:rsid w:val="00334861"/>
    <w:rsid w:val="00336D7D"/>
    <w:rsid w:val="00340C15"/>
    <w:rsid w:val="003411D9"/>
    <w:rsid w:val="00344FAC"/>
    <w:rsid w:val="0034719D"/>
    <w:rsid w:val="0034786B"/>
    <w:rsid w:val="003504CF"/>
    <w:rsid w:val="003522B7"/>
    <w:rsid w:val="00352709"/>
    <w:rsid w:val="00353028"/>
    <w:rsid w:val="0036167D"/>
    <w:rsid w:val="003618A3"/>
    <w:rsid w:val="003622DA"/>
    <w:rsid w:val="003649DF"/>
    <w:rsid w:val="00367567"/>
    <w:rsid w:val="003708DD"/>
    <w:rsid w:val="00371178"/>
    <w:rsid w:val="0037282B"/>
    <w:rsid w:val="00375022"/>
    <w:rsid w:val="00376758"/>
    <w:rsid w:val="00382DFE"/>
    <w:rsid w:val="0038336C"/>
    <w:rsid w:val="00384012"/>
    <w:rsid w:val="00385305"/>
    <w:rsid w:val="00385582"/>
    <w:rsid w:val="00386AC6"/>
    <w:rsid w:val="00387827"/>
    <w:rsid w:val="00387E8C"/>
    <w:rsid w:val="003912D2"/>
    <w:rsid w:val="003915BF"/>
    <w:rsid w:val="003930CA"/>
    <w:rsid w:val="0039347C"/>
    <w:rsid w:val="00395807"/>
    <w:rsid w:val="00397024"/>
    <w:rsid w:val="003A040B"/>
    <w:rsid w:val="003A07EF"/>
    <w:rsid w:val="003A2A98"/>
    <w:rsid w:val="003A2ED1"/>
    <w:rsid w:val="003A5CC8"/>
    <w:rsid w:val="003A62E4"/>
    <w:rsid w:val="003A6810"/>
    <w:rsid w:val="003B0CD4"/>
    <w:rsid w:val="003B2A63"/>
    <w:rsid w:val="003B358F"/>
    <w:rsid w:val="003B50A3"/>
    <w:rsid w:val="003B5F8A"/>
    <w:rsid w:val="003B7775"/>
    <w:rsid w:val="003C17D6"/>
    <w:rsid w:val="003C2CC4"/>
    <w:rsid w:val="003C3E0D"/>
    <w:rsid w:val="003C4BC8"/>
    <w:rsid w:val="003C5258"/>
    <w:rsid w:val="003C599A"/>
    <w:rsid w:val="003C5D91"/>
    <w:rsid w:val="003C6EF3"/>
    <w:rsid w:val="003C7356"/>
    <w:rsid w:val="003D0109"/>
    <w:rsid w:val="003D1A7F"/>
    <w:rsid w:val="003D28DE"/>
    <w:rsid w:val="003D3E60"/>
    <w:rsid w:val="003D4B23"/>
    <w:rsid w:val="003E01E1"/>
    <w:rsid w:val="003E023C"/>
    <w:rsid w:val="003E066F"/>
    <w:rsid w:val="003E0E8A"/>
    <w:rsid w:val="003E2B03"/>
    <w:rsid w:val="003E30B6"/>
    <w:rsid w:val="003F0230"/>
    <w:rsid w:val="003F0C12"/>
    <w:rsid w:val="003F44ED"/>
    <w:rsid w:val="003F710B"/>
    <w:rsid w:val="003F7F71"/>
    <w:rsid w:val="00400545"/>
    <w:rsid w:val="0040164B"/>
    <w:rsid w:val="00402254"/>
    <w:rsid w:val="00402534"/>
    <w:rsid w:val="00403F6A"/>
    <w:rsid w:val="00404865"/>
    <w:rsid w:val="00405A54"/>
    <w:rsid w:val="0040786E"/>
    <w:rsid w:val="00410C89"/>
    <w:rsid w:val="0041120C"/>
    <w:rsid w:val="00411687"/>
    <w:rsid w:val="00411D65"/>
    <w:rsid w:val="00412B7F"/>
    <w:rsid w:val="00413DAC"/>
    <w:rsid w:val="004143E7"/>
    <w:rsid w:val="00417A5A"/>
    <w:rsid w:val="004206C0"/>
    <w:rsid w:val="00420DB3"/>
    <w:rsid w:val="00422CD7"/>
    <w:rsid w:val="00423A2E"/>
    <w:rsid w:val="00424C22"/>
    <w:rsid w:val="00425A2B"/>
    <w:rsid w:val="00425FB2"/>
    <w:rsid w:val="00426B9B"/>
    <w:rsid w:val="00426FE4"/>
    <w:rsid w:val="004273CF"/>
    <w:rsid w:val="00427497"/>
    <w:rsid w:val="00427B0A"/>
    <w:rsid w:val="00430198"/>
    <w:rsid w:val="004325CB"/>
    <w:rsid w:val="00434C11"/>
    <w:rsid w:val="00436B33"/>
    <w:rsid w:val="004374A7"/>
    <w:rsid w:val="004376E1"/>
    <w:rsid w:val="004421A8"/>
    <w:rsid w:val="00442A83"/>
    <w:rsid w:val="00446E01"/>
    <w:rsid w:val="004507C9"/>
    <w:rsid w:val="00451455"/>
    <w:rsid w:val="00453429"/>
    <w:rsid w:val="0045344B"/>
    <w:rsid w:val="0045495B"/>
    <w:rsid w:val="00461345"/>
    <w:rsid w:val="00461477"/>
    <w:rsid w:val="00461A2A"/>
    <w:rsid w:val="00462EBE"/>
    <w:rsid w:val="004645BA"/>
    <w:rsid w:val="00470DA5"/>
    <w:rsid w:val="004711EB"/>
    <w:rsid w:val="00471E9A"/>
    <w:rsid w:val="004731A2"/>
    <w:rsid w:val="004746CA"/>
    <w:rsid w:val="00481EF1"/>
    <w:rsid w:val="00482D91"/>
    <w:rsid w:val="004831CF"/>
    <w:rsid w:val="00483BF3"/>
    <w:rsid w:val="00485323"/>
    <w:rsid w:val="0048720B"/>
    <w:rsid w:val="00487488"/>
    <w:rsid w:val="004919A1"/>
    <w:rsid w:val="00491EDF"/>
    <w:rsid w:val="004A023C"/>
    <w:rsid w:val="004A2C2A"/>
    <w:rsid w:val="004A43A6"/>
    <w:rsid w:val="004A4E24"/>
    <w:rsid w:val="004A709E"/>
    <w:rsid w:val="004B13E3"/>
    <w:rsid w:val="004B1C2C"/>
    <w:rsid w:val="004B4006"/>
    <w:rsid w:val="004B420E"/>
    <w:rsid w:val="004B42B9"/>
    <w:rsid w:val="004B5117"/>
    <w:rsid w:val="004C0A0C"/>
    <w:rsid w:val="004C0D04"/>
    <w:rsid w:val="004C0FAA"/>
    <w:rsid w:val="004C1859"/>
    <w:rsid w:val="004C26A1"/>
    <w:rsid w:val="004C3545"/>
    <w:rsid w:val="004C55B5"/>
    <w:rsid w:val="004C71EB"/>
    <w:rsid w:val="004D1F58"/>
    <w:rsid w:val="004D4277"/>
    <w:rsid w:val="004D5BBC"/>
    <w:rsid w:val="004E074C"/>
    <w:rsid w:val="004E11ED"/>
    <w:rsid w:val="004E1962"/>
    <w:rsid w:val="004E2755"/>
    <w:rsid w:val="004E77F7"/>
    <w:rsid w:val="004F134D"/>
    <w:rsid w:val="004F2DE5"/>
    <w:rsid w:val="004F4A3F"/>
    <w:rsid w:val="004F7E2C"/>
    <w:rsid w:val="00500BFC"/>
    <w:rsid w:val="00500C56"/>
    <w:rsid w:val="00506F27"/>
    <w:rsid w:val="005077F4"/>
    <w:rsid w:val="005108A8"/>
    <w:rsid w:val="00510EF5"/>
    <w:rsid w:val="00511B57"/>
    <w:rsid w:val="00513D53"/>
    <w:rsid w:val="00513F35"/>
    <w:rsid w:val="00515C0E"/>
    <w:rsid w:val="00515CCA"/>
    <w:rsid w:val="005168E5"/>
    <w:rsid w:val="0052136D"/>
    <w:rsid w:val="00523A72"/>
    <w:rsid w:val="005245F8"/>
    <w:rsid w:val="005263D8"/>
    <w:rsid w:val="0052775E"/>
    <w:rsid w:val="00530ACD"/>
    <w:rsid w:val="005360C4"/>
    <w:rsid w:val="00536F7D"/>
    <w:rsid w:val="005377BB"/>
    <w:rsid w:val="00537827"/>
    <w:rsid w:val="005420F2"/>
    <w:rsid w:val="00544429"/>
    <w:rsid w:val="00544D38"/>
    <w:rsid w:val="00545903"/>
    <w:rsid w:val="0055020B"/>
    <w:rsid w:val="0055193E"/>
    <w:rsid w:val="00551B2A"/>
    <w:rsid w:val="00555CA0"/>
    <w:rsid w:val="005565E5"/>
    <w:rsid w:val="0056036D"/>
    <w:rsid w:val="00562520"/>
    <w:rsid w:val="005628B6"/>
    <w:rsid w:val="005643D0"/>
    <w:rsid w:val="00564642"/>
    <w:rsid w:val="0057126E"/>
    <w:rsid w:val="00573284"/>
    <w:rsid w:val="00575479"/>
    <w:rsid w:val="00575B5C"/>
    <w:rsid w:val="00576572"/>
    <w:rsid w:val="005768C8"/>
    <w:rsid w:val="005806C2"/>
    <w:rsid w:val="00581DBC"/>
    <w:rsid w:val="00584511"/>
    <w:rsid w:val="005848B3"/>
    <w:rsid w:val="00592E3E"/>
    <w:rsid w:val="00592F3A"/>
    <w:rsid w:val="00594C75"/>
    <w:rsid w:val="00597E35"/>
    <w:rsid w:val="005A0BD3"/>
    <w:rsid w:val="005A1796"/>
    <w:rsid w:val="005A3917"/>
    <w:rsid w:val="005A3B76"/>
    <w:rsid w:val="005A4D41"/>
    <w:rsid w:val="005B3DB3"/>
    <w:rsid w:val="005B464A"/>
    <w:rsid w:val="005B50CF"/>
    <w:rsid w:val="005B63F0"/>
    <w:rsid w:val="005C01B3"/>
    <w:rsid w:val="005C1B9A"/>
    <w:rsid w:val="005C2EE9"/>
    <w:rsid w:val="005C3318"/>
    <w:rsid w:val="005C4997"/>
    <w:rsid w:val="005D0123"/>
    <w:rsid w:val="005D0458"/>
    <w:rsid w:val="005D2DC3"/>
    <w:rsid w:val="005D65BE"/>
    <w:rsid w:val="005E0254"/>
    <w:rsid w:val="005E1993"/>
    <w:rsid w:val="005E293B"/>
    <w:rsid w:val="005E309D"/>
    <w:rsid w:val="005E5448"/>
    <w:rsid w:val="005F12CD"/>
    <w:rsid w:val="005F2B2E"/>
    <w:rsid w:val="005F2F54"/>
    <w:rsid w:val="005F3AF3"/>
    <w:rsid w:val="005F497A"/>
    <w:rsid w:val="005F4F34"/>
    <w:rsid w:val="005F6F93"/>
    <w:rsid w:val="005F7549"/>
    <w:rsid w:val="005F7717"/>
    <w:rsid w:val="005F7B75"/>
    <w:rsid w:val="006001EE"/>
    <w:rsid w:val="0060025D"/>
    <w:rsid w:val="0060246D"/>
    <w:rsid w:val="00602FD0"/>
    <w:rsid w:val="0060490D"/>
    <w:rsid w:val="00605042"/>
    <w:rsid w:val="006068AD"/>
    <w:rsid w:val="00611FC4"/>
    <w:rsid w:val="006124D1"/>
    <w:rsid w:val="0061374F"/>
    <w:rsid w:val="00615AAD"/>
    <w:rsid w:val="006176FB"/>
    <w:rsid w:val="006203CC"/>
    <w:rsid w:val="00620758"/>
    <w:rsid w:val="00620C05"/>
    <w:rsid w:val="0062228A"/>
    <w:rsid w:val="00623756"/>
    <w:rsid w:val="00633051"/>
    <w:rsid w:val="006349A5"/>
    <w:rsid w:val="00635887"/>
    <w:rsid w:val="00636661"/>
    <w:rsid w:val="00636937"/>
    <w:rsid w:val="0063711E"/>
    <w:rsid w:val="006378F9"/>
    <w:rsid w:val="00640B26"/>
    <w:rsid w:val="00641825"/>
    <w:rsid w:val="00642480"/>
    <w:rsid w:val="0065058F"/>
    <w:rsid w:val="00650B75"/>
    <w:rsid w:val="00652D0A"/>
    <w:rsid w:val="006571B8"/>
    <w:rsid w:val="00657540"/>
    <w:rsid w:val="00660FAD"/>
    <w:rsid w:val="00661529"/>
    <w:rsid w:val="00662BB6"/>
    <w:rsid w:val="006642F9"/>
    <w:rsid w:val="00664554"/>
    <w:rsid w:val="00664948"/>
    <w:rsid w:val="00665B18"/>
    <w:rsid w:val="0067404F"/>
    <w:rsid w:val="00674258"/>
    <w:rsid w:val="00674961"/>
    <w:rsid w:val="00676E4E"/>
    <w:rsid w:val="00676E74"/>
    <w:rsid w:val="00677933"/>
    <w:rsid w:val="00681873"/>
    <w:rsid w:val="0068381E"/>
    <w:rsid w:val="00684AEB"/>
    <w:rsid w:val="00684C21"/>
    <w:rsid w:val="00685251"/>
    <w:rsid w:val="006875CB"/>
    <w:rsid w:val="0069089F"/>
    <w:rsid w:val="00693A75"/>
    <w:rsid w:val="006A058A"/>
    <w:rsid w:val="006A05B8"/>
    <w:rsid w:val="006A482A"/>
    <w:rsid w:val="006A4AEC"/>
    <w:rsid w:val="006A6027"/>
    <w:rsid w:val="006B03FB"/>
    <w:rsid w:val="006B0DB5"/>
    <w:rsid w:val="006B1F36"/>
    <w:rsid w:val="006B3116"/>
    <w:rsid w:val="006B54DD"/>
    <w:rsid w:val="006B5D25"/>
    <w:rsid w:val="006B6210"/>
    <w:rsid w:val="006B7C73"/>
    <w:rsid w:val="006C08D3"/>
    <w:rsid w:val="006C3590"/>
    <w:rsid w:val="006C3C75"/>
    <w:rsid w:val="006C3D92"/>
    <w:rsid w:val="006C56CC"/>
    <w:rsid w:val="006C64E3"/>
    <w:rsid w:val="006D1634"/>
    <w:rsid w:val="006D2D9D"/>
    <w:rsid w:val="006D2FB9"/>
    <w:rsid w:val="006D33FB"/>
    <w:rsid w:val="006D36B1"/>
    <w:rsid w:val="006D37AF"/>
    <w:rsid w:val="006D51D0"/>
    <w:rsid w:val="006D5914"/>
    <w:rsid w:val="006D71F3"/>
    <w:rsid w:val="006E104B"/>
    <w:rsid w:val="006E1090"/>
    <w:rsid w:val="006E5034"/>
    <w:rsid w:val="006E564B"/>
    <w:rsid w:val="006E6662"/>
    <w:rsid w:val="006E6DD8"/>
    <w:rsid w:val="006E7191"/>
    <w:rsid w:val="006E74C2"/>
    <w:rsid w:val="006F0479"/>
    <w:rsid w:val="006F121B"/>
    <w:rsid w:val="006F675C"/>
    <w:rsid w:val="006F6A76"/>
    <w:rsid w:val="006F7E5E"/>
    <w:rsid w:val="00702C90"/>
    <w:rsid w:val="00703466"/>
    <w:rsid w:val="00703577"/>
    <w:rsid w:val="00704552"/>
    <w:rsid w:val="007077E4"/>
    <w:rsid w:val="007079D3"/>
    <w:rsid w:val="007126E8"/>
    <w:rsid w:val="0071443E"/>
    <w:rsid w:val="00714798"/>
    <w:rsid w:val="00721977"/>
    <w:rsid w:val="007219C0"/>
    <w:rsid w:val="0072349C"/>
    <w:rsid w:val="00724903"/>
    <w:rsid w:val="0072632A"/>
    <w:rsid w:val="00726832"/>
    <w:rsid w:val="007302E1"/>
    <w:rsid w:val="00731CFE"/>
    <w:rsid w:val="007327D5"/>
    <w:rsid w:val="007334F7"/>
    <w:rsid w:val="00734760"/>
    <w:rsid w:val="00736709"/>
    <w:rsid w:val="00740020"/>
    <w:rsid w:val="007418C9"/>
    <w:rsid w:val="00742710"/>
    <w:rsid w:val="0074493B"/>
    <w:rsid w:val="00745E02"/>
    <w:rsid w:val="007460BE"/>
    <w:rsid w:val="007530FA"/>
    <w:rsid w:val="00753769"/>
    <w:rsid w:val="0075520E"/>
    <w:rsid w:val="00755698"/>
    <w:rsid w:val="007559A7"/>
    <w:rsid w:val="0076093B"/>
    <w:rsid w:val="00760EA2"/>
    <w:rsid w:val="007629C8"/>
    <w:rsid w:val="00767218"/>
    <w:rsid w:val="00771D17"/>
    <w:rsid w:val="0077265F"/>
    <w:rsid w:val="00772E55"/>
    <w:rsid w:val="00776341"/>
    <w:rsid w:val="00785DAE"/>
    <w:rsid w:val="00786BE1"/>
    <w:rsid w:val="00791463"/>
    <w:rsid w:val="00792EBD"/>
    <w:rsid w:val="007959D0"/>
    <w:rsid w:val="007965DE"/>
    <w:rsid w:val="007A16FC"/>
    <w:rsid w:val="007A22D5"/>
    <w:rsid w:val="007A3E1D"/>
    <w:rsid w:val="007A54D5"/>
    <w:rsid w:val="007A57F4"/>
    <w:rsid w:val="007A5A98"/>
    <w:rsid w:val="007A764E"/>
    <w:rsid w:val="007B153E"/>
    <w:rsid w:val="007B1CB7"/>
    <w:rsid w:val="007B1CE4"/>
    <w:rsid w:val="007B2BAA"/>
    <w:rsid w:val="007B3F3F"/>
    <w:rsid w:val="007B64B3"/>
    <w:rsid w:val="007B6BA5"/>
    <w:rsid w:val="007C047B"/>
    <w:rsid w:val="007C1EAC"/>
    <w:rsid w:val="007C3390"/>
    <w:rsid w:val="007C3C1C"/>
    <w:rsid w:val="007C4F4B"/>
    <w:rsid w:val="007C784F"/>
    <w:rsid w:val="007D1200"/>
    <w:rsid w:val="007D2931"/>
    <w:rsid w:val="007D48F5"/>
    <w:rsid w:val="007D6161"/>
    <w:rsid w:val="007E0159"/>
    <w:rsid w:val="007E0B2D"/>
    <w:rsid w:val="007E1606"/>
    <w:rsid w:val="007E3401"/>
    <w:rsid w:val="007F1CCA"/>
    <w:rsid w:val="007F442D"/>
    <w:rsid w:val="007F6611"/>
    <w:rsid w:val="007F7577"/>
    <w:rsid w:val="00800580"/>
    <w:rsid w:val="008040E8"/>
    <w:rsid w:val="00804299"/>
    <w:rsid w:val="00805CDB"/>
    <w:rsid w:val="00805DD2"/>
    <w:rsid w:val="008105B8"/>
    <w:rsid w:val="00812A5C"/>
    <w:rsid w:val="0081463A"/>
    <w:rsid w:val="00823503"/>
    <w:rsid w:val="0082386B"/>
    <w:rsid w:val="008242D7"/>
    <w:rsid w:val="008257B1"/>
    <w:rsid w:val="00827CE8"/>
    <w:rsid w:val="008302B2"/>
    <w:rsid w:val="00837965"/>
    <w:rsid w:val="00843767"/>
    <w:rsid w:val="00843B05"/>
    <w:rsid w:val="00844038"/>
    <w:rsid w:val="008449D5"/>
    <w:rsid w:val="00844B6F"/>
    <w:rsid w:val="00845347"/>
    <w:rsid w:val="008468E2"/>
    <w:rsid w:val="008468EB"/>
    <w:rsid w:val="0085236B"/>
    <w:rsid w:val="0085259E"/>
    <w:rsid w:val="00860587"/>
    <w:rsid w:val="00861AE4"/>
    <w:rsid w:val="008630DC"/>
    <w:rsid w:val="008640D5"/>
    <w:rsid w:val="008679D9"/>
    <w:rsid w:val="00867D17"/>
    <w:rsid w:val="00870BFC"/>
    <w:rsid w:val="00871180"/>
    <w:rsid w:val="00871C07"/>
    <w:rsid w:val="00872901"/>
    <w:rsid w:val="00872AE6"/>
    <w:rsid w:val="00875894"/>
    <w:rsid w:val="008774FD"/>
    <w:rsid w:val="00877810"/>
    <w:rsid w:val="008806E5"/>
    <w:rsid w:val="00881775"/>
    <w:rsid w:val="00882BEF"/>
    <w:rsid w:val="00882F66"/>
    <w:rsid w:val="00884640"/>
    <w:rsid w:val="00886A64"/>
    <w:rsid w:val="00887A99"/>
    <w:rsid w:val="00893134"/>
    <w:rsid w:val="0089326B"/>
    <w:rsid w:val="00894772"/>
    <w:rsid w:val="00895726"/>
    <w:rsid w:val="00896F8F"/>
    <w:rsid w:val="008979B1"/>
    <w:rsid w:val="00897A4C"/>
    <w:rsid w:val="008A1DB2"/>
    <w:rsid w:val="008A234F"/>
    <w:rsid w:val="008A44A1"/>
    <w:rsid w:val="008A4E20"/>
    <w:rsid w:val="008A4F2D"/>
    <w:rsid w:val="008A52D1"/>
    <w:rsid w:val="008A5B30"/>
    <w:rsid w:val="008A6B25"/>
    <w:rsid w:val="008A6C4F"/>
    <w:rsid w:val="008B0D7B"/>
    <w:rsid w:val="008B2335"/>
    <w:rsid w:val="008B2972"/>
    <w:rsid w:val="008B2C65"/>
    <w:rsid w:val="008B35BC"/>
    <w:rsid w:val="008B7060"/>
    <w:rsid w:val="008B71C9"/>
    <w:rsid w:val="008C566B"/>
    <w:rsid w:val="008C590E"/>
    <w:rsid w:val="008C71B1"/>
    <w:rsid w:val="008D1049"/>
    <w:rsid w:val="008D1699"/>
    <w:rsid w:val="008D3C1C"/>
    <w:rsid w:val="008D4CAE"/>
    <w:rsid w:val="008D75B8"/>
    <w:rsid w:val="008D7D1C"/>
    <w:rsid w:val="008E0678"/>
    <w:rsid w:val="008E3D50"/>
    <w:rsid w:val="008E664E"/>
    <w:rsid w:val="008E6727"/>
    <w:rsid w:val="008E722D"/>
    <w:rsid w:val="008E737B"/>
    <w:rsid w:val="008F0233"/>
    <w:rsid w:val="008F1BE6"/>
    <w:rsid w:val="008F26D4"/>
    <w:rsid w:val="008F3572"/>
    <w:rsid w:val="008F64EC"/>
    <w:rsid w:val="008F6756"/>
    <w:rsid w:val="008F6D72"/>
    <w:rsid w:val="008F7386"/>
    <w:rsid w:val="00901EA3"/>
    <w:rsid w:val="00903E09"/>
    <w:rsid w:val="00904577"/>
    <w:rsid w:val="00905050"/>
    <w:rsid w:val="00905B41"/>
    <w:rsid w:val="009064BA"/>
    <w:rsid w:val="00910F40"/>
    <w:rsid w:val="009119AC"/>
    <w:rsid w:val="00912C08"/>
    <w:rsid w:val="0091471D"/>
    <w:rsid w:val="00914CF2"/>
    <w:rsid w:val="00915B0C"/>
    <w:rsid w:val="009202BB"/>
    <w:rsid w:val="00921C21"/>
    <w:rsid w:val="009223CA"/>
    <w:rsid w:val="00924568"/>
    <w:rsid w:val="00924D7B"/>
    <w:rsid w:val="00926444"/>
    <w:rsid w:val="00930BC6"/>
    <w:rsid w:val="0093317C"/>
    <w:rsid w:val="009374E6"/>
    <w:rsid w:val="00937AE2"/>
    <w:rsid w:val="00940396"/>
    <w:rsid w:val="00940CE2"/>
    <w:rsid w:val="00940F93"/>
    <w:rsid w:val="009417CA"/>
    <w:rsid w:val="009430BB"/>
    <w:rsid w:val="009433BB"/>
    <w:rsid w:val="009437D0"/>
    <w:rsid w:val="00943E87"/>
    <w:rsid w:val="009507C4"/>
    <w:rsid w:val="00950878"/>
    <w:rsid w:val="0095347F"/>
    <w:rsid w:val="00954211"/>
    <w:rsid w:val="00956202"/>
    <w:rsid w:val="009575E1"/>
    <w:rsid w:val="009618A3"/>
    <w:rsid w:val="00961AA6"/>
    <w:rsid w:val="00962AF6"/>
    <w:rsid w:val="009634D0"/>
    <w:rsid w:val="0096603E"/>
    <w:rsid w:val="00966670"/>
    <w:rsid w:val="00966DDF"/>
    <w:rsid w:val="009671F5"/>
    <w:rsid w:val="00967D3E"/>
    <w:rsid w:val="00970EF5"/>
    <w:rsid w:val="00971CCF"/>
    <w:rsid w:val="00972414"/>
    <w:rsid w:val="00972B06"/>
    <w:rsid w:val="00975454"/>
    <w:rsid w:val="009760B4"/>
    <w:rsid w:val="009760F3"/>
    <w:rsid w:val="00976AA6"/>
    <w:rsid w:val="00980039"/>
    <w:rsid w:val="009808F8"/>
    <w:rsid w:val="00980A89"/>
    <w:rsid w:val="00980ABE"/>
    <w:rsid w:val="00982A2A"/>
    <w:rsid w:val="009830B6"/>
    <w:rsid w:val="00983B69"/>
    <w:rsid w:val="0098502F"/>
    <w:rsid w:val="00985966"/>
    <w:rsid w:val="00986622"/>
    <w:rsid w:val="009909F5"/>
    <w:rsid w:val="009919D7"/>
    <w:rsid w:val="0099346C"/>
    <w:rsid w:val="00993DB7"/>
    <w:rsid w:val="00994A9A"/>
    <w:rsid w:val="00996526"/>
    <w:rsid w:val="00996ADC"/>
    <w:rsid w:val="00997B74"/>
    <w:rsid w:val="009A0E8D"/>
    <w:rsid w:val="009A15D2"/>
    <w:rsid w:val="009A3720"/>
    <w:rsid w:val="009A5DA8"/>
    <w:rsid w:val="009B11A9"/>
    <w:rsid w:val="009B1D91"/>
    <w:rsid w:val="009B26E7"/>
    <w:rsid w:val="009B293E"/>
    <w:rsid w:val="009B4018"/>
    <w:rsid w:val="009C05BD"/>
    <w:rsid w:val="009C2C15"/>
    <w:rsid w:val="009C600C"/>
    <w:rsid w:val="009C64AE"/>
    <w:rsid w:val="009C7AFE"/>
    <w:rsid w:val="009D01C6"/>
    <w:rsid w:val="009D1DF6"/>
    <w:rsid w:val="009D250E"/>
    <w:rsid w:val="009D3E11"/>
    <w:rsid w:val="009D5391"/>
    <w:rsid w:val="009E03C9"/>
    <w:rsid w:val="009E051D"/>
    <w:rsid w:val="009E4AB5"/>
    <w:rsid w:val="009E66C7"/>
    <w:rsid w:val="009E6CAE"/>
    <w:rsid w:val="009F5F17"/>
    <w:rsid w:val="009F7FCA"/>
    <w:rsid w:val="00A0078D"/>
    <w:rsid w:val="00A00A3F"/>
    <w:rsid w:val="00A013C9"/>
    <w:rsid w:val="00A01489"/>
    <w:rsid w:val="00A0625E"/>
    <w:rsid w:val="00A1107A"/>
    <w:rsid w:val="00A1203D"/>
    <w:rsid w:val="00A124CF"/>
    <w:rsid w:val="00A12DE9"/>
    <w:rsid w:val="00A165B9"/>
    <w:rsid w:val="00A21384"/>
    <w:rsid w:val="00A22A00"/>
    <w:rsid w:val="00A25DA1"/>
    <w:rsid w:val="00A26CB6"/>
    <w:rsid w:val="00A30922"/>
    <w:rsid w:val="00A31DDD"/>
    <w:rsid w:val="00A33386"/>
    <w:rsid w:val="00A338F1"/>
    <w:rsid w:val="00A34C1C"/>
    <w:rsid w:val="00A35053"/>
    <w:rsid w:val="00A360FA"/>
    <w:rsid w:val="00A366DD"/>
    <w:rsid w:val="00A36C32"/>
    <w:rsid w:val="00A40010"/>
    <w:rsid w:val="00A413B1"/>
    <w:rsid w:val="00A43342"/>
    <w:rsid w:val="00A44615"/>
    <w:rsid w:val="00A447A5"/>
    <w:rsid w:val="00A447A7"/>
    <w:rsid w:val="00A458FE"/>
    <w:rsid w:val="00A46937"/>
    <w:rsid w:val="00A474A8"/>
    <w:rsid w:val="00A53D8D"/>
    <w:rsid w:val="00A53E38"/>
    <w:rsid w:val="00A542BA"/>
    <w:rsid w:val="00A547E9"/>
    <w:rsid w:val="00A63834"/>
    <w:rsid w:val="00A6433C"/>
    <w:rsid w:val="00A64484"/>
    <w:rsid w:val="00A66556"/>
    <w:rsid w:val="00A72F22"/>
    <w:rsid w:val="00A73293"/>
    <w:rsid w:val="00A7360F"/>
    <w:rsid w:val="00A748A6"/>
    <w:rsid w:val="00A769F4"/>
    <w:rsid w:val="00A776B4"/>
    <w:rsid w:val="00A77E4C"/>
    <w:rsid w:val="00A806AD"/>
    <w:rsid w:val="00A82D24"/>
    <w:rsid w:val="00A83379"/>
    <w:rsid w:val="00A90517"/>
    <w:rsid w:val="00A91173"/>
    <w:rsid w:val="00A94361"/>
    <w:rsid w:val="00A94B2B"/>
    <w:rsid w:val="00A969BC"/>
    <w:rsid w:val="00A969FE"/>
    <w:rsid w:val="00A97D51"/>
    <w:rsid w:val="00A97FED"/>
    <w:rsid w:val="00AA0D8B"/>
    <w:rsid w:val="00AA1A25"/>
    <w:rsid w:val="00AA293C"/>
    <w:rsid w:val="00AA37FA"/>
    <w:rsid w:val="00AA3985"/>
    <w:rsid w:val="00AB04CF"/>
    <w:rsid w:val="00AB05C7"/>
    <w:rsid w:val="00AB2761"/>
    <w:rsid w:val="00AB3944"/>
    <w:rsid w:val="00AB46E5"/>
    <w:rsid w:val="00AB57DE"/>
    <w:rsid w:val="00AB77FC"/>
    <w:rsid w:val="00AB7AA9"/>
    <w:rsid w:val="00AC0EBA"/>
    <w:rsid w:val="00AC110B"/>
    <w:rsid w:val="00AC3A7E"/>
    <w:rsid w:val="00AC5CD1"/>
    <w:rsid w:val="00AC67BE"/>
    <w:rsid w:val="00AD0B1A"/>
    <w:rsid w:val="00AD20C6"/>
    <w:rsid w:val="00AD2E3C"/>
    <w:rsid w:val="00AD5092"/>
    <w:rsid w:val="00AD58E1"/>
    <w:rsid w:val="00AD6041"/>
    <w:rsid w:val="00AE103C"/>
    <w:rsid w:val="00AE16C4"/>
    <w:rsid w:val="00AE6358"/>
    <w:rsid w:val="00AE7C18"/>
    <w:rsid w:val="00AF4E72"/>
    <w:rsid w:val="00AF70F1"/>
    <w:rsid w:val="00B003E8"/>
    <w:rsid w:val="00B02F66"/>
    <w:rsid w:val="00B032E8"/>
    <w:rsid w:val="00B040D2"/>
    <w:rsid w:val="00B10F71"/>
    <w:rsid w:val="00B11348"/>
    <w:rsid w:val="00B12EB9"/>
    <w:rsid w:val="00B13E9B"/>
    <w:rsid w:val="00B2472D"/>
    <w:rsid w:val="00B258C9"/>
    <w:rsid w:val="00B30179"/>
    <w:rsid w:val="00B307CA"/>
    <w:rsid w:val="00B31C82"/>
    <w:rsid w:val="00B339A7"/>
    <w:rsid w:val="00B36282"/>
    <w:rsid w:val="00B36573"/>
    <w:rsid w:val="00B41609"/>
    <w:rsid w:val="00B4564F"/>
    <w:rsid w:val="00B459C1"/>
    <w:rsid w:val="00B46B0A"/>
    <w:rsid w:val="00B473EE"/>
    <w:rsid w:val="00B478FF"/>
    <w:rsid w:val="00B5206E"/>
    <w:rsid w:val="00B552BB"/>
    <w:rsid w:val="00B56E4A"/>
    <w:rsid w:val="00B56E9C"/>
    <w:rsid w:val="00B64B1F"/>
    <w:rsid w:val="00B6553F"/>
    <w:rsid w:val="00B662A4"/>
    <w:rsid w:val="00B662C5"/>
    <w:rsid w:val="00B66E5E"/>
    <w:rsid w:val="00B67616"/>
    <w:rsid w:val="00B70602"/>
    <w:rsid w:val="00B71E6B"/>
    <w:rsid w:val="00B72B30"/>
    <w:rsid w:val="00B72CF1"/>
    <w:rsid w:val="00B77D05"/>
    <w:rsid w:val="00B80020"/>
    <w:rsid w:val="00B80D3E"/>
    <w:rsid w:val="00B81206"/>
    <w:rsid w:val="00B81E12"/>
    <w:rsid w:val="00B836C1"/>
    <w:rsid w:val="00B845B6"/>
    <w:rsid w:val="00B85641"/>
    <w:rsid w:val="00B85974"/>
    <w:rsid w:val="00B86E40"/>
    <w:rsid w:val="00B8713D"/>
    <w:rsid w:val="00B90648"/>
    <w:rsid w:val="00B9067B"/>
    <w:rsid w:val="00B93654"/>
    <w:rsid w:val="00B9633F"/>
    <w:rsid w:val="00B974B9"/>
    <w:rsid w:val="00BA00EB"/>
    <w:rsid w:val="00BA0A46"/>
    <w:rsid w:val="00BA1F97"/>
    <w:rsid w:val="00BA2158"/>
    <w:rsid w:val="00BA2ECD"/>
    <w:rsid w:val="00BA40F5"/>
    <w:rsid w:val="00BA5913"/>
    <w:rsid w:val="00BB42EB"/>
    <w:rsid w:val="00BC0EC4"/>
    <w:rsid w:val="00BC1502"/>
    <w:rsid w:val="00BC2C23"/>
    <w:rsid w:val="00BC3A46"/>
    <w:rsid w:val="00BC51CD"/>
    <w:rsid w:val="00BC74E9"/>
    <w:rsid w:val="00BD05CB"/>
    <w:rsid w:val="00BD1251"/>
    <w:rsid w:val="00BD4A94"/>
    <w:rsid w:val="00BD5E5F"/>
    <w:rsid w:val="00BD711E"/>
    <w:rsid w:val="00BE5B5D"/>
    <w:rsid w:val="00BE67FB"/>
    <w:rsid w:val="00BF08CA"/>
    <w:rsid w:val="00BF343A"/>
    <w:rsid w:val="00BF411E"/>
    <w:rsid w:val="00BF68A8"/>
    <w:rsid w:val="00BF79E4"/>
    <w:rsid w:val="00C00B82"/>
    <w:rsid w:val="00C00F0A"/>
    <w:rsid w:val="00C02806"/>
    <w:rsid w:val="00C061F8"/>
    <w:rsid w:val="00C073CC"/>
    <w:rsid w:val="00C074A3"/>
    <w:rsid w:val="00C10A9D"/>
    <w:rsid w:val="00C11A03"/>
    <w:rsid w:val="00C13189"/>
    <w:rsid w:val="00C143C6"/>
    <w:rsid w:val="00C14D63"/>
    <w:rsid w:val="00C162CF"/>
    <w:rsid w:val="00C17598"/>
    <w:rsid w:val="00C22C78"/>
    <w:rsid w:val="00C23C4F"/>
    <w:rsid w:val="00C24EFD"/>
    <w:rsid w:val="00C27594"/>
    <w:rsid w:val="00C32DAA"/>
    <w:rsid w:val="00C34E8E"/>
    <w:rsid w:val="00C35475"/>
    <w:rsid w:val="00C4041C"/>
    <w:rsid w:val="00C4142C"/>
    <w:rsid w:val="00C41935"/>
    <w:rsid w:val="00C44394"/>
    <w:rsid w:val="00C4442A"/>
    <w:rsid w:val="00C44630"/>
    <w:rsid w:val="00C463DD"/>
    <w:rsid w:val="00C4724C"/>
    <w:rsid w:val="00C531DB"/>
    <w:rsid w:val="00C54A3E"/>
    <w:rsid w:val="00C55424"/>
    <w:rsid w:val="00C5749D"/>
    <w:rsid w:val="00C629A0"/>
    <w:rsid w:val="00C655A4"/>
    <w:rsid w:val="00C704EA"/>
    <w:rsid w:val="00C70685"/>
    <w:rsid w:val="00C70C75"/>
    <w:rsid w:val="00C71754"/>
    <w:rsid w:val="00C730BB"/>
    <w:rsid w:val="00C745C3"/>
    <w:rsid w:val="00C76804"/>
    <w:rsid w:val="00C76F8E"/>
    <w:rsid w:val="00C77861"/>
    <w:rsid w:val="00C81926"/>
    <w:rsid w:val="00C82BF7"/>
    <w:rsid w:val="00C82E0A"/>
    <w:rsid w:val="00C83300"/>
    <w:rsid w:val="00C84807"/>
    <w:rsid w:val="00C94456"/>
    <w:rsid w:val="00CA097D"/>
    <w:rsid w:val="00CA37D2"/>
    <w:rsid w:val="00CA4F63"/>
    <w:rsid w:val="00CA60F0"/>
    <w:rsid w:val="00CA6C53"/>
    <w:rsid w:val="00CA7188"/>
    <w:rsid w:val="00CB00AA"/>
    <w:rsid w:val="00CB0726"/>
    <w:rsid w:val="00CB0766"/>
    <w:rsid w:val="00CB1010"/>
    <w:rsid w:val="00CB2520"/>
    <w:rsid w:val="00CB48E2"/>
    <w:rsid w:val="00CB51AD"/>
    <w:rsid w:val="00CB522B"/>
    <w:rsid w:val="00CB79E4"/>
    <w:rsid w:val="00CC6FBC"/>
    <w:rsid w:val="00CC7F05"/>
    <w:rsid w:val="00CD60C3"/>
    <w:rsid w:val="00CD7E09"/>
    <w:rsid w:val="00CE25E9"/>
    <w:rsid w:val="00CE4A8F"/>
    <w:rsid w:val="00CE5B2C"/>
    <w:rsid w:val="00CE741C"/>
    <w:rsid w:val="00CF094F"/>
    <w:rsid w:val="00CF09F4"/>
    <w:rsid w:val="00CF12D2"/>
    <w:rsid w:val="00CF1A9C"/>
    <w:rsid w:val="00CF22DA"/>
    <w:rsid w:val="00CF434D"/>
    <w:rsid w:val="00CF460D"/>
    <w:rsid w:val="00D01636"/>
    <w:rsid w:val="00D02E65"/>
    <w:rsid w:val="00D03866"/>
    <w:rsid w:val="00D03B3C"/>
    <w:rsid w:val="00D04D59"/>
    <w:rsid w:val="00D058C7"/>
    <w:rsid w:val="00D05CE9"/>
    <w:rsid w:val="00D06987"/>
    <w:rsid w:val="00D06B86"/>
    <w:rsid w:val="00D11B4E"/>
    <w:rsid w:val="00D12C72"/>
    <w:rsid w:val="00D2031B"/>
    <w:rsid w:val="00D2096F"/>
    <w:rsid w:val="00D22FA6"/>
    <w:rsid w:val="00D23242"/>
    <w:rsid w:val="00D234C8"/>
    <w:rsid w:val="00D24EAB"/>
    <w:rsid w:val="00D25FE2"/>
    <w:rsid w:val="00D3050A"/>
    <w:rsid w:val="00D320F7"/>
    <w:rsid w:val="00D36984"/>
    <w:rsid w:val="00D36C60"/>
    <w:rsid w:val="00D36CB7"/>
    <w:rsid w:val="00D43252"/>
    <w:rsid w:val="00D432CC"/>
    <w:rsid w:val="00D43AB9"/>
    <w:rsid w:val="00D43EA9"/>
    <w:rsid w:val="00D45588"/>
    <w:rsid w:val="00D45ABB"/>
    <w:rsid w:val="00D477A0"/>
    <w:rsid w:val="00D47EEA"/>
    <w:rsid w:val="00D54470"/>
    <w:rsid w:val="00D549C3"/>
    <w:rsid w:val="00D55E65"/>
    <w:rsid w:val="00D56F41"/>
    <w:rsid w:val="00D602CE"/>
    <w:rsid w:val="00D610A5"/>
    <w:rsid w:val="00D6173A"/>
    <w:rsid w:val="00D6242E"/>
    <w:rsid w:val="00D62ECA"/>
    <w:rsid w:val="00D645F6"/>
    <w:rsid w:val="00D65A44"/>
    <w:rsid w:val="00D662C1"/>
    <w:rsid w:val="00D66956"/>
    <w:rsid w:val="00D76BCC"/>
    <w:rsid w:val="00D80569"/>
    <w:rsid w:val="00D81C50"/>
    <w:rsid w:val="00D83BEB"/>
    <w:rsid w:val="00D83FC5"/>
    <w:rsid w:val="00D850CA"/>
    <w:rsid w:val="00D85C85"/>
    <w:rsid w:val="00D917D4"/>
    <w:rsid w:val="00D93957"/>
    <w:rsid w:val="00D93981"/>
    <w:rsid w:val="00D95303"/>
    <w:rsid w:val="00D95AF7"/>
    <w:rsid w:val="00D95DAE"/>
    <w:rsid w:val="00D978C6"/>
    <w:rsid w:val="00DA1262"/>
    <w:rsid w:val="00DA1364"/>
    <w:rsid w:val="00DA3111"/>
    <w:rsid w:val="00DA3C1C"/>
    <w:rsid w:val="00DA54DC"/>
    <w:rsid w:val="00DA5FE3"/>
    <w:rsid w:val="00DA6482"/>
    <w:rsid w:val="00DA6CA1"/>
    <w:rsid w:val="00DB0C79"/>
    <w:rsid w:val="00DB125B"/>
    <w:rsid w:val="00DB1CC9"/>
    <w:rsid w:val="00DB26AF"/>
    <w:rsid w:val="00DB6295"/>
    <w:rsid w:val="00DB722A"/>
    <w:rsid w:val="00DC2389"/>
    <w:rsid w:val="00DC26C5"/>
    <w:rsid w:val="00DC2D7B"/>
    <w:rsid w:val="00DC33EC"/>
    <w:rsid w:val="00DC39D6"/>
    <w:rsid w:val="00DC6593"/>
    <w:rsid w:val="00DC65A0"/>
    <w:rsid w:val="00DC6811"/>
    <w:rsid w:val="00DC69AC"/>
    <w:rsid w:val="00DD063F"/>
    <w:rsid w:val="00DD1ADC"/>
    <w:rsid w:val="00DD2D73"/>
    <w:rsid w:val="00DD3454"/>
    <w:rsid w:val="00DD5C95"/>
    <w:rsid w:val="00DD7C2E"/>
    <w:rsid w:val="00DE12DF"/>
    <w:rsid w:val="00DE17DC"/>
    <w:rsid w:val="00DE1C39"/>
    <w:rsid w:val="00DE6CE2"/>
    <w:rsid w:val="00DE7814"/>
    <w:rsid w:val="00DE7B1F"/>
    <w:rsid w:val="00DF0F9F"/>
    <w:rsid w:val="00DF2A71"/>
    <w:rsid w:val="00DF3B37"/>
    <w:rsid w:val="00DF4B18"/>
    <w:rsid w:val="00DF6BF6"/>
    <w:rsid w:val="00E0044E"/>
    <w:rsid w:val="00E043C5"/>
    <w:rsid w:val="00E0593D"/>
    <w:rsid w:val="00E102EB"/>
    <w:rsid w:val="00E1038B"/>
    <w:rsid w:val="00E10CCB"/>
    <w:rsid w:val="00E115BA"/>
    <w:rsid w:val="00E171F4"/>
    <w:rsid w:val="00E174F5"/>
    <w:rsid w:val="00E179C2"/>
    <w:rsid w:val="00E20008"/>
    <w:rsid w:val="00E20A60"/>
    <w:rsid w:val="00E22F1A"/>
    <w:rsid w:val="00E254C0"/>
    <w:rsid w:val="00E26723"/>
    <w:rsid w:val="00E270EF"/>
    <w:rsid w:val="00E27346"/>
    <w:rsid w:val="00E31E5B"/>
    <w:rsid w:val="00E31F7A"/>
    <w:rsid w:val="00E340BC"/>
    <w:rsid w:val="00E349C4"/>
    <w:rsid w:val="00E3683B"/>
    <w:rsid w:val="00E369CD"/>
    <w:rsid w:val="00E41CF2"/>
    <w:rsid w:val="00E43200"/>
    <w:rsid w:val="00E43B2D"/>
    <w:rsid w:val="00E43FB0"/>
    <w:rsid w:val="00E44A24"/>
    <w:rsid w:val="00E4639D"/>
    <w:rsid w:val="00E46FC5"/>
    <w:rsid w:val="00E601CF"/>
    <w:rsid w:val="00E60717"/>
    <w:rsid w:val="00E6554A"/>
    <w:rsid w:val="00E670E2"/>
    <w:rsid w:val="00E673C1"/>
    <w:rsid w:val="00E67457"/>
    <w:rsid w:val="00E6751D"/>
    <w:rsid w:val="00E711C5"/>
    <w:rsid w:val="00E715A6"/>
    <w:rsid w:val="00E71BC8"/>
    <w:rsid w:val="00E7260F"/>
    <w:rsid w:val="00E73814"/>
    <w:rsid w:val="00E75863"/>
    <w:rsid w:val="00E76641"/>
    <w:rsid w:val="00E773E9"/>
    <w:rsid w:val="00E779FC"/>
    <w:rsid w:val="00E81CE3"/>
    <w:rsid w:val="00E84A6C"/>
    <w:rsid w:val="00E84F27"/>
    <w:rsid w:val="00E86D26"/>
    <w:rsid w:val="00E92757"/>
    <w:rsid w:val="00E94B1E"/>
    <w:rsid w:val="00E94F35"/>
    <w:rsid w:val="00E96630"/>
    <w:rsid w:val="00E97087"/>
    <w:rsid w:val="00E979C8"/>
    <w:rsid w:val="00EA01F2"/>
    <w:rsid w:val="00EA4F72"/>
    <w:rsid w:val="00EA53B5"/>
    <w:rsid w:val="00EA7293"/>
    <w:rsid w:val="00EB01B4"/>
    <w:rsid w:val="00EB2029"/>
    <w:rsid w:val="00EB2581"/>
    <w:rsid w:val="00EB263A"/>
    <w:rsid w:val="00EB2A04"/>
    <w:rsid w:val="00EB3806"/>
    <w:rsid w:val="00EB6FEF"/>
    <w:rsid w:val="00EB7947"/>
    <w:rsid w:val="00EC208D"/>
    <w:rsid w:val="00EC4F6C"/>
    <w:rsid w:val="00EC6990"/>
    <w:rsid w:val="00ED6986"/>
    <w:rsid w:val="00ED6FCC"/>
    <w:rsid w:val="00ED7A2A"/>
    <w:rsid w:val="00ED7E67"/>
    <w:rsid w:val="00EE0EF4"/>
    <w:rsid w:val="00EE27D8"/>
    <w:rsid w:val="00EE45FD"/>
    <w:rsid w:val="00EE75E2"/>
    <w:rsid w:val="00EE781C"/>
    <w:rsid w:val="00EF1D7F"/>
    <w:rsid w:val="00EF5D8A"/>
    <w:rsid w:val="00EF603A"/>
    <w:rsid w:val="00EF79E8"/>
    <w:rsid w:val="00F01CF5"/>
    <w:rsid w:val="00F05FBD"/>
    <w:rsid w:val="00F06EF6"/>
    <w:rsid w:val="00F12A00"/>
    <w:rsid w:val="00F1477A"/>
    <w:rsid w:val="00F154E3"/>
    <w:rsid w:val="00F20C3D"/>
    <w:rsid w:val="00F213B7"/>
    <w:rsid w:val="00F21592"/>
    <w:rsid w:val="00F24770"/>
    <w:rsid w:val="00F248E8"/>
    <w:rsid w:val="00F2551F"/>
    <w:rsid w:val="00F27EE2"/>
    <w:rsid w:val="00F30C20"/>
    <w:rsid w:val="00F32384"/>
    <w:rsid w:val="00F34092"/>
    <w:rsid w:val="00F3457A"/>
    <w:rsid w:val="00F34CD4"/>
    <w:rsid w:val="00F368C5"/>
    <w:rsid w:val="00F37330"/>
    <w:rsid w:val="00F37AF8"/>
    <w:rsid w:val="00F40206"/>
    <w:rsid w:val="00F426C5"/>
    <w:rsid w:val="00F42840"/>
    <w:rsid w:val="00F431D4"/>
    <w:rsid w:val="00F43808"/>
    <w:rsid w:val="00F43E9E"/>
    <w:rsid w:val="00F4650F"/>
    <w:rsid w:val="00F472D1"/>
    <w:rsid w:val="00F5420D"/>
    <w:rsid w:val="00F554CF"/>
    <w:rsid w:val="00F557E6"/>
    <w:rsid w:val="00F563C1"/>
    <w:rsid w:val="00F56885"/>
    <w:rsid w:val="00F60151"/>
    <w:rsid w:val="00F608AC"/>
    <w:rsid w:val="00F633C0"/>
    <w:rsid w:val="00F6576C"/>
    <w:rsid w:val="00F66576"/>
    <w:rsid w:val="00F6752F"/>
    <w:rsid w:val="00F7245B"/>
    <w:rsid w:val="00F732C8"/>
    <w:rsid w:val="00F7471E"/>
    <w:rsid w:val="00F76D7F"/>
    <w:rsid w:val="00F80052"/>
    <w:rsid w:val="00F80255"/>
    <w:rsid w:val="00F805BF"/>
    <w:rsid w:val="00F80CCF"/>
    <w:rsid w:val="00F836B3"/>
    <w:rsid w:val="00F84D58"/>
    <w:rsid w:val="00F875F5"/>
    <w:rsid w:val="00F902B4"/>
    <w:rsid w:val="00F9057C"/>
    <w:rsid w:val="00F906D7"/>
    <w:rsid w:val="00F9269B"/>
    <w:rsid w:val="00F92795"/>
    <w:rsid w:val="00F92F8A"/>
    <w:rsid w:val="00F93781"/>
    <w:rsid w:val="00F947FD"/>
    <w:rsid w:val="00F94CD5"/>
    <w:rsid w:val="00F95428"/>
    <w:rsid w:val="00FA2FAC"/>
    <w:rsid w:val="00FA358A"/>
    <w:rsid w:val="00FA40BC"/>
    <w:rsid w:val="00FA442F"/>
    <w:rsid w:val="00FB46A4"/>
    <w:rsid w:val="00FB4768"/>
    <w:rsid w:val="00FB4D5D"/>
    <w:rsid w:val="00FB613B"/>
    <w:rsid w:val="00FC24DE"/>
    <w:rsid w:val="00FC2CFD"/>
    <w:rsid w:val="00FC3F0F"/>
    <w:rsid w:val="00FC6701"/>
    <w:rsid w:val="00FC68B7"/>
    <w:rsid w:val="00FC725A"/>
    <w:rsid w:val="00FD3C12"/>
    <w:rsid w:val="00FD3E43"/>
    <w:rsid w:val="00FD4B84"/>
    <w:rsid w:val="00FE106A"/>
    <w:rsid w:val="00FE3E91"/>
    <w:rsid w:val="00FF0C3C"/>
    <w:rsid w:val="00FF19A0"/>
    <w:rsid w:val="00FF20C4"/>
    <w:rsid w:val="00FF38A6"/>
    <w:rsid w:val="00FF4EAD"/>
    <w:rsid w:val="00FF6F55"/>
    <w:rsid w:val="00FF7D02"/>
    <w:rsid w:val="00FF7DD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8A8304E9-796D-4CF9-948C-D249052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FC6701"/>
    <w:rPr>
      <w:lang w:eastAsia="en-US"/>
    </w:rPr>
  </w:style>
  <w:style w:type="character" w:styleId="Emphasis">
    <w:name w:val="Emphasis"/>
    <w:uiPriority w:val="20"/>
    <w:qFormat/>
    <w:rsid w:val="005F3AF3"/>
    <w:rPr>
      <w:b/>
      <w:bCs/>
      <w:i w:val="0"/>
      <w:iCs w:val="0"/>
    </w:rPr>
  </w:style>
  <w:style w:type="character" w:customStyle="1" w:styleId="st">
    <w:name w:val="st"/>
    <w:rsid w:val="005F3AF3"/>
  </w:style>
  <w:style w:type="character" w:customStyle="1" w:styleId="apple-converted-space">
    <w:name w:val="apple-converted-space"/>
    <w:basedOn w:val="DefaultParagraphFont"/>
    <w:rsid w:val="006E74C2"/>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511B57"/>
    <w:rPr>
      <w:sz w:val="18"/>
      <w:lang w:eastAsia="en-US"/>
    </w:rPr>
  </w:style>
  <w:style w:type="paragraph" w:styleId="BalloonText">
    <w:name w:val="Balloon Text"/>
    <w:basedOn w:val="Normal"/>
    <w:link w:val="BalloonTextChar"/>
    <w:rsid w:val="00B8713D"/>
    <w:pPr>
      <w:spacing w:line="240" w:lineRule="auto"/>
    </w:pPr>
    <w:rPr>
      <w:rFonts w:ascii="Tahoma" w:hAnsi="Tahoma" w:cs="Tahoma"/>
      <w:sz w:val="16"/>
      <w:szCs w:val="16"/>
    </w:rPr>
  </w:style>
  <w:style w:type="character" w:customStyle="1" w:styleId="BalloonTextChar">
    <w:name w:val="Balloon Text Char"/>
    <w:link w:val="BalloonText"/>
    <w:rsid w:val="00B8713D"/>
    <w:rPr>
      <w:rFonts w:ascii="Tahoma" w:hAnsi="Tahoma" w:cs="Tahoma"/>
      <w:sz w:val="16"/>
      <w:szCs w:val="16"/>
      <w:lang w:eastAsia="en-US"/>
    </w:rPr>
  </w:style>
  <w:style w:type="paragraph" w:customStyle="1" w:styleId="SingleTxt">
    <w:name w:val="__Single Txt"/>
    <w:basedOn w:val="Normal"/>
    <w:rsid w:val="0097241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MS Mincho"/>
      <w:spacing w:val="4"/>
      <w:w w:val="103"/>
      <w:kern w:val="14"/>
    </w:rPr>
  </w:style>
  <w:style w:type="character" w:styleId="Strong">
    <w:name w:val="Strong"/>
    <w:uiPriority w:val="22"/>
    <w:qFormat/>
    <w:rsid w:val="009507C4"/>
    <w:rPr>
      <w:b/>
      <w:bCs/>
    </w:rPr>
  </w:style>
  <w:style w:type="paragraph" w:styleId="NormalWeb">
    <w:name w:val="Normal (Web)"/>
    <w:basedOn w:val="Normal"/>
    <w:uiPriority w:val="99"/>
    <w:unhideWhenUsed/>
    <w:rsid w:val="009D3E11"/>
    <w:pPr>
      <w:suppressAutoHyphens w:val="0"/>
      <w:spacing w:before="100" w:beforeAutospacing="1" w:after="100" w:afterAutospacing="1" w:line="240" w:lineRule="auto"/>
    </w:pPr>
    <w:rPr>
      <w:color w:val="000000"/>
      <w:sz w:val="24"/>
      <w:szCs w:val="24"/>
      <w:lang w:eastAsia="en-GB"/>
    </w:rPr>
  </w:style>
  <w:style w:type="character" w:styleId="CommentReference">
    <w:name w:val="annotation reference"/>
    <w:rsid w:val="0001322A"/>
    <w:rPr>
      <w:sz w:val="16"/>
      <w:szCs w:val="16"/>
    </w:rPr>
  </w:style>
  <w:style w:type="paragraph" w:styleId="CommentText">
    <w:name w:val="annotation text"/>
    <w:basedOn w:val="Normal"/>
    <w:link w:val="CommentTextChar"/>
    <w:rsid w:val="0001322A"/>
  </w:style>
  <w:style w:type="character" w:customStyle="1" w:styleId="CommentTextChar">
    <w:name w:val="Comment Text Char"/>
    <w:link w:val="CommentText"/>
    <w:rsid w:val="0001322A"/>
    <w:rPr>
      <w:lang w:eastAsia="en-US"/>
    </w:rPr>
  </w:style>
  <w:style w:type="paragraph" w:styleId="CommentSubject">
    <w:name w:val="annotation subject"/>
    <w:basedOn w:val="CommentText"/>
    <w:next w:val="CommentText"/>
    <w:link w:val="CommentSubjectChar"/>
    <w:rsid w:val="0001322A"/>
    <w:rPr>
      <w:b/>
      <w:bCs/>
    </w:rPr>
  </w:style>
  <w:style w:type="character" w:customStyle="1" w:styleId="CommentSubjectChar">
    <w:name w:val="Comment Subject Char"/>
    <w:link w:val="CommentSubject"/>
    <w:rsid w:val="0001322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04467">
      <w:bodyDiv w:val="1"/>
      <w:marLeft w:val="0"/>
      <w:marRight w:val="0"/>
      <w:marTop w:val="0"/>
      <w:marBottom w:val="0"/>
      <w:divBdr>
        <w:top w:val="none" w:sz="0" w:space="0" w:color="auto"/>
        <w:left w:val="none" w:sz="0" w:space="0" w:color="auto"/>
        <w:bottom w:val="none" w:sz="0" w:space="0" w:color="auto"/>
        <w:right w:val="none" w:sz="0" w:space="0" w:color="auto"/>
      </w:divBdr>
    </w:div>
    <w:div w:id="493952013">
      <w:bodyDiv w:val="1"/>
      <w:marLeft w:val="0"/>
      <w:marRight w:val="0"/>
      <w:marTop w:val="0"/>
      <w:marBottom w:val="0"/>
      <w:divBdr>
        <w:top w:val="none" w:sz="0" w:space="0" w:color="auto"/>
        <w:left w:val="none" w:sz="0" w:space="0" w:color="auto"/>
        <w:bottom w:val="none" w:sz="0" w:space="0" w:color="auto"/>
        <w:right w:val="none" w:sz="0" w:space="0" w:color="auto"/>
      </w:divBdr>
    </w:div>
    <w:div w:id="532301892">
      <w:bodyDiv w:val="1"/>
      <w:marLeft w:val="0"/>
      <w:marRight w:val="0"/>
      <w:marTop w:val="0"/>
      <w:marBottom w:val="0"/>
      <w:divBdr>
        <w:top w:val="none" w:sz="0" w:space="0" w:color="auto"/>
        <w:left w:val="none" w:sz="0" w:space="0" w:color="auto"/>
        <w:bottom w:val="none" w:sz="0" w:space="0" w:color="auto"/>
        <w:right w:val="none" w:sz="0" w:space="0" w:color="auto"/>
      </w:divBdr>
    </w:div>
    <w:div w:id="823473480">
      <w:bodyDiv w:val="1"/>
      <w:marLeft w:val="0"/>
      <w:marRight w:val="0"/>
      <w:marTop w:val="0"/>
      <w:marBottom w:val="0"/>
      <w:divBdr>
        <w:top w:val="none" w:sz="0" w:space="0" w:color="auto"/>
        <w:left w:val="none" w:sz="0" w:space="0" w:color="auto"/>
        <w:bottom w:val="none" w:sz="0" w:space="0" w:color="auto"/>
        <w:right w:val="none" w:sz="0" w:space="0" w:color="auto"/>
      </w:divBdr>
    </w:div>
    <w:div w:id="1166020733">
      <w:bodyDiv w:val="1"/>
      <w:marLeft w:val="0"/>
      <w:marRight w:val="0"/>
      <w:marTop w:val="0"/>
      <w:marBottom w:val="0"/>
      <w:divBdr>
        <w:top w:val="none" w:sz="0" w:space="0" w:color="auto"/>
        <w:left w:val="none" w:sz="0" w:space="0" w:color="auto"/>
        <w:bottom w:val="none" w:sz="0" w:space="0" w:color="auto"/>
        <w:right w:val="none" w:sz="0" w:space="0" w:color="auto"/>
      </w:divBdr>
    </w:div>
    <w:div w:id="1437411470">
      <w:bodyDiv w:val="1"/>
      <w:marLeft w:val="0"/>
      <w:marRight w:val="0"/>
      <w:marTop w:val="0"/>
      <w:marBottom w:val="0"/>
      <w:divBdr>
        <w:top w:val="none" w:sz="0" w:space="0" w:color="auto"/>
        <w:left w:val="none" w:sz="0" w:space="0" w:color="auto"/>
        <w:bottom w:val="none" w:sz="0" w:space="0" w:color="auto"/>
        <w:right w:val="none" w:sz="0" w:space="0" w:color="auto"/>
      </w:divBdr>
    </w:div>
    <w:div w:id="17423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7627</Words>
  <Characters>43474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2012-11-26T14:49:00Z</cp:lastPrinted>
  <dcterms:created xsi:type="dcterms:W3CDTF">2017-01-24T19:16:00Z</dcterms:created>
  <dcterms:modified xsi:type="dcterms:W3CDTF">2017-01-24T19:16:00Z</dcterms:modified>
</cp:coreProperties>
</file>