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B56E9C" w:rsidTr="00B6553F">
        <w:trPr>
          <w:cantSplit/>
          <w:trHeight w:hRule="exact" w:val="851"/>
        </w:trPr>
        <w:tc>
          <w:tcPr>
            <w:tcW w:w="1276" w:type="dxa"/>
            <w:tcBorders>
              <w:bottom w:val="single" w:sz="4" w:space="0" w:color="auto"/>
            </w:tcBorders>
            <w:vAlign w:val="bottom"/>
          </w:tcPr>
          <w:p w:rsidR="00B56E9C" w:rsidRPr="00A9525A" w:rsidRDefault="00B56E9C" w:rsidP="00B6553F">
            <w:pPr>
              <w:spacing w:after="80"/>
              <w:rPr>
                <w:rStyle w:val="Emphasis"/>
              </w:rPr>
            </w:pPr>
            <w:bookmarkStart w:id="0" w:name="_GoBack"/>
            <w:bookmarkEnd w:id="0"/>
          </w:p>
        </w:tc>
        <w:tc>
          <w:tcPr>
            <w:tcW w:w="2268" w:type="dxa"/>
            <w:tcBorders>
              <w:bottom w:val="single" w:sz="4" w:space="0" w:color="auto"/>
            </w:tcBorders>
            <w:vAlign w:val="bottom"/>
          </w:tcPr>
          <w:p w:rsidR="00B56E9C" w:rsidRPr="00B97172" w:rsidRDefault="00B56E9C" w:rsidP="00B6553F">
            <w:pPr>
              <w:spacing w:after="80" w:line="300" w:lineRule="exact"/>
              <w:rPr>
                <w:b/>
                <w:sz w:val="24"/>
                <w:szCs w:val="24"/>
              </w:rPr>
            </w:pPr>
            <w:r>
              <w:rPr>
                <w:sz w:val="28"/>
                <w:szCs w:val="28"/>
              </w:rPr>
              <w:t>United Nations</w:t>
            </w:r>
          </w:p>
        </w:tc>
        <w:tc>
          <w:tcPr>
            <w:tcW w:w="6095" w:type="dxa"/>
            <w:gridSpan w:val="2"/>
            <w:tcBorders>
              <w:bottom w:val="single" w:sz="4" w:space="0" w:color="auto"/>
            </w:tcBorders>
            <w:vAlign w:val="bottom"/>
          </w:tcPr>
          <w:p w:rsidR="00B56E9C" w:rsidRPr="00D47EEA" w:rsidRDefault="008216A5" w:rsidP="005A7D77">
            <w:pPr>
              <w:jc w:val="right"/>
            </w:pPr>
            <w:r w:rsidRPr="008216A5">
              <w:rPr>
                <w:sz w:val="40"/>
              </w:rPr>
              <w:t>CCPR</w:t>
            </w:r>
            <w:r>
              <w:t>/C/1</w:t>
            </w:r>
            <w:r w:rsidR="00711F00">
              <w:t>1</w:t>
            </w:r>
            <w:r w:rsidR="005A7D77">
              <w:t>2</w:t>
            </w:r>
            <w:r>
              <w:t>/D/</w:t>
            </w:r>
            <w:r w:rsidR="00B43A0B">
              <w:t>2156/2012</w:t>
            </w:r>
          </w:p>
        </w:tc>
      </w:tr>
      <w:tr w:rsidR="00B56E9C" w:rsidTr="00B6553F">
        <w:trPr>
          <w:cantSplit/>
          <w:trHeight w:hRule="exact" w:val="2835"/>
        </w:trPr>
        <w:tc>
          <w:tcPr>
            <w:tcW w:w="1276" w:type="dxa"/>
            <w:tcBorders>
              <w:top w:val="single" w:sz="4" w:space="0" w:color="auto"/>
              <w:bottom w:val="single" w:sz="12" w:space="0" w:color="auto"/>
            </w:tcBorders>
          </w:tcPr>
          <w:p w:rsidR="00B56E9C" w:rsidRDefault="00A63334" w:rsidP="00B6553F">
            <w:pPr>
              <w:spacing w:before="12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25pt;height:46.5pt">
                  <v:imagedata r:id="rId7" o:title="_unlogo"/>
                </v:shape>
              </w:pict>
            </w:r>
          </w:p>
        </w:tc>
        <w:tc>
          <w:tcPr>
            <w:tcW w:w="5528" w:type="dxa"/>
            <w:gridSpan w:val="2"/>
            <w:tcBorders>
              <w:top w:val="single" w:sz="4" w:space="0" w:color="auto"/>
              <w:bottom w:val="single" w:sz="12" w:space="0" w:color="auto"/>
            </w:tcBorders>
          </w:tcPr>
          <w:p w:rsidR="00B56E9C" w:rsidRDefault="00B56E9C" w:rsidP="00267F5F">
            <w:pPr>
              <w:spacing w:before="120" w:line="380" w:lineRule="exact"/>
              <w:rPr>
                <w:b/>
                <w:sz w:val="34"/>
                <w:szCs w:val="40"/>
              </w:rPr>
            </w:pPr>
            <w:r w:rsidRPr="00267F5F">
              <w:rPr>
                <w:b/>
                <w:sz w:val="34"/>
                <w:szCs w:val="40"/>
              </w:rPr>
              <w:t xml:space="preserve">International </w:t>
            </w:r>
            <w:r w:rsidR="00060C3A">
              <w:rPr>
                <w:b/>
                <w:sz w:val="34"/>
                <w:szCs w:val="40"/>
              </w:rPr>
              <w:t>Covenant on</w:t>
            </w:r>
            <w:r w:rsidR="00060C3A">
              <w:rPr>
                <w:b/>
                <w:sz w:val="34"/>
                <w:szCs w:val="40"/>
              </w:rPr>
              <w:br/>
              <w:t>Civil and Political R</w:t>
            </w:r>
            <w:r w:rsidR="00703577" w:rsidRPr="00267F5F">
              <w:rPr>
                <w:b/>
                <w:sz w:val="34"/>
                <w:szCs w:val="40"/>
              </w:rPr>
              <w:t>ights</w:t>
            </w:r>
          </w:p>
          <w:p w:rsidR="00097781" w:rsidRPr="00097781" w:rsidRDefault="00097781" w:rsidP="00267F5F">
            <w:pPr>
              <w:spacing w:before="120" w:line="380" w:lineRule="exact"/>
              <w:rPr>
                <w:sz w:val="34"/>
              </w:rPr>
            </w:pPr>
          </w:p>
        </w:tc>
        <w:tc>
          <w:tcPr>
            <w:tcW w:w="2835" w:type="dxa"/>
            <w:tcBorders>
              <w:top w:val="single" w:sz="4" w:space="0" w:color="auto"/>
              <w:bottom w:val="single" w:sz="12" w:space="0" w:color="auto"/>
            </w:tcBorders>
          </w:tcPr>
          <w:p w:rsidR="00B56E9C" w:rsidRDefault="008216A5" w:rsidP="008216A5">
            <w:pPr>
              <w:spacing w:before="240" w:line="240" w:lineRule="exact"/>
            </w:pPr>
            <w:r>
              <w:t xml:space="preserve">Distr.: </w:t>
            </w:r>
            <w:r w:rsidR="00E54856">
              <w:t>General</w:t>
            </w:r>
          </w:p>
          <w:p w:rsidR="008216A5" w:rsidRDefault="00CA5C60" w:rsidP="008216A5">
            <w:pPr>
              <w:spacing w:line="240" w:lineRule="exact"/>
            </w:pPr>
            <w:r>
              <w:t>1</w:t>
            </w:r>
            <w:r w:rsidR="00977D8D">
              <w:t>8</w:t>
            </w:r>
            <w:r w:rsidR="00097781">
              <w:t xml:space="preserve"> November</w:t>
            </w:r>
            <w:r w:rsidR="00C231D7">
              <w:t xml:space="preserve"> </w:t>
            </w:r>
            <w:r w:rsidR="00B43A0B">
              <w:t>2014</w:t>
            </w:r>
          </w:p>
          <w:p w:rsidR="008216A5" w:rsidRDefault="008216A5" w:rsidP="008216A5">
            <w:pPr>
              <w:spacing w:line="240" w:lineRule="exact"/>
            </w:pPr>
          </w:p>
          <w:p w:rsidR="00153EEB" w:rsidRDefault="008216A5" w:rsidP="002E5F11">
            <w:pPr>
              <w:spacing w:line="240" w:lineRule="exact"/>
            </w:pPr>
            <w:r>
              <w:t>Original: English</w:t>
            </w:r>
          </w:p>
          <w:p w:rsidR="00153EEB" w:rsidRDefault="00153EEB" w:rsidP="00153EEB">
            <w:pPr>
              <w:spacing w:line="240" w:lineRule="exact"/>
            </w:pPr>
          </w:p>
        </w:tc>
      </w:tr>
    </w:tbl>
    <w:p w:rsidR="008216A5" w:rsidRPr="008216A5" w:rsidRDefault="008216A5" w:rsidP="008216A5">
      <w:pPr>
        <w:spacing w:before="120"/>
        <w:rPr>
          <w:b/>
          <w:sz w:val="24"/>
          <w:szCs w:val="24"/>
          <w:lang w:val="en-US"/>
        </w:rPr>
      </w:pPr>
      <w:r w:rsidRPr="008216A5">
        <w:rPr>
          <w:b/>
          <w:sz w:val="24"/>
          <w:szCs w:val="24"/>
          <w:lang w:val="en-US"/>
        </w:rPr>
        <w:t>Human Rights Committee</w:t>
      </w:r>
    </w:p>
    <w:p w:rsidR="008216A5" w:rsidRPr="008216A5" w:rsidRDefault="0049219B" w:rsidP="002E5F11">
      <w:pPr>
        <w:pStyle w:val="HChG"/>
      </w:pPr>
      <w:r>
        <w:tab/>
      </w:r>
      <w:r>
        <w:tab/>
        <w:t>Communication</w:t>
      </w:r>
      <w:r w:rsidR="008216A5" w:rsidRPr="008216A5">
        <w:t xml:space="preserve"> </w:t>
      </w:r>
      <w:r w:rsidR="0058244A">
        <w:t>No. </w:t>
      </w:r>
      <w:r w:rsidR="00231C9F">
        <w:t>2156/2012</w:t>
      </w:r>
    </w:p>
    <w:p w:rsidR="008216A5" w:rsidRPr="008216A5" w:rsidRDefault="008216A5" w:rsidP="00B2680E">
      <w:pPr>
        <w:pStyle w:val="H1G"/>
      </w:pPr>
      <w:r w:rsidRPr="008216A5">
        <w:tab/>
      </w:r>
      <w:r w:rsidRPr="008216A5">
        <w:tab/>
      </w:r>
      <w:r w:rsidR="00D4405C">
        <w:t>Views adopt</w:t>
      </w:r>
      <w:r w:rsidR="00181327">
        <w:t>ed by the Committee at its 112th</w:t>
      </w:r>
      <w:r w:rsidR="00D4405C">
        <w:t xml:space="preserve"> session </w:t>
      </w:r>
      <w:r w:rsidR="002E5F11">
        <w:br/>
      </w:r>
      <w:r w:rsidR="00D4405C" w:rsidRPr="00253573">
        <w:rPr>
          <w:sz w:val="22"/>
          <w:szCs w:val="22"/>
        </w:rPr>
        <w:t>(</w:t>
      </w:r>
      <w:r w:rsidR="00D4405C">
        <w:rPr>
          <w:sz w:val="22"/>
          <w:szCs w:val="22"/>
        </w:rPr>
        <w:t>7</w:t>
      </w:r>
      <w:r w:rsidR="008E578C">
        <w:rPr>
          <w:sz w:val="22"/>
          <w:szCs w:val="22"/>
        </w:rPr>
        <w:t>–</w:t>
      </w:r>
      <w:r w:rsidR="00D4405C">
        <w:rPr>
          <w:sz w:val="22"/>
          <w:szCs w:val="22"/>
        </w:rPr>
        <w:t xml:space="preserve">31 </w:t>
      </w:r>
      <w:r w:rsidR="00D4405C" w:rsidRPr="00253573">
        <w:rPr>
          <w:sz w:val="22"/>
          <w:szCs w:val="22"/>
        </w:rPr>
        <w:t>October 2014)</w:t>
      </w:r>
    </w:p>
    <w:p w:rsidR="008216A5" w:rsidRPr="008216A5" w:rsidRDefault="008216A5" w:rsidP="0058244A">
      <w:pPr>
        <w:pStyle w:val="SingleTxtG"/>
        <w:ind w:left="4536" w:hanging="3402"/>
        <w:jc w:val="left"/>
      </w:pPr>
      <w:r w:rsidRPr="008216A5">
        <w:rPr>
          <w:i/>
        </w:rPr>
        <w:t>Submitted by:</w:t>
      </w:r>
      <w:r w:rsidRPr="008216A5">
        <w:tab/>
        <w:t xml:space="preserve">Vladimir </w:t>
      </w:r>
      <w:r w:rsidR="00231C9F">
        <w:t>Nepomnyaschikh (</w:t>
      </w:r>
      <w:r w:rsidRPr="008216A5">
        <w:t xml:space="preserve">represented by </w:t>
      </w:r>
      <w:r w:rsidR="00231C9F">
        <w:t>Leonid Sudalenko</w:t>
      </w:r>
      <w:r w:rsidRPr="008216A5">
        <w:t>)</w:t>
      </w:r>
    </w:p>
    <w:p w:rsidR="008216A5" w:rsidRPr="008216A5" w:rsidRDefault="008216A5" w:rsidP="0058244A">
      <w:pPr>
        <w:pStyle w:val="SingleTxtG"/>
        <w:ind w:left="4536" w:hanging="3402"/>
        <w:jc w:val="left"/>
      </w:pPr>
      <w:r w:rsidRPr="008216A5">
        <w:rPr>
          <w:i/>
        </w:rPr>
        <w:t>Alleged victim:</w:t>
      </w:r>
      <w:r w:rsidRPr="008216A5">
        <w:tab/>
        <w:t>The author</w:t>
      </w:r>
    </w:p>
    <w:p w:rsidR="008216A5" w:rsidRPr="008216A5" w:rsidRDefault="008216A5" w:rsidP="0058244A">
      <w:pPr>
        <w:pStyle w:val="SingleTxtG"/>
        <w:ind w:left="4536" w:hanging="3402"/>
        <w:jc w:val="left"/>
      </w:pPr>
      <w:r w:rsidRPr="008216A5">
        <w:rPr>
          <w:i/>
        </w:rPr>
        <w:t>State party:</w:t>
      </w:r>
      <w:r w:rsidRPr="008216A5">
        <w:tab/>
      </w:r>
      <w:smartTag w:uri="urn:schemas-microsoft-com:office:smarttags" w:element="country-region">
        <w:smartTag w:uri="urn:schemas-microsoft-com:office:smarttags" w:element="place">
          <w:r w:rsidRPr="008216A5">
            <w:t>Belarus</w:t>
          </w:r>
        </w:smartTag>
      </w:smartTag>
    </w:p>
    <w:p w:rsidR="008216A5" w:rsidRPr="008216A5" w:rsidRDefault="008216A5" w:rsidP="0058244A">
      <w:pPr>
        <w:pStyle w:val="SingleTxtG"/>
        <w:ind w:left="4536" w:hanging="3402"/>
        <w:jc w:val="left"/>
      </w:pPr>
      <w:r w:rsidRPr="008216A5">
        <w:rPr>
          <w:i/>
        </w:rPr>
        <w:t>Date of communication:</w:t>
      </w:r>
      <w:r w:rsidRPr="008216A5">
        <w:tab/>
      </w:r>
      <w:r w:rsidR="009E2F54">
        <w:t xml:space="preserve">22 </w:t>
      </w:r>
      <w:r w:rsidR="00231C9F">
        <w:t>May 2012</w:t>
      </w:r>
      <w:r w:rsidR="0037204F">
        <w:t xml:space="preserve"> (initial submission</w:t>
      </w:r>
      <w:r w:rsidR="002E5F11">
        <w:t>)</w:t>
      </w:r>
    </w:p>
    <w:p w:rsidR="008216A5" w:rsidRPr="008216A5" w:rsidRDefault="008216A5" w:rsidP="0058244A">
      <w:pPr>
        <w:pStyle w:val="SingleTxtG"/>
        <w:ind w:left="4536" w:hanging="3402"/>
        <w:jc w:val="left"/>
      </w:pPr>
      <w:r w:rsidRPr="008216A5">
        <w:rPr>
          <w:i/>
        </w:rPr>
        <w:t>Document references:</w:t>
      </w:r>
      <w:r w:rsidRPr="008216A5">
        <w:tab/>
        <w:t xml:space="preserve">Special Rapporteur’s rule 97 decision, transmitted to the State party on </w:t>
      </w:r>
      <w:r w:rsidR="002743EE">
        <w:t>11 June 2012</w:t>
      </w:r>
      <w:r w:rsidRPr="008216A5">
        <w:t xml:space="preserve"> (not issued in document form)</w:t>
      </w:r>
    </w:p>
    <w:p w:rsidR="008216A5" w:rsidRPr="008216A5" w:rsidRDefault="008216A5" w:rsidP="0058244A">
      <w:pPr>
        <w:pStyle w:val="SingleTxtG"/>
        <w:ind w:left="4536" w:hanging="3402"/>
        <w:jc w:val="left"/>
      </w:pPr>
      <w:r w:rsidRPr="008216A5">
        <w:rPr>
          <w:i/>
        </w:rPr>
        <w:t>Date of adoption of Views:</w:t>
      </w:r>
      <w:r w:rsidRPr="008216A5">
        <w:tab/>
      </w:r>
      <w:r w:rsidR="005A7D77">
        <w:t>10 October</w:t>
      </w:r>
      <w:r w:rsidRPr="008216A5">
        <w:t xml:space="preserve"> 201</w:t>
      </w:r>
      <w:r w:rsidR="00711F00">
        <w:t>4</w:t>
      </w:r>
    </w:p>
    <w:p w:rsidR="008216A5" w:rsidRPr="008216A5" w:rsidRDefault="008216A5" w:rsidP="0058244A">
      <w:pPr>
        <w:pStyle w:val="SingleTxtG"/>
        <w:ind w:left="4536" w:hanging="3402"/>
        <w:jc w:val="left"/>
      </w:pPr>
      <w:r w:rsidRPr="008216A5">
        <w:rPr>
          <w:i/>
          <w:iCs/>
        </w:rPr>
        <w:t>Subject matter:</w:t>
      </w:r>
      <w:r w:rsidRPr="008216A5">
        <w:tab/>
      </w:r>
      <w:r w:rsidR="00806AAA">
        <w:t>Arrest for holding peaceful assembl</w:t>
      </w:r>
      <w:r w:rsidR="00ED38E2">
        <w:t>i</w:t>
      </w:r>
      <w:r w:rsidR="00806AAA">
        <w:t>es without prior authori</w:t>
      </w:r>
      <w:r w:rsidR="008E578C">
        <w:t>z</w:t>
      </w:r>
      <w:r w:rsidR="00806AAA">
        <w:t>ation</w:t>
      </w:r>
      <w:r w:rsidRPr="008216A5">
        <w:t xml:space="preserve"> </w:t>
      </w:r>
    </w:p>
    <w:p w:rsidR="008216A5" w:rsidRPr="008216A5" w:rsidRDefault="008216A5" w:rsidP="0058244A">
      <w:pPr>
        <w:pStyle w:val="SingleTxtG"/>
        <w:ind w:left="4536" w:hanging="3402"/>
        <w:jc w:val="left"/>
      </w:pPr>
      <w:r w:rsidRPr="008216A5">
        <w:rPr>
          <w:i/>
          <w:iCs/>
        </w:rPr>
        <w:t xml:space="preserve">Substantive issues: </w:t>
      </w:r>
      <w:r w:rsidRPr="008216A5">
        <w:rPr>
          <w:i/>
          <w:iCs/>
        </w:rPr>
        <w:tab/>
      </w:r>
      <w:r w:rsidRPr="008216A5">
        <w:t xml:space="preserve">Right </w:t>
      </w:r>
      <w:r w:rsidR="002743EE">
        <w:t>to freedom of expression</w:t>
      </w:r>
      <w:r w:rsidR="00231C9F">
        <w:t>; permissible restrictions</w:t>
      </w:r>
    </w:p>
    <w:p w:rsidR="008216A5" w:rsidRPr="008216A5" w:rsidRDefault="008216A5" w:rsidP="0058244A">
      <w:pPr>
        <w:pStyle w:val="SingleTxtG"/>
        <w:ind w:left="4536" w:hanging="3402"/>
        <w:jc w:val="left"/>
      </w:pPr>
      <w:r w:rsidRPr="008216A5">
        <w:rPr>
          <w:i/>
          <w:iCs/>
        </w:rPr>
        <w:t>Procedural issue</w:t>
      </w:r>
      <w:r w:rsidR="008E578C">
        <w:rPr>
          <w:i/>
          <w:iCs/>
        </w:rPr>
        <w:t>s</w:t>
      </w:r>
      <w:r w:rsidRPr="008216A5">
        <w:rPr>
          <w:i/>
          <w:iCs/>
        </w:rPr>
        <w:t xml:space="preserve">: </w:t>
      </w:r>
      <w:r w:rsidRPr="008216A5">
        <w:rPr>
          <w:i/>
          <w:iCs/>
        </w:rPr>
        <w:tab/>
      </w:r>
      <w:r w:rsidRPr="008216A5">
        <w:rPr>
          <w:iCs/>
        </w:rPr>
        <w:t>E</w:t>
      </w:r>
      <w:r w:rsidRPr="008216A5">
        <w:t>xhaustion of domestic remedies</w:t>
      </w:r>
    </w:p>
    <w:p w:rsidR="008216A5" w:rsidRPr="008216A5" w:rsidRDefault="0058244A" w:rsidP="0058244A">
      <w:pPr>
        <w:pStyle w:val="SingleTxtG"/>
        <w:ind w:left="4536" w:hanging="3402"/>
        <w:jc w:val="left"/>
      </w:pPr>
      <w:r>
        <w:rPr>
          <w:i/>
          <w:iCs/>
        </w:rPr>
        <w:t>Article</w:t>
      </w:r>
      <w:r w:rsidR="008E578C">
        <w:rPr>
          <w:i/>
          <w:iCs/>
        </w:rPr>
        <w:t>s</w:t>
      </w:r>
      <w:r>
        <w:rPr>
          <w:i/>
          <w:iCs/>
        </w:rPr>
        <w:t> </w:t>
      </w:r>
      <w:r w:rsidR="008216A5" w:rsidRPr="008216A5">
        <w:rPr>
          <w:i/>
          <w:iCs/>
        </w:rPr>
        <w:t>of the Covenant:</w:t>
      </w:r>
      <w:r w:rsidR="008216A5" w:rsidRPr="008216A5">
        <w:t xml:space="preserve"> </w:t>
      </w:r>
      <w:r w:rsidR="008216A5" w:rsidRPr="008216A5">
        <w:tab/>
      </w:r>
      <w:r w:rsidR="00231C9F">
        <w:t>19</w:t>
      </w:r>
      <w:r w:rsidR="00975E5F">
        <w:t xml:space="preserve">; </w:t>
      </w:r>
      <w:r w:rsidR="002743EE">
        <w:t xml:space="preserve">2 </w:t>
      </w:r>
      <w:r w:rsidR="008E578C">
        <w:t>(</w:t>
      </w:r>
      <w:r>
        <w:t>paras</w:t>
      </w:r>
      <w:r w:rsidR="008E578C">
        <w:t>.</w:t>
      </w:r>
      <w:r>
        <w:t> </w:t>
      </w:r>
      <w:r w:rsidR="002743EE">
        <w:t>2 and 3</w:t>
      </w:r>
      <w:r w:rsidR="008E578C">
        <w:t>)</w:t>
      </w:r>
    </w:p>
    <w:p w:rsidR="008216A5" w:rsidRPr="008216A5" w:rsidRDefault="008216A5" w:rsidP="0058244A">
      <w:pPr>
        <w:pStyle w:val="SingleTxtG"/>
        <w:ind w:left="4536" w:hanging="3402"/>
        <w:jc w:val="left"/>
      </w:pPr>
      <w:r w:rsidRPr="008216A5">
        <w:rPr>
          <w:i/>
          <w:iCs/>
        </w:rPr>
        <w:t>Articles of the Optional Protocol:</w:t>
      </w:r>
      <w:r w:rsidRPr="008216A5">
        <w:rPr>
          <w:i/>
          <w:iCs/>
        </w:rPr>
        <w:tab/>
      </w:r>
      <w:r w:rsidRPr="00803EEC">
        <w:t xml:space="preserve">5 </w:t>
      </w:r>
      <w:r w:rsidR="008E578C">
        <w:t>(</w:t>
      </w:r>
      <w:r w:rsidR="0058244A" w:rsidRPr="008E578C">
        <w:t>para.</w:t>
      </w:r>
      <w:r w:rsidR="0058244A">
        <w:t> 2 </w:t>
      </w:r>
      <w:r w:rsidRPr="00803EEC">
        <w:t>(b)</w:t>
      </w:r>
      <w:r w:rsidR="008E578C">
        <w:t>)</w:t>
      </w:r>
    </w:p>
    <w:p w:rsidR="00A35B7E" w:rsidRPr="00153EEB" w:rsidRDefault="00A35B7E" w:rsidP="00494498">
      <w:pPr>
        <w:pStyle w:val="SingleTxtG"/>
      </w:pPr>
    </w:p>
    <w:p w:rsidR="008216A5" w:rsidRPr="008216A5" w:rsidRDefault="00A63334" w:rsidP="00781C83">
      <w:pPr>
        <w:pStyle w:val="HChG"/>
      </w:pPr>
      <w:r>
        <w:rPr>
          <w:noProof/>
        </w:rPr>
        <w:pict>
          <v:shape id="Picture 2" o:spid="_x0000_s1026" type="#_x0000_t75" alt="http://undocs.org/m2/QRCode.ashx?DS=CCPR/C/112/D/2156/2012&amp;Size=2 &amp;Lang=E" style="position:absolute;left:0;text-align:left;margin-left:431.25pt;margin-top:631.4pt;width:50.25pt;height:50.25pt;z-index:1;visibility:visible;mso-position-horizontal-relative:margin;mso-position-vertical-relative:margin" o:allowoverlap="f">
            <v:imagedata r:id="rId8" o:title="2012&amp;Size=2 &amp;Lang=E"/>
            <w10:wrap anchorx="margin" anchory="margin"/>
          </v:shape>
        </w:pict>
      </w:r>
      <w:r w:rsidR="008216A5" w:rsidRPr="00175825">
        <w:br w:type="page"/>
      </w:r>
      <w:r w:rsidR="008216A5" w:rsidRPr="008216A5">
        <w:lastRenderedPageBreak/>
        <w:t>Annex</w:t>
      </w:r>
    </w:p>
    <w:p w:rsidR="008216A5" w:rsidRPr="008216A5" w:rsidRDefault="008216A5" w:rsidP="00781C83">
      <w:pPr>
        <w:pStyle w:val="HChG"/>
        <w:rPr>
          <w:bCs/>
        </w:rPr>
      </w:pPr>
      <w:r w:rsidRPr="008216A5">
        <w:tab/>
      </w:r>
      <w:r w:rsidRPr="008216A5">
        <w:tab/>
        <w:t xml:space="preserve">Views of the Human Rights Committee under </w:t>
      </w:r>
      <w:r w:rsidR="0058244A">
        <w:t>article </w:t>
      </w:r>
      <w:r w:rsidRPr="008216A5">
        <w:t xml:space="preserve">5, </w:t>
      </w:r>
      <w:r w:rsidR="0058244A">
        <w:t>paragraph </w:t>
      </w:r>
      <w:r w:rsidRPr="008216A5">
        <w:t>4, of the Optional Protocol to the International Covenant on Civil and Political rights (1</w:t>
      </w:r>
      <w:r w:rsidR="009E2F54">
        <w:t>1</w:t>
      </w:r>
      <w:r w:rsidR="00A35B7E">
        <w:t>2</w:t>
      </w:r>
      <w:r w:rsidRPr="008216A5">
        <w:t xml:space="preserve">th </w:t>
      </w:r>
      <w:r w:rsidRPr="008216A5">
        <w:rPr>
          <w:bCs/>
        </w:rPr>
        <w:t>session)</w:t>
      </w:r>
    </w:p>
    <w:p w:rsidR="008216A5" w:rsidRPr="008216A5" w:rsidRDefault="008216A5" w:rsidP="00781C83">
      <w:pPr>
        <w:pStyle w:val="SingleTxtG"/>
        <w:rPr>
          <w:b/>
          <w:bCs/>
        </w:rPr>
      </w:pPr>
      <w:r w:rsidRPr="008216A5">
        <w:t>concerning</w:t>
      </w:r>
    </w:p>
    <w:p w:rsidR="008216A5" w:rsidRPr="008216A5" w:rsidRDefault="008216A5" w:rsidP="00781C83">
      <w:pPr>
        <w:pStyle w:val="H1G"/>
      </w:pPr>
      <w:r w:rsidRPr="008216A5">
        <w:tab/>
      </w:r>
      <w:r w:rsidRPr="008216A5">
        <w:tab/>
        <w:t xml:space="preserve">Communication </w:t>
      </w:r>
      <w:r w:rsidR="0058244A">
        <w:t>No. </w:t>
      </w:r>
      <w:r w:rsidR="00231C9F">
        <w:t>2156/2012</w:t>
      </w:r>
      <w:r w:rsidR="00097781" w:rsidRPr="00494498">
        <w:rPr>
          <w:rStyle w:val="FootnoteReference"/>
          <w:sz w:val="20"/>
          <w:vertAlign w:val="baseline"/>
        </w:rPr>
        <w:footnoteReference w:customMarkFollows="1" w:id="2"/>
        <w:t>*</w:t>
      </w:r>
    </w:p>
    <w:p w:rsidR="008216A5" w:rsidRPr="008216A5" w:rsidRDefault="008216A5" w:rsidP="00B2680E">
      <w:pPr>
        <w:pStyle w:val="SingleTxtG"/>
        <w:ind w:left="4536" w:hanging="3402"/>
        <w:jc w:val="left"/>
      </w:pPr>
      <w:r w:rsidRPr="008216A5">
        <w:rPr>
          <w:i/>
        </w:rPr>
        <w:t>Submitted by:</w:t>
      </w:r>
      <w:r w:rsidRPr="008216A5">
        <w:tab/>
      </w:r>
      <w:r w:rsidR="0037204F" w:rsidRPr="008216A5">
        <w:t xml:space="preserve">Vladimir </w:t>
      </w:r>
      <w:r w:rsidR="0037204F">
        <w:t>Nepomnyaschikh (</w:t>
      </w:r>
      <w:r w:rsidR="0037204F" w:rsidRPr="008216A5">
        <w:t xml:space="preserve">represented by </w:t>
      </w:r>
      <w:r w:rsidR="0037204F">
        <w:t>Leonid Sudalenko</w:t>
      </w:r>
      <w:r w:rsidR="0037204F" w:rsidRPr="008216A5">
        <w:t>)</w:t>
      </w:r>
    </w:p>
    <w:p w:rsidR="008216A5" w:rsidRPr="008216A5" w:rsidRDefault="008216A5" w:rsidP="00B2680E">
      <w:pPr>
        <w:pStyle w:val="SingleTxtG"/>
        <w:ind w:left="4536" w:hanging="3402"/>
        <w:jc w:val="left"/>
      </w:pPr>
      <w:r w:rsidRPr="008216A5">
        <w:rPr>
          <w:i/>
        </w:rPr>
        <w:t>Alleged victim:</w:t>
      </w:r>
      <w:r w:rsidRPr="008216A5">
        <w:tab/>
        <w:t>The author</w:t>
      </w:r>
    </w:p>
    <w:p w:rsidR="008216A5" w:rsidRPr="008216A5" w:rsidRDefault="008216A5" w:rsidP="00B2680E">
      <w:pPr>
        <w:pStyle w:val="SingleTxtG"/>
        <w:ind w:left="4536" w:hanging="3402"/>
        <w:jc w:val="left"/>
      </w:pPr>
      <w:r w:rsidRPr="008216A5">
        <w:rPr>
          <w:i/>
        </w:rPr>
        <w:t>State party:</w:t>
      </w:r>
      <w:r w:rsidRPr="008216A5">
        <w:tab/>
      </w:r>
      <w:smartTag w:uri="urn:schemas-microsoft-com:office:smarttags" w:element="country-region">
        <w:smartTag w:uri="urn:schemas-microsoft-com:office:smarttags" w:element="place">
          <w:r w:rsidRPr="008216A5">
            <w:t>Belarus</w:t>
          </w:r>
        </w:smartTag>
      </w:smartTag>
    </w:p>
    <w:p w:rsidR="008216A5" w:rsidRPr="008216A5" w:rsidRDefault="008216A5" w:rsidP="00B2680E">
      <w:pPr>
        <w:pStyle w:val="SingleTxtG"/>
        <w:ind w:left="4536" w:hanging="3402"/>
        <w:jc w:val="left"/>
      </w:pPr>
      <w:r w:rsidRPr="008216A5">
        <w:rPr>
          <w:i/>
        </w:rPr>
        <w:t>Date of communication:</w:t>
      </w:r>
      <w:r w:rsidRPr="008216A5">
        <w:tab/>
      </w:r>
      <w:r w:rsidR="0037204F">
        <w:t xml:space="preserve">22 May 2012 </w:t>
      </w:r>
      <w:r w:rsidR="00B2680E">
        <w:t>(initial submission)</w:t>
      </w:r>
    </w:p>
    <w:p w:rsidR="008216A5" w:rsidRPr="008216A5" w:rsidRDefault="008216A5" w:rsidP="00B2680E">
      <w:pPr>
        <w:pStyle w:val="SingleTxtG"/>
        <w:spacing w:before="240"/>
      </w:pPr>
      <w:r w:rsidRPr="008216A5">
        <w:tab/>
      </w:r>
      <w:r w:rsidRPr="008216A5">
        <w:rPr>
          <w:i/>
        </w:rPr>
        <w:t>The Human Rights Committee</w:t>
      </w:r>
      <w:r w:rsidRPr="008216A5">
        <w:t xml:space="preserve">, established under </w:t>
      </w:r>
      <w:r w:rsidR="0058244A">
        <w:t>article </w:t>
      </w:r>
      <w:r w:rsidRPr="008216A5">
        <w:t xml:space="preserve">28 of the International Covenant on Civil and Political Rights, </w:t>
      </w:r>
    </w:p>
    <w:p w:rsidR="008216A5" w:rsidRPr="008216A5" w:rsidRDefault="008216A5" w:rsidP="00781C83">
      <w:pPr>
        <w:pStyle w:val="SingleTxtG"/>
      </w:pPr>
      <w:r w:rsidRPr="008216A5">
        <w:tab/>
      </w:r>
      <w:r w:rsidRPr="008216A5">
        <w:rPr>
          <w:i/>
        </w:rPr>
        <w:t xml:space="preserve">Meeting </w:t>
      </w:r>
      <w:r w:rsidRPr="00494498">
        <w:rPr>
          <w:iCs/>
        </w:rPr>
        <w:t>on</w:t>
      </w:r>
      <w:r w:rsidRPr="000B6768">
        <w:rPr>
          <w:iCs/>
        </w:rPr>
        <w:t xml:space="preserve"> </w:t>
      </w:r>
      <w:r w:rsidR="005A7D77">
        <w:t>10 October</w:t>
      </w:r>
      <w:r w:rsidR="009E2F54">
        <w:t xml:space="preserve"> </w:t>
      </w:r>
      <w:r w:rsidRPr="008216A5">
        <w:t>201</w:t>
      </w:r>
      <w:r w:rsidR="009E2F54">
        <w:t>4</w:t>
      </w:r>
      <w:r w:rsidRPr="008216A5">
        <w:t>,</w:t>
      </w:r>
    </w:p>
    <w:p w:rsidR="008216A5" w:rsidRPr="008216A5" w:rsidRDefault="008216A5" w:rsidP="00781C83">
      <w:pPr>
        <w:pStyle w:val="SingleTxtG"/>
      </w:pPr>
      <w:r w:rsidRPr="008216A5">
        <w:tab/>
      </w:r>
      <w:r w:rsidRPr="008216A5">
        <w:rPr>
          <w:i/>
        </w:rPr>
        <w:t>Having concluded</w:t>
      </w:r>
      <w:r w:rsidRPr="008216A5">
        <w:t xml:space="preserve"> its consideration of communication </w:t>
      </w:r>
      <w:r w:rsidR="0058244A">
        <w:t>No. </w:t>
      </w:r>
      <w:r w:rsidR="0037204F">
        <w:t>2156/2012</w:t>
      </w:r>
      <w:r w:rsidRPr="008216A5">
        <w:t xml:space="preserve">, submitted to the Human Rights Committee by </w:t>
      </w:r>
      <w:r w:rsidR="0037204F" w:rsidRPr="008216A5">
        <w:t xml:space="preserve">Vladimir </w:t>
      </w:r>
      <w:r w:rsidR="0037204F">
        <w:t>Nepomnyaschikh</w:t>
      </w:r>
      <w:r w:rsidR="009E2F54">
        <w:t xml:space="preserve"> </w:t>
      </w:r>
      <w:r w:rsidRPr="008216A5">
        <w:t>under the Optional Protocol to the International Covenant on Civil and Political Rights,</w:t>
      </w:r>
    </w:p>
    <w:p w:rsidR="008216A5" w:rsidRPr="008216A5" w:rsidRDefault="008216A5" w:rsidP="00781C83">
      <w:pPr>
        <w:pStyle w:val="SingleTxtG"/>
      </w:pPr>
      <w:r w:rsidRPr="008216A5">
        <w:tab/>
      </w:r>
      <w:r w:rsidRPr="008216A5">
        <w:rPr>
          <w:i/>
        </w:rPr>
        <w:t>Having taken into account</w:t>
      </w:r>
      <w:r w:rsidRPr="008216A5">
        <w:t xml:space="preserve"> all written information made available to it by the author</w:t>
      </w:r>
      <w:r w:rsidR="00F86121">
        <w:t xml:space="preserve"> </w:t>
      </w:r>
      <w:r w:rsidRPr="008216A5">
        <w:t>of the communication and the State party,</w:t>
      </w:r>
    </w:p>
    <w:p w:rsidR="008216A5" w:rsidRPr="008216A5" w:rsidRDefault="008216A5" w:rsidP="00781C83">
      <w:pPr>
        <w:pStyle w:val="SingleTxtG"/>
        <w:rPr>
          <w:i/>
        </w:rPr>
      </w:pPr>
      <w:r w:rsidRPr="008216A5">
        <w:tab/>
      </w:r>
      <w:r w:rsidRPr="008216A5">
        <w:rPr>
          <w:i/>
        </w:rPr>
        <w:t xml:space="preserve">Adopts </w:t>
      </w:r>
      <w:r w:rsidRPr="00494498">
        <w:rPr>
          <w:iCs/>
        </w:rPr>
        <w:t>the following:</w:t>
      </w:r>
    </w:p>
    <w:p w:rsidR="008216A5" w:rsidRPr="008216A5" w:rsidRDefault="008216A5" w:rsidP="00781C83">
      <w:pPr>
        <w:pStyle w:val="H1G"/>
      </w:pPr>
      <w:r w:rsidRPr="008216A5">
        <w:tab/>
      </w:r>
      <w:r w:rsidRPr="008216A5">
        <w:tab/>
        <w:t xml:space="preserve">Views under </w:t>
      </w:r>
      <w:r w:rsidR="0058244A">
        <w:t>article </w:t>
      </w:r>
      <w:r w:rsidRPr="008216A5">
        <w:t xml:space="preserve">5, </w:t>
      </w:r>
      <w:r w:rsidR="0058244A">
        <w:t>paragraph </w:t>
      </w:r>
      <w:r w:rsidRPr="008216A5">
        <w:t>4, of the Optional Protocol</w:t>
      </w:r>
    </w:p>
    <w:p w:rsidR="008216A5" w:rsidRPr="008216A5" w:rsidRDefault="00F03A99" w:rsidP="00ED38E2">
      <w:pPr>
        <w:pStyle w:val="SingleTxtG"/>
      </w:pPr>
      <w:r>
        <w:t>1.</w:t>
      </w:r>
      <w:r w:rsidR="008216A5" w:rsidRPr="008216A5">
        <w:tab/>
        <w:t xml:space="preserve">The author of the communication is </w:t>
      </w:r>
      <w:r w:rsidR="0037204F" w:rsidRPr="008216A5">
        <w:t xml:space="preserve">Vladimir </w:t>
      </w:r>
      <w:r w:rsidR="0037204F">
        <w:t>Nepomnyaschikh</w:t>
      </w:r>
      <w:r w:rsidR="008216A5" w:rsidRPr="008216A5">
        <w:t>, a Belarusian national born in 19</w:t>
      </w:r>
      <w:r w:rsidR="0037204F">
        <w:t>52</w:t>
      </w:r>
      <w:r w:rsidR="008216A5" w:rsidRPr="008216A5">
        <w:t xml:space="preserve">. He claims to be a victim of a violation by Belarus of his rights under </w:t>
      </w:r>
      <w:r w:rsidR="0058244A">
        <w:t>article </w:t>
      </w:r>
      <w:r w:rsidR="0037204F">
        <w:t xml:space="preserve">19, in conjunction with </w:t>
      </w:r>
      <w:r w:rsidR="0058244A">
        <w:t>article </w:t>
      </w:r>
      <w:r w:rsidR="0037204F">
        <w:t xml:space="preserve">2, </w:t>
      </w:r>
      <w:r w:rsidR="0058244A">
        <w:t>paragraphs </w:t>
      </w:r>
      <w:r w:rsidR="0037204F">
        <w:t>2 and 3,</w:t>
      </w:r>
      <w:r w:rsidR="008216A5" w:rsidRPr="008216A5">
        <w:t xml:space="preserve"> of the International Covenant on Civil and Political Rights. The Optional Protocol entered into force for the State party on 30 December 1992. </w:t>
      </w:r>
    </w:p>
    <w:p w:rsidR="008216A5" w:rsidRPr="008216A5" w:rsidRDefault="008216A5" w:rsidP="00781C83">
      <w:pPr>
        <w:pStyle w:val="H23G"/>
      </w:pPr>
      <w:r w:rsidRPr="008216A5">
        <w:tab/>
      </w:r>
      <w:r w:rsidRPr="008216A5">
        <w:tab/>
        <w:t>The facts as presented by the author</w:t>
      </w:r>
    </w:p>
    <w:p w:rsidR="00A37DD8" w:rsidRDefault="008216A5" w:rsidP="00F025DE">
      <w:pPr>
        <w:pStyle w:val="SingleTxtG"/>
      </w:pPr>
      <w:r w:rsidRPr="008216A5">
        <w:t>2.1</w:t>
      </w:r>
      <w:r w:rsidRPr="008216A5">
        <w:tab/>
      </w:r>
      <w:r w:rsidR="00EA5005">
        <w:t>On 5 July 2011, the author was orally inviting</w:t>
      </w:r>
      <w:r w:rsidR="00A37DD8">
        <w:t xml:space="preserve"> </w:t>
      </w:r>
      <w:r w:rsidR="00614C50">
        <w:t xml:space="preserve">citizens </w:t>
      </w:r>
      <w:r w:rsidR="00F1389A">
        <w:t xml:space="preserve">in a public </w:t>
      </w:r>
      <w:smartTag w:uri="urn:schemas-microsoft-com:office:smarttags" w:element="place">
        <w:smartTag w:uri="urn:schemas-microsoft-com:office:smarttags" w:element="PlaceType">
          <w:r w:rsidR="00F1389A">
            <w:t>square</w:t>
          </w:r>
        </w:smartTag>
        <w:r w:rsidR="00F1389A">
          <w:t xml:space="preserve"> of </w:t>
        </w:r>
        <w:smartTag w:uri="urn:schemas-microsoft-com:office:smarttags" w:element="PlaceName">
          <w:r w:rsidR="00F1389A">
            <w:t>Gomel</w:t>
          </w:r>
        </w:smartTag>
      </w:smartTag>
      <w:r w:rsidR="00F1389A">
        <w:t xml:space="preserve"> </w:t>
      </w:r>
      <w:r w:rsidR="001A079F">
        <w:t>to participate in a peaceful street rally</w:t>
      </w:r>
      <w:r w:rsidR="00E67476">
        <w:t xml:space="preserve"> to take place</w:t>
      </w:r>
      <w:r w:rsidR="00A37DD8">
        <w:t xml:space="preserve"> on 6 July 2011. Shortly th</w:t>
      </w:r>
      <w:r w:rsidR="00E67476">
        <w:t>ereafter, he was arrested and brought</w:t>
      </w:r>
      <w:r w:rsidR="00A37DD8">
        <w:t xml:space="preserve"> to </w:t>
      </w:r>
      <w:r w:rsidR="00F1389A">
        <w:t>a police station</w:t>
      </w:r>
      <w:r w:rsidR="00A37DD8">
        <w:t>, where a</w:t>
      </w:r>
      <w:r w:rsidR="00E67476">
        <w:t>n</w:t>
      </w:r>
      <w:r w:rsidR="00A37DD8">
        <w:t xml:space="preserve"> </w:t>
      </w:r>
      <w:r w:rsidR="00E67476">
        <w:t>official record</w:t>
      </w:r>
      <w:r w:rsidR="00A37DD8">
        <w:t xml:space="preserve"> was drawn up, stating </w:t>
      </w:r>
      <w:r w:rsidR="00A37DD8">
        <w:lastRenderedPageBreak/>
        <w:t>that he ha</w:t>
      </w:r>
      <w:r w:rsidR="00F1389A">
        <w:t>d</w:t>
      </w:r>
      <w:r w:rsidR="00A37DD8">
        <w:t xml:space="preserve"> committed an administrative offence under </w:t>
      </w:r>
      <w:r w:rsidR="0058244A">
        <w:t>article 23.34, part </w:t>
      </w:r>
      <w:r w:rsidR="00A37DD8">
        <w:t>1, of the Belarus Co</w:t>
      </w:r>
      <w:r w:rsidR="00F1389A">
        <w:t>de of Administrative Offences.</w:t>
      </w:r>
      <w:r w:rsidR="00E40420">
        <w:rPr>
          <w:rStyle w:val="FootnoteReference"/>
        </w:rPr>
        <w:footnoteReference w:id="3"/>
      </w:r>
    </w:p>
    <w:p w:rsidR="00975E5F" w:rsidRDefault="00A37DD8" w:rsidP="00840489">
      <w:pPr>
        <w:pStyle w:val="SingleTxtG"/>
      </w:pPr>
      <w:r>
        <w:t>2.2</w:t>
      </w:r>
      <w:r>
        <w:tab/>
        <w:t>On 6 July 2011, the Zheleznodorozhny District Court of Gomel</w:t>
      </w:r>
      <w:r w:rsidR="00975E5F">
        <w:t xml:space="preserve"> </w:t>
      </w:r>
      <w:r>
        <w:t xml:space="preserve">found the author guilty of </w:t>
      </w:r>
      <w:r w:rsidR="00975E5F">
        <w:t>a violation of the established procedure of organi</w:t>
      </w:r>
      <w:r w:rsidR="00840489">
        <w:t>z</w:t>
      </w:r>
      <w:r w:rsidR="00975E5F">
        <w:t>ing and holding mass event</w:t>
      </w:r>
      <w:r w:rsidR="00751147">
        <w:t>s</w:t>
      </w:r>
      <w:r w:rsidR="00975E5F">
        <w:t xml:space="preserve">, under </w:t>
      </w:r>
      <w:r w:rsidR="0058244A">
        <w:t xml:space="preserve">article 23.34, </w:t>
      </w:r>
      <w:r w:rsidR="0058244A" w:rsidRPr="001678BA">
        <w:t>par</w:t>
      </w:r>
      <w:r w:rsidR="001678BA">
        <w:t>agraph</w:t>
      </w:r>
      <w:r w:rsidR="0058244A">
        <w:t> </w:t>
      </w:r>
      <w:r w:rsidR="00975E5F">
        <w:t xml:space="preserve">1, of the </w:t>
      </w:r>
      <w:r w:rsidR="00E67476">
        <w:t>Code of Administrative Offences</w:t>
      </w:r>
      <w:r w:rsidR="00975E5F">
        <w:t xml:space="preserve">, and fined him 350,000 Belarusian roubles. On 3 August 2011, the </w:t>
      </w:r>
      <w:smartTag w:uri="urn:schemas-microsoft-com:office:smarttags" w:element="Street">
        <w:smartTag w:uri="urn:schemas-microsoft-com:office:smarttags" w:element="address">
          <w:r w:rsidR="00975E5F">
            <w:t>Gomel Regional Court</w:t>
          </w:r>
        </w:smartTag>
      </w:smartTag>
      <w:r w:rsidR="00975E5F">
        <w:t xml:space="preserve"> rejected the author’s appeal against the District Court’s decision, which became final on the same date.</w:t>
      </w:r>
    </w:p>
    <w:p w:rsidR="00EA5005" w:rsidRDefault="00975E5F" w:rsidP="00975E5F">
      <w:pPr>
        <w:pStyle w:val="SingleTxtG"/>
      </w:pPr>
      <w:r>
        <w:t>2.3</w:t>
      </w:r>
      <w:r>
        <w:tab/>
      </w:r>
      <w:r w:rsidR="00EA5005">
        <w:t xml:space="preserve">The author’s requests to initiate supervisory review proceedings were dismissed by the Chairperson of the </w:t>
      </w:r>
      <w:smartTag w:uri="urn:schemas-microsoft-com:office:smarttags" w:element="Street">
        <w:smartTag w:uri="urn:schemas-microsoft-com:office:smarttags" w:element="address">
          <w:r w:rsidR="00EA5005">
            <w:t>Gomel Regional Court</w:t>
          </w:r>
        </w:smartTag>
      </w:smartTag>
      <w:r w:rsidR="00EA5005">
        <w:t xml:space="preserve"> on 26 October 2011 and </w:t>
      </w:r>
      <w:r w:rsidR="00840489">
        <w:t xml:space="preserve">by </w:t>
      </w:r>
      <w:r w:rsidR="00EA5005">
        <w:t xml:space="preserve">a deputy </w:t>
      </w:r>
      <w:r w:rsidR="00962A16">
        <w:t>c</w:t>
      </w:r>
      <w:r w:rsidR="00EA5005">
        <w:t>hairperson of the Supreme Court on 1 December 2011.</w:t>
      </w:r>
    </w:p>
    <w:p w:rsidR="00EA5005" w:rsidRDefault="00EA5005" w:rsidP="001678BA">
      <w:pPr>
        <w:pStyle w:val="SingleTxtG"/>
      </w:pPr>
      <w:r>
        <w:t>2.4</w:t>
      </w:r>
      <w:r>
        <w:tab/>
        <w:t xml:space="preserve">On 7 October 2011, the author was distributing </w:t>
      </w:r>
      <w:r w:rsidR="009F5D91">
        <w:t>leaflets</w:t>
      </w:r>
      <w:r w:rsidR="00D04B04">
        <w:t xml:space="preserve"> with</w:t>
      </w:r>
      <w:r w:rsidR="009F5D91">
        <w:t xml:space="preserve"> </w:t>
      </w:r>
      <w:r w:rsidR="00D04B04" w:rsidRPr="00D04B04">
        <w:t>information about a peaceful gathering in Gomel</w:t>
      </w:r>
      <w:r w:rsidR="00D04B04">
        <w:t xml:space="preserve"> dedicated to the social and economic situation in </w:t>
      </w:r>
      <w:smartTag w:uri="urn:schemas-microsoft-com:office:smarttags" w:element="country-region">
        <w:smartTag w:uri="urn:schemas-microsoft-com:office:smarttags" w:element="place">
          <w:r w:rsidR="00D04B04">
            <w:t>Belarus</w:t>
          </w:r>
        </w:smartTag>
      </w:smartTag>
      <w:r w:rsidR="00D04B04">
        <w:t xml:space="preserve">. The gathering was set to take place on 8 October 2011. </w:t>
      </w:r>
      <w:r w:rsidR="00E67476">
        <w:t>Yet again, he was arrested and brought</w:t>
      </w:r>
      <w:r w:rsidR="007F7246">
        <w:t xml:space="preserve"> to a police station, where a </w:t>
      </w:r>
      <w:r w:rsidR="00E67476">
        <w:t>record</w:t>
      </w:r>
      <w:r w:rsidR="007F7246">
        <w:t xml:space="preserve"> that </w:t>
      </w:r>
      <w:r w:rsidR="007F7246" w:rsidRPr="007F7246">
        <w:t>he had committed an administrative offence under</w:t>
      </w:r>
      <w:r w:rsidR="007F7246">
        <w:t xml:space="preserve"> </w:t>
      </w:r>
      <w:r w:rsidR="0058244A">
        <w:t xml:space="preserve">article 23.34, </w:t>
      </w:r>
      <w:r w:rsidR="001678BA">
        <w:t>paragraph </w:t>
      </w:r>
      <w:r w:rsidR="007F7246">
        <w:t xml:space="preserve">1, of the </w:t>
      </w:r>
      <w:r w:rsidR="00B36DFD">
        <w:t>Code of Administrative Offences</w:t>
      </w:r>
      <w:r w:rsidR="007F7246" w:rsidRPr="007F7246">
        <w:t xml:space="preserve"> was drawn up.</w:t>
      </w:r>
      <w:r w:rsidR="007F7246">
        <w:t xml:space="preserve"> </w:t>
      </w:r>
    </w:p>
    <w:p w:rsidR="007F7246" w:rsidRDefault="007F7246" w:rsidP="001678BA">
      <w:pPr>
        <w:pStyle w:val="SingleTxtG"/>
      </w:pPr>
      <w:r>
        <w:t>2.5</w:t>
      </w:r>
      <w:r>
        <w:tab/>
        <w:t xml:space="preserve">On 10 October 2011, the Tsentralny District Court of Gomel found the author guilty under </w:t>
      </w:r>
      <w:r w:rsidR="0058244A">
        <w:t>article </w:t>
      </w:r>
      <w:r>
        <w:t xml:space="preserve">23.34, </w:t>
      </w:r>
      <w:r w:rsidR="001678BA">
        <w:t xml:space="preserve">paragraph </w:t>
      </w:r>
      <w:r>
        <w:t xml:space="preserve">1, of the </w:t>
      </w:r>
      <w:r w:rsidR="00B36DFD">
        <w:t>Code of Administrative Offences</w:t>
      </w:r>
      <w:r>
        <w:t>, and fined him 175,000 Belarusian roubles.</w:t>
      </w:r>
      <w:r w:rsidR="009F5D91">
        <w:t xml:space="preserve"> </w:t>
      </w:r>
      <w:r w:rsidR="001A079F">
        <w:t xml:space="preserve">On 4 November 2011, the </w:t>
      </w:r>
      <w:r w:rsidR="00B36DFD">
        <w:t xml:space="preserve">Gomel </w:t>
      </w:r>
      <w:smartTag w:uri="urn:schemas-microsoft-com:office:smarttags" w:element="Street">
        <w:smartTag w:uri="urn:schemas-microsoft-com:office:smarttags" w:element="address">
          <w:r w:rsidR="001A079F">
            <w:t>Regional Court</w:t>
          </w:r>
        </w:smartTag>
      </w:smartTag>
      <w:r w:rsidR="001A079F">
        <w:t xml:space="preserve"> rejected his appeal against the District Court’s decision, which became final on the same date. </w:t>
      </w:r>
    </w:p>
    <w:p w:rsidR="001A079F" w:rsidRDefault="001A079F" w:rsidP="008B0A6F">
      <w:pPr>
        <w:pStyle w:val="SingleTxtG"/>
      </w:pPr>
      <w:r>
        <w:t>2.6</w:t>
      </w:r>
      <w:r>
        <w:tab/>
        <w:t xml:space="preserve">On 4 January 2012, the Chairperson of the Gomel Regional Court dismissed the author’s requests to initiate supervisory review proceedings against the </w:t>
      </w:r>
      <w:r w:rsidR="00B36DFD">
        <w:t xml:space="preserve">Tsentralny </w:t>
      </w:r>
      <w:r>
        <w:t>District Court’s decision of 10 October 2011.</w:t>
      </w:r>
      <w:r w:rsidR="00580B8E">
        <w:t xml:space="preserve"> </w:t>
      </w:r>
      <w:r w:rsidR="00580B8E" w:rsidRPr="00962A16">
        <w:t xml:space="preserve">On 1 December 2011, the author’s complaint to the Supreme Court under the supervisory review proceedings </w:t>
      </w:r>
      <w:r w:rsidR="008B0A6F">
        <w:t>had been</w:t>
      </w:r>
      <w:r w:rsidR="00580B8E" w:rsidRPr="00962A16">
        <w:t xml:space="preserve"> rejected by decision of a </w:t>
      </w:r>
      <w:r w:rsidR="00ED38E2">
        <w:t>d</w:t>
      </w:r>
      <w:r w:rsidR="00580B8E" w:rsidRPr="00962A16">
        <w:t>eputy</w:t>
      </w:r>
      <w:r w:rsidR="00ED38E2">
        <w:t xml:space="preserve"> c</w:t>
      </w:r>
      <w:r w:rsidR="00580B8E" w:rsidRPr="00962A16">
        <w:t>hair</w:t>
      </w:r>
      <w:r w:rsidR="00ED38E2">
        <w:t>person</w:t>
      </w:r>
      <w:r w:rsidR="00580B8E" w:rsidRPr="00962A16">
        <w:t xml:space="preserve"> of the Supreme Court.</w:t>
      </w:r>
      <w:r w:rsidR="00580B8E">
        <w:t xml:space="preserve"> </w:t>
      </w:r>
    </w:p>
    <w:p w:rsidR="00A37DD8" w:rsidRDefault="00A37DD8" w:rsidP="00A37DD8">
      <w:pPr>
        <w:pStyle w:val="SingleTxtG"/>
      </w:pPr>
      <w:r>
        <w:t>2.</w:t>
      </w:r>
      <w:r w:rsidR="008678D8">
        <w:t>7</w:t>
      </w:r>
      <w:r>
        <w:tab/>
        <w:t xml:space="preserve">The author </w:t>
      </w:r>
      <w:r w:rsidR="005A3B8B">
        <w:t>submits</w:t>
      </w:r>
      <w:r>
        <w:t xml:space="preserve"> that</w:t>
      </w:r>
      <w:r w:rsidR="00ED38E2">
        <w:t>,</w:t>
      </w:r>
      <w:r>
        <w:t xml:space="preserve"> in both cases, the State party’s courts have established that he acted contrary to the requirements of </w:t>
      </w:r>
      <w:r w:rsidR="0058244A">
        <w:t>articles </w:t>
      </w:r>
      <w:r>
        <w:t xml:space="preserve">8 and 10 of the </w:t>
      </w:r>
      <w:r w:rsidR="00B1677D">
        <w:t>L</w:t>
      </w:r>
      <w:r>
        <w:t xml:space="preserve">aw </w:t>
      </w:r>
      <w:r w:rsidR="00B1677D">
        <w:t>o</w:t>
      </w:r>
      <w:r>
        <w:t>n Mass Events</w:t>
      </w:r>
      <w:r w:rsidR="003E6D09">
        <w:t xml:space="preserve"> of 30 December 1997</w:t>
      </w:r>
      <w:r>
        <w:t>. Under th</w:t>
      </w:r>
      <w:r w:rsidR="00B1677D">
        <w:t>o</w:t>
      </w:r>
      <w:r>
        <w:t>se provisions, an organi</w:t>
      </w:r>
      <w:r w:rsidR="00B1677D">
        <w:t>z</w:t>
      </w:r>
      <w:r>
        <w:t xml:space="preserve">er of a mass event does not have a right to </w:t>
      </w:r>
      <w:r w:rsidR="00D04B04">
        <w:t xml:space="preserve">publicly </w:t>
      </w:r>
      <w:r>
        <w:t>announce the date, place and time of the event in the media, or to produce and dissemina</w:t>
      </w:r>
      <w:r w:rsidR="005A3B8B">
        <w:t xml:space="preserve">te leaflets, posters </w:t>
      </w:r>
      <w:r w:rsidR="00E67476">
        <w:t>or</w:t>
      </w:r>
      <w:r w:rsidR="005A3B8B">
        <w:t xml:space="preserve"> other </w:t>
      </w:r>
      <w:r w:rsidR="00E67476">
        <w:t xml:space="preserve">information </w:t>
      </w:r>
      <w:r>
        <w:t>materials for th</w:t>
      </w:r>
      <w:r w:rsidR="00B1677D">
        <w:t>at</w:t>
      </w:r>
      <w:r>
        <w:t xml:space="preserve"> purpose, prior to obtaining</w:t>
      </w:r>
      <w:r w:rsidR="00E67476">
        <w:t xml:space="preserve"> official</w:t>
      </w:r>
      <w:r>
        <w:t xml:space="preserve"> authori</w:t>
      </w:r>
      <w:r w:rsidR="00B1677D">
        <w:t>z</w:t>
      </w:r>
      <w:r>
        <w:t>ation to ho</w:t>
      </w:r>
      <w:r w:rsidR="005A3B8B">
        <w:t xml:space="preserve">ld the mass event in question. </w:t>
      </w:r>
      <w:r w:rsidR="001D5C81">
        <w:t>Holding a peaceful assembly without authori</w:t>
      </w:r>
      <w:r w:rsidR="00B1677D">
        <w:t>z</w:t>
      </w:r>
      <w:r w:rsidR="001D5C81">
        <w:t>ation is punishable</w:t>
      </w:r>
      <w:r w:rsidR="00E67476">
        <w:t xml:space="preserve"> both</w:t>
      </w:r>
      <w:r w:rsidR="001D5C81">
        <w:t xml:space="preserve"> under administrative and criminal law.</w:t>
      </w:r>
      <w:r w:rsidR="002D46DB">
        <w:t xml:space="preserve"> </w:t>
      </w:r>
      <w:r w:rsidR="005A3B8B" w:rsidRPr="00552689">
        <w:t>Since</w:t>
      </w:r>
      <w:r w:rsidR="005A3B8B">
        <w:t>, in both cases,</w:t>
      </w:r>
      <w:r w:rsidR="005A3B8B" w:rsidRPr="00552689">
        <w:t xml:space="preserve"> the author was</w:t>
      </w:r>
      <w:r w:rsidR="005A3B8B">
        <w:t xml:space="preserve"> informing citizens of </w:t>
      </w:r>
      <w:r w:rsidR="005A3B8B" w:rsidRPr="00552689">
        <w:t>upcoming peaceful gathering</w:t>
      </w:r>
      <w:r w:rsidR="005A3B8B">
        <w:t xml:space="preserve">s for </w:t>
      </w:r>
      <w:r w:rsidR="005A3B8B" w:rsidRPr="00552689">
        <w:t>which</w:t>
      </w:r>
      <w:r w:rsidR="005A3B8B">
        <w:t xml:space="preserve"> he had not obtained </w:t>
      </w:r>
      <w:r w:rsidR="00E67476">
        <w:t>prior</w:t>
      </w:r>
      <w:r w:rsidR="005A3B8B">
        <w:t xml:space="preserve"> authori</w:t>
      </w:r>
      <w:r w:rsidR="00B1677D">
        <w:t>z</w:t>
      </w:r>
      <w:r w:rsidR="005A3B8B">
        <w:t xml:space="preserve">ation, the domestic courts considered </w:t>
      </w:r>
      <w:r w:rsidR="005A3B8B" w:rsidRPr="00552689">
        <w:t>that he had breached the law.</w:t>
      </w:r>
    </w:p>
    <w:p w:rsidR="00FF67E9" w:rsidRDefault="00FF67E9" w:rsidP="00A37DD8">
      <w:pPr>
        <w:pStyle w:val="SingleTxtG"/>
      </w:pPr>
      <w:r>
        <w:t>2.8</w:t>
      </w:r>
      <w:r>
        <w:tab/>
        <w:t>He further submits that the domestic courts did not provide any explanation as to wh</w:t>
      </w:r>
      <w:r w:rsidR="00746F1E">
        <w:t>y it was necessary to restrict</w:t>
      </w:r>
      <w:r>
        <w:t xml:space="preserve"> his right to impart information, orally and in writing, for one of the legitimate </w:t>
      </w:r>
      <w:r w:rsidR="000F76E4">
        <w:t>aims</w:t>
      </w:r>
      <w:r>
        <w:t xml:space="preserve"> enumerated in </w:t>
      </w:r>
      <w:r w:rsidR="0058244A">
        <w:t>article </w:t>
      </w:r>
      <w:r>
        <w:t xml:space="preserve">19, </w:t>
      </w:r>
      <w:r w:rsidR="0058244A">
        <w:t>paragraph </w:t>
      </w:r>
      <w:r>
        <w:t>3, of the Covenant.</w:t>
      </w:r>
    </w:p>
    <w:p w:rsidR="00CE1672" w:rsidRDefault="00CE1672" w:rsidP="00962A16">
      <w:pPr>
        <w:pStyle w:val="SingleTxtG"/>
      </w:pPr>
      <w:r>
        <w:t>2.9</w:t>
      </w:r>
      <w:r>
        <w:tab/>
        <w:t>The author submits that he has exhausted all available domestic remedies.</w:t>
      </w:r>
      <w:r w:rsidR="00834953">
        <w:t xml:space="preserve"> He has not requested the Office </w:t>
      </w:r>
      <w:r w:rsidR="00962A16">
        <w:t xml:space="preserve">of the Procurator-General </w:t>
      </w:r>
      <w:r w:rsidR="00834953">
        <w:t>to initiate supervisory review proceedings</w:t>
      </w:r>
      <w:r w:rsidR="00191F7C">
        <w:t>,</w:t>
      </w:r>
      <w:r w:rsidR="00834953">
        <w:t xml:space="preserve"> as only a cassation appeal can lead to a re-examination of a case. A request for supervisory review is not an effective remedy</w:t>
      </w:r>
      <w:r w:rsidR="00191F7C">
        <w:t>,</w:t>
      </w:r>
      <w:r w:rsidR="00834953">
        <w:t xml:space="preserve"> because it is </w:t>
      </w:r>
      <w:r w:rsidR="00834953" w:rsidRPr="008216A5">
        <w:t>dependent on the discretionary power of a</w:t>
      </w:r>
      <w:r w:rsidR="00834953">
        <w:t xml:space="preserve"> limited number of </w:t>
      </w:r>
      <w:r w:rsidR="00BC298A">
        <w:t>officials</w:t>
      </w:r>
      <w:r w:rsidR="00834953">
        <w:t xml:space="preserve"> and </w:t>
      </w:r>
      <w:r w:rsidR="00834953" w:rsidRPr="008216A5">
        <w:t xml:space="preserve">would not lead to </w:t>
      </w:r>
      <w:r w:rsidR="00FA380F">
        <w:t>the</w:t>
      </w:r>
      <w:r w:rsidR="00834953" w:rsidRPr="008216A5">
        <w:t xml:space="preserve"> re-examination of </w:t>
      </w:r>
      <w:r w:rsidR="00834953">
        <w:t>a</w:t>
      </w:r>
      <w:r w:rsidR="00834953" w:rsidRPr="008216A5">
        <w:t xml:space="preserve"> case</w:t>
      </w:r>
      <w:r w:rsidR="00834953">
        <w:t xml:space="preserve">. </w:t>
      </w:r>
      <w:r w:rsidR="00834953">
        <w:lastRenderedPageBreak/>
        <w:t>The supervisory revie</w:t>
      </w:r>
      <w:r w:rsidR="001D384D">
        <w:t>w</w:t>
      </w:r>
      <w:r w:rsidR="00834953">
        <w:t xml:space="preserve"> is </w:t>
      </w:r>
      <w:r w:rsidR="001D384D">
        <w:t xml:space="preserve">restricted </w:t>
      </w:r>
      <w:r w:rsidR="00834953">
        <w:t xml:space="preserve">to legal </w:t>
      </w:r>
      <w:r w:rsidR="001D384D">
        <w:t>issues</w:t>
      </w:r>
      <w:r w:rsidR="00834953">
        <w:t xml:space="preserve"> and </w:t>
      </w:r>
      <w:r w:rsidR="001D384D">
        <w:t xml:space="preserve">does not </w:t>
      </w:r>
      <w:r w:rsidR="00E94088">
        <w:t>permit</w:t>
      </w:r>
      <w:r w:rsidR="001D384D">
        <w:t xml:space="preserve"> </w:t>
      </w:r>
      <w:r w:rsidR="00191F7C">
        <w:t xml:space="preserve">any </w:t>
      </w:r>
      <w:r w:rsidR="001D384D">
        <w:t xml:space="preserve">review </w:t>
      </w:r>
      <w:r w:rsidR="00191F7C">
        <w:t xml:space="preserve">of </w:t>
      </w:r>
      <w:r w:rsidR="001D384D">
        <w:t>facts and evidence.</w:t>
      </w:r>
      <w:r w:rsidR="00BC298A">
        <w:t xml:space="preserve"> </w:t>
      </w:r>
      <w:r w:rsidR="00BC298A" w:rsidRPr="008216A5">
        <w:t>According to the Committee’s jurisprudence, domestic remedies should be both available and effective.</w:t>
      </w:r>
      <w:r w:rsidR="00BC298A">
        <w:t xml:space="preserve"> Furthermore, </w:t>
      </w:r>
      <w:r w:rsidR="00795F7A">
        <w:t>the Committee</w:t>
      </w:r>
      <w:r w:rsidR="00FA380F">
        <w:t xml:space="preserve"> has</w:t>
      </w:r>
      <w:r w:rsidR="00795F7A">
        <w:t xml:space="preserve"> established </w:t>
      </w:r>
      <w:r w:rsidR="00BC298A" w:rsidRPr="008216A5">
        <w:t xml:space="preserve">that in States parties where the initiation of </w:t>
      </w:r>
      <w:r w:rsidR="00FA380F">
        <w:t>supervisory review proceedings is</w:t>
      </w:r>
      <w:r w:rsidR="00BC298A" w:rsidRPr="008216A5">
        <w:t xml:space="preserve"> dependent on the discretionary power of a judge or prosecutor</w:t>
      </w:r>
      <w:r w:rsidR="00FA380F">
        <w:t>, the remedies to be exhausted are</w:t>
      </w:r>
      <w:r w:rsidR="00BC298A" w:rsidRPr="008216A5">
        <w:t xml:space="preserve"> limited to the cassation appeal.</w:t>
      </w:r>
      <w:r w:rsidR="00E138E5">
        <w:rPr>
          <w:rStyle w:val="FootnoteReference"/>
        </w:rPr>
        <w:footnoteReference w:id="4"/>
      </w:r>
    </w:p>
    <w:p w:rsidR="00FF67E9" w:rsidRDefault="00FF67E9" w:rsidP="00FF67E9">
      <w:pPr>
        <w:pStyle w:val="H23G"/>
        <w:ind w:firstLine="0"/>
      </w:pPr>
      <w:r w:rsidRPr="008216A5">
        <w:t>The complaint</w:t>
      </w:r>
    </w:p>
    <w:p w:rsidR="00CE1672" w:rsidRDefault="00FF67E9" w:rsidP="000F570E">
      <w:pPr>
        <w:pStyle w:val="SingleTxtG"/>
      </w:pPr>
      <w:r>
        <w:t>3.</w:t>
      </w:r>
      <w:r w:rsidR="00CE1672">
        <w:t>1</w:t>
      </w:r>
      <w:r w:rsidR="001D5C81">
        <w:tab/>
      </w:r>
      <w:r w:rsidR="007F1247">
        <w:t>T</w:t>
      </w:r>
      <w:r w:rsidR="000F570E">
        <w:t xml:space="preserve">he author claims that the imposition of </w:t>
      </w:r>
      <w:r w:rsidR="007F1247">
        <w:t>a fine</w:t>
      </w:r>
      <w:r w:rsidR="000F570E">
        <w:t xml:space="preserve"> in his case was not necessary for the protection of </w:t>
      </w:r>
      <w:r w:rsidR="000F570E" w:rsidRPr="000F570E">
        <w:t>national security</w:t>
      </w:r>
      <w:r w:rsidR="000F570E">
        <w:t>,</w:t>
      </w:r>
      <w:r w:rsidR="000F570E" w:rsidRPr="000F570E">
        <w:t xml:space="preserve"> public order, public health or morals or for respect of the rights and reputation of others, and therefore amounts to a violation of </w:t>
      </w:r>
      <w:r w:rsidR="000F570E">
        <w:t xml:space="preserve">his </w:t>
      </w:r>
      <w:r w:rsidR="000F570E" w:rsidRPr="000F570E">
        <w:t xml:space="preserve">rights under </w:t>
      </w:r>
      <w:r w:rsidR="0058244A">
        <w:t>article </w:t>
      </w:r>
      <w:r w:rsidR="000F570E" w:rsidRPr="000F570E">
        <w:t>19</w:t>
      </w:r>
      <w:r>
        <w:t xml:space="preserve">, </w:t>
      </w:r>
      <w:r w:rsidR="0058244A">
        <w:t>paragraphs </w:t>
      </w:r>
      <w:r>
        <w:t>1 and 2,</w:t>
      </w:r>
      <w:r w:rsidR="000F570E" w:rsidRPr="000F570E">
        <w:t xml:space="preserve"> </w:t>
      </w:r>
      <w:r>
        <w:t xml:space="preserve">in conjunction with </w:t>
      </w:r>
      <w:r w:rsidR="0058244A">
        <w:t>article </w:t>
      </w:r>
      <w:r>
        <w:t xml:space="preserve">2, </w:t>
      </w:r>
      <w:r w:rsidR="0058244A">
        <w:t>paragraphs </w:t>
      </w:r>
      <w:r>
        <w:t xml:space="preserve">2 and 3, </w:t>
      </w:r>
      <w:r w:rsidRPr="000F570E">
        <w:t>of the Covenant</w:t>
      </w:r>
      <w:r w:rsidR="000F570E" w:rsidRPr="000F570E">
        <w:t xml:space="preserve">. </w:t>
      </w:r>
    </w:p>
    <w:p w:rsidR="00FF67E9" w:rsidRDefault="00CE1672" w:rsidP="002408B4">
      <w:pPr>
        <w:pStyle w:val="SingleTxtG"/>
      </w:pPr>
      <w:r>
        <w:t>3.2</w:t>
      </w:r>
      <w:r>
        <w:tab/>
      </w:r>
      <w:r w:rsidR="000F570E">
        <w:t>He</w:t>
      </w:r>
      <w:r>
        <w:t xml:space="preserve"> </w:t>
      </w:r>
      <w:r w:rsidR="002408B4">
        <w:t xml:space="preserve">also </w:t>
      </w:r>
      <w:r>
        <w:t>claims that</w:t>
      </w:r>
      <w:r w:rsidR="000F570E">
        <w:t xml:space="preserve"> </w:t>
      </w:r>
      <w:r>
        <w:t xml:space="preserve">his </w:t>
      </w:r>
      <w:r w:rsidRPr="000F570E">
        <w:t>argument</w:t>
      </w:r>
      <w:r w:rsidR="007F1247">
        <w:t>ation</w:t>
      </w:r>
      <w:r w:rsidRPr="000F570E">
        <w:t xml:space="preserve"> about the unlawfulness of the administrative</w:t>
      </w:r>
      <w:r>
        <w:t xml:space="preserve"> </w:t>
      </w:r>
      <w:r w:rsidR="002F14CA">
        <w:t>pen</w:t>
      </w:r>
      <w:r w:rsidR="00A1776E">
        <w:t>alty</w:t>
      </w:r>
      <w:r>
        <w:t xml:space="preserve"> is supported by t</w:t>
      </w:r>
      <w:r w:rsidR="000F570E" w:rsidRPr="000F570E">
        <w:t>he Committee</w:t>
      </w:r>
      <w:r w:rsidR="0058244A">
        <w:rPr>
          <w:rFonts w:hint="eastAsia"/>
        </w:rPr>
        <w:t>’</w:t>
      </w:r>
      <w:r w:rsidR="000F570E" w:rsidRPr="000F570E">
        <w:t xml:space="preserve">s Views </w:t>
      </w:r>
      <w:r w:rsidR="000F570E">
        <w:t>in</w:t>
      </w:r>
      <w:r w:rsidR="000F570E" w:rsidRPr="000F570E">
        <w:t xml:space="preserve"> communication </w:t>
      </w:r>
      <w:r w:rsidR="0058244A">
        <w:t>No. </w:t>
      </w:r>
      <w:r w:rsidR="000F570E">
        <w:t xml:space="preserve">780/1997, </w:t>
      </w:r>
      <w:r w:rsidR="000F570E" w:rsidRPr="000F570E">
        <w:rPr>
          <w:i/>
        </w:rPr>
        <w:t xml:space="preserve">Laptsevich </w:t>
      </w:r>
      <w:r w:rsidR="000F570E" w:rsidRPr="00494498">
        <w:rPr>
          <w:iCs/>
        </w:rPr>
        <w:t>v.</w:t>
      </w:r>
      <w:r w:rsidR="000F570E" w:rsidRPr="000F570E">
        <w:rPr>
          <w:i/>
        </w:rPr>
        <w:t xml:space="preserve"> Belarus</w:t>
      </w:r>
      <w:r>
        <w:t xml:space="preserve">. </w:t>
      </w:r>
      <w:r w:rsidR="00FF67E9">
        <w:t xml:space="preserve">He adds </w:t>
      </w:r>
      <w:r w:rsidR="00FF67E9" w:rsidRPr="00FF67E9">
        <w:t xml:space="preserve">that the provisions of the </w:t>
      </w:r>
      <w:r w:rsidR="002408B4">
        <w:t>L</w:t>
      </w:r>
      <w:r w:rsidR="003E6D09">
        <w:t xml:space="preserve">aw </w:t>
      </w:r>
      <w:r w:rsidR="002408B4">
        <w:t>o</w:t>
      </w:r>
      <w:r w:rsidR="003E6D09">
        <w:t>n Mass Events,</w:t>
      </w:r>
      <w:r w:rsidR="003E6D09" w:rsidRPr="00FF67E9">
        <w:t xml:space="preserve"> </w:t>
      </w:r>
      <w:r w:rsidR="00FF67E9" w:rsidRPr="00FF67E9">
        <w:t>which restrict the right to freely impart information</w:t>
      </w:r>
      <w:r>
        <w:t>,</w:t>
      </w:r>
      <w:r w:rsidR="00FF67E9" w:rsidRPr="00FF67E9">
        <w:t xml:space="preserve"> run counter to the</w:t>
      </w:r>
      <w:r w:rsidR="007F1247">
        <w:t xml:space="preserve"> State party’s</w:t>
      </w:r>
      <w:r w:rsidR="00FF67E9" w:rsidRPr="00FF67E9">
        <w:t xml:space="preserve"> international obligations, because the restrictions in question do not meet the requirement of necessity</w:t>
      </w:r>
      <w:r w:rsidR="00FF67E9">
        <w:t xml:space="preserve"> under </w:t>
      </w:r>
      <w:r w:rsidR="0058244A">
        <w:t>article </w:t>
      </w:r>
      <w:r w:rsidR="00FF67E9">
        <w:t xml:space="preserve">19, </w:t>
      </w:r>
      <w:r w:rsidR="0058244A">
        <w:t>paragraph </w:t>
      </w:r>
      <w:r w:rsidR="00FF67E9">
        <w:t xml:space="preserve">3, of the Covenant. </w:t>
      </w:r>
    </w:p>
    <w:p w:rsidR="00CE1672" w:rsidRDefault="00CE1672" w:rsidP="000F570E">
      <w:pPr>
        <w:pStyle w:val="SingleTxtG"/>
      </w:pPr>
      <w:r>
        <w:t>3.3</w:t>
      </w:r>
      <w:r>
        <w:tab/>
        <w:t xml:space="preserve">He asks the Committee to declare his case admissible, consider it on the merits and establish a violation, by the State party, of his rights under </w:t>
      </w:r>
      <w:r w:rsidR="003E6D09">
        <w:t xml:space="preserve">the Covenant. </w:t>
      </w:r>
      <w:r w:rsidR="00484B45">
        <w:t xml:space="preserve">He requests </w:t>
      </w:r>
      <w:r w:rsidR="00484B45" w:rsidRPr="008216A5">
        <w:rPr>
          <w:lang w:val="en-US"/>
        </w:rPr>
        <w:t xml:space="preserve">reimbursement of </w:t>
      </w:r>
      <w:r w:rsidR="00484B45" w:rsidRPr="008216A5">
        <w:t>costs</w:t>
      </w:r>
      <w:r w:rsidR="00484B45">
        <w:t xml:space="preserve"> and expenses </w:t>
      </w:r>
      <w:r w:rsidR="00484B45" w:rsidRPr="008216A5">
        <w:t xml:space="preserve">incurred </w:t>
      </w:r>
      <w:r w:rsidR="00484B45">
        <w:t xml:space="preserve">in connection with the case. </w:t>
      </w:r>
      <w:r w:rsidR="003E6D09">
        <w:t xml:space="preserve">He also asks the Committee to </w:t>
      </w:r>
      <w:r>
        <w:t xml:space="preserve">recommend </w:t>
      </w:r>
      <w:r w:rsidR="00ED38E2">
        <w:t xml:space="preserve">that </w:t>
      </w:r>
      <w:r>
        <w:t>the State party</w:t>
      </w:r>
      <w:r w:rsidR="00941AB8">
        <w:t xml:space="preserve"> </w:t>
      </w:r>
      <w:r w:rsidR="003E6D09">
        <w:t xml:space="preserve">review its legislation, in particular </w:t>
      </w:r>
      <w:r w:rsidR="0058244A">
        <w:t>articles </w:t>
      </w:r>
      <w:r w:rsidR="003E6D09">
        <w:t>8 and 10 of the Law on Mass Events</w:t>
      </w:r>
      <w:r w:rsidR="00E21671">
        <w:t>,</w:t>
      </w:r>
      <w:r w:rsidR="00DF50FB">
        <w:t xml:space="preserve"> and</w:t>
      </w:r>
      <w:r w:rsidR="00E21671">
        <w:t xml:space="preserve"> </w:t>
      </w:r>
      <w:r w:rsidR="00DF50FB">
        <w:t>bring th</w:t>
      </w:r>
      <w:r w:rsidR="00E21671">
        <w:t>ose articles</w:t>
      </w:r>
      <w:r w:rsidR="003E6D09">
        <w:t xml:space="preserve"> in</w:t>
      </w:r>
      <w:r w:rsidR="00E21671">
        <w:t>to</w:t>
      </w:r>
      <w:r w:rsidR="003E6D09">
        <w:t xml:space="preserve"> line with the </w:t>
      </w:r>
      <w:r w:rsidR="00941AB8">
        <w:t xml:space="preserve">State party’s </w:t>
      </w:r>
      <w:r w:rsidR="003E6D09">
        <w:t xml:space="preserve">international obligations, in particular </w:t>
      </w:r>
      <w:r w:rsidR="0058244A">
        <w:t>articles </w:t>
      </w:r>
      <w:r w:rsidR="003E6D09">
        <w:t>19 and 21 of the Covenant.</w:t>
      </w:r>
    </w:p>
    <w:p w:rsidR="00F26BC3" w:rsidRPr="008216A5" w:rsidRDefault="008216A5" w:rsidP="00F26BC3">
      <w:pPr>
        <w:pStyle w:val="H23G"/>
      </w:pPr>
      <w:r w:rsidRPr="008216A5">
        <w:tab/>
      </w:r>
      <w:r w:rsidRPr="008216A5">
        <w:tab/>
      </w:r>
      <w:r w:rsidR="00F26BC3" w:rsidRPr="008216A5">
        <w:t>State party</w:t>
      </w:r>
      <w:r w:rsidR="00F26BC3">
        <w:t>’s</w:t>
      </w:r>
      <w:r w:rsidR="00F26BC3" w:rsidRPr="008216A5">
        <w:t xml:space="preserve"> observations on </w:t>
      </w:r>
      <w:r w:rsidR="00F26BC3">
        <w:t>admissibility</w:t>
      </w:r>
    </w:p>
    <w:p w:rsidR="00F26BC3" w:rsidRDefault="00F26BC3" w:rsidP="00FF62DF">
      <w:pPr>
        <w:pStyle w:val="SingleTxtG"/>
      </w:pPr>
      <w:r>
        <w:rPr>
          <w:lang w:val="en-US"/>
        </w:rPr>
        <w:t>4</w:t>
      </w:r>
      <w:r w:rsidRPr="008216A5">
        <w:rPr>
          <w:lang w:val="en-US"/>
        </w:rPr>
        <w:t>.1</w:t>
      </w:r>
      <w:r w:rsidRPr="008216A5">
        <w:rPr>
          <w:lang w:val="en-US"/>
        </w:rPr>
        <w:tab/>
        <w:t xml:space="preserve">On </w:t>
      </w:r>
      <w:r>
        <w:rPr>
          <w:lang w:val="en-US"/>
        </w:rPr>
        <w:t xml:space="preserve">13 August 2012, </w:t>
      </w:r>
      <w:r w:rsidRPr="008216A5">
        <w:rPr>
          <w:lang w:val="en-US"/>
        </w:rPr>
        <w:t xml:space="preserve">the State party </w:t>
      </w:r>
      <w:r w:rsidRPr="008216A5">
        <w:t xml:space="preserve">challenged the admissibility of the communication, arguing that the author had failed to exhaust </w:t>
      </w:r>
      <w:r>
        <w:t xml:space="preserve">all available domestic remedies. First, as the author himself admits, he has not requested the </w:t>
      </w:r>
      <w:r w:rsidR="00FF62DF">
        <w:t xml:space="preserve">Office of the </w:t>
      </w:r>
      <w:r w:rsidR="00FF62DF" w:rsidRPr="008216A5">
        <w:t>Pro</w:t>
      </w:r>
      <w:r w:rsidR="00FF62DF">
        <w:t>curator-</w:t>
      </w:r>
      <w:r w:rsidR="00BE0B12">
        <w:t>General</w:t>
      </w:r>
      <w:r>
        <w:t xml:space="preserve"> to initiate supervisory review proceedings. Second, </w:t>
      </w:r>
      <w:r w:rsidR="00824F1B">
        <w:t>he</w:t>
      </w:r>
      <w:r>
        <w:t xml:space="preserve"> has not requested the Chairperson of the Supreme Court to </w:t>
      </w:r>
      <w:r w:rsidR="00DF50FB">
        <w:t>reconsider</w:t>
      </w:r>
      <w:r>
        <w:t xml:space="preserve"> the decision of the </w:t>
      </w:r>
      <w:r w:rsidRPr="00962A16">
        <w:t xml:space="preserve">deputy </w:t>
      </w:r>
      <w:r w:rsidR="00962A16">
        <w:t>c</w:t>
      </w:r>
      <w:r w:rsidRPr="00962A16">
        <w:t>hairperson of the Supreme Court, dated 1 December 2011</w:t>
      </w:r>
      <w:r>
        <w:t xml:space="preserve">, </w:t>
      </w:r>
      <w:r w:rsidR="00F45731">
        <w:t xml:space="preserve">to </w:t>
      </w:r>
      <w:r>
        <w:t>reject his request for supervisory review.</w:t>
      </w:r>
    </w:p>
    <w:p w:rsidR="00F26BC3" w:rsidRDefault="00F26BC3" w:rsidP="00F26BC3">
      <w:pPr>
        <w:pStyle w:val="SingleTxtG"/>
      </w:pPr>
      <w:r>
        <w:t>4.2</w:t>
      </w:r>
      <w:r>
        <w:tab/>
      </w:r>
      <w:r w:rsidR="00DF50FB">
        <w:t>T</w:t>
      </w:r>
      <w:r>
        <w:t xml:space="preserve">he State party considers the </w:t>
      </w:r>
      <w:r w:rsidRPr="00BF3D9D">
        <w:t xml:space="preserve">communication as registered </w:t>
      </w:r>
      <w:r>
        <w:t xml:space="preserve">in violation of </w:t>
      </w:r>
      <w:r w:rsidR="0058244A">
        <w:t>article </w:t>
      </w:r>
      <w:r>
        <w:t>2</w:t>
      </w:r>
      <w:r w:rsidRPr="00BF3D9D">
        <w:t xml:space="preserve"> of the Optional Protocol</w:t>
      </w:r>
      <w:r>
        <w:t>. It submits that it “has discontinued proceedings regarding the communication and will dissociate itself from the views that might be adopted thereon by the Committee”</w:t>
      </w:r>
      <w:r w:rsidR="00ED38E2">
        <w:t>.</w:t>
      </w:r>
      <w:r>
        <w:t xml:space="preserve"> </w:t>
      </w:r>
    </w:p>
    <w:p w:rsidR="00F26BC3" w:rsidRPr="008216A5" w:rsidRDefault="008216A5" w:rsidP="00F26BC3">
      <w:pPr>
        <w:pStyle w:val="H23G"/>
      </w:pPr>
      <w:r w:rsidRPr="008216A5">
        <w:tab/>
      </w:r>
      <w:r w:rsidRPr="008216A5">
        <w:tab/>
      </w:r>
      <w:r w:rsidR="00F26BC3">
        <w:t>Author</w:t>
      </w:r>
      <w:r w:rsidR="00F26BC3" w:rsidRPr="008216A5">
        <w:t>’</w:t>
      </w:r>
      <w:r w:rsidR="00F26BC3">
        <w:t>s</w:t>
      </w:r>
      <w:r w:rsidR="00F26BC3" w:rsidRPr="008216A5">
        <w:t xml:space="preserve"> comments on the State party’s observations on </w:t>
      </w:r>
      <w:r w:rsidR="00F26BC3">
        <w:t>admissibility</w:t>
      </w:r>
    </w:p>
    <w:p w:rsidR="00F26BC3" w:rsidRDefault="00F26BC3" w:rsidP="00F26BC3">
      <w:pPr>
        <w:pStyle w:val="SingleTxtG"/>
      </w:pPr>
      <w:r>
        <w:t>5</w:t>
      </w:r>
      <w:r w:rsidRPr="008216A5">
        <w:t>.1</w:t>
      </w:r>
      <w:r w:rsidRPr="008216A5">
        <w:tab/>
        <w:t xml:space="preserve">On </w:t>
      </w:r>
      <w:r>
        <w:rPr>
          <w:lang w:val="en-US"/>
        </w:rPr>
        <w:t>4 September 2012</w:t>
      </w:r>
      <w:r w:rsidRPr="008216A5">
        <w:t xml:space="preserve">, the author </w:t>
      </w:r>
      <w:r>
        <w:t>challenged the State party’s argument</w:t>
      </w:r>
      <w:r w:rsidR="00DF50FB">
        <w:t>ation</w:t>
      </w:r>
      <w:r>
        <w:t xml:space="preserve"> regarding the admissibility and registration</w:t>
      </w:r>
      <w:r w:rsidRPr="005E06C2">
        <w:t xml:space="preserve"> </w:t>
      </w:r>
      <w:r>
        <w:t xml:space="preserve">of his communication. He submits that, in line with the Committee’s jurisprudence, authors are requested to exhaust domestic remedies </w:t>
      </w:r>
      <w:r w:rsidR="00DF50FB">
        <w:t>which</w:t>
      </w:r>
      <w:r>
        <w:t xml:space="preserve"> are not </w:t>
      </w:r>
      <w:r w:rsidR="00824F1B">
        <w:t xml:space="preserve">only available but also effective. He adds that remedies </w:t>
      </w:r>
      <w:r w:rsidR="00DF50FB">
        <w:t>are</w:t>
      </w:r>
      <w:r w:rsidR="00824F1B">
        <w:t xml:space="preserve"> effective if they offer a reasonable </w:t>
      </w:r>
      <w:r w:rsidR="00DF50FB">
        <w:t>prospect</w:t>
      </w:r>
      <w:r w:rsidR="00824F1B">
        <w:t xml:space="preserve"> of obtaining effective redress. In this regard, the Committee held on numerous occasions that “supervisory review is a discretionary review process </w:t>
      </w:r>
      <w:r w:rsidR="00824F1B">
        <w:lastRenderedPageBreak/>
        <w:t xml:space="preserve">common in former </w:t>
      </w:r>
      <w:smartTag w:uri="urn:schemas-microsoft-com:office:smarttags" w:element="place">
        <w:smartTag w:uri="urn:schemas-microsoft-com:office:smarttags" w:element="PlaceName">
          <w:r w:rsidR="00824F1B">
            <w:t>Soviet</w:t>
          </w:r>
        </w:smartTag>
        <w:r w:rsidR="00824F1B">
          <w:t xml:space="preserve"> </w:t>
        </w:r>
        <w:smartTag w:uri="urn:schemas-microsoft-com:office:smarttags" w:element="PlaceType">
          <w:r w:rsidR="00824F1B">
            <w:t>Republics</w:t>
          </w:r>
        </w:smartTag>
      </w:smartTag>
      <w:r w:rsidR="00824F1B">
        <w:t>, which the Committee has previously considered not to constitute an effective remedy for the purposes of exhaustion of domestic remedies”</w:t>
      </w:r>
      <w:r w:rsidR="00ED38E2">
        <w:t>.</w:t>
      </w:r>
      <w:r w:rsidR="00824F1B">
        <w:rPr>
          <w:rStyle w:val="FootnoteReference"/>
        </w:rPr>
        <w:footnoteReference w:id="5"/>
      </w:r>
    </w:p>
    <w:p w:rsidR="00D47B2C" w:rsidRDefault="00D47B2C" w:rsidP="0023060B">
      <w:pPr>
        <w:pStyle w:val="SingleTxtG"/>
      </w:pPr>
      <w:r>
        <w:t>5.2</w:t>
      </w:r>
      <w:r>
        <w:tab/>
        <w:t xml:space="preserve">The author reiterates that he has not applied to the </w:t>
      </w:r>
      <w:r w:rsidR="0023060B">
        <w:t xml:space="preserve">Office of the </w:t>
      </w:r>
      <w:r>
        <w:t>Pro</w:t>
      </w:r>
      <w:r w:rsidR="0023060B">
        <w:t>curator-</w:t>
      </w:r>
      <w:r w:rsidR="00806AAA">
        <w:t>General</w:t>
      </w:r>
      <w:r>
        <w:t xml:space="preserve"> under the supervisory review procedure </w:t>
      </w:r>
      <w:r w:rsidR="0023060B">
        <w:t>because</w:t>
      </w:r>
      <w:r>
        <w:t xml:space="preserve"> only the cassation appeal would result i</w:t>
      </w:r>
      <w:r w:rsidR="0023060B">
        <w:t>n</w:t>
      </w:r>
      <w:r>
        <w:t xml:space="preserve"> a substantive review of his case. </w:t>
      </w:r>
      <w:r w:rsidR="00CC1F58">
        <w:t>An application for supervisory review</w:t>
      </w:r>
      <w:r>
        <w:t xml:space="preserve"> cannot, therefore, be considered as an effective remedy. Furthermore, such an application is examined by the </w:t>
      </w:r>
      <w:r w:rsidRPr="00962A16">
        <w:t>prosecutor</w:t>
      </w:r>
      <w:r>
        <w:t xml:space="preserve"> unilaterally, is limited to procedural issues and does not permit </w:t>
      </w:r>
      <w:r w:rsidR="0023060B">
        <w:t>any</w:t>
      </w:r>
      <w:r>
        <w:t xml:space="preserve"> review</w:t>
      </w:r>
      <w:r w:rsidR="0023060B">
        <w:t xml:space="preserve"> of</w:t>
      </w:r>
      <w:r>
        <w:t xml:space="preserve"> facts and evidence. </w:t>
      </w:r>
    </w:p>
    <w:p w:rsidR="00E012C9" w:rsidRDefault="00CC1F58" w:rsidP="00CB3842">
      <w:pPr>
        <w:pStyle w:val="SingleTxtG"/>
      </w:pPr>
      <w:r>
        <w:t>5.3</w:t>
      </w:r>
      <w:r>
        <w:tab/>
        <w:t xml:space="preserve">The author adds </w:t>
      </w:r>
      <w:r w:rsidR="00E012C9">
        <w:t xml:space="preserve">that, </w:t>
      </w:r>
      <w:r w:rsidR="00CB3842">
        <w:t>pursuant to the national legislation on administrative law,</w:t>
      </w:r>
      <w:r w:rsidR="00E012C9">
        <w:t xml:space="preserve"> a</w:t>
      </w:r>
      <w:r w:rsidR="003719B4">
        <w:t>n application</w:t>
      </w:r>
      <w:r w:rsidR="00E012C9">
        <w:t xml:space="preserve"> for supervisory review of a court ruling in an administrative case </w:t>
      </w:r>
      <w:r w:rsidR="00ED38E2">
        <w:t>must</w:t>
      </w:r>
      <w:r w:rsidR="00E012C9">
        <w:t xml:space="preserve"> be made within six months after </w:t>
      </w:r>
      <w:r w:rsidR="00BE0B12">
        <w:t>the ruling</w:t>
      </w:r>
      <w:r w:rsidR="00E012C9">
        <w:t xml:space="preserve"> is pronounced. </w:t>
      </w:r>
      <w:r w:rsidR="003719B4">
        <w:t>It is virtually impossible to comply with this timeline</w:t>
      </w:r>
      <w:r w:rsidR="0023060B">
        <w:t>, because</w:t>
      </w:r>
      <w:r w:rsidR="003719B4">
        <w:t xml:space="preserve"> applications first have to be filed with </w:t>
      </w:r>
      <w:r w:rsidR="00E012C9">
        <w:t xml:space="preserve">the Chairperson of the Regional Court and </w:t>
      </w:r>
      <w:r w:rsidR="003719B4">
        <w:t>only then with</w:t>
      </w:r>
      <w:r w:rsidR="00E012C9">
        <w:t xml:space="preserve"> the Chairperson of the Supreme Court, where </w:t>
      </w:r>
      <w:r w:rsidR="003719B4">
        <w:t xml:space="preserve">they are examined, in turn, by </w:t>
      </w:r>
      <w:r w:rsidR="00ED38E2">
        <w:t>the latter’s</w:t>
      </w:r>
      <w:r w:rsidR="003719B4">
        <w:t xml:space="preserve"> deputies. Similarly, applications for supervisory review first have to be filed with the Regional Prosecutor’s Office, before they reach the</w:t>
      </w:r>
      <w:r w:rsidR="0023060B">
        <w:t xml:space="preserve"> Office of the</w:t>
      </w:r>
      <w:r w:rsidR="003719B4">
        <w:t xml:space="preserve"> </w:t>
      </w:r>
      <w:r w:rsidR="00BE0B12" w:rsidRPr="008216A5">
        <w:t>Pro</w:t>
      </w:r>
      <w:r w:rsidR="0023060B">
        <w:t>curator-</w:t>
      </w:r>
      <w:r w:rsidR="00BE0B12">
        <w:t xml:space="preserve"> General, where they are examined by </w:t>
      </w:r>
      <w:r w:rsidR="00ED38E2">
        <w:t>the</w:t>
      </w:r>
      <w:r w:rsidR="00BE0B12">
        <w:t xml:space="preserve"> deputies</w:t>
      </w:r>
      <w:r w:rsidR="00ED38E2">
        <w:t xml:space="preserve"> of the Procurator-General</w:t>
      </w:r>
      <w:r w:rsidR="00BE0B12">
        <w:t>. Applications in administrative cases filed after the expiration of the six-month timeline are dismissed without examination.</w:t>
      </w:r>
    </w:p>
    <w:p w:rsidR="00F76E01" w:rsidRDefault="00BE0B12" w:rsidP="00FF07A7">
      <w:pPr>
        <w:pStyle w:val="SingleTxtG"/>
      </w:pPr>
      <w:r>
        <w:t>5.4</w:t>
      </w:r>
      <w:r>
        <w:tab/>
        <w:t xml:space="preserve">Further, the author argues that by becoming a party to the Optional Protocol, </w:t>
      </w:r>
      <w:r w:rsidR="003871ED">
        <w:t xml:space="preserve">the State party </w:t>
      </w:r>
      <w:r>
        <w:t xml:space="preserve">recognized the Committee’s competence to </w:t>
      </w:r>
      <w:r w:rsidR="00F76E01">
        <w:t xml:space="preserve">consider individual communications to </w:t>
      </w:r>
      <w:r>
        <w:t xml:space="preserve">determine whether there has been a violation of </w:t>
      </w:r>
      <w:r w:rsidR="00F76E01">
        <w:t>the Covenant and</w:t>
      </w:r>
      <w:r w:rsidR="00AC4840">
        <w:t xml:space="preserve">, in line with </w:t>
      </w:r>
      <w:r w:rsidR="0058244A">
        <w:t>article </w:t>
      </w:r>
      <w:r w:rsidR="00AC4840">
        <w:t xml:space="preserve">40, </w:t>
      </w:r>
      <w:r w:rsidR="0058244A">
        <w:t>paragraph </w:t>
      </w:r>
      <w:r w:rsidR="00AC4840">
        <w:t>4, of the Covenant,</w:t>
      </w:r>
      <w:r>
        <w:t xml:space="preserve"> </w:t>
      </w:r>
      <w:r w:rsidR="00551AB4">
        <w:t xml:space="preserve">its competence </w:t>
      </w:r>
      <w:r>
        <w:t xml:space="preserve">to </w:t>
      </w:r>
      <w:r w:rsidR="00F76E01">
        <w:t>transmit its reports and general comments</w:t>
      </w:r>
      <w:r w:rsidR="003871ED">
        <w:t>,</w:t>
      </w:r>
      <w:r w:rsidR="00F76E01">
        <w:t xml:space="preserve"> as it may consider appropriate, to the State parties. </w:t>
      </w:r>
      <w:r w:rsidR="00DF50FB">
        <w:t>U</w:t>
      </w:r>
      <w:r w:rsidR="00F76E01">
        <w:t xml:space="preserve">nder </w:t>
      </w:r>
      <w:r w:rsidR="0058244A">
        <w:t>article </w:t>
      </w:r>
      <w:r w:rsidR="00F76E01">
        <w:t xml:space="preserve">2 of the Covenant, </w:t>
      </w:r>
      <w:r w:rsidR="003871ED">
        <w:t>the State party</w:t>
      </w:r>
      <w:r w:rsidR="00F76E01">
        <w:t xml:space="preserve"> undertook to e</w:t>
      </w:r>
      <w:r w:rsidR="00F76E01" w:rsidRPr="00F76E01">
        <w:t xml:space="preserve">nsure that any person </w:t>
      </w:r>
      <w:r w:rsidR="00FF07A7">
        <w:t xml:space="preserve">subject to </w:t>
      </w:r>
      <w:r w:rsidR="00F76E01">
        <w:t xml:space="preserve">its jurisdiction </w:t>
      </w:r>
      <w:r w:rsidR="00FF07A7">
        <w:t>would</w:t>
      </w:r>
      <w:r w:rsidR="00FF07A7" w:rsidRPr="00F76E01">
        <w:t xml:space="preserve"> </w:t>
      </w:r>
      <w:r w:rsidR="00DF50FB">
        <w:t>be provided with</w:t>
      </w:r>
      <w:r w:rsidR="00F76E01" w:rsidRPr="00F76E01">
        <w:t xml:space="preserve"> an effective remedy</w:t>
      </w:r>
      <w:r w:rsidR="00F76E01">
        <w:t>. Having recognized the Committee’s competence to determine the effectiveness of domestic remedies in individual communication</w:t>
      </w:r>
      <w:r w:rsidR="006D2B97">
        <w:t>s</w:t>
      </w:r>
      <w:r w:rsidR="00F76E01">
        <w:t xml:space="preserve">, </w:t>
      </w:r>
      <w:r w:rsidR="003871ED">
        <w:t>the State party</w:t>
      </w:r>
      <w:r w:rsidR="00F76E01">
        <w:t xml:space="preserve"> is under an obligation </w:t>
      </w:r>
      <w:r w:rsidR="002C032D">
        <w:t>not only to c</w:t>
      </w:r>
      <w:r w:rsidR="00F76E01">
        <w:t xml:space="preserve">omply with the provisions of the Covenant and </w:t>
      </w:r>
      <w:r w:rsidR="003871ED">
        <w:t>its</w:t>
      </w:r>
      <w:r w:rsidR="00F76E01">
        <w:t xml:space="preserve"> Optional Protocol, but also </w:t>
      </w:r>
      <w:r w:rsidR="002C032D">
        <w:t xml:space="preserve">to </w:t>
      </w:r>
      <w:r w:rsidR="00AC4840">
        <w:t>take into account</w:t>
      </w:r>
      <w:r w:rsidR="002C032D">
        <w:t xml:space="preserve"> the Committee’s </w:t>
      </w:r>
      <w:r w:rsidR="00AC4840">
        <w:t>g</w:t>
      </w:r>
      <w:r w:rsidR="002C032D">
        <w:t xml:space="preserve">eneral </w:t>
      </w:r>
      <w:r w:rsidR="00AC4840">
        <w:t>c</w:t>
      </w:r>
      <w:r w:rsidR="002C032D">
        <w:t>omments.</w:t>
      </w:r>
      <w:r w:rsidR="00025418">
        <w:t xml:space="preserve"> The Committee’s </w:t>
      </w:r>
      <w:r w:rsidR="003871ED">
        <w:t>integral role under the Covenant</w:t>
      </w:r>
      <w:r w:rsidR="00025418">
        <w:t xml:space="preserve"> includes </w:t>
      </w:r>
      <w:r w:rsidR="003871ED">
        <w:t xml:space="preserve">the </w:t>
      </w:r>
      <w:r w:rsidR="00025418">
        <w:t xml:space="preserve">interpretation </w:t>
      </w:r>
      <w:r w:rsidR="003871ED">
        <w:t xml:space="preserve">of its provisions and the </w:t>
      </w:r>
      <w:r w:rsidR="00025418">
        <w:t>development of jurisprudence.</w:t>
      </w:r>
      <w:r w:rsidR="004E64A6">
        <w:rPr>
          <w:rStyle w:val="FootnoteReference"/>
        </w:rPr>
        <w:footnoteReference w:id="6"/>
      </w:r>
      <w:r w:rsidR="006D2B97">
        <w:t xml:space="preserve"> Therefore, by refusing to recognize the Committee’s standards, practice, working methods and </w:t>
      </w:r>
      <w:r w:rsidR="00DF50FB">
        <w:t>case</w:t>
      </w:r>
      <w:r w:rsidR="00FF07A7">
        <w:t xml:space="preserve"> </w:t>
      </w:r>
      <w:r w:rsidR="00DF50FB">
        <w:t>law</w:t>
      </w:r>
      <w:r w:rsidR="006D2B97">
        <w:t xml:space="preserve">, </w:t>
      </w:r>
      <w:r w:rsidR="003871ED">
        <w:t>the State party</w:t>
      </w:r>
      <w:r w:rsidR="006D2B97">
        <w:t xml:space="preserve"> denies its competence to interpret provisions of the Covenant, which </w:t>
      </w:r>
      <w:r w:rsidR="003871ED">
        <w:t>runs counter to its</w:t>
      </w:r>
      <w:r w:rsidR="00767016">
        <w:t xml:space="preserve"> object and purpose</w:t>
      </w:r>
      <w:r w:rsidR="006D2B97">
        <w:t>.</w:t>
      </w:r>
      <w:r w:rsidR="003871ED">
        <w:t xml:space="preserve"> The author maintains that the State </w:t>
      </w:r>
      <w:r w:rsidR="00DF50FB">
        <w:t>p</w:t>
      </w:r>
      <w:r w:rsidR="003871ED">
        <w:t xml:space="preserve">arty </w:t>
      </w:r>
      <w:r w:rsidR="00DF50FB">
        <w:t>must</w:t>
      </w:r>
      <w:r w:rsidR="003871ED">
        <w:t xml:space="preserve"> not only implement the Committee’s decisions, but also recogni</w:t>
      </w:r>
      <w:r w:rsidR="00FF07A7">
        <w:t>z</w:t>
      </w:r>
      <w:r w:rsidR="003871ED">
        <w:t xml:space="preserve">e its standards, practice, working methods and </w:t>
      </w:r>
      <w:r w:rsidR="00DF50FB">
        <w:t>case</w:t>
      </w:r>
      <w:r w:rsidR="00FF07A7">
        <w:t xml:space="preserve"> </w:t>
      </w:r>
      <w:r w:rsidR="00DF50FB">
        <w:t>law</w:t>
      </w:r>
      <w:r w:rsidR="003871ED">
        <w:t xml:space="preserve">, by virtue of the international law principle of </w:t>
      </w:r>
      <w:r w:rsidR="003871ED" w:rsidRPr="003871ED">
        <w:rPr>
          <w:i/>
        </w:rPr>
        <w:t>pacta sunt servanda</w:t>
      </w:r>
      <w:r w:rsidR="003871ED">
        <w:t>.</w:t>
      </w:r>
    </w:p>
    <w:p w:rsidR="00D95A82" w:rsidRDefault="00D95A82" w:rsidP="00D95A82">
      <w:pPr>
        <w:pStyle w:val="H23G"/>
        <w:ind w:firstLine="0"/>
      </w:pPr>
      <w:r w:rsidRPr="008216A5">
        <w:t>State party</w:t>
      </w:r>
      <w:r>
        <w:t>’s</w:t>
      </w:r>
      <w:r w:rsidRPr="008216A5">
        <w:t xml:space="preserve"> </w:t>
      </w:r>
      <w:r>
        <w:t>further submission</w:t>
      </w:r>
    </w:p>
    <w:p w:rsidR="00D95A82" w:rsidRPr="00D95A82" w:rsidRDefault="00C44D68" w:rsidP="00C44D68">
      <w:pPr>
        <w:tabs>
          <w:tab w:val="left" w:pos="1701"/>
        </w:tabs>
        <w:ind w:left="1134" w:right="1134" w:firstLine="6"/>
        <w:jc w:val="both"/>
      </w:pPr>
      <w:r>
        <w:t>6.</w:t>
      </w:r>
      <w:r>
        <w:tab/>
      </w:r>
      <w:r w:rsidR="00D95A82">
        <w:t xml:space="preserve">On 4 January 2013, the State party reiterated its position of </w:t>
      </w:r>
      <w:r w:rsidR="00D95A82">
        <w:rPr>
          <w:lang w:val="en-US"/>
        </w:rPr>
        <w:t>13 August 2012 regarding the communication.</w:t>
      </w:r>
    </w:p>
    <w:p w:rsidR="008216A5" w:rsidRDefault="008216A5" w:rsidP="00C12350">
      <w:pPr>
        <w:pStyle w:val="H23G"/>
        <w:spacing w:afterLines="120" w:after="288"/>
      </w:pPr>
      <w:r w:rsidRPr="008216A5">
        <w:lastRenderedPageBreak/>
        <w:tab/>
      </w:r>
      <w:r w:rsidRPr="008216A5">
        <w:tab/>
        <w:t>Issues and proceedings before the Committee</w:t>
      </w:r>
    </w:p>
    <w:p w:rsidR="00ED06EC" w:rsidRPr="00ED06EC" w:rsidRDefault="00ED06EC" w:rsidP="00C12350">
      <w:pPr>
        <w:keepNext/>
        <w:keepLines/>
        <w:spacing w:before="240" w:after="120"/>
        <w:rPr>
          <w:i/>
        </w:rPr>
      </w:pPr>
      <w:r>
        <w:tab/>
      </w:r>
      <w:r>
        <w:tab/>
      </w:r>
      <w:r w:rsidR="00580B8E">
        <w:rPr>
          <w:i/>
        </w:rPr>
        <w:t>Lack of cooperation by the State party</w:t>
      </w:r>
      <w:r w:rsidRPr="00ED06EC">
        <w:rPr>
          <w:i/>
        </w:rPr>
        <w:t xml:space="preserve"> </w:t>
      </w:r>
    </w:p>
    <w:p w:rsidR="00B957CC" w:rsidRPr="00FC72FA" w:rsidRDefault="00ED06EC" w:rsidP="00B957CC">
      <w:pPr>
        <w:pStyle w:val="SingleTxtG"/>
      </w:pPr>
      <w:r>
        <w:t>7.1</w:t>
      </w:r>
      <w:r w:rsidR="00C12350">
        <w:tab/>
      </w:r>
      <w:r w:rsidR="00B957CC" w:rsidRPr="00B3360D">
        <w:t>The Committee notes the State party’s assertion that there are no legal grounds for consideration of the author’s communication, insofar as it was registered in violation of the provisions of the Optional Protocol; that it has no obligation to recognize the Committee’s rules of procedure nor the Committee’s interpretation of the provisions of the Optional Protocol; and that any decision taken by the Committee on the present communication will be considered “invalid” by its authorities.</w:t>
      </w:r>
    </w:p>
    <w:p w:rsidR="00B957CC" w:rsidRPr="00B957CC" w:rsidRDefault="00B957CC" w:rsidP="0058244A">
      <w:pPr>
        <w:pStyle w:val="SingleTxtG"/>
        <w:rPr>
          <w:rFonts w:eastAsia="SimSun"/>
        </w:rPr>
      </w:pPr>
      <w:r>
        <w:rPr>
          <w:rFonts w:eastAsia="SimSun"/>
        </w:rPr>
        <w:t>7</w:t>
      </w:r>
      <w:r w:rsidRPr="00FC72FA">
        <w:rPr>
          <w:rFonts w:eastAsia="SimSun"/>
        </w:rPr>
        <w:t>.2</w:t>
      </w:r>
      <w:r w:rsidRPr="00FC72FA">
        <w:rPr>
          <w:rFonts w:eastAsia="SimSun"/>
        </w:rPr>
        <w:tab/>
      </w:r>
      <w:r w:rsidRPr="003D09FC">
        <w:t xml:space="preserve">The Committee recalls that under </w:t>
      </w:r>
      <w:r w:rsidR="0058244A">
        <w:t>article </w:t>
      </w:r>
      <w:r w:rsidRPr="003D09FC">
        <w:t xml:space="preserve">39, </w:t>
      </w:r>
      <w:r w:rsidR="0058244A">
        <w:t>paragraph </w:t>
      </w:r>
      <w:r w:rsidRPr="003D09FC">
        <w:t xml:space="preserve">2, of the Covenant, it is empowered to establish its own rules of procedure, which States parties have agreed to recognize. It further observes that, by adhering to the Optional Protocol, a State party to the Covenant recognizes the competence of the Committee to receive and consider communications from individuals claiming to be victims of violations of any of the rights set forth in the Covenant (preamble and </w:t>
      </w:r>
      <w:r w:rsidR="0058244A">
        <w:t>art. </w:t>
      </w:r>
      <w:r w:rsidRPr="003D09FC">
        <w:t>1 of the Optional Protocol). Implicit in a State’s adherence to the Optional Protocol is the undertaking to cooperate with the Committee in good faith so as to permit and enable it to consider such communications, and after examination thereof, to forward its Views to the State party and the individual (</w:t>
      </w:r>
      <w:r w:rsidR="0058244A">
        <w:t>art. </w:t>
      </w:r>
      <w:r w:rsidRPr="003D09FC">
        <w:t xml:space="preserve">5, </w:t>
      </w:r>
      <w:r w:rsidR="0058244A">
        <w:t>paras. </w:t>
      </w:r>
      <w:r w:rsidRPr="003D09FC">
        <w:t>1 and 4). It is incompatible with those obligations for a State party to take any action that would prevent or frustrate the Committee in its consideration and examination of the communication, and in the expression of its Views</w:t>
      </w:r>
      <w:r w:rsidR="0058244A">
        <w:t>.</w:t>
      </w:r>
      <w:r>
        <w:rPr>
          <w:rStyle w:val="FootnoteReference"/>
        </w:rPr>
        <w:footnoteReference w:id="7"/>
      </w:r>
      <w:r w:rsidRPr="003D09FC">
        <w:t xml:space="preserve"> It is up to the Committee to determine whether a communication should be registered. The Committee observes that, by failing to accept the competence of the Committee to determine whether a communication should be registered and by declaring beforehand that it will not accept the Committee’s determination on the admissibility or the merits of the communication, the State party is violating its obligations under </w:t>
      </w:r>
      <w:r w:rsidR="0058244A">
        <w:t>article </w:t>
      </w:r>
      <w:r w:rsidRPr="003D09FC">
        <w:t>1 of the Optional Protocol to the International Covenant on Civil and Political Rights.</w:t>
      </w:r>
      <w:r>
        <w:rPr>
          <w:rStyle w:val="FootnoteReference"/>
        </w:rPr>
        <w:footnoteReference w:id="8"/>
      </w:r>
    </w:p>
    <w:p w:rsidR="008216A5" w:rsidRPr="008216A5" w:rsidRDefault="008216A5" w:rsidP="00781C83">
      <w:pPr>
        <w:pStyle w:val="H4G"/>
      </w:pPr>
      <w:r w:rsidRPr="008216A5">
        <w:tab/>
      </w:r>
      <w:r w:rsidRPr="008216A5">
        <w:tab/>
        <w:t>Consideration of admissibility</w:t>
      </w:r>
    </w:p>
    <w:p w:rsidR="008216A5" w:rsidRPr="008216A5" w:rsidRDefault="00ED06EC" w:rsidP="00781C83">
      <w:pPr>
        <w:pStyle w:val="SingleTxtG"/>
        <w:rPr>
          <w:bCs/>
        </w:rPr>
      </w:pPr>
      <w:r>
        <w:rPr>
          <w:bCs/>
        </w:rPr>
        <w:t>8</w:t>
      </w:r>
      <w:r w:rsidR="008216A5" w:rsidRPr="008216A5">
        <w:rPr>
          <w:bCs/>
        </w:rPr>
        <w:t>.1</w:t>
      </w:r>
      <w:r w:rsidR="008216A5" w:rsidRPr="008216A5">
        <w:rPr>
          <w:bCs/>
        </w:rPr>
        <w:tab/>
        <w:t>Before considering any claim contained in a communication, the Human Rights Committee must</w:t>
      </w:r>
      <w:r w:rsidR="00015B96">
        <w:rPr>
          <w:bCs/>
        </w:rPr>
        <w:t xml:space="preserve"> decide</w:t>
      </w:r>
      <w:r w:rsidR="008216A5" w:rsidRPr="008216A5">
        <w:rPr>
          <w:bCs/>
        </w:rPr>
        <w:t>, in accordance with rule 93 of its rules of procedure, whether the communication is admissible under the Optional Protocol to the Covenant.</w:t>
      </w:r>
    </w:p>
    <w:p w:rsidR="008216A5" w:rsidRPr="008216A5" w:rsidRDefault="008216A5" w:rsidP="0058244A">
      <w:pPr>
        <w:pStyle w:val="SingleTxtG"/>
      </w:pPr>
      <w:r w:rsidRPr="008216A5">
        <w:t>8.2</w:t>
      </w:r>
      <w:r w:rsidRPr="008216A5">
        <w:tab/>
        <w:t xml:space="preserve">The Committee has ascertained, as required under </w:t>
      </w:r>
      <w:r w:rsidR="0058244A">
        <w:t>article </w:t>
      </w:r>
      <w:r w:rsidRPr="008216A5">
        <w:t xml:space="preserve">5, </w:t>
      </w:r>
      <w:r w:rsidR="0058244A">
        <w:t>paragraph </w:t>
      </w:r>
      <w:r w:rsidRPr="008216A5">
        <w:t>2</w:t>
      </w:r>
      <w:r w:rsidR="0058244A">
        <w:t> </w:t>
      </w:r>
      <w:r w:rsidRPr="008216A5">
        <w:t xml:space="preserve">(a), of the Optional Protocol, that the same matter is not being examined under another procedure of international investigation or settlement. </w:t>
      </w:r>
    </w:p>
    <w:p w:rsidR="008216A5" w:rsidRDefault="008216A5" w:rsidP="00D0193C">
      <w:pPr>
        <w:pStyle w:val="SingleTxtG"/>
      </w:pPr>
      <w:r w:rsidRPr="008216A5">
        <w:t>8.3</w:t>
      </w:r>
      <w:r w:rsidRPr="008216A5">
        <w:tab/>
        <w:t>T</w:t>
      </w:r>
      <w:r w:rsidRPr="008216A5">
        <w:rPr>
          <w:lang w:val="en-US"/>
        </w:rPr>
        <w:t xml:space="preserve">he Committee takes note of the State party’s </w:t>
      </w:r>
      <w:r w:rsidR="0068743C">
        <w:rPr>
          <w:lang w:val="en-US"/>
        </w:rPr>
        <w:t>contention</w:t>
      </w:r>
      <w:r w:rsidRPr="008216A5">
        <w:rPr>
          <w:lang w:val="en-US"/>
        </w:rPr>
        <w:t xml:space="preserve"> that the author </w:t>
      </w:r>
      <w:r w:rsidR="000E42FA">
        <w:rPr>
          <w:lang w:val="en-US"/>
        </w:rPr>
        <w:t>sh</w:t>
      </w:r>
      <w:r w:rsidRPr="008216A5">
        <w:rPr>
          <w:lang w:val="en-US"/>
        </w:rPr>
        <w:t xml:space="preserve">ould have requested the </w:t>
      </w:r>
      <w:r w:rsidR="0093428D">
        <w:rPr>
          <w:lang w:val="en-US"/>
        </w:rPr>
        <w:t xml:space="preserve">Office of the </w:t>
      </w:r>
      <w:r w:rsidRPr="008216A5">
        <w:rPr>
          <w:lang w:val="en-US"/>
        </w:rPr>
        <w:t>Prosecutor</w:t>
      </w:r>
      <w:r w:rsidR="0093428D">
        <w:rPr>
          <w:lang w:val="en-US"/>
        </w:rPr>
        <w:t>-</w:t>
      </w:r>
      <w:r w:rsidR="00806AAA">
        <w:rPr>
          <w:lang w:val="en-US"/>
        </w:rPr>
        <w:t>General</w:t>
      </w:r>
      <w:r w:rsidRPr="008216A5">
        <w:rPr>
          <w:lang w:val="en-US"/>
        </w:rPr>
        <w:t xml:space="preserve">, </w:t>
      </w:r>
      <w:r w:rsidR="0093428D">
        <w:rPr>
          <w:lang w:val="en-US"/>
        </w:rPr>
        <w:t>and</w:t>
      </w:r>
      <w:r w:rsidRPr="008216A5">
        <w:t xml:space="preserve"> </w:t>
      </w:r>
      <w:r w:rsidR="00551AB4">
        <w:t xml:space="preserve">the </w:t>
      </w:r>
      <w:r w:rsidRPr="008216A5">
        <w:t xml:space="preserve">Chairperson of the </w:t>
      </w:r>
      <w:r w:rsidR="00913616">
        <w:t>Supreme</w:t>
      </w:r>
      <w:r w:rsidRPr="008216A5">
        <w:t xml:space="preserve"> Court, to initiate a supervisory review of the </w:t>
      </w:r>
      <w:r w:rsidRPr="008216A5">
        <w:rPr>
          <w:lang w:val="en-US"/>
        </w:rPr>
        <w:t xml:space="preserve">decisions of the </w:t>
      </w:r>
      <w:r w:rsidR="0093428D">
        <w:t>d</w:t>
      </w:r>
      <w:r w:rsidRPr="008216A5">
        <w:t xml:space="preserve">istrict </w:t>
      </w:r>
      <w:r w:rsidR="0093428D">
        <w:t>c</w:t>
      </w:r>
      <w:r w:rsidRPr="008216A5">
        <w:t>ourt</w:t>
      </w:r>
      <w:r w:rsidR="00806AAA">
        <w:t>s</w:t>
      </w:r>
      <w:r w:rsidRPr="008216A5">
        <w:t xml:space="preserve"> and the </w:t>
      </w:r>
      <w:smartTag w:uri="urn:schemas-microsoft-com:office:smarttags" w:element="Street">
        <w:smartTag w:uri="urn:schemas-microsoft-com:office:smarttags" w:element="address">
          <w:r w:rsidR="00806AAA">
            <w:t>Regional Court</w:t>
          </w:r>
        </w:smartTag>
      </w:smartTag>
      <w:r w:rsidR="00913616">
        <w:t xml:space="preserve">. </w:t>
      </w:r>
      <w:r w:rsidR="00041994">
        <w:t>It</w:t>
      </w:r>
      <w:r w:rsidR="00913616">
        <w:t xml:space="preserve"> also takes note of the author’s </w:t>
      </w:r>
      <w:r w:rsidR="002B3F1E">
        <w:t xml:space="preserve">explanation </w:t>
      </w:r>
      <w:r w:rsidR="00913616">
        <w:t>that</w:t>
      </w:r>
      <w:r w:rsidR="000E42FA">
        <w:t xml:space="preserve"> </w:t>
      </w:r>
      <w:r w:rsidR="00025D41">
        <w:t xml:space="preserve">supervisory review proceedings </w:t>
      </w:r>
      <w:r w:rsidR="00CF22A4">
        <w:t>a</w:t>
      </w:r>
      <w:r w:rsidR="002B3F1E">
        <w:t xml:space="preserve">re neither </w:t>
      </w:r>
      <w:r w:rsidR="002B3F1E" w:rsidRPr="002B3F1E">
        <w:t>effective nor accessible</w:t>
      </w:r>
      <w:r w:rsidR="002B3F1E">
        <w:t xml:space="preserve">. </w:t>
      </w:r>
      <w:r w:rsidR="00CF22A4" w:rsidRPr="00CF22A4">
        <w:t xml:space="preserve">The Committee recalls its jurisprudence according to which a petition for supervisory review to a </w:t>
      </w:r>
      <w:r w:rsidR="00551AB4">
        <w:t>p</w:t>
      </w:r>
      <w:r w:rsidR="00CF22A4" w:rsidRPr="00CF22A4">
        <w:t>rosecutor</w:t>
      </w:r>
      <w:r w:rsidR="0058244A">
        <w:rPr>
          <w:rFonts w:hint="eastAsia"/>
        </w:rPr>
        <w:t>’</w:t>
      </w:r>
      <w:r w:rsidR="00CF22A4" w:rsidRPr="00CF22A4">
        <w:t xml:space="preserve">s </w:t>
      </w:r>
      <w:r w:rsidR="00551AB4">
        <w:t>o</w:t>
      </w:r>
      <w:r w:rsidR="00CF22A4" w:rsidRPr="00CF22A4">
        <w:t>ffice against a judg</w:t>
      </w:r>
      <w:r w:rsidR="00551AB4">
        <w:t>e</w:t>
      </w:r>
      <w:r w:rsidR="00CF22A4" w:rsidRPr="00CF22A4">
        <w:t xml:space="preserve">ment having the force of res judicata does not constitute an effective remedy which has to be exhausted for the purposes of </w:t>
      </w:r>
      <w:r w:rsidR="0058244A">
        <w:t>article </w:t>
      </w:r>
      <w:r w:rsidR="00CF22A4" w:rsidRPr="00CF22A4">
        <w:t xml:space="preserve">5, </w:t>
      </w:r>
      <w:r w:rsidR="0058244A">
        <w:t>paragraph </w:t>
      </w:r>
      <w:r w:rsidR="00CF22A4" w:rsidRPr="00CF22A4">
        <w:t>2</w:t>
      </w:r>
      <w:r w:rsidR="0058244A">
        <w:t> </w:t>
      </w:r>
      <w:r w:rsidR="00CF22A4" w:rsidRPr="00CF22A4">
        <w:t>(b), of the Optional Protocol.</w:t>
      </w:r>
      <w:r w:rsidR="0058244A">
        <w:t xml:space="preserve"> </w:t>
      </w:r>
      <w:r w:rsidR="00CF22A4" w:rsidRPr="00CF22A4">
        <w:t xml:space="preserve">It also considers that filing requests for supervisory review to the </w:t>
      </w:r>
      <w:r w:rsidR="00D0193C">
        <w:t>chairperson</w:t>
      </w:r>
      <w:r w:rsidR="00CF22A4" w:rsidRPr="00CF22A4">
        <w:t xml:space="preserve"> of a court </w:t>
      </w:r>
      <w:r w:rsidR="001A61E6">
        <w:t xml:space="preserve">that are </w:t>
      </w:r>
      <w:r w:rsidR="00CF22A4" w:rsidRPr="00CF22A4">
        <w:t xml:space="preserve">directed against </w:t>
      </w:r>
      <w:r w:rsidR="00CF22A4" w:rsidRPr="00CF22A4">
        <w:lastRenderedPageBreak/>
        <w:t xml:space="preserve">court decisions which have entered into force and </w:t>
      </w:r>
      <w:r w:rsidR="001A61E6">
        <w:t xml:space="preserve">that </w:t>
      </w:r>
      <w:r w:rsidR="00CF22A4" w:rsidRPr="00CF22A4">
        <w:t>depend on the discretionary power of a judge constitute</w:t>
      </w:r>
      <w:r w:rsidR="00533871">
        <w:t>s</w:t>
      </w:r>
      <w:r w:rsidR="00CF22A4" w:rsidRPr="00CF22A4">
        <w:t xml:space="preserve"> an extraordinary remedy</w:t>
      </w:r>
      <w:r w:rsidR="001A61E6">
        <w:t>,</w:t>
      </w:r>
      <w:r w:rsidR="00CF22A4" w:rsidRPr="00CF22A4">
        <w:t xml:space="preserve"> and that the State party must show that there is a reasonable prospect that such requests would provide an effective remedy in the circumstances of the case.</w:t>
      </w:r>
      <w:r w:rsidR="0058244A">
        <w:t xml:space="preserve"> </w:t>
      </w:r>
      <w:r w:rsidR="00CF22A4" w:rsidRPr="00CF22A4">
        <w:t xml:space="preserve">The State party has not shown, however, whether and in how many cases </w:t>
      </w:r>
      <w:r w:rsidR="00497604">
        <w:t>a</w:t>
      </w:r>
      <w:r w:rsidR="00CF22A4" w:rsidRPr="00CF22A4">
        <w:t xml:space="preserve"> petition to the </w:t>
      </w:r>
      <w:r w:rsidR="00CB3842">
        <w:t>Chairperson</w:t>
      </w:r>
      <w:r w:rsidR="00CF22A4" w:rsidRPr="00CF22A4">
        <w:t xml:space="preserve"> of the Supreme Court for supervisory review procedures </w:t>
      </w:r>
      <w:r w:rsidR="00497604">
        <w:t>was</w:t>
      </w:r>
      <w:r w:rsidR="00CF22A4" w:rsidRPr="00CF22A4">
        <w:t xml:space="preserve"> applied successfully in cases concerning the right to </w:t>
      </w:r>
      <w:r w:rsidR="00CF22A4">
        <w:t>freedom of expression</w:t>
      </w:r>
      <w:r w:rsidR="00CF22A4" w:rsidRPr="00CF22A4">
        <w:t xml:space="preserve">. In such circumstances the Committee finds that </w:t>
      </w:r>
      <w:r w:rsidR="0058244A">
        <w:t>article </w:t>
      </w:r>
      <w:r w:rsidR="00CF22A4" w:rsidRPr="00CF22A4">
        <w:t xml:space="preserve">5, </w:t>
      </w:r>
      <w:r w:rsidR="0058244A">
        <w:t>paragraph </w:t>
      </w:r>
      <w:r w:rsidR="00CF22A4" w:rsidRPr="00CF22A4">
        <w:t>2</w:t>
      </w:r>
      <w:r w:rsidR="0058244A">
        <w:t> </w:t>
      </w:r>
      <w:r w:rsidR="00CF22A4" w:rsidRPr="00CF22A4">
        <w:t>(b), of the Optional Protocol does not preclude it from considering the communication.</w:t>
      </w:r>
    </w:p>
    <w:p w:rsidR="00AC1844" w:rsidRPr="008216A5" w:rsidRDefault="00AC1844" w:rsidP="007925AE">
      <w:pPr>
        <w:pStyle w:val="SingleTxtG"/>
      </w:pPr>
      <w:r>
        <w:t>8.4</w:t>
      </w:r>
      <w:r>
        <w:tab/>
      </w:r>
      <w:r w:rsidR="007925AE" w:rsidRPr="007925AE">
        <w:t xml:space="preserve">The Committee notes </w:t>
      </w:r>
      <w:r w:rsidR="007925AE">
        <w:t xml:space="preserve">the author’s claim that his rights under </w:t>
      </w:r>
      <w:r w:rsidR="0058244A">
        <w:t>article </w:t>
      </w:r>
      <w:r w:rsidR="007925AE">
        <w:t xml:space="preserve">19, </w:t>
      </w:r>
      <w:r w:rsidR="0058244A">
        <w:t>paragraph </w:t>
      </w:r>
      <w:r w:rsidR="007925AE">
        <w:t xml:space="preserve">1, of the Covenant have been violated. It notes, however, that the author has not provided any explanation in this connection. In the circumstances, the </w:t>
      </w:r>
      <w:r w:rsidR="007925AE" w:rsidRPr="007925AE">
        <w:t xml:space="preserve">Committee considers that </w:t>
      </w:r>
      <w:r w:rsidR="007925AE">
        <w:t xml:space="preserve">he </w:t>
      </w:r>
      <w:r w:rsidR="007925AE" w:rsidRPr="007925AE">
        <w:t xml:space="preserve">has failed to sufficiently substantiate this particular claim for purposes of admissibility, and declares this part of the communication inadmissible under </w:t>
      </w:r>
      <w:r w:rsidR="0058244A">
        <w:t>article </w:t>
      </w:r>
      <w:r w:rsidR="007925AE" w:rsidRPr="007925AE">
        <w:t xml:space="preserve">2 of the Optional Protocol. </w:t>
      </w:r>
    </w:p>
    <w:p w:rsidR="00326066" w:rsidRDefault="008216A5" w:rsidP="00781C83">
      <w:pPr>
        <w:pStyle w:val="SingleTxtG"/>
        <w:rPr>
          <w:lang w:val="en-US"/>
        </w:rPr>
      </w:pPr>
      <w:r w:rsidRPr="008216A5">
        <w:rPr>
          <w:lang w:val="en-US"/>
        </w:rPr>
        <w:t>8.</w:t>
      </w:r>
      <w:r w:rsidR="00AC1844">
        <w:rPr>
          <w:lang w:val="en-US"/>
        </w:rPr>
        <w:t>5</w:t>
      </w:r>
      <w:r w:rsidRPr="008216A5">
        <w:rPr>
          <w:lang w:val="en-US"/>
        </w:rPr>
        <w:tab/>
      </w:r>
      <w:r w:rsidR="00326066">
        <w:rPr>
          <w:lang w:val="en-US"/>
        </w:rPr>
        <w:t xml:space="preserve">The Committee further notes the </w:t>
      </w:r>
      <w:r w:rsidR="00497604">
        <w:rPr>
          <w:lang w:val="en-US"/>
        </w:rPr>
        <w:t xml:space="preserve">claim the </w:t>
      </w:r>
      <w:r w:rsidR="00326066">
        <w:rPr>
          <w:lang w:val="en-US"/>
        </w:rPr>
        <w:t>author</w:t>
      </w:r>
      <w:r w:rsidR="00497604">
        <w:rPr>
          <w:lang w:val="en-US"/>
        </w:rPr>
        <w:t xml:space="preserve"> has made</w:t>
      </w:r>
      <w:r w:rsidR="00326066">
        <w:rPr>
          <w:lang w:val="en-US"/>
        </w:rPr>
        <w:t xml:space="preserve"> under </w:t>
      </w:r>
      <w:r w:rsidR="0058244A">
        <w:rPr>
          <w:lang w:val="en-US"/>
        </w:rPr>
        <w:t>article </w:t>
      </w:r>
      <w:r w:rsidR="00326066">
        <w:rPr>
          <w:lang w:val="en-US"/>
        </w:rPr>
        <w:t xml:space="preserve">19, read together with </w:t>
      </w:r>
      <w:r w:rsidR="0058244A">
        <w:rPr>
          <w:lang w:val="en-US"/>
        </w:rPr>
        <w:t>article </w:t>
      </w:r>
      <w:r w:rsidR="00326066">
        <w:rPr>
          <w:lang w:val="en-US"/>
        </w:rPr>
        <w:t xml:space="preserve">2, </w:t>
      </w:r>
      <w:r w:rsidR="0058244A">
        <w:rPr>
          <w:lang w:val="en-US"/>
        </w:rPr>
        <w:t>paragraph </w:t>
      </w:r>
      <w:r w:rsidR="00326066">
        <w:rPr>
          <w:lang w:val="en-US"/>
        </w:rPr>
        <w:t xml:space="preserve">2, of the Covenant, without providing further explanations thereon. In the circumstances, the Committee considers that the author has failed to sufficiently substantiate his claim, for purposes of admissibility, and declares this part of the communication inadmissible under </w:t>
      </w:r>
      <w:r w:rsidR="0058244A">
        <w:rPr>
          <w:lang w:val="en-US"/>
        </w:rPr>
        <w:t>article </w:t>
      </w:r>
      <w:r w:rsidR="00326066">
        <w:rPr>
          <w:lang w:val="en-US"/>
        </w:rPr>
        <w:t>2 of the Optional Protocol.</w:t>
      </w:r>
      <w:r w:rsidR="0058244A">
        <w:rPr>
          <w:lang w:val="en-US"/>
        </w:rPr>
        <w:t xml:space="preserve"> </w:t>
      </w:r>
    </w:p>
    <w:p w:rsidR="008216A5" w:rsidRPr="008216A5" w:rsidRDefault="00326066" w:rsidP="00781C83">
      <w:pPr>
        <w:pStyle w:val="SingleTxtG"/>
        <w:rPr>
          <w:lang w:val="en-US"/>
        </w:rPr>
      </w:pPr>
      <w:r>
        <w:rPr>
          <w:lang w:val="en-US"/>
        </w:rPr>
        <w:t xml:space="preserve">8.6 </w:t>
      </w:r>
      <w:r w:rsidR="00E54856">
        <w:rPr>
          <w:lang w:val="en-US"/>
        </w:rPr>
        <w:tab/>
      </w:r>
      <w:r w:rsidR="008216A5" w:rsidRPr="008216A5">
        <w:rPr>
          <w:lang w:val="en-US"/>
        </w:rPr>
        <w:t xml:space="preserve">The Committee considers that the author has sufficiently substantiated his claim under </w:t>
      </w:r>
      <w:r w:rsidR="0058244A">
        <w:rPr>
          <w:lang w:val="en-US"/>
        </w:rPr>
        <w:t>article </w:t>
      </w:r>
      <w:r w:rsidR="00806AAA">
        <w:rPr>
          <w:lang w:val="en-US"/>
        </w:rPr>
        <w:t>19</w:t>
      </w:r>
      <w:r w:rsidR="008216A5" w:rsidRPr="008216A5">
        <w:rPr>
          <w:lang w:val="en-US"/>
        </w:rPr>
        <w:t xml:space="preserve">, </w:t>
      </w:r>
      <w:r w:rsidR="0058244A">
        <w:rPr>
          <w:lang w:val="en-US"/>
        </w:rPr>
        <w:t>paragraph </w:t>
      </w:r>
      <w:r w:rsidR="00AC1844">
        <w:rPr>
          <w:lang w:val="en-US"/>
        </w:rPr>
        <w:t>2,</w:t>
      </w:r>
      <w:r w:rsidR="00002D81">
        <w:rPr>
          <w:lang w:val="en-US"/>
        </w:rPr>
        <w:t xml:space="preserve"> </w:t>
      </w:r>
      <w:r w:rsidR="00806AAA">
        <w:rPr>
          <w:lang w:val="en-US"/>
        </w:rPr>
        <w:t xml:space="preserve">in conjunction with </w:t>
      </w:r>
      <w:r w:rsidR="0058244A">
        <w:rPr>
          <w:lang w:val="en-US"/>
        </w:rPr>
        <w:t>article </w:t>
      </w:r>
      <w:r w:rsidR="00806AAA">
        <w:rPr>
          <w:lang w:val="en-US"/>
        </w:rPr>
        <w:t xml:space="preserve">2, paragraph 3, </w:t>
      </w:r>
      <w:r w:rsidR="00806AAA" w:rsidRPr="008216A5">
        <w:rPr>
          <w:lang w:val="en-US"/>
        </w:rPr>
        <w:t>of the Covenant</w:t>
      </w:r>
      <w:r w:rsidR="00806AAA">
        <w:rPr>
          <w:lang w:val="en-US"/>
        </w:rPr>
        <w:t>,</w:t>
      </w:r>
      <w:r w:rsidR="00806AAA" w:rsidRPr="008216A5">
        <w:rPr>
          <w:lang w:val="en-US"/>
        </w:rPr>
        <w:t xml:space="preserve"> </w:t>
      </w:r>
      <w:r w:rsidR="008216A5" w:rsidRPr="008216A5">
        <w:rPr>
          <w:lang w:val="en-US"/>
        </w:rPr>
        <w:t xml:space="preserve">for purposes of admissibility. Accordingly, it declares </w:t>
      </w:r>
      <w:r w:rsidR="0022501D">
        <w:rPr>
          <w:lang w:val="en-US"/>
        </w:rPr>
        <w:t>the communication</w:t>
      </w:r>
      <w:r w:rsidR="008216A5" w:rsidRPr="008216A5">
        <w:rPr>
          <w:lang w:val="en-US"/>
        </w:rPr>
        <w:t xml:space="preserve"> admissible and proceeds to its examination on the merits. </w:t>
      </w:r>
    </w:p>
    <w:p w:rsidR="008216A5" w:rsidRPr="008216A5" w:rsidRDefault="008216A5" w:rsidP="00781C83">
      <w:pPr>
        <w:pStyle w:val="H4G"/>
      </w:pPr>
      <w:r w:rsidRPr="008216A5">
        <w:tab/>
      </w:r>
      <w:r w:rsidRPr="008216A5">
        <w:tab/>
        <w:t>Consideration of the merits</w:t>
      </w:r>
    </w:p>
    <w:p w:rsidR="008216A5" w:rsidRPr="008216A5" w:rsidRDefault="008216A5" w:rsidP="00262263">
      <w:pPr>
        <w:pStyle w:val="SingleTxtG"/>
      </w:pPr>
      <w:r w:rsidRPr="008216A5">
        <w:t>9.1</w:t>
      </w:r>
      <w:r w:rsidRPr="008216A5">
        <w:tab/>
        <w:t xml:space="preserve">The Human Rights Committee has considered the communication in </w:t>
      </w:r>
      <w:r w:rsidR="001E6C07">
        <w:t xml:space="preserve">the </w:t>
      </w:r>
      <w:r w:rsidRPr="008216A5">
        <w:t xml:space="preserve">light of all the information made available to it by the parties, as </w:t>
      </w:r>
      <w:r w:rsidR="00262263">
        <w:t>required</w:t>
      </w:r>
      <w:r w:rsidR="00262263" w:rsidRPr="008216A5">
        <w:t xml:space="preserve"> </w:t>
      </w:r>
      <w:r w:rsidRPr="008216A5">
        <w:t xml:space="preserve">under </w:t>
      </w:r>
      <w:r w:rsidR="0058244A">
        <w:t>article </w:t>
      </w:r>
      <w:r w:rsidRPr="008216A5">
        <w:t xml:space="preserve">5, </w:t>
      </w:r>
      <w:r w:rsidR="0058244A">
        <w:t>paragraph </w:t>
      </w:r>
      <w:r w:rsidRPr="008216A5">
        <w:t>1, of the Optional Protocol.</w:t>
      </w:r>
    </w:p>
    <w:p w:rsidR="002F14CA" w:rsidRDefault="008216A5" w:rsidP="00262263">
      <w:pPr>
        <w:pStyle w:val="SingleTxtG"/>
      </w:pPr>
      <w:r w:rsidRPr="008216A5">
        <w:t>9.2.</w:t>
      </w:r>
      <w:r w:rsidRPr="008216A5">
        <w:tab/>
      </w:r>
      <w:r w:rsidR="00AC1844">
        <w:t>The Committee notes the author</w:t>
      </w:r>
      <w:r w:rsidR="0058244A">
        <w:rPr>
          <w:rFonts w:hint="eastAsia"/>
        </w:rPr>
        <w:t>’</w:t>
      </w:r>
      <w:r w:rsidR="00AC1844">
        <w:t>s claim that the administrative penalty imposed on h</w:t>
      </w:r>
      <w:r w:rsidR="002F14CA">
        <w:t>im,</w:t>
      </w:r>
      <w:r w:rsidR="00AC1844">
        <w:t xml:space="preserve"> for </w:t>
      </w:r>
      <w:r w:rsidR="002F14CA">
        <w:t xml:space="preserve">orally </w:t>
      </w:r>
      <w:r w:rsidR="000E42FA">
        <w:t>calling</w:t>
      </w:r>
      <w:r w:rsidR="002F14CA">
        <w:t xml:space="preserve"> citizens to participate in an upcoming peaceful street rally and for distributing leaflets </w:t>
      </w:r>
      <w:r w:rsidR="00262263">
        <w:t>containing information</w:t>
      </w:r>
      <w:r w:rsidR="00262263" w:rsidRPr="00D04B04">
        <w:t xml:space="preserve"> </w:t>
      </w:r>
      <w:r w:rsidR="002F14CA" w:rsidRPr="00D04B04">
        <w:t>about a</w:t>
      </w:r>
      <w:r w:rsidR="002F14CA">
        <w:t>n upcoming</w:t>
      </w:r>
      <w:r w:rsidR="002F14CA" w:rsidRPr="00D04B04">
        <w:t xml:space="preserve"> peaceful gathering</w:t>
      </w:r>
      <w:r w:rsidR="002F14CA">
        <w:t xml:space="preserve"> </w:t>
      </w:r>
      <w:r w:rsidR="000E42FA">
        <w:t>prior to</w:t>
      </w:r>
      <w:r w:rsidR="00AC1844">
        <w:t xml:space="preserve"> </w:t>
      </w:r>
      <w:r w:rsidR="002F14CA">
        <w:t xml:space="preserve">obtaining </w:t>
      </w:r>
      <w:r w:rsidR="009812E7">
        <w:t xml:space="preserve">official </w:t>
      </w:r>
      <w:r w:rsidR="002F14CA">
        <w:t>authori</w:t>
      </w:r>
      <w:r w:rsidR="00262263">
        <w:t>z</w:t>
      </w:r>
      <w:r w:rsidR="002F14CA">
        <w:t xml:space="preserve">ation to hold the events in question as required under the domestic law, </w:t>
      </w:r>
      <w:r w:rsidR="00AC1844">
        <w:t>constitutes an unjustified restriction on h</w:t>
      </w:r>
      <w:r w:rsidR="002F14CA">
        <w:t>is</w:t>
      </w:r>
      <w:r w:rsidR="00AC1844">
        <w:t xml:space="preserve"> freedom to impart information, as protected by </w:t>
      </w:r>
      <w:r w:rsidR="0058244A">
        <w:t>article </w:t>
      </w:r>
      <w:r w:rsidR="00AC1844">
        <w:t xml:space="preserve">19, </w:t>
      </w:r>
      <w:r w:rsidR="0058244A">
        <w:t>paragraph </w:t>
      </w:r>
      <w:r w:rsidR="00AC1844">
        <w:t xml:space="preserve">2, of the Covenant. </w:t>
      </w:r>
      <w:r w:rsidR="000D0A22">
        <w:t>It also notes that the State party has not provided any justification as to the necessity to restrict the author’s rights in the case at issue.</w:t>
      </w:r>
    </w:p>
    <w:p w:rsidR="00AC1844" w:rsidRDefault="000D0A22" w:rsidP="0058244A">
      <w:pPr>
        <w:pStyle w:val="SingleTxtG"/>
      </w:pPr>
      <w:r>
        <w:t>9.3</w:t>
      </w:r>
      <w:r>
        <w:tab/>
        <w:t>T</w:t>
      </w:r>
      <w:r w:rsidR="00AC1844">
        <w:t>he Committee has to consider</w:t>
      </w:r>
      <w:r w:rsidR="009812E7">
        <w:t xml:space="preserve"> </w:t>
      </w:r>
      <w:r w:rsidR="00AC1844">
        <w:t>whether the restrictions imposed on the author</w:t>
      </w:r>
      <w:r w:rsidR="00262263">
        <w:t>’</w:t>
      </w:r>
      <w:r w:rsidR="00AC1844">
        <w:t xml:space="preserve">s right to freedom of expression are justified under any of the criteria set out in </w:t>
      </w:r>
      <w:r w:rsidR="0058244A">
        <w:t>article </w:t>
      </w:r>
      <w:r w:rsidR="00AC1844">
        <w:t xml:space="preserve">19, </w:t>
      </w:r>
      <w:r w:rsidR="0058244A">
        <w:t>paragraph </w:t>
      </w:r>
      <w:r w:rsidR="00AC1844">
        <w:t xml:space="preserve">3. The Committee observes that </w:t>
      </w:r>
      <w:r w:rsidR="0058244A">
        <w:t>article </w:t>
      </w:r>
      <w:r w:rsidR="00AC1844">
        <w:t xml:space="preserve">19 provides for certain restrictions </w:t>
      </w:r>
      <w:r w:rsidR="009812E7">
        <w:t xml:space="preserve">but </w:t>
      </w:r>
      <w:r w:rsidR="00AC1844">
        <w:t>only as pro</w:t>
      </w:r>
      <w:r w:rsidR="00017EE7">
        <w:t>vided by law and necessary: (a) </w:t>
      </w:r>
      <w:r w:rsidR="00AC1844">
        <w:t>for respect of the rights an</w:t>
      </w:r>
      <w:r w:rsidR="00017EE7">
        <w:t>d reputation of others; and (b) </w:t>
      </w:r>
      <w:r w:rsidR="00AC1844">
        <w:t xml:space="preserve">for the protection of national security or </w:t>
      </w:r>
      <w:r w:rsidR="00262263">
        <w:t xml:space="preserve">of </w:t>
      </w:r>
      <w:r w:rsidR="00AC1844">
        <w:t xml:space="preserve">public order </w:t>
      </w:r>
      <w:r w:rsidR="00AC1844" w:rsidRPr="00017EE7">
        <w:rPr>
          <w:iCs/>
        </w:rPr>
        <w:t>(</w:t>
      </w:r>
      <w:r w:rsidR="00AC1844" w:rsidRPr="000D0A22">
        <w:rPr>
          <w:i/>
        </w:rPr>
        <w:t>ordre public</w:t>
      </w:r>
      <w:r w:rsidR="00AC1844" w:rsidRPr="00017EE7">
        <w:rPr>
          <w:iCs/>
        </w:rPr>
        <w:t>)</w:t>
      </w:r>
      <w:r w:rsidR="00AC1844">
        <w:t>, or of public health or morals. It recalls that freedom of opinion and freedom of expression are indispensable conditions for the full development of the person; such freedoms are essential for any society and constitute the foundation stone for every free and democratic society.</w:t>
      </w:r>
      <w:r>
        <w:rPr>
          <w:rStyle w:val="FootnoteReference"/>
        </w:rPr>
        <w:footnoteReference w:id="9"/>
      </w:r>
      <w:r w:rsidR="00AC1844">
        <w:t xml:space="preserve"> Any restrictions to the exercise of such freedoms must conform to strict tests of necessity </w:t>
      </w:r>
      <w:r w:rsidR="00AC1844">
        <w:lastRenderedPageBreak/>
        <w:t>and proportionality</w:t>
      </w:r>
      <w:r w:rsidR="00262263">
        <w:t>,</w:t>
      </w:r>
      <w:r w:rsidR="00AC1844">
        <w:t xml:space="preserve"> </w:t>
      </w:r>
      <w:r w:rsidR="00262263">
        <w:t xml:space="preserve">must </w:t>
      </w:r>
      <w:r w:rsidR="00AC1844">
        <w:t>be applied only for those purposes for which they were prescribed and must be directly related to the specific need on which they are predic</w:t>
      </w:r>
      <w:r w:rsidR="0058244A">
        <w:t>ated.</w:t>
      </w:r>
      <w:r w:rsidR="00F91FD2">
        <w:rPr>
          <w:rStyle w:val="FootnoteReference"/>
        </w:rPr>
        <w:footnoteReference w:id="10"/>
      </w:r>
      <w:r w:rsidR="00AC1844">
        <w:t xml:space="preserve"> </w:t>
      </w:r>
    </w:p>
    <w:p w:rsidR="00027A45" w:rsidRDefault="00CC664C" w:rsidP="00027A45">
      <w:pPr>
        <w:pStyle w:val="SingleTxtG"/>
      </w:pPr>
      <w:r>
        <w:t>9.4</w:t>
      </w:r>
      <w:r>
        <w:tab/>
        <w:t xml:space="preserve">In this regard, the Committee notes that the State party has not attempted to address the restrictions imposed in the author’s case and, in particular, to explain why it was necessary, under domestic law and </w:t>
      </w:r>
      <w:r w:rsidRPr="00CC664C">
        <w:t xml:space="preserve">for one of the legitimate purposes set out in </w:t>
      </w:r>
      <w:r w:rsidR="0058244A">
        <w:t>article </w:t>
      </w:r>
      <w:r w:rsidRPr="00CC664C">
        <w:t xml:space="preserve">19, </w:t>
      </w:r>
      <w:r w:rsidR="0058244A">
        <w:t>paragraph </w:t>
      </w:r>
      <w:r w:rsidRPr="00CC664C">
        <w:t>3,</w:t>
      </w:r>
      <w:r>
        <w:t xml:space="preserve"> of the Covenant, to obtain authori</w:t>
      </w:r>
      <w:r w:rsidR="00D965B7">
        <w:t>z</w:t>
      </w:r>
      <w:r>
        <w:t>ation prior to disseminating</w:t>
      </w:r>
      <w:r w:rsidR="00746F1E">
        <w:t xml:space="preserve"> information, orally and in writing, </w:t>
      </w:r>
      <w:r>
        <w:t xml:space="preserve">about </w:t>
      </w:r>
      <w:r w:rsidR="00B0282C">
        <w:t xml:space="preserve">the </w:t>
      </w:r>
      <w:r>
        <w:t>upcoming peaceful gathering</w:t>
      </w:r>
      <w:r w:rsidR="00746F1E">
        <w:t>s</w:t>
      </w:r>
      <w:r>
        <w:t xml:space="preserve">. </w:t>
      </w:r>
      <w:r w:rsidR="00746F1E">
        <w:t>I</w:t>
      </w:r>
      <w:r w:rsidRPr="00CC664C">
        <w:t xml:space="preserve">n the absence of any </w:t>
      </w:r>
      <w:r w:rsidR="00BE2C31">
        <w:t xml:space="preserve">other </w:t>
      </w:r>
      <w:r w:rsidR="00BE2C31" w:rsidRPr="00685FA6">
        <w:t>pertinent explanations from the State party</w:t>
      </w:r>
      <w:r w:rsidR="00BE2C31">
        <w:t xml:space="preserve">, </w:t>
      </w:r>
      <w:r w:rsidR="00A1776E">
        <w:t xml:space="preserve">the Committee </w:t>
      </w:r>
      <w:r w:rsidR="00746F1E">
        <w:t>gives due weight to the author’s argument</w:t>
      </w:r>
      <w:r w:rsidR="009812E7">
        <w:t>ation</w:t>
      </w:r>
      <w:r w:rsidR="00746F1E">
        <w:t xml:space="preserve">, which is confirmed by the court decisions made available to it, that </w:t>
      </w:r>
      <w:r w:rsidR="00027A45">
        <w:t xml:space="preserve">no explanation was provided by the domestic courts as to the necessity to restrict his right to impart information, in line with </w:t>
      </w:r>
      <w:r w:rsidR="0058244A">
        <w:t>article </w:t>
      </w:r>
      <w:r w:rsidR="00027A45">
        <w:t xml:space="preserve">19, </w:t>
      </w:r>
      <w:r w:rsidR="0058244A">
        <w:t>paragraph </w:t>
      </w:r>
      <w:r w:rsidR="00027A45">
        <w:t>3, of the Covenant.</w:t>
      </w:r>
    </w:p>
    <w:p w:rsidR="00BE2C31" w:rsidRPr="008216A5" w:rsidRDefault="00027A45" w:rsidP="0058244A">
      <w:pPr>
        <w:pStyle w:val="SingleTxtG"/>
      </w:pPr>
      <w:r>
        <w:t>9.5</w:t>
      </w:r>
      <w:r>
        <w:tab/>
        <w:t xml:space="preserve">In </w:t>
      </w:r>
      <w:r w:rsidR="00D965B7">
        <w:t xml:space="preserve">the </w:t>
      </w:r>
      <w:r>
        <w:t xml:space="preserve">light of the above, the Committee </w:t>
      </w:r>
      <w:r w:rsidR="009812E7">
        <w:t>concludes</w:t>
      </w:r>
      <w:r w:rsidR="00A1776E">
        <w:t xml:space="preserve"> that the author</w:t>
      </w:r>
      <w:r w:rsidR="0058244A">
        <w:t>’</w:t>
      </w:r>
      <w:r w:rsidR="00A1776E">
        <w:t xml:space="preserve">s rights under </w:t>
      </w:r>
      <w:r w:rsidR="0058244A">
        <w:t>article </w:t>
      </w:r>
      <w:r w:rsidR="00A1776E">
        <w:t xml:space="preserve">19, </w:t>
      </w:r>
      <w:r w:rsidR="0058244A">
        <w:t>paragraph </w:t>
      </w:r>
      <w:r w:rsidR="00A1776E">
        <w:t xml:space="preserve">2, of the Covenant, in conjunction with </w:t>
      </w:r>
      <w:r w:rsidR="0058244A">
        <w:t>article </w:t>
      </w:r>
      <w:r w:rsidR="00A1776E">
        <w:t>2, paragraph</w:t>
      </w:r>
      <w:r w:rsidR="0058244A">
        <w:t> </w:t>
      </w:r>
      <w:r w:rsidR="00A1776E">
        <w:t>3</w:t>
      </w:r>
      <w:r w:rsidR="00580B8E">
        <w:t>,</w:t>
      </w:r>
      <w:r w:rsidR="00A1776E">
        <w:t xml:space="preserve"> of the Covenant, did not receive effective protection. Accordingly, the Committee finds that </w:t>
      </w:r>
      <w:r w:rsidR="00BE2C31" w:rsidRPr="008216A5">
        <w:t>the facts as submitted reveal a violation, by the State party, of the author</w:t>
      </w:r>
      <w:r w:rsidR="0058244A">
        <w:rPr>
          <w:rFonts w:hint="eastAsia"/>
        </w:rPr>
        <w:t>’</w:t>
      </w:r>
      <w:r w:rsidR="00BE2C31" w:rsidRPr="008216A5">
        <w:t xml:space="preserve">s rights under </w:t>
      </w:r>
      <w:r w:rsidR="0058244A">
        <w:t>article </w:t>
      </w:r>
      <w:r w:rsidR="00BE2C31">
        <w:t xml:space="preserve">19, </w:t>
      </w:r>
      <w:r w:rsidR="0058244A">
        <w:t>paragraph </w:t>
      </w:r>
      <w:r w:rsidR="00BE2C31">
        <w:t>2,</w:t>
      </w:r>
      <w:r w:rsidR="00BE2C31" w:rsidRPr="008216A5">
        <w:t xml:space="preserve"> </w:t>
      </w:r>
      <w:r w:rsidR="007812BA">
        <w:t xml:space="preserve">in conjunction with </w:t>
      </w:r>
      <w:r w:rsidR="0058244A">
        <w:t>article </w:t>
      </w:r>
      <w:r w:rsidR="007812BA">
        <w:t>2, paragraph</w:t>
      </w:r>
      <w:r w:rsidR="0058244A">
        <w:t> </w:t>
      </w:r>
      <w:r w:rsidR="007812BA">
        <w:t>3,</w:t>
      </w:r>
      <w:r w:rsidR="007812BA" w:rsidRPr="008216A5">
        <w:t xml:space="preserve"> </w:t>
      </w:r>
      <w:r w:rsidR="00BE2C31" w:rsidRPr="008216A5">
        <w:t xml:space="preserve">of the Covenant. </w:t>
      </w:r>
    </w:p>
    <w:p w:rsidR="008216A5" w:rsidRPr="008216A5" w:rsidRDefault="008216A5" w:rsidP="0058244A">
      <w:pPr>
        <w:pStyle w:val="SingleTxtG"/>
      </w:pPr>
      <w:r w:rsidRPr="008216A5">
        <w:t>10.</w:t>
      </w:r>
      <w:r w:rsidRPr="008216A5">
        <w:tab/>
        <w:t xml:space="preserve">The Human Rights Committee, acting under </w:t>
      </w:r>
      <w:r w:rsidR="0058244A">
        <w:t>article </w:t>
      </w:r>
      <w:r w:rsidRPr="008216A5">
        <w:t xml:space="preserve">5, </w:t>
      </w:r>
      <w:r w:rsidR="0058244A">
        <w:t>paragraph </w:t>
      </w:r>
      <w:r w:rsidRPr="008216A5">
        <w:t xml:space="preserve">4, of the Optional Protocol to the International Covenant on Civil and Political Rights, is of the view that the </w:t>
      </w:r>
      <w:r w:rsidR="00AF3327">
        <w:t xml:space="preserve">facts as submitted reveal a violation of </w:t>
      </w:r>
      <w:r w:rsidRPr="008216A5">
        <w:t>the author’s right</w:t>
      </w:r>
      <w:r w:rsidR="007812BA">
        <w:t>s</w:t>
      </w:r>
      <w:r w:rsidRPr="008216A5">
        <w:t xml:space="preserve"> under </w:t>
      </w:r>
      <w:r w:rsidR="0058244A">
        <w:t>article </w:t>
      </w:r>
      <w:r w:rsidR="007812BA">
        <w:t xml:space="preserve">19, </w:t>
      </w:r>
      <w:r w:rsidR="0058244A">
        <w:t>paragraph </w:t>
      </w:r>
      <w:r w:rsidR="007812BA">
        <w:t>2,</w:t>
      </w:r>
      <w:r w:rsidR="007812BA" w:rsidRPr="008216A5">
        <w:t xml:space="preserve"> </w:t>
      </w:r>
      <w:r w:rsidR="007812BA">
        <w:t xml:space="preserve">in conjunction with </w:t>
      </w:r>
      <w:r w:rsidR="0058244A">
        <w:t>article </w:t>
      </w:r>
      <w:r w:rsidR="007812BA">
        <w:t>2, paragraph</w:t>
      </w:r>
      <w:r w:rsidR="0058244A">
        <w:t> </w:t>
      </w:r>
      <w:r w:rsidR="007812BA">
        <w:t xml:space="preserve">3, </w:t>
      </w:r>
      <w:r w:rsidRPr="008216A5">
        <w:t>of the Covenant.</w:t>
      </w:r>
      <w:r w:rsidR="00CF22A4">
        <w:t xml:space="preserve"> </w:t>
      </w:r>
    </w:p>
    <w:p w:rsidR="008216A5" w:rsidRPr="008216A5" w:rsidRDefault="008216A5" w:rsidP="0058244A">
      <w:pPr>
        <w:pStyle w:val="SingleTxtG"/>
      </w:pPr>
      <w:r w:rsidRPr="008216A5">
        <w:t>11.</w:t>
      </w:r>
      <w:r w:rsidRPr="008216A5">
        <w:tab/>
        <w:t xml:space="preserve">In accordance with </w:t>
      </w:r>
      <w:r w:rsidR="0058244A">
        <w:t>article </w:t>
      </w:r>
      <w:r w:rsidRPr="008216A5">
        <w:t xml:space="preserve">2, </w:t>
      </w:r>
      <w:r w:rsidR="0058244A">
        <w:t>paragraph </w:t>
      </w:r>
      <w:r w:rsidRPr="008216A5">
        <w:t>3</w:t>
      </w:r>
      <w:r w:rsidR="0058244A">
        <w:t> </w:t>
      </w:r>
      <w:r w:rsidRPr="008216A5">
        <w:t xml:space="preserve">(a), of the Covenant, the State party is under an obligation to provide the author with an effective remedy, including </w:t>
      </w:r>
      <w:r w:rsidRPr="008216A5">
        <w:rPr>
          <w:lang w:val="en-US"/>
        </w:rPr>
        <w:t xml:space="preserve">reimbursement of </w:t>
      </w:r>
      <w:r w:rsidRPr="008216A5">
        <w:t xml:space="preserve">the legal costs incurred by the author, as well as </w:t>
      </w:r>
      <w:r w:rsidR="00F96BA5">
        <w:t xml:space="preserve">adequate </w:t>
      </w:r>
      <w:r w:rsidRPr="008216A5">
        <w:t>compensation. The State party is also under an obligation to take steps to prevent si</w:t>
      </w:r>
      <w:r w:rsidR="0013235B">
        <w:t>milar violations in the future.</w:t>
      </w:r>
      <w:r w:rsidR="0045741F">
        <w:t xml:space="preserve"> </w:t>
      </w:r>
      <w:r w:rsidR="0045741F" w:rsidRPr="008216A5">
        <w:t xml:space="preserve">In this connection, the Committee reiterates that State party should review its legislation, in particular, the </w:t>
      </w:r>
      <w:r w:rsidR="0045741F">
        <w:t>L</w:t>
      </w:r>
      <w:r w:rsidR="0045741F" w:rsidRPr="008216A5">
        <w:t xml:space="preserve">aw </w:t>
      </w:r>
      <w:r w:rsidR="0045741F">
        <w:t>o</w:t>
      </w:r>
      <w:r w:rsidR="0045741F" w:rsidRPr="008216A5">
        <w:t>n Mass Events</w:t>
      </w:r>
      <w:r w:rsidR="0045741F">
        <w:t xml:space="preserve"> of 30 December 1997</w:t>
      </w:r>
      <w:r w:rsidR="0045741F" w:rsidRPr="008216A5">
        <w:t>, as it has been applied in the present case, with a view to ensuring that the right</w:t>
      </w:r>
      <w:r w:rsidR="0045741F">
        <w:t>s</w:t>
      </w:r>
      <w:r w:rsidR="0045741F" w:rsidRPr="008216A5">
        <w:t xml:space="preserve"> under </w:t>
      </w:r>
      <w:r w:rsidR="0058244A">
        <w:t>article </w:t>
      </w:r>
      <w:r w:rsidR="0045741F">
        <w:t>19</w:t>
      </w:r>
      <w:r w:rsidR="0058244A">
        <w:t xml:space="preserve"> </w:t>
      </w:r>
      <w:r w:rsidR="0045741F" w:rsidRPr="008216A5">
        <w:t>of the Covenant may be fully enjoyed in the State party.</w:t>
      </w:r>
    </w:p>
    <w:p w:rsidR="008216A5" w:rsidRPr="008216A5" w:rsidRDefault="008216A5" w:rsidP="00781C83">
      <w:pPr>
        <w:pStyle w:val="SingleTxtG"/>
      </w:pPr>
      <w:r w:rsidRPr="008216A5">
        <w:t>12.</w:t>
      </w:r>
      <w:r w:rsidRPr="008216A5">
        <w:tab/>
        <w:t xml:space="preserve">Bearing in mind that, by becoming a party to the Optional Protocol, the State party has recognized the competence of the Committee to determine whether </w:t>
      </w:r>
      <w:r w:rsidR="00D92832">
        <w:t xml:space="preserve">or not </w:t>
      </w:r>
      <w:r w:rsidRPr="008216A5">
        <w:t xml:space="preserve">there has been a violation of the Covenant and that, pursuant to </w:t>
      </w:r>
      <w:r w:rsidR="0058244A">
        <w:t>article </w:t>
      </w:r>
      <w:r w:rsidRPr="008216A5">
        <w:t>2 of the Covenant, the State party has undertaken to ensure to all individuals within its territory or subject to its jurisdiction the rights recogni</w:t>
      </w:r>
      <w:r w:rsidR="00D92832">
        <w:t>z</w:t>
      </w:r>
      <w:r w:rsidRPr="008216A5">
        <w:t>ed in the Covenant and to provide an effective and enforceable remedy when it has been determined that a violation has occurred, the Committee wishes to receive from the State party, within 180 days, information about the measures taken to give effect to the Committee</w:t>
      </w:r>
      <w:r w:rsidR="0058244A">
        <w:rPr>
          <w:rFonts w:hint="eastAsia"/>
        </w:rPr>
        <w:t>’</w:t>
      </w:r>
      <w:r w:rsidRPr="008216A5">
        <w:t xml:space="preserve">s Views. The State party is also requested to publish the present Views, and </w:t>
      </w:r>
      <w:r w:rsidRPr="008216A5">
        <w:rPr>
          <w:lang w:val="en-US"/>
        </w:rPr>
        <w:t>to have them widely disseminated in Belarusian and Russian in the State party</w:t>
      </w:r>
      <w:r w:rsidRPr="008216A5">
        <w:t xml:space="preserve">. </w:t>
      </w:r>
    </w:p>
    <w:p w:rsidR="00781C83" w:rsidRPr="00017EE7" w:rsidRDefault="00017EE7" w:rsidP="00017EE7">
      <w:pPr>
        <w:pStyle w:val="SingleTxtG"/>
        <w:spacing w:before="240" w:after="0"/>
        <w:jc w:val="center"/>
        <w:rPr>
          <w:u w:val="single"/>
        </w:rPr>
      </w:pPr>
      <w:r>
        <w:rPr>
          <w:u w:val="single"/>
        </w:rPr>
        <w:tab/>
      </w:r>
      <w:r>
        <w:rPr>
          <w:u w:val="single"/>
        </w:rPr>
        <w:tab/>
      </w:r>
      <w:r>
        <w:rPr>
          <w:u w:val="single"/>
        </w:rPr>
        <w:tab/>
      </w:r>
    </w:p>
    <w:sectPr w:rsidR="00781C83" w:rsidRPr="00017EE7" w:rsidSect="00781C83">
      <w:headerReference w:type="even" r:id="rId9"/>
      <w:headerReference w:type="default" r:id="rId10"/>
      <w:footerReference w:type="even" r:id="rId11"/>
      <w:footerReference w:type="default" r:id="rId12"/>
      <w:footerReference w:type="first" r:id="rId13"/>
      <w:endnotePr>
        <w:numFmt w:val="decimal"/>
      </w:endnotePr>
      <w:pgSz w:w="11907" w:h="16840" w:code="9"/>
      <w:pgMar w:top="1701" w:right="1134" w:bottom="2268" w:left="1134" w:header="1134" w:footer="1701"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3334" w:rsidRDefault="00A63334"/>
  </w:endnote>
  <w:endnote w:type="continuationSeparator" w:id="0">
    <w:p w:rsidR="00A63334" w:rsidRDefault="00A63334"/>
  </w:endnote>
  <w:endnote w:type="continuationNotice" w:id="1">
    <w:p w:rsidR="00A63334" w:rsidRDefault="00A6333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39T30Lfz">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3B55" w:rsidRPr="00781C83" w:rsidRDefault="00CD3B55" w:rsidP="00781C83">
    <w:pPr>
      <w:pStyle w:val="Footer"/>
      <w:tabs>
        <w:tab w:val="right" w:pos="9638"/>
      </w:tabs>
    </w:pPr>
    <w:r w:rsidRPr="00781C83">
      <w:rPr>
        <w:b/>
        <w:sz w:val="18"/>
      </w:rPr>
      <w:fldChar w:fldCharType="begin"/>
    </w:r>
    <w:r w:rsidRPr="00781C83">
      <w:rPr>
        <w:b/>
        <w:sz w:val="18"/>
      </w:rPr>
      <w:instrText xml:space="preserve"> PAGE  \* MERGEFORMAT </w:instrText>
    </w:r>
    <w:r w:rsidRPr="00781C83">
      <w:rPr>
        <w:b/>
        <w:sz w:val="18"/>
      </w:rPr>
      <w:fldChar w:fldCharType="separate"/>
    </w:r>
    <w:r w:rsidR="00677B3B">
      <w:rPr>
        <w:b/>
        <w:noProof/>
        <w:sz w:val="18"/>
      </w:rPr>
      <w:t>2</w:t>
    </w:r>
    <w:r w:rsidRPr="00781C83">
      <w:rPr>
        <w:b/>
        <w:sz w:val="18"/>
      </w:rPr>
      <w:fldChar w:fldCharType="end"/>
    </w:r>
    <w:r>
      <w:rPr>
        <w:sz w:val="18"/>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3B55" w:rsidRPr="00C12350" w:rsidRDefault="00CD3B55" w:rsidP="00781C83">
    <w:pPr>
      <w:pStyle w:val="Footer"/>
      <w:tabs>
        <w:tab w:val="right" w:pos="9638"/>
      </w:tabs>
      <w:rPr>
        <w:b/>
        <w:sz w:val="18"/>
      </w:rPr>
    </w:pPr>
    <w:r>
      <w:rPr>
        <w:b/>
        <w:sz w:val="18"/>
      </w:rPr>
      <w:tab/>
    </w:r>
    <w:r w:rsidRPr="00C12350">
      <w:rPr>
        <w:b/>
        <w:sz w:val="18"/>
      </w:rPr>
      <w:fldChar w:fldCharType="begin"/>
    </w:r>
    <w:r w:rsidRPr="00C12350">
      <w:rPr>
        <w:b/>
        <w:sz w:val="18"/>
      </w:rPr>
      <w:instrText xml:space="preserve"> PAGE  \* MERGEFORMAT </w:instrText>
    </w:r>
    <w:r w:rsidRPr="00C12350">
      <w:rPr>
        <w:b/>
        <w:sz w:val="18"/>
      </w:rPr>
      <w:fldChar w:fldCharType="separate"/>
    </w:r>
    <w:r w:rsidR="00677B3B">
      <w:rPr>
        <w:b/>
        <w:noProof/>
        <w:sz w:val="18"/>
      </w:rPr>
      <w:t>3</w:t>
    </w:r>
    <w:r w:rsidRPr="00C12350">
      <w:rPr>
        <w:b/>
        <w:sz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3B55" w:rsidRDefault="00A63334">
    <w:r>
      <w:rPr>
        <w:noProof/>
        <w:lang w:eastAsia="zh-C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2" type="#_x0000_t75" style="position:absolute;margin-left:337.3pt;margin-top:646.25pt;width:73.25pt;height:18.15pt;z-index:1;mso-position-horizontal-relative:margin;mso-position-vertical-relative:margin">
          <v:imagedata r:id="rId1" o:title="recycle_English"/>
          <w10:wrap anchorx="margin" anchory="margin"/>
        </v:shape>
      </w:pict>
    </w:r>
    <w:r w:rsidR="00CD3B55">
      <w:t>GE.14-</w:t>
    </w:r>
    <w:r w:rsidR="00EB2EFB">
      <w:t>22272</w:t>
    </w:r>
    <w:r w:rsidR="00374130">
      <w:t xml:space="preserve">  (E)</w:t>
    </w:r>
    <w:r w:rsidR="00374130">
      <w:br/>
    </w:r>
    <w:r w:rsidR="00374130">
      <w:rPr>
        <w:rFonts w:ascii="C39T30Lfz" w:hAnsi="C39T30Lfz"/>
        <w:sz w:val="56"/>
      </w:rPr>
      <w:t></w:t>
    </w:r>
    <w:r w:rsidR="00374130">
      <w:rPr>
        <w:rFonts w:ascii="C39T30Lfz" w:hAnsi="C39T30Lfz"/>
        <w:sz w:val="56"/>
      </w:rPr>
      <w:t></w:t>
    </w:r>
    <w:r w:rsidR="00374130">
      <w:rPr>
        <w:rFonts w:ascii="C39T30Lfz" w:hAnsi="C39T30Lfz"/>
        <w:sz w:val="56"/>
      </w:rPr>
      <w:t></w:t>
    </w:r>
    <w:r w:rsidR="00374130">
      <w:rPr>
        <w:rFonts w:ascii="C39T30Lfz" w:hAnsi="C39T30Lfz"/>
        <w:sz w:val="56"/>
      </w:rPr>
      <w:t></w:t>
    </w:r>
    <w:r w:rsidR="00374130">
      <w:rPr>
        <w:rFonts w:ascii="C39T30Lfz" w:hAnsi="C39T30Lfz"/>
        <w:sz w:val="56"/>
      </w:rPr>
      <w:t></w:t>
    </w:r>
    <w:r w:rsidR="00374130">
      <w:rPr>
        <w:rFonts w:ascii="C39T30Lfz" w:hAnsi="C39T30Lfz"/>
        <w:sz w:val="56"/>
      </w:rPr>
      <w:t></w:t>
    </w:r>
    <w:r w:rsidR="00374130">
      <w:rPr>
        <w:rFonts w:ascii="C39T30Lfz" w:hAnsi="C39T30Lfz"/>
        <w:sz w:val="56"/>
      </w:rPr>
      <w:t></w:t>
    </w:r>
    <w:r w:rsidR="00374130">
      <w:rPr>
        <w:rFonts w:ascii="C39T30Lfz" w:hAnsi="C39T30Lfz"/>
        <w:sz w:val="56"/>
      </w:rPr>
      <w:t></w:t>
    </w:r>
    <w:r w:rsidR="00374130" w:rsidRPr="00374130">
      <w:rPr>
        <w:rFonts w:ascii="C39T30Lfz" w:hAnsi="C39T30Lfz"/>
        <w:sz w:val="56"/>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3334" w:rsidRPr="000B175B" w:rsidRDefault="00A63334" w:rsidP="000B175B">
      <w:pPr>
        <w:tabs>
          <w:tab w:val="right" w:pos="2155"/>
        </w:tabs>
        <w:spacing w:after="80"/>
        <w:ind w:left="680"/>
        <w:rPr>
          <w:u w:val="single"/>
        </w:rPr>
      </w:pPr>
      <w:r>
        <w:rPr>
          <w:u w:val="single"/>
        </w:rPr>
        <w:tab/>
      </w:r>
    </w:p>
  </w:footnote>
  <w:footnote w:type="continuationSeparator" w:id="0">
    <w:p w:rsidR="00A63334" w:rsidRPr="00FC68B7" w:rsidRDefault="00A63334" w:rsidP="00FC68B7">
      <w:pPr>
        <w:tabs>
          <w:tab w:val="left" w:pos="2155"/>
        </w:tabs>
        <w:spacing w:after="80"/>
        <w:ind w:left="680"/>
        <w:rPr>
          <w:u w:val="single"/>
        </w:rPr>
      </w:pPr>
      <w:r>
        <w:rPr>
          <w:u w:val="single"/>
        </w:rPr>
        <w:tab/>
      </w:r>
    </w:p>
  </w:footnote>
  <w:footnote w:type="continuationNotice" w:id="1">
    <w:p w:rsidR="00A63334" w:rsidRDefault="00A63334"/>
  </w:footnote>
  <w:footnote w:id="2">
    <w:p w:rsidR="00CD3B55" w:rsidRPr="00CD3B55" w:rsidRDefault="00CD3B55" w:rsidP="00494498">
      <w:pPr>
        <w:pStyle w:val="FootnoteText"/>
      </w:pPr>
      <w:r>
        <w:rPr>
          <w:sz w:val="20"/>
        </w:rPr>
        <w:tab/>
      </w:r>
      <w:r w:rsidRPr="00017EE7">
        <w:rPr>
          <w:rStyle w:val="FootnoteReference"/>
          <w:sz w:val="20"/>
          <w:vertAlign w:val="baseline"/>
        </w:rPr>
        <w:t>*</w:t>
      </w:r>
      <w:r>
        <w:rPr>
          <w:sz w:val="20"/>
        </w:rPr>
        <w:tab/>
      </w:r>
      <w:r w:rsidRPr="000B6768">
        <w:t>The following members of the Committee participated in the consideration</w:t>
      </w:r>
      <w:r w:rsidRPr="000C3277">
        <w:t xml:space="preserve"> of the present communication: Yadh Ben Achour, Lazhari Bouzid, Christine Chanet, Cornelis Flinterman, Yuji Iwasawa, Walter Kälin, Zonke Zanele Majodina, Gerald L. Neuman, Sir Nigel Rodley, V</w:t>
      </w:r>
      <w:r w:rsidRPr="00494498">
        <w:t>ictor Manuel Rodríguez-Rescia, Fabián Omar Salvioli, Dheerujlall Seetulsingh, Yuval Shany, Konstantine Vardzelashvili, Margo Waterval and Andrei Paul Zlătescu.</w:t>
      </w:r>
    </w:p>
  </w:footnote>
  <w:footnote w:id="3">
    <w:p w:rsidR="00CD3B55" w:rsidRPr="00210CE0" w:rsidRDefault="00CD3B55" w:rsidP="00053C27">
      <w:pPr>
        <w:pStyle w:val="FootnoteText"/>
      </w:pPr>
      <w:r>
        <w:tab/>
      </w:r>
      <w:r>
        <w:rPr>
          <w:rStyle w:val="FootnoteReference"/>
        </w:rPr>
        <w:footnoteRef/>
      </w:r>
      <w:r>
        <w:tab/>
        <w:t>Article </w:t>
      </w:r>
      <w:r w:rsidRPr="00E40420">
        <w:t>23.34</w:t>
      </w:r>
      <w:r>
        <w:t xml:space="preserve">, paragraph 1, of the </w:t>
      </w:r>
      <w:r w:rsidRPr="00E40420">
        <w:t>Code of Administrative Offences</w:t>
      </w:r>
      <w:r>
        <w:t xml:space="preserve"> reads: “</w:t>
      </w:r>
      <w:r w:rsidRPr="001678BA">
        <w:t>Violation of the established procedure of organizing or conducting mass events or pickets. Violation of the established procedure of organizing or holding assemblies, meetings, rallies, demonstrations or other mass events or pickets, is punishable by a warning, or a fine of up to 10 minimum wages, or by administrative arrest.”</w:t>
      </w:r>
    </w:p>
  </w:footnote>
  <w:footnote w:id="4">
    <w:p w:rsidR="00CD3B55" w:rsidRDefault="00CD3B55" w:rsidP="00A67CCC">
      <w:pPr>
        <w:pStyle w:val="FootnoteText"/>
      </w:pPr>
      <w:r>
        <w:tab/>
      </w:r>
      <w:r>
        <w:rPr>
          <w:rStyle w:val="FootnoteReference"/>
        </w:rPr>
        <w:footnoteRef/>
      </w:r>
      <w:r>
        <w:tab/>
        <w:t xml:space="preserve">Reference is made to communication No. 1814/2008, </w:t>
      </w:r>
      <w:r>
        <w:rPr>
          <w:i/>
        </w:rPr>
        <w:t>P.L.</w:t>
      </w:r>
      <w:r w:rsidRPr="00E138E5">
        <w:rPr>
          <w:i/>
        </w:rPr>
        <w:t xml:space="preserve"> </w:t>
      </w:r>
      <w:r w:rsidRPr="00494498">
        <w:rPr>
          <w:iCs/>
        </w:rPr>
        <w:t>v.</w:t>
      </w:r>
      <w:r w:rsidRPr="00E138E5">
        <w:rPr>
          <w:i/>
        </w:rPr>
        <w:t xml:space="preserve"> Belarus</w:t>
      </w:r>
      <w:r>
        <w:t xml:space="preserve">, decision of inadmissibility adopted on </w:t>
      </w:r>
      <w:r w:rsidRPr="00E138E5">
        <w:t>26 July 2011</w:t>
      </w:r>
      <w:r>
        <w:t>.</w:t>
      </w:r>
    </w:p>
  </w:footnote>
  <w:footnote w:id="5">
    <w:p w:rsidR="00CD3B55" w:rsidRDefault="00CD3B55" w:rsidP="0023060B">
      <w:pPr>
        <w:pStyle w:val="FootnoteText"/>
      </w:pPr>
      <w:r>
        <w:tab/>
      </w:r>
      <w:r>
        <w:rPr>
          <w:rStyle w:val="FootnoteReference"/>
        </w:rPr>
        <w:footnoteRef/>
      </w:r>
      <w:r>
        <w:tab/>
        <w:t xml:space="preserve">Reference is made to communication No. 1418/2005, </w:t>
      </w:r>
      <w:r w:rsidRPr="00824F1B">
        <w:rPr>
          <w:i/>
        </w:rPr>
        <w:t xml:space="preserve">Iskiyaev </w:t>
      </w:r>
      <w:r w:rsidRPr="00494498">
        <w:rPr>
          <w:iCs/>
        </w:rPr>
        <w:t>v.</w:t>
      </w:r>
      <w:r w:rsidRPr="00824F1B">
        <w:rPr>
          <w:i/>
        </w:rPr>
        <w:t xml:space="preserve"> Uzbekistan</w:t>
      </w:r>
      <w:r>
        <w:t xml:space="preserve">, Views adopted on 20 March 2009, and the European Court of Human Rights, Application No. 47033/99, </w:t>
      </w:r>
      <w:r w:rsidRPr="00F02C8E">
        <w:rPr>
          <w:i/>
        </w:rPr>
        <w:t xml:space="preserve">Tumilovich </w:t>
      </w:r>
      <w:r w:rsidRPr="00494498">
        <w:rPr>
          <w:iCs/>
        </w:rPr>
        <w:t>v.</w:t>
      </w:r>
      <w:r w:rsidRPr="00F02C8E">
        <w:rPr>
          <w:i/>
        </w:rPr>
        <w:t xml:space="preserve"> Russia</w:t>
      </w:r>
      <w:r>
        <w:t>, decision of 22 June 1999.</w:t>
      </w:r>
    </w:p>
  </w:footnote>
  <w:footnote w:id="6">
    <w:p w:rsidR="00CD3B55" w:rsidRDefault="00CD3B55" w:rsidP="005A4D06">
      <w:pPr>
        <w:pStyle w:val="FootnoteText"/>
      </w:pPr>
      <w:r>
        <w:tab/>
      </w:r>
      <w:r>
        <w:rPr>
          <w:rStyle w:val="FootnoteReference"/>
        </w:rPr>
        <w:footnoteRef/>
      </w:r>
      <w:r>
        <w:tab/>
        <w:t>Reference is made to Committee’s general comment No. </w:t>
      </w:r>
      <w:r w:rsidRPr="00DF50FB">
        <w:t xml:space="preserve">33 (2008) </w:t>
      </w:r>
      <w:r>
        <w:t>on t</w:t>
      </w:r>
      <w:r w:rsidRPr="00DF50FB">
        <w:t xml:space="preserve">he </w:t>
      </w:r>
      <w:r>
        <w:t>o</w:t>
      </w:r>
      <w:r w:rsidRPr="00DF50FB">
        <w:t xml:space="preserve">bligations of States </w:t>
      </w:r>
      <w:r>
        <w:t>p</w:t>
      </w:r>
      <w:r w:rsidRPr="00DF50FB">
        <w:t>arties under the Optional Protocol to the International Covenant on Civil and Political Rights,</w:t>
      </w:r>
      <w:r>
        <w:t xml:space="preserve"> paras. 11 and 13. </w:t>
      </w:r>
    </w:p>
  </w:footnote>
  <w:footnote w:id="7">
    <w:p w:rsidR="00CD3B55" w:rsidRPr="00B3360D" w:rsidRDefault="00CD3B55" w:rsidP="00494498">
      <w:pPr>
        <w:pStyle w:val="FootnoteText"/>
      </w:pPr>
      <w:r>
        <w:tab/>
      </w:r>
      <w:r>
        <w:rPr>
          <w:rStyle w:val="FootnoteReference"/>
        </w:rPr>
        <w:footnoteRef/>
      </w:r>
      <w:r>
        <w:tab/>
      </w:r>
      <w:r w:rsidRPr="00B3360D">
        <w:t xml:space="preserve">See, inter alia, </w:t>
      </w:r>
      <w:r w:rsidRPr="00E54856">
        <w:t>communication</w:t>
      </w:r>
      <w:r w:rsidRPr="00B3360D">
        <w:t xml:space="preserve"> </w:t>
      </w:r>
      <w:r>
        <w:t>No. </w:t>
      </w:r>
      <w:r w:rsidRPr="00B3360D">
        <w:t xml:space="preserve">869/1999, </w:t>
      </w:r>
      <w:r w:rsidRPr="00B957CC">
        <w:rPr>
          <w:i/>
        </w:rPr>
        <w:t xml:space="preserve">Piandiong et al. </w:t>
      </w:r>
      <w:r w:rsidRPr="00494498">
        <w:rPr>
          <w:iCs/>
        </w:rPr>
        <w:t>v.</w:t>
      </w:r>
      <w:r w:rsidRPr="00B957CC">
        <w:rPr>
          <w:i/>
        </w:rPr>
        <w:t xml:space="preserve"> Philippines</w:t>
      </w:r>
      <w:r w:rsidRPr="00B3360D">
        <w:t xml:space="preserve">, Views adopted on 19 October 2000, </w:t>
      </w:r>
      <w:r>
        <w:t>para. </w:t>
      </w:r>
      <w:r w:rsidRPr="00B3360D">
        <w:t>5.1.</w:t>
      </w:r>
    </w:p>
  </w:footnote>
  <w:footnote w:id="8">
    <w:p w:rsidR="00CD3B55" w:rsidRPr="0058244A" w:rsidRDefault="00CD3B55" w:rsidP="00494498">
      <w:pPr>
        <w:pStyle w:val="FootnoteText"/>
        <w:rPr>
          <w:lang w:val="en-US"/>
        </w:rPr>
      </w:pPr>
      <w:r>
        <w:tab/>
      </w:r>
      <w:r>
        <w:rPr>
          <w:rStyle w:val="FootnoteReference"/>
        </w:rPr>
        <w:footnoteRef/>
      </w:r>
      <w:r>
        <w:tab/>
      </w:r>
      <w:r w:rsidRPr="00AE65AB">
        <w:rPr>
          <w:rFonts w:eastAsia="SimSun"/>
        </w:rPr>
        <w:t xml:space="preserve">See also communication </w:t>
      </w:r>
      <w:r>
        <w:rPr>
          <w:rFonts w:eastAsia="SimSun"/>
        </w:rPr>
        <w:t>No. </w:t>
      </w:r>
      <w:r w:rsidRPr="00AE65AB">
        <w:rPr>
          <w:rFonts w:eastAsia="SimSun"/>
        </w:rPr>
        <w:t xml:space="preserve">1226/2003, </w:t>
      </w:r>
      <w:r w:rsidRPr="00B957CC">
        <w:rPr>
          <w:rFonts w:eastAsia="SimSun"/>
          <w:i/>
        </w:rPr>
        <w:t xml:space="preserve">Korneenko </w:t>
      </w:r>
      <w:r w:rsidRPr="00494498">
        <w:rPr>
          <w:rFonts w:eastAsia="SimSun"/>
          <w:iCs/>
        </w:rPr>
        <w:t>v.</w:t>
      </w:r>
      <w:r w:rsidRPr="00B957CC">
        <w:rPr>
          <w:rFonts w:eastAsia="SimSun"/>
          <w:i/>
        </w:rPr>
        <w:t xml:space="preserve"> Belarus</w:t>
      </w:r>
      <w:r w:rsidRPr="00AE65AB">
        <w:rPr>
          <w:rFonts w:eastAsia="SimSun"/>
        </w:rPr>
        <w:t xml:space="preserve">, Views adopted on 20 July 2012, </w:t>
      </w:r>
      <w:r>
        <w:rPr>
          <w:rFonts w:eastAsia="SimSun"/>
        </w:rPr>
        <w:t>paras. </w:t>
      </w:r>
      <w:r w:rsidRPr="00AE65AB">
        <w:rPr>
          <w:rFonts w:eastAsia="SimSun"/>
        </w:rPr>
        <w:t xml:space="preserve">8.1 and 8.2; or </w:t>
      </w:r>
      <w:r w:rsidRPr="00E54856">
        <w:rPr>
          <w:rFonts w:eastAsia="SimSun"/>
        </w:rPr>
        <w:t>communication</w:t>
      </w:r>
      <w:r w:rsidRPr="00AE65AB">
        <w:rPr>
          <w:rFonts w:eastAsia="SimSun"/>
        </w:rPr>
        <w:t xml:space="preserve"> </w:t>
      </w:r>
      <w:r>
        <w:rPr>
          <w:rFonts w:eastAsia="SimSun"/>
        </w:rPr>
        <w:t>No. </w:t>
      </w:r>
      <w:r w:rsidRPr="00AE65AB">
        <w:rPr>
          <w:rFonts w:eastAsia="SimSun"/>
        </w:rPr>
        <w:t xml:space="preserve">1948/2010, </w:t>
      </w:r>
      <w:r w:rsidRPr="00B957CC">
        <w:rPr>
          <w:rFonts w:eastAsia="SimSun"/>
          <w:i/>
        </w:rPr>
        <w:t>Turchenyak et al</w:t>
      </w:r>
      <w:r>
        <w:rPr>
          <w:rFonts w:eastAsia="SimSun"/>
          <w:i/>
        </w:rPr>
        <w:t>.</w:t>
      </w:r>
      <w:r w:rsidRPr="00B957CC">
        <w:rPr>
          <w:rFonts w:eastAsia="SimSun"/>
          <w:i/>
        </w:rPr>
        <w:t xml:space="preserve"> </w:t>
      </w:r>
      <w:r w:rsidRPr="00494498">
        <w:rPr>
          <w:rFonts w:eastAsia="SimSun"/>
          <w:iCs/>
        </w:rPr>
        <w:t>v.</w:t>
      </w:r>
      <w:r w:rsidRPr="00B957CC">
        <w:rPr>
          <w:rFonts w:eastAsia="SimSun"/>
          <w:i/>
        </w:rPr>
        <w:t xml:space="preserve"> Belarus</w:t>
      </w:r>
      <w:r w:rsidRPr="00AE65AB">
        <w:rPr>
          <w:rFonts w:eastAsia="SimSun"/>
        </w:rPr>
        <w:t xml:space="preserve">, Views adopted on 24 July 2013, </w:t>
      </w:r>
      <w:r>
        <w:rPr>
          <w:rFonts w:eastAsia="SimSun"/>
        </w:rPr>
        <w:t>paras. </w:t>
      </w:r>
      <w:r w:rsidRPr="00AE65AB">
        <w:rPr>
          <w:rFonts w:eastAsia="SimSun"/>
        </w:rPr>
        <w:t>5.1. and 5.2.</w:t>
      </w:r>
    </w:p>
  </w:footnote>
  <w:footnote w:id="9">
    <w:p w:rsidR="00CD3B55" w:rsidRDefault="00CD3B55" w:rsidP="00262263">
      <w:pPr>
        <w:pStyle w:val="FootnoteText"/>
      </w:pPr>
      <w:r>
        <w:tab/>
      </w:r>
      <w:r>
        <w:rPr>
          <w:rStyle w:val="FootnoteReference"/>
        </w:rPr>
        <w:footnoteRef/>
      </w:r>
      <w:r>
        <w:tab/>
      </w:r>
      <w:r w:rsidRPr="000D0A22">
        <w:t xml:space="preserve">See the </w:t>
      </w:r>
      <w:r w:rsidRPr="0058244A">
        <w:rPr>
          <w:iCs/>
        </w:rPr>
        <w:t>Committee</w:t>
      </w:r>
      <w:r w:rsidRPr="0058244A">
        <w:rPr>
          <w:rFonts w:hint="eastAsia"/>
          <w:iCs/>
        </w:rPr>
        <w:t>’</w:t>
      </w:r>
      <w:r w:rsidRPr="0058244A">
        <w:rPr>
          <w:iCs/>
        </w:rPr>
        <w:t xml:space="preserve">s </w:t>
      </w:r>
      <w:r>
        <w:rPr>
          <w:iCs/>
        </w:rPr>
        <w:t>g</w:t>
      </w:r>
      <w:r w:rsidRPr="0058244A">
        <w:rPr>
          <w:iCs/>
        </w:rPr>
        <w:t xml:space="preserve">eneral </w:t>
      </w:r>
      <w:r>
        <w:rPr>
          <w:iCs/>
        </w:rPr>
        <w:t>c</w:t>
      </w:r>
      <w:r w:rsidRPr="0058244A">
        <w:rPr>
          <w:iCs/>
        </w:rPr>
        <w:t xml:space="preserve">omment No. 34 (2011) </w:t>
      </w:r>
      <w:r>
        <w:rPr>
          <w:iCs/>
        </w:rPr>
        <w:t>on f</w:t>
      </w:r>
      <w:r w:rsidRPr="0058244A">
        <w:rPr>
          <w:iCs/>
        </w:rPr>
        <w:t xml:space="preserve">reedoms of opinion and expression, </w:t>
      </w:r>
      <w:r>
        <w:t>para. </w:t>
      </w:r>
      <w:r w:rsidRPr="000D0A22">
        <w:t>2</w:t>
      </w:r>
      <w:r>
        <w:t>.</w:t>
      </w:r>
    </w:p>
  </w:footnote>
  <w:footnote w:id="10">
    <w:p w:rsidR="00CD3B55" w:rsidRPr="00027A45" w:rsidRDefault="00CD3B55" w:rsidP="00017EE7">
      <w:pPr>
        <w:pStyle w:val="FootnoteText"/>
      </w:pPr>
      <w:r>
        <w:tab/>
      </w:r>
      <w:r>
        <w:rPr>
          <w:rStyle w:val="FootnoteReference"/>
        </w:rPr>
        <w:footnoteRef/>
      </w:r>
      <w:r>
        <w:tab/>
      </w:r>
      <w:r>
        <w:rPr>
          <w:iCs/>
        </w:rPr>
        <w:t>Ibid.</w:t>
      </w:r>
      <w:r w:rsidRPr="00494498">
        <w:rPr>
          <w:iCs/>
        </w:rPr>
        <w:t>,</w:t>
      </w:r>
      <w:r w:rsidRPr="00027A45">
        <w:rPr>
          <w:i/>
        </w:rPr>
        <w:t xml:space="preserve"> </w:t>
      </w:r>
      <w:r>
        <w:t>para. 22.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3B55" w:rsidRPr="00781C83" w:rsidRDefault="00CD3B55" w:rsidP="00781C83">
    <w:pPr>
      <w:pStyle w:val="Header"/>
    </w:pPr>
    <w:r>
      <w:t>CCPR/C/112/D/2156/2012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3B55" w:rsidRPr="00781C83" w:rsidRDefault="00CD3B55" w:rsidP="00781C83">
    <w:pPr>
      <w:pStyle w:val="Header"/>
      <w:jc w:val="right"/>
    </w:pPr>
    <w:r>
      <w:t>CCPR/C/112/D/2156/2012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fr-CH" w:vendorID="64" w:dllVersion="131078" w:nlCheck="1" w:checkStyle="1"/>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Moves/>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2053"/>
    <o:shapelayout v:ext="edit">
      <o:idmap v:ext="edit" data="2"/>
    </o:shapelayout>
  </w:hdrShapeDefaults>
  <w:footnotePr>
    <w:footnote w:id="-1"/>
    <w:footnote w:id="0"/>
    <w:footnote w:id="1"/>
  </w:footnotePr>
  <w:endnotePr>
    <w:numFmt w:val="decimal"/>
    <w:endnote w:id="-1"/>
    <w:endnote w:id="0"/>
    <w:endnote w:id="1"/>
  </w:endnotePr>
  <w:compat>
    <w:footnoteLayoutLikeWW8/>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216A5"/>
    <w:rsid w:val="00002D81"/>
    <w:rsid w:val="000044C6"/>
    <w:rsid w:val="000044E2"/>
    <w:rsid w:val="00010B81"/>
    <w:rsid w:val="00015B96"/>
    <w:rsid w:val="00017EE7"/>
    <w:rsid w:val="00025370"/>
    <w:rsid w:val="00025418"/>
    <w:rsid w:val="00025D41"/>
    <w:rsid w:val="000272B3"/>
    <w:rsid w:val="00027A45"/>
    <w:rsid w:val="0003387B"/>
    <w:rsid w:val="0004092D"/>
    <w:rsid w:val="00041994"/>
    <w:rsid w:val="00050F6B"/>
    <w:rsid w:val="00053C27"/>
    <w:rsid w:val="0005782B"/>
    <w:rsid w:val="00057E97"/>
    <w:rsid w:val="00060C3A"/>
    <w:rsid w:val="00063061"/>
    <w:rsid w:val="000647D1"/>
    <w:rsid w:val="00066476"/>
    <w:rsid w:val="00072205"/>
    <w:rsid w:val="00072C8C"/>
    <w:rsid w:val="000733B5"/>
    <w:rsid w:val="00081815"/>
    <w:rsid w:val="000931C0"/>
    <w:rsid w:val="000970C1"/>
    <w:rsid w:val="00097781"/>
    <w:rsid w:val="000A07CD"/>
    <w:rsid w:val="000A34F4"/>
    <w:rsid w:val="000A36F3"/>
    <w:rsid w:val="000B175B"/>
    <w:rsid w:val="000B1788"/>
    <w:rsid w:val="000B3A0F"/>
    <w:rsid w:val="000B4EF7"/>
    <w:rsid w:val="000B6768"/>
    <w:rsid w:val="000C2C03"/>
    <w:rsid w:val="000C2D2E"/>
    <w:rsid w:val="000C2E06"/>
    <w:rsid w:val="000C3277"/>
    <w:rsid w:val="000C6F58"/>
    <w:rsid w:val="000D0A22"/>
    <w:rsid w:val="000D2B2C"/>
    <w:rsid w:val="000D31C1"/>
    <w:rsid w:val="000E0415"/>
    <w:rsid w:val="000E42FA"/>
    <w:rsid w:val="000E567F"/>
    <w:rsid w:val="000F06C0"/>
    <w:rsid w:val="000F4E65"/>
    <w:rsid w:val="000F570E"/>
    <w:rsid w:val="000F76E4"/>
    <w:rsid w:val="000F7E69"/>
    <w:rsid w:val="001037D9"/>
    <w:rsid w:val="001103AA"/>
    <w:rsid w:val="001306DD"/>
    <w:rsid w:val="0013235B"/>
    <w:rsid w:val="00142286"/>
    <w:rsid w:val="001472B5"/>
    <w:rsid w:val="001533ED"/>
    <w:rsid w:val="00153EEB"/>
    <w:rsid w:val="00161364"/>
    <w:rsid w:val="00165F3A"/>
    <w:rsid w:val="001678BA"/>
    <w:rsid w:val="0017277A"/>
    <w:rsid w:val="00175825"/>
    <w:rsid w:val="00181327"/>
    <w:rsid w:val="00183968"/>
    <w:rsid w:val="00191F7C"/>
    <w:rsid w:val="00196CDF"/>
    <w:rsid w:val="001A079F"/>
    <w:rsid w:val="001A09DE"/>
    <w:rsid w:val="001A61E6"/>
    <w:rsid w:val="001A660B"/>
    <w:rsid w:val="001A6686"/>
    <w:rsid w:val="001A723C"/>
    <w:rsid w:val="001B4041"/>
    <w:rsid w:val="001B4B04"/>
    <w:rsid w:val="001C657F"/>
    <w:rsid w:val="001C6663"/>
    <w:rsid w:val="001C7895"/>
    <w:rsid w:val="001D0C8C"/>
    <w:rsid w:val="001D26DF"/>
    <w:rsid w:val="001D384D"/>
    <w:rsid w:val="001D3A03"/>
    <w:rsid w:val="001D5C81"/>
    <w:rsid w:val="001E10EC"/>
    <w:rsid w:val="001E48A9"/>
    <w:rsid w:val="001E6C07"/>
    <w:rsid w:val="00200271"/>
    <w:rsid w:val="00202DA8"/>
    <w:rsid w:val="00206D8E"/>
    <w:rsid w:val="00210CE0"/>
    <w:rsid w:val="002110E0"/>
    <w:rsid w:val="002117EE"/>
    <w:rsid w:val="00211E0B"/>
    <w:rsid w:val="0022501D"/>
    <w:rsid w:val="0023060B"/>
    <w:rsid w:val="002313C7"/>
    <w:rsid w:val="00231C9F"/>
    <w:rsid w:val="0023210C"/>
    <w:rsid w:val="00237A40"/>
    <w:rsid w:val="002408B4"/>
    <w:rsid w:val="002569AF"/>
    <w:rsid w:val="00262263"/>
    <w:rsid w:val="00267F5F"/>
    <w:rsid w:val="002743EE"/>
    <w:rsid w:val="0028181E"/>
    <w:rsid w:val="00286B4D"/>
    <w:rsid w:val="002A0F28"/>
    <w:rsid w:val="002B3F1E"/>
    <w:rsid w:val="002C032D"/>
    <w:rsid w:val="002C5BCD"/>
    <w:rsid w:val="002C67A8"/>
    <w:rsid w:val="002D3AF5"/>
    <w:rsid w:val="002D46DB"/>
    <w:rsid w:val="002E5F11"/>
    <w:rsid w:val="002F039C"/>
    <w:rsid w:val="002F14CA"/>
    <w:rsid w:val="002F175C"/>
    <w:rsid w:val="002F3590"/>
    <w:rsid w:val="002F781E"/>
    <w:rsid w:val="0030138D"/>
    <w:rsid w:val="00306124"/>
    <w:rsid w:val="003171BE"/>
    <w:rsid w:val="00320E07"/>
    <w:rsid w:val="003229D8"/>
    <w:rsid w:val="00326066"/>
    <w:rsid w:val="00327502"/>
    <w:rsid w:val="003464C6"/>
    <w:rsid w:val="00352709"/>
    <w:rsid w:val="00354AA8"/>
    <w:rsid w:val="0036645D"/>
    <w:rsid w:val="00367567"/>
    <w:rsid w:val="003705C9"/>
    <w:rsid w:val="00371178"/>
    <w:rsid w:val="003719B4"/>
    <w:rsid w:val="0037204F"/>
    <w:rsid w:val="003730DD"/>
    <w:rsid w:val="00374130"/>
    <w:rsid w:val="0038336C"/>
    <w:rsid w:val="003871ED"/>
    <w:rsid w:val="003A0F73"/>
    <w:rsid w:val="003A1602"/>
    <w:rsid w:val="003A6810"/>
    <w:rsid w:val="003C02AB"/>
    <w:rsid w:val="003C2CC4"/>
    <w:rsid w:val="003D0290"/>
    <w:rsid w:val="003D4B23"/>
    <w:rsid w:val="003E6D09"/>
    <w:rsid w:val="003E6F7E"/>
    <w:rsid w:val="00400ACF"/>
    <w:rsid w:val="00405473"/>
    <w:rsid w:val="00410C89"/>
    <w:rsid w:val="00414931"/>
    <w:rsid w:val="00414B35"/>
    <w:rsid w:val="00426B9B"/>
    <w:rsid w:val="004325CB"/>
    <w:rsid w:val="00435D83"/>
    <w:rsid w:val="00436B33"/>
    <w:rsid w:val="00442A83"/>
    <w:rsid w:val="0045495B"/>
    <w:rsid w:val="0045741F"/>
    <w:rsid w:val="00461421"/>
    <w:rsid w:val="00466B4C"/>
    <w:rsid w:val="00473963"/>
    <w:rsid w:val="00484B45"/>
    <w:rsid w:val="00487488"/>
    <w:rsid w:val="0049219B"/>
    <w:rsid w:val="00494498"/>
    <w:rsid w:val="00497604"/>
    <w:rsid w:val="004A28A7"/>
    <w:rsid w:val="004C675E"/>
    <w:rsid w:val="004D5BEC"/>
    <w:rsid w:val="004E4BD9"/>
    <w:rsid w:val="004E64A6"/>
    <w:rsid w:val="004F5078"/>
    <w:rsid w:val="0052136D"/>
    <w:rsid w:val="00525395"/>
    <w:rsid w:val="0052775E"/>
    <w:rsid w:val="00533871"/>
    <w:rsid w:val="005409DC"/>
    <w:rsid w:val="005420F2"/>
    <w:rsid w:val="00550D3B"/>
    <w:rsid w:val="00551AB4"/>
    <w:rsid w:val="00552689"/>
    <w:rsid w:val="005579F2"/>
    <w:rsid w:val="005628B6"/>
    <w:rsid w:val="00562F4D"/>
    <w:rsid w:val="00564714"/>
    <w:rsid w:val="0056624F"/>
    <w:rsid w:val="005722B3"/>
    <w:rsid w:val="00580B8E"/>
    <w:rsid w:val="0058244A"/>
    <w:rsid w:val="00582AA6"/>
    <w:rsid w:val="005848B3"/>
    <w:rsid w:val="00590F87"/>
    <w:rsid w:val="00592C4A"/>
    <w:rsid w:val="005A0415"/>
    <w:rsid w:val="005A3B8B"/>
    <w:rsid w:val="005A4D06"/>
    <w:rsid w:val="005A533E"/>
    <w:rsid w:val="005A7D77"/>
    <w:rsid w:val="005B1698"/>
    <w:rsid w:val="005B3DB3"/>
    <w:rsid w:val="005B54E3"/>
    <w:rsid w:val="005D542D"/>
    <w:rsid w:val="005D5721"/>
    <w:rsid w:val="005D5AF5"/>
    <w:rsid w:val="005E06C2"/>
    <w:rsid w:val="005E0A5F"/>
    <w:rsid w:val="005E783D"/>
    <w:rsid w:val="005F5699"/>
    <w:rsid w:val="005F7717"/>
    <w:rsid w:val="005F7B75"/>
    <w:rsid w:val="005F7F93"/>
    <w:rsid w:val="006001EE"/>
    <w:rsid w:val="00603915"/>
    <w:rsid w:val="00605042"/>
    <w:rsid w:val="00611FC4"/>
    <w:rsid w:val="00614C50"/>
    <w:rsid w:val="006170D7"/>
    <w:rsid w:val="006176FB"/>
    <w:rsid w:val="006274AD"/>
    <w:rsid w:val="00627FB0"/>
    <w:rsid w:val="00640B26"/>
    <w:rsid w:val="00652D0A"/>
    <w:rsid w:val="006536F3"/>
    <w:rsid w:val="006571DE"/>
    <w:rsid w:val="00660875"/>
    <w:rsid w:val="00660B97"/>
    <w:rsid w:val="00660BDF"/>
    <w:rsid w:val="00662BB6"/>
    <w:rsid w:val="006743E9"/>
    <w:rsid w:val="00677B3B"/>
    <w:rsid w:val="00682284"/>
    <w:rsid w:val="006838C8"/>
    <w:rsid w:val="00684C21"/>
    <w:rsid w:val="00685FA6"/>
    <w:rsid w:val="0068743C"/>
    <w:rsid w:val="00690D33"/>
    <w:rsid w:val="00692BBE"/>
    <w:rsid w:val="00694AE6"/>
    <w:rsid w:val="0069763E"/>
    <w:rsid w:val="006A6A94"/>
    <w:rsid w:val="006A6C81"/>
    <w:rsid w:val="006C3AD1"/>
    <w:rsid w:val="006D2B97"/>
    <w:rsid w:val="006D37AF"/>
    <w:rsid w:val="006D51D0"/>
    <w:rsid w:val="006E3134"/>
    <w:rsid w:val="006E37EC"/>
    <w:rsid w:val="006E564B"/>
    <w:rsid w:val="006E7191"/>
    <w:rsid w:val="006E72DD"/>
    <w:rsid w:val="00703577"/>
    <w:rsid w:val="00705625"/>
    <w:rsid w:val="007109A3"/>
    <w:rsid w:val="00711F00"/>
    <w:rsid w:val="007151CD"/>
    <w:rsid w:val="00715558"/>
    <w:rsid w:val="00722B58"/>
    <w:rsid w:val="0072632A"/>
    <w:rsid w:val="007327D5"/>
    <w:rsid w:val="00732FDF"/>
    <w:rsid w:val="00735CA1"/>
    <w:rsid w:val="00740255"/>
    <w:rsid w:val="00746F1E"/>
    <w:rsid w:val="00747922"/>
    <w:rsid w:val="00751147"/>
    <w:rsid w:val="007629C8"/>
    <w:rsid w:val="00767016"/>
    <w:rsid w:val="00774854"/>
    <w:rsid w:val="007812BA"/>
    <w:rsid w:val="00781C83"/>
    <w:rsid w:val="0078300D"/>
    <w:rsid w:val="00787E5D"/>
    <w:rsid w:val="007925AE"/>
    <w:rsid w:val="00795F7A"/>
    <w:rsid w:val="007B5DE4"/>
    <w:rsid w:val="007B6BA5"/>
    <w:rsid w:val="007C203A"/>
    <w:rsid w:val="007C3390"/>
    <w:rsid w:val="007C3FFB"/>
    <w:rsid w:val="007C4F4B"/>
    <w:rsid w:val="007C6DBB"/>
    <w:rsid w:val="007C784F"/>
    <w:rsid w:val="007C7C57"/>
    <w:rsid w:val="007E0B2D"/>
    <w:rsid w:val="007E3320"/>
    <w:rsid w:val="007F1247"/>
    <w:rsid w:val="007F3822"/>
    <w:rsid w:val="007F3A2C"/>
    <w:rsid w:val="007F6611"/>
    <w:rsid w:val="007F7246"/>
    <w:rsid w:val="00802E87"/>
    <w:rsid w:val="00803EEC"/>
    <w:rsid w:val="00806AAA"/>
    <w:rsid w:val="008105B8"/>
    <w:rsid w:val="008111BA"/>
    <w:rsid w:val="008128D9"/>
    <w:rsid w:val="00812971"/>
    <w:rsid w:val="00816972"/>
    <w:rsid w:val="00817CDE"/>
    <w:rsid w:val="008216A5"/>
    <w:rsid w:val="00821A8D"/>
    <w:rsid w:val="008242D7"/>
    <w:rsid w:val="00824F1B"/>
    <w:rsid w:val="00825659"/>
    <w:rsid w:val="008257B1"/>
    <w:rsid w:val="00834953"/>
    <w:rsid w:val="00840489"/>
    <w:rsid w:val="0084126F"/>
    <w:rsid w:val="00843767"/>
    <w:rsid w:val="008538BE"/>
    <w:rsid w:val="008655A1"/>
    <w:rsid w:val="00865978"/>
    <w:rsid w:val="008678D8"/>
    <w:rsid w:val="008679D9"/>
    <w:rsid w:val="00871051"/>
    <w:rsid w:val="00875FE5"/>
    <w:rsid w:val="008809FB"/>
    <w:rsid w:val="00885A19"/>
    <w:rsid w:val="008979B1"/>
    <w:rsid w:val="008A1DB2"/>
    <w:rsid w:val="008A6B25"/>
    <w:rsid w:val="008A6C4F"/>
    <w:rsid w:val="008B0A6F"/>
    <w:rsid w:val="008B2335"/>
    <w:rsid w:val="008C4EDC"/>
    <w:rsid w:val="008C595C"/>
    <w:rsid w:val="008D1459"/>
    <w:rsid w:val="008E0678"/>
    <w:rsid w:val="008E4C4F"/>
    <w:rsid w:val="008E578C"/>
    <w:rsid w:val="0090237B"/>
    <w:rsid w:val="00903876"/>
    <w:rsid w:val="00910F40"/>
    <w:rsid w:val="00912C08"/>
    <w:rsid w:val="00913616"/>
    <w:rsid w:val="00913F5E"/>
    <w:rsid w:val="0091424F"/>
    <w:rsid w:val="009223CA"/>
    <w:rsid w:val="0093428D"/>
    <w:rsid w:val="00940F93"/>
    <w:rsid w:val="00941AB8"/>
    <w:rsid w:val="00951EAC"/>
    <w:rsid w:val="0095347F"/>
    <w:rsid w:val="009568BE"/>
    <w:rsid w:val="00962A16"/>
    <w:rsid w:val="009666AB"/>
    <w:rsid w:val="00967F59"/>
    <w:rsid w:val="009701C4"/>
    <w:rsid w:val="009735A8"/>
    <w:rsid w:val="00973AB4"/>
    <w:rsid w:val="00974EF5"/>
    <w:rsid w:val="00975E5F"/>
    <w:rsid w:val="009760F3"/>
    <w:rsid w:val="00977D8D"/>
    <w:rsid w:val="009812E7"/>
    <w:rsid w:val="009909F5"/>
    <w:rsid w:val="00991703"/>
    <w:rsid w:val="009A0E8D"/>
    <w:rsid w:val="009A46D6"/>
    <w:rsid w:val="009B26E7"/>
    <w:rsid w:val="009C5900"/>
    <w:rsid w:val="009D1174"/>
    <w:rsid w:val="009E2F54"/>
    <w:rsid w:val="009E7D26"/>
    <w:rsid w:val="009F2AC1"/>
    <w:rsid w:val="009F5D91"/>
    <w:rsid w:val="00A00A3F"/>
    <w:rsid w:val="00A01489"/>
    <w:rsid w:val="00A030AB"/>
    <w:rsid w:val="00A15AB8"/>
    <w:rsid w:val="00A1776E"/>
    <w:rsid w:val="00A230A0"/>
    <w:rsid w:val="00A246C6"/>
    <w:rsid w:val="00A262B7"/>
    <w:rsid w:val="00A31B81"/>
    <w:rsid w:val="00A338F1"/>
    <w:rsid w:val="00A35B7E"/>
    <w:rsid w:val="00A37DD8"/>
    <w:rsid w:val="00A37F6C"/>
    <w:rsid w:val="00A44615"/>
    <w:rsid w:val="00A47396"/>
    <w:rsid w:val="00A63334"/>
    <w:rsid w:val="00A67CCC"/>
    <w:rsid w:val="00A710E2"/>
    <w:rsid w:val="00A72F22"/>
    <w:rsid w:val="00A7360F"/>
    <w:rsid w:val="00A748A6"/>
    <w:rsid w:val="00A75355"/>
    <w:rsid w:val="00A769F4"/>
    <w:rsid w:val="00A776B4"/>
    <w:rsid w:val="00A90E74"/>
    <w:rsid w:val="00A94361"/>
    <w:rsid w:val="00A9525A"/>
    <w:rsid w:val="00AA293C"/>
    <w:rsid w:val="00AA2D0D"/>
    <w:rsid w:val="00AB19FA"/>
    <w:rsid w:val="00AC1844"/>
    <w:rsid w:val="00AC4840"/>
    <w:rsid w:val="00AD31EA"/>
    <w:rsid w:val="00AD46B8"/>
    <w:rsid w:val="00AF1A44"/>
    <w:rsid w:val="00AF3327"/>
    <w:rsid w:val="00AF5CCF"/>
    <w:rsid w:val="00B0282C"/>
    <w:rsid w:val="00B02D51"/>
    <w:rsid w:val="00B04543"/>
    <w:rsid w:val="00B13E9B"/>
    <w:rsid w:val="00B1677D"/>
    <w:rsid w:val="00B17933"/>
    <w:rsid w:val="00B2680E"/>
    <w:rsid w:val="00B26E3E"/>
    <w:rsid w:val="00B30179"/>
    <w:rsid w:val="00B339A7"/>
    <w:rsid w:val="00B36DFD"/>
    <w:rsid w:val="00B41ACB"/>
    <w:rsid w:val="00B43A0B"/>
    <w:rsid w:val="00B5014F"/>
    <w:rsid w:val="00B56E4A"/>
    <w:rsid w:val="00B56E9C"/>
    <w:rsid w:val="00B60748"/>
    <w:rsid w:val="00B64B1F"/>
    <w:rsid w:val="00B6553F"/>
    <w:rsid w:val="00B66E5E"/>
    <w:rsid w:val="00B77D05"/>
    <w:rsid w:val="00B81206"/>
    <w:rsid w:val="00B81E12"/>
    <w:rsid w:val="00B83A07"/>
    <w:rsid w:val="00B857DE"/>
    <w:rsid w:val="00B8633C"/>
    <w:rsid w:val="00B9067B"/>
    <w:rsid w:val="00B94491"/>
    <w:rsid w:val="00B957CC"/>
    <w:rsid w:val="00BB22D5"/>
    <w:rsid w:val="00BC01E3"/>
    <w:rsid w:val="00BC298A"/>
    <w:rsid w:val="00BC2C23"/>
    <w:rsid w:val="00BC48F3"/>
    <w:rsid w:val="00BC491A"/>
    <w:rsid w:val="00BC74E9"/>
    <w:rsid w:val="00BE0B12"/>
    <w:rsid w:val="00BE2C31"/>
    <w:rsid w:val="00BE6796"/>
    <w:rsid w:val="00BF3D9D"/>
    <w:rsid w:val="00BF68A8"/>
    <w:rsid w:val="00C11207"/>
    <w:rsid w:val="00C11A03"/>
    <w:rsid w:val="00C12350"/>
    <w:rsid w:val="00C13B55"/>
    <w:rsid w:val="00C2284D"/>
    <w:rsid w:val="00C231D7"/>
    <w:rsid w:val="00C33A47"/>
    <w:rsid w:val="00C34926"/>
    <w:rsid w:val="00C44D68"/>
    <w:rsid w:val="00C4550A"/>
    <w:rsid w:val="00C463DD"/>
    <w:rsid w:val="00C46474"/>
    <w:rsid w:val="00C4724C"/>
    <w:rsid w:val="00C50356"/>
    <w:rsid w:val="00C55779"/>
    <w:rsid w:val="00C606D3"/>
    <w:rsid w:val="00C629A0"/>
    <w:rsid w:val="00C745C3"/>
    <w:rsid w:val="00C8504E"/>
    <w:rsid w:val="00C96D26"/>
    <w:rsid w:val="00CA5C60"/>
    <w:rsid w:val="00CB3842"/>
    <w:rsid w:val="00CC1F58"/>
    <w:rsid w:val="00CC664C"/>
    <w:rsid w:val="00CD3B55"/>
    <w:rsid w:val="00CE1672"/>
    <w:rsid w:val="00CE170A"/>
    <w:rsid w:val="00CE4A8F"/>
    <w:rsid w:val="00CF22A4"/>
    <w:rsid w:val="00CF55B8"/>
    <w:rsid w:val="00D0193C"/>
    <w:rsid w:val="00D04B04"/>
    <w:rsid w:val="00D11A24"/>
    <w:rsid w:val="00D141CF"/>
    <w:rsid w:val="00D17C53"/>
    <w:rsid w:val="00D2031B"/>
    <w:rsid w:val="00D229C7"/>
    <w:rsid w:val="00D257E7"/>
    <w:rsid w:val="00D25FE2"/>
    <w:rsid w:val="00D43252"/>
    <w:rsid w:val="00D4405C"/>
    <w:rsid w:val="00D47B2C"/>
    <w:rsid w:val="00D47EEA"/>
    <w:rsid w:val="00D50EE6"/>
    <w:rsid w:val="00D5350D"/>
    <w:rsid w:val="00D90F93"/>
    <w:rsid w:val="00D92832"/>
    <w:rsid w:val="00D95303"/>
    <w:rsid w:val="00D95A82"/>
    <w:rsid w:val="00D965B7"/>
    <w:rsid w:val="00D978C6"/>
    <w:rsid w:val="00D97EB5"/>
    <w:rsid w:val="00DA3111"/>
    <w:rsid w:val="00DA3375"/>
    <w:rsid w:val="00DA3C1C"/>
    <w:rsid w:val="00DB04E3"/>
    <w:rsid w:val="00DB0C79"/>
    <w:rsid w:val="00DB5B2F"/>
    <w:rsid w:val="00DD0339"/>
    <w:rsid w:val="00DD5B8F"/>
    <w:rsid w:val="00DE79A8"/>
    <w:rsid w:val="00DF0447"/>
    <w:rsid w:val="00DF50FB"/>
    <w:rsid w:val="00E012C9"/>
    <w:rsid w:val="00E138E5"/>
    <w:rsid w:val="00E2043E"/>
    <w:rsid w:val="00E2056D"/>
    <w:rsid w:val="00E209FD"/>
    <w:rsid w:val="00E21671"/>
    <w:rsid w:val="00E25E54"/>
    <w:rsid w:val="00E27346"/>
    <w:rsid w:val="00E40420"/>
    <w:rsid w:val="00E46D75"/>
    <w:rsid w:val="00E54856"/>
    <w:rsid w:val="00E632CC"/>
    <w:rsid w:val="00E65396"/>
    <w:rsid w:val="00E67476"/>
    <w:rsid w:val="00E71BC8"/>
    <w:rsid w:val="00E7260F"/>
    <w:rsid w:val="00E737A5"/>
    <w:rsid w:val="00E779FC"/>
    <w:rsid w:val="00E848D3"/>
    <w:rsid w:val="00E86349"/>
    <w:rsid w:val="00E86A0B"/>
    <w:rsid w:val="00E94088"/>
    <w:rsid w:val="00E96630"/>
    <w:rsid w:val="00EA31F7"/>
    <w:rsid w:val="00EA5005"/>
    <w:rsid w:val="00EB172D"/>
    <w:rsid w:val="00EB2581"/>
    <w:rsid w:val="00EB2EFB"/>
    <w:rsid w:val="00EC15E8"/>
    <w:rsid w:val="00ED06EC"/>
    <w:rsid w:val="00ED38E2"/>
    <w:rsid w:val="00ED7A2A"/>
    <w:rsid w:val="00EE32E5"/>
    <w:rsid w:val="00EF0235"/>
    <w:rsid w:val="00EF1D7F"/>
    <w:rsid w:val="00EF6E89"/>
    <w:rsid w:val="00F004E2"/>
    <w:rsid w:val="00F025DE"/>
    <w:rsid w:val="00F02C8E"/>
    <w:rsid w:val="00F03190"/>
    <w:rsid w:val="00F03A99"/>
    <w:rsid w:val="00F04CDE"/>
    <w:rsid w:val="00F1389A"/>
    <w:rsid w:val="00F20C3D"/>
    <w:rsid w:val="00F26BC3"/>
    <w:rsid w:val="00F4204E"/>
    <w:rsid w:val="00F43E9E"/>
    <w:rsid w:val="00F45731"/>
    <w:rsid w:val="00F50F91"/>
    <w:rsid w:val="00F56F5B"/>
    <w:rsid w:val="00F63797"/>
    <w:rsid w:val="00F63BE3"/>
    <w:rsid w:val="00F75DA0"/>
    <w:rsid w:val="00F76E01"/>
    <w:rsid w:val="00F829D4"/>
    <w:rsid w:val="00F86121"/>
    <w:rsid w:val="00F9057C"/>
    <w:rsid w:val="00F906D7"/>
    <w:rsid w:val="00F90FD3"/>
    <w:rsid w:val="00F91FD2"/>
    <w:rsid w:val="00F93781"/>
    <w:rsid w:val="00F96BA5"/>
    <w:rsid w:val="00FA1718"/>
    <w:rsid w:val="00FA380F"/>
    <w:rsid w:val="00FA430A"/>
    <w:rsid w:val="00FA447C"/>
    <w:rsid w:val="00FB5EB5"/>
    <w:rsid w:val="00FB613B"/>
    <w:rsid w:val="00FC68B7"/>
    <w:rsid w:val="00FC77DC"/>
    <w:rsid w:val="00FD0381"/>
    <w:rsid w:val="00FD4FB8"/>
    <w:rsid w:val="00FE106A"/>
    <w:rsid w:val="00FE7EF7"/>
    <w:rsid w:val="00FF07A7"/>
    <w:rsid w:val="00FF62DF"/>
    <w:rsid w:val="00FF67E9"/>
    <w:rsid w:val="00FF7D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reet"/>
  <w:smartTagType w:namespaceuri="urn:schemas-microsoft-com:office:smarttags" w:name="addres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country-region"/>
  <w:shapeDefaults>
    <o:shapedefaults v:ext="edit" spidmax="2053"/>
    <o:shapelayout v:ext="edit">
      <o:idmap v:ext="edit" data="1"/>
    </o:shapelayout>
  </w:shapeDefaults>
  <w:decimalSymbol w:val="."/>
  <w:listSeparator w:val=","/>
  <w15:docId w15:val="{434C23DF-0BC9-4F58-A079-31B633C7F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72B3"/>
    <w:pPr>
      <w:suppressAutoHyphens/>
      <w:spacing w:line="240" w:lineRule="atLeast"/>
    </w:pPr>
    <w:rPr>
      <w:lang w:val="en-GB"/>
    </w:rPr>
  </w:style>
  <w:style w:type="paragraph" w:styleId="Heading1">
    <w:name w:val="heading 1"/>
    <w:aliases w:val="Table_G"/>
    <w:basedOn w:val="SingleTxtG"/>
    <w:next w:val="SingleTxtG"/>
    <w:qFormat/>
    <w:rsid w:val="000272B3"/>
    <w:pPr>
      <w:spacing w:after="0" w:line="240" w:lineRule="auto"/>
      <w:ind w:right="0"/>
      <w:jc w:val="left"/>
      <w:outlineLvl w:val="0"/>
    </w:pPr>
  </w:style>
  <w:style w:type="paragraph" w:styleId="Heading2">
    <w:name w:val="heading 2"/>
    <w:basedOn w:val="Normal"/>
    <w:next w:val="Normal"/>
    <w:qFormat/>
    <w:rsid w:val="000272B3"/>
    <w:pPr>
      <w:spacing w:line="240" w:lineRule="auto"/>
      <w:outlineLvl w:val="1"/>
    </w:pPr>
  </w:style>
  <w:style w:type="paragraph" w:styleId="Heading3">
    <w:name w:val="heading 3"/>
    <w:basedOn w:val="Normal"/>
    <w:next w:val="Normal"/>
    <w:qFormat/>
    <w:rsid w:val="000272B3"/>
    <w:pPr>
      <w:spacing w:line="240" w:lineRule="auto"/>
      <w:outlineLvl w:val="2"/>
    </w:pPr>
  </w:style>
  <w:style w:type="paragraph" w:styleId="Heading4">
    <w:name w:val="heading 4"/>
    <w:basedOn w:val="Normal"/>
    <w:next w:val="Normal"/>
    <w:qFormat/>
    <w:rsid w:val="000272B3"/>
    <w:pPr>
      <w:spacing w:line="240" w:lineRule="auto"/>
      <w:outlineLvl w:val="3"/>
    </w:pPr>
  </w:style>
  <w:style w:type="paragraph" w:styleId="Heading5">
    <w:name w:val="heading 5"/>
    <w:basedOn w:val="Normal"/>
    <w:next w:val="Normal"/>
    <w:qFormat/>
    <w:rsid w:val="000272B3"/>
    <w:pPr>
      <w:spacing w:line="240" w:lineRule="auto"/>
      <w:outlineLvl w:val="4"/>
    </w:pPr>
  </w:style>
  <w:style w:type="paragraph" w:styleId="Heading6">
    <w:name w:val="heading 6"/>
    <w:basedOn w:val="Normal"/>
    <w:next w:val="Normal"/>
    <w:qFormat/>
    <w:rsid w:val="000272B3"/>
    <w:pPr>
      <w:spacing w:line="240" w:lineRule="auto"/>
      <w:outlineLvl w:val="5"/>
    </w:pPr>
  </w:style>
  <w:style w:type="paragraph" w:styleId="Heading7">
    <w:name w:val="heading 7"/>
    <w:basedOn w:val="Normal"/>
    <w:next w:val="Normal"/>
    <w:qFormat/>
    <w:rsid w:val="000272B3"/>
    <w:pPr>
      <w:spacing w:line="240" w:lineRule="auto"/>
      <w:outlineLvl w:val="6"/>
    </w:pPr>
  </w:style>
  <w:style w:type="paragraph" w:styleId="Heading8">
    <w:name w:val="heading 8"/>
    <w:basedOn w:val="Normal"/>
    <w:next w:val="Normal"/>
    <w:qFormat/>
    <w:rsid w:val="000272B3"/>
    <w:pPr>
      <w:spacing w:line="240" w:lineRule="auto"/>
      <w:outlineLvl w:val="7"/>
    </w:pPr>
  </w:style>
  <w:style w:type="paragraph" w:styleId="Heading9">
    <w:name w:val="heading 9"/>
    <w:basedOn w:val="Normal"/>
    <w:next w:val="Normal"/>
    <w:qFormat/>
    <w:rsid w:val="000272B3"/>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rsid w:val="000272B3"/>
    <w:pPr>
      <w:spacing w:after="120"/>
      <w:ind w:left="1134" w:right="1134"/>
      <w:jc w:val="both"/>
    </w:pPr>
  </w:style>
  <w:style w:type="paragraph" w:customStyle="1" w:styleId="HMG">
    <w:name w:val="_ H __M_G"/>
    <w:basedOn w:val="Normal"/>
    <w:next w:val="Normal"/>
    <w:rsid w:val="000272B3"/>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rsid w:val="000272B3"/>
    <w:pPr>
      <w:keepNext/>
      <w:keepLines/>
      <w:tabs>
        <w:tab w:val="right" w:pos="851"/>
      </w:tabs>
      <w:spacing w:before="360" w:after="240" w:line="300" w:lineRule="exact"/>
      <w:ind w:left="1134" w:right="1134" w:hanging="1134"/>
    </w:pPr>
    <w:rPr>
      <w:b/>
      <w:sz w:val="28"/>
    </w:rPr>
  </w:style>
  <w:style w:type="paragraph" w:styleId="Header">
    <w:name w:val="header"/>
    <w:aliases w:val="6_G"/>
    <w:basedOn w:val="Normal"/>
    <w:rsid w:val="000272B3"/>
    <w:pPr>
      <w:pBdr>
        <w:bottom w:val="single" w:sz="4" w:space="4" w:color="auto"/>
      </w:pBdr>
      <w:spacing w:line="240" w:lineRule="auto"/>
    </w:pPr>
    <w:rPr>
      <w:b/>
      <w:sz w:val="18"/>
    </w:rPr>
  </w:style>
  <w:style w:type="table" w:styleId="TableGrid">
    <w:name w:val="Table Grid"/>
    <w:basedOn w:val="TableNormal"/>
    <w:semiHidden/>
    <w:rsid w:val="000272B3"/>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semiHidden/>
    <w:rsid w:val="000272B3"/>
    <w:rPr>
      <w:color w:val="auto"/>
      <w:u w:val="none"/>
    </w:rPr>
  </w:style>
  <w:style w:type="character" w:styleId="FollowedHyperlink">
    <w:name w:val="FollowedHyperlink"/>
    <w:semiHidden/>
    <w:rsid w:val="000272B3"/>
    <w:rPr>
      <w:color w:val="auto"/>
      <w:u w:val="none"/>
    </w:rPr>
  </w:style>
  <w:style w:type="paragraph" w:styleId="FootnoteText">
    <w:name w:val="footnote text"/>
    <w:aliases w:val="5_G,Footnote Text Char Char Char Char Char,Footnote Text Char Char Char Char,Footnote reference,FA Fu,Footnote Text Char Char Char,Footnote Reference1"/>
    <w:basedOn w:val="Normal"/>
    <w:link w:val="FootnoteTextChar"/>
    <w:rsid w:val="000272B3"/>
    <w:pPr>
      <w:tabs>
        <w:tab w:val="right" w:pos="1021"/>
      </w:tabs>
      <w:spacing w:line="220" w:lineRule="exact"/>
      <w:ind w:left="1134" w:right="1134" w:hanging="1134"/>
    </w:pPr>
    <w:rPr>
      <w:sz w:val="18"/>
    </w:rPr>
  </w:style>
  <w:style w:type="paragraph" w:styleId="EndnoteText">
    <w:name w:val="endnote text"/>
    <w:aliases w:val="2_G"/>
    <w:basedOn w:val="FootnoteText"/>
    <w:rsid w:val="000272B3"/>
  </w:style>
  <w:style w:type="paragraph" w:customStyle="1" w:styleId="SMG">
    <w:name w:val="__S_M_G"/>
    <w:basedOn w:val="Normal"/>
    <w:next w:val="Normal"/>
    <w:rsid w:val="000272B3"/>
    <w:pPr>
      <w:keepNext/>
      <w:keepLines/>
      <w:spacing w:before="240" w:after="240" w:line="420" w:lineRule="exact"/>
      <w:ind w:left="1134" w:right="1134"/>
    </w:pPr>
    <w:rPr>
      <w:b/>
      <w:sz w:val="40"/>
    </w:rPr>
  </w:style>
  <w:style w:type="paragraph" w:customStyle="1" w:styleId="SLG">
    <w:name w:val="__S_L_G"/>
    <w:basedOn w:val="Normal"/>
    <w:next w:val="Normal"/>
    <w:rsid w:val="000272B3"/>
    <w:pPr>
      <w:keepNext/>
      <w:keepLines/>
      <w:spacing w:before="240" w:after="240" w:line="580" w:lineRule="exact"/>
      <w:ind w:left="1134" w:right="1134"/>
    </w:pPr>
    <w:rPr>
      <w:b/>
      <w:sz w:val="56"/>
    </w:rPr>
  </w:style>
  <w:style w:type="paragraph" w:customStyle="1" w:styleId="SSG">
    <w:name w:val="__S_S_G"/>
    <w:basedOn w:val="Normal"/>
    <w:next w:val="Normal"/>
    <w:rsid w:val="000272B3"/>
    <w:pPr>
      <w:keepNext/>
      <w:keepLines/>
      <w:spacing w:before="240" w:after="240" w:line="300" w:lineRule="exact"/>
      <w:ind w:left="1134" w:right="1134"/>
    </w:pPr>
    <w:rPr>
      <w:b/>
      <w:sz w:val="28"/>
    </w:rPr>
  </w:style>
  <w:style w:type="character" w:styleId="EndnoteReference">
    <w:name w:val="endnote reference"/>
    <w:aliases w:val="1_G"/>
    <w:rsid w:val="000272B3"/>
    <w:rPr>
      <w:rFonts w:ascii="Times New Roman" w:hAnsi="Times New Roman"/>
      <w:sz w:val="18"/>
      <w:vertAlign w:val="superscript"/>
    </w:rPr>
  </w:style>
  <w:style w:type="character" w:styleId="FootnoteReference">
    <w:name w:val="footnote reference"/>
    <w:aliases w:val="4_G,Footnote number,ftref"/>
    <w:uiPriority w:val="99"/>
    <w:rsid w:val="000272B3"/>
    <w:rPr>
      <w:rFonts w:ascii="Times New Roman" w:hAnsi="Times New Roman"/>
      <w:sz w:val="18"/>
      <w:vertAlign w:val="superscript"/>
    </w:rPr>
  </w:style>
  <w:style w:type="character" w:styleId="PageNumber">
    <w:name w:val="page number"/>
    <w:aliases w:val="7_G"/>
    <w:rsid w:val="000272B3"/>
    <w:rPr>
      <w:rFonts w:ascii="Times New Roman" w:hAnsi="Times New Roman"/>
      <w:b/>
      <w:sz w:val="18"/>
    </w:rPr>
  </w:style>
  <w:style w:type="paragraph" w:customStyle="1" w:styleId="XLargeG">
    <w:name w:val="__XLarge_G"/>
    <w:basedOn w:val="Normal"/>
    <w:next w:val="Normal"/>
    <w:rsid w:val="000272B3"/>
    <w:pPr>
      <w:keepNext/>
      <w:keepLines/>
      <w:spacing w:before="240" w:after="240" w:line="420" w:lineRule="exact"/>
      <w:ind w:left="1134" w:right="1134"/>
    </w:pPr>
    <w:rPr>
      <w:b/>
      <w:sz w:val="40"/>
    </w:rPr>
  </w:style>
  <w:style w:type="paragraph" w:customStyle="1" w:styleId="Bullet1G">
    <w:name w:val="_Bullet 1_G"/>
    <w:basedOn w:val="Normal"/>
    <w:rsid w:val="000272B3"/>
    <w:pPr>
      <w:numPr>
        <w:numId w:val="1"/>
      </w:numPr>
      <w:spacing w:after="120"/>
      <w:ind w:right="1134"/>
      <w:jc w:val="both"/>
    </w:pPr>
  </w:style>
  <w:style w:type="paragraph" w:styleId="Footer">
    <w:name w:val="footer"/>
    <w:aliases w:val="3_G"/>
    <w:basedOn w:val="Normal"/>
    <w:rsid w:val="000272B3"/>
    <w:pPr>
      <w:spacing w:line="240" w:lineRule="auto"/>
    </w:pPr>
    <w:rPr>
      <w:sz w:val="16"/>
    </w:rPr>
  </w:style>
  <w:style w:type="paragraph" w:customStyle="1" w:styleId="Bullet2G">
    <w:name w:val="_Bullet 2_G"/>
    <w:basedOn w:val="Normal"/>
    <w:rsid w:val="000272B3"/>
    <w:pPr>
      <w:numPr>
        <w:numId w:val="2"/>
      </w:numPr>
      <w:spacing w:after="120"/>
      <w:ind w:right="1134"/>
      <w:jc w:val="both"/>
    </w:pPr>
  </w:style>
  <w:style w:type="paragraph" w:customStyle="1" w:styleId="H1G">
    <w:name w:val="_ H_1_G"/>
    <w:basedOn w:val="Normal"/>
    <w:next w:val="Normal"/>
    <w:rsid w:val="000272B3"/>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0272B3"/>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0272B3"/>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0272B3"/>
    <w:pPr>
      <w:keepNext/>
      <w:keepLines/>
      <w:tabs>
        <w:tab w:val="right" w:pos="851"/>
      </w:tabs>
      <w:spacing w:before="240" w:after="120" w:line="240" w:lineRule="exact"/>
      <w:ind w:left="1134" w:right="1134" w:hanging="1134"/>
    </w:pPr>
  </w:style>
  <w:style w:type="character" w:customStyle="1" w:styleId="FootnoteTextChar">
    <w:name w:val="Footnote Text Char"/>
    <w:aliases w:val="5_G Char,Footnote Text Char Char Char Char Char Char,Footnote Text Char Char Char Char Char1,Footnote reference Char,FA Fu Char,Footnote Text Char Char Char Char1,Footnote Reference1 Char"/>
    <w:link w:val="FootnoteText"/>
    <w:rsid w:val="008216A5"/>
    <w:rPr>
      <w:sz w:val="18"/>
      <w:lang w:eastAsia="en-US"/>
    </w:rPr>
  </w:style>
  <w:style w:type="paragraph" w:styleId="BalloonText">
    <w:name w:val="Balloon Text"/>
    <w:basedOn w:val="Normal"/>
    <w:link w:val="BalloonTextChar"/>
    <w:rsid w:val="006743E9"/>
    <w:pPr>
      <w:spacing w:line="240" w:lineRule="auto"/>
    </w:pPr>
    <w:rPr>
      <w:rFonts w:ascii="Tahoma" w:hAnsi="Tahoma"/>
      <w:sz w:val="16"/>
      <w:szCs w:val="16"/>
    </w:rPr>
  </w:style>
  <w:style w:type="character" w:customStyle="1" w:styleId="BalloonTextChar">
    <w:name w:val="Balloon Text Char"/>
    <w:link w:val="BalloonText"/>
    <w:rsid w:val="006743E9"/>
    <w:rPr>
      <w:rFonts w:ascii="Tahoma" w:hAnsi="Tahoma" w:cs="Tahoma"/>
      <w:sz w:val="16"/>
      <w:szCs w:val="16"/>
      <w:lang w:eastAsia="en-US"/>
    </w:rPr>
  </w:style>
  <w:style w:type="character" w:customStyle="1" w:styleId="sb8d990e2">
    <w:name w:val="sb8d990e2"/>
    <w:rsid w:val="001A09DE"/>
  </w:style>
  <w:style w:type="paragraph" w:customStyle="1" w:styleId="Default">
    <w:name w:val="Default"/>
    <w:rsid w:val="00E40420"/>
    <w:pPr>
      <w:autoSpaceDE w:val="0"/>
      <w:autoSpaceDN w:val="0"/>
      <w:adjustRightInd w:val="0"/>
    </w:pPr>
    <w:rPr>
      <w:color w:val="000000"/>
      <w:sz w:val="24"/>
      <w:szCs w:val="24"/>
      <w:lang w:val="en-GB" w:eastAsia="en-GB"/>
    </w:rPr>
  </w:style>
  <w:style w:type="paragraph" w:customStyle="1" w:styleId="CM55">
    <w:name w:val="CM55"/>
    <w:basedOn w:val="Default"/>
    <w:next w:val="Default"/>
    <w:uiPriority w:val="99"/>
    <w:rsid w:val="00E40420"/>
    <w:rPr>
      <w:color w:val="auto"/>
    </w:rPr>
  </w:style>
  <w:style w:type="character" w:styleId="Emphasis">
    <w:name w:val="Emphasis"/>
    <w:qFormat/>
    <w:rsid w:val="00A9525A"/>
    <w:rPr>
      <w:i/>
      <w:iCs/>
    </w:rPr>
  </w:style>
  <w:style w:type="character" w:styleId="CommentReference">
    <w:name w:val="annotation reference"/>
    <w:rsid w:val="00A35B7E"/>
    <w:rPr>
      <w:sz w:val="16"/>
      <w:szCs w:val="16"/>
    </w:rPr>
  </w:style>
  <w:style w:type="paragraph" w:styleId="CommentText">
    <w:name w:val="annotation text"/>
    <w:basedOn w:val="Normal"/>
    <w:link w:val="CommentTextChar"/>
    <w:rsid w:val="00A35B7E"/>
  </w:style>
  <w:style w:type="character" w:customStyle="1" w:styleId="CommentTextChar">
    <w:name w:val="Comment Text Char"/>
    <w:link w:val="CommentText"/>
    <w:rsid w:val="00A35B7E"/>
    <w:rPr>
      <w:lang w:eastAsia="en-US"/>
    </w:rPr>
  </w:style>
  <w:style w:type="paragraph" w:styleId="CommentSubject">
    <w:name w:val="annotation subject"/>
    <w:basedOn w:val="CommentText"/>
    <w:next w:val="CommentText"/>
    <w:link w:val="CommentSubjectChar"/>
    <w:rsid w:val="00A35B7E"/>
    <w:rPr>
      <w:b/>
      <w:bCs/>
    </w:rPr>
  </w:style>
  <w:style w:type="character" w:customStyle="1" w:styleId="CommentSubjectChar">
    <w:name w:val="Comment Subject Char"/>
    <w:link w:val="CommentSubject"/>
    <w:rsid w:val="00A35B7E"/>
    <w:rPr>
      <w:b/>
      <w:bCs/>
      <w:lang w:eastAsia="en-US"/>
    </w:rPr>
  </w:style>
  <w:style w:type="character" w:customStyle="1" w:styleId="SingleTxtGChar">
    <w:name w:val="_ Single Txt_G Char"/>
    <w:link w:val="SingleTxtG"/>
    <w:rsid w:val="00B957CC"/>
    <w:rPr>
      <w:lang w:eastAsia="en-US"/>
    </w:rPr>
  </w:style>
  <w:style w:type="paragraph" w:styleId="Revision">
    <w:name w:val="Revision"/>
    <w:hidden/>
    <w:uiPriority w:val="99"/>
    <w:semiHidden/>
    <w:rsid w:val="007F3822"/>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D:\UN%20Docs%202010\CCPR_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CCPR_E</Template>
  <TotalTime>0</TotalTime>
  <Pages>8</Pages>
  <Words>3405</Words>
  <Characters>19414</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United Nations</vt:lpstr>
    </vt:vector>
  </TitlesOfParts>
  <Company>CSD</Company>
  <LinksUpToDate>false</LinksUpToDate>
  <CharactersWithSpaces>22774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United Nations</dc:title>
  <dc:subject/>
  <dc:creator>temp Neogi</dc:creator>
  <cp:keywords/>
  <cp:lastModifiedBy>Sarah Willig</cp:lastModifiedBy>
  <cp:revision>2</cp:revision>
  <cp:lastPrinted>2014-11-19T05:59:00Z</cp:lastPrinted>
  <dcterms:created xsi:type="dcterms:W3CDTF">2017-01-24T19:21:00Z</dcterms:created>
  <dcterms:modified xsi:type="dcterms:W3CDTF">2017-01-24T19:21:00Z</dcterms:modified>
</cp:coreProperties>
</file>