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67ED8" w:rsidP="009E2A43">
            <w:pPr>
              <w:jc w:val="right"/>
            </w:pPr>
            <w:r w:rsidRPr="00367ED8">
              <w:rPr>
                <w:sz w:val="40"/>
              </w:rPr>
              <w:t>CCPR</w:t>
            </w:r>
            <w:r>
              <w:t>/C/106/D/2169/2012</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7122E5"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367ED8" w:rsidP="00367ED8">
            <w:pPr>
              <w:spacing w:before="240" w:line="240" w:lineRule="exact"/>
            </w:pPr>
            <w:r>
              <w:t xml:space="preserve">Distr.: </w:t>
            </w:r>
            <w:r w:rsidR="00DC7CAB">
              <w:t>General</w:t>
            </w:r>
          </w:p>
          <w:p w:rsidR="00367ED8" w:rsidRDefault="00C168DB" w:rsidP="00367ED8">
            <w:pPr>
              <w:spacing w:line="240" w:lineRule="exact"/>
            </w:pPr>
            <w:r>
              <w:t>11</w:t>
            </w:r>
            <w:r w:rsidR="00E8337F">
              <w:t xml:space="preserve"> Dec</w:t>
            </w:r>
            <w:r w:rsidR="009E2A43">
              <w:t>ember</w:t>
            </w:r>
            <w:r w:rsidR="00367ED8">
              <w:t xml:space="preserve"> 2012</w:t>
            </w:r>
          </w:p>
          <w:p w:rsidR="00367ED8" w:rsidRDefault="00367ED8" w:rsidP="00367ED8">
            <w:pPr>
              <w:spacing w:line="240" w:lineRule="exact"/>
            </w:pPr>
          </w:p>
          <w:p w:rsidR="00367ED8" w:rsidRDefault="00367ED8" w:rsidP="00367ED8">
            <w:pPr>
              <w:spacing w:line="240" w:lineRule="exact"/>
            </w:pPr>
            <w:r>
              <w:t>Original: English</w:t>
            </w:r>
          </w:p>
        </w:tc>
      </w:tr>
    </w:tbl>
    <w:p w:rsidR="00D82EA3" w:rsidRPr="007D3E05" w:rsidRDefault="00D82EA3" w:rsidP="00F74B01">
      <w:pPr>
        <w:spacing w:before="120" w:line="240" w:lineRule="exact"/>
        <w:rPr>
          <w:b/>
          <w:sz w:val="24"/>
          <w:szCs w:val="24"/>
        </w:rPr>
      </w:pPr>
      <w:r w:rsidRPr="007D3E05">
        <w:rPr>
          <w:b/>
          <w:sz w:val="24"/>
          <w:szCs w:val="24"/>
        </w:rPr>
        <w:t>Human Rights Committee</w:t>
      </w:r>
    </w:p>
    <w:p w:rsidR="00D82EA3" w:rsidRDefault="00D82EA3" w:rsidP="00F74B01">
      <w:pPr>
        <w:pStyle w:val="HChG"/>
      </w:pPr>
      <w:r>
        <w:tab/>
      </w:r>
      <w:r>
        <w:tab/>
      </w:r>
      <w:r w:rsidRPr="00F74B01">
        <w:t>Communication</w:t>
      </w:r>
      <w:r w:rsidRPr="007C1F31">
        <w:t xml:space="preserve"> No. </w:t>
      </w:r>
      <w:r>
        <w:t>2169/2012</w:t>
      </w:r>
    </w:p>
    <w:p w:rsidR="00D82EA3" w:rsidRPr="007D3E05" w:rsidRDefault="00D82EA3" w:rsidP="00F74B01">
      <w:pPr>
        <w:pStyle w:val="H1G"/>
      </w:pPr>
      <w:r w:rsidRPr="007D3E05">
        <w:tab/>
      </w:r>
      <w:r w:rsidRPr="007D3E05">
        <w:tab/>
      </w:r>
      <w:r w:rsidR="00945F31" w:rsidRPr="00945F31">
        <w:t>Decision adopted by the Committee at its 106th session (15 October–</w:t>
      </w:r>
      <w:r w:rsidR="00E8337F">
        <w:br/>
      </w:r>
      <w:r w:rsidR="00945F31" w:rsidRPr="00945F31">
        <w:t>2 November 2012)</w:t>
      </w:r>
    </w:p>
    <w:p w:rsidR="00D82EA3" w:rsidRPr="00F74B01" w:rsidRDefault="00D82EA3" w:rsidP="00F74B01">
      <w:pPr>
        <w:pStyle w:val="SingleTxtG"/>
        <w:ind w:left="4536" w:hanging="3402"/>
      </w:pPr>
      <w:r w:rsidRPr="00F74B01">
        <w:rPr>
          <w:i/>
        </w:rPr>
        <w:t>Submitted by:</w:t>
      </w:r>
      <w:r w:rsidRPr="00F74B01">
        <w:tab/>
      </w:r>
      <w:r w:rsidR="00C55551" w:rsidRPr="00F74B01">
        <w:t>S</w:t>
      </w:r>
      <w:r w:rsidR="00C55551">
        <w:t>.</w:t>
      </w:r>
      <w:r w:rsidR="00C55551" w:rsidRPr="00F74B01">
        <w:t>K</w:t>
      </w:r>
      <w:r w:rsidR="00C55551">
        <w:t>.</w:t>
      </w:r>
      <w:r w:rsidR="00C55551" w:rsidRPr="00F74B01">
        <w:t xml:space="preserve"> </w:t>
      </w:r>
      <w:r w:rsidR="00F74B01">
        <w:t>(not represented by counsel)</w:t>
      </w:r>
    </w:p>
    <w:p w:rsidR="00D82EA3" w:rsidRPr="00F74B01" w:rsidRDefault="00D82EA3" w:rsidP="00F74B01">
      <w:pPr>
        <w:pStyle w:val="SingleTxtG"/>
        <w:ind w:left="4536" w:hanging="3402"/>
      </w:pPr>
      <w:r w:rsidRPr="00F74B01">
        <w:rPr>
          <w:i/>
        </w:rPr>
        <w:t>All</w:t>
      </w:r>
      <w:r w:rsidR="00F74B01">
        <w:rPr>
          <w:i/>
        </w:rPr>
        <w:t>eged victim</w:t>
      </w:r>
      <w:r w:rsidRPr="00F74B01">
        <w:rPr>
          <w:i/>
        </w:rPr>
        <w:t>:</w:t>
      </w:r>
      <w:r w:rsidRPr="00F74B01">
        <w:tab/>
        <w:t>The author</w:t>
      </w:r>
    </w:p>
    <w:p w:rsidR="00D82EA3" w:rsidRPr="00F74B01" w:rsidRDefault="00D82EA3" w:rsidP="00F74B01">
      <w:pPr>
        <w:pStyle w:val="SingleTxtG"/>
        <w:ind w:left="4536" w:hanging="3402"/>
      </w:pPr>
      <w:r w:rsidRPr="00F74B01">
        <w:rPr>
          <w:i/>
        </w:rPr>
        <w:t>State party:</w:t>
      </w:r>
      <w:r w:rsidRPr="00F74B01">
        <w:tab/>
      </w:r>
      <w:smartTag w:uri="urn:schemas-microsoft-com:office:smarttags" w:element="place">
        <w:smartTag w:uri="urn:schemas-microsoft-com:office:smarttags" w:element="country-region">
          <w:r w:rsidRPr="00F74B01">
            <w:t>Belarus</w:t>
          </w:r>
        </w:smartTag>
      </w:smartTag>
    </w:p>
    <w:p w:rsidR="00D82EA3" w:rsidRPr="00F74B01" w:rsidRDefault="00D82EA3" w:rsidP="00F74B01">
      <w:pPr>
        <w:pStyle w:val="SingleTxtG"/>
        <w:ind w:left="4536" w:hanging="3402"/>
      </w:pPr>
      <w:r w:rsidRPr="00F74B01">
        <w:rPr>
          <w:i/>
        </w:rPr>
        <w:t>Date of communication:</w:t>
      </w:r>
      <w:r w:rsidRPr="00F74B01">
        <w:tab/>
        <w:t>5 December 2011 (initial submission)</w:t>
      </w:r>
    </w:p>
    <w:p w:rsidR="00D82EA3" w:rsidRDefault="00D82EA3" w:rsidP="00F74B01">
      <w:pPr>
        <w:pStyle w:val="SingleTxtG"/>
        <w:ind w:left="4536" w:hanging="3402"/>
      </w:pPr>
      <w:r w:rsidRPr="00F74B01">
        <w:rPr>
          <w:i/>
        </w:rPr>
        <w:t xml:space="preserve">Date of adoption of </w:t>
      </w:r>
      <w:r w:rsidR="00F74B01" w:rsidRPr="00F74B01">
        <w:rPr>
          <w:i/>
        </w:rPr>
        <w:t>decision</w:t>
      </w:r>
      <w:r w:rsidRPr="00F74B01">
        <w:rPr>
          <w:i/>
        </w:rPr>
        <w:t>:</w:t>
      </w:r>
      <w:r w:rsidRPr="00F74B01">
        <w:tab/>
      </w:r>
      <w:r w:rsidR="008D648D">
        <w:t>31</w:t>
      </w:r>
      <w:r w:rsidR="008D648D" w:rsidRPr="00F74B01">
        <w:t xml:space="preserve"> </w:t>
      </w:r>
      <w:r w:rsidRPr="00F74B01">
        <w:t>October 2012</w:t>
      </w:r>
    </w:p>
    <w:p w:rsidR="00D82EA3" w:rsidRPr="00D82EA3" w:rsidRDefault="00D82EA3" w:rsidP="00F74B01">
      <w:pPr>
        <w:pStyle w:val="SingleTxtG"/>
        <w:ind w:left="4536" w:hanging="3402"/>
      </w:pPr>
      <w:r w:rsidRPr="00D82EA3">
        <w:rPr>
          <w:i/>
        </w:rPr>
        <w:t xml:space="preserve">Subject matter:  </w:t>
      </w:r>
      <w:r w:rsidRPr="00D82EA3">
        <w:rPr>
          <w:i/>
        </w:rPr>
        <w:tab/>
      </w:r>
      <w:r w:rsidR="00E8337F">
        <w:rPr>
          <w:i/>
        </w:rPr>
        <w:tab/>
      </w:r>
      <w:r w:rsidR="00E8337F" w:rsidRPr="00E8337F">
        <w:t>A</w:t>
      </w:r>
      <w:r w:rsidRPr="00D82EA3">
        <w:t xml:space="preserve">uthor’s conviction for violation of public order </w:t>
      </w:r>
    </w:p>
    <w:p w:rsidR="00D82EA3" w:rsidRDefault="00D82EA3" w:rsidP="00F74B01">
      <w:pPr>
        <w:pStyle w:val="SingleTxtG"/>
        <w:ind w:left="4536" w:hanging="3402"/>
      </w:pPr>
      <w:r w:rsidRPr="00D82EA3">
        <w:rPr>
          <w:i/>
        </w:rPr>
        <w:t xml:space="preserve">Substantive issues: </w:t>
      </w:r>
      <w:r w:rsidRPr="00D82EA3">
        <w:rPr>
          <w:i/>
        </w:rPr>
        <w:tab/>
      </w:r>
      <w:r w:rsidRPr="00D82EA3">
        <w:t>Right to a fair hearing by an impartial tribunal, freedom of expression</w:t>
      </w:r>
    </w:p>
    <w:p w:rsidR="00E8337F" w:rsidRPr="00D82EA3" w:rsidRDefault="00E8337F" w:rsidP="00E8337F">
      <w:pPr>
        <w:pStyle w:val="SingleTxtG"/>
        <w:ind w:left="4536" w:hanging="3402"/>
      </w:pPr>
      <w:r w:rsidRPr="00D82EA3">
        <w:rPr>
          <w:i/>
        </w:rPr>
        <w:t xml:space="preserve">Procedural issues: </w:t>
      </w:r>
      <w:r w:rsidRPr="00D82EA3">
        <w:rPr>
          <w:i/>
        </w:rPr>
        <w:tab/>
      </w:r>
      <w:r w:rsidRPr="00D82EA3">
        <w:t>Inadmissibility due to non-substantiation</w:t>
      </w:r>
    </w:p>
    <w:p w:rsidR="00D82EA3" w:rsidRPr="00D82EA3" w:rsidRDefault="00D82EA3" w:rsidP="00F74B01">
      <w:pPr>
        <w:pStyle w:val="SingleTxtG"/>
        <w:ind w:left="4536" w:hanging="3402"/>
      </w:pPr>
      <w:r w:rsidRPr="00D82EA3">
        <w:rPr>
          <w:i/>
        </w:rPr>
        <w:t>Articles of the Covenant:</w:t>
      </w:r>
      <w:r w:rsidRPr="00D82EA3">
        <w:t xml:space="preserve"> </w:t>
      </w:r>
      <w:r w:rsidRPr="00D82EA3">
        <w:tab/>
        <w:t xml:space="preserve">14, 19 and 26. </w:t>
      </w:r>
    </w:p>
    <w:p w:rsidR="00D82EA3" w:rsidRDefault="00D82EA3" w:rsidP="00F74B01">
      <w:pPr>
        <w:pStyle w:val="SingleTxtG"/>
        <w:ind w:left="4536" w:hanging="3402"/>
      </w:pPr>
      <w:r w:rsidRPr="00D82EA3">
        <w:rPr>
          <w:i/>
        </w:rPr>
        <w:t>Articles of the Optional Protocol:</w:t>
      </w:r>
      <w:r w:rsidRPr="00D82EA3">
        <w:rPr>
          <w:i/>
        </w:rPr>
        <w:tab/>
      </w:r>
      <w:r w:rsidRPr="00D82EA3">
        <w:t>2</w:t>
      </w:r>
    </w:p>
    <w:p w:rsidR="00D82EA3" w:rsidRPr="00D82EA3" w:rsidRDefault="00945F31" w:rsidP="00F74B01">
      <w:pPr>
        <w:pStyle w:val="HChG"/>
      </w:pPr>
      <w:r w:rsidDel="00945F31">
        <w:t xml:space="preserve"> </w:t>
      </w:r>
      <w:r w:rsidR="00D82EA3" w:rsidRPr="00D82EA3">
        <w:br w:type="page"/>
      </w:r>
      <w:r w:rsidR="00D82EA3" w:rsidRPr="00D82EA3">
        <w:lastRenderedPageBreak/>
        <w:t>Annex</w:t>
      </w:r>
    </w:p>
    <w:p w:rsidR="00D82EA3" w:rsidRPr="00D82EA3" w:rsidRDefault="00D82EA3" w:rsidP="00F74B01">
      <w:pPr>
        <w:pStyle w:val="HChG"/>
      </w:pPr>
      <w:r w:rsidRPr="00D82EA3">
        <w:tab/>
      </w:r>
      <w:r w:rsidRPr="00D82EA3">
        <w:tab/>
        <w:t>Decision of the Human Rights Committee under the Optional Protocol to the International Covenant on Civil and Political rights (</w:t>
      </w:r>
      <w:r w:rsidR="00E8337F">
        <w:t>106</w:t>
      </w:r>
      <w:r w:rsidRPr="00D82EA3">
        <w:t>th session)</w:t>
      </w:r>
    </w:p>
    <w:p w:rsidR="00D82EA3" w:rsidRPr="00D82EA3" w:rsidRDefault="00D82EA3" w:rsidP="00F74B01">
      <w:pPr>
        <w:pStyle w:val="SingleTxtG"/>
        <w:rPr>
          <w:bCs/>
        </w:rPr>
      </w:pPr>
      <w:r w:rsidRPr="00D82EA3">
        <w:rPr>
          <w:bCs/>
        </w:rPr>
        <w:t>concerning</w:t>
      </w:r>
    </w:p>
    <w:p w:rsidR="007654A1" w:rsidRPr="007654A1" w:rsidRDefault="00D82EA3" w:rsidP="007654A1">
      <w:pPr>
        <w:pStyle w:val="H1G"/>
      </w:pPr>
      <w:r w:rsidRPr="00D82EA3">
        <w:tab/>
      </w:r>
      <w:r w:rsidRPr="00D82EA3">
        <w:tab/>
        <w:t>Communication No. 2169/2012</w:t>
      </w:r>
      <w:r w:rsidR="00DC7CAB" w:rsidRPr="001D7C0F">
        <w:rPr>
          <w:vertAlign w:val="superscript"/>
        </w:rPr>
        <w:footnoteReference w:customMarkFollows="1" w:id="2"/>
        <w:t>*</w:t>
      </w:r>
    </w:p>
    <w:p w:rsidR="00D82EA3" w:rsidRPr="00F74B01" w:rsidRDefault="00D82EA3" w:rsidP="00F74B01">
      <w:pPr>
        <w:pStyle w:val="SingleTxtG"/>
        <w:ind w:left="4536" w:hanging="3402"/>
      </w:pPr>
      <w:r w:rsidRPr="00F74B01">
        <w:rPr>
          <w:i/>
        </w:rPr>
        <w:t>Submitted by:</w:t>
      </w:r>
      <w:r w:rsidRPr="00F74B01">
        <w:tab/>
      </w:r>
      <w:r w:rsidR="00C55551" w:rsidRPr="00F74B01">
        <w:t>S</w:t>
      </w:r>
      <w:r w:rsidR="00C55551">
        <w:t>.</w:t>
      </w:r>
      <w:r w:rsidR="00C55551" w:rsidRPr="00F74B01">
        <w:t>K</w:t>
      </w:r>
      <w:r w:rsidR="00C55551">
        <w:t>.</w:t>
      </w:r>
      <w:r w:rsidR="00C55551" w:rsidRPr="00F74B01">
        <w:t xml:space="preserve"> </w:t>
      </w:r>
      <w:r w:rsidR="00F74B01">
        <w:t>(not represented by counsel)</w:t>
      </w:r>
    </w:p>
    <w:p w:rsidR="00D82EA3" w:rsidRPr="00F74B01" w:rsidRDefault="00D82EA3" w:rsidP="00F74B01">
      <w:pPr>
        <w:pStyle w:val="SingleTxtG"/>
        <w:ind w:left="4536" w:hanging="3402"/>
      </w:pPr>
      <w:r w:rsidRPr="00F74B01">
        <w:rPr>
          <w:i/>
        </w:rPr>
        <w:t>Alleged victim:</w:t>
      </w:r>
      <w:r w:rsidRPr="00F74B01">
        <w:tab/>
        <w:t>The author</w:t>
      </w:r>
    </w:p>
    <w:p w:rsidR="00D82EA3" w:rsidRPr="00F74B01" w:rsidRDefault="00D82EA3" w:rsidP="00F74B01">
      <w:pPr>
        <w:pStyle w:val="SingleTxtG"/>
        <w:ind w:left="4536" w:hanging="3402"/>
      </w:pPr>
      <w:r w:rsidRPr="00F74B01">
        <w:rPr>
          <w:i/>
        </w:rPr>
        <w:t>State party:</w:t>
      </w:r>
      <w:r w:rsidRPr="00F74B01">
        <w:tab/>
      </w:r>
      <w:smartTag w:uri="urn:schemas-microsoft-com:office:smarttags" w:element="place">
        <w:smartTag w:uri="urn:schemas-microsoft-com:office:smarttags" w:element="country-region">
          <w:r w:rsidRPr="00F74B01">
            <w:t>Belarus</w:t>
          </w:r>
        </w:smartTag>
      </w:smartTag>
    </w:p>
    <w:p w:rsidR="00D82EA3" w:rsidRPr="00F74B01" w:rsidRDefault="00D82EA3" w:rsidP="00F74B01">
      <w:pPr>
        <w:pStyle w:val="SingleTxtG"/>
        <w:ind w:left="4536" w:hanging="3402"/>
      </w:pPr>
      <w:r w:rsidRPr="00F74B01">
        <w:rPr>
          <w:i/>
        </w:rPr>
        <w:t>Date of communication:</w:t>
      </w:r>
      <w:r w:rsidRPr="00F74B01">
        <w:tab/>
        <w:t>5 December 2011 (initial submission)</w:t>
      </w:r>
    </w:p>
    <w:p w:rsidR="00D82EA3" w:rsidRPr="00D82EA3" w:rsidRDefault="00D82EA3" w:rsidP="00F74B01">
      <w:pPr>
        <w:pStyle w:val="SingleTxtG"/>
      </w:pPr>
      <w:r w:rsidRPr="00D82EA3">
        <w:rPr>
          <w:i/>
        </w:rPr>
        <w:tab/>
      </w:r>
      <w:r w:rsidRPr="00F74B01">
        <w:rPr>
          <w:i/>
        </w:rPr>
        <w:t>The Human Rights Committee</w:t>
      </w:r>
      <w:r w:rsidRPr="00D82EA3">
        <w:t>, established under article 28 of the International Covenant on Civil and Political Rights,</w:t>
      </w:r>
    </w:p>
    <w:p w:rsidR="00D82EA3" w:rsidRPr="00D82EA3" w:rsidRDefault="00D82EA3" w:rsidP="00F74B01">
      <w:pPr>
        <w:pStyle w:val="SingleTxtG"/>
      </w:pPr>
      <w:r w:rsidRPr="00D82EA3">
        <w:tab/>
      </w:r>
      <w:r w:rsidRPr="00F74B01">
        <w:rPr>
          <w:i/>
        </w:rPr>
        <w:t>Meeting on</w:t>
      </w:r>
      <w:r w:rsidRPr="00D82EA3">
        <w:t xml:space="preserve"> </w:t>
      </w:r>
      <w:r w:rsidR="008D648D">
        <w:t>31 October</w:t>
      </w:r>
      <w:r w:rsidR="008D648D" w:rsidRPr="00D82EA3">
        <w:t xml:space="preserve"> </w:t>
      </w:r>
      <w:r w:rsidRPr="00D82EA3">
        <w:t>2012,</w:t>
      </w:r>
    </w:p>
    <w:p w:rsidR="00D82EA3" w:rsidRPr="00D82EA3" w:rsidRDefault="00D82EA3" w:rsidP="00F74B01">
      <w:pPr>
        <w:pStyle w:val="SingleTxtG"/>
      </w:pPr>
      <w:r w:rsidRPr="00D82EA3">
        <w:tab/>
      </w:r>
      <w:r w:rsidRPr="00F74B01">
        <w:rPr>
          <w:i/>
        </w:rPr>
        <w:t>Adopts</w:t>
      </w:r>
      <w:r w:rsidRPr="00E8337F">
        <w:t xml:space="preserve"> the following:</w:t>
      </w:r>
    </w:p>
    <w:p w:rsidR="00D82EA3" w:rsidRPr="00D82EA3" w:rsidRDefault="00D82EA3" w:rsidP="00F74B01">
      <w:pPr>
        <w:pStyle w:val="H1G"/>
      </w:pPr>
      <w:r w:rsidRPr="00D82EA3">
        <w:tab/>
      </w:r>
      <w:r w:rsidRPr="00D82EA3">
        <w:tab/>
        <w:t>Decision on admissibility</w:t>
      </w:r>
    </w:p>
    <w:p w:rsidR="00D82EA3" w:rsidRPr="00D82EA3" w:rsidRDefault="00D82EA3" w:rsidP="00F74B01">
      <w:pPr>
        <w:pStyle w:val="SingleTxtG"/>
      </w:pPr>
      <w:r w:rsidRPr="00D82EA3">
        <w:t>1.</w:t>
      </w:r>
      <w:r w:rsidRPr="00D82EA3">
        <w:tab/>
        <w:t xml:space="preserve">The author of the communication dated 5 December 2011 is </w:t>
      </w:r>
      <w:r w:rsidR="00C55551">
        <w:t>S.K.</w:t>
      </w:r>
      <w:r w:rsidRPr="00D82EA3">
        <w:t xml:space="preserve">, a </w:t>
      </w:r>
      <w:smartTag w:uri="urn:schemas-microsoft-com:office:smarttags" w:element="place">
        <w:smartTag w:uri="urn:schemas-microsoft-com:office:smarttags" w:element="country-region">
          <w:r w:rsidRPr="00D82EA3">
            <w:t>Belarus</w:t>
          </w:r>
        </w:smartTag>
      </w:smartTag>
      <w:r w:rsidRPr="00D82EA3">
        <w:t xml:space="preserve"> national born in 1975. He claims to be </w:t>
      </w:r>
      <w:r w:rsidR="008D6B5A">
        <w:t>the</w:t>
      </w:r>
      <w:r w:rsidRPr="00D82EA3">
        <w:t xml:space="preserve"> victim of violations by Belarus of his rights under articles 2, paragraph 1; article 14, paragraph 1; article 19, paragraph 2</w:t>
      </w:r>
      <w:r w:rsidR="00C6737B">
        <w:t>;</w:t>
      </w:r>
      <w:r w:rsidRPr="00D82EA3">
        <w:t xml:space="preserve"> and article 26 of the International Covenant on Civil and Political Rights. The Optional Protocol entered into force for </w:t>
      </w:r>
      <w:smartTag w:uri="urn:schemas-microsoft-com:office:smarttags" w:element="place">
        <w:smartTag w:uri="urn:schemas-microsoft-com:office:smarttags" w:element="country-region">
          <w:r w:rsidRPr="00D82EA3">
            <w:t>Belarus</w:t>
          </w:r>
        </w:smartTag>
      </w:smartTag>
      <w:r w:rsidRPr="00D82EA3">
        <w:t xml:space="preserve"> on 30 December 1992. The author is unrepresented. </w:t>
      </w:r>
    </w:p>
    <w:p w:rsidR="00D82EA3" w:rsidRPr="00D82EA3" w:rsidRDefault="00D82EA3" w:rsidP="00F74B01">
      <w:pPr>
        <w:pStyle w:val="H23G"/>
      </w:pPr>
      <w:r w:rsidRPr="00D82EA3">
        <w:tab/>
      </w:r>
      <w:r w:rsidRPr="00D82EA3">
        <w:tab/>
        <w:t>The facts as presented by the author</w:t>
      </w:r>
    </w:p>
    <w:p w:rsidR="00D82EA3" w:rsidRPr="00D82EA3" w:rsidRDefault="00D82EA3" w:rsidP="00F74B01">
      <w:pPr>
        <w:pStyle w:val="SingleTxtG"/>
      </w:pPr>
      <w:r w:rsidRPr="00D82EA3">
        <w:t>2.1</w:t>
      </w:r>
      <w:r w:rsidRPr="00D82EA3">
        <w:tab/>
        <w:t xml:space="preserve">On 7 January 2010, the day when Orthodox Christians celebrate Christmas, at around noon, the author climbed </w:t>
      </w:r>
      <w:r w:rsidR="008D6B5A">
        <w:t>t</w:t>
      </w:r>
      <w:r w:rsidRPr="00D82EA3">
        <w:t>o</w:t>
      </w:r>
      <w:r w:rsidR="008D6B5A">
        <w:t xml:space="preserve"> </w:t>
      </w:r>
      <w:r w:rsidRPr="00D82EA3">
        <w:t xml:space="preserve">the top of a Christmas tree located </w:t>
      </w:r>
      <w:r w:rsidR="00962882">
        <w:t>i</w:t>
      </w:r>
      <w:r w:rsidRPr="00D82EA3">
        <w:t xml:space="preserve">n Pobeda (“Victory”) </w:t>
      </w:r>
      <w:r w:rsidR="00962882">
        <w:t>S</w:t>
      </w:r>
      <w:r w:rsidRPr="00D82EA3">
        <w:t xml:space="preserve">quare in the city of </w:t>
      </w:r>
      <w:smartTag w:uri="urn:schemas-microsoft-com:office:smarttags" w:element="City">
        <w:smartTag w:uri="urn:schemas-microsoft-com:office:smarttags" w:element="place">
          <w:r w:rsidRPr="00D82EA3">
            <w:t>Vitebsk</w:t>
          </w:r>
        </w:smartTag>
      </w:smartTag>
      <w:r w:rsidR="00962882">
        <w:t xml:space="preserve"> and</w:t>
      </w:r>
      <w:r w:rsidRPr="00D82EA3">
        <w:t xml:space="preserve"> placed a white-red-white flag</w:t>
      </w:r>
      <w:r w:rsidR="00F5780A">
        <w:t>, that used to be the national flag,</w:t>
      </w:r>
      <w:r w:rsidR="00962882">
        <w:t xml:space="preserve"> there. H</w:t>
      </w:r>
      <w:r w:rsidRPr="00D82EA3">
        <w:t xml:space="preserve">e was </w:t>
      </w:r>
      <w:r w:rsidR="00962882">
        <w:t xml:space="preserve">subsequently </w:t>
      </w:r>
      <w:r w:rsidRPr="00D82EA3">
        <w:t xml:space="preserve">arrested and charged with violations of articles 339 and 363 of the Criminal Code of Belarus. </w:t>
      </w:r>
    </w:p>
    <w:p w:rsidR="00D82EA3" w:rsidRPr="00D82EA3" w:rsidRDefault="00D82EA3" w:rsidP="00F74B01">
      <w:pPr>
        <w:pStyle w:val="SingleTxtG"/>
      </w:pPr>
      <w:r w:rsidRPr="00D82EA3">
        <w:t>2.2</w:t>
      </w:r>
      <w:r w:rsidRPr="00D82EA3">
        <w:tab/>
        <w:t xml:space="preserve">The author submits that he is a member of </w:t>
      </w:r>
      <w:r w:rsidR="00962882">
        <w:t xml:space="preserve">the </w:t>
      </w:r>
      <w:r w:rsidRPr="00D82EA3">
        <w:t xml:space="preserve">Conservative Christian Party of </w:t>
      </w:r>
      <w:r w:rsidR="00962882">
        <w:t xml:space="preserve">the </w:t>
      </w:r>
      <w:r w:rsidRPr="00D82EA3">
        <w:t xml:space="preserve">Belarus National Front, which is in opposition to the current regime in </w:t>
      </w:r>
      <w:smartTag w:uri="urn:schemas-microsoft-com:office:smarttags" w:element="place">
        <w:smartTag w:uri="urn:schemas-microsoft-com:office:smarttags" w:element="country-region">
          <w:r w:rsidRPr="00D82EA3">
            <w:t>Belarus</w:t>
          </w:r>
        </w:smartTag>
      </w:smartTag>
      <w:r w:rsidRPr="00D82EA3">
        <w:t xml:space="preserve">. The white-red-white flag was </w:t>
      </w:r>
      <w:r w:rsidR="00F5780A">
        <w:t>used as the</w:t>
      </w:r>
      <w:r w:rsidRPr="00D82EA3">
        <w:t xml:space="preserve"> national flag</w:t>
      </w:r>
      <w:r w:rsidR="00F5780A">
        <w:t xml:space="preserve"> of </w:t>
      </w:r>
      <w:smartTag w:uri="urn:schemas-microsoft-com:office:smarttags" w:element="place">
        <w:smartTag w:uri="urn:schemas-microsoft-com:office:smarttags" w:element="country-region">
          <w:r w:rsidR="00F5780A">
            <w:t>Belarus</w:t>
          </w:r>
        </w:smartTag>
      </w:smartTag>
      <w:r w:rsidRPr="00D82EA3">
        <w:t xml:space="preserve"> from 1991 to 1994, and currently is considered as a historic symbol of the country. The author submits that the flag is not prohibited and has a holy meaning for him. By hanging </w:t>
      </w:r>
      <w:r w:rsidR="00F5780A">
        <w:t>placing</w:t>
      </w:r>
      <w:r w:rsidR="00F5780A" w:rsidRPr="00D82EA3">
        <w:t xml:space="preserve"> </w:t>
      </w:r>
      <w:r w:rsidRPr="00D82EA3">
        <w:t xml:space="preserve">it on the tree, the author wanted to express his political opinion. </w:t>
      </w:r>
    </w:p>
    <w:p w:rsidR="00D82EA3" w:rsidRPr="00D82EA3" w:rsidRDefault="00D82EA3" w:rsidP="00F74B01">
      <w:pPr>
        <w:pStyle w:val="SingleTxtG"/>
      </w:pPr>
      <w:r w:rsidRPr="00D82EA3">
        <w:lastRenderedPageBreak/>
        <w:t>2.3</w:t>
      </w:r>
      <w:r w:rsidRPr="00D82EA3">
        <w:tab/>
        <w:t xml:space="preserve">The author further claims that by </w:t>
      </w:r>
      <w:r w:rsidR="00F5780A">
        <w:t>placing</w:t>
      </w:r>
      <w:r w:rsidRPr="00D82EA3">
        <w:t xml:space="preserve"> the flag on the tree, he did not break any laws. Such expression of political opinion cannot be restricted, because it does not infringe on national security, public order, public health, morals or </w:t>
      </w:r>
      <w:r w:rsidR="00B4580B">
        <w:t xml:space="preserve">the </w:t>
      </w:r>
      <w:r w:rsidRPr="00D82EA3">
        <w:t xml:space="preserve">reputation of others. </w:t>
      </w:r>
    </w:p>
    <w:p w:rsidR="00D82EA3" w:rsidRPr="00D82EA3" w:rsidRDefault="00D82EA3" w:rsidP="00F74B01">
      <w:pPr>
        <w:pStyle w:val="SingleTxtG"/>
      </w:pPr>
      <w:r w:rsidRPr="00D82EA3">
        <w:t>2.4</w:t>
      </w:r>
      <w:r w:rsidRPr="00D82EA3">
        <w:tab/>
        <w:t>The author submits that on 14 May 2010, the Oktyabrsky District Court convicted him of carrying out “acts, dangerous to the general public</w:t>
      </w:r>
      <w:r w:rsidR="00B4580B">
        <w:t>,</w:t>
      </w:r>
      <w:r w:rsidRPr="00D82EA3">
        <w:t xml:space="preserve">” as proscribed by articles 339 and 363 of the Criminal Code, and fined </w:t>
      </w:r>
      <w:r w:rsidR="00B4580B">
        <w:t>him</w:t>
      </w:r>
      <w:r w:rsidRPr="00D82EA3">
        <w:t xml:space="preserve"> the amount of 3 500 000 Belarus</w:t>
      </w:r>
      <w:r w:rsidR="00B4580B">
        <w:t>ian</w:t>
      </w:r>
      <w:r w:rsidRPr="00D82EA3">
        <w:t xml:space="preserve"> r</w:t>
      </w:r>
      <w:r w:rsidR="00B4580B">
        <w:t>o</w:t>
      </w:r>
      <w:r w:rsidRPr="00D82EA3">
        <w:t>ubles</w:t>
      </w:r>
      <w:r w:rsidRPr="00D82EA3">
        <w:rPr>
          <w:vertAlign w:val="superscript"/>
        </w:rPr>
        <w:footnoteReference w:id="3"/>
      </w:r>
      <w:r w:rsidRPr="00D82EA3">
        <w:t xml:space="preserve"> to compensate for damage to the Christmas tree and the lighting. During the court hearing, the court did not allow the author to summon witnesses in his defence</w:t>
      </w:r>
      <w:r w:rsidR="00B4580B">
        <w:t>.</w:t>
      </w:r>
      <w:r w:rsidRPr="00D82EA3">
        <w:rPr>
          <w:vertAlign w:val="superscript"/>
        </w:rPr>
        <w:footnoteReference w:id="4"/>
      </w:r>
      <w:r w:rsidRPr="00D82EA3">
        <w:t xml:space="preserve"> </w:t>
      </w:r>
    </w:p>
    <w:p w:rsidR="00D82EA3" w:rsidRPr="00D82EA3" w:rsidRDefault="00D82EA3" w:rsidP="00F74B01">
      <w:pPr>
        <w:pStyle w:val="SingleTxtG"/>
      </w:pPr>
      <w:r w:rsidRPr="00D82EA3">
        <w:t>2.5</w:t>
      </w:r>
      <w:r w:rsidRPr="00D82EA3">
        <w:tab/>
        <w:t xml:space="preserve">The </w:t>
      </w:r>
      <w:smartTag w:uri="urn:schemas-microsoft-com:office:smarttags" w:element="place">
        <w:smartTag w:uri="urn:schemas-microsoft-com:office:smarttags" w:element="City">
          <w:r w:rsidRPr="00D82EA3">
            <w:t>Vitebsk</w:t>
          </w:r>
        </w:smartTag>
      </w:smartTag>
      <w:r w:rsidRPr="00D82EA3">
        <w:t xml:space="preserve"> Regional Court rejected the author’s appeal </w:t>
      </w:r>
      <w:r w:rsidR="00B4580B">
        <w:t>in</w:t>
      </w:r>
      <w:r w:rsidRPr="00D82EA3">
        <w:t xml:space="preserve"> its decision o</w:t>
      </w:r>
      <w:r w:rsidR="00B4580B">
        <w:t>f</w:t>
      </w:r>
      <w:r w:rsidRPr="00D82EA3">
        <w:t xml:space="preserve"> 25 June 2010. The Supreme Court of Belarus rejected his appeal on 2 November 2011. </w:t>
      </w:r>
    </w:p>
    <w:p w:rsidR="00D82EA3" w:rsidRPr="00D82EA3" w:rsidRDefault="00D82EA3" w:rsidP="00F74B01">
      <w:pPr>
        <w:pStyle w:val="SingleTxtG"/>
      </w:pPr>
      <w:r w:rsidRPr="00D82EA3">
        <w:t>2.6</w:t>
      </w:r>
      <w:r w:rsidRPr="00D82EA3">
        <w:tab/>
        <w:t>The author contends that he has exhausted all available and effective domestic remedies.</w:t>
      </w:r>
    </w:p>
    <w:p w:rsidR="00D82EA3" w:rsidRPr="00D82EA3" w:rsidRDefault="00D82EA3" w:rsidP="00F74B01">
      <w:pPr>
        <w:pStyle w:val="H23G"/>
      </w:pPr>
      <w:r w:rsidRPr="00D82EA3">
        <w:tab/>
      </w:r>
      <w:r w:rsidRPr="00D82EA3">
        <w:tab/>
        <w:t>The complaint</w:t>
      </w:r>
    </w:p>
    <w:p w:rsidR="00D82EA3" w:rsidRPr="00D82EA3" w:rsidRDefault="00D82EA3" w:rsidP="00F74B01">
      <w:pPr>
        <w:pStyle w:val="SingleTxtG"/>
      </w:pPr>
      <w:r w:rsidRPr="00D82EA3">
        <w:t>3.1</w:t>
      </w:r>
      <w:r w:rsidRPr="00D82EA3">
        <w:tab/>
        <w:t xml:space="preserve"> The author claims that by arresting </w:t>
      </w:r>
      <w:r w:rsidR="00C6737B">
        <w:t xml:space="preserve">and </w:t>
      </w:r>
      <w:r w:rsidRPr="00D82EA3">
        <w:t xml:space="preserve">prosecuting him, the State party violated </w:t>
      </w:r>
      <w:r w:rsidR="00C6737B">
        <w:t xml:space="preserve">his rights </w:t>
      </w:r>
      <w:r w:rsidRPr="00D82EA3">
        <w:t>under article</w:t>
      </w:r>
      <w:r w:rsidR="00C6737B">
        <w:t>s</w:t>
      </w:r>
      <w:r w:rsidRPr="00D82EA3">
        <w:t xml:space="preserve"> 19 and 26 of the Covenant</w:t>
      </w:r>
      <w:r w:rsidRPr="00D82EA3">
        <w:rPr>
          <w:vertAlign w:val="superscript"/>
        </w:rPr>
        <w:footnoteReference w:id="5"/>
      </w:r>
      <w:r w:rsidRPr="00D82EA3">
        <w:t xml:space="preserve">. </w:t>
      </w:r>
      <w:r w:rsidR="00945F31">
        <w:t xml:space="preserve">He </w:t>
      </w:r>
      <w:r w:rsidRPr="00D82EA3">
        <w:t>submits that the State party’s decision was not based on concerns of national security, public order, public health, morals</w:t>
      </w:r>
      <w:r w:rsidR="00B4580B">
        <w:t xml:space="preserve"> </w:t>
      </w:r>
      <w:r w:rsidRPr="00D82EA3">
        <w:t>or</w:t>
      </w:r>
      <w:r w:rsidR="00B4580B">
        <w:t xml:space="preserve"> the</w:t>
      </w:r>
      <w:r w:rsidRPr="00D82EA3">
        <w:t xml:space="preserve"> reputation of others. </w:t>
      </w:r>
    </w:p>
    <w:p w:rsidR="00D82EA3" w:rsidRPr="00D82EA3" w:rsidRDefault="00D82EA3" w:rsidP="00F74B01">
      <w:pPr>
        <w:pStyle w:val="SingleTxtG"/>
      </w:pPr>
      <w:r w:rsidRPr="00D82EA3">
        <w:t xml:space="preserve">3.2 The author further claims that by not allowing him to summon witnesses in his defence, the State party violated his rights under article 14, paragraph 1, of the Covenant. </w:t>
      </w:r>
    </w:p>
    <w:p w:rsidR="00D82EA3" w:rsidRPr="00D82EA3" w:rsidRDefault="00D82EA3" w:rsidP="00F74B01">
      <w:pPr>
        <w:pStyle w:val="H23G"/>
      </w:pPr>
      <w:r w:rsidRPr="00D82EA3">
        <w:tab/>
      </w:r>
      <w:r w:rsidRPr="00D82EA3">
        <w:tab/>
        <w:t>Issues and proceedings before the Committee</w:t>
      </w:r>
    </w:p>
    <w:p w:rsidR="00D82EA3" w:rsidRPr="00D82EA3" w:rsidRDefault="00D82EA3" w:rsidP="00F74B01">
      <w:pPr>
        <w:pStyle w:val="SingleTxtG"/>
      </w:pPr>
      <w:r w:rsidRPr="00D82EA3">
        <w:t>4.1</w:t>
      </w:r>
      <w:r w:rsidRPr="00D82EA3">
        <w:tab/>
        <w:t>Before considering any claim contained in a communication, the Human Rights Committee must determine whether it is admissible under the Optional Protocol to the International Covenant on Civil and Political Rights.</w:t>
      </w:r>
    </w:p>
    <w:p w:rsidR="00D82EA3" w:rsidRPr="00D82EA3" w:rsidRDefault="00D82EA3" w:rsidP="00F74B01">
      <w:pPr>
        <w:pStyle w:val="SingleTxtG"/>
        <w:rPr>
          <w:lang w:val="en-US"/>
        </w:rPr>
      </w:pPr>
      <w:r w:rsidRPr="00D82EA3">
        <w:t>4.2</w:t>
      </w:r>
      <w:r w:rsidRPr="00D82EA3">
        <w:tab/>
        <w:t xml:space="preserve">The Committee observes that although the </w:t>
      </w:r>
      <w:r w:rsidRPr="00D82EA3">
        <w:rPr>
          <w:lang w:val="en-US"/>
        </w:rPr>
        <w:t>author invokes a violation of article 14, paragraph 1, his claims seem to fall under article 14, paragraph 3</w:t>
      </w:r>
      <w:r w:rsidR="00C6737B">
        <w:rPr>
          <w:lang w:val="en-US"/>
        </w:rPr>
        <w:t xml:space="preserve"> </w:t>
      </w:r>
      <w:r w:rsidRPr="00D82EA3">
        <w:rPr>
          <w:lang w:val="en-US"/>
        </w:rPr>
        <w:t>(e)</w:t>
      </w:r>
      <w:r w:rsidR="00610649">
        <w:rPr>
          <w:lang w:val="en-US"/>
        </w:rPr>
        <w:t>,</w:t>
      </w:r>
      <w:r w:rsidRPr="00D82EA3">
        <w:rPr>
          <w:lang w:val="en-US"/>
        </w:rPr>
        <w:t xml:space="preserve"> of the Covenant, and are linked primarily to the evaluation of facts and evidence</w:t>
      </w:r>
      <w:r w:rsidR="00C55551">
        <w:rPr>
          <w:lang w:val="en-US"/>
        </w:rPr>
        <w:t xml:space="preserve">. The Committee </w:t>
      </w:r>
      <w:r w:rsidRPr="00D82EA3">
        <w:rPr>
          <w:lang w:val="en-US"/>
        </w:rPr>
        <w:t xml:space="preserve">recalls its jurisprudence according to which it is generally not </w:t>
      </w:r>
      <w:r w:rsidR="00313D7D">
        <w:rPr>
          <w:lang w:val="en-US"/>
        </w:rPr>
        <w:t xml:space="preserve">up to the Committee, </w:t>
      </w:r>
      <w:r w:rsidRPr="00D82EA3">
        <w:rPr>
          <w:lang w:val="en-US"/>
        </w:rPr>
        <w:t xml:space="preserve">but </w:t>
      </w:r>
      <w:r w:rsidR="00313D7D">
        <w:rPr>
          <w:lang w:val="en-US"/>
        </w:rPr>
        <w:t xml:space="preserve">rather </w:t>
      </w:r>
      <w:r w:rsidRPr="00D82EA3">
        <w:rPr>
          <w:lang w:val="en-US"/>
        </w:rPr>
        <w:t xml:space="preserve">the courts of </w:t>
      </w:r>
      <w:r w:rsidR="00313D7D">
        <w:rPr>
          <w:lang w:val="en-US"/>
        </w:rPr>
        <w:t xml:space="preserve">the </w:t>
      </w:r>
      <w:r w:rsidRPr="00D82EA3">
        <w:rPr>
          <w:lang w:val="en-US"/>
        </w:rPr>
        <w:t>State part</w:t>
      </w:r>
      <w:r w:rsidR="00313D7D">
        <w:rPr>
          <w:lang w:val="en-US"/>
        </w:rPr>
        <w:t>y concerned</w:t>
      </w:r>
      <w:r w:rsidRPr="00D82EA3">
        <w:rPr>
          <w:lang w:val="en-US"/>
        </w:rPr>
        <w:t>, to review or evaluate facts and evidence, unless it can be ascertained that the conduct of the trial or the evaluation of facts and evidence was manifestly arbitrary or amounted to a denial of justice.</w:t>
      </w:r>
      <w:r w:rsidRPr="00D82EA3">
        <w:rPr>
          <w:vertAlign w:val="superscript"/>
          <w:lang w:val="en-US"/>
        </w:rPr>
        <w:footnoteReference w:id="6"/>
      </w:r>
      <w:r w:rsidRPr="00D82EA3">
        <w:t xml:space="preserve"> The Committee observes that the materials before it, including the transcripts of court hearings, do not suggest that the impartiality of the court was affected, </w:t>
      </w:r>
      <w:r w:rsidR="00313D7D">
        <w:t xml:space="preserve">nor was </w:t>
      </w:r>
      <w:r w:rsidRPr="00D82EA3">
        <w:t xml:space="preserve">the principle of equality of arms violated </w:t>
      </w:r>
      <w:r w:rsidR="00313D7D">
        <w:t>n</w:t>
      </w:r>
      <w:r w:rsidRPr="00D82EA3">
        <w:t xml:space="preserve">or </w:t>
      </w:r>
      <w:r w:rsidR="00313D7D">
        <w:t xml:space="preserve">was </w:t>
      </w:r>
      <w:r w:rsidRPr="00D82EA3">
        <w:t>the fairness of the author’s trial otherwise undermined. It therefore concludes</w:t>
      </w:r>
      <w:r w:rsidRPr="00D82EA3">
        <w:rPr>
          <w:lang w:val="en-US"/>
        </w:rPr>
        <w:t xml:space="preserve"> that the author failed to substantiate his claim under article 14, paragraph 1</w:t>
      </w:r>
      <w:r w:rsidR="00C6737B">
        <w:rPr>
          <w:lang w:val="en-US"/>
        </w:rPr>
        <w:t>,</w:t>
      </w:r>
      <w:r w:rsidRPr="00D82EA3">
        <w:rPr>
          <w:lang w:val="en-US"/>
        </w:rPr>
        <w:t xml:space="preserve"> of the Covenant for </w:t>
      </w:r>
      <w:r w:rsidRPr="00D82EA3">
        <w:rPr>
          <w:lang w:val="en-US"/>
        </w:rPr>
        <w:lastRenderedPageBreak/>
        <w:t xml:space="preserve">purposes of admissibility, and declares </w:t>
      </w:r>
      <w:r w:rsidR="00313D7D">
        <w:rPr>
          <w:lang w:val="en-US"/>
        </w:rPr>
        <w:t>the claim</w:t>
      </w:r>
      <w:r w:rsidRPr="00D82EA3">
        <w:rPr>
          <w:lang w:val="en-US"/>
        </w:rPr>
        <w:t xml:space="preserve"> inadmissible under article 2 of the Optional Protocol.</w:t>
      </w:r>
    </w:p>
    <w:p w:rsidR="00D82EA3" w:rsidRPr="00D82EA3" w:rsidRDefault="00D82EA3" w:rsidP="00F74B01">
      <w:pPr>
        <w:pStyle w:val="SingleTxtG"/>
      </w:pPr>
      <w:r w:rsidRPr="00D82EA3">
        <w:rPr>
          <w:lang w:val="en-US"/>
        </w:rPr>
        <w:t>4.3</w:t>
      </w:r>
      <w:r w:rsidRPr="00D82EA3">
        <w:rPr>
          <w:lang w:val="en-US"/>
        </w:rPr>
        <w:tab/>
        <w:t xml:space="preserve">Regarding the author’s allegations </w:t>
      </w:r>
      <w:r w:rsidR="000F2EA5">
        <w:rPr>
          <w:lang w:val="en-US"/>
        </w:rPr>
        <w:t xml:space="preserve">under </w:t>
      </w:r>
      <w:r w:rsidRPr="00D82EA3">
        <w:rPr>
          <w:lang w:val="en-US"/>
        </w:rPr>
        <w:t>article 2, paragraph 1</w:t>
      </w:r>
      <w:r w:rsidR="000F2EA5">
        <w:rPr>
          <w:lang w:val="en-US"/>
        </w:rPr>
        <w:t>;</w:t>
      </w:r>
      <w:r w:rsidRPr="00D82EA3">
        <w:rPr>
          <w:lang w:val="en-US"/>
        </w:rPr>
        <w:t xml:space="preserve"> article 19 and </w:t>
      </w:r>
      <w:r w:rsidR="000F2EA5">
        <w:rPr>
          <w:lang w:val="en-US"/>
        </w:rPr>
        <w:t xml:space="preserve">article </w:t>
      </w:r>
      <w:r w:rsidRPr="00D82EA3">
        <w:rPr>
          <w:lang w:val="en-US"/>
        </w:rPr>
        <w:t>26</w:t>
      </w:r>
      <w:r w:rsidR="000F2EA5">
        <w:rPr>
          <w:lang w:val="en-US"/>
        </w:rPr>
        <w:t>,</w:t>
      </w:r>
      <w:r w:rsidRPr="00D82EA3">
        <w:rPr>
          <w:lang w:val="en-US"/>
        </w:rPr>
        <w:t xml:space="preserve"> of the Covenant, the Committee notes that the information provided by the author does not provide any substantiation of his claim that his rights were violated. The Committee further notes that under article 19, paragraph 3</w:t>
      </w:r>
      <w:r w:rsidR="000F2EA5">
        <w:rPr>
          <w:lang w:val="en-US"/>
        </w:rPr>
        <w:t xml:space="preserve"> </w:t>
      </w:r>
      <w:r w:rsidRPr="00D82EA3">
        <w:rPr>
          <w:lang w:val="en-US"/>
        </w:rPr>
        <w:t>(a) and (b)</w:t>
      </w:r>
      <w:r w:rsidR="00313D7D">
        <w:rPr>
          <w:lang w:val="en-US"/>
        </w:rPr>
        <w:t xml:space="preserve"> of the Covenant</w:t>
      </w:r>
      <w:r w:rsidRPr="00D82EA3">
        <w:rPr>
          <w:lang w:val="en-US"/>
        </w:rPr>
        <w:t>, the right to freedom of expression may be subject to certain restrictions, including those necessary for the protection of public order (</w:t>
      </w:r>
      <w:r w:rsidRPr="00313D7D">
        <w:rPr>
          <w:lang w:val="en-US"/>
        </w:rPr>
        <w:t>ordre public</w:t>
      </w:r>
      <w:r w:rsidRPr="00D82EA3">
        <w:rPr>
          <w:lang w:val="en-US"/>
        </w:rPr>
        <w:t xml:space="preserve">). As to the </w:t>
      </w:r>
      <w:r w:rsidR="00313D7D">
        <w:rPr>
          <w:lang w:val="en-US"/>
        </w:rPr>
        <w:t xml:space="preserve">violation of his rights </w:t>
      </w:r>
      <w:r w:rsidRPr="00D82EA3">
        <w:rPr>
          <w:lang w:val="en-US"/>
        </w:rPr>
        <w:t>under article 26, the author has not explained how the issues are separate from those falling under article 19</w:t>
      </w:r>
      <w:r w:rsidR="00313D7D">
        <w:rPr>
          <w:lang w:val="en-US"/>
        </w:rPr>
        <w:t>. A</w:t>
      </w:r>
      <w:r w:rsidRPr="00D82EA3">
        <w:rPr>
          <w:lang w:val="en-US"/>
        </w:rPr>
        <w:t xml:space="preserve">ccordingly, </w:t>
      </w:r>
      <w:r w:rsidR="00313D7D">
        <w:rPr>
          <w:lang w:val="en-US"/>
        </w:rPr>
        <w:t>the author</w:t>
      </w:r>
      <w:r w:rsidR="000F2EA5">
        <w:rPr>
          <w:lang w:val="en-US"/>
        </w:rPr>
        <w:t xml:space="preserve"> </w:t>
      </w:r>
      <w:r w:rsidRPr="00D82EA3">
        <w:rPr>
          <w:lang w:val="en-US"/>
        </w:rPr>
        <w:t>has failed to sufficiently substantiate his claim for purposes of admissibility. The Committee therefore concludes that the author failed to substantiate his claims under article 2, paragraph 1</w:t>
      </w:r>
      <w:r w:rsidR="00313D7D">
        <w:rPr>
          <w:lang w:val="en-US"/>
        </w:rPr>
        <w:t>;</w:t>
      </w:r>
      <w:r w:rsidRPr="00D82EA3">
        <w:rPr>
          <w:lang w:val="en-US"/>
        </w:rPr>
        <w:t xml:space="preserve"> article 19 and </w:t>
      </w:r>
      <w:r w:rsidR="00313D7D">
        <w:rPr>
          <w:lang w:val="en-US"/>
        </w:rPr>
        <w:t xml:space="preserve">article </w:t>
      </w:r>
      <w:r w:rsidRPr="00D82EA3">
        <w:rPr>
          <w:lang w:val="en-US"/>
        </w:rPr>
        <w:t>26</w:t>
      </w:r>
      <w:r w:rsidR="000F2EA5">
        <w:rPr>
          <w:lang w:val="en-US"/>
        </w:rPr>
        <w:t>,</w:t>
      </w:r>
      <w:r w:rsidRPr="00D82EA3">
        <w:rPr>
          <w:lang w:val="en-US"/>
        </w:rPr>
        <w:t xml:space="preserve"> of the Covenant for purposes of admissibility, and declares </w:t>
      </w:r>
      <w:r w:rsidR="00313D7D">
        <w:rPr>
          <w:lang w:val="en-US"/>
        </w:rPr>
        <w:t>said claims</w:t>
      </w:r>
      <w:r w:rsidRPr="00D82EA3">
        <w:rPr>
          <w:lang w:val="en-US"/>
        </w:rPr>
        <w:t xml:space="preserve"> inadmissible under article 2 of the Optional Protocol.  </w:t>
      </w:r>
    </w:p>
    <w:p w:rsidR="00D82EA3" w:rsidRPr="00D82EA3" w:rsidRDefault="00D82EA3" w:rsidP="00F74B01">
      <w:pPr>
        <w:pStyle w:val="SingleTxtG"/>
      </w:pPr>
      <w:r w:rsidRPr="00D82EA3">
        <w:t>5.</w:t>
      </w:r>
      <w:r w:rsidRPr="00D82EA3">
        <w:tab/>
        <w:t>The Human Rights Committee therefore decides:</w:t>
      </w:r>
    </w:p>
    <w:p w:rsidR="00D82EA3" w:rsidRPr="00D82EA3" w:rsidRDefault="00D82EA3" w:rsidP="00F74B01">
      <w:pPr>
        <w:pStyle w:val="SingleTxtG"/>
        <w:ind w:firstLine="567"/>
      </w:pPr>
      <w:r w:rsidRPr="00D82EA3">
        <w:t>(a)</w:t>
      </w:r>
      <w:r w:rsidRPr="00D82EA3">
        <w:tab/>
        <w:t>That the communication is inadmissible under article 2 of the Optional Protocol;</w:t>
      </w:r>
    </w:p>
    <w:p w:rsidR="00D82EA3" w:rsidRPr="00D82EA3" w:rsidRDefault="00F74B01" w:rsidP="00F74B01">
      <w:pPr>
        <w:pStyle w:val="SingleTxtG"/>
      </w:pPr>
      <w:r>
        <w:tab/>
      </w:r>
      <w:r w:rsidR="00D82EA3" w:rsidRPr="00D82EA3">
        <w:t>(b)</w:t>
      </w:r>
      <w:r w:rsidR="00D82EA3" w:rsidRPr="00D82EA3">
        <w:tab/>
        <w:t>That th</w:t>
      </w:r>
      <w:r w:rsidR="00313D7D">
        <w:t>is</w:t>
      </w:r>
      <w:r w:rsidR="00D82EA3" w:rsidRPr="00D82EA3">
        <w:t xml:space="preserve"> decision </w:t>
      </w:r>
      <w:r w:rsidR="00313D7D">
        <w:t xml:space="preserve">shall </w:t>
      </w:r>
      <w:r w:rsidR="00D82EA3" w:rsidRPr="00D82EA3">
        <w:t>be transmitted to the State party and to the author.</w:t>
      </w:r>
    </w:p>
    <w:p w:rsidR="00442A83" w:rsidRDefault="00D82EA3" w:rsidP="00F74B01">
      <w:pPr>
        <w:pStyle w:val="SingleTxtG"/>
      </w:pPr>
      <w:r w:rsidRPr="00D82EA3">
        <w:t>[Adopted in English, French and Spanish, the English text being the original version. Subsequently to be issued also in Arabic, Chinese and Russian as part of the Committee’s annual report to the General Assembly.]</w:t>
      </w:r>
    </w:p>
    <w:p w:rsidR="00F74B01" w:rsidRPr="00F74B01" w:rsidRDefault="00F74B01" w:rsidP="00F74B01">
      <w:pPr>
        <w:pStyle w:val="SingleTxtG"/>
        <w:spacing w:before="240" w:after="0"/>
        <w:jc w:val="center"/>
        <w:rPr>
          <w:u w:val="single"/>
        </w:rPr>
      </w:pPr>
      <w:r>
        <w:rPr>
          <w:u w:val="single"/>
        </w:rPr>
        <w:tab/>
      </w:r>
      <w:r>
        <w:rPr>
          <w:u w:val="single"/>
        </w:rPr>
        <w:tab/>
      </w:r>
      <w:r>
        <w:rPr>
          <w:u w:val="single"/>
        </w:rPr>
        <w:tab/>
      </w:r>
    </w:p>
    <w:sectPr w:rsidR="00F74B01" w:rsidRPr="00F74B01" w:rsidSect="00367ED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2E5" w:rsidRDefault="007122E5"/>
  </w:endnote>
  <w:endnote w:type="continuationSeparator" w:id="0">
    <w:p w:rsidR="007122E5" w:rsidRDefault="007122E5"/>
  </w:endnote>
  <w:endnote w:type="continuationNotice" w:id="1">
    <w:p w:rsidR="007122E5" w:rsidRDefault="0071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19" w:rsidRPr="00367ED8" w:rsidRDefault="00971119" w:rsidP="00367ED8">
    <w:pPr>
      <w:pStyle w:val="Footer"/>
      <w:tabs>
        <w:tab w:val="right" w:pos="9638"/>
      </w:tabs>
    </w:pPr>
    <w:r w:rsidRPr="00367ED8">
      <w:rPr>
        <w:b/>
        <w:sz w:val="18"/>
      </w:rPr>
      <w:fldChar w:fldCharType="begin"/>
    </w:r>
    <w:r w:rsidRPr="00367ED8">
      <w:rPr>
        <w:b/>
        <w:sz w:val="18"/>
      </w:rPr>
      <w:instrText xml:space="preserve"> PAGE  \* MERGEFORMAT </w:instrText>
    </w:r>
    <w:r w:rsidRPr="00367ED8">
      <w:rPr>
        <w:b/>
        <w:sz w:val="18"/>
      </w:rPr>
      <w:fldChar w:fldCharType="separate"/>
    </w:r>
    <w:r w:rsidR="00264DBD">
      <w:rPr>
        <w:b/>
        <w:noProof/>
        <w:sz w:val="18"/>
      </w:rPr>
      <w:t>2</w:t>
    </w:r>
    <w:r w:rsidRPr="00367ED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19" w:rsidRPr="00367ED8" w:rsidRDefault="00971119" w:rsidP="00367ED8">
    <w:pPr>
      <w:pStyle w:val="Footer"/>
      <w:tabs>
        <w:tab w:val="right" w:pos="9638"/>
      </w:tabs>
      <w:rPr>
        <w:b/>
        <w:sz w:val="18"/>
      </w:rPr>
    </w:pPr>
    <w:r>
      <w:tab/>
    </w:r>
    <w:r w:rsidRPr="00367ED8">
      <w:rPr>
        <w:b/>
        <w:sz w:val="18"/>
      </w:rPr>
      <w:fldChar w:fldCharType="begin"/>
    </w:r>
    <w:r w:rsidRPr="00367ED8">
      <w:rPr>
        <w:b/>
        <w:sz w:val="18"/>
      </w:rPr>
      <w:instrText xml:space="preserve"> PAGE  \* MERGEFORMAT </w:instrText>
    </w:r>
    <w:r w:rsidRPr="00367ED8">
      <w:rPr>
        <w:b/>
        <w:sz w:val="18"/>
      </w:rPr>
      <w:fldChar w:fldCharType="separate"/>
    </w:r>
    <w:r w:rsidR="00264DBD">
      <w:rPr>
        <w:b/>
        <w:noProof/>
        <w:sz w:val="18"/>
      </w:rPr>
      <w:t>3</w:t>
    </w:r>
    <w:r w:rsidRPr="00367ED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19" w:rsidRPr="00367ED8" w:rsidRDefault="007122E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971119">
      <w:t>GE.</w:t>
    </w:r>
    <w:r w:rsidR="00C168DB">
      <w:t>12</w:t>
    </w:r>
    <w:r w:rsidR="00B320E3">
      <w:t>-48568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2E5" w:rsidRPr="000B175B" w:rsidRDefault="007122E5" w:rsidP="000B175B">
      <w:pPr>
        <w:tabs>
          <w:tab w:val="right" w:pos="2155"/>
        </w:tabs>
        <w:spacing w:after="80"/>
        <w:ind w:left="680"/>
        <w:rPr>
          <w:u w:val="single"/>
        </w:rPr>
      </w:pPr>
      <w:r>
        <w:rPr>
          <w:u w:val="single"/>
        </w:rPr>
        <w:tab/>
      </w:r>
    </w:p>
  </w:footnote>
  <w:footnote w:type="continuationSeparator" w:id="0">
    <w:p w:rsidR="007122E5" w:rsidRPr="00FC68B7" w:rsidRDefault="007122E5" w:rsidP="00FC68B7">
      <w:pPr>
        <w:tabs>
          <w:tab w:val="left" w:pos="2155"/>
        </w:tabs>
        <w:spacing w:after="80"/>
        <w:ind w:left="680"/>
        <w:rPr>
          <w:u w:val="single"/>
        </w:rPr>
      </w:pPr>
      <w:r>
        <w:rPr>
          <w:u w:val="single"/>
        </w:rPr>
        <w:tab/>
      </w:r>
    </w:p>
  </w:footnote>
  <w:footnote w:type="continuationNotice" w:id="1">
    <w:p w:rsidR="007122E5" w:rsidRDefault="007122E5"/>
  </w:footnote>
  <w:footnote w:id="2">
    <w:p w:rsidR="00971119" w:rsidRPr="005E0957" w:rsidRDefault="00971119" w:rsidP="004D5049">
      <w:pPr>
        <w:pStyle w:val="FootnoteText"/>
        <w:ind w:firstLine="0"/>
        <w:jc w:val="both"/>
      </w:pPr>
      <w:r w:rsidRPr="00E8337F">
        <w:rPr>
          <w:rStyle w:val="FootnoteReference"/>
        </w:rPr>
        <w:t>*</w:t>
      </w:r>
      <w:r>
        <w:rPr>
          <w:color w:val="000000"/>
          <w:szCs w:val="18"/>
          <w:lang w:eastAsia="en-GB"/>
        </w:rPr>
        <w:t xml:space="preserve"> The following members of the Committee participated in the examination of the present communication:  Mr. Yadh Ben Achour, Mr. Cornelis Flinterman, Mr. Yuji Iwasawa, Mr. Walter Kälin, Ms. Zonke Zanele Majodina, Mr. Gerald L. Neuman, Mr. Michael O’Flaherty, Mr. Rafael Rivas Posada, Sir Nigel Rodley, Mr. Fabián Omar Salvioli, Mr. Marat Sarsembayev and Mr. Krister Thelin.</w:t>
      </w:r>
    </w:p>
  </w:footnote>
  <w:footnote w:id="3">
    <w:p w:rsidR="00971119" w:rsidRPr="00813874" w:rsidRDefault="00971119" w:rsidP="004D5049">
      <w:pPr>
        <w:pStyle w:val="FootnoteText"/>
        <w:ind w:firstLine="0"/>
        <w:jc w:val="both"/>
      </w:pPr>
      <w:r>
        <w:rPr>
          <w:rStyle w:val="FootnoteReference"/>
        </w:rPr>
        <w:footnoteRef/>
      </w:r>
      <w:r>
        <w:t xml:space="preserve"> This amount is equal to approximately 925€ based on the official exchange rate at the time. </w:t>
      </w:r>
    </w:p>
  </w:footnote>
  <w:footnote w:id="4">
    <w:p w:rsidR="00971119" w:rsidRPr="000331DA" w:rsidRDefault="00971119" w:rsidP="004D5049">
      <w:pPr>
        <w:pStyle w:val="FootnoteText"/>
        <w:ind w:firstLine="0"/>
        <w:jc w:val="both"/>
      </w:pPr>
      <w:r>
        <w:rPr>
          <w:rStyle w:val="FootnoteReference"/>
        </w:rPr>
        <w:footnoteRef/>
      </w:r>
      <w:r>
        <w:t xml:space="preserve"> The author provides no further explanation as to who the witnesses were nor how their testimony would have changed the outcome of the court proceedings. </w:t>
      </w:r>
    </w:p>
  </w:footnote>
  <w:footnote w:id="5">
    <w:p w:rsidR="00971119" w:rsidRPr="000331DA" w:rsidRDefault="00971119" w:rsidP="004D5049">
      <w:pPr>
        <w:pStyle w:val="FootnoteText"/>
        <w:ind w:firstLine="0"/>
        <w:jc w:val="both"/>
      </w:pPr>
      <w:r>
        <w:rPr>
          <w:rStyle w:val="FootnoteReference"/>
        </w:rPr>
        <w:footnoteRef/>
      </w:r>
      <w:r>
        <w:t xml:space="preserve"> The author does not explain how article 26 was violated.</w:t>
      </w:r>
    </w:p>
  </w:footnote>
  <w:footnote w:id="6">
    <w:p w:rsidR="00971119" w:rsidRDefault="00971119" w:rsidP="004D5049">
      <w:pPr>
        <w:pStyle w:val="FootnoteText"/>
        <w:ind w:firstLine="0"/>
        <w:jc w:val="both"/>
      </w:pPr>
      <w:r w:rsidRPr="00B34600">
        <w:rPr>
          <w:rStyle w:val="FootnoteReference"/>
          <w:szCs w:val="18"/>
        </w:rPr>
        <w:footnoteRef/>
      </w:r>
      <w:r w:rsidRPr="00D337FF">
        <w:rPr>
          <w:szCs w:val="18"/>
        </w:rPr>
        <w:t xml:space="preserve"> </w:t>
      </w:r>
      <w:r>
        <w:rPr>
          <w:szCs w:val="18"/>
        </w:rPr>
        <w:t xml:space="preserve">See the </w:t>
      </w:r>
      <w:r w:rsidRPr="008160A5">
        <w:rPr>
          <w:szCs w:val="18"/>
        </w:rPr>
        <w:t>Committee</w:t>
      </w:r>
      <w:r>
        <w:rPr>
          <w:szCs w:val="18"/>
        </w:rPr>
        <w:t>’s</w:t>
      </w:r>
      <w:r w:rsidRPr="008160A5">
        <w:rPr>
          <w:szCs w:val="18"/>
        </w:rPr>
        <w:t xml:space="preserve"> </w:t>
      </w:r>
      <w:r>
        <w:rPr>
          <w:szCs w:val="18"/>
        </w:rPr>
        <w:t>g</w:t>
      </w:r>
      <w:r w:rsidRPr="008160A5">
        <w:rPr>
          <w:szCs w:val="18"/>
        </w:rPr>
        <w:t xml:space="preserve">eneral </w:t>
      </w:r>
      <w:r>
        <w:rPr>
          <w:szCs w:val="18"/>
        </w:rPr>
        <w:t>c</w:t>
      </w:r>
      <w:r w:rsidRPr="008160A5">
        <w:rPr>
          <w:szCs w:val="18"/>
        </w:rPr>
        <w:t>omment</w:t>
      </w:r>
      <w:r>
        <w:rPr>
          <w:szCs w:val="18"/>
        </w:rPr>
        <w:t xml:space="preserve"> No. 32 (2007) on the r</w:t>
      </w:r>
      <w:r w:rsidRPr="008160A5">
        <w:rPr>
          <w:szCs w:val="18"/>
        </w:rPr>
        <w:t>ight</w:t>
      </w:r>
      <w:r w:rsidRPr="00D337FF">
        <w:rPr>
          <w:szCs w:val="18"/>
        </w:rPr>
        <w:t xml:space="preserve"> to equality before courts and tribunals and to a fair trial</w:t>
      </w:r>
      <w:r>
        <w:rPr>
          <w:szCs w:val="18"/>
        </w:rPr>
        <w:t xml:space="preserve">, </w:t>
      </w:r>
      <w:r w:rsidRPr="00D337FF">
        <w:rPr>
          <w:szCs w:val="18"/>
        </w:rPr>
        <w:t>para. 26</w:t>
      </w:r>
      <w:r>
        <w:rPr>
          <w:szCs w:val="18"/>
        </w:rPr>
        <w:t xml:space="preserve">, </w:t>
      </w:r>
      <w:r w:rsidRPr="00A1349B">
        <w:rPr>
          <w:i/>
          <w:szCs w:val="18"/>
        </w:rPr>
        <w:t>Official Records of the General Assembly, Sixty-second Session, Supplement No. 40</w:t>
      </w:r>
      <w:r w:rsidRPr="00A1349B">
        <w:rPr>
          <w:szCs w:val="18"/>
        </w:rPr>
        <w:t>, vol. I (A/62/40 (Vol. I)), annex VI</w:t>
      </w:r>
      <w:r w:rsidRPr="00D337FF">
        <w:rPr>
          <w:szCs w:val="18"/>
        </w:rPr>
        <w:t xml:space="preserve">; see, inter alia, </w:t>
      </w:r>
      <w:r>
        <w:rPr>
          <w:szCs w:val="18"/>
        </w:rPr>
        <w:t>communications No. </w:t>
      </w:r>
      <w:r w:rsidRPr="00D337FF">
        <w:rPr>
          <w:szCs w:val="18"/>
        </w:rPr>
        <w:t xml:space="preserve">541/1993, </w:t>
      </w:r>
      <w:r w:rsidRPr="00B34600">
        <w:rPr>
          <w:i/>
          <w:szCs w:val="18"/>
        </w:rPr>
        <w:t>Simms</w:t>
      </w:r>
      <w:r w:rsidRPr="00D337FF">
        <w:rPr>
          <w:szCs w:val="18"/>
        </w:rPr>
        <w:t xml:space="preserve"> v. </w:t>
      </w:r>
      <w:smartTag w:uri="urn:schemas-microsoft-com:office:smarttags" w:element="place">
        <w:smartTag w:uri="urn:schemas-microsoft-com:office:smarttags" w:element="country-region">
          <w:r w:rsidRPr="00B34600">
            <w:rPr>
              <w:i/>
              <w:szCs w:val="18"/>
            </w:rPr>
            <w:t>Jamaica</w:t>
          </w:r>
        </w:smartTag>
      </w:smartTag>
      <w:r w:rsidRPr="00D337FF">
        <w:rPr>
          <w:szCs w:val="18"/>
        </w:rPr>
        <w:t>, decision</w:t>
      </w:r>
      <w:r>
        <w:rPr>
          <w:szCs w:val="18"/>
        </w:rPr>
        <w:t xml:space="preserve"> of inadmissibility</w:t>
      </w:r>
      <w:r w:rsidRPr="00D337FF">
        <w:rPr>
          <w:szCs w:val="18"/>
        </w:rPr>
        <w:t xml:space="preserve"> adopted on 3 April 1995, para. 6.2; No. 1616/2007, </w:t>
      </w:r>
      <w:r w:rsidRPr="00B34600">
        <w:rPr>
          <w:i/>
          <w:szCs w:val="18"/>
        </w:rPr>
        <w:t>Manzano</w:t>
      </w:r>
      <w:r w:rsidRPr="00D337FF">
        <w:rPr>
          <w:szCs w:val="18"/>
        </w:rPr>
        <w:t xml:space="preserve"> v. </w:t>
      </w:r>
      <w:smartTag w:uri="urn:schemas-microsoft-com:office:smarttags" w:element="place">
        <w:smartTag w:uri="urn:schemas-microsoft-com:office:smarttags" w:element="country-region">
          <w:r w:rsidRPr="00B34600">
            <w:rPr>
              <w:i/>
              <w:szCs w:val="18"/>
            </w:rPr>
            <w:t>Colombia</w:t>
          </w:r>
        </w:smartTag>
      </w:smartTag>
      <w:r w:rsidRPr="00D337FF">
        <w:rPr>
          <w:szCs w:val="18"/>
        </w:rPr>
        <w:t>, decision</w:t>
      </w:r>
      <w:r>
        <w:rPr>
          <w:szCs w:val="18"/>
        </w:rPr>
        <w:t xml:space="preserve"> of </w:t>
      </w:r>
      <w:r w:rsidRPr="00D337FF">
        <w:rPr>
          <w:szCs w:val="18"/>
        </w:rPr>
        <w:t>inadmissibility adopted on 19 March 2010, para. 6.4</w:t>
      </w:r>
      <w:r w:rsidRPr="00D337FF">
        <w:rPr>
          <w:rStyle w:val="FootnoteReference"/>
          <w:szCs w:val="18"/>
        </w:rPr>
        <w:t>.</w:t>
      </w:r>
      <w:r w:rsidRPr="00D337FF">
        <w:rPr>
          <w:szCs w:val="18"/>
        </w:rPr>
        <w:t xml:space="preserve">; No. 1532/2006, </w:t>
      </w:r>
      <w:r w:rsidRPr="00B34600">
        <w:rPr>
          <w:i/>
          <w:szCs w:val="18"/>
        </w:rPr>
        <w:t>Sedljar and Lavrov</w:t>
      </w:r>
      <w:r w:rsidRPr="008A13B8">
        <w:rPr>
          <w:szCs w:val="18"/>
        </w:rPr>
        <w:t xml:space="preserve"> v. </w:t>
      </w:r>
      <w:smartTag w:uri="urn:schemas-microsoft-com:office:smarttags" w:element="place">
        <w:smartTag w:uri="urn:schemas-microsoft-com:office:smarttags" w:element="country-region">
          <w:r w:rsidRPr="00B34600">
            <w:rPr>
              <w:i/>
              <w:szCs w:val="18"/>
            </w:rPr>
            <w:t>Estonia</w:t>
          </w:r>
        </w:smartTag>
      </w:smartTag>
      <w:r w:rsidRPr="00D337FF">
        <w:rPr>
          <w:szCs w:val="18"/>
        </w:rPr>
        <w:t xml:space="preserve">, </w:t>
      </w:r>
      <w:r>
        <w:rPr>
          <w:szCs w:val="18"/>
        </w:rPr>
        <w:t xml:space="preserve">decision of </w:t>
      </w:r>
      <w:r w:rsidRPr="00D337FF">
        <w:rPr>
          <w:szCs w:val="18"/>
        </w:rPr>
        <w:t>inadmissibility adopted on 29 March 2011, para.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19" w:rsidRPr="00367ED8" w:rsidRDefault="00971119">
    <w:pPr>
      <w:pStyle w:val="Header"/>
    </w:pPr>
    <w:r>
      <w:t>CCPR/C/106/D/2169/2012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19" w:rsidRPr="00367ED8" w:rsidRDefault="00971119" w:rsidP="00367ED8">
    <w:pPr>
      <w:pStyle w:val="Header"/>
      <w:jc w:val="right"/>
    </w:pPr>
    <w:r>
      <w:t>CCPR/C/106/D/2169/2012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E3" w:rsidRDefault="00B32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ED8"/>
    <w:rsid w:val="000272B3"/>
    <w:rsid w:val="00050F6B"/>
    <w:rsid w:val="00057E97"/>
    <w:rsid w:val="00060C3A"/>
    <w:rsid w:val="00072C8C"/>
    <w:rsid w:val="000733B5"/>
    <w:rsid w:val="00074A1C"/>
    <w:rsid w:val="00081815"/>
    <w:rsid w:val="000931C0"/>
    <w:rsid w:val="000B175B"/>
    <w:rsid w:val="000B3A0F"/>
    <w:rsid w:val="000B4EF7"/>
    <w:rsid w:val="000C2C03"/>
    <w:rsid w:val="000C2D2E"/>
    <w:rsid w:val="000E0415"/>
    <w:rsid w:val="000E5DFF"/>
    <w:rsid w:val="000F2EA5"/>
    <w:rsid w:val="001103AA"/>
    <w:rsid w:val="00165F3A"/>
    <w:rsid w:val="00175511"/>
    <w:rsid w:val="00175C82"/>
    <w:rsid w:val="00183968"/>
    <w:rsid w:val="001A0752"/>
    <w:rsid w:val="001A6686"/>
    <w:rsid w:val="001B4B04"/>
    <w:rsid w:val="001C6663"/>
    <w:rsid w:val="001C7895"/>
    <w:rsid w:val="001D0C8C"/>
    <w:rsid w:val="001D26DF"/>
    <w:rsid w:val="001D3A03"/>
    <w:rsid w:val="001E5075"/>
    <w:rsid w:val="00202DA8"/>
    <w:rsid w:val="00211E0B"/>
    <w:rsid w:val="0023210C"/>
    <w:rsid w:val="00264DBD"/>
    <w:rsid w:val="00267F5F"/>
    <w:rsid w:val="00286B4D"/>
    <w:rsid w:val="002E2373"/>
    <w:rsid w:val="002F175C"/>
    <w:rsid w:val="00313D7D"/>
    <w:rsid w:val="003229D8"/>
    <w:rsid w:val="0033154D"/>
    <w:rsid w:val="003400D6"/>
    <w:rsid w:val="00352709"/>
    <w:rsid w:val="00367567"/>
    <w:rsid w:val="00367ED8"/>
    <w:rsid w:val="00371178"/>
    <w:rsid w:val="0038336C"/>
    <w:rsid w:val="003A6810"/>
    <w:rsid w:val="003C2CC4"/>
    <w:rsid w:val="003D4B23"/>
    <w:rsid w:val="004007D4"/>
    <w:rsid w:val="00410C89"/>
    <w:rsid w:val="00426B9B"/>
    <w:rsid w:val="004325CB"/>
    <w:rsid w:val="00436B33"/>
    <w:rsid w:val="00442A83"/>
    <w:rsid w:val="0045495B"/>
    <w:rsid w:val="0046705D"/>
    <w:rsid w:val="00487488"/>
    <w:rsid w:val="004D4990"/>
    <w:rsid w:val="004D5049"/>
    <w:rsid w:val="005121D0"/>
    <w:rsid w:val="0052136D"/>
    <w:rsid w:val="0052775E"/>
    <w:rsid w:val="00542098"/>
    <w:rsid w:val="005420F2"/>
    <w:rsid w:val="00542F5F"/>
    <w:rsid w:val="00547AA0"/>
    <w:rsid w:val="005628B6"/>
    <w:rsid w:val="005848B3"/>
    <w:rsid w:val="00590F87"/>
    <w:rsid w:val="00592C4A"/>
    <w:rsid w:val="005B3DB3"/>
    <w:rsid w:val="005E5775"/>
    <w:rsid w:val="005F7717"/>
    <w:rsid w:val="005F7B75"/>
    <w:rsid w:val="006001EE"/>
    <w:rsid w:val="00605042"/>
    <w:rsid w:val="00607006"/>
    <w:rsid w:val="00610649"/>
    <w:rsid w:val="00611FC4"/>
    <w:rsid w:val="006176FB"/>
    <w:rsid w:val="00627A78"/>
    <w:rsid w:val="00640B26"/>
    <w:rsid w:val="00645ECA"/>
    <w:rsid w:val="006462AC"/>
    <w:rsid w:val="00652D0A"/>
    <w:rsid w:val="00662BB6"/>
    <w:rsid w:val="006716D0"/>
    <w:rsid w:val="00672658"/>
    <w:rsid w:val="00684C21"/>
    <w:rsid w:val="00697A76"/>
    <w:rsid w:val="006D37AF"/>
    <w:rsid w:val="006D51D0"/>
    <w:rsid w:val="006E564B"/>
    <w:rsid w:val="006E7191"/>
    <w:rsid w:val="00703577"/>
    <w:rsid w:val="007122E5"/>
    <w:rsid w:val="00720B5B"/>
    <w:rsid w:val="0072632A"/>
    <w:rsid w:val="007327D5"/>
    <w:rsid w:val="007629C8"/>
    <w:rsid w:val="007654A1"/>
    <w:rsid w:val="007B6BA5"/>
    <w:rsid w:val="007C3390"/>
    <w:rsid w:val="007C4F4B"/>
    <w:rsid w:val="007C784F"/>
    <w:rsid w:val="007E0B2D"/>
    <w:rsid w:val="007E1F4A"/>
    <w:rsid w:val="007F6611"/>
    <w:rsid w:val="008105B8"/>
    <w:rsid w:val="008242D7"/>
    <w:rsid w:val="008257B1"/>
    <w:rsid w:val="0082767A"/>
    <w:rsid w:val="008305D9"/>
    <w:rsid w:val="00843767"/>
    <w:rsid w:val="008679D9"/>
    <w:rsid w:val="00892845"/>
    <w:rsid w:val="008979B1"/>
    <w:rsid w:val="008A1DB2"/>
    <w:rsid w:val="008A6B25"/>
    <w:rsid w:val="008A6C4F"/>
    <w:rsid w:val="008B2335"/>
    <w:rsid w:val="008D1F3E"/>
    <w:rsid w:val="008D648D"/>
    <w:rsid w:val="008D6B5A"/>
    <w:rsid w:val="008E0678"/>
    <w:rsid w:val="008F1DE0"/>
    <w:rsid w:val="00903B56"/>
    <w:rsid w:val="00910F40"/>
    <w:rsid w:val="00912C08"/>
    <w:rsid w:val="009223CA"/>
    <w:rsid w:val="00940F93"/>
    <w:rsid w:val="00945F31"/>
    <w:rsid w:val="0095347F"/>
    <w:rsid w:val="00962882"/>
    <w:rsid w:val="00971119"/>
    <w:rsid w:val="009724BF"/>
    <w:rsid w:val="009760F3"/>
    <w:rsid w:val="009909F5"/>
    <w:rsid w:val="009A0E8D"/>
    <w:rsid w:val="009B213E"/>
    <w:rsid w:val="009B26E7"/>
    <w:rsid w:val="009E2A43"/>
    <w:rsid w:val="00A00A3F"/>
    <w:rsid w:val="00A01489"/>
    <w:rsid w:val="00A1349B"/>
    <w:rsid w:val="00A338F1"/>
    <w:rsid w:val="00A44615"/>
    <w:rsid w:val="00A7067C"/>
    <w:rsid w:val="00A72F22"/>
    <w:rsid w:val="00A7360F"/>
    <w:rsid w:val="00A748A6"/>
    <w:rsid w:val="00A769F4"/>
    <w:rsid w:val="00A776B4"/>
    <w:rsid w:val="00A94361"/>
    <w:rsid w:val="00AA293C"/>
    <w:rsid w:val="00B13E9B"/>
    <w:rsid w:val="00B30179"/>
    <w:rsid w:val="00B320E3"/>
    <w:rsid w:val="00B339A7"/>
    <w:rsid w:val="00B4580B"/>
    <w:rsid w:val="00B56E4A"/>
    <w:rsid w:val="00B56E9C"/>
    <w:rsid w:val="00B64B1F"/>
    <w:rsid w:val="00B6553F"/>
    <w:rsid w:val="00B66E5E"/>
    <w:rsid w:val="00B77D05"/>
    <w:rsid w:val="00B803E1"/>
    <w:rsid w:val="00B81206"/>
    <w:rsid w:val="00B81E12"/>
    <w:rsid w:val="00B845E5"/>
    <w:rsid w:val="00B9067B"/>
    <w:rsid w:val="00BC2C23"/>
    <w:rsid w:val="00BC74E9"/>
    <w:rsid w:val="00BF24C5"/>
    <w:rsid w:val="00BF68A8"/>
    <w:rsid w:val="00C11A03"/>
    <w:rsid w:val="00C168DB"/>
    <w:rsid w:val="00C463DD"/>
    <w:rsid w:val="00C4724C"/>
    <w:rsid w:val="00C55551"/>
    <w:rsid w:val="00C629A0"/>
    <w:rsid w:val="00C6737B"/>
    <w:rsid w:val="00C745C3"/>
    <w:rsid w:val="00CA6C6D"/>
    <w:rsid w:val="00CC347A"/>
    <w:rsid w:val="00CE2537"/>
    <w:rsid w:val="00CE4A8F"/>
    <w:rsid w:val="00D2031B"/>
    <w:rsid w:val="00D25FE2"/>
    <w:rsid w:val="00D43252"/>
    <w:rsid w:val="00D44DA3"/>
    <w:rsid w:val="00D47EEA"/>
    <w:rsid w:val="00D82EA3"/>
    <w:rsid w:val="00D95303"/>
    <w:rsid w:val="00D978C6"/>
    <w:rsid w:val="00DA3111"/>
    <w:rsid w:val="00DA3C1C"/>
    <w:rsid w:val="00DB0C79"/>
    <w:rsid w:val="00DC7CAB"/>
    <w:rsid w:val="00DF4319"/>
    <w:rsid w:val="00E102CE"/>
    <w:rsid w:val="00E11D0D"/>
    <w:rsid w:val="00E27346"/>
    <w:rsid w:val="00E71BC8"/>
    <w:rsid w:val="00E71D07"/>
    <w:rsid w:val="00E7260F"/>
    <w:rsid w:val="00E779FC"/>
    <w:rsid w:val="00E8337F"/>
    <w:rsid w:val="00E96630"/>
    <w:rsid w:val="00EA0065"/>
    <w:rsid w:val="00EB2581"/>
    <w:rsid w:val="00ED7A2A"/>
    <w:rsid w:val="00EF1D7F"/>
    <w:rsid w:val="00F20C3D"/>
    <w:rsid w:val="00F43E9E"/>
    <w:rsid w:val="00F52359"/>
    <w:rsid w:val="00F5780A"/>
    <w:rsid w:val="00F74B01"/>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0B67E583-69B5-4369-A2D2-D453F756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6737B"/>
    <w:pPr>
      <w:spacing w:line="240" w:lineRule="auto"/>
    </w:pPr>
    <w:rPr>
      <w:rFonts w:ascii="Tahoma" w:hAnsi="Tahoma" w:cs="Tahoma"/>
      <w:sz w:val="16"/>
      <w:szCs w:val="16"/>
    </w:rPr>
  </w:style>
  <w:style w:type="character" w:customStyle="1" w:styleId="BalloonTextChar">
    <w:name w:val="Balloon Text Char"/>
    <w:link w:val="BalloonText"/>
    <w:rsid w:val="00C6737B"/>
    <w:rPr>
      <w:rFonts w:ascii="Tahoma" w:hAnsi="Tahoma" w:cs="Tahoma"/>
      <w:sz w:val="16"/>
      <w:szCs w:val="16"/>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locked/>
    <w:rsid w:val="00DC7CAB"/>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2012-07-30T13:28:00Z</cp:lastPrinted>
  <dcterms:created xsi:type="dcterms:W3CDTF">2017-04-05T21:30:00Z</dcterms:created>
  <dcterms:modified xsi:type="dcterms:W3CDTF">2017-04-05T21:30:00Z</dcterms:modified>
</cp:coreProperties>
</file>