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Tr="00B6553F">
        <w:trPr>
          <w:cantSplit/>
          <w:trHeight w:hRule="exact" w:val="851"/>
        </w:trPr>
        <w:tc>
          <w:tcPr>
            <w:tcW w:w="1276" w:type="dxa"/>
            <w:tcBorders>
              <w:bottom w:val="single" w:sz="4" w:space="0" w:color="auto"/>
            </w:tcBorders>
            <w:vAlign w:val="bottom"/>
          </w:tcPr>
          <w:p w:rsidR="00B56E9C" w:rsidRDefault="00B56E9C" w:rsidP="00B6553F">
            <w:pPr>
              <w:spacing w:after="80"/>
            </w:pPr>
            <w:bookmarkStart w:id="0" w:name="_GoBack"/>
            <w:bookmarkEnd w:id="0"/>
          </w:p>
        </w:tc>
        <w:tc>
          <w:tcPr>
            <w:tcW w:w="2268" w:type="dxa"/>
            <w:tcBorders>
              <w:bottom w:val="single" w:sz="4" w:space="0" w:color="auto"/>
            </w:tcBorders>
            <w:vAlign w:val="bottom"/>
          </w:tcPr>
          <w:p w:rsidR="00B56E9C" w:rsidRPr="00B97172" w:rsidRDefault="00B56E9C" w:rsidP="00B6553F">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B56E9C" w:rsidRPr="00D47EEA" w:rsidRDefault="00156045" w:rsidP="00BB54B8">
            <w:pPr>
              <w:jc w:val="right"/>
            </w:pPr>
            <w:r w:rsidRPr="00156045">
              <w:rPr>
                <w:sz w:val="40"/>
              </w:rPr>
              <w:t>CCPR</w:t>
            </w:r>
            <w:r>
              <w:t>/C/1</w:t>
            </w:r>
            <w:r w:rsidR="004221CA">
              <w:t>12</w:t>
            </w:r>
            <w:r>
              <w:t>/D/</w:t>
            </w:r>
            <w:r w:rsidR="004221CA">
              <w:t>1965</w:t>
            </w:r>
            <w:r>
              <w:t>/201</w:t>
            </w:r>
            <w:r w:rsidR="004221CA">
              <w:t>0</w:t>
            </w:r>
          </w:p>
        </w:tc>
      </w:tr>
      <w:tr w:rsidR="00B56E9C" w:rsidTr="00B6553F">
        <w:trPr>
          <w:cantSplit/>
          <w:trHeight w:hRule="exact" w:val="2835"/>
        </w:trPr>
        <w:tc>
          <w:tcPr>
            <w:tcW w:w="1276" w:type="dxa"/>
            <w:tcBorders>
              <w:top w:val="single" w:sz="4" w:space="0" w:color="auto"/>
              <w:bottom w:val="single" w:sz="12" w:space="0" w:color="auto"/>
            </w:tcBorders>
          </w:tcPr>
          <w:p w:rsidR="00B56E9C" w:rsidRDefault="00B869A4" w:rsidP="00B6553F">
            <w:pPr>
              <w:spacing w:before="120"/>
            </w:pPr>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i1025" type="#_x0000_t75" alt="_unlogo" style="width:56.25pt;height:46.5pt;visibility:visible">
                  <v:imagedata r:id="rId7" o:title="_unlogo"/>
                </v:shape>
              </w:pict>
            </w:r>
          </w:p>
        </w:tc>
        <w:tc>
          <w:tcPr>
            <w:tcW w:w="5528" w:type="dxa"/>
            <w:gridSpan w:val="2"/>
            <w:tcBorders>
              <w:top w:val="single" w:sz="4" w:space="0" w:color="auto"/>
              <w:bottom w:val="single" w:sz="12" w:space="0" w:color="auto"/>
            </w:tcBorders>
          </w:tcPr>
          <w:p w:rsidR="0042699D" w:rsidRPr="00493411" w:rsidRDefault="00B56E9C" w:rsidP="00493411">
            <w:pPr>
              <w:spacing w:before="120" w:line="380" w:lineRule="exact"/>
              <w:rPr>
                <w:b/>
                <w:sz w:val="34"/>
                <w:szCs w:val="40"/>
              </w:rPr>
            </w:pPr>
            <w:r w:rsidRPr="00267F5F">
              <w:rPr>
                <w:b/>
                <w:sz w:val="34"/>
                <w:szCs w:val="40"/>
              </w:rPr>
              <w:t xml:space="preserve">International </w:t>
            </w:r>
            <w:r w:rsidR="00060C3A">
              <w:rPr>
                <w:b/>
                <w:sz w:val="34"/>
                <w:szCs w:val="40"/>
              </w:rPr>
              <w:t>Covenant on</w:t>
            </w:r>
            <w:r w:rsidR="00060C3A">
              <w:rPr>
                <w:b/>
                <w:sz w:val="34"/>
                <w:szCs w:val="40"/>
              </w:rPr>
              <w:br/>
              <w:t>Civil and Political R</w:t>
            </w:r>
            <w:r w:rsidR="00703577" w:rsidRPr="00267F5F">
              <w:rPr>
                <w:b/>
                <w:sz w:val="34"/>
                <w:szCs w:val="40"/>
              </w:rPr>
              <w:t>ights</w:t>
            </w:r>
          </w:p>
        </w:tc>
        <w:tc>
          <w:tcPr>
            <w:tcW w:w="2835" w:type="dxa"/>
            <w:tcBorders>
              <w:top w:val="single" w:sz="4" w:space="0" w:color="auto"/>
              <w:bottom w:val="single" w:sz="12" w:space="0" w:color="auto"/>
            </w:tcBorders>
          </w:tcPr>
          <w:p w:rsidR="00B56E9C" w:rsidRDefault="00156045" w:rsidP="00156045">
            <w:pPr>
              <w:spacing w:before="240" w:line="240" w:lineRule="exact"/>
            </w:pPr>
            <w:r>
              <w:t xml:space="preserve">Distr.: </w:t>
            </w:r>
            <w:r w:rsidR="0042699D">
              <w:t xml:space="preserve">General </w:t>
            </w:r>
          </w:p>
          <w:p w:rsidR="00156045" w:rsidRDefault="00D52C07" w:rsidP="00D52C07">
            <w:pPr>
              <w:spacing w:line="240" w:lineRule="exact"/>
            </w:pPr>
            <w:r>
              <w:t>1</w:t>
            </w:r>
            <w:r w:rsidR="007766FD">
              <w:t>9</w:t>
            </w:r>
            <w:r w:rsidR="007427B1">
              <w:t xml:space="preserve"> </w:t>
            </w:r>
            <w:r>
              <w:t>January</w:t>
            </w:r>
            <w:r w:rsidR="000E0213">
              <w:t xml:space="preserve"> 201</w:t>
            </w:r>
            <w:r w:rsidR="00F75439">
              <w:t>5</w:t>
            </w:r>
          </w:p>
          <w:p w:rsidR="00AE7B26" w:rsidRDefault="00AE7B26" w:rsidP="00156045">
            <w:pPr>
              <w:spacing w:line="240" w:lineRule="exact"/>
            </w:pPr>
          </w:p>
          <w:p w:rsidR="0031759C" w:rsidRDefault="00156045" w:rsidP="00493411">
            <w:pPr>
              <w:spacing w:line="240" w:lineRule="exact"/>
            </w:pPr>
            <w:r>
              <w:t>Original: English</w:t>
            </w:r>
          </w:p>
        </w:tc>
      </w:tr>
    </w:tbl>
    <w:p w:rsidR="0036403F" w:rsidRDefault="0036403F" w:rsidP="00156045">
      <w:pPr>
        <w:spacing w:before="120"/>
        <w:rPr>
          <w:b/>
          <w:sz w:val="24"/>
          <w:szCs w:val="24"/>
        </w:rPr>
      </w:pPr>
      <w:r w:rsidRPr="00156045">
        <w:rPr>
          <w:b/>
          <w:sz w:val="24"/>
          <w:szCs w:val="24"/>
        </w:rPr>
        <w:t>Human Rights Committee</w:t>
      </w:r>
      <w:r w:rsidR="00B869A4">
        <w:rPr>
          <w:b/>
          <w:noProof/>
          <w:sz w:val="24"/>
          <w:szCs w:val="24"/>
          <w:lang w:eastAsia="zh-CN"/>
        </w:rPr>
        <w:pict>
          <v:shape id="_x0000_s1026" type="#_x0000_t75" style="position:absolute;margin-left:432.25pt;margin-top:632.1pt;width:50.25pt;height:50.25pt;z-index:1;mso-position-horizontal-relative:margin;mso-position-vertical-relative:margin" o:allowoverlap="f">
            <v:imagedata r:id="rId8" o:title="2010&amp;Size=2 &amp;Lang=E"/>
            <w10:wrap anchorx="margin" anchory="margin"/>
          </v:shape>
        </w:pict>
      </w:r>
    </w:p>
    <w:p w:rsidR="0036403F" w:rsidRDefault="0036403F" w:rsidP="005B00B0">
      <w:pPr>
        <w:pStyle w:val="HChG"/>
      </w:pPr>
      <w:r w:rsidRPr="0036403F">
        <w:tab/>
      </w:r>
      <w:r w:rsidRPr="0036403F">
        <w:tab/>
      </w:r>
      <w:r w:rsidRPr="005B00B0">
        <w:t>Communication</w:t>
      </w:r>
      <w:r w:rsidR="00B22656">
        <w:t xml:space="preserve"> No. </w:t>
      </w:r>
      <w:r w:rsidR="004221CA">
        <w:t>1965/2010</w:t>
      </w:r>
    </w:p>
    <w:p w:rsidR="00BB54B8" w:rsidRPr="00BB54B8" w:rsidRDefault="007427B1" w:rsidP="00775F10">
      <w:pPr>
        <w:pStyle w:val="H1G"/>
        <w:spacing w:after="600"/>
      </w:pPr>
      <w:r>
        <w:rPr>
          <w:rFonts w:eastAsia="MS Mincho"/>
        </w:rPr>
        <w:tab/>
      </w:r>
      <w:r>
        <w:rPr>
          <w:rFonts w:eastAsia="MS Mincho"/>
        </w:rPr>
        <w:tab/>
      </w:r>
      <w:r w:rsidR="00BB54B8">
        <w:rPr>
          <w:rFonts w:eastAsia="MS Mincho"/>
        </w:rPr>
        <w:t>Views adopted by the Committee at its 112</w:t>
      </w:r>
      <w:r w:rsidR="00307282">
        <w:rPr>
          <w:rFonts w:eastAsia="MS Mincho"/>
        </w:rPr>
        <w:t>th</w:t>
      </w:r>
      <w:r w:rsidR="00BB54B8">
        <w:rPr>
          <w:rFonts w:eastAsia="MS Mincho"/>
        </w:rPr>
        <w:t xml:space="preserve"> session </w:t>
      </w:r>
      <w:r>
        <w:rPr>
          <w:rFonts w:eastAsia="MS Mincho"/>
        </w:rPr>
        <w:br/>
      </w:r>
      <w:r w:rsidR="00BB54B8">
        <w:rPr>
          <w:rFonts w:eastAsia="MS Mincho"/>
        </w:rPr>
        <w:t>(7</w:t>
      </w:r>
      <w:r w:rsidR="00173FC7">
        <w:rPr>
          <w:rFonts w:eastAsia="MS Mincho"/>
        </w:rPr>
        <w:t>–</w:t>
      </w:r>
      <w:r w:rsidR="00BB54B8">
        <w:rPr>
          <w:rFonts w:eastAsia="MS Mincho"/>
        </w:rPr>
        <w:t>31 October 2014)</w:t>
      </w:r>
    </w:p>
    <w:p w:rsidR="0036403F" w:rsidRPr="0036403F" w:rsidRDefault="0036403F" w:rsidP="00B22656">
      <w:pPr>
        <w:pStyle w:val="SingleTxtG"/>
        <w:ind w:left="4536" w:hanging="3402"/>
        <w:jc w:val="left"/>
      </w:pPr>
      <w:r w:rsidRPr="0036403F">
        <w:rPr>
          <w:i/>
        </w:rPr>
        <w:t>Submitted by</w:t>
      </w:r>
      <w:r w:rsidRPr="0036403F">
        <w:t>:</w:t>
      </w:r>
      <w:r w:rsidRPr="0036403F">
        <w:tab/>
      </w:r>
      <w:r w:rsidR="004221CA" w:rsidRPr="004221CA">
        <w:t>John Njie Monika</w:t>
      </w:r>
      <w:r w:rsidRPr="0036403F">
        <w:t xml:space="preserve"> (represented by counsel,</w:t>
      </w:r>
      <w:r w:rsidR="004221CA">
        <w:t> </w:t>
      </w:r>
      <w:r w:rsidR="004221CA" w:rsidRPr="004221CA">
        <w:t>Martin Dikanjo Esingila</w:t>
      </w:r>
      <w:r w:rsidRPr="0036403F">
        <w:t>)</w:t>
      </w:r>
    </w:p>
    <w:p w:rsidR="0036403F" w:rsidRPr="004221CA" w:rsidRDefault="0036403F" w:rsidP="00B22656">
      <w:pPr>
        <w:pStyle w:val="SingleTxtG"/>
        <w:ind w:left="4536" w:hanging="3402"/>
        <w:jc w:val="left"/>
      </w:pPr>
      <w:r w:rsidRPr="0036403F">
        <w:rPr>
          <w:i/>
        </w:rPr>
        <w:t>Alleged victim</w:t>
      </w:r>
      <w:r w:rsidR="004221CA">
        <w:t>:</w:t>
      </w:r>
      <w:r w:rsidR="004221CA">
        <w:tab/>
        <w:t>The author</w:t>
      </w:r>
    </w:p>
    <w:p w:rsidR="0036403F" w:rsidRPr="004221CA" w:rsidRDefault="0036403F" w:rsidP="00B22656">
      <w:pPr>
        <w:pStyle w:val="SingleTxtG"/>
        <w:ind w:left="4536" w:hanging="3402"/>
        <w:jc w:val="left"/>
      </w:pPr>
      <w:r w:rsidRPr="0036403F">
        <w:rPr>
          <w:i/>
        </w:rPr>
        <w:t>State party</w:t>
      </w:r>
      <w:r w:rsidRPr="0036403F">
        <w:t>:</w:t>
      </w:r>
      <w:r w:rsidRPr="0036403F">
        <w:tab/>
      </w:r>
      <w:r w:rsidR="004221CA" w:rsidRPr="004221CA">
        <w:t>Cameroon</w:t>
      </w:r>
    </w:p>
    <w:p w:rsidR="0036403F" w:rsidRPr="0036403F" w:rsidRDefault="0036403F" w:rsidP="00B22656">
      <w:pPr>
        <w:pStyle w:val="SingleTxtG"/>
        <w:ind w:left="4536" w:hanging="3402"/>
        <w:jc w:val="left"/>
      </w:pPr>
      <w:r w:rsidRPr="0036403F">
        <w:rPr>
          <w:i/>
        </w:rPr>
        <w:t>Date of communication</w:t>
      </w:r>
      <w:r w:rsidRPr="0036403F">
        <w:t>:</w:t>
      </w:r>
      <w:r w:rsidRPr="0036403F">
        <w:tab/>
      </w:r>
      <w:r w:rsidR="004221CA" w:rsidRPr="004221CA">
        <w:t>11 January 2010</w:t>
      </w:r>
      <w:r w:rsidRPr="0036403F">
        <w:t xml:space="preserve"> (initial submission)</w:t>
      </w:r>
    </w:p>
    <w:p w:rsidR="0036403F" w:rsidRPr="0036403F" w:rsidRDefault="0036403F" w:rsidP="00B22656">
      <w:pPr>
        <w:pStyle w:val="SingleTxtG"/>
        <w:ind w:left="4536" w:hanging="3402"/>
        <w:jc w:val="left"/>
      </w:pPr>
      <w:r w:rsidRPr="0036403F">
        <w:rPr>
          <w:i/>
        </w:rPr>
        <w:t>Document references</w:t>
      </w:r>
      <w:r w:rsidRPr="0036403F">
        <w:t>:</w:t>
      </w:r>
      <w:r w:rsidRPr="0036403F">
        <w:tab/>
        <w:t xml:space="preserve">Special Rapporteur’s rule 97 decision, transmitted to the State party on </w:t>
      </w:r>
      <w:r w:rsidR="004221CA" w:rsidRPr="004221CA">
        <w:t>10 August 2010</w:t>
      </w:r>
      <w:r w:rsidRPr="0036403F">
        <w:t xml:space="preserve"> (not issued in document form)</w:t>
      </w:r>
    </w:p>
    <w:p w:rsidR="0036403F" w:rsidRPr="0036403F" w:rsidRDefault="0036403F" w:rsidP="00B22656">
      <w:pPr>
        <w:pStyle w:val="SingleTxtG"/>
        <w:ind w:left="4536" w:hanging="3402"/>
        <w:jc w:val="left"/>
      </w:pPr>
      <w:r w:rsidRPr="0036403F">
        <w:rPr>
          <w:i/>
        </w:rPr>
        <w:t>Date of adoption of Views</w:t>
      </w:r>
      <w:r w:rsidRPr="0036403F">
        <w:t>:</w:t>
      </w:r>
      <w:r w:rsidRPr="0036403F">
        <w:tab/>
      </w:r>
      <w:r w:rsidR="00BB54B8">
        <w:t xml:space="preserve">21 </w:t>
      </w:r>
      <w:r w:rsidR="008A4980">
        <w:t>October 2014</w:t>
      </w:r>
    </w:p>
    <w:p w:rsidR="0036403F" w:rsidRPr="00EA5738" w:rsidRDefault="0036403F" w:rsidP="00B22656">
      <w:pPr>
        <w:pStyle w:val="SingleTxtG"/>
        <w:ind w:left="4536" w:hanging="3402"/>
        <w:jc w:val="left"/>
      </w:pPr>
      <w:r w:rsidRPr="0036403F">
        <w:rPr>
          <w:i/>
        </w:rPr>
        <w:t>Subject matter:</w:t>
      </w:r>
      <w:r w:rsidRPr="0036403F">
        <w:rPr>
          <w:i/>
        </w:rPr>
        <w:tab/>
      </w:r>
      <w:r w:rsidR="00EA5738" w:rsidRPr="00EA5738">
        <w:t xml:space="preserve">Assault by a government representative, </w:t>
      </w:r>
      <w:r w:rsidR="00EA5738">
        <w:t xml:space="preserve">not followed by </w:t>
      </w:r>
      <w:r w:rsidR="00EA5738" w:rsidRPr="00EA5738">
        <w:t>investigation or prosecution</w:t>
      </w:r>
    </w:p>
    <w:p w:rsidR="00784543" w:rsidRDefault="00B25E63" w:rsidP="00B22656">
      <w:pPr>
        <w:pStyle w:val="SingleTxtG"/>
        <w:ind w:left="4536" w:hanging="3402"/>
        <w:jc w:val="left"/>
        <w:rPr>
          <w:i/>
        </w:rPr>
      </w:pPr>
      <w:r w:rsidRPr="0036403F">
        <w:rPr>
          <w:i/>
        </w:rPr>
        <w:t>Procedural issues:</w:t>
      </w:r>
      <w:r w:rsidRPr="0036403F">
        <w:rPr>
          <w:i/>
        </w:rPr>
        <w:tab/>
      </w:r>
      <w:r w:rsidRPr="00EA5738">
        <w:t xml:space="preserve">Exhaustion of domestic </w:t>
      </w:r>
      <w:r w:rsidR="001E591C" w:rsidRPr="00EA5738">
        <w:t>remedies</w:t>
      </w:r>
      <w:r w:rsidR="001E591C">
        <w:t>;</w:t>
      </w:r>
      <w:r w:rsidR="00EA5738" w:rsidRPr="00EA5738">
        <w:t xml:space="preserve"> lack of substantiation</w:t>
      </w:r>
    </w:p>
    <w:p w:rsidR="0036403F" w:rsidRPr="00682157" w:rsidRDefault="0036403F" w:rsidP="00B22656">
      <w:pPr>
        <w:pStyle w:val="SingleTxtG"/>
        <w:ind w:left="4536" w:hanging="3402"/>
        <w:jc w:val="left"/>
      </w:pPr>
      <w:r w:rsidRPr="0036403F">
        <w:rPr>
          <w:i/>
        </w:rPr>
        <w:t>Substantive issues:</w:t>
      </w:r>
      <w:r w:rsidRPr="0036403F">
        <w:rPr>
          <w:i/>
        </w:rPr>
        <w:tab/>
      </w:r>
      <w:r w:rsidR="008400C1">
        <w:t>Right to life</w:t>
      </w:r>
      <w:r w:rsidR="00682157" w:rsidRPr="00682157">
        <w:t xml:space="preserve">; </w:t>
      </w:r>
      <w:r w:rsidR="00682157" w:rsidRPr="00726725">
        <w:t xml:space="preserve">prohibition of torture </w:t>
      </w:r>
      <w:r w:rsidR="00682157">
        <w:t>and cruel and inhuman treatment;</w:t>
      </w:r>
      <w:r w:rsidR="00682157" w:rsidRPr="00726725">
        <w:t xml:space="preserve"> </w:t>
      </w:r>
      <w:r w:rsidRPr="0036403F">
        <w:t>Right to liberty; right to protection from inhuman treatment; right to family life; right of children to protection</w:t>
      </w:r>
      <w:r w:rsidR="00682157" w:rsidRPr="00682157">
        <w:t>;</w:t>
      </w:r>
      <w:r w:rsidR="00682157">
        <w:t xml:space="preserve"> </w:t>
      </w:r>
      <w:r w:rsidR="00682157" w:rsidRPr="00726725">
        <w:t>right to an effective remedy</w:t>
      </w:r>
      <w:r w:rsidR="00682157" w:rsidRPr="00682157">
        <w:t xml:space="preserve">; </w:t>
      </w:r>
      <w:r w:rsidR="00682157">
        <w:t>discrimination and equal protection of the law</w:t>
      </w:r>
    </w:p>
    <w:p w:rsidR="0036403F" w:rsidRPr="00682157" w:rsidRDefault="00B4242B" w:rsidP="003B26D6">
      <w:pPr>
        <w:pStyle w:val="SingleTxtG"/>
        <w:ind w:left="4536" w:hanging="3402"/>
        <w:jc w:val="left"/>
      </w:pPr>
      <w:r>
        <w:rPr>
          <w:i/>
        </w:rPr>
        <w:t xml:space="preserve">Articles </w:t>
      </w:r>
      <w:r w:rsidR="0036403F" w:rsidRPr="0036403F">
        <w:rPr>
          <w:i/>
        </w:rPr>
        <w:t>of the Covenant:</w:t>
      </w:r>
      <w:r w:rsidR="0036403F" w:rsidRPr="0036403F">
        <w:t xml:space="preserve"> </w:t>
      </w:r>
      <w:r w:rsidR="0036403F" w:rsidRPr="0036403F">
        <w:tab/>
      </w:r>
      <w:r>
        <w:t>Articles </w:t>
      </w:r>
      <w:r w:rsidR="00B22656">
        <w:t>2 (par</w:t>
      </w:r>
      <w:r w:rsidR="00307282">
        <w:t>as</w:t>
      </w:r>
      <w:r w:rsidR="00B22656">
        <w:t>. </w:t>
      </w:r>
      <w:r w:rsidR="00682157" w:rsidRPr="00682157">
        <w:t>1 and 3</w:t>
      </w:r>
      <w:r w:rsidR="0047786F" w:rsidRPr="00682157">
        <w:t>);</w:t>
      </w:r>
      <w:r w:rsidR="00682157" w:rsidRPr="00682157">
        <w:t xml:space="preserve"> 6</w:t>
      </w:r>
      <w:r w:rsidR="00B22656">
        <w:t xml:space="preserve"> (par</w:t>
      </w:r>
      <w:r w:rsidR="00307282">
        <w:t>a</w:t>
      </w:r>
      <w:r w:rsidR="00B22656">
        <w:t>. </w:t>
      </w:r>
      <w:r w:rsidR="0047786F">
        <w:t>1)</w:t>
      </w:r>
      <w:r w:rsidR="0047786F" w:rsidRPr="00682157">
        <w:t>;</w:t>
      </w:r>
      <w:r w:rsidR="00682157" w:rsidRPr="00682157">
        <w:t xml:space="preserve"> </w:t>
      </w:r>
      <w:r w:rsidR="0036403F" w:rsidRPr="00B36128">
        <w:rPr>
          <w:spacing w:val="-2"/>
        </w:rPr>
        <w:t>7</w:t>
      </w:r>
      <w:r w:rsidR="00682157" w:rsidRPr="00682157">
        <w:rPr>
          <w:spacing w:val="-2"/>
        </w:rPr>
        <w:t>;</w:t>
      </w:r>
      <w:r w:rsidR="0036403F" w:rsidRPr="00B36128">
        <w:rPr>
          <w:spacing w:val="-2"/>
        </w:rPr>
        <w:t xml:space="preserve"> </w:t>
      </w:r>
      <w:r w:rsidR="00B22656">
        <w:rPr>
          <w:spacing w:val="-2"/>
        </w:rPr>
        <w:br/>
      </w:r>
      <w:r w:rsidR="0036403F" w:rsidRPr="00B36128">
        <w:rPr>
          <w:spacing w:val="-2"/>
        </w:rPr>
        <w:t>9</w:t>
      </w:r>
      <w:r w:rsidR="00B22656">
        <w:rPr>
          <w:spacing w:val="-2"/>
        </w:rPr>
        <w:t xml:space="preserve"> (par</w:t>
      </w:r>
      <w:r w:rsidR="00307282">
        <w:rPr>
          <w:spacing w:val="-2"/>
        </w:rPr>
        <w:t>as</w:t>
      </w:r>
      <w:r w:rsidR="00B22656">
        <w:rPr>
          <w:spacing w:val="-2"/>
        </w:rPr>
        <w:t>. </w:t>
      </w:r>
      <w:r w:rsidR="0072079E">
        <w:rPr>
          <w:spacing w:val="-2"/>
        </w:rPr>
        <w:t>1</w:t>
      </w:r>
      <w:r w:rsidR="00307282">
        <w:rPr>
          <w:spacing w:val="-2"/>
        </w:rPr>
        <w:t>–</w:t>
      </w:r>
      <w:r w:rsidR="00DB01F1">
        <w:rPr>
          <w:spacing w:val="-2"/>
        </w:rPr>
        <w:t>2</w:t>
      </w:r>
      <w:r w:rsidR="0047786F">
        <w:rPr>
          <w:spacing w:val="-2"/>
        </w:rPr>
        <w:t>)</w:t>
      </w:r>
      <w:r w:rsidR="00682157">
        <w:rPr>
          <w:spacing w:val="-2"/>
        </w:rPr>
        <w:t> </w:t>
      </w:r>
      <w:r w:rsidR="00682157" w:rsidRPr="00682157">
        <w:rPr>
          <w:spacing w:val="-2"/>
        </w:rPr>
        <w:t>; and 26</w:t>
      </w:r>
    </w:p>
    <w:p w:rsidR="0036403F" w:rsidRDefault="00B4242B" w:rsidP="00B22656">
      <w:pPr>
        <w:pStyle w:val="SingleTxtG"/>
        <w:ind w:left="4536" w:hanging="3402"/>
        <w:jc w:val="left"/>
        <w:rPr>
          <w:iCs/>
        </w:rPr>
      </w:pPr>
      <w:r>
        <w:rPr>
          <w:i/>
        </w:rPr>
        <w:t xml:space="preserve">Articles </w:t>
      </w:r>
      <w:r w:rsidR="0036403F" w:rsidRPr="0036403F">
        <w:rPr>
          <w:i/>
        </w:rPr>
        <w:t xml:space="preserve">of the Optional Protocol: </w:t>
      </w:r>
      <w:r w:rsidR="0036403F" w:rsidRPr="0036403F">
        <w:rPr>
          <w:i/>
        </w:rPr>
        <w:tab/>
      </w:r>
      <w:r>
        <w:t>Articles </w:t>
      </w:r>
      <w:r w:rsidR="0036403F" w:rsidRPr="00EA5738">
        <w:rPr>
          <w:iCs/>
        </w:rPr>
        <w:t xml:space="preserve">2 </w:t>
      </w:r>
      <w:r w:rsidR="004B48C6" w:rsidRPr="00EA5738">
        <w:rPr>
          <w:iCs/>
        </w:rPr>
        <w:t>and</w:t>
      </w:r>
      <w:r w:rsidR="0036403F" w:rsidRPr="00EA5738">
        <w:rPr>
          <w:iCs/>
        </w:rPr>
        <w:t xml:space="preserve"> 5</w:t>
      </w:r>
      <w:r w:rsidR="00020888" w:rsidRPr="00EA5738">
        <w:rPr>
          <w:iCs/>
        </w:rPr>
        <w:t xml:space="preserve"> </w:t>
      </w:r>
      <w:r w:rsidR="00A8040C" w:rsidRPr="00EA5738">
        <w:rPr>
          <w:iCs/>
        </w:rPr>
        <w:t>(</w:t>
      </w:r>
      <w:r w:rsidR="00453CC6" w:rsidRPr="00EA5738">
        <w:rPr>
          <w:iCs/>
        </w:rPr>
        <w:t>para.</w:t>
      </w:r>
      <w:r w:rsidR="00B22656">
        <w:rPr>
          <w:iCs/>
        </w:rPr>
        <w:t> </w:t>
      </w:r>
      <w:r w:rsidR="0036403F" w:rsidRPr="00EA5738">
        <w:rPr>
          <w:iCs/>
        </w:rPr>
        <w:t>2 (b)</w:t>
      </w:r>
      <w:r w:rsidR="00A8040C" w:rsidRPr="00EA5738">
        <w:rPr>
          <w:iCs/>
        </w:rPr>
        <w:t>)</w:t>
      </w:r>
    </w:p>
    <w:p w:rsidR="00122BFE" w:rsidRPr="002B22DA" w:rsidRDefault="00122BFE" w:rsidP="002B22DA">
      <w:pPr>
        <w:suppressAutoHyphens w:val="0"/>
        <w:spacing w:line="240" w:lineRule="auto"/>
        <w:rPr>
          <w:iCs/>
          <w:sz w:val="2"/>
          <w:szCs w:val="2"/>
        </w:rPr>
      </w:pPr>
      <w:r>
        <w:rPr>
          <w:i/>
        </w:rPr>
        <w:br w:type="page"/>
      </w:r>
    </w:p>
    <w:p w:rsidR="0036403F" w:rsidRPr="0036403F" w:rsidRDefault="0036403F" w:rsidP="00872307">
      <w:pPr>
        <w:pStyle w:val="HChG"/>
        <w:ind w:left="0" w:firstLine="0"/>
      </w:pPr>
      <w:r w:rsidRPr="0036403F">
        <w:t>Annex</w:t>
      </w:r>
    </w:p>
    <w:p w:rsidR="0036403F" w:rsidRPr="0036403F" w:rsidRDefault="0036403F" w:rsidP="00156045">
      <w:pPr>
        <w:pStyle w:val="HChG"/>
      </w:pPr>
      <w:r w:rsidRPr="0036403F">
        <w:tab/>
      </w:r>
      <w:r w:rsidRPr="0036403F">
        <w:tab/>
        <w:t xml:space="preserve">Views of the Human Rights Committee under </w:t>
      </w:r>
      <w:r w:rsidR="00B4242B">
        <w:t>article </w:t>
      </w:r>
      <w:r w:rsidRPr="0036403F">
        <w:t>5, paragraph 4, of the Optional Protocol to the International Covenant on Civil and Political Rights (</w:t>
      </w:r>
      <w:r w:rsidRPr="0036403F">
        <w:rPr>
          <w:lang w:val="en-US"/>
        </w:rPr>
        <w:t>1</w:t>
      </w:r>
      <w:r w:rsidR="00F2710B">
        <w:rPr>
          <w:lang w:val="en-US"/>
        </w:rPr>
        <w:t>12</w:t>
      </w:r>
      <w:r w:rsidRPr="00020888">
        <w:rPr>
          <w:rFonts w:ascii="Times New Roman Bold" w:hAnsi="Times New Roman Bold"/>
          <w:lang w:val="en-US"/>
        </w:rPr>
        <w:t>th</w:t>
      </w:r>
      <w:r w:rsidRPr="0036403F">
        <w:rPr>
          <w:lang w:val="en-US"/>
        </w:rPr>
        <w:t xml:space="preserve"> session)</w:t>
      </w:r>
    </w:p>
    <w:p w:rsidR="0036403F" w:rsidRPr="0036403F" w:rsidRDefault="0036403F" w:rsidP="00156045">
      <w:pPr>
        <w:pStyle w:val="SingleTxtG"/>
      </w:pPr>
      <w:r w:rsidRPr="0036403F">
        <w:t>concerning</w:t>
      </w:r>
    </w:p>
    <w:p w:rsidR="00B95D15" w:rsidRPr="008216A5" w:rsidRDefault="0036403F" w:rsidP="00AC52B0">
      <w:pPr>
        <w:pStyle w:val="H1G"/>
      </w:pPr>
      <w:r w:rsidRPr="0036403F">
        <w:t xml:space="preserve"> </w:t>
      </w:r>
      <w:r w:rsidRPr="0036403F">
        <w:tab/>
      </w:r>
      <w:r w:rsidRPr="0036403F">
        <w:tab/>
        <w:t>Communication No.</w:t>
      </w:r>
      <w:r w:rsidR="000A604D">
        <w:t> </w:t>
      </w:r>
      <w:r w:rsidR="00F2710B">
        <w:t>1965/2010</w:t>
      </w:r>
      <w:r w:rsidR="0042699D" w:rsidRPr="00F66E48">
        <w:rPr>
          <w:rStyle w:val="FootnoteReference"/>
          <w:b w:val="0"/>
          <w:bCs/>
          <w:sz w:val="20"/>
          <w:vertAlign w:val="baseline"/>
        </w:rPr>
        <w:footnoteReference w:customMarkFollows="1" w:id="2"/>
        <w:t>*</w:t>
      </w:r>
    </w:p>
    <w:p w:rsidR="00F2710B" w:rsidRPr="0036403F" w:rsidRDefault="0036403F" w:rsidP="000A604D">
      <w:pPr>
        <w:pStyle w:val="SingleTxtG"/>
        <w:ind w:left="4536" w:hanging="3402"/>
        <w:jc w:val="left"/>
      </w:pPr>
      <w:r w:rsidRPr="0036403F">
        <w:rPr>
          <w:i/>
        </w:rPr>
        <w:t>Submitted by:</w:t>
      </w:r>
      <w:r w:rsidRPr="0036403F">
        <w:tab/>
      </w:r>
      <w:r w:rsidR="00F2710B" w:rsidRPr="004221CA">
        <w:t>John Njie Monika</w:t>
      </w:r>
      <w:r w:rsidR="00F2710B" w:rsidRPr="0036403F">
        <w:t xml:space="preserve"> (represented by counsel,</w:t>
      </w:r>
      <w:r w:rsidR="00F2710B">
        <w:t> </w:t>
      </w:r>
      <w:r w:rsidR="00F2710B" w:rsidRPr="004221CA">
        <w:t>Martin Dikanjo Esingila</w:t>
      </w:r>
      <w:r w:rsidR="00F2710B" w:rsidRPr="0036403F">
        <w:t>)</w:t>
      </w:r>
    </w:p>
    <w:p w:rsidR="0036403F" w:rsidRPr="00F2710B" w:rsidRDefault="0036403F" w:rsidP="000A604D">
      <w:pPr>
        <w:pStyle w:val="SingleTxtG"/>
        <w:ind w:left="4536" w:hanging="3402"/>
        <w:jc w:val="left"/>
      </w:pPr>
      <w:r w:rsidRPr="0036403F">
        <w:rPr>
          <w:i/>
        </w:rPr>
        <w:t>Alleged victim:</w:t>
      </w:r>
      <w:r w:rsidR="00F2710B">
        <w:tab/>
        <w:t>The author</w:t>
      </w:r>
    </w:p>
    <w:p w:rsidR="0036403F" w:rsidRPr="00F2710B" w:rsidRDefault="0036403F" w:rsidP="000A604D">
      <w:pPr>
        <w:pStyle w:val="SingleTxtG"/>
        <w:ind w:left="4536" w:hanging="3402"/>
        <w:jc w:val="left"/>
      </w:pPr>
      <w:r w:rsidRPr="0036403F">
        <w:rPr>
          <w:i/>
        </w:rPr>
        <w:t>State party:</w:t>
      </w:r>
      <w:r w:rsidRPr="0036403F">
        <w:tab/>
      </w:r>
      <w:r w:rsidR="00F2710B" w:rsidRPr="00F2710B">
        <w:t>Cameroon</w:t>
      </w:r>
    </w:p>
    <w:p w:rsidR="00F2710B" w:rsidRPr="005B025D" w:rsidRDefault="0036403F" w:rsidP="000A604D">
      <w:pPr>
        <w:pStyle w:val="SingleTxtG"/>
        <w:ind w:left="4536" w:hanging="3402"/>
        <w:jc w:val="left"/>
        <w:rPr>
          <w:i/>
        </w:rPr>
      </w:pPr>
      <w:r w:rsidRPr="0036403F">
        <w:rPr>
          <w:i/>
        </w:rPr>
        <w:t>Date of communication:</w:t>
      </w:r>
      <w:r w:rsidRPr="0036403F">
        <w:tab/>
      </w:r>
      <w:r w:rsidR="00F2710B" w:rsidRPr="004221CA">
        <w:t>11 January 2010</w:t>
      </w:r>
      <w:r w:rsidR="00F2710B" w:rsidRPr="0036403F">
        <w:t xml:space="preserve"> (initial submission)</w:t>
      </w:r>
    </w:p>
    <w:p w:rsidR="0036403F" w:rsidRPr="0036403F" w:rsidRDefault="002D5B7E" w:rsidP="002D5B7E">
      <w:pPr>
        <w:pStyle w:val="SingleTxtG"/>
      </w:pPr>
      <w:r>
        <w:rPr>
          <w:i/>
        </w:rPr>
        <w:tab/>
      </w:r>
      <w:r w:rsidR="0036403F" w:rsidRPr="002D5B7E">
        <w:rPr>
          <w:i/>
        </w:rPr>
        <w:t>The Human Rights Committee</w:t>
      </w:r>
      <w:r w:rsidR="0036403F" w:rsidRPr="0036403F">
        <w:t xml:space="preserve">, established under </w:t>
      </w:r>
      <w:r w:rsidR="00B4242B">
        <w:t>article </w:t>
      </w:r>
      <w:r w:rsidR="0036403F" w:rsidRPr="0036403F">
        <w:t>28 of the International Covenant on Civil and Political Rights,</w:t>
      </w:r>
    </w:p>
    <w:p w:rsidR="0036403F" w:rsidRPr="0036403F" w:rsidRDefault="0036403F" w:rsidP="00156045">
      <w:pPr>
        <w:pStyle w:val="SingleTxtG"/>
      </w:pPr>
      <w:r w:rsidRPr="0036403F">
        <w:tab/>
      </w:r>
      <w:r w:rsidRPr="0036403F">
        <w:rPr>
          <w:i/>
        </w:rPr>
        <w:t>Meeting</w:t>
      </w:r>
      <w:r w:rsidRPr="009A376B">
        <w:t xml:space="preserve"> on</w:t>
      </w:r>
      <w:r w:rsidR="0056629B" w:rsidRPr="005B025D">
        <w:t xml:space="preserve"> </w:t>
      </w:r>
      <w:r w:rsidR="00BB54B8">
        <w:t xml:space="preserve">21 </w:t>
      </w:r>
      <w:r w:rsidR="00242C7F">
        <w:t>October 2014</w:t>
      </w:r>
      <w:r w:rsidRPr="0036403F">
        <w:t>,</w:t>
      </w:r>
    </w:p>
    <w:p w:rsidR="0036403F" w:rsidRPr="0036403F" w:rsidRDefault="0036403F" w:rsidP="00156045">
      <w:pPr>
        <w:pStyle w:val="SingleTxtG"/>
      </w:pPr>
      <w:r w:rsidRPr="0036403F">
        <w:tab/>
      </w:r>
      <w:r w:rsidRPr="0036403F">
        <w:rPr>
          <w:i/>
        </w:rPr>
        <w:t>Having concluded</w:t>
      </w:r>
      <w:r w:rsidRPr="0036403F">
        <w:t xml:space="preserve"> its con</w:t>
      </w:r>
      <w:r w:rsidR="003B26D6">
        <w:t>sideration of communication No. </w:t>
      </w:r>
      <w:r w:rsidR="00F2710B" w:rsidRPr="00F2710B">
        <w:t>1965</w:t>
      </w:r>
      <w:r w:rsidRPr="0036403F">
        <w:t>/201</w:t>
      </w:r>
      <w:r w:rsidR="00F2710B" w:rsidRPr="00F2710B">
        <w:t>0</w:t>
      </w:r>
      <w:r w:rsidRPr="0036403F">
        <w:t>, submitted to the Human Rights Committee</w:t>
      </w:r>
      <w:r w:rsidR="000A4389">
        <w:t xml:space="preserve"> on b</w:t>
      </w:r>
      <w:r w:rsidR="00F2710B">
        <w:t xml:space="preserve">ehalf of </w:t>
      </w:r>
      <w:r w:rsidR="00F2710B" w:rsidRPr="004221CA">
        <w:t>John Njie Monika</w:t>
      </w:r>
      <w:r w:rsidR="00F2710B" w:rsidRPr="0036403F">
        <w:t xml:space="preserve"> </w:t>
      </w:r>
      <w:r w:rsidRPr="0036403F">
        <w:t>under the Optional Protocol to the International Covenant on Civil and Political Rights,</w:t>
      </w:r>
    </w:p>
    <w:p w:rsidR="0036403F" w:rsidRPr="0036403F" w:rsidRDefault="0036403F" w:rsidP="00156045">
      <w:pPr>
        <w:pStyle w:val="SingleTxtG"/>
      </w:pPr>
      <w:r w:rsidRPr="0036403F">
        <w:tab/>
      </w:r>
      <w:r w:rsidRPr="0036403F">
        <w:rPr>
          <w:i/>
        </w:rPr>
        <w:t>Having taken into account</w:t>
      </w:r>
      <w:r w:rsidRPr="0036403F">
        <w:t xml:space="preserve"> all written information made available to it by the authors of the communication and the State party,</w:t>
      </w:r>
    </w:p>
    <w:p w:rsidR="0036403F" w:rsidRPr="0036403F" w:rsidRDefault="0036403F" w:rsidP="00156045">
      <w:pPr>
        <w:pStyle w:val="SingleTxtG"/>
      </w:pPr>
      <w:r w:rsidRPr="0036403F">
        <w:tab/>
      </w:r>
      <w:r w:rsidRPr="0036403F">
        <w:rPr>
          <w:i/>
        </w:rPr>
        <w:t>Adopts</w:t>
      </w:r>
      <w:r w:rsidRPr="0036403F">
        <w:t xml:space="preserve"> the following:</w:t>
      </w:r>
      <w:r w:rsidR="00540E55">
        <w:t xml:space="preserve"> </w:t>
      </w:r>
    </w:p>
    <w:p w:rsidR="0036403F" w:rsidRPr="0036403F" w:rsidRDefault="0036403F" w:rsidP="00156045">
      <w:pPr>
        <w:pStyle w:val="H1G"/>
      </w:pPr>
      <w:r w:rsidRPr="0036403F">
        <w:tab/>
      </w:r>
      <w:r w:rsidRPr="0036403F">
        <w:tab/>
        <w:t xml:space="preserve">Views under </w:t>
      </w:r>
      <w:r w:rsidR="00B4242B">
        <w:t>article </w:t>
      </w:r>
      <w:r w:rsidRPr="0036403F">
        <w:t>5, paragraph 4, of the Optional Protocol</w:t>
      </w:r>
    </w:p>
    <w:p w:rsidR="0036403F" w:rsidRPr="008A284A" w:rsidRDefault="00F2710B" w:rsidP="00D52C07">
      <w:pPr>
        <w:pStyle w:val="SingleTxtG"/>
      </w:pPr>
      <w:r>
        <w:t>1.1</w:t>
      </w:r>
      <w:r>
        <w:tab/>
        <w:t>The author</w:t>
      </w:r>
      <w:r w:rsidR="0036403F" w:rsidRPr="0036403F">
        <w:t xml:space="preserve"> of the communication </w:t>
      </w:r>
      <w:r w:rsidRPr="00F2710B">
        <w:t xml:space="preserve">is </w:t>
      </w:r>
      <w:r w:rsidRPr="004221CA">
        <w:t>John Njie Monika</w:t>
      </w:r>
      <w:r>
        <w:t>, born on 6 January 1959 at Victoria (now Limbe), Cameroon. He</w:t>
      </w:r>
      <w:r w:rsidR="0036403F" w:rsidRPr="0036403F">
        <w:t xml:space="preserve"> claim</w:t>
      </w:r>
      <w:r w:rsidRPr="00F2710B">
        <w:t>s</w:t>
      </w:r>
      <w:r w:rsidR="0036403F" w:rsidRPr="0036403F">
        <w:t xml:space="preserve"> violations of </w:t>
      </w:r>
      <w:r w:rsidRPr="00F2710B">
        <w:t>his</w:t>
      </w:r>
      <w:r w:rsidR="000A604D">
        <w:t xml:space="preserve"> rights under </w:t>
      </w:r>
      <w:r w:rsidR="00B4242B">
        <w:t>articles </w:t>
      </w:r>
      <w:r w:rsidR="000A604D">
        <w:t>2 (par</w:t>
      </w:r>
      <w:r w:rsidR="0000566D">
        <w:t>a</w:t>
      </w:r>
      <w:r w:rsidR="000A604D">
        <w:t>. </w:t>
      </w:r>
      <w:r w:rsidR="00185237">
        <w:t>3)</w:t>
      </w:r>
      <w:r w:rsidR="00F66E48">
        <w:t>,</w:t>
      </w:r>
      <w:r w:rsidRPr="00F2710B">
        <w:t xml:space="preserve"> 6, </w:t>
      </w:r>
      <w:r w:rsidR="0036403F" w:rsidRPr="0036403F">
        <w:t>7</w:t>
      </w:r>
      <w:r w:rsidR="00860BD6">
        <w:t>,</w:t>
      </w:r>
      <w:r w:rsidR="0036403F" w:rsidRPr="0036403F">
        <w:t xml:space="preserve"> 9</w:t>
      </w:r>
      <w:r w:rsidR="009A376B">
        <w:t xml:space="preserve"> </w:t>
      </w:r>
      <w:r>
        <w:t>and 2</w:t>
      </w:r>
      <w:r w:rsidRPr="00F2710B">
        <w:t>6 of the Covenant</w:t>
      </w:r>
      <w:r>
        <w:t xml:space="preserve">. </w:t>
      </w:r>
      <w:r w:rsidR="00396A0E" w:rsidRPr="005B025D">
        <w:t xml:space="preserve">The Optional Protocol to the Covenant entered into force for the State party on </w:t>
      </w:r>
      <w:r w:rsidR="00396A0E" w:rsidRPr="00D52C07">
        <w:t>27 September 1984</w:t>
      </w:r>
      <w:r w:rsidR="00396A0E" w:rsidRPr="005B025D">
        <w:t xml:space="preserve">. </w:t>
      </w:r>
      <w:r>
        <w:t>The author</w:t>
      </w:r>
      <w:r w:rsidRPr="00185237">
        <w:t xml:space="preserve"> is</w:t>
      </w:r>
      <w:r>
        <w:t xml:space="preserve"> represented</w:t>
      </w:r>
      <w:r w:rsidR="0036403F" w:rsidRPr="0036403F">
        <w:t xml:space="preserve">. </w:t>
      </w:r>
    </w:p>
    <w:p w:rsidR="008A284A" w:rsidRPr="005D5EEA" w:rsidRDefault="008A284A" w:rsidP="008A284A">
      <w:pPr>
        <w:pStyle w:val="SingleTxtG"/>
      </w:pPr>
      <w:r w:rsidRPr="008A284A">
        <w:t>1.2</w:t>
      </w:r>
      <w:r w:rsidRPr="008A284A">
        <w:tab/>
      </w:r>
      <w:r>
        <w:t xml:space="preserve">On 18 October 2010, </w:t>
      </w:r>
      <w:r w:rsidRPr="005D5EEA">
        <w:t>the Special Rapporteur on new comm</w:t>
      </w:r>
      <w:r>
        <w:t>unications and interim measures</w:t>
      </w:r>
      <w:r w:rsidRPr="005D5EEA">
        <w:t xml:space="preserve"> </w:t>
      </w:r>
      <w:r w:rsidR="00445DAE" w:rsidRPr="00B00AB7">
        <w:rPr>
          <w:lang w:val="en-US"/>
        </w:rPr>
        <w:t xml:space="preserve">denied </w:t>
      </w:r>
      <w:r w:rsidRPr="008A284A">
        <w:t>the State party’s request</w:t>
      </w:r>
      <w:r w:rsidRPr="005D5EEA">
        <w:t xml:space="preserve"> that the admissibility of the communication be considered separately from the merits.</w:t>
      </w:r>
    </w:p>
    <w:p w:rsidR="0036403F" w:rsidRPr="008A284A" w:rsidRDefault="002D5B7E" w:rsidP="002D5B7E">
      <w:pPr>
        <w:pStyle w:val="H23G"/>
      </w:pPr>
      <w:r>
        <w:lastRenderedPageBreak/>
        <w:tab/>
      </w:r>
      <w:r>
        <w:tab/>
      </w:r>
      <w:r w:rsidR="0036403F" w:rsidRPr="008A284A">
        <w:t xml:space="preserve">The facts as </w:t>
      </w:r>
      <w:r w:rsidR="00EA723D" w:rsidRPr="008A284A">
        <w:t xml:space="preserve">submitted </w:t>
      </w:r>
      <w:r w:rsidR="00F2710B" w:rsidRPr="008A284A">
        <w:t>by the author</w:t>
      </w:r>
    </w:p>
    <w:p w:rsidR="002D479F" w:rsidRDefault="0036403F" w:rsidP="00CF6655">
      <w:pPr>
        <w:pStyle w:val="SingleTxtG"/>
        <w:rPr>
          <w:lang w:val="en-US"/>
        </w:rPr>
      </w:pPr>
      <w:r w:rsidRPr="0036403F">
        <w:t>2.1</w:t>
      </w:r>
      <w:r w:rsidRPr="0036403F">
        <w:tab/>
      </w:r>
      <w:r w:rsidR="00614E97" w:rsidRPr="00CD33A7">
        <w:t xml:space="preserve">The author </w:t>
      </w:r>
      <w:r w:rsidR="00113D0C">
        <w:t>was</w:t>
      </w:r>
      <w:r w:rsidR="00113D0C" w:rsidRPr="00CD33A7">
        <w:t xml:space="preserve"> </w:t>
      </w:r>
      <w:r w:rsidR="00614E97" w:rsidRPr="00CD33A7">
        <w:t>a contractor</w:t>
      </w:r>
      <w:r w:rsidR="002D479F">
        <w:t>, businessman and creditor</w:t>
      </w:r>
      <w:r w:rsidR="00614E97" w:rsidRPr="00CD33A7">
        <w:t xml:space="preserve"> to the Limbe Urban Council</w:t>
      </w:r>
      <w:r w:rsidR="002D479F">
        <w:t>, and the M</w:t>
      </w:r>
      <w:r w:rsidR="00614E97" w:rsidRPr="00CD33A7">
        <w:t xml:space="preserve">anager of </w:t>
      </w:r>
      <w:r w:rsidR="00614E97" w:rsidRPr="00CF6655">
        <w:t>Mile Six Tourist Beach Resort</w:t>
      </w:r>
      <w:r w:rsidR="00614E97" w:rsidRPr="00CD33A7">
        <w:t xml:space="preserve"> situated in Limbe</w:t>
      </w:r>
      <w:r w:rsidR="00CF6655">
        <w:t xml:space="preserve"> in the</w:t>
      </w:r>
      <w:r w:rsidR="00614E97" w:rsidRPr="00CD33A7">
        <w:t xml:space="preserve"> </w:t>
      </w:r>
      <w:r w:rsidR="00614E97" w:rsidRPr="00CF6655">
        <w:t>Fako Division of the South</w:t>
      </w:r>
      <w:r w:rsidR="00CF6655">
        <w:t>-</w:t>
      </w:r>
      <w:r w:rsidR="00614E97" w:rsidRPr="00CF6655">
        <w:t>West</w:t>
      </w:r>
      <w:r w:rsidR="00CF6655">
        <w:t>ern</w:t>
      </w:r>
      <w:r w:rsidR="00614E97" w:rsidRPr="00CF6655">
        <w:t xml:space="preserve"> </w:t>
      </w:r>
      <w:r w:rsidR="00CF6655">
        <w:t>Province</w:t>
      </w:r>
      <w:r w:rsidR="002D479F">
        <w:t xml:space="preserve">, under the </w:t>
      </w:r>
      <w:r w:rsidR="00C17F21">
        <w:t>s</w:t>
      </w:r>
      <w:r w:rsidR="002D479F">
        <w:t xml:space="preserve">upervisory authority of the Ministry of </w:t>
      </w:r>
      <w:r w:rsidR="00C17F21">
        <w:t>T</w:t>
      </w:r>
      <w:r w:rsidR="002D479F">
        <w:t>ourism</w:t>
      </w:r>
      <w:r w:rsidR="00614E97" w:rsidRPr="00CD33A7">
        <w:t>. On 29</w:t>
      </w:r>
      <w:r w:rsidR="00C956B3">
        <w:t> </w:t>
      </w:r>
      <w:r w:rsidR="00614E97" w:rsidRPr="00CD33A7">
        <w:t>August 2002, the author had an appointment with the</w:t>
      </w:r>
      <w:r w:rsidR="002D479F">
        <w:t xml:space="preserve"> Government delegate heading the Limbe Urban Council</w:t>
      </w:r>
      <w:r w:rsidR="00591A3F">
        <w:t xml:space="preserve">, </w:t>
      </w:r>
      <w:r w:rsidR="00614E97" w:rsidRPr="00CD33A7">
        <w:t xml:space="preserve">Samuel Ebiama Lifanda, </w:t>
      </w:r>
      <w:r w:rsidR="002D479F">
        <w:t>to demand the payment of some long overdue bills totalling 7,946,956 CFA</w:t>
      </w:r>
      <w:r w:rsidR="00C17F21">
        <w:t xml:space="preserve"> francs</w:t>
      </w:r>
      <w:r w:rsidR="002D479F">
        <w:t xml:space="preserve">, with respect to </w:t>
      </w:r>
      <w:r w:rsidR="00614E97" w:rsidRPr="00CD33A7">
        <w:t>contracts he had executed between 1997 and 1998</w:t>
      </w:r>
      <w:r w:rsidR="00614E97" w:rsidRPr="00CD33A7">
        <w:rPr>
          <w:lang w:val="en-US"/>
        </w:rPr>
        <w:t xml:space="preserve">. </w:t>
      </w:r>
      <w:r w:rsidR="000F50C7">
        <w:rPr>
          <w:lang w:val="en-US"/>
        </w:rPr>
        <w:t>Even though he presented himself around 9</w:t>
      </w:r>
      <w:r w:rsidR="00C17F21">
        <w:rPr>
          <w:lang w:val="en-US"/>
        </w:rPr>
        <w:t>.</w:t>
      </w:r>
      <w:r w:rsidR="000F50C7">
        <w:rPr>
          <w:lang w:val="en-US"/>
        </w:rPr>
        <w:t>30 a</w:t>
      </w:r>
      <w:r w:rsidR="00C17F21">
        <w:rPr>
          <w:lang w:val="en-US"/>
        </w:rPr>
        <w:t>.</w:t>
      </w:r>
      <w:r w:rsidR="000F50C7">
        <w:rPr>
          <w:lang w:val="en-US"/>
        </w:rPr>
        <w:t>m</w:t>
      </w:r>
      <w:r w:rsidR="00C17F21">
        <w:rPr>
          <w:lang w:val="en-US"/>
        </w:rPr>
        <w:t>.</w:t>
      </w:r>
      <w:r w:rsidR="000F50C7">
        <w:rPr>
          <w:lang w:val="en-US"/>
        </w:rPr>
        <w:t xml:space="preserve">, the author was only received as the last visitor, when everybody else had left, around </w:t>
      </w:r>
      <w:r w:rsidR="00C17F21">
        <w:rPr>
          <w:lang w:val="en-US"/>
        </w:rPr>
        <w:t>2.</w:t>
      </w:r>
      <w:r w:rsidR="000F50C7">
        <w:rPr>
          <w:lang w:val="en-US"/>
        </w:rPr>
        <w:t>30</w:t>
      </w:r>
      <w:r w:rsidR="00C17F21">
        <w:rPr>
          <w:lang w:val="en-US"/>
        </w:rPr>
        <w:t xml:space="preserve"> p.m</w:t>
      </w:r>
      <w:r w:rsidR="000F50C7">
        <w:rPr>
          <w:lang w:val="en-US"/>
        </w:rPr>
        <w:t xml:space="preserve">. </w:t>
      </w:r>
    </w:p>
    <w:p w:rsidR="00614E97" w:rsidRPr="00CD33A7" w:rsidRDefault="002D479F" w:rsidP="0069117B">
      <w:pPr>
        <w:pStyle w:val="SingleTxtG"/>
        <w:rPr>
          <w:lang w:val="en-US"/>
        </w:rPr>
      </w:pPr>
      <w:r>
        <w:rPr>
          <w:lang w:val="en-US"/>
        </w:rPr>
        <w:t>2.2</w:t>
      </w:r>
      <w:r>
        <w:rPr>
          <w:lang w:val="en-US"/>
        </w:rPr>
        <w:tab/>
      </w:r>
      <w:r w:rsidR="00614E97" w:rsidRPr="00CD33A7">
        <w:rPr>
          <w:lang w:val="en-US"/>
        </w:rPr>
        <w:t>Duri</w:t>
      </w:r>
      <w:r>
        <w:rPr>
          <w:lang w:val="en-US"/>
        </w:rPr>
        <w:t>ng the meeting, the Government d</w:t>
      </w:r>
      <w:r w:rsidR="00614E97" w:rsidRPr="00CD33A7">
        <w:rPr>
          <w:lang w:val="en-US"/>
        </w:rPr>
        <w:t xml:space="preserve">elegate declared that the author had </w:t>
      </w:r>
      <w:r>
        <w:rPr>
          <w:lang w:val="en-US"/>
        </w:rPr>
        <w:t>“</w:t>
      </w:r>
      <w:r w:rsidR="00614E97" w:rsidRPr="00CD33A7">
        <w:rPr>
          <w:lang w:val="en-US"/>
        </w:rPr>
        <w:t>disgraced</w:t>
      </w:r>
      <w:r>
        <w:rPr>
          <w:lang w:val="en-US"/>
        </w:rPr>
        <w:t>”</w:t>
      </w:r>
      <w:r w:rsidR="00614E97" w:rsidRPr="00CD33A7">
        <w:rPr>
          <w:lang w:val="en-US"/>
        </w:rPr>
        <w:t xml:space="preserve"> him by taking</w:t>
      </w:r>
      <w:r w:rsidR="00C17F21">
        <w:rPr>
          <w:lang w:val="en-US"/>
        </w:rPr>
        <w:t xml:space="preserve"> the</w:t>
      </w:r>
      <w:r w:rsidR="00614E97" w:rsidRPr="00CD33A7">
        <w:rPr>
          <w:lang w:val="en-US"/>
        </w:rPr>
        <w:t xml:space="preserve"> </w:t>
      </w:r>
      <w:r w:rsidR="00614E97" w:rsidRPr="00CF6655">
        <w:rPr>
          <w:lang w:val="en-US"/>
        </w:rPr>
        <w:t>Mile Six Beach Resort</w:t>
      </w:r>
      <w:r w:rsidR="00614E97" w:rsidRPr="00CD33A7">
        <w:rPr>
          <w:lang w:val="en-US"/>
        </w:rPr>
        <w:t xml:space="preserve"> away from him. Thereafter, th</w:t>
      </w:r>
      <w:r w:rsidR="000F29B1">
        <w:rPr>
          <w:lang w:val="en-US"/>
        </w:rPr>
        <w:t>e delegate called th</w:t>
      </w:r>
      <w:r w:rsidR="00614E97" w:rsidRPr="00CD33A7">
        <w:rPr>
          <w:lang w:val="en-US"/>
        </w:rPr>
        <w:t>ree council officers into the office</w:t>
      </w:r>
      <w:r>
        <w:rPr>
          <w:lang w:val="en-US"/>
        </w:rPr>
        <w:t>,</w:t>
      </w:r>
      <w:r w:rsidR="000F29B1">
        <w:rPr>
          <w:lang w:val="en-US"/>
        </w:rPr>
        <w:t xml:space="preserve"> who</w:t>
      </w:r>
      <w:r>
        <w:rPr>
          <w:lang w:val="en-US"/>
        </w:rPr>
        <w:t xml:space="preserve">, seemingly under previous instructions, </w:t>
      </w:r>
      <w:r w:rsidR="000F29B1">
        <w:rPr>
          <w:lang w:val="en-US"/>
        </w:rPr>
        <w:t xml:space="preserve">started to </w:t>
      </w:r>
      <w:r>
        <w:rPr>
          <w:lang w:val="en-US"/>
        </w:rPr>
        <w:t>s</w:t>
      </w:r>
      <w:r w:rsidR="00614E97" w:rsidRPr="00CD33A7">
        <w:rPr>
          <w:lang w:val="en-US"/>
        </w:rPr>
        <w:t>everely beat the author. The author managed to escape but was intercepted by other council officers bef</w:t>
      </w:r>
      <w:r w:rsidR="001B71CE">
        <w:rPr>
          <w:lang w:val="en-US"/>
        </w:rPr>
        <w:t xml:space="preserve">ore he could leave the </w:t>
      </w:r>
      <w:r w:rsidR="001E591C">
        <w:rPr>
          <w:lang w:val="en-US"/>
        </w:rPr>
        <w:t>building</w:t>
      </w:r>
      <w:r w:rsidR="001B71CE">
        <w:rPr>
          <w:lang w:val="en-US"/>
        </w:rPr>
        <w:t xml:space="preserve"> </w:t>
      </w:r>
      <w:r w:rsidR="00614E97" w:rsidRPr="00CD33A7">
        <w:rPr>
          <w:lang w:val="en-US"/>
        </w:rPr>
        <w:t xml:space="preserve">and severe blows were administered to his eyes and face, which immobilized him and caused severe bleeding. While he was lying on the floor, </w:t>
      </w:r>
      <w:r w:rsidR="001B71CE">
        <w:rPr>
          <w:lang w:val="en-US"/>
        </w:rPr>
        <w:t xml:space="preserve">some of the council police officers held his throat and mouth almost to the point of suffocation to prevent him from shouting. At the same time, </w:t>
      </w:r>
      <w:r w:rsidR="00614E97" w:rsidRPr="00CD33A7">
        <w:rPr>
          <w:lang w:val="en-US"/>
        </w:rPr>
        <w:t xml:space="preserve">the Government delegate and other council officers administered </w:t>
      </w:r>
      <w:r w:rsidR="001B71CE">
        <w:rPr>
          <w:lang w:val="en-US"/>
        </w:rPr>
        <w:t xml:space="preserve">him </w:t>
      </w:r>
      <w:r w:rsidR="00614E97" w:rsidRPr="00CD33A7">
        <w:rPr>
          <w:lang w:val="en-US"/>
        </w:rPr>
        <w:t xml:space="preserve">kicks, punches and blows over </w:t>
      </w:r>
      <w:r w:rsidR="001B71CE">
        <w:rPr>
          <w:lang w:val="en-US"/>
        </w:rPr>
        <w:t xml:space="preserve">his </w:t>
      </w:r>
      <w:r w:rsidR="00614E97" w:rsidRPr="00CD33A7">
        <w:rPr>
          <w:lang w:val="en-US"/>
        </w:rPr>
        <w:t>body. The author managed to leave the Limbe Urban Council building and was helped by unknown persons to the public security office</w:t>
      </w:r>
      <w:r w:rsidR="0056629B">
        <w:rPr>
          <w:lang w:val="en-US"/>
        </w:rPr>
        <w:t>,</w:t>
      </w:r>
      <w:r w:rsidR="00614E97" w:rsidRPr="00CD33A7">
        <w:rPr>
          <w:lang w:val="en-US"/>
        </w:rPr>
        <w:t xml:space="preserve"> and thereafter to the hospital. </w:t>
      </w:r>
      <w:r w:rsidR="0056629B">
        <w:rPr>
          <w:lang w:val="en-US"/>
        </w:rPr>
        <w:t xml:space="preserve">During the assault, the author’s cell phone, his purse containing </w:t>
      </w:r>
      <w:r w:rsidR="00D112AF">
        <w:rPr>
          <w:lang w:val="en-US"/>
        </w:rPr>
        <w:t xml:space="preserve">the </w:t>
      </w:r>
      <w:r w:rsidR="0056629B">
        <w:rPr>
          <w:lang w:val="en-US"/>
        </w:rPr>
        <w:t>amount of 113,000 CFA</w:t>
      </w:r>
      <w:r w:rsidR="00C17F21">
        <w:rPr>
          <w:lang w:val="en-US"/>
        </w:rPr>
        <w:t>F</w:t>
      </w:r>
      <w:r w:rsidR="0056629B">
        <w:rPr>
          <w:lang w:val="en-US"/>
        </w:rPr>
        <w:t xml:space="preserve"> and his jacket were </w:t>
      </w:r>
      <w:r w:rsidR="00445DAE">
        <w:rPr>
          <w:lang w:val="en-US"/>
        </w:rPr>
        <w:t>taken away</w:t>
      </w:r>
      <w:r w:rsidR="0056629B">
        <w:rPr>
          <w:lang w:val="en-US"/>
        </w:rPr>
        <w:t xml:space="preserve">. </w:t>
      </w:r>
      <w:r w:rsidR="00020AC6">
        <w:rPr>
          <w:lang w:val="en-US"/>
        </w:rPr>
        <w:t>T</w:t>
      </w:r>
      <w:r w:rsidR="00614E97" w:rsidRPr="00CD33A7">
        <w:rPr>
          <w:lang w:val="en-US"/>
        </w:rPr>
        <w:t>he</w:t>
      </w:r>
      <w:r w:rsidR="00086A78">
        <w:rPr>
          <w:lang w:val="en-US"/>
        </w:rPr>
        <w:t xml:space="preserve"> author was taken to the police station</w:t>
      </w:r>
      <w:r w:rsidR="00020AC6">
        <w:rPr>
          <w:lang w:val="en-US"/>
        </w:rPr>
        <w:t xml:space="preserve"> by passers-by</w:t>
      </w:r>
      <w:r w:rsidR="00086A78">
        <w:rPr>
          <w:lang w:val="en-US"/>
        </w:rPr>
        <w:t>. The</w:t>
      </w:r>
      <w:r w:rsidR="00C71EC8">
        <w:rPr>
          <w:lang w:val="en-US"/>
        </w:rPr>
        <w:t xml:space="preserve"> Government d</w:t>
      </w:r>
      <w:r w:rsidR="00614E97" w:rsidRPr="00CD33A7">
        <w:rPr>
          <w:lang w:val="en-US"/>
        </w:rPr>
        <w:t>elegate</w:t>
      </w:r>
      <w:r w:rsidR="00020AC6">
        <w:rPr>
          <w:lang w:val="en-US"/>
        </w:rPr>
        <w:t xml:space="preserve"> refused to accompany him.</w:t>
      </w:r>
      <w:r w:rsidR="008400C1">
        <w:rPr>
          <w:lang w:val="en-US"/>
        </w:rPr>
        <w:t xml:space="preserve"> </w:t>
      </w:r>
      <w:r w:rsidR="00020AC6">
        <w:rPr>
          <w:lang w:val="en-US"/>
        </w:rPr>
        <w:t xml:space="preserve">However, about an hour later, as the author was about to go to hospital, the Government delegate </w:t>
      </w:r>
      <w:r w:rsidR="000F29B1">
        <w:rPr>
          <w:lang w:val="en-US"/>
        </w:rPr>
        <w:t xml:space="preserve">who assaulted him </w:t>
      </w:r>
      <w:r w:rsidR="00086A78">
        <w:rPr>
          <w:lang w:val="en-US"/>
        </w:rPr>
        <w:t>appeared</w:t>
      </w:r>
      <w:r w:rsidR="00D112AF">
        <w:rPr>
          <w:lang w:val="en-US"/>
        </w:rPr>
        <w:t xml:space="preserve"> holding</w:t>
      </w:r>
      <w:r w:rsidR="00D112AF" w:rsidRPr="00CD33A7">
        <w:rPr>
          <w:lang w:val="en-US"/>
        </w:rPr>
        <w:t xml:space="preserve"> an empty petrol canister</w:t>
      </w:r>
      <w:r w:rsidR="00086A78">
        <w:rPr>
          <w:lang w:val="en-US"/>
        </w:rPr>
        <w:t xml:space="preserve"> and claimed</w:t>
      </w:r>
      <w:r w:rsidR="00614E97" w:rsidRPr="00CD33A7">
        <w:rPr>
          <w:lang w:val="en-US"/>
        </w:rPr>
        <w:t xml:space="preserve"> that the author had tried to </w:t>
      </w:r>
      <w:r w:rsidR="00D112AF">
        <w:rPr>
          <w:lang w:val="en-US"/>
        </w:rPr>
        <w:t>set fire to</w:t>
      </w:r>
      <w:r w:rsidR="00D112AF" w:rsidRPr="00CD33A7">
        <w:rPr>
          <w:lang w:val="en-US"/>
        </w:rPr>
        <w:t xml:space="preserve"> </w:t>
      </w:r>
      <w:r w:rsidR="00614E97" w:rsidRPr="00CD33A7">
        <w:rPr>
          <w:lang w:val="en-US"/>
        </w:rPr>
        <w:t xml:space="preserve">his office. The inspection of the Government </w:t>
      </w:r>
      <w:r w:rsidR="00C17F21">
        <w:rPr>
          <w:lang w:val="en-US"/>
        </w:rPr>
        <w:t>d</w:t>
      </w:r>
      <w:r w:rsidR="00614E97" w:rsidRPr="00CD33A7">
        <w:rPr>
          <w:lang w:val="en-US"/>
        </w:rPr>
        <w:t>elegate’s office revealed no trace of petrol.</w:t>
      </w:r>
      <w:r w:rsidR="00086A78">
        <w:rPr>
          <w:lang w:val="en-US"/>
        </w:rPr>
        <w:t xml:space="preserve"> The author was hospitalized at the </w:t>
      </w:r>
      <w:r w:rsidR="00D52C07">
        <w:rPr>
          <w:lang w:val="en-US"/>
        </w:rPr>
        <w:t xml:space="preserve">Limbe </w:t>
      </w:r>
      <w:r w:rsidR="00086A78">
        <w:rPr>
          <w:lang w:val="en-US"/>
        </w:rPr>
        <w:t xml:space="preserve">Regional Hospital. </w:t>
      </w:r>
    </w:p>
    <w:p w:rsidR="00614E97" w:rsidRPr="00CD33A7" w:rsidRDefault="00614E97" w:rsidP="0097386F">
      <w:pPr>
        <w:pStyle w:val="SingleTxtG"/>
        <w:rPr>
          <w:lang w:val="en-US"/>
        </w:rPr>
      </w:pPr>
      <w:r w:rsidRPr="00CD33A7">
        <w:rPr>
          <w:lang w:val="en-US"/>
        </w:rPr>
        <w:t>2.</w:t>
      </w:r>
      <w:r w:rsidR="00436A4F">
        <w:rPr>
          <w:lang w:val="en-US"/>
        </w:rPr>
        <w:t>3</w:t>
      </w:r>
      <w:r w:rsidRPr="00CD33A7">
        <w:rPr>
          <w:lang w:val="en-US"/>
        </w:rPr>
        <w:tab/>
        <w:t xml:space="preserve">During the author’s stay at the hospital, he received threats by the Government </w:t>
      </w:r>
      <w:r w:rsidR="00522FA7">
        <w:rPr>
          <w:lang w:val="en-US"/>
        </w:rPr>
        <w:t>d</w:t>
      </w:r>
      <w:r w:rsidRPr="00CD33A7">
        <w:rPr>
          <w:lang w:val="en-US"/>
        </w:rPr>
        <w:t>elegate that he would be killed if he left the premises. The medical doctor who treated the author</w:t>
      </w:r>
      <w:r w:rsidR="00FF4008">
        <w:rPr>
          <w:lang w:val="en-US"/>
        </w:rPr>
        <w:t xml:space="preserve"> retracted his medical certificate, as a result of</w:t>
      </w:r>
      <w:r w:rsidR="00110461">
        <w:rPr>
          <w:lang w:val="en-US"/>
        </w:rPr>
        <w:t xml:space="preserve"> pressure from the administration and Government delegate to do so</w:t>
      </w:r>
      <w:r w:rsidRPr="00CD33A7">
        <w:rPr>
          <w:lang w:val="en-US"/>
        </w:rPr>
        <w:t>.</w:t>
      </w:r>
      <w:r w:rsidR="00F7758A">
        <w:rPr>
          <w:rStyle w:val="FootnoteReference"/>
          <w:lang w:val="en-US"/>
        </w:rPr>
        <w:footnoteReference w:id="3"/>
      </w:r>
      <w:r w:rsidRPr="00CD33A7">
        <w:rPr>
          <w:lang w:val="en-US"/>
        </w:rPr>
        <w:t xml:space="preserve"> </w:t>
      </w:r>
    </w:p>
    <w:p w:rsidR="00614E97" w:rsidRPr="00784543" w:rsidRDefault="00614E97" w:rsidP="0097386F">
      <w:pPr>
        <w:pStyle w:val="SingleTxtG"/>
      </w:pPr>
      <w:r w:rsidRPr="00CD33A7">
        <w:rPr>
          <w:lang w:val="en-US"/>
        </w:rPr>
        <w:t>2.</w:t>
      </w:r>
      <w:r w:rsidR="009D196D">
        <w:rPr>
          <w:lang w:val="en-US"/>
        </w:rPr>
        <w:t>4</w:t>
      </w:r>
      <w:r w:rsidRPr="00CD33A7">
        <w:rPr>
          <w:lang w:val="en-US"/>
        </w:rPr>
        <w:tab/>
        <w:t xml:space="preserve">On 25 October 2002, </w:t>
      </w:r>
      <w:r w:rsidR="00DE65E6">
        <w:rPr>
          <w:lang w:val="en-US"/>
        </w:rPr>
        <w:t xml:space="preserve">the author was assaulted anew by </w:t>
      </w:r>
      <w:r w:rsidR="00961F38">
        <w:rPr>
          <w:lang w:val="en-US"/>
        </w:rPr>
        <w:t xml:space="preserve">the head of the </w:t>
      </w:r>
      <w:r w:rsidR="00961F38" w:rsidRPr="0097386F">
        <w:rPr>
          <w:lang w:val="en-US"/>
        </w:rPr>
        <w:t xml:space="preserve">Limbe Urban Council </w:t>
      </w:r>
      <w:r w:rsidR="00522FA7" w:rsidRPr="0097386F">
        <w:rPr>
          <w:lang w:val="en-US"/>
        </w:rPr>
        <w:t xml:space="preserve">municipal </w:t>
      </w:r>
      <w:r w:rsidR="00961F38" w:rsidRPr="0097386F">
        <w:rPr>
          <w:lang w:val="en-US"/>
        </w:rPr>
        <w:t>police</w:t>
      </w:r>
      <w:r w:rsidR="00961F38">
        <w:rPr>
          <w:lang w:val="en-US"/>
        </w:rPr>
        <w:t xml:space="preserve"> and five other individuals</w:t>
      </w:r>
      <w:r w:rsidR="00DE65E6">
        <w:rPr>
          <w:lang w:val="en-US"/>
        </w:rPr>
        <w:t xml:space="preserve">. He claims that he was then </w:t>
      </w:r>
      <w:r w:rsidRPr="00CD33A7">
        <w:rPr>
          <w:lang w:val="en-US"/>
        </w:rPr>
        <w:t xml:space="preserve">arrested and detained </w:t>
      </w:r>
      <w:r w:rsidR="009D196D">
        <w:rPr>
          <w:lang w:val="en-US"/>
        </w:rPr>
        <w:t>within the</w:t>
      </w:r>
      <w:r w:rsidRPr="00CD33A7">
        <w:rPr>
          <w:lang w:val="en-US"/>
        </w:rPr>
        <w:t xml:space="preserve"> hospital premises, where he had </w:t>
      </w:r>
      <w:r w:rsidR="009D196D">
        <w:rPr>
          <w:lang w:val="en-US"/>
        </w:rPr>
        <w:t>stopp</w:t>
      </w:r>
      <w:r w:rsidRPr="00CD33A7">
        <w:rPr>
          <w:lang w:val="en-US"/>
        </w:rPr>
        <w:t>ed to buy medica</w:t>
      </w:r>
      <w:r w:rsidR="009D196D">
        <w:rPr>
          <w:lang w:val="en-US"/>
        </w:rPr>
        <w:t>tion</w:t>
      </w:r>
      <w:r w:rsidRPr="00CD33A7">
        <w:rPr>
          <w:lang w:val="en-US"/>
        </w:rPr>
        <w:t xml:space="preserve">. </w:t>
      </w:r>
      <w:r w:rsidR="00343832" w:rsidRPr="00551010">
        <w:t xml:space="preserve">The author annexes an affidavit </w:t>
      </w:r>
      <w:r w:rsidR="00DE65E6">
        <w:t>signed by</w:t>
      </w:r>
      <w:r w:rsidR="00343832" w:rsidRPr="00551010">
        <w:t xml:space="preserve"> a </w:t>
      </w:r>
      <w:r w:rsidR="0097386F">
        <w:t xml:space="preserve">court </w:t>
      </w:r>
      <w:r w:rsidR="00343832" w:rsidRPr="0097386F">
        <w:t>bailiff</w:t>
      </w:r>
      <w:r w:rsidR="00343832" w:rsidRPr="00551010">
        <w:t xml:space="preserve">, which indicates that </w:t>
      </w:r>
      <w:r w:rsidR="00DE65E6">
        <w:t>the author</w:t>
      </w:r>
      <w:r w:rsidR="00343832" w:rsidRPr="00551010">
        <w:t xml:space="preserve"> was arrested and detained within the Manyemen Annex </w:t>
      </w:r>
      <w:r w:rsidR="00522FA7">
        <w:t>to</w:t>
      </w:r>
      <w:r w:rsidR="00522FA7" w:rsidRPr="00551010">
        <w:t xml:space="preserve"> </w:t>
      </w:r>
      <w:r w:rsidR="00343832" w:rsidRPr="00551010">
        <w:t>the Limbe Hospital by the head of the</w:t>
      </w:r>
      <w:r w:rsidR="00DE65E6">
        <w:t xml:space="preserve"> Limbe </w:t>
      </w:r>
      <w:r w:rsidR="00DE65E6" w:rsidRPr="00551010">
        <w:t xml:space="preserve">Urban Council </w:t>
      </w:r>
      <w:r w:rsidR="00522FA7">
        <w:t>m</w:t>
      </w:r>
      <w:r w:rsidR="00DE65E6" w:rsidRPr="00551010">
        <w:t xml:space="preserve">unicipal police holding a detention order signed by the </w:t>
      </w:r>
      <w:r w:rsidR="00DE65E6" w:rsidRPr="0097386F">
        <w:t xml:space="preserve">Senior </w:t>
      </w:r>
      <w:r w:rsidR="00522FA7" w:rsidRPr="0097386F">
        <w:t>D</w:t>
      </w:r>
      <w:r w:rsidR="00DE65E6" w:rsidRPr="0097386F">
        <w:t>ivisional Officer</w:t>
      </w:r>
      <w:r w:rsidR="00DE65E6" w:rsidRPr="00551010">
        <w:t xml:space="preserve"> f</w:t>
      </w:r>
      <w:r w:rsidR="00DE65E6">
        <w:t>or Fako.</w:t>
      </w:r>
      <w:r w:rsidR="00343832" w:rsidRPr="00551010">
        <w:t xml:space="preserve"> The author was taken to the </w:t>
      </w:r>
      <w:r w:rsidR="008143F9">
        <w:t>g</w:t>
      </w:r>
      <w:r w:rsidR="00343832" w:rsidRPr="00551010">
        <w:t xml:space="preserve">endarmerie </w:t>
      </w:r>
      <w:r w:rsidR="008143F9">
        <w:t>post</w:t>
      </w:r>
      <w:r w:rsidR="00343832" w:rsidRPr="00551010">
        <w:t xml:space="preserve"> and released 20 minutes </w:t>
      </w:r>
      <w:r w:rsidR="00522FA7">
        <w:t>later</w:t>
      </w:r>
      <w:r w:rsidR="00343832" w:rsidRPr="00551010">
        <w:t xml:space="preserve">. </w:t>
      </w:r>
      <w:r w:rsidR="00DE65E6">
        <w:t>On the same day</w:t>
      </w:r>
      <w:r w:rsidR="00343832" w:rsidRPr="00551010">
        <w:t>,</w:t>
      </w:r>
      <w:r w:rsidR="00DE65E6">
        <w:t xml:space="preserve"> only 30 minutes after his release,</w:t>
      </w:r>
      <w:r w:rsidR="00343832" w:rsidRPr="00551010">
        <w:t xml:space="preserve"> </w:t>
      </w:r>
      <w:r w:rsidR="00DE65E6">
        <w:t xml:space="preserve">the author was arrested again by </w:t>
      </w:r>
      <w:r w:rsidR="00343832" w:rsidRPr="00551010">
        <w:t xml:space="preserve">an officer of the Limbe </w:t>
      </w:r>
      <w:r w:rsidR="008143F9" w:rsidRPr="00551010">
        <w:t xml:space="preserve">gendarmerie </w:t>
      </w:r>
      <w:r w:rsidR="008143F9">
        <w:t>post</w:t>
      </w:r>
      <w:r w:rsidR="00343832" w:rsidRPr="00551010">
        <w:t>, holding an arrest warrant</w:t>
      </w:r>
      <w:r w:rsidR="00F825A3">
        <w:t xml:space="preserve"> dated 30 August 2002,</w:t>
      </w:r>
      <w:r w:rsidR="00343832" w:rsidRPr="00551010">
        <w:t xml:space="preserve"> signed by th</w:t>
      </w:r>
      <w:r w:rsidR="00DE65E6">
        <w:t>e Fako Divisional Officer, ordering his</w:t>
      </w:r>
      <w:r w:rsidR="00343832" w:rsidRPr="00551010">
        <w:t xml:space="preserve"> arrest and detention for a </w:t>
      </w:r>
      <w:r w:rsidR="00343832" w:rsidRPr="00551010">
        <w:lastRenderedPageBreak/>
        <w:t xml:space="preserve">period of 15 days, renewable. The author followed the officer to the State Counsel Chamber. </w:t>
      </w:r>
    </w:p>
    <w:p w:rsidR="00242C7F" w:rsidRDefault="00614E97" w:rsidP="0069117B">
      <w:pPr>
        <w:pStyle w:val="SingleTxtG"/>
        <w:rPr>
          <w:lang w:val="en-US"/>
        </w:rPr>
      </w:pPr>
      <w:r w:rsidRPr="00CD33A7">
        <w:rPr>
          <w:lang w:val="en-US"/>
        </w:rPr>
        <w:t>2.</w:t>
      </w:r>
      <w:r w:rsidR="009D196D">
        <w:rPr>
          <w:lang w:val="en-US"/>
        </w:rPr>
        <w:t>5</w:t>
      </w:r>
      <w:r w:rsidRPr="00CD33A7">
        <w:rPr>
          <w:lang w:val="en-US"/>
        </w:rPr>
        <w:tab/>
        <w:t xml:space="preserve">On 17 September 2002, the author filed a complaint before the </w:t>
      </w:r>
      <w:r w:rsidR="002145DF">
        <w:rPr>
          <w:lang w:val="en-US"/>
        </w:rPr>
        <w:t xml:space="preserve">State </w:t>
      </w:r>
      <w:r w:rsidR="00522FA7" w:rsidRPr="0097386F">
        <w:rPr>
          <w:lang w:val="en-US"/>
        </w:rPr>
        <w:t>Prosecutor</w:t>
      </w:r>
      <w:r w:rsidR="002145DF">
        <w:rPr>
          <w:lang w:val="en-US"/>
        </w:rPr>
        <w:t>-</w:t>
      </w:r>
      <w:r w:rsidRPr="0097386F">
        <w:rPr>
          <w:lang w:val="en-US"/>
        </w:rPr>
        <w:t>General</w:t>
      </w:r>
      <w:r w:rsidR="00D112AF">
        <w:rPr>
          <w:lang w:val="en-US"/>
        </w:rPr>
        <w:t xml:space="preserve"> of the</w:t>
      </w:r>
      <w:r w:rsidRPr="0097386F">
        <w:rPr>
          <w:lang w:val="en-US"/>
        </w:rPr>
        <w:t xml:space="preserve"> South</w:t>
      </w:r>
      <w:r w:rsidR="00522FA7" w:rsidRPr="0097386F">
        <w:rPr>
          <w:lang w:val="en-US"/>
        </w:rPr>
        <w:t>-</w:t>
      </w:r>
      <w:r w:rsidRPr="0097386F">
        <w:rPr>
          <w:lang w:val="en-US"/>
        </w:rPr>
        <w:t>West</w:t>
      </w:r>
      <w:r w:rsidR="0097386F">
        <w:rPr>
          <w:lang w:val="en-US"/>
        </w:rPr>
        <w:t>ern</w:t>
      </w:r>
      <w:r w:rsidRPr="0097386F">
        <w:rPr>
          <w:lang w:val="en-US"/>
        </w:rPr>
        <w:t xml:space="preserve"> Province</w:t>
      </w:r>
      <w:r w:rsidRPr="00CD33A7">
        <w:rPr>
          <w:lang w:val="en-US"/>
        </w:rPr>
        <w:t>, which was received on 19 September 2002</w:t>
      </w:r>
      <w:r w:rsidR="00163BE7">
        <w:rPr>
          <w:lang w:val="en-US"/>
        </w:rPr>
        <w:t>, to which he annexed a picture of his damaged left eye</w:t>
      </w:r>
      <w:r w:rsidRPr="00CD33A7">
        <w:rPr>
          <w:lang w:val="en-US"/>
        </w:rPr>
        <w:t xml:space="preserve">. On 3 October 2002, he filed a </w:t>
      </w:r>
      <w:r w:rsidR="006A7F24">
        <w:rPr>
          <w:lang w:val="en-US"/>
        </w:rPr>
        <w:t xml:space="preserve">further </w:t>
      </w:r>
      <w:r w:rsidRPr="00CD33A7">
        <w:rPr>
          <w:lang w:val="en-US"/>
        </w:rPr>
        <w:t xml:space="preserve">complaint with the </w:t>
      </w:r>
      <w:r w:rsidR="002145DF">
        <w:rPr>
          <w:lang w:val="en-US"/>
        </w:rPr>
        <w:t xml:space="preserve">State </w:t>
      </w:r>
      <w:r w:rsidR="00522FA7">
        <w:rPr>
          <w:lang w:val="en-US"/>
        </w:rPr>
        <w:t>Prosecutor</w:t>
      </w:r>
      <w:r w:rsidR="002145DF">
        <w:rPr>
          <w:lang w:val="en-US"/>
        </w:rPr>
        <w:t>-</w:t>
      </w:r>
      <w:r w:rsidR="00961F38">
        <w:rPr>
          <w:lang w:val="en-US"/>
        </w:rPr>
        <w:t>General</w:t>
      </w:r>
      <w:r w:rsidR="0097386F">
        <w:rPr>
          <w:lang w:val="en-US"/>
        </w:rPr>
        <w:t xml:space="preserve"> of the</w:t>
      </w:r>
      <w:r w:rsidR="00B90A79">
        <w:rPr>
          <w:lang w:val="en-US"/>
        </w:rPr>
        <w:t xml:space="preserve"> </w:t>
      </w:r>
      <w:r w:rsidR="00B90A79" w:rsidRPr="0097386F">
        <w:rPr>
          <w:lang w:val="en-US"/>
        </w:rPr>
        <w:t>South</w:t>
      </w:r>
      <w:r w:rsidR="0097386F">
        <w:rPr>
          <w:lang w:val="en-US"/>
        </w:rPr>
        <w:t>-</w:t>
      </w:r>
      <w:r w:rsidR="00B90A79" w:rsidRPr="0097386F">
        <w:rPr>
          <w:lang w:val="en-US"/>
        </w:rPr>
        <w:t>West</w:t>
      </w:r>
      <w:r w:rsidR="0097386F">
        <w:rPr>
          <w:lang w:val="en-US"/>
        </w:rPr>
        <w:t>ern</w:t>
      </w:r>
      <w:r w:rsidR="00B90A79" w:rsidRPr="0097386F">
        <w:rPr>
          <w:lang w:val="en-US"/>
        </w:rPr>
        <w:t xml:space="preserve"> Province</w:t>
      </w:r>
      <w:r w:rsidRPr="00CD33A7">
        <w:rPr>
          <w:lang w:val="en-US"/>
        </w:rPr>
        <w:t xml:space="preserve"> regarding the threats he received while in hospital</w:t>
      </w:r>
      <w:r w:rsidR="00666311">
        <w:rPr>
          <w:lang w:val="en-US"/>
        </w:rPr>
        <w:t xml:space="preserve"> after the incident of 29 August 2002</w:t>
      </w:r>
      <w:r w:rsidRPr="00CD33A7">
        <w:rPr>
          <w:lang w:val="en-US"/>
        </w:rPr>
        <w:t>.</w:t>
      </w:r>
      <w:r w:rsidR="00C71EC8">
        <w:rPr>
          <w:rStyle w:val="FootnoteReference"/>
          <w:lang w:val="en-US"/>
        </w:rPr>
        <w:footnoteReference w:id="4"/>
      </w:r>
      <w:r w:rsidRPr="00CD33A7">
        <w:rPr>
          <w:lang w:val="en-US"/>
        </w:rPr>
        <w:t xml:space="preserve"> </w:t>
      </w:r>
      <w:r w:rsidR="00F500CE">
        <w:rPr>
          <w:lang w:val="en-US"/>
        </w:rPr>
        <w:t>In November 2002</w:t>
      </w:r>
      <w:r w:rsidRPr="00CD33A7">
        <w:rPr>
          <w:lang w:val="en-US"/>
        </w:rPr>
        <w:t xml:space="preserve">, the </w:t>
      </w:r>
      <w:r w:rsidR="002145DF">
        <w:rPr>
          <w:lang w:val="en-US"/>
        </w:rPr>
        <w:t xml:space="preserve">State </w:t>
      </w:r>
      <w:r w:rsidR="00522FA7">
        <w:rPr>
          <w:lang w:val="en-US"/>
        </w:rPr>
        <w:t>Prosecutor</w:t>
      </w:r>
      <w:r w:rsidR="002145DF">
        <w:rPr>
          <w:lang w:val="en-US"/>
        </w:rPr>
        <w:t>-</w:t>
      </w:r>
      <w:r w:rsidRPr="00CD33A7">
        <w:rPr>
          <w:lang w:val="en-US"/>
        </w:rPr>
        <w:t>General</w:t>
      </w:r>
      <w:r w:rsidR="0097386F">
        <w:rPr>
          <w:lang w:val="en-US"/>
        </w:rPr>
        <w:t xml:space="preserve"> of the</w:t>
      </w:r>
      <w:r w:rsidR="00F500CE">
        <w:rPr>
          <w:lang w:val="en-US"/>
        </w:rPr>
        <w:t xml:space="preserve"> </w:t>
      </w:r>
      <w:r w:rsidR="00F500CE" w:rsidRPr="0097386F">
        <w:rPr>
          <w:lang w:val="en-US"/>
        </w:rPr>
        <w:t>South</w:t>
      </w:r>
      <w:r w:rsidR="0097386F">
        <w:rPr>
          <w:lang w:val="en-US"/>
        </w:rPr>
        <w:t>-</w:t>
      </w:r>
      <w:r w:rsidR="00F500CE" w:rsidRPr="0097386F">
        <w:rPr>
          <w:lang w:val="en-US"/>
        </w:rPr>
        <w:t>West</w:t>
      </w:r>
      <w:r w:rsidR="0097386F">
        <w:rPr>
          <w:lang w:val="en-US"/>
        </w:rPr>
        <w:t>ern</w:t>
      </w:r>
      <w:r w:rsidR="00F500CE" w:rsidRPr="0097386F">
        <w:rPr>
          <w:lang w:val="en-US"/>
        </w:rPr>
        <w:t xml:space="preserve"> Province</w:t>
      </w:r>
      <w:r w:rsidR="00A56903">
        <w:rPr>
          <w:lang w:val="en-US"/>
        </w:rPr>
        <w:t xml:space="preserve"> </w:t>
      </w:r>
      <w:r w:rsidR="00A56903" w:rsidRPr="00CD33A7">
        <w:rPr>
          <w:lang w:val="en-US"/>
        </w:rPr>
        <w:t>forwarded</w:t>
      </w:r>
      <w:r w:rsidRPr="00CD33A7">
        <w:rPr>
          <w:lang w:val="en-US"/>
        </w:rPr>
        <w:t xml:space="preserve"> the author’s complaint</w:t>
      </w:r>
      <w:r w:rsidR="00B90A79">
        <w:rPr>
          <w:lang w:val="en-US"/>
        </w:rPr>
        <w:t>s</w:t>
      </w:r>
      <w:r w:rsidRPr="00CD33A7">
        <w:rPr>
          <w:lang w:val="en-US"/>
        </w:rPr>
        <w:t xml:space="preserve"> to the </w:t>
      </w:r>
      <w:r w:rsidRPr="0097386F">
        <w:rPr>
          <w:lang w:val="en-US"/>
        </w:rPr>
        <w:t xml:space="preserve">Commissioner of Police, </w:t>
      </w:r>
      <w:r w:rsidR="0097386F">
        <w:rPr>
          <w:lang w:val="en-US"/>
        </w:rPr>
        <w:t xml:space="preserve">the Department for </w:t>
      </w:r>
      <w:r w:rsidRPr="0097386F">
        <w:t>Public</w:t>
      </w:r>
      <w:r w:rsidRPr="0097386F">
        <w:rPr>
          <w:lang w:val="en-US"/>
        </w:rPr>
        <w:t xml:space="preserve"> Security in Limbe and the Provincia</w:t>
      </w:r>
      <w:r w:rsidR="00641A12" w:rsidRPr="0097386F">
        <w:rPr>
          <w:lang w:val="en-US"/>
        </w:rPr>
        <w:t>l Chief of Judicial Police</w:t>
      </w:r>
      <w:r w:rsidR="00641A12">
        <w:rPr>
          <w:lang w:val="en-US"/>
        </w:rPr>
        <w:t xml:space="preserve"> “for thorough </w:t>
      </w:r>
      <w:r w:rsidRPr="00CD33A7">
        <w:rPr>
          <w:lang w:val="en-US"/>
        </w:rPr>
        <w:t>investigation</w:t>
      </w:r>
      <w:r w:rsidR="00641A12">
        <w:rPr>
          <w:lang w:val="en-US"/>
        </w:rPr>
        <w:t>”</w:t>
      </w:r>
      <w:r w:rsidRPr="00CD33A7">
        <w:rPr>
          <w:lang w:val="en-US"/>
        </w:rPr>
        <w:t xml:space="preserve">. </w:t>
      </w:r>
      <w:r w:rsidR="00B90A79">
        <w:rPr>
          <w:lang w:val="en-US"/>
        </w:rPr>
        <w:t xml:space="preserve">On 3 October 2002, the author filed, from hospital, a further complaint </w:t>
      </w:r>
      <w:r w:rsidR="00AE334A">
        <w:rPr>
          <w:lang w:val="en-US"/>
        </w:rPr>
        <w:t>with</w:t>
      </w:r>
      <w:r w:rsidR="00B90A79">
        <w:rPr>
          <w:lang w:val="en-US"/>
        </w:rPr>
        <w:t xml:space="preserve"> the </w:t>
      </w:r>
      <w:r w:rsidR="002145DF">
        <w:rPr>
          <w:lang w:val="en-US"/>
        </w:rPr>
        <w:t xml:space="preserve">State </w:t>
      </w:r>
      <w:r w:rsidR="00522FA7">
        <w:rPr>
          <w:lang w:val="en-US"/>
        </w:rPr>
        <w:t>Prosecutor in</w:t>
      </w:r>
      <w:r w:rsidR="00FF741F">
        <w:rPr>
          <w:lang w:val="en-US"/>
        </w:rPr>
        <w:t xml:space="preserve"> </w:t>
      </w:r>
      <w:r w:rsidR="00B90A79">
        <w:rPr>
          <w:lang w:val="en-US"/>
        </w:rPr>
        <w:t xml:space="preserve">Limbe. </w:t>
      </w:r>
      <w:r w:rsidRPr="00CD33A7">
        <w:rPr>
          <w:lang w:val="en-US"/>
        </w:rPr>
        <w:t>On 29</w:t>
      </w:r>
      <w:r w:rsidR="00C956B3">
        <w:rPr>
          <w:lang w:val="en-US"/>
        </w:rPr>
        <w:t> </w:t>
      </w:r>
      <w:r w:rsidRPr="00CD33A7">
        <w:rPr>
          <w:lang w:val="en-US"/>
        </w:rPr>
        <w:t xml:space="preserve">October 2002, the </w:t>
      </w:r>
      <w:r w:rsidR="002145DF">
        <w:rPr>
          <w:lang w:val="en-US"/>
        </w:rPr>
        <w:t xml:space="preserve">State </w:t>
      </w:r>
      <w:r w:rsidR="00522FA7">
        <w:rPr>
          <w:lang w:val="en-US"/>
        </w:rPr>
        <w:t>Prosecutor in</w:t>
      </w:r>
      <w:r w:rsidR="00FF741F">
        <w:rPr>
          <w:lang w:val="en-US"/>
        </w:rPr>
        <w:t xml:space="preserve"> </w:t>
      </w:r>
      <w:r w:rsidR="00F500CE">
        <w:rPr>
          <w:lang w:val="en-US"/>
        </w:rPr>
        <w:t>Limbe</w:t>
      </w:r>
      <w:r w:rsidR="00F500CE" w:rsidRPr="00CD33A7" w:rsidDel="00F500CE">
        <w:rPr>
          <w:lang w:val="en-US"/>
        </w:rPr>
        <w:t xml:space="preserve"> </w:t>
      </w:r>
      <w:r w:rsidRPr="00961F38">
        <w:rPr>
          <w:lang w:val="en-US"/>
        </w:rPr>
        <w:t>acknowledged</w:t>
      </w:r>
      <w:r w:rsidRPr="00CD33A7">
        <w:rPr>
          <w:lang w:val="en-US"/>
        </w:rPr>
        <w:t xml:space="preserve"> receipt of the author’s </w:t>
      </w:r>
      <w:r w:rsidR="00F500CE" w:rsidRPr="00CD33A7">
        <w:rPr>
          <w:lang w:val="en-US"/>
        </w:rPr>
        <w:t>complaint</w:t>
      </w:r>
      <w:r w:rsidRPr="00CD33A7">
        <w:rPr>
          <w:lang w:val="en-US"/>
        </w:rPr>
        <w:t xml:space="preserve">. </w:t>
      </w:r>
    </w:p>
    <w:p w:rsidR="00A45D90" w:rsidRDefault="00641A12" w:rsidP="00775F10">
      <w:pPr>
        <w:pStyle w:val="SingleTxtG"/>
        <w:rPr>
          <w:lang w:val="en-US"/>
        </w:rPr>
      </w:pPr>
      <w:r>
        <w:rPr>
          <w:lang w:val="en-US"/>
        </w:rPr>
        <w:t>2.6</w:t>
      </w:r>
      <w:r>
        <w:rPr>
          <w:lang w:val="en-US"/>
        </w:rPr>
        <w:tab/>
      </w:r>
      <w:r w:rsidR="00614E97" w:rsidRPr="00CD33A7">
        <w:rPr>
          <w:lang w:val="en-US"/>
        </w:rPr>
        <w:t xml:space="preserve">On 13 November 2003, the author sent a letter to the Government </w:t>
      </w:r>
      <w:r w:rsidR="00522FA7">
        <w:rPr>
          <w:lang w:val="en-US"/>
        </w:rPr>
        <w:t>d</w:t>
      </w:r>
      <w:r w:rsidR="00614E97" w:rsidRPr="00CD33A7">
        <w:rPr>
          <w:lang w:val="en-US"/>
        </w:rPr>
        <w:t xml:space="preserve">elegate, which was served on 20 November 2003, </w:t>
      </w:r>
      <w:r>
        <w:rPr>
          <w:lang w:val="en-US"/>
        </w:rPr>
        <w:t>concerning the</w:t>
      </w:r>
      <w:r w:rsidR="00614E97" w:rsidRPr="00CD33A7">
        <w:rPr>
          <w:lang w:val="en-US"/>
        </w:rPr>
        <w:t xml:space="preserve"> illegal retention of </w:t>
      </w:r>
      <w:r>
        <w:rPr>
          <w:lang w:val="en-US"/>
        </w:rPr>
        <w:t xml:space="preserve">his </w:t>
      </w:r>
      <w:r w:rsidR="00614E97" w:rsidRPr="00CD33A7">
        <w:rPr>
          <w:lang w:val="en-US"/>
        </w:rPr>
        <w:t xml:space="preserve">property and </w:t>
      </w:r>
      <w:r>
        <w:rPr>
          <w:lang w:val="en-US"/>
        </w:rPr>
        <w:t xml:space="preserve">his request for </w:t>
      </w:r>
      <w:r w:rsidR="00614E97" w:rsidRPr="00CD33A7">
        <w:rPr>
          <w:lang w:val="en-US"/>
        </w:rPr>
        <w:t xml:space="preserve">restitution. On 17 February 2004, </w:t>
      </w:r>
      <w:r w:rsidR="00DC406C">
        <w:rPr>
          <w:lang w:val="en-US"/>
        </w:rPr>
        <w:t xml:space="preserve">the </w:t>
      </w:r>
      <w:r w:rsidR="00614E97" w:rsidRPr="00CD33A7">
        <w:rPr>
          <w:lang w:val="en-US"/>
        </w:rPr>
        <w:t xml:space="preserve">charges against the author for disturbance of a public office were withdrawn. Having waited for an investigation in vain, the author filed a complaint against the Government </w:t>
      </w:r>
      <w:r w:rsidR="00522FA7">
        <w:rPr>
          <w:lang w:val="en-US"/>
        </w:rPr>
        <w:t>d</w:t>
      </w:r>
      <w:r w:rsidR="00614E97" w:rsidRPr="00CD33A7">
        <w:rPr>
          <w:lang w:val="en-US"/>
        </w:rPr>
        <w:t xml:space="preserve">elegate before the </w:t>
      </w:r>
      <w:r w:rsidR="00825331">
        <w:rPr>
          <w:lang w:val="en-US"/>
        </w:rPr>
        <w:t xml:space="preserve">President’s </w:t>
      </w:r>
      <w:r w:rsidR="00614E97" w:rsidRPr="00825331">
        <w:rPr>
          <w:lang w:val="en-US"/>
        </w:rPr>
        <w:t xml:space="preserve">Office. </w:t>
      </w:r>
      <w:r w:rsidR="00614E97" w:rsidRPr="0097386F">
        <w:rPr>
          <w:lang w:val="en-US"/>
        </w:rPr>
        <w:t>On 1</w:t>
      </w:r>
      <w:r w:rsidR="00C956B3" w:rsidRPr="0097386F">
        <w:rPr>
          <w:lang w:val="en-US"/>
        </w:rPr>
        <w:t> </w:t>
      </w:r>
      <w:r w:rsidR="00614E97" w:rsidRPr="0097386F">
        <w:rPr>
          <w:lang w:val="en-US"/>
        </w:rPr>
        <w:t xml:space="preserve">March 2005, the </w:t>
      </w:r>
      <w:r w:rsidR="00614E97" w:rsidRPr="00825331">
        <w:rPr>
          <w:lang w:val="en-US"/>
        </w:rPr>
        <w:t>Deputy Secretary</w:t>
      </w:r>
      <w:r w:rsidR="00825331">
        <w:rPr>
          <w:lang w:val="en-US"/>
        </w:rPr>
        <w:t>-</w:t>
      </w:r>
      <w:r w:rsidR="00614E97" w:rsidRPr="00825331">
        <w:rPr>
          <w:lang w:val="en-US"/>
        </w:rPr>
        <w:t xml:space="preserve">General </w:t>
      </w:r>
      <w:r w:rsidR="00825331">
        <w:rPr>
          <w:lang w:val="en-US"/>
        </w:rPr>
        <w:t>of the President’s Office</w:t>
      </w:r>
      <w:r w:rsidR="00614E97" w:rsidRPr="00CD33A7">
        <w:rPr>
          <w:lang w:val="en-US"/>
        </w:rPr>
        <w:t xml:space="preserve"> informed the author that his petition had been redirected to the </w:t>
      </w:r>
      <w:r w:rsidR="00614E97" w:rsidRPr="00825331">
        <w:rPr>
          <w:lang w:val="en-US"/>
        </w:rPr>
        <w:t>Vice</w:t>
      </w:r>
      <w:r w:rsidR="00825331">
        <w:rPr>
          <w:lang w:val="en-US"/>
        </w:rPr>
        <w:t xml:space="preserve"> </w:t>
      </w:r>
      <w:r w:rsidR="00614E97" w:rsidRPr="00825331">
        <w:rPr>
          <w:lang w:val="en-US"/>
        </w:rPr>
        <w:t>Prime Minister</w:t>
      </w:r>
      <w:r w:rsidR="00522FA7">
        <w:rPr>
          <w:lang w:val="en-US"/>
        </w:rPr>
        <w:t xml:space="preserve"> and</w:t>
      </w:r>
      <w:r w:rsidR="00614E97" w:rsidRPr="00CD33A7">
        <w:rPr>
          <w:lang w:val="en-US"/>
        </w:rPr>
        <w:t xml:space="preserve"> </w:t>
      </w:r>
      <w:r w:rsidR="00522FA7">
        <w:rPr>
          <w:lang w:val="en-US"/>
        </w:rPr>
        <w:t xml:space="preserve">the </w:t>
      </w:r>
      <w:r w:rsidR="00614E97" w:rsidRPr="00CD33A7">
        <w:rPr>
          <w:lang w:val="en-US"/>
        </w:rPr>
        <w:t>Minister of Justice for appropriate action</w:t>
      </w:r>
      <w:r>
        <w:rPr>
          <w:lang w:val="en-US"/>
        </w:rPr>
        <w:t>. On 20 April 2005, the author also addressed a complaint to</w:t>
      </w:r>
      <w:r w:rsidR="00430255">
        <w:rPr>
          <w:lang w:val="en-US"/>
        </w:rPr>
        <w:t xml:space="preserve"> the Vice Prime Minister and the</w:t>
      </w:r>
      <w:r w:rsidR="00614E97" w:rsidRPr="00CD33A7">
        <w:rPr>
          <w:lang w:val="en-US"/>
        </w:rPr>
        <w:t xml:space="preserve"> Minister of Justice. Having received no response despite follow-up actions, he filed a</w:t>
      </w:r>
      <w:r w:rsidR="00430255">
        <w:rPr>
          <w:lang w:val="en-US"/>
        </w:rPr>
        <w:t xml:space="preserve"> further</w:t>
      </w:r>
      <w:r w:rsidR="00614E97" w:rsidRPr="00CD33A7">
        <w:rPr>
          <w:lang w:val="en-US"/>
        </w:rPr>
        <w:t xml:space="preserve"> complaint </w:t>
      </w:r>
      <w:r w:rsidR="00430255">
        <w:rPr>
          <w:lang w:val="en-US"/>
        </w:rPr>
        <w:t xml:space="preserve">with </w:t>
      </w:r>
      <w:r w:rsidR="00614E97" w:rsidRPr="00CD33A7">
        <w:rPr>
          <w:lang w:val="en-US"/>
        </w:rPr>
        <w:t>the President on 10 August 2006,</w:t>
      </w:r>
      <w:r w:rsidR="00430255">
        <w:rPr>
          <w:lang w:val="en-US"/>
        </w:rPr>
        <w:t xml:space="preserve"> demanding compensation for permanent loss of his left eye vision.</w:t>
      </w:r>
      <w:r w:rsidR="00F7758A">
        <w:rPr>
          <w:rStyle w:val="FootnoteReference"/>
          <w:lang w:val="en-US"/>
        </w:rPr>
        <w:footnoteReference w:id="5"/>
      </w:r>
      <w:r w:rsidR="00614E97" w:rsidRPr="00CD33A7">
        <w:rPr>
          <w:lang w:val="en-US"/>
        </w:rPr>
        <w:t xml:space="preserve"> </w:t>
      </w:r>
      <w:r w:rsidR="00951889">
        <w:rPr>
          <w:lang w:val="en-US"/>
        </w:rPr>
        <w:t>N</w:t>
      </w:r>
      <w:r w:rsidR="00614E97" w:rsidRPr="00CD33A7">
        <w:rPr>
          <w:lang w:val="en-US"/>
        </w:rPr>
        <w:t>o action has been initiated</w:t>
      </w:r>
      <w:r w:rsidR="00951889">
        <w:rPr>
          <w:lang w:val="en-US"/>
        </w:rPr>
        <w:t xml:space="preserve"> as a result, nor </w:t>
      </w:r>
      <w:r w:rsidR="00DC406C">
        <w:rPr>
          <w:lang w:val="en-US"/>
        </w:rPr>
        <w:t xml:space="preserve">had he </w:t>
      </w:r>
      <w:r w:rsidR="00951889">
        <w:rPr>
          <w:lang w:val="en-US"/>
        </w:rPr>
        <w:t xml:space="preserve">even </w:t>
      </w:r>
      <w:r w:rsidR="00DC406C">
        <w:rPr>
          <w:lang w:val="en-US"/>
        </w:rPr>
        <w:t xml:space="preserve">received </w:t>
      </w:r>
      <w:r w:rsidR="00951889">
        <w:rPr>
          <w:lang w:val="en-US"/>
        </w:rPr>
        <w:t>acknowledgement from the Presidency</w:t>
      </w:r>
      <w:r w:rsidR="00614E97" w:rsidRPr="00CD33A7">
        <w:rPr>
          <w:lang w:val="en-US"/>
        </w:rPr>
        <w:t xml:space="preserve">. On 25 March 2008, the author received a letter by the National Commission </w:t>
      </w:r>
      <w:r w:rsidR="00522FA7">
        <w:rPr>
          <w:lang w:val="en-US"/>
        </w:rPr>
        <w:t>on</w:t>
      </w:r>
      <w:r w:rsidR="00522FA7" w:rsidRPr="00CD33A7">
        <w:rPr>
          <w:lang w:val="en-US"/>
        </w:rPr>
        <w:t xml:space="preserve"> </w:t>
      </w:r>
      <w:r w:rsidR="00614E97" w:rsidRPr="00CD33A7">
        <w:rPr>
          <w:lang w:val="en-US"/>
        </w:rPr>
        <w:t xml:space="preserve">Human Rights and Freedoms informing him that his complaint </w:t>
      </w:r>
      <w:r w:rsidR="00163DFA">
        <w:rPr>
          <w:lang w:val="en-US"/>
        </w:rPr>
        <w:t xml:space="preserve">to the President </w:t>
      </w:r>
      <w:r w:rsidR="00614E97" w:rsidRPr="00CD33A7">
        <w:rPr>
          <w:lang w:val="en-US"/>
        </w:rPr>
        <w:t>has been transmitted to the Vice Prime Minist</w:t>
      </w:r>
      <w:r w:rsidR="00163DFA">
        <w:rPr>
          <w:lang w:val="en-US"/>
        </w:rPr>
        <w:t>er and</w:t>
      </w:r>
      <w:r w:rsidR="00614E97" w:rsidRPr="00CD33A7">
        <w:rPr>
          <w:lang w:val="en-US"/>
        </w:rPr>
        <w:t xml:space="preserve"> Minister of Justice</w:t>
      </w:r>
      <w:r w:rsidR="00163DFA">
        <w:rPr>
          <w:lang w:val="en-US"/>
        </w:rPr>
        <w:t xml:space="preserve"> for appropriate action</w:t>
      </w:r>
      <w:r w:rsidR="00614E97" w:rsidRPr="00CD33A7">
        <w:rPr>
          <w:lang w:val="en-US"/>
        </w:rPr>
        <w:t>.</w:t>
      </w:r>
    </w:p>
    <w:p w:rsidR="00614E97" w:rsidRPr="00CD33A7" w:rsidRDefault="00A45D90" w:rsidP="00784543">
      <w:pPr>
        <w:pStyle w:val="SingleTxtG"/>
        <w:rPr>
          <w:lang w:val="en-US"/>
        </w:rPr>
      </w:pPr>
      <w:r>
        <w:rPr>
          <w:lang w:val="en-US"/>
        </w:rPr>
        <w:t>2.7</w:t>
      </w:r>
      <w:r>
        <w:rPr>
          <w:lang w:val="en-US"/>
        </w:rPr>
        <w:tab/>
        <w:t>The author further notes that he stood trial further to the complaint filed by the Go</w:t>
      </w:r>
      <w:r w:rsidR="00B4242B">
        <w:rPr>
          <w:lang w:val="en-US"/>
        </w:rPr>
        <w:t>vernment delegate under section </w:t>
      </w:r>
      <w:r>
        <w:rPr>
          <w:lang w:val="en-US"/>
        </w:rPr>
        <w:t>185 of the Cameroon Penal Code (for disturbance of a public office). The Prosecution’s case failed during the hearing and the matter was withdrawn. None of the author’s own complaint</w:t>
      </w:r>
      <w:r w:rsidR="00445DAE">
        <w:rPr>
          <w:lang w:val="en-US"/>
        </w:rPr>
        <w:t>s</w:t>
      </w:r>
      <w:r>
        <w:rPr>
          <w:lang w:val="en-US"/>
        </w:rPr>
        <w:t xml:space="preserve"> was considered. </w:t>
      </w:r>
    </w:p>
    <w:p w:rsidR="00614E97" w:rsidRPr="00614E97" w:rsidRDefault="00784543" w:rsidP="00784543">
      <w:pPr>
        <w:pStyle w:val="H23G"/>
      </w:pPr>
      <w:r>
        <w:tab/>
      </w:r>
      <w:r>
        <w:tab/>
      </w:r>
      <w:r w:rsidR="00614E97">
        <w:t>The c</w:t>
      </w:r>
      <w:r w:rsidR="00614E97" w:rsidRPr="00614E97">
        <w:t>omplaint</w:t>
      </w:r>
    </w:p>
    <w:p w:rsidR="00614E97" w:rsidRPr="00CD33A7" w:rsidRDefault="00614E97" w:rsidP="0069117B">
      <w:pPr>
        <w:pStyle w:val="SingleTxtG"/>
        <w:rPr>
          <w:lang w:val="en-US"/>
        </w:rPr>
      </w:pPr>
      <w:r w:rsidRPr="00CD33A7">
        <w:rPr>
          <w:lang w:val="en-US"/>
        </w:rPr>
        <w:t>3.1</w:t>
      </w:r>
      <w:r w:rsidRPr="00CD33A7">
        <w:rPr>
          <w:lang w:val="en-US"/>
        </w:rPr>
        <w:tab/>
        <w:t>The author submits that his assault, beating, blows to his eyes and fac</w:t>
      </w:r>
      <w:r w:rsidR="00B4242B">
        <w:rPr>
          <w:lang w:val="en-US"/>
        </w:rPr>
        <w:t>e were in violation of articles 6, 7 and 9</w:t>
      </w:r>
      <w:r w:rsidR="00513103">
        <w:rPr>
          <w:lang w:val="en-US"/>
        </w:rPr>
        <w:t>,</w:t>
      </w:r>
      <w:r w:rsidR="00B4242B">
        <w:rPr>
          <w:lang w:val="en-US"/>
        </w:rPr>
        <w:t xml:space="preserve"> para</w:t>
      </w:r>
      <w:r w:rsidR="00513103">
        <w:rPr>
          <w:lang w:val="en-US"/>
        </w:rPr>
        <w:t>graph</w:t>
      </w:r>
      <w:r w:rsidR="00B4242B">
        <w:rPr>
          <w:lang w:val="en-US"/>
        </w:rPr>
        <w:t> </w:t>
      </w:r>
      <w:r w:rsidRPr="00CD33A7">
        <w:rPr>
          <w:lang w:val="en-US"/>
        </w:rPr>
        <w:t>1</w:t>
      </w:r>
      <w:r w:rsidR="00513103">
        <w:rPr>
          <w:lang w:val="en-US"/>
        </w:rPr>
        <w:t>,</w:t>
      </w:r>
      <w:r w:rsidR="00DB01F1">
        <w:rPr>
          <w:lang w:val="en-US"/>
        </w:rPr>
        <w:t xml:space="preserve"> </w:t>
      </w:r>
      <w:r w:rsidRPr="00CD33A7">
        <w:rPr>
          <w:lang w:val="en-US"/>
        </w:rPr>
        <w:t>of the Covenant. He furt</w:t>
      </w:r>
      <w:r w:rsidR="00A45D90">
        <w:rPr>
          <w:lang w:val="en-US"/>
        </w:rPr>
        <w:t>her claims that the Government d</w:t>
      </w:r>
      <w:r w:rsidRPr="00CD33A7">
        <w:rPr>
          <w:lang w:val="en-US"/>
        </w:rPr>
        <w:t>elegate’s threat against his treating medical doctor and the threats that he would be killed if he le</w:t>
      </w:r>
      <w:r w:rsidR="00A45D90">
        <w:rPr>
          <w:lang w:val="en-US"/>
        </w:rPr>
        <w:t>ft</w:t>
      </w:r>
      <w:r w:rsidRPr="00CD33A7">
        <w:rPr>
          <w:lang w:val="en-US"/>
        </w:rPr>
        <w:t xml:space="preserve"> the hospital were in violation of </w:t>
      </w:r>
      <w:r w:rsidR="00B4242B">
        <w:rPr>
          <w:lang w:val="en-US"/>
        </w:rPr>
        <w:t>article </w:t>
      </w:r>
      <w:r w:rsidRPr="00CD33A7">
        <w:rPr>
          <w:lang w:val="en-US"/>
        </w:rPr>
        <w:t xml:space="preserve">6 of the Covenant. </w:t>
      </w:r>
    </w:p>
    <w:p w:rsidR="00614E97" w:rsidRPr="00CD33A7" w:rsidRDefault="00614E97" w:rsidP="00784543">
      <w:pPr>
        <w:pStyle w:val="SingleTxtG"/>
        <w:rPr>
          <w:lang w:val="en-US"/>
        </w:rPr>
      </w:pPr>
      <w:r w:rsidRPr="00CD33A7">
        <w:rPr>
          <w:lang w:val="en-US"/>
        </w:rPr>
        <w:t>3.2</w:t>
      </w:r>
      <w:r w:rsidRPr="00CD33A7">
        <w:rPr>
          <w:lang w:val="en-US"/>
        </w:rPr>
        <w:tab/>
        <w:t xml:space="preserve">With regard to </w:t>
      </w:r>
      <w:r w:rsidR="00A45D90">
        <w:rPr>
          <w:lang w:val="en-US"/>
        </w:rPr>
        <w:t>his</w:t>
      </w:r>
      <w:r w:rsidRPr="00CD33A7">
        <w:rPr>
          <w:lang w:val="en-US"/>
        </w:rPr>
        <w:t xml:space="preserve"> arrest, detention and assault when he was buying medical drugs at a hospital, the author claims that he is a victim of a vi</w:t>
      </w:r>
      <w:r w:rsidR="00B4242B">
        <w:rPr>
          <w:lang w:val="en-US"/>
        </w:rPr>
        <w:t>olation of article </w:t>
      </w:r>
      <w:r w:rsidR="00BC76C5">
        <w:rPr>
          <w:lang w:val="en-US"/>
        </w:rPr>
        <w:t>9, paragraph</w:t>
      </w:r>
      <w:r w:rsidR="00513103">
        <w:rPr>
          <w:lang w:val="en-US"/>
        </w:rPr>
        <w:t>s</w:t>
      </w:r>
      <w:r w:rsidR="00B4242B">
        <w:rPr>
          <w:lang w:val="en-US"/>
        </w:rPr>
        <w:t> </w:t>
      </w:r>
      <w:r w:rsidRPr="00CD33A7">
        <w:rPr>
          <w:lang w:val="en-US"/>
        </w:rPr>
        <w:t xml:space="preserve">1 </w:t>
      </w:r>
      <w:r w:rsidR="00DB01F1">
        <w:rPr>
          <w:lang w:val="en-US"/>
        </w:rPr>
        <w:t>and 2</w:t>
      </w:r>
      <w:r w:rsidR="00513103">
        <w:rPr>
          <w:lang w:val="en-US"/>
        </w:rPr>
        <w:t>,</w:t>
      </w:r>
      <w:r w:rsidR="00DB01F1">
        <w:rPr>
          <w:lang w:val="en-US"/>
        </w:rPr>
        <w:t xml:space="preserve"> </w:t>
      </w:r>
      <w:r w:rsidRPr="00CD33A7">
        <w:rPr>
          <w:lang w:val="en-US"/>
        </w:rPr>
        <w:t>of the Covenant.</w:t>
      </w:r>
    </w:p>
    <w:p w:rsidR="00F2710B" w:rsidRPr="00614E97" w:rsidRDefault="00614E97" w:rsidP="0097386F">
      <w:pPr>
        <w:pStyle w:val="SingleTxtG"/>
        <w:rPr>
          <w:lang w:val="en-US"/>
        </w:rPr>
      </w:pPr>
      <w:r w:rsidRPr="00CD33A7">
        <w:rPr>
          <w:lang w:val="en-US"/>
        </w:rPr>
        <w:t>3.3</w:t>
      </w:r>
      <w:r w:rsidRPr="00CD33A7">
        <w:rPr>
          <w:lang w:val="en-US"/>
        </w:rPr>
        <w:tab/>
        <w:t>The author further claims that no effective remedy was available</w:t>
      </w:r>
      <w:r w:rsidR="00B4242B">
        <w:rPr>
          <w:lang w:val="en-US"/>
        </w:rPr>
        <w:t xml:space="preserve"> to him in violation of article 2, paragraph </w:t>
      </w:r>
      <w:r w:rsidRPr="00CD33A7">
        <w:rPr>
          <w:lang w:val="en-US"/>
        </w:rPr>
        <w:t xml:space="preserve">3 (a) and (b), of the Covenant. Furthermore, the absence of any prosecution and adjudication of the author’s complaints are in violation of </w:t>
      </w:r>
      <w:r w:rsidR="00B4242B">
        <w:rPr>
          <w:lang w:val="en-US"/>
        </w:rPr>
        <w:t>article</w:t>
      </w:r>
      <w:r w:rsidR="00513103">
        <w:rPr>
          <w:lang w:val="en-US"/>
        </w:rPr>
        <w:t>s</w:t>
      </w:r>
      <w:r w:rsidR="00B4242B">
        <w:rPr>
          <w:lang w:val="en-US"/>
        </w:rPr>
        <w:t> </w:t>
      </w:r>
      <w:r w:rsidRPr="00CD33A7">
        <w:rPr>
          <w:lang w:val="en-US"/>
        </w:rPr>
        <w:t xml:space="preserve">26 </w:t>
      </w:r>
      <w:r w:rsidR="008B0695">
        <w:rPr>
          <w:lang w:val="en-US"/>
        </w:rPr>
        <w:t>and</w:t>
      </w:r>
      <w:r w:rsidRPr="00CD33A7">
        <w:rPr>
          <w:lang w:val="en-US"/>
        </w:rPr>
        <w:t xml:space="preserve"> </w:t>
      </w:r>
      <w:r w:rsidR="00B4242B">
        <w:rPr>
          <w:lang w:val="en-US"/>
        </w:rPr>
        <w:t>2, paragraph </w:t>
      </w:r>
      <w:r w:rsidRPr="00CD33A7">
        <w:rPr>
          <w:lang w:val="en-US"/>
        </w:rPr>
        <w:t xml:space="preserve">1, </w:t>
      </w:r>
      <w:r w:rsidR="008B0695">
        <w:rPr>
          <w:lang w:val="en-US"/>
        </w:rPr>
        <w:t xml:space="preserve">read in conjunction with </w:t>
      </w:r>
      <w:r w:rsidR="00B4242B">
        <w:rPr>
          <w:lang w:val="en-US"/>
        </w:rPr>
        <w:t>articles </w:t>
      </w:r>
      <w:r w:rsidR="008F62FC">
        <w:rPr>
          <w:lang w:val="en-US"/>
        </w:rPr>
        <w:t>6, 7 and 9, paragraph </w:t>
      </w:r>
      <w:r w:rsidR="008B0695" w:rsidRPr="00CD33A7">
        <w:rPr>
          <w:lang w:val="en-US"/>
        </w:rPr>
        <w:t>1, of the Covenant</w:t>
      </w:r>
      <w:r w:rsidRPr="00CD33A7">
        <w:rPr>
          <w:lang w:val="en-US"/>
        </w:rPr>
        <w:t>.</w:t>
      </w:r>
    </w:p>
    <w:p w:rsidR="0036403F" w:rsidRPr="0036403F" w:rsidRDefault="0036403F" w:rsidP="00531383">
      <w:pPr>
        <w:pStyle w:val="H23G"/>
      </w:pPr>
      <w:r w:rsidRPr="0036403F">
        <w:lastRenderedPageBreak/>
        <w:tab/>
      </w:r>
      <w:r w:rsidRPr="0036403F">
        <w:tab/>
        <w:t>State party’s observations on admissibility</w:t>
      </w:r>
      <w:r w:rsidR="00982C0A">
        <w:t xml:space="preserve"> </w:t>
      </w:r>
    </w:p>
    <w:p w:rsidR="0036403F" w:rsidRDefault="0036403F" w:rsidP="0097386F">
      <w:pPr>
        <w:pStyle w:val="SingleTxtG"/>
      </w:pPr>
      <w:r w:rsidRPr="0036403F">
        <w:rPr>
          <w:bCs/>
        </w:rPr>
        <w:t>4.1</w:t>
      </w:r>
      <w:r w:rsidRPr="0036403F">
        <w:rPr>
          <w:bCs/>
        </w:rPr>
        <w:tab/>
      </w:r>
      <w:r w:rsidR="00872307">
        <w:t xml:space="preserve">On </w:t>
      </w:r>
      <w:r w:rsidR="00872307" w:rsidRPr="00872307">
        <w:t>4</w:t>
      </w:r>
      <w:r w:rsidR="00872307">
        <w:t xml:space="preserve"> </w:t>
      </w:r>
      <w:r w:rsidR="00872307" w:rsidRPr="00872307">
        <w:t>Octo</w:t>
      </w:r>
      <w:r w:rsidR="00872307">
        <w:t>ber 201</w:t>
      </w:r>
      <w:r w:rsidR="00872307" w:rsidRPr="00872307">
        <w:t>0</w:t>
      </w:r>
      <w:r w:rsidRPr="0036403F">
        <w:t xml:space="preserve">, the State party </w:t>
      </w:r>
      <w:r w:rsidR="00935D61" w:rsidRPr="00935D61">
        <w:t>submitted that</w:t>
      </w:r>
      <w:r w:rsidRPr="0036403F">
        <w:t xml:space="preserve"> </w:t>
      </w:r>
      <w:r w:rsidR="00935D61" w:rsidRPr="00935D61">
        <w:t>the author’s communication</w:t>
      </w:r>
      <w:r w:rsidRPr="0036403F">
        <w:t xml:space="preserve"> </w:t>
      </w:r>
      <w:r w:rsidR="00935D61" w:rsidRPr="00935D61">
        <w:t xml:space="preserve">should be declared </w:t>
      </w:r>
      <w:r w:rsidRPr="00784543">
        <w:rPr>
          <w:lang w:val="en-US"/>
        </w:rPr>
        <w:t>inadmissible</w:t>
      </w:r>
      <w:r w:rsidR="00935D61">
        <w:t xml:space="preserve"> for non-ex</w:t>
      </w:r>
      <w:r w:rsidR="00935D61" w:rsidRPr="00935D61">
        <w:t>haustion of</w:t>
      </w:r>
      <w:r w:rsidR="00935D61">
        <w:t xml:space="preserve"> domestic remedies</w:t>
      </w:r>
      <w:r w:rsidRPr="0036403F">
        <w:t xml:space="preserve">. It stated that </w:t>
      </w:r>
      <w:r w:rsidR="00935D61" w:rsidRPr="00935D61">
        <w:t xml:space="preserve">the author merely complained before the judicial police and sent communications of an administrative nature to members of the Government and the Presidency. </w:t>
      </w:r>
      <w:r w:rsidR="00935D61">
        <w:t xml:space="preserve">The State party contends that the author should have </w:t>
      </w:r>
      <w:r w:rsidR="000852F7">
        <w:t>filed proceedings</w:t>
      </w:r>
      <w:r w:rsidR="00935D61">
        <w:t xml:space="preserve"> before the competent magistrate </w:t>
      </w:r>
      <w:r w:rsidR="00191F6F">
        <w:t>(</w:t>
      </w:r>
      <w:r w:rsidR="00191F6F">
        <w:rPr>
          <w:i/>
        </w:rPr>
        <w:t xml:space="preserve">plainte avec constitution de partie </w:t>
      </w:r>
      <w:r w:rsidR="00191F6F" w:rsidRPr="00191F6F">
        <w:rPr>
          <w:i/>
        </w:rPr>
        <w:t>civile</w:t>
      </w:r>
      <w:r w:rsidR="00191F6F">
        <w:t xml:space="preserve">) </w:t>
      </w:r>
      <w:r w:rsidR="00935D61" w:rsidRPr="00191F6F">
        <w:t>under</w:t>
      </w:r>
      <w:r w:rsidR="00C44041">
        <w:t xml:space="preserve"> section </w:t>
      </w:r>
      <w:r w:rsidR="00935D61">
        <w:t xml:space="preserve">157 of the Code of Penal Procedure, which shall set the criminal action in motion; it further submits that it was open to the author to seize the </w:t>
      </w:r>
      <w:r w:rsidR="006D4A97">
        <w:t xml:space="preserve">presiding judge </w:t>
      </w:r>
      <w:r w:rsidR="00935D61">
        <w:t xml:space="preserve">with a </w:t>
      </w:r>
      <w:r w:rsidR="0034299E">
        <w:t>private prosecution</w:t>
      </w:r>
      <w:r w:rsidR="00935D61">
        <w:t xml:space="preserve"> (</w:t>
      </w:r>
      <w:r w:rsidR="00935D61">
        <w:rPr>
          <w:i/>
        </w:rPr>
        <w:t>citation directe</w:t>
      </w:r>
      <w:r w:rsidR="00A06CC0">
        <w:rPr>
          <w:i/>
        </w:rPr>
        <w:t xml:space="preserve"> de particulier</w:t>
      </w:r>
      <w:r w:rsidR="00935D61">
        <w:t>)</w:t>
      </w:r>
      <w:r w:rsidR="00F62E15">
        <w:t xml:space="preserve">, </w:t>
      </w:r>
      <w:r w:rsidR="00A06CC0">
        <w:t xml:space="preserve">which can be initiated either by the </w:t>
      </w:r>
      <w:r w:rsidR="00807C9A">
        <w:t>Public Prosecutor’s Office</w:t>
      </w:r>
      <w:r w:rsidR="00A06CC0">
        <w:t xml:space="preserve">, or by the victim </w:t>
      </w:r>
      <w:r w:rsidR="00807C9A">
        <w:t>himself</w:t>
      </w:r>
      <w:r w:rsidR="00A06CC0">
        <w:t xml:space="preserve">, </w:t>
      </w:r>
      <w:r w:rsidR="00F62E15">
        <w:t>in accordance</w:t>
      </w:r>
      <w:r w:rsidR="00FC0B2B">
        <w:t xml:space="preserve"> with the provisions of section </w:t>
      </w:r>
      <w:r w:rsidR="00F62E15">
        <w:t xml:space="preserve">290 of the Code of Penal Procedure. </w:t>
      </w:r>
    </w:p>
    <w:p w:rsidR="00A06CC0" w:rsidRPr="00935D61" w:rsidRDefault="00A06CC0" w:rsidP="00935D61">
      <w:pPr>
        <w:pStyle w:val="SingleTxtG"/>
      </w:pPr>
      <w:r>
        <w:t>4.2</w:t>
      </w:r>
      <w:r>
        <w:tab/>
        <w:t xml:space="preserve">According to the State party, </w:t>
      </w:r>
      <w:r w:rsidR="009E2F76">
        <w:t>as the author was legally represented, he ought to have known the above mentioned legal avenues, which were open to him. As he did not pursue any, the author must be considered to have failed to exhaust domestic remedies.</w:t>
      </w:r>
    </w:p>
    <w:p w:rsidR="0036403F" w:rsidRPr="0036403F" w:rsidRDefault="0036403F" w:rsidP="00531383">
      <w:pPr>
        <w:pStyle w:val="H23G"/>
      </w:pPr>
      <w:r w:rsidRPr="0036403F">
        <w:tab/>
      </w:r>
      <w:r w:rsidRPr="0036403F">
        <w:tab/>
        <w:t xml:space="preserve">Author’s comments on the State party’s observations on admissibility </w:t>
      </w:r>
    </w:p>
    <w:p w:rsidR="0036403F" w:rsidRPr="000B55ED" w:rsidRDefault="0036403F" w:rsidP="00156045">
      <w:pPr>
        <w:pStyle w:val="SingleTxtG"/>
        <w:rPr>
          <w:lang w:val="en-US"/>
        </w:rPr>
      </w:pPr>
      <w:r w:rsidRPr="0036403F">
        <w:t>5.1</w:t>
      </w:r>
      <w:r w:rsidRPr="0036403F">
        <w:tab/>
        <w:t xml:space="preserve">On </w:t>
      </w:r>
      <w:r w:rsidR="00982E30" w:rsidRPr="008A284A">
        <w:t>8 December 2010</w:t>
      </w:r>
      <w:r w:rsidR="00711357">
        <w:t>, the author</w:t>
      </w:r>
      <w:r w:rsidRPr="0036403F">
        <w:t xml:space="preserve"> provided comments on the State party’s observations on admissibility.</w:t>
      </w:r>
    </w:p>
    <w:p w:rsidR="0036403F" w:rsidRDefault="000B2E75" w:rsidP="0097386F">
      <w:pPr>
        <w:pStyle w:val="SingleTxtG"/>
        <w:rPr>
          <w:lang w:val="en-US"/>
        </w:rPr>
      </w:pPr>
      <w:r>
        <w:t>5.</w:t>
      </w:r>
      <w:r w:rsidR="000C3595" w:rsidRPr="000C3595">
        <w:t>2</w:t>
      </w:r>
      <w:r>
        <w:tab/>
      </w:r>
      <w:r w:rsidR="00711357">
        <w:rPr>
          <w:lang w:val="en-US"/>
        </w:rPr>
        <w:t>The author</w:t>
      </w:r>
      <w:r w:rsidR="000815F8">
        <w:rPr>
          <w:lang w:val="en-US"/>
        </w:rPr>
        <w:t xml:space="preserve"> reject</w:t>
      </w:r>
      <w:r w:rsidR="00711357">
        <w:rPr>
          <w:lang w:val="en-US"/>
        </w:rPr>
        <w:t>s</w:t>
      </w:r>
      <w:r w:rsidR="000815F8">
        <w:rPr>
          <w:lang w:val="en-US"/>
        </w:rPr>
        <w:t xml:space="preserve"> the contention that domestic remedies have not been exhausted. </w:t>
      </w:r>
      <w:r w:rsidR="00913608">
        <w:rPr>
          <w:lang w:val="en-US"/>
        </w:rPr>
        <w:t>He submits t</w:t>
      </w:r>
      <w:r w:rsidR="008F62FC">
        <w:rPr>
          <w:lang w:val="en-US"/>
        </w:rPr>
        <w:t>hat even though, under sections </w:t>
      </w:r>
      <w:r w:rsidR="00913608">
        <w:rPr>
          <w:lang w:val="en-US"/>
        </w:rPr>
        <w:t xml:space="preserve">157 and 290 of the Code of Penal Procedure, a victim can initiate criminal prosecution either </w:t>
      </w:r>
      <w:r w:rsidR="001D7EC0">
        <w:rPr>
          <w:lang w:val="en-US"/>
        </w:rPr>
        <w:t xml:space="preserve">through the </w:t>
      </w:r>
      <w:r w:rsidR="001D7EC0">
        <w:rPr>
          <w:i/>
          <w:lang w:val="en-US"/>
        </w:rPr>
        <w:t>constitution de partie civile</w:t>
      </w:r>
      <w:r w:rsidR="00913608">
        <w:rPr>
          <w:lang w:val="en-US"/>
        </w:rPr>
        <w:t xml:space="preserve">, or through </w:t>
      </w:r>
      <w:r w:rsidR="00021BA2">
        <w:rPr>
          <w:lang w:val="en-US"/>
        </w:rPr>
        <w:t>a private prosecution</w:t>
      </w:r>
      <w:r w:rsidR="00913608">
        <w:rPr>
          <w:lang w:val="en-US"/>
        </w:rPr>
        <w:t xml:space="preserve"> before a </w:t>
      </w:r>
      <w:r w:rsidR="00021BA2">
        <w:rPr>
          <w:lang w:val="en-US"/>
        </w:rPr>
        <w:t>presiding</w:t>
      </w:r>
      <w:r w:rsidR="00913608">
        <w:rPr>
          <w:lang w:val="en-US"/>
        </w:rPr>
        <w:t xml:space="preserve"> </w:t>
      </w:r>
      <w:r w:rsidR="00021BA2">
        <w:rPr>
          <w:lang w:val="en-US"/>
        </w:rPr>
        <w:t xml:space="preserve">judge </w:t>
      </w:r>
      <w:r w:rsidR="00913608">
        <w:rPr>
          <w:lang w:val="en-US"/>
        </w:rPr>
        <w:t xml:space="preserve">or the competent court, </w:t>
      </w:r>
      <w:r w:rsidR="006D4A97">
        <w:rPr>
          <w:lang w:val="en-US"/>
        </w:rPr>
        <w:t>(a</w:t>
      </w:r>
      <w:r w:rsidR="00913608">
        <w:rPr>
          <w:lang w:val="en-US"/>
        </w:rPr>
        <w:t xml:space="preserve">) these procedures remain inaccessible due to the attendant costs associated with the proceedings; and </w:t>
      </w:r>
      <w:r w:rsidR="006D4A97">
        <w:rPr>
          <w:lang w:val="en-US"/>
        </w:rPr>
        <w:t>(b</w:t>
      </w:r>
      <w:r w:rsidR="00913608">
        <w:rPr>
          <w:lang w:val="en-US"/>
        </w:rPr>
        <w:t xml:space="preserve">) they are ineffective. </w:t>
      </w:r>
    </w:p>
    <w:p w:rsidR="00913608" w:rsidRDefault="00913608" w:rsidP="0097386F">
      <w:pPr>
        <w:pStyle w:val="SingleTxtG"/>
        <w:rPr>
          <w:lang w:val="en-US"/>
        </w:rPr>
      </w:pPr>
      <w:r>
        <w:rPr>
          <w:lang w:val="en-US"/>
        </w:rPr>
        <w:t>5.3</w:t>
      </w:r>
      <w:r>
        <w:rPr>
          <w:lang w:val="en-US"/>
        </w:rPr>
        <w:tab/>
      </w:r>
      <w:r w:rsidR="008F62FC">
        <w:rPr>
          <w:lang w:val="en-US"/>
        </w:rPr>
        <w:t xml:space="preserve">The author submits that </w:t>
      </w:r>
      <w:r w:rsidR="008F62FC" w:rsidRPr="008F62FC">
        <w:t>section</w:t>
      </w:r>
      <w:r w:rsidR="00C44041">
        <w:t> </w:t>
      </w:r>
      <w:r w:rsidR="00235119" w:rsidRPr="008F62FC">
        <w:t>158</w:t>
      </w:r>
      <w:r w:rsidR="00235119">
        <w:rPr>
          <w:lang w:val="en-US"/>
        </w:rPr>
        <w:t xml:space="preserve">(1) and (2) of the Code of </w:t>
      </w:r>
      <w:r w:rsidR="000852F7">
        <w:rPr>
          <w:lang w:val="en-US"/>
        </w:rPr>
        <w:t xml:space="preserve">Criminal </w:t>
      </w:r>
      <w:r w:rsidR="00235119">
        <w:rPr>
          <w:lang w:val="en-US"/>
        </w:rPr>
        <w:t xml:space="preserve">Procedure require that the litigant setting the criminal </w:t>
      </w:r>
      <w:r w:rsidR="000852F7">
        <w:rPr>
          <w:lang w:val="en-US"/>
        </w:rPr>
        <w:t xml:space="preserve">proceedings </w:t>
      </w:r>
      <w:r w:rsidR="00235119">
        <w:rPr>
          <w:lang w:val="en-US"/>
        </w:rPr>
        <w:t>in motion</w:t>
      </w:r>
      <w:r w:rsidR="00697A87">
        <w:rPr>
          <w:lang w:val="en-US"/>
        </w:rPr>
        <w:t>:</w:t>
      </w:r>
      <w:r w:rsidR="00235119">
        <w:rPr>
          <w:lang w:val="en-US"/>
        </w:rPr>
        <w:t xml:space="preserve"> “shall, at the risk of his complaint </w:t>
      </w:r>
      <w:r w:rsidR="000852F7">
        <w:rPr>
          <w:lang w:val="en-US"/>
        </w:rPr>
        <w:t xml:space="preserve">being </w:t>
      </w:r>
      <w:r w:rsidR="00235119">
        <w:rPr>
          <w:lang w:val="en-US"/>
        </w:rPr>
        <w:t xml:space="preserve">inadmissible, deposit at the registry of the </w:t>
      </w:r>
      <w:r w:rsidR="009E234F">
        <w:rPr>
          <w:lang w:val="en-US"/>
        </w:rPr>
        <w:t>c</w:t>
      </w:r>
      <w:r w:rsidR="00235119">
        <w:rPr>
          <w:lang w:val="en-US"/>
        </w:rPr>
        <w:t xml:space="preserve">ourt of first instance an amount considered sufficient for defraying the costs of the proceedings. The amount shall be fixed by an order of the examining </w:t>
      </w:r>
      <w:r w:rsidR="009E234F">
        <w:rPr>
          <w:lang w:val="en-US"/>
        </w:rPr>
        <w:t>m</w:t>
      </w:r>
      <w:r w:rsidR="00235119">
        <w:rPr>
          <w:lang w:val="en-US"/>
        </w:rPr>
        <w:t>agistrate. An additional deposit may be fixed in the course of the inquiry</w:t>
      </w:r>
      <w:r w:rsidR="009E234F">
        <w:rPr>
          <w:lang w:val="en-US"/>
        </w:rPr>
        <w:t>.</w:t>
      </w:r>
      <w:r w:rsidR="00235119">
        <w:rPr>
          <w:lang w:val="en-US"/>
        </w:rPr>
        <w:t xml:space="preserve">” According to the author, such cash deposits are not linked to the </w:t>
      </w:r>
      <w:r w:rsidR="00235119" w:rsidRPr="00825331">
        <w:rPr>
          <w:lang w:val="en-US"/>
        </w:rPr>
        <w:t>quantum</w:t>
      </w:r>
      <w:r w:rsidR="00235119">
        <w:rPr>
          <w:lang w:val="en-US"/>
        </w:rPr>
        <w:t xml:space="preserve">, and practice shows that such amounts vary. Within the Fako </w:t>
      </w:r>
      <w:r w:rsidR="0066490C">
        <w:rPr>
          <w:lang w:val="en-US"/>
        </w:rPr>
        <w:t>c</w:t>
      </w:r>
      <w:r w:rsidR="00235119">
        <w:rPr>
          <w:lang w:val="en-US"/>
        </w:rPr>
        <w:t xml:space="preserve">ourts area, orders by examining </w:t>
      </w:r>
      <w:r w:rsidR="0066490C">
        <w:rPr>
          <w:lang w:val="en-US"/>
        </w:rPr>
        <w:t>m</w:t>
      </w:r>
      <w:r w:rsidR="00235119">
        <w:rPr>
          <w:lang w:val="en-US"/>
        </w:rPr>
        <w:t>agistrates usually range from 160,000 to 500,000 CFA</w:t>
      </w:r>
      <w:r w:rsidR="004C7A8B">
        <w:rPr>
          <w:lang w:val="en-US"/>
        </w:rPr>
        <w:t>F</w:t>
      </w:r>
      <w:r w:rsidR="00235119">
        <w:rPr>
          <w:lang w:val="en-US"/>
        </w:rPr>
        <w:t xml:space="preserve"> and above.</w:t>
      </w:r>
      <w:r w:rsidR="008400C1">
        <w:rPr>
          <w:lang w:val="en-US"/>
        </w:rPr>
        <w:t xml:space="preserve"> </w:t>
      </w:r>
      <w:r w:rsidR="00235119">
        <w:rPr>
          <w:lang w:val="en-US"/>
        </w:rPr>
        <w:t>The author submits that he became incapacitated and had a lengthy stay at hospital, which entailed significant costs. He stresses that he is the sole breadwinner of a family of six and thus does not have the means to make such deposits.</w:t>
      </w:r>
    </w:p>
    <w:p w:rsidR="00235119" w:rsidRDefault="00235119" w:rsidP="0097386F">
      <w:pPr>
        <w:pStyle w:val="SingleTxtG"/>
        <w:rPr>
          <w:lang w:val="en-US"/>
        </w:rPr>
      </w:pPr>
      <w:r>
        <w:rPr>
          <w:lang w:val="en-US"/>
        </w:rPr>
        <w:t>5.4</w:t>
      </w:r>
      <w:r>
        <w:rPr>
          <w:lang w:val="en-US"/>
        </w:rPr>
        <w:tab/>
        <w:t>The author further stresses that</w:t>
      </w:r>
      <w:r w:rsidR="00697A87">
        <w:rPr>
          <w:lang w:val="en-US"/>
        </w:rPr>
        <w:t>,</w:t>
      </w:r>
      <w:r>
        <w:rPr>
          <w:lang w:val="en-US"/>
        </w:rPr>
        <w:t xml:space="preserve"> even if he had filed such </w:t>
      </w:r>
      <w:r w:rsidR="0066490C">
        <w:rPr>
          <w:lang w:val="en-US"/>
        </w:rPr>
        <w:t xml:space="preserve">a </w:t>
      </w:r>
      <w:r>
        <w:rPr>
          <w:lang w:val="en-US"/>
        </w:rPr>
        <w:t>complaint, under section</w:t>
      </w:r>
      <w:r w:rsidR="00FC0B2B">
        <w:rPr>
          <w:lang w:val="en-US"/>
        </w:rPr>
        <w:t> </w:t>
      </w:r>
      <w:r>
        <w:rPr>
          <w:lang w:val="en-US"/>
        </w:rPr>
        <w:t xml:space="preserve">160 of the Code of Penal Procedure, after the deposit of the required amount, the examining </w:t>
      </w:r>
      <w:r w:rsidR="0066490C">
        <w:rPr>
          <w:lang w:val="en-US"/>
        </w:rPr>
        <w:t xml:space="preserve">magistrate </w:t>
      </w:r>
      <w:r>
        <w:rPr>
          <w:lang w:val="en-US"/>
        </w:rPr>
        <w:t xml:space="preserve">shall forward the complaint to the State Counsel. The State Counsel may then either declare the complaint inadmissible or order the commencement of an inquiry against </w:t>
      </w:r>
      <w:r w:rsidR="0066490C">
        <w:rPr>
          <w:lang w:val="en-US"/>
        </w:rPr>
        <w:t>persons</w:t>
      </w:r>
      <w:r>
        <w:rPr>
          <w:lang w:val="en-US"/>
        </w:rPr>
        <w:t xml:space="preserve"> known or unknown. </w:t>
      </w:r>
      <w:r w:rsidR="00E90DA4">
        <w:rPr>
          <w:lang w:val="en-US"/>
        </w:rPr>
        <w:t xml:space="preserve">A person mentioned in the complaint may also be heard as witness. In the present case, the author submits that he made prior complaints to the </w:t>
      </w:r>
      <w:r w:rsidR="00E90DA4" w:rsidRPr="0097386F">
        <w:rPr>
          <w:lang w:val="en-US"/>
        </w:rPr>
        <w:t xml:space="preserve">State </w:t>
      </w:r>
      <w:r w:rsidR="002145DF">
        <w:rPr>
          <w:lang w:val="en-US"/>
        </w:rPr>
        <w:t>Prosecutor</w:t>
      </w:r>
      <w:r w:rsidR="002145DF" w:rsidRPr="0097386F">
        <w:rPr>
          <w:lang w:val="en-US"/>
        </w:rPr>
        <w:t xml:space="preserve"> </w:t>
      </w:r>
      <w:r w:rsidR="00E90DA4" w:rsidRPr="0097386F">
        <w:rPr>
          <w:lang w:val="en-US"/>
        </w:rPr>
        <w:t xml:space="preserve">and to the </w:t>
      </w:r>
      <w:r w:rsidR="002145DF" w:rsidRPr="0097386F">
        <w:rPr>
          <w:lang w:val="en-US"/>
        </w:rPr>
        <w:t xml:space="preserve">State </w:t>
      </w:r>
      <w:r w:rsidR="00E90DA4" w:rsidRPr="0097386F">
        <w:rPr>
          <w:lang w:val="en-US"/>
        </w:rPr>
        <w:t>Prosecutor</w:t>
      </w:r>
      <w:r w:rsidR="002145DF">
        <w:rPr>
          <w:lang w:val="en-US"/>
        </w:rPr>
        <w:t>-General</w:t>
      </w:r>
      <w:r w:rsidR="00A77D3A">
        <w:rPr>
          <w:lang w:val="en-US"/>
        </w:rPr>
        <w:t>, in accordance with section </w:t>
      </w:r>
      <w:r w:rsidR="00E90DA4">
        <w:rPr>
          <w:lang w:val="en-US"/>
        </w:rPr>
        <w:t xml:space="preserve">135(1) of the Code of Penal Procedure, to no avail. Neither of these authorities initiated an investigation. </w:t>
      </w:r>
    </w:p>
    <w:p w:rsidR="00E90DA4" w:rsidRDefault="00E90DA4" w:rsidP="0097386F">
      <w:pPr>
        <w:pStyle w:val="SingleTxtG"/>
        <w:rPr>
          <w:lang w:val="en-US"/>
        </w:rPr>
      </w:pPr>
      <w:r>
        <w:rPr>
          <w:lang w:val="en-US"/>
        </w:rPr>
        <w:t>5.5</w:t>
      </w:r>
      <w:r>
        <w:rPr>
          <w:lang w:val="en-US"/>
        </w:rPr>
        <w:tab/>
        <w:t>Similarly, according to the author, the instituti</w:t>
      </w:r>
      <w:r w:rsidR="008F62FC">
        <w:rPr>
          <w:lang w:val="en-US"/>
        </w:rPr>
        <w:t>on of proceedings under section </w:t>
      </w:r>
      <w:r>
        <w:rPr>
          <w:lang w:val="en-US"/>
        </w:rPr>
        <w:t xml:space="preserve">290 of the Code of Penal Procedure, by way of </w:t>
      </w:r>
      <w:r w:rsidR="009C2AF1">
        <w:rPr>
          <w:lang w:val="en-US"/>
        </w:rPr>
        <w:t>private prosecution</w:t>
      </w:r>
      <w:r>
        <w:rPr>
          <w:lang w:val="en-US"/>
        </w:rPr>
        <w:t>, is also subject to heavy financial prerequisites, which he could not have met</w:t>
      </w:r>
      <w:r w:rsidR="00113D0C">
        <w:rPr>
          <w:lang w:val="en-US"/>
        </w:rPr>
        <w:t>, having become</w:t>
      </w:r>
      <w:r>
        <w:rPr>
          <w:lang w:val="en-US"/>
        </w:rPr>
        <w:t xml:space="preserve"> indigen</w:t>
      </w:r>
      <w:r w:rsidR="008F62FC">
        <w:rPr>
          <w:lang w:val="en-US"/>
        </w:rPr>
        <w:t>t. Furthermore, under section </w:t>
      </w:r>
      <w:r>
        <w:rPr>
          <w:lang w:val="en-US"/>
        </w:rPr>
        <w:t xml:space="preserve">128 of the Code of Penal Procedure, the Legal Department is a principal party </w:t>
      </w:r>
      <w:r>
        <w:rPr>
          <w:lang w:val="en-US"/>
        </w:rPr>
        <w:lastRenderedPageBreak/>
        <w:t>to the trial. The author stresses that he regularly seized the Legal Department by addressing his complaints, which remained unanswered</w:t>
      </w:r>
      <w:r w:rsidR="009C2AF1">
        <w:rPr>
          <w:lang w:val="en-US"/>
        </w:rPr>
        <w:t>, to them</w:t>
      </w:r>
      <w:r>
        <w:rPr>
          <w:lang w:val="en-US"/>
        </w:rPr>
        <w:t>.</w:t>
      </w:r>
      <w:r w:rsidR="008400C1">
        <w:rPr>
          <w:lang w:val="en-US"/>
        </w:rPr>
        <w:t xml:space="preserve"> </w:t>
      </w:r>
    </w:p>
    <w:p w:rsidR="00E90DA4" w:rsidRDefault="00E90DA4" w:rsidP="0097386F">
      <w:pPr>
        <w:pStyle w:val="SingleTxtG"/>
        <w:rPr>
          <w:lang w:val="en-US"/>
        </w:rPr>
      </w:pPr>
      <w:r>
        <w:rPr>
          <w:lang w:val="en-US"/>
        </w:rPr>
        <w:t>5.6</w:t>
      </w:r>
      <w:r>
        <w:rPr>
          <w:lang w:val="en-US"/>
        </w:rPr>
        <w:tab/>
        <w:t xml:space="preserve">The author adds that the acts </w:t>
      </w:r>
      <w:r w:rsidR="00AB36E8">
        <w:rPr>
          <w:lang w:val="en-US"/>
        </w:rPr>
        <w:t xml:space="preserve">about which he </w:t>
      </w:r>
      <w:r>
        <w:rPr>
          <w:lang w:val="en-US"/>
        </w:rPr>
        <w:t xml:space="preserve">complained would have been qualified as assault, unintentional harm and false arrest, </w:t>
      </w:r>
      <w:r w:rsidR="00A57977">
        <w:rPr>
          <w:lang w:val="en-US"/>
        </w:rPr>
        <w:t xml:space="preserve">all of </w:t>
      </w:r>
      <w:r>
        <w:rPr>
          <w:lang w:val="en-US"/>
        </w:rPr>
        <w:t>which are misdemeanours, committed an</w:t>
      </w:r>
      <w:r w:rsidR="00A57977">
        <w:rPr>
          <w:lang w:val="en-US"/>
        </w:rPr>
        <w:t>d</w:t>
      </w:r>
      <w:r>
        <w:rPr>
          <w:lang w:val="en-US"/>
        </w:rPr>
        <w:t xml:space="preserve"> reported in 2002. The </w:t>
      </w:r>
      <w:r w:rsidR="00CD1A42">
        <w:rPr>
          <w:lang w:val="en-US"/>
        </w:rPr>
        <w:t xml:space="preserve">Code of Penal </w:t>
      </w:r>
      <w:r>
        <w:rPr>
          <w:lang w:val="en-US"/>
        </w:rPr>
        <w:t>Procedure, which entered into force in 2007, provid</w:t>
      </w:r>
      <w:r w:rsidR="008F62FC">
        <w:rPr>
          <w:lang w:val="en-US"/>
        </w:rPr>
        <w:t>es under section </w:t>
      </w:r>
      <w:r>
        <w:rPr>
          <w:lang w:val="en-US"/>
        </w:rPr>
        <w:t xml:space="preserve">65(4) that misdemeanours are </w:t>
      </w:r>
      <w:r w:rsidRPr="0097386F">
        <w:rPr>
          <w:lang w:val="en-US"/>
        </w:rPr>
        <w:t>time-barred</w:t>
      </w:r>
      <w:r>
        <w:rPr>
          <w:lang w:val="en-US"/>
        </w:rPr>
        <w:t xml:space="preserve"> after three years. As such, the action would have been </w:t>
      </w:r>
      <w:r w:rsidRPr="0097386F">
        <w:rPr>
          <w:lang w:val="en-US"/>
        </w:rPr>
        <w:t>time-barred</w:t>
      </w:r>
      <w:r>
        <w:rPr>
          <w:lang w:val="en-US"/>
        </w:rPr>
        <w:t xml:space="preserve"> by law. </w:t>
      </w:r>
      <w:r w:rsidR="00CD1A42">
        <w:rPr>
          <w:lang w:val="en-US"/>
        </w:rPr>
        <w:t xml:space="preserve">No other recourse existed prior to the coming into force of the Code of Penal Procedure. </w:t>
      </w:r>
      <w:r>
        <w:rPr>
          <w:lang w:val="en-US"/>
        </w:rPr>
        <w:t xml:space="preserve">Accordingly, the author submits that none of the remedies suggested by the State party was effective, and invites the Committee to declare his communication admissible. </w:t>
      </w:r>
    </w:p>
    <w:p w:rsidR="0036403F" w:rsidRPr="0036403F" w:rsidRDefault="0036403F" w:rsidP="00531383">
      <w:pPr>
        <w:pStyle w:val="H23G"/>
      </w:pPr>
      <w:r w:rsidRPr="0036403F">
        <w:tab/>
      </w:r>
      <w:r w:rsidRPr="0036403F">
        <w:tab/>
        <w:t>State party’s observations on merits</w:t>
      </w:r>
    </w:p>
    <w:p w:rsidR="0036403F" w:rsidRDefault="0036403F" w:rsidP="00156045">
      <w:pPr>
        <w:pStyle w:val="SingleTxtG"/>
      </w:pPr>
      <w:r w:rsidRPr="0036403F">
        <w:rPr>
          <w:bCs/>
        </w:rPr>
        <w:t>6.1</w:t>
      </w:r>
      <w:r w:rsidRPr="0036403F">
        <w:rPr>
          <w:bCs/>
        </w:rPr>
        <w:tab/>
        <w:t xml:space="preserve">On </w:t>
      </w:r>
      <w:r w:rsidR="00DA5896" w:rsidRPr="00DA5896">
        <w:rPr>
          <w:bCs/>
        </w:rPr>
        <w:t>1</w:t>
      </w:r>
      <w:r w:rsidR="00DA5896">
        <w:rPr>
          <w:bCs/>
        </w:rPr>
        <w:t>4 April 201</w:t>
      </w:r>
      <w:r w:rsidR="00DA5896" w:rsidRPr="00DA5896">
        <w:rPr>
          <w:bCs/>
        </w:rPr>
        <w:t>1</w:t>
      </w:r>
      <w:r w:rsidR="00BF22AF">
        <w:rPr>
          <w:bCs/>
        </w:rPr>
        <w:t>,</w:t>
      </w:r>
      <w:r w:rsidRPr="0036403F">
        <w:rPr>
          <w:bCs/>
        </w:rPr>
        <w:t xml:space="preserve"> the State party argued that the</w:t>
      </w:r>
      <w:r w:rsidRPr="0036403F">
        <w:t xml:space="preserve"> claims are without m</w:t>
      </w:r>
      <w:r w:rsidR="00DA5896">
        <w:t>erit</w:t>
      </w:r>
      <w:r w:rsidR="00DA5896" w:rsidRPr="00DA5896">
        <w:t xml:space="preserve">. </w:t>
      </w:r>
      <w:r w:rsidR="00DA5896">
        <w:t xml:space="preserve">The State party </w:t>
      </w:r>
      <w:r w:rsidR="00DC5D59">
        <w:t xml:space="preserve">first </w:t>
      </w:r>
      <w:r w:rsidR="00DA5896">
        <w:t>submits that the author</w:t>
      </w:r>
      <w:r w:rsidR="00DC5D59">
        <w:t xml:space="preserve"> lacks credibility, as he did not disclose in his communication the fact that the reason for his appointment of </w:t>
      </w:r>
      <w:r w:rsidR="00DC5D59" w:rsidRPr="00CD33A7">
        <w:t>29 August 2002 with the</w:t>
      </w:r>
      <w:r w:rsidR="00DC5D59">
        <w:t xml:space="preserve"> Government delegate heading the Limbe Urban Council</w:t>
      </w:r>
      <w:r w:rsidR="00DC5D59" w:rsidRPr="00DC5D59">
        <w:t xml:space="preserve"> was a request for assistance, after the author</w:t>
      </w:r>
      <w:r w:rsidR="00DC5D59">
        <w:t xml:space="preserve"> claimed that hi</w:t>
      </w:r>
      <w:r w:rsidR="00DC5D59" w:rsidRPr="00DC5D59">
        <w:t xml:space="preserve">s house </w:t>
      </w:r>
      <w:r w:rsidR="00DC5D59">
        <w:t>had been s</w:t>
      </w:r>
      <w:r w:rsidR="00DC5D59" w:rsidRPr="00DC5D59">
        <w:t>et on fire</w:t>
      </w:r>
      <w:r w:rsidR="00DC5D59">
        <w:t>.</w:t>
      </w:r>
      <w:r w:rsidR="0043345C">
        <w:rPr>
          <w:rStyle w:val="FootnoteReference"/>
        </w:rPr>
        <w:footnoteReference w:id="6"/>
      </w:r>
      <w:r w:rsidR="0043345C">
        <w:t xml:space="preserve"> According to the State party, the author</w:t>
      </w:r>
      <w:r w:rsidR="00291B13">
        <w:t>, who truncated</w:t>
      </w:r>
      <w:r w:rsidR="0043345C">
        <w:t xml:space="preserve"> the reasons for his presence within the Government delegate’s office, does not indicate what caused the dispute with the latter. </w:t>
      </w:r>
      <w:r w:rsidR="00306BD7">
        <w:t xml:space="preserve">Consequently, the State party is of the view that the author’s contentions under </w:t>
      </w:r>
      <w:r w:rsidR="00B4242B">
        <w:t>articles </w:t>
      </w:r>
      <w:r w:rsidR="00306BD7">
        <w:t>6 and 7 of the Covenant are ill-founded.</w:t>
      </w:r>
    </w:p>
    <w:p w:rsidR="0036403F" w:rsidRPr="001A0EFE" w:rsidRDefault="0043345C" w:rsidP="0069117B">
      <w:pPr>
        <w:pStyle w:val="SingleTxtG"/>
      </w:pPr>
      <w:r>
        <w:t>6.2</w:t>
      </w:r>
      <w:r>
        <w:tab/>
        <w:t xml:space="preserve">Concerning </w:t>
      </w:r>
      <w:r w:rsidR="004735EA">
        <w:t xml:space="preserve">the author’s right to liberty and security, the State party submits that the author’s allegations are incorrect. Following the incident of 29 August 2002, the </w:t>
      </w:r>
      <w:r w:rsidR="004735EA" w:rsidRPr="00825331">
        <w:t xml:space="preserve">Senior Divisional Officer </w:t>
      </w:r>
      <w:r w:rsidR="003C0426" w:rsidRPr="00825331">
        <w:t>of the Fako Division</w:t>
      </w:r>
      <w:r w:rsidR="003C0426">
        <w:t xml:space="preserve"> issued on 3</w:t>
      </w:r>
      <w:r w:rsidR="004735EA">
        <w:t>0 August 2002 an order for the author’s administrative detention, for a period of 15 days, renewable, for “acts of banditry and attempted arson on the Government Delegate Limbe Urban Council, and disturbance of public service at the Limbe Urban Council</w:t>
      </w:r>
      <w:r w:rsidR="00D859B1">
        <w:t>”</w:t>
      </w:r>
      <w:r w:rsidR="004735EA">
        <w:t>.</w:t>
      </w:r>
      <w:r w:rsidR="006705E4">
        <w:rPr>
          <w:rStyle w:val="FootnoteReference"/>
        </w:rPr>
        <w:footnoteReference w:id="7"/>
      </w:r>
      <w:r w:rsidR="00EF2747">
        <w:t xml:space="preserve"> This </w:t>
      </w:r>
      <w:r w:rsidR="00D859B1">
        <w:t>o</w:t>
      </w:r>
      <w:r w:rsidR="00EF2747">
        <w:t>rder</w:t>
      </w:r>
      <w:r w:rsidR="00D859B1">
        <w:t>,</w:t>
      </w:r>
      <w:r w:rsidR="00EF2747">
        <w:t xml:space="preserve"> however</w:t>
      </w:r>
      <w:r w:rsidR="00D859B1">
        <w:t>,</w:t>
      </w:r>
      <w:r w:rsidR="00EF2747">
        <w:t xml:space="preserve"> could not be executed, </w:t>
      </w:r>
      <w:r w:rsidR="00490C60">
        <w:t xml:space="preserve">owing </w:t>
      </w:r>
      <w:r w:rsidR="00EF2747">
        <w:t xml:space="preserve">to the intervention of the </w:t>
      </w:r>
      <w:r w:rsidR="002145DF">
        <w:t xml:space="preserve">State </w:t>
      </w:r>
      <w:r w:rsidR="00D859B1">
        <w:t>Prosecutor</w:t>
      </w:r>
      <w:r w:rsidR="00EF2747">
        <w:t>.</w:t>
      </w:r>
      <w:r w:rsidR="00CE45CC">
        <w:rPr>
          <w:rStyle w:val="FootnoteReference"/>
        </w:rPr>
        <w:footnoteReference w:id="8"/>
      </w:r>
      <w:r w:rsidR="00EF2747">
        <w:t xml:space="preserve"> </w:t>
      </w:r>
      <w:r w:rsidR="00CD5EE5">
        <w:t>The State party also refers to a letter from the Government delegate of the Limbe Urban Council dated 3 September 2002, addressed to the Minister of Justice, in which the delegate complains about the</w:t>
      </w:r>
      <w:r w:rsidR="00BD5791">
        <w:t xml:space="preserve"> biased and</w:t>
      </w:r>
      <w:r w:rsidR="00CD5EE5">
        <w:t xml:space="preserve"> lax attitude of the Prosecutor, who failed to arrest the author after the latter attempted to murder him by assaulting him and pouring petrol on him with a view to setting him on fire on 29 August 2002.</w:t>
      </w:r>
      <w:r w:rsidR="00C27F85">
        <w:t xml:space="preserve"> </w:t>
      </w:r>
      <w:r w:rsidR="004B1BE8">
        <w:t>The State party thus contends that the author benefited from judicial protection and that it cannot be sustained that his right to security was violated.</w:t>
      </w:r>
      <w:r w:rsidR="0036403F" w:rsidRPr="0036403F">
        <w:t xml:space="preserve"> </w:t>
      </w:r>
    </w:p>
    <w:p w:rsidR="00C3515E" w:rsidRDefault="0036403F" w:rsidP="0097386F">
      <w:pPr>
        <w:pStyle w:val="SingleTxtG"/>
      </w:pPr>
      <w:r w:rsidRPr="0036403F">
        <w:t>6.3</w:t>
      </w:r>
      <w:r w:rsidRPr="0036403F">
        <w:tab/>
      </w:r>
      <w:r w:rsidR="00BD5791">
        <w:t>With respect to</w:t>
      </w:r>
      <w:r w:rsidR="001A0EFE" w:rsidRPr="001A0EFE">
        <w:t xml:space="preserve"> the principle of non-discrimination, the State party is of the view that </w:t>
      </w:r>
      <w:r w:rsidR="00BD5791">
        <w:t xml:space="preserve">the fact that </w:t>
      </w:r>
      <w:r w:rsidR="00113D0C">
        <w:t xml:space="preserve">charges were brought against </w:t>
      </w:r>
      <w:r w:rsidR="00BD5791">
        <w:t xml:space="preserve">the author, and were later withdrawn, do not reveal any discrimination. </w:t>
      </w:r>
      <w:r w:rsidR="00B4242B">
        <w:t>Article </w:t>
      </w:r>
      <w:r w:rsidR="00BD5791">
        <w:t xml:space="preserve">75 of the Criminal Procedure Ordinance, then applicable in the </w:t>
      </w:r>
      <w:r w:rsidR="002145DF">
        <w:t>c</w:t>
      </w:r>
      <w:r w:rsidR="00BD5791">
        <w:t>ommon law parts of Cameroon, provides that “in any trial …, any prosecutor may at any time before the judgment is pronounced … withdraw from the prosecution of any person either generally or in respect of one or more of the offences with which such person is charged”</w:t>
      </w:r>
      <w:r w:rsidR="002145DF">
        <w:t>.</w:t>
      </w:r>
      <w:r w:rsidR="00BD5791">
        <w:t xml:space="preserve"> Such prerogatives should be analysed as part of the prosecutorial discretion. </w:t>
      </w:r>
      <w:r w:rsidR="00BD5791">
        <w:lastRenderedPageBreak/>
        <w:t>Given the Government delegate’s claims of prosecutorial bias in favour of the author, the State party is surprised by the author’s allegations of discrimination, and rejects them.</w:t>
      </w:r>
    </w:p>
    <w:p w:rsidR="00205C6B" w:rsidRDefault="002D5B7E" w:rsidP="002D5B7E">
      <w:pPr>
        <w:pStyle w:val="H23G"/>
      </w:pPr>
      <w:r>
        <w:tab/>
      </w:r>
      <w:r>
        <w:tab/>
      </w:r>
      <w:r w:rsidR="00205C6B">
        <w:t>State party’s further submission</w:t>
      </w:r>
    </w:p>
    <w:p w:rsidR="00205C6B" w:rsidRDefault="00205C6B" w:rsidP="00156045">
      <w:pPr>
        <w:pStyle w:val="SingleTxtG"/>
      </w:pPr>
      <w:r w:rsidRPr="00205C6B">
        <w:t>7.1</w:t>
      </w:r>
      <w:r w:rsidRPr="00205C6B">
        <w:tab/>
        <w:t xml:space="preserve">On </w:t>
      </w:r>
      <w:r>
        <w:t>28 April 2011, the State party reiterated that the author’s communication should be declared inadmissible for non-exhaustion of domestic remedies, stressing that the author himself recognized the existence of a number of legal avenues of which he has not availed himself.</w:t>
      </w:r>
      <w:r w:rsidR="00525B07">
        <w:t xml:space="preserve"> </w:t>
      </w:r>
    </w:p>
    <w:p w:rsidR="00525B07" w:rsidRDefault="00525B07" w:rsidP="00156045">
      <w:pPr>
        <w:pStyle w:val="SingleTxtG"/>
      </w:pPr>
      <w:r>
        <w:t>7.2</w:t>
      </w:r>
      <w:r>
        <w:tab/>
        <w:t xml:space="preserve">Concerning the cost of the procedures, invoked by the author as an impediment, the State party highlights the existence of legal aid, which was not sought by the author. With respect to author’s comments on the lack of prospect of success of the procedures given the authorities’ lack of reaction to his previous complaints, the State party stresses that the essence of the </w:t>
      </w:r>
      <w:r>
        <w:rPr>
          <w:i/>
        </w:rPr>
        <w:t>citation directe de particulier</w:t>
      </w:r>
      <w:r>
        <w:t xml:space="preserve"> and of the </w:t>
      </w:r>
      <w:r>
        <w:rPr>
          <w:i/>
        </w:rPr>
        <w:t xml:space="preserve">plainte avec constitution de partie </w:t>
      </w:r>
      <w:r w:rsidRPr="00191F6F">
        <w:rPr>
          <w:i/>
        </w:rPr>
        <w:t>civile</w:t>
      </w:r>
      <w:r>
        <w:t xml:space="preserve"> is precisely to overcome the passivity and inaction of prosecutorial authorities. </w:t>
      </w:r>
    </w:p>
    <w:p w:rsidR="00525B07" w:rsidRPr="00205C6B" w:rsidRDefault="00525B07" w:rsidP="00C557A0">
      <w:pPr>
        <w:pStyle w:val="SingleTxtG"/>
      </w:pPr>
      <w:r>
        <w:t>7.3</w:t>
      </w:r>
      <w:r>
        <w:tab/>
        <w:t xml:space="preserve">As for the author’s contention that the relevant acts were </w:t>
      </w:r>
      <w:r w:rsidR="00DC5537">
        <w:t>time-barred</w:t>
      </w:r>
      <w:r>
        <w:t>, the State party submits that the acts took place in Limb</w:t>
      </w:r>
      <w:r w:rsidR="008E0085">
        <w:t>e</w:t>
      </w:r>
      <w:r>
        <w:t>, in the English-speaking part of the country</w:t>
      </w:r>
      <w:r w:rsidR="00AB2F65">
        <w:t xml:space="preserve">, which was governed by the </w:t>
      </w:r>
      <w:r w:rsidR="002145DF" w:rsidRPr="0097386F">
        <w:rPr>
          <w:iCs/>
        </w:rPr>
        <w:t>Criminal Procedure Ordinance</w:t>
      </w:r>
      <w:r w:rsidR="002145DF">
        <w:rPr>
          <w:i/>
        </w:rPr>
        <w:t xml:space="preserve"> </w:t>
      </w:r>
      <w:r w:rsidR="00AB2F65">
        <w:t>in force prior to 1 January 2007 (date of the entry into force of the Code of Penal Procedure)</w:t>
      </w:r>
      <w:r w:rsidR="00AB2F65">
        <w:rPr>
          <w:i/>
        </w:rPr>
        <w:t xml:space="preserve">, </w:t>
      </w:r>
      <w:r w:rsidR="00AB2F65">
        <w:t xml:space="preserve">which ignored time limitations. The acts in question were thus not </w:t>
      </w:r>
      <w:r w:rsidR="00AB2F65" w:rsidRPr="0097386F">
        <w:t>time</w:t>
      </w:r>
      <w:r w:rsidR="002145DF">
        <w:t>-</w:t>
      </w:r>
      <w:r w:rsidR="00AB2F65" w:rsidRPr="0097386F">
        <w:t>barred</w:t>
      </w:r>
      <w:r w:rsidR="00AB2F65">
        <w:t xml:space="preserve">, </w:t>
      </w:r>
      <w:r w:rsidR="00C557A0">
        <w:t>as the author alleged, and the State party maintains that the communication should be declared inadmissible for non-exhaustion of domestic remedies.</w:t>
      </w:r>
    </w:p>
    <w:p w:rsidR="0036403F" w:rsidRPr="0036403F" w:rsidRDefault="0036403F" w:rsidP="00531383">
      <w:pPr>
        <w:pStyle w:val="H23G"/>
      </w:pPr>
      <w:r w:rsidRPr="0036403F">
        <w:tab/>
      </w:r>
      <w:r w:rsidRPr="0036403F">
        <w:tab/>
        <w:t xml:space="preserve">Author’s comments on the State party’s observations </w:t>
      </w:r>
      <w:r w:rsidR="000F406A">
        <w:t>on merits</w:t>
      </w:r>
    </w:p>
    <w:p w:rsidR="0036403F" w:rsidRPr="0036403F" w:rsidRDefault="000145D5" w:rsidP="00156045">
      <w:pPr>
        <w:pStyle w:val="SingleTxtG"/>
      </w:pPr>
      <w:r>
        <w:t>8</w:t>
      </w:r>
      <w:r w:rsidR="0036403F" w:rsidRPr="0036403F">
        <w:t>.1</w:t>
      </w:r>
      <w:r w:rsidR="0036403F" w:rsidRPr="0036403F">
        <w:tab/>
        <w:t xml:space="preserve">On </w:t>
      </w:r>
      <w:r w:rsidRPr="000145D5">
        <w:t>17 June 2011,</w:t>
      </w:r>
      <w:r>
        <w:t xml:space="preserve"> the author</w:t>
      </w:r>
      <w:r w:rsidR="0036403F" w:rsidRPr="0036403F">
        <w:t xml:space="preserve"> provided comments on the State party’s observations</w:t>
      </w:r>
      <w:r w:rsidR="000F406A">
        <w:t xml:space="preserve"> on the </w:t>
      </w:r>
      <w:r w:rsidR="000F406A" w:rsidRPr="000F406A">
        <w:t>m</w:t>
      </w:r>
      <w:r w:rsidR="000F406A">
        <w:t>erit</w:t>
      </w:r>
      <w:r w:rsidR="000F406A" w:rsidRPr="000F406A">
        <w:t>s of the communication</w:t>
      </w:r>
      <w:r w:rsidR="00C625AA">
        <w:rPr>
          <w:lang w:val="en-US"/>
        </w:rPr>
        <w:t>, reiterating prior arguments and adding the following</w:t>
      </w:r>
      <w:r w:rsidR="0036403F" w:rsidRPr="0036403F">
        <w:t>.</w:t>
      </w:r>
    </w:p>
    <w:p w:rsidR="0036403F" w:rsidRDefault="000145D5" w:rsidP="0097386F">
      <w:pPr>
        <w:pStyle w:val="SingleTxtG"/>
        <w:rPr>
          <w:i/>
        </w:rPr>
      </w:pPr>
      <w:r>
        <w:t>8.2</w:t>
      </w:r>
      <w:r>
        <w:tab/>
      </w:r>
      <w:r w:rsidR="00054A27">
        <w:t xml:space="preserve">Regarding </w:t>
      </w:r>
      <w:r w:rsidR="00B4242B">
        <w:t>articles </w:t>
      </w:r>
      <w:r w:rsidR="00054A27">
        <w:t xml:space="preserve">6 and 7 of the Covenant, the author reiterates that the object of his visit to the </w:t>
      </w:r>
      <w:r w:rsidR="00D7333D">
        <w:t>Government</w:t>
      </w:r>
      <w:r w:rsidR="00054A27">
        <w:t xml:space="preserve"> delegate concerned the payment of overdue bills, referring to the audience form filled in this regard, </w:t>
      </w:r>
      <w:r w:rsidR="002145DF">
        <w:t xml:space="preserve">to </w:t>
      </w:r>
      <w:r w:rsidR="00054A27">
        <w:t xml:space="preserve">which the State party failed to refer. </w:t>
      </w:r>
      <w:r w:rsidR="009B3199">
        <w:t xml:space="preserve">The author further stresses that the State party failed to comment upon his allegations that he was brutally assaulted by the Government delegate and his cohorts, causing severe bleeding and injuries, which amounted to torture, and was never investigated by the State party. </w:t>
      </w:r>
      <w:r w:rsidR="00EB261B">
        <w:t>The author further stresses that the State party failed to comment upon his allegation that</w:t>
      </w:r>
      <w:r w:rsidR="008E0085">
        <w:t>,</w:t>
      </w:r>
      <w:r w:rsidR="00EB261B">
        <w:t xml:space="preserve"> after he was hospitalized, the Government delegate</w:t>
      </w:r>
      <w:r w:rsidR="00961F38">
        <w:t xml:space="preserve"> </w:t>
      </w:r>
      <w:r w:rsidR="00EB261B">
        <w:t xml:space="preserve">conspired to eliminate him </w:t>
      </w:r>
      <w:r w:rsidR="008F62FC">
        <w:t xml:space="preserve">(referring to facts in </w:t>
      </w:r>
      <w:r w:rsidR="008F62FC" w:rsidRPr="00CF6655">
        <w:t>par</w:t>
      </w:r>
      <w:r w:rsidR="002145DF" w:rsidRPr="00CF6655">
        <w:t>agraph</w:t>
      </w:r>
      <w:r w:rsidR="008F62FC" w:rsidRPr="00CF6655">
        <w:t> </w:t>
      </w:r>
      <w:r w:rsidR="00DC5537" w:rsidRPr="00CF6655">
        <w:t>2.4</w:t>
      </w:r>
      <w:r w:rsidR="00DC5537">
        <w:t>)</w:t>
      </w:r>
      <w:r w:rsidR="00EB261B">
        <w:t>.</w:t>
      </w:r>
    </w:p>
    <w:p w:rsidR="009D63E3" w:rsidRDefault="00281CDE" w:rsidP="0097386F">
      <w:pPr>
        <w:pStyle w:val="SingleTxtG"/>
      </w:pPr>
      <w:r>
        <w:t>8.3</w:t>
      </w:r>
      <w:r>
        <w:tab/>
        <w:t xml:space="preserve">Regarding </w:t>
      </w:r>
      <w:r w:rsidR="00B4242B">
        <w:t>article </w:t>
      </w:r>
      <w:r>
        <w:t xml:space="preserve">9 and the State party’s contention that the arrest warrant against the </w:t>
      </w:r>
      <w:r w:rsidR="001E397C">
        <w:t>author</w:t>
      </w:r>
      <w:r>
        <w:t xml:space="preserve"> was not executed, and that therefore no violation of his right to liberty and security occurred, the author notes that </w:t>
      </w:r>
      <w:r w:rsidR="00A80BE2">
        <w:t>this position is at variance with the report of the police office submitted by the State party, which indicates that the author was arrested</w:t>
      </w:r>
      <w:r w:rsidR="001E397C">
        <w:t>,</w:t>
      </w:r>
      <w:r w:rsidR="00D400C3">
        <w:t xml:space="preserve"> taken to the gendarmerie post in Limbe, and that he was subsequently released following the orders of the </w:t>
      </w:r>
      <w:r w:rsidR="002145DF">
        <w:t>State Prosecutor</w:t>
      </w:r>
      <w:r w:rsidR="00D400C3">
        <w:t>.</w:t>
      </w:r>
      <w:r w:rsidR="00944848">
        <w:t xml:space="preserve"> </w:t>
      </w:r>
    </w:p>
    <w:p w:rsidR="00CD4AFC" w:rsidRPr="003014D1" w:rsidRDefault="008B0695" w:rsidP="0097386F">
      <w:pPr>
        <w:pStyle w:val="SingleTxtG"/>
      </w:pPr>
      <w:r>
        <w:t>8.4</w:t>
      </w:r>
      <w:r>
        <w:tab/>
      </w:r>
      <w:r w:rsidR="00363645">
        <w:t xml:space="preserve">The author reiterates that the fact that his complaints were not </w:t>
      </w:r>
      <w:r w:rsidR="002145DF">
        <w:t xml:space="preserve">ruled upon </w:t>
      </w:r>
      <w:r w:rsidR="00363645">
        <w:t xml:space="preserve">reveals a violation of </w:t>
      </w:r>
      <w:r w:rsidR="0032559F">
        <w:t xml:space="preserve">his right to an effective remedy under </w:t>
      </w:r>
      <w:r w:rsidR="00B4242B">
        <w:t>article </w:t>
      </w:r>
      <w:r w:rsidR="0032559F">
        <w:t>2, par</w:t>
      </w:r>
      <w:r w:rsidR="002145DF">
        <w:t>agraph</w:t>
      </w:r>
      <w:r w:rsidR="0032559F">
        <w:t xml:space="preserve"> 3</w:t>
      </w:r>
      <w:r w:rsidR="002145DF">
        <w:t>,</w:t>
      </w:r>
      <w:r w:rsidR="0032559F">
        <w:t xml:space="preserve"> of the Covenant, as well as of </w:t>
      </w:r>
      <w:r w:rsidR="00363645">
        <w:t>the principle of non-discrimination</w:t>
      </w:r>
      <w:r w:rsidR="00E34A7A">
        <w:t xml:space="preserve"> under </w:t>
      </w:r>
      <w:r w:rsidR="00B4242B">
        <w:t>articles </w:t>
      </w:r>
      <w:r w:rsidR="00E34A7A">
        <w:t>2, par</w:t>
      </w:r>
      <w:r w:rsidR="002145DF">
        <w:t>agraph</w:t>
      </w:r>
      <w:r w:rsidR="00E34A7A">
        <w:t xml:space="preserve"> 1</w:t>
      </w:r>
      <w:r w:rsidR="002145DF">
        <w:t>,</w:t>
      </w:r>
      <w:r w:rsidR="00E34A7A">
        <w:t xml:space="preserve"> and 26 of the Covenant. He adds</w:t>
      </w:r>
      <w:r w:rsidR="00363645">
        <w:t xml:space="preserve"> that the exercise of judicial discretion evoked by the State party was certainly predicated on class</w:t>
      </w:r>
      <w:r w:rsidR="00762F99">
        <w:t>, the Government delegate being part of the politic</w:t>
      </w:r>
      <w:r w:rsidR="002145DF">
        <w:t xml:space="preserve">al and </w:t>
      </w:r>
      <w:r w:rsidR="00762F99">
        <w:lastRenderedPageBreak/>
        <w:t>economic elite</w:t>
      </w:r>
      <w:r w:rsidR="00363645">
        <w:t>. He adds that new charges were brought against him</w:t>
      </w:r>
      <w:r w:rsidR="009161FA">
        <w:t xml:space="preserve"> (attempted murder and assault)</w:t>
      </w:r>
      <w:r w:rsidR="00363645">
        <w:t>.</w:t>
      </w:r>
      <w:r w:rsidR="00363645">
        <w:rPr>
          <w:rStyle w:val="FootnoteReference"/>
        </w:rPr>
        <w:footnoteReference w:id="9"/>
      </w:r>
    </w:p>
    <w:p w:rsidR="00CD4AFC" w:rsidRPr="003014D1" w:rsidRDefault="003014D1" w:rsidP="003014D1">
      <w:pPr>
        <w:pStyle w:val="H23G"/>
      </w:pPr>
      <w:r>
        <w:tab/>
      </w:r>
      <w:r>
        <w:tab/>
      </w:r>
      <w:r w:rsidR="00CD4AFC">
        <w:t xml:space="preserve">Author’s further submission on admissibility </w:t>
      </w:r>
    </w:p>
    <w:p w:rsidR="00F81DF3" w:rsidRDefault="002D5B7E" w:rsidP="0097386F">
      <w:pPr>
        <w:pStyle w:val="SingleTxtG"/>
      </w:pPr>
      <w:r>
        <w:t>9.</w:t>
      </w:r>
      <w:r w:rsidR="00CD4AFC">
        <w:tab/>
        <w:t xml:space="preserve">On 5 July 2011, the author </w:t>
      </w:r>
      <w:r w:rsidR="00F16C36">
        <w:t>responded to</w:t>
      </w:r>
      <w:r w:rsidR="00CD4AFC">
        <w:t xml:space="preserve"> the State party’s observations on admissibility. </w:t>
      </w:r>
      <w:r w:rsidR="00DA2282">
        <w:t xml:space="preserve">He maintained that his communication is admissible, and </w:t>
      </w:r>
      <w:r w:rsidR="00AA7319">
        <w:t>reiterated</w:t>
      </w:r>
      <w:r w:rsidR="00F16C36">
        <w:t xml:space="preserve"> that the remedies mentioned by the State party are not effective, and noted that </w:t>
      </w:r>
      <w:r w:rsidR="00DA2282">
        <w:t xml:space="preserve">he was not eligible for legal aid, as prior to the fire which destroyed his home, he was a businessman and creditor with </w:t>
      </w:r>
      <w:r w:rsidR="00F16C36">
        <w:t>adequate</w:t>
      </w:r>
      <w:r w:rsidR="00DA2282">
        <w:t xml:space="preserve"> financial means. </w:t>
      </w:r>
    </w:p>
    <w:p w:rsidR="00F81DF3" w:rsidRPr="003014D1" w:rsidRDefault="003014D1" w:rsidP="003014D1">
      <w:pPr>
        <w:pStyle w:val="H23G"/>
      </w:pPr>
      <w:r>
        <w:tab/>
      </w:r>
      <w:r>
        <w:tab/>
      </w:r>
      <w:r w:rsidR="00F81DF3">
        <w:t>State party’s further submission on the merits</w:t>
      </w:r>
    </w:p>
    <w:p w:rsidR="00295898" w:rsidRDefault="008A4980" w:rsidP="0097386F">
      <w:pPr>
        <w:pStyle w:val="SingleTxtG"/>
      </w:pPr>
      <w:r>
        <w:t>10.1</w:t>
      </w:r>
      <w:r w:rsidR="00F81DF3">
        <w:tab/>
        <w:t xml:space="preserve">On 24 January 2012, the State party reiterated </w:t>
      </w:r>
      <w:r w:rsidR="00295898">
        <w:t xml:space="preserve">its previous submission, and noted that the parties disagree on the facts: </w:t>
      </w:r>
      <w:r w:rsidR="008143F9">
        <w:t>w</w:t>
      </w:r>
      <w:r w:rsidR="00295898">
        <w:t xml:space="preserve">hile the author maintains that he was assaulted by </w:t>
      </w:r>
      <w:r w:rsidR="00295898" w:rsidRPr="00CD33A7">
        <w:t>the</w:t>
      </w:r>
      <w:r w:rsidR="00295898">
        <w:t xml:space="preserve"> Government delegate heading the Limbe Urban Council</w:t>
      </w:r>
      <w:r w:rsidR="00295898" w:rsidRPr="00CD33A7">
        <w:t xml:space="preserve">, </w:t>
      </w:r>
      <w:r w:rsidR="00295898">
        <w:t xml:space="preserve">the latter alleges that the author attempted to murder him. A judicial investigation </w:t>
      </w:r>
      <w:r w:rsidR="00705BF1">
        <w:t>(</w:t>
      </w:r>
      <w:r w:rsidR="00705BF1">
        <w:rPr>
          <w:i/>
        </w:rPr>
        <w:t xml:space="preserve">information </w:t>
      </w:r>
      <w:r w:rsidR="00705BF1" w:rsidRPr="00705BF1">
        <w:rPr>
          <w:i/>
        </w:rPr>
        <w:t>judiciaire</w:t>
      </w:r>
      <w:r w:rsidR="00705BF1">
        <w:t xml:space="preserve">) </w:t>
      </w:r>
      <w:r w:rsidR="00295898" w:rsidRPr="00705BF1">
        <w:t>was</w:t>
      </w:r>
      <w:r w:rsidR="00295898">
        <w:t xml:space="preserve"> launched with a view to clarifying the situation. </w:t>
      </w:r>
    </w:p>
    <w:p w:rsidR="00BD47D0" w:rsidRDefault="00295898" w:rsidP="003014D1">
      <w:pPr>
        <w:pStyle w:val="SingleTxtG"/>
      </w:pPr>
      <w:r>
        <w:t>10.2</w:t>
      </w:r>
      <w:r>
        <w:tab/>
        <w:t>The State party maintains that the author’s right to liberty and security was protected, as the Prosecutor opposed his detention</w:t>
      </w:r>
      <w:r w:rsidR="00C26A16">
        <w:t xml:space="preserve">, and thus the </w:t>
      </w:r>
      <w:r w:rsidR="008D058C">
        <w:t>detention order</w:t>
      </w:r>
      <w:r w:rsidR="00C26A16">
        <w:t xml:space="preserve"> was not enforced in his regard. The State party thus maintains that the author was not detained</w:t>
      </w:r>
      <w:r w:rsidR="0039330F">
        <w:t>, as is confirmed in the author’s affidavit annexed to his complaint.</w:t>
      </w:r>
      <w:r w:rsidR="0039330F">
        <w:rPr>
          <w:rStyle w:val="FootnoteReference"/>
        </w:rPr>
        <w:footnoteReference w:id="10"/>
      </w:r>
    </w:p>
    <w:p w:rsidR="00BD47D0" w:rsidRPr="00F81DF3" w:rsidRDefault="00BD47D0" w:rsidP="003014D1">
      <w:pPr>
        <w:pStyle w:val="SingleTxtG"/>
      </w:pPr>
      <w:r>
        <w:t>10.3</w:t>
      </w:r>
      <w:r>
        <w:tab/>
        <w:t xml:space="preserve">The State party rejects the author’s allegations of discrimination, reiterating that </w:t>
      </w:r>
      <w:r w:rsidR="009161FA">
        <w:t>a judicial investigation was initiated, and that charges were brought not only against the author (for attempted murder and disturbance of public service), but also against Lifanda Samuel Ebiama</w:t>
      </w:r>
      <w:r w:rsidR="00705BF1">
        <w:t>, the Government delegate heading the Limbe Urban Council</w:t>
      </w:r>
      <w:r w:rsidR="008A2E4D">
        <w:t xml:space="preserve"> </w:t>
      </w:r>
      <w:r w:rsidR="009161FA">
        <w:t>(for charges of assault occasioning grievous harm and conditional threats).</w:t>
      </w:r>
      <w:r w:rsidR="00305793">
        <w:rPr>
          <w:rStyle w:val="FootnoteReference"/>
        </w:rPr>
        <w:footnoteReference w:id="11"/>
      </w:r>
    </w:p>
    <w:p w:rsidR="0036403F" w:rsidRPr="0036403F" w:rsidRDefault="0036403F" w:rsidP="00531383">
      <w:pPr>
        <w:pStyle w:val="H23G"/>
      </w:pPr>
      <w:r w:rsidRPr="0036403F">
        <w:tab/>
      </w:r>
      <w:r w:rsidRPr="0036403F">
        <w:tab/>
        <w:t>Issues and proceedings before the Committee</w:t>
      </w:r>
    </w:p>
    <w:p w:rsidR="0036403F" w:rsidRPr="0036403F" w:rsidRDefault="0036403F" w:rsidP="00531383">
      <w:pPr>
        <w:pStyle w:val="H4G"/>
      </w:pPr>
      <w:r w:rsidRPr="0036403F">
        <w:tab/>
      </w:r>
      <w:r w:rsidRPr="0036403F">
        <w:tab/>
        <w:t>Consideration of admissibility</w:t>
      </w:r>
    </w:p>
    <w:p w:rsidR="0036403F" w:rsidRPr="0036403F" w:rsidRDefault="00705BF1" w:rsidP="00156045">
      <w:pPr>
        <w:pStyle w:val="SingleTxtG"/>
        <w:rPr>
          <w:bCs/>
        </w:rPr>
      </w:pPr>
      <w:r w:rsidRPr="00705BF1">
        <w:rPr>
          <w:bCs/>
        </w:rPr>
        <w:t>11</w:t>
      </w:r>
      <w:r w:rsidR="0036403F" w:rsidRPr="0036403F">
        <w:rPr>
          <w:bCs/>
        </w:rPr>
        <w:t>.1</w:t>
      </w:r>
      <w:r w:rsidR="0036403F" w:rsidRPr="0036403F">
        <w:rPr>
          <w:bCs/>
        </w:rPr>
        <w:tab/>
        <w:t xml:space="preserve">Before considering any claim contained in a communication, the Human Rights Committee must, in accordance with rule 93 of its </w:t>
      </w:r>
      <w:r w:rsidR="00032DC0">
        <w:rPr>
          <w:bCs/>
        </w:rPr>
        <w:t>r</w:t>
      </w:r>
      <w:r w:rsidR="0036403F" w:rsidRPr="0036403F">
        <w:rPr>
          <w:bCs/>
        </w:rPr>
        <w:t>ules of procedure, decide whether or not the case is admissible under the Optional Protocol to the Covenant.</w:t>
      </w:r>
    </w:p>
    <w:p w:rsidR="0036403F" w:rsidRPr="0036403F" w:rsidRDefault="00705BF1" w:rsidP="00156045">
      <w:pPr>
        <w:pStyle w:val="SingleTxtG"/>
      </w:pPr>
      <w:r w:rsidRPr="00705BF1">
        <w:t>11</w:t>
      </w:r>
      <w:r w:rsidR="0036403F" w:rsidRPr="0036403F">
        <w:t>.2</w:t>
      </w:r>
      <w:r w:rsidR="0036403F" w:rsidRPr="0036403F">
        <w:tab/>
        <w:t xml:space="preserve">The Committee has ascertained, as required under </w:t>
      </w:r>
      <w:r w:rsidR="00B4242B">
        <w:t>article </w:t>
      </w:r>
      <w:r w:rsidR="0036403F" w:rsidRPr="0036403F">
        <w:t>5</w:t>
      </w:r>
      <w:r w:rsidR="00372858">
        <w:t>, paragraph </w:t>
      </w:r>
      <w:r w:rsidR="0036403F" w:rsidRPr="0036403F">
        <w:t xml:space="preserve">2 (a), of the Optional Protocol, that the same matter is not being examined under another procedure of international investigation or settlement. </w:t>
      </w:r>
    </w:p>
    <w:p w:rsidR="000F50C7" w:rsidRDefault="00705BF1" w:rsidP="0097386F">
      <w:pPr>
        <w:pStyle w:val="SingleTxtG"/>
        <w:rPr>
          <w:lang w:val="en-US"/>
        </w:rPr>
      </w:pPr>
      <w:r w:rsidRPr="00705BF1">
        <w:t>11</w:t>
      </w:r>
      <w:r w:rsidR="0036403F" w:rsidRPr="0036403F">
        <w:t>.3</w:t>
      </w:r>
      <w:r w:rsidR="0036403F" w:rsidRPr="0036403F">
        <w:tab/>
        <w:t>The Committee notes the State party</w:t>
      </w:r>
      <w:r w:rsidR="00032DC0">
        <w:t>’</w:t>
      </w:r>
      <w:r w:rsidR="0036403F" w:rsidRPr="0036403F">
        <w:t>s challenge to the admissibility of the communication on the ground that domestic remedies have not been exhausted</w:t>
      </w:r>
      <w:r w:rsidR="00966E71">
        <w:t xml:space="preserve">. </w:t>
      </w:r>
      <w:r w:rsidR="00074EAD" w:rsidRPr="00074EAD">
        <w:t>I</w:t>
      </w:r>
      <w:r w:rsidR="00074EAD" w:rsidRPr="00D17394">
        <w:t xml:space="preserve">n the State </w:t>
      </w:r>
      <w:r w:rsidR="00074EAD" w:rsidRPr="00D17394">
        <w:lastRenderedPageBreak/>
        <w:t>party</w:t>
      </w:r>
      <w:r w:rsidR="00074EAD">
        <w:t>’</w:t>
      </w:r>
      <w:r w:rsidR="00074EAD" w:rsidRPr="00D17394">
        <w:t xml:space="preserve">s view, the author </w:t>
      </w:r>
      <w:r w:rsidR="00074EAD" w:rsidRPr="00074EAD">
        <w:t>did not</w:t>
      </w:r>
      <w:r w:rsidR="00074EAD" w:rsidRPr="00D17394">
        <w:t xml:space="preserve"> consider the possibility of bringing the matter before the</w:t>
      </w:r>
      <w:r w:rsidR="00074EAD" w:rsidRPr="00074EAD">
        <w:t xml:space="preserve"> </w:t>
      </w:r>
      <w:r w:rsidR="00074EAD">
        <w:t>competent magistrate (</w:t>
      </w:r>
      <w:r w:rsidR="00074EAD">
        <w:rPr>
          <w:i/>
        </w:rPr>
        <w:t xml:space="preserve">plainte avec constitution de partie </w:t>
      </w:r>
      <w:r w:rsidR="00074EAD" w:rsidRPr="00191F6F">
        <w:rPr>
          <w:i/>
        </w:rPr>
        <w:t>civile</w:t>
      </w:r>
      <w:r w:rsidR="00074EAD">
        <w:t xml:space="preserve">) </w:t>
      </w:r>
      <w:r w:rsidR="00074EAD" w:rsidRPr="00191F6F">
        <w:t>under</w:t>
      </w:r>
      <w:r w:rsidR="00372858">
        <w:t xml:space="preserve"> section </w:t>
      </w:r>
      <w:r w:rsidR="00074EAD">
        <w:t xml:space="preserve">157 of the Code of Penal Procedure, or seize directly the </w:t>
      </w:r>
      <w:r w:rsidR="004D0D25">
        <w:t xml:space="preserve">presiding judge </w:t>
      </w:r>
      <w:r w:rsidR="00074EAD">
        <w:t xml:space="preserve">with a </w:t>
      </w:r>
      <w:r w:rsidR="004D0D25">
        <w:t>private prosecution</w:t>
      </w:r>
      <w:r w:rsidR="00074EAD">
        <w:t xml:space="preserve"> (</w:t>
      </w:r>
      <w:r w:rsidR="00074EAD">
        <w:rPr>
          <w:i/>
        </w:rPr>
        <w:t>citation directe de particulier</w:t>
      </w:r>
      <w:r w:rsidR="00372858">
        <w:t>) under section </w:t>
      </w:r>
      <w:r w:rsidR="00074EAD">
        <w:t xml:space="preserve">290 of the Code of Penal Procedure. </w:t>
      </w:r>
      <w:r w:rsidR="00061A16" w:rsidRPr="00D17394">
        <w:t>The Committee also notes that, according to the State party, the author has written letters to political and administrative authorities but has not, strictly speaking, initiated legal action</w:t>
      </w:r>
      <w:r w:rsidR="00AF005E" w:rsidRPr="00AF005E">
        <w:t>.</w:t>
      </w:r>
      <w:r w:rsidR="00F76334">
        <w:t xml:space="preserve"> </w:t>
      </w:r>
      <w:r w:rsidR="00F76334" w:rsidRPr="00D17394">
        <w:t>However, the Committee takes note of the author</w:t>
      </w:r>
      <w:r w:rsidR="00F76334">
        <w:t>’</w:t>
      </w:r>
      <w:r w:rsidR="00F76334" w:rsidRPr="00D17394">
        <w:t>s argument</w:t>
      </w:r>
      <w:r w:rsidR="00E406F3" w:rsidRPr="00E406F3">
        <w:t xml:space="preserve">, which is confirmed by the material available in the file, </w:t>
      </w:r>
      <w:r w:rsidR="00F76334" w:rsidRPr="00D17394">
        <w:t xml:space="preserve">that </w:t>
      </w:r>
      <w:r w:rsidR="00E406F3">
        <w:t xml:space="preserve">on 17 </w:t>
      </w:r>
      <w:r w:rsidR="00E406F3" w:rsidRPr="00E406F3">
        <w:t xml:space="preserve">September 2002, </w:t>
      </w:r>
      <w:r w:rsidR="00F76334" w:rsidRPr="00F76334">
        <w:t>he</w:t>
      </w:r>
      <w:r w:rsidR="00F76334" w:rsidRPr="00D17394">
        <w:t xml:space="preserve"> lodged </w:t>
      </w:r>
      <w:r w:rsidR="00E406F3">
        <w:t xml:space="preserve">a </w:t>
      </w:r>
      <w:r w:rsidR="00E406F3">
        <w:rPr>
          <w:lang w:val="en-US"/>
        </w:rPr>
        <w:t>complaint</w:t>
      </w:r>
      <w:r w:rsidR="000F50C7">
        <w:rPr>
          <w:lang w:val="en-US"/>
        </w:rPr>
        <w:t xml:space="preserve"> </w:t>
      </w:r>
      <w:r w:rsidR="00AE334A">
        <w:rPr>
          <w:lang w:val="en-US"/>
        </w:rPr>
        <w:t xml:space="preserve">before </w:t>
      </w:r>
      <w:r w:rsidR="000F50C7">
        <w:rPr>
          <w:lang w:val="en-US"/>
        </w:rPr>
        <w:t xml:space="preserve">the </w:t>
      </w:r>
      <w:r w:rsidR="002145DF">
        <w:rPr>
          <w:lang w:val="en-US"/>
        </w:rPr>
        <w:t>State Prosecutor-</w:t>
      </w:r>
      <w:r w:rsidR="005F1CB2">
        <w:rPr>
          <w:lang w:val="en-US"/>
        </w:rPr>
        <w:t>General</w:t>
      </w:r>
      <w:r w:rsidR="004D0D25">
        <w:rPr>
          <w:lang w:val="en-US"/>
        </w:rPr>
        <w:t xml:space="preserve"> of the</w:t>
      </w:r>
      <w:r w:rsidR="005F1CB2">
        <w:rPr>
          <w:lang w:val="en-US"/>
        </w:rPr>
        <w:t xml:space="preserve"> </w:t>
      </w:r>
      <w:r w:rsidR="005F1CB2" w:rsidRPr="0097386F">
        <w:rPr>
          <w:lang w:val="en-US"/>
        </w:rPr>
        <w:t>South</w:t>
      </w:r>
      <w:r w:rsidR="003318FD">
        <w:rPr>
          <w:lang w:val="en-US"/>
        </w:rPr>
        <w:t>-</w:t>
      </w:r>
      <w:r w:rsidR="005F1CB2" w:rsidRPr="0097386F">
        <w:rPr>
          <w:lang w:val="en-US"/>
        </w:rPr>
        <w:t>West</w:t>
      </w:r>
      <w:r w:rsidR="003318FD">
        <w:rPr>
          <w:lang w:val="en-US"/>
        </w:rPr>
        <w:t>ern</w:t>
      </w:r>
      <w:r w:rsidR="005F1CB2" w:rsidRPr="0097386F">
        <w:rPr>
          <w:lang w:val="en-US"/>
        </w:rPr>
        <w:t xml:space="preserve"> Province</w:t>
      </w:r>
      <w:r w:rsidR="00BA2400">
        <w:rPr>
          <w:lang w:val="en-US"/>
        </w:rPr>
        <w:t xml:space="preserve"> in which he explicitly requested that investigations be undertaken into his allegations</w:t>
      </w:r>
      <w:r w:rsidR="00AF005E">
        <w:rPr>
          <w:lang w:val="en-US"/>
        </w:rPr>
        <w:t xml:space="preserve"> of assault</w:t>
      </w:r>
      <w:r w:rsidR="00666311">
        <w:rPr>
          <w:lang w:val="en-US"/>
        </w:rPr>
        <w:t xml:space="preserve"> concerning the incident of 29 August 2002</w:t>
      </w:r>
      <w:r w:rsidR="00BA2400">
        <w:rPr>
          <w:lang w:val="en-US"/>
        </w:rPr>
        <w:t xml:space="preserve">. The author renewed his complaint </w:t>
      </w:r>
      <w:r w:rsidR="00762FB5">
        <w:rPr>
          <w:lang w:val="en-US"/>
        </w:rPr>
        <w:t xml:space="preserve">with </w:t>
      </w:r>
      <w:r w:rsidR="00BA2400">
        <w:rPr>
          <w:lang w:val="en-US"/>
        </w:rPr>
        <w:t xml:space="preserve">the </w:t>
      </w:r>
      <w:r w:rsidR="002145DF">
        <w:rPr>
          <w:lang w:val="en-US"/>
        </w:rPr>
        <w:t>State Prosecutor-</w:t>
      </w:r>
      <w:r w:rsidR="005F1CB2">
        <w:rPr>
          <w:lang w:val="en-US"/>
        </w:rPr>
        <w:t>General</w:t>
      </w:r>
      <w:r w:rsidR="004D0D25">
        <w:rPr>
          <w:lang w:val="en-US"/>
        </w:rPr>
        <w:t xml:space="preserve"> of the</w:t>
      </w:r>
      <w:r w:rsidR="005F1CB2">
        <w:rPr>
          <w:lang w:val="en-US"/>
        </w:rPr>
        <w:t xml:space="preserve"> </w:t>
      </w:r>
      <w:r w:rsidR="005F1CB2" w:rsidRPr="0097386F">
        <w:rPr>
          <w:lang w:val="en-US"/>
        </w:rPr>
        <w:t>South</w:t>
      </w:r>
      <w:r w:rsidR="003318FD">
        <w:rPr>
          <w:lang w:val="en-US"/>
        </w:rPr>
        <w:t>-</w:t>
      </w:r>
      <w:r w:rsidR="005F1CB2" w:rsidRPr="0097386F">
        <w:rPr>
          <w:lang w:val="en-US"/>
        </w:rPr>
        <w:t>West</w:t>
      </w:r>
      <w:r w:rsidR="003318FD">
        <w:rPr>
          <w:lang w:val="en-US"/>
        </w:rPr>
        <w:t>ern</w:t>
      </w:r>
      <w:r w:rsidR="005F1CB2" w:rsidRPr="0097386F">
        <w:rPr>
          <w:lang w:val="en-US"/>
        </w:rPr>
        <w:t xml:space="preserve"> Province</w:t>
      </w:r>
      <w:r w:rsidR="00BA2400">
        <w:rPr>
          <w:lang w:val="en-US"/>
        </w:rPr>
        <w:t xml:space="preserve">, </w:t>
      </w:r>
      <w:r w:rsidR="00E406F3">
        <w:rPr>
          <w:lang w:val="en-US"/>
        </w:rPr>
        <w:t>on 3 October 2002</w:t>
      </w:r>
      <w:r w:rsidR="00B86891">
        <w:rPr>
          <w:lang w:val="en-US"/>
        </w:rPr>
        <w:t>, in which he referred to threats to his life, security and personal liberty</w:t>
      </w:r>
      <w:r w:rsidR="00E406F3">
        <w:rPr>
          <w:lang w:val="en-US"/>
        </w:rPr>
        <w:t>.</w:t>
      </w:r>
      <w:r w:rsidR="008400C1">
        <w:rPr>
          <w:lang w:val="en-US"/>
        </w:rPr>
        <w:t xml:space="preserve"> </w:t>
      </w:r>
      <w:r w:rsidR="00E406F3">
        <w:rPr>
          <w:lang w:val="en-US"/>
        </w:rPr>
        <w:t xml:space="preserve">On </w:t>
      </w:r>
      <w:r w:rsidR="00BA2400">
        <w:rPr>
          <w:lang w:val="en-US"/>
        </w:rPr>
        <w:t>the same day</w:t>
      </w:r>
      <w:r w:rsidR="00E406F3">
        <w:rPr>
          <w:lang w:val="en-US"/>
        </w:rPr>
        <w:t>,</w:t>
      </w:r>
      <w:r w:rsidR="00BA2400">
        <w:rPr>
          <w:lang w:val="en-US"/>
        </w:rPr>
        <w:t xml:space="preserve"> he also</w:t>
      </w:r>
      <w:r w:rsidR="00E406F3">
        <w:rPr>
          <w:lang w:val="en-US"/>
        </w:rPr>
        <w:t xml:space="preserve"> filed a complaint with the </w:t>
      </w:r>
      <w:r w:rsidR="002145DF">
        <w:rPr>
          <w:lang w:val="en-US"/>
        </w:rPr>
        <w:t>State Prosecutor in</w:t>
      </w:r>
      <w:r w:rsidR="005F1CB2">
        <w:rPr>
          <w:lang w:val="en-US"/>
        </w:rPr>
        <w:t xml:space="preserve"> Limbe</w:t>
      </w:r>
      <w:r w:rsidR="00B86891">
        <w:rPr>
          <w:lang w:val="en-US"/>
        </w:rPr>
        <w:t xml:space="preserve"> on the same grounds</w:t>
      </w:r>
      <w:r w:rsidR="00BA2400">
        <w:rPr>
          <w:lang w:val="en-US"/>
        </w:rPr>
        <w:t>.</w:t>
      </w:r>
      <w:r w:rsidR="008400C1">
        <w:rPr>
          <w:lang w:val="en-US"/>
        </w:rPr>
        <w:t xml:space="preserve"> </w:t>
      </w:r>
    </w:p>
    <w:p w:rsidR="00AF005E" w:rsidRPr="005B025D" w:rsidRDefault="00705BF1" w:rsidP="00E172F3">
      <w:pPr>
        <w:pStyle w:val="SingleTxtG"/>
        <w:rPr>
          <w:lang w:val="en-US"/>
        </w:rPr>
      </w:pPr>
      <w:r>
        <w:rPr>
          <w:lang w:val="en-US"/>
        </w:rPr>
        <w:t>11</w:t>
      </w:r>
      <w:r w:rsidR="00E3345E" w:rsidRPr="00E3345E">
        <w:t>.4</w:t>
      </w:r>
      <w:r w:rsidR="00E3345E" w:rsidRPr="00E3345E">
        <w:tab/>
      </w:r>
      <w:r w:rsidR="00AF005E" w:rsidRPr="00D17394">
        <w:t>The Committee recalls that, for the purposes of admissibility of a communication, the author must exhaust only the remedies effective against the alleged violation</w:t>
      </w:r>
      <w:r w:rsidR="00AF005E" w:rsidRPr="00AF005E">
        <w:t>.</w:t>
      </w:r>
      <w:r w:rsidR="00AF005E">
        <w:t xml:space="preserve"> </w:t>
      </w:r>
      <w:r w:rsidR="00AF005E">
        <w:rPr>
          <w:lang w:val="en-US"/>
        </w:rPr>
        <w:t>The Committee</w:t>
      </w:r>
      <w:r w:rsidR="00666311">
        <w:rPr>
          <w:lang w:val="en-US"/>
        </w:rPr>
        <w:t xml:space="preserve"> takes note of </w:t>
      </w:r>
      <w:r w:rsidR="008A4980">
        <w:rPr>
          <w:lang w:val="en-US"/>
        </w:rPr>
        <w:t>the State</w:t>
      </w:r>
      <w:r w:rsidR="00AF005E">
        <w:rPr>
          <w:lang w:val="en-US"/>
        </w:rPr>
        <w:t xml:space="preserve"> party</w:t>
      </w:r>
      <w:r w:rsidR="00666311">
        <w:rPr>
          <w:lang w:val="en-US"/>
        </w:rPr>
        <w:t xml:space="preserve">’s argument </w:t>
      </w:r>
      <w:r w:rsidR="00862DAE">
        <w:rPr>
          <w:lang w:val="en-US"/>
        </w:rPr>
        <w:t xml:space="preserve">that </w:t>
      </w:r>
      <w:r w:rsidR="00AF005E">
        <w:rPr>
          <w:lang w:val="en-US"/>
        </w:rPr>
        <w:t xml:space="preserve">the </w:t>
      </w:r>
      <w:r w:rsidR="00AF005E">
        <w:rPr>
          <w:i/>
          <w:lang w:val="en-US"/>
        </w:rPr>
        <w:t xml:space="preserve">citation directe </w:t>
      </w:r>
      <w:r w:rsidR="00AF005E">
        <w:rPr>
          <w:lang w:val="en-US"/>
        </w:rPr>
        <w:t xml:space="preserve">or </w:t>
      </w:r>
      <w:r w:rsidR="00AF005E">
        <w:rPr>
          <w:i/>
          <w:lang w:val="en-US"/>
        </w:rPr>
        <w:t xml:space="preserve">plainte avec constitution de partie civile </w:t>
      </w:r>
      <w:r w:rsidR="00666311">
        <w:rPr>
          <w:lang w:val="en-US"/>
        </w:rPr>
        <w:t>were remedies which the author should have exhausted. The Committee notes</w:t>
      </w:r>
      <w:r w:rsidR="004D0D25">
        <w:rPr>
          <w:lang w:val="en-US"/>
        </w:rPr>
        <w:t>, however,</w:t>
      </w:r>
      <w:r w:rsidR="00666311">
        <w:rPr>
          <w:lang w:val="en-US"/>
        </w:rPr>
        <w:t xml:space="preserve"> the author’s argument, according to which</w:t>
      </w:r>
      <w:r w:rsidR="0004590B">
        <w:rPr>
          <w:lang w:val="en-US"/>
        </w:rPr>
        <w:t xml:space="preserve"> under </w:t>
      </w:r>
      <w:r w:rsidR="00862DAE">
        <w:rPr>
          <w:lang w:val="en-US"/>
        </w:rPr>
        <w:t>such</w:t>
      </w:r>
      <w:r w:rsidR="0004590B">
        <w:rPr>
          <w:lang w:val="en-US"/>
        </w:rPr>
        <w:t xml:space="preserve"> procedures, any complaint is transmitted to the </w:t>
      </w:r>
      <w:r w:rsidR="002145DF">
        <w:rPr>
          <w:lang w:val="en-US"/>
        </w:rPr>
        <w:t>State Prosecutor</w:t>
      </w:r>
      <w:r w:rsidR="0004590B">
        <w:rPr>
          <w:lang w:val="en-US"/>
        </w:rPr>
        <w:t xml:space="preserve">, who </w:t>
      </w:r>
      <w:r w:rsidR="004664D7">
        <w:rPr>
          <w:lang w:val="en-US"/>
        </w:rPr>
        <w:t>may</w:t>
      </w:r>
      <w:r w:rsidR="004664D7">
        <w:rPr>
          <w:i/>
          <w:lang w:val="en-US"/>
        </w:rPr>
        <w:t xml:space="preserve"> </w:t>
      </w:r>
      <w:r w:rsidR="004664D7">
        <w:rPr>
          <w:lang w:val="en-US"/>
        </w:rPr>
        <w:t>either</w:t>
      </w:r>
      <w:r w:rsidR="0004590B">
        <w:rPr>
          <w:lang w:val="en-US"/>
        </w:rPr>
        <w:t xml:space="preserve"> declare the complaint inadmissible or, in the alternative, order the </w:t>
      </w:r>
      <w:r w:rsidR="00E172F3">
        <w:rPr>
          <w:lang w:val="en-US"/>
        </w:rPr>
        <w:t xml:space="preserve">initiation </w:t>
      </w:r>
      <w:r w:rsidR="0004590B">
        <w:rPr>
          <w:lang w:val="en-US"/>
        </w:rPr>
        <w:t>of an investigation</w:t>
      </w:r>
      <w:r w:rsidR="00862DAE">
        <w:rPr>
          <w:lang w:val="en-US"/>
        </w:rPr>
        <w:t xml:space="preserve"> (</w:t>
      </w:r>
      <w:r w:rsidR="00862DAE" w:rsidRPr="00E172F3">
        <w:rPr>
          <w:lang w:val="en-US"/>
        </w:rPr>
        <w:t>par</w:t>
      </w:r>
      <w:r w:rsidR="004D0D25" w:rsidRPr="00E172F3">
        <w:rPr>
          <w:lang w:val="en-US"/>
        </w:rPr>
        <w:t>a</w:t>
      </w:r>
      <w:r w:rsidR="00862DAE" w:rsidRPr="00E172F3">
        <w:rPr>
          <w:lang w:val="en-US"/>
        </w:rPr>
        <w:t>.</w:t>
      </w:r>
      <w:r w:rsidR="00372858" w:rsidRPr="00E172F3">
        <w:rPr>
          <w:lang w:val="en-US"/>
        </w:rPr>
        <w:t> </w:t>
      </w:r>
      <w:r w:rsidR="00862DAE" w:rsidRPr="00E172F3">
        <w:rPr>
          <w:lang w:val="en-US"/>
        </w:rPr>
        <w:t>5.4</w:t>
      </w:r>
      <w:r w:rsidR="00862DAE">
        <w:rPr>
          <w:lang w:val="en-US"/>
        </w:rPr>
        <w:t>)</w:t>
      </w:r>
      <w:r w:rsidR="0004590B">
        <w:rPr>
          <w:lang w:val="en-US"/>
        </w:rPr>
        <w:t xml:space="preserve">. In the present case, the Committee recalls that </w:t>
      </w:r>
      <w:r w:rsidR="008C65CA">
        <w:rPr>
          <w:lang w:val="en-US"/>
        </w:rPr>
        <w:t xml:space="preserve">the author </w:t>
      </w:r>
      <w:r w:rsidR="005250EA">
        <w:rPr>
          <w:lang w:val="en-US"/>
        </w:rPr>
        <w:t xml:space="preserve">has </w:t>
      </w:r>
      <w:r w:rsidR="0004590B">
        <w:rPr>
          <w:lang w:val="en-US"/>
        </w:rPr>
        <w:t xml:space="preserve">already filed </w:t>
      </w:r>
      <w:r w:rsidR="004324B3">
        <w:rPr>
          <w:lang w:val="en-US"/>
        </w:rPr>
        <w:t xml:space="preserve">two </w:t>
      </w:r>
      <w:r w:rsidR="0004590B">
        <w:rPr>
          <w:lang w:val="en-US"/>
        </w:rPr>
        <w:t xml:space="preserve">complaints </w:t>
      </w:r>
      <w:r w:rsidR="005250EA">
        <w:rPr>
          <w:lang w:val="en-US"/>
        </w:rPr>
        <w:t xml:space="preserve">with the </w:t>
      </w:r>
      <w:r w:rsidR="002145DF">
        <w:rPr>
          <w:lang w:val="en-US"/>
        </w:rPr>
        <w:t>Prosecutor-</w:t>
      </w:r>
      <w:r w:rsidR="005F1CB2">
        <w:rPr>
          <w:lang w:val="en-US"/>
        </w:rPr>
        <w:t xml:space="preserve">General of the </w:t>
      </w:r>
      <w:r w:rsidR="005F1CB2" w:rsidRPr="0097386F">
        <w:rPr>
          <w:lang w:val="en-US"/>
        </w:rPr>
        <w:t>South</w:t>
      </w:r>
      <w:r w:rsidR="003318FD">
        <w:rPr>
          <w:lang w:val="en-US"/>
        </w:rPr>
        <w:t>-</w:t>
      </w:r>
      <w:r w:rsidR="005F1CB2" w:rsidRPr="0097386F">
        <w:rPr>
          <w:lang w:val="en-US"/>
        </w:rPr>
        <w:t>West</w:t>
      </w:r>
      <w:r w:rsidR="003318FD">
        <w:rPr>
          <w:lang w:val="en-US"/>
        </w:rPr>
        <w:t>ern</w:t>
      </w:r>
      <w:r w:rsidR="005F1CB2" w:rsidRPr="0097386F">
        <w:rPr>
          <w:lang w:val="en-US"/>
        </w:rPr>
        <w:t xml:space="preserve"> </w:t>
      </w:r>
      <w:r w:rsidR="004324B3" w:rsidRPr="0097386F">
        <w:rPr>
          <w:lang w:val="en-US"/>
        </w:rPr>
        <w:t>Province</w:t>
      </w:r>
      <w:r w:rsidR="004324B3">
        <w:rPr>
          <w:lang w:val="en-US"/>
        </w:rPr>
        <w:t xml:space="preserve"> and one complaint with the </w:t>
      </w:r>
      <w:r w:rsidR="002145DF">
        <w:rPr>
          <w:lang w:val="en-US"/>
        </w:rPr>
        <w:t>State Prosecutor in</w:t>
      </w:r>
      <w:r w:rsidR="005F1CB2">
        <w:rPr>
          <w:lang w:val="en-US"/>
        </w:rPr>
        <w:t xml:space="preserve"> Limbe</w:t>
      </w:r>
      <w:r w:rsidR="00657B73">
        <w:rPr>
          <w:lang w:val="en-US"/>
        </w:rPr>
        <w:t>,</w:t>
      </w:r>
      <w:r w:rsidR="005F1CB2">
        <w:rPr>
          <w:lang w:val="en-US"/>
        </w:rPr>
        <w:t xml:space="preserve"> </w:t>
      </w:r>
      <w:r w:rsidR="0004590B">
        <w:rPr>
          <w:lang w:val="en-US"/>
        </w:rPr>
        <w:t xml:space="preserve">on 17 September and 3 October 2002, </w:t>
      </w:r>
      <w:r w:rsidR="004324B3">
        <w:rPr>
          <w:lang w:val="en-US"/>
        </w:rPr>
        <w:t xml:space="preserve">all of </w:t>
      </w:r>
      <w:r w:rsidR="0004590B">
        <w:rPr>
          <w:lang w:val="en-US"/>
        </w:rPr>
        <w:t>which remained unanswered</w:t>
      </w:r>
      <w:r w:rsidR="00AF005E">
        <w:rPr>
          <w:lang w:val="en-US"/>
        </w:rPr>
        <w:t xml:space="preserve">. </w:t>
      </w:r>
      <w:r w:rsidR="00AF005E" w:rsidRPr="00D17394">
        <w:t xml:space="preserve">In the light of </w:t>
      </w:r>
      <w:r w:rsidR="00862DAE">
        <w:t>the above</w:t>
      </w:r>
      <w:r w:rsidR="00AF005E" w:rsidRPr="00D17394">
        <w:t xml:space="preserve">, the Committee concludes that </w:t>
      </w:r>
      <w:r w:rsidR="004664D7">
        <w:t xml:space="preserve">the remedies referred to by the State party would not have been effective, and that </w:t>
      </w:r>
      <w:r w:rsidR="00837A23">
        <w:t xml:space="preserve">it is not precluded, under </w:t>
      </w:r>
      <w:r w:rsidR="00B4242B">
        <w:t>article </w:t>
      </w:r>
      <w:r w:rsidR="00AF005E" w:rsidRPr="00D17394">
        <w:t xml:space="preserve">5, </w:t>
      </w:r>
      <w:r w:rsidR="00372858">
        <w:t>paragraph </w:t>
      </w:r>
      <w:r w:rsidR="00AF005E" w:rsidRPr="00D17394">
        <w:t>2 (b), of the Optional Protocol</w:t>
      </w:r>
      <w:r w:rsidR="00837A23">
        <w:t>, to consider the author’s complaint with respect to the incident of 29 August 2002.</w:t>
      </w:r>
      <w:r w:rsidR="004664D7">
        <w:t xml:space="preserve"> </w:t>
      </w:r>
    </w:p>
    <w:p w:rsidR="00862DAE" w:rsidRPr="005B025D" w:rsidRDefault="00705BF1" w:rsidP="00862DAE">
      <w:pPr>
        <w:pStyle w:val="SingleTxtG"/>
        <w:rPr>
          <w:lang w:val="en-US"/>
        </w:rPr>
      </w:pPr>
      <w:r w:rsidRPr="00705BF1">
        <w:t>11</w:t>
      </w:r>
      <w:r w:rsidR="00B23ECE" w:rsidRPr="00B23ECE">
        <w:t>.5</w:t>
      </w:r>
      <w:r w:rsidR="00B23ECE" w:rsidRPr="00B23ECE">
        <w:tab/>
      </w:r>
      <w:r w:rsidR="00837A23">
        <w:t>The Committee observes, however, that with respect to the incident of 25 October 2002, the author has not brought any complaint before the domestic authorities concerning his assault by</w:t>
      </w:r>
      <w:r w:rsidR="00A62D8D">
        <w:t xml:space="preserve"> the</w:t>
      </w:r>
      <w:r w:rsidR="00837A23">
        <w:t xml:space="preserve"> </w:t>
      </w:r>
      <w:r w:rsidR="00862DAE">
        <w:rPr>
          <w:lang w:val="en-US"/>
        </w:rPr>
        <w:t>head of the Limbe Urban Council Municipal police a</w:t>
      </w:r>
      <w:r w:rsidR="00372858">
        <w:rPr>
          <w:lang w:val="en-US"/>
        </w:rPr>
        <w:t>nd five other individuals (par. </w:t>
      </w:r>
      <w:r w:rsidR="00862DAE">
        <w:rPr>
          <w:lang w:val="en-US"/>
        </w:rPr>
        <w:t>2.4),</w:t>
      </w:r>
      <w:r w:rsidR="00D656AA">
        <w:rPr>
          <w:lang w:val="en-US"/>
        </w:rPr>
        <w:t xml:space="preserve"> as well as</w:t>
      </w:r>
      <w:r w:rsidR="000453FF">
        <w:rPr>
          <w:lang w:val="en-US"/>
        </w:rPr>
        <w:t xml:space="preserve"> </w:t>
      </w:r>
      <w:r w:rsidR="00D656AA">
        <w:rPr>
          <w:lang w:val="en-US"/>
        </w:rPr>
        <w:t xml:space="preserve">his </w:t>
      </w:r>
      <w:r w:rsidR="000453FF">
        <w:rPr>
          <w:lang w:val="en-US"/>
        </w:rPr>
        <w:t xml:space="preserve">subsequent arrest. In the absence of any reason adduced by the author as to the reasons why he failed to bring such complaint, the Committee declares this part of the communication inadmissible under </w:t>
      </w:r>
      <w:r w:rsidR="00B4242B">
        <w:t>article </w:t>
      </w:r>
      <w:r w:rsidR="00372858">
        <w:t>5, paragraph </w:t>
      </w:r>
      <w:r w:rsidR="000453FF" w:rsidRPr="00D17394">
        <w:t>2 (b), of the Optional Protocol</w:t>
      </w:r>
      <w:r w:rsidR="000453FF">
        <w:t>.</w:t>
      </w:r>
    </w:p>
    <w:p w:rsidR="005C5233" w:rsidRPr="00BB3C7F" w:rsidRDefault="00837A23" w:rsidP="009917E1">
      <w:pPr>
        <w:pStyle w:val="SingleTxtG"/>
      </w:pPr>
      <w:r>
        <w:t>11.6</w:t>
      </w:r>
      <w:r>
        <w:tab/>
      </w:r>
      <w:r w:rsidR="00D06BD5">
        <w:t>As to the author’</w:t>
      </w:r>
      <w:r w:rsidR="00D06BD5" w:rsidRPr="00D06BD5">
        <w:t>s</w:t>
      </w:r>
      <w:r w:rsidR="00D06BD5">
        <w:t xml:space="preserve"> claims under </w:t>
      </w:r>
      <w:r w:rsidR="00B4242B">
        <w:t>article </w:t>
      </w:r>
      <w:r w:rsidR="00372858">
        <w:t>2, paragraph </w:t>
      </w:r>
      <w:r w:rsidR="00D06BD5">
        <w:t xml:space="preserve">1, read in conjunction with </w:t>
      </w:r>
      <w:r w:rsidR="00B4242B">
        <w:t>articles </w:t>
      </w:r>
      <w:r w:rsidR="000F29B1">
        <w:t xml:space="preserve">6, </w:t>
      </w:r>
      <w:r w:rsidR="00D06BD5">
        <w:t>7</w:t>
      </w:r>
      <w:r w:rsidR="00D06BD5" w:rsidRPr="00D06BD5">
        <w:t xml:space="preserve"> and</w:t>
      </w:r>
      <w:r w:rsidR="00D06BD5">
        <w:t xml:space="preserve"> 9, and under </w:t>
      </w:r>
      <w:r w:rsidR="00B4242B">
        <w:t>article </w:t>
      </w:r>
      <w:r w:rsidR="00D06BD5">
        <w:t xml:space="preserve">26 of the Covenant, </w:t>
      </w:r>
      <w:r w:rsidR="005C5233">
        <w:t xml:space="preserve">relying on </w:t>
      </w:r>
      <w:r w:rsidR="005C5233" w:rsidRPr="00CD33A7">
        <w:rPr>
          <w:lang w:val="en-US"/>
        </w:rPr>
        <w:t>the absence of any prosecution and adjudication of the author’s complaints</w:t>
      </w:r>
      <w:r w:rsidR="005C5233">
        <w:rPr>
          <w:lang w:val="en-US"/>
        </w:rPr>
        <w:t xml:space="preserve">, </w:t>
      </w:r>
      <w:r w:rsidR="00D06BD5">
        <w:t>the Committee finds</w:t>
      </w:r>
      <w:r w:rsidR="00D06BD5" w:rsidRPr="00CD2BA0">
        <w:t xml:space="preserve"> that </w:t>
      </w:r>
      <w:r w:rsidR="00D06BD5" w:rsidRPr="00D06BD5">
        <w:t xml:space="preserve">the </w:t>
      </w:r>
      <w:r w:rsidR="00D06BD5">
        <w:t xml:space="preserve">latter </w:t>
      </w:r>
      <w:r w:rsidR="00D06BD5" w:rsidRPr="00D06BD5">
        <w:t xml:space="preserve">has </w:t>
      </w:r>
      <w:r w:rsidR="00D06BD5">
        <w:t>not</w:t>
      </w:r>
      <w:r w:rsidR="00D06BD5" w:rsidRPr="00D06BD5">
        <w:t xml:space="preserve"> show</w:t>
      </w:r>
      <w:r w:rsidR="00D06BD5">
        <w:t>n</w:t>
      </w:r>
      <w:r w:rsidR="00D06BD5" w:rsidRPr="00CD2BA0">
        <w:t xml:space="preserve"> a difference of treatment with other individuals under the State party’s jurisdiction, which would be based on </w:t>
      </w:r>
      <w:r w:rsidR="00C81B79">
        <w:t>social origin, property, birth or other status</w:t>
      </w:r>
      <w:r w:rsidR="00D06BD5" w:rsidRPr="00CD2BA0">
        <w:t>. The Committee therefore concludes that the author</w:t>
      </w:r>
      <w:r w:rsidR="00D06BD5">
        <w:t xml:space="preserve"> ha</w:t>
      </w:r>
      <w:r w:rsidR="00D06BD5" w:rsidRPr="00D06BD5">
        <w:t>s</w:t>
      </w:r>
      <w:r w:rsidR="00D06BD5" w:rsidRPr="00CD2BA0">
        <w:t xml:space="preserve"> failed to substantiate this allegation, and consequently declares this part of the communication inadmissible under </w:t>
      </w:r>
      <w:r w:rsidR="00B4242B">
        <w:t>article </w:t>
      </w:r>
      <w:r w:rsidR="00BB3C7F">
        <w:t>2 of the Optional Protocol.</w:t>
      </w:r>
    </w:p>
    <w:p w:rsidR="004664D7" w:rsidRDefault="00705BF1" w:rsidP="00920708">
      <w:pPr>
        <w:pStyle w:val="SingleTxtG"/>
      </w:pPr>
      <w:r>
        <w:t>11</w:t>
      </w:r>
      <w:r w:rsidR="00B23ECE">
        <w:t>.</w:t>
      </w:r>
      <w:r w:rsidR="00862DAE">
        <w:t>7</w:t>
      </w:r>
      <w:r w:rsidR="00B23ECE" w:rsidRPr="00B23ECE">
        <w:tab/>
      </w:r>
      <w:r w:rsidR="004664D7">
        <w:t xml:space="preserve">The Committee </w:t>
      </w:r>
      <w:r w:rsidR="000D4285">
        <w:t xml:space="preserve">considers that the author has failed to </w:t>
      </w:r>
      <w:r w:rsidR="004664D7">
        <w:t>suffic</w:t>
      </w:r>
      <w:r w:rsidR="000D4285">
        <w:t xml:space="preserve">iently substantiate his </w:t>
      </w:r>
      <w:r w:rsidR="004664D7">
        <w:t>claim</w:t>
      </w:r>
      <w:r w:rsidR="000D4285">
        <w:t xml:space="preserve"> under </w:t>
      </w:r>
      <w:r w:rsidR="00B4242B">
        <w:t>article </w:t>
      </w:r>
      <w:r w:rsidR="000D4285">
        <w:t>6 of the Covenant</w:t>
      </w:r>
      <w:r w:rsidR="004664D7">
        <w:t>, for purposes of admissibility.</w:t>
      </w:r>
      <w:r w:rsidR="00920708">
        <w:t xml:space="preserve"> </w:t>
      </w:r>
    </w:p>
    <w:p w:rsidR="00B23ECE" w:rsidRPr="00D17394" w:rsidRDefault="002C5919" w:rsidP="0097386F">
      <w:pPr>
        <w:pStyle w:val="SingleTxtG"/>
      </w:pPr>
      <w:r>
        <w:t>11.8</w:t>
      </w:r>
      <w:r>
        <w:tab/>
      </w:r>
      <w:r w:rsidR="00B23ECE" w:rsidRPr="00D17394">
        <w:t>The Committee considers that the author ha</w:t>
      </w:r>
      <w:r w:rsidR="00B23ECE">
        <w:t xml:space="preserve">s sufficiently substantiated </w:t>
      </w:r>
      <w:r w:rsidR="00BB3C7F" w:rsidRPr="00BB3C7F">
        <w:t xml:space="preserve">the remainder of </w:t>
      </w:r>
      <w:r w:rsidR="00B23ECE">
        <w:t>h</w:t>
      </w:r>
      <w:r w:rsidR="00B23ECE" w:rsidRPr="00B23ECE">
        <w:t>is</w:t>
      </w:r>
      <w:r w:rsidR="00B23ECE" w:rsidRPr="00D17394">
        <w:t xml:space="preserve"> claims</w:t>
      </w:r>
      <w:r w:rsidR="00BB3C7F" w:rsidRPr="00BB3C7F">
        <w:t>,</w:t>
      </w:r>
      <w:r w:rsidR="00B23ECE" w:rsidRPr="00D17394">
        <w:t xml:space="preserve"> insofar as they raise issues under </w:t>
      </w:r>
      <w:r w:rsidR="00B4242B">
        <w:t>articles </w:t>
      </w:r>
      <w:r w:rsidR="00B23ECE" w:rsidRPr="00D17394">
        <w:t xml:space="preserve">7, 9, and </w:t>
      </w:r>
      <w:r w:rsidR="00372858">
        <w:t>2, paragraph </w:t>
      </w:r>
      <w:r w:rsidR="00B23ECE" w:rsidRPr="00D17394">
        <w:t>3, of the Covenant and therefore proceeds to consider the communication on the merits</w:t>
      </w:r>
      <w:r w:rsidR="00BB3C7F" w:rsidRPr="00BB3C7F">
        <w:t xml:space="preserve"> on these counts</w:t>
      </w:r>
      <w:r w:rsidR="00B23ECE" w:rsidRPr="00D17394">
        <w:t>.</w:t>
      </w:r>
    </w:p>
    <w:p w:rsidR="0036403F" w:rsidRPr="008862E3" w:rsidRDefault="00B23ECE" w:rsidP="008862E3">
      <w:pPr>
        <w:pStyle w:val="H4G"/>
      </w:pPr>
      <w:r>
        <w:lastRenderedPageBreak/>
        <w:tab/>
      </w:r>
      <w:r>
        <w:tab/>
      </w:r>
      <w:r w:rsidR="008862E3">
        <w:t>Consideration of the merits</w:t>
      </w:r>
    </w:p>
    <w:p w:rsidR="007B61DB" w:rsidRPr="00060BAC" w:rsidRDefault="00705BF1" w:rsidP="00060BAC">
      <w:pPr>
        <w:pStyle w:val="SingleTxtG"/>
      </w:pPr>
      <w:r>
        <w:rPr>
          <w:iCs/>
        </w:rPr>
        <w:t>12</w:t>
      </w:r>
      <w:r w:rsidR="0036403F" w:rsidRPr="0036403F">
        <w:rPr>
          <w:iCs/>
        </w:rPr>
        <w:t>.1</w:t>
      </w:r>
      <w:r w:rsidR="0036403F" w:rsidRPr="0036403F">
        <w:rPr>
          <w:iCs/>
        </w:rPr>
        <w:tab/>
      </w:r>
      <w:r w:rsidR="0036403F" w:rsidRPr="0036403F">
        <w:t xml:space="preserve">The Human Rights Committee has considered the communication in </w:t>
      </w:r>
      <w:r w:rsidR="00EE28D6">
        <w:t xml:space="preserve">the </w:t>
      </w:r>
      <w:r w:rsidR="0036403F" w:rsidRPr="0036403F">
        <w:t xml:space="preserve">light of all the information made available to it by the parties, as provided for under </w:t>
      </w:r>
      <w:r w:rsidR="00B4242B">
        <w:t>article </w:t>
      </w:r>
      <w:r w:rsidR="0036403F" w:rsidRPr="0036403F">
        <w:t>5</w:t>
      </w:r>
      <w:r w:rsidR="00A17A95">
        <w:t>, paragraph </w:t>
      </w:r>
      <w:r w:rsidR="0036403F" w:rsidRPr="0036403F">
        <w:t>1, of the Optional Protocol.</w:t>
      </w:r>
      <w:r w:rsidR="008400C1">
        <w:t xml:space="preserve"> </w:t>
      </w:r>
    </w:p>
    <w:p w:rsidR="00867158" w:rsidRDefault="00705BF1" w:rsidP="0097386F">
      <w:pPr>
        <w:pStyle w:val="SingleTxtG"/>
        <w:rPr>
          <w:lang w:val="en-US"/>
        </w:rPr>
      </w:pPr>
      <w:r w:rsidRPr="00705BF1">
        <w:t>12</w:t>
      </w:r>
      <w:r w:rsidR="0036403F" w:rsidRPr="0036403F">
        <w:t>.</w:t>
      </w:r>
      <w:r w:rsidR="00060BAC" w:rsidRPr="00060BAC">
        <w:t>2</w:t>
      </w:r>
      <w:r w:rsidR="00060BAC">
        <w:tab/>
        <w:t>The Committee t</w:t>
      </w:r>
      <w:r w:rsidR="00060BAC" w:rsidRPr="00060BAC">
        <w:t>ook</w:t>
      </w:r>
      <w:r w:rsidR="0036403F" w:rsidRPr="0036403F">
        <w:t xml:space="preserve"> note of the </w:t>
      </w:r>
      <w:r w:rsidR="00060BAC">
        <w:rPr>
          <w:lang w:val="en-US"/>
        </w:rPr>
        <w:t>authors’ claim</w:t>
      </w:r>
      <w:r w:rsidR="00853B70">
        <w:rPr>
          <w:lang w:val="en-US"/>
        </w:rPr>
        <w:t xml:space="preserve"> </w:t>
      </w:r>
      <w:r w:rsidR="002B5002">
        <w:t>that</w:t>
      </w:r>
      <w:r w:rsidR="00EC2C39">
        <w:t>,</w:t>
      </w:r>
      <w:r w:rsidR="002B5002">
        <w:t xml:space="preserve"> o</w:t>
      </w:r>
      <w:r w:rsidR="002B5002" w:rsidRPr="00CD33A7">
        <w:t xml:space="preserve">n 29 August 2002, </w:t>
      </w:r>
      <w:r w:rsidR="00D0791C">
        <w:t>he</w:t>
      </w:r>
      <w:r w:rsidR="002B5002" w:rsidRPr="00CD33A7">
        <w:t xml:space="preserve"> had an appointment with the</w:t>
      </w:r>
      <w:r w:rsidR="002B5002">
        <w:t xml:space="preserve"> Government delegate heading the Limbe Urban Council</w:t>
      </w:r>
      <w:r w:rsidR="002B5002" w:rsidRPr="00CD33A7">
        <w:t>,</w:t>
      </w:r>
      <w:r w:rsidR="002B5002">
        <w:t xml:space="preserve"> who</w:t>
      </w:r>
      <w:r w:rsidR="00D0791C">
        <w:t xml:space="preserve">, along with </w:t>
      </w:r>
      <w:r w:rsidR="00D0791C">
        <w:rPr>
          <w:lang w:val="en-US"/>
        </w:rPr>
        <w:t>th</w:t>
      </w:r>
      <w:r w:rsidR="00D0791C" w:rsidRPr="00CD33A7">
        <w:rPr>
          <w:lang w:val="en-US"/>
        </w:rPr>
        <w:t xml:space="preserve">ree </w:t>
      </w:r>
      <w:r w:rsidR="00D0791C">
        <w:rPr>
          <w:lang w:val="en-US"/>
        </w:rPr>
        <w:t>additional municipality officers,</w:t>
      </w:r>
      <w:r w:rsidR="002B5002">
        <w:t xml:space="preserve"> </w:t>
      </w:r>
      <w:r w:rsidR="00D0791C">
        <w:t>administered</w:t>
      </w:r>
      <w:r w:rsidR="002B5002">
        <w:rPr>
          <w:lang w:val="en-US"/>
        </w:rPr>
        <w:t xml:space="preserve"> </w:t>
      </w:r>
      <w:r w:rsidR="002B5002" w:rsidRPr="00CD33A7">
        <w:rPr>
          <w:lang w:val="en-US"/>
        </w:rPr>
        <w:t>severe blows to</w:t>
      </w:r>
      <w:r w:rsidR="00D0791C">
        <w:rPr>
          <w:lang w:val="en-US"/>
        </w:rPr>
        <w:t xml:space="preserve"> </w:t>
      </w:r>
      <w:r w:rsidR="00D33BB0">
        <w:rPr>
          <w:lang w:val="en-US"/>
        </w:rPr>
        <w:t>his</w:t>
      </w:r>
      <w:r w:rsidR="002B5002" w:rsidRPr="00CD33A7">
        <w:rPr>
          <w:lang w:val="en-US"/>
        </w:rPr>
        <w:t xml:space="preserve"> eyes and face, </w:t>
      </w:r>
      <w:r w:rsidR="002B5002">
        <w:rPr>
          <w:lang w:val="en-US"/>
        </w:rPr>
        <w:t>causing</w:t>
      </w:r>
      <w:r w:rsidR="002B5002" w:rsidRPr="00CD33A7">
        <w:rPr>
          <w:lang w:val="en-US"/>
        </w:rPr>
        <w:t xml:space="preserve"> severe bleeding</w:t>
      </w:r>
      <w:r w:rsidR="002B5002">
        <w:rPr>
          <w:lang w:val="en-US"/>
        </w:rPr>
        <w:t xml:space="preserve"> and permanent damage to his </w:t>
      </w:r>
      <w:r w:rsidR="00D0791C">
        <w:rPr>
          <w:lang w:val="en-US"/>
        </w:rPr>
        <w:t>left eye</w:t>
      </w:r>
      <w:r w:rsidR="002B5002" w:rsidRPr="00CD33A7">
        <w:rPr>
          <w:lang w:val="en-US"/>
        </w:rPr>
        <w:t xml:space="preserve">. </w:t>
      </w:r>
      <w:r w:rsidR="002B5002">
        <w:rPr>
          <w:lang w:val="en-US"/>
        </w:rPr>
        <w:t>The author has further alleged that</w:t>
      </w:r>
      <w:r w:rsidR="00EC2C39">
        <w:rPr>
          <w:lang w:val="en-US"/>
        </w:rPr>
        <w:t>,</w:t>
      </w:r>
      <w:r w:rsidR="002B5002">
        <w:rPr>
          <w:lang w:val="en-US"/>
        </w:rPr>
        <w:t xml:space="preserve"> d</w:t>
      </w:r>
      <w:r w:rsidR="002B5002" w:rsidRPr="00CD33A7">
        <w:rPr>
          <w:lang w:val="en-US"/>
        </w:rPr>
        <w:t xml:space="preserve">uring </w:t>
      </w:r>
      <w:r w:rsidR="002B5002">
        <w:rPr>
          <w:lang w:val="en-US"/>
        </w:rPr>
        <w:t>his</w:t>
      </w:r>
      <w:r w:rsidR="002B5002" w:rsidRPr="00CD33A7">
        <w:rPr>
          <w:lang w:val="en-US"/>
        </w:rPr>
        <w:t xml:space="preserve"> stay at the </w:t>
      </w:r>
      <w:r w:rsidR="002B5002" w:rsidRPr="009917E1">
        <w:t>hospital</w:t>
      </w:r>
      <w:r w:rsidR="002B5002" w:rsidRPr="00CD33A7">
        <w:rPr>
          <w:lang w:val="en-US"/>
        </w:rPr>
        <w:t>, he received</w:t>
      </w:r>
      <w:r w:rsidR="002B5002">
        <w:rPr>
          <w:lang w:val="en-US"/>
        </w:rPr>
        <w:t xml:space="preserve"> death threats from the Government </w:t>
      </w:r>
      <w:r w:rsidR="00867158">
        <w:rPr>
          <w:lang w:val="en-US"/>
        </w:rPr>
        <w:t xml:space="preserve">delegate and </w:t>
      </w:r>
      <w:r w:rsidR="002B5002">
        <w:rPr>
          <w:lang w:val="en-US"/>
        </w:rPr>
        <w:t>that</w:t>
      </w:r>
      <w:r w:rsidR="00EC2C39">
        <w:rPr>
          <w:lang w:val="en-US"/>
        </w:rPr>
        <w:t>,</w:t>
      </w:r>
      <w:r w:rsidR="002B5002">
        <w:rPr>
          <w:lang w:val="en-US"/>
        </w:rPr>
        <w:t xml:space="preserve"> o</w:t>
      </w:r>
      <w:r w:rsidR="002B5002" w:rsidRPr="00CD33A7">
        <w:rPr>
          <w:lang w:val="en-US"/>
        </w:rPr>
        <w:t xml:space="preserve">n 25 October 2002, a </w:t>
      </w:r>
      <w:r w:rsidR="002B5002">
        <w:rPr>
          <w:lang w:val="en-US"/>
        </w:rPr>
        <w:t xml:space="preserve">municipal </w:t>
      </w:r>
      <w:r w:rsidR="002B5002" w:rsidRPr="00CD33A7">
        <w:rPr>
          <w:lang w:val="en-US"/>
        </w:rPr>
        <w:t xml:space="preserve">police and </w:t>
      </w:r>
      <w:r w:rsidR="002B5002">
        <w:rPr>
          <w:lang w:val="en-US"/>
        </w:rPr>
        <w:t xml:space="preserve">a </w:t>
      </w:r>
      <w:r w:rsidR="002B5002" w:rsidRPr="00CD33A7">
        <w:rPr>
          <w:lang w:val="en-US"/>
        </w:rPr>
        <w:t xml:space="preserve">gendarmerie officer </w:t>
      </w:r>
      <w:r w:rsidR="00D33BB0">
        <w:rPr>
          <w:lang w:val="en-US"/>
        </w:rPr>
        <w:t xml:space="preserve">assaulted, arrested and </w:t>
      </w:r>
      <w:r w:rsidR="002B5002" w:rsidRPr="00CD33A7">
        <w:rPr>
          <w:lang w:val="en-US"/>
        </w:rPr>
        <w:t xml:space="preserve">detained </w:t>
      </w:r>
      <w:r w:rsidR="002B5002">
        <w:rPr>
          <w:lang w:val="en-US"/>
        </w:rPr>
        <w:t>him</w:t>
      </w:r>
      <w:r w:rsidR="002B5002" w:rsidRPr="00CD33A7">
        <w:rPr>
          <w:lang w:val="en-US"/>
        </w:rPr>
        <w:t xml:space="preserve"> </w:t>
      </w:r>
      <w:r w:rsidR="003318FD">
        <w:rPr>
          <w:lang w:val="en-US"/>
        </w:rPr>
        <w:t xml:space="preserve">on </w:t>
      </w:r>
      <w:r w:rsidR="002B5002">
        <w:rPr>
          <w:lang w:val="en-US"/>
        </w:rPr>
        <w:t>the</w:t>
      </w:r>
      <w:r w:rsidR="002B5002" w:rsidRPr="00CD33A7">
        <w:rPr>
          <w:lang w:val="en-US"/>
        </w:rPr>
        <w:t xml:space="preserve"> </w:t>
      </w:r>
      <w:r w:rsidR="004D1E06">
        <w:rPr>
          <w:lang w:val="en-US"/>
        </w:rPr>
        <w:t xml:space="preserve">Limbe </w:t>
      </w:r>
      <w:r w:rsidR="003318FD" w:rsidRPr="00CD33A7">
        <w:rPr>
          <w:lang w:val="en-US"/>
        </w:rPr>
        <w:t xml:space="preserve">Hospital </w:t>
      </w:r>
      <w:r w:rsidR="002B5002" w:rsidRPr="00CD33A7">
        <w:rPr>
          <w:lang w:val="en-US"/>
        </w:rPr>
        <w:t xml:space="preserve">premises. </w:t>
      </w:r>
    </w:p>
    <w:p w:rsidR="009917E1" w:rsidRDefault="00705BF1" w:rsidP="0097386F">
      <w:pPr>
        <w:pStyle w:val="SingleTxtG"/>
      </w:pPr>
      <w:r>
        <w:rPr>
          <w:lang w:val="en-US"/>
        </w:rPr>
        <w:t>12</w:t>
      </w:r>
      <w:r w:rsidR="00526222">
        <w:rPr>
          <w:lang w:val="en-US"/>
        </w:rPr>
        <w:t>.3</w:t>
      </w:r>
      <w:r w:rsidR="00526222">
        <w:rPr>
          <w:lang w:val="en-US"/>
        </w:rPr>
        <w:tab/>
      </w:r>
      <w:r w:rsidR="00DB01F1" w:rsidRPr="00D17394">
        <w:t>The Committee notes that the State party has</w:t>
      </w:r>
      <w:r w:rsidR="004C130C" w:rsidRPr="004C130C">
        <w:t xml:space="preserve"> merely</w:t>
      </w:r>
      <w:r w:rsidR="00DB01F1" w:rsidRPr="00D17394">
        <w:t xml:space="preserve"> </w:t>
      </w:r>
      <w:r w:rsidR="003700C3" w:rsidRPr="003700C3">
        <w:t xml:space="preserve">asserted that the facts are contested, </w:t>
      </w:r>
      <w:r w:rsidR="004C130C">
        <w:t>as while</w:t>
      </w:r>
      <w:r w:rsidR="003700C3" w:rsidRPr="003700C3">
        <w:t xml:space="preserve"> the author has claimed that he was the victim of an assault, the </w:t>
      </w:r>
      <w:r w:rsidR="008934E3">
        <w:t xml:space="preserve">Government delegate </w:t>
      </w:r>
      <w:r w:rsidR="0040591C">
        <w:t xml:space="preserve">has </w:t>
      </w:r>
      <w:r w:rsidR="004C130C">
        <w:t>maintain</w:t>
      </w:r>
      <w:r w:rsidR="0040591C">
        <w:t>ed</w:t>
      </w:r>
      <w:r w:rsidR="008934E3">
        <w:t xml:space="preserve"> that he was the victim of an attempted murder by the author. The Committee </w:t>
      </w:r>
      <w:r w:rsidR="004C130C">
        <w:t>considers</w:t>
      </w:r>
      <w:r w:rsidR="003318FD">
        <w:t>, however,</w:t>
      </w:r>
      <w:r w:rsidR="004C130C">
        <w:t xml:space="preserve"> that the State party has </w:t>
      </w:r>
      <w:r w:rsidR="00DB01F1" w:rsidRPr="00D17394">
        <w:t xml:space="preserve">not </w:t>
      </w:r>
      <w:r w:rsidR="00433842">
        <w:t xml:space="preserve">rebutted </w:t>
      </w:r>
      <w:r w:rsidR="00DB01F1" w:rsidRPr="00D17394">
        <w:t>the author</w:t>
      </w:r>
      <w:r w:rsidR="00DB01F1">
        <w:t>’</w:t>
      </w:r>
      <w:r w:rsidR="00C95388">
        <w:t>s claim</w:t>
      </w:r>
      <w:r w:rsidR="00C95388" w:rsidRPr="00C95388">
        <w:t xml:space="preserve"> that </w:t>
      </w:r>
      <w:r w:rsidR="00C95388">
        <w:t xml:space="preserve">he was severely assaulted by an agent of the State party’s Government, which caused him permanent loss of sight with his left </w:t>
      </w:r>
      <w:r w:rsidR="002C1368">
        <w:t>eye, and</w:t>
      </w:r>
      <w:r w:rsidR="00C95388">
        <w:t xml:space="preserve"> that </w:t>
      </w:r>
      <w:r w:rsidR="002C1368">
        <w:t xml:space="preserve">such </w:t>
      </w:r>
      <w:r w:rsidR="00C95388">
        <w:t xml:space="preserve">acts remained unpunished. The Committee recalls </w:t>
      </w:r>
      <w:r w:rsidR="00DB01F1" w:rsidRPr="00D17394">
        <w:t>its jurisprudence</w:t>
      </w:r>
      <w:r w:rsidR="00AD1876">
        <w:t>,</w:t>
      </w:r>
      <w:r w:rsidR="007279FE" w:rsidRPr="008707B2">
        <w:t xml:space="preserve"> </w:t>
      </w:r>
      <w:r w:rsidR="00415A95">
        <w:t>according to which</w:t>
      </w:r>
      <w:r w:rsidR="00415A95" w:rsidRPr="008707B2">
        <w:t xml:space="preserve"> criminal investigation and consequential prosecution are necessary remedies for violations of human rights such as t</w:t>
      </w:r>
      <w:r w:rsidR="00415A95">
        <w:t xml:space="preserve">hose protected by </w:t>
      </w:r>
      <w:r w:rsidR="00B4242B">
        <w:t>article</w:t>
      </w:r>
      <w:r w:rsidR="003318FD">
        <w:t>s</w:t>
      </w:r>
      <w:r w:rsidR="00B4242B">
        <w:t> </w:t>
      </w:r>
      <w:r w:rsidR="00415A95">
        <w:t>6</w:t>
      </w:r>
      <w:r w:rsidR="00540DE6" w:rsidRPr="00540DE6">
        <w:t xml:space="preserve"> and 7 of the Covenant</w:t>
      </w:r>
      <w:r w:rsidR="00415A95" w:rsidRPr="00415A95">
        <w:t>.</w:t>
      </w:r>
      <w:r w:rsidR="00540DE6">
        <w:rPr>
          <w:rStyle w:val="FootnoteReference"/>
        </w:rPr>
        <w:footnoteReference w:id="12"/>
      </w:r>
      <w:r w:rsidR="00415A95" w:rsidRPr="00415A95">
        <w:t xml:space="preserve"> </w:t>
      </w:r>
      <w:r w:rsidR="00415A95">
        <w:t xml:space="preserve">It further recalls </w:t>
      </w:r>
      <w:r w:rsidR="00092707">
        <w:t xml:space="preserve">its </w:t>
      </w:r>
      <w:r w:rsidR="003318FD">
        <w:t>g</w:t>
      </w:r>
      <w:r w:rsidR="00092707">
        <w:t xml:space="preserve">eneral </w:t>
      </w:r>
      <w:r w:rsidR="003318FD">
        <w:t>c</w:t>
      </w:r>
      <w:r w:rsidR="00092707">
        <w:t>omment No. </w:t>
      </w:r>
      <w:r w:rsidR="007279FE" w:rsidRPr="008707B2">
        <w:t>31</w:t>
      </w:r>
      <w:r w:rsidR="003318FD">
        <w:t xml:space="preserve"> (2004)</w:t>
      </w:r>
      <w:r w:rsidR="007279FE" w:rsidRPr="008707B2">
        <w:t>, which lays down that where investigations reveal violations of certain Covenant rights, States parties must ensure that those responsi</w:t>
      </w:r>
      <w:r w:rsidR="007279FE">
        <w:t>ble are brought to justice.</w:t>
      </w:r>
      <w:r w:rsidR="00114FEE">
        <w:rPr>
          <w:rStyle w:val="FootnoteReference"/>
        </w:rPr>
        <w:footnoteReference w:id="13"/>
      </w:r>
    </w:p>
    <w:p w:rsidR="00CB3CC1" w:rsidRDefault="00705BF1" w:rsidP="0097386F">
      <w:pPr>
        <w:pStyle w:val="SingleTxtG"/>
        <w:rPr>
          <w:lang w:eastAsia="en-GB"/>
        </w:rPr>
      </w:pPr>
      <w:r>
        <w:t>12</w:t>
      </w:r>
      <w:r w:rsidR="00415A95" w:rsidRPr="00415A95">
        <w:t>.4</w:t>
      </w:r>
      <w:r w:rsidR="00415A95" w:rsidRPr="00415A95">
        <w:tab/>
      </w:r>
      <w:r w:rsidR="0003308B" w:rsidRPr="0037788A">
        <w:t xml:space="preserve">In the </w:t>
      </w:r>
      <w:r w:rsidR="0003308B" w:rsidRPr="009917E1">
        <w:t>present</w:t>
      </w:r>
      <w:r w:rsidR="0003308B" w:rsidRPr="0037788A">
        <w:t xml:space="preserve"> case, the State party has failed to investigate effectively the responsibility of those </w:t>
      </w:r>
      <w:r w:rsidR="00952DB5">
        <w:t xml:space="preserve">Government officials </w:t>
      </w:r>
      <w:r w:rsidR="0003308B" w:rsidRPr="0037788A">
        <w:t>suspected of the direct commission of the offences</w:t>
      </w:r>
      <w:r w:rsidR="005F1F87">
        <w:t xml:space="preserve"> on 29 August 2002</w:t>
      </w:r>
      <w:r w:rsidR="0003308B">
        <w:t>,</w:t>
      </w:r>
      <w:r w:rsidR="0003308B" w:rsidRPr="0037788A">
        <w:t xml:space="preserve"> and </w:t>
      </w:r>
      <w:r w:rsidR="00952DB5">
        <w:t xml:space="preserve">has </w:t>
      </w:r>
      <w:r w:rsidR="0003308B" w:rsidRPr="0037788A">
        <w:t>g</w:t>
      </w:r>
      <w:r w:rsidR="00952DB5">
        <w:t>i</w:t>
      </w:r>
      <w:r w:rsidR="0003308B" w:rsidRPr="0037788A">
        <w:t>ve</w:t>
      </w:r>
      <w:r w:rsidR="00952DB5">
        <w:t>n</w:t>
      </w:r>
      <w:r w:rsidR="0003308B" w:rsidRPr="0037788A">
        <w:t xml:space="preserve"> no explanation as to why an investigation was </w:t>
      </w:r>
      <w:r w:rsidR="0003308B">
        <w:t xml:space="preserve">only </w:t>
      </w:r>
      <w:r w:rsidR="0003308B" w:rsidRPr="0037788A">
        <w:t xml:space="preserve">commenced </w:t>
      </w:r>
      <w:r w:rsidR="0003308B">
        <w:t>in February 2011, that is</w:t>
      </w:r>
      <w:r w:rsidR="003318FD">
        <w:t>,</w:t>
      </w:r>
      <w:r w:rsidR="0003308B">
        <w:t xml:space="preserve"> nine </w:t>
      </w:r>
      <w:r w:rsidR="0003308B" w:rsidRPr="0037788A">
        <w:t xml:space="preserve">years </w:t>
      </w:r>
      <w:r w:rsidR="0003308B">
        <w:t xml:space="preserve">after </w:t>
      </w:r>
      <w:r w:rsidR="0003308B" w:rsidRPr="0037788A">
        <w:t>the events complained about by the author took place</w:t>
      </w:r>
      <w:r w:rsidR="0003308B">
        <w:t xml:space="preserve">, and </w:t>
      </w:r>
      <w:r w:rsidR="00952DB5">
        <w:t xml:space="preserve">which </w:t>
      </w:r>
      <w:r w:rsidR="0003308B">
        <w:t>were</w:t>
      </w:r>
      <w:r w:rsidR="0003308B" w:rsidRPr="0037788A">
        <w:t xml:space="preserve"> first brought to the attention of the relevant authorities</w:t>
      </w:r>
      <w:r w:rsidR="0003308B">
        <w:t xml:space="preserve"> through the </w:t>
      </w:r>
      <w:r w:rsidR="0051476E">
        <w:t xml:space="preserve">author’s </w:t>
      </w:r>
      <w:r w:rsidR="0003308B">
        <w:t xml:space="preserve">complaints addressed to the prosecutorial authorities on </w:t>
      </w:r>
      <w:r w:rsidR="0003308B" w:rsidRPr="00AF5260">
        <w:t>17</w:t>
      </w:r>
      <w:r w:rsidR="00C84C93">
        <w:t> </w:t>
      </w:r>
      <w:r w:rsidR="0003308B" w:rsidRPr="00AF5260">
        <w:t>September</w:t>
      </w:r>
      <w:r w:rsidR="008C65CA">
        <w:t xml:space="preserve"> and</w:t>
      </w:r>
      <w:r w:rsidR="0003308B" w:rsidRPr="00AF5260">
        <w:t xml:space="preserve"> 3 Octob</w:t>
      </w:r>
      <w:r w:rsidR="0003308B">
        <w:t>er 2002</w:t>
      </w:r>
      <w:r w:rsidR="0003308B" w:rsidRPr="0037788A">
        <w:t>.</w:t>
      </w:r>
      <w:r w:rsidR="0003308B">
        <w:t xml:space="preserve"> </w:t>
      </w:r>
      <w:r w:rsidR="0003308B">
        <w:rPr>
          <w:lang w:eastAsia="en-GB"/>
        </w:rPr>
        <w:t xml:space="preserve">While </w:t>
      </w:r>
      <w:r w:rsidR="0003308B" w:rsidRPr="0037788A">
        <w:rPr>
          <w:lang w:eastAsia="en-GB"/>
        </w:rPr>
        <w:t>the State party</w:t>
      </w:r>
      <w:r w:rsidR="0003308B">
        <w:rPr>
          <w:lang w:eastAsia="en-GB"/>
        </w:rPr>
        <w:t xml:space="preserve"> has referred to the pending and overdue judicial investigations opened in February 2011</w:t>
      </w:r>
      <w:r w:rsidR="0003308B" w:rsidRPr="0037788A">
        <w:rPr>
          <w:lang w:eastAsia="en-GB"/>
        </w:rPr>
        <w:t xml:space="preserve">, </w:t>
      </w:r>
      <w:r w:rsidR="0003308B">
        <w:rPr>
          <w:lang w:eastAsia="en-GB"/>
        </w:rPr>
        <w:t xml:space="preserve">it has </w:t>
      </w:r>
      <w:r w:rsidR="00B00AB7">
        <w:rPr>
          <w:lang w:eastAsia="en-GB"/>
        </w:rPr>
        <w:t>not</w:t>
      </w:r>
      <w:r w:rsidR="008413CA">
        <w:rPr>
          <w:lang w:eastAsia="en-GB"/>
        </w:rPr>
        <w:t xml:space="preserve"> submitted any information as to the results of such investigation, nor has it</w:t>
      </w:r>
      <w:r w:rsidR="0003308B" w:rsidRPr="0037788A">
        <w:rPr>
          <w:lang w:eastAsia="en-GB"/>
        </w:rPr>
        <w:t xml:space="preserve"> prosecute</w:t>
      </w:r>
      <w:r w:rsidR="0003308B">
        <w:rPr>
          <w:lang w:eastAsia="en-GB"/>
        </w:rPr>
        <w:t xml:space="preserve">d anyone </w:t>
      </w:r>
      <w:r w:rsidR="008413CA">
        <w:rPr>
          <w:lang w:eastAsia="en-GB"/>
        </w:rPr>
        <w:t>or</w:t>
      </w:r>
      <w:r w:rsidR="0003308B" w:rsidRPr="0037788A">
        <w:rPr>
          <w:lang w:eastAsia="en-GB"/>
        </w:rPr>
        <w:t xml:space="preserve"> explain</w:t>
      </w:r>
      <w:r w:rsidR="0051476E">
        <w:rPr>
          <w:lang w:eastAsia="en-GB"/>
        </w:rPr>
        <w:t>ed</w:t>
      </w:r>
      <w:r w:rsidR="0003308B" w:rsidRPr="0037788A">
        <w:rPr>
          <w:lang w:eastAsia="en-GB"/>
        </w:rPr>
        <w:t xml:space="preserve"> the reasons for the lack of significant progress</w:t>
      </w:r>
      <w:r w:rsidR="0003308B">
        <w:rPr>
          <w:lang w:eastAsia="en-GB"/>
        </w:rPr>
        <w:t xml:space="preserve"> </w:t>
      </w:r>
      <w:r w:rsidR="0003308B" w:rsidRPr="0037788A">
        <w:rPr>
          <w:lang w:eastAsia="en-GB"/>
        </w:rPr>
        <w:t>in this case before the courts</w:t>
      </w:r>
      <w:r w:rsidR="0003308B">
        <w:rPr>
          <w:lang w:eastAsia="en-GB"/>
        </w:rPr>
        <w:t>.</w:t>
      </w:r>
      <w:r w:rsidR="00CB3CC1">
        <w:rPr>
          <w:lang w:eastAsia="en-GB"/>
        </w:rPr>
        <w:t xml:space="preserve"> </w:t>
      </w:r>
    </w:p>
    <w:p w:rsidR="004B0DFF" w:rsidRPr="009917E1" w:rsidRDefault="00CB3CC1" w:rsidP="009917E1">
      <w:pPr>
        <w:pStyle w:val="SingleTxtG"/>
      </w:pPr>
      <w:r>
        <w:rPr>
          <w:lang w:eastAsia="en-GB"/>
        </w:rPr>
        <w:t>12.</w:t>
      </w:r>
      <w:r w:rsidR="00114FEE">
        <w:rPr>
          <w:lang w:eastAsia="en-GB"/>
        </w:rPr>
        <w:t>5</w:t>
      </w:r>
      <w:r>
        <w:rPr>
          <w:lang w:eastAsia="en-GB"/>
        </w:rPr>
        <w:tab/>
      </w:r>
      <w:r w:rsidR="007279FE" w:rsidRPr="008707B2">
        <w:t xml:space="preserve">In </w:t>
      </w:r>
      <w:r w:rsidR="003318FD">
        <w:t xml:space="preserve">the </w:t>
      </w:r>
      <w:r w:rsidR="002D1BED" w:rsidRPr="009917E1">
        <w:t>light</w:t>
      </w:r>
      <w:r w:rsidR="007279FE" w:rsidRPr="009917E1">
        <w:t xml:space="preserve"> of the above, </w:t>
      </w:r>
      <w:r w:rsidR="0003308B" w:rsidRPr="009917E1">
        <w:t xml:space="preserve">the Committee </w:t>
      </w:r>
      <w:r w:rsidRPr="009917E1">
        <w:t xml:space="preserve">is of the view that </w:t>
      </w:r>
      <w:r w:rsidR="0003308B" w:rsidRPr="009917E1">
        <w:t xml:space="preserve">the remedies relied upon by the State party have been unreasonably prolonged, and that </w:t>
      </w:r>
      <w:r w:rsidR="00080687" w:rsidRPr="009917E1">
        <w:t>t</w:t>
      </w:r>
      <w:r w:rsidR="007279FE" w:rsidRPr="009917E1">
        <w:t xml:space="preserve">he State party must be held to be in breach of </w:t>
      </w:r>
      <w:r w:rsidR="00B4242B">
        <w:t>article </w:t>
      </w:r>
      <w:r w:rsidR="002C1368" w:rsidRPr="009917E1">
        <w:t>7</w:t>
      </w:r>
      <w:r w:rsidR="007279FE" w:rsidRPr="009917E1">
        <w:t>, read</w:t>
      </w:r>
      <w:r w:rsidR="00920708">
        <w:t xml:space="preserve"> alone, and</w:t>
      </w:r>
      <w:r w:rsidR="007279FE" w:rsidRPr="009917E1">
        <w:t xml:space="preserve"> in conjunction with </w:t>
      </w:r>
      <w:r w:rsidR="00B4242B">
        <w:t>article </w:t>
      </w:r>
      <w:r w:rsidR="000C3F4E">
        <w:t>2, paragraph </w:t>
      </w:r>
      <w:r w:rsidR="007279FE" w:rsidRPr="009917E1">
        <w:t>3</w:t>
      </w:r>
      <w:r w:rsidR="003318FD">
        <w:t>,</w:t>
      </w:r>
      <w:r w:rsidR="00952DB5" w:rsidRPr="009917E1">
        <w:t xml:space="preserve"> for failure to promptly investigate</w:t>
      </w:r>
      <w:r w:rsidR="002D1BED" w:rsidRPr="009917E1">
        <w:t xml:space="preserve"> the </w:t>
      </w:r>
      <w:r w:rsidR="00B7539A" w:rsidRPr="009917E1">
        <w:t>facts</w:t>
      </w:r>
      <w:r w:rsidR="007279FE" w:rsidRPr="009917E1">
        <w:t>.</w:t>
      </w:r>
    </w:p>
    <w:p w:rsidR="00786747" w:rsidRPr="00505C09" w:rsidRDefault="00705BF1" w:rsidP="009917E1">
      <w:pPr>
        <w:pStyle w:val="SingleTxtG"/>
      </w:pPr>
      <w:r w:rsidRPr="009917E1">
        <w:t>12</w:t>
      </w:r>
      <w:r w:rsidR="002F0735" w:rsidRPr="009917E1">
        <w:t>.</w:t>
      </w:r>
      <w:r w:rsidR="00114FEE" w:rsidRPr="009917E1">
        <w:t>6</w:t>
      </w:r>
      <w:r w:rsidR="002F0735" w:rsidRPr="009917E1">
        <w:tab/>
        <w:t xml:space="preserve">With regard to the alleged violation of </w:t>
      </w:r>
      <w:r w:rsidR="00B4242B">
        <w:t>article </w:t>
      </w:r>
      <w:r w:rsidR="002F0735" w:rsidRPr="009917E1">
        <w:t xml:space="preserve">9, </w:t>
      </w:r>
      <w:r w:rsidR="00C30C54" w:rsidRPr="009917E1">
        <w:t>t</w:t>
      </w:r>
      <w:r w:rsidR="00505C09" w:rsidRPr="009917E1">
        <w:t xml:space="preserve">he Committee took note of the author’s claim that </w:t>
      </w:r>
      <w:r w:rsidR="001320D1">
        <w:t>his right to securit</w:t>
      </w:r>
      <w:r w:rsidR="005F1F87">
        <w:t>y was breached on account of his</w:t>
      </w:r>
      <w:r w:rsidR="001320D1">
        <w:t xml:space="preserve"> assault</w:t>
      </w:r>
      <w:r w:rsidR="005F1F87">
        <w:t xml:space="preserve"> by agents of the State party’s Government on 29 August 2002</w:t>
      </w:r>
      <w:r w:rsidR="00EF4D72">
        <w:t xml:space="preserve">, but </w:t>
      </w:r>
      <w:r w:rsidR="001320D1">
        <w:t xml:space="preserve">considers that this part of the communication is subsumed under the author’s claim under </w:t>
      </w:r>
      <w:r w:rsidR="00B4242B">
        <w:t>article </w:t>
      </w:r>
      <w:r w:rsidR="001320D1">
        <w:t>7 of the Covenant, which has been disposed of.</w:t>
      </w:r>
    </w:p>
    <w:p w:rsidR="00C45AE3" w:rsidRPr="00D07C9A" w:rsidRDefault="00705BF1" w:rsidP="00156045">
      <w:pPr>
        <w:pStyle w:val="SingleTxtG"/>
      </w:pPr>
      <w:r>
        <w:lastRenderedPageBreak/>
        <w:t>1</w:t>
      </w:r>
      <w:r w:rsidRPr="00705BF1">
        <w:t>3</w:t>
      </w:r>
      <w:r w:rsidR="004A3D69" w:rsidRPr="00F925EE">
        <w:t>.</w:t>
      </w:r>
      <w:r w:rsidR="0036403F" w:rsidRPr="0036403F">
        <w:tab/>
        <w:t xml:space="preserve">The Human Rights Committee, acting under </w:t>
      </w:r>
      <w:r w:rsidR="00B4242B">
        <w:t>article </w:t>
      </w:r>
      <w:r w:rsidR="0036403F" w:rsidRPr="0036403F">
        <w:t>5</w:t>
      </w:r>
      <w:r w:rsidR="0073522F">
        <w:t>, paragraph </w:t>
      </w:r>
      <w:r w:rsidR="0036403F" w:rsidRPr="0036403F">
        <w:t>4, of the Optional Protocol to the International Covenant on Civil and Political Rights, is of the view that the Stat</w:t>
      </w:r>
      <w:r w:rsidR="00C45AE3">
        <w:t>e party has violated the author</w:t>
      </w:r>
      <w:r w:rsidR="0036403F" w:rsidRPr="0036403F">
        <w:t>’</w:t>
      </w:r>
      <w:r w:rsidR="00C45AE3" w:rsidRPr="00C45AE3">
        <w:t>s</w:t>
      </w:r>
      <w:r w:rsidR="0036403F" w:rsidRPr="0036403F">
        <w:t xml:space="preserve"> rights under </w:t>
      </w:r>
      <w:r w:rsidR="00B4242B">
        <w:t>article </w:t>
      </w:r>
      <w:r w:rsidR="00CF4010">
        <w:rPr>
          <w:lang w:val="en-US"/>
        </w:rPr>
        <w:t>7</w:t>
      </w:r>
      <w:r w:rsidR="00080687">
        <w:rPr>
          <w:lang w:val="en-US"/>
        </w:rPr>
        <w:t xml:space="preserve">, read </w:t>
      </w:r>
      <w:r w:rsidR="00920708">
        <w:rPr>
          <w:lang w:val="en-US"/>
        </w:rPr>
        <w:t xml:space="preserve">alone and </w:t>
      </w:r>
      <w:r w:rsidR="00080687">
        <w:rPr>
          <w:lang w:val="en-US"/>
        </w:rPr>
        <w:t xml:space="preserve">in conjunction with </w:t>
      </w:r>
      <w:r w:rsidR="00B4242B">
        <w:rPr>
          <w:lang w:val="en-US"/>
        </w:rPr>
        <w:t>article </w:t>
      </w:r>
      <w:r w:rsidR="00230E72">
        <w:rPr>
          <w:lang w:val="en-US"/>
        </w:rPr>
        <w:t>2, paragraph </w:t>
      </w:r>
      <w:r w:rsidR="00080687">
        <w:rPr>
          <w:lang w:val="en-US"/>
        </w:rPr>
        <w:t>3</w:t>
      </w:r>
      <w:r w:rsidR="003318FD">
        <w:rPr>
          <w:lang w:val="en-US"/>
        </w:rPr>
        <w:t>,</w:t>
      </w:r>
      <w:r w:rsidR="00080687">
        <w:rPr>
          <w:lang w:val="en-US"/>
        </w:rPr>
        <w:t xml:space="preserve"> of</w:t>
      </w:r>
      <w:r w:rsidR="0036403F" w:rsidRPr="0036403F">
        <w:t xml:space="preserve"> the Covenant</w:t>
      </w:r>
      <w:r w:rsidR="00D07C9A" w:rsidRPr="00D07C9A">
        <w:t xml:space="preserve">. </w:t>
      </w:r>
    </w:p>
    <w:p w:rsidR="00C45AE3" w:rsidRPr="00C45AE3" w:rsidRDefault="0036403F" w:rsidP="00156045">
      <w:pPr>
        <w:pStyle w:val="SingleTxtG"/>
        <w:rPr>
          <w:spacing w:val="-2"/>
        </w:rPr>
      </w:pPr>
      <w:r w:rsidRPr="0036403F">
        <w:t>1</w:t>
      </w:r>
      <w:r w:rsidR="00705BF1" w:rsidRPr="00705BF1">
        <w:t>4</w:t>
      </w:r>
      <w:r w:rsidR="004A3D69" w:rsidRPr="00F925EE">
        <w:t>.</w:t>
      </w:r>
      <w:r w:rsidRPr="0036403F">
        <w:tab/>
      </w:r>
      <w:r w:rsidRPr="000E2EB0">
        <w:rPr>
          <w:spacing w:val="-2"/>
        </w:rPr>
        <w:t xml:space="preserve">In accordance with </w:t>
      </w:r>
      <w:r w:rsidR="00B4242B">
        <w:rPr>
          <w:spacing w:val="-2"/>
        </w:rPr>
        <w:t>article </w:t>
      </w:r>
      <w:r w:rsidRPr="000E2EB0">
        <w:rPr>
          <w:spacing w:val="-2"/>
        </w:rPr>
        <w:t>2</w:t>
      </w:r>
      <w:r w:rsidR="00A17A95">
        <w:rPr>
          <w:spacing w:val="-2"/>
        </w:rPr>
        <w:t>, paragraph </w:t>
      </w:r>
      <w:r w:rsidRPr="000E2EB0">
        <w:rPr>
          <w:spacing w:val="-2"/>
        </w:rPr>
        <w:t>3</w:t>
      </w:r>
      <w:r w:rsidR="000E2EB0" w:rsidRPr="000E2EB0">
        <w:rPr>
          <w:spacing w:val="-2"/>
        </w:rPr>
        <w:t> </w:t>
      </w:r>
      <w:r w:rsidRPr="000E2EB0">
        <w:rPr>
          <w:spacing w:val="-2"/>
        </w:rPr>
        <w:t xml:space="preserve">(a), of the Covenant, the State party is under an obligation to provide the author with an effective remedy, including </w:t>
      </w:r>
      <w:r w:rsidR="00C45AE3" w:rsidRPr="00C45AE3">
        <w:rPr>
          <w:spacing w:val="-2"/>
        </w:rPr>
        <w:t>by ensuring a swift conc</w:t>
      </w:r>
      <w:r w:rsidR="00C81B79">
        <w:rPr>
          <w:spacing w:val="-2"/>
        </w:rPr>
        <w:t>l</w:t>
      </w:r>
      <w:r w:rsidR="00C45AE3" w:rsidRPr="00C45AE3">
        <w:rPr>
          <w:spacing w:val="-2"/>
        </w:rPr>
        <w:t xml:space="preserve">usion of the judicial proceedings, which should include a thorough investigation of the author’s allegations, the prosecution of perpetrators, and </w:t>
      </w:r>
      <w:r w:rsidR="00BB6E3B">
        <w:rPr>
          <w:spacing w:val="-2"/>
        </w:rPr>
        <w:t xml:space="preserve">adequate </w:t>
      </w:r>
      <w:r w:rsidR="00C45AE3" w:rsidRPr="00C45AE3">
        <w:rPr>
          <w:spacing w:val="-2"/>
        </w:rPr>
        <w:t>compensation to the author</w:t>
      </w:r>
      <w:r w:rsidR="00B7317F" w:rsidRPr="000E2EB0">
        <w:rPr>
          <w:spacing w:val="-2"/>
        </w:rPr>
        <w:t>.</w:t>
      </w:r>
      <w:r w:rsidRPr="000E2EB0">
        <w:rPr>
          <w:spacing w:val="-2"/>
        </w:rPr>
        <w:t xml:space="preserve"> The State party is also under an obligation to take steps to prevent simil</w:t>
      </w:r>
      <w:r w:rsidR="00C45AE3">
        <w:rPr>
          <w:spacing w:val="-2"/>
        </w:rPr>
        <w:t xml:space="preserve">ar violations in the future. </w:t>
      </w:r>
    </w:p>
    <w:p w:rsidR="0036403F" w:rsidRDefault="0036403F" w:rsidP="00156045">
      <w:pPr>
        <w:pStyle w:val="SingleTxtG"/>
      </w:pPr>
      <w:r w:rsidRPr="0036403F">
        <w:t>1</w:t>
      </w:r>
      <w:r w:rsidR="00705BF1" w:rsidRPr="002C1368">
        <w:t>5</w:t>
      </w:r>
      <w:r w:rsidR="004A3D69" w:rsidRPr="00F925EE">
        <w:t>.</w:t>
      </w:r>
      <w:r w:rsidRPr="0036403F">
        <w:tab/>
        <w:t xml:space="preserve">Bearing in mind that, by becoming a party to the Optional Protocol, the State party has recognized the competence of the Committee to determine whether there has been a violation of the Covenant or not and that, pursuant to </w:t>
      </w:r>
      <w:r w:rsidR="00B4242B">
        <w:t>article </w:t>
      </w:r>
      <w:r w:rsidRPr="0036403F">
        <w:t>2 of the Covenant, the State party has undertaken to ensure to all individuals within its territory or subject to its jurisdiction the rights recognized in the Covenant and to provide an effective and enforceable remedy when it has been determined that a violation has occurred, the Committee wishes to receive f</w:t>
      </w:r>
      <w:r w:rsidR="00F319E7">
        <w:t>rom the State party, within 180 </w:t>
      </w:r>
      <w:r w:rsidRPr="0036403F">
        <w:t>days, information about the measures taken to give effect to the Committee</w:t>
      </w:r>
      <w:r w:rsidR="00760D86">
        <w:t>’</w:t>
      </w:r>
      <w:r w:rsidRPr="0036403F">
        <w:t xml:space="preserve">s Views. The State party is also requested to publish the present Views, and </w:t>
      </w:r>
      <w:r w:rsidRPr="0036403F">
        <w:rPr>
          <w:lang w:val="en-US"/>
        </w:rPr>
        <w:t>to have them widely disseminated in the State party</w:t>
      </w:r>
      <w:r w:rsidRPr="0036403F">
        <w:t xml:space="preserve">. </w:t>
      </w:r>
    </w:p>
    <w:p w:rsidR="00FE35E1" w:rsidRDefault="00FE35E1" w:rsidP="001731A2">
      <w:pPr>
        <w:pStyle w:val="SingleTxtG"/>
        <w:spacing w:before="240" w:after="0"/>
        <w:jc w:val="center"/>
        <w:rPr>
          <w:u w:val="single"/>
        </w:rPr>
      </w:pPr>
    </w:p>
    <w:p w:rsidR="001731A2" w:rsidRDefault="00FE35E1" w:rsidP="00775F10">
      <w:pPr>
        <w:pStyle w:val="HChG"/>
      </w:pPr>
      <w:r>
        <w:br w:type="page"/>
      </w:r>
      <w:r>
        <w:lastRenderedPageBreak/>
        <w:t>Appendix</w:t>
      </w:r>
    </w:p>
    <w:p w:rsidR="00235A0A" w:rsidRDefault="00235A0A" w:rsidP="00775F10">
      <w:pPr>
        <w:pStyle w:val="SingleTxtG"/>
        <w:jc w:val="right"/>
      </w:pPr>
      <w:r>
        <w:t>[Original: Spanish]</w:t>
      </w:r>
    </w:p>
    <w:p w:rsidR="00235A0A" w:rsidRPr="00235A0A" w:rsidRDefault="00235A0A" w:rsidP="00775F10">
      <w:pPr>
        <w:pStyle w:val="H1G"/>
      </w:pPr>
      <w:r>
        <w:tab/>
      </w:r>
      <w:r>
        <w:tab/>
      </w:r>
      <w:r w:rsidRPr="00235A0A">
        <w:t>Individual opinion of Committee member Fabián Salvioli (partially</w:t>
      </w:r>
      <w:r w:rsidR="00230E72">
        <w:t> </w:t>
      </w:r>
      <w:r w:rsidRPr="00235A0A">
        <w:t>dissenting)</w:t>
      </w:r>
    </w:p>
    <w:p w:rsidR="00235A0A" w:rsidRPr="00235A0A" w:rsidRDefault="00235A0A" w:rsidP="00235A0A">
      <w:pPr>
        <w:pStyle w:val="SingleTxtG"/>
        <w:rPr>
          <w:rFonts w:eastAsia="SimSun"/>
          <w:lang w:eastAsia="zh-CN"/>
        </w:rPr>
      </w:pPr>
      <w:r w:rsidRPr="00235A0A">
        <w:rPr>
          <w:rFonts w:eastAsia="SimSun"/>
          <w:lang w:eastAsia="zh-CN"/>
        </w:rPr>
        <w:t>1.</w:t>
      </w:r>
      <w:r w:rsidRPr="00235A0A">
        <w:rPr>
          <w:rFonts w:eastAsia="SimSun"/>
          <w:lang w:eastAsia="zh-CN"/>
        </w:rPr>
        <w:tab/>
        <w:t xml:space="preserve">I share the opinion of the Committee in relation to its conclusions in </w:t>
      </w:r>
      <w:r w:rsidR="00F319E7">
        <w:rPr>
          <w:rFonts w:eastAsia="SimSun"/>
          <w:i/>
          <w:iCs/>
          <w:lang w:eastAsia="zh-CN"/>
        </w:rPr>
        <w:t xml:space="preserve">Monika </w:t>
      </w:r>
      <w:r w:rsidR="00F319E7" w:rsidRPr="00775F10">
        <w:rPr>
          <w:rFonts w:eastAsia="SimSun"/>
          <w:lang w:eastAsia="zh-CN"/>
        </w:rPr>
        <w:t>v.</w:t>
      </w:r>
      <w:r w:rsidR="00F319E7">
        <w:rPr>
          <w:rFonts w:eastAsia="SimSun"/>
          <w:i/>
          <w:iCs/>
          <w:lang w:eastAsia="zh-CN"/>
        </w:rPr>
        <w:t> </w:t>
      </w:r>
      <w:r w:rsidRPr="00235A0A">
        <w:rPr>
          <w:rFonts w:eastAsia="SimSun"/>
          <w:i/>
          <w:iCs/>
          <w:lang w:eastAsia="zh-CN"/>
        </w:rPr>
        <w:t>Cameroon</w:t>
      </w:r>
      <w:r w:rsidR="00F319E7">
        <w:rPr>
          <w:rFonts w:eastAsia="SimSun"/>
          <w:lang w:eastAsia="zh-CN"/>
        </w:rPr>
        <w:t xml:space="preserve"> (communication No. </w:t>
      </w:r>
      <w:r w:rsidRPr="00235A0A">
        <w:rPr>
          <w:rFonts w:eastAsia="SimSun"/>
          <w:lang w:eastAsia="zh-CN"/>
        </w:rPr>
        <w:t xml:space="preserve">1965/2010). However, for the reasons that I set out below, I believe that the Committee should also have addressed the issue of a possible violation of </w:t>
      </w:r>
      <w:r w:rsidR="00B4242B">
        <w:rPr>
          <w:rFonts w:eastAsia="SimSun"/>
          <w:lang w:eastAsia="zh-CN"/>
        </w:rPr>
        <w:t>article </w:t>
      </w:r>
      <w:r w:rsidRPr="00235A0A">
        <w:rPr>
          <w:rFonts w:eastAsia="SimSun"/>
          <w:lang w:eastAsia="zh-CN"/>
        </w:rPr>
        <w:t xml:space="preserve">6 of the Covenant, inasmuch as the author’s claims in this regard were clear and were not satisfactorily refuted by the State party. The death threats made following a brutal beating that resulted in the victim’s loss of an eye were never properly investigated; nor were the perpetrators prosecuted or punished. Given these parameters, the Committee should not have found the author’s claims with regard to a possible violation of </w:t>
      </w:r>
      <w:r w:rsidR="00B4242B">
        <w:rPr>
          <w:rFonts w:eastAsia="SimSun"/>
          <w:lang w:eastAsia="zh-CN"/>
        </w:rPr>
        <w:t>article </w:t>
      </w:r>
      <w:r w:rsidRPr="00235A0A">
        <w:rPr>
          <w:rFonts w:eastAsia="SimSun"/>
          <w:lang w:eastAsia="zh-CN"/>
        </w:rPr>
        <w:t>6 to be inadmissible.</w:t>
      </w:r>
    </w:p>
    <w:p w:rsidR="00235A0A" w:rsidRDefault="00235A0A" w:rsidP="0069117B">
      <w:pPr>
        <w:pStyle w:val="SingleTxtG"/>
      </w:pPr>
      <w:r w:rsidRPr="00235A0A">
        <w:t>2.</w:t>
      </w:r>
      <w:r w:rsidRPr="00235A0A">
        <w:tab/>
        <w:t xml:space="preserve">In view of the nature of this case, in which the victim has lost an eye as a result of violations of his human rights and has become indigent, the Committee should have stated that, as part of the redress to be provided, the State should place the proper rehabilitation measures (the necessary medical and/or psychological treatment) at the disposal of the author. This is a separate form of redress from the economic compensation to be provided for the violations suffered by the victim. The Committee should refine its policy on redress in individual cases in order to better fulfil its role of interpreting and applying the Covenant and </w:t>
      </w:r>
      <w:r w:rsidR="008E0085">
        <w:t>the</w:t>
      </w:r>
      <w:r w:rsidR="008E0085" w:rsidRPr="00235A0A">
        <w:t xml:space="preserve"> </w:t>
      </w:r>
      <w:r w:rsidRPr="00235A0A">
        <w:t>Optional Protocol</w:t>
      </w:r>
      <w:r w:rsidR="008E0085">
        <w:t xml:space="preserve"> thereto</w:t>
      </w:r>
      <w:r w:rsidRPr="00235A0A">
        <w:t>.</w:t>
      </w:r>
    </w:p>
    <w:p w:rsidR="00235A0A" w:rsidRPr="00235A0A" w:rsidRDefault="00235A0A" w:rsidP="00235A0A">
      <w:pPr>
        <w:pStyle w:val="SingleTxtG"/>
        <w:spacing w:before="240" w:after="0"/>
        <w:jc w:val="center"/>
        <w:rPr>
          <w:u w:val="single"/>
        </w:rPr>
      </w:pPr>
      <w:r>
        <w:rPr>
          <w:u w:val="single"/>
        </w:rPr>
        <w:tab/>
      </w:r>
      <w:r>
        <w:rPr>
          <w:u w:val="single"/>
        </w:rPr>
        <w:tab/>
      </w:r>
      <w:r>
        <w:rPr>
          <w:u w:val="single"/>
        </w:rPr>
        <w:tab/>
      </w:r>
    </w:p>
    <w:sectPr w:rsidR="00235A0A" w:rsidRPr="00235A0A" w:rsidSect="00B22656">
      <w:headerReference w:type="even" r:id="rId9"/>
      <w:headerReference w:type="default" r:id="rId10"/>
      <w:footerReference w:type="even" r:id="rId11"/>
      <w:footerReference w:type="default" r:id="rId12"/>
      <w:footerReference w:type="first" r:id="rId13"/>
      <w:endnotePr>
        <w:numFmt w:val="decimal"/>
      </w:endnotePr>
      <w:pgSz w:w="11907" w:h="16840" w:code="9"/>
      <w:pgMar w:top="1701" w:right="1134" w:bottom="2268" w:left="1134" w:header="1134" w:footer="1701"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9A4" w:rsidRDefault="00B869A4"/>
  </w:endnote>
  <w:endnote w:type="continuationSeparator" w:id="0">
    <w:p w:rsidR="00B869A4" w:rsidRDefault="00B869A4"/>
  </w:endnote>
  <w:endnote w:type="continuationNotice" w:id="1">
    <w:p w:rsidR="00B869A4" w:rsidRDefault="00B869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panose1 w:val="02020803070505020304"/>
    <w:charset w:val="00"/>
    <w:family w:val="roman"/>
    <w:notTrueType/>
    <w:pitch w:val="default"/>
  </w:font>
  <w:font w:name="C39T30Lfz">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5B2" w:rsidRPr="001365B2" w:rsidRDefault="001365B2" w:rsidP="001365B2">
    <w:pPr>
      <w:pStyle w:val="Footer"/>
    </w:pPr>
    <w:r w:rsidRPr="001365B2">
      <w:rPr>
        <w:b/>
        <w:sz w:val="18"/>
      </w:rPr>
      <w:fldChar w:fldCharType="begin"/>
    </w:r>
    <w:r w:rsidRPr="001365B2">
      <w:rPr>
        <w:b/>
        <w:sz w:val="18"/>
      </w:rPr>
      <w:instrText xml:space="preserve"> PAGE  \* MERGEFORMAT </w:instrText>
    </w:r>
    <w:r w:rsidRPr="001365B2">
      <w:rPr>
        <w:b/>
        <w:sz w:val="18"/>
      </w:rPr>
      <w:fldChar w:fldCharType="separate"/>
    </w:r>
    <w:r w:rsidR="00E71E0C">
      <w:rPr>
        <w:b/>
        <w:noProof/>
        <w:sz w:val="18"/>
      </w:rPr>
      <w:t>2</w:t>
    </w:r>
    <w:r w:rsidRPr="001365B2">
      <w:rPr>
        <w:b/>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5B2" w:rsidRPr="001365B2" w:rsidRDefault="001365B2" w:rsidP="001365B2">
    <w:pPr>
      <w:tabs>
        <w:tab w:val="right" w:pos="9638"/>
      </w:tabs>
      <w:spacing w:line="240" w:lineRule="auto"/>
      <w:jc w:val="right"/>
      <w:rPr>
        <w:b/>
        <w:sz w:val="18"/>
      </w:rPr>
    </w:pPr>
    <w:r w:rsidRPr="001365B2">
      <w:rPr>
        <w:b/>
        <w:sz w:val="18"/>
      </w:rPr>
      <w:fldChar w:fldCharType="begin"/>
    </w:r>
    <w:r w:rsidRPr="001365B2">
      <w:rPr>
        <w:b/>
        <w:sz w:val="18"/>
      </w:rPr>
      <w:instrText xml:space="preserve"> PAGE  \* MERGEFORMAT </w:instrText>
    </w:r>
    <w:r w:rsidRPr="001365B2">
      <w:rPr>
        <w:b/>
        <w:sz w:val="18"/>
      </w:rPr>
      <w:fldChar w:fldCharType="separate"/>
    </w:r>
    <w:r w:rsidR="00E71E0C">
      <w:rPr>
        <w:b/>
        <w:noProof/>
        <w:sz w:val="18"/>
      </w:rPr>
      <w:t>3</w:t>
    </w:r>
    <w:r w:rsidRPr="001365B2">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9D1" w:rsidRPr="001365B2" w:rsidRDefault="00B869A4" w:rsidP="0049341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2049" type="#_x0000_t75" alt="recycle_English" style="position:absolute;margin-left:332.4pt;margin-top:649.85pt;width:73.6pt;height:18.25pt;z-index:1;visibility:visible;mso-position-horizontal-relative:margin;mso-position-vertical-relative:margin">
          <v:imagedata r:id="rId1" o:title="recycle_English"/>
          <w10:wrap anchorx="margin" anchory="margin"/>
        </v:shape>
      </w:pict>
    </w:r>
    <w:r w:rsidR="001365B2" w:rsidRPr="001365B2">
      <w:t>GE.1</w:t>
    </w:r>
    <w:r w:rsidR="00F75439">
      <w:t>5</w:t>
    </w:r>
    <w:r w:rsidR="001365B2" w:rsidRPr="001365B2">
      <w:t>-</w:t>
    </w:r>
    <w:r w:rsidR="00ED6686">
      <w:t>005</w:t>
    </w:r>
    <w:r w:rsidR="00493411">
      <w:t>84</w:t>
    </w:r>
    <w:r w:rsidR="006E05CC">
      <w:t xml:space="preserve">  (E)</w:t>
    </w:r>
    <w:r w:rsidR="006E05CC">
      <w:br/>
    </w:r>
    <w:r w:rsidR="006E05CC" w:rsidRPr="006E05CC">
      <w:rPr>
        <w:rFonts w:ascii="C39T30Lfz" w:hAnsi="C39T30Lfz"/>
        <w:sz w:val="56"/>
      </w:rPr>
      <w:t></w:t>
    </w:r>
    <w:r w:rsidR="006E05CC" w:rsidRPr="006E05CC">
      <w:rPr>
        <w:rFonts w:ascii="C39T30Lfz" w:hAnsi="C39T30Lfz"/>
        <w:sz w:val="56"/>
      </w:rPr>
      <w:t></w:t>
    </w:r>
    <w:r w:rsidR="006E05CC" w:rsidRPr="006E05CC">
      <w:rPr>
        <w:rFonts w:ascii="C39T30Lfz" w:hAnsi="C39T30Lfz"/>
        <w:sz w:val="56"/>
      </w:rPr>
      <w:t></w:t>
    </w:r>
    <w:r w:rsidR="006E05CC" w:rsidRPr="006E05CC">
      <w:rPr>
        <w:rFonts w:ascii="C39T30Lfz" w:hAnsi="C39T30Lfz"/>
        <w:sz w:val="56"/>
      </w:rPr>
      <w:t></w:t>
    </w:r>
    <w:r w:rsidR="006E05CC" w:rsidRPr="006E05CC">
      <w:rPr>
        <w:rFonts w:ascii="C39T30Lfz" w:hAnsi="C39T30Lfz"/>
        <w:sz w:val="56"/>
      </w:rPr>
      <w:t></w:t>
    </w:r>
    <w:r w:rsidR="006E05CC" w:rsidRPr="006E05CC">
      <w:rPr>
        <w:rFonts w:ascii="C39T30Lfz" w:hAnsi="C39T30Lfz"/>
        <w:sz w:val="56"/>
      </w:rPr>
      <w:t></w:t>
    </w:r>
    <w:r w:rsidR="006E05CC" w:rsidRPr="006E05CC">
      <w:rPr>
        <w:rFonts w:ascii="C39T30Lfz" w:hAnsi="C39T30Lfz"/>
        <w:sz w:val="56"/>
      </w:rPr>
      <w:t></w:t>
    </w:r>
    <w:r w:rsidR="006E05CC" w:rsidRPr="006E05CC">
      <w:rPr>
        <w:rFonts w:ascii="C39T30Lfz" w:hAnsi="C39T30Lfz"/>
        <w:sz w:val="56"/>
      </w:rPr>
      <w:t></w:t>
    </w:r>
    <w:r w:rsidR="006E05CC" w:rsidRPr="006E05CC">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9A4" w:rsidRPr="000B175B" w:rsidRDefault="00B869A4" w:rsidP="000B175B">
      <w:pPr>
        <w:tabs>
          <w:tab w:val="right" w:pos="2155"/>
        </w:tabs>
        <w:spacing w:after="80"/>
        <w:ind w:left="680"/>
        <w:rPr>
          <w:u w:val="single"/>
        </w:rPr>
      </w:pPr>
      <w:r>
        <w:rPr>
          <w:u w:val="single"/>
        </w:rPr>
        <w:tab/>
      </w:r>
    </w:p>
  </w:footnote>
  <w:footnote w:type="continuationSeparator" w:id="0">
    <w:p w:rsidR="00B869A4" w:rsidRPr="00FC68B7" w:rsidRDefault="00B869A4" w:rsidP="00FC68B7">
      <w:pPr>
        <w:tabs>
          <w:tab w:val="left" w:pos="2155"/>
        </w:tabs>
        <w:spacing w:after="80"/>
        <w:ind w:left="680"/>
        <w:rPr>
          <w:u w:val="single"/>
        </w:rPr>
      </w:pPr>
      <w:r>
        <w:rPr>
          <w:u w:val="single"/>
        </w:rPr>
        <w:tab/>
      </w:r>
    </w:p>
  </w:footnote>
  <w:footnote w:type="continuationNotice" w:id="1">
    <w:p w:rsidR="00B869A4" w:rsidRDefault="00B869A4"/>
  </w:footnote>
  <w:footnote w:id="2">
    <w:p w:rsidR="0042699D" w:rsidRDefault="0042699D">
      <w:pPr>
        <w:pStyle w:val="FootnoteText"/>
        <w:rPr>
          <w:bCs/>
          <w:szCs w:val="18"/>
        </w:rPr>
      </w:pPr>
      <w:r>
        <w:rPr>
          <w:rStyle w:val="FootnoteReference"/>
        </w:rPr>
        <w:tab/>
      </w:r>
      <w:r w:rsidRPr="00775F10">
        <w:rPr>
          <w:rStyle w:val="FootnoteReference"/>
          <w:sz w:val="20"/>
          <w:vertAlign w:val="baseline"/>
        </w:rPr>
        <w:t>*</w:t>
      </w:r>
      <w:r>
        <w:rPr>
          <w:rStyle w:val="FootnoteReference"/>
          <w:sz w:val="20"/>
          <w:vertAlign w:val="baseline"/>
        </w:rPr>
        <w:tab/>
      </w:r>
      <w:r>
        <w:rPr>
          <w:szCs w:val="18"/>
        </w:rPr>
        <w:t xml:space="preserve">The following members of the Committee participated in the examination of the present communication: Yadh Ben Achour, Christine Chanet, </w:t>
      </w:r>
      <w:r>
        <w:rPr>
          <w:bCs/>
          <w:szCs w:val="18"/>
        </w:rPr>
        <w:t>Ahm</w:t>
      </w:r>
      <w:r w:rsidR="00C11801">
        <w:rPr>
          <w:bCs/>
          <w:szCs w:val="18"/>
        </w:rPr>
        <w:t>e</w:t>
      </w:r>
      <w:r>
        <w:rPr>
          <w:bCs/>
          <w:szCs w:val="18"/>
        </w:rPr>
        <w:t>d Amin Fathalla, Cornelis Flinterman, Walter K</w:t>
      </w:r>
      <w:r w:rsidR="00C11801">
        <w:rPr>
          <w:bCs/>
          <w:szCs w:val="18"/>
        </w:rPr>
        <w:t>ä</w:t>
      </w:r>
      <w:r>
        <w:rPr>
          <w:bCs/>
          <w:szCs w:val="18"/>
        </w:rPr>
        <w:t>lin, Yuji Iwasawa, Gerald L. Neuman, Fabi</w:t>
      </w:r>
      <w:r w:rsidR="00C11801">
        <w:rPr>
          <w:bCs/>
          <w:szCs w:val="18"/>
        </w:rPr>
        <w:t>á</w:t>
      </w:r>
      <w:r>
        <w:rPr>
          <w:bCs/>
          <w:szCs w:val="18"/>
        </w:rPr>
        <w:t>n Omar Salvioli, Dheerujlall B. Seetulsingh, Anja Seibert-Fohr, Yuval Shany, Konstantine Vardzelashvili,</w:t>
      </w:r>
      <w:r w:rsidR="003B26D6">
        <w:rPr>
          <w:bCs/>
          <w:szCs w:val="18"/>
        </w:rPr>
        <w:t xml:space="preserve"> </w:t>
      </w:r>
      <w:r>
        <w:rPr>
          <w:bCs/>
          <w:szCs w:val="18"/>
        </w:rPr>
        <w:t>Margo Waterval and</w:t>
      </w:r>
      <w:r w:rsidR="000A604D">
        <w:rPr>
          <w:bCs/>
          <w:szCs w:val="18"/>
        </w:rPr>
        <w:t> </w:t>
      </w:r>
      <w:r>
        <w:rPr>
          <w:bCs/>
          <w:szCs w:val="18"/>
        </w:rPr>
        <w:t>Andrei Paul Zl</w:t>
      </w:r>
      <w:r w:rsidR="00C11801">
        <w:rPr>
          <w:bCs/>
          <w:szCs w:val="18"/>
        </w:rPr>
        <w:t>ă</w:t>
      </w:r>
      <w:r>
        <w:rPr>
          <w:bCs/>
          <w:szCs w:val="18"/>
        </w:rPr>
        <w:t>tescu.</w:t>
      </w:r>
    </w:p>
    <w:p w:rsidR="00235A0A" w:rsidRPr="000D4285" w:rsidRDefault="00235A0A" w:rsidP="00F66E48">
      <w:pPr>
        <w:pStyle w:val="FootnoteText"/>
      </w:pPr>
      <w:r>
        <w:rPr>
          <w:bCs/>
          <w:szCs w:val="18"/>
        </w:rPr>
        <w:tab/>
      </w:r>
      <w:r>
        <w:rPr>
          <w:bCs/>
          <w:szCs w:val="18"/>
        </w:rPr>
        <w:tab/>
        <w:t>The text of an i</w:t>
      </w:r>
      <w:r w:rsidRPr="00235A0A">
        <w:rPr>
          <w:bCs/>
          <w:szCs w:val="18"/>
        </w:rPr>
        <w:t>ndividual opinion of Committee member Fabián Salvioli (partially dissenting)</w:t>
      </w:r>
      <w:r>
        <w:rPr>
          <w:bCs/>
          <w:szCs w:val="18"/>
        </w:rPr>
        <w:t xml:space="preserve"> is</w:t>
      </w:r>
      <w:r w:rsidR="003B26D6">
        <w:rPr>
          <w:bCs/>
          <w:szCs w:val="18"/>
        </w:rPr>
        <w:t> </w:t>
      </w:r>
      <w:r>
        <w:rPr>
          <w:bCs/>
          <w:szCs w:val="18"/>
        </w:rPr>
        <w:t>appended to the present Views.</w:t>
      </w:r>
    </w:p>
  </w:footnote>
  <w:footnote w:id="3">
    <w:p w:rsidR="00F7758A" w:rsidRPr="00F7758A" w:rsidRDefault="00F7758A">
      <w:pPr>
        <w:pStyle w:val="FootnoteText"/>
      </w:pPr>
      <w:r w:rsidRPr="0028000B">
        <w:tab/>
      </w:r>
      <w:r>
        <w:rPr>
          <w:rStyle w:val="FootnoteReference"/>
        </w:rPr>
        <w:footnoteRef/>
      </w:r>
      <w:r w:rsidR="00784543">
        <w:tab/>
      </w:r>
      <w:r w:rsidRPr="00F7758A">
        <w:t xml:space="preserve">The author annexes a </w:t>
      </w:r>
      <w:r>
        <w:t>statement signed by the medical doctor who treated him on 29 August 2002 (</w:t>
      </w:r>
      <w:r w:rsidRPr="00F7758A">
        <w:t>dated</w:t>
      </w:r>
      <w:r>
        <w:t xml:space="preserve"> 22 October 2002), in which the latter notes that he issued a medical certificate, which he later withdrew</w:t>
      </w:r>
      <w:r w:rsidR="00231763">
        <w:t xml:space="preserve"> “since the actual part of the body that was gravely affected was the eye”, whereas he was a surgeon</w:t>
      </w:r>
      <w:r>
        <w:t>.</w:t>
      </w:r>
      <w:r w:rsidR="00231763">
        <w:t xml:space="preserve"> </w:t>
      </w:r>
      <w:r w:rsidR="008F62FC">
        <w:t xml:space="preserve">The certificate refers to </w:t>
      </w:r>
      <w:r w:rsidR="00231763" w:rsidRPr="00FF4008">
        <w:t xml:space="preserve">multiple trauma of the entire body (contusio cerebri, soft tissue trauma of the </w:t>
      </w:r>
      <w:r w:rsidR="00343832" w:rsidRPr="00FF4008">
        <w:t>thoracic</w:t>
      </w:r>
      <w:r w:rsidR="00231763" w:rsidRPr="00FF4008">
        <w:t xml:space="preserve"> cage, multipl</w:t>
      </w:r>
      <w:r w:rsidR="008F62FC">
        <w:t>e bruises, generali</w:t>
      </w:r>
      <w:r w:rsidR="00522FA7">
        <w:t>z</w:t>
      </w:r>
      <w:r w:rsidR="008F62FC">
        <w:t>ed myositis</w:t>
      </w:r>
      <w:r w:rsidR="00231763" w:rsidRPr="00FF4008">
        <w:t xml:space="preserve">; and post-traumatic blind left eye). He attaches four additional medical </w:t>
      </w:r>
      <w:r w:rsidR="00343832" w:rsidRPr="00FF4008">
        <w:t>certificates</w:t>
      </w:r>
      <w:r w:rsidR="00231763" w:rsidRPr="00FF4008">
        <w:t xml:space="preserve"> describing his medical condition, in particular his left eye (</w:t>
      </w:r>
      <w:r w:rsidR="00231763">
        <w:t>“</w:t>
      </w:r>
      <w:r w:rsidR="00231763" w:rsidRPr="00FF4008">
        <w:t>prognosis for the left eye is very poor</w:t>
      </w:r>
      <w:r w:rsidR="00231763">
        <w:t>”</w:t>
      </w:r>
      <w:r w:rsidR="00231763" w:rsidRPr="00FF4008">
        <w:t>).</w:t>
      </w:r>
    </w:p>
  </w:footnote>
  <w:footnote w:id="4">
    <w:p w:rsidR="00C71EC8" w:rsidRPr="00C71EC8" w:rsidRDefault="00C71EC8">
      <w:pPr>
        <w:pStyle w:val="FootnoteText"/>
      </w:pPr>
      <w:r w:rsidRPr="00F7758A">
        <w:tab/>
      </w:r>
      <w:r>
        <w:rPr>
          <w:rStyle w:val="FootnoteReference"/>
        </w:rPr>
        <w:footnoteRef/>
      </w:r>
      <w:r w:rsidR="002D5B7E">
        <w:tab/>
      </w:r>
      <w:r w:rsidRPr="00C71EC8">
        <w:t>The author annexes copies of the complaints.</w:t>
      </w:r>
    </w:p>
  </w:footnote>
  <w:footnote w:id="5">
    <w:p w:rsidR="00F7758A" w:rsidRPr="00FF4008" w:rsidRDefault="00242C7F">
      <w:pPr>
        <w:pStyle w:val="FootnoteText"/>
      </w:pPr>
      <w:r>
        <w:tab/>
      </w:r>
      <w:r w:rsidR="00F7758A">
        <w:rPr>
          <w:rStyle w:val="FootnoteReference"/>
        </w:rPr>
        <w:footnoteRef/>
      </w:r>
      <w:r>
        <w:tab/>
      </w:r>
      <w:r w:rsidR="00231763">
        <w:t>Attested by the various medical certificates submitted.</w:t>
      </w:r>
    </w:p>
  </w:footnote>
  <w:footnote w:id="6">
    <w:p w:rsidR="0043345C" w:rsidRPr="0043345C" w:rsidRDefault="0043345C" w:rsidP="0097386F">
      <w:pPr>
        <w:pStyle w:val="FootnoteText"/>
      </w:pPr>
      <w:r w:rsidRPr="00FF4008">
        <w:tab/>
      </w:r>
      <w:r>
        <w:rPr>
          <w:rStyle w:val="FootnoteReference"/>
        </w:rPr>
        <w:footnoteRef/>
      </w:r>
      <w:r w:rsidR="003014D1">
        <w:tab/>
      </w:r>
      <w:r w:rsidRPr="0043345C">
        <w:t>The State party annexes a letter dated 26 August 2002, signed by the author, entitled </w:t>
      </w:r>
      <w:r>
        <w:t>“</w:t>
      </w:r>
      <w:r w:rsidRPr="0043345C">
        <w:t>appeal for assistance</w:t>
      </w:r>
      <w:r>
        <w:t>”</w:t>
      </w:r>
      <w:r w:rsidRPr="0043345C">
        <w:t>,</w:t>
      </w:r>
      <w:r>
        <w:t xml:space="preserve"> addressed to </w:t>
      </w:r>
      <w:r w:rsidR="002A6F20">
        <w:t>the Government delegate (Limbe U</w:t>
      </w:r>
      <w:r>
        <w:t>rban Council)</w:t>
      </w:r>
      <w:r w:rsidRPr="0043345C">
        <w:t xml:space="preserve"> in which the author </w:t>
      </w:r>
      <w:r w:rsidR="004735EA">
        <w:t>solicits assistance on behalf of his family</w:t>
      </w:r>
      <w:r w:rsidR="00D122F5">
        <w:t>,</w:t>
      </w:r>
      <w:r w:rsidR="004735EA">
        <w:t xml:space="preserve"> </w:t>
      </w:r>
      <w:r w:rsidR="00D122F5">
        <w:t xml:space="preserve">who were the victims of </w:t>
      </w:r>
      <w:r w:rsidR="004735EA">
        <w:t>a fire on 25 July 2002.</w:t>
      </w:r>
    </w:p>
  </w:footnote>
  <w:footnote w:id="7">
    <w:p w:rsidR="006705E4" w:rsidRPr="006705E4" w:rsidRDefault="006705E4">
      <w:pPr>
        <w:pStyle w:val="FootnoteText"/>
      </w:pPr>
      <w:r w:rsidRPr="002A6F20">
        <w:tab/>
      </w:r>
      <w:r w:rsidRPr="001365B2">
        <w:rPr>
          <w:rStyle w:val="FootnoteReference"/>
        </w:rPr>
        <w:footnoteRef/>
      </w:r>
      <w:r w:rsidR="00784543">
        <w:tab/>
      </w:r>
      <w:r w:rsidRPr="006705E4">
        <w:t>Document annexed by the State party.</w:t>
      </w:r>
    </w:p>
  </w:footnote>
  <w:footnote w:id="8">
    <w:p w:rsidR="00CE45CC" w:rsidRPr="00CE45CC" w:rsidRDefault="003014D1" w:rsidP="0097386F">
      <w:pPr>
        <w:pStyle w:val="FootnoteText"/>
      </w:pPr>
      <w:r w:rsidRPr="005B025D">
        <w:tab/>
      </w:r>
      <w:r w:rsidR="00CE45CC">
        <w:rPr>
          <w:rStyle w:val="FootnoteReference"/>
        </w:rPr>
        <w:footnoteRef/>
      </w:r>
      <w:r>
        <w:tab/>
      </w:r>
      <w:r w:rsidR="00CE45CC">
        <w:t>The State party annexes an affidavit from a police officer</w:t>
      </w:r>
      <w:r w:rsidR="00831238">
        <w:t xml:space="preserve"> dated 7 November 2002</w:t>
      </w:r>
      <w:r w:rsidR="00CE45CC">
        <w:t>, which submits that</w:t>
      </w:r>
      <w:r w:rsidR="00D122F5">
        <w:t>:</w:t>
      </w:r>
      <w:r w:rsidR="00CE45CC">
        <w:t xml:space="preserve"> </w:t>
      </w:r>
      <w:r w:rsidR="00D122F5">
        <w:t>(a</w:t>
      </w:r>
      <w:r w:rsidR="00831238">
        <w:t>)</w:t>
      </w:r>
      <w:r w:rsidR="008F62FC">
        <w:t> </w:t>
      </w:r>
      <w:r w:rsidR="00CE45CC">
        <w:t xml:space="preserve">the arrest could not take place as the </w:t>
      </w:r>
      <w:r w:rsidR="00831238">
        <w:t>autho</w:t>
      </w:r>
      <w:r w:rsidR="008F62FC">
        <w:t xml:space="preserve">r was admitted to hospital; </w:t>
      </w:r>
      <w:r w:rsidR="00D122F5">
        <w:t>(b</w:t>
      </w:r>
      <w:r w:rsidR="008F62FC">
        <w:t xml:space="preserve">) </w:t>
      </w:r>
      <w:r w:rsidR="00CE45CC" w:rsidRPr="00775F10">
        <w:t>the author was arrested, and then released by order of the Prosecutor</w:t>
      </w:r>
      <w:r w:rsidR="00CE45CC">
        <w:t>.</w:t>
      </w:r>
      <w:r w:rsidR="003A04A5">
        <w:t xml:space="preserve"> </w:t>
      </w:r>
    </w:p>
  </w:footnote>
  <w:footnote w:id="9">
    <w:p w:rsidR="00363645" w:rsidRPr="00363645" w:rsidRDefault="003014D1">
      <w:pPr>
        <w:pStyle w:val="FootnoteText"/>
      </w:pPr>
      <w:r>
        <w:tab/>
      </w:r>
      <w:r w:rsidR="00363645">
        <w:rPr>
          <w:rStyle w:val="FootnoteReference"/>
        </w:rPr>
        <w:footnoteRef/>
      </w:r>
      <w:r>
        <w:tab/>
      </w:r>
      <w:r w:rsidR="00363645" w:rsidRPr="00363645">
        <w:t xml:space="preserve">The author annexes a </w:t>
      </w:r>
      <w:r w:rsidR="002145DF">
        <w:t>s</w:t>
      </w:r>
      <w:r w:rsidR="00363645" w:rsidRPr="00363645">
        <w:t>ummons (</w:t>
      </w:r>
      <w:r w:rsidR="00363645" w:rsidRPr="00363645">
        <w:rPr>
          <w:i/>
        </w:rPr>
        <w:t>mandat de comparution</w:t>
      </w:r>
      <w:r w:rsidR="00363645" w:rsidRPr="00363645">
        <w:t xml:space="preserve">) dated </w:t>
      </w:r>
      <w:r w:rsidR="009161FA">
        <w:t>25 February 2011</w:t>
      </w:r>
      <w:r w:rsidR="00762F99">
        <w:t xml:space="preserve"> which indicates that the author was charged with attempted murder and assault</w:t>
      </w:r>
      <w:r w:rsidR="009161FA">
        <w:t>.</w:t>
      </w:r>
    </w:p>
  </w:footnote>
  <w:footnote w:id="10">
    <w:p w:rsidR="0039330F" w:rsidRPr="0039330F" w:rsidRDefault="003014D1" w:rsidP="0097386F">
      <w:pPr>
        <w:pStyle w:val="FootnoteText"/>
      </w:pPr>
      <w:r>
        <w:tab/>
      </w:r>
      <w:r w:rsidR="0039330F">
        <w:rPr>
          <w:rStyle w:val="FootnoteReference"/>
        </w:rPr>
        <w:footnoteRef/>
      </w:r>
      <w:r>
        <w:tab/>
      </w:r>
      <w:r w:rsidR="0039330F" w:rsidRPr="0039330F">
        <w:t xml:space="preserve">Dated 24 April 2004. The affidavit describes in the incident of 25 October 2002, when the author was at the </w:t>
      </w:r>
      <w:r w:rsidR="002145DF">
        <w:t xml:space="preserve">Limbe </w:t>
      </w:r>
      <w:r w:rsidR="0039330F" w:rsidRPr="0039330F">
        <w:t>Hospital to buy some medication, where the head of the Limbe Urban</w:t>
      </w:r>
      <w:r w:rsidR="00AA7319">
        <w:t xml:space="preserve"> Council </w:t>
      </w:r>
      <w:r w:rsidR="002145DF">
        <w:t xml:space="preserve">municipal police </w:t>
      </w:r>
      <w:r w:rsidR="00AA7319">
        <w:t xml:space="preserve">came </w:t>
      </w:r>
      <w:r w:rsidR="0039330F" w:rsidRPr="0039330F">
        <w:t>t</w:t>
      </w:r>
      <w:r w:rsidR="00AA7319">
        <w:t>o</w:t>
      </w:r>
      <w:r w:rsidR="0039330F" w:rsidRPr="0039330F">
        <w:t xml:space="preserve"> look for him, and showed him a detention order signed by the Senior Divisional Officer for Fako</w:t>
      </w:r>
      <w:r w:rsidR="002145DF">
        <w:t>,</w:t>
      </w:r>
      <w:r w:rsidR="0039330F" w:rsidRPr="0039330F">
        <w:t xml:space="preserve"> dated 13 August 2002. </w:t>
      </w:r>
      <w:r w:rsidR="0039330F">
        <w:t xml:space="preserve">The </w:t>
      </w:r>
      <w:r w:rsidR="0039330F" w:rsidRPr="0039330F">
        <w:t xml:space="preserve">relevant section </w:t>
      </w:r>
      <w:r w:rsidR="00CE1A89" w:rsidRPr="0039330F">
        <w:t>reads:</w:t>
      </w:r>
      <w:r w:rsidR="0039330F" w:rsidRPr="0039330F">
        <w:t xml:space="preserve"> </w:t>
      </w:r>
      <w:r w:rsidR="008D058C">
        <w:t>“</w:t>
      </w:r>
      <w:r w:rsidR="008D058C" w:rsidRPr="0039330F">
        <w:t>[</w:t>
      </w:r>
      <w:r w:rsidR="0039330F">
        <w:t xml:space="preserve">the author </w:t>
      </w:r>
      <w:r w:rsidR="002C1368">
        <w:t xml:space="preserve">showed </w:t>
      </w:r>
      <w:r w:rsidR="0039330F">
        <w:t>] resistance to the arrest and was seriously battered … The crowd sympathi</w:t>
      </w:r>
      <w:r w:rsidR="002145DF">
        <w:t>z</w:t>
      </w:r>
      <w:r w:rsidR="0039330F">
        <w:t xml:space="preserve">ed with him by preventing the false arrest … He was eventually taken to the </w:t>
      </w:r>
      <w:r w:rsidR="008143F9">
        <w:t>g</w:t>
      </w:r>
      <w:r w:rsidR="0039330F">
        <w:t xml:space="preserve">endarmerie </w:t>
      </w:r>
      <w:r w:rsidR="008143F9" w:rsidRPr="0097386F">
        <w:t>post</w:t>
      </w:r>
      <w:r w:rsidR="008143F9">
        <w:t xml:space="preserve"> in</w:t>
      </w:r>
      <w:r w:rsidR="0039330F">
        <w:t xml:space="preserve"> Limbe, but the pressure from the crowd forced the gendarmes to release him 20 minutes later.”</w:t>
      </w:r>
    </w:p>
  </w:footnote>
  <w:footnote w:id="11">
    <w:p w:rsidR="00305793" w:rsidRPr="00305793" w:rsidRDefault="003014D1">
      <w:pPr>
        <w:pStyle w:val="FootnoteText"/>
      </w:pPr>
      <w:r>
        <w:tab/>
      </w:r>
      <w:r w:rsidR="00305793">
        <w:rPr>
          <w:rStyle w:val="FootnoteReference"/>
        </w:rPr>
        <w:footnoteRef/>
      </w:r>
      <w:r>
        <w:tab/>
      </w:r>
      <w:r w:rsidR="00305793" w:rsidRPr="00305793">
        <w:t xml:space="preserve">Document dated 7 February </w:t>
      </w:r>
      <w:r w:rsidR="007136F7">
        <w:t>2011</w:t>
      </w:r>
      <w:r w:rsidR="00305793" w:rsidRPr="00305793">
        <w:t>,</w:t>
      </w:r>
      <w:r w:rsidR="00305793">
        <w:t xml:space="preserve"> </w:t>
      </w:r>
      <w:r w:rsidR="00305793" w:rsidRPr="00305793">
        <w:t xml:space="preserve">Court of Appeal of </w:t>
      </w:r>
      <w:r w:rsidR="008143F9">
        <w:t xml:space="preserve">the </w:t>
      </w:r>
      <w:r w:rsidR="00305793" w:rsidRPr="00305793">
        <w:t>S</w:t>
      </w:r>
      <w:r w:rsidR="00305793">
        <w:t>outh</w:t>
      </w:r>
      <w:r w:rsidR="008143F9">
        <w:t>-</w:t>
      </w:r>
      <w:r w:rsidR="00305793">
        <w:t>West, criminal proceedings against Njie Monika John and Lifanda Samuel Ebiama.</w:t>
      </w:r>
    </w:p>
  </w:footnote>
  <w:footnote w:id="12">
    <w:p w:rsidR="00540DE6" w:rsidRPr="005B025D" w:rsidRDefault="009917E1" w:rsidP="0073522F">
      <w:pPr>
        <w:pStyle w:val="FootnoteText"/>
      </w:pPr>
      <w:r w:rsidRPr="005B025D">
        <w:tab/>
      </w:r>
      <w:r w:rsidR="00540DE6">
        <w:rPr>
          <w:rStyle w:val="FootnoteReference"/>
        </w:rPr>
        <w:footnoteRef/>
      </w:r>
      <w:r>
        <w:tab/>
      </w:r>
      <w:r w:rsidR="0073522F">
        <w:t>See communications No. </w:t>
      </w:r>
      <w:r w:rsidR="00540DE6">
        <w:t xml:space="preserve">1619/2007, </w:t>
      </w:r>
      <w:r w:rsidR="00540DE6" w:rsidRPr="0073522F">
        <w:rPr>
          <w:i/>
          <w:iCs/>
        </w:rPr>
        <w:t xml:space="preserve">Pestaño </w:t>
      </w:r>
      <w:r w:rsidR="00540DE6" w:rsidRPr="00775F10">
        <w:t>v.</w:t>
      </w:r>
      <w:r w:rsidR="00540DE6" w:rsidRPr="0073522F">
        <w:rPr>
          <w:i/>
          <w:iCs/>
        </w:rPr>
        <w:t xml:space="preserve"> Philippines</w:t>
      </w:r>
      <w:r w:rsidR="00540DE6">
        <w:t>, Views adopted o</w:t>
      </w:r>
      <w:r w:rsidR="0073522F">
        <w:t>n 23 March 2010, para. 7.2; No. </w:t>
      </w:r>
      <w:r w:rsidR="00540DE6">
        <w:t xml:space="preserve">1447/2006, </w:t>
      </w:r>
      <w:r w:rsidR="00540DE6" w:rsidRPr="0073522F">
        <w:rPr>
          <w:i/>
          <w:iCs/>
        </w:rPr>
        <w:t>Amirov</w:t>
      </w:r>
      <w:r w:rsidR="003318FD">
        <w:rPr>
          <w:i/>
          <w:iCs/>
        </w:rPr>
        <w:t xml:space="preserve"> and Amirova</w:t>
      </w:r>
      <w:r w:rsidR="00540DE6" w:rsidRPr="0073522F">
        <w:rPr>
          <w:i/>
          <w:iCs/>
        </w:rPr>
        <w:t xml:space="preserve"> </w:t>
      </w:r>
      <w:r w:rsidR="00540DE6" w:rsidRPr="00775F10">
        <w:t>v.</w:t>
      </w:r>
      <w:r w:rsidR="00540DE6" w:rsidRPr="0073522F">
        <w:rPr>
          <w:i/>
          <w:iCs/>
        </w:rPr>
        <w:t xml:space="preserve"> Russian Federation</w:t>
      </w:r>
      <w:r w:rsidR="00540DE6">
        <w:t>, Views</w:t>
      </w:r>
      <w:r w:rsidR="0073522F">
        <w:t xml:space="preserve"> adopted on 2 April 2009, para. </w:t>
      </w:r>
      <w:r w:rsidR="00540DE6">
        <w:t>11.2; a</w:t>
      </w:r>
      <w:r w:rsidR="0073522F">
        <w:t>nd No. </w:t>
      </w:r>
      <w:r w:rsidR="00540DE6">
        <w:t xml:space="preserve">1436/2005, </w:t>
      </w:r>
      <w:r w:rsidR="00540DE6" w:rsidRPr="0073522F">
        <w:rPr>
          <w:i/>
          <w:iCs/>
        </w:rPr>
        <w:t xml:space="preserve">Sathasivam and Saraswathi </w:t>
      </w:r>
      <w:r w:rsidR="00540DE6" w:rsidRPr="00775F10">
        <w:t>v.</w:t>
      </w:r>
      <w:r w:rsidR="00540DE6" w:rsidRPr="0073522F">
        <w:rPr>
          <w:i/>
          <w:iCs/>
        </w:rPr>
        <w:t xml:space="preserve"> Sri Lanka</w:t>
      </w:r>
      <w:r w:rsidR="00540DE6">
        <w:t>, Views adopted on 8 July 2008, para.</w:t>
      </w:r>
      <w:r w:rsidR="0073522F">
        <w:t> </w:t>
      </w:r>
      <w:r w:rsidR="00540DE6">
        <w:t>6.4.</w:t>
      </w:r>
    </w:p>
  </w:footnote>
  <w:footnote w:id="13">
    <w:p w:rsidR="00114FEE" w:rsidRPr="00114FEE" w:rsidRDefault="009917E1" w:rsidP="0097386F">
      <w:pPr>
        <w:pStyle w:val="FootnoteText"/>
        <w:rPr>
          <w:szCs w:val="18"/>
        </w:rPr>
      </w:pPr>
      <w:r>
        <w:tab/>
      </w:r>
      <w:r w:rsidR="00114FEE" w:rsidRPr="009917E1">
        <w:rPr>
          <w:rStyle w:val="FootnoteReference"/>
        </w:rPr>
        <w:footnoteRef/>
      </w:r>
      <w:r>
        <w:tab/>
      </w:r>
      <w:r w:rsidR="00F74261">
        <w:t xml:space="preserve">General </w:t>
      </w:r>
      <w:r w:rsidR="003318FD">
        <w:t>c</w:t>
      </w:r>
      <w:r w:rsidR="00F74261">
        <w:t>omment No. </w:t>
      </w:r>
      <w:r w:rsidR="00457FBC" w:rsidRPr="00457FBC">
        <w:t>31</w:t>
      </w:r>
      <w:r w:rsidR="003318FD">
        <w:t xml:space="preserve"> (2004) on the nature of the general legal obligation imposed on States Parties to the Covenant</w:t>
      </w:r>
      <w:r w:rsidR="003318FD">
        <w:rPr>
          <w:lang w:eastAsia="fr-CH"/>
        </w:rPr>
        <w:t>, para. 18</w:t>
      </w:r>
      <w:r w:rsidR="0073522F">
        <w:rPr>
          <w:lang w:eastAsia="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1A2" w:rsidRPr="001365B2" w:rsidRDefault="001365B2" w:rsidP="001365B2">
    <w:pPr>
      <w:pStyle w:val="Header"/>
    </w:pPr>
    <w:r w:rsidRPr="001365B2">
      <w:t>CCPR/C/112/D/</w:t>
    </w:r>
    <w:r>
      <w:t>1965/2010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1A2" w:rsidRPr="001365B2" w:rsidRDefault="001365B2" w:rsidP="001365B2">
    <w:pPr>
      <w:pBdr>
        <w:bottom w:val="single" w:sz="4" w:space="4" w:color="auto"/>
      </w:pBdr>
      <w:spacing w:line="240" w:lineRule="auto"/>
      <w:jc w:val="right"/>
      <w:rPr>
        <w:b/>
        <w:sz w:val="18"/>
      </w:rPr>
    </w:pPr>
    <w:r>
      <w:rPr>
        <w:b/>
        <w:sz w:val="18"/>
      </w:rPr>
      <w:t>CCPR/C/112/D/1965/2010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FA08C944"/>
    <w:lvl w:ilvl="0" w:tplc="C1046346">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6E1425"/>
    <w:multiLevelType w:val="hybridMultilevel"/>
    <w:tmpl w:val="0B06420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3C3A2DCB"/>
    <w:multiLevelType w:val="hybridMultilevel"/>
    <w:tmpl w:val="1AD4AF5A"/>
    <w:lvl w:ilvl="0" w:tplc="0809000F">
      <w:start w:val="1"/>
      <w:numFmt w:val="decimal"/>
      <w:lvlText w:val="%1."/>
      <w:lvlJc w:val="left"/>
      <w:pPr>
        <w:ind w:left="2064" w:hanging="360"/>
      </w:pPr>
    </w:lvl>
    <w:lvl w:ilvl="1" w:tplc="08090019">
      <w:start w:val="1"/>
      <w:numFmt w:val="lowerLetter"/>
      <w:lvlText w:val="%2."/>
      <w:lvlJc w:val="left"/>
      <w:pPr>
        <w:ind w:left="2784" w:hanging="360"/>
      </w:pPr>
    </w:lvl>
    <w:lvl w:ilvl="2" w:tplc="0809001B" w:tentative="1">
      <w:start w:val="1"/>
      <w:numFmt w:val="lowerRoman"/>
      <w:lvlText w:val="%3."/>
      <w:lvlJc w:val="right"/>
      <w:pPr>
        <w:ind w:left="3504" w:hanging="180"/>
      </w:pPr>
    </w:lvl>
    <w:lvl w:ilvl="3" w:tplc="0809000F" w:tentative="1">
      <w:start w:val="1"/>
      <w:numFmt w:val="decimal"/>
      <w:lvlText w:val="%4."/>
      <w:lvlJc w:val="left"/>
      <w:pPr>
        <w:ind w:left="4224" w:hanging="360"/>
      </w:pPr>
    </w:lvl>
    <w:lvl w:ilvl="4" w:tplc="08090019" w:tentative="1">
      <w:start w:val="1"/>
      <w:numFmt w:val="lowerLetter"/>
      <w:lvlText w:val="%5."/>
      <w:lvlJc w:val="left"/>
      <w:pPr>
        <w:ind w:left="4944" w:hanging="360"/>
      </w:pPr>
    </w:lvl>
    <w:lvl w:ilvl="5" w:tplc="0809001B" w:tentative="1">
      <w:start w:val="1"/>
      <w:numFmt w:val="lowerRoman"/>
      <w:lvlText w:val="%6."/>
      <w:lvlJc w:val="right"/>
      <w:pPr>
        <w:ind w:left="5664" w:hanging="180"/>
      </w:pPr>
    </w:lvl>
    <w:lvl w:ilvl="6" w:tplc="0809000F" w:tentative="1">
      <w:start w:val="1"/>
      <w:numFmt w:val="decimal"/>
      <w:lvlText w:val="%7."/>
      <w:lvlJc w:val="left"/>
      <w:pPr>
        <w:ind w:left="6384" w:hanging="360"/>
      </w:pPr>
    </w:lvl>
    <w:lvl w:ilvl="7" w:tplc="08090019" w:tentative="1">
      <w:start w:val="1"/>
      <w:numFmt w:val="lowerLetter"/>
      <w:lvlText w:val="%8."/>
      <w:lvlJc w:val="left"/>
      <w:pPr>
        <w:ind w:left="7104" w:hanging="360"/>
      </w:pPr>
    </w:lvl>
    <w:lvl w:ilvl="8" w:tplc="0809001B" w:tentative="1">
      <w:start w:val="1"/>
      <w:numFmt w:val="lowerRoman"/>
      <w:lvlText w:val="%9."/>
      <w:lvlJc w:val="right"/>
      <w:pPr>
        <w:ind w:left="7824" w:hanging="180"/>
      </w:pPr>
    </w:lvl>
  </w:abstractNum>
  <w:abstractNum w:abstractNumId="3" w15:restartNumberingAfterBreak="0">
    <w:nsid w:val="3EB60DCF"/>
    <w:multiLevelType w:val="hybridMultilevel"/>
    <w:tmpl w:val="56ECFA80"/>
    <w:lvl w:ilvl="0" w:tplc="E490ED54">
      <w:start w:val="1"/>
      <w:numFmt w:val="decimal"/>
      <w:lvlText w:val="%1."/>
      <w:lvlJc w:val="left"/>
      <w:pPr>
        <w:ind w:left="1353" w:hanging="360"/>
      </w:pPr>
      <w:rPr>
        <w:rFonts w:hint="default"/>
      </w:rPr>
    </w:lvl>
    <w:lvl w:ilvl="1" w:tplc="04090019">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5162AD3"/>
    <w:multiLevelType w:val="hybridMultilevel"/>
    <w:tmpl w:val="2B54BD1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0"/>
  </w:num>
  <w:num w:numId="2">
    <w:abstractNumId w:val="4"/>
  </w:num>
  <w:num w:numId="3">
    <w:abstractNumId w:val="3"/>
  </w:num>
  <w:num w:numId="4">
    <w:abstractNumId w:val="5"/>
  </w:num>
  <w:num w:numId="5">
    <w:abstractNumId w:val="1"/>
  </w:num>
  <w:num w:numId="6">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n-CA" w:vendorID="64" w:dllVersion="131078" w:nlCheck="1" w:checkStyle="1"/>
  <w:activeWritingStyle w:appName="MSWord" w:lang="es-ES_tradnl"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 w:id="1"/>
  </w:footnotePr>
  <w:endnotePr>
    <w:numFmt w:val="decimal"/>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403F"/>
    <w:rsid w:val="0000566D"/>
    <w:rsid w:val="00014183"/>
    <w:rsid w:val="000145D5"/>
    <w:rsid w:val="000152A6"/>
    <w:rsid w:val="00017319"/>
    <w:rsid w:val="00020888"/>
    <w:rsid w:val="00020AC6"/>
    <w:rsid w:val="00021BA2"/>
    <w:rsid w:val="000272B3"/>
    <w:rsid w:val="00032DC0"/>
    <w:rsid w:val="0003308B"/>
    <w:rsid w:val="00033BA1"/>
    <w:rsid w:val="00034772"/>
    <w:rsid w:val="0003563B"/>
    <w:rsid w:val="00041FD1"/>
    <w:rsid w:val="000453FF"/>
    <w:rsid w:val="0004590B"/>
    <w:rsid w:val="00045DC7"/>
    <w:rsid w:val="000465E9"/>
    <w:rsid w:val="00050F6B"/>
    <w:rsid w:val="000515FC"/>
    <w:rsid w:val="00052176"/>
    <w:rsid w:val="00052614"/>
    <w:rsid w:val="00054A27"/>
    <w:rsid w:val="00055010"/>
    <w:rsid w:val="00055AB1"/>
    <w:rsid w:val="00057E97"/>
    <w:rsid w:val="00060BAC"/>
    <w:rsid w:val="00060C3A"/>
    <w:rsid w:val="00061A16"/>
    <w:rsid w:val="00072C8C"/>
    <w:rsid w:val="00073396"/>
    <w:rsid w:val="000733B5"/>
    <w:rsid w:val="0007402B"/>
    <w:rsid w:val="00074EAD"/>
    <w:rsid w:val="00075CDE"/>
    <w:rsid w:val="00080687"/>
    <w:rsid w:val="000815F8"/>
    <w:rsid w:val="00081815"/>
    <w:rsid w:val="000832E7"/>
    <w:rsid w:val="000852F7"/>
    <w:rsid w:val="00086A78"/>
    <w:rsid w:val="00086C77"/>
    <w:rsid w:val="000900C1"/>
    <w:rsid w:val="00090E36"/>
    <w:rsid w:val="00092335"/>
    <w:rsid w:val="00092707"/>
    <w:rsid w:val="000931C0"/>
    <w:rsid w:val="000A3FBC"/>
    <w:rsid w:val="000A4389"/>
    <w:rsid w:val="000A604D"/>
    <w:rsid w:val="000A64AB"/>
    <w:rsid w:val="000B175B"/>
    <w:rsid w:val="000B2E75"/>
    <w:rsid w:val="000B3A0F"/>
    <w:rsid w:val="000B4EF7"/>
    <w:rsid w:val="000B55ED"/>
    <w:rsid w:val="000C2C03"/>
    <w:rsid w:val="000C2D2E"/>
    <w:rsid w:val="000C3595"/>
    <w:rsid w:val="000C3F4E"/>
    <w:rsid w:val="000C4468"/>
    <w:rsid w:val="000C74B0"/>
    <w:rsid w:val="000C76CA"/>
    <w:rsid w:val="000D2D74"/>
    <w:rsid w:val="000D2E5A"/>
    <w:rsid w:val="000D4285"/>
    <w:rsid w:val="000D48F0"/>
    <w:rsid w:val="000D6293"/>
    <w:rsid w:val="000D7499"/>
    <w:rsid w:val="000E0213"/>
    <w:rsid w:val="000E0415"/>
    <w:rsid w:val="000E2EB0"/>
    <w:rsid w:val="000E3269"/>
    <w:rsid w:val="000E3A18"/>
    <w:rsid w:val="000E41B0"/>
    <w:rsid w:val="000E6A96"/>
    <w:rsid w:val="000E7BD3"/>
    <w:rsid w:val="000F0970"/>
    <w:rsid w:val="000F2599"/>
    <w:rsid w:val="000F29B1"/>
    <w:rsid w:val="000F406A"/>
    <w:rsid w:val="000F50C7"/>
    <w:rsid w:val="00100E14"/>
    <w:rsid w:val="001020B8"/>
    <w:rsid w:val="00106150"/>
    <w:rsid w:val="00106A55"/>
    <w:rsid w:val="00107EA6"/>
    <w:rsid w:val="001103AA"/>
    <w:rsid w:val="00110461"/>
    <w:rsid w:val="00113D0C"/>
    <w:rsid w:val="00114FEE"/>
    <w:rsid w:val="00122BFE"/>
    <w:rsid w:val="001304EC"/>
    <w:rsid w:val="00131885"/>
    <w:rsid w:val="001320D1"/>
    <w:rsid w:val="001338AC"/>
    <w:rsid w:val="001365B2"/>
    <w:rsid w:val="001373EE"/>
    <w:rsid w:val="00137A30"/>
    <w:rsid w:val="00140AAE"/>
    <w:rsid w:val="0014133B"/>
    <w:rsid w:val="001435F5"/>
    <w:rsid w:val="0014612D"/>
    <w:rsid w:val="00151E34"/>
    <w:rsid w:val="00152D03"/>
    <w:rsid w:val="00156045"/>
    <w:rsid w:val="001605F7"/>
    <w:rsid w:val="00163BE7"/>
    <w:rsid w:val="00163DFA"/>
    <w:rsid w:val="00165F3A"/>
    <w:rsid w:val="001731A2"/>
    <w:rsid w:val="00173FC7"/>
    <w:rsid w:val="001771B0"/>
    <w:rsid w:val="00180BD8"/>
    <w:rsid w:val="00180BDE"/>
    <w:rsid w:val="00183968"/>
    <w:rsid w:val="00183CA9"/>
    <w:rsid w:val="00184CD5"/>
    <w:rsid w:val="00185237"/>
    <w:rsid w:val="00185333"/>
    <w:rsid w:val="001900B4"/>
    <w:rsid w:val="00191F6F"/>
    <w:rsid w:val="00193AE2"/>
    <w:rsid w:val="001A0EFE"/>
    <w:rsid w:val="001A555E"/>
    <w:rsid w:val="001A6686"/>
    <w:rsid w:val="001A7BC7"/>
    <w:rsid w:val="001B2145"/>
    <w:rsid w:val="001B4B04"/>
    <w:rsid w:val="001B71CE"/>
    <w:rsid w:val="001C5D3E"/>
    <w:rsid w:val="001C6663"/>
    <w:rsid w:val="001C6D95"/>
    <w:rsid w:val="001C7895"/>
    <w:rsid w:val="001D0C8C"/>
    <w:rsid w:val="001D26DF"/>
    <w:rsid w:val="001D2FCE"/>
    <w:rsid w:val="001D3A03"/>
    <w:rsid w:val="001D5BF2"/>
    <w:rsid w:val="001D73A3"/>
    <w:rsid w:val="001D7EC0"/>
    <w:rsid w:val="001E397C"/>
    <w:rsid w:val="001E4C5C"/>
    <w:rsid w:val="001E591C"/>
    <w:rsid w:val="001E7079"/>
    <w:rsid w:val="001E75AA"/>
    <w:rsid w:val="001E78D1"/>
    <w:rsid w:val="001F077E"/>
    <w:rsid w:val="001F1116"/>
    <w:rsid w:val="001F59AB"/>
    <w:rsid w:val="001F63D3"/>
    <w:rsid w:val="001F795E"/>
    <w:rsid w:val="00202DA8"/>
    <w:rsid w:val="00203035"/>
    <w:rsid w:val="00203AE9"/>
    <w:rsid w:val="0020567E"/>
    <w:rsid w:val="00205C6B"/>
    <w:rsid w:val="00206688"/>
    <w:rsid w:val="00211E0B"/>
    <w:rsid w:val="002145DF"/>
    <w:rsid w:val="00215CD6"/>
    <w:rsid w:val="00226E4C"/>
    <w:rsid w:val="00230E72"/>
    <w:rsid w:val="00231763"/>
    <w:rsid w:val="0023210C"/>
    <w:rsid w:val="00235119"/>
    <w:rsid w:val="00235A0A"/>
    <w:rsid w:val="00235C57"/>
    <w:rsid w:val="00241CBB"/>
    <w:rsid w:val="00242C7F"/>
    <w:rsid w:val="00250816"/>
    <w:rsid w:val="00251924"/>
    <w:rsid w:val="00251FF1"/>
    <w:rsid w:val="00254830"/>
    <w:rsid w:val="002552CA"/>
    <w:rsid w:val="002640B0"/>
    <w:rsid w:val="00267043"/>
    <w:rsid w:val="00267F5F"/>
    <w:rsid w:val="002729D1"/>
    <w:rsid w:val="00272A7E"/>
    <w:rsid w:val="002736CA"/>
    <w:rsid w:val="00274348"/>
    <w:rsid w:val="002771ED"/>
    <w:rsid w:val="0028000B"/>
    <w:rsid w:val="00281CDE"/>
    <w:rsid w:val="00283B28"/>
    <w:rsid w:val="00283B7C"/>
    <w:rsid w:val="00283FF9"/>
    <w:rsid w:val="002860CD"/>
    <w:rsid w:val="00286B4D"/>
    <w:rsid w:val="00286C38"/>
    <w:rsid w:val="00286C94"/>
    <w:rsid w:val="002878F3"/>
    <w:rsid w:val="00287B9C"/>
    <w:rsid w:val="0029147D"/>
    <w:rsid w:val="00291B13"/>
    <w:rsid w:val="00291E1C"/>
    <w:rsid w:val="00292A86"/>
    <w:rsid w:val="00295898"/>
    <w:rsid w:val="002A0268"/>
    <w:rsid w:val="002A431C"/>
    <w:rsid w:val="002A6F20"/>
    <w:rsid w:val="002A7C9F"/>
    <w:rsid w:val="002B060A"/>
    <w:rsid w:val="002B13DF"/>
    <w:rsid w:val="002B22DA"/>
    <w:rsid w:val="002B5002"/>
    <w:rsid w:val="002B7658"/>
    <w:rsid w:val="002B7F88"/>
    <w:rsid w:val="002C097D"/>
    <w:rsid w:val="002C1368"/>
    <w:rsid w:val="002C164D"/>
    <w:rsid w:val="002C3A50"/>
    <w:rsid w:val="002C43C3"/>
    <w:rsid w:val="002C5919"/>
    <w:rsid w:val="002C6E0A"/>
    <w:rsid w:val="002D1BED"/>
    <w:rsid w:val="002D479F"/>
    <w:rsid w:val="002D4991"/>
    <w:rsid w:val="002D4D24"/>
    <w:rsid w:val="002D5B7E"/>
    <w:rsid w:val="002E0980"/>
    <w:rsid w:val="002F0735"/>
    <w:rsid w:val="002F175C"/>
    <w:rsid w:val="002F51E0"/>
    <w:rsid w:val="002F6E04"/>
    <w:rsid w:val="003014D1"/>
    <w:rsid w:val="0030177A"/>
    <w:rsid w:val="00305793"/>
    <w:rsid w:val="00306BD7"/>
    <w:rsid w:val="003070D2"/>
    <w:rsid w:val="00307282"/>
    <w:rsid w:val="00307833"/>
    <w:rsid w:val="00314C80"/>
    <w:rsid w:val="003154D3"/>
    <w:rsid w:val="0031759C"/>
    <w:rsid w:val="003229D8"/>
    <w:rsid w:val="0032559F"/>
    <w:rsid w:val="00325D69"/>
    <w:rsid w:val="003315CE"/>
    <w:rsid w:val="003318FD"/>
    <w:rsid w:val="00335E91"/>
    <w:rsid w:val="00335FBD"/>
    <w:rsid w:val="003415D8"/>
    <w:rsid w:val="0034299E"/>
    <w:rsid w:val="00343832"/>
    <w:rsid w:val="00346A32"/>
    <w:rsid w:val="00347C29"/>
    <w:rsid w:val="00352709"/>
    <w:rsid w:val="00353AC0"/>
    <w:rsid w:val="00357BF4"/>
    <w:rsid w:val="003609D9"/>
    <w:rsid w:val="0036260F"/>
    <w:rsid w:val="00363645"/>
    <w:rsid w:val="0036403F"/>
    <w:rsid w:val="00367567"/>
    <w:rsid w:val="003700C3"/>
    <w:rsid w:val="00371178"/>
    <w:rsid w:val="00372858"/>
    <w:rsid w:val="003732FC"/>
    <w:rsid w:val="00375BF6"/>
    <w:rsid w:val="00375E0A"/>
    <w:rsid w:val="003765E2"/>
    <w:rsid w:val="00376AF4"/>
    <w:rsid w:val="0037790B"/>
    <w:rsid w:val="0038336C"/>
    <w:rsid w:val="00391A6E"/>
    <w:rsid w:val="00391F32"/>
    <w:rsid w:val="00392B2E"/>
    <w:rsid w:val="0039330F"/>
    <w:rsid w:val="00395AF6"/>
    <w:rsid w:val="00395EE3"/>
    <w:rsid w:val="00396A0E"/>
    <w:rsid w:val="00396B9D"/>
    <w:rsid w:val="00397753"/>
    <w:rsid w:val="003978FA"/>
    <w:rsid w:val="003A038A"/>
    <w:rsid w:val="003A04A5"/>
    <w:rsid w:val="003A15AE"/>
    <w:rsid w:val="003A3F96"/>
    <w:rsid w:val="003A495C"/>
    <w:rsid w:val="003A5A7C"/>
    <w:rsid w:val="003A5B41"/>
    <w:rsid w:val="003A6810"/>
    <w:rsid w:val="003B26D6"/>
    <w:rsid w:val="003B5F2F"/>
    <w:rsid w:val="003C0426"/>
    <w:rsid w:val="003C18EA"/>
    <w:rsid w:val="003C2CC4"/>
    <w:rsid w:val="003C3C46"/>
    <w:rsid w:val="003C63BB"/>
    <w:rsid w:val="003C704D"/>
    <w:rsid w:val="003C799B"/>
    <w:rsid w:val="003C7ADC"/>
    <w:rsid w:val="003D4B23"/>
    <w:rsid w:val="003D4B32"/>
    <w:rsid w:val="003E246F"/>
    <w:rsid w:val="003F0C62"/>
    <w:rsid w:val="003F105D"/>
    <w:rsid w:val="003F33B2"/>
    <w:rsid w:val="003F3768"/>
    <w:rsid w:val="003F6BD1"/>
    <w:rsid w:val="00402E8A"/>
    <w:rsid w:val="0040591C"/>
    <w:rsid w:val="00410257"/>
    <w:rsid w:val="004106B2"/>
    <w:rsid w:val="00410C89"/>
    <w:rsid w:val="0041243A"/>
    <w:rsid w:val="00415A95"/>
    <w:rsid w:val="00415D04"/>
    <w:rsid w:val="00420118"/>
    <w:rsid w:val="00420BC8"/>
    <w:rsid w:val="004221CA"/>
    <w:rsid w:val="00425078"/>
    <w:rsid w:val="004250F9"/>
    <w:rsid w:val="0042699D"/>
    <w:rsid w:val="00426B9B"/>
    <w:rsid w:val="00427394"/>
    <w:rsid w:val="00430255"/>
    <w:rsid w:val="004324B3"/>
    <w:rsid w:val="004325CB"/>
    <w:rsid w:val="0043345C"/>
    <w:rsid w:val="00433842"/>
    <w:rsid w:val="00436A4F"/>
    <w:rsid w:val="00436B33"/>
    <w:rsid w:val="004374CA"/>
    <w:rsid w:val="00441731"/>
    <w:rsid w:val="00442A83"/>
    <w:rsid w:val="00445DAE"/>
    <w:rsid w:val="00453B9C"/>
    <w:rsid w:val="00453BB6"/>
    <w:rsid w:val="00453CC6"/>
    <w:rsid w:val="0045495B"/>
    <w:rsid w:val="004549AF"/>
    <w:rsid w:val="00454EF3"/>
    <w:rsid w:val="00455CFB"/>
    <w:rsid w:val="00457FBC"/>
    <w:rsid w:val="00461991"/>
    <w:rsid w:val="004664D7"/>
    <w:rsid w:val="004706C0"/>
    <w:rsid w:val="00470B33"/>
    <w:rsid w:val="004735EA"/>
    <w:rsid w:val="004754D7"/>
    <w:rsid w:val="0047786F"/>
    <w:rsid w:val="00477FA8"/>
    <w:rsid w:val="0048044F"/>
    <w:rsid w:val="0048077C"/>
    <w:rsid w:val="00483364"/>
    <w:rsid w:val="004864B4"/>
    <w:rsid w:val="00486D0B"/>
    <w:rsid w:val="00486DD3"/>
    <w:rsid w:val="00487488"/>
    <w:rsid w:val="00490C60"/>
    <w:rsid w:val="004925C1"/>
    <w:rsid w:val="00493411"/>
    <w:rsid w:val="004A0296"/>
    <w:rsid w:val="004A2F6C"/>
    <w:rsid w:val="004A3C28"/>
    <w:rsid w:val="004A3D69"/>
    <w:rsid w:val="004A55E0"/>
    <w:rsid w:val="004A61B7"/>
    <w:rsid w:val="004A6431"/>
    <w:rsid w:val="004A6500"/>
    <w:rsid w:val="004B0DFF"/>
    <w:rsid w:val="004B1BE8"/>
    <w:rsid w:val="004B24F3"/>
    <w:rsid w:val="004B48C6"/>
    <w:rsid w:val="004B5C80"/>
    <w:rsid w:val="004C130C"/>
    <w:rsid w:val="004C2856"/>
    <w:rsid w:val="004C2AF3"/>
    <w:rsid w:val="004C606E"/>
    <w:rsid w:val="004C7A8B"/>
    <w:rsid w:val="004D0D25"/>
    <w:rsid w:val="004D1E06"/>
    <w:rsid w:val="004E5314"/>
    <w:rsid w:val="004E6D3C"/>
    <w:rsid w:val="004F1A45"/>
    <w:rsid w:val="004F1C2E"/>
    <w:rsid w:val="004F2A81"/>
    <w:rsid w:val="004F679B"/>
    <w:rsid w:val="004F6938"/>
    <w:rsid w:val="004F72C1"/>
    <w:rsid w:val="00500342"/>
    <w:rsid w:val="00501DDA"/>
    <w:rsid w:val="005056D0"/>
    <w:rsid w:val="00505C09"/>
    <w:rsid w:val="00513103"/>
    <w:rsid w:val="0051476E"/>
    <w:rsid w:val="0052136D"/>
    <w:rsid w:val="00522FA7"/>
    <w:rsid w:val="005250EA"/>
    <w:rsid w:val="00525B07"/>
    <w:rsid w:val="00526222"/>
    <w:rsid w:val="0052775E"/>
    <w:rsid w:val="00531383"/>
    <w:rsid w:val="00531EF1"/>
    <w:rsid w:val="00534452"/>
    <w:rsid w:val="00540DE6"/>
    <w:rsid w:val="00540E55"/>
    <w:rsid w:val="00541215"/>
    <w:rsid w:val="005420F2"/>
    <w:rsid w:val="00542101"/>
    <w:rsid w:val="005451EE"/>
    <w:rsid w:val="00545670"/>
    <w:rsid w:val="0055018F"/>
    <w:rsid w:val="005545AE"/>
    <w:rsid w:val="005628B6"/>
    <w:rsid w:val="0056629B"/>
    <w:rsid w:val="005727DA"/>
    <w:rsid w:val="00580299"/>
    <w:rsid w:val="0058078D"/>
    <w:rsid w:val="00582B9C"/>
    <w:rsid w:val="00583108"/>
    <w:rsid w:val="005848B3"/>
    <w:rsid w:val="00590F87"/>
    <w:rsid w:val="00591A3F"/>
    <w:rsid w:val="00592C4A"/>
    <w:rsid w:val="00593EDA"/>
    <w:rsid w:val="005A0A1D"/>
    <w:rsid w:val="005A2802"/>
    <w:rsid w:val="005A513F"/>
    <w:rsid w:val="005A7E75"/>
    <w:rsid w:val="005B00B0"/>
    <w:rsid w:val="005B025D"/>
    <w:rsid w:val="005B2188"/>
    <w:rsid w:val="005B3DB3"/>
    <w:rsid w:val="005C0C80"/>
    <w:rsid w:val="005C5233"/>
    <w:rsid w:val="005D698A"/>
    <w:rsid w:val="005E1105"/>
    <w:rsid w:val="005E11A2"/>
    <w:rsid w:val="005E5D50"/>
    <w:rsid w:val="005E6F02"/>
    <w:rsid w:val="005E753F"/>
    <w:rsid w:val="005F0B57"/>
    <w:rsid w:val="005F0DE6"/>
    <w:rsid w:val="005F1CB2"/>
    <w:rsid w:val="005F1F87"/>
    <w:rsid w:val="005F2D69"/>
    <w:rsid w:val="005F60D1"/>
    <w:rsid w:val="005F7717"/>
    <w:rsid w:val="005F7B75"/>
    <w:rsid w:val="006001EE"/>
    <w:rsid w:val="006005AF"/>
    <w:rsid w:val="00600AB5"/>
    <w:rsid w:val="00602D01"/>
    <w:rsid w:val="00605042"/>
    <w:rsid w:val="00606EF7"/>
    <w:rsid w:val="00607EBE"/>
    <w:rsid w:val="00611FC4"/>
    <w:rsid w:val="00612E9F"/>
    <w:rsid w:val="00614E97"/>
    <w:rsid w:val="006176FB"/>
    <w:rsid w:val="006236DC"/>
    <w:rsid w:val="00626A57"/>
    <w:rsid w:val="00630626"/>
    <w:rsid w:val="0063677E"/>
    <w:rsid w:val="00640B26"/>
    <w:rsid w:val="00641858"/>
    <w:rsid w:val="00641A12"/>
    <w:rsid w:val="00642B69"/>
    <w:rsid w:val="00643456"/>
    <w:rsid w:val="00650959"/>
    <w:rsid w:val="0065189A"/>
    <w:rsid w:val="00652D0A"/>
    <w:rsid w:val="00653789"/>
    <w:rsid w:val="006549A8"/>
    <w:rsid w:val="00656C70"/>
    <w:rsid w:val="006572E3"/>
    <w:rsid w:val="00657B73"/>
    <w:rsid w:val="00662BB6"/>
    <w:rsid w:val="0066490C"/>
    <w:rsid w:val="00664A25"/>
    <w:rsid w:val="0066603B"/>
    <w:rsid w:val="00666311"/>
    <w:rsid w:val="006705E4"/>
    <w:rsid w:val="00670C0D"/>
    <w:rsid w:val="00672FFC"/>
    <w:rsid w:val="00682157"/>
    <w:rsid w:val="00684C21"/>
    <w:rsid w:val="0069117B"/>
    <w:rsid w:val="00694117"/>
    <w:rsid w:val="00697A87"/>
    <w:rsid w:val="006A49BE"/>
    <w:rsid w:val="006A5B00"/>
    <w:rsid w:val="006A74FA"/>
    <w:rsid w:val="006A7F24"/>
    <w:rsid w:val="006B5F31"/>
    <w:rsid w:val="006B6D84"/>
    <w:rsid w:val="006C38F0"/>
    <w:rsid w:val="006C58FE"/>
    <w:rsid w:val="006C6941"/>
    <w:rsid w:val="006D0CF9"/>
    <w:rsid w:val="006D37AF"/>
    <w:rsid w:val="006D4A97"/>
    <w:rsid w:val="006D51D0"/>
    <w:rsid w:val="006E05CC"/>
    <w:rsid w:val="006E0943"/>
    <w:rsid w:val="006E40EE"/>
    <w:rsid w:val="006E564B"/>
    <w:rsid w:val="006E6C09"/>
    <w:rsid w:val="006E7191"/>
    <w:rsid w:val="006F1C20"/>
    <w:rsid w:val="006F3B56"/>
    <w:rsid w:val="006F4968"/>
    <w:rsid w:val="00701B43"/>
    <w:rsid w:val="0070292B"/>
    <w:rsid w:val="00703577"/>
    <w:rsid w:val="00705BF1"/>
    <w:rsid w:val="00711357"/>
    <w:rsid w:val="007136F7"/>
    <w:rsid w:val="0072079E"/>
    <w:rsid w:val="00722616"/>
    <w:rsid w:val="00724F27"/>
    <w:rsid w:val="007262A0"/>
    <w:rsid w:val="0072632A"/>
    <w:rsid w:val="007279FE"/>
    <w:rsid w:val="007327D5"/>
    <w:rsid w:val="00734DB6"/>
    <w:rsid w:val="0073522F"/>
    <w:rsid w:val="00736BC9"/>
    <w:rsid w:val="00741DC3"/>
    <w:rsid w:val="007427B1"/>
    <w:rsid w:val="00744A4D"/>
    <w:rsid w:val="00746F00"/>
    <w:rsid w:val="007541BC"/>
    <w:rsid w:val="007565E6"/>
    <w:rsid w:val="00760D86"/>
    <w:rsid w:val="00761DC1"/>
    <w:rsid w:val="007629C8"/>
    <w:rsid w:val="00762F99"/>
    <w:rsid w:val="00762FB5"/>
    <w:rsid w:val="00764012"/>
    <w:rsid w:val="0076687A"/>
    <w:rsid w:val="0076741E"/>
    <w:rsid w:val="007676EA"/>
    <w:rsid w:val="00772179"/>
    <w:rsid w:val="00773182"/>
    <w:rsid w:val="00773F2F"/>
    <w:rsid w:val="00775F10"/>
    <w:rsid w:val="007766FD"/>
    <w:rsid w:val="00782EBF"/>
    <w:rsid w:val="0078371E"/>
    <w:rsid w:val="00784543"/>
    <w:rsid w:val="00786747"/>
    <w:rsid w:val="007950FD"/>
    <w:rsid w:val="007A0C24"/>
    <w:rsid w:val="007A36D5"/>
    <w:rsid w:val="007A38CA"/>
    <w:rsid w:val="007A3CF5"/>
    <w:rsid w:val="007A3ED7"/>
    <w:rsid w:val="007A6A3E"/>
    <w:rsid w:val="007A713C"/>
    <w:rsid w:val="007B2384"/>
    <w:rsid w:val="007B4BA3"/>
    <w:rsid w:val="007B61DB"/>
    <w:rsid w:val="007B6A8B"/>
    <w:rsid w:val="007B6BA5"/>
    <w:rsid w:val="007C234C"/>
    <w:rsid w:val="007C3390"/>
    <w:rsid w:val="007C4F4B"/>
    <w:rsid w:val="007C784F"/>
    <w:rsid w:val="007D18B3"/>
    <w:rsid w:val="007D4AE0"/>
    <w:rsid w:val="007E0B2D"/>
    <w:rsid w:val="007E121D"/>
    <w:rsid w:val="007E6718"/>
    <w:rsid w:val="007F0927"/>
    <w:rsid w:val="007F6611"/>
    <w:rsid w:val="007F670F"/>
    <w:rsid w:val="008012F0"/>
    <w:rsid w:val="00802953"/>
    <w:rsid w:val="00807C9A"/>
    <w:rsid w:val="008105B8"/>
    <w:rsid w:val="00812F08"/>
    <w:rsid w:val="00812F17"/>
    <w:rsid w:val="008143F9"/>
    <w:rsid w:val="008216E8"/>
    <w:rsid w:val="00821AF4"/>
    <w:rsid w:val="008242D7"/>
    <w:rsid w:val="00825331"/>
    <w:rsid w:val="008257B1"/>
    <w:rsid w:val="00827F6C"/>
    <w:rsid w:val="00831238"/>
    <w:rsid w:val="0083179F"/>
    <w:rsid w:val="00831DCB"/>
    <w:rsid w:val="00832765"/>
    <w:rsid w:val="00832934"/>
    <w:rsid w:val="00834738"/>
    <w:rsid w:val="00837A23"/>
    <w:rsid w:val="008400C1"/>
    <w:rsid w:val="008413CA"/>
    <w:rsid w:val="00843767"/>
    <w:rsid w:val="00843AD3"/>
    <w:rsid w:val="00843F3B"/>
    <w:rsid w:val="00845AF4"/>
    <w:rsid w:val="00845BCC"/>
    <w:rsid w:val="00846C51"/>
    <w:rsid w:val="008508E3"/>
    <w:rsid w:val="008524B1"/>
    <w:rsid w:val="00853B70"/>
    <w:rsid w:val="00854943"/>
    <w:rsid w:val="008554BA"/>
    <w:rsid w:val="008569FD"/>
    <w:rsid w:val="0086064C"/>
    <w:rsid w:val="00860BD6"/>
    <w:rsid w:val="008613F5"/>
    <w:rsid w:val="00862DAE"/>
    <w:rsid w:val="00866607"/>
    <w:rsid w:val="00867158"/>
    <w:rsid w:val="008679D9"/>
    <w:rsid w:val="00872307"/>
    <w:rsid w:val="00873AEE"/>
    <w:rsid w:val="00873EFF"/>
    <w:rsid w:val="00874F50"/>
    <w:rsid w:val="00885ED3"/>
    <w:rsid w:val="008862E3"/>
    <w:rsid w:val="008870C4"/>
    <w:rsid w:val="0089085C"/>
    <w:rsid w:val="00892B0D"/>
    <w:rsid w:val="008934E3"/>
    <w:rsid w:val="00894493"/>
    <w:rsid w:val="008979B1"/>
    <w:rsid w:val="00897D32"/>
    <w:rsid w:val="008A1DB2"/>
    <w:rsid w:val="008A20FC"/>
    <w:rsid w:val="008A284A"/>
    <w:rsid w:val="008A295D"/>
    <w:rsid w:val="008A2E4D"/>
    <w:rsid w:val="008A4980"/>
    <w:rsid w:val="008A6B25"/>
    <w:rsid w:val="008A6C4F"/>
    <w:rsid w:val="008B0695"/>
    <w:rsid w:val="008B2335"/>
    <w:rsid w:val="008B3314"/>
    <w:rsid w:val="008C3867"/>
    <w:rsid w:val="008C65CA"/>
    <w:rsid w:val="008D030C"/>
    <w:rsid w:val="008D058C"/>
    <w:rsid w:val="008D2A33"/>
    <w:rsid w:val="008E0085"/>
    <w:rsid w:val="008E0678"/>
    <w:rsid w:val="008E639B"/>
    <w:rsid w:val="008E7BB6"/>
    <w:rsid w:val="008F2051"/>
    <w:rsid w:val="008F62FC"/>
    <w:rsid w:val="00904764"/>
    <w:rsid w:val="00904CCC"/>
    <w:rsid w:val="00910F40"/>
    <w:rsid w:val="00912251"/>
    <w:rsid w:val="00912C08"/>
    <w:rsid w:val="00913608"/>
    <w:rsid w:val="009161FA"/>
    <w:rsid w:val="0091732E"/>
    <w:rsid w:val="00920250"/>
    <w:rsid w:val="00920708"/>
    <w:rsid w:val="00920867"/>
    <w:rsid w:val="00920CDB"/>
    <w:rsid w:val="009223CA"/>
    <w:rsid w:val="009244F1"/>
    <w:rsid w:val="00935D61"/>
    <w:rsid w:val="00940F93"/>
    <w:rsid w:val="00944848"/>
    <w:rsid w:val="00945442"/>
    <w:rsid w:val="00946A8A"/>
    <w:rsid w:val="009477FF"/>
    <w:rsid w:val="00951889"/>
    <w:rsid w:val="009525FD"/>
    <w:rsid w:val="00952DB5"/>
    <w:rsid w:val="0095341A"/>
    <w:rsid w:val="0095347F"/>
    <w:rsid w:val="00953A55"/>
    <w:rsid w:val="00953CE7"/>
    <w:rsid w:val="0095404F"/>
    <w:rsid w:val="00954981"/>
    <w:rsid w:val="009569B0"/>
    <w:rsid w:val="009569BB"/>
    <w:rsid w:val="009607F1"/>
    <w:rsid w:val="009617F1"/>
    <w:rsid w:val="00961F38"/>
    <w:rsid w:val="00966E71"/>
    <w:rsid w:val="0097386F"/>
    <w:rsid w:val="0097411F"/>
    <w:rsid w:val="009760F3"/>
    <w:rsid w:val="0097706B"/>
    <w:rsid w:val="0098062F"/>
    <w:rsid w:val="0098097C"/>
    <w:rsid w:val="00982C0A"/>
    <w:rsid w:val="00982E30"/>
    <w:rsid w:val="00982EAD"/>
    <w:rsid w:val="0098388B"/>
    <w:rsid w:val="009909F5"/>
    <w:rsid w:val="009917E1"/>
    <w:rsid w:val="00992412"/>
    <w:rsid w:val="009958A8"/>
    <w:rsid w:val="009A0E8D"/>
    <w:rsid w:val="009A376B"/>
    <w:rsid w:val="009A6761"/>
    <w:rsid w:val="009A7CBB"/>
    <w:rsid w:val="009A7E4D"/>
    <w:rsid w:val="009B26E7"/>
    <w:rsid w:val="009B29C2"/>
    <w:rsid w:val="009B3199"/>
    <w:rsid w:val="009C2AF1"/>
    <w:rsid w:val="009C4212"/>
    <w:rsid w:val="009D001B"/>
    <w:rsid w:val="009D1915"/>
    <w:rsid w:val="009D196D"/>
    <w:rsid w:val="009D4C94"/>
    <w:rsid w:val="009D62F5"/>
    <w:rsid w:val="009D63E3"/>
    <w:rsid w:val="009E234F"/>
    <w:rsid w:val="009E2F76"/>
    <w:rsid w:val="009E4DDD"/>
    <w:rsid w:val="009F15CF"/>
    <w:rsid w:val="009F228C"/>
    <w:rsid w:val="009F444D"/>
    <w:rsid w:val="009F4C1A"/>
    <w:rsid w:val="00A00A3F"/>
    <w:rsid w:val="00A01489"/>
    <w:rsid w:val="00A02DDB"/>
    <w:rsid w:val="00A06CC0"/>
    <w:rsid w:val="00A10448"/>
    <w:rsid w:val="00A1094F"/>
    <w:rsid w:val="00A139F3"/>
    <w:rsid w:val="00A1567D"/>
    <w:rsid w:val="00A17A95"/>
    <w:rsid w:val="00A17F8F"/>
    <w:rsid w:val="00A20D54"/>
    <w:rsid w:val="00A250BB"/>
    <w:rsid w:val="00A313D9"/>
    <w:rsid w:val="00A31EF2"/>
    <w:rsid w:val="00A32335"/>
    <w:rsid w:val="00A32BDF"/>
    <w:rsid w:val="00A338F1"/>
    <w:rsid w:val="00A35073"/>
    <w:rsid w:val="00A4428F"/>
    <w:rsid w:val="00A443C6"/>
    <w:rsid w:val="00A4455D"/>
    <w:rsid w:val="00A44615"/>
    <w:rsid w:val="00A45D90"/>
    <w:rsid w:val="00A535CD"/>
    <w:rsid w:val="00A53E9B"/>
    <w:rsid w:val="00A55008"/>
    <w:rsid w:val="00A55355"/>
    <w:rsid w:val="00A56903"/>
    <w:rsid w:val="00A57977"/>
    <w:rsid w:val="00A57F19"/>
    <w:rsid w:val="00A62CEE"/>
    <w:rsid w:val="00A62D8D"/>
    <w:rsid w:val="00A70D15"/>
    <w:rsid w:val="00A70F75"/>
    <w:rsid w:val="00A7261B"/>
    <w:rsid w:val="00A72F22"/>
    <w:rsid w:val="00A7360F"/>
    <w:rsid w:val="00A747F6"/>
    <w:rsid w:val="00A748A6"/>
    <w:rsid w:val="00A76447"/>
    <w:rsid w:val="00A769F4"/>
    <w:rsid w:val="00A776B4"/>
    <w:rsid w:val="00A77D3A"/>
    <w:rsid w:val="00A8040C"/>
    <w:rsid w:val="00A80BE2"/>
    <w:rsid w:val="00A83D6F"/>
    <w:rsid w:val="00A83FBC"/>
    <w:rsid w:val="00A861B2"/>
    <w:rsid w:val="00A86581"/>
    <w:rsid w:val="00A90175"/>
    <w:rsid w:val="00A9244F"/>
    <w:rsid w:val="00A93955"/>
    <w:rsid w:val="00A94361"/>
    <w:rsid w:val="00A96ADE"/>
    <w:rsid w:val="00AA004B"/>
    <w:rsid w:val="00AA0D93"/>
    <w:rsid w:val="00AA293C"/>
    <w:rsid w:val="00AA6D12"/>
    <w:rsid w:val="00AA7319"/>
    <w:rsid w:val="00AB2CBC"/>
    <w:rsid w:val="00AB2F65"/>
    <w:rsid w:val="00AB36E8"/>
    <w:rsid w:val="00AB479E"/>
    <w:rsid w:val="00AC4B4B"/>
    <w:rsid w:val="00AC52B0"/>
    <w:rsid w:val="00AC691C"/>
    <w:rsid w:val="00AD1876"/>
    <w:rsid w:val="00AD511F"/>
    <w:rsid w:val="00AD5A1E"/>
    <w:rsid w:val="00AD7C83"/>
    <w:rsid w:val="00AD7D35"/>
    <w:rsid w:val="00AE18C9"/>
    <w:rsid w:val="00AE334A"/>
    <w:rsid w:val="00AE4ACC"/>
    <w:rsid w:val="00AE5F0C"/>
    <w:rsid w:val="00AE67C3"/>
    <w:rsid w:val="00AE7963"/>
    <w:rsid w:val="00AE7B26"/>
    <w:rsid w:val="00AF005E"/>
    <w:rsid w:val="00AF5260"/>
    <w:rsid w:val="00B00AB7"/>
    <w:rsid w:val="00B1343E"/>
    <w:rsid w:val="00B13862"/>
    <w:rsid w:val="00B13E9B"/>
    <w:rsid w:val="00B15275"/>
    <w:rsid w:val="00B16EB8"/>
    <w:rsid w:val="00B22656"/>
    <w:rsid w:val="00B23E5A"/>
    <w:rsid w:val="00B23ECE"/>
    <w:rsid w:val="00B24C2F"/>
    <w:rsid w:val="00B25E63"/>
    <w:rsid w:val="00B30179"/>
    <w:rsid w:val="00B339A7"/>
    <w:rsid w:val="00B34615"/>
    <w:rsid w:val="00B36128"/>
    <w:rsid w:val="00B40BFA"/>
    <w:rsid w:val="00B4242B"/>
    <w:rsid w:val="00B43DFD"/>
    <w:rsid w:val="00B43EB2"/>
    <w:rsid w:val="00B45A68"/>
    <w:rsid w:val="00B544BB"/>
    <w:rsid w:val="00B55936"/>
    <w:rsid w:val="00B56945"/>
    <w:rsid w:val="00B56E4A"/>
    <w:rsid w:val="00B56E9C"/>
    <w:rsid w:val="00B57AE6"/>
    <w:rsid w:val="00B6464A"/>
    <w:rsid w:val="00B64B1F"/>
    <w:rsid w:val="00B6553F"/>
    <w:rsid w:val="00B66E5E"/>
    <w:rsid w:val="00B6763D"/>
    <w:rsid w:val="00B7317F"/>
    <w:rsid w:val="00B7539A"/>
    <w:rsid w:val="00B77C67"/>
    <w:rsid w:val="00B77D05"/>
    <w:rsid w:val="00B80465"/>
    <w:rsid w:val="00B81206"/>
    <w:rsid w:val="00B81E12"/>
    <w:rsid w:val="00B85528"/>
    <w:rsid w:val="00B86891"/>
    <w:rsid w:val="00B869A4"/>
    <w:rsid w:val="00B9067B"/>
    <w:rsid w:val="00B90A79"/>
    <w:rsid w:val="00B91B0B"/>
    <w:rsid w:val="00B95D15"/>
    <w:rsid w:val="00B97C0C"/>
    <w:rsid w:val="00BA2230"/>
    <w:rsid w:val="00BA2400"/>
    <w:rsid w:val="00BA2D39"/>
    <w:rsid w:val="00BA3271"/>
    <w:rsid w:val="00BA58AD"/>
    <w:rsid w:val="00BB173B"/>
    <w:rsid w:val="00BB2112"/>
    <w:rsid w:val="00BB2A4F"/>
    <w:rsid w:val="00BB3777"/>
    <w:rsid w:val="00BB3C7F"/>
    <w:rsid w:val="00BB54B8"/>
    <w:rsid w:val="00BB6E3B"/>
    <w:rsid w:val="00BC2C23"/>
    <w:rsid w:val="00BC4912"/>
    <w:rsid w:val="00BC50A9"/>
    <w:rsid w:val="00BC74E9"/>
    <w:rsid w:val="00BC76C5"/>
    <w:rsid w:val="00BD47D0"/>
    <w:rsid w:val="00BD5791"/>
    <w:rsid w:val="00BE09BC"/>
    <w:rsid w:val="00BE3332"/>
    <w:rsid w:val="00BF22AF"/>
    <w:rsid w:val="00BF236B"/>
    <w:rsid w:val="00BF5750"/>
    <w:rsid w:val="00BF6599"/>
    <w:rsid w:val="00BF68A8"/>
    <w:rsid w:val="00C0020A"/>
    <w:rsid w:val="00C102FA"/>
    <w:rsid w:val="00C11801"/>
    <w:rsid w:val="00C11A03"/>
    <w:rsid w:val="00C130AD"/>
    <w:rsid w:val="00C14D76"/>
    <w:rsid w:val="00C15C5C"/>
    <w:rsid w:val="00C16E4D"/>
    <w:rsid w:val="00C16F7C"/>
    <w:rsid w:val="00C1704E"/>
    <w:rsid w:val="00C17666"/>
    <w:rsid w:val="00C179D5"/>
    <w:rsid w:val="00C17F21"/>
    <w:rsid w:val="00C22D34"/>
    <w:rsid w:val="00C22F10"/>
    <w:rsid w:val="00C26A16"/>
    <w:rsid w:val="00C26F59"/>
    <w:rsid w:val="00C27F85"/>
    <w:rsid w:val="00C30C54"/>
    <w:rsid w:val="00C3462B"/>
    <w:rsid w:val="00C3515E"/>
    <w:rsid w:val="00C406D1"/>
    <w:rsid w:val="00C44041"/>
    <w:rsid w:val="00C45AE3"/>
    <w:rsid w:val="00C463DD"/>
    <w:rsid w:val="00C4724C"/>
    <w:rsid w:val="00C527F0"/>
    <w:rsid w:val="00C54CE4"/>
    <w:rsid w:val="00C557A0"/>
    <w:rsid w:val="00C56309"/>
    <w:rsid w:val="00C625AA"/>
    <w:rsid w:val="00C629A0"/>
    <w:rsid w:val="00C63080"/>
    <w:rsid w:val="00C637D5"/>
    <w:rsid w:val="00C6461D"/>
    <w:rsid w:val="00C71EC8"/>
    <w:rsid w:val="00C72448"/>
    <w:rsid w:val="00C7253E"/>
    <w:rsid w:val="00C745C3"/>
    <w:rsid w:val="00C77DD2"/>
    <w:rsid w:val="00C8137F"/>
    <w:rsid w:val="00C81B79"/>
    <w:rsid w:val="00C835A4"/>
    <w:rsid w:val="00C836CD"/>
    <w:rsid w:val="00C84C93"/>
    <w:rsid w:val="00C90982"/>
    <w:rsid w:val="00C91D2F"/>
    <w:rsid w:val="00C94468"/>
    <w:rsid w:val="00C944B8"/>
    <w:rsid w:val="00C95388"/>
    <w:rsid w:val="00C956B3"/>
    <w:rsid w:val="00CA1661"/>
    <w:rsid w:val="00CA3916"/>
    <w:rsid w:val="00CA4394"/>
    <w:rsid w:val="00CB3CC1"/>
    <w:rsid w:val="00CB4213"/>
    <w:rsid w:val="00CC2963"/>
    <w:rsid w:val="00CC2A10"/>
    <w:rsid w:val="00CC347F"/>
    <w:rsid w:val="00CD0F0D"/>
    <w:rsid w:val="00CD1A42"/>
    <w:rsid w:val="00CD2914"/>
    <w:rsid w:val="00CD4AFC"/>
    <w:rsid w:val="00CD5EE5"/>
    <w:rsid w:val="00CE1A89"/>
    <w:rsid w:val="00CE301B"/>
    <w:rsid w:val="00CE45CC"/>
    <w:rsid w:val="00CE4A8F"/>
    <w:rsid w:val="00CE6E53"/>
    <w:rsid w:val="00CF226A"/>
    <w:rsid w:val="00CF4010"/>
    <w:rsid w:val="00CF585C"/>
    <w:rsid w:val="00CF6655"/>
    <w:rsid w:val="00CF7B65"/>
    <w:rsid w:val="00D0204B"/>
    <w:rsid w:val="00D0418C"/>
    <w:rsid w:val="00D06BD5"/>
    <w:rsid w:val="00D07259"/>
    <w:rsid w:val="00D0791C"/>
    <w:rsid w:val="00D07C9A"/>
    <w:rsid w:val="00D112AF"/>
    <w:rsid w:val="00D122F5"/>
    <w:rsid w:val="00D2031B"/>
    <w:rsid w:val="00D25523"/>
    <w:rsid w:val="00D25FE2"/>
    <w:rsid w:val="00D272A2"/>
    <w:rsid w:val="00D31DD2"/>
    <w:rsid w:val="00D3208F"/>
    <w:rsid w:val="00D33BB0"/>
    <w:rsid w:val="00D356CE"/>
    <w:rsid w:val="00D400C3"/>
    <w:rsid w:val="00D430D7"/>
    <w:rsid w:val="00D43252"/>
    <w:rsid w:val="00D47EEA"/>
    <w:rsid w:val="00D50327"/>
    <w:rsid w:val="00D52532"/>
    <w:rsid w:val="00D52C07"/>
    <w:rsid w:val="00D57E06"/>
    <w:rsid w:val="00D637FF"/>
    <w:rsid w:val="00D6508C"/>
    <w:rsid w:val="00D656AA"/>
    <w:rsid w:val="00D65DA3"/>
    <w:rsid w:val="00D7333D"/>
    <w:rsid w:val="00D766AC"/>
    <w:rsid w:val="00D77896"/>
    <w:rsid w:val="00D859B1"/>
    <w:rsid w:val="00D863F8"/>
    <w:rsid w:val="00D865E0"/>
    <w:rsid w:val="00D95303"/>
    <w:rsid w:val="00D9612A"/>
    <w:rsid w:val="00D978C6"/>
    <w:rsid w:val="00DA1968"/>
    <w:rsid w:val="00DA1C7B"/>
    <w:rsid w:val="00DA2282"/>
    <w:rsid w:val="00DA3111"/>
    <w:rsid w:val="00DA3C1C"/>
    <w:rsid w:val="00DA5896"/>
    <w:rsid w:val="00DA6C05"/>
    <w:rsid w:val="00DB01F1"/>
    <w:rsid w:val="00DB098F"/>
    <w:rsid w:val="00DB0A9B"/>
    <w:rsid w:val="00DB0C79"/>
    <w:rsid w:val="00DB100B"/>
    <w:rsid w:val="00DB452E"/>
    <w:rsid w:val="00DC406C"/>
    <w:rsid w:val="00DC4604"/>
    <w:rsid w:val="00DC5537"/>
    <w:rsid w:val="00DC5D59"/>
    <w:rsid w:val="00DC681B"/>
    <w:rsid w:val="00DD191D"/>
    <w:rsid w:val="00DD1F84"/>
    <w:rsid w:val="00DD2565"/>
    <w:rsid w:val="00DD2EA9"/>
    <w:rsid w:val="00DD39D1"/>
    <w:rsid w:val="00DD4D25"/>
    <w:rsid w:val="00DD76A0"/>
    <w:rsid w:val="00DD7B00"/>
    <w:rsid w:val="00DE1C15"/>
    <w:rsid w:val="00DE3B62"/>
    <w:rsid w:val="00DE6052"/>
    <w:rsid w:val="00DE65E6"/>
    <w:rsid w:val="00DE67C0"/>
    <w:rsid w:val="00DF1451"/>
    <w:rsid w:val="00DF151D"/>
    <w:rsid w:val="00DF3624"/>
    <w:rsid w:val="00DF65DC"/>
    <w:rsid w:val="00DF6E9E"/>
    <w:rsid w:val="00E00BD3"/>
    <w:rsid w:val="00E01420"/>
    <w:rsid w:val="00E02F78"/>
    <w:rsid w:val="00E033DA"/>
    <w:rsid w:val="00E051AB"/>
    <w:rsid w:val="00E07BE2"/>
    <w:rsid w:val="00E07F42"/>
    <w:rsid w:val="00E10B93"/>
    <w:rsid w:val="00E172F3"/>
    <w:rsid w:val="00E233DC"/>
    <w:rsid w:val="00E27346"/>
    <w:rsid w:val="00E32241"/>
    <w:rsid w:val="00E3345E"/>
    <w:rsid w:val="00E34A7A"/>
    <w:rsid w:val="00E352D5"/>
    <w:rsid w:val="00E35E86"/>
    <w:rsid w:val="00E406F3"/>
    <w:rsid w:val="00E4223D"/>
    <w:rsid w:val="00E431EC"/>
    <w:rsid w:val="00E43438"/>
    <w:rsid w:val="00E509C5"/>
    <w:rsid w:val="00E60FD7"/>
    <w:rsid w:val="00E62569"/>
    <w:rsid w:val="00E71BC8"/>
    <w:rsid w:val="00E71E0C"/>
    <w:rsid w:val="00E7260F"/>
    <w:rsid w:val="00E738E1"/>
    <w:rsid w:val="00E75CA2"/>
    <w:rsid w:val="00E76A10"/>
    <w:rsid w:val="00E777AF"/>
    <w:rsid w:val="00E779FC"/>
    <w:rsid w:val="00E80A23"/>
    <w:rsid w:val="00E80FCA"/>
    <w:rsid w:val="00E84F3B"/>
    <w:rsid w:val="00E90DA4"/>
    <w:rsid w:val="00E9252B"/>
    <w:rsid w:val="00E93612"/>
    <w:rsid w:val="00E94427"/>
    <w:rsid w:val="00E94EDA"/>
    <w:rsid w:val="00E96630"/>
    <w:rsid w:val="00E96CB6"/>
    <w:rsid w:val="00E96F09"/>
    <w:rsid w:val="00EA0247"/>
    <w:rsid w:val="00EA5738"/>
    <w:rsid w:val="00EA7118"/>
    <w:rsid w:val="00EA723D"/>
    <w:rsid w:val="00EB1F64"/>
    <w:rsid w:val="00EB2581"/>
    <w:rsid w:val="00EB261B"/>
    <w:rsid w:val="00EB2B5F"/>
    <w:rsid w:val="00EC0228"/>
    <w:rsid w:val="00EC0F8D"/>
    <w:rsid w:val="00EC2C39"/>
    <w:rsid w:val="00EC4415"/>
    <w:rsid w:val="00EC5A24"/>
    <w:rsid w:val="00EC658E"/>
    <w:rsid w:val="00ED4333"/>
    <w:rsid w:val="00ED48C3"/>
    <w:rsid w:val="00ED591C"/>
    <w:rsid w:val="00ED6686"/>
    <w:rsid w:val="00ED7A2A"/>
    <w:rsid w:val="00EE28D6"/>
    <w:rsid w:val="00EF1D7F"/>
    <w:rsid w:val="00EF248F"/>
    <w:rsid w:val="00EF26AA"/>
    <w:rsid w:val="00EF2747"/>
    <w:rsid w:val="00EF2E97"/>
    <w:rsid w:val="00EF4D72"/>
    <w:rsid w:val="00F12A2A"/>
    <w:rsid w:val="00F16C36"/>
    <w:rsid w:val="00F1717F"/>
    <w:rsid w:val="00F20C3D"/>
    <w:rsid w:val="00F22704"/>
    <w:rsid w:val="00F2679B"/>
    <w:rsid w:val="00F2710B"/>
    <w:rsid w:val="00F319E7"/>
    <w:rsid w:val="00F31D55"/>
    <w:rsid w:val="00F36879"/>
    <w:rsid w:val="00F37CEF"/>
    <w:rsid w:val="00F41340"/>
    <w:rsid w:val="00F42C2B"/>
    <w:rsid w:val="00F43E9E"/>
    <w:rsid w:val="00F500CE"/>
    <w:rsid w:val="00F555C2"/>
    <w:rsid w:val="00F56479"/>
    <w:rsid w:val="00F62E15"/>
    <w:rsid w:val="00F63E46"/>
    <w:rsid w:val="00F64386"/>
    <w:rsid w:val="00F66E48"/>
    <w:rsid w:val="00F67F80"/>
    <w:rsid w:val="00F74261"/>
    <w:rsid w:val="00F75439"/>
    <w:rsid w:val="00F76334"/>
    <w:rsid w:val="00F7687A"/>
    <w:rsid w:val="00F7758A"/>
    <w:rsid w:val="00F81DF3"/>
    <w:rsid w:val="00F825A3"/>
    <w:rsid w:val="00F9057C"/>
    <w:rsid w:val="00F906D7"/>
    <w:rsid w:val="00F925EE"/>
    <w:rsid w:val="00F93781"/>
    <w:rsid w:val="00F955EC"/>
    <w:rsid w:val="00F97960"/>
    <w:rsid w:val="00FA3B20"/>
    <w:rsid w:val="00FA4858"/>
    <w:rsid w:val="00FA694D"/>
    <w:rsid w:val="00FA6AF4"/>
    <w:rsid w:val="00FA79F4"/>
    <w:rsid w:val="00FA7E0A"/>
    <w:rsid w:val="00FB13EF"/>
    <w:rsid w:val="00FB5F9C"/>
    <w:rsid w:val="00FB613B"/>
    <w:rsid w:val="00FB794F"/>
    <w:rsid w:val="00FC0B2B"/>
    <w:rsid w:val="00FC10C1"/>
    <w:rsid w:val="00FC1F7A"/>
    <w:rsid w:val="00FC3219"/>
    <w:rsid w:val="00FC38B7"/>
    <w:rsid w:val="00FC450B"/>
    <w:rsid w:val="00FC53CB"/>
    <w:rsid w:val="00FC6455"/>
    <w:rsid w:val="00FC68B7"/>
    <w:rsid w:val="00FC713A"/>
    <w:rsid w:val="00FC7C5B"/>
    <w:rsid w:val="00FD2F48"/>
    <w:rsid w:val="00FD5A00"/>
    <w:rsid w:val="00FE106A"/>
    <w:rsid w:val="00FE35E1"/>
    <w:rsid w:val="00FE4061"/>
    <w:rsid w:val="00FE417B"/>
    <w:rsid w:val="00FF1BD4"/>
    <w:rsid w:val="00FF4008"/>
    <w:rsid w:val="00FF4174"/>
    <w:rsid w:val="00FF4575"/>
    <w:rsid w:val="00FF5C9D"/>
    <w:rsid w:val="00FF741F"/>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CCFD9D73-F6C8-4C0E-9461-60A3F700D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B3"/>
    <w:pPr>
      <w:suppressAutoHyphens/>
      <w:spacing w:line="240" w:lineRule="atLeast"/>
    </w:pPr>
    <w:rPr>
      <w:lang w:val="en-GB"/>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272B3"/>
    <w:pPr>
      <w:spacing w:after="120"/>
      <w:ind w:left="1134" w:right="1134"/>
      <w:jc w:val="both"/>
    </w:p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link w:val="HeaderChar"/>
    <w:uiPriority w:val="99"/>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
    <w:basedOn w:val="Normal"/>
    <w:link w:val="FootnoteTextChar"/>
    <w:qFormat/>
    <w:rsid w:val="000A604D"/>
    <w:pPr>
      <w:tabs>
        <w:tab w:val="right" w:pos="1021"/>
      </w:tabs>
      <w:kinsoku w:val="0"/>
      <w:overflowPunct w:val="0"/>
      <w:autoSpaceDE w:val="0"/>
      <w:autoSpaceDN w:val="0"/>
      <w:adjustRightInd w:val="0"/>
      <w:snapToGrid w:val="0"/>
      <w:spacing w:line="220" w:lineRule="exact"/>
      <w:ind w:left="1134" w:right="1134" w:hanging="1134"/>
    </w:pPr>
    <w:rPr>
      <w:rFonts w:eastAsia="SimSun"/>
      <w:sz w:val="18"/>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
    <w:qFormat/>
    <w:rsid w:val="000A604D"/>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locked/>
    <w:rsid w:val="00156045"/>
    <w:rPr>
      <w:rFonts w:eastAsia="SimSun"/>
      <w:sz w:val="18"/>
    </w:rPr>
  </w:style>
  <w:style w:type="paragraph" w:styleId="BalloonText">
    <w:name w:val="Balloon Text"/>
    <w:basedOn w:val="Normal"/>
    <w:link w:val="BalloonTextChar"/>
    <w:rsid w:val="00B13862"/>
    <w:pPr>
      <w:spacing w:line="240" w:lineRule="auto"/>
    </w:pPr>
    <w:rPr>
      <w:rFonts w:ascii="Tahoma" w:hAnsi="Tahoma"/>
      <w:sz w:val="16"/>
      <w:szCs w:val="16"/>
    </w:rPr>
  </w:style>
  <w:style w:type="character" w:customStyle="1" w:styleId="BalloonTextChar">
    <w:name w:val="Balloon Text Char"/>
    <w:link w:val="BalloonText"/>
    <w:rsid w:val="00B13862"/>
    <w:rPr>
      <w:rFonts w:ascii="Tahoma" w:hAnsi="Tahoma" w:cs="Tahoma"/>
      <w:sz w:val="16"/>
      <w:szCs w:val="16"/>
      <w:lang w:eastAsia="en-US"/>
    </w:rPr>
  </w:style>
  <w:style w:type="character" w:customStyle="1" w:styleId="SingleTxtGChar">
    <w:name w:val="_ Single Txt_G Char"/>
    <w:link w:val="SingleTxtG"/>
    <w:locked/>
    <w:rsid w:val="00B7317F"/>
    <w:rPr>
      <w:lang w:eastAsia="en-US"/>
    </w:rPr>
  </w:style>
  <w:style w:type="character" w:styleId="CommentReference">
    <w:name w:val="annotation reference"/>
    <w:rsid w:val="0095404F"/>
    <w:rPr>
      <w:sz w:val="16"/>
      <w:szCs w:val="16"/>
    </w:rPr>
  </w:style>
  <w:style w:type="paragraph" w:styleId="CommentText">
    <w:name w:val="annotation text"/>
    <w:basedOn w:val="Normal"/>
    <w:link w:val="CommentTextChar"/>
    <w:rsid w:val="0095404F"/>
  </w:style>
  <w:style w:type="character" w:customStyle="1" w:styleId="CommentTextChar">
    <w:name w:val="Comment Text Char"/>
    <w:link w:val="CommentText"/>
    <w:rsid w:val="0095404F"/>
    <w:rPr>
      <w:lang w:val="en-GB"/>
    </w:rPr>
  </w:style>
  <w:style w:type="paragraph" w:styleId="CommentSubject">
    <w:name w:val="annotation subject"/>
    <w:basedOn w:val="CommentText"/>
    <w:next w:val="CommentText"/>
    <w:link w:val="CommentSubjectChar"/>
    <w:rsid w:val="0095404F"/>
    <w:rPr>
      <w:b/>
      <w:bCs/>
    </w:rPr>
  </w:style>
  <w:style w:type="character" w:customStyle="1" w:styleId="CommentSubjectChar">
    <w:name w:val="Comment Subject Char"/>
    <w:link w:val="CommentSubject"/>
    <w:rsid w:val="0095404F"/>
    <w:rPr>
      <w:b/>
      <w:bCs/>
      <w:lang w:val="en-GB"/>
    </w:rPr>
  </w:style>
  <w:style w:type="paragraph" w:styleId="Revision">
    <w:name w:val="Revision"/>
    <w:hidden/>
    <w:uiPriority w:val="99"/>
    <w:semiHidden/>
    <w:rsid w:val="004F2A81"/>
    <w:rPr>
      <w:lang w:val="en-GB"/>
    </w:rPr>
  </w:style>
  <w:style w:type="character" w:customStyle="1" w:styleId="HeaderChar">
    <w:name w:val="Header Char"/>
    <w:aliases w:val="6_G Char"/>
    <w:link w:val="Header"/>
    <w:uiPriority w:val="99"/>
    <w:rsid w:val="001365B2"/>
    <w:rPr>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854332">
      <w:bodyDiv w:val="1"/>
      <w:marLeft w:val="0"/>
      <w:marRight w:val="0"/>
      <w:marTop w:val="0"/>
      <w:marBottom w:val="0"/>
      <w:divBdr>
        <w:top w:val="none" w:sz="0" w:space="0" w:color="auto"/>
        <w:left w:val="none" w:sz="0" w:space="0" w:color="auto"/>
        <w:bottom w:val="none" w:sz="0" w:space="0" w:color="auto"/>
        <w:right w:val="none" w:sz="0" w:space="0" w:color="auto"/>
      </w:divBdr>
    </w:div>
    <w:div w:id="214971320">
      <w:bodyDiv w:val="1"/>
      <w:marLeft w:val="0"/>
      <w:marRight w:val="0"/>
      <w:marTop w:val="0"/>
      <w:marBottom w:val="0"/>
      <w:divBdr>
        <w:top w:val="none" w:sz="0" w:space="0" w:color="auto"/>
        <w:left w:val="none" w:sz="0" w:space="0" w:color="auto"/>
        <w:bottom w:val="none" w:sz="0" w:space="0" w:color="auto"/>
        <w:right w:val="none" w:sz="0" w:space="0" w:color="auto"/>
      </w:divBdr>
    </w:div>
    <w:div w:id="502550780">
      <w:bodyDiv w:val="1"/>
      <w:marLeft w:val="0"/>
      <w:marRight w:val="0"/>
      <w:marTop w:val="0"/>
      <w:marBottom w:val="0"/>
      <w:divBdr>
        <w:top w:val="none" w:sz="0" w:space="0" w:color="auto"/>
        <w:left w:val="none" w:sz="0" w:space="0" w:color="auto"/>
        <w:bottom w:val="none" w:sz="0" w:space="0" w:color="auto"/>
        <w:right w:val="none" w:sz="0" w:space="0" w:color="auto"/>
      </w:divBdr>
    </w:div>
    <w:div w:id="579103185">
      <w:bodyDiv w:val="1"/>
      <w:marLeft w:val="0"/>
      <w:marRight w:val="0"/>
      <w:marTop w:val="0"/>
      <w:marBottom w:val="0"/>
      <w:divBdr>
        <w:top w:val="none" w:sz="0" w:space="0" w:color="auto"/>
        <w:left w:val="none" w:sz="0" w:space="0" w:color="auto"/>
        <w:bottom w:val="none" w:sz="0" w:space="0" w:color="auto"/>
        <w:right w:val="none" w:sz="0" w:space="0" w:color="auto"/>
      </w:divBdr>
    </w:div>
    <w:div w:id="1283073033">
      <w:bodyDiv w:val="1"/>
      <w:marLeft w:val="0"/>
      <w:marRight w:val="0"/>
      <w:marTop w:val="0"/>
      <w:marBottom w:val="0"/>
      <w:divBdr>
        <w:top w:val="none" w:sz="0" w:space="0" w:color="auto"/>
        <w:left w:val="none" w:sz="0" w:space="0" w:color="auto"/>
        <w:bottom w:val="none" w:sz="0" w:space="0" w:color="auto"/>
        <w:right w:val="none" w:sz="0" w:space="0" w:color="auto"/>
      </w:divBdr>
    </w:div>
    <w:div w:id="132396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CCPR_E</Template>
  <TotalTime>1</TotalTime>
  <Pages>12</Pages>
  <Words>5010</Words>
  <Characters>28562</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33505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Sheena Neogi</dc:creator>
  <cp:keywords/>
  <cp:lastModifiedBy>Sarah Willig</cp:lastModifiedBy>
  <cp:revision>2</cp:revision>
  <cp:lastPrinted>2015-01-19T14:32:00Z</cp:lastPrinted>
  <dcterms:created xsi:type="dcterms:W3CDTF">2017-01-24T20:03:00Z</dcterms:created>
  <dcterms:modified xsi:type="dcterms:W3CDTF">2017-01-24T20:03:00Z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ies>
</file>