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D91F48">
        <w:trPr>
          <w:trHeight w:hRule="exact" w:val="851"/>
        </w:trPr>
        <w:tc>
          <w:tcPr>
            <w:tcW w:w="1276" w:type="dxa"/>
            <w:tcBorders>
              <w:bottom w:val="single" w:sz="4" w:space="0" w:color="auto"/>
            </w:tcBorders>
            <w:vAlign w:val="bottom"/>
          </w:tcPr>
          <w:p w:rsidR="004876DE" w:rsidRPr="007E74A5" w:rsidRDefault="004876DE" w:rsidP="004876DE">
            <w:pPr>
              <w:spacing w:after="80"/>
              <w:rPr>
                <w:u w:val="single"/>
              </w:rPr>
            </w:pPr>
            <w:bookmarkStart w:id="0" w:name="_GoBack"/>
            <w:bookmarkEnd w:id="0"/>
          </w:p>
        </w:tc>
        <w:tc>
          <w:tcPr>
            <w:tcW w:w="1985" w:type="dxa"/>
            <w:tcBorders>
              <w:bottom w:val="single" w:sz="4" w:space="0" w:color="auto"/>
            </w:tcBorders>
            <w:vAlign w:val="bottom"/>
          </w:tcPr>
          <w:p w:rsidR="004876DE" w:rsidRPr="00D91F48" w:rsidRDefault="004876DE" w:rsidP="004876DE">
            <w:pPr>
              <w:spacing w:after="80" w:line="300" w:lineRule="exact"/>
              <w:rPr>
                <w:b/>
                <w:sz w:val="24"/>
                <w:szCs w:val="24"/>
              </w:rPr>
            </w:pPr>
            <w:r w:rsidRPr="00D91F48">
              <w:rPr>
                <w:sz w:val="28"/>
                <w:szCs w:val="28"/>
              </w:rPr>
              <w:t>United Nations</w:t>
            </w:r>
          </w:p>
        </w:tc>
        <w:tc>
          <w:tcPr>
            <w:tcW w:w="6378" w:type="dxa"/>
            <w:gridSpan w:val="2"/>
            <w:tcBorders>
              <w:bottom w:val="single" w:sz="4" w:space="0" w:color="auto"/>
            </w:tcBorders>
            <w:vAlign w:val="bottom"/>
          </w:tcPr>
          <w:p w:rsidR="004876DE" w:rsidRPr="00D91F48" w:rsidRDefault="004876DE" w:rsidP="00243943">
            <w:pPr>
              <w:jc w:val="right"/>
            </w:pPr>
            <w:r w:rsidRPr="00D91F48">
              <w:rPr>
                <w:sz w:val="40"/>
              </w:rPr>
              <w:t>CAT</w:t>
            </w:r>
            <w:r w:rsidR="007A5D50" w:rsidRPr="00D91F48">
              <w:t>/C/53/D/</w:t>
            </w:r>
            <w:r w:rsidR="00243943" w:rsidRPr="00D91F48">
              <w:t>520</w:t>
            </w:r>
            <w:r w:rsidR="007A5D50" w:rsidRPr="00D91F48">
              <w:t>/201</w:t>
            </w:r>
            <w:r w:rsidR="00243943" w:rsidRPr="00D91F48">
              <w:t>2</w:t>
            </w:r>
          </w:p>
        </w:tc>
      </w:tr>
      <w:tr w:rsidR="004876DE" w:rsidRPr="00D91F48">
        <w:trPr>
          <w:cantSplit/>
          <w:trHeight w:hRule="exact" w:val="2835"/>
        </w:trPr>
        <w:tc>
          <w:tcPr>
            <w:tcW w:w="1276" w:type="dxa"/>
            <w:tcBorders>
              <w:top w:val="single" w:sz="4" w:space="0" w:color="auto"/>
              <w:bottom w:val="single" w:sz="12" w:space="0" w:color="auto"/>
            </w:tcBorders>
          </w:tcPr>
          <w:p w:rsidR="004876DE" w:rsidRPr="00D91F48" w:rsidRDefault="00410B9D" w:rsidP="004876DE">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4876DE" w:rsidRPr="00D91F48" w:rsidRDefault="004876DE" w:rsidP="004876DE">
            <w:pPr>
              <w:spacing w:before="120" w:line="380" w:lineRule="exact"/>
              <w:rPr>
                <w:sz w:val="34"/>
              </w:rPr>
            </w:pPr>
            <w:r w:rsidRPr="00D91F48">
              <w:rPr>
                <w:b/>
                <w:sz w:val="34"/>
                <w:szCs w:val="40"/>
              </w:rPr>
              <w:t>Convention against Torture</w:t>
            </w:r>
            <w:r w:rsidRPr="00D91F48">
              <w:rPr>
                <w:b/>
                <w:sz w:val="34"/>
                <w:szCs w:val="40"/>
              </w:rPr>
              <w:br/>
              <w:t>and Other Cruel, Inhuman</w:t>
            </w:r>
            <w:r w:rsidRPr="00D91F48">
              <w:rPr>
                <w:b/>
                <w:sz w:val="34"/>
                <w:szCs w:val="40"/>
              </w:rPr>
              <w:br/>
              <w:t>or Degrading Treatment</w:t>
            </w:r>
            <w:r w:rsidRPr="00D91F48">
              <w:rPr>
                <w:b/>
                <w:sz w:val="34"/>
                <w:szCs w:val="40"/>
              </w:rPr>
              <w:br/>
              <w:t>or Punishment</w:t>
            </w:r>
          </w:p>
        </w:tc>
        <w:tc>
          <w:tcPr>
            <w:tcW w:w="2835" w:type="dxa"/>
            <w:tcBorders>
              <w:top w:val="single" w:sz="4" w:space="0" w:color="auto"/>
              <w:bottom w:val="single" w:sz="12" w:space="0" w:color="auto"/>
            </w:tcBorders>
          </w:tcPr>
          <w:p w:rsidR="004876DE" w:rsidRPr="00D91F48" w:rsidRDefault="004876DE" w:rsidP="004876DE">
            <w:pPr>
              <w:spacing w:before="240" w:line="240" w:lineRule="exact"/>
            </w:pPr>
            <w:r w:rsidRPr="00D91F48">
              <w:t xml:space="preserve">Distr.: </w:t>
            </w:r>
            <w:r w:rsidR="00CF5A5D" w:rsidRPr="00D91F48">
              <w:t>General</w:t>
            </w:r>
          </w:p>
          <w:p w:rsidR="004876DE" w:rsidRPr="00D91F48" w:rsidRDefault="009C14DA" w:rsidP="00604BC7">
            <w:pPr>
              <w:spacing w:line="240" w:lineRule="exact"/>
            </w:pPr>
            <w:r>
              <w:t>20</w:t>
            </w:r>
            <w:r w:rsidR="00F65439" w:rsidRPr="00D91F48">
              <w:t xml:space="preserve"> January 2015</w:t>
            </w:r>
          </w:p>
          <w:p w:rsidR="004876DE" w:rsidRPr="00D91F48" w:rsidRDefault="004876DE" w:rsidP="004876DE">
            <w:pPr>
              <w:spacing w:line="240" w:lineRule="exact"/>
            </w:pPr>
          </w:p>
          <w:p w:rsidR="004876DE" w:rsidRPr="00D91F48" w:rsidRDefault="004876DE" w:rsidP="004876DE">
            <w:pPr>
              <w:spacing w:line="240" w:lineRule="exact"/>
            </w:pPr>
            <w:r w:rsidRPr="00D91F48">
              <w:t>Original: English</w:t>
            </w:r>
          </w:p>
          <w:p w:rsidR="004876DE" w:rsidRPr="00D91F48" w:rsidRDefault="004876DE" w:rsidP="004876DE">
            <w:pPr>
              <w:spacing w:line="240" w:lineRule="exact"/>
            </w:pPr>
          </w:p>
          <w:p w:rsidR="004876DE" w:rsidRPr="00D91F48" w:rsidRDefault="004876DE" w:rsidP="004876DE">
            <w:pPr>
              <w:spacing w:line="240" w:lineRule="exact"/>
            </w:pPr>
          </w:p>
        </w:tc>
      </w:tr>
    </w:tbl>
    <w:p w:rsidR="004876DE" w:rsidRPr="00D91F48" w:rsidRDefault="004876DE" w:rsidP="004876DE">
      <w:pPr>
        <w:spacing w:before="120"/>
        <w:rPr>
          <w:b/>
          <w:sz w:val="24"/>
          <w:szCs w:val="24"/>
        </w:rPr>
      </w:pPr>
      <w:r w:rsidRPr="00D91F48">
        <w:rPr>
          <w:b/>
          <w:sz w:val="24"/>
          <w:szCs w:val="24"/>
        </w:rPr>
        <w:t>Committee against Torture</w:t>
      </w:r>
    </w:p>
    <w:p w:rsidR="004876DE" w:rsidRPr="00D91F48" w:rsidRDefault="004876DE" w:rsidP="00290E30">
      <w:pPr>
        <w:pStyle w:val="HChG"/>
      </w:pPr>
      <w:r w:rsidRPr="00D91F48">
        <w:tab/>
      </w:r>
      <w:r w:rsidR="00410B9D">
        <w:rPr>
          <w:noProof/>
          <w:lang w:eastAsia="zh-CN"/>
        </w:rPr>
        <w:pict>
          <v:shape id="_x0000_s1026" type="#_x0000_t75" style="position:absolute;left:0;text-align:left;margin-left:432.25pt;margin-top:632.1pt;width:50.25pt;height:50.25pt;z-index:1;mso-position-horizontal-relative:margin;mso-position-vertical-relative:margin" o:allowoverlap="f">
            <v:imagedata r:id="rId8" o:title="2012&amp;Size=2 &amp;Lang=E"/>
            <w10:wrap anchorx="margin" anchory="margin"/>
          </v:shape>
        </w:pict>
      </w:r>
      <w:r w:rsidRPr="00D91F48">
        <w:tab/>
        <w:t xml:space="preserve">Communication </w:t>
      </w:r>
      <w:r w:rsidR="00217F81" w:rsidRPr="00D91F48">
        <w:t>No. </w:t>
      </w:r>
      <w:r w:rsidR="00243943" w:rsidRPr="00D91F48">
        <w:t>520/2012</w:t>
      </w:r>
      <w:r w:rsidRPr="00D91F48">
        <w:t xml:space="preserve"> </w:t>
      </w:r>
    </w:p>
    <w:p w:rsidR="004876DE" w:rsidRPr="00D91F48" w:rsidRDefault="004876DE" w:rsidP="00943C6F">
      <w:pPr>
        <w:pStyle w:val="H1G"/>
      </w:pPr>
      <w:r w:rsidRPr="00D91F48">
        <w:tab/>
      </w:r>
      <w:r w:rsidRPr="00D91F48">
        <w:tab/>
      </w:r>
      <w:r w:rsidR="00CF5A5D" w:rsidRPr="00D91F48">
        <w:t xml:space="preserve">Decision adopted by the Committee at its </w:t>
      </w:r>
      <w:r w:rsidR="00483074" w:rsidRPr="00D91F48">
        <w:t>fifty-thi</w:t>
      </w:r>
      <w:r w:rsidR="00CF5A5D" w:rsidRPr="00D91F48">
        <w:t xml:space="preserve">rd session </w:t>
      </w:r>
      <w:r w:rsidR="00290E30" w:rsidRPr="00D91F48">
        <w:br/>
      </w:r>
      <w:r w:rsidR="00CF5A5D" w:rsidRPr="00D91F48">
        <w:t>(3–28 November 2014)</w:t>
      </w:r>
    </w:p>
    <w:p w:rsidR="004876DE" w:rsidRPr="00D91F48" w:rsidRDefault="004876DE" w:rsidP="00290E30">
      <w:pPr>
        <w:pStyle w:val="SingleTxtG"/>
        <w:ind w:left="4536" w:hanging="3402"/>
        <w:jc w:val="left"/>
      </w:pPr>
      <w:r w:rsidRPr="00D91F48">
        <w:rPr>
          <w:i/>
        </w:rPr>
        <w:t>Submitted by:</w:t>
      </w:r>
      <w:r w:rsidRPr="00D91F48">
        <w:rPr>
          <w:i/>
        </w:rPr>
        <w:tab/>
      </w:r>
      <w:r w:rsidR="00544E30" w:rsidRPr="00D91F48">
        <w:t>W. G. D.</w:t>
      </w:r>
      <w:r w:rsidR="00243943" w:rsidRPr="00D91F48">
        <w:t xml:space="preserve"> </w:t>
      </w:r>
      <w:r w:rsidR="00544E30" w:rsidRPr="00D91F48">
        <w:t>(not represented by counsel)</w:t>
      </w:r>
    </w:p>
    <w:p w:rsidR="004876DE" w:rsidRPr="00D91F48" w:rsidRDefault="00243943" w:rsidP="00290E30">
      <w:pPr>
        <w:pStyle w:val="SingleTxtG"/>
        <w:ind w:left="4536" w:hanging="3402"/>
        <w:jc w:val="left"/>
      </w:pPr>
      <w:r w:rsidRPr="00D91F48">
        <w:rPr>
          <w:i/>
        </w:rPr>
        <w:t>Alleged victim</w:t>
      </w:r>
      <w:r w:rsidR="004876DE" w:rsidRPr="00D91F48">
        <w:rPr>
          <w:i/>
        </w:rPr>
        <w:t>:</w:t>
      </w:r>
      <w:r w:rsidR="004876DE" w:rsidRPr="00D91F48">
        <w:rPr>
          <w:i/>
        </w:rPr>
        <w:tab/>
      </w:r>
      <w:r w:rsidR="004876DE" w:rsidRPr="00D91F48">
        <w:t xml:space="preserve">The complainant </w:t>
      </w:r>
    </w:p>
    <w:p w:rsidR="004876DE" w:rsidRPr="00D91F48" w:rsidRDefault="004876DE" w:rsidP="00290E30">
      <w:pPr>
        <w:pStyle w:val="SingleTxtG"/>
        <w:ind w:left="4536" w:hanging="3402"/>
        <w:jc w:val="left"/>
      </w:pPr>
      <w:r w:rsidRPr="00D91F48">
        <w:rPr>
          <w:i/>
        </w:rPr>
        <w:t>State party:</w:t>
      </w:r>
      <w:r w:rsidRPr="00D91F48">
        <w:rPr>
          <w:i/>
        </w:rPr>
        <w:tab/>
      </w:r>
      <w:r w:rsidR="007A5D50" w:rsidRPr="00D91F48">
        <w:t>Canada</w:t>
      </w:r>
    </w:p>
    <w:p w:rsidR="004876DE" w:rsidRPr="00D91F48" w:rsidRDefault="004876DE" w:rsidP="00290E30">
      <w:pPr>
        <w:pStyle w:val="SingleTxtG"/>
        <w:ind w:left="4536" w:hanging="3402"/>
        <w:jc w:val="left"/>
      </w:pPr>
      <w:r w:rsidRPr="00D91F48">
        <w:rPr>
          <w:i/>
        </w:rPr>
        <w:t>Date of complaint:</w:t>
      </w:r>
      <w:r w:rsidRPr="00D91F48">
        <w:rPr>
          <w:i/>
        </w:rPr>
        <w:tab/>
      </w:r>
      <w:r w:rsidR="00243943" w:rsidRPr="00D91F48">
        <w:t>17 August 2012</w:t>
      </w:r>
      <w:r w:rsidRPr="00D91F48">
        <w:t xml:space="preserve"> (initial submission)</w:t>
      </w:r>
    </w:p>
    <w:p w:rsidR="004876DE" w:rsidRPr="00D91F48" w:rsidRDefault="004876DE" w:rsidP="00290E30">
      <w:pPr>
        <w:pStyle w:val="SingleTxtG"/>
        <w:ind w:left="4536" w:hanging="3402"/>
        <w:jc w:val="left"/>
      </w:pPr>
      <w:r w:rsidRPr="00D91F48">
        <w:rPr>
          <w:i/>
        </w:rPr>
        <w:t>Date of present decision:</w:t>
      </w:r>
      <w:r w:rsidRPr="00D91F48">
        <w:rPr>
          <w:i/>
        </w:rPr>
        <w:tab/>
      </w:r>
      <w:r w:rsidR="00CF5A5D" w:rsidRPr="00D91F48">
        <w:t xml:space="preserve">26 </w:t>
      </w:r>
      <w:r w:rsidR="00F902C1" w:rsidRPr="00D91F48">
        <w:t>November</w:t>
      </w:r>
      <w:r w:rsidR="007A5D50" w:rsidRPr="00D91F48">
        <w:t xml:space="preserve"> 2014</w:t>
      </w:r>
    </w:p>
    <w:p w:rsidR="004876DE" w:rsidRPr="00D91F48" w:rsidRDefault="004876DE" w:rsidP="00290E30">
      <w:pPr>
        <w:pStyle w:val="SingleTxtG"/>
        <w:ind w:left="4536" w:hanging="3402"/>
        <w:jc w:val="left"/>
      </w:pPr>
      <w:r w:rsidRPr="00D91F48">
        <w:rPr>
          <w:i/>
          <w:iCs/>
        </w:rPr>
        <w:t>Subject matter:</w:t>
      </w:r>
      <w:r w:rsidRPr="00D91F48">
        <w:rPr>
          <w:i/>
        </w:rPr>
        <w:tab/>
      </w:r>
      <w:r w:rsidR="00E9345C" w:rsidRPr="00D91F48">
        <w:t>Expulsion</w:t>
      </w:r>
      <w:r w:rsidR="003743F9" w:rsidRPr="00D91F48">
        <w:t xml:space="preserve"> </w:t>
      </w:r>
      <w:r w:rsidRPr="00D91F48">
        <w:t xml:space="preserve">to </w:t>
      </w:r>
      <w:r w:rsidR="00243943" w:rsidRPr="00D91F48">
        <w:t>Ethiopia</w:t>
      </w:r>
      <w:r w:rsidRPr="00D91F48">
        <w:t xml:space="preserve"> </w:t>
      </w:r>
    </w:p>
    <w:p w:rsidR="004876DE" w:rsidRPr="00D91F48" w:rsidRDefault="004876DE" w:rsidP="00290E30">
      <w:pPr>
        <w:pStyle w:val="SingleTxtG"/>
        <w:ind w:left="4536" w:hanging="3402"/>
        <w:jc w:val="left"/>
      </w:pPr>
      <w:r w:rsidRPr="00D91F48">
        <w:rPr>
          <w:i/>
          <w:iCs/>
        </w:rPr>
        <w:t>Procedural issue</w:t>
      </w:r>
      <w:r w:rsidR="00E9345C" w:rsidRPr="00D91F48">
        <w:rPr>
          <w:i/>
          <w:iCs/>
        </w:rPr>
        <w:t>s</w:t>
      </w:r>
      <w:r w:rsidRPr="00D91F48">
        <w:rPr>
          <w:i/>
        </w:rPr>
        <w:t>:</w:t>
      </w:r>
      <w:r w:rsidRPr="00D91F48">
        <w:rPr>
          <w:i/>
          <w:iCs/>
        </w:rPr>
        <w:tab/>
      </w:r>
      <w:r w:rsidR="00E25FFD" w:rsidRPr="00D91F48">
        <w:t>Exhaustion of domestic remedies, non-substantiation of the claim</w:t>
      </w:r>
      <w:r w:rsidR="00532A35" w:rsidRPr="00D91F48">
        <w:t>;</w:t>
      </w:r>
      <w:r w:rsidRPr="00D91F48">
        <w:t xml:space="preserve"> </w:t>
      </w:r>
      <w:r w:rsidR="00E66C13" w:rsidRPr="00D91F48">
        <w:t xml:space="preserve">claim </w:t>
      </w:r>
      <w:r w:rsidRPr="00D91F48">
        <w:t>manifestly ill-founded</w:t>
      </w:r>
      <w:r w:rsidR="00217F81" w:rsidRPr="00D91F48">
        <w:t xml:space="preserve"> </w:t>
      </w:r>
    </w:p>
    <w:p w:rsidR="004876DE" w:rsidRPr="00D91F48" w:rsidRDefault="004876DE" w:rsidP="00290E30">
      <w:pPr>
        <w:pStyle w:val="SingleTxtG"/>
        <w:ind w:left="4536" w:hanging="3402"/>
        <w:jc w:val="left"/>
      </w:pPr>
      <w:r w:rsidRPr="00D91F48">
        <w:rPr>
          <w:i/>
          <w:iCs/>
        </w:rPr>
        <w:t>Substantive issue</w:t>
      </w:r>
      <w:r w:rsidR="00E9345C" w:rsidRPr="00D91F48">
        <w:rPr>
          <w:i/>
          <w:iCs/>
        </w:rPr>
        <w:t>s</w:t>
      </w:r>
      <w:r w:rsidRPr="00D91F48">
        <w:rPr>
          <w:i/>
          <w:iCs/>
        </w:rPr>
        <w:t>:</w:t>
      </w:r>
      <w:r w:rsidRPr="00D91F48">
        <w:rPr>
          <w:i/>
          <w:iCs/>
        </w:rPr>
        <w:tab/>
      </w:r>
      <w:r w:rsidRPr="00D91F48">
        <w:t>Risk of torture upon return to the country of origin</w:t>
      </w:r>
    </w:p>
    <w:p w:rsidR="004876DE" w:rsidRPr="00D91F48" w:rsidRDefault="004876DE" w:rsidP="00290E30">
      <w:pPr>
        <w:pStyle w:val="SingleTxtG"/>
        <w:ind w:left="4536" w:hanging="3402"/>
        <w:jc w:val="left"/>
      </w:pPr>
      <w:r w:rsidRPr="00D91F48">
        <w:rPr>
          <w:i/>
          <w:iCs/>
        </w:rPr>
        <w:t>Article</w:t>
      </w:r>
      <w:r w:rsidR="00E9345C" w:rsidRPr="00D91F48">
        <w:rPr>
          <w:i/>
          <w:iCs/>
        </w:rPr>
        <w:t>s</w:t>
      </w:r>
      <w:r w:rsidRPr="00D91F48">
        <w:rPr>
          <w:i/>
          <w:iCs/>
        </w:rPr>
        <w:t xml:space="preserve"> of the Convention</w:t>
      </w:r>
      <w:r w:rsidRPr="00D91F48">
        <w:rPr>
          <w:i/>
        </w:rPr>
        <w:t>:</w:t>
      </w:r>
      <w:r w:rsidRPr="00D91F48">
        <w:rPr>
          <w:i/>
          <w:iCs/>
        </w:rPr>
        <w:tab/>
      </w:r>
      <w:r w:rsidRPr="00D91F48">
        <w:t>3</w:t>
      </w:r>
    </w:p>
    <w:p w:rsidR="00290E30" w:rsidRPr="00D91F48" w:rsidRDefault="00290E30" w:rsidP="00E66C13">
      <w:pPr>
        <w:pStyle w:val="SingleTxtG"/>
        <w:ind w:left="4536" w:hanging="3402"/>
        <w:jc w:val="left"/>
      </w:pPr>
      <w:r w:rsidRPr="00D91F48">
        <w:tab/>
      </w:r>
    </w:p>
    <w:p w:rsidR="00290E30" w:rsidRPr="00D91F48" w:rsidRDefault="00290E30" w:rsidP="00290E30">
      <w:pPr>
        <w:pStyle w:val="SingleTxtG"/>
        <w:jc w:val="left"/>
      </w:pPr>
    </w:p>
    <w:p w:rsidR="00D0559B" w:rsidRPr="00D91F48" w:rsidRDefault="004876DE" w:rsidP="00290E30">
      <w:pPr>
        <w:pStyle w:val="HChG"/>
      </w:pPr>
      <w:r w:rsidRPr="00D91F48">
        <w:br w:type="page"/>
      </w:r>
      <w:r w:rsidR="00D0559B" w:rsidRPr="00D91F48">
        <w:lastRenderedPageBreak/>
        <w:t>Annex</w:t>
      </w:r>
    </w:p>
    <w:p w:rsidR="004876DE" w:rsidRPr="00D91F48" w:rsidRDefault="00290E30" w:rsidP="00290E30">
      <w:pPr>
        <w:pStyle w:val="HChG"/>
      </w:pPr>
      <w:r w:rsidRPr="00D91F48">
        <w:tab/>
      </w:r>
      <w:r w:rsidRPr="00D91F48">
        <w:tab/>
      </w:r>
      <w:r w:rsidR="004876DE" w:rsidRPr="00D91F48">
        <w:t xml:space="preserve">Decision of the Committee against Torture under </w:t>
      </w:r>
      <w:r w:rsidR="00217F81" w:rsidRPr="00D91F48">
        <w:t>article </w:t>
      </w:r>
      <w:r w:rsidR="004876DE" w:rsidRPr="00D91F48">
        <w:t>22 of</w:t>
      </w:r>
      <w:r w:rsidRPr="00D91F48">
        <w:t> </w:t>
      </w:r>
      <w:r w:rsidR="004876DE" w:rsidRPr="00D91F48">
        <w:t>the Convention against Torture and Other Cruel, Inhuman or Degrading T</w:t>
      </w:r>
      <w:r w:rsidR="003743F9" w:rsidRPr="00D91F48">
        <w:t xml:space="preserve">reatment or Punishment </w:t>
      </w:r>
      <w:r w:rsidRPr="00D91F48">
        <w:br/>
      </w:r>
      <w:r w:rsidR="003743F9" w:rsidRPr="00D91F48">
        <w:t>(fifty</w:t>
      </w:r>
      <w:r w:rsidR="00663A5F" w:rsidRPr="00D91F48">
        <w:t>-</w:t>
      </w:r>
      <w:r w:rsidR="008D1FEA" w:rsidRPr="00D91F48">
        <w:t>third</w:t>
      </w:r>
      <w:r w:rsidR="004876DE" w:rsidRPr="00D91F48">
        <w:t xml:space="preserve"> session)</w:t>
      </w:r>
    </w:p>
    <w:p w:rsidR="004876DE" w:rsidRPr="00D91F48" w:rsidRDefault="004876DE" w:rsidP="004876DE">
      <w:pPr>
        <w:pStyle w:val="SingleTxtG"/>
      </w:pPr>
      <w:r w:rsidRPr="00D91F48">
        <w:t>concerning</w:t>
      </w:r>
    </w:p>
    <w:p w:rsidR="004876DE" w:rsidRPr="00D91F48" w:rsidRDefault="004876DE" w:rsidP="004876DE">
      <w:pPr>
        <w:pStyle w:val="H1G"/>
      </w:pPr>
      <w:r w:rsidRPr="00D91F48">
        <w:tab/>
      </w:r>
      <w:r w:rsidRPr="00D91F48">
        <w:tab/>
        <w:t xml:space="preserve">Communication </w:t>
      </w:r>
      <w:r w:rsidR="00217F81" w:rsidRPr="00D91F48">
        <w:t>No. </w:t>
      </w:r>
      <w:r w:rsidR="00243943" w:rsidRPr="00D91F48">
        <w:t>520/2012</w:t>
      </w:r>
    </w:p>
    <w:p w:rsidR="00381DFA" w:rsidRPr="00D91F48" w:rsidRDefault="004876DE" w:rsidP="00290E30">
      <w:pPr>
        <w:pStyle w:val="SingleTxtG"/>
        <w:ind w:left="4536" w:hanging="3402"/>
        <w:jc w:val="left"/>
      </w:pPr>
      <w:r w:rsidRPr="00D91F48">
        <w:rPr>
          <w:i/>
        </w:rPr>
        <w:t>Submitted by:</w:t>
      </w:r>
      <w:r w:rsidRPr="00D91F48">
        <w:rPr>
          <w:i/>
        </w:rPr>
        <w:tab/>
      </w:r>
      <w:r w:rsidR="00544E30" w:rsidRPr="00D91F48">
        <w:t>W. G. D.</w:t>
      </w:r>
      <w:r w:rsidR="00381DFA" w:rsidRPr="00D91F48">
        <w:t xml:space="preserve"> (not represented by counsel)</w:t>
      </w:r>
    </w:p>
    <w:p w:rsidR="004876DE" w:rsidRPr="00D91F48" w:rsidRDefault="004876DE" w:rsidP="00290E30">
      <w:pPr>
        <w:pStyle w:val="SingleTxtG"/>
        <w:ind w:left="4536" w:hanging="3402"/>
        <w:jc w:val="left"/>
      </w:pPr>
      <w:r w:rsidRPr="00D91F48">
        <w:rPr>
          <w:i/>
        </w:rPr>
        <w:t>Alleged victim:</w:t>
      </w:r>
      <w:r w:rsidRPr="00D91F48">
        <w:rPr>
          <w:i/>
        </w:rPr>
        <w:tab/>
      </w:r>
      <w:r w:rsidR="005532C0" w:rsidRPr="00D91F48">
        <w:t>T</w:t>
      </w:r>
      <w:r w:rsidR="008D1FEA" w:rsidRPr="00D91F48">
        <w:t>he complainant</w:t>
      </w:r>
      <w:r w:rsidRPr="00D91F48">
        <w:t xml:space="preserve"> </w:t>
      </w:r>
    </w:p>
    <w:p w:rsidR="004876DE" w:rsidRPr="00D91F48" w:rsidRDefault="004876DE" w:rsidP="00290E30">
      <w:pPr>
        <w:pStyle w:val="SingleTxtG"/>
        <w:ind w:left="4536" w:hanging="3402"/>
        <w:jc w:val="left"/>
      </w:pPr>
      <w:r w:rsidRPr="00D91F48">
        <w:rPr>
          <w:i/>
        </w:rPr>
        <w:t>State party:</w:t>
      </w:r>
      <w:r w:rsidRPr="00D91F48">
        <w:rPr>
          <w:i/>
        </w:rPr>
        <w:tab/>
      </w:r>
      <w:r w:rsidR="008D1FEA" w:rsidRPr="00D91F48">
        <w:t>Canada</w:t>
      </w:r>
    </w:p>
    <w:p w:rsidR="004876DE" w:rsidRPr="00D91F48" w:rsidRDefault="004876DE" w:rsidP="00290E30">
      <w:pPr>
        <w:pStyle w:val="SingleTxtG"/>
        <w:ind w:left="4536" w:hanging="3402"/>
        <w:jc w:val="left"/>
      </w:pPr>
      <w:r w:rsidRPr="00D91F48">
        <w:rPr>
          <w:i/>
        </w:rPr>
        <w:t>Date of complaint:</w:t>
      </w:r>
      <w:r w:rsidRPr="00D91F48">
        <w:rPr>
          <w:i/>
        </w:rPr>
        <w:tab/>
      </w:r>
      <w:r w:rsidR="00243943" w:rsidRPr="00D91F48">
        <w:t>17 August 2012</w:t>
      </w:r>
      <w:r w:rsidRPr="00D91F48">
        <w:t xml:space="preserve"> (initial submission)</w:t>
      </w:r>
    </w:p>
    <w:p w:rsidR="004876DE" w:rsidRPr="00D91F48" w:rsidRDefault="004876DE" w:rsidP="00290E30">
      <w:pPr>
        <w:pStyle w:val="SingleTxtG"/>
        <w:spacing w:before="240"/>
      </w:pPr>
      <w:r w:rsidRPr="00D91F48">
        <w:tab/>
      </w:r>
      <w:r w:rsidRPr="00D91F48">
        <w:rPr>
          <w:i/>
          <w:iCs/>
        </w:rPr>
        <w:t>The Committee against Torture</w:t>
      </w:r>
      <w:r w:rsidRPr="00D91F48">
        <w:t xml:space="preserve">, established under </w:t>
      </w:r>
      <w:r w:rsidR="00217F81" w:rsidRPr="00D91F48">
        <w:t>article </w:t>
      </w:r>
      <w:r w:rsidRPr="00D91F48">
        <w:t>17 of the Convention against Torture and Other Cruel, Inhuman or Degrading Treatment or Punishment,</w:t>
      </w:r>
    </w:p>
    <w:p w:rsidR="004876DE" w:rsidRPr="00D91F48" w:rsidRDefault="004876DE" w:rsidP="004876DE">
      <w:pPr>
        <w:pStyle w:val="SingleTxtG"/>
      </w:pPr>
      <w:r w:rsidRPr="00D91F48">
        <w:tab/>
      </w:r>
      <w:r w:rsidRPr="00D91F48">
        <w:rPr>
          <w:i/>
          <w:iCs/>
        </w:rPr>
        <w:t>Meeting</w:t>
      </w:r>
      <w:r w:rsidRPr="00D91F48">
        <w:t xml:space="preserve"> on </w:t>
      </w:r>
      <w:r w:rsidR="00CF5A5D" w:rsidRPr="00D91F48">
        <w:t xml:space="preserve">26 </w:t>
      </w:r>
      <w:r w:rsidR="003743F9" w:rsidRPr="00D91F48">
        <w:t>November</w:t>
      </w:r>
      <w:r w:rsidRPr="00D91F48">
        <w:t xml:space="preserve"> 201</w:t>
      </w:r>
      <w:r w:rsidR="008D1FEA" w:rsidRPr="00D91F48">
        <w:t>4</w:t>
      </w:r>
      <w:r w:rsidRPr="00D91F48">
        <w:t>,</w:t>
      </w:r>
    </w:p>
    <w:p w:rsidR="004876DE" w:rsidRPr="00D91F48" w:rsidRDefault="004876DE" w:rsidP="00943C6F">
      <w:pPr>
        <w:pStyle w:val="SingleTxtG"/>
      </w:pPr>
      <w:r w:rsidRPr="00D91F48">
        <w:tab/>
      </w:r>
      <w:r w:rsidRPr="00D91F48">
        <w:rPr>
          <w:i/>
          <w:iCs/>
        </w:rPr>
        <w:t>Having concluded</w:t>
      </w:r>
      <w:r w:rsidRPr="00D91F48">
        <w:t xml:space="preserve"> its consideration of complaint </w:t>
      </w:r>
      <w:r w:rsidR="00217F81" w:rsidRPr="00D91F48">
        <w:t>No. </w:t>
      </w:r>
      <w:r w:rsidR="00243943" w:rsidRPr="00D91F48">
        <w:t>520/2012</w:t>
      </w:r>
      <w:r w:rsidRPr="00D91F48">
        <w:t xml:space="preserve">, submitted to the Committee against Torture </w:t>
      </w:r>
      <w:r w:rsidR="005532C0" w:rsidRPr="00D91F48">
        <w:t xml:space="preserve">by </w:t>
      </w:r>
      <w:r w:rsidR="00544E30" w:rsidRPr="00D91F48">
        <w:t>W.</w:t>
      </w:r>
      <w:r w:rsidR="005532C0" w:rsidRPr="00D91F48">
        <w:t> </w:t>
      </w:r>
      <w:r w:rsidR="00544E30" w:rsidRPr="00D91F48">
        <w:t>G.</w:t>
      </w:r>
      <w:r w:rsidR="005532C0" w:rsidRPr="00D91F48">
        <w:t> </w:t>
      </w:r>
      <w:r w:rsidR="00544E30" w:rsidRPr="00D91F48">
        <w:t>D.</w:t>
      </w:r>
      <w:r w:rsidR="00110701" w:rsidRPr="00D91F48">
        <w:t>,</w:t>
      </w:r>
      <w:r w:rsidR="003743F9" w:rsidRPr="00D91F48">
        <w:t xml:space="preserve"> </w:t>
      </w:r>
      <w:r w:rsidRPr="00D91F48">
        <w:t xml:space="preserve">under </w:t>
      </w:r>
      <w:r w:rsidR="00217F81" w:rsidRPr="00D91F48">
        <w:t>article </w:t>
      </w:r>
      <w:r w:rsidRPr="00D91F48">
        <w:t>22 of the Convention against Torture and Other Cruel, Inhuman or Degrading Treatment or Punishment,</w:t>
      </w:r>
    </w:p>
    <w:p w:rsidR="004876DE" w:rsidRPr="00D91F48" w:rsidRDefault="004876DE" w:rsidP="004876DE">
      <w:pPr>
        <w:pStyle w:val="SingleTxtG"/>
      </w:pPr>
      <w:r w:rsidRPr="00D91F48">
        <w:tab/>
      </w:r>
      <w:r w:rsidRPr="00D91F48">
        <w:rPr>
          <w:i/>
          <w:iCs/>
        </w:rPr>
        <w:t>Having taken into account</w:t>
      </w:r>
      <w:r w:rsidRPr="00D91F48">
        <w:t xml:space="preserve"> all information made available to it by the complainant, her counsel and the State party,</w:t>
      </w:r>
    </w:p>
    <w:p w:rsidR="004876DE" w:rsidRPr="00D91F48" w:rsidRDefault="004876DE" w:rsidP="004876DE">
      <w:pPr>
        <w:pStyle w:val="SingleTxtG"/>
      </w:pPr>
      <w:r w:rsidRPr="00D91F48">
        <w:tab/>
      </w:r>
      <w:r w:rsidRPr="00D91F48">
        <w:rPr>
          <w:i/>
          <w:iCs/>
        </w:rPr>
        <w:t xml:space="preserve">Adopts </w:t>
      </w:r>
      <w:r w:rsidRPr="00D91F48">
        <w:t>the following:</w:t>
      </w:r>
    </w:p>
    <w:p w:rsidR="004876DE" w:rsidRPr="00D91F48" w:rsidRDefault="004876DE" w:rsidP="00290E30">
      <w:pPr>
        <w:pStyle w:val="H1G"/>
      </w:pPr>
      <w:r w:rsidRPr="00D91F48">
        <w:tab/>
      </w:r>
      <w:r w:rsidRPr="00D91F48">
        <w:tab/>
        <w:t xml:space="preserve">Decision under </w:t>
      </w:r>
      <w:r w:rsidR="00217F81" w:rsidRPr="00D91F48">
        <w:t>article </w:t>
      </w:r>
      <w:r w:rsidRPr="00D91F48">
        <w:t xml:space="preserve">22, </w:t>
      </w:r>
      <w:r w:rsidR="00217F81" w:rsidRPr="00D91F48">
        <w:t>paragraph </w:t>
      </w:r>
      <w:r w:rsidR="00290E30" w:rsidRPr="00D91F48">
        <w:t>7, of the Convention against </w:t>
      </w:r>
      <w:r w:rsidRPr="00D91F48">
        <w:t>Torture</w:t>
      </w:r>
    </w:p>
    <w:p w:rsidR="004876DE" w:rsidRPr="00D91F48" w:rsidRDefault="004876DE" w:rsidP="005532C0">
      <w:pPr>
        <w:pStyle w:val="SingleTxtG"/>
      </w:pPr>
      <w:r w:rsidRPr="00D91F48">
        <w:t>1.1</w:t>
      </w:r>
      <w:r w:rsidRPr="00D91F48">
        <w:tab/>
      </w:r>
      <w:r w:rsidR="00C91D7B" w:rsidRPr="00D91F48">
        <w:t>The complainant is Ms</w:t>
      </w:r>
      <w:r w:rsidR="005532C0" w:rsidRPr="00D91F48">
        <w:rPr>
          <w:lang w:val="en-US"/>
        </w:rPr>
        <w:t>. </w:t>
      </w:r>
      <w:r w:rsidR="00544E30" w:rsidRPr="00D91F48">
        <w:t>W.</w:t>
      </w:r>
      <w:r w:rsidR="005532C0" w:rsidRPr="00D91F48">
        <w:rPr>
          <w:lang w:val="en-US"/>
        </w:rPr>
        <w:t> </w:t>
      </w:r>
      <w:r w:rsidR="00544E30" w:rsidRPr="00D91F48">
        <w:t>G.</w:t>
      </w:r>
      <w:r w:rsidR="005532C0" w:rsidRPr="00D91F48">
        <w:t> </w:t>
      </w:r>
      <w:r w:rsidR="00544E30" w:rsidRPr="00D91F48">
        <w:t>D.</w:t>
      </w:r>
      <w:r w:rsidR="00C91D7B" w:rsidRPr="00D91F48">
        <w:t xml:space="preserve">, an Ethiopian national born on 5 September 1955. </w:t>
      </w:r>
      <w:r w:rsidR="005532C0" w:rsidRPr="00D91F48">
        <w:t>She</w:t>
      </w:r>
      <w:r w:rsidR="002349A7" w:rsidRPr="00D91F48">
        <w:t xml:space="preserve"> claims that her deportation to Ethiopia would constitute a violation by Canada of </w:t>
      </w:r>
      <w:r w:rsidR="00217F81" w:rsidRPr="00D91F48">
        <w:t>article </w:t>
      </w:r>
      <w:r w:rsidR="002349A7" w:rsidRPr="00D91F48">
        <w:t xml:space="preserve">3 of the Convention against Torture and Other Cruel, Inhuman or Degrading Treatment or Punishment. </w:t>
      </w:r>
      <w:r w:rsidR="005532C0" w:rsidRPr="00D91F48">
        <w:t>She</w:t>
      </w:r>
      <w:r w:rsidR="002349A7" w:rsidRPr="00D91F48">
        <w:t xml:space="preserve"> is not represented by counsel.</w:t>
      </w:r>
    </w:p>
    <w:p w:rsidR="004876DE" w:rsidRPr="00D91F48" w:rsidRDefault="004876DE" w:rsidP="00943C6F">
      <w:pPr>
        <w:pStyle w:val="SingleTxtG"/>
        <w:spacing w:line="240" w:lineRule="auto"/>
      </w:pPr>
      <w:r w:rsidRPr="00D91F48">
        <w:t>1.2</w:t>
      </w:r>
      <w:r w:rsidRPr="00D91F48">
        <w:tab/>
        <w:t xml:space="preserve">Under rule </w:t>
      </w:r>
      <w:r w:rsidR="002349A7" w:rsidRPr="00D91F48">
        <w:t>114</w:t>
      </w:r>
      <w:r w:rsidRPr="00D91F48">
        <w:t xml:space="preserve">, </w:t>
      </w:r>
      <w:r w:rsidR="00217F81" w:rsidRPr="00D91F48">
        <w:t>paragraph </w:t>
      </w:r>
      <w:r w:rsidRPr="00D91F48">
        <w:t xml:space="preserve">1, of its rules of procedure, the Committee requested the State party, on </w:t>
      </w:r>
      <w:r w:rsidR="002349A7" w:rsidRPr="00D91F48">
        <w:t>14 September 2012</w:t>
      </w:r>
      <w:r w:rsidRPr="00D91F48">
        <w:t xml:space="preserve">, to refrain from expelling the complainant to </w:t>
      </w:r>
      <w:r w:rsidR="002349A7" w:rsidRPr="00D91F48">
        <w:t>Ethiopia</w:t>
      </w:r>
      <w:r w:rsidRPr="00D91F48">
        <w:t xml:space="preserve"> while </w:t>
      </w:r>
      <w:r w:rsidR="002349A7" w:rsidRPr="00D91F48">
        <w:t>her</w:t>
      </w:r>
      <w:r w:rsidRPr="00D91F48">
        <w:t xml:space="preserve"> complaint is under consideration by the Committee</w:t>
      </w:r>
      <w:r w:rsidR="00ED7569" w:rsidRPr="00D91F48">
        <w:t xml:space="preserve">. </w:t>
      </w:r>
      <w:r w:rsidR="0074182E" w:rsidRPr="00D91F48">
        <w:t xml:space="preserve">The State party </w:t>
      </w:r>
      <w:r w:rsidR="0006742E" w:rsidRPr="00D91F48">
        <w:t xml:space="preserve">agreed </w:t>
      </w:r>
      <w:r w:rsidR="0074182E" w:rsidRPr="00D91F48">
        <w:t>to temporar</w:t>
      </w:r>
      <w:r w:rsidR="00E66C13" w:rsidRPr="00D91F48">
        <w:t>il</w:t>
      </w:r>
      <w:r w:rsidR="0074182E" w:rsidRPr="00D91F48">
        <w:t>y refrain from deporting the complainant.</w:t>
      </w:r>
      <w:r w:rsidR="00E42B9E" w:rsidRPr="00D91F48">
        <w:t xml:space="preserve"> </w:t>
      </w:r>
      <w:r w:rsidR="00A1394A" w:rsidRPr="00D91F48">
        <w:t xml:space="preserve">On </w:t>
      </w:r>
      <w:r w:rsidR="002B4667" w:rsidRPr="00D91F48">
        <w:t>30</w:t>
      </w:r>
      <w:r w:rsidR="00A1394A" w:rsidRPr="00D91F48">
        <w:t xml:space="preserve"> May 2013, the Committee rejected</w:t>
      </w:r>
      <w:r w:rsidR="00DF18AE" w:rsidRPr="00D91F48">
        <w:t xml:space="preserve"> the State party’s request to lift </w:t>
      </w:r>
      <w:r w:rsidR="004E5936" w:rsidRPr="00D91F48">
        <w:t xml:space="preserve">the request for </w:t>
      </w:r>
      <w:r w:rsidR="00DF18AE" w:rsidRPr="00D91F48">
        <w:t>interim measures</w:t>
      </w:r>
      <w:r w:rsidR="004E5936" w:rsidRPr="00D91F48">
        <w:t xml:space="preserve"> of protection</w:t>
      </w:r>
      <w:r w:rsidR="00DF18AE" w:rsidRPr="00D91F48">
        <w:t>.</w:t>
      </w:r>
    </w:p>
    <w:p w:rsidR="004876DE" w:rsidRPr="00D91F48" w:rsidRDefault="004876DE" w:rsidP="006B78D4">
      <w:pPr>
        <w:pStyle w:val="H23G"/>
        <w:spacing w:line="240" w:lineRule="auto"/>
        <w:jc w:val="both"/>
      </w:pPr>
      <w:r w:rsidRPr="00D91F48">
        <w:rPr>
          <w:color w:val="7030A0"/>
        </w:rPr>
        <w:tab/>
      </w:r>
      <w:r w:rsidRPr="00D91F48">
        <w:rPr>
          <w:color w:val="7030A0"/>
        </w:rPr>
        <w:tab/>
      </w:r>
      <w:r w:rsidRPr="00D91F48">
        <w:t>Factual background</w:t>
      </w:r>
    </w:p>
    <w:p w:rsidR="003E2486" w:rsidRPr="00D91F48" w:rsidRDefault="00290E30" w:rsidP="00943C6F">
      <w:pPr>
        <w:pStyle w:val="SingleTxtG"/>
      </w:pPr>
      <w:r w:rsidRPr="00D91F48">
        <w:rPr>
          <w:lang w:val="en-US"/>
        </w:rPr>
        <w:t>2.1</w:t>
      </w:r>
      <w:r w:rsidRPr="00D91F48">
        <w:rPr>
          <w:lang w:val="en-US"/>
        </w:rPr>
        <w:tab/>
      </w:r>
      <w:r w:rsidR="003E2486" w:rsidRPr="00D91F48">
        <w:t>The complai</w:t>
      </w:r>
      <w:r w:rsidR="008C4D14" w:rsidRPr="00D91F48">
        <w:t xml:space="preserve">nant </w:t>
      </w:r>
      <w:r w:rsidR="00E66C13" w:rsidRPr="00D91F48">
        <w:rPr>
          <w:lang w:val="en-US"/>
        </w:rPr>
        <w:t>went</w:t>
      </w:r>
      <w:r w:rsidR="00E66C13" w:rsidRPr="00D91F48">
        <w:t xml:space="preserve"> </w:t>
      </w:r>
      <w:r w:rsidR="008C4D14" w:rsidRPr="00D91F48">
        <w:t xml:space="preserve">to Canada on 16 March </w:t>
      </w:r>
      <w:r w:rsidR="003E2486" w:rsidRPr="00D91F48">
        <w:t xml:space="preserve">2008 and </w:t>
      </w:r>
      <w:r w:rsidR="003D6133" w:rsidRPr="00D91F48">
        <w:t xml:space="preserve">on 2 </w:t>
      </w:r>
      <w:r w:rsidR="0012341C" w:rsidRPr="00D91F48">
        <w:t xml:space="preserve">June </w:t>
      </w:r>
      <w:r w:rsidR="003D6133" w:rsidRPr="00D91F48">
        <w:t xml:space="preserve">2009 </w:t>
      </w:r>
      <w:r w:rsidR="003E2486" w:rsidRPr="00D91F48">
        <w:t>applied for refugee status. Her refugee claim was rejected on 2</w:t>
      </w:r>
      <w:r w:rsidR="003D6133" w:rsidRPr="00D91F48">
        <w:t>5 January 2011</w:t>
      </w:r>
      <w:r w:rsidR="003E2486" w:rsidRPr="00D91F48">
        <w:t xml:space="preserve"> and </w:t>
      </w:r>
      <w:r w:rsidR="00E66C13" w:rsidRPr="00D91F48">
        <w:rPr>
          <w:lang w:val="en-US"/>
        </w:rPr>
        <w:t>her</w:t>
      </w:r>
      <w:r w:rsidR="00E66C13" w:rsidRPr="00D91F48">
        <w:t xml:space="preserve"> </w:t>
      </w:r>
      <w:r w:rsidR="003E2486" w:rsidRPr="00D91F48">
        <w:t xml:space="preserve">subsequent appeal to the Federal Court was also dismissed on 1 June 2011. She filed an application for a </w:t>
      </w:r>
      <w:r w:rsidR="0006742E" w:rsidRPr="00D91F48">
        <w:rPr>
          <w:lang w:val="en-US"/>
        </w:rPr>
        <w:t>p</w:t>
      </w:r>
      <w:r w:rsidR="003E2486" w:rsidRPr="00D91F48">
        <w:t>re</w:t>
      </w:r>
      <w:r w:rsidR="0006742E" w:rsidRPr="00D91F48">
        <w:rPr>
          <w:lang w:val="en-US"/>
        </w:rPr>
        <w:t>-r</w:t>
      </w:r>
      <w:r w:rsidR="003E2486" w:rsidRPr="00D91F48">
        <w:t xml:space="preserve">emoval </w:t>
      </w:r>
      <w:r w:rsidR="0006742E" w:rsidRPr="00D91F48">
        <w:rPr>
          <w:lang w:val="en-US"/>
        </w:rPr>
        <w:t>r</w:t>
      </w:r>
      <w:r w:rsidR="003E2486" w:rsidRPr="00D91F48">
        <w:t xml:space="preserve">isk </w:t>
      </w:r>
      <w:r w:rsidR="0006742E" w:rsidRPr="00D91F48">
        <w:rPr>
          <w:lang w:val="en-US"/>
        </w:rPr>
        <w:t>a</w:t>
      </w:r>
      <w:r w:rsidR="003E2486" w:rsidRPr="00D91F48">
        <w:t xml:space="preserve">ssessment (PRRA) on </w:t>
      </w:r>
      <w:r w:rsidR="008C4D14" w:rsidRPr="00D91F48">
        <w:t>30</w:t>
      </w:r>
      <w:r w:rsidR="003E2486" w:rsidRPr="00D91F48">
        <w:t xml:space="preserve"> September 2011, but her PRRA application was dismissed on 1 June 2012. </w:t>
      </w:r>
      <w:r w:rsidR="00587B71" w:rsidRPr="00D91F48">
        <w:t xml:space="preserve">The complainant could not afford to file an application for </w:t>
      </w:r>
      <w:r w:rsidR="00587B71" w:rsidRPr="00D91F48">
        <w:lastRenderedPageBreak/>
        <w:t>leave and for judicial review and</w:t>
      </w:r>
      <w:r w:rsidR="00E66C13" w:rsidRPr="00D91F48">
        <w:rPr>
          <w:lang w:val="en-US"/>
        </w:rPr>
        <w:t xml:space="preserve"> </w:t>
      </w:r>
      <w:r w:rsidR="00587B71" w:rsidRPr="00D91F48">
        <w:t>maintains that</w:t>
      </w:r>
      <w:r w:rsidR="00E66C13" w:rsidRPr="00D91F48">
        <w:rPr>
          <w:lang w:val="en-US"/>
        </w:rPr>
        <w:t>, in any case,</w:t>
      </w:r>
      <w:r w:rsidR="00587B71" w:rsidRPr="00D91F48">
        <w:t xml:space="preserve"> filing such </w:t>
      </w:r>
      <w:r w:rsidR="00E66C13" w:rsidRPr="00D91F48">
        <w:rPr>
          <w:lang w:val="en-US"/>
        </w:rPr>
        <w:t xml:space="preserve">an </w:t>
      </w:r>
      <w:r w:rsidR="00587B71" w:rsidRPr="00D91F48">
        <w:t>appeal would not stop her deportation.</w:t>
      </w:r>
      <w:r w:rsidR="005532C0" w:rsidRPr="00D91F48">
        <w:t xml:space="preserve"> She further notes that over 80</w:t>
      </w:r>
      <w:r w:rsidR="00E66C13" w:rsidRPr="00D91F48">
        <w:rPr>
          <w:lang w:val="en-US"/>
        </w:rPr>
        <w:t xml:space="preserve"> per cent</w:t>
      </w:r>
      <w:r w:rsidR="00587B71" w:rsidRPr="00D91F48">
        <w:t xml:space="preserve"> of all applications for leave are not even heard by a judge of the Federal Court and are dismissed without a hearing. </w:t>
      </w:r>
      <w:r w:rsidR="003E2486" w:rsidRPr="00D91F48">
        <w:t xml:space="preserve">On 13 August 2012, the complainant was told by a Canada Border Service Agency officer that she </w:t>
      </w:r>
      <w:r w:rsidR="00E66C13" w:rsidRPr="00D91F48">
        <w:rPr>
          <w:lang w:val="en-US"/>
        </w:rPr>
        <w:t>would</w:t>
      </w:r>
      <w:r w:rsidR="00E66C13" w:rsidRPr="00D91F48">
        <w:t xml:space="preserve"> </w:t>
      </w:r>
      <w:r w:rsidR="003E2486" w:rsidRPr="00D91F48">
        <w:t>be deported</w:t>
      </w:r>
      <w:r w:rsidR="005532C0" w:rsidRPr="00D91F48">
        <w:t xml:space="preserve"> to Ethiopia within the </w:t>
      </w:r>
      <w:r w:rsidR="00E66C13" w:rsidRPr="00D91F48">
        <w:rPr>
          <w:lang w:val="en-US"/>
        </w:rPr>
        <w:t>following</w:t>
      </w:r>
      <w:r w:rsidR="00E66C13" w:rsidRPr="00D91F48">
        <w:t xml:space="preserve"> </w:t>
      </w:r>
      <w:r w:rsidR="005532C0" w:rsidRPr="00D91F48">
        <w:t>90</w:t>
      </w:r>
      <w:r w:rsidR="005532C0" w:rsidRPr="00D91F48">
        <w:rPr>
          <w:lang w:val="en-US"/>
        </w:rPr>
        <w:t> </w:t>
      </w:r>
      <w:r w:rsidR="003E2486" w:rsidRPr="00D91F48">
        <w:t>days.</w:t>
      </w:r>
      <w:r w:rsidR="00587B71" w:rsidRPr="00D91F48">
        <w:t xml:space="preserve"> </w:t>
      </w:r>
    </w:p>
    <w:p w:rsidR="003E2486" w:rsidRPr="00D91F48" w:rsidRDefault="00290E30" w:rsidP="00943C6F">
      <w:pPr>
        <w:pStyle w:val="SingleTxtG"/>
      </w:pPr>
      <w:r w:rsidRPr="00D91F48">
        <w:rPr>
          <w:lang w:val="en-US"/>
        </w:rPr>
        <w:t>2.2</w:t>
      </w:r>
      <w:r w:rsidRPr="00D91F48">
        <w:rPr>
          <w:lang w:val="en-US"/>
        </w:rPr>
        <w:tab/>
      </w:r>
      <w:r w:rsidR="003E2486" w:rsidRPr="00D91F48">
        <w:t>The complainant is of Oromo ethnicity</w:t>
      </w:r>
      <w:r w:rsidR="00587B71" w:rsidRPr="00D91F48">
        <w:t xml:space="preserve"> and all her </w:t>
      </w:r>
      <w:r w:rsidR="00E66C13" w:rsidRPr="00D91F48">
        <w:rPr>
          <w:lang w:val="en-US"/>
        </w:rPr>
        <w:t xml:space="preserve">adult </w:t>
      </w:r>
      <w:r w:rsidR="00587B71" w:rsidRPr="00D91F48">
        <w:t>life has been a housewife with no political affiliations. S</w:t>
      </w:r>
      <w:r w:rsidR="003E2486" w:rsidRPr="00D91F48">
        <w:t xml:space="preserve">he submits that the Oromo people have a history of being oppressed and discriminated against by the Ethiopian </w:t>
      </w:r>
      <w:r w:rsidR="00630ECF" w:rsidRPr="00D91F48">
        <w:rPr>
          <w:lang w:val="en-US"/>
        </w:rPr>
        <w:t>G</w:t>
      </w:r>
      <w:r w:rsidR="003E2486" w:rsidRPr="00D91F48">
        <w:t xml:space="preserve">overnment. When the </w:t>
      </w:r>
      <w:r w:rsidR="00E66C13" w:rsidRPr="00D91F48">
        <w:rPr>
          <w:lang w:val="en-US"/>
        </w:rPr>
        <w:t>G</w:t>
      </w:r>
      <w:r w:rsidR="003E2486" w:rsidRPr="00D91F48">
        <w:t xml:space="preserve">overnment announced that national elections </w:t>
      </w:r>
      <w:r w:rsidR="00E66C13" w:rsidRPr="00D91F48">
        <w:rPr>
          <w:lang w:val="en-US"/>
        </w:rPr>
        <w:t>would</w:t>
      </w:r>
      <w:r w:rsidR="00E66C13" w:rsidRPr="00D91F48">
        <w:t xml:space="preserve"> </w:t>
      </w:r>
      <w:r w:rsidR="003E2486" w:rsidRPr="00D91F48">
        <w:t xml:space="preserve">be held in 2005, the complainant’s husband became an active campaigner for the opposition party United Front. </w:t>
      </w:r>
      <w:r w:rsidR="00587B71" w:rsidRPr="00D91F48">
        <w:t xml:space="preserve">He encouraged people to vote and openly and peacefully advocated on behalf of the opposition party candidate in their constituency. </w:t>
      </w:r>
      <w:r w:rsidR="003E2486" w:rsidRPr="00D91F48">
        <w:t xml:space="preserve">As the elections results were </w:t>
      </w:r>
      <w:r w:rsidR="00587B71" w:rsidRPr="00D91F48">
        <w:t xml:space="preserve">gradually </w:t>
      </w:r>
      <w:r w:rsidR="003E2486" w:rsidRPr="00D91F48">
        <w:t>released</w:t>
      </w:r>
      <w:r w:rsidR="00587B71" w:rsidRPr="00D91F48">
        <w:t xml:space="preserve"> on 15 May 2005</w:t>
      </w:r>
      <w:r w:rsidR="003E2486" w:rsidRPr="00D91F48">
        <w:t xml:space="preserve">, it became clear that the governing party, the Ethiopian People’s Revolutionary Democratic Front (EPRDF) </w:t>
      </w:r>
      <w:r w:rsidR="00E66C13" w:rsidRPr="00D91F48">
        <w:rPr>
          <w:lang w:val="en-US"/>
        </w:rPr>
        <w:t>was</w:t>
      </w:r>
      <w:r w:rsidR="00E66C13" w:rsidRPr="00D91F48">
        <w:t xml:space="preserve"> </w:t>
      </w:r>
      <w:r w:rsidR="003E2486" w:rsidRPr="00D91F48">
        <w:t xml:space="preserve">losing the elections. </w:t>
      </w:r>
      <w:r w:rsidR="00630ECF" w:rsidRPr="00D91F48">
        <w:rPr>
          <w:lang w:val="en-US"/>
        </w:rPr>
        <w:t>T</w:t>
      </w:r>
      <w:r w:rsidR="003E2486" w:rsidRPr="00D91F48">
        <w:t xml:space="preserve">he </w:t>
      </w:r>
      <w:r w:rsidR="00E66C13" w:rsidRPr="00D91F48">
        <w:rPr>
          <w:lang w:val="en-US"/>
        </w:rPr>
        <w:t>G</w:t>
      </w:r>
      <w:r w:rsidR="003E2486" w:rsidRPr="00D91F48">
        <w:t xml:space="preserve">overnment </w:t>
      </w:r>
      <w:r w:rsidR="00630ECF" w:rsidRPr="00D91F48">
        <w:rPr>
          <w:lang w:val="en-US"/>
        </w:rPr>
        <w:t xml:space="preserve">consequently </w:t>
      </w:r>
      <w:r w:rsidR="003E2486" w:rsidRPr="00D91F48">
        <w:t>began a crackdown on the opposition and many of its supporters were arrested. Many ethnic Oromo who had supported the opposition were falsely accused of being supporters of the Oromo Liberation Front (OLF), an outlawed organization.</w:t>
      </w:r>
    </w:p>
    <w:p w:rsidR="003E2486" w:rsidRPr="00D91F48" w:rsidRDefault="00290E30" w:rsidP="003F69D0">
      <w:pPr>
        <w:pStyle w:val="SingleTxtG"/>
      </w:pPr>
      <w:r w:rsidRPr="00D91F48">
        <w:rPr>
          <w:lang w:val="en-US"/>
        </w:rPr>
        <w:t>2.3</w:t>
      </w:r>
      <w:r w:rsidRPr="00D91F48">
        <w:rPr>
          <w:lang w:val="en-US"/>
        </w:rPr>
        <w:tab/>
      </w:r>
      <w:r w:rsidR="003E2486" w:rsidRPr="00D91F48">
        <w:t>On 8 June 2005</w:t>
      </w:r>
      <w:r w:rsidR="008375F9" w:rsidRPr="00D91F48">
        <w:t>,</w:t>
      </w:r>
      <w:r w:rsidR="003E2486" w:rsidRPr="00D91F48">
        <w:t xml:space="preserve"> the complainant’s husband was arrested and held in custody for one month. Their home was repeatedly searched and the complainant was harassed when she visited her husband in detention. In 2006</w:t>
      </w:r>
      <w:r w:rsidR="008375F9" w:rsidRPr="00D91F48">
        <w:t>,</w:t>
      </w:r>
      <w:r w:rsidR="003E2486" w:rsidRPr="00D91F48">
        <w:t xml:space="preserve"> the complainant </w:t>
      </w:r>
      <w:r w:rsidR="00E66C13" w:rsidRPr="00D91F48">
        <w:rPr>
          <w:lang w:val="en-US"/>
        </w:rPr>
        <w:t>let</w:t>
      </w:r>
      <w:r w:rsidR="00E66C13" w:rsidRPr="00D91F48">
        <w:t xml:space="preserve"> </w:t>
      </w:r>
      <w:r w:rsidR="003E2486" w:rsidRPr="00D91F48">
        <w:t xml:space="preserve">a house </w:t>
      </w:r>
      <w:r w:rsidR="00E66C13" w:rsidRPr="00D91F48">
        <w:rPr>
          <w:lang w:val="en-US"/>
        </w:rPr>
        <w:t xml:space="preserve">which </w:t>
      </w:r>
      <w:r w:rsidR="003E2486" w:rsidRPr="00D91F48">
        <w:t xml:space="preserve">she owned, and which was adjacent to her house, to two young students. </w:t>
      </w:r>
      <w:r w:rsidR="008375F9" w:rsidRPr="00D91F48">
        <w:t>On an unspecified date</w:t>
      </w:r>
      <w:r w:rsidR="003E2486" w:rsidRPr="00D91F48">
        <w:t xml:space="preserve"> </w:t>
      </w:r>
      <w:r w:rsidR="003F69D0" w:rsidRPr="00D91F48">
        <w:rPr>
          <w:lang w:val="en-US"/>
        </w:rPr>
        <w:t>they</w:t>
      </w:r>
      <w:r w:rsidR="003E2486" w:rsidRPr="00D91F48">
        <w:t xml:space="preserve"> disappeared and the police came and told </w:t>
      </w:r>
      <w:r w:rsidR="008375F9" w:rsidRPr="00D91F48">
        <w:t>the complainant</w:t>
      </w:r>
      <w:r w:rsidR="003E2486" w:rsidRPr="00D91F48">
        <w:t xml:space="preserve"> that </w:t>
      </w:r>
      <w:r w:rsidR="003F69D0" w:rsidRPr="00D91F48">
        <w:rPr>
          <w:lang w:val="en-US"/>
        </w:rPr>
        <w:t>they (the students)</w:t>
      </w:r>
      <w:r w:rsidR="003E2486" w:rsidRPr="00D91F48">
        <w:t xml:space="preserve"> had joined the OLF. The security police accused the complainant and her husband of </w:t>
      </w:r>
      <w:r w:rsidR="008375F9" w:rsidRPr="00D91F48">
        <w:t>harbouring</w:t>
      </w:r>
      <w:r w:rsidR="003E2486" w:rsidRPr="00D91F48">
        <w:t xml:space="preserve"> OLF supporters and</w:t>
      </w:r>
      <w:r w:rsidR="008375F9" w:rsidRPr="00D91F48">
        <w:t xml:space="preserve"> </w:t>
      </w:r>
      <w:r w:rsidR="003E2486" w:rsidRPr="00D91F48">
        <w:t xml:space="preserve">arrested them. The complainant was kept in detention for </w:t>
      </w:r>
      <w:r w:rsidR="008821CE" w:rsidRPr="00D91F48">
        <w:t>seven</w:t>
      </w:r>
      <w:r w:rsidR="003E2486" w:rsidRPr="00D91F48">
        <w:t xml:space="preserve"> days and released due to her poor health. Her husband was held for two weeks. During that time they were interrogated repeatedly.</w:t>
      </w:r>
    </w:p>
    <w:p w:rsidR="004876DE" w:rsidRPr="00D91F48" w:rsidRDefault="00290E30" w:rsidP="00290E30">
      <w:pPr>
        <w:pStyle w:val="SingleTxtG"/>
      </w:pPr>
      <w:r w:rsidRPr="00D91F48">
        <w:rPr>
          <w:lang w:val="en-US"/>
        </w:rPr>
        <w:t>2.4</w:t>
      </w:r>
      <w:r w:rsidRPr="00D91F48">
        <w:rPr>
          <w:lang w:val="en-US"/>
        </w:rPr>
        <w:tab/>
      </w:r>
      <w:r w:rsidR="003E2486" w:rsidRPr="00D91F48">
        <w:t xml:space="preserve">The complainant was traumatized by the events and decided to visit her daughter, who was living in Canada. After a lengthy application process she was allowed to leave the </w:t>
      </w:r>
      <w:r w:rsidR="008821CE" w:rsidRPr="00D91F48">
        <w:t>country and arrived in Canada on 16</w:t>
      </w:r>
      <w:r w:rsidR="003E2486" w:rsidRPr="00D91F48">
        <w:t xml:space="preserve"> March 2008. After her arrival, her brother called to inform her that her husband had been repeatedly summoned to the police station and asked about her whereabouts and whether she was meeting OLF supporters abroad. Her brother told her that the </w:t>
      </w:r>
      <w:r w:rsidR="00DC4217" w:rsidRPr="00D91F48">
        <w:t>authorities</w:t>
      </w:r>
      <w:r w:rsidR="003E2486" w:rsidRPr="00D91F48">
        <w:t xml:space="preserve"> regretted allowing her to leave and would arrest her if she returned. On an unspecified date</w:t>
      </w:r>
      <w:r w:rsidR="008375F9" w:rsidRPr="00D91F48">
        <w:t>,</w:t>
      </w:r>
      <w:r w:rsidR="003E2486" w:rsidRPr="00D91F48">
        <w:t xml:space="preserve"> </w:t>
      </w:r>
      <w:r w:rsidR="00E121C9" w:rsidRPr="00D91F48">
        <w:t>she received two letters from Ethiopia, from one W. and one A. S</w:t>
      </w:r>
      <w:r w:rsidR="003E2486" w:rsidRPr="00D91F48">
        <w:t xml:space="preserve">he learned that her husband had been arrested </w:t>
      </w:r>
      <w:r w:rsidR="008375F9" w:rsidRPr="00D91F48">
        <w:t>again</w:t>
      </w:r>
      <w:r w:rsidR="003F69D0" w:rsidRPr="00D91F48">
        <w:rPr>
          <w:lang w:val="en-US"/>
        </w:rPr>
        <w:t xml:space="preserve"> and</w:t>
      </w:r>
      <w:r w:rsidR="003E2486" w:rsidRPr="00D91F48">
        <w:t xml:space="preserve"> accused of being an opposition supporter</w:t>
      </w:r>
      <w:r w:rsidR="003F69D0" w:rsidRPr="00D91F48">
        <w:rPr>
          <w:lang w:val="en-US"/>
        </w:rPr>
        <w:t>,</w:t>
      </w:r>
      <w:r w:rsidR="003E2486" w:rsidRPr="00D91F48">
        <w:t xml:space="preserve"> and that he had subsequently been taken to an unknown location with other prisoners. The complainant is not aware of his </w:t>
      </w:r>
      <w:r w:rsidR="008375F9" w:rsidRPr="00D91F48">
        <w:t>whereabouts</w:t>
      </w:r>
      <w:r w:rsidR="003E2486" w:rsidRPr="00D91F48">
        <w:t xml:space="preserve"> or </w:t>
      </w:r>
      <w:r w:rsidR="003F69D0" w:rsidRPr="00D91F48">
        <w:rPr>
          <w:lang w:val="en-US"/>
        </w:rPr>
        <w:t xml:space="preserve">of </w:t>
      </w:r>
      <w:r w:rsidR="003E2486" w:rsidRPr="00D91F48">
        <w:t>what happened to him.</w:t>
      </w:r>
      <w:r w:rsidR="00217F81" w:rsidRPr="00D91F48">
        <w:t xml:space="preserve"> </w:t>
      </w:r>
    </w:p>
    <w:p w:rsidR="004876DE" w:rsidRPr="00D91F48" w:rsidRDefault="004876DE" w:rsidP="00491416">
      <w:pPr>
        <w:pStyle w:val="H23G"/>
        <w:spacing w:line="240" w:lineRule="auto"/>
        <w:ind w:firstLine="0"/>
      </w:pPr>
      <w:r w:rsidRPr="00D91F48">
        <w:t>The complaint</w:t>
      </w:r>
    </w:p>
    <w:p w:rsidR="004876DE" w:rsidRPr="00D91F48" w:rsidRDefault="003E2486" w:rsidP="00943C6F">
      <w:pPr>
        <w:pStyle w:val="SingleTxtG"/>
      </w:pPr>
      <w:r w:rsidRPr="00D91F48">
        <w:t>3.</w:t>
      </w:r>
      <w:r w:rsidR="000F730F" w:rsidRPr="00D91F48">
        <w:tab/>
      </w:r>
      <w:r w:rsidRPr="00D91F48">
        <w:t xml:space="preserve">The complainant submits that she will be </w:t>
      </w:r>
      <w:r w:rsidR="00E00D62" w:rsidRPr="00D91F48">
        <w:t xml:space="preserve">tortured and killed </w:t>
      </w:r>
      <w:r w:rsidRPr="00D91F48">
        <w:t xml:space="preserve">if returned to Ethiopia because of her ethnic origin and her perceived involvement with the OLF. </w:t>
      </w:r>
      <w:r w:rsidR="00943C6F" w:rsidRPr="00D91F48">
        <w:rPr>
          <w:lang w:val="en-US"/>
        </w:rPr>
        <w:t>On the basis of</w:t>
      </w:r>
      <w:r w:rsidRPr="00D91F48">
        <w:t xml:space="preserve"> her pas</w:t>
      </w:r>
      <w:r w:rsidR="00281330" w:rsidRPr="00D91F48">
        <w:t>t</w:t>
      </w:r>
      <w:r w:rsidRPr="00D91F48">
        <w:t xml:space="preserve"> arrest, the continued interest </w:t>
      </w:r>
      <w:r w:rsidR="003F69D0" w:rsidRPr="00D91F48">
        <w:rPr>
          <w:lang w:val="en-US"/>
        </w:rPr>
        <w:t xml:space="preserve">of the </w:t>
      </w:r>
      <w:r w:rsidR="003F69D0" w:rsidRPr="00D91F48">
        <w:t xml:space="preserve">security police </w:t>
      </w:r>
      <w:r w:rsidRPr="00D91F48">
        <w:t>in her whereabouts and the enforced disappearance of her husband</w:t>
      </w:r>
      <w:r w:rsidR="00943C6F" w:rsidRPr="00D91F48">
        <w:rPr>
          <w:lang w:val="en-US"/>
        </w:rPr>
        <w:t>,</w:t>
      </w:r>
      <w:r w:rsidRPr="00D91F48">
        <w:t xml:space="preserve"> she believes that she is at risk </w:t>
      </w:r>
      <w:r w:rsidR="00281330" w:rsidRPr="00D91F48">
        <w:t xml:space="preserve">of being persecuted </w:t>
      </w:r>
      <w:r w:rsidRPr="00D91F48">
        <w:t>if returned to Ethiopia.</w:t>
      </w:r>
    </w:p>
    <w:p w:rsidR="007A1B5B" w:rsidRPr="00D91F48" w:rsidRDefault="00290E30" w:rsidP="00290E30">
      <w:pPr>
        <w:pStyle w:val="H23G"/>
      </w:pPr>
      <w:r w:rsidRPr="00D91F48">
        <w:tab/>
      </w:r>
      <w:r w:rsidRPr="00D91F48">
        <w:tab/>
      </w:r>
      <w:r w:rsidR="004876DE" w:rsidRPr="00D91F48">
        <w:t>State party’s observations on admissibility</w:t>
      </w:r>
      <w:r w:rsidR="00F8456D" w:rsidRPr="00D91F48">
        <w:t xml:space="preserve"> and merits</w:t>
      </w:r>
    </w:p>
    <w:p w:rsidR="00205CC5" w:rsidRPr="00D91F48" w:rsidRDefault="00290E30" w:rsidP="00605C75">
      <w:pPr>
        <w:pStyle w:val="SingleTxtG"/>
      </w:pPr>
      <w:r w:rsidRPr="00D91F48">
        <w:rPr>
          <w:lang w:val="en-US"/>
        </w:rPr>
        <w:t>4.1</w:t>
      </w:r>
      <w:r w:rsidRPr="00D91F48">
        <w:rPr>
          <w:lang w:val="en-US"/>
        </w:rPr>
        <w:tab/>
      </w:r>
      <w:r w:rsidR="00F15875" w:rsidRPr="00D91F48">
        <w:t>By Note Verbale of 7 March 2013, the State party submitted its observations on the admissibility and the merits</w:t>
      </w:r>
      <w:r w:rsidR="003F69D0" w:rsidRPr="00D91F48">
        <w:rPr>
          <w:lang w:val="en-US"/>
        </w:rPr>
        <w:t xml:space="preserve"> of the communication</w:t>
      </w:r>
      <w:r w:rsidR="00D51D0E" w:rsidRPr="00D91F48">
        <w:t>.</w:t>
      </w:r>
      <w:r w:rsidR="00F15875" w:rsidRPr="00D91F48">
        <w:t xml:space="preserve"> </w:t>
      </w:r>
      <w:r w:rsidR="00B373DA" w:rsidRPr="00D91F48">
        <w:t xml:space="preserve">The State party notes that the complainant arrived in Canada in March 2008 and </w:t>
      </w:r>
      <w:r w:rsidR="003F69D0" w:rsidRPr="00D91F48">
        <w:rPr>
          <w:lang w:val="en-US"/>
        </w:rPr>
        <w:t>sought</w:t>
      </w:r>
      <w:r w:rsidR="003F69D0" w:rsidRPr="00D91F48">
        <w:t xml:space="preserve"> </w:t>
      </w:r>
      <w:r w:rsidR="00B373DA" w:rsidRPr="00D91F48">
        <w:t xml:space="preserve">refugee protection in June 2009. </w:t>
      </w:r>
      <w:r w:rsidR="00DD6677" w:rsidRPr="00D91F48">
        <w:t>According to</w:t>
      </w:r>
      <w:r w:rsidR="00884892" w:rsidRPr="00D91F48">
        <w:t xml:space="preserve"> her refugee protection</w:t>
      </w:r>
      <w:r w:rsidR="00DD6677" w:rsidRPr="00D91F48">
        <w:t xml:space="preserve"> application and the Personal Information Form </w:t>
      </w:r>
      <w:r w:rsidR="003F69D0" w:rsidRPr="00D91F48">
        <w:t xml:space="preserve">(PIF) </w:t>
      </w:r>
      <w:r w:rsidR="00DD6677" w:rsidRPr="00D91F48">
        <w:t>attached to it</w:t>
      </w:r>
      <w:r w:rsidR="00884892" w:rsidRPr="00D91F48">
        <w:t xml:space="preserve">, the </w:t>
      </w:r>
      <w:r w:rsidR="00366DA8" w:rsidRPr="00D91F48">
        <w:t>complainant</w:t>
      </w:r>
      <w:r w:rsidR="00884892" w:rsidRPr="00D91F48">
        <w:t xml:space="preserve"> </w:t>
      </w:r>
      <w:r w:rsidR="003F69D0" w:rsidRPr="00D91F48">
        <w:rPr>
          <w:lang w:val="en-US"/>
        </w:rPr>
        <w:t>sought</w:t>
      </w:r>
      <w:r w:rsidR="003F69D0" w:rsidRPr="00D91F48">
        <w:t xml:space="preserve"> </w:t>
      </w:r>
      <w:r w:rsidR="00884892" w:rsidRPr="00D91F48">
        <w:t xml:space="preserve">refugee protection on </w:t>
      </w:r>
      <w:r w:rsidR="003F69D0" w:rsidRPr="00D91F48">
        <w:rPr>
          <w:lang w:val="en-US"/>
        </w:rPr>
        <w:t>grounds</w:t>
      </w:r>
      <w:r w:rsidR="00884892" w:rsidRPr="00D91F48">
        <w:t xml:space="preserve"> of a well-founded fear </w:t>
      </w:r>
      <w:r w:rsidR="00884892" w:rsidRPr="00D91F48">
        <w:lastRenderedPageBreak/>
        <w:t xml:space="preserve">of persecution for reasons of race, membership in a particular social group, and political opinion. She also </w:t>
      </w:r>
      <w:r w:rsidR="003F69D0" w:rsidRPr="00D91F48">
        <w:rPr>
          <w:lang w:val="en-US"/>
        </w:rPr>
        <w:t>sought</w:t>
      </w:r>
      <w:r w:rsidR="003F69D0" w:rsidRPr="00D91F48">
        <w:t xml:space="preserve"> </w:t>
      </w:r>
      <w:r w:rsidR="00884892" w:rsidRPr="00D91F48">
        <w:t xml:space="preserve">protection because she faced a risk to life or a risk of cruel and unusual treatment or punishment. </w:t>
      </w:r>
      <w:r w:rsidR="003F69D0" w:rsidRPr="00D91F48">
        <w:rPr>
          <w:lang w:val="en-US"/>
        </w:rPr>
        <w:t>T</w:t>
      </w:r>
      <w:r w:rsidR="00DD6677" w:rsidRPr="00D91F48">
        <w:t>he State party notes that s</w:t>
      </w:r>
      <w:r w:rsidR="00884892" w:rsidRPr="00D91F48">
        <w:t xml:space="preserve">he expressly did not </w:t>
      </w:r>
      <w:r w:rsidR="003F69D0" w:rsidRPr="00D91F48">
        <w:rPr>
          <w:lang w:val="en-US"/>
        </w:rPr>
        <w:t>seek</w:t>
      </w:r>
      <w:r w:rsidR="003F69D0" w:rsidRPr="00D91F48">
        <w:t xml:space="preserve"> </w:t>
      </w:r>
      <w:r w:rsidR="00884892" w:rsidRPr="00D91F48">
        <w:t xml:space="preserve">protection because she faced a danger of torture as defined in </w:t>
      </w:r>
      <w:r w:rsidR="00217F81" w:rsidRPr="00D91F48">
        <w:t>article </w:t>
      </w:r>
      <w:r w:rsidR="00DD6677" w:rsidRPr="00D91F48">
        <w:t>1 of the Convention. The State party submits that</w:t>
      </w:r>
      <w:r w:rsidR="003F69D0" w:rsidRPr="00D91F48">
        <w:rPr>
          <w:lang w:val="en-US"/>
        </w:rPr>
        <w:t>,</w:t>
      </w:r>
      <w:r w:rsidR="00DD6677" w:rsidRPr="00D91F48">
        <w:t xml:space="preserve"> according to the PIF </w:t>
      </w:r>
      <w:r w:rsidR="003F69D0" w:rsidRPr="00D91F48">
        <w:rPr>
          <w:lang w:val="en-US"/>
        </w:rPr>
        <w:t>“</w:t>
      </w:r>
      <w:r w:rsidR="00DD6677" w:rsidRPr="00D91F48">
        <w:t>narrative</w:t>
      </w:r>
      <w:r w:rsidR="003F69D0" w:rsidRPr="00D91F48">
        <w:rPr>
          <w:lang w:val="en-US"/>
        </w:rPr>
        <w:t>”</w:t>
      </w:r>
      <w:r w:rsidR="00DD6677" w:rsidRPr="00D91F48">
        <w:t xml:space="preserve">, </w:t>
      </w:r>
      <w:r w:rsidR="003F69D0" w:rsidRPr="00D91F48">
        <w:rPr>
          <w:lang w:val="en-US"/>
        </w:rPr>
        <w:t>the complainant</w:t>
      </w:r>
      <w:r w:rsidR="003F69D0" w:rsidRPr="00D91F48">
        <w:t xml:space="preserve"> decided to ask for refugee protection</w:t>
      </w:r>
      <w:r w:rsidR="00884892" w:rsidRPr="00D91F48">
        <w:t xml:space="preserve"> on the basis of </w:t>
      </w:r>
      <w:r w:rsidR="00DD6677" w:rsidRPr="00D91F48">
        <w:t xml:space="preserve">the </w:t>
      </w:r>
      <w:r w:rsidR="00884892" w:rsidRPr="00D91F48">
        <w:t>information</w:t>
      </w:r>
      <w:r w:rsidR="00605C75" w:rsidRPr="00D91F48">
        <w:rPr>
          <w:lang w:val="en-US"/>
        </w:rPr>
        <w:t xml:space="preserve"> from her brother</w:t>
      </w:r>
      <w:r w:rsidR="00A773E8" w:rsidRPr="00D91F48">
        <w:rPr>
          <w:rStyle w:val="FootnoteReference"/>
        </w:rPr>
        <w:footnoteReference w:id="2"/>
      </w:r>
      <w:r w:rsidR="00884892" w:rsidRPr="00D91F48">
        <w:t>. She also mentioned, in support of her claim, that she and her grandchildren in Canada ha</w:t>
      </w:r>
      <w:r w:rsidR="00BA302B" w:rsidRPr="00D91F48">
        <w:t>d</w:t>
      </w:r>
      <w:r w:rsidR="00884892" w:rsidRPr="00D91F48">
        <w:t xml:space="preserve"> become attached to each other and asked to be allowed to stay in Canada “on a humanitarian basis”.</w:t>
      </w:r>
    </w:p>
    <w:p w:rsidR="007F09C5" w:rsidRPr="00D91F48" w:rsidRDefault="00290E30" w:rsidP="00605C75">
      <w:pPr>
        <w:pStyle w:val="SingleTxtG"/>
      </w:pPr>
      <w:r w:rsidRPr="00D91F48">
        <w:rPr>
          <w:lang w:val="en-US"/>
        </w:rPr>
        <w:t>4.2</w:t>
      </w:r>
      <w:r w:rsidRPr="00D91F48">
        <w:rPr>
          <w:lang w:val="en-US"/>
        </w:rPr>
        <w:tab/>
      </w:r>
      <w:r w:rsidR="00884892" w:rsidRPr="00D91F48">
        <w:t xml:space="preserve">On 20 January 2011, the Refugee Protection Division </w:t>
      </w:r>
      <w:r w:rsidR="00BA302B" w:rsidRPr="00D91F48">
        <w:t>(</w:t>
      </w:r>
      <w:r w:rsidR="00884892" w:rsidRPr="00D91F48">
        <w:t xml:space="preserve">RPD) of </w:t>
      </w:r>
      <w:r w:rsidR="00605C75" w:rsidRPr="00D91F48">
        <w:rPr>
          <w:lang w:val="en-US"/>
        </w:rPr>
        <w:t>the</w:t>
      </w:r>
      <w:r w:rsidR="00605C75" w:rsidRPr="00D91F48">
        <w:t xml:space="preserve"> </w:t>
      </w:r>
      <w:r w:rsidR="00884892" w:rsidRPr="00D91F48">
        <w:t xml:space="preserve">Immigration and Refugee Board </w:t>
      </w:r>
      <w:r w:rsidR="00605C75" w:rsidRPr="00D91F48">
        <w:rPr>
          <w:lang w:val="en-US"/>
        </w:rPr>
        <w:t xml:space="preserve">of Canada </w:t>
      </w:r>
      <w:r w:rsidR="00884892" w:rsidRPr="00D91F48">
        <w:t xml:space="preserve">heard the </w:t>
      </w:r>
      <w:r w:rsidR="00BA302B" w:rsidRPr="00D91F48">
        <w:t>complainant</w:t>
      </w:r>
      <w:r w:rsidR="00884892" w:rsidRPr="00D91F48">
        <w:t xml:space="preserve">’s claim. </w:t>
      </w:r>
      <w:r w:rsidR="00366DA8" w:rsidRPr="00D91F48">
        <w:t>She</w:t>
      </w:r>
      <w:r w:rsidR="00884892" w:rsidRPr="00D91F48">
        <w:t xml:space="preserve"> was represented by </w:t>
      </w:r>
      <w:r w:rsidR="00366DA8" w:rsidRPr="00D91F48">
        <w:t>legal counsel</w:t>
      </w:r>
      <w:r w:rsidR="00884892" w:rsidRPr="00D91F48">
        <w:t xml:space="preserve">. She had the opportunity to explain any ambiguities or inconsistencies and respond to any questions that the RPD </w:t>
      </w:r>
      <w:r w:rsidR="00605C75" w:rsidRPr="00D91F48">
        <w:rPr>
          <w:lang w:val="en-US"/>
        </w:rPr>
        <w:t>might</w:t>
      </w:r>
      <w:r w:rsidR="00605C75" w:rsidRPr="00D91F48">
        <w:t xml:space="preserve"> </w:t>
      </w:r>
      <w:r w:rsidR="00884892" w:rsidRPr="00D91F48">
        <w:t>have had with regard to her claims.</w:t>
      </w:r>
      <w:r w:rsidR="00217F81" w:rsidRPr="00D91F48">
        <w:t xml:space="preserve"> </w:t>
      </w:r>
      <w:r w:rsidR="00884892" w:rsidRPr="00D91F48">
        <w:t xml:space="preserve">The RPD rendered its decision on 24 January 2011, finding that the </w:t>
      </w:r>
      <w:r w:rsidR="00366DA8" w:rsidRPr="00D91F48">
        <w:t>complainant</w:t>
      </w:r>
      <w:r w:rsidR="00884892" w:rsidRPr="00D91F48">
        <w:t xml:space="preserve"> was not a </w:t>
      </w:r>
      <w:r w:rsidR="00605C75" w:rsidRPr="00D91F48">
        <w:rPr>
          <w:lang w:val="en-US"/>
        </w:rPr>
        <w:t>“</w:t>
      </w:r>
      <w:r w:rsidR="00884892" w:rsidRPr="00D91F48">
        <w:t>Convention refugee</w:t>
      </w:r>
      <w:r w:rsidR="00605C75" w:rsidRPr="00D91F48">
        <w:rPr>
          <w:lang w:val="en-US"/>
        </w:rPr>
        <w:t>”</w:t>
      </w:r>
      <w:r w:rsidR="00884892" w:rsidRPr="00D91F48">
        <w:t xml:space="preserve"> and not a person in need of protection.</w:t>
      </w:r>
      <w:r w:rsidR="00BA302B" w:rsidRPr="00D91F48">
        <w:t xml:space="preserve"> In particular</w:t>
      </w:r>
      <w:r w:rsidR="00884892" w:rsidRPr="00D91F48">
        <w:t xml:space="preserve">, the RPD accepted that the </w:t>
      </w:r>
      <w:r w:rsidR="00BA302B" w:rsidRPr="00D91F48">
        <w:t>complainant</w:t>
      </w:r>
      <w:r w:rsidR="00884892" w:rsidRPr="00D91F48">
        <w:t xml:space="preserve"> </w:t>
      </w:r>
      <w:r w:rsidR="00BA302B" w:rsidRPr="00D91F48">
        <w:t>was</w:t>
      </w:r>
      <w:r w:rsidR="00884892" w:rsidRPr="00D91F48">
        <w:t xml:space="preserve"> an unsophisticated person with virtually no formal education, yet concluded that </w:t>
      </w:r>
      <w:r w:rsidR="00605C75" w:rsidRPr="00D91F48">
        <w:rPr>
          <w:lang w:val="en-US"/>
        </w:rPr>
        <w:t>that</w:t>
      </w:r>
      <w:r w:rsidR="00605C75" w:rsidRPr="00D91F48">
        <w:t xml:space="preserve"> </w:t>
      </w:r>
      <w:r w:rsidR="00884892" w:rsidRPr="00D91F48">
        <w:t>did not explain the various contradictions</w:t>
      </w:r>
      <w:r w:rsidR="00366DA8" w:rsidRPr="00D91F48">
        <w:t xml:space="preserve"> in her submissions</w:t>
      </w:r>
      <w:r w:rsidR="00884892" w:rsidRPr="00D91F48">
        <w:t xml:space="preserve">. </w:t>
      </w:r>
      <w:r w:rsidR="00EA23D3" w:rsidRPr="00D91F48">
        <w:t xml:space="preserve">The State party further provides several examples of discrepancies identified by the RPD. </w:t>
      </w:r>
      <w:r w:rsidR="00BA302B" w:rsidRPr="00D91F48">
        <w:t xml:space="preserve">For example, in her PIF the complainant stated that her husband was arrested on 8 June 2005 and </w:t>
      </w:r>
      <w:r w:rsidR="00605C75" w:rsidRPr="00D91F48">
        <w:rPr>
          <w:lang w:val="en-US"/>
        </w:rPr>
        <w:t xml:space="preserve">that </w:t>
      </w:r>
      <w:r w:rsidR="00BA302B" w:rsidRPr="00D91F48">
        <w:t xml:space="preserve">she was harassed by the police when she went to visit him, while in her oral evidence before the RPD, she stated that her husband was arrested at work and </w:t>
      </w:r>
      <w:r w:rsidR="00605C75" w:rsidRPr="00D91F48">
        <w:rPr>
          <w:lang w:val="en-US"/>
        </w:rPr>
        <w:t xml:space="preserve">that </w:t>
      </w:r>
      <w:r w:rsidR="00BA302B" w:rsidRPr="00D91F48">
        <w:t xml:space="preserve">the police </w:t>
      </w:r>
      <w:r w:rsidR="00605C75" w:rsidRPr="00D91F48">
        <w:t xml:space="preserve">then </w:t>
      </w:r>
      <w:r w:rsidR="00BA302B" w:rsidRPr="00D91F48">
        <w:t xml:space="preserve">came to her house and arrested her. </w:t>
      </w:r>
      <w:r w:rsidR="00605C75" w:rsidRPr="00D91F48">
        <w:rPr>
          <w:lang w:val="en-US"/>
        </w:rPr>
        <w:t>With regard</w:t>
      </w:r>
      <w:r w:rsidR="00605C75" w:rsidRPr="00D91F48">
        <w:t xml:space="preserve"> </w:t>
      </w:r>
      <w:r w:rsidR="00BA302B" w:rsidRPr="00D91F48">
        <w:t>to her arrest in 2006, in her PI</w:t>
      </w:r>
      <w:r w:rsidR="00605C75" w:rsidRPr="00D91F48">
        <w:rPr>
          <w:lang w:val="en-US"/>
        </w:rPr>
        <w:t>F</w:t>
      </w:r>
      <w:r w:rsidR="00BA302B" w:rsidRPr="00D91F48">
        <w:t xml:space="preserve">, the complainant stated that she and her husband were arrested in 2006 after she </w:t>
      </w:r>
      <w:r w:rsidR="00605C75" w:rsidRPr="00D91F48">
        <w:rPr>
          <w:lang w:val="en-US"/>
        </w:rPr>
        <w:t xml:space="preserve">had </w:t>
      </w:r>
      <w:r w:rsidR="00BA302B" w:rsidRPr="00D91F48">
        <w:t>rented a house to two students, while in her oral testimony to the RPD, she stated that about two months after her arrest</w:t>
      </w:r>
      <w:r w:rsidR="00605C75" w:rsidRPr="00D91F48">
        <w:rPr>
          <w:lang w:val="en-US"/>
        </w:rPr>
        <w:t xml:space="preserve"> in </w:t>
      </w:r>
      <w:r w:rsidR="00605C75" w:rsidRPr="00D91F48">
        <w:t>2005</w:t>
      </w:r>
      <w:r w:rsidR="00BA302B" w:rsidRPr="00D91F48">
        <w:t xml:space="preserve">, she </w:t>
      </w:r>
      <w:r w:rsidR="00605C75" w:rsidRPr="00D91F48">
        <w:rPr>
          <w:lang w:val="en-US"/>
        </w:rPr>
        <w:t xml:space="preserve">had </w:t>
      </w:r>
      <w:r w:rsidR="00BA302B" w:rsidRPr="00D91F48">
        <w:t xml:space="preserve">travelled to the capital to be with her brother. She stated that she </w:t>
      </w:r>
      <w:r w:rsidR="00366DA8" w:rsidRPr="00D91F48">
        <w:t xml:space="preserve">had </w:t>
      </w:r>
      <w:r w:rsidR="00BA302B" w:rsidRPr="00D91F48">
        <w:t>stayed with her brother until she came to Canada, and never saw her husband again</w:t>
      </w:r>
      <w:r w:rsidR="00857CBB" w:rsidRPr="00D91F48">
        <w:t xml:space="preserve">. </w:t>
      </w:r>
      <w:r w:rsidR="00884892" w:rsidRPr="00D91F48">
        <w:t xml:space="preserve">The RPD noted that the </w:t>
      </w:r>
      <w:r w:rsidR="00BA302B" w:rsidRPr="00D91F48">
        <w:t>complainant</w:t>
      </w:r>
      <w:r w:rsidR="00884892" w:rsidRPr="00D91F48">
        <w:t xml:space="preserve"> was represented by an experienced lawyer at the time the </w:t>
      </w:r>
      <w:r w:rsidR="00BA302B" w:rsidRPr="00D91F48">
        <w:t>PIF</w:t>
      </w:r>
      <w:r w:rsidR="00605C75" w:rsidRPr="00D91F48">
        <w:rPr>
          <w:lang w:val="en-US"/>
        </w:rPr>
        <w:t xml:space="preserve"> was filed</w:t>
      </w:r>
      <w:r w:rsidR="00884892" w:rsidRPr="00D91F48">
        <w:t xml:space="preserve">, and that the lawyer would have been aware that the evidence in the </w:t>
      </w:r>
      <w:r w:rsidR="00BA302B" w:rsidRPr="00D91F48">
        <w:t>PIF</w:t>
      </w:r>
      <w:r w:rsidR="00884892" w:rsidRPr="00D91F48">
        <w:t xml:space="preserve">, including the written narrative, would be treated as sworn evidence at the hearing before the RPD. </w:t>
      </w:r>
      <w:r w:rsidR="00605C75" w:rsidRPr="00D91F48">
        <w:rPr>
          <w:lang w:val="en-US"/>
        </w:rPr>
        <w:t>T</w:t>
      </w:r>
      <w:r w:rsidR="00026ABA" w:rsidRPr="00D91F48">
        <w:t>he State party notes that</w:t>
      </w:r>
      <w:r w:rsidR="00605C75" w:rsidRPr="00D91F48">
        <w:rPr>
          <w:lang w:val="en-US"/>
        </w:rPr>
        <w:t>, in any case,</w:t>
      </w:r>
      <w:r w:rsidR="00026ABA" w:rsidRPr="00D91F48">
        <w:t xml:space="preserve"> </w:t>
      </w:r>
      <w:r w:rsidR="00026ABA" w:rsidRPr="00D91F48">
        <w:rPr>
          <w:lang w:val="en-CA"/>
        </w:rPr>
        <w:t>the RPD finding that the complainant was not credible was not necessarily determinative of her claim for protection. The RPD found that there was nothing in the complainant’s evidence which would provide a foundation for establishing that she faced a real and personal risk upon return.</w:t>
      </w:r>
    </w:p>
    <w:p w:rsidR="00EB1AB1" w:rsidRPr="00D91F48" w:rsidRDefault="00290E30" w:rsidP="00403EF3">
      <w:pPr>
        <w:pStyle w:val="SingleTxtG"/>
        <w:rPr>
          <w:b/>
          <w:bCs/>
        </w:rPr>
      </w:pPr>
      <w:r w:rsidRPr="00D91F48">
        <w:rPr>
          <w:lang w:val="en-US"/>
        </w:rPr>
        <w:t>4.3</w:t>
      </w:r>
      <w:r w:rsidRPr="00D91F48">
        <w:rPr>
          <w:lang w:val="en-US"/>
        </w:rPr>
        <w:tab/>
      </w:r>
      <w:r w:rsidR="00205CC5" w:rsidRPr="00D91F48">
        <w:t>The State party further notes that t</w:t>
      </w:r>
      <w:r w:rsidR="00884892" w:rsidRPr="00D91F48">
        <w:t xml:space="preserve">he </w:t>
      </w:r>
      <w:r w:rsidR="00205CC5" w:rsidRPr="00D91F48">
        <w:t>complainant</w:t>
      </w:r>
      <w:r w:rsidR="00884892" w:rsidRPr="00D91F48">
        <w:t xml:space="preserve"> made an application for a</w:t>
      </w:r>
      <w:r w:rsidR="00205CC5" w:rsidRPr="00D91F48">
        <w:t xml:space="preserve"> </w:t>
      </w:r>
      <w:r w:rsidR="00943C6F" w:rsidRPr="00D91F48">
        <w:rPr>
          <w:lang w:val="en-US"/>
        </w:rPr>
        <w:t>p</w:t>
      </w:r>
      <w:r w:rsidR="00205CC5" w:rsidRPr="00D91F48">
        <w:t>re-</w:t>
      </w:r>
      <w:r w:rsidR="00943C6F" w:rsidRPr="00D91F48">
        <w:rPr>
          <w:lang w:val="en-US"/>
        </w:rPr>
        <w:t>r</w:t>
      </w:r>
      <w:r w:rsidR="00205CC5" w:rsidRPr="00D91F48">
        <w:t xml:space="preserve">emoval </w:t>
      </w:r>
      <w:r w:rsidR="00943C6F" w:rsidRPr="00D91F48">
        <w:rPr>
          <w:lang w:val="en-US"/>
        </w:rPr>
        <w:t>r</w:t>
      </w:r>
      <w:r w:rsidR="00205CC5" w:rsidRPr="00D91F48">
        <w:t xml:space="preserve">isk </w:t>
      </w:r>
      <w:r w:rsidR="00943C6F" w:rsidRPr="00D91F48">
        <w:rPr>
          <w:lang w:val="en-US"/>
        </w:rPr>
        <w:t>a</w:t>
      </w:r>
      <w:r w:rsidR="00205CC5" w:rsidRPr="00D91F48">
        <w:t>ssessment</w:t>
      </w:r>
      <w:r w:rsidR="00884892" w:rsidRPr="00D91F48">
        <w:t xml:space="preserve"> </w:t>
      </w:r>
      <w:r w:rsidR="00205CC5" w:rsidRPr="00D91F48">
        <w:t>(</w:t>
      </w:r>
      <w:r w:rsidR="00884892" w:rsidRPr="00D91F48">
        <w:t>PRRA</w:t>
      </w:r>
      <w:r w:rsidR="00205CC5" w:rsidRPr="00D91F48">
        <w:t>)</w:t>
      </w:r>
      <w:r w:rsidR="00884892" w:rsidRPr="00D91F48">
        <w:t xml:space="preserve"> on 30 September 2011. In </w:t>
      </w:r>
      <w:r w:rsidR="008B0D58" w:rsidRPr="00D91F48">
        <w:t>her</w:t>
      </w:r>
      <w:r w:rsidR="00884892" w:rsidRPr="00D91F48">
        <w:t xml:space="preserve"> application, the </w:t>
      </w:r>
      <w:r w:rsidR="008B0D58" w:rsidRPr="00D91F48">
        <w:t>complainant repeated</w:t>
      </w:r>
      <w:r w:rsidR="00884892" w:rsidRPr="00D91F48">
        <w:t xml:space="preserve"> the same version of events as was contained in </w:t>
      </w:r>
      <w:r w:rsidR="008B0D58" w:rsidRPr="00D91F48">
        <w:t>her PIF. A</w:t>
      </w:r>
      <w:r w:rsidR="00884892" w:rsidRPr="00D91F48">
        <w:t xml:space="preserve">lthough the </w:t>
      </w:r>
      <w:r w:rsidR="008B0D58" w:rsidRPr="00D91F48">
        <w:t>complainant</w:t>
      </w:r>
      <w:r w:rsidR="00884892" w:rsidRPr="00D91F48">
        <w:t xml:space="preserve"> had testified before the RPD that there were significant mistakes in the </w:t>
      </w:r>
      <w:r w:rsidR="008B0D58" w:rsidRPr="00D91F48">
        <w:t>PIF</w:t>
      </w:r>
      <w:r w:rsidR="00884892" w:rsidRPr="00D91F48">
        <w:t>, neither she nor her</w:t>
      </w:r>
      <w:r w:rsidR="008B0D58" w:rsidRPr="00D91F48">
        <w:t xml:space="preserve"> counsel sought to present the </w:t>
      </w:r>
      <w:r w:rsidR="001F142A" w:rsidRPr="00D91F48">
        <w:rPr>
          <w:lang w:val="en-US"/>
        </w:rPr>
        <w:t>“</w:t>
      </w:r>
      <w:r w:rsidR="008B0D58" w:rsidRPr="00D91F48">
        <w:t>correct</w:t>
      </w:r>
      <w:r w:rsidR="001F142A" w:rsidRPr="00D91F48">
        <w:rPr>
          <w:lang w:val="en-US"/>
        </w:rPr>
        <w:t>”</w:t>
      </w:r>
      <w:r w:rsidR="00884892" w:rsidRPr="00D91F48">
        <w:t xml:space="preserve"> version of the facts in her PRRA application.</w:t>
      </w:r>
      <w:r w:rsidR="00217F81" w:rsidRPr="00D91F48">
        <w:t xml:space="preserve"> </w:t>
      </w:r>
      <w:r w:rsidR="00884892" w:rsidRPr="00D91F48">
        <w:t xml:space="preserve">In </w:t>
      </w:r>
      <w:r w:rsidR="00B76F15" w:rsidRPr="00D91F48">
        <w:t>her</w:t>
      </w:r>
      <w:r w:rsidR="00884892" w:rsidRPr="00D91F48">
        <w:t xml:space="preserve"> </w:t>
      </w:r>
      <w:r w:rsidR="00B76F15" w:rsidRPr="00D91F48">
        <w:t>application</w:t>
      </w:r>
      <w:r w:rsidR="00884892" w:rsidRPr="00D91F48">
        <w:t xml:space="preserve">, the </w:t>
      </w:r>
      <w:r w:rsidR="007F09C5" w:rsidRPr="00D91F48">
        <w:t>complainant</w:t>
      </w:r>
      <w:r w:rsidR="00884892" w:rsidRPr="00D91F48">
        <w:t xml:space="preserve"> relied in part on two letters from persons in Ethiopia which </w:t>
      </w:r>
      <w:r w:rsidR="007F09C5" w:rsidRPr="00D91F48">
        <w:t>indicated</w:t>
      </w:r>
      <w:r w:rsidR="00884892" w:rsidRPr="00D91F48">
        <w:t xml:space="preserve"> that her husband ha</w:t>
      </w:r>
      <w:r w:rsidR="007F09C5" w:rsidRPr="00D91F48">
        <w:t>d</w:t>
      </w:r>
      <w:r w:rsidR="00884892" w:rsidRPr="00D91F48">
        <w:t xml:space="preserve"> been arrested ag</w:t>
      </w:r>
      <w:r w:rsidR="007F09C5" w:rsidRPr="00D91F48">
        <w:t xml:space="preserve">ain </w:t>
      </w:r>
      <w:r w:rsidR="00FA6BE7" w:rsidRPr="00D91F48">
        <w:rPr>
          <w:lang w:val="en-US"/>
        </w:rPr>
        <w:t>on account of</w:t>
      </w:r>
      <w:r w:rsidR="00FA6BE7" w:rsidRPr="00D91F48">
        <w:t xml:space="preserve"> </w:t>
      </w:r>
      <w:r w:rsidR="007F09C5" w:rsidRPr="00D91F48">
        <w:t>being in the opposition</w:t>
      </w:r>
      <w:r w:rsidR="005532C0" w:rsidRPr="00D91F48">
        <w:rPr>
          <w:lang w:val="en-US"/>
        </w:rPr>
        <w:t>,</w:t>
      </w:r>
      <w:r w:rsidR="00A773E8" w:rsidRPr="00D91F48">
        <w:rPr>
          <w:rStyle w:val="FootnoteReference"/>
        </w:rPr>
        <w:footnoteReference w:id="3"/>
      </w:r>
      <w:r w:rsidR="007F09C5" w:rsidRPr="00D91F48">
        <w:t xml:space="preserve"> as well as on several reports by human rights organizations and media articles detailing the ongoing political repression of opponents by the ruling party in Ethiopia.</w:t>
      </w:r>
      <w:r w:rsidR="00B76F15" w:rsidRPr="00D91F48">
        <w:t xml:space="preserve"> The complainant </w:t>
      </w:r>
      <w:r w:rsidR="00884892" w:rsidRPr="00D91F48">
        <w:t>argued that she was at risk of persecution</w:t>
      </w:r>
      <w:r w:rsidR="00AF4525" w:rsidRPr="00D91F48">
        <w:t>,</w:t>
      </w:r>
      <w:r w:rsidR="00884892" w:rsidRPr="00D91F48">
        <w:t xml:space="preserve"> torture</w:t>
      </w:r>
      <w:r w:rsidR="00AF4525" w:rsidRPr="00D91F48">
        <w:t xml:space="preserve"> or risk to life</w:t>
      </w:r>
      <w:r w:rsidR="00326663" w:rsidRPr="00D91F48">
        <w:rPr>
          <w:lang w:val="en-US"/>
        </w:rPr>
        <w:t>,</w:t>
      </w:r>
      <w:r w:rsidR="00AF4525" w:rsidRPr="00D91F48">
        <w:t xml:space="preserve"> or of cruel and unusual treatment or punishment</w:t>
      </w:r>
      <w:r w:rsidR="00884892" w:rsidRPr="00D91F48">
        <w:t xml:space="preserve"> by virtue of her perceived affiliation with those in opposition to the </w:t>
      </w:r>
      <w:r w:rsidR="00326663" w:rsidRPr="00D91F48">
        <w:rPr>
          <w:lang w:val="en-US"/>
        </w:rPr>
        <w:t>G</w:t>
      </w:r>
      <w:r w:rsidR="00884892" w:rsidRPr="00D91F48">
        <w:t>overnment, her husband’s political involvement, and the fact that she belong</w:t>
      </w:r>
      <w:r w:rsidR="00326663" w:rsidRPr="00D91F48">
        <w:rPr>
          <w:lang w:val="en-US"/>
        </w:rPr>
        <w:t>ed</w:t>
      </w:r>
      <w:r w:rsidR="00884892" w:rsidRPr="00D91F48">
        <w:t xml:space="preserve"> to the Oromo ethnic group. </w:t>
      </w:r>
    </w:p>
    <w:p w:rsidR="00884892" w:rsidRPr="00D91F48" w:rsidRDefault="00290E30" w:rsidP="00617714">
      <w:pPr>
        <w:pStyle w:val="SingleTxtG"/>
      </w:pPr>
      <w:r w:rsidRPr="00D91F48">
        <w:rPr>
          <w:lang w:val="en-US"/>
        </w:rPr>
        <w:lastRenderedPageBreak/>
        <w:t>4.4</w:t>
      </w:r>
      <w:r w:rsidRPr="00D91F48">
        <w:rPr>
          <w:lang w:val="en-US"/>
        </w:rPr>
        <w:tab/>
      </w:r>
      <w:r w:rsidR="00B76F15" w:rsidRPr="00D91F48">
        <w:t>On</w:t>
      </w:r>
      <w:r w:rsidR="00884892" w:rsidRPr="00D91F48">
        <w:t xml:space="preserve"> 1 June 2012, </w:t>
      </w:r>
      <w:r w:rsidR="00326663" w:rsidRPr="00D91F48">
        <w:rPr>
          <w:lang w:val="en-US"/>
        </w:rPr>
        <w:t xml:space="preserve">it was determined that </w:t>
      </w:r>
      <w:r w:rsidR="00884892" w:rsidRPr="00D91F48">
        <w:t xml:space="preserve">the </w:t>
      </w:r>
      <w:r w:rsidR="00B76F15" w:rsidRPr="00D91F48">
        <w:t>complainant</w:t>
      </w:r>
      <w:r w:rsidR="00884892" w:rsidRPr="00D91F48">
        <w:t xml:space="preserve"> was not at risk of persecution or torture if returned to Ethiopia. </w:t>
      </w:r>
      <w:r w:rsidR="00B76F15" w:rsidRPr="00D91F48">
        <w:t>T</w:t>
      </w:r>
      <w:r w:rsidR="00884892" w:rsidRPr="00D91F48">
        <w:t>he PRRA Officer first noted that some of the evidence, including the two letters from Ethiopia, was not new but had already been put</w:t>
      </w:r>
      <w:r w:rsidR="00946851" w:rsidRPr="00D91F48">
        <w:t xml:space="preserve"> before the RPD. Pursuant to s</w:t>
      </w:r>
      <w:r w:rsidR="00326663" w:rsidRPr="00D91F48">
        <w:rPr>
          <w:lang w:val="en-US"/>
        </w:rPr>
        <w:t>ection</w:t>
      </w:r>
      <w:r w:rsidR="00946851" w:rsidRPr="00D91F48">
        <w:rPr>
          <w:lang w:val="en-US"/>
        </w:rPr>
        <w:t> </w:t>
      </w:r>
      <w:r w:rsidR="00884892" w:rsidRPr="00D91F48">
        <w:t>113</w:t>
      </w:r>
      <w:r w:rsidR="00326663" w:rsidRPr="00D91F48">
        <w:rPr>
          <w:lang w:val="en-US"/>
        </w:rPr>
        <w:t> </w:t>
      </w:r>
      <w:r w:rsidR="00884892" w:rsidRPr="00D91F48">
        <w:t xml:space="preserve">(a) of the </w:t>
      </w:r>
      <w:r w:rsidR="00B76F15" w:rsidRPr="00D91F48">
        <w:t>Immigration and Refugee Protection Act</w:t>
      </w:r>
      <w:r w:rsidR="00884892" w:rsidRPr="00D91F48">
        <w:t xml:space="preserve">, a PRRA applicant whose claim </w:t>
      </w:r>
      <w:r w:rsidR="00326663" w:rsidRPr="00D91F48">
        <w:rPr>
          <w:lang w:val="en-US"/>
        </w:rPr>
        <w:t xml:space="preserve">to refugee protection </w:t>
      </w:r>
      <w:r w:rsidR="00884892" w:rsidRPr="00D91F48">
        <w:t>ha</w:t>
      </w:r>
      <w:r w:rsidR="00326663" w:rsidRPr="00D91F48">
        <w:rPr>
          <w:lang w:val="en-US"/>
        </w:rPr>
        <w:t>s</w:t>
      </w:r>
      <w:r w:rsidR="00884892" w:rsidRPr="00D91F48">
        <w:t xml:space="preserve"> been rejected by the RPD may present only new evidence that arose after the rejection or was not reasonably available at the time of the rejection.</w:t>
      </w:r>
      <w:r w:rsidR="00EB1AB1" w:rsidRPr="00D91F48">
        <w:t xml:space="preserve"> </w:t>
      </w:r>
      <w:r w:rsidR="00326663" w:rsidRPr="00D91F48">
        <w:rPr>
          <w:lang w:val="en-US"/>
        </w:rPr>
        <w:t>T</w:t>
      </w:r>
      <w:r w:rsidR="00326663" w:rsidRPr="00D91F48">
        <w:t xml:space="preserve">he PRRA Officer </w:t>
      </w:r>
      <w:r w:rsidR="00326663" w:rsidRPr="00D91F48">
        <w:rPr>
          <w:lang w:val="en-US"/>
        </w:rPr>
        <w:t>took</w:t>
      </w:r>
      <w:r w:rsidR="00EB1AB1" w:rsidRPr="00D91F48">
        <w:t xml:space="preserve"> the submitted</w:t>
      </w:r>
      <w:r w:rsidR="00884892" w:rsidRPr="00D91F48">
        <w:t xml:space="preserve"> reports </w:t>
      </w:r>
      <w:r w:rsidR="00EB1AB1" w:rsidRPr="00D91F48">
        <w:t>of</w:t>
      </w:r>
      <w:r w:rsidR="00884892" w:rsidRPr="00D91F48">
        <w:t xml:space="preserve"> human rights organizations </w:t>
      </w:r>
      <w:r w:rsidR="00EB1AB1" w:rsidRPr="00D91F48">
        <w:t>and media articles</w:t>
      </w:r>
      <w:r w:rsidR="00326663" w:rsidRPr="00D91F48">
        <w:rPr>
          <w:lang w:val="en-US"/>
        </w:rPr>
        <w:t xml:space="preserve"> into consideration</w:t>
      </w:r>
      <w:r w:rsidR="00EB1AB1" w:rsidRPr="00D91F48">
        <w:t xml:space="preserve">, </w:t>
      </w:r>
      <w:r w:rsidR="00884892" w:rsidRPr="00D91F48">
        <w:t xml:space="preserve">but concluded that the articles were general in nature. </w:t>
      </w:r>
      <w:r w:rsidR="00326663" w:rsidRPr="00D91F48">
        <w:rPr>
          <w:lang w:val="en-US"/>
        </w:rPr>
        <w:t>T</w:t>
      </w:r>
      <w:r w:rsidR="004528E2" w:rsidRPr="00D91F48">
        <w:t>he complainant</w:t>
      </w:r>
      <w:r w:rsidR="00884892" w:rsidRPr="00D91F48">
        <w:t xml:space="preserve">’s application for protection was </w:t>
      </w:r>
      <w:r w:rsidR="00326663" w:rsidRPr="00D91F48">
        <w:rPr>
          <w:lang w:val="en-US"/>
        </w:rPr>
        <w:t xml:space="preserve">therefore </w:t>
      </w:r>
      <w:r w:rsidR="00884892" w:rsidRPr="00D91F48">
        <w:t>rejected.</w:t>
      </w:r>
    </w:p>
    <w:p w:rsidR="005742BB" w:rsidRPr="00D91F48" w:rsidRDefault="00096E69" w:rsidP="00B206A6">
      <w:pPr>
        <w:pStyle w:val="SingleTxtG"/>
      </w:pPr>
      <w:r w:rsidRPr="00D91F48">
        <w:rPr>
          <w:lang w:val="en-US"/>
        </w:rPr>
        <w:t>4.5</w:t>
      </w:r>
      <w:r w:rsidRPr="00D91F48">
        <w:rPr>
          <w:lang w:val="en-US"/>
        </w:rPr>
        <w:tab/>
      </w:r>
      <w:r w:rsidR="00326663" w:rsidRPr="00D91F48">
        <w:rPr>
          <w:lang w:val="en-US"/>
        </w:rPr>
        <w:t>T</w:t>
      </w:r>
      <w:r w:rsidR="004528E2" w:rsidRPr="00D91F48">
        <w:t>he State party maintains that t</w:t>
      </w:r>
      <w:r w:rsidR="00884892" w:rsidRPr="00D91F48">
        <w:t xml:space="preserve">he </w:t>
      </w:r>
      <w:r w:rsidR="004528E2" w:rsidRPr="00D91F48">
        <w:t>complainant</w:t>
      </w:r>
      <w:r w:rsidR="00884892" w:rsidRPr="00D91F48">
        <w:t xml:space="preserve"> could have made an application for leave and for judicial review of the PRRA Officer’s decision</w:t>
      </w:r>
      <w:r w:rsidR="008E3A94" w:rsidRPr="00D91F48">
        <w:rPr>
          <w:lang w:val="en-US"/>
        </w:rPr>
        <w:t xml:space="preserve"> to</w:t>
      </w:r>
      <w:r w:rsidR="008E3A94" w:rsidRPr="00D91F48">
        <w:t xml:space="preserve"> the Federal court</w:t>
      </w:r>
      <w:r w:rsidR="00884892" w:rsidRPr="00D91F48">
        <w:t>.</w:t>
      </w:r>
      <w:r w:rsidR="00217F81" w:rsidRPr="00D91F48">
        <w:t xml:space="preserve"> </w:t>
      </w:r>
      <w:r w:rsidR="00366DA8" w:rsidRPr="00D91F48">
        <w:t>She</w:t>
      </w:r>
      <w:r w:rsidR="00884892" w:rsidRPr="00D91F48">
        <w:t xml:space="preserve"> could also have filed a motion seeking a judicial stay of removal pending the decision of the Court.</w:t>
      </w:r>
      <w:r w:rsidR="007010A5" w:rsidRPr="00D91F48">
        <w:t xml:space="preserve"> The State party notes that that judicial review has consistently been recognized by the Committee as a procedure that must be exhausted for the purposes of admissibility.</w:t>
      </w:r>
      <w:r w:rsidR="00057316" w:rsidRPr="00D91F48">
        <w:rPr>
          <w:rStyle w:val="FootnoteReference"/>
        </w:rPr>
        <w:footnoteReference w:id="4"/>
      </w:r>
      <w:r w:rsidR="007010A5" w:rsidRPr="00D91F48">
        <w:t xml:space="preserve"> For example, in its decision in </w:t>
      </w:r>
      <w:r w:rsidR="007010A5" w:rsidRPr="00D91F48">
        <w:rPr>
          <w:i/>
        </w:rPr>
        <w:t xml:space="preserve">Yassin </w:t>
      </w:r>
      <w:r w:rsidR="007010A5" w:rsidRPr="00D91F48">
        <w:rPr>
          <w:iCs/>
        </w:rPr>
        <w:t>v.</w:t>
      </w:r>
      <w:r w:rsidR="007010A5" w:rsidRPr="00D91F48">
        <w:rPr>
          <w:i/>
        </w:rPr>
        <w:t xml:space="preserve"> Canada</w:t>
      </w:r>
      <w:r w:rsidR="007010A5" w:rsidRPr="00D91F48">
        <w:t xml:space="preserve">, the Committee stated that a judicial review of the complainant’s negative PRRA decision was an effective remedy, and found his communication inadmissible </w:t>
      </w:r>
      <w:r w:rsidR="00B206A6" w:rsidRPr="00D91F48">
        <w:rPr>
          <w:lang w:val="en-US"/>
        </w:rPr>
        <w:t>on grounds of</w:t>
      </w:r>
      <w:r w:rsidR="00B206A6" w:rsidRPr="00D91F48">
        <w:t xml:space="preserve"> </w:t>
      </w:r>
      <w:r w:rsidR="007010A5" w:rsidRPr="00D91F48">
        <w:t>non-exhaustion of domestic remedies.</w:t>
      </w:r>
      <w:r w:rsidR="00057316" w:rsidRPr="00D91F48">
        <w:rPr>
          <w:rStyle w:val="FootnoteReference"/>
        </w:rPr>
        <w:footnoteReference w:id="5"/>
      </w:r>
      <w:r w:rsidR="007010A5" w:rsidRPr="00D91F48">
        <w:t xml:space="preserve"> In several other communications involving Canada, </w:t>
      </w:r>
      <w:r w:rsidR="00B206A6" w:rsidRPr="00D91F48">
        <w:rPr>
          <w:lang w:val="en-US"/>
        </w:rPr>
        <w:t>the</w:t>
      </w:r>
      <w:r w:rsidR="00B206A6" w:rsidRPr="00D91F48">
        <w:t xml:space="preserve"> </w:t>
      </w:r>
      <w:r w:rsidR="007010A5" w:rsidRPr="00D91F48">
        <w:t>Committee has noted that “applications for leave and judicial review are not mere formalities, but that the Federal Court may, in appropriate cases, look at the substance of a case”.</w:t>
      </w:r>
      <w:r w:rsidR="00057316" w:rsidRPr="00D91F48">
        <w:rPr>
          <w:rStyle w:val="FootnoteReference"/>
        </w:rPr>
        <w:footnoteReference w:id="6"/>
      </w:r>
      <w:r w:rsidR="00501F7C" w:rsidRPr="00D91F48">
        <w:t xml:space="preserve"> </w:t>
      </w:r>
    </w:p>
    <w:p w:rsidR="007010A5" w:rsidRPr="00D91F48" w:rsidRDefault="00501F7C" w:rsidP="00290326">
      <w:pPr>
        <w:pStyle w:val="SingleTxtG"/>
      </w:pPr>
      <w:r w:rsidRPr="00D91F48">
        <w:t>4.6</w:t>
      </w:r>
      <w:r w:rsidRPr="00D91F48">
        <w:tab/>
      </w:r>
      <w:r w:rsidR="00B206A6" w:rsidRPr="00D91F48">
        <w:rPr>
          <w:lang w:val="en-US"/>
        </w:rPr>
        <w:t>T</w:t>
      </w:r>
      <w:r w:rsidR="005742BB" w:rsidRPr="00D91F48">
        <w:t>he State party</w:t>
      </w:r>
      <w:r w:rsidR="007010A5" w:rsidRPr="00D91F48">
        <w:t xml:space="preserve"> refers to the </w:t>
      </w:r>
      <w:r w:rsidR="00366DA8" w:rsidRPr="00D91F48">
        <w:t xml:space="preserve">Committee’s </w:t>
      </w:r>
      <w:r w:rsidR="00B206A6" w:rsidRPr="00D91F48">
        <w:t xml:space="preserve">recent </w:t>
      </w:r>
      <w:r w:rsidR="00366DA8" w:rsidRPr="00D91F48">
        <w:t>decision</w:t>
      </w:r>
      <w:r w:rsidR="007010A5" w:rsidRPr="00D91F48">
        <w:t xml:space="preserve"> in </w:t>
      </w:r>
      <w:r w:rsidR="007010A5" w:rsidRPr="00D91F48">
        <w:rPr>
          <w:i/>
        </w:rPr>
        <w:t xml:space="preserve">Nirmal Singh </w:t>
      </w:r>
      <w:r w:rsidR="007010A5" w:rsidRPr="00D91F48">
        <w:rPr>
          <w:iCs/>
        </w:rPr>
        <w:t>v.</w:t>
      </w:r>
      <w:r w:rsidR="007010A5" w:rsidRPr="00D91F48">
        <w:rPr>
          <w:i/>
        </w:rPr>
        <w:t xml:space="preserve"> Canada</w:t>
      </w:r>
      <w:r w:rsidR="007010A5" w:rsidRPr="00D91F48">
        <w:t>.</w:t>
      </w:r>
      <w:r w:rsidR="00057316" w:rsidRPr="00D91F48">
        <w:rPr>
          <w:rStyle w:val="FootnoteReference"/>
        </w:rPr>
        <w:footnoteReference w:id="7"/>
      </w:r>
      <w:r w:rsidR="007010A5" w:rsidRPr="00D91F48">
        <w:t xml:space="preserve"> In that communication, the Committee accepted the </w:t>
      </w:r>
      <w:r w:rsidR="005742BB" w:rsidRPr="00D91F48">
        <w:t>complainant</w:t>
      </w:r>
      <w:r w:rsidR="007010A5" w:rsidRPr="00D91F48">
        <w:t xml:space="preserve">’s argument that judicial review of his negative RPD and PRRA decisions did not provide him with an effective remedy. </w:t>
      </w:r>
      <w:r w:rsidR="00E00D62" w:rsidRPr="00D91F48">
        <w:t>T</w:t>
      </w:r>
      <w:r w:rsidR="002664BE" w:rsidRPr="00D91F48">
        <w:t>he State party</w:t>
      </w:r>
      <w:r w:rsidR="00E00D62" w:rsidRPr="00D91F48">
        <w:t xml:space="preserve"> argues </w:t>
      </w:r>
      <w:r w:rsidR="002664BE" w:rsidRPr="00D91F48">
        <w:t xml:space="preserve">that the Committee’s decision in </w:t>
      </w:r>
      <w:r w:rsidR="002664BE" w:rsidRPr="00D91F48">
        <w:rPr>
          <w:i/>
        </w:rPr>
        <w:t>Nirmal Singh</w:t>
      </w:r>
      <w:r w:rsidR="002664BE" w:rsidRPr="00D91F48">
        <w:t xml:space="preserve"> is limited to the specific facts of that </w:t>
      </w:r>
      <w:r w:rsidR="006B52DA" w:rsidRPr="00D91F48">
        <w:t xml:space="preserve">particular </w:t>
      </w:r>
      <w:r w:rsidR="002664BE" w:rsidRPr="00D91F48">
        <w:t>case, and does not indicate a more general condemnation of the effectiveness of judicial review as a remedy.</w:t>
      </w:r>
      <w:r w:rsidR="00217F81" w:rsidRPr="00D91F48">
        <w:t xml:space="preserve"> </w:t>
      </w:r>
      <w:r w:rsidR="005742BB" w:rsidRPr="00D91F48">
        <w:t>The State party further notes</w:t>
      </w:r>
      <w:r w:rsidR="007010A5" w:rsidRPr="00D91F48">
        <w:t xml:space="preserve"> that the current system of judicial review by the Federal Court provide</w:t>
      </w:r>
      <w:r w:rsidR="00B206A6" w:rsidRPr="00D91F48">
        <w:rPr>
          <w:lang w:val="en-US"/>
        </w:rPr>
        <w:t>s</w:t>
      </w:r>
      <w:r w:rsidR="007010A5" w:rsidRPr="00D91F48">
        <w:t xml:space="preserve"> for “judicial review of the merits”. </w:t>
      </w:r>
      <w:r w:rsidR="006B52DA" w:rsidRPr="00D91F48">
        <w:t>It</w:t>
      </w:r>
      <w:r w:rsidR="008A65CE" w:rsidRPr="00D91F48">
        <w:t xml:space="preserve"> explains that</w:t>
      </w:r>
      <w:r w:rsidR="00B206A6" w:rsidRPr="00D91F48">
        <w:rPr>
          <w:lang w:val="en-US"/>
        </w:rPr>
        <w:t>, in a</w:t>
      </w:r>
      <w:r w:rsidR="00B206A6" w:rsidRPr="00D91F48">
        <w:t xml:space="preserve"> judicial review, </w:t>
      </w:r>
      <w:r w:rsidR="008A65CE" w:rsidRPr="00D91F48">
        <w:t xml:space="preserve">whether asked to review a decision of the RPD or </w:t>
      </w:r>
      <w:r w:rsidR="00B206A6" w:rsidRPr="00D91F48">
        <w:rPr>
          <w:lang w:val="en-US"/>
        </w:rPr>
        <w:t xml:space="preserve">of a </w:t>
      </w:r>
      <w:r w:rsidR="008A65CE" w:rsidRPr="00D91F48">
        <w:t xml:space="preserve">PRRA Officer, </w:t>
      </w:r>
      <w:r w:rsidR="00B206A6" w:rsidRPr="00D91F48">
        <w:t xml:space="preserve">the Federal Court </w:t>
      </w:r>
      <w:r w:rsidR="008A65CE" w:rsidRPr="00D91F48">
        <w:t xml:space="preserve">reviews factual errors or errors involving both facts and law, generally on a </w:t>
      </w:r>
      <w:r w:rsidR="00B206A6" w:rsidRPr="00D91F48">
        <w:rPr>
          <w:lang w:val="en-US"/>
        </w:rPr>
        <w:t>“</w:t>
      </w:r>
      <w:r w:rsidR="008A65CE" w:rsidRPr="00D91F48">
        <w:t>reasonableness standard</w:t>
      </w:r>
      <w:r w:rsidR="00B206A6" w:rsidRPr="00D91F48">
        <w:rPr>
          <w:lang w:val="en-US"/>
        </w:rPr>
        <w:t>”</w:t>
      </w:r>
      <w:r w:rsidR="008A65CE" w:rsidRPr="00D91F48">
        <w:t>.</w:t>
      </w:r>
      <w:r w:rsidR="00217F81" w:rsidRPr="00D91F48">
        <w:t xml:space="preserve"> </w:t>
      </w:r>
      <w:r w:rsidR="008A65CE" w:rsidRPr="00D91F48">
        <w:t xml:space="preserve">However, the Court may </w:t>
      </w:r>
      <w:r w:rsidR="00B206A6" w:rsidRPr="00D91F48">
        <w:t xml:space="preserve">also </w:t>
      </w:r>
      <w:r w:rsidR="008A65CE" w:rsidRPr="00D91F48">
        <w:t xml:space="preserve">review questions of law on a </w:t>
      </w:r>
      <w:r w:rsidR="00B206A6" w:rsidRPr="00D91F48">
        <w:rPr>
          <w:lang w:val="en-US"/>
        </w:rPr>
        <w:t>“</w:t>
      </w:r>
      <w:r w:rsidR="008A65CE" w:rsidRPr="00D91F48">
        <w:t>correctness standard</w:t>
      </w:r>
      <w:r w:rsidR="00B206A6" w:rsidRPr="00D91F48">
        <w:rPr>
          <w:lang w:val="en-US"/>
        </w:rPr>
        <w:t>”</w:t>
      </w:r>
      <w:r w:rsidR="008A65CE" w:rsidRPr="00D91F48">
        <w:t xml:space="preserve">. In addition, on judicial review </w:t>
      </w:r>
      <w:r w:rsidR="002B3EB4" w:rsidRPr="00D91F48">
        <w:t xml:space="preserve">pursuant to </w:t>
      </w:r>
      <w:r w:rsidR="00290326" w:rsidRPr="00D91F48">
        <w:rPr>
          <w:lang w:val="en-US"/>
        </w:rPr>
        <w:t>s</w:t>
      </w:r>
      <w:r w:rsidR="002B3EB4" w:rsidRPr="00D91F48">
        <w:t>ection</w:t>
      </w:r>
      <w:r w:rsidR="00946851" w:rsidRPr="00D91F48">
        <w:t xml:space="preserve"> </w:t>
      </w:r>
      <w:r w:rsidR="002B3EB4" w:rsidRPr="00D91F48">
        <w:t>18.1(4) of the Federal Courts Act</w:t>
      </w:r>
      <w:r w:rsidR="00290326" w:rsidRPr="00D91F48">
        <w:rPr>
          <w:lang w:val="en-US"/>
        </w:rPr>
        <w:t>,</w:t>
      </w:r>
      <w:r w:rsidR="002B3EB4" w:rsidRPr="00D91F48">
        <w:t xml:space="preserve"> </w:t>
      </w:r>
      <w:r w:rsidR="008A65CE" w:rsidRPr="00D91F48">
        <w:t>the Federal Court can issue an appropriate remedy</w:t>
      </w:r>
      <w:r w:rsidR="003E2449" w:rsidRPr="00D91F48">
        <w:t xml:space="preserve"> if it determines that a tribunal (a)</w:t>
      </w:r>
      <w:r w:rsidR="00946851" w:rsidRPr="00D91F48">
        <w:t> </w:t>
      </w:r>
      <w:r w:rsidR="003E2449" w:rsidRPr="00D91F48">
        <w:t xml:space="preserve">acted without jurisdiction, acted </w:t>
      </w:r>
      <w:r w:rsidR="003E2449" w:rsidRPr="00D91F48">
        <w:lastRenderedPageBreak/>
        <w:t>beyond its jurisdiction or refused to exercise it</w:t>
      </w:r>
      <w:r w:rsidR="00290326" w:rsidRPr="00D91F48">
        <w:rPr>
          <w:lang w:val="en-US"/>
        </w:rPr>
        <w:t>s jurisdiction</w:t>
      </w:r>
      <w:r w:rsidR="003E2449" w:rsidRPr="00D91F48">
        <w:t>; (b)</w:t>
      </w:r>
      <w:r w:rsidR="00946851" w:rsidRPr="00D91F48">
        <w:t> </w:t>
      </w:r>
      <w:r w:rsidR="003E2449" w:rsidRPr="00D91F48">
        <w:t>failed to observe a principle of natural justice, procedural fairness or other procedure that it was required by law to observe; (c)</w:t>
      </w:r>
      <w:r w:rsidR="00946851" w:rsidRPr="00D91F48">
        <w:t> </w:t>
      </w:r>
      <w:r w:rsidR="003E2449" w:rsidRPr="00D91F48">
        <w:t>erred in law in making a decision or an order, whether or not the error appears on the face of the record; (d)</w:t>
      </w:r>
      <w:r w:rsidR="00946851" w:rsidRPr="00D91F48">
        <w:t> </w:t>
      </w:r>
      <w:r w:rsidR="003E2449" w:rsidRPr="00D91F48">
        <w:t>based its decision or order on an erroneous finding of fact that it made in a perverse or capricious manner or without regard for the material before it; (e)</w:t>
      </w:r>
      <w:r w:rsidR="009E5699" w:rsidRPr="00D91F48">
        <w:rPr>
          <w:lang w:val="en-US"/>
        </w:rPr>
        <w:t> </w:t>
      </w:r>
      <w:r w:rsidR="003E2449" w:rsidRPr="00D91F48">
        <w:t>acted, or failed to act, by reason of fraud or perjured evidence; or, (f)</w:t>
      </w:r>
      <w:r w:rsidR="009E5699" w:rsidRPr="00D91F48">
        <w:rPr>
          <w:lang w:val="en-US"/>
        </w:rPr>
        <w:t> </w:t>
      </w:r>
      <w:r w:rsidR="003E2449" w:rsidRPr="00D91F48">
        <w:t>acted in any other way that was contrary to law</w:t>
      </w:r>
      <w:r w:rsidR="008A65CE" w:rsidRPr="00D91F48">
        <w:t>.</w:t>
      </w:r>
    </w:p>
    <w:p w:rsidR="007010A5" w:rsidRPr="00D91F48" w:rsidRDefault="006B52DA" w:rsidP="002D1BEB">
      <w:pPr>
        <w:pStyle w:val="SingleTxtG"/>
      </w:pPr>
      <w:r w:rsidRPr="00D91F48">
        <w:t>4.</w:t>
      </w:r>
      <w:r w:rsidR="00501F7C" w:rsidRPr="00D91F48">
        <w:t>7</w:t>
      </w:r>
      <w:r w:rsidR="000F730F" w:rsidRPr="00D91F48">
        <w:tab/>
      </w:r>
      <w:r w:rsidR="00E42B9E" w:rsidRPr="00D91F48">
        <w:t>Consequently, the State party submits that</w:t>
      </w:r>
      <w:r w:rsidR="00290326" w:rsidRPr="00D91F48">
        <w:rPr>
          <w:lang w:val="en-US"/>
        </w:rPr>
        <w:t>,</w:t>
      </w:r>
      <w:r w:rsidR="00E42B9E" w:rsidRPr="00D91F48">
        <w:t xml:space="preserve"> h</w:t>
      </w:r>
      <w:r w:rsidR="007010A5" w:rsidRPr="00D91F48">
        <w:t xml:space="preserve">ad the </w:t>
      </w:r>
      <w:r w:rsidR="00E42B9E" w:rsidRPr="00D91F48">
        <w:t>complainant</w:t>
      </w:r>
      <w:r w:rsidR="007010A5" w:rsidRPr="00D91F48">
        <w:t xml:space="preserve"> made an application for leave to apply for judicial review, </w:t>
      </w:r>
      <w:r w:rsidR="00E42B9E" w:rsidRPr="00D91F48">
        <w:t>and</w:t>
      </w:r>
      <w:r w:rsidR="00290326" w:rsidRPr="00D91F48">
        <w:rPr>
          <w:lang w:val="en-US"/>
        </w:rPr>
        <w:t>,</w:t>
      </w:r>
      <w:r w:rsidR="00E42B9E" w:rsidRPr="00D91F48">
        <w:t xml:space="preserve"> </w:t>
      </w:r>
      <w:r w:rsidR="007010A5" w:rsidRPr="00D91F48">
        <w:t xml:space="preserve">if there had been an error of law or an unreasonable finding of fact made in </w:t>
      </w:r>
      <w:r w:rsidR="00606111" w:rsidRPr="00D91F48">
        <w:t>the</w:t>
      </w:r>
      <w:r w:rsidR="007010A5" w:rsidRPr="00D91F48">
        <w:t xml:space="preserve"> PRRA decision, the Federal Court would have granted leave to apply for judicial review and could have set the decision aside and sent the application back for re-determination by a different PRRA Officer. </w:t>
      </w:r>
      <w:r w:rsidR="00290326" w:rsidRPr="00D91F48">
        <w:rPr>
          <w:color w:val="000000"/>
          <w:lang w:val="en-US"/>
        </w:rPr>
        <w:t>T</w:t>
      </w:r>
      <w:r w:rsidR="00E42B9E" w:rsidRPr="00D91F48">
        <w:rPr>
          <w:color w:val="000000"/>
        </w:rPr>
        <w:t xml:space="preserve">he State party provides a number of examples </w:t>
      </w:r>
      <w:r w:rsidR="00290326" w:rsidRPr="00D91F48">
        <w:rPr>
          <w:color w:val="000000"/>
          <w:lang w:val="en-US"/>
        </w:rPr>
        <w:t xml:space="preserve">of </w:t>
      </w:r>
      <w:r w:rsidR="00E42B9E" w:rsidRPr="00D91F48">
        <w:rPr>
          <w:color w:val="000000"/>
        </w:rPr>
        <w:t xml:space="preserve">applications </w:t>
      </w:r>
      <w:r w:rsidR="002D1BEB" w:rsidRPr="00D91F48">
        <w:rPr>
          <w:color w:val="000000"/>
          <w:lang w:val="en-US"/>
        </w:rPr>
        <w:t xml:space="preserve">sent </w:t>
      </w:r>
      <w:r w:rsidR="00E42B9E" w:rsidRPr="00D91F48">
        <w:rPr>
          <w:color w:val="000000"/>
        </w:rPr>
        <w:t xml:space="preserve">back </w:t>
      </w:r>
      <w:r w:rsidR="002D1BEB" w:rsidRPr="00D91F48">
        <w:rPr>
          <w:color w:val="000000"/>
          <w:lang w:val="en-US"/>
        </w:rPr>
        <w:t xml:space="preserve">by the Court </w:t>
      </w:r>
      <w:r w:rsidR="00E42B9E" w:rsidRPr="00D91F48">
        <w:rPr>
          <w:color w:val="000000"/>
        </w:rPr>
        <w:t>for re-evaluation.</w:t>
      </w:r>
      <w:r w:rsidR="00503F29" w:rsidRPr="00D91F48">
        <w:rPr>
          <w:rStyle w:val="FootnoteReference"/>
        </w:rPr>
        <w:footnoteReference w:id="8"/>
      </w:r>
      <w:r w:rsidR="009E5699" w:rsidRPr="00D91F48">
        <w:rPr>
          <w:lang w:val="en-US"/>
        </w:rPr>
        <w:t xml:space="preserve"> </w:t>
      </w:r>
      <w:r w:rsidR="00DF18AE" w:rsidRPr="00D91F48">
        <w:t>In addition, as to the complainant’s argument that judicial review of her PRRA decision would not stop her deportation, the State party submits that</w:t>
      </w:r>
      <w:r w:rsidR="002D1BEB" w:rsidRPr="00D91F48">
        <w:rPr>
          <w:lang w:val="en-US"/>
        </w:rPr>
        <w:t>,</w:t>
      </w:r>
      <w:r w:rsidR="00DF18AE" w:rsidRPr="00D91F48">
        <w:t xml:space="preserve"> while it is </w:t>
      </w:r>
      <w:r w:rsidR="002D1BEB" w:rsidRPr="00D91F48">
        <w:rPr>
          <w:lang w:val="en-US"/>
        </w:rPr>
        <w:t>true</w:t>
      </w:r>
      <w:r w:rsidR="002D1BEB" w:rsidRPr="00D91F48">
        <w:t xml:space="preserve"> </w:t>
      </w:r>
      <w:r w:rsidR="00DF18AE" w:rsidRPr="00D91F48">
        <w:t xml:space="preserve">that there is no automatic stay of removal, a judicial stay is available on application to the Federal Court. </w:t>
      </w:r>
      <w:r w:rsidR="002D1BEB" w:rsidRPr="00D91F48">
        <w:rPr>
          <w:lang w:val="en-US"/>
        </w:rPr>
        <w:t>T</w:t>
      </w:r>
      <w:r w:rsidR="00DF18AE" w:rsidRPr="00D91F48">
        <w:t>he State party notes that a stay of removal until a PRRA application has been decided is granted by the Federal Court on a regular basis.</w:t>
      </w:r>
    </w:p>
    <w:p w:rsidR="007010A5" w:rsidRPr="00D91F48" w:rsidRDefault="00431968" w:rsidP="00836541">
      <w:pPr>
        <w:pStyle w:val="SingleTxtG"/>
      </w:pPr>
      <w:r w:rsidRPr="00D91F48">
        <w:t>4.</w:t>
      </w:r>
      <w:r w:rsidR="00501F7C" w:rsidRPr="00D91F48">
        <w:t>8</w:t>
      </w:r>
      <w:r w:rsidR="000F730F" w:rsidRPr="00D91F48">
        <w:tab/>
      </w:r>
      <w:r w:rsidR="002D1BEB" w:rsidRPr="00D91F48">
        <w:rPr>
          <w:lang w:val="en-US"/>
        </w:rPr>
        <w:t>With regard</w:t>
      </w:r>
      <w:r w:rsidR="002D1BEB" w:rsidRPr="00D91F48">
        <w:t xml:space="preserve"> </w:t>
      </w:r>
      <w:r w:rsidR="008C0386" w:rsidRPr="00D91F48">
        <w:t xml:space="preserve">to the statistics on leave applications and judicial review applications, the State party notes that </w:t>
      </w:r>
      <w:r w:rsidR="002D1BEB" w:rsidRPr="00D91F48">
        <w:rPr>
          <w:lang w:val="en-US"/>
        </w:rPr>
        <w:t>judges</w:t>
      </w:r>
      <w:r w:rsidR="002D1BEB" w:rsidRPr="00D91F48">
        <w:t xml:space="preserve"> </w:t>
      </w:r>
      <w:r w:rsidR="007010A5" w:rsidRPr="00D91F48">
        <w:t>of the Federal Court consider each leave application on the basis of the written submissions made by the parties</w:t>
      </w:r>
      <w:r w:rsidR="002D1BEB" w:rsidRPr="00D91F48">
        <w:rPr>
          <w:lang w:val="en-US"/>
        </w:rPr>
        <w:t>,</w:t>
      </w:r>
      <w:r w:rsidR="007010A5" w:rsidRPr="00D91F48">
        <w:t xml:space="preserve"> without an oral hearing. A hearing does not have to be an oral hearing to be fair and to comply with the rules of justice. If leave is granted, the case is assigned to a different </w:t>
      </w:r>
      <w:r w:rsidR="002D1BEB" w:rsidRPr="00D91F48">
        <w:rPr>
          <w:lang w:val="en-US"/>
        </w:rPr>
        <w:t>judge</w:t>
      </w:r>
      <w:r w:rsidR="002D1BEB" w:rsidRPr="00D91F48">
        <w:t xml:space="preserve"> </w:t>
      </w:r>
      <w:r w:rsidR="007010A5" w:rsidRPr="00D91F48">
        <w:t xml:space="preserve">for an oral hearing on the merits of the judicial review application. </w:t>
      </w:r>
      <w:r w:rsidR="008C0386" w:rsidRPr="00D91F48">
        <w:t>For example, in 2011, o</w:t>
      </w:r>
      <w:r w:rsidR="007010A5" w:rsidRPr="00D91F48">
        <w:t>ut of 6,273 applications for leave to appeal in the refugee context, 894 were granted, a grant rate of 14</w:t>
      </w:r>
      <w:r w:rsidR="00836541" w:rsidRPr="00D91F48">
        <w:rPr>
          <w:lang w:val="en-US"/>
        </w:rPr>
        <w:t xml:space="preserve"> per cent</w:t>
      </w:r>
      <w:r w:rsidR="007010A5" w:rsidRPr="00D91F48">
        <w:t xml:space="preserve">. </w:t>
      </w:r>
      <w:r w:rsidR="00836541" w:rsidRPr="00D91F48">
        <w:rPr>
          <w:lang w:val="en-US"/>
        </w:rPr>
        <w:t>T</w:t>
      </w:r>
      <w:r w:rsidR="006D4E3C" w:rsidRPr="00D91F48">
        <w:t>he</w:t>
      </w:r>
      <w:r w:rsidR="007A6FB3" w:rsidRPr="00D91F48">
        <w:t xml:space="preserve"> State party</w:t>
      </w:r>
      <w:r w:rsidR="007010A5" w:rsidRPr="00D91F48">
        <w:t xml:space="preserve"> submits that the acceptance rate for leave applications is not low</w:t>
      </w:r>
      <w:r w:rsidR="00836541" w:rsidRPr="00D91F48">
        <w:rPr>
          <w:lang w:val="en-US"/>
        </w:rPr>
        <w:t>,</w:t>
      </w:r>
      <w:r w:rsidR="007010A5" w:rsidRPr="00D91F48">
        <w:t xml:space="preserve"> </w:t>
      </w:r>
      <w:r w:rsidR="00836541" w:rsidRPr="00D91F48">
        <w:rPr>
          <w:lang w:val="en-US"/>
        </w:rPr>
        <w:t>in view of</w:t>
      </w:r>
      <w:r w:rsidR="00836541" w:rsidRPr="00D91F48">
        <w:t xml:space="preserve"> </w:t>
      </w:r>
      <w:r w:rsidR="007010A5" w:rsidRPr="00D91F48">
        <w:t xml:space="preserve">the quality of the decision-making at </w:t>
      </w:r>
      <w:r w:rsidR="00EB1478" w:rsidRPr="00D91F48">
        <w:t xml:space="preserve">the </w:t>
      </w:r>
      <w:r w:rsidR="007010A5" w:rsidRPr="00D91F48">
        <w:t>first instance.</w:t>
      </w:r>
    </w:p>
    <w:p w:rsidR="00510C47" w:rsidRPr="00D91F48" w:rsidRDefault="00431968" w:rsidP="007424AE">
      <w:pPr>
        <w:pStyle w:val="SingleTxtG"/>
      </w:pPr>
      <w:r w:rsidRPr="00D91F48">
        <w:t>4.</w:t>
      </w:r>
      <w:r w:rsidR="00501F7C" w:rsidRPr="00D91F48">
        <w:t>9</w:t>
      </w:r>
      <w:r w:rsidR="000F730F" w:rsidRPr="00D91F48">
        <w:tab/>
      </w:r>
      <w:r w:rsidR="00510C47" w:rsidRPr="00D91F48">
        <w:t xml:space="preserve">As to the costs for filing an application for judicial review, the State party </w:t>
      </w:r>
      <w:r w:rsidR="007010A5" w:rsidRPr="00D91F48">
        <w:t xml:space="preserve">notes that it costs </w:t>
      </w:r>
      <w:r w:rsidR="00836541" w:rsidRPr="00D91F48">
        <w:t xml:space="preserve">only </w:t>
      </w:r>
      <w:r w:rsidR="00B633DA" w:rsidRPr="00D91F48">
        <w:rPr>
          <w:lang w:val="en-US"/>
        </w:rPr>
        <w:t>CAD</w:t>
      </w:r>
      <w:r w:rsidR="007010A5" w:rsidRPr="00D91F48">
        <w:t xml:space="preserve">50 to </w:t>
      </w:r>
      <w:r w:rsidR="00B633DA" w:rsidRPr="00D91F48">
        <w:rPr>
          <w:lang w:val="en-US"/>
        </w:rPr>
        <w:t>file</w:t>
      </w:r>
      <w:r w:rsidR="00B633DA" w:rsidRPr="00D91F48">
        <w:t xml:space="preserve"> </w:t>
      </w:r>
      <w:r w:rsidR="007010A5" w:rsidRPr="00D91F48">
        <w:t xml:space="preserve">a leave application in the Federal Court. Moreover, </w:t>
      </w:r>
      <w:r w:rsidR="006D4E3C" w:rsidRPr="00D91F48">
        <w:t>an applicant</w:t>
      </w:r>
      <w:r w:rsidR="007010A5" w:rsidRPr="00D91F48">
        <w:t xml:space="preserve"> does not have to be represented by a lawyer to file a leave application but can be assisted by a consultant or a friend or relative. </w:t>
      </w:r>
      <w:r w:rsidR="00B633DA" w:rsidRPr="00D91F48">
        <w:rPr>
          <w:lang w:val="en-US"/>
        </w:rPr>
        <w:t>T</w:t>
      </w:r>
      <w:r w:rsidR="00510C47" w:rsidRPr="00D91F48">
        <w:t>he State party</w:t>
      </w:r>
      <w:r w:rsidR="007010A5" w:rsidRPr="00D91F48">
        <w:t xml:space="preserve"> observes that the </w:t>
      </w:r>
      <w:r w:rsidR="00510C47" w:rsidRPr="00D91F48">
        <w:t>complainant</w:t>
      </w:r>
      <w:r w:rsidR="007010A5" w:rsidRPr="00D91F48">
        <w:t xml:space="preserve"> had representation throughout her legal proceedings in Canada. </w:t>
      </w:r>
      <w:r w:rsidR="00510C47" w:rsidRPr="00D91F48">
        <w:t xml:space="preserve">In addition, </w:t>
      </w:r>
      <w:r w:rsidR="007010A5" w:rsidRPr="00D91F48">
        <w:t xml:space="preserve">legal aid is generally available throughout Canada and the </w:t>
      </w:r>
      <w:r w:rsidR="00510C47" w:rsidRPr="00D91F48">
        <w:t>complainant</w:t>
      </w:r>
      <w:r w:rsidR="007010A5" w:rsidRPr="00D91F48">
        <w:t xml:space="preserve"> has not established that she had applied for legal aid</w:t>
      </w:r>
      <w:r w:rsidR="00EB1478" w:rsidRPr="00D91F48">
        <w:t xml:space="preserve"> but </w:t>
      </w:r>
      <w:r w:rsidR="007424AE" w:rsidRPr="00D91F48">
        <w:rPr>
          <w:lang w:val="en-US"/>
        </w:rPr>
        <w:t>that her application</w:t>
      </w:r>
      <w:r w:rsidR="007424AE" w:rsidRPr="00D91F48">
        <w:t xml:space="preserve"> </w:t>
      </w:r>
      <w:r w:rsidR="00EB1478" w:rsidRPr="00D91F48">
        <w:t>was rejected</w:t>
      </w:r>
      <w:r w:rsidR="007010A5" w:rsidRPr="00D91F48">
        <w:t>.</w:t>
      </w:r>
      <w:r w:rsidR="00625000" w:rsidRPr="00D91F48">
        <w:t xml:space="preserve"> Accordingly, her assertion that she cannot afford to file a leave application is insufficient to excuse her failure to exhaust domestic remedies.</w:t>
      </w:r>
    </w:p>
    <w:p w:rsidR="00633889" w:rsidRPr="00D91F48" w:rsidRDefault="005E763E" w:rsidP="00287681">
      <w:pPr>
        <w:pStyle w:val="SingleTxtG"/>
      </w:pPr>
      <w:r w:rsidRPr="00D91F48">
        <w:t>4.1</w:t>
      </w:r>
      <w:r w:rsidR="00501F7C" w:rsidRPr="00D91F48">
        <w:t>0</w:t>
      </w:r>
      <w:r w:rsidR="000F730F" w:rsidRPr="00D91F48">
        <w:tab/>
      </w:r>
      <w:r w:rsidR="003627B6" w:rsidRPr="00D91F48">
        <w:t>Furthermore,</w:t>
      </w:r>
      <w:r w:rsidR="007010A5" w:rsidRPr="00D91F48">
        <w:t xml:space="preserve"> the State party</w:t>
      </w:r>
      <w:r w:rsidR="003627B6" w:rsidRPr="00D91F48">
        <w:t xml:space="preserve"> maintains that</w:t>
      </w:r>
      <w:r w:rsidR="007010A5" w:rsidRPr="00D91F48">
        <w:t xml:space="preserve"> t</w:t>
      </w:r>
      <w:r w:rsidR="00884892" w:rsidRPr="00D91F48">
        <w:t xml:space="preserve">he </w:t>
      </w:r>
      <w:r w:rsidR="007010A5" w:rsidRPr="00D91F48">
        <w:t>complainant</w:t>
      </w:r>
      <w:r w:rsidR="00884892" w:rsidRPr="00D91F48">
        <w:t xml:space="preserve"> could </w:t>
      </w:r>
      <w:r w:rsidR="007424AE" w:rsidRPr="00D91F48">
        <w:t xml:space="preserve">also </w:t>
      </w:r>
      <w:r w:rsidR="00884892" w:rsidRPr="00D91F48">
        <w:t xml:space="preserve">have made an application to be allowed to apply for permanent resident status in Canada on the basis of </w:t>
      </w:r>
      <w:r w:rsidR="00884892" w:rsidRPr="00D91F48">
        <w:lastRenderedPageBreak/>
        <w:t>humanitarian and compassionate considerations</w:t>
      </w:r>
      <w:r w:rsidR="00DF3E8D" w:rsidRPr="00D91F48">
        <w:t xml:space="preserve"> (</w:t>
      </w:r>
      <w:r w:rsidR="00884892" w:rsidRPr="00D91F48">
        <w:t xml:space="preserve">H&amp;C application). </w:t>
      </w:r>
      <w:r w:rsidR="00293752" w:rsidRPr="00D91F48">
        <w:t>The State party submits that a</w:t>
      </w:r>
      <w:r w:rsidR="00884892" w:rsidRPr="00D91F48">
        <w:t>n H&amp;C application is the remedy best suited to</w:t>
      </w:r>
      <w:r w:rsidR="00293752" w:rsidRPr="00D91F48">
        <w:t xml:space="preserve"> the humanitarian grounds that the complainant</w:t>
      </w:r>
      <w:r w:rsidR="00884892" w:rsidRPr="00D91F48">
        <w:t xml:space="preserve"> had raised in her application for refugee protection, where she referred to her close relationship with her Canadian grandchildren. A successful H&amp;C application would allow </w:t>
      </w:r>
      <w:r w:rsidR="00293752" w:rsidRPr="00D91F48">
        <w:t>her</w:t>
      </w:r>
      <w:r w:rsidR="00884892" w:rsidRPr="00D91F48">
        <w:t xml:space="preserve"> to remain in Canada as a permanent resident. </w:t>
      </w:r>
      <w:r w:rsidR="007424AE" w:rsidRPr="00D91F48">
        <w:rPr>
          <w:lang w:val="en-US"/>
        </w:rPr>
        <w:t>T</w:t>
      </w:r>
      <w:r w:rsidR="00293752" w:rsidRPr="00D91F48">
        <w:t>he State party</w:t>
      </w:r>
      <w:r w:rsidR="00884892" w:rsidRPr="00D91F48">
        <w:t xml:space="preserve"> regrets the </w:t>
      </w:r>
      <w:r w:rsidR="00293752" w:rsidRPr="00D91F48">
        <w:t>decision</w:t>
      </w:r>
      <w:r w:rsidR="001C31F2" w:rsidRPr="00D91F48">
        <w:rPr>
          <w:lang w:val="en-US"/>
        </w:rPr>
        <w:t>s</w:t>
      </w:r>
      <w:r w:rsidR="00884892" w:rsidRPr="00D91F48">
        <w:t xml:space="preserve"> of </w:t>
      </w:r>
      <w:r w:rsidR="007424AE" w:rsidRPr="00D91F48">
        <w:rPr>
          <w:lang w:val="en-US"/>
        </w:rPr>
        <w:t>the</w:t>
      </w:r>
      <w:r w:rsidR="007424AE" w:rsidRPr="00D91F48">
        <w:t xml:space="preserve"> </w:t>
      </w:r>
      <w:r w:rsidR="00884892" w:rsidRPr="00D91F48">
        <w:t xml:space="preserve">Committee in recent cases such as </w:t>
      </w:r>
      <w:r w:rsidR="00884892" w:rsidRPr="00D91F48">
        <w:rPr>
          <w:i/>
        </w:rPr>
        <w:t xml:space="preserve">Kalonzo </w:t>
      </w:r>
      <w:r w:rsidR="00884892" w:rsidRPr="00D91F48">
        <w:rPr>
          <w:iCs/>
        </w:rPr>
        <w:t>v</w:t>
      </w:r>
      <w:r w:rsidR="00884892" w:rsidRPr="00D91F48">
        <w:rPr>
          <w:i/>
        </w:rPr>
        <w:t>. Canada</w:t>
      </w:r>
      <w:r w:rsidR="007C333F" w:rsidRPr="00D91F48">
        <w:rPr>
          <w:rStyle w:val="FootnoteReference"/>
          <w:iCs/>
        </w:rPr>
        <w:footnoteReference w:id="9"/>
      </w:r>
      <w:r w:rsidR="001F142A" w:rsidRPr="00D91F48">
        <w:rPr>
          <w:iCs/>
          <w:lang w:val="en-US"/>
        </w:rPr>
        <w:t xml:space="preserve"> </w:t>
      </w:r>
      <w:r w:rsidR="00884892" w:rsidRPr="00D91F48">
        <w:t xml:space="preserve">and </w:t>
      </w:r>
      <w:r w:rsidR="00884892" w:rsidRPr="00D91F48">
        <w:rPr>
          <w:i/>
        </w:rPr>
        <w:t xml:space="preserve">T.I. </w:t>
      </w:r>
      <w:r w:rsidR="00884892" w:rsidRPr="00D91F48">
        <w:rPr>
          <w:iCs/>
        </w:rPr>
        <w:t>v.</w:t>
      </w:r>
      <w:r w:rsidR="00884892" w:rsidRPr="00D91F48">
        <w:rPr>
          <w:i/>
        </w:rPr>
        <w:t xml:space="preserve"> Canada</w:t>
      </w:r>
      <w:r w:rsidR="00CF0BE4" w:rsidRPr="00D91F48">
        <w:rPr>
          <w:rStyle w:val="FootnoteReference"/>
          <w:iCs/>
        </w:rPr>
        <w:footnoteReference w:id="10"/>
      </w:r>
      <w:r w:rsidR="00884892" w:rsidRPr="00D91F48">
        <w:rPr>
          <w:i/>
        </w:rPr>
        <w:t xml:space="preserve"> </w:t>
      </w:r>
      <w:r w:rsidR="00884892" w:rsidRPr="00D91F48">
        <w:t xml:space="preserve">in which the Committee considered that H&amp;C applications </w:t>
      </w:r>
      <w:r w:rsidR="007424AE" w:rsidRPr="00D91F48">
        <w:rPr>
          <w:lang w:val="en-US"/>
        </w:rPr>
        <w:t>were</w:t>
      </w:r>
      <w:r w:rsidR="007424AE" w:rsidRPr="00D91F48">
        <w:t xml:space="preserve"> </w:t>
      </w:r>
      <w:r w:rsidR="00884892" w:rsidRPr="00D91F48">
        <w:t>not remedies that must be exhausted for the purposes of admissibility. Particularly in th</w:t>
      </w:r>
      <w:r w:rsidR="00F74218" w:rsidRPr="00D91F48">
        <w:t>e present</w:t>
      </w:r>
      <w:r w:rsidR="00884892" w:rsidRPr="00D91F48">
        <w:t xml:space="preserve"> case, an H&amp;C application is the remedy that is most directly applicable to the nature of her claim and potentially the most effective. </w:t>
      </w:r>
      <w:r w:rsidR="00F74218" w:rsidRPr="00D91F48">
        <w:t>Therefore, the State party</w:t>
      </w:r>
      <w:r w:rsidR="00884892" w:rsidRPr="00D91F48">
        <w:t xml:space="preserve"> submits that in the circumstances, the </w:t>
      </w:r>
      <w:r w:rsidR="00F74218" w:rsidRPr="00D91F48">
        <w:t>complainant</w:t>
      </w:r>
      <w:r w:rsidR="00884892" w:rsidRPr="00D91F48">
        <w:t xml:space="preserve">’s failure to make an H&amp;C application renders her communication inadmissible </w:t>
      </w:r>
      <w:r w:rsidR="00287681" w:rsidRPr="00D91F48">
        <w:rPr>
          <w:lang w:val="en-US"/>
        </w:rPr>
        <w:t>on the grounds of</w:t>
      </w:r>
      <w:r w:rsidR="00287681" w:rsidRPr="00D91F48">
        <w:t xml:space="preserve"> </w:t>
      </w:r>
      <w:r w:rsidR="00884892" w:rsidRPr="00D91F48">
        <w:t>non-exhaustion of domestic remedies.</w:t>
      </w:r>
      <w:r w:rsidR="00217F81" w:rsidRPr="00D91F48">
        <w:t xml:space="preserve"> </w:t>
      </w:r>
    </w:p>
    <w:p w:rsidR="00501F7C" w:rsidRPr="00D91F48" w:rsidRDefault="005E763E" w:rsidP="00403EF3">
      <w:pPr>
        <w:pStyle w:val="SingleTxtG"/>
      </w:pPr>
      <w:r w:rsidRPr="00D91F48">
        <w:t>4.</w:t>
      </w:r>
      <w:r w:rsidR="00501F7C" w:rsidRPr="00D91F48">
        <w:t>11</w:t>
      </w:r>
      <w:r w:rsidR="00501F7C" w:rsidRPr="00D91F48">
        <w:tab/>
      </w:r>
      <w:r w:rsidR="00332523" w:rsidRPr="00D91F48">
        <w:t>I</w:t>
      </w:r>
      <w:r w:rsidR="00884892" w:rsidRPr="00D91F48">
        <w:t xml:space="preserve">n the alternative, </w:t>
      </w:r>
      <w:r w:rsidR="00633889" w:rsidRPr="00D91F48">
        <w:t>the State party</w:t>
      </w:r>
      <w:r w:rsidR="00884892" w:rsidRPr="00D91F48">
        <w:t xml:space="preserve"> submits that the </w:t>
      </w:r>
      <w:r w:rsidR="00633889" w:rsidRPr="00D91F48">
        <w:t>complainant</w:t>
      </w:r>
      <w:r w:rsidR="00217F81" w:rsidRPr="00D91F48">
        <w:t>’</w:t>
      </w:r>
      <w:r w:rsidR="00884892" w:rsidRPr="00D91F48">
        <w:t xml:space="preserve">s claim </w:t>
      </w:r>
      <w:r w:rsidR="00306456" w:rsidRPr="00D91F48">
        <w:t xml:space="preserve">that she will be tortured and killed if she is returned to Ethiopia </w:t>
      </w:r>
      <w:r w:rsidR="00884892" w:rsidRPr="00D91F48">
        <w:t xml:space="preserve">is manifestly unfounded, on the ground that she has not substantiated her allegations on even a </w:t>
      </w:r>
      <w:r w:rsidR="00884892" w:rsidRPr="00D91F48">
        <w:rPr>
          <w:i/>
          <w:iCs/>
        </w:rPr>
        <w:t xml:space="preserve">prima facie </w:t>
      </w:r>
      <w:r w:rsidR="00884892" w:rsidRPr="00D91F48">
        <w:t>basis.</w:t>
      </w:r>
      <w:r w:rsidR="00633889" w:rsidRPr="00D91F48">
        <w:t xml:space="preserve"> </w:t>
      </w:r>
      <w:r w:rsidR="00403EF3" w:rsidRPr="00D91F48">
        <w:rPr>
          <w:lang w:val="en-US"/>
        </w:rPr>
        <w:t>I</w:t>
      </w:r>
      <w:r w:rsidR="00633889" w:rsidRPr="00D91F48">
        <w:t xml:space="preserve">t </w:t>
      </w:r>
      <w:r w:rsidR="00884892" w:rsidRPr="00D91F48">
        <w:t>submits that the Committee can only consider communications that allege, in a substantiated manner, violations of rights protected by the Convention.</w:t>
      </w:r>
      <w:r w:rsidR="00CF0BE4" w:rsidRPr="00D91F48">
        <w:rPr>
          <w:rStyle w:val="FootnoteReference"/>
        </w:rPr>
        <w:footnoteReference w:id="11"/>
      </w:r>
      <w:r w:rsidR="00501F7C" w:rsidRPr="00D91F48">
        <w:t xml:space="preserve"> </w:t>
      </w:r>
    </w:p>
    <w:p w:rsidR="00884892" w:rsidRPr="00D91F48" w:rsidRDefault="00501F7C" w:rsidP="00287681">
      <w:pPr>
        <w:pStyle w:val="SingleTxtG"/>
        <w:rPr>
          <w:i/>
        </w:rPr>
      </w:pPr>
      <w:r w:rsidRPr="00D91F48">
        <w:t>4.12</w:t>
      </w:r>
      <w:r w:rsidRPr="00D91F48">
        <w:tab/>
      </w:r>
      <w:r w:rsidR="00306456" w:rsidRPr="00D91F48">
        <w:t xml:space="preserve">The State party notes that </w:t>
      </w:r>
      <w:r w:rsidR="00217F81" w:rsidRPr="00D91F48">
        <w:t>article </w:t>
      </w:r>
      <w:r w:rsidR="00884892" w:rsidRPr="00D91F48">
        <w:t xml:space="preserve">3 of the Convention prohibits the expulsion of </w:t>
      </w:r>
      <w:r w:rsidR="00217F81" w:rsidRPr="00D91F48">
        <w:t>“</w:t>
      </w:r>
      <w:r w:rsidR="00884892" w:rsidRPr="00D91F48">
        <w:t>a person to another State where there are substantial grounds for believing that he would be in danger of being subjected to torture</w:t>
      </w:r>
      <w:r w:rsidR="00217F81" w:rsidRPr="00D91F48">
        <w:t>”</w:t>
      </w:r>
      <w:r w:rsidR="00306456" w:rsidRPr="00D91F48">
        <w:t xml:space="preserve">. </w:t>
      </w:r>
      <w:r w:rsidR="00884892" w:rsidRPr="00D91F48">
        <w:t>The Committee</w:t>
      </w:r>
      <w:r w:rsidR="00217F81" w:rsidRPr="00D91F48">
        <w:t>’</w:t>
      </w:r>
      <w:r w:rsidR="00884892" w:rsidRPr="00D91F48">
        <w:t xml:space="preserve">s </w:t>
      </w:r>
      <w:r w:rsidR="00287681" w:rsidRPr="00D91F48">
        <w:rPr>
          <w:lang w:val="en-US"/>
        </w:rPr>
        <w:t>g</w:t>
      </w:r>
      <w:r w:rsidR="00884892" w:rsidRPr="00D91F48">
        <w:t xml:space="preserve">eneral </w:t>
      </w:r>
      <w:r w:rsidR="00287681" w:rsidRPr="00D91F48">
        <w:rPr>
          <w:lang w:val="en-US"/>
        </w:rPr>
        <w:t>c</w:t>
      </w:r>
      <w:r w:rsidR="00884892" w:rsidRPr="00D91F48">
        <w:t xml:space="preserve">omment on </w:t>
      </w:r>
      <w:r w:rsidR="00217F81" w:rsidRPr="00D91F48">
        <w:t>article </w:t>
      </w:r>
      <w:r w:rsidR="00884892" w:rsidRPr="00D91F48">
        <w:t xml:space="preserve">3 </w:t>
      </w:r>
      <w:r w:rsidR="00287681" w:rsidRPr="00D91F48">
        <w:rPr>
          <w:lang w:val="en-US"/>
        </w:rPr>
        <w:t>and</w:t>
      </w:r>
      <w:r w:rsidR="00884892" w:rsidRPr="00D91F48">
        <w:t xml:space="preserve"> its consistent </w:t>
      </w:r>
      <w:r w:rsidR="00306456" w:rsidRPr="00D91F48">
        <w:t>decisions</w:t>
      </w:r>
      <w:r w:rsidR="00884892" w:rsidRPr="00D91F48">
        <w:t xml:space="preserve"> in individual communications state that the risk of torture must be assessed on grounds that go beyond mere theory or suspicion. Although the risk does not have to meet the test of being highly probable, the burden is upon the </w:t>
      </w:r>
      <w:r w:rsidR="00366DA8" w:rsidRPr="00D91F48">
        <w:t>complainant</w:t>
      </w:r>
      <w:r w:rsidR="00884892" w:rsidRPr="00D91F48">
        <w:t xml:space="preserve"> to present an arguable case establishing that she runs a “foreseeable, real and personal” risk of torture.</w:t>
      </w:r>
      <w:r w:rsidR="00715132" w:rsidRPr="00D91F48">
        <w:rPr>
          <w:rStyle w:val="FootnoteReference"/>
        </w:rPr>
        <w:footnoteReference w:id="12"/>
      </w:r>
      <w:r w:rsidRPr="00D91F48">
        <w:t xml:space="preserve"> </w:t>
      </w:r>
      <w:r w:rsidR="00884892" w:rsidRPr="00D91F48">
        <w:t xml:space="preserve">The </w:t>
      </w:r>
      <w:r w:rsidR="00306456" w:rsidRPr="00D91F48">
        <w:t>State party</w:t>
      </w:r>
      <w:r w:rsidR="00884892" w:rsidRPr="00D91F48">
        <w:t xml:space="preserve"> submits that a consideration of th</w:t>
      </w:r>
      <w:r w:rsidR="00287681" w:rsidRPr="00D91F48">
        <w:rPr>
          <w:lang w:val="en-US"/>
        </w:rPr>
        <w:t>o</w:t>
      </w:r>
      <w:r w:rsidR="00884892" w:rsidRPr="00D91F48">
        <w:t xml:space="preserve">se factors leads to the conclusion that there are no substantial grounds for believing that the </w:t>
      </w:r>
      <w:r w:rsidR="00306456" w:rsidRPr="00D91F48">
        <w:t>complainant</w:t>
      </w:r>
      <w:r w:rsidR="00884892" w:rsidRPr="00D91F48">
        <w:t xml:space="preserve"> would be in danger of being subject</w:t>
      </w:r>
      <w:r w:rsidR="00403EF3" w:rsidRPr="00D91F48">
        <w:rPr>
          <w:lang w:val="en-US"/>
        </w:rPr>
        <w:t>ed</w:t>
      </w:r>
      <w:r w:rsidR="00884892" w:rsidRPr="00D91F48">
        <w:t xml:space="preserve"> to torture. In particular, her claim</w:t>
      </w:r>
      <w:r w:rsidR="00E20348" w:rsidRPr="00D91F48">
        <w:t xml:space="preserve"> is</w:t>
      </w:r>
      <w:r w:rsidR="00884892" w:rsidRPr="00D91F48">
        <w:t xml:space="preserve"> inconsistent</w:t>
      </w:r>
      <w:r w:rsidR="00403EF3" w:rsidRPr="00D91F48">
        <w:rPr>
          <w:lang w:val="en-US"/>
        </w:rPr>
        <w:t>,</w:t>
      </w:r>
      <w:r w:rsidR="00E20348" w:rsidRPr="00D91F48">
        <w:t xml:space="preserve"> and</w:t>
      </w:r>
      <w:r w:rsidR="00884892" w:rsidRPr="00D91F48">
        <w:t xml:space="preserve"> she has no</w:t>
      </w:r>
      <w:r w:rsidR="00E20348" w:rsidRPr="00D91F48">
        <w:t>t been tortured in the past. In addition,</w:t>
      </w:r>
      <w:r w:rsidR="00884892" w:rsidRPr="00D91F48">
        <w:t xml:space="preserve"> even though the human rights situation in Ethiopia is problematic, the general human rights situation in a country cannot </w:t>
      </w:r>
      <w:r w:rsidR="00287681" w:rsidRPr="00D91F48">
        <w:rPr>
          <w:lang w:val="en-US"/>
        </w:rPr>
        <w:t>in</w:t>
      </w:r>
      <w:r w:rsidR="00287681" w:rsidRPr="00D91F48">
        <w:t xml:space="preserve"> </w:t>
      </w:r>
      <w:r w:rsidR="00884892" w:rsidRPr="00D91F48">
        <w:t xml:space="preserve">itself </w:t>
      </w:r>
      <w:r w:rsidR="00287681" w:rsidRPr="00D91F48">
        <w:rPr>
          <w:lang w:val="en-US"/>
        </w:rPr>
        <w:t>constitute</w:t>
      </w:r>
      <w:r w:rsidR="00287681" w:rsidRPr="00D91F48">
        <w:t xml:space="preserve"> </w:t>
      </w:r>
      <w:r w:rsidR="00884892" w:rsidRPr="00D91F48">
        <w:t xml:space="preserve">sufficient </w:t>
      </w:r>
      <w:r w:rsidR="00287681" w:rsidRPr="00D91F48">
        <w:rPr>
          <w:lang w:val="en-US"/>
        </w:rPr>
        <w:t>grounds for</w:t>
      </w:r>
      <w:r w:rsidR="00287681" w:rsidRPr="00D91F48">
        <w:t xml:space="preserve"> </w:t>
      </w:r>
      <w:r w:rsidR="00884892" w:rsidRPr="00D91F48">
        <w:t>establish</w:t>
      </w:r>
      <w:r w:rsidR="00287681" w:rsidRPr="00D91F48">
        <w:rPr>
          <w:lang w:val="en-US"/>
        </w:rPr>
        <w:t>ing</w:t>
      </w:r>
      <w:r w:rsidR="00884892" w:rsidRPr="00D91F48">
        <w:t xml:space="preserve"> that the </w:t>
      </w:r>
      <w:r w:rsidR="00366DA8" w:rsidRPr="00D91F48">
        <w:t>complainant</w:t>
      </w:r>
      <w:r w:rsidR="00884892" w:rsidRPr="00D91F48">
        <w:t xml:space="preserve"> would face a “foreseeable, real and personal” risk of torture if returned there.</w:t>
      </w:r>
    </w:p>
    <w:p w:rsidR="00884892" w:rsidRPr="00D91F48" w:rsidRDefault="005E763E" w:rsidP="00525D82">
      <w:pPr>
        <w:pStyle w:val="SingleTxtG"/>
      </w:pPr>
      <w:r w:rsidRPr="00D91F48">
        <w:t>4.1</w:t>
      </w:r>
      <w:r w:rsidR="00501F7C" w:rsidRPr="00D91F48">
        <w:t>3</w:t>
      </w:r>
      <w:r w:rsidR="00D6565D" w:rsidRPr="00D91F48">
        <w:tab/>
      </w:r>
      <w:r w:rsidR="00D15ECF" w:rsidRPr="00D91F48">
        <w:t>The State party</w:t>
      </w:r>
      <w:r w:rsidR="00884892" w:rsidRPr="00D91F48">
        <w:t xml:space="preserve"> </w:t>
      </w:r>
      <w:r w:rsidR="00332523" w:rsidRPr="00D91F48">
        <w:t xml:space="preserve">further notes </w:t>
      </w:r>
      <w:r w:rsidR="00884892" w:rsidRPr="00D91F48">
        <w:t>that it is not the role of the Committee to weigh evidence or re-assess findings of fact made by domestic courts or tribunals.</w:t>
      </w:r>
      <w:r w:rsidR="00884892" w:rsidRPr="00D91F48">
        <w:rPr>
          <w:rStyle w:val="FootnoteReference"/>
          <w:sz w:val="20"/>
        </w:rPr>
        <w:footnoteReference w:id="13"/>
      </w:r>
      <w:r w:rsidR="00884892" w:rsidRPr="00D91F48">
        <w:t xml:space="preserve"> </w:t>
      </w:r>
      <w:r w:rsidR="00332523" w:rsidRPr="00D91F48">
        <w:t>T</w:t>
      </w:r>
      <w:r w:rsidR="00884892" w:rsidRPr="00D91F48">
        <w:t xml:space="preserve">he </w:t>
      </w:r>
      <w:r w:rsidR="00D15ECF" w:rsidRPr="00D91F48">
        <w:t>complainant</w:t>
      </w:r>
      <w:r w:rsidR="00884892" w:rsidRPr="00D91F48">
        <w:t xml:space="preserve">’s allegations and supporting evidence in </w:t>
      </w:r>
      <w:r w:rsidR="0001384A" w:rsidRPr="00D91F48">
        <w:rPr>
          <w:lang w:val="en-US"/>
        </w:rPr>
        <w:t>the present</w:t>
      </w:r>
      <w:r w:rsidR="0001384A" w:rsidRPr="00D91F48">
        <w:t xml:space="preserve"> </w:t>
      </w:r>
      <w:r w:rsidR="00884892" w:rsidRPr="00D91F48">
        <w:t xml:space="preserve">communication are </w:t>
      </w:r>
      <w:r w:rsidR="00403EF3" w:rsidRPr="00D91F48">
        <w:rPr>
          <w:lang w:val="en-US"/>
        </w:rPr>
        <w:t>simply</w:t>
      </w:r>
      <w:r w:rsidR="00403EF3" w:rsidRPr="00D91F48">
        <w:t xml:space="preserve"> </w:t>
      </w:r>
      <w:r w:rsidR="00884892" w:rsidRPr="00D91F48">
        <w:t xml:space="preserve">copies of those that have been submitted to competent domestic tribunals and that </w:t>
      </w:r>
      <w:r w:rsidR="00F31FF3" w:rsidRPr="00D91F48">
        <w:rPr>
          <w:lang w:val="en-US"/>
        </w:rPr>
        <w:t>it was</w:t>
      </w:r>
      <w:r w:rsidR="00F31FF3" w:rsidRPr="00D91F48">
        <w:t xml:space="preserve"> </w:t>
      </w:r>
      <w:r w:rsidR="00884892" w:rsidRPr="00D91F48">
        <w:t xml:space="preserve">determined </w:t>
      </w:r>
      <w:r w:rsidR="00F31FF3" w:rsidRPr="00D91F48">
        <w:rPr>
          <w:lang w:val="en-US"/>
        </w:rPr>
        <w:t xml:space="preserve">did </w:t>
      </w:r>
      <w:r w:rsidR="00884892" w:rsidRPr="00D91F48">
        <w:t xml:space="preserve">not support a finding of risk in Ethiopia. </w:t>
      </w:r>
      <w:r w:rsidR="00C9419C" w:rsidRPr="00D91F48">
        <w:t>It further</w:t>
      </w:r>
      <w:r w:rsidR="00884892" w:rsidRPr="00D91F48">
        <w:t xml:space="preserve"> submits that the analysis of the evidence and the conclusions drawn by </w:t>
      </w:r>
      <w:r w:rsidR="00287681" w:rsidRPr="00D91F48">
        <w:rPr>
          <w:lang w:val="en-US"/>
        </w:rPr>
        <w:t xml:space="preserve">both </w:t>
      </w:r>
      <w:r w:rsidR="00884892" w:rsidRPr="00D91F48">
        <w:t xml:space="preserve">the RPD </w:t>
      </w:r>
      <w:r w:rsidR="00287681" w:rsidRPr="00D91F48">
        <w:rPr>
          <w:lang w:val="en-US"/>
        </w:rPr>
        <w:t>and</w:t>
      </w:r>
      <w:r w:rsidR="00884892" w:rsidRPr="00D91F48">
        <w:t xml:space="preserve"> the PRRA officer who assessed the risk to which she may be exposed if returned to Ethiopia were appropriate and well-founded.</w:t>
      </w:r>
      <w:r w:rsidR="00217F81" w:rsidRPr="00D91F48">
        <w:t xml:space="preserve"> </w:t>
      </w:r>
      <w:r w:rsidR="00C9419C" w:rsidRPr="00D91F48">
        <w:t xml:space="preserve">The State party </w:t>
      </w:r>
      <w:r w:rsidR="00884892" w:rsidRPr="00D91F48">
        <w:t>relies on the finding</w:t>
      </w:r>
      <w:r w:rsidR="00EA3E54" w:rsidRPr="00D91F48">
        <w:t>s</w:t>
      </w:r>
      <w:r w:rsidR="00884892" w:rsidRPr="00D91F48">
        <w:t xml:space="preserve"> by the RPD, which heard the </w:t>
      </w:r>
      <w:r w:rsidR="00C9419C" w:rsidRPr="00D91F48">
        <w:t>complainant</w:t>
      </w:r>
      <w:r w:rsidR="00884892" w:rsidRPr="00D91F48">
        <w:t xml:space="preserve">’s oral evidence and which questioned her about the inconsistencies in her story, </w:t>
      </w:r>
      <w:r w:rsidR="007073F9" w:rsidRPr="00D91F48">
        <w:rPr>
          <w:lang w:val="en-US"/>
        </w:rPr>
        <w:t xml:space="preserve">to the effect </w:t>
      </w:r>
      <w:r w:rsidR="00884892" w:rsidRPr="00D91F48">
        <w:t xml:space="preserve">that important aspects of </w:t>
      </w:r>
      <w:r w:rsidR="00EA3E54" w:rsidRPr="00D91F48">
        <w:t>her</w:t>
      </w:r>
      <w:r w:rsidR="00884892" w:rsidRPr="00D91F48">
        <w:t xml:space="preserve"> claim were not credible or plausible</w:t>
      </w:r>
      <w:r w:rsidR="00EA3E54" w:rsidRPr="00D91F48">
        <w:t xml:space="preserve">. </w:t>
      </w:r>
      <w:r w:rsidR="0001384A" w:rsidRPr="00D91F48">
        <w:rPr>
          <w:lang w:val="en-US"/>
        </w:rPr>
        <w:t>T</w:t>
      </w:r>
      <w:r w:rsidR="00EA3E54" w:rsidRPr="00D91F48">
        <w:t>he</w:t>
      </w:r>
      <w:r w:rsidR="00C9419C" w:rsidRPr="00D91F48">
        <w:rPr>
          <w:bCs/>
        </w:rPr>
        <w:t xml:space="preserve"> State party</w:t>
      </w:r>
      <w:r w:rsidR="00884892" w:rsidRPr="00D91F48">
        <w:rPr>
          <w:bCs/>
        </w:rPr>
        <w:t xml:space="preserve"> </w:t>
      </w:r>
      <w:r w:rsidR="00884892" w:rsidRPr="00D91F48">
        <w:t xml:space="preserve">refers to the Committee’s views that it cannot review credibility findings “unless it is manifest that the evaluation was arbitrary or amounted to a denial of justice”. </w:t>
      </w:r>
      <w:r w:rsidR="00EA3E54" w:rsidRPr="00D91F48">
        <w:t>I</w:t>
      </w:r>
      <w:r w:rsidR="00C9419C" w:rsidRPr="00D91F48">
        <w:t>t notes that t</w:t>
      </w:r>
      <w:r w:rsidR="00884892" w:rsidRPr="00D91F48">
        <w:t xml:space="preserve">he </w:t>
      </w:r>
      <w:r w:rsidR="00C9419C" w:rsidRPr="00D91F48">
        <w:t>complainant</w:t>
      </w:r>
      <w:r w:rsidR="00884892" w:rsidRPr="00D91F48">
        <w:t xml:space="preserve"> has made no such allegations and the material submitted does not support a </w:t>
      </w:r>
      <w:r w:rsidR="00EA3E54" w:rsidRPr="00D91F48">
        <w:t>conclusion</w:t>
      </w:r>
      <w:r w:rsidR="00884892" w:rsidRPr="00D91F48">
        <w:t xml:space="preserve"> that the RPD decision </w:t>
      </w:r>
      <w:r w:rsidR="00525D82" w:rsidRPr="00D91F48">
        <w:rPr>
          <w:lang w:val="en-US"/>
        </w:rPr>
        <w:t>had</w:t>
      </w:r>
      <w:r w:rsidR="00884892" w:rsidRPr="00D91F48">
        <w:t xml:space="preserve"> such defects.</w:t>
      </w:r>
      <w:r w:rsidR="006D01B6" w:rsidRPr="00D91F48">
        <w:rPr>
          <w:rStyle w:val="FootnoteReference"/>
        </w:rPr>
        <w:footnoteReference w:id="14"/>
      </w:r>
      <w:r w:rsidR="00884892" w:rsidRPr="00D91F48">
        <w:t xml:space="preserve"> </w:t>
      </w:r>
    </w:p>
    <w:p w:rsidR="00884892" w:rsidRPr="00D91F48" w:rsidRDefault="005E763E" w:rsidP="00E66C13">
      <w:pPr>
        <w:pStyle w:val="SingleTxtG"/>
        <w:rPr>
          <w:rStyle w:val="SingleTxtGChar"/>
        </w:rPr>
      </w:pPr>
      <w:r w:rsidRPr="00D91F48">
        <w:t>4.</w:t>
      </w:r>
      <w:r w:rsidR="00501F7C" w:rsidRPr="00D91F48">
        <w:t>14</w:t>
      </w:r>
      <w:r w:rsidR="00D6565D" w:rsidRPr="00D91F48">
        <w:tab/>
      </w:r>
      <w:r w:rsidR="00884892" w:rsidRPr="00D91F48">
        <w:rPr>
          <w:rStyle w:val="SingleTxtGChar"/>
        </w:rPr>
        <w:t xml:space="preserve">Nevertheless, should the Committee feel inclined to reconsider the facts and credibility of the </w:t>
      </w:r>
      <w:r w:rsidR="00C9419C" w:rsidRPr="00D91F48">
        <w:rPr>
          <w:rStyle w:val="SingleTxtGChar"/>
        </w:rPr>
        <w:t>complainant</w:t>
      </w:r>
      <w:r w:rsidR="00884892" w:rsidRPr="00D91F48">
        <w:rPr>
          <w:rStyle w:val="SingleTxtGChar"/>
        </w:rPr>
        <w:t xml:space="preserve">’s claim, a focus on some of the more important issues clearly supports a finding that </w:t>
      </w:r>
      <w:r w:rsidR="00C9419C" w:rsidRPr="00D91F48">
        <w:rPr>
          <w:rStyle w:val="SingleTxtGChar"/>
        </w:rPr>
        <w:t>she</w:t>
      </w:r>
      <w:r w:rsidR="00884892" w:rsidRPr="00D91F48">
        <w:rPr>
          <w:rStyle w:val="SingleTxtGChar"/>
        </w:rPr>
        <w:t xml:space="preserve"> has not substantiated her claim on even a prima facie basis. </w:t>
      </w:r>
      <w:r w:rsidR="00C9419C" w:rsidRPr="00D91F48">
        <w:rPr>
          <w:rStyle w:val="SingleTxtGChar"/>
        </w:rPr>
        <w:t>The State party</w:t>
      </w:r>
      <w:r w:rsidR="00884892" w:rsidRPr="00D91F48">
        <w:rPr>
          <w:rStyle w:val="SingleTxtGChar"/>
        </w:rPr>
        <w:t xml:space="preserve"> submits that none of the main grounds on which the </w:t>
      </w:r>
      <w:r w:rsidR="00C9419C" w:rsidRPr="00D91F48">
        <w:rPr>
          <w:rStyle w:val="SingleTxtGChar"/>
        </w:rPr>
        <w:t>complainant</w:t>
      </w:r>
      <w:r w:rsidR="00884892" w:rsidRPr="00D91F48">
        <w:rPr>
          <w:rStyle w:val="SingleTxtGChar"/>
        </w:rPr>
        <w:t xml:space="preserve"> bases </w:t>
      </w:r>
      <w:r w:rsidR="0001384A" w:rsidRPr="00D91F48">
        <w:rPr>
          <w:rStyle w:val="SingleTxtGChar"/>
          <w:lang w:val="en-US"/>
        </w:rPr>
        <w:t>the</w:t>
      </w:r>
      <w:r w:rsidR="0001384A" w:rsidRPr="00D91F48">
        <w:rPr>
          <w:rStyle w:val="SingleTxtGChar"/>
        </w:rPr>
        <w:t xml:space="preserve"> </w:t>
      </w:r>
      <w:r w:rsidR="00884892" w:rsidRPr="00D91F48">
        <w:rPr>
          <w:rStyle w:val="SingleTxtGChar"/>
        </w:rPr>
        <w:t xml:space="preserve">alleged risk of </w:t>
      </w:r>
      <w:r w:rsidR="0001384A" w:rsidRPr="00D91F48">
        <w:rPr>
          <w:rStyle w:val="SingleTxtGChar"/>
          <w:lang w:val="en-US"/>
        </w:rPr>
        <w:t xml:space="preserve">being </w:t>
      </w:r>
      <w:r w:rsidR="00884892" w:rsidRPr="00D91F48">
        <w:rPr>
          <w:rStyle w:val="SingleTxtGChar"/>
        </w:rPr>
        <w:t>torture</w:t>
      </w:r>
      <w:r w:rsidR="0001384A" w:rsidRPr="00D91F48">
        <w:rPr>
          <w:rStyle w:val="SingleTxtGChar"/>
          <w:lang w:val="en-US"/>
        </w:rPr>
        <w:t>d</w:t>
      </w:r>
      <w:r w:rsidR="00884892" w:rsidRPr="00D91F48">
        <w:rPr>
          <w:rStyle w:val="SingleTxtGChar"/>
        </w:rPr>
        <w:t xml:space="preserve"> have been established to the requisite level of proof or support a finding that she would be personally at risk of torture if returned to Ethiopia.</w:t>
      </w:r>
      <w:r w:rsidR="00501F7C" w:rsidRPr="00D91F48">
        <w:rPr>
          <w:rStyle w:val="SingleTxtGChar"/>
        </w:rPr>
        <w:t xml:space="preserve"> </w:t>
      </w:r>
      <w:r w:rsidR="00C9419C" w:rsidRPr="00D91F48">
        <w:rPr>
          <w:rStyle w:val="SingleTxtGChar"/>
        </w:rPr>
        <w:t>In particular, the State party</w:t>
      </w:r>
      <w:r w:rsidR="00884892" w:rsidRPr="00D91F48">
        <w:rPr>
          <w:rStyle w:val="SingleTxtGChar"/>
        </w:rPr>
        <w:t xml:space="preserve"> submits that the story of the </w:t>
      </w:r>
      <w:r w:rsidR="00C9419C" w:rsidRPr="00D91F48">
        <w:rPr>
          <w:rStyle w:val="SingleTxtGChar"/>
        </w:rPr>
        <w:t>complainant</w:t>
      </w:r>
      <w:r w:rsidR="00884892" w:rsidRPr="00D91F48">
        <w:rPr>
          <w:rStyle w:val="SingleTxtGChar"/>
        </w:rPr>
        <w:t xml:space="preserve">’s arrest and detention </w:t>
      </w:r>
      <w:r w:rsidR="009C39B2" w:rsidRPr="00D91F48">
        <w:rPr>
          <w:rStyle w:val="SingleTxtGChar"/>
        </w:rPr>
        <w:t xml:space="preserve">in 2005 and in 2006 </w:t>
      </w:r>
      <w:r w:rsidR="00884892" w:rsidRPr="00D91F48">
        <w:rPr>
          <w:rStyle w:val="SingleTxtGChar"/>
        </w:rPr>
        <w:t>is</w:t>
      </w:r>
      <w:r w:rsidR="00C9419C" w:rsidRPr="00D91F48">
        <w:rPr>
          <w:rStyle w:val="SingleTxtGChar"/>
        </w:rPr>
        <w:t xml:space="preserve"> not </w:t>
      </w:r>
      <w:r w:rsidR="00287681" w:rsidRPr="00D91F48">
        <w:rPr>
          <w:rStyle w:val="SingleTxtGChar"/>
          <w:lang w:val="en-US"/>
        </w:rPr>
        <w:t>credible</w:t>
      </w:r>
      <w:r w:rsidR="00C9419C" w:rsidRPr="00D91F48">
        <w:rPr>
          <w:rStyle w:val="SingleTxtGChar"/>
        </w:rPr>
        <w:t xml:space="preserve">, as there were </w:t>
      </w:r>
      <w:r w:rsidR="00884892" w:rsidRPr="00D91F48">
        <w:rPr>
          <w:rStyle w:val="SingleTxtGChar"/>
        </w:rPr>
        <w:t xml:space="preserve">significant discrepancies between the story told in </w:t>
      </w:r>
      <w:r w:rsidR="00EA3E54" w:rsidRPr="00D91F48">
        <w:rPr>
          <w:rStyle w:val="SingleTxtGChar"/>
        </w:rPr>
        <w:t>her</w:t>
      </w:r>
      <w:r w:rsidR="00884892" w:rsidRPr="00D91F48">
        <w:rPr>
          <w:rStyle w:val="SingleTxtGChar"/>
        </w:rPr>
        <w:t xml:space="preserve"> written submission filed in support of her claim for refugee protection and her oral testimony before the RPD</w:t>
      </w:r>
      <w:r w:rsidR="001F142A" w:rsidRPr="00D91F48">
        <w:rPr>
          <w:rStyle w:val="SingleTxtGChar"/>
          <w:lang w:val="en-US"/>
        </w:rPr>
        <w:t>.</w:t>
      </w:r>
      <w:r w:rsidR="006D01B6" w:rsidRPr="00D91F48">
        <w:rPr>
          <w:rStyle w:val="FootnoteReference"/>
        </w:rPr>
        <w:footnoteReference w:id="15"/>
      </w:r>
      <w:r w:rsidR="00884892" w:rsidRPr="00D91F48">
        <w:t xml:space="preserve"> </w:t>
      </w:r>
      <w:r w:rsidR="009C39B2" w:rsidRPr="00D91F48">
        <w:rPr>
          <w:rStyle w:val="SingleTxtGChar"/>
        </w:rPr>
        <w:t>The State party</w:t>
      </w:r>
      <w:r w:rsidR="00884892" w:rsidRPr="00D91F48">
        <w:rPr>
          <w:rStyle w:val="SingleTxtGChar"/>
        </w:rPr>
        <w:t xml:space="preserve"> further notes that no objective evidence was provided to support any element of the alleged </w:t>
      </w:r>
      <w:r w:rsidR="009C39B2" w:rsidRPr="00D91F48">
        <w:rPr>
          <w:rStyle w:val="SingleTxtGChar"/>
        </w:rPr>
        <w:t>arrests</w:t>
      </w:r>
      <w:r w:rsidR="00884892" w:rsidRPr="00D91F48">
        <w:rPr>
          <w:rStyle w:val="SingleTxtGChar"/>
        </w:rPr>
        <w:t xml:space="preserve">. Despite asserting to the RPD </w:t>
      </w:r>
      <w:r w:rsidR="00EA3E54" w:rsidRPr="00D91F48">
        <w:rPr>
          <w:rStyle w:val="SingleTxtGChar"/>
        </w:rPr>
        <w:t>during the hearing</w:t>
      </w:r>
      <w:r w:rsidR="00884892" w:rsidRPr="00D91F48">
        <w:rPr>
          <w:rStyle w:val="SingleTxtGChar"/>
        </w:rPr>
        <w:t xml:space="preserve"> that her written submission was erroneous, the </w:t>
      </w:r>
      <w:r w:rsidR="009C39B2" w:rsidRPr="00D91F48">
        <w:rPr>
          <w:rStyle w:val="SingleTxtGChar"/>
        </w:rPr>
        <w:t>complainant</w:t>
      </w:r>
      <w:r w:rsidR="00884892" w:rsidRPr="00D91F48">
        <w:rPr>
          <w:rStyle w:val="SingleTxtGChar"/>
        </w:rPr>
        <w:t xml:space="preserve"> repeated exact</w:t>
      </w:r>
      <w:r w:rsidR="0001384A" w:rsidRPr="00D91F48">
        <w:rPr>
          <w:rStyle w:val="SingleTxtGChar"/>
          <w:lang w:val="en-US"/>
        </w:rPr>
        <w:t>ly</w:t>
      </w:r>
      <w:r w:rsidR="00884892" w:rsidRPr="00D91F48">
        <w:rPr>
          <w:rStyle w:val="SingleTxtGChar"/>
        </w:rPr>
        <w:t xml:space="preserve"> </w:t>
      </w:r>
      <w:r w:rsidR="0001384A" w:rsidRPr="00D91F48">
        <w:rPr>
          <w:rStyle w:val="SingleTxtGChar"/>
          <w:lang w:val="en-US"/>
        </w:rPr>
        <w:t xml:space="preserve">the </w:t>
      </w:r>
      <w:r w:rsidR="00884892" w:rsidRPr="00D91F48">
        <w:rPr>
          <w:rStyle w:val="SingleTxtGChar"/>
        </w:rPr>
        <w:t xml:space="preserve">same </w:t>
      </w:r>
      <w:r w:rsidR="0001384A" w:rsidRPr="00D91F48">
        <w:rPr>
          <w:rStyle w:val="SingleTxtGChar"/>
        </w:rPr>
        <w:t>story</w:t>
      </w:r>
      <w:r w:rsidR="0001384A" w:rsidRPr="00D91F48">
        <w:rPr>
          <w:rStyle w:val="SingleTxtGChar"/>
          <w:lang w:val="en-US"/>
        </w:rPr>
        <w:t>,</w:t>
      </w:r>
      <w:r w:rsidR="0001384A" w:rsidRPr="00D91F48">
        <w:rPr>
          <w:rStyle w:val="SingleTxtGChar"/>
        </w:rPr>
        <w:t xml:space="preserve"> </w:t>
      </w:r>
      <w:r w:rsidR="00884892" w:rsidRPr="00D91F48">
        <w:rPr>
          <w:rStyle w:val="SingleTxtGChar"/>
        </w:rPr>
        <w:t>acknowledged</w:t>
      </w:r>
      <w:r w:rsidR="0001384A" w:rsidRPr="00D91F48">
        <w:rPr>
          <w:rStyle w:val="SingleTxtGChar"/>
          <w:lang w:val="en-US"/>
        </w:rPr>
        <w:t xml:space="preserve"> </w:t>
      </w:r>
      <w:r w:rsidR="00884892" w:rsidRPr="00D91F48">
        <w:rPr>
          <w:rStyle w:val="SingleTxtGChar"/>
        </w:rPr>
        <w:t>to</w:t>
      </w:r>
      <w:r w:rsidR="0001384A" w:rsidRPr="00D91F48">
        <w:rPr>
          <w:rStyle w:val="SingleTxtGChar"/>
          <w:lang w:val="en-US"/>
        </w:rPr>
        <w:t xml:space="preserve"> </w:t>
      </w:r>
      <w:r w:rsidR="00884892" w:rsidRPr="00D91F48">
        <w:rPr>
          <w:rStyle w:val="SingleTxtGChar"/>
        </w:rPr>
        <w:t>be</w:t>
      </w:r>
      <w:r w:rsidR="0001384A" w:rsidRPr="00D91F48">
        <w:rPr>
          <w:rStyle w:val="SingleTxtGChar"/>
          <w:lang w:val="en-US"/>
        </w:rPr>
        <w:t xml:space="preserve"> </w:t>
      </w:r>
      <w:r w:rsidR="00884892" w:rsidRPr="00D91F48">
        <w:rPr>
          <w:rStyle w:val="SingleTxtGChar"/>
        </w:rPr>
        <w:t>erroneous</w:t>
      </w:r>
      <w:r w:rsidR="0001384A" w:rsidRPr="00D91F48">
        <w:rPr>
          <w:rStyle w:val="SingleTxtGChar"/>
          <w:lang w:val="en-US"/>
        </w:rPr>
        <w:t>,</w:t>
      </w:r>
      <w:r w:rsidR="00884892" w:rsidRPr="00D91F48">
        <w:rPr>
          <w:rStyle w:val="SingleTxtGChar"/>
        </w:rPr>
        <w:t xml:space="preserve"> in her subsequent PRRA application. </w:t>
      </w:r>
    </w:p>
    <w:p w:rsidR="00884892" w:rsidRPr="00D91F48" w:rsidRDefault="002B533E" w:rsidP="00E66C13">
      <w:pPr>
        <w:pStyle w:val="SingleTxtG"/>
        <w:rPr>
          <w:rStyle w:val="SingleTxtGChar"/>
        </w:rPr>
      </w:pPr>
      <w:r w:rsidRPr="00D91F48">
        <w:t>4.</w:t>
      </w:r>
      <w:r w:rsidR="00501F7C" w:rsidRPr="00D91F48">
        <w:t>15</w:t>
      </w:r>
      <w:r w:rsidR="00D6565D" w:rsidRPr="00D91F48">
        <w:tab/>
      </w:r>
      <w:r w:rsidR="00EA3E54" w:rsidRPr="00D91F48">
        <w:rPr>
          <w:rStyle w:val="SingleTxtGChar"/>
        </w:rPr>
        <w:t>T</w:t>
      </w:r>
      <w:r w:rsidR="00FC5228" w:rsidRPr="00D91F48">
        <w:rPr>
          <w:rStyle w:val="SingleTxtGChar"/>
        </w:rPr>
        <w:t>he State party</w:t>
      </w:r>
      <w:r w:rsidR="00884892" w:rsidRPr="00D91F48">
        <w:rPr>
          <w:rStyle w:val="SingleTxtGChar"/>
        </w:rPr>
        <w:t xml:space="preserve"> submits that</w:t>
      </w:r>
      <w:r w:rsidR="00B01242" w:rsidRPr="00D91F48">
        <w:rPr>
          <w:rStyle w:val="SingleTxtGChar"/>
          <w:lang w:val="en-US"/>
        </w:rPr>
        <w:t>,</w:t>
      </w:r>
      <w:r w:rsidR="00884892" w:rsidRPr="00D91F48">
        <w:rPr>
          <w:rStyle w:val="SingleTxtGChar"/>
        </w:rPr>
        <w:t xml:space="preserve"> even if the </w:t>
      </w:r>
      <w:r w:rsidR="00FC5228" w:rsidRPr="00D91F48">
        <w:rPr>
          <w:rStyle w:val="SingleTxtGChar"/>
        </w:rPr>
        <w:t>complainant</w:t>
      </w:r>
      <w:r w:rsidR="00884892" w:rsidRPr="00D91F48">
        <w:rPr>
          <w:rStyle w:val="SingleTxtGChar"/>
        </w:rPr>
        <w:t xml:space="preserve"> is given the benefit of the doubt and it is accepted that she had </w:t>
      </w:r>
      <w:r w:rsidR="00B01242" w:rsidRPr="00D91F48">
        <w:rPr>
          <w:rStyle w:val="SingleTxtGChar"/>
          <w:lang w:val="en-US"/>
        </w:rPr>
        <w:t>previously</w:t>
      </w:r>
      <w:r w:rsidR="00B01242" w:rsidRPr="00D91F48">
        <w:rPr>
          <w:rStyle w:val="SingleTxtGChar"/>
        </w:rPr>
        <w:t xml:space="preserve"> </w:t>
      </w:r>
      <w:r w:rsidR="00884892" w:rsidRPr="00D91F48">
        <w:rPr>
          <w:rStyle w:val="SingleTxtGChar"/>
        </w:rPr>
        <w:t xml:space="preserve">been detained, </w:t>
      </w:r>
      <w:r w:rsidR="00B01242" w:rsidRPr="00D91F48">
        <w:rPr>
          <w:rStyle w:val="SingleTxtGChar"/>
          <w:lang w:val="en-US"/>
        </w:rPr>
        <w:t>that</w:t>
      </w:r>
      <w:r w:rsidR="00B01242" w:rsidRPr="00D91F48">
        <w:rPr>
          <w:rStyle w:val="SingleTxtGChar"/>
        </w:rPr>
        <w:t xml:space="preserve"> </w:t>
      </w:r>
      <w:r w:rsidR="00884892" w:rsidRPr="00D91F48">
        <w:rPr>
          <w:rStyle w:val="SingleTxtGChar"/>
        </w:rPr>
        <w:t xml:space="preserve">in no way supports a finding that she would be detained in the future and, in particular, does not support a finding that she would be tortured and killed if detained again. </w:t>
      </w:r>
      <w:r w:rsidR="002C0A4E" w:rsidRPr="00D91F48">
        <w:rPr>
          <w:rStyle w:val="SingleTxtGChar"/>
        </w:rPr>
        <w:t>The State party further notes that, i</w:t>
      </w:r>
      <w:r w:rsidR="00884892" w:rsidRPr="00D91F48">
        <w:rPr>
          <w:rStyle w:val="SingleTxtGChar"/>
        </w:rPr>
        <w:t xml:space="preserve">n both her </w:t>
      </w:r>
      <w:r w:rsidR="002C0A4E" w:rsidRPr="00D91F48">
        <w:rPr>
          <w:rStyle w:val="SingleTxtGChar"/>
        </w:rPr>
        <w:t>PIF</w:t>
      </w:r>
      <w:r w:rsidR="00884892" w:rsidRPr="00D91F48">
        <w:rPr>
          <w:rStyle w:val="SingleTxtGChar"/>
        </w:rPr>
        <w:t xml:space="preserve"> and in her PRRA application form, the </w:t>
      </w:r>
      <w:r w:rsidR="002C0A4E" w:rsidRPr="00D91F48">
        <w:rPr>
          <w:rStyle w:val="SingleTxtGChar"/>
        </w:rPr>
        <w:t>complainant</w:t>
      </w:r>
      <w:r w:rsidR="00884892" w:rsidRPr="00D91F48">
        <w:rPr>
          <w:rStyle w:val="SingleTxtGChar"/>
        </w:rPr>
        <w:t xml:space="preserve"> acknowledged that she had obtained an exit visa from </w:t>
      </w:r>
      <w:r w:rsidR="00B01242" w:rsidRPr="00D91F48">
        <w:rPr>
          <w:rStyle w:val="SingleTxtGChar"/>
          <w:lang w:val="en-US"/>
        </w:rPr>
        <w:t xml:space="preserve">the </w:t>
      </w:r>
      <w:r w:rsidR="00884892" w:rsidRPr="00D91F48">
        <w:rPr>
          <w:rStyle w:val="SingleTxtGChar"/>
        </w:rPr>
        <w:t xml:space="preserve">Ethiopian </w:t>
      </w:r>
      <w:r w:rsidR="00EA3E54" w:rsidRPr="00D91F48">
        <w:rPr>
          <w:rStyle w:val="SingleTxtGChar"/>
        </w:rPr>
        <w:t>authorities</w:t>
      </w:r>
      <w:r w:rsidR="00884892" w:rsidRPr="00D91F48">
        <w:rPr>
          <w:rStyle w:val="SingleTxtGChar"/>
        </w:rPr>
        <w:t xml:space="preserve"> in order to be allowed to leave Ethiopia to travel to Canada. She alleges that she had intended to return to Ethiopia until she learned from her brother that her husband had been questioned about her, that </w:t>
      </w:r>
      <w:r w:rsidR="0001384A" w:rsidRPr="00D91F48">
        <w:rPr>
          <w:rStyle w:val="SingleTxtGChar"/>
          <w:lang w:val="en-US"/>
        </w:rPr>
        <w:t xml:space="preserve">the </w:t>
      </w:r>
      <w:r w:rsidR="00884892" w:rsidRPr="00D91F48">
        <w:rPr>
          <w:rStyle w:val="SingleTxtGChar"/>
        </w:rPr>
        <w:t xml:space="preserve">Ethiopian </w:t>
      </w:r>
      <w:r w:rsidR="00EA3E54" w:rsidRPr="00D91F48">
        <w:rPr>
          <w:rStyle w:val="SingleTxtGChar"/>
        </w:rPr>
        <w:t>authorities</w:t>
      </w:r>
      <w:r w:rsidR="00884892" w:rsidRPr="00D91F48">
        <w:rPr>
          <w:rStyle w:val="SingleTxtGChar"/>
        </w:rPr>
        <w:t xml:space="preserve"> regretted having allowed her to travel abroad and that the </w:t>
      </w:r>
      <w:r w:rsidR="00EA3E54" w:rsidRPr="00D91F48">
        <w:rPr>
          <w:rStyle w:val="SingleTxtGChar"/>
        </w:rPr>
        <w:t>authorities</w:t>
      </w:r>
      <w:r w:rsidR="00884892" w:rsidRPr="00D91F48">
        <w:rPr>
          <w:rStyle w:val="SingleTxtGChar"/>
        </w:rPr>
        <w:t xml:space="preserve"> intended to arrest her when she returned. </w:t>
      </w:r>
      <w:r w:rsidR="0001384A" w:rsidRPr="00D91F48">
        <w:rPr>
          <w:rStyle w:val="SingleTxtGChar"/>
          <w:lang w:val="en-US"/>
        </w:rPr>
        <w:t>T</w:t>
      </w:r>
      <w:r w:rsidR="002C0A4E" w:rsidRPr="00D91F48">
        <w:rPr>
          <w:rStyle w:val="SingleTxtGChar"/>
        </w:rPr>
        <w:t xml:space="preserve">he State party </w:t>
      </w:r>
      <w:r w:rsidR="00884892" w:rsidRPr="00D91F48">
        <w:rPr>
          <w:rStyle w:val="SingleTxtGChar"/>
        </w:rPr>
        <w:t xml:space="preserve">submits that it is not plausible that the Ethiopian </w:t>
      </w:r>
      <w:r w:rsidR="00EA3E54" w:rsidRPr="00D91F48">
        <w:rPr>
          <w:rStyle w:val="SingleTxtGChar"/>
        </w:rPr>
        <w:t>authorities</w:t>
      </w:r>
      <w:r w:rsidR="00884892" w:rsidRPr="00D91F48">
        <w:rPr>
          <w:rStyle w:val="SingleTxtGChar"/>
        </w:rPr>
        <w:t xml:space="preserve"> would be more interested in the </w:t>
      </w:r>
      <w:r w:rsidR="002C0A4E" w:rsidRPr="00D91F48">
        <w:rPr>
          <w:rStyle w:val="SingleTxtGChar"/>
        </w:rPr>
        <w:t>complainant</w:t>
      </w:r>
      <w:r w:rsidR="00884892" w:rsidRPr="00D91F48">
        <w:rPr>
          <w:rStyle w:val="SingleTxtGChar"/>
        </w:rPr>
        <w:t xml:space="preserve"> now than when she was still living in Ethiopia.</w:t>
      </w:r>
      <w:r w:rsidR="00217F81" w:rsidRPr="00D91F48">
        <w:rPr>
          <w:rStyle w:val="SingleTxtGChar"/>
        </w:rPr>
        <w:t xml:space="preserve"> </w:t>
      </w:r>
      <w:r w:rsidR="00884892" w:rsidRPr="00D91F48">
        <w:rPr>
          <w:rStyle w:val="SingleTxtGChar"/>
        </w:rPr>
        <w:t xml:space="preserve">If the Ethiopian </w:t>
      </w:r>
      <w:r w:rsidR="00EA3E54" w:rsidRPr="00D91F48">
        <w:rPr>
          <w:rStyle w:val="SingleTxtGChar"/>
        </w:rPr>
        <w:t>authorities</w:t>
      </w:r>
      <w:r w:rsidR="00884892" w:rsidRPr="00D91F48">
        <w:rPr>
          <w:rStyle w:val="SingleTxtGChar"/>
        </w:rPr>
        <w:t xml:space="preserve"> were concerned about the </w:t>
      </w:r>
      <w:r w:rsidR="00C10701" w:rsidRPr="00D91F48">
        <w:rPr>
          <w:rStyle w:val="SingleTxtGChar"/>
        </w:rPr>
        <w:t>complainant</w:t>
      </w:r>
      <w:r w:rsidR="00884892" w:rsidRPr="00D91F48">
        <w:rPr>
          <w:rStyle w:val="SingleTxtGChar"/>
        </w:rPr>
        <w:t xml:space="preserve"> because of her imputed political opinion, they would not have released her after only a few days of detention, and would not have issued her </w:t>
      </w:r>
      <w:r w:rsidR="0001384A" w:rsidRPr="00D91F48">
        <w:rPr>
          <w:rStyle w:val="SingleTxtGChar"/>
          <w:lang w:val="en-US"/>
        </w:rPr>
        <w:t xml:space="preserve">with </w:t>
      </w:r>
      <w:r w:rsidR="00884892" w:rsidRPr="00D91F48">
        <w:rPr>
          <w:rStyle w:val="SingleTxtGChar"/>
        </w:rPr>
        <w:t xml:space="preserve">an exit permit to leave Ethiopia. </w:t>
      </w:r>
      <w:r w:rsidR="0001384A" w:rsidRPr="00D91F48">
        <w:rPr>
          <w:rStyle w:val="SingleTxtGChar"/>
          <w:lang w:val="en-US"/>
        </w:rPr>
        <w:t>Nor has</w:t>
      </w:r>
      <w:r w:rsidR="0043272D" w:rsidRPr="00D91F48">
        <w:rPr>
          <w:rStyle w:val="SingleTxtGChar"/>
        </w:rPr>
        <w:t xml:space="preserve"> t</w:t>
      </w:r>
      <w:r w:rsidR="00884892" w:rsidRPr="00D91F48">
        <w:rPr>
          <w:rStyle w:val="SingleTxtGChar"/>
        </w:rPr>
        <w:t xml:space="preserve">he </w:t>
      </w:r>
      <w:r w:rsidR="0043272D" w:rsidRPr="00D91F48">
        <w:rPr>
          <w:rStyle w:val="SingleTxtGChar"/>
        </w:rPr>
        <w:t>complainant</w:t>
      </w:r>
      <w:r w:rsidR="00884892" w:rsidRPr="00D91F48">
        <w:rPr>
          <w:rStyle w:val="SingleTxtGChar"/>
        </w:rPr>
        <w:t xml:space="preserve"> alleged that she has taken part in any political activities while in Canada that might have come to the attention of </w:t>
      </w:r>
      <w:r w:rsidR="00525D82" w:rsidRPr="00D91F48">
        <w:rPr>
          <w:rStyle w:val="SingleTxtGChar"/>
          <w:lang w:val="en-US"/>
        </w:rPr>
        <w:t xml:space="preserve">the </w:t>
      </w:r>
      <w:r w:rsidR="00884892" w:rsidRPr="00D91F48">
        <w:rPr>
          <w:rStyle w:val="SingleTxtGChar"/>
        </w:rPr>
        <w:t xml:space="preserve">Ethiopian </w:t>
      </w:r>
      <w:r w:rsidR="00EA3E54" w:rsidRPr="00D91F48">
        <w:rPr>
          <w:rStyle w:val="SingleTxtGChar"/>
        </w:rPr>
        <w:t>authorities</w:t>
      </w:r>
      <w:r w:rsidR="00884892" w:rsidRPr="00D91F48">
        <w:rPr>
          <w:rStyle w:val="SingleTxtGChar"/>
        </w:rPr>
        <w:t>.</w:t>
      </w:r>
    </w:p>
    <w:p w:rsidR="00C428C8" w:rsidRPr="00D91F48" w:rsidRDefault="005E763E" w:rsidP="00FB6962">
      <w:pPr>
        <w:pStyle w:val="SingleTxtG"/>
        <w:rPr>
          <w:b/>
          <w:bCs/>
        </w:rPr>
      </w:pPr>
      <w:r w:rsidRPr="00D91F48">
        <w:t>4.</w:t>
      </w:r>
      <w:r w:rsidR="00501F7C" w:rsidRPr="00D91F48">
        <w:t>16</w:t>
      </w:r>
      <w:r w:rsidR="00D6565D" w:rsidRPr="00D91F48">
        <w:rPr>
          <w:lang w:val="en-US"/>
        </w:rPr>
        <w:tab/>
      </w:r>
      <w:r w:rsidR="00C428C8" w:rsidRPr="00D91F48">
        <w:t>Furthermore, the State party notes the complainant’s allegation that</w:t>
      </w:r>
      <w:r w:rsidR="00884892" w:rsidRPr="00D91F48">
        <w:t>, according to two letters she received from Ethiopia, her husband has</w:t>
      </w:r>
      <w:r w:rsidR="00C428C8" w:rsidRPr="00D91F48">
        <w:t xml:space="preserve"> been arrested again, and that </w:t>
      </w:r>
      <w:r w:rsidR="00884892" w:rsidRPr="00D91F48">
        <w:t>he has been forcibly transferred to an unknown</w:t>
      </w:r>
      <w:r w:rsidR="00C428C8" w:rsidRPr="00D91F48">
        <w:t xml:space="preserve"> location.</w:t>
      </w:r>
      <w:r w:rsidR="00884892" w:rsidRPr="00D91F48">
        <w:t xml:space="preserve"> </w:t>
      </w:r>
      <w:r w:rsidR="00B01242" w:rsidRPr="00D91F48">
        <w:rPr>
          <w:lang w:val="en-US"/>
        </w:rPr>
        <w:t>I</w:t>
      </w:r>
      <w:r w:rsidR="00C428C8" w:rsidRPr="00D91F48">
        <w:t>t notes that t</w:t>
      </w:r>
      <w:r w:rsidR="00884892" w:rsidRPr="00D91F48">
        <w:t>he arrest of her husband presumably took place in 2010</w:t>
      </w:r>
      <w:r w:rsidR="00B01242" w:rsidRPr="00D91F48">
        <w:rPr>
          <w:lang w:val="en-US"/>
        </w:rPr>
        <w:t>,</w:t>
      </w:r>
      <w:r w:rsidR="00884892" w:rsidRPr="00D91F48">
        <w:t xml:space="preserve"> since that is when the letters were first presented to </w:t>
      </w:r>
      <w:r w:rsidR="00C428C8" w:rsidRPr="00D91F48">
        <w:t>the State party’s</w:t>
      </w:r>
      <w:r w:rsidR="00884892" w:rsidRPr="00D91F48">
        <w:t xml:space="preserve"> </w:t>
      </w:r>
      <w:r w:rsidR="00EA3E54" w:rsidRPr="00D91F48">
        <w:t>authorities</w:t>
      </w:r>
      <w:r w:rsidR="00884892" w:rsidRPr="00D91F48">
        <w:t>. However, no information is provided in the communication concerning the husband’s current status or attempts by any family or friends in Ethiopia to ascertain whether or not he is still detained in a known or unknown location. Considering that</w:t>
      </w:r>
      <w:r w:rsidR="00B01242" w:rsidRPr="00D91F48">
        <w:rPr>
          <w:lang w:val="en-US"/>
        </w:rPr>
        <w:t>,</w:t>
      </w:r>
      <w:r w:rsidR="00884892" w:rsidRPr="00D91F48">
        <w:t xml:space="preserve"> according to the </w:t>
      </w:r>
      <w:r w:rsidR="00C428C8" w:rsidRPr="00D91F48">
        <w:t>complainant</w:t>
      </w:r>
      <w:r w:rsidR="00884892" w:rsidRPr="00D91F48">
        <w:t xml:space="preserve">, her husband had been detained and released on a number of previous other occasions, </w:t>
      </w:r>
      <w:r w:rsidR="00C428C8" w:rsidRPr="00D91F48">
        <w:t>the State party</w:t>
      </w:r>
      <w:r w:rsidR="00884892" w:rsidRPr="00D91F48">
        <w:t xml:space="preserve"> submits that some attempt should have been made to provide current information to the Committee. </w:t>
      </w:r>
      <w:r w:rsidR="00525D82" w:rsidRPr="00D91F48">
        <w:rPr>
          <w:lang w:val="en-US"/>
        </w:rPr>
        <w:t>T</w:t>
      </w:r>
      <w:r w:rsidR="00C428C8" w:rsidRPr="00D91F48">
        <w:t xml:space="preserve">he State party maintains that the allegation that the complainant’s husband was detained in 2010, for which no probative evidence was submitted, in no way supports her claim that she will be detained, and tortured and killed if she is returned to Ethiopia. </w:t>
      </w:r>
    </w:p>
    <w:p w:rsidR="00884892" w:rsidRPr="00D91F48" w:rsidRDefault="005E763E" w:rsidP="007D2D0F">
      <w:pPr>
        <w:pStyle w:val="SingleTxtG"/>
      </w:pPr>
      <w:r w:rsidRPr="00D91F48">
        <w:t>4.</w:t>
      </w:r>
      <w:r w:rsidR="00501F7C" w:rsidRPr="00D91F48">
        <w:t>17</w:t>
      </w:r>
      <w:r w:rsidR="00D6565D" w:rsidRPr="00D91F48">
        <w:rPr>
          <w:lang w:val="en-US"/>
        </w:rPr>
        <w:tab/>
      </w:r>
      <w:r w:rsidR="00F046A7" w:rsidRPr="00D91F48">
        <w:t xml:space="preserve">As to the complainant’s argument that her </w:t>
      </w:r>
      <w:r w:rsidR="00884892" w:rsidRPr="00D91F48">
        <w:t xml:space="preserve">status as an ethnic Oromo </w:t>
      </w:r>
      <w:r w:rsidR="00F046A7" w:rsidRPr="00D91F48">
        <w:t>is</w:t>
      </w:r>
      <w:r w:rsidR="00884892" w:rsidRPr="00D91F48">
        <w:t xml:space="preserve"> one of the reasons why she would allegedly be targete</w:t>
      </w:r>
      <w:r w:rsidR="00F046A7" w:rsidRPr="00D91F48">
        <w:t xml:space="preserve">d by the Ethiopian </w:t>
      </w:r>
      <w:r w:rsidR="00EA3E54" w:rsidRPr="00D91F48">
        <w:t>authorities</w:t>
      </w:r>
      <w:r w:rsidR="00F046A7" w:rsidRPr="00D91F48">
        <w:t xml:space="preserve">, the State party </w:t>
      </w:r>
      <w:r w:rsidR="00455AE8" w:rsidRPr="00D91F48">
        <w:t>notes that at the domestic level she stated</w:t>
      </w:r>
      <w:r w:rsidR="00884892" w:rsidRPr="00D91F48">
        <w:t xml:space="preserve"> that she had not been targeted becau</w:t>
      </w:r>
      <w:r w:rsidR="00557BEE" w:rsidRPr="00D91F48">
        <w:t>se of her ethnicity in the past.</w:t>
      </w:r>
      <w:r w:rsidR="00884892" w:rsidRPr="00D91F48">
        <w:t xml:space="preserve"> </w:t>
      </w:r>
      <w:r w:rsidR="00FB6962" w:rsidRPr="00D91F48">
        <w:rPr>
          <w:lang w:val="en-US"/>
        </w:rPr>
        <w:t>T</w:t>
      </w:r>
      <w:r w:rsidR="00F046A7" w:rsidRPr="00D91F48">
        <w:t>he State party</w:t>
      </w:r>
      <w:r w:rsidR="00884892" w:rsidRPr="00D91F48">
        <w:t xml:space="preserve"> submits that</w:t>
      </w:r>
      <w:r w:rsidR="00FB6962" w:rsidRPr="00D91F48">
        <w:rPr>
          <w:lang w:val="en-US"/>
        </w:rPr>
        <w:t>,</w:t>
      </w:r>
      <w:r w:rsidR="00884892" w:rsidRPr="00D91F48">
        <w:t xml:space="preserve"> </w:t>
      </w:r>
      <w:r w:rsidR="00FB6962" w:rsidRPr="00D91F48">
        <w:rPr>
          <w:lang w:val="en-US"/>
        </w:rPr>
        <w:t>i</w:t>
      </w:r>
      <w:r w:rsidR="00FB6962" w:rsidRPr="00D91F48">
        <w:t>n th</w:t>
      </w:r>
      <w:r w:rsidR="00FB6962" w:rsidRPr="00D91F48">
        <w:rPr>
          <w:lang w:val="en-US"/>
        </w:rPr>
        <w:t>o</w:t>
      </w:r>
      <w:r w:rsidR="00FB6962" w:rsidRPr="00D91F48">
        <w:t xml:space="preserve">se circumstances, </w:t>
      </w:r>
      <w:r w:rsidR="00884892" w:rsidRPr="00D91F48">
        <w:t xml:space="preserve">the </w:t>
      </w:r>
      <w:r w:rsidR="00F046A7" w:rsidRPr="00D91F48">
        <w:t>complainant</w:t>
      </w:r>
      <w:r w:rsidR="00884892" w:rsidRPr="00D91F48">
        <w:t xml:space="preserve">’s Oromo ethnicity would not, </w:t>
      </w:r>
      <w:r w:rsidR="00FB6962" w:rsidRPr="00D91F48">
        <w:rPr>
          <w:lang w:val="en-US"/>
        </w:rPr>
        <w:t>in</w:t>
      </w:r>
      <w:r w:rsidR="00FB6962" w:rsidRPr="00D91F48">
        <w:t xml:space="preserve"> </w:t>
      </w:r>
      <w:r w:rsidR="00884892" w:rsidRPr="00D91F48">
        <w:t xml:space="preserve">itself, put her at foreseeable, real and personal risk of torture. </w:t>
      </w:r>
      <w:r w:rsidR="00501F7C" w:rsidRPr="00D91F48">
        <w:t>T</w:t>
      </w:r>
      <w:r w:rsidR="003A7609" w:rsidRPr="00D91F48">
        <w:t xml:space="preserve">he State party </w:t>
      </w:r>
      <w:r w:rsidR="00455AE8" w:rsidRPr="00D91F48">
        <w:t xml:space="preserve">takes </w:t>
      </w:r>
      <w:r w:rsidR="003A7609" w:rsidRPr="00D91F48">
        <w:t>note</w:t>
      </w:r>
      <w:r w:rsidR="00455AE8" w:rsidRPr="00D91F48">
        <w:t xml:space="preserve"> of several</w:t>
      </w:r>
      <w:r w:rsidR="00884892" w:rsidRPr="00D91F48">
        <w:t xml:space="preserve"> reports on the human rights situation in Ethiopia, including </w:t>
      </w:r>
      <w:r w:rsidR="00455AE8" w:rsidRPr="00D91F48">
        <w:t>the Committee’s</w:t>
      </w:r>
      <w:r w:rsidR="00884892" w:rsidRPr="00D91F48">
        <w:t xml:space="preserve"> recent </w:t>
      </w:r>
      <w:r w:rsidR="00FB6962" w:rsidRPr="00D91F48">
        <w:rPr>
          <w:lang w:val="en-US"/>
        </w:rPr>
        <w:t>c</w:t>
      </w:r>
      <w:r w:rsidR="00884892" w:rsidRPr="00D91F48">
        <w:t xml:space="preserve">oncluding </w:t>
      </w:r>
      <w:r w:rsidR="00FB6962" w:rsidRPr="00D91F48">
        <w:rPr>
          <w:lang w:val="en-US"/>
        </w:rPr>
        <w:t>o</w:t>
      </w:r>
      <w:r w:rsidR="00884892" w:rsidRPr="00D91F48">
        <w:t>bservations on the human rights situation in Ethiopia.</w:t>
      </w:r>
      <w:r w:rsidR="00355858" w:rsidRPr="00D91F48">
        <w:rPr>
          <w:rStyle w:val="FootnoteReference"/>
        </w:rPr>
        <w:footnoteReference w:id="16"/>
      </w:r>
      <w:r w:rsidR="00884892" w:rsidRPr="00D91F48">
        <w:t xml:space="preserve"> Nevertheless, although the human rights situation in Ethiopia is problematic, </w:t>
      </w:r>
      <w:r w:rsidR="003A7609" w:rsidRPr="00D91F48">
        <w:t>the State party</w:t>
      </w:r>
      <w:r w:rsidR="00884892" w:rsidRPr="00D91F48">
        <w:t xml:space="preserve"> submits that it is insufficient </w:t>
      </w:r>
      <w:r w:rsidR="00FB6962" w:rsidRPr="00D91F48">
        <w:rPr>
          <w:lang w:val="en-US"/>
        </w:rPr>
        <w:t>in</w:t>
      </w:r>
      <w:r w:rsidR="00FB6962" w:rsidRPr="00D91F48">
        <w:t xml:space="preserve"> </w:t>
      </w:r>
      <w:r w:rsidR="00884892" w:rsidRPr="00D91F48">
        <w:t xml:space="preserve">itself to lend credence to the </w:t>
      </w:r>
      <w:r w:rsidR="003A7609" w:rsidRPr="00D91F48">
        <w:t>complainant</w:t>
      </w:r>
      <w:r w:rsidR="00884892" w:rsidRPr="00D91F48">
        <w:t>’s allegations.</w:t>
      </w:r>
      <w:r w:rsidR="00355858" w:rsidRPr="00D91F48">
        <w:rPr>
          <w:rStyle w:val="FootnoteReference"/>
        </w:rPr>
        <w:footnoteReference w:id="17"/>
      </w:r>
      <w:r w:rsidR="00884892" w:rsidRPr="00D91F48">
        <w:t xml:space="preserve"> </w:t>
      </w:r>
    </w:p>
    <w:p w:rsidR="003A7609" w:rsidRPr="00D91F48" w:rsidRDefault="008E312D" w:rsidP="001F142A">
      <w:pPr>
        <w:pStyle w:val="SingleTxtG"/>
      </w:pPr>
      <w:r w:rsidRPr="00D91F48">
        <w:t>4.</w:t>
      </w:r>
      <w:r w:rsidR="00501F7C" w:rsidRPr="00D91F48">
        <w:t>1</w:t>
      </w:r>
      <w:r w:rsidRPr="00D91F48">
        <w:t>8</w:t>
      </w:r>
      <w:r w:rsidR="00384102" w:rsidRPr="00D91F48">
        <w:tab/>
      </w:r>
      <w:r w:rsidR="003A7609" w:rsidRPr="00D91F48">
        <w:rPr>
          <w:rStyle w:val="SingleTxtGChar"/>
        </w:rPr>
        <w:t xml:space="preserve">In light of the above, the State party </w:t>
      </w:r>
      <w:r w:rsidR="00884892" w:rsidRPr="00D91F48">
        <w:rPr>
          <w:rStyle w:val="SingleTxtGChar"/>
        </w:rPr>
        <w:t xml:space="preserve">submits that the </w:t>
      </w:r>
      <w:r w:rsidR="003A7609" w:rsidRPr="00D91F48">
        <w:rPr>
          <w:rStyle w:val="SingleTxtGChar"/>
        </w:rPr>
        <w:t>complainant</w:t>
      </w:r>
      <w:r w:rsidR="00884892" w:rsidRPr="00D91F48">
        <w:rPr>
          <w:rStyle w:val="SingleTxtGChar"/>
        </w:rPr>
        <w:t xml:space="preserve"> in the present communication has failed to establish that she faces a foreseeable, real and personal risk of torture if returned to Ethiopia. </w:t>
      </w:r>
      <w:r w:rsidR="003A7609" w:rsidRPr="00D91F48">
        <w:rPr>
          <w:rStyle w:val="SingleTxtGChar"/>
        </w:rPr>
        <w:t>Consequently, the present communication is manifestly ill-founded and inadmissible</w:t>
      </w:r>
      <w:r w:rsidR="003A7609" w:rsidRPr="00D91F48">
        <w:t>.</w:t>
      </w:r>
    </w:p>
    <w:p w:rsidR="008D65E0" w:rsidRPr="00D91F48" w:rsidRDefault="00E47B60" w:rsidP="007D2D0F">
      <w:pPr>
        <w:pStyle w:val="SingleTxtG"/>
        <w:rPr>
          <w:rStyle w:val="SingleTxtGChar"/>
        </w:rPr>
      </w:pPr>
      <w:r w:rsidRPr="00D91F48">
        <w:t>4.</w:t>
      </w:r>
      <w:r w:rsidR="00501F7C" w:rsidRPr="00D91F48">
        <w:t>1</w:t>
      </w:r>
      <w:r w:rsidR="008E312D" w:rsidRPr="00D91F48">
        <w:t>9</w:t>
      </w:r>
      <w:r w:rsidR="00D6565D" w:rsidRPr="00D91F48">
        <w:tab/>
      </w:r>
      <w:r w:rsidR="003A7609" w:rsidRPr="00D91F48">
        <w:rPr>
          <w:rStyle w:val="SingleTxtGChar"/>
        </w:rPr>
        <w:t>In the alternative</w:t>
      </w:r>
      <w:r w:rsidR="00884892" w:rsidRPr="00D91F48">
        <w:rPr>
          <w:rStyle w:val="SingleTxtGChar"/>
        </w:rPr>
        <w:t>, if th</w:t>
      </w:r>
      <w:r w:rsidR="009F6C1B" w:rsidRPr="00D91F48">
        <w:rPr>
          <w:rStyle w:val="SingleTxtGChar"/>
        </w:rPr>
        <w:t>e</w:t>
      </w:r>
      <w:r w:rsidR="00884892" w:rsidRPr="00D91F48">
        <w:rPr>
          <w:rStyle w:val="SingleTxtGChar"/>
        </w:rPr>
        <w:t xml:space="preserve"> communication is declared admissible, the </w:t>
      </w:r>
      <w:r w:rsidR="003A7609" w:rsidRPr="00D91F48">
        <w:rPr>
          <w:rStyle w:val="SingleTxtGChar"/>
        </w:rPr>
        <w:t>State party</w:t>
      </w:r>
      <w:r w:rsidR="00884892" w:rsidRPr="00D91F48">
        <w:rPr>
          <w:rStyle w:val="SingleTxtGChar"/>
        </w:rPr>
        <w:t xml:space="preserve"> requests that the Committee conclude, on the basis of </w:t>
      </w:r>
      <w:r w:rsidR="003A7609" w:rsidRPr="00D91F48">
        <w:rPr>
          <w:rStyle w:val="SingleTxtGChar"/>
        </w:rPr>
        <w:t>the information provided</w:t>
      </w:r>
      <w:r w:rsidR="00884892" w:rsidRPr="00D91F48">
        <w:rPr>
          <w:rStyle w:val="SingleTxtGChar"/>
        </w:rPr>
        <w:t>, that</w:t>
      </w:r>
      <w:r w:rsidR="003A7609" w:rsidRPr="00D91F48">
        <w:rPr>
          <w:rStyle w:val="SingleTxtGChar"/>
        </w:rPr>
        <w:t xml:space="preserve"> </w:t>
      </w:r>
      <w:r w:rsidR="00FB6962" w:rsidRPr="00D91F48">
        <w:rPr>
          <w:rStyle w:val="SingleTxtGChar"/>
          <w:lang w:val="en-US"/>
        </w:rPr>
        <w:t>the prsent</w:t>
      </w:r>
      <w:r w:rsidR="00FB6962" w:rsidRPr="00D91F48">
        <w:rPr>
          <w:rStyle w:val="SingleTxtGChar"/>
        </w:rPr>
        <w:t xml:space="preserve"> </w:t>
      </w:r>
      <w:r w:rsidR="00884892" w:rsidRPr="00D91F48">
        <w:rPr>
          <w:rStyle w:val="SingleTxtGChar"/>
        </w:rPr>
        <w:t xml:space="preserve">communication is without merit. The </w:t>
      </w:r>
      <w:r w:rsidR="00366DA8" w:rsidRPr="00D91F48">
        <w:rPr>
          <w:rStyle w:val="SingleTxtGChar"/>
        </w:rPr>
        <w:t>complainant</w:t>
      </w:r>
      <w:r w:rsidR="00884892" w:rsidRPr="00D91F48">
        <w:rPr>
          <w:rStyle w:val="SingleTxtGChar"/>
        </w:rPr>
        <w:t xml:space="preserve"> has failed to establish that she faces a foreseeable, real and personal risk of being subjected to torture if she </w:t>
      </w:r>
      <w:r w:rsidR="00884892" w:rsidRPr="00D91F48">
        <w:rPr>
          <w:rStyle w:val="SingleTxtGChar"/>
        </w:rPr>
        <w:tab/>
        <w:t>were</w:t>
      </w:r>
      <w:r w:rsidR="00EF3450" w:rsidRPr="00D91F48">
        <w:rPr>
          <w:rStyle w:val="SingleTxtGChar"/>
        </w:rPr>
        <w:t xml:space="preserve"> </w:t>
      </w:r>
      <w:r w:rsidR="00884892" w:rsidRPr="00D91F48">
        <w:rPr>
          <w:rStyle w:val="SingleTxtGChar"/>
        </w:rPr>
        <w:t>returned</w:t>
      </w:r>
      <w:r w:rsidR="003A7609" w:rsidRPr="00D91F48">
        <w:rPr>
          <w:rStyle w:val="SingleTxtGChar"/>
        </w:rPr>
        <w:t xml:space="preserve"> </w:t>
      </w:r>
      <w:r w:rsidR="00884892" w:rsidRPr="00D91F48">
        <w:rPr>
          <w:rStyle w:val="SingleTxtGChar"/>
        </w:rPr>
        <w:t xml:space="preserve">to Ethiopia. </w:t>
      </w:r>
    </w:p>
    <w:p w:rsidR="00A07F18" w:rsidRPr="00D91F48" w:rsidRDefault="001F142A" w:rsidP="001F142A">
      <w:pPr>
        <w:pStyle w:val="H23G"/>
      </w:pPr>
      <w:r w:rsidRPr="00D91F48">
        <w:tab/>
      </w:r>
      <w:r w:rsidRPr="00D91F48">
        <w:tab/>
      </w:r>
      <w:r w:rsidR="004A6004" w:rsidRPr="00D91F48">
        <w:t>The c</w:t>
      </w:r>
      <w:r w:rsidR="00A07F18" w:rsidRPr="00D91F48">
        <w:t>omplainant</w:t>
      </w:r>
      <w:r w:rsidR="004A6004" w:rsidRPr="00D91F48">
        <w:t>’</w:t>
      </w:r>
      <w:r w:rsidR="00A07F18" w:rsidRPr="00D91F48">
        <w:t>s comments on the State party’s ob</w:t>
      </w:r>
      <w:r w:rsidRPr="00D91F48">
        <w:t>servations on admissibility and </w:t>
      </w:r>
      <w:r w:rsidR="00A07F18" w:rsidRPr="00D91F48">
        <w:t>merits</w:t>
      </w:r>
    </w:p>
    <w:p w:rsidR="006A5765" w:rsidRPr="00D91F48" w:rsidRDefault="001F142A" w:rsidP="00617714">
      <w:pPr>
        <w:pStyle w:val="SingleTxtG"/>
        <w:rPr>
          <w:sz w:val="24"/>
          <w:szCs w:val="24"/>
          <w:lang w:eastAsia="en-GB"/>
        </w:rPr>
      </w:pPr>
      <w:r w:rsidRPr="00D91F48">
        <w:rPr>
          <w:rStyle w:val="SingleTxtGChar"/>
          <w:lang w:val="en-US"/>
        </w:rPr>
        <w:t>5.1</w:t>
      </w:r>
      <w:r w:rsidRPr="00D91F48">
        <w:rPr>
          <w:rStyle w:val="SingleTxtGChar"/>
          <w:lang w:val="en-US"/>
        </w:rPr>
        <w:tab/>
      </w:r>
      <w:r w:rsidR="008B0FA1" w:rsidRPr="00D91F48">
        <w:rPr>
          <w:rStyle w:val="SingleTxtGChar"/>
        </w:rPr>
        <w:t>In reply to the State party’s observations, o</w:t>
      </w:r>
      <w:r w:rsidR="006536F6" w:rsidRPr="00D91F48">
        <w:rPr>
          <w:rStyle w:val="SingleTxtGChar"/>
        </w:rPr>
        <w:t xml:space="preserve">n </w:t>
      </w:r>
      <w:r w:rsidR="000506A9" w:rsidRPr="00D91F48">
        <w:rPr>
          <w:rStyle w:val="SingleTxtGChar"/>
        </w:rPr>
        <w:t>30 April 2013 the complainant</w:t>
      </w:r>
      <w:r w:rsidR="008B0FA1" w:rsidRPr="00D91F48">
        <w:rPr>
          <w:rStyle w:val="SingleTxtGChar"/>
        </w:rPr>
        <w:t xml:space="preserve"> </w:t>
      </w:r>
      <w:r w:rsidR="00D11573" w:rsidRPr="00D91F48">
        <w:rPr>
          <w:rStyle w:val="SingleTxtGChar"/>
        </w:rPr>
        <w:t>submitted</w:t>
      </w:r>
      <w:r w:rsidR="00E25FFD" w:rsidRPr="00D91F48">
        <w:rPr>
          <w:rStyle w:val="SingleTxtGChar"/>
        </w:rPr>
        <w:t xml:space="preserve"> that none of the remedies mentioned by the State party, which she supposedly had to exhaust, constitute an effective remedy. In this connection, she notes that in 2011 she tried to file for </w:t>
      </w:r>
      <w:r w:rsidR="007D2D0F" w:rsidRPr="00D91F48">
        <w:rPr>
          <w:rStyle w:val="SingleTxtGChar"/>
          <w:lang w:val="en-US"/>
        </w:rPr>
        <w:t>a</w:t>
      </w:r>
      <w:r w:rsidR="007D2D0F" w:rsidRPr="00D91F48">
        <w:rPr>
          <w:rStyle w:val="SingleTxtGChar"/>
        </w:rPr>
        <w:t xml:space="preserve"> </w:t>
      </w:r>
      <w:r w:rsidR="00E25FFD" w:rsidRPr="00D91F48">
        <w:rPr>
          <w:rStyle w:val="SingleTxtGChar"/>
        </w:rPr>
        <w:t xml:space="preserve">judicial review to appeal the negative decision </w:t>
      </w:r>
      <w:r w:rsidR="005E2FB1" w:rsidRPr="00D91F48">
        <w:rPr>
          <w:rStyle w:val="SingleTxtGChar"/>
        </w:rPr>
        <w:t>of the</w:t>
      </w:r>
      <w:r w:rsidR="00E25FFD" w:rsidRPr="00D91F48">
        <w:rPr>
          <w:rStyle w:val="SingleTxtGChar"/>
        </w:rPr>
        <w:t xml:space="preserve"> RPD dated 24 January 2011; however it was dismissed by the Federal Court on 1 Jun</w:t>
      </w:r>
      <w:r w:rsidR="005E2FB1" w:rsidRPr="00D91F48">
        <w:rPr>
          <w:rStyle w:val="SingleTxtGChar"/>
        </w:rPr>
        <w:t xml:space="preserve">e </w:t>
      </w:r>
      <w:r w:rsidR="00E25FFD" w:rsidRPr="00D91F48">
        <w:rPr>
          <w:rStyle w:val="SingleTxtGChar"/>
        </w:rPr>
        <w:t>2011</w:t>
      </w:r>
      <w:r w:rsidR="005E2FB1" w:rsidRPr="00D91F48">
        <w:rPr>
          <w:rStyle w:val="SingleTxtGChar"/>
        </w:rPr>
        <w:t>without even a hearing</w:t>
      </w:r>
      <w:r w:rsidR="006A5765" w:rsidRPr="00D91F48">
        <w:rPr>
          <w:rStyle w:val="SingleTxtGChar"/>
        </w:rPr>
        <w:t>.</w:t>
      </w:r>
      <w:r w:rsidR="005E2FB1" w:rsidRPr="00D91F48">
        <w:rPr>
          <w:rStyle w:val="SingleTxtGChar"/>
        </w:rPr>
        <w:t xml:space="preserve"> </w:t>
      </w:r>
      <w:r w:rsidRPr="00D91F48">
        <w:rPr>
          <w:rStyle w:val="SingleTxtGChar"/>
        </w:rPr>
        <w:t>She further notes that 80 to 85</w:t>
      </w:r>
      <w:r w:rsidR="007D2D0F" w:rsidRPr="00D91F48">
        <w:rPr>
          <w:rStyle w:val="SingleTxtGChar"/>
          <w:lang w:val="en-US"/>
        </w:rPr>
        <w:t xml:space="preserve"> per cent</w:t>
      </w:r>
      <w:r w:rsidR="005E2FB1" w:rsidRPr="00D91F48">
        <w:rPr>
          <w:rStyle w:val="SingleTxtGChar"/>
        </w:rPr>
        <w:t xml:space="preserve"> of the </w:t>
      </w:r>
      <w:r w:rsidRPr="00D91F48">
        <w:rPr>
          <w:rStyle w:val="SingleTxtGChar"/>
          <w:lang w:val="en-US"/>
        </w:rPr>
        <w:t>“</w:t>
      </w:r>
      <w:r w:rsidR="005E2FB1" w:rsidRPr="00D91F48">
        <w:rPr>
          <w:rStyle w:val="SingleTxtGChar"/>
        </w:rPr>
        <w:t>immigration appeals (judicial reviews)</w:t>
      </w:r>
      <w:r w:rsidRPr="00D91F48">
        <w:rPr>
          <w:rStyle w:val="SingleTxtGChar"/>
          <w:lang w:val="en-US"/>
        </w:rPr>
        <w:t>”</w:t>
      </w:r>
      <w:r w:rsidR="005E2FB1" w:rsidRPr="00D91F48">
        <w:rPr>
          <w:rStyle w:val="SingleTxtGChar"/>
        </w:rPr>
        <w:t xml:space="preserve"> to the Federal Court are not granted leave and that </w:t>
      </w:r>
      <w:r w:rsidR="007D2D0F" w:rsidRPr="00D91F48">
        <w:rPr>
          <w:rStyle w:val="SingleTxtGChar"/>
          <w:lang w:val="en-US"/>
        </w:rPr>
        <w:t>that</w:t>
      </w:r>
      <w:r w:rsidR="007D2D0F" w:rsidRPr="00D91F48">
        <w:rPr>
          <w:rStyle w:val="SingleTxtGChar"/>
        </w:rPr>
        <w:t xml:space="preserve"> </w:t>
      </w:r>
      <w:r w:rsidR="005E2FB1" w:rsidRPr="00D91F48">
        <w:rPr>
          <w:rStyle w:val="SingleTxtGChar"/>
        </w:rPr>
        <w:t>demonstrates the ineffectiveness of the remedy. She also notes that the State party acknowledged i</w:t>
      </w:r>
      <w:r w:rsidRPr="00D91F48">
        <w:rPr>
          <w:rStyle w:val="SingleTxtGChar"/>
        </w:rPr>
        <w:t>n its observations that only 14</w:t>
      </w:r>
      <w:r w:rsidR="007D2D0F" w:rsidRPr="00D91F48">
        <w:rPr>
          <w:rStyle w:val="SingleTxtGChar"/>
          <w:lang w:val="en-US"/>
        </w:rPr>
        <w:t xml:space="preserve"> per cent</w:t>
      </w:r>
      <w:r w:rsidR="005E2FB1" w:rsidRPr="00D91F48">
        <w:rPr>
          <w:rStyle w:val="SingleTxtGChar"/>
        </w:rPr>
        <w:t xml:space="preserve"> of the cases </w:t>
      </w:r>
      <w:r w:rsidRPr="00D91F48">
        <w:rPr>
          <w:rStyle w:val="SingleTxtGChar"/>
          <w:lang w:val="en-US"/>
        </w:rPr>
        <w:t>“</w:t>
      </w:r>
      <w:r w:rsidR="005E2FB1" w:rsidRPr="00D91F48">
        <w:rPr>
          <w:rStyle w:val="SingleTxtGChar"/>
        </w:rPr>
        <w:t>were listened in a hearing at the Federal Court</w:t>
      </w:r>
      <w:r w:rsidRPr="00D91F48">
        <w:rPr>
          <w:rStyle w:val="SingleTxtGChar"/>
          <w:lang w:val="en-US"/>
        </w:rPr>
        <w:t>”</w:t>
      </w:r>
      <w:r w:rsidR="005E2FB1" w:rsidRPr="00D91F48">
        <w:rPr>
          <w:rStyle w:val="SingleTxtGChar"/>
        </w:rPr>
        <w:t xml:space="preserve">. </w:t>
      </w:r>
      <w:r w:rsidR="007D2D0F" w:rsidRPr="00D91F48">
        <w:rPr>
          <w:rStyle w:val="SingleTxtGChar"/>
          <w:lang w:val="en-US"/>
        </w:rPr>
        <w:t>T</w:t>
      </w:r>
      <w:r w:rsidR="005E2FB1" w:rsidRPr="00D91F48">
        <w:rPr>
          <w:rStyle w:val="SingleTxtGChar"/>
        </w:rPr>
        <w:t xml:space="preserve">he complainant </w:t>
      </w:r>
      <w:r w:rsidR="00D11573" w:rsidRPr="00D91F48">
        <w:rPr>
          <w:rStyle w:val="SingleTxtGChar"/>
        </w:rPr>
        <w:t>notes</w:t>
      </w:r>
      <w:r w:rsidR="005E2FB1" w:rsidRPr="00D91F48">
        <w:rPr>
          <w:rStyle w:val="SingleTxtGChar"/>
        </w:rPr>
        <w:t xml:space="preserve"> the Committee’s findings in the case </w:t>
      </w:r>
      <w:r w:rsidR="005E2FB1" w:rsidRPr="00D91F48">
        <w:rPr>
          <w:rStyle w:val="SingleTxtGChar"/>
          <w:i/>
          <w:iCs/>
        </w:rPr>
        <w:t>Nirmal Singh v. Canada</w:t>
      </w:r>
      <w:r w:rsidR="005E2FB1" w:rsidRPr="00D91F48">
        <w:rPr>
          <w:rStyle w:val="SingleTxtGChar"/>
        </w:rPr>
        <w:t xml:space="preserve"> that the judicial review of a negative refugee protection decision or a </w:t>
      </w:r>
      <w:r w:rsidR="007D2D0F" w:rsidRPr="00D91F48">
        <w:rPr>
          <w:rStyle w:val="SingleTxtGChar"/>
          <w:lang w:val="en-US"/>
        </w:rPr>
        <w:t>p</w:t>
      </w:r>
      <w:r w:rsidR="005E2FB1" w:rsidRPr="00D91F48">
        <w:rPr>
          <w:rStyle w:val="SingleTxtGChar"/>
        </w:rPr>
        <w:t xml:space="preserve">re-removal </w:t>
      </w:r>
      <w:r w:rsidR="007D2D0F" w:rsidRPr="00D91F48">
        <w:rPr>
          <w:rStyle w:val="SingleTxtGChar"/>
          <w:lang w:val="en-US"/>
        </w:rPr>
        <w:t>r</w:t>
      </w:r>
      <w:r w:rsidR="005E2FB1" w:rsidRPr="00D91F48">
        <w:rPr>
          <w:rStyle w:val="SingleTxtGChar"/>
        </w:rPr>
        <w:t xml:space="preserve">isk </w:t>
      </w:r>
      <w:r w:rsidR="007D2D0F" w:rsidRPr="00D91F48">
        <w:rPr>
          <w:rStyle w:val="SingleTxtGChar"/>
          <w:lang w:val="en-US"/>
        </w:rPr>
        <w:t>a</w:t>
      </w:r>
      <w:r w:rsidR="005E2FB1" w:rsidRPr="00D91F48">
        <w:rPr>
          <w:rStyle w:val="SingleTxtGChar"/>
        </w:rPr>
        <w:t>ssessment does not constitute an effective remedy</w:t>
      </w:r>
      <w:r w:rsidRPr="00D91F48">
        <w:rPr>
          <w:rStyle w:val="SingleTxtGChar"/>
          <w:lang w:val="en-US"/>
        </w:rPr>
        <w:t>.</w:t>
      </w:r>
      <w:r w:rsidR="003B6C1A" w:rsidRPr="00D91F48">
        <w:rPr>
          <w:rStyle w:val="FootnoteReference"/>
        </w:rPr>
        <w:footnoteReference w:id="18"/>
      </w:r>
    </w:p>
    <w:p w:rsidR="00A07F18" w:rsidRPr="00D91F48" w:rsidRDefault="001F142A" w:rsidP="00154E74">
      <w:pPr>
        <w:pStyle w:val="SingleTxtG"/>
        <w:rPr>
          <w:lang w:eastAsia="en-GB"/>
        </w:rPr>
      </w:pPr>
      <w:r w:rsidRPr="00D91F48">
        <w:rPr>
          <w:lang w:eastAsia="en-GB"/>
        </w:rPr>
        <w:t>5.2</w:t>
      </w:r>
      <w:r w:rsidR="00384102" w:rsidRPr="00D91F48">
        <w:rPr>
          <w:lang w:eastAsia="en-GB"/>
        </w:rPr>
        <w:tab/>
      </w:r>
      <w:r w:rsidR="00DF3E8D" w:rsidRPr="00D91F48">
        <w:rPr>
          <w:lang w:eastAsia="en-GB"/>
        </w:rPr>
        <w:t xml:space="preserve">As to the State party’s arguments concerning recourse to the H&amp;C application procedure as an effective remedy, the complainant </w:t>
      </w:r>
      <w:r w:rsidR="006C4F53" w:rsidRPr="00D91F48">
        <w:rPr>
          <w:lang w:eastAsia="en-GB"/>
        </w:rPr>
        <w:t xml:space="preserve">notes that a lawyer had </w:t>
      </w:r>
      <w:r w:rsidRPr="00D91F48">
        <w:rPr>
          <w:lang w:eastAsia="en-GB"/>
        </w:rPr>
        <w:t xml:space="preserve">told her that it </w:t>
      </w:r>
      <w:r w:rsidR="00B76B27" w:rsidRPr="00D91F48">
        <w:rPr>
          <w:lang w:val="en-US" w:eastAsia="en-GB"/>
        </w:rPr>
        <w:t>took</w:t>
      </w:r>
      <w:r w:rsidR="00B76B27" w:rsidRPr="00D91F48">
        <w:rPr>
          <w:lang w:eastAsia="en-GB"/>
        </w:rPr>
        <w:t xml:space="preserve"> </w:t>
      </w:r>
      <w:r w:rsidRPr="00D91F48">
        <w:rPr>
          <w:lang w:eastAsia="en-GB"/>
        </w:rPr>
        <w:t>24 to 28</w:t>
      </w:r>
      <w:r w:rsidRPr="00D91F48">
        <w:rPr>
          <w:lang w:val="en-US" w:eastAsia="en-GB"/>
        </w:rPr>
        <w:t> </w:t>
      </w:r>
      <w:r w:rsidR="006C4F53" w:rsidRPr="00D91F48">
        <w:rPr>
          <w:lang w:eastAsia="en-GB"/>
        </w:rPr>
        <w:t xml:space="preserve">months to process such applications and that the examination of her H&amp;C application would not stop her deportation. The lawyer also informed her that she would not have a </w:t>
      </w:r>
      <w:r w:rsidR="00B76B27" w:rsidRPr="00D91F48">
        <w:rPr>
          <w:lang w:val="en-US" w:eastAsia="en-GB"/>
        </w:rPr>
        <w:t>good</w:t>
      </w:r>
      <w:r w:rsidR="00B76B27" w:rsidRPr="00D91F48">
        <w:rPr>
          <w:lang w:eastAsia="en-GB"/>
        </w:rPr>
        <w:t xml:space="preserve"> </w:t>
      </w:r>
      <w:r w:rsidR="006C4F53" w:rsidRPr="00D91F48">
        <w:rPr>
          <w:lang w:eastAsia="en-GB"/>
        </w:rPr>
        <w:t xml:space="preserve">chance </w:t>
      </w:r>
      <w:r w:rsidR="00B76B27" w:rsidRPr="00D91F48">
        <w:rPr>
          <w:lang w:val="en-US" w:eastAsia="en-GB"/>
        </w:rPr>
        <w:t>of success</w:t>
      </w:r>
      <w:r w:rsidR="006C4F53" w:rsidRPr="00D91F48">
        <w:rPr>
          <w:lang w:eastAsia="en-GB"/>
        </w:rPr>
        <w:t xml:space="preserve">, as her fear </w:t>
      </w:r>
      <w:r w:rsidR="00B76B27" w:rsidRPr="00D91F48">
        <w:rPr>
          <w:lang w:val="en-US" w:eastAsia="en-GB"/>
        </w:rPr>
        <w:t>of</w:t>
      </w:r>
      <w:r w:rsidR="00B76B27" w:rsidRPr="00D91F48">
        <w:rPr>
          <w:lang w:eastAsia="en-GB"/>
        </w:rPr>
        <w:t xml:space="preserve"> </w:t>
      </w:r>
      <w:r w:rsidR="006C4F53" w:rsidRPr="00D91F48">
        <w:rPr>
          <w:lang w:eastAsia="en-GB"/>
        </w:rPr>
        <w:t xml:space="preserve">danger and persecution in Ethiopia </w:t>
      </w:r>
      <w:r w:rsidR="007D2D0F" w:rsidRPr="00D91F48">
        <w:rPr>
          <w:lang w:val="en-US" w:eastAsia="en-GB"/>
        </w:rPr>
        <w:t>was</w:t>
      </w:r>
      <w:r w:rsidR="007D2D0F" w:rsidRPr="00D91F48">
        <w:rPr>
          <w:lang w:eastAsia="en-GB"/>
        </w:rPr>
        <w:t xml:space="preserve"> </w:t>
      </w:r>
      <w:r w:rsidR="006C4F53" w:rsidRPr="00D91F48">
        <w:rPr>
          <w:lang w:eastAsia="en-GB"/>
        </w:rPr>
        <w:t xml:space="preserve">not one of the permitted grounds within the H&amp;C application procedure. In addition, the lawyer noted that the complainant’s ties with her daughter and grandchildren in Canada would be only one of the factors in the H&amp;C application process and that it would not </w:t>
      </w:r>
      <w:r w:rsidRPr="00D91F48">
        <w:rPr>
          <w:lang w:eastAsia="en-GB"/>
        </w:rPr>
        <w:t>“</w:t>
      </w:r>
      <w:r w:rsidR="006C4F53" w:rsidRPr="00D91F48">
        <w:rPr>
          <w:lang w:eastAsia="en-GB"/>
        </w:rPr>
        <w:t>determine the application</w:t>
      </w:r>
      <w:r w:rsidRPr="00D91F48">
        <w:rPr>
          <w:lang w:eastAsia="en-GB"/>
        </w:rPr>
        <w:t>”</w:t>
      </w:r>
      <w:r w:rsidR="006C4F53" w:rsidRPr="00D91F48">
        <w:rPr>
          <w:lang w:eastAsia="en-GB"/>
        </w:rPr>
        <w:t xml:space="preserve"> in her favour. The complainant also states that she could not afford to pay the fee to initiate </w:t>
      </w:r>
      <w:r w:rsidR="00B76B27" w:rsidRPr="00D91F48">
        <w:rPr>
          <w:lang w:val="en-US" w:eastAsia="en-GB"/>
        </w:rPr>
        <w:t>the</w:t>
      </w:r>
      <w:r w:rsidR="00B76B27" w:rsidRPr="00D91F48">
        <w:rPr>
          <w:lang w:eastAsia="en-GB"/>
        </w:rPr>
        <w:t xml:space="preserve"> </w:t>
      </w:r>
      <w:r w:rsidR="006C4F53" w:rsidRPr="00D91F48">
        <w:rPr>
          <w:lang w:eastAsia="en-GB"/>
        </w:rPr>
        <w:t xml:space="preserve">application process, </w:t>
      </w:r>
      <w:r w:rsidR="00651A0C" w:rsidRPr="00D91F48">
        <w:rPr>
          <w:lang w:val="en-US" w:eastAsia="en-GB"/>
        </w:rPr>
        <w:t>nor</w:t>
      </w:r>
      <w:r w:rsidR="006C4F53" w:rsidRPr="00D91F48">
        <w:rPr>
          <w:lang w:eastAsia="en-GB"/>
        </w:rPr>
        <w:t xml:space="preserve"> could </w:t>
      </w:r>
      <w:r w:rsidR="00651A0C" w:rsidRPr="00D91F48">
        <w:rPr>
          <w:lang w:val="en-US" w:eastAsia="en-GB"/>
        </w:rPr>
        <w:t>she</w:t>
      </w:r>
      <w:r w:rsidR="00651A0C" w:rsidRPr="00D91F48">
        <w:rPr>
          <w:lang w:eastAsia="en-GB"/>
        </w:rPr>
        <w:t xml:space="preserve"> </w:t>
      </w:r>
      <w:r w:rsidR="006C4F53" w:rsidRPr="00D91F48">
        <w:rPr>
          <w:lang w:eastAsia="en-GB"/>
        </w:rPr>
        <w:t>afford a lawyer.</w:t>
      </w:r>
    </w:p>
    <w:p w:rsidR="0021273F" w:rsidRPr="00D91F48" w:rsidRDefault="001F142A" w:rsidP="00E66C13">
      <w:pPr>
        <w:pStyle w:val="SingleTxtG"/>
        <w:rPr>
          <w:lang w:eastAsia="en-GB"/>
        </w:rPr>
      </w:pPr>
      <w:r w:rsidRPr="00D91F48">
        <w:rPr>
          <w:lang w:eastAsia="en-GB"/>
        </w:rPr>
        <w:t>5.3</w:t>
      </w:r>
      <w:r w:rsidR="00384102" w:rsidRPr="00D91F48">
        <w:rPr>
          <w:lang w:eastAsia="en-GB"/>
        </w:rPr>
        <w:tab/>
      </w:r>
      <w:r w:rsidR="0021273F" w:rsidRPr="00D91F48">
        <w:rPr>
          <w:lang w:eastAsia="en-GB"/>
        </w:rPr>
        <w:t xml:space="preserve">The complainant further submits that the motion for </w:t>
      </w:r>
      <w:r w:rsidRPr="00D91F48">
        <w:rPr>
          <w:lang w:eastAsia="en-GB"/>
        </w:rPr>
        <w:t>“</w:t>
      </w:r>
      <w:r w:rsidR="0021273F" w:rsidRPr="00D91F48">
        <w:rPr>
          <w:lang w:eastAsia="en-GB"/>
        </w:rPr>
        <w:t>Stay of Removal</w:t>
      </w:r>
      <w:r w:rsidRPr="00D91F48">
        <w:rPr>
          <w:lang w:eastAsia="en-GB"/>
        </w:rPr>
        <w:t>”</w:t>
      </w:r>
      <w:r w:rsidR="0021273F" w:rsidRPr="00D91F48">
        <w:rPr>
          <w:lang w:eastAsia="en-GB"/>
        </w:rPr>
        <w:t xml:space="preserve"> is not an effective mechanism as in most cases it does not stop or delay the deportation and that the State party cannot </w:t>
      </w:r>
      <w:r w:rsidR="00B76B27" w:rsidRPr="00D91F48">
        <w:rPr>
          <w:lang w:val="en-US" w:eastAsia="en-GB"/>
        </w:rPr>
        <w:t>guarantee</w:t>
      </w:r>
      <w:r w:rsidR="00B76B27" w:rsidRPr="00D91F48">
        <w:rPr>
          <w:lang w:eastAsia="en-GB"/>
        </w:rPr>
        <w:t xml:space="preserve"> </w:t>
      </w:r>
      <w:r w:rsidR="0021273F" w:rsidRPr="00D91F48">
        <w:rPr>
          <w:lang w:eastAsia="en-GB"/>
        </w:rPr>
        <w:t>that lodging such a motion would stop her deportation.</w:t>
      </w:r>
    </w:p>
    <w:p w:rsidR="004B6094" w:rsidRPr="00D91F48" w:rsidRDefault="001F142A" w:rsidP="001F142A">
      <w:pPr>
        <w:pStyle w:val="H23G"/>
      </w:pPr>
      <w:r w:rsidRPr="00D91F48">
        <w:tab/>
      </w:r>
      <w:r w:rsidRPr="00D91F48">
        <w:tab/>
      </w:r>
      <w:r w:rsidR="004B6094" w:rsidRPr="00D91F48">
        <w:t>The State party’s further observations</w:t>
      </w:r>
    </w:p>
    <w:p w:rsidR="00655015" w:rsidRPr="00D91F48" w:rsidRDefault="008E312D" w:rsidP="001F142A">
      <w:pPr>
        <w:pStyle w:val="SingleTxtG"/>
      </w:pPr>
      <w:r w:rsidRPr="00D91F48">
        <w:rPr>
          <w:bCs/>
        </w:rPr>
        <w:t>6.1</w:t>
      </w:r>
      <w:r w:rsidR="00384102" w:rsidRPr="00D91F48">
        <w:rPr>
          <w:bCs/>
        </w:rPr>
        <w:tab/>
      </w:r>
      <w:r w:rsidR="0055175E" w:rsidRPr="00D91F48">
        <w:rPr>
          <w:bCs/>
        </w:rPr>
        <w:t>By Note Verbale of 24 September 2013, the State party submitted its further observations.</w:t>
      </w:r>
      <w:r w:rsidR="006F3C4A" w:rsidRPr="00D91F48">
        <w:rPr>
          <w:bCs/>
        </w:rPr>
        <w:t xml:space="preserve"> </w:t>
      </w:r>
      <w:r w:rsidR="00D11573" w:rsidRPr="00D91F48">
        <w:rPr>
          <w:bCs/>
        </w:rPr>
        <w:t>I</w:t>
      </w:r>
      <w:r w:rsidR="00C1636F" w:rsidRPr="00D91F48">
        <w:t>t</w:t>
      </w:r>
      <w:r w:rsidR="006F3C4A" w:rsidRPr="00D91F48">
        <w:t xml:space="preserve"> reiterates </w:t>
      </w:r>
      <w:r w:rsidR="00C4775F" w:rsidRPr="00D91F48">
        <w:t>its previous observations on the author’s failure to exhaust domestic remedies, for failing to apply for judicial review of the PPRA decision and for failure to file a</w:t>
      </w:r>
      <w:r w:rsidR="00D779C8" w:rsidRPr="00D91F48">
        <w:t>n</w:t>
      </w:r>
      <w:r w:rsidR="00C4775F" w:rsidRPr="00D91F48">
        <w:t xml:space="preserve"> H&amp;C application.</w:t>
      </w:r>
      <w:r w:rsidRPr="00D91F48">
        <w:t xml:space="preserve"> It also reiterates that an application to judicially review a negative PRRA decision can be combined with an application for a judicial stay of removal.</w:t>
      </w:r>
      <w:r w:rsidR="00217F81" w:rsidRPr="00D91F48">
        <w:t xml:space="preserve"> </w:t>
      </w:r>
    </w:p>
    <w:p w:rsidR="004B6094" w:rsidRPr="00D91F48" w:rsidRDefault="001F142A" w:rsidP="001F142A">
      <w:pPr>
        <w:pStyle w:val="SingleTxtG"/>
      </w:pPr>
      <w:r w:rsidRPr="00D91F48">
        <w:t>6.2</w:t>
      </w:r>
      <w:r w:rsidR="00384102" w:rsidRPr="00D91F48">
        <w:tab/>
      </w:r>
      <w:r w:rsidR="007C4A8D" w:rsidRPr="00D91F48">
        <w:t xml:space="preserve">As to the opinion of a lawyer concerning her chances of success within the H&amp;C application procedure, the State party </w:t>
      </w:r>
      <w:r w:rsidR="004B6094" w:rsidRPr="00D91F48">
        <w:t xml:space="preserve">submits that the </w:t>
      </w:r>
      <w:r w:rsidR="007C4A8D" w:rsidRPr="00D91F48">
        <w:t>complainant’s lawyer’s</w:t>
      </w:r>
      <w:r w:rsidR="004B6094" w:rsidRPr="00D91F48">
        <w:t xml:space="preserve"> statements or opinions are not evidence and cannot in and of themselves support a view that the H&amp;C application process is not an effective remedy.</w:t>
      </w:r>
      <w:r w:rsidR="00FA4AEA" w:rsidRPr="00D91F48">
        <w:rPr>
          <w:rStyle w:val="FootnoteReference"/>
        </w:rPr>
        <w:footnoteReference w:id="19"/>
      </w:r>
      <w:r w:rsidR="004B6094" w:rsidRPr="00D91F48">
        <w:t xml:space="preserve"> </w:t>
      </w:r>
    </w:p>
    <w:p w:rsidR="004B6094" w:rsidRPr="00D91F48" w:rsidRDefault="001F142A" w:rsidP="0001384A">
      <w:pPr>
        <w:pStyle w:val="SingleTxtG"/>
      </w:pPr>
      <w:r w:rsidRPr="00D91F48">
        <w:t>6.3</w:t>
      </w:r>
      <w:r w:rsidR="00384102" w:rsidRPr="00D91F48">
        <w:tab/>
      </w:r>
      <w:r w:rsidR="002A7175" w:rsidRPr="00D91F48">
        <w:t xml:space="preserve">In </w:t>
      </w:r>
      <w:r w:rsidR="00B76B27" w:rsidRPr="00D91F48">
        <w:rPr>
          <w:lang w:val="en-US"/>
        </w:rPr>
        <w:t xml:space="preserve">the </w:t>
      </w:r>
      <w:r w:rsidR="002A7175" w:rsidRPr="00D91F48">
        <w:t xml:space="preserve">light of the above, the State party </w:t>
      </w:r>
      <w:r w:rsidR="00E506B7" w:rsidRPr="00D91F48">
        <w:t xml:space="preserve">reiterates its </w:t>
      </w:r>
      <w:r w:rsidR="002A7175" w:rsidRPr="00D91F48">
        <w:t xml:space="preserve">request </w:t>
      </w:r>
      <w:r w:rsidR="004B6094" w:rsidRPr="00D91F48">
        <w:t xml:space="preserve">that the </w:t>
      </w:r>
      <w:r w:rsidR="002A7175" w:rsidRPr="00D91F48">
        <w:t>complainant</w:t>
      </w:r>
      <w:r w:rsidR="004B6094" w:rsidRPr="00D91F48">
        <w:t xml:space="preserve">’s communication </w:t>
      </w:r>
      <w:r w:rsidR="00B76B27" w:rsidRPr="00D91F48">
        <w:rPr>
          <w:lang w:val="en-US"/>
        </w:rPr>
        <w:t>be</w:t>
      </w:r>
      <w:r w:rsidR="00B76B27" w:rsidRPr="00D91F48">
        <w:t xml:space="preserve"> </w:t>
      </w:r>
      <w:r w:rsidR="004B6094" w:rsidRPr="00D91F48">
        <w:t>considered by th</w:t>
      </w:r>
      <w:r w:rsidR="002A7175" w:rsidRPr="00D91F48">
        <w:t>e</w:t>
      </w:r>
      <w:r w:rsidR="004B6094" w:rsidRPr="00D91F48">
        <w:t xml:space="preserve"> Committee to be inadmissible for non-exhaustion of domestic remedies.</w:t>
      </w:r>
    </w:p>
    <w:p w:rsidR="004B6094" w:rsidRPr="00D91F48" w:rsidRDefault="0071718B" w:rsidP="00647889">
      <w:pPr>
        <w:pStyle w:val="SingleTxtG"/>
      </w:pPr>
      <w:r w:rsidRPr="00D91F48">
        <w:t>6.</w:t>
      </w:r>
      <w:r w:rsidR="008E312D" w:rsidRPr="00D91F48">
        <w:t>4</w:t>
      </w:r>
      <w:r w:rsidR="00384102" w:rsidRPr="00D91F48">
        <w:tab/>
      </w:r>
      <w:r w:rsidR="00647889" w:rsidRPr="00D91F48">
        <w:rPr>
          <w:lang w:val="en-US"/>
        </w:rPr>
        <w:t>T</w:t>
      </w:r>
      <w:r w:rsidR="001C31D7" w:rsidRPr="00D91F48">
        <w:t xml:space="preserve">he State party </w:t>
      </w:r>
      <w:r w:rsidR="004B6094" w:rsidRPr="00D91F48">
        <w:t xml:space="preserve">submits that, to the extent that any of the </w:t>
      </w:r>
      <w:r w:rsidR="001C31D7" w:rsidRPr="00D91F48">
        <w:t>complainant</w:t>
      </w:r>
      <w:r w:rsidR="004B6094" w:rsidRPr="00D91F48">
        <w:t>’s allegations about the deficiencies in the judicial review system may have had a direct bearing on the asse</w:t>
      </w:r>
      <w:r w:rsidR="00BC1E6E" w:rsidRPr="00D91F48">
        <w:t>ssment of</w:t>
      </w:r>
      <w:r w:rsidR="004B6094" w:rsidRPr="00D91F48">
        <w:t xml:space="preserve"> </w:t>
      </w:r>
      <w:r w:rsidR="001C31D7" w:rsidRPr="00D91F48">
        <w:t xml:space="preserve">her </w:t>
      </w:r>
      <w:r w:rsidR="006F230E" w:rsidRPr="00D91F48">
        <w:t>claim for protection</w:t>
      </w:r>
      <w:r w:rsidR="004B6094" w:rsidRPr="00D91F48">
        <w:t xml:space="preserve">, </w:t>
      </w:r>
      <w:r w:rsidR="006F230E" w:rsidRPr="00D91F48">
        <w:t>th</w:t>
      </w:r>
      <w:r w:rsidR="00B76B27" w:rsidRPr="00D91F48">
        <w:rPr>
          <w:lang w:val="en-US"/>
        </w:rPr>
        <w:t>o</w:t>
      </w:r>
      <w:r w:rsidR="006F230E" w:rsidRPr="00D91F48">
        <w:t>se claims</w:t>
      </w:r>
      <w:r w:rsidR="004B6094" w:rsidRPr="00D91F48">
        <w:t xml:space="preserve"> could and should have been raised first before the Federal Court itself and, on appeal with leave, to the Supreme Court of Canada.</w:t>
      </w:r>
      <w:r w:rsidR="00FA4AEA" w:rsidRPr="00D91F48">
        <w:rPr>
          <w:rStyle w:val="FootnoteReference"/>
        </w:rPr>
        <w:footnoteReference w:id="20"/>
      </w:r>
      <w:r w:rsidR="00FB5491" w:rsidRPr="00D91F48">
        <w:t xml:space="preserve"> </w:t>
      </w:r>
      <w:r w:rsidR="009F6C1B" w:rsidRPr="00D91F48">
        <w:t>T</w:t>
      </w:r>
      <w:r w:rsidR="004B6094" w:rsidRPr="00D91F48">
        <w:t xml:space="preserve">o raise new issues, whether general or specific, before </w:t>
      </w:r>
      <w:r w:rsidR="00B76B27" w:rsidRPr="00D91F48">
        <w:rPr>
          <w:lang w:val="en-US"/>
        </w:rPr>
        <w:t>the</w:t>
      </w:r>
      <w:r w:rsidR="00B76B27" w:rsidRPr="00D91F48">
        <w:t xml:space="preserve"> </w:t>
      </w:r>
      <w:r w:rsidR="004B6094" w:rsidRPr="00D91F48">
        <w:t>Committee is a clear example of non-exhaustion of domestic remedies</w:t>
      </w:r>
      <w:r w:rsidR="00B76B27" w:rsidRPr="00D91F48">
        <w:rPr>
          <w:lang w:val="en-US"/>
        </w:rPr>
        <w:t>,</w:t>
      </w:r>
      <w:r w:rsidR="004B6094" w:rsidRPr="00D91F48">
        <w:t xml:space="preserve"> as </w:t>
      </w:r>
      <w:r w:rsidR="00296342" w:rsidRPr="00D91F48">
        <w:t xml:space="preserve">the State party’s domestic </w:t>
      </w:r>
      <w:r w:rsidR="003527BE" w:rsidRPr="00D91F48">
        <w:t>authorities</w:t>
      </w:r>
      <w:r w:rsidR="004B6094" w:rsidRPr="00D91F48">
        <w:t xml:space="preserve"> have not been given an opportunity to address allegations of specific or systematic defects and correct them if they are found to exist.</w:t>
      </w:r>
      <w:r w:rsidR="00217F81" w:rsidRPr="00D91F48">
        <w:t xml:space="preserve"> </w:t>
      </w:r>
    </w:p>
    <w:p w:rsidR="004B6094" w:rsidRPr="00D91F48" w:rsidRDefault="009A0592" w:rsidP="001F142A">
      <w:pPr>
        <w:pStyle w:val="SingleTxtG"/>
      </w:pPr>
      <w:r w:rsidRPr="00D91F48">
        <w:t>6.5</w:t>
      </w:r>
      <w:r w:rsidR="00384102" w:rsidRPr="00D91F48">
        <w:tab/>
      </w:r>
      <w:r w:rsidR="000C1F92" w:rsidRPr="00D91F48">
        <w:t xml:space="preserve">The State party further </w:t>
      </w:r>
      <w:r w:rsidR="00C4775F" w:rsidRPr="00D91F48">
        <w:t xml:space="preserve">reiterates that </w:t>
      </w:r>
      <w:r w:rsidR="000C1F92" w:rsidRPr="00D91F48">
        <w:t>the complainant’s failure to address the doubts about her story strongly supports the conclusion that the communication is insufficiently substantiated.</w:t>
      </w:r>
    </w:p>
    <w:p w:rsidR="004B6094" w:rsidRPr="00D91F48" w:rsidRDefault="00753C18" w:rsidP="0001384A">
      <w:pPr>
        <w:pStyle w:val="SingleTxtG"/>
      </w:pPr>
      <w:r w:rsidRPr="00D91F48">
        <w:t>6.</w:t>
      </w:r>
      <w:r w:rsidR="009A0592" w:rsidRPr="00D91F48">
        <w:t>6</w:t>
      </w:r>
      <w:r w:rsidR="00384102" w:rsidRPr="00D91F48">
        <w:tab/>
      </w:r>
      <w:r w:rsidR="004B6094" w:rsidRPr="00D91F48">
        <w:t xml:space="preserve">Finally, </w:t>
      </w:r>
      <w:r w:rsidR="00491D4F" w:rsidRPr="00D91F48">
        <w:t>the State party reiterates</w:t>
      </w:r>
      <w:r w:rsidR="004B6094" w:rsidRPr="00D91F48">
        <w:t xml:space="preserve"> that, even if the </w:t>
      </w:r>
      <w:r w:rsidR="00491D4F" w:rsidRPr="00D91F48">
        <w:t>complainant</w:t>
      </w:r>
      <w:r w:rsidR="004B6094" w:rsidRPr="00D91F48">
        <w:t xml:space="preserve"> is given the benefit of the doubt</w:t>
      </w:r>
      <w:r w:rsidR="006F230E" w:rsidRPr="00D91F48">
        <w:t xml:space="preserve"> concerning her alleged detention</w:t>
      </w:r>
      <w:r w:rsidR="004B6094" w:rsidRPr="00D91F48">
        <w:t xml:space="preserve">, at no point has </w:t>
      </w:r>
      <w:r w:rsidR="00491D4F" w:rsidRPr="00D91F48">
        <w:t>she</w:t>
      </w:r>
      <w:r w:rsidR="004B6094" w:rsidRPr="00D91F48">
        <w:t xml:space="preserve"> ever alleged that she was tortured or otherwise mistreated while in detention. </w:t>
      </w:r>
      <w:r w:rsidR="00697B86" w:rsidRPr="00D91F48">
        <w:rPr>
          <w:lang w:val="en-US"/>
        </w:rPr>
        <w:t>Thus</w:t>
      </w:r>
      <w:r w:rsidR="004B6094" w:rsidRPr="00D91F48">
        <w:t xml:space="preserve">, even if it is accepted that the </w:t>
      </w:r>
      <w:r w:rsidR="00491D4F" w:rsidRPr="00D91F48">
        <w:t>complainant</w:t>
      </w:r>
      <w:r w:rsidR="004B6094" w:rsidRPr="00D91F48">
        <w:t xml:space="preserve"> </w:t>
      </w:r>
      <w:r w:rsidR="00697B86" w:rsidRPr="00D91F48">
        <w:rPr>
          <w:lang w:val="en-US"/>
        </w:rPr>
        <w:t>has previously been</w:t>
      </w:r>
      <w:r w:rsidR="00697B86" w:rsidRPr="00D91F48">
        <w:t xml:space="preserve"> </w:t>
      </w:r>
      <w:r w:rsidR="004B6094" w:rsidRPr="00D91F48">
        <w:t xml:space="preserve">detained, </w:t>
      </w:r>
      <w:r w:rsidR="00697B86" w:rsidRPr="00D91F48">
        <w:rPr>
          <w:lang w:val="en-US"/>
        </w:rPr>
        <w:t>that</w:t>
      </w:r>
      <w:r w:rsidR="00697B86" w:rsidRPr="00D91F48">
        <w:t xml:space="preserve"> </w:t>
      </w:r>
      <w:r w:rsidR="004B6094" w:rsidRPr="00D91F48">
        <w:t xml:space="preserve">in no way supports a finding that she would be tortured and killed if </w:t>
      </w:r>
      <w:r w:rsidR="001B6C93" w:rsidRPr="00D91F48">
        <w:rPr>
          <w:lang w:val="en-US"/>
        </w:rPr>
        <w:t xml:space="preserve">she were </w:t>
      </w:r>
      <w:r w:rsidR="004B6094" w:rsidRPr="00D91F48">
        <w:t>detained again.</w:t>
      </w:r>
      <w:r w:rsidR="00491D4F" w:rsidRPr="00D91F48">
        <w:t xml:space="preserve"> </w:t>
      </w:r>
      <w:r w:rsidR="00697B86" w:rsidRPr="00D91F48">
        <w:rPr>
          <w:lang w:val="en-US"/>
        </w:rPr>
        <w:t>T</w:t>
      </w:r>
      <w:r w:rsidR="00491D4F" w:rsidRPr="00D91F48">
        <w:t xml:space="preserve">he State party </w:t>
      </w:r>
      <w:r w:rsidR="00697B86" w:rsidRPr="00D91F48">
        <w:rPr>
          <w:lang w:val="en-US"/>
        </w:rPr>
        <w:t xml:space="preserve">therefore </w:t>
      </w:r>
      <w:r w:rsidR="004B6094" w:rsidRPr="00D91F48">
        <w:t xml:space="preserve">maintains that the </w:t>
      </w:r>
      <w:r w:rsidR="00491D4F" w:rsidRPr="00D91F48">
        <w:t>complainant</w:t>
      </w:r>
      <w:r w:rsidR="004B6094" w:rsidRPr="00D91F48">
        <w:t xml:space="preserve"> has failed to establish that she faces a foreseeable, real and personal risk of torture if returned to Ethiopia.</w:t>
      </w:r>
      <w:r w:rsidR="00FB5491" w:rsidRPr="00D91F48">
        <w:t xml:space="preserve"> </w:t>
      </w:r>
    </w:p>
    <w:p w:rsidR="004B6094" w:rsidRPr="00D91F48" w:rsidRDefault="00FB5491" w:rsidP="00E66C13">
      <w:pPr>
        <w:pStyle w:val="SingleTxtG"/>
      </w:pPr>
      <w:r w:rsidRPr="00D91F48">
        <w:t>6.</w:t>
      </w:r>
      <w:r w:rsidR="009A0592" w:rsidRPr="00D91F48">
        <w:t>7</w:t>
      </w:r>
      <w:r w:rsidR="00384102" w:rsidRPr="00D91F48">
        <w:tab/>
      </w:r>
      <w:r w:rsidRPr="00D91F48">
        <w:t>Taking into account the above, the State party requests that the</w:t>
      </w:r>
      <w:r w:rsidR="004B6094" w:rsidRPr="00D91F48">
        <w:t xml:space="preserve"> Committee consider the </w:t>
      </w:r>
      <w:r w:rsidRPr="00D91F48">
        <w:t>present</w:t>
      </w:r>
      <w:r w:rsidR="004B6094" w:rsidRPr="00D91F48">
        <w:t xml:space="preserve"> communication to be inadmissible on the grounds of non-exhaustion of domestic remedies. In the alternative, the </w:t>
      </w:r>
      <w:r w:rsidRPr="00D91F48">
        <w:t>complainant</w:t>
      </w:r>
      <w:r w:rsidR="004B6094" w:rsidRPr="00D91F48">
        <w:t xml:space="preserve">’s communication is inadmissible </w:t>
      </w:r>
      <w:r w:rsidR="00697B86" w:rsidRPr="00D91F48">
        <w:rPr>
          <w:lang w:val="en-US"/>
        </w:rPr>
        <w:t>on the grounds of</w:t>
      </w:r>
      <w:r w:rsidR="00697B86" w:rsidRPr="00D91F48">
        <w:t xml:space="preserve"> </w:t>
      </w:r>
      <w:r w:rsidR="004B6094" w:rsidRPr="00D91F48">
        <w:t>non-substantiation.</w:t>
      </w:r>
      <w:r w:rsidR="00217F81" w:rsidRPr="00D91F48">
        <w:t xml:space="preserve"> </w:t>
      </w:r>
      <w:r w:rsidR="004B6094" w:rsidRPr="00D91F48">
        <w:t xml:space="preserve">If the Committee </w:t>
      </w:r>
      <w:r w:rsidR="006F230E" w:rsidRPr="00D91F48">
        <w:t>considers</w:t>
      </w:r>
      <w:r w:rsidR="004B6094" w:rsidRPr="00D91F48">
        <w:t xml:space="preserve"> the communication to be admissible, </w:t>
      </w:r>
      <w:r w:rsidRPr="00D91F48">
        <w:t>the State party</w:t>
      </w:r>
      <w:r w:rsidR="004B6094" w:rsidRPr="00D91F48">
        <w:t xml:space="preserve"> </w:t>
      </w:r>
      <w:r w:rsidR="006F230E" w:rsidRPr="00D91F48">
        <w:t>requests</w:t>
      </w:r>
      <w:r w:rsidR="004B6094" w:rsidRPr="00D91F48">
        <w:t xml:space="preserve"> the Committee to consider </w:t>
      </w:r>
      <w:r w:rsidR="00697B86" w:rsidRPr="00D91F48">
        <w:rPr>
          <w:lang w:val="en-US"/>
        </w:rPr>
        <w:t>the</w:t>
      </w:r>
      <w:r w:rsidR="00697B86" w:rsidRPr="00D91F48">
        <w:t xml:space="preserve"> </w:t>
      </w:r>
      <w:r w:rsidR="004B6094" w:rsidRPr="00D91F48">
        <w:t xml:space="preserve">communication to be without merit. </w:t>
      </w:r>
    </w:p>
    <w:p w:rsidR="004876DE" w:rsidRPr="00D91F48" w:rsidRDefault="004876DE" w:rsidP="001F142A">
      <w:pPr>
        <w:pStyle w:val="H23G"/>
      </w:pPr>
      <w:r w:rsidRPr="00D91F48">
        <w:tab/>
      </w:r>
      <w:r w:rsidRPr="00D91F48">
        <w:tab/>
        <w:t>Issues and proceedings before the Committee</w:t>
      </w:r>
    </w:p>
    <w:p w:rsidR="004876DE" w:rsidRPr="00D91F48" w:rsidRDefault="001F142A" w:rsidP="001F142A">
      <w:pPr>
        <w:pStyle w:val="H4G"/>
      </w:pPr>
      <w:r w:rsidRPr="00D91F48">
        <w:tab/>
      </w:r>
      <w:r w:rsidRPr="00D91F48">
        <w:tab/>
      </w:r>
      <w:r w:rsidR="004876DE" w:rsidRPr="00D91F48">
        <w:t>Consideration of admissibility</w:t>
      </w:r>
    </w:p>
    <w:p w:rsidR="004876DE" w:rsidRPr="00D91F48" w:rsidRDefault="005D24D1" w:rsidP="00491416">
      <w:pPr>
        <w:pStyle w:val="SingleTxtG"/>
        <w:spacing w:line="240" w:lineRule="auto"/>
        <w:rPr>
          <w:bCs/>
        </w:rPr>
      </w:pPr>
      <w:r w:rsidRPr="00D91F48">
        <w:rPr>
          <w:bCs/>
        </w:rPr>
        <w:t>7</w:t>
      </w:r>
      <w:r w:rsidR="004876DE" w:rsidRPr="00D91F48">
        <w:rPr>
          <w:bCs/>
        </w:rPr>
        <w:t>.1</w:t>
      </w:r>
      <w:r w:rsidR="004876DE" w:rsidRPr="00D91F48">
        <w:rPr>
          <w:bCs/>
        </w:rPr>
        <w:tab/>
        <w:t xml:space="preserve">Before considering any claims contained in a communication, the Committee must decide whether it is admissible under </w:t>
      </w:r>
      <w:r w:rsidR="00217F81" w:rsidRPr="00D91F48">
        <w:rPr>
          <w:bCs/>
        </w:rPr>
        <w:t>article </w:t>
      </w:r>
      <w:r w:rsidR="004876DE" w:rsidRPr="00D91F48">
        <w:rPr>
          <w:bCs/>
        </w:rPr>
        <w:t xml:space="preserve">22 of the Convention. The Committee has ascertained, as it is required to do under </w:t>
      </w:r>
      <w:r w:rsidR="00217F81" w:rsidRPr="00D91F48">
        <w:rPr>
          <w:bCs/>
        </w:rPr>
        <w:t>article </w:t>
      </w:r>
      <w:r w:rsidR="004876DE" w:rsidRPr="00D91F48">
        <w:rPr>
          <w:bCs/>
        </w:rPr>
        <w:t>22, paragraph 5</w:t>
      </w:r>
      <w:r w:rsidR="001F142A" w:rsidRPr="00D91F48">
        <w:rPr>
          <w:bCs/>
        </w:rPr>
        <w:t> </w:t>
      </w:r>
      <w:r w:rsidR="004876DE" w:rsidRPr="00D91F48">
        <w:rPr>
          <w:bCs/>
        </w:rPr>
        <w:t xml:space="preserve">(a), of the Convention, that </w:t>
      </w:r>
      <w:r w:rsidR="00F455A2" w:rsidRPr="00D91F48">
        <w:rPr>
          <w:bCs/>
        </w:rPr>
        <w:t>the same matter has not been</w:t>
      </w:r>
      <w:r w:rsidR="00697B86" w:rsidRPr="00D91F48">
        <w:rPr>
          <w:bCs/>
        </w:rPr>
        <w:t>,</w:t>
      </w:r>
      <w:r w:rsidR="004876DE" w:rsidRPr="00D91F48">
        <w:rPr>
          <w:bCs/>
        </w:rPr>
        <w:t xml:space="preserve"> and is not being</w:t>
      </w:r>
      <w:r w:rsidR="00697B86" w:rsidRPr="00D91F48">
        <w:rPr>
          <w:bCs/>
        </w:rPr>
        <w:t>,</w:t>
      </w:r>
      <w:r w:rsidR="004876DE" w:rsidRPr="00D91F48">
        <w:rPr>
          <w:bCs/>
        </w:rPr>
        <w:t xml:space="preserve"> examined under another procedure of international investigation or settlement.</w:t>
      </w:r>
    </w:p>
    <w:p w:rsidR="005C4047" w:rsidRPr="00D91F48" w:rsidRDefault="001F142A" w:rsidP="0001384A">
      <w:pPr>
        <w:pStyle w:val="SingleTxtG"/>
      </w:pPr>
      <w:r w:rsidRPr="00D91F48">
        <w:rPr>
          <w:bCs/>
        </w:rPr>
        <w:t>7.2</w:t>
      </w:r>
      <w:r w:rsidR="00384102" w:rsidRPr="00D91F48">
        <w:rPr>
          <w:bCs/>
        </w:rPr>
        <w:tab/>
      </w:r>
      <w:r w:rsidR="005C4047" w:rsidRPr="00D91F48">
        <w:t>The Committee takes note of the State party</w:t>
      </w:r>
      <w:r w:rsidR="00217F81" w:rsidRPr="00D91F48">
        <w:rPr>
          <w:lang w:val="en-US"/>
        </w:rPr>
        <w:t>’</w:t>
      </w:r>
      <w:r w:rsidR="005C4047" w:rsidRPr="00D91F48">
        <w:t xml:space="preserve">s argument that the communication should be declared inadmissible under </w:t>
      </w:r>
      <w:r w:rsidR="00217F81" w:rsidRPr="00D91F48">
        <w:t>article </w:t>
      </w:r>
      <w:r w:rsidR="005C4047" w:rsidRPr="00D91F48">
        <w:t>22, paragraph 5</w:t>
      </w:r>
      <w:r w:rsidRPr="00D91F48">
        <w:rPr>
          <w:lang w:val="en-US"/>
        </w:rPr>
        <w:t> </w:t>
      </w:r>
      <w:r w:rsidR="005C4047" w:rsidRPr="00D91F48">
        <w:t xml:space="preserve">(b), of the Convention, as the complainant failed to apply to </w:t>
      </w:r>
      <w:r w:rsidR="005C4047" w:rsidRPr="00D91F48">
        <w:rPr>
          <w:lang w:val="en-US"/>
        </w:rPr>
        <w:t>the Federal Court for</w:t>
      </w:r>
      <w:r w:rsidR="004E5936" w:rsidRPr="00D91F48">
        <w:rPr>
          <w:lang w:val="en-US"/>
        </w:rPr>
        <w:t xml:space="preserve"> </w:t>
      </w:r>
      <w:r w:rsidR="005C4047" w:rsidRPr="00D91F48">
        <w:rPr>
          <w:lang w:val="en-US"/>
        </w:rPr>
        <w:t xml:space="preserve">leave to apply for </w:t>
      </w:r>
      <w:r w:rsidR="00697B86" w:rsidRPr="00D91F48">
        <w:rPr>
          <w:lang w:val="en-US"/>
        </w:rPr>
        <w:t xml:space="preserve">a </w:t>
      </w:r>
      <w:r w:rsidR="005C4047" w:rsidRPr="00D91F48">
        <w:rPr>
          <w:lang w:val="en-US"/>
        </w:rPr>
        <w:t xml:space="preserve">judicial review of the PRRA decision dated 1 June 2012, and did not apply </w:t>
      </w:r>
      <w:r w:rsidR="005C4047" w:rsidRPr="00D91F48">
        <w:rPr>
          <w:bCs/>
          <w:lang w:val="en-US"/>
        </w:rPr>
        <w:t xml:space="preserve">for permanent resident status in Canada </w:t>
      </w:r>
      <w:r w:rsidR="004E5936" w:rsidRPr="00D91F48">
        <w:rPr>
          <w:bCs/>
          <w:lang w:val="en-US"/>
        </w:rPr>
        <w:t>on</w:t>
      </w:r>
      <w:r w:rsidR="005C4047" w:rsidRPr="00D91F48">
        <w:rPr>
          <w:bCs/>
          <w:lang w:val="en-US"/>
        </w:rPr>
        <w:t xml:space="preserve"> humanitarian and compassionate </w:t>
      </w:r>
      <w:r w:rsidR="004E5936" w:rsidRPr="00D91F48">
        <w:rPr>
          <w:bCs/>
          <w:lang w:val="en-US"/>
        </w:rPr>
        <w:t>grounds</w:t>
      </w:r>
      <w:r w:rsidR="005C4047" w:rsidRPr="00D91F48">
        <w:rPr>
          <w:lang w:val="en-US"/>
        </w:rPr>
        <w:t>. The Committee also takes note of the complainant’s</w:t>
      </w:r>
      <w:r w:rsidR="005C4047" w:rsidRPr="00D91F48">
        <w:t xml:space="preserve"> argument that </w:t>
      </w:r>
      <w:r w:rsidR="007A6E55" w:rsidRPr="00D91F48">
        <w:t>the remedies</w:t>
      </w:r>
      <w:r w:rsidR="004E5936" w:rsidRPr="00D91F48">
        <w:t xml:space="preserve"> in question</w:t>
      </w:r>
      <w:r w:rsidR="007A6E55" w:rsidRPr="00D91F48">
        <w:t xml:space="preserve"> would not constitute an effective remedy in her case</w:t>
      </w:r>
      <w:r w:rsidR="005C4047" w:rsidRPr="00D91F48">
        <w:t xml:space="preserve">. </w:t>
      </w:r>
    </w:p>
    <w:p w:rsidR="005C4047" w:rsidRPr="00D91F48" w:rsidRDefault="005C4047" w:rsidP="00DA4363">
      <w:pPr>
        <w:pStyle w:val="SingleTxtG"/>
        <w:rPr>
          <w:bCs/>
        </w:rPr>
      </w:pPr>
      <w:r w:rsidRPr="00D91F48">
        <w:rPr>
          <w:bCs/>
        </w:rPr>
        <w:t>7.3</w:t>
      </w:r>
      <w:r w:rsidR="001F142A" w:rsidRPr="00D91F48">
        <w:rPr>
          <w:bCs/>
        </w:rPr>
        <w:tab/>
      </w:r>
      <w:r w:rsidR="00421676" w:rsidRPr="00D91F48">
        <w:t>The Committee notes that</w:t>
      </w:r>
      <w:r w:rsidR="00BD1043" w:rsidRPr="00D91F48">
        <w:rPr>
          <w:lang w:val="en-US"/>
        </w:rPr>
        <w:t>,</w:t>
      </w:r>
      <w:r w:rsidR="00421676" w:rsidRPr="00D91F48">
        <w:t xml:space="preserve"> according to </w:t>
      </w:r>
      <w:r w:rsidR="00BD1043" w:rsidRPr="00D91F48">
        <w:rPr>
          <w:lang w:val="en-US"/>
        </w:rPr>
        <w:t>s</w:t>
      </w:r>
      <w:r w:rsidR="00421676" w:rsidRPr="00D91F48">
        <w:t xml:space="preserve">ection 18.1(4) of the Canadian Federal Courts Act, the Federal Court may quash a </w:t>
      </w:r>
      <w:r w:rsidR="005700C5" w:rsidRPr="00D91F48">
        <w:t xml:space="preserve">negative PRRA </w:t>
      </w:r>
      <w:r w:rsidR="00421676" w:rsidRPr="00D91F48">
        <w:t xml:space="preserve">decision if satisfied that </w:t>
      </w:r>
      <w:r w:rsidR="00DA4363" w:rsidRPr="00D91F48">
        <w:rPr>
          <w:lang w:val="en-US"/>
        </w:rPr>
        <w:t>a</w:t>
      </w:r>
      <w:r w:rsidR="00421676" w:rsidRPr="00D91F48">
        <w:t xml:space="preserve"> tribunal acted without jurisdiction; </w:t>
      </w:r>
      <w:r w:rsidR="00697B86" w:rsidRPr="00D91F48">
        <w:rPr>
          <w:lang w:val="en-US"/>
        </w:rPr>
        <w:t xml:space="preserve">that it </w:t>
      </w:r>
      <w:r w:rsidR="00421676" w:rsidRPr="00D91F48">
        <w:t xml:space="preserve">failed to observe a principle of natural justice or procedural fairness; </w:t>
      </w:r>
      <w:r w:rsidR="00697B86" w:rsidRPr="00D91F48">
        <w:rPr>
          <w:lang w:val="en-US"/>
        </w:rPr>
        <w:t xml:space="preserve">that it </w:t>
      </w:r>
      <w:r w:rsidR="00421676" w:rsidRPr="00D91F48">
        <w:t xml:space="preserve">erred in law in making a decision; </w:t>
      </w:r>
      <w:r w:rsidR="00697B86" w:rsidRPr="00D91F48">
        <w:rPr>
          <w:lang w:val="en-US"/>
        </w:rPr>
        <w:t xml:space="preserve">that it </w:t>
      </w:r>
      <w:r w:rsidR="00421676" w:rsidRPr="00D91F48">
        <w:t xml:space="preserve">based its decision on an erroneous finding of fact; </w:t>
      </w:r>
      <w:r w:rsidR="00697B86" w:rsidRPr="00D91F48">
        <w:rPr>
          <w:lang w:val="en-US"/>
        </w:rPr>
        <w:t xml:space="preserve">that it </w:t>
      </w:r>
      <w:r w:rsidR="00421676" w:rsidRPr="00D91F48">
        <w:t xml:space="preserve">acted, or failed to act, by reason of fraud or perjured evidence; or </w:t>
      </w:r>
      <w:r w:rsidR="00697B86" w:rsidRPr="00D91F48">
        <w:rPr>
          <w:lang w:val="en-US"/>
        </w:rPr>
        <w:t xml:space="preserve">that it </w:t>
      </w:r>
      <w:r w:rsidR="00421676" w:rsidRPr="00D91F48">
        <w:t>acted in any other way that was contrary to law</w:t>
      </w:r>
      <w:r w:rsidR="00096E69" w:rsidRPr="00D91F48">
        <w:rPr>
          <w:lang w:val="en-US"/>
        </w:rPr>
        <w:t>.</w:t>
      </w:r>
      <w:r w:rsidR="005700C5" w:rsidRPr="00D91F48">
        <w:rPr>
          <w:rStyle w:val="FootnoteReference"/>
        </w:rPr>
        <w:footnoteReference w:id="21"/>
      </w:r>
      <w:r w:rsidR="00421676" w:rsidRPr="00D91F48">
        <w:t xml:space="preserve"> The Committee observes that none of the grounds above include a review on the merits of the complainant</w:t>
      </w:r>
      <w:r w:rsidR="00217F81" w:rsidRPr="00D91F48">
        <w:rPr>
          <w:lang w:val="en-US"/>
        </w:rPr>
        <w:t>’</w:t>
      </w:r>
      <w:r w:rsidR="00421676" w:rsidRPr="00D91F48">
        <w:t xml:space="preserve">s claim that </w:t>
      </w:r>
      <w:r w:rsidR="005700C5" w:rsidRPr="00D91F48">
        <w:t>s</w:t>
      </w:r>
      <w:r w:rsidR="00421676" w:rsidRPr="00D91F48">
        <w:t xml:space="preserve">he would be </w:t>
      </w:r>
      <w:r w:rsidR="0015655C" w:rsidRPr="00D91F48">
        <w:t>ill-treated</w:t>
      </w:r>
      <w:r w:rsidR="00421676" w:rsidRPr="00D91F48">
        <w:t xml:space="preserve"> if returned to </w:t>
      </w:r>
      <w:r w:rsidR="005700C5" w:rsidRPr="00D91F48">
        <w:t>Ethiopia</w:t>
      </w:r>
      <w:r w:rsidR="00421676" w:rsidRPr="00D91F48">
        <w:t>.</w:t>
      </w:r>
      <w:r w:rsidR="005700C5" w:rsidRPr="00D91F48">
        <w:rPr>
          <w:rStyle w:val="FootnoteReference"/>
        </w:rPr>
        <w:footnoteReference w:id="22"/>
      </w:r>
    </w:p>
    <w:p w:rsidR="00096E69" w:rsidRPr="00D91F48" w:rsidRDefault="005700C5" w:rsidP="00E66C13">
      <w:pPr>
        <w:pStyle w:val="SingleTxtG"/>
        <w:rPr>
          <w:lang w:val="en-US"/>
        </w:rPr>
      </w:pPr>
      <w:r w:rsidRPr="00D91F48">
        <w:rPr>
          <w:bCs/>
        </w:rPr>
        <w:t>7.4</w:t>
      </w:r>
      <w:r w:rsidR="00096E69" w:rsidRPr="00D91F48">
        <w:rPr>
          <w:bCs/>
        </w:rPr>
        <w:tab/>
      </w:r>
      <w:r w:rsidRPr="00D91F48">
        <w:rPr>
          <w:bCs/>
        </w:rPr>
        <w:t>Further, with regard to the complainant’s failure to apply for permanent residence on humanitarian and compassionate grounds</w:t>
      </w:r>
      <w:r w:rsidR="0015655C" w:rsidRPr="00D91F48">
        <w:rPr>
          <w:bCs/>
        </w:rPr>
        <w:t xml:space="preserve">, </w:t>
      </w:r>
      <w:r w:rsidR="0015655C" w:rsidRPr="00D91F48">
        <w:t xml:space="preserve">the Committee recalls that, at its twenty-fifth session, in its concluding observations </w:t>
      </w:r>
      <w:r w:rsidR="004E5936" w:rsidRPr="00D91F48">
        <w:t>concerning the examination of the third periodic</w:t>
      </w:r>
      <w:r w:rsidR="0015655C" w:rsidRPr="00D91F48">
        <w:t xml:space="preserve"> report of the State party, it considered the question of requests for ministerial stays on humanitarian grounds. It noted the apparent lack of independence of the civil servants deciding on such a remedy and the possibility that a person could be expelled while such an application was being considered. It </w:t>
      </w:r>
      <w:r w:rsidR="008B7B20" w:rsidRPr="00D91F48">
        <w:t>observed</w:t>
      </w:r>
      <w:r w:rsidR="0015655C" w:rsidRPr="00D91F48">
        <w:t xml:space="preserve"> that those circumstances could detract from effective protection of the rights covered by </w:t>
      </w:r>
      <w:r w:rsidR="00217F81" w:rsidRPr="00D91F48">
        <w:t>article </w:t>
      </w:r>
      <w:r w:rsidR="0015655C" w:rsidRPr="00D91F48">
        <w:t xml:space="preserve">3, </w:t>
      </w:r>
      <w:r w:rsidR="00217F81" w:rsidRPr="00D91F48">
        <w:t>paragraph </w:t>
      </w:r>
      <w:r w:rsidR="0015655C" w:rsidRPr="00D91F48">
        <w:t xml:space="preserve">1, of the Convention. It </w:t>
      </w:r>
      <w:r w:rsidR="008B7B20" w:rsidRPr="00D91F48">
        <w:t>concluded</w:t>
      </w:r>
      <w:r w:rsidR="0015655C" w:rsidRPr="00D91F48">
        <w:t xml:space="preserve"> that, although the right to assistance on humanitarian grounds may be a remedy under the law, such assistance is granted by a minister on purely humanitarian grounds, rather than on a legal basis, and is thus ex gratia in nature. Based on th</w:t>
      </w:r>
      <w:r w:rsidR="00BD1043" w:rsidRPr="00D91F48">
        <w:rPr>
          <w:lang w:val="en-US"/>
        </w:rPr>
        <w:t>o</w:t>
      </w:r>
      <w:r w:rsidR="0015655C" w:rsidRPr="00D91F48">
        <w:t xml:space="preserve">se considerations, the Committee concludes that, in the present case, the complainant’s failure to exhaust </w:t>
      </w:r>
      <w:r w:rsidR="00BD1043" w:rsidRPr="00D91F48">
        <w:rPr>
          <w:lang w:val="en-US"/>
        </w:rPr>
        <w:t>that</w:t>
      </w:r>
      <w:r w:rsidR="0015655C" w:rsidRPr="00D91F48">
        <w:t xml:space="preserve"> remedy does not constitute an obstacle to the admissibility of the complaint.</w:t>
      </w:r>
      <w:r w:rsidR="0015655C" w:rsidRPr="00D91F48">
        <w:rPr>
          <w:rStyle w:val="FootnoteReference"/>
        </w:rPr>
        <w:footnoteReference w:id="23"/>
      </w:r>
    </w:p>
    <w:p w:rsidR="005C4047" w:rsidRPr="00D91F48" w:rsidRDefault="00075017" w:rsidP="00E66C13">
      <w:pPr>
        <w:pStyle w:val="SingleTxtG"/>
      </w:pPr>
      <w:r w:rsidRPr="00D91F48">
        <w:t>7.5</w:t>
      </w:r>
      <w:r w:rsidR="00096E69" w:rsidRPr="00D91F48">
        <w:tab/>
      </w:r>
      <w:r w:rsidR="004E5936" w:rsidRPr="00D91F48">
        <w:t xml:space="preserve">The Committee considers the </w:t>
      </w:r>
      <w:r w:rsidR="0035590B" w:rsidRPr="00D91F48">
        <w:t>author’s</w:t>
      </w:r>
      <w:r w:rsidR="00217F81" w:rsidRPr="00D91F48">
        <w:t xml:space="preserve"> </w:t>
      </w:r>
      <w:r w:rsidR="004E5936" w:rsidRPr="00D91F48">
        <w:t xml:space="preserve">claim, </w:t>
      </w:r>
      <w:r w:rsidR="00BD1043" w:rsidRPr="00D91F48">
        <w:t xml:space="preserve">which </w:t>
      </w:r>
      <w:r w:rsidR="004E5936" w:rsidRPr="00D91F48">
        <w:t>rais</w:t>
      </w:r>
      <w:r w:rsidR="00BD1043" w:rsidRPr="00D91F48">
        <w:t>es</w:t>
      </w:r>
      <w:r w:rsidR="004E5936" w:rsidRPr="00D91F48">
        <w:t xml:space="preserve"> issues under </w:t>
      </w:r>
      <w:r w:rsidR="00217F81" w:rsidRPr="00D91F48">
        <w:t>article </w:t>
      </w:r>
      <w:r w:rsidR="004E5936" w:rsidRPr="00D91F48">
        <w:t>3 of the Covenant</w:t>
      </w:r>
      <w:r w:rsidR="00BD1043" w:rsidRPr="00D91F48">
        <w:t>,</w:t>
      </w:r>
      <w:r w:rsidR="004E5936" w:rsidRPr="00D91F48">
        <w:t xml:space="preserve"> to be sufficiently substantiated for </w:t>
      </w:r>
      <w:r w:rsidR="00BD1043" w:rsidRPr="00D91F48">
        <w:t xml:space="preserve">the </w:t>
      </w:r>
      <w:r w:rsidR="004E5936" w:rsidRPr="00D91F48">
        <w:t xml:space="preserve">purposes of admissibility, declares </w:t>
      </w:r>
      <w:r w:rsidR="0035590B" w:rsidRPr="00D91F48">
        <w:t>it</w:t>
      </w:r>
      <w:r w:rsidR="004E5936" w:rsidRPr="00D91F48">
        <w:t xml:space="preserve"> admissible and proceeds </w:t>
      </w:r>
      <w:r w:rsidR="00BD1043" w:rsidRPr="00D91F48">
        <w:t>to</w:t>
      </w:r>
      <w:r w:rsidR="004E5936" w:rsidRPr="00D91F48">
        <w:t xml:space="preserve"> </w:t>
      </w:r>
      <w:r w:rsidR="0035590B" w:rsidRPr="00D91F48">
        <w:t>its</w:t>
      </w:r>
      <w:r w:rsidR="00096E69" w:rsidRPr="00D91F48">
        <w:t xml:space="preserve"> </w:t>
      </w:r>
      <w:r w:rsidR="004E5936" w:rsidRPr="00D91F48">
        <w:t>examination on the merits.</w:t>
      </w:r>
    </w:p>
    <w:p w:rsidR="002443DA" w:rsidRPr="00D91F48" w:rsidRDefault="002443DA" w:rsidP="002443DA">
      <w:pPr>
        <w:pStyle w:val="H4G"/>
      </w:pPr>
      <w:r w:rsidRPr="00D91F48">
        <w:tab/>
      </w:r>
      <w:r w:rsidRPr="00D91F48">
        <w:tab/>
        <w:t>Consideration of the merits</w:t>
      </w:r>
    </w:p>
    <w:p w:rsidR="002443DA" w:rsidRPr="00D91F48" w:rsidRDefault="00075017" w:rsidP="002443DA">
      <w:pPr>
        <w:pStyle w:val="SingleTxtG"/>
      </w:pPr>
      <w:r w:rsidRPr="00D91F48">
        <w:t>8</w:t>
      </w:r>
      <w:r w:rsidR="002443DA" w:rsidRPr="00D91F48">
        <w:t>.1</w:t>
      </w:r>
      <w:r w:rsidR="002443DA" w:rsidRPr="00D91F48">
        <w:tab/>
        <w:t xml:space="preserve">In accordance with </w:t>
      </w:r>
      <w:r w:rsidR="00217F81" w:rsidRPr="00D91F48">
        <w:t>article </w:t>
      </w:r>
      <w:r w:rsidR="002443DA" w:rsidRPr="00D91F48">
        <w:t xml:space="preserve">22, </w:t>
      </w:r>
      <w:r w:rsidR="00217F81" w:rsidRPr="00D91F48">
        <w:t>paragraph </w:t>
      </w:r>
      <w:r w:rsidR="002443DA" w:rsidRPr="00D91F48">
        <w:t>4, of the Convention, the Committee has considered the present communication in the light of all information made available to it by the parties concerned.</w:t>
      </w:r>
    </w:p>
    <w:p w:rsidR="002443DA" w:rsidRPr="00D91F48" w:rsidRDefault="00075017" w:rsidP="002443DA">
      <w:pPr>
        <w:pStyle w:val="SingleTxtG"/>
      </w:pPr>
      <w:r w:rsidRPr="00D91F48">
        <w:t>8</w:t>
      </w:r>
      <w:r w:rsidR="002443DA" w:rsidRPr="00D91F48">
        <w:t>.2</w:t>
      </w:r>
      <w:r w:rsidR="002443DA" w:rsidRPr="00D91F48">
        <w:tab/>
        <w:t xml:space="preserve">In the present case, the issue before the Committee is whether the return of the complainant to Ethiopia would constitute a violation of the State party’s obligation under </w:t>
      </w:r>
      <w:r w:rsidR="00217F81" w:rsidRPr="00D91F48">
        <w:t>article </w:t>
      </w:r>
      <w:r w:rsidR="002443DA" w:rsidRPr="00D91F48">
        <w:t>3 of the Convention not to expel or to return (</w:t>
      </w:r>
      <w:r w:rsidR="002443DA" w:rsidRPr="00D91F48">
        <w:rPr>
          <w:i/>
          <w:iCs/>
        </w:rPr>
        <w:t>refouler</w:t>
      </w:r>
      <w:r w:rsidR="002443DA" w:rsidRPr="00D91F48">
        <w:t xml:space="preserve">) a person to another State where there are substantial grounds for believing that he or she would be in danger of being subjected to torture. </w:t>
      </w:r>
    </w:p>
    <w:p w:rsidR="002443DA" w:rsidRPr="00D91F48" w:rsidRDefault="00075017" w:rsidP="0001384A">
      <w:pPr>
        <w:pStyle w:val="SingleTxtG"/>
        <w:rPr>
          <w:bCs/>
        </w:rPr>
      </w:pPr>
      <w:r w:rsidRPr="00D91F48">
        <w:rPr>
          <w:bCs/>
        </w:rPr>
        <w:t>8</w:t>
      </w:r>
      <w:r w:rsidR="002443DA" w:rsidRPr="00D91F48">
        <w:rPr>
          <w:bCs/>
        </w:rPr>
        <w:t>.3</w:t>
      </w:r>
      <w:r w:rsidR="002443DA" w:rsidRPr="00D91F48">
        <w:rPr>
          <w:bCs/>
        </w:rPr>
        <w:tab/>
        <w:t xml:space="preserve">The Committee must evaluate whether there are substantial grounds for believing that the complainant would be personally in danger of being subjected to torture upon return to his country of origin. In assessing </w:t>
      </w:r>
      <w:r w:rsidR="00BD1043" w:rsidRPr="00D91F48">
        <w:rPr>
          <w:bCs/>
          <w:lang w:val="en-US"/>
        </w:rPr>
        <w:t>that</w:t>
      </w:r>
      <w:r w:rsidR="002443DA" w:rsidRPr="00D91F48">
        <w:rPr>
          <w:bCs/>
        </w:rPr>
        <w:t xml:space="preserve"> risk, the Committee must take into account all relevant considerations, pursuant to </w:t>
      </w:r>
      <w:r w:rsidR="00217F81" w:rsidRPr="00D91F48">
        <w:rPr>
          <w:bCs/>
        </w:rPr>
        <w:t>article </w:t>
      </w:r>
      <w:r w:rsidR="002443DA" w:rsidRPr="00D91F48">
        <w:rPr>
          <w:bCs/>
        </w:rPr>
        <w:t xml:space="preserve">3, </w:t>
      </w:r>
      <w:r w:rsidR="00217F81" w:rsidRPr="00D91F48">
        <w:rPr>
          <w:bCs/>
        </w:rPr>
        <w:t>paragraph </w:t>
      </w:r>
      <w:r w:rsidR="002443DA" w:rsidRPr="00D91F48">
        <w:rPr>
          <w:bCs/>
        </w:rPr>
        <w:t xml:space="preserve">2, of the Convention, including the existence of a consistent pattern of gross, flagrant or mass violations of human rights. However, the Committee recalls that the aim of </w:t>
      </w:r>
      <w:r w:rsidR="00BD1043" w:rsidRPr="00D91F48">
        <w:rPr>
          <w:bCs/>
          <w:lang w:val="en-US"/>
        </w:rPr>
        <w:t>the evaluation</w:t>
      </w:r>
      <w:r w:rsidR="002443DA" w:rsidRPr="00D91F48">
        <w:rPr>
          <w:bCs/>
        </w:rPr>
        <w:t xml:space="preserve">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2443DA" w:rsidRPr="00D91F48" w:rsidRDefault="00075017" w:rsidP="00E66C13">
      <w:pPr>
        <w:pStyle w:val="SingleTxtG"/>
      </w:pPr>
      <w:r w:rsidRPr="00D91F48">
        <w:t>8</w:t>
      </w:r>
      <w:r w:rsidR="002443DA" w:rsidRPr="00D91F48">
        <w:t>.4</w:t>
      </w:r>
      <w:r w:rsidR="002443DA" w:rsidRPr="00D91F48">
        <w:tab/>
        <w:t xml:space="preserve">The Committee recalls its </w:t>
      </w:r>
      <w:r w:rsidR="002408A8" w:rsidRPr="00D91F48">
        <w:rPr>
          <w:lang w:val="en-US"/>
        </w:rPr>
        <w:t>g</w:t>
      </w:r>
      <w:r w:rsidR="002443DA" w:rsidRPr="00D91F48">
        <w:t xml:space="preserve">eneral </w:t>
      </w:r>
      <w:r w:rsidR="002408A8" w:rsidRPr="00D91F48">
        <w:rPr>
          <w:lang w:val="en-US"/>
        </w:rPr>
        <w:t>c</w:t>
      </w:r>
      <w:r w:rsidR="002443DA" w:rsidRPr="00D91F48">
        <w:t xml:space="preserve">omment </w:t>
      </w:r>
      <w:r w:rsidR="00217F81" w:rsidRPr="00D91F48">
        <w:t>No. </w:t>
      </w:r>
      <w:r w:rsidR="002443DA" w:rsidRPr="00D91F48">
        <w:t xml:space="preserve">1 on the implementation of </w:t>
      </w:r>
      <w:r w:rsidR="00217F81" w:rsidRPr="00D91F48">
        <w:t>article </w:t>
      </w:r>
      <w:r w:rsidR="002443DA" w:rsidRPr="00D91F48">
        <w:t>3, according to which the risk of torture must be assessed on grounds that go beyond mere theory or suspicion. While the risk does not have to meet the test of being “highly probable”,</w:t>
      </w:r>
      <w:r w:rsidR="002443DA" w:rsidRPr="00D91F48">
        <w:rPr>
          <w:rStyle w:val="FootnoteReference"/>
        </w:rPr>
        <w:footnoteReference w:id="24"/>
      </w:r>
      <w:r w:rsidR="002443DA" w:rsidRPr="00D91F48">
        <w:t xml:space="preserve"> the Committee recalls that the burden of proof generally falls on the complainant, who must present an arguable case that he faces a “foreseeable, real and personal” risk.</w:t>
      </w:r>
      <w:r w:rsidR="002443DA" w:rsidRPr="00D91F48">
        <w:rPr>
          <w:rStyle w:val="FootnoteReference"/>
        </w:rPr>
        <w:footnoteReference w:id="25"/>
      </w:r>
      <w:r w:rsidR="002443DA" w:rsidRPr="00D91F48">
        <w:t xml:space="preserve"> </w:t>
      </w:r>
      <w:r w:rsidR="007D6AE4" w:rsidRPr="00D91F48">
        <w:t xml:space="preserve">The Committee further recalls that, in accordance with its general comment </w:t>
      </w:r>
      <w:r w:rsidR="00217F81" w:rsidRPr="00D91F48">
        <w:t>No. </w:t>
      </w:r>
      <w:r w:rsidR="007D6AE4" w:rsidRPr="00D91F48">
        <w:t xml:space="preserve">1, it gives considerable weight to findings of fact that are made by the organs of the State party concerned, while at the same time it is not bound by such findings and instead has the power, </w:t>
      </w:r>
      <w:r w:rsidR="00401399" w:rsidRPr="00D91F48">
        <w:rPr>
          <w:lang w:val="en-US"/>
        </w:rPr>
        <w:t>under</w:t>
      </w:r>
      <w:r w:rsidR="007D6AE4" w:rsidRPr="00D91F48">
        <w:t xml:space="preserve"> </w:t>
      </w:r>
      <w:r w:rsidR="00217F81" w:rsidRPr="00D91F48">
        <w:t>article </w:t>
      </w:r>
      <w:r w:rsidR="007D6AE4" w:rsidRPr="00D91F48">
        <w:t xml:space="preserve">22, </w:t>
      </w:r>
      <w:r w:rsidR="00217F81" w:rsidRPr="00D91F48">
        <w:t>paragraph </w:t>
      </w:r>
      <w:r w:rsidR="007D6AE4" w:rsidRPr="00D91F48">
        <w:t>4, of the Convention, of free assessment of the facts based upon the full set of circumstances in every case.</w:t>
      </w:r>
      <w:r w:rsidR="002443DA" w:rsidRPr="00D91F48">
        <w:rPr>
          <w:rStyle w:val="FootnoteReference"/>
        </w:rPr>
        <w:footnoteReference w:id="26"/>
      </w:r>
    </w:p>
    <w:p w:rsidR="00E02277" w:rsidRPr="00D91F48" w:rsidRDefault="00075017" w:rsidP="00096E69">
      <w:pPr>
        <w:pStyle w:val="SingleTxtG"/>
      </w:pPr>
      <w:r w:rsidRPr="00D91F48">
        <w:t>8</w:t>
      </w:r>
      <w:r w:rsidR="002443DA" w:rsidRPr="00D91F48">
        <w:t>.5</w:t>
      </w:r>
      <w:r w:rsidR="002443DA" w:rsidRPr="00D91F48">
        <w:tab/>
      </w:r>
      <w:r w:rsidR="00E02277" w:rsidRPr="00D91F48">
        <w:t xml:space="preserve">The complainant claims that </w:t>
      </w:r>
      <w:r w:rsidR="004E5936" w:rsidRPr="00D91F48">
        <w:t xml:space="preserve">in Ethiopia </w:t>
      </w:r>
      <w:r w:rsidR="00E02277" w:rsidRPr="00D91F48">
        <w:t xml:space="preserve">she </w:t>
      </w:r>
      <w:r w:rsidR="004E5936" w:rsidRPr="00D91F48">
        <w:t>may</w:t>
      </w:r>
      <w:r w:rsidR="00E02277" w:rsidRPr="00D91F48">
        <w:t xml:space="preserve"> be tortured </w:t>
      </w:r>
      <w:r w:rsidR="004E5936" w:rsidRPr="00D91F48">
        <w:t xml:space="preserve">or even </w:t>
      </w:r>
      <w:r w:rsidR="00E02277" w:rsidRPr="00D91F48">
        <w:t>killed because of her ethnic origin and her perceived involvement with the OLF</w:t>
      </w:r>
      <w:r w:rsidR="004E5936" w:rsidRPr="00D91F48">
        <w:t xml:space="preserve">; </w:t>
      </w:r>
      <w:r w:rsidR="00E02277" w:rsidRPr="00D91F48">
        <w:t>her past arrest</w:t>
      </w:r>
      <w:r w:rsidR="004E5936" w:rsidRPr="00D91F48">
        <w:t>;</w:t>
      </w:r>
      <w:r w:rsidR="00E02277" w:rsidRPr="00D91F48">
        <w:t xml:space="preserve"> the security police</w:t>
      </w:r>
      <w:r w:rsidR="004E5936" w:rsidRPr="00D91F48">
        <w:t>’s</w:t>
      </w:r>
      <w:r w:rsidR="00E02277" w:rsidRPr="00D91F48">
        <w:t xml:space="preserve"> continued interest in her whereabouts</w:t>
      </w:r>
      <w:r w:rsidR="004E5936" w:rsidRPr="00D91F48">
        <w:t>;</w:t>
      </w:r>
      <w:r w:rsidR="00E02277" w:rsidRPr="00D91F48">
        <w:t xml:space="preserve"> and the enforced disappearance of her husband.</w:t>
      </w:r>
    </w:p>
    <w:p w:rsidR="00534666" w:rsidRPr="00D91F48" w:rsidRDefault="00075017" w:rsidP="0001384A">
      <w:pPr>
        <w:pStyle w:val="SingleTxtG"/>
        <w:rPr>
          <w:bCs/>
        </w:rPr>
      </w:pPr>
      <w:r w:rsidRPr="00D91F48">
        <w:t>8</w:t>
      </w:r>
      <w:r w:rsidR="002443DA" w:rsidRPr="00D91F48">
        <w:t>.6</w:t>
      </w:r>
      <w:r w:rsidR="002443DA" w:rsidRPr="00D91F48">
        <w:tab/>
      </w:r>
      <w:r w:rsidR="002408A8" w:rsidRPr="00D91F48">
        <w:rPr>
          <w:lang w:val="en-US"/>
        </w:rPr>
        <w:t>T</w:t>
      </w:r>
      <w:r w:rsidR="002443DA" w:rsidRPr="00D91F48">
        <w:t xml:space="preserve">he Committee </w:t>
      </w:r>
      <w:r w:rsidR="004E5936" w:rsidRPr="00D91F48">
        <w:t>notes</w:t>
      </w:r>
      <w:r w:rsidR="002443DA" w:rsidRPr="00D91F48">
        <w:t xml:space="preserve"> that the complainant has not submitted any objective evidence whatsoever to substantiate that </w:t>
      </w:r>
      <w:r w:rsidR="00E02277" w:rsidRPr="00D91F48">
        <w:t>s</w:t>
      </w:r>
      <w:r w:rsidR="002443DA" w:rsidRPr="00D91F48">
        <w:t xml:space="preserve">he would </w:t>
      </w:r>
      <w:r w:rsidR="002408A8" w:rsidRPr="00D91F48">
        <w:rPr>
          <w:lang w:val="en-US"/>
        </w:rPr>
        <w:t xml:space="preserve">be at </w:t>
      </w:r>
      <w:r w:rsidR="002443DA" w:rsidRPr="00D91F48">
        <w:t xml:space="preserve">risk </w:t>
      </w:r>
      <w:r w:rsidR="002408A8" w:rsidRPr="00D91F48">
        <w:rPr>
          <w:lang w:val="en-US"/>
        </w:rPr>
        <w:t xml:space="preserve">of </w:t>
      </w:r>
      <w:r w:rsidR="002443DA" w:rsidRPr="00D91F48">
        <w:t xml:space="preserve">being subjected to torture by the authorities if returned to </w:t>
      </w:r>
      <w:r w:rsidR="00E02277" w:rsidRPr="00D91F48">
        <w:t>Ethiopia</w:t>
      </w:r>
      <w:r w:rsidR="002443DA" w:rsidRPr="00D91F48">
        <w:t xml:space="preserve">. </w:t>
      </w:r>
      <w:r w:rsidR="002408A8" w:rsidRPr="00D91F48">
        <w:rPr>
          <w:bCs/>
        </w:rPr>
        <w:t>T</w:t>
      </w:r>
      <w:r w:rsidR="004E5936" w:rsidRPr="00D91F48">
        <w:rPr>
          <w:bCs/>
        </w:rPr>
        <w:t xml:space="preserve">he Committee notes, in particular, </w:t>
      </w:r>
      <w:r w:rsidR="00E02277" w:rsidRPr="00D91F48">
        <w:rPr>
          <w:bCs/>
        </w:rPr>
        <w:t>the complainant’s statement</w:t>
      </w:r>
      <w:r w:rsidR="00534666" w:rsidRPr="00D91F48">
        <w:rPr>
          <w:bCs/>
        </w:rPr>
        <w:t xml:space="preserve"> that </w:t>
      </w:r>
      <w:r w:rsidR="00E02277" w:rsidRPr="00D91F48">
        <w:rPr>
          <w:bCs/>
        </w:rPr>
        <w:t xml:space="preserve">all her life she has been a </w:t>
      </w:r>
      <w:r w:rsidR="00534666" w:rsidRPr="00D91F48">
        <w:rPr>
          <w:bCs/>
        </w:rPr>
        <w:t>person</w:t>
      </w:r>
      <w:r w:rsidR="00E02277" w:rsidRPr="00D91F48">
        <w:rPr>
          <w:bCs/>
        </w:rPr>
        <w:t xml:space="preserve"> with no political affiliations. It further takes note of the State party’s </w:t>
      </w:r>
      <w:r w:rsidR="004E5936" w:rsidRPr="00D91F48">
        <w:rPr>
          <w:bCs/>
        </w:rPr>
        <w:t>observation</w:t>
      </w:r>
      <w:r w:rsidR="00E02277" w:rsidRPr="00D91F48">
        <w:rPr>
          <w:bCs/>
        </w:rPr>
        <w:t xml:space="preserve"> that the complainant has made no attempt whatsoever to explain before the domestic authorities </w:t>
      </w:r>
      <w:r w:rsidR="008B7B20" w:rsidRPr="00D91F48">
        <w:rPr>
          <w:bCs/>
        </w:rPr>
        <w:t xml:space="preserve">the </w:t>
      </w:r>
      <w:r w:rsidR="00E02277" w:rsidRPr="00D91F48">
        <w:rPr>
          <w:bCs/>
        </w:rPr>
        <w:t>contradictions in her claims as to her alleged arrest and detention in Ethiopia in 2005 and 2006</w:t>
      </w:r>
      <w:r w:rsidR="00F2752D" w:rsidRPr="00D91F48">
        <w:rPr>
          <w:bCs/>
        </w:rPr>
        <w:t>,</w:t>
      </w:r>
      <w:r w:rsidR="00E02277" w:rsidRPr="00D91F48">
        <w:rPr>
          <w:bCs/>
        </w:rPr>
        <w:t xml:space="preserve"> the Ethiopian authorities’ alleged continued interest in her whereabouts and activities, </w:t>
      </w:r>
      <w:r w:rsidR="002408A8" w:rsidRPr="00D91F48">
        <w:rPr>
          <w:bCs/>
        </w:rPr>
        <w:t>and in</w:t>
      </w:r>
      <w:r w:rsidR="00E02277" w:rsidRPr="00D91F48">
        <w:rPr>
          <w:bCs/>
        </w:rPr>
        <w:t xml:space="preserve"> her husband’s arrest and his current situation and whereabouts. </w:t>
      </w:r>
      <w:r w:rsidR="0088050A" w:rsidRPr="00D91F48">
        <w:rPr>
          <w:bCs/>
        </w:rPr>
        <w:t>T</w:t>
      </w:r>
      <w:r w:rsidR="007A6E55" w:rsidRPr="00D91F48">
        <w:rPr>
          <w:bCs/>
        </w:rPr>
        <w:t>h</w:t>
      </w:r>
      <w:r w:rsidR="002408A8" w:rsidRPr="00D91F48">
        <w:rPr>
          <w:bCs/>
        </w:rPr>
        <w:t>o</w:t>
      </w:r>
      <w:r w:rsidR="007A6E55" w:rsidRPr="00D91F48">
        <w:rPr>
          <w:bCs/>
        </w:rPr>
        <w:t xml:space="preserve">se contradictions </w:t>
      </w:r>
      <w:r w:rsidR="002408A8" w:rsidRPr="00D91F48">
        <w:rPr>
          <w:bCs/>
        </w:rPr>
        <w:t>were not</w:t>
      </w:r>
      <w:r w:rsidR="007A6E55" w:rsidRPr="00D91F48">
        <w:rPr>
          <w:bCs/>
        </w:rPr>
        <w:t xml:space="preserve"> clarified by the complainant</w:t>
      </w:r>
      <w:r w:rsidR="00701CE9" w:rsidRPr="00D91F48">
        <w:rPr>
          <w:bCs/>
        </w:rPr>
        <w:t xml:space="preserve"> in her communication</w:t>
      </w:r>
      <w:r w:rsidR="007A6E55" w:rsidRPr="00D91F48">
        <w:rPr>
          <w:bCs/>
        </w:rPr>
        <w:t xml:space="preserve"> to the Committee either. </w:t>
      </w:r>
      <w:r w:rsidR="002408A8" w:rsidRPr="00D91F48">
        <w:rPr>
          <w:bCs/>
        </w:rPr>
        <w:t>T</w:t>
      </w:r>
      <w:r w:rsidR="00E02277" w:rsidRPr="00D91F48">
        <w:rPr>
          <w:bCs/>
        </w:rPr>
        <w:t>he Committee notes that the complainant had ample opportunity to substantiate and clarify her claims at the domestic level before the RPD and within the PRRA procedure</w:t>
      </w:r>
      <w:r w:rsidR="008E411A" w:rsidRPr="00D91F48">
        <w:rPr>
          <w:bCs/>
        </w:rPr>
        <w:t xml:space="preserve">, </w:t>
      </w:r>
      <w:r w:rsidR="002408A8" w:rsidRPr="00D91F48">
        <w:rPr>
          <w:bCs/>
        </w:rPr>
        <w:t>and</w:t>
      </w:r>
      <w:r w:rsidR="00FD18C8" w:rsidRPr="00D91F48">
        <w:rPr>
          <w:bCs/>
        </w:rPr>
        <w:t xml:space="preserve"> in the </w:t>
      </w:r>
      <w:r w:rsidR="002408A8" w:rsidRPr="00D91F48">
        <w:rPr>
          <w:bCs/>
        </w:rPr>
        <w:t>context</w:t>
      </w:r>
      <w:r w:rsidR="00FD18C8" w:rsidRPr="00D91F48">
        <w:rPr>
          <w:bCs/>
        </w:rPr>
        <w:t xml:space="preserve"> of the present communication</w:t>
      </w:r>
      <w:r w:rsidR="00E02277" w:rsidRPr="00D91F48">
        <w:rPr>
          <w:bCs/>
        </w:rPr>
        <w:t xml:space="preserve">. </w:t>
      </w:r>
      <w:r w:rsidR="002408A8" w:rsidRPr="00D91F48">
        <w:rPr>
          <w:bCs/>
        </w:rPr>
        <w:t>Nor has</w:t>
      </w:r>
      <w:r w:rsidR="00E02277" w:rsidRPr="00D91F48">
        <w:rPr>
          <w:bCs/>
        </w:rPr>
        <w:t xml:space="preserve"> the complainant provided the Committee </w:t>
      </w:r>
      <w:r w:rsidR="002408A8" w:rsidRPr="00D91F48">
        <w:rPr>
          <w:bCs/>
        </w:rPr>
        <w:t>with any</w:t>
      </w:r>
      <w:r w:rsidR="00E02277" w:rsidRPr="00D91F48">
        <w:rPr>
          <w:bCs/>
        </w:rPr>
        <w:t xml:space="preserve"> objective documentary evidence, such as a copy of her summons or a detention warrant, in support of her account of events and claims.</w:t>
      </w:r>
    </w:p>
    <w:p w:rsidR="002443DA" w:rsidRPr="00D91F48" w:rsidRDefault="00075017" w:rsidP="00E66C13">
      <w:pPr>
        <w:pStyle w:val="SingleTxtG"/>
      </w:pPr>
      <w:r w:rsidRPr="00D91F48">
        <w:rPr>
          <w:bCs/>
        </w:rPr>
        <w:t>8</w:t>
      </w:r>
      <w:r w:rsidR="00534666" w:rsidRPr="00D91F48">
        <w:rPr>
          <w:bCs/>
        </w:rPr>
        <w:t>.7</w:t>
      </w:r>
      <w:r w:rsidR="00096E69" w:rsidRPr="00D91F48">
        <w:rPr>
          <w:bCs/>
        </w:rPr>
        <w:tab/>
      </w:r>
      <w:r w:rsidR="00E02277" w:rsidRPr="00D91F48">
        <w:rPr>
          <w:bCs/>
        </w:rPr>
        <w:t>F</w:t>
      </w:r>
      <w:r w:rsidR="00534666" w:rsidRPr="00D91F48">
        <w:rPr>
          <w:bCs/>
        </w:rPr>
        <w:t>urthermore</w:t>
      </w:r>
      <w:r w:rsidR="00E02277" w:rsidRPr="00D91F48">
        <w:rPr>
          <w:bCs/>
        </w:rPr>
        <w:t xml:space="preserve">, </w:t>
      </w:r>
      <w:r w:rsidR="00534666" w:rsidRPr="00D91F48">
        <w:t xml:space="preserve">the Committee recalls that the occurrence of human rights violations in his/her country of origin is not sufficient, in itself, </w:t>
      </w:r>
      <w:r w:rsidR="002408A8" w:rsidRPr="00D91F48">
        <w:rPr>
          <w:lang w:val="en-US"/>
        </w:rPr>
        <w:t>for it</w:t>
      </w:r>
      <w:r w:rsidR="00534666" w:rsidRPr="00D91F48">
        <w:t xml:space="preserve"> to </w:t>
      </w:r>
      <w:r w:rsidR="002408A8" w:rsidRPr="00D91F48">
        <w:rPr>
          <w:lang w:val="en-US"/>
        </w:rPr>
        <w:t xml:space="preserve">be </w:t>
      </w:r>
      <w:r w:rsidR="00534666" w:rsidRPr="00D91F48">
        <w:t>conclude</w:t>
      </w:r>
      <w:r w:rsidR="002408A8" w:rsidRPr="00D91F48">
        <w:rPr>
          <w:lang w:val="en-US"/>
        </w:rPr>
        <w:t>d</w:t>
      </w:r>
      <w:r w:rsidR="00534666" w:rsidRPr="00D91F48">
        <w:t xml:space="preserve"> that a complainant, personally, runs a risk of torture. </w:t>
      </w:r>
      <w:r w:rsidR="002408A8" w:rsidRPr="00D91F48">
        <w:t>T</w:t>
      </w:r>
      <w:r w:rsidR="00E02277" w:rsidRPr="00D91F48">
        <w:rPr>
          <w:bCs/>
        </w:rPr>
        <w:t>he Committee notes that the complainant does not claim that she has ever been personally subjected to torture or any kind of ill-treatment or punishment</w:t>
      </w:r>
      <w:r w:rsidR="00F2752D" w:rsidRPr="00D91F48">
        <w:rPr>
          <w:bCs/>
        </w:rPr>
        <w:t xml:space="preserve"> </w:t>
      </w:r>
      <w:r w:rsidR="00E02277" w:rsidRPr="00D91F48">
        <w:rPr>
          <w:bCs/>
        </w:rPr>
        <w:t xml:space="preserve">in Ethiopia prior to her </w:t>
      </w:r>
      <w:r w:rsidR="004E5936" w:rsidRPr="00D91F48">
        <w:rPr>
          <w:bCs/>
        </w:rPr>
        <w:t>departure to</w:t>
      </w:r>
      <w:r w:rsidR="00E02277" w:rsidRPr="00D91F48">
        <w:rPr>
          <w:bCs/>
        </w:rPr>
        <w:t xml:space="preserve"> Canada</w:t>
      </w:r>
      <w:r w:rsidR="00FD18C8" w:rsidRPr="00D91F48">
        <w:rPr>
          <w:bCs/>
        </w:rPr>
        <w:t>,</w:t>
      </w:r>
      <w:r w:rsidR="00F2752D" w:rsidRPr="00D91F48">
        <w:rPr>
          <w:bCs/>
        </w:rPr>
        <w:t xml:space="preserve"> with the exception of her claim concerning her husband’s alleged enforced disappearance</w:t>
      </w:r>
      <w:r w:rsidR="00E02277" w:rsidRPr="00D91F48">
        <w:rPr>
          <w:bCs/>
        </w:rPr>
        <w:t xml:space="preserve">. </w:t>
      </w:r>
      <w:r w:rsidR="00534666" w:rsidRPr="00D91F48">
        <w:rPr>
          <w:bCs/>
        </w:rPr>
        <w:t>In addition</w:t>
      </w:r>
      <w:r w:rsidR="00E02277" w:rsidRPr="00D91F48">
        <w:rPr>
          <w:bCs/>
        </w:rPr>
        <w:t xml:space="preserve">, it also notes that </w:t>
      </w:r>
      <w:r w:rsidR="00534666" w:rsidRPr="00D91F48">
        <w:rPr>
          <w:bCs/>
        </w:rPr>
        <w:t>she</w:t>
      </w:r>
      <w:r w:rsidR="00E02277" w:rsidRPr="00D91F48">
        <w:rPr>
          <w:bCs/>
        </w:rPr>
        <w:t xml:space="preserve"> has not submitted any information or arguments to substantiate that she</w:t>
      </w:r>
      <w:r w:rsidR="004E5936" w:rsidRPr="00D91F48">
        <w:rPr>
          <w:bCs/>
        </w:rPr>
        <w:t>,</w:t>
      </w:r>
      <w:r w:rsidR="00E02277" w:rsidRPr="00D91F48">
        <w:rPr>
          <w:bCs/>
        </w:rPr>
        <w:t xml:space="preserve"> personally</w:t>
      </w:r>
      <w:r w:rsidR="004E5936" w:rsidRPr="00D91F48">
        <w:rPr>
          <w:bCs/>
        </w:rPr>
        <w:t>,</w:t>
      </w:r>
      <w:r w:rsidR="00E02277" w:rsidRPr="00D91F48">
        <w:rPr>
          <w:bCs/>
        </w:rPr>
        <w:t xml:space="preserve"> would be at risk of torture if she return</w:t>
      </w:r>
      <w:r w:rsidR="002408A8" w:rsidRPr="00D91F48">
        <w:rPr>
          <w:bCs/>
        </w:rPr>
        <w:t>ed</w:t>
      </w:r>
      <w:r w:rsidR="00E02277" w:rsidRPr="00D91F48">
        <w:rPr>
          <w:bCs/>
        </w:rPr>
        <w:t xml:space="preserve"> to Ethiopia</w:t>
      </w:r>
      <w:r w:rsidR="00096E69" w:rsidRPr="00D91F48">
        <w:rPr>
          <w:bCs/>
        </w:rPr>
        <w:t>.</w:t>
      </w:r>
      <w:r w:rsidR="00E02277" w:rsidRPr="00D91F48">
        <w:rPr>
          <w:rStyle w:val="FootnoteReference"/>
          <w:bCs/>
        </w:rPr>
        <w:footnoteReference w:id="27"/>
      </w:r>
    </w:p>
    <w:p w:rsidR="002443DA" w:rsidRPr="00D91F48" w:rsidRDefault="00075017" w:rsidP="00E66C13">
      <w:pPr>
        <w:pStyle w:val="SingleTxtG"/>
      </w:pPr>
      <w:r w:rsidRPr="00D91F48">
        <w:t>9</w:t>
      </w:r>
      <w:r w:rsidR="002443DA" w:rsidRPr="00D91F48">
        <w:t>.</w:t>
      </w:r>
      <w:r w:rsidR="002443DA" w:rsidRPr="00D91F48">
        <w:tab/>
        <w:t xml:space="preserve">In the circumstances, and in the absence of any other pertinent information on file, the Committee finds that the complainant has failed to provide sufficient evidence </w:t>
      </w:r>
      <w:r w:rsidR="00137783" w:rsidRPr="00D91F48">
        <w:rPr>
          <w:lang w:val="en-US"/>
        </w:rPr>
        <w:t xml:space="preserve">to indicate </w:t>
      </w:r>
      <w:r w:rsidR="002443DA" w:rsidRPr="00D91F48">
        <w:t>that</w:t>
      </w:r>
      <w:r w:rsidR="00137783" w:rsidRPr="00D91F48">
        <w:rPr>
          <w:lang w:val="en-US"/>
        </w:rPr>
        <w:t>,</w:t>
      </w:r>
      <w:r w:rsidR="002443DA" w:rsidRPr="00D91F48">
        <w:t xml:space="preserve"> in </w:t>
      </w:r>
      <w:r w:rsidR="00137783" w:rsidRPr="00D91F48">
        <w:rPr>
          <w:lang w:val="en-US"/>
        </w:rPr>
        <w:t>the event</w:t>
      </w:r>
      <w:r w:rsidR="002443DA" w:rsidRPr="00D91F48">
        <w:t xml:space="preserve"> of </w:t>
      </w:r>
      <w:r w:rsidR="00534666" w:rsidRPr="00D91F48">
        <w:t>her</w:t>
      </w:r>
      <w:r w:rsidR="002443DA" w:rsidRPr="00D91F48">
        <w:t xml:space="preserve"> </w:t>
      </w:r>
      <w:r w:rsidR="004E5936" w:rsidRPr="00D91F48">
        <w:t>forcible return to her</w:t>
      </w:r>
      <w:r w:rsidR="002443DA" w:rsidRPr="00D91F48">
        <w:t xml:space="preserve"> country of origin, </w:t>
      </w:r>
      <w:r w:rsidR="00534666" w:rsidRPr="00D91F48">
        <w:t>s</w:t>
      </w:r>
      <w:r w:rsidR="002443DA" w:rsidRPr="00D91F48">
        <w:t xml:space="preserve">he would face a foreseeable, real and personal risk of being tortured. </w:t>
      </w:r>
    </w:p>
    <w:p w:rsidR="0065411B" w:rsidRDefault="002443DA" w:rsidP="00290E30">
      <w:pPr>
        <w:pStyle w:val="SingleTxtG"/>
      </w:pPr>
      <w:r w:rsidRPr="00D91F48">
        <w:t>1</w:t>
      </w:r>
      <w:r w:rsidR="00075017" w:rsidRPr="00D91F48">
        <w:t>0</w:t>
      </w:r>
      <w:r w:rsidRPr="00D91F48">
        <w:t>.</w:t>
      </w:r>
      <w:r w:rsidRPr="00D91F48">
        <w:tab/>
        <w:t xml:space="preserve">Accordingly, the Committee against Torture, acting under </w:t>
      </w:r>
      <w:r w:rsidR="00217F81" w:rsidRPr="00D91F48">
        <w:t>article </w:t>
      </w:r>
      <w:r w:rsidRPr="00D91F48">
        <w:t xml:space="preserve">22, </w:t>
      </w:r>
      <w:r w:rsidR="00217F81" w:rsidRPr="00D91F48">
        <w:t>paragraph </w:t>
      </w:r>
      <w:r w:rsidRPr="00D91F48">
        <w:t xml:space="preserve">7, of the Convention against Torture and Other Cruel, Inhuman or Degrading Treatment or Punishment, concludes that the complainant’s return to </w:t>
      </w:r>
      <w:r w:rsidR="00534666" w:rsidRPr="00D91F48">
        <w:t>Ethiopia</w:t>
      </w:r>
      <w:r w:rsidRPr="00D91F48">
        <w:t xml:space="preserve"> would not constitute a breach of </w:t>
      </w:r>
      <w:r w:rsidR="00217F81" w:rsidRPr="00D91F48">
        <w:t>article </w:t>
      </w:r>
      <w:r w:rsidRPr="00D91F48">
        <w:t>3 of the Convention</w:t>
      </w:r>
      <w:r w:rsidR="004E5936" w:rsidRPr="00D91F48">
        <w:t xml:space="preserve"> by the State party</w:t>
      </w:r>
      <w:r w:rsidRPr="00D91F48">
        <w:t>.</w:t>
      </w:r>
    </w:p>
    <w:p w:rsidR="00096E69" w:rsidRPr="00096E69" w:rsidRDefault="00096E69" w:rsidP="00096E69">
      <w:pPr>
        <w:pStyle w:val="SingleTxtG"/>
        <w:spacing w:before="240" w:after="0"/>
        <w:jc w:val="center"/>
        <w:rPr>
          <w:u w:val="single"/>
        </w:rPr>
      </w:pPr>
      <w:r>
        <w:rPr>
          <w:u w:val="single"/>
        </w:rPr>
        <w:tab/>
      </w:r>
      <w:r>
        <w:rPr>
          <w:u w:val="single"/>
        </w:rPr>
        <w:tab/>
      </w:r>
      <w:r>
        <w:rPr>
          <w:u w:val="single"/>
        </w:rPr>
        <w:tab/>
      </w:r>
    </w:p>
    <w:sectPr w:rsidR="00096E69" w:rsidRPr="00096E69" w:rsidSect="00217F81">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9D" w:rsidRDefault="00410B9D"/>
  </w:endnote>
  <w:endnote w:type="continuationSeparator" w:id="0">
    <w:p w:rsidR="00410B9D" w:rsidRDefault="00410B9D"/>
  </w:endnote>
  <w:endnote w:type="continuationNotice" w:id="1">
    <w:p w:rsidR="00410B9D" w:rsidRDefault="0041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25" w:rsidRPr="00116B35" w:rsidRDefault="00206725"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4028B9">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25" w:rsidRPr="00116B35" w:rsidRDefault="00206725"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4028B9">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25" w:rsidRPr="00136749" w:rsidRDefault="00410B9D">
    <w:pPr>
      <w:rPr>
        <w:sz w:val="18"/>
        <w:szCs w:val="18"/>
      </w:rPr>
    </w:pPr>
    <w:r>
      <w:rPr>
        <w:noProof/>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15.75pt;margin-top:11.9pt;width:73.25pt;height:18.15pt;z-index:1">
          <v:imagedata r:id="rId1" o:title="recycle_English"/>
          <w10:anchorlock/>
        </v:shape>
      </w:pict>
    </w:r>
    <w:r w:rsidR="00206725" w:rsidRPr="00136749">
      <w:rPr>
        <w:sz w:val="18"/>
        <w:szCs w:val="18"/>
      </w:rPr>
      <w:t>GE.</w:t>
    </w:r>
    <w:r w:rsidR="009C14DA">
      <w:rPr>
        <w:sz w:val="18"/>
        <w:szCs w:val="18"/>
      </w:rPr>
      <w:t>15</w:t>
    </w:r>
    <w:r w:rsidR="00206725">
      <w:rPr>
        <w:sz w:val="18"/>
        <w:szCs w:val="18"/>
      </w:rPr>
      <w:t>-</w:t>
    </w:r>
    <w:r w:rsidR="00FA4F76">
      <w:rPr>
        <w:sz w:val="18"/>
        <w:szCs w:val="18"/>
      </w:rPr>
      <w:t>00716</w:t>
    </w:r>
    <w:r w:rsidR="002A0CA4">
      <w:rPr>
        <w:sz w:val="18"/>
        <w:szCs w:val="18"/>
      </w:rPr>
      <w:t xml:space="preserve">  (E)</w:t>
    </w:r>
    <w:r w:rsidR="002A0CA4">
      <w:rPr>
        <w:sz w:val="18"/>
        <w:szCs w:val="18"/>
      </w:rPr>
      <w:br/>
    </w:r>
    <w:r w:rsidR="002A0CA4" w:rsidRPr="002A0CA4">
      <w:rPr>
        <w:rFonts w:ascii="C39T30Lfz" w:hAnsi="C39T30Lfz"/>
        <w:sz w:val="56"/>
        <w:szCs w:val="18"/>
      </w:rPr>
      <w:t></w:t>
    </w:r>
    <w:r w:rsidR="002A0CA4" w:rsidRPr="002A0CA4">
      <w:rPr>
        <w:rFonts w:ascii="C39T30Lfz" w:hAnsi="C39T30Lfz"/>
        <w:sz w:val="56"/>
        <w:szCs w:val="18"/>
      </w:rPr>
      <w:t></w:t>
    </w:r>
    <w:r w:rsidR="002A0CA4" w:rsidRPr="002A0CA4">
      <w:rPr>
        <w:rFonts w:ascii="C39T30Lfz" w:hAnsi="C39T30Lfz"/>
        <w:sz w:val="56"/>
        <w:szCs w:val="18"/>
      </w:rPr>
      <w:t></w:t>
    </w:r>
    <w:r w:rsidR="002A0CA4" w:rsidRPr="002A0CA4">
      <w:rPr>
        <w:rFonts w:ascii="C39T30Lfz" w:hAnsi="C39T30Lfz"/>
        <w:sz w:val="56"/>
        <w:szCs w:val="18"/>
      </w:rPr>
      <w:t></w:t>
    </w:r>
    <w:r w:rsidR="002A0CA4" w:rsidRPr="002A0CA4">
      <w:rPr>
        <w:rFonts w:ascii="C39T30Lfz" w:hAnsi="C39T30Lfz"/>
        <w:sz w:val="56"/>
        <w:szCs w:val="18"/>
      </w:rPr>
      <w:t></w:t>
    </w:r>
    <w:r w:rsidR="002A0CA4" w:rsidRPr="002A0CA4">
      <w:rPr>
        <w:rFonts w:ascii="C39T30Lfz" w:hAnsi="C39T30Lfz"/>
        <w:sz w:val="56"/>
        <w:szCs w:val="18"/>
      </w:rPr>
      <w:t></w:t>
    </w:r>
    <w:r w:rsidR="002A0CA4" w:rsidRPr="002A0CA4">
      <w:rPr>
        <w:rFonts w:ascii="C39T30Lfz" w:hAnsi="C39T30Lfz"/>
        <w:sz w:val="56"/>
        <w:szCs w:val="18"/>
      </w:rPr>
      <w:t></w:t>
    </w:r>
    <w:r w:rsidR="002A0CA4" w:rsidRPr="002A0CA4">
      <w:rPr>
        <w:rFonts w:ascii="C39T30Lfz" w:hAnsi="C39T30Lfz"/>
        <w:sz w:val="56"/>
        <w:szCs w:val="18"/>
      </w:rPr>
      <w:t></w:t>
    </w:r>
    <w:r w:rsidR="002A0CA4" w:rsidRPr="002A0CA4">
      <w:rPr>
        <w:rFonts w:ascii="C39T30Lfz" w:hAnsi="C39T30Lfz"/>
        <w:sz w:val="56"/>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9D" w:rsidRPr="000B175B" w:rsidRDefault="00410B9D" w:rsidP="004876DE">
      <w:pPr>
        <w:tabs>
          <w:tab w:val="right" w:pos="2155"/>
        </w:tabs>
        <w:spacing w:after="80"/>
        <w:ind w:left="680"/>
        <w:rPr>
          <w:u w:val="single"/>
        </w:rPr>
      </w:pPr>
      <w:r>
        <w:rPr>
          <w:u w:val="single"/>
        </w:rPr>
        <w:tab/>
      </w:r>
    </w:p>
  </w:footnote>
  <w:footnote w:type="continuationSeparator" w:id="0">
    <w:p w:rsidR="00410B9D" w:rsidRPr="00FC68B7" w:rsidRDefault="00410B9D" w:rsidP="004876DE">
      <w:pPr>
        <w:tabs>
          <w:tab w:val="left" w:pos="2155"/>
        </w:tabs>
        <w:spacing w:after="80"/>
        <w:ind w:left="680"/>
        <w:rPr>
          <w:u w:val="single"/>
        </w:rPr>
      </w:pPr>
      <w:r>
        <w:rPr>
          <w:u w:val="single"/>
        </w:rPr>
        <w:tab/>
      </w:r>
    </w:p>
  </w:footnote>
  <w:footnote w:type="continuationNotice" w:id="1">
    <w:p w:rsidR="00410B9D" w:rsidRDefault="00410B9D"/>
  </w:footnote>
  <w:footnote w:id="2">
    <w:p w:rsidR="00206725" w:rsidRPr="00D91F48" w:rsidRDefault="00206725" w:rsidP="00290E30">
      <w:pPr>
        <w:pStyle w:val="FootnoteText"/>
      </w:pPr>
      <w:r w:rsidRPr="00290E30">
        <w:tab/>
      </w:r>
      <w:r w:rsidRPr="00D91F48">
        <w:rPr>
          <w:rStyle w:val="FootnoteReference"/>
        </w:rPr>
        <w:footnoteRef/>
      </w:r>
      <w:r w:rsidRPr="00D91F48">
        <w:tab/>
        <w:t xml:space="preserve">See para. 2.4 above. </w:t>
      </w:r>
    </w:p>
  </w:footnote>
  <w:footnote w:id="3">
    <w:p w:rsidR="00206725" w:rsidRPr="00D91F48" w:rsidRDefault="00206725" w:rsidP="00365F12">
      <w:pPr>
        <w:pStyle w:val="FootnoteText"/>
      </w:pPr>
      <w:r w:rsidRPr="00D91F48">
        <w:tab/>
      </w:r>
      <w:r w:rsidRPr="00D91F48">
        <w:rPr>
          <w:rStyle w:val="FootnoteReference"/>
        </w:rPr>
        <w:footnoteRef/>
      </w:r>
      <w:r w:rsidRPr="00D91F48">
        <w:tab/>
        <w:t xml:space="preserve">Ibid. </w:t>
      </w:r>
    </w:p>
  </w:footnote>
  <w:footnote w:id="4">
    <w:p w:rsidR="00206725" w:rsidRPr="00D91F48" w:rsidRDefault="00206725" w:rsidP="0020067A">
      <w:pPr>
        <w:pStyle w:val="FootnoteText"/>
        <w:rPr>
          <w:lang w:val="en-US"/>
        </w:rPr>
      </w:pPr>
      <w:r w:rsidRPr="00D91F48">
        <w:tab/>
      </w:r>
      <w:r w:rsidRPr="00D91F48">
        <w:rPr>
          <w:rStyle w:val="FootnoteReference"/>
        </w:rPr>
        <w:footnoteRef/>
      </w:r>
      <w:r w:rsidRPr="00D91F48">
        <w:rPr>
          <w:lang w:val="en-US"/>
        </w:rPr>
        <w:tab/>
        <w:t xml:space="preserve">See for example, Committee against Torture communications No. 307/2006, </w:t>
      </w:r>
      <w:r w:rsidRPr="00D91F48">
        <w:rPr>
          <w:i/>
          <w:lang w:val="en-US"/>
        </w:rPr>
        <w:t xml:space="preserve">Yassin </w:t>
      </w:r>
      <w:r w:rsidRPr="00D91F48">
        <w:rPr>
          <w:iCs/>
          <w:lang w:val="en-US"/>
        </w:rPr>
        <w:t>v.</w:t>
      </w:r>
      <w:r w:rsidRPr="00D91F48">
        <w:rPr>
          <w:i/>
          <w:lang w:val="en-US"/>
        </w:rPr>
        <w:t xml:space="preserve"> Canada, </w:t>
      </w:r>
      <w:r w:rsidRPr="00D91F48">
        <w:rPr>
          <w:lang w:val="en-US"/>
        </w:rPr>
        <w:t xml:space="preserve">decision adopted on 4 November 2009, paras. 9.3–9.4; No. 304/2006, </w:t>
      </w:r>
      <w:r w:rsidRPr="00D91F48">
        <w:rPr>
          <w:i/>
          <w:lang w:val="en-US"/>
        </w:rPr>
        <w:t xml:space="preserve">L.Z.B. </w:t>
      </w:r>
      <w:r w:rsidRPr="00D91F48">
        <w:rPr>
          <w:iCs/>
          <w:lang w:val="en-US"/>
        </w:rPr>
        <w:t>v.</w:t>
      </w:r>
      <w:r w:rsidRPr="00D91F48">
        <w:rPr>
          <w:i/>
          <w:lang w:val="en-US"/>
        </w:rPr>
        <w:t xml:space="preserve"> Canada,</w:t>
      </w:r>
      <w:r w:rsidRPr="00D91F48">
        <w:rPr>
          <w:lang w:val="en-US"/>
        </w:rPr>
        <w:t xml:space="preserve"> decision adopted on 8 November 2007, para. </w:t>
      </w:r>
      <w:r w:rsidRPr="00D91F48">
        <w:t xml:space="preserve">6.6; European Court of Human Rights </w:t>
      </w:r>
      <w:r w:rsidR="00604BC7" w:rsidRPr="00D91F48">
        <w:t xml:space="preserve">judgment of 30 October 1991, </w:t>
      </w:r>
      <w:r w:rsidRPr="00D91F48">
        <w:rPr>
          <w:i/>
        </w:rPr>
        <w:t xml:space="preserve">Vilvarajah and Others </w:t>
      </w:r>
      <w:r w:rsidRPr="00D91F48">
        <w:rPr>
          <w:iCs/>
        </w:rPr>
        <w:t>v.</w:t>
      </w:r>
      <w:r w:rsidRPr="00D91F48">
        <w:rPr>
          <w:i/>
        </w:rPr>
        <w:t xml:space="preserve"> United Kingdom,</w:t>
      </w:r>
      <w:r w:rsidR="00604BC7" w:rsidRPr="00D91F48">
        <w:rPr>
          <w:i/>
        </w:rPr>
        <w:t xml:space="preserve"> </w:t>
      </w:r>
      <w:r w:rsidR="00604BC7" w:rsidRPr="00D91F48">
        <w:t xml:space="preserve">Application no. </w:t>
      </w:r>
      <w:hyperlink r:id="rId1" w:anchor="%7B%22appno%22:[%2213163/87%22]%7D" w:tgtFrame="_blank" w:history="1">
        <w:r w:rsidR="00604BC7" w:rsidRPr="00D91F48">
          <w:t>13163/87</w:t>
        </w:r>
      </w:hyperlink>
      <w:r w:rsidR="00604BC7" w:rsidRPr="00D91F48">
        <w:t xml:space="preserve">; 13164/87; 13165/87; 13447/87; </w:t>
      </w:r>
      <w:hyperlink r:id="rId2" w:anchor="%7B%22appno%22:[%2213448/87%22]%7D" w:tgtFrame="_blank" w:history="1">
        <w:r w:rsidR="00604BC7" w:rsidRPr="00D91F48">
          <w:t>13448/87</w:t>
        </w:r>
      </w:hyperlink>
      <w:r w:rsidR="001E7C5D" w:rsidRPr="00D91F48">
        <w:t>,</w:t>
      </w:r>
      <w:r w:rsidRPr="00D91F48">
        <w:t xml:space="preserve"> </w:t>
      </w:r>
      <w:r w:rsidR="0075099C" w:rsidRPr="00D91F48">
        <w:t>judgment of 30 October 1991</w:t>
      </w:r>
      <w:r w:rsidR="00F41099" w:rsidRPr="00D91F48">
        <w:t>,</w:t>
      </w:r>
      <w:r w:rsidRPr="00D91F48">
        <w:t xml:space="preserve"> para. </w:t>
      </w:r>
      <w:r w:rsidRPr="00D91F48">
        <w:rPr>
          <w:lang w:val="en-US"/>
        </w:rPr>
        <w:t xml:space="preserve">126; Committee against Torture communications No. 66/1997, </w:t>
      </w:r>
      <w:r w:rsidRPr="00D91F48">
        <w:rPr>
          <w:i/>
          <w:lang w:val="en-US"/>
        </w:rPr>
        <w:t xml:space="preserve">P.S.S. </w:t>
      </w:r>
      <w:r w:rsidRPr="00D91F48">
        <w:rPr>
          <w:iCs/>
          <w:lang w:val="en-US"/>
        </w:rPr>
        <w:t>v.</w:t>
      </w:r>
      <w:r w:rsidRPr="00D91F48">
        <w:rPr>
          <w:i/>
          <w:lang w:val="en-US"/>
        </w:rPr>
        <w:t xml:space="preserve"> Canada,</w:t>
      </w:r>
      <w:r w:rsidRPr="00D91F48">
        <w:rPr>
          <w:lang w:val="en-US"/>
        </w:rPr>
        <w:t xml:space="preserve"> </w:t>
      </w:r>
      <w:r w:rsidR="00FB0545" w:rsidRPr="00D91F48">
        <w:rPr>
          <w:lang w:val="en-US"/>
        </w:rPr>
        <w:t xml:space="preserve">decision </w:t>
      </w:r>
      <w:r w:rsidR="00CB73A1" w:rsidRPr="00D91F48">
        <w:rPr>
          <w:lang w:val="en-US"/>
        </w:rPr>
        <w:t>of</w:t>
      </w:r>
      <w:r w:rsidR="00FB0545" w:rsidRPr="00D91F48">
        <w:rPr>
          <w:lang w:val="en-US"/>
        </w:rPr>
        <w:t xml:space="preserve"> inadmissibility </w:t>
      </w:r>
      <w:r w:rsidRPr="00D91F48">
        <w:rPr>
          <w:lang w:val="en-US"/>
        </w:rPr>
        <w:t xml:space="preserve">adopted on </w:t>
      </w:r>
      <w:r w:rsidR="00A60890" w:rsidRPr="00D91F48">
        <w:rPr>
          <w:lang w:val="en-US"/>
        </w:rPr>
        <w:t xml:space="preserve">13 November </w:t>
      </w:r>
      <w:r w:rsidRPr="00D91F48">
        <w:rPr>
          <w:lang w:val="en-US"/>
        </w:rPr>
        <w:t xml:space="preserve">1998, para. 6.2; No. 86/1997, </w:t>
      </w:r>
      <w:r w:rsidRPr="00D91F48">
        <w:rPr>
          <w:i/>
          <w:lang w:val="en-US"/>
        </w:rPr>
        <w:t xml:space="preserve">P.S. </w:t>
      </w:r>
      <w:r w:rsidRPr="00D91F48">
        <w:rPr>
          <w:iCs/>
          <w:lang w:val="en-US"/>
        </w:rPr>
        <w:t>v.</w:t>
      </w:r>
      <w:r w:rsidRPr="00D91F48">
        <w:rPr>
          <w:i/>
          <w:lang w:val="en-US"/>
        </w:rPr>
        <w:t xml:space="preserve"> Canada, </w:t>
      </w:r>
      <w:r w:rsidR="00CB73A1" w:rsidRPr="00D91F48">
        <w:rPr>
          <w:iCs/>
          <w:lang w:val="en-US"/>
        </w:rPr>
        <w:t xml:space="preserve">decision of inadmissibility </w:t>
      </w:r>
      <w:r w:rsidRPr="00D91F48">
        <w:rPr>
          <w:lang w:val="en-US"/>
        </w:rPr>
        <w:t xml:space="preserve">adopted on </w:t>
      </w:r>
      <w:r w:rsidR="00A60890" w:rsidRPr="00D91F48">
        <w:rPr>
          <w:lang w:val="en-US"/>
        </w:rPr>
        <w:t>18 November 1999</w:t>
      </w:r>
      <w:r w:rsidRPr="00D91F48">
        <w:rPr>
          <w:lang w:val="en-US"/>
        </w:rPr>
        <w:t xml:space="preserve">, para. 6.2; No. 42/1996, </w:t>
      </w:r>
      <w:r w:rsidRPr="00D91F48">
        <w:rPr>
          <w:i/>
          <w:lang w:val="en-US"/>
        </w:rPr>
        <w:t xml:space="preserve">R.K. </w:t>
      </w:r>
      <w:r w:rsidRPr="00D91F48">
        <w:rPr>
          <w:iCs/>
          <w:lang w:val="en-US"/>
        </w:rPr>
        <w:t>v.</w:t>
      </w:r>
      <w:r w:rsidRPr="00D91F48">
        <w:rPr>
          <w:i/>
          <w:lang w:val="en-US"/>
        </w:rPr>
        <w:t xml:space="preserve"> Canada</w:t>
      </w:r>
      <w:r w:rsidRPr="00D91F48">
        <w:rPr>
          <w:lang w:val="en-US"/>
        </w:rPr>
        <w:t xml:space="preserve">, </w:t>
      </w:r>
      <w:r w:rsidR="00A60890" w:rsidRPr="00D91F48">
        <w:rPr>
          <w:lang w:val="en-US"/>
        </w:rPr>
        <w:t xml:space="preserve">decision </w:t>
      </w:r>
      <w:r w:rsidR="00CB73A1" w:rsidRPr="00D91F48">
        <w:rPr>
          <w:lang w:val="en-US"/>
        </w:rPr>
        <w:t>of</w:t>
      </w:r>
      <w:r w:rsidR="00A60890" w:rsidRPr="00D91F48">
        <w:rPr>
          <w:lang w:val="en-US"/>
        </w:rPr>
        <w:t xml:space="preserve"> </w:t>
      </w:r>
      <w:r w:rsidR="00CB73A1" w:rsidRPr="00D91F48">
        <w:rPr>
          <w:lang w:val="en-US"/>
        </w:rPr>
        <w:t>in</w:t>
      </w:r>
      <w:r w:rsidR="00A60890" w:rsidRPr="00D91F48">
        <w:rPr>
          <w:lang w:val="en-US"/>
        </w:rPr>
        <w:t xml:space="preserve">admissibility </w:t>
      </w:r>
      <w:r w:rsidRPr="00D91F48">
        <w:rPr>
          <w:lang w:val="en-US"/>
        </w:rPr>
        <w:t xml:space="preserve">adopted on </w:t>
      </w:r>
      <w:r w:rsidR="00A60890" w:rsidRPr="00D91F48">
        <w:rPr>
          <w:lang w:val="en-US"/>
        </w:rPr>
        <w:t xml:space="preserve">20 November </w:t>
      </w:r>
      <w:r w:rsidRPr="00D91F48">
        <w:rPr>
          <w:lang w:val="en-US"/>
        </w:rPr>
        <w:t xml:space="preserve">1997, para. 7.2; No. 95/1997, </w:t>
      </w:r>
      <w:r w:rsidRPr="00D91F48">
        <w:rPr>
          <w:i/>
          <w:lang w:val="en-US"/>
        </w:rPr>
        <w:t xml:space="preserve">L.O. </w:t>
      </w:r>
      <w:r w:rsidRPr="00D91F48">
        <w:rPr>
          <w:iCs/>
          <w:lang w:val="en-US"/>
        </w:rPr>
        <w:t>v.</w:t>
      </w:r>
      <w:r w:rsidRPr="00D91F48">
        <w:rPr>
          <w:i/>
          <w:lang w:val="en-US"/>
        </w:rPr>
        <w:t xml:space="preserve"> Canada, </w:t>
      </w:r>
      <w:r w:rsidR="00A60890" w:rsidRPr="00D91F48">
        <w:rPr>
          <w:iCs/>
          <w:lang w:val="en-US"/>
        </w:rPr>
        <w:t xml:space="preserve">decision </w:t>
      </w:r>
      <w:r w:rsidR="00B63D91" w:rsidRPr="00D91F48">
        <w:rPr>
          <w:iCs/>
          <w:lang w:val="en-US"/>
        </w:rPr>
        <w:t>of</w:t>
      </w:r>
      <w:r w:rsidR="00A60890" w:rsidRPr="00D91F48">
        <w:rPr>
          <w:iCs/>
          <w:lang w:val="en-US"/>
        </w:rPr>
        <w:t xml:space="preserve"> </w:t>
      </w:r>
      <w:r w:rsidR="00B63D91" w:rsidRPr="00D91F48">
        <w:rPr>
          <w:iCs/>
          <w:lang w:val="en-US"/>
        </w:rPr>
        <w:t>in</w:t>
      </w:r>
      <w:r w:rsidR="00A60890" w:rsidRPr="00D91F48">
        <w:rPr>
          <w:iCs/>
          <w:lang w:val="en-US"/>
        </w:rPr>
        <w:t xml:space="preserve">admissibility </w:t>
      </w:r>
      <w:r w:rsidRPr="00D91F48">
        <w:rPr>
          <w:lang w:val="en-US"/>
        </w:rPr>
        <w:t xml:space="preserve">adopted on </w:t>
      </w:r>
      <w:r w:rsidR="00A60890" w:rsidRPr="00D91F48">
        <w:rPr>
          <w:lang w:val="en-US"/>
        </w:rPr>
        <w:t xml:space="preserve">19 May </w:t>
      </w:r>
      <w:r w:rsidRPr="00D91F48">
        <w:rPr>
          <w:lang w:val="en-US"/>
        </w:rPr>
        <w:t>2000, para. 6.5; No. 22/1995,</w:t>
      </w:r>
      <w:r w:rsidR="00A60890" w:rsidRPr="00D91F48">
        <w:rPr>
          <w:lang w:val="en-US"/>
        </w:rPr>
        <w:t xml:space="preserve"> </w:t>
      </w:r>
      <w:r w:rsidRPr="00D91F48">
        <w:rPr>
          <w:i/>
          <w:lang w:val="en-US"/>
        </w:rPr>
        <w:t xml:space="preserve">M.A. </w:t>
      </w:r>
      <w:r w:rsidRPr="00D91F48">
        <w:rPr>
          <w:iCs/>
          <w:lang w:val="en-US"/>
        </w:rPr>
        <w:t>v.</w:t>
      </w:r>
      <w:r w:rsidRPr="00D91F48">
        <w:rPr>
          <w:i/>
          <w:lang w:val="en-US"/>
        </w:rPr>
        <w:t xml:space="preserve"> Canada,</w:t>
      </w:r>
      <w:r w:rsidRPr="00D91F48">
        <w:rPr>
          <w:lang w:val="en-US"/>
        </w:rPr>
        <w:t xml:space="preserve"> </w:t>
      </w:r>
      <w:r w:rsidR="00A60890" w:rsidRPr="00D91F48">
        <w:rPr>
          <w:lang w:val="en-US"/>
        </w:rPr>
        <w:t xml:space="preserve">decision </w:t>
      </w:r>
      <w:r w:rsidR="00B63D91" w:rsidRPr="00D91F48">
        <w:rPr>
          <w:lang w:val="en-US"/>
        </w:rPr>
        <w:t>of</w:t>
      </w:r>
      <w:r w:rsidR="00A60890" w:rsidRPr="00D91F48">
        <w:rPr>
          <w:lang w:val="en-US"/>
        </w:rPr>
        <w:t xml:space="preserve"> </w:t>
      </w:r>
      <w:r w:rsidR="00B63D91" w:rsidRPr="00D91F48">
        <w:rPr>
          <w:lang w:val="en-US"/>
        </w:rPr>
        <w:t>in</w:t>
      </w:r>
      <w:r w:rsidR="00A60890" w:rsidRPr="00D91F48">
        <w:rPr>
          <w:lang w:val="en-US"/>
        </w:rPr>
        <w:t xml:space="preserve">admissibility </w:t>
      </w:r>
      <w:r w:rsidRPr="00D91F48">
        <w:rPr>
          <w:lang w:val="en-US"/>
        </w:rPr>
        <w:t xml:space="preserve">adopted on </w:t>
      </w:r>
      <w:r w:rsidR="00A60890" w:rsidRPr="00D91F48">
        <w:rPr>
          <w:lang w:val="en-US"/>
        </w:rPr>
        <w:t xml:space="preserve">3 May </w:t>
      </w:r>
      <w:r w:rsidRPr="00D91F48">
        <w:rPr>
          <w:lang w:val="en-US"/>
        </w:rPr>
        <w:t>1995, para. 3; No. 183/2001,</w:t>
      </w:r>
      <w:r w:rsidR="00A60890" w:rsidRPr="00D91F48">
        <w:rPr>
          <w:lang w:val="en-US"/>
        </w:rPr>
        <w:t xml:space="preserve"> </w:t>
      </w:r>
      <w:r w:rsidRPr="00D91F48">
        <w:rPr>
          <w:i/>
          <w:lang w:val="en-US"/>
        </w:rPr>
        <w:t xml:space="preserve">B.S.S. </w:t>
      </w:r>
      <w:r w:rsidRPr="00D91F48">
        <w:rPr>
          <w:iCs/>
          <w:lang w:val="en-US"/>
        </w:rPr>
        <w:t>v.</w:t>
      </w:r>
      <w:r w:rsidRPr="00D91F48">
        <w:rPr>
          <w:i/>
          <w:lang w:val="en-US"/>
        </w:rPr>
        <w:t xml:space="preserve"> Canada,</w:t>
      </w:r>
      <w:r w:rsidRPr="00D91F48">
        <w:rPr>
          <w:lang w:val="en-US"/>
        </w:rPr>
        <w:t xml:space="preserve"> </w:t>
      </w:r>
      <w:r w:rsidR="00B63D91" w:rsidRPr="00D91F48">
        <w:rPr>
          <w:lang w:val="en-US"/>
        </w:rPr>
        <w:t xml:space="preserve">decision on admissibility </w:t>
      </w:r>
      <w:r w:rsidRPr="00D91F48">
        <w:rPr>
          <w:lang w:val="en-US"/>
        </w:rPr>
        <w:t xml:space="preserve">adopted on </w:t>
      </w:r>
      <w:r w:rsidR="00A60890" w:rsidRPr="00D91F48">
        <w:rPr>
          <w:lang w:val="en-US"/>
        </w:rPr>
        <w:t xml:space="preserve">12 May </w:t>
      </w:r>
      <w:r w:rsidRPr="00D91F48">
        <w:rPr>
          <w:lang w:val="en-US"/>
        </w:rPr>
        <w:t xml:space="preserve">2004, para. 11.6; No. 273/2005, </w:t>
      </w:r>
      <w:r w:rsidRPr="00D91F48">
        <w:rPr>
          <w:i/>
          <w:lang w:val="en-US"/>
        </w:rPr>
        <w:t xml:space="preserve">T.A. </w:t>
      </w:r>
      <w:r w:rsidRPr="00D91F48">
        <w:rPr>
          <w:iCs/>
          <w:lang w:val="en-US"/>
        </w:rPr>
        <w:t>v.</w:t>
      </w:r>
      <w:r w:rsidRPr="00D91F48">
        <w:rPr>
          <w:i/>
          <w:lang w:val="en-US"/>
        </w:rPr>
        <w:t xml:space="preserve"> Canada</w:t>
      </w:r>
      <w:r w:rsidRPr="00D91F48">
        <w:rPr>
          <w:lang w:val="en-US"/>
        </w:rPr>
        <w:t xml:space="preserve">, </w:t>
      </w:r>
      <w:r w:rsidR="00A60890" w:rsidRPr="00D91F48">
        <w:rPr>
          <w:lang w:val="en-US"/>
        </w:rPr>
        <w:t xml:space="preserve">decision of inadmissibility adopted 15 May </w:t>
      </w:r>
      <w:r w:rsidRPr="00D91F48">
        <w:rPr>
          <w:lang w:val="en-US"/>
        </w:rPr>
        <w:t xml:space="preserve">2006, para. 6.3. </w:t>
      </w:r>
    </w:p>
  </w:footnote>
  <w:footnote w:id="5">
    <w:p w:rsidR="00206725" w:rsidRPr="00D91F48" w:rsidRDefault="00206725" w:rsidP="00BC55A7">
      <w:pPr>
        <w:pStyle w:val="FootnoteText"/>
      </w:pPr>
      <w:r w:rsidRPr="00D91F48">
        <w:rPr>
          <w:lang w:val="en-US"/>
        </w:rPr>
        <w:tab/>
      </w:r>
      <w:r w:rsidRPr="00D91F48">
        <w:rPr>
          <w:rStyle w:val="FootnoteReference"/>
        </w:rPr>
        <w:footnoteRef/>
      </w:r>
      <w:r w:rsidRPr="00D91F48">
        <w:rPr>
          <w:lang w:val="en-US"/>
        </w:rPr>
        <w:tab/>
        <w:t xml:space="preserve">Communication No. 307/2006, </w:t>
      </w:r>
      <w:r w:rsidRPr="00D91F48">
        <w:rPr>
          <w:i/>
          <w:lang w:val="en-US"/>
        </w:rPr>
        <w:t xml:space="preserve">Yassin </w:t>
      </w:r>
      <w:r w:rsidRPr="00D91F48">
        <w:rPr>
          <w:iCs/>
          <w:lang w:val="en-US"/>
        </w:rPr>
        <w:t>v.</w:t>
      </w:r>
      <w:r w:rsidRPr="00D91F48">
        <w:rPr>
          <w:i/>
          <w:lang w:val="en-US"/>
        </w:rPr>
        <w:t xml:space="preserve"> Canada </w:t>
      </w:r>
      <w:r w:rsidRPr="00D91F48">
        <w:rPr>
          <w:iCs/>
          <w:lang w:val="en-US"/>
        </w:rPr>
        <w:t>(see footnote 3)</w:t>
      </w:r>
      <w:r w:rsidRPr="00D91F48">
        <w:rPr>
          <w:lang w:val="en-US"/>
        </w:rPr>
        <w:t xml:space="preserve">, paras. 9.3–9.5. </w:t>
      </w:r>
      <w:r w:rsidRPr="00D91F48">
        <w:t>Note that Mr.</w:t>
      </w:r>
      <w:r w:rsidRPr="00D91F48">
        <w:rPr>
          <w:lang w:val="en-US"/>
        </w:rPr>
        <w:t> </w:t>
      </w:r>
      <w:r w:rsidRPr="00D91F48">
        <w:t xml:space="preserve">Yassin failed to apply for judicial review of either his negative PRRA decision or his negative H&amp;C decision. </w:t>
      </w:r>
    </w:p>
  </w:footnote>
  <w:footnote w:id="6">
    <w:p w:rsidR="00206725" w:rsidRPr="00D91F48" w:rsidRDefault="00206725" w:rsidP="0020067A">
      <w:pPr>
        <w:pStyle w:val="FootnoteText"/>
      </w:pPr>
      <w:r w:rsidRPr="00D91F48">
        <w:tab/>
      </w:r>
      <w:r w:rsidRPr="00D91F48">
        <w:rPr>
          <w:rStyle w:val="FootnoteReference"/>
        </w:rPr>
        <w:footnoteRef/>
      </w:r>
      <w:r w:rsidRPr="00D91F48">
        <w:rPr>
          <w:lang w:val="es-ES"/>
        </w:rPr>
        <w:tab/>
      </w:r>
      <w:r w:rsidR="00D05AC7" w:rsidRPr="00D91F48">
        <w:rPr>
          <w:lang w:val="es-ES"/>
        </w:rPr>
        <w:t>C</w:t>
      </w:r>
      <w:r w:rsidRPr="00D91F48">
        <w:rPr>
          <w:lang w:val="es-ES"/>
        </w:rPr>
        <w:t xml:space="preserve">ommunication No. 273/2005, </w:t>
      </w:r>
      <w:r w:rsidRPr="00D91F48">
        <w:rPr>
          <w:i/>
          <w:lang w:val="es-ES"/>
        </w:rPr>
        <w:t xml:space="preserve">T.A. </w:t>
      </w:r>
      <w:r w:rsidRPr="00D91F48">
        <w:rPr>
          <w:iCs/>
          <w:lang w:val="es-ES"/>
        </w:rPr>
        <w:t>v.</w:t>
      </w:r>
      <w:r w:rsidRPr="00D91F48">
        <w:rPr>
          <w:i/>
          <w:lang w:val="es-ES"/>
        </w:rPr>
        <w:t xml:space="preserve"> Canada</w:t>
      </w:r>
      <w:r w:rsidRPr="00D91F48">
        <w:rPr>
          <w:lang w:val="es-ES"/>
        </w:rPr>
        <w:t xml:space="preserve"> </w:t>
      </w:r>
      <w:r w:rsidR="0020067A" w:rsidRPr="00D91F48">
        <w:rPr>
          <w:lang w:val="es-ES"/>
        </w:rPr>
        <w:t>(see footnote 3)</w:t>
      </w:r>
      <w:r w:rsidRPr="00D91F48">
        <w:rPr>
          <w:lang w:val="es-ES"/>
        </w:rPr>
        <w:t xml:space="preserve">, para. 6.3; No. 304/2006, </w:t>
      </w:r>
      <w:r w:rsidRPr="00D91F48">
        <w:rPr>
          <w:i/>
          <w:lang w:val="es-ES"/>
        </w:rPr>
        <w:t xml:space="preserve">L.Z.B. </w:t>
      </w:r>
      <w:r w:rsidRPr="00D91F48">
        <w:rPr>
          <w:iCs/>
          <w:lang w:val="es-ES"/>
        </w:rPr>
        <w:t>v.</w:t>
      </w:r>
      <w:r w:rsidRPr="00D91F48">
        <w:rPr>
          <w:i/>
          <w:lang w:val="es-ES"/>
        </w:rPr>
        <w:t xml:space="preserve"> Canada</w:t>
      </w:r>
      <w:r w:rsidRPr="00D91F48">
        <w:rPr>
          <w:lang w:val="es-ES"/>
        </w:rPr>
        <w:t xml:space="preserve"> </w:t>
      </w:r>
      <w:r w:rsidR="0020067A" w:rsidRPr="00D91F48">
        <w:rPr>
          <w:lang w:val="es-ES"/>
        </w:rPr>
        <w:t>(see footnote 3)</w:t>
      </w:r>
      <w:r w:rsidRPr="00D91F48">
        <w:rPr>
          <w:lang w:val="es-ES"/>
        </w:rPr>
        <w:t>, para. </w:t>
      </w:r>
      <w:r w:rsidRPr="00D91F48">
        <w:t xml:space="preserve">6.6. </w:t>
      </w:r>
    </w:p>
  </w:footnote>
  <w:footnote w:id="7">
    <w:p w:rsidR="00206725" w:rsidRPr="00D91F48" w:rsidRDefault="00206725" w:rsidP="0021453B">
      <w:pPr>
        <w:pStyle w:val="FootnoteText"/>
      </w:pPr>
      <w:r w:rsidRPr="00D91F48">
        <w:tab/>
      </w:r>
      <w:r w:rsidRPr="00D91F48">
        <w:rPr>
          <w:rStyle w:val="FootnoteReference"/>
        </w:rPr>
        <w:footnoteRef/>
      </w:r>
      <w:r w:rsidRPr="00D91F48">
        <w:tab/>
        <w:t xml:space="preserve">Communication No. 319/2007, </w:t>
      </w:r>
      <w:r w:rsidRPr="00D91F48">
        <w:rPr>
          <w:i/>
        </w:rPr>
        <w:t xml:space="preserve">Nirmal Singh </w:t>
      </w:r>
      <w:r w:rsidRPr="00D91F48">
        <w:rPr>
          <w:iCs/>
        </w:rPr>
        <w:t>v.</w:t>
      </w:r>
      <w:r w:rsidRPr="00D91F48">
        <w:rPr>
          <w:i/>
        </w:rPr>
        <w:t xml:space="preserve"> Canada,</w:t>
      </w:r>
      <w:r w:rsidRPr="00D91F48">
        <w:t xml:space="preserve"> </w:t>
      </w:r>
      <w:r w:rsidR="0020067A" w:rsidRPr="00D91F48">
        <w:t xml:space="preserve">decision </w:t>
      </w:r>
      <w:r w:rsidRPr="00D91F48">
        <w:rPr>
          <w:lang w:val="en-US"/>
        </w:rPr>
        <w:t xml:space="preserve">adopted on </w:t>
      </w:r>
      <w:r w:rsidR="0020067A" w:rsidRPr="00D91F48">
        <w:rPr>
          <w:lang w:val="en-US"/>
        </w:rPr>
        <w:t>30 May</w:t>
      </w:r>
      <w:r w:rsidR="00B87CB1" w:rsidRPr="00D91F48">
        <w:rPr>
          <w:lang w:val="en-US"/>
        </w:rPr>
        <w:t xml:space="preserve"> </w:t>
      </w:r>
      <w:r w:rsidRPr="00D91F48">
        <w:t xml:space="preserve">2011. </w:t>
      </w:r>
    </w:p>
  </w:footnote>
  <w:footnote w:id="8">
    <w:p w:rsidR="00206725" w:rsidRPr="00D91F48" w:rsidRDefault="00206725" w:rsidP="00B87CB1">
      <w:pPr>
        <w:pStyle w:val="FootnoteText"/>
        <w:rPr>
          <w:lang w:val="en-US"/>
        </w:rPr>
      </w:pPr>
      <w:r w:rsidRPr="00D91F48">
        <w:tab/>
      </w:r>
      <w:r w:rsidRPr="00D91F48">
        <w:rPr>
          <w:rStyle w:val="FootnoteReference"/>
        </w:rPr>
        <w:footnoteRef/>
      </w:r>
      <w:r w:rsidRPr="00D91F48">
        <w:tab/>
        <w:t xml:space="preserve">The State party also refers to the Human Rights Committee’s jurisprudence considering judicial review by the Federal Court to be an effective remedy for the purpose of admissibility. See for example, Human Rights </w:t>
      </w:r>
      <w:r w:rsidR="00B87CB1" w:rsidRPr="00D91F48">
        <w:t>Committee</w:t>
      </w:r>
      <w:r w:rsidRPr="00D91F48">
        <w:t xml:space="preserve"> communications No. 1872/2009, </w:t>
      </w:r>
      <w:r w:rsidRPr="00D91F48">
        <w:rPr>
          <w:i/>
        </w:rPr>
        <w:t xml:space="preserve">D.J.D.G. </w:t>
      </w:r>
      <w:r w:rsidRPr="00D91F48">
        <w:rPr>
          <w:iCs/>
        </w:rPr>
        <w:t>v.</w:t>
      </w:r>
      <w:r w:rsidRPr="00D91F48">
        <w:rPr>
          <w:i/>
        </w:rPr>
        <w:t xml:space="preserve"> Canada,</w:t>
      </w:r>
      <w:r w:rsidRPr="00D91F48">
        <w:t xml:space="preserve"> </w:t>
      </w:r>
      <w:r w:rsidR="0020067A" w:rsidRPr="00D91F48">
        <w:t xml:space="preserve">decision of inadmissibility </w:t>
      </w:r>
      <w:r w:rsidR="0020067A" w:rsidRPr="00D91F48">
        <w:rPr>
          <w:lang w:val="en-US"/>
        </w:rPr>
        <w:t xml:space="preserve">adopted on 26 July </w:t>
      </w:r>
      <w:r w:rsidR="0020067A" w:rsidRPr="00D91F48">
        <w:t xml:space="preserve">2010, </w:t>
      </w:r>
      <w:r w:rsidRPr="00D91F48">
        <w:t>para. </w:t>
      </w:r>
      <w:r w:rsidRPr="00D91F48">
        <w:rPr>
          <w:lang w:val="en-US"/>
        </w:rPr>
        <w:t xml:space="preserve">7.4 ; No. 1580/2007, </w:t>
      </w:r>
      <w:r w:rsidRPr="00D91F48">
        <w:rPr>
          <w:i/>
          <w:lang w:val="en-US"/>
        </w:rPr>
        <w:t xml:space="preserve">F.M. </w:t>
      </w:r>
      <w:r w:rsidRPr="00D91F48">
        <w:rPr>
          <w:iCs/>
          <w:lang w:val="en-US"/>
        </w:rPr>
        <w:t>v.</w:t>
      </w:r>
      <w:r w:rsidRPr="00D91F48">
        <w:rPr>
          <w:i/>
          <w:lang w:val="en-US"/>
        </w:rPr>
        <w:t xml:space="preserve"> Canada,</w:t>
      </w:r>
      <w:r w:rsidRPr="00D91F48">
        <w:rPr>
          <w:lang w:val="en-US"/>
        </w:rPr>
        <w:t xml:space="preserve"> </w:t>
      </w:r>
      <w:r w:rsidR="009D796C" w:rsidRPr="00D91F48">
        <w:rPr>
          <w:lang w:val="en-US"/>
        </w:rPr>
        <w:t xml:space="preserve">decision of inadmissibility </w:t>
      </w:r>
      <w:r w:rsidRPr="00D91F48">
        <w:rPr>
          <w:lang w:val="en-US"/>
        </w:rPr>
        <w:t xml:space="preserve">adopted on </w:t>
      </w:r>
      <w:r w:rsidR="009D796C" w:rsidRPr="00D91F48">
        <w:rPr>
          <w:lang w:val="en-US"/>
        </w:rPr>
        <w:t xml:space="preserve">30 October </w:t>
      </w:r>
      <w:r w:rsidRPr="00D91F48">
        <w:rPr>
          <w:lang w:val="en-US"/>
        </w:rPr>
        <w:t>2008, para. 6.3; No. 1578/2007,</w:t>
      </w:r>
      <w:r w:rsidRPr="00D91F48">
        <w:rPr>
          <w:i/>
          <w:lang w:val="en-US"/>
        </w:rPr>
        <w:t xml:space="preserve"> Dastgir </w:t>
      </w:r>
      <w:r w:rsidRPr="00D91F48">
        <w:rPr>
          <w:iCs/>
          <w:lang w:val="en-US"/>
        </w:rPr>
        <w:t>v.</w:t>
      </w:r>
      <w:r w:rsidRPr="00D91F48">
        <w:rPr>
          <w:i/>
          <w:lang w:val="en-US"/>
        </w:rPr>
        <w:t xml:space="preserve"> Canada, </w:t>
      </w:r>
      <w:r w:rsidR="009D796C" w:rsidRPr="00D91F48">
        <w:rPr>
          <w:iCs/>
          <w:lang w:val="en-US"/>
        </w:rPr>
        <w:t>decision of inadmissibility</w:t>
      </w:r>
      <w:r w:rsidRPr="00D91F48">
        <w:rPr>
          <w:lang w:val="en-US"/>
        </w:rPr>
        <w:t xml:space="preserve"> adopted on </w:t>
      </w:r>
      <w:r w:rsidR="009D796C" w:rsidRPr="00D91F48">
        <w:rPr>
          <w:lang w:val="en-US"/>
        </w:rPr>
        <w:t xml:space="preserve">30 October </w:t>
      </w:r>
      <w:r w:rsidRPr="00D91F48">
        <w:rPr>
          <w:lang w:val="en-US"/>
        </w:rPr>
        <w:t xml:space="preserve">2008, para. 6.2; No. 939/2000, </w:t>
      </w:r>
      <w:r w:rsidRPr="00D91F48">
        <w:rPr>
          <w:i/>
          <w:lang w:val="en-US"/>
        </w:rPr>
        <w:t xml:space="preserve">Dupuy </w:t>
      </w:r>
      <w:r w:rsidRPr="00D91F48">
        <w:rPr>
          <w:iCs/>
          <w:lang w:val="en-US"/>
        </w:rPr>
        <w:t>v.</w:t>
      </w:r>
      <w:r w:rsidRPr="00D91F48">
        <w:rPr>
          <w:i/>
          <w:lang w:val="en-US"/>
        </w:rPr>
        <w:t xml:space="preserve"> Canada, </w:t>
      </w:r>
      <w:r w:rsidR="009D796C" w:rsidRPr="00D91F48">
        <w:rPr>
          <w:iCs/>
          <w:lang w:val="en-US"/>
        </w:rPr>
        <w:t xml:space="preserve">decision of inadmissibility </w:t>
      </w:r>
      <w:r w:rsidRPr="00D91F48">
        <w:rPr>
          <w:lang w:val="en-US"/>
        </w:rPr>
        <w:t>adopte</w:t>
      </w:r>
      <w:r w:rsidR="009D796C" w:rsidRPr="00D91F48">
        <w:rPr>
          <w:lang w:val="en-US"/>
        </w:rPr>
        <w:t>d</w:t>
      </w:r>
      <w:r w:rsidRPr="00D91F48">
        <w:rPr>
          <w:lang w:val="en-US"/>
        </w:rPr>
        <w:t xml:space="preserve"> on </w:t>
      </w:r>
      <w:r w:rsidR="009D796C" w:rsidRPr="00D91F48">
        <w:rPr>
          <w:lang w:val="en-US"/>
        </w:rPr>
        <w:t xml:space="preserve">18 March </w:t>
      </w:r>
      <w:r w:rsidRPr="00D91F48">
        <w:rPr>
          <w:lang w:val="en-US"/>
        </w:rPr>
        <w:t xml:space="preserve">2005, para. 7.3. See also Human Rights Committee communications No. 654/1995, </w:t>
      </w:r>
      <w:r w:rsidRPr="00D91F48">
        <w:rPr>
          <w:i/>
          <w:lang w:val="en-US"/>
        </w:rPr>
        <w:t>Adu</w:t>
      </w:r>
      <w:r w:rsidRPr="00D91F48">
        <w:rPr>
          <w:i/>
          <w:iCs/>
          <w:lang w:val="en-US"/>
        </w:rPr>
        <w:t xml:space="preserve"> </w:t>
      </w:r>
      <w:r w:rsidRPr="00D91F48">
        <w:rPr>
          <w:lang w:val="en-US"/>
        </w:rPr>
        <w:t>v.</w:t>
      </w:r>
      <w:r w:rsidRPr="00D91F48">
        <w:rPr>
          <w:i/>
          <w:lang w:val="en-US"/>
        </w:rPr>
        <w:t xml:space="preserve"> Canada,</w:t>
      </w:r>
      <w:r w:rsidRPr="00D91F48">
        <w:rPr>
          <w:lang w:val="en-US"/>
        </w:rPr>
        <w:t xml:space="preserve"> </w:t>
      </w:r>
      <w:r w:rsidR="009D796C" w:rsidRPr="00D91F48">
        <w:rPr>
          <w:lang w:val="en-US"/>
        </w:rPr>
        <w:t xml:space="preserve">decision of inadmissibility </w:t>
      </w:r>
      <w:r w:rsidRPr="00D91F48">
        <w:rPr>
          <w:lang w:val="en-US"/>
        </w:rPr>
        <w:t xml:space="preserve">adopted on </w:t>
      </w:r>
      <w:r w:rsidR="009D796C" w:rsidRPr="00D91F48">
        <w:rPr>
          <w:lang w:val="en-US"/>
        </w:rPr>
        <w:t xml:space="preserve">18 July </w:t>
      </w:r>
      <w:r w:rsidRPr="00D91F48">
        <w:rPr>
          <w:lang w:val="en-US"/>
        </w:rPr>
        <w:t xml:space="preserve">1997, para. 6.2; No. 603/1994, </w:t>
      </w:r>
      <w:r w:rsidRPr="00D91F48">
        <w:rPr>
          <w:i/>
          <w:lang w:val="en-US"/>
        </w:rPr>
        <w:t xml:space="preserve">Badu </w:t>
      </w:r>
      <w:r w:rsidRPr="00D91F48">
        <w:rPr>
          <w:lang w:val="en-US"/>
        </w:rPr>
        <w:t>v.</w:t>
      </w:r>
      <w:r w:rsidRPr="00D91F48">
        <w:rPr>
          <w:i/>
          <w:lang w:val="en-US"/>
        </w:rPr>
        <w:t xml:space="preserve"> Canada,</w:t>
      </w:r>
      <w:r w:rsidRPr="00D91F48">
        <w:rPr>
          <w:lang w:val="en-US"/>
        </w:rPr>
        <w:t xml:space="preserve"> </w:t>
      </w:r>
      <w:r w:rsidR="009D796C" w:rsidRPr="00D91F48">
        <w:rPr>
          <w:lang w:val="en-US"/>
        </w:rPr>
        <w:t xml:space="preserve">decision of inadmissibility </w:t>
      </w:r>
      <w:r w:rsidRPr="00D91F48">
        <w:rPr>
          <w:lang w:val="en-US"/>
        </w:rPr>
        <w:t xml:space="preserve">adopted on </w:t>
      </w:r>
      <w:r w:rsidR="009D796C" w:rsidRPr="00D91F48">
        <w:rPr>
          <w:lang w:val="en-US"/>
        </w:rPr>
        <w:t xml:space="preserve">18 July </w:t>
      </w:r>
      <w:r w:rsidRPr="00D91F48">
        <w:rPr>
          <w:lang w:val="en-US"/>
        </w:rPr>
        <w:t xml:space="preserve">1997, para. 6.2 ; No. 604/1994, </w:t>
      </w:r>
      <w:r w:rsidRPr="00D91F48">
        <w:rPr>
          <w:i/>
          <w:lang w:val="en-US"/>
        </w:rPr>
        <w:t xml:space="preserve">Nartey </w:t>
      </w:r>
      <w:r w:rsidRPr="00D91F48">
        <w:rPr>
          <w:lang w:val="en-US"/>
        </w:rPr>
        <w:t>v.</w:t>
      </w:r>
      <w:r w:rsidRPr="00D91F48">
        <w:rPr>
          <w:i/>
          <w:lang w:val="en-US"/>
        </w:rPr>
        <w:t xml:space="preserve"> Canada</w:t>
      </w:r>
      <w:r w:rsidRPr="00D91F48">
        <w:rPr>
          <w:lang w:val="en-US"/>
        </w:rPr>
        <w:t xml:space="preserve">, </w:t>
      </w:r>
      <w:r w:rsidR="009D796C" w:rsidRPr="00D91F48">
        <w:rPr>
          <w:lang w:val="en-US"/>
        </w:rPr>
        <w:t xml:space="preserve">decision of inadmissibility adopted on 18 July </w:t>
      </w:r>
      <w:r w:rsidRPr="00D91F48">
        <w:rPr>
          <w:lang w:val="en-US"/>
        </w:rPr>
        <w:t>1997, para. </w:t>
      </w:r>
      <w:r w:rsidRPr="00D91F48">
        <w:t>6.2;</w:t>
      </w:r>
      <w:r w:rsidRPr="00D91F48">
        <w:rPr>
          <w:i/>
        </w:rPr>
        <w:t xml:space="preserve"> </w:t>
      </w:r>
      <w:r w:rsidRPr="00D91F48">
        <w:t xml:space="preserve">see also </w:t>
      </w:r>
      <w:r w:rsidR="009D796C" w:rsidRPr="00D91F48">
        <w:t xml:space="preserve">ECHR judgment, </w:t>
      </w:r>
      <w:r w:rsidRPr="00D91F48">
        <w:rPr>
          <w:i/>
        </w:rPr>
        <w:t xml:space="preserve">Vilvarajah and Others </w:t>
      </w:r>
      <w:r w:rsidRPr="00D91F48">
        <w:t>v.</w:t>
      </w:r>
      <w:r w:rsidRPr="00D91F48">
        <w:rPr>
          <w:i/>
        </w:rPr>
        <w:t xml:space="preserve"> United Kingdom</w:t>
      </w:r>
      <w:r w:rsidR="009D796C" w:rsidRPr="00D91F48">
        <w:t xml:space="preserve"> (see footnote 3)</w:t>
      </w:r>
      <w:r w:rsidRPr="00D91F48">
        <w:t xml:space="preserve">, para. 126. </w:t>
      </w:r>
    </w:p>
  </w:footnote>
  <w:footnote w:id="9">
    <w:p w:rsidR="00206725" w:rsidRPr="00D91F48" w:rsidRDefault="00206725" w:rsidP="0021453B">
      <w:pPr>
        <w:pStyle w:val="FootnoteText"/>
        <w:rPr>
          <w:lang w:val="en-US"/>
        </w:rPr>
      </w:pPr>
      <w:r w:rsidRPr="00D91F48">
        <w:tab/>
      </w:r>
      <w:r w:rsidRPr="00D91F48">
        <w:rPr>
          <w:rStyle w:val="FootnoteReference"/>
        </w:rPr>
        <w:footnoteRef/>
      </w:r>
      <w:r w:rsidRPr="00D91F48">
        <w:rPr>
          <w:lang w:val="en-US"/>
        </w:rPr>
        <w:tab/>
      </w:r>
      <w:r w:rsidRPr="00D91F48">
        <w:t>C</w:t>
      </w:r>
      <w:r w:rsidRPr="00D91F48">
        <w:rPr>
          <w:lang w:val="en-US"/>
        </w:rPr>
        <w:t xml:space="preserve">ommunication No. 343/2008, </w:t>
      </w:r>
      <w:r w:rsidRPr="00D91F48">
        <w:rPr>
          <w:i/>
          <w:lang w:val="en-US"/>
        </w:rPr>
        <w:t xml:space="preserve">Kalonzo </w:t>
      </w:r>
      <w:r w:rsidRPr="00D91F48">
        <w:rPr>
          <w:iCs/>
          <w:lang w:val="en-US"/>
        </w:rPr>
        <w:t>v.</w:t>
      </w:r>
      <w:r w:rsidRPr="00D91F48">
        <w:rPr>
          <w:i/>
          <w:lang w:val="en-US"/>
        </w:rPr>
        <w:t xml:space="preserve"> Canada,</w:t>
      </w:r>
      <w:r w:rsidRPr="00D91F48">
        <w:rPr>
          <w:lang w:val="en-US"/>
        </w:rPr>
        <w:t xml:space="preserve"> </w:t>
      </w:r>
      <w:r w:rsidR="007C0892" w:rsidRPr="00D91F48">
        <w:rPr>
          <w:lang w:val="en-US"/>
        </w:rPr>
        <w:t xml:space="preserve">decision </w:t>
      </w:r>
      <w:r w:rsidRPr="00D91F48">
        <w:rPr>
          <w:lang w:val="en-US"/>
        </w:rPr>
        <w:t xml:space="preserve">adopted on </w:t>
      </w:r>
      <w:r w:rsidR="007C0892" w:rsidRPr="00D91F48">
        <w:rPr>
          <w:lang w:val="en-US"/>
        </w:rPr>
        <w:t xml:space="preserve">18 May </w:t>
      </w:r>
      <w:r w:rsidRPr="00D91F48">
        <w:rPr>
          <w:lang w:val="en-US"/>
        </w:rPr>
        <w:t xml:space="preserve">2012. </w:t>
      </w:r>
    </w:p>
  </w:footnote>
  <w:footnote w:id="10">
    <w:p w:rsidR="00206725" w:rsidRPr="00D91F48" w:rsidRDefault="00206725" w:rsidP="0021453B">
      <w:pPr>
        <w:pStyle w:val="FootnoteText"/>
        <w:rPr>
          <w:lang w:val="en-US"/>
        </w:rPr>
      </w:pPr>
      <w:r w:rsidRPr="00D91F48">
        <w:rPr>
          <w:lang w:val="en-US"/>
        </w:rPr>
        <w:tab/>
      </w:r>
      <w:r w:rsidRPr="00D91F48">
        <w:rPr>
          <w:rStyle w:val="FootnoteReference"/>
        </w:rPr>
        <w:footnoteRef/>
      </w:r>
      <w:r w:rsidRPr="00D91F48">
        <w:rPr>
          <w:lang w:val="en-US"/>
        </w:rPr>
        <w:tab/>
      </w:r>
      <w:r w:rsidRPr="00D91F48">
        <w:t>C</w:t>
      </w:r>
      <w:r w:rsidRPr="00D91F48">
        <w:rPr>
          <w:lang w:val="en-US"/>
        </w:rPr>
        <w:t xml:space="preserve">ommunication No. 333/2007, </w:t>
      </w:r>
      <w:r w:rsidRPr="00D91F48">
        <w:rPr>
          <w:i/>
          <w:lang w:val="en-US"/>
        </w:rPr>
        <w:t xml:space="preserve">T.I. </w:t>
      </w:r>
      <w:r w:rsidRPr="00D91F48">
        <w:rPr>
          <w:iCs/>
          <w:lang w:val="en-US"/>
        </w:rPr>
        <w:t>v.</w:t>
      </w:r>
      <w:r w:rsidRPr="00D91F48">
        <w:rPr>
          <w:i/>
          <w:lang w:val="en-US"/>
        </w:rPr>
        <w:t xml:space="preserve"> Canada, </w:t>
      </w:r>
      <w:r w:rsidR="002D49BF" w:rsidRPr="00D91F48">
        <w:rPr>
          <w:iCs/>
          <w:lang w:val="en-US"/>
        </w:rPr>
        <w:t xml:space="preserve">decision adopted on 15 November </w:t>
      </w:r>
      <w:r w:rsidRPr="00D91F48">
        <w:rPr>
          <w:lang w:val="en-US"/>
        </w:rPr>
        <w:t xml:space="preserve">2010. </w:t>
      </w:r>
    </w:p>
  </w:footnote>
  <w:footnote w:id="11">
    <w:p w:rsidR="00206725" w:rsidRPr="00D91F48" w:rsidRDefault="00206725" w:rsidP="0021453B">
      <w:pPr>
        <w:pStyle w:val="FootnoteText"/>
      </w:pPr>
      <w:r w:rsidRPr="00D91F48">
        <w:rPr>
          <w:lang w:val="en-US"/>
        </w:rPr>
        <w:tab/>
      </w:r>
      <w:r w:rsidRPr="00D91F48">
        <w:rPr>
          <w:rStyle w:val="FootnoteReference"/>
        </w:rPr>
        <w:footnoteRef/>
      </w:r>
      <w:r w:rsidRPr="00D91F48">
        <w:tab/>
        <w:t xml:space="preserve">Communications No. 36/1995, </w:t>
      </w:r>
      <w:r w:rsidRPr="00D91F48">
        <w:rPr>
          <w:i/>
        </w:rPr>
        <w:t xml:space="preserve">X. </w:t>
      </w:r>
      <w:r w:rsidRPr="00D91F48">
        <w:rPr>
          <w:iCs/>
        </w:rPr>
        <w:t>v.</w:t>
      </w:r>
      <w:r w:rsidRPr="00D91F48">
        <w:rPr>
          <w:i/>
        </w:rPr>
        <w:t xml:space="preserve"> The Netherlands</w:t>
      </w:r>
      <w:r w:rsidRPr="00D91F48">
        <w:t xml:space="preserve">, </w:t>
      </w:r>
      <w:r w:rsidR="002D49BF" w:rsidRPr="00D91F48">
        <w:t xml:space="preserve">Views </w:t>
      </w:r>
      <w:r w:rsidRPr="00D91F48">
        <w:t xml:space="preserve">adopted on </w:t>
      </w:r>
      <w:r w:rsidR="002D49BF" w:rsidRPr="00D91F48">
        <w:t xml:space="preserve">8 May </w:t>
      </w:r>
      <w:r w:rsidRPr="00D91F48">
        <w:t xml:space="preserve">1996, and No. 18/1994, </w:t>
      </w:r>
      <w:r w:rsidRPr="00D91F48">
        <w:rPr>
          <w:i/>
        </w:rPr>
        <w:t xml:space="preserve">Y. </w:t>
      </w:r>
      <w:r w:rsidRPr="00D91F48">
        <w:rPr>
          <w:iCs/>
        </w:rPr>
        <w:t>v.</w:t>
      </w:r>
      <w:r w:rsidRPr="00D91F48">
        <w:rPr>
          <w:i/>
        </w:rPr>
        <w:t xml:space="preserve"> Switzerland</w:t>
      </w:r>
      <w:r w:rsidRPr="00D91F48">
        <w:t xml:space="preserve">, </w:t>
      </w:r>
      <w:r w:rsidR="00802E46" w:rsidRPr="00D91F48">
        <w:t xml:space="preserve">decision </w:t>
      </w:r>
      <w:r w:rsidRPr="00D91F48">
        <w:t xml:space="preserve">adopted on </w:t>
      </w:r>
      <w:r w:rsidR="002D49BF" w:rsidRPr="00D91F48">
        <w:t xml:space="preserve">17 November </w:t>
      </w:r>
      <w:r w:rsidRPr="00D91F48">
        <w:t xml:space="preserve">1994. </w:t>
      </w:r>
    </w:p>
  </w:footnote>
  <w:footnote w:id="12">
    <w:p w:rsidR="00206725" w:rsidRPr="00D91F48" w:rsidRDefault="00206725" w:rsidP="00403EF3">
      <w:pPr>
        <w:pStyle w:val="FootnoteText"/>
      </w:pPr>
      <w:r w:rsidRPr="00D91F48">
        <w:tab/>
      </w:r>
      <w:r w:rsidRPr="00D91F48">
        <w:rPr>
          <w:rStyle w:val="FootnoteReference"/>
        </w:rPr>
        <w:footnoteRef/>
      </w:r>
      <w:r w:rsidRPr="00D91F48">
        <w:tab/>
        <w:t>Committee against Torture</w:t>
      </w:r>
      <w:r w:rsidR="0053461B" w:rsidRPr="00D91F48">
        <w:t>, general comment No. 1</w:t>
      </w:r>
      <w:r w:rsidRPr="00D91F48">
        <w:t xml:space="preserve"> on the </w:t>
      </w:r>
      <w:r w:rsidR="0053461B" w:rsidRPr="00D91F48">
        <w:t>i</w:t>
      </w:r>
      <w:r w:rsidRPr="00D91F48">
        <w:t xml:space="preserve">mplementation of </w:t>
      </w:r>
      <w:r w:rsidR="0053461B" w:rsidRPr="00D91F48">
        <w:t>a</w:t>
      </w:r>
      <w:r w:rsidRPr="00D91F48">
        <w:t xml:space="preserve">rticle 3 in the context of </w:t>
      </w:r>
      <w:r w:rsidR="00403EF3" w:rsidRPr="00D91F48">
        <w:t>a</w:t>
      </w:r>
      <w:r w:rsidRPr="00D91F48">
        <w:t xml:space="preserve">rticle 22 of the </w:t>
      </w:r>
      <w:r w:rsidRPr="00D91F48">
        <w:rPr>
          <w:iCs/>
        </w:rPr>
        <w:t>Convention against Torture</w:t>
      </w:r>
      <w:r w:rsidRPr="00D91F48">
        <w:t>, paras. 6</w:t>
      </w:r>
      <w:r w:rsidR="0053461B" w:rsidRPr="00D91F48">
        <w:t>–</w:t>
      </w:r>
      <w:r w:rsidRPr="00D91F48">
        <w:t>7. Recent views reiterating th</w:t>
      </w:r>
      <w:r w:rsidR="0053461B" w:rsidRPr="00D91F48">
        <w:t>o</w:t>
      </w:r>
      <w:r w:rsidRPr="00D91F48">
        <w:t xml:space="preserve">se principles include communications No. 343/2008, </w:t>
      </w:r>
      <w:r w:rsidRPr="00D91F48">
        <w:rPr>
          <w:i/>
        </w:rPr>
        <w:t xml:space="preserve">Kalonzo </w:t>
      </w:r>
      <w:r w:rsidRPr="00D91F48">
        <w:rPr>
          <w:iCs/>
        </w:rPr>
        <w:t>v.</w:t>
      </w:r>
      <w:r w:rsidRPr="00D91F48">
        <w:rPr>
          <w:i/>
        </w:rPr>
        <w:t xml:space="preserve"> Canada</w:t>
      </w:r>
      <w:r w:rsidR="00222F40" w:rsidRPr="00D91F48">
        <w:t xml:space="preserve"> (see footnote 8)</w:t>
      </w:r>
      <w:r w:rsidRPr="00D91F48">
        <w:t xml:space="preserve">, para. 9.3; No. 370/2009, </w:t>
      </w:r>
      <w:r w:rsidRPr="00D91F48">
        <w:rPr>
          <w:i/>
        </w:rPr>
        <w:t xml:space="preserve">E.L. </w:t>
      </w:r>
      <w:r w:rsidRPr="00D91F48">
        <w:rPr>
          <w:iCs/>
        </w:rPr>
        <w:t>v.</w:t>
      </w:r>
      <w:r w:rsidRPr="00D91F48">
        <w:rPr>
          <w:i/>
        </w:rPr>
        <w:t xml:space="preserve"> Canada, </w:t>
      </w:r>
      <w:r w:rsidR="00403EF3" w:rsidRPr="00D91F48">
        <w:rPr>
          <w:iCs/>
        </w:rPr>
        <w:t xml:space="preserve">decision </w:t>
      </w:r>
      <w:r w:rsidRPr="00D91F48">
        <w:t>adopted on</w:t>
      </w:r>
      <w:r w:rsidRPr="00D91F48">
        <w:rPr>
          <w:i/>
        </w:rPr>
        <w:t xml:space="preserve"> </w:t>
      </w:r>
      <w:r w:rsidR="00222F40" w:rsidRPr="00D91F48">
        <w:rPr>
          <w:iCs/>
        </w:rPr>
        <w:t xml:space="preserve">21 May </w:t>
      </w:r>
      <w:r w:rsidRPr="00D91F48">
        <w:t>2012</w:t>
      </w:r>
      <w:r w:rsidR="00222F40" w:rsidRPr="00D91F48">
        <w:t>,</w:t>
      </w:r>
      <w:r w:rsidRPr="00D91F48">
        <w:t xml:space="preserve"> para. </w:t>
      </w:r>
      <w:r w:rsidRPr="00D91F48">
        <w:rPr>
          <w:lang w:val="en-US"/>
        </w:rPr>
        <w:t>8.5; No. </w:t>
      </w:r>
      <w:r w:rsidR="003351AB" w:rsidRPr="00D91F48">
        <w:rPr>
          <w:lang w:val="en-US"/>
        </w:rPr>
        <w:t>4</w:t>
      </w:r>
      <w:r w:rsidRPr="00D91F48">
        <w:rPr>
          <w:lang w:val="en-US"/>
        </w:rPr>
        <w:t>1</w:t>
      </w:r>
      <w:r w:rsidR="003351AB" w:rsidRPr="00D91F48">
        <w:rPr>
          <w:lang w:val="en-US"/>
        </w:rPr>
        <w:t>4</w:t>
      </w:r>
      <w:r w:rsidRPr="00D91F48">
        <w:rPr>
          <w:lang w:val="en-US"/>
        </w:rPr>
        <w:t xml:space="preserve">/2010, </w:t>
      </w:r>
      <w:r w:rsidRPr="00D91F48">
        <w:rPr>
          <w:i/>
          <w:lang w:val="en-US"/>
        </w:rPr>
        <w:t xml:space="preserve">N.T.W. </w:t>
      </w:r>
      <w:r w:rsidRPr="00D91F48">
        <w:rPr>
          <w:iCs/>
          <w:lang w:val="en-US"/>
        </w:rPr>
        <w:t>v.</w:t>
      </w:r>
      <w:r w:rsidRPr="00D91F48">
        <w:rPr>
          <w:i/>
          <w:lang w:val="en-US"/>
        </w:rPr>
        <w:t xml:space="preserve"> Switzerland</w:t>
      </w:r>
      <w:r w:rsidRPr="00D91F48">
        <w:rPr>
          <w:lang w:val="en-US"/>
        </w:rPr>
        <w:t xml:space="preserve">, </w:t>
      </w:r>
      <w:r w:rsidR="004E3DD9" w:rsidRPr="00D91F48">
        <w:rPr>
          <w:lang w:val="en-US"/>
        </w:rPr>
        <w:t xml:space="preserve">decision adopted on 16 May </w:t>
      </w:r>
      <w:r w:rsidRPr="00D91F48">
        <w:rPr>
          <w:lang w:val="en-US"/>
        </w:rPr>
        <w:t xml:space="preserve">2012, para. 7.3; No. 393/2009, </w:t>
      </w:r>
      <w:r w:rsidRPr="00D91F48">
        <w:rPr>
          <w:i/>
          <w:lang w:val="en-US"/>
        </w:rPr>
        <w:t xml:space="preserve">E.T. </w:t>
      </w:r>
      <w:r w:rsidRPr="00D91F48">
        <w:rPr>
          <w:iCs/>
          <w:lang w:val="en-US"/>
        </w:rPr>
        <w:t>v.</w:t>
      </w:r>
      <w:r w:rsidRPr="00D91F48">
        <w:rPr>
          <w:i/>
          <w:lang w:val="en-US"/>
        </w:rPr>
        <w:t xml:space="preserve"> Switzerland</w:t>
      </w:r>
      <w:r w:rsidRPr="00D91F48">
        <w:rPr>
          <w:lang w:val="en-US"/>
        </w:rPr>
        <w:t xml:space="preserve">, </w:t>
      </w:r>
      <w:r w:rsidR="00616B8F" w:rsidRPr="00D91F48">
        <w:rPr>
          <w:lang w:val="en-US"/>
        </w:rPr>
        <w:t xml:space="preserve">decision </w:t>
      </w:r>
      <w:r w:rsidRPr="00D91F48">
        <w:t xml:space="preserve">adopted on </w:t>
      </w:r>
      <w:r w:rsidR="00222F40" w:rsidRPr="00D91F48">
        <w:t xml:space="preserve">23 May </w:t>
      </w:r>
      <w:r w:rsidRPr="00D91F48">
        <w:t xml:space="preserve">2012, para. 7.3. </w:t>
      </w:r>
    </w:p>
  </w:footnote>
  <w:footnote w:id="13">
    <w:p w:rsidR="00206725" w:rsidRPr="00D91F48" w:rsidRDefault="00206725" w:rsidP="00403EF3">
      <w:pPr>
        <w:pStyle w:val="FootnoteText"/>
      </w:pPr>
      <w:r w:rsidRPr="00D91F48">
        <w:tab/>
      </w:r>
      <w:r w:rsidRPr="00D91F48">
        <w:rPr>
          <w:rStyle w:val="FootnoteReference"/>
        </w:rPr>
        <w:footnoteRef/>
      </w:r>
      <w:r w:rsidRPr="00D91F48">
        <w:tab/>
      </w:r>
      <w:r w:rsidR="00403EF3" w:rsidRPr="00D91F48">
        <w:t>C</w:t>
      </w:r>
      <w:r w:rsidRPr="00D91F48">
        <w:t xml:space="preserve">ommunication No. 148/1999, </w:t>
      </w:r>
      <w:r w:rsidRPr="00D91F48">
        <w:rPr>
          <w:i/>
          <w:iCs/>
        </w:rPr>
        <w:t xml:space="preserve">A.K. </w:t>
      </w:r>
      <w:r w:rsidRPr="00D91F48">
        <w:t>v.</w:t>
      </w:r>
      <w:r w:rsidRPr="00D91F48">
        <w:rPr>
          <w:i/>
          <w:iCs/>
        </w:rPr>
        <w:t xml:space="preserve"> Australia</w:t>
      </w:r>
      <w:r w:rsidRPr="00D91F48">
        <w:t>,</w:t>
      </w:r>
      <w:r w:rsidRPr="00D91F48">
        <w:rPr>
          <w:i/>
          <w:iCs/>
        </w:rPr>
        <w:t xml:space="preserve"> </w:t>
      </w:r>
      <w:r w:rsidR="00C12282" w:rsidRPr="00D91F48">
        <w:t>decision</w:t>
      </w:r>
      <w:r w:rsidRPr="00D91F48">
        <w:t xml:space="preserve"> adopted on </w:t>
      </w:r>
      <w:r w:rsidR="00C12282" w:rsidRPr="00D91F48">
        <w:t xml:space="preserve">5 May </w:t>
      </w:r>
      <w:r w:rsidRPr="00D91F48">
        <w:t xml:space="preserve">2004, para. 6.4; </w:t>
      </w:r>
      <w:r w:rsidR="00C12282" w:rsidRPr="00D91F48">
        <w:t xml:space="preserve">Human Rights Committee </w:t>
      </w:r>
      <w:r w:rsidR="00F0782C" w:rsidRPr="00D91F48">
        <w:t xml:space="preserve">communications </w:t>
      </w:r>
      <w:r w:rsidRPr="00D91F48">
        <w:t xml:space="preserve">No. 215/1986, </w:t>
      </w:r>
      <w:r w:rsidRPr="00D91F48">
        <w:rPr>
          <w:i/>
        </w:rPr>
        <w:t xml:space="preserve">G.A. van Meurs </w:t>
      </w:r>
      <w:r w:rsidRPr="00D91F48">
        <w:rPr>
          <w:iCs/>
        </w:rPr>
        <w:t>v.</w:t>
      </w:r>
      <w:r w:rsidRPr="00D91F48">
        <w:rPr>
          <w:i/>
        </w:rPr>
        <w:t xml:space="preserve"> the Netherlands</w:t>
      </w:r>
      <w:r w:rsidRPr="00D91F48">
        <w:t xml:space="preserve">, </w:t>
      </w:r>
      <w:r w:rsidR="00F0782C" w:rsidRPr="00D91F48">
        <w:t xml:space="preserve">decision on admissibility </w:t>
      </w:r>
      <w:r w:rsidRPr="00D91F48">
        <w:t>adopted on</w:t>
      </w:r>
      <w:r w:rsidRPr="00D91F48" w:rsidDel="009A3756">
        <w:t xml:space="preserve"> </w:t>
      </w:r>
      <w:r w:rsidRPr="00D91F48">
        <w:t xml:space="preserve">13 July, 1990, para. 7.1.; No. 485/1991, </w:t>
      </w:r>
      <w:r w:rsidRPr="00D91F48">
        <w:rPr>
          <w:i/>
        </w:rPr>
        <w:t xml:space="preserve">V.B. </w:t>
      </w:r>
      <w:r w:rsidRPr="00D91F48">
        <w:rPr>
          <w:iCs/>
        </w:rPr>
        <w:t>v.</w:t>
      </w:r>
      <w:r w:rsidRPr="00D91F48">
        <w:rPr>
          <w:i/>
        </w:rPr>
        <w:t xml:space="preserve"> Trinidad and Tobago</w:t>
      </w:r>
      <w:r w:rsidRPr="00D91F48">
        <w:t xml:space="preserve">, </w:t>
      </w:r>
      <w:r w:rsidR="00F0782C" w:rsidRPr="00D91F48">
        <w:t xml:space="preserve">decision of inadmissibility </w:t>
      </w:r>
      <w:r w:rsidRPr="00D91F48">
        <w:t>adopted on</w:t>
      </w:r>
      <w:r w:rsidRPr="00D91F48" w:rsidDel="009A3756">
        <w:t xml:space="preserve"> </w:t>
      </w:r>
      <w:r w:rsidRPr="00D91F48">
        <w:t xml:space="preserve">26 July, 1993, para. 5.2; No. 949/2000, </w:t>
      </w:r>
      <w:r w:rsidRPr="00D91F48">
        <w:rPr>
          <w:i/>
        </w:rPr>
        <w:t xml:space="preserve">Keshavjee </w:t>
      </w:r>
      <w:r w:rsidRPr="00D91F48">
        <w:rPr>
          <w:iCs/>
        </w:rPr>
        <w:t>v.</w:t>
      </w:r>
      <w:r w:rsidRPr="00D91F48">
        <w:rPr>
          <w:i/>
        </w:rPr>
        <w:t xml:space="preserve"> Canada</w:t>
      </w:r>
      <w:r w:rsidRPr="00D91F48">
        <w:t xml:space="preserve">, </w:t>
      </w:r>
      <w:r w:rsidR="00F0782C" w:rsidRPr="00D91F48">
        <w:t xml:space="preserve">decision of inadmissibility </w:t>
      </w:r>
      <w:r w:rsidRPr="00D91F48">
        <w:t xml:space="preserve">adopted on </w:t>
      </w:r>
      <w:r w:rsidR="00F0782C" w:rsidRPr="00D91F48">
        <w:t>2</w:t>
      </w:r>
      <w:r w:rsidRPr="00D91F48">
        <w:t xml:space="preserve"> November 2000, para. 4.3; No. 934/2000, </w:t>
      </w:r>
      <w:r w:rsidRPr="00D91F48">
        <w:rPr>
          <w:i/>
        </w:rPr>
        <w:t xml:space="preserve">G. </w:t>
      </w:r>
      <w:r w:rsidRPr="00D91F48">
        <w:rPr>
          <w:iCs/>
        </w:rPr>
        <w:t>v.</w:t>
      </w:r>
      <w:r w:rsidRPr="00D91F48">
        <w:rPr>
          <w:i/>
        </w:rPr>
        <w:t xml:space="preserve"> Canada</w:t>
      </w:r>
      <w:r w:rsidRPr="00D91F48">
        <w:t xml:space="preserve">, </w:t>
      </w:r>
      <w:r w:rsidR="00F0782C" w:rsidRPr="00D91F48">
        <w:t xml:space="preserve">decision of inadmissibility </w:t>
      </w:r>
      <w:r w:rsidRPr="00D91F48">
        <w:t>adopted on 8 August 2000, paras. 4.2.</w:t>
      </w:r>
      <w:r w:rsidR="00F0782C" w:rsidRPr="00D91F48">
        <w:t>–</w:t>
      </w:r>
      <w:r w:rsidRPr="00D91F48">
        <w:t xml:space="preserve">4.3; No. 761/1997, </w:t>
      </w:r>
      <w:r w:rsidRPr="00D91F48">
        <w:rPr>
          <w:i/>
        </w:rPr>
        <w:t xml:space="preserve">Singh </w:t>
      </w:r>
      <w:r w:rsidRPr="00D91F48">
        <w:rPr>
          <w:iCs/>
        </w:rPr>
        <w:t>v.</w:t>
      </w:r>
      <w:r w:rsidRPr="00D91F48">
        <w:rPr>
          <w:i/>
        </w:rPr>
        <w:t xml:space="preserve"> Canada</w:t>
      </w:r>
      <w:r w:rsidRPr="00D91F48">
        <w:t xml:space="preserve">, </w:t>
      </w:r>
      <w:r w:rsidR="00F0782C" w:rsidRPr="00D91F48">
        <w:t xml:space="preserve">decision of inadmissibility </w:t>
      </w:r>
      <w:r w:rsidRPr="00D91F48">
        <w:t xml:space="preserve">adopted on </w:t>
      </w:r>
      <w:r w:rsidR="00F0782C" w:rsidRPr="00D91F48">
        <w:t>29 July</w:t>
      </w:r>
      <w:r w:rsidRPr="00D91F48">
        <w:t xml:space="preserve"> 1997, para. 4.2. </w:t>
      </w:r>
    </w:p>
  </w:footnote>
  <w:footnote w:id="14">
    <w:p w:rsidR="00206725" w:rsidRPr="00D91F48" w:rsidRDefault="00206725" w:rsidP="00616B8F">
      <w:pPr>
        <w:pStyle w:val="FootnoteText"/>
      </w:pPr>
      <w:r w:rsidRPr="00D91F48">
        <w:tab/>
      </w:r>
      <w:r w:rsidRPr="00D91F48">
        <w:rPr>
          <w:rStyle w:val="FootnoteReference"/>
        </w:rPr>
        <w:footnoteRef/>
      </w:r>
      <w:r w:rsidRPr="00D91F48">
        <w:tab/>
        <w:t xml:space="preserve">See for example the decisions in </w:t>
      </w:r>
      <w:r w:rsidR="00C12282" w:rsidRPr="00D91F48">
        <w:t xml:space="preserve">Committee against Torture </w:t>
      </w:r>
      <w:r w:rsidR="0053461B" w:rsidRPr="00D91F48">
        <w:t>c</w:t>
      </w:r>
      <w:r w:rsidRPr="00D91F48">
        <w:t xml:space="preserve">ommunications No. 148/1999, </w:t>
      </w:r>
      <w:r w:rsidRPr="00D91F48">
        <w:rPr>
          <w:i/>
          <w:iCs/>
        </w:rPr>
        <w:t xml:space="preserve">A.K. </w:t>
      </w:r>
      <w:r w:rsidRPr="00D91F48">
        <w:t>v.</w:t>
      </w:r>
      <w:r w:rsidRPr="00D91F48">
        <w:rPr>
          <w:i/>
          <w:iCs/>
        </w:rPr>
        <w:t xml:space="preserve"> Australia</w:t>
      </w:r>
      <w:r w:rsidR="00F0782C" w:rsidRPr="00D91F48">
        <w:rPr>
          <w:i/>
          <w:iCs/>
        </w:rPr>
        <w:t xml:space="preserve"> </w:t>
      </w:r>
      <w:r w:rsidR="00F0782C" w:rsidRPr="00D91F48">
        <w:t>(see footnote 12)</w:t>
      </w:r>
      <w:r w:rsidRPr="00D91F48">
        <w:t xml:space="preserve">, para. 6.4; No. 135/1999, </w:t>
      </w:r>
      <w:r w:rsidRPr="00D91F48">
        <w:rPr>
          <w:i/>
          <w:iCs/>
        </w:rPr>
        <w:t xml:space="preserve">S.G. </w:t>
      </w:r>
      <w:r w:rsidRPr="00D91F48">
        <w:t>v.</w:t>
      </w:r>
      <w:r w:rsidRPr="00D91F48">
        <w:rPr>
          <w:i/>
          <w:iCs/>
        </w:rPr>
        <w:t xml:space="preserve"> The Netherlands, </w:t>
      </w:r>
      <w:r w:rsidR="00F0782C" w:rsidRPr="00D91F48">
        <w:t xml:space="preserve">decision </w:t>
      </w:r>
      <w:r w:rsidRPr="00D91F48">
        <w:t xml:space="preserve">adopted on </w:t>
      </w:r>
      <w:r w:rsidR="00F0782C" w:rsidRPr="00D91F48">
        <w:t xml:space="preserve">12 May </w:t>
      </w:r>
      <w:r w:rsidRPr="00D91F48">
        <w:t xml:space="preserve">2004, para. 6.6; </w:t>
      </w:r>
      <w:r w:rsidR="00F0782C" w:rsidRPr="00D91F48">
        <w:t>Human Rights Committee communication</w:t>
      </w:r>
      <w:r w:rsidR="00616B8F" w:rsidRPr="00D91F48">
        <w:t>s</w:t>
      </w:r>
      <w:r w:rsidR="00F0782C" w:rsidRPr="00D91F48">
        <w:t xml:space="preserve"> </w:t>
      </w:r>
      <w:r w:rsidRPr="00D91F48">
        <w:t xml:space="preserve">No. 891/1999, </w:t>
      </w:r>
      <w:r w:rsidRPr="00D91F48">
        <w:rPr>
          <w:i/>
        </w:rPr>
        <w:t xml:space="preserve">Tamihere </w:t>
      </w:r>
      <w:r w:rsidRPr="00D91F48">
        <w:rPr>
          <w:iCs/>
        </w:rPr>
        <w:t>v.</w:t>
      </w:r>
      <w:r w:rsidRPr="00D91F48">
        <w:rPr>
          <w:i/>
        </w:rPr>
        <w:t xml:space="preserve"> New Zealand</w:t>
      </w:r>
      <w:r w:rsidRPr="00D91F48">
        <w:t>, adopted on</w:t>
      </w:r>
      <w:r w:rsidRPr="00D91F48" w:rsidDel="009A3756">
        <w:t xml:space="preserve"> </w:t>
      </w:r>
      <w:r w:rsidR="00F0782C" w:rsidRPr="00D91F48">
        <w:t xml:space="preserve">18 April </w:t>
      </w:r>
      <w:r w:rsidRPr="00D91F48">
        <w:t xml:space="preserve">2000, para. 4; No. 728/1996, </w:t>
      </w:r>
      <w:r w:rsidRPr="00D91F48">
        <w:rPr>
          <w:i/>
        </w:rPr>
        <w:t xml:space="preserve">Paul </w:t>
      </w:r>
      <w:r w:rsidRPr="00D91F48">
        <w:rPr>
          <w:iCs/>
        </w:rPr>
        <w:t>v.</w:t>
      </w:r>
      <w:r w:rsidRPr="00D91F48">
        <w:rPr>
          <w:i/>
        </w:rPr>
        <w:t xml:space="preserve"> Guyana</w:t>
      </w:r>
      <w:r w:rsidRPr="00D91F48">
        <w:t xml:space="preserve">, </w:t>
      </w:r>
      <w:r w:rsidR="00616B8F" w:rsidRPr="00D91F48">
        <w:t xml:space="preserve">Views adopted on 1 November </w:t>
      </w:r>
      <w:r w:rsidRPr="00D91F48">
        <w:t xml:space="preserve">2001, para. 9.3. </w:t>
      </w:r>
    </w:p>
  </w:footnote>
  <w:footnote w:id="15">
    <w:p w:rsidR="00206725" w:rsidRPr="00D91F48" w:rsidRDefault="00206725" w:rsidP="006D01B6">
      <w:pPr>
        <w:pStyle w:val="FootnoteText"/>
        <w:widowControl w:val="0"/>
        <w:tabs>
          <w:tab w:val="clear" w:pos="1021"/>
          <w:tab w:val="right" w:pos="1020"/>
        </w:tabs>
      </w:pPr>
      <w:r w:rsidRPr="00D91F48">
        <w:tab/>
      </w:r>
      <w:r w:rsidRPr="00D91F48">
        <w:rPr>
          <w:rStyle w:val="FootnoteReference"/>
        </w:rPr>
        <w:footnoteRef/>
      </w:r>
      <w:r w:rsidRPr="00D91F48">
        <w:tab/>
        <w:t xml:space="preserve">See para. 4.2 above. </w:t>
      </w:r>
    </w:p>
  </w:footnote>
  <w:footnote w:id="16">
    <w:p w:rsidR="00206725" w:rsidRPr="00D91F48" w:rsidRDefault="00206725" w:rsidP="00EB728D">
      <w:pPr>
        <w:pStyle w:val="FootnoteText"/>
      </w:pPr>
      <w:r w:rsidRPr="00D91F48">
        <w:tab/>
      </w:r>
      <w:r w:rsidRPr="00D91F48">
        <w:rPr>
          <w:rStyle w:val="FootnoteReference"/>
        </w:rPr>
        <w:footnoteRef/>
      </w:r>
      <w:r w:rsidRPr="00D91F48">
        <w:tab/>
      </w:r>
      <w:r w:rsidRPr="00D91F48">
        <w:rPr>
          <w:lang w:val="en-CA" w:eastAsia="en-CA"/>
        </w:rPr>
        <w:t>CAT/C/ETH/CO/1.</w:t>
      </w:r>
      <w:r w:rsidRPr="00D91F48">
        <w:t xml:space="preserve"> </w:t>
      </w:r>
    </w:p>
  </w:footnote>
  <w:footnote w:id="17">
    <w:p w:rsidR="00206725" w:rsidRPr="00D91F48" w:rsidRDefault="00206725" w:rsidP="00414DC4">
      <w:pPr>
        <w:pStyle w:val="FootnoteText"/>
      </w:pPr>
      <w:r w:rsidRPr="00D91F48">
        <w:tab/>
      </w:r>
      <w:r w:rsidRPr="00D91F48">
        <w:rPr>
          <w:rStyle w:val="FootnoteReference"/>
        </w:rPr>
        <w:footnoteRef/>
      </w:r>
      <w:r w:rsidRPr="00D91F48">
        <w:tab/>
        <w:t xml:space="preserve">The State party makes reference to the Committee’s decision in  its communication No. 393/2009, </w:t>
      </w:r>
      <w:r w:rsidRPr="00D91F48">
        <w:rPr>
          <w:i/>
        </w:rPr>
        <w:t xml:space="preserve">E.T. </w:t>
      </w:r>
      <w:r w:rsidRPr="00D91F48">
        <w:rPr>
          <w:iCs/>
        </w:rPr>
        <w:t>v.</w:t>
      </w:r>
      <w:r w:rsidRPr="00D91F48">
        <w:rPr>
          <w:i/>
        </w:rPr>
        <w:t xml:space="preserve"> Switzerland</w:t>
      </w:r>
      <w:r w:rsidRPr="00D91F48">
        <w:t xml:space="preserve"> (see footnote 1</w:t>
      </w:r>
      <w:r w:rsidR="00414DC4" w:rsidRPr="00D91F48">
        <w:t>1</w:t>
      </w:r>
      <w:r w:rsidRPr="00D91F48">
        <w:t xml:space="preserve">), para. 7.5., where the Committee stated that it “is concerned at the many reports of human rights violations, including the use of torture in Ethiopia, but recalls that for the purposes of article 3 of the Convention, the individual concerned must face a foreseeable, real and personal risk of being tortured in the country to which he or she is returned.” Since the complainant in that case had not established a foreseeable, real and personal risk of being tortured, the Committee concluded that it would not be a violation of article 3 of the Convention to return her to Ethiopia. The same concerns were raised and the same conclusion was also reached in communication No. 414/2010, </w:t>
      </w:r>
      <w:r w:rsidRPr="00D91F48">
        <w:rPr>
          <w:i/>
        </w:rPr>
        <w:t xml:space="preserve">N.T.W. </w:t>
      </w:r>
      <w:r w:rsidRPr="00D91F48">
        <w:rPr>
          <w:iCs/>
        </w:rPr>
        <w:t>v.</w:t>
      </w:r>
      <w:r w:rsidRPr="00D91F48">
        <w:rPr>
          <w:i/>
        </w:rPr>
        <w:t xml:space="preserve"> Switzerland</w:t>
      </w:r>
      <w:r w:rsidR="00B87CB1" w:rsidRPr="00D91F48">
        <w:rPr>
          <w:i/>
        </w:rPr>
        <w:t xml:space="preserve"> </w:t>
      </w:r>
      <w:r w:rsidRPr="00D91F48">
        <w:t xml:space="preserve">(see footnote 11), para. 7.5. </w:t>
      </w:r>
    </w:p>
  </w:footnote>
  <w:footnote w:id="18">
    <w:p w:rsidR="00206725" w:rsidRPr="00D91F48" w:rsidRDefault="00206725" w:rsidP="00290E30">
      <w:pPr>
        <w:pStyle w:val="FootnoteText"/>
      </w:pPr>
      <w:r w:rsidRPr="00D91F48">
        <w:tab/>
      </w:r>
      <w:r w:rsidRPr="00D91F48">
        <w:rPr>
          <w:rStyle w:val="FootnoteReference"/>
        </w:rPr>
        <w:footnoteRef/>
      </w:r>
      <w:r w:rsidRPr="00D91F48">
        <w:tab/>
        <w:t xml:space="preserve">See para. 4.6 above. </w:t>
      </w:r>
    </w:p>
  </w:footnote>
  <w:footnote w:id="19">
    <w:p w:rsidR="00206725" w:rsidRPr="00D91F48" w:rsidRDefault="00206725" w:rsidP="00D96C01">
      <w:pPr>
        <w:pStyle w:val="FootnoteText"/>
      </w:pPr>
      <w:r w:rsidRPr="00D91F48">
        <w:tab/>
      </w:r>
      <w:r w:rsidRPr="00D91F48">
        <w:rPr>
          <w:rStyle w:val="FootnoteReference"/>
        </w:rPr>
        <w:footnoteRef/>
      </w:r>
      <w:r w:rsidRPr="00D91F48">
        <w:tab/>
        <w:t xml:space="preserve">The State party refers to the Human Rights Committee’s Views in communication No. 1959/2010, </w:t>
      </w:r>
      <w:r w:rsidRPr="00D91F48">
        <w:rPr>
          <w:i/>
        </w:rPr>
        <w:t xml:space="preserve">Warsame </w:t>
      </w:r>
      <w:r w:rsidRPr="00D91F48">
        <w:rPr>
          <w:iCs/>
        </w:rPr>
        <w:t>v.</w:t>
      </w:r>
      <w:r w:rsidRPr="00D91F48">
        <w:rPr>
          <w:i/>
        </w:rPr>
        <w:t xml:space="preserve"> Canada</w:t>
      </w:r>
      <w:r w:rsidRPr="00D91F48">
        <w:t xml:space="preserve">, Views adopted on </w:t>
      </w:r>
      <w:r w:rsidR="008525F6" w:rsidRPr="00D91F48">
        <w:t xml:space="preserve">21 July </w:t>
      </w:r>
      <w:r w:rsidRPr="00D91F48">
        <w:t xml:space="preserve">2011, para. 7.6, that “doubts about the effectiveness of domestic remedies do not absolve complainants from exhausting them”. </w:t>
      </w:r>
    </w:p>
  </w:footnote>
  <w:footnote w:id="20">
    <w:p w:rsidR="00206725" w:rsidRPr="00D91F48" w:rsidRDefault="00206725" w:rsidP="00617714">
      <w:pPr>
        <w:pStyle w:val="FootnoteText"/>
      </w:pPr>
      <w:r w:rsidRPr="00D91F48">
        <w:tab/>
      </w:r>
      <w:r w:rsidRPr="00D91F48">
        <w:rPr>
          <w:rStyle w:val="FootnoteReference"/>
        </w:rPr>
        <w:footnoteRef/>
      </w:r>
      <w:r w:rsidRPr="00D91F48">
        <w:tab/>
        <w:t xml:space="preserve">The State party refers to the Views of the Human Rights Committee for example in communication No. 1494/2006, </w:t>
      </w:r>
      <w:r w:rsidRPr="00D91F48">
        <w:rPr>
          <w:i/>
        </w:rPr>
        <w:t xml:space="preserve">Chadzjian </w:t>
      </w:r>
      <w:r w:rsidRPr="00D91F48">
        <w:rPr>
          <w:iCs/>
        </w:rPr>
        <w:t>v.</w:t>
      </w:r>
      <w:r w:rsidRPr="00D91F48">
        <w:rPr>
          <w:i/>
        </w:rPr>
        <w:t xml:space="preserve"> Netherlands,</w:t>
      </w:r>
      <w:r w:rsidRPr="00D91F48">
        <w:t xml:space="preserve"> </w:t>
      </w:r>
      <w:r w:rsidR="008525F6" w:rsidRPr="00D91F48">
        <w:t>decision</w:t>
      </w:r>
      <w:r w:rsidR="004C65E9" w:rsidRPr="00D91F48">
        <w:t xml:space="preserve"> adopted on </w:t>
      </w:r>
      <w:r w:rsidR="008525F6" w:rsidRPr="00D91F48">
        <w:t xml:space="preserve">22 July </w:t>
      </w:r>
      <w:r w:rsidRPr="00D91F48">
        <w:t xml:space="preserve">2008, para. 8.3. </w:t>
      </w:r>
    </w:p>
  </w:footnote>
  <w:footnote w:id="21">
    <w:p w:rsidR="00206725" w:rsidRPr="00D91F48" w:rsidRDefault="00206725" w:rsidP="00096E69">
      <w:pPr>
        <w:pStyle w:val="FootnoteText"/>
        <w:rPr>
          <w:sz w:val="16"/>
          <w:szCs w:val="18"/>
        </w:rPr>
      </w:pPr>
      <w:r w:rsidRPr="00D91F48">
        <w:rPr>
          <w:sz w:val="16"/>
          <w:szCs w:val="18"/>
        </w:rPr>
        <w:tab/>
      </w:r>
      <w:r w:rsidRPr="00D91F48">
        <w:rPr>
          <w:rStyle w:val="FootnoteReference"/>
          <w:sz w:val="16"/>
          <w:szCs w:val="18"/>
        </w:rPr>
        <w:footnoteRef/>
      </w:r>
      <w:r w:rsidRPr="00D91F48">
        <w:rPr>
          <w:sz w:val="16"/>
          <w:szCs w:val="18"/>
        </w:rPr>
        <w:tab/>
      </w:r>
      <w:r w:rsidRPr="00D91F48">
        <w:t>See para. 4.6 above.</w:t>
      </w:r>
    </w:p>
  </w:footnote>
  <w:footnote w:id="22">
    <w:p w:rsidR="00206725" w:rsidRPr="00D91F48" w:rsidRDefault="00206725" w:rsidP="0001384A">
      <w:pPr>
        <w:pStyle w:val="FootnoteText"/>
      </w:pPr>
      <w:r w:rsidRPr="00D91F48">
        <w:tab/>
      </w:r>
      <w:r w:rsidRPr="00D91F48">
        <w:rPr>
          <w:rStyle w:val="FootnoteReference"/>
        </w:rPr>
        <w:footnoteRef/>
      </w:r>
      <w:r w:rsidRPr="00D91F48">
        <w:tab/>
        <w:t xml:space="preserve">See for example communication No. 319/2007, </w:t>
      </w:r>
      <w:r w:rsidRPr="00D91F48">
        <w:rPr>
          <w:i/>
        </w:rPr>
        <w:t xml:space="preserve">Nirmal Singh </w:t>
      </w:r>
      <w:r w:rsidRPr="00D91F48">
        <w:rPr>
          <w:iCs/>
        </w:rPr>
        <w:t>v.</w:t>
      </w:r>
      <w:r w:rsidRPr="00D91F48">
        <w:rPr>
          <w:i/>
        </w:rPr>
        <w:t xml:space="preserve"> Canada</w:t>
      </w:r>
      <w:r w:rsidR="004C65E9" w:rsidRPr="00D91F48">
        <w:rPr>
          <w:i/>
        </w:rPr>
        <w:t xml:space="preserve"> </w:t>
      </w:r>
      <w:r w:rsidR="004C65E9" w:rsidRPr="00D91F48">
        <w:t>(see footnote 6)</w:t>
      </w:r>
      <w:r w:rsidRPr="00D91F48">
        <w:t>, para. 8.8.</w:t>
      </w:r>
    </w:p>
  </w:footnote>
  <w:footnote w:id="23">
    <w:p w:rsidR="00206725" w:rsidRPr="00D91F48" w:rsidRDefault="00206725" w:rsidP="0001384A">
      <w:pPr>
        <w:pStyle w:val="FootnoteText"/>
      </w:pPr>
      <w:r w:rsidRPr="00D91F48">
        <w:tab/>
      </w:r>
      <w:r w:rsidRPr="00D91F48">
        <w:rPr>
          <w:rStyle w:val="FootnoteReference"/>
        </w:rPr>
        <w:footnoteRef/>
      </w:r>
      <w:r w:rsidRPr="00D91F48">
        <w:tab/>
        <w:t xml:space="preserve">See for example communication No. 343/2008, </w:t>
      </w:r>
      <w:r w:rsidRPr="00D91F48">
        <w:rPr>
          <w:i/>
        </w:rPr>
        <w:t xml:space="preserve">Kalonzo </w:t>
      </w:r>
      <w:r w:rsidRPr="00D91F48">
        <w:rPr>
          <w:iCs/>
        </w:rPr>
        <w:t>v.</w:t>
      </w:r>
      <w:r w:rsidRPr="00D91F48">
        <w:rPr>
          <w:i/>
        </w:rPr>
        <w:t xml:space="preserve"> Canada, </w:t>
      </w:r>
      <w:r w:rsidR="004C65E9" w:rsidRPr="00D91F48">
        <w:t>(see footnote 11)</w:t>
      </w:r>
      <w:r w:rsidRPr="00D91F48">
        <w:t>, para. 8.3.</w:t>
      </w:r>
    </w:p>
  </w:footnote>
  <w:footnote w:id="24">
    <w:p w:rsidR="00206725" w:rsidRPr="00D91F48" w:rsidRDefault="00206725" w:rsidP="00C642B7">
      <w:pPr>
        <w:pStyle w:val="FootnoteText"/>
        <w:widowControl w:val="0"/>
        <w:tabs>
          <w:tab w:val="clear" w:pos="1021"/>
          <w:tab w:val="right" w:pos="1020"/>
        </w:tabs>
      </w:pPr>
      <w:r w:rsidRPr="00D91F48">
        <w:tab/>
      </w:r>
      <w:r w:rsidRPr="00D91F48">
        <w:rPr>
          <w:rStyle w:val="FootnoteReference"/>
        </w:rPr>
        <w:footnoteRef/>
      </w:r>
      <w:r w:rsidRPr="00D91F48">
        <w:tab/>
      </w:r>
      <w:r w:rsidR="00C642B7" w:rsidRPr="00D91F48">
        <w:rPr>
          <w:iCs/>
          <w:szCs w:val="18"/>
        </w:rPr>
        <w:t>See footnote 11</w:t>
      </w:r>
      <w:r w:rsidRPr="00D91F48">
        <w:rPr>
          <w:szCs w:val="18"/>
        </w:rPr>
        <w:t>.</w:t>
      </w:r>
      <w:r w:rsidRPr="00D91F48">
        <w:t xml:space="preserve"> </w:t>
      </w:r>
    </w:p>
  </w:footnote>
  <w:footnote w:id="25">
    <w:p w:rsidR="00206725" w:rsidRPr="00D91F48" w:rsidRDefault="00206725" w:rsidP="0021453B">
      <w:pPr>
        <w:pStyle w:val="FootnoteText"/>
        <w:widowControl w:val="0"/>
        <w:tabs>
          <w:tab w:val="clear" w:pos="1021"/>
          <w:tab w:val="right" w:pos="1020"/>
        </w:tabs>
        <w:rPr>
          <w:lang w:val="en-US"/>
        </w:rPr>
      </w:pPr>
      <w:r w:rsidRPr="00D91F48">
        <w:tab/>
      </w:r>
      <w:r w:rsidRPr="00D91F48">
        <w:rPr>
          <w:rStyle w:val="FootnoteReference"/>
        </w:rPr>
        <w:footnoteRef/>
      </w:r>
      <w:r w:rsidRPr="00D91F48">
        <w:tab/>
        <w:t xml:space="preserve">Ibid. See also communication No. 203/2002, </w:t>
      </w:r>
      <w:r w:rsidRPr="00D91F48">
        <w:rPr>
          <w:i/>
          <w:iCs/>
        </w:rPr>
        <w:t>A.R.</w:t>
      </w:r>
      <w:r w:rsidRPr="00D91F48">
        <w:t xml:space="preserve"> v. </w:t>
      </w:r>
      <w:r w:rsidRPr="00D91F48">
        <w:rPr>
          <w:i/>
          <w:iCs/>
        </w:rPr>
        <w:t>The Netherlands</w:t>
      </w:r>
      <w:r w:rsidRPr="00D91F48">
        <w:t xml:space="preserve">, decision of </w:t>
      </w:r>
      <w:r w:rsidR="0021453B" w:rsidRPr="00D91F48">
        <w:t>14</w:t>
      </w:r>
      <w:r w:rsidRPr="00D91F48">
        <w:t xml:space="preserve"> November 2003, para. </w:t>
      </w:r>
      <w:r w:rsidRPr="00D91F48">
        <w:rPr>
          <w:lang w:val="en-US"/>
        </w:rPr>
        <w:t xml:space="preserve">7.3. </w:t>
      </w:r>
    </w:p>
  </w:footnote>
  <w:footnote w:id="26">
    <w:p w:rsidR="00206725" w:rsidRPr="00D91F48" w:rsidRDefault="00206725" w:rsidP="0021453B">
      <w:pPr>
        <w:pStyle w:val="FootnoteText"/>
        <w:widowControl w:val="0"/>
        <w:tabs>
          <w:tab w:val="clear" w:pos="1021"/>
          <w:tab w:val="right" w:pos="1020"/>
        </w:tabs>
        <w:jc w:val="both"/>
      </w:pPr>
      <w:r w:rsidRPr="00D91F48">
        <w:tab/>
      </w:r>
      <w:r w:rsidRPr="00D91F48">
        <w:rPr>
          <w:rStyle w:val="FootnoteReference"/>
        </w:rPr>
        <w:footnoteRef/>
      </w:r>
      <w:r w:rsidRPr="00D91F48">
        <w:tab/>
      </w:r>
      <w:r w:rsidRPr="00D91F48">
        <w:rPr>
          <w:rStyle w:val="FootnoteReference"/>
          <w:szCs w:val="18"/>
          <w:vertAlign w:val="baseline"/>
        </w:rPr>
        <w:t xml:space="preserve">See, </w:t>
      </w:r>
      <w:r w:rsidRPr="00D91F48">
        <w:rPr>
          <w:rStyle w:val="FootnoteReference"/>
          <w:iCs/>
          <w:szCs w:val="18"/>
          <w:vertAlign w:val="baseline"/>
        </w:rPr>
        <w:t xml:space="preserve">inter alia, </w:t>
      </w:r>
      <w:r w:rsidRPr="00D91F48">
        <w:rPr>
          <w:rStyle w:val="FootnoteReference"/>
          <w:szCs w:val="18"/>
          <w:vertAlign w:val="baseline"/>
        </w:rPr>
        <w:t xml:space="preserve">communication No. 466/2011, </w:t>
      </w:r>
      <w:r w:rsidRPr="00D91F48">
        <w:rPr>
          <w:i/>
          <w:iCs/>
        </w:rPr>
        <w:t xml:space="preserve">Alp </w:t>
      </w:r>
      <w:r w:rsidRPr="00D91F48">
        <w:t>v.</w:t>
      </w:r>
      <w:r w:rsidRPr="00D91F48">
        <w:rPr>
          <w:i/>
          <w:iCs/>
        </w:rPr>
        <w:t xml:space="preserve"> Denmark</w:t>
      </w:r>
      <w:r w:rsidRPr="00D91F48">
        <w:rPr>
          <w:rStyle w:val="FootnoteReference"/>
          <w:szCs w:val="18"/>
          <w:vertAlign w:val="baseline"/>
        </w:rPr>
        <w:t xml:space="preserve">, </w:t>
      </w:r>
      <w:r w:rsidRPr="00D91F48">
        <w:rPr>
          <w:szCs w:val="18"/>
        </w:rPr>
        <w:t>d</w:t>
      </w:r>
      <w:r w:rsidRPr="00D91F48">
        <w:rPr>
          <w:rStyle w:val="FootnoteReference"/>
          <w:szCs w:val="18"/>
          <w:vertAlign w:val="baseline"/>
        </w:rPr>
        <w:t xml:space="preserve">ecision of 14 May 2014, </w:t>
      </w:r>
      <w:r w:rsidRPr="00D91F48">
        <w:rPr>
          <w:szCs w:val="18"/>
        </w:rPr>
        <w:t>para. 8.3.</w:t>
      </w:r>
      <w:r w:rsidRPr="00D91F48">
        <w:t xml:space="preserve"> </w:t>
      </w:r>
    </w:p>
  </w:footnote>
  <w:footnote w:id="27">
    <w:p w:rsidR="00206725" w:rsidRPr="00290E30" w:rsidRDefault="00206725" w:rsidP="00F65439">
      <w:pPr>
        <w:pStyle w:val="FootnoteText"/>
      </w:pPr>
      <w:r w:rsidRPr="00D91F48">
        <w:tab/>
      </w:r>
      <w:r w:rsidRPr="00D91F48">
        <w:rPr>
          <w:rStyle w:val="FootnoteReference"/>
        </w:rPr>
        <w:footnoteRef/>
      </w:r>
      <w:r w:rsidRPr="00D91F48">
        <w:tab/>
        <w:t xml:space="preserve">See for example communication No. 243/2004, </w:t>
      </w:r>
      <w:r w:rsidRPr="00D91F48">
        <w:rPr>
          <w:i/>
        </w:rPr>
        <w:t xml:space="preserve">S.A. </w:t>
      </w:r>
      <w:r w:rsidRPr="00D91F48">
        <w:rPr>
          <w:iCs/>
        </w:rPr>
        <w:t>v.</w:t>
      </w:r>
      <w:r w:rsidRPr="00D91F48">
        <w:rPr>
          <w:i/>
        </w:rPr>
        <w:t xml:space="preserve"> Sweden</w:t>
      </w:r>
      <w:r w:rsidRPr="00D91F48">
        <w:t>, decision of inadmissibility of 6 May 2004, para. 4.2.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25" w:rsidRPr="00116B35" w:rsidRDefault="00206725">
    <w:pPr>
      <w:pStyle w:val="Header"/>
    </w:pPr>
    <w:r>
      <w:t>CAT/C/53/D/520/2012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25" w:rsidRPr="00116B35" w:rsidRDefault="00206725" w:rsidP="004876DE">
    <w:pPr>
      <w:pStyle w:val="Header"/>
      <w:jc w:val="right"/>
    </w:pPr>
    <w:r>
      <w:t>CAT/C/53/D/520/2012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98C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5"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4"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9"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20"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1"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6"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27"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3"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2"/>
  </w:num>
  <w:num w:numId="2">
    <w:abstractNumId w:val="28"/>
  </w:num>
  <w:num w:numId="3">
    <w:abstractNumId w:val="23"/>
  </w:num>
  <w:num w:numId="4">
    <w:abstractNumId w:val="19"/>
  </w:num>
  <w:num w:numId="5">
    <w:abstractNumId w:val="32"/>
  </w:num>
  <w:num w:numId="6">
    <w:abstractNumId w:val="13"/>
  </w:num>
  <w:num w:numId="7">
    <w:abstractNumId w:val="14"/>
  </w:num>
  <w:num w:numId="8">
    <w:abstractNumId w:val="11"/>
  </w:num>
  <w:num w:numId="9">
    <w:abstractNumId w:val="15"/>
  </w:num>
  <w:num w:numId="10">
    <w:abstractNumId w:val="22"/>
  </w:num>
  <w:num w:numId="11">
    <w:abstractNumId w:val="29"/>
  </w:num>
  <w:num w:numId="12">
    <w:abstractNumId w:val="25"/>
  </w:num>
  <w:num w:numId="13">
    <w:abstractNumId w:val="4"/>
  </w:num>
  <w:num w:numId="14">
    <w:abstractNumId w:val="18"/>
  </w:num>
  <w:num w:numId="15">
    <w:abstractNumId w:val="26"/>
  </w:num>
  <w:num w:numId="16">
    <w:abstractNumId w:val="6"/>
  </w:num>
  <w:num w:numId="17">
    <w:abstractNumId w:val="30"/>
  </w:num>
  <w:num w:numId="18">
    <w:abstractNumId w:val="21"/>
  </w:num>
  <w:num w:numId="19">
    <w:abstractNumId w:val="33"/>
  </w:num>
  <w:num w:numId="20">
    <w:abstractNumId w:val="31"/>
  </w:num>
  <w:num w:numId="21">
    <w:abstractNumId w:val="5"/>
  </w:num>
  <w:num w:numId="22">
    <w:abstractNumId w:val="27"/>
  </w:num>
  <w:num w:numId="23">
    <w:abstractNumId w:val="3"/>
  </w:num>
  <w:num w:numId="24">
    <w:abstractNumId w:val="8"/>
  </w:num>
  <w:num w:numId="25">
    <w:abstractNumId w:val="1"/>
  </w:num>
  <w:num w:numId="26">
    <w:abstractNumId w:val="7"/>
  </w:num>
  <w:num w:numId="27">
    <w:abstractNumId w:val="9"/>
  </w:num>
  <w:num w:numId="28">
    <w:abstractNumId w:val="20"/>
  </w:num>
  <w:num w:numId="29">
    <w:abstractNumId w:val="12"/>
  </w:num>
  <w:num w:numId="30">
    <w:abstractNumId w:val="17"/>
  </w:num>
  <w:num w:numId="31">
    <w:abstractNumId w:val="10"/>
  </w:num>
  <w:num w:numId="32">
    <w:abstractNumId w:val="24"/>
  </w:num>
  <w:num w:numId="33">
    <w:abstractNumId w:val="16"/>
  </w:num>
  <w:num w:numId="3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51C2"/>
    <w:rsid w:val="0001196C"/>
    <w:rsid w:val="0001238B"/>
    <w:rsid w:val="00012FF8"/>
    <w:rsid w:val="0001384A"/>
    <w:rsid w:val="00025234"/>
    <w:rsid w:val="00026ABA"/>
    <w:rsid w:val="00030EF4"/>
    <w:rsid w:val="000330BE"/>
    <w:rsid w:val="00042301"/>
    <w:rsid w:val="0004561D"/>
    <w:rsid w:val="000506A9"/>
    <w:rsid w:val="00051479"/>
    <w:rsid w:val="00053629"/>
    <w:rsid w:val="000547E8"/>
    <w:rsid w:val="000558CA"/>
    <w:rsid w:val="00057316"/>
    <w:rsid w:val="000617F0"/>
    <w:rsid w:val="0006658F"/>
    <w:rsid w:val="0006742E"/>
    <w:rsid w:val="00071CC8"/>
    <w:rsid w:val="00075017"/>
    <w:rsid w:val="00081A19"/>
    <w:rsid w:val="0008234B"/>
    <w:rsid w:val="00082F02"/>
    <w:rsid w:val="000870D2"/>
    <w:rsid w:val="000923A7"/>
    <w:rsid w:val="00096E69"/>
    <w:rsid w:val="0009769D"/>
    <w:rsid w:val="000A50BE"/>
    <w:rsid w:val="000B09B3"/>
    <w:rsid w:val="000B584F"/>
    <w:rsid w:val="000B7A13"/>
    <w:rsid w:val="000C10D9"/>
    <w:rsid w:val="000C1F92"/>
    <w:rsid w:val="000C3126"/>
    <w:rsid w:val="000C4C55"/>
    <w:rsid w:val="000D2BE3"/>
    <w:rsid w:val="000D32CF"/>
    <w:rsid w:val="000D7749"/>
    <w:rsid w:val="000E29BF"/>
    <w:rsid w:val="000E2BC4"/>
    <w:rsid w:val="000F1A06"/>
    <w:rsid w:val="000F50D2"/>
    <w:rsid w:val="000F730F"/>
    <w:rsid w:val="00104BB4"/>
    <w:rsid w:val="00106D3E"/>
    <w:rsid w:val="00106D73"/>
    <w:rsid w:val="001075F5"/>
    <w:rsid w:val="00110701"/>
    <w:rsid w:val="00117924"/>
    <w:rsid w:val="0012341C"/>
    <w:rsid w:val="00127405"/>
    <w:rsid w:val="0013557C"/>
    <w:rsid w:val="00137783"/>
    <w:rsid w:val="00140051"/>
    <w:rsid w:val="00153D74"/>
    <w:rsid w:val="001549D6"/>
    <w:rsid w:val="00154E74"/>
    <w:rsid w:val="00155992"/>
    <w:rsid w:val="0015655C"/>
    <w:rsid w:val="00161F02"/>
    <w:rsid w:val="0016288B"/>
    <w:rsid w:val="0016602D"/>
    <w:rsid w:val="001704A9"/>
    <w:rsid w:val="00175B8A"/>
    <w:rsid w:val="00177BF0"/>
    <w:rsid w:val="00182694"/>
    <w:rsid w:val="001846DE"/>
    <w:rsid w:val="00190BD3"/>
    <w:rsid w:val="001A0DD8"/>
    <w:rsid w:val="001B1D2E"/>
    <w:rsid w:val="001B4249"/>
    <w:rsid w:val="001B6C93"/>
    <w:rsid w:val="001C2411"/>
    <w:rsid w:val="001C31D7"/>
    <w:rsid w:val="001C31F2"/>
    <w:rsid w:val="001E2959"/>
    <w:rsid w:val="001E5567"/>
    <w:rsid w:val="001E6C7A"/>
    <w:rsid w:val="001E6F98"/>
    <w:rsid w:val="001E7C5D"/>
    <w:rsid w:val="001F1302"/>
    <w:rsid w:val="001F142A"/>
    <w:rsid w:val="001F15B9"/>
    <w:rsid w:val="001F4D5E"/>
    <w:rsid w:val="0020067A"/>
    <w:rsid w:val="002010BA"/>
    <w:rsid w:val="00205CC5"/>
    <w:rsid w:val="00206725"/>
    <w:rsid w:val="00206A95"/>
    <w:rsid w:val="0021273F"/>
    <w:rsid w:val="00213F80"/>
    <w:rsid w:val="0021453B"/>
    <w:rsid w:val="00217F81"/>
    <w:rsid w:val="00222F40"/>
    <w:rsid w:val="002271F4"/>
    <w:rsid w:val="00231742"/>
    <w:rsid w:val="00231744"/>
    <w:rsid w:val="002333F7"/>
    <w:rsid w:val="002349A7"/>
    <w:rsid w:val="002369D4"/>
    <w:rsid w:val="00240781"/>
    <w:rsid w:val="002408A8"/>
    <w:rsid w:val="00241BD0"/>
    <w:rsid w:val="00243943"/>
    <w:rsid w:val="002443DA"/>
    <w:rsid w:val="00245EA8"/>
    <w:rsid w:val="002500D9"/>
    <w:rsid w:val="00250ED8"/>
    <w:rsid w:val="00262F26"/>
    <w:rsid w:val="002664BE"/>
    <w:rsid w:val="00281330"/>
    <w:rsid w:val="002827C5"/>
    <w:rsid w:val="0028326A"/>
    <w:rsid w:val="00287681"/>
    <w:rsid w:val="00290326"/>
    <w:rsid w:val="00290E30"/>
    <w:rsid w:val="00293752"/>
    <w:rsid w:val="00296342"/>
    <w:rsid w:val="00297787"/>
    <w:rsid w:val="002A0CA4"/>
    <w:rsid w:val="002A3474"/>
    <w:rsid w:val="002A7175"/>
    <w:rsid w:val="002B2F38"/>
    <w:rsid w:val="002B3EB4"/>
    <w:rsid w:val="002B4667"/>
    <w:rsid w:val="002B533E"/>
    <w:rsid w:val="002C0A4E"/>
    <w:rsid w:val="002C0F75"/>
    <w:rsid w:val="002C1D2C"/>
    <w:rsid w:val="002C3EE5"/>
    <w:rsid w:val="002C6477"/>
    <w:rsid w:val="002D1BEB"/>
    <w:rsid w:val="002D3F3F"/>
    <w:rsid w:val="002D49BF"/>
    <w:rsid w:val="002E256A"/>
    <w:rsid w:val="002E3A06"/>
    <w:rsid w:val="002E4502"/>
    <w:rsid w:val="002E79DE"/>
    <w:rsid w:val="00302956"/>
    <w:rsid w:val="00305B61"/>
    <w:rsid w:val="00306456"/>
    <w:rsid w:val="003075D0"/>
    <w:rsid w:val="00312662"/>
    <w:rsid w:val="00312C64"/>
    <w:rsid w:val="00314FE7"/>
    <w:rsid w:val="00317B2C"/>
    <w:rsid w:val="00326663"/>
    <w:rsid w:val="00332523"/>
    <w:rsid w:val="003351AB"/>
    <w:rsid w:val="00340937"/>
    <w:rsid w:val="00343657"/>
    <w:rsid w:val="0034492C"/>
    <w:rsid w:val="003527BE"/>
    <w:rsid w:val="00355858"/>
    <w:rsid w:val="0035590B"/>
    <w:rsid w:val="00355AC1"/>
    <w:rsid w:val="0036006A"/>
    <w:rsid w:val="003627B6"/>
    <w:rsid w:val="00365F12"/>
    <w:rsid w:val="00366DA8"/>
    <w:rsid w:val="003676BC"/>
    <w:rsid w:val="003743F9"/>
    <w:rsid w:val="00374433"/>
    <w:rsid w:val="00375469"/>
    <w:rsid w:val="00380BE5"/>
    <w:rsid w:val="00381DFA"/>
    <w:rsid w:val="00384102"/>
    <w:rsid w:val="00385E2E"/>
    <w:rsid w:val="00392C24"/>
    <w:rsid w:val="0039729C"/>
    <w:rsid w:val="003A424D"/>
    <w:rsid w:val="003A7609"/>
    <w:rsid w:val="003B6A14"/>
    <w:rsid w:val="003B6C1A"/>
    <w:rsid w:val="003C7F1D"/>
    <w:rsid w:val="003D59E6"/>
    <w:rsid w:val="003D6133"/>
    <w:rsid w:val="003D6AC5"/>
    <w:rsid w:val="003E1B79"/>
    <w:rsid w:val="003E2449"/>
    <w:rsid w:val="003E2486"/>
    <w:rsid w:val="003E43CA"/>
    <w:rsid w:val="003E463C"/>
    <w:rsid w:val="003F69D0"/>
    <w:rsid w:val="00401399"/>
    <w:rsid w:val="004028B9"/>
    <w:rsid w:val="00403EF3"/>
    <w:rsid w:val="00404F3A"/>
    <w:rsid w:val="004065DF"/>
    <w:rsid w:val="00410B9D"/>
    <w:rsid w:val="00414DC4"/>
    <w:rsid w:val="00415145"/>
    <w:rsid w:val="00421676"/>
    <w:rsid w:val="004310B2"/>
    <w:rsid w:val="00431968"/>
    <w:rsid w:val="0043272D"/>
    <w:rsid w:val="00435847"/>
    <w:rsid w:val="00435A57"/>
    <w:rsid w:val="0044350E"/>
    <w:rsid w:val="004528E2"/>
    <w:rsid w:val="00455AE8"/>
    <w:rsid w:val="004571F6"/>
    <w:rsid w:val="004621C6"/>
    <w:rsid w:val="00462621"/>
    <w:rsid w:val="00466C60"/>
    <w:rsid w:val="004745EC"/>
    <w:rsid w:val="00476218"/>
    <w:rsid w:val="00483074"/>
    <w:rsid w:val="004876DE"/>
    <w:rsid w:val="004879C9"/>
    <w:rsid w:val="00490652"/>
    <w:rsid w:val="00491416"/>
    <w:rsid w:val="00491D4F"/>
    <w:rsid w:val="0049357A"/>
    <w:rsid w:val="00494147"/>
    <w:rsid w:val="0049422A"/>
    <w:rsid w:val="00497A78"/>
    <w:rsid w:val="004A068B"/>
    <w:rsid w:val="004A6004"/>
    <w:rsid w:val="004B0FA2"/>
    <w:rsid w:val="004B6094"/>
    <w:rsid w:val="004C65E9"/>
    <w:rsid w:val="004D0991"/>
    <w:rsid w:val="004D52F8"/>
    <w:rsid w:val="004D79C8"/>
    <w:rsid w:val="004E38B8"/>
    <w:rsid w:val="004E3DD9"/>
    <w:rsid w:val="004E405C"/>
    <w:rsid w:val="004E5936"/>
    <w:rsid w:val="004E5A05"/>
    <w:rsid w:val="004E7CDF"/>
    <w:rsid w:val="004F087D"/>
    <w:rsid w:val="004F33B9"/>
    <w:rsid w:val="00501F7C"/>
    <w:rsid w:val="0050337B"/>
    <w:rsid w:val="00503F29"/>
    <w:rsid w:val="00505794"/>
    <w:rsid w:val="00507EE2"/>
    <w:rsid w:val="0051033F"/>
    <w:rsid w:val="005105CC"/>
    <w:rsid w:val="00510C47"/>
    <w:rsid w:val="005118CE"/>
    <w:rsid w:val="005222ED"/>
    <w:rsid w:val="00525AF9"/>
    <w:rsid w:val="00525D82"/>
    <w:rsid w:val="00532835"/>
    <w:rsid w:val="00532A35"/>
    <w:rsid w:val="00532A4D"/>
    <w:rsid w:val="005344BC"/>
    <w:rsid w:val="0053461B"/>
    <w:rsid w:val="00534666"/>
    <w:rsid w:val="0053509A"/>
    <w:rsid w:val="00544E30"/>
    <w:rsid w:val="0055175E"/>
    <w:rsid w:val="0055307A"/>
    <w:rsid w:val="005532C0"/>
    <w:rsid w:val="0055412A"/>
    <w:rsid w:val="00557BEE"/>
    <w:rsid w:val="00562882"/>
    <w:rsid w:val="00563302"/>
    <w:rsid w:val="005700C5"/>
    <w:rsid w:val="0057318D"/>
    <w:rsid w:val="005742BB"/>
    <w:rsid w:val="00582D72"/>
    <w:rsid w:val="00583DAE"/>
    <w:rsid w:val="005846C6"/>
    <w:rsid w:val="00585ED9"/>
    <w:rsid w:val="00587B71"/>
    <w:rsid w:val="0059686E"/>
    <w:rsid w:val="005A3C66"/>
    <w:rsid w:val="005A41F3"/>
    <w:rsid w:val="005A6300"/>
    <w:rsid w:val="005A6783"/>
    <w:rsid w:val="005A6E87"/>
    <w:rsid w:val="005B49CF"/>
    <w:rsid w:val="005C02F0"/>
    <w:rsid w:val="005C2172"/>
    <w:rsid w:val="005C4047"/>
    <w:rsid w:val="005D24D1"/>
    <w:rsid w:val="005D3322"/>
    <w:rsid w:val="005D5A2D"/>
    <w:rsid w:val="005D5F05"/>
    <w:rsid w:val="005D6813"/>
    <w:rsid w:val="005E0F23"/>
    <w:rsid w:val="005E2984"/>
    <w:rsid w:val="005E2FB1"/>
    <w:rsid w:val="005E563D"/>
    <w:rsid w:val="005E763E"/>
    <w:rsid w:val="005F3AFF"/>
    <w:rsid w:val="005F3C2B"/>
    <w:rsid w:val="005F6B41"/>
    <w:rsid w:val="00601144"/>
    <w:rsid w:val="00604BC7"/>
    <w:rsid w:val="00605C75"/>
    <w:rsid w:val="00606111"/>
    <w:rsid w:val="00611C2C"/>
    <w:rsid w:val="00613FD4"/>
    <w:rsid w:val="00616B8F"/>
    <w:rsid w:val="00617714"/>
    <w:rsid w:val="00625000"/>
    <w:rsid w:val="00630ECF"/>
    <w:rsid w:val="00632C74"/>
    <w:rsid w:val="00633889"/>
    <w:rsid w:val="0063683E"/>
    <w:rsid w:val="006402F6"/>
    <w:rsid w:val="00647889"/>
    <w:rsid w:val="00650C5C"/>
    <w:rsid w:val="00650FF2"/>
    <w:rsid w:val="00651A0C"/>
    <w:rsid w:val="006536F6"/>
    <w:rsid w:val="0065411B"/>
    <w:rsid w:val="00655015"/>
    <w:rsid w:val="0065504D"/>
    <w:rsid w:val="00660C4C"/>
    <w:rsid w:val="0066206D"/>
    <w:rsid w:val="00663A5F"/>
    <w:rsid w:val="00670EF7"/>
    <w:rsid w:val="00675694"/>
    <w:rsid w:val="00691489"/>
    <w:rsid w:val="00697B86"/>
    <w:rsid w:val="006A4ED2"/>
    <w:rsid w:val="006A5234"/>
    <w:rsid w:val="006A5765"/>
    <w:rsid w:val="006A7730"/>
    <w:rsid w:val="006B0FB8"/>
    <w:rsid w:val="006B2AA2"/>
    <w:rsid w:val="006B52DA"/>
    <w:rsid w:val="006B78D4"/>
    <w:rsid w:val="006C2FF9"/>
    <w:rsid w:val="006C34B4"/>
    <w:rsid w:val="006C4F53"/>
    <w:rsid w:val="006D01B6"/>
    <w:rsid w:val="006D329F"/>
    <w:rsid w:val="006D4E3C"/>
    <w:rsid w:val="006D6E98"/>
    <w:rsid w:val="006D71CB"/>
    <w:rsid w:val="006E3839"/>
    <w:rsid w:val="006F15FE"/>
    <w:rsid w:val="006F230E"/>
    <w:rsid w:val="006F3C4A"/>
    <w:rsid w:val="006F45D4"/>
    <w:rsid w:val="007010A5"/>
    <w:rsid w:val="00701CE9"/>
    <w:rsid w:val="00705F10"/>
    <w:rsid w:val="00706B96"/>
    <w:rsid w:val="007073F9"/>
    <w:rsid w:val="00707A71"/>
    <w:rsid w:val="00707D0C"/>
    <w:rsid w:val="00715132"/>
    <w:rsid w:val="0071718B"/>
    <w:rsid w:val="00720F47"/>
    <w:rsid w:val="00732ACF"/>
    <w:rsid w:val="0074182E"/>
    <w:rsid w:val="007424AE"/>
    <w:rsid w:val="007434B8"/>
    <w:rsid w:val="00746890"/>
    <w:rsid w:val="00747EB4"/>
    <w:rsid w:val="0075099C"/>
    <w:rsid w:val="00750ABA"/>
    <w:rsid w:val="00753C18"/>
    <w:rsid w:val="00761067"/>
    <w:rsid w:val="007662FC"/>
    <w:rsid w:val="00770227"/>
    <w:rsid w:val="007749C6"/>
    <w:rsid w:val="00774B9A"/>
    <w:rsid w:val="00774FD2"/>
    <w:rsid w:val="00780050"/>
    <w:rsid w:val="00781A85"/>
    <w:rsid w:val="007863A8"/>
    <w:rsid w:val="007873A0"/>
    <w:rsid w:val="0079493B"/>
    <w:rsid w:val="0079607F"/>
    <w:rsid w:val="007A1AA3"/>
    <w:rsid w:val="007A1B5B"/>
    <w:rsid w:val="007A2195"/>
    <w:rsid w:val="007A4D05"/>
    <w:rsid w:val="007A5D50"/>
    <w:rsid w:val="007A681F"/>
    <w:rsid w:val="007A6E55"/>
    <w:rsid w:val="007A6FB3"/>
    <w:rsid w:val="007B0756"/>
    <w:rsid w:val="007B13A9"/>
    <w:rsid w:val="007B5093"/>
    <w:rsid w:val="007C0892"/>
    <w:rsid w:val="007C333F"/>
    <w:rsid w:val="007C4A8D"/>
    <w:rsid w:val="007C4BCE"/>
    <w:rsid w:val="007C6E22"/>
    <w:rsid w:val="007C736A"/>
    <w:rsid w:val="007D0633"/>
    <w:rsid w:val="007D1788"/>
    <w:rsid w:val="007D2D0F"/>
    <w:rsid w:val="007D6AE4"/>
    <w:rsid w:val="007E14C8"/>
    <w:rsid w:val="007E3006"/>
    <w:rsid w:val="007E74A5"/>
    <w:rsid w:val="007F09C5"/>
    <w:rsid w:val="007F3F53"/>
    <w:rsid w:val="007F4425"/>
    <w:rsid w:val="00802E46"/>
    <w:rsid w:val="0080487E"/>
    <w:rsid w:val="00816917"/>
    <w:rsid w:val="00817490"/>
    <w:rsid w:val="0082352A"/>
    <w:rsid w:val="00832361"/>
    <w:rsid w:val="00834280"/>
    <w:rsid w:val="00836541"/>
    <w:rsid w:val="008375F9"/>
    <w:rsid w:val="0085195F"/>
    <w:rsid w:val="008525F6"/>
    <w:rsid w:val="008544A2"/>
    <w:rsid w:val="00856112"/>
    <w:rsid w:val="00857CBB"/>
    <w:rsid w:val="00865A5F"/>
    <w:rsid w:val="00872C0E"/>
    <w:rsid w:val="00875209"/>
    <w:rsid w:val="00876BB3"/>
    <w:rsid w:val="0088050A"/>
    <w:rsid w:val="008821CE"/>
    <w:rsid w:val="0088231B"/>
    <w:rsid w:val="00884892"/>
    <w:rsid w:val="00884F29"/>
    <w:rsid w:val="00892CC4"/>
    <w:rsid w:val="008936AF"/>
    <w:rsid w:val="00893ED8"/>
    <w:rsid w:val="008A506F"/>
    <w:rsid w:val="008A6477"/>
    <w:rsid w:val="008A65CE"/>
    <w:rsid w:val="008A7F7E"/>
    <w:rsid w:val="008B0D58"/>
    <w:rsid w:val="008B0FA1"/>
    <w:rsid w:val="008B1BFD"/>
    <w:rsid w:val="008B2925"/>
    <w:rsid w:val="008B638A"/>
    <w:rsid w:val="008B6915"/>
    <w:rsid w:val="008B7220"/>
    <w:rsid w:val="008B7B20"/>
    <w:rsid w:val="008C0386"/>
    <w:rsid w:val="008C1349"/>
    <w:rsid w:val="008C14E9"/>
    <w:rsid w:val="008C3629"/>
    <w:rsid w:val="008C44E8"/>
    <w:rsid w:val="008C4D14"/>
    <w:rsid w:val="008C6F76"/>
    <w:rsid w:val="008C709F"/>
    <w:rsid w:val="008D1FEA"/>
    <w:rsid w:val="008D65E0"/>
    <w:rsid w:val="008E312D"/>
    <w:rsid w:val="008E3A94"/>
    <w:rsid w:val="008E411A"/>
    <w:rsid w:val="008E5F0F"/>
    <w:rsid w:val="008E7BA2"/>
    <w:rsid w:val="008F1505"/>
    <w:rsid w:val="008F7BD0"/>
    <w:rsid w:val="00901599"/>
    <w:rsid w:val="00901C11"/>
    <w:rsid w:val="00902E20"/>
    <w:rsid w:val="00905610"/>
    <w:rsid w:val="00915D56"/>
    <w:rsid w:val="0092111A"/>
    <w:rsid w:val="0092163E"/>
    <w:rsid w:val="009301F4"/>
    <w:rsid w:val="009418F8"/>
    <w:rsid w:val="00943C6F"/>
    <w:rsid w:val="00945B83"/>
    <w:rsid w:val="009460E6"/>
    <w:rsid w:val="00946851"/>
    <w:rsid w:val="00946E31"/>
    <w:rsid w:val="009476DF"/>
    <w:rsid w:val="00947F46"/>
    <w:rsid w:val="0095303B"/>
    <w:rsid w:val="00954C16"/>
    <w:rsid w:val="00954F6D"/>
    <w:rsid w:val="00956893"/>
    <w:rsid w:val="00957A5D"/>
    <w:rsid w:val="00962F7C"/>
    <w:rsid w:val="009644A5"/>
    <w:rsid w:val="0096698B"/>
    <w:rsid w:val="00967849"/>
    <w:rsid w:val="00970945"/>
    <w:rsid w:val="00971804"/>
    <w:rsid w:val="00973AA4"/>
    <w:rsid w:val="00975614"/>
    <w:rsid w:val="00975980"/>
    <w:rsid w:val="0098061B"/>
    <w:rsid w:val="009947A2"/>
    <w:rsid w:val="009A0592"/>
    <w:rsid w:val="009A0774"/>
    <w:rsid w:val="009A2680"/>
    <w:rsid w:val="009A3756"/>
    <w:rsid w:val="009A7A05"/>
    <w:rsid w:val="009B1D65"/>
    <w:rsid w:val="009B2030"/>
    <w:rsid w:val="009B394A"/>
    <w:rsid w:val="009C14DA"/>
    <w:rsid w:val="009C1F49"/>
    <w:rsid w:val="009C25D3"/>
    <w:rsid w:val="009C39B2"/>
    <w:rsid w:val="009C4E67"/>
    <w:rsid w:val="009D41B2"/>
    <w:rsid w:val="009D465B"/>
    <w:rsid w:val="009D7085"/>
    <w:rsid w:val="009D796C"/>
    <w:rsid w:val="009E5699"/>
    <w:rsid w:val="009E7102"/>
    <w:rsid w:val="009F3AD4"/>
    <w:rsid w:val="009F6C1B"/>
    <w:rsid w:val="009F7218"/>
    <w:rsid w:val="00A052AB"/>
    <w:rsid w:val="00A07F18"/>
    <w:rsid w:val="00A1279B"/>
    <w:rsid w:val="00A1394A"/>
    <w:rsid w:val="00A141AD"/>
    <w:rsid w:val="00A14B8B"/>
    <w:rsid w:val="00A209ED"/>
    <w:rsid w:val="00A33252"/>
    <w:rsid w:val="00A35426"/>
    <w:rsid w:val="00A40A78"/>
    <w:rsid w:val="00A429ED"/>
    <w:rsid w:val="00A42BE3"/>
    <w:rsid w:val="00A439D4"/>
    <w:rsid w:val="00A4426E"/>
    <w:rsid w:val="00A456F8"/>
    <w:rsid w:val="00A50ECD"/>
    <w:rsid w:val="00A54E99"/>
    <w:rsid w:val="00A60890"/>
    <w:rsid w:val="00A619E8"/>
    <w:rsid w:val="00A62AEC"/>
    <w:rsid w:val="00A651DA"/>
    <w:rsid w:val="00A66227"/>
    <w:rsid w:val="00A70D2D"/>
    <w:rsid w:val="00A73CC7"/>
    <w:rsid w:val="00A773E7"/>
    <w:rsid w:val="00A773E8"/>
    <w:rsid w:val="00A824C6"/>
    <w:rsid w:val="00A8646E"/>
    <w:rsid w:val="00A86B5D"/>
    <w:rsid w:val="00A87341"/>
    <w:rsid w:val="00A91A7D"/>
    <w:rsid w:val="00A91BDF"/>
    <w:rsid w:val="00A91FC2"/>
    <w:rsid w:val="00AA0068"/>
    <w:rsid w:val="00AA6DDC"/>
    <w:rsid w:val="00AB07D0"/>
    <w:rsid w:val="00AB44A4"/>
    <w:rsid w:val="00AB500F"/>
    <w:rsid w:val="00AC0CAD"/>
    <w:rsid w:val="00AC5A4F"/>
    <w:rsid w:val="00AD051D"/>
    <w:rsid w:val="00AD630B"/>
    <w:rsid w:val="00AD788D"/>
    <w:rsid w:val="00AE267F"/>
    <w:rsid w:val="00AE7905"/>
    <w:rsid w:val="00AF26E4"/>
    <w:rsid w:val="00AF2B28"/>
    <w:rsid w:val="00AF4525"/>
    <w:rsid w:val="00B01242"/>
    <w:rsid w:val="00B13B09"/>
    <w:rsid w:val="00B206A6"/>
    <w:rsid w:val="00B373DA"/>
    <w:rsid w:val="00B40496"/>
    <w:rsid w:val="00B45590"/>
    <w:rsid w:val="00B46667"/>
    <w:rsid w:val="00B531F0"/>
    <w:rsid w:val="00B570F4"/>
    <w:rsid w:val="00B57207"/>
    <w:rsid w:val="00B5785D"/>
    <w:rsid w:val="00B61451"/>
    <w:rsid w:val="00B633DA"/>
    <w:rsid w:val="00B63D91"/>
    <w:rsid w:val="00B65E48"/>
    <w:rsid w:val="00B7443A"/>
    <w:rsid w:val="00B76B27"/>
    <w:rsid w:val="00B76CDF"/>
    <w:rsid w:val="00B76F15"/>
    <w:rsid w:val="00B80468"/>
    <w:rsid w:val="00B82CA8"/>
    <w:rsid w:val="00B85DE6"/>
    <w:rsid w:val="00B87CB1"/>
    <w:rsid w:val="00B93CC7"/>
    <w:rsid w:val="00B9531C"/>
    <w:rsid w:val="00B97E9B"/>
    <w:rsid w:val="00BA146A"/>
    <w:rsid w:val="00BA302B"/>
    <w:rsid w:val="00BB1687"/>
    <w:rsid w:val="00BB560C"/>
    <w:rsid w:val="00BB5D0E"/>
    <w:rsid w:val="00BC164E"/>
    <w:rsid w:val="00BC1E6E"/>
    <w:rsid w:val="00BC55A7"/>
    <w:rsid w:val="00BD1043"/>
    <w:rsid w:val="00BD2810"/>
    <w:rsid w:val="00BD7877"/>
    <w:rsid w:val="00BE15E1"/>
    <w:rsid w:val="00BE38BD"/>
    <w:rsid w:val="00BF4A2A"/>
    <w:rsid w:val="00BF5D49"/>
    <w:rsid w:val="00BF6A61"/>
    <w:rsid w:val="00C06A6F"/>
    <w:rsid w:val="00C07884"/>
    <w:rsid w:val="00C10701"/>
    <w:rsid w:val="00C12002"/>
    <w:rsid w:val="00C12282"/>
    <w:rsid w:val="00C150FB"/>
    <w:rsid w:val="00C1534B"/>
    <w:rsid w:val="00C1567E"/>
    <w:rsid w:val="00C1636F"/>
    <w:rsid w:val="00C21EF7"/>
    <w:rsid w:val="00C277E4"/>
    <w:rsid w:val="00C32089"/>
    <w:rsid w:val="00C3290D"/>
    <w:rsid w:val="00C356F9"/>
    <w:rsid w:val="00C428C8"/>
    <w:rsid w:val="00C42D1E"/>
    <w:rsid w:val="00C4775F"/>
    <w:rsid w:val="00C54CA9"/>
    <w:rsid w:val="00C642B7"/>
    <w:rsid w:val="00C6659F"/>
    <w:rsid w:val="00C75484"/>
    <w:rsid w:val="00C76E27"/>
    <w:rsid w:val="00C82C50"/>
    <w:rsid w:val="00C875B8"/>
    <w:rsid w:val="00C91D7B"/>
    <w:rsid w:val="00C9419C"/>
    <w:rsid w:val="00C967B2"/>
    <w:rsid w:val="00CA1E0A"/>
    <w:rsid w:val="00CB0E8D"/>
    <w:rsid w:val="00CB1DD8"/>
    <w:rsid w:val="00CB21A5"/>
    <w:rsid w:val="00CB73A1"/>
    <w:rsid w:val="00CC33C7"/>
    <w:rsid w:val="00CC5405"/>
    <w:rsid w:val="00CD6E84"/>
    <w:rsid w:val="00CE630E"/>
    <w:rsid w:val="00CE6A20"/>
    <w:rsid w:val="00CF0BE4"/>
    <w:rsid w:val="00CF51C1"/>
    <w:rsid w:val="00CF5A5D"/>
    <w:rsid w:val="00CF765A"/>
    <w:rsid w:val="00D0443C"/>
    <w:rsid w:val="00D0559B"/>
    <w:rsid w:val="00D05AC7"/>
    <w:rsid w:val="00D11573"/>
    <w:rsid w:val="00D11652"/>
    <w:rsid w:val="00D12BA7"/>
    <w:rsid w:val="00D15ECF"/>
    <w:rsid w:val="00D2285B"/>
    <w:rsid w:val="00D22DAF"/>
    <w:rsid w:val="00D313FE"/>
    <w:rsid w:val="00D35B7B"/>
    <w:rsid w:val="00D421CA"/>
    <w:rsid w:val="00D50569"/>
    <w:rsid w:val="00D51D0E"/>
    <w:rsid w:val="00D522F5"/>
    <w:rsid w:val="00D5397C"/>
    <w:rsid w:val="00D5661B"/>
    <w:rsid w:val="00D57BB0"/>
    <w:rsid w:val="00D6227C"/>
    <w:rsid w:val="00D6565D"/>
    <w:rsid w:val="00D679DF"/>
    <w:rsid w:val="00D73ABF"/>
    <w:rsid w:val="00D73DEE"/>
    <w:rsid w:val="00D74138"/>
    <w:rsid w:val="00D779C8"/>
    <w:rsid w:val="00D807AA"/>
    <w:rsid w:val="00D81158"/>
    <w:rsid w:val="00D831C8"/>
    <w:rsid w:val="00D87295"/>
    <w:rsid w:val="00D87591"/>
    <w:rsid w:val="00D91F48"/>
    <w:rsid w:val="00D92346"/>
    <w:rsid w:val="00D9263B"/>
    <w:rsid w:val="00D94331"/>
    <w:rsid w:val="00D95268"/>
    <w:rsid w:val="00D96C01"/>
    <w:rsid w:val="00DA4363"/>
    <w:rsid w:val="00DA58D4"/>
    <w:rsid w:val="00DB1A69"/>
    <w:rsid w:val="00DB5524"/>
    <w:rsid w:val="00DB5ABC"/>
    <w:rsid w:val="00DB7565"/>
    <w:rsid w:val="00DC4217"/>
    <w:rsid w:val="00DD0A52"/>
    <w:rsid w:val="00DD1350"/>
    <w:rsid w:val="00DD6677"/>
    <w:rsid w:val="00DE296B"/>
    <w:rsid w:val="00DE3BA7"/>
    <w:rsid w:val="00DE523B"/>
    <w:rsid w:val="00DE7F30"/>
    <w:rsid w:val="00DF0E4C"/>
    <w:rsid w:val="00DF18AE"/>
    <w:rsid w:val="00DF3E8D"/>
    <w:rsid w:val="00DF4D7E"/>
    <w:rsid w:val="00DF6FE8"/>
    <w:rsid w:val="00E00D62"/>
    <w:rsid w:val="00E00EB7"/>
    <w:rsid w:val="00E02277"/>
    <w:rsid w:val="00E07D89"/>
    <w:rsid w:val="00E121C9"/>
    <w:rsid w:val="00E12B80"/>
    <w:rsid w:val="00E13394"/>
    <w:rsid w:val="00E14CD6"/>
    <w:rsid w:val="00E15E28"/>
    <w:rsid w:val="00E1760F"/>
    <w:rsid w:val="00E17947"/>
    <w:rsid w:val="00E17B97"/>
    <w:rsid w:val="00E20348"/>
    <w:rsid w:val="00E23227"/>
    <w:rsid w:val="00E2493B"/>
    <w:rsid w:val="00E25FFD"/>
    <w:rsid w:val="00E303E8"/>
    <w:rsid w:val="00E423F9"/>
    <w:rsid w:val="00E42ADA"/>
    <w:rsid w:val="00E42B9E"/>
    <w:rsid w:val="00E47B60"/>
    <w:rsid w:val="00E506B7"/>
    <w:rsid w:val="00E645CF"/>
    <w:rsid w:val="00E66C13"/>
    <w:rsid w:val="00E70FDE"/>
    <w:rsid w:val="00E7362D"/>
    <w:rsid w:val="00E84585"/>
    <w:rsid w:val="00E90191"/>
    <w:rsid w:val="00E9345C"/>
    <w:rsid w:val="00E957F7"/>
    <w:rsid w:val="00E95D98"/>
    <w:rsid w:val="00EA0D58"/>
    <w:rsid w:val="00EA23D3"/>
    <w:rsid w:val="00EA3E54"/>
    <w:rsid w:val="00EA4B22"/>
    <w:rsid w:val="00EB1478"/>
    <w:rsid w:val="00EB1AB1"/>
    <w:rsid w:val="00EB728D"/>
    <w:rsid w:val="00EC02B7"/>
    <w:rsid w:val="00EC0390"/>
    <w:rsid w:val="00EC0915"/>
    <w:rsid w:val="00EC176F"/>
    <w:rsid w:val="00EC2980"/>
    <w:rsid w:val="00ED37F0"/>
    <w:rsid w:val="00ED678E"/>
    <w:rsid w:val="00ED7569"/>
    <w:rsid w:val="00ED7DB1"/>
    <w:rsid w:val="00EE39B7"/>
    <w:rsid w:val="00EF1411"/>
    <w:rsid w:val="00EF3450"/>
    <w:rsid w:val="00EF6691"/>
    <w:rsid w:val="00F01884"/>
    <w:rsid w:val="00F02B75"/>
    <w:rsid w:val="00F046A7"/>
    <w:rsid w:val="00F0782C"/>
    <w:rsid w:val="00F1350C"/>
    <w:rsid w:val="00F14731"/>
    <w:rsid w:val="00F15875"/>
    <w:rsid w:val="00F16390"/>
    <w:rsid w:val="00F20AD6"/>
    <w:rsid w:val="00F2752D"/>
    <w:rsid w:val="00F27C8F"/>
    <w:rsid w:val="00F27E27"/>
    <w:rsid w:val="00F27F58"/>
    <w:rsid w:val="00F31FF3"/>
    <w:rsid w:val="00F32CA0"/>
    <w:rsid w:val="00F3433D"/>
    <w:rsid w:val="00F36122"/>
    <w:rsid w:val="00F37840"/>
    <w:rsid w:val="00F41099"/>
    <w:rsid w:val="00F455A2"/>
    <w:rsid w:val="00F50BF1"/>
    <w:rsid w:val="00F543F3"/>
    <w:rsid w:val="00F630F3"/>
    <w:rsid w:val="00F65439"/>
    <w:rsid w:val="00F6666F"/>
    <w:rsid w:val="00F71104"/>
    <w:rsid w:val="00F74218"/>
    <w:rsid w:val="00F77518"/>
    <w:rsid w:val="00F83B50"/>
    <w:rsid w:val="00F8456D"/>
    <w:rsid w:val="00F858A6"/>
    <w:rsid w:val="00F902C1"/>
    <w:rsid w:val="00F91D3D"/>
    <w:rsid w:val="00F92879"/>
    <w:rsid w:val="00F93DBD"/>
    <w:rsid w:val="00F94BC9"/>
    <w:rsid w:val="00FA4942"/>
    <w:rsid w:val="00FA4AEA"/>
    <w:rsid w:val="00FA4F05"/>
    <w:rsid w:val="00FA4F76"/>
    <w:rsid w:val="00FA55EB"/>
    <w:rsid w:val="00FA6BE7"/>
    <w:rsid w:val="00FA6E13"/>
    <w:rsid w:val="00FA7AD0"/>
    <w:rsid w:val="00FB0545"/>
    <w:rsid w:val="00FB5491"/>
    <w:rsid w:val="00FB6576"/>
    <w:rsid w:val="00FB6962"/>
    <w:rsid w:val="00FC1585"/>
    <w:rsid w:val="00FC2230"/>
    <w:rsid w:val="00FC5228"/>
    <w:rsid w:val="00FC652A"/>
    <w:rsid w:val="00FD18C8"/>
    <w:rsid w:val="00FD2B7E"/>
    <w:rsid w:val="00FD2B9D"/>
    <w:rsid w:val="00FD5DBA"/>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94BA135-7EAF-45E3-93E5-A3F3D408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290E30"/>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link w:val="EndnoteTextChar"/>
    <w:uiPriority w:val="99"/>
    <w:rsid w:val="00416EAF"/>
    <w:rPr>
      <w:rFonts w:eastAsia="Times New Roman"/>
    </w:rPr>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uiPriority w:val="99"/>
    <w:rsid w:val="00416EAF"/>
    <w:rPr>
      <w:rFonts w:ascii="Times New Roman" w:hAnsi="Times New Roman"/>
      <w:sz w:val="18"/>
      <w:vertAlign w:val="superscript"/>
    </w:rPr>
  </w:style>
  <w:style w:type="character" w:styleId="FootnoteReference">
    <w:name w:val="footnote reference"/>
    <w:aliases w:val="4_G,Footnote number,Footnotes refss,Style 10,ftref"/>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lang w:val="en-GB" w:eastAsia="en-GB"/>
    </w:rPr>
  </w:style>
  <w:style w:type="character" w:customStyle="1" w:styleId="FootnoteTextChar">
    <w:name w:val="Footnote Text Char"/>
    <w:aliases w:val="5_G Char"/>
    <w:link w:val="FootnoteText"/>
    <w:locked/>
    <w:rsid w:val="008461AC"/>
    <w:rPr>
      <w:rFonts w:eastAsia="SimSun"/>
      <w:sz w:val="18"/>
      <w:lang w:val="en-GB"/>
    </w:rPr>
  </w:style>
  <w:style w:type="paragraph" w:customStyle="1" w:styleId="ColorfulList-Accent11">
    <w:name w:val="Colorful List - Accent 11"/>
    <w:basedOn w:val="Normal"/>
    <w:uiPriority w:val="34"/>
    <w:qFormat/>
    <w:rsid w:val="00110701"/>
    <w:pPr>
      <w:ind w:left="720"/>
    </w:pPr>
  </w:style>
  <w:style w:type="character" w:customStyle="1" w:styleId="Heading1Char">
    <w:name w:val="Heading 1 Char"/>
    <w:aliases w:val="Table_G Char"/>
    <w:link w:val="Heading1"/>
    <w:uiPriority w:val="1"/>
    <w:rsid w:val="00DA58D4"/>
    <w:rPr>
      <w:lang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customStyle="1" w:styleId="ColorfulShading-Accent11">
    <w:name w:val="Colorful Shading - Accent 11"/>
    <w:hidden/>
    <w:uiPriority w:val="99"/>
    <w:semiHidden/>
    <w:rsid w:val="00DA58D4"/>
    <w:rPr>
      <w:rFonts w:ascii="Calibri" w:eastAsia="Calibri" w:hAnsi="Calibri"/>
      <w:sz w:val="22"/>
      <w:szCs w:val="22"/>
      <w:lang w:val="en-AU"/>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character" w:customStyle="1" w:styleId="s6b621b36">
    <w:name w:val="s6b621b36"/>
    <w:rsid w:val="00604BC7"/>
  </w:style>
  <w:style w:type="paragraph" w:styleId="Revision">
    <w:name w:val="Revision"/>
    <w:hidden/>
    <w:uiPriority w:val="99"/>
    <w:semiHidden/>
    <w:rsid w:val="00F410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hudoc.echr.coe.int/sites/eng/pages/search.aspx" TargetMode="External"/><Relationship Id="rId1"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40007</CharactersWithSpaces>
  <SharedDoc>false</SharedDoc>
  <HLinks>
    <vt:vector size="12" baseType="variant">
      <vt:variant>
        <vt:i4>5439578</vt:i4>
      </vt:variant>
      <vt:variant>
        <vt:i4>3</vt:i4>
      </vt:variant>
      <vt:variant>
        <vt:i4>0</vt:i4>
      </vt:variant>
      <vt:variant>
        <vt:i4>5</vt:i4>
      </vt:variant>
      <vt:variant>
        <vt:lpwstr>http://hudoc.echr.coe.int/sites/eng/pages/search.aspx</vt:lpwstr>
      </vt:variant>
      <vt:variant>
        <vt:lpwstr>%7B%22appno%22:[%2213448/87%22]%7D</vt:lpwstr>
      </vt:variant>
      <vt:variant>
        <vt:i4>6094936</vt:i4>
      </vt:variant>
      <vt:variant>
        <vt:i4>0</vt:i4>
      </vt:variant>
      <vt:variant>
        <vt:i4>0</vt:i4>
      </vt:variant>
      <vt:variant>
        <vt:i4>5</vt:i4>
      </vt:variant>
      <vt:variant>
        <vt:lpwstr>http://hudoc.echr.coe.int/sites/eng/pages/search.aspx</vt:lpwstr>
      </vt:variant>
      <vt:variant>
        <vt:lpwstr>%7B%22appno%22:[%2213163/87%22]%7D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Sarah Willig</cp:lastModifiedBy>
  <cp:revision>2</cp:revision>
  <cp:lastPrinted>2014-12-11T08:41:00Z</cp:lastPrinted>
  <dcterms:created xsi:type="dcterms:W3CDTF">2017-01-24T20:12:00Z</dcterms:created>
  <dcterms:modified xsi:type="dcterms:W3CDTF">2017-01-24T20:12:00Z</dcterms:modified>
</cp:coreProperties>
</file>